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410BD981" w:rsidR="00BC3420" w:rsidRPr="00702497" w:rsidRDefault="00BC3420" w:rsidP="00751FB1">
      <w:pPr>
        <w:pStyle w:val="COMParabodytext"/>
        <w:spacing w:before="1440" w:after="0"/>
        <w:jc w:val="center"/>
        <w:rPr>
          <w:b/>
          <w:bCs/>
          <w:lang w:val="fr-FR"/>
        </w:rPr>
      </w:pPr>
      <w:r w:rsidRPr="00702497">
        <w:rPr>
          <w:b/>
          <w:bCs/>
          <w:lang w:val="fr-FR"/>
        </w:rPr>
        <w:t>CONVENTION POUR LA SAUVEGARDE DU</w:t>
      </w:r>
      <w:r w:rsidRPr="00702497">
        <w:rPr>
          <w:b/>
          <w:bCs/>
          <w:lang w:val="fr-FR"/>
        </w:rPr>
        <w:br/>
        <w:t>PATRIMOINE CULTUREL IMMATÉRIEL</w:t>
      </w:r>
    </w:p>
    <w:p w14:paraId="2F1AD104" w14:textId="181047F8"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00DF582E">
        <w:rPr>
          <w:rFonts w:ascii="Arial" w:hAnsi="Arial" w:cs="Arial"/>
          <w:b/>
          <w:sz w:val="22"/>
          <w:szCs w:val="22"/>
        </w:rPr>
        <w:t xml:space="preserve"> </w:t>
      </w:r>
      <w:r w:rsidRPr="00A61C6E">
        <w:rPr>
          <w:rFonts w:ascii="Arial" w:hAnsi="Arial" w:cs="Arial"/>
          <w:b/>
          <w:sz w:val="22"/>
          <w:szCs w:val="22"/>
        </w:rPr>
        <w:t xml:space="preserve">DU </w:t>
      </w:r>
      <w:r w:rsidR="00DF582E">
        <w:rPr>
          <w:rFonts w:ascii="Arial" w:hAnsi="Arial" w:cs="Arial"/>
          <w:b/>
          <w:sz w:val="22"/>
          <w:szCs w:val="22"/>
        </w:rPr>
        <w:br/>
      </w:r>
      <w:r w:rsidRPr="00A61C6E">
        <w:rPr>
          <w:rFonts w:ascii="Arial" w:hAnsi="Arial" w:cs="Arial"/>
          <w:b/>
          <w:sz w:val="22"/>
          <w:szCs w:val="22"/>
        </w:rPr>
        <w:t>PATRIMOINE CULTUREL IMMATÉRIEL</w:t>
      </w:r>
    </w:p>
    <w:p w14:paraId="32D15B6C" w14:textId="4945904F" w:rsidR="00BC3420" w:rsidRPr="00B43974" w:rsidRDefault="007A000F" w:rsidP="00F4581D">
      <w:pPr>
        <w:spacing w:before="840"/>
        <w:jc w:val="center"/>
        <w:rPr>
          <w:rFonts w:ascii="Arial" w:hAnsi="Arial" w:cs="Arial"/>
          <w:b/>
          <w:sz w:val="22"/>
          <w:szCs w:val="22"/>
        </w:rPr>
      </w:pPr>
      <w:r>
        <w:rPr>
          <w:rFonts w:ascii="Arial" w:hAnsi="Arial" w:cs="Arial"/>
          <w:b/>
          <w:sz w:val="22"/>
          <w:szCs w:val="22"/>
        </w:rPr>
        <w:t>Dix-</w:t>
      </w:r>
      <w:r w:rsidR="008F5A4F">
        <w:rPr>
          <w:rFonts w:ascii="Arial" w:hAnsi="Arial" w:cs="Arial"/>
          <w:b/>
          <w:sz w:val="22"/>
          <w:szCs w:val="22"/>
        </w:rPr>
        <w:t>hui</w:t>
      </w:r>
      <w:r>
        <w:rPr>
          <w:rFonts w:ascii="Arial" w:hAnsi="Arial" w:cs="Arial"/>
          <w:b/>
          <w:sz w:val="22"/>
          <w:szCs w:val="22"/>
        </w:rPr>
        <w:t>tième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1CC0FD6F" w:rsidR="00F4581D" w:rsidRPr="00F4581D" w:rsidRDefault="00F62542" w:rsidP="00F4581D">
      <w:pPr>
        <w:jc w:val="center"/>
        <w:rPr>
          <w:rFonts w:ascii="Arial" w:hAnsi="Arial"/>
          <w:b/>
          <w:sz w:val="22"/>
        </w:rPr>
      </w:pPr>
      <w:r>
        <w:rPr>
          <w:rFonts w:ascii="Arial" w:hAnsi="Arial"/>
          <w:b/>
          <w:sz w:val="22"/>
        </w:rPr>
        <w:t>Kasane</w:t>
      </w:r>
      <w:r w:rsidR="004417A7">
        <w:rPr>
          <w:rFonts w:ascii="Arial" w:hAnsi="Arial"/>
          <w:b/>
          <w:sz w:val="22"/>
        </w:rPr>
        <w:t xml:space="preserve">, </w:t>
      </w:r>
      <w:r w:rsidR="008F5A4F">
        <w:rPr>
          <w:rFonts w:ascii="Arial" w:hAnsi="Arial"/>
          <w:b/>
          <w:sz w:val="22"/>
        </w:rPr>
        <w:t>République du Botswana</w:t>
      </w:r>
    </w:p>
    <w:p w14:paraId="552550E8" w14:textId="4876D5B9" w:rsidR="00EF74E3" w:rsidRPr="00F4581D" w:rsidRDefault="008F5A4F" w:rsidP="00F4581D">
      <w:pPr>
        <w:jc w:val="center"/>
        <w:rPr>
          <w:rFonts w:ascii="Arial" w:hAnsi="Arial"/>
          <w:b/>
          <w:sz w:val="22"/>
        </w:rPr>
      </w:pPr>
      <w:r>
        <w:rPr>
          <w:rFonts w:ascii="Arial" w:hAnsi="Arial"/>
          <w:b/>
          <w:sz w:val="22"/>
        </w:rPr>
        <w:t>4</w:t>
      </w:r>
      <w:r w:rsidR="00F4581D" w:rsidRPr="00F4581D">
        <w:rPr>
          <w:rFonts w:ascii="Arial" w:hAnsi="Arial"/>
          <w:b/>
          <w:sz w:val="22"/>
        </w:rPr>
        <w:t> </w:t>
      </w:r>
      <w:r w:rsidR="007A000F">
        <w:rPr>
          <w:rFonts w:ascii="Arial" w:hAnsi="Arial"/>
          <w:b/>
          <w:sz w:val="22"/>
        </w:rPr>
        <w:t>–</w:t>
      </w:r>
      <w:r w:rsidR="001A7AF7">
        <w:rPr>
          <w:rFonts w:ascii="Arial" w:hAnsi="Arial"/>
          <w:b/>
          <w:sz w:val="22"/>
        </w:rPr>
        <w:t xml:space="preserve"> </w:t>
      </w:r>
      <w:r>
        <w:rPr>
          <w:rFonts w:ascii="Arial" w:hAnsi="Arial"/>
          <w:b/>
          <w:sz w:val="22"/>
        </w:rPr>
        <w:t>9</w:t>
      </w:r>
      <w:r w:rsidR="001A7AF7">
        <w:rPr>
          <w:rFonts w:ascii="Arial" w:hAnsi="Arial"/>
          <w:b/>
          <w:sz w:val="22"/>
        </w:rPr>
        <w:t> </w:t>
      </w:r>
      <w:r w:rsidR="00F4581D" w:rsidRPr="00F4581D">
        <w:rPr>
          <w:rFonts w:ascii="Arial" w:hAnsi="Arial"/>
          <w:b/>
          <w:sz w:val="22"/>
        </w:rPr>
        <w:t>décembre 202</w:t>
      </w:r>
      <w:r>
        <w:rPr>
          <w:rFonts w:ascii="Arial" w:hAnsi="Arial"/>
          <w:b/>
          <w:sz w:val="22"/>
        </w:rPr>
        <w:t>3</w:t>
      </w:r>
    </w:p>
    <w:p w14:paraId="72EF57E2" w14:textId="6692EF98"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Point</w:t>
      </w:r>
      <w:r w:rsidR="0073323E">
        <w:rPr>
          <w:rFonts w:ascii="Arial" w:hAnsi="Arial" w:cs="Arial"/>
          <w:b/>
          <w:sz w:val="22"/>
          <w:szCs w:val="22"/>
          <w:u w:val="single"/>
        </w:rPr>
        <w:t> </w:t>
      </w:r>
      <w:r w:rsidR="00923E72">
        <w:rPr>
          <w:rFonts w:ascii="Arial" w:hAnsi="Arial" w:cs="Arial"/>
          <w:b/>
          <w:sz w:val="22"/>
          <w:szCs w:val="22"/>
          <w:u w:val="single"/>
        </w:rPr>
        <w:t>4</w:t>
      </w:r>
      <w:r w:rsidR="00923E72" w:rsidRPr="00B43974">
        <w:rPr>
          <w:rFonts w:ascii="Arial" w:hAnsi="Arial" w:cs="Arial"/>
          <w:b/>
          <w:sz w:val="22"/>
          <w:szCs w:val="22"/>
          <w:u w:val="single"/>
        </w:rPr>
        <w:t xml:space="preserve"> </w:t>
      </w:r>
      <w:r w:rsidRPr="00B43974">
        <w:rPr>
          <w:rFonts w:ascii="Arial" w:hAnsi="Arial" w:cs="Arial"/>
          <w:b/>
          <w:sz w:val="22"/>
          <w:szCs w:val="22"/>
          <w:u w:val="single"/>
        </w:rPr>
        <w:t>de l</w:t>
      </w:r>
      <w:r w:rsidR="00923E72">
        <w:rPr>
          <w:rFonts w:ascii="Arial" w:hAnsi="Arial" w:cs="Arial"/>
          <w:b/>
          <w:sz w:val="22"/>
          <w:szCs w:val="22"/>
          <w:u w:val="single"/>
        </w:rPr>
        <w:t>’</w:t>
      </w:r>
      <w:r w:rsidRPr="00B43974">
        <w:rPr>
          <w:rFonts w:ascii="Arial" w:hAnsi="Arial" w:cs="Arial"/>
          <w:b/>
          <w:sz w:val="22"/>
          <w:szCs w:val="22"/>
          <w:u w:val="single"/>
        </w:rPr>
        <w:t>ordre du jour provisoire</w:t>
      </w:r>
      <w:r w:rsidRPr="008F09EC">
        <w:rPr>
          <w:rFonts w:ascii="Arial" w:hAnsi="Arial" w:cs="Arial"/>
          <w:b/>
          <w:sz w:val="22"/>
          <w:szCs w:val="22"/>
        </w:rPr>
        <w:t> </w:t>
      </w:r>
      <w:r w:rsidRPr="00B43974">
        <w:rPr>
          <w:rFonts w:ascii="Arial" w:hAnsi="Arial" w:cs="Arial"/>
          <w:b/>
          <w:sz w:val="22"/>
          <w:szCs w:val="22"/>
        </w:rPr>
        <w:t>:</w:t>
      </w:r>
    </w:p>
    <w:p w14:paraId="1DDA42F2" w14:textId="3E05CC34" w:rsidR="00B52FED" w:rsidRPr="00DB622F" w:rsidRDefault="00B52FED" w:rsidP="00B52FED">
      <w:pPr>
        <w:jc w:val="center"/>
        <w:rPr>
          <w:rFonts w:ascii="Arial" w:hAnsi="Arial" w:cs="Arial"/>
          <w:b/>
          <w:bCs/>
          <w:sz w:val="22"/>
          <w:szCs w:val="22"/>
        </w:rPr>
      </w:pPr>
      <w:r w:rsidRPr="00DB622F">
        <w:rPr>
          <w:rFonts w:ascii="Arial" w:hAnsi="Arial" w:cs="Arial"/>
          <w:b/>
          <w:bCs/>
          <w:sz w:val="22"/>
          <w:szCs w:val="22"/>
        </w:rPr>
        <w:t>Adoption du compte-rendu</w:t>
      </w:r>
    </w:p>
    <w:p w14:paraId="5946F390" w14:textId="2157809B" w:rsidR="00B52FED" w:rsidRPr="00DB622F" w:rsidRDefault="00B52FED" w:rsidP="00B52FED">
      <w:pPr>
        <w:spacing w:before="1200"/>
        <w:contextualSpacing/>
        <w:jc w:val="center"/>
        <w:rPr>
          <w:rFonts w:ascii="Arial" w:hAnsi="Arial" w:cs="Arial"/>
          <w:b/>
          <w:sz w:val="22"/>
          <w:szCs w:val="22"/>
          <w:u w:val="single"/>
        </w:rPr>
      </w:pPr>
      <w:r w:rsidRPr="00DB622F">
        <w:rPr>
          <w:rFonts w:ascii="Arial" w:hAnsi="Arial" w:cs="Arial"/>
          <w:b/>
          <w:bCs/>
          <w:sz w:val="22"/>
          <w:szCs w:val="22"/>
        </w:rPr>
        <w:t xml:space="preserve"> de la </w:t>
      </w:r>
      <w:r>
        <w:rPr>
          <w:rFonts w:ascii="Arial" w:hAnsi="Arial" w:cs="Arial"/>
          <w:b/>
          <w:bCs/>
          <w:sz w:val="22"/>
          <w:szCs w:val="22"/>
        </w:rPr>
        <w:t>dix</w:t>
      </w:r>
      <w:r w:rsidR="00805FB2">
        <w:rPr>
          <w:rFonts w:ascii="Arial" w:hAnsi="Arial" w:cs="Arial"/>
          <w:b/>
          <w:bCs/>
          <w:sz w:val="22"/>
          <w:szCs w:val="22"/>
        </w:rPr>
        <w:noBreakHyphen/>
      </w:r>
      <w:r>
        <w:rPr>
          <w:rFonts w:ascii="Arial" w:hAnsi="Arial" w:cs="Arial"/>
          <w:b/>
          <w:bCs/>
          <w:sz w:val="22"/>
          <w:szCs w:val="22"/>
        </w:rPr>
        <w:t>sept</w:t>
      </w:r>
      <w:r w:rsidRPr="00DB622F">
        <w:rPr>
          <w:rFonts w:ascii="Arial" w:hAnsi="Arial" w:cs="Arial"/>
          <w:b/>
          <w:bCs/>
          <w:sz w:val="22"/>
          <w:szCs w:val="22"/>
        </w:rPr>
        <w:t>ième session du Comité</w:t>
      </w:r>
    </w:p>
    <w:p w14:paraId="630B69F1" w14:textId="11FAB741" w:rsidR="008F09EC" w:rsidRPr="00B43974" w:rsidRDefault="008F09EC" w:rsidP="00114C01">
      <w:pPr>
        <w:pStyle w:val="NoSpacing"/>
        <w:tabs>
          <w:tab w:val="left" w:pos="4410"/>
          <w:tab w:val="center" w:pos="4819"/>
        </w:tabs>
        <w:spacing w:after="1200"/>
        <w:jc w:val="center"/>
        <w:rPr>
          <w:rFonts w:ascii="Arial" w:hAnsi="Arial" w:cs="Arial"/>
          <w:b/>
          <w:sz w:val="22"/>
          <w:szCs w:val="22"/>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086D98">
        <w:trPr>
          <w:jc w:val="center"/>
        </w:trPr>
        <w:tc>
          <w:tcPr>
            <w:tcW w:w="7825" w:type="dxa"/>
            <w:vAlign w:val="center"/>
          </w:tcPr>
          <w:p w14:paraId="17E62457" w14:textId="30BEDB9E" w:rsidR="008F09EC" w:rsidRPr="00B43974" w:rsidRDefault="008F09EC" w:rsidP="006E3034">
            <w:pPr>
              <w:pStyle w:val="Sansinterligne1"/>
              <w:spacing w:before="200" w:after="200"/>
            </w:pPr>
            <w:r w:rsidRPr="006E3034">
              <w:rPr>
                <w:rFonts w:asciiTheme="minorBidi" w:hAnsiTheme="minorBidi" w:cstheme="minorBidi"/>
                <w:b/>
                <w:sz w:val="22"/>
                <w:szCs w:val="22"/>
              </w:rPr>
              <w:t>Décision requise :</w:t>
            </w:r>
            <w:r w:rsidRPr="006E3034">
              <w:rPr>
                <w:rFonts w:asciiTheme="minorBidi" w:hAnsiTheme="minorBidi" w:cstheme="minorBidi"/>
                <w:sz w:val="22"/>
                <w:szCs w:val="22"/>
              </w:rPr>
              <w:t xml:space="preserve"> </w:t>
            </w:r>
            <w:r w:rsidRPr="006E3034">
              <w:rPr>
                <w:rFonts w:asciiTheme="minorBidi" w:hAnsiTheme="minorBidi" w:cstheme="minorBidi"/>
                <w:bCs/>
                <w:sz w:val="22"/>
                <w:szCs w:val="22"/>
              </w:rPr>
              <w:t>paragraphe</w:t>
            </w:r>
            <w:r w:rsidR="008F5CA2" w:rsidRPr="006E3034">
              <w:rPr>
                <w:rFonts w:asciiTheme="minorBidi" w:hAnsiTheme="minorBidi" w:cstheme="minorBidi"/>
                <w:bCs/>
                <w:sz w:val="22"/>
                <w:szCs w:val="22"/>
              </w:rPr>
              <w:t> </w:t>
            </w:r>
            <w:r w:rsidR="004D46BA">
              <w:rPr>
                <w:rFonts w:asciiTheme="minorBidi" w:hAnsiTheme="minorBidi" w:cstheme="minorBidi"/>
                <w:bCs/>
                <w:sz w:val="22"/>
                <w:szCs w:val="22"/>
              </w:rPr>
              <w:t>6</w:t>
            </w:r>
          </w:p>
        </w:tc>
      </w:tr>
    </w:tbl>
    <w:p w14:paraId="5072A522" w14:textId="77777777" w:rsidR="009B5302" w:rsidRDefault="00BC3420" w:rsidP="007E60C6">
      <w:pPr>
        <w:pStyle w:val="COMTitleDecision"/>
        <w:spacing w:before="360" w:after="240"/>
        <w:ind w:left="0"/>
      </w:pPr>
      <w:r w:rsidRPr="00022428">
        <w:br w:type="page"/>
      </w:r>
    </w:p>
    <w:p w14:paraId="6081A095" w14:textId="24FC1531" w:rsidR="00B52FED" w:rsidRPr="00C21230" w:rsidRDefault="00B52FED" w:rsidP="00C21230">
      <w:pPr>
        <w:pStyle w:val="Orateurengris"/>
        <w:numPr>
          <w:ilvl w:val="0"/>
          <w:numId w:val="18"/>
        </w:numPr>
        <w:tabs>
          <w:tab w:val="num" w:pos="567"/>
        </w:tabs>
        <w:spacing w:before="240"/>
        <w:ind w:left="567" w:hanging="567"/>
        <w:rPr>
          <w:color w:val="000000" w:themeColor="text1"/>
          <w:lang w:val="fr-FR" w:eastAsia="en-GB"/>
        </w:rPr>
      </w:pPr>
      <w:r w:rsidRPr="00C21230">
        <w:rPr>
          <w:color w:val="000000" w:themeColor="text1"/>
          <w:lang w:val="fr-FR" w:eastAsia="en-GB"/>
        </w:rPr>
        <w:lastRenderedPageBreak/>
        <w:t xml:space="preserve">Ce document </w:t>
      </w:r>
      <w:r w:rsidR="009330A7">
        <w:rPr>
          <w:color w:val="000000" w:themeColor="text1"/>
          <w:lang w:val="fr-FR" w:eastAsia="en-GB"/>
        </w:rPr>
        <w:t xml:space="preserve">présente </w:t>
      </w:r>
      <w:r w:rsidRPr="00C21230">
        <w:rPr>
          <w:color w:val="000000" w:themeColor="text1"/>
          <w:lang w:val="fr-FR" w:eastAsia="en-GB"/>
        </w:rPr>
        <w:t>le compte-rendu de la dix</w:t>
      </w:r>
      <w:r w:rsidR="00805FB2">
        <w:rPr>
          <w:color w:val="000000" w:themeColor="text1"/>
          <w:lang w:val="fr-FR" w:eastAsia="en-GB"/>
        </w:rPr>
        <w:noBreakHyphen/>
      </w:r>
      <w:r w:rsidRPr="00C21230">
        <w:rPr>
          <w:color w:val="000000" w:themeColor="text1"/>
          <w:lang w:val="fr-FR" w:eastAsia="en-GB"/>
        </w:rPr>
        <w:t>septième session du Comité intergouvernemental de sauvegarde du patrimoine culturel immatériel</w:t>
      </w:r>
      <w:r w:rsidR="004F368D">
        <w:rPr>
          <w:color w:val="000000" w:themeColor="text1"/>
          <w:lang w:val="fr-FR" w:eastAsia="en-GB"/>
        </w:rPr>
        <w:t>,</w:t>
      </w:r>
      <w:r w:rsidRPr="00C21230">
        <w:rPr>
          <w:color w:val="000000" w:themeColor="text1"/>
          <w:lang w:val="fr-FR" w:eastAsia="en-GB"/>
        </w:rPr>
        <w:t xml:space="preserve"> qui s</w:t>
      </w:r>
      <w:r w:rsidR="00923E72">
        <w:rPr>
          <w:color w:val="000000" w:themeColor="text1"/>
          <w:lang w:val="fr-FR" w:eastAsia="en-GB"/>
        </w:rPr>
        <w:t>’</w:t>
      </w:r>
      <w:r w:rsidRPr="00C21230">
        <w:rPr>
          <w:color w:val="000000" w:themeColor="text1"/>
          <w:lang w:val="fr-FR" w:eastAsia="en-GB"/>
        </w:rPr>
        <w:t xml:space="preserve">est tenue </w:t>
      </w:r>
      <w:r w:rsidR="00C21230" w:rsidRPr="00C21230">
        <w:rPr>
          <w:color w:val="000000" w:themeColor="text1"/>
          <w:lang w:val="fr-FR" w:eastAsia="en-GB"/>
        </w:rPr>
        <w:t xml:space="preserve">à </w:t>
      </w:r>
      <w:r w:rsidR="00C21230">
        <w:rPr>
          <w:color w:val="000000" w:themeColor="text1"/>
          <w:lang w:val="fr-FR" w:eastAsia="en-GB"/>
        </w:rPr>
        <w:t>Rabat,</w:t>
      </w:r>
      <w:r w:rsidR="00C21230" w:rsidRPr="00C21230">
        <w:rPr>
          <w:lang w:val="fr-FR"/>
        </w:rPr>
        <w:t xml:space="preserve"> </w:t>
      </w:r>
      <w:r w:rsidR="00C21230" w:rsidRPr="00C21230">
        <w:rPr>
          <w:color w:val="000000" w:themeColor="text1"/>
          <w:lang w:val="fr-FR" w:eastAsia="en-GB"/>
        </w:rPr>
        <w:t>Royaume du Maroc</w:t>
      </w:r>
      <w:r w:rsidR="00C21230">
        <w:rPr>
          <w:color w:val="000000" w:themeColor="text1"/>
          <w:lang w:val="fr-FR" w:eastAsia="en-GB"/>
        </w:rPr>
        <w:t>,</w:t>
      </w:r>
      <w:r w:rsidRPr="00C21230">
        <w:rPr>
          <w:color w:val="000000" w:themeColor="text1"/>
          <w:lang w:val="fr-FR" w:eastAsia="en-GB"/>
        </w:rPr>
        <w:t xml:space="preserve"> du 28</w:t>
      </w:r>
      <w:r w:rsidR="00805FB2">
        <w:rPr>
          <w:color w:val="000000" w:themeColor="text1"/>
          <w:lang w:val="fr-FR" w:eastAsia="en-GB"/>
        </w:rPr>
        <w:t> </w:t>
      </w:r>
      <w:r w:rsidRPr="00C21230">
        <w:rPr>
          <w:color w:val="000000" w:themeColor="text1"/>
          <w:lang w:val="fr-FR" w:eastAsia="en-GB"/>
        </w:rPr>
        <w:t>novembre au 3</w:t>
      </w:r>
      <w:r w:rsidR="00805FB2">
        <w:rPr>
          <w:color w:val="000000" w:themeColor="text1"/>
          <w:lang w:val="fr-FR" w:eastAsia="en-GB"/>
        </w:rPr>
        <w:t> </w:t>
      </w:r>
      <w:r w:rsidRPr="00C21230">
        <w:rPr>
          <w:color w:val="000000" w:themeColor="text1"/>
          <w:lang w:val="fr-FR" w:eastAsia="en-GB"/>
        </w:rPr>
        <w:t>décembre</w:t>
      </w:r>
      <w:r w:rsidR="00805FB2">
        <w:rPr>
          <w:color w:val="000000" w:themeColor="text1"/>
          <w:lang w:val="fr-FR" w:eastAsia="en-GB"/>
        </w:rPr>
        <w:t> </w:t>
      </w:r>
      <w:r w:rsidRPr="00C21230">
        <w:rPr>
          <w:color w:val="000000" w:themeColor="text1"/>
          <w:lang w:val="fr-FR" w:eastAsia="en-GB"/>
        </w:rPr>
        <w:t>2022.</w:t>
      </w:r>
    </w:p>
    <w:p w14:paraId="71D42144" w14:textId="0DBA93F4" w:rsidR="00C21230" w:rsidRPr="00C21230" w:rsidRDefault="002B5649" w:rsidP="00C21230">
      <w:pPr>
        <w:pStyle w:val="Orateurengris"/>
        <w:numPr>
          <w:ilvl w:val="0"/>
          <w:numId w:val="18"/>
        </w:numPr>
        <w:tabs>
          <w:tab w:val="num" w:pos="567"/>
        </w:tabs>
        <w:spacing w:before="240"/>
        <w:ind w:left="567" w:hanging="567"/>
        <w:rPr>
          <w:color w:val="000000" w:themeColor="text1"/>
          <w:lang w:val="fr-FR" w:eastAsia="en-GB"/>
        </w:rPr>
      </w:pPr>
      <w:r>
        <w:rPr>
          <w:color w:val="000000" w:themeColor="text1"/>
          <w:lang w:val="fr-FR" w:eastAsia="en-GB"/>
        </w:rPr>
        <w:t>Mil</w:t>
      </w:r>
      <w:r w:rsidR="00847D9F">
        <w:rPr>
          <w:color w:val="000000" w:themeColor="text1"/>
          <w:lang w:val="fr-FR" w:eastAsia="en-GB"/>
        </w:rPr>
        <w:t>le</w:t>
      </w:r>
      <w:r>
        <w:rPr>
          <w:color w:val="000000" w:themeColor="text1"/>
          <w:lang w:val="fr-FR" w:eastAsia="en-GB"/>
        </w:rPr>
        <w:t xml:space="preserve"> deux cents </w:t>
      </w:r>
      <w:r w:rsidR="00C21230" w:rsidRPr="00C21230">
        <w:rPr>
          <w:color w:val="000000" w:themeColor="text1"/>
          <w:lang w:val="fr-FR" w:eastAsia="en-GB"/>
        </w:rPr>
        <w:t xml:space="preserve">participants se sont enregistrés pour prendre part à la session, parmi lesquels </w:t>
      </w:r>
      <w:r w:rsidR="00C83277">
        <w:rPr>
          <w:color w:val="000000" w:themeColor="text1"/>
          <w:lang w:val="fr-FR" w:eastAsia="en-GB"/>
        </w:rPr>
        <w:t>vingt</w:t>
      </w:r>
      <w:r w:rsidR="00C83277">
        <w:rPr>
          <w:color w:val="000000" w:themeColor="text1"/>
          <w:lang w:val="fr-FR" w:eastAsia="en-GB"/>
        </w:rPr>
        <w:noBreakHyphen/>
        <w:t>quatre</w:t>
      </w:r>
      <w:r w:rsidR="00B147F2">
        <w:rPr>
          <w:color w:val="000000" w:themeColor="text1"/>
          <w:lang w:val="fr-FR" w:eastAsia="en-GB"/>
        </w:rPr>
        <w:t> </w:t>
      </w:r>
      <w:r w:rsidR="00C21230" w:rsidRPr="00C21230">
        <w:rPr>
          <w:color w:val="000000" w:themeColor="text1"/>
          <w:lang w:val="fr-FR" w:eastAsia="en-GB"/>
        </w:rPr>
        <w:t>États membres du Comité, 1</w:t>
      </w:r>
      <w:r w:rsidR="00C21230">
        <w:rPr>
          <w:color w:val="000000" w:themeColor="text1"/>
          <w:lang w:val="fr-FR" w:eastAsia="en-GB"/>
        </w:rPr>
        <w:t>05</w:t>
      </w:r>
      <w:r w:rsidR="00B147F2">
        <w:rPr>
          <w:color w:val="000000" w:themeColor="text1"/>
          <w:lang w:val="fr-FR" w:eastAsia="en-GB"/>
        </w:rPr>
        <w:t> </w:t>
      </w:r>
      <w:r w:rsidR="00C21230" w:rsidRPr="00C21230">
        <w:rPr>
          <w:color w:val="000000" w:themeColor="text1"/>
          <w:lang w:val="fr-FR" w:eastAsia="en-GB"/>
        </w:rPr>
        <w:t xml:space="preserve">États parties non membres du Comité, </w:t>
      </w:r>
      <w:r w:rsidR="00C83277">
        <w:rPr>
          <w:color w:val="000000" w:themeColor="text1"/>
          <w:lang w:val="fr-FR" w:eastAsia="en-GB"/>
        </w:rPr>
        <w:t>deux</w:t>
      </w:r>
      <w:r w:rsidR="00B147F2">
        <w:rPr>
          <w:color w:val="000000" w:themeColor="text1"/>
          <w:lang w:val="fr-FR" w:eastAsia="en-GB"/>
        </w:rPr>
        <w:t> </w:t>
      </w:r>
      <w:r w:rsidR="00C21230" w:rsidRPr="00C21230">
        <w:rPr>
          <w:color w:val="000000" w:themeColor="text1"/>
          <w:lang w:val="fr-FR" w:eastAsia="en-GB"/>
        </w:rPr>
        <w:t xml:space="preserve">États non parties à la Convention, </w:t>
      </w:r>
      <w:r w:rsidR="00C83277">
        <w:rPr>
          <w:color w:val="000000" w:themeColor="text1"/>
          <w:lang w:val="fr-FR" w:eastAsia="en-GB"/>
        </w:rPr>
        <w:t>une </w:t>
      </w:r>
      <w:r w:rsidR="00C21230" w:rsidRPr="00C21230">
        <w:rPr>
          <w:color w:val="000000" w:themeColor="text1"/>
          <w:lang w:val="fr-FR" w:eastAsia="en-GB"/>
        </w:rPr>
        <w:t>organisation d</w:t>
      </w:r>
      <w:r>
        <w:rPr>
          <w:color w:val="000000" w:themeColor="text1"/>
          <w:lang w:val="fr-FR" w:eastAsia="en-GB"/>
        </w:rPr>
        <w:t xml:space="preserve">u système des </w:t>
      </w:r>
      <w:r w:rsidR="00C21230" w:rsidRPr="00C21230">
        <w:rPr>
          <w:color w:val="000000" w:themeColor="text1"/>
          <w:lang w:val="fr-FR" w:eastAsia="en-GB"/>
        </w:rPr>
        <w:t>Nations</w:t>
      </w:r>
      <w:r w:rsidR="00805FB2">
        <w:rPr>
          <w:color w:val="000000" w:themeColor="text1"/>
          <w:lang w:val="fr-FR" w:eastAsia="en-GB"/>
        </w:rPr>
        <w:t> </w:t>
      </w:r>
      <w:r w:rsidR="00C21230" w:rsidRPr="00C21230">
        <w:rPr>
          <w:color w:val="000000" w:themeColor="text1"/>
          <w:lang w:val="fr-FR" w:eastAsia="en-GB"/>
        </w:rPr>
        <w:t>Unies</w:t>
      </w:r>
      <w:r>
        <w:rPr>
          <w:color w:val="000000" w:themeColor="text1"/>
          <w:lang w:val="fr-FR" w:eastAsia="en-GB"/>
        </w:rPr>
        <w:t xml:space="preserve"> (ONU)</w:t>
      </w:r>
      <w:r w:rsidR="00C21230" w:rsidRPr="00C21230">
        <w:rPr>
          <w:color w:val="000000" w:themeColor="text1"/>
          <w:lang w:val="fr-FR" w:eastAsia="en-GB"/>
        </w:rPr>
        <w:t xml:space="preserve">, </w:t>
      </w:r>
      <w:r w:rsidR="00C83277">
        <w:rPr>
          <w:color w:val="000000" w:themeColor="text1"/>
          <w:lang w:val="fr-FR" w:eastAsia="en-GB"/>
        </w:rPr>
        <w:t>trois</w:t>
      </w:r>
      <w:r w:rsidR="00B147F2">
        <w:rPr>
          <w:color w:val="000000" w:themeColor="text1"/>
          <w:lang w:val="fr-FR" w:eastAsia="en-GB"/>
        </w:rPr>
        <w:t> </w:t>
      </w:r>
      <w:r w:rsidR="00C21230" w:rsidRPr="00C21230">
        <w:rPr>
          <w:color w:val="000000" w:themeColor="text1"/>
          <w:lang w:val="fr-FR" w:eastAsia="en-GB"/>
        </w:rPr>
        <w:t>organisations intergouvernementales (n</w:t>
      </w:r>
      <w:r w:rsidR="00923E72">
        <w:rPr>
          <w:color w:val="000000" w:themeColor="text1"/>
          <w:lang w:val="fr-FR" w:eastAsia="en-GB"/>
        </w:rPr>
        <w:t>’</w:t>
      </w:r>
      <w:r w:rsidR="00C21230" w:rsidRPr="00C21230">
        <w:rPr>
          <w:color w:val="000000" w:themeColor="text1"/>
          <w:lang w:val="fr-FR" w:eastAsia="en-GB"/>
        </w:rPr>
        <w:t xml:space="preserve">appartenant pas </w:t>
      </w:r>
      <w:r>
        <w:rPr>
          <w:color w:val="000000" w:themeColor="text1"/>
          <w:lang w:val="fr-FR" w:eastAsia="en-GB"/>
        </w:rPr>
        <w:t>à l’ONU</w:t>
      </w:r>
      <w:r w:rsidR="00C21230" w:rsidRPr="00C21230">
        <w:rPr>
          <w:color w:val="000000" w:themeColor="text1"/>
          <w:lang w:val="fr-FR" w:eastAsia="en-GB"/>
        </w:rPr>
        <w:t xml:space="preserve">), </w:t>
      </w:r>
      <w:r w:rsidR="00F96E65">
        <w:rPr>
          <w:color w:val="000000" w:themeColor="text1"/>
          <w:lang w:val="fr-FR" w:eastAsia="en-GB"/>
        </w:rPr>
        <w:t>111</w:t>
      </w:r>
      <w:r w:rsidR="00B147F2">
        <w:rPr>
          <w:color w:val="000000" w:themeColor="text1"/>
          <w:lang w:val="fr-FR" w:eastAsia="en-GB"/>
        </w:rPr>
        <w:t> </w:t>
      </w:r>
      <w:r w:rsidR="00F96E65" w:rsidRPr="00C21230">
        <w:rPr>
          <w:color w:val="000000" w:themeColor="text1"/>
          <w:lang w:val="fr-FR" w:eastAsia="en-GB"/>
        </w:rPr>
        <w:t>organisations non gouvernementales accréditées</w:t>
      </w:r>
      <w:r w:rsidR="00F96E65">
        <w:rPr>
          <w:color w:val="000000" w:themeColor="text1"/>
          <w:lang w:val="fr-FR" w:eastAsia="en-GB"/>
        </w:rPr>
        <w:t>,</w:t>
      </w:r>
      <w:r w:rsidR="00F96E65" w:rsidRPr="00C21230">
        <w:rPr>
          <w:color w:val="000000" w:themeColor="text1"/>
          <w:lang w:val="fr-FR" w:eastAsia="en-GB"/>
        </w:rPr>
        <w:t xml:space="preserve"> </w:t>
      </w:r>
      <w:r w:rsidR="00C83277">
        <w:rPr>
          <w:color w:val="000000" w:themeColor="text1"/>
          <w:lang w:val="fr-FR" w:eastAsia="en-GB"/>
        </w:rPr>
        <w:t>cinq</w:t>
      </w:r>
      <w:r w:rsidR="00B147F2">
        <w:rPr>
          <w:color w:val="000000" w:themeColor="text1"/>
          <w:lang w:val="fr-FR" w:eastAsia="en-GB"/>
        </w:rPr>
        <w:t> </w:t>
      </w:r>
      <w:r w:rsidR="00C21230" w:rsidRPr="00C21230">
        <w:rPr>
          <w:color w:val="000000" w:themeColor="text1"/>
          <w:lang w:val="fr-FR" w:eastAsia="en-GB"/>
        </w:rPr>
        <w:t>centres de catégorie</w:t>
      </w:r>
      <w:r w:rsidR="00805FB2">
        <w:rPr>
          <w:color w:val="000000" w:themeColor="text1"/>
          <w:lang w:val="fr-FR" w:eastAsia="en-GB"/>
        </w:rPr>
        <w:t> </w:t>
      </w:r>
      <w:r w:rsidR="00C21230" w:rsidRPr="00C21230">
        <w:rPr>
          <w:color w:val="000000" w:themeColor="text1"/>
          <w:lang w:val="fr-FR" w:eastAsia="en-GB"/>
        </w:rPr>
        <w:t>2 sous les auspices de l</w:t>
      </w:r>
      <w:r w:rsidR="00923E72">
        <w:rPr>
          <w:color w:val="000000" w:themeColor="text1"/>
          <w:lang w:val="fr-FR" w:eastAsia="en-GB"/>
        </w:rPr>
        <w:t>’</w:t>
      </w:r>
      <w:r w:rsidR="00C21230" w:rsidRPr="00C21230">
        <w:rPr>
          <w:color w:val="000000" w:themeColor="text1"/>
          <w:lang w:val="fr-FR" w:eastAsia="en-GB"/>
        </w:rPr>
        <w:t xml:space="preserve">UNESCO et </w:t>
      </w:r>
      <w:r w:rsidR="00C83277">
        <w:rPr>
          <w:color w:val="000000" w:themeColor="text1"/>
          <w:lang w:val="fr-FR" w:eastAsia="en-GB"/>
        </w:rPr>
        <w:t>trente</w:t>
      </w:r>
      <w:r w:rsidR="00C83277">
        <w:rPr>
          <w:color w:val="000000" w:themeColor="text1"/>
          <w:lang w:val="fr-FR" w:eastAsia="en-GB"/>
        </w:rPr>
        <w:noBreakHyphen/>
        <w:t>quatre</w:t>
      </w:r>
      <w:r w:rsidR="009330A7">
        <w:rPr>
          <w:color w:val="000000" w:themeColor="text1"/>
          <w:lang w:val="fr-FR" w:eastAsia="en-GB"/>
        </w:rPr>
        <w:t> </w:t>
      </w:r>
      <w:r w:rsidR="00C21230" w:rsidRPr="00C21230">
        <w:rPr>
          <w:color w:val="000000" w:themeColor="text1"/>
          <w:lang w:val="fr-FR" w:eastAsia="en-GB"/>
        </w:rPr>
        <w:t>organes de presse/médias.</w:t>
      </w:r>
    </w:p>
    <w:p w14:paraId="4C6C0EB9" w14:textId="3E990DC0" w:rsidR="00F96E65" w:rsidRPr="00F96E65" w:rsidRDefault="00F96E65" w:rsidP="00F96E65">
      <w:pPr>
        <w:pStyle w:val="Orateurengris"/>
        <w:numPr>
          <w:ilvl w:val="0"/>
          <w:numId w:val="18"/>
        </w:numPr>
        <w:tabs>
          <w:tab w:val="num" w:pos="567"/>
        </w:tabs>
        <w:spacing w:before="240"/>
        <w:ind w:left="567" w:hanging="567"/>
        <w:rPr>
          <w:color w:val="000000" w:themeColor="text1"/>
          <w:lang w:val="fr-FR" w:eastAsia="en-GB"/>
        </w:rPr>
      </w:pPr>
      <w:r w:rsidRPr="00F96E65">
        <w:rPr>
          <w:color w:val="000000" w:themeColor="text1"/>
          <w:lang w:val="fr-FR" w:eastAsia="en-GB"/>
        </w:rPr>
        <w:t>La session s</w:t>
      </w:r>
      <w:r w:rsidR="00923E72">
        <w:rPr>
          <w:color w:val="000000" w:themeColor="text1"/>
          <w:lang w:val="fr-FR" w:eastAsia="en-GB"/>
        </w:rPr>
        <w:t>’</w:t>
      </w:r>
      <w:r w:rsidRPr="00F96E65">
        <w:rPr>
          <w:color w:val="000000" w:themeColor="text1"/>
          <w:lang w:val="fr-FR" w:eastAsia="en-GB"/>
        </w:rPr>
        <w:t xml:space="preserve">est tenue en </w:t>
      </w:r>
      <w:r w:rsidR="00847D9F">
        <w:rPr>
          <w:color w:val="000000" w:themeColor="text1"/>
          <w:lang w:val="fr-FR" w:eastAsia="en-GB"/>
        </w:rPr>
        <w:t>trois</w:t>
      </w:r>
      <w:r w:rsidR="002B5649" w:rsidRPr="00F96E65">
        <w:rPr>
          <w:color w:val="000000" w:themeColor="text1"/>
          <w:lang w:val="fr-FR" w:eastAsia="en-GB"/>
        </w:rPr>
        <w:t xml:space="preserve"> </w:t>
      </w:r>
      <w:r w:rsidRPr="00F96E65">
        <w:rPr>
          <w:color w:val="000000" w:themeColor="text1"/>
          <w:lang w:val="fr-FR" w:eastAsia="en-GB"/>
        </w:rPr>
        <w:t>langues : anglais, français (les deux langues de travail du Comité)</w:t>
      </w:r>
      <w:r w:rsidR="002B5649">
        <w:rPr>
          <w:color w:val="000000" w:themeColor="text1"/>
          <w:lang w:val="fr-FR" w:eastAsia="en-GB"/>
        </w:rPr>
        <w:t xml:space="preserve">, ainsi qu’en </w:t>
      </w:r>
      <w:r w:rsidRPr="00F96E65">
        <w:rPr>
          <w:color w:val="000000" w:themeColor="text1"/>
          <w:lang w:val="fr-FR" w:eastAsia="en-GB"/>
        </w:rPr>
        <w:t xml:space="preserve">espagnol. </w:t>
      </w:r>
    </w:p>
    <w:p w14:paraId="687DB88E" w14:textId="7E17E0A1" w:rsidR="00F96E65" w:rsidRDefault="00F96E65" w:rsidP="00F96E65">
      <w:pPr>
        <w:pStyle w:val="Orateurengris"/>
        <w:numPr>
          <w:ilvl w:val="0"/>
          <w:numId w:val="18"/>
        </w:numPr>
        <w:tabs>
          <w:tab w:val="num" w:pos="567"/>
        </w:tabs>
        <w:spacing w:before="240"/>
        <w:ind w:left="567" w:hanging="567"/>
        <w:rPr>
          <w:color w:val="000000" w:themeColor="text1"/>
          <w:lang w:val="fr-FR" w:eastAsia="en-GB"/>
        </w:rPr>
      </w:pPr>
      <w:r>
        <w:rPr>
          <w:color w:val="000000" w:themeColor="text1"/>
          <w:lang w:val="fr-FR" w:eastAsia="en-GB"/>
        </w:rPr>
        <w:t>L</w:t>
      </w:r>
      <w:r w:rsidR="00923E72">
        <w:rPr>
          <w:color w:val="000000" w:themeColor="text1"/>
          <w:lang w:val="fr-FR" w:eastAsia="en-GB"/>
        </w:rPr>
        <w:t>’</w:t>
      </w:r>
      <w:r>
        <w:rPr>
          <w:color w:val="000000" w:themeColor="text1"/>
          <w:lang w:val="fr-FR" w:eastAsia="en-GB"/>
        </w:rPr>
        <w:t xml:space="preserve">Entité du </w:t>
      </w:r>
      <w:r w:rsidRPr="00AE3D98">
        <w:rPr>
          <w:color w:val="000000" w:themeColor="text1"/>
          <w:lang w:val="fr-FR" w:eastAsia="en-GB"/>
        </w:rPr>
        <w:t>patrimoine</w:t>
      </w:r>
      <w:r>
        <w:rPr>
          <w:color w:val="000000" w:themeColor="text1"/>
          <w:lang w:val="fr-FR" w:eastAsia="en-GB"/>
        </w:rPr>
        <w:t xml:space="preserve"> vivant de l</w:t>
      </w:r>
      <w:r w:rsidR="00923E72">
        <w:rPr>
          <w:color w:val="000000" w:themeColor="text1"/>
          <w:lang w:val="fr-FR" w:eastAsia="en-GB"/>
        </w:rPr>
        <w:t>’</w:t>
      </w:r>
      <w:r>
        <w:rPr>
          <w:color w:val="000000" w:themeColor="text1"/>
          <w:lang w:val="fr-FR" w:eastAsia="en-GB"/>
        </w:rPr>
        <w:t xml:space="preserve">UNESCO a assuré les fonctions de secrétariat pour la réunion. </w:t>
      </w:r>
    </w:p>
    <w:p w14:paraId="3A1E0843" w14:textId="7664B6A9" w:rsidR="00F96E65" w:rsidRPr="00ED1B99" w:rsidRDefault="00F96E65" w:rsidP="00F96E65">
      <w:pPr>
        <w:pStyle w:val="Orateurengris"/>
        <w:numPr>
          <w:ilvl w:val="0"/>
          <w:numId w:val="18"/>
        </w:numPr>
        <w:tabs>
          <w:tab w:val="num" w:pos="567"/>
        </w:tabs>
        <w:spacing w:before="240"/>
        <w:ind w:left="567" w:hanging="567"/>
        <w:rPr>
          <w:color w:val="000000" w:themeColor="text1"/>
          <w:lang w:val="fr-FR" w:eastAsia="en-GB"/>
        </w:rPr>
      </w:pPr>
      <w:r>
        <w:rPr>
          <w:color w:val="000000" w:themeColor="text1"/>
          <w:lang w:val="fr-FR" w:eastAsia="en-GB"/>
        </w:rPr>
        <w:t>Les membres élus du Bureau de la</w:t>
      </w:r>
      <w:r w:rsidR="00FE4A62">
        <w:rPr>
          <w:color w:val="000000" w:themeColor="text1"/>
          <w:lang w:val="fr-FR" w:eastAsia="en-GB"/>
        </w:rPr>
        <w:t xml:space="preserve"> </w:t>
      </w:r>
      <w:r w:rsidR="00FE4A62" w:rsidRPr="00702497">
        <w:rPr>
          <w:lang w:val="fr-FR" w:eastAsia="en-GB"/>
        </w:rPr>
        <w:t>dix</w:t>
      </w:r>
      <w:r w:rsidR="00FE4A62" w:rsidRPr="00702497">
        <w:rPr>
          <w:lang w:val="fr-FR" w:eastAsia="en-GB"/>
        </w:rPr>
        <w:noBreakHyphen/>
        <w:t>septième</w:t>
      </w:r>
      <w:r w:rsidRPr="00702497">
        <w:rPr>
          <w:lang w:val="fr-FR" w:eastAsia="en-GB"/>
        </w:rPr>
        <w:t xml:space="preserve"> </w:t>
      </w:r>
      <w:r>
        <w:rPr>
          <w:color w:val="000000" w:themeColor="text1"/>
          <w:lang w:val="fr-FR" w:eastAsia="en-GB"/>
        </w:rPr>
        <w:t>session du Comité étaient</w:t>
      </w:r>
      <w:r w:rsidR="009330A7">
        <w:rPr>
          <w:color w:val="000000" w:themeColor="text1"/>
          <w:lang w:val="fr-FR" w:eastAsia="en-GB"/>
        </w:rPr>
        <w:t> </w:t>
      </w:r>
      <w:r w:rsidRPr="00ED1B99">
        <w:rPr>
          <w:color w:val="000000" w:themeColor="text1"/>
          <w:lang w:val="fr-FR" w:eastAsia="en-GB"/>
        </w:rPr>
        <w:t>:</w:t>
      </w:r>
    </w:p>
    <w:p w14:paraId="2D2FC2AA" w14:textId="342E4534" w:rsidR="00F96E65" w:rsidRPr="00F96E65" w:rsidRDefault="00F96E65" w:rsidP="00F96E65">
      <w:pPr>
        <w:pStyle w:val="alina"/>
        <w:tabs>
          <w:tab w:val="clear" w:pos="567"/>
          <w:tab w:val="left" w:pos="709"/>
          <w:tab w:val="left" w:pos="1418"/>
          <w:tab w:val="left" w:pos="2126"/>
          <w:tab w:val="left" w:pos="2835"/>
          <w:tab w:val="left" w:pos="3544"/>
        </w:tabs>
        <w:spacing w:after="0"/>
        <w:ind w:left="0"/>
        <w:rPr>
          <w:color w:val="000000" w:themeColor="text1"/>
          <w:lang w:val="fr-FR"/>
        </w:rPr>
      </w:pPr>
      <w:r w:rsidRPr="00ED1B99">
        <w:rPr>
          <w:color w:val="000000" w:themeColor="text1"/>
          <w:lang w:val="fr-FR"/>
        </w:rPr>
        <w:tab/>
      </w:r>
      <w:r w:rsidRPr="00ED1B99">
        <w:rPr>
          <w:color w:val="000000" w:themeColor="text1"/>
          <w:lang w:val="fr-FR"/>
        </w:rPr>
        <w:tab/>
      </w:r>
      <w:r w:rsidRPr="00F96E65">
        <w:rPr>
          <w:color w:val="000000" w:themeColor="text1"/>
          <w:lang w:val="fr-FR"/>
        </w:rPr>
        <w:t>Président</w:t>
      </w:r>
      <w:r w:rsidR="00C83277">
        <w:rPr>
          <w:color w:val="000000" w:themeColor="text1"/>
          <w:lang w:val="fr-FR"/>
        </w:rPr>
        <w:t> </w:t>
      </w:r>
      <w:r w:rsidRPr="00F96E65">
        <w:rPr>
          <w:color w:val="000000" w:themeColor="text1"/>
          <w:lang w:val="fr-FR"/>
        </w:rPr>
        <w:t xml:space="preserve">: </w:t>
      </w:r>
      <w:r w:rsidRPr="00F96E65">
        <w:rPr>
          <w:color w:val="000000" w:themeColor="text1"/>
          <w:lang w:val="fr-FR"/>
        </w:rPr>
        <w:tab/>
      </w:r>
      <w:r w:rsidRPr="00F96E65">
        <w:rPr>
          <w:color w:val="000000" w:themeColor="text1"/>
          <w:lang w:val="fr-FR"/>
        </w:rPr>
        <w:tab/>
      </w:r>
      <w:r>
        <w:rPr>
          <w:color w:val="000000" w:themeColor="text1"/>
          <w:lang w:val="fr-FR"/>
        </w:rPr>
        <w:t>S</w:t>
      </w:r>
      <w:r w:rsidRPr="00F96E65">
        <w:rPr>
          <w:color w:val="000000" w:themeColor="text1"/>
          <w:lang w:val="fr-FR"/>
        </w:rPr>
        <w:t>.</w:t>
      </w:r>
      <w:r w:rsidR="001C57D0">
        <w:rPr>
          <w:color w:val="000000" w:themeColor="text1"/>
          <w:lang w:val="fr-FR"/>
        </w:rPr>
        <w:t> </w:t>
      </w:r>
      <w:r w:rsidRPr="00F96E65">
        <w:rPr>
          <w:color w:val="000000" w:themeColor="text1"/>
          <w:lang w:val="fr-FR"/>
        </w:rPr>
        <w:t>E</w:t>
      </w:r>
      <w:r w:rsidR="00F846ED">
        <w:rPr>
          <w:color w:val="000000" w:themeColor="text1"/>
          <w:lang w:val="fr-FR"/>
        </w:rPr>
        <w:t xml:space="preserve">xc. </w:t>
      </w:r>
      <w:r w:rsidRPr="00F96E65">
        <w:rPr>
          <w:color w:val="000000" w:themeColor="text1"/>
          <w:lang w:val="fr-FR"/>
        </w:rPr>
        <w:t>M.</w:t>
      </w:r>
      <w:r w:rsidR="00B147F2">
        <w:rPr>
          <w:color w:val="000000" w:themeColor="text1"/>
          <w:lang w:val="fr-FR"/>
        </w:rPr>
        <w:t> </w:t>
      </w:r>
      <w:r w:rsidRPr="00F96E65">
        <w:rPr>
          <w:color w:val="000000" w:themeColor="text1"/>
          <w:lang w:val="fr-FR"/>
        </w:rPr>
        <w:t>Samir Addahre (M</w:t>
      </w:r>
      <w:r>
        <w:rPr>
          <w:color w:val="000000" w:themeColor="text1"/>
          <w:lang w:val="fr-FR"/>
        </w:rPr>
        <w:t>aroc</w:t>
      </w:r>
      <w:r w:rsidRPr="00F96E65">
        <w:rPr>
          <w:color w:val="000000" w:themeColor="text1"/>
          <w:lang w:val="fr-FR"/>
        </w:rPr>
        <w:t>)</w:t>
      </w:r>
    </w:p>
    <w:p w14:paraId="1C4BC2CF" w14:textId="6CD1365F" w:rsidR="00F96E65" w:rsidRPr="00F96E65" w:rsidRDefault="00F96E65" w:rsidP="00F96E65">
      <w:pPr>
        <w:pStyle w:val="alina"/>
        <w:tabs>
          <w:tab w:val="clear" w:pos="567"/>
          <w:tab w:val="left" w:pos="709"/>
          <w:tab w:val="left" w:pos="1418"/>
          <w:tab w:val="left" w:pos="2126"/>
          <w:tab w:val="left" w:pos="2835"/>
          <w:tab w:val="left" w:pos="3544"/>
        </w:tabs>
        <w:spacing w:after="0"/>
        <w:ind w:left="3540" w:hanging="3540"/>
        <w:rPr>
          <w:color w:val="000000" w:themeColor="text1"/>
          <w:lang w:val="fr-FR"/>
        </w:rPr>
      </w:pPr>
      <w:r w:rsidRPr="00F96E65">
        <w:rPr>
          <w:color w:val="000000" w:themeColor="text1"/>
          <w:lang w:val="fr-FR"/>
        </w:rPr>
        <w:tab/>
      </w:r>
      <w:r w:rsidRPr="00F96E65">
        <w:rPr>
          <w:color w:val="000000" w:themeColor="text1"/>
          <w:lang w:val="fr-FR"/>
        </w:rPr>
        <w:tab/>
        <w:t>Vice-Président</w:t>
      </w:r>
      <w:r w:rsidR="00B147F2">
        <w:rPr>
          <w:color w:val="000000" w:themeColor="text1"/>
          <w:lang w:val="fr-FR"/>
        </w:rPr>
        <w:t>(</w:t>
      </w:r>
      <w:r w:rsidRPr="00F96E65">
        <w:rPr>
          <w:color w:val="000000" w:themeColor="text1"/>
          <w:lang w:val="fr-FR"/>
        </w:rPr>
        <w:t>e</w:t>
      </w:r>
      <w:r w:rsidR="00B147F2">
        <w:rPr>
          <w:color w:val="000000" w:themeColor="text1"/>
          <w:lang w:val="fr-FR"/>
        </w:rPr>
        <w:t>)</w:t>
      </w:r>
      <w:r w:rsidRPr="00F96E65">
        <w:rPr>
          <w:color w:val="000000" w:themeColor="text1"/>
          <w:lang w:val="fr-FR"/>
        </w:rPr>
        <w:t>s</w:t>
      </w:r>
      <w:r w:rsidR="00C83277">
        <w:rPr>
          <w:color w:val="000000" w:themeColor="text1"/>
          <w:lang w:val="fr-FR"/>
        </w:rPr>
        <w:t> </w:t>
      </w:r>
      <w:r w:rsidRPr="00F96E65">
        <w:rPr>
          <w:color w:val="000000" w:themeColor="text1"/>
          <w:lang w:val="fr-FR"/>
        </w:rPr>
        <w:t xml:space="preserve">: </w:t>
      </w:r>
      <w:r w:rsidRPr="00F96E65">
        <w:rPr>
          <w:color w:val="000000" w:themeColor="text1"/>
          <w:lang w:val="fr-FR"/>
        </w:rPr>
        <w:tab/>
        <w:t>Suisse, Tchéquie, Panama, République de Corée et Botswana</w:t>
      </w:r>
    </w:p>
    <w:p w14:paraId="217D4AE1" w14:textId="2B256080" w:rsidR="00F96E65" w:rsidRDefault="00F96E65" w:rsidP="00F96E65">
      <w:pPr>
        <w:pStyle w:val="alina"/>
        <w:tabs>
          <w:tab w:val="clear" w:pos="567"/>
          <w:tab w:val="left" w:pos="709"/>
          <w:tab w:val="left" w:pos="1418"/>
          <w:tab w:val="left" w:pos="2126"/>
          <w:tab w:val="left" w:pos="2835"/>
          <w:tab w:val="left" w:pos="3544"/>
        </w:tabs>
        <w:spacing w:after="120"/>
        <w:ind w:left="2126" w:hanging="850"/>
        <w:rPr>
          <w:color w:val="000000" w:themeColor="text1"/>
          <w:lang w:val="fr-FR"/>
        </w:rPr>
      </w:pPr>
      <w:r w:rsidRPr="00F96E65">
        <w:rPr>
          <w:color w:val="000000" w:themeColor="text1"/>
          <w:lang w:val="fr-FR"/>
        </w:rPr>
        <w:tab/>
      </w:r>
      <w:r w:rsidRPr="00ED1B99">
        <w:rPr>
          <w:color w:val="000000" w:themeColor="text1"/>
          <w:lang w:val="fr-FR"/>
        </w:rPr>
        <w:t>Rapporteur</w:t>
      </w:r>
      <w:r w:rsidR="00C83277">
        <w:rPr>
          <w:color w:val="000000" w:themeColor="text1"/>
          <w:lang w:val="fr-FR"/>
        </w:rPr>
        <w:t> </w:t>
      </w:r>
      <w:r w:rsidRPr="00ED1B99">
        <w:rPr>
          <w:color w:val="000000" w:themeColor="text1"/>
          <w:lang w:val="fr-FR"/>
        </w:rPr>
        <w:t xml:space="preserve">: </w:t>
      </w:r>
      <w:r w:rsidRPr="00ED1B99">
        <w:rPr>
          <w:color w:val="000000" w:themeColor="text1"/>
          <w:lang w:val="fr-FR"/>
        </w:rPr>
        <w:tab/>
      </w:r>
      <w:r w:rsidRPr="00ED1B99">
        <w:rPr>
          <w:color w:val="000000" w:themeColor="text1"/>
          <w:lang w:val="fr-FR"/>
        </w:rPr>
        <w:tab/>
      </w:r>
      <w:r w:rsidRPr="00F96E65">
        <w:rPr>
          <w:color w:val="000000" w:themeColor="text1"/>
          <w:lang w:val="fr-FR"/>
        </w:rPr>
        <w:t>M.</w:t>
      </w:r>
      <w:r w:rsidR="00C83277">
        <w:rPr>
          <w:color w:val="000000" w:themeColor="text1"/>
          <w:lang w:val="fr-FR"/>
        </w:rPr>
        <w:t> </w:t>
      </w:r>
      <w:r w:rsidRPr="00F96E65">
        <w:rPr>
          <w:color w:val="000000" w:themeColor="text1"/>
          <w:lang w:val="fr-FR"/>
        </w:rPr>
        <w:t>Ramiro Maurice Silva Rivera (Pérou)</w:t>
      </w:r>
    </w:p>
    <w:p w14:paraId="2EB2F9F8" w14:textId="4A7C38F2" w:rsidR="00A15F9A" w:rsidRPr="00ED1B99" w:rsidRDefault="00A15F9A" w:rsidP="00A15F9A">
      <w:pPr>
        <w:pStyle w:val="Orateurengris"/>
        <w:numPr>
          <w:ilvl w:val="0"/>
          <w:numId w:val="18"/>
        </w:numPr>
        <w:tabs>
          <w:tab w:val="num" w:pos="567"/>
        </w:tabs>
        <w:spacing w:before="240"/>
        <w:ind w:left="567" w:hanging="567"/>
        <w:rPr>
          <w:lang w:val="fr-FR"/>
        </w:rPr>
      </w:pPr>
      <w:r>
        <w:rPr>
          <w:lang w:val="fr-FR"/>
        </w:rPr>
        <w:t xml:space="preserve">Le Comité souhaitera </w:t>
      </w:r>
      <w:r w:rsidRPr="00AE3D98">
        <w:rPr>
          <w:lang w:val="fr-FR"/>
        </w:rPr>
        <w:t>peut-être</w:t>
      </w:r>
      <w:r>
        <w:rPr>
          <w:lang w:val="fr-FR"/>
        </w:rPr>
        <w:t xml:space="preserve"> adopter la décision suivante</w:t>
      </w:r>
      <w:r w:rsidR="00C83277">
        <w:rPr>
          <w:lang w:val="fr-FR"/>
        </w:rPr>
        <w:t> </w:t>
      </w:r>
      <w:r w:rsidRPr="00ED1B99">
        <w:rPr>
          <w:lang w:val="fr-FR"/>
        </w:rPr>
        <w:t>:</w:t>
      </w:r>
    </w:p>
    <w:p w14:paraId="232C7497" w14:textId="10C063E3" w:rsidR="00A15F9A" w:rsidRPr="00ED1B99" w:rsidRDefault="00A15F9A" w:rsidP="00923E72">
      <w:pPr>
        <w:pStyle w:val="BODYTEXT"/>
        <w:keepNext/>
        <w:numPr>
          <w:ilvl w:val="0"/>
          <w:numId w:val="0"/>
        </w:numPr>
        <w:tabs>
          <w:tab w:val="clear" w:pos="709"/>
          <w:tab w:val="clear" w:pos="1418"/>
        </w:tabs>
        <w:spacing w:before="360"/>
        <w:ind w:left="567"/>
        <w:rPr>
          <w:b/>
          <w:lang w:val="fr-FR"/>
        </w:rPr>
      </w:pPr>
      <w:r>
        <w:rPr>
          <w:b/>
          <w:lang w:val="fr-FR"/>
        </w:rPr>
        <w:t>PROJET DE DÉCISION</w:t>
      </w:r>
      <w:r w:rsidRPr="00ED1B99">
        <w:rPr>
          <w:b/>
          <w:lang w:val="fr-FR"/>
        </w:rPr>
        <w:t xml:space="preserve"> 1</w:t>
      </w:r>
      <w:r>
        <w:rPr>
          <w:b/>
          <w:lang w:val="fr-FR"/>
        </w:rPr>
        <w:t>8</w:t>
      </w:r>
      <w:r w:rsidRPr="00ED1B99">
        <w:rPr>
          <w:b/>
          <w:lang w:val="fr-FR"/>
        </w:rPr>
        <w:t xml:space="preserve">.COM </w:t>
      </w:r>
      <w:r w:rsidR="00702497" w:rsidRPr="00702497">
        <w:rPr>
          <w:b/>
          <w:lang w:val="fr-FR"/>
        </w:rPr>
        <w:t>4</w:t>
      </w:r>
    </w:p>
    <w:p w14:paraId="7B8181FE" w14:textId="77777777" w:rsidR="00A15F9A" w:rsidRPr="00ED1B99" w:rsidRDefault="00A15F9A" w:rsidP="006E3034">
      <w:pPr>
        <w:pStyle w:val="BODYTEXT"/>
        <w:keepNext/>
        <w:numPr>
          <w:ilvl w:val="0"/>
          <w:numId w:val="0"/>
        </w:numPr>
        <w:tabs>
          <w:tab w:val="clear" w:pos="709"/>
          <w:tab w:val="clear" w:pos="1418"/>
        </w:tabs>
        <w:spacing w:before="0"/>
        <w:ind w:left="567"/>
        <w:rPr>
          <w:lang w:val="fr-FR"/>
        </w:rPr>
      </w:pPr>
      <w:r>
        <w:rPr>
          <w:lang w:val="fr-FR"/>
        </w:rPr>
        <w:t>Le Comité</w:t>
      </w:r>
      <w:r w:rsidRPr="00ED1B99">
        <w:rPr>
          <w:lang w:val="fr-FR"/>
        </w:rPr>
        <w:t>,</w:t>
      </w:r>
    </w:p>
    <w:p w14:paraId="3264F5DE" w14:textId="7A9D0102" w:rsidR="00A15F9A" w:rsidRPr="00ED1B99" w:rsidRDefault="00A15F9A" w:rsidP="006E3034">
      <w:pPr>
        <w:pStyle w:val="BODYTEXT"/>
        <w:numPr>
          <w:ilvl w:val="0"/>
          <w:numId w:val="23"/>
        </w:numPr>
        <w:tabs>
          <w:tab w:val="clear" w:pos="709"/>
          <w:tab w:val="clear" w:pos="1418"/>
          <w:tab w:val="left" w:pos="1134"/>
        </w:tabs>
        <w:spacing w:before="0"/>
        <w:ind w:left="1134" w:hanging="567"/>
        <w:rPr>
          <w:lang w:val="fr-FR"/>
        </w:rPr>
      </w:pPr>
      <w:r>
        <w:rPr>
          <w:u w:val="single"/>
          <w:lang w:val="fr-FR"/>
        </w:rPr>
        <w:t>Ayant examiné</w:t>
      </w:r>
      <w:r>
        <w:rPr>
          <w:lang w:val="fr-FR"/>
        </w:rPr>
        <w:t xml:space="preserve"> le</w:t>
      </w:r>
      <w:r w:rsidRPr="00ED1B99">
        <w:rPr>
          <w:lang w:val="fr-FR"/>
        </w:rPr>
        <w:t xml:space="preserve"> </w:t>
      </w:r>
      <w:r w:rsidR="009A34A8">
        <w:rPr>
          <w:lang w:val="fr-FR"/>
        </w:rPr>
        <w:t>d</w:t>
      </w:r>
      <w:r w:rsidRPr="00ED1B99">
        <w:rPr>
          <w:lang w:val="fr-FR"/>
        </w:rPr>
        <w:t>ocument</w:t>
      </w:r>
      <w:r w:rsidR="009A34A8">
        <w:rPr>
          <w:lang w:val="fr-FR"/>
        </w:rPr>
        <w:t> </w:t>
      </w:r>
      <w:r w:rsidRPr="00ED1B99">
        <w:rPr>
          <w:lang w:val="fr-FR"/>
        </w:rPr>
        <w:t>LHE/2</w:t>
      </w:r>
      <w:r>
        <w:rPr>
          <w:lang w:val="fr-FR"/>
        </w:rPr>
        <w:t>3</w:t>
      </w:r>
      <w:r w:rsidRPr="00ED1B99">
        <w:rPr>
          <w:lang w:val="fr-FR"/>
        </w:rPr>
        <w:t>/1</w:t>
      </w:r>
      <w:r>
        <w:rPr>
          <w:lang w:val="fr-FR"/>
        </w:rPr>
        <w:t>8</w:t>
      </w:r>
      <w:r w:rsidRPr="00ED1B99">
        <w:rPr>
          <w:lang w:val="fr-FR"/>
        </w:rPr>
        <w:t>.COM/</w:t>
      </w:r>
      <w:r w:rsidR="00702497" w:rsidRPr="00702497">
        <w:rPr>
          <w:lang w:val="fr-FR"/>
        </w:rPr>
        <w:t>4</w:t>
      </w:r>
      <w:r w:rsidRPr="00702497">
        <w:rPr>
          <w:lang w:val="fr-FR"/>
        </w:rPr>
        <w:t>,</w:t>
      </w:r>
    </w:p>
    <w:p w14:paraId="66392495" w14:textId="19E7CCCA" w:rsidR="00A15F9A" w:rsidRPr="00ED1B99" w:rsidRDefault="00A15F9A" w:rsidP="006E3034">
      <w:pPr>
        <w:pStyle w:val="BODYTEXT"/>
        <w:numPr>
          <w:ilvl w:val="0"/>
          <w:numId w:val="23"/>
        </w:numPr>
        <w:tabs>
          <w:tab w:val="clear" w:pos="709"/>
          <w:tab w:val="clear" w:pos="1418"/>
          <w:tab w:val="left" w:pos="1134"/>
        </w:tabs>
        <w:spacing w:before="0"/>
        <w:ind w:left="1134" w:hanging="567"/>
        <w:rPr>
          <w:lang w:val="fr-FR"/>
        </w:rPr>
      </w:pPr>
      <w:r w:rsidRPr="00FD4D62">
        <w:rPr>
          <w:u w:val="single"/>
          <w:lang w:val="fr-FR"/>
        </w:rPr>
        <w:t>Adopte</w:t>
      </w:r>
      <w:r>
        <w:rPr>
          <w:lang w:val="fr-FR"/>
        </w:rPr>
        <w:t xml:space="preserve"> le </w:t>
      </w:r>
      <w:r w:rsidRPr="00FD4D62">
        <w:rPr>
          <w:lang w:val="fr-FR"/>
        </w:rPr>
        <w:t>compte-rendu</w:t>
      </w:r>
      <w:r>
        <w:rPr>
          <w:lang w:val="fr-FR"/>
        </w:rPr>
        <w:t xml:space="preserve"> de la </w:t>
      </w:r>
      <w:r w:rsidRPr="00A15F9A">
        <w:rPr>
          <w:lang w:val="fr-FR"/>
        </w:rPr>
        <w:t>dix-septième</w:t>
      </w:r>
      <w:r>
        <w:rPr>
          <w:lang w:val="fr-FR"/>
        </w:rPr>
        <w:t xml:space="preserve"> session du Comité présenté dans ce document.</w:t>
      </w:r>
    </w:p>
    <w:p w14:paraId="29153C31" w14:textId="77777777" w:rsidR="00A15F9A" w:rsidRPr="00ED1B99" w:rsidRDefault="00A15F9A" w:rsidP="00A15F9A">
      <w:pPr>
        <w:pStyle w:val="alina"/>
        <w:tabs>
          <w:tab w:val="clear" w:pos="567"/>
          <w:tab w:val="left" w:pos="709"/>
          <w:tab w:val="left" w:pos="1418"/>
          <w:tab w:val="left" w:pos="2126"/>
          <w:tab w:val="left" w:pos="2835"/>
          <w:tab w:val="left" w:pos="3544"/>
        </w:tabs>
        <w:spacing w:after="120"/>
        <w:ind w:left="0"/>
        <w:rPr>
          <w:snapToGrid w:val="0"/>
          <w:color w:val="000000" w:themeColor="text1"/>
          <w:lang w:val="fr-FR"/>
        </w:rPr>
      </w:pPr>
    </w:p>
    <w:p w14:paraId="7F5E68AE" w14:textId="77777777" w:rsidR="008F5A4F" w:rsidRPr="00A15F9A" w:rsidRDefault="008F5A4F">
      <w:pPr>
        <w:rPr>
          <w:rFonts w:ascii="Arial" w:hAnsi="Arial" w:cs="Arial"/>
          <w:sz w:val="22"/>
          <w:szCs w:val="22"/>
        </w:rPr>
      </w:pPr>
      <w:r w:rsidRPr="00A15F9A">
        <w:br w:type="page"/>
      </w:r>
    </w:p>
    <w:p w14:paraId="5323B2F0" w14:textId="7D97C487" w:rsidR="005762A8" w:rsidRDefault="005762A8" w:rsidP="006E3034">
      <w:pPr>
        <w:pStyle w:val="b"/>
        <w:tabs>
          <w:tab w:val="clear" w:pos="-737"/>
          <w:tab w:val="clear" w:pos="1134"/>
          <w:tab w:val="left" w:pos="709"/>
          <w:tab w:val="left" w:pos="1418"/>
          <w:tab w:val="left" w:pos="2126"/>
          <w:tab w:val="left" w:pos="2835"/>
        </w:tabs>
        <w:spacing w:after="360"/>
        <w:ind w:left="0" w:firstLine="0"/>
        <w:outlineLvl w:val="0"/>
        <w:rPr>
          <w:color w:val="000000"/>
          <w:shd w:val="clear" w:color="auto" w:fill="FFFFFF"/>
        </w:rPr>
      </w:pPr>
      <w:bookmarkStart w:id="0" w:name="_Hlk149864444"/>
      <w:r w:rsidRPr="005762A8">
        <w:rPr>
          <w:i/>
          <w:iCs/>
          <w:color w:val="000000"/>
          <w:shd w:val="clear" w:color="auto" w:fill="FFFFFF"/>
        </w:rPr>
        <w:lastRenderedPageBreak/>
        <w:t>Le compte</w:t>
      </w:r>
      <w:r>
        <w:rPr>
          <w:i/>
          <w:iCs/>
          <w:color w:val="000000"/>
          <w:shd w:val="clear" w:color="auto" w:fill="FFFFFF"/>
        </w:rPr>
        <w:t>-</w:t>
      </w:r>
      <w:r w:rsidRPr="005762A8">
        <w:rPr>
          <w:i/>
          <w:iCs/>
          <w:color w:val="000000"/>
          <w:shd w:val="clear" w:color="auto" w:fill="FFFFFF"/>
        </w:rPr>
        <w:t xml:space="preserve">rendu </w:t>
      </w:r>
      <w:r>
        <w:rPr>
          <w:i/>
          <w:iCs/>
          <w:color w:val="000000"/>
          <w:shd w:val="clear" w:color="auto" w:fill="FFFFFF"/>
        </w:rPr>
        <w:t>a</w:t>
      </w:r>
      <w:r w:rsidRPr="005762A8">
        <w:rPr>
          <w:i/>
          <w:iCs/>
          <w:color w:val="000000"/>
          <w:shd w:val="clear" w:color="auto" w:fill="FFFFFF"/>
        </w:rPr>
        <w:t xml:space="preserve"> été rédigé sur la base de la transcription des interventions des participants à la dix-septième session du Comité. Le texte de ce document n’implique l’expression d’aucune opinion de la part </w:t>
      </w:r>
      <w:r w:rsidR="00F11E75">
        <w:rPr>
          <w:i/>
          <w:iCs/>
          <w:color w:val="000000"/>
          <w:shd w:val="clear" w:color="auto" w:fill="FFFFFF"/>
        </w:rPr>
        <w:t xml:space="preserve">du Secrétariat </w:t>
      </w:r>
      <w:r w:rsidRPr="005762A8">
        <w:rPr>
          <w:i/>
          <w:iCs/>
          <w:color w:val="000000"/>
          <w:shd w:val="clear" w:color="auto" w:fill="FFFFFF"/>
        </w:rPr>
        <w:t>de l’UNESCO concernant le statut juridique de tout pays, territoire, ville ou zone,</w:t>
      </w:r>
      <w:r>
        <w:rPr>
          <w:i/>
          <w:iCs/>
          <w:color w:val="000000"/>
          <w:shd w:val="clear" w:color="auto" w:fill="FFFFFF"/>
        </w:rPr>
        <w:t xml:space="preserve"> ou de ses</w:t>
      </w:r>
      <w:r w:rsidRPr="005762A8">
        <w:rPr>
          <w:i/>
          <w:iCs/>
          <w:color w:val="000000"/>
          <w:shd w:val="clear" w:color="auto" w:fill="FFFFFF"/>
        </w:rPr>
        <w:t xml:space="preserve"> autorités ou</w:t>
      </w:r>
      <w:r>
        <w:rPr>
          <w:i/>
          <w:iCs/>
          <w:color w:val="000000"/>
          <w:shd w:val="clear" w:color="auto" w:fill="FFFFFF"/>
        </w:rPr>
        <w:t xml:space="preserve"> concernant</w:t>
      </w:r>
      <w:r w:rsidRPr="005762A8">
        <w:rPr>
          <w:i/>
          <w:iCs/>
          <w:color w:val="000000"/>
          <w:shd w:val="clear" w:color="auto" w:fill="FFFFFF"/>
        </w:rPr>
        <w:t xml:space="preserve"> la délimitation de ses frontières ou limites.</w:t>
      </w:r>
    </w:p>
    <w:bookmarkEnd w:id="0"/>
    <w:p w14:paraId="5CB53E88" w14:textId="08056C98" w:rsidR="00B52FED" w:rsidRPr="00DB622F" w:rsidRDefault="00B52FED" w:rsidP="00B52FED">
      <w:pPr>
        <w:pStyle w:val="b"/>
        <w:tabs>
          <w:tab w:val="clear" w:pos="-737"/>
          <w:tab w:val="clear" w:pos="1134"/>
          <w:tab w:val="left" w:pos="709"/>
          <w:tab w:val="left" w:pos="1418"/>
          <w:tab w:val="left" w:pos="2126"/>
          <w:tab w:val="left" w:pos="2835"/>
        </w:tabs>
        <w:spacing w:after="360"/>
        <w:ind w:left="567"/>
        <w:jc w:val="center"/>
        <w:outlineLvl w:val="0"/>
        <w:rPr>
          <w:rFonts w:cs="Arial"/>
          <w:color w:val="000000" w:themeColor="text1"/>
          <w:szCs w:val="22"/>
        </w:rPr>
      </w:pPr>
      <w:r w:rsidRPr="00DB622F">
        <w:rPr>
          <w:rFonts w:cs="Arial"/>
          <w:b/>
          <w:bCs/>
          <w:color w:val="000000" w:themeColor="text1"/>
          <w:szCs w:val="22"/>
        </w:rPr>
        <w:t>COMPTE</w:t>
      </w:r>
      <w:r w:rsidR="009330A7">
        <w:rPr>
          <w:rFonts w:cs="Arial"/>
          <w:b/>
          <w:bCs/>
          <w:color w:val="000000" w:themeColor="text1"/>
          <w:szCs w:val="22"/>
        </w:rPr>
        <w:noBreakHyphen/>
      </w:r>
      <w:r w:rsidRPr="00DB622F">
        <w:rPr>
          <w:rFonts w:cs="Arial"/>
          <w:b/>
          <w:bCs/>
          <w:color w:val="000000" w:themeColor="text1"/>
          <w:szCs w:val="22"/>
        </w:rPr>
        <w:t xml:space="preserve">RENDU DE LA </w:t>
      </w:r>
      <w:r>
        <w:rPr>
          <w:rFonts w:cs="Arial"/>
          <w:b/>
          <w:bCs/>
          <w:color w:val="000000" w:themeColor="text1"/>
          <w:szCs w:val="22"/>
        </w:rPr>
        <w:t>DIX</w:t>
      </w:r>
      <w:r w:rsidR="00FE4A62">
        <w:rPr>
          <w:rFonts w:cs="Arial"/>
          <w:b/>
          <w:bCs/>
          <w:color w:val="000000" w:themeColor="text1"/>
          <w:szCs w:val="22"/>
        </w:rPr>
        <w:noBreakHyphen/>
      </w:r>
      <w:r>
        <w:rPr>
          <w:rFonts w:cs="Arial"/>
          <w:b/>
          <w:bCs/>
          <w:color w:val="000000" w:themeColor="text1"/>
          <w:szCs w:val="22"/>
        </w:rPr>
        <w:t>SEPTI</w:t>
      </w:r>
      <w:r w:rsidRPr="00DB622F">
        <w:rPr>
          <w:rFonts w:cs="Arial"/>
          <w:b/>
          <w:bCs/>
          <w:color w:val="000000" w:themeColor="text1"/>
          <w:szCs w:val="22"/>
        </w:rPr>
        <w:t>ÈME SESSION DU COMITÉ</w:t>
      </w:r>
    </w:p>
    <w:p w14:paraId="302CC6A4" w14:textId="0DDB5DB0" w:rsidR="00B52FED" w:rsidRPr="00DB622F" w:rsidRDefault="00B52FED" w:rsidP="00B52FED">
      <w:pPr>
        <w:pStyle w:val="Marge"/>
        <w:keepNext/>
        <w:tabs>
          <w:tab w:val="clear" w:pos="567"/>
          <w:tab w:val="left" w:pos="709"/>
          <w:tab w:val="left" w:pos="1418"/>
          <w:tab w:val="left" w:pos="2126"/>
          <w:tab w:val="left" w:pos="2835"/>
        </w:tabs>
        <w:spacing w:before="240"/>
        <w:ind w:left="567" w:hanging="567"/>
        <w:jc w:val="center"/>
        <w:outlineLvl w:val="0"/>
        <w:rPr>
          <w:rFonts w:cs="Arial"/>
          <w:b/>
          <w:color w:val="000000" w:themeColor="text1"/>
          <w:szCs w:val="22"/>
        </w:rPr>
      </w:pPr>
      <w:r w:rsidRPr="00DB622F">
        <w:rPr>
          <w:rFonts w:cs="Arial"/>
          <w:i/>
          <w:iCs/>
          <w:color w:val="000000" w:themeColor="text1"/>
          <w:szCs w:val="22"/>
        </w:rPr>
        <w:t>[Lundi</w:t>
      </w:r>
      <w:r w:rsidR="00936290">
        <w:rPr>
          <w:rFonts w:cs="Arial"/>
          <w:i/>
          <w:iCs/>
          <w:color w:val="000000" w:themeColor="text1"/>
          <w:szCs w:val="22"/>
        </w:rPr>
        <w:t> </w:t>
      </w:r>
      <w:r>
        <w:rPr>
          <w:rFonts w:cs="Arial"/>
          <w:i/>
          <w:iCs/>
          <w:color w:val="000000" w:themeColor="text1"/>
          <w:szCs w:val="22"/>
        </w:rPr>
        <w:t>28</w:t>
      </w:r>
      <w:r w:rsidR="00936290">
        <w:rPr>
          <w:rFonts w:cs="Arial"/>
          <w:i/>
          <w:iCs/>
          <w:color w:val="000000" w:themeColor="text1"/>
          <w:szCs w:val="22"/>
        </w:rPr>
        <w:t> </w:t>
      </w:r>
      <w:r>
        <w:rPr>
          <w:rFonts w:cs="Arial"/>
          <w:i/>
          <w:iCs/>
          <w:color w:val="000000" w:themeColor="text1"/>
          <w:szCs w:val="22"/>
        </w:rPr>
        <w:t>nov</w:t>
      </w:r>
      <w:r w:rsidRPr="00DB622F">
        <w:rPr>
          <w:rFonts w:cs="Arial"/>
          <w:i/>
          <w:iCs/>
          <w:color w:val="000000" w:themeColor="text1"/>
          <w:szCs w:val="22"/>
        </w:rPr>
        <w:t>embre</w:t>
      </w:r>
      <w:r w:rsidR="00936290">
        <w:rPr>
          <w:rFonts w:cs="Arial"/>
          <w:i/>
          <w:iCs/>
          <w:color w:val="000000" w:themeColor="text1"/>
          <w:szCs w:val="22"/>
        </w:rPr>
        <w:t> </w:t>
      </w:r>
      <w:r w:rsidRPr="00DB622F">
        <w:rPr>
          <w:rFonts w:cs="Arial"/>
          <w:i/>
          <w:iCs/>
          <w:color w:val="000000" w:themeColor="text1"/>
          <w:szCs w:val="22"/>
        </w:rPr>
        <w:t>202</w:t>
      </w:r>
      <w:r>
        <w:rPr>
          <w:rFonts w:cs="Arial"/>
          <w:i/>
          <w:iCs/>
          <w:color w:val="000000" w:themeColor="text1"/>
          <w:szCs w:val="22"/>
        </w:rPr>
        <w:t>2</w:t>
      </w:r>
      <w:r w:rsidRPr="00DB622F">
        <w:rPr>
          <w:rFonts w:cs="Arial"/>
          <w:i/>
          <w:iCs/>
          <w:color w:val="000000" w:themeColor="text1"/>
          <w:szCs w:val="22"/>
        </w:rPr>
        <w:t>, séance du matin]</w:t>
      </w:r>
    </w:p>
    <w:p w14:paraId="41A3AD92" w14:textId="183B50D2" w:rsidR="00B52FED" w:rsidRPr="00DB622F" w:rsidRDefault="00B52FED">
      <w:pPr>
        <w:pStyle w:val="Marge"/>
        <w:keepNext/>
        <w:tabs>
          <w:tab w:val="clear" w:pos="567"/>
          <w:tab w:val="left" w:pos="709"/>
          <w:tab w:val="left" w:pos="1418"/>
          <w:tab w:val="left" w:pos="2126"/>
          <w:tab w:val="left" w:pos="2835"/>
        </w:tabs>
        <w:spacing w:after="120"/>
        <w:jc w:val="left"/>
        <w:outlineLvl w:val="0"/>
        <w:rPr>
          <w:rFonts w:cs="Arial"/>
          <w:b/>
          <w:color w:val="000000" w:themeColor="text1"/>
          <w:szCs w:val="22"/>
        </w:rPr>
      </w:pPr>
      <w:r w:rsidRPr="00DB622F">
        <w:rPr>
          <w:rFonts w:cs="Arial"/>
          <w:b/>
          <w:bCs/>
          <w:color w:val="000000" w:themeColor="text1"/>
          <w:szCs w:val="22"/>
          <w:u w:val="single"/>
        </w:rPr>
        <w:t>POINT</w:t>
      </w:r>
      <w:r w:rsidR="0073323E">
        <w:rPr>
          <w:rFonts w:cs="Arial"/>
          <w:b/>
          <w:bCs/>
          <w:color w:val="000000" w:themeColor="text1"/>
          <w:szCs w:val="22"/>
          <w:u w:val="single"/>
        </w:rPr>
        <w:t> </w:t>
      </w:r>
      <w:r w:rsidRPr="00DB622F">
        <w:rPr>
          <w:rFonts w:cs="Arial"/>
          <w:b/>
          <w:bCs/>
          <w:color w:val="000000" w:themeColor="text1"/>
          <w:szCs w:val="22"/>
          <w:u w:val="single"/>
        </w:rPr>
        <w:t>1</w:t>
      </w:r>
      <w:r w:rsidR="0073323E">
        <w:rPr>
          <w:rFonts w:cs="Arial"/>
          <w:b/>
          <w:bCs/>
          <w:color w:val="000000" w:themeColor="text1"/>
          <w:szCs w:val="22"/>
          <w:u w:val="single"/>
        </w:rPr>
        <w:t xml:space="preserve"> </w:t>
      </w:r>
      <w:r w:rsidRPr="00DB622F">
        <w:rPr>
          <w:rFonts w:cs="Arial"/>
          <w:b/>
          <w:bCs/>
          <w:color w:val="000000" w:themeColor="text1"/>
          <w:szCs w:val="22"/>
          <w:u w:val="single"/>
        </w:rPr>
        <w:t>DE L</w:t>
      </w:r>
      <w:r w:rsidR="00923E72">
        <w:rPr>
          <w:rFonts w:cs="Arial"/>
          <w:b/>
          <w:bCs/>
          <w:color w:val="000000" w:themeColor="text1"/>
          <w:szCs w:val="22"/>
          <w:u w:val="single"/>
        </w:rPr>
        <w:t>’</w:t>
      </w:r>
      <w:r w:rsidRPr="00DB622F">
        <w:rPr>
          <w:rFonts w:cs="Arial"/>
          <w:b/>
          <w:bCs/>
          <w:color w:val="000000" w:themeColor="text1"/>
          <w:szCs w:val="22"/>
          <w:u w:val="single"/>
        </w:rPr>
        <w:t>ORDRE DU JOUR</w:t>
      </w:r>
      <w:r w:rsidRPr="00DB622F">
        <w:rPr>
          <w:rFonts w:cs="Arial"/>
          <w:b/>
          <w:bCs/>
          <w:color w:val="000000" w:themeColor="text1"/>
          <w:szCs w:val="22"/>
        </w:rPr>
        <w:t> :</w:t>
      </w:r>
      <w:r w:rsidRPr="00DB622F">
        <w:rPr>
          <w:rFonts w:cs="Arial"/>
          <w:b/>
          <w:bCs/>
          <w:color w:val="000000" w:themeColor="text1"/>
          <w:szCs w:val="22"/>
          <w:u w:val="single"/>
        </w:rPr>
        <w:br/>
      </w:r>
      <w:r w:rsidRPr="00DB622F">
        <w:rPr>
          <w:rFonts w:cs="Arial"/>
          <w:b/>
          <w:bCs/>
          <w:color w:val="000000" w:themeColor="text1"/>
          <w:szCs w:val="22"/>
        </w:rPr>
        <w:t>OUVERTURE</w:t>
      </w:r>
    </w:p>
    <w:p w14:paraId="3F469BF9" w14:textId="139DCBD1" w:rsidR="00B52FED" w:rsidRPr="00B52FED" w:rsidRDefault="00B52FED" w:rsidP="00B52FED">
      <w:pPr>
        <w:widowControl w:val="0"/>
        <w:autoSpaceDE w:val="0"/>
        <w:autoSpaceDN w:val="0"/>
        <w:adjustRightInd w:val="0"/>
        <w:spacing w:after="240"/>
        <w:ind w:left="1276" w:hanging="567"/>
        <w:rPr>
          <w:rStyle w:val="Hyperlink"/>
          <w:rFonts w:eastAsiaTheme="minorHAnsi"/>
          <w:bCs/>
          <w:i/>
          <w:snapToGrid w:val="0"/>
          <w:color w:val="0000FF"/>
          <w:szCs w:val="22"/>
          <w:lang w:val="pt-PT" w:eastAsia="en-GB"/>
        </w:rPr>
      </w:pPr>
      <w:r w:rsidRPr="00DB622F">
        <w:rPr>
          <w:rFonts w:ascii="Arial" w:hAnsi="Arial" w:cs="Arial"/>
          <w:b/>
          <w:bCs/>
          <w:color w:val="000000" w:themeColor="text1"/>
          <w:sz w:val="22"/>
          <w:szCs w:val="22"/>
        </w:rPr>
        <w:t>Document :</w:t>
      </w:r>
      <w:r w:rsidRPr="00DB622F">
        <w:rPr>
          <w:rFonts w:ascii="Arial" w:hAnsi="Arial" w:cs="Arial"/>
          <w:b/>
          <w:bCs/>
          <w:color w:val="000000" w:themeColor="text1"/>
          <w:sz w:val="22"/>
          <w:szCs w:val="22"/>
        </w:rPr>
        <w:tab/>
      </w:r>
      <w:hyperlink r:id="rId8" w:history="1">
        <w:r w:rsidRPr="00B52FED">
          <w:rPr>
            <w:rStyle w:val="Hyperlink"/>
            <w:rFonts w:ascii="Arial" w:eastAsiaTheme="minorHAnsi" w:hAnsi="Arial" w:cs="Arial"/>
            <w:bCs/>
            <w:i/>
            <w:snapToGrid w:val="0"/>
            <w:color w:val="0000FF"/>
            <w:sz w:val="22"/>
            <w:szCs w:val="22"/>
            <w:lang w:val="pt-PT" w:eastAsia="en-GB"/>
          </w:rPr>
          <w:t>LHE/22/17.COM/INF.1</w:t>
        </w:r>
      </w:hyperlink>
    </w:p>
    <w:p w14:paraId="12DA6272" w14:textId="43281496" w:rsidR="00B52FED" w:rsidRDefault="00FE4A62" w:rsidP="00702497">
      <w:pPr>
        <w:pStyle w:val="Orateurengris"/>
        <w:numPr>
          <w:ilvl w:val="0"/>
          <w:numId w:val="21"/>
        </w:numPr>
        <w:tabs>
          <w:tab w:val="clear" w:pos="567"/>
          <w:tab w:val="clear" w:pos="709"/>
          <w:tab w:val="clear" w:pos="1418"/>
          <w:tab w:val="clear" w:pos="2126"/>
          <w:tab w:val="clear" w:pos="2835"/>
          <w:tab w:val="num" w:pos="810"/>
        </w:tabs>
        <w:spacing w:before="120" w:after="0"/>
        <w:ind w:left="709" w:hanging="709"/>
        <w:rPr>
          <w:rFonts w:eastAsia="Malgun Gothic"/>
          <w:lang w:val="fr-FR"/>
        </w:rPr>
      </w:pPr>
      <w:r w:rsidRPr="00FE4A62">
        <w:rPr>
          <w:rFonts w:eastAsia="Malgun Gothic"/>
          <w:lang w:val="fr-FR"/>
        </w:rPr>
        <w:t xml:space="preserve">La session a débuté par un </w:t>
      </w:r>
      <w:hyperlink r:id="rId9" w:history="1">
        <w:r w:rsidR="009330A7" w:rsidRPr="009330A7">
          <w:rPr>
            <w:rStyle w:val="Hyperlink"/>
            <w:rFonts w:eastAsia="Malgun Gothic"/>
            <w:lang w:val="fr-FR"/>
          </w:rPr>
          <w:t>message royal</w:t>
        </w:r>
      </w:hyperlink>
      <w:r w:rsidR="009330A7">
        <w:rPr>
          <w:rFonts w:eastAsia="Malgun Gothic"/>
          <w:lang w:val="fr-FR"/>
        </w:rPr>
        <w:t xml:space="preserve"> </w:t>
      </w:r>
      <w:r w:rsidRPr="00FE4A62">
        <w:rPr>
          <w:rFonts w:eastAsia="Malgun Gothic"/>
          <w:lang w:val="fr-FR"/>
        </w:rPr>
        <w:t>de Sa Majesté le Roi Mohammed</w:t>
      </w:r>
      <w:r w:rsidR="00C04CC9">
        <w:rPr>
          <w:rFonts w:eastAsia="Malgun Gothic"/>
          <w:lang w:val="fr-FR"/>
        </w:rPr>
        <w:t> </w:t>
      </w:r>
      <w:r w:rsidRPr="00FE4A62">
        <w:rPr>
          <w:rFonts w:eastAsia="Malgun Gothic"/>
          <w:lang w:val="fr-FR"/>
        </w:rPr>
        <w:t xml:space="preserve">VI aux participants de la </w:t>
      </w:r>
      <w:r>
        <w:rPr>
          <w:rFonts w:eastAsia="Malgun Gothic"/>
          <w:lang w:val="fr-FR"/>
        </w:rPr>
        <w:t>dix</w:t>
      </w:r>
      <w:r>
        <w:rPr>
          <w:rFonts w:eastAsia="Malgun Gothic"/>
          <w:lang w:val="fr-FR"/>
        </w:rPr>
        <w:noBreakHyphen/>
        <w:t>septième</w:t>
      </w:r>
      <w:r w:rsidRPr="00FE4A62">
        <w:rPr>
          <w:rFonts w:eastAsia="Malgun Gothic"/>
          <w:lang w:val="fr-FR"/>
        </w:rPr>
        <w:t xml:space="preserve"> session du Comité intergouvernemental pour la sauvegarde du patrimoine culturel immatériel</w:t>
      </w:r>
      <w:r w:rsidR="00C04CC9">
        <w:rPr>
          <w:rFonts w:eastAsia="Malgun Gothic"/>
          <w:lang w:val="fr-FR"/>
        </w:rPr>
        <w:t>,</w:t>
      </w:r>
      <w:r w:rsidRPr="00FE4A62">
        <w:rPr>
          <w:rFonts w:eastAsia="Malgun Gothic"/>
          <w:lang w:val="fr-FR"/>
        </w:rPr>
        <w:t xml:space="preserve"> organisée à Rabat</w:t>
      </w:r>
      <w:r w:rsidR="00702497">
        <w:rPr>
          <w:rFonts w:eastAsia="Malgun Gothic"/>
          <w:lang w:val="fr-FR"/>
        </w:rPr>
        <w:t>,</w:t>
      </w:r>
      <w:r w:rsidRPr="00FE4A62">
        <w:rPr>
          <w:rFonts w:eastAsia="Malgun Gothic"/>
          <w:lang w:val="fr-FR"/>
        </w:rPr>
        <w:t xml:space="preserve"> Royaume du Maroc. Le message royal a été lu par Son Excellence M</w:t>
      </w:r>
      <w:r>
        <w:rPr>
          <w:rFonts w:eastAsia="Malgun Gothic"/>
          <w:lang w:val="fr-FR"/>
        </w:rPr>
        <w:t>. </w:t>
      </w:r>
      <w:r w:rsidRPr="00FE4A62">
        <w:rPr>
          <w:rFonts w:eastAsia="Malgun Gothic"/>
          <w:lang w:val="fr-FR"/>
        </w:rPr>
        <w:t xml:space="preserve">Mohamed </w:t>
      </w:r>
      <w:proofErr w:type="spellStart"/>
      <w:r w:rsidRPr="00FE4A62">
        <w:rPr>
          <w:rFonts w:eastAsia="Malgun Gothic"/>
          <w:lang w:val="fr-FR"/>
        </w:rPr>
        <w:t>Hajoui</w:t>
      </w:r>
      <w:proofErr w:type="spellEnd"/>
      <w:r w:rsidRPr="00FE4A62">
        <w:rPr>
          <w:rFonts w:eastAsia="Malgun Gothic"/>
          <w:lang w:val="fr-FR"/>
        </w:rPr>
        <w:t>, Secrétaire général du Gouvernement du Royaume du Maroc.</w:t>
      </w:r>
    </w:p>
    <w:p w14:paraId="51F5FFA5" w14:textId="52F93540" w:rsidR="00B52FED" w:rsidRDefault="00FE4A62" w:rsidP="00702497">
      <w:pPr>
        <w:pStyle w:val="Orateurengris"/>
        <w:numPr>
          <w:ilvl w:val="0"/>
          <w:numId w:val="21"/>
        </w:numPr>
        <w:tabs>
          <w:tab w:val="clear" w:pos="567"/>
          <w:tab w:val="clear" w:pos="709"/>
          <w:tab w:val="clear" w:pos="1418"/>
          <w:tab w:val="clear" w:pos="2126"/>
          <w:tab w:val="clear" w:pos="2835"/>
          <w:tab w:val="num" w:pos="810"/>
        </w:tabs>
        <w:spacing w:before="120" w:after="0"/>
        <w:ind w:left="709" w:hanging="709"/>
        <w:rPr>
          <w:rFonts w:eastAsia="Malgun Gothic"/>
          <w:lang w:val="fr-FR"/>
        </w:rPr>
      </w:pPr>
      <w:r w:rsidRPr="00FE4A62">
        <w:rPr>
          <w:rFonts w:eastAsia="Malgun Gothic"/>
          <w:lang w:val="fr-FR"/>
        </w:rPr>
        <w:t xml:space="preserve">Le </w:t>
      </w:r>
      <w:r w:rsidRPr="00FE4A62">
        <w:rPr>
          <w:rFonts w:eastAsia="Malgun Gothic"/>
          <w:b/>
          <w:bCs/>
          <w:lang w:val="fr-FR"/>
        </w:rPr>
        <w:t xml:space="preserve">Secrétaire général du </w:t>
      </w:r>
      <w:r>
        <w:rPr>
          <w:rFonts w:eastAsia="Malgun Gothic"/>
          <w:b/>
          <w:bCs/>
          <w:lang w:val="fr-FR"/>
        </w:rPr>
        <w:t>G</w:t>
      </w:r>
      <w:r w:rsidRPr="00FE4A62">
        <w:rPr>
          <w:rFonts w:eastAsia="Malgun Gothic"/>
          <w:b/>
          <w:bCs/>
          <w:lang w:val="fr-FR"/>
        </w:rPr>
        <w:t>ouvernement du Royaume du Maroc</w:t>
      </w:r>
      <w:r w:rsidRPr="00FE4A62">
        <w:rPr>
          <w:rFonts w:eastAsia="Malgun Gothic"/>
          <w:lang w:val="fr-FR"/>
        </w:rPr>
        <w:t>, M.</w:t>
      </w:r>
      <w:r>
        <w:rPr>
          <w:rFonts w:eastAsia="Malgun Gothic"/>
          <w:lang w:val="fr-FR"/>
        </w:rPr>
        <w:t> </w:t>
      </w:r>
      <w:r w:rsidRPr="00FE4A62">
        <w:rPr>
          <w:rFonts w:eastAsia="Malgun Gothic"/>
          <w:lang w:val="fr-FR"/>
        </w:rPr>
        <w:t xml:space="preserve">Mohamed </w:t>
      </w:r>
      <w:proofErr w:type="spellStart"/>
      <w:r w:rsidRPr="00FE4A62">
        <w:rPr>
          <w:rFonts w:eastAsia="Malgun Gothic"/>
          <w:lang w:val="fr-FR"/>
        </w:rPr>
        <w:t>Hajoui</w:t>
      </w:r>
      <w:proofErr w:type="spellEnd"/>
      <w:r w:rsidRPr="00FE4A62">
        <w:rPr>
          <w:rFonts w:eastAsia="Malgun Gothic"/>
          <w:lang w:val="fr-FR"/>
        </w:rPr>
        <w:t>, a lu le message en arabe</w:t>
      </w:r>
      <w:r w:rsidR="00430656">
        <w:rPr>
          <w:rFonts w:eastAsia="Malgun Gothic"/>
          <w:lang w:val="fr-FR"/>
        </w:rPr>
        <w:t>.</w:t>
      </w:r>
    </w:p>
    <w:p w14:paraId="2705ABD2" w14:textId="0CF048FD" w:rsidR="00B52FED" w:rsidRDefault="00FE4A62" w:rsidP="00702497">
      <w:pPr>
        <w:pStyle w:val="Orateurengris"/>
        <w:numPr>
          <w:ilvl w:val="0"/>
          <w:numId w:val="21"/>
        </w:numPr>
        <w:tabs>
          <w:tab w:val="clear" w:pos="567"/>
          <w:tab w:val="clear" w:pos="709"/>
          <w:tab w:val="clear" w:pos="1418"/>
          <w:tab w:val="clear" w:pos="2126"/>
          <w:tab w:val="clear" w:pos="2835"/>
          <w:tab w:val="num" w:pos="810"/>
        </w:tabs>
        <w:spacing w:before="120" w:after="0"/>
        <w:ind w:left="709" w:hanging="709"/>
        <w:rPr>
          <w:rFonts w:eastAsia="Malgun Gothic"/>
          <w:lang w:val="fr-FR"/>
        </w:rPr>
      </w:pPr>
      <w:r w:rsidRPr="00FE4A62">
        <w:rPr>
          <w:rFonts w:eastAsia="Malgun Gothic"/>
          <w:lang w:val="fr-FR"/>
        </w:rPr>
        <w:t xml:space="preserve">La </w:t>
      </w:r>
      <w:r w:rsidRPr="00FE4A62">
        <w:rPr>
          <w:rFonts w:eastAsia="Malgun Gothic"/>
          <w:b/>
          <w:bCs/>
          <w:lang w:val="fr-FR"/>
        </w:rPr>
        <w:t>Directrice générale de l</w:t>
      </w:r>
      <w:r w:rsidR="00923E72">
        <w:rPr>
          <w:rFonts w:eastAsia="Malgun Gothic"/>
          <w:b/>
          <w:bCs/>
          <w:lang w:val="fr-FR"/>
        </w:rPr>
        <w:t>’</w:t>
      </w:r>
      <w:r w:rsidRPr="00FE4A62">
        <w:rPr>
          <w:rFonts w:eastAsia="Malgun Gothic"/>
          <w:b/>
          <w:bCs/>
          <w:lang w:val="fr-FR"/>
        </w:rPr>
        <w:t>UNESCO</w:t>
      </w:r>
      <w:r w:rsidRPr="00FE4A62">
        <w:rPr>
          <w:rFonts w:eastAsia="Malgun Gothic"/>
          <w:lang w:val="fr-FR"/>
        </w:rPr>
        <w:t>, M</w:t>
      </w:r>
      <w:r w:rsidRPr="00FE4A62">
        <w:rPr>
          <w:rFonts w:eastAsia="Malgun Gothic"/>
          <w:vertAlign w:val="superscript"/>
          <w:lang w:val="fr-FR"/>
        </w:rPr>
        <w:t>me</w:t>
      </w:r>
      <w:r>
        <w:rPr>
          <w:rFonts w:eastAsia="Malgun Gothic"/>
          <w:lang w:val="fr-FR"/>
        </w:rPr>
        <w:t> </w:t>
      </w:r>
      <w:r w:rsidRPr="00FE4A62">
        <w:rPr>
          <w:rFonts w:eastAsia="Malgun Gothic"/>
          <w:lang w:val="fr-FR"/>
        </w:rPr>
        <w:t xml:space="preserve">Audrey Azoulay, a souhaité la bienvenue aux ministres, aux membres du Comité, aux délégués, aux experts et aux amis à Rabat pour cette </w:t>
      </w:r>
      <w:r w:rsidR="00534C3E">
        <w:rPr>
          <w:rFonts w:eastAsia="Malgun Gothic"/>
          <w:lang w:val="fr-FR"/>
        </w:rPr>
        <w:t>dix</w:t>
      </w:r>
      <w:r w:rsidR="00534C3E">
        <w:rPr>
          <w:rFonts w:eastAsia="Malgun Gothic"/>
          <w:lang w:val="fr-FR"/>
        </w:rPr>
        <w:noBreakHyphen/>
        <w:t>septième</w:t>
      </w:r>
      <w:r w:rsidRPr="00FE4A62">
        <w:rPr>
          <w:rFonts w:eastAsia="Malgun Gothic"/>
          <w:lang w:val="fr-FR"/>
        </w:rPr>
        <w:t xml:space="preserve"> session du Comité. Elle s</w:t>
      </w:r>
      <w:r w:rsidR="00923E72">
        <w:rPr>
          <w:rFonts w:eastAsia="Malgun Gothic"/>
          <w:lang w:val="fr-FR"/>
        </w:rPr>
        <w:t>’</w:t>
      </w:r>
      <w:r w:rsidRPr="00FE4A62">
        <w:rPr>
          <w:rFonts w:eastAsia="Malgun Gothic"/>
          <w:lang w:val="fr-FR"/>
        </w:rPr>
        <w:t>est particulièrement réjouie de la forte participation d</w:t>
      </w:r>
      <w:r w:rsidR="00923E72">
        <w:rPr>
          <w:rFonts w:eastAsia="Malgun Gothic"/>
          <w:lang w:val="fr-FR"/>
        </w:rPr>
        <w:t>’</w:t>
      </w:r>
      <w:r w:rsidRPr="00FE4A62">
        <w:rPr>
          <w:rFonts w:eastAsia="Malgun Gothic"/>
          <w:lang w:val="fr-FR"/>
        </w:rPr>
        <w:t>experts, de représentants d</w:t>
      </w:r>
      <w:r w:rsidR="00923E72">
        <w:rPr>
          <w:rFonts w:eastAsia="Malgun Gothic"/>
          <w:lang w:val="fr-FR"/>
        </w:rPr>
        <w:t>’</w:t>
      </w:r>
      <w:r w:rsidRPr="00FE4A62">
        <w:rPr>
          <w:rFonts w:eastAsia="Malgun Gothic"/>
          <w:lang w:val="fr-FR"/>
        </w:rPr>
        <w:t>ONG et d</w:t>
      </w:r>
      <w:r w:rsidR="00923E72">
        <w:rPr>
          <w:rFonts w:eastAsia="Malgun Gothic"/>
          <w:lang w:val="fr-FR"/>
        </w:rPr>
        <w:t>’</w:t>
      </w:r>
      <w:r w:rsidRPr="00FE4A62">
        <w:rPr>
          <w:rFonts w:eastAsia="Malgun Gothic"/>
          <w:lang w:val="fr-FR"/>
        </w:rPr>
        <w:t xml:space="preserve">institutions liées au patrimoine vivant ainsi que de membres des communautés, les détenteurs et les praticiens de ces pratiques. Elle a adressé ses plus vifs remerciements aux autorités marocaines, en particulier au ministre de la </w:t>
      </w:r>
      <w:r w:rsidR="00534C3E">
        <w:rPr>
          <w:rFonts w:eastAsia="Malgun Gothic"/>
          <w:lang w:val="fr-FR"/>
        </w:rPr>
        <w:t>C</w:t>
      </w:r>
      <w:r w:rsidRPr="00FE4A62">
        <w:rPr>
          <w:rFonts w:eastAsia="Malgun Gothic"/>
          <w:lang w:val="fr-FR"/>
        </w:rPr>
        <w:t>ulture, pour la séance d</w:t>
      </w:r>
      <w:r w:rsidR="00923E72">
        <w:rPr>
          <w:rFonts w:eastAsia="Malgun Gothic"/>
          <w:lang w:val="fr-FR"/>
        </w:rPr>
        <w:t>’</w:t>
      </w:r>
      <w:r w:rsidRPr="00FE4A62">
        <w:rPr>
          <w:rFonts w:eastAsia="Malgun Gothic"/>
          <w:lang w:val="fr-FR"/>
        </w:rPr>
        <w:t>ouverture de la veille</w:t>
      </w:r>
      <w:r w:rsidR="004F368D">
        <w:rPr>
          <w:rFonts w:eastAsia="Malgun Gothic"/>
          <w:lang w:val="fr-FR"/>
        </w:rPr>
        <w:t>,</w:t>
      </w:r>
      <w:r w:rsidRPr="00FE4A62">
        <w:rPr>
          <w:rFonts w:eastAsia="Malgun Gothic"/>
          <w:lang w:val="fr-FR"/>
        </w:rPr>
        <w:t xml:space="preserve"> </w:t>
      </w:r>
      <w:r w:rsidR="007075D0">
        <w:rPr>
          <w:rFonts w:eastAsia="Malgun Gothic"/>
          <w:lang w:val="fr-FR"/>
        </w:rPr>
        <w:t xml:space="preserve">qui avait démontré </w:t>
      </w:r>
      <w:r w:rsidRPr="00FE4A62">
        <w:rPr>
          <w:rFonts w:eastAsia="Malgun Gothic"/>
          <w:lang w:val="fr-FR"/>
        </w:rPr>
        <w:t xml:space="preserve">la magnifique diversité du patrimoine immatériel marocain, de la </w:t>
      </w:r>
      <w:proofErr w:type="spellStart"/>
      <w:r w:rsidR="00923E72">
        <w:rPr>
          <w:rFonts w:eastAsia="Malgun Gothic"/>
          <w:lang w:val="fr-FR"/>
        </w:rPr>
        <w:t>t</w:t>
      </w:r>
      <w:r w:rsidRPr="00FE4A62">
        <w:rPr>
          <w:rFonts w:eastAsia="Malgun Gothic"/>
          <w:lang w:val="fr-FR"/>
        </w:rPr>
        <w:t>bourida</w:t>
      </w:r>
      <w:proofErr w:type="spellEnd"/>
      <w:r w:rsidRPr="00FE4A62">
        <w:rPr>
          <w:rFonts w:eastAsia="Malgun Gothic"/>
          <w:lang w:val="fr-FR"/>
        </w:rPr>
        <w:t xml:space="preserve"> au </w:t>
      </w:r>
      <w:proofErr w:type="spellStart"/>
      <w:r w:rsidRPr="00FE4A62">
        <w:rPr>
          <w:rFonts w:eastAsia="Malgun Gothic"/>
          <w:lang w:val="fr-FR"/>
        </w:rPr>
        <w:t>Gnaoua</w:t>
      </w:r>
      <w:proofErr w:type="spellEnd"/>
      <w:r w:rsidRPr="00FE4A62">
        <w:rPr>
          <w:rFonts w:eastAsia="Malgun Gothic"/>
          <w:lang w:val="fr-FR"/>
        </w:rPr>
        <w:t xml:space="preserve">. </w:t>
      </w:r>
      <w:r w:rsidR="00287501">
        <w:rPr>
          <w:rFonts w:eastAsia="Malgun Gothic"/>
          <w:lang w:val="fr-FR"/>
        </w:rPr>
        <w:t xml:space="preserve">Elle a rappelé que </w:t>
      </w:r>
      <w:r w:rsidRPr="00FE4A62">
        <w:rPr>
          <w:rFonts w:eastAsia="Malgun Gothic"/>
          <w:lang w:val="fr-FR"/>
        </w:rPr>
        <w:t xml:space="preserve">Rabat </w:t>
      </w:r>
      <w:r w:rsidR="00534C3E">
        <w:rPr>
          <w:rFonts w:eastAsia="Malgun Gothic"/>
          <w:lang w:val="fr-FR"/>
        </w:rPr>
        <w:t>est</w:t>
      </w:r>
      <w:r w:rsidRPr="00FE4A62">
        <w:rPr>
          <w:rFonts w:eastAsia="Malgun Gothic"/>
          <w:lang w:val="fr-FR"/>
        </w:rPr>
        <w:t xml:space="preserve"> une ville bouillonnante d</w:t>
      </w:r>
      <w:r w:rsidR="00923E72">
        <w:rPr>
          <w:rFonts w:eastAsia="Malgun Gothic"/>
          <w:lang w:val="fr-FR"/>
        </w:rPr>
        <w:t>’</w:t>
      </w:r>
      <w:r w:rsidRPr="00FE4A62">
        <w:rPr>
          <w:rFonts w:eastAsia="Malgun Gothic"/>
          <w:lang w:val="fr-FR"/>
        </w:rPr>
        <w:t>identités culturelles, au carrefour de nombreuses cultures</w:t>
      </w:r>
      <w:r w:rsidR="007075D0">
        <w:rPr>
          <w:rFonts w:eastAsia="Malgun Gothic"/>
          <w:lang w:val="fr-FR"/>
        </w:rPr>
        <w:t>,</w:t>
      </w:r>
      <w:r w:rsidR="00AD44D6">
        <w:rPr>
          <w:rFonts w:eastAsia="Malgun Gothic"/>
          <w:lang w:val="fr-FR"/>
        </w:rPr>
        <w:t xml:space="preserve"> </w:t>
      </w:r>
      <w:r w:rsidRPr="00FE4A62">
        <w:rPr>
          <w:rFonts w:eastAsia="Malgun Gothic"/>
          <w:lang w:val="fr-FR"/>
        </w:rPr>
        <w:t>qui a</w:t>
      </w:r>
      <w:r w:rsidR="005B684A">
        <w:rPr>
          <w:rFonts w:eastAsia="Malgun Gothic"/>
          <w:lang w:val="fr-FR"/>
        </w:rPr>
        <w:t>vait</w:t>
      </w:r>
      <w:r w:rsidRPr="00FE4A62">
        <w:rPr>
          <w:rFonts w:eastAsia="Malgun Gothic"/>
          <w:lang w:val="fr-FR"/>
        </w:rPr>
        <w:t xml:space="preserve"> été inscrite au patrimoine mondial en</w:t>
      </w:r>
      <w:r w:rsidR="005349D5">
        <w:rPr>
          <w:rFonts w:eastAsia="Malgun Gothic"/>
          <w:lang w:val="fr-FR"/>
        </w:rPr>
        <w:t> </w:t>
      </w:r>
      <w:r w:rsidRPr="00FE4A62">
        <w:rPr>
          <w:rFonts w:eastAsia="Malgun Gothic"/>
          <w:lang w:val="fr-FR"/>
        </w:rPr>
        <w:t>2012 et qui sera</w:t>
      </w:r>
      <w:r w:rsidR="00534C3E">
        <w:rPr>
          <w:rFonts w:eastAsia="Malgun Gothic"/>
          <w:lang w:val="fr-FR"/>
        </w:rPr>
        <w:t>it</w:t>
      </w:r>
      <w:r w:rsidRPr="00FE4A62">
        <w:rPr>
          <w:rFonts w:eastAsia="Malgun Gothic"/>
          <w:lang w:val="fr-FR"/>
        </w:rPr>
        <w:t xml:space="preserve"> célébrée en</w:t>
      </w:r>
      <w:r w:rsidR="005349D5">
        <w:rPr>
          <w:rFonts w:eastAsia="Malgun Gothic"/>
          <w:lang w:val="fr-FR"/>
        </w:rPr>
        <w:t> </w:t>
      </w:r>
      <w:r w:rsidRPr="00FE4A62">
        <w:rPr>
          <w:rFonts w:eastAsia="Malgun Gothic"/>
          <w:lang w:val="fr-FR"/>
        </w:rPr>
        <w:t>2022 en tant que capitale culturelle africaine et islamique. La préservation et la vivacité du patrimoine à Rabat d</w:t>
      </w:r>
      <w:r w:rsidR="00534C3E">
        <w:rPr>
          <w:rFonts w:eastAsia="Malgun Gothic"/>
          <w:lang w:val="fr-FR"/>
        </w:rPr>
        <w:t xml:space="preserve">evaient </w:t>
      </w:r>
      <w:r w:rsidRPr="00FE4A62">
        <w:rPr>
          <w:rFonts w:eastAsia="Malgun Gothic"/>
          <w:lang w:val="fr-FR"/>
        </w:rPr>
        <w:t>beaucoup à l</w:t>
      </w:r>
      <w:r w:rsidR="00923E72">
        <w:rPr>
          <w:rFonts w:eastAsia="Malgun Gothic"/>
          <w:lang w:val="fr-FR"/>
        </w:rPr>
        <w:t>’</w:t>
      </w:r>
      <w:r w:rsidRPr="00FE4A62">
        <w:rPr>
          <w:rFonts w:eastAsia="Malgun Gothic"/>
          <w:lang w:val="fr-FR"/>
        </w:rPr>
        <w:t>engagement de Sa Majesté le Roi Mohammed</w:t>
      </w:r>
      <w:r w:rsidR="00AD44D6">
        <w:rPr>
          <w:rFonts w:eastAsia="Malgun Gothic"/>
          <w:lang w:val="fr-FR"/>
        </w:rPr>
        <w:t> </w:t>
      </w:r>
      <w:r w:rsidRPr="00FE4A62">
        <w:rPr>
          <w:rFonts w:eastAsia="Malgun Gothic"/>
          <w:lang w:val="fr-FR"/>
        </w:rPr>
        <w:t>VI. M</w:t>
      </w:r>
      <w:r w:rsidRPr="00534C3E">
        <w:rPr>
          <w:rFonts w:eastAsia="Malgun Gothic"/>
          <w:vertAlign w:val="superscript"/>
          <w:lang w:val="fr-FR"/>
        </w:rPr>
        <w:t>me</w:t>
      </w:r>
      <w:r w:rsidR="00534C3E">
        <w:rPr>
          <w:rFonts w:eastAsia="Malgun Gothic"/>
          <w:lang w:val="fr-FR"/>
        </w:rPr>
        <w:t> </w:t>
      </w:r>
      <w:r w:rsidRPr="00FE4A62">
        <w:rPr>
          <w:rFonts w:eastAsia="Malgun Gothic"/>
          <w:lang w:val="fr-FR"/>
        </w:rPr>
        <w:t xml:space="preserve">Azoulay a exprimé ses sincères remerciements à Sa Majesté le Roi pour son engagement, non seulement </w:t>
      </w:r>
      <w:r w:rsidR="00534C3E">
        <w:rPr>
          <w:rFonts w:eastAsia="Malgun Gothic"/>
          <w:lang w:val="fr-FR"/>
        </w:rPr>
        <w:t xml:space="preserve">pour </w:t>
      </w:r>
      <w:r w:rsidRPr="00FE4A62">
        <w:rPr>
          <w:rFonts w:eastAsia="Malgun Gothic"/>
          <w:lang w:val="fr-FR"/>
        </w:rPr>
        <w:t xml:space="preserve">la culture, mais </w:t>
      </w:r>
      <w:r w:rsidR="00534C3E" w:rsidRPr="00534C3E">
        <w:rPr>
          <w:rFonts w:eastAsia="Malgun Gothic"/>
          <w:color w:val="000000" w:themeColor="text1"/>
          <w:lang w:val="fr-FR"/>
        </w:rPr>
        <w:t>également</w:t>
      </w:r>
      <w:r w:rsidRPr="00FE4A62">
        <w:rPr>
          <w:rFonts w:eastAsia="Malgun Gothic"/>
          <w:lang w:val="fr-FR"/>
        </w:rPr>
        <w:t xml:space="preserve"> pour </w:t>
      </w:r>
      <w:r w:rsidR="00534C3E">
        <w:rPr>
          <w:rFonts w:eastAsia="Malgun Gothic"/>
          <w:lang w:val="fr-FR"/>
        </w:rPr>
        <w:t>toute l</w:t>
      </w:r>
      <w:r w:rsidR="00923E72">
        <w:rPr>
          <w:rFonts w:eastAsia="Malgun Gothic"/>
          <w:lang w:val="fr-FR"/>
        </w:rPr>
        <w:t>’</w:t>
      </w:r>
      <w:r w:rsidR="00534C3E">
        <w:rPr>
          <w:rFonts w:eastAsia="Malgun Gothic"/>
          <w:lang w:val="fr-FR"/>
        </w:rPr>
        <w:t>étendue</w:t>
      </w:r>
      <w:r w:rsidRPr="00FE4A62">
        <w:rPr>
          <w:rFonts w:eastAsia="Malgun Gothic"/>
          <w:lang w:val="fr-FR"/>
        </w:rPr>
        <w:t xml:space="preserve"> du mandat de l</w:t>
      </w:r>
      <w:r w:rsidR="00923E72">
        <w:rPr>
          <w:rFonts w:eastAsia="Malgun Gothic"/>
          <w:lang w:val="fr-FR"/>
        </w:rPr>
        <w:t>’</w:t>
      </w:r>
      <w:r w:rsidRPr="00FE4A62">
        <w:rPr>
          <w:rFonts w:eastAsia="Malgun Gothic"/>
          <w:lang w:val="fr-FR"/>
        </w:rPr>
        <w:t>UNESCO et</w:t>
      </w:r>
      <w:r w:rsidR="007075D0">
        <w:rPr>
          <w:rFonts w:eastAsia="Malgun Gothic"/>
          <w:lang w:val="fr-FR"/>
        </w:rPr>
        <w:t xml:space="preserve"> </w:t>
      </w:r>
      <w:r w:rsidRPr="00FE4A62">
        <w:rPr>
          <w:rFonts w:eastAsia="Malgun Gothic"/>
          <w:lang w:val="fr-FR"/>
        </w:rPr>
        <w:t>pour l</w:t>
      </w:r>
      <w:r w:rsidR="00923E72">
        <w:rPr>
          <w:rFonts w:eastAsia="Malgun Gothic"/>
          <w:lang w:val="fr-FR"/>
        </w:rPr>
        <w:t>’</w:t>
      </w:r>
      <w:r w:rsidRPr="00FE4A62">
        <w:rPr>
          <w:rFonts w:eastAsia="Malgun Gothic"/>
          <w:lang w:val="fr-FR"/>
        </w:rPr>
        <w:t>action multilatérale au service de la paix. La Convention de</w:t>
      </w:r>
      <w:r w:rsidR="005349D5">
        <w:rPr>
          <w:rFonts w:eastAsia="Malgun Gothic"/>
          <w:lang w:val="fr-FR"/>
        </w:rPr>
        <w:t> </w:t>
      </w:r>
      <w:r w:rsidRPr="00FE4A62">
        <w:rPr>
          <w:rFonts w:eastAsia="Malgun Gothic"/>
          <w:lang w:val="fr-FR"/>
        </w:rPr>
        <w:t>2003 fêtera</w:t>
      </w:r>
      <w:r w:rsidR="00B20F88">
        <w:rPr>
          <w:rFonts w:eastAsia="Malgun Gothic"/>
          <w:lang w:val="fr-FR"/>
        </w:rPr>
        <w:t>it</w:t>
      </w:r>
      <w:r w:rsidRPr="00FE4A62">
        <w:rPr>
          <w:rFonts w:eastAsia="Malgun Gothic"/>
          <w:lang w:val="fr-FR"/>
        </w:rPr>
        <w:t xml:space="preserve"> son vingtième anniversaire en</w:t>
      </w:r>
      <w:r w:rsidR="005349D5">
        <w:rPr>
          <w:rFonts w:eastAsia="Malgun Gothic"/>
          <w:lang w:val="fr-FR"/>
        </w:rPr>
        <w:t> </w:t>
      </w:r>
      <w:r w:rsidRPr="00FE4A62">
        <w:rPr>
          <w:rFonts w:eastAsia="Malgun Gothic"/>
          <w:lang w:val="fr-FR"/>
        </w:rPr>
        <w:t>2023. Bien qu</w:t>
      </w:r>
      <w:r w:rsidR="00923E72">
        <w:rPr>
          <w:rFonts w:eastAsia="Malgun Gothic"/>
          <w:lang w:val="fr-FR"/>
        </w:rPr>
        <w:t>’</w:t>
      </w:r>
      <w:r w:rsidRPr="00FE4A62">
        <w:rPr>
          <w:rFonts w:eastAsia="Malgun Gothic"/>
          <w:lang w:val="fr-FR"/>
        </w:rPr>
        <w:t>elle soit l</w:t>
      </w:r>
      <w:r w:rsidR="00923E72">
        <w:rPr>
          <w:rFonts w:eastAsia="Malgun Gothic"/>
          <w:lang w:val="fr-FR"/>
        </w:rPr>
        <w:t>’</w:t>
      </w:r>
      <w:r w:rsidRPr="00FE4A62">
        <w:rPr>
          <w:rFonts w:eastAsia="Malgun Gothic"/>
          <w:lang w:val="fr-FR"/>
        </w:rPr>
        <w:t xml:space="preserve">une des plus jeunes conventions, elle </w:t>
      </w:r>
      <w:r w:rsidR="00B20F88">
        <w:rPr>
          <w:rFonts w:eastAsia="Malgun Gothic"/>
          <w:lang w:val="fr-FR"/>
        </w:rPr>
        <w:t>était</w:t>
      </w:r>
      <w:r w:rsidRPr="00FE4A62">
        <w:rPr>
          <w:rFonts w:eastAsia="Malgun Gothic"/>
          <w:lang w:val="fr-FR"/>
        </w:rPr>
        <w:t xml:space="preserve"> celle qui célèbre la relation du symbolisme, liée à l</w:t>
      </w:r>
      <w:r w:rsidR="00923E72">
        <w:rPr>
          <w:rFonts w:eastAsia="Malgun Gothic"/>
          <w:lang w:val="fr-FR"/>
        </w:rPr>
        <w:t>’</w:t>
      </w:r>
      <w:r w:rsidRPr="00FE4A62">
        <w:rPr>
          <w:rFonts w:eastAsia="Malgun Gothic"/>
          <w:lang w:val="fr-FR"/>
        </w:rPr>
        <w:t>histoire de l</w:t>
      </w:r>
      <w:r w:rsidR="00923E72">
        <w:rPr>
          <w:rFonts w:eastAsia="Malgun Gothic"/>
          <w:lang w:val="fr-FR"/>
        </w:rPr>
        <w:t>’</w:t>
      </w:r>
      <w:r w:rsidRPr="00FE4A62">
        <w:rPr>
          <w:rFonts w:eastAsia="Malgun Gothic"/>
          <w:lang w:val="fr-FR"/>
        </w:rPr>
        <w:t>humanité</w:t>
      </w:r>
      <w:r w:rsidR="007075D0">
        <w:rPr>
          <w:rFonts w:eastAsia="Malgun Gothic"/>
          <w:lang w:val="fr-FR"/>
        </w:rPr>
        <w:t xml:space="preserve">. </w:t>
      </w:r>
      <w:r w:rsidRPr="00FE4A62">
        <w:rPr>
          <w:rFonts w:eastAsia="Malgun Gothic"/>
          <w:lang w:val="fr-FR"/>
        </w:rPr>
        <w:t>Malgré sa jeunesse, la Convention a</w:t>
      </w:r>
      <w:r w:rsidR="00B20F88">
        <w:rPr>
          <w:rFonts w:eastAsia="Malgun Gothic"/>
          <w:lang w:val="fr-FR"/>
        </w:rPr>
        <w:t>vait</w:t>
      </w:r>
      <w:r w:rsidRPr="00FE4A62">
        <w:rPr>
          <w:rFonts w:eastAsia="Malgun Gothic"/>
          <w:lang w:val="fr-FR"/>
        </w:rPr>
        <w:t xml:space="preserve"> déjà accompli de grandes choses. En moins de deux décennies, elle a</w:t>
      </w:r>
      <w:r w:rsidR="00B20F88">
        <w:rPr>
          <w:rFonts w:eastAsia="Malgun Gothic"/>
          <w:lang w:val="fr-FR"/>
        </w:rPr>
        <w:t>vait</w:t>
      </w:r>
      <w:r w:rsidRPr="00FE4A62">
        <w:rPr>
          <w:rFonts w:eastAsia="Malgun Gothic"/>
          <w:lang w:val="fr-FR"/>
        </w:rPr>
        <w:t xml:space="preserve"> su donner une autre dimension, elle a</w:t>
      </w:r>
      <w:r w:rsidR="00B20F88">
        <w:rPr>
          <w:rFonts w:eastAsia="Malgun Gothic"/>
          <w:lang w:val="fr-FR"/>
        </w:rPr>
        <w:t>vait</w:t>
      </w:r>
      <w:r w:rsidR="00534C3E">
        <w:rPr>
          <w:rFonts w:eastAsia="Malgun Gothic"/>
          <w:lang w:val="fr-FR"/>
        </w:rPr>
        <w:t>,</w:t>
      </w:r>
      <w:r w:rsidRPr="00FE4A62">
        <w:rPr>
          <w:rFonts w:eastAsia="Malgun Gothic"/>
          <w:lang w:val="fr-FR"/>
        </w:rPr>
        <w:t xml:space="preserve"> en quelque sorte</w:t>
      </w:r>
      <w:r w:rsidR="00534C3E">
        <w:rPr>
          <w:rFonts w:eastAsia="Malgun Gothic"/>
          <w:lang w:val="fr-FR"/>
        </w:rPr>
        <w:t>,</w:t>
      </w:r>
      <w:r w:rsidRPr="00FE4A62">
        <w:rPr>
          <w:rFonts w:eastAsia="Malgun Gothic"/>
          <w:lang w:val="fr-FR"/>
        </w:rPr>
        <w:t xml:space="preserve"> réinventé la notion de patrimoine. Comme l</w:t>
      </w:r>
      <w:r w:rsidR="00923E72">
        <w:rPr>
          <w:rFonts w:eastAsia="Malgun Gothic"/>
          <w:lang w:val="fr-FR"/>
        </w:rPr>
        <w:t>’</w:t>
      </w:r>
      <w:r w:rsidRPr="00FE4A62">
        <w:rPr>
          <w:rFonts w:eastAsia="Malgun Gothic"/>
          <w:lang w:val="fr-FR"/>
        </w:rPr>
        <w:t>a</w:t>
      </w:r>
      <w:r w:rsidR="00B20F88">
        <w:rPr>
          <w:rFonts w:eastAsia="Malgun Gothic"/>
          <w:lang w:val="fr-FR"/>
        </w:rPr>
        <w:t>vait</w:t>
      </w:r>
      <w:r w:rsidRPr="00FE4A62">
        <w:rPr>
          <w:rFonts w:eastAsia="Malgun Gothic"/>
          <w:lang w:val="fr-FR"/>
        </w:rPr>
        <w:t xml:space="preserve"> rappelé le message de Sa Majesté aux délégués, </w:t>
      </w:r>
      <w:r w:rsidR="007075D0">
        <w:rPr>
          <w:rFonts w:eastAsia="Malgun Gothic"/>
          <w:lang w:val="fr-FR"/>
        </w:rPr>
        <w:t xml:space="preserve">le </w:t>
      </w:r>
      <w:r w:rsidRPr="00FE4A62">
        <w:rPr>
          <w:rFonts w:eastAsia="Malgun Gothic"/>
          <w:lang w:val="fr-FR"/>
        </w:rPr>
        <w:t>patrimoine de l</w:t>
      </w:r>
      <w:r w:rsidR="00923E72">
        <w:rPr>
          <w:rFonts w:eastAsia="Malgun Gothic"/>
          <w:lang w:val="fr-FR"/>
        </w:rPr>
        <w:t>’</w:t>
      </w:r>
      <w:r w:rsidRPr="00FE4A62">
        <w:rPr>
          <w:rFonts w:eastAsia="Malgun Gothic"/>
          <w:lang w:val="fr-FR"/>
        </w:rPr>
        <w:t>humanité</w:t>
      </w:r>
      <w:r w:rsidR="007075D0">
        <w:rPr>
          <w:rFonts w:eastAsia="Malgun Gothic"/>
          <w:lang w:val="fr-FR"/>
        </w:rPr>
        <w:t xml:space="preserve"> n</w:t>
      </w:r>
      <w:r w:rsidR="00923E72">
        <w:rPr>
          <w:rFonts w:eastAsia="Malgun Gothic"/>
          <w:lang w:val="fr-FR"/>
        </w:rPr>
        <w:t>’</w:t>
      </w:r>
      <w:r w:rsidR="007075D0">
        <w:rPr>
          <w:rFonts w:eastAsia="Malgun Gothic"/>
          <w:lang w:val="fr-FR"/>
        </w:rPr>
        <w:t xml:space="preserve">est </w:t>
      </w:r>
      <w:r w:rsidRPr="00FE4A62">
        <w:rPr>
          <w:rFonts w:eastAsia="Malgun Gothic"/>
          <w:lang w:val="fr-FR"/>
        </w:rPr>
        <w:t xml:space="preserve">plus seulement </w:t>
      </w:r>
      <w:r w:rsidR="007075D0">
        <w:rPr>
          <w:rFonts w:eastAsia="Malgun Gothic"/>
          <w:lang w:val="fr-FR"/>
        </w:rPr>
        <w:t xml:space="preserve">envisagé sous forme de </w:t>
      </w:r>
      <w:r w:rsidRPr="00FE4A62">
        <w:rPr>
          <w:rFonts w:eastAsia="Malgun Gothic"/>
          <w:lang w:val="fr-FR"/>
        </w:rPr>
        <w:t xml:space="preserve">monuments ou </w:t>
      </w:r>
      <w:r w:rsidR="007075D0">
        <w:rPr>
          <w:rFonts w:eastAsia="Malgun Gothic"/>
          <w:lang w:val="fr-FR"/>
        </w:rPr>
        <w:t xml:space="preserve">de </w:t>
      </w:r>
      <w:r w:rsidRPr="00FE4A62">
        <w:rPr>
          <w:rFonts w:eastAsia="Malgun Gothic"/>
          <w:lang w:val="fr-FR"/>
        </w:rPr>
        <w:t xml:space="preserve">sites naturels, </w:t>
      </w:r>
      <w:r w:rsidR="007075D0">
        <w:rPr>
          <w:rFonts w:eastAsia="Malgun Gothic"/>
          <w:lang w:val="fr-FR"/>
        </w:rPr>
        <w:t>même s</w:t>
      </w:r>
      <w:r w:rsidR="00923E72">
        <w:rPr>
          <w:rFonts w:eastAsia="Malgun Gothic"/>
          <w:lang w:val="fr-FR"/>
        </w:rPr>
        <w:t>’</w:t>
      </w:r>
      <w:r w:rsidR="007075D0">
        <w:rPr>
          <w:rFonts w:eastAsia="Malgun Gothic"/>
          <w:lang w:val="fr-FR"/>
        </w:rPr>
        <w:t>ils sont admirés et célèbres</w:t>
      </w:r>
      <w:r w:rsidRPr="00FE4A62">
        <w:rPr>
          <w:rFonts w:eastAsia="Malgun Gothic"/>
          <w:lang w:val="fr-FR"/>
        </w:rPr>
        <w:t>, de Versailles au Taj Mahal, du Machu Pi</w:t>
      </w:r>
      <w:r w:rsidR="00923E72">
        <w:rPr>
          <w:rFonts w:eastAsia="Malgun Gothic"/>
          <w:lang w:val="fr-FR"/>
        </w:rPr>
        <w:t>c</w:t>
      </w:r>
      <w:r w:rsidRPr="00FE4A62">
        <w:rPr>
          <w:rFonts w:eastAsia="Malgun Gothic"/>
          <w:lang w:val="fr-FR"/>
        </w:rPr>
        <w:t>chu à la Grande Muraille de Chine</w:t>
      </w:r>
      <w:r w:rsidR="005349D5">
        <w:rPr>
          <w:rFonts w:eastAsia="Malgun Gothic"/>
          <w:lang w:val="fr-FR"/>
        </w:rPr>
        <w:t> ;</w:t>
      </w:r>
      <w:r w:rsidR="007075D0">
        <w:rPr>
          <w:rFonts w:eastAsia="Malgun Gothic"/>
          <w:lang w:val="fr-FR"/>
        </w:rPr>
        <w:t xml:space="preserve"> </w:t>
      </w:r>
      <w:r w:rsidR="005349D5">
        <w:rPr>
          <w:rFonts w:eastAsia="Malgun Gothic"/>
          <w:lang w:val="fr-FR"/>
        </w:rPr>
        <w:t>i</w:t>
      </w:r>
      <w:r w:rsidR="0063680E">
        <w:rPr>
          <w:rFonts w:eastAsia="Malgun Gothic"/>
          <w:lang w:val="fr-FR"/>
        </w:rPr>
        <w:t xml:space="preserve">l envisage également un </w:t>
      </w:r>
      <w:r w:rsidRPr="00FE4A62">
        <w:rPr>
          <w:rFonts w:eastAsia="Malgun Gothic"/>
          <w:lang w:val="fr-FR"/>
        </w:rPr>
        <w:t xml:space="preserve">autre patrimoine fondamental, </w:t>
      </w:r>
      <w:r w:rsidR="0063680E">
        <w:rPr>
          <w:rFonts w:eastAsia="Malgun Gothic"/>
          <w:lang w:val="fr-FR"/>
        </w:rPr>
        <w:t xml:space="preserve">fait </w:t>
      </w:r>
      <w:r w:rsidRPr="00FE4A62">
        <w:rPr>
          <w:rFonts w:eastAsia="Malgun Gothic"/>
          <w:lang w:val="fr-FR"/>
        </w:rPr>
        <w:t>de traditions, de fêtes</w:t>
      </w:r>
      <w:r w:rsidR="0063680E">
        <w:rPr>
          <w:rFonts w:eastAsia="Malgun Gothic"/>
          <w:lang w:val="fr-FR"/>
        </w:rPr>
        <w:t xml:space="preserve"> et</w:t>
      </w:r>
      <w:r w:rsidRPr="00FE4A62">
        <w:rPr>
          <w:rFonts w:eastAsia="Malgun Gothic"/>
          <w:lang w:val="fr-FR"/>
        </w:rPr>
        <w:t xml:space="preserve"> de gestes, qui se transmettent de génération en génération, qui donnent à voir les modes de vie les plus intimes et qui se cristallisent pour créer des pratiques sociales. Derrière chacune de ces pratiques, c</w:t>
      </w:r>
      <w:r w:rsidR="00923E72">
        <w:rPr>
          <w:rFonts w:eastAsia="Malgun Gothic"/>
          <w:lang w:val="fr-FR"/>
        </w:rPr>
        <w:t>’</w:t>
      </w:r>
      <w:r w:rsidR="00797D3D">
        <w:rPr>
          <w:rFonts w:eastAsia="Malgun Gothic"/>
          <w:lang w:val="fr-FR"/>
        </w:rPr>
        <w:t>était</w:t>
      </w:r>
      <w:r w:rsidRPr="00FE4A62">
        <w:rPr>
          <w:rFonts w:eastAsia="Malgun Gothic"/>
          <w:lang w:val="fr-FR"/>
        </w:rPr>
        <w:t xml:space="preserve"> tout un monde et une culture qui se déploient</w:t>
      </w:r>
      <w:r w:rsidR="0063680E">
        <w:rPr>
          <w:rFonts w:eastAsia="Malgun Gothic"/>
          <w:lang w:val="fr-FR"/>
        </w:rPr>
        <w:t>, riche</w:t>
      </w:r>
      <w:r w:rsidR="004F368D">
        <w:rPr>
          <w:rFonts w:eastAsia="Malgun Gothic"/>
          <w:lang w:val="fr-FR"/>
        </w:rPr>
        <w:t>s</w:t>
      </w:r>
      <w:r w:rsidR="0063680E">
        <w:rPr>
          <w:rFonts w:eastAsia="Malgun Gothic"/>
          <w:lang w:val="fr-FR"/>
        </w:rPr>
        <w:t xml:space="preserve"> </w:t>
      </w:r>
      <w:r w:rsidRPr="00FE4A62">
        <w:rPr>
          <w:rFonts w:eastAsia="Malgun Gothic"/>
          <w:lang w:val="fr-FR"/>
        </w:rPr>
        <w:t xml:space="preserve">de siècles de savoirs </w:t>
      </w:r>
      <w:r w:rsidR="0063680E">
        <w:rPr>
          <w:rFonts w:eastAsia="Malgun Gothic"/>
          <w:lang w:val="fr-FR"/>
        </w:rPr>
        <w:t xml:space="preserve">et </w:t>
      </w:r>
      <w:r w:rsidRPr="00FE4A62">
        <w:rPr>
          <w:rFonts w:eastAsia="Malgun Gothic"/>
          <w:lang w:val="fr-FR"/>
        </w:rPr>
        <w:t>d</w:t>
      </w:r>
      <w:r w:rsidR="00923E72">
        <w:rPr>
          <w:rFonts w:eastAsia="Malgun Gothic"/>
          <w:lang w:val="fr-FR"/>
        </w:rPr>
        <w:t>’</w:t>
      </w:r>
      <w:r w:rsidRPr="00FE4A62">
        <w:rPr>
          <w:rFonts w:eastAsia="Malgun Gothic"/>
          <w:lang w:val="fr-FR"/>
        </w:rPr>
        <w:t>échanges</w:t>
      </w:r>
      <w:r w:rsidR="005349D5">
        <w:rPr>
          <w:rFonts w:eastAsia="Malgun Gothic"/>
          <w:lang w:val="fr-FR"/>
        </w:rPr>
        <w:t>,</w:t>
      </w:r>
      <w:r w:rsidRPr="00FE4A62">
        <w:rPr>
          <w:rFonts w:eastAsia="Malgun Gothic"/>
          <w:lang w:val="fr-FR"/>
        </w:rPr>
        <w:t xml:space="preserve"> qui s</w:t>
      </w:r>
      <w:r w:rsidR="00923E72">
        <w:rPr>
          <w:rFonts w:eastAsia="Malgun Gothic"/>
          <w:lang w:val="fr-FR"/>
        </w:rPr>
        <w:t>’</w:t>
      </w:r>
      <w:r w:rsidRPr="00FE4A62">
        <w:rPr>
          <w:rFonts w:eastAsia="Malgun Gothic"/>
          <w:lang w:val="fr-FR"/>
        </w:rPr>
        <w:t>incarnent dans une mémoire vivante et pratiquée.</w:t>
      </w:r>
    </w:p>
    <w:p w14:paraId="35783092" w14:textId="57454DCA" w:rsidR="00B20F88" w:rsidRDefault="00B20F88">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eastAsia="ko-KR"/>
        </w:rPr>
      </w:pPr>
      <w:r w:rsidRPr="00CD5E0F">
        <w:rPr>
          <w:rFonts w:eastAsia="Malgun Gothic"/>
          <w:lang w:val="fr-FR" w:eastAsia="ko-KR"/>
        </w:rPr>
        <w:t>L</w:t>
      </w:r>
      <w:r>
        <w:rPr>
          <w:rFonts w:eastAsia="Malgun Gothic"/>
          <w:lang w:val="fr-FR" w:eastAsia="ko-KR"/>
        </w:rPr>
        <w:t xml:space="preserve">a </w:t>
      </w:r>
      <w:r w:rsidRPr="00CD5E0F">
        <w:rPr>
          <w:rFonts w:eastAsia="Malgun Gothic"/>
          <w:b/>
          <w:bCs/>
          <w:lang w:val="fr-FR" w:eastAsia="ko-KR"/>
        </w:rPr>
        <w:t>Directrice générale de l</w:t>
      </w:r>
      <w:r w:rsidR="00923E72">
        <w:rPr>
          <w:rFonts w:eastAsia="Malgun Gothic"/>
          <w:b/>
          <w:bCs/>
          <w:lang w:val="fr-FR" w:eastAsia="ko-KR"/>
        </w:rPr>
        <w:t>’</w:t>
      </w:r>
      <w:r w:rsidRPr="00CD5E0F">
        <w:rPr>
          <w:rFonts w:eastAsia="Malgun Gothic"/>
          <w:b/>
          <w:bCs/>
          <w:lang w:val="fr-FR" w:eastAsia="ko-KR"/>
        </w:rPr>
        <w:t>UNESCO</w:t>
      </w:r>
      <w:r w:rsidRPr="00CD5E0F">
        <w:rPr>
          <w:rFonts w:eastAsia="Malgun Gothic"/>
          <w:lang w:val="fr-FR" w:eastAsia="ko-KR"/>
        </w:rPr>
        <w:t xml:space="preserve"> a évoqué l</w:t>
      </w:r>
      <w:r w:rsidR="00923E72">
        <w:rPr>
          <w:rFonts w:eastAsia="Malgun Gothic"/>
          <w:lang w:val="fr-FR" w:eastAsia="ko-KR"/>
        </w:rPr>
        <w:t>’</w:t>
      </w:r>
      <w:r>
        <w:rPr>
          <w:rFonts w:eastAsia="Malgun Gothic"/>
          <w:lang w:val="fr-FR" w:eastAsia="ko-KR"/>
        </w:rPr>
        <w:t>e</w:t>
      </w:r>
      <w:r w:rsidRPr="00CD5E0F">
        <w:rPr>
          <w:rFonts w:eastAsia="Malgun Gothic"/>
          <w:lang w:val="fr-FR" w:eastAsia="ko-KR"/>
        </w:rPr>
        <w:t>space culturel de</w:t>
      </w:r>
      <w:r>
        <w:rPr>
          <w:rFonts w:eastAsia="Malgun Gothic"/>
          <w:lang w:val="fr-FR" w:eastAsia="ko-KR"/>
        </w:rPr>
        <w:t xml:space="preserve"> la place</w:t>
      </w:r>
      <w:r w:rsidRPr="00CD5E0F">
        <w:rPr>
          <w:rFonts w:eastAsia="Malgun Gothic"/>
          <w:lang w:val="fr-FR" w:eastAsia="ko-KR"/>
        </w:rPr>
        <w:t xml:space="preserve"> </w:t>
      </w:r>
      <w:proofErr w:type="spellStart"/>
      <w:r w:rsidRPr="00CD5E0F">
        <w:rPr>
          <w:rFonts w:eastAsia="Malgun Gothic"/>
          <w:lang w:val="fr-FR" w:eastAsia="ko-KR"/>
        </w:rPr>
        <w:t>Jemaa</w:t>
      </w:r>
      <w:proofErr w:type="spellEnd"/>
      <w:r w:rsidRPr="00CD5E0F">
        <w:rPr>
          <w:rFonts w:eastAsia="Malgun Gothic"/>
          <w:lang w:val="fr-FR" w:eastAsia="ko-KR"/>
        </w:rPr>
        <w:t xml:space="preserve"> el-</w:t>
      </w:r>
      <w:proofErr w:type="spellStart"/>
      <w:r w:rsidRPr="00CD5E0F">
        <w:rPr>
          <w:rFonts w:eastAsia="Malgun Gothic"/>
          <w:lang w:val="fr-FR" w:eastAsia="ko-KR"/>
        </w:rPr>
        <w:t>Fna</w:t>
      </w:r>
      <w:proofErr w:type="spellEnd"/>
      <w:r w:rsidRPr="00CD5E0F">
        <w:rPr>
          <w:rFonts w:eastAsia="Malgun Gothic"/>
          <w:lang w:val="fr-FR" w:eastAsia="ko-KR"/>
        </w:rPr>
        <w:t xml:space="preserve"> à Marrakech, précurseur du patrimoine culturel immatériel reconnu par l</w:t>
      </w:r>
      <w:r w:rsidR="00923E72">
        <w:rPr>
          <w:rFonts w:eastAsia="Malgun Gothic"/>
          <w:lang w:val="fr-FR" w:eastAsia="ko-KR"/>
        </w:rPr>
        <w:t>’</w:t>
      </w:r>
      <w:r w:rsidRPr="00CD5E0F">
        <w:rPr>
          <w:rFonts w:eastAsia="Malgun Gothic"/>
          <w:lang w:val="fr-FR" w:eastAsia="ko-KR"/>
        </w:rPr>
        <w:t>UNESCO</w:t>
      </w:r>
      <w:r w:rsidR="005349D5">
        <w:rPr>
          <w:rFonts w:eastAsia="Malgun Gothic"/>
          <w:lang w:val="fr-FR" w:eastAsia="ko-KR"/>
        </w:rPr>
        <w:t>,</w:t>
      </w:r>
      <w:r w:rsidR="0063680E">
        <w:rPr>
          <w:rFonts w:eastAsia="Malgun Gothic"/>
          <w:lang w:val="fr-FR" w:eastAsia="ko-KR"/>
        </w:rPr>
        <w:t xml:space="preserve"> et </w:t>
      </w:r>
      <w:r w:rsidRPr="00CD5E0F">
        <w:rPr>
          <w:rFonts w:eastAsia="Malgun Gothic"/>
          <w:lang w:val="fr-FR" w:eastAsia="ko-KR"/>
        </w:rPr>
        <w:t>l</w:t>
      </w:r>
      <w:r w:rsidR="00923E72">
        <w:rPr>
          <w:rFonts w:eastAsia="Malgun Gothic"/>
          <w:lang w:val="fr-FR" w:eastAsia="ko-KR"/>
        </w:rPr>
        <w:t>’</w:t>
      </w:r>
      <w:r w:rsidRPr="00CD5E0F">
        <w:rPr>
          <w:rFonts w:eastAsia="Malgun Gothic"/>
          <w:lang w:val="fr-FR" w:eastAsia="ko-KR"/>
        </w:rPr>
        <w:t xml:space="preserve">ensemble de la civilisation arabo-musulmane, </w:t>
      </w:r>
      <w:r w:rsidR="0063680E">
        <w:rPr>
          <w:rFonts w:eastAsia="Malgun Gothic"/>
          <w:lang w:val="fr-FR" w:eastAsia="ko-KR"/>
        </w:rPr>
        <w:t xml:space="preserve">connu </w:t>
      </w:r>
      <w:r w:rsidRPr="00CD5E0F">
        <w:rPr>
          <w:rFonts w:eastAsia="Malgun Gothic"/>
          <w:lang w:val="fr-FR" w:eastAsia="ko-KR"/>
        </w:rPr>
        <w:t>pour son savoir et son histoire que l</w:t>
      </w:r>
      <w:r w:rsidR="00923E72">
        <w:rPr>
          <w:rFonts w:eastAsia="Malgun Gothic"/>
          <w:lang w:val="fr-FR" w:eastAsia="ko-KR"/>
        </w:rPr>
        <w:t>’</w:t>
      </w:r>
      <w:r w:rsidRPr="00CD5E0F">
        <w:rPr>
          <w:rFonts w:eastAsia="Malgun Gothic"/>
          <w:lang w:val="fr-FR" w:eastAsia="ko-KR"/>
        </w:rPr>
        <w:t>on retrouve dans la calligraphie arabe. C</w:t>
      </w:r>
      <w:r w:rsidR="00923E72">
        <w:rPr>
          <w:rFonts w:eastAsia="Malgun Gothic"/>
          <w:lang w:val="fr-FR" w:eastAsia="ko-KR"/>
        </w:rPr>
        <w:t>’</w:t>
      </w:r>
      <w:r>
        <w:rPr>
          <w:rFonts w:eastAsia="Malgun Gothic"/>
          <w:lang w:val="fr-FR" w:eastAsia="ko-KR"/>
        </w:rPr>
        <w:t>était</w:t>
      </w:r>
      <w:r w:rsidRPr="00CD5E0F">
        <w:rPr>
          <w:rFonts w:eastAsia="Malgun Gothic"/>
          <w:lang w:val="fr-FR" w:eastAsia="ko-KR"/>
        </w:rPr>
        <w:t xml:space="preserve"> la mémoire des fêtes familiales, de la liberté nouvellement acquise, de la dignité retrouvée, que l</w:t>
      </w:r>
      <w:r w:rsidR="00923E72">
        <w:rPr>
          <w:rFonts w:eastAsia="Malgun Gothic"/>
          <w:lang w:val="fr-FR" w:eastAsia="ko-KR"/>
        </w:rPr>
        <w:t>’</w:t>
      </w:r>
      <w:r w:rsidRPr="00CD5E0F">
        <w:rPr>
          <w:rFonts w:eastAsia="Malgun Gothic"/>
          <w:lang w:val="fr-FR" w:eastAsia="ko-KR"/>
        </w:rPr>
        <w:t xml:space="preserve">on </w:t>
      </w:r>
      <w:r w:rsidR="0063680E">
        <w:rPr>
          <w:rFonts w:eastAsia="Malgun Gothic"/>
          <w:lang w:val="fr-FR" w:eastAsia="ko-KR"/>
        </w:rPr>
        <w:t xml:space="preserve">peut </w:t>
      </w:r>
      <w:r w:rsidR="0063680E" w:rsidRPr="0063680E">
        <w:rPr>
          <w:rFonts w:eastAsia="Malgun Gothic"/>
          <w:color w:val="000000" w:themeColor="text1"/>
          <w:lang w:val="fr-FR" w:eastAsia="ko-KR"/>
        </w:rPr>
        <w:t>également</w:t>
      </w:r>
      <w:r w:rsidR="0063680E">
        <w:rPr>
          <w:rFonts w:eastAsia="Malgun Gothic"/>
          <w:color w:val="000000" w:themeColor="text1"/>
          <w:lang w:val="fr-FR" w:eastAsia="ko-KR"/>
        </w:rPr>
        <w:t xml:space="preserve"> </w:t>
      </w:r>
      <w:r w:rsidRPr="00CD5E0F">
        <w:rPr>
          <w:rFonts w:eastAsia="Malgun Gothic"/>
          <w:lang w:val="fr-FR" w:eastAsia="ko-KR"/>
        </w:rPr>
        <w:t>retrouve</w:t>
      </w:r>
      <w:r w:rsidR="0063680E">
        <w:rPr>
          <w:rFonts w:eastAsia="Malgun Gothic"/>
          <w:lang w:val="fr-FR" w:eastAsia="ko-KR"/>
        </w:rPr>
        <w:t>r</w:t>
      </w:r>
      <w:r w:rsidRPr="00CD5E0F">
        <w:rPr>
          <w:rFonts w:eastAsia="Malgun Gothic"/>
          <w:lang w:val="fr-FR" w:eastAsia="ko-KR"/>
        </w:rPr>
        <w:t xml:space="preserve"> dans la </w:t>
      </w:r>
      <w:r w:rsidRPr="00CD5E0F">
        <w:rPr>
          <w:rFonts w:eastAsia="Malgun Gothic"/>
          <w:lang w:val="fr-FR" w:eastAsia="ko-KR"/>
        </w:rPr>
        <w:lastRenderedPageBreak/>
        <w:t xml:space="preserve">soupe </w:t>
      </w:r>
      <w:r>
        <w:rPr>
          <w:rFonts w:eastAsia="Malgun Gothic"/>
          <w:lang w:val="fr-FR" w:eastAsia="ko-KR"/>
        </w:rPr>
        <w:t xml:space="preserve">au giraumon </w:t>
      </w:r>
      <w:r w:rsidRPr="00CD5E0F">
        <w:rPr>
          <w:rFonts w:eastAsia="Malgun Gothic"/>
          <w:lang w:val="fr-FR" w:eastAsia="ko-KR"/>
        </w:rPr>
        <w:t>d</w:t>
      </w:r>
      <w:r w:rsidR="00923E72">
        <w:rPr>
          <w:rFonts w:eastAsia="Malgun Gothic"/>
          <w:lang w:val="fr-FR" w:eastAsia="ko-KR"/>
        </w:rPr>
        <w:t>’</w:t>
      </w:r>
      <w:r w:rsidRPr="00CD5E0F">
        <w:rPr>
          <w:rFonts w:eastAsia="Malgun Gothic"/>
          <w:lang w:val="fr-FR" w:eastAsia="ko-KR"/>
        </w:rPr>
        <w:t>Haïti</w:t>
      </w:r>
      <w:r w:rsidR="0063680E">
        <w:rPr>
          <w:rFonts w:eastAsia="Malgun Gothic"/>
          <w:lang w:val="fr-FR" w:eastAsia="ko-KR"/>
        </w:rPr>
        <w:t xml:space="preserve">, </w:t>
      </w:r>
      <w:r w:rsidRPr="00CD5E0F">
        <w:rPr>
          <w:rFonts w:eastAsia="Malgun Gothic"/>
          <w:lang w:val="fr-FR" w:eastAsia="ko-KR"/>
        </w:rPr>
        <w:t>récemment inscrit</w:t>
      </w:r>
      <w:r w:rsidR="0063680E">
        <w:rPr>
          <w:rFonts w:eastAsia="Malgun Gothic"/>
          <w:lang w:val="fr-FR" w:eastAsia="ko-KR"/>
        </w:rPr>
        <w:t>e</w:t>
      </w:r>
      <w:r w:rsidRPr="00CD5E0F">
        <w:rPr>
          <w:rFonts w:eastAsia="Malgun Gothic"/>
          <w:lang w:val="fr-FR" w:eastAsia="ko-KR"/>
        </w:rPr>
        <w:t xml:space="preserve"> sur la </w:t>
      </w:r>
      <w:r w:rsidR="0063680E">
        <w:rPr>
          <w:rFonts w:eastAsia="Malgun Gothic"/>
          <w:lang w:val="fr-FR" w:eastAsia="ko-KR"/>
        </w:rPr>
        <w:t>Liste représentative</w:t>
      </w:r>
      <w:r w:rsidRPr="00CD5E0F">
        <w:rPr>
          <w:rFonts w:eastAsia="Malgun Gothic"/>
          <w:lang w:val="fr-FR" w:eastAsia="ko-KR"/>
        </w:rPr>
        <w:t>. Lorsque le Comité se réuni</w:t>
      </w:r>
      <w:r>
        <w:rPr>
          <w:rFonts w:eastAsia="Malgun Gothic"/>
          <w:lang w:val="fr-FR" w:eastAsia="ko-KR"/>
        </w:rPr>
        <w:t>ssait</w:t>
      </w:r>
      <w:r w:rsidRPr="00CD5E0F">
        <w:rPr>
          <w:rFonts w:eastAsia="Malgun Gothic"/>
          <w:lang w:val="fr-FR" w:eastAsia="ko-KR"/>
        </w:rPr>
        <w:t xml:space="preserve"> pour examiner ces inscriptions, il fai</w:t>
      </w:r>
      <w:r>
        <w:rPr>
          <w:rFonts w:eastAsia="Malgun Gothic"/>
          <w:lang w:val="fr-FR" w:eastAsia="ko-KR"/>
        </w:rPr>
        <w:t>sait</w:t>
      </w:r>
      <w:r w:rsidRPr="00CD5E0F">
        <w:rPr>
          <w:rFonts w:eastAsia="Malgun Gothic"/>
          <w:lang w:val="fr-FR" w:eastAsia="ko-KR"/>
        </w:rPr>
        <w:t xml:space="preserve"> des pas de géant, </w:t>
      </w:r>
      <w:r w:rsidR="00797D3D">
        <w:rPr>
          <w:rFonts w:eastAsia="Malgun Gothic"/>
          <w:lang w:val="fr-FR" w:eastAsia="ko-KR"/>
        </w:rPr>
        <w:t>tels que</w:t>
      </w:r>
      <w:r w:rsidRPr="00CD5E0F">
        <w:rPr>
          <w:rFonts w:eastAsia="Malgun Gothic"/>
          <w:lang w:val="fr-FR" w:eastAsia="ko-KR"/>
        </w:rPr>
        <w:t xml:space="preserve"> ceux du grand intellectuel malien Amadou </w:t>
      </w:r>
      <w:proofErr w:type="spellStart"/>
      <w:r w:rsidRPr="00CD5E0F">
        <w:rPr>
          <w:rFonts w:eastAsia="Malgun Gothic"/>
          <w:lang w:val="fr-FR" w:eastAsia="ko-KR"/>
        </w:rPr>
        <w:t>Hampâté</w:t>
      </w:r>
      <w:proofErr w:type="spellEnd"/>
      <w:r w:rsidRPr="00CD5E0F">
        <w:rPr>
          <w:rFonts w:eastAsia="Malgun Gothic"/>
          <w:lang w:val="fr-FR" w:eastAsia="ko-KR"/>
        </w:rPr>
        <w:t xml:space="preserve"> Bâ, grand ami et compagnon de route de l</w:t>
      </w:r>
      <w:r w:rsidR="00923E72">
        <w:rPr>
          <w:rFonts w:eastAsia="Malgun Gothic"/>
          <w:lang w:val="fr-FR" w:eastAsia="ko-KR"/>
        </w:rPr>
        <w:t>’</w:t>
      </w:r>
      <w:r w:rsidRPr="00CD5E0F">
        <w:rPr>
          <w:rFonts w:eastAsia="Malgun Gothic"/>
          <w:lang w:val="fr-FR" w:eastAsia="ko-KR"/>
        </w:rPr>
        <w:t xml:space="preserve">UNESCO. Il </w:t>
      </w:r>
      <w:r>
        <w:rPr>
          <w:rFonts w:eastAsia="Malgun Gothic"/>
          <w:lang w:val="fr-FR" w:eastAsia="ko-KR"/>
        </w:rPr>
        <w:t>était</w:t>
      </w:r>
      <w:r w:rsidRPr="00CD5E0F">
        <w:rPr>
          <w:rFonts w:eastAsia="Malgun Gothic"/>
          <w:lang w:val="fr-FR" w:eastAsia="ko-KR"/>
        </w:rPr>
        <w:t xml:space="preserve"> intervenu à l</w:t>
      </w:r>
      <w:r w:rsidR="00923E72">
        <w:rPr>
          <w:rFonts w:eastAsia="Malgun Gothic"/>
          <w:lang w:val="fr-FR" w:eastAsia="ko-KR"/>
        </w:rPr>
        <w:t>’</w:t>
      </w:r>
      <w:r w:rsidRPr="00CD5E0F">
        <w:rPr>
          <w:rFonts w:eastAsia="Malgun Gothic"/>
          <w:lang w:val="fr-FR" w:eastAsia="ko-KR"/>
        </w:rPr>
        <w:t>UNESCO en 1960 pour d</w:t>
      </w:r>
      <w:r w:rsidR="00797D3D">
        <w:rPr>
          <w:rFonts w:eastAsia="Malgun Gothic"/>
          <w:lang w:val="fr-FR" w:eastAsia="ko-KR"/>
        </w:rPr>
        <w:t>emander</w:t>
      </w:r>
      <w:r w:rsidRPr="00CD5E0F">
        <w:rPr>
          <w:rFonts w:eastAsia="Malgun Gothic"/>
          <w:lang w:val="fr-FR" w:eastAsia="ko-KR"/>
        </w:rPr>
        <w:t xml:space="preserve"> </w:t>
      </w:r>
      <w:r>
        <w:rPr>
          <w:rFonts w:eastAsia="Malgun Gothic"/>
          <w:lang w:val="fr-FR" w:eastAsia="ko-KR"/>
        </w:rPr>
        <w:t>« </w:t>
      </w:r>
      <w:r w:rsidRPr="00CD5E0F">
        <w:rPr>
          <w:rFonts w:eastAsia="Malgun Gothic"/>
          <w:lang w:val="fr-FR" w:eastAsia="ko-KR"/>
        </w:rPr>
        <w:t xml:space="preserve">que la sauvegarde des traditions orales soit considérée comme une opération </w:t>
      </w:r>
      <w:r w:rsidR="00797D3D">
        <w:rPr>
          <w:rFonts w:eastAsia="Malgun Gothic"/>
          <w:lang w:val="fr-FR" w:eastAsia="ko-KR"/>
        </w:rPr>
        <w:t xml:space="preserve">de </w:t>
      </w:r>
      <w:r w:rsidRPr="00CD5E0F">
        <w:rPr>
          <w:rFonts w:eastAsia="Malgun Gothic"/>
          <w:lang w:val="fr-FR" w:eastAsia="ko-KR"/>
        </w:rPr>
        <w:t>nécessité</w:t>
      </w:r>
      <w:r w:rsidR="00797D3D">
        <w:rPr>
          <w:rFonts w:eastAsia="Malgun Gothic"/>
          <w:lang w:val="fr-FR" w:eastAsia="ko-KR"/>
        </w:rPr>
        <w:t xml:space="preserve"> urgente</w:t>
      </w:r>
      <w:r w:rsidRPr="00CD5E0F">
        <w:rPr>
          <w:rFonts w:eastAsia="Malgun Gothic"/>
          <w:lang w:val="fr-FR" w:eastAsia="ko-KR"/>
        </w:rPr>
        <w:t>, au même titre que la sauvegarde des monuments de Nubie</w:t>
      </w:r>
      <w:r w:rsidR="003945E3">
        <w:rPr>
          <w:rFonts w:eastAsia="Malgun Gothic"/>
          <w:lang w:val="fr-FR" w:eastAsia="ko-KR"/>
        </w:rPr>
        <w:t>.</w:t>
      </w:r>
      <w:r>
        <w:rPr>
          <w:rFonts w:eastAsia="Malgun Gothic"/>
          <w:lang w:val="fr-FR" w:eastAsia="ko-KR"/>
        </w:rPr>
        <w:t> »</w:t>
      </w:r>
      <w:r w:rsidR="00797D3D">
        <w:rPr>
          <w:rFonts w:eastAsia="Malgun Gothic"/>
          <w:lang w:val="fr-FR" w:eastAsia="ko-KR"/>
        </w:rPr>
        <w:t xml:space="preserve"> Désormais</w:t>
      </w:r>
      <w:r w:rsidRPr="00CD5E0F">
        <w:rPr>
          <w:rFonts w:eastAsia="Malgun Gothic"/>
          <w:lang w:val="fr-FR" w:eastAsia="ko-KR"/>
        </w:rPr>
        <w:t>, le Comité p</w:t>
      </w:r>
      <w:r w:rsidR="00797D3D">
        <w:rPr>
          <w:rFonts w:eastAsia="Malgun Gothic"/>
          <w:lang w:val="fr-FR" w:eastAsia="ko-KR"/>
        </w:rPr>
        <w:t>ouvait</w:t>
      </w:r>
      <w:r w:rsidRPr="00CD5E0F">
        <w:rPr>
          <w:rFonts w:eastAsia="Malgun Gothic"/>
          <w:lang w:val="fr-FR" w:eastAsia="ko-KR"/>
        </w:rPr>
        <w:t xml:space="preserve"> être légitimement fier de la Convention, ce concep</w:t>
      </w:r>
      <w:r w:rsidR="0063680E">
        <w:rPr>
          <w:rFonts w:eastAsia="Malgun Gothic"/>
          <w:lang w:val="fr-FR" w:eastAsia="ko-KR"/>
        </w:rPr>
        <w:t>t</w:t>
      </w:r>
      <w:r w:rsidRPr="00CD5E0F">
        <w:rPr>
          <w:rFonts w:eastAsia="Malgun Gothic"/>
          <w:lang w:val="fr-FR" w:eastAsia="ko-KR"/>
        </w:rPr>
        <w:t xml:space="preserve"> vivant du patrimoine</w:t>
      </w:r>
      <w:r w:rsidR="00AD44D6">
        <w:rPr>
          <w:rFonts w:eastAsia="Malgun Gothic"/>
          <w:lang w:val="fr-FR" w:eastAsia="ko-KR"/>
        </w:rPr>
        <w:t xml:space="preserve">, </w:t>
      </w:r>
      <w:r w:rsidRPr="00CD5E0F">
        <w:rPr>
          <w:rFonts w:eastAsia="Malgun Gothic"/>
          <w:lang w:val="fr-FR" w:eastAsia="ko-KR"/>
        </w:rPr>
        <w:t>devenu</w:t>
      </w:r>
      <w:r w:rsidR="00AD44D6">
        <w:rPr>
          <w:rFonts w:eastAsia="Malgun Gothic"/>
          <w:lang w:val="fr-FR" w:eastAsia="ko-KR"/>
        </w:rPr>
        <w:t>e</w:t>
      </w:r>
      <w:r w:rsidRPr="00CD5E0F">
        <w:rPr>
          <w:rFonts w:eastAsia="Malgun Gothic"/>
          <w:lang w:val="fr-FR" w:eastAsia="ko-KR"/>
        </w:rPr>
        <w:t xml:space="preserve"> quasi universe</w:t>
      </w:r>
      <w:r w:rsidR="00AD44D6">
        <w:rPr>
          <w:rFonts w:eastAsia="Malgun Gothic"/>
          <w:lang w:val="fr-FR" w:eastAsia="ko-KR"/>
        </w:rPr>
        <w:t>lle</w:t>
      </w:r>
      <w:r w:rsidR="0063680E">
        <w:rPr>
          <w:rFonts w:eastAsia="Malgun Gothic"/>
          <w:lang w:val="fr-FR" w:eastAsia="ko-KR"/>
        </w:rPr>
        <w:t xml:space="preserve"> </w:t>
      </w:r>
      <w:r w:rsidRPr="00CD5E0F">
        <w:rPr>
          <w:rFonts w:eastAsia="Malgun Gothic"/>
          <w:lang w:val="fr-FR" w:eastAsia="ko-KR"/>
        </w:rPr>
        <w:t>avec</w:t>
      </w:r>
      <w:r w:rsidR="005349D5">
        <w:rPr>
          <w:rFonts w:eastAsia="Malgun Gothic"/>
          <w:lang w:val="fr-FR" w:eastAsia="ko-KR"/>
        </w:rPr>
        <w:t> </w:t>
      </w:r>
      <w:r w:rsidRPr="00CD5E0F">
        <w:rPr>
          <w:rFonts w:eastAsia="Malgun Gothic"/>
          <w:lang w:val="fr-FR" w:eastAsia="ko-KR"/>
        </w:rPr>
        <w:t xml:space="preserve">180 États parties. La Convention </w:t>
      </w:r>
      <w:r w:rsidR="00797D3D">
        <w:rPr>
          <w:rFonts w:eastAsia="Malgun Gothic"/>
          <w:lang w:val="fr-FR" w:eastAsia="ko-KR"/>
        </w:rPr>
        <w:t xml:space="preserve">avait </w:t>
      </w:r>
      <w:r w:rsidRPr="00CD5E0F">
        <w:rPr>
          <w:rFonts w:eastAsia="Malgun Gothic"/>
          <w:lang w:val="fr-FR" w:eastAsia="ko-KR"/>
        </w:rPr>
        <w:t xml:space="preserve">diffusé une nouvelle compréhension, au point de conduire de nombreux pays à adopter de nouvelles législations dans ce domaine, des politiques publiques difficilement imaginables auparavant, </w:t>
      </w:r>
      <w:r w:rsidR="00797D3D">
        <w:rPr>
          <w:rFonts w:eastAsia="Malgun Gothic"/>
          <w:lang w:val="fr-FR" w:eastAsia="ko-KR"/>
        </w:rPr>
        <w:t>comme l</w:t>
      </w:r>
      <w:r w:rsidR="00923E72">
        <w:rPr>
          <w:rFonts w:eastAsia="Malgun Gothic"/>
          <w:lang w:val="fr-FR" w:eastAsia="ko-KR"/>
        </w:rPr>
        <w:t>’</w:t>
      </w:r>
      <w:r w:rsidR="00797D3D">
        <w:rPr>
          <w:rFonts w:eastAsia="Malgun Gothic"/>
          <w:lang w:val="fr-FR" w:eastAsia="ko-KR"/>
        </w:rPr>
        <w:t>avait reconnu</w:t>
      </w:r>
      <w:r w:rsidRPr="00CD5E0F">
        <w:rPr>
          <w:rFonts w:eastAsia="Malgun Gothic"/>
          <w:lang w:val="fr-FR" w:eastAsia="ko-KR"/>
        </w:rPr>
        <w:t xml:space="preserve"> la</w:t>
      </w:r>
      <w:r w:rsidR="00DB4C4C">
        <w:rPr>
          <w:rFonts w:eastAsia="Malgun Gothic"/>
          <w:lang w:val="fr-FR" w:eastAsia="ko-KR"/>
        </w:rPr>
        <w:t xml:space="preserve"> </w:t>
      </w:r>
      <w:hyperlink r:id="rId10" w:history="1">
        <w:r w:rsidR="00DB4C4C" w:rsidRPr="00DB4C4C">
          <w:rPr>
            <w:rStyle w:val="Hyperlink"/>
            <w:rFonts w:eastAsia="Malgun Gothic"/>
            <w:lang w:val="fr-FR" w:eastAsia="ko-KR"/>
          </w:rPr>
          <w:t xml:space="preserve">Déclaration finale des </w:t>
        </w:r>
        <w:r w:rsidR="00DB4C4C">
          <w:rPr>
            <w:rStyle w:val="Hyperlink"/>
            <w:rFonts w:eastAsia="Malgun Gothic"/>
            <w:lang w:val="fr-FR" w:eastAsia="ko-KR"/>
          </w:rPr>
          <w:t>M</w:t>
        </w:r>
        <w:r w:rsidR="00DB4C4C" w:rsidRPr="00DB4C4C">
          <w:rPr>
            <w:rStyle w:val="Hyperlink"/>
            <w:rFonts w:eastAsia="Malgun Gothic"/>
            <w:lang w:val="fr-FR" w:eastAsia="ko-KR"/>
          </w:rPr>
          <w:t>inistres de</w:t>
        </w:r>
        <w:r w:rsidR="00847D9F">
          <w:rPr>
            <w:rStyle w:val="Hyperlink"/>
            <w:rFonts w:eastAsia="Malgun Gothic"/>
            <w:lang w:val="fr-FR" w:eastAsia="ko-KR"/>
          </w:rPr>
          <w:t xml:space="preserve"> la</w:t>
        </w:r>
        <w:r w:rsidR="00DB4C4C" w:rsidRPr="00DB4C4C">
          <w:rPr>
            <w:rStyle w:val="Hyperlink"/>
            <w:rFonts w:eastAsia="Malgun Gothic"/>
            <w:lang w:val="fr-FR" w:eastAsia="ko-KR"/>
          </w:rPr>
          <w:t xml:space="preserve"> culture</w:t>
        </w:r>
      </w:hyperlink>
      <w:r w:rsidR="00DB4C4C">
        <w:rPr>
          <w:rFonts w:eastAsia="Malgun Gothic"/>
          <w:lang w:val="fr-FR" w:eastAsia="ko-KR"/>
        </w:rPr>
        <w:t xml:space="preserve"> </w:t>
      </w:r>
      <w:r w:rsidRPr="00CD5E0F">
        <w:rPr>
          <w:rFonts w:eastAsia="Malgun Gothic"/>
          <w:lang w:val="fr-FR" w:eastAsia="ko-KR"/>
        </w:rPr>
        <w:t>de la Conférence MONDIACULT</w:t>
      </w:r>
      <w:r w:rsidR="00246428">
        <w:rPr>
          <w:rFonts w:eastAsia="Malgun Gothic"/>
          <w:lang w:val="fr-FR" w:eastAsia="ko-KR"/>
        </w:rPr>
        <w:t> </w:t>
      </w:r>
      <w:r w:rsidRPr="00CD5E0F">
        <w:rPr>
          <w:rFonts w:eastAsia="Malgun Gothic"/>
          <w:lang w:val="fr-FR" w:eastAsia="ko-KR"/>
        </w:rPr>
        <w:t>2022 en septembre</w:t>
      </w:r>
      <w:r w:rsidR="005349D5">
        <w:rPr>
          <w:rFonts w:eastAsia="Malgun Gothic"/>
          <w:lang w:val="fr-FR" w:eastAsia="ko-KR"/>
        </w:rPr>
        <w:t> </w:t>
      </w:r>
      <w:r w:rsidRPr="00CD5E0F">
        <w:rPr>
          <w:rFonts w:eastAsia="Malgun Gothic"/>
          <w:lang w:val="fr-FR" w:eastAsia="ko-KR"/>
        </w:rPr>
        <w:t xml:space="preserve">2022. </w:t>
      </w:r>
      <w:r w:rsidR="00AD44D6">
        <w:rPr>
          <w:rFonts w:eastAsia="Malgun Gothic"/>
          <w:lang w:val="fr-FR" w:eastAsia="ko-KR"/>
        </w:rPr>
        <w:t>C</w:t>
      </w:r>
      <w:r w:rsidR="00923E72">
        <w:rPr>
          <w:rFonts w:eastAsia="Malgun Gothic"/>
          <w:lang w:val="fr-FR" w:eastAsia="ko-KR"/>
        </w:rPr>
        <w:t>’</w:t>
      </w:r>
      <w:r w:rsidR="00AD44D6">
        <w:rPr>
          <w:rFonts w:eastAsia="Malgun Gothic"/>
          <w:lang w:val="fr-FR" w:eastAsia="ko-KR"/>
        </w:rPr>
        <w:t xml:space="preserve">était </w:t>
      </w:r>
      <w:r w:rsidR="00BF3673">
        <w:rPr>
          <w:rFonts w:eastAsia="Malgun Gothic"/>
          <w:lang w:val="fr-FR" w:eastAsia="ko-KR"/>
        </w:rPr>
        <w:t>u</w:t>
      </w:r>
      <w:r w:rsidRPr="00CD5E0F">
        <w:rPr>
          <w:rFonts w:eastAsia="Malgun Gothic"/>
          <w:lang w:val="fr-FR" w:eastAsia="ko-KR"/>
        </w:rPr>
        <w:t>n concept du patrimoine immatériel indissociable d</w:t>
      </w:r>
      <w:r w:rsidR="00923E72">
        <w:rPr>
          <w:rFonts w:eastAsia="Malgun Gothic"/>
          <w:lang w:val="fr-FR" w:eastAsia="ko-KR"/>
        </w:rPr>
        <w:t>’</w:t>
      </w:r>
      <w:r w:rsidRPr="00CD5E0F">
        <w:rPr>
          <w:rFonts w:eastAsia="Malgun Gothic"/>
          <w:lang w:val="fr-FR" w:eastAsia="ko-KR"/>
        </w:rPr>
        <w:t>autres instruments</w:t>
      </w:r>
      <w:r w:rsidR="005B684A">
        <w:rPr>
          <w:rFonts w:eastAsia="Malgun Gothic"/>
          <w:lang w:val="fr-FR" w:eastAsia="ko-KR"/>
        </w:rPr>
        <w:t xml:space="preserve">, </w:t>
      </w:r>
      <w:r w:rsidRPr="00CD5E0F">
        <w:rPr>
          <w:rFonts w:eastAsia="Malgun Gothic"/>
          <w:lang w:val="fr-FR" w:eastAsia="ko-KR"/>
        </w:rPr>
        <w:t>qui reconna</w:t>
      </w:r>
      <w:r w:rsidR="00AD44D6">
        <w:rPr>
          <w:rFonts w:eastAsia="Malgun Gothic"/>
          <w:lang w:val="fr-FR" w:eastAsia="ko-KR"/>
        </w:rPr>
        <w:t>issait</w:t>
      </w:r>
      <w:r w:rsidRPr="00CD5E0F">
        <w:rPr>
          <w:rFonts w:eastAsia="Malgun Gothic"/>
          <w:lang w:val="fr-FR" w:eastAsia="ko-KR"/>
        </w:rPr>
        <w:t xml:space="preserve"> le patrimoine immatériel, la diversité des expressions culturelles contemporaines, le patrimoine subaquatique, le tout devant être compris comme un ensemble</w:t>
      </w:r>
      <w:r w:rsidR="00BF3673">
        <w:rPr>
          <w:rFonts w:eastAsia="Malgun Gothic"/>
          <w:lang w:val="fr-FR" w:eastAsia="ko-KR"/>
        </w:rPr>
        <w:t>,</w:t>
      </w:r>
      <w:r w:rsidRPr="00CD5E0F">
        <w:rPr>
          <w:rFonts w:eastAsia="Malgun Gothic"/>
          <w:lang w:val="fr-FR" w:eastAsia="ko-KR"/>
        </w:rPr>
        <w:t xml:space="preserve"> et qui </w:t>
      </w:r>
      <w:r w:rsidR="0063680E">
        <w:rPr>
          <w:rFonts w:eastAsia="Malgun Gothic"/>
          <w:lang w:val="fr-FR" w:eastAsia="ko-KR"/>
        </w:rPr>
        <w:t>donnait</w:t>
      </w:r>
      <w:r w:rsidRPr="00CD5E0F">
        <w:rPr>
          <w:rFonts w:eastAsia="Malgun Gothic"/>
          <w:lang w:val="fr-FR" w:eastAsia="ko-KR"/>
        </w:rPr>
        <w:t xml:space="preserve"> naissance à une nouvelle éthique du patrimoine</w:t>
      </w:r>
      <w:r w:rsidR="00AD44D6">
        <w:rPr>
          <w:rFonts w:eastAsia="Malgun Gothic"/>
          <w:lang w:val="fr-FR" w:eastAsia="ko-KR"/>
        </w:rPr>
        <w:t xml:space="preserve"> </w:t>
      </w:r>
      <w:r w:rsidRPr="00CD5E0F">
        <w:rPr>
          <w:rFonts w:eastAsia="Malgun Gothic"/>
          <w:lang w:val="fr-FR" w:eastAsia="ko-KR"/>
        </w:rPr>
        <w:t>incarnée dans des lieux comme Rabat ou Delphes</w:t>
      </w:r>
      <w:r w:rsidR="00BB2856">
        <w:rPr>
          <w:rFonts w:eastAsia="Malgun Gothic"/>
          <w:lang w:val="fr-FR" w:eastAsia="ko-KR"/>
        </w:rPr>
        <w:t>, là</w:t>
      </w:r>
      <w:r w:rsidRPr="00CD5E0F">
        <w:rPr>
          <w:rFonts w:eastAsia="Malgun Gothic"/>
          <w:lang w:val="fr-FR" w:eastAsia="ko-KR"/>
        </w:rPr>
        <w:t xml:space="preserve"> où</w:t>
      </w:r>
      <w:r w:rsidR="005349D5">
        <w:rPr>
          <w:rFonts w:eastAsia="Malgun Gothic"/>
          <w:lang w:val="fr-FR" w:eastAsia="ko-KR"/>
        </w:rPr>
        <w:t xml:space="preserve">, </w:t>
      </w:r>
      <w:r w:rsidRPr="00CD5E0F">
        <w:rPr>
          <w:rFonts w:eastAsia="Malgun Gothic"/>
          <w:lang w:val="fr-FR" w:eastAsia="ko-KR"/>
        </w:rPr>
        <w:t>quelques jours plus tôt</w:t>
      </w:r>
      <w:r w:rsidR="005349D5">
        <w:rPr>
          <w:rFonts w:eastAsia="Malgun Gothic"/>
          <w:lang w:val="fr-FR" w:eastAsia="ko-KR"/>
        </w:rPr>
        <w:t>,</w:t>
      </w:r>
      <w:r w:rsidRPr="00CD5E0F">
        <w:rPr>
          <w:rFonts w:eastAsia="Malgun Gothic"/>
          <w:lang w:val="fr-FR" w:eastAsia="ko-KR"/>
        </w:rPr>
        <w:t xml:space="preserve"> l</w:t>
      </w:r>
      <w:r w:rsidR="00923E72">
        <w:rPr>
          <w:rFonts w:eastAsia="Malgun Gothic"/>
          <w:lang w:val="fr-FR" w:eastAsia="ko-KR"/>
        </w:rPr>
        <w:t>’</w:t>
      </w:r>
      <w:r w:rsidRPr="00CD5E0F">
        <w:rPr>
          <w:rFonts w:eastAsia="Malgun Gothic"/>
          <w:lang w:val="fr-FR" w:eastAsia="ko-KR"/>
        </w:rPr>
        <w:t xml:space="preserve">UNESCO </w:t>
      </w:r>
      <w:r w:rsidR="00797D3D">
        <w:rPr>
          <w:rFonts w:eastAsia="Malgun Gothic"/>
          <w:lang w:val="fr-FR" w:eastAsia="ko-KR"/>
        </w:rPr>
        <w:t xml:space="preserve">avait célébré </w:t>
      </w:r>
      <w:r w:rsidRPr="00CD5E0F">
        <w:rPr>
          <w:rFonts w:eastAsia="Malgun Gothic"/>
          <w:lang w:val="fr-FR" w:eastAsia="ko-KR"/>
        </w:rPr>
        <w:t xml:space="preserve">le </w:t>
      </w:r>
      <w:r w:rsidR="00797D3D">
        <w:rPr>
          <w:rFonts w:eastAsia="Malgun Gothic"/>
          <w:lang w:val="fr-FR" w:eastAsia="ko-KR"/>
        </w:rPr>
        <w:t>cinquantième</w:t>
      </w:r>
      <w:r w:rsidRPr="00CD5E0F">
        <w:rPr>
          <w:rFonts w:eastAsia="Malgun Gothic"/>
          <w:lang w:val="fr-FR" w:eastAsia="ko-KR"/>
        </w:rPr>
        <w:t xml:space="preserve"> anniversaire de la </w:t>
      </w:r>
      <w:r w:rsidRPr="00BF3673">
        <w:rPr>
          <w:rFonts w:eastAsia="Malgun Gothic"/>
          <w:lang w:val="fr-FR" w:eastAsia="ko-KR"/>
        </w:rPr>
        <w:t>Convention du patrimoine mondial</w:t>
      </w:r>
      <w:r w:rsidRPr="00CD5E0F">
        <w:rPr>
          <w:rFonts w:eastAsia="Malgun Gothic"/>
          <w:lang w:val="fr-FR" w:eastAsia="ko-KR"/>
        </w:rPr>
        <w:t>. Autant d</w:t>
      </w:r>
      <w:r w:rsidR="00923E72">
        <w:rPr>
          <w:rFonts w:eastAsia="Malgun Gothic"/>
          <w:lang w:val="fr-FR" w:eastAsia="ko-KR"/>
        </w:rPr>
        <w:t>’</w:t>
      </w:r>
      <w:r w:rsidRPr="00CD5E0F">
        <w:rPr>
          <w:rFonts w:eastAsia="Malgun Gothic"/>
          <w:lang w:val="fr-FR" w:eastAsia="ko-KR"/>
        </w:rPr>
        <w:t>aspects d</w:t>
      </w:r>
      <w:r w:rsidR="00923E72">
        <w:rPr>
          <w:rFonts w:eastAsia="Malgun Gothic"/>
          <w:lang w:val="fr-FR" w:eastAsia="ko-KR"/>
        </w:rPr>
        <w:t>’</w:t>
      </w:r>
      <w:r w:rsidRPr="00CD5E0F">
        <w:rPr>
          <w:rFonts w:eastAsia="Malgun Gothic"/>
          <w:lang w:val="fr-FR" w:eastAsia="ko-KR"/>
        </w:rPr>
        <w:t>une même idée qu</w:t>
      </w:r>
      <w:r w:rsidR="0063680E">
        <w:rPr>
          <w:rFonts w:eastAsia="Malgun Gothic"/>
          <w:lang w:val="fr-FR" w:eastAsia="ko-KR"/>
        </w:rPr>
        <w:t xml:space="preserve">i </w:t>
      </w:r>
      <w:r w:rsidR="00AD44D6">
        <w:rPr>
          <w:rFonts w:eastAsia="Malgun Gothic"/>
          <w:lang w:val="fr-FR" w:eastAsia="ko-KR"/>
        </w:rPr>
        <w:t xml:space="preserve">étaient </w:t>
      </w:r>
      <w:r w:rsidR="0063680E" w:rsidRPr="0063680E">
        <w:rPr>
          <w:rFonts w:eastAsia="Malgun Gothic"/>
          <w:color w:val="000000" w:themeColor="text1"/>
          <w:lang w:val="fr-FR" w:eastAsia="ko-KR"/>
        </w:rPr>
        <w:t>désormais</w:t>
      </w:r>
      <w:r w:rsidR="0063680E">
        <w:rPr>
          <w:rFonts w:eastAsia="Malgun Gothic"/>
          <w:color w:val="000000" w:themeColor="text1"/>
          <w:lang w:val="fr-FR" w:eastAsia="ko-KR"/>
        </w:rPr>
        <w:t xml:space="preserve"> réunis, </w:t>
      </w:r>
      <w:r w:rsidRPr="00CD5E0F">
        <w:rPr>
          <w:rFonts w:eastAsia="Malgun Gothic"/>
          <w:lang w:val="fr-FR" w:eastAsia="ko-KR"/>
        </w:rPr>
        <w:t xml:space="preserve">car ils </w:t>
      </w:r>
      <w:r w:rsidR="00AD44D6">
        <w:rPr>
          <w:rFonts w:eastAsia="Malgun Gothic"/>
          <w:lang w:val="fr-FR" w:eastAsia="ko-KR"/>
        </w:rPr>
        <w:t xml:space="preserve">étaient </w:t>
      </w:r>
      <w:r w:rsidRPr="00CD5E0F">
        <w:rPr>
          <w:rFonts w:eastAsia="Malgun Gothic"/>
          <w:lang w:val="fr-FR" w:eastAsia="ko-KR"/>
        </w:rPr>
        <w:t>intimement liés dans chacun de ces lieux extraordinaires.</w:t>
      </w:r>
    </w:p>
    <w:p w14:paraId="6819CA04" w14:textId="2888BA09" w:rsidR="00E30745" w:rsidRPr="00702497" w:rsidRDefault="001B2A2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702497">
        <w:rPr>
          <w:rFonts w:eastAsia="Malgun Gothic"/>
          <w:lang w:val="fr-FR"/>
        </w:rPr>
        <w:t xml:space="preserve">La </w:t>
      </w:r>
      <w:r w:rsidRPr="00702497">
        <w:rPr>
          <w:rFonts w:eastAsia="Malgun Gothic"/>
          <w:b/>
          <w:bCs/>
          <w:lang w:val="fr-FR"/>
        </w:rPr>
        <w:t>Directrice générale de l</w:t>
      </w:r>
      <w:r w:rsidR="00923E72">
        <w:rPr>
          <w:rFonts w:eastAsia="Malgun Gothic"/>
          <w:b/>
          <w:bCs/>
          <w:lang w:val="fr-FR"/>
        </w:rPr>
        <w:t>’</w:t>
      </w:r>
      <w:r w:rsidRPr="00702497">
        <w:rPr>
          <w:rFonts w:eastAsia="Malgun Gothic"/>
          <w:b/>
          <w:bCs/>
          <w:lang w:val="fr-FR"/>
        </w:rPr>
        <w:t>UNESCO</w:t>
      </w:r>
      <w:r w:rsidRPr="00702497">
        <w:rPr>
          <w:rFonts w:eastAsia="Malgun Gothic"/>
          <w:lang w:val="fr-FR"/>
        </w:rPr>
        <w:t xml:space="preserve"> a fait remarquer que le Comité pouvait être fier de ce succès, mais qu</w:t>
      </w:r>
      <w:r w:rsidR="00923E72">
        <w:rPr>
          <w:rFonts w:eastAsia="Malgun Gothic"/>
          <w:lang w:val="fr-FR"/>
        </w:rPr>
        <w:t>’</w:t>
      </w:r>
      <w:r w:rsidRPr="00702497">
        <w:rPr>
          <w:rFonts w:eastAsia="Malgun Gothic"/>
          <w:lang w:val="fr-FR"/>
        </w:rPr>
        <w:t>il ne fallait pas s</w:t>
      </w:r>
      <w:r w:rsidR="00923E72">
        <w:rPr>
          <w:rFonts w:eastAsia="Malgun Gothic"/>
          <w:lang w:val="fr-FR"/>
        </w:rPr>
        <w:t>’</w:t>
      </w:r>
      <w:r w:rsidRPr="00702497">
        <w:rPr>
          <w:rFonts w:eastAsia="Malgun Gothic"/>
          <w:lang w:val="fr-FR"/>
        </w:rPr>
        <w:t>arrêter</w:t>
      </w:r>
      <w:r w:rsidR="00CD77C9" w:rsidRPr="00702497">
        <w:rPr>
          <w:rFonts w:eastAsia="Malgun Gothic"/>
          <w:lang w:val="fr-FR"/>
        </w:rPr>
        <w:t xml:space="preserve"> là</w:t>
      </w:r>
      <w:r w:rsidRPr="00702497">
        <w:rPr>
          <w:rFonts w:eastAsia="Malgun Gothic"/>
          <w:lang w:val="fr-FR"/>
        </w:rPr>
        <w:t>. Année après année, il fallait se demander si nous restions fidèles à l</w:t>
      </w:r>
      <w:r w:rsidR="00923E72">
        <w:rPr>
          <w:rFonts w:eastAsia="Malgun Gothic"/>
          <w:lang w:val="fr-FR"/>
        </w:rPr>
        <w:t>’</w:t>
      </w:r>
      <w:r w:rsidRPr="00702497">
        <w:rPr>
          <w:rFonts w:eastAsia="Malgun Gothic"/>
          <w:lang w:val="fr-FR"/>
        </w:rPr>
        <w:t>esprit de cette Convention, qui est au cœur de ce texte fondamental incarné par l</w:t>
      </w:r>
      <w:r w:rsidR="00923E72">
        <w:rPr>
          <w:rFonts w:eastAsia="Malgun Gothic"/>
          <w:lang w:val="fr-FR"/>
        </w:rPr>
        <w:t>’</w:t>
      </w:r>
      <w:r w:rsidRPr="00702497">
        <w:rPr>
          <w:rFonts w:eastAsia="Malgun Gothic"/>
          <w:lang w:val="fr-FR"/>
        </w:rPr>
        <w:t>esprit de sauvegarde. Il y avait encore beaucoup à faire. Il y avait encore des connaissances</w:t>
      </w:r>
      <w:r w:rsidR="006535B4" w:rsidRPr="00702497">
        <w:rPr>
          <w:rFonts w:eastAsia="Malgun Gothic"/>
          <w:lang w:val="fr-FR"/>
        </w:rPr>
        <w:t xml:space="preserve"> et </w:t>
      </w:r>
      <w:r w:rsidRPr="00702497">
        <w:rPr>
          <w:rFonts w:eastAsia="Malgun Gothic"/>
          <w:lang w:val="fr-FR"/>
        </w:rPr>
        <w:t xml:space="preserve">de nombreuses pratiques façonnées au fil des siècles à reconnaître et à promouvoir, ce qui est souvent la meilleure voie vers la préservation. Le Secrétariat </w:t>
      </w:r>
      <w:r w:rsidR="006535B4" w:rsidRPr="00702497">
        <w:rPr>
          <w:rFonts w:eastAsia="Malgun Gothic"/>
          <w:lang w:val="fr-FR"/>
        </w:rPr>
        <w:t>accroissait</w:t>
      </w:r>
      <w:r w:rsidR="00CD77C9" w:rsidRPr="00702497">
        <w:rPr>
          <w:rFonts w:eastAsia="Malgun Gothic"/>
          <w:lang w:val="fr-FR"/>
        </w:rPr>
        <w:t xml:space="preserve"> ses </w:t>
      </w:r>
      <w:r w:rsidRPr="00702497">
        <w:rPr>
          <w:rFonts w:eastAsia="Malgun Gothic"/>
          <w:lang w:val="fr-FR"/>
        </w:rPr>
        <w:t>efforts pour soutenir les candidatures africaines</w:t>
      </w:r>
      <w:r w:rsidR="00CD77C9" w:rsidRPr="00702497">
        <w:rPr>
          <w:rFonts w:eastAsia="Malgun Gothic"/>
          <w:lang w:val="fr-FR"/>
        </w:rPr>
        <w:t>,</w:t>
      </w:r>
      <w:r w:rsidRPr="00702497">
        <w:rPr>
          <w:rFonts w:eastAsia="Malgun Gothic"/>
          <w:lang w:val="fr-FR"/>
        </w:rPr>
        <w:t xml:space="preserve"> et cela se </w:t>
      </w:r>
      <w:r w:rsidR="00CD77C9" w:rsidRPr="00702497">
        <w:rPr>
          <w:rFonts w:eastAsia="Malgun Gothic"/>
          <w:lang w:val="fr-FR"/>
        </w:rPr>
        <w:t xml:space="preserve">traduisait par </w:t>
      </w:r>
      <w:r w:rsidRPr="00702497">
        <w:rPr>
          <w:rFonts w:eastAsia="Malgun Gothic"/>
          <w:lang w:val="fr-FR"/>
        </w:rPr>
        <w:t>les plus de dix candidatures que le Comité examinerait en</w:t>
      </w:r>
      <w:r w:rsidR="005349D5">
        <w:rPr>
          <w:rFonts w:eastAsia="Malgun Gothic"/>
          <w:lang w:val="fr-FR"/>
        </w:rPr>
        <w:t> </w:t>
      </w:r>
      <w:r w:rsidRPr="00702497">
        <w:rPr>
          <w:rFonts w:eastAsia="Malgun Gothic"/>
          <w:lang w:val="fr-FR"/>
        </w:rPr>
        <w:t>2023. M</w:t>
      </w:r>
      <w:r w:rsidRPr="00702497">
        <w:rPr>
          <w:rFonts w:eastAsia="Malgun Gothic"/>
          <w:vertAlign w:val="superscript"/>
          <w:lang w:val="fr-FR"/>
        </w:rPr>
        <w:t>me</w:t>
      </w:r>
      <w:r w:rsidRPr="00702497">
        <w:rPr>
          <w:rFonts w:eastAsia="Malgun Gothic"/>
          <w:lang w:val="fr-FR"/>
        </w:rPr>
        <w:t> Azoulay s</w:t>
      </w:r>
      <w:r w:rsidR="00923E72">
        <w:rPr>
          <w:rFonts w:eastAsia="Malgun Gothic"/>
          <w:lang w:val="fr-FR"/>
        </w:rPr>
        <w:t>’</w:t>
      </w:r>
      <w:r w:rsidRPr="00702497">
        <w:rPr>
          <w:rFonts w:eastAsia="Malgun Gothic"/>
          <w:lang w:val="fr-FR"/>
        </w:rPr>
        <w:t>est dite très heureuse de l</w:t>
      </w:r>
      <w:r w:rsidR="00923E72">
        <w:rPr>
          <w:rFonts w:eastAsia="Malgun Gothic"/>
          <w:lang w:val="fr-FR"/>
        </w:rPr>
        <w:t>’</w:t>
      </w:r>
      <w:r w:rsidRPr="00702497">
        <w:rPr>
          <w:rFonts w:eastAsia="Malgun Gothic"/>
          <w:lang w:val="fr-FR"/>
        </w:rPr>
        <w:t xml:space="preserve">annonce faite par Sa Majesté concernant le nouveau centre qui serait </w:t>
      </w:r>
      <w:r w:rsidR="006535B4" w:rsidRPr="00702497">
        <w:rPr>
          <w:rFonts w:eastAsia="Malgun Gothic"/>
          <w:lang w:val="fr-FR"/>
        </w:rPr>
        <w:t xml:space="preserve">bientôt </w:t>
      </w:r>
      <w:r w:rsidRPr="00702497">
        <w:rPr>
          <w:rFonts w:eastAsia="Malgun Gothic"/>
          <w:lang w:val="fr-FR"/>
        </w:rPr>
        <w:t xml:space="preserve">établi au Maroc pour la </w:t>
      </w:r>
      <w:r w:rsidR="006535B4" w:rsidRPr="00702497">
        <w:rPr>
          <w:rFonts w:eastAsia="Malgun Gothic"/>
          <w:bCs/>
          <w:color w:val="000000" w:themeColor="text1"/>
          <w:lang w:val="fr-FR"/>
        </w:rPr>
        <w:t xml:space="preserve">sauvegarde </w:t>
      </w:r>
      <w:r w:rsidRPr="00702497">
        <w:rPr>
          <w:rFonts w:eastAsia="Malgun Gothic"/>
          <w:lang w:val="fr-FR"/>
        </w:rPr>
        <w:t>du patrimoine immatériel</w:t>
      </w:r>
      <w:r w:rsidR="00CD77C9" w:rsidRPr="00702497">
        <w:rPr>
          <w:rFonts w:eastAsia="Malgun Gothic"/>
          <w:lang w:val="fr-FR"/>
        </w:rPr>
        <w:t xml:space="preserve">, </w:t>
      </w:r>
      <w:r w:rsidRPr="00702497">
        <w:rPr>
          <w:rFonts w:eastAsia="Malgun Gothic"/>
          <w:lang w:val="fr-FR"/>
        </w:rPr>
        <w:t>avec son rayonnement mondial et africain. L</w:t>
      </w:r>
      <w:r w:rsidR="00923E72">
        <w:rPr>
          <w:rFonts w:eastAsia="Malgun Gothic"/>
          <w:lang w:val="fr-FR"/>
        </w:rPr>
        <w:t>’</w:t>
      </w:r>
      <w:r w:rsidRPr="00702497">
        <w:rPr>
          <w:rFonts w:eastAsia="Malgun Gothic"/>
          <w:lang w:val="fr-FR"/>
        </w:rPr>
        <w:t xml:space="preserve">esprit de cette Convention, et sans doute sa caractéristique la plus originale, </w:t>
      </w:r>
      <w:r w:rsidR="00172611" w:rsidRPr="00702497">
        <w:rPr>
          <w:rFonts w:eastAsia="Malgun Gothic"/>
          <w:lang w:val="fr-FR"/>
        </w:rPr>
        <w:t>était</w:t>
      </w:r>
      <w:r w:rsidRPr="00702497">
        <w:rPr>
          <w:rFonts w:eastAsia="Malgun Gothic"/>
          <w:lang w:val="fr-FR"/>
        </w:rPr>
        <w:t xml:space="preserve"> sa détermination inébranlable à maintenir ces traditions vivantes. Il </w:t>
      </w:r>
      <w:r w:rsidR="00CD77C9" w:rsidRPr="00702497">
        <w:rPr>
          <w:rFonts w:eastAsia="Malgun Gothic"/>
          <w:lang w:val="fr-FR"/>
        </w:rPr>
        <w:t xml:space="preserve">convenait </w:t>
      </w:r>
      <w:r w:rsidRPr="00702497">
        <w:rPr>
          <w:rFonts w:eastAsia="Malgun Gothic"/>
          <w:lang w:val="fr-FR"/>
        </w:rPr>
        <w:t>de s</w:t>
      </w:r>
      <w:r w:rsidR="00923E72">
        <w:rPr>
          <w:rFonts w:eastAsia="Malgun Gothic"/>
          <w:lang w:val="fr-FR"/>
        </w:rPr>
        <w:t>’</w:t>
      </w:r>
      <w:r w:rsidRPr="00702497">
        <w:rPr>
          <w:rFonts w:eastAsia="Malgun Gothic"/>
          <w:lang w:val="fr-FR"/>
        </w:rPr>
        <w:t>en inspirer et de comprendre ce qu</w:t>
      </w:r>
      <w:r w:rsidR="00923E72">
        <w:rPr>
          <w:rFonts w:eastAsia="Malgun Gothic"/>
          <w:lang w:val="fr-FR"/>
        </w:rPr>
        <w:t>’</w:t>
      </w:r>
      <w:r w:rsidRPr="00702497">
        <w:rPr>
          <w:rFonts w:eastAsia="Malgun Gothic"/>
          <w:lang w:val="fr-FR"/>
        </w:rPr>
        <w:t>elles apportent</w:t>
      </w:r>
      <w:r w:rsidR="006535B4" w:rsidRPr="00702497">
        <w:rPr>
          <w:rFonts w:eastAsia="Malgun Gothic"/>
          <w:lang w:val="fr-FR"/>
        </w:rPr>
        <w:t xml:space="preserve"> au monde</w:t>
      </w:r>
      <w:r w:rsidRPr="00702497">
        <w:rPr>
          <w:rFonts w:eastAsia="Malgun Gothic"/>
          <w:lang w:val="fr-FR"/>
        </w:rPr>
        <w:t xml:space="preserve">, loin de toute folklorisation ou de </w:t>
      </w:r>
      <w:r w:rsidR="005B5CDA">
        <w:rPr>
          <w:rFonts w:eastAsia="Malgun Gothic"/>
          <w:lang w:val="fr-FR"/>
        </w:rPr>
        <w:t xml:space="preserve">tout </w:t>
      </w:r>
      <w:r w:rsidRPr="00702497">
        <w:rPr>
          <w:rFonts w:eastAsia="Malgun Gothic"/>
          <w:lang w:val="fr-FR"/>
        </w:rPr>
        <w:t>figement dans le temps. Au contraire, ces traditions p</w:t>
      </w:r>
      <w:r w:rsidR="00CD77C9" w:rsidRPr="00702497">
        <w:rPr>
          <w:rFonts w:eastAsia="Malgun Gothic"/>
          <w:lang w:val="fr-FR"/>
        </w:rPr>
        <w:t>ouvaient</w:t>
      </w:r>
      <w:r w:rsidRPr="00702497">
        <w:rPr>
          <w:rFonts w:eastAsia="Malgun Gothic"/>
          <w:lang w:val="fr-FR"/>
        </w:rPr>
        <w:t xml:space="preserve"> être des ressources </w:t>
      </w:r>
      <w:r w:rsidR="005B5CDA">
        <w:rPr>
          <w:rFonts w:eastAsia="Malgun Gothic"/>
          <w:lang w:val="fr-FR"/>
        </w:rPr>
        <w:t xml:space="preserve">fort utiles </w:t>
      </w:r>
      <w:r w:rsidRPr="00702497">
        <w:rPr>
          <w:rFonts w:eastAsia="Malgun Gothic"/>
          <w:lang w:val="fr-FR"/>
        </w:rPr>
        <w:t xml:space="preserve">pour </w:t>
      </w:r>
      <w:r w:rsidR="00B83701">
        <w:rPr>
          <w:rFonts w:eastAsia="Malgun Gothic"/>
          <w:lang w:val="fr-FR"/>
        </w:rPr>
        <w:t>contribuer</w:t>
      </w:r>
      <w:r w:rsidR="002067A4" w:rsidRPr="00702497">
        <w:rPr>
          <w:rFonts w:eastAsia="Malgun Gothic"/>
          <w:lang w:val="fr-FR"/>
        </w:rPr>
        <w:t xml:space="preserve"> </w:t>
      </w:r>
      <w:r w:rsidR="006535B4" w:rsidRPr="00702497">
        <w:rPr>
          <w:rFonts w:eastAsia="Malgun Gothic"/>
          <w:lang w:val="fr-FR"/>
        </w:rPr>
        <w:t xml:space="preserve">à </w:t>
      </w:r>
      <w:r w:rsidR="00B83701">
        <w:rPr>
          <w:rFonts w:eastAsia="Malgun Gothic"/>
          <w:lang w:val="fr-FR"/>
        </w:rPr>
        <w:t xml:space="preserve">aborder les </w:t>
      </w:r>
      <w:r w:rsidRPr="00702497">
        <w:rPr>
          <w:rFonts w:eastAsia="Malgun Gothic"/>
          <w:lang w:val="fr-FR"/>
        </w:rPr>
        <w:t>grand</w:t>
      </w:r>
      <w:r w:rsidR="005B5CDA">
        <w:rPr>
          <w:rFonts w:eastAsia="Malgun Gothic"/>
          <w:lang w:val="fr-FR"/>
        </w:rPr>
        <w:t>s</w:t>
      </w:r>
      <w:r w:rsidRPr="00702497">
        <w:rPr>
          <w:rFonts w:eastAsia="Malgun Gothic"/>
          <w:lang w:val="fr-FR"/>
        </w:rPr>
        <w:t xml:space="preserve"> </w:t>
      </w:r>
      <w:r w:rsidR="005B5CDA">
        <w:rPr>
          <w:rFonts w:eastAsia="Malgun Gothic"/>
          <w:lang w:val="fr-FR"/>
        </w:rPr>
        <w:t xml:space="preserve">problèmes </w:t>
      </w:r>
      <w:r w:rsidRPr="00702497">
        <w:rPr>
          <w:rFonts w:eastAsia="Malgun Gothic"/>
          <w:lang w:val="fr-FR"/>
        </w:rPr>
        <w:t>de notre temps.</w:t>
      </w:r>
      <w:r w:rsidR="00172611" w:rsidRPr="00702497">
        <w:rPr>
          <w:rFonts w:eastAsia="Malgun Gothic"/>
          <w:lang w:val="fr-FR"/>
        </w:rPr>
        <w:t xml:space="preserve"> </w:t>
      </w:r>
      <w:r w:rsidR="005B5CDA">
        <w:rPr>
          <w:rFonts w:eastAsia="Malgun Gothic"/>
          <w:lang w:val="fr-FR"/>
        </w:rPr>
        <w:t>L</w:t>
      </w:r>
      <w:r w:rsidR="005B5CDA" w:rsidRPr="00C03F2F">
        <w:rPr>
          <w:rFonts w:eastAsia="Malgun Gothic"/>
          <w:lang w:val="fr-FR"/>
        </w:rPr>
        <w:t>e patrimoine immatériel constituait</w:t>
      </w:r>
      <w:r w:rsidR="005B5CDA">
        <w:rPr>
          <w:rFonts w:eastAsia="Malgun Gothic"/>
          <w:lang w:val="fr-FR"/>
        </w:rPr>
        <w:t>, par exemple,</w:t>
      </w:r>
      <w:r w:rsidR="005B5CDA" w:rsidRPr="00C03F2F">
        <w:rPr>
          <w:rFonts w:eastAsia="Malgun Gothic"/>
          <w:lang w:val="fr-FR"/>
        </w:rPr>
        <w:t xml:space="preserve"> une ressource précieuse</w:t>
      </w:r>
      <w:r w:rsidR="005B5CDA">
        <w:rPr>
          <w:rFonts w:eastAsia="Malgun Gothic"/>
          <w:lang w:val="fr-FR"/>
        </w:rPr>
        <w:t xml:space="preserve"> contre l</w:t>
      </w:r>
      <w:r w:rsidR="006535B4" w:rsidRPr="00702497">
        <w:rPr>
          <w:rFonts w:eastAsia="Malgun Gothic"/>
          <w:lang w:val="fr-FR"/>
        </w:rPr>
        <w:t xml:space="preserve">e réchauffement climatique et </w:t>
      </w:r>
      <w:r w:rsidR="005B5CDA">
        <w:rPr>
          <w:rFonts w:eastAsia="Malgun Gothic"/>
          <w:lang w:val="fr-FR"/>
        </w:rPr>
        <w:t xml:space="preserve">pour </w:t>
      </w:r>
      <w:r w:rsidR="006535B4" w:rsidRPr="00702497">
        <w:rPr>
          <w:rFonts w:eastAsia="Malgun Gothic"/>
          <w:lang w:val="fr-FR"/>
        </w:rPr>
        <w:t>la préservation de la biodiversité</w:t>
      </w:r>
      <w:r w:rsidR="002067A4" w:rsidRPr="00702497">
        <w:rPr>
          <w:rFonts w:eastAsia="Malgun Gothic"/>
          <w:lang w:val="fr-FR"/>
        </w:rPr>
        <w:t>.</w:t>
      </w:r>
      <w:r w:rsidR="002067A4" w:rsidRPr="00702497">
        <w:rPr>
          <w:rFonts w:eastAsia="Malgun Gothic"/>
          <w:color w:val="FF0000"/>
          <w:lang w:val="fr-FR"/>
        </w:rPr>
        <w:t xml:space="preserve"> </w:t>
      </w:r>
      <w:r w:rsidRPr="00702497">
        <w:rPr>
          <w:rFonts w:eastAsia="Malgun Gothic"/>
          <w:lang w:val="fr-FR"/>
        </w:rPr>
        <w:t>Face à cet immense défi de notre temps, de véritables joyaux de connaissance et de compréhension attend</w:t>
      </w:r>
      <w:r w:rsidR="00172611" w:rsidRPr="00702497">
        <w:rPr>
          <w:rFonts w:eastAsia="Malgun Gothic"/>
          <w:lang w:val="fr-FR"/>
        </w:rPr>
        <w:t>ai</w:t>
      </w:r>
      <w:r w:rsidRPr="00702497">
        <w:rPr>
          <w:rFonts w:eastAsia="Malgun Gothic"/>
          <w:lang w:val="fr-FR"/>
        </w:rPr>
        <w:t>ent d</w:t>
      </w:r>
      <w:r w:rsidR="00923E72">
        <w:rPr>
          <w:rFonts w:eastAsia="Malgun Gothic"/>
          <w:lang w:val="fr-FR"/>
        </w:rPr>
        <w:t>’</w:t>
      </w:r>
      <w:r w:rsidRPr="00702497">
        <w:rPr>
          <w:rFonts w:eastAsia="Malgun Gothic"/>
          <w:lang w:val="fr-FR"/>
        </w:rPr>
        <w:t>être redécouverts et mieux explorés. Elle s</w:t>
      </w:r>
      <w:r w:rsidR="00923E72">
        <w:rPr>
          <w:rFonts w:eastAsia="Malgun Gothic"/>
          <w:lang w:val="fr-FR"/>
        </w:rPr>
        <w:t>’</w:t>
      </w:r>
      <w:r w:rsidRPr="00702497">
        <w:rPr>
          <w:rFonts w:eastAsia="Malgun Gothic"/>
          <w:lang w:val="fr-FR"/>
        </w:rPr>
        <w:t>est réjouie qu</w:t>
      </w:r>
      <w:r w:rsidR="00923E72">
        <w:rPr>
          <w:rFonts w:eastAsia="Malgun Gothic"/>
          <w:lang w:val="fr-FR"/>
        </w:rPr>
        <w:t>’</w:t>
      </w:r>
      <w:r w:rsidRPr="00702497">
        <w:rPr>
          <w:rFonts w:eastAsia="Malgun Gothic"/>
          <w:lang w:val="fr-FR"/>
        </w:rPr>
        <w:t xml:space="preserve">un tiers des </w:t>
      </w:r>
      <w:r w:rsidR="00172611" w:rsidRPr="00702497">
        <w:rPr>
          <w:rFonts w:eastAsia="Malgun Gothic"/>
          <w:lang w:val="fr-FR"/>
        </w:rPr>
        <w:t xml:space="preserve">candidatures pour inscription </w:t>
      </w:r>
      <w:r w:rsidRPr="00702497">
        <w:rPr>
          <w:rFonts w:eastAsia="Malgun Gothic"/>
          <w:lang w:val="fr-FR"/>
        </w:rPr>
        <w:t>de cette session soi</w:t>
      </w:r>
      <w:r w:rsidR="00172611" w:rsidRPr="00702497">
        <w:rPr>
          <w:rFonts w:eastAsia="Malgun Gothic"/>
          <w:lang w:val="fr-FR"/>
        </w:rPr>
        <w:t>ent</w:t>
      </w:r>
      <w:r w:rsidRPr="00702497">
        <w:rPr>
          <w:rFonts w:eastAsia="Malgun Gothic"/>
          <w:lang w:val="fr-FR"/>
        </w:rPr>
        <w:t xml:space="preserve"> directement</w:t>
      </w:r>
      <w:r w:rsidR="00172611" w:rsidRPr="00702497">
        <w:rPr>
          <w:rFonts w:eastAsia="Malgun Gothic"/>
          <w:lang w:val="fr-FR"/>
        </w:rPr>
        <w:t xml:space="preserve"> </w:t>
      </w:r>
      <w:r w:rsidR="002067A4" w:rsidRPr="00702497">
        <w:rPr>
          <w:rFonts w:eastAsia="Malgun Gothic"/>
          <w:lang w:val="fr-FR"/>
        </w:rPr>
        <w:t>liées</w:t>
      </w:r>
      <w:r w:rsidR="00E0382E">
        <w:rPr>
          <w:rFonts w:eastAsia="Malgun Gothic"/>
          <w:lang w:val="fr-FR"/>
        </w:rPr>
        <w:t xml:space="preserve"> à</w:t>
      </w:r>
      <w:r w:rsidR="002067A4" w:rsidRPr="00702497">
        <w:rPr>
          <w:rFonts w:eastAsia="Malgun Gothic"/>
          <w:lang w:val="fr-FR"/>
        </w:rPr>
        <w:t xml:space="preserve"> </w:t>
      </w:r>
      <w:r w:rsidRPr="00702497">
        <w:rPr>
          <w:rFonts w:eastAsia="Malgun Gothic"/>
          <w:lang w:val="fr-FR"/>
        </w:rPr>
        <w:t>la nature, qu</w:t>
      </w:r>
      <w:r w:rsidR="00923E72">
        <w:rPr>
          <w:rFonts w:eastAsia="Malgun Gothic"/>
          <w:lang w:val="fr-FR"/>
        </w:rPr>
        <w:t>’</w:t>
      </w:r>
      <w:r w:rsidRPr="00702497">
        <w:rPr>
          <w:rFonts w:eastAsia="Malgun Gothic"/>
          <w:lang w:val="fr-FR"/>
        </w:rPr>
        <w:t>il s</w:t>
      </w:r>
      <w:r w:rsidR="00923E72">
        <w:rPr>
          <w:rFonts w:eastAsia="Malgun Gothic"/>
          <w:lang w:val="fr-FR"/>
        </w:rPr>
        <w:t>’</w:t>
      </w:r>
      <w:r w:rsidRPr="00702497">
        <w:rPr>
          <w:rFonts w:eastAsia="Malgun Gothic"/>
          <w:lang w:val="fr-FR"/>
        </w:rPr>
        <w:t>agisse de pratiques agricoles respectueuses de l</w:t>
      </w:r>
      <w:r w:rsidR="00923E72">
        <w:rPr>
          <w:rFonts w:eastAsia="Malgun Gothic"/>
          <w:lang w:val="fr-FR"/>
        </w:rPr>
        <w:t>’</w:t>
      </w:r>
      <w:r w:rsidRPr="00702497">
        <w:rPr>
          <w:rFonts w:eastAsia="Malgun Gothic"/>
          <w:lang w:val="fr-FR"/>
        </w:rPr>
        <w:t>environnement, de l</w:t>
      </w:r>
      <w:r w:rsidR="00923E72">
        <w:rPr>
          <w:rFonts w:eastAsia="Malgun Gothic"/>
          <w:lang w:val="fr-FR"/>
        </w:rPr>
        <w:t>’</w:t>
      </w:r>
      <w:r w:rsidRPr="00702497">
        <w:rPr>
          <w:rFonts w:eastAsia="Malgun Gothic"/>
          <w:lang w:val="fr-FR"/>
        </w:rPr>
        <w:t xml:space="preserve">utilisation de matériaux naturels ou de savoirs traditionnels </w:t>
      </w:r>
      <w:r w:rsidR="00172611" w:rsidRPr="00702497">
        <w:rPr>
          <w:rFonts w:eastAsia="Malgun Gothic"/>
          <w:lang w:val="fr-FR"/>
        </w:rPr>
        <w:t xml:space="preserve">autochtones </w:t>
      </w:r>
      <w:r w:rsidRPr="00702497">
        <w:rPr>
          <w:rFonts w:eastAsia="Malgun Gothic"/>
          <w:lang w:val="fr-FR"/>
        </w:rPr>
        <w:t>sur la nature et les animaux. C</w:t>
      </w:r>
      <w:r w:rsidR="00923E72">
        <w:rPr>
          <w:rFonts w:eastAsia="Malgun Gothic"/>
          <w:lang w:val="fr-FR"/>
        </w:rPr>
        <w:t>’</w:t>
      </w:r>
      <w:r w:rsidR="00172611" w:rsidRPr="00702497">
        <w:rPr>
          <w:rFonts w:eastAsia="Malgun Gothic"/>
          <w:lang w:val="fr-FR"/>
        </w:rPr>
        <w:t>était</w:t>
      </w:r>
      <w:r w:rsidRPr="00702497">
        <w:rPr>
          <w:rFonts w:eastAsia="Malgun Gothic"/>
          <w:lang w:val="fr-FR"/>
        </w:rPr>
        <w:t xml:space="preserve"> un record. À tel point que les experts du Comité consid</w:t>
      </w:r>
      <w:r w:rsidR="00172611" w:rsidRPr="00702497">
        <w:rPr>
          <w:rFonts w:eastAsia="Malgun Gothic"/>
          <w:lang w:val="fr-FR"/>
        </w:rPr>
        <w:t>é</w:t>
      </w:r>
      <w:r w:rsidRPr="00702497">
        <w:rPr>
          <w:rFonts w:eastAsia="Malgun Gothic"/>
          <w:lang w:val="fr-FR"/>
        </w:rPr>
        <w:t>r</w:t>
      </w:r>
      <w:r w:rsidR="00172611" w:rsidRPr="00702497">
        <w:rPr>
          <w:rFonts w:eastAsia="Malgun Gothic"/>
          <w:lang w:val="fr-FR"/>
        </w:rPr>
        <w:t>ai</w:t>
      </w:r>
      <w:r w:rsidRPr="00702497">
        <w:rPr>
          <w:rFonts w:eastAsia="Malgun Gothic"/>
          <w:lang w:val="fr-FR"/>
        </w:rPr>
        <w:t xml:space="preserve">ent cette session de Rabat comme un cycle </w:t>
      </w:r>
      <w:r w:rsidRPr="00702497">
        <w:rPr>
          <w:rFonts w:eastAsia="Malgun Gothic"/>
          <w:i/>
          <w:iCs/>
          <w:lang w:val="fr-FR"/>
        </w:rPr>
        <w:t>ver</w:t>
      </w:r>
      <w:r w:rsidR="002067A4" w:rsidRPr="00702497">
        <w:rPr>
          <w:rFonts w:eastAsia="Malgun Gothic"/>
          <w:i/>
          <w:iCs/>
          <w:lang w:val="fr-FR"/>
        </w:rPr>
        <w:t>t</w:t>
      </w:r>
      <w:r w:rsidR="00B83701">
        <w:rPr>
          <w:rFonts w:eastAsia="Malgun Gothic"/>
          <w:lang w:val="fr-FR"/>
        </w:rPr>
        <w:t xml:space="preserve">, </w:t>
      </w:r>
      <w:r w:rsidR="002067A4" w:rsidRPr="00702497">
        <w:rPr>
          <w:rFonts w:eastAsia="Malgun Gothic"/>
          <w:lang w:val="fr-FR"/>
        </w:rPr>
        <w:t xml:space="preserve">dans un </w:t>
      </w:r>
      <w:r w:rsidRPr="00702497">
        <w:rPr>
          <w:rFonts w:eastAsia="Malgun Gothic"/>
          <w:lang w:val="fr-FR"/>
        </w:rPr>
        <w:t>pays qui a</w:t>
      </w:r>
      <w:r w:rsidR="00172611" w:rsidRPr="00702497">
        <w:rPr>
          <w:rFonts w:eastAsia="Malgun Gothic"/>
          <w:lang w:val="fr-FR"/>
        </w:rPr>
        <w:t>vait</w:t>
      </w:r>
      <w:r w:rsidRPr="00702497">
        <w:rPr>
          <w:rFonts w:eastAsia="Malgun Gothic"/>
          <w:lang w:val="fr-FR"/>
        </w:rPr>
        <w:t xml:space="preserve"> inscrit s</w:t>
      </w:r>
      <w:r w:rsidR="00172611" w:rsidRPr="00702497">
        <w:rPr>
          <w:rFonts w:eastAsia="Malgun Gothic"/>
          <w:lang w:val="fr-FR"/>
        </w:rPr>
        <w:t>es pratique</w:t>
      </w:r>
      <w:r w:rsidR="002067A4" w:rsidRPr="00702497">
        <w:rPr>
          <w:rFonts w:eastAsia="Malgun Gothic"/>
          <w:lang w:val="fr-FR"/>
        </w:rPr>
        <w:t>s</w:t>
      </w:r>
      <w:r w:rsidR="00172611" w:rsidRPr="00702497">
        <w:rPr>
          <w:rFonts w:eastAsia="Malgun Gothic"/>
          <w:lang w:val="fr-FR"/>
        </w:rPr>
        <w:t xml:space="preserve"> et savoir-faire liés à</w:t>
      </w:r>
      <w:r w:rsidRPr="00702497">
        <w:rPr>
          <w:rFonts w:eastAsia="Malgun Gothic"/>
          <w:lang w:val="fr-FR"/>
        </w:rPr>
        <w:t xml:space="preserve"> l</w:t>
      </w:r>
      <w:r w:rsidR="00923E72">
        <w:rPr>
          <w:rFonts w:eastAsia="Malgun Gothic"/>
          <w:lang w:val="fr-FR"/>
        </w:rPr>
        <w:t>’</w:t>
      </w:r>
      <w:r w:rsidRPr="00702497">
        <w:rPr>
          <w:rFonts w:eastAsia="Malgun Gothic"/>
          <w:lang w:val="fr-FR"/>
        </w:rPr>
        <w:t xml:space="preserve">arganier sur la </w:t>
      </w:r>
      <w:r w:rsidR="00172611" w:rsidRPr="00702497">
        <w:rPr>
          <w:rFonts w:eastAsia="Malgun Gothic"/>
          <w:lang w:val="fr-FR"/>
        </w:rPr>
        <w:t>L</w:t>
      </w:r>
      <w:r w:rsidRPr="00702497">
        <w:rPr>
          <w:rFonts w:eastAsia="Malgun Gothic"/>
          <w:lang w:val="fr-FR"/>
        </w:rPr>
        <w:t xml:space="preserve">iste </w:t>
      </w:r>
      <w:r w:rsidR="002067A4" w:rsidRPr="00702497">
        <w:rPr>
          <w:rFonts w:eastAsia="Malgun Gothic"/>
          <w:lang w:val="fr-FR"/>
        </w:rPr>
        <w:t>représentative</w:t>
      </w:r>
      <w:r w:rsidR="00BB2856" w:rsidRPr="00702497">
        <w:rPr>
          <w:rFonts w:eastAsia="Malgun Gothic"/>
          <w:lang w:val="fr-FR"/>
        </w:rPr>
        <w:t xml:space="preserve"> du patrimoine culturel immatériel</w:t>
      </w:r>
      <w:r w:rsidR="002067A4" w:rsidRPr="00702497">
        <w:rPr>
          <w:rFonts w:eastAsia="Malgun Gothic"/>
          <w:lang w:val="fr-FR"/>
        </w:rPr>
        <w:t xml:space="preserve"> </w:t>
      </w:r>
      <w:r w:rsidRPr="00702497">
        <w:rPr>
          <w:rFonts w:eastAsia="Malgun Gothic"/>
          <w:lang w:val="fr-FR"/>
        </w:rPr>
        <w:t>de l</w:t>
      </w:r>
      <w:r w:rsidR="00923E72">
        <w:rPr>
          <w:rFonts w:eastAsia="Malgun Gothic"/>
          <w:lang w:val="fr-FR"/>
        </w:rPr>
        <w:t>’</w:t>
      </w:r>
      <w:r w:rsidRPr="00702497">
        <w:rPr>
          <w:rFonts w:eastAsia="Malgun Gothic"/>
          <w:lang w:val="fr-FR"/>
        </w:rPr>
        <w:t>UNESCO. L</w:t>
      </w:r>
      <w:r w:rsidR="00923E72">
        <w:rPr>
          <w:rFonts w:eastAsia="Malgun Gothic"/>
          <w:lang w:val="fr-FR"/>
        </w:rPr>
        <w:t>’</w:t>
      </w:r>
      <w:r w:rsidRPr="00702497">
        <w:rPr>
          <w:rFonts w:eastAsia="Malgun Gothic"/>
          <w:lang w:val="fr-FR"/>
        </w:rPr>
        <w:t>esprit de cette Convention, comme celui des autres conventions de l</w:t>
      </w:r>
      <w:r w:rsidR="00923E72">
        <w:rPr>
          <w:rFonts w:eastAsia="Malgun Gothic"/>
          <w:lang w:val="fr-FR"/>
        </w:rPr>
        <w:t>’</w:t>
      </w:r>
      <w:r w:rsidRPr="00702497">
        <w:rPr>
          <w:rFonts w:eastAsia="Malgun Gothic"/>
          <w:lang w:val="fr-FR"/>
        </w:rPr>
        <w:t>UNESCO</w:t>
      </w:r>
      <w:r w:rsidR="00172611" w:rsidRPr="00702497">
        <w:rPr>
          <w:rFonts w:eastAsia="Malgun Gothic"/>
          <w:lang w:val="fr-FR"/>
        </w:rPr>
        <w:t xml:space="preserve"> en matière de culture</w:t>
      </w:r>
      <w:r w:rsidRPr="00702497">
        <w:rPr>
          <w:rFonts w:eastAsia="Malgun Gothic"/>
          <w:lang w:val="fr-FR"/>
        </w:rPr>
        <w:t xml:space="preserve">, </w:t>
      </w:r>
      <w:r w:rsidR="00172611" w:rsidRPr="00702497">
        <w:rPr>
          <w:rFonts w:eastAsia="Malgun Gothic"/>
          <w:lang w:val="fr-FR"/>
        </w:rPr>
        <w:t>était</w:t>
      </w:r>
      <w:r w:rsidRPr="00702497">
        <w:rPr>
          <w:rFonts w:eastAsia="Malgun Gothic"/>
          <w:lang w:val="fr-FR"/>
        </w:rPr>
        <w:t xml:space="preserve"> basé sur le consensus et le dialogue ainsi que sur le respect de l</w:t>
      </w:r>
      <w:r w:rsidR="00923E72">
        <w:rPr>
          <w:rFonts w:eastAsia="Malgun Gothic"/>
          <w:lang w:val="fr-FR"/>
        </w:rPr>
        <w:t>’</w:t>
      </w:r>
      <w:r w:rsidRPr="00702497">
        <w:rPr>
          <w:rFonts w:eastAsia="Malgun Gothic"/>
          <w:lang w:val="fr-FR"/>
        </w:rPr>
        <w:t xml:space="preserve">opinion scientifique, un prérequis fondamental. </w:t>
      </w:r>
      <w:r w:rsidR="002B5649">
        <w:rPr>
          <w:rFonts w:eastAsia="Malgun Gothic"/>
          <w:lang w:val="fr-FR"/>
        </w:rPr>
        <w:t>La Directrice générale de l’UNESCO</w:t>
      </w:r>
      <w:r w:rsidR="00172611" w:rsidRPr="00702497">
        <w:rPr>
          <w:rFonts w:eastAsia="Malgun Gothic"/>
          <w:lang w:val="fr-FR"/>
        </w:rPr>
        <w:t xml:space="preserve"> était</w:t>
      </w:r>
      <w:r w:rsidRPr="00702497">
        <w:rPr>
          <w:rFonts w:eastAsia="Malgun Gothic"/>
          <w:lang w:val="fr-FR"/>
        </w:rPr>
        <w:t xml:space="preserve"> convaincue que le Comité prendra</w:t>
      </w:r>
      <w:r w:rsidR="00172611" w:rsidRPr="00702497">
        <w:rPr>
          <w:rFonts w:eastAsia="Malgun Gothic"/>
          <w:lang w:val="fr-FR"/>
        </w:rPr>
        <w:t>it</w:t>
      </w:r>
      <w:r w:rsidRPr="00702497">
        <w:rPr>
          <w:rFonts w:eastAsia="Malgun Gothic"/>
          <w:lang w:val="fr-FR"/>
        </w:rPr>
        <w:t xml:space="preserve"> pleinement en compte les recommandations des experts, comme il l</w:t>
      </w:r>
      <w:r w:rsidR="00923E72">
        <w:rPr>
          <w:rFonts w:eastAsia="Malgun Gothic"/>
          <w:lang w:val="fr-FR"/>
        </w:rPr>
        <w:t>’</w:t>
      </w:r>
      <w:r w:rsidRPr="00702497">
        <w:rPr>
          <w:rFonts w:eastAsia="Malgun Gothic"/>
          <w:lang w:val="fr-FR"/>
        </w:rPr>
        <w:t>a</w:t>
      </w:r>
      <w:r w:rsidR="00172611" w:rsidRPr="00702497">
        <w:rPr>
          <w:rFonts w:eastAsia="Malgun Gothic"/>
          <w:lang w:val="fr-FR"/>
        </w:rPr>
        <w:t>vait</w:t>
      </w:r>
      <w:r w:rsidRPr="00702497">
        <w:rPr>
          <w:rFonts w:eastAsia="Malgun Gothic"/>
          <w:lang w:val="fr-FR"/>
        </w:rPr>
        <w:t xml:space="preserve"> toujours fait. </w:t>
      </w:r>
      <w:r w:rsidR="002067A4" w:rsidRPr="00702497">
        <w:rPr>
          <w:rFonts w:eastAsia="Malgun Gothic"/>
          <w:lang w:val="fr-FR"/>
        </w:rPr>
        <w:t xml:space="preserve">Elle </w:t>
      </w:r>
      <w:r w:rsidRPr="00702497">
        <w:rPr>
          <w:rFonts w:eastAsia="Malgun Gothic"/>
          <w:lang w:val="fr-FR"/>
        </w:rPr>
        <w:t xml:space="preserve">a conclu </w:t>
      </w:r>
      <w:r w:rsidR="00172611" w:rsidRPr="00702497">
        <w:rPr>
          <w:rFonts w:eastAsia="Malgun Gothic"/>
          <w:lang w:val="fr-FR"/>
        </w:rPr>
        <w:t xml:space="preserve">son intervention </w:t>
      </w:r>
      <w:r w:rsidRPr="00702497">
        <w:rPr>
          <w:rFonts w:eastAsia="Malgun Gothic"/>
          <w:lang w:val="fr-FR"/>
        </w:rPr>
        <w:t xml:space="preserve">avec les mots de la romancière marocaine Nadia Chafik, dans un texte où elle évoque </w:t>
      </w:r>
      <w:r w:rsidR="002067A4" w:rsidRPr="00702497">
        <w:rPr>
          <w:rFonts w:eastAsia="Malgun Gothic"/>
          <w:lang w:val="fr-FR"/>
        </w:rPr>
        <w:t xml:space="preserve">la transmission des </w:t>
      </w:r>
      <w:r w:rsidRPr="00702497">
        <w:rPr>
          <w:rFonts w:eastAsia="Malgun Gothic"/>
          <w:lang w:val="fr-FR"/>
        </w:rPr>
        <w:t xml:space="preserve">traditions vivantes, mais aussi réinventées, qui sont </w:t>
      </w:r>
      <w:r w:rsidR="00CD77C9" w:rsidRPr="00702497">
        <w:rPr>
          <w:rFonts w:eastAsia="Malgun Gothic"/>
          <w:lang w:val="fr-FR"/>
        </w:rPr>
        <w:t>« </w:t>
      </w:r>
      <w:r w:rsidRPr="00702497">
        <w:rPr>
          <w:rFonts w:eastAsia="Malgun Gothic"/>
          <w:lang w:val="fr-FR"/>
        </w:rPr>
        <w:t>ce que les racines sont au cèdre, ce que le parfum est à la rose</w:t>
      </w:r>
      <w:r w:rsidR="00CD77C9" w:rsidRPr="00702497">
        <w:rPr>
          <w:rFonts w:eastAsia="Malgun Gothic"/>
          <w:lang w:val="fr-FR"/>
        </w:rPr>
        <w:t> »</w:t>
      </w:r>
      <w:r w:rsidRPr="00702497">
        <w:rPr>
          <w:rFonts w:eastAsia="Malgun Gothic"/>
          <w:lang w:val="fr-FR"/>
        </w:rPr>
        <w:t xml:space="preserve">. Elle a souhaité </w:t>
      </w:r>
      <w:r w:rsidR="00C71B0A" w:rsidRPr="00702497">
        <w:rPr>
          <w:rFonts w:eastAsia="Malgun Gothic"/>
          <w:lang w:val="fr-FR"/>
        </w:rPr>
        <w:t>une bonne session</w:t>
      </w:r>
      <w:r w:rsidR="002067A4" w:rsidRPr="00702497">
        <w:rPr>
          <w:rFonts w:eastAsia="Malgun Gothic"/>
          <w:lang w:val="fr-FR"/>
        </w:rPr>
        <w:t xml:space="preserve"> aux</w:t>
      </w:r>
      <w:r w:rsidRPr="00702497">
        <w:rPr>
          <w:rFonts w:eastAsia="Malgun Gothic"/>
          <w:lang w:val="fr-FR"/>
        </w:rPr>
        <w:t xml:space="preserve"> délégués.</w:t>
      </w:r>
    </w:p>
    <w:p w14:paraId="483903DE" w14:textId="1BA3FDB6" w:rsidR="00CD77C9" w:rsidRDefault="00C433F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C433F1">
        <w:rPr>
          <w:rFonts w:eastAsia="Malgun Gothic"/>
          <w:lang w:val="fr-FR"/>
        </w:rPr>
        <w:t xml:space="preserve">Le </w:t>
      </w:r>
      <w:r w:rsidRPr="00C433F1">
        <w:rPr>
          <w:rFonts w:eastAsia="Malgun Gothic"/>
          <w:b/>
          <w:bCs/>
          <w:lang w:val="fr-FR"/>
        </w:rPr>
        <w:t>Sous-Directeur général pour la culture</w:t>
      </w:r>
      <w:r w:rsidRPr="00C433F1">
        <w:rPr>
          <w:rFonts w:eastAsia="Malgun Gothic"/>
          <w:lang w:val="fr-FR"/>
        </w:rPr>
        <w:t xml:space="preserve">, </w:t>
      </w:r>
      <w:r w:rsidRPr="006E3034">
        <w:rPr>
          <w:rFonts w:eastAsia="Malgun Gothic"/>
          <w:lang w:val="fr-FR"/>
        </w:rPr>
        <w:t>M. Ernesto Ottone</w:t>
      </w:r>
      <w:r w:rsidRPr="002B5649">
        <w:rPr>
          <w:rFonts w:eastAsia="Malgun Gothic"/>
          <w:lang w:val="fr-FR"/>
        </w:rPr>
        <w:t xml:space="preserve">, </w:t>
      </w:r>
      <w:r w:rsidRPr="00C433F1">
        <w:rPr>
          <w:rFonts w:eastAsia="Malgun Gothic"/>
          <w:lang w:val="fr-FR"/>
        </w:rPr>
        <w:t xml:space="preserve">a souhaité la bienvenue à tous les délégués à cette </w:t>
      </w:r>
      <w:r>
        <w:rPr>
          <w:rFonts w:eastAsia="Malgun Gothic"/>
          <w:lang w:val="fr-FR"/>
        </w:rPr>
        <w:t>dix</w:t>
      </w:r>
      <w:r w:rsidR="00BB2856">
        <w:rPr>
          <w:rFonts w:eastAsia="Malgun Gothic"/>
          <w:lang w:val="fr-FR"/>
        </w:rPr>
        <w:noBreakHyphen/>
      </w:r>
      <w:r>
        <w:rPr>
          <w:rFonts w:eastAsia="Malgun Gothic"/>
          <w:lang w:val="fr-FR"/>
        </w:rPr>
        <w:t>septième</w:t>
      </w:r>
      <w:r w:rsidRPr="00C433F1">
        <w:rPr>
          <w:rFonts w:eastAsia="Malgun Gothic"/>
          <w:lang w:val="fr-FR"/>
        </w:rPr>
        <w:t xml:space="preserve"> session du Comité à Rabat, site du patrimoine mondial de l</w:t>
      </w:r>
      <w:r w:rsidR="00923E72">
        <w:rPr>
          <w:rFonts w:eastAsia="Malgun Gothic"/>
          <w:lang w:val="fr-FR"/>
        </w:rPr>
        <w:t>’</w:t>
      </w:r>
      <w:r w:rsidRPr="00C433F1">
        <w:rPr>
          <w:rFonts w:eastAsia="Malgun Gothic"/>
          <w:lang w:val="fr-FR"/>
        </w:rPr>
        <w:t xml:space="preserve">UNESCO. Il a exprimé ses sincères remerciements aux autorités marocaines pour leur </w:t>
      </w:r>
      <w:r w:rsidRPr="00C433F1">
        <w:rPr>
          <w:rFonts w:eastAsia="Malgun Gothic"/>
          <w:lang w:val="fr-FR"/>
        </w:rPr>
        <w:lastRenderedPageBreak/>
        <w:t xml:space="preserve">accueil chaleureux et leur hospitalité. Après de nombreux mois de préparation, elles </w:t>
      </w:r>
      <w:r>
        <w:rPr>
          <w:rFonts w:eastAsia="Malgun Gothic"/>
          <w:lang w:val="fr-FR"/>
        </w:rPr>
        <w:t>avaient</w:t>
      </w:r>
      <w:r w:rsidRPr="00C433F1">
        <w:rPr>
          <w:rFonts w:eastAsia="Malgun Gothic"/>
          <w:lang w:val="fr-FR"/>
        </w:rPr>
        <w:t xml:space="preserve"> créé un excellent environnement de travail pour cette session. Après deux longues années de réunions en ligne et </w:t>
      </w:r>
      <w:r w:rsidR="00BB2856">
        <w:rPr>
          <w:rFonts w:eastAsia="Malgun Gothic"/>
          <w:lang w:val="fr-FR"/>
        </w:rPr>
        <w:t>au</w:t>
      </w:r>
      <w:r w:rsidRPr="00C433F1">
        <w:rPr>
          <w:rFonts w:eastAsia="Malgun Gothic"/>
          <w:lang w:val="fr-FR"/>
        </w:rPr>
        <w:t xml:space="preserve"> format hybride, c</w:t>
      </w:r>
      <w:r w:rsidR="00923E72">
        <w:rPr>
          <w:rFonts w:eastAsia="Malgun Gothic"/>
          <w:lang w:val="fr-FR"/>
        </w:rPr>
        <w:t>’</w:t>
      </w:r>
      <w:r>
        <w:rPr>
          <w:rFonts w:eastAsia="Malgun Gothic"/>
          <w:lang w:val="fr-FR"/>
        </w:rPr>
        <w:t>était</w:t>
      </w:r>
      <w:r w:rsidRPr="00C433F1">
        <w:rPr>
          <w:rFonts w:eastAsia="Malgun Gothic"/>
          <w:lang w:val="fr-FR"/>
        </w:rPr>
        <w:t xml:space="preserve"> un plaisir de se retrouver en</w:t>
      </w:r>
      <w:r w:rsidR="00A92820">
        <w:rPr>
          <w:rFonts w:eastAsia="Malgun Gothic"/>
          <w:lang w:val="fr-FR"/>
        </w:rPr>
        <w:t xml:space="preserve"> </w:t>
      </w:r>
      <w:r w:rsidR="0035057A">
        <w:rPr>
          <w:rFonts w:eastAsia="Malgun Gothic"/>
          <w:lang w:val="fr-FR"/>
        </w:rPr>
        <w:t>personne</w:t>
      </w:r>
      <w:r w:rsidRPr="00C433F1">
        <w:rPr>
          <w:rFonts w:eastAsia="Malgun Gothic"/>
          <w:lang w:val="fr-FR"/>
        </w:rPr>
        <w:t xml:space="preserve">. Il a fait remarquer la richesse du patrimoine vivant du Maroc, que les délégués </w:t>
      </w:r>
      <w:r>
        <w:rPr>
          <w:rFonts w:eastAsia="Malgun Gothic"/>
          <w:lang w:val="fr-FR"/>
        </w:rPr>
        <w:t>avaient</w:t>
      </w:r>
      <w:r w:rsidRPr="00C433F1">
        <w:rPr>
          <w:rFonts w:eastAsia="Malgun Gothic"/>
          <w:lang w:val="fr-FR"/>
        </w:rPr>
        <w:t xml:space="preserve"> pu découvrir lors de la cérémonie d</w:t>
      </w:r>
      <w:r w:rsidR="00923E72">
        <w:rPr>
          <w:rFonts w:eastAsia="Malgun Gothic"/>
          <w:lang w:val="fr-FR"/>
        </w:rPr>
        <w:t>’</w:t>
      </w:r>
      <w:r w:rsidRPr="00C433F1">
        <w:rPr>
          <w:rFonts w:eastAsia="Malgun Gothic"/>
          <w:lang w:val="fr-FR"/>
        </w:rPr>
        <w:t xml:space="preserve">ouverture de la veille. Il </w:t>
      </w:r>
      <w:r>
        <w:rPr>
          <w:rFonts w:eastAsia="Malgun Gothic"/>
          <w:lang w:val="fr-FR"/>
        </w:rPr>
        <w:t xml:space="preserve">a </w:t>
      </w:r>
      <w:r w:rsidRPr="00C433F1">
        <w:rPr>
          <w:rFonts w:eastAsia="Malgun Gothic"/>
          <w:lang w:val="fr-FR"/>
        </w:rPr>
        <w:t>évoqu</w:t>
      </w:r>
      <w:r>
        <w:rPr>
          <w:rFonts w:eastAsia="Malgun Gothic"/>
          <w:lang w:val="fr-FR"/>
        </w:rPr>
        <w:t>é</w:t>
      </w:r>
      <w:r w:rsidRPr="00C433F1">
        <w:rPr>
          <w:rFonts w:eastAsia="Malgun Gothic"/>
          <w:lang w:val="fr-FR"/>
        </w:rPr>
        <w:t xml:space="preserve"> le travail du Comité pour cette session, avec </w:t>
      </w:r>
      <w:r>
        <w:rPr>
          <w:rFonts w:eastAsia="Malgun Gothic"/>
          <w:lang w:val="fr-FR"/>
        </w:rPr>
        <w:t>vingt</w:t>
      </w:r>
      <w:r w:rsidRPr="00C433F1">
        <w:rPr>
          <w:rFonts w:eastAsia="Malgun Gothic"/>
          <w:lang w:val="fr-FR"/>
        </w:rPr>
        <w:t xml:space="preserve"> points à l</w:t>
      </w:r>
      <w:r w:rsidR="00923E72">
        <w:rPr>
          <w:rFonts w:eastAsia="Malgun Gothic"/>
          <w:lang w:val="fr-FR"/>
        </w:rPr>
        <w:t>’</w:t>
      </w:r>
      <w:r w:rsidRPr="00C433F1">
        <w:rPr>
          <w:rFonts w:eastAsia="Malgun Gothic"/>
          <w:lang w:val="fr-FR"/>
        </w:rPr>
        <w:t>ordre du jour. Le Comité examinera</w:t>
      </w:r>
      <w:r>
        <w:rPr>
          <w:rFonts w:eastAsia="Malgun Gothic"/>
          <w:lang w:val="fr-FR"/>
        </w:rPr>
        <w:t>it</w:t>
      </w:r>
      <w:r w:rsidRPr="00C433F1">
        <w:rPr>
          <w:rFonts w:eastAsia="Malgun Gothic"/>
          <w:lang w:val="fr-FR"/>
        </w:rPr>
        <w:t xml:space="preserve"> une série de candidatur</w:t>
      </w:r>
      <w:r>
        <w:rPr>
          <w:rFonts w:eastAsia="Malgun Gothic"/>
          <w:lang w:val="fr-FR"/>
        </w:rPr>
        <w:t xml:space="preserve">es pour </w:t>
      </w:r>
      <w:r w:rsidRPr="00C433F1">
        <w:rPr>
          <w:rFonts w:eastAsia="Malgun Gothic"/>
          <w:lang w:val="fr-FR"/>
        </w:rPr>
        <w:t>inscription sur les listes de la Convention, les rapports périodiques et autres rapports soumis par les États parties ainsi que l</w:t>
      </w:r>
      <w:r w:rsidR="00923E72">
        <w:rPr>
          <w:rFonts w:eastAsia="Malgun Gothic"/>
          <w:lang w:val="fr-FR"/>
        </w:rPr>
        <w:t>’</w:t>
      </w:r>
      <w:r w:rsidRPr="00C433F1">
        <w:rPr>
          <w:rFonts w:eastAsia="Malgun Gothic"/>
          <w:lang w:val="fr-FR"/>
        </w:rPr>
        <w:t>initiative de la Convention de</w:t>
      </w:r>
      <w:r w:rsidR="00B83701">
        <w:rPr>
          <w:rFonts w:eastAsia="Malgun Gothic"/>
          <w:lang w:val="fr-FR"/>
        </w:rPr>
        <w:t> </w:t>
      </w:r>
      <w:r w:rsidRPr="00C433F1">
        <w:rPr>
          <w:rFonts w:eastAsia="Malgun Gothic"/>
          <w:lang w:val="fr-FR"/>
        </w:rPr>
        <w:t>2003 en faveur du développement durable. Il élira</w:t>
      </w:r>
      <w:r w:rsidR="001C0299">
        <w:rPr>
          <w:rFonts w:eastAsia="Malgun Gothic"/>
          <w:lang w:val="fr-FR"/>
        </w:rPr>
        <w:t>it</w:t>
      </w:r>
      <w:r w:rsidRPr="00C433F1">
        <w:rPr>
          <w:rFonts w:eastAsia="Malgun Gothic"/>
          <w:lang w:val="fr-FR"/>
        </w:rPr>
        <w:t xml:space="preserve"> également les nouveaux membres d</w:t>
      </w:r>
      <w:r w:rsidR="001C0299">
        <w:rPr>
          <w:rFonts w:eastAsia="Malgun Gothic"/>
          <w:lang w:val="fr-FR"/>
        </w:rPr>
        <w:t>e l</w:t>
      </w:r>
      <w:r w:rsidR="00923E72">
        <w:rPr>
          <w:rFonts w:eastAsia="Malgun Gothic"/>
          <w:lang w:val="fr-FR"/>
        </w:rPr>
        <w:t>’</w:t>
      </w:r>
      <w:r w:rsidR="001C0299">
        <w:rPr>
          <w:rFonts w:eastAsia="Malgun Gothic"/>
          <w:lang w:val="fr-FR"/>
        </w:rPr>
        <w:t xml:space="preserve">Organe </w:t>
      </w:r>
      <w:r w:rsidRPr="00C433F1">
        <w:rPr>
          <w:rFonts w:eastAsia="Malgun Gothic"/>
          <w:lang w:val="fr-FR"/>
        </w:rPr>
        <w:t>d</w:t>
      </w:r>
      <w:r w:rsidR="00923E72">
        <w:rPr>
          <w:rFonts w:eastAsia="Malgun Gothic"/>
          <w:lang w:val="fr-FR"/>
        </w:rPr>
        <w:t>’</w:t>
      </w:r>
      <w:r w:rsidRPr="00C433F1">
        <w:rPr>
          <w:rFonts w:eastAsia="Malgun Gothic"/>
          <w:lang w:val="fr-FR"/>
        </w:rPr>
        <w:t xml:space="preserve">évaluation. </w:t>
      </w:r>
      <w:r w:rsidR="002067A4">
        <w:rPr>
          <w:rFonts w:eastAsia="Malgun Gothic"/>
          <w:lang w:val="fr-FR"/>
        </w:rPr>
        <w:t>En outre, u</w:t>
      </w:r>
      <w:r w:rsidRPr="00C433F1">
        <w:rPr>
          <w:rFonts w:eastAsia="Malgun Gothic"/>
          <w:lang w:val="fr-FR"/>
        </w:rPr>
        <w:t>n certain nombre d</w:t>
      </w:r>
      <w:r w:rsidR="00923E72">
        <w:rPr>
          <w:rFonts w:eastAsia="Malgun Gothic"/>
          <w:lang w:val="fr-FR"/>
        </w:rPr>
        <w:t>’</w:t>
      </w:r>
      <w:r w:rsidR="00D2038C">
        <w:rPr>
          <w:rFonts w:eastAsia="Malgun Gothic"/>
          <w:lang w:val="fr-FR"/>
        </w:rPr>
        <w:t xml:space="preserve">événements </w:t>
      </w:r>
      <w:r w:rsidRPr="00C433F1">
        <w:rPr>
          <w:rFonts w:eastAsia="Malgun Gothic"/>
          <w:lang w:val="fr-FR"/>
        </w:rPr>
        <w:t>parallèles</w:t>
      </w:r>
      <w:r w:rsidR="00DB4C4C">
        <w:rPr>
          <w:rStyle w:val="FootnoteReference"/>
          <w:rFonts w:eastAsia="Malgun Gothic"/>
          <w:lang w:val="fr-FR"/>
        </w:rPr>
        <w:footnoteReference w:id="1"/>
      </w:r>
      <w:r w:rsidRPr="00C433F1">
        <w:rPr>
          <w:rFonts w:eastAsia="Malgun Gothic"/>
          <w:lang w:val="fr-FR"/>
        </w:rPr>
        <w:t>, de réunions, de sessions d</w:t>
      </w:r>
      <w:r w:rsidR="00923E72">
        <w:rPr>
          <w:rFonts w:eastAsia="Malgun Gothic"/>
          <w:lang w:val="fr-FR"/>
        </w:rPr>
        <w:t>’</w:t>
      </w:r>
      <w:r w:rsidRPr="00C433F1">
        <w:rPr>
          <w:rFonts w:eastAsia="Malgun Gothic"/>
          <w:lang w:val="fr-FR"/>
        </w:rPr>
        <w:t>information et d</w:t>
      </w:r>
      <w:r w:rsidR="00923E72">
        <w:rPr>
          <w:rFonts w:eastAsia="Malgun Gothic"/>
          <w:lang w:val="fr-FR"/>
        </w:rPr>
        <w:t>’</w:t>
      </w:r>
      <w:r w:rsidRPr="00C433F1">
        <w:rPr>
          <w:rFonts w:eastAsia="Malgun Gothic"/>
          <w:lang w:val="fr-FR"/>
        </w:rPr>
        <w:t xml:space="preserve">expositions </w:t>
      </w:r>
      <w:r w:rsidR="003C53E8">
        <w:rPr>
          <w:rFonts w:eastAsia="Malgun Gothic"/>
          <w:lang w:val="fr-FR"/>
        </w:rPr>
        <w:t xml:space="preserve">de grand intérêt </w:t>
      </w:r>
      <w:r w:rsidR="001C0299">
        <w:rPr>
          <w:rFonts w:eastAsia="Malgun Gothic"/>
          <w:lang w:val="fr-FR"/>
        </w:rPr>
        <w:t xml:space="preserve">étaient </w:t>
      </w:r>
      <w:r w:rsidRPr="00C433F1">
        <w:rPr>
          <w:rFonts w:eastAsia="Malgun Gothic"/>
          <w:lang w:val="fr-FR"/>
        </w:rPr>
        <w:t xml:space="preserve">organisés, qui </w:t>
      </w:r>
      <w:r w:rsidR="001C0299">
        <w:rPr>
          <w:rFonts w:eastAsia="Malgun Gothic"/>
          <w:lang w:val="fr-FR"/>
        </w:rPr>
        <w:t>avaient</w:t>
      </w:r>
      <w:r w:rsidRPr="00C433F1">
        <w:rPr>
          <w:rFonts w:eastAsia="Malgun Gothic"/>
          <w:lang w:val="fr-FR"/>
        </w:rPr>
        <w:t xml:space="preserve"> commencé la veille avec la discussion sur </w:t>
      </w:r>
      <w:r w:rsidR="001C0299">
        <w:rPr>
          <w:rFonts w:eastAsia="Malgun Gothic"/>
          <w:lang w:val="fr-FR"/>
        </w:rPr>
        <w:t>« </w:t>
      </w:r>
      <w:r w:rsidRPr="00C433F1">
        <w:rPr>
          <w:rFonts w:eastAsia="Malgun Gothic"/>
          <w:lang w:val="fr-FR"/>
        </w:rPr>
        <w:t>Le patrimoine vivant et le changement climatique</w:t>
      </w:r>
      <w:r w:rsidR="001C0299">
        <w:rPr>
          <w:rFonts w:eastAsia="Malgun Gothic"/>
          <w:lang w:val="fr-FR"/>
        </w:rPr>
        <w:t> »</w:t>
      </w:r>
      <w:r w:rsidR="00BB2856">
        <w:rPr>
          <w:rFonts w:eastAsia="Malgun Gothic"/>
          <w:lang w:val="fr-FR"/>
        </w:rPr>
        <w:t>,</w:t>
      </w:r>
      <w:r w:rsidRPr="00C433F1">
        <w:rPr>
          <w:rFonts w:eastAsia="Malgun Gothic"/>
          <w:lang w:val="fr-FR"/>
        </w:rPr>
        <w:t xml:space="preserve"> organisée par le Forum </w:t>
      </w:r>
      <w:r w:rsidR="00D2038C">
        <w:rPr>
          <w:rFonts w:eastAsia="Malgun Gothic"/>
          <w:lang w:val="fr-FR"/>
        </w:rPr>
        <w:t>des ONG du PCI</w:t>
      </w:r>
      <w:r w:rsidRPr="00C433F1">
        <w:rPr>
          <w:rFonts w:eastAsia="Malgun Gothic"/>
          <w:lang w:val="fr-FR"/>
        </w:rPr>
        <w:t xml:space="preserve">. </w:t>
      </w:r>
      <w:r w:rsidR="00D2038C">
        <w:rPr>
          <w:rFonts w:eastAsia="Malgun Gothic"/>
          <w:lang w:val="fr-FR"/>
        </w:rPr>
        <w:t xml:space="preserve">Cela se poursuivrait </w:t>
      </w:r>
      <w:r w:rsidRPr="00C433F1">
        <w:rPr>
          <w:rFonts w:eastAsia="Malgun Gothic"/>
          <w:lang w:val="fr-FR"/>
        </w:rPr>
        <w:t>dans la soirée avec une discussion sur</w:t>
      </w:r>
      <w:r w:rsidR="001C0299">
        <w:rPr>
          <w:rFonts w:eastAsia="Malgun Gothic"/>
          <w:lang w:val="fr-FR"/>
        </w:rPr>
        <w:t xml:space="preserve"> « </w:t>
      </w:r>
      <w:r w:rsidRPr="00C433F1">
        <w:rPr>
          <w:rFonts w:eastAsia="Malgun Gothic"/>
          <w:lang w:val="fr-FR"/>
        </w:rPr>
        <w:t>Le patrimoine culturel immatériel et la propriété intellectuelle</w:t>
      </w:r>
      <w:r w:rsidR="001C0299">
        <w:rPr>
          <w:rFonts w:eastAsia="Malgun Gothic"/>
          <w:lang w:val="fr-FR"/>
        </w:rPr>
        <w:t> »</w:t>
      </w:r>
      <w:r w:rsidR="00B83701">
        <w:rPr>
          <w:rFonts w:eastAsia="Malgun Gothic"/>
          <w:lang w:val="fr-FR"/>
        </w:rPr>
        <w:t>,</w:t>
      </w:r>
      <w:r w:rsidRPr="00C433F1">
        <w:rPr>
          <w:rFonts w:eastAsia="Malgun Gothic"/>
          <w:lang w:val="fr-FR"/>
        </w:rPr>
        <w:t xml:space="preserve"> organisée par le Maroc et le </w:t>
      </w:r>
      <w:r w:rsidR="00490936">
        <w:rPr>
          <w:rFonts w:eastAsia="Malgun Gothic"/>
          <w:lang w:val="fr-FR"/>
        </w:rPr>
        <w:t>S</w:t>
      </w:r>
      <w:r w:rsidRPr="00C433F1">
        <w:rPr>
          <w:rFonts w:eastAsia="Malgun Gothic"/>
          <w:lang w:val="fr-FR"/>
        </w:rPr>
        <w:t>iège de l</w:t>
      </w:r>
      <w:r w:rsidR="00923E72">
        <w:rPr>
          <w:rFonts w:eastAsia="Malgun Gothic"/>
          <w:lang w:val="fr-FR"/>
        </w:rPr>
        <w:t>’</w:t>
      </w:r>
      <w:r w:rsidRPr="00C433F1">
        <w:rPr>
          <w:rFonts w:eastAsia="Malgun Gothic"/>
          <w:lang w:val="fr-FR"/>
        </w:rPr>
        <w:t>UNESCO. D</w:t>
      </w:r>
      <w:r w:rsidR="00923E72">
        <w:rPr>
          <w:rFonts w:eastAsia="Malgun Gothic"/>
          <w:lang w:val="fr-FR"/>
        </w:rPr>
        <w:t>’</w:t>
      </w:r>
      <w:r w:rsidRPr="00C433F1">
        <w:rPr>
          <w:rFonts w:eastAsia="Malgun Gothic"/>
          <w:lang w:val="fr-FR"/>
        </w:rPr>
        <w:t xml:space="preserve">autres </w:t>
      </w:r>
      <w:r w:rsidR="00D2038C">
        <w:rPr>
          <w:rFonts w:eastAsia="Malgun Gothic"/>
          <w:lang w:val="fr-FR"/>
        </w:rPr>
        <w:t xml:space="preserve">événements </w:t>
      </w:r>
      <w:r w:rsidRPr="00C433F1">
        <w:rPr>
          <w:rFonts w:eastAsia="Malgun Gothic"/>
          <w:lang w:val="fr-FR"/>
        </w:rPr>
        <w:t>port</w:t>
      </w:r>
      <w:r w:rsidR="00D2038C">
        <w:rPr>
          <w:rFonts w:eastAsia="Malgun Gothic"/>
          <w:lang w:val="fr-FR"/>
        </w:rPr>
        <w:t>eraient</w:t>
      </w:r>
      <w:r w:rsidRPr="00C433F1">
        <w:rPr>
          <w:rFonts w:eastAsia="Malgun Gothic"/>
          <w:lang w:val="fr-FR"/>
        </w:rPr>
        <w:t xml:space="preserve"> sur </w:t>
      </w:r>
      <w:r w:rsidR="00D2038C">
        <w:rPr>
          <w:rFonts w:eastAsia="Malgun Gothic"/>
          <w:lang w:val="fr-FR"/>
        </w:rPr>
        <w:t>« L</w:t>
      </w:r>
      <w:r w:rsidRPr="00C433F1">
        <w:rPr>
          <w:rFonts w:eastAsia="Malgun Gothic"/>
          <w:lang w:val="fr-FR"/>
        </w:rPr>
        <w:t>e</w:t>
      </w:r>
      <w:r w:rsidR="00D2038C">
        <w:rPr>
          <w:rFonts w:eastAsia="Malgun Gothic"/>
          <w:lang w:val="fr-FR"/>
        </w:rPr>
        <w:t xml:space="preserve"> </w:t>
      </w:r>
      <w:r w:rsidRPr="00C433F1">
        <w:rPr>
          <w:rFonts w:eastAsia="Malgun Gothic"/>
          <w:lang w:val="fr-FR"/>
        </w:rPr>
        <w:t>patrimoine vivant autochtone</w:t>
      </w:r>
      <w:r w:rsidR="00D2038C">
        <w:rPr>
          <w:rFonts w:eastAsia="Malgun Gothic"/>
          <w:lang w:val="fr-FR"/>
        </w:rPr>
        <w:t> »</w:t>
      </w:r>
      <w:r w:rsidRPr="00C433F1">
        <w:rPr>
          <w:rFonts w:eastAsia="Malgun Gothic"/>
          <w:lang w:val="fr-FR"/>
        </w:rPr>
        <w:t xml:space="preserve"> en Colombie, </w:t>
      </w:r>
      <w:r w:rsidR="00D2038C">
        <w:rPr>
          <w:rFonts w:eastAsia="Malgun Gothic"/>
          <w:lang w:val="fr-FR"/>
        </w:rPr>
        <w:t>« L</w:t>
      </w:r>
      <w:r w:rsidRPr="00C433F1">
        <w:rPr>
          <w:rFonts w:eastAsia="Malgun Gothic"/>
          <w:lang w:val="fr-FR"/>
        </w:rPr>
        <w:t>a sauvegarde du patrimoine vivant dans les contextes urbains</w:t>
      </w:r>
      <w:r w:rsidR="00D2038C">
        <w:rPr>
          <w:rFonts w:eastAsia="Malgun Gothic"/>
          <w:lang w:val="fr-FR"/>
        </w:rPr>
        <w:t> »</w:t>
      </w:r>
      <w:r w:rsidRPr="00C433F1">
        <w:rPr>
          <w:rFonts w:eastAsia="Malgun Gothic"/>
          <w:lang w:val="fr-FR"/>
        </w:rPr>
        <w:t xml:space="preserve"> et </w:t>
      </w:r>
      <w:r w:rsidR="00D2038C">
        <w:rPr>
          <w:rFonts w:eastAsia="Malgun Gothic"/>
          <w:lang w:val="fr-FR"/>
        </w:rPr>
        <w:t>« L</w:t>
      </w:r>
      <w:r w:rsidRPr="00C433F1">
        <w:rPr>
          <w:rFonts w:eastAsia="Malgun Gothic"/>
          <w:lang w:val="fr-FR"/>
        </w:rPr>
        <w:t>e rôle de</w:t>
      </w:r>
      <w:r w:rsidR="00D2038C">
        <w:rPr>
          <w:rFonts w:eastAsia="Malgun Gothic"/>
          <w:lang w:val="fr-FR"/>
        </w:rPr>
        <w:t xml:space="preserve"> la</w:t>
      </w:r>
      <w:r w:rsidRPr="00C433F1">
        <w:rPr>
          <w:rFonts w:eastAsia="Malgun Gothic"/>
          <w:lang w:val="fr-FR"/>
        </w:rPr>
        <w:t xml:space="preserve"> femme dans la transmission du patrimoine vivant</w:t>
      </w:r>
      <w:r w:rsidR="00D2038C">
        <w:rPr>
          <w:rFonts w:eastAsia="Malgun Gothic"/>
          <w:lang w:val="fr-FR"/>
        </w:rPr>
        <w:t> »</w:t>
      </w:r>
      <w:r w:rsidRPr="00C433F1">
        <w:rPr>
          <w:rFonts w:eastAsia="Malgun Gothic"/>
          <w:lang w:val="fr-FR"/>
        </w:rPr>
        <w:t>. Le Secrétariat a</w:t>
      </w:r>
      <w:r w:rsidR="00D2038C">
        <w:rPr>
          <w:rFonts w:eastAsia="Malgun Gothic"/>
          <w:lang w:val="fr-FR"/>
        </w:rPr>
        <w:t>vait</w:t>
      </w:r>
      <w:r w:rsidRPr="00C433F1">
        <w:rPr>
          <w:rFonts w:eastAsia="Malgun Gothic"/>
          <w:lang w:val="fr-FR"/>
        </w:rPr>
        <w:t xml:space="preserve"> également le plaisir d</w:t>
      </w:r>
      <w:r w:rsidR="00923E72">
        <w:rPr>
          <w:rFonts w:eastAsia="Malgun Gothic"/>
          <w:lang w:val="fr-FR"/>
        </w:rPr>
        <w:t>’</w:t>
      </w:r>
      <w:r w:rsidRPr="00C433F1">
        <w:rPr>
          <w:rFonts w:eastAsia="Malgun Gothic"/>
          <w:lang w:val="fr-FR"/>
        </w:rPr>
        <w:t>être rejoint par des détenteurs du patrimoine vivant, des experts, des ONG et des gouvernements</w:t>
      </w:r>
      <w:r w:rsidR="004F368D">
        <w:rPr>
          <w:rFonts w:eastAsia="Malgun Gothic"/>
          <w:lang w:val="fr-FR"/>
        </w:rPr>
        <w:t>,</w:t>
      </w:r>
      <w:r w:rsidRPr="00C433F1">
        <w:rPr>
          <w:rFonts w:eastAsia="Malgun Gothic"/>
          <w:lang w:val="fr-FR"/>
        </w:rPr>
        <w:t xml:space="preserve"> qui </w:t>
      </w:r>
      <w:r w:rsidR="00D2038C">
        <w:rPr>
          <w:rFonts w:eastAsia="Malgun Gothic"/>
          <w:lang w:val="fr-FR"/>
        </w:rPr>
        <w:t>suivaient</w:t>
      </w:r>
      <w:r w:rsidRPr="00C433F1">
        <w:rPr>
          <w:rFonts w:eastAsia="Malgun Gothic"/>
          <w:lang w:val="fr-FR"/>
        </w:rPr>
        <w:t xml:space="preserve"> les débats</w:t>
      </w:r>
      <w:r w:rsidR="000545CE">
        <w:rPr>
          <w:rFonts w:eastAsia="Malgun Gothic"/>
          <w:lang w:val="fr-FR"/>
        </w:rPr>
        <w:t xml:space="preserve"> en ligne</w:t>
      </w:r>
      <w:r w:rsidRPr="00C433F1">
        <w:rPr>
          <w:rFonts w:eastAsia="Malgun Gothic"/>
          <w:lang w:val="fr-FR"/>
        </w:rPr>
        <w:t>. Cette réunion s</w:t>
      </w:r>
      <w:r w:rsidR="00D2038C">
        <w:rPr>
          <w:rFonts w:eastAsia="Malgun Gothic"/>
          <w:lang w:val="fr-FR"/>
        </w:rPr>
        <w:t>e tenait</w:t>
      </w:r>
      <w:r w:rsidRPr="00C433F1">
        <w:rPr>
          <w:rFonts w:eastAsia="Malgun Gothic"/>
          <w:lang w:val="fr-FR"/>
        </w:rPr>
        <w:t xml:space="preserve"> à la suite de la conférence MONDIACULT</w:t>
      </w:r>
      <w:r w:rsidR="00246428">
        <w:rPr>
          <w:rFonts w:eastAsia="Malgun Gothic"/>
          <w:lang w:val="fr-FR"/>
        </w:rPr>
        <w:t> </w:t>
      </w:r>
      <w:r w:rsidR="00642E50">
        <w:rPr>
          <w:rFonts w:eastAsia="Malgun Gothic"/>
          <w:lang w:val="fr-FR"/>
        </w:rPr>
        <w:t xml:space="preserve">2022 </w:t>
      </w:r>
      <w:r w:rsidRPr="00C433F1">
        <w:rPr>
          <w:rFonts w:eastAsia="Malgun Gothic"/>
          <w:lang w:val="fr-FR"/>
        </w:rPr>
        <w:t>de l</w:t>
      </w:r>
      <w:r w:rsidR="00923E72">
        <w:rPr>
          <w:rFonts w:eastAsia="Malgun Gothic"/>
          <w:lang w:val="fr-FR"/>
        </w:rPr>
        <w:t>’</w:t>
      </w:r>
      <w:r w:rsidRPr="00C433F1">
        <w:rPr>
          <w:rFonts w:eastAsia="Malgun Gothic"/>
          <w:lang w:val="fr-FR"/>
        </w:rPr>
        <w:t>UNESCO sur les politiques culturelles et le développement durable</w:t>
      </w:r>
      <w:r w:rsidR="004F368D">
        <w:rPr>
          <w:rFonts w:eastAsia="Malgun Gothic"/>
          <w:lang w:val="fr-FR"/>
        </w:rPr>
        <w:t>,</w:t>
      </w:r>
      <w:r w:rsidRPr="00C433F1">
        <w:rPr>
          <w:rFonts w:eastAsia="Malgun Gothic"/>
          <w:lang w:val="fr-FR"/>
        </w:rPr>
        <w:t xml:space="preserve"> qui s</w:t>
      </w:r>
      <w:r w:rsidR="00923E72">
        <w:rPr>
          <w:rFonts w:eastAsia="Malgun Gothic"/>
          <w:lang w:val="fr-FR"/>
        </w:rPr>
        <w:t>’</w:t>
      </w:r>
      <w:r w:rsidR="003C53E8">
        <w:rPr>
          <w:rFonts w:eastAsia="Malgun Gothic"/>
          <w:lang w:val="fr-FR"/>
        </w:rPr>
        <w:t>était</w:t>
      </w:r>
      <w:r w:rsidRPr="00C433F1">
        <w:rPr>
          <w:rFonts w:eastAsia="Malgun Gothic"/>
          <w:lang w:val="fr-FR"/>
        </w:rPr>
        <w:t xml:space="preserve"> tenue en septembre. MONDIACULT a</w:t>
      </w:r>
      <w:r w:rsidR="003C53E8">
        <w:rPr>
          <w:rFonts w:eastAsia="Malgun Gothic"/>
          <w:lang w:val="fr-FR"/>
        </w:rPr>
        <w:t>vait</w:t>
      </w:r>
      <w:r w:rsidRPr="00C433F1">
        <w:rPr>
          <w:rFonts w:eastAsia="Malgun Gothic"/>
          <w:lang w:val="fr-FR"/>
        </w:rPr>
        <w:t xml:space="preserve"> donné lieu à une déclaration </w:t>
      </w:r>
      <w:r w:rsidR="003C53E8">
        <w:rPr>
          <w:rFonts w:eastAsia="Malgun Gothic"/>
          <w:lang w:val="fr-FR"/>
        </w:rPr>
        <w:t xml:space="preserve">soutenue </w:t>
      </w:r>
      <w:r w:rsidRPr="00C433F1">
        <w:rPr>
          <w:rFonts w:eastAsia="Malgun Gothic"/>
          <w:lang w:val="fr-FR"/>
        </w:rPr>
        <w:t>par l</w:t>
      </w:r>
      <w:r w:rsidR="003C53E8">
        <w:rPr>
          <w:rFonts w:eastAsia="Malgun Gothic"/>
          <w:lang w:val="fr-FR"/>
        </w:rPr>
        <w:t>a</w:t>
      </w:r>
      <w:r w:rsidRPr="00C433F1">
        <w:rPr>
          <w:rFonts w:eastAsia="Malgun Gothic"/>
          <w:lang w:val="fr-FR"/>
        </w:rPr>
        <w:t xml:space="preserve"> Direct</w:t>
      </w:r>
      <w:r w:rsidR="003C53E8">
        <w:rPr>
          <w:rFonts w:eastAsia="Malgun Gothic"/>
          <w:lang w:val="fr-FR"/>
        </w:rPr>
        <w:t>rice</w:t>
      </w:r>
      <w:r w:rsidRPr="00C433F1">
        <w:rPr>
          <w:rFonts w:eastAsia="Malgun Gothic"/>
          <w:lang w:val="fr-FR"/>
        </w:rPr>
        <w:t xml:space="preserve"> général</w:t>
      </w:r>
      <w:r w:rsidR="003C53E8">
        <w:rPr>
          <w:rFonts w:eastAsia="Malgun Gothic"/>
          <w:lang w:val="fr-FR"/>
        </w:rPr>
        <w:t>e</w:t>
      </w:r>
      <w:r w:rsidRPr="00C433F1">
        <w:rPr>
          <w:rFonts w:eastAsia="Malgun Gothic"/>
          <w:lang w:val="fr-FR"/>
        </w:rPr>
        <w:t xml:space="preserve"> et signée par</w:t>
      </w:r>
      <w:r w:rsidR="00B83701">
        <w:rPr>
          <w:rFonts w:eastAsia="Malgun Gothic"/>
          <w:lang w:val="fr-FR"/>
        </w:rPr>
        <w:t> </w:t>
      </w:r>
      <w:r w:rsidRPr="00C433F1">
        <w:rPr>
          <w:rFonts w:eastAsia="Malgun Gothic"/>
          <w:lang w:val="fr-FR"/>
        </w:rPr>
        <w:t>150 États. Cette déclaration appel</w:t>
      </w:r>
      <w:r w:rsidR="003C53E8">
        <w:rPr>
          <w:rFonts w:eastAsia="Malgun Gothic"/>
          <w:lang w:val="fr-FR"/>
        </w:rPr>
        <w:t>ait</w:t>
      </w:r>
      <w:r w:rsidRPr="00C433F1">
        <w:rPr>
          <w:rFonts w:eastAsia="Malgun Gothic"/>
          <w:lang w:val="fr-FR"/>
        </w:rPr>
        <w:t xml:space="preserve"> également à redoubler d</w:t>
      </w:r>
      <w:r w:rsidR="00923E72">
        <w:rPr>
          <w:rFonts w:eastAsia="Malgun Gothic"/>
          <w:lang w:val="fr-FR"/>
        </w:rPr>
        <w:t>’</w:t>
      </w:r>
      <w:r w:rsidRPr="00C433F1">
        <w:rPr>
          <w:rFonts w:eastAsia="Malgun Gothic"/>
          <w:lang w:val="fr-FR"/>
        </w:rPr>
        <w:t>efforts pour protéger le patrimoine vivant en tant que moteur de la paix et du développement durable. Elle exhort</w:t>
      </w:r>
      <w:r w:rsidR="003C53E8">
        <w:rPr>
          <w:rFonts w:eastAsia="Malgun Gothic"/>
          <w:lang w:val="fr-FR"/>
        </w:rPr>
        <w:t>ait</w:t>
      </w:r>
      <w:r w:rsidRPr="00C433F1">
        <w:rPr>
          <w:rFonts w:eastAsia="Malgun Gothic"/>
          <w:lang w:val="fr-FR"/>
        </w:rPr>
        <w:t xml:space="preserve"> les États parties à protéger le patrimoine vivant face au changement climatique et soulign</w:t>
      </w:r>
      <w:r w:rsidR="003C53E8">
        <w:rPr>
          <w:rFonts w:eastAsia="Malgun Gothic"/>
          <w:lang w:val="fr-FR"/>
        </w:rPr>
        <w:t>ait</w:t>
      </w:r>
      <w:r w:rsidRPr="00C433F1">
        <w:rPr>
          <w:rFonts w:eastAsia="Malgun Gothic"/>
          <w:lang w:val="fr-FR"/>
        </w:rPr>
        <w:t xml:space="preserve"> le rôle puissant du patrimoine immatériel pour les personnes et les communautés. Ce Comité a</w:t>
      </w:r>
      <w:r w:rsidR="003C53E8">
        <w:rPr>
          <w:rFonts w:eastAsia="Malgun Gothic"/>
          <w:lang w:val="fr-FR"/>
        </w:rPr>
        <w:t>vait</w:t>
      </w:r>
      <w:r w:rsidRPr="00C433F1">
        <w:rPr>
          <w:rFonts w:eastAsia="Malgun Gothic"/>
          <w:lang w:val="fr-FR"/>
        </w:rPr>
        <w:t xml:space="preserve"> l</w:t>
      </w:r>
      <w:r w:rsidR="00923E72">
        <w:rPr>
          <w:rFonts w:eastAsia="Malgun Gothic"/>
          <w:lang w:val="fr-FR"/>
        </w:rPr>
        <w:t>’</w:t>
      </w:r>
      <w:r w:rsidRPr="00C433F1">
        <w:rPr>
          <w:rFonts w:eastAsia="Malgun Gothic"/>
          <w:lang w:val="fr-FR"/>
        </w:rPr>
        <w:t>opportunité de poursuivre ce travail et de soutenir les communautés dans la sauvegarde de leur patrimoine vivant. M.</w:t>
      </w:r>
      <w:r w:rsidR="003C53E8">
        <w:rPr>
          <w:rFonts w:eastAsia="Malgun Gothic"/>
          <w:lang w:val="fr-FR"/>
        </w:rPr>
        <w:t> </w:t>
      </w:r>
      <w:r w:rsidRPr="00C433F1">
        <w:rPr>
          <w:rFonts w:eastAsia="Malgun Gothic"/>
          <w:lang w:val="fr-FR"/>
        </w:rPr>
        <w:t xml:space="preserve">Ottone a conclu </w:t>
      </w:r>
      <w:r w:rsidR="003C53E8">
        <w:rPr>
          <w:rFonts w:eastAsia="Malgun Gothic"/>
          <w:lang w:val="fr-FR"/>
        </w:rPr>
        <w:t xml:space="preserve">son intervention </w:t>
      </w:r>
      <w:r w:rsidRPr="00C433F1">
        <w:rPr>
          <w:rFonts w:eastAsia="Malgun Gothic"/>
          <w:lang w:val="fr-FR"/>
        </w:rPr>
        <w:t xml:space="preserve">en souhaitant </w:t>
      </w:r>
      <w:r w:rsidR="003C53E8">
        <w:rPr>
          <w:rFonts w:eastAsia="Malgun Gothic"/>
          <w:lang w:val="fr-FR"/>
        </w:rPr>
        <w:t xml:space="preserve">une merveilleuse session </w:t>
      </w:r>
      <w:r w:rsidRPr="00C433F1">
        <w:rPr>
          <w:rFonts w:eastAsia="Malgun Gothic"/>
          <w:lang w:val="fr-FR"/>
        </w:rPr>
        <w:t>aux délégués.</w:t>
      </w:r>
    </w:p>
    <w:p w14:paraId="2C24802C" w14:textId="71C03818" w:rsidR="003C53E8" w:rsidRDefault="00642E5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42E50">
        <w:rPr>
          <w:rFonts w:eastAsia="Malgun Gothic"/>
          <w:lang w:val="fr-FR"/>
        </w:rPr>
        <w:t xml:space="preserve">Le </w:t>
      </w:r>
      <w:r w:rsidRPr="00642E50">
        <w:rPr>
          <w:rFonts w:eastAsia="Malgun Gothic"/>
          <w:b/>
          <w:bCs/>
          <w:lang w:val="fr-FR"/>
        </w:rPr>
        <w:t>Président de la dix</w:t>
      </w:r>
      <w:r w:rsidR="00BB2856">
        <w:rPr>
          <w:rFonts w:eastAsia="Malgun Gothic"/>
          <w:b/>
          <w:bCs/>
          <w:lang w:val="fr-FR"/>
        </w:rPr>
        <w:noBreakHyphen/>
      </w:r>
      <w:r w:rsidRPr="00642E50">
        <w:rPr>
          <w:rFonts w:eastAsia="Malgun Gothic"/>
          <w:b/>
          <w:bCs/>
          <w:lang w:val="fr-FR"/>
        </w:rPr>
        <w:t xml:space="preserve">septième session </w:t>
      </w:r>
      <w:r w:rsidRPr="00602064">
        <w:rPr>
          <w:rFonts w:eastAsia="Malgun Gothic"/>
          <w:b/>
          <w:bCs/>
          <w:lang w:val="fr-FR"/>
        </w:rPr>
        <w:t>du Comité</w:t>
      </w:r>
      <w:r w:rsidR="000545CE" w:rsidRPr="00602064">
        <w:rPr>
          <w:rFonts w:eastAsia="Malgun Gothic"/>
          <w:b/>
          <w:bCs/>
          <w:lang w:val="fr-FR"/>
        </w:rPr>
        <w:t xml:space="preserve">, </w:t>
      </w:r>
      <w:bookmarkStart w:id="1" w:name="_Hlk149579571"/>
      <w:bookmarkStart w:id="2" w:name="_Hlk149905828"/>
      <w:r w:rsidR="00602064" w:rsidRPr="006E3034">
        <w:rPr>
          <w:rFonts w:eastAsia="Malgun Gothic"/>
          <w:lang w:val="fr-FR"/>
        </w:rPr>
        <w:t xml:space="preserve">S. Exc. </w:t>
      </w:r>
      <w:bookmarkEnd w:id="1"/>
      <w:r w:rsidR="000545CE" w:rsidRPr="006E3034">
        <w:rPr>
          <w:rFonts w:eastAsia="Malgun Gothic"/>
          <w:lang w:val="fr-FR"/>
        </w:rPr>
        <w:t>M. Samir Addahre</w:t>
      </w:r>
      <w:bookmarkEnd w:id="2"/>
      <w:r w:rsidR="000545CE" w:rsidRPr="006E3034">
        <w:rPr>
          <w:rFonts w:eastAsia="Malgun Gothic"/>
          <w:lang w:val="fr-FR"/>
        </w:rPr>
        <w:t>, du Maroc,</w:t>
      </w:r>
      <w:r w:rsidRPr="00642E50">
        <w:rPr>
          <w:rFonts w:eastAsia="Malgun Gothic"/>
          <w:lang w:val="fr-FR"/>
        </w:rPr>
        <w:t xml:space="preserve"> a salué tous les participants et s</w:t>
      </w:r>
      <w:r w:rsidR="00923E72">
        <w:rPr>
          <w:rFonts w:eastAsia="Malgun Gothic"/>
          <w:lang w:val="fr-FR"/>
        </w:rPr>
        <w:t>’</w:t>
      </w:r>
      <w:r w:rsidRPr="00642E50">
        <w:rPr>
          <w:rFonts w:eastAsia="Malgun Gothic"/>
          <w:lang w:val="fr-FR"/>
        </w:rPr>
        <w:t>est dit honoré de présider ce Comité accueilli par le Maroc, qu</w:t>
      </w:r>
      <w:r w:rsidR="00923E72">
        <w:rPr>
          <w:rFonts w:eastAsia="Malgun Gothic"/>
          <w:lang w:val="fr-FR"/>
        </w:rPr>
        <w:t>’</w:t>
      </w:r>
      <w:r w:rsidRPr="00642E50">
        <w:rPr>
          <w:rFonts w:eastAsia="Malgun Gothic"/>
          <w:lang w:val="fr-FR"/>
        </w:rPr>
        <w:t>il a</w:t>
      </w:r>
      <w:r>
        <w:rPr>
          <w:rFonts w:eastAsia="Malgun Gothic"/>
          <w:lang w:val="fr-FR"/>
        </w:rPr>
        <w:t>vait</w:t>
      </w:r>
      <w:r w:rsidRPr="00642E50">
        <w:rPr>
          <w:rFonts w:eastAsia="Malgun Gothic"/>
          <w:lang w:val="fr-FR"/>
        </w:rPr>
        <w:t xml:space="preserve"> l</w:t>
      </w:r>
      <w:r w:rsidR="00923E72">
        <w:rPr>
          <w:rFonts w:eastAsia="Malgun Gothic"/>
          <w:lang w:val="fr-FR"/>
        </w:rPr>
        <w:t>’</w:t>
      </w:r>
      <w:r w:rsidRPr="00642E50">
        <w:rPr>
          <w:rFonts w:eastAsia="Malgun Gothic"/>
          <w:lang w:val="fr-FR"/>
        </w:rPr>
        <w:t>immense fierté de représenter à l</w:t>
      </w:r>
      <w:r w:rsidR="00923E72">
        <w:rPr>
          <w:rFonts w:eastAsia="Malgun Gothic"/>
          <w:lang w:val="fr-FR"/>
        </w:rPr>
        <w:t>’</w:t>
      </w:r>
      <w:r w:rsidRPr="00642E50">
        <w:rPr>
          <w:rFonts w:eastAsia="Malgun Gothic"/>
          <w:lang w:val="fr-FR"/>
        </w:rPr>
        <w:t xml:space="preserve">UNESCO depuis trois ans. </w:t>
      </w:r>
      <w:r w:rsidR="000545CE">
        <w:rPr>
          <w:rFonts w:eastAsia="Malgun Gothic"/>
          <w:lang w:val="fr-FR"/>
        </w:rPr>
        <w:t>Le Président</w:t>
      </w:r>
      <w:r w:rsidRPr="00642E50">
        <w:rPr>
          <w:rFonts w:eastAsia="Malgun Gothic"/>
          <w:lang w:val="fr-FR"/>
        </w:rPr>
        <w:t xml:space="preserve"> a souhaité la bienvenue à tous les représentants des États parties, des ONG, des institutions culturelles et autres parties prenantes du monde entier au Maroc, le pays de la lumière et un pays qui aspire à la paix entre les peuples, indépendamment de la culture, de la foi, des croyances et de la race. Cette session marqu</w:t>
      </w:r>
      <w:r>
        <w:rPr>
          <w:rFonts w:eastAsia="Malgun Gothic"/>
          <w:lang w:val="fr-FR"/>
        </w:rPr>
        <w:t>ait</w:t>
      </w:r>
      <w:r w:rsidRPr="00642E50">
        <w:rPr>
          <w:rFonts w:eastAsia="Malgun Gothic"/>
          <w:lang w:val="fr-FR"/>
        </w:rPr>
        <w:t xml:space="preserve"> également le retour à la normale après près de trois an</w:t>
      </w:r>
      <w:r>
        <w:rPr>
          <w:rFonts w:eastAsia="Malgun Gothic"/>
          <w:lang w:val="fr-FR"/>
        </w:rPr>
        <w:t>nées</w:t>
      </w:r>
      <w:r w:rsidRPr="00642E50">
        <w:rPr>
          <w:rFonts w:eastAsia="Malgun Gothic"/>
          <w:lang w:val="fr-FR"/>
        </w:rPr>
        <w:t xml:space="preserve"> de pandémie. </w:t>
      </w:r>
      <w:r w:rsidR="000545CE">
        <w:rPr>
          <w:rFonts w:eastAsia="Malgun Gothic"/>
          <w:lang w:val="fr-FR"/>
        </w:rPr>
        <w:t xml:space="preserve">Il </w:t>
      </w:r>
      <w:r>
        <w:rPr>
          <w:rFonts w:eastAsia="Malgun Gothic"/>
          <w:lang w:val="fr-FR"/>
        </w:rPr>
        <w:t xml:space="preserve">a </w:t>
      </w:r>
      <w:r w:rsidRPr="00642E50">
        <w:rPr>
          <w:rFonts w:eastAsia="Malgun Gothic"/>
          <w:lang w:val="fr-FR"/>
        </w:rPr>
        <w:t>salu</w:t>
      </w:r>
      <w:r>
        <w:rPr>
          <w:rFonts w:eastAsia="Malgun Gothic"/>
          <w:lang w:val="fr-FR"/>
        </w:rPr>
        <w:t>é</w:t>
      </w:r>
      <w:r w:rsidRPr="00642E50">
        <w:rPr>
          <w:rFonts w:eastAsia="Malgun Gothic"/>
          <w:lang w:val="fr-FR"/>
        </w:rPr>
        <w:t xml:space="preserve"> la présence et souhait</w:t>
      </w:r>
      <w:r>
        <w:rPr>
          <w:rFonts w:eastAsia="Malgun Gothic"/>
          <w:lang w:val="fr-FR"/>
        </w:rPr>
        <w:t>é</w:t>
      </w:r>
      <w:r w:rsidRPr="00642E50">
        <w:rPr>
          <w:rFonts w:eastAsia="Malgun Gothic"/>
          <w:lang w:val="fr-FR"/>
        </w:rPr>
        <w:t xml:space="preserve"> la bienvenue aux ministres suivants</w:t>
      </w:r>
      <w:r w:rsidR="00661F70">
        <w:rPr>
          <w:rFonts w:eastAsia="Malgun Gothic"/>
          <w:lang w:val="fr-FR"/>
        </w:rPr>
        <w:t> </w:t>
      </w:r>
      <w:r w:rsidRPr="00642E50">
        <w:rPr>
          <w:rFonts w:eastAsia="Malgun Gothic"/>
          <w:lang w:val="fr-FR"/>
        </w:rPr>
        <w:t xml:space="preserve">: le </w:t>
      </w:r>
      <w:r w:rsidR="003B07FD">
        <w:rPr>
          <w:rFonts w:eastAsia="Malgun Gothic"/>
          <w:lang w:val="fr-FR"/>
        </w:rPr>
        <w:t>m</w:t>
      </w:r>
      <w:r w:rsidRPr="00642E50">
        <w:rPr>
          <w:rFonts w:eastAsia="Malgun Gothic"/>
          <w:lang w:val="fr-FR"/>
        </w:rPr>
        <w:t xml:space="preserve">inistre et le </w:t>
      </w:r>
      <w:r w:rsidR="003B07FD">
        <w:rPr>
          <w:rFonts w:eastAsia="Malgun Gothic"/>
          <w:lang w:val="fr-FR"/>
        </w:rPr>
        <w:t>v</w:t>
      </w:r>
      <w:r w:rsidRPr="00642E50">
        <w:rPr>
          <w:rFonts w:eastAsia="Malgun Gothic"/>
          <w:lang w:val="fr-FR"/>
        </w:rPr>
        <w:t>ice-</w:t>
      </w:r>
      <w:r w:rsidR="003B07FD">
        <w:rPr>
          <w:rFonts w:eastAsia="Malgun Gothic"/>
          <w:lang w:val="fr-FR"/>
        </w:rPr>
        <w:t>m</w:t>
      </w:r>
      <w:r w:rsidRPr="00642E50">
        <w:rPr>
          <w:rFonts w:eastAsia="Malgun Gothic"/>
          <w:lang w:val="fr-FR"/>
        </w:rPr>
        <w:t>inistre d</w:t>
      </w:r>
      <w:r w:rsidR="00923E72">
        <w:rPr>
          <w:rFonts w:eastAsia="Malgun Gothic"/>
          <w:lang w:val="fr-FR"/>
        </w:rPr>
        <w:t>’</w:t>
      </w:r>
      <w:r w:rsidRPr="00642E50">
        <w:rPr>
          <w:rFonts w:eastAsia="Malgun Gothic"/>
          <w:lang w:val="fr-FR"/>
        </w:rPr>
        <w:t>Albanie</w:t>
      </w:r>
      <w:r w:rsidR="00661F70">
        <w:rPr>
          <w:rFonts w:eastAsia="Malgun Gothic"/>
          <w:lang w:val="fr-FR"/>
        </w:rPr>
        <w:t> ;</w:t>
      </w:r>
      <w:r w:rsidRPr="00642E50">
        <w:rPr>
          <w:rFonts w:eastAsia="Malgun Gothic"/>
          <w:lang w:val="fr-FR"/>
        </w:rPr>
        <w:t xml:space="preserve"> le ministre des </w:t>
      </w:r>
      <w:r>
        <w:rPr>
          <w:rFonts w:eastAsia="Malgun Gothic"/>
          <w:lang w:val="fr-FR"/>
        </w:rPr>
        <w:t>A</w:t>
      </w:r>
      <w:r w:rsidRPr="00642E50">
        <w:rPr>
          <w:rFonts w:eastAsia="Malgun Gothic"/>
          <w:lang w:val="fr-FR"/>
        </w:rPr>
        <w:t>ffaires civiles de Bosnie-Herzégovine</w:t>
      </w:r>
      <w:r w:rsidR="00661F70">
        <w:rPr>
          <w:rFonts w:eastAsia="Malgun Gothic"/>
          <w:lang w:val="fr-FR"/>
        </w:rPr>
        <w:t> ;</w:t>
      </w:r>
      <w:r w:rsidRPr="00642E50">
        <w:rPr>
          <w:rFonts w:eastAsia="Malgun Gothic"/>
          <w:lang w:val="fr-FR"/>
        </w:rPr>
        <w:t xml:space="preserve"> </w:t>
      </w:r>
      <w:r w:rsidR="000545CE">
        <w:rPr>
          <w:rFonts w:eastAsia="Malgun Gothic"/>
          <w:lang w:val="fr-FR"/>
        </w:rPr>
        <w:t xml:space="preserve">le </w:t>
      </w:r>
      <w:r w:rsidRPr="00642E50">
        <w:rPr>
          <w:rFonts w:eastAsia="Malgun Gothic"/>
          <w:lang w:val="fr-FR"/>
        </w:rPr>
        <w:t xml:space="preserve">ministre de la </w:t>
      </w:r>
      <w:r>
        <w:rPr>
          <w:rFonts w:eastAsia="Malgun Gothic"/>
          <w:lang w:val="fr-FR"/>
        </w:rPr>
        <w:t>J</w:t>
      </w:r>
      <w:r w:rsidRPr="00642E50">
        <w:rPr>
          <w:rFonts w:eastAsia="Malgun Gothic"/>
          <w:lang w:val="fr-FR"/>
        </w:rPr>
        <w:t xml:space="preserve">eunesse, du </w:t>
      </w:r>
      <w:r>
        <w:rPr>
          <w:rFonts w:eastAsia="Malgun Gothic"/>
          <w:lang w:val="fr-FR"/>
        </w:rPr>
        <w:t>G</w:t>
      </w:r>
      <w:r w:rsidRPr="00642E50">
        <w:rPr>
          <w:rFonts w:eastAsia="Malgun Gothic"/>
          <w:lang w:val="fr-FR"/>
        </w:rPr>
        <w:t xml:space="preserve">enre, des </w:t>
      </w:r>
      <w:r>
        <w:rPr>
          <w:rFonts w:eastAsia="Malgun Gothic"/>
          <w:lang w:val="fr-FR"/>
        </w:rPr>
        <w:t>S</w:t>
      </w:r>
      <w:r w:rsidRPr="00642E50">
        <w:rPr>
          <w:rFonts w:eastAsia="Malgun Gothic"/>
          <w:lang w:val="fr-FR"/>
        </w:rPr>
        <w:t xml:space="preserve">ports et de la </w:t>
      </w:r>
      <w:r>
        <w:rPr>
          <w:rFonts w:eastAsia="Malgun Gothic"/>
          <w:lang w:val="fr-FR"/>
        </w:rPr>
        <w:t>C</w:t>
      </w:r>
      <w:r w:rsidRPr="00642E50">
        <w:rPr>
          <w:rFonts w:eastAsia="Malgun Gothic"/>
          <w:lang w:val="fr-FR"/>
        </w:rPr>
        <w:t>ulture du Botswana</w:t>
      </w:r>
      <w:r w:rsidR="00661F70">
        <w:rPr>
          <w:rFonts w:eastAsia="Malgun Gothic"/>
          <w:lang w:val="fr-FR"/>
        </w:rPr>
        <w:t> ;</w:t>
      </w:r>
      <w:r w:rsidRPr="00642E50">
        <w:rPr>
          <w:rFonts w:eastAsia="Malgun Gothic"/>
          <w:lang w:val="fr-FR"/>
        </w:rPr>
        <w:t xml:space="preserve"> le ministre de la </w:t>
      </w:r>
      <w:r>
        <w:rPr>
          <w:rFonts w:eastAsia="Malgun Gothic"/>
          <w:lang w:val="fr-FR"/>
        </w:rPr>
        <w:t>C</w:t>
      </w:r>
      <w:r w:rsidRPr="00642E50">
        <w:rPr>
          <w:rFonts w:eastAsia="Malgun Gothic"/>
          <w:lang w:val="fr-FR"/>
        </w:rPr>
        <w:t xml:space="preserve">ulture et des </w:t>
      </w:r>
      <w:r>
        <w:rPr>
          <w:rFonts w:eastAsia="Malgun Gothic"/>
          <w:lang w:val="fr-FR"/>
        </w:rPr>
        <w:t>B</w:t>
      </w:r>
      <w:r w:rsidRPr="00642E50">
        <w:rPr>
          <w:rFonts w:eastAsia="Malgun Gothic"/>
          <w:lang w:val="fr-FR"/>
        </w:rPr>
        <w:t>eaux-</w:t>
      </w:r>
      <w:r>
        <w:rPr>
          <w:rFonts w:eastAsia="Malgun Gothic"/>
          <w:lang w:val="fr-FR"/>
        </w:rPr>
        <w:t>A</w:t>
      </w:r>
      <w:r w:rsidRPr="00642E50">
        <w:rPr>
          <w:rFonts w:eastAsia="Malgun Gothic"/>
          <w:lang w:val="fr-FR"/>
        </w:rPr>
        <w:t>rts du Cambodge</w:t>
      </w:r>
      <w:r w:rsidR="00661F70">
        <w:rPr>
          <w:rFonts w:eastAsia="Malgun Gothic"/>
          <w:lang w:val="fr-FR"/>
        </w:rPr>
        <w:t> ;</w:t>
      </w:r>
      <w:r w:rsidRPr="00642E50">
        <w:rPr>
          <w:rFonts w:eastAsia="Malgun Gothic"/>
          <w:lang w:val="fr-FR"/>
        </w:rPr>
        <w:t xml:space="preserve"> le ministre et le vice-ministre des </w:t>
      </w:r>
      <w:r>
        <w:rPr>
          <w:rFonts w:eastAsia="Malgun Gothic"/>
          <w:lang w:val="fr-FR"/>
        </w:rPr>
        <w:t>A</w:t>
      </w:r>
      <w:r w:rsidRPr="00642E50">
        <w:rPr>
          <w:rFonts w:eastAsia="Malgun Gothic"/>
          <w:lang w:val="fr-FR"/>
        </w:rPr>
        <w:t>ffaires étrangères du Guatemala</w:t>
      </w:r>
      <w:r w:rsidR="00661F70">
        <w:rPr>
          <w:rFonts w:eastAsia="Malgun Gothic"/>
          <w:lang w:val="fr-FR"/>
        </w:rPr>
        <w:t> ;</w:t>
      </w:r>
      <w:r w:rsidRPr="00642E50">
        <w:rPr>
          <w:rFonts w:eastAsia="Malgun Gothic"/>
          <w:lang w:val="fr-FR"/>
        </w:rPr>
        <w:t xml:space="preserve"> le ministre de la </w:t>
      </w:r>
      <w:r>
        <w:rPr>
          <w:rFonts w:eastAsia="Malgun Gothic"/>
          <w:lang w:val="fr-FR"/>
        </w:rPr>
        <w:t>C</w:t>
      </w:r>
      <w:r w:rsidRPr="00642E50">
        <w:rPr>
          <w:rFonts w:eastAsia="Malgun Gothic"/>
          <w:lang w:val="fr-FR"/>
        </w:rPr>
        <w:t>ulture de la République de Moldavie</w:t>
      </w:r>
      <w:r w:rsidR="00661F70">
        <w:rPr>
          <w:rFonts w:eastAsia="Malgun Gothic"/>
          <w:lang w:val="fr-FR"/>
        </w:rPr>
        <w:t> ;</w:t>
      </w:r>
      <w:r w:rsidRPr="00642E50">
        <w:rPr>
          <w:rFonts w:eastAsia="Malgun Gothic"/>
          <w:lang w:val="fr-FR"/>
        </w:rPr>
        <w:t xml:space="preserve"> le vice-ministre de la </w:t>
      </w:r>
      <w:r>
        <w:rPr>
          <w:rFonts w:eastAsia="Malgun Gothic"/>
          <w:lang w:val="fr-FR"/>
        </w:rPr>
        <w:t>C</w:t>
      </w:r>
      <w:r w:rsidRPr="00642E50">
        <w:rPr>
          <w:rFonts w:eastAsia="Malgun Gothic"/>
          <w:lang w:val="fr-FR"/>
        </w:rPr>
        <w:t xml:space="preserve">ulture et du </w:t>
      </w:r>
      <w:r>
        <w:rPr>
          <w:rFonts w:eastAsia="Malgun Gothic"/>
          <w:lang w:val="fr-FR"/>
        </w:rPr>
        <w:t>P</w:t>
      </w:r>
      <w:r w:rsidRPr="00642E50">
        <w:rPr>
          <w:rFonts w:eastAsia="Malgun Gothic"/>
          <w:lang w:val="fr-FR"/>
        </w:rPr>
        <w:t>atrimoine naturel du Guatemala</w:t>
      </w:r>
      <w:r w:rsidR="00661F70">
        <w:rPr>
          <w:rFonts w:eastAsia="Malgun Gothic"/>
          <w:lang w:val="fr-FR"/>
        </w:rPr>
        <w:t> ;</w:t>
      </w:r>
      <w:r w:rsidRPr="00642E50">
        <w:rPr>
          <w:rFonts w:eastAsia="Malgun Gothic"/>
          <w:lang w:val="fr-FR"/>
        </w:rPr>
        <w:t xml:space="preserve"> le vice-ministre du </w:t>
      </w:r>
      <w:r>
        <w:rPr>
          <w:rFonts w:eastAsia="Malgun Gothic"/>
          <w:lang w:val="fr-FR"/>
        </w:rPr>
        <w:t>P</w:t>
      </w:r>
      <w:r w:rsidRPr="00642E50">
        <w:rPr>
          <w:rFonts w:eastAsia="Malgun Gothic"/>
          <w:lang w:val="fr-FR"/>
        </w:rPr>
        <w:t xml:space="preserve">atrimoine culturel, du </w:t>
      </w:r>
      <w:r>
        <w:rPr>
          <w:rFonts w:eastAsia="Malgun Gothic"/>
          <w:lang w:val="fr-FR"/>
        </w:rPr>
        <w:t>T</w:t>
      </w:r>
      <w:r w:rsidRPr="00642E50">
        <w:rPr>
          <w:rFonts w:eastAsia="Malgun Gothic"/>
          <w:lang w:val="fr-FR"/>
        </w:rPr>
        <w:t>ourisme et de l</w:t>
      </w:r>
      <w:r w:rsidR="00923E72">
        <w:rPr>
          <w:rFonts w:eastAsia="Malgun Gothic"/>
          <w:lang w:val="fr-FR"/>
        </w:rPr>
        <w:t>’</w:t>
      </w:r>
      <w:r>
        <w:rPr>
          <w:rFonts w:eastAsia="Malgun Gothic"/>
          <w:lang w:val="fr-FR"/>
        </w:rPr>
        <w:t>A</w:t>
      </w:r>
      <w:r w:rsidRPr="00642E50">
        <w:rPr>
          <w:rFonts w:eastAsia="Malgun Gothic"/>
          <w:lang w:val="fr-FR"/>
        </w:rPr>
        <w:t>rtisanat de la République islamique d</w:t>
      </w:r>
      <w:r w:rsidR="00923E72">
        <w:rPr>
          <w:rFonts w:eastAsia="Malgun Gothic"/>
          <w:lang w:val="fr-FR"/>
        </w:rPr>
        <w:t>’</w:t>
      </w:r>
      <w:r w:rsidRPr="00642E50">
        <w:rPr>
          <w:rFonts w:eastAsia="Malgun Gothic"/>
          <w:lang w:val="fr-FR"/>
        </w:rPr>
        <w:t>Iran</w:t>
      </w:r>
      <w:r w:rsidR="00661F70">
        <w:rPr>
          <w:rFonts w:eastAsia="Malgun Gothic"/>
          <w:lang w:val="fr-FR"/>
        </w:rPr>
        <w:t> ;</w:t>
      </w:r>
      <w:r w:rsidRPr="00642E50">
        <w:rPr>
          <w:rFonts w:eastAsia="Malgun Gothic"/>
          <w:lang w:val="fr-FR"/>
        </w:rPr>
        <w:t xml:space="preserve"> l</w:t>
      </w:r>
      <w:r w:rsidR="00923E72">
        <w:rPr>
          <w:rFonts w:eastAsia="Malgun Gothic"/>
          <w:lang w:val="fr-FR"/>
        </w:rPr>
        <w:t>’</w:t>
      </w:r>
      <w:r w:rsidRPr="00642E50">
        <w:rPr>
          <w:rFonts w:eastAsia="Malgun Gothic"/>
          <w:lang w:val="fr-FR"/>
        </w:rPr>
        <w:t>administrateur de l</w:t>
      </w:r>
      <w:r w:rsidR="00923E72">
        <w:rPr>
          <w:rFonts w:eastAsia="Malgun Gothic"/>
          <w:lang w:val="fr-FR"/>
        </w:rPr>
        <w:t>’</w:t>
      </w:r>
      <w:r>
        <w:rPr>
          <w:rFonts w:eastAsia="Malgun Gothic"/>
          <w:lang w:val="fr-FR"/>
        </w:rPr>
        <w:t>A</w:t>
      </w:r>
      <w:r w:rsidRPr="00642E50">
        <w:rPr>
          <w:rFonts w:eastAsia="Malgun Gothic"/>
          <w:lang w:val="fr-FR"/>
        </w:rPr>
        <w:t>dministration du patrimoine culturel de la République de Corée</w:t>
      </w:r>
      <w:r w:rsidR="00661F70">
        <w:rPr>
          <w:rFonts w:eastAsia="Malgun Gothic"/>
          <w:lang w:val="fr-FR"/>
        </w:rPr>
        <w:t> ;</w:t>
      </w:r>
      <w:r w:rsidRPr="00642E50">
        <w:rPr>
          <w:rFonts w:eastAsia="Malgun Gothic"/>
          <w:lang w:val="fr-FR"/>
        </w:rPr>
        <w:t xml:space="preserve"> et le vice-ministre de la </w:t>
      </w:r>
      <w:r w:rsidR="00F6516B">
        <w:rPr>
          <w:rFonts w:eastAsia="Malgun Gothic"/>
          <w:lang w:val="fr-FR"/>
        </w:rPr>
        <w:t>C</w:t>
      </w:r>
      <w:r w:rsidRPr="00642E50">
        <w:rPr>
          <w:rFonts w:eastAsia="Malgun Gothic"/>
          <w:lang w:val="fr-FR"/>
        </w:rPr>
        <w:t xml:space="preserve">ulture, des </w:t>
      </w:r>
      <w:r w:rsidR="00F6516B">
        <w:rPr>
          <w:rFonts w:eastAsia="Malgun Gothic"/>
          <w:lang w:val="fr-FR"/>
        </w:rPr>
        <w:t>S</w:t>
      </w:r>
      <w:r w:rsidRPr="00642E50">
        <w:rPr>
          <w:rFonts w:eastAsia="Malgun Gothic"/>
          <w:lang w:val="fr-FR"/>
        </w:rPr>
        <w:t xml:space="preserve">ports et du </w:t>
      </w:r>
      <w:r w:rsidR="00F6516B">
        <w:rPr>
          <w:rFonts w:eastAsia="Malgun Gothic"/>
          <w:lang w:val="fr-FR"/>
        </w:rPr>
        <w:t>T</w:t>
      </w:r>
      <w:r w:rsidRPr="00642E50">
        <w:rPr>
          <w:rFonts w:eastAsia="Malgun Gothic"/>
          <w:lang w:val="fr-FR"/>
        </w:rPr>
        <w:t>ourisme du Viet</w:t>
      </w:r>
      <w:r w:rsidR="00A37E0F">
        <w:rPr>
          <w:rFonts w:eastAsia="Malgun Gothic"/>
          <w:lang w:val="fr-FR"/>
        </w:rPr>
        <w:t> </w:t>
      </w:r>
      <w:r w:rsidRPr="00642E50">
        <w:rPr>
          <w:rFonts w:eastAsia="Malgun Gothic"/>
          <w:lang w:val="fr-FR"/>
        </w:rPr>
        <w:t>Nam.</w:t>
      </w:r>
    </w:p>
    <w:p w14:paraId="037FE84A" w14:textId="3431CD77" w:rsidR="00F6516B" w:rsidRPr="00661F70" w:rsidRDefault="00F6516B" w:rsidP="00702497">
      <w:pPr>
        <w:pStyle w:val="Orateurengris"/>
        <w:numPr>
          <w:ilvl w:val="0"/>
          <w:numId w:val="21"/>
        </w:numPr>
        <w:tabs>
          <w:tab w:val="clear" w:pos="567"/>
          <w:tab w:val="clear" w:pos="709"/>
          <w:tab w:val="clear" w:pos="1418"/>
          <w:tab w:val="clear" w:pos="2126"/>
          <w:tab w:val="clear" w:pos="2835"/>
          <w:tab w:val="num" w:pos="851"/>
        </w:tabs>
        <w:spacing w:before="120" w:after="0"/>
        <w:ind w:left="709" w:hanging="709"/>
        <w:rPr>
          <w:rFonts w:eastAsia="Malgun Gothic"/>
          <w:lang w:val="fr-FR"/>
        </w:rPr>
      </w:pPr>
      <w:r w:rsidRPr="00F6516B">
        <w:rPr>
          <w:rFonts w:eastAsia="Malgun Gothic"/>
          <w:lang w:val="fr-FR"/>
        </w:rPr>
        <w:t xml:space="preserve">Le </w:t>
      </w:r>
      <w:r w:rsidRPr="00F6516B">
        <w:rPr>
          <w:rFonts w:eastAsia="Malgun Gothic"/>
          <w:b/>
          <w:bCs/>
          <w:lang w:val="fr-FR"/>
        </w:rPr>
        <w:t xml:space="preserve">Secrétaire de la Convention, </w:t>
      </w:r>
      <w:r w:rsidRPr="006E3034">
        <w:rPr>
          <w:rFonts w:eastAsia="Malgun Gothic"/>
          <w:lang w:val="fr-FR"/>
        </w:rPr>
        <w:t>M. Tim Curtis</w:t>
      </w:r>
      <w:r w:rsidRPr="002B5649">
        <w:rPr>
          <w:rFonts w:eastAsia="Malgun Gothic"/>
          <w:lang w:val="fr-FR"/>
        </w:rPr>
        <w:t>,</w:t>
      </w:r>
      <w:r w:rsidRPr="00F6516B">
        <w:rPr>
          <w:rFonts w:eastAsia="Malgun Gothic"/>
          <w:lang w:val="fr-FR"/>
        </w:rPr>
        <w:t xml:space="preserve"> a souhaité la bienvenue à tous les participants et s</w:t>
      </w:r>
      <w:r w:rsidR="00923E72">
        <w:rPr>
          <w:rFonts w:eastAsia="Malgun Gothic"/>
          <w:lang w:val="fr-FR"/>
        </w:rPr>
        <w:t>’</w:t>
      </w:r>
      <w:r w:rsidRPr="00F6516B">
        <w:rPr>
          <w:rFonts w:eastAsia="Malgun Gothic"/>
          <w:lang w:val="fr-FR"/>
        </w:rPr>
        <w:t xml:space="preserve">est réjoui de se réunir </w:t>
      </w:r>
      <w:r w:rsidRPr="00F6516B">
        <w:rPr>
          <w:rFonts w:eastAsia="Malgun Gothic"/>
          <w:i/>
          <w:iCs/>
          <w:lang w:val="fr-FR"/>
        </w:rPr>
        <w:t>in</w:t>
      </w:r>
      <w:r>
        <w:rPr>
          <w:rFonts w:eastAsia="Malgun Gothic"/>
          <w:i/>
          <w:iCs/>
          <w:lang w:val="fr-FR"/>
        </w:rPr>
        <w:t> </w:t>
      </w:r>
      <w:proofErr w:type="spellStart"/>
      <w:r w:rsidRPr="00F6516B">
        <w:rPr>
          <w:rFonts w:eastAsia="Malgun Gothic"/>
          <w:i/>
          <w:iCs/>
          <w:lang w:val="fr-FR"/>
        </w:rPr>
        <w:t>pr</w:t>
      </w:r>
      <w:r>
        <w:rPr>
          <w:rFonts w:eastAsia="Malgun Gothic"/>
          <w:i/>
          <w:iCs/>
          <w:lang w:val="fr-FR"/>
        </w:rPr>
        <w:t>æ</w:t>
      </w:r>
      <w:r w:rsidRPr="00F6516B">
        <w:rPr>
          <w:rFonts w:eastAsia="Malgun Gothic"/>
          <w:i/>
          <w:iCs/>
          <w:lang w:val="fr-FR"/>
        </w:rPr>
        <w:t>sentia</w:t>
      </w:r>
      <w:proofErr w:type="spellEnd"/>
      <w:r w:rsidRPr="00F6516B">
        <w:rPr>
          <w:rFonts w:eastAsia="Malgun Gothic"/>
          <w:i/>
          <w:iCs/>
          <w:lang w:val="fr-FR"/>
        </w:rPr>
        <w:t xml:space="preserve"> </w:t>
      </w:r>
      <w:r w:rsidRPr="00F6516B">
        <w:rPr>
          <w:rFonts w:eastAsia="Malgun Gothic"/>
          <w:lang w:val="fr-FR"/>
        </w:rPr>
        <w:t>après pr</w:t>
      </w:r>
      <w:r w:rsidR="00661F70">
        <w:rPr>
          <w:rFonts w:eastAsia="Malgun Gothic"/>
          <w:lang w:val="fr-FR"/>
        </w:rPr>
        <w:t>esque</w:t>
      </w:r>
      <w:r w:rsidRPr="00F6516B">
        <w:rPr>
          <w:rFonts w:eastAsia="Malgun Gothic"/>
          <w:lang w:val="fr-FR"/>
        </w:rPr>
        <w:t xml:space="preserve"> trois an</w:t>
      </w:r>
      <w:r>
        <w:rPr>
          <w:rFonts w:eastAsia="Malgun Gothic"/>
          <w:lang w:val="fr-FR"/>
        </w:rPr>
        <w:t>nées</w:t>
      </w:r>
      <w:r w:rsidRPr="00F6516B">
        <w:rPr>
          <w:rFonts w:eastAsia="Malgun Gothic"/>
          <w:lang w:val="fr-FR"/>
        </w:rPr>
        <w:t xml:space="preserve"> de réunions en ligne. La liste des participants </w:t>
      </w:r>
      <w:r>
        <w:rPr>
          <w:rFonts w:eastAsia="Malgun Gothic"/>
          <w:lang w:val="fr-FR"/>
        </w:rPr>
        <w:t xml:space="preserve">était </w:t>
      </w:r>
      <w:r w:rsidRPr="00F6516B">
        <w:rPr>
          <w:rFonts w:eastAsia="Malgun Gothic"/>
          <w:lang w:val="fr-FR"/>
        </w:rPr>
        <w:t>disponible en ligne sur le site de la Convention. Plus de</w:t>
      </w:r>
      <w:r w:rsidR="00661F70">
        <w:rPr>
          <w:rFonts w:eastAsia="Malgun Gothic"/>
          <w:lang w:val="fr-FR"/>
        </w:rPr>
        <w:t> </w:t>
      </w:r>
      <w:r w:rsidRPr="00F6516B">
        <w:rPr>
          <w:rFonts w:eastAsia="Malgun Gothic"/>
          <w:lang w:val="fr-FR"/>
        </w:rPr>
        <w:t>1</w:t>
      </w:r>
      <w:r>
        <w:rPr>
          <w:rFonts w:eastAsia="Malgun Gothic"/>
          <w:lang w:val="fr-FR"/>
        </w:rPr>
        <w:t> </w:t>
      </w:r>
      <w:r w:rsidRPr="00F6516B">
        <w:rPr>
          <w:rFonts w:eastAsia="Malgun Gothic"/>
          <w:lang w:val="fr-FR"/>
        </w:rPr>
        <w:t>100 personnes</w:t>
      </w:r>
      <w:r w:rsidR="00661F70">
        <w:rPr>
          <w:rFonts w:eastAsia="Malgun Gothic"/>
          <w:lang w:val="fr-FR"/>
        </w:rPr>
        <w:t>, représentant 130 pays,</w:t>
      </w:r>
      <w:r w:rsidRPr="00F6516B">
        <w:rPr>
          <w:rFonts w:eastAsia="Malgun Gothic"/>
          <w:lang w:val="fr-FR"/>
        </w:rPr>
        <w:t xml:space="preserve"> s</w:t>
      </w:r>
      <w:r w:rsidR="00923E72">
        <w:rPr>
          <w:rFonts w:eastAsia="Malgun Gothic"/>
          <w:lang w:val="fr-FR"/>
        </w:rPr>
        <w:t>’</w:t>
      </w:r>
      <w:r>
        <w:rPr>
          <w:rFonts w:eastAsia="Malgun Gothic"/>
          <w:lang w:val="fr-FR"/>
        </w:rPr>
        <w:t xml:space="preserve">étaient </w:t>
      </w:r>
      <w:r w:rsidRPr="00F6516B">
        <w:rPr>
          <w:rFonts w:eastAsia="Malgun Gothic"/>
          <w:lang w:val="fr-FR"/>
        </w:rPr>
        <w:t>inscrites pour participer à cette session</w:t>
      </w:r>
      <w:r w:rsidR="00661F70">
        <w:rPr>
          <w:rFonts w:eastAsia="Malgun Gothic"/>
          <w:lang w:val="fr-FR"/>
        </w:rPr>
        <w:t>.</w:t>
      </w:r>
      <w:r w:rsidRPr="00661F70">
        <w:rPr>
          <w:rFonts w:eastAsia="Malgun Gothic"/>
          <w:lang w:val="fr-FR"/>
        </w:rPr>
        <w:t xml:space="preserve"> De nombreux participants venaient du Maroc, ce qui témoignait de l</w:t>
      </w:r>
      <w:r w:rsidR="00923E72">
        <w:rPr>
          <w:rFonts w:eastAsia="Malgun Gothic"/>
          <w:lang w:val="fr-FR"/>
        </w:rPr>
        <w:t>’</w:t>
      </w:r>
      <w:r w:rsidRPr="00661F70">
        <w:rPr>
          <w:rFonts w:eastAsia="Malgun Gothic"/>
          <w:lang w:val="fr-FR"/>
        </w:rPr>
        <w:t>enthousiasme de ce pays pour le patrimoine vivant. Au nom du Secrétariat, il a remercié sincèrement le Royaume du Maroc d</w:t>
      </w:r>
      <w:r w:rsidR="00923E72">
        <w:rPr>
          <w:rFonts w:eastAsia="Malgun Gothic"/>
          <w:lang w:val="fr-FR"/>
        </w:rPr>
        <w:t>’</w:t>
      </w:r>
      <w:r w:rsidRPr="00661F70">
        <w:rPr>
          <w:rFonts w:eastAsia="Malgun Gothic"/>
          <w:lang w:val="fr-FR"/>
        </w:rPr>
        <w:t xml:space="preserve">accueillir cette session. Depuis cinq mois, le Secrétariat et les équipes locales avaient travaillé dans une excellente entente, permettant à tous de participer à la </w:t>
      </w:r>
      <w:r w:rsidRPr="00661F70">
        <w:rPr>
          <w:rFonts w:eastAsia="Malgun Gothic"/>
          <w:lang w:val="fr-FR"/>
        </w:rPr>
        <w:lastRenderedPageBreak/>
        <w:t>réunion. Le Secrétaire a particulièrement félicité les collègues marocains pour les efforts qu</w:t>
      </w:r>
      <w:r w:rsidR="00923E72">
        <w:rPr>
          <w:rFonts w:eastAsia="Malgun Gothic"/>
          <w:lang w:val="fr-FR"/>
        </w:rPr>
        <w:t>’</w:t>
      </w:r>
      <w:r w:rsidRPr="00661F70">
        <w:rPr>
          <w:rFonts w:eastAsia="Malgun Gothic"/>
          <w:lang w:val="fr-FR"/>
        </w:rPr>
        <w:t xml:space="preserve">ils </w:t>
      </w:r>
      <w:r w:rsidR="00ED0C1C" w:rsidRPr="00661F70">
        <w:rPr>
          <w:rFonts w:eastAsia="Malgun Gothic"/>
          <w:lang w:val="fr-FR"/>
        </w:rPr>
        <w:t>avaient</w:t>
      </w:r>
      <w:r w:rsidRPr="00661F70">
        <w:rPr>
          <w:rFonts w:eastAsia="Malgun Gothic"/>
          <w:lang w:val="fr-FR"/>
        </w:rPr>
        <w:t xml:space="preserve"> déployés afin d</w:t>
      </w:r>
      <w:r w:rsidR="00923E72">
        <w:rPr>
          <w:rFonts w:eastAsia="Malgun Gothic"/>
          <w:lang w:val="fr-FR"/>
        </w:rPr>
        <w:t>’</w:t>
      </w:r>
      <w:r w:rsidRPr="00661F70">
        <w:rPr>
          <w:rFonts w:eastAsia="Malgun Gothic"/>
          <w:lang w:val="fr-FR"/>
        </w:rPr>
        <w:t>assurer le succès de cette session. Il a remercié</w:t>
      </w:r>
      <w:r w:rsidR="000545CE" w:rsidRPr="00661F70">
        <w:rPr>
          <w:rFonts w:eastAsia="Malgun Gothic"/>
          <w:lang w:val="fr-FR"/>
        </w:rPr>
        <w:t xml:space="preserve"> l</w:t>
      </w:r>
      <w:r w:rsidR="00923E72">
        <w:rPr>
          <w:rFonts w:eastAsia="Malgun Gothic"/>
          <w:lang w:val="fr-FR"/>
        </w:rPr>
        <w:t>’</w:t>
      </w:r>
      <w:r w:rsidRPr="00661F70">
        <w:rPr>
          <w:rFonts w:eastAsia="Malgun Gothic"/>
          <w:lang w:val="fr-FR"/>
        </w:rPr>
        <w:t xml:space="preserve">Espagne </w:t>
      </w:r>
      <w:r w:rsidR="000545CE" w:rsidRPr="00661F70">
        <w:rPr>
          <w:rFonts w:eastAsia="Malgun Gothic"/>
          <w:lang w:val="fr-FR"/>
        </w:rPr>
        <w:t xml:space="preserve">pour le généreux financement de </w:t>
      </w:r>
      <w:r w:rsidRPr="00661F70">
        <w:rPr>
          <w:rFonts w:eastAsia="Malgun Gothic"/>
          <w:lang w:val="fr-FR"/>
        </w:rPr>
        <w:t>l</w:t>
      </w:r>
      <w:r w:rsidR="00923E72">
        <w:rPr>
          <w:rFonts w:eastAsia="Malgun Gothic"/>
          <w:lang w:val="fr-FR"/>
        </w:rPr>
        <w:t>’</w:t>
      </w:r>
      <w:r w:rsidRPr="00661F70">
        <w:rPr>
          <w:rFonts w:eastAsia="Malgun Gothic"/>
          <w:lang w:val="fr-FR"/>
        </w:rPr>
        <w:t xml:space="preserve">interprétation en espagnol. La session </w:t>
      </w:r>
      <w:r w:rsidR="00ED0C1C" w:rsidRPr="00661F70">
        <w:rPr>
          <w:rFonts w:eastAsia="Malgun Gothic"/>
          <w:lang w:val="fr-FR"/>
        </w:rPr>
        <w:t>était</w:t>
      </w:r>
      <w:r w:rsidRPr="00661F70">
        <w:rPr>
          <w:rFonts w:eastAsia="Malgun Gothic"/>
          <w:lang w:val="fr-FR"/>
        </w:rPr>
        <w:t xml:space="preserve"> </w:t>
      </w:r>
      <w:r w:rsidR="000D68DD" w:rsidRPr="00661F70">
        <w:rPr>
          <w:rFonts w:eastAsia="Malgun Gothic"/>
          <w:lang w:val="fr-FR"/>
        </w:rPr>
        <w:t xml:space="preserve">enregistrée et diffusée en direct, </w:t>
      </w:r>
      <w:r w:rsidRPr="00661F70">
        <w:rPr>
          <w:rFonts w:eastAsia="Malgun Gothic"/>
          <w:lang w:val="fr-FR"/>
        </w:rPr>
        <w:t xml:space="preserve">sous la forme </w:t>
      </w:r>
      <w:r w:rsidR="000D68DD" w:rsidRPr="00661F70">
        <w:rPr>
          <w:rFonts w:eastAsia="Malgun Gothic"/>
          <w:bCs/>
          <w:lang w:val="fr-FR"/>
        </w:rPr>
        <w:t>d</w:t>
      </w:r>
      <w:r w:rsidR="00923E72">
        <w:rPr>
          <w:rFonts w:eastAsia="Malgun Gothic"/>
          <w:bCs/>
          <w:lang w:val="fr-FR"/>
        </w:rPr>
        <w:t>’</w:t>
      </w:r>
      <w:r w:rsidR="000D68DD" w:rsidRPr="00661F70">
        <w:rPr>
          <w:rFonts w:eastAsia="Malgun Gothic"/>
          <w:bCs/>
          <w:lang w:val="fr-FR"/>
        </w:rPr>
        <w:t>une retransmission sur Internet</w:t>
      </w:r>
      <w:r w:rsidRPr="00661F70">
        <w:rPr>
          <w:rFonts w:eastAsia="Malgun Gothic"/>
          <w:lang w:val="fr-FR"/>
        </w:rPr>
        <w:t xml:space="preserve">, disponible sur la </w:t>
      </w:r>
      <w:hyperlink r:id="rId11" w:history="1">
        <w:r w:rsidRPr="00661F70">
          <w:rPr>
            <w:rStyle w:val="Hyperlink"/>
            <w:rFonts w:eastAsia="Malgun Gothic"/>
            <w:lang w:val="fr-FR"/>
          </w:rPr>
          <w:t>page</w:t>
        </w:r>
        <w:r w:rsidR="00B91931">
          <w:rPr>
            <w:rStyle w:val="Hyperlink"/>
            <w:rFonts w:eastAsia="Malgun Gothic"/>
            <w:lang w:val="fr-FR"/>
          </w:rPr>
          <w:t> </w:t>
        </w:r>
        <w:r w:rsidRPr="00661F70">
          <w:rPr>
            <w:rStyle w:val="Hyperlink"/>
            <w:rFonts w:eastAsia="Malgun Gothic"/>
            <w:lang w:val="fr-FR"/>
          </w:rPr>
          <w:t>web</w:t>
        </w:r>
      </w:hyperlink>
      <w:r w:rsidRPr="00661F70">
        <w:rPr>
          <w:rFonts w:eastAsia="Malgun Gothic"/>
          <w:lang w:val="fr-FR"/>
        </w:rPr>
        <w:t xml:space="preserve"> de cette session.</w:t>
      </w:r>
    </w:p>
    <w:p w14:paraId="7BCEE560" w14:textId="1CAB4081" w:rsidR="00ED0C1C" w:rsidRDefault="00ED0C1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E3034">
        <w:rPr>
          <w:rFonts w:eastAsia="Malgun Gothic"/>
          <w:lang w:val="fr-FR"/>
        </w:rPr>
        <w:t>M. Julien Nakata</w:t>
      </w:r>
      <w:r w:rsidR="00406E6B" w:rsidRPr="006E3034">
        <w:rPr>
          <w:rFonts w:eastAsia="Malgun Gothic"/>
          <w:lang w:val="fr-FR"/>
        </w:rPr>
        <w:t>,</w:t>
      </w:r>
      <w:r w:rsidR="00406E6B">
        <w:rPr>
          <w:rFonts w:eastAsia="Malgun Gothic"/>
          <w:b/>
          <w:bCs/>
          <w:lang w:val="fr-FR"/>
        </w:rPr>
        <w:t xml:space="preserve"> </w:t>
      </w:r>
      <w:r w:rsidRPr="006E3034">
        <w:rPr>
          <w:rFonts w:eastAsia="Malgun Gothic"/>
          <w:lang w:val="fr-FR"/>
        </w:rPr>
        <w:t>du</w:t>
      </w:r>
      <w:r w:rsidRPr="00ED0C1C">
        <w:rPr>
          <w:rFonts w:eastAsia="Malgun Gothic"/>
          <w:b/>
          <w:bCs/>
          <w:lang w:val="fr-FR"/>
        </w:rPr>
        <w:t xml:space="preserve"> Secrétariat</w:t>
      </w:r>
      <w:r w:rsidRPr="00ED0C1C">
        <w:rPr>
          <w:rFonts w:eastAsia="Malgun Gothic"/>
          <w:lang w:val="fr-FR"/>
        </w:rPr>
        <w:t>,</w:t>
      </w:r>
      <w:r>
        <w:rPr>
          <w:rFonts w:eastAsia="Malgun Gothic"/>
          <w:lang w:val="fr-FR"/>
        </w:rPr>
        <w:t xml:space="preserve"> a communiqué</w:t>
      </w:r>
      <w:r w:rsidRPr="00ED0C1C">
        <w:rPr>
          <w:rFonts w:eastAsia="Malgun Gothic"/>
          <w:lang w:val="fr-FR"/>
        </w:rPr>
        <w:t xml:space="preserve"> quelques informations pratiques. Cette session, comme les années précédentes, </w:t>
      </w:r>
      <w:r>
        <w:rPr>
          <w:rFonts w:eastAsia="Malgun Gothic"/>
          <w:lang w:val="fr-FR"/>
        </w:rPr>
        <w:t>était</w:t>
      </w:r>
      <w:r w:rsidRPr="00ED0C1C">
        <w:rPr>
          <w:rFonts w:eastAsia="Malgun Gothic"/>
          <w:lang w:val="fr-FR"/>
        </w:rPr>
        <w:t xml:space="preserve"> une réunion </w:t>
      </w:r>
      <w:r>
        <w:rPr>
          <w:rFonts w:eastAsia="Malgun Gothic"/>
          <w:lang w:val="fr-FR"/>
        </w:rPr>
        <w:t>« </w:t>
      </w:r>
      <w:r w:rsidRPr="00ED0C1C">
        <w:rPr>
          <w:rFonts w:eastAsia="Malgun Gothic"/>
          <w:lang w:val="fr-FR"/>
        </w:rPr>
        <w:t>sans papier</w:t>
      </w:r>
      <w:r>
        <w:rPr>
          <w:rFonts w:eastAsia="Malgun Gothic"/>
          <w:lang w:val="fr-FR"/>
        </w:rPr>
        <w:t> »</w:t>
      </w:r>
      <w:r w:rsidRPr="00ED0C1C">
        <w:rPr>
          <w:rFonts w:eastAsia="Malgun Gothic"/>
          <w:lang w:val="fr-FR"/>
        </w:rPr>
        <w:t xml:space="preserve">. Tous les documents </w:t>
      </w:r>
      <w:r>
        <w:rPr>
          <w:rFonts w:eastAsia="Malgun Gothic"/>
          <w:lang w:val="fr-FR"/>
        </w:rPr>
        <w:t>avaient</w:t>
      </w:r>
      <w:r w:rsidRPr="00ED0C1C">
        <w:rPr>
          <w:rFonts w:eastAsia="Malgun Gothic"/>
          <w:lang w:val="fr-FR"/>
        </w:rPr>
        <w:t xml:space="preserve"> été publiés sur le </w:t>
      </w:r>
      <w:hyperlink r:id="rId12" w:history="1">
        <w:r w:rsidRPr="00433ACE">
          <w:rPr>
            <w:rStyle w:val="Hyperlink"/>
            <w:rFonts w:eastAsia="Malgun Gothic"/>
            <w:lang w:val="fr-FR"/>
          </w:rPr>
          <w:t>site</w:t>
        </w:r>
        <w:r w:rsidR="00B91931">
          <w:rPr>
            <w:rStyle w:val="Hyperlink"/>
            <w:rFonts w:eastAsia="Malgun Gothic"/>
            <w:lang w:val="fr-FR"/>
          </w:rPr>
          <w:t> </w:t>
        </w:r>
        <w:r w:rsidRPr="00433ACE">
          <w:rPr>
            <w:rStyle w:val="Hyperlink"/>
            <w:rFonts w:eastAsia="Malgun Gothic"/>
            <w:lang w:val="fr-FR"/>
          </w:rPr>
          <w:t>web</w:t>
        </w:r>
      </w:hyperlink>
      <w:r w:rsidR="00433ACE">
        <w:rPr>
          <w:rFonts w:eastAsia="Malgun Gothic"/>
          <w:lang w:val="fr-FR"/>
        </w:rPr>
        <w:t xml:space="preserve"> </w:t>
      </w:r>
      <w:r w:rsidR="00A15159">
        <w:rPr>
          <w:rFonts w:eastAsia="Malgun Gothic"/>
          <w:lang w:val="fr-FR"/>
        </w:rPr>
        <w:t xml:space="preserve">de la réunion, </w:t>
      </w:r>
      <w:r w:rsidRPr="00ED0C1C">
        <w:rPr>
          <w:rFonts w:eastAsia="Malgun Gothic"/>
          <w:lang w:val="fr-FR"/>
        </w:rPr>
        <w:t xml:space="preserve">et les délégations </w:t>
      </w:r>
      <w:r w:rsidR="00433ACE">
        <w:rPr>
          <w:rFonts w:eastAsia="Malgun Gothic"/>
          <w:lang w:val="fr-FR"/>
        </w:rPr>
        <w:t xml:space="preserve">étaient </w:t>
      </w:r>
      <w:r w:rsidRPr="00ED0C1C">
        <w:rPr>
          <w:rFonts w:eastAsia="Malgun Gothic"/>
          <w:lang w:val="fr-FR"/>
        </w:rPr>
        <w:t xml:space="preserve">invitées à les télécharger. Des clés USB </w:t>
      </w:r>
      <w:r w:rsidR="00433ACE">
        <w:rPr>
          <w:rFonts w:eastAsia="Malgun Gothic"/>
          <w:lang w:val="fr-FR"/>
        </w:rPr>
        <w:t>avaient</w:t>
      </w:r>
      <w:r w:rsidRPr="00ED0C1C">
        <w:rPr>
          <w:rFonts w:eastAsia="Malgun Gothic"/>
          <w:lang w:val="fr-FR"/>
        </w:rPr>
        <w:t xml:space="preserve"> été généreusement </w:t>
      </w:r>
      <w:r w:rsidR="00433ACE">
        <w:rPr>
          <w:rFonts w:eastAsia="Malgun Gothic"/>
          <w:lang w:val="fr-FR"/>
        </w:rPr>
        <w:t xml:space="preserve">mises à </w:t>
      </w:r>
      <w:r w:rsidR="00433ACE" w:rsidRPr="00433ACE">
        <w:rPr>
          <w:rFonts w:eastAsia="Malgun Gothic"/>
          <w:lang w:val="fr-FR"/>
        </w:rPr>
        <w:t>disposition</w:t>
      </w:r>
      <w:r w:rsidR="00433ACE">
        <w:rPr>
          <w:rFonts w:eastAsia="Malgun Gothic"/>
          <w:lang w:val="fr-FR"/>
        </w:rPr>
        <w:t xml:space="preserve"> </w:t>
      </w:r>
      <w:r w:rsidRPr="00ED0C1C">
        <w:rPr>
          <w:rFonts w:eastAsia="Malgun Gothic"/>
          <w:lang w:val="fr-FR"/>
        </w:rPr>
        <w:t xml:space="preserve">par le pays hôte. Des versions imprimées </w:t>
      </w:r>
      <w:r w:rsidR="00433ACE">
        <w:rPr>
          <w:rFonts w:eastAsia="Malgun Gothic"/>
          <w:lang w:val="fr-FR"/>
        </w:rPr>
        <w:t>étaient</w:t>
      </w:r>
      <w:r w:rsidRPr="00ED0C1C">
        <w:rPr>
          <w:rFonts w:eastAsia="Malgun Gothic"/>
          <w:lang w:val="fr-FR"/>
        </w:rPr>
        <w:t xml:space="preserve"> également disponibles sur demande. La nouvelle version des </w:t>
      </w:r>
      <w:r w:rsidRPr="00702497">
        <w:rPr>
          <w:rFonts w:eastAsia="Malgun Gothic"/>
          <w:lang w:val="fr-FR"/>
        </w:rPr>
        <w:t>Textes fondamentaux de la Convention</w:t>
      </w:r>
      <w:r w:rsidR="00FD31E3">
        <w:rPr>
          <w:rStyle w:val="EndnoteReference"/>
          <w:rFonts w:eastAsia="Malgun Gothic"/>
          <w:lang w:val="fr-FR"/>
        </w:rPr>
        <w:endnoteReference w:id="1"/>
      </w:r>
      <w:r w:rsidR="00FD31E3" w:rsidRPr="00ED0C1C">
        <w:rPr>
          <w:rFonts w:eastAsia="Malgun Gothic"/>
          <w:lang w:val="fr-FR"/>
        </w:rPr>
        <w:t xml:space="preserve"> </w:t>
      </w:r>
      <w:r w:rsidRPr="00ED0C1C">
        <w:rPr>
          <w:rFonts w:eastAsia="Malgun Gothic"/>
          <w:lang w:val="fr-FR"/>
        </w:rPr>
        <w:t>a</w:t>
      </w:r>
      <w:r w:rsidR="00433ACE">
        <w:rPr>
          <w:rFonts w:eastAsia="Malgun Gothic"/>
          <w:lang w:val="fr-FR"/>
        </w:rPr>
        <w:t>vait</w:t>
      </w:r>
      <w:r w:rsidRPr="00ED0C1C">
        <w:rPr>
          <w:rFonts w:eastAsia="Malgun Gothic"/>
          <w:lang w:val="fr-FR"/>
        </w:rPr>
        <w:t xml:space="preserve"> été publiée en</w:t>
      </w:r>
      <w:r w:rsidR="00B91931">
        <w:rPr>
          <w:rFonts w:eastAsia="Malgun Gothic"/>
          <w:lang w:val="fr-FR"/>
        </w:rPr>
        <w:t> </w:t>
      </w:r>
      <w:r w:rsidRPr="00ED0C1C">
        <w:rPr>
          <w:rFonts w:eastAsia="Malgun Gothic"/>
          <w:lang w:val="fr-FR"/>
        </w:rPr>
        <w:t>2022</w:t>
      </w:r>
      <w:r w:rsidR="00B91931">
        <w:rPr>
          <w:rFonts w:eastAsia="Malgun Gothic"/>
          <w:lang w:val="fr-FR"/>
        </w:rPr>
        <w:t>,</w:t>
      </w:r>
      <w:r w:rsidRPr="00ED0C1C">
        <w:rPr>
          <w:rFonts w:eastAsia="Malgun Gothic"/>
          <w:lang w:val="fr-FR"/>
        </w:rPr>
        <w:t xml:space="preserve"> suite aux révisions des Directives opérationnelles et du Règlement intérieur de l</w:t>
      </w:r>
      <w:r w:rsidR="00923E72">
        <w:rPr>
          <w:rFonts w:eastAsia="Malgun Gothic"/>
          <w:lang w:val="fr-FR"/>
        </w:rPr>
        <w:t>’</w:t>
      </w:r>
      <w:r w:rsidRPr="00ED0C1C">
        <w:rPr>
          <w:rFonts w:eastAsia="Malgun Gothic"/>
          <w:lang w:val="fr-FR"/>
        </w:rPr>
        <w:t xml:space="preserve">Assemblée générale adoptées lors de la </w:t>
      </w:r>
      <w:r w:rsidR="00433ACE">
        <w:rPr>
          <w:rFonts w:eastAsia="Malgun Gothic"/>
          <w:lang w:val="fr-FR"/>
        </w:rPr>
        <w:t>neuvième</w:t>
      </w:r>
      <w:r w:rsidRPr="00ED0C1C">
        <w:rPr>
          <w:rFonts w:eastAsia="Malgun Gothic"/>
          <w:lang w:val="fr-FR"/>
        </w:rPr>
        <w:t xml:space="preserve"> session de l</w:t>
      </w:r>
      <w:r w:rsidR="00923E72">
        <w:rPr>
          <w:rFonts w:eastAsia="Malgun Gothic"/>
          <w:lang w:val="fr-FR"/>
        </w:rPr>
        <w:t>’</w:t>
      </w:r>
      <w:r w:rsidRPr="00ED0C1C">
        <w:rPr>
          <w:rFonts w:eastAsia="Malgun Gothic"/>
          <w:lang w:val="fr-FR"/>
        </w:rPr>
        <w:t>Assemblée générale en juillet</w:t>
      </w:r>
      <w:r w:rsidR="00B91931">
        <w:rPr>
          <w:rFonts w:eastAsia="Malgun Gothic"/>
          <w:lang w:val="fr-FR"/>
        </w:rPr>
        <w:t> </w:t>
      </w:r>
      <w:r w:rsidRPr="00ED0C1C">
        <w:rPr>
          <w:rFonts w:eastAsia="Malgun Gothic"/>
          <w:lang w:val="fr-FR"/>
        </w:rPr>
        <w:t xml:space="preserve">2022. </w:t>
      </w:r>
      <w:r w:rsidR="00B91931">
        <w:rPr>
          <w:rFonts w:eastAsia="Malgun Gothic"/>
          <w:lang w:val="fr-FR"/>
        </w:rPr>
        <w:t>Q</w:t>
      </w:r>
      <w:r w:rsidRPr="00ED0C1C">
        <w:rPr>
          <w:rFonts w:eastAsia="Malgun Gothic"/>
          <w:lang w:val="fr-FR"/>
        </w:rPr>
        <w:t xml:space="preserve">uatre </w:t>
      </w:r>
      <w:r w:rsidR="00B91931">
        <w:rPr>
          <w:rFonts w:eastAsia="Malgun Gothic"/>
          <w:lang w:val="fr-FR"/>
        </w:rPr>
        <w:t xml:space="preserve">autres </w:t>
      </w:r>
      <w:r w:rsidRPr="00ED0C1C">
        <w:rPr>
          <w:rFonts w:eastAsia="Malgun Gothic"/>
          <w:lang w:val="fr-FR"/>
        </w:rPr>
        <w:t xml:space="preserve">versions linguistiques des </w:t>
      </w:r>
      <w:r w:rsidR="00433ACE" w:rsidRPr="00702497">
        <w:rPr>
          <w:rFonts w:eastAsia="Malgun Gothic"/>
          <w:lang w:val="fr-FR"/>
        </w:rPr>
        <w:t>T</w:t>
      </w:r>
      <w:r w:rsidRPr="00702497">
        <w:rPr>
          <w:rFonts w:eastAsia="Malgun Gothic"/>
          <w:lang w:val="fr-FR"/>
        </w:rPr>
        <w:t>extes fondamentaux</w:t>
      </w:r>
      <w:r w:rsidRPr="00ED0C1C">
        <w:rPr>
          <w:rFonts w:eastAsia="Malgun Gothic"/>
          <w:lang w:val="fr-FR"/>
        </w:rPr>
        <w:t>, à savoir l</w:t>
      </w:r>
      <w:r w:rsidR="00923E72">
        <w:rPr>
          <w:rFonts w:eastAsia="Malgun Gothic"/>
          <w:lang w:val="fr-FR"/>
        </w:rPr>
        <w:t>’</w:t>
      </w:r>
      <w:r w:rsidRPr="00ED0C1C">
        <w:rPr>
          <w:rFonts w:eastAsia="Malgun Gothic"/>
          <w:lang w:val="fr-FR"/>
        </w:rPr>
        <w:t>arabe, le chinois, l</w:t>
      </w:r>
      <w:r w:rsidR="00923E72">
        <w:rPr>
          <w:rFonts w:eastAsia="Malgun Gothic"/>
          <w:lang w:val="fr-FR"/>
        </w:rPr>
        <w:t>’</w:t>
      </w:r>
      <w:r w:rsidRPr="00ED0C1C">
        <w:rPr>
          <w:rFonts w:eastAsia="Malgun Gothic"/>
          <w:lang w:val="fr-FR"/>
        </w:rPr>
        <w:t>espagnol</w:t>
      </w:r>
      <w:r w:rsidR="00433ACE">
        <w:rPr>
          <w:rFonts w:eastAsia="Malgun Gothic"/>
          <w:lang w:val="fr-FR"/>
        </w:rPr>
        <w:t xml:space="preserve"> et le russe,</w:t>
      </w:r>
      <w:r w:rsidRPr="00ED0C1C">
        <w:rPr>
          <w:rFonts w:eastAsia="Malgun Gothic"/>
          <w:lang w:val="fr-FR"/>
        </w:rPr>
        <w:t xml:space="preserve"> </w:t>
      </w:r>
      <w:r w:rsidR="00A15159">
        <w:rPr>
          <w:rFonts w:eastAsia="Malgun Gothic"/>
          <w:lang w:val="fr-FR"/>
        </w:rPr>
        <w:t xml:space="preserve">étaient </w:t>
      </w:r>
      <w:r w:rsidRPr="00ED0C1C">
        <w:rPr>
          <w:rFonts w:eastAsia="Malgun Gothic"/>
          <w:lang w:val="fr-FR"/>
        </w:rPr>
        <w:t>également disponibles</w:t>
      </w:r>
      <w:r w:rsidR="00A15159">
        <w:rPr>
          <w:rFonts w:eastAsia="Malgun Gothic"/>
          <w:lang w:val="fr-FR"/>
        </w:rPr>
        <w:t xml:space="preserve"> sur la page web</w:t>
      </w:r>
      <w:r w:rsidRPr="00ED0C1C">
        <w:rPr>
          <w:rFonts w:eastAsia="Malgun Gothic"/>
          <w:lang w:val="fr-FR"/>
        </w:rPr>
        <w:t>.</w:t>
      </w:r>
    </w:p>
    <w:p w14:paraId="0993080A" w14:textId="3915AC33" w:rsidR="00433ACE" w:rsidRDefault="00433AC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33ACE">
        <w:rPr>
          <w:rFonts w:eastAsia="Malgun Gothic"/>
          <w:lang w:val="fr-FR"/>
        </w:rPr>
        <w:t xml:space="preserve">Le </w:t>
      </w:r>
      <w:r>
        <w:rPr>
          <w:rFonts w:eastAsia="Malgun Gothic"/>
          <w:b/>
          <w:bCs/>
          <w:lang w:val="fr-FR"/>
        </w:rPr>
        <w:t>Président</w:t>
      </w:r>
      <w:r w:rsidR="005027E8">
        <w:rPr>
          <w:rFonts w:eastAsia="Malgun Gothic"/>
          <w:lang w:val="fr-FR"/>
        </w:rPr>
        <w:t>,</w:t>
      </w:r>
      <w:r w:rsidR="005027E8" w:rsidRPr="006E3034">
        <w:rPr>
          <w:lang w:val="fr-FR"/>
        </w:rPr>
        <w:t xml:space="preserve"> </w:t>
      </w:r>
      <w:r w:rsidR="005027E8" w:rsidRPr="005027E8">
        <w:rPr>
          <w:rFonts w:eastAsia="Malgun Gothic"/>
          <w:lang w:val="fr-FR"/>
        </w:rPr>
        <w:t>S. Exc. M. Samir Addahre</w:t>
      </w:r>
      <w:r w:rsidR="005027E8">
        <w:rPr>
          <w:rFonts w:eastAsia="Malgun Gothic"/>
          <w:lang w:val="fr-FR"/>
        </w:rPr>
        <w:t xml:space="preserve">, </w:t>
      </w:r>
      <w:r>
        <w:rPr>
          <w:rFonts w:eastAsia="Malgun Gothic"/>
          <w:lang w:val="fr-FR"/>
        </w:rPr>
        <w:t xml:space="preserve">a communiqué des </w:t>
      </w:r>
      <w:r w:rsidRPr="00433ACE">
        <w:rPr>
          <w:rFonts w:eastAsia="Malgun Gothic"/>
          <w:lang w:val="fr-FR"/>
        </w:rPr>
        <w:t>informations</w:t>
      </w:r>
      <w:r>
        <w:rPr>
          <w:rFonts w:eastAsia="Malgun Gothic"/>
          <w:lang w:val="fr-FR"/>
        </w:rPr>
        <w:t xml:space="preserve"> pratiques </w:t>
      </w:r>
      <w:r w:rsidRPr="00433ACE">
        <w:rPr>
          <w:rFonts w:eastAsia="Malgun Gothic"/>
          <w:lang w:val="fr-FR"/>
        </w:rPr>
        <w:t>supplémentair</w:t>
      </w:r>
      <w:r>
        <w:rPr>
          <w:rFonts w:eastAsia="Malgun Gothic"/>
          <w:lang w:val="fr-FR"/>
        </w:rPr>
        <w:t xml:space="preserve">es sur les services de transport et de </w:t>
      </w:r>
      <w:r w:rsidRPr="00433ACE">
        <w:rPr>
          <w:rFonts w:eastAsia="Malgun Gothic"/>
          <w:lang w:val="fr-FR"/>
        </w:rPr>
        <w:t>restauration</w:t>
      </w:r>
      <w:r>
        <w:rPr>
          <w:rFonts w:eastAsia="Malgun Gothic"/>
          <w:lang w:val="fr-FR"/>
        </w:rPr>
        <w:t>.</w:t>
      </w:r>
    </w:p>
    <w:p w14:paraId="23537504" w14:textId="0F7C0216" w:rsidR="00E30745" w:rsidRPr="00C71B0A" w:rsidRDefault="00433ACE" w:rsidP="00702497">
      <w:pPr>
        <w:pStyle w:val="Marge"/>
        <w:keepNext/>
        <w:tabs>
          <w:tab w:val="clear" w:pos="567"/>
          <w:tab w:val="left" w:pos="709"/>
          <w:tab w:val="left" w:pos="1418"/>
          <w:tab w:val="left" w:pos="2126"/>
          <w:tab w:val="left" w:pos="2835"/>
        </w:tabs>
        <w:spacing w:before="360" w:after="60"/>
        <w:jc w:val="left"/>
        <w:outlineLvl w:val="0"/>
        <w:rPr>
          <w:rFonts w:cs="Arial"/>
          <w:b/>
          <w:color w:val="000000" w:themeColor="text1"/>
          <w:szCs w:val="22"/>
          <w:u w:val="single"/>
        </w:rPr>
      </w:pPr>
      <w:r>
        <w:rPr>
          <w:rFonts w:cs="Arial"/>
          <w:b/>
          <w:color w:val="000000" w:themeColor="text1"/>
          <w:szCs w:val="22"/>
          <w:u w:val="single"/>
        </w:rPr>
        <w:t>POINT</w:t>
      </w:r>
      <w:r w:rsidR="0073323E">
        <w:rPr>
          <w:rFonts w:cs="Arial"/>
          <w:b/>
          <w:color w:val="000000" w:themeColor="text1"/>
          <w:szCs w:val="22"/>
          <w:u w:val="single"/>
        </w:rPr>
        <w:t> </w:t>
      </w:r>
      <w:r>
        <w:rPr>
          <w:rFonts w:cs="Arial"/>
          <w:b/>
          <w:color w:val="000000" w:themeColor="text1"/>
          <w:szCs w:val="22"/>
          <w:u w:val="single"/>
        </w:rPr>
        <w:t>2 DE L</w:t>
      </w:r>
      <w:r w:rsidR="00923E72">
        <w:rPr>
          <w:rFonts w:cs="Arial"/>
          <w:b/>
          <w:color w:val="000000" w:themeColor="text1"/>
          <w:szCs w:val="22"/>
          <w:u w:val="single"/>
        </w:rPr>
        <w:t>’</w:t>
      </w:r>
      <w:r w:rsidRPr="00433ACE">
        <w:rPr>
          <w:rFonts w:cs="Arial"/>
          <w:b/>
          <w:color w:val="000000" w:themeColor="text1"/>
          <w:szCs w:val="22"/>
          <w:u w:val="single"/>
        </w:rPr>
        <w:t>ORDRE DU JOUR</w:t>
      </w:r>
      <w:r w:rsidRPr="00D010C4">
        <w:rPr>
          <w:rFonts w:cs="Arial"/>
          <w:b/>
          <w:color w:val="000000" w:themeColor="text1"/>
          <w:szCs w:val="22"/>
        </w:rPr>
        <w:t> :</w:t>
      </w:r>
    </w:p>
    <w:p w14:paraId="53BCD75E" w14:textId="2368CC80" w:rsidR="00E30745" w:rsidRPr="00C71B0A" w:rsidRDefault="00433ACE" w:rsidP="00702497">
      <w:pPr>
        <w:pStyle w:val="Marge"/>
        <w:keepNext/>
        <w:tabs>
          <w:tab w:val="clear" w:pos="567"/>
          <w:tab w:val="left" w:pos="709"/>
          <w:tab w:val="left" w:pos="1418"/>
          <w:tab w:val="left" w:pos="2126"/>
          <w:tab w:val="left" w:pos="2835"/>
        </w:tabs>
        <w:spacing w:after="120"/>
        <w:jc w:val="left"/>
        <w:outlineLvl w:val="0"/>
        <w:rPr>
          <w:b/>
          <w:color w:val="000000" w:themeColor="text1"/>
        </w:rPr>
      </w:pPr>
      <w:r w:rsidRPr="00C71B0A">
        <w:rPr>
          <w:b/>
          <w:color w:val="000000" w:themeColor="text1"/>
        </w:rPr>
        <w:t>ADOPTIO</w:t>
      </w:r>
      <w:r>
        <w:rPr>
          <w:b/>
          <w:color w:val="000000" w:themeColor="text1"/>
        </w:rPr>
        <w:t>N DE L</w:t>
      </w:r>
      <w:r w:rsidR="00923E72">
        <w:rPr>
          <w:b/>
          <w:color w:val="000000" w:themeColor="text1"/>
        </w:rPr>
        <w:t>’</w:t>
      </w:r>
      <w:r w:rsidRPr="00433ACE">
        <w:rPr>
          <w:b/>
          <w:color w:val="000000" w:themeColor="text1"/>
        </w:rPr>
        <w:t>ORDRE DU JOUR</w:t>
      </w:r>
    </w:p>
    <w:p w14:paraId="1F45403A" w14:textId="2E3C5EF8" w:rsidR="00B9028B" w:rsidRPr="00847D9F" w:rsidRDefault="00E30745" w:rsidP="00B9028B">
      <w:pPr>
        <w:pStyle w:val="Orateurengris"/>
        <w:tabs>
          <w:tab w:val="clear" w:pos="709"/>
          <w:tab w:val="clear" w:pos="1418"/>
          <w:tab w:val="clear" w:pos="2126"/>
          <w:tab w:val="clear" w:pos="2835"/>
        </w:tabs>
        <w:spacing w:after="0"/>
        <w:ind w:left="709"/>
        <w:rPr>
          <w:bCs/>
          <w:i/>
          <w:iCs/>
          <w:color w:val="000000" w:themeColor="text1"/>
          <w:lang w:val="fr-FR"/>
        </w:rPr>
      </w:pPr>
      <w:r w:rsidRPr="00847D9F">
        <w:rPr>
          <w:b/>
          <w:color w:val="000000" w:themeColor="text1"/>
          <w:lang w:val="fr-FR"/>
        </w:rPr>
        <w:t>Documents</w:t>
      </w:r>
      <w:r w:rsidR="00433ACE" w:rsidRPr="00847D9F">
        <w:rPr>
          <w:b/>
          <w:color w:val="000000" w:themeColor="text1"/>
          <w:lang w:val="fr-FR"/>
        </w:rPr>
        <w:t> </w:t>
      </w:r>
      <w:r w:rsidRPr="00847D9F">
        <w:rPr>
          <w:b/>
          <w:color w:val="000000" w:themeColor="text1"/>
          <w:lang w:val="fr-FR"/>
        </w:rPr>
        <w:t>:</w:t>
      </w:r>
      <w:r w:rsidRPr="00847D9F">
        <w:rPr>
          <w:b/>
          <w:color w:val="000000" w:themeColor="text1"/>
          <w:lang w:val="fr-FR"/>
        </w:rPr>
        <w:tab/>
      </w:r>
      <w:hyperlink r:id="rId13" w:history="1">
        <w:r w:rsidR="00B9028B" w:rsidRPr="00847D9F">
          <w:rPr>
            <w:rStyle w:val="Hyperlink"/>
            <w:bCs/>
            <w:i/>
            <w:iCs/>
            <w:lang w:val="fr-FR"/>
          </w:rPr>
          <w:t>LHE-22-17.COM-2 Rev.</w:t>
        </w:r>
      </w:hyperlink>
    </w:p>
    <w:p w14:paraId="6DE7B100" w14:textId="6993C7C1" w:rsidR="00B94753" w:rsidRPr="006E3034" w:rsidRDefault="00751FB1" w:rsidP="00B9028B">
      <w:pPr>
        <w:pStyle w:val="Orateurengris"/>
        <w:tabs>
          <w:tab w:val="clear" w:pos="709"/>
          <w:tab w:val="clear" w:pos="1418"/>
          <w:tab w:val="clear" w:pos="2126"/>
          <w:tab w:val="clear" w:pos="2835"/>
        </w:tabs>
        <w:spacing w:after="0"/>
        <w:ind w:left="1701" w:firstLine="426"/>
        <w:rPr>
          <w:rStyle w:val="Hyperlink"/>
          <w:i/>
          <w:lang w:val="en-US"/>
        </w:rPr>
      </w:pPr>
      <w:hyperlink r:id="rId14" w:history="1">
        <w:r w:rsidR="00B9028B" w:rsidRPr="006E3034">
          <w:rPr>
            <w:rStyle w:val="Hyperlink"/>
            <w:i/>
            <w:lang w:val="en-US"/>
          </w:rPr>
          <w:t>LHE-22-17.COM-INF.2.1 Rev.5</w:t>
        </w:r>
      </w:hyperlink>
    </w:p>
    <w:p w14:paraId="7C78AACB" w14:textId="25B924DD" w:rsidR="00E30745" w:rsidRPr="00702497" w:rsidRDefault="00E30745" w:rsidP="00E30745">
      <w:pPr>
        <w:pStyle w:val="Orateurengris"/>
        <w:tabs>
          <w:tab w:val="clear" w:pos="709"/>
          <w:tab w:val="clear" w:pos="1418"/>
          <w:tab w:val="clear" w:pos="2126"/>
          <w:tab w:val="clear" w:pos="2835"/>
        </w:tabs>
        <w:spacing w:after="0"/>
        <w:ind w:left="1843" w:firstLine="284"/>
        <w:rPr>
          <w:rStyle w:val="Hyperlink"/>
          <w:i/>
        </w:rPr>
      </w:pPr>
      <w:r w:rsidRPr="00433ACE">
        <w:rPr>
          <w:rStyle w:val="Hyperlink"/>
          <w:bCs/>
          <w:i/>
          <w:lang w:val="fr-FR"/>
        </w:rPr>
        <w:fldChar w:fldCharType="begin"/>
      </w:r>
      <w:r w:rsidR="00433ACE" w:rsidRPr="00702497">
        <w:rPr>
          <w:rStyle w:val="Hyperlink"/>
          <w:bCs/>
          <w:i/>
        </w:rPr>
        <w:instrText>HYPERLINK "https://ich.unesco.org/doc/src/LHE-22-17.COM-INF.2.2_Rev.7-FR.docx"</w:instrText>
      </w:r>
      <w:r w:rsidRPr="00433ACE">
        <w:rPr>
          <w:rStyle w:val="Hyperlink"/>
          <w:bCs/>
          <w:i/>
          <w:lang w:val="fr-FR"/>
        </w:rPr>
      </w:r>
      <w:r w:rsidRPr="00433ACE">
        <w:rPr>
          <w:rStyle w:val="Hyperlink"/>
          <w:bCs/>
          <w:i/>
          <w:lang w:val="fr-FR"/>
        </w:rPr>
        <w:fldChar w:fldCharType="separate"/>
      </w:r>
      <w:r w:rsidRPr="00702497">
        <w:rPr>
          <w:rStyle w:val="Hyperlink"/>
          <w:bCs/>
          <w:i/>
        </w:rPr>
        <w:t>LHE/22/17.COM/INF.2.2</w:t>
      </w:r>
      <w:r w:rsidR="00B9028B" w:rsidRPr="00702497">
        <w:rPr>
          <w:rStyle w:val="Hyperlink"/>
          <w:bCs/>
          <w:i/>
        </w:rPr>
        <w:t> </w:t>
      </w:r>
      <w:r w:rsidRPr="00702497">
        <w:rPr>
          <w:rStyle w:val="Hyperlink"/>
          <w:bCs/>
          <w:i/>
        </w:rPr>
        <w:t>Rev.7</w:t>
      </w:r>
    </w:p>
    <w:p w14:paraId="3C3D307F" w14:textId="55AD8FB1" w:rsidR="00E30745" w:rsidRPr="00433ACE" w:rsidRDefault="00E30745" w:rsidP="00B9028B">
      <w:pPr>
        <w:pStyle w:val="ListParagraph"/>
        <w:ind w:left="709"/>
        <w:rPr>
          <w:rFonts w:ascii="Arial" w:hAnsi="Arial"/>
          <w:b/>
          <w:i/>
          <w:color w:val="0000FF"/>
          <w:sz w:val="22"/>
          <w:u w:val="single"/>
        </w:rPr>
      </w:pPr>
      <w:r w:rsidRPr="00433ACE">
        <w:rPr>
          <w:rStyle w:val="Hyperlink"/>
          <w:rFonts w:ascii="Arial" w:hAnsi="Arial" w:cs="Arial"/>
          <w:bCs/>
          <w:i/>
          <w:snapToGrid w:val="0"/>
          <w:sz w:val="22"/>
          <w:szCs w:val="22"/>
        </w:rPr>
        <w:fldChar w:fldCharType="end"/>
      </w:r>
      <w:r w:rsidRPr="00433ACE">
        <w:rPr>
          <w:rFonts w:ascii="Arial" w:hAnsi="Arial" w:cs="Arial"/>
          <w:b/>
          <w:color w:val="000000" w:themeColor="text1"/>
          <w:sz w:val="22"/>
          <w:szCs w:val="22"/>
        </w:rPr>
        <w:t>Décision</w:t>
      </w:r>
      <w:r w:rsidR="00936290">
        <w:rPr>
          <w:rFonts w:ascii="Arial" w:hAnsi="Arial" w:cs="Arial"/>
          <w:b/>
          <w:color w:val="000000" w:themeColor="text1"/>
          <w:sz w:val="22"/>
          <w:szCs w:val="22"/>
        </w:rPr>
        <w:t> </w:t>
      </w:r>
      <w:r w:rsidRPr="00433ACE">
        <w:rPr>
          <w:rFonts w:ascii="Arial" w:hAnsi="Arial" w:cs="Arial"/>
          <w:b/>
          <w:color w:val="000000" w:themeColor="text1"/>
          <w:sz w:val="22"/>
          <w:szCs w:val="22"/>
        </w:rPr>
        <w:t>:</w:t>
      </w:r>
      <w:r w:rsidRPr="00433ACE">
        <w:rPr>
          <w:rFonts w:ascii="Arial" w:hAnsi="Arial" w:cs="Arial"/>
          <w:b/>
          <w:color w:val="000000" w:themeColor="text1"/>
          <w:sz w:val="22"/>
          <w:szCs w:val="22"/>
        </w:rPr>
        <w:tab/>
      </w:r>
      <w:hyperlink r:id="rId15" w:history="1">
        <w:r w:rsidRPr="00433ACE">
          <w:rPr>
            <w:rStyle w:val="Hyperlink"/>
            <w:rFonts w:ascii="Arial" w:hAnsi="Arial" w:cs="Arial"/>
            <w:i/>
            <w:sz w:val="22"/>
            <w:szCs w:val="22"/>
          </w:rPr>
          <w:t>17.COM</w:t>
        </w:r>
        <w:r w:rsidR="00B5000D">
          <w:rPr>
            <w:rStyle w:val="Hyperlink"/>
            <w:rFonts w:ascii="Arial" w:hAnsi="Arial" w:cs="Arial"/>
            <w:i/>
            <w:sz w:val="22"/>
            <w:szCs w:val="22"/>
          </w:rPr>
          <w:t> </w:t>
        </w:r>
        <w:r w:rsidRPr="00433ACE">
          <w:rPr>
            <w:rStyle w:val="Hyperlink"/>
            <w:rFonts w:ascii="Arial" w:hAnsi="Arial" w:cs="Arial"/>
            <w:i/>
            <w:sz w:val="22"/>
            <w:szCs w:val="22"/>
          </w:rPr>
          <w:t>2</w:t>
        </w:r>
      </w:hyperlink>
    </w:p>
    <w:p w14:paraId="514DB2C6" w14:textId="1BBE2E73" w:rsidR="00E30745" w:rsidRDefault="00B9028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B9028B">
        <w:rPr>
          <w:rFonts w:eastAsia="Malgun Gothic"/>
          <w:b/>
          <w:bCs/>
          <w:lang w:val="fr-FR"/>
        </w:rPr>
        <w:t>Président</w:t>
      </w:r>
      <w:r w:rsidR="005027E8">
        <w:rPr>
          <w:color w:val="000000" w:themeColor="text1"/>
          <w:lang w:val="fr-FR"/>
        </w:rPr>
        <w:t xml:space="preserve"> </w:t>
      </w:r>
      <w:r>
        <w:rPr>
          <w:rFonts w:eastAsia="Malgun Gothic"/>
          <w:lang w:val="fr-FR"/>
        </w:rPr>
        <w:t>est passé au point</w:t>
      </w:r>
      <w:r w:rsidR="0073323E">
        <w:rPr>
          <w:rFonts w:eastAsia="Malgun Gothic"/>
          <w:lang w:val="fr-FR"/>
        </w:rPr>
        <w:t> </w:t>
      </w:r>
      <w:r>
        <w:rPr>
          <w:rFonts w:eastAsia="Malgun Gothic"/>
          <w:lang w:val="fr-FR"/>
        </w:rPr>
        <w:t>2</w:t>
      </w:r>
      <w:r w:rsidR="00A37E0F">
        <w:rPr>
          <w:rFonts w:eastAsia="Malgun Gothic"/>
          <w:lang w:val="fr-FR"/>
        </w:rPr>
        <w:t xml:space="preserve">, </w:t>
      </w:r>
      <w:r>
        <w:rPr>
          <w:rFonts w:eastAsia="Malgun Gothic"/>
          <w:lang w:val="fr-FR"/>
        </w:rPr>
        <w:t>l</w:t>
      </w:r>
      <w:r w:rsidR="00923E72">
        <w:rPr>
          <w:rFonts w:eastAsia="Malgun Gothic"/>
          <w:lang w:val="fr-FR"/>
        </w:rPr>
        <w:t>’</w:t>
      </w:r>
      <w:r>
        <w:rPr>
          <w:rFonts w:eastAsia="Malgun Gothic"/>
          <w:lang w:val="fr-FR"/>
        </w:rPr>
        <w:t>adoption de l</w:t>
      </w:r>
      <w:r w:rsidR="00923E72">
        <w:rPr>
          <w:rFonts w:eastAsia="Malgun Gothic"/>
          <w:lang w:val="fr-FR"/>
        </w:rPr>
        <w:t>’</w:t>
      </w:r>
      <w:r w:rsidRPr="00B9028B">
        <w:rPr>
          <w:rFonts w:eastAsia="Malgun Gothic"/>
          <w:lang w:val="fr-FR"/>
        </w:rPr>
        <w:t>ordre du jour</w:t>
      </w:r>
      <w:r>
        <w:rPr>
          <w:rFonts w:eastAsia="Malgun Gothic"/>
          <w:lang w:val="fr-FR"/>
        </w:rPr>
        <w:t xml:space="preserve">. </w:t>
      </w:r>
    </w:p>
    <w:p w14:paraId="657D3045" w14:textId="7BA32E5C" w:rsidR="00B9028B" w:rsidRDefault="00B9028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B9028B">
        <w:rPr>
          <w:rFonts w:eastAsia="Malgun Gothic"/>
          <w:lang w:val="fr-FR"/>
        </w:rPr>
        <w:t xml:space="preserve">Le </w:t>
      </w:r>
      <w:r w:rsidRPr="00B9028B">
        <w:rPr>
          <w:rFonts w:eastAsia="Malgun Gothic"/>
          <w:b/>
          <w:bCs/>
          <w:lang w:val="fr-FR"/>
        </w:rPr>
        <w:t>Secrétaire</w:t>
      </w:r>
      <w:r w:rsidRPr="00B9028B">
        <w:rPr>
          <w:rFonts w:eastAsia="Malgun Gothic"/>
          <w:lang w:val="fr-FR"/>
        </w:rPr>
        <w:t xml:space="preserve"> </w:t>
      </w:r>
      <w:r>
        <w:rPr>
          <w:rFonts w:eastAsia="Malgun Gothic"/>
          <w:lang w:val="fr-FR"/>
        </w:rPr>
        <w:t xml:space="preserve">a </w:t>
      </w:r>
      <w:r w:rsidR="00A15159">
        <w:rPr>
          <w:rFonts w:eastAsia="Malgun Gothic"/>
          <w:lang w:val="fr-FR"/>
        </w:rPr>
        <w:t xml:space="preserve">renvoyé </w:t>
      </w:r>
      <w:r w:rsidRPr="00B9028B">
        <w:rPr>
          <w:rFonts w:eastAsia="Malgun Gothic"/>
          <w:lang w:val="fr-FR"/>
        </w:rPr>
        <w:t xml:space="preserve">le Comité </w:t>
      </w:r>
      <w:r w:rsidR="00A15159">
        <w:rPr>
          <w:rFonts w:eastAsia="Malgun Gothic"/>
          <w:lang w:val="fr-FR"/>
        </w:rPr>
        <w:t xml:space="preserve">à </w:t>
      </w:r>
      <w:r w:rsidRPr="00B9028B">
        <w:rPr>
          <w:rFonts w:eastAsia="Malgun Gothic"/>
          <w:lang w:val="fr-FR"/>
        </w:rPr>
        <w:t>l</w:t>
      </w:r>
      <w:r w:rsidR="00923E72">
        <w:rPr>
          <w:rFonts w:eastAsia="Malgun Gothic"/>
          <w:lang w:val="fr-FR"/>
        </w:rPr>
        <w:t>’</w:t>
      </w:r>
      <w:r w:rsidRPr="00B9028B">
        <w:rPr>
          <w:rFonts w:eastAsia="Malgun Gothic"/>
          <w:lang w:val="fr-FR"/>
        </w:rPr>
        <w:t>ordre du jour provisoire figur</w:t>
      </w:r>
      <w:r>
        <w:rPr>
          <w:rFonts w:eastAsia="Malgun Gothic"/>
          <w:lang w:val="fr-FR"/>
        </w:rPr>
        <w:t>a</w:t>
      </w:r>
      <w:r w:rsidR="00A15159">
        <w:rPr>
          <w:rFonts w:eastAsia="Malgun Gothic"/>
          <w:lang w:val="fr-FR"/>
        </w:rPr>
        <w:t>n</w:t>
      </w:r>
      <w:r>
        <w:rPr>
          <w:rFonts w:eastAsia="Malgun Gothic"/>
          <w:lang w:val="fr-FR"/>
        </w:rPr>
        <w:t>t</w:t>
      </w:r>
      <w:r w:rsidRPr="00B9028B">
        <w:rPr>
          <w:rFonts w:eastAsia="Malgun Gothic"/>
          <w:lang w:val="fr-FR"/>
        </w:rPr>
        <w:t xml:space="preserve"> dans le document</w:t>
      </w:r>
      <w:r w:rsidR="00A15159">
        <w:rPr>
          <w:rFonts w:eastAsia="Malgun Gothic"/>
          <w:lang w:val="fr-FR"/>
        </w:rPr>
        <w:t> </w:t>
      </w:r>
      <w:r w:rsidRPr="00B9028B">
        <w:rPr>
          <w:rFonts w:eastAsia="Malgun Gothic"/>
          <w:lang w:val="fr-FR"/>
        </w:rPr>
        <w:t>2</w:t>
      </w:r>
      <w:r>
        <w:rPr>
          <w:rFonts w:eastAsia="Malgun Gothic"/>
          <w:lang w:val="fr-FR"/>
        </w:rPr>
        <w:t> </w:t>
      </w:r>
      <w:r w:rsidRPr="00B9028B">
        <w:rPr>
          <w:rFonts w:eastAsia="Malgun Gothic"/>
          <w:lang w:val="fr-FR"/>
        </w:rPr>
        <w:t>Rev</w:t>
      </w:r>
      <w:r w:rsidR="004F368D">
        <w:rPr>
          <w:rFonts w:eastAsia="Malgun Gothic"/>
          <w:lang w:val="fr-FR"/>
        </w:rPr>
        <w:t>,</w:t>
      </w:r>
      <w:r w:rsidR="005B684A">
        <w:rPr>
          <w:rFonts w:eastAsia="Malgun Gothic"/>
          <w:lang w:val="fr-FR"/>
        </w:rPr>
        <w:t xml:space="preserve"> </w:t>
      </w:r>
      <w:r w:rsidR="00A15159">
        <w:rPr>
          <w:rFonts w:eastAsia="Malgun Gothic"/>
          <w:lang w:val="fr-FR"/>
        </w:rPr>
        <w:t xml:space="preserve">qui </w:t>
      </w:r>
      <w:r w:rsidRPr="00B9028B">
        <w:rPr>
          <w:rFonts w:eastAsia="Malgun Gothic"/>
          <w:lang w:val="fr-FR"/>
        </w:rPr>
        <w:t>compren</w:t>
      </w:r>
      <w:r>
        <w:rPr>
          <w:rFonts w:eastAsia="Malgun Gothic"/>
          <w:lang w:val="fr-FR"/>
        </w:rPr>
        <w:t>ait</w:t>
      </w:r>
      <w:r w:rsidRPr="00B9028B">
        <w:rPr>
          <w:rFonts w:eastAsia="Malgun Gothic"/>
          <w:lang w:val="fr-FR"/>
        </w:rPr>
        <w:t xml:space="preserve"> </w:t>
      </w:r>
      <w:r w:rsidR="00A15159">
        <w:rPr>
          <w:rFonts w:eastAsia="Malgun Gothic"/>
          <w:lang w:val="fr-FR"/>
        </w:rPr>
        <w:t>vingt</w:t>
      </w:r>
      <w:r w:rsidRPr="00B9028B">
        <w:rPr>
          <w:rFonts w:eastAsia="Malgun Gothic"/>
          <w:lang w:val="fr-FR"/>
        </w:rPr>
        <w:t xml:space="preserve"> points, avec différents sous-points. L</w:t>
      </w:r>
      <w:r w:rsidR="00923E72">
        <w:rPr>
          <w:rFonts w:eastAsia="Malgun Gothic"/>
          <w:lang w:val="fr-FR"/>
        </w:rPr>
        <w:t>’</w:t>
      </w:r>
      <w:r w:rsidRPr="00B9028B">
        <w:rPr>
          <w:rFonts w:eastAsia="Malgun Gothic"/>
          <w:lang w:val="fr-FR"/>
        </w:rPr>
        <w:t>ordre du jour provisoire a</w:t>
      </w:r>
      <w:r w:rsidR="00DD4C1A">
        <w:rPr>
          <w:rFonts w:eastAsia="Malgun Gothic"/>
          <w:lang w:val="fr-FR"/>
        </w:rPr>
        <w:t>vait</w:t>
      </w:r>
      <w:r w:rsidRPr="00B9028B">
        <w:rPr>
          <w:rFonts w:eastAsia="Malgun Gothic"/>
          <w:lang w:val="fr-FR"/>
        </w:rPr>
        <w:t xml:space="preserve"> été préparé conformément à l</w:t>
      </w:r>
      <w:r w:rsidR="00923E72">
        <w:rPr>
          <w:rFonts w:eastAsia="Malgun Gothic"/>
          <w:lang w:val="fr-FR"/>
        </w:rPr>
        <w:t>’</w:t>
      </w:r>
      <w:r w:rsidRPr="00B9028B">
        <w:rPr>
          <w:rFonts w:eastAsia="Malgun Gothic"/>
          <w:lang w:val="fr-FR"/>
        </w:rPr>
        <w:t>article</w:t>
      </w:r>
      <w:r w:rsidR="006773EF">
        <w:rPr>
          <w:rFonts w:eastAsia="Malgun Gothic"/>
          <w:lang w:val="fr-FR"/>
        </w:rPr>
        <w:t> </w:t>
      </w:r>
      <w:r w:rsidRPr="00B9028B">
        <w:rPr>
          <w:rFonts w:eastAsia="Malgun Gothic"/>
          <w:lang w:val="fr-FR"/>
        </w:rPr>
        <w:t xml:space="preserve">9 du </w:t>
      </w:r>
      <w:r>
        <w:rPr>
          <w:rFonts w:eastAsia="Malgun Gothic"/>
          <w:lang w:val="fr-FR"/>
        </w:rPr>
        <w:t>R</w:t>
      </w:r>
      <w:r w:rsidRPr="00B9028B">
        <w:rPr>
          <w:rFonts w:eastAsia="Malgun Gothic"/>
          <w:lang w:val="fr-FR"/>
        </w:rPr>
        <w:t xml:space="preserve">èglement intérieur du Comité. Les documents </w:t>
      </w:r>
      <w:r w:rsidR="0009450D">
        <w:rPr>
          <w:rFonts w:eastAsia="Malgun Gothic"/>
          <w:lang w:val="fr-FR"/>
        </w:rPr>
        <w:t>avaient</w:t>
      </w:r>
      <w:r w:rsidRPr="00B9028B">
        <w:rPr>
          <w:rFonts w:eastAsia="Malgun Gothic"/>
          <w:lang w:val="fr-FR"/>
        </w:rPr>
        <w:t xml:space="preserve"> été rédigés en anglais et en français et publiés sur le site web avant la date limite statutaire du 31</w:t>
      </w:r>
      <w:r w:rsidR="00DD4C1A">
        <w:rPr>
          <w:rFonts w:eastAsia="Malgun Gothic"/>
          <w:lang w:val="fr-FR"/>
        </w:rPr>
        <w:t> </w:t>
      </w:r>
      <w:r w:rsidRPr="00B9028B">
        <w:rPr>
          <w:rFonts w:eastAsia="Malgun Gothic"/>
          <w:lang w:val="fr-FR"/>
        </w:rPr>
        <w:t>octobre</w:t>
      </w:r>
      <w:r w:rsidR="00DD4C1A">
        <w:rPr>
          <w:rFonts w:eastAsia="Malgun Gothic"/>
          <w:lang w:val="fr-FR"/>
        </w:rPr>
        <w:t> </w:t>
      </w:r>
      <w:r w:rsidRPr="00B9028B">
        <w:rPr>
          <w:rFonts w:eastAsia="Malgun Gothic"/>
          <w:lang w:val="fr-FR"/>
        </w:rPr>
        <w:t>2022, soit quatre semaines avant l</w:t>
      </w:r>
      <w:r w:rsidR="00923E72">
        <w:rPr>
          <w:rFonts w:eastAsia="Malgun Gothic"/>
          <w:lang w:val="fr-FR"/>
        </w:rPr>
        <w:t>’</w:t>
      </w:r>
      <w:r w:rsidRPr="00B9028B">
        <w:rPr>
          <w:rFonts w:eastAsia="Malgun Gothic"/>
          <w:lang w:val="fr-FR"/>
        </w:rPr>
        <w:t>ouverture de la session, conformément à l</w:t>
      </w:r>
      <w:r w:rsidR="00923E72">
        <w:rPr>
          <w:rFonts w:eastAsia="Malgun Gothic"/>
          <w:lang w:val="fr-FR"/>
        </w:rPr>
        <w:t>’</w:t>
      </w:r>
      <w:r w:rsidRPr="00B9028B">
        <w:rPr>
          <w:rFonts w:eastAsia="Malgun Gothic"/>
          <w:lang w:val="fr-FR"/>
        </w:rPr>
        <w:t>article</w:t>
      </w:r>
      <w:r w:rsidR="006773EF">
        <w:rPr>
          <w:rFonts w:eastAsia="Malgun Gothic"/>
          <w:lang w:val="fr-FR"/>
        </w:rPr>
        <w:t> </w:t>
      </w:r>
      <w:r w:rsidRPr="00B9028B">
        <w:rPr>
          <w:rFonts w:eastAsia="Malgun Gothic"/>
          <w:lang w:val="fr-FR"/>
        </w:rPr>
        <w:t xml:space="preserve">42 du </w:t>
      </w:r>
      <w:r w:rsidR="00DD4C1A">
        <w:rPr>
          <w:rFonts w:eastAsia="Malgun Gothic"/>
          <w:lang w:val="fr-FR"/>
        </w:rPr>
        <w:t>R</w:t>
      </w:r>
      <w:r w:rsidRPr="00B9028B">
        <w:rPr>
          <w:rFonts w:eastAsia="Malgun Gothic"/>
          <w:lang w:val="fr-FR"/>
        </w:rPr>
        <w:t>èglement intérieur du Comité. Le document</w:t>
      </w:r>
      <w:r w:rsidR="00DB6A4B">
        <w:rPr>
          <w:rFonts w:eastAsia="Malgun Gothic"/>
          <w:lang w:val="fr-FR"/>
        </w:rPr>
        <w:t> </w:t>
      </w:r>
      <w:r w:rsidRPr="00B9028B">
        <w:rPr>
          <w:rFonts w:eastAsia="Malgun Gothic"/>
          <w:lang w:val="fr-FR"/>
        </w:rPr>
        <w:t xml:space="preserve">11 sur la </w:t>
      </w:r>
      <w:r w:rsidR="00DD4C1A">
        <w:rPr>
          <w:rFonts w:eastAsia="Malgun Gothic"/>
          <w:lang w:val="fr-FR"/>
        </w:rPr>
        <w:t>« </w:t>
      </w:r>
      <w:r w:rsidRPr="00B9028B">
        <w:rPr>
          <w:rFonts w:eastAsia="Malgun Gothic"/>
          <w:lang w:val="fr-FR"/>
        </w:rPr>
        <w:t>Stratégie pour le suivi, l</w:t>
      </w:r>
      <w:r w:rsidR="00923E72">
        <w:rPr>
          <w:rFonts w:eastAsia="Malgun Gothic"/>
          <w:lang w:val="fr-FR"/>
        </w:rPr>
        <w:t>’</w:t>
      </w:r>
      <w:r w:rsidRPr="00B9028B">
        <w:rPr>
          <w:rFonts w:eastAsia="Malgun Gothic"/>
          <w:lang w:val="fr-FR"/>
        </w:rPr>
        <w:t>évaluation et l</w:t>
      </w:r>
      <w:r w:rsidR="00923E72">
        <w:rPr>
          <w:rFonts w:eastAsia="Malgun Gothic"/>
          <w:lang w:val="fr-FR"/>
        </w:rPr>
        <w:t>’</w:t>
      </w:r>
      <w:r w:rsidRPr="00B9028B">
        <w:rPr>
          <w:rFonts w:eastAsia="Malgun Gothic"/>
          <w:lang w:val="fr-FR"/>
        </w:rPr>
        <w:t xml:space="preserve">identification des </w:t>
      </w:r>
      <w:r w:rsidR="00DD4C1A" w:rsidRPr="00DD4C1A">
        <w:rPr>
          <w:rFonts w:eastAsia="Malgun Gothic"/>
          <w:lang w:val="fr-FR"/>
        </w:rPr>
        <w:t>enseignemen</w:t>
      </w:r>
      <w:r w:rsidR="00DD4C1A">
        <w:rPr>
          <w:rFonts w:eastAsia="Malgun Gothic"/>
          <w:lang w:val="fr-FR"/>
        </w:rPr>
        <w:t>ts tirés des</w:t>
      </w:r>
      <w:r w:rsidRPr="00B9028B">
        <w:rPr>
          <w:rFonts w:eastAsia="Malgun Gothic"/>
          <w:lang w:val="fr-FR"/>
        </w:rPr>
        <w:t xml:space="preserve"> projets d</w:t>
      </w:r>
      <w:r w:rsidR="00923E72">
        <w:rPr>
          <w:rFonts w:eastAsia="Malgun Gothic"/>
          <w:lang w:val="fr-FR"/>
        </w:rPr>
        <w:t>’</w:t>
      </w:r>
      <w:r w:rsidRPr="00B9028B">
        <w:rPr>
          <w:rFonts w:eastAsia="Malgun Gothic"/>
          <w:lang w:val="fr-FR"/>
        </w:rPr>
        <w:t>assistance internationale</w:t>
      </w:r>
      <w:r w:rsidR="00DD4C1A">
        <w:rPr>
          <w:rFonts w:eastAsia="Malgun Gothic"/>
          <w:lang w:val="fr-FR"/>
        </w:rPr>
        <w:t> »</w:t>
      </w:r>
      <w:r w:rsidRPr="00B9028B">
        <w:rPr>
          <w:rFonts w:eastAsia="Malgun Gothic"/>
          <w:lang w:val="fr-FR"/>
        </w:rPr>
        <w:t>, qui a</w:t>
      </w:r>
      <w:r w:rsidR="00490936">
        <w:rPr>
          <w:rFonts w:eastAsia="Malgun Gothic"/>
          <w:lang w:val="fr-FR"/>
        </w:rPr>
        <w:t>vait</w:t>
      </w:r>
      <w:r w:rsidRPr="00B9028B">
        <w:rPr>
          <w:rFonts w:eastAsia="Malgun Gothic"/>
          <w:lang w:val="fr-FR"/>
        </w:rPr>
        <w:t xml:space="preserve"> été publié le 17</w:t>
      </w:r>
      <w:r w:rsidR="001A7AF7">
        <w:rPr>
          <w:rFonts w:eastAsia="Malgun Gothic"/>
          <w:lang w:val="fr-FR"/>
        </w:rPr>
        <w:t> </w:t>
      </w:r>
      <w:r w:rsidRPr="00B9028B">
        <w:rPr>
          <w:rFonts w:eastAsia="Malgun Gothic"/>
          <w:lang w:val="fr-FR"/>
        </w:rPr>
        <w:t>novembre, constitu</w:t>
      </w:r>
      <w:r w:rsidR="00490936">
        <w:rPr>
          <w:rFonts w:eastAsia="Malgun Gothic"/>
          <w:lang w:val="fr-FR"/>
        </w:rPr>
        <w:t>ait</w:t>
      </w:r>
      <w:r w:rsidRPr="00B9028B">
        <w:rPr>
          <w:rFonts w:eastAsia="Malgun Gothic"/>
          <w:lang w:val="fr-FR"/>
        </w:rPr>
        <w:t xml:space="preserve"> l</w:t>
      </w:r>
      <w:r w:rsidR="00923E72">
        <w:rPr>
          <w:rFonts w:eastAsia="Malgun Gothic"/>
          <w:lang w:val="fr-FR"/>
        </w:rPr>
        <w:t>’</w:t>
      </w:r>
      <w:r w:rsidRPr="00B9028B">
        <w:rPr>
          <w:rFonts w:eastAsia="Malgun Gothic"/>
          <w:lang w:val="fr-FR"/>
        </w:rPr>
        <w:t>exception</w:t>
      </w:r>
      <w:r w:rsidR="00490936">
        <w:rPr>
          <w:rFonts w:eastAsia="Malgun Gothic"/>
          <w:lang w:val="fr-FR"/>
        </w:rPr>
        <w:t xml:space="preserve"> à la règle</w:t>
      </w:r>
      <w:r w:rsidRPr="00B9028B">
        <w:rPr>
          <w:rFonts w:eastAsia="Malgun Gothic"/>
          <w:lang w:val="fr-FR"/>
        </w:rPr>
        <w:t>. La liste des documents se trouv</w:t>
      </w:r>
      <w:r w:rsidR="00490936">
        <w:rPr>
          <w:rFonts w:eastAsia="Malgun Gothic"/>
          <w:lang w:val="fr-FR"/>
        </w:rPr>
        <w:t>ait</w:t>
      </w:r>
      <w:r w:rsidRPr="00B9028B">
        <w:rPr>
          <w:rFonts w:eastAsia="Malgun Gothic"/>
          <w:lang w:val="fr-FR"/>
        </w:rPr>
        <w:t xml:space="preserve"> dans le document</w:t>
      </w:r>
      <w:r w:rsidR="009A34A8">
        <w:rPr>
          <w:rFonts w:eastAsia="Malgun Gothic"/>
          <w:lang w:val="fr-FR"/>
        </w:rPr>
        <w:t> </w:t>
      </w:r>
      <w:r w:rsidRPr="00B9028B">
        <w:rPr>
          <w:rFonts w:eastAsia="Malgun Gothic"/>
          <w:lang w:val="fr-FR"/>
        </w:rPr>
        <w:t>INF</w:t>
      </w:r>
      <w:r w:rsidR="00490936">
        <w:rPr>
          <w:rFonts w:eastAsia="Malgun Gothic"/>
          <w:lang w:val="fr-FR"/>
        </w:rPr>
        <w:t>.</w:t>
      </w:r>
      <w:r w:rsidRPr="00B9028B">
        <w:rPr>
          <w:rFonts w:eastAsia="Malgun Gothic"/>
          <w:lang w:val="fr-FR"/>
        </w:rPr>
        <w:t>2.2.</w:t>
      </w:r>
      <w:r w:rsidR="00490936">
        <w:rPr>
          <w:rFonts w:eastAsia="Malgun Gothic"/>
          <w:lang w:val="fr-FR"/>
        </w:rPr>
        <w:t> </w:t>
      </w:r>
      <w:r w:rsidRPr="00B9028B">
        <w:rPr>
          <w:rFonts w:eastAsia="Malgun Gothic"/>
          <w:lang w:val="fr-FR"/>
        </w:rPr>
        <w:t>Rev.4. Tous les documents de travail port</w:t>
      </w:r>
      <w:r w:rsidR="00490936">
        <w:rPr>
          <w:rFonts w:eastAsia="Malgun Gothic"/>
          <w:lang w:val="fr-FR"/>
        </w:rPr>
        <w:t xml:space="preserve">aient </w:t>
      </w:r>
      <w:r w:rsidRPr="00B9028B">
        <w:rPr>
          <w:rFonts w:eastAsia="Malgun Gothic"/>
          <w:lang w:val="fr-FR"/>
        </w:rPr>
        <w:t>la référence</w:t>
      </w:r>
      <w:r w:rsidR="009A34A8">
        <w:rPr>
          <w:rFonts w:eastAsia="Malgun Gothic"/>
          <w:lang w:val="fr-FR"/>
        </w:rPr>
        <w:t xml:space="preserve"> </w:t>
      </w:r>
      <w:r w:rsidRPr="00B9028B">
        <w:rPr>
          <w:rFonts w:eastAsia="Malgun Gothic"/>
          <w:lang w:val="fr-FR"/>
        </w:rPr>
        <w:t>LHE/22/17.COM, suivie d</w:t>
      </w:r>
      <w:r w:rsidR="00923E72">
        <w:rPr>
          <w:rFonts w:eastAsia="Malgun Gothic"/>
          <w:lang w:val="fr-FR"/>
        </w:rPr>
        <w:t>’</w:t>
      </w:r>
      <w:r w:rsidRPr="00B9028B">
        <w:rPr>
          <w:rFonts w:eastAsia="Malgun Gothic"/>
          <w:lang w:val="fr-FR"/>
        </w:rPr>
        <w:t>un numéro correspondant au numéro du point de l</w:t>
      </w:r>
      <w:r w:rsidR="00923E72">
        <w:rPr>
          <w:rFonts w:eastAsia="Malgun Gothic"/>
          <w:lang w:val="fr-FR"/>
        </w:rPr>
        <w:t>’</w:t>
      </w:r>
      <w:r w:rsidRPr="00B9028B">
        <w:rPr>
          <w:rFonts w:eastAsia="Malgun Gothic"/>
          <w:lang w:val="fr-FR"/>
        </w:rPr>
        <w:t>ordre du jour provisoire. Pour les documents d</w:t>
      </w:r>
      <w:r w:rsidR="00923E72">
        <w:rPr>
          <w:rFonts w:eastAsia="Malgun Gothic"/>
          <w:lang w:val="fr-FR"/>
        </w:rPr>
        <w:t>’</w:t>
      </w:r>
      <w:r w:rsidRPr="00B9028B">
        <w:rPr>
          <w:rFonts w:eastAsia="Malgun Gothic"/>
          <w:lang w:val="fr-FR"/>
        </w:rPr>
        <w:t xml:space="preserve">information, le numéro </w:t>
      </w:r>
      <w:r w:rsidR="00A15159">
        <w:rPr>
          <w:rFonts w:eastAsia="Malgun Gothic"/>
          <w:lang w:val="fr-FR"/>
        </w:rPr>
        <w:t>était</w:t>
      </w:r>
      <w:r w:rsidRPr="00B9028B">
        <w:rPr>
          <w:rFonts w:eastAsia="Malgun Gothic"/>
          <w:lang w:val="fr-FR"/>
        </w:rPr>
        <w:t xml:space="preserve"> précédé de </w:t>
      </w:r>
      <w:r w:rsidR="00490936">
        <w:rPr>
          <w:rFonts w:eastAsia="Malgun Gothic"/>
          <w:lang w:val="fr-FR"/>
        </w:rPr>
        <w:t>« </w:t>
      </w:r>
      <w:r w:rsidRPr="00B9028B">
        <w:rPr>
          <w:rFonts w:eastAsia="Malgun Gothic"/>
          <w:lang w:val="fr-FR"/>
        </w:rPr>
        <w:t>INF</w:t>
      </w:r>
      <w:r w:rsidR="00490936">
        <w:rPr>
          <w:rFonts w:eastAsia="Malgun Gothic"/>
          <w:lang w:val="fr-FR"/>
        </w:rPr>
        <w:t> »</w:t>
      </w:r>
      <w:r w:rsidRPr="00B9028B">
        <w:rPr>
          <w:rFonts w:eastAsia="Malgun Gothic"/>
          <w:lang w:val="fr-FR"/>
        </w:rPr>
        <w:t>. Les documents révisés port</w:t>
      </w:r>
      <w:r w:rsidR="00490936">
        <w:rPr>
          <w:rFonts w:eastAsia="Malgun Gothic"/>
          <w:lang w:val="fr-FR"/>
        </w:rPr>
        <w:t>ai</w:t>
      </w:r>
      <w:r w:rsidRPr="00B9028B">
        <w:rPr>
          <w:rFonts w:eastAsia="Malgun Gothic"/>
          <w:lang w:val="fr-FR"/>
        </w:rPr>
        <w:t xml:space="preserve">ent la mention </w:t>
      </w:r>
      <w:r w:rsidR="00490936">
        <w:rPr>
          <w:rFonts w:eastAsia="Malgun Gothic"/>
          <w:lang w:val="fr-FR"/>
        </w:rPr>
        <w:t>« </w:t>
      </w:r>
      <w:r w:rsidRPr="00B9028B">
        <w:rPr>
          <w:rFonts w:eastAsia="Malgun Gothic"/>
          <w:lang w:val="fr-FR"/>
        </w:rPr>
        <w:t>R</w:t>
      </w:r>
      <w:r w:rsidR="00490936">
        <w:rPr>
          <w:rFonts w:eastAsia="Malgun Gothic"/>
          <w:lang w:val="fr-FR"/>
        </w:rPr>
        <w:t>ev »</w:t>
      </w:r>
      <w:r w:rsidR="001E6B21">
        <w:rPr>
          <w:rFonts w:eastAsia="Malgun Gothic"/>
          <w:lang w:val="fr-FR"/>
        </w:rPr>
        <w:t xml:space="preserve">, tandis que la mention </w:t>
      </w:r>
      <w:r w:rsidR="00490936">
        <w:rPr>
          <w:rFonts w:eastAsia="Malgun Gothic"/>
          <w:lang w:val="fr-FR"/>
        </w:rPr>
        <w:t>« </w:t>
      </w:r>
      <w:r w:rsidRPr="00B9028B">
        <w:rPr>
          <w:rFonts w:eastAsia="Malgun Gothic"/>
          <w:lang w:val="fr-FR"/>
        </w:rPr>
        <w:t>Add</w:t>
      </w:r>
      <w:r w:rsidR="0009450D">
        <w:rPr>
          <w:rFonts w:eastAsia="Malgun Gothic"/>
          <w:lang w:val="fr-FR"/>
        </w:rPr>
        <w:t>.</w:t>
      </w:r>
      <w:r w:rsidR="00490936">
        <w:rPr>
          <w:rFonts w:eastAsia="Malgun Gothic"/>
          <w:lang w:val="fr-FR"/>
        </w:rPr>
        <w:t> »</w:t>
      </w:r>
      <w:r w:rsidRPr="00B9028B">
        <w:rPr>
          <w:rFonts w:eastAsia="Malgun Gothic"/>
          <w:lang w:val="fr-FR"/>
        </w:rPr>
        <w:t xml:space="preserve"> </w:t>
      </w:r>
      <w:r w:rsidR="001E6B21">
        <w:rPr>
          <w:rFonts w:eastAsia="Malgun Gothic"/>
          <w:lang w:val="fr-FR"/>
        </w:rPr>
        <w:t>signifiait</w:t>
      </w:r>
      <w:r w:rsidRPr="00B9028B">
        <w:rPr>
          <w:rFonts w:eastAsia="Malgun Gothic"/>
          <w:lang w:val="fr-FR"/>
        </w:rPr>
        <w:t xml:space="preserve"> addenda et </w:t>
      </w:r>
      <w:r w:rsidR="00F61E1F">
        <w:rPr>
          <w:rFonts w:eastAsia="Malgun Gothic"/>
          <w:lang w:val="fr-FR"/>
        </w:rPr>
        <w:t xml:space="preserve">la mention </w:t>
      </w:r>
      <w:r w:rsidR="00490936">
        <w:rPr>
          <w:rFonts w:eastAsia="Malgun Gothic"/>
          <w:lang w:val="fr-FR"/>
        </w:rPr>
        <w:t>« </w:t>
      </w:r>
      <w:r w:rsidRPr="00B9028B">
        <w:rPr>
          <w:rFonts w:eastAsia="Malgun Gothic"/>
          <w:lang w:val="fr-FR"/>
        </w:rPr>
        <w:t>C</w:t>
      </w:r>
      <w:r w:rsidR="00490936">
        <w:rPr>
          <w:rFonts w:eastAsia="Malgun Gothic"/>
          <w:lang w:val="fr-FR"/>
        </w:rPr>
        <w:t>orr</w:t>
      </w:r>
      <w:r w:rsidR="0009450D">
        <w:rPr>
          <w:rFonts w:eastAsia="Malgun Gothic"/>
          <w:lang w:val="fr-FR"/>
        </w:rPr>
        <w:t>.</w:t>
      </w:r>
      <w:r w:rsidR="00490936">
        <w:rPr>
          <w:rFonts w:eastAsia="Malgun Gothic"/>
          <w:lang w:val="fr-FR"/>
        </w:rPr>
        <w:t> »</w:t>
      </w:r>
      <w:r w:rsidR="001E6B21">
        <w:rPr>
          <w:rFonts w:eastAsia="Malgun Gothic"/>
          <w:lang w:val="fr-FR"/>
        </w:rPr>
        <w:t xml:space="preserve"> </w:t>
      </w:r>
      <w:proofErr w:type="spellStart"/>
      <w:r w:rsidRPr="00B9028B">
        <w:rPr>
          <w:rFonts w:eastAsia="Malgun Gothic"/>
          <w:lang w:val="fr-FR"/>
        </w:rPr>
        <w:t>corrigenda</w:t>
      </w:r>
      <w:proofErr w:type="spellEnd"/>
      <w:r w:rsidRPr="00B9028B">
        <w:rPr>
          <w:rFonts w:eastAsia="Malgun Gothic"/>
          <w:lang w:val="fr-FR"/>
        </w:rPr>
        <w:t xml:space="preserve">. Cette </w:t>
      </w:r>
      <w:r w:rsidR="00490936">
        <w:rPr>
          <w:rFonts w:eastAsia="Malgun Gothic"/>
          <w:lang w:val="fr-FR"/>
        </w:rPr>
        <w:t>dix</w:t>
      </w:r>
      <w:r w:rsidR="00490936">
        <w:rPr>
          <w:rFonts w:eastAsia="Malgun Gothic"/>
          <w:lang w:val="fr-FR"/>
        </w:rPr>
        <w:noBreakHyphen/>
        <w:t>septième</w:t>
      </w:r>
      <w:r w:rsidRPr="00B9028B">
        <w:rPr>
          <w:rFonts w:eastAsia="Malgun Gothic"/>
          <w:lang w:val="fr-FR"/>
        </w:rPr>
        <w:t xml:space="preserve"> session s</w:t>
      </w:r>
      <w:r w:rsidR="00490936">
        <w:rPr>
          <w:rFonts w:eastAsia="Malgun Gothic"/>
          <w:lang w:val="fr-FR"/>
        </w:rPr>
        <w:t xml:space="preserve">e </w:t>
      </w:r>
      <w:r w:rsidRPr="00B9028B">
        <w:rPr>
          <w:rFonts w:eastAsia="Malgun Gothic"/>
          <w:lang w:val="fr-FR"/>
        </w:rPr>
        <w:t>déroul</w:t>
      </w:r>
      <w:r w:rsidR="00490936">
        <w:rPr>
          <w:rFonts w:eastAsia="Malgun Gothic"/>
          <w:lang w:val="fr-FR"/>
        </w:rPr>
        <w:t>ait</w:t>
      </w:r>
      <w:r w:rsidRPr="00B9028B">
        <w:rPr>
          <w:rFonts w:eastAsia="Malgun Gothic"/>
          <w:lang w:val="fr-FR"/>
        </w:rPr>
        <w:t xml:space="preserve"> sur </w:t>
      </w:r>
      <w:r w:rsidR="00490936">
        <w:rPr>
          <w:rFonts w:eastAsia="Malgun Gothic"/>
          <w:lang w:val="fr-FR"/>
        </w:rPr>
        <w:t>six</w:t>
      </w:r>
      <w:r w:rsidRPr="00B9028B">
        <w:rPr>
          <w:rFonts w:eastAsia="Malgun Gothic"/>
          <w:lang w:val="fr-FR"/>
        </w:rPr>
        <w:t xml:space="preserve"> jours. Le calendrier a</w:t>
      </w:r>
      <w:r w:rsidR="00490936">
        <w:rPr>
          <w:rFonts w:eastAsia="Malgun Gothic"/>
          <w:lang w:val="fr-FR"/>
        </w:rPr>
        <w:t>vait</w:t>
      </w:r>
      <w:r w:rsidRPr="00B9028B">
        <w:rPr>
          <w:rFonts w:eastAsia="Malgun Gothic"/>
          <w:lang w:val="fr-FR"/>
        </w:rPr>
        <w:t xml:space="preserve"> été adopté par le Bureau lors de sa réunion du 4</w:t>
      </w:r>
      <w:r w:rsidR="00490936">
        <w:rPr>
          <w:rFonts w:eastAsia="Malgun Gothic"/>
          <w:lang w:val="fr-FR"/>
        </w:rPr>
        <w:t> </w:t>
      </w:r>
      <w:r w:rsidRPr="00B9028B">
        <w:rPr>
          <w:rFonts w:eastAsia="Malgun Gothic"/>
          <w:lang w:val="fr-FR"/>
        </w:rPr>
        <w:t xml:space="preserve">octobre au </w:t>
      </w:r>
      <w:r w:rsidR="00490936">
        <w:rPr>
          <w:rFonts w:eastAsia="Malgun Gothic"/>
          <w:lang w:val="fr-FR"/>
        </w:rPr>
        <w:t>S</w:t>
      </w:r>
      <w:r w:rsidRPr="00B9028B">
        <w:rPr>
          <w:rFonts w:eastAsia="Malgun Gothic"/>
          <w:lang w:val="fr-FR"/>
        </w:rPr>
        <w:t>iège de l</w:t>
      </w:r>
      <w:r w:rsidR="00923E72">
        <w:rPr>
          <w:rFonts w:eastAsia="Malgun Gothic"/>
          <w:lang w:val="fr-FR"/>
        </w:rPr>
        <w:t>’</w:t>
      </w:r>
      <w:r w:rsidRPr="00B9028B">
        <w:rPr>
          <w:rFonts w:eastAsia="Malgun Gothic"/>
          <w:lang w:val="fr-FR"/>
        </w:rPr>
        <w:t>UNESCO. Les points ser</w:t>
      </w:r>
      <w:r w:rsidR="00490936">
        <w:rPr>
          <w:rFonts w:eastAsia="Malgun Gothic"/>
          <w:lang w:val="fr-FR"/>
        </w:rPr>
        <w:t>aie</w:t>
      </w:r>
      <w:r w:rsidRPr="00B9028B">
        <w:rPr>
          <w:rFonts w:eastAsia="Malgun Gothic"/>
          <w:lang w:val="fr-FR"/>
        </w:rPr>
        <w:t>nt discutés dans l</w:t>
      </w:r>
      <w:r w:rsidR="00923E72">
        <w:rPr>
          <w:rFonts w:eastAsia="Malgun Gothic"/>
          <w:lang w:val="fr-FR"/>
        </w:rPr>
        <w:t>’</w:t>
      </w:r>
      <w:r w:rsidRPr="00B9028B">
        <w:rPr>
          <w:rFonts w:eastAsia="Malgun Gothic"/>
          <w:lang w:val="fr-FR"/>
        </w:rPr>
        <w:t>ordre indiqué dans le calendrier et approuvé par le Bureau. Les sessions se déroul</w:t>
      </w:r>
      <w:r w:rsidR="00490936">
        <w:rPr>
          <w:rFonts w:eastAsia="Malgun Gothic"/>
          <w:lang w:val="fr-FR"/>
        </w:rPr>
        <w:t>aient</w:t>
      </w:r>
      <w:r w:rsidRPr="00B9028B">
        <w:rPr>
          <w:rFonts w:eastAsia="Malgun Gothic"/>
          <w:lang w:val="fr-FR"/>
        </w:rPr>
        <w:t xml:space="preserve"> de 9</w:t>
      </w:r>
      <w:r w:rsidR="0009450D">
        <w:rPr>
          <w:rFonts w:eastAsia="Malgun Gothic"/>
          <w:lang w:val="fr-FR"/>
        </w:rPr>
        <w:t> </w:t>
      </w:r>
      <w:r w:rsidRPr="00B9028B">
        <w:rPr>
          <w:rFonts w:eastAsia="Malgun Gothic"/>
          <w:lang w:val="fr-FR"/>
        </w:rPr>
        <w:t>h</w:t>
      </w:r>
      <w:r w:rsidR="0009450D">
        <w:rPr>
          <w:rFonts w:eastAsia="Malgun Gothic"/>
          <w:lang w:val="fr-FR"/>
        </w:rPr>
        <w:t> </w:t>
      </w:r>
      <w:r w:rsidRPr="00B9028B">
        <w:rPr>
          <w:rFonts w:eastAsia="Malgun Gothic"/>
          <w:lang w:val="fr-FR"/>
        </w:rPr>
        <w:t>30 à 12</w:t>
      </w:r>
      <w:r w:rsidR="0009450D">
        <w:rPr>
          <w:rFonts w:eastAsia="Malgun Gothic"/>
          <w:lang w:val="fr-FR"/>
        </w:rPr>
        <w:t> </w:t>
      </w:r>
      <w:r w:rsidRPr="00B9028B">
        <w:rPr>
          <w:rFonts w:eastAsia="Malgun Gothic"/>
          <w:lang w:val="fr-FR"/>
        </w:rPr>
        <w:t>h</w:t>
      </w:r>
      <w:r w:rsidR="0009450D">
        <w:rPr>
          <w:rFonts w:eastAsia="Malgun Gothic"/>
          <w:lang w:val="fr-FR"/>
        </w:rPr>
        <w:t> </w:t>
      </w:r>
      <w:r w:rsidRPr="00B9028B">
        <w:rPr>
          <w:rFonts w:eastAsia="Malgun Gothic"/>
          <w:lang w:val="fr-FR"/>
        </w:rPr>
        <w:t>30 et de 14</w:t>
      </w:r>
      <w:r w:rsidR="0009450D">
        <w:rPr>
          <w:rFonts w:eastAsia="Malgun Gothic"/>
          <w:lang w:val="fr-FR"/>
        </w:rPr>
        <w:t> </w:t>
      </w:r>
      <w:r w:rsidRPr="00B9028B">
        <w:rPr>
          <w:rFonts w:eastAsia="Malgun Gothic"/>
          <w:lang w:val="fr-FR"/>
        </w:rPr>
        <w:t>h</w:t>
      </w:r>
      <w:r w:rsidR="0009450D">
        <w:rPr>
          <w:rFonts w:eastAsia="Malgun Gothic"/>
          <w:lang w:val="fr-FR"/>
        </w:rPr>
        <w:t> </w:t>
      </w:r>
      <w:r w:rsidRPr="00B9028B">
        <w:rPr>
          <w:rFonts w:eastAsia="Malgun Gothic"/>
          <w:lang w:val="fr-FR"/>
        </w:rPr>
        <w:t>30 à 17</w:t>
      </w:r>
      <w:r w:rsidR="0009450D">
        <w:rPr>
          <w:rFonts w:eastAsia="Malgun Gothic"/>
          <w:lang w:val="fr-FR"/>
        </w:rPr>
        <w:t> </w:t>
      </w:r>
      <w:r w:rsidRPr="00B9028B">
        <w:rPr>
          <w:rFonts w:eastAsia="Malgun Gothic"/>
          <w:lang w:val="fr-FR"/>
        </w:rPr>
        <w:t>h</w:t>
      </w:r>
      <w:r w:rsidR="0009450D">
        <w:rPr>
          <w:rFonts w:eastAsia="Malgun Gothic"/>
          <w:lang w:val="fr-FR"/>
        </w:rPr>
        <w:t> </w:t>
      </w:r>
      <w:r w:rsidRPr="00B9028B">
        <w:rPr>
          <w:rFonts w:eastAsia="Malgun Gothic"/>
          <w:lang w:val="fr-FR"/>
        </w:rPr>
        <w:t xml:space="preserve">30, avec une pause déjeuner de </w:t>
      </w:r>
      <w:r w:rsidR="0009450D">
        <w:rPr>
          <w:rFonts w:eastAsia="Malgun Gothic"/>
          <w:lang w:val="fr-FR"/>
        </w:rPr>
        <w:t>deux</w:t>
      </w:r>
      <w:r w:rsidRPr="00B9028B">
        <w:rPr>
          <w:rFonts w:eastAsia="Malgun Gothic"/>
          <w:lang w:val="fr-FR"/>
        </w:rPr>
        <w:t xml:space="preserve"> heures et aucune s</w:t>
      </w:r>
      <w:r w:rsidR="0009450D">
        <w:rPr>
          <w:rFonts w:eastAsia="Malgun Gothic"/>
          <w:lang w:val="fr-FR"/>
        </w:rPr>
        <w:t>éance</w:t>
      </w:r>
      <w:r w:rsidRPr="00B9028B">
        <w:rPr>
          <w:rFonts w:eastAsia="Malgun Gothic"/>
          <w:lang w:val="fr-FR"/>
        </w:rPr>
        <w:t xml:space="preserve"> </w:t>
      </w:r>
      <w:r w:rsidR="0009450D">
        <w:rPr>
          <w:rFonts w:eastAsia="Malgun Gothic"/>
          <w:lang w:val="fr-FR"/>
        </w:rPr>
        <w:t>nocturne</w:t>
      </w:r>
      <w:r w:rsidRPr="00B9028B">
        <w:rPr>
          <w:rFonts w:eastAsia="Malgun Gothic"/>
          <w:lang w:val="fr-FR"/>
        </w:rPr>
        <w:t xml:space="preserve">. Le Comité </w:t>
      </w:r>
      <w:r w:rsidR="00490936">
        <w:rPr>
          <w:rFonts w:eastAsia="Malgun Gothic"/>
          <w:lang w:val="fr-FR"/>
        </w:rPr>
        <w:t>était</w:t>
      </w:r>
      <w:r w:rsidRPr="00B9028B">
        <w:rPr>
          <w:rFonts w:eastAsia="Malgun Gothic"/>
          <w:lang w:val="fr-FR"/>
        </w:rPr>
        <w:t xml:space="preserve"> invité à adopter l</w:t>
      </w:r>
      <w:r w:rsidR="00923E72">
        <w:rPr>
          <w:rFonts w:eastAsia="Malgun Gothic"/>
          <w:lang w:val="fr-FR"/>
        </w:rPr>
        <w:t>’</w:t>
      </w:r>
      <w:r w:rsidRPr="00B9028B">
        <w:rPr>
          <w:rFonts w:eastAsia="Malgun Gothic"/>
          <w:lang w:val="fr-FR"/>
        </w:rPr>
        <w:t>ordre du jour, et non le calendrier</w:t>
      </w:r>
      <w:r w:rsidR="004F368D">
        <w:rPr>
          <w:rFonts w:eastAsia="Malgun Gothic"/>
          <w:lang w:val="fr-FR"/>
        </w:rPr>
        <w:t>,</w:t>
      </w:r>
      <w:r w:rsidRPr="00B9028B">
        <w:rPr>
          <w:rFonts w:eastAsia="Malgun Gothic"/>
          <w:lang w:val="fr-FR"/>
        </w:rPr>
        <w:t xml:space="preserve"> qui sera</w:t>
      </w:r>
      <w:r w:rsidR="00490936">
        <w:rPr>
          <w:rFonts w:eastAsia="Malgun Gothic"/>
          <w:lang w:val="fr-FR"/>
        </w:rPr>
        <w:t>it</w:t>
      </w:r>
      <w:r w:rsidRPr="00B9028B">
        <w:rPr>
          <w:rFonts w:eastAsia="Malgun Gothic"/>
          <w:lang w:val="fr-FR"/>
        </w:rPr>
        <w:t xml:space="preserve"> ajusté, le cas échéant, par le Bureau lors de sa session quotidienne du matin</w:t>
      </w:r>
      <w:r w:rsidR="000E16C7">
        <w:rPr>
          <w:rFonts w:eastAsia="Malgun Gothic"/>
          <w:lang w:val="fr-FR"/>
        </w:rPr>
        <w:t xml:space="preserve">, </w:t>
      </w:r>
      <w:r w:rsidRPr="00B9028B">
        <w:rPr>
          <w:rFonts w:eastAsia="Malgun Gothic"/>
          <w:lang w:val="fr-FR"/>
        </w:rPr>
        <w:t>ouverte aux observateurs. Une série d</w:t>
      </w:r>
      <w:r w:rsidR="00923E72">
        <w:rPr>
          <w:rFonts w:eastAsia="Malgun Gothic"/>
          <w:lang w:val="fr-FR"/>
        </w:rPr>
        <w:t>’</w:t>
      </w:r>
      <w:r w:rsidRPr="00B9028B">
        <w:rPr>
          <w:rFonts w:eastAsia="Malgun Gothic"/>
          <w:lang w:val="fr-FR"/>
        </w:rPr>
        <w:t>événements parallèles</w:t>
      </w:r>
      <w:r w:rsidR="00490936">
        <w:rPr>
          <w:rFonts w:eastAsia="Malgun Gothic"/>
          <w:lang w:val="fr-FR"/>
        </w:rPr>
        <w:t xml:space="preserve"> avaient été </w:t>
      </w:r>
      <w:r w:rsidRPr="00B9028B">
        <w:rPr>
          <w:rFonts w:eastAsia="Malgun Gothic"/>
          <w:lang w:val="fr-FR"/>
        </w:rPr>
        <w:t>organisé</w:t>
      </w:r>
      <w:r w:rsidR="00490936">
        <w:rPr>
          <w:rFonts w:eastAsia="Malgun Gothic"/>
          <w:lang w:val="fr-FR"/>
        </w:rPr>
        <w:t xml:space="preserve">s, notamment des </w:t>
      </w:r>
      <w:r w:rsidRPr="00B9028B">
        <w:rPr>
          <w:rFonts w:eastAsia="Malgun Gothic"/>
          <w:lang w:val="fr-FR"/>
        </w:rPr>
        <w:t>expositions, spectacles, séminaires, tables rondes, etc. Une conférence de presse se tiendra</w:t>
      </w:r>
      <w:r w:rsidR="0009450D">
        <w:rPr>
          <w:rFonts w:eastAsia="Malgun Gothic"/>
          <w:lang w:val="fr-FR"/>
        </w:rPr>
        <w:t>it</w:t>
      </w:r>
      <w:r w:rsidRPr="00B9028B">
        <w:rPr>
          <w:rFonts w:eastAsia="Malgun Gothic"/>
          <w:lang w:val="fr-FR"/>
        </w:rPr>
        <w:t xml:space="preserve"> </w:t>
      </w:r>
      <w:r w:rsidR="00D262A6">
        <w:rPr>
          <w:rFonts w:eastAsia="Malgun Gothic"/>
          <w:lang w:val="fr-FR"/>
        </w:rPr>
        <w:t xml:space="preserve">plus tard </w:t>
      </w:r>
      <w:r w:rsidRPr="00B9028B">
        <w:rPr>
          <w:rFonts w:eastAsia="Malgun Gothic"/>
          <w:lang w:val="fr-FR"/>
        </w:rPr>
        <w:t>pendant la pause déjeuner.</w:t>
      </w:r>
    </w:p>
    <w:p w14:paraId="17508D20" w14:textId="09AAA269" w:rsidR="0009450D" w:rsidRDefault="0009450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09450D">
        <w:rPr>
          <w:rFonts w:eastAsia="Malgun Gothic"/>
          <w:lang w:val="fr-FR"/>
        </w:rPr>
        <w:t xml:space="preserve">Le </w:t>
      </w:r>
      <w:r w:rsidRPr="0009450D">
        <w:rPr>
          <w:rFonts w:eastAsia="Malgun Gothic"/>
          <w:b/>
          <w:bCs/>
          <w:lang w:val="fr-FR"/>
        </w:rPr>
        <w:t>Président</w:t>
      </w:r>
      <w:r w:rsidRPr="0009450D">
        <w:rPr>
          <w:rFonts w:eastAsia="Malgun Gothic"/>
          <w:lang w:val="fr-FR"/>
        </w:rPr>
        <w:t xml:space="preserve"> </w:t>
      </w:r>
      <w:r>
        <w:rPr>
          <w:rFonts w:eastAsia="Malgun Gothic"/>
          <w:lang w:val="fr-FR"/>
        </w:rPr>
        <w:t xml:space="preserve">a </w:t>
      </w:r>
      <w:r w:rsidRPr="0009450D">
        <w:rPr>
          <w:rFonts w:eastAsia="Malgun Gothic"/>
          <w:lang w:val="fr-FR"/>
        </w:rPr>
        <w:t>expliqu</w:t>
      </w:r>
      <w:r>
        <w:rPr>
          <w:rFonts w:eastAsia="Malgun Gothic"/>
          <w:lang w:val="fr-FR"/>
        </w:rPr>
        <w:t>é</w:t>
      </w:r>
      <w:r w:rsidRPr="0009450D">
        <w:rPr>
          <w:rFonts w:eastAsia="Malgun Gothic"/>
          <w:lang w:val="fr-FR"/>
        </w:rPr>
        <w:t xml:space="preserve"> comment les débats </w:t>
      </w:r>
      <w:r w:rsidR="00D262A6">
        <w:rPr>
          <w:rFonts w:eastAsia="Malgun Gothic"/>
          <w:lang w:val="fr-FR"/>
        </w:rPr>
        <w:t xml:space="preserve">seraient structurés </w:t>
      </w:r>
      <w:r w:rsidRPr="0009450D">
        <w:rPr>
          <w:rFonts w:eastAsia="Malgun Gothic"/>
          <w:lang w:val="fr-FR"/>
        </w:rPr>
        <w:t xml:space="preserve">au cours des six prochains jours. Compte tenu du calendrier serré et du nombre de points, il </w:t>
      </w:r>
      <w:r w:rsidR="0082599A">
        <w:rPr>
          <w:rFonts w:eastAsia="Malgun Gothic"/>
          <w:lang w:val="fr-FR"/>
        </w:rPr>
        <w:t xml:space="preserve">a </w:t>
      </w:r>
      <w:r w:rsidRPr="0009450D">
        <w:rPr>
          <w:rFonts w:eastAsia="Malgun Gothic"/>
          <w:lang w:val="fr-FR"/>
        </w:rPr>
        <w:t>demand</w:t>
      </w:r>
      <w:r w:rsidR="0082599A">
        <w:rPr>
          <w:rFonts w:eastAsia="Malgun Gothic"/>
          <w:lang w:val="fr-FR"/>
        </w:rPr>
        <w:t>é</w:t>
      </w:r>
      <w:r w:rsidRPr="0009450D">
        <w:rPr>
          <w:rFonts w:eastAsia="Malgun Gothic"/>
          <w:lang w:val="fr-FR"/>
        </w:rPr>
        <w:t xml:space="preserve"> aux membres d</w:t>
      </w:r>
      <w:r w:rsidR="0082599A">
        <w:rPr>
          <w:rFonts w:eastAsia="Malgun Gothic"/>
          <w:lang w:val="fr-FR"/>
        </w:rPr>
        <w:t xml:space="preserve">u Comité </w:t>
      </w:r>
      <w:r w:rsidRPr="0009450D">
        <w:rPr>
          <w:rFonts w:eastAsia="Malgun Gothic"/>
          <w:lang w:val="fr-FR"/>
        </w:rPr>
        <w:t>de limiter leur temps de parole à deux minutes, avec un maximum de deux interventions par point, si possible. Les amendements aux projets de décision p</w:t>
      </w:r>
      <w:r w:rsidR="0082599A">
        <w:rPr>
          <w:rFonts w:eastAsia="Malgun Gothic"/>
          <w:lang w:val="fr-FR"/>
        </w:rPr>
        <w:t>ouvaient</w:t>
      </w:r>
      <w:r w:rsidRPr="0009450D">
        <w:rPr>
          <w:rFonts w:eastAsia="Malgun Gothic"/>
          <w:lang w:val="fr-FR"/>
        </w:rPr>
        <w:t xml:space="preserve"> être soumis par courrier électronique à l</w:t>
      </w:r>
      <w:r w:rsidR="00923E72">
        <w:rPr>
          <w:rFonts w:eastAsia="Malgun Gothic"/>
          <w:lang w:val="fr-FR"/>
        </w:rPr>
        <w:t>’</w:t>
      </w:r>
      <w:r w:rsidRPr="0009450D">
        <w:rPr>
          <w:rFonts w:eastAsia="Malgun Gothic"/>
          <w:lang w:val="fr-FR"/>
        </w:rPr>
        <w:t xml:space="preserve">aide du formulaire prévu à cet effet. Une fois la décision </w:t>
      </w:r>
      <w:r w:rsidRPr="0009450D">
        <w:rPr>
          <w:rFonts w:eastAsia="Malgun Gothic"/>
          <w:lang w:val="fr-FR"/>
        </w:rPr>
        <w:lastRenderedPageBreak/>
        <w:t>adoptée, si le temps le permet</w:t>
      </w:r>
      <w:r w:rsidR="0082599A">
        <w:rPr>
          <w:rFonts w:eastAsia="Malgun Gothic"/>
          <w:lang w:val="fr-FR"/>
        </w:rPr>
        <w:t>tait</w:t>
      </w:r>
      <w:r w:rsidRPr="0009450D">
        <w:rPr>
          <w:rFonts w:eastAsia="Malgun Gothic"/>
          <w:lang w:val="fr-FR"/>
        </w:rPr>
        <w:t>, les observateurs pourr</w:t>
      </w:r>
      <w:r w:rsidR="0082599A">
        <w:rPr>
          <w:rFonts w:eastAsia="Malgun Gothic"/>
          <w:lang w:val="fr-FR"/>
        </w:rPr>
        <w:t>aie</w:t>
      </w:r>
      <w:r w:rsidRPr="0009450D">
        <w:rPr>
          <w:rFonts w:eastAsia="Malgun Gothic"/>
          <w:lang w:val="fr-FR"/>
        </w:rPr>
        <w:t>nt prendre la parole à la fin de la discussion sur chaque point. Toutefois, seuls les membres du Comité p</w:t>
      </w:r>
      <w:r w:rsidR="0082599A">
        <w:rPr>
          <w:rFonts w:eastAsia="Malgun Gothic"/>
          <w:lang w:val="fr-FR"/>
        </w:rPr>
        <w:t>ouvaient</w:t>
      </w:r>
      <w:r w:rsidRPr="0009450D">
        <w:rPr>
          <w:rFonts w:eastAsia="Malgun Gothic"/>
          <w:lang w:val="fr-FR"/>
        </w:rPr>
        <w:t xml:space="preserve"> prendre la parole lors des débats sur les projets de décision. </w:t>
      </w:r>
      <w:r w:rsidR="0082599A">
        <w:rPr>
          <w:rFonts w:eastAsia="Malgun Gothic"/>
          <w:lang w:val="fr-FR"/>
        </w:rPr>
        <w:t>S</w:t>
      </w:r>
      <w:r w:rsidR="00923E72">
        <w:rPr>
          <w:rFonts w:eastAsia="Malgun Gothic"/>
          <w:lang w:val="fr-FR"/>
        </w:rPr>
        <w:t>’</w:t>
      </w:r>
      <w:r w:rsidR="0082599A">
        <w:rPr>
          <w:rFonts w:eastAsia="Malgun Gothic"/>
          <w:lang w:val="fr-FR"/>
        </w:rPr>
        <w:t>agissant du</w:t>
      </w:r>
      <w:r w:rsidRPr="0009450D">
        <w:rPr>
          <w:rFonts w:eastAsia="Malgun Gothic"/>
          <w:lang w:val="fr-FR"/>
        </w:rPr>
        <w:t xml:space="preserve"> point</w:t>
      </w:r>
      <w:r w:rsidR="0082599A">
        <w:rPr>
          <w:rFonts w:eastAsia="Malgun Gothic"/>
          <w:lang w:val="fr-FR"/>
        </w:rPr>
        <w:t> </w:t>
      </w:r>
      <w:r w:rsidRPr="0009450D">
        <w:rPr>
          <w:rFonts w:eastAsia="Malgun Gothic"/>
          <w:lang w:val="fr-FR"/>
        </w:rPr>
        <w:t>7 de l</w:t>
      </w:r>
      <w:r w:rsidR="00923E72">
        <w:rPr>
          <w:rFonts w:eastAsia="Malgun Gothic"/>
          <w:lang w:val="fr-FR"/>
        </w:rPr>
        <w:t>’</w:t>
      </w:r>
      <w:r w:rsidRPr="0009450D">
        <w:rPr>
          <w:rFonts w:eastAsia="Malgun Gothic"/>
          <w:lang w:val="fr-FR"/>
        </w:rPr>
        <w:t>ordre du jour</w:t>
      </w:r>
      <w:r w:rsidR="00D262A6">
        <w:rPr>
          <w:rFonts w:eastAsia="Malgun Gothic"/>
          <w:lang w:val="fr-FR"/>
        </w:rPr>
        <w:t xml:space="preserve">, un point </w:t>
      </w:r>
      <w:r w:rsidRPr="0009450D">
        <w:rPr>
          <w:rFonts w:eastAsia="Malgun Gothic"/>
          <w:lang w:val="fr-FR"/>
        </w:rPr>
        <w:t xml:space="preserve">extrêmement important pour tout le monde, le Secrétariat avait </w:t>
      </w:r>
      <w:r w:rsidR="00D262A6">
        <w:rPr>
          <w:rFonts w:eastAsia="Malgun Gothic"/>
          <w:lang w:val="fr-FR"/>
        </w:rPr>
        <w:t xml:space="preserve">prévu de </w:t>
      </w:r>
      <w:r w:rsidRPr="0009450D">
        <w:rPr>
          <w:rFonts w:eastAsia="Malgun Gothic"/>
          <w:lang w:val="fr-FR"/>
        </w:rPr>
        <w:t>consacr</w:t>
      </w:r>
      <w:r w:rsidR="00D262A6">
        <w:rPr>
          <w:rFonts w:eastAsia="Malgun Gothic"/>
          <w:lang w:val="fr-FR"/>
        </w:rPr>
        <w:t>er</w:t>
      </w:r>
      <w:r w:rsidRPr="0009450D">
        <w:rPr>
          <w:rFonts w:eastAsia="Malgun Gothic"/>
          <w:lang w:val="fr-FR"/>
        </w:rPr>
        <w:t xml:space="preserve"> </w:t>
      </w:r>
      <w:r w:rsidR="00D262A6">
        <w:rPr>
          <w:rFonts w:eastAsia="Malgun Gothic"/>
          <w:lang w:val="fr-FR"/>
        </w:rPr>
        <w:t xml:space="preserve">suffisamment de temps pour le </w:t>
      </w:r>
      <w:r w:rsidRPr="0009450D">
        <w:rPr>
          <w:rFonts w:eastAsia="Malgun Gothic"/>
          <w:lang w:val="fr-FR"/>
        </w:rPr>
        <w:t>rapport de l</w:t>
      </w:r>
      <w:r w:rsidR="00923E72">
        <w:rPr>
          <w:rFonts w:eastAsia="Malgun Gothic"/>
          <w:lang w:val="fr-FR"/>
        </w:rPr>
        <w:t>’</w:t>
      </w:r>
      <w:r w:rsidRPr="0009450D">
        <w:rPr>
          <w:rFonts w:eastAsia="Malgun Gothic"/>
          <w:lang w:val="fr-FR"/>
        </w:rPr>
        <w:t>Organe d</w:t>
      </w:r>
      <w:r w:rsidR="00923E72">
        <w:rPr>
          <w:rFonts w:eastAsia="Malgun Gothic"/>
          <w:lang w:val="fr-FR"/>
        </w:rPr>
        <w:t>’</w:t>
      </w:r>
      <w:r w:rsidRPr="0009450D">
        <w:rPr>
          <w:rFonts w:eastAsia="Malgun Gothic"/>
          <w:lang w:val="fr-FR"/>
        </w:rPr>
        <w:t>évaluation et, en particulier,</w:t>
      </w:r>
      <w:r w:rsidR="000E16C7">
        <w:rPr>
          <w:rFonts w:eastAsia="Malgun Gothic"/>
          <w:lang w:val="fr-FR"/>
        </w:rPr>
        <w:t xml:space="preserve"> </w:t>
      </w:r>
      <w:r w:rsidR="00D262A6">
        <w:rPr>
          <w:rFonts w:eastAsia="Malgun Gothic"/>
          <w:lang w:val="fr-FR"/>
        </w:rPr>
        <w:t>les</w:t>
      </w:r>
      <w:r w:rsidRPr="0009450D">
        <w:rPr>
          <w:rFonts w:eastAsia="Malgun Gothic"/>
          <w:lang w:val="fr-FR"/>
        </w:rPr>
        <w:t xml:space="preserve"> points</w:t>
      </w:r>
      <w:r w:rsidR="0073323E">
        <w:rPr>
          <w:rFonts w:eastAsia="Malgun Gothic"/>
          <w:lang w:val="fr-FR"/>
        </w:rPr>
        <w:t> </w:t>
      </w:r>
      <w:r w:rsidRPr="0009450D">
        <w:rPr>
          <w:rFonts w:eastAsia="Malgun Gothic"/>
          <w:lang w:val="fr-FR"/>
        </w:rPr>
        <w:t>7.a,</w:t>
      </w:r>
      <w:r w:rsidR="002B668C">
        <w:rPr>
          <w:rFonts w:eastAsia="Malgun Gothic"/>
          <w:lang w:val="fr-FR"/>
        </w:rPr>
        <w:t> </w:t>
      </w:r>
      <w:r w:rsidRPr="0009450D">
        <w:rPr>
          <w:rFonts w:eastAsia="Malgun Gothic"/>
          <w:lang w:val="fr-FR"/>
        </w:rPr>
        <w:t>7.b,</w:t>
      </w:r>
      <w:r w:rsidR="002B668C">
        <w:rPr>
          <w:rFonts w:eastAsia="Malgun Gothic"/>
          <w:lang w:val="fr-FR"/>
        </w:rPr>
        <w:t> </w:t>
      </w:r>
      <w:r w:rsidRPr="0009450D">
        <w:rPr>
          <w:rFonts w:eastAsia="Malgun Gothic"/>
          <w:lang w:val="fr-FR"/>
        </w:rPr>
        <w:t>7.c et</w:t>
      </w:r>
      <w:r w:rsidR="002B668C">
        <w:rPr>
          <w:rFonts w:eastAsia="Malgun Gothic"/>
          <w:lang w:val="fr-FR"/>
        </w:rPr>
        <w:t> </w:t>
      </w:r>
      <w:r w:rsidRPr="0009450D">
        <w:rPr>
          <w:rFonts w:eastAsia="Malgun Gothic"/>
          <w:lang w:val="fr-FR"/>
        </w:rPr>
        <w:t>7.d. Au total, le Comité examinera</w:t>
      </w:r>
      <w:r w:rsidR="0082599A">
        <w:rPr>
          <w:rFonts w:eastAsia="Malgun Gothic"/>
          <w:lang w:val="fr-FR"/>
        </w:rPr>
        <w:t>it</w:t>
      </w:r>
      <w:r w:rsidRPr="0009450D">
        <w:rPr>
          <w:rFonts w:eastAsia="Malgun Gothic"/>
          <w:lang w:val="fr-FR"/>
        </w:rPr>
        <w:t xml:space="preserve"> </w:t>
      </w:r>
      <w:r w:rsidR="00D262A6">
        <w:rPr>
          <w:rFonts w:eastAsia="Malgun Gothic"/>
          <w:lang w:val="fr-FR"/>
        </w:rPr>
        <w:t>cinquante</w:t>
      </w:r>
      <w:r w:rsidR="000E16C7">
        <w:rPr>
          <w:rFonts w:eastAsia="Malgun Gothic"/>
          <w:lang w:val="fr-FR"/>
        </w:rPr>
        <w:noBreakHyphen/>
      </w:r>
      <w:r w:rsidR="00D262A6">
        <w:rPr>
          <w:rFonts w:eastAsia="Malgun Gothic"/>
          <w:lang w:val="fr-FR"/>
        </w:rPr>
        <w:t>quatre</w:t>
      </w:r>
      <w:r w:rsidRPr="0009450D">
        <w:rPr>
          <w:rFonts w:eastAsia="Malgun Gothic"/>
          <w:lang w:val="fr-FR"/>
        </w:rPr>
        <w:t xml:space="preserve"> dossiers en environ treize heures, </w:t>
      </w:r>
      <w:r w:rsidR="00F61E1F">
        <w:rPr>
          <w:rFonts w:eastAsia="Malgun Gothic"/>
          <w:lang w:val="fr-FR"/>
        </w:rPr>
        <w:t xml:space="preserve">une tâche </w:t>
      </w:r>
      <w:r w:rsidRPr="0009450D">
        <w:rPr>
          <w:rFonts w:eastAsia="Malgun Gothic"/>
          <w:lang w:val="fr-FR"/>
        </w:rPr>
        <w:t>qui débuter</w:t>
      </w:r>
      <w:r w:rsidR="00F61E1F">
        <w:rPr>
          <w:rFonts w:eastAsia="Malgun Gothic"/>
          <w:lang w:val="fr-FR"/>
        </w:rPr>
        <w:t>ait</w:t>
      </w:r>
      <w:r w:rsidRPr="0009450D">
        <w:rPr>
          <w:rFonts w:eastAsia="Malgun Gothic"/>
          <w:lang w:val="fr-FR"/>
        </w:rPr>
        <w:t xml:space="preserve"> dans l</w:t>
      </w:r>
      <w:r w:rsidR="00923E72">
        <w:rPr>
          <w:rFonts w:eastAsia="Malgun Gothic"/>
          <w:lang w:val="fr-FR"/>
        </w:rPr>
        <w:t>’</w:t>
      </w:r>
      <w:r w:rsidRPr="0009450D">
        <w:rPr>
          <w:rFonts w:eastAsia="Malgun Gothic"/>
          <w:lang w:val="fr-FR"/>
        </w:rPr>
        <w:t>après-midi du mardi</w:t>
      </w:r>
      <w:r w:rsidR="00F61E1F">
        <w:rPr>
          <w:rFonts w:eastAsia="Malgun Gothic"/>
          <w:lang w:val="fr-FR"/>
        </w:rPr>
        <w:t> </w:t>
      </w:r>
      <w:r w:rsidRPr="0009450D">
        <w:rPr>
          <w:rFonts w:eastAsia="Malgun Gothic"/>
          <w:lang w:val="fr-FR"/>
        </w:rPr>
        <w:t>29</w:t>
      </w:r>
      <w:r w:rsidR="0082599A">
        <w:rPr>
          <w:rFonts w:eastAsia="Malgun Gothic"/>
          <w:lang w:val="fr-FR"/>
        </w:rPr>
        <w:t> </w:t>
      </w:r>
      <w:r w:rsidRPr="0009450D">
        <w:rPr>
          <w:rFonts w:eastAsia="Malgun Gothic"/>
          <w:lang w:val="fr-FR"/>
        </w:rPr>
        <w:t xml:space="preserve">novembre </w:t>
      </w:r>
      <w:r w:rsidR="00F61E1F">
        <w:rPr>
          <w:rFonts w:eastAsia="Malgun Gothic"/>
          <w:lang w:val="fr-FR"/>
        </w:rPr>
        <w:t xml:space="preserve">et se poursuivrait </w:t>
      </w:r>
      <w:r w:rsidRPr="0009450D">
        <w:rPr>
          <w:rFonts w:eastAsia="Malgun Gothic"/>
          <w:lang w:val="fr-FR"/>
        </w:rPr>
        <w:t>jusqu</w:t>
      </w:r>
      <w:r w:rsidR="00923E72">
        <w:rPr>
          <w:rFonts w:eastAsia="Malgun Gothic"/>
          <w:lang w:val="fr-FR"/>
        </w:rPr>
        <w:t>’</w:t>
      </w:r>
      <w:r w:rsidR="00F61E1F">
        <w:rPr>
          <w:rFonts w:eastAsia="Malgun Gothic"/>
          <w:lang w:val="fr-FR"/>
        </w:rPr>
        <w:t xml:space="preserve">au </w:t>
      </w:r>
      <w:r w:rsidR="0082599A">
        <w:rPr>
          <w:rFonts w:eastAsia="Malgun Gothic"/>
          <w:lang w:val="fr-FR"/>
        </w:rPr>
        <w:t>1</w:t>
      </w:r>
      <w:r w:rsidR="0082599A" w:rsidRPr="0082599A">
        <w:rPr>
          <w:rFonts w:eastAsia="Malgun Gothic"/>
          <w:vertAlign w:val="superscript"/>
          <w:lang w:val="fr-FR"/>
        </w:rPr>
        <w:t>er</w:t>
      </w:r>
      <w:r w:rsidR="0082599A">
        <w:rPr>
          <w:rFonts w:eastAsia="Malgun Gothic"/>
          <w:lang w:val="fr-FR"/>
        </w:rPr>
        <w:t> </w:t>
      </w:r>
      <w:r w:rsidRPr="0009450D">
        <w:rPr>
          <w:rFonts w:eastAsia="Malgun Gothic"/>
          <w:lang w:val="fr-FR"/>
        </w:rPr>
        <w:t>décembre</w:t>
      </w:r>
      <w:r w:rsidR="00F61E1F">
        <w:rPr>
          <w:rFonts w:eastAsia="Malgun Gothic"/>
          <w:lang w:val="fr-FR"/>
        </w:rPr>
        <w:t xml:space="preserve"> en fin de journée</w:t>
      </w:r>
      <w:r w:rsidRPr="0009450D">
        <w:rPr>
          <w:rFonts w:eastAsia="Malgun Gothic"/>
          <w:lang w:val="fr-FR"/>
        </w:rPr>
        <w:t>. Afin de respecter le</w:t>
      </w:r>
      <w:r w:rsidR="00D262A6">
        <w:rPr>
          <w:rFonts w:eastAsia="Malgun Gothic"/>
          <w:lang w:val="fr-FR"/>
        </w:rPr>
        <w:t xml:space="preserve"> calendrier</w:t>
      </w:r>
      <w:r w:rsidRPr="0009450D">
        <w:rPr>
          <w:rFonts w:eastAsia="Malgun Gothic"/>
          <w:lang w:val="fr-FR"/>
        </w:rPr>
        <w:t xml:space="preserve">, </w:t>
      </w:r>
      <w:r w:rsidR="00D262A6">
        <w:rPr>
          <w:rFonts w:eastAsia="Malgun Gothic"/>
          <w:lang w:val="fr-FR"/>
        </w:rPr>
        <w:t>une durée n</w:t>
      </w:r>
      <w:r w:rsidR="00923E72">
        <w:rPr>
          <w:rFonts w:eastAsia="Malgun Gothic"/>
          <w:lang w:val="fr-FR"/>
        </w:rPr>
        <w:t>’</w:t>
      </w:r>
      <w:r w:rsidR="00D262A6">
        <w:rPr>
          <w:rFonts w:eastAsia="Malgun Gothic"/>
          <w:lang w:val="fr-FR"/>
        </w:rPr>
        <w:t>excédant pas</w:t>
      </w:r>
      <w:r w:rsidRPr="0009450D">
        <w:rPr>
          <w:rFonts w:eastAsia="Malgun Gothic"/>
          <w:lang w:val="fr-FR"/>
        </w:rPr>
        <w:t xml:space="preserve"> dix minutes </w:t>
      </w:r>
      <w:r w:rsidR="00D262A6">
        <w:rPr>
          <w:rFonts w:eastAsia="Malgun Gothic"/>
          <w:lang w:val="fr-FR"/>
        </w:rPr>
        <w:t>serait consacrée à chaque</w:t>
      </w:r>
      <w:r w:rsidRPr="0009450D">
        <w:rPr>
          <w:rFonts w:eastAsia="Malgun Gothic"/>
          <w:lang w:val="fr-FR"/>
        </w:rPr>
        <w:t xml:space="preserve"> dossier en moyenne. En raison du peu de temps consacré à chaque dossier, </w:t>
      </w:r>
      <w:r w:rsidR="00D262A6">
        <w:rPr>
          <w:rFonts w:eastAsia="Malgun Gothic"/>
          <w:lang w:val="fr-FR"/>
        </w:rPr>
        <w:t>il était demandé au</w:t>
      </w:r>
      <w:r w:rsidRPr="0009450D">
        <w:rPr>
          <w:rFonts w:eastAsia="Malgun Gothic"/>
          <w:lang w:val="fr-FR"/>
        </w:rPr>
        <w:t xml:space="preserve"> Comité </w:t>
      </w:r>
      <w:r w:rsidR="00D262A6">
        <w:rPr>
          <w:rFonts w:eastAsia="Malgun Gothic"/>
          <w:lang w:val="fr-FR"/>
        </w:rPr>
        <w:t>d</w:t>
      </w:r>
      <w:r w:rsidR="00923E72">
        <w:rPr>
          <w:rFonts w:eastAsia="Malgun Gothic"/>
          <w:lang w:val="fr-FR"/>
        </w:rPr>
        <w:t>’</w:t>
      </w:r>
      <w:r w:rsidRPr="0009450D">
        <w:rPr>
          <w:rFonts w:eastAsia="Malgun Gothic"/>
          <w:lang w:val="fr-FR"/>
        </w:rPr>
        <w:t>adopter la méthode de travail des années précédentes.</w:t>
      </w:r>
    </w:p>
    <w:p w14:paraId="4826187C" w14:textId="1552B790" w:rsidR="00713A4E" w:rsidRDefault="00713A4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713A4E">
        <w:rPr>
          <w:rFonts w:eastAsia="Malgun Gothic"/>
          <w:lang w:val="fr-FR"/>
        </w:rPr>
        <w:t xml:space="preserve">Le </w:t>
      </w:r>
      <w:r w:rsidRPr="00713A4E">
        <w:rPr>
          <w:rFonts w:eastAsia="Malgun Gothic"/>
          <w:b/>
          <w:bCs/>
          <w:lang w:val="fr-FR"/>
        </w:rPr>
        <w:t>Président</w:t>
      </w:r>
      <w:r w:rsidRPr="00713A4E">
        <w:rPr>
          <w:rFonts w:eastAsia="Malgun Gothic"/>
          <w:lang w:val="fr-FR"/>
        </w:rPr>
        <w:t xml:space="preserve"> </w:t>
      </w:r>
      <w:r>
        <w:rPr>
          <w:rFonts w:eastAsia="Malgun Gothic"/>
          <w:lang w:val="fr-FR"/>
        </w:rPr>
        <w:t xml:space="preserve">a </w:t>
      </w:r>
      <w:r w:rsidRPr="00713A4E">
        <w:rPr>
          <w:rFonts w:eastAsia="Malgun Gothic"/>
          <w:lang w:val="fr-FR"/>
        </w:rPr>
        <w:t>expliqu</w:t>
      </w:r>
      <w:r>
        <w:rPr>
          <w:rFonts w:eastAsia="Malgun Gothic"/>
          <w:lang w:val="fr-FR"/>
        </w:rPr>
        <w:t>é</w:t>
      </w:r>
      <w:r w:rsidRPr="00713A4E">
        <w:rPr>
          <w:rFonts w:eastAsia="Malgun Gothic"/>
          <w:lang w:val="fr-FR"/>
        </w:rPr>
        <w:t xml:space="preserve"> que toutes les décisions relatives aux candidatur</w:t>
      </w:r>
      <w:r>
        <w:rPr>
          <w:rFonts w:eastAsia="Malgun Gothic"/>
          <w:lang w:val="fr-FR"/>
        </w:rPr>
        <w:t xml:space="preserve">es pour </w:t>
      </w:r>
      <w:r w:rsidRPr="00713A4E">
        <w:rPr>
          <w:rFonts w:eastAsia="Malgun Gothic"/>
          <w:lang w:val="fr-FR"/>
        </w:rPr>
        <w:t xml:space="preserve">inscription sur les </w:t>
      </w:r>
      <w:r>
        <w:rPr>
          <w:rFonts w:eastAsia="Malgun Gothic"/>
          <w:lang w:val="fr-FR"/>
        </w:rPr>
        <w:t>l</w:t>
      </w:r>
      <w:r w:rsidRPr="00713A4E">
        <w:rPr>
          <w:rFonts w:eastAsia="Malgun Gothic"/>
          <w:lang w:val="fr-FR"/>
        </w:rPr>
        <w:t>istes, aux demandes d</w:t>
      </w:r>
      <w:r w:rsidR="00923E72">
        <w:rPr>
          <w:rFonts w:eastAsia="Malgun Gothic"/>
          <w:lang w:val="fr-FR"/>
        </w:rPr>
        <w:t>’</w:t>
      </w:r>
      <w:r w:rsidRPr="00713A4E">
        <w:rPr>
          <w:rFonts w:eastAsia="Malgun Gothic"/>
          <w:lang w:val="fr-FR"/>
        </w:rPr>
        <w:t>assistance internationale et aux propositions d</w:t>
      </w:r>
      <w:r w:rsidR="00923E72">
        <w:rPr>
          <w:rFonts w:eastAsia="Malgun Gothic"/>
          <w:lang w:val="fr-FR"/>
        </w:rPr>
        <w:t>’</w:t>
      </w:r>
      <w:r w:rsidRPr="00713A4E">
        <w:rPr>
          <w:rFonts w:eastAsia="Malgun Gothic"/>
          <w:lang w:val="fr-FR"/>
        </w:rPr>
        <w:t>inscription au Registre des bonnes pratiques de sauvegarde ser</w:t>
      </w:r>
      <w:r>
        <w:rPr>
          <w:rFonts w:eastAsia="Malgun Gothic"/>
          <w:lang w:val="fr-FR"/>
        </w:rPr>
        <w:t>aie</w:t>
      </w:r>
      <w:r w:rsidRPr="00713A4E">
        <w:rPr>
          <w:rFonts w:eastAsia="Malgun Gothic"/>
          <w:lang w:val="fr-FR"/>
        </w:rPr>
        <w:t>nt adoptées sans débat, à moins qu</w:t>
      </w:r>
      <w:r w:rsidR="00923E72">
        <w:rPr>
          <w:rFonts w:eastAsia="Malgun Gothic"/>
          <w:lang w:val="fr-FR"/>
        </w:rPr>
        <w:t>’</w:t>
      </w:r>
      <w:r w:rsidRPr="00713A4E">
        <w:rPr>
          <w:rFonts w:eastAsia="Malgun Gothic"/>
          <w:lang w:val="fr-FR"/>
        </w:rPr>
        <w:t>un membre du Comité ne</w:t>
      </w:r>
      <w:r w:rsidR="00E84455">
        <w:rPr>
          <w:rFonts w:eastAsia="Malgun Gothic"/>
          <w:lang w:val="fr-FR"/>
        </w:rPr>
        <w:t xml:space="preserve"> </w:t>
      </w:r>
      <w:r w:rsidR="00755B3F">
        <w:rPr>
          <w:rFonts w:eastAsia="Malgun Gothic"/>
          <w:lang w:val="fr-FR"/>
        </w:rPr>
        <w:t xml:space="preserve">souhaite évoquer </w:t>
      </w:r>
      <w:r w:rsidRPr="00713A4E">
        <w:rPr>
          <w:rFonts w:eastAsia="Malgun Gothic"/>
          <w:lang w:val="fr-FR"/>
        </w:rPr>
        <w:t xml:space="preserve">un point particulier. Les membres du Comité </w:t>
      </w:r>
      <w:r>
        <w:rPr>
          <w:rFonts w:eastAsia="Malgun Gothic"/>
          <w:lang w:val="fr-FR"/>
        </w:rPr>
        <w:t xml:space="preserve">étaient </w:t>
      </w:r>
      <w:r w:rsidRPr="00713A4E">
        <w:rPr>
          <w:rFonts w:eastAsia="Malgun Gothic"/>
          <w:lang w:val="fr-FR"/>
        </w:rPr>
        <w:t>donc invités à proposer des amendements aux projets de décision avant le mardi</w:t>
      </w:r>
      <w:r w:rsidR="00F61E1F">
        <w:rPr>
          <w:rFonts w:eastAsia="Malgun Gothic"/>
          <w:lang w:val="fr-FR"/>
        </w:rPr>
        <w:t> </w:t>
      </w:r>
      <w:r w:rsidRPr="00713A4E">
        <w:rPr>
          <w:rFonts w:eastAsia="Malgun Gothic"/>
          <w:lang w:val="fr-FR"/>
        </w:rPr>
        <w:t>29</w:t>
      </w:r>
      <w:r>
        <w:rPr>
          <w:rFonts w:eastAsia="Malgun Gothic"/>
          <w:lang w:val="fr-FR"/>
        </w:rPr>
        <w:t> </w:t>
      </w:r>
      <w:r w:rsidRPr="00713A4E">
        <w:rPr>
          <w:rFonts w:eastAsia="Malgun Gothic"/>
          <w:lang w:val="fr-FR"/>
        </w:rPr>
        <w:t xml:space="preserve">novembre, </w:t>
      </w:r>
      <w:r>
        <w:rPr>
          <w:rFonts w:eastAsia="Malgun Gothic"/>
          <w:lang w:val="fr-FR"/>
        </w:rPr>
        <w:t>c.</w:t>
      </w:r>
      <w:r w:rsidR="000E16C7">
        <w:rPr>
          <w:rFonts w:eastAsia="Malgun Gothic"/>
          <w:lang w:val="fr-FR"/>
        </w:rPr>
        <w:noBreakHyphen/>
      </w:r>
      <w:r>
        <w:rPr>
          <w:rFonts w:eastAsia="Malgun Gothic"/>
          <w:lang w:val="fr-FR"/>
        </w:rPr>
        <w:t>à</w:t>
      </w:r>
      <w:r w:rsidR="000E16C7">
        <w:rPr>
          <w:rFonts w:eastAsia="Malgun Gothic"/>
          <w:lang w:val="fr-FR"/>
        </w:rPr>
        <w:noBreakHyphen/>
      </w:r>
      <w:r>
        <w:rPr>
          <w:rFonts w:eastAsia="Malgun Gothic"/>
          <w:lang w:val="fr-FR"/>
        </w:rPr>
        <w:t>d.</w:t>
      </w:r>
      <w:r w:rsidR="000E16C7">
        <w:rPr>
          <w:rFonts w:eastAsia="Malgun Gothic"/>
          <w:lang w:val="fr-FR"/>
        </w:rPr>
        <w:t xml:space="preserve"> </w:t>
      </w:r>
      <w:r w:rsidRPr="00713A4E">
        <w:rPr>
          <w:rFonts w:eastAsia="Malgun Gothic"/>
          <w:lang w:val="fr-FR"/>
        </w:rPr>
        <w:t>avant la réunion du Bureau, ce dernier</w:t>
      </w:r>
      <w:r w:rsidR="00E84455">
        <w:rPr>
          <w:rFonts w:eastAsia="Malgun Gothic"/>
          <w:lang w:val="fr-FR"/>
        </w:rPr>
        <w:t xml:space="preserve"> </w:t>
      </w:r>
      <w:r w:rsidRPr="00713A4E">
        <w:rPr>
          <w:rFonts w:eastAsia="Malgun Gothic"/>
          <w:lang w:val="fr-FR"/>
        </w:rPr>
        <w:t>établi</w:t>
      </w:r>
      <w:r w:rsidR="00E84455">
        <w:rPr>
          <w:rFonts w:eastAsia="Malgun Gothic"/>
          <w:lang w:val="fr-FR"/>
        </w:rPr>
        <w:t>ssant</w:t>
      </w:r>
      <w:r w:rsidRPr="00713A4E">
        <w:rPr>
          <w:rFonts w:eastAsia="Malgun Gothic"/>
          <w:lang w:val="fr-FR"/>
        </w:rPr>
        <w:t xml:space="preserve"> la liste des dossiers à discuter et adapt</w:t>
      </w:r>
      <w:r w:rsidR="000E16C7">
        <w:rPr>
          <w:rFonts w:eastAsia="Malgun Gothic"/>
          <w:lang w:val="fr-FR"/>
        </w:rPr>
        <w:t>ant</w:t>
      </w:r>
      <w:r w:rsidRPr="00713A4E">
        <w:rPr>
          <w:rFonts w:eastAsia="Malgun Gothic"/>
          <w:lang w:val="fr-FR"/>
        </w:rPr>
        <w:t xml:space="preserve"> le calendrier</w:t>
      </w:r>
      <w:r>
        <w:rPr>
          <w:rFonts w:eastAsia="Malgun Gothic"/>
          <w:lang w:val="fr-FR"/>
        </w:rPr>
        <w:t xml:space="preserve"> selon les</w:t>
      </w:r>
      <w:r w:rsidRPr="00713A4E">
        <w:rPr>
          <w:rFonts w:eastAsia="Malgun Gothic"/>
          <w:lang w:val="fr-FR"/>
        </w:rPr>
        <w:t xml:space="preserve"> demandes d</w:t>
      </w:r>
      <w:r w:rsidR="00923E72">
        <w:rPr>
          <w:rFonts w:eastAsia="Malgun Gothic"/>
          <w:lang w:val="fr-FR"/>
        </w:rPr>
        <w:t>’</w:t>
      </w:r>
      <w:r w:rsidRPr="00713A4E">
        <w:rPr>
          <w:rFonts w:eastAsia="Malgun Gothic"/>
          <w:lang w:val="fr-FR"/>
        </w:rPr>
        <w:t>amendement. Au cours des discussions, les membres du Comité</w:t>
      </w:r>
      <w:r>
        <w:rPr>
          <w:rFonts w:eastAsia="Malgun Gothic"/>
          <w:lang w:val="fr-FR"/>
        </w:rPr>
        <w:t xml:space="preserve"> pouvaient</w:t>
      </w:r>
      <w:r w:rsidR="00E84455">
        <w:rPr>
          <w:rFonts w:eastAsia="Malgun Gothic"/>
          <w:lang w:val="fr-FR"/>
        </w:rPr>
        <w:t xml:space="preserve"> </w:t>
      </w:r>
      <w:r w:rsidRPr="00713A4E">
        <w:rPr>
          <w:rFonts w:eastAsia="Malgun Gothic"/>
          <w:lang w:val="fr-FR"/>
        </w:rPr>
        <w:t>demander la parole afin de participer au débat,</w:t>
      </w:r>
      <w:r w:rsidR="00E84455">
        <w:rPr>
          <w:rFonts w:eastAsia="Malgun Gothic"/>
          <w:lang w:val="fr-FR"/>
        </w:rPr>
        <w:t xml:space="preserve"> si nécessaire</w:t>
      </w:r>
      <w:r w:rsidRPr="00713A4E">
        <w:rPr>
          <w:rFonts w:eastAsia="Malgun Gothic"/>
          <w:lang w:val="fr-FR"/>
        </w:rPr>
        <w:t>. Lorsque des amendements</w:t>
      </w:r>
      <w:r>
        <w:rPr>
          <w:rFonts w:eastAsia="Malgun Gothic"/>
          <w:lang w:val="fr-FR"/>
        </w:rPr>
        <w:t xml:space="preserve"> étaient soumis</w:t>
      </w:r>
      <w:r w:rsidR="00E84455">
        <w:rPr>
          <w:rFonts w:eastAsia="Malgun Gothic"/>
          <w:lang w:val="fr-FR"/>
        </w:rPr>
        <w:t xml:space="preserve">, </w:t>
      </w:r>
      <w:r w:rsidRPr="00713A4E">
        <w:rPr>
          <w:rFonts w:eastAsia="Malgun Gothic"/>
          <w:lang w:val="fr-FR"/>
        </w:rPr>
        <w:t>le Président s</w:t>
      </w:r>
      <w:r w:rsidR="00923E72">
        <w:rPr>
          <w:rFonts w:eastAsia="Malgun Gothic"/>
          <w:lang w:val="fr-FR"/>
        </w:rPr>
        <w:t>’</w:t>
      </w:r>
      <w:r w:rsidRPr="00713A4E">
        <w:rPr>
          <w:rFonts w:eastAsia="Malgun Gothic"/>
          <w:lang w:val="fr-FR"/>
        </w:rPr>
        <w:t>efforcera</w:t>
      </w:r>
      <w:r w:rsidR="001A2FF6">
        <w:rPr>
          <w:rFonts w:eastAsia="Malgun Gothic"/>
          <w:lang w:val="fr-FR"/>
        </w:rPr>
        <w:t>it</w:t>
      </w:r>
      <w:r w:rsidRPr="00713A4E">
        <w:rPr>
          <w:rFonts w:eastAsia="Malgun Gothic"/>
          <w:lang w:val="fr-FR"/>
        </w:rPr>
        <w:t xml:space="preserve"> de dégager un consensus en évaluant le soutien et les objections aux amendements proposés</w:t>
      </w:r>
      <w:r w:rsidR="00E84455">
        <w:rPr>
          <w:rFonts w:eastAsia="Malgun Gothic"/>
          <w:lang w:val="fr-FR"/>
        </w:rPr>
        <w:t xml:space="preserve">, </w:t>
      </w:r>
      <w:r w:rsidR="00E84455" w:rsidRPr="00E84455">
        <w:rPr>
          <w:rFonts w:eastAsia="Malgun Gothic"/>
          <w:lang w:val="fr-FR"/>
        </w:rPr>
        <w:t>conformément</w:t>
      </w:r>
      <w:r w:rsidR="00E84455">
        <w:rPr>
          <w:rFonts w:eastAsia="Malgun Gothic"/>
          <w:lang w:val="fr-FR"/>
        </w:rPr>
        <w:t xml:space="preserve"> à la décision</w:t>
      </w:r>
      <w:r w:rsidR="000E16C7">
        <w:rPr>
          <w:rFonts w:eastAsia="Malgun Gothic"/>
          <w:lang w:val="fr-FR"/>
        </w:rPr>
        <w:t> </w:t>
      </w:r>
      <w:hyperlink r:id="rId16" w:history="1">
        <w:r w:rsidR="00E84455" w:rsidRPr="00E84455">
          <w:rPr>
            <w:rStyle w:val="Hyperlink"/>
            <w:rFonts w:eastAsia="Malgun Gothic"/>
            <w:lang w:val="fr-FR"/>
          </w:rPr>
          <w:t>11.COM</w:t>
        </w:r>
        <w:r w:rsidR="00E84455">
          <w:rPr>
            <w:rStyle w:val="Hyperlink"/>
            <w:rFonts w:eastAsia="Malgun Gothic"/>
            <w:lang w:val="fr-FR"/>
          </w:rPr>
          <w:t> </w:t>
        </w:r>
        <w:r w:rsidR="00E84455" w:rsidRPr="00E84455">
          <w:rPr>
            <w:rStyle w:val="Hyperlink"/>
            <w:rFonts w:eastAsia="Malgun Gothic"/>
            <w:lang w:val="fr-FR"/>
          </w:rPr>
          <w:t>8</w:t>
        </w:r>
      </w:hyperlink>
      <w:r w:rsidRPr="00713A4E">
        <w:rPr>
          <w:rFonts w:eastAsia="Malgun Gothic"/>
          <w:lang w:val="fr-FR"/>
        </w:rPr>
        <w:t>. À cette fin, lorsqu</w:t>
      </w:r>
      <w:r w:rsidR="00923E72">
        <w:rPr>
          <w:rFonts w:eastAsia="Malgun Gothic"/>
          <w:lang w:val="fr-FR"/>
        </w:rPr>
        <w:t>’</w:t>
      </w:r>
      <w:r w:rsidRPr="00713A4E">
        <w:rPr>
          <w:rFonts w:eastAsia="Malgun Gothic"/>
          <w:lang w:val="fr-FR"/>
        </w:rPr>
        <w:t xml:space="preserve">un amendement </w:t>
      </w:r>
      <w:r w:rsidR="001A2FF6">
        <w:rPr>
          <w:rFonts w:eastAsia="Malgun Gothic"/>
          <w:lang w:val="fr-FR"/>
        </w:rPr>
        <w:t>serait</w:t>
      </w:r>
      <w:r w:rsidRPr="00713A4E">
        <w:rPr>
          <w:rFonts w:eastAsia="Malgun Gothic"/>
          <w:lang w:val="fr-FR"/>
        </w:rPr>
        <w:t xml:space="preserve"> proposé, il déterminera</w:t>
      </w:r>
      <w:r w:rsidR="001A2FF6">
        <w:rPr>
          <w:rFonts w:eastAsia="Malgun Gothic"/>
          <w:lang w:val="fr-FR"/>
        </w:rPr>
        <w:t>it</w:t>
      </w:r>
      <w:r w:rsidRPr="00713A4E">
        <w:rPr>
          <w:rFonts w:eastAsia="Malgun Gothic"/>
          <w:lang w:val="fr-FR"/>
        </w:rPr>
        <w:t xml:space="preserve"> s</w:t>
      </w:r>
      <w:r w:rsidR="00923E72">
        <w:rPr>
          <w:rFonts w:eastAsia="Malgun Gothic"/>
          <w:lang w:val="fr-FR"/>
        </w:rPr>
        <w:t>’</w:t>
      </w:r>
      <w:r w:rsidRPr="00713A4E">
        <w:rPr>
          <w:rFonts w:eastAsia="Malgun Gothic"/>
          <w:lang w:val="fr-FR"/>
        </w:rPr>
        <w:t>il bénéfici</w:t>
      </w:r>
      <w:r w:rsidR="000E16C7">
        <w:rPr>
          <w:rFonts w:eastAsia="Malgun Gothic"/>
          <w:lang w:val="fr-FR"/>
        </w:rPr>
        <w:t>ait</w:t>
      </w:r>
      <w:r w:rsidRPr="00713A4E">
        <w:rPr>
          <w:rFonts w:eastAsia="Malgun Gothic"/>
          <w:lang w:val="fr-FR"/>
        </w:rPr>
        <w:t xml:space="preserve"> d</w:t>
      </w:r>
      <w:r w:rsidR="00923E72">
        <w:rPr>
          <w:rFonts w:eastAsia="Malgun Gothic"/>
          <w:lang w:val="fr-FR"/>
        </w:rPr>
        <w:t>’</w:t>
      </w:r>
      <w:r w:rsidRPr="00713A4E">
        <w:rPr>
          <w:rFonts w:eastAsia="Malgun Gothic"/>
          <w:lang w:val="fr-FR"/>
        </w:rPr>
        <w:t xml:space="preserve">un </w:t>
      </w:r>
      <w:r w:rsidRPr="00702497">
        <w:rPr>
          <w:rFonts w:eastAsia="Malgun Gothic"/>
          <w:i/>
          <w:iCs/>
          <w:lang w:val="fr-FR"/>
        </w:rPr>
        <w:t>soutien actif relatif</w:t>
      </w:r>
      <w:r w:rsidRPr="00713A4E">
        <w:rPr>
          <w:rFonts w:eastAsia="Malgun Gothic"/>
          <w:lang w:val="fr-FR"/>
        </w:rPr>
        <w:t xml:space="preserve"> de la part du Comité. En cas d</w:t>
      </w:r>
      <w:r w:rsidR="00923E72">
        <w:rPr>
          <w:rFonts w:eastAsia="Malgun Gothic"/>
          <w:lang w:val="fr-FR"/>
        </w:rPr>
        <w:t>’</w:t>
      </w:r>
      <w:r w:rsidRPr="00713A4E">
        <w:rPr>
          <w:rFonts w:eastAsia="Malgun Gothic"/>
          <w:lang w:val="fr-FR"/>
        </w:rPr>
        <w:t>objection d</w:t>
      </w:r>
      <w:r w:rsidR="00923E72">
        <w:rPr>
          <w:rFonts w:eastAsia="Malgun Gothic"/>
          <w:lang w:val="fr-FR"/>
        </w:rPr>
        <w:t>’</w:t>
      </w:r>
      <w:r w:rsidRPr="00713A4E">
        <w:rPr>
          <w:rFonts w:eastAsia="Malgun Gothic"/>
          <w:lang w:val="fr-FR"/>
        </w:rPr>
        <w:t>un membre du Comité à un amendement, le Président déterminera</w:t>
      </w:r>
      <w:r w:rsidR="001A2FF6">
        <w:rPr>
          <w:rFonts w:eastAsia="Malgun Gothic"/>
          <w:lang w:val="fr-FR"/>
        </w:rPr>
        <w:t>it</w:t>
      </w:r>
      <w:r w:rsidRPr="00713A4E">
        <w:rPr>
          <w:rFonts w:eastAsia="Malgun Gothic"/>
          <w:lang w:val="fr-FR"/>
        </w:rPr>
        <w:t xml:space="preserve"> si l</w:t>
      </w:r>
      <w:r w:rsidR="00923E72">
        <w:rPr>
          <w:rFonts w:eastAsia="Malgun Gothic"/>
          <w:lang w:val="fr-FR"/>
        </w:rPr>
        <w:t>’</w:t>
      </w:r>
      <w:r w:rsidRPr="00713A4E">
        <w:rPr>
          <w:rFonts w:eastAsia="Malgun Gothic"/>
          <w:lang w:val="fr-FR"/>
        </w:rPr>
        <w:t>amendement bénéfici</w:t>
      </w:r>
      <w:r w:rsidR="000E16C7">
        <w:rPr>
          <w:rFonts w:eastAsia="Malgun Gothic"/>
          <w:lang w:val="fr-FR"/>
        </w:rPr>
        <w:t>ait</w:t>
      </w:r>
      <w:r w:rsidRPr="00713A4E">
        <w:rPr>
          <w:rFonts w:eastAsia="Malgun Gothic"/>
          <w:lang w:val="fr-FR"/>
        </w:rPr>
        <w:t xml:space="preserve"> d</w:t>
      </w:r>
      <w:r w:rsidR="00923E72">
        <w:rPr>
          <w:rFonts w:eastAsia="Malgun Gothic"/>
          <w:lang w:val="fr-FR"/>
        </w:rPr>
        <w:t>’</w:t>
      </w:r>
      <w:r w:rsidRPr="00713A4E">
        <w:rPr>
          <w:rFonts w:eastAsia="Malgun Gothic"/>
          <w:lang w:val="fr-FR"/>
        </w:rPr>
        <w:t xml:space="preserve">un </w:t>
      </w:r>
      <w:r w:rsidRPr="00702497">
        <w:rPr>
          <w:rFonts w:eastAsia="Malgun Gothic"/>
          <w:i/>
          <w:iCs/>
          <w:lang w:val="fr-FR"/>
        </w:rPr>
        <w:t>large soutien actif</w:t>
      </w:r>
      <w:r w:rsidRPr="00713A4E">
        <w:rPr>
          <w:rFonts w:eastAsia="Malgun Gothic"/>
          <w:lang w:val="fr-FR"/>
        </w:rPr>
        <w:t>.</w:t>
      </w:r>
      <w:r w:rsidR="001A2FF6">
        <w:rPr>
          <w:rFonts w:eastAsia="Malgun Gothic"/>
          <w:lang w:val="fr-FR"/>
        </w:rPr>
        <w:t xml:space="preserve"> </w:t>
      </w:r>
      <w:r w:rsidR="007D111B">
        <w:rPr>
          <w:rFonts w:eastAsia="Malgun Gothic"/>
          <w:lang w:val="fr-FR"/>
        </w:rPr>
        <w:t>Il e</w:t>
      </w:r>
      <w:r w:rsidR="001A2FF6">
        <w:rPr>
          <w:rFonts w:eastAsia="Malgun Gothic"/>
          <w:lang w:val="fr-FR"/>
        </w:rPr>
        <w:t>spéra</w:t>
      </w:r>
      <w:r w:rsidR="007D111B">
        <w:rPr>
          <w:rFonts w:eastAsia="Malgun Gothic"/>
          <w:lang w:val="fr-FR"/>
        </w:rPr>
        <w:t>i</w:t>
      </w:r>
      <w:r w:rsidR="001A2FF6">
        <w:rPr>
          <w:rFonts w:eastAsia="Malgun Gothic"/>
          <w:lang w:val="fr-FR"/>
        </w:rPr>
        <w:t xml:space="preserve">t </w:t>
      </w:r>
      <w:r w:rsidRPr="00713A4E">
        <w:rPr>
          <w:rFonts w:eastAsia="Malgun Gothic"/>
          <w:lang w:val="fr-FR"/>
        </w:rPr>
        <w:t>que les travaux se déroule</w:t>
      </w:r>
      <w:r w:rsidR="001A2FF6">
        <w:rPr>
          <w:rFonts w:eastAsia="Malgun Gothic"/>
          <w:lang w:val="fr-FR"/>
        </w:rPr>
        <w:t>raie</w:t>
      </w:r>
      <w:r w:rsidRPr="00713A4E">
        <w:rPr>
          <w:rFonts w:eastAsia="Malgun Gothic"/>
          <w:lang w:val="fr-FR"/>
        </w:rPr>
        <w:t>nt sans heurts</w:t>
      </w:r>
      <w:r w:rsidR="000E16C7">
        <w:rPr>
          <w:rFonts w:eastAsia="Malgun Gothic"/>
          <w:lang w:val="fr-FR"/>
        </w:rPr>
        <w:t>,</w:t>
      </w:r>
      <w:r w:rsidR="007D111B">
        <w:rPr>
          <w:rFonts w:eastAsia="Malgun Gothic"/>
          <w:lang w:val="fr-FR"/>
        </w:rPr>
        <w:t xml:space="preserve"> et </w:t>
      </w:r>
      <w:r w:rsidR="001A2FF6">
        <w:rPr>
          <w:rFonts w:eastAsia="Malgun Gothic"/>
          <w:lang w:val="fr-FR"/>
        </w:rPr>
        <w:t xml:space="preserve">a </w:t>
      </w:r>
      <w:r w:rsidRPr="00713A4E">
        <w:rPr>
          <w:rFonts w:eastAsia="Malgun Gothic"/>
          <w:lang w:val="fr-FR"/>
        </w:rPr>
        <w:t>soulign</w:t>
      </w:r>
      <w:r w:rsidR="001A2FF6">
        <w:rPr>
          <w:rFonts w:eastAsia="Malgun Gothic"/>
          <w:lang w:val="fr-FR"/>
        </w:rPr>
        <w:t>é</w:t>
      </w:r>
      <w:r w:rsidRPr="00713A4E">
        <w:rPr>
          <w:rFonts w:eastAsia="Malgun Gothic"/>
          <w:lang w:val="fr-FR"/>
        </w:rPr>
        <w:t xml:space="preserve"> que le processus décisionnel a un impact sur la crédibilité des travaux du Comité d</w:t>
      </w:r>
      <w:r w:rsidR="00923E72">
        <w:rPr>
          <w:rFonts w:eastAsia="Malgun Gothic"/>
          <w:lang w:val="fr-FR"/>
        </w:rPr>
        <w:t>’</w:t>
      </w:r>
      <w:r w:rsidRPr="00713A4E">
        <w:rPr>
          <w:rFonts w:eastAsia="Malgun Gothic"/>
          <w:lang w:val="fr-FR"/>
        </w:rPr>
        <w:t>une part, mais aussi sur la crédibilité de la Convention dans son ensemble. Après l</w:t>
      </w:r>
      <w:r w:rsidR="00923E72">
        <w:rPr>
          <w:rFonts w:eastAsia="Malgun Gothic"/>
          <w:lang w:val="fr-FR"/>
        </w:rPr>
        <w:t>’</w:t>
      </w:r>
      <w:r w:rsidRPr="00713A4E">
        <w:rPr>
          <w:rFonts w:eastAsia="Malgun Gothic"/>
          <w:lang w:val="fr-FR"/>
        </w:rPr>
        <w:t>adoption de chaque décision, l</w:t>
      </w:r>
      <w:r w:rsidR="00923E72">
        <w:rPr>
          <w:rFonts w:eastAsia="Malgun Gothic"/>
          <w:lang w:val="fr-FR"/>
        </w:rPr>
        <w:t>’</w:t>
      </w:r>
      <w:r w:rsidRPr="00713A4E">
        <w:rPr>
          <w:rFonts w:eastAsia="Malgun Gothic"/>
          <w:lang w:val="fr-FR"/>
        </w:rPr>
        <w:t>État ou les États soumissionnaire</w:t>
      </w:r>
      <w:r w:rsidR="001A2FF6">
        <w:rPr>
          <w:rFonts w:eastAsia="Malgun Gothic"/>
          <w:lang w:val="fr-FR"/>
        </w:rPr>
        <w:t>(</w:t>
      </w:r>
      <w:r w:rsidRPr="00713A4E">
        <w:rPr>
          <w:rFonts w:eastAsia="Malgun Gothic"/>
          <w:lang w:val="fr-FR"/>
        </w:rPr>
        <w:t>s</w:t>
      </w:r>
      <w:r w:rsidR="001A2FF6">
        <w:rPr>
          <w:rFonts w:eastAsia="Malgun Gothic"/>
          <w:lang w:val="fr-FR"/>
        </w:rPr>
        <w:t>)</w:t>
      </w:r>
      <w:r w:rsidRPr="00713A4E">
        <w:rPr>
          <w:rFonts w:eastAsia="Malgun Gothic"/>
          <w:lang w:val="fr-FR"/>
        </w:rPr>
        <w:t xml:space="preserve"> aur</w:t>
      </w:r>
      <w:r w:rsidR="001A2FF6">
        <w:rPr>
          <w:rFonts w:eastAsia="Malgun Gothic"/>
          <w:lang w:val="fr-FR"/>
        </w:rPr>
        <w:t>ai</w:t>
      </w:r>
      <w:r w:rsidR="007D111B">
        <w:rPr>
          <w:rFonts w:eastAsia="Malgun Gothic"/>
          <w:lang w:val="fr-FR"/>
        </w:rPr>
        <w:t>(</w:t>
      </w:r>
      <w:r w:rsidR="001A2FF6">
        <w:rPr>
          <w:rFonts w:eastAsia="Malgun Gothic"/>
          <w:lang w:val="fr-FR"/>
        </w:rPr>
        <w:t>e</w:t>
      </w:r>
      <w:r w:rsidRPr="00713A4E">
        <w:rPr>
          <w:rFonts w:eastAsia="Malgun Gothic"/>
          <w:lang w:val="fr-FR"/>
        </w:rPr>
        <w:t>n</w:t>
      </w:r>
      <w:r w:rsidR="007D111B">
        <w:rPr>
          <w:rFonts w:eastAsia="Malgun Gothic"/>
          <w:lang w:val="fr-FR"/>
        </w:rPr>
        <w:t>)</w:t>
      </w:r>
      <w:r w:rsidRPr="00713A4E">
        <w:rPr>
          <w:rFonts w:eastAsia="Malgun Gothic"/>
          <w:lang w:val="fr-FR"/>
        </w:rPr>
        <w:t xml:space="preserve">t la possibilité de prendre la parole, de </w:t>
      </w:r>
      <w:r w:rsidR="007D111B">
        <w:rPr>
          <w:rFonts w:eastAsia="Malgun Gothic"/>
          <w:lang w:val="fr-FR"/>
        </w:rPr>
        <w:t xml:space="preserve">diffuser </w:t>
      </w:r>
      <w:r w:rsidRPr="00713A4E">
        <w:rPr>
          <w:rFonts w:eastAsia="Malgun Gothic"/>
          <w:lang w:val="fr-FR"/>
        </w:rPr>
        <w:t>une vidéo ou de présenter l</w:t>
      </w:r>
      <w:r w:rsidR="00923E72">
        <w:rPr>
          <w:rFonts w:eastAsia="Malgun Gothic"/>
          <w:lang w:val="fr-FR"/>
        </w:rPr>
        <w:t>’</w:t>
      </w:r>
      <w:r w:rsidRPr="00713A4E">
        <w:rPr>
          <w:rFonts w:eastAsia="Malgun Gothic"/>
          <w:lang w:val="fr-FR"/>
        </w:rPr>
        <w:t>élément. En l</w:t>
      </w:r>
      <w:r w:rsidR="00923E72">
        <w:rPr>
          <w:rFonts w:eastAsia="Malgun Gothic"/>
          <w:lang w:val="fr-FR"/>
        </w:rPr>
        <w:t>’</w:t>
      </w:r>
      <w:r w:rsidRPr="00713A4E">
        <w:rPr>
          <w:rFonts w:eastAsia="Malgun Gothic"/>
          <w:lang w:val="fr-FR"/>
        </w:rPr>
        <w:t>absence de commentaires ou d</w:t>
      </w:r>
      <w:r w:rsidR="00923E72">
        <w:rPr>
          <w:rFonts w:eastAsia="Malgun Gothic"/>
          <w:lang w:val="fr-FR"/>
        </w:rPr>
        <w:t>’</w:t>
      </w:r>
      <w:r w:rsidRPr="00713A4E">
        <w:rPr>
          <w:rFonts w:eastAsia="Malgun Gothic"/>
          <w:lang w:val="fr-FR"/>
        </w:rPr>
        <w:t>objections exprimé</w:t>
      </w:r>
      <w:r w:rsidR="001A2FF6">
        <w:rPr>
          <w:rFonts w:eastAsia="Malgun Gothic"/>
          <w:lang w:val="fr-FR"/>
        </w:rPr>
        <w:t>e</w:t>
      </w:r>
      <w:r w:rsidRPr="00713A4E">
        <w:rPr>
          <w:rFonts w:eastAsia="Malgun Gothic"/>
          <w:lang w:val="fr-FR"/>
        </w:rPr>
        <w:t xml:space="preserve">s sur la méthodologie de travail, le </w:t>
      </w:r>
      <w:r w:rsidRPr="001A2FF6">
        <w:rPr>
          <w:rFonts w:eastAsia="Malgun Gothic"/>
          <w:b/>
          <w:bCs/>
          <w:lang w:val="fr-FR"/>
        </w:rPr>
        <w:t xml:space="preserve">Président </w:t>
      </w:r>
      <w:r w:rsidR="001A2FF6" w:rsidRPr="001A2FF6">
        <w:rPr>
          <w:rFonts w:eastAsia="Malgun Gothic"/>
          <w:b/>
          <w:bCs/>
          <w:lang w:val="fr-FR"/>
        </w:rPr>
        <w:t xml:space="preserve">a </w:t>
      </w:r>
      <w:r w:rsidRPr="001A2FF6">
        <w:rPr>
          <w:rFonts w:eastAsia="Malgun Gothic"/>
          <w:b/>
          <w:bCs/>
          <w:lang w:val="fr-FR"/>
        </w:rPr>
        <w:t>déclar</w:t>
      </w:r>
      <w:r w:rsidR="001A2FF6" w:rsidRPr="001A2FF6">
        <w:rPr>
          <w:rFonts w:eastAsia="Malgun Gothic"/>
          <w:b/>
          <w:bCs/>
          <w:lang w:val="fr-FR"/>
        </w:rPr>
        <w:t>é</w:t>
      </w:r>
      <w:r w:rsidRPr="001A2FF6">
        <w:rPr>
          <w:rFonts w:eastAsia="Malgun Gothic"/>
          <w:b/>
          <w:bCs/>
          <w:lang w:val="fr-FR"/>
        </w:rPr>
        <w:t xml:space="preserve"> la décision</w:t>
      </w:r>
      <w:r w:rsidR="007D111B">
        <w:rPr>
          <w:rFonts w:eastAsia="Malgun Gothic"/>
          <w:b/>
          <w:bCs/>
          <w:lang w:val="fr-FR"/>
        </w:rPr>
        <w:t> </w:t>
      </w:r>
      <w:hyperlink r:id="rId17" w:history="1">
        <w:r w:rsidR="007D111B" w:rsidRPr="007D111B">
          <w:rPr>
            <w:rStyle w:val="Hyperlink"/>
            <w:rFonts w:eastAsia="Malgun Gothic"/>
            <w:b/>
            <w:bCs/>
            <w:lang w:val="fr-FR"/>
          </w:rPr>
          <w:t>17.COM</w:t>
        </w:r>
        <w:r w:rsidR="007D111B">
          <w:rPr>
            <w:rStyle w:val="Hyperlink"/>
            <w:rFonts w:eastAsia="Malgun Gothic"/>
            <w:b/>
            <w:bCs/>
            <w:lang w:val="fr-FR"/>
          </w:rPr>
          <w:t> </w:t>
        </w:r>
        <w:r w:rsidR="007D111B" w:rsidRPr="007D111B">
          <w:rPr>
            <w:rStyle w:val="Hyperlink"/>
            <w:rFonts w:eastAsia="Malgun Gothic"/>
            <w:b/>
            <w:bCs/>
            <w:lang w:val="fr-FR"/>
          </w:rPr>
          <w:t>2</w:t>
        </w:r>
      </w:hyperlink>
      <w:r w:rsidR="007D111B">
        <w:rPr>
          <w:rFonts w:eastAsia="Malgun Gothic"/>
          <w:b/>
          <w:bCs/>
          <w:lang w:val="fr-FR"/>
        </w:rPr>
        <w:t xml:space="preserve"> </w:t>
      </w:r>
      <w:r w:rsidRPr="001A2FF6">
        <w:rPr>
          <w:rFonts w:eastAsia="Malgun Gothic"/>
          <w:b/>
          <w:bCs/>
          <w:lang w:val="fr-FR"/>
        </w:rPr>
        <w:t>adoptée</w:t>
      </w:r>
      <w:r w:rsidRPr="00713A4E">
        <w:rPr>
          <w:rFonts w:eastAsia="Malgun Gothic"/>
          <w:lang w:val="fr-FR"/>
        </w:rPr>
        <w:t>.</w:t>
      </w:r>
    </w:p>
    <w:p w14:paraId="42112346" w14:textId="2158DD04" w:rsidR="001A2FF6" w:rsidRPr="001A2FF6" w:rsidRDefault="001A2FF6" w:rsidP="001A2FF6">
      <w:pPr>
        <w:pStyle w:val="Marge"/>
        <w:keepNext/>
        <w:tabs>
          <w:tab w:val="clear" w:pos="567"/>
          <w:tab w:val="left" w:pos="709"/>
          <w:tab w:val="left" w:pos="1418"/>
          <w:tab w:val="left" w:pos="2126"/>
          <w:tab w:val="left" w:pos="2835"/>
        </w:tabs>
        <w:spacing w:before="360" w:after="60"/>
        <w:jc w:val="left"/>
        <w:outlineLvl w:val="0"/>
        <w:rPr>
          <w:b/>
          <w:color w:val="000000" w:themeColor="text1"/>
          <w:u w:val="single"/>
        </w:rPr>
      </w:pPr>
      <w:r w:rsidRPr="001A2FF6">
        <w:rPr>
          <w:b/>
          <w:color w:val="000000" w:themeColor="text1"/>
          <w:u w:val="single"/>
        </w:rPr>
        <w:t>POINT</w:t>
      </w:r>
      <w:r w:rsidR="002B668C">
        <w:rPr>
          <w:b/>
          <w:color w:val="000000" w:themeColor="text1"/>
          <w:u w:val="single"/>
        </w:rPr>
        <w:t> </w:t>
      </w:r>
      <w:r w:rsidRPr="001A2FF6">
        <w:rPr>
          <w:b/>
          <w:color w:val="000000" w:themeColor="text1"/>
          <w:u w:val="single"/>
        </w:rPr>
        <w:t>3 DE L</w:t>
      </w:r>
      <w:r w:rsidR="00923E72">
        <w:rPr>
          <w:b/>
          <w:color w:val="000000" w:themeColor="text1"/>
          <w:u w:val="single"/>
        </w:rPr>
        <w:t>’</w:t>
      </w:r>
      <w:r w:rsidRPr="001A2FF6">
        <w:rPr>
          <w:b/>
          <w:color w:val="000000" w:themeColor="text1"/>
          <w:u w:val="single"/>
        </w:rPr>
        <w:t>ORDRE DU JOUR</w:t>
      </w:r>
      <w:r w:rsidRPr="00D010C4">
        <w:rPr>
          <w:b/>
          <w:color w:val="000000" w:themeColor="text1"/>
        </w:rPr>
        <w:t> :</w:t>
      </w:r>
    </w:p>
    <w:p w14:paraId="2683002F" w14:textId="77777777" w:rsidR="001A2FF6" w:rsidRPr="001A2FF6" w:rsidRDefault="001A2FF6" w:rsidP="001A2FF6">
      <w:pPr>
        <w:pStyle w:val="Orateurengris"/>
        <w:tabs>
          <w:tab w:val="clear" w:pos="709"/>
          <w:tab w:val="clear" w:pos="1418"/>
          <w:tab w:val="clear" w:pos="2126"/>
          <w:tab w:val="clear" w:pos="2835"/>
        </w:tabs>
        <w:spacing w:after="0"/>
        <w:outlineLvl w:val="0"/>
        <w:rPr>
          <w:b/>
          <w:color w:val="000000" w:themeColor="text1"/>
          <w:lang w:val="fr-FR"/>
        </w:rPr>
      </w:pPr>
      <w:r w:rsidRPr="001A2FF6">
        <w:rPr>
          <w:b/>
          <w:bCs/>
          <w:color w:val="000000" w:themeColor="text1"/>
          <w:lang w:val="fr-FR"/>
        </w:rPr>
        <w:t>OBSERVATEURS</w:t>
      </w:r>
    </w:p>
    <w:p w14:paraId="0AAAD70E" w14:textId="77777777" w:rsidR="001A2FF6" w:rsidRPr="001A2FF6" w:rsidRDefault="001A2FF6" w:rsidP="001A2FF6">
      <w:pPr>
        <w:pStyle w:val="Orateurengris"/>
        <w:tabs>
          <w:tab w:val="clear" w:pos="709"/>
          <w:tab w:val="clear" w:pos="1418"/>
          <w:tab w:val="clear" w:pos="2126"/>
          <w:tab w:val="clear" w:pos="2835"/>
        </w:tabs>
        <w:spacing w:after="0"/>
        <w:ind w:left="567"/>
        <w:outlineLvl w:val="0"/>
        <w:rPr>
          <w:b/>
          <w:color w:val="000000" w:themeColor="text1"/>
          <w:u w:val="single"/>
          <w:lang w:val="fr-FR"/>
        </w:rPr>
      </w:pPr>
    </w:p>
    <w:p w14:paraId="4D692312" w14:textId="55734CF8" w:rsidR="00081DC3" w:rsidRPr="00081DC3" w:rsidRDefault="001A2FF6" w:rsidP="00081DC3">
      <w:pPr>
        <w:pStyle w:val="Orateurengris"/>
        <w:tabs>
          <w:tab w:val="clear" w:pos="709"/>
          <w:tab w:val="clear" w:pos="1418"/>
          <w:tab w:val="clear" w:pos="2835"/>
        </w:tabs>
        <w:spacing w:after="0"/>
        <w:ind w:left="709"/>
        <w:rPr>
          <w:color w:val="0000FF" w:themeColor="hyperlink"/>
          <w:u w:val="single"/>
          <w:lang w:val="fr-FR"/>
        </w:rPr>
      </w:pPr>
      <w:r w:rsidRPr="001A2FF6">
        <w:rPr>
          <w:b/>
          <w:color w:val="000000" w:themeColor="text1"/>
          <w:lang w:val="fr-FR"/>
        </w:rPr>
        <w:t>Document :</w:t>
      </w:r>
      <w:r w:rsidRPr="001A2FF6">
        <w:rPr>
          <w:i/>
          <w:lang w:val="fr-FR"/>
        </w:rPr>
        <w:t xml:space="preserve"> </w:t>
      </w:r>
      <w:r w:rsidRPr="001A2FF6">
        <w:rPr>
          <w:i/>
          <w:lang w:val="fr-FR"/>
        </w:rPr>
        <w:tab/>
      </w:r>
      <w:hyperlink r:id="rId18" w:history="1">
        <w:r w:rsidRPr="006E3034">
          <w:rPr>
            <w:rStyle w:val="Hyperlink"/>
            <w:i/>
            <w:iCs/>
            <w:lang w:val="fr-FR"/>
          </w:rPr>
          <w:t>LHE/22/17.COM/3</w:t>
        </w:r>
      </w:hyperlink>
    </w:p>
    <w:p w14:paraId="0CB684D5" w14:textId="1B50A3F0" w:rsidR="001A2FF6" w:rsidRPr="001A2FF6" w:rsidRDefault="001A2FF6">
      <w:pPr>
        <w:pStyle w:val="Orateurengris"/>
        <w:tabs>
          <w:tab w:val="clear" w:pos="709"/>
          <w:tab w:val="clear" w:pos="1418"/>
          <w:tab w:val="clear" w:pos="2835"/>
        </w:tabs>
        <w:spacing w:after="0"/>
        <w:ind w:left="709"/>
        <w:rPr>
          <w:rFonts w:asciiTheme="minorBidi" w:hAnsiTheme="minorBidi"/>
          <w:color w:val="0000FF" w:themeColor="hyperlink"/>
          <w:u w:val="single"/>
          <w:lang w:val="fr-FR"/>
        </w:rPr>
      </w:pPr>
      <w:r w:rsidRPr="001A2FF6">
        <w:rPr>
          <w:b/>
          <w:color w:val="000000" w:themeColor="text1"/>
          <w:lang w:val="fr-FR"/>
        </w:rPr>
        <w:t xml:space="preserve">Décision : </w:t>
      </w:r>
      <w:r w:rsidRPr="001A2FF6">
        <w:rPr>
          <w:b/>
          <w:color w:val="000000" w:themeColor="text1"/>
          <w:lang w:val="fr-FR"/>
        </w:rPr>
        <w:tab/>
      </w:r>
      <w:hyperlink r:id="rId19" w:history="1">
        <w:r w:rsidRPr="001A2FF6">
          <w:rPr>
            <w:rStyle w:val="Hyperlink"/>
            <w:rFonts w:asciiTheme="minorBidi" w:hAnsiTheme="minorBidi"/>
            <w:i/>
            <w:lang w:val="fr-FR"/>
          </w:rPr>
          <w:t>17.COM</w:t>
        </w:r>
        <w:r w:rsidR="00B5000D">
          <w:rPr>
            <w:rStyle w:val="Hyperlink"/>
            <w:rFonts w:asciiTheme="minorBidi" w:hAnsiTheme="minorBidi"/>
            <w:i/>
            <w:lang w:val="fr-FR"/>
          </w:rPr>
          <w:t> </w:t>
        </w:r>
        <w:r w:rsidRPr="001A2FF6">
          <w:rPr>
            <w:rStyle w:val="Hyperlink"/>
            <w:rFonts w:asciiTheme="minorBidi" w:hAnsiTheme="minorBidi"/>
            <w:i/>
            <w:lang w:val="fr-FR"/>
          </w:rPr>
          <w:t>3</w:t>
        </w:r>
      </w:hyperlink>
    </w:p>
    <w:p w14:paraId="71C8DE9D" w14:textId="6923A3CA" w:rsidR="001A2FF6" w:rsidRDefault="00FF258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FF258C">
        <w:rPr>
          <w:rFonts w:eastAsia="Malgun Gothic"/>
          <w:b/>
          <w:bCs/>
          <w:lang w:val="fr-FR"/>
        </w:rPr>
        <w:t>Président</w:t>
      </w:r>
      <w:r>
        <w:rPr>
          <w:rFonts w:eastAsia="Malgun Gothic"/>
          <w:lang w:val="fr-FR"/>
        </w:rPr>
        <w:t xml:space="preserve"> est passé au point</w:t>
      </w:r>
      <w:r w:rsidR="00E50443">
        <w:rPr>
          <w:rFonts w:eastAsia="Malgun Gothic"/>
          <w:lang w:val="fr-FR"/>
        </w:rPr>
        <w:t> </w:t>
      </w:r>
      <w:r>
        <w:rPr>
          <w:rFonts w:eastAsia="Malgun Gothic"/>
          <w:lang w:val="fr-FR"/>
        </w:rPr>
        <w:t>3</w:t>
      </w:r>
      <w:r w:rsidR="007D111B">
        <w:rPr>
          <w:rFonts w:eastAsia="Malgun Gothic"/>
          <w:lang w:val="fr-FR"/>
        </w:rPr>
        <w:t xml:space="preserve"> </w:t>
      </w:r>
      <w:r w:rsidR="000E16C7">
        <w:rPr>
          <w:rFonts w:eastAsia="Malgun Gothic"/>
          <w:lang w:val="fr-FR"/>
        </w:rPr>
        <w:t>de l</w:t>
      </w:r>
      <w:r w:rsidR="00923E72">
        <w:rPr>
          <w:rFonts w:eastAsia="Malgun Gothic"/>
          <w:lang w:val="fr-FR"/>
        </w:rPr>
        <w:t>’</w:t>
      </w:r>
      <w:r w:rsidR="000E16C7" w:rsidRPr="000E16C7">
        <w:rPr>
          <w:rFonts w:eastAsia="Malgun Gothic"/>
          <w:lang w:val="fr-FR"/>
        </w:rPr>
        <w:t>ordre du jour</w:t>
      </w:r>
      <w:r w:rsidR="000E16C7">
        <w:rPr>
          <w:rFonts w:eastAsia="Malgun Gothic"/>
          <w:lang w:val="fr-FR"/>
        </w:rPr>
        <w:t xml:space="preserve">, </w:t>
      </w:r>
      <w:r>
        <w:rPr>
          <w:rFonts w:eastAsia="Malgun Gothic"/>
          <w:lang w:val="fr-FR"/>
        </w:rPr>
        <w:t xml:space="preserve">les </w:t>
      </w:r>
      <w:r w:rsidRPr="00FF258C">
        <w:rPr>
          <w:rFonts w:eastAsia="Malgun Gothic"/>
          <w:bCs/>
          <w:lang w:val="fr-FR"/>
        </w:rPr>
        <w:t>observateurs</w:t>
      </w:r>
      <w:r>
        <w:rPr>
          <w:rFonts w:eastAsia="Malgun Gothic"/>
          <w:bCs/>
          <w:lang w:val="fr-FR"/>
        </w:rPr>
        <w:t xml:space="preserve">. </w:t>
      </w:r>
    </w:p>
    <w:p w14:paraId="56F937DF" w14:textId="4DA1719E" w:rsidR="001A2FF6" w:rsidRDefault="00FF258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F258C">
        <w:rPr>
          <w:rFonts w:eastAsia="Malgun Gothic"/>
          <w:lang w:val="fr-FR"/>
        </w:rPr>
        <w:t xml:space="preserve">Le </w:t>
      </w:r>
      <w:r w:rsidRPr="00FF258C">
        <w:rPr>
          <w:rFonts w:eastAsia="Malgun Gothic"/>
          <w:b/>
          <w:bCs/>
          <w:lang w:val="fr-FR"/>
        </w:rPr>
        <w:t>Secrétaire</w:t>
      </w:r>
      <w:r w:rsidRPr="00FF258C">
        <w:rPr>
          <w:rFonts w:eastAsia="Malgun Gothic"/>
          <w:lang w:val="fr-FR"/>
        </w:rPr>
        <w:t xml:space="preserve"> </w:t>
      </w:r>
      <w:r>
        <w:rPr>
          <w:rFonts w:eastAsia="Malgun Gothic"/>
          <w:lang w:val="fr-FR"/>
        </w:rPr>
        <w:t xml:space="preserve">a </w:t>
      </w:r>
      <w:r w:rsidRPr="00FF258C">
        <w:rPr>
          <w:rFonts w:eastAsia="Malgun Gothic"/>
          <w:lang w:val="fr-FR"/>
        </w:rPr>
        <w:t>expliqu</w:t>
      </w:r>
      <w:r>
        <w:rPr>
          <w:rFonts w:eastAsia="Malgun Gothic"/>
          <w:lang w:val="fr-FR"/>
        </w:rPr>
        <w:t>é</w:t>
      </w:r>
      <w:r w:rsidRPr="00FF258C">
        <w:rPr>
          <w:rFonts w:eastAsia="Malgun Gothic"/>
          <w:lang w:val="fr-FR"/>
        </w:rPr>
        <w:t xml:space="preserve"> que le Comité </w:t>
      </w:r>
      <w:r>
        <w:rPr>
          <w:rFonts w:eastAsia="Malgun Gothic"/>
          <w:lang w:val="fr-FR"/>
        </w:rPr>
        <w:t>était</w:t>
      </w:r>
      <w:r w:rsidRPr="00FF258C">
        <w:rPr>
          <w:rFonts w:eastAsia="Malgun Gothic"/>
          <w:lang w:val="fr-FR"/>
        </w:rPr>
        <w:t xml:space="preserve"> invité à prendre note des observateurs autorisés à assister à cette session. </w:t>
      </w:r>
      <w:r>
        <w:rPr>
          <w:rFonts w:eastAsia="Malgun Gothic"/>
          <w:lang w:val="fr-FR"/>
        </w:rPr>
        <w:t>Il a rappelé que l</w:t>
      </w:r>
      <w:r w:rsidR="00923E72">
        <w:rPr>
          <w:rFonts w:eastAsia="Malgun Gothic"/>
          <w:lang w:val="fr-FR"/>
        </w:rPr>
        <w:t>’</w:t>
      </w:r>
      <w:r w:rsidRPr="00FF258C">
        <w:rPr>
          <w:rFonts w:eastAsia="Malgun Gothic"/>
          <w:lang w:val="fr-FR"/>
        </w:rPr>
        <w:t>article</w:t>
      </w:r>
      <w:r w:rsidR="006773EF">
        <w:rPr>
          <w:rFonts w:eastAsia="Malgun Gothic"/>
          <w:lang w:val="fr-FR"/>
        </w:rPr>
        <w:t> </w:t>
      </w:r>
      <w:r w:rsidRPr="00FF258C">
        <w:rPr>
          <w:rFonts w:eastAsia="Malgun Gothic"/>
          <w:lang w:val="fr-FR"/>
        </w:rPr>
        <w:t>8 du Règlement intérieur du Comité définit les critères de participation des observateurs aux sessions du Comité. Conformément à cet article et aux décisions</w:t>
      </w:r>
      <w:r w:rsidR="00B5000D">
        <w:rPr>
          <w:rFonts w:eastAsia="Malgun Gothic"/>
          <w:lang w:val="fr-FR"/>
        </w:rPr>
        <w:t> </w:t>
      </w:r>
      <w:hyperlink r:id="rId20" w:history="1">
        <w:r w:rsidR="007D111B" w:rsidRPr="007D111B">
          <w:rPr>
            <w:rStyle w:val="Hyperlink"/>
            <w:rFonts w:eastAsia="Malgun Gothic"/>
            <w:lang w:val="fr-FR"/>
          </w:rPr>
          <w:t>14.COM</w:t>
        </w:r>
        <w:r w:rsidR="007D111B">
          <w:rPr>
            <w:rStyle w:val="Hyperlink"/>
            <w:rFonts w:eastAsia="Malgun Gothic"/>
            <w:lang w:val="fr-FR"/>
          </w:rPr>
          <w:t> </w:t>
        </w:r>
        <w:r w:rsidR="007D111B" w:rsidRPr="007D111B">
          <w:rPr>
            <w:rStyle w:val="Hyperlink"/>
            <w:rFonts w:eastAsia="Malgun Gothic"/>
            <w:lang w:val="fr-FR"/>
          </w:rPr>
          <w:t>3</w:t>
        </w:r>
      </w:hyperlink>
      <w:r w:rsidRPr="00FF258C">
        <w:rPr>
          <w:rFonts w:eastAsia="Malgun Gothic"/>
          <w:lang w:val="fr-FR"/>
        </w:rPr>
        <w:t>,</w:t>
      </w:r>
      <w:r w:rsidR="002B668C">
        <w:rPr>
          <w:rFonts w:eastAsia="Malgun Gothic"/>
          <w:lang w:val="fr-FR"/>
        </w:rPr>
        <w:t> </w:t>
      </w:r>
      <w:hyperlink r:id="rId21" w:history="1">
        <w:r w:rsidR="00B5000D">
          <w:rPr>
            <w:rStyle w:val="Hyperlink"/>
            <w:rFonts w:eastAsia="Malgun Gothic"/>
            <w:lang w:val="fr-FR"/>
          </w:rPr>
          <w:t>15.COM 4</w:t>
        </w:r>
      </w:hyperlink>
      <w:r w:rsidR="007D111B">
        <w:rPr>
          <w:rFonts w:eastAsia="Malgun Gothic"/>
          <w:lang w:val="fr-FR"/>
        </w:rPr>
        <w:t xml:space="preserve"> </w:t>
      </w:r>
      <w:r w:rsidRPr="00FF258C">
        <w:rPr>
          <w:rFonts w:eastAsia="Malgun Gothic"/>
          <w:lang w:val="fr-FR"/>
        </w:rPr>
        <w:t>et</w:t>
      </w:r>
      <w:r w:rsidR="002B668C">
        <w:rPr>
          <w:rFonts w:eastAsia="Malgun Gothic"/>
          <w:lang w:val="fr-FR"/>
        </w:rPr>
        <w:t> </w:t>
      </w:r>
      <w:hyperlink r:id="rId22" w:history="1">
        <w:r w:rsidR="007D111B" w:rsidRPr="007D111B">
          <w:rPr>
            <w:rStyle w:val="Hyperlink"/>
            <w:rFonts w:eastAsia="Malgun Gothic"/>
            <w:lang w:val="fr-FR"/>
          </w:rPr>
          <w:t>16.COM</w:t>
        </w:r>
        <w:r w:rsidR="007D111B">
          <w:rPr>
            <w:rStyle w:val="Hyperlink"/>
            <w:rFonts w:eastAsia="Malgun Gothic"/>
            <w:lang w:val="fr-FR"/>
          </w:rPr>
          <w:t> </w:t>
        </w:r>
        <w:r w:rsidR="007D111B" w:rsidRPr="007D111B">
          <w:rPr>
            <w:rStyle w:val="Hyperlink"/>
            <w:rFonts w:eastAsia="Malgun Gothic"/>
            <w:lang w:val="fr-FR"/>
          </w:rPr>
          <w:t>3</w:t>
        </w:r>
      </w:hyperlink>
      <w:r w:rsidRPr="00FF258C">
        <w:rPr>
          <w:rFonts w:eastAsia="Malgun Gothic"/>
          <w:lang w:val="fr-FR"/>
        </w:rPr>
        <w:t>, l</w:t>
      </w:r>
      <w:r w:rsidR="00923E72">
        <w:rPr>
          <w:rFonts w:eastAsia="Malgun Gothic"/>
          <w:lang w:val="fr-FR"/>
        </w:rPr>
        <w:t>’</w:t>
      </w:r>
      <w:r w:rsidRPr="00FF258C">
        <w:rPr>
          <w:rFonts w:eastAsia="Malgun Gothic"/>
          <w:lang w:val="fr-FR"/>
        </w:rPr>
        <w:t>Organisation arabe pour l</w:t>
      </w:r>
      <w:r w:rsidR="00923E72">
        <w:rPr>
          <w:rFonts w:eastAsia="Malgun Gothic"/>
          <w:lang w:val="fr-FR"/>
        </w:rPr>
        <w:t>’</w:t>
      </w:r>
      <w:r w:rsidRPr="00FF258C">
        <w:rPr>
          <w:rFonts w:eastAsia="Malgun Gothic"/>
          <w:lang w:val="fr-FR"/>
        </w:rPr>
        <w:t>éducation, la culture et la science (ALECSO) p</w:t>
      </w:r>
      <w:r>
        <w:rPr>
          <w:rFonts w:eastAsia="Malgun Gothic"/>
          <w:lang w:val="fr-FR"/>
        </w:rPr>
        <w:t>ouvait</w:t>
      </w:r>
      <w:r w:rsidRPr="00FF258C">
        <w:rPr>
          <w:rFonts w:eastAsia="Malgun Gothic"/>
          <w:lang w:val="fr-FR"/>
        </w:rPr>
        <w:t xml:space="preserve"> participer à cette session en tant qu</w:t>
      </w:r>
      <w:r w:rsidR="00923E72">
        <w:rPr>
          <w:rFonts w:eastAsia="Malgun Gothic"/>
          <w:lang w:val="fr-FR"/>
        </w:rPr>
        <w:t>’</w:t>
      </w:r>
      <w:r w:rsidRPr="00FF258C">
        <w:rPr>
          <w:rFonts w:eastAsia="Malgun Gothic"/>
          <w:lang w:val="fr-FR"/>
        </w:rPr>
        <w:t xml:space="preserve">observateur. Il a été </w:t>
      </w:r>
      <w:r w:rsidR="003F4F65">
        <w:rPr>
          <w:rFonts w:eastAsia="Malgun Gothic"/>
          <w:lang w:val="fr-FR"/>
        </w:rPr>
        <w:t>précisé</w:t>
      </w:r>
      <w:r w:rsidRPr="00FF258C">
        <w:rPr>
          <w:rFonts w:eastAsia="Malgun Gothic"/>
          <w:lang w:val="fr-FR"/>
        </w:rPr>
        <w:t xml:space="preserve"> que le document </w:t>
      </w:r>
      <w:r w:rsidR="003F4F65">
        <w:rPr>
          <w:rFonts w:eastAsia="Malgun Gothic"/>
          <w:lang w:val="fr-FR"/>
        </w:rPr>
        <w:t>relatif à</w:t>
      </w:r>
      <w:r w:rsidRPr="00FF258C">
        <w:rPr>
          <w:rFonts w:eastAsia="Malgun Gothic"/>
          <w:lang w:val="fr-FR"/>
        </w:rPr>
        <w:t xml:space="preserve"> ce point ne mentionn</w:t>
      </w:r>
      <w:r w:rsidR="007D111B">
        <w:rPr>
          <w:rFonts w:eastAsia="Malgun Gothic"/>
          <w:lang w:val="fr-FR"/>
        </w:rPr>
        <w:t>ait</w:t>
      </w:r>
      <w:r w:rsidRPr="00FF258C">
        <w:rPr>
          <w:rFonts w:eastAsia="Malgun Gothic"/>
          <w:lang w:val="fr-FR"/>
        </w:rPr>
        <w:t xml:space="preserve"> pas la participation des ONG accréditées</w:t>
      </w:r>
      <w:r w:rsidR="003F4F65">
        <w:rPr>
          <w:rFonts w:eastAsia="Malgun Gothic"/>
          <w:lang w:val="fr-FR"/>
        </w:rPr>
        <w:t>,</w:t>
      </w:r>
      <w:r w:rsidRPr="00FF258C">
        <w:rPr>
          <w:rFonts w:eastAsia="Malgun Gothic"/>
          <w:lang w:val="fr-FR"/>
        </w:rPr>
        <w:t xml:space="preserve"> car elles sont automatiquement admises en tant qu</w:t>
      </w:r>
      <w:r w:rsidR="00923E72">
        <w:rPr>
          <w:rFonts w:eastAsia="Malgun Gothic"/>
          <w:lang w:val="fr-FR"/>
        </w:rPr>
        <w:t>’</w:t>
      </w:r>
      <w:r w:rsidRPr="00FF258C">
        <w:rPr>
          <w:rFonts w:eastAsia="Malgun Gothic"/>
          <w:lang w:val="fr-FR"/>
        </w:rPr>
        <w:t>observateurs, conformément à l</w:t>
      </w:r>
      <w:r w:rsidR="00923E72">
        <w:rPr>
          <w:rFonts w:eastAsia="Malgun Gothic"/>
          <w:lang w:val="fr-FR"/>
        </w:rPr>
        <w:t>’</w:t>
      </w:r>
      <w:r w:rsidRPr="00FF258C">
        <w:rPr>
          <w:rFonts w:eastAsia="Malgun Gothic"/>
          <w:lang w:val="fr-FR"/>
        </w:rPr>
        <w:t>article</w:t>
      </w:r>
      <w:r w:rsidR="00B5000D">
        <w:rPr>
          <w:rFonts w:eastAsia="Malgun Gothic"/>
          <w:lang w:val="fr-FR"/>
        </w:rPr>
        <w:t> </w:t>
      </w:r>
      <w:r w:rsidRPr="00FF258C">
        <w:rPr>
          <w:rFonts w:eastAsia="Malgun Gothic"/>
          <w:lang w:val="fr-FR"/>
        </w:rPr>
        <w:t>6 du Règlement intérieur. Le Secrétariat n</w:t>
      </w:r>
      <w:r w:rsidR="00923E72">
        <w:rPr>
          <w:rFonts w:eastAsia="Malgun Gothic"/>
          <w:lang w:val="fr-FR"/>
        </w:rPr>
        <w:t>’</w:t>
      </w:r>
      <w:r w:rsidRPr="00FF258C">
        <w:rPr>
          <w:rFonts w:eastAsia="Malgun Gothic"/>
          <w:lang w:val="fr-FR"/>
        </w:rPr>
        <w:t>a</w:t>
      </w:r>
      <w:r w:rsidR="003F4F65">
        <w:rPr>
          <w:rFonts w:eastAsia="Malgun Gothic"/>
          <w:lang w:val="fr-FR"/>
        </w:rPr>
        <w:t>vait, à ce jour,</w:t>
      </w:r>
      <w:r w:rsidRPr="00FF258C">
        <w:rPr>
          <w:rFonts w:eastAsia="Malgun Gothic"/>
          <w:lang w:val="fr-FR"/>
        </w:rPr>
        <w:t xml:space="preserve"> reçu aucune demande écrite </w:t>
      </w:r>
      <w:r w:rsidR="006C16B5">
        <w:rPr>
          <w:rFonts w:eastAsia="Malgun Gothic"/>
          <w:lang w:val="fr-FR"/>
        </w:rPr>
        <w:t>d</w:t>
      </w:r>
      <w:r w:rsidR="00923E72">
        <w:rPr>
          <w:rFonts w:eastAsia="Malgun Gothic"/>
          <w:lang w:val="fr-FR"/>
        </w:rPr>
        <w:t>’</w:t>
      </w:r>
      <w:r w:rsidR="006C16B5">
        <w:rPr>
          <w:rFonts w:eastAsia="Malgun Gothic"/>
          <w:lang w:val="fr-FR"/>
        </w:rPr>
        <w:t xml:space="preserve">entités </w:t>
      </w:r>
      <w:r w:rsidRPr="00FF258C">
        <w:rPr>
          <w:rFonts w:eastAsia="Malgun Gothic"/>
          <w:lang w:val="fr-FR"/>
        </w:rPr>
        <w:t xml:space="preserve">pour </w:t>
      </w:r>
      <w:r w:rsidR="006C16B5">
        <w:rPr>
          <w:rFonts w:eastAsia="Malgun Gothic"/>
          <w:lang w:val="fr-FR"/>
        </w:rPr>
        <w:t xml:space="preserve">assister </w:t>
      </w:r>
      <w:r w:rsidRPr="00FF258C">
        <w:rPr>
          <w:rFonts w:eastAsia="Malgun Gothic"/>
          <w:lang w:val="fr-FR"/>
        </w:rPr>
        <w:t>aux futures sessions en tant qu</w:t>
      </w:r>
      <w:r w:rsidR="00923E72">
        <w:rPr>
          <w:rFonts w:eastAsia="Malgun Gothic"/>
          <w:lang w:val="fr-FR"/>
        </w:rPr>
        <w:t>’</w:t>
      </w:r>
      <w:r w:rsidRPr="00FF258C">
        <w:rPr>
          <w:rFonts w:eastAsia="Malgun Gothic"/>
          <w:lang w:val="fr-FR"/>
        </w:rPr>
        <w:t>observateur</w:t>
      </w:r>
      <w:r w:rsidR="006C16B5">
        <w:rPr>
          <w:rFonts w:eastAsia="Malgun Gothic"/>
          <w:lang w:val="fr-FR"/>
        </w:rPr>
        <w:t>s</w:t>
      </w:r>
      <w:r w:rsidRPr="00FF258C">
        <w:rPr>
          <w:rFonts w:eastAsia="Malgun Gothic"/>
          <w:lang w:val="fr-FR"/>
        </w:rPr>
        <w:t>.</w:t>
      </w:r>
    </w:p>
    <w:p w14:paraId="299BAD90" w14:textId="180941F4" w:rsidR="003F4F65" w:rsidRDefault="003F4F6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3F4F65">
        <w:rPr>
          <w:rFonts w:eastAsia="Malgun Gothic"/>
          <w:lang w:val="fr-FR"/>
        </w:rPr>
        <w:t xml:space="preserve">Le </w:t>
      </w:r>
      <w:r w:rsidRPr="003F4F65">
        <w:rPr>
          <w:rFonts w:eastAsia="Malgun Gothic"/>
          <w:b/>
          <w:bCs/>
          <w:lang w:val="fr-FR"/>
        </w:rPr>
        <w:t>Président</w:t>
      </w:r>
      <w:r w:rsidRPr="003F4F65">
        <w:rPr>
          <w:rFonts w:eastAsia="Malgun Gothic"/>
          <w:lang w:val="fr-FR"/>
        </w:rPr>
        <w:t xml:space="preserve"> </w:t>
      </w:r>
      <w:r>
        <w:rPr>
          <w:rFonts w:eastAsia="Malgun Gothic"/>
          <w:lang w:val="fr-FR"/>
        </w:rPr>
        <w:t xml:space="preserve">a </w:t>
      </w:r>
      <w:r w:rsidRPr="003F4F65">
        <w:rPr>
          <w:rFonts w:eastAsia="Malgun Gothic"/>
          <w:lang w:val="fr-FR"/>
        </w:rPr>
        <w:t>rappel</w:t>
      </w:r>
      <w:r>
        <w:rPr>
          <w:rFonts w:eastAsia="Malgun Gothic"/>
          <w:lang w:val="fr-FR"/>
        </w:rPr>
        <w:t>é</w:t>
      </w:r>
      <w:r w:rsidRPr="003F4F65">
        <w:rPr>
          <w:rFonts w:eastAsia="Malgun Gothic"/>
          <w:lang w:val="fr-FR"/>
        </w:rPr>
        <w:t xml:space="preserve"> aux observateurs qu</w:t>
      </w:r>
      <w:r w:rsidR="00923E72">
        <w:rPr>
          <w:rFonts w:eastAsia="Malgun Gothic"/>
          <w:lang w:val="fr-FR"/>
        </w:rPr>
        <w:t>’</w:t>
      </w:r>
      <w:r w:rsidRPr="003F4F65">
        <w:rPr>
          <w:rFonts w:eastAsia="Malgun Gothic"/>
          <w:lang w:val="fr-FR"/>
        </w:rPr>
        <w:t>ils p</w:t>
      </w:r>
      <w:r w:rsidR="006C16B5">
        <w:rPr>
          <w:rFonts w:eastAsia="Malgun Gothic"/>
          <w:lang w:val="fr-FR"/>
        </w:rPr>
        <w:t>ourraient</w:t>
      </w:r>
      <w:r w:rsidRPr="003F4F65">
        <w:rPr>
          <w:rFonts w:eastAsia="Malgun Gothic"/>
          <w:lang w:val="fr-FR"/>
        </w:rPr>
        <w:t xml:space="preserve"> prendre la parole au cours d</w:t>
      </w:r>
      <w:r w:rsidR="00923E72">
        <w:rPr>
          <w:rFonts w:eastAsia="Malgun Gothic"/>
          <w:lang w:val="fr-FR"/>
        </w:rPr>
        <w:t>’</w:t>
      </w:r>
      <w:r w:rsidRPr="003F4F65">
        <w:rPr>
          <w:rFonts w:eastAsia="Malgun Gothic"/>
          <w:lang w:val="fr-FR"/>
        </w:rPr>
        <w:t>un débat général ou après une décision, mais qu</w:t>
      </w:r>
      <w:r w:rsidR="00923E72">
        <w:rPr>
          <w:rFonts w:eastAsia="Malgun Gothic"/>
          <w:lang w:val="fr-FR"/>
        </w:rPr>
        <w:t>’</w:t>
      </w:r>
      <w:r w:rsidRPr="003F4F65">
        <w:rPr>
          <w:rFonts w:eastAsia="Malgun Gothic"/>
          <w:lang w:val="fr-FR"/>
        </w:rPr>
        <w:t xml:space="preserve">ils ne </w:t>
      </w:r>
      <w:r w:rsidR="00E50443">
        <w:rPr>
          <w:rFonts w:eastAsia="Malgun Gothic"/>
          <w:lang w:val="fr-FR"/>
        </w:rPr>
        <w:t xml:space="preserve">pourraient </w:t>
      </w:r>
      <w:r w:rsidRPr="003F4F65">
        <w:rPr>
          <w:rFonts w:eastAsia="Malgun Gothic"/>
          <w:lang w:val="fr-FR"/>
        </w:rPr>
        <w:t>pas intervenir au cours des discussions sur les projets de décision. En l</w:t>
      </w:r>
      <w:r w:rsidR="00923E72">
        <w:rPr>
          <w:rFonts w:eastAsia="Malgun Gothic"/>
          <w:lang w:val="fr-FR"/>
        </w:rPr>
        <w:t>’</w:t>
      </w:r>
      <w:r w:rsidRPr="003F4F65">
        <w:rPr>
          <w:rFonts w:eastAsia="Malgun Gothic"/>
          <w:lang w:val="fr-FR"/>
        </w:rPr>
        <w:t>absence de commentaires ou d</w:t>
      </w:r>
      <w:r w:rsidR="00923E72">
        <w:rPr>
          <w:rFonts w:eastAsia="Malgun Gothic"/>
          <w:lang w:val="fr-FR"/>
        </w:rPr>
        <w:t>’</w:t>
      </w:r>
      <w:r w:rsidRPr="003F4F65">
        <w:rPr>
          <w:rFonts w:eastAsia="Malgun Gothic"/>
          <w:lang w:val="fr-FR"/>
        </w:rPr>
        <w:t xml:space="preserve">objections, le </w:t>
      </w:r>
      <w:r w:rsidRPr="00702497">
        <w:rPr>
          <w:rFonts w:eastAsia="Malgun Gothic"/>
          <w:b/>
          <w:bCs/>
          <w:lang w:val="fr-FR"/>
        </w:rPr>
        <w:t xml:space="preserve">Président a déclaré la </w:t>
      </w:r>
      <w:r w:rsidRPr="00E50443">
        <w:rPr>
          <w:rFonts w:eastAsia="Malgun Gothic"/>
          <w:b/>
          <w:bCs/>
          <w:lang w:val="fr-FR"/>
        </w:rPr>
        <w:t>décision</w:t>
      </w:r>
      <w:r w:rsidR="00B5000D" w:rsidRPr="00702497">
        <w:rPr>
          <w:rFonts w:eastAsia="Malgun Gothic"/>
          <w:b/>
          <w:bCs/>
          <w:lang w:val="fr-FR"/>
        </w:rPr>
        <w:t> </w:t>
      </w:r>
      <w:hyperlink r:id="rId23" w:history="1">
        <w:r w:rsidR="006C16B5" w:rsidRPr="00B455F3">
          <w:rPr>
            <w:rStyle w:val="Hyperlink"/>
            <w:b/>
            <w:bCs/>
            <w:lang w:val="fr-FR"/>
          </w:rPr>
          <w:t>17.COM 3</w:t>
        </w:r>
      </w:hyperlink>
      <w:r w:rsidR="006C16B5" w:rsidRPr="00B455F3">
        <w:rPr>
          <w:rStyle w:val="Hyperlink"/>
          <w:b/>
          <w:bCs/>
          <w:lang w:val="fr-FR"/>
        </w:rPr>
        <w:t xml:space="preserve"> </w:t>
      </w:r>
      <w:r w:rsidRPr="00702497">
        <w:rPr>
          <w:rFonts w:eastAsia="Malgun Gothic"/>
          <w:b/>
          <w:bCs/>
          <w:lang w:val="fr-FR"/>
        </w:rPr>
        <w:t>adoptée</w:t>
      </w:r>
      <w:r w:rsidRPr="003F4F65">
        <w:rPr>
          <w:rFonts w:eastAsia="Malgun Gothic"/>
          <w:lang w:val="fr-FR"/>
        </w:rPr>
        <w:t>.</w:t>
      </w:r>
    </w:p>
    <w:p w14:paraId="712BC9CE" w14:textId="77777777" w:rsidR="006C16B5" w:rsidRDefault="006C16B5" w:rsidP="00702497">
      <w:pPr>
        <w:pStyle w:val="Orateurengris"/>
        <w:tabs>
          <w:tab w:val="clear" w:pos="709"/>
          <w:tab w:val="clear" w:pos="1418"/>
          <w:tab w:val="clear" w:pos="2126"/>
          <w:tab w:val="clear" w:pos="2835"/>
        </w:tabs>
        <w:spacing w:before="120" w:after="0"/>
        <w:ind w:left="720"/>
        <w:rPr>
          <w:rFonts w:eastAsia="Malgun Gothic"/>
          <w:lang w:val="fr-FR"/>
        </w:rPr>
      </w:pPr>
    </w:p>
    <w:p w14:paraId="69ED73F5" w14:textId="3633EE4E" w:rsidR="003F4F65" w:rsidRPr="003F4F65" w:rsidRDefault="003F4F65" w:rsidP="001B1498">
      <w:pPr>
        <w:pStyle w:val="Orateurengris"/>
        <w:tabs>
          <w:tab w:val="clear" w:pos="709"/>
          <w:tab w:val="clear" w:pos="1418"/>
          <w:tab w:val="clear" w:pos="2126"/>
          <w:tab w:val="clear" w:pos="2835"/>
        </w:tabs>
        <w:spacing w:before="120" w:after="0"/>
        <w:rPr>
          <w:rFonts w:eastAsia="Malgun Gothic"/>
          <w:lang w:val="fr-FR" w:eastAsia="ko-KR"/>
        </w:rPr>
      </w:pPr>
      <w:r>
        <w:rPr>
          <w:b/>
          <w:color w:val="000000" w:themeColor="text1"/>
          <w:u w:val="single"/>
          <w:lang w:val="fr-FR"/>
        </w:rPr>
        <w:lastRenderedPageBreak/>
        <w:t>POINT</w:t>
      </w:r>
      <w:r w:rsidR="002B668C">
        <w:rPr>
          <w:b/>
          <w:color w:val="000000" w:themeColor="text1"/>
          <w:u w:val="single"/>
          <w:lang w:val="fr-FR"/>
        </w:rPr>
        <w:t> </w:t>
      </w:r>
      <w:r>
        <w:rPr>
          <w:b/>
          <w:color w:val="000000" w:themeColor="text1"/>
          <w:u w:val="single"/>
          <w:lang w:val="fr-FR"/>
        </w:rPr>
        <w:t>4.a DE L</w:t>
      </w:r>
      <w:r w:rsidR="00923E72">
        <w:rPr>
          <w:b/>
          <w:color w:val="000000" w:themeColor="text1"/>
          <w:u w:val="single"/>
          <w:lang w:val="fr-FR"/>
        </w:rPr>
        <w:t>’</w:t>
      </w:r>
      <w:r w:rsidRPr="003F4F65">
        <w:rPr>
          <w:b/>
          <w:color w:val="000000" w:themeColor="text1"/>
          <w:u w:val="single"/>
          <w:lang w:val="fr-FR"/>
        </w:rPr>
        <w:t>ORDRE DU JOUR</w:t>
      </w:r>
      <w:r w:rsidRPr="00D010C4">
        <w:rPr>
          <w:b/>
          <w:color w:val="000000" w:themeColor="text1"/>
          <w:lang w:val="fr-FR"/>
        </w:rPr>
        <w:t> :</w:t>
      </w:r>
    </w:p>
    <w:p w14:paraId="1F7CF8C7" w14:textId="31F10548" w:rsidR="003F4F65" w:rsidRPr="003F4F65" w:rsidRDefault="003F4F65" w:rsidP="001B1498">
      <w:pPr>
        <w:pStyle w:val="Orateurengris"/>
        <w:spacing w:after="0"/>
        <w:jc w:val="left"/>
        <w:outlineLvl w:val="0"/>
        <w:rPr>
          <w:b/>
          <w:color w:val="000000" w:themeColor="text1"/>
          <w:lang w:val="fr-FR"/>
        </w:rPr>
      </w:pPr>
      <w:r w:rsidRPr="003F4F65">
        <w:rPr>
          <w:b/>
          <w:color w:val="000000" w:themeColor="text1"/>
          <w:lang w:val="fr-FR"/>
        </w:rPr>
        <w:t>ADO</w:t>
      </w:r>
      <w:r>
        <w:rPr>
          <w:b/>
          <w:color w:val="000000" w:themeColor="text1"/>
          <w:lang w:val="fr-FR"/>
        </w:rPr>
        <w:t xml:space="preserve">PTION DU </w:t>
      </w:r>
      <w:r w:rsidRPr="003F4F65">
        <w:rPr>
          <w:rFonts w:eastAsia="Times New Roman"/>
          <w:b/>
          <w:color w:val="000000" w:themeColor="text1"/>
          <w:lang w:val="fr-FR"/>
        </w:rPr>
        <w:t>COMPTE</w:t>
      </w:r>
      <w:r w:rsidR="00B5000D">
        <w:rPr>
          <w:rFonts w:eastAsia="Times New Roman"/>
          <w:b/>
          <w:color w:val="000000" w:themeColor="text1"/>
          <w:lang w:val="fr-FR"/>
        </w:rPr>
        <w:noBreakHyphen/>
      </w:r>
      <w:r w:rsidRPr="003F4F65">
        <w:rPr>
          <w:rFonts w:eastAsia="Times New Roman"/>
          <w:b/>
          <w:color w:val="000000" w:themeColor="text1"/>
          <w:lang w:val="fr-FR"/>
        </w:rPr>
        <w:t>RENDU</w:t>
      </w:r>
      <w:r>
        <w:rPr>
          <w:rFonts w:eastAsia="Times New Roman"/>
          <w:b/>
          <w:color w:val="000000" w:themeColor="text1"/>
          <w:lang w:val="fr-FR"/>
        </w:rPr>
        <w:t xml:space="preserve"> DE LA SEIZIÈME SESSION DU COMITÉ</w:t>
      </w:r>
    </w:p>
    <w:p w14:paraId="1860B9F2" w14:textId="77777777" w:rsidR="003F4F65" w:rsidRPr="003F4F65" w:rsidRDefault="003F4F65" w:rsidP="003F4F65">
      <w:pPr>
        <w:pStyle w:val="Orateurengris"/>
        <w:spacing w:after="0"/>
        <w:ind w:left="851"/>
        <w:rPr>
          <w:rFonts w:eastAsia="SimSun"/>
          <w:b/>
          <w:color w:val="000000" w:themeColor="text1"/>
          <w:lang w:val="fr-FR" w:eastAsia="zh-CN"/>
        </w:rPr>
      </w:pPr>
    </w:p>
    <w:p w14:paraId="51CA2F9C" w14:textId="6A5E7553" w:rsidR="003F4F65" w:rsidRPr="003F4F65" w:rsidRDefault="003F4F65" w:rsidP="00081DC3">
      <w:pPr>
        <w:pStyle w:val="Orateurengris"/>
        <w:tabs>
          <w:tab w:val="clear" w:pos="709"/>
        </w:tabs>
        <w:spacing w:after="0"/>
        <w:ind w:left="709"/>
        <w:rPr>
          <w:rFonts w:eastAsia="SimSun"/>
          <w:b/>
          <w:iCs/>
          <w:color w:val="000000" w:themeColor="text1"/>
          <w:lang w:val="fr-FR" w:eastAsia="zh-CN"/>
        </w:rPr>
      </w:pPr>
      <w:r w:rsidRPr="003F4F65">
        <w:rPr>
          <w:rFonts w:eastAsia="SimSun"/>
          <w:b/>
          <w:color w:val="000000" w:themeColor="text1"/>
          <w:lang w:val="fr-FR" w:eastAsia="zh-CN"/>
        </w:rPr>
        <w:t>Document</w:t>
      </w:r>
      <w:r w:rsidR="001B1498">
        <w:rPr>
          <w:rFonts w:eastAsia="SimSun"/>
          <w:b/>
          <w:color w:val="000000" w:themeColor="text1"/>
          <w:lang w:val="fr-FR" w:eastAsia="zh-CN"/>
        </w:rPr>
        <w:t> </w:t>
      </w:r>
      <w:r w:rsidRPr="003F4F65">
        <w:rPr>
          <w:rFonts w:eastAsia="SimSun"/>
          <w:b/>
          <w:color w:val="000000" w:themeColor="text1"/>
          <w:lang w:val="fr-FR" w:eastAsia="zh-CN"/>
        </w:rPr>
        <w:t>:</w:t>
      </w:r>
      <w:r w:rsidRPr="003F4F65">
        <w:rPr>
          <w:rFonts w:eastAsia="SimSun"/>
          <w:b/>
          <w:color w:val="000000" w:themeColor="text1"/>
          <w:lang w:val="fr-FR" w:eastAsia="zh-CN"/>
        </w:rPr>
        <w:tab/>
      </w:r>
      <w:hyperlink r:id="rId24" w:history="1">
        <w:r w:rsidRPr="003F4F65">
          <w:rPr>
            <w:rStyle w:val="Hyperlink"/>
            <w:i/>
            <w:lang w:val="fr-FR"/>
          </w:rPr>
          <w:t>LHE/22/17.COM/</w:t>
        </w:r>
        <w:r w:rsidRPr="001B1498">
          <w:rPr>
            <w:rStyle w:val="Hyperlink"/>
            <w:i/>
            <w:u w:val="none"/>
            <w:lang w:val="fr-FR"/>
          </w:rPr>
          <w:t>4.a</w:t>
        </w:r>
      </w:hyperlink>
    </w:p>
    <w:p w14:paraId="54916470" w14:textId="066466EA" w:rsidR="003F4F65" w:rsidRPr="003F4F65" w:rsidRDefault="003F4F65" w:rsidP="00081DC3">
      <w:pPr>
        <w:pStyle w:val="Orateurengris"/>
        <w:spacing w:before="60" w:after="240"/>
        <w:ind w:left="709"/>
        <w:rPr>
          <w:rStyle w:val="Hyperlink"/>
          <w:rFonts w:eastAsia="SimSun"/>
          <w:iCs/>
          <w:lang w:val="fr-FR" w:eastAsia="zh-CN"/>
        </w:rPr>
      </w:pPr>
      <w:r w:rsidRPr="003F4F65">
        <w:rPr>
          <w:rFonts w:eastAsia="SimSun"/>
          <w:b/>
          <w:color w:val="000000" w:themeColor="text1"/>
          <w:lang w:val="fr-FR" w:eastAsia="zh-CN"/>
        </w:rPr>
        <w:t>D</w:t>
      </w:r>
      <w:r>
        <w:rPr>
          <w:rFonts w:eastAsia="SimSun"/>
          <w:b/>
          <w:color w:val="000000" w:themeColor="text1"/>
          <w:lang w:val="fr-FR" w:eastAsia="zh-CN"/>
        </w:rPr>
        <w:t>é</w:t>
      </w:r>
      <w:r w:rsidRPr="003F4F65">
        <w:rPr>
          <w:rFonts w:eastAsia="SimSun"/>
          <w:b/>
          <w:color w:val="000000" w:themeColor="text1"/>
          <w:lang w:val="fr-FR" w:eastAsia="zh-CN"/>
        </w:rPr>
        <w:t>cision</w:t>
      </w:r>
      <w:r>
        <w:rPr>
          <w:rFonts w:eastAsia="SimSun"/>
          <w:b/>
          <w:color w:val="000000" w:themeColor="text1"/>
          <w:lang w:val="fr-FR" w:eastAsia="zh-CN"/>
        </w:rPr>
        <w:t> </w:t>
      </w:r>
      <w:r w:rsidRPr="003F4F65">
        <w:rPr>
          <w:rFonts w:eastAsia="SimSun"/>
          <w:b/>
          <w:color w:val="000000" w:themeColor="text1"/>
          <w:lang w:val="fr-FR" w:eastAsia="zh-CN"/>
        </w:rPr>
        <w:t>:</w:t>
      </w:r>
      <w:r w:rsidRPr="003F4F65">
        <w:rPr>
          <w:rFonts w:eastAsia="SimSun"/>
          <w:b/>
          <w:color w:val="000000" w:themeColor="text1"/>
          <w:lang w:val="fr-FR" w:eastAsia="zh-CN"/>
        </w:rPr>
        <w:tab/>
      </w:r>
      <w:hyperlink r:id="rId25" w:history="1">
        <w:r w:rsidRPr="003F4F65">
          <w:rPr>
            <w:rStyle w:val="Hyperlink"/>
            <w:i/>
            <w:lang w:val="fr-FR"/>
          </w:rPr>
          <w:t>17.COM</w:t>
        </w:r>
        <w:r w:rsidR="00B5000D">
          <w:rPr>
            <w:rStyle w:val="Hyperlink"/>
            <w:i/>
            <w:lang w:val="fr-FR"/>
          </w:rPr>
          <w:t> </w:t>
        </w:r>
        <w:r w:rsidRPr="003F4F65">
          <w:rPr>
            <w:rStyle w:val="Hyperlink"/>
            <w:i/>
            <w:lang w:val="fr-FR"/>
          </w:rPr>
          <w:t>4.a</w:t>
        </w:r>
      </w:hyperlink>
    </w:p>
    <w:p w14:paraId="77C64789" w14:textId="519646A2" w:rsidR="003F4F65" w:rsidRDefault="001B149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1B1498">
        <w:rPr>
          <w:rFonts w:eastAsia="Malgun Gothic"/>
          <w:lang w:val="fr-FR"/>
        </w:rPr>
        <w:t xml:space="preserve">Le </w:t>
      </w:r>
      <w:r w:rsidRPr="001B1498">
        <w:rPr>
          <w:rFonts w:eastAsia="Malgun Gothic"/>
          <w:b/>
          <w:bCs/>
          <w:lang w:val="fr-FR"/>
        </w:rPr>
        <w:t>Président</w:t>
      </w:r>
      <w:r w:rsidRPr="001B1498">
        <w:rPr>
          <w:rFonts w:eastAsia="Malgun Gothic"/>
          <w:lang w:val="fr-FR"/>
        </w:rPr>
        <w:t xml:space="preserve"> </w:t>
      </w:r>
      <w:r>
        <w:rPr>
          <w:rFonts w:eastAsia="Malgun Gothic"/>
          <w:lang w:val="fr-FR"/>
        </w:rPr>
        <w:t xml:space="preserve">est </w:t>
      </w:r>
      <w:r w:rsidRPr="001B1498">
        <w:rPr>
          <w:rFonts w:eastAsia="Malgun Gothic"/>
          <w:lang w:val="fr-FR"/>
        </w:rPr>
        <w:t>pass</w:t>
      </w:r>
      <w:r>
        <w:rPr>
          <w:rFonts w:eastAsia="Malgun Gothic"/>
          <w:lang w:val="fr-FR"/>
        </w:rPr>
        <w:t>é</w:t>
      </w:r>
      <w:r w:rsidRPr="001B1498">
        <w:rPr>
          <w:rFonts w:eastAsia="Malgun Gothic"/>
          <w:lang w:val="fr-FR"/>
        </w:rPr>
        <w:t xml:space="preserve"> au sous-point</w:t>
      </w:r>
      <w:r w:rsidR="002B668C">
        <w:rPr>
          <w:rFonts w:eastAsia="Malgun Gothic"/>
          <w:lang w:val="fr-FR"/>
        </w:rPr>
        <w:t> </w:t>
      </w:r>
      <w:r w:rsidRPr="001B1498">
        <w:rPr>
          <w:rFonts w:eastAsia="Malgun Gothic"/>
          <w:lang w:val="fr-FR"/>
        </w:rPr>
        <w:t>4.a de l</w:t>
      </w:r>
      <w:r w:rsidR="00923E72">
        <w:rPr>
          <w:rFonts w:eastAsia="Malgun Gothic"/>
          <w:lang w:val="fr-FR"/>
        </w:rPr>
        <w:t>’</w:t>
      </w:r>
      <w:r w:rsidRPr="001B1498">
        <w:rPr>
          <w:rFonts w:eastAsia="Malgun Gothic"/>
          <w:lang w:val="fr-FR"/>
        </w:rPr>
        <w:t>ordre du jour</w:t>
      </w:r>
      <w:r>
        <w:rPr>
          <w:rFonts w:eastAsia="Malgun Gothic"/>
          <w:lang w:val="fr-FR"/>
        </w:rPr>
        <w:t xml:space="preserve">, </w:t>
      </w:r>
      <w:r w:rsidRPr="001B1498">
        <w:rPr>
          <w:rFonts w:eastAsia="Malgun Gothic"/>
          <w:lang w:val="fr-FR"/>
        </w:rPr>
        <w:t>l</w:t>
      </w:r>
      <w:r w:rsidR="00923E72">
        <w:rPr>
          <w:rFonts w:eastAsia="Malgun Gothic"/>
          <w:lang w:val="fr-FR"/>
        </w:rPr>
        <w:t>’</w:t>
      </w:r>
      <w:r w:rsidRPr="001B1498">
        <w:rPr>
          <w:rFonts w:eastAsia="Malgun Gothic"/>
          <w:lang w:val="fr-FR"/>
        </w:rPr>
        <w:t>adoption d</w:t>
      </w:r>
      <w:r>
        <w:rPr>
          <w:rFonts w:eastAsia="Malgun Gothic"/>
          <w:lang w:val="fr-FR"/>
        </w:rPr>
        <w:t xml:space="preserve">u </w:t>
      </w:r>
      <w:r w:rsidRPr="001B1498">
        <w:rPr>
          <w:rFonts w:eastAsia="Times New Roman"/>
          <w:lang w:val="fr-FR"/>
        </w:rPr>
        <w:t>compte</w:t>
      </w:r>
      <w:r w:rsidR="00B5000D">
        <w:rPr>
          <w:rFonts w:eastAsia="Times New Roman"/>
          <w:lang w:val="fr-FR"/>
        </w:rPr>
        <w:noBreakHyphen/>
      </w:r>
      <w:r w:rsidRPr="001B1498">
        <w:rPr>
          <w:rFonts w:eastAsia="Times New Roman"/>
          <w:lang w:val="fr-FR"/>
        </w:rPr>
        <w:t>rendu</w:t>
      </w:r>
      <w:r w:rsidRPr="001B1498">
        <w:rPr>
          <w:rFonts w:eastAsia="Malgun Gothic"/>
          <w:lang w:val="fr-FR"/>
        </w:rPr>
        <w:t xml:space="preserve"> de la </w:t>
      </w:r>
      <w:r>
        <w:rPr>
          <w:rFonts w:eastAsia="Malgun Gothic"/>
          <w:lang w:val="fr-FR"/>
        </w:rPr>
        <w:t>seizième</w:t>
      </w:r>
      <w:r w:rsidRPr="001B1498">
        <w:rPr>
          <w:rFonts w:eastAsia="Malgun Gothic"/>
          <w:lang w:val="fr-FR"/>
        </w:rPr>
        <w:t xml:space="preserve"> session</w:t>
      </w:r>
      <w:r>
        <w:rPr>
          <w:rFonts w:eastAsia="Malgun Gothic"/>
          <w:lang w:val="fr-FR"/>
        </w:rPr>
        <w:t>,</w:t>
      </w:r>
      <w:r w:rsidRPr="001B1498">
        <w:rPr>
          <w:rFonts w:eastAsia="Malgun Gothic"/>
          <w:lang w:val="fr-FR"/>
        </w:rPr>
        <w:t xml:space="preserve"> et au sous-point</w:t>
      </w:r>
      <w:r w:rsidR="002B668C">
        <w:rPr>
          <w:rFonts w:eastAsia="Malgun Gothic"/>
          <w:lang w:val="fr-FR"/>
        </w:rPr>
        <w:t> </w:t>
      </w:r>
      <w:r w:rsidRPr="001B1498">
        <w:rPr>
          <w:rFonts w:eastAsia="Malgun Gothic"/>
          <w:lang w:val="fr-FR"/>
        </w:rPr>
        <w:t>4.b de l</w:t>
      </w:r>
      <w:r w:rsidR="00923E72">
        <w:rPr>
          <w:rFonts w:eastAsia="Malgun Gothic"/>
          <w:lang w:val="fr-FR"/>
        </w:rPr>
        <w:t>’</w:t>
      </w:r>
      <w:r w:rsidRPr="001B1498">
        <w:rPr>
          <w:rFonts w:eastAsia="Malgun Gothic"/>
          <w:lang w:val="fr-FR"/>
        </w:rPr>
        <w:t>ordre du jour</w:t>
      </w:r>
      <w:r>
        <w:rPr>
          <w:rFonts w:eastAsia="Malgun Gothic"/>
          <w:lang w:val="fr-FR"/>
        </w:rPr>
        <w:t xml:space="preserve">, </w:t>
      </w:r>
      <w:r w:rsidRPr="001B1498">
        <w:rPr>
          <w:rFonts w:eastAsia="Malgun Gothic"/>
          <w:lang w:val="fr-FR"/>
        </w:rPr>
        <w:t>l</w:t>
      </w:r>
      <w:r w:rsidR="00923E72">
        <w:rPr>
          <w:rFonts w:eastAsia="Malgun Gothic"/>
          <w:lang w:val="fr-FR"/>
        </w:rPr>
        <w:t>’</w:t>
      </w:r>
      <w:r w:rsidRPr="001B1498">
        <w:rPr>
          <w:rFonts w:eastAsia="Malgun Gothic"/>
          <w:lang w:val="fr-FR"/>
        </w:rPr>
        <w:t>adoption d</w:t>
      </w:r>
      <w:r>
        <w:rPr>
          <w:rFonts w:eastAsia="Malgun Gothic"/>
          <w:lang w:val="fr-FR"/>
        </w:rPr>
        <w:t>u</w:t>
      </w:r>
      <w:r w:rsidRPr="001B1498">
        <w:rPr>
          <w:rFonts w:eastAsia="Malgun Gothic"/>
          <w:lang w:val="fr-FR"/>
        </w:rPr>
        <w:t xml:space="preserve"> compte</w:t>
      </w:r>
      <w:r w:rsidR="00B5000D">
        <w:rPr>
          <w:rFonts w:eastAsia="Malgun Gothic"/>
          <w:lang w:val="fr-FR"/>
        </w:rPr>
        <w:noBreakHyphen/>
      </w:r>
      <w:r w:rsidRPr="001B1498">
        <w:rPr>
          <w:rFonts w:eastAsia="Malgun Gothic"/>
          <w:lang w:val="fr-FR"/>
        </w:rPr>
        <w:t xml:space="preserve">rendu de la </w:t>
      </w:r>
      <w:r>
        <w:rPr>
          <w:rFonts w:eastAsia="Malgun Gothic"/>
          <w:lang w:val="fr-FR"/>
        </w:rPr>
        <w:t>cinquième</w:t>
      </w:r>
      <w:r w:rsidRPr="001B1498">
        <w:rPr>
          <w:rFonts w:eastAsia="Malgun Gothic"/>
          <w:lang w:val="fr-FR"/>
        </w:rPr>
        <w:t xml:space="preserve"> session extraordinaire du Comité.</w:t>
      </w:r>
    </w:p>
    <w:p w14:paraId="584991D3" w14:textId="00B17087" w:rsidR="001B1498" w:rsidRDefault="001B149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1B1498">
        <w:rPr>
          <w:rFonts w:eastAsia="Malgun Gothic"/>
          <w:lang w:val="fr-FR"/>
        </w:rPr>
        <w:t xml:space="preserve">Le </w:t>
      </w:r>
      <w:r w:rsidRPr="001B1498">
        <w:rPr>
          <w:rFonts w:eastAsia="Malgun Gothic"/>
          <w:b/>
          <w:bCs/>
          <w:lang w:val="fr-FR"/>
        </w:rPr>
        <w:t>Secrétaire</w:t>
      </w:r>
      <w:r w:rsidRPr="001B1498">
        <w:rPr>
          <w:rFonts w:eastAsia="Malgun Gothic"/>
          <w:lang w:val="fr-FR"/>
        </w:rPr>
        <w:t xml:space="preserve"> </w:t>
      </w:r>
      <w:r>
        <w:rPr>
          <w:rFonts w:eastAsia="Malgun Gothic"/>
          <w:lang w:val="fr-FR"/>
        </w:rPr>
        <w:t xml:space="preserve">a </w:t>
      </w:r>
      <w:r w:rsidRPr="001B1498">
        <w:rPr>
          <w:rFonts w:eastAsia="Malgun Gothic"/>
          <w:lang w:val="fr-FR"/>
        </w:rPr>
        <w:t>expliqu</w:t>
      </w:r>
      <w:r>
        <w:rPr>
          <w:rFonts w:eastAsia="Malgun Gothic"/>
          <w:lang w:val="fr-FR"/>
        </w:rPr>
        <w:t>é</w:t>
      </w:r>
      <w:r w:rsidRPr="001B1498">
        <w:rPr>
          <w:rFonts w:eastAsia="Malgun Gothic"/>
          <w:lang w:val="fr-FR"/>
        </w:rPr>
        <w:t xml:space="preserve"> qu</w:t>
      </w:r>
      <w:r w:rsidR="00923E72">
        <w:rPr>
          <w:rFonts w:eastAsia="Malgun Gothic"/>
          <w:lang w:val="fr-FR"/>
        </w:rPr>
        <w:t>’</w:t>
      </w:r>
      <w:r w:rsidRPr="001B1498">
        <w:rPr>
          <w:rFonts w:eastAsia="Malgun Gothic"/>
          <w:lang w:val="fr-FR"/>
        </w:rPr>
        <w:t>en application de l</w:t>
      </w:r>
      <w:r w:rsidR="00923E72">
        <w:rPr>
          <w:rFonts w:eastAsia="Malgun Gothic"/>
          <w:lang w:val="fr-FR"/>
        </w:rPr>
        <w:t>’</w:t>
      </w:r>
      <w:r w:rsidRPr="001B1498">
        <w:rPr>
          <w:rFonts w:eastAsia="Malgun Gothic"/>
          <w:lang w:val="fr-FR"/>
        </w:rPr>
        <w:t>article</w:t>
      </w:r>
      <w:r w:rsidR="00B5000D">
        <w:rPr>
          <w:rFonts w:eastAsia="Malgun Gothic"/>
          <w:lang w:val="fr-FR"/>
        </w:rPr>
        <w:t> </w:t>
      </w:r>
      <w:r w:rsidRPr="001B1498">
        <w:rPr>
          <w:rFonts w:eastAsia="Malgun Gothic"/>
          <w:lang w:val="fr-FR"/>
        </w:rPr>
        <w:t>45 du Règlement intérieur du Comité, les documents</w:t>
      </w:r>
      <w:r w:rsidR="00B5000D">
        <w:rPr>
          <w:rFonts w:eastAsia="Malgun Gothic"/>
          <w:lang w:val="fr-FR"/>
        </w:rPr>
        <w:t> </w:t>
      </w:r>
      <w:r w:rsidRPr="001B1498">
        <w:rPr>
          <w:rFonts w:eastAsia="Malgun Gothic"/>
          <w:lang w:val="fr-FR"/>
        </w:rPr>
        <w:t>4.a et</w:t>
      </w:r>
      <w:r w:rsidR="00B5000D">
        <w:rPr>
          <w:rFonts w:eastAsia="Malgun Gothic"/>
          <w:lang w:val="fr-FR"/>
        </w:rPr>
        <w:t> </w:t>
      </w:r>
      <w:r w:rsidRPr="001B1498">
        <w:rPr>
          <w:rFonts w:eastAsia="Malgun Gothic"/>
          <w:lang w:val="fr-FR"/>
        </w:rPr>
        <w:t>4.b</w:t>
      </w:r>
      <w:r>
        <w:rPr>
          <w:rFonts w:eastAsia="Malgun Gothic"/>
          <w:lang w:val="fr-FR"/>
        </w:rPr>
        <w:t xml:space="preserve"> </w:t>
      </w:r>
      <w:r w:rsidRPr="001B1498">
        <w:rPr>
          <w:rFonts w:eastAsia="Malgun Gothic"/>
          <w:lang w:val="fr-FR"/>
        </w:rPr>
        <w:t>présent</w:t>
      </w:r>
      <w:r>
        <w:rPr>
          <w:rFonts w:eastAsia="Malgun Gothic"/>
          <w:lang w:val="fr-FR"/>
        </w:rPr>
        <w:t>ai</w:t>
      </w:r>
      <w:r w:rsidRPr="001B1498">
        <w:rPr>
          <w:rFonts w:eastAsia="Malgun Gothic"/>
          <w:lang w:val="fr-FR"/>
        </w:rPr>
        <w:t xml:space="preserve">ent </w:t>
      </w:r>
      <w:r w:rsidR="006C16B5" w:rsidRPr="006C16B5">
        <w:rPr>
          <w:rFonts w:eastAsia="Malgun Gothic"/>
          <w:lang w:val="fr-FR"/>
        </w:rPr>
        <w:t xml:space="preserve">respectivement </w:t>
      </w:r>
      <w:r w:rsidRPr="001B1498">
        <w:rPr>
          <w:rFonts w:eastAsia="Malgun Gothic"/>
          <w:lang w:val="fr-FR"/>
        </w:rPr>
        <w:t>les compte-</w:t>
      </w:r>
      <w:r>
        <w:rPr>
          <w:rFonts w:eastAsia="Malgun Gothic"/>
          <w:lang w:val="fr-FR"/>
        </w:rPr>
        <w:t>r</w:t>
      </w:r>
      <w:r w:rsidRPr="001B1498">
        <w:rPr>
          <w:rFonts w:eastAsia="Malgun Gothic"/>
          <w:lang w:val="fr-FR"/>
        </w:rPr>
        <w:t xml:space="preserve">endu de la </w:t>
      </w:r>
      <w:r>
        <w:rPr>
          <w:rFonts w:eastAsia="Malgun Gothic"/>
          <w:lang w:val="fr-FR"/>
        </w:rPr>
        <w:t>seizième</w:t>
      </w:r>
      <w:r w:rsidRPr="001B1498">
        <w:rPr>
          <w:rFonts w:eastAsia="Malgun Gothic"/>
          <w:lang w:val="fr-FR"/>
        </w:rPr>
        <w:t xml:space="preserve"> session ordinaire et de la </w:t>
      </w:r>
      <w:r>
        <w:rPr>
          <w:rFonts w:eastAsia="Malgun Gothic"/>
          <w:lang w:val="fr-FR"/>
        </w:rPr>
        <w:t>cinquième</w:t>
      </w:r>
      <w:r w:rsidRPr="001B1498">
        <w:rPr>
          <w:rFonts w:eastAsia="Malgun Gothic"/>
          <w:lang w:val="fr-FR"/>
        </w:rPr>
        <w:t xml:space="preserve"> session extraordinaire du Comité. On </w:t>
      </w:r>
      <w:r>
        <w:rPr>
          <w:rFonts w:eastAsia="Malgun Gothic"/>
          <w:lang w:val="fr-FR"/>
        </w:rPr>
        <w:t>pouvait espérer</w:t>
      </w:r>
      <w:r w:rsidRPr="001B1498">
        <w:rPr>
          <w:rFonts w:eastAsia="Malgun Gothic"/>
          <w:lang w:val="fr-FR"/>
        </w:rPr>
        <w:t xml:space="preserve"> qu</w:t>
      </w:r>
      <w:r w:rsidR="00923E72">
        <w:rPr>
          <w:rFonts w:eastAsia="Malgun Gothic"/>
          <w:lang w:val="fr-FR"/>
        </w:rPr>
        <w:t>’</w:t>
      </w:r>
      <w:r w:rsidRPr="001B1498">
        <w:rPr>
          <w:rFonts w:eastAsia="Malgun Gothic"/>
          <w:lang w:val="fr-FR"/>
        </w:rPr>
        <w:t>ils constituent un résumé fidèle des interventions de tous les membres du Comité et des observateurs au cours de ces sessions. Les enregistrements des débats étaient également disponibles sur l</w:t>
      </w:r>
      <w:r w:rsidR="00A25A34">
        <w:rPr>
          <w:rFonts w:eastAsia="Malgun Gothic"/>
          <w:lang w:val="fr-FR"/>
        </w:rPr>
        <w:t>es</w:t>
      </w:r>
      <w:r w:rsidRPr="001B1498">
        <w:rPr>
          <w:rFonts w:eastAsia="Malgun Gothic"/>
          <w:lang w:val="fr-FR"/>
        </w:rPr>
        <w:t xml:space="preserve"> page</w:t>
      </w:r>
      <w:r w:rsidR="00A25A34">
        <w:rPr>
          <w:rFonts w:eastAsia="Malgun Gothic"/>
          <w:lang w:val="fr-FR"/>
        </w:rPr>
        <w:t>s</w:t>
      </w:r>
      <w:r w:rsidRPr="001B1498">
        <w:rPr>
          <w:rFonts w:eastAsia="Malgun Gothic"/>
          <w:lang w:val="fr-FR"/>
        </w:rPr>
        <w:t xml:space="preserve"> web de la </w:t>
      </w:r>
      <w:hyperlink r:id="rId26" w:history="1">
        <w:r w:rsidR="006C16B5" w:rsidRPr="006C16B5">
          <w:rPr>
            <w:rStyle w:val="Hyperlink"/>
            <w:rFonts w:eastAsia="Malgun Gothic"/>
            <w:lang w:val="fr-FR"/>
          </w:rPr>
          <w:t>seizième session</w:t>
        </w:r>
      </w:hyperlink>
      <w:r w:rsidR="006C16B5">
        <w:rPr>
          <w:rFonts w:eastAsia="Malgun Gothic"/>
          <w:lang w:val="fr-FR"/>
        </w:rPr>
        <w:t xml:space="preserve"> </w:t>
      </w:r>
      <w:r w:rsidRPr="001B1498">
        <w:rPr>
          <w:rFonts w:eastAsia="Malgun Gothic"/>
          <w:lang w:val="fr-FR"/>
        </w:rPr>
        <w:t xml:space="preserve">et de la </w:t>
      </w:r>
      <w:hyperlink r:id="rId27" w:history="1">
        <w:r w:rsidR="006C16B5" w:rsidRPr="006C16B5">
          <w:rPr>
            <w:rStyle w:val="Hyperlink"/>
            <w:rFonts w:eastAsia="Malgun Gothic"/>
            <w:lang w:val="fr-FR"/>
          </w:rPr>
          <w:t>cinquième session extraordinaire</w:t>
        </w:r>
      </w:hyperlink>
      <w:r w:rsidRPr="001B1498">
        <w:rPr>
          <w:rFonts w:eastAsia="Malgun Gothic"/>
          <w:lang w:val="fr-FR"/>
        </w:rPr>
        <w:t xml:space="preserve"> du Comité.</w:t>
      </w:r>
    </w:p>
    <w:p w14:paraId="4B78F8D2" w14:textId="1EE85F09" w:rsidR="00A25A34" w:rsidRDefault="006C16B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00A25A34" w:rsidRPr="00A25A34">
        <w:rPr>
          <w:rFonts w:eastAsia="Malgun Gothic"/>
          <w:b/>
          <w:bCs/>
          <w:lang w:val="fr-FR"/>
        </w:rPr>
        <w:t>Président a déclaré la décision</w:t>
      </w:r>
      <w:r w:rsidR="00B5000D">
        <w:rPr>
          <w:rFonts w:eastAsia="Malgun Gothic"/>
          <w:b/>
          <w:bCs/>
          <w:lang w:val="fr-FR"/>
        </w:rPr>
        <w:t> </w:t>
      </w:r>
      <w:hyperlink r:id="rId28" w:history="1">
        <w:r w:rsidRPr="00B455F3">
          <w:rPr>
            <w:rStyle w:val="Hyperlink"/>
            <w:b/>
            <w:bCs/>
            <w:lang w:val="fr-FR"/>
          </w:rPr>
          <w:t>17.COM 4.a</w:t>
        </w:r>
      </w:hyperlink>
      <w:r w:rsidRPr="00B455F3">
        <w:rPr>
          <w:rStyle w:val="Hyperlink"/>
          <w:b/>
          <w:bCs/>
          <w:u w:val="none"/>
          <w:lang w:val="fr-FR"/>
        </w:rPr>
        <w:t xml:space="preserve"> </w:t>
      </w:r>
      <w:r w:rsidR="00A25A34" w:rsidRPr="006C16B5">
        <w:rPr>
          <w:rFonts w:eastAsia="Malgun Gothic"/>
          <w:b/>
          <w:bCs/>
          <w:lang w:val="fr-FR"/>
        </w:rPr>
        <w:t>adoptée</w:t>
      </w:r>
      <w:r w:rsidR="00A25A34">
        <w:rPr>
          <w:rFonts w:eastAsia="Malgun Gothic"/>
          <w:lang w:val="fr-FR"/>
        </w:rPr>
        <w:t>.</w:t>
      </w:r>
    </w:p>
    <w:p w14:paraId="3619E953" w14:textId="323692E8" w:rsidR="00A25A34" w:rsidRPr="00A25A34" w:rsidRDefault="00A25A34" w:rsidP="00A25A34">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Pr>
          <w:b/>
          <w:color w:val="000000" w:themeColor="text1"/>
          <w:u w:val="single"/>
          <w:lang w:val="fr-FR"/>
        </w:rPr>
        <w:t>POINT</w:t>
      </w:r>
      <w:r w:rsidR="002B668C">
        <w:rPr>
          <w:b/>
          <w:color w:val="000000" w:themeColor="text1"/>
          <w:u w:val="single"/>
          <w:lang w:val="fr-FR"/>
        </w:rPr>
        <w:t> </w:t>
      </w:r>
      <w:r>
        <w:rPr>
          <w:b/>
          <w:color w:val="000000" w:themeColor="text1"/>
          <w:u w:val="single"/>
          <w:lang w:val="fr-FR"/>
        </w:rPr>
        <w:t>4.b DE L</w:t>
      </w:r>
      <w:r w:rsidR="00923E72">
        <w:rPr>
          <w:b/>
          <w:color w:val="000000" w:themeColor="text1"/>
          <w:u w:val="single"/>
          <w:lang w:val="fr-FR"/>
        </w:rPr>
        <w:t>’</w:t>
      </w:r>
      <w:r w:rsidRPr="00A25A34">
        <w:rPr>
          <w:b/>
          <w:color w:val="000000" w:themeColor="text1"/>
          <w:u w:val="single"/>
          <w:lang w:val="fr-FR"/>
        </w:rPr>
        <w:t>ORDRE DU JOUR</w:t>
      </w:r>
      <w:r w:rsidRPr="00D010C4">
        <w:rPr>
          <w:b/>
          <w:color w:val="000000" w:themeColor="text1"/>
          <w:lang w:val="fr-FR"/>
        </w:rPr>
        <w:t> :</w:t>
      </w:r>
    </w:p>
    <w:p w14:paraId="33F8FB17" w14:textId="3AA3ECE9" w:rsidR="00A25A34" w:rsidRPr="00A25A34" w:rsidRDefault="00A25A34" w:rsidP="00A25A34">
      <w:pPr>
        <w:pStyle w:val="Orateurengris"/>
        <w:spacing w:after="0"/>
        <w:jc w:val="left"/>
        <w:outlineLvl w:val="0"/>
        <w:rPr>
          <w:rFonts w:eastAsia="Times New Roman"/>
          <w:b/>
          <w:color w:val="000000" w:themeColor="text1"/>
          <w:lang w:val="fr-FR"/>
        </w:rPr>
      </w:pPr>
      <w:r w:rsidRPr="00A25A34">
        <w:rPr>
          <w:b/>
          <w:color w:val="000000" w:themeColor="text1"/>
          <w:lang w:val="fr-FR"/>
        </w:rPr>
        <w:t xml:space="preserve">ADOPTION </w:t>
      </w:r>
      <w:r>
        <w:rPr>
          <w:b/>
          <w:color w:val="000000" w:themeColor="text1"/>
          <w:lang w:val="fr-FR"/>
        </w:rPr>
        <w:t xml:space="preserve">DU </w:t>
      </w:r>
      <w:r w:rsidRPr="00A25A34">
        <w:rPr>
          <w:rFonts w:eastAsia="Times New Roman"/>
          <w:b/>
          <w:color w:val="000000" w:themeColor="text1"/>
          <w:lang w:val="fr-FR"/>
        </w:rPr>
        <w:t>COMPTE</w:t>
      </w:r>
      <w:r w:rsidR="00B5000D">
        <w:rPr>
          <w:rFonts w:eastAsia="Times New Roman"/>
          <w:b/>
          <w:color w:val="000000" w:themeColor="text1"/>
          <w:lang w:val="fr-FR"/>
        </w:rPr>
        <w:noBreakHyphen/>
      </w:r>
      <w:r w:rsidRPr="00A25A34">
        <w:rPr>
          <w:rFonts w:eastAsia="Times New Roman"/>
          <w:b/>
          <w:color w:val="000000" w:themeColor="text1"/>
          <w:lang w:val="fr-FR"/>
        </w:rPr>
        <w:t>RENDU</w:t>
      </w:r>
      <w:r>
        <w:rPr>
          <w:rFonts w:eastAsia="Times New Roman"/>
          <w:b/>
          <w:color w:val="000000" w:themeColor="text1"/>
          <w:lang w:val="fr-FR"/>
        </w:rPr>
        <w:t xml:space="preserve"> DE LA CINQUIÈME SESSION EXTRAORDINAIRE DU COMITÉ</w:t>
      </w:r>
    </w:p>
    <w:p w14:paraId="237BFBA4" w14:textId="77777777" w:rsidR="00A25A34" w:rsidRPr="00A25A34" w:rsidRDefault="00A25A34" w:rsidP="00A25A34">
      <w:pPr>
        <w:pStyle w:val="Orateurengris"/>
        <w:tabs>
          <w:tab w:val="clear" w:pos="709"/>
          <w:tab w:val="clear" w:pos="1418"/>
          <w:tab w:val="clear" w:pos="2126"/>
          <w:tab w:val="clear" w:pos="2835"/>
        </w:tabs>
        <w:spacing w:after="0"/>
        <w:ind w:left="567"/>
        <w:rPr>
          <w:b/>
          <w:color w:val="000000" w:themeColor="text1"/>
          <w:lang w:val="fr-FR"/>
        </w:rPr>
      </w:pPr>
    </w:p>
    <w:p w14:paraId="66718E7A" w14:textId="594A4CA0" w:rsidR="00A25A34" w:rsidRPr="00A25A34" w:rsidRDefault="00A25A34" w:rsidP="00A25A34">
      <w:pPr>
        <w:pStyle w:val="Orateurengris"/>
        <w:tabs>
          <w:tab w:val="clear" w:pos="709"/>
          <w:tab w:val="clear" w:pos="1418"/>
          <w:tab w:val="clear" w:pos="2126"/>
          <w:tab w:val="clear" w:pos="2835"/>
        </w:tabs>
        <w:spacing w:after="0"/>
        <w:ind w:left="709"/>
        <w:rPr>
          <w:lang w:val="fr-FR"/>
        </w:rPr>
      </w:pPr>
      <w:r w:rsidRPr="00A25A34">
        <w:rPr>
          <w:b/>
          <w:color w:val="000000" w:themeColor="text1"/>
          <w:lang w:val="fr-FR"/>
        </w:rPr>
        <w:t>Document :</w:t>
      </w:r>
      <w:r w:rsidRPr="00A25A34">
        <w:rPr>
          <w:b/>
          <w:iCs/>
          <w:color w:val="000000" w:themeColor="text1"/>
          <w:lang w:val="fr-FR"/>
        </w:rPr>
        <w:tab/>
      </w:r>
      <w:hyperlink r:id="rId29" w:history="1">
        <w:r w:rsidRPr="00A25A34">
          <w:rPr>
            <w:rStyle w:val="Hyperlink"/>
            <w:i/>
            <w:lang w:val="fr-FR"/>
          </w:rPr>
          <w:t>LHE/22/17.COM/4.b</w:t>
        </w:r>
      </w:hyperlink>
    </w:p>
    <w:p w14:paraId="2D73DE99" w14:textId="3DC47745" w:rsidR="00A25A34" w:rsidRPr="00A25A34" w:rsidRDefault="00A25A34" w:rsidP="00A25A34">
      <w:pPr>
        <w:pStyle w:val="Orateurengris"/>
        <w:tabs>
          <w:tab w:val="clear" w:pos="709"/>
          <w:tab w:val="clear" w:pos="1418"/>
          <w:tab w:val="clear" w:pos="2126"/>
          <w:tab w:val="clear" w:pos="2835"/>
        </w:tabs>
        <w:spacing w:before="120" w:after="0"/>
        <w:ind w:left="709"/>
        <w:rPr>
          <w:lang w:val="fr-FR"/>
        </w:rPr>
      </w:pPr>
      <w:r w:rsidRPr="00A25A34">
        <w:rPr>
          <w:b/>
          <w:color w:val="000000" w:themeColor="text1"/>
          <w:lang w:val="fr-FR"/>
        </w:rPr>
        <w:t>Décision :</w:t>
      </w:r>
      <w:r w:rsidRPr="00A25A34">
        <w:rPr>
          <w:bCs/>
          <w:color w:val="000000" w:themeColor="text1"/>
          <w:lang w:val="fr-FR"/>
        </w:rPr>
        <w:tab/>
      </w:r>
      <w:hyperlink r:id="rId30" w:history="1">
        <w:r w:rsidRPr="00A25A34">
          <w:rPr>
            <w:rStyle w:val="Hyperlink"/>
            <w:i/>
            <w:lang w:val="fr-FR"/>
          </w:rPr>
          <w:t>17.COM</w:t>
        </w:r>
        <w:r w:rsidR="00B5000D">
          <w:rPr>
            <w:rStyle w:val="Hyperlink"/>
            <w:i/>
            <w:lang w:val="fr-FR"/>
          </w:rPr>
          <w:t> </w:t>
        </w:r>
        <w:r w:rsidRPr="00A25A34">
          <w:rPr>
            <w:rStyle w:val="Hyperlink"/>
            <w:i/>
            <w:lang w:val="fr-FR"/>
          </w:rPr>
          <w:t>4.b</w:t>
        </w:r>
      </w:hyperlink>
    </w:p>
    <w:p w14:paraId="004193F3" w14:textId="182CE60A" w:rsidR="00A25A34" w:rsidRDefault="00081DC3"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081DC3">
        <w:rPr>
          <w:rFonts w:eastAsia="Malgun Gothic"/>
          <w:b/>
          <w:bCs/>
          <w:lang w:val="fr-FR"/>
        </w:rPr>
        <w:t>Président</w:t>
      </w:r>
      <w:r>
        <w:rPr>
          <w:rFonts w:eastAsia="Malgun Gothic"/>
          <w:lang w:val="fr-FR"/>
        </w:rPr>
        <w:t xml:space="preserve"> est passé au sous-point et au document</w:t>
      </w:r>
      <w:r w:rsidR="009A34A8">
        <w:rPr>
          <w:rFonts w:eastAsia="Malgun Gothic"/>
          <w:lang w:val="fr-FR"/>
        </w:rPr>
        <w:t> </w:t>
      </w:r>
      <w:r>
        <w:rPr>
          <w:rFonts w:eastAsia="Malgun Gothic"/>
          <w:lang w:val="fr-FR"/>
        </w:rPr>
        <w:t xml:space="preserve">4.b. </w:t>
      </w:r>
      <w:r w:rsidR="006C16B5">
        <w:rPr>
          <w:rFonts w:eastAsia="Malgun Gothic"/>
          <w:lang w:val="fr-FR"/>
        </w:rPr>
        <w:t>L</w:t>
      </w:r>
      <w:r>
        <w:rPr>
          <w:rFonts w:eastAsia="Malgun Gothic"/>
          <w:lang w:val="fr-FR"/>
        </w:rPr>
        <w:t xml:space="preserve">e </w:t>
      </w:r>
      <w:r w:rsidRPr="00081DC3">
        <w:rPr>
          <w:rFonts w:eastAsia="Malgun Gothic"/>
          <w:b/>
          <w:bCs/>
          <w:lang w:val="fr-FR"/>
        </w:rPr>
        <w:t>Président a déclaré la décision</w:t>
      </w:r>
      <w:r w:rsidR="00B5000D">
        <w:rPr>
          <w:rFonts w:eastAsia="Malgun Gothic"/>
          <w:b/>
          <w:bCs/>
          <w:lang w:val="fr-FR"/>
        </w:rPr>
        <w:t> </w:t>
      </w:r>
      <w:hyperlink r:id="rId31" w:history="1">
        <w:r w:rsidR="006C16B5" w:rsidRPr="00702497">
          <w:rPr>
            <w:rStyle w:val="Hyperlink"/>
            <w:b/>
            <w:bCs/>
            <w:lang w:val="fr-FR"/>
          </w:rPr>
          <w:t>17.COM 4.b</w:t>
        </w:r>
      </w:hyperlink>
      <w:r w:rsidR="006C16B5">
        <w:rPr>
          <w:rFonts w:eastAsia="Malgun Gothic"/>
          <w:b/>
          <w:bCs/>
          <w:lang w:val="fr-FR"/>
        </w:rPr>
        <w:t xml:space="preserve"> </w:t>
      </w:r>
      <w:r w:rsidRPr="00081DC3">
        <w:rPr>
          <w:rFonts w:eastAsia="Malgun Gothic"/>
          <w:b/>
          <w:bCs/>
          <w:lang w:val="fr-FR"/>
        </w:rPr>
        <w:t>adoptée</w:t>
      </w:r>
      <w:r>
        <w:rPr>
          <w:rFonts w:eastAsia="Malgun Gothic"/>
          <w:lang w:val="fr-FR"/>
        </w:rPr>
        <w:t>.</w:t>
      </w:r>
    </w:p>
    <w:p w14:paraId="304DFA44" w14:textId="6FFCCA5B" w:rsidR="00081DC3" w:rsidRDefault="00081DC3"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081DC3">
        <w:rPr>
          <w:rFonts w:eastAsia="Malgun Gothic"/>
          <w:lang w:val="fr-FR"/>
        </w:rPr>
        <w:t xml:space="preserve">Le </w:t>
      </w:r>
      <w:r w:rsidRPr="00081DC3">
        <w:rPr>
          <w:rFonts w:eastAsia="Malgun Gothic"/>
          <w:b/>
          <w:bCs/>
          <w:lang w:val="fr-FR"/>
        </w:rPr>
        <w:t>Président</w:t>
      </w:r>
      <w:r w:rsidRPr="00081DC3">
        <w:rPr>
          <w:rFonts w:eastAsia="Malgun Gothic"/>
          <w:lang w:val="fr-FR"/>
        </w:rPr>
        <w:t xml:space="preserve"> </w:t>
      </w:r>
      <w:r>
        <w:rPr>
          <w:rFonts w:eastAsia="Malgun Gothic"/>
          <w:lang w:val="fr-FR"/>
        </w:rPr>
        <w:t xml:space="preserve">a </w:t>
      </w:r>
      <w:r w:rsidRPr="00081DC3">
        <w:rPr>
          <w:rFonts w:eastAsia="Malgun Gothic"/>
          <w:lang w:val="fr-FR"/>
        </w:rPr>
        <w:t>profit</w:t>
      </w:r>
      <w:r>
        <w:rPr>
          <w:rFonts w:eastAsia="Malgun Gothic"/>
          <w:lang w:val="fr-FR"/>
        </w:rPr>
        <w:t>é</w:t>
      </w:r>
      <w:r w:rsidRPr="00081DC3">
        <w:rPr>
          <w:rFonts w:eastAsia="Malgun Gothic"/>
          <w:lang w:val="fr-FR"/>
        </w:rPr>
        <w:t xml:space="preserve"> de l</w:t>
      </w:r>
      <w:r w:rsidR="00923E72">
        <w:rPr>
          <w:rFonts w:eastAsia="Malgun Gothic"/>
          <w:lang w:val="fr-FR"/>
        </w:rPr>
        <w:t>’</w:t>
      </w:r>
      <w:r w:rsidRPr="00081DC3">
        <w:rPr>
          <w:rFonts w:eastAsia="Malgun Gothic"/>
          <w:lang w:val="fr-FR"/>
        </w:rPr>
        <w:t>occasion pour présenter les résultats des réunions du Bureau qui s</w:t>
      </w:r>
      <w:r w:rsidR="00923E72">
        <w:rPr>
          <w:rFonts w:eastAsia="Malgun Gothic"/>
          <w:lang w:val="fr-FR"/>
        </w:rPr>
        <w:t>’</w:t>
      </w:r>
      <w:r>
        <w:rPr>
          <w:rFonts w:eastAsia="Malgun Gothic"/>
          <w:lang w:val="fr-FR"/>
        </w:rPr>
        <w:t>étaient</w:t>
      </w:r>
      <w:r w:rsidRPr="00081DC3">
        <w:rPr>
          <w:rFonts w:eastAsia="Malgun Gothic"/>
          <w:lang w:val="fr-FR"/>
        </w:rPr>
        <w:t xml:space="preserve"> tenues depuis la dernière session du Comité. Comme l</w:t>
      </w:r>
      <w:r w:rsidR="00923E72">
        <w:rPr>
          <w:rFonts w:eastAsia="Malgun Gothic"/>
          <w:lang w:val="fr-FR"/>
        </w:rPr>
        <w:t>’</w:t>
      </w:r>
      <w:r w:rsidRPr="00081DC3">
        <w:rPr>
          <w:rFonts w:eastAsia="Malgun Gothic"/>
          <w:lang w:val="fr-FR"/>
        </w:rPr>
        <w:t>a</w:t>
      </w:r>
      <w:r>
        <w:rPr>
          <w:rFonts w:eastAsia="Malgun Gothic"/>
          <w:lang w:val="fr-FR"/>
        </w:rPr>
        <w:t>vait</w:t>
      </w:r>
      <w:r w:rsidRPr="00081DC3">
        <w:rPr>
          <w:rFonts w:eastAsia="Malgun Gothic"/>
          <w:lang w:val="fr-FR"/>
        </w:rPr>
        <w:t xml:space="preserve"> décidé le Comité, le Bureau de la dix</w:t>
      </w:r>
      <w:r w:rsidR="00B5000D">
        <w:rPr>
          <w:rFonts w:eastAsia="Malgun Gothic"/>
          <w:lang w:val="fr-FR"/>
        </w:rPr>
        <w:noBreakHyphen/>
      </w:r>
      <w:r w:rsidRPr="00081DC3">
        <w:rPr>
          <w:rFonts w:eastAsia="Malgun Gothic"/>
          <w:lang w:val="fr-FR"/>
        </w:rPr>
        <w:t xml:space="preserve">septième session du Comité </w:t>
      </w:r>
      <w:r>
        <w:rPr>
          <w:rFonts w:eastAsia="Malgun Gothic"/>
          <w:lang w:val="fr-FR"/>
        </w:rPr>
        <w:t>était</w:t>
      </w:r>
      <w:r w:rsidRPr="00081DC3">
        <w:rPr>
          <w:rFonts w:eastAsia="Malgun Gothic"/>
          <w:lang w:val="fr-FR"/>
        </w:rPr>
        <w:t xml:space="preserve"> composé des </w:t>
      </w:r>
      <w:r>
        <w:rPr>
          <w:rFonts w:eastAsia="Malgun Gothic"/>
          <w:lang w:val="fr-FR"/>
        </w:rPr>
        <w:t>V</w:t>
      </w:r>
      <w:r w:rsidRPr="00081DC3">
        <w:rPr>
          <w:rFonts w:eastAsia="Malgun Gothic"/>
          <w:lang w:val="fr-FR"/>
        </w:rPr>
        <w:t>ice-</w:t>
      </w:r>
      <w:r>
        <w:rPr>
          <w:rFonts w:eastAsia="Malgun Gothic"/>
          <w:lang w:val="fr-FR"/>
        </w:rPr>
        <w:t>P</w:t>
      </w:r>
      <w:r w:rsidRPr="00081DC3">
        <w:rPr>
          <w:rFonts w:eastAsia="Malgun Gothic"/>
          <w:lang w:val="fr-FR"/>
        </w:rPr>
        <w:t>résident</w:t>
      </w:r>
      <w:r>
        <w:rPr>
          <w:rFonts w:eastAsia="Malgun Gothic"/>
          <w:lang w:val="fr-FR"/>
        </w:rPr>
        <w:t>(e)</w:t>
      </w:r>
      <w:r w:rsidRPr="00081DC3">
        <w:rPr>
          <w:rFonts w:eastAsia="Malgun Gothic"/>
          <w:lang w:val="fr-FR"/>
        </w:rPr>
        <w:t xml:space="preserve">s (Suisse, Tchéquie, Panama, République de Corée et Botswana), du </w:t>
      </w:r>
      <w:r>
        <w:rPr>
          <w:rFonts w:eastAsia="Malgun Gothic"/>
          <w:lang w:val="fr-FR"/>
        </w:rPr>
        <w:t>R</w:t>
      </w:r>
      <w:r w:rsidRPr="00081DC3">
        <w:rPr>
          <w:rFonts w:eastAsia="Malgun Gothic"/>
          <w:lang w:val="fr-FR"/>
        </w:rPr>
        <w:t>apporteur (M.</w:t>
      </w:r>
      <w:r>
        <w:rPr>
          <w:rFonts w:eastAsia="Malgun Gothic"/>
          <w:lang w:val="fr-FR"/>
        </w:rPr>
        <w:t> </w:t>
      </w:r>
      <w:r w:rsidRPr="00081DC3">
        <w:rPr>
          <w:rFonts w:eastAsia="Malgun Gothic"/>
          <w:lang w:val="fr-FR"/>
        </w:rPr>
        <w:t xml:space="preserve">Ramiro Maurice Silva Rivera du Pérou) et de lui-même en tant que Président. Il </w:t>
      </w:r>
      <w:r>
        <w:rPr>
          <w:rFonts w:eastAsia="Malgun Gothic"/>
          <w:lang w:val="fr-FR"/>
        </w:rPr>
        <w:t xml:space="preserve">a </w:t>
      </w:r>
      <w:r w:rsidRPr="00081DC3">
        <w:rPr>
          <w:rFonts w:eastAsia="Malgun Gothic"/>
          <w:lang w:val="fr-FR"/>
        </w:rPr>
        <w:t>remerci</w:t>
      </w:r>
      <w:r w:rsidR="005513A2">
        <w:rPr>
          <w:rFonts w:eastAsia="Malgun Gothic"/>
          <w:lang w:val="fr-FR"/>
        </w:rPr>
        <w:t>é</w:t>
      </w:r>
      <w:r w:rsidRPr="00081DC3">
        <w:rPr>
          <w:rFonts w:eastAsia="Malgun Gothic"/>
          <w:lang w:val="fr-FR"/>
        </w:rPr>
        <w:t xml:space="preserve"> les membres du Comité </w:t>
      </w:r>
      <w:r w:rsidR="0054486F">
        <w:rPr>
          <w:rFonts w:eastAsia="Malgun Gothic"/>
          <w:lang w:val="fr-FR"/>
        </w:rPr>
        <w:t>pour son élection et</w:t>
      </w:r>
      <w:r w:rsidRPr="00081DC3">
        <w:rPr>
          <w:rFonts w:eastAsia="Malgun Gothic"/>
          <w:lang w:val="fr-FR"/>
        </w:rPr>
        <w:t xml:space="preserve"> </w:t>
      </w:r>
      <w:r w:rsidR="0054486F">
        <w:rPr>
          <w:rFonts w:eastAsia="Malgun Gothic"/>
          <w:lang w:val="fr-FR"/>
        </w:rPr>
        <w:t>l</w:t>
      </w:r>
      <w:r w:rsidRPr="00081DC3">
        <w:rPr>
          <w:rFonts w:eastAsia="Malgun Gothic"/>
          <w:lang w:val="fr-FR"/>
        </w:rPr>
        <w:t>es collègues du Bureau pour leur participation active, leur travail acharné et leur esprit de coopération tout au long de l</w:t>
      </w:r>
      <w:r w:rsidR="00923E72">
        <w:rPr>
          <w:rFonts w:eastAsia="Malgun Gothic"/>
          <w:lang w:val="fr-FR"/>
        </w:rPr>
        <w:t>’</w:t>
      </w:r>
      <w:r w:rsidRPr="00081DC3">
        <w:rPr>
          <w:rFonts w:eastAsia="Malgun Gothic"/>
          <w:lang w:val="fr-FR"/>
        </w:rPr>
        <w:t xml:space="preserve">année. Grâce à leur aide, un certain nombre de questions importantes </w:t>
      </w:r>
      <w:r>
        <w:rPr>
          <w:rFonts w:eastAsia="Malgun Gothic"/>
          <w:lang w:val="fr-FR"/>
        </w:rPr>
        <w:t>avaient</w:t>
      </w:r>
      <w:r w:rsidRPr="00081DC3">
        <w:rPr>
          <w:rFonts w:eastAsia="Malgun Gothic"/>
          <w:lang w:val="fr-FR"/>
        </w:rPr>
        <w:t xml:space="preserve"> pu être examinées. </w:t>
      </w:r>
      <w:r>
        <w:rPr>
          <w:rFonts w:eastAsia="Malgun Gothic"/>
          <w:lang w:val="fr-FR"/>
        </w:rPr>
        <w:t>Il a rappelé que, c</w:t>
      </w:r>
      <w:r w:rsidRPr="00081DC3">
        <w:rPr>
          <w:rFonts w:eastAsia="Malgun Gothic"/>
          <w:lang w:val="fr-FR"/>
        </w:rPr>
        <w:t xml:space="preserve">onformément au </w:t>
      </w:r>
      <w:r>
        <w:rPr>
          <w:rFonts w:eastAsia="Malgun Gothic"/>
          <w:lang w:val="fr-FR"/>
        </w:rPr>
        <w:t>R</w:t>
      </w:r>
      <w:r w:rsidRPr="00081DC3">
        <w:rPr>
          <w:rFonts w:eastAsia="Malgun Gothic"/>
          <w:lang w:val="fr-FR"/>
        </w:rPr>
        <w:t xml:space="preserve">èglement intérieur du Comité et aux </w:t>
      </w:r>
      <w:r>
        <w:rPr>
          <w:rFonts w:eastAsia="Malgun Gothic"/>
          <w:lang w:val="fr-FR"/>
        </w:rPr>
        <w:t>D</w:t>
      </w:r>
      <w:r w:rsidRPr="00081DC3">
        <w:rPr>
          <w:rFonts w:eastAsia="Malgun Gothic"/>
          <w:lang w:val="fr-FR"/>
        </w:rPr>
        <w:t>irectives opérationnelles de la Convention, le Comité confie à son Bureau des tâches et des responsabilités importantes. Au cours de l</w:t>
      </w:r>
      <w:r w:rsidR="00923E72">
        <w:rPr>
          <w:rFonts w:eastAsia="Malgun Gothic"/>
          <w:lang w:val="fr-FR"/>
        </w:rPr>
        <w:t>’</w:t>
      </w:r>
      <w:r w:rsidRPr="00081DC3">
        <w:rPr>
          <w:rFonts w:eastAsia="Malgun Gothic"/>
          <w:lang w:val="fr-FR"/>
        </w:rPr>
        <w:t>année écoulée, le Comité a</w:t>
      </w:r>
      <w:r>
        <w:rPr>
          <w:rFonts w:eastAsia="Malgun Gothic"/>
          <w:lang w:val="fr-FR"/>
        </w:rPr>
        <w:t>vait</w:t>
      </w:r>
      <w:r w:rsidRPr="00081DC3">
        <w:rPr>
          <w:rFonts w:eastAsia="Malgun Gothic"/>
          <w:lang w:val="fr-FR"/>
        </w:rPr>
        <w:t xml:space="preserve"> tenu trois réunions en ligne</w:t>
      </w:r>
      <w:r>
        <w:rPr>
          <w:rFonts w:eastAsia="Malgun Gothic"/>
          <w:lang w:val="fr-FR"/>
        </w:rPr>
        <w:t>,</w:t>
      </w:r>
      <w:r w:rsidRPr="00081DC3">
        <w:rPr>
          <w:rFonts w:eastAsia="Malgun Gothic"/>
          <w:lang w:val="fr-FR"/>
        </w:rPr>
        <w:t xml:space="preserve"> les 7</w:t>
      </w:r>
      <w:r>
        <w:rPr>
          <w:rFonts w:eastAsia="Malgun Gothic"/>
          <w:lang w:val="fr-FR"/>
        </w:rPr>
        <w:t> </w:t>
      </w:r>
      <w:r w:rsidRPr="00081DC3">
        <w:rPr>
          <w:rFonts w:eastAsia="Malgun Gothic"/>
          <w:lang w:val="fr-FR"/>
        </w:rPr>
        <w:t>mars, 6</w:t>
      </w:r>
      <w:r>
        <w:rPr>
          <w:rFonts w:eastAsia="Malgun Gothic"/>
          <w:lang w:val="fr-FR"/>
        </w:rPr>
        <w:t> </w:t>
      </w:r>
      <w:r w:rsidRPr="00081DC3">
        <w:rPr>
          <w:rFonts w:eastAsia="Malgun Gothic"/>
          <w:lang w:val="fr-FR"/>
        </w:rPr>
        <w:t>mai et 23</w:t>
      </w:r>
      <w:r>
        <w:rPr>
          <w:rFonts w:eastAsia="Malgun Gothic"/>
          <w:lang w:val="fr-FR"/>
        </w:rPr>
        <w:t> </w:t>
      </w:r>
      <w:r w:rsidRPr="00081DC3">
        <w:rPr>
          <w:rFonts w:eastAsia="Malgun Gothic"/>
          <w:lang w:val="fr-FR"/>
        </w:rPr>
        <w:t>juin, ainsi qu</w:t>
      </w:r>
      <w:r w:rsidR="00923E72">
        <w:rPr>
          <w:rFonts w:eastAsia="Malgun Gothic"/>
          <w:lang w:val="fr-FR"/>
        </w:rPr>
        <w:t>’</w:t>
      </w:r>
      <w:r w:rsidRPr="00081DC3">
        <w:rPr>
          <w:rFonts w:eastAsia="Malgun Gothic"/>
          <w:lang w:val="fr-FR"/>
        </w:rPr>
        <w:t xml:space="preserve">une réunion en </w:t>
      </w:r>
      <w:r w:rsidR="0035057A">
        <w:rPr>
          <w:rFonts w:eastAsia="Malgun Gothic"/>
          <w:lang w:val="fr-FR"/>
        </w:rPr>
        <w:t>personne</w:t>
      </w:r>
      <w:r w:rsidR="00A92820">
        <w:rPr>
          <w:rFonts w:eastAsia="Malgun Gothic"/>
          <w:lang w:val="fr-FR"/>
        </w:rPr>
        <w:t xml:space="preserve"> </w:t>
      </w:r>
      <w:r w:rsidRPr="00081DC3">
        <w:rPr>
          <w:rFonts w:eastAsia="Malgun Gothic"/>
          <w:lang w:val="fr-FR"/>
        </w:rPr>
        <w:t>le 4</w:t>
      </w:r>
      <w:r>
        <w:rPr>
          <w:rFonts w:eastAsia="Malgun Gothic"/>
          <w:lang w:val="fr-FR"/>
        </w:rPr>
        <w:t> </w:t>
      </w:r>
      <w:r w:rsidRPr="00081DC3">
        <w:rPr>
          <w:rFonts w:eastAsia="Malgun Gothic"/>
          <w:lang w:val="fr-FR"/>
        </w:rPr>
        <w:t>octobre</w:t>
      </w:r>
      <w:r w:rsidR="005513A2">
        <w:rPr>
          <w:rFonts w:eastAsia="Malgun Gothic"/>
          <w:lang w:val="fr-FR"/>
        </w:rPr>
        <w:t> </w:t>
      </w:r>
      <w:r w:rsidRPr="00081DC3">
        <w:rPr>
          <w:rFonts w:eastAsia="Malgun Gothic"/>
          <w:lang w:val="fr-FR"/>
        </w:rPr>
        <w:t>2022. En outre, une consultation électronique a</w:t>
      </w:r>
      <w:r>
        <w:rPr>
          <w:rFonts w:eastAsia="Malgun Gothic"/>
          <w:lang w:val="fr-FR"/>
        </w:rPr>
        <w:t>vait</w:t>
      </w:r>
      <w:r w:rsidRPr="00081DC3">
        <w:rPr>
          <w:rFonts w:eastAsia="Malgun Gothic"/>
          <w:lang w:val="fr-FR"/>
        </w:rPr>
        <w:t xml:space="preserve"> eu lieu en mars</w:t>
      </w:r>
      <w:r>
        <w:rPr>
          <w:rFonts w:eastAsia="Malgun Gothic"/>
          <w:lang w:val="fr-FR"/>
        </w:rPr>
        <w:t> </w:t>
      </w:r>
      <w:r w:rsidRPr="00081DC3">
        <w:rPr>
          <w:rFonts w:eastAsia="Malgun Gothic"/>
          <w:lang w:val="fr-FR"/>
        </w:rPr>
        <w:t>2022. En</w:t>
      </w:r>
      <w:r w:rsidR="00246428">
        <w:rPr>
          <w:rFonts w:eastAsia="Malgun Gothic"/>
          <w:lang w:val="fr-FR"/>
        </w:rPr>
        <w:t> </w:t>
      </w:r>
      <w:r w:rsidRPr="00081DC3">
        <w:rPr>
          <w:rFonts w:eastAsia="Malgun Gothic"/>
          <w:lang w:val="fr-FR"/>
        </w:rPr>
        <w:t>2022, le Bureau a</w:t>
      </w:r>
      <w:r>
        <w:rPr>
          <w:rFonts w:eastAsia="Malgun Gothic"/>
          <w:lang w:val="fr-FR"/>
        </w:rPr>
        <w:t>vait</w:t>
      </w:r>
      <w:r w:rsidRPr="00081DC3">
        <w:rPr>
          <w:rFonts w:eastAsia="Malgun Gothic"/>
          <w:lang w:val="fr-FR"/>
        </w:rPr>
        <w:t xml:space="preserve"> examiné huit demandes d</w:t>
      </w:r>
      <w:r w:rsidR="00923E72">
        <w:rPr>
          <w:rFonts w:eastAsia="Malgun Gothic"/>
          <w:lang w:val="fr-FR"/>
        </w:rPr>
        <w:t>’</w:t>
      </w:r>
      <w:r w:rsidRPr="00081DC3">
        <w:rPr>
          <w:rFonts w:eastAsia="Malgun Gothic"/>
          <w:lang w:val="fr-FR"/>
        </w:rPr>
        <w:t>assistance internationale d</w:t>
      </w:r>
      <w:r w:rsidR="00923E72">
        <w:rPr>
          <w:rFonts w:eastAsia="Malgun Gothic"/>
          <w:lang w:val="fr-FR"/>
        </w:rPr>
        <w:t>’</w:t>
      </w:r>
      <w:r w:rsidRPr="00081DC3">
        <w:rPr>
          <w:rFonts w:eastAsia="Malgun Gothic"/>
          <w:lang w:val="fr-FR"/>
        </w:rPr>
        <w:t>un montant maximum de 100</w:t>
      </w:r>
      <w:r>
        <w:rPr>
          <w:rFonts w:eastAsia="Malgun Gothic"/>
          <w:lang w:val="fr-FR"/>
        </w:rPr>
        <w:t> </w:t>
      </w:r>
      <w:r w:rsidRPr="00081DC3">
        <w:rPr>
          <w:rFonts w:eastAsia="Malgun Gothic"/>
          <w:lang w:val="fr-FR"/>
        </w:rPr>
        <w:t>000</w:t>
      </w:r>
      <w:r>
        <w:rPr>
          <w:rFonts w:eastAsia="Malgun Gothic"/>
          <w:lang w:val="fr-FR"/>
        </w:rPr>
        <w:t> </w:t>
      </w:r>
      <w:r w:rsidRPr="00081DC3">
        <w:rPr>
          <w:rFonts w:eastAsia="Malgun Gothic"/>
          <w:lang w:val="fr-FR"/>
        </w:rPr>
        <w:t xml:space="preserve">dollars des États-Unis. Toutes </w:t>
      </w:r>
      <w:r>
        <w:rPr>
          <w:rFonts w:eastAsia="Malgun Gothic"/>
          <w:lang w:val="fr-FR"/>
        </w:rPr>
        <w:t>avaient</w:t>
      </w:r>
      <w:r w:rsidRPr="00081DC3">
        <w:rPr>
          <w:rFonts w:eastAsia="Malgun Gothic"/>
          <w:lang w:val="fr-FR"/>
        </w:rPr>
        <w:t xml:space="preserve"> été accordées, respectivement, au Tchad, à la Colombie, à la République populaire démocratique de Corée, à la République dominicaine, au Kirghizistan, à Saint-Kitts-et-Nevis et à la Thaïlande, ainsi qu</w:t>
      </w:r>
      <w:r w:rsidR="00923E72">
        <w:rPr>
          <w:rFonts w:eastAsia="Malgun Gothic"/>
          <w:lang w:val="fr-FR"/>
        </w:rPr>
        <w:t>’</w:t>
      </w:r>
      <w:r w:rsidRPr="00081DC3">
        <w:rPr>
          <w:rFonts w:eastAsia="Malgun Gothic"/>
          <w:lang w:val="fr-FR"/>
        </w:rPr>
        <w:t xml:space="preserve">à neuf États parties des Caraïbes qui </w:t>
      </w:r>
      <w:r>
        <w:rPr>
          <w:rFonts w:eastAsia="Malgun Gothic"/>
          <w:lang w:val="fr-FR"/>
        </w:rPr>
        <w:t>avaient</w:t>
      </w:r>
      <w:r w:rsidRPr="00081DC3">
        <w:rPr>
          <w:rFonts w:eastAsia="Malgun Gothic"/>
          <w:lang w:val="fr-FR"/>
        </w:rPr>
        <w:t xml:space="preserve"> présenté une demande d</w:t>
      </w:r>
      <w:r w:rsidR="00923E72">
        <w:rPr>
          <w:rFonts w:eastAsia="Malgun Gothic"/>
          <w:lang w:val="fr-FR"/>
        </w:rPr>
        <w:t>’</w:t>
      </w:r>
      <w:r w:rsidRPr="00081DC3">
        <w:rPr>
          <w:rFonts w:eastAsia="Malgun Gothic"/>
          <w:lang w:val="fr-FR"/>
        </w:rPr>
        <w:t xml:space="preserve">assistance internationale conjointe. Ce résultat </w:t>
      </w:r>
      <w:r>
        <w:rPr>
          <w:rFonts w:eastAsia="Malgun Gothic"/>
          <w:lang w:val="fr-FR"/>
        </w:rPr>
        <w:t>était</w:t>
      </w:r>
      <w:r w:rsidRPr="00081DC3">
        <w:rPr>
          <w:rFonts w:eastAsia="Malgun Gothic"/>
          <w:lang w:val="fr-FR"/>
        </w:rPr>
        <w:t xml:space="preserve"> particulièrement encourageant</w:t>
      </w:r>
      <w:r w:rsidR="003E2289">
        <w:rPr>
          <w:rFonts w:eastAsia="Malgun Gothic"/>
          <w:lang w:val="fr-FR"/>
        </w:rPr>
        <w:t>,</w:t>
      </w:r>
      <w:r w:rsidR="00B5000D">
        <w:rPr>
          <w:rFonts w:eastAsia="Malgun Gothic"/>
          <w:lang w:val="fr-FR"/>
        </w:rPr>
        <w:t xml:space="preserve"> </w:t>
      </w:r>
      <w:r w:rsidRPr="00081DC3">
        <w:rPr>
          <w:rFonts w:eastAsia="Malgun Gothic"/>
          <w:lang w:val="fr-FR"/>
        </w:rPr>
        <w:t>car c</w:t>
      </w:r>
      <w:r w:rsidR="00923E72">
        <w:rPr>
          <w:rFonts w:eastAsia="Malgun Gothic"/>
          <w:lang w:val="fr-FR"/>
        </w:rPr>
        <w:t>’</w:t>
      </w:r>
      <w:r>
        <w:rPr>
          <w:rFonts w:eastAsia="Malgun Gothic"/>
          <w:lang w:val="fr-FR"/>
        </w:rPr>
        <w:t>était</w:t>
      </w:r>
      <w:r w:rsidRPr="00081DC3">
        <w:rPr>
          <w:rFonts w:eastAsia="Malgun Gothic"/>
          <w:lang w:val="fr-FR"/>
        </w:rPr>
        <w:t xml:space="preserve"> la première fois qu</w:t>
      </w:r>
      <w:r w:rsidR="00923E72">
        <w:rPr>
          <w:rFonts w:eastAsia="Malgun Gothic"/>
          <w:lang w:val="fr-FR"/>
        </w:rPr>
        <w:t>’</w:t>
      </w:r>
      <w:r w:rsidRPr="00081DC3">
        <w:rPr>
          <w:rFonts w:eastAsia="Malgun Gothic"/>
          <w:lang w:val="fr-FR"/>
        </w:rPr>
        <w:t>une demande d</w:t>
      </w:r>
      <w:r w:rsidR="00923E72">
        <w:rPr>
          <w:rFonts w:eastAsia="Malgun Gothic"/>
          <w:lang w:val="fr-FR"/>
        </w:rPr>
        <w:t>’</w:t>
      </w:r>
      <w:r w:rsidRPr="00081DC3">
        <w:rPr>
          <w:rFonts w:eastAsia="Malgun Gothic"/>
          <w:lang w:val="fr-FR"/>
        </w:rPr>
        <w:t xml:space="preserve">assistance internationale </w:t>
      </w:r>
      <w:r>
        <w:rPr>
          <w:rFonts w:eastAsia="Malgun Gothic"/>
          <w:lang w:val="fr-FR"/>
        </w:rPr>
        <w:t>était</w:t>
      </w:r>
      <w:r w:rsidRPr="00081DC3">
        <w:rPr>
          <w:rFonts w:eastAsia="Malgun Gothic"/>
          <w:lang w:val="fr-FR"/>
        </w:rPr>
        <w:t xml:space="preserve"> soumise par plusieurs États parties. Ces demandes représent</w:t>
      </w:r>
      <w:r>
        <w:rPr>
          <w:rFonts w:eastAsia="Malgun Gothic"/>
          <w:lang w:val="fr-FR"/>
        </w:rPr>
        <w:t>ai</w:t>
      </w:r>
      <w:r w:rsidRPr="00081DC3">
        <w:rPr>
          <w:rFonts w:eastAsia="Malgun Gothic"/>
          <w:lang w:val="fr-FR"/>
        </w:rPr>
        <w:t>ent un montant total de 730</w:t>
      </w:r>
      <w:r>
        <w:rPr>
          <w:rFonts w:eastAsia="Malgun Gothic"/>
          <w:lang w:val="fr-FR"/>
        </w:rPr>
        <w:t> </w:t>
      </w:r>
      <w:r w:rsidRPr="00081DC3">
        <w:rPr>
          <w:rFonts w:eastAsia="Malgun Gothic"/>
          <w:lang w:val="fr-FR"/>
        </w:rPr>
        <w:t>255 dollars des États-Unis</w:t>
      </w:r>
      <w:r w:rsidR="003E2289">
        <w:rPr>
          <w:rFonts w:eastAsia="Malgun Gothic"/>
          <w:lang w:val="fr-FR"/>
        </w:rPr>
        <w:t>,</w:t>
      </w:r>
      <w:r w:rsidR="00FC0471">
        <w:rPr>
          <w:rFonts w:eastAsia="Malgun Gothic"/>
          <w:lang w:val="fr-FR"/>
        </w:rPr>
        <w:t xml:space="preserve"> </w:t>
      </w:r>
      <w:r w:rsidR="003E2289">
        <w:rPr>
          <w:rFonts w:eastAsia="Malgun Gothic"/>
          <w:lang w:val="fr-FR"/>
        </w:rPr>
        <w:t>provenant du</w:t>
      </w:r>
      <w:r w:rsidRPr="00081DC3">
        <w:rPr>
          <w:rFonts w:eastAsia="Malgun Gothic"/>
          <w:lang w:val="fr-FR"/>
        </w:rPr>
        <w:t xml:space="preserve"> Fonds du patrimoine culturel immatériel. </w:t>
      </w:r>
      <w:r>
        <w:rPr>
          <w:rFonts w:eastAsia="Malgun Gothic"/>
          <w:lang w:val="fr-FR"/>
        </w:rPr>
        <w:t>Il a précisé que l</w:t>
      </w:r>
      <w:r w:rsidRPr="00081DC3">
        <w:rPr>
          <w:rFonts w:eastAsia="Malgun Gothic"/>
          <w:lang w:val="fr-FR"/>
        </w:rPr>
        <w:t>es projets approuvés vis</w:t>
      </w:r>
      <w:r w:rsidR="0054486F">
        <w:rPr>
          <w:rFonts w:eastAsia="Malgun Gothic"/>
          <w:lang w:val="fr-FR"/>
        </w:rPr>
        <w:t>ai</w:t>
      </w:r>
      <w:r w:rsidRPr="00081DC3">
        <w:rPr>
          <w:rFonts w:eastAsia="Malgun Gothic"/>
          <w:lang w:val="fr-FR"/>
        </w:rPr>
        <w:t xml:space="preserve">ent à sauvegarder des pratiques spécifiques du patrimoine vivant, à </w:t>
      </w:r>
      <w:r w:rsidR="005513A2">
        <w:rPr>
          <w:rFonts w:eastAsia="Malgun Gothic"/>
          <w:lang w:val="fr-FR"/>
        </w:rPr>
        <w:t xml:space="preserve">réaliser </w:t>
      </w:r>
      <w:r w:rsidRPr="00081DC3">
        <w:rPr>
          <w:rFonts w:eastAsia="Malgun Gothic"/>
          <w:lang w:val="fr-FR"/>
        </w:rPr>
        <w:t xml:space="preserve">des inventaires </w:t>
      </w:r>
      <w:r w:rsidR="005513A2">
        <w:rPr>
          <w:rFonts w:eastAsia="Malgun Gothic"/>
          <w:lang w:val="fr-FR"/>
        </w:rPr>
        <w:t xml:space="preserve">à participation </w:t>
      </w:r>
      <w:r w:rsidRPr="00081DC3">
        <w:rPr>
          <w:rFonts w:eastAsia="Malgun Gothic"/>
          <w:lang w:val="fr-FR"/>
        </w:rPr>
        <w:t xml:space="preserve">communautaire, à renforcer les politiques du patrimoine et à développer les capacités nationales ou locales pour la mise en œuvre de la Convention. Les </w:t>
      </w:r>
      <w:r w:rsidR="0054486F">
        <w:rPr>
          <w:rFonts w:eastAsia="Malgun Gothic"/>
          <w:lang w:val="fr-FR"/>
        </w:rPr>
        <w:t xml:space="preserve">États parties </w:t>
      </w:r>
      <w:r w:rsidRPr="00081DC3">
        <w:rPr>
          <w:rFonts w:eastAsia="Malgun Gothic"/>
          <w:lang w:val="fr-FR"/>
        </w:rPr>
        <w:t>ont été félicités par une salve d</w:t>
      </w:r>
      <w:r w:rsidR="00923E72">
        <w:rPr>
          <w:rFonts w:eastAsia="Malgun Gothic"/>
          <w:lang w:val="fr-FR"/>
        </w:rPr>
        <w:t>’</w:t>
      </w:r>
      <w:r w:rsidRPr="00081DC3">
        <w:rPr>
          <w:rFonts w:eastAsia="Malgun Gothic"/>
          <w:lang w:val="fr-FR"/>
        </w:rPr>
        <w:t>applaudissements.</w:t>
      </w:r>
    </w:p>
    <w:p w14:paraId="65D9D9BB" w14:textId="20B01299" w:rsidR="004A1498" w:rsidRDefault="001672E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1672EB">
        <w:rPr>
          <w:rFonts w:eastAsia="Malgun Gothic"/>
          <w:lang w:val="fr-FR"/>
        </w:rPr>
        <w:lastRenderedPageBreak/>
        <w:t xml:space="preserve">Le </w:t>
      </w:r>
      <w:r w:rsidRPr="001672EB">
        <w:rPr>
          <w:rFonts w:eastAsia="Malgun Gothic"/>
          <w:b/>
          <w:bCs/>
          <w:lang w:val="fr-FR"/>
        </w:rPr>
        <w:t>Président</w:t>
      </w:r>
      <w:r w:rsidRPr="001672EB">
        <w:rPr>
          <w:rFonts w:eastAsia="Malgun Gothic"/>
          <w:lang w:val="fr-FR"/>
        </w:rPr>
        <w:t xml:space="preserve"> a indiqué que le Bureau a</w:t>
      </w:r>
      <w:r>
        <w:rPr>
          <w:rFonts w:eastAsia="Malgun Gothic"/>
          <w:lang w:val="fr-FR"/>
        </w:rPr>
        <w:t>vait</w:t>
      </w:r>
      <w:r w:rsidRPr="001672EB">
        <w:rPr>
          <w:rFonts w:eastAsia="Malgun Gothic"/>
          <w:lang w:val="fr-FR"/>
        </w:rPr>
        <w:t xml:space="preserve"> traité des questions résultant de la toute première application de deux dispositions de la Convention et de ses Directives opérationnelles. En juin</w:t>
      </w:r>
      <w:r>
        <w:rPr>
          <w:rFonts w:eastAsia="Malgun Gothic"/>
          <w:lang w:val="fr-FR"/>
        </w:rPr>
        <w:t> </w:t>
      </w:r>
      <w:r w:rsidRPr="001672EB">
        <w:rPr>
          <w:rFonts w:eastAsia="Malgun Gothic"/>
          <w:lang w:val="fr-FR"/>
        </w:rPr>
        <w:t>2022, le Bureau a</w:t>
      </w:r>
      <w:r>
        <w:rPr>
          <w:rFonts w:eastAsia="Malgun Gothic"/>
          <w:lang w:val="fr-FR"/>
        </w:rPr>
        <w:t>vait</w:t>
      </w:r>
      <w:r w:rsidRPr="001672EB">
        <w:rPr>
          <w:rFonts w:eastAsia="Malgun Gothic"/>
          <w:lang w:val="fr-FR"/>
        </w:rPr>
        <w:t xml:space="preserve"> établi la procédure pour traiter la demande de l</w:t>
      </w:r>
      <w:r w:rsidR="00923E72">
        <w:rPr>
          <w:rFonts w:eastAsia="Malgun Gothic"/>
          <w:lang w:val="fr-FR"/>
        </w:rPr>
        <w:t>’</w:t>
      </w:r>
      <w:r w:rsidRPr="001672EB">
        <w:rPr>
          <w:rFonts w:eastAsia="Malgun Gothic"/>
          <w:lang w:val="fr-FR"/>
        </w:rPr>
        <w:t>Ukraine d</w:t>
      </w:r>
      <w:r w:rsidR="00923E72">
        <w:rPr>
          <w:rFonts w:eastAsia="Malgun Gothic"/>
          <w:lang w:val="fr-FR"/>
        </w:rPr>
        <w:t>’</w:t>
      </w:r>
      <w:r w:rsidRPr="001672EB">
        <w:rPr>
          <w:rFonts w:eastAsia="Malgun Gothic"/>
          <w:lang w:val="fr-FR"/>
        </w:rPr>
        <w:t xml:space="preserve">inscrire </w:t>
      </w:r>
      <w:r w:rsidR="005B2E62">
        <w:rPr>
          <w:rFonts w:eastAsia="Malgun Gothic"/>
          <w:lang w:val="fr-FR"/>
        </w:rPr>
        <w:t>« L</w:t>
      </w:r>
      <w:r>
        <w:rPr>
          <w:rFonts w:eastAsia="Malgun Gothic"/>
          <w:lang w:val="fr-FR"/>
        </w:rPr>
        <w:t>a c</w:t>
      </w:r>
      <w:r w:rsidRPr="001672EB">
        <w:rPr>
          <w:rFonts w:eastAsia="Malgun Gothic"/>
          <w:lang w:val="fr-FR"/>
        </w:rPr>
        <w:t xml:space="preserve">ulture de la </w:t>
      </w:r>
      <w:r>
        <w:rPr>
          <w:rFonts w:eastAsia="Malgun Gothic"/>
          <w:lang w:val="fr-FR"/>
        </w:rPr>
        <w:t xml:space="preserve">préparation du bortsch </w:t>
      </w:r>
      <w:r w:rsidRPr="001672EB">
        <w:rPr>
          <w:rFonts w:eastAsia="Malgun Gothic"/>
          <w:lang w:val="fr-FR"/>
        </w:rPr>
        <w:t>ukrainien</w:t>
      </w:r>
      <w:r w:rsidR="005B2E62">
        <w:rPr>
          <w:rFonts w:eastAsia="Malgun Gothic"/>
          <w:lang w:val="fr-FR"/>
        </w:rPr>
        <w:t> »</w:t>
      </w:r>
      <w:r w:rsidR="00194AFE">
        <w:rPr>
          <w:rFonts w:eastAsia="Malgun Gothic"/>
          <w:lang w:val="fr-FR"/>
        </w:rPr>
        <w:t xml:space="preserve"> </w:t>
      </w:r>
      <w:r>
        <w:rPr>
          <w:rFonts w:eastAsia="Malgun Gothic"/>
          <w:lang w:val="fr-FR"/>
        </w:rPr>
        <w:t xml:space="preserve">dans le cadre des </w:t>
      </w:r>
      <w:r w:rsidRPr="001672EB">
        <w:rPr>
          <w:rFonts w:eastAsia="Malgun Gothic"/>
          <w:lang w:val="fr-FR"/>
        </w:rPr>
        <w:t>cas d</w:t>
      </w:r>
      <w:r w:rsidR="00923E72">
        <w:rPr>
          <w:rFonts w:eastAsia="Malgun Gothic"/>
          <w:lang w:val="fr-FR"/>
        </w:rPr>
        <w:t>’</w:t>
      </w:r>
      <w:r w:rsidRPr="001672EB">
        <w:rPr>
          <w:rFonts w:eastAsia="Malgun Gothic"/>
          <w:lang w:val="fr-FR"/>
        </w:rPr>
        <w:t>extrême urgence</w:t>
      </w:r>
      <w:r>
        <w:rPr>
          <w:rFonts w:eastAsia="Malgun Gothic"/>
          <w:lang w:val="fr-FR"/>
        </w:rPr>
        <w:t>,</w:t>
      </w:r>
      <w:r w:rsidRPr="001672EB">
        <w:rPr>
          <w:rFonts w:eastAsia="Malgun Gothic"/>
          <w:lang w:val="fr-FR"/>
        </w:rPr>
        <w:t xml:space="preserve"> conformément à l</w:t>
      </w:r>
      <w:r w:rsidR="00923E72">
        <w:rPr>
          <w:rFonts w:eastAsia="Malgun Gothic"/>
          <w:lang w:val="fr-FR"/>
        </w:rPr>
        <w:t>’</w:t>
      </w:r>
      <w:r w:rsidRPr="001672EB">
        <w:rPr>
          <w:rFonts w:eastAsia="Malgun Gothic"/>
          <w:lang w:val="fr-FR"/>
        </w:rPr>
        <w:t>article</w:t>
      </w:r>
      <w:r w:rsidR="006773EF">
        <w:rPr>
          <w:rFonts w:eastAsia="Malgun Gothic"/>
          <w:lang w:val="fr-FR"/>
        </w:rPr>
        <w:t> </w:t>
      </w:r>
      <w:r w:rsidRPr="001672EB">
        <w:rPr>
          <w:rFonts w:eastAsia="Malgun Gothic"/>
          <w:lang w:val="fr-FR"/>
        </w:rPr>
        <w:t>17.3 de la Convention et au paragraphe</w:t>
      </w:r>
      <w:r w:rsidR="006773EF">
        <w:rPr>
          <w:rFonts w:eastAsia="Malgun Gothic"/>
          <w:lang w:val="fr-FR"/>
        </w:rPr>
        <w:t> </w:t>
      </w:r>
      <w:r w:rsidRPr="001672EB">
        <w:rPr>
          <w:rFonts w:eastAsia="Malgun Gothic"/>
          <w:lang w:val="fr-FR"/>
        </w:rPr>
        <w:t>32 des Directives opérationnelles. Ce dossier de candidature a</w:t>
      </w:r>
      <w:r>
        <w:rPr>
          <w:rFonts w:eastAsia="Malgun Gothic"/>
          <w:lang w:val="fr-FR"/>
        </w:rPr>
        <w:t>vait</w:t>
      </w:r>
      <w:r w:rsidRPr="001672EB">
        <w:rPr>
          <w:rFonts w:eastAsia="Malgun Gothic"/>
          <w:lang w:val="fr-FR"/>
        </w:rPr>
        <w:t xml:space="preserve"> ensuite été évalué par l</w:t>
      </w:r>
      <w:r w:rsidR="00923E72">
        <w:rPr>
          <w:rFonts w:eastAsia="Malgun Gothic"/>
          <w:lang w:val="fr-FR"/>
        </w:rPr>
        <w:t>’</w:t>
      </w:r>
      <w:r w:rsidRPr="001672EB">
        <w:rPr>
          <w:rFonts w:eastAsia="Malgun Gothic"/>
          <w:lang w:val="fr-FR"/>
        </w:rPr>
        <w:t>Organe d</w:t>
      </w:r>
      <w:r w:rsidR="00923E72">
        <w:rPr>
          <w:rFonts w:eastAsia="Malgun Gothic"/>
          <w:lang w:val="fr-FR"/>
        </w:rPr>
        <w:t>’</w:t>
      </w:r>
      <w:r w:rsidRPr="001672EB">
        <w:rPr>
          <w:rFonts w:eastAsia="Malgun Gothic"/>
          <w:lang w:val="fr-FR"/>
        </w:rPr>
        <w:t xml:space="preserve">évaluation, puis transmis </w:t>
      </w:r>
      <w:r w:rsidR="00B5000D">
        <w:rPr>
          <w:rFonts w:eastAsia="Malgun Gothic"/>
          <w:lang w:val="fr-FR"/>
        </w:rPr>
        <w:t xml:space="preserve">pour examen </w:t>
      </w:r>
      <w:r w:rsidRPr="001672EB">
        <w:rPr>
          <w:rFonts w:eastAsia="Malgun Gothic"/>
          <w:lang w:val="fr-FR"/>
        </w:rPr>
        <w:t xml:space="preserve">à la </w:t>
      </w:r>
      <w:r>
        <w:rPr>
          <w:rFonts w:eastAsia="Malgun Gothic"/>
          <w:lang w:val="fr-FR"/>
        </w:rPr>
        <w:t>cinquième</w:t>
      </w:r>
      <w:r w:rsidRPr="001672EB">
        <w:rPr>
          <w:rFonts w:eastAsia="Malgun Gothic"/>
          <w:lang w:val="fr-FR"/>
        </w:rPr>
        <w:t xml:space="preserve"> session extraordinaire du Comité</w:t>
      </w:r>
      <w:r w:rsidR="005B2E62">
        <w:rPr>
          <w:rFonts w:eastAsia="Malgun Gothic"/>
          <w:lang w:val="fr-FR"/>
        </w:rPr>
        <w:t>,</w:t>
      </w:r>
      <w:r w:rsidRPr="001672EB">
        <w:rPr>
          <w:rFonts w:eastAsia="Malgun Gothic"/>
          <w:lang w:val="fr-FR"/>
        </w:rPr>
        <w:t xml:space="preserve"> le </w:t>
      </w:r>
      <w:r>
        <w:rPr>
          <w:rFonts w:eastAsia="Malgun Gothic"/>
          <w:lang w:val="fr-FR"/>
        </w:rPr>
        <w:t>1</w:t>
      </w:r>
      <w:r w:rsidRPr="001672EB">
        <w:rPr>
          <w:rFonts w:eastAsia="Malgun Gothic"/>
          <w:vertAlign w:val="superscript"/>
          <w:lang w:val="fr-FR"/>
        </w:rPr>
        <w:t>er</w:t>
      </w:r>
      <w:r>
        <w:rPr>
          <w:rFonts w:eastAsia="Malgun Gothic"/>
          <w:lang w:val="fr-FR"/>
        </w:rPr>
        <w:t> </w:t>
      </w:r>
      <w:r w:rsidRPr="001672EB">
        <w:rPr>
          <w:rFonts w:eastAsia="Malgun Gothic"/>
          <w:lang w:val="fr-FR"/>
        </w:rPr>
        <w:t>juillet</w:t>
      </w:r>
      <w:r>
        <w:rPr>
          <w:rFonts w:eastAsia="Malgun Gothic"/>
          <w:lang w:val="fr-FR"/>
        </w:rPr>
        <w:t> </w:t>
      </w:r>
      <w:r w:rsidRPr="001672EB">
        <w:rPr>
          <w:rFonts w:eastAsia="Malgun Gothic"/>
          <w:lang w:val="fr-FR"/>
        </w:rPr>
        <w:t>2022. L</w:t>
      </w:r>
      <w:r w:rsidR="00923E72">
        <w:rPr>
          <w:rFonts w:eastAsia="Malgun Gothic"/>
          <w:lang w:val="fr-FR"/>
        </w:rPr>
        <w:t>’</w:t>
      </w:r>
      <w:r w:rsidRPr="001672EB">
        <w:rPr>
          <w:rFonts w:eastAsia="Malgun Gothic"/>
          <w:lang w:val="fr-FR"/>
        </w:rPr>
        <w:t>élément a</w:t>
      </w:r>
      <w:r>
        <w:rPr>
          <w:rFonts w:eastAsia="Malgun Gothic"/>
          <w:lang w:val="fr-FR"/>
        </w:rPr>
        <w:t>vait</w:t>
      </w:r>
      <w:r w:rsidRPr="001672EB">
        <w:rPr>
          <w:rFonts w:eastAsia="Malgun Gothic"/>
          <w:lang w:val="fr-FR"/>
        </w:rPr>
        <w:t xml:space="preserve"> été inscrit sur la Liste de sauvegarde urgente dans les </w:t>
      </w:r>
      <w:r w:rsidR="005B2E62">
        <w:rPr>
          <w:rFonts w:eastAsia="Malgun Gothic"/>
          <w:lang w:val="fr-FR"/>
        </w:rPr>
        <w:t>dix</w:t>
      </w:r>
      <w:r w:rsidRPr="001672EB">
        <w:rPr>
          <w:rFonts w:eastAsia="Malgun Gothic"/>
          <w:lang w:val="fr-FR"/>
        </w:rPr>
        <w:t xml:space="preserve"> semaines suivant la réception de la demande. </w:t>
      </w:r>
      <w:r w:rsidR="00E177F5">
        <w:rPr>
          <w:rFonts w:eastAsia="Malgun Gothic"/>
          <w:lang w:val="fr-FR"/>
        </w:rPr>
        <w:t>Par ailleurs, e</w:t>
      </w:r>
      <w:r w:rsidRPr="001672EB">
        <w:rPr>
          <w:rFonts w:eastAsia="Malgun Gothic"/>
          <w:lang w:val="fr-FR"/>
        </w:rPr>
        <w:t>n octobre</w:t>
      </w:r>
      <w:r w:rsidR="003A0260">
        <w:rPr>
          <w:rFonts w:eastAsia="Malgun Gothic"/>
          <w:lang w:val="fr-FR"/>
        </w:rPr>
        <w:t> </w:t>
      </w:r>
      <w:r w:rsidRPr="001672EB">
        <w:rPr>
          <w:rFonts w:eastAsia="Malgun Gothic"/>
          <w:lang w:val="fr-FR"/>
        </w:rPr>
        <w:t>2022, le Bureau a</w:t>
      </w:r>
      <w:r w:rsidR="005B2E62">
        <w:rPr>
          <w:rFonts w:eastAsia="Malgun Gothic"/>
          <w:lang w:val="fr-FR"/>
        </w:rPr>
        <w:t>vait</w:t>
      </w:r>
      <w:r w:rsidRPr="001672EB">
        <w:rPr>
          <w:rFonts w:eastAsia="Malgun Gothic"/>
          <w:lang w:val="fr-FR"/>
        </w:rPr>
        <w:t xml:space="preserve"> été informé </w:t>
      </w:r>
      <w:r w:rsidR="0054486F">
        <w:rPr>
          <w:rFonts w:eastAsia="Malgun Gothic"/>
          <w:lang w:val="fr-FR"/>
        </w:rPr>
        <w:t xml:space="preserve">par le </w:t>
      </w:r>
      <w:r w:rsidR="0054486F" w:rsidRPr="0054486F">
        <w:rPr>
          <w:rFonts w:eastAsia="Malgun Gothic"/>
          <w:lang w:val="fr-FR"/>
        </w:rPr>
        <w:t>Secréta</w:t>
      </w:r>
      <w:r w:rsidR="0054486F">
        <w:rPr>
          <w:rFonts w:eastAsia="Malgun Gothic"/>
          <w:lang w:val="fr-FR"/>
        </w:rPr>
        <w:t xml:space="preserve">riat </w:t>
      </w:r>
      <w:r w:rsidRPr="001672EB">
        <w:rPr>
          <w:rFonts w:eastAsia="Malgun Gothic"/>
          <w:lang w:val="fr-FR"/>
        </w:rPr>
        <w:t>d</w:t>
      </w:r>
      <w:r w:rsidR="00923E72">
        <w:rPr>
          <w:rFonts w:eastAsia="Malgun Gothic"/>
          <w:lang w:val="fr-FR"/>
        </w:rPr>
        <w:t>’</w:t>
      </w:r>
      <w:r w:rsidRPr="001672EB">
        <w:rPr>
          <w:rFonts w:eastAsia="Malgun Gothic"/>
          <w:lang w:val="fr-FR"/>
        </w:rPr>
        <w:t>une série de communications</w:t>
      </w:r>
      <w:r w:rsidR="0054486F">
        <w:rPr>
          <w:rFonts w:eastAsia="Malgun Gothic"/>
          <w:lang w:val="fr-FR"/>
        </w:rPr>
        <w:t xml:space="preserve"> </w:t>
      </w:r>
      <w:r w:rsidRPr="001672EB">
        <w:rPr>
          <w:rFonts w:eastAsia="Malgun Gothic"/>
          <w:lang w:val="fr-FR"/>
        </w:rPr>
        <w:t>de tier</w:t>
      </w:r>
      <w:r w:rsidR="00B32B5A">
        <w:rPr>
          <w:rFonts w:eastAsia="Malgun Gothic"/>
          <w:lang w:val="fr-FR"/>
        </w:rPr>
        <w:t>ces parties</w:t>
      </w:r>
      <w:r w:rsidRPr="001672EB">
        <w:rPr>
          <w:rFonts w:eastAsia="Malgun Gothic"/>
          <w:lang w:val="fr-FR"/>
        </w:rPr>
        <w:t xml:space="preserve"> demandant le retrait de </w:t>
      </w:r>
      <w:r w:rsidR="005B2E62">
        <w:rPr>
          <w:rFonts w:eastAsia="Malgun Gothic"/>
          <w:lang w:val="fr-FR"/>
        </w:rPr>
        <w:t>la « </w:t>
      </w:r>
      <w:r w:rsidR="006D48EE">
        <w:rPr>
          <w:rFonts w:eastAsia="Malgun Gothic"/>
          <w:lang w:val="fr-FR"/>
        </w:rPr>
        <w:t>D</w:t>
      </w:r>
      <w:r w:rsidRPr="001672EB">
        <w:rPr>
          <w:rFonts w:eastAsia="Malgun Gothic"/>
          <w:lang w:val="fr-FR"/>
        </w:rPr>
        <w:t>ucasse d</w:t>
      </w:r>
      <w:r w:rsidR="00923E72">
        <w:rPr>
          <w:rFonts w:eastAsia="Malgun Gothic"/>
          <w:lang w:val="fr-FR"/>
        </w:rPr>
        <w:t>’</w:t>
      </w:r>
      <w:r w:rsidRPr="001672EB">
        <w:rPr>
          <w:rFonts w:eastAsia="Malgun Gothic"/>
          <w:lang w:val="fr-FR"/>
        </w:rPr>
        <w:t>Ath</w:t>
      </w:r>
      <w:r w:rsidR="005B2E62">
        <w:rPr>
          <w:rFonts w:eastAsia="Malgun Gothic"/>
          <w:lang w:val="fr-FR"/>
        </w:rPr>
        <w:t xml:space="preserve"> » </w:t>
      </w:r>
      <w:r w:rsidRPr="001672EB">
        <w:rPr>
          <w:rFonts w:eastAsia="Malgun Gothic"/>
          <w:lang w:val="fr-FR"/>
        </w:rPr>
        <w:t>de la Liste représentative</w:t>
      </w:r>
      <w:r w:rsidR="005B2E62">
        <w:rPr>
          <w:rFonts w:eastAsia="Malgun Gothic"/>
          <w:lang w:val="fr-FR"/>
        </w:rPr>
        <w:t xml:space="preserve">, qui </w:t>
      </w:r>
      <w:r w:rsidRPr="001672EB">
        <w:rPr>
          <w:rFonts w:eastAsia="Malgun Gothic"/>
          <w:lang w:val="fr-FR"/>
        </w:rPr>
        <w:t>concerne l</w:t>
      </w:r>
      <w:r w:rsidR="00923E72">
        <w:rPr>
          <w:rFonts w:eastAsia="Malgun Gothic"/>
          <w:lang w:val="fr-FR"/>
        </w:rPr>
        <w:t>’</w:t>
      </w:r>
      <w:r w:rsidRPr="001672EB">
        <w:rPr>
          <w:rFonts w:eastAsia="Malgun Gothic"/>
          <w:lang w:val="fr-FR"/>
        </w:rPr>
        <w:t xml:space="preserve">élément </w:t>
      </w:r>
      <w:r w:rsidR="005B2E62">
        <w:rPr>
          <w:rFonts w:eastAsia="Malgun Gothic"/>
          <w:lang w:val="fr-FR"/>
        </w:rPr>
        <w:t>« </w:t>
      </w:r>
      <w:r w:rsidRPr="001672EB">
        <w:rPr>
          <w:rFonts w:eastAsia="Malgun Gothic"/>
          <w:lang w:val="fr-FR"/>
        </w:rPr>
        <w:t>Géants et dragons procession</w:t>
      </w:r>
      <w:r w:rsidR="005B2E62">
        <w:rPr>
          <w:rFonts w:eastAsia="Malgun Gothic"/>
          <w:lang w:val="fr-FR"/>
        </w:rPr>
        <w:t>nels</w:t>
      </w:r>
      <w:r w:rsidRPr="001672EB">
        <w:rPr>
          <w:rFonts w:eastAsia="Malgun Gothic"/>
          <w:lang w:val="fr-FR"/>
        </w:rPr>
        <w:t xml:space="preserve"> </w:t>
      </w:r>
      <w:r w:rsidR="005B2E62">
        <w:rPr>
          <w:rFonts w:eastAsia="Malgun Gothic"/>
          <w:lang w:val="fr-FR"/>
        </w:rPr>
        <w:t xml:space="preserve">de </w:t>
      </w:r>
      <w:r w:rsidRPr="001672EB">
        <w:rPr>
          <w:rFonts w:eastAsia="Malgun Gothic"/>
          <w:lang w:val="fr-FR"/>
        </w:rPr>
        <w:t xml:space="preserve">Belgique et </w:t>
      </w:r>
      <w:r w:rsidR="005B2E62">
        <w:rPr>
          <w:rFonts w:eastAsia="Malgun Gothic"/>
          <w:lang w:val="fr-FR"/>
        </w:rPr>
        <w:t>de France »</w:t>
      </w:r>
      <w:r w:rsidRPr="001672EB">
        <w:rPr>
          <w:rFonts w:eastAsia="Malgun Gothic"/>
          <w:lang w:val="fr-FR"/>
        </w:rPr>
        <w:t xml:space="preserve">, </w:t>
      </w:r>
      <w:r w:rsidR="005B2E62">
        <w:rPr>
          <w:rFonts w:eastAsia="Malgun Gothic"/>
          <w:lang w:val="fr-FR"/>
        </w:rPr>
        <w:t>in</w:t>
      </w:r>
      <w:r w:rsidR="006D48EE">
        <w:rPr>
          <w:rFonts w:eastAsia="Malgun Gothic"/>
          <w:lang w:val="fr-FR"/>
        </w:rPr>
        <w:t>s</w:t>
      </w:r>
      <w:r w:rsidR="005B2E62">
        <w:rPr>
          <w:rFonts w:eastAsia="Malgun Gothic"/>
          <w:lang w:val="fr-FR"/>
        </w:rPr>
        <w:t>crit sur</w:t>
      </w:r>
      <w:r w:rsidRPr="001672EB">
        <w:rPr>
          <w:rFonts w:eastAsia="Malgun Gothic"/>
          <w:lang w:val="fr-FR"/>
        </w:rPr>
        <w:t xml:space="preserve"> la Liste représentative en</w:t>
      </w:r>
      <w:r w:rsidR="003E2289">
        <w:rPr>
          <w:rFonts w:eastAsia="Malgun Gothic"/>
          <w:lang w:val="fr-FR"/>
        </w:rPr>
        <w:t> </w:t>
      </w:r>
      <w:r w:rsidRPr="001672EB">
        <w:rPr>
          <w:rFonts w:eastAsia="Malgun Gothic"/>
          <w:lang w:val="fr-FR"/>
        </w:rPr>
        <w:t xml:space="preserve">2008. Ce cas </w:t>
      </w:r>
      <w:r w:rsidR="005B2E62">
        <w:rPr>
          <w:rFonts w:eastAsia="Malgun Gothic"/>
          <w:lang w:val="fr-FR"/>
        </w:rPr>
        <w:t>constituait</w:t>
      </w:r>
      <w:r w:rsidRPr="001672EB">
        <w:rPr>
          <w:rFonts w:eastAsia="Malgun Gothic"/>
          <w:lang w:val="fr-FR"/>
        </w:rPr>
        <w:t xml:space="preserve"> la première application des nouvelles dispositions du paragraphe</w:t>
      </w:r>
      <w:r w:rsidR="008F5CA2">
        <w:rPr>
          <w:rFonts w:eastAsia="Malgun Gothic"/>
          <w:lang w:val="fr-FR"/>
        </w:rPr>
        <w:t> </w:t>
      </w:r>
      <w:r w:rsidRPr="001672EB">
        <w:rPr>
          <w:rFonts w:eastAsia="Malgun Gothic"/>
          <w:lang w:val="fr-FR"/>
        </w:rPr>
        <w:t>40.2(e) des Directives opérationnelles relatives au retrait d</w:t>
      </w:r>
      <w:r w:rsidR="00923E72">
        <w:rPr>
          <w:rFonts w:eastAsia="Malgun Gothic"/>
          <w:lang w:val="fr-FR"/>
        </w:rPr>
        <w:t>’</w:t>
      </w:r>
      <w:r w:rsidRPr="001672EB">
        <w:rPr>
          <w:rFonts w:eastAsia="Malgun Gothic"/>
          <w:lang w:val="fr-FR"/>
        </w:rPr>
        <w:t>un élément, telles qu</w:t>
      </w:r>
      <w:r w:rsidR="00923E72">
        <w:rPr>
          <w:rFonts w:eastAsia="Malgun Gothic"/>
          <w:lang w:val="fr-FR"/>
        </w:rPr>
        <w:t>’</w:t>
      </w:r>
      <w:r w:rsidRPr="001672EB">
        <w:rPr>
          <w:rFonts w:eastAsia="Malgun Gothic"/>
          <w:lang w:val="fr-FR"/>
        </w:rPr>
        <w:t>établies</w:t>
      </w:r>
      <w:r w:rsidR="003E2289">
        <w:rPr>
          <w:rFonts w:eastAsia="Malgun Gothic"/>
          <w:lang w:val="fr-FR"/>
        </w:rPr>
        <w:t xml:space="preserve"> suite aux</w:t>
      </w:r>
      <w:r w:rsidRPr="001672EB">
        <w:rPr>
          <w:rFonts w:eastAsia="Malgun Gothic"/>
          <w:lang w:val="fr-FR"/>
        </w:rPr>
        <w:t xml:space="preserve"> révisions des Directives opérationnelles par </w:t>
      </w:r>
      <w:r w:rsidR="0054486F">
        <w:rPr>
          <w:rFonts w:eastAsia="Malgun Gothic"/>
          <w:lang w:val="fr-FR"/>
        </w:rPr>
        <w:t>l</w:t>
      </w:r>
      <w:r w:rsidR="00923E72">
        <w:rPr>
          <w:rFonts w:eastAsia="Malgun Gothic"/>
          <w:lang w:val="fr-FR"/>
        </w:rPr>
        <w:t>’</w:t>
      </w:r>
      <w:r w:rsidR="0054486F">
        <w:rPr>
          <w:rFonts w:eastAsia="Malgun Gothic"/>
          <w:lang w:val="fr-FR"/>
        </w:rPr>
        <w:t xml:space="preserve">Assemblée générale à sa </w:t>
      </w:r>
      <w:r w:rsidR="005B2E62">
        <w:rPr>
          <w:rFonts w:eastAsia="Malgun Gothic"/>
          <w:lang w:val="fr-FR"/>
        </w:rPr>
        <w:t>neuvième</w:t>
      </w:r>
      <w:r w:rsidRPr="001672EB">
        <w:rPr>
          <w:rFonts w:eastAsia="Malgun Gothic"/>
          <w:lang w:val="fr-FR"/>
        </w:rPr>
        <w:t xml:space="preserve"> session en juillet</w:t>
      </w:r>
      <w:r w:rsidR="003A0260">
        <w:rPr>
          <w:rFonts w:eastAsia="Malgun Gothic"/>
          <w:lang w:val="fr-FR"/>
        </w:rPr>
        <w:t> </w:t>
      </w:r>
      <w:r w:rsidRPr="001672EB">
        <w:rPr>
          <w:rFonts w:eastAsia="Malgun Gothic"/>
          <w:lang w:val="fr-FR"/>
        </w:rPr>
        <w:t xml:space="preserve">2022. </w:t>
      </w:r>
      <w:r w:rsidR="0054486F">
        <w:rPr>
          <w:rFonts w:eastAsia="Malgun Gothic"/>
          <w:lang w:val="fr-FR"/>
        </w:rPr>
        <w:t>L</w:t>
      </w:r>
      <w:r w:rsidRPr="001672EB">
        <w:rPr>
          <w:rFonts w:eastAsia="Malgun Gothic"/>
          <w:lang w:val="fr-FR"/>
        </w:rPr>
        <w:t>e Bureau a</w:t>
      </w:r>
      <w:r w:rsidR="005B2E62">
        <w:rPr>
          <w:rFonts w:eastAsia="Malgun Gothic"/>
          <w:lang w:val="fr-FR"/>
        </w:rPr>
        <w:t>vait</w:t>
      </w:r>
      <w:r w:rsidRPr="001672EB">
        <w:rPr>
          <w:rFonts w:eastAsia="Malgun Gothic"/>
          <w:lang w:val="fr-FR"/>
        </w:rPr>
        <w:t xml:space="preserve"> </w:t>
      </w:r>
      <w:r w:rsidR="0054486F">
        <w:rPr>
          <w:rFonts w:eastAsia="Malgun Gothic"/>
          <w:lang w:val="fr-FR"/>
        </w:rPr>
        <w:t xml:space="preserve">donc </w:t>
      </w:r>
      <w:r w:rsidRPr="001672EB">
        <w:rPr>
          <w:rFonts w:eastAsia="Malgun Gothic"/>
          <w:lang w:val="fr-FR"/>
        </w:rPr>
        <w:t>recommandé de porter la demande de retrait à l</w:t>
      </w:r>
      <w:r w:rsidR="00923E72">
        <w:rPr>
          <w:rFonts w:eastAsia="Malgun Gothic"/>
          <w:lang w:val="fr-FR"/>
        </w:rPr>
        <w:t>’</w:t>
      </w:r>
      <w:r w:rsidRPr="001672EB">
        <w:rPr>
          <w:rFonts w:eastAsia="Malgun Gothic"/>
          <w:lang w:val="fr-FR"/>
        </w:rPr>
        <w:t xml:space="preserve">attention du Comité, </w:t>
      </w:r>
      <w:r w:rsidR="0054486F">
        <w:rPr>
          <w:rFonts w:eastAsia="Malgun Gothic"/>
          <w:lang w:val="fr-FR"/>
        </w:rPr>
        <w:t xml:space="preserve">pour discussion </w:t>
      </w:r>
      <w:r w:rsidRPr="001672EB">
        <w:rPr>
          <w:rFonts w:eastAsia="Malgun Gothic"/>
          <w:lang w:val="fr-FR"/>
        </w:rPr>
        <w:t>au titre du point</w:t>
      </w:r>
      <w:r w:rsidR="002B668C">
        <w:rPr>
          <w:rFonts w:eastAsia="Malgun Gothic"/>
          <w:lang w:val="fr-FR"/>
        </w:rPr>
        <w:t> </w:t>
      </w:r>
      <w:r w:rsidRPr="001672EB">
        <w:rPr>
          <w:rFonts w:eastAsia="Malgun Gothic"/>
          <w:lang w:val="fr-FR"/>
        </w:rPr>
        <w:t>8.</w:t>
      </w:r>
    </w:p>
    <w:p w14:paraId="7C5F3F46" w14:textId="2D69E22E" w:rsidR="005B2E62" w:rsidRPr="005D241B" w:rsidRDefault="006D48E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D48EE">
        <w:rPr>
          <w:rFonts w:eastAsia="Malgun Gothic"/>
          <w:lang w:val="fr-FR"/>
        </w:rPr>
        <w:t xml:space="preserve">Le </w:t>
      </w:r>
      <w:r w:rsidRPr="006D48EE">
        <w:rPr>
          <w:rFonts w:eastAsia="Malgun Gothic"/>
          <w:b/>
          <w:bCs/>
          <w:lang w:val="fr-FR"/>
        </w:rPr>
        <w:t>Président</w:t>
      </w:r>
      <w:r w:rsidRPr="006D48EE">
        <w:rPr>
          <w:rFonts w:eastAsia="Malgun Gothic"/>
          <w:lang w:val="fr-FR"/>
        </w:rPr>
        <w:t xml:space="preserve"> a </w:t>
      </w:r>
      <w:r>
        <w:rPr>
          <w:rFonts w:eastAsia="Malgun Gothic"/>
          <w:lang w:val="fr-FR"/>
        </w:rPr>
        <w:t xml:space="preserve">en outre </w:t>
      </w:r>
      <w:r w:rsidRPr="006D48EE">
        <w:rPr>
          <w:rFonts w:eastAsia="Malgun Gothic"/>
          <w:lang w:val="fr-FR"/>
        </w:rPr>
        <w:t>indiqué que</w:t>
      </w:r>
      <w:r w:rsidR="0054486F">
        <w:rPr>
          <w:rFonts w:eastAsia="Malgun Gothic"/>
          <w:lang w:val="fr-FR"/>
        </w:rPr>
        <w:t>, s</w:t>
      </w:r>
      <w:r w:rsidRPr="006D48EE">
        <w:rPr>
          <w:rFonts w:eastAsia="Malgun Gothic"/>
          <w:lang w:val="fr-FR"/>
        </w:rPr>
        <w:t xml:space="preserve">uite à la consultation des membres du Comité, le lieu </w:t>
      </w:r>
      <w:r w:rsidR="0054486F">
        <w:rPr>
          <w:rFonts w:eastAsia="Malgun Gothic"/>
          <w:lang w:val="fr-FR"/>
        </w:rPr>
        <w:t xml:space="preserve">de la session </w:t>
      </w:r>
      <w:r w:rsidRPr="006D48EE">
        <w:rPr>
          <w:rFonts w:eastAsia="Malgun Gothic"/>
          <w:lang w:val="fr-FR"/>
        </w:rPr>
        <w:t>a</w:t>
      </w:r>
      <w:r w:rsidR="001C248E">
        <w:rPr>
          <w:rFonts w:eastAsia="Malgun Gothic"/>
          <w:lang w:val="fr-FR"/>
        </w:rPr>
        <w:t>vait</w:t>
      </w:r>
      <w:r w:rsidRPr="006D48EE">
        <w:rPr>
          <w:rFonts w:eastAsia="Malgun Gothic"/>
          <w:lang w:val="fr-FR"/>
        </w:rPr>
        <w:t xml:space="preserve"> été changé</w:t>
      </w:r>
      <w:r w:rsidR="001C248E">
        <w:rPr>
          <w:rFonts w:eastAsia="Malgun Gothic"/>
          <w:lang w:val="fr-FR"/>
        </w:rPr>
        <w:t xml:space="preserve">, passant </w:t>
      </w:r>
      <w:r w:rsidRPr="006D48EE">
        <w:rPr>
          <w:rFonts w:eastAsia="Malgun Gothic"/>
          <w:lang w:val="fr-FR"/>
        </w:rPr>
        <w:t xml:space="preserve">du </w:t>
      </w:r>
      <w:r w:rsidR="001C248E">
        <w:rPr>
          <w:rFonts w:eastAsia="Malgun Gothic"/>
          <w:lang w:val="fr-FR"/>
        </w:rPr>
        <w:t>S</w:t>
      </w:r>
      <w:r w:rsidRPr="006D48EE">
        <w:rPr>
          <w:rFonts w:eastAsia="Malgun Gothic"/>
          <w:lang w:val="fr-FR"/>
        </w:rPr>
        <w:t>iège de l</w:t>
      </w:r>
      <w:r w:rsidR="00923E72">
        <w:rPr>
          <w:rFonts w:eastAsia="Malgun Gothic"/>
          <w:lang w:val="fr-FR"/>
        </w:rPr>
        <w:t>’</w:t>
      </w:r>
      <w:r w:rsidRPr="006D48EE">
        <w:rPr>
          <w:rFonts w:eastAsia="Malgun Gothic"/>
          <w:lang w:val="fr-FR"/>
        </w:rPr>
        <w:t>UNESCO à Rabat</w:t>
      </w:r>
      <w:r w:rsidR="001C248E">
        <w:rPr>
          <w:rFonts w:eastAsia="Malgun Gothic"/>
          <w:lang w:val="fr-FR"/>
        </w:rPr>
        <w:t xml:space="preserve"> au lieu actuel</w:t>
      </w:r>
      <w:r w:rsidRPr="006D48EE">
        <w:rPr>
          <w:rFonts w:eastAsia="Malgun Gothic"/>
          <w:lang w:val="fr-FR"/>
        </w:rPr>
        <w:t>. Il a informé le Comité qu</w:t>
      </w:r>
      <w:r w:rsidR="00923E72">
        <w:rPr>
          <w:rFonts w:eastAsia="Malgun Gothic"/>
          <w:lang w:val="fr-FR"/>
        </w:rPr>
        <w:t>’</w:t>
      </w:r>
      <w:r w:rsidR="0054486F">
        <w:rPr>
          <w:rFonts w:eastAsia="Malgun Gothic"/>
          <w:lang w:val="fr-FR"/>
        </w:rPr>
        <w:t>un</w:t>
      </w:r>
      <w:r w:rsidR="001C248E">
        <w:rPr>
          <w:rFonts w:eastAsia="Malgun Gothic"/>
          <w:lang w:val="fr-FR"/>
        </w:rPr>
        <w:t xml:space="preserve"> nouveau</w:t>
      </w:r>
      <w:r w:rsidR="0054486F">
        <w:rPr>
          <w:rFonts w:eastAsia="Malgun Gothic"/>
          <w:lang w:val="fr-FR"/>
        </w:rPr>
        <w:t xml:space="preserve"> </w:t>
      </w:r>
      <w:r w:rsidRPr="006D48EE">
        <w:rPr>
          <w:rFonts w:eastAsia="Malgun Gothic"/>
          <w:lang w:val="fr-FR"/>
        </w:rPr>
        <w:t>Bureau serai</w:t>
      </w:r>
      <w:r w:rsidR="0054486F">
        <w:rPr>
          <w:rFonts w:eastAsia="Malgun Gothic"/>
          <w:lang w:val="fr-FR"/>
        </w:rPr>
        <w:t>t</w:t>
      </w:r>
      <w:r w:rsidRPr="006D48EE">
        <w:rPr>
          <w:rFonts w:eastAsia="Malgun Gothic"/>
          <w:lang w:val="fr-FR"/>
        </w:rPr>
        <w:t xml:space="preserve"> élu à la fin de cette session</w:t>
      </w:r>
      <w:r w:rsidR="0054486F">
        <w:rPr>
          <w:rFonts w:eastAsia="Malgun Gothic"/>
          <w:lang w:val="fr-FR"/>
        </w:rPr>
        <w:t xml:space="preserve"> et </w:t>
      </w:r>
      <w:r w:rsidR="005D241B">
        <w:rPr>
          <w:rFonts w:eastAsia="Malgun Gothic"/>
          <w:lang w:val="fr-FR"/>
        </w:rPr>
        <w:t xml:space="preserve">il </w:t>
      </w:r>
      <w:r w:rsidRPr="006D48EE">
        <w:rPr>
          <w:rFonts w:eastAsia="Malgun Gothic"/>
          <w:lang w:val="fr-FR"/>
        </w:rPr>
        <w:t xml:space="preserve">a donc encouragé tous les membres à commencer à consulter leurs groupes électoraux respectifs </w:t>
      </w:r>
      <w:r w:rsidR="001C248E">
        <w:rPr>
          <w:rFonts w:eastAsia="Malgun Gothic"/>
          <w:lang w:val="fr-FR"/>
        </w:rPr>
        <w:t>afin d</w:t>
      </w:r>
      <w:r w:rsidR="00923E72">
        <w:rPr>
          <w:rFonts w:eastAsia="Malgun Gothic"/>
          <w:lang w:val="fr-FR"/>
        </w:rPr>
        <w:t>’</w:t>
      </w:r>
      <w:r w:rsidRPr="006D48EE">
        <w:rPr>
          <w:rFonts w:eastAsia="Malgun Gothic"/>
          <w:lang w:val="fr-FR"/>
        </w:rPr>
        <w:t>identifier les membres du Bureau pour 2023 ainsi qu</w:t>
      </w:r>
      <w:r w:rsidR="00923E72">
        <w:rPr>
          <w:rFonts w:eastAsia="Malgun Gothic"/>
          <w:lang w:val="fr-FR"/>
        </w:rPr>
        <w:t>’</w:t>
      </w:r>
      <w:r w:rsidRPr="006D48EE">
        <w:rPr>
          <w:rFonts w:eastAsia="Malgun Gothic"/>
          <w:lang w:val="fr-FR"/>
        </w:rPr>
        <w:t xml:space="preserve">un </w:t>
      </w:r>
      <w:r w:rsidR="001C248E">
        <w:rPr>
          <w:rFonts w:eastAsia="Malgun Gothic"/>
          <w:lang w:val="fr-FR"/>
        </w:rPr>
        <w:t>R</w:t>
      </w:r>
      <w:r w:rsidRPr="006D48EE">
        <w:rPr>
          <w:rFonts w:eastAsia="Malgun Gothic"/>
          <w:lang w:val="fr-FR"/>
        </w:rPr>
        <w:t xml:space="preserve">apporteur. </w:t>
      </w:r>
      <w:r w:rsidR="005D241B">
        <w:rPr>
          <w:rFonts w:eastAsia="Malgun Gothic"/>
          <w:lang w:val="fr-FR"/>
        </w:rPr>
        <w:t>L</w:t>
      </w:r>
      <w:r w:rsidRPr="005D241B">
        <w:rPr>
          <w:rFonts w:eastAsia="Malgun Gothic"/>
          <w:lang w:val="fr-FR"/>
        </w:rPr>
        <w:t>a transparence res</w:t>
      </w:r>
      <w:r w:rsidR="001C248E" w:rsidRPr="005D241B">
        <w:rPr>
          <w:rFonts w:eastAsia="Malgun Gothic"/>
          <w:lang w:val="fr-FR"/>
        </w:rPr>
        <w:t>t</w:t>
      </w:r>
      <w:r w:rsidR="005D241B">
        <w:rPr>
          <w:rFonts w:eastAsia="Malgun Gothic"/>
          <w:lang w:val="fr-FR"/>
        </w:rPr>
        <w:t>ait</w:t>
      </w:r>
      <w:r w:rsidRPr="005D241B">
        <w:rPr>
          <w:rFonts w:eastAsia="Malgun Gothic"/>
          <w:lang w:val="fr-FR"/>
        </w:rPr>
        <w:t xml:space="preserve"> un principe directeur important pour l</w:t>
      </w:r>
      <w:r w:rsidR="00923E72">
        <w:rPr>
          <w:rFonts w:eastAsia="Malgun Gothic"/>
          <w:lang w:val="fr-FR"/>
        </w:rPr>
        <w:t>’</w:t>
      </w:r>
      <w:r w:rsidRPr="005D241B">
        <w:rPr>
          <w:rFonts w:eastAsia="Malgun Gothic"/>
          <w:lang w:val="fr-FR"/>
        </w:rPr>
        <w:t>organisation des réunions du Bureau. Comme cela a</w:t>
      </w:r>
      <w:r w:rsidR="001C248E" w:rsidRPr="005D241B">
        <w:rPr>
          <w:rFonts w:eastAsia="Malgun Gothic"/>
          <w:lang w:val="fr-FR"/>
        </w:rPr>
        <w:t>vait</w:t>
      </w:r>
      <w:r w:rsidRPr="005D241B">
        <w:rPr>
          <w:rFonts w:eastAsia="Malgun Gothic"/>
          <w:lang w:val="fr-FR"/>
        </w:rPr>
        <w:t xml:space="preserve"> été le cas au cours des deux dernières années</w:t>
      </w:r>
      <w:r w:rsidR="001C248E" w:rsidRPr="005D241B">
        <w:rPr>
          <w:rFonts w:eastAsia="Malgun Gothic"/>
          <w:lang w:val="fr-FR"/>
        </w:rPr>
        <w:t>,</w:t>
      </w:r>
      <w:r w:rsidRPr="005D241B">
        <w:rPr>
          <w:rFonts w:eastAsia="Malgun Gothic"/>
          <w:lang w:val="fr-FR"/>
        </w:rPr>
        <w:t xml:space="preserve"> et conformément à la recommandation</w:t>
      </w:r>
      <w:r w:rsidR="003E2289">
        <w:rPr>
          <w:rFonts w:eastAsia="Malgun Gothic"/>
          <w:lang w:val="fr-FR"/>
        </w:rPr>
        <w:t> </w:t>
      </w:r>
      <w:r w:rsidRPr="005D241B">
        <w:rPr>
          <w:rFonts w:eastAsia="Malgun Gothic"/>
          <w:lang w:val="fr-FR"/>
        </w:rPr>
        <w:t>69 du groupe de travail à composition non limitée sur la gouvernance, le Secrétariat a</w:t>
      </w:r>
      <w:r w:rsidR="001C248E" w:rsidRPr="005D241B">
        <w:rPr>
          <w:rFonts w:eastAsia="Malgun Gothic"/>
          <w:lang w:val="fr-FR"/>
        </w:rPr>
        <w:t>vait</w:t>
      </w:r>
      <w:r w:rsidRPr="005D241B">
        <w:rPr>
          <w:rFonts w:eastAsia="Malgun Gothic"/>
          <w:lang w:val="fr-FR"/>
        </w:rPr>
        <w:t xml:space="preserve"> demandé aux membres du Bureau de communiquer la date et le lieu de chaque réunion du Bureau au sein de leur groupe électoral respectif. En outre, </w:t>
      </w:r>
      <w:r w:rsidR="00E177F5" w:rsidRPr="005D241B">
        <w:rPr>
          <w:rFonts w:eastAsia="Malgun Gothic"/>
          <w:lang w:val="fr-FR"/>
        </w:rPr>
        <w:t xml:space="preserve">le Président a rappelé que </w:t>
      </w:r>
      <w:r w:rsidRPr="005D241B">
        <w:rPr>
          <w:rFonts w:eastAsia="Malgun Gothic"/>
          <w:lang w:val="fr-FR"/>
        </w:rPr>
        <w:t>l</w:t>
      </w:r>
      <w:r w:rsidR="00923E72">
        <w:rPr>
          <w:rFonts w:eastAsia="Malgun Gothic"/>
          <w:lang w:val="fr-FR"/>
        </w:rPr>
        <w:t>’</w:t>
      </w:r>
      <w:r w:rsidRPr="005D241B">
        <w:rPr>
          <w:rFonts w:eastAsia="Malgun Gothic"/>
          <w:lang w:val="fr-FR"/>
        </w:rPr>
        <w:t xml:space="preserve">ordre du jour, les documents et les décisions de chaque réunion du Bureau du Comité </w:t>
      </w:r>
      <w:r w:rsidR="005D241B">
        <w:rPr>
          <w:rFonts w:eastAsia="Malgun Gothic"/>
          <w:lang w:val="fr-FR"/>
        </w:rPr>
        <w:t xml:space="preserve">étaient </w:t>
      </w:r>
      <w:r w:rsidRPr="005D241B">
        <w:rPr>
          <w:rFonts w:eastAsia="Malgun Gothic"/>
          <w:lang w:val="fr-FR"/>
        </w:rPr>
        <w:t xml:space="preserve">publiés </w:t>
      </w:r>
      <w:hyperlink r:id="rId32" w:history="1">
        <w:r w:rsidRPr="005D241B">
          <w:rPr>
            <w:rStyle w:val="Hyperlink"/>
            <w:rFonts w:eastAsia="Malgun Gothic"/>
            <w:lang w:val="fr-FR"/>
          </w:rPr>
          <w:t>en ligne</w:t>
        </w:r>
      </w:hyperlink>
      <w:r w:rsidRPr="005D241B">
        <w:rPr>
          <w:rFonts w:eastAsia="Malgun Gothic"/>
          <w:lang w:val="fr-FR"/>
        </w:rPr>
        <w:t xml:space="preserve"> et </w:t>
      </w:r>
      <w:r w:rsidR="005D241B">
        <w:rPr>
          <w:rFonts w:eastAsia="Malgun Gothic"/>
          <w:lang w:val="fr-FR"/>
        </w:rPr>
        <w:t xml:space="preserve">pouvaient </w:t>
      </w:r>
      <w:r w:rsidRPr="005D241B">
        <w:rPr>
          <w:rFonts w:eastAsia="Malgun Gothic"/>
          <w:lang w:val="fr-FR"/>
        </w:rPr>
        <w:t xml:space="preserve">être consultés. </w:t>
      </w:r>
      <w:r w:rsidR="00E177F5" w:rsidRPr="005D241B">
        <w:rPr>
          <w:rFonts w:eastAsia="Malgun Gothic"/>
          <w:lang w:val="fr-FR"/>
        </w:rPr>
        <w:t>Par ailleurs</w:t>
      </w:r>
      <w:r w:rsidRPr="005D241B">
        <w:rPr>
          <w:rFonts w:eastAsia="Malgun Gothic"/>
          <w:lang w:val="fr-FR"/>
        </w:rPr>
        <w:t>, le Secrétariat a</w:t>
      </w:r>
      <w:r w:rsidR="00E177F5" w:rsidRPr="005D241B">
        <w:rPr>
          <w:rFonts w:eastAsia="Malgun Gothic"/>
          <w:lang w:val="fr-FR"/>
        </w:rPr>
        <w:t>vait</w:t>
      </w:r>
      <w:r w:rsidRPr="005D241B">
        <w:rPr>
          <w:rFonts w:eastAsia="Malgun Gothic"/>
          <w:lang w:val="fr-FR"/>
        </w:rPr>
        <w:t xml:space="preserve"> partagé les décisions du Bureau avec tous les membres du Bureau en leur demandant de les transmettre aux membres du Comité de leurs groupes électoraux respectifs. </w:t>
      </w:r>
      <w:r w:rsidR="00E177F5" w:rsidRPr="005D241B">
        <w:rPr>
          <w:rFonts w:eastAsia="Malgun Gothic"/>
          <w:lang w:val="fr-FR"/>
        </w:rPr>
        <w:t>Constatant qu</w:t>
      </w:r>
      <w:r w:rsidR="00923E72">
        <w:rPr>
          <w:rFonts w:eastAsia="Malgun Gothic"/>
          <w:lang w:val="fr-FR"/>
        </w:rPr>
        <w:t>’</w:t>
      </w:r>
      <w:r w:rsidR="00E177F5" w:rsidRPr="005D241B">
        <w:rPr>
          <w:rFonts w:eastAsia="Malgun Gothic"/>
          <w:lang w:val="fr-FR"/>
        </w:rPr>
        <w:t>il n</w:t>
      </w:r>
      <w:r w:rsidR="00923E72">
        <w:rPr>
          <w:rFonts w:eastAsia="Malgun Gothic"/>
          <w:lang w:val="fr-FR"/>
        </w:rPr>
        <w:t>’</w:t>
      </w:r>
      <w:r w:rsidR="00E177F5" w:rsidRPr="005D241B">
        <w:rPr>
          <w:rFonts w:eastAsia="Malgun Gothic"/>
          <w:lang w:val="fr-FR"/>
        </w:rPr>
        <w:t xml:space="preserve">y avait pas de commentaires </w:t>
      </w:r>
      <w:r w:rsidR="005D241B">
        <w:rPr>
          <w:rFonts w:eastAsia="Malgun Gothic"/>
          <w:lang w:val="fr-FR"/>
        </w:rPr>
        <w:t>sur l</w:t>
      </w:r>
      <w:r w:rsidRPr="005D241B">
        <w:rPr>
          <w:rFonts w:eastAsia="Malgun Gothic"/>
          <w:lang w:val="fr-FR"/>
        </w:rPr>
        <w:t>es activités du Bureau</w:t>
      </w:r>
      <w:r w:rsidR="00E177F5" w:rsidRPr="005D241B">
        <w:rPr>
          <w:rFonts w:eastAsia="Malgun Gothic"/>
          <w:lang w:val="fr-FR"/>
        </w:rPr>
        <w:t>, le Président est</w:t>
      </w:r>
      <w:r w:rsidRPr="005D241B">
        <w:rPr>
          <w:rFonts w:eastAsia="Malgun Gothic"/>
          <w:lang w:val="fr-FR"/>
        </w:rPr>
        <w:t xml:space="preserve"> pass</w:t>
      </w:r>
      <w:r w:rsidR="00E177F5" w:rsidRPr="005D241B">
        <w:rPr>
          <w:rFonts w:eastAsia="Malgun Gothic"/>
          <w:lang w:val="fr-FR"/>
        </w:rPr>
        <w:t xml:space="preserve">é </w:t>
      </w:r>
      <w:r w:rsidRPr="005D241B">
        <w:rPr>
          <w:rFonts w:eastAsia="Malgun Gothic"/>
          <w:lang w:val="fr-FR"/>
        </w:rPr>
        <w:t>au point suivant de l</w:t>
      </w:r>
      <w:r w:rsidR="00923E72">
        <w:rPr>
          <w:rFonts w:eastAsia="Malgun Gothic"/>
          <w:lang w:val="fr-FR"/>
        </w:rPr>
        <w:t>’</w:t>
      </w:r>
      <w:r w:rsidRPr="005D241B">
        <w:rPr>
          <w:rFonts w:eastAsia="Malgun Gothic"/>
          <w:lang w:val="fr-FR"/>
        </w:rPr>
        <w:t>ordre du jour.</w:t>
      </w:r>
    </w:p>
    <w:p w14:paraId="4CC43E99" w14:textId="5216C811" w:rsidR="00E177F5" w:rsidRPr="00E177F5" w:rsidRDefault="00E177F5" w:rsidP="00E177F5">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Pr>
          <w:b/>
          <w:color w:val="000000" w:themeColor="text1"/>
          <w:u w:val="single"/>
          <w:lang w:val="fr-FR"/>
        </w:rPr>
        <w:t>POINT</w:t>
      </w:r>
      <w:r w:rsidR="002B668C">
        <w:rPr>
          <w:b/>
          <w:color w:val="000000" w:themeColor="text1"/>
          <w:u w:val="single"/>
          <w:lang w:val="fr-FR"/>
        </w:rPr>
        <w:t> </w:t>
      </w:r>
      <w:r>
        <w:rPr>
          <w:b/>
          <w:color w:val="000000" w:themeColor="text1"/>
          <w:u w:val="single"/>
          <w:lang w:val="fr-FR"/>
        </w:rPr>
        <w:t>5 DE L</w:t>
      </w:r>
      <w:r w:rsidR="00923E72">
        <w:rPr>
          <w:b/>
          <w:color w:val="000000" w:themeColor="text1"/>
          <w:u w:val="single"/>
          <w:lang w:val="fr-FR"/>
        </w:rPr>
        <w:t>’</w:t>
      </w:r>
      <w:r w:rsidRPr="00E177F5">
        <w:rPr>
          <w:b/>
          <w:color w:val="000000" w:themeColor="text1"/>
          <w:u w:val="single"/>
          <w:lang w:val="fr-FR"/>
        </w:rPr>
        <w:t>ORDRE DU JOUR</w:t>
      </w:r>
      <w:r w:rsidRPr="00D010C4">
        <w:rPr>
          <w:b/>
          <w:color w:val="000000" w:themeColor="text1"/>
          <w:lang w:val="fr-FR"/>
        </w:rPr>
        <w:t> :</w:t>
      </w:r>
    </w:p>
    <w:p w14:paraId="1FA25105" w14:textId="05CCC39E" w:rsidR="00E177F5" w:rsidRPr="00E177F5" w:rsidRDefault="00E177F5" w:rsidP="00E177F5">
      <w:pPr>
        <w:pStyle w:val="Orateurengris"/>
        <w:spacing w:after="0"/>
        <w:jc w:val="left"/>
        <w:outlineLvl w:val="0"/>
        <w:rPr>
          <w:b/>
          <w:color w:val="000000" w:themeColor="text1"/>
          <w:lang w:val="fr-FR"/>
        </w:rPr>
      </w:pPr>
      <w:r w:rsidRPr="00E177F5">
        <w:rPr>
          <w:b/>
          <w:color w:val="000000" w:themeColor="text1"/>
          <w:lang w:val="fr-FR"/>
        </w:rPr>
        <w:t>R</w:t>
      </w:r>
      <w:r>
        <w:rPr>
          <w:b/>
          <w:color w:val="000000" w:themeColor="text1"/>
          <w:lang w:val="fr-FR"/>
        </w:rPr>
        <w:t xml:space="preserve">APPORT DU </w:t>
      </w:r>
      <w:r w:rsidRPr="00E177F5">
        <w:rPr>
          <w:b/>
          <w:color w:val="000000" w:themeColor="text1"/>
          <w:lang w:val="fr-FR"/>
        </w:rPr>
        <w:t>SECRÉTA</w:t>
      </w:r>
      <w:r>
        <w:rPr>
          <w:b/>
          <w:color w:val="000000" w:themeColor="text1"/>
          <w:lang w:val="fr-FR"/>
        </w:rPr>
        <w:t>RIAT SUR SES ACTIVITÉS (DE JANVIER À JUIN 2022)</w:t>
      </w:r>
    </w:p>
    <w:p w14:paraId="310AF3B3" w14:textId="77777777" w:rsidR="00E177F5" w:rsidRPr="00E177F5" w:rsidRDefault="00E177F5" w:rsidP="00E177F5">
      <w:pPr>
        <w:pStyle w:val="Orateurengris"/>
        <w:tabs>
          <w:tab w:val="clear" w:pos="709"/>
          <w:tab w:val="clear" w:pos="1418"/>
          <w:tab w:val="clear" w:pos="2126"/>
          <w:tab w:val="clear" w:pos="2835"/>
        </w:tabs>
        <w:spacing w:after="0"/>
        <w:ind w:left="567"/>
        <w:rPr>
          <w:b/>
          <w:color w:val="000000" w:themeColor="text1"/>
          <w:lang w:val="fr-FR"/>
        </w:rPr>
      </w:pPr>
    </w:p>
    <w:p w14:paraId="0C33ED6D" w14:textId="18407F31" w:rsidR="00E177F5" w:rsidRPr="00E177F5" w:rsidRDefault="00E177F5" w:rsidP="00E177F5">
      <w:pPr>
        <w:pStyle w:val="Orateurengris"/>
        <w:tabs>
          <w:tab w:val="clear" w:pos="709"/>
          <w:tab w:val="clear" w:pos="1418"/>
          <w:tab w:val="clear" w:pos="2126"/>
          <w:tab w:val="clear" w:pos="2835"/>
        </w:tabs>
        <w:spacing w:after="0"/>
        <w:ind w:left="709"/>
        <w:rPr>
          <w:lang w:val="fr-FR"/>
        </w:rPr>
      </w:pPr>
      <w:r w:rsidRPr="00E177F5">
        <w:rPr>
          <w:b/>
          <w:color w:val="000000" w:themeColor="text1"/>
          <w:lang w:val="fr-FR"/>
        </w:rPr>
        <w:t>Document</w:t>
      </w:r>
      <w:r>
        <w:rPr>
          <w:b/>
          <w:color w:val="000000" w:themeColor="text1"/>
          <w:lang w:val="fr-FR"/>
        </w:rPr>
        <w:t> </w:t>
      </w:r>
      <w:r w:rsidRPr="00E177F5">
        <w:rPr>
          <w:b/>
          <w:color w:val="000000" w:themeColor="text1"/>
          <w:lang w:val="fr-FR"/>
        </w:rPr>
        <w:t>:</w:t>
      </w:r>
      <w:r w:rsidRPr="00E177F5">
        <w:rPr>
          <w:b/>
          <w:iCs/>
          <w:color w:val="000000" w:themeColor="text1"/>
          <w:lang w:val="fr-FR"/>
        </w:rPr>
        <w:tab/>
      </w:r>
      <w:hyperlink r:id="rId33" w:history="1">
        <w:r w:rsidRPr="00E177F5">
          <w:rPr>
            <w:rStyle w:val="Hyperlink"/>
            <w:i/>
            <w:lang w:val="fr-FR"/>
          </w:rPr>
          <w:t>LHE/22/17.COM/5</w:t>
        </w:r>
      </w:hyperlink>
    </w:p>
    <w:p w14:paraId="6BB9AA39" w14:textId="7090C8F8" w:rsidR="00E177F5" w:rsidRPr="00E177F5" w:rsidRDefault="00E177F5" w:rsidP="00E177F5">
      <w:pPr>
        <w:pStyle w:val="Orateurengris"/>
        <w:tabs>
          <w:tab w:val="clear" w:pos="709"/>
          <w:tab w:val="clear" w:pos="1418"/>
          <w:tab w:val="clear" w:pos="2126"/>
          <w:tab w:val="clear" w:pos="2835"/>
        </w:tabs>
        <w:spacing w:before="60" w:after="240"/>
        <w:ind w:left="709"/>
        <w:rPr>
          <w:i/>
          <w:lang w:val="fr-FR"/>
        </w:rPr>
      </w:pPr>
      <w:r w:rsidRPr="00E177F5">
        <w:rPr>
          <w:b/>
          <w:color w:val="000000" w:themeColor="text1"/>
          <w:lang w:val="fr-FR"/>
        </w:rPr>
        <w:t>D</w:t>
      </w:r>
      <w:r>
        <w:rPr>
          <w:b/>
          <w:color w:val="000000" w:themeColor="text1"/>
          <w:lang w:val="fr-FR"/>
        </w:rPr>
        <w:t>é</w:t>
      </w:r>
      <w:r w:rsidRPr="00E177F5">
        <w:rPr>
          <w:b/>
          <w:color w:val="000000" w:themeColor="text1"/>
          <w:lang w:val="fr-FR"/>
        </w:rPr>
        <w:t>cision</w:t>
      </w:r>
      <w:r>
        <w:rPr>
          <w:b/>
          <w:color w:val="000000" w:themeColor="text1"/>
          <w:lang w:val="fr-FR"/>
        </w:rPr>
        <w:t> </w:t>
      </w:r>
      <w:r w:rsidRPr="00E177F5">
        <w:rPr>
          <w:b/>
          <w:color w:val="000000" w:themeColor="text1"/>
          <w:lang w:val="fr-FR"/>
        </w:rPr>
        <w:t>:</w:t>
      </w:r>
      <w:r w:rsidRPr="00E177F5">
        <w:rPr>
          <w:bCs/>
          <w:color w:val="000000" w:themeColor="text1"/>
          <w:lang w:val="fr-FR"/>
        </w:rPr>
        <w:tab/>
      </w:r>
      <w:hyperlink r:id="rId34" w:history="1">
        <w:r w:rsidRPr="00E177F5">
          <w:rPr>
            <w:rStyle w:val="Hyperlink"/>
            <w:i/>
            <w:lang w:val="fr-FR"/>
          </w:rPr>
          <w:t>17.COM</w:t>
        </w:r>
        <w:r w:rsidR="00B32B5A">
          <w:rPr>
            <w:rStyle w:val="Hyperlink"/>
            <w:i/>
            <w:lang w:val="fr-FR"/>
          </w:rPr>
          <w:t> </w:t>
        </w:r>
        <w:r w:rsidRPr="00E177F5">
          <w:rPr>
            <w:rStyle w:val="Hyperlink"/>
            <w:i/>
            <w:lang w:val="fr-FR"/>
          </w:rPr>
          <w:t>5</w:t>
        </w:r>
      </w:hyperlink>
    </w:p>
    <w:p w14:paraId="04E65161" w14:textId="4F060758" w:rsidR="00E177F5" w:rsidRDefault="00E177F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E177F5">
        <w:rPr>
          <w:rFonts w:eastAsia="Malgun Gothic"/>
          <w:b/>
          <w:bCs/>
          <w:lang w:val="fr-FR"/>
        </w:rPr>
        <w:t>Président</w:t>
      </w:r>
      <w:r>
        <w:rPr>
          <w:rFonts w:eastAsia="Malgun Gothic"/>
          <w:lang w:val="fr-FR"/>
        </w:rPr>
        <w:t xml:space="preserve"> est passé à un point important de l</w:t>
      </w:r>
      <w:r w:rsidR="00923E72">
        <w:rPr>
          <w:rFonts w:eastAsia="Malgun Gothic"/>
          <w:lang w:val="fr-FR"/>
        </w:rPr>
        <w:t>’</w:t>
      </w:r>
      <w:r w:rsidRPr="00E177F5">
        <w:rPr>
          <w:rFonts w:eastAsia="Malgun Gothic"/>
          <w:lang w:val="fr-FR"/>
        </w:rPr>
        <w:t>ordre du jour</w:t>
      </w:r>
      <w:r w:rsidR="005D241B">
        <w:rPr>
          <w:rFonts w:eastAsia="Malgun Gothic"/>
          <w:lang w:val="fr-FR"/>
        </w:rPr>
        <w:t>,</w:t>
      </w:r>
      <w:r>
        <w:rPr>
          <w:rFonts w:eastAsia="Malgun Gothic"/>
          <w:lang w:val="fr-FR"/>
        </w:rPr>
        <w:t xml:space="preserve"> le point</w:t>
      </w:r>
      <w:r w:rsidR="002B668C">
        <w:rPr>
          <w:rFonts w:eastAsia="Malgun Gothic"/>
          <w:lang w:val="fr-FR"/>
        </w:rPr>
        <w:t> </w:t>
      </w:r>
      <w:r>
        <w:rPr>
          <w:rFonts w:eastAsia="Malgun Gothic"/>
          <w:lang w:val="fr-FR"/>
        </w:rPr>
        <w:t>5</w:t>
      </w:r>
      <w:r w:rsidR="00B32B5A">
        <w:rPr>
          <w:rFonts w:eastAsia="Malgun Gothic"/>
          <w:lang w:val="fr-FR"/>
        </w:rPr>
        <w:t>,</w:t>
      </w:r>
      <w:r>
        <w:rPr>
          <w:rFonts w:eastAsia="Malgun Gothic"/>
          <w:lang w:val="fr-FR"/>
        </w:rPr>
        <w:t xml:space="preserve"> le rapport du </w:t>
      </w:r>
      <w:r w:rsidRPr="00E177F5">
        <w:rPr>
          <w:rFonts w:eastAsia="Malgun Gothic"/>
          <w:lang w:val="fr-FR"/>
        </w:rPr>
        <w:t>Secréta</w:t>
      </w:r>
      <w:r>
        <w:rPr>
          <w:rFonts w:eastAsia="Malgun Gothic"/>
          <w:lang w:val="fr-FR"/>
        </w:rPr>
        <w:t>riat sur ses activités de janvier</w:t>
      </w:r>
      <w:r w:rsidR="003A0260">
        <w:rPr>
          <w:rFonts w:eastAsia="Malgun Gothic"/>
          <w:lang w:val="fr-FR"/>
        </w:rPr>
        <w:t> </w:t>
      </w:r>
      <w:r>
        <w:rPr>
          <w:rFonts w:eastAsia="Malgun Gothic"/>
          <w:lang w:val="fr-FR"/>
        </w:rPr>
        <w:t>2022 à juin</w:t>
      </w:r>
      <w:r w:rsidR="003A0260">
        <w:rPr>
          <w:rFonts w:eastAsia="Malgun Gothic"/>
          <w:lang w:val="fr-FR"/>
        </w:rPr>
        <w:t> </w:t>
      </w:r>
      <w:r>
        <w:rPr>
          <w:rFonts w:eastAsia="Malgun Gothic"/>
          <w:lang w:val="fr-FR"/>
        </w:rPr>
        <w:t>2022.</w:t>
      </w:r>
    </w:p>
    <w:p w14:paraId="7259ED6F" w14:textId="1FC51103" w:rsidR="00E177F5" w:rsidRPr="000058E4" w:rsidRDefault="00086D9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086D98">
        <w:rPr>
          <w:rFonts w:eastAsia="Malgun Gothic"/>
          <w:lang w:val="fr-FR"/>
        </w:rPr>
        <w:t xml:space="preserve">Le </w:t>
      </w:r>
      <w:r w:rsidRPr="00086D98">
        <w:rPr>
          <w:rFonts w:eastAsia="Malgun Gothic"/>
          <w:b/>
          <w:bCs/>
          <w:lang w:val="fr-FR"/>
        </w:rPr>
        <w:t>Secrétaire</w:t>
      </w:r>
      <w:r w:rsidRPr="00086D98">
        <w:rPr>
          <w:rFonts w:eastAsia="Malgun Gothic"/>
          <w:lang w:val="fr-FR"/>
        </w:rPr>
        <w:t xml:space="preserve"> </w:t>
      </w:r>
      <w:r w:rsidR="00B32B5A">
        <w:rPr>
          <w:rFonts w:eastAsia="Malgun Gothic"/>
          <w:lang w:val="fr-FR"/>
        </w:rPr>
        <w:t xml:space="preserve">était </w:t>
      </w:r>
      <w:r w:rsidR="000058E4">
        <w:rPr>
          <w:rFonts w:eastAsia="Malgun Gothic"/>
          <w:lang w:val="fr-FR"/>
        </w:rPr>
        <w:t>heureux</w:t>
      </w:r>
      <w:r w:rsidRPr="00086D98">
        <w:rPr>
          <w:rFonts w:eastAsia="Malgun Gothic"/>
          <w:lang w:val="fr-FR"/>
        </w:rPr>
        <w:t xml:space="preserve"> de </w:t>
      </w:r>
      <w:r w:rsidR="000058E4">
        <w:rPr>
          <w:rFonts w:eastAsia="Malgun Gothic"/>
          <w:lang w:val="fr-FR"/>
        </w:rPr>
        <w:t xml:space="preserve">faire connaître </w:t>
      </w:r>
      <w:r w:rsidRPr="00086D98">
        <w:rPr>
          <w:rFonts w:eastAsia="Malgun Gothic"/>
          <w:lang w:val="fr-FR"/>
        </w:rPr>
        <w:t>les activités les plus récentes du Secrétariat</w:t>
      </w:r>
      <w:r w:rsidR="005D241B">
        <w:rPr>
          <w:rFonts w:eastAsia="Malgun Gothic"/>
          <w:lang w:val="fr-FR"/>
        </w:rPr>
        <w:t xml:space="preserve">, </w:t>
      </w:r>
      <w:r w:rsidRPr="00086D98">
        <w:rPr>
          <w:rFonts w:eastAsia="Malgun Gothic"/>
          <w:lang w:val="fr-FR"/>
        </w:rPr>
        <w:t>couvr</w:t>
      </w:r>
      <w:r>
        <w:rPr>
          <w:rFonts w:eastAsia="Malgun Gothic"/>
          <w:lang w:val="fr-FR"/>
        </w:rPr>
        <w:t>a</w:t>
      </w:r>
      <w:r w:rsidR="005D241B">
        <w:rPr>
          <w:rFonts w:eastAsia="Malgun Gothic"/>
          <w:lang w:val="fr-FR"/>
        </w:rPr>
        <w:t>n</w:t>
      </w:r>
      <w:r>
        <w:rPr>
          <w:rFonts w:eastAsia="Malgun Gothic"/>
          <w:lang w:val="fr-FR"/>
        </w:rPr>
        <w:t>t</w:t>
      </w:r>
      <w:r w:rsidRPr="00086D98">
        <w:rPr>
          <w:rFonts w:eastAsia="Malgun Gothic"/>
          <w:lang w:val="fr-FR"/>
        </w:rPr>
        <w:t xml:space="preserve"> les six premiers mois de l</w:t>
      </w:r>
      <w:r w:rsidR="00923E72">
        <w:rPr>
          <w:rFonts w:eastAsia="Malgun Gothic"/>
          <w:lang w:val="fr-FR"/>
        </w:rPr>
        <w:t>’</w:t>
      </w:r>
      <w:r w:rsidRPr="00086D98">
        <w:rPr>
          <w:rFonts w:eastAsia="Malgun Gothic"/>
          <w:lang w:val="fr-FR"/>
        </w:rPr>
        <w:t>anné</w:t>
      </w:r>
      <w:r w:rsidR="005D241B">
        <w:rPr>
          <w:rFonts w:eastAsia="Malgun Gothic"/>
          <w:lang w:val="fr-FR"/>
        </w:rPr>
        <w:t xml:space="preserve">e, </w:t>
      </w:r>
      <w:r w:rsidRPr="00086D98">
        <w:rPr>
          <w:rFonts w:eastAsia="Malgun Gothic"/>
          <w:lang w:val="fr-FR"/>
        </w:rPr>
        <w:t>de janvier à juin</w:t>
      </w:r>
      <w:r w:rsidR="003A0260">
        <w:rPr>
          <w:rFonts w:eastAsia="Malgun Gothic"/>
          <w:lang w:val="fr-FR"/>
        </w:rPr>
        <w:t> </w:t>
      </w:r>
      <w:r w:rsidRPr="00086D98">
        <w:rPr>
          <w:rFonts w:eastAsia="Malgun Gothic"/>
          <w:lang w:val="fr-FR"/>
        </w:rPr>
        <w:t xml:space="preserve">2022. </w:t>
      </w:r>
      <w:r>
        <w:rPr>
          <w:rFonts w:eastAsia="Malgun Gothic"/>
          <w:lang w:val="fr-FR"/>
        </w:rPr>
        <w:t>Le rapport</w:t>
      </w:r>
      <w:r w:rsidRPr="00086D98">
        <w:rPr>
          <w:rFonts w:eastAsia="Malgun Gothic"/>
          <w:lang w:val="fr-FR"/>
        </w:rPr>
        <w:t xml:space="preserve"> fai</w:t>
      </w:r>
      <w:r>
        <w:rPr>
          <w:rFonts w:eastAsia="Malgun Gothic"/>
          <w:lang w:val="fr-FR"/>
        </w:rPr>
        <w:t>sai</w:t>
      </w:r>
      <w:r w:rsidRPr="00086D98">
        <w:rPr>
          <w:rFonts w:eastAsia="Malgun Gothic"/>
          <w:lang w:val="fr-FR"/>
        </w:rPr>
        <w:t xml:space="preserve">t également référence aux décisions prises par la </w:t>
      </w:r>
      <w:r>
        <w:rPr>
          <w:rFonts w:eastAsia="Malgun Gothic"/>
          <w:lang w:val="fr-FR"/>
        </w:rPr>
        <w:t>neuvième</w:t>
      </w:r>
      <w:r w:rsidRPr="00086D98">
        <w:rPr>
          <w:rFonts w:eastAsia="Malgun Gothic"/>
          <w:lang w:val="fr-FR"/>
        </w:rPr>
        <w:t xml:space="preserve"> session de l</w:t>
      </w:r>
      <w:r w:rsidR="00923E72">
        <w:rPr>
          <w:rFonts w:eastAsia="Malgun Gothic"/>
          <w:lang w:val="fr-FR"/>
        </w:rPr>
        <w:t>’</w:t>
      </w:r>
      <w:r w:rsidRPr="00086D98">
        <w:rPr>
          <w:rFonts w:eastAsia="Malgun Gothic"/>
          <w:lang w:val="fr-FR"/>
        </w:rPr>
        <w:t xml:space="preserve">Assemblée générale, étant donné que de nombreuses activités entreprises au cours de la période couverte par le rapport </w:t>
      </w:r>
      <w:r>
        <w:rPr>
          <w:rFonts w:eastAsia="Malgun Gothic"/>
          <w:lang w:val="fr-FR"/>
        </w:rPr>
        <w:t>avaient</w:t>
      </w:r>
      <w:r w:rsidRPr="00086D98">
        <w:rPr>
          <w:rFonts w:eastAsia="Malgun Gothic"/>
          <w:lang w:val="fr-FR"/>
        </w:rPr>
        <w:t xml:space="preserve"> conduit à ces décisions. Même si le rapport ne couvr</w:t>
      </w:r>
      <w:r>
        <w:rPr>
          <w:rFonts w:eastAsia="Malgun Gothic"/>
          <w:lang w:val="fr-FR"/>
        </w:rPr>
        <w:t>ait</w:t>
      </w:r>
      <w:r w:rsidRPr="00086D98">
        <w:rPr>
          <w:rFonts w:eastAsia="Malgun Gothic"/>
          <w:lang w:val="fr-FR"/>
        </w:rPr>
        <w:t xml:space="preserve"> que six mois, on </w:t>
      </w:r>
      <w:r>
        <w:rPr>
          <w:rFonts w:eastAsia="Malgun Gothic"/>
          <w:lang w:val="fr-FR"/>
        </w:rPr>
        <w:t>pouvait espérer</w:t>
      </w:r>
      <w:r w:rsidRPr="00086D98">
        <w:rPr>
          <w:rFonts w:eastAsia="Malgun Gothic"/>
          <w:lang w:val="fr-FR"/>
        </w:rPr>
        <w:t xml:space="preserve"> que le Comité remarquera</w:t>
      </w:r>
      <w:r>
        <w:rPr>
          <w:rFonts w:eastAsia="Malgun Gothic"/>
          <w:lang w:val="fr-FR"/>
        </w:rPr>
        <w:t>it</w:t>
      </w:r>
      <w:r w:rsidRPr="00086D98">
        <w:rPr>
          <w:rFonts w:eastAsia="Malgun Gothic"/>
          <w:lang w:val="fr-FR"/>
        </w:rPr>
        <w:t xml:space="preserve"> à quel point le document refl</w:t>
      </w:r>
      <w:r>
        <w:rPr>
          <w:rFonts w:eastAsia="Malgun Gothic"/>
          <w:lang w:val="fr-FR"/>
        </w:rPr>
        <w:t>était</w:t>
      </w:r>
      <w:r w:rsidRPr="00086D98">
        <w:rPr>
          <w:rFonts w:eastAsia="Malgun Gothic"/>
          <w:lang w:val="fr-FR"/>
        </w:rPr>
        <w:t xml:space="preserve"> l</w:t>
      </w:r>
      <w:r w:rsidR="00923E72">
        <w:rPr>
          <w:rFonts w:eastAsia="Malgun Gothic"/>
          <w:lang w:val="fr-FR"/>
        </w:rPr>
        <w:t>’</w:t>
      </w:r>
      <w:r w:rsidRPr="00086D98">
        <w:rPr>
          <w:rFonts w:eastAsia="Malgun Gothic"/>
          <w:lang w:val="fr-FR"/>
        </w:rPr>
        <w:t>intensité de ses</w:t>
      </w:r>
      <w:r w:rsidR="000058E4">
        <w:rPr>
          <w:rFonts w:eastAsia="Malgun Gothic"/>
          <w:lang w:val="fr-FR"/>
        </w:rPr>
        <w:t xml:space="preserve"> activités</w:t>
      </w:r>
      <w:r w:rsidRPr="00086D98">
        <w:rPr>
          <w:rFonts w:eastAsia="Malgun Gothic"/>
          <w:lang w:val="fr-FR"/>
        </w:rPr>
        <w:t xml:space="preserve">. </w:t>
      </w:r>
      <w:r w:rsidR="005D241B">
        <w:rPr>
          <w:rFonts w:eastAsia="Malgun Gothic"/>
          <w:lang w:val="fr-FR"/>
        </w:rPr>
        <w:t>U</w:t>
      </w:r>
      <w:r w:rsidRPr="00086D98">
        <w:rPr>
          <w:rFonts w:eastAsia="Malgun Gothic"/>
          <w:lang w:val="fr-FR"/>
        </w:rPr>
        <w:t>n large éventail d</w:t>
      </w:r>
      <w:r w:rsidR="00923E72">
        <w:rPr>
          <w:rFonts w:eastAsia="Malgun Gothic"/>
          <w:lang w:val="fr-FR"/>
        </w:rPr>
        <w:t>’</w:t>
      </w:r>
      <w:r w:rsidRPr="00086D98">
        <w:rPr>
          <w:rFonts w:eastAsia="Malgun Gothic"/>
          <w:lang w:val="fr-FR"/>
        </w:rPr>
        <w:t>activités</w:t>
      </w:r>
      <w:r w:rsidR="005D241B">
        <w:rPr>
          <w:rFonts w:eastAsia="Malgun Gothic"/>
          <w:lang w:val="fr-FR"/>
        </w:rPr>
        <w:t xml:space="preserve"> avait été entreprises</w:t>
      </w:r>
      <w:r w:rsidRPr="00086D98">
        <w:rPr>
          <w:rFonts w:eastAsia="Malgun Gothic"/>
          <w:lang w:val="fr-FR"/>
        </w:rPr>
        <w:t>, notamment</w:t>
      </w:r>
      <w:r w:rsidR="000058E4">
        <w:rPr>
          <w:rFonts w:eastAsia="Malgun Gothic"/>
          <w:lang w:val="fr-FR"/>
        </w:rPr>
        <w:t> </w:t>
      </w:r>
      <w:r w:rsidRPr="00086D98">
        <w:rPr>
          <w:rFonts w:eastAsia="Malgun Gothic"/>
          <w:lang w:val="fr-FR"/>
        </w:rPr>
        <w:t>: i)</w:t>
      </w:r>
      <w:r w:rsidR="000058E4">
        <w:rPr>
          <w:rFonts w:eastAsia="Malgun Gothic"/>
          <w:lang w:val="fr-FR"/>
        </w:rPr>
        <w:t> </w:t>
      </w:r>
      <w:r w:rsidRPr="00086D98">
        <w:rPr>
          <w:rFonts w:eastAsia="Malgun Gothic"/>
          <w:lang w:val="fr-FR"/>
        </w:rPr>
        <w:t>le soutien à de nombreuses réunions des organes directeurs de la Convention</w:t>
      </w:r>
      <w:r w:rsidR="000058E4">
        <w:rPr>
          <w:rFonts w:eastAsia="Malgun Gothic"/>
          <w:lang w:val="fr-FR"/>
        </w:rPr>
        <w:t> </w:t>
      </w:r>
      <w:r w:rsidRPr="00086D98">
        <w:rPr>
          <w:rFonts w:eastAsia="Malgun Gothic"/>
          <w:lang w:val="fr-FR"/>
        </w:rPr>
        <w:t>; ii)</w:t>
      </w:r>
      <w:r w:rsidR="000058E4">
        <w:rPr>
          <w:rFonts w:eastAsia="Malgun Gothic"/>
          <w:lang w:val="fr-FR"/>
        </w:rPr>
        <w:t> </w:t>
      </w:r>
      <w:r w:rsidRPr="00086D98">
        <w:rPr>
          <w:rFonts w:eastAsia="Malgun Gothic"/>
          <w:lang w:val="fr-FR"/>
        </w:rPr>
        <w:t>l</w:t>
      </w:r>
      <w:r w:rsidR="00923E72">
        <w:rPr>
          <w:rFonts w:eastAsia="Malgun Gothic"/>
          <w:lang w:val="fr-FR"/>
        </w:rPr>
        <w:t>’</w:t>
      </w:r>
      <w:r w:rsidRPr="00086D98">
        <w:rPr>
          <w:rFonts w:eastAsia="Malgun Gothic"/>
          <w:lang w:val="fr-FR"/>
        </w:rPr>
        <w:t>administration simultanée de divers mécanismes de coopération</w:t>
      </w:r>
      <w:r w:rsidR="000058E4">
        <w:rPr>
          <w:rFonts w:eastAsia="Malgun Gothic"/>
          <w:lang w:val="fr-FR"/>
        </w:rPr>
        <w:t> </w:t>
      </w:r>
      <w:r w:rsidRPr="00086D98">
        <w:rPr>
          <w:rFonts w:eastAsia="Malgun Gothic"/>
          <w:lang w:val="fr-FR"/>
        </w:rPr>
        <w:t>; iii)</w:t>
      </w:r>
      <w:r w:rsidR="000058E4">
        <w:rPr>
          <w:rFonts w:eastAsia="Malgun Gothic"/>
          <w:lang w:val="fr-FR"/>
        </w:rPr>
        <w:t> </w:t>
      </w:r>
      <w:r w:rsidRPr="00086D98">
        <w:rPr>
          <w:rFonts w:eastAsia="Malgun Gothic"/>
          <w:lang w:val="fr-FR"/>
        </w:rPr>
        <w:t>la réalisation de projets opérationnels</w:t>
      </w:r>
      <w:r w:rsidR="000058E4">
        <w:rPr>
          <w:rFonts w:eastAsia="Malgun Gothic"/>
          <w:lang w:val="fr-FR"/>
        </w:rPr>
        <w:t> </w:t>
      </w:r>
      <w:r w:rsidRPr="000058E4">
        <w:rPr>
          <w:rFonts w:eastAsia="Malgun Gothic"/>
          <w:lang w:val="fr-FR"/>
        </w:rPr>
        <w:t>; iv)</w:t>
      </w:r>
      <w:r w:rsidR="000058E4" w:rsidRPr="000058E4">
        <w:rPr>
          <w:rFonts w:eastAsia="Malgun Gothic"/>
          <w:lang w:val="fr-FR"/>
        </w:rPr>
        <w:t> </w:t>
      </w:r>
      <w:r w:rsidRPr="000058E4">
        <w:rPr>
          <w:rFonts w:eastAsia="Malgun Gothic"/>
          <w:lang w:val="fr-FR"/>
        </w:rPr>
        <w:t>l</w:t>
      </w:r>
      <w:r w:rsidR="00923E72">
        <w:rPr>
          <w:rFonts w:eastAsia="Malgun Gothic"/>
          <w:lang w:val="fr-FR"/>
        </w:rPr>
        <w:t>’</w:t>
      </w:r>
      <w:r w:rsidRPr="000058E4">
        <w:rPr>
          <w:rFonts w:eastAsia="Malgun Gothic"/>
          <w:lang w:val="fr-FR"/>
        </w:rPr>
        <w:t>expansion du programme de renforcement des capacités et sa transformation en cours vers une prestation multimodale</w:t>
      </w:r>
      <w:r w:rsidR="000058E4">
        <w:rPr>
          <w:rFonts w:eastAsia="Malgun Gothic"/>
          <w:lang w:val="fr-FR"/>
        </w:rPr>
        <w:t> </w:t>
      </w:r>
      <w:r w:rsidRPr="000058E4">
        <w:rPr>
          <w:rFonts w:eastAsia="Malgun Gothic"/>
          <w:lang w:val="fr-FR"/>
        </w:rPr>
        <w:t>; v)</w:t>
      </w:r>
      <w:r w:rsidR="000058E4">
        <w:rPr>
          <w:rFonts w:eastAsia="Malgun Gothic"/>
          <w:lang w:val="fr-FR"/>
        </w:rPr>
        <w:t> </w:t>
      </w:r>
      <w:r w:rsidRPr="000058E4">
        <w:rPr>
          <w:rFonts w:eastAsia="Malgun Gothic"/>
          <w:lang w:val="fr-FR"/>
        </w:rPr>
        <w:t>les réponses aux situations d</w:t>
      </w:r>
      <w:r w:rsidR="00923E72">
        <w:rPr>
          <w:rFonts w:eastAsia="Malgun Gothic"/>
          <w:lang w:val="fr-FR"/>
        </w:rPr>
        <w:t>’</w:t>
      </w:r>
      <w:r w:rsidRPr="000058E4">
        <w:rPr>
          <w:rFonts w:eastAsia="Malgun Gothic"/>
          <w:lang w:val="fr-FR"/>
        </w:rPr>
        <w:t>urgence</w:t>
      </w:r>
      <w:r w:rsidR="000058E4">
        <w:rPr>
          <w:rFonts w:eastAsia="Malgun Gothic"/>
          <w:lang w:val="fr-FR"/>
        </w:rPr>
        <w:t> </w:t>
      </w:r>
      <w:r w:rsidRPr="000058E4">
        <w:rPr>
          <w:rFonts w:eastAsia="Malgun Gothic"/>
          <w:lang w:val="fr-FR"/>
        </w:rPr>
        <w:t>; vi)</w:t>
      </w:r>
      <w:r w:rsidR="000058E4">
        <w:rPr>
          <w:rFonts w:eastAsia="Malgun Gothic"/>
          <w:lang w:val="fr-FR"/>
        </w:rPr>
        <w:t> </w:t>
      </w:r>
      <w:r w:rsidRPr="000058E4">
        <w:rPr>
          <w:rFonts w:eastAsia="Malgun Gothic"/>
          <w:lang w:val="fr-FR"/>
        </w:rPr>
        <w:t>le développement de nouvelles initiatives thématiques</w:t>
      </w:r>
      <w:r w:rsidR="000058E4">
        <w:rPr>
          <w:rFonts w:eastAsia="Malgun Gothic"/>
          <w:lang w:val="fr-FR"/>
        </w:rPr>
        <w:t> </w:t>
      </w:r>
      <w:r w:rsidRPr="000058E4">
        <w:rPr>
          <w:rFonts w:eastAsia="Malgun Gothic"/>
          <w:lang w:val="fr-FR"/>
        </w:rPr>
        <w:t xml:space="preserve">; </w:t>
      </w:r>
      <w:r w:rsidR="000058E4" w:rsidRPr="000058E4">
        <w:rPr>
          <w:rFonts w:eastAsia="Malgun Gothic"/>
          <w:lang w:val="fr-FR"/>
        </w:rPr>
        <w:t xml:space="preserve">et </w:t>
      </w:r>
      <w:r w:rsidRPr="000058E4">
        <w:rPr>
          <w:rFonts w:eastAsia="Malgun Gothic"/>
          <w:lang w:val="fr-FR"/>
        </w:rPr>
        <w:t>vii)</w:t>
      </w:r>
      <w:r w:rsidR="000058E4">
        <w:rPr>
          <w:rFonts w:eastAsia="Malgun Gothic"/>
          <w:lang w:val="fr-FR"/>
        </w:rPr>
        <w:t> </w:t>
      </w:r>
      <w:r w:rsidRPr="000058E4">
        <w:rPr>
          <w:rFonts w:eastAsia="Malgun Gothic"/>
          <w:lang w:val="fr-FR"/>
        </w:rPr>
        <w:t xml:space="preserve">la révision des Directives </w:t>
      </w:r>
      <w:r w:rsidRPr="000058E4">
        <w:rPr>
          <w:rFonts w:eastAsia="Malgun Gothic"/>
          <w:lang w:val="fr-FR"/>
        </w:rPr>
        <w:lastRenderedPageBreak/>
        <w:t>opérationnelles et des formulaires</w:t>
      </w:r>
      <w:r w:rsidR="000058E4">
        <w:rPr>
          <w:rFonts w:eastAsia="Malgun Gothic"/>
          <w:lang w:val="fr-FR"/>
        </w:rPr>
        <w:t>,</w:t>
      </w:r>
      <w:r w:rsidRPr="000058E4">
        <w:rPr>
          <w:rFonts w:eastAsia="Malgun Gothic"/>
          <w:lang w:val="fr-FR"/>
        </w:rPr>
        <w:t xml:space="preserve"> entre autres. Pour gagner du temps, le Secrétaire s</w:t>
      </w:r>
      <w:r w:rsidR="00923E72">
        <w:rPr>
          <w:rFonts w:eastAsia="Malgun Gothic"/>
          <w:lang w:val="fr-FR"/>
        </w:rPr>
        <w:t>’</w:t>
      </w:r>
      <w:r w:rsidRPr="000058E4">
        <w:rPr>
          <w:rFonts w:eastAsia="Malgun Gothic"/>
          <w:lang w:val="fr-FR"/>
        </w:rPr>
        <w:t>est concentré uniquement sur les points clés, les détails étant présentés dans le document de travail.</w:t>
      </w:r>
    </w:p>
    <w:p w14:paraId="0D6865A5" w14:textId="21CDE5C3" w:rsidR="000058E4" w:rsidRPr="007D23D1" w:rsidRDefault="00DA397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7D23D1">
        <w:rPr>
          <w:rFonts w:eastAsia="Malgun Gothic"/>
          <w:lang w:val="fr-FR"/>
        </w:rPr>
        <w:t xml:space="preserve">Le </w:t>
      </w:r>
      <w:r w:rsidRPr="007D23D1">
        <w:rPr>
          <w:rFonts w:eastAsia="Malgun Gothic"/>
          <w:b/>
          <w:bCs/>
          <w:lang w:val="fr-FR"/>
        </w:rPr>
        <w:t>Secrétaire</w:t>
      </w:r>
      <w:r w:rsidRPr="007D23D1">
        <w:rPr>
          <w:rFonts w:eastAsia="Malgun Gothic"/>
          <w:lang w:val="fr-FR"/>
        </w:rPr>
        <w:t xml:space="preserve"> a </w:t>
      </w:r>
      <w:r w:rsidR="005D241B" w:rsidRPr="007D23D1">
        <w:rPr>
          <w:rFonts w:eastAsia="Malgun Gothic"/>
          <w:lang w:val="fr-FR"/>
        </w:rPr>
        <w:t xml:space="preserve">fait remarquer </w:t>
      </w:r>
      <w:r w:rsidRPr="007D23D1">
        <w:rPr>
          <w:rFonts w:eastAsia="Malgun Gothic"/>
          <w:lang w:val="fr-FR"/>
        </w:rPr>
        <w:t>que la pandémie de COVID</w:t>
      </w:r>
      <w:r w:rsidRPr="007D23D1">
        <w:rPr>
          <w:rFonts w:eastAsia="Malgun Gothic"/>
          <w:lang w:val="fr-FR"/>
        </w:rPr>
        <w:noBreakHyphen/>
        <w:t>19 a</w:t>
      </w:r>
      <w:r w:rsidR="00530EFB" w:rsidRPr="007D23D1">
        <w:rPr>
          <w:rFonts w:eastAsia="Malgun Gothic"/>
          <w:lang w:val="fr-FR"/>
        </w:rPr>
        <w:t>vait</w:t>
      </w:r>
      <w:r w:rsidRPr="007D23D1">
        <w:rPr>
          <w:rFonts w:eastAsia="Malgun Gothic"/>
          <w:lang w:val="fr-FR"/>
        </w:rPr>
        <w:t xml:space="preserve"> continué d</w:t>
      </w:r>
      <w:r w:rsidR="00923E72" w:rsidRPr="007D23D1">
        <w:rPr>
          <w:rFonts w:eastAsia="Malgun Gothic"/>
          <w:lang w:val="fr-FR"/>
        </w:rPr>
        <w:t>’</w:t>
      </w:r>
      <w:r w:rsidRPr="007D23D1">
        <w:rPr>
          <w:rFonts w:eastAsia="Malgun Gothic"/>
          <w:lang w:val="fr-FR"/>
        </w:rPr>
        <w:t>avoir une incidence les opérations en</w:t>
      </w:r>
      <w:r w:rsidR="00246428" w:rsidRPr="007D23D1">
        <w:rPr>
          <w:rFonts w:eastAsia="Malgun Gothic"/>
          <w:lang w:val="fr-FR"/>
        </w:rPr>
        <w:t> </w:t>
      </w:r>
      <w:r w:rsidRPr="007D23D1">
        <w:rPr>
          <w:rFonts w:eastAsia="Malgun Gothic"/>
          <w:lang w:val="fr-FR"/>
        </w:rPr>
        <w:t>2022</w:t>
      </w:r>
      <w:r w:rsidR="005D241B" w:rsidRPr="007D23D1">
        <w:rPr>
          <w:rFonts w:eastAsia="Malgun Gothic"/>
          <w:lang w:val="fr-FR"/>
        </w:rPr>
        <w:t>. Toutefois,</w:t>
      </w:r>
      <w:r w:rsidRPr="007D23D1">
        <w:rPr>
          <w:rFonts w:eastAsia="Malgun Gothic"/>
          <w:lang w:val="fr-FR"/>
        </w:rPr>
        <w:t xml:space="preserve"> le Secrétariat </w:t>
      </w:r>
      <w:r w:rsidR="005D241B" w:rsidRPr="007D23D1">
        <w:rPr>
          <w:rFonts w:eastAsia="Malgun Gothic"/>
          <w:lang w:val="fr-FR"/>
        </w:rPr>
        <w:t>avait</w:t>
      </w:r>
      <w:r w:rsidRPr="007D23D1">
        <w:rPr>
          <w:rFonts w:eastAsia="Malgun Gothic"/>
          <w:lang w:val="fr-FR"/>
        </w:rPr>
        <w:t xml:space="preserve"> pu faire le point sur l</w:t>
      </w:r>
      <w:r w:rsidR="005D241B" w:rsidRPr="007D23D1">
        <w:rPr>
          <w:rFonts w:eastAsia="Malgun Gothic"/>
          <w:lang w:val="fr-FR"/>
        </w:rPr>
        <w:t xml:space="preserve">es </w:t>
      </w:r>
      <w:r w:rsidRPr="007D23D1">
        <w:rPr>
          <w:rFonts w:eastAsia="Malgun Gothic"/>
          <w:lang w:val="fr-FR"/>
        </w:rPr>
        <w:t>expérience</w:t>
      </w:r>
      <w:r w:rsidR="005D241B" w:rsidRPr="007D23D1">
        <w:rPr>
          <w:rFonts w:eastAsia="Malgun Gothic"/>
          <w:lang w:val="fr-FR"/>
        </w:rPr>
        <w:t>s</w:t>
      </w:r>
      <w:r w:rsidRPr="007D23D1">
        <w:rPr>
          <w:rFonts w:eastAsia="Malgun Gothic"/>
          <w:lang w:val="fr-FR"/>
        </w:rPr>
        <w:t xml:space="preserve"> acquise</w:t>
      </w:r>
      <w:r w:rsidR="005D241B" w:rsidRPr="007D23D1">
        <w:rPr>
          <w:rFonts w:eastAsia="Malgun Gothic"/>
          <w:lang w:val="fr-FR"/>
        </w:rPr>
        <w:t>s</w:t>
      </w:r>
      <w:r w:rsidRPr="007D23D1">
        <w:rPr>
          <w:rFonts w:eastAsia="Malgun Gothic"/>
          <w:lang w:val="fr-FR"/>
        </w:rPr>
        <w:t xml:space="preserve"> au cours des dernières années avec l</w:t>
      </w:r>
      <w:r w:rsidR="00923E72" w:rsidRPr="007D23D1">
        <w:rPr>
          <w:rFonts w:eastAsia="Malgun Gothic"/>
          <w:lang w:val="fr-FR"/>
        </w:rPr>
        <w:t>’</w:t>
      </w:r>
      <w:r w:rsidRPr="007D23D1">
        <w:rPr>
          <w:rFonts w:eastAsia="Malgun Gothic"/>
          <w:lang w:val="fr-FR"/>
        </w:rPr>
        <w:t>introduction de nouveaux outils technologiques, d</w:t>
      </w:r>
      <w:r w:rsidR="00923E72" w:rsidRPr="007D23D1">
        <w:rPr>
          <w:rFonts w:eastAsia="Malgun Gothic"/>
          <w:lang w:val="fr-FR"/>
        </w:rPr>
        <w:t>’</w:t>
      </w:r>
      <w:r w:rsidRPr="007D23D1">
        <w:rPr>
          <w:rFonts w:eastAsia="Malgun Gothic"/>
          <w:lang w:val="fr-FR"/>
        </w:rPr>
        <w:t>interfaces et de modalités de réunion afin de garantir que la vie statutaire de la Convention reste ininterrompue. Alors que de nombreuses réunions s</w:t>
      </w:r>
      <w:r w:rsidR="00923E72" w:rsidRPr="007D23D1">
        <w:rPr>
          <w:rFonts w:eastAsia="Malgun Gothic"/>
          <w:lang w:val="fr-FR"/>
        </w:rPr>
        <w:t>’</w:t>
      </w:r>
      <w:r w:rsidRPr="007D23D1">
        <w:rPr>
          <w:rFonts w:eastAsia="Malgun Gothic"/>
          <w:lang w:val="fr-FR"/>
        </w:rPr>
        <w:t>étaient tenues en ligne au cours des six premiers mois, l</w:t>
      </w:r>
      <w:r w:rsidR="00923E72" w:rsidRPr="007D23D1">
        <w:rPr>
          <w:rFonts w:eastAsia="Malgun Gothic"/>
          <w:lang w:val="fr-FR"/>
        </w:rPr>
        <w:t>’</w:t>
      </w:r>
      <w:r w:rsidRPr="007D23D1">
        <w:rPr>
          <w:rFonts w:eastAsia="Malgun Gothic"/>
          <w:lang w:val="fr-FR"/>
        </w:rPr>
        <w:t>évolution globale de la pandémie avait permis au Secrétariat de prendre les dispositions nécessaires pour un retour progressif aux réunions en</w:t>
      </w:r>
      <w:r w:rsidR="00A92820" w:rsidRPr="007D23D1">
        <w:rPr>
          <w:rFonts w:eastAsia="Malgun Gothic"/>
          <w:lang w:val="fr-FR"/>
        </w:rPr>
        <w:t xml:space="preserve"> p</w:t>
      </w:r>
      <w:r w:rsidR="0035057A" w:rsidRPr="007D23D1">
        <w:rPr>
          <w:rFonts w:eastAsia="Malgun Gothic"/>
          <w:lang w:val="fr-FR"/>
        </w:rPr>
        <w:t>ersonne</w:t>
      </w:r>
      <w:r w:rsidRPr="007D23D1">
        <w:rPr>
          <w:rFonts w:eastAsia="Malgun Gothic"/>
          <w:lang w:val="fr-FR"/>
        </w:rPr>
        <w:t>. Par exemple, après deux cycles consécutifs de réunions en ligne, l</w:t>
      </w:r>
      <w:r w:rsidR="00923E72" w:rsidRPr="007D23D1">
        <w:rPr>
          <w:rFonts w:eastAsia="Malgun Gothic"/>
          <w:lang w:val="fr-FR"/>
        </w:rPr>
        <w:t>’</w:t>
      </w:r>
      <w:r w:rsidRPr="007D23D1">
        <w:rPr>
          <w:rFonts w:eastAsia="Malgun Gothic"/>
          <w:lang w:val="fr-FR"/>
        </w:rPr>
        <w:t>Organe d</w:t>
      </w:r>
      <w:r w:rsidR="00923E72" w:rsidRPr="007D23D1">
        <w:rPr>
          <w:rFonts w:eastAsia="Malgun Gothic"/>
          <w:lang w:val="fr-FR"/>
        </w:rPr>
        <w:t>’</w:t>
      </w:r>
      <w:r w:rsidRPr="007D23D1">
        <w:rPr>
          <w:rFonts w:eastAsia="Malgun Gothic"/>
          <w:lang w:val="fr-FR"/>
        </w:rPr>
        <w:t>évaluation s</w:t>
      </w:r>
      <w:r w:rsidR="00923E72" w:rsidRPr="007D23D1">
        <w:rPr>
          <w:rFonts w:eastAsia="Malgun Gothic"/>
          <w:lang w:val="fr-FR"/>
        </w:rPr>
        <w:t>’</w:t>
      </w:r>
      <w:r w:rsidRPr="007D23D1">
        <w:rPr>
          <w:rFonts w:eastAsia="Malgun Gothic"/>
          <w:lang w:val="fr-FR"/>
        </w:rPr>
        <w:t>étai</w:t>
      </w:r>
      <w:r w:rsidR="00530EFB" w:rsidRPr="007D23D1">
        <w:rPr>
          <w:rFonts w:eastAsia="Malgun Gothic"/>
          <w:lang w:val="fr-FR"/>
        </w:rPr>
        <w:t>t</w:t>
      </w:r>
      <w:r w:rsidRPr="007D23D1">
        <w:rPr>
          <w:rFonts w:eastAsia="Malgun Gothic"/>
          <w:lang w:val="fr-FR"/>
        </w:rPr>
        <w:t xml:space="preserve"> réuni en </w:t>
      </w:r>
      <w:r w:rsidR="00A92820" w:rsidRPr="007D23D1">
        <w:rPr>
          <w:rFonts w:eastAsia="Malgun Gothic"/>
          <w:lang w:val="fr-FR"/>
        </w:rPr>
        <w:t>p</w:t>
      </w:r>
      <w:r w:rsidR="0035057A" w:rsidRPr="007D23D1">
        <w:rPr>
          <w:rFonts w:eastAsia="Malgun Gothic"/>
          <w:lang w:val="fr-FR"/>
        </w:rPr>
        <w:t>ersonne</w:t>
      </w:r>
      <w:r w:rsidR="00A92820" w:rsidRPr="007D23D1">
        <w:rPr>
          <w:rFonts w:eastAsia="Malgun Gothic"/>
          <w:lang w:val="fr-FR"/>
        </w:rPr>
        <w:t xml:space="preserve"> </w:t>
      </w:r>
      <w:r w:rsidRPr="007D23D1">
        <w:rPr>
          <w:rFonts w:eastAsia="Malgun Gothic"/>
          <w:lang w:val="fr-FR"/>
        </w:rPr>
        <w:t xml:space="preserve">pour la première fois lors de sa réunion de juin, </w:t>
      </w:r>
      <w:r w:rsidR="005D241B" w:rsidRPr="007D23D1">
        <w:rPr>
          <w:rFonts w:eastAsia="Malgun Gothic"/>
          <w:lang w:val="fr-FR"/>
        </w:rPr>
        <w:t>avec</w:t>
      </w:r>
      <w:r w:rsidRPr="007D23D1">
        <w:rPr>
          <w:rFonts w:eastAsia="Malgun Gothic"/>
          <w:lang w:val="fr-FR"/>
        </w:rPr>
        <w:t xml:space="preserve"> la neuvième session de l</w:t>
      </w:r>
      <w:r w:rsidR="00923E72" w:rsidRPr="007D23D1">
        <w:rPr>
          <w:rFonts w:eastAsia="Malgun Gothic"/>
          <w:lang w:val="fr-FR"/>
        </w:rPr>
        <w:t>’</w:t>
      </w:r>
      <w:r w:rsidRPr="007D23D1">
        <w:rPr>
          <w:rFonts w:eastAsia="Malgun Gothic"/>
          <w:lang w:val="fr-FR"/>
        </w:rPr>
        <w:t>Assemblée générale</w:t>
      </w:r>
      <w:r w:rsidR="004F368D" w:rsidRPr="007D23D1">
        <w:rPr>
          <w:rFonts w:eastAsia="Malgun Gothic"/>
          <w:lang w:val="fr-FR"/>
        </w:rPr>
        <w:t>,</w:t>
      </w:r>
      <w:r w:rsidRPr="007D23D1">
        <w:rPr>
          <w:rFonts w:eastAsia="Malgun Gothic"/>
          <w:lang w:val="fr-FR"/>
        </w:rPr>
        <w:t xml:space="preserve"> </w:t>
      </w:r>
      <w:r w:rsidR="005D241B" w:rsidRPr="007D23D1">
        <w:rPr>
          <w:rFonts w:eastAsia="Malgun Gothic"/>
          <w:lang w:val="fr-FR"/>
        </w:rPr>
        <w:t xml:space="preserve">qui </w:t>
      </w:r>
      <w:r w:rsidRPr="007D23D1">
        <w:rPr>
          <w:rFonts w:eastAsia="Malgun Gothic"/>
          <w:lang w:val="fr-FR"/>
        </w:rPr>
        <w:t>s</w:t>
      </w:r>
      <w:r w:rsidR="00923E72" w:rsidRPr="007D23D1">
        <w:rPr>
          <w:rFonts w:eastAsia="Malgun Gothic"/>
          <w:lang w:val="fr-FR"/>
        </w:rPr>
        <w:t>’</w:t>
      </w:r>
      <w:r w:rsidRPr="007D23D1">
        <w:rPr>
          <w:rFonts w:eastAsia="Malgun Gothic"/>
          <w:lang w:val="fr-FR"/>
        </w:rPr>
        <w:t>était déroulée au siège de l</w:t>
      </w:r>
      <w:r w:rsidR="00923E72" w:rsidRPr="007D23D1">
        <w:rPr>
          <w:rFonts w:eastAsia="Malgun Gothic"/>
          <w:lang w:val="fr-FR"/>
        </w:rPr>
        <w:t>’</w:t>
      </w:r>
      <w:r w:rsidRPr="007D23D1">
        <w:rPr>
          <w:rFonts w:eastAsia="Malgun Gothic"/>
          <w:lang w:val="fr-FR"/>
        </w:rPr>
        <w:t>UNESCO du</w:t>
      </w:r>
      <w:r w:rsidR="00C743E2" w:rsidRPr="007D23D1">
        <w:rPr>
          <w:rFonts w:eastAsia="Malgun Gothic"/>
          <w:lang w:val="fr-FR"/>
        </w:rPr>
        <w:t> </w:t>
      </w:r>
      <w:r w:rsidRPr="007D23D1">
        <w:rPr>
          <w:rFonts w:eastAsia="Malgun Gothic"/>
          <w:lang w:val="fr-FR"/>
        </w:rPr>
        <w:t>5 au</w:t>
      </w:r>
      <w:r w:rsidR="00C743E2" w:rsidRPr="007D23D1">
        <w:rPr>
          <w:rFonts w:eastAsia="Malgun Gothic"/>
          <w:lang w:val="fr-FR"/>
        </w:rPr>
        <w:t> </w:t>
      </w:r>
      <w:r w:rsidRPr="007D23D1">
        <w:rPr>
          <w:rFonts w:eastAsia="Malgun Gothic"/>
          <w:lang w:val="fr-FR"/>
        </w:rPr>
        <w:t>7 juillet 2022. Le Secrétaire était heureux de rendre compte d</w:t>
      </w:r>
      <w:r w:rsidR="00923E72" w:rsidRPr="007D23D1">
        <w:rPr>
          <w:rFonts w:eastAsia="Malgun Gothic"/>
          <w:lang w:val="fr-FR"/>
        </w:rPr>
        <w:t>’</w:t>
      </w:r>
      <w:r w:rsidRPr="007D23D1">
        <w:rPr>
          <w:rFonts w:eastAsia="Malgun Gothic"/>
          <w:lang w:val="fr-FR"/>
        </w:rPr>
        <w:t>une réalisation majeure de la période</w:t>
      </w:r>
      <w:r w:rsidR="00A20C2C" w:rsidRPr="007D23D1">
        <w:rPr>
          <w:rFonts w:eastAsia="Malgun Gothic"/>
          <w:lang w:val="fr-FR"/>
        </w:rPr>
        <w:t xml:space="preserve"> couverte par le rapport</w:t>
      </w:r>
      <w:r w:rsidR="00FC0471" w:rsidRPr="007D23D1">
        <w:rPr>
          <w:rFonts w:eastAsia="Malgun Gothic"/>
          <w:lang w:val="fr-FR"/>
        </w:rPr>
        <w:t xml:space="preserve">, </w:t>
      </w:r>
      <w:r w:rsidRPr="007D23D1">
        <w:rPr>
          <w:rFonts w:eastAsia="Malgun Gothic"/>
          <w:lang w:val="fr-FR"/>
        </w:rPr>
        <w:t>la conclusion de la réflexion globale sur les mécanismes d</w:t>
      </w:r>
      <w:r w:rsidR="00923E72" w:rsidRPr="007D23D1">
        <w:rPr>
          <w:rFonts w:eastAsia="Malgun Gothic"/>
          <w:lang w:val="fr-FR"/>
        </w:rPr>
        <w:t>’</w:t>
      </w:r>
      <w:r w:rsidRPr="007D23D1">
        <w:rPr>
          <w:rFonts w:eastAsia="Malgun Gothic"/>
          <w:lang w:val="fr-FR"/>
        </w:rPr>
        <w:t>inscription. La neuvième session de l</w:t>
      </w:r>
      <w:r w:rsidR="00923E72" w:rsidRPr="007D23D1">
        <w:rPr>
          <w:rFonts w:eastAsia="Malgun Gothic"/>
          <w:lang w:val="fr-FR"/>
        </w:rPr>
        <w:t>’</w:t>
      </w:r>
      <w:r w:rsidRPr="007D23D1">
        <w:rPr>
          <w:rFonts w:eastAsia="Malgun Gothic"/>
          <w:lang w:val="fr-FR"/>
        </w:rPr>
        <w:t>Assemblée générale avait approuvé les révisions des Directives opérationnelles, marquant le terme d</w:t>
      </w:r>
      <w:r w:rsidR="00923E72" w:rsidRPr="007D23D1">
        <w:rPr>
          <w:rFonts w:eastAsia="Malgun Gothic"/>
          <w:lang w:val="fr-FR"/>
        </w:rPr>
        <w:t>’</w:t>
      </w:r>
      <w:r w:rsidRPr="007D23D1">
        <w:rPr>
          <w:rFonts w:eastAsia="Malgun Gothic"/>
          <w:lang w:val="fr-FR"/>
        </w:rPr>
        <w:t>un vaste processus de réflexion initié en</w:t>
      </w:r>
      <w:r w:rsidR="001A7AF7" w:rsidRPr="007D23D1">
        <w:rPr>
          <w:rFonts w:eastAsia="Malgun Gothic"/>
          <w:lang w:val="fr-FR"/>
        </w:rPr>
        <w:t> </w:t>
      </w:r>
      <w:r w:rsidRPr="007D23D1">
        <w:rPr>
          <w:rFonts w:eastAsia="Malgun Gothic"/>
          <w:lang w:val="fr-FR"/>
        </w:rPr>
        <w:t>2017 et riche de plusieurs consultations d</w:t>
      </w:r>
      <w:r w:rsidR="00923E72" w:rsidRPr="007D23D1">
        <w:rPr>
          <w:rFonts w:eastAsia="Malgun Gothic"/>
          <w:lang w:val="fr-FR"/>
        </w:rPr>
        <w:t>’</w:t>
      </w:r>
      <w:r w:rsidRPr="007D23D1">
        <w:rPr>
          <w:rFonts w:eastAsia="Malgun Gothic"/>
          <w:lang w:val="fr-FR"/>
        </w:rPr>
        <w:t>experts et discussions intergouvernementales. Les révisions des Directives opérationnelles avaient établi de nouvelles procédures relatives à de nombreux aspects des mécanismes d</w:t>
      </w:r>
      <w:r w:rsidR="00923E72" w:rsidRPr="007D23D1">
        <w:rPr>
          <w:rFonts w:eastAsia="Malgun Gothic"/>
          <w:lang w:val="fr-FR"/>
        </w:rPr>
        <w:t>’</w:t>
      </w:r>
      <w:r w:rsidRPr="007D23D1">
        <w:rPr>
          <w:rFonts w:eastAsia="Malgun Gothic"/>
          <w:lang w:val="fr-FR"/>
        </w:rPr>
        <w:t>inscription de la Convention</w:t>
      </w:r>
      <w:r w:rsidR="00530EFB" w:rsidRPr="007D23D1">
        <w:rPr>
          <w:rFonts w:eastAsia="Malgun Gothic"/>
          <w:lang w:val="fr-FR"/>
        </w:rPr>
        <w:t xml:space="preserve">, </w:t>
      </w:r>
      <w:r w:rsidRPr="007D23D1">
        <w:rPr>
          <w:rFonts w:eastAsia="Malgun Gothic"/>
          <w:lang w:val="fr-FR"/>
        </w:rPr>
        <w:t>notamment</w:t>
      </w:r>
      <w:r w:rsidR="00931BD1" w:rsidRPr="007D23D1">
        <w:rPr>
          <w:rFonts w:eastAsia="Malgun Gothic"/>
          <w:lang w:val="fr-FR"/>
        </w:rPr>
        <w:t> </w:t>
      </w:r>
      <w:r w:rsidRPr="007D23D1">
        <w:rPr>
          <w:rFonts w:eastAsia="Malgun Gothic"/>
          <w:lang w:val="fr-FR"/>
        </w:rPr>
        <w:t>: i)</w:t>
      </w:r>
      <w:r w:rsidR="00931BD1" w:rsidRPr="007D23D1">
        <w:rPr>
          <w:rFonts w:eastAsia="Malgun Gothic"/>
          <w:lang w:val="fr-FR"/>
        </w:rPr>
        <w:t> </w:t>
      </w:r>
      <w:r w:rsidR="00530EFB" w:rsidRPr="007D23D1">
        <w:rPr>
          <w:rFonts w:eastAsia="Malgun Gothic"/>
          <w:lang w:val="fr-FR"/>
        </w:rPr>
        <w:t>le</w:t>
      </w:r>
      <w:r w:rsidRPr="007D23D1">
        <w:rPr>
          <w:rFonts w:eastAsia="Malgun Gothic"/>
          <w:lang w:val="fr-FR"/>
        </w:rPr>
        <w:t xml:space="preserve"> transfert d</w:t>
      </w:r>
      <w:r w:rsidR="00923E72" w:rsidRPr="007D23D1">
        <w:rPr>
          <w:rFonts w:eastAsia="Malgun Gothic"/>
          <w:lang w:val="fr-FR"/>
        </w:rPr>
        <w:t>’</w:t>
      </w:r>
      <w:r w:rsidRPr="007D23D1">
        <w:rPr>
          <w:rFonts w:eastAsia="Malgun Gothic"/>
          <w:lang w:val="fr-FR"/>
        </w:rPr>
        <w:t>éléments inscrits entre les listes</w:t>
      </w:r>
      <w:r w:rsidR="00931BD1" w:rsidRPr="007D23D1">
        <w:rPr>
          <w:rFonts w:eastAsia="Malgun Gothic"/>
          <w:lang w:val="fr-FR"/>
        </w:rPr>
        <w:t> </w:t>
      </w:r>
      <w:r w:rsidRPr="007D23D1">
        <w:rPr>
          <w:rFonts w:eastAsia="Malgun Gothic"/>
          <w:lang w:val="fr-FR"/>
        </w:rPr>
        <w:t>; ii)</w:t>
      </w:r>
      <w:r w:rsidR="00931BD1" w:rsidRPr="007D23D1">
        <w:rPr>
          <w:rFonts w:eastAsia="Malgun Gothic"/>
          <w:lang w:val="fr-FR"/>
        </w:rPr>
        <w:t> </w:t>
      </w:r>
      <w:r w:rsidRPr="007D23D1">
        <w:rPr>
          <w:rFonts w:eastAsia="Malgun Gothic"/>
          <w:lang w:val="fr-FR"/>
        </w:rPr>
        <w:t>l</w:t>
      </w:r>
      <w:r w:rsidR="00923E72" w:rsidRPr="007D23D1">
        <w:rPr>
          <w:rFonts w:eastAsia="Malgun Gothic"/>
          <w:lang w:val="fr-FR"/>
        </w:rPr>
        <w:t>’</w:t>
      </w:r>
      <w:r w:rsidRPr="007D23D1">
        <w:rPr>
          <w:rFonts w:eastAsia="Malgun Gothic"/>
          <w:lang w:val="fr-FR"/>
        </w:rPr>
        <w:t>inscription d</w:t>
      </w:r>
      <w:r w:rsidR="00923E72" w:rsidRPr="007D23D1">
        <w:rPr>
          <w:rFonts w:eastAsia="Malgun Gothic"/>
          <w:lang w:val="fr-FR"/>
        </w:rPr>
        <w:t>’</w:t>
      </w:r>
      <w:r w:rsidRPr="007D23D1">
        <w:rPr>
          <w:rFonts w:eastAsia="Malgun Gothic"/>
          <w:lang w:val="fr-FR"/>
        </w:rPr>
        <w:t xml:space="preserve">éléments sur une base </w:t>
      </w:r>
      <w:r w:rsidR="005C68F1" w:rsidRPr="007D23D1">
        <w:rPr>
          <w:rFonts w:eastAsia="Malgun Gothic"/>
          <w:lang w:val="fr-FR"/>
        </w:rPr>
        <w:t xml:space="preserve">élargie </w:t>
      </w:r>
      <w:r w:rsidRPr="007D23D1">
        <w:rPr>
          <w:rFonts w:eastAsia="Malgun Gothic"/>
          <w:lang w:val="fr-FR"/>
        </w:rPr>
        <w:t>ou réduite</w:t>
      </w:r>
      <w:r w:rsidR="00931BD1" w:rsidRPr="007D23D1">
        <w:rPr>
          <w:rFonts w:eastAsia="Malgun Gothic"/>
          <w:lang w:val="fr-FR"/>
        </w:rPr>
        <w:t> </w:t>
      </w:r>
      <w:r w:rsidRPr="007D23D1">
        <w:rPr>
          <w:rFonts w:eastAsia="Malgun Gothic"/>
          <w:lang w:val="fr-FR"/>
        </w:rPr>
        <w:t>; iii)</w:t>
      </w:r>
      <w:r w:rsidR="00931BD1" w:rsidRPr="007D23D1">
        <w:rPr>
          <w:rFonts w:eastAsia="Malgun Gothic"/>
          <w:lang w:val="fr-FR"/>
        </w:rPr>
        <w:t> </w:t>
      </w:r>
      <w:r w:rsidR="00530EFB" w:rsidRPr="007D23D1">
        <w:rPr>
          <w:rFonts w:eastAsia="Malgun Gothic"/>
          <w:lang w:val="fr-FR"/>
        </w:rPr>
        <w:t>le</w:t>
      </w:r>
      <w:r w:rsidRPr="007D23D1">
        <w:rPr>
          <w:rFonts w:eastAsia="Malgun Gothic"/>
          <w:lang w:val="fr-FR"/>
        </w:rPr>
        <w:t xml:space="preserve"> retrait d</w:t>
      </w:r>
      <w:r w:rsidR="00923E72" w:rsidRPr="007D23D1">
        <w:rPr>
          <w:rFonts w:eastAsia="Malgun Gothic"/>
          <w:lang w:val="fr-FR"/>
        </w:rPr>
        <w:t>’</w:t>
      </w:r>
      <w:r w:rsidRPr="007D23D1">
        <w:rPr>
          <w:rFonts w:eastAsia="Malgun Gothic"/>
          <w:lang w:val="fr-FR"/>
        </w:rPr>
        <w:t>éléments</w:t>
      </w:r>
      <w:r w:rsidR="00931BD1" w:rsidRPr="007D23D1">
        <w:rPr>
          <w:rFonts w:eastAsia="Malgun Gothic"/>
          <w:lang w:val="fr-FR"/>
        </w:rPr>
        <w:t> </w:t>
      </w:r>
      <w:r w:rsidRPr="007D23D1">
        <w:rPr>
          <w:rFonts w:eastAsia="Malgun Gothic"/>
          <w:lang w:val="fr-FR"/>
        </w:rPr>
        <w:t>; iv)</w:t>
      </w:r>
      <w:r w:rsidR="00931BD1" w:rsidRPr="007D23D1">
        <w:rPr>
          <w:rFonts w:eastAsia="Malgun Gothic"/>
          <w:lang w:val="fr-FR"/>
        </w:rPr>
        <w:t> </w:t>
      </w:r>
      <w:r w:rsidRPr="007D23D1">
        <w:rPr>
          <w:rFonts w:eastAsia="Malgun Gothic"/>
          <w:lang w:val="fr-FR"/>
        </w:rPr>
        <w:t>l</w:t>
      </w:r>
      <w:r w:rsidR="00923E72" w:rsidRPr="007D23D1">
        <w:rPr>
          <w:rFonts w:eastAsia="Malgun Gothic"/>
          <w:lang w:val="fr-FR"/>
        </w:rPr>
        <w:t>’</w:t>
      </w:r>
      <w:r w:rsidRPr="007D23D1">
        <w:rPr>
          <w:rFonts w:eastAsia="Malgun Gothic"/>
          <w:lang w:val="fr-FR"/>
        </w:rPr>
        <w:t>établissement d</w:t>
      </w:r>
      <w:r w:rsidR="00923E72" w:rsidRPr="007D23D1">
        <w:rPr>
          <w:rFonts w:eastAsia="Malgun Gothic"/>
          <w:lang w:val="fr-FR"/>
        </w:rPr>
        <w:t>’</w:t>
      </w:r>
      <w:r w:rsidRPr="007D23D1">
        <w:rPr>
          <w:rFonts w:eastAsia="Malgun Gothic"/>
          <w:lang w:val="fr-FR"/>
        </w:rPr>
        <w:t>un mécanisme de suivi renforcé pour les éléments inscrits</w:t>
      </w:r>
      <w:r w:rsidR="00931BD1" w:rsidRPr="007D23D1">
        <w:rPr>
          <w:rFonts w:eastAsia="Malgun Gothic"/>
          <w:lang w:val="fr-FR"/>
        </w:rPr>
        <w:t> </w:t>
      </w:r>
      <w:r w:rsidRPr="007D23D1">
        <w:rPr>
          <w:rFonts w:eastAsia="Malgun Gothic"/>
          <w:lang w:val="fr-FR"/>
        </w:rPr>
        <w:t>; et v)</w:t>
      </w:r>
      <w:r w:rsidR="00931BD1" w:rsidRPr="007D23D1">
        <w:rPr>
          <w:rFonts w:eastAsia="Malgun Gothic"/>
          <w:lang w:val="fr-FR"/>
        </w:rPr>
        <w:t> </w:t>
      </w:r>
      <w:r w:rsidRPr="007D23D1">
        <w:rPr>
          <w:rFonts w:eastAsia="Malgun Gothic"/>
          <w:lang w:val="fr-FR"/>
        </w:rPr>
        <w:t>l</w:t>
      </w:r>
      <w:r w:rsidR="00923E72" w:rsidRPr="007D23D1">
        <w:rPr>
          <w:rFonts w:eastAsia="Malgun Gothic"/>
          <w:lang w:val="fr-FR"/>
        </w:rPr>
        <w:t>’</w:t>
      </w:r>
      <w:r w:rsidRPr="007D23D1">
        <w:rPr>
          <w:rFonts w:eastAsia="Malgun Gothic"/>
          <w:lang w:val="fr-FR"/>
        </w:rPr>
        <w:t>accélération et</w:t>
      </w:r>
      <w:r w:rsidR="00530EFB" w:rsidRPr="007D23D1">
        <w:rPr>
          <w:rFonts w:eastAsia="Malgun Gothic"/>
          <w:lang w:val="fr-FR"/>
        </w:rPr>
        <w:t xml:space="preserve"> </w:t>
      </w:r>
      <w:r w:rsidRPr="007D23D1">
        <w:rPr>
          <w:rFonts w:eastAsia="Malgun Gothic"/>
          <w:lang w:val="fr-FR"/>
        </w:rPr>
        <w:t>la rationalisation des aspects du mécanisme d</w:t>
      </w:r>
      <w:r w:rsidR="00923E72" w:rsidRPr="007D23D1">
        <w:rPr>
          <w:rFonts w:eastAsia="Malgun Gothic"/>
          <w:lang w:val="fr-FR"/>
        </w:rPr>
        <w:t>’</w:t>
      </w:r>
      <w:r w:rsidRPr="007D23D1">
        <w:rPr>
          <w:rFonts w:eastAsia="Malgun Gothic"/>
          <w:lang w:val="fr-FR"/>
        </w:rPr>
        <w:t>assistance internationale. Pour rendre opérationnels les derniers amendements aux Directives opérationnelles, le Secrétariat s</w:t>
      </w:r>
      <w:r w:rsidR="00923E72" w:rsidRPr="007D23D1">
        <w:rPr>
          <w:rFonts w:eastAsia="Malgun Gothic"/>
          <w:lang w:val="fr-FR"/>
        </w:rPr>
        <w:t>’</w:t>
      </w:r>
      <w:r w:rsidR="00530EFB" w:rsidRPr="007D23D1">
        <w:rPr>
          <w:rFonts w:eastAsia="Malgun Gothic"/>
          <w:lang w:val="fr-FR"/>
        </w:rPr>
        <w:t>était</w:t>
      </w:r>
      <w:r w:rsidRPr="007D23D1">
        <w:rPr>
          <w:rFonts w:eastAsia="Malgun Gothic"/>
          <w:lang w:val="fr-FR"/>
        </w:rPr>
        <w:t xml:space="preserve"> immédiatement attelé à la tâche complexe mais essentielle de réviser et d</w:t>
      </w:r>
      <w:r w:rsidR="00530EFB" w:rsidRPr="007D23D1">
        <w:rPr>
          <w:rFonts w:eastAsia="Malgun Gothic"/>
          <w:lang w:val="fr-FR"/>
        </w:rPr>
        <w:t xml:space="preserve">e concevoir </w:t>
      </w:r>
      <w:r w:rsidRPr="007D23D1">
        <w:rPr>
          <w:rFonts w:eastAsia="Malgun Gothic"/>
          <w:lang w:val="fr-FR"/>
        </w:rPr>
        <w:t>de nouveaux formulaires</w:t>
      </w:r>
      <w:r w:rsidR="00E60FC0" w:rsidRPr="007D23D1">
        <w:rPr>
          <w:rStyle w:val="FootnoteReference"/>
          <w:rFonts w:eastAsia="Malgun Gothic"/>
          <w:lang w:val="fr-FR"/>
        </w:rPr>
        <w:footnoteReference w:id="2"/>
      </w:r>
      <w:r w:rsidR="00FC0471" w:rsidRPr="007D23D1">
        <w:rPr>
          <w:rFonts w:eastAsia="Malgun Gothic"/>
          <w:lang w:val="fr-FR"/>
        </w:rPr>
        <w:t>,</w:t>
      </w:r>
      <w:r w:rsidRPr="007D23D1">
        <w:rPr>
          <w:rFonts w:eastAsia="Malgun Gothic"/>
          <w:lang w:val="fr-FR"/>
        </w:rPr>
        <w:t xml:space="preserve"> qui </w:t>
      </w:r>
      <w:r w:rsidR="00530EFB" w:rsidRPr="007D23D1">
        <w:rPr>
          <w:rFonts w:eastAsia="Malgun Gothic"/>
          <w:lang w:val="fr-FR"/>
        </w:rPr>
        <w:t>avaient</w:t>
      </w:r>
      <w:r w:rsidRPr="007D23D1">
        <w:rPr>
          <w:rFonts w:eastAsia="Malgun Gothic"/>
          <w:lang w:val="fr-FR"/>
        </w:rPr>
        <w:t xml:space="preserve"> été mis à disposition à la fin de l</w:t>
      </w:r>
      <w:r w:rsidR="00923E72" w:rsidRPr="007D23D1">
        <w:rPr>
          <w:rFonts w:eastAsia="Malgun Gothic"/>
          <w:lang w:val="fr-FR"/>
        </w:rPr>
        <w:t>’</w:t>
      </w:r>
      <w:r w:rsidRPr="007D23D1">
        <w:rPr>
          <w:rFonts w:eastAsia="Malgun Gothic"/>
          <w:lang w:val="fr-FR"/>
        </w:rPr>
        <w:t>année</w:t>
      </w:r>
      <w:r w:rsidR="00246428" w:rsidRPr="007D23D1">
        <w:rPr>
          <w:rFonts w:eastAsia="Malgun Gothic"/>
          <w:lang w:val="fr-FR"/>
        </w:rPr>
        <w:t> </w:t>
      </w:r>
      <w:r w:rsidRPr="007D23D1">
        <w:rPr>
          <w:rFonts w:eastAsia="Malgun Gothic"/>
          <w:lang w:val="fr-FR"/>
        </w:rPr>
        <w:t xml:space="preserve">2022 sur le site </w:t>
      </w:r>
      <w:r w:rsidR="00931BD1" w:rsidRPr="007D23D1">
        <w:rPr>
          <w:rFonts w:eastAsia="Malgun Gothic"/>
          <w:lang w:val="fr-FR"/>
        </w:rPr>
        <w:t>w</w:t>
      </w:r>
      <w:r w:rsidRPr="007D23D1">
        <w:rPr>
          <w:rFonts w:eastAsia="Malgun Gothic"/>
          <w:lang w:val="fr-FR"/>
        </w:rPr>
        <w:t>eb de la Convention. Le résultat de cette réflexion constitu</w:t>
      </w:r>
      <w:r w:rsidR="00530EFB" w:rsidRPr="007D23D1">
        <w:rPr>
          <w:rFonts w:eastAsia="Malgun Gothic"/>
          <w:lang w:val="fr-FR"/>
        </w:rPr>
        <w:t>ait</w:t>
      </w:r>
      <w:r w:rsidRPr="007D23D1">
        <w:rPr>
          <w:rFonts w:eastAsia="Malgun Gothic"/>
          <w:lang w:val="fr-FR"/>
        </w:rPr>
        <w:t xml:space="preserve"> un jalon important pour la Convention et témoign</w:t>
      </w:r>
      <w:r w:rsidR="00530EFB" w:rsidRPr="007D23D1">
        <w:rPr>
          <w:rFonts w:eastAsia="Malgun Gothic"/>
          <w:lang w:val="fr-FR"/>
        </w:rPr>
        <w:t>ait</w:t>
      </w:r>
      <w:r w:rsidRPr="007D23D1">
        <w:rPr>
          <w:rFonts w:eastAsia="Malgun Gothic"/>
          <w:lang w:val="fr-FR"/>
        </w:rPr>
        <w:t xml:space="preserve"> de sa nature dynamique. Il faudra</w:t>
      </w:r>
      <w:r w:rsidR="00530EFB" w:rsidRPr="007D23D1">
        <w:rPr>
          <w:rFonts w:eastAsia="Malgun Gothic"/>
          <w:lang w:val="fr-FR"/>
        </w:rPr>
        <w:t>it</w:t>
      </w:r>
      <w:r w:rsidRPr="007D23D1">
        <w:rPr>
          <w:rFonts w:eastAsia="Malgun Gothic"/>
          <w:lang w:val="fr-FR"/>
        </w:rPr>
        <w:t xml:space="preserve"> toutefois attendre un ou deux cycles, voire des années, pour que les effets de ces changements soient pleinement ressentis et évalués. La réflexion globale sur les mécanismes d</w:t>
      </w:r>
      <w:r w:rsidR="00923E72" w:rsidRPr="007D23D1">
        <w:rPr>
          <w:rFonts w:eastAsia="Malgun Gothic"/>
          <w:lang w:val="fr-FR"/>
        </w:rPr>
        <w:t>’</w:t>
      </w:r>
      <w:r w:rsidRPr="007D23D1">
        <w:rPr>
          <w:rFonts w:eastAsia="Malgun Gothic"/>
          <w:lang w:val="fr-FR"/>
        </w:rPr>
        <w:t>inscription a</w:t>
      </w:r>
      <w:r w:rsidR="00530EFB" w:rsidRPr="007D23D1">
        <w:rPr>
          <w:rFonts w:eastAsia="Malgun Gothic"/>
          <w:lang w:val="fr-FR"/>
        </w:rPr>
        <w:t>vait</w:t>
      </w:r>
      <w:r w:rsidRPr="007D23D1">
        <w:rPr>
          <w:rFonts w:eastAsia="Malgun Gothic"/>
          <w:lang w:val="fr-FR"/>
        </w:rPr>
        <w:t xml:space="preserve"> également donné lieu à une nouvelle proposition de réflexion intergouvernementale sur une mise en œuvre plus large de l</w:t>
      </w:r>
      <w:r w:rsidR="00923E72" w:rsidRPr="007D23D1">
        <w:rPr>
          <w:rFonts w:eastAsia="Malgun Gothic"/>
          <w:lang w:val="fr-FR"/>
        </w:rPr>
        <w:t>’</w:t>
      </w:r>
      <w:r w:rsidRPr="007D23D1">
        <w:rPr>
          <w:rFonts w:eastAsia="Malgun Gothic"/>
          <w:lang w:val="fr-FR"/>
        </w:rPr>
        <w:t>article</w:t>
      </w:r>
      <w:r w:rsidR="00530EFB" w:rsidRPr="007D23D1">
        <w:rPr>
          <w:rFonts w:eastAsia="Malgun Gothic"/>
          <w:lang w:val="fr-FR"/>
        </w:rPr>
        <w:t> </w:t>
      </w:r>
      <w:r w:rsidRPr="007D23D1">
        <w:rPr>
          <w:rFonts w:eastAsia="Malgun Gothic"/>
          <w:lang w:val="fr-FR"/>
        </w:rPr>
        <w:t>18 de la Convention</w:t>
      </w:r>
      <w:r w:rsidR="005D241B" w:rsidRPr="007D23D1">
        <w:rPr>
          <w:rStyle w:val="FootnoteReference"/>
          <w:rFonts w:eastAsia="Malgun Gothic"/>
          <w:lang w:val="fr-FR"/>
        </w:rPr>
        <w:footnoteReference w:id="3"/>
      </w:r>
      <w:r w:rsidRPr="007D23D1">
        <w:rPr>
          <w:rFonts w:eastAsia="Malgun Gothic"/>
          <w:lang w:val="fr-FR"/>
        </w:rPr>
        <w:t>. Le Secrétariat a</w:t>
      </w:r>
      <w:r w:rsidR="00530EFB" w:rsidRPr="007D23D1">
        <w:rPr>
          <w:rFonts w:eastAsia="Malgun Gothic"/>
          <w:lang w:val="fr-FR"/>
        </w:rPr>
        <w:t>vait</w:t>
      </w:r>
      <w:r w:rsidRPr="007D23D1">
        <w:rPr>
          <w:rFonts w:eastAsia="Malgun Gothic"/>
          <w:lang w:val="fr-FR"/>
        </w:rPr>
        <w:t xml:space="preserve"> déjà entamé les préparatifs de ce processus, dont les détails s</w:t>
      </w:r>
      <w:r w:rsidR="00530EFB" w:rsidRPr="007D23D1">
        <w:rPr>
          <w:rFonts w:eastAsia="Malgun Gothic"/>
          <w:lang w:val="fr-FR"/>
        </w:rPr>
        <w:t>eraient</w:t>
      </w:r>
      <w:r w:rsidRPr="007D23D1">
        <w:rPr>
          <w:rFonts w:eastAsia="Malgun Gothic"/>
          <w:lang w:val="fr-FR"/>
        </w:rPr>
        <w:t xml:space="preserve"> présentés au </w:t>
      </w:r>
      <w:r w:rsidR="00931BD1" w:rsidRPr="007D23D1">
        <w:rPr>
          <w:rFonts w:eastAsia="Malgun Gothic"/>
          <w:lang w:val="fr-FR"/>
        </w:rPr>
        <w:t xml:space="preserve">titre du </w:t>
      </w:r>
      <w:r w:rsidRPr="007D23D1">
        <w:rPr>
          <w:rFonts w:eastAsia="Malgun Gothic"/>
          <w:lang w:val="fr-FR"/>
        </w:rPr>
        <w:t>point</w:t>
      </w:r>
      <w:r w:rsidR="002B668C" w:rsidRPr="007D23D1">
        <w:rPr>
          <w:rFonts w:eastAsia="Malgun Gothic"/>
          <w:lang w:val="fr-FR"/>
        </w:rPr>
        <w:t> </w:t>
      </w:r>
      <w:r w:rsidRPr="007D23D1">
        <w:rPr>
          <w:rFonts w:eastAsia="Malgun Gothic"/>
          <w:lang w:val="fr-FR"/>
        </w:rPr>
        <w:t>10 de l</w:t>
      </w:r>
      <w:r w:rsidR="00923E72" w:rsidRPr="007D23D1">
        <w:rPr>
          <w:rFonts w:eastAsia="Malgun Gothic"/>
          <w:lang w:val="fr-FR"/>
        </w:rPr>
        <w:t>’</w:t>
      </w:r>
      <w:r w:rsidRPr="007D23D1">
        <w:rPr>
          <w:rFonts w:eastAsia="Malgun Gothic"/>
          <w:lang w:val="fr-FR"/>
        </w:rPr>
        <w:t>ordre du jour.</w:t>
      </w:r>
    </w:p>
    <w:p w14:paraId="44872AA9" w14:textId="602B3C5B" w:rsidR="00530EFB" w:rsidRDefault="00530EF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30EFB">
        <w:rPr>
          <w:rFonts w:eastAsia="Malgun Gothic"/>
          <w:lang w:val="fr-FR"/>
        </w:rPr>
        <w:t xml:space="preserve">Le </w:t>
      </w:r>
      <w:r w:rsidRPr="00530EFB">
        <w:rPr>
          <w:rFonts w:eastAsia="Malgun Gothic"/>
          <w:b/>
          <w:bCs/>
          <w:lang w:val="fr-FR"/>
        </w:rPr>
        <w:t>Secrétaire</w:t>
      </w:r>
      <w:r w:rsidRPr="00530EFB">
        <w:rPr>
          <w:rFonts w:eastAsia="Malgun Gothic"/>
          <w:lang w:val="fr-FR"/>
        </w:rPr>
        <w:t xml:space="preserve"> a </w:t>
      </w:r>
      <w:r w:rsidRPr="00530EFB">
        <w:rPr>
          <w:rFonts w:eastAsia="Malgun Gothic"/>
          <w:color w:val="000000" w:themeColor="text1"/>
          <w:lang w:val="fr-FR"/>
        </w:rPr>
        <w:t>également</w:t>
      </w:r>
      <w:r>
        <w:rPr>
          <w:rFonts w:eastAsia="Malgun Gothic"/>
          <w:color w:val="000000" w:themeColor="text1"/>
          <w:lang w:val="fr-FR"/>
        </w:rPr>
        <w:t xml:space="preserve"> </w:t>
      </w:r>
      <w:r w:rsidR="009B226E">
        <w:rPr>
          <w:rFonts w:eastAsia="Malgun Gothic"/>
          <w:lang w:val="fr-FR"/>
        </w:rPr>
        <w:t>abordé</w:t>
      </w:r>
      <w:r>
        <w:rPr>
          <w:rFonts w:eastAsia="Malgun Gothic"/>
          <w:lang w:val="fr-FR"/>
        </w:rPr>
        <w:t xml:space="preserve"> </w:t>
      </w:r>
      <w:r w:rsidRPr="00530EFB">
        <w:rPr>
          <w:rFonts w:eastAsia="Malgun Gothic"/>
          <w:lang w:val="fr-FR"/>
        </w:rPr>
        <w:t>une autre réalisation importante au cours de la période</w:t>
      </w:r>
      <w:r w:rsidR="009B226E">
        <w:rPr>
          <w:rFonts w:eastAsia="Malgun Gothic"/>
          <w:lang w:val="fr-FR"/>
        </w:rPr>
        <w:t xml:space="preserve"> </w:t>
      </w:r>
      <w:r w:rsidR="00931BD1">
        <w:rPr>
          <w:rFonts w:eastAsia="Malgun Gothic"/>
          <w:lang w:val="fr-FR"/>
        </w:rPr>
        <w:t>couverte par l</w:t>
      </w:r>
      <w:r w:rsidR="00683143">
        <w:rPr>
          <w:rFonts w:eastAsia="Malgun Gothic"/>
          <w:lang w:val="fr-FR"/>
        </w:rPr>
        <w:t>e</w:t>
      </w:r>
      <w:r w:rsidR="00931BD1">
        <w:rPr>
          <w:rFonts w:eastAsia="Malgun Gothic"/>
          <w:lang w:val="fr-FR"/>
        </w:rPr>
        <w:t xml:space="preserve"> rapport</w:t>
      </w:r>
      <w:r w:rsidRPr="00530EFB">
        <w:rPr>
          <w:rFonts w:eastAsia="Malgun Gothic"/>
          <w:lang w:val="fr-FR"/>
        </w:rPr>
        <w:t xml:space="preserve">, à savoir la </w:t>
      </w:r>
      <w:r w:rsidRPr="000E77F3">
        <w:rPr>
          <w:rFonts w:eastAsia="Malgun Gothic"/>
          <w:lang w:val="fr-FR"/>
        </w:rPr>
        <w:t>révision du Règlement intérieur de l</w:t>
      </w:r>
      <w:r w:rsidR="00923E72">
        <w:rPr>
          <w:rFonts w:eastAsia="Malgun Gothic"/>
          <w:lang w:val="fr-FR"/>
        </w:rPr>
        <w:t>’</w:t>
      </w:r>
      <w:r w:rsidRPr="000E77F3">
        <w:rPr>
          <w:rFonts w:eastAsia="Malgun Gothic"/>
          <w:lang w:val="fr-FR"/>
        </w:rPr>
        <w:t>Assemblée générale</w:t>
      </w:r>
      <w:r w:rsidRPr="00530EFB">
        <w:rPr>
          <w:rFonts w:eastAsia="Malgun Gothic"/>
          <w:lang w:val="fr-FR"/>
        </w:rPr>
        <w:t xml:space="preserve"> de la Convention en vue de l</w:t>
      </w:r>
      <w:r w:rsidR="00923E72">
        <w:rPr>
          <w:rFonts w:eastAsia="Malgun Gothic"/>
          <w:lang w:val="fr-FR"/>
        </w:rPr>
        <w:t>’</w:t>
      </w:r>
      <w:r w:rsidRPr="00530EFB">
        <w:rPr>
          <w:rFonts w:eastAsia="Malgun Gothic"/>
          <w:lang w:val="fr-FR"/>
        </w:rPr>
        <w:t xml:space="preserve">harmonisation des </w:t>
      </w:r>
      <w:r w:rsidR="000E77F3">
        <w:rPr>
          <w:rFonts w:eastAsia="Malgun Gothic"/>
          <w:lang w:val="fr-FR"/>
        </w:rPr>
        <w:t>r</w:t>
      </w:r>
      <w:r w:rsidRPr="00530EFB">
        <w:rPr>
          <w:rFonts w:eastAsia="Malgun Gothic"/>
          <w:lang w:val="fr-FR"/>
        </w:rPr>
        <w:t xml:space="preserve">èglements intérieurs de toutes les </w:t>
      </w:r>
      <w:r w:rsidR="000E77F3">
        <w:rPr>
          <w:rFonts w:eastAsia="Malgun Gothic"/>
          <w:lang w:val="fr-FR"/>
        </w:rPr>
        <w:t>a</w:t>
      </w:r>
      <w:r w:rsidRPr="00530EFB">
        <w:rPr>
          <w:rFonts w:eastAsia="Malgun Gothic"/>
          <w:lang w:val="fr-FR"/>
        </w:rPr>
        <w:t xml:space="preserve">ssemblées générales des </w:t>
      </w:r>
      <w:r w:rsidR="000E77F3">
        <w:rPr>
          <w:rFonts w:eastAsia="Malgun Gothic"/>
          <w:lang w:val="fr-FR"/>
        </w:rPr>
        <w:t>c</w:t>
      </w:r>
      <w:r w:rsidRPr="00530EFB">
        <w:rPr>
          <w:rFonts w:eastAsia="Malgun Gothic"/>
          <w:lang w:val="fr-FR"/>
        </w:rPr>
        <w:t xml:space="preserve">onventions </w:t>
      </w:r>
      <w:r w:rsidR="000E77F3">
        <w:rPr>
          <w:rFonts w:eastAsia="Malgun Gothic"/>
          <w:lang w:val="fr-FR"/>
        </w:rPr>
        <w:t>de l</w:t>
      </w:r>
      <w:r w:rsidR="00923E72">
        <w:rPr>
          <w:rFonts w:eastAsia="Malgun Gothic"/>
          <w:lang w:val="fr-FR"/>
        </w:rPr>
        <w:t>’</w:t>
      </w:r>
      <w:r w:rsidR="000E77F3">
        <w:rPr>
          <w:rFonts w:eastAsia="Malgun Gothic"/>
          <w:lang w:val="fr-FR"/>
        </w:rPr>
        <w:t>UNESCO en matière de culture</w:t>
      </w:r>
      <w:r w:rsidRPr="00530EFB">
        <w:rPr>
          <w:rFonts w:eastAsia="Malgun Gothic"/>
          <w:lang w:val="fr-FR"/>
        </w:rPr>
        <w:t>. Le Secrétariat a</w:t>
      </w:r>
      <w:r w:rsidR="000E77F3">
        <w:rPr>
          <w:rFonts w:eastAsia="Malgun Gothic"/>
          <w:lang w:val="fr-FR"/>
        </w:rPr>
        <w:t>vait</w:t>
      </w:r>
      <w:r w:rsidRPr="00530EFB">
        <w:rPr>
          <w:rFonts w:eastAsia="Malgun Gothic"/>
          <w:lang w:val="fr-FR"/>
        </w:rPr>
        <w:t xml:space="preserve"> participé à la préparation du Règlement intérieur </w:t>
      </w:r>
      <w:r w:rsidR="000E77F3">
        <w:rPr>
          <w:rFonts w:eastAsia="Malgun Gothic"/>
          <w:lang w:val="fr-FR"/>
        </w:rPr>
        <w:t>modèle</w:t>
      </w:r>
      <w:r w:rsidRPr="00530EFB">
        <w:rPr>
          <w:rFonts w:eastAsia="Malgun Gothic"/>
          <w:lang w:val="fr-FR"/>
        </w:rPr>
        <w:t xml:space="preserve"> des assemblées des Parties aux conventions de l</w:t>
      </w:r>
      <w:r w:rsidR="00923E72">
        <w:rPr>
          <w:rFonts w:eastAsia="Malgun Gothic"/>
          <w:lang w:val="fr-FR"/>
        </w:rPr>
        <w:t>’</w:t>
      </w:r>
      <w:r w:rsidRPr="00530EFB">
        <w:rPr>
          <w:rFonts w:eastAsia="Malgun Gothic"/>
          <w:lang w:val="fr-FR"/>
        </w:rPr>
        <w:t>UNESCO</w:t>
      </w:r>
      <w:r w:rsidR="000E77F3">
        <w:rPr>
          <w:rFonts w:eastAsia="Malgun Gothic"/>
          <w:lang w:val="fr-FR"/>
        </w:rPr>
        <w:t xml:space="preserve"> en matière de culture</w:t>
      </w:r>
      <w:r w:rsidRPr="00530EFB">
        <w:rPr>
          <w:rFonts w:eastAsia="Malgun Gothic"/>
          <w:lang w:val="fr-FR"/>
        </w:rPr>
        <w:t>, qui a</w:t>
      </w:r>
      <w:r w:rsidR="000E77F3">
        <w:rPr>
          <w:rFonts w:eastAsia="Malgun Gothic"/>
          <w:lang w:val="fr-FR"/>
        </w:rPr>
        <w:t>vait</w:t>
      </w:r>
      <w:r w:rsidRPr="00530EFB">
        <w:rPr>
          <w:rFonts w:eastAsia="Malgun Gothic"/>
          <w:lang w:val="fr-FR"/>
        </w:rPr>
        <w:t xml:space="preserve"> été examiné par la</w:t>
      </w:r>
      <w:r w:rsidR="00683143">
        <w:rPr>
          <w:rFonts w:eastAsia="Malgun Gothic"/>
          <w:lang w:val="fr-FR"/>
        </w:rPr>
        <w:t xml:space="preserve"> </w:t>
      </w:r>
      <w:r w:rsidR="000E77F3">
        <w:rPr>
          <w:rFonts w:eastAsia="Malgun Gothic"/>
          <w:lang w:val="fr-FR"/>
        </w:rPr>
        <w:t>quarante et unième</w:t>
      </w:r>
      <w:r w:rsidRPr="00530EFB">
        <w:rPr>
          <w:rFonts w:eastAsia="Malgun Gothic"/>
          <w:lang w:val="fr-FR"/>
        </w:rPr>
        <w:t xml:space="preserve"> session de la Conférence générale en</w:t>
      </w:r>
      <w:r w:rsidR="00AF6B98">
        <w:rPr>
          <w:rFonts w:eastAsia="Malgun Gothic"/>
          <w:lang w:val="fr-FR"/>
        </w:rPr>
        <w:t> </w:t>
      </w:r>
      <w:r w:rsidRPr="00530EFB">
        <w:rPr>
          <w:rFonts w:eastAsia="Malgun Gothic"/>
          <w:lang w:val="fr-FR"/>
        </w:rPr>
        <w:t>2021 et a</w:t>
      </w:r>
      <w:r w:rsidR="000E77F3">
        <w:rPr>
          <w:rFonts w:eastAsia="Malgun Gothic"/>
          <w:lang w:val="fr-FR"/>
        </w:rPr>
        <w:t>vait</w:t>
      </w:r>
      <w:r w:rsidRPr="00530EFB">
        <w:rPr>
          <w:rFonts w:eastAsia="Malgun Gothic"/>
          <w:lang w:val="fr-FR"/>
        </w:rPr>
        <w:t xml:space="preserve"> servi de base aux révisions du Règlement intérieur de l</w:t>
      </w:r>
      <w:r w:rsidR="00923E72">
        <w:rPr>
          <w:rFonts w:eastAsia="Malgun Gothic"/>
          <w:lang w:val="fr-FR"/>
        </w:rPr>
        <w:t>’</w:t>
      </w:r>
      <w:r w:rsidRPr="00530EFB">
        <w:rPr>
          <w:rFonts w:eastAsia="Malgun Gothic"/>
          <w:lang w:val="fr-FR"/>
        </w:rPr>
        <w:t>Assemblée générale de la Convention de</w:t>
      </w:r>
      <w:r w:rsidR="003A0260">
        <w:rPr>
          <w:rFonts w:eastAsia="Malgun Gothic"/>
          <w:lang w:val="fr-FR"/>
        </w:rPr>
        <w:t> </w:t>
      </w:r>
      <w:r w:rsidRPr="00530EFB">
        <w:rPr>
          <w:rFonts w:eastAsia="Malgun Gothic"/>
          <w:lang w:val="fr-FR"/>
        </w:rPr>
        <w:t>2003</w:t>
      </w:r>
      <w:r w:rsidR="00683143">
        <w:rPr>
          <w:rFonts w:eastAsia="Malgun Gothic"/>
          <w:lang w:val="fr-FR"/>
        </w:rPr>
        <w:t>,</w:t>
      </w:r>
      <w:r w:rsidRPr="00530EFB">
        <w:rPr>
          <w:rFonts w:eastAsia="Malgun Gothic"/>
          <w:lang w:val="fr-FR"/>
        </w:rPr>
        <w:t xml:space="preserve"> adoptées lors de sa </w:t>
      </w:r>
      <w:r w:rsidR="000E77F3">
        <w:rPr>
          <w:rFonts w:eastAsia="Malgun Gothic"/>
          <w:lang w:val="fr-FR"/>
        </w:rPr>
        <w:t>neuvième</w:t>
      </w:r>
      <w:r w:rsidRPr="00530EFB">
        <w:rPr>
          <w:rFonts w:eastAsia="Malgun Gothic"/>
          <w:lang w:val="fr-FR"/>
        </w:rPr>
        <w:t xml:space="preserve"> session en juillet</w:t>
      </w:r>
      <w:r w:rsidR="003A0260">
        <w:rPr>
          <w:rFonts w:eastAsia="Malgun Gothic"/>
          <w:lang w:val="fr-FR"/>
        </w:rPr>
        <w:t> </w:t>
      </w:r>
      <w:r w:rsidRPr="00530EFB">
        <w:rPr>
          <w:rFonts w:eastAsia="Malgun Gothic"/>
          <w:lang w:val="fr-FR"/>
        </w:rPr>
        <w:t>2022. Ainsi, la Convention de</w:t>
      </w:r>
      <w:r w:rsidR="003A0260">
        <w:rPr>
          <w:rFonts w:eastAsia="Malgun Gothic"/>
          <w:lang w:val="fr-FR"/>
        </w:rPr>
        <w:t> </w:t>
      </w:r>
      <w:r w:rsidRPr="00530EFB">
        <w:rPr>
          <w:rFonts w:eastAsia="Malgun Gothic"/>
          <w:lang w:val="fr-FR"/>
        </w:rPr>
        <w:t xml:space="preserve">2003 </w:t>
      </w:r>
      <w:r w:rsidR="000E77F3">
        <w:rPr>
          <w:rFonts w:eastAsia="Malgun Gothic"/>
          <w:lang w:val="fr-FR"/>
        </w:rPr>
        <w:t>était</w:t>
      </w:r>
      <w:r w:rsidRPr="00530EFB">
        <w:rPr>
          <w:rFonts w:eastAsia="Malgun Gothic"/>
          <w:lang w:val="fr-FR"/>
        </w:rPr>
        <w:t xml:space="preserve"> devenue la première des sept </w:t>
      </w:r>
      <w:r w:rsidR="000E77F3">
        <w:rPr>
          <w:rFonts w:eastAsia="Malgun Gothic"/>
          <w:lang w:val="fr-FR"/>
        </w:rPr>
        <w:t>c</w:t>
      </w:r>
      <w:r w:rsidRPr="00530EFB">
        <w:rPr>
          <w:rFonts w:eastAsia="Malgun Gothic"/>
          <w:lang w:val="fr-FR"/>
        </w:rPr>
        <w:t xml:space="preserve">onventions </w:t>
      </w:r>
      <w:r w:rsidR="000E77F3">
        <w:rPr>
          <w:rFonts w:eastAsia="Malgun Gothic"/>
          <w:lang w:val="fr-FR"/>
        </w:rPr>
        <w:t>de l</w:t>
      </w:r>
      <w:r w:rsidR="00923E72">
        <w:rPr>
          <w:rFonts w:eastAsia="Malgun Gothic"/>
          <w:lang w:val="fr-FR"/>
        </w:rPr>
        <w:t>’</w:t>
      </w:r>
      <w:r w:rsidR="000E77F3" w:rsidRPr="000E77F3">
        <w:rPr>
          <w:rFonts w:eastAsia="Malgun Gothic"/>
          <w:lang w:val="fr-FR"/>
        </w:rPr>
        <w:t>UNESCO</w:t>
      </w:r>
      <w:r w:rsidR="000E77F3">
        <w:rPr>
          <w:rFonts w:eastAsia="Malgun Gothic"/>
          <w:lang w:val="fr-FR"/>
        </w:rPr>
        <w:t xml:space="preserve"> en matière de </w:t>
      </w:r>
      <w:r w:rsidRPr="00530EFB">
        <w:rPr>
          <w:rFonts w:eastAsia="Malgun Gothic"/>
          <w:lang w:val="fr-FR"/>
        </w:rPr>
        <w:t>culture à lancer ce processus d</w:t>
      </w:r>
      <w:r w:rsidR="00923E72">
        <w:rPr>
          <w:rFonts w:eastAsia="Malgun Gothic"/>
          <w:lang w:val="fr-FR"/>
        </w:rPr>
        <w:t>’</w:t>
      </w:r>
      <w:r w:rsidRPr="00530EFB">
        <w:rPr>
          <w:rFonts w:eastAsia="Malgun Gothic"/>
          <w:lang w:val="fr-FR"/>
        </w:rPr>
        <w:t xml:space="preserve">harmonisation. </w:t>
      </w:r>
      <w:r w:rsidR="000E77F3">
        <w:rPr>
          <w:rFonts w:eastAsia="Malgun Gothic"/>
          <w:lang w:val="fr-FR"/>
        </w:rPr>
        <w:t>Par ailleurs, c</w:t>
      </w:r>
      <w:r w:rsidRPr="00530EFB">
        <w:rPr>
          <w:rFonts w:eastAsia="Malgun Gothic"/>
          <w:lang w:val="fr-FR"/>
        </w:rPr>
        <w:t xml:space="preserve">ertains développements récents des six derniers mois liés </w:t>
      </w:r>
      <w:r w:rsidRPr="007D23D1">
        <w:rPr>
          <w:rFonts w:eastAsia="Malgun Gothic"/>
          <w:lang w:val="fr-FR"/>
        </w:rPr>
        <w:t>à l</w:t>
      </w:r>
      <w:r w:rsidR="00923E72" w:rsidRPr="007D23D1">
        <w:rPr>
          <w:rFonts w:eastAsia="Malgun Gothic"/>
          <w:lang w:val="fr-FR"/>
        </w:rPr>
        <w:t>’</w:t>
      </w:r>
      <w:r w:rsidRPr="007D23D1">
        <w:rPr>
          <w:rFonts w:eastAsia="Malgun Gothic"/>
          <w:lang w:val="fr-FR"/>
        </w:rPr>
        <w:t>assistance internationale ont été</w:t>
      </w:r>
      <w:r w:rsidRPr="00530EFB">
        <w:rPr>
          <w:rFonts w:eastAsia="Malgun Gothic"/>
          <w:lang w:val="fr-FR"/>
        </w:rPr>
        <w:t xml:space="preserve"> soulignés. Entre janvier et juin</w:t>
      </w:r>
      <w:r w:rsidR="000E77F3">
        <w:rPr>
          <w:rFonts w:eastAsia="Malgun Gothic"/>
          <w:lang w:val="fr-FR"/>
        </w:rPr>
        <w:t> </w:t>
      </w:r>
      <w:r w:rsidRPr="00530EFB">
        <w:rPr>
          <w:rFonts w:eastAsia="Malgun Gothic"/>
          <w:lang w:val="fr-FR"/>
        </w:rPr>
        <w:t>2022, le Secrétariat a</w:t>
      </w:r>
      <w:r w:rsidR="000E77F3">
        <w:rPr>
          <w:rFonts w:eastAsia="Malgun Gothic"/>
          <w:lang w:val="fr-FR"/>
        </w:rPr>
        <w:t>vait</w:t>
      </w:r>
      <w:r w:rsidRPr="00530EFB">
        <w:rPr>
          <w:rFonts w:eastAsia="Malgun Gothic"/>
          <w:lang w:val="fr-FR"/>
        </w:rPr>
        <w:t xml:space="preserve"> administré cinq nouvelles demandes d</w:t>
      </w:r>
      <w:r w:rsidR="00923E72">
        <w:rPr>
          <w:rFonts w:eastAsia="Malgun Gothic"/>
          <w:lang w:val="fr-FR"/>
        </w:rPr>
        <w:t>’</w:t>
      </w:r>
      <w:r w:rsidRPr="00530EFB">
        <w:rPr>
          <w:rFonts w:eastAsia="Malgun Gothic"/>
          <w:lang w:val="fr-FR"/>
        </w:rPr>
        <w:t>assistance internationale approuvées par le Bureau, et il a</w:t>
      </w:r>
      <w:r w:rsidR="000E77F3">
        <w:rPr>
          <w:rFonts w:eastAsia="Malgun Gothic"/>
          <w:lang w:val="fr-FR"/>
        </w:rPr>
        <w:t>vait</w:t>
      </w:r>
      <w:r w:rsidRPr="00530EFB">
        <w:rPr>
          <w:rFonts w:eastAsia="Malgun Gothic"/>
          <w:lang w:val="fr-FR"/>
        </w:rPr>
        <w:t xml:space="preserve"> continué à soutenir la mise en œuvre de </w:t>
      </w:r>
      <w:r w:rsidR="000E77F3">
        <w:rPr>
          <w:rFonts w:eastAsia="Malgun Gothic"/>
          <w:lang w:val="fr-FR"/>
        </w:rPr>
        <w:t>quarante</w:t>
      </w:r>
      <w:r w:rsidR="000E77F3">
        <w:rPr>
          <w:rFonts w:eastAsia="Malgun Gothic"/>
          <w:lang w:val="fr-FR"/>
        </w:rPr>
        <w:noBreakHyphen/>
        <w:t>deux</w:t>
      </w:r>
      <w:r w:rsidRPr="00530EFB">
        <w:rPr>
          <w:rFonts w:eastAsia="Malgun Gothic"/>
          <w:lang w:val="fr-FR"/>
        </w:rPr>
        <w:t xml:space="preserve"> projets actifs. Les rapports des États parties sur l</w:t>
      </w:r>
      <w:r w:rsidR="00923E72">
        <w:rPr>
          <w:rFonts w:eastAsia="Malgun Gothic"/>
          <w:lang w:val="fr-FR"/>
        </w:rPr>
        <w:t>’</w:t>
      </w:r>
      <w:r w:rsidRPr="00530EFB">
        <w:rPr>
          <w:rFonts w:eastAsia="Malgun Gothic"/>
          <w:lang w:val="fr-FR"/>
        </w:rPr>
        <w:t>utilisation de l</w:t>
      </w:r>
      <w:r w:rsidR="00923E72">
        <w:rPr>
          <w:rFonts w:eastAsia="Malgun Gothic"/>
          <w:lang w:val="fr-FR"/>
        </w:rPr>
        <w:t>’</w:t>
      </w:r>
      <w:r w:rsidRPr="00530EFB">
        <w:rPr>
          <w:rFonts w:eastAsia="Malgun Gothic"/>
          <w:lang w:val="fr-FR"/>
        </w:rPr>
        <w:t xml:space="preserve">assistance internationale </w:t>
      </w:r>
      <w:r w:rsidR="00E60FC0">
        <w:rPr>
          <w:rFonts w:eastAsia="Malgun Gothic"/>
          <w:lang w:val="fr-FR"/>
        </w:rPr>
        <w:t xml:space="preserve">étaient </w:t>
      </w:r>
      <w:r w:rsidRPr="00530EFB">
        <w:rPr>
          <w:rFonts w:eastAsia="Malgun Gothic"/>
          <w:lang w:val="fr-FR"/>
        </w:rPr>
        <w:t>présentés au titre du point</w:t>
      </w:r>
      <w:r w:rsidR="002B668C">
        <w:rPr>
          <w:rFonts w:eastAsia="Malgun Gothic"/>
          <w:lang w:val="fr-FR"/>
        </w:rPr>
        <w:t> </w:t>
      </w:r>
      <w:r w:rsidRPr="00530EFB">
        <w:rPr>
          <w:rFonts w:eastAsia="Malgun Gothic"/>
          <w:lang w:val="fr-FR"/>
        </w:rPr>
        <w:t>6.d de l</w:t>
      </w:r>
      <w:r w:rsidR="00923E72">
        <w:rPr>
          <w:rFonts w:eastAsia="Malgun Gothic"/>
          <w:lang w:val="fr-FR"/>
        </w:rPr>
        <w:t>’</w:t>
      </w:r>
      <w:r w:rsidRPr="00530EFB">
        <w:rPr>
          <w:rFonts w:eastAsia="Malgun Gothic"/>
          <w:lang w:val="fr-FR"/>
        </w:rPr>
        <w:t>ordre du jour. Conformément aux recommandations de l</w:t>
      </w:r>
      <w:r w:rsidR="00923E72">
        <w:rPr>
          <w:rFonts w:eastAsia="Malgun Gothic"/>
          <w:lang w:val="fr-FR"/>
        </w:rPr>
        <w:t>’</w:t>
      </w:r>
      <w:r w:rsidRPr="00530EFB">
        <w:rPr>
          <w:rFonts w:eastAsia="Malgun Gothic"/>
          <w:lang w:val="fr-FR"/>
        </w:rPr>
        <w:t>évaluation du Service d</w:t>
      </w:r>
      <w:r w:rsidR="00923E72">
        <w:rPr>
          <w:rFonts w:eastAsia="Malgun Gothic"/>
          <w:lang w:val="fr-FR"/>
        </w:rPr>
        <w:t>’</w:t>
      </w:r>
      <w:r w:rsidRPr="00530EFB">
        <w:rPr>
          <w:rFonts w:eastAsia="Malgun Gothic"/>
          <w:lang w:val="fr-FR"/>
        </w:rPr>
        <w:t>évaluation et d</w:t>
      </w:r>
      <w:r w:rsidR="00923E72">
        <w:rPr>
          <w:rFonts w:eastAsia="Malgun Gothic"/>
          <w:lang w:val="fr-FR"/>
        </w:rPr>
        <w:t>’</w:t>
      </w:r>
      <w:r w:rsidRPr="00530EFB">
        <w:rPr>
          <w:rFonts w:eastAsia="Malgun Gothic"/>
          <w:lang w:val="fr-FR"/>
        </w:rPr>
        <w:t>audit (IOS) de</w:t>
      </w:r>
      <w:r w:rsidR="00AF6B98">
        <w:rPr>
          <w:rFonts w:eastAsia="Malgun Gothic"/>
          <w:lang w:val="fr-FR"/>
        </w:rPr>
        <w:t> </w:t>
      </w:r>
      <w:r w:rsidRPr="00530EFB">
        <w:rPr>
          <w:rFonts w:eastAsia="Malgun Gothic"/>
          <w:lang w:val="fr-FR"/>
        </w:rPr>
        <w:t xml:space="preserve">2021, le </w:t>
      </w:r>
      <w:r w:rsidRPr="00530EFB">
        <w:rPr>
          <w:rFonts w:eastAsia="Malgun Gothic"/>
          <w:lang w:val="fr-FR"/>
        </w:rPr>
        <w:lastRenderedPageBreak/>
        <w:t>Secrétariat a</w:t>
      </w:r>
      <w:r w:rsidR="000E77F3">
        <w:rPr>
          <w:rFonts w:eastAsia="Malgun Gothic"/>
          <w:lang w:val="fr-FR"/>
        </w:rPr>
        <w:t>vait</w:t>
      </w:r>
      <w:r w:rsidRPr="00530EFB">
        <w:rPr>
          <w:rFonts w:eastAsia="Malgun Gothic"/>
          <w:lang w:val="fr-FR"/>
        </w:rPr>
        <w:t xml:space="preserve"> entrepris des activités visant à accroître la visibilité de l</w:t>
      </w:r>
      <w:r w:rsidR="00923E72">
        <w:rPr>
          <w:rFonts w:eastAsia="Malgun Gothic"/>
          <w:lang w:val="fr-FR"/>
        </w:rPr>
        <w:t>’</w:t>
      </w:r>
      <w:r w:rsidRPr="00530EFB">
        <w:rPr>
          <w:rFonts w:eastAsia="Malgun Gothic"/>
          <w:lang w:val="fr-FR"/>
        </w:rPr>
        <w:t>assistance internationale, notamment une série de trois webinaires mondiaux organisés en mars</w:t>
      </w:r>
      <w:r w:rsidR="003A0260">
        <w:rPr>
          <w:rFonts w:eastAsia="Malgun Gothic"/>
          <w:lang w:val="fr-FR"/>
        </w:rPr>
        <w:t> </w:t>
      </w:r>
      <w:r w:rsidRPr="00530EFB">
        <w:rPr>
          <w:rFonts w:eastAsia="Malgun Gothic"/>
          <w:lang w:val="fr-FR"/>
        </w:rPr>
        <w:t>2022 et l</w:t>
      </w:r>
      <w:r w:rsidR="00923E72">
        <w:rPr>
          <w:rFonts w:eastAsia="Malgun Gothic"/>
          <w:lang w:val="fr-FR"/>
        </w:rPr>
        <w:t>’</w:t>
      </w:r>
      <w:r w:rsidRPr="00530EFB">
        <w:rPr>
          <w:rFonts w:eastAsia="Malgun Gothic"/>
          <w:lang w:val="fr-FR"/>
        </w:rPr>
        <w:t>élaboration d</w:t>
      </w:r>
      <w:r w:rsidR="00923E72">
        <w:rPr>
          <w:rFonts w:eastAsia="Malgun Gothic"/>
          <w:lang w:val="fr-FR"/>
        </w:rPr>
        <w:t>’</w:t>
      </w:r>
      <w:r w:rsidRPr="00530EFB">
        <w:rPr>
          <w:rFonts w:eastAsia="Malgun Gothic"/>
          <w:lang w:val="fr-FR"/>
        </w:rPr>
        <w:t>un</w:t>
      </w:r>
      <w:r w:rsidR="000E77F3">
        <w:rPr>
          <w:rFonts w:eastAsia="Malgun Gothic"/>
          <w:lang w:val="fr-FR"/>
        </w:rPr>
        <w:t xml:space="preserve"> guide</w:t>
      </w:r>
      <w:r w:rsidRPr="00530EFB">
        <w:rPr>
          <w:rFonts w:eastAsia="Malgun Gothic"/>
          <w:lang w:val="fr-FR"/>
        </w:rPr>
        <w:t xml:space="preserve"> étape par étape pour </w:t>
      </w:r>
      <w:r w:rsidR="000E77F3">
        <w:rPr>
          <w:rFonts w:eastAsia="Malgun Gothic"/>
          <w:lang w:val="fr-FR"/>
        </w:rPr>
        <w:t>faire une</w:t>
      </w:r>
      <w:r w:rsidRPr="00530EFB">
        <w:rPr>
          <w:rFonts w:eastAsia="Malgun Gothic"/>
          <w:lang w:val="fr-FR"/>
        </w:rPr>
        <w:t xml:space="preserve"> demande d</w:t>
      </w:r>
      <w:r w:rsidR="00923E72">
        <w:rPr>
          <w:rFonts w:eastAsia="Malgun Gothic"/>
          <w:lang w:val="fr-FR"/>
        </w:rPr>
        <w:t>’</w:t>
      </w:r>
      <w:r w:rsidRPr="00530EFB">
        <w:rPr>
          <w:rFonts w:eastAsia="Malgun Gothic"/>
          <w:lang w:val="fr-FR"/>
        </w:rPr>
        <w:t xml:space="preserve">assistance internationale, </w:t>
      </w:r>
      <w:r w:rsidR="009B226E">
        <w:rPr>
          <w:rFonts w:eastAsia="Malgun Gothic"/>
          <w:lang w:val="fr-FR"/>
        </w:rPr>
        <w:t xml:space="preserve">un document </w:t>
      </w:r>
      <w:r w:rsidRPr="00530EFB">
        <w:rPr>
          <w:rFonts w:eastAsia="Malgun Gothic"/>
          <w:lang w:val="fr-FR"/>
        </w:rPr>
        <w:t xml:space="preserve">disponible en ligne </w:t>
      </w:r>
      <w:hyperlink r:id="rId35" w:history="1">
        <w:r w:rsidRPr="000E77F3">
          <w:rPr>
            <w:rStyle w:val="Hyperlink"/>
            <w:rFonts w:eastAsia="Malgun Gothic"/>
            <w:lang w:val="fr-FR"/>
          </w:rPr>
          <w:t>en anglais</w:t>
        </w:r>
      </w:hyperlink>
      <w:r w:rsidRPr="00530EFB">
        <w:rPr>
          <w:rFonts w:eastAsia="Malgun Gothic"/>
          <w:lang w:val="fr-FR"/>
        </w:rPr>
        <w:t xml:space="preserve"> et </w:t>
      </w:r>
      <w:hyperlink r:id="rId36" w:history="1">
        <w:r w:rsidRPr="000E77F3">
          <w:rPr>
            <w:rStyle w:val="Hyperlink"/>
            <w:rFonts w:eastAsia="Malgun Gothic"/>
            <w:lang w:val="fr-FR"/>
          </w:rPr>
          <w:t>en français</w:t>
        </w:r>
      </w:hyperlink>
      <w:r w:rsidRPr="00530EFB">
        <w:rPr>
          <w:rFonts w:eastAsia="Malgun Gothic"/>
          <w:lang w:val="fr-FR"/>
        </w:rPr>
        <w:t xml:space="preserve">. En outre, lors de la présente session, il </w:t>
      </w:r>
      <w:r w:rsidR="00931BD1">
        <w:rPr>
          <w:rFonts w:eastAsia="Malgun Gothic"/>
          <w:lang w:val="fr-FR"/>
        </w:rPr>
        <w:t xml:space="preserve">était </w:t>
      </w:r>
      <w:r w:rsidRPr="00530EFB">
        <w:rPr>
          <w:rFonts w:eastAsia="Malgun Gothic"/>
          <w:lang w:val="fr-FR"/>
        </w:rPr>
        <w:t>demandé au Comité d</w:t>
      </w:r>
      <w:r w:rsidR="00923E72">
        <w:rPr>
          <w:rFonts w:eastAsia="Malgun Gothic"/>
          <w:lang w:val="fr-FR"/>
        </w:rPr>
        <w:t>’</w:t>
      </w:r>
      <w:r w:rsidRPr="00530EFB">
        <w:rPr>
          <w:rFonts w:eastAsia="Malgun Gothic"/>
          <w:lang w:val="fr-FR"/>
        </w:rPr>
        <w:t>examiner la proposition du Secrétariat pour le suivi, l</w:t>
      </w:r>
      <w:r w:rsidR="00923E72">
        <w:rPr>
          <w:rFonts w:eastAsia="Malgun Gothic"/>
          <w:lang w:val="fr-FR"/>
        </w:rPr>
        <w:t>’</w:t>
      </w:r>
      <w:r w:rsidRPr="00530EFB">
        <w:rPr>
          <w:rFonts w:eastAsia="Malgun Gothic"/>
          <w:lang w:val="fr-FR"/>
        </w:rPr>
        <w:t>évaluation et l</w:t>
      </w:r>
      <w:r w:rsidR="00923E72">
        <w:rPr>
          <w:rFonts w:eastAsia="Malgun Gothic"/>
          <w:lang w:val="fr-FR"/>
        </w:rPr>
        <w:t>’</w:t>
      </w:r>
      <w:r w:rsidRPr="00530EFB">
        <w:rPr>
          <w:rFonts w:eastAsia="Malgun Gothic"/>
          <w:lang w:val="fr-FR"/>
        </w:rPr>
        <w:t>identification des enseignements tirés des projets d</w:t>
      </w:r>
      <w:r w:rsidR="00923E72">
        <w:rPr>
          <w:rFonts w:eastAsia="Malgun Gothic"/>
          <w:lang w:val="fr-FR"/>
        </w:rPr>
        <w:t>’</w:t>
      </w:r>
      <w:r w:rsidR="009B226E">
        <w:rPr>
          <w:rFonts w:eastAsia="Malgun Gothic"/>
          <w:lang w:val="fr-FR"/>
        </w:rPr>
        <w:t>a</w:t>
      </w:r>
      <w:r w:rsidRPr="00530EFB">
        <w:rPr>
          <w:rFonts w:eastAsia="Malgun Gothic"/>
          <w:lang w:val="fr-FR"/>
        </w:rPr>
        <w:t xml:space="preserve">ssistance internationale, qui </w:t>
      </w:r>
      <w:r w:rsidR="00E60FC0">
        <w:rPr>
          <w:rFonts w:eastAsia="Malgun Gothic"/>
          <w:lang w:val="fr-FR"/>
        </w:rPr>
        <w:t xml:space="preserve">était </w:t>
      </w:r>
      <w:r w:rsidRPr="00530EFB">
        <w:rPr>
          <w:rFonts w:eastAsia="Malgun Gothic"/>
          <w:lang w:val="fr-FR"/>
        </w:rPr>
        <w:t>présentée au titre du point</w:t>
      </w:r>
      <w:r w:rsidR="002B668C">
        <w:rPr>
          <w:rFonts w:eastAsia="Malgun Gothic"/>
          <w:lang w:val="fr-FR"/>
        </w:rPr>
        <w:t> </w:t>
      </w:r>
      <w:r w:rsidRPr="00530EFB">
        <w:rPr>
          <w:rFonts w:eastAsia="Malgun Gothic"/>
          <w:lang w:val="fr-FR"/>
        </w:rPr>
        <w:t>11. Un autre mécanisme international de la Convention</w:t>
      </w:r>
      <w:r w:rsidR="00683143">
        <w:rPr>
          <w:rFonts w:eastAsia="Malgun Gothic"/>
          <w:lang w:val="fr-FR"/>
        </w:rPr>
        <w:t xml:space="preserve"> </w:t>
      </w:r>
      <w:r w:rsidRPr="00530EFB">
        <w:rPr>
          <w:rFonts w:eastAsia="Malgun Gothic"/>
          <w:lang w:val="fr-FR"/>
        </w:rPr>
        <w:t>dont l</w:t>
      </w:r>
      <w:r w:rsidR="00923E72">
        <w:rPr>
          <w:rFonts w:eastAsia="Malgun Gothic"/>
          <w:lang w:val="fr-FR"/>
        </w:rPr>
        <w:t>’</w:t>
      </w:r>
      <w:r w:rsidRPr="00530EFB">
        <w:rPr>
          <w:rFonts w:eastAsia="Malgun Gothic"/>
          <w:lang w:val="fr-FR"/>
        </w:rPr>
        <w:t xml:space="preserve">évolution </w:t>
      </w:r>
      <w:r w:rsidR="009B226E">
        <w:rPr>
          <w:rFonts w:eastAsia="Malgun Gothic"/>
          <w:lang w:val="fr-FR"/>
        </w:rPr>
        <w:t>était</w:t>
      </w:r>
      <w:r w:rsidRPr="00530EFB">
        <w:rPr>
          <w:rFonts w:eastAsia="Malgun Gothic"/>
          <w:lang w:val="fr-FR"/>
        </w:rPr>
        <w:t xml:space="preserve"> très prometteuse et qui a</w:t>
      </w:r>
      <w:r w:rsidR="009B226E">
        <w:rPr>
          <w:rFonts w:eastAsia="Malgun Gothic"/>
          <w:lang w:val="fr-FR"/>
        </w:rPr>
        <w:t>vait</w:t>
      </w:r>
      <w:r w:rsidRPr="00530EFB">
        <w:rPr>
          <w:rFonts w:eastAsia="Malgun Gothic"/>
          <w:lang w:val="fr-FR"/>
        </w:rPr>
        <w:t xml:space="preserve"> occupé beaucoup de temps </w:t>
      </w:r>
      <w:r w:rsidR="009B226E">
        <w:rPr>
          <w:rFonts w:eastAsia="Malgun Gothic"/>
          <w:lang w:val="fr-FR"/>
        </w:rPr>
        <w:t>était</w:t>
      </w:r>
      <w:r w:rsidRPr="00530EFB">
        <w:rPr>
          <w:rFonts w:eastAsia="Malgun Gothic"/>
          <w:lang w:val="fr-FR"/>
        </w:rPr>
        <w:t xml:space="preserve"> celui </w:t>
      </w:r>
      <w:r w:rsidRPr="007D23D1">
        <w:rPr>
          <w:rFonts w:eastAsia="Malgun Gothic"/>
          <w:lang w:val="fr-FR"/>
        </w:rPr>
        <w:t>des rapports périodiques. Le Secrétariat</w:t>
      </w:r>
      <w:r w:rsidRPr="00530EFB">
        <w:rPr>
          <w:rFonts w:eastAsia="Malgun Gothic"/>
          <w:lang w:val="fr-FR"/>
        </w:rPr>
        <w:t xml:space="preserve"> a</w:t>
      </w:r>
      <w:r w:rsidR="009B226E">
        <w:rPr>
          <w:rFonts w:eastAsia="Malgun Gothic"/>
          <w:lang w:val="fr-FR"/>
        </w:rPr>
        <w:t>vait</w:t>
      </w:r>
      <w:r w:rsidRPr="00530EFB">
        <w:rPr>
          <w:rFonts w:eastAsia="Malgun Gothic"/>
          <w:lang w:val="fr-FR"/>
        </w:rPr>
        <w:t xml:space="preserve"> entrepris l</w:t>
      </w:r>
      <w:r w:rsidR="00923E72">
        <w:rPr>
          <w:rFonts w:eastAsia="Malgun Gothic"/>
          <w:lang w:val="fr-FR"/>
        </w:rPr>
        <w:t>’</w:t>
      </w:r>
      <w:r w:rsidRPr="00530EFB">
        <w:rPr>
          <w:rFonts w:eastAsia="Malgun Gothic"/>
          <w:lang w:val="fr-FR"/>
        </w:rPr>
        <w:t>évaluation d</w:t>
      </w:r>
      <w:r w:rsidR="00923E72">
        <w:rPr>
          <w:rFonts w:eastAsia="Malgun Gothic"/>
          <w:lang w:val="fr-FR"/>
        </w:rPr>
        <w:t>’</w:t>
      </w:r>
      <w:r w:rsidRPr="00530EFB">
        <w:rPr>
          <w:rFonts w:eastAsia="Malgun Gothic"/>
          <w:lang w:val="fr-FR"/>
        </w:rPr>
        <w:t xml:space="preserve">un total de </w:t>
      </w:r>
      <w:r w:rsidR="009B226E">
        <w:rPr>
          <w:rFonts w:eastAsia="Malgun Gothic"/>
          <w:lang w:val="fr-FR"/>
        </w:rPr>
        <w:t>vingt</w:t>
      </w:r>
      <w:r w:rsidR="009B226E">
        <w:rPr>
          <w:rFonts w:eastAsia="Malgun Gothic"/>
          <w:lang w:val="fr-FR"/>
        </w:rPr>
        <w:noBreakHyphen/>
        <w:t>quatre</w:t>
      </w:r>
      <w:r w:rsidRPr="00530EFB">
        <w:rPr>
          <w:rFonts w:eastAsia="Malgun Gothic"/>
          <w:lang w:val="fr-FR"/>
        </w:rPr>
        <w:t xml:space="preserve"> rapports soumis par </w:t>
      </w:r>
      <w:r w:rsidR="009B226E">
        <w:rPr>
          <w:rFonts w:eastAsia="Malgun Gothic"/>
          <w:lang w:val="fr-FR"/>
        </w:rPr>
        <w:t>dix</w:t>
      </w:r>
      <w:r w:rsidR="009B226E">
        <w:rPr>
          <w:rFonts w:eastAsia="Malgun Gothic"/>
          <w:lang w:val="fr-FR"/>
        </w:rPr>
        <w:noBreakHyphen/>
        <w:t>huit</w:t>
      </w:r>
      <w:r w:rsidRPr="00530EFB">
        <w:rPr>
          <w:rFonts w:eastAsia="Malgun Gothic"/>
          <w:lang w:val="fr-FR"/>
        </w:rPr>
        <w:t xml:space="preserve"> États parties sur l</w:t>
      </w:r>
      <w:r w:rsidR="00923E72">
        <w:rPr>
          <w:rFonts w:eastAsia="Malgun Gothic"/>
          <w:lang w:val="fr-FR"/>
        </w:rPr>
        <w:t>’</w:t>
      </w:r>
      <w:r w:rsidRPr="00530EFB">
        <w:rPr>
          <w:rFonts w:eastAsia="Malgun Gothic"/>
          <w:lang w:val="fr-FR"/>
        </w:rPr>
        <w:t xml:space="preserve">état actuel des éléments inscrits sur la Liste de sauvegarde urgente, examinés au </w:t>
      </w:r>
      <w:r w:rsidR="009B226E">
        <w:rPr>
          <w:rFonts w:eastAsia="Malgun Gothic"/>
          <w:lang w:val="fr-FR"/>
        </w:rPr>
        <w:t xml:space="preserve">titre du </w:t>
      </w:r>
      <w:r w:rsidRPr="00530EFB">
        <w:rPr>
          <w:rFonts w:eastAsia="Malgun Gothic"/>
          <w:lang w:val="fr-FR"/>
        </w:rPr>
        <w:t>point</w:t>
      </w:r>
      <w:r w:rsidR="002B668C">
        <w:rPr>
          <w:rFonts w:eastAsia="Malgun Gothic"/>
          <w:lang w:val="fr-FR"/>
        </w:rPr>
        <w:t> </w:t>
      </w:r>
      <w:r w:rsidRPr="00530EFB">
        <w:rPr>
          <w:rFonts w:eastAsia="Malgun Gothic"/>
          <w:lang w:val="fr-FR"/>
        </w:rPr>
        <w:t xml:space="preserve">6.a. </w:t>
      </w:r>
      <w:r w:rsidR="009B226E">
        <w:rPr>
          <w:rFonts w:eastAsia="Malgun Gothic"/>
          <w:lang w:val="fr-FR"/>
        </w:rPr>
        <w:t>S</w:t>
      </w:r>
      <w:r w:rsidR="00923E72">
        <w:rPr>
          <w:rFonts w:eastAsia="Malgun Gothic"/>
          <w:lang w:val="fr-FR"/>
        </w:rPr>
        <w:t>’</w:t>
      </w:r>
      <w:r w:rsidR="009B226E">
        <w:rPr>
          <w:rFonts w:eastAsia="Malgun Gothic"/>
          <w:lang w:val="fr-FR"/>
        </w:rPr>
        <w:t xml:space="preserve">agissant des </w:t>
      </w:r>
      <w:r w:rsidRPr="00530EFB">
        <w:rPr>
          <w:rFonts w:eastAsia="Malgun Gothic"/>
          <w:lang w:val="fr-FR"/>
        </w:rPr>
        <w:t>rapports périodiques sur la mise en œuvre de la Convention et sur l</w:t>
      </w:r>
      <w:r w:rsidR="00923E72">
        <w:rPr>
          <w:rFonts w:eastAsia="Malgun Gothic"/>
          <w:lang w:val="fr-FR"/>
        </w:rPr>
        <w:t>’</w:t>
      </w:r>
      <w:r w:rsidRPr="00530EFB">
        <w:rPr>
          <w:rFonts w:eastAsia="Malgun Gothic"/>
          <w:lang w:val="fr-FR"/>
        </w:rPr>
        <w:t>état des éléments inscrits sur la Liste représentative, tandis que le Secrétariat lançait l</w:t>
      </w:r>
      <w:r w:rsidR="00923E72">
        <w:rPr>
          <w:rFonts w:eastAsia="Malgun Gothic"/>
          <w:lang w:val="fr-FR"/>
        </w:rPr>
        <w:t>’</w:t>
      </w:r>
      <w:r w:rsidRPr="00530EFB">
        <w:rPr>
          <w:rFonts w:eastAsia="Malgun Gothic"/>
          <w:lang w:val="fr-FR"/>
        </w:rPr>
        <w:t xml:space="preserve">analyse des </w:t>
      </w:r>
      <w:r w:rsidR="009B226E">
        <w:rPr>
          <w:rFonts w:eastAsia="Malgun Gothic"/>
          <w:lang w:val="fr-FR"/>
        </w:rPr>
        <w:t>quarante</w:t>
      </w:r>
      <w:r w:rsidR="009B226E">
        <w:rPr>
          <w:rFonts w:eastAsia="Malgun Gothic"/>
          <w:lang w:val="fr-FR"/>
        </w:rPr>
        <w:noBreakHyphen/>
        <w:t>deux</w:t>
      </w:r>
      <w:r w:rsidRPr="00530EFB">
        <w:rPr>
          <w:rFonts w:eastAsia="Malgun Gothic"/>
          <w:lang w:val="fr-FR"/>
        </w:rPr>
        <w:t xml:space="preserve"> rapports de l</w:t>
      </w:r>
      <w:r w:rsidR="00923E72">
        <w:rPr>
          <w:rFonts w:eastAsia="Malgun Gothic"/>
          <w:lang w:val="fr-FR"/>
        </w:rPr>
        <w:t>’</w:t>
      </w:r>
      <w:r w:rsidRPr="00530EFB">
        <w:rPr>
          <w:rFonts w:eastAsia="Malgun Gothic"/>
          <w:lang w:val="fr-FR"/>
        </w:rPr>
        <w:t>Europe, il finalisait également l</w:t>
      </w:r>
      <w:r w:rsidR="00923E72">
        <w:rPr>
          <w:rFonts w:eastAsia="Malgun Gothic"/>
          <w:lang w:val="fr-FR"/>
        </w:rPr>
        <w:t>’</w:t>
      </w:r>
      <w:r w:rsidRPr="00530EFB">
        <w:rPr>
          <w:rFonts w:eastAsia="Malgun Gothic"/>
          <w:lang w:val="fr-FR"/>
        </w:rPr>
        <w:t xml:space="preserve">analyse approfondie de </w:t>
      </w:r>
      <w:r w:rsidR="009B226E">
        <w:rPr>
          <w:rFonts w:eastAsia="Malgun Gothic"/>
          <w:lang w:val="fr-FR"/>
        </w:rPr>
        <w:t>vingt</w:t>
      </w:r>
      <w:r w:rsidR="009B226E">
        <w:rPr>
          <w:rFonts w:eastAsia="Malgun Gothic"/>
          <w:lang w:val="fr-FR"/>
        </w:rPr>
        <w:noBreakHyphen/>
        <w:t xml:space="preserve">huit </w:t>
      </w:r>
      <w:r w:rsidRPr="00530EFB">
        <w:rPr>
          <w:rFonts w:eastAsia="Malgun Gothic"/>
          <w:lang w:val="fr-FR"/>
        </w:rPr>
        <w:t>rapports périodiques soumis par les États d</w:t>
      </w:r>
      <w:r w:rsidR="00923E72">
        <w:rPr>
          <w:rFonts w:eastAsia="Malgun Gothic"/>
          <w:lang w:val="fr-FR"/>
        </w:rPr>
        <w:t>’</w:t>
      </w:r>
      <w:r w:rsidRPr="00530EFB">
        <w:rPr>
          <w:rFonts w:eastAsia="Malgun Gothic"/>
          <w:lang w:val="fr-FR"/>
        </w:rPr>
        <w:t xml:space="preserve">Amérique latine et des Caraïbes, tout en dispensant une formation aux points focaux de la région </w:t>
      </w:r>
      <w:r w:rsidR="009B226E">
        <w:rPr>
          <w:rFonts w:eastAsia="Malgun Gothic"/>
          <w:lang w:val="fr-FR"/>
        </w:rPr>
        <w:t xml:space="preserve">des États </w:t>
      </w:r>
      <w:r w:rsidRPr="00530EFB">
        <w:rPr>
          <w:rFonts w:eastAsia="Malgun Gothic"/>
          <w:lang w:val="fr-FR"/>
        </w:rPr>
        <w:t>arabe</w:t>
      </w:r>
      <w:r w:rsidR="009B226E">
        <w:rPr>
          <w:rFonts w:eastAsia="Malgun Gothic"/>
          <w:lang w:val="fr-FR"/>
        </w:rPr>
        <w:t>s</w:t>
      </w:r>
      <w:r w:rsidRPr="00530EFB">
        <w:rPr>
          <w:rFonts w:eastAsia="Malgun Gothic"/>
          <w:lang w:val="fr-FR"/>
        </w:rPr>
        <w:t xml:space="preserve"> en vue de leur prochaine session de présentation de rapports. </w:t>
      </w:r>
      <w:r w:rsidR="009B226E">
        <w:rPr>
          <w:rFonts w:eastAsia="Malgun Gothic"/>
          <w:lang w:val="fr-FR"/>
        </w:rPr>
        <w:t xml:space="preserve">On pourrait trouver </w:t>
      </w:r>
      <w:r w:rsidR="00B971DD">
        <w:rPr>
          <w:rFonts w:eastAsia="Malgun Gothic"/>
          <w:lang w:val="fr-FR"/>
        </w:rPr>
        <w:t xml:space="preserve">une </w:t>
      </w:r>
      <w:r w:rsidRPr="00530EFB">
        <w:rPr>
          <w:rFonts w:eastAsia="Malgun Gothic"/>
          <w:lang w:val="fr-FR"/>
        </w:rPr>
        <w:t>analyse complète d</w:t>
      </w:r>
      <w:r w:rsidR="00B971DD">
        <w:rPr>
          <w:rFonts w:eastAsia="Malgun Gothic"/>
          <w:lang w:val="fr-FR"/>
        </w:rPr>
        <w:t>u premier cycle de rapports périodiques de</w:t>
      </w:r>
      <w:r w:rsidRPr="00530EFB">
        <w:rPr>
          <w:rFonts w:eastAsia="Malgun Gothic"/>
          <w:lang w:val="fr-FR"/>
        </w:rPr>
        <w:t xml:space="preserve"> l</w:t>
      </w:r>
      <w:r w:rsidR="00923E72">
        <w:rPr>
          <w:rFonts w:eastAsia="Malgun Gothic"/>
          <w:lang w:val="fr-FR"/>
        </w:rPr>
        <w:t>’</w:t>
      </w:r>
      <w:r w:rsidRPr="00530EFB">
        <w:rPr>
          <w:rFonts w:eastAsia="Malgun Gothic"/>
          <w:lang w:val="fr-FR"/>
        </w:rPr>
        <w:t>Amérique latine et des Caraïbes dans le document de travail</w:t>
      </w:r>
      <w:r w:rsidR="00683143">
        <w:rPr>
          <w:rFonts w:eastAsia="Malgun Gothic"/>
          <w:lang w:val="fr-FR"/>
        </w:rPr>
        <w:t> </w:t>
      </w:r>
      <w:hyperlink r:id="rId37" w:history="1">
        <w:bookmarkStart w:id="3" w:name="_Hlk150186132"/>
        <w:r w:rsidR="007D23D1" w:rsidRPr="007D23D1">
          <w:rPr>
            <w:rStyle w:val="Hyperlink"/>
            <w:rFonts w:eastAsia="Malgun Gothic"/>
            <w:lang w:val="fr-FR"/>
          </w:rPr>
          <w:t>LHE/22/17.COM/</w:t>
        </w:r>
        <w:bookmarkEnd w:id="3"/>
        <w:r w:rsidR="00B971DD" w:rsidRPr="007D23D1">
          <w:rPr>
            <w:rStyle w:val="Hyperlink"/>
            <w:bCs/>
            <w:lang w:val="fr-FR"/>
          </w:rPr>
          <w:t>INF.6.c Rev</w:t>
        </w:r>
      </w:hyperlink>
      <w:hyperlink r:id="rId38" w:history="1">
        <w:r w:rsidR="007D23D1" w:rsidRPr="007D23D1">
          <w:rPr>
            <w:rStyle w:val="Hyperlink"/>
            <w:rFonts w:eastAsia="Malgun Gothic"/>
            <w:lang w:val="fr-FR"/>
          </w:rPr>
          <w:t>.</w:t>
        </w:r>
      </w:hyperlink>
      <w:r w:rsidRPr="00530EFB">
        <w:rPr>
          <w:rFonts w:eastAsia="Malgun Gothic"/>
          <w:lang w:val="fr-FR"/>
        </w:rPr>
        <w:t xml:space="preserve">, disponible sur le </w:t>
      </w:r>
      <w:r w:rsidR="00B971DD">
        <w:rPr>
          <w:rFonts w:eastAsia="Malgun Gothic"/>
          <w:lang w:val="fr-FR"/>
        </w:rPr>
        <w:t xml:space="preserve">site web </w:t>
      </w:r>
      <w:r w:rsidRPr="00530EFB">
        <w:rPr>
          <w:rFonts w:eastAsia="Malgun Gothic"/>
          <w:lang w:val="fr-FR"/>
        </w:rPr>
        <w:t>de la Convention</w:t>
      </w:r>
      <w:r w:rsidR="00424E04">
        <w:rPr>
          <w:rStyle w:val="FootnoteReference"/>
          <w:rFonts w:eastAsia="Malgun Gothic"/>
          <w:lang w:val="fr-FR"/>
        </w:rPr>
        <w:footnoteReference w:id="4"/>
      </w:r>
      <w:r w:rsidRPr="00530EFB">
        <w:rPr>
          <w:rFonts w:eastAsia="Malgun Gothic"/>
          <w:lang w:val="fr-FR"/>
        </w:rPr>
        <w:t>.</w:t>
      </w:r>
    </w:p>
    <w:p w14:paraId="426A059C" w14:textId="109710BF" w:rsidR="009B226E" w:rsidRDefault="00ED537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ED5371">
        <w:rPr>
          <w:rFonts w:eastAsia="Malgun Gothic"/>
          <w:lang w:val="fr-FR"/>
        </w:rPr>
        <w:t xml:space="preserve">Le </w:t>
      </w:r>
      <w:r w:rsidRPr="00ED5371">
        <w:rPr>
          <w:rFonts w:eastAsia="Malgun Gothic"/>
          <w:b/>
          <w:bCs/>
          <w:lang w:val="fr-FR"/>
        </w:rPr>
        <w:t>Secrétaire</w:t>
      </w:r>
      <w:r w:rsidRPr="00ED5371">
        <w:rPr>
          <w:rFonts w:eastAsia="Malgun Gothic"/>
          <w:lang w:val="fr-FR"/>
        </w:rPr>
        <w:t xml:space="preserve"> a également </w:t>
      </w:r>
      <w:r>
        <w:rPr>
          <w:rFonts w:eastAsia="Malgun Gothic"/>
          <w:lang w:val="fr-FR"/>
        </w:rPr>
        <w:t xml:space="preserve">rendu compte de </w:t>
      </w:r>
      <w:r w:rsidRPr="00ED5371">
        <w:rPr>
          <w:rFonts w:eastAsia="Malgun Gothic"/>
          <w:lang w:val="fr-FR"/>
        </w:rPr>
        <w:t>la mise à jour des rapports périodiques dans trois régions</w:t>
      </w:r>
      <w:r w:rsidR="00683143">
        <w:rPr>
          <w:rFonts w:eastAsia="Malgun Gothic"/>
          <w:lang w:val="fr-FR"/>
        </w:rPr>
        <w:t> :</w:t>
      </w:r>
      <w:r w:rsidR="00221D63">
        <w:rPr>
          <w:rFonts w:eastAsia="Malgun Gothic"/>
          <w:lang w:val="fr-FR"/>
        </w:rPr>
        <w:t xml:space="preserve"> </w:t>
      </w:r>
      <w:r w:rsidRPr="00ED5371">
        <w:rPr>
          <w:rFonts w:eastAsia="Malgun Gothic"/>
          <w:lang w:val="fr-FR"/>
        </w:rPr>
        <w:t>Amérique latine et Caraïbes (premier rapport)</w:t>
      </w:r>
      <w:r w:rsidR="00683143">
        <w:rPr>
          <w:rFonts w:eastAsia="Malgun Gothic"/>
          <w:lang w:val="fr-FR"/>
        </w:rPr>
        <w:t> ;</w:t>
      </w:r>
      <w:r w:rsidRPr="00ED5371">
        <w:rPr>
          <w:rFonts w:eastAsia="Malgun Gothic"/>
          <w:lang w:val="fr-FR"/>
        </w:rPr>
        <w:t xml:space="preserve"> États arabes (soumission prévue en décembre</w:t>
      </w:r>
      <w:r w:rsidR="001A7AF7">
        <w:rPr>
          <w:rFonts w:eastAsia="Malgun Gothic"/>
          <w:lang w:val="fr-FR"/>
        </w:rPr>
        <w:t> </w:t>
      </w:r>
      <w:r w:rsidRPr="00ED5371">
        <w:rPr>
          <w:rFonts w:eastAsia="Malgun Gothic"/>
          <w:lang w:val="fr-FR"/>
        </w:rPr>
        <w:t>2022)</w:t>
      </w:r>
      <w:r w:rsidR="00683143">
        <w:rPr>
          <w:rFonts w:eastAsia="Malgun Gothic"/>
          <w:lang w:val="fr-FR"/>
        </w:rPr>
        <w:t xml:space="preserve"> ; </w:t>
      </w:r>
      <w:r w:rsidRPr="00ED5371">
        <w:rPr>
          <w:rFonts w:eastAsia="Malgun Gothic"/>
          <w:lang w:val="fr-FR"/>
        </w:rPr>
        <w:t xml:space="preserve">et Afrique (pour laquelle un renforcement des capacités </w:t>
      </w:r>
      <w:r>
        <w:rPr>
          <w:rFonts w:eastAsia="Malgun Gothic"/>
          <w:lang w:val="fr-FR"/>
        </w:rPr>
        <w:t>était</w:t>
      </w:r>
      <w:r w:rsidRPr="00ED5371">
        <w:rPr>
          <w:rFonts w:eastAsia="Malgun Gothic"/>
          <w:lang w:val="fr-FR"/>
        </w:rPr>
        <w:t xml:space="preserve"> en cours de préparation). Le Secrétariat recherch</w:t>
      </w:r>
      <w:r>
        <w:rPr>
          <w:rFonts w:eastAsia="Malgun Gothic"/>
          <w:lang w:val="fr-FR"/>
        </w:rPr>
        <w:t>ait</w:t>
      </w:r>
      <w:r w:rsidRPr="00ED5371">
        <w:rPr>
          <w:rFonts w:eastAsia="Malgun Gothic"/>
          <w:lang w:val="fr-FR"/>
        </w:rPr>
        <w:t xml:space="preserve"> activement des financements afin d</w:t>
      </w:r>
      <w:r w:rsidR="00923E72">
        <w:rPr>
          <w:rFonts w:eastAsia="Malgun Gothic"/>
          <w:lang w:val="fr-FR"/>
        </w:rPr>
        <w:t>’</w:t>
      </w:r>
      <w:r w:rsidRPr="00ED5371">
        <w:rPr>
          <w:rFonts w:eastAsia="Malgun Gothic"/>
          <w:lang w:val="fr-FR"/>
        </w:rPr>
        <w:t>accompagner la formation sur les rapports périodiques pour les points focaux africains en</w:t>
      </w:r>
      <w:r w:rsidR="00246428">
        <w:rPr>
          <w:rFonts w:eastAsia="Malgun Gothic"/>
          <w:lang w:val="fr-FR"/>
        </w:rPr>
        <w:t> </w:t>
      </w:r>
      <w:r w:rsidRPr="00ED5371">
        <w:rPr>
          <w:rFonts w:eastAsia="Malgun Gothic"/>
          <w:lang w:val="fr-FR"/>
        </w:rPr>
        <w:t>2023. L</w:t>
      </w:r>
      <w:r w:rsidR="00923E72">
        <w:rPr>
          <w:rFonts w:eastAsia="Malgun Gothic"/>
          <w:lang w:val="fr-FR"/>
        </w:rPr>
        <w:t>’</w:t>
      </w:r>
      <w:r w:rsidRPr="00ED5371">
        <w:rPr>
          <w:rFonts w:eastAsia="Malgun Gothic"/>
          <w:lang w:val="fr-FR"/>
        </w:rPr>
        <w:t xml:space="preserve">Europe </w:t>
      </w:r>
      <w:r w:rsidR="00424E04">
        <w:rPr>
          <w:rFonts w:eastAsia="Malgun Gothic"/>
          <w:lang w:val="fr-FR"/>
        </w:rPr>
        <w:t>était</w:t>
      </w:r>
      <w:r w:rsidRPr="00ED5371">
        <w:rPr>
          <w:rFonts w:eastAsia="Malgun Gothic"/>
          <w:lang w:val="fr-FR"/>
        </w:rPr>
        <w:t xml:space="preserve"> la deuxième région à soumettre des rapports périodiques pour ce cycle et </w:t>
      </w:r>
      <w:r w:rsidR="00424E04">
        <w:rPr>
          <w:rFonts w:eastAsia="Malgun Gothic"/>
          <w:lang w:val="fr-FR"/>
        </w:rPr>
        <w:t>avait</w:t>
      </w:r>
      <w:r w:rsidRPr="00ED5371">
        <w:rPr>
          <w:rFonts w:eastAsia="Malgun Gothic"/>
          <w:lang w:val="fr-FR"/>
        </w:rPr>
        <w:t xml:space="preserve"> un taux très élevé </w:t>
      </w:r>
      <w:r w:rsidR="00424E04">
        <w:rPr>
          <w:rFonts w:eastAsia="Malgun Gothic"/>
          <w:lang w:val="fr-FR"/>
        </w:rPr>
        <w:t>de</w:t>
      </w:r>
      <w:r w:rsidRPr="00ED5371">
        <w:rPr>
          <w:rFonts w:eastAsia="Malgun Gothic"/>
          <w:lang w:val="fr-FR"/>
        </w:rPr>
        <w:t xml:space="preserve"> soumission, suivant les mêmes résultats encourageants du cycle précédent avec l</w:t>
      </w:r>
      <w:r w:rsidR="00923E72">
        <w:rPr>
          <w:rFonts w:eastAsia="Malgun Gothic"/>
          <w:lang w:val="fr-FR"/>
        </w:rPr>
        <w:t>’</w:t>
      </w:r>
      <w:r w:rsidRPr="00ED5371">
        <w:rPr>
          <w:rFonts w:eastAsia="Malgun Gothic"/>
          <w:lang w:val="fr-FR"/>
        </w:rPr>
        <w:t>Amérique latine et les Caraïbes. Il a été noté que les réformes entreprises il y a quelques années pour les rapports périodiques étaient prometteuses, avec des taux de soumission de l</w:t>
      </w:r>
      <w:r w:rsidR="00923E72">
        <w:rPr>
          <w:rFonts w:eastAsia="Malgun Gothic"/>
          <w:lang w:val="fr-FR"/>
        </w:rPr>
        <w:t>’</w:t>
      </w:r>
      <w:r w:rsidRPr="00ED5371">
        <w:rPr>
          <w:rFonts w:eastAsia="Malgun Gothic"/>
          <w:lang w:val="fr-FR"/>
        </w:rPr>
        <w:t>ordre de</w:t>
      </w:r>
      <w:r w:rsidR="009A34A8">
        <w:rPr>
          <w:rFonts w:eastAsia="Malgun Gothic"/>
          <w:lang w:val="fr-FR"/>
        </w:rPr>
        <w:t> </w:t>
      </w:r>
      <w:r w:rsidRPr="00ED5371">
        <w:rPr>
          <w:rFonts w:eastAsia="Malgun Gothic"/>
          <w:lang w:val="fr-FR"/>
        </w:rPr>
        <w:t>85</w:t>
      </w:r>
      <w:r w:rsidR="00424E04">
        <w:rPr>
          <w:rFonts w:eastAsia="Malgun Gothic"/>
          <w:lang w:val="fr-FR"/>
        </w:rPr>
        <w:t xml:space="preserve"> à</w:t>
      </w:r>
      <w:r w:rsidR="009A34A8">
        <w:rPr>
          <w:rFonts w:eastAsia="Malgun Gothic"/>
          <w:lang w:val="fr-FR"/>
        </w:rPr>
        <w:t> </w:t>
      </w:r>
      <w:r w:rsidRPr="00ED5371">
        <w:rPr>
          <w:rFonts w:eastAsia="Malgun Gothic"/>
          <w:lang w:val="fr-FR"/>
        </w:rPr>
        <w:t>94</w:t>
      </w:r>
      <w:r w:rsidR="00424E04">
        <w:rPr>
          <w:rFonts w:eastAsia="Malgun Gothic"/>
          <w:lang w:val="fr-FR"/>
        </w:rPr>
        <w:t> </w:t>
      </w:r>
      <w:r w:rsidRPr="00ED5371">
        <w:rPr>
          <w:rFonts w:eastAsia="Malgun Gothic"/>
          <w:lang w:val="fr-FR"/>
        </w:rPr>
        <w:t xml:space="preserve">%, une augmentation </w:t>
      </w:r>
      <w:r w:rsidR="00424E04">
        <w:rPr>
          <w:rFonts w:eastAsia="Malgun Gothic"/>
          <w:lang w:val="fr-FR"/>
        </w:rPr>
        <w:t xml:space="preserve">conséquente </w:t>
      </w:r>
      <w:r w:rsidRPr="00ED5371">
        <w:rPr>
          <w:rFonts w:eastAsia="Malgun Gothic"/>
          <w:lang w:val="fr-FR"/>
        </w:rPr>
        <w:t>par rapport aux années précédentes. Le Secrétariat a</w:t>
      </w:r>
      <w:r w:rsidR="00424E04">
        <w:rPr>
          <w:rFonts w:eastAsia="Malgun Gothic"/>
          <w:lang w:val="fr-FR"/>
        </w:rPr>
        <w:t>vait</w:t>
      </w:r>
      <w:r w:rsidRPr="00ED5371">
        <w:rPr>
          <w:rFonts w:eastAsia="Malgun Gothic"/>
          <w:lang w:val="fr-FR"/>
        </w:rPr>
        <w:t xml:space="preserve"> procédé à un examen analytique des </w:t>
      </w:r>
      <w:r w:rsidR="0055084C">
        <w:rPr>
          <w:rFonts w:eastAsia="Malgun Gothic"/>
          <w:lang w:val="fr-FR"/>
        </w:rPr>
        <w:t>quarante</w:t>
      </w:r>
      <w:r w:rsidR="0055084C">
        <w:rPr>
          <w:rFonts w:eastAsia="Malgun Gothic"/>
          <w:lang w:val="fr-FR"/>
        </w:rPr>
        <w:noBreakHyphen/>
        <w:t>deux</w:t>
      </w:r>
      <w:r w:rsidRPr="00ED5371">
        <w:rPr>
          <w:rFonts w:eastAsia="Malgun Gothic"/>
          <w:lang w:val="fr-FR"/>
        </w:rPr>
        <w:t xml:space="preserve"> rapports soumis en décembre</w:t>
      </w:r>
      <w:r w:rsidR="001A7AF7">
        <w:rPr>
          <w:rFonts w:eastAsia="Malgun Gothic"/>
          <w:lang w:val="fr-FR"/>
        </w:rPr>
        <w:t> </w:t>
      </w:r>
      <w:r w:rsidRPr="00ED5371">
        <w:rPr>
          <w:rFonts w:eastAsia="Malgun Gothic"/>
          <w:lang w:val="fr-FR"/>
        </w:rPr>
        <w:t xml:space="preserve">2021 par les États des </w:t>
      </w:r>
      <w:r w:rsidR="0055084C">
        <w:rPr>
          <w:rFonts w:eastAsia="Malgun Gothic"/>
          <w:lang w:val="fr-FR"/>
        </w:rPr>
        <w:t>G</w:t>
      </w:r>
      <w:r w:rsidRPr="00ED5371">
        <w:rPr>
          <w:rFonts w:eastAsia="Malgun Gothic"/>
          <w:lang w:val="fr-FR"/>
        </w:rPr>
        <w:t>roupes électoraux</w:t>
      </w:r>
      <w:r w:rsidR="00683143">
        <w:rPr>
          <w:rFonts w:eastAsia="Malgun Gothic"/>
          <w:lang w:val="fr-FR"/>
        </w:rPr>
        <w:t> </w:t>
      </w:r>
      <w:r w:rsidRPr="00ED5371">
        <w:rPr>
          <w:rFonts w:eastAsia="Malgun Gothic"/>
          <w:lang w:val="fr-FR"/>
        </w:rPr>
        <w:t>I et</w:t>
      </w:r>
      <w:r w:rsidR="00683143">
        <w:rPr>
          <w:rFonts w:eastAsia="Malgun Gothic"/>
          <w:lang w:val="fr-FR"/>
        </w:rPr>
        <w:t> </w:t>
      </w:r>
      <w:r w:rsidRPr="00ED5371">
        <w:rPr>
          <w:rFonts w:eastAsia="Malgun Gothic"/>
          <w:lang w:val="fr-FR"/>
        </w:rPr>
        <w:t xml:space="preserve">II, présenté </w:t>
      </w:r>
      <w:r w:rsidR="0055084C">
        <w:rPr>
          <w:rFonts w:eastAsia="Malgun Gothic"/>
          <w:lang w:val="fr-FR"/>
        </w:rPr>
        <w:t>au titre du</w:t>
      </w:r>
      <w:r w:rsidRPr="00ED5371">
        <w:rPr>
          <w:rFonts w:eastAsia="Malgun Gothic"/>
          <w:lang w:val="fr-FR"/>
        </w:rPr>
        <w:t xml:space="preserve"> point</w:t>
      </w:r>
      <w:r w:rsidR="002B668C">
        <w:rPr>
          <w:rFonts w:eastAsia="Malgun Gothic"/>
          <w:lang w:val="fr-FR"/>
        </w:rPr>
        <w:t> </w:t>
      </w:r>
      <w:r w:rsidRPr="00ED5371">
        <w:rPr>
          <w:rFonts w:eastAsia="Malgun Gothic"/>
          <w:lang w:val="fr-FR"/>
        </w:rPr>
        <w:t>6.b de l</w:t>
      </w:r>
      <w:r w:rsidR="00923E72">
        <w:rPr>
          <w:rFonts w:eastAsia="Malgun Gothic"/>
          <w:lang w:val="fr-FR"/>
        </w:rPr>
        <w:t>’</w:t>
      </w:r>
      <w:r w:rsidRPr="00ED5371">
        <w:rPr>
          <w:rFonts w:eastAsia="Malgun Gothic"/>
          <w:lang w:val="fr-FR"/>
        </w:rPr>
        <w:t xml:space="preserve">ordre du jour. </w:t>
      </w:r>
      <w:r w:rsidR="0055084C">
        <w:rPr>
          <w:rFonts w:eastAsia="Malgun Gothic"/>
          <w:lang w:val="fr-FR"/>
        </w:rPr>
        <w:t xml:space="preserve">Cela était </w:t>
      </w:r>
      <w:r w:rsidR="0055084C" w:rsidRPr="0055084C">
        <w:rPr>
          <w:rFonts w:eastAsia="Malgun Gothic"/>
          <w:color w:val="000000" w:themeColor="text1"/>
          <w:lang w:val="fr-FR"/>
        </w:rPr>
        <w:t>également</w:t>
      </w:r>
      <w:r w:rsidR="0055084C">
        <w:rPr>
          <w:rFonts w:eastAsia="Malgun Gothic"/>
          <w:color w:val="000000" w:themeColor="text1"/>
          <w:lang w:val="fr-FR"/>
        </w:rPr>
        <w:t xml:space="preserve"> lié à </w:t>
      </w:r>
      <w:r w:rsidR="00B971DD">
        <w:rPr>
          <w:rFonts w:eastAsia="Malgun Gothic"/>
          <w:color w:val="000000" w:themeColor="text1"/>
          <w:lang w:val="fr-FR"/>
        </w:rPr>
        <w:t xml:space="preserve">la récente </w:t>
      </w:r>
      <w:r w:rsidR="0055084C">
        <w:rPr>
          <w:rFonts w:eastAsia="Malgun Gothic"/>
          <w:color w:val="000000" w:themeColor="text1"/>
          <w:lang w:val="fr-FR"/>
        </w:rPr>
        <w:t>Conférence mondiale de l</w:t>
      </w:r>
      <w:r w:rsidR="00923E72">
        <w:rPr>
          <w:rFonts w:eastAsia="Malgun Gothic"/>
          <w:color w:val="000000" w:themeColor="text1"/>
          <w:lang w:val="fr-FR"/>
        </w:rPr>
        <w:t>’</w:t>
      </w:r>
      <w:r w:rsidR="0055084C" w:rsidRPr="0055084C">
        <w:rPr>
          <w:rFonts w:eastAsia="Malgun Gothic"/>
          <w:color w:val="000000" w:themeColor="text1"/>
          <w:lang w:val="fr-FR"/>
        </w:rPr>
        <w:t>UNESCO</w:t>
      </w:r>
      <w:r w:rsidR="0055084C">
        <w:rPr>
          <w:rFonts w:eastAsia="Malgun Gothic"/>
          <w:color w:val="000000" w:themeColor="text1"/>
          <w:lang w:val="fr-FR"/>
        </w:rPr>
        <w:t xml:space="preserve"> sur les politiques culturelles et le développement durable (MONDIACULT). </w:t>
      </w:r>
      <w:r w:rsidRPr="00ED5371">
        <w:rPr>
          <w:rFonts w:eastAsia="Malgun Gothic"/>
          <w:lang w:val="fr-FR"/>
        </w:rPr>
        <w:t xml:space="preserve">La </w:t>
      </w:r>
      <w:r w:rsidRPr="00626D73">
        <w:rPr>
          <w:rFonts w:eastAsia="Malgun Gothic"/>
          <w:lang w:val="fr-FR"/>
        </w:rPr>
        <w:t>Déclaration finale</w:t>
      </w:r>
      <w:r w:rsidRPr="00ED5371">
        <w:rPr>
          <w:rFonts w:eastAsia="Malgun Gothic"/>
          <w:lang w:val="fr-FR"/>
        </w:rPr>
        <w:t xml:space="preserve"> appel</w:t>
      </w:r>
      <w:r w:rsidR="0055084C">
        <w:rPr>
          <w:rFonts w:eastAsia="Malgun Gothic"/>
          <w:lang w:val="fr-FR"/>
        </w:rPr>
        <w:t>ait</w:t>
      </w:r>
      <w:r w:rsidRPr="00ED5371">
        <w:rPr>
          <w:rFonts w:eastAsia="Malgun Gothic"/>
          <w:lang w:val="fr-FR"/>
        </w:rPr>
        <w:t xml:space="preserve"> l</w:t>
      </w:r>
      <w:r w:rsidR="00923E72">
        <w:rPr>
          <w:rFonts w:eastAsia="Malgun Gothic"/>
          <w:lang w:val="fr-FR"/>
        </w:rPr>
        <w:t>’</w:t>
      </w:r>
      <w:r w:rsidRPr="00ED5371">
        <w:rPr>
          <w:rFonts w:eastAsia="Malgun Gothic"/>
          <w:lang w:val="fr-FR"/>
        </w:rPr>
        <w:t xml:space="preserve">UNESCO à produire un </w:t>
      </w:r>
      <w:r w:rsidR="0055084C">
        <w:rPr>
          <w:rFonts w:eastAsia="Malgun Gothic"/>
          <w:lang w:val="fr-FR"/>
        </w:rPr>
        <w:t>R</w:t>
      </w:r>
      <w:r w:rsidRPr="00ED5371">
        <w:rPr>
          <w:rFonts w:eastAsia="Malgun Gothic"/>
          <w:lang w:val="fr-FR"/>
        </w:rPr>
        <w:t xml:space="preserve">apport global </w:t>
      </w:r>
      <w:r w:rsidR="0055084C">
        <w:rPr>
          <w:rFonts w:eastAsia="Malgun Gothic"/>
          <w:lang w:val="fr-FR"/>
        </w:rPr>
        <w:t xml:space="preserve">complet </w:t>
      </w:r>
      <w:r w:rsidRPr="00ED5371">
        <w:rPr>
          <w:rFonts w:eastAsia="Malgun Gothic"/>
          <w:lang w:val="fr-FR"/>
        </w:rPr>
        <w:t>sur les politiques culturelles</w:t>
      </w:r>
      <w:r w:rsidR="0055084C">
        <w:rPr>
          <w:rFonts w:eastAsia="Malgun Gothic"/>
          <w:lang w:val="fr-FR"/>
        </w:rPr>
        <w:t>,</w:t>
      </w:r>
      <w:r w:rsidRPr="00ED5371">
        <w:rPr>
          <w:rFonts w:eastAsia="Malgun Gothic"/>
          <w:lang w:val="fr-FR"/>
        </w:rPr>
        <w:t xml:space="preserve"> sur une base quadriennale, qui sera</w:t>
      </w:r>
      <w:r w:rsidR="0055084C">
        <w:rPr>
          <w:rFonts w:eastAsia="Malgun Gothic"/>
          <w:lang w:val="fr-FR"/>
        </w:rPr>
        <w:t>it</w:t>
      </w:r>
      <w:r w:rsidRPr="00ED5371">
        <w:rPr>
          <w:rFonts w:eastAsia="Malgun Gothic"/>
          <w:lang w:val="fr-FR"/>
        </w:rPr>
        <w:t xml:space="preserve"> établi à partir des données et des indicateurs fournis par les États membres à travers les rapports périodiques de tous les instruments normatifs de l</w:t>
      </w:r>
      <w:r w:rsidR="00923E72">
        <w:rPr>
          <w:rFonts w:eastAsia="Malgun Gothic"/>
          <w:lang w:val="fr-FR"/>
        </w:rPr>
        <w:t>’</w:t>
      </w:r>
      <w:r w:rsidRPr="00ED5371">
        <w:rPr>
          <w:rFonts w:eastAsia="Malgun Gothic"/>
          <w:lang w:val="fr-FR"/>
        </w:rPr>
        <w:t>UNESCO dans le domaine de la culture. Alors que la Convention finalis</w:t>
      </w:r>
      <w:r w:rsidR="0055084C">
        <w:rPr>
          <w:rFonts w:eastAsia="Malgun Gothic"/>
          <w:lang w:val="fr-FR"/>
        </w:rPr>
        <w:t>ait</w:t>
      </w:r>
      <w:r w:rsidRPr="00ED5371">
        <w:rPr>
          <w:rFonts w:eastAsia="Malgun Gothic"/>
          <w:lang w:val="fr-FR"/>
        </w:rPr>
        <w:t xml:space="preserve"> la mise en œuvre du premier cycle de rapport</w:t>
      </w:r>
      <w:r w:rsidR="0055084C">
        <w:rPr>
          <w:rFonts w:eastAsia="Malgun Gothic"/>
          <w:lang w:val="fr-FR"/>
        </w:rPr>
        <w:t>s</w:t>
      </w:r>
      <w:r w:rsidRPr="00ED5371">
        <w:rPr>
          <w:rFonts w:eastAsia="Malgun Gothic"/>
          <w:lang w:val="fr-FR"/>
        </w:rPr>
        <w:t xml:space="preserve"> réformé dans toutes les régions, il </w:t>
      </w:r>
      <w:r w:rsidR="00B971DD">
        <w:rPr>
          <w:rFonts w:eastAsia="Malgun Gothic"/>
          <w:lang w:val="fr-FR"/>
        </w:rPr>
        <w:t xml:space="preserve">était </w:t>
      </w:r>
      <w:r w:rsidRPr="00ED5371">
        <w:rPr>
          <w:rFonts w:eastAsia="Malgun Gothic"/>
          <w:lang w:val="fr-FR"/>
        </w:rPr>
        <w:t>important de commencer à réfléchir à la meilleure façon de le faire évoluer afin qu</w:t>
      </w:r>
      <w:r w:rsidR="00923E72">
        <w:rPr>
          <w:rFonts w:eastAsia="Malgun Gothic"/>
          <w:lang w:val="fr-FR"/>
        </w:rPr>
        <w:t>’</w:t>
      </w:r>
      <w:r w:rsidRPr="00ED5371">
        <w:rPr>
          <w:rFonts w:eastAsia="Malgun Gothic"/>
          <w:lang w:val="fr-FR"/>
        </w:rPr>
        <w:t xml:space="preserve">il puisse alimenter correctement les rapports </w:t>
      </w:r>
      <w:r w:rsidR="0055084C">
        <w:rPr>
          <w:rFonts w:eastAsia="Malgun Gothic"/>
          <w:lang w:val="fr-FR"/>
        </w:rPr>
        <w:t xml:space="preserve">globaux </w:t>
      </w:r>
      <w:r w:rsidRPr="00ED5371">
        <w:rPr>
          <w:rFonts w:eastAsia="Malgun Gothic"/>
          <w:lang w:val="fr-FR"/>
        </w:rPr>
        <w:t>sur les politiques culturelles d</w:t>
      </w:r>
      <w:r w:rsidR="00923E72">
        <w:rPr>
          <w:rFonts w:eastAsia="Malgun Gothic"/>
          <w:lang w:val="fr-FR"/>
        </w:rPr>
        <w:t>’</w:t>
      </w:r>
      <w:r w:rsidRPr="00ED5371">
        <w:rPr>
          <w:rFonts w:eastAsia="Malgun Gothic"/>
          <w:lang w:val="fr-FR"/>
        </w:rPr>
        <w:t>une manière rationalisée</w:t>
      </w:r>
      <w:r w:rsidR="00626D73">
        <w:rPr>
          <w:rFonts w:eastAsia="Malgun Gothic"/>
          <w:lang w:val="fr-FR"/>
        </w:rPr>
        <w:t>,</w:t>
      </w:r>
      <w:r w:rsidRPr="00ED5371">
        <w:rPr>
          <w:rFonts w:eastAsia="Malgun Gothic"/>
          <w:lang w:val="fr-FR"/>
        </w:rPr>
        <w:t xml:space="preserve"> et ainsi contribuer efficacement au </w:t>
      </w:r>
      <w:r w:rsidR="0055084C">
        <w:rPr>
          <w:rFonts w:eastAsia="Malgun Gothic"/>
          <w:lang w:val="fr-FR"/>
        </w:rPr>
        <w:t>R</w:t>
      </w:r>
      <w:r w:rsidRPr="00ED5371">
        <w:rPr>
          <w:rFonts w:eastAsia="Malgun Gothic"/>
          <w:lang w:val="fr-FR"/>
        </w:rPr>
        <w:t>apport global quadriennal.</w:t>
      </w:r>
    </w:p>
    <w:p w14:paraId="414C3D34" w14:textId="7B06A4EA" w:rsidR="00424E04" w:rsidRDefault="00626D73"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26D73">
        <w:rPr>
          <w:rFonts w:eastAsia="Malgun Gothic"/>
          <w:lang w:val="fr-FR"/>
        </w:rPr>
        <w:t xml:space="preserve">Le </w:t>
      </w:r>
      <w:r w:rsidRPr="00626D73">
        <w:rPr>
          <w:rFonts w:eastAsia="Malgun Gothic"/>
          <w:b/>
          <w:bCs/>
          <w:lang w:val="fr-FR"/>
        </w:rPr>
        <w:t>Secrétaire</w:t>
      </w:r>
      <w:r w:rsidRPr="00626D73">
        <w:rPr>
          <w:rFonts w:eastAsia="Malgun Gothic"/>
          <w:lang w:val="fr-FR"/>
        </w:rPr>
        <w:t xml:space="preserve"> a présenté certaines des activités récentes </w:t>
      </w:r>
      <w:r w:rsidR="007E1A17">
        <w:rPr>
          <w:rFonts w:eastAsia="Malgun Gothic"/>
          <w:lang w:val="fr-FR"/>
        </w:rPr>
        <w:t xml:space="preserve">entreprises </w:t>
      </w:r>
      <w:r w:rsidRPr="00626D73">
        <w:rPr>
          <w:rFonts w:eastAsia="Malgun Gothic"/>
          <w:lang w:val="fr-FR"/>
        </w:rPr>
        <w:t xml:space="preserve">dans le </w:t>
      </w:r>
      <w:r w:rsidR="007E1A17">
        <w:rPr>
          <w:rFonts w:eastAsia="Malgun Gothic"/>
          <w:lang w:val="fr-FR"/>
        </w:rPr>
        <w:t xml:space="preserve">cadre </w:t>
      </w:r>
      <w:r w:rsidRPr="00626D73">
        <w:rPr>
          <w:rFonts w:eastAsia="Malgun Gothic"/>
          <w:lang w:val="fr-FR"/>
        </w:rPr>
        <w:t>de trois initiatives thématiques (</w:t>
      </w:r>
      <w:r w:rsidR="009E6816">
        <w:rPr>
          <w:rFonts w:eastAsia="Malgun Gothic"/>
          <w:lang w:val="fr-FR"/>
        </w:rPr>
        <w:t>au titre du</w:t>
      </w:r>
      <w:r w:rsidRPr="00626D73">
        <w:rPr>
          <w:rFonts w:eastAsia="Malgun Gothic"/>
          <w:lang w:val="fr-FR"/>
        </w:rPr>
        <w:t xml:space="preserve"> point</w:t>
      </w:r>
      <w:r w:rsidR="00FC0471">
        <w:rPr>
          <w:rFonts w:eastAsia="Malgun Gothic"/>
          <w:lang w:val="fr-FR"/>
        </w:rPr>
        <w:t> </w:t>
      </w:r>
      <w:r w:rsidRPr="00626D73">
        <w:rPr>
          <w:rFonts w:eastAsia="Malgun Gothic"/>
          <w:lang w:val="fr-FR"/>
        </w:rPr>
        <w:t>13 de l</w:t>
      </w:r>
      <w:r w:rsidR="00923E72">
        <w:rPr>
          <w:rFonts w:eastAsia="Malgun Gothic"/>
          <w:lang w:val="fr-FR"/>
        </w:rPr>
        <w:t>’</w:t>
      </w:r>
      <w:r w:rsidRPr="00626D73">
        <w:rPr>
          <w:rFonts w:eastAsia="Malgun Gothic"/>
          <w:lang w:val="fr-FR"/>
        </w:rPr>
        <w:t>ordre du jour)</w:t>
      </w:r>
      <w:r w:rsidR="007E1A17">
        <w:rPr>
          <w:rFonts w:eastAsia="Malgun Gothic"/>
          <w:lang w:val="fr-FR"/>
        </w:rPr>
        <w:t>,</w:t>
      </w:r>
      <w:r w:rsidRPr="00626D73">
        <w:rPr>
          <w:rFonts w:eastAsia="Malgun Gothic"/>
          <w:lang w:val="fr-FR"/>
        </w:rPr>
        <w:t xml:space="preserve"> qui impliquer</w:t>
      </w:r>
      <w:r w:rsidR="009E6816">
        <w:rPr>
          <w:rFonts w:eastAsia="Malgun Gothic"/>
          <w:lang w:val="fr-FR"/>
        </w:rPr>
        <w:t>aie</w:t>
      </w:r>
      <w:r w:rsidRPr="00626D73">
        <w:rPr>
          <w:rFonts w:eastAsia="Malgun Gothic"/>
          <w:lang w:val="fr-FR"/>
        </w:rPr>
        <w:t>nt le lancement d</w:t>
      </w:r>
      <w:r w:rsidR="00923E72">
        <w:rPr>
          <w:rFonts w:eastAsia="Malgun Gothic"/>
          <w:lang w:val="fr-FR"/>
        </w:rPr>
        <w:t>’</w:t>
      </w:r>
      <w:r w:rsidRPr="00626D73">
        <w:rPr>
          <w:rFonts w:eastAsia="Malgun Gothic"/>
          <w:lang w:val="fr-FR"/>
        </w:rPr>
        <w:t xml:space="preserve">enquêtes et </w:t>
      </w:r>
      <w:r w:rsidR="009E6816">
        <w:rPr>
          <w:rFonts w:eastAsia="Malgun Gothic"/>
          <w:lang w:val="fr-FR"/>
        </w:rPr>
        <w:t>un</w:t>
      </w:r>
      <w:r w:rsidRPr="00626D73">
        <w:rPr>
          <w:rFonts w:eastAsia="Malgun Gothic"/>
          <w:lang w:val="fr-FR"/>
        </w:rPr>
        <w:t xml:space="preserve"> travail </w:t>
      </w:r>
      <w:r w:rsidR="009E6816">
        <w:rPr>
          <w:rFonts w:eastAsia="Malgun Gothic"/>
          <w:lang w:val="fr-FR"/>
        </w:rPr>
        <w:t xml:space="preserve">en </w:t>
      </w:r>
      <w:r w:rsidR="009E6816" w:rsidRPr="009E6816">
        <w:rPr>
          <w:rFonts w:eastAsia="Malgun Gothic"/>
          <w:lang w:val="fr-FR"/>
        </w:rPr>
        <w:t>collaboration</w:t>
      </w:r>
      <w:r w:rsidR="009E6816">
        <w:rPr>
          <w:rFonts w:eastAsia="Malgun Gothic"/>
          <w:lang w:val="fr-FR"/>
        </w:rPr>
        <w:t xml:space="preserve"> </w:t>
      </w:r>
      <w:r w:rsidRPr="00626D73">
        <w:rPr>
          <w:rFonts w:eastAsia="Malgun Gothic"/>
          <w:lang w:val="fr-FR"/>
        </w:rPr>
        <w:t xml:space="preserve">avec des experts pour développer </w:t>
      </w:r>
      <w:r w:rsidR="009E6816">
        <w:rPr>
          <w:rFonts w:eastAsia="Malgun Gothic"/>
          <w:lang w:val="fr-FR"/>
        </w:rPr>
        <w:t>notamment</w:t>
      </w:r>
      <w:r w:rsidR="00B971DD">
        <w:rPr>
          <w:rFonts w:eastAsia="Malgun Gothic"/>
          <w:lang w:val="fr-FR"/>
        </w:rPr>
        <w:t xml:space="preserve"> les domaines suivants</w:t>
      </w:r>
      <w:r w:rsidR="007E1A17">
        <w:rPr>
          <w:rFonts w:eastAsia="Malgun Gothic"/>
          <w:lang w:val="fr-FR"/>
        </w:rPr>
        <w:t> </w:t>
      </w:r>
      <w:r w:rsidRPr="00626D73">
        <w:rPr>
          <w:rFonts w:eastAsia="Malgun Gothic"/>
          <w:lang w:val="fr-FR"/>
        </w:rPr>
        <w:t>: i)</w:t>
      </w:r>
      <w:r w:rsidR="007E1A17">
        <w:rPr>
          <w:rFonts w:eastAsia="Malgun Gothic"/>
          <w:lang w:val="fr-FR"/>
        </w:rPr>
        <w:t> </w:t>
      </w:r>
      <w:r w:rsidRPr="00626D73">
        <w:rPr>
          <w:rFonts w:eastAsia="Malgun Gothic"/>
          <w:lang w:val="fr-FR"/>
        </w:rPr>
        <w:t>la sauvegarde du patrimoine vivant et le changement climatique</w:t>
      </w:r>
      <w:r w:rsidR="007E1A17">
        <w:rPr>
          <w:rFonts w:eastAsia="Malgun Gothic"/>
          <w:lang w:val="fr-FR"/>
        </w:rPr>
        <w:t> </w:t>
      </w:r>
      <w:r w:rsidRPr="00626D73">
        <w:rPr>
          <w:rFonts w:eastAsia="Malgun Gothic"/>
          <w:lang w:val="fr-FR"/>
        </w:rPr>
        <w:t>; ii)</w:t>
      </w:r>
      <w:r w:rsidR="007E1A17">
        <w:rPr>
          <w:rFonts w:eastAsia="Malgun Gothic"/>
          <w:lang w:val="fr-FR"/>
        </w:rPr>
        <w:t> </w:t>
      </w:r>
      <w:r w:rsidRPr="00626D73">
        <w:rPr>
          <w:rFonts w:eastAsia="Malgun Gothic"/>
          <w:lang w:val="fr-FR"/>
        </w:rPr>
        <w:t>les dimensions économiques de la sauvegarde du patrimoine vivant</w:t>
      </w:r>
      <w:r w:rsidR="007E1A17">
        <w:rPr>
          <w:rFonts w:eastAsia="Malgun Gothic"/>
          <w:lang w:val="fr-FR"/>
        </w:rPr>
        <w:t> </w:t>
      </w:r>
      <w:r w:rsidRPr="00626D73">
        <w:rPr>
          <w:rFonts w:eastAsia="Malgun Gothic"/>
          <w:lang w:val="fr-FR"/>
        </w:rPr>
        <w:t>; et iii)</w:t>
      </w:r>
      <w:r w:rsidR="007E1A17">
        <w:rPr>
          <w:rFonts w:eastAsia="Malgun Gothic"/>
          <w:lang w:val="fr-FR"/>
        </w:rPr>
        <w:t> </w:t>
      </w:r>
      <w:r w:rsidRPr="00626D73">
        <w:rPr>
          <w:rFonts w:eastAsia="Malgun Gothic"/>
          <w:lang w:val="fr-FR"/>
        </w:rPr>
        <w:t xml:space="preserve">la sauvegarde du patrimoine vivant dans les contextes urbains. Le Secrétariat </w:t>
      </w:r>
      <w:r w:rsidR="007E1A17">
        <w:rPr>
          <w:rFonts w:eastAsia="Malgun Gothic"/>
          <w:lang w:val="fr-FR"/>
        </w:rPr>
        <w:t xml:space="preserve">poursuivrait son travail </w:t>
      </w:r>
      <w:r w:rsidRPr="00626D73">
        <w:rPr>
          <w:rFonts w:eastAsia="Malgun Gothic"/>
          <w:lang w:val="fr-FR"/>
        </w:rPr>
        <w:t>sur le patrimoine culturel immatériel dans les situations d</w:t>
      </w:r>
      <w:r w:rsidR="00923E72">
        <w:rPr>
          <w:rFonts w:eastAsia="Malgun Gothic"/>
          <w:lang w:val="fr-FR"/>
        </w:rPr>
        <w:t>’</w:t>
      </w:r>
      <w:r w:rsidRPr="00626D73">
        <w:rPr>
          <w:rFonts w:eastAsia="Malgun Gothic"/>
          <w:lang w:val="fr-FR"/>
        </w:rPr>
        <w:t>urgence. Un important projet financé par le Japon a</w:t>
      </w:r>
      <w:r w:rsidR="009E6816">
        <w:rPr>
          <w:rFonts w:eastAsia="Malgun Gothic"/>
          <w:lang w:val="fr-FR"/>
        </w:rPr>
        <w:t>vait</w:t>
      </w:r>
      <w:r w:rsidRPr="00626D73">
        <w:rPr>
          <w:rFonts w:eastAsia="Malgun Gothic"/>
          <w:lang w:val="fr-FR"/>
        </w:rPr>
        <w:t xml:space="preserve"> été lancé dans les petits États insulaires en développement (PEID) du Pacifique et des Caraïbes. En outre, en réponse à la guerre en cours en Ukraine, le Secrétariat </w:t>
      </w:r>
      <w:r w:rsidR="00B971DD">
        <w:rPr>
          <w:rFonts w:eastAsia="Malgun Gothic"/>
          <w:lang w:val="fr-FR"/>
        </w:rPr>
        <w:t xml:space="preserve">avait </w:t>
      </w:r>
      <w:r w:rsidR="007E1A17">
        <w:rPr>
          <w:rFonts w:eastAsia="Malgun Gothic"/>
          <w:lang w:val="fr-FR"/>
        </w:rPr>
        <w:t>déploy</w:t>
      </w:r>
      <w:r w:rsidR="00B971DD">
        <w:rPr>
          <w:rFonts w:eastAsia="Malgun Gothic"/>
          <w:lang w:val="fr-FR"/>
        </w:rPr>
        <w:t>é</w:t>
      </w:r>
      <w:r w:rsidR="007E1A17">
        <w:rPr>
          <w:rFonts w:eastAsia="Malgun Gothic"/>
          <w:lang w:val="fr-FR"/>
        </w:rPr>
        <w:t xml:space="preserve"> des</w:t>
      </w:r>
      <w:r w:rsidRPr="00626D73">
        <w:rPr>
          <w:rFonts w:eastAsia="Malgun Gothic"/>
          <w:lang w:val="fr-FR"/>
        </w:rPr>
        <w:t xml:space="preserve"> effort</w:t>
      </w:r>
      <w:r w:rsidR="007E1A17">
        <w:rPr>
          <w:rFonts w:eastAsia="Malgun Gothic"/>
          <w:lang w:val="fr-FR"/>
        </w:rPr>
        <w:t>s</w:t>
      </w:r>
      <w:r w:rsidRPr="00626D73">
        <w:rPr>
          <w:rFonts w:eastAsia="Malgun Gothic"/>
          <w:lang w:val="fr-FR"/>
        </w:rPr>
        <w:t xml:space="preserve"> concerté</w:t>
      </w:r>
      <w:r w:rsidR="007E1A17">
        <w:rPr>
          <w:rFonts w:eastAsia="Malgun Gothic"/>
          <w:lang w:val="fr-FR"/>
        </w:rPr>
        <w:t>s</w:t>
      </w:r>
      <w:r w:rsidRPr="00626D73">
        <w:rPr>
          <w:rFonts w:eastAsia="Malgun Gothic"/>
          <w:lang w:val="fr-FR"/>
        </w:rPr>
        <w:t xml:space="preserve"> avec d</w:t>
      </w:r>
      <w:r w:rsidR="00923E72">
        <w:rPr>
          <w:rFonts w:eastAsia="Malgun Gothic"/>
          <w:lang w:val="fr-FR"/>
        </w:rPr>
        <w:t>’</w:t>
      </w:r>
      <w:r w:rsidRPr="00626D73">
        <w:rPr>
          <w:rFonts w:eastAsia="Malgun Gothic"/>
          <w:lang w:val="fr-FR"/>
        </w:rPr>
        <w:t>autres entités du secteur de la culture pour soutenir la sauvegarde du patrimoine vivant ukrainien. Il a</w:t>
      </w:r>
      <w:r w:rsidR="009E6816">
        <w:rPr>
          <w:rFonts w:eastAsia="Malgun Gothic"/>
          <w:lang w:val="fr-FR"/>
        </w:rPr>
        <w:t>vait</w:t>
      </w:r>
      <w:r w:rsidRPr="00626D73">
        <w:rPr>
          <w:rFonts w:eastAsia="Malgun Gothic"/>
          <w:lang w:val="fr-FR"/>
        </w:rPr>
        <w:t xml:space="preserve"> lancé un projet financé par le Fonds d</w:t>
      </w:r>
      <w:r w:rsidR="00923E72">
        <w:rPr>
          <w:rFonts w:eastAsia="Malgun Gothic"/>
          <w:lang w:val="fr-FR"/>
        </w:rPr>
        <w:t>’</w:t>
      </w:r>
      <w:r w:rsidRPr="00626D73">
        <w:rPr>
          <w:rFonts w:eastAsia="Malgun Gothic"/>
          <w:lang w:val="fr-FR"/>
        </w:rPr>
        <w:t>urgence pour le patrimoine</w:t>
      </w:r>
      <w:r w:rsidR="00C85B5B">
        <w:rPr>
          <w:rFonts w:eastAsia="Malgun Gothic"/>
          <w:lang w:val="fr-FR"/>
        </w:rPr>
        <w:t xml:space="preserve"> de l</w:t>
      </w:r>
      <w:r w:rsidR="00923E72">
        <w:rPr>
          <w:rFonts w:eastAsia="Malgun Gothic"/>
          <w:lang w:val="fr-FR"/>
        </w:rPr>
        <w:t>’</w:t>
      </w:r>
      <w:r w:rsidR="00C85B5B" w:rsidRPr="00C85B5B">
        <w:rPr>
          <w:rFonts w:eastAsia="Malgun Gothic"/>
          <w:lang w:val="fr-FR"/>
        </w:rPr>
        <w:t>UNESCO</w:t>
      </w:r>
      <w:r w:rsidRPr="00626D73">
        <w:rPr>
          <w:rFonts w:eastAsia="Malgun Gothic"/>
          <w:lang w:val="fr-FR"/>
        </w:rPr>
        <w:t>, qui sera</w:t>
      </w:r>
      <w:r w:rsidR="009E6816">
        <w:rPr>
          <w:rFonts w:eastAsia="Malgun Gothic"/>
          <w:lang w:val="fr-FR"/>
        </w:rPr>
        <w:t>it</w:t>
      </w:r>
      <w:r w:rsidRPr="00626D73">
        <w:rPr>
          <w:rFonts w:eastAsia="Malgun Gothic"/>
          <w:lang w:val="fr-FR"/>
        </w:rPr>
        <w:t xml:space="preserve"> piloté dans un certain </w:t>
      </w:r>
      <w:r w:rsidRPr="00626D73">
        <w:rPr>
          <w:rFonts w:eastAsia="Malgun Gothic"/>
          <w:lang w:val="fr-FR"/>
        </w:rPr>
        <w:lastRenderedPageBreak/>
        <w:t>nombre d</w:t>
      </w:r>
      <w:r w:rsidR="00923E72">
        <w:rPr>
          <w:rFonts w:eastAsia="Malgun Gothic"/>
          <w:lang w:val="fr-FR"/>
        </w:rPr>
        <w:t>’</w:t>
      </w:r>
      <w:r w:rsidRPr="00626D73">
        <w:rPr>
          <w:rFonts w:eastAsia="Malgun Gothic"/>
          <w:lang w:val="fr-FR"/>
        </w:rPr>
        <w:t>écoles primaires et secondaires, en utilisant l</w:t>
      </w:r>
      <w:r w:rsidR="00923E72">
        <w:rPr>
          <w:rFonts w:eastAsia="Malgun Gothic"/>
          <w:lang w:val="fr-FR"/>
        </w:rPr>
        <w:t>’</w:t>
      </w:r>
      <w:r w:rsidRPr="00626D73">
        <w:rPr>
          <w:rFonts w:eastAsia="Malgun Gothic"/>
          <w:lang w:val="fr-FR"/>
        </w:rPr>
        <w:t>approche du PCI dans l</w:t>
      </w:r>
      <w:r w:rsidR="00923E72">
        <w:rPr>
          <w:rFonts w:eastAsia="Malgun Gothic"/>
          <w:lang w:val="fr-FR"/>
        </w:rPr>
        <w:t>’</w:t>
      </w:r>
      <w:r w:rsidRPr="00626D73">
        <w:rPr>
          <w:rFonts w:eastAsia="Malgun Gothic"/>
          <w:lang w:val="fr-FR"/>
        </w:rPr>
        <w:t>éducation. Une autre série de demandes d</w:t>
      </w:r>
      <w:r w:rsidR="00923E72">
        <w:rPr>
          <w:rFonts w:eastAsia="Malgun Gothic"/>
          <w:lang w:val="fr-FR"/>
        </w:rPr>
        <w:t>’</w:t>
      </w:r>
      <w:r w:rsidRPr="00626D73">
        <w:rPr>
          <w:rFonts w:eastAsia="Malgun Gothic"/>
          <w:lang w:val="fr-FR"/>
        </w:rPr>
        <w:t xml:space="preserve">assistance internationale </w:t>
      </w:r>
      <w:r w:rsidR="007E1A17">
        <w:rPr>
          <w:rFonts w:eastAsia="Malgun Gothic"/>
          <w:lang w:val="fr-FR"/>
        </w:rPr>
        <w:t>était</w:t>
      </w:r>
      <w:r w:rsidRPr="00626D73">
        <w:rPr>
          <w:rFonts w:eastAsia="Malgun Gothic"/>
          <w:lang w:val="fr-FR"/>
        </w:rPr>
        <w:t xml:space="preserve"> en cours d</w:t>
      </w:r>
      <w:r w:rsidR="00923E72">
        <w:rPr>
          <w:rFonts w:eastAsia="Malgun Gothic"/>
          <w:lang w:val="fr-FR"/>
        </w:rPr>
        <w:t>’</w:t>
      </w:r>
      <w:r w:rsidRPr="00626D73">
        <w:rPr>
          <w:rFonts w:eastAsia="Malgun Gothic"/>
          <w:lang w:val="fr-FR"/>
        </w:rPr>
        <w:t xml:space="preserve">élaboration pour répondre aux besoins de sauvegarde identifiés dans cinq pays voisins qui </w:t>
      </w:r>
      <w:r w:rsidR="007E1A17">
        <w:rPr>
          <w:rFonts w:eastAsia="Malgun Gothic"/>
          <w:lang w:val="fr-FR"/>
        </w:rPr>
        <w:t>avaient</w:t>
      </w:r>
      <w:r w:rsidRPr="00626D73">
        <w:rPr>
          <w:rFonts w:eastAsia="Malgun Gothic"/>
          <w:lang w:val="fr-FR"/>
        </w:rPr>
        <w:t xml:space="preserve"> reçu un afflux important de personnes déplacées et de réfugiés. Dans le même contexte, la première inscription d</w:t>
      </w:r>
      <w:r w:rsidR="00923E72">
        <w:rPr>
          <w:rFonts w:eastAsia="Malgun Gothic"/>
          <w:lang w:val="fr-FR"/>
        </w:rPr>
        <w:t>’</w:t>
      </w:r>
      <w:r w:rsidRPr="00626D73">
        <w:rPr>
          <w:rFonts w:eastAsia="Malgun Gothic"/>
          <w:lang w:val="fr-FR"/>
        </w:rPr>
        <w:t xml:space="preserve">un élément sur la Liste de sauvegarde urgente </w:t>
      </w:r>
      <w:r w:rsidR="007E1A17">
        <w:rPr>
          <w:rFonts w:eastAsia="Malgun Gothic"/>
          <w:lang w:val="fr-FR"/>
        </w:rPr>
        <w:t xml:space="preserve">dans le cadre de la procédure pour les cas </w:t>
      </w:r>
      <w:r w:rsidRPr="00626D73">
        <w:rPr>
          <w:rFonts w:eastAsia="Malgun Gothic"/>
          <w:lang w:val="fr-FR"/>
        </w:rPr>
        <w:t>d</w:t>
      </w:r>
      <w:r w:rsidR="00923E72">
        <w:rPr>
          <w:rFonts w:eastAsia="Malgun Gothic"/>
          <w:lang w:val="fr-FR"/>
        </w:rPr>
        <w:t>’</w:t>
      </w:r>
      <w:r w:rsidRPr="00626D73">
        <w:rPr>
          <w:rFonts w:eastAsia="Malgun Gothic"/>
          <w:lang w:val="fr-FR"/>
        </w:rPr>
        <w:t>extrême urgence</w:t>
      </w:r>
      <w:r w:rsidR="007E1A17">
        <w:rPr>
          <w:rFonts w:eastAsia="Malgun Gothic"/>
          <w:lang w:val="fr-FR"/>
        </w:rPr>
        <w:t>,</w:t>
      </w:r>
      <w:r w:rsidR="00DF66FB">
        <w:rPr>
          <w:rFonts w:eastAsia="Malgun Gothic"/>
          <w:lang w:val="fr-FR"/>
        </w:rPr>
        <w:t xml:space="preserve"> en vertu</w:t>
      </w:r>
      <w:r w:rsidRPr="00626D73">
        <w:rPr>
          <w:rFonts w:eastAsia="Malgun Gothic"/>
          <w:lang w:val="fr-FR"/>
        </w:rPr>
        <w:t xml:space="preserve"> de l</w:t>
      </w:r>
      <w:r w:rsidR="00923E72">
        <w:rPr>
          <w:rFonts w:eastAsia="Malgun Gothic"/>
          <w:lang w:val="fr-FR"/>
        </w:rPr>
        <w:t>’</w:t>
      </w:r>
      <w:r w:rsidRPr="00626D73">
        <w:rPr>
          <w:rFonts w:eastAsia="Malgun Gothic"/>
          <w:lang w:val="fr-FR"/>
        </w:rPr>
        <w:t>article</w:t>
      </w:r>
      <w:r w:rsidR="006773EF">
        <w:rPr>
          <w:rFonts w:eastAsia="Malgun Gothic"/>
          <w:lang w:val="fr-FR"/>
        </w:rPr>
        <w:t> </w:t>
      </w:r>
      <w:r w:rsidRPr="00626D73">
        <w:rPr>
          <w:rFonts w:eastAsia="Malgun Gothic"/>
          <w:lang w:val="fr-FR"/>
        </w:rPr>
        <w:t>17.3 de la Convention</w:t>
      </w:r>
      <w:r w:rsidR="007E1A17">
        <w:rPr>
          <w:rFonts w:eastAsia="Malgun Gothic"/>
          <w:lang w:val="fr-FR"/>
        </w:rPr>
        <w:t>,</w:t>
      </w:r>
      <w:r w:rsidRPr="00626D73">
        <w:rPr>
          <w:rFonts w:eastAsia="Malgun Gothic"/>
          <w:lang w:val="fr-FR"/>
        </w:rPr>
        <w:t xml:space="preserve"> a</w:t>
      </w:r>
      <w:r w:rsidR="007E1A17">
        <w:rPr>
          <w:rFonts w:eastAsia="Malgun Gothic"/>
          <w:lang w:val="fr-FR"/>
        </w:rPr>
        <w:t>vait</w:t>
      </w:r>
      <w:r w:rsidRPr="00626D73">
        <w:rPr>
          <w:rFonts w:eastAsia="Malgun Gothic"/>
          <w:lang w:val="fr-FR"/>
        </w:rPr>
        <w:t xml:space="preserve"> eu lieu lorsque l</w:t>
      </w:r>
      <w:r w:rsidR="00923E72">
        <w:rPr>
          <w:rFonts w:eastAsia="Malgun Gothic"/>
          <w:lang w:val="fr-FR"/>
        </w:rPr>
        <w:t>’</w:t>
      </w:r>
      <w:r w:rsidRPr="00626D73">
        <w:rPr>
          <w:rFonts w:eastAsia="Malgun Gothic"/>
          <w:lang w:val="fr-FR"/>
        </w:rPr>
        <w:t>Ukraine a</w:t>
      </w:r>
      <w:r w:rsidR="007E1A17">
        <w:rPr>
          <w:rFonts w:eastAsia="Malgun Gothic"/>
          <w:lang w:val="fr-FR"/>
        </w:rPr>
        <w:t>vait</w:t>
      </w:r>
      <w:r w:rsidRPr="00626D73">
        <w:rPr>
          <w:rFonts w:eastAsia="Malgun Gothic"/>
          <w:lang w:val="fr-FR"/>
        </w:rPr>
        <w:t xml:space="preserve"> demandé l</w:t>
      </w:r>
      <w:r w:rsidR="00923E72">
        <w:rPr>
          <w:rFonts w:eastAsia="Malgun Gothic"/>
          <w:lang w:val="fr-FR"/>
        </w:rPr>
        <w:t>’</w:t>
      </w:r>
      <w:r w:rsidR="007E1A17" w:rsidRPr="007E1A17">
        <w:rPr>
          <w:rFonts w:eastAsia="Malgun Gothic"/>
          <w:lang w:val="fr-FR"/>
        </w:rPr>
        <w:t>inscription</w:t>
      </w:r>
      <w:r w:rsidR="007E1A17">
        <w:rPr>
          <w:rFonts w:eastAsia="Malgun Gothic"/>
          <w:lang w:val="fr-FR"/>
        </w:rPr>
        <w:t xml:space="preserve"> </w:t>
      </w:r>
      <w:r w:rsidRPr="00626D73">
        <w:rPr>
          <w:rFonts w:eastAsia="Malgun Gothic"/>
          <w:lang w:val="fr-FR"/>
        </w:rPr>
        <w:t xml:space="preserve">de </w:t>
      </w:r>
      <w:r w:rsidR="007E1A17">
        <w:rPr>
          <w:rFonts w:eastAsia="Malgun Gothic"/>
          <w:lang w:val="fr-FR"/>
        </w:rPr>
        <w:t>« La c</w:t>
      </w:r>
      <w:r w:rsidR="007E1A17" w:rsidRPr="001672EB">
        <w:rPr>
          <w:rFonts w:eastAsia="Malgun Gothic"/>
          <w:lang w:val="fr-FR"/>
        </w:rPr>
        <w:t xml:space="preserve">ulture de la </w:t>
      </w:r>
      <w:r w:rsidR="007E1A17">
        <w:rPr>
          <w:rFonts w:eastAsia="Malgun Gothic"/>
          <w:lang w:val="fr-FR"/>
        </w:rPr>
        <w:t xml:space="preserve">préparation du bortsch </w:t>
      </w:r>
      <w:r w:rsidR="007E1A17" w:rsidRPr="001672EB">
        <w:rPr>
          <w:rFonts w:eastAsia="Malgun Gothic"/>
          <w:lang w:val="fr-FR"/>
        </w:rPr>
        <w:t>ukrainien</w:t>
      </w:r>
      <w:r w:rsidR="007E1A17">
        <w:rPr>
          <w:rFonts w:eastAsia="Malgun Gothic"/>
          <w:lang w:val="fr-FR"/>
        </w:rPr>
        <w:t> ».</w:t>
      </w:r>
      <w:r w:rsidR="007E1A17" w:rsidRPr="00626D73">
        <w:rPr>
          <w:rFonts w:eastAsia="Malgun Gothic"/>
          <w:lang w:val="fr-FR"/>
        </w:rPr>
        <w:t xml:space="preserve"> </w:t>
      </w:r>
      <w:r w:rsidRPr="00626D73">
        <w:rPr>
          <w:rFonts w:eastAsia="Malgun Gothic"/>
          <w:lang w:val="fr-FR"/>
        </w:rPr>
        <w:t>Le Secrétariat a</w:t>
      </w:r>
      <w:r w:rsidR="007E1A17">
        <w:rPr>
          <w:rFonts w:eastAsia="Malgun Gothic"/>
          <w:lang w:val="fr-FR"/>
        </w:rPr>
        <w:t>vait</w:t>
      </w:r>
      <w:r w:rsidRPr="00626D73">
        <w:rPr>
          <w:rFonts w:eastAsia="Malgun Gothic"/>
          <w:lang w:val="fr-FR"/>
        </w:rPr>
        <w:t xml:space="preserve"> soutenu la procédure et </w:t>
      </w:r>
      <w:r w:rsidR="007E1A17">
        <w:rPr>
          <w:rFonts w:eastAsia="Malgun Gothic"/>
          <w:lang w:val="fr-FR"/>
        </w:rPr>
        <w:t>était</w:t>
      </w:r>
      <w:r w:rsidRPr="00626D73">
        <w:rPr>
          <w:rFonts w:eastAsia="Malgun Gothic"/>
          <w:lang w:val="fr-FR"/>
        </w:rPr>
        <w:t xml:space="preserve"> parvenu à ce que l</w:t>
      </w:r>
      <w:r w:rsidR="00923E72">
        <w:rPr>
          <w:rFonts w:eastAsia="Malgun Gothic"/>
          <w:lang w:val="fr-FR"/>
        </w:rPr>
        <w:t>’</w:t>
      </w:r>
      <w:r w:rsidRPr="00626D73">
        <w:rPr>
          <w:rFonts w:eastAsia="Malgun Gothic"/>
          <w:lang w:val="fr-FR"/>
        </w:rPr>
        <w:t>ensemble du processus soit présenté au Bureau, évalué par l</w:t>
      </w:r>
      <w:r w:rsidR="00923E72">
        <w:rPr>
          <w:rFonts w:eastAsia="Malgun Gothic"/>
          <w:lang w:val="fr-FR"/>
        </w:rPr>
        <w:t>’</w:t>
      </w:r>
      <w:r w:rsidRPr="00626D73">
        <w:rPr>
          <w:rFonts w:eastAsia="Malgun Gothic"/>
          <w:lang w:val="fr-FR"/>
        </w:rPr>
        <w:t>Organe d</w:t>
      </w:r>
      <w:r w:rsidR="00923E72">
        <w:rPr>
          <w:rFonts w:eastAsia="Malgun Gothic"/>
          <w:lang w:val="fr-FR"/>
        </w:rPr>
        <w:t>’</w:t>
      </w:r>
      <w:r w:rsidRPr="00626D73">
        <w:rPr>
          <w:rFonts w:eastAsia="Malgun Gothic"/>
          <w:lang w:val="fr-FR"/>
        </w:rPr>
        <w:t xml:space="preserve">évaluation et </w:t>
      </w:r>
      <w:r w:rsidR="007E1A17">
        <w:rPr>
          <w:rFonts w:eastAsia="Malgun Gothic"/>
          <w:lang w:val="fr-FR"/>
        </w:rPr>
        <w:t xml:space="preserve">soumis </w:t>
      </w:r>
      <w:r w:rsidRPr="00626D73">
        <w:rPr>
          <w:rFonts w:eastAsia="Malgun Gothic"/>
          <w:lang w:val="fr-FR"/>
        </w:rPr>
        <w:t xml:space="preserve">à la session extraordinaire du Comité dans un délai de </w:t>
      </w:r>
      <w:r w:rsidR="007E1A17">
        <w:rPr>
          <w:rFonts w:eastAsia="Malgun Gothic"/>
          <w:lang w:val="fr-FR"/>
        </w:rPr>
        <w:t>dix</w:t>
      </w:r>
      <w:r w:rsidRPr="00626D73">
        <w:rPr>
          <w:rFonts w:eastAsia="Malgun Gothic"/>
          <w:lang w:val="fr-FR"/>
        </w:rPr>
        <w:t xml:space="preserve"> semaines.</w:t>
      </w:r>
    </w:p>
    <w:p w14:paraId="1A4F4511" w14:textId="2A9FB843" w:rsidR="007E1A17" w:rsidRDefault="00AE26D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AE26DF">
        <w:rPr>
          <w:rFonts w:eastAsia="Malgun Gothic"/>
          <w:lang w:val="fr-FR"/>
        </w:rPr>
        <w:t xml:space="preserve">Le </w:t>
      </w:r>
      <w:r w:rsidRPr="00AE26DF">
        <w:rPr>
          <w:rFonts w:eastAsia="Malgun Gothic"/>
          <w:b/>
          <w:bCs/>
          <w:lang w:val="fr-FR"/>
        </w:rPr>
        <w:t>Secrétaire</w:t>
      </w:r>
      <w:r w:rsidRPr="00AE26DF">
        <w:rPr>
          <w:rFonts w:eastAsia="Malgun Gothic"/>
          <w:lang w:val="fr-FR"/>
        </w:rPr>
        <w:t xml:space="preserve"> a </w:t>
      </w:r>
      <w:r w:rsidR="00B971DD">
        <w:rPr>
          <w:rFonts w:eastAsia="Malgun Gothic"/>
          <w:lang w:val="fr-FR"/>
        </w:rPr>
        <w:t xml:space="preserve">en outre expliqué que </w:t>
      </w:r>
      <w:r>
        <w:rPr>
          <w:rFonts w:eastAsia="Malgun Gothic"/>
          <w:lang w:val="fr-FR"/>
        </w:rPr>
        <w:t xml:space="preserve">le </w:t>
      </w:r>
      <w:r w:rsidRPr="00AE26DF">
        <w:rPr>
          <w:rFonts w:eastAsia="Malgun Gothic"/>
          <w:lang w:val="fr-FR"/>
        </w:rPr>
        <w:t xml:space="preserve">Secrétariat </w:t>
      </w:r>
      <w:r>
        <w:rPr>
          <w:rFonts w:eastAsia="Malgun Gothic"/>
          <w:lang w:val="fr-FR"/>
        </w:rPr>
        <w:t>souten</w:t>
      </w:r>
      <w:r w:rsidR="00C70A94">
        <w:rPr>
          <w:rFonts w:eastAsia="Malgun Gothic"/>
          <w:lang w:val="fr-FR"/>
        </w:rPr>
        <w:t>ait</w:t>
      </w:r>
      <w:r>
        <w:rPr>
          <w:rFonts w:eastAsia="Malgun Gothic"/>
          <w:lang w:val="fr-FR"/>
        </w:rPr>
        <w:t xml:space="preserve"> les </w:t>
      </w:r>
      <w:r w:rsidRPr="00AE26DF">
        <w:rPr>
          <w:rFonts w:eastAsia="Malgun Gothic"/>
          <w:lang w:val="fr-FR"/>
        </w:rPr>
        <w:t xml:space="preserve">pays dans le domaine du renforcement des capacités, en particulier dans le cadre de la première priorité de </w:t>
      </w:r>
      <w:r w:rsidRPr="007D23D1">
        <w:rPr>
          <w:rFonts w:eastAsia="Malgun Gothic"/>
          <w:lang w:val="fr-FR"/>
        </w:rPr>
        <w:t>financement, Renforc</w:t>
      </w:r>
      <w:r w:rsidR="00B74229" w:rsidRPr="007D23D1">
        <w:rPr>
          <w:rFonts w:eastAsia="Malgun Gothic"/>
          <w:lang w:val="fr-FR"/>
        </w:rPr>
        <w:t>ement des</w:t>
      </w:r>
      <w:r w:rsidRPr="007D23D1">
        <w:rPr>
          <w:rFonts w:eastAsia="Malgun Gothic"/>
          <w:lang w:val="fr-FR"/>
        </w:rPr>
        <w:t xml:space="preserve"> capacités de sauvegarde du patrimoine culturel immatériel par</w:t>
      </w:r>
      <w:r w:rsidR="00B74229" w:rsidRPr="007D23D1">
        <w:rPr>
          <w:rFonts w:eastAsia="Malgun Gothic"/>
          <w:lang w:val="fr-FR"/>
        </w:rPr>
        <w:t xml:space="preserve"> le biais d</w:t>
      </w:r>
      <w:r w:rsidR="00923E72" w:rsidRPr="007D23D1">
        <w:rPr>
          <w:rFonts w:eastAsia="Malgun Gothic"/>
          <w:lang w:val="fr-FR"/>
        </w:rPr>
        <w:t>’</w:t>
      </w:r>
      <w:r w:rsidRPr="007D23D1">
        <w:rPr>
          <w:rFonts w:eastAsia="Malgun Gothic"/>
          <w:lang w:val="fr-FR"/>
        </w:rPr>
        <w:t xml:space="preserve">approches multimodales et </w:t>
      </w:r>
      <w:r w:rsidR="00B74229" w:rsidRPr="007D23D1">
        <w:rPr>
          <w:rFonts w:eastAsia="Malgun Gothic"/>
          <w:lang w:val="fr-FR"/>
        </w:rPr>
        <w:t xml:space="preserve">de </w:t>
      </w:r>
      <w:r w:rsidRPr="007D23D1">
        <w:rPr>
          <w:rFonts w:eastAsia="Malgun Gothic"/>
          <w:lang w:val="fr-FR"/>
        </w:rPr>
        <w:t>contribution au développement durable. Ce travail consist</w:t>
      </w:r>
      <w:r w:rsidR="00C70A94" w:rsidRPr="007D23D1">
        <w:rPr>
          <w:rFonts w:eastAsia="Malgun Gothic"/>
          <w:lang w:val="fr-FR"/>
        </w:rPr>
        <w:t>ait</w:t>
      </w:r>
      <w:r w:rsidRPr="007D23D1">
        <w:rPr>
          <w:rFonts w:eastAsia="Malgun Gothic"/>
          <w:lang w:val="fr-FR"/>
        </w:rPr>
        <w:t xml:space="preserve"> à réorienter le programme de renforcement des capacités</w:t>
      </w:r>
      <w:r w:rsidR="00C70A94" w:rsidRPr="007D23D1">
        <w:rPr>
          <w:rFonts w:eastAsia="Malgun Gothic"/>
          <w:lang w:val="fr-FR"/>
        </w:rPr>
        <w:t xml:space="preserve"> et à</w:t>
      </w:r>
      <w:r w:rsidRPr="007D23D1">
        <w:rPr>
          <w:rFonts w:eastAsia="Malgun Gothic"/>
          <w:lang w:val="fr-FR"/>
        </w:rPr>
        <w:t xml:space="preserve"> s</w:t>
      </w:r>
      <w:r w:rsidR="00923E72" w:rsidRPr="007D23D1">
        <w:rPr>
          <w:rFonts w:eastAsia="Malgun Gothic"/>
          <w:lang w:val="fr-FR"/>
        </w:rPr>
        <w:t>’</w:t>
      </w:r>
      <w:r w:rsidRPr="007D23D1">
        <w:rPr>
          <w:rFonts w:eastAsia="Malgun Gothic"/>
          <w:lang w:val="fr-FR"/>
        </w:rPr>
        <w:t>inspir</w:t>
      </w:r>
      <w:r w:rsidR="00C70A94" w:rsidRPr="007D23D1">
        <w:rPr>
          <w:rFonts w:eastAsia="Malgun Gothic"/>
          <w:lang w:val="fr-FR"/>
        </w:rPr>
        <w:t>er</w:t>
      </w:r>
      <w:r w:rsidRPr="007D23D1">
        <w:rPr>
          <w:rFonts w:eastAsia="Malgun Gothic"/>
          <w:lang w:val="fr-FR"/>
        </w:rPr>
        <w:t xml:space="preserve"> des enseignements tirés de la pandémie pour </w:t>
      </w:r>
      <w:r w:rsidR="00B74229" w:rsidRPr="007D23D1">
        <w:rPr>
          <w:rFonts w:eastAsia="Malgun Gothic"/>
          <w:lang w:val="fr-FR"/>
        </w:rPr>
        <w:t xml:space="preserve">proposer </w:t>
      </w:r>
      <w:r w:rsidRPr="007D23D1">
        <w:rPr>
          <w:rFonts w:eastAsia="Malgun Gothic"/>
          <w:lang w:val="fr-FR"/>
        </w:rPr>
        <w:t>une approche multimodale</w:t>
      </w:r>
      <w:r w:rsidR="00A258F0" w:rsidRPr="007D23D1">
        <w:rPr>
          <w:rFonts w:eastAsia="Malgun Gothic"/>
          <w:lang w:val="fr-FR"/>
        </w:rPr>
        <w:t>,</w:t>
      </w:r>
      <w:r w:rsidRPr="007D23D1">
        <w:rPr>
          <w:rFonts w:eastAsia="Malgun Gothic"/>
          <w:lang w:val="fr-FR"/>
        </w:rPr>
        <w:t xml:space="preserve"> en </w:t>
      </w:r>
      <w:r w:rsidR="0035057A" w:rsidRPr="007D23D1">
        <w:rPr>
          <w:rFonts w:eastAsia="Malgun Gothic"/>
          <w:lang w:val="fr-FR"/>
        </w:rPr>
        <w:t xml:space="preserve">personne </w:t>
      </w:r>
      <w:r w:rsidRPr="007D23D1">
        <w:rPr>
          <w:rFonts w:eastAsia="Malgun Gothic"/>
          <w:lang w:val="fr-FR"/>
        </w:rPr>
        <w:t>et en ligne</w:t>
      </w:r>
      <w:r w:rsidR="00A258F0" w:rsidRPr="007D23D1">
        <w:rPr>
          <w:rFonts w:eastAsia="Malgun Gothic"/>
          <w:lang w:val="fr-FR"/>
        </w:rPr>
        <w:t>,</w:t>
      </w:r>
      <w:r w:rsidRPr="007D23D1">
        <w:rPr>
          <w:rFonts w:eastAsia="Malgun Gothic"/>
          <w:lang w:val="fr-FR"/>
        </w:rPr>
        <w:t xml:space="preserve"> afin d</w:t>
      </w:r>
      <w:r w:rsidR="00923E72" w:rsidRPr="007D23D1">
        <w:rPr>
          <w:rFonts w:eastAsia="Malgun Gothic"/>
          <w:lang w:val="fr-FR"/>
        </w:rPr>
        <w:t>’</w:t>
      </w:r>
      <w:r w:rsidRPr="007D23D1">
        <w:rPr>
          <w:rFonts w:eastAsia="Malgun Gothic"/>
          <w:lang w:val="fr-FR"/>
        </w:rPr>
        <w:t xml:space="preserve">avoir une plus grande </w:t>
      </w:r>
      <w:r w:rsidR="00B74229" w:rsidRPr="007D23D1">
        <w:rPr>
          <w:rFonts w:eastAsia="Malgun Gothic"/>
          <w:lang w:val="fr-FR"/>
        </w:rPr>
        <w:t xml:space="preserve">diffusion </w:t>
      </w:r>
      <w:r w:rsidRPr="007D23D1">
        <w:rPr>
          <w:rFonts w:eastAsia="Malgun Gothic"/>
          <w:lang w:val="fr-FR"/>
        </w:rPr>
        <w:t>à l</w:t>
      </w:r>
      <w:r w:rsidR="00923E72" w:rsidRPr="007D23D1">
        <w:rPr>
          <w:rFonts w:eastAsia="Malgun Gothic"/>
          <w:lang w:val="fr-FR"/>
        </w:rPr>
        <w:t>’</w:t>
      </w:r>
      <w:r w:rsidRPr="007D23D1">
        <w:rPr>
          <w:rFonts w:eastAsia="Malgun Gothic"/>
          <w:lang w:val="fr-FR"/>
        </w:rPr>
        <w:t>avenir. Le Secrétariat a</w:t>
      </w:r>
      <w:r w:rsidR="000A0FBC" w:rsidRPr="007D23D1">
        <w:rPr>
          <w:rFonts w:eastAsia="Malgun Gothic"/>
          <w:lang w:val="fr-FR"/>
        </w:rPr>
        <w:t>vait</w:t>
      </w:r>
      <w:r w:rsidRPr="007D23D1">
        <w:rPr>
          <w:rFonts w:eastAsia="Malgun Gothic"/>
          <w:lang w:val="fr-FR"/>
        </w:rPr>
        <w:t xml:space="preserve"> également lancé un appel à manifestation d</w:t>
      </w:r>
      <w:r w:rsidR="00923E72" w:rsidRPr="007D23D1">
        <w:rPr>
          <w:rFonts w:eastAsia="Malgun Gothic"/>
          <w:lang w:val="fr-FR"/>
        </w:rPr>
        <w:t>’</w:t>
      </w:r>
      <w:r w:rsidRPr="007D23D1">
        <w:rPr>
          <w:rFonts w:eastAsia="Malgun Gothic"/>
          <w:lang w:val="fr-FR"/>
        </w:rPr>
        <w:t xml:space="preserve">intérêt pour étendre le réseau </w:t>
      </w:r>
      <w:r w:rsidR="00A258F0" w:rsidRPr="007D23D1">
        <w:rPr>
          <w:rFonts w:eastAsia="Malgun Gothic"/>
          <w:lang w:val="fr-FR"/>
        </w:rPr>
        <w:t xml:space="preserve">global </w:t>
      </w:r>
      <w:r w:rsidRPr="007D23D1">
        <w:rPr>
          <w:rFonts w:eastAsia="Malgun Gothic"/>
          <w:lang w:val="fr-FR"/>
        </w:rPr>
        <w:t>de facilitateurs</w:t>
      </w:r>
      <w:r w:rsidR="00C70A94" w:rsidRPr="007D23D1">
        <w:rPr>
          <w:rStyle w:val="FootnoteReference"/>
          <w:rFonts w:eastAsia="Malgun Gothic"/>
          <w:lang w:val="fr-FR"/>
        </w:rPr>
        <w:footnoteReference w:id="5"/>
      </w:r>
      <w:r w:rsidRPr="007D23D1">
        <w:rPr>
          <w:rFonts w:eastAsia="Malgun Gothic"/>
          <w:lang w:val="fr-FR"/>
        </w:rPr>
        <w:t>, afin de disposer d</w:t>
      </w:r>
      <w:r w:rsidR="00923E72" w:rsidRPr="007D23D1">
        <w:rPr>
          <w:rFonts w:eastAsia="Malgun Gothic"/>
          <w:lang w:val="fr-FR"/>
        </w:rPr>
        <w:t>’</w:t>
      </w:r>
      <w:r w:rsidRPr="007D23D1">
        <w:rPr>
          <w:rFonts w:eastAsia="Malgun Gothic"/>
          <w:lang w:val="fr-FR"/>
        </w:rPr>
        <w:t>un plus grand nombre de membres de ce réseau pour répondre aux demandes croissantes et à une recommandation de l</w:t>
      </w:r>
      <w:r w:rsidR="00923E72" w:rsidRPr="007D23D1">
        <w:rPr>
          <w:rFonts w:eastAsia="Malgun Gothic"/>
          <w:lang w:val="fr-FR"/>
        </w:rPr>
        <w:t>’</w:t>
      </w:r>
      <w:r w:rsidRPr="007D23D1">
        <w:rPr>
          <w:rFonts w:eastAsia="Malgun Gothic"/>
          <w:lang w:val="fr-FR"/>
        </w:rPr>
        <w:t>évaluation d</w:t>
      </w:r>
      <w:r w:rsidR="00BF4A97" w:rsidRPr="007D23D1">
        <w:rPr>
          <w:rFonts w:eastAsia="Malgun Gothic"/>
          <w:lang w:val="fr-FR"/>
        </w:rPr>
        <w:t>e l</w:t>
      </w:r>
      <w:r w:rsidR="00923E72" w:rsidRPr="007D23D1">
        <w:rPr>
          <w:rFonts w:eastAsia="Malgun Gothic"/>
          <w:lang w:val="fr-FR"/>
        </w:rPr>
        <w:t>’</w:t>
      </w:r>
      <w:r w:rsidRPr="007D23D1">
        <w:rPr>
          <w:rFonts w:eastAsia="Malgun Gothic"/>
          <w:lang w:val="fr-FR"/>
        </w:rPr>
        <w:t>IOS. À cet égard, le Comité souhaitera</w:t>
      </w:r>
      <w:r w:rsidR="00BF4A97" w:rsidRPr="007D23D1">
        <w:rPr>
          <w:rFonts w:eastAsia="Malgun Gothic"/>
          <w:lang w:val="fr-FR"/>
        </w:rPr>
        <w:t>it</w:t>
      </w:r>
      <w:r w:rsidRPr="007D23D1">
        <w:rPr>
          <w:rFonts w:eastAsia="Malgun Gothic"/>
          <w:lang w:val="fr-FR"/>
        </w:rPr>
        <w:t xml:space="preserve"> peut-être lancer</w:t>
      </w:r>
      <w:r w:rsidR="00BF4A97" w:rsidRPr="007D23D1">
        <w:rPr>
          <w:rFonts w:eastAsia="Malgun Gothic"/>
          <w:lang w:val="fr-FR"/>
        </w:rPr>
        <w:t>, dans la décision liée à ce point de l</w:t>
      </w:r>
      <w:r w:rsidR="00923E72" w:rsidRPr="007D23D1">
        <w:rPr>
          <w:rFonts w:eastAsia="Malgun Gothic"/>
          <w:lang w:val="fr-FR"/>
        </w:rPr>
        <w:t>’</w:t>
      </w:r>
      <w:r w:rsidR="00BF4A97" w:rsidRPr="007D23D1">
        <w:rPr>
          <w:rFonts w:eastAsia="Malgun Gothic"/>
          <w:lang w:val="fr-FR"/>
        </w:rPr>
        <w:t xml:space="preserve">ordre du jour, </w:t>
      </w:r>
      <w:r w:rsidRPr="007D23D1">
        <w:rPr>
          <w:rFonts w:eastAsia="Malgun Gothic"/>
          <w:lang w:val="fr-FR"/>
        </w:rPr>
        <w:t>un appel aux États membres pour qu</w:t>
      </w:r>
      <w:r w:rsidR="00923E72" w:rsidRPr="007D23D1">
        <w:rPr>
          <w:rFonts w:eastAsia="Malgun Gothic"/>
          <w:lang w:val="fr-FR"/>
        </w:rPr>
        <w:t>’</w:t>
      </w:r>
      <w:r w:rsidRPr="007D23D1">
        <w:rPr>
          <w:rFonts w:eastAsia="Malgun Gothic"/>
          <w:lang w:val="fr-FR"/>
        </w:rPr>
        <w:t>ils continuent</w:t>
      </w:r>
      <w:r w:rsidR="00BF4A97" w:rsidRPr="007D23D1">
        <w:rPr>
          <w:rFonts w:eastAsia="Malgun Gothic"/>
          <w:lang w:val="fr-FR"/>
        </w:rPr>
        <w:t xml:space="preserve"> </w:t>
      </w:r>
      <w:r w:rsidRPr="007D23D1">
        <w:rPr>
          <w:rFonts w:eastAsia="Malgun Gothic"/>
          <w:lang w:val="fr-FR"/>
        </w:rPr>
        <w:t xml:space="preserve">à accueillir ou à soutenir financièrement des cours de formation </w:t>
      </w:r>
      <w:r w:rsidR="00B74229" w:rsidRPr="007D23D1">
        <w:rPr>
          <w:rFonts w:eastAsia="Malgun Gothic"/>
          <w:lang w:val="fr-FR"/>
        </w:rPr>
        <w:t xml:space="preserve">destinés à </w:t>
      </w:r>
      <w:r w:rsidRPr="007D23D1">
        <w:rPr>
          <w:rFonts w:eastAsia="Malgun Gothic"/>
          <w:lang w:val="fr-FR"/>
        </w:rPr>
        <w:t>doter le nombre croissant de facilitateurs des connaissances et des compétences nécessaires pour soutenir les pays dans leurs efforts de sauvegarde. Le Secrétariat a</w:t>
      </w:r>
      <w:r w:rsidR="00BF4A97" w:rsidRPr="007D23D1">
        <w:rPr>
          <w:rFonts w:eastAsia="Malgun Gothic"/>
          <w:lang w:val="fr-FR"/>
        </w:rPr>
        <w:t>vait</w:t>
      </w:r>
      <w:r w:rsidRPr="007D23D1">
        <w:rPr>
          <w:rFonts w:eastAsia="Malgun Gothic"/>
          <w:lang w:val="fr-FR"/>
        </w:rPr>
        <w:t xml:space="preserve"> également poursuivi son travail sur la deuxième priorité de financement, Sauvegarde du patrimoine culturel immatériel dans l</w:t>
      </w:r>
      <w:r w:rsidR="00923E72" w:rsidRPr="007D23D1">
        <w:rPr>
          <w:rFonts w:eastAsia="Malgun Gothic"/>
          <w:lang w:val="fr-FR"/>
        </w:rPr>
        <w:t>’</w:t>
      </w:r>
      <w:r w:rsidRPr="007D23D1">
        <w:rPr>
          <w:rFonts w:eastAsia="Malgun Gothic"/>
          <w:lang w:val="fr-FR"/>
        </w:rPr>
        <w:t>éducation formelle et non formelle. Ce faisant, il a</w:t>
      </w:r>
      <w:r w:rsidR="000A0FBC" w:rsidRPr="007D23D1">
        <w:rPr>
          <w:rFonts w:eastAsia="Malgun Gothic"/>
          <w:lang w:val="fr-FR"/>
        </w:rPr>
        <w:t>vait</w:t>
      </w:r>
      <w:r w:rsidRPr="007D23D1">
        <w:rPr>
          <w:rFonts w:eastAsia="Malgun Gothic"/>
          <w:lang w:val="fr-FR"/>
        </w:rPr>
        <w:t xml:space="preserve"> collaboré étroitement avec le </w:t>
      </w:r>
      <w:r w:rsidR="00BF4A97" w:rsidRPr="007D23D1">
        <w:rPr>
          <w:rFonts w:eastAsia="Malgun Gothic"/>
          <w:lang w:val="fr-FR"/>
        </w:rPr>
        <w:t>S</w:t>
      </w:r>
      <w:r w:rsidRPr="007D23D1">
        <w:rPr>
          <w:rFonts w:eastAsia="Malgun Gothic"/>
          <w:lang w:val="fr-FR"/>
        </w:rPr>
        <w:t>ecteur de l</w:t>
      </w:r>
      <w:r w:rsidR="00923E72" w:rsidRPr="007D23D1">
        <w:rPr>
          <w:rFonts w:eastAsia="Malgun Gothic"/>
          <w:lang w:val="fr-FR"/>
        </w:rPr>
        <w:t>’</w:t>
      </w:r>
      <w:r w:rsidRPr="007D23D1">
        <w:rPr>
          <w:rFonts w:eastAsia="Malgun Gothic"/>
          <w:lang w:val="fr-FR"/>
        </w:rPr>
        <w:t>éducation de l</w:t>
      </w:r>
      <w:r w:rsidR="00923E72" w:rsidRPr="007D23D1">
        <w:rPr>
          <w:rFonts w:eastAsia="Malgun Gothic"/>
          <w:lang w:val="fr-FR"/>
        </w:rPr>
        <w:t>’</w:t>
      </w:r>
      <w:r w:rsidRPr="007D23D1">
        <w:rPr>
          <w:rFonts w:eastAsia="Malgun Gothic"/>
          <w:lang w:val="fr-FR"/>
        </w:rPr>
        <w:t xml:space="preserve">UNESCO pour affiner le cadre commun du programme intersectoriel </w:t>
      </w:r>
      <w:r w:rsidR="000A0FBC" w:rsidRPr="007D23D1">
        <w:rPr>
          <w:rFonts w:eastAsia="Malgun Gothic"/>
          <w:lang w:val="fr-FR"/>
        </w:rPr>
        <w:t>« </w:t>
      </w:r>
      <w:r w:rsidRPr="007D23D1">
        <w:rPr>
          <w:rFonts w:eastAsia="Malgun Gothic"/>
          <w:lang w:val="fr-FR"/>
        </w:rPr>
        <w:t>Patrimoine vivant et éducation</w:t>
      </w:r>
      <w:r w:rsidR="000A0FBC">
        <w:rPr>
          <w:rFonts w:eastAsia="Malgun Gothic"/>
          <w:lang w:val="fr-FR"/>
        </w:rPr>
        <w:t> »</w:t>
      </w:r>
      <w:r w:rsidRPr="00BF4A97">
        <w:rPr>
          <w:rFonts w:eastAsia="Malgun Gothic"/>
          <w:lang w:val="fr-FR"/>
        </w:rPr>
        <w:t>.</w:t>
      </w:r>
      <w:r w:rsidR="00C70A94">
        <w:rPr>
          <w:rFonts w:eastAsia="Malgun Gothic"/>
          <w:lang w:val="fr-FR"/>
        </w:rPr>
        <w:t xml:space="preserve"> C</w:t>
      </w:r>
      <w:r w:rsidRPr="00BF4A97">
        <w:rPr>
          <w:rFonts w:eastAsia="Malgun Gothic"/>
          <w:lang w:val="fr-FR"/>
        </w:rPr>
        <w:t>e programme pren</w:t>
      </w:r>
      <w:r w:rsidR="000A0FBC">
        <w:rPr>
          <w:rFonts w:eastAsia="Malgun Gothic"/>
          <w:lang w:val="fr-FR"/>
        </w:rPr>
        <w:t>ait</w:t>
      </w:r>
      <w:r w:rsidRPr="00BF4A97">
        <w:rPr>
          <w:rFonts w:eastAsia="Malgun Gothic"/>
          <w:lang w:val="fr-FR"/>
        </w:rPr>
        <w:t xml:space="preserve"> de l</w:t>
      </w:r>
      <w:r w:rsidR="00923E72">
        <w:rPr>
          <w:rFonts w:eastAsia="Malgun Gothic"/>
          <w:lang w:val="fr-FR"/>
        </w:rPr>
        <w:t>’</w:t>
      </w:r>
      <w:r w:rsidRPr="00BF4A97">
        <w:rPr>
          <w:rFonts w:eastAsia="Malgun Gothic"/>
          <w:lang w:val="fr-FR"/>
        </w:rPr>
        <w:t>ampleur grâce à l</w:t>
      </w:r>
      <w:r w:rsidR="00923E72">
        <w:rPr>
          <w:rFonts w:eastAsia="Malgun Gothic"/>
          <w:lang w:val="fr-FR"/>
        </w:rPr>
        <w:t>’</w:t>
      </w:r>
      <w:r w:rsidRPr="00BF4A97">
        <w:rPr>
          <w:rFonts w:eastAsia="Malgun Gothic"/>
          <w:lang w:val="fr-FR"/>
        </w:rPr>
        <w:t>intensification de la collaboration intersectorielle ainsi que dans le contexte de l</w:t>
      </w:r>
      <w:r w:rsidR="00923E72">
        <w:rPr>
          <w:rFonts w:eastAsia="Malgun Gothic"/>
          <w:lang w:val="fr-FR"/>
        </w:rPr>
        <w:t>’</w:t>
      </w:r>
      <w:r w:rsidRPr="00BF4A97">
        <w:rPr>
          <w:rFonts w:eastAsia="Malgun Gothic"/>
          <w:lang w:val="fr-FR"/>
        </w:rPr>
        <w:t>élaboration d</w:t>
      </w:r>
      <w:r w:rsidR="00923E72">
        <w:rPr>
          <w:rFonts w:eastAsia="Malgun Gothic"/>
          <w:lang w:val="fr-FR"/>
        </w:rPr>
        <w:t>’</w:t>
      </w:r>
      <w:r w:rsidRPr="00BF4A97">
        <w:rPr>
          <w:rFonts w:eastAsia="Malgun Gothic"/>
          <w:lang w:val="fr-FR"/>
        </w:rPr>
        <w:t>un cadre de l</w:t>
      </w:r>
      <w:r w:rsidR="00923E72">
        <w:rPr>
          <w:rFonts w:eastAsia="Malgun Gothic"/>
          <w:lang w:val="fr-FR"/>
        </w:rPr>
        <w:t>’</w:t>
      </w:r>
      <w:r w:rsidRPr="00BF4A97">
        <w:rPr>
          <w:rFonts w:eastAsia="Malgun Gothic"/>
          <w:lang w:val="fr-FR"/>
        </w:rPr>
        <w:t xml:space="preserve">UNESCO </w:t>
      </w:r>
      <w:r w:rsidR="000A0FBC">
        <w:rPr>
          <w:rFonts w:eastAsia="Malgun Gothic"/>
          <w:lang w:val="fr-FR"/>
        </w:rPr>
        <w:t>pour</w:t>
      </w:r>
      <w:r w:rsidRPr="00BF4A97">
        <w:rPr>
          <w:rFonts w:eastAsia="Malgun Gothic"/>
          <w:lang w:val="fr-FR"/>
        </w:rPr>
        <w:t xml:space="preserve"> l</w:t>
      </w:r>
      <w:r w:rsidR="00923E72">
        <w:rPr>
          <w:rFonts w:eastAsia="Malgun Gothic"/>
          <w:lang w:val="fr-FR"/>
        </w:rPr>
        <w:t>’</w:t>
      </w:r>
      <w:r w:rsidRPr="00BF4A97">
        <w:rPr>
          <w:rFonts w:eastAsia="Malgun Gothic"/>
          <w:lang w:val="fr-FR"/>
        </w:rPr>
        <w:t>éducation culturelle et artistique. Le travail sur ce cadre a</w:t>
      </w:r>
      <w:r w:rsidR="000A0FBC">
        <w:rPr>
          <w:rFonts w:eastAsia="Malgun Gothic"/>
          <w:lang w:val="fr-FR"/>
        </w:rPr>
        <w:t>vait</w:t>
      </w:r>
      <w:r w:rsidRPr="00BF4A97">
        <w:rPr>
          <w:rFonts w:eastAsia="Malgun Gothic"/>
          <w:lang w:val="fr-FR"/>
        </w:rPr>
        <w:t xml:space="preserve"> été approuvé lors de la session du Conseil exécutif (décision</w:t>
      </w:r>
      <w:r w:rsidR="0061370F">
        <w:rPr>
          <w:rFonts w:eastAsia="Malgun Gothic"/>
          <w:lang w:val="fr-FR"/>
        </w:rPr>
        <w:t> </w:t>
      </w:r>
      <w:hyperlink r:id="rId39" w:history="1">
        <w:r w:rsidR="00C70A94" w:rsidRPr="00B455F3">
          <w:rPr>
            <w:rStyle w:val="Hyperlink"/>
            <w:bCs/>
            <w:lang w:val="fr-FR"/>
          </w:rPr>
          <w:t>215 EX/5.I.D</w:t>
        </w:r>
      </w:hyperlink>
      <w:r w:rsidR="00C70A94">
        <w:rPr>
          <w:rFonts w:eastAsia="Malgun Gothic"/>
          <w:lang w:val="fr-FR"/>
        </w:rPr>
        <w:t xml:space="preserve">) </w:t>
      </w:r>
      <w:r w:rsidRPr="00BF4A97">
        <w:rPr>
          <w:rFonts w:eastAsia="Malgun Gothic"/>
          <w:lang w:val="fr-FR"/>
        </w:rPr>
        <w:t>[en octobre</w:t>
      </w:r>
      <w:r w:rsidR="003A0260">
        <w:rPr>
          <w:rFonts w:eastAsia="Malgun Gothic"/>
          <w:lang w:val="fr-FR"/>
        </w:rPr>
        <w:t> </w:t>
      </w:r>
      <w:r w:rsidRPr="00BF4A97">
        <w:rPr>
          <w:rFonts w:eastAsia="Malgun Gothic"/>
          <w:lang w:val="fr-FR"/>
        </w:rPr>
        <w:t>2022], et a</w:t>
      </w:r>
      <w:r w:rsidR="000A0FBC">
        <w:rPr>
          <w:rFonts w:eastAsia="Malgun Gothic"/>
          <w:lang w:val="fr-FR"/>
        </w:rPr>
        <w:t>vait</w:t>
      </w:r>
      <w:r w:rsidRPr="00BF4A97">
        <w:rPr>
          <w:rFonts w:eastAsia="Malgun Gothic"/>
          <w:lang w:val="fr-FR"/>
        </w:rPr>
        <w:t xml:space="preserve"> également été souligné dans la Déclaration finale de la Conférence MONDIACULT. En ce qui concerne la première priorité, </w:t>
      </w:r>
      <w:r w:rsidR="00C70A94">
        <w:rPr>
          <w:rFonts w:eastAsia="Malgun Gothic"/>
          <w:lang w:val="fr-FR"/>
        </w:rPr>
        <w:t xml:space="preserve">il était demandé au </w:t>
      </w:r>
      <w:r w:rsidRPr="00BF4A97">
        <w:rPr>
          <w:rFonts w:eastAsia="Malgun Gothic"/>
          <w:lang w:val="fr-FR"/>
        </w:rPr>
        <w:t xml:space="preserve">Comité </w:t>
      </w:r>
      <w:r w:rsidR="00C70A94">
        <w:rPr>
          <w:rFonts w:eastAsia="Malgun Gothic"/>
          <w:lang w:val="fr-FR"/>
        </w:rPr>
        <w:t>d</w:t>
      </w:r>
      <w:r w:rsidR="00923E72">
        <w:rPr>
          <w:rFonts w:eastAsia="Malgun Gothic"/>
          <w:lang w:val="fr-FR"/>
        </w:rPr>
        <w:t>’</w:t>
      </w:r>
      <w:r w:rsidRPr="00BF4A97">
        <w:rPr>
          <w:rFonts w:eastAsia="Malgun Gothic"/>
          <w:lang w:val="fr-FR"/>
        </w:rPr>
        <w:t>encourager les États parties à apporter leur soutien à cette importante priorité de financement et à la collaboration intersectorielle avec le Secteur de l</w:t>
      </w:r>
      <w:r w:rsidR="00923E72">
        <w:rPr>
          <w:rFonts w:eastAsia="Malgun Gothic"/>
          <w:lang w:val="fr-FR"/>
        </w:rPr>
        <w:t>’</w:t>
      </w:r>
      <w:r w:rsidRPr="00BF4A97">
        <w:rPr>
          <w:rFonts w:eastAsia="Malgun Gothic"/>
          <w:lang w:val="fr-FR"/>
        </w:rPr>
        <w:t>éducation dans le but d</w:t>
      </w:r>
      <w:r w:rsidR="00923E72">
        <w:rPr>
          <w:rFonts w:eastAsia="Malgun Gothic"/>
          <w:lang w:val="fr-FR"/>
        </w:rPr>
        <w:t>’</w:t>
      </w:r>
      <w:r w:rsidRPr="00BF4A97">
        <w:rPr>
          <w:rFonts w:eastAsia="Malgun Gothic"/>
          <w:lang w:val="fr-FR"/>
        </w:rPr>
        <w:t>ancrer l</w:t>
      </w:r>
      <w:r w:rsidR="00923E72">
        <w:rPr>
          <w:rFonts w:eastAsia="Malgun Gothic"/>
          <w:lang w:val="fr-FR"/>
        </w:rPr>
        <w:t>’</w:t>
      </w:r>
      <w:r w:rsidRPr="00BF4A97">
        <w:rPr>
          <w:rFonts w:eastAsia="Malgun Gothic"/>
          <w:lang w:val="fr-FR"/>
        </w:rPr>
        <w:t>intégration de la sauvegarde du patrimoine vivant de manière beaucoup plus large.</w:t>
      </w:r>
    </w:p>
    <w:p w14:paraId="5064601C" w14:textId="4C8B4AF9" w:rsidR="000A0FBC" w:rsidRDefault="008F42D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8F42DE">
        <w:rPr>
          <w:rFonts w:eastAsia="Malgun Gothic"/>
          <w:lang w:val="fr-FR"/>
        </w:rPr>
        <w:t xml:space="preserve">Le </w:t>
      </w:r>
      <w:r w:rsidRPr="008F42DE">
        <w:rPr>
          <w:rFonts w:eastAsia="Malgun Gothic"/>
          <w:b/>
          <w:bCs/>
          <w:lang w:val="fr-FR"/>
        </w:rPr>
        <w:t>Secrétaire</w:t>
      </w:r>
      <w:r w:rsidRPr="008F42DE">
        <w:rPr>
          <w:rFonts w:eastAsia="Malgun Gothic"/>
          <w:lang w:val="fr-FR"/>
        </w:rPr>
        <w:t xml:space="preserve"> </w:t>
      </w:r>
      <w:r w:rsidR="00C70A94">
        <w:rPr>
          <w:rFonts w:eastAsia="Malgun Gothic"/>
          <w:lang w:val="fr-FR"/>
        </w:rPr>
        <w:t xml:space="preserve">était </w:t>
      </w:r>
      <w:r w:rsidR="00C70A94" w:rsidRPr="00C70A94">
        <w:rPr>
          <w:rFonts w:eastAsia="Malgun Gothic"/>
          <w:color w:val="000000" w:themeColor="text1"/>
          <w:lang w:val="fr-FR"/>
        </w:rPr>
        <w:t>également</w:t>
      </w:r>
      <w:r w:rsidR="00C70A94">
        <w:rPr>
          <w:rFonts w:eastAsia="Malgun Gothic"/>
          <w:color w:val="000000" w:themeColor="text1"/>
          <w:lang w:val="fr-FR"/>
        </w:rPr>
        <w:t xml:space="preserve"> </w:t>
      </w:r>
      <w:r w:rsidR="00C70A94">
        <w:rPr>
          <w:rFonts w:eastAsia="Malgun Gothic"/>
          <w:lang w:val="fr-FR"/>
        </w:rPr>
        <w:t>heureux</w:t>
      </w:r>
      <w:r w:rsidRPr="008F42DE">
        <w:rPr>
          <w:rFonts w:eastAsia="Malgun Gothic"/>
          <w:lang w:val="fr-FR"/>
        </w:rPr>
        <w:t xml:space="preserve"> d</w:t>
      </w:r>
      <w:r w:rsidR="00923E72">
        <w:rPr>
          <w:rFonts w:eastAsia="Malgun Gothic"/>
          <w:lang w:val="fr-FR"/>
        </w:rPr>
        <w:t>’</w:t>
      </w:r>
      <w:r w:rsidRPr="008F42DE">
        <w:rPr>
          <w:rFonts w:eastAsia="Malgun Gothic"/>
          <w:lang w:val="fr-FR"/>
        </w:rPr>
        <w:t>annoncer que le Secrétariat poursuiv</w:t>
      </w:r>
      <w:r>
        <w:rPr>
          <w:rFonts w:eastAsia="Malgun Gothic"/>
          <w:lang w:val="fr-FR"/>
        </w:rPr>
        <w:t>ait</w:t>
      </w:r>
      <w:r w:rsidRPr="008F42DE">
        <w:rPr>
          <w:rFonts w:eastAsia="Malgun Gothic"/>
          <w:lang w:val="fr-FR"/>
        </w:rPr>
        <w:t xml:space="preserve"> ses activités préparatoires pour célébrer le vingtième anniversaire de la Convention en</w:t>
      </w:r>
      <w:r w:rsidR="00246428">
        <w:rPr>
          <w:rFonts w:eastAsia="Malgun Gothic"/>
          <w:lang w:val="fr-FR"/>
        </w:rPr>
        <w:t> </w:t>
      </w:r>
      <w:r w:rsidRPr="008F42DE">
        <w:rPr>
          <w:rFonts w:eastAsia="Malgun Gothic"/>
          <w:lang w:val="fr-FR"/>
        </w:rPr>
        <w:t>2023.</w:t>
      </w:r>
      <w:r>
        <w:rPr>
          <w:rFonts w:eastAsia="Malgun Gothic"/>
          <w:lang w:val="fr-FR"/>
        </w:rPr>
        <w:t xml:space="preserve"> En fonction des </w:t>
      </w:r>
      <w:r w:rsidRPr="008F42DE">
        <w:rPr>
          <w:rFonts w:eastAsia="Malgun Gothic"/>
          <w:lang w:val="fr-FR"/>
        </w:rPr>
        <w:t xml:space="preserve">thèmes </w:t>
      </w:r>
      <w:r w:rsidR="000757CF">
        <w:rPr>
          <w:rFonts w:eastAsia="Malgun Gothic"/>
          <w:lang w:val="fr-FR"/>
        </w:rPr>
        <w:t xml:space="preserve">indiqués </w:t>
      </w:r>
      <w:r w:rsidRPr="008F42DE">
        <w:rPr>
          <w:rFonts w:eastAsia="Malgun Gothic"/>
          <w:lang w:val="fr-FR"/>
        </w:rPr>
        <w:t>par la</w:t>
      </w:r>
      <w:r>
        <w:rPr>
          <w:rFonts w:eastAsia="Malgun Gothic"/>
          <w:lang w:val="fr-FR"/>
        </w:rPr>
        <w:t xml:space="preserve"> neuvième</w:t>
      </w:r>
      <w:r w:rsidRPr="008F42DE">
        <w:rPr>
          <w:rFonts w:eastAsia="Malgun Gothic"/>
          <w:lang w:val="fr-FR"/>
        </w:rPr>
        <w:t xml:space="preserve"> session de l</w:t>
      </w:r>
      <w:r w:rsidR="00923E72">
        <w:rPr>
          <w:rFonts w:eastAsia="Malgun Gothic"/>
          <w:lang w:val="fr-FR"/>
        </w:rPr>
        <w:t>’</w:t>
      </w:r>
      <w:r w:rsidRPr="008F42DE">
        <w:rPr>
          <w:rFonts w:eastAsia="Malgun Gothic"/>
          <w:lang w:val="fr-FR"/>
        </w:rPr>
        <w:t>Assemblée générale, le Secrétariat a</w:t>
      </w:r>
      <w:r>
        <w:rPr>
          <w:rFonts w:eastAsia="Malgun Gothic"/>
          <w:lang w:val="fr-FR"/>
        </w:rPr>
        <w:t>vait</w:t>
      </w:r>
      <w:r w:rsidRPr="008F42DE">
        <w:rPr>
          <w:rFonts w:eastAsia="Malgun Gothic"/>
          <w:lang w:val="fr-FR"/>
        </w:rPr>
        <w:t xml:space="preserve"> organisé une consultation en ligne avec les bureaux </w:t>
      </w:r>
      <w:r>
        <w:rPr>
          <w:rFonts w:eastAsia="Malgun Gothic"/>
          <w:lang w:val="fr-FR"/>
        </w:rPr>
        <w:t xml:space="preserve">hors Siège </w:t>
      </w:r>
      <w:r w:rsidRPr="008F42DE">
        <w:rPr>
          <w:rFonts w:eastAsia="Malgun Gothic"/>
          <w:lang w:val="fr-FR"/>
        </w:rPr>
        <w:t>de l</w:t>
      </w:r>
      <w:r w:rsidR="00923E72">
        <w:rPr>
          <w:rFonts w:eastAsia="Malgun Gothic"/>
          <w:lang w:val="fr-FR"/>
        </w:rPr>
        <w:t>’</w:t>
      </w:r>
      <w:r w:rsidRPr="008F42DE">
        <w:rPr>
          <w:rFonts w:eastAsia="Malgun Gothic"/>
          <w:lang w:val="fr-FR"/>
        </w:rPr>
        <w:t xml:space="preserve">UNESCO </w:t>
      </w:r>
      <w:r>
        <w:rPr>
          <w:rFonts w:eastAsia="Malgun Gothic"/>
          <w:lang w:val="fr-FR"/>
        </w:rPr>
        <w:t xml:space="preserve">afin de </w:t>
      </w:r>
      <w:r w:rsidRPr="008F42DE">
        <w:rPr>
          <w:rFonts w:eastAsia="Malgun Gothic"/>
          <w:lang w:val="fr-FR"/>
        </w:rPr>
        <w:t>poursuiv</w:t>
      </w:r>
      <w:r>
        <w:rPr>
          <w:rFonts w:eastAsia="Malgun Gothic"/>
          <w:lang w:val="fr-FR"/>
        </w:rPr>
        <w:t>re</w:t>
      </w:r>
      <w:r w:rsidRPr="008F42DE">
        <w:rPr>
          <w:rFonts w:eastAsia="Malgun Gothic"/>
          <w:lang w:val="fr-FR"/>
        </w:rPr>
        <w:t xml:space="preserve"> l</w:t>
      </w:r>
      <w:r w:rsidR="00923E72">
        <w:rPr>
          <w:rFonts w:eastAsia="Malgun Gothic"/>
          <w:lang w:val="fr-FR"/>
        </w:rPr>
        <w:t>’</w:t>
      </w:r>
      <w:r w:rsidRPr="008F42DE">
        <w:rPr>
          <w:rFonts w:eastAsia="Malgun Gothic"/>
          <w:lang w:val="fr-FR"/>
        </w:rPr>
        <w:t>identification de partenariats et de soutien financier pour l</w:t>
      </w:r>
      <w:r w:rsidR="00923E72">
        <w:rPr>
          <w:rFonts w:eastAsia="Malgun Gothic"/>
          <w:lang w:val="fr-FR"/>
        </w:rPr>
        <w:t>’</w:t>
      </w:r>
      <w:r w:rsidRPr="008F42DE">
        <w:rPr>
          <w:rFonts w:eastAsia="Malgun Gothic"/>
          <w:lang w:val="fr-FR"/>
        </w:rPr>
        <w:t>organisation de cette année de célébration.</w:t>
      </w:r>
      <w:r w:rsidR="00C70A94">
        <w:rPr>
          <w:rFonts w:eastAsia="Malgun Gothic"/>
          <w:lang w:val="fr-FR"/>
        </w:rPr>
        <w:t xml:space="preserve"> Si l</w:t>
      </w:r>
      <w:r w:rsidR="00923E72">
        <w:rPr>
          <w:rFonts w:eastAsia="Malgun Gothic"/>
          <w:lang w:val="fr-FR"/>
        </w:rPr>
        <w:t>’</w:t>
      </w:r>
      <w:r w:rsidR="00C70A94">
        <w:rPr>
          <w:rFonts w:eastAsia="Malgun Gothic"/>
          <w:lang w:val="fr-FR"/>
        </w:rPr>
        <w:t xml:space="preserve">on résumait </w:t>
      </w:r>
      <w:r w:rsidR="000757CF">
        <w:rPr>
          <w:rFonts w:eastAsia="Malgun Gothic"/>
          <w:lang w:val="fr-FR"/>
        </w:rPr>
        <w:t xml:space="preserve">en </w:t>
      </w:r>
      <w:r>
        <w:rPr>
          <w:rFonts w:eastAsia="Malgun Gothic"/>
          <w:lang w:val="fr-FR"/>
        </w:rPr>
        <w:t xml:space="preserve">chiffres </w:t>
      </w:r>
      <w:r w:rsidRPr="008F42DE">
        <w:rPr>
          <w:rFonts w:eastAsia="Malgun Gothic"/>
          <w:lang w:val="fr-FR"/>
        </w:rPr>
        <w:t>la période couverte par le rapport</w:t>
      </w:r>
      <w:r w:rsidR="00C70A94">
        <w:rPr>
          <w:rFonts w:eastAsia="Malgun Gothic"/>
          <w:lang w:val="fr-FR"/>
        </w:rPr>
        <w:t>, l</w:t>
      </w:r>
      <w:r w:rsidRPr="008F42DE">
        <w:rPr>
          <w:rFonts w:eastAsia="Malgun Gothic"/>
          <w:lang w:val="fr-FR"/>
        </w:rPr>
        <w:t>e Secrétariat a</w:t>
      </w:r>
      <w:r>
        <w:rPr>
          <w:rFonts w:eastAsia="Malgun Gothic"/>
          <w:lang w:val="fr-FR"/>
        </w:rPr>
        <w:t>vait</w:t>
      </w:r>
      <w:r w:rsidRPr="008F42DE">
        <w:rPr>
          <w:rFonts w:eastAsia="Malgun Gothic"/>
          <w:lang w:val="fr-FR"/>
        </w:rPr>
        <w:t xml:space="preserve"> soutenu le renforcement des capacités de </w:t>
      </w:r>
      <w:r>
        <w:rPr>
          <w:rFonts w:eastAsia="Malgun Gothic"/>
          <w:lang w:val="fr-FR"/>
        </w:rPr>
        <w:t>quatre</w:t>
      </w:r>
      <w:r>
        <w:rPr>
          <w:rFonts w:eastAsia="Malgun Gothic"/>
          <w:lang w:val="fr-FR"/>
        </w:rPr>
        <w:noBreakHyphen/>
        <w:t>vingt</w:t>
      </w:r>
      <w:r>
        <w:rPr>
          <w:rFonts w:eastAsia="Malgun Gothic"/>
          <w:lang w:val="fr-FR"/>
        </w:rPr>
        <w:noBreakHyphen/>
        <w:t>seize</w:t>
      </w:r>
      <w:r w:rsidRPr="008F42DE">
        <w:rPr>
          <w:rFonts w:eastAsia="Malgun Gothic"/>
          <w:lang w:val="fr-FR"/>
        </w:rPr>
        <w:t xml:space="preserve"> États membres, dont </w:t>
      </w:r>
      <w:r>
        <w:rPr>
          <w:rFonts w:eastAsia="Malgun Gothic"/>
          <w:lang w:val="fr-FR"/>
        </w:rPr>
        <w:t>seize</w:t>
      </w:r>
      <w:r w:rsidRPr="008F42DE">
        <w:rPr>
          <w:rFonts w:eastAsia="Malgun Gothic"/>
          <w:lang w:val="fr-FR"/>
        </w:rPr>
        <w:t xml:space="preserve"> en Afrique et </w:t>
      </w:r>
      <w:r>
        <w:rPr>
          <w:rFonts w:eastAsia="Malgun Gothic"/>
          <w:lang w:val="fr-FR"/>
        </w:rPr>
        <w:t>neuf</w:t>
      </w:r>
      <w:r w:rsidRPr="008F42DE">
        <w:rPr>
          <w:rFonts w:eastAsia="Malgun Gothic"/>
          <w:lang w:val="fr-FR"/>
        </w:rPr>
        <w:t xml:space="preserve"> dans les PEID. Parmi eux, </w:t>
      </w:r>
      <w:r>
        <w:rPr>
          <w:rFonts w:eastAsia="Malgun Gothic"/>
          <w:lang w:val="fr-FR"/>
        </w:rPr>
        <w:t>vingt</w:t>
      </w:r>
      <w:r>
        <w:rPr>
          <w:rFonts w:eastAsia="Malgun Gothic"/>
          <w:lang w:val="fr-FR"/>
        </w:rPr>
        <w:noBreakHyphen/>
        <w:t>deux</w:t>
      </w:r>
      <w:r w:rsidRPr="008F42DE">
        <w:rPr>
          <w:rFonts w:eastAsia="Malgun Gothic"/>
          <w:lang w:val="fr-FR"/>
        </w:rPr>
        <w:t xml:space="preserve"> États </w:t>
      </w:r>
      <w:r>
        <w:rPr>
          <w:rFonts w:eastAsia="Malgun Gothic"/>
          <w:lang w:val="fr-FR"/>
        </w:rPr>
        <w:t>avaient</w:t>
      </w:r>
      <w:r w:rsidRPr="008F42DE">
        <w:rPr>
          <w:rFonts w:eastAsia="Malgun Gothic"/>
          <w:lang w:val="fr-FR"/>
        </w:rPr>
        <w:t xml:space="preserve"> lancé de nouveaux programmes axés sur les actions fondamentales de la Convention et sur différents domaines th</w:t>
      </w:r>
      <w:r>
        <w:rPr>
          <w:rFonts w:eastAsia="Malgun Gothic"/>
          <w:lang w:val="fr-FR"/>
        </w:rPr>
        <w:t>é</w:t>
      </w:r>
      <w:r w:rsidRPr="008F42DE">
        <w:rPr>
          <w:rFonts w:eastAsia="Malgun Gothic"/>
          <w:lang w:val="fr-FR"/>
        </w:rPr>
        <w:t>matiques. Le Secrétariat a</w:t>
      </w:r>
      <w:r>
        <w:rPr>
          <w:rFonts w:eastAsia="Malgun Gothic"/>
          <w:lang w:val="fr-FR"/>
        </w:rPr>
        <w:t>vait</w:t>
      </w:r>
      <w:r w:rsidRPr="008F42DE">
        <w:rPr>
          <w:rFonts w:eastAsia="Malgun Gothic"/>
          <w:lang w:val="fr-FR"/>
        </w:rPr>
        <w:t xml:space="preserve"> organisé </w:t>
      </w:r>
      <w:r>
        <w:rPr>
          <w:rFonts w:eastAsia="Malgun Gothic"/>
          <w:lang w:val="fr-FR"/>
        </w:rPr>
        <w:t>douze</w:t>
      </w:r>
      <w:r w:rsidRPr="008F42DE">
        <w:rPr>
          <w:rFonts w:eastAsia="Malgun Gothic"/>
          <w:lang w:val="fr-FR"/>
        </w:rPr>
        <w:t xml:space="preserve"> réunions statutaires, y compris des sessions de l</w:t>
      </w:r>
      <w:r w:rsidR="00923E72">
        <w:rPr>
          <w:rFonts w:eastAsia="Malgun Gothic"/>
          <w:lang w:val="fr-FR"/>
        </w:rPr>
        <w:t>’</w:t>
      </w:r>
      <w:r w:rsidRPr="008F42DE">
        <w:rPr>
          <w:rFonts w:eastAsia="Malgun Gothic"/>
          <w:lang w:val="fr-FR"/>
        </w:rPr>
        <w:t>Assemblée générale, du Comité, du Bureau ainsi que des réunions du groupe de travail à composition non limitée et de l</w:t>
      </w:r>
      <w:r w:rsidR="00923E72">
        <w:rPr>
          <w:rFonts w:eastAsia="Malgun Gothic"/>
          <w:lang w:val="fr-FR"/>
        </w:rPr>
        <w:t>’</w:t>
      </w:r>
      <w:r w:rsidRPr="008F42DE">
        <w:rPr>
          <w:rFonts w:eastAsia="Malgun Gothic"/>
          <w:lang w:val="fr-FR"/>
        </w:rPr>
        <w:t>Organe d</w:t>
      </w:r>
      <w:r w:rsidR="00923E72">
        <w:rPr>
          <w:rFonts w:eastAsia="Malgun Gothic"/>
          <w:lang w:val="fr-FR"/>
        </w:rPr>
        <w:t>’</w:t>
      </w:r>
      <w:r w:rsidRPr="008F42DE">
        <w:rPr>
          <w:rFonts w:eastAsia="Malgun Gothic"/>
          <w:lang w:val="fr-FR"/>
        </w:rPr>
        <w:t>évaluation. Il a</w:t>
      </w:r>
      <w:r>
        <w:rPr>
          <w:rFonts w:eastAsia="Malgun Gothic"/>
          <w:lang w:val="fr-FR"/>
        </w:rPr>
        <w:t>vait</w:t>
      </w:r>
      <w:r w:rsidRPr="008F42DE">
        <w:rPr>
          <w:rFonts w:eastAsia="Malgun Gothic"/>
          <w:lang w:val="fr-FR"/>
        </w:rPr>
        <w:t xml:space="preserve"> fourni une analyse approfondie de </w:t>
      </w:r>
      <w:r w:rsidR="000757CF">
        <w:rPr>
          <w:rFonts w:eastAsia="Malgun Gothic"/>
          <w:lang w:val="fr-FR"/>
        </w:rPr>
        <w:t>vingt-huit</w:t>
      </w:r>
      <w:r w:rsidRPr="008F42DE">
        <w:rPr>
          <w:rFonts w:eastAsia="Malgun Gothic"/>
          <w:lang w:val="fr-FR"/>
        </w:rPr>
        <w:t xml:space="preserve"> rapports soumis par des États d</w:t>
      </w:r>
      <w:r w:rsidR="00923E72">
        <w:rPr>
          <w:rFonts w:eastAsia="Malgun Gothic"/>
          <w:lang w:val="fr-FR"/>
        </w:rPr>
        <w:t>’</w:t>
      </w:r>
      <w:r w:rsidRPr="008F42DE">
        <w:rPr>
          <w:rFonts w:eastAsia="Malgun Gothic"/>
          <w:lang w:val="fr-FR"/>
        </w:rPr>
        <w:t xml:space="preserve">Amérique latine et des Caraïbes, et produit un aperçu analytique de </w:t>
      </w:r>
      <w:r w:rsidR="000757CF">
        <w:rPr>
          <w:rFonts w:eastAsia="Malgun Gothic"/>
          <w:lang w:val="fr-FR"/>
        </w:rPr>
        <w:t>quarante</w:t>
      </w:r>
      <w:r w:rsidR="000757CF">
        <w:rPr>
          <w:rFonts w:eastAsia="Malgun Gothic"/>
          <w:lang w:val="fr-FR"/>
        </w:rPr>
        <w:noBreakHyphen/>
        <w:t>deux</w:t>
      </w:r>
      <w:r w:rsidRPr="008F42DE">
        <w:rPr>
          <w:rFonts w:eastAsia="Malgun Gothic"/>
          <w:lang w:val="fr-FR"/>
        </w:rPr>
        <w:t xml:space="preserve"> rapports provenant de la région européenne. Le </w:t>
      </w:r>
      <w:r w:rsidR="000757CF">
        <w:rPr>
          <w:rFonts w:eastAsia="Malgun Gothic"/>
          <w:lang w:val="fr-FR"/>
        </w:rPr>
        <w:t>S</w:t>
      </w:r>
      <w:r w:rsidRPr="008F42DE">
        <w:rPr>
          <w:rFonts w:eastAsia="Malgun Gothic"/>
          <w:lang w:val="fr-FR"/>
        </w:rPr>
        <w:t>ecrétariat a</w:t>
      </w:r>
      <w:r w:rsidR="000757CF">
        <w:rPr>
          <w:rFonts w:eastAsia="Malgun Gothic"/>
          <w:lang w:val="fr-FR"/>
        </w:rPr>
        <w:t>vait</w:t>
      </w:r>
      <w:r w:rsidRPr="008F42DE">
        <w:rPr>
          <w:rFonts w:eastAsia="Malgun Gothic"/>
          <w:lang w:val="fr-FR"/>
        </w:rPr>
        <w:t xml:space="preserve"> formé </w:t>
      </w:r>
      <w:r w:rsidR="000757CF">
        <w:rPr>
          <w:rFonts w:eastAsia="Malgun Gothic"/>
          <w:lang w:val="fr-FR"/>
        </w:rPr>
        <w:t>vingt</w:t>
      </w:r>
      <w:r w:rsidR="000757CF">
        <w:rPr>
          <w:rFonts w:eastAsia="Malgun Gothic"/>
          <w:lang w:val="fr-FR"/>
        </w:rPr>
        <w:noBreakHyphen/>
        <w:t>et</w:t>
      </w:r>
      <w:r w:rsidR="000757CF">
        <w:rPr>
          <w:rFonts w:eastAsia="Malgun Gothic"/>
          <w:lang w:val="fr-FR"/>
        </w:rPr>
        <w:noBreakHyphen/>
        <w:t>un</w:t>
      </w:r>
      <w:r w:rsidRPr="008F42DE">
        <w:rPr>
          <w:rFonts w:eastAsia="Malgun Gothic"/>
          <w:lang w:val="fr-FR"/>
        </w:rPr>
        <w:t xml:space="preserve"> points focaux nationaux pour les rapports périodiques dans les États arabes. Il a</w:t>
      </w:r>
      <w:r w:rsidR="000757CF">
        <w:rPr>
          <w:rFonts w:eastAsia="Malgun Gothic"/>
          <w:lang w:val="fr-FR"/>
        </w:rPr>
        <w:t xml:space="preserve">vait </w:t>
      </w:r>
      <w:r w:rsidRPr="008F42DE">
        <w:rPr>
          <w:rFonts w:eastAsia="Malgun Gothic"/>
          <w:lang w:val="fr-FR"/>
        </w:rPr>
        <w:t>suivi</w:t>
      </w:r>
      <w:r w:rsidR="000757CF">
        <w:rPr>
          <w:rFonts w:eastAsia="Malgun Gothic"/>
          <w:lang w:val="fr-FR"/>
        </w:rPr>
        <w:t xml:space="preserve"> </w:t>
      </w:r>
      <w:r w:rsidR="000757CF">
        <w:rPr>
          <w:rFonts w:eastAsia="Malgun Gothic"/>
          <w:lang w:val="fr-FR"/>
        </w:rPr>
        <w:lastRenderedPageBreak/>
        <w:t>quarante</w:t>
      </w:r>
      <w:r w:rsidR="000757CF">
        <w:rPr>
          <w:rFonts w:eastAsia="Malgun Gothic"/>
          <w:lang w:val="fr-FR"/>
        </w:rPr>
        <w:noBreakHyphen/>
        <w:t>deux</w:t>
      </w:r>
      <w:r w:rsidRPr="008F42DE">
        <w:rPr>
          <w:rFonts w:eastAsia="Malgun Gothic"/>
          <w:lang w:val="fr-FR"/>
        </w:rPr>
        <w:t xml:space="preserve"> demandes d</w:t>
      </w:r>
      <w:r w:rsidR="00923E72">
        <w:rPr>
          <w:rFonts w:eastAsia="Malgun Gothic"/>
          <w:lang w:val="fr-FR"/>
        </w:rPr>
        <w:t>’</w:t>
      </w:r>
      <w:r w:rsidRPr="008F42DE">
        <w:rPr>
          <w:rFonts w:eastAsia="Malgun Gothic"/>
          <w:lang w:val="fr-FR"/>
        </w:rPr>
        <w:t xml:space="preserve">assistance internationale dans </w:t>
      </w:r>
      <w:r w:rsidR="000757CF">
        <w:rPr>
          <w:rFonts w:eastAsia="Malgun Gothic"/>
          <w:lang w:val="fr-FR"/>
        </w:rPr>
        <w:t>trente</w:t>
      </w:r>
      <w:r w:rsidR="000757CF">
        <w:rPr>
          <w:rFonts w:eastAsia="Malgun Gothic"/>
          <w:lang w:val="fr-FR"/>
        </w:rPr>
        <w:noBreakHyphen/>
        <w:t>quatre</w:t>
      </w:r>
      <w:r w:rsidRPr="008F42DE">
        <w:rPr>
          <w:rFonts w:eastAsia="Malgun Gothic"/>
          <w:lang w:val="fr-FR"/>
        </w:rPr>
        <w:t xml:space="preserve"> États, dont </w:t>
      </w:r>
      <w:r w:rsidR="000757CF">
        <w:rPr>
          <w:rFonts w:eastAsia="Malgun Gothic"/>
          <w:lang w:val="fr-FR"/>
        </w:rPr>
        <w:t>dix</w:t>
      </w:r>
      <w:r w:rsidR="000757CF">
        <w:rPr>
          <w:rFonts w:eastAsia="Malgun Gothic"/>
          <w:lang w:val="fr-FR"/>
        </w:rPr>
        <w:noBreakHyphen/>
        <w:t>sept</w:t>
      </w:r>
      <w:r w:rsidRPr="008F42DE">
        <w:rPr>
          <w:rFonts w:eastAsia="Malgun Gothic"/>
          <w:lang w:val="fr-FR"/>
        </w:rPr>
        <w:t xml:space="preserve"> en Afrique et </w:t>
      </w:r>
      <w:r w:rsidR="000757CF">
        <w:rPr>
          <w:rFonts w:eastAsia="Malgun Gothic"/>
          <w:lang w:val="fr-FR"/>
        </w:rPr>
        <w:t>neuf</w:t>
      </w:r>
      <w:r w:rsidRPr="008F42DE">
        <w:rPr>
          <w:rFonts w:eastAsia="Malgun Gothic"/>
          <w:lang w:val="fr-FR"/>
        </w:rPr>
        <w:t xml:space="preserve"> dans les PEID, et a</w:t>
      </w:r>
      <w:r w:rsidR="000757CF">
        <w:rPr>
          <w:rFonts w:eastAsia="Malgun Gothic"/>
          <w:lang w:val="fr-FR"/>
        </w:rPr>
        <w:t>vait</w:t>
      </w:r>
      <w:r w:rsidRPr="008F42DE">
        <w:rPr>
          <w:rFonts w:eastAsia="Malgun Gothic"/>
          <w:lang w:val="fr-FR"/>
        </w:rPr>
        <w:t xml:space="preserve"> traité et évalué cinq nouvelles demandes d</w:t>
      </w:r>
      <w:r w:rsidR="00923E72">
        <w:rPr>
          <w:rFonts w:eastAsia="Malgun Gothic"/>
          <w:lang w:val="fr-FR"/>
        </w:rPr>
        <w:t>’</w:t>
      </w:r>
      <w:r w:rsidRPr="008F42DE">
        <w:rPr>
          <w:rFonts w:eastAsia="Malgun Gothic"/>
          <w:lang w:val="fr-FR"/>
        </w:rPr>
        <w:t>assistance internationale, dont une en provenance d</w:t>
      </w:r>
      <w:r w:rsidR="00923E72">
        <w:rPr>
          <w:rFonts w:eastAsia="Malgun Gothic"/>
          <w:lang w:val="fr-FR"/>
        </w:rPr>
        <w:t>’</w:t>
      </w:r>
      <w:r w:rsidRPr="008F42DE">
        <w:rPr>
          <w:rFonts w:eastAsia="Malgun Gothic"/>
          <w:lang w:val="fr-FR"/>
        </w:rPr>
        <w:t>Afrique et deux en provenance des PEID. Le Secrétariat a</w:t>
      </w:r>
      <w:r w:rsidR="000757CF">
        <w:rPr>
          <w:rFonts w:eastAsia="Malgun Gothic"/>
          <w:lang w:val="fr-FR"/>
        </w:rPr>
        <w:t>vait</w:t>
      </w:r>
      <w:r w:rsidRPr="008F42DE">
        <w:rPr>
          <w:rFonts w:eastAsia="Malgun Gothic"/>
          <w:lang w:val="fr-FR"/>
        </w:rPr>
        <w:t xml:space="preserve"> également traité </w:t>
      </w:r>
      <w:r w:rsidR="000757CF">
        <w:rPr>
          <w:rFonts w:eastAsia="Malgun Gothic"/>
          <w:lang w:val="fr-FR"/>
        </w:rPr>
        <w:t>cinquante</w:t>
      </w:r>
      <w:r w:rsidR="000757CF">
        <w:rPr>
          <w:rFonts w:eastAsia="Malgun Gothic"/>
          <w:lang w:val="fr-FR"/>
        </w:rPr>
        <w:noBreakHyphen/>
        <w:t>sept</w:t>
      </w:r>
      <w:r w:rsidRPr="008F42DE">
        <w:rPr>
          <w:rFonts w:eastAsia="Malgun Gothic"/>
          <w:lang w:val="fr-FR"/>
        </w:rPr>
        <w:t xml:space="preserve"> dossiers de candidature pour le cycle</w:t>
      </w:r>
      <w:r w:rsidR="00246428">
        <w:rPr>
          <w:rFonts w:eastAsia="Malgun Gothic"/>
          <w:lang w:val="fr-FR"/>
        </w:rPr>
        <w:t> </w:t>
      </w:r>
      <w:r w:rsidRPr="008F42DE">
        <w:rPr>
          <w:rFonts w:eastAsia="Malgun Gothic"/>
          <w:lang w:val="fr-FR"/>
        </w:rPr>
        <w:t>2022, dont un dossier traité de manière accélérée au titre de l</w:t>
      </w:r>
      <w:r w:rsidR="00923E72">
        <w:rPr>
          <w:rFonts w:eastAsia="Malgun Gothic"/>
          <w:lang w:val="fr-FR"/>
        </w:rPr>
        <w:t>’</w:t>
      </w:r>
      <w:r w:rsidRPr="008F42DE">
        <w:rPr>
          <w:rFonts w:eastAsia="Malgun Gothic"/>
          <w:lang w:val="fr-FR"/>
        </w:rPr>
        <w:t>article</w:t>
      </w:r>
      <w:r w:rsidR="00C9762A">
        <w:rPr>
          <w:rFonts w:eastAsia="Malgun Gothic"/>
          <w:lang w:val="fr-FR"/>
        </w:rPr>
        <w:t> </w:t>
      </w:r>
      <w:r w:rsidRPr="008F42DE">
        <w:rPr>
          <w:rFonts w:eastAsia="Malgun Gothic"/>
          <w:lang w:val="fr-FR"/>
        </w:rPr>
        <w:t>17.3. Il a</w:t>
      </w:r>
      <w:r w:rsidR="000757CF">
        <w:rPr>
          <w:rFonts w:eastAsia="Malgun Gothic"/>
          <w:lang w:val="fr-FR"/>
        </w:rPr>
        <w:t>vait</w:t>
      </w:r>
      <w:r w:rsidRPr="008F42DE">
        <w:rPr>
          <w:rFonts w:eastAsia="Malgun Gothic"/>
          <w:lang w:val="fr-FR"/>
        </w:rPr>
        <w:t xml:space="preserve"> géré l</w:t>
      </w:r>
      <w:r w:rsidR="00923E72">
        <w:rPr>
          <w:rFonts w:eastAsia="Malgun Gothic"/>
          <w:lang w:val="fr-FR"/>
        </w:rPr>
        <w:t>’</w:t>
      </w:r>
      <w:r w:rsidRPr="008F42DE">
        <w:rPr>
          <w:rFonts w:eastAsia="Malgun Gothic"/>
          <w:lang w:val="fr-FR"/>
        </w:rPr>
        <w:t xml:space="preserve">enregistrement de </w:t>
      </w:r>
      <w:r w:rsidR="000757CF">
        <w:rPr>
          <w:rFonts w:eastAsia="Malgun Gothic"/>
          <w:lang w:val="fr-FR"/>
        </w:rPr>
        <w:t>quatre</w:t>
      </w:r>
      <w:r w:rsidR="000757CF">
        <w:rPr>
          <w:rFonts w:eastAsia="Malgun Gothic"/>
          <w:lang w:val="fr-FR"/>
        </w:rPr>
        <w:noBreakHyphen/>
        <w:t>vingt</w:t>
      </w:r>
      <w:r w:rsidR="000757CF">
        <w:rPr>
          <w:rFonts w:eastAsia="Malgun Gothic"/>
          <w:lang w:val="fr-FR"/>
        </w:rPr>
        <w:noBreakHyphen/>
        <w:t>deux</w:t>
      </w:r>
      <w:r w:rsidRPr="008F42DE">
        <w:rPr>
          <w:rFonts w:eastAsia="Malgun Gothic"/>
          <w:lang w:val="fr-FR"/>
        </w:rPr>
        <w:t xml:space="preserve"> dossiers de candidature soumis pour le cycle</w:t>
      </w:r>
      <w:r w:rsidR="00DB6A4B">
        <w:rPr>
          <w:rFonts w:eastAsia="Malgun Gothic"/>
          <w:lang w:val="fr-FR"/>
        </w:rPr>
        <w:t> </w:t>
      </w:r>
      <w:r w:rsidR="00C70A94">
        <w:rPr>
          <w:rFonts w:eastAsia="Malgun Gothic"/>
          <w:lang w:val="fr-FR"/>
        </w:rPr>
        <w:t xml:space="preserve">2023 </w:t>
      </w:r>
      <w:r w:rsidRPr="008F42DE">
        <w:rPr>
          <w:rFonts w:eastAsia="Malgun Gothic"/>
          <w:lang w:val="fr-FR"/>
        </w:rPr>
        <w:t>et a</w:t>
      </w:r>
      <w:r w:rsidR="000757CF">
        <w:rPr>
          <w:rFonts w:eastAsia="Malgun Gothic"/>
          <w:lang w:val="fr-FR"/>
        </w:rPr>
        <w:t>vait</w:t>
      </w:r>
      <w:r w:rsidRPr="008F42DE">
        <w:rPr>
          <w:rFonts w:eastAsia="Malgun Gothic"/>
          <w:lang w:val="fr-FR"/>
        </w:rPr>
        <w:t xml:space="preserve"> vérifié l</w:t>
      </w:r>
      <w:r w:rsidR="00923E72">
        <w:rPr>
          <w:rFonts w:eastAsia="Malgun Gothic"/>
          <w:lang w:val="fr-FR"/>
        </w:rPr>
        <w:t>’</w:t>
      </w:r>
      <w:r w:rsidRPr="008F42DE">
        <w:rPr>
          <w:rFonts w:eastAsia="Malgun Gothic"/>
          <w:lang w:val="fr-FR"/>
        </w:rPr>
        <w:t xml:space="preserve">exhaustivité technique de </w:t>
      </w:r>
      <w:r w:rsidR="000757CF">
        <w:rPr>
          <w:rFonts w:eastAsia="Malgun Gothic"/>
          <w:lang w:val="fr-FR"/>
        </w:rPr>
        <w:t>soixante</w:t>
      </w:r>
      <w:r w:rsidRPr="008F42DE">
        <w:rPr>
          <w:rFonts w:eastAsia="Malgun Gothic"/>
          <w:lang w:val="fr-FR"/>
        </w:rPr>
        <w:t xml:space="preserve"> de ces dossiers. Le Secrétariat a</w:t>
      </w:r>
      <w:r w:rsidR="000757CF">
        <w:rPr>
          <w:rFonts w:eastAsia="Malgun Gothic"/>
          <w:lang w:val="fr-FR"/>
        </w:rPr>
        <w:t>vait</w:t>
      </w:r>
      <w:r w:rsidRPr="008F42DE">
        <w:rPr>
          <w:rFonts w:eastAsia="Malgun Gothic"/>
          <w:lang w:val="fr-FR"/>
        </w:rPr>
        <w:t xml:space="preserve"> renforcé sa collaboration avec le Forum </w:t>
      </w:r>
      <w:r w:rsidR="000757CF">
        <w:rPr>
          <w:rFonts w:eastAsia="Malgun Gothic"/>
          <w:lang w:val="fr-FR"/>
        </w:rPr>
        <w:t>des ONG du PCI</w:t>
      </w:r>
      <w:r w:rsidRPr="008F42DE">
        <w:rPr>
          <w:rFonts w:eastAsia="Malgun Gothic"/>
          <w:lang w:val="fr-FR"/>
        </w:rPr>
        <w:t>, notamment dans le cadre de la cartographie d</w:t>
      </w:r>
      <w:r w:rsidR="0061370F">
        <w:rPr>
          <w:rFonts w:eastAsia="Malgun Gothic"/>
          <w:lang w:val="fr-FR"/>
        </w:rPr>
        <w:t>es</w:t>
      </w:r>
      <w:r w:rsidRPr="008F42DE">
        <w:rPr>
          <w:rFonts w:eastAsia="Malgun Gothic"/>
          <w:lang w:val="fr-FR"/>
        </w:rPr>
        <w:t xml:space="preserve"> domaine</w:t>
      </w:r>
      <w:r w:rsidR="0061370F">
        <w:rPr>
          <w:rFonts w:eastAsia="Malgun Gothic"/>
          <w:lang w:val="fr-FR"/>
        </w:rPr>
        <w:t>s</w:t>
      </w:r>
      <w:r w:rsidRPr="008F42DE">
        <w:rPr>
          <w:rFonts w:eastAsia="Malgun Gothic"/>
          <w:lang w:val="fr-FR"/>
        </w:rPr>
        <w:t xml:space="preserve"> </w:t>
      </w:r>
      <w:r w:rsidR="0061370F">
        <w:rPr>
          <w:rFonts w:eastAsia="Malgun Gothic"/>
          <w:lang w:val="fr-FR"/>
        </w:rPr>
        <w:t xml:space="preserve">de compétences </w:t>
      </w:r>
      <w:r w:rsidRPr="008F42DE">
        <w:rPr>
          <w:rFonts w:eastAsia="Malgun Gothic"/>
          <w:lang w:val="fr-FR"/>
        </w:rPr>
        <w:t xml:space="preserve">de </w:t>
      </w:r>
      <w:r w:rsidR="00FA17FD">
        <w:rPr>
          <w:rFonts w:eastAsia="Malgun Gothic"/>
          <w:lang w:val="fr-FR"/>
        </w:rPr>
        <w:t>soixante</w:t>
      </w:r>
      <w:r w:rsidR="00FA17FD">
        <w:rPr>
          <w:rFonts w:eastAsia="Malgun Gothic"/>
          <w:lang w:val="fr-FR"/>
        </w:rPr>
        <w:noBreakHyphen/>
        <w:t>cinq</w:t>
      </w:r>
      <w:r w:rsidRPr="008F42DE">
        <w:rPr>
          <w:rFonts w:eastAsia="Malgun Gothic"/>
          <w:lang w:val="fr-FR"/>
        </w:rPr>
        <w:t xml:space="preserve"> ONG accréditées, et</w:t>
      </w:r>
      <w:r w:rsidR="000757CF">
        <w:rPr>
          <w:rFonts w:eastAsia="Malgun Gothic"/>
          <w:lang w:val="fr-FR"/>
        </w:rPr>
        <w:t xml:space="preserve"> </w:t>
      </w:r>
      <w:r w:rsidRPr="008F42DE">
        <w:rPr>
          <w:rFonts w:eastAsia="Malgun Gothic"/>
          <w:lang w:val="fr-FR"/>
        </w:rPr>
        <w:t xml:space="preserve">organisé un atelier de formation interrégional en coopération avec deux bureaux extérieurs, formant </w:t>
      </w:r>
      <w:r w:rsidR="000757CF">
        <w:rPr>
          <w:rFonts w:eastAsia="Malgun Gothic"/>
          <w:lang w:val="fr-FR"/>
        </w:rPr>
        <w:t>trente</w:t>
      </w:r>
      <w:r w:rsidRPr="008F42DE">
        <w:rPr>
          <w:rFonts w:eastAsia="Malgun Gothic"/>
          <w:lang w:val="fr-FR"/>
        </w:rPr>
        <w:t xml:space="preserve"> participants de cinq PEID du Pacifique et des Caraïbes. Il a</w:t>
      </w:r>
      <w:r w:rsidR="000757CF">
        <w:rPr>
          <w:rFonts w:eastAsia="Malgun Gothic"/>
          <w:lang w:val="fr-FR"/>
        </w:rPr>
        <w:t>vait</w:t>
      </w:r>
      <w:r w:rsidRPr="008F42DE">
        <w:rPr>
          <w:rFonts w:eastAsia="Malgun Gothic"/>
          <w:lang w:val="fr-FR"/>
        </w:rPr>
        <w:t xml:space="preserve"> traité sept propositions de création ou de renouvellement de chaires UNESCO, y compris la création du premier réseau UNITWIN sur le PCI.</w:t>
      </w:r>
    </w:p>
    <w:p w14:paraId="6CC4E85F" w14:textId="403F829E" w:rsidR="000757CF" w:rsidRDefault="00FA17F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A17FD">
        <w:rPr>
          <w:rFonts w:eastAsia="Malgun Gothic"/>
          <w:lang w:val="fr-FR"/>
        </w:rPr>
        <w:t xml:space="preserve">Le </w:t>
      </w:r>
      <w:r w:rsidRPr="00FA17FD">
        <w:rPr>
          <w:rFonts w:eastAsia="Malgun Gothic"/>
          <w:b/>
          <w:bCs/>
          <w:lang w:val="fr-FR"/>
        </w:rPr>
        <w:t>Président</w:t>
      </w:r>
      <w:r w:rsidRPr="00FA17FD">
        <w:rPr>
          <w:rFonts w:eastAsia="Malgun Gothic"/>
          <w:lang w:val="fr-FR"/>
        </w:rPr>
        <w:t xml:space="preserve"> </w:t>
      </w:r>
      <w:r>
        <w:rPr>
          <w:rFonts w:eastAsia="Malgun Gothic"/>
          <w:lang w:val="fr-FR"/>
        </w:rPr>
        <w:t xml:space="preserve">a </w:t>
      </w:r>
      <w:r w:rsidRPr="00FA17FD">
        <w:rPr>
          <w:rFonts w:eastAsia="Malgun Gothic"/>
          <w:lang w:val="fr-FR"/>
        </w:rPr>
        <w:t>remerci</w:t>
      </w:r>
      <w:r>
        <w:rPr>
          <w:rFonts w:eastAsia="Malgun Gothic"/>
          <w:lang w:val="fr-FR"/>
        </w:rPr>
        <w:t>é</w:t>
      </w:r>
      <w:r w:rsidRPr="00FA17FD">
        <w:rPr>
          <w:rFonts w:eastAsia="Malgun Gothic"/>
          <w:lang w:val="fr-FR"/>
        </w:rPr>
        <w:t xml:space="preserve"> le Secrétaire pour </w:t>
      </w:r>
      <w:r w:rsidR="0098046B">
        <w:rPr>
          <w:rFonts w:eastAsia="Malgun Gothic"/>
          <w:lang w:val="fr-FR"/>
        </w:rPr>
        <w:t xml:space="preserve">cette </w:t>
      </w:r>
      <w:r w:rsidRPr="00FA17FD">
        <w:rPr>
          <w:rFonts w:eastAsia="Malgun Gothic"/>
          <w:lang w:val="fr-FR"/>
        </w:rPr>
        <w:t>présentation détaillée</w:t>
      </w:r>
      <w:r w:rsidR="0065686B">
        <w:rPr>
          <w:rFonts w:eastAsia="Malgun Gothic"/>
          <w:lang w:val="fr-FR"/>
        </w:rPr>
        <w:t>,</w:t>
      </w:r>
      <w:r w:rsidR="00FC0471">
        <w:rPr>
          <w:rFonts w:eastAsia="Malgun Gothic"/>
          <w:lang w:val="fr-FR"/>
        </w:rPr>
        <w:t xml:space="preserve"> </w:t>
      </w:r>
      <w:r w:rsidRPr="00FA17FD">
        <w:rPr>
          <w:rFonts w:eastAsia="Malgun Gothic"/>
          <w:lang w:val="fr-FR"/>
        </w:rPr>
        <w:t>qui démontr</w:t>
      </w:r>
      <w:r>
        <w:rPr>
          <w:rFonts w:eastAsia="Malgun Gothic"/>
          <w:lang w:val="fr-FR"/>
        </w:rPr>
        <w:t>ait</w:t>
      </w:r>
      <w:r w:rsidRPr="00FA17FD">
        <w:rPr>
          <w:rFonts w:eastAsia="Malgun Gothic"/>
          <w:lang w:val="fr-FR"/>
        </w:rPr>
        <w:t xml:space="preserve"> clairement les efforts et l</w:t>
      </w:r>
      <w:r w:rsidR="00923E72">
        <w:rPr>
          <w:rFonts w:eastAsia="Malgun Gothic"/>
          <w:lang w:val="fr-FR"/>
        </w:rPr>
        <w:t>’</w:t>
      </w:r>
      <w:r w:rsidRPr="00FA17FD">
        <w:rPr>
          <w:rFonts w:eastAsia="Malgun Gothic"/>
          <w:lang w:val="fr-FR"/>
        </w:rPr>
        <w:t xml:space="preserve">énorme charge de travail </w:t>
      </w:r>
      <w:r w:rsidR="0098046B">
        <w:rPr>
          <w:rFonts w:eastAsia="Malgun Gothic"/>
          <w:lang w:val="fr-FR"/>
        </w:rPr>
        <w:t xml:space="preserve">du </w:t>
      </w:r>
      <w:r w:rsidR="0098046B" w:rsidRPr="0098046B">
        <w:rPr>
          <w:rFonts w:eastAsia="Malgun Gothic"/>
          <w:lang w:val="fr-FR"/>
        </w:rPr>
        <w:t>Secréta</w:t>
      </w:r>
      <w:r w:rsidR="0098046B">
        <w:rPr>
          <w:rFonts w:eastAsia="Malgun Gothic"/>
          <w:lang w:val="fr-FR"/>
        </w:rPr>
        <w:t xml:space="preserve">riat dans un </w:t>
      </w:r>
      <w:r w:rsidRPr="00FA17FD">
        <w:rPr>
          <w:rFonts w:eastAsia="Malgun Gothic"/>
          <w:lang w:val="fr-FR"/>
        </w:rPr>
        <w:t>large éventail d</w:t>
      </w:r>
      <w:r w:rsidR="00923E72">
        <w:rPr>
          <w:rFonts w:eastAsia="Malgun Gothic"/>
          <w:lang w:val="fr-FR"/>
        </w:rPr>
        <w:t>’</w:t>
      </w:r>
      <w:r w:rsidRPr="00FA17FD">
        <w:rPr>
          <w:rFonts w:eastAsia="Malgun Gothic"/>
          <w:lang w:val="fr-FR"/>
        </w:rPr>
        <w:t xml:space="preserve">activités. </w:t>
      </w:r>
      <w:r w:rsidR="0098046B">
        <w:rPr>
          <w:rFonts w:eastAsia="Malgun Gothic"/>
          <w:lang w:val="fr-FR"/>
        </w:rPr>
        <w:t xml:space="preserve">Il </w:t>
      </w:r>
      <w:r>
        <w:rPr>
          <w:rFonts w:eastAsia="Malgun Gothic"/>
          <w:lang w:val="fr-FR"/>
        </w:rPr>
        <w:t>a donné la parole aux orateurs afin qu</w:t>
      </w:r>
      <w:r w:rsidR="00923E72">
        <w:rPr>
          <w:rFonts w:eastAsia="Malgun Gothic"/>
          <w:lang w:val="fr-FR"/>
        </w:rPr>
        <w:t>’</w:t>
      </w:r>
      <w:r>
        <w:rPr>
          <w:rFonts w:eastAsia="Malgun Gothic"/>
          <w:lang w:val="fr-FR"/>
        </w:rPr>
        <w:t xml:space="preserve">ils </w:t>
      </w:r>
      <w:r w:rsidR="0098046B">
        <w:rPr>
          <w:rFonts w:eastAsia="Malgun Gothic"/>
          <w:lang w:val="fr-FR"/>
        </w:rPr>
        <w:t xml:space="preserve">fassent part de leurs </w:t>
      </w:r>
      <w:r w:rsidRPr="00FA17FD">
        <w:rPr>
          <w:rFonts w:eastAsia="Malgun Gothic"/>
          <w:lang w:val="fr-FR"/>
        </w:rPr>
        <w:t>commentaires</w:t>
      </w:r>
      <w:r>
        <w:rPr>
          <w:rFonts w:eastAsia="Malgun Gothic"/>
          <w:lang w:val="fr-FR"/>
        </w:rPr>
        <w:t>.</w:t>
      </w:r>
    </w:p>
    <w:p w14:paraId="655AC255" w14:textId="2B21A8DF" w:rsidR="00FA17FD" w:rsidRDefault="00FA17F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A17FD">
        <w:rPr>
          <w:rFonts w:eastAsia="Malgun Gothic"/>
          <w:lang w:val="fr-FR"/>
        </w:rPr>
        <w:t xml:space="preserve">La délégation de la </w:t>
      </w:r>
      <w:r w:rsidRPr="00FA17FD">
        <w:rPr>
          <w:rFonts w:eastAsia="Malgun Gothic"/>
          <w:b/>
          <w:bCs/>
          <w:lang w:val="fr-FR"/>
        </w:rPr>
        <w:t>Suède</w:t>
      </w:r>
      <w:r w:rsidRPr="00FA17FD">
        <w:rPr>
          <w:rFonts w:eastAsia="Malgun Gothic"/>
          <w:lang w:val="fr-FR"/>
        </w:rPr>
        <w:t xml:space="preserve"> a félicité le Président pour s</w:t>
      </w:r>
      <w:r w:rsidR="0098046B">
        <w:rPr>
          <w:rFonts w:eastAsia="Malgun Gothic"/>
          <w:lang w:val="fr-FR"/>
        </w:rPr>
        <w:t>es</w:t>
      </w:r>
      <w:r w:rsidRPr="00FA17FD">
        <w:rPr>
          <w:rFonts w:eastAsia="Malgun Gothic"/>
          <w:lang w:val="fr-FR"/>
        </w:rPr>
        <w:t xml:space="preserve"> </w:t>
      </w:r>
      <w:r w:rsidR="00AD5A29">
        <w:rPr>
          <w:rFonts w:eastAsia="Malgun Gothic"/>
          <w:lang w:val="fr-FR"/>
        </w:rPr>
        <w:t>fonction</w:t>
      </w:r>
      <w:r w:rsidR="0098046B">
        <w:rPr>
          <w:rFonts w:eastAsia="Malgun Gothic"/>
          <w:lang w:val="fr-FR"/>
        </w:rPr>
        <w:t>s</w:t>
      </w:r>
      <w:r w:rsidR="00AD5A29">
        <w:rPr>
          <w:rFonts w:eastAsia="Malgun Gothic"/>
          <w:lang w:val="fr-FR"/>
        </w:rPr>
        <w:t xml:space="preserve"> </w:t>
      </w:r>
      <w:r w:rsidRPr="00FA17FD">
        <w:rPr>
          <w:rFonts w:eastAsia="Malgun Gothic"/>
          <w:lang w:val="fr-FR"/>
        </w:rPr>
        <w:t>et a adressé ses plus vifs remerciements au</w:t>
      </w:r>
      <w:r w:rsidR="0098046B">
        <w:rPr>
          <w:rFonts w:eastAsia="Malgun Gothic"/>
          <w:lang w:val="fr-FR"/>
        </w:rPr>
        <w:t xml:space="preserve"> Maroc </w:t>
      </w:r>
      <w:r w:rsidRPr="00FA17FD">
        <w:rPr>
          <w:rFonts w:eastAsia="Malgun Gothic"/>
          <w:lang w:val="fr-FR"/>
        </w:rPr>
        <w:t xml:space="preserve">pour </w:t>
      </w:r>
      <w:r w:rsidR="0098046B">
        <w:rPr>
          <w:rFonts w:eastAsia="Malgun Gothic"/>
          <w:lang w:val="fr-FR"/>
        </w:rPr>
        <w:t>sa</w:t>
      </w:r>
      <w:r w:rsidRPr="00FA17FD">
        <w:rPr>
          <w:rFonts w:eastAsia="Malgun Gothic"/>
          <w:lang w:val="fr-FR"/>
        </w:rPr>
        <w:t xml:space="preserve"> formidable hospitalité. Elle a remercié le Secrétariat pour </w:t>
      </w:r>
      <w:r w:rsidR="0098046B">
        <w:rPr>
          <w:rFonts w:eastAsia="Malgun Gothic"/>
          <w:lang w:val="fr-FR"/>
        </w:rPr>
        <w:t>son</w:t>
      </w:r>
      <w:r w:rsidRPr="00FA17FD">
        <w:rPr>
          <w:rFonts w:eastAsia="Malgun Gothic"/>
          <w:lang w:val="fr-FR"/>
        </w:rPr>
        <w:t xml:space="preserve"> excellent rapport et pour les importants </w:t>
      </w:r>
      <w:r>
        <w:rPr>
          <w:rFonts w:eastAsia="Malgun Gothic"/>
          <w:lang w:val="fr-FR"/>
        </w:rPr>
        <w:t xml:space="preserve">résultats </w:t>
      </w:r>
      <w:r w:rsidRPr="00FA17FD">
        <w:rPr>
          <w:rFonts w:eastAsia="Malgun Gothic"/>
          <w:lang w:val="fr-FR"/>
        </w:rPr>
        <w:t>obtenus</w:t>
      </w:r>
      <w:r w:rsidR="0039442C">
        <w:rPr>
          <w:rFonts w:eastAsia="Malgun Gothic"/>
          <w:lang w:val="fr-FR"/>
        </w:rPr>
        <w:t xml:space="preserve"> </w:t>
      </w:r>
      <w:r w:rsidRPr="00FA17FD">
        <w:rPr>
          <w:rFonts w:eastAsia="Malgun Gothic"/>
          <w:lang w:val="fr-FR"/>
        </w:rPr>
        <w:t>ainsi que pour tout le travail accompli par le Secrétariat pendant la courte période couverte par le rapport. Bien que l</w:t>
      </w:r>
      <w:r>
        <w:rPr>
          <w:rFonts w:eastAsia="Malgun Gothic"/>
          <w:lang w:val="fr-FR"/>
        </w:rPr>
        <w:t>a</w:t>
      </w:r>
      <w:r w:rsidRPr="00FA17FD">
        <w:rPr>
          <w:rFonts w:eastAsia="Malgun Gothic"/>
          <w:lang w:val="fr-FR"/>
        </w:rPr>
        <w:t xml:space="preserve"> COVID</w:t>
      </w:r>
      <w:r>
        <w:rPr>
          <w:rFonts w:eastAsia="Malgun Gothic"/>
          <w:lang w:val="fr-FR"/>
        </w:rPr>
        <w:noBreakHyphen/>
      </w:r>
      <w:r w:rsidRPr="00FA17FD">
        <w:rPr>
          <w:rFonts w:eastAsia="Malgun Gothic"/>
          <w:lang w:val="fr-FR"/>
        </w:rPr>
        <w:t>19 continue d</w:t>
      </w:r>
      <w:r w:rsidR="00923E72">
        <w:rPr>
          <w:rFonts w:eastAsia="Malgun Gothic"/>
          <w:lang w:val="fr-FR"/>
        </w:rPr>
        <w:t>’</w:t>
      </w:r>
      <w:r w:rsidRPr="00FA17FD">
        <w:rPr>
          <w:rFonts w:eastAsia="Malgun Gothic"/>
          <w:lang w:val="fr-FR"/>
        </w:rPr>
        <w:t>a</w:t>
      </w:r>
      <w:r>
        <w:rPr>
          <w:rFonts w:eastAsia="Malgun Gothic"/>
          <w:lang w:val="fr-FR"/>
        </w:rPr>
        <w:t xml:space="preserve">voir une </w:t>
      </w:r>
      <w:r w:rsidRPr="00FA17FD">
        <w:rPr>
          <w:rFonts w:eastAsia="Malgun Gothic"/>
          <w:lang w:val="fr-FR"/>
        </w:rPr>
        <w:t>incidence</w:t>
      </w:r>
      <w:r>
        <w:rPr>
          <w:rFonts w:eastAsia="Malgun Gothic"/>
          <w:lang w:val="fr-FR"/>
        </w:rPr>
        <w:t xml:space="preserve"> sur</w:t>
      </w:r>
      <w:r w:rsidRPr="00FA17FD">
        <w:rPr>
          <w:rFonts w:eastAsia="Malgun Gothic"/>
          <w:lang w:val="fr-FR"/>
        </w:rPr>
        <w:t xml:space="preserve"> les conditions de travail du Secrétariat, le trava</w:t>
      </w:r>
      <w:r>
        <w:rPr>
          <w:rFonts w:eastAsia="Malgun Gothic"/>
          <w:lang w:val="fr-FR"/>
        </w:rPr>
        <w:t>il</w:t>
      </w:r>
      <w:r w:rsidRPr="00FA17FD">
        <w:rPr>
          <w:rFonts w:eastAsia="Malgun Gothic"/>
          <w:lang w:val="fr-FR"/>
        </w:rPr>
        <w:t xml:space="preserve"> </w:t>
      </w:r>
      <w:r>
        <w:rPr>
          <w:rFonts w:eastAsia="Malgun Gothic"/>
          <w:lang w:val="fr-FR"/>
        </w:rPr>
        <w:t xml:space="preserve">avait avancé </w:t>
      </w:r>
      <w:r w:rsidRPr="00FA17FD">
        <w:rPr>
          <w:rFonts w:eastAsia="Malgun Gothic"/>
          <w:lang w:val="fr-FR"/>
        </w:rPr>
        <w:t>et s</w:t>
      </w:r>
      <w:r w:rsidR="00923E72">
        <w:rPr>
          <w:rFonts w:eastAsia="Malgun Gothic"/>
          <w:lang w:val="fr-FR"/>
        </w:rPr>
        <w:t>’</w:t>
      </w:r>
      <w:r>
        <w:rPr>
          <w:rFonts w:eastAsia="Malgun Gothic"/>
          <w:lang w:val="fr-FR"/>
        </w:rPr>
        <w:t xml:space="preserve">était </w:t>
      </w:r>
      <w:r w:rsidRPr="00FA17FD">
        <w:rPr>
          <w:rFonts w:eastAsia="Malgun Gothic"/>
          <w:lang w:val="fr-FR"/>
        </w:rPr>
        <w:t xml:space="preserve">développé dans </w:t>
      </w:r>
      <w:r>
        <w:rPr>
          <w:rFonts w:eastAsia="Malgun Gothic"/>
          <w:lang w:val="fr-FR"/>
        </w:rPr>
        <w:t xml:space="preserve">tellement </w:t>
      </w:r>
      <w:r w:rsidRPr="00FA17FD">
        <w:rPr>
          <w:rFonts w:eastAsia="Malgun Gothic"/>
          <w:lang w:val="fr-FR"/>
        </w:rPr>
        <w:t xml:space="preserve">de domaines, notamment </w:t>
      </w:r>
      <w:r>
        <w:rPr>
          <w:rFonts w:eastAsia="Malgun Gothic"/>
          <w:lang w:val="fr-FR"/>
        </w:rPr>
        <w:t xml:space="preserve">avec </w:t>
      </w:r>
      <w:r w:rsidRPr="00FA17FD">
        <w:rPr>
          <w:rFonts w:eastAsia="Malgun Gothic"/>
          <w:lang w:val="fr-FR"/>
        </w:rPr>
        <w:t>la conclusion de la réflexion globale sur les mécanismes d</w:t>
      </w:r>
      <w:r w:rsidR="00923E72">
        <w:rPr>
          <w:rFonts w:eastAsia="Malgun Gothic"/>
          <w:lang w:val="fr-FR"/>
        </w:rPr>
        <w:t>’</w:t>
      </w:r>
      <w:r w:rsidRPr="00FA17FD">
        <w:rPr>
          <w:rFonts w:eastAsia="Malgun Gothic"/>
          <w:lang w:val="fr-FR"/>
        </w:rPr>
        <w:t>inscription. La délégation a</w:t>
      </w:r>
      <w:r>
        <w:rPr>
          <w:rFonts w:eastAsia="Malgun Gothic"/>
          <w:lang w:val="fr-FR"/>
        </w:rPr>
        <w:t xml:space="preserve">vait noté </w:t>
      </w:r>
      <w:r w:rsidRPr="00FA17FD">
        <w:rPr>
          <w:rFonts w:eastAsia="Malgun Gothic"/>
          <w:lang w:val="fr-FR"/>
        </w:rPr>
        <w:t>plusieurs efforts importants</w:t>
      </w:r>
      <w:r w:rsidR="0098046B">
        <w:rPr>
          <w:rFonts w:eastAsia="Malgun Gothic"/>
          <w:lang w:val="fr-FR"/>
        </w:rPr>
        <w:t>, p</w:t>
      </w:r>
      <w:r w:rsidRPr="00FA17FD">
        <w:rPr>
          <w:rFonts w:eastAsia="Malgun Gothic"/>
          <w:lang w:val="fr-FR"/>
        </w:rPr>
        <w:t>ar exemple, le travail de sauvegarde du patrimoine vivant dans les situations d</w:t>
      </w:r>
      <w:r w:rsidR="00923E72">
        <w:rPr>
          <w:rFonts w:eastAsia="Malgun Gothic"/>
          <w:lang w:val="fr-FR"/>
        </w:rPr>
        <w:t>’</w:t>
      </w:r>
      <w:r w:rsidRPr="00FA17FD">
        <w:rPr>
          <w:rFonts w:eastAsia="Malgun Gothic"/>
          <w:lang w:val="fr-FR"/>
        </w:rPr>
        <w:t xml:space="preserve">urgence, </w:t>
      </w:r>
      <w:r w:rsidR="0098046B">
        <w:rPr>
          <w:rFonts w:eastAsia="Malgun Gothic"/>
          <w:lang w:val="fr-FR"/>
        </w:rPr>
        <w:t>le</w:t>
      </w:r>
      <w:r w:rsidRPr="00FA17FD">
        <w:rPr>
          <w:rFonts w:eastAsia="Malgun Gothic"/>
          <w:lang w:val="fr-FR"/>
        </w:rPr>
        <w:t xml:space="preserve"> renforcement de la collaboration </w:t>
      </w:r>
      <w:r w:rsidR="0098046B">
        <w:rPr>
          <w:rFonts w:eastAsia="Malgun Gothic"/>
          <w:lang w:val="fr-FR"/>
        </w:rPr>
        <w:t xml:space="preserve">avec </w:t>
      </w:r>
      <w:r w:rsidRPr="00FA17FD">
        <w:rPr>
          <w:rFonts w:eastAsia="Malgun Gothic"/>
          <w:lang w:val="fr-FR"/>
        </w:rPr>
        <w:t xml:space="preserve">le Forum </w:t>
      </w:r>
      <w:r>
        <w:rPr>
          <w:rFonts w:eastAsia="Malgun Gothic"/>
          <w:lang w:val="fr-FR"/>
        </w:rPr>
        <w:t xml:space="preserve">des ONG du </w:t>
      </w:r>
      <w:r w:rsidR="0098046B">
        <w:rPr>
          <w:rFonts w:eastAsia="Malgun Gothic"/>
          <w:lang w:val="fr-FR"/>
        </w:rPr>
        <w:t>PCI,</w:t>
      </w:r>
      <w:r w:rsidRPr="00FA17FD">
        <w:rPr>
          <w:rFonts w:eastAsia="Malgun Gothic"/>
          <w:lang w:val="fr-FR"/>
        </w:rPr>
        <w:t xml:space="preserve"> et</w:t>
      </w:r>
      <w:r w:rsidR="0098046B">
        <w:rPr>
          <w:rFonts w:eastAsia="Malgun Gothic"/>
          <w:lang w:val="fr-FR"/>
        </w:rPr>
        <w:t xml:space="preserve"> </w:t>
      </w:r>
      <w:r w:rsidRPr="00FA17FD">
        <w:rPr>
          <w:rFonts w:eastAsia="Malgun Gothic"/>
          <w:lang w:val="fr-FR"/>
        </w:rPr>
        <w:t>la réalisation d</w:t>
      </w:r>
      <w:r w:rsidR="00923E72">
        <w:rPr>
          <w:rFonts w:eastAsia="Malgun Gothic"/>
          <w:lang w:val="fr-FR"/>
        </w:rPr>
        <w:t>’</w:t>
      </w:r>
      <w:r w:rsidRPr="00FA17FD">
        <w:rPr>
          <w:rFonts w:eastAsia="Malgun Gothic"/>
          <w:lang w:val="fr-FR"/>
        </w:rPr>
        <w:t>une cartographie des domaines de compétences des ONG accréditées. La Suède a également souligné l</w:t>
      </w:r>
      <w:r w:rsidR="00923E72">
        <w:rPr>
          <w:rFonts w:eastAsia="Malgun Gothic"/>
          <w:lang w:val="fr-FR"/>
        </w:rPr>
        <w:t>’</w:t>
      </w:r>
      <w:r w:rsidRPr="00FA17FD">
        <w:rPr>
          <w:rFonts w:eastAsia="Malgun Gothic"/>
          <w:lang w:val="fr-FR"/>
        </w:rPr>
        <w:t>importance du travail futur avec trois domaines d</w:t>
      </w:r>
      <w:r w:rsidR="00923E72">
        <w:rPr>
          <w:rFonts w:eastAsia="Malgun Gothic"/>
          <w:lang w:val="fr-FR"/>
        </w:rPr>
        <w:t>’</w:t>
      </w:r>
      <w:r w:rsidRPr="00FA17FD">
        <w:rPr>
          <w:rFonts w:eastAsia="Malgun Gothic"/>
          <w:lang w:val="fr-FR"/>
        </w:rPr>
        <w:t>intervention que le Secrétariat a</w:t>
      </w:r>
      <w:r w:rsidR="00792C76">
        <w:rPr>
          <w:rFonts w:eastAsia="Malgun Gothic"/>
          <w:lang w:val="fr-FR"/>
        </w:rPr>
        <w:t>vait</w:t>
      </w:r>
      <w:r w:rsidRPr="00FA17FD">
        <w:rPr>
          <w:rFonts w:eastAsia="Malgun Gothic"/>
          <w:lang w:val="fr-FR"/>
        </w:rPr>
        <w:t xml:space="preserve"> mis en évidence dans son rapport</w:t>
      </w:r>
      <w:r w:rsidR="00792C76">
        <w:rPr>
          <w:rFonts w:eastAsia="Malgun Gothic"/>
          <w:lang w:val="fr-FR"/>
        </w:rPr>
        <w:t> </w:t>
      </w:r>
      <w:r w:rsidRPr="00FA17FD">
        <w:rPr>
          <w:rFonts w:eastAsia="Malgun Gothic"/>
          <w:lang w:val="fr-FR"/>
        </w:rPr>
        <w:t>: i)</w:t>
      </w:r>
      <w:r w:rsidR="00792C76">
        <w:rPr>
          <w:rFonts w:eastAsia="Malgun Gothic"/>
          <w:lang w:val="fr-FR"/>
        </w:rPr>
        <w:t> </w:t>
      </w:r>
      <w:r w:rsidRPr="00FA17FD">
        <w:rPr>
          <w:rFonts w:eastAsia="Malgun Gothic"/>
          <w:lang w:val="fr-FR"/>
        </w:rPr>
        <w:t>la mise en œuvre des résultats de la réflexion globale sur les mécanismes d</w:t>
      </w:r>
      <w:r w:rsidR="00923E72">
        <w:rPr>
          <w:rFonts w:eastAsia="Malgun Gothic"/>
          <w:lang w:val="fr-FR"/>
        </w:rPr>
        <w:t>’</w:t>
      </w:r>
      <w:r w:rsidRPr="00FA17FD">
        <w:rPr>
          <w:rFonts w:eastAsia="Malgun Gothic"/>
          <w:lang w:val="fr-FR"/>
        </w:rPr>
        <w:t>inscription et la réflexion pour une mise en œuvre plus large de l</w:t>
      </w:r>
      <w:r w:rsidR="00923E72">
        <w:rPr>
          <w:rFonts w:eastAsia="Malgun Gothic"/>
          <w:lang w:val="fr-FR"/>
        </w:rPr>
        <w:t>’</w:t>
      </w:r>
      <w:r w:rsidRPr="00FA17FD">
        <w:rPr>
          <w:rFonts w:eastAsia="Malgun Gothic"/>
          <w:lang w:val="fr-FR"/>
        </w:rPr>
        <w:t>article</w:t>
      </w:r>
      <w:r w:rsidR="006773EF">
        <w:rPr>
          <w:rFonts w:eastAsia="Malgun Gothic"/>
          <w:lang w:val="fr-FR"/>
        </w:rPr>
        <w:t> </w:t>
      </w:r>
      <w:r w:rsidRPr="00FA17FD">
        <w:rPr>
          <w:rFonts w:eastAsia="Malgun Gothic"/>
          <w:lang w:val="fr-FR"/>
        </w:rPr>
        <w:t>18</w:t>
      </w:r>
      <w:r w:rsidR="00792C76">
        <w:rPr>
          <w:rFonts w:eastAsia="Malgun Gothic"/>
          <w:lang w:val="fr-FR"/>
        </w:rPr>
        <w:t> </w:t>
      </w:r>
      <w:r w:rsidRPr="00FA17FD">
        <w:rPr>
          <w:rFonts w:eastAsia="Malgun Gothic"/>
          <w:lang w:val="fr-FR"/>
        </w:rPr>
        <w:t>; ii)</w:t>
      </w:r>
      <w:r w:rsidR="00792C76">
        <w:rPr>
          <w:rFonts w:eastAsia="Malgun Gothic"/>
          <w:lang w:val="fr-FR"/>
        </w:rPr>
        <w:t> </w:t>
      </w:r>
      <w:r w:rsidRPr="00FA17FD">
        <w:rPr>
          <w:rFonts w:eastAsia="Malgun Gothic"/>
          <w:lang w:val="fr-FR"/>
        </w:rPr>
        <w:t>l</w:t>
      </w:r>
      <w:r w:rsidR="00923E72">
        <w:rPr>
          <w:rFonts w:eastAsia="Malgun Gothic"/>
          <w:lang w:val="fr-FR"/>
        </w:rPr>
        <w:t>’</w:t>
      </w:r>
      <w:r w:rsidRPr="00FA17FD">
        <w:rPr>
          <w:rFonts w:eastAsia="Malgun Gothic"/>
          <w:lang w:val="fr-FR"/>
        </w:rPr>
        <w:t>intention de travailler davantage avec les utilisations potentielles des données collectées par le biais des rapports périodiques, notamment parce que l</w:t>
      </w:r>
      <w:r w:rsidR="00923E72">
        <w:rPr>
          <w:rFonts w:eastAsia="Malgun Gothic"/>
          <w:lang w:val="fr-FR"/>
        </w:rPr>
        <w:t>’</w:t>
      </w:r>
      <w:r w:rsidR="00792C76">
        <w:rPr>
          <w:rFonts w:eastAsia="Malgun Gothic"/>
          <w:lang w:val="fr-FR"/>
        </w:rPr>
        <w:t xml:space="preserve">exercice de rapport est </w:t>
      </w:r>
      <w:r w:rsidRPr="00FA17FD">
        <w:rPr>
          <w:rFonts w:eastAsia="Malgun Gothic"/>
          <w:lang w:val="fr-FR"/>
        </w:rPr>
        <w:t xml:space="preserve">une tâche </w:t>
      </w:r>
      <w:r w:rsidR="00792C76">
        <w:rPr>
          <w:rFonts w:eastAsia="Malgun Gothic"/>
          <w:lang w:val="fr-FR"/>
        </w:rPr>
        <w:t xml:space="preserve">vaste </w:t>
      </w:r>
      <w:r w:rsidRPr="00FA17FD">
        <w:rPr>
          <w:rFonts w:eastAsia="Malgun Gothic"/>
          <w:lang w:val="fr-FR"/>
        </w:rPr>
        <w:t>et exigeante en ressources</w:t>
      </w:r>
      <w:r w:rsidR="002B594D">
        <w:rPr>
          <w:rFonts w:eastAsia="Malgun Gothic"/>
          <w:lang w:val="fr-FR"/>
        </w:rPr>
        <w:t>,</w:t>
      </w:r>
      <w:r w:rsidRPr="00FA17FD">
        <w:rPr>
          <w:rFonts w:eastAsia="Malgun Gothic"/>
          <w:lang w:val="fr-FR"/>
        </w:rPr>
        <w:t xml:space="preserve"> à la fois pour le Secrétariat et les États membres</w:t>
      </w:r>
      <w:r w:rsidR="00792C76">
        <w:rPr>
          <w:rFonts w:eastAsia="Malgun Gothic"/>
          <w:lang w:val="fr-FR"/>
        </w:rPr>
        <w:t> </w:t>
      </w:r>
      <w:r w:rsidRPr="00FA17FD">
        <w:rPr>
          <w:rFonts w:eastAsia="Malgun Gothic"/>
          <w:lang w:val="fr-FR"/>
        </w:rPr>
        <w:t>; et iii)</w:t>
      </w:r>
      <w:r w:rsidR="00792C76">
        <w:rPr>
          <w:rFonts w:eastAsia="Malgun Gothic"/>
          <w:lang w:val="fr-FR"/>
        </w:rPr>
        <w:t> </w:t>
      </w:r>
      <w:r w:rsidRPr="00FA17FD">
        <w:rPr>
          <w:rFonts w:eastAsia="Malgun Gothic"/>
          <w:lang w:val="fr-FR"/>
        </w:rPr>
        <w:t>la mise en évidence et le renforcement de la contribution du patrimoine culturel immatériel au développement durable, conformément à la Déclaration sur la culture à MONDIACULT</w:t>
      </w:r>
      <w:r w:rsidR="00246428">
        <w:rPr>
          <w:rFonts w:eastAsia="Malgun Gothic"/>
          <w:lang w:val="fr-FR"/>
        </w:rPr>
        <w:t> </w:t>
      </w:r>
      <w:r w:rsidRPr="00FA17FD">
        <w:rPr>
          <w:rFonts w:eastAsia="Malgun Gothic"/>
          <w:lang w:val="fr-FR"/>
        </w:rPr>
        <w:t xml:space="preserve">2022. </w:t>
      </w:r>
      <w:r w:rsidR="0098046B">
        <w:rPr>
          <w:rFonts w:eastAsia="Malgun Gothic"/>
          <w:lang w:val="fr-FR"/>
        </w:rPr>
        <w:t>S</w:t>
      </w:r>
      <w:r w:rsidR="00923E72">
        <w:rPr>
          <w:rFonts w:eastAsia="Malgun Gothic"/>
          <w:lang w:val="fr-FR"/>
        </w:rPr>
        <w:t>’</w:t>
      </w:r>
      <w:r w:rsidR="0098046B">
        <w:rPr>
          <w:rFonts w:eastAsia="Malgun Gothic"/>
          <w:lang w:val="fr-FR"/>
        </w:rPr>
        <w:t xml:space="preserve">agissant de </w:t>
      </w:r>
      <w:r w:rsidRPr="00FA17FD">
        <w:rPr>
          <w:rFonts w:eastAsia="Malgun Gothic"/>
          <w:lang w:val="fr-FR"/>
        </w:rPr>
        <w:t>l</w:t>
      </w:r>
      <w:r w:rsidR="00923E72">
        <w:rPr>
          <w:rFonts w:eastAsia="Malgun Gothic"/>
          <w:lang w:val="fr-FR"/>
        </w:rPr>
        <w:t>’</w:t>
      </w:r>
      <w:r w:rsidRPr="00FA17FD">
        <w:rPr>
          <w:rFonts w:eastAsia="Malgun Gothic"/>
          <w:lang w:val="fr-FR"/>
        </w:rPr>
        <w:t xml:space="preserve">examen des candidatures pour </w:t>
      </w:r>
      <w:r w:rsidR="00792C76" w:rsidRPr="00792C76">
        <w:rPr>
          <w:rFonts w:eastAsia="Malgun Gothic"/>
          <w:lang w:val="fr-FR"/>
        </w:rPr>
        <w:t>inscription</w:t>
      </w:r>
      <w:r w:rsidR="00792C76">
        <w:rPr>
          <w:rFonts w:eastAsia="Malgun Gothic"/>
          <w:lang w:val="fr-FR"/>
        </w:rPr>
        <w:t xml:space="preserve"> sur </w:t>
      </w:r>
      <w:r w:rsidRPr="00FA17FD">
        <w:rPr>
          <w:rFonts w:eastAsia="Malgun Gothic"/>
          <w:lang w:val="fr-FR"/>
        </w:rPr>
        <w:t xml:space="preserve">les </w:t>
      </w:r>
      <w:r w:rsidR="00792C76">
        <w:rPr>
          <w:rFonts w:eastAsia="Malgun Gothic"/>
          <w:lang w:val="fr-FR"/>
        </w:rPr>
        <w:t>l</w:t>
      </w:r>
      <w:r w:rsidRPr="00FA17FD">
        <w:rPr>
          <w:rFonts w:eastAsia="Malgun Gothic"/>
          <w:lang w:val="fr-FR"/>
        </w:rPr>
        <w:t xml:space="preserve">istes et </w:t>
      </w:r>
      <w:r w:rsidR="00997C9D">
        <w:rPr>
          <w:rFonts w:eastAsia="Malgun Gothic"/>
          <w:lang w:val="fr-FR"/>
        </w:rPr>
        <w:t xml:space="preserve">sur </w:t>
      </w:r>
      <w:r w:rsidRPr="00FA17FD">
        <w:rPr>
          <w:rFonts w:eastAsia="Malgun Gothic"/>
          <w:lang w:val="fr-FR"/>
        </w:rPr>
        <w:t>le</w:t>
      </w:r>
      <w:r w:rsidR="00792C76">
        <w:rPr>
          <w:rFonts w:eastAsia="Malgun Gothic"/>
          <w:lang w:val="fr-FR"/>
        </w:rPr>
        <w:t xml:space="preserve"> R</w:t>
      </w:r>
      <w:r w:rsidRPr="00FA17FD">
        <w:rPr>
          <w:rFonts w:eastAsia="Malgun Gothic"/>
          <w:lang w:val="fr-FR"/>
        </w:rPr>
        <w:t xml:space="preserve">egistre, </w:t>
      </w:r>
      <w:r w:rsidR="0098046B">
        <w:rPr>
          <w:rFonts w:eastAsia="Malgun Gothic"/>
          <w:lang w:val="fr-FR"/>
        </w:rPr>
        <w:t>la Suède a insisté sur l</w:t>
      </w:r>
      <w:r w:rsidR="00923E72">
        <w:rPr>
          <w:rFonts w:eastAsia="Malgun Gothic"/>
          <w:lang w:val="fr-FR"/>
        </w:rPr>
        <w:t>’</w:t>
      </w:r>
      <w:r w:rsidR="0098046B">
        <w:rPr>
          <w:rFonts w:eastAsia="Malgun Gothic"/>
          <w:lang w:val="fr-FR"/>
        </w:rPr>
        <w:t xml:space="preserve">importance </w:t>
      </w:r>
      <w:r w:rsidR="00997C9D">
        <w:rPr>
          <w:rFonts w:eastAsia="Malgun Gothic"/>
          <w:lang w:val="fr-FR"/>
        </w:rPr>
        <w:t>d</w:t>
      </w:r>
      <w:r w:rsidR="00923E72">
        <w:rPr>
          <w:rFonts w:eastAsia="Malgun Gothic"/>
          <w:lang w:val="fr-FR"/>
        </w:rPr>
        <w:t>’</w:t>
      </w:r>
      <w:r w:rsidR="00997C9D">
        <w:rPr>
          <w:rFonts w:eastAsia="Malgun Gothic"/>
          <w:lang w:val="fr-FR"/>
        </w:rPr>
        <w:t>être d</w:t>
      </w:r>
      <w:r w:rsidR="00923E72">
        <w:rPr>
          <w:rFonts w:eastAsia="Malgun Gothic"/>
          <w:lang w:val="fr-FR"/>
        </w:rPr>
        <w:t>’</w:t>
      </w:r>
      <w:r w:rsidR="00997C9D">
        <w:rPr>
          <w:rFonts w:eastAsia="Malgun Gothic"/>
          <w:lang w:val="fr-FR"/>
        </w:rPr>
        <w:t xml:space="preserve">accord sur les méthodes de travail et sur le fait </w:t>
      </w:r>
      <w:r w:rsidRPr="00FA17FD">
        <w:rPr>
          <w:rFonts w:eastAsia="Malgun Gothic"/>
          <w:lang w:val="fr-FR"/>
        </w:rPr>
        <w:t>qu</w:t>
      </w:r>
      <w:r w:rsidR="00923E72">
        <w:rPr>
          <w:rFonts w:eastAsia="Malgun Gothic"/>
          <w:lang w:val="fr-FR"/>
        </w:rPr>
        <w:t>’</w:t>
      </w:r>
      <w:r w:rsidRPr="00FA17FD">
        <w:rPr>
          <w:rFonts w:eastAsia="Malgun Gothic"/>
          <w:lang w:val="fr-FR"/>
        </w:rPr>
        <w:t>il était de la plus haute importance que les décisions soient basées sur des connaissances d</w:t>
      </w:r>
      <w:r w:rsidR="00923E72">
        <w:rPr>
          <w:rFonts w:eastAsia="Malgun Gothic"/>
          <w:lang w:val="fr-FR"/>
        </w:rPr>
        <w:t>’</w:t>
      </w:r>
      <w:r w:rsidRPr="00FA17FD">
        <w:rPr>
          <w:rFonts w:eastAsia="Malgun Gothic"/>
          <w:lang w:val="fr-FR"/>
        </w:rPr>
        <w:t xml:space="preserve">experts, </w:t>
      </w:r>
      <w:r w:rsidR="00997C9D">
        <w:rPr>
          <w:rFonts w:eastAsia="Malgun Gothic"/>
          <w:lang w:val="fr-FR"/>
        </w:rPr>
        <w:t xml:space="preserve">afin de </w:t>
      </w:r>
      <w:r w:rsidRPr="00FA17FD">
        <w:rPr>
          <w:rFonts w:eastAsia="Malgun Gothic"/>
          <w:lang w:val="fr-FR"/>
        </w:rPr>
        <w:t>renfor</w:t>
      </w:r>
      <w:r w:rsidR="00997C9D">
        <w:rPr>
          <w:rFonts w:eastAsia="Malgun Gothic"/>
          <w:lang w:val="fr-FR"/>
        </w:rPr>
        <w:t xml:space="preserve">cer </w:t>
      </w:r>
      <w:r w:rsidRPr="00FA17FD">
        <w:rPr>
          <w:rFonts w:eastAsia="Malgun Gothic"/>
          <w:lang w:val="fr-FR"/>
        </w:rPr>
        <w:t>la confiance dans la Convention et la relation du Comité avec l</w:t>
      </w:r>
      <w:r w:rsidR="00923E72">
        <w:rPr>
          <w:rFonts w:eastAsia="Malgun Gothic"/>
          <w:lang w:val="fr-FR"/>
        </w:rPr>
        <w:t>’</w:t>
      </w:r>
      <w:r w:rsidRPr="00FA17FD">
        <w:rPr>
          <w:rFonts w:eastAsia="Malgun Gothic"/>
          <w:lang w:val="fr-FR"/>
        </w:rPr>
        <w:t>Organe d</w:t>
      </w:r>
      <w:r w:rsidR="00923E72">
        <w:rPr>
          <w:rFonts w:eastAsia="Malgun Gothic"/>
          <w:lang w:val="fr-FR"/>
        </w:rPr>
        <w:t>’</w:t>
      </w:r>
      <w:r w:rsidRPr="00FA17FD">
        <w:rPr>
          <w:rFonts w:eastAsia="Malgun Gothic"/>
          <w:lang w:val="fr-FR"/>
        </w:rPr>
        <w:t>évaluation. La Suède ne soutiendra</w:t>
      </w:r>
      <w:r w:rsidR="00792C76">
        <w:rPr>
          <w:rFonts w:eastAsia="Malgun Gothic"/>
          <w:lang w:val="fr-FR"/>
        </w:rPr>
        <w:t>it</w:t>
      </w:r>
      <w:r w:rsidRPr="00FA17FD">
        <w:rPr>
          <w:rFonts w:eastAsia="Malgun Gothic"/>
          <w:lang w:val="fr-FR"/>
        </w:rPr>
        <w:t xml:space="preserve"> donc aucune </w:t>
      </w:r>
      <w:r w:rsidR="00997C9D">
        <w:rPr>
          <w:rFonts w:eastAsia="Malgun Gothic"/>
          <w:lang w:val="fr-FR"/>
        </w:rPr>
        <w:t xml:space="preserve">décision </w:t>
      </w:r>
      <w:r w:rsidRPr="00FA17FD">
        <w:rPr>
          <w:rFonts w:eastAsia="Malgun Gothic"/>
          <w:lang w:val="fr-FR"/>
        </w:rPr>
        <w:t>qui ne tiendrait pas compte de cet</w:t>
      </w:r>
      <w:r w:rsidR="00997C9D">
        <w:rPr>
          <w:rFonts w:eastAsia="Malgun Gothic"/>
          <w:lang w:val="fr-FR"/>
        </w:rPr>
        <w:t xml:space="preserve"> engagement</w:t>
      </w:r>
      <w:r w:rsidRPr="00FA17FD">
        <w:rPr>
          <w:rFonts w:eastAsia="Malgun Gothic"/>
          <w:lang w:val="fr-FR"/>
        </w:rPr>
        <w:t>.</w:t>
      </w:r>
    </w:p>
    <w:p w14:paraId="579A1DB2" w14:textId="55DE6F2D" w:rsidR="00792C76" w:rsidRPr="0065686B" w:rsidRDefault="00AD5A2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5686B">
        <w:rPr>
          <w:rFonts w:eastAsia="Malgun Gothic"/>
          <w:lang w:val="fr-FR"/>
        </w:rPr>
        <w:t xml:space="preserve">La délégation de la </w:t>
      </w:r>
      <w:r w:rsidRPr="0065686B">
        <w:rPr>
          <w:rFonts w:eastAsia="Malgun Gothic"/>
          <w:b/>
          <w:bCs/>
          <w:lang w:val="fr-FR"/>
        </w:rPr>
        <w:t>Tchéquie</w:t>
      </w:r>
      <w:r w:rsidRPr="0065686B">
        <w:rPr>
          <w:rFonts w:eastAsia="Malgun Gothic"/>
          <w:lang w:val="fr-FR"/>
        </w:rPr>
        <w:t xml:space="preserve"> a félicité le Président pour son élection et pour l</w:t>
      </w:r>
      <w:r w:rsidR="00923E72">
        <w:rPr>
          <w:rFonts w:eastAsia="Malgun Gothic"/>
          <w:lang w:val="fr-FR"/>
        </w:rPr>
        <w:t>’</w:t>
      </w:r>
      <w:r w:rsidRPr="0065686B">
        <w:rPr>
          <w:rFonts w:eastAsia="Malgun Gothic"/>
          <w:lang w:val="fr-FR"/>
        </w:rPr>
        <w:t>accueil majestueux lors de la cérémonie d</w:t>
      </w:r>
      <w:r w:rsidR="00923E72">
        <w:rPr>
          <w:rFonts w:eastAsia="Malgun Gothic"/>
          <w:lang w:val="fr-FR"/>
        </w:rPr>
        <w:t>’</w:t>
      </w:r>
      <w:r w:rsidRPr="0065686B">
        <w:rPr>
          <w:rFonts w:eastAsia="Malgun Gothic"/>
          <w:lang w:val="fr-FR"/>
        </w:rPr>
        <w:t>ouverture ainsi que pour l</w:t>
      </w:r>
      <w:r w:rsidR="00923E72">
        <w:rPr>
          <w:rFonts w:eastAsia="Malgun Gothic"/>
          <w:lang w:val="fr-FR"/>
        </w:rPr>
        <w:t>’</w:t>
      </w:r>
      <w:r w:rsidRPr="0065686B">
        <w:rPr>
          <w:rFonts w:eastAsia="Malgun Gothic"/>
          <w:lang w:val="fr-FR"/>
        </w:rPr>
        <w:t>excellente organisation de cette session. Après deux an</w:t>
      </w:r>
      <w:r w:rsidR="00717029" w:rsidRPr="0065686B">
        <w:rPr>
          <w:rFonts w:eastAsia="Malgun Gothic"/>
          <w:lang w:val="fr-FR"/>
        </w:rPr>
        <w:t>nées</w:t>
      </w:r>
      <w:r w:rsidRPr="0065686B">
        <w:rPr>
          <w:rFonts w:eastAsia="Malgun Gothic"/>
          <w:lang w:val="fr-FR"/>
        </w:rPr>
        <w:t xml:space="preserve"> de réunions en ligne, elle était heureuse de se retrouver enfin en</w:t>
      </w:r>
      <w:r w:rsidR="0035057A" w:rsidRPr="0065686B">
        <w:rPr>
          <w:rFonts w:eastAsia="Malgun Gothic"/>
          <w:lang w:val="fr-FR"/>
        </w:rPr>
        <w:t xml:space="preserve"> personne</w:t>
      </w:r>
      <w:r w:rsidRPr="0065686B">
        <w:rPr>
          <w:rFonts w:eastAsia="Malgun Gothic"/>
          <w:lang w:val="fr-FR"/>
        </w:rPr>
        <w:t>, et elle était convaincue que le Président guiderait avec succès le Comité dans ses travaux. Elle a rappelé que le Maroc est un pays doté d</w:t>
      </w:r>
      <w:r w:rsidR="00923E72">
        <w:rPr>
          <w:rFonts w:eastAsia="Malgun Gothic"/>
          <w:lang w:val="fr-FR"/>
        </w:rPr>
        <w:t>’</w:t>
      </w:r>
      <w:r w:rsidRPr="0065686B">
        <w:rPr>
          <w:rFonts w:eastAsia="Malgun Gothic"/>
          <w:lang w:val="fr-FR"/>
        </w:rPr>
        <w:t>une incroyable richesse en matière de patrimoine culturel immatériel.</w:t>
      </w:r>
      <w:r w:rsidR="007075CF" w:rsidRPr="0065686B">
        <w:rPr>
          <w:rFonts w:eastAsia="Malgun Gothic"/>
          <w:lang w:val="fr-FR"/>
        </w:rPr>
        <w:t xml:space="preserve"> </w:t>
      </w:r>
      <w:r w:rsidRPr="00702497">
        <w:rPr>
          <w:rFonts w:eastAsia="Malgun Gothic"/>
          <w:lang w:val="fr-FR"/>
        </w:rPr>
        <w:t>[</w:t>
      </w:r>
      <w:r w:rsidR="00997C9D" w:rsidRPr="00702497">
        <w:rPr>
          <w:rFonts w:eastAsia="Malgun Gothic"/>
          <w:lang w:val="fr-FR"/>
        </w:rPr>
        <w:t>À</w:t>
      </w:r>
      <w:r w:rsidRPr="00702497">
        <w:rPr>
          <w:rFonts w:eastAsia="Malgun Gothic"/>
          <w:lang w:val="fr-FR"/>
        </w:rPr>
        <w:t xml:space="preserve"> titre personnel] </w:t>
      </w:r>
      <w:r w:rsidR="00BD3877">
        <w:rPr>
          <w:rFonts w:eastAsia="Malgun Gothic"/>
          <w:lang w:val="fr-FR"/>
        </w:rPr>
        <w:t xml:space="preserve">Il y a de nombreuses années, </w:t>
      </w:r>
      <w:r w:rsidR="00997C9D" w:rsidRPr="00702497">
        <w:rPr>
          <w:rFonts w:eastAsia="Malgun Gothic"/>
          <w:lang w:val="fr-FR"/>
        </w:rPr>
        <w:t xml:space="preserve">la déléguée </w:t>
      </w:r>
      <w:r w:rsidR="00BD3877">
        <w:rPr>
          <w:rFonts w:eastAsia="Malgun Gothic"/>
          <w:lang w:val="fr-FR"/>
        </w:rPr>
        <w:t>en avait connu toute l</w:t>
      </w:r>
      <w:r w:rsidR="00923E72">
        <w:rPr>
          <w:rFonts w:eastAsia="Malgun Gothic"/>
          <w:lang w:val="fr-FR"/>
        </w:rPr>
        <w:t>’</w:t>
      </w:r>
      <w:r w:rsidR="00BD3877">
        <w:rPr>
          <w:rFonts w:eastAsia="Malgun Gothic"/>
          <w:lang w:val="fr-FR"/>
        </w:rPr>
        <w:t>étendue</w:t>
      </w:r>
      <w:r w:rsidR="00997C9D" w:rsidRPr="00702497">
        <w:rPr>
          <w:rFonts w:eastAsia="Malgun Gothic"/>
          <w:lang w:val="fr-FR"/>
        </w:rPr>
        <w:t xml:space="preserve">, </w:t>
      </w:r>
      <w:r w:rsidR="00BD3877">
        <w:rPr>
          <w:rFonts w:eastAsia="Malgun Gothic"/>
          <w:lang w:val="fr-FR"/>
        </w:rPr>
        <w:t xml:space="preserve">toutes </w:t>
      </w:r>
      <w:r w:rsidR="00997C9D" w:rsidRPr="00702497">
        <w:rPr>
          <w:rFonts w:eastAsia="Malgun Gothic"/>
          <w:lang w:val="fr-FR"/>
        </w:rPr>
        <w:t xml:space="preserve">ses couleurs et </w:t>
      </w:r>
      <w:r w:rsidR="00BD3877">
        <w:rPr>
          <w:rFonts w:eastAsia="Malgun Gothic"/>
          <w:lang w:val="fr-FR"/>
        </w:rPr>
        <w:t xml:space="preserve">toutes </w:t>
      </w:r>
      <w:r w:rsidR="00997C9D" w:rsidRPr="00702497">
        <w:rPr>
          <w:rFonts w:eastAsia="Malgun Gothic"/>
          <w:lang w:val="fr-FR"/>
        </w:rPr>
        <w:t>ses saveurs</w:t>
      </w:r>
      <w:r w:rsidRPr="00702497">
        <w:rPr>
          <w:rFonts w:eastAsia="Malgun Gothic"/>
          <w:lang w:val="fr-FR"/>
        </w:rPr>
        <w:t xml:space="preserve"> </w:t>
      </w:r>
      <w:r w:rsidR="00997C9D" w:rsidRPr="00702497">
        <w:rPr>
          <w:rFonts w:eastAsia="Malgun Gothic"/>
          <w:lang w:val="fr-FR"/>
        </w:rPr>
        <w:t xml:space="preserve">grâce à </w:t>
      </w:r>
      <w:r w:rsidRPr="00702497">
        <w:rPr>
          <w:rFonts w:eastAsia="Malgun Gothic"/>
          <w:lang w:val="fr-FR"/>
        </w:rPr>
        <w:t xml:space="preserve">une </w:t>
      </w:r>
      <w:r w:rsidR="00997C9D" w:rsidRPr="00702497">
        <w:rPr>
          <w:rFonts w:eastAsia="Malgun Gothic"/>
          <w:lang w:val="fr-FR"/>
        </w:rPr>
        <w:t>femme</w:t>
      </w:r>
      <w:r w:rsidR="0065686B" w:rsidRPr="0065686B">
        <w:rPr>
          <w:rFonts w:eastAsia="Malgun Gothic"/>
          <w:lang w:val="fr-FR"/>
        </w:rPr>
        <w:t>,</w:t>
      </w:r>
      <w:r w:rsidR="00997C9D" w:rsidRPr="00702497">
        <w:rPr>
          <w:rFonts w:eastAsia="Malgun Gothic"/>
          <w:lang w:val="fr-FR"/>
        </w:rPr>
        <w:t xml:space="preserve"> détentrice des </w:t>
      </w:r>
      <w:r w:rsidRPr="00702497">
        <w:rPr>
          <w:rFonts w:eastAsia="Malgun Gothic"/>
          <w:lang w:val="fr-FR"/>
        </w:rPr>
        <w:t xml:space="preserve">traditions vivantes </w:t>
      </w:r>
      <w:r w:rsidR="0065686B" w:rsidRPr="0065686B">
        <w:rPr>
          <w:rFonts w:eastAsia="Malgun Gothic"/>
          <w:lang w:val="fr-FR"/>
        </w:rPr>
        <w:t>du</w:t>
      </w:r>
      <w:r w:rsidRPr="00702497">
        <w:rPr>
          <w:rFonts w:eastAsia="Malgun Gothic"/>
          <w:lang w:val="fr-FR"/>
        </w:rPr>
        <w:t xml:space="preserve"> Maroc</w:t>
      </w:r>
      <w:r w:rsidRPr="0065686B">
        <w:rPr>
          <w:rFonts w:eastAsia="Malgun Gothic"/>
          <w:lang w:val="fr-FR"/>
        </w:rPr>
        <w:t>, une ambassadrice infatigable des arts culinaires, du folklore, des traditions religieuses, des coutumes et des savoir-faire associés à la culture traditionnelle du Maroc. Chaque pays devrait avoir son propre représentant</w:t>
      </w:r>
      <w:r w:rsidR="007075CF" w:rsidRPr="0065686B">
        <w:rPr>
          <w:rFonts w:eastAsia="Malgun Gothic"/>
          <w:lang w:val="fr-FR"/>
        </w:rPr>
        <w:t>,</w:t>
      </w:r>
      <w:r w:rsidRPr="0065686B">
        <w:rPr>
          <w:rFonts w:eastAsia="Malgun Gothic"/>
          <w:lang w:val="fr-FR"/>
        </w:rPr>
        <w:t xml:space="preserve"> fier de la culture qui façonn</w:t>
      </w:r>
      <w:r w:rsidR="00913F92" w:rsidRPr="0065686B">
        <w:rPr>
          <w:rFonts w:eastAsia="Malgun Gothic"/>
          <w:lang w:val="fr-FR"/>
        </w:rPr>
        <w:t>e</w:t>
      </w:r>
      <w:r w:rsidRPr="0065686B">
        <w:rPr>
          <w:rFonts w:eastAsia="Malgun Gothic"/>
          <w:lang w:val="fr-FR"/>
        </w:rPr>
        <w:t xml:space="preserve"> son identité. La délégation</w:t>
      </w:r>
      <w:r w:rsidR="00BD3877">
        <w:rPr>
          <w:rFonts w:eastAsia="Malgun Gothic"/>
          <w:lang w:val="fr-FR"/>
        </w:rPr>
        <w:t>, qui</w:t>
      </w:r>
      <w:r w:rsidRPr="0065686B">
        <w:rPr>
          <w:rFonts w:eastAsia="Malgun Gothic"/>
          <w:lang w:val="fr-FR"/>
        </w:rPr>
        <w:t xml:space="preserve"> appréci</w:t>
      </w:r>
      <w:r w:rsidR="007075CF" w:rsidRPr="0065686B">
        <w:rPr>
          <w:rFonts w:eastAsia="Malgun Gothic"/>
          <w:lang w:val="fr-FR"/>
        </w:rPr>
        <w:t>ait</w:t>
      </w:r>
      <w:r w:rsidRPr="0065686B">
        <w:rPr>
          <w:rFonts w:eastAsia="Malgun Gothic"/>
          <w:lang w:val="fr-FR"/>
        </w:rPr>
        <w:t xml:space="preserve"> l</w:t>
      </w:r>
      <w:r w:rsidR="00923E72">
        <w:rPr>
          <w:rFonts w:eastAsia="Malgun Gothic"/>
          <w:lang w:val="fr-FR"/>
        </w:rPr>
        <w:t>’</w:t>
      </w:r>
      <w:r w:rsidRPr="0065686B">
        <w:rPr>
          <w:rFonts w:eastAsia="Malgun Gothic"/>
          <w:lang w:val="fr-FR"/>
        </w:rPr>
        <w:t>opportunité de travailler dans un environnement aussi</w:t>
      </w:r>
      <w:r w:rsidR="00BD3877">
        <w:rPr>
          <w:rFonts w:eastAsia="Malgun Gothic"/>
          <w:lang w:val="fr-FR"/>
        </w:rPr>
        <w:t xml:space="preserve"> motivant, </w:t>
      </w:r>
      <w:r w:rsidRPr="0065686B">
        <w:rPr>
          <w:rFonts w:eastAsia="Malgun Gothic"/>
          <w:lang w:val="fr-FR"/>
        </w:rPr>
        <w:t xml:space="preserve">a souhaité à tous une bonne session de travail. </w:t>
      </w:r>
      <w:r w:rsidR="00997C9D" w:rsidRPr="0065686B">
        <w:rPr>
          <w:rFonts w:eastAsia="Malgun Gothic"/>
          <w:lang w:val="fr-FR"/>
        </w:rPr>
        <w:t xml:space="preserve">Elle </w:t>
      </w:r>
      <w:r w:rsidRPr="0065686B">
        <w:rPr>
          <w:rFonts w:eastAsia="Malgun Gothic"/>
          <w:lang w:val="fr-FR"/>
        </w:rPr>
        <w:t>a remercié le Secrétariat pour la clarté et l</w:t>
      </w:r>
      <w:r w:rsidR="00923E72">
        <w:rPr>
          <w:rFonts w:eastAsia="Malgun Gothic"/>
          <w:lang w:val="fr-FR"/>
        </w:rPr>
        <w:t>’</w:t>
      </w:r>
      <w:r w:rsidRPr="0065686B">
        <w:rPr>
          <w:rFonts w:eastAsia="Malgun Gothic"/>
          <w:lang w:val="fr-FR"/>
        </w:rPr>
        <w:t xml:space="preserve">efficacité avec lesquelles il </w:t>
      </w:r>
      <w:r w:rsidR="007075CF" w:rsidRPr="0065686B">
        <w:rPr>
          <w:rFonts w:eastAsia="Malgun Gothic"/>
          <w:lang w:val="fr-FR"/>
        </w:rPr>
        <w:t xml:space="preserve">avait </w:t>
      </w:r>
      <w:r w:rsidRPr="0065686B">
        <w:rPr>
          <w:rFonts w:eastAsia="Malgun Gothic"/>
          <w:lang w:val="fr-FR"/>
        </w:rPr>
        <w:t>rend</w:t>
      </w:r>
      <w:r w:rsidR="007075CF" w:rsidRPr="0065686B">
        <w:rPr>
          <w:rFonts w:eastAsia="Malgun Gothic"/>
          <w:lang w:val="fr-FR"/>
        </w:rPr>
        <w:t>u</w:t>
      </w:r>
      <w:r w:rsidRPr="0065686B">
        <w:rPr>
          <w:rFonts w:eastAsia="Malgun Gothic"/>
          <w:lang w:val="fr-FR"/>
        </w:rPr>
        <w:t xml:space="preserve"> compte de ses activité</w:t>
      </w:r>
      <w:r w:rsidR="00997C9D" w:rsidRPr="0065686B">
        <w:rPr>
          <w:rFonts w:eastAsia="Malgun Gothic"/>
          <w:lang w:val="fr-FR"/>
        </w:rPr>
        <w:t>s, notant s</w:t>
      </w:r>
      <w:r w:rsidRPr="0065686B">
        <w:rPr>
          <w:rFonts w:eastAsia="Malgun Gothic"/>
          <w:lang w:val="fr-FR"/>
        </w:rPr>
        <w:t xml:space="preserve">on </w:t>
      </w:r>
      <w:r w:rsidR="00255942" w:rsidRPr="0065686B">
        <w:rPr>
          <w:rFonts w:eastAsia="Malgun Gothic"/>
          <w:lang w:val="fr-FR"/>
        </w:rPr>
        <w:t xml:space="preserve">engagement </w:t>
      </w:r>
      <w:r w:rsidRPr="0065686B">
        <w:rPr>
          <w:rFonts w:eastAsia="Malgun Gothic"/>
          <w:lang w:val="fr-FR"/>
        </w:rPr>
        <w:t>à soutenir les organes de la Convention</w:t>
      </w:r>
      <w:r w:rsidR="006C78C8" w:rsidRPr="0065686B">
        <w:rPr>
          <w:rFonts w:eastAsia="Malgun Gothic"/>
          <w:lang w:val="fr-FR"/>
        </w:rPr>
        <w:t xml:space="preserve"> </w:t>
      </w:r>
      <w:r w:rsidRPr="0065686B">
        <w:rPr>
          <w:rFonts w:eastAsia="Malgun Gothic"/>
          <w:lang w:val="fr-FR"/>
        </w:rPr>
        <w:t>et à promouvoir la mise en œuvre de la Convention</w:t>
      </w:r>
      <w:r w:rsidR="006C78C8" w:rsidRPr="0065686B">
        <w:rPr>
          <w:rFonts w:eastAsia="Malgun Gothic"/>
          <w:lang w:val="fr-FR"/>
        </w:rPr>
        <w:t>. E</w:t>
      </w:r>
      <w:r w:rsidRPr="0065686B">
        <w:rPr>
          <w:rFonts w:eastAsia="Malgun Gothic"/>
          <w:lang w:val="fr-FR"/>
        </w:rPr>
        <w:t xml:space="preserve">lle </w:t>
      </w:r>
      <w:r w:rsidR="007075CF" w:rsidRPr="0065686B">
        <w:rPr>
          <w:rFonts w:eastAsia="Malgun Gothic"/>
          <w:lang w:val="fr-FR"/>
        </w:rPr>
        <w:t xml:space="preserve">a </w:t>
      </w:r>
      <w:r w:rsidRPr="0065686B">
        <w:rPr>
          <w:rFonts w:eastAsia="Malgun Gothic"/>
          <w:lang w:val="fr-FR"/>
        </w:rPr>
        <w:t>remerci</w:t>
      </w:r>
      <w:r w:rsidR="007075CF" w:rsidRPr="0065686B">
        <w:rPr>
          <w:rFonts w:eastAsia="Malgun Gothic"/>
          <w:lang w:val="fr-FR"/>
        </w:rPr>
        <w:t>é</w:t>
      </w:r>
      <w:r w:rsidRPr="0065686B">
        <w:rPr>
          <w:rFonts w:eastAsia="Malgun Gothic"/>
          <w:lang w:val="fr-FR"/>
        </w:rPr>
        <w:t xml:space="preserve"> toute l</w:t>
      </w:r>
      <w:r w:rsidR="00923E72">
        <w:rPr>
          <w:rFonts w:eastAsia="Malgun Gothic"/>
          <w:lang w:val="fr-FR"/>
        </w:rPr>
        <w:t>’</w:t>
      </w:r>
      <w:r w:rsidRPr="0065686B">
        <w:rPr>
          <w:rFonts w:eastAsia="Malgun Gothic"/>
          <w:lang w:val="fr-FR"/>
        </w:rPr>
        <w:t xml:space="preserve">équipe </w:t>
      </w:r>
      <w:r w:rsidRPr="0065686B">
        <w:rPr>
          <w:rFonts w:eastAsia="Malgun Gothic"/>
          <w:lang w:val="fr-FR"/>
        </w:rPr>
        <w:lastRenderedPageBreak/>
        <w:t>pour ses efforts inlassables. Parmi le large éventail d</w:t>
      </w:r>
      <w:r w:rsidR="00923E72">
        <w:rPr>
          <w:rFonts w:eastAsia="Malgun Gothic"/>
          <w:lang w:val="fr-FR"/>
        </w:rPr>
        <w:t>’</w:t>
      </w:r>
      <w:r w:rsidRPr="0065686B">
        <w:rPr>
          <w:rFonts w:eastAsia="Malgun Gothic"/>
          <w:lang w:val="fr-FR"/>
        </w:rPr>
        <w:t xml:space="preserve">activités entreprises, </w:t>
      </w:r>
      <w:r w:rsidR="006C78C8" w:rsidRPr="0065686B">
        <w:rPr>
          <w:rFonts w:eastAsia="Malgun Gothic"/>
          <w:lang w:val="fr-FR"/>
        </w:rPr>
        <w:t xml:space="preserve">la délégation </w:t>
      </w:r>
      <w:r w:rsidRPr="0065686B">
        <w:rPr>
          <w:rFonts w:eastAsia="Malgun Gothic"/>
          <w:lang w:val="fr-FR"/>
        </w:rPr>
        <w:t>a souligné l</w:t>
      </w:r>
      <w:r w:rsidR="00923E72">
        <w:rPr>
          <w:rFonts w:eastAsia="Malgun Gothic"/>
          <w:lang w:val="fr-FR"/>
        </w:rPr>
        <w:t>’</w:t>
      </w:r>
      <w:r w:rsidRPr="0065686B">
        <w:rPr>
          <w:rFonts w:eastAsia="Malgun Gothic"/>
          <w:lang w:val="fr-FR"/>
        </w:rPr>
        <w:t>impact de la réflexion globale sur les mécanismes d</w:t>
      </w:r>
      <w:r w:rsidR="00923E72">
        <w:rPr>
          <w:rFonts w:eastAsia="Malgun Gothic"/>
          <w:lang w:val="fr-FR"/>
        </w:rPr>
        <w:t>’</w:t>
      </w:r>
      <w:r w:rsidRPr="0065686B">
        <w:rPr>
          <w:rFonts w:eastAsia="Malgun Gothic"/>
          <w:lang w:val="fr-FR"/>
        </w:rPr>
        <w:t>inscription, qui</w:t>
      </w:r>
      <w:r w:rsidR="00913F92" w:rsidRPr="0065686B">
        <w:rPr>
          <w:rFonts w:eastAsia="Malgun Gothic"/>
          <w:lang w:val="fr-FR"/>
        </w:rPr>
        <w:t xml:space="preserve"> </w:t>
      </w:r>
      <w:r w:rsidRPr="0065686B">
        <w:rPr>
          <w:rFonts w:eastAsia="Malgun Gothic"/>
          <w:lang w:val="fr-FR"/>
        </w:rPr>
        <w:t>trait</w:t>
      </w:r>
      <w:r w:rsidR="007075CF" w:rsidRPr="0065686B">
        <w:rPr>
          <w:rFonts w:eastAsia="Malgun Gothic"/>
          <w:lang w:val="fr-FR"/>
        </w:rPr>
        <w:t>ait</w:t>
      </w:r>
      <w:r w:rsidRPr="0065686B">
        <w:rPr>
          <w:rFonts w:eastAsia="Malgun Gothic"/>
          <w:lang w:val="fr-FR"/>
        </w:rPr>
        <w:t xml:space="preserve"> désormais diverses situations pour lesquelles l</w:t>
      </w:r>
      <w:r w:rsidR="007075CF" w:rsidRPr="0065686B">
        <w:rPr>
          <w:rFonts w:eastAsia="Malgun Gothic"/>
          <w:lang w:val="fr-FR"/>
        </w:rPr>
        <w:t>e Comité</w:t>
      </w:r>
      <w:r w:rsidRPr="0065686B">
        <w:rPr>
          <w:rFonts w:eastAsia="Malgun Gothic"/>
          <w:lang w:val="fr-FR"/>
        </w:rPr>
        <w:t xml:space="preserve"> n</w:t>
      </w:r>
      <w:r w:rsidR="00923E72">
        <w:rPr>
          <w:rFonts w:eastAsia="Malgun Gothic"/>
          <w:lang w:val="fr-FR"/>
        </w:rPr>
        <w:t>’</w:t>
      </w:r>
      <w:r w:rsidRPr="0065686B">
        <w:rPr>
          <w:rFonts w:eastAsia="Malgun Gothic"/>
          <w:lang w:val="fr-FR"/>
        </w:rPr>
        <w:t>avait pas auparavant de règle</w:t>
      </w:r>
      <w:r w:rsidR="006C78C8" w:rsidRPr="0065686B">
        <w:rPr>
          <w:rFonts w:eastAsia="Malgun Gothic"/>
          <w:lang w:val="fr-FR"/>
        </w:rPr>
        <w:t>s</w:t>
      </w:r>
      <w:r w:rsidRPr="0065686B">
        <w:rPr>
          <w:rFonts w:eastAsia="Malgun Gothic"/>
          <w:lang w:val="fr-FR"/>
        </w:rPr>
        <w:t xml:space="preserve"> claire</w:t>
      </w:r>
      <w:r w:rsidR="006C78C8" w:rsidRPr="0065686B">
        <w:rPr>
          <w:rFonts w:eastAsia="Malgun Gothic"/>
          <w:lang w:val="fr-FR"/>
        </w:rPr>
        <w:t>s</w:t>
      </w:r>
      <w:r w:rsidRPr="0065686B">
        <w:rPr>
          <w:rFonts w:eastAsia="Malgun Gothic"/>
          <w:lang w:val="fr-FR"/>
        </w:rPr>
        <w:t>.</w:t>
      </w:r>
      <w:r w:rsidR="006C78C8" w:rsidRPr="0065686B">
        <w:rPr>
          <w:rFonts w:eastAsia="Malgun Gothic"/>
          <w:lang w:val="fr-FR"/>
        </w:rPr>
        <w:t xml:space="preserve"> Elle </w:t>
      </w:r>
      <w:r w:rsidRPr="0065686B">
        <w:rPr>
          <w:rFonts w:eastAsia="Malgun Gothic"/>
          <w:lang w:val="fr-FR"/>
        </w:rPr>
        <w:t>s</w:t>
      </w:r>
      <w:r w:rsidR="00923E72">
        <w:rPr>
          <w:rFonts w:eastAsia="Malgun Gothic"/>
          <w:lang w:val="fr-FR"/>
        </w:rPr>
        <w:t>’</w:t>
      </w:r>
      <w:r w:rsidRPr="0065686B">
        <w:rPr>
          <w:rFonts w:eastAsia="Malgun Gothic"/>
          <w:lang w:val="fr-FR"/>
        </w:rPr>
        <w:t xml:space="preserve">est également réjouie </w:t>
      </w:r>
      <w:r w:rsidR="006C78C8" w:rsidRPr="0065686B">
        <w:rPr>
          <w:rFonts w:eastAsia="Malgun Gothic"/>
          <w:lang w:val="fr-FR"/>
        </w:rPr>
        <w:t xml:space="preserve">de noter </w:t>
      </w:r>
      <w:r w:rsidRPr="0065686B">
        <w:rPr>
          <w:rFonts w:eastAsia="Malgun Gothic"/>
          <w:lang w:val="fr-FR"/>
        </w:rPr>
        <w:t>que l</w:t>
      </w:r>
      <w:r w:rsidR="00923E72">
        <w:rPr>
          <w:rFonts w:eastAsia="Malgun Gothic"/>
          <w:lang w:val="fr-FR"/>
        </w:rPr>
        <w:t>’</w:t>
      </w:r>
      <w:r w:rsidRPr="0065686B">
        <w:rPr>
          <w:rFonts w:eastAsia="Malgun Gothic"/>
          <w:lang w:val="fr-FR"/>
        </w:rPr>
        <w:t xml:space="preserve">Assemblée générale </w:t>
      </w:r>
      <w:r w:rsidR="006C78C8" w:rsidRPr="0065686B">
        <w:rPr>
          <w:rFonts w:eastAsia="Malgun Gothic"/>
          <w:lang w:val="fr-FR"/>
        </w:rPr>
        <w:t>avait</w:t>
      </w:r>
      <w:r w:rsidRPr="0065686B">
        <w:rPr>
          <w:rFonts w:eastAsia="Malgun Gothic"/>
          <w:lang w:val="fr-FR"/>
        </w:rPr>
        <w:t xml:space="preserve"> donné l</w:t>
      </w:r>
      <w:r w:rsidR="00923E72">
        <w:rPr>
          <w:rFonts w:eastAsia="Malgun Gothic"/>
          <w:lang w:val="fr-FR"/>
        </w:rPr>
        <w:t>’</w:t>
      </w:r>
      <w:r w:rsidRPr="0065686B">
        <w:rPr>
          <w:rFonts w:eastAsia="Malgun Gothic"/>
          <w:lang w:val="fr-FR"/>
        </w:rPr>
        <w:t xml:space="preserve">exemple aux autres organes directeurs des conventions </w:t>
      </w:r>
      <w:r w:rsidR="007075CF" w:rsidRPr="0065686B">
        <w:rPr>
          <w:rFonts w:eastAsia="Malgun Gothic"/>
          <w:lang w:val="fr-FR"/>
        </w:rPr>
        <w:t>de l</w:t>
      </w:r>
      <w:r w:rsidR="00923E72">
        <w:rPr>
          <w:rFonts w:eastAsia="Malgun Gothic"/>
          <w:lang w:val="fr-FR"/>
        </w:rPr>
        <w:t>’</w:t>
      </w:r>
      <w:r w:rsidR="007075CF" w:rsidRPr="0065686B">
        <w:rPr>
          <w:rFonts w:eastAsia="Malgun Gothic"/>
          <w:lang w:val="fr-FR"/>
        </w:rPr>
        <w:t xml:space="preserve">UNESCO en matière de culture </w:t>
      </w:r>
      <w:r w:rsidRPr="0065686B">
        <w:rPr>
          <w:rFonts w:eastAsia="Malgun Gothic"/>
          <w:lang w:val="fr-FR"/>
        </w:rPr>
        <w:t xml:space="preserve">en harmonisant </w:t>
      </w:r>
      <w:r w:rsidR="007075CF" w:rsidRPr="0065686B">
        <w:rPr>
          <w:rFonts w:eastAsia="Malgun Gothic"/>
          <w:lang w:val="fr-FR"/>
        </w:rPr>
        <w:t>son R</w:t>
      </w:r>
      <w:r w:rsidRPr="0065686B">
        <w:rPr>
          <w:rFonts w:eastAsia="Malgun Gothic"/>
          <w:lang w:val="fr-FR"/>
        </w:rPr>
        <w:t xml:space="preserve">èglement intérieur, malgré </w:t>
      </w:r>
      <w:r w:rsidR="007075CF" w:rsidRPr="0065686B">
        <w:rPr>
          <w:rFonts w:eastAsia="Malgun Gothic"/>
          <w:lang w:val="fr-FR"/>
        </w:rPr>
        <w:t>l</w:t>
      </w:r>
      <w:r w:rsidRPr="0065686B">
        <w:rPr>
          <w:rFonts w:eastAsia="Malgun Gothic"/>
          <w:lang w:val="fr-FR"/>
        </w:rPr>
        <w:t xml:space="preserve">es négociations difficiles. </w:t>
      </w:r>
      <w:r w:rsidR="006C78C8" w:rsidRPr="0065686B">
        <w:rPr>
          <w:rFonts w:eastAsia="Malgun Gothic"/>
          <w:lang w:val="fr-FR"/>
        </w:rPr>
        <w:t>La Tchéquie</w:t>
      </w:r>
      <w:r w:rsidRPr="0065686B">
        <w:rPr>
          <w:rFonts w:eastAsia="Malgun Gothic"/>
          <w:lang w:val="fr-FR"/>
        </w:rPr>
        <w:t xml:space="preserve"> a souligné le soutien exemplaire dont l</w:t>
      </w:r>
      <w:r w:rsidR="00923E72">
        <w:rPr>
          <w:rFonts w:eastAsia="Malgun Gothic"/>
          <w:lang w:val="fr-FR"/>
        </w:rPr>
        <w:t>’</w:t>
      </w:r>
      <w:r w:rsidRPr="0065686B">
        <w:rPr>
          <w:rFonts w:eastAsia="Malgun Gothic"/>
          <w:lang w:val="fr-FR"/>
        </w:rPr>
        <w:t xml:space="preserve">Ukraine et son patrimoine culturel immatériel </w:t>
      </w:r>
      <w:r w:rsidR="007075CF" w:rsidRPr="0065686B">
        <w:rPr>
          <w:rFonts w:eastAsia="Malgun Gothic"/>
          <w:lang w:val="fr-FR"/>
        </w:rPr>
        <w:t xml:space="preserve">avaient </w:t>
      </w:r>
      <w:r w:rsidRPr="0065686B">
        <w:rPr>
          <w:rFonts w:eastAsia="Malgun Gothic"/>
          <w:lang w:val="fr-FR"/>
        </w:rPr>
        <w:t>bénéficié dans le cadre de la guerre actuelle sur son territoire</w:t>
      </w:r>
      <w:r w:rsidR="007075CF" w:rsidRPr="0065686B">
        <w:rPr>
          <w:rFonts w:eastAsia="Malgun Gothic"/>
          <w:lang w:val="fr-FR"/>
        </w:rPr>
        <w:t>,</w:t>
      </w:r>
      <w:r w:rsidRPr="0065686B">
        <w:rPr>
          <w:rFonts w:eastAsia="Malgun Gothic"/>
          <w:lang w:val="fr-FR"/>
        </w:rPr>
        <w:t xml:space="preserve"> et </w:t>
      </w:r>
      <w:r w:rsidR="007075CF" w:rsidRPr="0065686B">
        <w:rPr>
          <w:rFonts w:eastAsia="Malgun Gothic"/>
          <w:lang w:val="fr-FR"/>
        </w:rPr>
        <w:t xml:space="preserve">elle </w:t>
      </w:r>
      <w:r w:rsidR="00BD3877">
        <w:rPr>
          <w:rFonts w:eastAsia="Malgun Gothic"/>
          <w:lang w:val="fr-FR"/>
        </w:rPr>
        <w:t xml:space="preserve">a déclaré </w:t>
      </w:r>
      <w:r w:rsidRPr="0065686B">
        <w:rPr>
          <w:rFonts w:eastAsia="Malgun Gothic"/>
          <w:lang w:val="fr-FR"/>
        </w:rPr>
        <w:t>souten</w:t>
      </w:r>
      <w:r w:rsidR="00BD3877">
        <w:rPr>
          <w:rFonts w:eastAsia="Malgun Gothic"/>
          <w:lang w:val="fr-FR"/>
        </w:rPr>
        <w:t>ir</w:t>
      </w:r>
      <w:r w:rsidRPr="0065686B">
        <w:rPr>
          <w:rFonts w:eastAsia="Malgun Gothic"/>
          <w:lang w:val="fr-FR"/>
        </w:rPr>
        <w:t xml:space="preserve"> les pays voisins qui </w:t>
      </w:r>
      <w:r w:rsidR="007075CF" w:rsidRPr="0065686B">
        <w:rPr>
          <w:rFonts w:eastAsia="Malgun Gothic"/>
          <w:lang w:val="fr-FR"/>
        </w:rPr>
        <w:t xml:space="preserve">avaient </w:t>
      </w:r>
      <w:r w:rsidRPr="0065686B">
        <w:rPr>
          <w:rFonts w:eastAsia="Malgun Gothic"/>
          <w:lang w:val="fr-FR"/>
        </w:rPr>
        <w:t>accueilli de nombreux réfugiés et répondu aux besoins de leurs communautés. Depuis le début de l</w:t>
      </w:r>
      <w:r w:rsidR="00923E72">
        <w:rPr>
          <w:rFonts w:eastAsia="Malgun Gothic"/>
          <w:lang w:val="fr-FR"/>
        </w:rPr>
        <w:t>’</w:t>
      </w:r>
      <w:r w:rsidRPr="0065686B">
        <w:rPr>
          <w:rFonts w:eastAsia="Malgun Gothic"/>
          <w:lang w:val="fr-FR"/>
        </w:rPr>
        <w:t xml:space="preserve">agression russe, la </w:t>
      </w:r>
      <w:r w:rsidR="006C78C8" w:rsidRPr="0065686B">
        <w:rPr>
          <w:rFonts w:eastAsia="Malgun Gothic"/>
          <w:lang w:val="fr-FR"/>
        </w:rPr>
        <w:t xml:space="preserve">Tchéquie </w:t>
      </w:r>
      <w:r w:rsidR="00913F92" w:rsidRPr="0065686B">
        <w:rPr>
          <w:rFonts w:eastAsia="Malgun Gothic"/>
          <w:lang w:val="fr-FR"/>
        </w:rPr>
        <w:t xml:space="preserve">avait </w:t>
      </w:r>
      <w:r w:rsidRPr="0065686B">
        <w:rPr>
          <w:rFonts w:eastAsia="Malgun Gothic"/>
          <w:lang w:val="fr-FR"/>
        </w:rPr>
        <w:t>accueill</w:t>
      </w:r>
      <w:r w:rsidR="00913F92" w:rsidRPr="0065686B">
        <w:rPr>
          <w:rFonts w:eastAsia="Malgun Gothic"/>
          <w:lang w:val="fr-FR"/>
        </w:rPr>
        <w:t>i</w:t>
      </w:r>
      <w:r w:rsidRPr="0065686B">
        <w:rPr>
          <w:rFonts w:eastAsia="Malgun Gothic"/>
          <w:lang w:val="fr-FR"/>
        </w:rPr>
        <w:t xml:space="preserve"> des réfugiés de guerre, en particulier des femmes et des enfants, et leur </w:t>
      </w:r>
      <w:r w:rsidR="006C78C8" w:rsidRPr="0065686B">
        <w:rPr>
          <w:rFonts w:eastAsia="Malgun Gothic"/>
          <w:lang w:val="fr-FR"/>
        </w:rPr>
        <w:t>avait offert</w:t>
      </w:r>
      <w:r w:rsidRPr="0065686B">
        <w:rPr>
          <w:rFonts w:eastAsia="Malgun Gothic"/>
          <w:lang w:val="fr-FR"/>
        </w:rPr>
        <w:t xml:space="preserve"> des conditions de vie temporaires et tolérables, notamment pour les écoliers, tout en aidant la communauté ukrainienne</w:t>
      </w:r>
      <w:r w:rsidR="00717029" w:rsidRPr="0065686B">
        <w:rPr>
          <w:rFonts w:eastAsia="Malgun Gothic"/>
          <w:lang w:val="fr-FR"/>
        </w:rPr>
        <w:t xml:space="preserve"> vivant</w:t>
      </w:r>
      <w:r w:rsidR="00BD3877">
        <w:rPr>
          <w:rFonts w:eastAsia="Malgun Gothic"/>
          <w:lang w:val="fr-FR"/>
        </w:rPr>
        <w:t xml:space="preserve"> </w:t>
      </w:r>
      <w:r w:rsidRPr="0065686B">
        <w:rPr>
          <w:rFonts w:eastAsia="Malgun Gothic"/>
          <w:lang w:val="fr-FR"/>
        </w:rPr>
        <w:t>en</w:t>
      </w:r>
      <w:r w:rsidR="006C78C8" w:rsidRPr="0065686B">
        <w:rPr>
          <w:rFonts w:eastAsia="Malgun Gothic"/>
          <w:lang w:val="fr-FR"/>
        </w:rPr>
        <w:t xml:space="preserve"> Tchéquie</w:t>
      </w:r>
      <w:r w:rsidRPr="0065686B">
        <w:rPr>
          <w:rFonts w:eastAsia="Malgun Gothic"/>
          <w:lang w:val="fr-FR"/>
        </w:rPr>
        <w:t xml:space="preserve">. La délégation </w:t>
      </w:r>
      <w:r w:rsidR="00717029" w:rsidRPr="0065686B">
        <w:rPr>
          <w:rFonts w:eastAsia="Malgun Gothic"/>
          <w:lang w:val="fr-FR"/>
        </w:rPr>
        <w:t>estimait</w:t>
      </w:r>
      <w:r w:rsidRPr="0065686B">
        <w:rPr>
          <w:rFonts w:eastAsia="Malgun Gothic"/>
          <w:lang w:val="fr-FR"/>
        </w:rPr>
        <w:t xml:space="preserve"> </w:t>
      </w:r>
      <w:r w:rsidR="006C78C8" w:rsidRPr="0065686B">
        <w:rPr>
          <w:rFonts w:eastAsia="Malgun Gothic"/>
          <w:lang w:val="fr-FR"/>
        </w:rPr>
        <w:t>d</w:t>
      </w:r>
      <w:r w:rsidR="00923E72">
        <w:rPr>
          <w:rFonts w:eastAsia="Malgun Gothic"/>
          <w:lang w:val="fr-FR"/>
        </w:rPr>
        <w:t>’</w:t>
      </w:r>
      <w:r w:rsidR="006C78C8" w:rsidRPr="0065686B">
        <w:rPr>
          <w:rFonts w:eastAsia="Malgun Gothic"/>
          <w:lang w:val="fr-FR"/>
        </w:rPr>
        <w:t xml:space="preserve">ailleurs </w:t>
      </w:r>
      <w:r w:rsidRPr="0065686B">
        <w:rPr>
          <w:rFonts w:eastAsia="Malgun Gothic"/>
          <w:lang w:val="fr-FR"/>
        </w:rPr>
        <w:t>que l</w:t>
      </w:r>
      <w:r w:rsidR="00923E72">
        <w:rPr>
          <w:rFonts w:eastAsia="Malgun Gothic"/>
          <w:lang w:val="fr-FR"/>
        </w:rPr>
        <w:t>’</w:t>
      </w:r>
      <w:r w:rsidRPr="0065686B">
        <w:rPr>
          <w:rFonts w:eastAsia="Malgun Gothic"/>
          <w:lang w:val="fr-FR"/>
        </w:rPr>
        <w:t xml:space="preserve">inscription de </w:t>
      </w:r>
      <w:r w:rsidR="00717029" w:rsidRPr="0065686B">
        <w:rPr>
          <w:rFonts w:eastAsia="Malgun Gothic"/>
          <w:lang w:val="fr-FR"/>
        </w:rPr>
        <w:t>« La culture de la préparation du bortsch ukrainien »</w:t>
      </w:r>
      <w:r w:rsidRPr="0065686B">
        <w:rPr>
          <w:rFonts w:eastAsia="Malgun Gothic"/>
          <w:lang w:val="fr-FR"/>
        </w:rPr>
        <w:t xml:space="preserve"> sur la Liste de sauvegarde urgente</w:t>
      </w:r>
      <w:r w:rsidR="00717029" w:rsidRPr="0065686B">
        <w:rPr>
          <w:rFonts w:eastAsia="Malgun Gothic"/>
          <w:lang w:val="fr-FR"/>
        </w:rPr>
        <w:t>,</w:t>
      </w:r>
      <w:r w:rsidRPr="0065686B">
        <w:rPr>
          <w:rFonts w:eastAsia="Malgun Gothic"/>
          <w:lang w:val="fr-FR"/>
        </w:rPr>
        <w:t xml:space="preserve"> dans un cas d</w:t>
      </w:r>
      <w:r w:rsidR="00923E72">
        <w:rPr>
          <w:rFonts w:eastAsia="Malgun Gothic"/>
          <w:lang w:val="fr-FR"/>
        </w:rPr>
        <w:t>’</w:t>
      </w:r>
      <w:r w:rsidRPr="0065686B">
        <w:rPr>
          <w:rFonts w:eastAsia="Malgun Gothic"/>
          <w:lang w:val="fr-FR"/>
        </w:rPr>
        <w:t xml:space="preserve">extrême urgence </w:t>
      </w:r>
      <w:r w:rsidR="00255942" w:rsidRPr="0065686B">
        <w:rPr>
          <w:rFonts w:eastAsia="Malgun Gothic"/>
          <w:lang w:val="fr-FR"/>
        </w:rPr>
        <w:t>en vertu</w:t>
      </w:r>
      <w:r w:rsidRPr="0065686B">
        <w:rPr>
          <w:rFonts w:eastAsia="Malgun Gothic"/>
          <w:lang w:val="fr-FR"/>
        </w:rPr>
        <w:t xml:space="preserve"> de l</w:t>
      </w:r>
      <w:r w:rsidR="00923E72">
        <w:rPr>
          <w:rFonts w:eastAsia="Malgun Gothic"/>
          <w:lang w:val="fr-FR"/>
        </w:rPr>
        <w:t>’</w:t>
      </w:r>
      <w:r w:rsidRPr="0065686B">
        <w:rPr>
          <w:rFonts w:eastAsia="Malgun Gothic"/>
          <w:lang w:val="fr-FR"/>
        </w:rPr>
        <w:t>article</w:t>
      </w:r>
      <w:r w:rsidR="006773EF">
        <w:rPr>
          <w:rFonts w:eastAsia="Malgun Gothic"/>
          <w:lang w:val="fr-FR"/>
        </w:rPr>
        <w:t> </w:t>
      </w:r>
      <w:r w:rsidRPr="0065686B">
        <w:rPr>
          <w:rFonts w:eastAsia="Malgun Gothic"/>
          <w:lang w:val="fr-FR"/>
        </w:rPr>
        <w:t>17.3 de la Convention</w:t>
      </w:r>
      <w:r w:rsidR="00717029" w:rsidRPr="0065686B">
        <w:rPr>
          <w:rFonts w:eastAsia="Malgun Gothic"/>
          <w:lang w:val="fr-FR"/>
        </w:rPr>
        <w:t>,</w:t>
      </w:r>
      <w:r w:rsidR="006C78C8" w:rsidRPr="0065686B">
        <w:rPr>
          <w:rFonts w:eastAsia="Malgun Gothic"/>
          <w:lang w:val="fr-FR"/>
        </w:rPr>
        <w:t xml:space="preserve"> était</w:t>
      </w:r>
      <w:r w:rsidRPr="0065686B">
        <w:rPr>
          <w:rFonts w:eastAsia="Malgun Gothic"/>
          <w:lang w:val="fr-FR"/>
        </w:rPr>
        <w:t xml:space="preserve"> un geste symbolique fort de la part de la communauté internationale, pour lequel elle </w:t>
      </w:r>
      <w:r w:rsidR="00717029" w:rsidRPr="0065686B">
        <w:rPr>
          <w:rFonts w:eastAsia="Malgun Gothic"/>
          <w:lang w:val="fr-FR"/>
        </w:rPr>
        <w:t xml:space="preserve">a </w:t>
      </w:r>
      <w:r w:rsidRPr="0065686B">
        <w:rPr>
          <w:rFonts w:eastAsia="Malgun Gothic"/>
          <w:lang w:val="fr-FR"/>
        </w:rPr>
        <w:t>remerci</w:t>
      </w:r>
      <w:r w:rsidR="00717029" w:rsidRPr="0065686B">
        <w:rPr>
          <w:rFonts w:eastAsia="Malgun Gothic"/>
          <w:lang w:val="fr-FR"/>
        </w:rPr>
        <w:t xml:space="preserve">é </w:t>
      </w:r>
      <w:r w:rsidRPr="0065686B">
        <w:rPr>
          <w:rFonts w:eastAsia="Malgun Gothic"/>
          <w:lang w:val="fr-FR"/>
        </w:rPr>
        <w:t>le Secrétariat</w:t>
      </w:r>
      <w:r w:rsidR="0065686B">
        <w:rPr>
          <w:rFonts w:eastAsia="Malgun Gothic"/>
          <w:lang w:val="fr-FR"/>
        </w:rPr>
        <w:t>,</w:t>
      </w:r>
      <w:r w:rsidRPr="0065686B">
        <w:rPr>
          <w:rFonts w:eastAsia="Malgun Gothic"/>
          <w:lang w:val="fr-FR"/>
        </w:rPr>
        <w:t xml:space="preserve"> </w:t>
      </w:r>
      <w:r w:rsidR="006C78C8" w:rsidRPr="0065686B">
        <w:rPr>
          <w:rFonts w:eastAsia="Malgun Gothic"/>
          <w:lang w:val="fr-FR"/>
        </w:rPr>
        <w:t xml:space="preserve">qui avait préparé </w:t>
      </w:r>
      <w:r w:rsidRPr="0065686B">
        <w:rPr>
          <w:rFonts w:eastAsia="Malgun Gothic"/>
          <w:lang w:val="fr-FR"/>
        </w:rPr>
        <w:t>l</w:t>
      </w:r>
      <w:r w:rsidR="00923E72">
        <w:rPr>
          <w:rFonts w:eastAsia="Malgun Gothic"/>
          <w:lang w:val="fr-FR"/>
        </w:rPr>
        <w:t>’</w:t>
      </w:r>
      <w:r w:rsidRPr="0065686B">
        <w:rPr>
          <w:rFonts w:eastAsia="Malgun Gothic"/>
          <w:lang w:val="fr-FR"/>
        </w:rPr>
        <w:t xml:space="preserve">ensemble de la procédure. La délégation a conclu </w:t>
      </w:r>
      <w:r w:rsidR="00717029" w:rsidRPr="0065686B">
        <w:rPr>
          <w:rFonts w:eastAsia="Malgun Gothic"/>
          <w:lang w:val="fr-FR"/>
        </w:rPr>
        <w:t xml:space="preserve">son intervention </w:t>
      </w:r>
      <w:r w:rsidRPr="0065686B">
        <w:rPr>
          <w:rFonts w:eastAsia="Malgun Gothic"/>
          <w:lang w:val="fr-FR"/>
        </w:rPr>
        <w:t xml:space="preserve">en </w:t>
      </w:r>
      <w:r w:rsidR="006C78C8" w:rsidRPr="0065686B">
        <w:rPr>
          <w:rFonts w:eastAsia="Malgun Gothic"/>
          <w:lang w:val="fr-FR"/>
        </w:rPr>
        <w:t>formant l</w:t>
      </w:r>
      <w:r w:rsidR="00923E72">
        <w:rPr>
          <w:rFonts w:eastAsia="Malgun Gothic"/>
          <w:lang w:val="fr-FR"/>
        </w:rPr>
        <w:t>’</w:t>
      </w:r>
      <w:r w:rsidR="006C78C8" w:rsidRPr="0065686B">
        <w:rPr>
          <w:rFonts w:eastAsia="Malgun Gothic"/>
          <w:lang w:val="fr-FR"/>
        </w:rPr>
        <w:t>espoir</w:t>
      </w:r>
      <w:r w:rsidRPr="0065686B">
        <w:rPr>
          <w:rFonts w:eastAsia="Malgun Gothic"/>
          <w:lang w:val="fr-FR"/>
        </w:rPr>
        <w:t xml:space="preserve"> que le Secrétariat s</w:t>
      </w:r>
      <w:r w:rsidR="00913F92" w:rsidRPr="0065686B">
        <w:rPr>
          <w:rFonts w:eastAsia="Malgun Gothic"/>
          <w:lang w:val="fr-FR"/>
        </w:rPr>
        <w:t xml:space="preserve">erait </w:t>
      </w:r>
      <w:r w:rsidRPr="0065686B">
        <w:rPr>
          <w:rFonts w:eastAsia="Malgun Gothic"/>
          <w:lang w:val="fr-FR"/>
        </w:rPr>
        <w:t>un partenaire précieux dans la célébration du vingtième anniversaire de la Convention</w:t>
      </w:r>
      <w:r w:rsidR="006C78C8" w:rsidRPr="0065686B">
        <w:rPr>
          <w:rFonts w:eastAsia="Malgun Gothic"/>
          <w:lang w:val="fr-FR"/>
        </w:rPr>
        <w:t>.</w:t>
      </w:r>
    </w:p>
    <w:p w14:paraId="7D450432" w14:textId="7474CF30" w:rsidR="00717029" w:rsidRDefault="00BD6FA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BD6FA1">
        <w:rPr>
          <w:rFonts w:eastAsia="Malgun Gothic"/>
          <w:lang w:val="fr-FR"/>
        </w:rPr>
        <w:t xml:space="preserve">La délégation de la </w:t>
      </w:r>
      <w:r w:rsidRPr="00BD6FA1">
        <w:rPr>
          <w:rFonts w:eastAsia="Malgun Gothic"/>
          <w:b/>
          <w:bCs/>
          <w:lang w:val="fr-FR"/>
        </w:rPr>
        <w:t>Mauritanie</w:t>
      </w:r>
      <w:r w:rsidRPr="00BD6FA1">
        <w:rPr>
          <w:rFonts w:eastAsia="Malgun Gothic"/>
          <w:lang w:val="fr-FR"/>
        </w:rPr>
        <w:t xml:space="preserve"> a remercié le </w:t>
      </w:r>
      <w:r>
        <w:rPr>
          <w:rFonts w:eastAsia="Malgun Gothic"/>
          <w:lang w:val="fr-FR"/>
        </w:rPr>
        <w:t>G</w:t>
      </w:r>
      <w:r w:rsidRPr="00BD6FA1">
        <w:rPr>
          <w:rFonts w:eastAsia="Malgun Gothic"/>
          <w:lang w:val="fr-FR"/>
        </w:rPr>
        <w:t>ouvernement et le peuple marocains pour leur accueil chaleureux et leur hospitalité ainsi que pour l</w:t>
      </w:r>
      <w:r w:rsidR="00923E72">
        <w:rPr>
          <w:rFonts w:eastAsia="Malgun Gothic"/>
          <w:lang w:val="fr-FR"/>
        </w:rPr>
        <w:t>’</w:t>
      </w:r>
      <w:r w:rsidRPr="00BD6FA1">
        <w:rPr>
          <w:rFonts w:eastAsia="Malgun Gothic"/>
          <w:lang w:val="fr-FR"/>
        </w:rPr>
        <w:t>organisation de cette dix</w:t>
      </w:r>
      <w:r>
        <w:rPr>
          <w:rFonts w:eastAsia="Malgun Gothic"/>
          <w:lang w:val="fr-FR"/>
        </w:rPr>
        <w:noBreakHyphen/>
      </w:r>
      <w:r w:rsidRPr="00BD6FA1">
        <w:rPr>
          <w:rFonts w:eastAsia="Malgun Gothic"/>
          <w:lang w:val="fr-FR"/>
        </w:rPr>
        <w:t xml:space="preserve">septième session dans cette ville magnifique, </w:t>
      </w:r>
      <w:r w:rsidR="003E3A52">
        <w:rPr>
          <w:rFonts w:eastAsia="Malgun Gothic"/>
          <w:lang w:val="fr-FR"/>
        </w:rPr>
        <w:t>riche d</w:t>
      </w:r>
      <w:r w:rsidR="00923E72">
        <w:rPr>
          <w:rFonts w:eastAsia="Malgun Gothic"/>
          <w:lang w:val="fr-FR"/>
        </w:rPr>
        <w:t>’</w:t>
      </w:r>
      <w:r w:rsidR="003E3A52">
        <w:rPr>
          <w:rFonts w:eastAsia="Malgun Gothic"/>
          <w:lang w:val="fr-FR"/>
        </w:rPr>
        <w:t>une</w:t>
      </w:r>
      <w:r w:rsidRPr="00BD6FA1">
        <w:rPr>
          <w:rFonts w:eastAsia="Malgun Gothic"/>
          <w:lang w:val="fr-FR"/>
        </w:rPr>
        <w:t xml:space="preserve"> valeur universelle exceptionnelle</w:t>
      </w:r>
      <w:r w:rsidR="0065686B">
        <w:rPr>
          <w:rFonts w:eastAsia="Malgun Gothic"/>
          <w:lang w:val="fr-FR"/>
        </w:rPr>
        <w:t>,</w:t>
      </w:r>
      <w:r w:rsidRPr="00BD6FA1">
        <w:rPr>
          <w:rFonts w:eastAsia="Malgun Gothic"/>
          <w:lang w:val="fr-FR"/>
        </w:rPr>
        <w:t xml:space="preserve"> qui associe en un même lieu privilégié le patrimoine matériel et immatériel. </w:t>
      </w:r>
      <w:r>
        <w:rPr>
          <w:rFonts w:eastAsia="Malgun Gothic"/>
          <w:lang w:val="fr-FR"/>
        </w:rPr>
        <w:t>Elle</w:t>
      </w:r>
      <w:r w:rsidRPr="00BD6FA1">
        <w:rPr>
          <w:rFonts w:eastAsia="Malgun Gothic"/>
          <w:lang w:val="fr-FR"/>
        </w:rPr>
        <w:t xml:space="preserve"> a exprimé sa gratitude au Maroc pour la </w:t>
      </w:r>
      <w:r w:rsidR="003E3A52">
        <w:rPr>
          <w:rFonts w:eastAsia="Malgun Gothic"/>
          <w:lang w:val="fr-FR"/>
        </w:rPr>
        <w:t xml:space="preserve">belle </w:t>
      </w:r>
      <w:r w:rsidRPr="00BD6FA1">
        <w:rPr>
          <w:rFonts w:eastAsia="Malgun Gothic"/>
          <w:lang w:val="fr-FR"/>
        </w:rPr>
        <w:t>cérémonie d</w:t>
      </w:r>
      <w:r w:rsidR="00923E72">
        <w:rPr>
          <w:rFonts w:eastAsia="Malgun Gothic"/>
          <w:lang w:val="fr-FR"/>
        </w:rPr>
        <w:t>’</w:t>
      </w:r>
      <w:r w:rsidRPr="00BD6FA1">
        <w:rPr>
          <w:rFonts w:eastAsia="Malgun Gothic"/>
          <w:lang w:val="fr-FR"/>
        </w:rPr>
        <w:t>ouverture et l</w:t>
      </w:r>
      <w:r w:rsidR="00923E72">
        <w:rPr>
          <w:rFonts w:eastAsia="Malgun Gothic"/>
          <w:lang w:val="fr-FR"/>
        </w:rPr>
        <w:t>’</w:t>
      </w:r>
      <w:r w:rsidRPr="00BD6FA1">
        <w:rPr>
          <w:rFonts w:eastAsia="Malgun Gothic"/>
          <w:lang w:val="fr-FR"/>
        </w:rPr>
        <w:t>exceptionnelle soirée culturelle</w:t>
      </w:r>
      <w:r w:rsidR="003E3A52">
        <w:rPr>
          <w:rFonts w:eastAsia="Malgun Gothic"/>
          <w:lang w:val="fr-FR"/>
        </w:rPr>
        <w:t xml:space="preserve">, rappelant que </w:t>
      </w:r>
      <w:r w:rsidRPr="00BD6FA1">
        <w:rPr>
          <w:rFonts w:eastAsia="Malgun Gothic"/>
          <w:lang w:val="fr-FR"/>
        </w:rPr>
        <w:t>Rabat est une capitale moderne et une ville historique</w:t>
      </w:r>
      <w:r w:rsidR="0065686B">
        <w:rPr>
          <w:rFonts w:eastAsia="Malgun Gothic"/>
          <w:lang w:val="fr-FR"/>
        </w:rPr>
        <w:t>,</w:t>
      </w:r>
      <w:r w:rsidRPr="00BD6FA1">
        <w:rPr>
          <w:rFonts w:eastAsia="Malgun Gothic"/>
          <w:lang w:val="fr-FR"/>
        </w:rPr>
        <w:t xml:space="preserve"> qui incarne les valeurs de coexistence et de tolérance, </w:t>
      </w:r>
      <w:r w:rsidR="003E3A52">
        <w:rPr>
          <w:rFonts w:eastAsia="Malgun Gothic"/>
          <w:lang w:val="fr-FR"/>
        </w:rPr>
        <w:t xml:space="preserve">raison pour laquelle </w:t>
      </w:r>
      <w:r w:rsidRPr="00BD6FA1">
        <w:rPr>
          <w:rFonts w:eastAsia="Malgun Gothic"/>
          <w:lang w:val="fr-FR"/>
        </w:rPr>
        <w:t>elle a</w:t>
      </w:r>
      <w:r w:rsidR="003E3A52">
        <w:rPr>
          <w:rFonts w:eastAsia="Malgun Gothic"/>
          <w:lang w:val="fr-FR"/>
        </w:rPr>
        <w:t>vait</w:t>
      </w:r>
      <w:r w:rsidRPr="00BD6FA1">
        <w:rPr>
          <w:rFonts w:eastAsia="Malgun Gothic"/>
          <w:lang w:val="fr-FR"/>
        </w:rPr>
        <w:t xml:space="preserve"> été désignée par l</w:t>
      </w:r>
      <w:r w:rsidR="00923E72">
        <w:rPr>
          <w:rFonts w:eastAsia="Malgun Gothic"/>
          <w:lang w:val="fr-FR"/>
        </w:rPr>
        <w:t>’</w:t>
      </w:r>
      <w:r w:rsidRPr="00BD6FA1">
        <w:rPr>
          <w:rFonts w:eastAsia="Malgun Gothic"/>
          <w:lang w:val="fr-FR"/>
        </w:rPr>
        <w:t>UNESCO</w:t>
      </w:r>
      <w:r w:rsidR="003E3A52">
        <w:rPr>
          <w:rFonts w:eastAsia="Malgun Gothic"/>
          <w:lang w:val="fr-FR"/>
        </w:rPr>
        <w:t xml:space="preserve">, </w:t>
      </w:r>
      <w:r w:rsidRPr="00BD6FA1">
        <w:rPr>
          <w:rFonts w:eastAsia="Malgun Gothic"/>
          <w:lang w:val="fr-FR"/>
        </w:rPr>
        <w:t>capitale culturelle du monde islamique pour</w:t>
      </w:r>
      <w:r w:rsidR="00246428">
        <w:rPr>
          <w:rFonts w:eastAsia="Malgun Gothic"/>
          <w:lang w:val="fr-FR"/>
        </w:rPr>
        <w:t> </w:t>
      </w:r>
      <w:r w:rsidRPr="00BD6FA1">
        <w:rPr>
          <w:rFonts w:eastAsia="Malgun Gothic"/>
          <w:lang w:val="fr-FR"/>
        </w:rPr>
        <w:t>2022. La délégation a également remercié le Secrétariat pour la qualité de son rapport</w:t>
      </w:r>
      <w:r w:rsidR="0065686B">
        <w:rPr>
          <w:rFonts w:eastAsia="Malgun Gothic"/>
          <w:lang w:val="fr-FR"/>
        </w:rPr>
        <w:t>,</w:t>
      </w:r>
      <w:r w:rsidRPr="00BD6FA1">
        <w:rPr>
          <w:rFonts w:eastAsia="Malgun Gothic"/>
          <w:lang w:val="fr-FR"/>
        </w:rPr>
        <w:t xml:space="preserve"> qui présent</w:t>
      </w:r>
      <w:r w:rsidR="003E3A52">
        <w:rPr>
          <w:rFonts w:eastAsia="Malgun Gothic"/>
          <w:lang w:val="fr-FR"/>
        </w:rPr>
        <w:t>ait</w:t>
      </w:r>
      <w:r w:rsidRPr="00BD6FA1">
        <w:rPr>
          <w:rFonts w:eastAsia="Malgun Gothic"/>
          <w:lang w:val="fr-FR"/>
        </w:rPr>
        <w:t xml:space="preserve"> un aperçu de</w:t>
      </w:r>
      <w:r w:rsidR="006C78C8">
        <w:rPr>
          <w:rFonts w:eastAsia="Malgun Gothic"/>
          <w:lang w:val="fr-FR"/>
        </w:rPr>
        <w:t xml:space="preserve"> ses</w:t>
      </w:r>
      <w:r w:rsidRPr="00BD6FA1">
        <w:rPr>
          <w:rFonts w:eastAsia="Malgun Gothic"/>
          <w:lang w:val="fr-FR"/>
        </w:rPr>
        <w:t xml:space="preserve"> activités</w:t>
      </w:r>
      <w:r w:rsidR="006C78C8">
        <w:rPr>
          <w:rFonts w:eastAsia="Malgun Gothic"/>
          <w:lang w:val="fr-FR"/>
        </w:rPr>
        <w:t xml:space="preserve"> entreprises </w:t>
      </w:r>
      <w:r w:rsidRPr="00BD6FA1">
        <w:rPr>
          <w:rFonts w:eastAsia="Malgun Gothic"/>
          <w:lang w:val="fr-FR"/>
        </w:rPr>
        <w:t>pour renforcer les mécanismes de coopération et d</w:t>
      </w:r>
      <w:r w:rsidR="00923E72">
        <w:rPr>
          <w:rFonts w:eastAsia="Malgun Gothic"/>
          <w:lang w:val="fr-FR"/>
        </w:rPr>
        <w:t>’</w:t>
      </w:r>
      <w:r w:rsidRPr="00BD6FA1">
        <w:rPr>
          <w:rFonts w:eastAsia="Malgun Gothic"/>
          <w:lang w:val="fr-FR"/>
        </w:rPr>
        <w:t xml:space="preserve">assistance internationale dans le cadre de la Convention. </w:t>
      </w:r>
      <w:r w:rsidR="006C78C8">
        <w:rPr>
          <w:rFonts w:eastAsia="Malgun Gothic"/>
          <w:lang w:val="fr-FR"/>
        </w:rPr>
        <w:t>E</w:t>
      </w:r>
      <w:r w:rsidRPr="00BD6FA1">
        <w:rPr>
          <w:rFonts w:eastAsia="Malgun Gothic"/>
          <w:lang w:val="fr-FR"/>
        </w:rPr>
        <w:t xml:space="preserve">n tant que membre du Comité, </w:t>
      </w:r>
      <w:r w:rsidR="006C78C8">
        <w:rPr>
          <w:rFonts w:eastAsia="Malgun Gothic"/>
          <w:lang w:val="fr-FR"/>
        </w:rPr>
        <w:t xml:space="preserve">la Mauritanie </w:t>
      </w:r>
      <w:r w:rsidRPr="00BD6FA1">
        <w:rPr>
          <w:rFonts w:eastAsia="Malgun Gothic"/>
          <w:lang w:val="fr-FR"/>
        </w:rPr>
        <w:t>s</w:t>
      </w:r>
      <w:r w:rsidR="00923E72">
        <w:rPr>
          <w:rFonts w:eastAsia="Malgun Gothic"/>
          <w:lang w:val="fr-FR"/>
        </w:rPr>
        <w:t>’</w:t>
      </w:r>
      <w:r w:rsidRPr="00BD6FA1">
        <w:rPr>
          <w:rFonts w:eastAsia="Malgun Gothic"/>
          <w:lang w:val="fr-FR"/>
        </w:rPr>
        <w:t>engage</w:t>
      </w:r>
      <w:r w:rsidR="003E3A52">
        <w:rPr>
          <w:rFonts w:eastAsia="Malgun Gothic"/>
          <w:lang w:val="fr-FR"/>
        </w:rPr>
        <w:t>ait</w:t>
      </w:r>
      <w:r w:rsidRPr="00BD6FA1">
        <w:rPr>
          <w:rFonts w:eastAsia="Malgun Gothic"/>
          <w:lang w:val="fr-FR"/>
        </w:rPr>
        <w:t xml:space="preserve"> à veiller à l</w:t>
      </w:r>
      <w:r w:rsidR="00923E72">
        <w:rPr>
          <w:rFonts w:eastAsia="Malgun Gothic"/>
          <w:lang w:val="fr-FR"/>
        </w:rPr>
        <w:t>’</w:t>
      </w:r>
      <w:r w:rsidRPr="00BD6FA1">
        <w:rPr>
          <w:rFonts w:eastAsia="Malgun Gothic"/>
          <w:lang w:val="fr-FR"/>
        </w:rPr>
        <w:t>accomplissement de la fonction principale du Comité</w:t>
      </w:r>
      <w:r w:rsidR="0065686B">
        <w:rPr>
          <w:rFonts w:eastAsia="Malgun Gothic"/>
          <w:lang w:val="fr-FR"/>
        </w:rPr>
        <w:t>,</w:t>
      </w:r>
      <w:r w:rsidRPr="00BD6FA1">
        <w:rPr>
          <w:rFonts w:eastAsia="Malgun Gothic"/>
          <w:lang w:val="fr-FR"/>
        </w:rPr>
        <w:t xml:space="preserve"> </w:t>
      </w:r>
      <w:r w:rsidR="006079AA">
        <w:rPr>
          <w:rFonts w:eastAsia="Malgun Gothic"/>
          <w:lang w:val="fr-FR"/>
        </w:rPr>
        <w:t xml:space="preserve">qui est de </w:t>
      </w:r>
      <w:r w:rsidRPr="00BD6FA1">
        <w:rPr>
          <w:rFonts w:eastAsia="Malgun Gothic"/>
          <w:lang w:val="fr-FR"/>
        </w:rPr>
        <w:t>promouvoir les objectifs de la Convention</w:t>
      </w:r>
      <w:r w:rsidR="003E3A52">
        <w:rPr>
          <w:rFonts w:eastAsia="Malgun Gothic"/>
          <w:lang w:val="fr-FR"/>
        </w:rPr>
        <w:t xml:space="preserve"> et </w:t>
      </w:r>
      <w:r w:rsidRPr="00BD6FA1">
        <w:rPr>
          <w:rFonts w:eastAsia="Malgun Gothic"/>
          <w:lang w:val="fr-FR"/>
        </w:rPr>
        <w:t>d</w:t>
      </w:r>
      <w:r w:rsidR="00923E72">
        <w:rPr>
          <w:rFonts w:eastAsia="Malgun Gothic"/>
          <w:lang w:val="fr-FR"/>
        </w:rPr>
        <w:t>’</w:t>
      </w:r>
      <w:r w:rsidRPr="00BD6FA1">
        <w:rPr>
          <w:rFonts w:eastAsia="Malgun Gothic"/>
          <w:lang w:val="fr-FR"/>
        </w:rPr>
        <w:t>encourager sa mise en œuvre</w:t>
      </w:r>
      <w:r w:rsidR="004F7259">
        <w:rPr>
          <w:rFonts w:eastAsia="Malgun Gothic"/>
          <w:lang w:val="fr-FR"/>
        </w:rPr>
        <w:t xml:space="preserve"> tout en lui apportant son aide</w:t>
      </w:r>
      <w:r w:rsidRPr="00BD6FA1">
        <w:rPr>
          <w:rFonts w:eastAsia="Malgun Gothic"/>
          <w:lang w:val="fr-FR"/>
        </w:rPr>
        <w:t xml:space="preserve">. La Mauritanie </w:t>
      </w:r>
      <w:r w:rsidR="003E3A52">
        <w:rPr>
          <w:rFonts w:eastAsia="Malgun Gothic"/>
          <w:lang w:val="fr-FR"/>
        </w:rPr>
        <w:t xml:space="preserve">était </w:t>
      </w:r>
      <w:r w:rsidRPr="00BD6FA1">
        <w:rPr>
          <w:rFonts w:eastAsia="Malgun Gothic"/>
          <w:lang w:val="fr-FR"/>
        </w:rPr>
        <w:t>convaincue qu</w:t>
      </w:r>
      <w:r w:rsidR="00923E72">
        <w:rPr>
          <w:rFonts w:eastAsia="Malgun Gothic"/>
          <w:lang w:val="fr-FR"/>
        </w:rPr>
        <w:t>’</w:t>
      </w:r>
      <w:r w:rsidRPr="00BD6FA1">
        <w:rPr>
          <w:rFonts w:eastAsia="Malgun Gothic"/>
          <w:lang w:val="fr-FR"/>
        </w:rPr>
        <w:t xml:space="preserve">une simplification des règles régissant les questions récemment </w:t>
      </w:r>
      <w:r w:rsidR="00755B3F">
        <w:rPr>
          <w:rFonts w:eastAsia="Malgun Gothic"/>
          <w:lang w:val="fr-FR"/>
        </w:rPr>
        <w:t xml:space="preserve">évoquées </w:t>
      </w:r>
      <w:r w:rsidRPr="00BD6FA1">
        <w:rPr>
          <w:rFonts w:eastAsia="Malgun Gothic"/>
          <w:lang w:val="fr-FR"/>
        </w:rPr>
        <w:t>et une proposition d</w:t>
      </w:r>
      <w:r w:rsidR="00923E72">
        <w:rPr>
          <w:rFonts w:eastAsia="Malgun Gothic"/>
          <w:lang w:val="fr-FR"/>
        </w:rPr>
        <w:t>’</w:t>
      </w:r>
      <w:r w:rsidRPr="00BD6FA1">
        <w:rPr>
          <w:rFonts w:eastAsia="Malgun Gothic"/>
          <w:lang w:val="fr-FR"/>
        </w:rPr>
        <w:t>expertise aux pays sous</w:t>
      </w:r>
      <w:r w:rsidR="006079AA">
        <w:rPr>
          <w:rFonts w:eastAsia="Malgun Gothic"/>
          <w:lang w:val="fr-FR"/>
        </w:rPr>
        <w:noBreakHyphen/>
      </w:r>
      <w:r w:rsidRPr="00BD6FA1">
        <w:rPr>
          <w:rFonts w:eastAsia="Malgun Gothic"/>
          <w:lang w:val="fr-FR"/>
        </w:rPr>
        <w:t xml:space="preserve">représentés sur les listes </w:t>
      </w:r>
      <w:r w:rsidR="006079AA">
        <w:rPr>
          <w:rFonts w:eastAsia="Malgun Gothic"/>
          <w:lang w:val="fr-FR"/>
        </w:rPr>
        <w:t xml:space="preserve">pour </w:t>
      </w:r>
      <w:r w:rsidRPr="00BD6FA1">
        <w:rPr>
          <w:rFonts w:eastAsia="Malgun Gothic"/>
          <w:lang w:val="fr-FR"/>
        </w:rPr>
        <w:t>la préparation des candidatures contribuer</w:t>
      </w:r>
      <w:r w:rsidR="003E3A52">
        <w:rPr>
          <w:rFonts w:eastAsia="Malgun Gothic"/>
          <w:lang w:val="fr-FR"/>
        </w:rPr>
        <w:t>aie</w:t>
      </w:r>
      <w:r w:rsidRPr="00BD6FA1">
        <w:rPr>
          <w:rFonts w:eastAsia="Malgun Gothic"/>
          <w:lang w:val="fr-FR"/>
        </w:rPr>
        <w:t xml:space="preserve">nt à une mise en œuvre plus efficace de la Convention. Ces pays devraient bénéficier de mesures appropriées pour inscrire leur patrimoine culturel immatériel afin de promouvoir le respect de la diversité culturelle et la créativité humaine. </w:t>
      </w:r>
      <w:r w:rsidR="0081208C">
        <w:rPr>
          <w:rFonts w:eastAsia="Malgun Gothic"/>
          <w:lang w:val="fr-FR"/>
        </w:rPr>
        <w:t xml:space="preserve">Elle </w:t>
      </w:r>
      <w:r w:rsidR="003E3A52">
        <w:rPr>
          <w:rFonts w:eastAsia="Malgun Gothic"/>
          <w:lang w:val="fr-FR"/>
        </w:rPr>
        <w:t>était</w:t>
      </w:r>
      <w:r w:rsidRPr="00BD6FA1">
        <w:rPr>
          <w:rFonts w:eastAsia="Malgun Gothic"/>
          <w:lang w:val="fr-FR"/>
        </w:rPr>
        <w:t xml:space="preserve"> convaincue qu</w:t>
      </w:r>
      <w:r w:rsidR="00923E72">
        <w:rPr>
          <w:rFonts w:eastAsia="Malgun Gothic"/>
          <w:lang w:val="fr-FR"/>
        </w:rPr>
        <w:t>’</w:t>
      </w:r>
      <w:r w:rsidRPr="00BD6FA1">
        <w:rPr>
          <w:rFonts w:eastAsia="Malgun Gothic"/>
          <w:lang w:val="fr-FR"/>
        </w:rPr>
        <w:t>en encourageant les candidatures multinationales et en mettant l</w:t>
      </w:r>
      <w:r w:rsidR="00923E72">
        <w:rPr>
          <w:rFonts w:eastAsia="Malgun Gothic"/>
          <w:lang w:val="fr-FR"/>
        </w:rPr>
        <w:t>’</w:t>
      </w:r>
      <w:r w:rsidRPr="00BD6FA1">
        <w:rPr>
          <w:rFonts w:eastAsia="Malgun Gothic"/>
          <w:lang w:val="fr-FR"/>
        </w:rPr>
        <w:t>accent sur le renforcement des capacités des ONG actives dans ce domaine, on assurera</w:t>
      </w:r>
      <w:r w:rsidR="003E3A52">
        <w:rPr>
          <w:rFonts w:eastAsia="Malgun Gothic"/>
          <w:lang w:val="fr-FR"/>
        </w:rPr>
        <w:t>it</w:t>
      </w:r>
      <w:r w:rsidRPr="00BD6FA1">
        <w:rPr>
          <w:rFonts w:eastAsia="Malgun Gothic"/>
          <w:lang w:val="fr-FR"/>
        </w:rPr>
        <w:t xml:space="preserve"> une sauvegarde plus ciblée et plus importante du patrimoine immatériel. L</w:t>
      </w:r>
      <w:r w:rsidR="0081208C">
        <w:rPr>
          <w:rFonts w:eastAsia="Malgun Gothic"/>
          <w:lang w:val="fr-FR"/>
        </w:rPr>
        <w:t xml:space="preserve">a </w:t>
      </w:r>
      <w:r w:rsidR="0081208C" w:rsidRPr="0081208C">
        <w:rPr>
          <w:rFonts w:eastAsia="Malgun Gothic"/>
          <w:lang w:val="fr-FR"/>
        </w:rPr>
        <w:t>délégation</w:t>
      </w:r>
      <w:r w:rsidR="0081208C">
        <w:rPr>
          <w:rFonts w:eastAsia="Malgun Gothic"/>
          <w:lang w:val="fr-FR"/>
        </w:rPr>
        <w:t xml:space="preserve"> </w:t>
      </w:r>
      <w:r w:rsidRPr="00BD6FA1">
        <w:rPr>
          <w:rFonts w:eastAsia="Malgun Gothic"/>
          <w:lang w:val="fr-FR"/>
        </w:rPr>
        <w:t xml:space="preserve">a réitéré ses remerciements au Maroc, en </w:t>
      </w:r>
      <w:r w:rsidR="006079AA">
        <w:rPr>
          <w:rFonts w:eastAsia="Malgun Gothic"/>
          <w:lang w:val="fr-FR"/>
        </w:rPr>
        <w:t xml:space="preserve">adressant </w:t>
      </w:r>
      <w:r w:rsidRPr="00BD6FA1">
        <w:rPr>
          <w:rFonts w:eastAsia="Malgun Gothic"/>
          <w:lang w:val="fr-FR"/>
        </w:rPr>
        <w:t xml:space="preserve">au Comité </w:t>
      </w:r>
      <w:r w:rsidR="006079AA">
        <w:rPr>
          <w:rFonts w:eastAsia="Malgun Gothic"/>
          <w:lang w:val="fr-FR"/>
        </w:rPr>
        <w:t xml:space="preserve">ses vœux de réussite pour </w:t>
      </w:r>
      <w:r w:rsidRPr="00BD6FA1">
        <w:rPr>
          <w:rFonts w:eastAsia="Malgun Gothic"/>
          <w:lang w:val="fr-FR"/>
        </w:rPr>
        <w:t>cette session.</w:t>
      </w:r>
    </w:p>
    <w:p w14:paraId="218E5E20" w14:textId="1A912B4C" w:rsidR="00152E6C" w:rsidRDefault="00275E0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275E0A">
        <w:rPr>
          <w:rFonts w:eastAsia="Malgun Gothic"/>
          <w:lang w:val="fr-FR"/>
        </w:rPr>
        <w:t>La délégation de l</w:t>
      </w:r>
      <w:r w:rsidR="00923E72">
        <w:rPr>
          <w:rFonts w:eastAsia="Malgun Gothic"/>
          <w:lang w:val="fr-FR"/>
        </w:rPr>
        <w:t>’</w:t>
      </w:r>
      <w:r w:rsidRPr="00275E0A">
        <w:rPr>
          <w:rFonts w:eastAsia="Malgun Gothic"/>
          <w:b/>
          <w:bCs/>
          <w:lang w:val="fr-FR"/>
        </w:rPr>
        <w:t>Ouzbékistan</w:t>
      </w:r>
      <w:r w:rsidRPr="00275E0A">
        <w:rPr>
          <w:rFonts w:eastAsia="Malgun Gothic"/>
          <w:lang w:val="fr-FR"/>
        </w:rPr>
        <w:t xml:space="preserve"> </w:t>
      </w:r>
      <w:r>
        <w:rPr>
          <w:rFonts w:eastAsia="Malgun Gothic"/>
          <w:lang w:val="fr-FR"/>
        </w:rPr>
        <w:t xml:space="preserve">a </w:t>
      </w:r>
      <w:r w:rsidRPr="00275E0A">
        <w:rPr>
          <w:rFonts w:eastAsia="Malgun Gothic"/>
          <w:lang w:val="fr-FR"/>
        </w:rPr>
        <w:t>remerci</w:t>
      </w:r>
      <w:r>
        <w:rPr>
          <w:rFonts w:eastAsia="Malgun Gothic"/>
          <w:lang w:val="fr-FR"/>
        </w:rPr>
        <w:t>é</w:t>
      </w:r>
      <w:r w:rsidRPr="00275E0A">
        <w:rPr>
          <w:rFonts w:eastAsia="Malgun Gothic"/>
          <w:lang w:val="fr-FR"/>
        </w:rPr>
        <w:t xml:space="preserve"> le Président</w:t>
      </w:r>
      <w:r w:rsidR="0074440A">
        <w:rPr>
          <w:rFonts w:eastAsia="Malgun Gothic"/>
          <w:lang w:val="fr-FR"/>
        </w:rPr>
        <w:t xml:space="preserve"> </w:t>
      </w:r>
      <w:r w:rsidRPr="00275E0A">
        <w:rPr>
          <w:rFonts w:eastAsia="Malgun Gothic"/>
          <w:lang w:val="fr-FR"/>
        </w:rPr>
        <w:t xml:space="preserve">et le </w:t>
      </w:r>
      <w:r>
        <w:rPr>
          <w:rFonts w:eastAsia="Malgun Gothic"/>
          <w:lang w:val="fr-FR"/>
        </w:rPr>
        <w:t>G</w:t>
      </w:r>
      <w:r w:rsidRPr="00275E0A">
        <w:rPr>
          <w:rFonts w:eastAsia="Malgun Gothic"/>
          <w:lang w:val="fr-FR"/>
        </w:rPr>
        <w:t>ouvernement du Maroc pour l</w:t>
      </w:r>
      <w:r w:rsidR="00923E72">
        <w:rPr>
          <w:rFonts w:eastAsia="Malgun Gothic"/>
          <w:lang w:val="fr-FR"/>
        </w:rPr>
        <w:t>’</w:t>
      </w:r>
      <w:r w:rsidRPr="00275E0A">
        <w:rPr>
          <w:rFonts w:eastAsia="Malgun Gothic"/>
          <w:lang w:val="fr-FR"/>
        </w:rPr>
        <w:t>hospitalité traditionnelle et l</w:t>
      </w:r>
      <w:r w:rsidR="00923E72">
        <w:rPr>
          <w:rFonts w:eastAsia="Malgun Gothic"/>
          <w:lang w:val="fr-FR"/>
        </w:rPr>
        <w:t>’</w:t>
      </w:r>
      <w:r w:rsidRPr="00275E0A">
        <w:rPr>
          <w:rFonts w:eastAsia="Malgun Gothic"/>
          <w:lang w:val="fr-FR"/>
        </w:rPr>
        <w:t xml:space="preserve">excellente organisation de ce Comité ainsi que pour </w:t>
      </w:r>
      <w:r w:rsidR="006079AA">
        <w:rPr>
          <w:rFonts w:eastAsia="Malgun Gothic"/>
          <w:lang w:val="fr-FR"/>
        </w:rPr>
        <w:t>l</w:t>
      </w:r>
      <w:r w:rsidRPr="00275E0A">
        <w:rPr>
          <w:rFonts w:eastAsia="Malgun Gothic"/>
          <w:lang w:val="fr-FR"/>
        </w:rPr>
        <w:t>a magnifique cérémonie d</w:t>
      </w:r>
      <w:r w:rsidR="00923E72">
        <w:rPr>
          <w:rFonts w:eastAsia="Malgun Gothic"/>
          <w:lang w:val="fr-FR"/>
        </w:rPr>
        <w:t>’</w:t>
      </w:r>
      <w:r w:rsidRPr="00275E0A">
        <w:rPr>
          <w:rFonts w:eastAsia="Malgun Gothic"/>
          <w:lang w:val="fr-FR"/>
        </w:rPr>
        <w:t>ouverture. C</w:t>
      </w:r>
      <w:r w:rsidR="00923E72">
        <w:rPr>
          <w:rFonts w:eastAsia="Malgun Gothic"/>
          <w:lang w:val="fr-FR"/>
        </w:rPr>
        <w:t>’</w:t>
      </w:r>
      <w:r w:rsidR="0074440A">
        <w:rPr>
          <w:rFonts w:eastAsia="Malgun Gothic"/>
          <w:lang w:val="fr-FR"/>
        </w:rPr>
        <w:t>était</w:t>
      </w:r>
      <w:r w:rsidRPr="00275E0A">
        <w:rPr>
          <w:rFonts w:eastAsia="Malgun Gothic"/>
          <w:lang w:val="fr-FR"/>
        </w:rPr>
        <w:t xml:space="preserve"> un honneur pour l</w:t>
      </w:r>
      <w:r w:rsidR="00923E72">
        <w:rPr>
          <w:rFonts w:eastAsia="Malgun Gothic"/>
          <w:lang w:val="fr-FR"/>
        </w:rPr>
        <w:t>’</w:t>
      </w:r>
      <w:r w:rsidRPr="00275E0A">
        <w:rPr>
          <w:rFonts w:eastAsia="Malgun Gothic"/>
          <w:lang w:val="fr-FR"/>
        </w:rPr>
        <w:t>Ouzbékistan de siéger pour la première fois en tant que membre du Comité. L</w:t>
      </w:r>
      <w:r w:rsidR="00923E72">
        <w:rPr>
          <w:rFonts w:eastAsia="Malgun Gothic"/>
          <w:lang w:val="fr-FR"/>
        </w:rPr>
        <w:t>’</w:t>
      </w:r>
      <w:r w:rsidRPr="00275E0A">
        <w:rPr>
          <w:rFonts w:eastAsia="Malgun Gothic"/>
          <w:lang w:val="fr-FR"/>
        </w:rPr>
        <w:t xml:space="preserve">Ouzbékistan a félicité le Secrétariat pour le travail considérable accompli </w:t>
      </w:r>
      <w:r>
        <w:rPr>
          <w:rFonts w:eastAsia="Malgun Gothic"/>
          <w:lang w:val="fr-FR"/>
        </w:rPr>
        <w:t>en matière de</w:t>
      </w:r>
      <w:r w:rsidRPr="00275E0A">
        <w:rPr>
          <w:rFonts w:eastAsia="Malgun Gothic"/>
          <w:lang w:val="fr-FR"/>
        </w:rPr>
        <w:t xml:space="preserve"> sauvegarde du patrimoine culturel immatériel dans le monde entier</w:t>
      </w:r>
      <w:r w:rsidR="004F7259">
        <w:rPr>
          <w:rFonts w:eastAsia="Malgun Gothic"/>
          <w:lang w:val="fr-FR"/>
        </w:rPr>
        <w:t>,</w:t>
      </w:r>
      <w:r w:rsidRPr="00275E0A">
        <w:rPr>
          <w:rFonts w:eastAsia="Malgun Gothic"/>
          <w:lang w:val="fr-FR"/>
        </w:rPr>
        <w:t xml:space="preserve"> malgré les nombreux défis de ces dernières années. Le rapport </w:t>
      </w:r>
      <w:r>
        <w:rPr>
          <w:rFonts w:eastAsia="Malgun Gothic"/>
          <w:lang w:val="fr-FR"/>
        </w:rPr>
        <w:t>était</w:t>
      </w:r>
      <w:r w:rsidRPr="00275E0A">
        <w:rPr>
          <w:rFonts w:eastAsia="Malgun Gothic"/>
          <w:lang w:val="fr-FR"/>
        </w:rPr>
        <w:t xml:space="preserve"> important pour faire le point sur le travail accompli, sur la façon dont il engage</w:t>
      </w:r>
      <w:r w:rsidR="0081208C">
        <w:rPr>
          <w:rFonts w:eastAsia="Malgun Gothic"/>
          <w:lang w:val="fr-FR"/>
        </w:rPr>
        <w:t>ait</w:t>
      </w:r>
      <w:r w:rsidRPr="00275E0A">
        <w:rPr>
          <w:rFonts w:eastAsia="Malgun Gothic"/>
          <w:lang w:val="fr-FR"/>
        </w:rPr>
        <w:t xml:space="preserve"> le Comité et sur les domaines d</w:t>
      </w:r>
      <w:r w:rsidR="00923E72">
        <w:rPr>
          <w:rFonts w:eastAsia="Malgun Gothic"/>
          <w:lang w:val="fr-FR"/>
        </w:rPr>
        <w:t>’</w:t>
      </w:r>
      <w:r w:rsidRPr="00275E0A">
        <w:rPr>
          <w:rFonts w:eastAsia="Malgun Gothic"/>
          <w:lang w:val="fr-FR"/>
        </w:rPr>
        <w:t>intérêt dans les efforts conjoints visant à promouvoir davantage la Convention. La délégation souten</w:t>
      </w:r>
      <w:r>
        <w:rPr>
          <w:rFonts w:eastAsia="Malgun Gothic"/>
          <w:lang w:val="fr-FR"/>
        </w:rPr>
        <w:t>ait</w:t>
      </w:r>
      <w:r w:rsidRPr="00275E0A">
        <w:rPr>
          <w:rFonts w:eastAsia="Malgun Gothic"/>
          <w:lang w:val="fr-FR"/>
        </w:rPr>
        <w:t xml:space="preserve"> les activités dans tous les domaines mentionnés dans le rapport. Elle </w:t>
      </w:r>
      <w:r>
        <w:rPr>
          <w:rFonts w:eastAsia="Malgun Gothic"/>
          <w:lang w:val="fr-FR"/>
        </w:rPr>
        <w:t xml:space="preserve">a </w:t>
      </w:r>
      <w:r w:rsidRPr="00275E0A">
        <w:rPr>
          <w:rFonts w:eastAsia="Malgun Gothic"/>
          <w:lang w:val="fr-FR"/>
        </w:rPr>
        <w:t xml:space="preserve">en particulier </w:t>
      </w:r>
      <w:r w:rsidR="0081208C">
        <w:rPr>
          <w:rFonts w:eastAsia="Malgun Gothic"/>
          <w:lang w:val="fr-FR"/>
        </w:rPr>
        <w:t xml:space="preserve">pris note de </w:t>
      </w:r>
      <w:r w:rsidRPr="00275E0A">
        <w:rPr>
          <w:rFonts w:eastAsia="Malgun Gothic"/>
          <w:lang w:val="fr-FR"/>
        </w:rPr>
        <w:t>certains domaines clés tels que le renforcement des capacités par l</w:t>
      </w:r>
      <w:r w:rsidR="00923E72">
        <w:rPr>
          <w:rFonts w:eastAsia="Malgun Gothic"/>
          <w:lang w:val="fr-FR"/>
        </w:rPr>
        <w:t>’</w:t>
      </w:r>
      <w:r w:rsidRPr="00275E0A">
        <w:rPr>
          <w:rFonts w:eastAsia="Malgun Gothic"/>
          <w:lang w:val="fr-FR"/>
        </w:rPr>
        <w:t>éducation, le programme des chaires UNESCO, l</w:t>
      </w:r>
      <w:r w:rsidR="00923E72">
        <w:rPr>
          <w:rFonts w:eastAsia="Malgun Gothic"/>
          <w:lang w:val="fr-FR"/>
        </w:rPr>
        <w:t>’</w:t>
      </w:r>
      <w:r w:rsidRPr="00275E0A">
        <w:rPr>
          <w:rFonts w:eastAsia="Malgun Gothic"/>
          <w:lang w:val="fr-FR"/>
        </w:rPr>
        <w:t>assistance financière, etc. L</w:t>
      </w:r>
      <w:r w:rsidR="00923E72">
        <w:rPr>
          <w:rFonts w:eastAsia="Malgun Gothic"/>
          <w:lang w:val="fr-FR"/>
        </w:rPr>
        <w:t>’</w:t>
      </w:r>
      <w:r w:rsidRPr="00275E0A">
        <w:rPr>
          <w:rFonts w:eastAsia="Malgun Gothic"/>
          <w:lang w:val="fr-FR"/>
        </w:rPr>
        <w:t xml:space="preserve">Ouzbékistan </w:t>
      </w:r>
      <w:r>
        <w:rPr>
          <w:rFonts w:eastAsia="Malgun Gothic"/>
          <w:lang w:val="fr-FR"/>
        </w:rPr>
        <w:t>était désireuse d</w:t>
      </w:r>
      <w:r w:rsidR="00923E72">
        <w:rPr>
          <w:rFonts w:eastAsia="Malgun Gothic"/>
          <w:lang w:val="fr-FR"/>
        </w:rPr>
        <w:t>’</w:t>
      </w:r>
      <w:r w:rsidRPr="00275E0A">
        <w:rPr>
          <w:rFonts w:eastAsia="Malgun Gothic"/>
          <w:lang w:val="fr-FR"/>
        </w:rPr>
        <w:t xml:space="preserve">étendre les activités visant à </w:t>
      </w:r>
      <w:r>
        <w:rPr>
          <w:rFonts w:eastAsia="Malgun Gothic"/>
          <w:lang w:val="fr-FR"/>
        </w:rPr>
        <w:t xml:space="preserve">accorder </w:t>
      </w:r>
      <w:r w:rsidRPr="00275E0A">
        <w:rPr>
          <w:rFonts w:eastAsia="Malgun Gothic"/>
          <w:lang w:val="fr-FR"/>
        </w:rPr>
        <w:t>davantage d</w:t>
      </w:r>
      <w:r w:rsidR="00923E72">
        <w:rPr>
          <w:rFonts w:eastAsia="Malgun Gothic"/>
          <w:lang w:val="fr-FR"/>
        </w:rPr>
        <w:t>’</w:t>
      </w:r>
      <w:r w:rsidRPr="00275E0A">
        <w:rPr>
          <w:rFonts w:eastAsia="Malgun Gothic"/>
          <w:lang w:val="fr-FR"/>
        </w:rPr>
        <w:t>assistance au renforcement des capacités, en se concentrant sur les pays sous-</w:t>
      </w:r>
      <w:r w:rsidRPr="00275E0A">
        <w:rPr>
          <w:rFonts w:eastAsia="Malgun Gothic"/>
          <w:lang w:val="fr-FR"/>
        </w:rPr>
        <w:lastRenderedPageBreak/>
        <w:t xml:space="preserve">représentés sur les listes ainsi que sur les éléments </w:t>
      </w:r>
      <w:r>
        <w:rPr>
          <w:rFonts w:eastAsia="Malgun Gothic"/>
          <w:lang w:val="fr-FR"/>
        </w:rPr>
        <w:t>nécessitant une</w:t>
      </w:r>
      <w:r w:rsidRPr="00275E0A">
        <w:rPr>
          <w:rFonts w:eastAsia="Malgun Gothic"/>
          <w:lang w:val="fr-FR"/>
        </w:rPr>
        <w:t xml:space="preserve"> sauvegard</w:t>
      </w:r>
      <w:r>
        <w:rPr>
          <w:rFonts w:eastAsia="Malgun Gothic"/>
          <w:lang w:val="fr-FR"/>
        </w:rPr>
        <w:t>e</w:t>
      </w:r>
      <w:r w:rsidRPr="00275E0A">
        <w:rPr>
          <w:rFonts w:eastAsia="Malgun Gothic"/>
          <w:lang w:val="fr-FR"/>
        </w:rPr>
        <w:t xml:space="preserve"> urgen</w:t>
      </w:r>
      <w:r>
        <w:rPr>
          <w:rFonts w:eastAsia="Malgun Gothic"/>
          <w:lang w:val="fr-FR"/>
        </w:rPr>
        <w:t>te</w:t>
      </w:r>
      <w:r w:rsidRPr="00275E0A">
        <w:rPr>
          <w:rFonts w:eastAsia="Malgun Gothic"/>
          <w:lang w:val="fr-FR"/>
        </w:rPr>
        <w:t>. Cela permettra</w:t>
      </w:r>
      <w:r w:rsidR="0074440A">
        <w:rPr>
          <w:rFonts w:eastAsia="Malgun Gothic"/>
          <w:lang w:val="fr-FR"/>
        </w:rPr>
        <w:t>it</w:t>
      </w:r>
      <w:r w:rsidRPr="00275E0A">
        <w:rPr>
          <w:rFonts w:eastAsia="Malgun Gothic"/>
          <w:lang w:val="fr-FR"/>
        </w:rPr>
        <w:t xml:space="preserve"> d</w:t>
      </w:r>
      <w:r w:rsidR="00923E72">
        <w:rPr>
          <w:rFonts w:eastAsia="Malgun Gothic"/>
          <w:lang w:val="fr-FR"/>
        </w:rPr>
        <w:t>’</w:t>
      </w:r>
      <w:r w:rsidRPr="00275E0A">
        <w:rPr>
          <w:rFonts w:eastAsia="Malgun Gothic"/>
          <w:lang w:val="fr-FR"/>
        </w:rPr>
        <w:t>assurer la diversité géographique et thématique des éléments</w:t>
      </w:r>
      <w:r w:rsidR="004F7259">
        <w:rPr>
          <w:rFonts w:eastAsia="Malgun Gothic"/>
          <w:lang w:val="fr-FR"/>
        </w:rPr>
        <w:t>,</w:t>
      </w:r>
      <w:r w:rsidRPr="00275E0A">
        <w:rPr>
          <w:rFonts w:eastAsia="Malgun Gothic"/>
          <w:lang w:val="fr-FR"/>
        </w:rPr>
        <w:t xml:space="preserve"> et de mieux traiter les questions relevant de la Convention. </w:t>
      </w:r>
      <w:r w:rsidR="0081208C">
        <w:rPr>
          <w:rFonts w:eastAsia="Malgun Gothic"/>
          <w:lang w:val="fr-FR"/>
        </w:rPr>
        <w:t xml:space="preserve">Elle </w:t>
      </w:r>
      <w:r w:rsidRPr="00275E0A">
        <w:rPr>
          <w:rFonts w:eastAsia="Malgun Gothic"/>
          <w:lang w:val="fr-FR"/>
        </w:rPr>
        <w:t>sout</w:t>
      </w:r>
      <w:r w:rsidR="0074440A">
        <w:rPr>
          <w:rFonts w:eastAsia="Malgun Gothic"/>
          <w:lang w:val="fr-FR"/>
        </w:rPr>
        <w:t>enait</w:t>
      </w:r>
      <w:r w:rsidRPr="00275E0A">
        <w:rPr>
          <w:rFonts w:eastAsia="Malgun Gothic"/>
          <w:lang w:val="fr-FR"/>
        </w:rPr>
        <w:t xml:space="preserve"> pleinement le projet de décision.</w:t>
      </w:r>
    </w:p>
    <w:p w14:paraId="539D3A4E" w14:textId="12BA4FE5" w:rsidR="00E86BBE" w:rsidRDefault="00E86BB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E86BBE">
        <w:rPr>
          <w:rFonts w:eastAsia="Malgun Gothic"/>
          <w:lang w:val="fr-FR"/>
        </w:rPr>
        <w:t xml:space="preserve">Le </w:t>
      </w:r>
      <w:r w:rsidRPr="00E86BBE">
        <w:rPr>
          <w:rFonts w:eastAsia="Malgun Gothic"/>
          <w:b/>
          <w:bCs/>
          <w:lang w:val="fr-FR"/>
        </w:rPr>
        <w:t>Président</w:t>
      </w:r>
      <w:r w:rsidRPr="00E86BBE">
        <w:rPr>
          <w:rFonts w:eastAsia="Malgun Gothic"/>
          <w:lang w:val="fr-FR"/>
        </w:rPr>
        <w:t xml:space="preserve"> a remercié l</w:t>
      </w:r>
      <w:r w:rsidR="00923E72">
        <w:rPr>
          <w:rFonts w:eastAsia="Malgun Gothic"/>
          <w:lang w:val="fr-FR"/>
        </w:rPr>
        <w:t>’</w:t>
      </w:r>
      <w:r w:rsidRPr="00E86BBE">
        <w:rPr>
          <w:rFonts w:eastAsia="Malgun Gothic"/>
          <w:lang w:val="fr-FR"/>
        </w:rPr>
        <w:t>Ouzbékistan pour son intervention, ajoutant qu</w:t>
      </w:r>
      <w:r>
        <w:rPr>
          <w:rFonts w:eastAsia="Malgun Gothic"/>
          <w:lang w:val="fr-FR"/>
        </w:rPr>
        <w:t xml:space="preserve">e les occasions ne manqueraient pas </w:t>
      </w:r>
      <w:r w:rsidRPr="00E86BBE">
        <w:rPr>
          <w:rFonts w:eastAsia="Malgun Gothic"/>
          <w:lang w:val="fr-FR"/>
        </w:rPr>
        <w:t>de revenir sur ces sujets, qu</w:t>
      </w:r>
      <w:r w:rsidR="00923E72">
        <w:rPr>
          <w:rFonts w:eastAsia="Malgun Gothic"/>
          <w:lang w:val="fr-FR"/>
        </w:rPr>
        <w:t>’</w:t>
      </w:r>
      <w:r w:rsidRPr="00E86BBE">
        <w:rPr>
          <w:rFonts w:eastAsia="Malgun Gothic"/>
          <w:lang w:val="fr-FR"/>
        </w:rPr>
        <w:t>il</w:t>
      </w:r>
      <w:r w:rsidR="00880F8A">
        <w:rPr>
          <w:rFonts w:eastAsia="Malgun Gothic"/>
          <w:lang w:val="fr-FR"/>
        </w:rPr>
        <w:t xml:space="preserve"> s</w:t>
      </w:r>
      <w:r w:rsidR="00923E72">
        <w:rPr>
          <w:rFonts w:eastAsia="Malgun Gothic"/>
          <w:lang w:val="fr-FR"/>
        </w:rPr>
        <w:t>’</w:t>
      </w:r>
      <w:r w:rsidR="00880F8A">
        <w:rPr>
          <w:rFonts w:eastAsia="Malgun Gothic"/>
          <w:lang w:val="fr-FR"/>
        </w:rPr>
        <w:t>agisse de</w:t>
      </w:r>
      <w:r w:rsidRPr="00E86BBE">
        <w:rPr>
          <w:rFonts w:eastAsia="Malgun Gothic"/>
          <w:lang w:val="fr-FR"/>
        </w:rPr>
        <w:t xml:space="preserve"> la réflexion sur le mécanisme d</w:t>
      </w:r>
      <w:r w:rsidR="00923E72">
        <w:rPr>
          <w:rFonts w:eastAsia="Malgun Gothic"/>
          <w:lang w:val="fr-FR"/>
        </w:rPr>
        <w:t>’</w:t>
      </w:r>
      <w:r w:rsidRPr="00E86BBE">
        <w:rPr>
          <w:rFonts w:eastAsia="Malgun Gothic"/>
          <w:lang w:val="fr-FR"/>
        </w:rPr>
        <w:t xml:space="preserve">inscription, </w:t>
      </w:r>
      <w:r w:rsidR="00880F8A">
        <w:rPr>
          <w:rFonts w:eastAsia="Malgun Gothic"/>
          <w:lang w:val="fr-FR"/>
        </w:rPr>
        <w:t>d</w:t>
      </w:r>
      <w:r w:rsidR="006079AA">
        <w:rPr>
          <w:rFonts w:eastAsia="Malgun Gothic"/>
          <w:lang w:val="fr-FR"/>
        </w:rPr>
        <w:t>u</w:t>
      </w:r>
      <w:r w:rsidRPr="00E86BBE">
        <w:rPr>
          <w:rFonts w:eastAsia="Malgun Gothic"/>
          <w:lang w:val="fr-FR"/>
        </w:rPr>
        <w:t xml:space="preserve"> renforcement des capacités, </w:t>
      </w:r>
      <w:r w:rsidR="00880F8A">
        <w:rPr>
          <w:rFonts w:eastAsia="Malgun Gothic"/>
          <w:lang w:val="fr-FR"/>
        </w:rPr>
        <w:t>des</w:t>
      </w:r>
      <w:r w:rsidRPr="00E86BBE">
        <w:rPr>
          <w:rFonts w:eastAsia="Malgun Gothic"/>
          <w:lang w:val="fr-FR"/>
        </w:rPr>
        <w:t xml:space="preserve"> </w:t>
      </w:r>
      <w:r w:rsidR="00880F8A">
        <w:rPr>
          <w:rFonts w:eastAsia="Malgun Gothic"/>
          <w:lang w:val="fr-FR"/>
        </w:rPr>
        <w:t>c</w:t>
      </w:r>
      <w:r w:rsidRPr="00E86BBE">
        <w:rPr>
          <w:rFonts w:eastAsia="Malgun Gothic"/>
          <w:lang w:val="fr-FR"/>
        </w:rPr>
        <w:t xml:space="preserve">haires UNESCO, </w:t>
      </w:r>
      <w:r w:rsidR="00880F8A">
        <w:rPr>
          <w:rFonts w:eastAsia="Malgun Gothic"/>
          <w:lang w:val="fr-FR"/>
        </w:rPr>
        <w:t>d</w:t>
      </w:r>
      <w:r w:rsidRPr="00E86BBE">
        <w:rPr>
          <w:rFonts w:eastAsia="Malgun Gothic"/>
          <w:lang w:val="fr-FR"/>
        </w:rPr>
        <w:t>es pays sous-représentés</w:t>
      </w:r>
      <w:r w:rsidR="004F7259">
        <w:rPr>
          <w:rFonts w:eastAsia="Malgun Gothic"/>
          <w:lang w:val="fr-FR"/>
        </w:rPr>
        <w:t xml:space="preserve"> </w:t>
      </w:r>
      <w:r w:rsidR="0081208C">
        <w:rPr>
          <w:rFonts w:eastAsia="Malgun Gothic"/>
          <w:lang w:val="fr-FR"/>
        </w:rPr>
        <w:t xml:space="preserve">ou </w:t>
      </w:r>
      <w:r w:rsidR="00880F8A">
        <w:rPr>
          <w:rFonts w:eastAsia="Malgun Gothic"/>
          <w:lang w:val="fr-FR"/>
        </w:rPr>
        <w:t>d</w:t>
      </w:r>
      <w:r w:rsidRPr="00E86BBE">
        <w:rPr>
          <w:rFonts w:eastAsia="Malgun Gothic"/>
          <w:lang w:val="fr-FR"/>
        </w:rPr>
        <w:t xml:space="preserve">es questions liées à la </w:t>
      </w:r>
      <w:r w:rsidR="00880F8A" w:rsidRPr="00880F8A">
        <w:rPr>
          <w:rFonts w:eastAsia="Malgun Gothic"/>
          <w:bCs/>
          <w:color w:val="000000" w:themeColor="text1"/>
          <w:lang w:val="fr-FR"/>
        </w:rPr>
        <w:t>sauvegarde</w:t>
      </w:r>
      <w:r w:rsidR="00880F8A">
        <w:rPr>
          <w:rFonts w:eastAsia="Malgun Gothic"/>
          <w:bCs/>
          <w:color w:val="000000" w:themeColor="text1"/>
          <w:lang w:val="fr-FR"/>
        </w:rPr>
        <w:t xml:space="preserve"> </w:t>
      </w:r>
      <w:r w:rsidRPr="00E86BBE">
        <w:rPr>
          <w:rFonts w:eastAsia="Malgun Gothic"/>
          <w:lang w:val="fr-FR"/>
        </w:rPr>
        <w:t>urgente.</w:t>
      </w:r>
    </w:p>
    <w:p w14:paraId="589F658E" w14:textId="38AC5039" w:rsidR="0074440A" w:rsidRDefault="0074440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74440A">
        <w:rPr>
          <w:rFonts w:eastAsia="Malgun Gothic"/>
          <w:lang w:val="fr-FR"/>
        </w:rPr>
        <w:t xml:space="preserve">La délégation du </w:t>
      </w:r>
      <w:r w:rsidRPr="0074440A">
        <w:rPr>
          <w:rFonts w:eastAsia="Malgun Gothic"/>
          <w:b/>
          <w:bCs/>
          <w:lang w:val="fr-FR"/>
        </w:rPr>
        <w:t>Maroc</w:t>
      </w:r>
      <w:r w:rsidRPr="0074440A">
        <w:rPr>
          <w:rFonts w:eastAsia="Malgun Gothic"/>
          <w:lang w:val="fr-FR"/>
        </w:rPr>
        <w:t xml:space="preserve"> a félicité le Président pour son élection, convaincue que sous sa direction et </w:t>
      </w:r>
      <w:r w:rsidR="00031185">
        <w:rPr>
          <w:rFonts w:eastAsia="Malgun Gothic"/>
          <w:lang w:val="fr-FR"/>
        </w:rPr>
        <w:t xml:space="preserve">grâce à </w:t>
      </w:r>
      <w:r w:rsidRPr="0074440A">
        <w:rPr>
          <w:rFonts w:eastAsia="Malgun Gothic"/>
          <w:lang w:val="fr-FR"/>
        </w:rPr>
        <w:t>sa sagesse, le Comité connaîtra</w:t>
      </w:r>
      <w:r>
        <w:rPr>
          <w:rFonts w:eastAsia="Malgun Gothic"/>
          <w:lang w:val="fr-FR"/>
        </w:rPr>
        <w:t>it</w:t>
      </w:r>
      <w:r w:rsidRPr="0074440A">
        <w:rPr>
          <w:rFonts w:eastAsia="Malgun Gothic"/>
          <w:lang w:val="fr-FR"/>
        </w:rPr>
        <w:t xml:space="preserve"> un grand succès. Elle </w:t>
      </w:r>
      <w:r>
        <w:rPr>
          <w:rFonts w:eastAsia="Malgun Gothic"/>
          <w:lang w:val="fr-FR"/>
        </w:rPr>
        <w:t xml:space="preserve">a </w:t>
      </w:r>
      <w:r w:rsidRPr="0074440A">
        <w:rPr>
          <w:rFonts w:eastAsia="Malgun Gothic"/>
          <w:lang w:val="fr-FR"/>
        </w:rPr>
        <w:t>salu</w:t>
      </w:r>
      <w:r>
        <w:rPr>
          <w:rFonts w:eastAsia="Malgun Gothic"/>
          <w:lang w:val="fr-FR"/>
        </w:rPr>
        <w:t>é</w:t>
      </w:r>
      <w:r w:rsidRPr="0074440A">
        <w:rPr>
          <w:rFonts w:eastAsia="Malgun Gothic"/>
          <w:lang w:val="fr-FR"/>
        </w:rPr>
        <w:t xml:space="preserve"> le travail et les efforts du Secrétariat et s</w:t>
      </w:r>
      <w:r w:rsidR="00923E72">
        <w:rPr>
          <w:rFonts w:eastAsia="Malgun Gothic"/>
          <w:lang w:val="fr-FR"/>
        </w:rPr>
        <w:t>’</w:t>
      </w:r>
      <w:r>
        <w:rPr>
          <w:rFonts w:eastAsia="Malgun Gothic"/>
          <w:lang w:val="fr-FR"/>
        </w:rPr>
        <w:t>est</w:t>
      </w:r>
      <w:r w:rsidRPr="0074440A">
        <w:rPr>
          <w:rFonts w:eastAsia="Malgun Gothic"/>
          <w:lang w:val="fr-FR"/>
        </w:rPr>
        <w:t xml:space="preserve"> déclar</w:t>
      </w:r>
      <w:r>
        <w:rPr>
          <w:rFonts w:eastAsia="Malgun Gothic"/>
          <w:lang w:val="fr-FR"/>
        </w:rPr>
        <w:t>ée</w:t>
      </w:r>
      <w:r w:rsidRPr="0074440A">
        <w:rPr>
          <w:rFonts w:eastAsia="Malgun Gothic"/>
          <w:lang w:val="fr-FR"/>
        </w:rPr>
        <w:t xml:space="preserve"> satisfaite du rapport clair et détaillé couvrant la période de</w:t>
      </w:r>
      <w:r w:rsidR="001A7AF7">
        <w:rPr>
          <w:rFonts w:eastAsia="Malgun Gothic"/>
          <w:lang w:val="fr-FR"/>
        </w:rPr>
        <w:t> </w:t>
      </w:r>
      <w:r w:rsidRPr="0074440A">
        <w:rPr>
          <w:rFonts w:eastAsia="Malgun Gothic"/>
          <w:lang w:val="fr-FR"/>
        </w:rPr>
        <w:t>janvier à</w:t>
      </w:r>
      <w:r w:rsidR="001A7AF7">
        <w:rPr>
          <w:rFonts w:eastAsia="Malgun Gothic"/>
          <w:lang w:val="fr-FR"/>
        </w:rPr>
        <w:t> </w:t>
      </w:r>
      <w:r w:rsidRPr="0074440A">
        <w:rPr>
          <w:rFonts w:eastAsia="Malgun Gothic"/>
          <w:lang w:val="fr-FR"/>
        </w:rPr>
        <w:t>jui</w:t>
      </w:r>
      <w:r w:rsidR="001A7AF7">
        <w:rPr>
          <w:rFonts w:eastAsia="Malgun Gothic"/>
          <w:lang w:val="fr-FR"/>
        </w:rPr>
        <w:t>n</w:t>
      </w:r>
      <w:r w:rsidR="003A0260">
        <w:rPr>
          <w:rFonts w:eastAsia="Malgun Gothic"/>
          <w:lang w:val="fr-FR"/>
        </w:rPr>
        <w:t> </w:t>
      </w:r>
      <w:r w:rsidRPr="0074440A">
        <w:rPr>
          <w:rFonts w:eastAsia="Malgun Gothic"/>
          <w:lang w:val="fr-FR"/>
        </w:rPr>
        <w:t>2022. Cette dix</w:t>
      </w:r>
      <w:r w:rsidR="006079AA">
        <w:rPr>
          <w:rFonts w:eastAsia="Malgun Gothic"/>
          <w:lang w:val="fr-FR"/>
        </w:rPr>
        <w:noBreakHyphen/>
      </w:r>
      <w:r w:rsidRPr="0074440A">
        <w:rPr>
          <w:rFonts w:eastAsia="Malgun Gothic"/>
          <w:lang w:val="fr-FR"/>
        </w:rPr>
        <w:t xml:space="preserve">septième session avait un ordre du jour important, </w:t>
      </w:r>
      <w:r w:rsidR="006079AA">
        <w:rPr>
          <w:rFonts w:eastAsia="Malgun Gothic"/>
          <w:lang w:val="fr-FR"/>
        </w:rPr>
        <w:t xml:space="preserve">avec </w:t>
      </w:r>
      <w:r w:rsidRPr="0074440A">
        <w:rPr>
          <w:rFonts w:eastAsia="Malgun Gothic"/>
          <w:lang w:val="fr-FR"/>
        </w:rPr>
        <w:t>notamment l</w:t>
      </w:r>
      <w:r w:rsidR="00923E72">
        <w:rPr>
          <w:rFonts w:eastAsia="Malgun Gothic"/>
          <w:lang w:val="fr-FR"/>
        </w:rPr>
        <w:t>’</w:t>
      </w:r>
      <w:r w:rsidRPr="0074440A">
        <w:rPr>
          <w:rFonts w:eastAsia="Malgun Gothic"/>
          <w:lang w:val="fr-FR"/>
        </w:rPr>
        <w:t>examen des rapports périodiques des États parties</w:t>
      </w:r>
      <w:r w:rsidR="006079AA">
        <w:rPr>
          <w:rFonts w:eastAsia="Malgun Gothic"/>
          <w:lang w:val="fr-FR"/>
        </w:rPr>
        <w:t xml:space="preserve"> et </w:t>
      </w:r>
      <w:r w:rsidRPr="0074440A">
        <w:rPr>
          <w:rFonts w:eastAsia="Malgun Gothic"/>
          <w:lang w:val="fr-FR"/>
        </w:rPr>
        <w:t>d</w:t>
      </w:r>
      <w:r w:rsidR="00923E72">
        <w:rPr>
          <w:rFonts w:eastAsia="Malgun Gothic"/>
          <w:lang w:val="fr-FR"/>
        </w:rPr>
        <w:t>’</w:t>
      </w:r>
      <w:r w:rsidRPr="0074440A">
        <w:rPr>
          <w:rFonts w:eastAsia="Malgun Gothic"/>
          <w:lang w:val="fr-FR"/>
        </w:rPr>
        <w:t xml:space="preserve">un nombre important de candidatures pour inscription sur les listes de la Convention, </w:t>
      </w:r>
      <w:r w:rsidR="006079AA">
        <w:rPr>
          <w:rFonts w:eastAsia="Malgun Gothic"/>
          <w:lang w:val="fr-FR"/>
        </w:rPr>
        <w:t>les</w:t>
      </w:r>
      <w:r w:rsidRPr="0074440A">
        <w:rPr>
          <w:rFonts w:eastAsia="Malgun Gothic"/>
          <w:lang w:val="fr-FR"/>
        </w:rPr>
        <w:t xml:space="preserve"> demandes d</w:t>
      </w:r>
      <w:r w:rsidR="00923E72">
        <w:rPr>
          <w:rFonts w:eastAsia="Malgun Gothic"/>
          <w:lang w:val="fr-FR"/>
        </w:rPr>
        <w:t>’</w:t>
      </w:r>
      <w:r w:rsidRPr="0074440A">
        <w:rPr>
          <w:rFonts w:eastAsia="Malgun Gothic"/>
          <w:lang w:val="fr-FR"/>
        </w:rPr>
        <w:t>assistance internationale</w:t>
      </w:r>
      <w:r w:rsidR="006079AA">
        <w:rPr>
          <w:rFonts w:eastAsia="Malgun Gothic"/>
          <w:lang w:val="fr-FR"/>
        </w:rPr>
        <w:t xml:space="preserve"> </w:t>
      </w:r>
      <w:r w:rsidRPr="0074440A">
        <w:rPr>
          <w:rFonts w:eastAsia="Malgun Gothic"/>
          <w:lang w:val="fr-FR"/>
        </w:rPr>
        <w:t>et</w:t>
      </w:r>
      <w:r w:rsidR="006079AA">
        <w:rPr>
          <w:rFonts w:eastAsia="Malgun Gothic"/>
          <w:lang w:val="fr-FR"/>
        </w:rPr>
        <w:t xml:space="preserve"> </w:t>
      </w:r>
      <w:r w:rsidRPr="0074440A">
        <w:rPr>
          <w:rFonts w:eastAsia="Malgun Gothic"/>
          <w:lang w:val="fr-FR"/>
        </w:rPr>
        <w:t>la situation du Fonds du</w:t>
      </w:r>
      <w:r w:rsidR="0081208C">
        <w:rPr>
          <w:rFonts w:eastAsia="Malgun Gothic"/>
          <w:lang w:val="fr-FR"/>
        </w:rPr>
        <w:t xml:space="preserve"> PCI</w:t>
      </w:r>
      <w:r w:rsidRPr="0074440A">
        <w:rPr>
          <w:rFonts w:eastAsia="Malgun Gothic"/>
          <w:lang w:val="fr-FR"/>
        </w:rPr>
        <w:t>. La délégation a salué les résultats de la réflexion globale sur les mécanismes d</w:t>
      </w:r>
      <w:r w:rsidR="00923E72">
        <w:rPr>
          <w:rFonts w:eastAsia="Malgun Gothic"/>
          <w:lang w:val="fr-FR"/>
        </w:rPr>
        <w:t>’</w:t>
      </w:r>
      <w:r w:rsidRPr="0074440A">
        <w:rPr>
          <w:rFonts w:eastAsia="Malgun Gothic"/>
          <w:lang w:val="fr-FR"/>
        </w:rPr>
        <w:t xml:space="preserve">inscription, </w:t>
      </w:r>
      <w:r w:rsidR="0065686B">
        <w:rPr>
          <w:rFonts w:eastAsia="Malgun Gothic"/>
          <w:lang w:val="fr-FR"/>
        </w:rPr>
        <w:t xml:space="preserve">un </w:t>
      </w:r>
      <w:r w:rsidRPr="0074440A">
        <w:rPr>
          <w:rFonts w:eastAsia="Malgun Gothic"/>
          <w:lang w:val="fr-FR"/>
        </w:rPr>
        <w:t>processus lancé en</w:t>
      </w:r>
      <w:r w:rsidR="001A7AF7">
        <w:rPr>
          <w:rFonts w:eastAsia="Malgun Gothic"/>
          <w:lang w:val="fr-FR"/>
        </w:rPr>
        <w:t> </w:t>
      </w:r>
      <w:r w:rsidRPr="0074440A">
        <w:rPr>
          <w:rFonts w:eastAsia="Malgun Gothic"/>
          <w:lang w:val="fr-FR"/>
        </w:rPr>
        <w:t>2017</w:t>
      </w:r>
      <w:r w:rsidR="0065686B">
        <w:rPr>
          <w:rFonts w:eastAsia="Malgun Gothic"/>
          <w:lang w:val="fr-FR"/>
        </w:rPr>
        <w:t>,</w:t>
      </w:r>
      <w:r w:rsidRPr="0074440A">
        <w:rPr>
          <w:rFonts w:eastAsia="Malgun Gothic"/>
          <w:lang w:val="fr-FR"/>
        </w:rPr>
        <w:t xml:space="preserve"> qui constitu</w:t>
      </w:r>
      <w:r>
        <w:rPr>
          <w:rFonts w:eastAsia="Malgun Gothic"/>
          <w:lang w:val="fr-FR"/>
        </w:rPr>
        <w:t>ait</w:t>
      </w:r>
      <w:r w:rsidRPr="0074440A">
        <w:rPr>
          <w:rFonts w:eastAsia="Malgun Gothic"/>
          <w:lang w:val="fr-FR"/>
        </w:rPr>
        <w:t xml:space="preserve"> l</w:t>
      </w:r>
      <w:r w:rsidR="00923E72">
        <w:rPr>
          <w:rFonts w:eastAsia="Malgun Gothic"/>
          <w:lang w:val="fr-FR"/>
        </w:rPr>
        <w:t>’</w:t>
      </w:r>
      <w:r w:rsidRPr="0074440A">
        <w:rPr>
          <w:rFonts w:eastAsia="Malgun Gothic"/>
          <w:lang w:val="fr-FR"/>
        </w:rPr>
        <w:t xml:space="preserve">un des points essentiels </w:t>
      </w:r>
      <w:r>
        <w:rPr>
          <w:rFonts w:eastAsia="Malgun Gothic"/>
          <w:lang w:val="fr-FR"/>
        </w:rPr>
        <w:t xml:space="preserve">abordés </w:t>
      </w:r>
      <w:r w:rsidRPr="0074440A">
        <w:rPr>
          <w:rFonts w:eastAsia="Malgun Gothic"/>
          <w:lang w:val="fr-FR"/>
        </w:rPr>
        <w:t>dans le rapport du Secrétariat. En effet, un certain nombre de révisions et d</w:t>
      </w:r>
      <w:r w:rsidR="00923E72">
        <w:rPr>
          <w:rFonts w:eastAsia="Malgun Gothic"/>
          <w:lang w:val="fr-FR"/>
        </w:rPr>
        <w:t>’</w:t>
      </w:r>
      <w:r w:rsidRPr="0074440A">
        <w:rPr>
          <w:rFonts w:eastAsia="Malgun Gothic"/>
          <w:lang w:val="fr-FR"/>
        </w:rPr>
        <w:t xml:space="preserve">améliorations importantes </w:t>
      </w:r>
      <w:r>
        <w:rPr>
          <w:rFonts w:eastAsia="Malgun Gothic"/>
          <w:lang w:val="fr-FR"/>
        </w:rPr>
        <w:t>avaient</w:t>
      </w:r>
      <w:r w:rsidRPr="0074440A">
        <w:rPr>
          <w:rFonts w:eastAsia="Malgun Gothic"/>
          <w:lang w:val="fr-FR"/>
        </w:rPr>
        <w:t xml:space="preserve"> été apportées concernant le nombre annuel de candidatures, l</w:t>
      </w:r>
      <w:r w:rsidR="00923E72">
        <w:rPr>
          <w:rFonts w:eastAsia="Malgun Gothic"/>
          <w:lang w:val="fr-FR"/>
        </w:rPr>
        <w:t>’</w:t>
      </w:r>
      <w:r w:rsidRPr="0074440A">
        <w:rPr>
          <w:rFonts w:eastAsia="Malgun Gothic"/>
          <w:lang w:val="fr-FR"/>
        </w:rPr>
        <w:t>ordre de priorité, les méthodes de travail de l</w:t>
      </w:r>
      <w:r w:rsidR="00923E72">
        <w:rPr>
          <w:rFonts w:eastAsia="Malgun Gothic"/>
          <w:lang w:val="fr-FR"/>
        </w:rPr>
        <w:t>’</w:t>
      </w:r>
      <w:r w:rsidRPr="0074440A">
        <w:rPr>
          <w:rFonts w:eastAsia="Malgun Gothic"/>
          <w:lang w:val="fr-FR"/>
        </w:rPr>
        <w:t>Organe d</w:t>
      </w:r>
      <w:r w:rsidR="00923E72">
        <w:rPr>
          <w:rFonts w:eastAsia="Malgun Gothic"/>
          <w:lang w:val="fr-FR"/>
        </w:rPr>
        <w:t>’</w:t>
      </w:r>
      <w:r w:rsidRPr="0074440A">
        <w:rPr>
          <w:rFonts w:eastAsia="Malgun Gothic"/>
          <w:lang w:val="fr-FR"/>
        </w:rPr>
        <w:t>évaluation et la procédure d</w:t>
      </w:r>
      <w:r w:rsidR="00923E72">
        <w:rPr>
          <w:rFonts w:eastAsia="Malgun Gothic"/>
          <w:lang w:val="fr-FR"/>
        </w:rPr>
        <w:t>’</w:t>
      </w:r>
      <w:r w:rsidRPr="0074440A">
        <w:rPr>
          <w:rFonts w:eastAsia="Malgun Gothic"/>
          <w:lang w:val="fr-FR"/>
        </w:rPr>
        <w:t xml:space="preserve">examen des cas exceptionnels. Ces résultats consensuels </w:t>
      </w:r>
      <w:r>
        <w:rPr>
          <w:rFonts w:eastAsia="Malgun Gothic"/>
          <w:lang w:val="fr-FR"/>
        </w:rPr>
        <w:t>avaient</w:t>
      </w:r>
      <w:r w:rsidRPr="0074440A">
        <w:rPr>
          <w:rFonts w:eastAsia="Malgun Gothic"/>
          <w:lang w:val="fr-FR"/>
        </w:rPr>
        <w:t xml:space="preserve"> été obtenus à la suite de discussions longues et approfondies au sein du groupe de travail intergouvernemental à composition non limitée. Cette réforme renfor</w:t>
      </w:r>
      <w:r>
        <w:rPr>
          <w:rFonts w:eastAsia="Malgun Gothic"/>
          <w:lang w:val="fr-FR"/>
        </w:rPr>
        <w:t>çait</w:t>
      </w:r>
      <w:r w:rsidRPr="0074440A">
        <w:rPr>
          <w:rFonts w:eastAsia="Malgun Gothic"/>
          <w:lang w:val="fr-FR"/>
        </w:rPr>
        <w:t xml:space="preserve"> la crédibilité du mécanisme d</w:t>
      </w:r>
      <w:r w:rsidR="00923E72">
        <w:rPr>
          <w:rFonts w:eastAsia="Malgun Gothic"/>
          <w:lang w:val="fr-FR"/>
        </w:rPr>
        <w:t>’</w:t>
      </w:r>
      <w:r w:rsidRPr="0074440A">
        <w:rPr>
          <w:rFonts w:eastAsia="Malgun Gothic"/>
          <w:lang w:val="fr-FR"/>
        </w:rPr>
        <w:t>inscription et constitu</w:t>
      </w:r>
      <w:r>
        <w:rPr>
          <w:rFonts w:eastAsia="Malgun Gothic"/>
          <w:lang w:val="fr-FR"/>
        </w:rPr>
        <w:t>ait</w:t>
      </w:r>
      <w:r w:rsidRPr="0074440A">
        <w:rPr>
          <w:rFonts w:eastAsia="Malgun Gothic"/>
          <w:lang w:val="fr-FR"/>
        </w:rPr>
        <w:t xml:space="preserve"> un progrès </w:t>
      </w:r>
      <w:r>
        <w:rPr>
          <w:rFonts w:eastAsia="Malgun Gothic"/>
          <w:lang w:val="fr-FR"/>
        </w:rPr>
        <w:t xml:space="preserve">pour </w:t>
      </w:r>
      <w:r w:rsidRPr="0074440A">
        <w:rPr>
          <w:rFonts w:eastAsia="Malgun Gothic"/>
          <w:lang w:val="fr-FR"/>
        </w:rPr>
        <w:t xml:space="preserve">le fonctionnement de la Convention. </w:t>
      </w:r>
      <w:r>
        <w:rPr>
          <w:rFonts w:eastAsia="Malgun Gothic"/>
          <w:lang w:val="fr-FR"/>
        </w:rPr>
        <w:t>À</w:t>
      </w:r>
      <w:r w:rsidRPr="0074440A">
        <w:rPr>
          <w:rFonts w:eastAsia="Malgun Gothic"/>
          <w:lang w:val="fr-FR"/>
        </w:rPr>
        <w:t xml:space="preserve"> cet égard, la délégation a sincèrement remercié </w:t>
      </w:r>
      <w:r w:rsidR="00CF601B">
        <w:rPr>
          <w:rFonts w:eastAsia="Malgun Gothic"/>
          <w:lang w:val="fr-FR"/>
        </w:rPr>
        <w:t xml:space="preserve">S. Exc. </w:t>
      </w:r>
      <w:r w:rsidRPr="0074440A">
        <w:rPr>
          <w:rFonts w:eastAsia="Malgun Gothic"/>
          <w:lang w:val="fr-FR"/>
        </w:rPr>
        <w:t>M.</w:t>
      </w:r>
      <w:r>
        <w:rPr>
          <w:rFonts w:eastAsia="Malgun Gothic"/>
          <w:lang w:val="fr-FR"/>
        </w:rPr>
        <w:t> </w:t>
      </w:r>
      <w:r w:rsidRPr="0074440A">
        <w:rPr>
          <w:rFonts w:eastAsia="Malgun Gothic"/>
          <w:lang w:val="fr-FR"/>
        </w:rPr>
        <w:t xml:space="preserve">Oike Atsuyuki, </w:t>
      </w:r>
      <w:r>
        <w:rPr>
          <w:rFonts w:eastAsia="Malgun Gothic"/>
          <w:lang w:val="fr-FR"/>
        </w:rPr>
        <w:t>a</w:t>
      </w:r>
      <w:r w:rsidRPr="0074440A">
        <w:rPr>
          <w:rFonts w:eastAsia="Malgun Gothic"/>
          <w:lang w:val="fr-FR"/>
        </w:rPr>
        <w:t xml:space="preserve">mbassadeur du Japon, pour son engagement et la qualité du travail accompli </w:t>
      </w:r>
      <w:r w:rsidR="0081208C">
        <w:rPr>
          <w:rFonts w:eastAsia="Malgun Gothic"/>
          <w:lang w:val="fr-FR"/>
        </w:rPr>
        <w:t xml:space="preserve">en tant que président </w:t>
      </w:r>
      <w:r w:rsidRPr="0074440A">
        <w:rPr>
          <w:rFonts w:eastAsia="Malgun Gothic"/>
          <w:lang w:val="fr-FR"/>
        </w:rPr>
        <w:t>de</w:t>
      </w:r>
      <w:r w:rsidR="0081208C">
        <w:rPr>
          <w:rFonts w:eastAsia="Malgun Gothic"/>
          <w:lang w:val="fr-FR"/>
        </w:rPr>
        <w:t xml:space="preserve"> </w:t>
      </w:r>
      <w:r w:rsidRPr="0074440A">
        <w:rPr>
          <w:rFonts w:eastAsia="Malgun Gothic"/>
          <w:lang w:val="fr-FR"/>
        </w:rPr>
        <w:t xml:space="preserve">ce groupe de travail. Elle </w:t>
      </w:r>
      <w:r w:rsidR="0081208C">
        <w:rPr>
          <w:rFonts w:eastAsia="Malgun Gothic"/>
          <w:lang w:val="fr-FR"/>
        </w:rPr>
        <w:t xml:space="preserve">a </w:t>
      </w:r>
      <w:r w:rsidR="0081208C" w:rsidRPr="0081208C">
        <w:rPr>
          <w:rFonts w:eastAsia="Malgun Gothic"/>
          <w:color w:val="000000" w:themeColor="text1"/>
          <w:lang w:val="fr-FR"/>
        </w:rPr>
        <w:t>également</w:t>
      </w:r>
      <w:r w:rsidR="0081208C">
        <w:rPr>
          <w:rFonts w:eastAsia="Malgun Gothic"/>
          <w:color w:val="000000" w:themeColor="text1"/>
          <w:lang w:val="fr-FR"/>
        </w:rPr>
        <w:t xml:space="preserve"> souligné </w:t>
      </w:r>
      <w:r w:rsidRPr="0074440A">
        <w:rPr>
          <w:rFonts w:eastAsia="Malgun Gothic"/>
          <w:lang w:val="fr-FR"/>
        </w:rPr>
        <w:t>l</w:t>
      </w:r>
      <w:r w:rsidR="00923E72">
        <w:rPr>
          <w:rFonts w:eastAsia="Malgun Gothic"/>
          <w:lang w:val="fr-FR"/>
        </w:rPr>
        <w:t>’</w:t>
      </w:r>
      <w:r w:rsidRPr="0074440A">
        <w:rPr>
          <w:rFonts w:eastAsia="Malgun Gothic"/>
          <w:lang w:val="fr-FR"/>
        </w:rPr>
        <w:t>importance du programme de renforcement des capacités et d</w:t>
      </w:r>
      <w:r w:rsidR="00E86BBE">
        <w:rPr>
          <w:rFonts w:eastAsia="Malgun Gothic"/>
          <w:lang w:val="fr-FR"/>
        </w:rPr>
        <w:t>u soutien</w:t>
      </w:r>
      <w:r w:rsidRPr="0074440A">
        <w:rPr>
          <w:rFonts w:eastAsia="Malgun Gothic"/>
          <w:lang w:val="fr-FR"/>
        </w:rPr>
        <w:t xml:space="preserve"> technique pour une meilleure sauvegarde du patrimoine culturel immatériel. À cette fin, la délégation estim</w:t>
      </w:r>
      <w:r>
        <w:rPr>
          <w:rFonts w:eastAsia="Malgun Gothic"/>
          <w:lang w:val="fr-FR"/>
        </w:rPr>
        <w:t>ait</w:t>
      </w:r>
      <w:r w:rsidRPr="0074440A">
        <w:rPr>
          <w:rFonts w:eastAsia="Malgun Gothic"/>
          <w:lang w:val="fr-FR"/>
        </w:rPr>
        <w:t xml:space="preserve"> qu</w:t>
      </w:r>
      <w:r w:rsidR="00923E72">
        <w:rPr>
          <w:rFonts w:eastAsia="Malgun Gothic"/>
          <w:lang w:val="fr-FR"/>
        </w:rPr>
        <w:t>’</w:t>
      </w:r>
      <w:r w:rsidRPr="0074440A">
        <w:rPr>
          <w:rFonts w:eastAsia="Malgun Gothic"/>
          <w:lang w:val="fr-FR"/>
        </w:rPr>
        <w:t>il était important que le programme de renforcement des capacités mis en œuvre par la Convention soit suffisamment soutenu financièrement afin de développer davantage son approche opérationnelle et de mieux répondre aux demandes des États membres, qui ne cess</w:t>
      </w:r>
      <w:r w:rsidR="00E86BBE">
        <w:rPr>
          <w:rFonts w:eastAsia="Malgun Gothic"/>
          <w:lang w:val="fr-FR"/>
        </w:rPr>
        <w:t>ai</w:t>
      </w:r>
      <w:r w:rsidRPr="0074440A">
        <w:rPr>
          <w:rFonts w:eastAsia="Malgun Gothic"/>
          <w:lang w:val="fr-FR"/>
        </w:rPr>
        <w:t>ent d</w:t>
      </w:r>
      <w:r w:rsidR="00923E72">
        <w:rPr>
          <w:rFonts w:eastAsia="Malgun Gothic"/>
          <w:lang w:val="fr-FR"/>
        </w:rPr>
        <w:t>’</w:t>
      </w:r>
      <w:r w:rsidRPr="0074440A">
        <w:rPr>
          <w:rFonts w:eastAsia="Malgun Gothic"/>
          <w:lang w:val="fr-FR"/>
        </w:rPr>
        <w:t>augmenter. Le mécanisme d</w:t>
      </w:r>
      <w:r w:rsidR="00923E72">
        <w:rPr>
          <w:rFonts w:eastAsia="Malgun Gothic"/>
          <w:lang w:val="fr-FR"/>
        </w:rPr>
        <w:t>’</w:t>
      </w:r>
      <w:r w:rsidRPr="0074440A">
        <w:rPr>
          <w:rFonts w:eastAsia="Malgun Gothic"/>
          <w:lang w:val="fr-FR"/>
        </w:rPr>
        <w:t>assistance internationale revêt</w:t>
      </w:r>
      <w:r>
        <w:rPr>
          <w:rFonts w:eastAsia="Malgun Gothic"/>
          <w:lang w:val="fr-FR"/>
        </w:rPr>
        <w:t>ait</w:t>
      </w:r>
      <w:r w:rsidRPr="0074440A">
        <w:rPr>
          <w:rFonts w:eastAsia="Malgun Gothic"/>
          <w:lang w:val="fr-FR"/>
        </w:rPr>
        <w:t xml:space="preserve"> également une grande importance pour le Maroc dans le domaine de la sauvegarde du patrimoine vivant. </w:t>
      </w:r>
      <w:r>
        <w:rPr>
          <w:rFonts w:eastAsia="Malgun Gothic"/>
          <w:lang w:val="fr-FR"/>
        </w:rPr>
        <w:t>Pour ce faire</w:t>
      </w:r>
      <w:r w:rsidRPr="0074440A">
        <w:rPr>
          <w:rFonts w:eastAsia="Malgun Gothic"/>
          <w:lang w:val="fr-FR"/>
        </w:rPr>
        <w:t>, le suivi, l</w:t>
      </w:r>
      <w:r w:rsidR="00923E72">
        <w:rPr>
          <w:rFonts w:eastAsia="Malgun Gothic"/>
          <w:lang w:val="fr-FR"/>
        </w:rPr>
        <w:t>’</w:t>
      </w:r>
      <w:r w:rsidRPr="0074440A">
        <w:rPr>
          <w:rFonts w:eastAsia="Malgun Gothic"/>
          <w:lang w:val="fr-FR"/>
        </w:rPr>
        <w:t>évaluation et les enseignements tirés des projets d</w:t>
      </w:r>
      <w:r w:rsidR="00923E72">
        <w:rPr>
          <w:rFonts w:eastAsia="Malgun Gothic"/>
          <w:lang w:val="fr-FR"/>
        </w:rPr>
        <w:t>’</w:t>
      </w:r>
      <w:r w:rsidRPr="0074440A">
        <w:rPr>
          <w:rFonts w:eastAsia="Malgun Gothic"/>
          <w:lang w:val="fr-FR"/>
        </w:rPr>
        <w:t xml:space="preserve">assistance internationale pourraient contribuer à améliorer ce mécanisme, et la stratégie proposée dans ce contexte </w:t>
      </w:r>
      <w:r w:rsidR="00E86BBE">
        <w:rPr>
          <w:rFonts w:eastAsia="Malgun Gothic"/>
          <w:lang w:val="fr-FR"/>
        </w:rPr>
        <w:t>était</w:t>
      </w:r>
      <w:r w:rsidRPr="0074440A">
        <w:rPr>
          <w:rFonts w:eastAsia="Malgun Gothic"/>
          <w:lang w:val="fr-FR"/>
        </w:rPr>
        <w:t xml:space="preserve"> accueillie favorablement. La délégation </w:t>
      </w:r>
      <w:r w:rsidR="00E86BBE">
        <w:rPr>
          <w:rFonts w:eastAsia="Malgun Gothic"/>
          <w:lang w:val="fr-FR"/>
        </w:rPr>
        <w:t>était</w:t>
      </w:r>
      <w:r w:rsidRPr="0074440A">
        <w:rPr>
          <w:rFonts w:eastAsia="Malgun Gothic"/>
          <w:lang w:val="fr-FR"/>
        </w:rPr>
        <w:t xml:space="preserve"> donc favorable à l</w:t>
      </w:r>
      <w:r w:rsidR="00923E72">
        <w:rPr>
          <w:rFonts w:eastAsia="Malgun Gothic"/>
          <w:lang w:val="fr-FR"/>
        </w:rPr>
        <w:t>’</w:t>
      </w:r>
      <w:r w:rsidRPr="0074440A">
        <w:rPr>
          <w:rFonts w:eastAsia="Malgun Gothic"/>
          <w:lang w:val="fr-FR"/>
        </w:rPr>
        <w:t>adoption du projet de décision.</w:t>
      </w:r>
    </w:p>
    <w:p w14:paraId="273BF227" w14:textId="1A09BC7F" w:rsidR="00E86BBE" w:rsidRDefault="0005681B" w:rsidP="00702497">
      <w:pPr>
        <w:pStyle w:val="Orateurengris"/>
        <w:numPr>
          <w:ilvl w:val="0"/>
          <w:numId w:val="21"/>
        </w:numPr>
        <w:tabs>
          <w:tab w:val="clear" w:pos="567"/>
          <w:tab w:val="clear" w:pos="1418"/>
          <w:tab w:val="clear" w:pos="2126"/>
          <w:tab w:val="clear" w:pos="2835"/>
          <w:tab w:val="num" w:pos="709"/>
          <w:tab w:val="left" w:pos="7513"/>
        </w:tabs>
        <w:spacing w:before="120" w:after="0"/>
        <w:ind w:left="709" w:hanging="709"/>
        <w:rPr>
          <w:rFonts w:eastAsia="Malgun Gothic"/>
          <w:lang w:val="fr-FR"/>
        </w:rPr>
      </w:pPr>
      <w:r w:rsidRPr="0005681B">
        <w:rPr>
          <w:rFonts w:eastAsia="Malgun Gothic"/>
          <w:lang w:val="fr-FR"/>
        </w:rPr>
        <w:t>La délégation de l</w:t>
      </w:r>
      <w:r w:rsidR="00923E72">
        <w:rPr>
          <w:rFonts w:eastAsia="Malgun Gothic"/>
          <w:lang w:val="fr-FR"/>
        </w:rPr>
        <w:t>’</w:t>
      </w:r>
      <w:r w:rsidRPr="0005681B">
        <w:rPr>
          <w:rFonts w:eastAsia="Malgun Gothic"/>
          <w:b/>
          <w:bCs/>
          <w:lang w:val="fr-FR"/>
        </w:rPr>
        <w:t>Allemagne</w:t>
      </w:r>
      <w:r w:rsidRPr="0005681B">
        <w:rPr>
          <w:rFonts w:eastAsia="Malgun Gothic"/>
          <w:lang w:val="fr-FR"/>
        </w:rPr>
        <w:t xml:space="preserve"> </w:t>
      </w:r>
      <w:r>
        <w:rPr>
          <w:rFonts w:eastAsia="Malgun Gothic"/>
          <w:lang w:val="fr-FR"/>
        </w:rPr>
        <w:t xml:space="preserve">a </w:t>
      </w:r>
      <w:r w:rsidRPr="0005681B">
        <w:rPr>
          <w:rFonts w:eastAsia="Malgun Gothic"/>
          <w:lang w:val="fr-FR"/>
        </w:rPr>
        <w:t>remerci</w:t>
      </w:r>
      <w:r>
        <w:rPr>
          <w:rFonts w:eastAsia="Malgun Gothic"/>
          <w:lang w:val="fr-FR"/>
        </w:rPr>
        <w:t>é</w:t>
      </w:r>
      <w:r w:rsidRPr="0005681B">
        <w:rPr>
          <w:rFonts w:eastAsia="Malgun Gothic"/>
          <w:lang w:val="fr-FR"/>
        </w:rPr>
        <w:t xml:space="preserve"> le Président d</w:t>
      </w:r>
      <w:r w:rsidR="00923E72">
        <w:rPr>
          <w:rFonts w:eastAsia="Malgun Gothic"/>
          <w:lang w:val="fr-FR"/>
        </w:rPr>
        <w:t>’</w:t>
      </w:r>
      <w:r w:rsidRPr="0005681B">
        <w:rPr>
          <w:rFonts w:eastAsia="Malgun Gothic"/>
          <w:lang w:val="fr-FR"/>
        </w:rPr>
        <w:t>accueilli</w:t>
      </w:r>
      <w:r w:rsidR="002945AF">
        <w:rPr>
          <w:rFonts w:eastAsia="Malgun Gothic"/>
          <w:lang w:val="fr-FR"/>
        </w:rPr>
        <w:t>r</w:t>
      </w:r>
      <w:r w:rsidRPr="0005681B">
        <w:rPr>
          <w:rFonts w:eastAsia="Malgun Gothic"/>
          <w:lang w:val="fr-FR"/>
        </w:rPr>
        <w:t xml:space="preserve"> le Comité</w:t>
      </w:r>
      <w:r>
        <w:rPr>
          <w:rFonts w:eastAsia="Malgun Gothic"/>
          <w:lang w:val="fr-FR"/>
        </w:rPr>
        <w:t>,</w:t>
      </w:r>
      <w:r w:rsidRPr="0005681B">
        <w:rPr>
          <w:rFonts w:eastAsia="Malgun Gothic"/>
          <w:lang w:val="fr-FR"/>
        </w:rPr>
        <w:t xml:space="preserve"> et pour l</w:t>
      </w:r>
      <w:r w:rsidR="00923E72">
        <w:rPr>
          <w:rFonts w:eastAsia="Malgun Gothic"/>
          <w:lang w:val="fr-FR"/>
        </w:rPr>
        <w:t>’</w:t>
      </w:r>
      <w:r w:rsidRPr="0005681B">
        <w:rPr>
          <w:rFonts w:eastAsia="Malgun Gothic"/>
          <w:lang w:val="fr-FR"/>
        </w:rPr>
        <w:t>incroyable hospitalité et l</w:t>
      </w:r>
      <w:r w:rsidR="00923E72">
        <w:rPr>
          <w:rFonts w:eastAsia="Malgun Gothic"/>
          <w:lang w:val="fr-FR"/>
        </w:rPr>
        <w:t>’</w:t>
      </w:r>
      <w:r w:rsidRPr="0005681B">
        <w:rPr>
          <w:rFonts w:eastAsia="Malgun Gothic"/>
          <w:lang w:val="fr-FR"/>
        </w:rPr>
        <w:t>organisation de cette réunion. L</w:t>
      </w:r>
      <w:r w:rsidR="00923E72">
        <w:rPr>
          <w:rFonts w:eastAsia="Malgun Gothic"/>
          <w:lang w:val="fr-FR"/>
        </w:rPr>
        <w:t>’</w:t>
      </w:r>
      <w:r w:rsidRPr="0005681B">
        <w:rPr>
          <w:rFonts w:eastAsia="Malgun Gothic"/>
          <w:lang w:val="fr-FR"/>
        </w:rPr>
        <w:t xml:space="preserve">Allemagne </w:t>
      </w:r>
      <w:r>
        <w:rPr>
          <w:rFonts w:eastAsia="Malgun Gothic"/>
          <w:lang w:val="fr-FR"/>
        </w:rPr>
        <w:t>était</w:t>
      </w:r>
      <w:r w:rsidRPr="0005681B">
        <w:rPr>
          <w:rFonts w:eastAsia="Malgun Gothic"/>
          <w:lang w:val="fr-FR"/>
        </w:rPr>
        <w:t xml:space="preserve"> très </w:t>
      </w:r>
      <w:r>
        <w:rPr>
          <w:rFonts w:eastAsia="Malgun Gothic"/>
          <w:lang w:val="fr-FR"/>
        </w:rPr>
        <w:t xml:space="preserve">contente </w:t>
      </w:r>
      <w:r w:rsidRPr="0005681B">
        <w:rPr>
          <w:rFonts w:eastAsia="Malgun Gothic"/>
          <w:lang w:val="fr-FR"/>
        </w:rPr>
        <w:t>d</w:t>
      </w:r>
      <w:r w:rsidR="00923E72">
        <w:rPr>
          <w:rFonts w:eastAsia="Malgun Gothic"/>
          <w:lang w:val="fr-FR"/>
        </w:rPr>
        <w:t>’</w:t>
      </w:r>
      <w:r w:rsidRPr="0005681B">
        <w:rPr>
          <w:rFonts w:eastAsia="Malgun Gothic"/>
          <w:lang w:val="fr-FR"/>
        </w:rPr>
        <w:t>être membre de ce Comité pour la première fois et elle attend</w:t>
      </w:r>
      <w:r>
        <w:rPr>
          <w:rFonts w:eastAsia="Malgun Gothic"/>
          <w:lang w:val="fr-FR"/>
        </w:rPr>
        <w:t>ait</w:t>
      </w:r>
      <w:r w:rsidRPr="0005681B">
        <w:rPr>
          <w:rFonts w:eastAsia="Malgun Gothic"/>
          <w:lang w:val="fr-FR"/>
        </w:rPr>
        <w:t xml:space="preserve"> avec impatience une coopération fructueuse avec ses membres. La délégation a exprimé sa gratitude au Secrétariat pour le rapport sur ses travaux, en particulier pour la section détaillée sur la sauvegarde du patrimoine vivant dans les situations d</w:t>
      </w:r>
      <w:r w:rsidR="00923E72">
        <w:rPr>
          <w:rFonts w:eastAsia="Malgun Gothic"/>
          <w:lang w:val="fr-FR"/>
        </w:rPr>
        <w:t>’</w:t>
      </w:r>
      <w:r w:rsidRPr="0005681B">
        <w:rPr>
          <w:rFonts w:eastAsia="Malgun Gothic"/>
          <w:lang w:val="fr-FR"/>
        </w:rPr>
        <w:t>urgence et son action rapide concernant l</w:t>
      </w:r>
      <w:r w:rsidR="00923E72">
        <w:rPr>
          <w:rFonts w:eastAsia="Malgun Gothic"/>
          <w:lang w:val="fr-FR"/>
        </w:rPr>
        <w:t>’</w:t>
      </w:r>
      <w:r w:rsidRPr="0005681B">
        <w:rPr>
          <w:rFonts w:eastAsia="Malgun Gothic"/>
          <w:lang w:val="fr-FR"/>
        </w:rPr>
        <w:t xml:space="preserve">inscription urgente de </w:t>
      </w:r>
      <w:r w:rsidR="00D659A3">
        <w:rPr>
          <w:rFonts w:eastAsia="Malgun Gothic"/>
          <w:lang w:val="fr-FR"/>
        </w:rPr>
        <w:t>« L</w:t>
      </w:r>
      <w:r>
        <w:rPr>
          <w:rFonts w:eastAsia="Malgun Gothic"/>
          <w:lang w:val="fr-FR"/>
        </w:rPr>
        <w:t>a c</w:t>
      </w:r>
      <w:r w:rsidRPr="001672EB">
        <w:rPr>
          <w:rFonts w:eastAsia="Malgun Gothic"/>
          <w:lang w:val="fr-FR"/>
        </w:rPr>
        <w:t xml:space="preserve">ulture de la </w:t>
      </w:r>
      <w:r>
        <w:rPr>
          <w:rFonts w:eastAsia="Malgun Gothic"/>
          <w:lang w:val="fr-FR"/>
        </w:rPr>
        <w:t xml:space="preserve">préparation du bortsch </w:t>
      </w:r>
      <w:r w:rsidRPr="001672EB">
        <w:rPr>
          <w:rFonts w:eastAsia="Malgun Gothic"/>
          <w:lang w:val="fr-FR"/>
        </w:rPr>
        <w:t>ukrainien</w:t>
      </w:r>
      <w:r w:rsidR="00D659A3">
        <w:rPr>
          <w:rFonts w:eastAsia="Malgun Gothic"/>
          <w:lang w:val="fr-FR"/>
        </w:rPr>
        <w:t> »</w:t>
      </w:r>
      <w:r w:rsidRPr="0005681B">
        <w:rPr>
          <w:rFonts w:eastAsia="Malgun Gothic"/>
          <w:lang w:val="fr-FR"/>
        </w:rPr>
        <w:t>. Elle s</w:t>
      </w:r>
      <w:r w:rsidR="00923E72">
        <w:rPr>
          <w:rFonts w:eastAsia="Malgun Gothic"/>
          <w:lang w:val="fr-FR"/>
        </w:rPr>
        <w:t>’</w:t>
      </w:r>
      <w:r w:rsidRPr="0005681B">
        <w:rPr>
          <w:rFonts w:eastAsia="Malgun Gothic"/>
          <w:lang w:val="fr-FR"/>
        </w:rPr>
        <w:t>est également réjouie de la mention de la conférence sur les cultures pour un avenir plus durable</w:t>
      </w:r>
      <w:r w:rsidR="0065686B">
        <w:rPr>
          <w:rFonts w:eastAsia="Malgun Gothic"/>
          <w:lang w:val="fr-FR"/>
        </w:rPr>
        <w:t>,</w:t>
      </w:r>
      <w:r w:rsidRPr="0005681B">
        <w:rPr>
          <w:rFonts w:eastAsia="Malgun Gothic"/>
          <w:lang w:val="fr-FR"/>
        </w:rPr>
        <w:t xml:space="preserve"> qui s</w:t>
      </w:r>
      <w:r w:rsidR="00923E72">
        <w:rPr>
          <w:rFonts w:eastAsia="Malgun Gothic"/>
          <w:lang w:val="fr-FR"/>
        </w:rPr>
        <w:t>’</w:t>
      </w:r>
      <w:r>
        <w:rPr>
          <w:rFonts w:eastAsia="Malgun Gothic"/>
          <w:lang w:val="fr-FR"/>
        </w:rPr>
        <w:t>était</w:t>
      </w:r>
      <w:r w:rsidRPr="0005681B">
        <w:rPr>
          <w:rFonts w:eastAsia="Malgun Gothic"/>
          <w:lang w:val="fr-FR"/>
        </w:rPr>
        <w:t xml:space="preserve"> tenue en Allemagne en mai</w:t>
      </w:r>
      <w:r w:rsidR="00962AA8">
        <w:rPr>
          <w:rFonts w:eastAsia="Malgun Gothic"/>
          <w:lang w:val="fr-FR"/>
        </w:rPr>
        <w:t> </w:t>
      </w:r>
      <w:r w:rsidR="0081208C">
        <w:rPr>
          <w:rFonts w:eastAsia="Malgun Gothic"/>
          <w:lang w:val="fr-FR"/>
        </w:rPr>
        <w:t xml:space="preserve">2022 </w:t>
      </w:r>
      <w:r w:rsidRPr="0005681B">
        <w:rPr>
          <w:rFonts w:eastAsia="Malgun Gothic"/>
          <w:lang w:val="fr-FR"/>
        </w:rPr>
        <w:t xml:space="preserve">et qui </w:t>
      </w:r>
      <w:r w:rsidR="00D659A3">
        <w:rPr>
          <w:rFonts w:eastAsia="Malgun Gothic"/>
          <w:lang w:val="fr-FR"/>
        </w:rPr>
        <w:t xml:space="preserve">avait été </w:t>
      </w:r>
      <w:proofErr w:type="spellStart"/>
      <w:r w:rsidRPr="0005681B">
        <w:rPr>
          <w:rFonts w:eastAsia="Malgun Gothic"/>
          <w:lang w:val="fr-FR"/>
        </w:rPr>
        <w:t>co</w:t>
      </w:r>
      <w:r w:rsidR="0065686B">
        <w:rPr>
          <w:rFonts w:eastAsia="Malgun Gothic"/>
          <w:lang w:val="fr-FR"/>
        </w:rPr>
        <w:t>-</w:t>
      </w:r>
      <w:r w:rsidRPr="0005681B">
        <w:rPr>
          <w:rFonts w:eastAsia="Malgun Gothic"/>
          <w:lang w:val="fr-FR"/>
        </w:rPr>
        <w:t>organisée</w:t>
      </w:r>
      <w:proofErr w:type="spellEnd"/>
      <w:r w:rsidRPr="0005681B">
        <w:rPr>
          <w:rFonts w:eastAsia="Malgun Gothic"/>
          <w:lang w:val="fr-FR"/>
        </w:rPr>
        <w:t xml:space="preserve"> par la </w:t>
      </w:r>
      <w:r>
        <w:rPr>
          <w:rFonts w:eastAsia="Malgun Gothic"/>
          <w:lang w:val="fr-FR"/>
        </w:rPr>
        <w:t>c</w:t>
      </w:r>
      <w:r w:rsidRPr="0005681B">
        <w:rPr>
          <w:rFonts w:eastAsia="Malgun Gothic"/>
          <w:lang w:val="fr-FR"/>
        </w:rPr>
        <w:t xml:space="preserve">haire UNESCO de Weimar et la </w:t>
      </w:r>
      <w:r>
        <w:rPr>
          <w:rFonts w:eastAsia="Malgun Gothic"/>
          <w:lang w:val="fr-FR"/>
        </w:rPr>
        <w:t>c</w:t>
      </w:r>
      <w:r w:rsidRPr="0005681B">
        <w:rPr>
          <w:rFonts w:eastAsia="Malgun Gothic"/>
          <w:lang w:val="fr-FR"/>
        </w:rPr>
        <w:t>haire UNESCO d</w:t>
      </w:r>
      <w:r>
        <w:rPr>
          <w:rFonts w:eastAsia="Malgun Gothic"/>
          <w:lang w:val="fr-FR"/>
        </w:rPr>
        <w:t>e Ié</w:t>
      </w:r>
      <w:r w:rsidRPr="0005681B">
        <w:rPr>
          <w:rFonts w:eastAsia="Malgun Gothic"/>
          <w:lang w:val="fr-FR"/>
        </w:rPr>
        <w:t>na</w:t>
      </w:r>
      <w:r w:rsidR="0065686B">
        <w:rPr>
          <w:rFonts w:eastAsia="Malgun Gothic"/>
          <w:lang w:val="fr-FR"/>
        </w:rPr>
        <w:t>,</w:t>
      </w:r>
      <w:r w:rsidRPr="0005681B">
        <w:rPr>
          <w:rFonts w:eastAsia="Malgun Gothic"/>
          <w:lang w:val="fr-FR"/>
        </w:rPr>
        <w:t xml:space="preserve"> et financée par le </w:t>
      </w:r>
      <w:r>
        <w:rPr>
          <w:rFonts w:eastAsia="Malgun Gothic"/>
          <w:lang w:val="fr-FR"/>
        </w:rPr>
        <w:t>m</w:t>
      </w:r>
      <w:r w:rsidRPr="0005681B">
        <w:rPr>
          <w:rFonts w:eastAsia="Malgun Gothic"/>
          <w:lang w:val="fr-FR"/>
        </w:rPr>
        <w:t xml:space="preserve">inistère des Affaires </w:t>
      </w:r>
      <w:r w:rsidR="00D659A3">
        <w:rPr>
          <w:rFonts w:eastAsia="Malgun Gothic"/>
          <w:lang w:val="fr-FR"/>
        </w:rPr>
        <w:t>é</w:t>
      </w:r>
      <w:r w:rsidRPr="0005681B">
        <w:rPr>
          <w:rFonts w:eastAsia="Malgun Gothic"/>
          <w:lang w:val="fr-FR"/>
        </w:rPr>
        <w:t>trangères. En septembre, MONDIACULT a</w:t>
      </w:r>
      <w:r w:rsidR="00D659A3">
        <w:rPr>
          <w:rFonts w:eastAsia="Malgun Gothic"/>
          <w:lang w:val="fr-FR"/>
        </w:rPr>
        <w:t>vait</w:t>
      </w:r>
      <w:r w:rsidRPr="0005681B">
        <w:rPr>
          <w:rFonts w:eastAsia="Malgun Gothic"/>
          <w:lang w:val="fr-FR"/>
        </w:rPr>
        <w:t xml:space="preserve"> confirmé la pertinence des cultures dans la lutte pour le développement durable</w:t>
      </w:r>
      <w:r w:rsidR="0081208C">
        <w:rPr>
          <w:rFonts w:eastAsia="Malgun Gothic"/>
          <w:lang w:val="fr-FR"/>
        </w:rPr>
        <w:t>, l</w:t>
      </w:r>
      <w:r w:rsidR="00923E72">
        <w:rPr>
          <w:rFonts w:eastAsia="Malgun Gothic"/>
          <w:lang w:val="fr-FR"/>
        </w:rPr>
        <w:t>’</w:t>
      </w:r>
      <w:r w:rsidR="0081208C">
        <w:rPr>
          <w:rFonts w:eastAsia="Malgun Gothic"/>
          <w:lang w:val="fr-FR"/>
        </w:rPr>
        <w:t xml:space="preserve">Allemagne ayant </w:t>
      </w:r>
      <w:r w:rsidRPr="0005681B">
        <w:rPr>
          <w:rFonts w:eastAsia="Malgun Gothic"/>
          <w:lang w:val="fr-FR"/>
        </w:rPr>
        <w:t xml:space="preserve">contribué à la discussion. </w:t>
      </w:r>
      <w:r w:rsidR="00A20C6F">
        <w:rPr>
          <w:rFonts w:eastAsia="Malgun Gothic"/>
          <w:lang w:val="fr-FR"/>
        </w:rPr>
        <w:t xml:space="preserve">La </w:t>
      </w:r>
      <w:r w:rsidR="00A20C6F" w:rsidRPr="00A20C6F">
        <w:rPr>
          <w:rFonts w:eastAsia="Malgun Gothic"/>
          <w:lang w:val="fr-FR"/>
        </w:rPr>
        <w:t>délégation</w:t>
      </w:r>
      <w:r w:rsidR="00A20C6F">
        <w:rPr>
          <w:rFonts w:eastAsia="Malgun Gothic"/>
          <w:lang w:val="fr-FR"/>
        </w:rPr>
        <w:t xml:space="preserve"> a conclu son </w:t>
      </w:r>
      <w:r w:rsidR="00A20C6F" w:rsidRPr="00A20C6F">
        <w:rPr>
          <w:rFonts w:eastAsia="Malgun Gothic"/>
          <w:lang w:val="fr-FR"/>
        </w:rPr>
        <w:t>intervention</w:t>
      </w:r>
      <w:r w:rsidR="00A20C6F">
        <w:rPr>
          <w:rFonts w:eastAsia="Malgun Gothic"/>
          <w:lang w:val="fr-FR"/>
        </w:rPr>
        <w:t xml:space="preserve"> en </w:t>
      </w:r>
      <w:r w:rsidRPr="0005681B">
        <w:rPr>
          <w:rFonts w:eastAsia="Malgun Gothic"/>
          <w:lang w:val="fr-FR"/>
        </w:rPr>
        <w:t>attir</w:t>
      </w:r>
      <w:r w:rsidR="00A20C6F">
        <w:rPr>
          <w:rFonts w:eastAsia="Malgun Gothic"/>
          <w:lang w:val="fr-FR"/>
        </w:rPr>
        <w:t>ant</w:t>
      </w:r>
      <w:r w:rsidRPr="0005681B">
        <w:rPr>
          <w:rFonts w:eastAsia="Malgun Gothic"/>
          <w:lang w:val="fr-FR"/>
        </w:rPr>
        <w:t xml:space="preserve"> </w:t>
      </w:r>
      <w:r w:rsidR="00A20C6F">
        <w:rPr>
          <w:rFonts w:eastAsia="Malgun Gothic"/>
          <w:lang w:val="fr-FR"/>
        </w:rPr>
        <w:t>l</w:t>
      </w:r>
      <w:r w:rsidR="00923E72">
        <w:rPr>
          <w:rFonts w:eastAsia="Malgun Gothic"/>
          <w:lang w:val="fr-FR"/>
        </w:rPr>
        <w:t>’</w:t>
      </w:r>
      <w:r w:rsidRPr="0005681B">
        <w:rPr>
          <w:rFonts w:eastAsia="Malgun Gothic"/>
          <w:lang w:val="fr-FR"/>
        </w:rPr>
        <w:t>attention sur l</w:t>
      </w:r>
      <w:r w:rsidR="00923E72">
        <w:rPr>
          <w:rFonts w:eastAsia="Malgun Gothic"/>
          <w:lang w:val="fr-FR"/>
        </w:rPr>
        <w:t>’</w:t>
      </w:r>
      <w:r w:rsidRPr="0005681B">
        <w:rPr>
          <w:rFonts w:eastAsia="Malgun Gothic"/>
          <w:lang w:val="fr-FR"/>
        </w:rPr>
        <w:t>événement parallèle</w:t>
      </w:r>
      <w:r w:rsidR="00A20C6F">
        <w:rPr>
          <w:rFonts w:eastAsia="Malgun Gothic"/>
          <w:lang w:val="fr-FR"/>
        </w:rPr>
        <w:t xml:space="preserve"> </w:t>
      </w:r>
      <w:r w:rsidR="00154A43">
        <w:rPr>
          <w:rFonts w:eastAsia="Malgun Gothic"/>
          <w:lang w:val="fr-FR"/>
        </w:rPr>
        <w:t>[</w:t>
      </w:r>
      <w:r w:rsidR="00A20C6F">
        <w:rPr>
          <w:rFonts w:eastAsia="Malgun Gothic"/>
          <w:lang w:val="fr-FR"/>
        </w:rPr>
        <w:t>qui se tiendrait le lendemain</w:t>
      </w:r>
      <w:r w:rsidR="00154A43">
        <w:rPr>
          <w:rFonts w:eastAsia="Malgun Gothic"/>
          <w:lang w:val="fr-FR"/>
        </w:rPr>
        <w:t>]</w:t>
      </w:r>
      <w:r w:rsidRPr="0005681B">
        <w:rPr>
          <w:rFonts w:eastAsia="Malgun Gothic"/>
          <w:lang w:val="fr-FR"/>
        </w:rPr>
        <w:t xml:space="preserve"> </w:t>
      </w:r>
      <w:r w:rsidR="00A20C6F">
        <w:rPr>
          <w:rFonts w:eastAsia="Malgun Gothic"/>
          <w:lang w:val="fr-FR"/>
        </w:rPr>
        <w:t xml:space="preserve">consacré à </w:t>
      </w:r>
      <w:r w:rsidRPr="0005681B">
        <w:rPr>
          <w:rFonts w:eastAsia="Malgun Gothic"/>
          <w:lang w:val="fr-FR"/>
        </w:rPr>
        <w:t>la mémoire du patrimoine immatériel de l</w:t>
      </w:r>
      <w:r w:rsidR="00923E72">
        <w:rPr>
          <w:rFonts w:eastAsia="Malgun Gothic"/>
          <w:lang w:val="fr-FR"/>
        </w:rPr>
        <w:t>’</w:t>
      </w:r>
      <w:r w:rsidRPr="0005681B">
        <w:rPr>
          <w:rFonts w:eastAsia="Malgun Gothic"/>
          <w:lang w:val="fr-FR"/>
        </w:rPr>
        <w:t>Afghanista</w:t>
      </w:r>
      <w:r w:rsidR="00A20C6F">
        <w:rPr>
          <w:rFonts w:eastAsia="Malgun Gothic"/>
          <w:lang w:val="fr-FR"/>
        </w:rPr>
        <w:t xml:space="preserve">n, </w:t>
      </w:r>
      <w:r w:rsidRPr="0005681B">
        <w:rPr>
          <w:rFonts w:eastAsia="Malgun Gothic"/>
          <w:lang w:val="fr-FR"/>
        </w:rPr>
        <w:t>organisé avec le Secrétariat de l</w:t>
      </w:r>
      <w:r w:rsidR="00923E72">
        <w:rPr>
          <w:rFonts w:eastAsia="Malgun Gothic"/>
          <w:lang w:val="fr-FR"/>
        </w:rPr>
        <w:t>’</w:t>
      </w:r>
      <w:r w:rsidRPr="0005681B">
        <w:rPr>
          <w:rFonts w:eastAsia="Malgun Gothic"/>
          <w:lang w:val="fr-FR"/>
        </w:rPr>
        <w:t xml:space="preserve">UNESCO et le </w:t>
      </w:r>
      <w:r w:rsidR="00D659A3">
        <w:rPr>
          <w:rFonts w:eastAsia="Malgun Gothic"/>
          <w:lang w:val="fr-FR"/>
        </w:rPr>
        <w:t>Professeur</w:t>
      </w:r>
      <w:r w:rsidRPr="0005681B">
        <w:rPr>
          <w:rFonts w:eastAsia="Malgun Gothic"/>
          <w:lang w:val="fr-FR"/>
        </w:rPr>
        <w:t xml:space="preserve"> </w:t>
      </w:r>
      <w:r w:rsidR="00A20C6F">
        <w:rPr>
          <w:rFonts w:eastAsia="Malgun Gothic"/>
          <w:lang w:val="fr-FR"/>
        </w:rPr>
        <w:t xml:space="preserve">Tiago de Oliveira </w:t>
      </w:r>
      <w:r w:rsidRPr="0005681B">
        <w:rPr>
          <w:rFonts w:eastAsia="Malgun Gothic"/>
          <w:lang w:val="fr-FR"/>
        </w:rPr>
        <w:t>Pinto de l</w:t>
      </w:r>
      <w:r w:rsidR="00923E72">
        <w:rPr>
          <w:rFonts w:eastAsia="Malgun Gothic"/>
          <w:lang w:val="fr-FR"/>
        </w:rPr>
        <w:t>’</w:t>
      </w:r>
      <w:r w:rsidR="00717573">
        <w:rPr>
          <w:rFonts w:eastAsia="Malgun Gothic"/>
          <w:lang w:val="fr-FR"/>
        </w:rPr>
        <w:t>u</w:t>
      </w:r>
      <w:r w:rsidRPr="0005681B">
        <w:rPr>
          <w:rFonts w:eastAsia="Malgun Gothic"/>
          <w:lang w:val="fr-FR"/>
        </w:rPr>
        <w:t>niversité Franz Liszt de Weimar.</w:t>
      </w:r>
    </w:p>
    <w:p w14:paraId="750874D3" w14:textId="3EA02163" w:rsidR="00D659A3" w:rsidRDefault="00D659A3"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D659A3">
        <w:rPr>
          <w:rFonts w:eastAsia="Malgun Gothic"/>
          <w:lang w:val="fr-FR"/>
        </w:rPr>
        <w:t xml:space="preserve">La délégation de la </w:t>
      </w:r>
      <w:r w:rsidRPr="00D659A3">
        <w:rPr>
          <w:rFonts w:eastAsia="Malgun Gothic"/>
          <w:b/>
          <w:bCs/>
          <w:lang w:val="fr-FR"/>
        </w:rPr>
        <w:t>Suisse</w:t>
      </w:r>
      <w:r w:rsidRPr="00D659A3">
        <w:rPr>
          <w:rFonts w:eastAsia="Malgun Gothic"/>
          <w:lang w:val="fr-FR"/>
        </w:rPr>
        <w:t xml:space="preserve"> a félicité le Maroc pour son merveilleux accueil et pour la spectaculaire cérémonie d</w:t>
      </w:r>
      <w:r w:rsidR="00923E72">
        <w:rPr>
          <w:rFonts w:eastAsia="Malgun Gothic"/>
          <w:lang w:val="fr-FR"/>
        </w:rPr>
        <w:t>’</w:t>
      </w:r>
      <w:r w:rsidRPr="00D659A3">
        <w:rPr>
          <w:rFonts w:eastAsia="Malgun Gothic"/>
          <w:lang w:val="fr-FR"/>
        </w:rPr>
        <w:t xml:space="preserve">ouverture. La Suisse a remercié le Secrétariat pour son rapport </w:t>
      </w:r>
      <w:r w:rsidRPr="00D659A3">
        <w:rPr>
          <w:rFonts w:eastAsia="Malgun Gothic"/>
          <w:lang w:val="fr-FR"/>
        </w:rPr>
        <w:lastRenderedPageBreak/>
        <w:t>riche et détaillé</w:t>
      </w:r>
      <w:r w:rsidR="0039442C">
        <w:rPr>
          <w:rFonts w:eastAsia="Malgun Gothic"/>
          <w:lang w:val="fr-FR"/>
        </w:rPr>
        <w:t>,</w:t>
      </w:r>
      <w:r w:rsidRPr="00D659A3">
        <w:rPr>
          <w:rFonts w:eastAsia="Malgun Gothic"/>
          <w:lang w:val="fr-FR"/>
        </w:rPr>
        <w:t xml:space="preserve"> qui refl</w:t>
      </w:r>
      <w:r w:rsidR="00A20C6F">
        <w:rPr>
          <w:rFonts w:eastAsia="Malgun Gothic"/>
          <w:lang w:val="fr-FR"/>
        </w:rPr>
        <w:t>était</w:t>
      </w:r>
      <w:r w:rsidRPr="00D659A3">
        <w:rPr>
          <w:rFonts w:eastAsia="Malgun Gothic"/>
          <w:lang w:val="fr-FR"/>
        </w:rPr>
        <w:t xml:space="preserve"> son activité intense au cours du premier semestre</w:t>
      </w:r>
      <w:r w:rsidR="00246428">
        <w:rPr>
          <w:rFonts w:eastAsia="Malgun Gothic"/>
          <w:lang w:val="fr-FR"/>
        </w:rPr>
        <w:t> </w:t>
      </w:r>
      <w:r w:rsidRPr="00D659A3">
        <w:rPr>
          <w:rFonts w:eastAsia="Malgun Gothic"/>
          <w:lang w:val="fr-FR"/>
        </w:rPr>
        <w:t>2022</w:t>
      </w:r>
      <w:r w:rsidR="00A20C6F">
        <w:rPr>
          <w:rFonts w:eastAsia="Malgun Gothic"/>
          <w:lang w:val="fr-FR"/>
        </w:rPr>
        <w:t xml:space="preserve"> et </w:t>
      </w:r>
      <w:r w:rsidRPr="00D659A3">
        <w:rPr>
          <w:rFonts w:eastAsia="Malgun Gothic"/>
          <w:lang w:val="fr-FR"/>
        </w:rPr>
        <w:t>la qualité constante d</w:t>
      </w:r>
      <w:r w:rsidR="00A20C6F">
        <w:rPr>
          <w:rFonts w:eastAsia="Malgun Gothic"/>
          <w:lang w:val="fr-FR"/>
        </w:rPr>
        <w:t xml:space="preserve">e son </w:t>
      </w:r>
      <w:r w:rsidRPr="00D659A3">
        <w:rPr>
          <w:rFonts w:eastAsia="Malgun Gothic"/>
          <w:lang w:val="fr-FR"/>
        </w:rPr>
        <w:t xml:space="preserve">travail ainsi que </w:t>
      </w:r>
      <w:r w:rsidR="00A20C6F">
        <w:rPr>
          <w:rFonts w:eastAsia="Malgun Gothic"/>
          <w:lang w:val="fr-FR"/>
        </w:rPr>
        <w:t>sa</w:t>
      </w:r>
      <w:r w:rsidRPr="00D659A3">
        <w:rPr>
          <w:rFonts w:eastAsia="Malgun Gothic"/>
          <w:lang w:val="fr-FR"/>
        </w:rPr>
        <w:t xml:space="preserve"> capacité d</w:t>
      </w:r>
      <w:r w:rsidR="00923E72">
        <w:rPr>
          <w:rFonts w:eastAsia="Malgun Gothic"/>
          <w:lang w:val="fr-FR"/>
        </w:rPr>
        <w:t>’</w:t>
      </w:r>
      <w:r w:rsidRPr="00D659A3">
        <w:rPr>
          <w:rFonts w:eastAsia="Malgun Gothic"/>
          <w:lang w:val="fr-FR"/>
        </w:rPr>
        <w:t xml:space="preserve">adaptation à </w:t>
      </w:r>
      <w:r w:rsidR="00A20C6F">
        <w:rPr>
          <w:rFonts w:eastAsia="Malgun Gothic"/>
          <w:lang w:val="fr-FR"/>
        </w:rPr>
        <w:t xml:space="preserve">des </w:t>
      </w:r>
      <w:r w:rsidRPr="00D659A3">
        <w:rPr>
          <w:rFonts w:eastAsia="Malgun Gothic"/>
          <w:lang w:val="fr-FR"/>
        </w:rPr>
        <w:t>situation</w:t>
      </w:r>
      <w:r w:rsidR="00A20C6F">
        <w:rPr>
          <w:rFonts w:eastAsia="Malgun Gothic"/>
          <w:lang w:val="fr-FR"/>
        </w:rPr>
        <w:t xml:space="preserve">s </w:t>
      </w:r>
      <w:r w:rsidRPr="00D659A3">
        <w:rPr>
          <w:rFonts w:eastAsia="Malgun Gothic"/>
          <w:lang w:val="fr-FR"/>
        </w:rPr>
        <w:t>parfois complexe</w:t>
      </w:r>
      <w:r w:rsidR="00A20C6F">
        <w:rPr>
          <w:rFonts w:eastAsia="Malgun Gothic"/>
          <w:lang w:val="fr-FR"/>
        </w:rPr>
        <w:t>s</w:t>
      </w:r>
      <w:r w:rsidRPr="00D659A3">
        <w:rPr>
          <w:rFonts w:eastAsia="Malgun Gothic"/>
          <w:lang w:val="fr-FR"/>
        </w:rPr>
        <w:t>. Le Secrétariat a</w:t>
      </w:r>
      <w:r>
        <w:rPr>
          <w:rFonts w:eastAsia="Malgun Gothic"/>
          <w:lang w:val="fr-FR"/>
        </w:rPr>
        <w:t>vait assuré le</w:t>
      </w:r>
      <w:r w:rsidRPr="00D659A3">
        <w:rPr>
          <w:rFonts w:eastAsia="Malgun Gothic"/>
          <w:lang w:val="fr-FR"/>
        </w:rPr>
        <w:t xml:space="preserve"> bon fonctionnement des organes statutaires et soutenu des étapes importantes pour la Convention. Il a</w:t>
      </w:r>
      <w:r>
        <w:rPr>
          <w:rFonts w:eastAsia="Malgun Gothic"/>
          <w:lang w:val="fr-FR"/>
        </w:rPr>
        <w:t>vait</w:t>
      </w:r>
      <w:r w:rsidRPr="00D659A3">
        <w:rPr>
          <w:rFonts w:eastAsia="Malgun Gothic"/>
          <w:lang w:val="fr-FR"/>
        </w:rPr>
        <w:t xml:space="preserve"> œuvré </w:t>
      </w:r>
      <w:r w:rsidR="007D338C">
        <w:rPr>
          <w:rFonts w:eastAsia="Malgun Gothic"/>
          <w:lang w:val="fr-FR"/>
        </w:rPr>
        <w:t xml:space="preserve">à </w:t>
      </w:r>
      <w:r w:rsidRPr="00D659A3">
        <w:rPr>
          <w:rFonts w:eastAsia="Malgun Gothic"/>
          <w:lang w:val="fr-FR"/>
        </w:rPr>
        <w:t>finaliser la réflexion tant attendue sur les mécanismes d</w:t>
      </w:r>
      <w:r w:rsidR="00923E72">
        <w:rPr>
          <w:rFonts w:eastAsia="Malgun Gothic"/>
          <w:lang w:val="fr-FR"/>
        </w:rPr>
        <w:t>’</w:t>
      </w:r>
      <w:r w:rsidRPr="00D659A3">
        <w:rPr>
          <w:rFonts w:eastAsia="Malgun Gothic"/>
          <w:lang w:val="fr-FR"/>
        </w:rPr>
        <w:t>inscription de la Convention, qui a</w:t>
      </w:r>
      <w:r w:rsidR="007D338C">
        <w:rPr>
          <w:rFonts w:eastAsia="Malgun Gothic"/>
          <w:lang w:val="fr-FR"/>
        </w:rPr>
        <w:t>vait</w:t>
      </w:r>
      <w:r w:rsidRPr="00D659A3">
        <w:rPr>
          <w:rFonts w:eastAsia="Malgun Gothic"/>
          <w:lang w:val="fr-FR"/>
        </w:rPr>
        <w:t xml:space="preserve"> permis d</w:t>
      </w:r>
      <w:r w:rsidR="00923E72">
        <w:rPr>
          <w:rFonts w:eastAsia="Malgun Gothic"/>
          <w:lang w:val="fr-FR"/>
        </w:rPr>
        <w:t>’</w:t>
      </w:r>
      <w:r w:rsidRPr="00D659A3">
        <w:rPr>
          <w:rFonts w:eastAsia="Malgun Gothic"/>
          <w:lang w:val="fr-FR"/>
        </w:rPr>
        <w:t xml:space="preserve">adopter de nouvelles Directives opérationnelles lors de la dernière Assemblée générale. La mise en œuvre et le suivi </w:t>
      </w:r>
      <w:r w:rsidR="007D338C">
        <w:rPr>
          <w:rFonts w:eastAsia="Malgun Gothic"/>
          <w:lang w:val="fr-FR"/>
        </w:rPr>
        <w:t>était</w:t>
      </w:r>
      <w:r w:rsidRPr="00D659A3">
        <w:rPr>
          <w:rFonts w:eastAsia="Malgun Gothic"/>
          <w:lang w:val="fr-FR"/>
        </w:rPr>
        <w:t xml:space="preserve"> une étape clé dans l</w:t>
      </w:r>
      <w:r w:rsidR="00923E72">
        <w:rPr>
          <w:rFonts w:eastAsia="Malgun Gothic"/>
          <w:lang w:val="fr-FR"/>
        </w:rPr>
        <w:t>’</w:t>
      </w:r>
      <w:r w:rsidRPr="00D659A3">
        <w:rPr>
          <w:rFonts w:eastAsia="Malgun Gothic"/>
          <w:lang w:val="fr-FR"/>
        </w:rPr>
        <w:t>amélioration des procédures. La Suisse soutenait l</w:t>
      </w:r>
      <w:r w:rsidR="00923E72">
        <w:rPr>
          <w:rFonts w:eastAsia="Malgun Gothic"/>
          <w:lang w:val="fr-FR"/>
        </w:rPr>
        <w:t>’</w:t>
      </w:r>
      <w:r w:rsidRPr="00D659A3">
        <w:rPr>
          <w:rFonts w:eastAsia="Malgun Gothic"/>
          <w:lang w:val="fr-FR"/>
        </w:rPr>
        <w:t>évolution permanente de la Convention et le développement de sa gouvernance et de ses méthodes de travail. À ce titre, elle a appelé à placer l</w:t>
      </w:r>
      <w:r w:rsidR="00923E72">
        <w:rPr>
          <w:rFonts w:eastAsia="Malgun Gothic"/>
          <w:lang w:val="fr-FR"/>
        </w:rPr>
        <w:t>’</w:t>
      </w:r>
      <w:r w:rsidRPr="00D659A3">
        <w:rPr>
          <w:rFonts w:eastAsia="Malgun Gothic"/>
          <w:lang w:val="fr-FR"/>
        </w:rPr>
        <w:t xml:space="preserve">expertise au centre des travaux du Comité </w:t>
      </w:r>
      <w:r w:rsidR="00A20C6F">
        <w:rPr>
          <w:rFonts w:eastAsia="Malgun Gothic"/>
          <w:lang w:val="fr-FR"/>
        </w:rPr>
        <w:t>afin d</w:t>
      </w:r>
      <w:r w:rsidR="00923E72">
        <w:rPr>
          <w:rFonts w:eastAsia="Malgun Gothic"/>
          <w:lang w:val="fr-FR"/>
        </w:rPr>
        <w:t>’</w:t>
      </w:r>
      <w:r w:rsidRPr="00D659A3">
        <w:rPr>
          <w:rFonts w:eastAsia="Malgun Gothic"/>
          <w:lang w:val="fr-FR"/>
        </w:rPr>
        <w:t>éviter d</w:t>
      </w:r>
      <w:r w:rsidR="00923E72">
        <w:rPr>
          <w:rFonts w:eastAsia="Malgun Gothic"/>
          <w:lang w:val="fr-FR"/>
        </w:rPr>
        <w:t>’</w:t>
      </w:r>
      <w:r w:rsidRPr="00D659A3">
        <w:rPr>
          <w:rFonts w:eastAsia="Malgun Gothic"/>
          <w:lang w:val="fr-FR"/>
        </w:rPr>
        <w:t>importer des questions de politique extérieure dans les délibérations. À l</w:t>
      </w:r>
      <w:r w:rsidR="00923E72">
        <w:rPr>
          <w:rFonts w:eastAsia="Malgun Gothic"/>
          <w:lang w:val="fr-FR"/>
        </w:rPr>
        <w:t>’</w:t>
      </w:r>
      <w:r w:rsidRPr="00D659A3">
        <w:rPr>
          <w:rFonts w:eastAsia="Malgun Gothic"/>
          <w:lang w:val="fr-FR"/>
        </w:rPr>
        <w:t>approche du vingtième anniversaire, la délégation a fait remarquer que la Convention avait déjà acquis une grande reconnaissance. Le vingtième anniversaire représent</w:t>
      </w:r>
      <w:r w:rsidR="007D338C">
        <w:rPr>
          <w:rFonts w:eastAsia="Malgun Gothic"/>
          <w:lang w:val="fr-FR"/>
        </w:rPr>
        <w:t>ait</w:t>
      </w:r>
      <w:r w:rsidRPr="00D659A3">
        <w:rPr>
          <w:rFonts w:eastAsia="Malgun Gothic"/>
          <w:lang w:val="fr-FR"/>
        </w:rPr>
        <w:t xml:space="preserve"> </w:t>
      </w:r>
      <w:r w:rsidR="00A20C6F">
        <w:rPr>
          <w:rFonts w:eastAsia="Malgun Gothic"/>
          <w:lang w:val="fr-FR"/>
        </w:rPr>
        <w:t xml:space="preserve">donc </w:t>
      </w:r>
      <w:r w:rsidRPr="00D659A3">
        <w:rPr>
          <w:rFonts w:eastAsia="Malgun Gothic"/>
          <w:lang w:val="fr-FR"/>
        </w:rPr>
        <w:t xml:space="preserve">une occasion de renforcer cette reconnaissance et cette visibilité aux niveaux international, national et régional. Au cours de ces </w:t>
      </w:r>
      <w:r w:rsidR="00415409">
        <w:rPr>
          <w:rFonts w:eastAsia="Malgun Gothic"/>
          <w:lang w:val="fr-FR"/>
        </w:rPr>
        <w:t>vingt</w:t>
      </w:r>
      <w:r w:rsidRPr="00D659A3">
        <w:rPr>
          <w:rFonts w:eastAsia="Malgun Gothic"/>
          <w:lang w:val="fr-FR"/>
        </w:rPr>
        <w:t xml:space="preserve"> années, la Convention a</w:t>
      </w:r>
      <w:r w:rsidR="00415409">
        <w:rPr>
          <w:rFonts w:eastAsia="Malgun Gothic"/>
          <w:lang w:val="fr-FR"/>
        </w:rPr>
        <w:t>vait</w:t>
      </w:r>
      <w:r w:rsidRPr="00D659A3">
        <w:rPr>
          <w:rFonts w:eastAsia="Malgun Gothic"/>
          <w:lang w:val="fr-FR"/>
        </w:rPr>
        <w:t xml:space="preserve"> connu un succès impressionnant, à la fois </w:t>
      </w:r>
      <w:r w:rsidR="00415409">
        <w:rPr>
          <w:rFonts w:eastAsia="Malgun Gothic"/>
          <w:lang w:val="fr-FR"/>
        </w:rPr>
        <w:t>au regard du</w:t>
      </w:r>
      <w:r w:rsidRPr="00D659A3">
        <w:rPr>
          <w:rFonts w:eastAsia="Malgun Gothic"/>
          <w:lang w:val="fr-FR"/>
        </w:rPr>
        <w:t xml:space="preserve"> nombre d</w:t>
      </w:r>
      <w:r w:rsidR="00923E72">
        <w:rPr>
          <w:rFonts w:eastAsia="Malgun Gothic"/>
          <w:lang w:val="fr-FR"/>
        </w:rPr>
        <w:t>’</w:t>
      </w:r>
      <w:r w:rsidRPr="00D659A3">
        <w:rPr>
          <w:rFonts w:eastAsia="Malgun Gothic"/>
          <w:lang w:val="fr-FR"/>
        </w:rPr>
        <w:t>États parties</w:t>
      </w:r>
      <w:r w:rsidR="00415409">
        <w:rPr>
          <w:rFonts w:eastAsia="Malgun Gothic"/>
          <w:lang w:val="fr-FR"/>
        </w:rPr>
        <w:t xml:space="preserve"> et </w:t>
      </w:r>
      <w:r w:rsidRPr="00D659A3">
        <w:rPr>
          <w:rFonts w:eastAsia="Malgun Gothic"/>
          <w:lang w:val="fr-FR"/>
        </w:rPr>
        <w:t>d</w:t>
      </w:r>
      <w:r w:rsidR="00415409">
        <w:rPr>
          <w:rFonts w:eastAsia="Malgun Gothic"/>
          <w:lang w:val="fr-FR"/>
        </w:rPr>
        <w:t>e l</w:t>
      </w:r>
      <w:r w:rsidR="00923E72">
        <w:rPr>
          <w:rFonts w:eastAsia="Malgun Gothic"/>
          <w:lang w:val="fr-FR"/>
        </w:rPr>
        <w:t>’</w:t>
      </w:r>
      <w:r w:rsidRPr="00D659A3">
        <w:rPr>
          <w:rFonts w:eastAsia="Malgun Gothic"/>
          <w:lang w:val="fr-FR"/>
        </w:rPr>
        <w:t>intérêt croissant pour les inscriptions sur ses listes</w:t>
      </w:r>
      <w:r w:rsidR="00154A43">
        <w:rPr>
          <w:rFonts w:eastAsia="Malgun Gothic"/>
          <w:lang w:val="fr-FR"/>
        </w:rPr>
        <w:t xml:space="preserve">, </w:t>
      </w:r>
      <w:r w:rsidR="00A20C6F">
        <w:rPr>
          <w:rFonts w:eastAsia="Malgun Gothic"/>
          <w:lang w:val="fr-FR"/>
        </w:rPr>
        <w:t>et</w:t>
      </w:r>
      <w:r w:rsidR="00154A43">
        <w:rPr>
          <w:rFonts w:eastAsia="Malgun Gothic"/>
          <w:lang w:val="fr-FR"/>
        </w:rPr>
        <w:t>,</w:t>
      </w:r>
      <w:r w:rsidR="00A20C6F">
        <w:rPr>
          <w:rFonts w:eastAsia="Malgun Gothic"/>
          <w:lang w:val="fr-FR"/>
        </w:rPr>
        <w:t xml:space="preserve"> </w:t>
      </w:r>
      <w:r w:rsidRPr="00D659A3">
        <w:rPr>
          <w:rFonts w:eastAsia="Malgun Gothic"/>
          <w:lang w:val="fr-FR"/>
        </w:rPr>
        <w:t>surtout</w:t>
      </w:r>
      <w:r w:rsidR="00154A43">
        <w:rPr>
          <w:rFonts w:eastAsia="Malgun Gothic"/>
          <w:lang w:val="fr-FR"/>
        </w:rPr>
        <w:t>,</w:t>
      </w:r>
      <w:r w:rsidRPr="00D659A3">
        <w:rPr>
          <w:rFonts w:eastAsia="Malgun Gothic"/>
          <w:lang w:val="fr-FR"/>
        </w:rPr>
        <w:t xml:space="preserve"> en raison de l</w:t>
      </w:r>
      <w:r w:rsidR="00923E72">
        <w:rPr>
          <w:rFonts w:eastAsia="Malgun Gothic"/>
          <w:lang w:val="fr-FR"/>
        </w:rPr>
        <w:t>’</w:t>
      </w:r>
      <w:r w:rsidR="00A20C6F">
        <w:rPr>
          <w:rFonts w:eastAsia="Malgun Gothic"/>
          <w:lang w:val="fr-FR"/>
        </w:rPr>
        <w:t xml:space="preserve">importance reconnue </w:t>
      </w:r>
      <w:r w:rsidRPr="00D659A3">
        <w:rPr>
          <w:rFonts w:eastAsia="Malgun Gothic"/>
          <w:lang w:val="fr-FR"/>
        </w:rPr>
        <w:t>de la sauvegarde du patrimoine vivant.</w:t>
      </w:r>
    </w:p>
    <w:p w14:paraId="36F334A8" w14:textId="23474FF3" w:rsidR="00415409" w:rsidRDefault="0041540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15409">
        <w:rPr>
          <w:rFonts w:eastAsia="Malgun Gothic"/>
          <w:lang w:val="fr-FR"/>
        </w:rPr>
        <w:t xml:space="preserve">La délégation de la </w:t>
      </w:r>
      <w:r w:rsidRPr="00415409">
        <w:rPr>
          <w:rFonts w:eastAsia="Malgun Gothic"/>
          <w:b/>
          <w:bCs/>
          <w:lang w:val="fr-FR"/>
        </w:rPr>
        <w:t>Suisse</w:t>
      </w:r>
      <w:r w:rsidRPr="00415409">
        <w:rPr>
          <w:rFonts w:eastAsia="Malgun Gothic"/>
          <w:lang w:val="fr-FR"/>
        </w:rPr>
        <w:t xml:space="preserve"> a</w:t>
      </w:r>
      <w:r w:rsidR="00BF554B">
        <w:rPr>
          <w:rFonts w:eastAsia="Malgun Gothic"/>
          <w:lang w:val="fr-FR"/>
        </w:rPr>
        <w:t xml:space="preserve"> ensuite</w:t>
      </w:r>
      <w:r w:rsidRPr="00415409">
        <w:rPr>
          <w:rFonts w:eastAsia="Malgun Gothic"/>
          <w:lang w:val="fr-FR"/>
        </w:rPr>
        <w:t xml:space="preserve"> fait deux remarques sur les priorités pour les prochaines années. Tout d</w:t>
      </w:r>
      <w:r w:rsidR="00923E72">
        <w:rPr>
          <w:rFonts w:eastAsia="Malgun Gothic"/>
          <w:lang w:val="fr-FR"/>
        </w:rPr>
        <w:t>’</w:t>
      </w:r>
      <w:r w:rsidRPr="00415409">
        <w:rPr>
          <w:rFonts w:eastAsia="Malgun Gothic"/>
          <w:lang w:val="fr-FR"/>
        </w:rPr>
        <w:t xml:space="preserve">abord, </w:t>
      </w:r>
      <w:r w:rsidR="003F14DF">
        <w:rPr>
          <w:rFonts w:eastAsia="Malgun Gothic"/>
          <w:lang w:val="fr-FR"/>
        </w:rPr>
        <w:t xml:space="preserve">elle a rappelé que </w:t>
      </w:r>
      <w:r w:rsidRPr="00415409">
        <w:rPr>
          <w:rFonts w:eastAsia="Malgun Gothic"/>
          <w:lang w:val="fr-FR"/>
        </w:rPr>
        <w:t xml:space="preserve">le patrimoine culturel, sous ses différentes formes et expressions, doit être pris en compte comme une ressource essentielle pour le développement durable. Ensuite, face à une réalité </w:t>
      </w:r>
      <w:r>
        <w:rPr>
          <w:rFonts w:eastAsia="Malgun Gothic"/>
          <w:lang w:val="fr-FR"/>
        </w:rPr>
        <w:t xml:space="preserve">numérique uniformisée </w:t>
      </w:r>
      <w:r w:rsidRPr="00415409">
        <w:rPr>
          <w:rFonts w:eastAsia="Malgun Gothic"/>
          <w:lang w:val="fr-FR"/>
        </w:rPr>
        <w:t>qui envahit chaque jour davantage nos espaces</w:t>
      </w:r>
      <w:r w:rsidR="00154A43">
        <w:rPr>
          <w:rFonts w:eastAsia="Malgun Gothic"/>
          <w:lang w:val="fr-FR"/>
        </w:rPr>
        <w:t xml:space="preserve">, </w:t>
      </w:r>
      <w:r w:rsidRPr="00415409">
        <w:rPr>
          <w:rFonts w:eastAsia="Malgun Gothic"/>
          <w:lang w:val="fr-FR"/>
        </w:rPr>
        <w:t xml:space="preserve">y compris </w:t>
      </w:r>
      <w:r w:rsidR="00154A43">
        <w:rPr>
          <w:rFonts w:eastAsia="Malgun Gothic"/>
          <w:lang w:val="fr-FR"/>
        </w:rPr>
        <w:t xml:space="preserve">nos espaces </w:t>
      </w:r>
      <w:r w:rsidRPr="00415409">
        <w:rPr>
          <w:rFonts w:eastAsia="Malgun Gothic"/>
          <w:lang w:val="fr-FR"/>
        </w:rPr>
        <w:t xml:space="preserve">mentaux, la préservation des traditions vivantes, riches et variées, </w:t>
      </w:r>
      <w:r w:rsidR="00BF554B">
        <w:rPr>
          <w:rFonts w:eastAsia="Malgun Gothic"/>
          <w:lang w:val="fr-FR"/>
        </w:rPr>
        <w:t>était</w:t>
      </w:r>
      <w:r w:rsidRPr="00415409">
        <w:rPr>
          <w:rFonts w:eastAsia="Malgun Gothic"/>
          <w:lang w:val="fr-FR"/>
        </w:rPr>
        <w:t xml:space="preserve"> vitale pour notre humanité commune. La délégation a demandé au Secrétariat des précisions sur les activités prévues</w:t>
      </w:r>
      <w:r w:rsidR="003F14DF">
        <w:rPr>
          <w:rFonts w:eastAsia="Malgun Gothic"/>
          <w:lang w:val="fr-FR"/>
        </w:rPr>
        <w:t xml:space="preserve"> pour l</w:t>
      </w:r>
      <w:r w:rsidR="00923E72">
        <w:rPr>
          <w:rFonts w:eastAsia="Malgun Gothic"/>
          <w:lang w:val="fr-FR"/>
        </w:rPr>
        <w:t>’</w:t>
      </w:r>
      <w:r w:rsidR="003F14DF">
        <w:rPr>
          <w:rFonts w:eastAsia="Malgun Gothic"/>
          <w:lang w:val="fr-FR"/>
        </w:rPr>
        <w:t>anniversaire</w:t>
      </w:r>
      <w:r w:rsidRPr="00415409">
        <w:rPr>
          <w:rFonts w:eastAsia="Malgun Gothic"/>
          <w:lang w:val="fr-FR"/>
        </w:rPr>
        <w:t xml:space="preserve">, notamment </w:t>
      </w:r>
      <w:r w:rsidR="003F14DF">
        <w:rPr>
          <w:rFonts w:eastAsia="Malgun Gothic"/>
          <w:lang w:val="fr-FR"/>
        </w:rPr>
        <w:t xml:space="preserve">en ce qui concerne </w:t>
      </w:r>
      <w:r w:rsidRPr="00415409">
        <w:rPr>
          <w:rFonts w:eastAsia="Malgun Gothic"/>
          <w:lang w:val="fr-FR"/>
        </w:rPr>
        <w:t>la campagne</w:t>
      </w:r>
      <w:r w:rsidR="00BF554B">
        <w:rPr>
          <w:rFonts w:eastAsia="Malgun Gothic"/>
          <w:lang w:val="fr-FR"/>
        </w:rPr>
        <w:t xml:space="preserve"> globale</w:t>
      </w:r>
      <w:r w:rsidRPr="00415409">
        <w:rPr>
          <w:rFonts w:eastAsia="Malgun Gothic"/>
          <w:lang w:val="fr-FR"/>
        </w:rPr>
        <w:t xml:space="preserve">, les événements de célébration et les initiatives de communication. Ces informations concrètes seraient utiles pour assurer </w:t>
      </w:r>
      <w:r w:rsidR="00BF554B">
        <w:rPr>
          <w:rFonts w:eastAsia="Malgun Gothic"/>
          <w:lang w:val="fr-FR"/>
        </w:rPr>
        <w:t>une</w:t>
      </w:r>
      <w:r w:rsidRPr="00415409">
        <w:rPr>
          <w:rFonts w:eastAsia="Malgun Gothic"/>
          <w:lang w:val="fr-FR"/>
        </w:rPr>
        <w:t xml:space="preserve"> coordination et </w:t>
      </w:r>
      <w:r w:rsidR="00BF554B">
        <w:rPr>
          <w:rFonts w:eastAsia="Malgun Gothic"/>
          <w:lang w:val="fr-FR"/>
        </w:rPr>
        <w:t>une</w:t>
      </w:r>
      <w:r w:rsidRPr="00415409">
        <w:rPr>
          <w:rFonts w:eastAsia="Malgun Gothic"/>
          <w:lang w:val="fr-FR"/>
        </w:rPr>
        <w:t xml:space="preserve"> complémentarité avec les activités que les États parties pourraient développer en</w:t>
      </w:r>
      <w:r w:rsidR="00246428">
        <w:rPr>
          <w:rFonts w:eastAsia="Malgun Gothic"/>
          <w:lang w:val="fr-FR"/>
        </w:rPr>
        <w:t> </w:t>
      </w:r>
      <w:r w:rsidRPr="00415409">
        <w:rPr>
          <w:rFonts w:eastAsia="Malgun Gothic"/>
          <w:lang w:val="fr-FR"/>
        </w:rPr>
        <w:t xml:space="preserve">2023. </w:t>
      </w:r>
      <w:r w:rsidR="003F14DF">
        <w:rPr>
          <w:rFonts w:eastAsia="Malgun Gothic"/>
          <w:lang w:val="fr-FR"/>
        </w:rPr>
        <w:t>S</w:t>
      </w:r>
      <w:r w:rsidR="00923E72">
        <w:rPr>
          <w:rFonts w:eastAsia="Malgun Gothic"/>
          <w:lang w:val="fr-FR"/>
        </w:rPr>
        <w:t>’</w:t>
      </w:r>
      <w:r w:rsidRPr="00415409">
        <w:rPr>
          <w:rFonts w:eastAsia="Malgun Gothic"/>
          <w:lang w:val="fr-FR"/>
        </w:rPr>
        <w:t>agissant de l</w:t>
      </w:r>
      <w:r w:rsidR="00923E72">
        <w:rPr>
          <w:rFonts w:eastAsia="Malgun Gothic"/>
          <w:lang w:val="fr-FR"/>
        </w:rPr>
        <w:t>’</w:t>
      </w:r>
      <w:r w:rsidRPr="00415409">
        <w:rPr>
          <w:rFonts w:eastAsia="Malgun Gothic"/>
          <w:lang w:val="fr-FR"/>
        </w:rPr>
        <w:t>utilisation de l</w:t>
      </w:r>
      <w:r w:rsidR="00923E72">
        <w:rPr>
          <w:rFonts w:eastAsia="Malgun Gothic"/>
          <w:lang w:val="fr-FR"/>
        </w:rPr>
        <w:t>’</w:t>
      </w:r>
      <w:r w:rsidRPr="00415409">
        <w:rPr>
          <w:rFonts w:eastAsia="Malgun Gothic"/>
          <w:lang w:val="fr-FR"/>
        </w:rPr>
        <w:t>emblème de la Convention, la délégation estim</w:t>
      </w:r>
      <w:r w:rsidR="00BF554B">
        <w:rPr>
          <w:rFonts w:eastAsia="Malgun Gothic"/>
          <w:lang w:val="fr-FR"/>
        </w:rPr>
        <w:t xml:space="preserve">ait </w:t>
      </w:r>
      <w:r w:rsidRPr="00415409">
        <w:rPr>
          <w:rFonts w:eastAsia="Malgun Gothic"/>
          <w:lang w:val="fr-FR"/>
        </w:rPr>
        <w:t>qu</w:t>
      </w:r>
      <w:r w:rsidR="00923E72">
        <w:rPr>
          <w:rFonts w:eastAsia="Malgun Gothic"/>
          <w:lang w:val="fr-FR"/>
        </w:rPr>
        <w:t>’</w:t>
      </w:r>
      <w:r w:rsidRPr="00415409">
        <w:rPr>
          <w:rFonts w:eastAsia="Malgun Gothic"/>
          <w:lang w:val="fr-FR"/>
        </w:rPr>
        <w:t xml:space="preserve">il pourrait être mieux </w:t>
      </w:r>
      <w:r w:rsidR="003F14DF">
        <w:rPr>
          <w:rFonts w:eastAsia="Malgun Gothic"/>
          <w:lang w:val="fr-FR"/>
        </w:rPr>
        <w:t xml:space="preserve">utilisé pour assurer </w:t>
      </w:r>
      <w:r w:rsidRPr="00415409">
        <w:rPr>
          <w:rFonts w:eastAsia="Malgun Gothic"/>
          <w:lang w:val="fr-FR"/>
        </w:rPr>
        <w:t>une communication efficace. En effet, les conditions d</w:t>
      </w:r>
      <w:r w:rsidR="00923E72">
        <w:rPr>
          <w:rFonts w:eastAsia="Malgun Gothic"/>
          <w:lang w:val="fr-FR"/>
        </w:rPr>
        <w:t>’</w:t>
      </w:r>
      <w:r w:rsidRPr="00415409">
        <w:rPr>
          <w:rFonts w:eastAsia="Malgun Gothic"/>
          <w:lang w:val="fr-FR"/>
        </w:rPr>
        <w:t xml:space="preserve">utilisation </w:t>
      </w:r>
      <w:r w:rsidR="003F14DF">
        <w:rPr>
          <w:rFonts w:eastAsia="Malgun Gothic"/>
          <w:lang w:val="fr-FR"/>
        </w:rPr>
        <w:t>de l</w:t>
      </w:r>
      <w:r w:rsidR="00923E72">
        <w:rPr>
          <w:rFonts w:eastAsia="Malgun Gothic"/>
          <w:lang w:val="fr-FR"/>
        </w:rPr>
        <w:t>’</w:t>
      </w:r>
      <w:r w:rsidR="003F14DF">
        <w:rPr>
          <w:rFonts w:eastAsia="Malgun Gothic"/>
          <w:lang w:val="fr-FR"/>
        </w:rPr>
        <w:t>emblème</w:t>
      </w:r>
      <w:r w:rsidRPr="00415409">
        <w:rPr>
          <w:rFonts w:eastAsia="Malgun Gothic"/>
          <w:lang w:val="fr-FR"/>
        </w:rPr>
        <w:t xml:space="preserve"> étaient initialement restrictives </w:t>
      </w:r>
      <w:r w:rsidR="003F14DF">
        <w:rPr>
          <w:rFonts w:eastAsia="Malgun Gothic"/>
          <w:lang w:val="fr-FR"/>
        </w:rPr>
        <w:t>afin d</w:t>
      </w:r>
      <w:r w:rsidR="00923E72">
        <w:rPr>
          <w:rFonts w:eastAsia="Malgun Gothic"/>
          <w:lang w:val="fr-FR"/>
        </w:rPr>
        <w:t>’</w:t>
      </w:r>
      <w:r w:rsidRPr="00415409">
        <w:rPr>
          <w:rFonts w:eastAsia="Malgun Gothic"/>
          <w:lang w:val="fr-FR"/>
        </w:rPr>
        <w:t xml:space="preserve">éviter les abus. </w:t>
      </w:r>
      <w:r w:rsidR="00BF554B">
        <w:rPr>
          <w:rFonts w:eastAsia="Malgun Gothic"/>
          <w:lang w:val="fr-FR"/>
        </w:rPr>
        <w:t>Désormais</w:t>
      </w:r>
      <w:r w:rsidRPr="00415409">
        <w:rPr>
          <w:rFonts w:eastAsia="Malgun Gothic"/>
          <w:lang w:val="fr-FR"/>
        </w:rPr>
        <w:t xml:space="preserve">, elles </w:t>
      </w:r>
      <w:r w:rsidR="00BF554B">
        <w:rPr>
          <w:rFonts w:eastAsia="Malgun Gothic"/>
          <w:lang w:val="fr-FR"/>
        </w:rPr>
        <w:t>étaient</w:t>
      </w:r>
      <w:r w:rsidRPr="00415409">
        <w:rPr>
          <w:rFonts w:eastAsia="Malgun Gothic"/>
          <w:lang w:val="fr-FR"/>
        </w:rPr>
        <w:t xml:space="preserve"> </w:t>
      </w:r>
      <w:r w:rsidR="003F14DF">
        <w:rPr>
          <w:rFonts w:eastAsia="Malgun Gothic"/>
          <w:lang w:val="fr-FR"/>
        </w:rPr>
        <w:t xml:space="preserve">devenues </w:t>
      </w:r>
      <w:r w:rsidRPr="00415409">
        <w:rPr>
          <w:rFonts w:eastAsia="Malgun Gothic"/>
          <w:lang w:val="fr-FR"/>
        </w:rPr>
        <w:t xml:space="preserve">trop compliquées. </w:t>
      </w:r>
      <w:r w:rsidR="003F14DF">
        <w:rPr>
          <w:rFonts w:eastAsia="Malgun Gothic"/>
          <w:lang w:val="fr-FR"/>
        </w:rPr>
        <w:t xml:space="preserve">Le </w:t>
      </w:r>
      <w:r w:rsidRPr="00415409">
        <w:rPr>
          <w:rFonts w:eastAsia="Malgun Gothic"/>
          <w:lang w:val="fr-FR"/>
        </w:rPr>
        <w:t>Secrétariat</w:t>
      </w:r>
      <w:r w:rsidR="003F14DF">
        <w:rPr>
          <w:rFonts w:eastAsia="Malgun Gothic"/>
          <w:lang w:val="fr-FR"/>
        </w:rPr>
        <w:t xml:space="preserve"> pourrait donc</w:t>
      </w:r>
      <w:r w:rsidRPr="00415409">
        <w:rPr>
          <w:rFonts w:eastAsia="Malgun Gothic"/>
          <w:lang w:val="fr-FR"/>
        </w:rPr>
        <w:t xml:space="preserve"> simplifier les conditions d</w:t>
      </w:r>
      <w:r w:rsidR="00923E72">
        <w:rPr>
          <w:rFonts w:eastAsia="Malgun Gothic"/>
          <w:lang w:val="fr-FR"/>
        </w:rPr>
        <w:t>’</w:t>
      </w:r>
      <w:r w:rsidRPr="00415409">
        <w:rPr>
          <w:rFonts w:eastAsia="Malgun Gothic"/>
          <w:lang w:val="fr-FR"/>
        </w:rPr>
        <w:t>obtention de l</w:t>
      </w:r>
      <w:r w:rsidR="00923E72">
        <w:rPr>
          <w:rFonts w:eastAsia="Malgun Gothic"/>
          <w:lang w:val="fr-FR"/>
        </w:rPr>
        <w:t>’</w:t>
      </w:r>
      <w:r w:rsidRPr="00415409">
        <w:rPr>
          <w:rFonts w:eastAsia="Malgun Gothic"/>
          <w:lang w:val="fr-FR"/>
        </w:rPr>
        <w:t>emblème afin qu</w:t>
      </w:r>
      <w:r w:rsidR="00923E72">
        <w:rPr>
          <w:rFonts w:eastAsia="Malgun Gothic"/>
          <w:lang w:val="fr-FR"/>
        </w:rPr>
        <w:t>’</w:t>
      </w:r>
      <w:r w:rsidRPr="00415409">
        <w:rPr>
          <w:rFonts w:eastAsia="Malgun Gothic"/>
          <w:lang w:val="fr-FR"/>
        </w:rPr>
        <w:t xml:space="preserve">il </w:t>
      </w:r>
      <w:r w:rsidR="003F14DF">
        <w:rPr>
          <w:rFonts w:eastAsia="Malgun Gothic"/>
          <w:lang w:val="fr-FR"/>
        </w:rPr>
        <w:t xml:space="preserve">puisse être utilisé </w:t>
      </w:r>
      <w:r w:rsidRPr="00415409">
        <w:rPr>
          <w:rFonts w:eastAsia="Malgun Gothic"/>
          <w:lang w:val="fr-FR"/>
        </w:rPr>
        <w:t xml:space="preserve">plus efficacement </w:t>
      </w:r>
      <w:r w:rsidR="003F14DF">
        <w:rPr>
          <w:rFonts w:eastAsia="Malgun Gothic"/>
          <w:lang w:val="fr-FR"/>
        </w:rPr>
        <w:t xml:space="preserve">pour </w:t>
      </w:r>
      <w:r w:rsidRPr="00415409">
        <w:rPr>
          <w:rFonts w:eastAsia="Malgun Gothic"/>
          <w:lang w:val="fr-FR"/>
        </w:rPr>
        <w:t>la reconnaissance du patrimoine immatériel</w:t>
      </w:r>
      <w:r w:rsidR="003F14DF">
        <w:rPr>
          <w:rFonts w:eastAsia="Malgun Gothic"/>
          <w:lang w:val="fr-FR"/>
        </w:rPr>
        <w:t xml:space="preserve">, </w:t>
      </w:r>
      <w:r w:rsidR="003F14DF" w:rsidRPr="003F14DF">
        <w:rPr>
          <w:rFonts w:eastAsia="Malgun Gothic"/>
          <w:lang w:val="fr-FR"/>
        </w:rPr>
        <w:t xml:space="preserve">en particulier </w:t>
      </w:r>
      <w:r w:rsidR="003F14DF" w:rsidRPr="00415409">
        <w:rPr>
          <w:rFonts w:eastAsia="Malgun Gothic"/>
          <w:lang w:val="fr-FR"/>
        </w:rPr>
        <w:t>à l</w:t>
      </w:r>
      <w:r w:rsidR="00923E72">
        <w:rPr>
          <w:rFonts w:eastAsia="Malgun Gothic"/>
          <w:lang w:val="fr-FR"/>
        </w:rPr>
        <w:t>’</w:t>
      </w:r>
      <w:r w:rsidR="003F14DF" w:rsidRPr="00415409">
        <w:rPr>
          <w:rFonts w:eastAsia="Malgun Gothic"/>
          <w:lang w:val="fr-FR"/>
        </w:rPr>
        <w:t>occasion du vingtième anniversaire de la Convention et au-delà</w:t>
      </w:r>
      <w:r w:rsidR="003F14DF">
        <w:rPr>
          <w:rFonts w:eastAsia="Malgun Gothic"/>
          <w:lang w:val="fr-FR"/>
        </w:rPr>
        <w:t>.</w:t>
      </w:r>
    </w:p>
    <w:p w14:paraId="76F30886" w14:textId="3D05612C" w:rsidR="00BF554B" w:rsidRDefault="00BF554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BF554B">
        <w:rPr>
          <w:rFonts w:eastAsia="Malgun Gothic"/>
          <w:lang w:val="fr-FR"/>
        </w:rPr>
        <w:t xml:space="preserve">La délégation du </w:t>
      </w:r>
      <w:r w:rsidRPr="00BF554B">
        <w:rPr>
          <w:rFonts w:eastAsia="Malgun Gothic"/>
          <w:b/>
          <w:bCs/>
          <w:lang w:val="fr-FR"/>
        </w:rPr>
        <w:t>Brésil</w:t>
      </w:r>
      <w:r w:rsidRPr="00BF554B">
        <w:rPr>
          <w:rFonts w:eastAsia="Malgun Gothic"/>
          <w:lang w:val="fr-FR"/>
        </w:rPr>
        <w:t xml:space="preserve"> a remercié le </w:t>
      </w:r>
      <w:r>
        <w:rPr>
          <w:rFonts w:eastAsia="Malgun Gothic"/>
          <w:lang w:val="fr-FR"/>
        </w:rPr>
        <w:t>G</w:t>
      </w:r>
      <w:r w:rsidRPr="00BF554B">
        <w:rPr>
          <w:rFonts w:eastAsia="Malgun Gothic"/>
          <w:lang w:val="fr-FR"/>
        </w:rPr>
        <w:t xml:space="preserve">ouvernement du Maroc pour </w:t>
      </w:r>
      <w:r w:rsidR="003F14DF">
        <w:rPr>
          <w:rFonts w:eastAsia="Malgun Gothic"/>
          <w:lang w:val="fr-FR"/>
        </w:rPr>
        <w:t xml:space="preserve">son </w:t>
      </w:r>
      <w:r w:rsidRPr="00BF554B">
        <w:rPr>
          <w:rFonts w:eastAsia="Malgun Gothic"/>
          <w:lang w:val="fr-FR"/>
        </w:rPr>
        <w:t>accueil chaleureux. Elle a félicité le Secrétaire et le Secrétariat pour l</w:t>
      </w:r>
      <w:r w:rsidR="003F14DF">
        <w:rPr>
          <w:rFonts w:eastAsia="Malgun Gothic"/>
          <w:lang w:val="fr-FR"/>
        </w:rPr>
        <w:t>e</w:t>
      </w:r>
      <w:r w:rsidRPr="00BF554B">
        <w:rPr>
          <w:rFonts w:eastAsia="Malgun Gothic"/>
          <w:lang w:val="fr-FR"/>
        </w:rPr>
        <w:t xml:space="preserve"> travail précieux et le rapport complet. </w:t>
      </w:r>
      <w:r w:rsidR="003F14DF">
        <w:rPr>
          <w:rFonts w:eastAsia="Malgun Gothic"/>
          <w:lang w:val="fr-FR"/>
        </w:rPr>
        <w:t>L</w:t>
      </w:r>
      <w:r w:rsidR="00923E72">
        <w:rPr>
          <w:rFonts w:eastAsia="Malgun Gothic"/>
          <w:lang w:val="fr-FR"/>
        </w:rPr>
        <w:t>’</w:t>
      </w:r>
      <w:r w:rsidRPr="00BF554B">
        <w:rPr>
          <w:rFonts w:eastAsia="Malgun Gothic"/>
          <w:lang w:val="fr-FR"/>
        </w:rPr>
        <w:t>achèvement des travaux relatifs à la réflexion globale sur les mécanismes d</w:t>
      </w:r>
      <w:r w:rsidR="00923E72">
        <w:rPr>
          <w:rFonts w:eastAsia="Malgun Gothic"/>
          <w:lang w:val="fr-FR"/>
        </w:rPr>
        <w:t>’</w:t>
      </w:r>
      <w:r w:rsidRPr="00BF554B">
        <w:rPr>
          <w:rFonts w:eastAsia="Malgun Gothic"/>
          <w:lang w:val="fr-FR"/>
        </w:rPr>
        <w:t>inscription</w:t>
      </w:r>
      <w:r w:rsidR="006F1561">
        <w:rPr>
          <w:rFonts w:eastAsia="Malgun Gothic"/>
          <w:lang w:val="fr-FR"/>
        </w:rPr>
        <w:t xml:space="preserve"> </w:t>
      </w:r>
      <w:r w:rsidRPr="00BF554B">
        <w:rPr>
          <w:rFonts w:eastAsia="Malgun Gothic"/>
          <w:lang w:val="fr-FR"/>
        </w:rPr>
        <w:t>de la Convention était particulièrement important. En</w:t>
      </w:r>
      <w:r w:rsidR="00246428">
        <w:rPr>
          <w:rFonts w:eastAsia="Malgun Gothic"/>
          <w:lang w:val="fr-FR"/>
        </w:rPr>
        <w:t> 2023</w:t>
      </w:r>
      <w:r w:rsidRPr="00BF554B">
        <w:rPr>
          <w:rFonts w:eastAsia="Malgun Gothic"/>
          <w:lang w:val="fr-FR"/>
        </w:rPr>
        <w:t xml:space="preserve">, la Convention </w:t>
      </w:r>
      <w:r w:rsidR="00E721B0">
        <w:rPr>
          <w:rFonts w:eastAsia="Malgun Gothic"/>
          <w:lang w:val="fr-FR"/>
        </w:rPr>
        <w:t>célébrerait son vingtième</w:t>
      </w:r>
      <w:r w:rsidRPr="00BF554B">
        <w:rPr>
          <w:rFonts w:eastAsia="Malgun Gothic"/>
          <w:lang w:val="fr-FR"/>
        </w:rPr>
        <w:t xml:space="preserve"> anniversaire. Le Brésil a</w:t>
      </w:r>
      <w:r w:rsidR="00E721B0">
        <w:rPr>
          <w:rFonts w:eastAsia="Malgun Gothic"/>
          <w:lang w:val="fr-FR"/>
        </w:rPr>
        <w:t>vait</w:t>
      </w:r>
      <w:r w:rsidRPr="00BF554B">
        <w:rPr>
          <w:rFonts w:eastAsia="Malgun Gothic"/>
          <w:lang w:val="fr-FR"/>
        </w:rPr>
        <w:t xml:space="preserve"> joué un rôle actif dans les premières négociations de </w:t>
      </w:r>
      <w:r w:rsidR="003F14DF">
        <w:rPr>
          <w:rFonts w:eastAsia="Malgun Gothic"/>
          <w:lang w:val="fr-FR"/>
        </w:rPr>
        <w:t xml:space="preserve">la </w:t>
      </w:r>
      <w:r w:rsidRPr="00BF554B">
        <w:rPr>
          <w:rFonts w:eastAsia="Malgun Gothic"/>
          <w:lang w:val="fr-FR"/>
        </w:rPr>
        <w:t xml:space="preserve">Convention et </w:t>
      </w:r>
      <w:r w:rsidR="00E721B0">
        <w:rPr>
          <w:rFonts w:eastAsia="Malgun Gothic"/>
          <w:lang w:val="fr-FR"/>
        </w:rPr>
        <w:t>était</w:t>
      </w:r>
      <w:r w:rsidRPr="00BF554B">
        <w:rPr>
          <w:rFonts w:eastAsia="Malgun Gothic"/>
          <w:lang w:val="fr-FR"/>
        </w:rPr>
        <w:t xml:space="preserve"> enthousiaste à l</w:t>
      </w:r>
      <w:r w:rsidR="00923E72">
        <w:rPr>
          <w:rFonts w:eastAsia="Malgun Gothic"/>
          <w:lang w:val="fr-FR"/>
        </w:rPr>
        <w:t>’</w:t>
      </w:r>
      <w:r w:rsidRPr="00BF554B">
        <w:rPr>
          <w:rFonts w:eastAsia="Malgun Gothic"/>
          <w:lang w:val="fr-FR"/>
        </w:rPr>
        <w:t>idée d</w:t>
      </w:r>
      <w:r w:rsidR="00923E72">
        <w:rPr>
          <w:rFonts w:eastAsia="Malgun Gothic"/>
          <w:lang w:val="fr-FR"/>
        </w:rPr>
        <w:t>’</w:t>
      </w:r>
      <w:r w:rsidRPr="00BF554B">
        <w:rPr>
          <w:rFonts w:eastAsia="Malgun Gothic"/>
          <w:lang w:val="fr-FR"/>
        </w:rPr>
        <w:t xml:space="preserve">approfondir la compréhension mondiale du potentiel que représente le patrimoine culturel immatériel pour surmonter les inégalités sociales et favoriser le développement durable. Au cours de ces </w:t>
      </w:r>
      <w:r w:rsidR="00E721B0">
        <w:rPr>
          <w:rFonts w:eastAsia="Malgun Gothic"/>
          <w:lang w:val="fr-FR"/>
        </w:rPr>
        <w:t>vingt</w:t>
      </w:r>
      <w:r w:rsidRPr="00BF554B">
        <w:rPr>
          <w:rFonts w:eastAsia="Malgun Gothic"/>
          <w:lang w:val="fr-FR"/>
        </w:rPr>
        <w:t xml:space="preserve"> années, la Convention a</w:t>
      </w:r>
      <w:r w:rsidR="00E721B0">
        <w:rPr>
          <w:rFonts w:eastAsia="Malgun Gothic"/>
          <w:lang w:val="fr-FR"/>
        </w:rPr>
        <w:t>vait</w:t>
      </w:r>
      <w:r w:rsidRPr="00BF554B">
        <w:rPr>
          <w:rFonts w:eastAsia="Malgun Gothic"/>
          <w:lang w:val="fr-FR"/>
        </w:rPr>
        <w:t xml:space="preserve"> eu un impact profond sur le Brésil. La délégation a partagé un exemple emblématique à cet égard</w:t>
      </w:r>
      <w:r w:rsidR="00607C22">
        <w:rPr>
          <w:rFonts w:eastAsia="Malgun Gothic"/>
          <w:lang w:val="fr-FR"/>
        </w:rPr>
        <w:t>,</w:t>
      </w:r>
      <w:r w:rsidR="00E721B0">
        <w:rPr>
          <w:rFonts w:eastAsia="Malgun Gothic"/>
          <w:lang w:val="fr-FR"/>
        </w:rPr>
        <w:t xml:space="preserve"> en évoquant</w:t>
      </w:r>
      <w:r w:rsidRPr="00BF554B">
        <w:rPr>
          <w:rFonts w:eastAsia="Malgun Gothic"/>
          <w:lang w:val="fr-FR"/>
        </w:rPr>
        <w:t xml:space="preserve"> </w:t>
      </w:r>
      <w:r w:rsidR="00E721B0">
        <w:rPr>
          <w:rFonts w:eastAsia="Malgun Gothic"/>
          <w:lang w:val="fr-FR"/>
        </w:rPr>
        <w:t>l</w:t>
      </w:r>
      <w:r w:rsidRPr="00BF554B">
        <w:rPr>
          <w:rFonts w:eastAsia="Malgun Gothic"/>
          <w:lang w:val="fr-FR"/>
        </w:rPr>
        <w:t xml:space="preserve">a fabrication artisanale du fromage </w:t>
      </w:r>
      <w:r w:rsidR="00E721B0" w:rsidRPr="00E721B0">
        <w:rPr>
          <w:rFonts w:eastAsia="Malgun Gothic"/>
          <w:i/>
          <w:iCs/>
          <w:lang w:val="fr-FR"/>
        </w:rPr>
        <w:t>m</w:t>
      </w:r>
      <w:r w:rsidRPr="00E721B0">
        <w:rPr>
          <w:rFonts w:eastAsia="Malgun Gothic"/>
          <w:i/>
          <w:iCs/>
          <w:lang w:val="fr-FR"/>
        </w:rPr>
        <w:t>inas</w:t>
      </w:r>
      <w:r w:rsidR="00E721B0">
        <w:rPr>
          <w:rFonts w:eastAsia="Malgun Gothic"/>
          <w:lang w:val="fr-FR"/>
        </w:rPr>
        <w:t xml:space="preserve">, </w:t>
      </w:r>
      <w:r w:rsidRPr="00BF554B">
        <w:rPr>
          <w:rFonts w:eastAsia="Malgun Gothic"/>
          <w:lang w:val="fr-FR"/>
        </w:rPr>
        <w:t>un élément culturel qui consiste en un savoir traditionnel dans la gestion de caractéristiques environnementales spécifiques enracinées dans la vie quotidienne des communautés de l</w:t>
      </w:r>
      <w:r w:rsidR="00923E72">
        <w:rPr>
          <w:rFonts w:eastAsia="Malgun Gothic"/>
          <w:lang w:val="fr-FR"/>
        </w:rPr>
        <w:t>’</w:t>
      </w:r>
      <w:r w:rsidRPr="00BF554B">
        <w:rPr>
          <w:rFonts w:eastAsia="Malgun Gothic"/>
          <w:lang w:val="fr-FR"/>
        </w:rPr>
        <w:t xml:space="preserve">État de Minas Gerais. Dans les années 1990, ces connaissances traditionnelles avaient </w:t>
      </w:r>
      <w:r w:rsidR="00E721B0">
        <w:rPr>
          <w:rFonts w:eastAsia="Malgun Gothic"/>
          <w:lang w:val="fr-FR"/>
        </w:rPr>
        <w:t xml:space="preserve">eu </w:t>
      </w:r>
      <w:r w:rsidRPr="00BF554B">
        <w:rPr>
          <w:rFonts w:eastAsia="Malgun Gothic"/>
          <w:lang w:val="fr-FR"/>
        </w:rPr>
        <w:t>besoin d</w:t>
      </w:r>
      <w:r w:rsidR="00923E72">
        <w:rPr>
          <w:rFonts w:eastAsia="Malgun Gothic"/>
          <w:lang w:val="fr-FR"/>
        </w:rPr>
        <w:t>’</w:t>
      </w:r>
      <w:r w:rsidRPr="00BF554B">
        <w:rPr>
          <w:rFonts w:eastAsia="Malgun Gothic"/>
          <w:lang w:val="fr-FR"/>
        </w:rPr>
        <w:t xml:space="preserve">être sauvegardées de toute urgence </w:t>
      </w:r>
      <w:r w:rsidR="00962AA8">
        <w:rPr>
          <w:rFonts w:eastAsia="Malgun Gothic"/>
          <w:lang w:val="fr-FR"/>
        </w:rPr>
        <w:t>et</w:t>
      </w:r>
      <w:r w:rsidR="00B51652">
        <w:rPr>
          <w:rFonts w:eastAsia="Malgun Gothic"/>
          <w:lang w:val="fr-FR"/>
        </w:rPr>
        <w:t>,</w:t>
      </w:r>
      <w:r w:rsidR="00962AA8">
        <w:rPr>
          <w:rFonts w:eastAsia="Malgun Gothic"/>
          <w:lang w:val="fr-FR"/>
        </w:rPr>
        <w:t xml:space="preserve"> </w:t>
      </w:r>
      <w:r w:rsidRPr="00BF554B">
        <w:rPr>
          <w:rFonts w:eastAsia="Malgun Gothic"/>
          <w:lang w:val="fr-FR"/>
        </w:rPr>
        <w:t xml:space="preserve">grâce à la réflexion </w:t>
      </w:r>
      <w:r w:rsidR="00607C22">
        <w:rPr>
          <w:rFonts w:eastAsia="Malgun Gothic"/>
          <w:lang w:val="fr-FR"/>
        </w:rPr>
        <w:t xml:space="preserve">menée </w:t>
      </w:r>
      <w:r w:rsidRPr="00BF554B">
        <w:rPr>
          <w:rFonts w:eastAsia="Malgun Gothic"/>
          <w:lang w:val="fr-FR"/>
        </w:rPr>
        <w:t>et aux enseignements tirés de la Convention, le Brésil a</w:t>
      </w:r>
      <w:r w:rsidR="00E721B0">
        <w:rPr>
          <w:rFonts w:eastAsia="Malgun Gothic"/>
          <w:lang w:val="fr-FR"/>
        </w:rPr>
        <w:t>vait</w:t>
      </w:r>
      <w:r w:rsidRPr="00BF554B">
        <w:rPr>
          <w:rFonts w:eastAsia="Malgun Gothic"/>
          <w:lang w:val="fr-FR"/>
        </w:rPr>
        <w:t xml:space="preserve"> pu mettre en œuvre des plans de sauvegarde avec les détenteurs afin de valoriser leurs connaissances et leurs techniques de production. </w:t>
      </w:r>
      <w:r w:rsidR="008807CB">
        <w:rPr>
          <w:rFonts w:eastAsia="Malgun Gothic"/>
          <w:lang w:val="fr-FR"/>
        </w:rPr>
        <w:t>L</w:t>
      </w:r>
      <w:r w:rsidR="006149D6">
        <w:rPr>
          <w:rFonts w:eastAsia="Malgun Gothic"/>
          <w:lang w:val="fr-FR"/>
        </w:rPr>
        <w:t xml:space="preserve">e Brésil </w:t>
      </w:r>
      <w:r w:rsidR="008807CB">
        <w:rPr>
          <w:rFonts w:eastAsia="Malgun Gothic"/>
          <w:lang w:val="fr-FR"/>
        </w:rPr>
        <w:t>était</w:t>
      </w:r>
      <w:r w:rsidRPr="00BF554B">
        <w:rPr>
          <w:rFonts w:eastAsia="Malgun Gothic"/>
          <w:lang w:val="fr-FR"/>
        </w:rPr>
        <w:t xml:space="preserve"> fier de partager le résultat de cette bonne pratique. La délégation a</w:t>
      </w:r>
      <w:r w:rsidR="008807CB">
        <w:rPr>
          <w:rFonts w:eastAsia="Malgun Gothic"/>
          <w:lang w:val="fr-FR"/>
        </w:rPr>
        <w:t>vait</w:t>
      </w:r>
      <w:r w:rsidRPr="00BF554B">
        <w:rPr>
          <w:rFonts w:eastAsia="Malgun Gothic"/>
          <w:lang w:val="fr-FR"/>
        </w:rPr>
        <w:t xml:space="preserve"> invité les détenteurs des communautés responsables de la sauvegarde de cet élément à être présents </w:t>
      </w:r>
      <w:r w:rsidR="006149D6">
        <w:rPr>
          <w:rFonts w:eastAsia="Malgun Gothic"/>
          <w:lang w:val="fr-FR"/>
        </w:rPr>
        <w:t>et l</w:t>
      </w:r>
      <w:r w:rsidRPr="00BF554B">
        <w:rPr>
          <w:rFonts w:eastAsia="Malgun Gothic"/>
          <w:lang w:val="fr-FR"/>
        </w:rPr>
        <w:t>es délég</w:t>
      </w:r>
      <w:r w:rsidR="006149D6">
        <w:rPr>
          <w:rFonts w:eastAsia="Malgun Gothic"/>
          <w:lang w:val="fr-FR"/>
        </w:rPr>
        <w:t>ués</w:t>
      </w:r>
      <w:r w:rsidRPr="00BF554B">
        <w:rPr>
          <w:rFonts w:eastAsia="Malgun Gothic"/>
          <w:lang w:val="fr-FR"/>
        </w:rPr>
        <w:t xml:space="preserve"> ont été </w:t>
      </w:r>
      <w:r w:rsidR="008807CB">
        <w:rPr>
          <w:rFonts w:eastAsia="Malgun Gothic"/>
          <w:lang w:val="fr-FR"/>
        </w:rPr>
        <w:t xml:space="preserve">conviés </w:t>
      </w:r>
      <w:r w:rsidRPr="00BF554B">
        <w:rPr>
          <w:rFonts w:eastAsia="Malgun Gothic"/>
          <w:lang w:val="fr-FR"/>
        </w:rPr>
        <w:t>à visiter l</w:t>
      </w:r>
      <w:r w:rsidR="008807CB">
        <w:rPr>
          <w:rFonts w:eastAsia="Malgun Gothic"/>
          <w:lang w:val="fr-FR"/>
        </w:rPr>
        <w:t xml:space="preserve">a petite </w:t>
      </w:r>
      <w:r w:rsidRPr="00BF554B">
        <w:rPr>
          <w:rFonts w:eastAsia="Malgun Gothic"/>
          <w:lang w:val="fr-FR"/>
        </w:rPr>
        <w:t>exposition</w:t>
      </w:r>
      <w:r w:rsidR="006149D6">
        <w:rPr>
          <w:rFonts w:eastAsia="Malgun Gothic"/>
          <w:lang w:val="fr-FR"/>
        </w:rPr>
        <w:t xml:space="preserve"> pendant la</w:t>
      </w:r>
      <w:r w:rsidRPr="00BF554B">
        <w:rPr>
          <w:rFonts w:eastAsia="Malgun Gothic"/>
          <w:lang w:val="fr-FR"/>
        </w:rPr>
        <w:t xml:space="preserve"> pause-café et à goûter un peu du savoir traditionnel et des saveurs du Brésil. Pour célébrer le vingtième anniversaire de la Convention, l</w:t>
      </w:r>
      <w:r w:rsidR="00923E72">
        <w:rPr>
          <w:rFonts w:eastAsia="Malgun Gothic"/>
          <w:lang w:val="fr-FR"/>
        </w:rPr>
        <w:t>’</w:t>
      </w:r>
      <w:r w:rsidRPr="00BF554B">
        <w:rPr>
          <w:rFonts w:eastAsia="Malgun Gothic"/>
          <w:lang w:val="fr-FR"/>
        </w:rPr>
        <w:t>Institut brésilien du patrimoine a</w:t>
      </w:r>
      <w:r w:rsidR="008807CB">
        <w:rPr>
          <w:rFonts w:eastAsia="Malgun Gothic"/>
          <w:lang w:val="fr-FR"/>
        </w:rPr>
        <w:t>vait</w:t>
      </w:r>
      <w:r w:rsidRPr="00BF554B">
        <w:rPr>
          <w:rFonts w:eastAsia="Malgun Gothic"/>
          <w:lang w:val="fr-FR"/>
        </w:rPr>
        <w:t xml:space="preserve"> entamé un cycle d</w:t>
      </w:r>
      <w:r w:rsidR="00923E72">
        <w:rPr>
          <w:rFonts w:eastAsia="Malgun Gothic"/>
          <w:lang w:val="fr-FR"/>
        </w:rPr>
        <w:t>’</w:t>
      </w:r>
      <w:r w:rsidRPr="00BF554B">
        <w:rPr>
          <w:rFonts w:eastAsia="Malgun Gothic"/>
          <w:lang w:val="fr-FR"/>
        </w:rPr>
        <w:t xml:space="preserve">activités et </w:t>
      </w:r>
      <w:r w:rsidRPr="00BF554B">
        <w:rPr>
          <w:rFonts w:eastAsia="Malgun Gothic"/>
          <w:lang w:val="fr-FR"/>
        </w:rPr>
        <w:lastRenderedPageBreak/>
        <w:t>d</w:t>
      </w:r>
      <w:r w:rsidR="00923E72">
        <w:rPr>
          <w:rFonts w:eastAsia="Malgun Gothic"/>
          <w:lang w:val="fr-FR"/>
        </w:rPr>
        <w:t>’</w:t>
      </w:r>
      <w:r w:rsidRPr="00BF554B">
        <w:rPr>
          <w:rFonts w:eastAsia="Malgun Gothic"/>
          <w:lang w:val="fr-FR"/>
        </w:rPr>
        <w:t xml:space="preserve">événements </w:t>
      </w:r>
      <w:r w:rsidR="005F1A04">
        <w:rPr>
          <w:rFonts w:eastAsia="Malgun Gothic"/>
          <w:lang w:val="fr-FR"/>
        </w:rPr>
        <w:t xml:space="preserve">sur </w:t>
      </w:r>
      <w:r w:rsidRPr="00BF554B">
        <w:rPr>
          <w:rFonts w:eastAsia="Malgun Gothic"/>
          <w:lang w:val="fr-FR"/>
        </w:rPr>
        <w:t>la diffusion des principes de la Convention</w:t>
      </w:r>
      <w:r w:rsidR="005F1A04">
        <w:rPr>
          <w:rFonts w:eastAsia="Malgun Gothic"/>
          <w:lang w:val="fr-FR"/>
        </w:rPr>
        <w:t xml:space="preserve"> ainsi que sur</w:t>
      </w:r>
      <w:r w:rsidRPr="00BF554B">
        <w:rPr>
          <w:rFonts w:eastAsia="Malgun Gothic"/>
          <w:lang w:val="fr-FR"/>
        </w:rPr>
        <w:t xml:space="preserve"> la sensibilisation à ces questions. </w:t>
      </w:r>
    </w:p>
    <w:p w14:paraId="7B5875CD" w14:textId="680C0514" w:rsidR="008023CC" w:rsidRDefault="008023CC" w:rsidP="00702497">
      <w:pPr>
        <w:pStyle w:val="Orateurengris"/>
        <w:numPr>
          <w:ilvl w:val="0"/>
          <w:numId w:val="21"/>
        </w:numPr>
        <w:tabs>
          <w:tab w:val="clear" w:pos="567"/>
          <w:tab w:val="clear" w:pos="1418"/>
          <w:tab w:val="clear" w:pos="2126"/>
          <w:tab w:val="clear" w:pos="2835"/>
          <w:tab w:val="num" w:pos="709"/>
          <w:tab w:val="left" w:pos="2977"/>
        </w:tabs>
        <w:spacing w:before="120" w:after="0"/>
        <w:ind w:left="709" w:hanging="709"/>
        <w:rPr>
          <w:rFonts w:eastAsia="Malgun Gothic"/>
          <w:lang w:val="fr-FR"/>
        </w:rPr>
      </w:pPr>
      <w:r w:rsidRPr="008023CC">
        <w:rPr>
          <w:rFonts w:eastAsia="Malgun Gothic"/>
          <w:lang w:val="fr-FR"/>
        </w:rPr>
        <w:t xml:space="preserve">La délégation du </w:t>
      </w:r>
      <w:r w:rsidRPr="008023CC">
        <w:rPr>
          <w:rFonts w:eastAsia="Malgun Gothic"/>
          <w:b/>
          <w:bCs/>
          <w:lang w:val="fr-FR"/>
        </w:rPr>
        <w:t>Rwanda</w:t>
      </w:r>
      <w:r w:rsidRPr="008023CC">
        <w:rPr>
          <w:rFonts w:eastAsia="Malgun Gothic"/>
          <w:lang w:val="fr-FR"/>
        </w:rPr>
        <w:t xml:space="preserve"> a félicité le Maroc pour l</w:t>
      </w:r>
      <w:r w:rsidR="00923E72">
        <w:rPr>
          <w:rFonts w:eastAsia="Malgun Gothic"/>
          <w:lang w:val="fr-FR"/>
        </w:rPr>
        <w:t>’</w:t>
      </w:r>
      <w:r w:rsidRPr="008023CC">
        <w:rPr>
          <w:rFonts w:eastAsia="Malgun Gothic"/>
          <w:lang w:val="fr-FR"/>
        </w:rPr>
        <w:t>excellente organisation du Comité</w:t>
      </w:r>
      <w:r w:rsidR="0065686B">
        <w:rPr>
          <w:rFonts w:eastAsia="Malgun Gothic"/>
          <w:lang w:val="fr-FR"/>
        </w:rPr>
        <w:t>,</w:t>
      </w:r>
      <w:r w:rsidRPr="008023CC">
        <w:rPr>
          <w:rFonts w:eastAsia="Malgun Gothic"/>
          <w:lang w:val="fr-FR"/>
        </w:rPr>
        <w:t xml:space="preserve"> qui</w:t>
      </w:r>
      <w:r w:rsidR="008E109E">
        <w:rPr>
          <w:rFonts w:eastAsia="Malgun Gothic"/>
          <w:lang w:val="fr-FR"/>
        </w:rPr>
        <w:t>,</w:t>
      </w:r>
      <w:r w:rsidRPr="008023CC">
        <w:rPr>
          <w:rFonts w:eastAsia="Malgun Gothic"/>
          <w:lang w:val="fr-FR"/>
        </w:rPr>
        <w:t xml:space="preserve"> après deux </w:t>
      </w:r>
      <w:r w:rsidR="008E109E" w:rsidRPr="008023CC">
        <w:rPr>
          <w:rFonts w:eastAsia="Malgun Gothic"/>
          <w:lang w:val="fr-FR"/>
        </w:rPr>
        <w:t>an</w:t>
      </w:r>
      <w:r w:rsidR="008E109E">
        <w:rPr>
          <w:rFonts w:eastAsia="Malgun Gothic"/>
          <w:lang w:val="fr-FR"/>
        </w:rPr>
        <w:t>nées</w:t>
      </w:r>
      <w:r w:rsidRPr="008023CC">
        <w:rPr>
          <w:rFonts w:eastAsia="Malgun Gothic"/>
          <w:lang w:val="fr-FR"/>
        </w:rPr>
        <w:t xml:space="preserve"> de session</w:t>
      </w:r>
      <w:r w:rsidR="008E109E">
        <w:rPr>
          <w:rFonts w:eastAsia="Malgun Gothic"/>
          <w:lang w:val="fr-FR"/>
        </w:rPr>
        <w:t>s</w:t>
      </w:r>
      <w:r w:rsidRPr="008023CC">
        <w:rPr>
          <w:rFonts w:eastAsia="Malgun Gothic"/>
          <w:lang w:val="fr-FR"/>
        </w:rPr>
        <w:t xml:space="preserve"> virtuelle</w:t>
      </w:r>
      <w:r w:rsidR="008E109E">
        <w:rPr>
          <w:rFonts w:eastAsia="Malgun Gothic"/>
          <w:lang w:val="fr-FR"/>
        </w:rPr>
        <w:t>s</w:t>
      </w:r>
      <w:r w:rsidRPr="008023CC">
        <w:rPr>
          <w:rFonts w:eastAsia="Malgun Gothic"/>
          <w:lang w:val="fr-FR"/>
        </w:rPr>
        <w:t xml:space="preserve">, </w:t>
      </w:r>
      <w:r w:rsidR="008E109E">
        <w:rPr>
          <w:rFonts w:eastAsia="Malgun Gothic"/>
          <w:lang w:val="fr-FR"/>
        </w:rPr>
        <w:t xml:space="preserve">permettait au Comité </w:t>
      </w:r>
      <w:r w:rsidRPr="008023CC">
        <w:rPr>
          <w:rFonts w:eastAsia="Malgun Gothic"/>
          <w:lang w:val="fr-FR"/>
        </w:rPr>
        <w:t xml:space="preserve">de se réunir. </w:t>
      </w:r>
      <w:r w:rsidR="008E109E">
        <w:rPr>
          <w:rFonts w:eastAsia="Malgun Gothic"/>
          <w:lang w:val="fr-FR"/>
        </w:rPr>
        <w:t xml:space="preserve">Elle </w:t>
      </w:r>
      <w:r>
        <w:rPr>
          <w:rFonts w:eastAsia="Malgun Gothic"/>
          <w:lang w:val="fr-FR"/>
        </w:rPr>
        <w:t xml:space="preserve">a </w:t>
      </w:r>
      <w:r w:rsidRPr="008023CC">
        <w:rPr>
          <w:rFonts w:eastAsia="Malgun Gothic"/>
          <w:lang w:val="fr-FR"/>
        </w:rPr>
        <w:t>remerci</w:t>
      </w:r>
      <w:r>
        <w:rPr>
          <w:rFonts w:eastAsia="Malgun Gothic"/>
          <w:lang w:val="fr-FR"/>
        </w:rPr>
        <w:t>é</w:t>
      </w:r>
      <w:r w:rsidRPr="008023CC">
        <w:rPr>
          <w:rFonts w:eastAsia="Malgun Gothic"/>
          <w:lang w:val="fr-FR"/>
        </w:rPr>
        <w:t xml:space="preserve"> le Secrétariat</w:t>
      </w:r>
      <w:r w:rsidR="008E109E">
        <w:rPr>
          <w:rFonts w:eastAsia="Malgun Gothic"/>
          <w:lang w:val="fr-FR"/>
        </w:rPr>
        <w:t xml:space="preserve"> </w:t>
      </w:r>
      <w:r w:rsidRPr="008023CC">
        <w:rPr>
          <w:rFonts w:eastAsia="Malgun Gothic"/>
          <w:lang w:val="fr-FR"/>
        </w:rPr>
        <w:t>pour la présentation de son rapport d</w:t>
      </w:r>
      <w:r w:rsidR="00923E72">
        <w:rPr>
          <w:rFonts w:eastAsia="Malgun Gothic"/>
          <w:lang w:val="fr-FR"/>
        </w:rPr>
        <w:t>’</w:t>
      </w:r>
      <w:r w:rsidRPr="008023CC">
        <w:rPr>
          <w:rFonts w:eastAsia="Malgun Gothic"/>
          <w:lang w:val="fr-FR"/>
        </w:rPr>
        <w:t>activités détaillé</w:t>
      </w:r>
      <w:r w:rsidR="0039442C">
        <w:rPr>
          <w:rFonts w:eastAsia="Malgun Gothic"/>
          <w:lang w:val="fr-FR"/>
        </w:rPr>
        <w:t>,</w:t>
      </w:r>
      <w:r w:rsidRPr="008023CC">
        <w:rPr>
          <w:rFonts w:eastAsia="Malgun Gothic"/>
          <w:lang w:val="fr-FR"/>
        </w:rPr>
        <w:t xml:space="preserve"> qui refl</w:t>
      </w:r>
      <w:r>
        <w:rPr>
          <w:rFonts w:eastAsia="Malgun Gothic"/>
          <w:lang w:val="fr-FR"/>
        </w:rPr>
        <w:t>était</w:t>
      </w:r>
      <w:r w:rsidRPr="008023CC">
        <w:rPr>
          <w:rFonts w:eastAsia="Malgun Gothic"/>
          <w:lang w:val="fr-FR"/>
        </w:rPr>
        <w:t xml:space="preserve"> l</w:t>
      </w:r>
      <w:r w:rsidR="00923E72">
        <w:rPr>
          <w:rFonts w:eastAsia="Malgun Gothic"/>
          <w:lang w:val="fr-FR"/>
        </w:rPr>
        <w:t>’</w:t>
      </w:r>
      <w:r w:rsidRPr="008023CC">
        <w:rPr>
          <w:rFonts w:eastAsia="Malgun Gothic"/>
          <w:lang w:val="fr-FR"/>
        </w:rPr>
        <w:t>intensité de son activité au cours de la période considérée</w:t>
      </w:r>
      <w:r w:rsidR="005766BC">
        <w:rPr>
          <w:rFonts w:eastAsia="Malgun Gothic"/>
          <w:lang w:val="fr-FR"/>
        </w:rPr>
        <w:t xml:space="preserve">, </w:t>
      </w:r>
      <w:r w:rsidR="008E109E">
        <w:rPr>
          <w:rFonts w:eastAsia="Malgun Gothic"/>
          <w:lang w:val="fr-FR"/>
        </w:rPr>
        <w:t xml:space="preserve">ainsi que </w:t>
      </w:r>
      <w:r w:rsidRPr="008023CC">
        <w:rPr>
          <w:rFonts w:eastAsia="Malgun Gothic"/>
          <w:lang w:val="fr-FR"/>
        </w:rPr>
        <w:t xml:space="preserve">pour la préparation efficace de cette réunion. Alors que les </w:t>
      </w:r>
      <w:r>
        <w:rPr>
          <w:rFonts w:eastAsia="Malgun Gothic"/>
          <w:lang w:val="fr-FR"/>
        </w:rPr>
        <w:t xml:space="preserve">impacts </w:t>
      </w:r>
      <w:r w:rsidRPr="008023CC">
        <w:rPr>
          <w:rFonts w:eastAsia="Malgun Gothic"/>
          <w:lang w:val="fr-FR"/>
        </w:rPr>
        <w:t>de la pandémie rest</w:t>
      </w:r>
      <w:r>
        <w:rPr>
          <w:rFonts w:eastAsia="Malgun Gothic"/>
          <w:lang w:val="fr-FR"/>
        </w:rPr>
        <w:t>ai</w:t>
      </w:r>
      <w:r w:rsidRPr="008023CC">
        <w:rPr>
          <w:rFonts w:eastAsia="Malgun Gothic"/>
          <w:lang w:val="fr-FR"/>
        </w:rPr>
        <w:t>ent importants dans de nombreuses régions du monde, la délégation a remercié le Secrétariat d</w:t>
      </w:r>
      <w:r w:rsidR="00923E72">
        <w:rPr>
          <w:rFonts w:eastAsia="Malgun Gothic"/>
          <w:lang w:val="fr-FR"/>
        </w:rPr>
        <w:t>’</w:t>
      </w:r>
      <w:r w:rsidRPr="008023CC">
        <w:rPr>
          <w:rFonts w:eastAsia="Malgun Gothic"/>
          <w:lang w:val="fr-FR"/>
        </w:rPr>
        <w:t>avoir pris toutes les mesures nécessaires pour garantir la continuité de la vie statutaire de la Convention, en particulier l</w:t>
      </w:r>
      <w:r w:rsidR="00923E72">
        <w:rPr>
          <w:rFonts w:eastAsia="Malgun Gothic"/>
          <w:lang w:val="fr-FR"/>
        </w:rPr>
        <w:t>’</w:t>
      </w:r>
      <w:r w:rsidRPr="008023CC">
        <w:rPr>
          <w:rFonts w:eastAsia="Malgun Gothic"/>
          <w:lang w:val="fr-FR"/>
        </w:rPr>
        <w:t>organisation de nombreuses réunions en ligne de l</w:t>
      </w:r>
      <w:r w:rsidR="00923E72">
        <w:rPr>
          <w:rFonts w:eastAsia="Malgun Gothic"/>
          <w:lang w:val="fr-FR"/>
        </w:rPr>
        <w:t>’</w:t>
      </w:r>
      <w:r w:rsidRPr="008023CC">
        <w:rPr>
          <w:rFonts w:eastAsia="Malgun Gothic"/>
          <w:lang w:val="fr-FR"/>
        </w:rPr>
        <w:t>Organe d</w:t>
      </w:r>
      <w:r w:rsidR="00923E72">
        <w:rPr>
          <w:rFonts w:eastAsia="Malgun Gothic"/>
          <w:lang w:val="fr-FR"/>
        </w:rPr>
        <w:t>’</w:t>
      </w:r>
      <w:r w:rsidRPr="008023CC">
        <w:rPr>
          <w:rFonts w:eastAsia="Malgun Gothic"/>
          <w:lang w:val="fr-FR"/>
        </w:rPr>
        <w:t>évaluation. Le Rwanda s</w:t>
      </w:r>
      <w:r w:rsidR="00923E72">
        <w:rPr>
          <w:rFonts w:eastAsia="Malgun Gothic"/>
          <w:lang w:val="fr-FR"/>
        </w:rPr>
        <w:t>’</w:t>
      </w:r>
      <w:r w:rsidRPr="008023CC">
        <w:rPr>
          <w:rFonts w:eastAsia="Malgun Gothic"/>
          <w:lang w:val="fr-FR"/>
        </w:rPr>
        <w:t>est félicité de la poursuite et du renforcement des capacités thématiques, en particulier le renforcement des capacités pour la sauvegarde du patrimoine dans les situations d</w:t>
      </w:r>
      <w:r w:rsidR="00923E72">
        <w:rPr>
          <w:rFonts w:eastAsia="Malgun Gothic"/>
          <w:lang w:val="fr-FR"/>
        </w:rPr>
        <w:t>’</w:t>
      </w:r>
      <w:r w:rsidRPr="008023CC">
        <w:rPr>
          <w:rFonts w:eastAsia="Malgun Gothic"/>
          <w:lang w:val="fr-FR"/>
        </w:rPr>
        <w:t>urgence</w:t>
      </w:r>
      <w:r w:rsidR="005766BC">
        <w:rPr>
          <w:rFonts w:eastAsia="Malgun Gothic"/>
          <w:lang w:val="fr-FR"/>
        </w:rPr>
        <w:t>,</w:t>
      </w:r>
      <w:r w:rsidRPr="008023CC">
        <w:rPr>
          <w:rFonts w:eastAsia="Malgun Gothic"/>
          <w:lang w:val="fr-FR"/>
        </w:rPr>
        <w:t xml:space="preserve"> et </w:t>
      </w:r>
      <w:r w:rsidR="008E109E">
        <w:rPr>
          <w:rFonts w:eastAsia="Malgun Gothic"/>
          <w:lang w:val="fr-FR"/>
        </w:rPr>
        <w:t xml:space="preserve">le PCI dans </w:t>
      </w:r>
      <w:r w:rsidRPr="008023CC">
        <w:rPr>
          <w:rFonts w:eastAsia="Malgun Gothic"/>
          <w:lang w:val="fr-FR"/>
        </w:rPr>
        <w:t>l</w:t>
      </w:r>
      <w:r w:rsidR="00923E72">
        <w:rPr>
          <w:rFonts w:eastAsia="Malgun Gothic"/>
          <w:lang w:val="fr-FR"/>
        </w:rPr>
        <w:t>’</w:t>
      </w:r>
      <w:r w:rsidRPr="008023CC">
        <w:rPr>
          <w:rFonts w:eastAsia="Malgun Gothic"/>
          <w:lang w:val="fr-FR"/>
        </w:rPr>
        <w:t xml:space="preserve">éducation. À cet égard, </w:t>
      </w:r>
      <w:r w:rsidR="008E109E">
        <w:rPr>
          <w:rFonts w:eastAsia="Malgun Gothic"/>
          <w:lang w:val="fr-FR"/>
        </w:rPr>
        <w:t xml:space="preserve">le Rwanda </w:t>
      </w:r>
      <w:r w:rsidRPr="008023CC">
        <w:rPr>
          <w:rFonts w:eastAsia="Malgun Gothic"/>
          <w:lang w:val="fr-FR"/>
        </w:rPr>
        <w:t>a noté avec satisfaction la récente mise en œuvre du projet sur le patrimoine vivant et l</w:t>
      </w:r>
      <w:r w:rsidR="00923E72">
        <w:rPr>
          <w:rFonts w:eastAsia="Malgun Gothic"/>
          <w:lang w:val="fr-FR"/>
        </w:rPr>
        <w:t>’</w:t>
      </w:r>
      <w:r w:rsidRPr="008023CC">
        <w:rPr>
          <w:rFonts w:eastAsia="Malgun Gothic"/>
          <w:lang w:val="fr-FR"/>
        </w:rPr>
        <w:t>éducation au Zimbabwe et en Namibie, développé avec le Bureau de l</w:t>
      </w:r>
      <w:r w:rsidR="00923E72">
        <w:rPr>
          <w:rFonts w:eastAsia="Malgun Gothic"/>
          <w:lang w:val="fr-FR"/>
        </w:rPr>
        <w:t>’</w:t>
      </w:r>
      <w:r w:rsidRPr="008023CC">
        <w:rPr>
          <w:rFonts w:eastAsia="Malgun Gothic"/>
          <w:lang w:val="fr-FR"/>
        </w:rPr>
        <w:t>UNESCO à Harare. Il s</w:t>
      </w:r>
      <w:r w:rsidR="00923E72">
        <w:rPr>
          <w:rFonts w:eastAsia="Malgun Gothic"/>
          <w:lang w:val="fr-FR"/>
        </w:rPr>
        <w:t>’</w:t>
      </w:r>
      <w:r w:rsidRPr="008023CC">
        <w:rPr>
          <w:rFonts w:eastAsia="Malgun Gothic"/>
          <w:lang w:val="fr-FR"/>
        </w:rPr>
        <w:t>est également montré satisfait des résultats de la réflexion globale sur les mécanismes d</w:t>
      </w:r>
      <w:r w:rsidR="00923E72">
        <w:rPr>
          <w:rFonts w:eastAsia="Malgun Gothic"/>
          <w:lang w:val="fr-FR"/>
        </w:rPr>
        <w:t>’</w:t>
      </w:r>
      <w:r w:rsidRPr="008023CC">
        <w:rPr>
          <w:rFonts w:eastAsia="Malgun Gothic"/>
          <w:lang w:val="fr-FR"/>
        </w:rPr>
        <w:t xml:space="preserve">inscription, qui constitue une étape importante pour la Convention, réitérant ses remerciements au Japon pour le travail accompli. Cependant, malgré les efforts </w:t>
      </w:r>
      <w:r w:rsidR="005766BC">
        <w:rPr>
          <w:rFonts w:eastAsia="Malgun Gothic"/>
          <w:lang w:val="fr-FR"/>
        </w:rPr>
        <w:t>déployés par le</w:t>
      </w:r>
      <w:r w:rsidRPr="008023CC">
        <w:rPr>
          <w:rFonts w:eastAsia="Malgun Gothic"/>
          <w:lang w:val="fr-FR"/>
        </w:rPr>
        <w:t xml:space="preserve"> Secrétariat, le Rwanda déplor</w:t>
      </w:r>
      <w:r w:rsidR="005766BC">
        <w:rPr>
          <w:rFonts w:eastAsia="Malgun Gothic"/>
          <w:lang w:val="fr-FR"/>
        </w:rPr>
        <w:t>ait</w:t>
      </w:r>
      <w:r w:rsidRPr="008023CC">
        <w:rPr>
          <w:rFonts w:eastAsia="Malgun Gothic"/>
          <w:lang w:val="fr-FR"/>
        </w:rPr>
        <w:t xml:space="preserve"> le manque d</w:t>
      </w:r>
      <w:r w:rsidR="00923E72">
        <w:rPr>
          <w:rFonts w:eastAsia="Malgun Gothic"/>
          <w:lang w:val="fr-FR"/>
        </w:rPr>
        <w:t>’</w:t>
      </w:r>
      <w:r w:rsidRPr="008023CC">
        <w:rPr>
          <w:rFonts w:eastAsia="Malgun Gothic"/>
          <w:lang w:val="fr-FR"/>
        </w:rPr>
        <w:t>équilibre géographique dans l</w:t>
      </w:r>
      <w:r w:rsidR="00923E72">
        <w:rPr>
          <w:rFonts w:eastAsia="Malgun Gothic"/>
          <w:lang w:val="fr-FR"/>
        </w:rPr>
        <w:t>’</w:t>
      </w:r>
      <w:r w:rsidRPr="008023CC">
        <w:rPr>
          <w:rFonts w:eastAsia="Malgun Gothic"/>
          <w:lang w:val="fr-FR"/>
        </w:rPr>
        <w:t>approbation des dossiers. C</w:t>
      </w:r>
      <w:r w:rsidR="00923E72">
        <w:rPr>
          <w:rFonts w:eastAsia="Malgun Gothic"/>
          <w:lang w:val="fr-FR"/>
        </w:rPr>
        <w:t>’</w:t>
      </w:r>
      <w:r w:rsidR="005766BC">
        <w:rPr>
          <w:rFonts w:eastAsia="Malgun Gothic"/>
          <w:lang w:val="fr-FR"/>
        </w:rPr>
        <w:t xml:space="preserve">était une illustration </w:t>
      </w:r>
      <w:r w:rsidR="005766BC" w:rsidRPr="005766BC">
        <w:rPr>
          <w:rFonts w:eastAsia="Malgun Gothic"/>
          <w:lang w:val="fr-FR"/>
        </w:rPr>
        <w:t>supplémentaire</w:t>
      </w:r>
      <w:r w:rsidR="005766BC">
        <w:rPr>
          <w:rFonts w:eastAsia="Malgun Gothic"/>
          <w:lang w:val="fr-FR"/>
        </w:rPr>
        <w:t xml:space="preserve"> de </w:t>
      </w:r>
      <w:r w:rsidRPr="008023CC">
        <w:rPr>
          <w:rFonts w:eastAsia="Malgun Gothic"/>
          <w:lang w:val="fr-FR"/>
        </w:rPr>
        <w:t>la nécessité de renforcer les capacités dans certaines régions, telles que l</w:t>
      </w:r>
      <w:r w:rsidR="00923E72">
        <w:rPr>
          <w:rFonts w:eastAsia="Malgun Gothic"/>
          <w:lang w:val="fr-FR"/>
        </w:rPr>
        <w:t>’</w:t>
      </w:r>
      <w:r w:rsidRPr="008023CC">
        <w:rPr>
          <w:rFonts w:eastAsia="Malgun Gothic"/>
          <w:lang w:val="fr-FR"/>
        </w:rPr>
        <w:t>Amérique latine et l</w:t>
      </w:r>
      <w:r w:rsidR="00923E72">
        <w:rPr>
          <w:rFonts w:eastAsia="Malgun Gothic"/>
          <w:lang w:val="fr-FR"/>
        </w:rPr>
        <w:t>’</w:t>
      </w:r>
      <w:r w:rsidRPr="008023CC">
        <w:rPr>
          <w:rFonts w:eastAsia="Malgun Gothic"/>
          <w:lang w:val="fr-FR"/>
        </w:rPr>
        <w:t>Afrique. Le Rwanda soutenait pleinement l</w:t>
      </w:r>
      <w:r w:rsidR="00923E72">
        <w:rPr>
          <w:rFonts w:eastAsia="Malgun Gothic"/>
          <w:lang w:val="fr-FR"/>
        </w:rPr>
        <w:t>’</w:t>
      </w:r>
      <w:r w:rsidRPr="008023CC">
        <w:rPr>
          <w:rFonts w:eastAsia="Malgun Gothic"/>
          <w:lang w:val="fr-FR"/>
        </w:rPr>
        <w:t>idée avancée par le Secrétariat dans son rapport de faire le point sur la charge de travail du Secrétariat et sur les priorités pour les années à venir. Ces priorités devraient être établies en fonction de la charge de travail du Comité, notamment dans le c</w:t>
      </w:r>
      <w:r w:rsidR="004B46AF">
        <w:rPr>
          <w:rFonts w:eastAsia="Malgun Gothic"/>
          <w:lang w:val="fr-FR"/>
        </w:rPr>
        <w:t>ontexte</w:t>
      </w:r>
      <w:r w:rsidRPr="008023CC">
        <w:rPr>
          <w:rFonts w:eastAsia="Malgun Gothic"/>
          <w:lang w:val="fr-FR"/>
        </w:rPr>
        <w:t xml:space="preserve"> des nouvelles procédures. Enfin, </w:t>
      </w:r>
      <w:r w:rsidR="004B46AF">
        <w:rPr>
          <w:rFonts w:eastAsia="Malgun Gothic"/>
          <w:lang w:val="fr-FR"/>
        </w:rPr>
        <w:t xml:space="preserve">la </w:t>
      </w:r>
      <w:r w:rsidR="004B46AF" w:rsidRPr="004B46AF">
        <w:rPr>
          <w:rFonts w:eastAsia="Malgun Gothic"/>
          <w:lang w:val="fr-FR"/>
        </w:rPr>
        <w:t>délégation</w:t>
      </w:r>
      <w:r w:rsidRPr="008023CC">
        <w:rPr>
          <w:rFonts w:eastAsia="Malgun Gothic"/>
          <w:lang w:val="fr-FR"/>
        </w:rPr>
        <w:t xml:space="preserve"> </w:t>
      </w:r>
      <w:r w:rsidR="00A92820">
        <w:rPr>
          <w:rFonts w:eastAsia="Malgun Gothic"/>
          <w:lang w:val="fr-FR"/>
        </w:rPr>
        <w:t xml:space="preserve">estimait </w:t>
      </w:r>
      <w:r w:rsidRPr="008023CC">
        <w:rPr>
          <w:rFonts w:eastAsia="Malgun Gothic"/>
          <w:lang w:val="fr-FR"/>
        </w:rPr>
        <w:t>que le renforcement des capacités, la sauvegarde du patrimoine culturel immatériel, notamment</w:t>
      </w:r>
      <w:r w:rsidR="00A92820">
        <w:rPr>
          <w:rFonts w:eastAsia="Malgun Gothic"/>
          <w:lang w:val="fr-FR"/>
        </w:rPr>
        <w:t xml:space="preserve"> dans les cas</w:t>
      </w:r>
      <w:r w:rsidRPr="008023CC">
        <w:rPr>
          <w:rFonts w:eastAsia="Malgun Gothic"/>
          <w:lang w:val="fr-FR"/>
        </w:rPr>
        <w:t xml:space="preserve"> d</w:t>
      </w:r>
      <w:r w:rsidR="00923E72">
        <w:rPr>
          <w:rFonts w:eastAsia="Malgun Gothic"/>
          <w:lang w:val="fr-FR"/>
        </w:rPr>
        <w:t>’</w:t>
      </w:r>
      <w:r w:rsidRPr="008023CC">
        <w:rPr>
          <w:rFonts w:eastAsia="Malgun Gothic"/>
          <w:lang w:val="fr-FR"/>
        </w:rPr>
        <w:t>urgence, et l</w:t>
      </w:r>
      <w:r w:rsidR="00923E72">
        <w:rPr>
          <w:rFonts w:eastAsia="Malgun Gothic"/>
          <w:lang w:val="fr-FR"/>
        </w:rPr>
        <w:t>’</w:t>
      </w:r>
      <w:r w:rsidRPr="008023CC">
        <w:rPr>
          <w:rFonts w:eastAsia="Malgun Gothic"/>
          <w:lang w:val="fr-FR"/>
        </w:rPr>
        <w:t xml:space="preserve">éducation durable </w:t>
      </w:r>
      <w:r w:rsidR="004B46AF">
        <w:rPr>
          <w:rFonts w:eastAsia="Malgun Gothic"/>
          <w:lang w:val="fr-FR"/>
        </w:rPr>
        <w:t xml:space="preserve">devaient </w:t>
      </w:r>
      <w:r w:rsidRPr="008023CC">
        <w:rPr>
          <w:rFonts w:eastAsia="Malgun Gothic"/>
          <w:lang w:val="fr-FR"/>
        </w:rPr>
        <w:t xml:space="preserve">rester les priorités du Secrétariat </w:t>
      </w:r>
      <w:r w:rsidR="005766BC">
        <w:rPr>
          <w:rFonts w:eastAsia="Malgun Gothic"/>
          <w:lang w:val="fr-FR"/>
        </w:rPr>
        <w:t xml:space="preserve">pour </w:t>
      </w:r>
      <w:r w:rsidRPr="008023CC">
        <w:rPr>
          <w:rFonts w:eastAsia="Malgun Gothic"/>
          <w:lang w:val="fr-FR"/>
        </w:rPr>
        <w:t>les années à venir.</w:t>
      </w:r>
    </w:p>
    <w:p w14:paraId="3B7024CF" w14:textId="2A3F25E3" w:rsidR="004B46AF" w:rsidRDefault="00187E07"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187E07">
        <w:rPr>
          <w:rFonts w:eastAsia="Malgun Gothic"/>
          <w:lang w:val="fr-FR"/>
        </w:rPr>
        <w:t xml:space="preserve">La délégation du </w:t>
      </w:r>
      <w:r w:rsidRPr="00187E07">
        <w:rPr>
          <w:rFonts w:eastAsia="Malgun Gothic"/>
          <w:b/>
          <w:bCs/>
          <w:lang w:val="fr-FR"/>
        </w:rPr>
        <w:t>Paraguay</w:t>
      </w:r>
      <w:r w:rsidRPr="00187E07">
        <w:rPr>
          <w:rFonts w:eastAsia="Malgun Gothic"/>
          <w:lang w:val="fr-FR"/>
        </w:rPr>
        <w:t xml:space="preserve"> a exprimé sa gratitude au Maroc pour </w:t>
      </w:r>
      <w:r w:rsidR="00C5288A">
        <w:rPr>
          <w:rFonts w:eastAsia="Malgun Gothic"/>
          <w:lang w:val="fr-FR"/>
        </w:rPr>
        <w:t xml:space="preserve">son accueil généreux </w:t>
      </w:r>
      <w:r w:rsidRPr="00187E07">
        <w:rPr>
          <w:rFonts w:eastAsia="Malgun Gothic"/>
          <w:lang w:val="fr-FR"/>
        </w:rPr>
        <w:t>et a salué la magnifique cérémonie d</w:t>
      </w:r>
      <w:r w:rsidR="00923E72">
        <w:rPr>
          <w:rFonts w:eastAsia="Malgun Gothic"/>
          <w:lang w:val="fr-FR"/>
        </w:rPr>
        <w:t>’</w:t>
      </w:r>
      <w:r w:rsidRPr="00187E07">
        <w:rPr>
          <w:rFonts w:eastAsia="Malgun Gothic"/>
          <w:lang w:val="fr-FR"/>
        </w:rPr>
        <w:t>ouverture. Elle a félicité le Secrétariat pour son rapport complet et pour son travail inlassable de promotion et de sauvegarde du patrimoine culturel immatériel. La Convention reconn</w:t>
      </w:r>
      <w:r>
        <w:rPr>
          <w:rFonts w:eastAsia="Malgun Gothic"/>
          <w:lang w:val="fr-FR"/>
        </w:rPr>
        <w:t>aissait</w:t>
      </w:r>
      <w:r w:rsidRPr="00187E07">
        <w:rPr>
          <w:rFonts w:eastAsia="Malgun Gothic"/>
          <w:lang w:val="fr-FR"/>
        </w:rPr>
        <w:t xml:space="preserve"> que le patrimoine culturel immatériel est à la fois traditionnel, contemporain et vivant</w:t>
      </w:r>
      <w:r>
        <w:rPr>
          <w:rFonts w:eastAsia="Malgun Gothic"/>
          <w:lang w:val="fr-FR"/>
        </w:rPr>
        <w:t xml:space="preserve"> et qu</w:t>
      </w:r>
      <w:r w:rsidR="00923E72">
        <w:rPr>
          <w:rFonts w:eastAsia="Malgun Gothic"/>
          <w:lang w:val="fr-FR"/>
        </w:rPr>
        <w:t>’</w:t>
      </w:r>
      <w:r>
        <w:rPr>
          <w:rFonts w:eastAsia="Malgun Gothic"/>
          <w:lang w:val="fr-FR"/>
        </w:rPr>
        <w:t>il</w:t>
      </w:r>
      <w:r w:rsidRPr="00187E07">
        <w:rPr>
          <w:rFonts w:eastAsia="Malgun Gothic"/>
          <w:lang w:val="fr-FR"/>
        </w:rPr>
        <w:t xml:space="preserve"> est une source d</w:t>
      </w:r>
      <w:r w:rsidR="00923E72">
        <w:rPr>
          <w:rFonts w:eastAsia="Malgun Gothic"/>
          <w:lang w:val="fr-FR"/>
        </w:rPr>
        <w:t>’</w:t>
      </w:r>
      <w:r w:rsidRPr="00187E07">
        <w:rPr>
          <w:rFonts w:eastAsia="Malgun Gothic"/>
          <w:lang w:val="fr-FR"/>
        </w:rPr>
        <w:t xml:space="preserve">intégration de nos communautés. </w:t>
      </w:r>
      <w:r w:rsidR="00C5288A" w:rsidRPr="00C5288A">
        <w:rPr>
          <w:rFonts w:eastAsia="Malgun Gothic"/>
          <w:lang w:val="fr-FR"/>
        </w:rPr>
        <w:t>Ainsi, dans le cadre de nos travaux, nous dev</w:t>
      </w:r>
      <w:r w:rsidR="00C5288A">
        <w:rPr>
          <w:rFonts w:eastAsia="Malgun Gothic"/>
          <w:lang w:val="fr-FR"/>
        </w:rPr>
        <w:t>i</w:t>
      </w:r>
      <w:r w:rsidR="00C5288A" w:rsidRPr="00C5288A">
        <w:rPr>
          <w:rFonts w:eastAsia="Malgun Gothic"/>
          <w:lang w:val="fr-FR"/>
        </w:rPr>
        <w:t>ons nous remémorer nos ancêtres et nous reconnecter à nos origines, comme l</w:t>
      </w:r>
      <w:r w:rsidR="00923E72">
        <w:rPr>
          <w:rFonts w:eastAsia="Malgun Gothic"/>
          <w:lang w:val="fr-FR"/>
        </w:rPr>
        <w:t>’</w:t>
      </w:r>
      <w:r w:rsidR="00C5288A" w:rsidRPr="00C5288A">
        <w:rPr>
          <w:rFonts w:eastAsia="Malgun Gothic"/>
          <w:lang w:val="fr-FR"/>
        </w:rPr>
        <w:t>exprime l</w:t>
      </w:r>
      <w:r w:rsidR="00923E72">
        <w:rPr>
          <w:rFonts w:eastAsia="Malgun Gothic"/>
          <w:lang w:val="fr-FR"/>
        </w:rPr>
        <w:t>’</w:t>
      </w:r>
      <w:r w:rsidR="00C5288A" w:rsidRPr="00C5288A">
        <w:rPr>
          <w:rFonts w:eastAsia="Malgun Gothic"/>
          <w:lang w:val="fr-FR"/>
        </w:rPr>
        <w:t>esprit de la Convention de</w:t>
      </w:r>
      <w:r w:rsidR="006773EF">
        <w:rPr>
          <w:rFonts w:eastAsia="Malgun Gothic"/>
          <w:lang w:val="fr-FR"/>
        </w:rPr>
        <w:t> </w:t>
      </w:r>
      <w:r w:rsidR="00C5288A" w:rsidRPr="00C5288A">
        <w:rPr>
          <w:rFonts w:eastAsia="Malgun Gothic"/>
          <w:lang w:val="fr-FR"/>
        </w:rPr>
        <w:t>2003</w:t>
      </w:r>
      <w:r w:rsidRPr="00187E07">
        <w:rPr>
          <w:rFonts w:eastAsia="Malgun Gothic"/>
          <w:lang w:val="fr-FR"/>
        </w:rPr>
        <w:t>. La délégation a souhaité à tous les délégués une réunion fructueuse, ajoutant qu</w:t>
      </w:r>
      <w:r w:rsidR="00923E72">
        <w:rPr>
          <w:rFonts w:eastAsia="Malgun Gothic"/>
          <w:lang w:val="fr-FR"/>
        </w:rPr>
        <w:t>’</w:t>
      </w:r>
      <w:r w:rsidRPr="00187E07">
        <w:rPr>
          <w:rFonts w:eastAsia="Malgun Gothic"/>
          <w:lang w:val="fr-FR"/>
        </w:rPr>
        <w:t xml:space="preserve">elle espérait que la </w:t>
      </w:r>
      <w:r>
        <w:rPr>
          <w:rFonts w:eastAsia="Malgun Gothic"/>
          <w:lang w:val="fr-FR"/>
        </w:rPr>
        <w:t>L</w:t>
      </w:r>
      <w:r w:rsidRPr="00187E07">
        <w:rPr>
          <w:rFonts w:eastAsia="Malgun Gothic"/>
          <w:lang w:val="fr-FR"/>
        </w:rPr>
        <w:t>iste représentative refléterait mieux la beauté et la diversité du monde de manière équilibrée.</w:t>
      </w:r>
    </w:p>
    <w:p w14:paraId="5C1CD6C1" w14:textId="143040BD" w:rsidR="00187E07" w:rsidRDefault="005819F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819F4">
        <w:rPr>
          <w:rFonts w:eastAsia="Malgun Gothic"/>
          <w:lang w:val="fr-FR"/>
        </w:rPr>
        <w:t xml:space="preserve">La délégation du </w:t>
      </w:r>
      <w:r w:rsidRPr="005819F4">
        <w:rPr>
          <w:rFonts w:eastAsia="Malgun Gothic"/>
          <w:b/>
          <w:bCs/>
          <w:lang w:val="fr-FR"/>
        </w:rPr>
        <w:t>Pérou</w:t>
      </w:r>
      <w:r w:rsidRPr="005819F4">
        <w:rPr>
          <w:rFonts w:eastAsia="Malgun Gothic"/>
          <w:lang w:val="fr-FR"/>
        </w:rPr>
        <w:t xml:space="preserve"> a félicité le Président pour l</w:t>
      </w:r>
      <w:r w:rsidR="00923E72">
        <w:rPr>
          <w:rFonts w:eastAsia="Malgun Gothic"/>
          <w:lang w:val="fr-FR"/>
        </w:rPr>
        <w:t>’</w:t>
      </w:r>
      <w:r w:rsidRPr="005819F4">
        <w:rPr>
          <w:rFonts w:eastAsia="Malgun Gothic"/>
          <w:lang w:val="fr-FR"/>
        </w:rPr>
        <w:t>excellente organisation et pour l</w:t>
      </w:r>
      <w:r w:rsidR="00923E72">
        <w:rPr>
          <w:rFonts w:eastAsia="Malgun Gothic"/>
          <w:lang w:val="fr-FR"/>
        </w:rPr>
        <w:t>’</w:t>
      </w:r>
      <w:r w:rsidRPr="005819F4">
        <w:rPr>
          <w:rFonts w:eastAsia="Malgun Gothic"/>
          <w:lang w:val="fr-FR"/>
        </w:rPr>
        <w:t>hospitalité et l</w:t>
      </w:r>
      <w:r w:rsidR="00923E72">
        <w:rPr>
          <w:rFonts w:eastAsia="Malgun Gothic"/>
          <w:lang w:val="fr-FR"/>
        </w:rPr>
        <w:t>’</w:t>
      </w:r>
      <w:r w:rsidRPr="005819F4">
        <w:rPr>
          <w:rFonts w:eastAsia="Malgun Gothic"/>
          <w:lang w:val="fr-FR"/>
        </w:rPr>
        <w:t>accueil chaleureux au cours de cette réunion et lors de la cérémonie d</w:t>
      </w:r>
      <w:r w:rsidR="00923E72">
        <w:rPr>
          <w:rFonts w:eastAsia="Malgun Gothic"/>
          <w:lang w:val="fr-FR"/>
        </w:rPr>
        <w:t>’</w:t>
      </w:r>
      <w:r w:rsidRPr="005819F4">
        <w:rPr>
          <w:rFonts w:eastAsia="Malgun Gothic"/>
          <w:lang w:val="fr-FR"/>
        </w:rPr>
        <w:t>ouverture. Elle a également félicité la Directrice générale, M</w:t>
      </w:r>
      <w:r w:rsidRPr="0042102A">
        <w:rPr>
          <w:rFonts w:eastAsia="Malgun Gothic"/>
          <w:vertAlign w:val="superscript"/>
          <w:lang w:val="fr-FR"/>
        </w:rPr>
        <w:t>me</w:t>
      </w:r>
      <w:r w:rsidR="0042102A">
        <w:rPr>
          <w:rFonts w:eastAsia="Malgun Gothic"/>
          <w:lang w:val="fr-FR"/>
        </w:rPr>
        <w:t> </w:t>
      </w:r>
      <w:r w:rsidRPr="005819F4">
        <w:rPr>
          <w:rFonts w:eastAsia="Malgun Gothic"/>
          <w:lang w:val="fr-FR"/>
        </w:rPr>
        <w:t xml:space="preserve">Audrey Azoulay, pour </w:t>
      </w:r>
      <w:r w:rsidR="00717E8B">
        <w:rPr>
          <w:rFonts w:eastAsia="Malgun Gothic"/>
          <w:lang w:val="fr-FR"/>
        </w:rPr>
        <w:t>l</w:t>
      </w:r>
      <w:r w:rsidR="00923E72">
        <w:rPr>
          <w:rFonts w:eastAsia="Malgun Gothic"/>
          <w:lang w:val="fr-FR"/>
        </w:rPr>
        <w:t>’</w:t>
      </w:r>
      <w:r w:rsidRPr="005819F4">
        <w:rPr>
          <w:rFonts w:eastAsia="Malgun Gothic"/>
          <w:lang w:val="fr-FR"/>
        </w:rPr>
        <w:t>organisation</w:t>
      </w:r>
      <w:r w:rsidR="00717E8B">
        <w:rPr>
          <w:rFonts w:eastAsia="Malgun Gothic"/>
          <w:lang w:val="fr-FR"/>
        </w:rPr>
        <w:t xml:space="preserve"> de cette réunion</w:t>
      </w:r>
      <w:r w:rsidRPr="005819F4">
        <w:rPr>
          <w:rFonts w:eastAsia="Malgun Gothic"/>
          <w:lang w:val="fr-FR"/>
        </w:rPr>
        <w:t>. La délégation</w:t>
      </w:r>
      <w:r w:rsidR="003500FF">
        <w:rPr>
          <w:rFonts w:eastAsia="Malgun Gothic"/>
          <w:lang w:val="fr-FR"/>
        </w:rPr>
        <w:t xml:space="preserve">, qui </w:t>
      </w:r>
      <w:r w:rsidRPr="005819F4">
        <w:rPr>
          <w:rFonts w:eastAsia="Malgun Gothic"/>
          <w:lang w:val="fr-FR"/>
        </w:rPr>
        <w:t>était également très heureuse d</w:t>
      </w:r>
      <w:r w:rsidR="00923E72">
        <w:rPr>
          <w:rFonts w:eastAsia="Malgun Gothic"/>
          <w:lang w:val="fr-FR"/>
        </w:rPr>
        <w:t>’</w:t>
      </w:r>
      <w:r w:rsidRPr="005819F4">
        <w:rPr>
          <w:rFonts w:eastAsia="Malgun Gothic"/>
          <w:lang w:val="fr-FR"/>
        </w:rPr>
        <w:t xml:space="preserve">être </w:t>
      </w:r>
      <w:r w:rsidRPr="0042102A">
        <w:rPr>
          <w:rFonts w:eastAsia="Malgun Gothic"/>
          <w:i/>
          <w:iCs/>
          <w:lang w:val="fr-FR"/>
        </w:rPr>
        <w:t>in</w:t>
      </w:r>
      <w:r w:rsidR="003A11FA">
        <w:rPr>
          <w:rFonts w:eastAsia="Malgun Gothic"/>
          <w:i/>
          <w:iCs/>
          <w:lang w:val="fr-FR"/>
        </w:rPr>
        <w:t> </w:t>
      </w:r>
      <w:r w:rsidRPr="0042102A">
        <w:rPr>
          <w:rFonts w:eastAsia="Malgun Gothic"/>
          <w:i/>
          <w:iCs/>
          <w:lang w:val="fr-FR"/>
        </w:rPr>
        <w:t>praesentia</w:t>
      </w:r>
      <w:r w:rsidRPr="005819F4">
        <w:rPr>
          <w:rFonts w:eastAsia="Malgun Gothic"/>
          <w:lang w:val="fr-FR"/>
        </w:rPr>
        <w:t xml:space="preserve"> après trois ans</w:t>
      </w:r>
      <w:r w:rsidR="003500FF">
        <w:rPr>
          <w:rFonts w:eastAsia="Malgun Gothic"/>
          <w:lang w:val="fr-FR"/>
        </w:rPr>
        <w:t>,</w:t>
      </w:r>
      <w:r w:rsidR="00717E8B">
        <w:rPr>
          <w:rFonts w:eastAsia="Malgun Gothic"/>
          <w:lang w:val="fr-FR"/>
        </w:rPr>
        <w:t xml:space="preserve"> </w:t>
      </w:r>
      <w:r w:rsidRPr="005819F4">
        <w:rPr>
          <w:rFonts w:eastAsia="Malgun Gothic"/>
          <w:lang w:val="fr-FR"/>
        </w:rPr>
        <w:t>a remercié le Secrétariat pour son excellent rapport sur le travail effectué au cours du premier semestre</w:t>
      </w:r>
      <w:r w:rsidR="00246428">
        <w:rPr>
          <w:rFonts w:eastAsia="Malgun Gothic"/>
          <w:lang w:val="fr-FR"/>
        </w:rPr>
        <w:t> </w:t>
      </w:r>
      <w:r w:rsidRPr="005819F4">
        <w:rPr>
          <w:rFonts w:eastAsia="Malgun Gothic"/>
          <w:lang w:val="fr-FR"/>
        </w:rPr>
        <w:t xml:space="preserve">2022, le Secrétariat étant un acteur clé dans la mise en œuvre de la Convention. </w:t>
      </w:r>
      <w:r w:rsidR="003500FF">
        <w:rPr>
          <w:rFonts w:eastAsia="Malgun Gothic"/>
          <w:lang w:val="fr-FR"/>
        </w:rPr>
        <w:t>C</w:t>
      </w:r>
      <w:r w:rsidR="003500FF" w:rsidRPr="005819F4">
        <w:rPr>
          <w:rFonts w:eastAsia="Malgun Gothic"/>
          <w:lang w:val="fr-FR"/>
        </w:rPr>
        <w:t>omme le soulignait le rapport</w:t>
      </w:r>
      <w:r w:rsidR="003500FF">
        <w:rPr>
          <w:rFonts w:eastAsia="Malgun Gothic"/>
          <w:lang w:val="fr-FR"/>
        </w:rPr>
        <w:t>,</w:t>
      </w:r>
      <w:r w:rsidR="003500FF" w:rsidRPr="005819F4">
        <w:rPr>
          <w:rFonts w:eastAsia="Malgun Gothic"/>
          <w:lang w:val="fr-FR"/>
        </w:rPr>
        <w:t xml:space="preserve"> </w:t>
      </w:r>
      <w:r w:rsidR="003500FF">
        <w:rPr>
          <w:rFonts w:eastAsia="Malgun Gothic"/>
          <w:lang w:val="fr-FR"/>
        </w:rPr>
        <w:t>l</w:t>
      </w:r>
      <w:r w:rsidR="00923E72">
        <w:rPr>
          <w:rFonts w:eastAsia="Malgun Gothic"/>
          <w:lang w:val="fr-FR"/>
        </w:rPr>
        <w:t>’</w:t>
      </w:r>
      <w:r w:rsidRPr="005819F4">
        <w:rPr>
          <w:rFonts w:eastAsia="Malgun Gothic"/>
          <w:lang w:val="fr-FR"/>
        </w:rPr>
        <w:t>un des principaux résultats était le fruit de la réflexion globale sur les mécanismes d</w:t>
      </w:r>
      <w:r w:rsidR="00923E72">
        <w:rPr>
          <w:rFonts w:eastAsia="Malgun Gothic"/>
          <w:lang w:val="fr-FR"/>
        </w:rPr>
        <w:t>’</w:t>
      </w:r>
      <w:r w:rsidRPr="005819F4">
        <w:rPr>
          <w:rFonts w:eastAsia="Malgun Gothic"/>
          <w:lang w:val="fr-FR"/>
        </w:rPr>
        <w:t xml:space="preserve">inscription. </w:t>
      </w:r>
      <w:r w:rsidR="00045100">
        <w:rPr>
          <w:rFonts w:eastAsia="Malgun Gothic"/>
          <w:lang w:val="fr-FR"/>
        </w:rPr>
        <w:t>Cela</w:t>
      </w:r>
      <w:r w:rsidRPr="005819F4">
        <w:rPr>
          <w:rFonts w:eastAsia="Malgun Gothic"/>
          <w:lang w:val="fr-FR"/>
        </w:rPr>
        <w:t xml:space="preserve"> contribuait à accroître la crédibilité des mécanismes et des listes et mettait en évidence la nécessité d</w:t>
      </w:r>
      <w:r w:rsidR="00923E72">
        <w:rPr>
          <w:rFonts w:eastAsia="Malgun Gothic"/>
          <w:lang w:val="fr-FR"/>
        </w:rPr>
        <w:t>’</w:t>
      </w:r>
      <w:r w:rsidRPr="005819F4">
        <w:rPr>
          <w:rFonts w:eastAsia="Malgun Gothic"/>
          <w:lang w:val="fr-FR"/>
        </w:rPr>
        <w:t>une participation des communautés tout au long du processus. La délégation a pris note des efforts déployés par le Secrétariat pour soutenir l</w:t>
      </w:r>
      <w:r w:rsidR="00923E72">
        <w:rPr>
          <w:rFonts w:eastAsia="Malgun Gothic"/>
          <w:lang w:val="fr-FR"/>
        </w:rPr>
        <w:t>’</w:t>
      </w:r>
      <w:r w:rsidRPr="005819F4">
        <w:rPr>
          <w:rFonts w:eastAsia="Malgun Gothic"/>
          <w:lang w:val="fr-FR"/>
        </w:rPr>
        <w:t>Organe d</w:t>
      </w:r>
      <w:r w:rsidR="00923E72">
        <w:rPr>
          <w:rFonts w:eastAsia="Malgun Gothic"/>
          <w:lang w:val="fr-FR"/>
        </w:rPr>
        <w:t>’</w:t>
      </w:r>
      <w:r w:rsidRPr="005819F4">
        <w:rPr>
          <w:rFonts w:eastAsia="Malgun Gothic"/>
          <w:lang w:val="fr-FR"/>
        </w:rPr>
        <w:t xml:space="preserve">évaluation dans son </w:t>
      </w:r>
      <w:r w:rsidR="0042102A">
        <w:rPr>
          <w:rFonts w:eastAsia="Malgun Gothic"/>
          <w:lang w:val="fr-FR"/>
        </w:rPr>
        <w:t>travail d</w:t>
      </w:r>
      <w:r w:rsidR="00923E72">
        <w:rPr>
          <w:rFonts w:eastAsia="Malgun Gothic"/>
          <w:lang w:val="fr-FR"/>
        </w:rPr>
        <w:t>’</w:t>
      </w:r>
      <w:r w:rsidRPr="005819F4">
        <w:rPr>
          <w:rFonts w:eastAsia="Malgun Gothic"/>
          <w:lang w:val="fr-FR"/>
        </w:rPr>
        <w:t xml:space="preserve">évaluation des dossiers et pour appuyer les mesures et les efforts nationaux de sauvegarde. </w:t>
      </w:r>
      <w:r w:rsidR="0037368A">
        <w:rPr>
          <w:rFonts w:eastAsia="Malgun Gothic"/>
          <w:lang w:val="fr-FR"/>
        </w:rPr>
        <w:t xml:space="preserve">La </w:t>
      </w:r>
      <w:r w:rsidR="0037368A" w:rsidRPr="0037368A">
        <w:rPr>
          <w:rFonts w:eastAsia="Malgun Gothic"/>
          <w:lang w:val="fr-FR"/>
        </w:rPr>
        <w:t>délégation</w:t>
      </w:r>
      <w:r w:rsidRPr="005819F4">
        <w:rPr>
          <w:rFonts w:eastAsia="Malgun Gothic"/>
          <w:lang w:val="fr-FR"/>
        </w:rPr>
        <w:t xml:space="preserve"> a également souligné le soutien continu apporté aux pays pour accroître les capacités de sauvegarde du patrimoine culturel et du développement durable. </w:t>
      </w:r>
      <w:r w:rsidR="0037368A">
        <w:rPr>
          <w:rFonts w:eastAsia="Malgun Gothic"/>
          <w:lang w:val="fr-FR"/>
        </w:rPr>
        <w:t>L</w:t>
      </w:r>
      <w:r w:rsidRPr="005819F4">
        <w:rPr>
          <w:rFonts w:eastAsia="Malgun Gothic"/>
          <w:lang w:val="fr-FR"/>
        </w:rPr>
        <w:t>e travail du Secrétariat au cours des vingt dernières années</w:t>
      </w:r>
      <w:r w:rsidR="0037368A">
        <w:rPr>
          <w:rFonts w:eastAsia="Malgun Gothic"/>
          <w:lang w:val="fr-FR"/>
        </w:rPr>
        <w:t xml:space="preserve"> a été</w:t>
      </w:r>
      <w:r w:rsidR="00045100">
        <w:rPr>
          <w:rFonts w:eastAsia="Malgun Gothic"/>
          <w:lang w:val="fr-FR"/>
        </w:rPr>
        <w:t xml:space="preserve"> salué</w:t>
      </w:r>
      <w:r w:rsidRPr="005819F4">
        <w:rPr>
          <w:rFonts w:eastAsia="Malgun Gothic"/>
          <w:lang w:val="fr-FR"/>
        </w:rPr>
        <w:t>, mais il restait encore du travail à accomplir. La d</w:t>
      </w:r>
      <w:r w:rsidR="0042102A">
        <w:rPr>
          <w:rFonts w:eastAsia="Malgun Gothic"/>
          <w:lang w:val="fr-FR"/>
        </w:rPr>
        <w:t>élé</w:t>
      </w:r>
      <w:r w:rsidRPr="005819F4">
        <w:rPr>
          <w:rFonts w:eastAsia="Malgun Gothic"/>
          <w:lang w:val="fr-FR"/>
        </w:rPr>
        <w:t>gation</w:t>
      </w:r>
      <w:r w:rsidR="0042102A">
        <w:rPr>
          <w:rFonts w:eastAsia="Malgun Gothic"/>
          <w:lang w:val="fr-FR"/>
        </w:rPr>
        <w:t xml:space="preserve"> </w:t>
      </w:r>
      <w:r w:rsidR="0037368A">
        <w:rPr>
          <w:rFonts w:eastAsia="Malgun Gothic"/>
          <w:lang w:val="fr-FR"/>
        </w:rPr>
        <w:t>a</w:t>
      </w:r>
      <w:r w:rsidRPr="005819F4">
        <w:rPr>
          <w:rFonts w:eastAsia="Malgun Gothic"/>
          <w:lang w:val="fr-FR"/>
        </w:rPr>
        <w:t xml:space="preserve"> remerci</w:t>
      </w:r>
      <w:r w:rsidR="0037368A">
        <w:rPr>
          <w:rFonts w:eastAsia="Malgun Gothic"/>
          <w:lang w:val="fr-FR"/>
        </w:rPr>
        <w:t>é</w:t>
      </w:r>
      <w:r w:rsidRPr="005819F4">
        <w:rPr>
          <w:rFonts w:eastAsia="Malgun Gothic"/>
          <w:lang w:val="fr-FR"/>
        </w:rPr>
        <w:t xml:space="preserve"> le Secrétariat pour son soutien au travail réalisé par l</w:t>
      </w:r>
      <w:r w:rsidR="00923E72">
        <w:rPr>
          <w:rFonts w:eastAsia="Malgun Gothic"/>
          <w:lang w:val="fr-FR"/>
        </w:rPr>
        <w:t>’</w:t>
      </w:r>
      <w:r w:rsidRPr="005819F4">
        <w:rPr>
          <w:rFonts w:eastAsia="Malgun Gothic"/>
          <w:lang w:val="fr-FR"/>
        </w:rPr>
        <w:t>Amérique latine dans ce domaine</w:t>
      </w:r>
      <w:r w:rsidR="00997747">
        <w:rPr>
          <w:rFonts w:eastAsia="Malgun Gothic"/>
          <w:lang w:val="fr-FR"/>
        </w:rPr>
        <w:t xml:space="preserve"> et</w:t>
      </w:r>
      <w:r w:rsidRPr="005819F4">
        <w:rPr>
          <w:rFonts w:eastAsia="Malgun Gothic"/>
          <w:lang w:val="fr-FR"/>
        </w:rPr>
        <w:t xml:space="preserve"> </w:t>
      </w:r>
      <w:r w:rsidR="00045100">
        <w:rPr>
          <w:rFonts w:eastAsia="Malgun Gothic"/>
          <w:lang w:val="fr-FR"/>
        </w:rPr>
        <w:t>i</w:t>
      </w:r>
      <w:r w:rsidRPr="005819F4">
        <w:rPr>
          <w:rFonts w:eastAsia="Malgun Gothic"/>
          <w:lang w:val="fr-FR"/>
        </w:rPr>
        <w:t xml:space="preserve">l était très important de continuer à soutenir </w:t>
      </w:r>
      <w:r w:rsidR="00997747">
        <w:rPr>
          <w:rFonts w:eastAsia="Malgun Gothic"/>
          <w:lang w:val="fr-FR"/>
        </w:rPr>
        <w:t>ce</w:t>
      </w:r>
      <w:r w:rsidRPr="005819F4">
        <w:rPr>
          <w:rFonts w:eastAsia="Malgun Gothic"/>
          <w:lang w:val="fr-FR"/>
        </w:rPr>
        <w:t xml:space="preserve"> travai</w:t>
      </w:r>
      <w:r w:rsidR="00997747">
        <w:rPr>
          <w:rFonts w:eastAsia="Malgun Gothic"/>
          <w:lang w:val="fr-FR"/>
        </w:rPr>
        <w:t>l.</w:t>
      </w:r>
    </w:p>
    <w:p w14:paraId="6713C621" w14:textId="3ED2AA80" w:rsidR="0042102A" w:rsidRPr="00977C3F" w:rsidRDefault="009A005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9A0052">
        <w:rPr>
          <w:rFonts w:eastAsia="Malgun Gothic"/>
          <w:lang w:val="fr-FR"/>
        </w:rPr>
        <w:lastRenderedPageBreak/>
        <w:t xml:space="preserve">La délégation de la </w:t>
      </w:r>
      <w:r w:rsidRPr="009A0052">
        <w:rPr>
          <w:rFonts w:eastAsia="Malgun Gothic"/>
          <w:b/>
          <w:bCs/>
          <w:lang w:val="fr-FR"/>
        </w:rPr>
        <w:t>République de Corée</w:t>
      </w:r>
      <w:r w:rsidRPr="009A0052">
        <w:rPr>
          <w:rFonts w:eastAsia="Malgun Gothic"/>
          <w:lang w:val="fr-FR"/>
        </w:rPr>
        <w:t xml:space="preserve"> a exprimé sa profonde gratitude au Maroc pour </w:t>
      </w:r>
      <w:r w:rsidR="00977C3F">
        <w:rPr>
          <w:rFonts w:eastAsia="Malgun Gothic"/>
          <w:lang w:val="fr-FR"/>
        </w:rPr>
        <w:t>sa</w:t>
      </w:r>
      <w:r w:rsidRPr="009A0052">
        <w:rPr>
          <w:rFonts w:eastAsia="Malgun Gothic"/>
          <w:lang w:val="fr-FR"/>
        </w:rPr>
        <w:t xml:space="preserve"> grâce et </w:t>
      </w:r>
      <w:r w:rsidR="00977C3F">
        <w:rPr>
          <w:rFonts w:eastAsia="Malgun Gothic"/>
          <w:lang w:val="fr-FR"/>
        </w:rPr>
        <w:t xml:space="preserve">son </w:t>
      </w:r>
      <w:r w:rsidRPr="009A0052">
        <w:rPr>
          <w:rFonts w:eastAsia="Malgun Gothic"/>
          <w:lang w:val="fr-FR"/>
        </w:rPr>
        <w:t xml:space="preserve">hospitalité. Elle avait été </w:t>
      </w:r>
      <w:r w:rsidR="00045100">
        <w:rPr>
          <w:rFonts w:eastAsia="Malgun Gothic"/>
          <w:lang w:val="fr-FR"/>
        </w:rPr>
        <w:t xml:space="preserve">réellement </w:t>
      </w:r>
      <w:r w:rsidRPr="009A0052">
        <w:rPr>
          <w:rFonts w:eastAsia="Malgun Gothic"/>
          <w:lang w:val="fr-FR"/>
        </w:rPr>
        <w:t>impressionnée par la profondeur, la richesse et la diversité de la culture marocaine. La République de Corée a exprimé sa grande satisfaction pour tous les efforts déployés par le Secrétariat pendant la pandémie afin de faciliter la communication et la sensibilisation, efforts qui avaient témoigné d</w:t>
      </w:r>
      <w:r w:rsidR="00923E72">
        <w:rPr>
          <w:rFonts w:eastAsia="Malgun Gothic"/>
          <w:lang w:val="fr-FR"/>
        </w:rPr>
        <w:t>’</w:t>
      </w:r>
      <w:r w:rsidRPr="009A0052">
        <w:rPr>
          <w:rFonts w:eastAsia="Malgun Gothic"/>
          <w:lang w:val="fr-FR"/>
        </w:rPr>
        <w:t>une grande résilience et d</w:t>
      </w:r>
      <w:r w:rsidR="00923E72">
        <w:rPr>
          <w:rFonts w:eastAsia="Malgun Gothic"/>
          <w:lang w:val="fr-FR"/>
        </w:rPr>
        <w:t>’</w:t>
      </w:r>
      <w:r w:rsidRPr="009A0052">
        <w:rPr>
          <w:rFonts w:eastAsia="Malgun Gothic"/>
          <w:lang w:val="fr-FR"/>
        </w:rPr>
        <w:t xml:space="preserve">une grande créativité. </w:t>
      </w:r>
      <w:r w:rsidR="00977C3F">
        <w:rPr>
          <w:rFonts w:eastAsia="Malgun Gothic"/>
          <w:lang w:val="fr-FR"/>
        </w:rPr>
        <w:t>La délégation</w:t>
      </w:r>
      <w:r w:rsidRPr="00977C3F">
        <w:rPr>
          <w:rFonts w:eastAsia="Malgun Gothic"/>
          <w:lang w:val="fr-FR"/>
        </w:rPr>
        <w:t xml:space="preserve"> s</w:t>
      </w:r>
      <w:r w:rsidR="00923E72">
        <w:rPr>
          <w:rFonts w:eastAsia="Malgun Gothic"/>
          <w:lang w:val="fr-FR"/>
        </w:rPr>
        <w:t>’</w:t>
      </w:r>
      <w:r w:rsidRPr="00977C3F">
        <w:rPr>
          <w:rFonts w:eastAsia="Malgun Gothic"/>
          <w:lang w:val="fr-FR"/>
        </w:rPr>
        <w:t xml:space="preserve">était engagée dans diverses activités pour aider le Secrétariat à adopter et à mettre en place avec succès </w:t>
      </w:r>
      <w:r w:rsidR="00977C3F">
        <w:rPr>
          <w:rFonts w:eastAsia="Malgun Gothic"/>
          <w:lang w:val="fr-FR"/>
        </w:rPr>
        <w:t>le cadre global de résultats de l</w:t>
      </w:r>
      <w:r w:rsidR="00923E72">
        <w:rPr>
          <w:rFonts w:eastAsia="Malgun Gothic"/>
          <w:lang w:val="fr-FR"/>
        </w:rPr>
        <w:t>’</w:t>
      </w:r>
      <w:r w:rsidR="00977C3F">
        <w:rPr>
          <w:rFonts w:eastAsia="Malgun Gothic"/>
          <w:lang w:val="fr-FR"/>
        </w:rPr>
        <w:t xml:space="preserve">UNESCO. </w:t>
      </w:r>
      <w:r w:rsidRPr="00977C3F">
        <w:rPr>
          <w:rFonts w:eastAsia="Malgun Gothic"/>
          <w:lang w:val="fr-FR"/>
        </w:rPr>
        <w:t>La République de Corée, qui soutenait l</w:t>
      </w:r>
      <w:r w:rsidR="00923E72">
        <w:rPr>
          <w:rFonts w:eastAsia="Malgun Gothic"/>
          <w:lang w:val="fr-FR"/>
        </w:rPr>
        <w:t>’</w:t>
      </w:r>
      <w:r w:rsidRPr="00977C3F">
        <w:rPr>
          <w:rFonts w:eastAsia="Malgun Gothic"/>
          <w:lang w:val="fr-FR"/>
        </w:rPr>
        <w:t>ICHCAP</w:t>
      </w:r>
      <w:r w:rsidR="002B285B">
        <w:rPr>
          <w:rStyle w:val="FootnoteReference"/>
          <w:rFonts w:eastAsia="Malgun Gothic"/>
          <w:lang w:val="fr-FR"/>
        </w:rPr>
        <w:footnoteReference w:id="6"/>
      </w:r>
      <w:r w:rsidRPr="00977C3F">
        <w:rPr>
          <w:rFonts w:eastAsia="Malgun Gothic"/>
          <w:lang w:val="fr-FR"/>
        </w:rPr>
        <w:t xml:space="preserve">, avait </w:t>
      </w:r>
      <w:r w:rsidR="00977C3F">
        <w:rPr>
          <w:rFonts w:eastAsia="Malgun Gothic"/>
          <w:lang w:val="fr-FR"/>
        </w:rPr>
        <w:t xml:space="preserve">conçu </w:t>
      </w:r>
      <w:r w:rsidRPr="00977C3F">
        <w:rPr>
          <w:rFonts w:eastAsia="Malgun Gothic"/>
          <w:lang w:val="fr-FR"/>
        </w:rPr>
        <w:t>le manuel pour l</w:t>
      </w:r>
      <w:r w:rsidR="00923E72">
        <w:rPr>
          <w:rFonts w:eastAsia="Malgun Gothic"/>
          <w:lang w:val="fr-FR"/>
        </w:rPr>
        <w:t>’</w:t>
      </w:r>
      <w:r w:rsidRPr="00977C3F">
        <w:rPr>
          <w:rFonts w:eastAsia="Malgun Gothic"/>
          <w:lang w:val="fr-FR"/>
        </w:rPr>
        <w:t>utilisation</w:t>
      </w:r>
      <w:r w:rsidR="00977C3F">
        <w:rPr>
          <w:rFonts w:eastAsia="Malgun Gothic"/>
          <w:lang w:val="fr-FR"/>
        </w:rPr>
        <w:t xml:space="preserve"> du cadre global de résultats </w:t>
      </w:r>
      <w:r w:rsidRPr="00977C3F">
        <w:rPr>
          <w:rFonts w:eastAsia="Malgun Gothic"/>
          <w:lang w:val="fr-FR"/>
        </w:rPr>
        <w:t>et avait contribué à la publication de la version traduite d</w:t>
      </w:r>
      <w:r w:rsidR="00977C3F">
        <w:rPr>
          <w:rFonts w:eastAsia="Malgun Gothic"/>
          <w:lang w:val="fr-FR"/>
        </w:rPr>
        <w:t xml:space="preserve">u cadre </w:t>
      </w:r>
      <w:r w:rsidRPr="00977C3F">
        <w:rPr>
          <w:rFonts w:eastAsia="Malgun Gothic"/>
          <w:lang w:val="fr-FR"/>
        </w:rPr>
        <w:t xml:space="preserve">en plusieurs langues. La République de Corée </w:t>
      </w:r>
      <w:r w:rsidR="002B285B" w:rsidRPr="00977C3F">
        <w:rPr>
          <w:rFonts w:eastAsia="Malgun Gothic"/>
          <w:lang w:val="fr-FR"/>
        </w:rPr>
        <w:t>estimait</w:t>
      </w:r>
      <w:r w:rsidRPr="00977C3F">
        <w:rPr>
          <w:rFonts w:eastAsia="Malgun Gothic"/>
          <w:lang w:val="fr-FR"/>
        </w:rPr>
        <w:t xml:space="preserve"> que la réflexion globale sur les mécanismes d</w:t>
      </w:r>
      <w:r w:rsidR="00923E72">
        <w:rPr>
          <w:rFonts w:eastAsia="Malgun Gothic"/>
          <w:lang w:val="fr-FR"/>
        </w:rPr>
        <w:t>’</w:t>
      </w:r>
      <w:r w:rsidRPr="00977C3F">
        <w:rPr>
          <w:rFonts w:eastAsia="Malgun Gothic"/>
          <w:lang w:val="fr-FR"/>
        </w:rPr>
        <w:t xml:space="preserve">inscription </w:t>
      </w:r>
      <w:r w:rsidR="00977C3F">
        <w:rPr>
          <w:rFonts w:eastAsia="Malgun Gothic"/>
          <w:lang w:val="fr-FR"/>
        </w:rPr>
        <w:t>était</w:t>
      </w:r>
      <w:r w:rsidR="002B285B" w:rsidRPr="00977C3F">
        <w:rPr>
          <w:rFonts w:eastAsia="Malgun Gothic"/>
          <w:lang w:val="fr-FR"/>
        </w:rPr>
        <w:t xml:space="preserve"> </w:t>
      </w:r>
      <w:r w:rsidRPr="00977C3F">
        <w:rPr>
          <w:rFonts w:eastAsia="Malgun Gothic"/>
          <w:lang w:val="fr-FR"/>
        </w:rPr>
        <w:t xml:space="preserve">un forum </w:t>
      </w:r>
      <w:r w:rsidR="002B285B" w:rsidRPr="00977C3F">
        <w:rPr>
          <w:rFonts w:eastAsia="Malgun Gothic"/>
          <w:lang w:val="fr-FR"/>
        </w:rPr>
        <w:t xml:space="preserve">important </w:t>
      </w:r>
      <w:r w:rsidRPr="00977C3F">
        <w:rPr>
          <w:rFonts w:eastAsia="Malgun Gothic"/>
          <w:lang w:val="fr-FR"/>
        </w:rPr>
        <w:t>pour discuter de l</w:t>
      </w:r>
      <w:r w:rsidR="00923E72">
        <w:rPr>
          <w:rFonts w:eastAsia="Malgun Gothic"/>
          <w:lang w:val="fr-FR"/>
        </w:rPr>
        <w:t>’</w:t>
      </w:r>
      <w:r w:rsidRPr="00977C3F">
        <w:rPr>
          <w:rFonts w:eastAsia="Malgun Gothic"/>
          <w:lang w:val="fr-FR"/>
        </w:rPr>
        <w:t>avenir de la Convention de</w:t>
      </w:r>
      <w:r w:rsidR="006773EF">
        <w:rPr>
          <w:rFonts w:eastAsia="Malgun Gothic"/>
          <w:lang w:val="fr-FR"/>
        </w:rPr>
        <w:t> </w:t>
      </w:r>
      <w:r w:rsidRPr="00977C3F">
        <w:rPr>
          <w:rFonts w:eastAsia="Malgun Gothic"/>
          <w:lang w:val="fr-FR"/>
        </w:rPr>
        <w:t>2003. On pouvait espérer qu</w:t>
      </w:r>
      <w:r w:rsidR="00923E72">
        <w:rPr>
          <w:rFonts w:eastAsia="Malgun Gothic"/>
          <w:lang w:val="fr-FR"/>
        </w:rPr>
        <w:t>’</w:t>
      </w:r>
      <w:r w:rsidRPr="00977C3F">
        <w:rPr>
          <w:rFonts w:eastAsia="Malgun Gothic"/>
          <w:lang w:val="fr-FR"/>
        </w:rPr>
        <w:t xml:space="preserve">une réflexion sur </w:t>
      </w:r>
      <w:r w:rsidR="00977C3F">
        <w:rPr>
          <w:rFonts w:eastAsia="Malgun Gothic"/>
          <w:lang w:val="fr-FR"/>
        </w:rPr>
        <w:t xml:space="preserve">la </w:t>
      </w:r>
      <w:r w:rsidRPr="00977C3F">
        <w:rPr>
          <w:rFonts w:eastAsia="Malgun Gothic"/>
          <w:lang w:val="fr-FR"/>
        </w:rPr>
        <w:t>mise en œuvre plus large de l</w:t>
      </w:r>
      <w:r w:rsidR="00923E72">
        <w:rPr>
          <w:rFonts w:eastAsia="Malgun Gothic"/>
          <w:lang w:val="fr-FR"/>
        </w:rPr>
        <w:t>’</w:t>
      </w:r>
      <w:r w:rsidRPr="00977C3F">
        <w:rPr>
          <w:rFonts w:eastAsia="Malgun Gothic"/>
          <w:lang w:val="fr-FR"/>
        </w:rPr>
        <w:t>article</w:t>
      </w:r>
      <w:r w:rsidR="006773EF">
        <w:rPr>
          <w:rFonts w:eastAsia="Malgun Gothic"/>
          <w:lang w:val="fr-FR"/>
        </w:rPr>
        <w:t> </w:t>
      </w:r>
      <w:r w:rsidRPr="00977C3F">
        <w:rPr>
          <w:rFonts w:eastAsia="Malgun Gothic"/>
          <w:lang w:val="fr-FR"/>
        </w:rPr>
        <w:t>18 de la Convention, soutenue par la Suède, serait utile à la sauvegarde du patrimoine culturel immatériel, l</w:t>
      </w:r>
      <w:r w:rsidR="00923E72">
        <w:rPr>
          <w:rFonts w:eastAsia="Malgun Gothic"/>
          <w:lang w:val="fr-FR"/>
        </w:rPr>
        <w:t>’</w:t>
      </w:r>
      <w:r w:rsidRPr="00977C3F">
        <w:rPr>
          <w:rFonts w:eastAsia="Malgun Gothic"/>
          <w:lang w:val="fr-FR"/>
        </w:rPr>
        <w:t xml:space="preserve">objectif ultime de la Convention elle-même. La République de Corée continuerait à contribuer à la mise en œuvre réussie de la Convention </w:t>
      </w:r>
      <w:r w:rsidR="00977C3F">
        <w:rPr>
          <w:rFonts w:eastAsia="Malgun Gothic"/>
          <w:lang w:val="fr-FR"/>
        </w:rPr>
        <w:t>et à</w:t>
      </w:r>
      <w:r w:rsidRPr="00977C3F">
        <w:rPr>
          <w:rFonts w:eastAsia="Malgun Gothic"/>
          <w:lang w:val="fr-FR"/>
        </w:rPr>
        <w:t xml:space="preserve"> particip</w:t>
      </w:r>
      <w:r w:rsidR="00977C3F">
        <w:rPr>
          <w:rFonts w:eastAsia="Malgun Gothic"/>
          <w:lang w:val="fr-FR"/>
        </w:rPr>
        <w:t>er</w:t>
      </w:r>
      <w:r w:rsidRPr="00977C3F">
        <w:rPr>
          <w:rFonts w:eastAsia="Malgun Gothic"/>
          <w:lang w:val="fr-FR"/>
        </w:rPr>
        <w:t xml:space="preserve"> aux efforts visant à faire en sorte que les mécanismes et les programmes pertinents reflètent mieux les besoins et les défis des diverses parties prenantes.</w:t>
      </w:r>
    </w:p>
    <w:p w14:paraId="71B1EB63" w14:textId="4EF0B865" w:rsidR="002B285B" w:rsidRDefault="002B285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2B285B">
        <w:rPr>
          <w:rFonts w:eastAsia="Malgun Gothic"/>
          <w:lang w:val="fr-FR"/>
        </w:rPr>
        <w:t xml:space="preserve">La délégation de la </w:t>
      </w:r>
      <w:r w:rsidRPr="002B285B">
        <w:rPr>
          <w:rFonts w:eastAsia="Malgun Gothic"/>
          <w:b/>
          <w:bCs/>
          <w:lang w:val="fr-FR"/>
        </w:rPr>
        <w:t>Malaisie</w:t>
      </w:r>
      <w:r w:rsidRPr="002B285B">
        <w:rPr>
          <w:rFonts w:eastAsia="Malgun Gothic"/>
          <w:lang w:val="fr-FR"/>
        </w:rPr>
        <w:t xml:space="preserve"> a remercié le Maroc pour l</w:t>
      </w:r>
      <w:r w:rsidR="00923E72">
        <w:rPr>
          <w:rFonts w:eastAsia="Malgun Gothic"/>
          <w:lang w:val="fr-FR"/>
        </w:rPr>
        <w:t>’</w:t>
      </w:r>
      <w:r w:rsidRPr="002B285B">
        <w:rPr>
          <w:rFonts w:eastAsia="Malgun Gothic"/>
          <w:lang w:val="fr-FR"/>
        </w:rPr>
        <w:t xml:space="preserve">hospitalité chaleureuse et </w:t>
      </w:r>
      <w:r w:rsidR="00814DD1">
        <w:rPr>
          <w:rFonts w:eastAsia="Malgun Gothic"/>
          <w:lang w:val="fr-FR"/>
        </w:rPr>
        <w:t>l</w:t>
      </w:r>
      <w:r w:rsidR="00923E72">
        <w:rPr>
          <w:rFonts w:eastAsia="Malgun Gothic"/>
          <w:lang w:val="fr-FR"/>
        </w:rPr>
        <w:t>’</w:t>
      </w:r>
      <w:r w:rsidRPr="002B285B">
        <w:rPr>
          <w:rFonts w:eastAsia="Malgun Gothic"/>
          <w:lang w:val="fr-FR"/>
        </w:rPr>
        <w:t>amab</w:t>
      </w:r>
      <w:r w:rsidR="00814DD1">
        <w:rPr>
          <w:rFonts w:eastAsia="Malgun Gothic"/>
          <w:lang w:val="fr-FR"/>
        </w:rPr>
        <w:t>ilité</w:t>
      </w:r>
      <w:r w:rsidRPr="002B285B">
        <w:rPr>
          <w:rFonts w:eastAsia="Malgun Gothic"/>
          <w:lang w:val="fr-FR"/>
        </w:rPr>
        <w:t xml:space="preserve"> dont il faisait preuve en accueillant la dix</w:t>
      </w:r>
      <w:r w:rsidR="00A17EF1">
        <w:rPr>
          <w:rFonts w:eastAsia="Malgun Gothic"/>
          <w:lang w:val="fr-FR"/>
        </w:rPr>
        <w:noBreakHyphen/>
      </w:r>
      <w:r w:rsidRPr="002B285B">
        <w:rPr>
          <w:rFonts w:eastAsia="Malgun Gothic"/>
          <w:lang w:val="fr-FR"/>
        </w:rPr>
        <w:t>septième session du Comité. Les programmes et les événements prévus tout au long de la semaine témoignaient d</w:t>
      </w:r>
      <w:r w:rsidR="00814DD1">
        <w:rPr>
          <w:rFonts w:eastAsia="Malgun Gothic"/>
          <w:lang w:val="fr-FR"/>
        </w:rPr>
        <w:t xml:space="preserve">es efforts conséquents </w:t>
      </w:r>
      <w:r w:rsidRPr="002B285B">
        <w:rPr>
          <w:rFonts w:eastAsia="Malgun Gothic"/>
          <w:lang w:val="fr-FR"/>
        </w:rPr>
        <w:t>d</w:t>
      </w:r>
      <w:r w:rsidR="00814DD1">
        <w:rPr>
          <w:rFonts w:eastAsia="Malgun Gothic"/>
          <w:lang w:val="fr-FR"/>
        </w:rPr>
        <w:t>éployés par le</w:t>
      </w:r>
      <w:r w:rsidRPr="002B285B">
        <w:rPr>
          <w:rFonts w:eastAsia="Malgun Gothic"/>
          <w:lang w:val="fr-FR"/>
        </w:rPr>
        <w:t xml:space="preserve"> Maroc </w:t>
      </w:r>
      <w:r w:rsidR="00814DD1">
        <w:rPr>
          <w:rFonts w:eastAsia="Malgun Gothic"/>
          <w:lang w:val="fr-FR"/>
        </w:rPr>
        <w:t xml:space="preserve">pour </w:t>
      </w:r>
      <w:r w:rsidRPr="002B285B">
        <w:rPr>
          <w:rFonts w:eastAsia="Malgun Gothic"/>
          <w:lang w:val="fr-FR"/>
        </w:rPr>
        <w:t>assurer le succès de la réunion. La Malaisie a félicité le Président, persuadée qu</w:t>
      </w:r>
      <w:r w:rsidR="00923E72">
        <w:rPr>
          <w:rFonts w:eastAsia="Malgun Gothic"/>
          <w:lang w:val="fr-FR"/>
        </w:rPr>
        <w:t>’</w:t>
      </w:r>
      <w:r w:rsidRPr="002B285B">
        <w:rPr>
          <w:rFonts w:eastAsia="Malgun Gothic"/>
          <w:lang w:val="fr-FR"/>
        </w:rPr>
        <w:t xml:space="preserve">il mènerait la réunion avec succès. La Malaisie </w:t>
      </w:r>
      <w:r w:rsidR="00814DD1">
        <w:rPr>
          <w:rFonts w:eastAsia="Malgun Gothic"/>
          <w:lang w:val="fr-FR"/>
        </w:rPr>
        <w:t>a salué</w:t>
      </w:r>
      <w:r w:rsidRPr="002B285B">
        <w:rPr>
          <w:rFonts w:eastAsia="Malgun Gothic"/>
          <w:lang w:val="fr-FR"/>
        </w:rPr>
        <w:t xml:space="preserve"> l</w:t>
      </w:r>
      <w:r w:rsidR="00923E72">
        <w:rPr>
          <w:rFonts w:eastAsia="Malgun Gothic"/>
          <w:lang w:val="fr-FR"/>
        </w:rPr>
        <w:t>’</w:t>
      </w:r>
      <w:r w:rsidRPr="002B285B">
        <w:rPr>
          <w:rFonts w:eastAsia="Malgun Gothic"/>
          <w:lang w:val="fr-FR"/>
        </w:rPr>
        <w:t>annonce faite plus tôt concernant la création du Centre national du patrimoine culturel immatériel au Maroc, qui permettrait de renforcer les initiatives visant à protéger, promouvoir et sauvegarder le patrimoine culturel immatériel, en particulier auprès des jeunes. C</w:t>
      </w:r>
      <w:r w:rsidR="00923E72">
        <w:rPr>
          <w:rFonts w:eastAsia="Malgun Gothic"/>
          <w:lang w:val="fr-FR"/>
        </w:rPr>
        <w:t>’</w:t>
      </w:r>
      <w:r w:rsidRPr="002B285B">
        <w:rPr>
          <w:rFonts w:eastAsia="Malgun Gothic"/>
          <w:lang w:val="fr-FR"/>
        </w:rPr>
        <w:t>était la première fois que la Malaisie était élue au Comité, et elle était honorée d</w:t>
      </w:r>
      <w:r w:rsidR="00923E72">
        <w:rPr>
          <w:rFonts w:eastAsia="Malgun Gothic"/>
          <w:lang w:val="fr-FR"/>
        </w:rPr>
        <w:t>’</w:t>
      </w:r>
      <w:r w:rsidRPr="002B285B">
        <w:rPr>
          <w:rFonts w:eastAsia="Malgun Gothic"/>
          <w:lang w:val="fr-FR"/>
        </w:rPr>
        <w:t>être à Rabat, exprimant sa gratitude à tous les États parties qui avaient soutenu son élection et félicitant tous les membres du Comité nouvellement élus. Il était en effet heureux qu</w:t>
      </w:r>
      <w:r w:rsidR="00923E72">
        <w:rPr>
          <w:rFonts w:eastAsia="Malgun Gothic"/>
          <w:lang w:val="fr-FR"/>
        </w:rPr>
        <w:t>’</w:t>
      </w:r>
      <w:r w:rsidRPr="002B285B">
        <w:rPr>
          <w:rFonts w:eastAsia="Malgun Gothic"/>
          <w:lang w:val="fr-FR"/>
        </w:rPr>
        <w:t>après plus de deux an</w:t>
      </w:r>
      <w:r w:rsidR="00814DD1">
        <w:rPr>
          <w:rFonts w:eastAsia="Malgun Gothic"/>
          <w:lang w:val="fr-FR"/>
        </w:rPr>
        <w:t>née</w:t>
      </w:r>
      <w:r w:rsidRPr="002B285B">
        <w:rPr>
          <w:rFonts w:eastAsia="Malgun Gothic"/>
          <w:lang w:val="fr-FR"/>
        </w:rPr>
        <w:t>s d</w:t>
      </w:r>
      <w:r w:rsidR="00923E72">
        <w:rPr>
          <w:rFonts w:eastAsia="Malgun Gothic"/>
          <w:lang w:val="fr-FR"/>
        </w:rPr>
        <w:t>’</w:t>
      </w:r>
      <w:r w:rsidRPr="002B285B">
        <w:rPr>
          <w:rFonts w:eastAsia="Malgun Gothic"/>
          <w:lang w:val="fr-FR"/>
        </w:rPr>
        <w:t>interruption due à la COVID</w:t>
      </w:r>
      <w:r w:rsidR="00042B4E">
        <w:rPr>
          <w:rFonts w:eastAsia="Malgun Gothic"/>
          <w:lang w:val="fr-FR"/>
        </w:rPr>
        <w:noBreakHyphen/>
      </w:r>
      <w:r w:rsidRPr="002B285B">
        <w:rPr>
          <w:rFonts w:eastAsia="Malgun Gothic"/>
          <w:lang w:val="fr-FR"/>
        </w:rPr>
        <w:t>19, le Comité se réunisse à Rabat. Il ne faisait aucun doute que la Convention</w:t>
      </w:r>
      <w:r w:rsidR="00977C3F">
        <w:rPr>
          <w:rFonts w:eastAsia="Malgun Gothic"/>
          <w:lang w:val="fr-FR"/>
        </w:rPr>
        <w:t xml:space="preserve"> </w:t>
      </w:r>
      <w:r w:rsidRPr="002B285B">
        <w:rPr>
          <w:rFonts w:eastAsia="Malgun Gothic"/>
          <w:lang w:val="fr-FR"/>
        </w:rPr>
        <w:t>avait gagné en importance au fil d</w:t>
      </w:r>
      <w:r w:rsidR="00977C3F">
        <w:rPr>
          <w:rFonts w:eastAsia="Malgun Gothic"/>
          <w:lang w:val="fr-FR"/>
        </w:rPr>
        <w:t>u temps.</w:t>
      </w:r>
      <w:r w:rsidRPr="002B285B">
        <w:rPr>
          <w:rFonts w:eastAsia="Malgun Gothic"/>
          <w:lang w:val="fr-FR"/>
        </w:rPr>
        <w:t xml:space="preserve"> La Convention démontrait que la culture doit être partagée, valorisée et chérie par tous, car elle incarne et reflète les modes de vie des communautés hérités de générations en générations. Il convenait donc que tous les États parties prennent les mesures nécessaires pour sauvegarder et protéger leur patrimoine culturel immatériel, comme le stipule la Convention. La Malaisie a félicité le Secrétariat d</w:t>
      </w:r>
      <w:r w:rsidR="00923E72">
        <w:rPr>
          <w:rFonts w:eastAsia="Malgun Gothic"/>
          <w:lang w:val="fr-FR"/>
        </w:rPr>
        <w:t>’</w:t>
      </w:r>
      <w:r w:rsidRPr="002B285B">
        <w:rPr>
          <w:rFonts w:eastAsia="Malgun Gothic"/>
          <w:lang w:val="fr-FR"/>
        </w:rPr>
        <w:t>être parvenu à conclure la réflexion sur les mécanismes d</w:t>
      </w:r>
      <w:r w:rsidR="00923E72">
        <w:rPr>
          <w:rFonts w:eastAsia="Malgun Gothic"/>
          <w:lang w:val="fr-FR"/>
        </w:rPr>
        <w:t>’</w:t>
      </w:r>
      <w:r w:rsidRPr="002B285B">
        <w:rPr>
          <w:rFonts w:eastAsia="Malgun Gothic"/>
          <w:lang w:val="fr-FR"/>
        </w:rPr>
        <w:t xml:space="preserve">inscription, avec le soutien du Japon, ainsi que les recommandations finales et les révisions des Directives opérationnelles. Elle a félicité le Secrétariat </w:t>
      </w:r>
      <w:r w:rsidR="00814DD1">
        <w:rPr>
          <w:rFonts w:eastAsia="Malgun Gothic"/>
          <w:lang w:val="fr-FR"/>
        </w:rPr>
        <w:t>d</w:t>
      </w:r>
      <w:r w:rsidR="00923E72">
        <w:rPr>
          <w:rFonts w:eastAsia="Malgun Gothic"/>
          <w:lang w:val="fr-FR"/>
        </w:rPr>
        <w:t>’</w:t>
      </w:r>
      <w:r w:rsidRPr="002B285B">
        <w:rPr>
          <w:rFonts w:eastAsia="Malgun Gothic"/>
          <w:lang w:val="fr-FR"/>
        </w:rPr>
        <w:t xml:space="preserve">avoir réussi à harmoniser le Règlement intérieur de la Convention avec </w:t>
      </w:r>
      <w:r w:rsidR="00814DD1">
        <w:rPr>
          <w:rFonts w:eastAsia="Malgun Gothic"/>
          <w:lang w:val="fr-FR"/>
        </w:rPr>
        <w:t xml:space="preserve">celui </w:t>
      </w:r>
      <w:r w:rsidRPr="002B285B">
        <w:rPr>
          <w:rFonts w:eastAsia="Malgun Gothic"/>
          <w:lang w:val="fr-FR"/>
        </w:rPr>
        <w:t>d</w:t>
      </w:r>
      <w:r w:rsidR="00923E72">
        <w:rPr>
          <w:rFonts w:eastAsia="Malgun Gothic"/>
          <w:lang w:val="fr-FR"/>
        </w:rPr>
        <w:t>’</w:t>
      </w:r>
      <w:r w:rsidRPr="002B285B">
        <w:rPr>
          <w:rFonts w:eastAsia="Malgun Gothic"/>
          <w:lang w:val="fr-FR"/>
        </w:rPr>
        <w:t xml:space="preserve">autres conventions, la première des sept conventions à </w:t>
      </w:r>
      <w:r w:rsidR="008A3C43">
        <w:rPr>
          <w:rFonts w:eastAsia="Malgun Gothic"/>
          <w:lang w:val="fr-FR"/>
        </w:rPr>
        <w:t xml:space="preserve">mener </w:t>
      </w:r>
      <w:r w:rsidR="00977C3F">
        <w:rPr>
          <w:rFonts w:eastAsia="Malgun Gothic"/>
          <w:lang w:val="fr-FR"/>
        </w:rPr>
        <w:t>cette</w:t>
      </w:r>
      <w:r w:rsidRPr="002B285B">
        <w:rPr>
          <w:rFonts w:eastAsia="Malgun Gothic"/>
          <w:lang w:val="fr-FR"/>
        </w:rPr>
        <w:t xml:space="preserve"> harmonisation.</w:t>
      </w:r>
    </w:p>
    <w:p w14:paraId="67A9926C" w14:textId="19D010FF" w:rsidR="00814DD1" w:rsidRDefault="00814DD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814DD1">
        <w:rPr>
          <w:rFonts w:eastAsia="Malgun Gothic"/>
          <w:lang w:val="fr-FR"/>
        </w:rPr>
        <w:t xml:space="preserve">La délégation de la </w:t>
      </w:r>
      <w:r w:rsidRPr="00814DD1">
        <w:rPr>
          <w:rFonts w:eastAsia="Malgun Gothic"/>
          <w:b/>
          <w:bCs/>
          <w:lang w:val="fr-FR"/>
        </w:rPr>
        <w:t>Malaisie</w:t>
      </w:r>
      <w:r w:rsidRPr="00814DD1">
        <w:rPr>
          <w:rFonts w:eastAsia="Malgun Gothic"/>
          <w:lang w:val="fr-FR"/>
        </w:rPr>
        <w:t xml:space="preserve"> </w:t>
      </w:r>
      <w:r w:rsidR="0054238E">
        <w:rPr>
          <w:rFonts w:eastAsia="Malgun Gothic"/>
          <w:lang w:val="fr-FR"/>
        </w:rPr>
        <w:t xml:space="preserve">a </w:t>
      </w:r>
      <w:r w:rsidR="0054238E" w:rsidRPr="0054238E">
        <w:rPr>
          <w:rFonts w:eastAsia="Malgun Gothic"/>
          <w:color w:val="000000" w:themeColor="text1"/>
          <w:lang w:val="fr-FR"/>
        </w:rPr>
        <w:t>également</w:t>
      </w:r>
      <w:r w:rsidR="0054238E">
        <w:rPr>
          <w:rFonts w:eastAsia="Malgun Gothic"/>
          <w:color w:val="000000" w:themeColor="text1"/>
          <w:lang w:val="fr-FR"/>
        </w:rPr>
        <w:t xml:space="preserve"> salué le s</w:t>
      </w:r>
      <w:r w:rsidRPr="00814DD1">
        <w:rPr>
          <w:rFonts w:eastAsia="Malgun Gothic"/>
          <w:lang w:val="fr-FR"/>
        </w:rPr>
        <w:t xml:space="preserve">outien continu apporté </w:t>
      </w:r>
      <w:r w:rsidR="0054238E">
        <w:rPr>
          <w:rFonts w:eastAsia="Malgun Gothic"/>
          <w:lang w:val="fr-FR"/>
        </w:rPr>
        <w:t xml:space="preserve">aux pays par les </w:t>
      </w:r>
      <w:r w:rsidRPr="00814DD1">
        <w:rPr>
          <w:rFonts w:eastAsia="Malgun Gothic"/>
          <w:lang w:val="fr-FR"/>
        </w:rPr>
        <w:t>efforts nationaux de sauvegarde</w:t>
      </w:r>
      <w:r w:rsidR="0054238E">
        <w:rPr>
          <w:rFonts w:eastAsia="Malgun Gothic"/>
          <w:lang w:val="fr-FR"/>
        </w:rPr>
        <w:t>,</w:t>
      </w:r>
      <w:r w:rsidRPr="00814DD1">
        <w:rPr>
          <w:rFonts w:eastAsia="Malgun Gothic"/>
          <w:lang w:val="fr-FR"/>
        </w:rPr>
        <w:t xml:space="preserve"> </w:t>
      </w:r>
      <w:r w:rsidR="0054238E">
        <w:rPr>
          <w:rFonts w:eastAsia="Malgun Gothic"/>
          <w:lang w:val="fr-FR"/>
        </w:rPr>
        <w:t>mis en œuvre dans le cadre</w:t>
      </w:r>
      <w:r w:rsidRPr="00814DD1">
        <w:rPr>
          <w:rFonts w:eastAsia="Malgun Gothic"/>
          <w:lang w:val="fr-FR"/>
        </w:rPr>
        <w:t xml:space="preserve"> du mécanisme d</w:t>
      </w:r>
      <w:r w:rsidR="00923E72">
        <w:rPr>
          <w:rFonts w:eastAsia="Malgun Gothic"/>
          <w:lang w:val="fr-FR"/>
        </w:rPr>
        <w:t>’</w:t>
      </w:r>
      <w:r w:rsidRPr="00814DD1">
        <w:rPr>
          <w:rFonts w:eastAsia="Malgun Gothic"/>
          <w:lang w:val="fr-FR"/>
        </w:rPr>
        <w:t>assistance internationale et des programmes de renforcement des capacités organisés par le Secrétariat. Ces programmes permettraient de promouvoir et d</w:t>
      </w:r>
      <w:r w:rsidR="00923E72">
        <w:rPr>
          <w:rFonts w:eastAsia="Malgun Gothic"/>
          <w:lang w:val="fr-FR"/>
        </w:rPr>
        <w:t>’</w:t>
      </w:r>
      <w:r w:rsidRPr="00814DD1">
        <w:rPr>
          <w:rFonts w:eastAsia="Malgun Gothic"/>
          <w:lang w:val="fr-FR"/>
        </w:rPr>
        <w:t>améliorer la sauvegarde du patrimoine culturel immatériel dans les pays. Conformément à son engagement, la Malaisie a</w:t>
      </w:r>
      <w:r w:rsidR="00042B4E">
        <w:rPr>
          <w:rFonts w:eastAsia="Malgun Gothic"/>
          <w:lang w:val="fr-FR"/>
        </w:rPr>
        <w:t>vait</w:t>
      </w:r>
      <w:r w:rsidRPr="00814DD1">
        <w:rPr>
          <w:rFonts w:eastAsia="Malgun Gothic"/>
          <w:lang w:val="fr-FR"/>
        </w:rPr>
        <w:t xml:space="preserve"> </w:t>
      </w:r>
      <w:r w:rsidR="00042B4E">
        <w:rPr>
          <w:rFonts w:eastAsia="Malgun Gothic"/>
          <w:lang w:val="fr-FR"/>
        </w:rPr>
        <w:t xml:space="preserve">organisé </w:t>
      </w:r>
      <w:r w:rsidRPr="00814DD1">
        <w:rPr>
          <w:rFonts w:eastAsia="Malgun Gothic"/>
          <w:lang w:val="fr-FR"/>
        </w:rPr>
        <w:t xml:space="preserve">la première Conférence internationale sur le patrimoine culturel immatériel, </w:t>
      </w:r>
      <w:r w:rsidR="008A3C43">
        <w:rPr>
          <w:rFonts w:eastAsia="Malgun Gothic"/>
          <w:lang w:val="fr-FR"/>
        </w:rPr>
        <w:t>qui s</w:t>
      </w:r>
      <w:r w:rsidR="00923E72">
        <w:rPr>
          <w:rFonts w:eastAsia="Malgun Gothic"/>
          <w:lang w:val="fr-FR"/>
        </w:rPr>
        <w:t>’</w:t>
      </w:r>
      <w:r w:rsidR="008A3C43">
        <w:rPr>
          <w:rFonts w:eastAsia="Malgun Gothic"/>
          <w:lang w:val="fr-FR"/>
        </w:rPr>
        <w:t xml:space="preserve">était </w:t>
      </w:r>
      <w:r w:rsidRPr="00814DD1">
        <w:rPr>
          <w:rFonts w:eastAsia="Malgun Gothic"/>
          <w:lang w:val="fr-FR"/>
        </w:rPr>
        <w:t>tenue du</w:t>
      </w:r>
      <w:r w:rsidR="0065686B">
        <w:rPr>
          <w:rFonts w:eastAsia="Malgun Gothic"/>
          <w:lang w:val="fr-FR"/>
        </w:rPr>
        <w:t> </w:t>
      </w:r>
      <w:r w:rsidRPr="00814DD1">
        <w:rPr>
          <w:rFonts w:eastAsia="Malgun Gothic"/>
          <w:lang w:val="fr-FR"/>
        </w:rPr>
        <w:t>26 au 28</w:t>
      </w:r>
      <w:r w:rsidR="00042B4E">
        <w:rPr>
          <w:rFonts w:eastAsia="Malgun Gothic"/>
          <w:lang w:val="fr-FR"/>
        </w:rPr>
        <w:t> </w:t>
      </w:r>
      <w:r w:rsidRPr="00814DD1">
        <w:rPr>
          <w:rFonts w:eastAsia="Malgun Gothic"/>
          <w:lang w:val="fr-FR"/>
        </w:rPr>
        <w:t>octobre</w:t>
      </w:r>
      <w:r w:rsidR="00042B4E">
        <w:rPr>
          <w:rFonts w:eastAsia="Malgun Gothic"/>
          <w:lang w:val="fr-FR"/>
        </w:rPr>
        <w:t> </w:t>
      </w:r>
      <w:r w:rsidRPr="00814DD1">
        <w:rPr>
          <w:rFonts w:eastAsia="Malgun Gothic"/>
          <w:lang w:val="fr-FR"/>
        </w:rPr>
        <w:t xml:space="preserve">2022, </w:t>
      </w:r>
      <w:r w:rsidR="00042B4E">
        <w:rPr>
          <w:rFonts w:eastAsia="Malgun Gothic"/>
          <w:lang w:val="fr-FR"/>
        </w:rPr>
        <w:t>sous une forme</w:t>
      </w:r>
      <w:r w:rsidRPr="00814DD1">
        <w:rPr>
          <w:rFonts w:eastAsia="Malgun Gothic"/>
          <w:lang w:val="fr-FR"/>
        </w:rPr>
        <w:t xml:space="preserve"> hybride, avec le soutien du Secrétariat. Cette conférence comptait parmi ses participants des États parties, notamment la Malaisie, Singapour, la Thaïlande, l</w:t>
      </w:r>
      <w:r w:rsidR="00923E72">
        <w:rPr>
          <w:rFonts w:eastAsia="Malgun Gothic"/>
          <w:lang w:val="fr-FR"/>
        </w:rPr>
        <w:t>’</w:t>
      </w:r>
      <w:r w:rsidRPr="00814DD1">
        <w:rPr>
          <w:rFonts w:eastAsia="Malgun Gothic"/>
          <w:lang w:val="fr-FR"/>
        </w:rPr>
        <w:t>Inde, l</w:t>
      </w:r>
      <w:r w:rsidR="00923E72">
        <w:rPr>
          <w:rFonts w:eastAsia="Malgun Gothic"/>
          <w:lang w:val="fr-FR"/>
        </w:rPr>
        <w:t>’</w:t>
      </w:r>
      <w:r w:rsidRPr="00814DD1">
        <w:rPr>
          <w:rFonts w:eastAsia="Malgun Gothic"/>
          <w:lang w:val="fr-FR"/>
        </w:rPr>
        <w:t>Indonésie, l</w:t>
      </w:r>
      <w:r w:rsidR="00923E72">
        <w:rPr>
          <w:rFonts w:eastAsia="Malgun Gothic"/>
          <w:lang w:val="fr-FR"/>
        </w:rPr>
        <w:t>’</w:t>
      </w:r>
      <w:r w:rsidRPr="00814DD1">
        <w:rPr>
          <w:rFonts w:eastAsia="Malgun Gothic"/>
          <w:lang w:val="fr-FR"/>
        </w:rPr>
        <w:t>Allemagne, le Japon, la République de Corée et les Philippines. Les participants avaient échangé et discuté sur le thème des bonnes mesures et pratiques de sauvegarde. La Malaisie a remercié une fois de plus le Secrétaire pour son discours d</w:t>
      </w:r>
      <w:r w:rsidR="00923E72">
        <w:rPr>
          <w:rFonts w:eastAsia="Malgun Gothic"/>
          <w:lang w:val="fr-FR"/>
        </w:rPr>
        <w:t>’</w:t>
      </w:r>
      <w:r w:rsidRPr="00814DD1">
        <w:rPr>
          <w:rFonts w:eastAsia="Malgun Gothic"/>
          <w:lang w:val="fr-FR"/>
        </w:rPr>
        <w:t>ouverture de la session</w:t>
      </w:r>
      <w:r w:rsidR="0065686B">
        <w:rPr>
          <w:rFonts w:eastAsia="Malgun Gothic"/>
          <w:lang w:val="fr-FR"/>
        </w:rPr>
        <w:t>,</w:t>
      </w:r>
      <w:r w:rsidRPr="00814DD1">
        <w:rPr>
          <w:rFonts w:eastAsia="Malgun Gothic"/>
          <w:lang w:val="fr-FR"/>
        </w:rPr>
        <w:t xml:space="preserve"> qui avait permis de mieux comprendre la Convention, en particulier dans la région Asie-Pacifique. La Malaisie </w:t>
      </w:r>
      <w:r w:rsidRPr="00814DD1">
        <w:rPr>
          <w:rFonts w:eastAsia="Malgun Gothic"/>
          <w:lang w:val="fr-FR"/>
        </w:rPr>
        <w:lastRenderedPageBreak/>
        <w:t>appréciait les efforts d</w:t>
      </w:r>
      <w:r w:rsidR="00042B4E">
        <w:rPr>
          <w:rFonts w:eastAsia="Malgun Gothic"/>
          <w:lang w:val="fr-FR"/>
        </w:rPr>
        <w:t>éployés par le</w:t>
      </w:r>
      <w:r w:rsidRPr="00814DD1">
        <w:rPr>
          <w:rFonts w:eastAsia="Malgun Gothic"/>
          <w:lang w:val="fr-FR"/>
        </w:rPr>
        <w:t xml:space="preserve"> Secrétariat pour soutenir les pays dans le renforcement des capacités de sauvegarde du patrimoine culturel immatériel, y compris l</w:t>
      </w:r>
      <w:r w:rsidR="00923E72">
        <w:rPr>
          <w:rFonts w:eastAsia="Malgun Gothic"/>
          <w:lang w:val="fr-FR"/>
        </w:rPr>
        <w:t>’</w:t>
      </w:r>
      <w:r w:rsidRPr="00814DD1">
        <w:rPr>
          <w:rFonts w:eastAsia="Malgun Gothic"/>
          <w:lang w:val="fr-FR"/>
        </w:rPr>
        <w:t>inventaire, les plans de sauvegarde, l</w:t>
      </w:r>
      <w:r w:rsidR="00923E72">
        <w:rPr>
          <w:rFonts w:eastAsia="Malgun Gothic"/>
          <w:lang w:val="fr-FR"/>
        </w:rPr>
        <w:t>’</w:t>
      </w:r>
      <w:r w:rsidRPr="00814DD1">
        <w:rPr>
          <w:rFonts w:eastAsia="Malgun Gothic"/>
          <w:lang w:val="fr-FR"/>
        </w:rPr>
        <w:t>élaboration de politiques dans différents domaines thématiques, notamment les situations d</w:t>
      </w:r>
      <w:r w:rsidR="00923E72">
        <w:rPr>
          <w:rFonts w:eastAsia="Malgun Gothic"/>
          <w:lang w:val="fr-FR"/>
        </w:rPr>
        <w:t>’</w:t>
      </w:r>
      <w:r w:rsidRPr="00814DD1">
        <w:rPr>
          <w:rFonts w:eastAsia="Malgun Gothic"/>
          <w:lang w:val="fr-FR"/>
        </w:rPr>
        <w:t>urgence, et l</w:t>
      </w:r>
      <w:r w:rsidR="00923E72">
        <w:rPr>
          <w:rFonts w:eastAsia="Malgun Gothic"/>
          <w:lang w:val="fr-FR"/>
        </w:rPr>
        <w:t>’</w:t>
      </w:r>
      <w:r w:rsidRPr="00814DD1">
        <w:rPr>
          <w:rFonts w:eastAsia="Malgun Gothic"/>
          <w:lang w:val="fr-FR"/>
        </w:rPr>
        <w:t>éducation dans les contextes urbains, ce qui bénéfici</w:t>
      </w:r>
      <w:r w:rsidR="00F27401">
        <w:rPr>
          <w:rFonts w:eastAsia="Malgun Gothic"/>
          <w:lang w:val="fr-FR"/>
        </w:rPr>
        <w:t>ait</w:t>
      </w:r>
      <w:r w:rsidRPr="00814DD1">
        <w:rPr>
          <w:rFonts w:eastAsia="Malgun Gothic"/>
          <w:lang w:val="fr-FR"/>
        </w:rPr>
        <w:t xml:space="preserve"> à quatre</w:t>
      </w:r>
      <w:r w:rsidR="00042B4E">
        <w:rPr>
          <w:rFonts w:eastAsia="Malgun Gothic"/>
          <w:lang w:val="fr-FR"/>
        </w:rPr>
        <w:noBreakHyphen/>
      </w:r>
      <w:r w:rsidRPr="00814DD1">
        <w:rPr>
          <w:rFonts w:eastAsia="Malgun Gothic"/>
          <w:lang w:val="fr-FR"/>
        </w:rPr>
        <w:t>vingt</w:t>
      </w:r>
      <w:r w:rsidR="00042B4E">
        <w:rPr>
          <w:rFonts w:eastAsia="Malgun Gothic"/>
          <w:lang w:val="fr-FR"/>
        </w:rPr>
        <w:noBreakHyphen/>
      </w:r>
      <w:r w:rsidRPr="00814DD1">
        <w:rPr>
          <w:rFonts w:eastAsia="Malgun Gothic"/>
          <w:lang w:val="fr-FR"/>
        </w:rPr>
        <w:t>seize États membres. La Malaisie s</w:t>
      </w:r>
      <w:r w:rsidR="00923E72">
        <w:rPr>
          <w:rFonts w:eastAsia="Malgun Gothic"/>
          <w:lang w:val="fr-FR"/>
        </w:rPr>
        <w:t>’</w:t>
      </w:r>
      <w:r w:rsidRPr="00814DD1">
        <w:rPr>
          <w:rFonts w:eastAsia="Malgun Gothic"/>
          <w:lang w:val="fr-FR"/>
        </w:rPr>
        <w:t>est déclarée satisfaite du rapport du Secrétariat</w:t>
      </w:r>
      <w:r w:rsidR="001878FE">
        <w:rPr>
          <w:rFonts w:eastAsia="Malgun Gothic"/>
          <w:lang w:val="fr-FR"/>
        </w:rPr>
        <w:t>,</w:t>
      </w:r>
      <w:r w:rsidRPr="00814DD1">
        <w:rPr>
          <w:rFonts w:eastAsia="Malgun Gothic"/>
          <w:lang w:val="fr-FR"/>
        </w:rPr>
        <w:t xml:space="preserve"> malgré les difficultés et la charge de travail, et a exprimé le souhait que le Secrétariat continue à être soutenu par les pays, les ONG et toutes les parties concernées par ce</w:t>
      </w:r>
      <w:r w:rsidR="00F27401">
        <w:rPr>
          <w:rFonts w:eastAsia="Malgun Gothic"/>
          <w:lang w:val="fr-FR"/>
        </w:rPr>
        <w:t xml:space="preserve"> travail</w:t>
      </w:r>
      <w:r w:rsidRPr="00814DD1">
        <w:rPr>
          <w:rFonts w:eastAsia="Malgun Gothic"/>
          <w:lang w:val="fr-FR"/>
        </w:rPr>
        <w:t>. La Malaisie, qui était convaincue que les discussions seraient fructueuses et constructives, s</w:t>
      </w:r>
      <w:r w:rsidR="00923E72">
        <w:rPr>
          <w:rFonts w:eastAsia="Malgun Gothic"/>
          <w:lang w:val="fr-FR"/>
        </w:rPr>
        <w:t>’</w:t>
      </w:r>
      <w:r w:rsidRPr="00814DD1">
        <w:rPr>
          <w:rFonts w:eastAsia="Malgun Gothic"/>
          <w:lang w:val="fr-FR"/>
        </w:rPr>
        <w:t>est réjouie à l</w:t>
      </w:r>
      <w:r w:rsidR="00923E72">
        <w:rPr>
          <w:rFonts w:eastAsia="Malgun Gothic"/>
          <w:lang w:val="fr-FR"/>
        </w:rPr>
        <w:t>’</w:t>
      </w:r>
      <w:r w:rsidRPr="00814DD1">
        <w:rPr>
          <w:rFonts w:eastAsia="Malgun Gothic"/>
          <w:lang w:val="fr-FR"/>
        </w:rPr>
        <w:t>idée de partager son expérience et son engagement en faveur de la Convention.</w:t>
      </w:r>
    </w:p>
    <w:p w14:paraId="7921A74E" w14:textId="5E97D841" w:rsidR="00042B4E" w:rsidRDefault="00042B4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042B4E">
        <w:rPr>
          <w:rFonts w:eastAsia="Malgun Gothic"/>
          <w:b/>
          <w:bCs/>
          <w:lang w:val="fr-FR"/>
        </w:rPr>
        <w:t>Président</w:t>
      </w:r>
      <w:r>
        <w:rPr>
          <w:rFonts w:eastAsia="Malgun Gothic"/>
          <w:lang w:val="fr-FR"/>
        </w:rPr>
        <w:t xml:space="preserve"> a remercié la Malaisie et l</w:t>
      </w:r>
      <w:r w:rsidR="00923E72">
        <w:rPr>
          <w:rFonts w:eastAsia="Malgun Gothic"/>
          <w:lang w:val="fr-FR"/>
        </w:rPr>
        <w:t>’</w:t>
      </w:r>
      <w:r>
        <w:rPr>
          <w:rFonts w:eastAsia="Malgun Gothic"/>
          <w:lang w:val="fr-FR"/>
        </w:rPr>
        <w:t>a félicitée pour son élection à ce Comité, la remerciant de son engagement en faveur de l</w:t>
      </w:r>
      <w:r w:rsidR="00923E72">
        <w:rPr>
          <w:rFonts w:eastAsia="Malgun Gothic"/>
          <w:lang w:val="fr-FR"/>
        </w:rPr>
        <w:t>’</w:t>
      </w:r>
      <w:r>
        <w:rPr>
          <w:rFonts w:eastAsia="Malgun Gothic"/>
          <w:lang w:val="fr-FR"/>
        </w:rPr>
        <w:t xml:space="preserve">esprit et des valeurs de cette </w:t>
      </w:r>
      <w:r w:rsidRPr="00042B4E">
        <w:rPr>
          <w:rFonts w:eastAsia="Malgun Gothic"/>
          <w:lang w:val="fr-FR"/>
        </w:rPr>
        <w:t>Convention</w:t>
      </w:r>
      <w:r>
        <w:rPr>
          <w:rFonts w:eastAsia="Malgun Gothic"/>
          <w:lang w:val="fr-FR"/>
        </w:rPr>
        <w:t>.</w:t>
      </w:r>
    </w:p>
    <w:p w14:paraId="1A1EFB3E" w14:textId="6E10E850" w:rsidR="00042B4E" w:rsidRPr="00A64762" w:rsidRDefault="00042B4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042B4E">
        <w:rPr>
          <w:rFonts w:eastAsia="Malgun Gothic"/>
          <w:lang w:val="fr-FR"/>
        </w:rPr>
        <w:t>La délégation de l</w:t>
      </w:r>
      <w:r w:rsidR="00923E72">
        <w:rPr>
          <w:rFonts w:eastAsia="Malgun Gothic"/>
          <w:lang w:val="fr-FR"/>
        </w:rPr>
        <w:t>’</w:t>
      </w:r>
      <w:r w:rsidRPr="00042B4E">
        <w:rPr>
          <w:rFonts w:eastAsia="Malgun Gothic"/>
          <w:b/>
          <w:bCs/>
          <w:lang w:val="fr-FR"/>
        </w:rPr>
        <w:t>Inde</w:t>
      </w:r>
      <w:r w:rsidRPr="00042B4E">
        <w:rPr>
          <w:rFonts w:eastAsia="Malgun Gothic"/>
          <w:lang w:val="fr-FR"/>
        </w:rPr>
        <w:t xml:space="preserve"> a félicité le Président pour son élection, exprimant </w:t>
      </w:r>
      <w:r w:rsidR="00A64762" w:rsidRPr="00A64762">
        <w:rPr>
          <w:rFonts w:eastAsia="Malgun Gothic"/>
          <w:color w:val="000000" w:themeColor="text1"/>
          <w:lang w:val="fr-FR"/>
        </w:rPr>
        <w:t>également</w:t>
      </w:r>
      <w:r w:rsidR="00A64762">
        <w:rPr>
          <w:rFonts w:eastAsia="Malgun Gothic"/>
          <w:color w:val="000000" w:themeColor="text1"/>
          <w:lang w:val="fr-FR"/>
        </w:rPr>
        <w:t xml:space="preserve"> </w:t>
      </w:r>
      <w:r w:rsidRPr="00A64762">
        <w:rPr>
          <w:rFonts w:eastAsia="Malgun Gothic"/>
          <w:lang w:val="fr-FR"/>
        </w:rPr>
        <w:t>sa gratitude au Maroc pour son accueil chaleureux, et pour l</w:t>
      </w:r>
      <w:r w:rsidR="00923E72">
        <w:rPr>
          <w:rFonts w:eastAsia="Malgun Gothic"/>
          <w:lang w:val="fr-FR"/>
        </w:rPr>
        <w:t>’</w:t>
      </w:r>
      <w:r w:rsidRPr="00A64762">
        <w:rPr>
          <w:rFonts w:eastAsia="Malgun Gothic"/>
          <w:lang w:val="fr-FR"/>
        </w:rPr>
        <w:t>élection de l</w:t>
      </w:r>
      <w:r w:rsidR="00923E72">
        <w:rPr>
          <w:rFonts w:eastAsia="Malgun Gothic"/>
          <w:lang w:val="fr-FR"/>
        </w:rPr>
        <w:t>’</w:t>
      </w:r>
      <w:r w:rsidRPr="00A64762">
        <w:rPr>
          <w:rFonts w:eastAsia="Malgun Gothic"/>
          <w:lang w:val="fr-FR"/>
        </w:rPr>
        <w:t>Inde au Comité. E</w:t>
      </w:r>
      <w:r w:rsidR="00A64762">
        <w:rPr>
          <w:rFonts w:eastAsia="Malgun Gothic"/>
          <w:lang w:val="fr-FR"/>
        </w:rPr>
        <w:t>n outre, e</w:t>
      </w:r>
      <w:r w:rsidRPr="00A64762">
        <w:rPr>
          <w:rFonts w:eastAsia="Malgun Gothic"/>
          <w:lang w:val="fr-FR"/>
        </w:rPr>
        <w:t xml:space="preserve">lle </w:t>
      </w:r>
      <w:r w:rsidR="00A64762">
        <w:rPr>
          <w:rFonts w:eastAsia="Malgun Gothic"/>
          <w:lang w:val="fr-FR"/>
        </w:rPr>
        <w:t xml:space="preserve">a </w:t>
      </w:r>
      <w:r w:rsidRPr="00A64762">
        <w:rPr>
          <w:rFonts w:eastAsia="Malgun Gothic"/>
          <w:lang w:val="fr-FR"/>
        </w:rPr>
        <w:t>fait part de sa reconnaissance au Secrétaire pour le rapport complet sur les activités du Secrétariat</w:t>
      </w:r>
      <w:r w:rsidR="00F27401">
        <w:rPr>
          <w:rFonts w:eastAsia="Malgun Gothic"/>
          <w:lang w:val="fr-FR"/>
        </w:rPr>
        <w:t xml:space="preserve"> et </w:t>
      </w:r>
      <w:r w:rsidRPr="00A64762">
        <w:rPr>
          <w:rFonts w:eastAsia="Malgun Gothic"/>
          <w:lang w:val="fr-FR"/>
        </w:rPr>
        <w:t>a souligné l</w:t>
      </w:r>
      <w:r w:rsidR="00923E72">
        <w:rPr>
          <w:rFonts w:eastAsia="Malgun Gothic"/>
          <w:lang w:val="fr-FR"/>
        </w:rPr>
        <w:t>’</w:t>
      </w:r>
      <w:r w:rsidRPr="00A64762">
        <w:rPr>
          <w:rFonts w:eastAsia="Malgun Gothic"/>
          <w:lang w:val="fr-FR"/>
        </w:rPr>
        <w:t xml:space="preserve">importance </w:t>
      </w:r>
      <w:r w:rsidR="00F27401">
        <w:rPr>
          <w:rFonts w:eastAsia="Malgun Gothic"/>
          <w:lang w:val="fr-FR"/>
        </w:rPr>
        <w:t xml:space="preserve">du </w:t>
      </w:r>
      <w:r w:rsidRPr="00A64762">
        <w:rPr>
          <w:rFonts w:eastAsia="Malgun Gothic"/>
          <w:lang w:val="fr-FR"/>
        </w:rPr>
        <w:t>renforcement des capacités et de la création d</w:t>
      </w:r>
      <w:r w:rsidR="00923E72">
        <w:rPr>
          <w:rFonts w:eastAsia="Malgun Gothic"/>
          <w:lang w:val="fr-FR"/>
        </w:rPr>
        <w:t>’</w:t>
      </w:r>
      <w:r w:rsidRPr="00A64762">
        <w:rPr>
          <w:rFonts w:eastAsia="Malgun Gothic"/>
          <w:lang w:val="fr-FR"/>
        </w:rPr>
        <w:t xml:space="preserve">un plus grand nombre de sessions de formation </w:t>
      </w:r>
      <w:r w:rsidR="00F27401">
        <w:rPr>
          <w:rFonts w:eastAsia="Malgun Gothic"/>
          <w:lang w:val="fr-FR"/>
        </w:rPr>
        <w:t xml:space="preserve">pour </w:t>
      </w:r>
      <w:r w:rsidR="00F27401" w:rsidRPr="00F27401">
        <w:rPr>
          <w:rFonts w:eastAsia="Malgun Gothic"/>
          <w:bCs/>
          <w:color w:val="000000" w:themeColor="text1"/>
          <w:lang w:val="fr-FR"/>
        </w:rPr>
        <w:t>sauvegard</w:t>
      </w:r>
      <w:r w:rsidR="00F27401">
        <w:rPr>
          <w:rFonts w:eastAsia="Malgun Gothic"/>
          <w:bCs/>
          <w:color w:val="000000" w:themeColor="text1"/>
          <w:lang w:val="fr-FR"/>
        </w:rPr>
        <w:t xml:space="preserve">er le </w:t>
      </w:r>
      <w:r w:rsidRPr="00A64762">
        <w:rPr>
          <w:rFonts w:eastAsia="Malgun Gothic"/>
          <w:lang w:val="fr-FR"/>
        </w:rPr>
        <w:t>patrimoine culturel immatériel dans tous les pays.</w:t>
      </w:r>
    </w:p>
    <w:p w14:paraId="3AF3884E" w14:textId="3453834E" w:rsidR="00042B4E" w:rsidRDefault="00A6476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A64762">
        <w:rPr>
          <w:rFonts w:eastAsia="Malgun Gothic"/>
          <w:lang w:val="fr-FR"/>
        </w:rPr>
        <w:t xml:space="preserve">La délégation de la </w:t>
      </w:r>
      <w:r w:rsidRPr="00A64762">
        <w:rPr>
          <w:rFonts w:eastAsia="Malgun Gothic"/>
          <w:b/>
          <w:bCs/>
          <w:lang w:val="fr-FR"/>
        </w:rPr>
        <w:t>Slovaquie</w:t>
      </w:r>
      <w:r w:rsidRPr="00A64762">
        <w:rPr>
          <w:rFonts w:eastAsia="Malgun Gothic"/>
          <w:lang w:val="fr-FR"/>
        </w:rPr>
        <w:t xml:space="preserve"> était heureuse d</w:t>
      </w:r>
      <w:r>
        <w:rPr>
          <w:rFonts w:eastAsia="Malgun Gothic"/>
          <w:lang w:val="fr-FR"/>
        </w:rPr>
        <w:t xml:space="preserve">e </w:t>
      </w:r>
      <w:r w:rsidRPr="00A64762">
        <w:rPr>
          <w:rFonts w:eastAsia="Malgun Gothic"/>
          <w:lang w:val="fr-FR"/>
        </w:rPr>
        <w:t>l</w:t>
      </w:r>
      <w:r w:rsidR="00923E72">
        <w:rPr>
          <w:rFonts w:eastAsia="Malgun Gothic"/>
          <w:lang w:val="fr-FR"/>
        </w:rPr>
        <w:t>’</w:t>
      </w:r>
      <w:r w:rsidRPr="00A64762">
        <w:rPr>
          <w:rFonts w:eastAsia="Malgun Gothic"/>
          <w:lang w:val="fr-FR"/>
        </w:rPr>
        <w:t xml:space="preserve">occasion </w:t>
      </w:r>
      <w:r>
        <w:rPr>
          <w:rFonts w:eastAsia="Malgun Gothic"/>
          <w:lang w:val="fr-FR"/>
        </w:rPr>
        <w:t xml:space="preserve">qui lui était offerte </w:t>
      </w:r>
      <w:r w:rsidRPr="00A64762">
        <w:rPr>
          <w:rFonts w:eastAsia="Malgun Gothic"/>
          <w:lang w:val="fr-FR"/>
        </w:rPr>
        <w:t xml:space="preserve">de visiter le Maroc, connu pour sa culture très riche et variée, et son extraordinaire hospitalité, comme on avait pu le constater dans les rues de Rabat et lors de la </w:t>
      </w:r>
      <w:r>
        <w:rPr>
          <w:rFonts w:eastAsia="Malgun Gothic"/>
          <w:lang w:val="fr-FR"/>
        </w:rPr>
        <w:t xml:space="preserve">magique </w:t>
      </w:r>
      <w:r w:rsidRPr="00A64762">
        <w:rPr>
          <w:rFonts w:eastAsia="Malgun Gothic"/>
          <w:lang w:val="fr-FR"/>
        </w:rPr>
        <w:t>cérémonie d</w:t>
      </w:r>
      <w:r w:rsidR="00923E72">
        <w:rPr>
          <w:rFonts w:eastAsia="Malgun Gothic"/>
          <w:lang w:val="fr-FR"/>
        </w:rPr>
        <w:t>’</w:t>
      </w:r>
      <w:r w:rsidRPr="00A64762">
        <w:rPr>
          <w:rFonts w:eastAsia="Malgun Gothic"/>
          <w:lang w:val="fr-FR"/>
        </w:rPr>
        <w:t>ouverture. C</w:t>
      </w:r>
      <w:r w:rsidR="00923E72">
        <w:rPr>
          <w:rFonts w:eastAsia="Malgun Gothic"/>
          <w:lang w:val="fr-FR"/>
        </w:rPr>
        <w:t>’</w:t>
      </w:r>
      <w:r w:rsidRPr="00A64762">
        <w:rPr>
          <w:rFonts w:eastAsia="Malgun Gothic"/>
          <w:lang w:val="fr-FR"/>
        </w:rPr>
        <w:t>était également un moment historique pour la République slovaque, élue pour la première fois au Comité. La République slovaque a souligné l</w:t>
      </w:r>
      <w:r w:rsidR="00923E72">
        <w:rPr>
          <w:rFonts w:eastAsia="Malgun Gothic"/>
          <w:lang w:val="fr-FR"/>
        </w:rPr>
        <w:t>’</w:t>
      </w:r>
      <w:r w:rsidRPr="00A64762">
        <w:rPr>
          <w:rFonts w:eastAsia="Malgun Gothic"/>
          <w:lang w:val="fr-FR"/>
        </w:rPr>
        <w:t>efficacité, l</w:t>
      </w:r>
      <w:r w:rsidR="00923E72">
        <w:rPr>
          <w:rFonts w:eastAsia="Malgun Gothic"/>
          <w:lang w:val="fr-FR"/>
        </w:rPr>
        <w:t>’</w:t>
      </w:r>
      <w:r w:rsidRPr="00A64762">
        <w:rPr>
          <w:rFonts w:eastAsia="Malgun Gothic"/>
          <w:lang w:val="fr-FR"/>
        </w:rPr>
        <w:t>efficience et le dynamisme du travail du Comité et a remercié le Secrétariat pour son rapport sérieux et bien préparé ainsi que le Sous-Directeur général, le Secrétaire et son équipe pour leur travail extraordinaire. Dans ce contexte, la délégation a souligné l</w:t>
      </w:r>
      <w:r w:rsidR="00923E72">
        <w:rPr>
          <w:rFonts w:eastAsia="Malgun Gothic"/>
          <w:lang w:val="fr-FR"/>
        </w:rPr>
        <w:t>’</w:t>
      </w:r>
      <w:r w:rsidRPr="00A64762">
        <w:rPr>
          <w:rFonts w:eastAsia="Malgun Gothic"/>
          <w:lang w:val="fr-FR"/>
        </w:rPr>
        <w:t>exemple de l</w:t>
      </w:r>
      <w:r w:rsidR="00923E72">
        <w:rPr>
          <w:rFonts w:eastAsia="Malgun Gothic"/>
          <w:lang w:val="fr-FR"/>
        </w:rPr>
        <w:t>’</w:t>
      </w:r>
      <w:r w:rsidRPr="00A64762">
        <w:rPr>
          <w:rFonts w:eastAsia="Malgun Gothic"/>
          <w:lang w:val="fr-FR"/>
        </w:rPr>
        <w:t xml:space="preserve">inscription accélérée de la </w:t>
      </w:r>
      <w:r>
        <w:rPr>
          <w:rFonts w:eastAsia="Malgun Gothic"/>
          <w:lang w:val="fr-FR"/>
        </w:rPr>
        <w:t>« La c</w:t>
      </w:r>
      <w:r w:rsidRPr="001672EB">
        <w:rPr>
          <w:rFonts w:eastAsia="Malgun Gothic"/>
          <w:lang w:val="fr-FR"/>
        </w:rPr>
        <w:t xml:space="preserve">ulture de la </w:t>
      </w:r>
      <w:r>
        <w:rPr>
          <w:rFonts w:eastAsia="Malgun Gothic"/>
          <w:lang w:val="fr-FR"/>
        </w:rPr>
        <w:t xml:space="preserve">préparation du bortsch </w:t>
      </w:r>
      <w:r w:rsidRPr="001672EB">
        <w:rPr>
          <w:rFonts w:eastAsia="Malgun Gothic"/>
          <w:lang w:val="fr-FR"/>
        </w:rPr>
        <w:t>ukrainien</w:t>
      </w:r>
      <w:r w:rsidR="00EA36C5">
        <w:rPr>
          <w:rFonts w:eastAsia="Malgun Gothic"/>
          <w:lang w:val="fr-FR"/>
        </w:rPr>
        <w:t> »</w:t>
      </w:r>
      <w:r w:rsidRPr="00A64762">
        <w:rPr>
          <w:rFonts w:eastAsia="Malgun Gothic"/>
          <w:lang w:val="fr-FR"/>
        </w:rPr>
        <w:t>, en application de l</w:t>
      </w:r>
      <w:r w:rsidR="00923E72">
        <w:rPr>
          <w:rFonts w:eastAsia="Malgun Gothic"/>
          <w:lang w:val="fr-FR"/>
        </w:rPr>
        <w:t>’</w:t>
      </w:r>
      <w:r w:rsidRPr="00A64762">
        <w:rPr>
          <w:rFonts w:eastAsia="Malgun Gothic"/>
          <w:lang w:val="fr-FR"/>
        </w:rPr>
        <w:t>article</w:t>
      </w:r>
      <w:r w:rsidR="006773EF">
        <w:rPr>
          <w:rFonts w:eastAsia="Malgun Gothic"/>
          <w:lang w:val="fr-FR"/>
        </w:rPr>
        <w:t> </w:t>
      </w:r>
      <w:r w:rsidRPr="00A64762">
        <w:rPr>
          <w:rFonts w:eastAsia="Malgun Gothic"/>
          <w:lang w:val="fr-FR"/>
        </w:rPr>
        <w:t xml:space="preserve">17.3, </w:t>
      </w:r>
      <w:r w:rsidR="00EA36C5">
        <w:rPr>
          <w:rFonts w:eastAsia="Malgun Gothic"/>
          <w:lang w:val="fr-FR"/>
        </w:rPr>
        <w:t xml:space="preserve">un </w:t>
      </w:r>
      <w:r w:rsidRPr="00A64762">
        <w:rPr>
          <w:rFonts w:eastAsia="Malgun Gothic"/>
          <w:lang w:val="fr-FR"/>
        </w:rPr>
        <w:t>bon exemple de l</w:t>
      </w:r>
      <w:r w:rsidR="00923E72">
        <w:rPr>
          <w:rFonts w:eastAsia="Malgun Gothic"/>
          <w:lang w:val="fr-FR"/>
        </w:rPr>
        <w:t>’</w:t>
      </w:r>
      <w:r w:rsidRPr="00A64762">
        <w:rPr>
          <w:rFonts w:eastAsia="Malgun Gothic"/>
          <w:lang w:val="fr-FR"/>
        </w:rPr>
        <w:t>efficacité de l</w:t>
      </w:r>
      <w:r w:rsidR="00923E72">
        <w:rPr>
          <w:rFonts w:eastAsia="Malgun Gothic"/>
          <w:lang w:val="fr-FR"/>
        </w:rPr>
        <w:t>’</w:t>
      </w:r>
      <w:r w:rsidRPr="00A64762">
        <w:rPr>
          <w:rFonts w:eastAsia="Malgun Gothic"/>
          <w:lang w:val="fr-FR"/>
        </w:rPr>
        <w:t>UNESCO en matière d</w:t>
      </w:r>
      <w:r w:rsidR="00923E72">
        <w:rPr>
          <w:rFonts w:eastAsia="Malgun Gothic"/>
          <w:lang w:val="fr-FR"/>
        </w:rPr>
        <w:t>’</w:t>
      </w:r>
      <w:r w:rsidRPr="00A64762">
        <w:rPr>
          <w:rFonts w:eastAsia="Malgun Gothic"/>
          <w:lang w:val="fr-FR"/>
        </w:rPr>
        <w:t>action rapide et de réponse appropriée dans la situation extrêmement difficile du conflit armé en Ukraine. La délégation a également remercié le Secrétariat pour ses idées</w:t>
      </w:r>
      <w:r w:rsidR="0065686B">
        <w:rPr>
          <w:rFonts w:eastAsia="Malgun Gothic"/>
          <w:lang w:val="fr-FR"/>
        </w:rPr>
        <w:t>,</w:t>
      </w:r>
      <w:r w:rsidRPr="00A64762">
        <w:rPr>
          <w:rFonts w:eastAsia="Malgun Gothic"/>
          <w:lang w:val="fr-FR"/>
        </w:rPr>
        <w:t xml:space="preserve"> </w:t>
      </w:r>
      <w:r w:rsidR="008A3C43">
        <w:rPr>
          <w:rFonts w:eastAsia="Malgun Gothic"/>
          <w:lang w:val="fr-FR"/>
        </w:rPr>
        <w:t>qui étaient des sources d</w:t>
      </w:r>
      <w:r w:rsidR="00923E72">
        <w:rPr>
          <w:rFonts w:eastAsia="Malgun Gothic"/>
          <w:lang w:val="fr-FR"/>
        </w:rPr>
        <w:t>’</w:t>
      </w:r>
      <w:r w:rsidR="008A3C43">
        <w:rPr>
          <w:rFonts w:eastAsia="Malgun Gothic"/>
          <w:lang w:val="fr-FR"/>
        </w:rPr>
        <w:t xml:space="preserve">inspiration en lien avec </w:t>
      </w:r>
      <w:r w:rsidRPr="00A64762">
        <w:rPr>
          <w:rFonts w:eastAsia="Malgun Gothic"/>
          <w:lang w:val="fr-FR"/>
        </w:rPr>
        <w:t xml:space="preserve">son travail. Les résultats de la recherche scientifique étaient fondamentaux pour </w:t>
      </w:r>
      <w:r w:rsidR="00F27401">
        <w:rPr>
          <w:rFonts w:eastAsia="Malgun Gothic"/>
          <w:lang w:val="fr-FR"/>
        </w:rPr>
        <w:t xml:space="preserve">un travail pérenne </w:t>
      </w:r>
      <w:r w:rsidRPr="00A64762">
        <w:rPr>
          <w:rFonts w:eastAsia="Malgun Gothic"/>
          <w:lang w:val="fr-FR"/>
        </w:rPr>
        <w:t>avec les communautés et les organ</w:t>
      </w:r>
      <w:r w:rsidR="00EA36C5">
        <w:rPr>
          <w:rFonts w:eastAsia="Malgun Gothic"/>
          <w:lang w:val="fr-FR"/>
        </w:rPr>
        <w:t>ismes g</w:t>
      </w:r>
      <w:r w:rsidR="00EA36C5" w:rsidRPr="00EA36C5">
        <w:rPr>
          <w:rFonts w:eastAsia="Malgun Gothic"/>
          <w:lang w:val="fr-FR"/>
        </w:rPr>
        <w:t>ouvernement</w:t>
      </w:r>
      <w:r w:rsidR="00EA36C5">
        <w:rPr>
          <w:rFonts w:eastAsia="Malgun Gothic"/>
          <w:lang w:val="fr-FR"/>
        </w:rPr>
        <w:t>aux</w:t>
      </w:r>
      <w:r w:rsidRPr="00A64762">
        <w:rPr>
          <w:rFonts w:eastAsia="Malgun Gothic"/>
          <w:lang w:val="fr-FR"/>
        </w:rPr>
        <w:t xml:space="preserve"> ainsi que dans le cadre du plan de redressement de l</w:t>
      </w:r>
      <w:r w:rsidR="00923E72">
        <w:rPr>
          <w:rFonts w:eastAsia="Malgun Gothic"/>
          <w:lang w:val="fr-FR"/>
        </w:rPr>
        <w:t>’</w:t>
      </w:r>
      <w:r w:rsidRPr="00A64762">
        <w:rPr>
          <w:rFonts w:eastAsia="Malgun Gothic"/>
          <w:lang w:val="fr-FR"/>
        </w:rPr>
        <w:t xml:space="preserve">Ukraine et des personnes ukrainiennes déplacées en Slovaquie. La République slovaque était également impliquée dans la mise en œuvre des résultats du projet </w:t>
      </w:r>
      <w:r w:rsidR="00EA36C5">
        <w:rPr>
          <w:rFonts w:eastAsia="Malgun Gothic"/>
          <w:lang w:val="fr-FR"/>
        </w:rPr>
        <w:t>« </w:t>
      </w:r>
      <w:r w:rsidRPr="00A64762">
        <w:rPr>
          <w:rFonts w:eastAsia="Malgun Gothic"/>
          <w:lang w:val="fr-FR"/>
        </w:rPr>
        <w:t>Enseigne</w:t>
      </w:r>
      <w:r w:rsidR="00EA36C5">
        <w:rPr>
          <w:rFonts w:eastAsia="Malgun Gothic"/>
          <w:lang w:val="fr-FR"/>
        </w:rPr>
        <w:t>r</w:t>
      </w:r>
      <w:r w:rsidRPr="00A64762">
        <w:rPr>
          <w:rFonts w:eastAsia="Malgun Gothic"/>
          <w:lang w:val="fr-FR"/>
        </w:rPr>
        <w:t xml:space="preserve"> et appren</w:t>
      </w:r>
      <w:r w:rsidR="00EA36C5">
        <w:rPr>
          <w:rFonts w:eastAsia="Malgun Gothic"/>
          <w:lang w:val="fr-FR"/>
        </w:rPr>
        <w:t>dre</w:t>
      </w:r>
      <w:r w:rsidRPr="00A64762">
        <w:rPr>
          <w:rFonts w:eastAsia="Malgun Gothic"/>
          <w:lang w:val="fr-FR"/>
        </w:rPr>
        <w:t xml:space="preserve"> </w:t>
      </w:r>
      <w:r w:rsidR="00EA36C5">
        <w:rPr>
          <w:rFonts w:eastAsia="Malgun Gothic"/>
          <w:lang w:val="fr-FR"/>
        </w:rPr>
        <w:t xml:space="preserve">avec le </w:t>
      </w:r>
      <w:r w:rsidRPr="00A64762">
        <w:rPr>
          <w:rFonts w:eastAsia="Malgun Gothic"/>
          <w:lang w:val="fr-FR"/>
        </w:rPr>
        <w:t>patrimoine vivant</w:t>
      </w:r>
      <w:r w:rsidR="00EA36C5">
        <w:rPr>
          <w:rFonts w:eastAsia="Malgun Gothic"/>
          <w:lang w:val="fr-FR"/>
        </w:rPr>
        <w:t> »</w:t>
      </w:r>
      <w:r w:rsidRPr="00A64762">
        <w:rPr>
          <w:rFonts w:eastAsia="Malgun Gothic"/>
          <w:lang w:val="fr-FR"/>
        </w:rPr>
        <w:t xml:space="preserve"> en Slovaquie. </w:t>
      </w:r>
      <w:r w:rsidR="00EA36C5">
        <w:rPr>
          <w:rFonts w:eastAsia="Malgun Gothic"/>
          <w:lang w:val="fr-FR"/>
        </w:rPr>
        <w:t>Avec le soutien d</w:t>
      </w:r>
      <w:r w:rsidR="00923E72">
        <w:rPr>
          <w:rFonts w:eastAsia="Malgun Gothic"/>
          <w:lang w:val="fr-FR"/>
        </w:rPr>
        <w:t>’</w:t>
      </w:r>
      <w:r w:rsidR="00EA36C5">
        <w:rPr>
          <w:rFonts w:eastAsia="Malgun Gothic"/>
          <w:lang w:val="fr-FR"/>
        </w:rPr>
        <w:t xml:space="preserve">une </w:t>
      </w:r>
      <w:r w:rsidR="00EA36C5" w:rsidRPr="00A64762">
        <w:rPr>
          <w:rFonts w:eastAsia="Malgun Gothic"/>
          <w:lang w:val="fr-FR"/>
        </w:rPr>
        <w:t>équipe internationale</w:t>
      </w:r>
      <w:r w:rsidR="00EA36C5">
        <w:rPr>
          <w:rFonts w:eastAsia="Malgun Gothic"/>
          <w:lang w:val="fr-FR"/>
        </w:rPr>
        <w:t>, d</w:t>
      </w:r>
      <w:r w:rsidRPr="00A64762">
        <w:rPr>
          <w:rFonts w:eastAsia="Malgun Gothic"/>
          <w:lang w:val="fr-FR"/>
        </w:rPr>
        <w:t xml:space="preserve">es activités éducatives étaient organisées, </w:t>
      </w:r>
      <w:r w:rsidR="00EA36C5">
        <w:rPr>
          <w:rFonts w:eastAsia="Malgun Gothic"/>
          <w:lang w:val="fr-FR"/>
        </w:rPr>
        <w:t xml:space="preserve">notamment </w:t>
      </w:r>
      <w:r w:rsidRPr="00A64762">
        <w:rPr>
          <w:rFonts w:eastAsia="Malgun Gothic"/>
          <w:lang w:val="fr-FR"/>
        </w:rPr>
        <w:t>le développement d</w:t>
      </w:r>
      <w:r w:rsidR="00923E72">
        <w:rPr>
          <w:rFonts w:eastAsia="Malgun Gothic"/>
          <w:lang w:val="fr-FR"/>
        </w:rPr>
        <w:t>’</w:t>
      </w:r>
      <w:r w:rsidRPr="00A64762">
        <w:rPr>
          <w:rFonts w:eastAsia="Malgun Gothic"/>
          <w:lang w:val="fr-FR"/>
        </w:rPr>
        <w:t xml:space="preserve">une application mobile </w:t>
      </w:r>
      <w:r w:rsidR="00EA36C5">
        <w:rPr>
          <w:rFonts w:eastAsia="Malgun Gothic"/>
          <w:lang w:val="fr-FR"/>
        </w:rPr>
        <w:t xml:space="preserve">rassemblant </w:t>
      </w:r>
      <w:r w:rsidRPr="00A64762">
        <w:rPr>
          <w:rFonts w:eastAsia="Malgun Gothic"/>
          <w:lang w:val="fr-FR"/>
        </w:rPr>
        <w:t>les éléments du patrimoine immatériel inscrits sur les listes et</w:t>
      </w:r>
      <w:r w:rsidR="00F27401">
        <w:rPr>
          <w:rFonts w:eastAsia="Malgun Gothic"/>
          <w:lang w:val="fr-FR"/>
        </w:rPr>
        <w:t xml:space="preserve"> au</w:t>
      </w:r>
      <w:r w:rsidRPr="00A64762">
        <w:rPr>
          <w:rFonts w:eastAsia="Malgun Gothic"/>
          <w:lang w:val="fr-FR"/>
        </w:rPr>
        <w:t xml:space="preserve"> Registre des bonnes pratiques de sauvegarde de l</w:t>
      </w:r>
      <w:r w:rsidR="00923E72">
        <w:rPr>
          <w:rFonts w:eastAsia="Malgun Gothic"/>
          <w:lang w:val="fr-FR"/>
        </w:rPr>
        <w:t>’</w:t>
      </w:r>
      <w:r w:rsidRPr="00A64762">
        <w:rPr>
          <w:rFonts w:eastAsia="Malgun Gothic"/>
          <w:lang w:val="fr-FR"/>
        </w:rPr>
        <w:t xml:space="preserve">UNESCO. Au niveau national, avec des communautés engagées, elle préparait la célébration du vingtième anniversaire de la Convention, une occasion rare de </w:t>
      </w:r>
      <w:r w:rsidR="001878FE">
        <w:rPr>
          <w:rFonts w:eastAsia="Malgun Gothic"/>
          <w:lang w:val="fr-FR"/>
        </w:rPr>
        <w:t xml:space="preserve">faire connaître </w:t>
      </w:r>
      <w:r w:rsidRPr="00A64762">
        <w:rPr>
          <w:rFonts w:eastAsia="Malgun Gothic"/>
          <w:lang w:val="fr-FR"/>
        </w:rPr>
        <w:t>l</w:t>
      </w:r>
      <w:r w:rsidR="00923E72">
        <w:rPr>
          <w:rFonts w:eastAsia="Malgun Gothic"/>
          <w:lang w:val="fr-FR"/>
        </w:rPr>
        <w:t>’</w:t>
      </w:r>
      <w:r w:rsidRPr="00A64762">
        <w:rPr>
          <w:rFonts w:eastAsia="Malgun Gothic"/>
          <w:lang w:val="fr-FR"/>
        </w:rPr>
        <w:t>esprit de l</w:t>
      </w:r>
      <w:r w:rsidR="00923E72">
        <w:rPr>
          <w:rFonts w:eastAsia="Malgun Gothic"/>
          <w:lang w:val="fr-FR"/>
        </w:rPr>
        <w:t>’</w:t>
      </w:r>
      <w:r w:rsidRPr="00A64762">
        <w:rPr>
          <w:rFonts w:eastAsia="Malgun Gothic"/>
          <w:lang w:val="fr-FR"/>
        </w:rPr>
        <w:t xml:space="preserve">UNESCO </w:t>
      </w:r>
      <w:r w:rsidR="001878FE">
        <w:rPr>
          <w:rFonts w:eastAsia="Malgun Gothic"/>
          <w:lang w:val="fr-FR"/>
        </w:rPr>
        <w:t>dans tout le pays</w:t>
      </w:r>
      <w:r w:rsidRPr="00A64762">
        <w:rPr>
          <w:rFonts w:eastAsia="Malgun Gothic"/>
          <w:lang w:val="fr-FR"/>
        </w:rPr>
        <w:t xml:space="preserve">. </w:t>
      </w:r>
      <w:r w:rsidR="008A3C43">
        <w:rPr>
          <w:rFonts w:eastAsia="Malgun Gothic"/>
          <w:lang w:val="fr-FR"/>
        </w:rPr>
        <w:t xml:space="preserve">Sur un plan plus </w:t>
      </w:r>
      <w:r w:rsidRPr="00A64762">
        <w:rPr>
          <w:rFonts w:eastAsia="Malgun Gothic"/>
          <w:lang w:val="fr-FR"/>
        </w:rPr>
        <w:t>pratique, elle avait organisé une conférence interministérielle, une exposition itinérante et un événement culturel folklorique</w:t>
      </w:r>
      <w:r w:rsidR="00F27401">
        <w:rPr>
          <w:rFonts w:eastAsia="Malgun Gothic"/>
          <w:lang w:val="fr-FR"/>
        </w:rPr>
        <w:t xml:space="preserve"> </w:t>
      </w:r>
      <w:r w:rsidRPr="003A11FA">
        <w:rPr>
          <w:rFonts w:eastAsia="Malgun Gothic"/>
          <w:lang w:val="fr-FR"/>
        </w:rPr>
        <w:t>fusionn</w:t>
      </w:r>
      <w:r w:rsidR="00EA36C5" w:rsidRPr="003A11FA">
        <w:rPr>
          <w:rFonts w:eastAsia="Malgun Gothic"/>
          <w:lang w:val="fr-FR"/>
        </w:rPr>
        <w:t>ant</w:t>
      </w:r>
      <w:r w:rsidRPr="003A11FA">
        <w:rPr>
          <w:rFonts w:eastAsia="Malgun Gothic"/>
          <w:lang w:val="fr-FR"/>
        </w:rPr>
        <w:t xml:space="preserve"> </w:t>
      </w:r>
      <w:r w:rsidRPr="00A64762">
        <w:rPr>
          <w:rFonts w:eastAsia="Malgun Gothic"/>
          <w:lang w:val="fr-FR"/>
        </w:rPr>
        <w:t>les connaissances, les éléments artistiques et les itinéraires expérimentaux pour la protection du patrimoine culturel immatériel.</w:t>
      </w:r>
    </w:p>
    <w:p w14:paraId="282365CE" w14:textId="1119AD77" w:rsidR="00EA36C5" w:rsidRDefault="00EA36C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EA36C5">
        <w:rPr>
          <w:rFonts w:eastAsia="Malgun Gothic"/>
          <w:lang w:val="fr-FR"/>
        </w:rPr>
        <w:t xml:space="preserve">Le </w:t>
      </w:r>
      <w:r w:rsidRPr="00EA36C5">
        <w:rPr>
          <w:rFonts w:eastAsia="Malgun Gothic"/>
          <w:b/>
          <w:bCs/>
          <w:lang w:val="fr-FR"/>
        </w:rPr>
        <w:t>Président</w:t>
      </w:r>
      <w:r w:rsidRPr="00EA36C5">
        <w:rPr>
          <w:rFonts w:eastAsia="Malgun Gothic"/>
          <w:lang w:val="fr-FR"/>
        </w:rPr>
        <w:t xml:space="preserve"> a remercié la Slovaquie pour ses paroles aimables à l</w:t>
      </w:r>
      <w:r w:rsidR="00923E72">
        <w:rPr>
          <w:rFonts w:eastAsia="Malgun Gothic"/>
          <w:lang w:val="fr-FR"/>
        </w:rPr>
        <w:t>’</w:t>
      </w:r>
      <w:r w:rsidRPr="00EA36C5">
        <w:rPr>
          <w:rFonts w:eastAsia="Malgun Gothic"/>
          <w:lang w:val="fr-FR"/>
        </w:rPr>
        <w:t>égard du Secrétariat</w:t>
      </w:r>
      <w:r w:rsidR="005E369B">
        <w:rPr>
          <w:rFonts w:eastAsia="Malgun Gothic"/>
          <w:lang w:val="fr-FR"/>
        </w:rPr>
        <w:t>, c</w:t>
      </w:r>
      <w:r w:rsidR="00923E72">
        <w:rPr>
          <w:rFonts w:eastAsia="Malgun Gothic"/>
          <w:lang w:val="fr-FR"/>
        </w:rPr>
        <w:t>’’</w:t>
      </w:r>
      <w:r w:rsidR="005E369B">
        <w:rPr>
          <w:rFonts w:eastAsia="Malgun Gothic"/>
          <w:lang w:val="fr-FR"/>
        </w:rPr>
        <w:t>était</w:t>
      </w:r>
      <w:r w:rsidRPr="00EA36C5">
        <w:rPr>
          <w:rFonts w:eastAsia="Malgun Gothic"/>
          <w:lang w:val="fr-FR"/>
        </w:rPr>
        <w:t xml:space="preserve"> en effet</w:t>
      </w:r>
      <w:r w:rsidR="005E369B">
        <w:rPr>
          <w:rFonts w:eastAsia="Malgun Gothic"/>
          <w:lang w:val="fr-FR"/>
        </w:rPr>
        <w:t xml:space="preserve"> </w:t>
      </w:r>
      <w:r w:rsidRPr="00EA36C5">
        <w:rPr>
          <w:rFonts w:eastAsia="Malgun Gothic"/>
          <w:lang w:val="fr-FR"/>
        </w:rPr>
        <w:t>un travail</w:t>
      </w:r>
      <w:r w:rsidR="005E369B">
        <w:rPr>
          <w:rFonts w:eastAsia="Malgun Gothic"/>
          <w:lang w:val="fr-FR"/>
        </w:rPr>
        <w:t xml:space="preserve"> énorme</w:t>
      </w:r>
      <w:r w:rsidRPr="00EA36C5">
        <w:rPr>
          <w:rFonts w:eastAsia="Malgun Gothic"/>
          <w:lang w:val="fr-FR"/>
        </w:rPr>
        <w:t>, ajoutant qu</w:t>
      </w:r>
      <w:r w:rsidR="00923E72">
        <w:rPr>
          <w:rFonts w:eastAsia="Malgun Gothic"/>
          <w:lang w:val="fr-FR"/>
        </w:rPr>
        <w:t>’</w:t>
      </w:r>
      <w:r w:rsidRPr="00EA36C5">
        <w:rPr>
          <w:rFonts w:eastAsia="Malgun Gothic"/>
          <w:lang w:val="fr-FR"/>
        </w:rPr>
        <w:t>il avait pu constater l</w:t>
      </w:r>
      <w:r w:rsidR="00923E72">
        <w:rPr>
          <w:rFonts w:eastAsia="Malgun Gothic"/>
          <w:lang w:val="fr-FR"/>
        </w:rPr>
        <w:t>’</w:t>
      </w:r>
      <w:r w:rsidRPr="00EA36C5">
        <w:rPr>
          <w:rFonts w:eastAsia="Malgun Gothic"/>
          <w:lang w:val="fr-FR"/>
        </w:rPr>
        <w:t xml:space="preserve">ampleur de </w:t>
      </w:r>
      <w:r w:rsidR="005E369B">
        <w:rPr>
          <w:rFonts w:eastAsia="Malgun Gothic"/>
          <w:lang w:val="fr-FR"/>
        </w:rPr>
        <w:t xml:space="preserve">son </w:t>
      </w:r>
      <w:r w:rsidRPr="00EA36C5">
        <w:rPr>
          <w:rFonts w:eastAsia="Malgun Gothic"/>
          <w:lang w:val="fr-FR"/>
        </w:rPr>
        <w:t xml:space="preserve">engagement. </w:t>
      </w:r>
      <w:r w:rsidR="005E369B">
        <w:rPr>
          <w:rFonts w:eastAsia="Malgun Gothic"/>
          <w:lang w:val="fr-FR"/>
        </w:rPr>
        <w:t xml:space="preserve">Il a </w:t>
      </w:r>
      <w:r w:rsidRPr="00EA36C5">
        <w:rPr>
          <w:rFonts w:eastAsia="Malgun Gothic"/>
          <w:lang w:val="fr-FR"/>
        </w:rPr>
        <w:t>remerci</w:t>
      </w:r>
      <w:r w:rsidR="005E369B">
        <w:rPr>
          <w:rFonts w:eastAsia="Malgun Gothic"/>
          <w:lang w:val="fr-FR"/>
        </w:rPr>
        <w:t>é</w:t>
      </w:r>
      <w:r w:rsidRPr="00EA36C5">
        <w:rPr>
          <w:rFonts w:eastAsia="Malgun Gothic"/>
          <w:lang w:val="fr-FR"/>
        </w:rPr>
        <w:t xml:space="preserve"> le Secrétaire et son équipe ainsi que le Sous-Directeur général pour leur travail.</w:t>
      </w:r>
    </w:p>
    <w:p w14:paraId="6126223E" w14:textId="74EAB7A3" w:rsidR="00EA36C5" w:rsidRDefault="00AE080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AE080A">
        <w:rPr>
          <w:rFonts w:eastAsia="Malgun Gothic"/>
          <w:lang w:val="fr-FR"/>
        </w:rPr>
        <w:t xml:space="preserve">La délégation du </w:t>
      </w:r>
      <w:r w:rsidRPr="00AE080A">
        <w:rPr>
          <w:rFonts w:eastAsia="Malgun Gothic"/>
          <w:b/>
          <w:bCs/>
          <w:lang w:val="fr-FR"/>
        </w:rPr>
        <w:t>Burkina</w:t>
      </w:r>
      <w:r>
        <w:rPr>
          <w:rFonts w:eastAsia="Malgun Gothic"/>
          <w:b/>
          <w:bCs/>
          <w:lang w:val="fr-FR"/>
        </w:rPr>
        <w:t> </w:t>
      </w:r>
      <w:r w:rsidRPr="00AE080A">
        <w:rPr>
          <w:rFonts w:eastAsia="Malgun Gothic"/>
          <w:b/>
          <w:bCs/>
          <w:lang w:val="fr-FR"/>
        </w:rPr>
        <w:t>Faso</w:t>
      </w:r>
      <w:r w:rsidRPr="00AE080A">
        <w:rPr>
          <w:rFonts w:eastAsia="Malgun Gothic"/>
          <w:lang w:val="fr-FR"/>
        </w:rPr>
        <w:t xml:space="preserve"> a remercié le Maroc pour son hospitalité fraternelle et chaleureuse ainsi que pour les facilités offertes depuis son arrivée à Rabat, assurant le Président de son soutien pour le bon déroulement des travaux du Comité. Elle a félicité le Secrétariat pour la qualité de son rapport, tant pour son contenu</w:t>
      </w:r>
      <w:r w:rsidR="001878FE">
        <w:rPr>
          <w:rFonts w:eastAsia="Malgun Gothic"/>
          <w:lang w:val="fr-FR"/>
        </w:rPr>
        <w:t xml:space="preserve">, </w:t>
      </w:r>
      <w:r w:rsidRPr="00AE080A">
        <w:rPr>
          <w:rFonts w:eastAsia="Malgun Gothic"/>
          <w:lang w:val="fr-FR"/>
        </w:rPr>
        <w:t>au regard du nombre d</w:t>
      </w:r>
      <w:r w:rsidR="00923E72">
        <w:rPr>
          <w:rFonts w:eastAsia="Malgun Gothic"/>
          <w:lang w:val="fr-FR"/>
        </w:rPr>
        <w:t>’</w:t>
      </w:r>
      <w:r w:rsidRPr="00AE080A">
        <w:rPr>
          <w:rFonts w:eastAsia="Malgun Gothic"/>
          <w:lang w:val="fr-FR"/>
        </w:rPr>
        <w:t>activités menées</w:t>
      </w:r>
      <w:r w:rsidR="001878FE">
        <w:rPr>
          <w:rFonts w:eastAsia="Malgun Gothic"/>
          <w:lang w:val="fr-FR"/>
        </w:rPr>
        <w:t xml:space="preserve">, </w:t>
      </w:r>
      <w:r w:rsidRPr="00AE080A">
        <w:rPr>
          <w:rFonts w:eastAsia="Malgun Gothic"/>
          <w:lang w:val="fr-FR"/>
        </w:rPr>
        <w:t>que pour la tenue régulière des réunions statutaires malgré la pandémie du COVID</w:t>
      </w:r>
      <w:r>
        <w:rPr>
          <w:rFonts w:eastAsia="Malgun Gothic"/>
          <w:lang w:val="fr-FR"/>
        </w:rPr>
        <w:noBreakHyphen/>
      </w:r>
      <w:r w:rsidRPr="00AE080A">
        <w:rPr>
          <w:rFonts w:eastAsia="Malgun Gothic"/>
          <w:lang w:val="fr-FR"/>
        </w:rPr>
        <w:t>19. La délégation a fait une remarque spécifique concernant la recherche d</w:t>
      </w:r>
      <w:r w:rsidR="00923E72">
        <w:rPr>
          <w:rFonts w:eastAsia="Malgun Gothic"/>
          <w:lang w:val="fr-FR"/>
        </w:rPr>
        <w:t>’</w:t>
      </w:r>
      <w:r w:rsidRPr="00AE080A">
        <w:rPr>
          <w:rFonts w:eastAsia="Malgun Gothic"/>
          <w:lang w:val="fr-FR"/>
        </w:rPr>
        <w:t xml:space="preserve">une </w:t>
      </w:r>
      <w:r w:rsidRPr="00AE080A">
        <w:rPr>
          <w:rFonts w:eastAsia="Malgun Gothic"/>
          <w:lang w:val="fr-FR"/>
        </w:rPr>
        <w:lastRenderedPageBreak/>
        <w:t>meilleure représentation géographique, tant des éléments inscrits que des éléments portés à l</w:t>
      </w:r>
      <w:r w:rsidR="00923E72">
        <w:rPr>
          <w:rFonts w:eastAsia="Malgun Gothic"/>
          <w:lang w:val="fr-FR"/>
        </w:rPr>
        <w:t>’</w:t>
      </w:r>
      <w:r w:rsidRPr="00AE080A">
        <w:rPr>
          <w:rFonts w:eastAsia="Malgun Gothic"/>
          <w:lang w:val="fr-FR"/>
        </w:rPr>
        <w:t>examen du Comité</w:t>
      </w:r>
      <w:r w:rsidR="0029334A">
        <w:rPr>
          <w:rFonts w:eastAsia="Malgun Gothic"/>
          <w:lang w:val="fr-FR"/>
        </w:rPr>
        <w:t xml:space="preserve">, soulignant </w:t>
      </w:r>
      <w:r w:rsidRPr="00AE080A">
        <w:rPr>
          <w:rFonts w:eastAsia="Malgun Gothic"/>
          <w:lang w:val="fr-FR"/>
        </w:rPr>
        <w:t>qu</w:t>
      </w:r>
      <w:r w:rsidR="00923E72">
        <w:rPr>
          <w:rFonts w:eastAsia="Malgun Gothic"/>
          <w:lang w:val="fr-FR"/>
        </w:rPr>
        <w:t>’</w:t>
      </w:r>
      <w:r w:rsidRPr="00AE080A">
        <w:rPr>
          <w:rFonts w:eastAsia="Malgun Gothic"/>
          <w:lang w:val="fr-FR"/>
        </w:rPr>
        <w:t xml:space="preserve">un </w:t>
      </w:r>
      <w:r>
        <w:rPr>
          <w:rFonts w:eastAsia="Malgun Gothic"/>
          <w:lang w:val="fr-FR"/>
        </w:rPr>
        <w:t xml:space="preserve">seul </w:t>
      </w:r>
      <w:r w:rsidRPr="00AE080A">
        <w:rPr>
          <w:rFonts w:eastAsia="Malgun Gothic"/>
          <w:lang w:val="fr-FR"/>
        </w:rPr>
        <w:t xml:space="preserve">pays du </w:t>
      </w:r>
      <w:r w:rsidR="005E369B">
        <w:rPr>
          <w:rFonts w:eastAsia="Malgun Gothic"/>
          <w:lang w:val="fr-FR"/>
        </w:rPr>
        <w:t>G</w:t>
      </w:r>
      <w:r w:rsidRPr="00AE080A">
        <w:rPr>
          <w:rFonts w:eastAsia="Malgun Gothic"/>
          <w:lang w:val="fr-FR"/>
        </w:rPr>
        <w:t>roupe</w:t>
      </w:r>
      <w:r w:rsidR="001878FE">
        <w:rPr>
          <w:rFonts w:eastAsia="Malgun Gothic"/>
          <w:lang w:val="fr-FR"/>
        </w:rPr>
        <w:t> </w:t>
      </w:r>
      <w:r w:rsidRPr="00AE080A">
        <w:rPr>
          <w:rFonts w:eastAsia="Malgun Gothic"/>
          <w:lang w:val="fr-FR"/>
        </w:rPr>
        <w:t xml:space="preserve">V(a) des États africains avait pu soumettre un élément pour évaluation lors de la présente session. </w:t>
      </w:r>
      <w:r w:rsidR="005E369B">
        <w:rPr>
          <w:rFonts w:eastAsia="Malgun Gothic"/>
          <w:lang w:val="fr-FR"/>
        </w:rPr>
        <w:t xml:space="preserve">Elle </w:t>
      </w:r>
      <w:r w:rsidRPr="00AE080A">
        <w:rPr>
          <w:rFonts w:eastAsia="Malgun Gothic"/>
          <w:lang w:val="fr-FR"/>
        </w:rPr>
        <w:t>s</w:t>
      </w:r>
      <w:r w:rsidR="00923E72">
        <w:rPr>
          <w:rFonts w:eastAsia="Malgun Gothic"/>
          <w:lang w:val="fr-FR"/>
        </w:rPr>
        <w:t>’</w:t>
      </w:r>
      <w:r w:rsidRPr="00AE080A">
        <w:rPr>
          <w:rFonts w:eastAsia="Malgun Gothic"/>
          <w:lang w:val="fr-FR"/>
        </w:rPr>
        <w:t>est toutefois réjouie de l</w:t>
      </w:r>
      <w:r w:rsidR="00923E72">
        <w:rPr>
          <w:rFonts w:eastAsia="Malgun Gothic"/>
          <w:lang w:val="fr-FR"/>
        </w:rPr>
        <w:t>’</w:t>
      </w:r>
      <w:r w:rsidRPr="00AE080A">
        <w:rPr>
          <w:rFonts w:eastAsia="Malgun Gothic"/>
          <w:lang w:val="fr-FR"/>
        </w:rPr>
        <w:t xml:space="preserve">augmentation du nombre de dossiers du </w:t>
      </w:r>
      <w:r w:rsidR="005E369B">
        <w:rPr>
          <w:rFonts w:eastAsia="Malgun Gothic"/>
          <w:lang w:val="fr-FR"/>
        </w:rPr>
        <w:t>G</w:t>
      </w:r>
      <w:r w:rsidRPr="00AE080A">
        <w:rPr>
          <w:rFonts w:eastAsia="Malgun Gothic"/>
          <w:lang w:val="fr-FR"/>
        </w:rPr>
        <w:t>roupe</w:t>
      </w:r>
      <w:r w:rsidR="001878FE">
        <w:rPr>
          <w:rFonts w:eastAsia="Malgun Gothic"/>
          <w:lang w:val="fr-FR"/>
        </w:rPr>
        <w:t> </w:t>
      </w:r>
      <w:r w:rsidRPr="00AE080A">
        <w:rPr>
          <w:rFonts w:eastAsia="Malgun Gothic"/>
          <w:lang w:val="fr-FR"/>
        </w:rPr>
        <w:t xml:space="preserve">V(a) pour les prochaines réunions du Comité </w:t>
      </w:r>
      <w:r w:rsidR="005E369B">
        <w:rPr>
          <w:rFonts w:eastAsia="Malgun Gothic"/>
          <w:lang w:val="fr-FR"/>
        </w:rPr>
        <w:t>ainsi que du</w:t>
      </w:r>
      <w:r w:rsidRPr="00AE080A">
        <w:rPr>
          <w:rFonts w:eastAsia="Malgun Gothic"/>
          <w:lang w:val="fr-FR"/>
        </w:rPr>
        <w:t xml:space="preserve"> mécanisme de renforcement des capacités, dont la poursuite contribuerait à l</w:t>
      </w:r>
      <w:r w:rsidR="00923E72">
        <w:rPr>
          <w:rFonts w:eastAsia="Malgun Gothic"/>
          <w:lang w:val="fr-FR"/>
        </w:rPr>
        <w:t>’</w:t>
      </w:r>
      <w:r w:rsidRPr="00AE080A">
        <w:rPr>
          <w:rFonts w:eastAsia="Malgun Gothic"/>
          <w:lang w:val="fr-FR"/>
        </w:rPr>
        <w:t>égalité des chances dans les inscriptions sur les différentes listes du PCI. À cet égard, elle s</w:t>
      </w:r>
      <w:r w:rsidR="00923E72">
        <w:rPr>
          <w:rFonts w:eastAsia="Malgun Gothic"/>
          <w:lang w:val="fr-FR"/>
        </w:rPr>
        <w:t>’</w:t>
      </w:r>
      <w:r w:rsidRPr="00AE080A">
        <w:rPr>
          <w:rFonts w:eastAsia="Malgun Gothic"/>
          <w:lang w:val="fr-FR"/>
        </w:rPr>
        <w:t>est félicitée de l</w:t>
      </w:r>
      <w:r w:rsidR="00923E72">
        <w:rPr>
          <w:rFonts w:eastAsia="Malgun Gothic"/>
          <w:lang w:val="fr-FR"/>
        </w:rPr>
        <w:t>’</w:t>
      </w:r>
      <w:r w:rsidRPr="00AE080A">
        <w:rPr>
          <w:rFonts w:eastAsia="Malgun Gothic"/>
          <w:lang w:val="fr-FR"/>
        </w:rPr>
        <w:t>adoption des nouvelles Directives opérationnelles sur les questions liées notamment au nombre annuel de dossiers, ainsi qu</w:t>
      </w:r>
      <w:r w:rsidR="00923E72">
        <w:rPr>
          <w:rFonts w:eastAsia="Malgun Gothic"/>
          <w:lang w:val="fr-FR"/>
        </w:rPr>
        <w:t>’</w:t>
      </w:r>
      <w:r w:rsidRPr="00AE080A">
        <w:rPr>
          <w:rFonts w:eastAsia="Malgun Gothic"/>
          <w:lang w:val="fr-FR"/>
        </w:rPr>
        <w:t>à la composition et à la méthode de travail de l</w:t>
      </w:r>
      <w:r w:rsidR="00923E72">
        <w:rPr>
          <w:rFonts w:eastAsia="Malgun Gothic"/>
          <w:lang w:val="fr-FR"/>
        </w:rPr>
        <w:t>’</w:t>
      </w:r>
      <w:r w:rsidRPr="00AE080A">
        <w:rPr>
          <w:rFonts w:eastAsia="Malgun Gothic"/>
          <w:lang w:val="fr-FR"/>
        </w:rPr>
        <w:t>Organe d</w:t>
      </w:r>
      <w:r w:rsidR="00923E72">
        <w:rPr>
          <w:rFonts w:eastAsia="Malgun Gothic"/>
          <w:lang w:val="fr-FR"/>
        </w:rPr>
        <w:t>’</w:t>
      </w:r>
      <w:r w:rsidRPr="00AE080A">
        <w:rPr>
          <w:rFonts w:eastAsia="Malgun Gothic"/>
          <w:lang w:val="fr-FR"/>
        </w:rPr>
        <w:t>évaluation. La délégation a félicité le Secrétariat pour le suivi des initiatives thématiques sur le patrimoine vivant et le développement durable. Dans ce processus de réflexion, elle souhaitait que la question des crises soit davantage prise en compte, en particulier la crise dans la région du Sahel, qui affect</w:t>
      </w:r>
      <w:r w:rsidR="0029334A">
        <w:rPr>
          <w:rFonts w:eastAsia="Malgun Gothic"/>
          <w:lang w:val="fr-FR"/>
        </w:rPr>
        <w:t>ait</w:t>
      </w:r>
      <w:r w:rsidRPr="00AE080A">
        <w:rPr>
          <w:rFonts w:eastAsia="Malgun Gothic"/>
          <w:lang w:val="fr-FR"/>
        </w:rPr>
        <w:t xml:space="preserve"> plusieurs communautés de la région. Le Burkina</w:t>
      </w:r>
      <w:r>
        <w:rPr>
          <w:rFonts w:eastAsia="Malgun Gothic"/>
          <w:lang w:val="fr-FR"/>
        </w:rPr>
        <w:t> </w:t>
      </w:r>
      <w:r w:rsidRPr="00AE080A">
        <w:rPr>
          <w:rFonts w:eastAsia="Malgun Gothic"/>
          <w:lang w:val="fr-FR"/>
        </w:rPr>
        <w:t>Faso avait bénéficié d</w:t>
      </w:r>
      <w:r w:rsidR="00923E72">
        <w:rPr>
          <w:rFonts w:eastAsia="Malgun Gothic"/>
          <w:lang w:val="fr-FR"/>
        </w:rPr>
        <w:t>’</w:t>
      </w:r>
      <w:r w:rsidRPr="00AE080A">
        <w:rPr>
          <w:rFonts w:eastAsia="Malgun Gothic"/>
          <w:lang w:val="fr-FR"/>
        </w:rPr>
        <w:t xml:space="preserve">une assistance internationale pour renforcer les capacités des acteurs impliqués dans la sauvegarde du patrimoine culturel immatériel. La première phase avait été achevée avec succès et la deuxième phase était en cours de démarrage. La délégation a salué les efforts des États parties qui </w:t>
      </w:r>
      <w:r w:rsidR="005A6781">
        <w:rPr>
          <w:rFonts w:eastAsia="Malgun Gothic"/>
          <w:lang w:val="fr-FR"/>
        </w:rPr>
        <w:t xml:space="preserve">versent </w:t>
      </w:r>
      <w:r w:rsidRPr="00AE080A">
        <w:rPr>
          <w:rFonts w:eastAsia="Malgun Gothic"/>
          <w:lang w:val="fr-FR"/>
        </w:rPr>
        <w:t>des contributions supplémentaires pour aider à régulariser les programmes, projets et activités, et atteindre les objectifs de la Convention. Elle a réitéré ses félicitations à l</w:t>
      </w:r>
      <w:r w:rsidR="00923E72">
        <w:rPr>
          <w:rFonts w:eastAsia="Malgun Gothic"/>
          <w:lang w:val="fr-FR"/>
        </w:rPr>
        <w:t>’</w:t>
      </w:r>
      <w:r w:rsidRPr="00AE080A">
        <w:rPr>
          <w:rFonts w:eastAsia="Malgun Gothic"/>
          <w:lang w:val="fr-FR"/>
        </w:rPr>
        <w:t>équipe du Secrétariat et au Secteur de la culture pour leur soutien, le travail qu</w:t>
      </w:r>
      <w:r w:rsidR="00923E72">
        <w:rPr>
          <w:rFonts w:eastAsia="Malgun Gothic"/>
          <w:lang w:val="fr-FR"/>
        </w:rPr>
        <w:t>’</w:t>
      </w:r>
      <w:r w:rsidRPr="00AE080A">
        <w:rPr>
          <w:rFonts w:eastAsia="Malgun Gothic"/>
          <w:lang w:val="fr-FR"/>
        </w:rPr>
        <w:t xml:space="preserve">ils accomplissent et leur diligence </w:t>
      </w:r>
      <w:r w:rsidR="0029334A">
        <w:rPr>
          <w:rFonts w:eastAsia="Malgun Gothic"/>
          <w:lang w:val="fr-FR"/>
        </w:rPr>
        <w:t>pour traiter les</w:t>
      </w:r>
      <w:r w:rsidRPr="00AE080A">
        <w:rPr>
          <w:rFonts w:eastAsia="Malgun Gothic"/>
          <w:lang w:val="fr-FR"/>
        </w:rPr>
        <w:t xml:space="preserve"> diverses demandes des États parties.</w:t>
      </w:r>
    </w:p>
    <w:p w14:paraId="67692A86" w14:textId="11C04472" w:rsidR="00AE080A" w:rsidRDefault="00AE080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AE080A">
        <w:rPr>
          <w:rFonts w:eastAsia="Malgun Gothic"/>
          <w:b/>
          <w:bCs/>
          <w:lang w:val="fr-FR"/>
        </w:rPr>
        <w:t>Président</w:t>
      </w:r>
      <w:r>
        <w:rPr>
          <w:rFonts w:eastAsia="Malgun Gothic"/>
          <w:lang w:val="fr-FR"/>
        </w:rPr>
        <w:t xml:space="preserve"> a remercié le Burkina Faso, confirmant que la sous-représentation était effectivement une question récurrente, </w:t>
      </w:r>
      <w:r w:rsidR="00F92F74">
        <w:rPr>
          <w:rFonts w:eastAsia="Malgun Gothic"/>
          <w:lang w:val="fr-FR"/>
        </w:rPr>
        <w:t xml:space="preserve">soulevée </w:t>
      </w:r>
      <w:r>
        <w:rPr>
          <w:rFonts w:eastAsia="Malgun Gothic"/>
          <w:lang w:val="fr-FR"/>
        </w:rPr>
        <w:t xml:space="preserve">par tous les </w:t>
      </w:r>
      <w:r w:rsidRPr="00AE080A">
        <w:rPr>
          <w:rFonts w:eastAsia="Malgun Gothic"/>
          <w:lang w:val="fr-FR"/>
        </w:rPr>
        <w:t>représenta</w:t>
      </w:r>
      <w:r>
        <w:rPr>
          <w:rFonts w:eastAsia="Malgun Gothic"/>
          <w:lang w:val="fr-FR"/>
        </w:rPr>
        <w:t xml:space="preserve">nts africains, dont le Comité était bien </w:t>
      </w:r>
      <w:r w:rsidRPr="00AE080A">
        <w:rPr>
          <w:rFonts w:eastAsia="Malgun Gothic"/>
          <w:lang w:val="fr-FR"/>
        </w:rPr>
        <w:t>conscie</w:t>
      </w:r>
      <w:r>
        <w:rPr>
          <w:rFonts w:eastAsia="Malgun Gothic"/>
          <w:lang w:val="fr-FR"/>
        </w:rPr>
        <w:t>nt.</w:t>
      </w:r>
    </w:p>
    <w:p w14:paraId="3ABB0234" w14:textId="4D5EACCE" w:rsidR="00AE080A" w:rsidRDefault="00AE080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AE080A">
        <w:rPr>
          <w:rFonts w:eastAsia="Malgun Gothic"/>
          <w:lang w:val="fr-FR"/>
        </w:rPr>
        <w:t>La délégation de l</w:t>
      </w:r>
      <w:r w:rsidR="00923E72">
        <w:rPr>
          <w:rFonts w:eastAsia="Malgun Gothic"/>
          <w:lang w:val="fr-FR"/>
        </w:rPr>
        <w:t>’</w:t>
      </w:r>
      <w:r w:rsidRPr="00AE080A">
        <w:rPr>
          <w:rFonts w:eastAsia="Malgun Gothic"/>
          <w:b/>
          <w:bCs/>
          <w:lang w:val="fr-FR"/>
        </w:rPr>
        <w:t>Angola</w:t>
      </w:r>
      <w:r w:rsidRPr="00AE080A">
        <w:rPr>
          <w:rFonts w:eastAsia="Malgun Gothic"/>
          <w:lang w:val="fr-FR"/>
        </w:rPr>
        <w:t xml:space="preserve"> a remercié le </w:t>
      </w:r>
      <w:r>
        <w:rPr>
          <w:rFonts w:eastAsia="Malgun Gothic"/>
          <w:lang w:val="fr-FR"/>
        </w:rPr>
        <w:t>G</w:t>
      </w:r>
      <w:r w:rsidRPr="00AE080A">
        <w:rPr>
          <w:rFonts w:eastAsia="Malgun Gothic"/>
          <w:lang w:val="fr-FR"/>
        </w:rPr>
        <w:t>ouvernement du Maroc pour son accueil chaleureux et son hospitalité, et pour l</w:t>
      </w:r>
      <w:r w:rsidR="00923E72">
        <w:rPr>
          <w:rFonts w:eastAsia="Malgun Gothic"/>
          <w:lang w:val="fr-FR"/>
        </w:rPr>
        <w:t>’</w:t>
      </w:r>
      <w:r w:rsidRPr="00AE080A">
        <w:rPr>
          <w:rFonts w:eastAsia="Malgun Gothic"/>
          <w:lang w:val="fr-FR"/>
        </w:rPr>
        <w:t>accueil de cette dix</w:t>
      </w:r>
      <w:r w:rsidR="0029334A">
        <w:rPr>
          <w:rFonts w:eastAsia="Malgun Gothic"/>
          <w:lang w:val="fr-FR"/>
        </w:rPr>
        <w:noBreakHyphen/>
      </w:r>
      <w:r w:rsidRPr="00AE080A">
        <w:rPr>
          <w:rFonts w:eastAsia="Malgun Gothic"/>
          <w:lang w:val="fr-FR"/>
        </w:rPr>
        <w:t>septième session du Comité dans la belle ville de Rabat. Elle a également félicité le Bureau et le Secrétariat pour le travail accompli afin de faire de cette session un succès. La délégation a remercié le Secrétariat et le Secrétaire pour le rapport présenté. Au nom des entités de l</w:t>
      </w:r>
      <w:r w:rsidR="00923E72">
        <w:rPr>
          <w:rFonts w:eastAsia="Malgun Gothic"/>
          <w:lang w:val="fr-FR"/>
        </w:rPr>
        <w:t>’</w:t>
      </w:r>
      <w:r w:rsidRPr="00AE080A">
        <w:rPr>
          <w:rFonts w:eastAsia="Malgun Gothic"/>
          <w:lang w:val="fr-FR"/>
        </w:rPr>
        <w:t>Angola et de la délégation, elle a exprimé sa profonde satisfaction pour sa toute première élection en tant que membre du Comité et de la Convention, qui atteindrait bientôt l</w:t>
      </w:r>
      <w:r w:rsidR="00923E72">
        <w:rPr>
          <w:rFonts w:eastAsia="Malgun Gothic"/>
          <w:lang w:val="fr-FR"/>
        </w:rPr>
        <w:t>’</w:t>
      </w:r>
      <w:r w:rsidRPr="00AE080A">
        <w:rPr>
          <w:rFonts w:eastAsia="Malgun Gothic"/>
          <w:lang w:val="fr-FR"/>
        </w:rPr>
        <w:t>universalité. La délégation a estimé que la diversité culturelle, fondée sur les riches traditions des peuples, doit être promue en valorisant les éléments positifs du passé et en tenant compte du fait que les traditions orales et autres, ainsi que les arts populaires, sont des sources privilégiées de l</w:t>
      </w:r>
      <w:r w:rsidR="00923E72">
        <w:rPr>
          <w:rFonts w:eastAsia="Malgun Gothic"/>
          <w:lang w:val="fr-FR"/>
        </w:rPr>
        <w:t>’</w:t>
      </w:r>
      <w:r w:rsidRPr="00AE080A">
        <w:rPr>
          <w:rFonts w:eastAsia="Malgun Gothic"/>
          <w:lang w:val="fr-FR"/>
        </w:rPr>
        <w:t>histoire et de la culture de l</w:t>
      </w:r>
      <w:r w:rsidR="00923E72">
        <w:rPr>
          <w:rFonts w:eastAsia="Malgun Gothic"/>
          <w:lang w:val="fr-FR"/>
        </w:rPr>
        <w:t>’</w:t>
      </w:r>
      <w:r w:rsidRPr="00AE080A">
        <w:rPr>
          <w:rFonts w:eastAsia="Malgun Gothic"/>
          <w:lang w:val="fr-FR"/>
        </w:rPr>
        <w:t>humanité. La volonté politique et la participation des communautés ne suffisaient pas à elles seules pour mener à bien les politiques publiques de sauvegarde du patrimoine dans les pays en développement. Plusieurs autres obstacles existaient en ce qui concerne le manque de capacités financières et techniques. L</w:t>
      </w:r>
      <w:r w:rsidR="00923E72">
        <w:rPr>
          <w:rFonts w:eastAsia="Malgun Gothic"/>
          <w:lang w:val="fr-FR"/>
        </w:rPr>
        <w:t>’</w:t>
      </w:r>
      <w:r w:rsidRPr="00AE080A">
        <w:rPr>
          <w:rFonts w:eastAsia="Malgun Gothic"/>
          <w:lang w:val="fr-FR"/>
        </w:rPr>
        <w:t>Angola considérait donc que les initiatives internationales offraient un type de solution et un élément de réponse important à ces difficultés. C</w:t>
      </w:r>
      <w:r w:rsidR="00923E72">
        <w:rPr>
          <w:rFonts w:eastAsia="Malgun Gothic"/>
          <w:lang w:val="fr-FR"/>
        </w:rPr>
        <w:t>’</w:t>
      </w:r>
      <w:r w:rsidRPr="00AE080A">
        <w:rPr>
          <w:rFonts w:eastAsia="Malgun Gothic"/>
          <w:lang w:val="fr-FR"/>
        </w:rPr>
        <w:t>était également l</w:t>
      </w:r>
      <w:r w:rsidR="00923E72">
        <w:rPr>
          <w:rFonts w:eastAsia="Malgun Gothic"/>
          <w:lang w:val="fr-FR"/>
        </w:rPr>
        <w:t>’</w:t>
      </w:r>
      <w:r w:rsidRPr="00AE080A">
        <w:rPr>
          <w:rFonts w:eastAsia="Malgun Gothic"/>
          <w:lang w:val="fr-FR"/>
        </w:rPr>
        <w:t>un des moyens de donner la priorité aux pays sous-représenté</w:t>
      </w:r>
      <w:r w:rsidR="006E6DB1">
        <w:rPr>
          <w:rFonts w:eastAsia="Malgun Gothic"/>
          <w:lang w:val="fr-FR"/>
        </w:rPr>
        <w:t xml:space="preserve">s </w:t>
      </w:r>
      <w:r w:rsidRPr="00AE080A">
        <w:rPr>
          <w:rFonts w:eastAsia="Malgun Gothic"/>
          <w:lang w:val="fr-FR"/>
        </w:rPr>
        <w:t>sur la Liste représentative. L</w:t>
      </w:r>
      <w:r w:rsidR="00923E72">
        <w:rPr>
          <w:rFonts w:eastAsia="Malgun Gothic"/>
          <w:lang w:val="fr-FR"/>
        </w:rPr>
        <w:t>’</w:t>
      </w:r>
      <w:r w:rsidRPr="00AE080A">
        <w:rPr>
          <w:rFonts w:eastAsia="Malgun Gothic"/>
          <w:lang w:val="fr-FR"/>
        </w:rPr>
        <w:t>UNESCO devait fournir une assistance technique et financière continue en vue de renforcer la capacité des institutions africaines et autres dans le but d</w:t>
      </w:r>
      <w:r w:rsidR="00923E72">
        <w:rPr>
          <w:rFonts w:eastAsia="Malgun Gothic"/>
          <w:lang w:val="fr-FR"/>
        </w:rPr>
        <w:t>’</w:t>
      </w:r>
      <w:r w:rsidRPr="00AE080A">
        <w:rPr>
          <w:rFonts w:eastAsia="Malgun Gothic"/>
          <w:lang w:val="fr-FR"/>
        </w:rPr>
        <w:t>atteindre une représentativité équilibrée en accord avec les réalités et les richesses culturelles des pays en voie de développement. Le patrimoine immatériel des pays non représentés et sous-représentés était d</w:t>
      </w:r>
      <w:r w:rsidR="00923E72">
        <w:rPr>
          <w:rFonts w:eastAsia="Malgun Gothic"/>
          <w:lang w:val="fr-FR"/>
        </w:rPr>
        <w:t>’</w:t>
      </w:r>
      <w:r w:rsidRPr="00AE080A">
        <w:rPr>
          <w:rFonts w:eastAsia="Malgun Gothic"/>
          <w:lang w:val="fr-FR"/>
        </w:rPr>
        <w:t>une extrême importance pour le patrimoine culturel mondial. À ce titre, l</w:t>
      </w:r>
      <w:r w:rsidR="00923E72">
        <w:rPr>
          <w:rFonts w:eastAsia="Malgun Gothic"/>
          <w:lang w:val="fr-FR"/>
        </w:rPr>
        <w:t>’</w:t>
      </w:r>
      <w:r w:rsidRPr="00AE080A">
        <w:rPr>
          <w:rFonts w:eastAsia="Malgun Gothic"/>
          <w:lang w:val="fr-FR"/>
        </w:rPr>
        <w:t>Angola entendait être un État partie dynamique au sein de la Convention, en contribuant à une présence régionale plus équilibrée et en tant que défenseur de la Convention.</w:t>
      </w:r>
    </w:p>
    <w:p w14:paraId="05035586" w14:textId="598E677E" w:rsidR="006E6DB1" w:rsidRDefault="006E6DB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E6DB1">
        <w:rPr>
          <w:rFonts w:eastAsia="Malgun Gothic"/>
          <w:lang w:val="fr-FR"/>
        </w:rPr>
        <w:t xml:space="preserve">Le </w:t>
      </w:r>
      <w:r w:rsidRPr="006E6DB1">
        <w:rPr>
          <w:rFonts w:eastAsia="Malgun Gothic"/>
          <w:b/>
          <w:bCs/>
          <w:lang w:val="fr-FR"/>
        </w:rPr>
        <w:t>Président</w:t>
      </w:r>
      <w:r w:rsidRPr="006E6DB1">
        <w:rPr>
          <w:rFonts w:eastAsia="Malgun Gothic"/>
          <w:lang w:val="fr-FR"/>
        </w:rPr>
        <w:t xml:space="preserve"> </w:t>
      </w:r>
      <w:r>
        <w:rPr>
          <w:rFonts w:eastAsia="Malgun Gothic"/>
          <w:lang w:val="fr-FR"/>
        </w:rPr>
        <w:t xml:space="preserve">a </w:t>
      </w:r>
      <w:r w:rsidRPr="006E6DB1">
        <w:rPr>
          <w:rFonts w:eastAsia="Malgun Gothic"/>
          <w:lang w:val="fr-FR"/>
        </w:rPr>
        <w:t>félicit</w:t>
      </w:r>
      <w:r>
        <w:rPr>
          <w:rFonts w:eastAsia="Malgun Gothic"/>
          <w:lang w:val="fr-FR"/>
        </w:rPr>
        <w:t>é</w:t>
      </w:r>
      <w:r w:rsidRPr="006E6DB1">
        <w:rPr>
          <w:rFonts w:eastAsia="Malgun Gothic"/>
          <w:lang w:val="fr-FR"/>
        </w:rPr>
        <w:t xml:space="preserve"> l</w:t>
      </w:r>
      <w:r w:rsidR="00923E72">
        <w:rPr>
          <w:rFonts w:eastAsia="Malgun Gothic"/>
          <w:lang w:val="fr-FR"/>
        </w:rPr>
        <w:t>’</w:t>
      </w:r>
      <w:r w:rsidRPr="006E6DB1">
        <w:rPr>
          <w:rFonts w:eastAsia="Malgun Gothic"/>
          <w:lang w:val="fr-FR"/>
        </w:rPr>
        <w:t xml:space="preserve">Angola pour son élection et </w:t>
      </w:r>
      <w:r>
        <w:rPr>
          <w:rFonts w:eastAsia="Malgun Gothic"/>
          <w:lang w:val="fr-FR"/>
        </w:rPr>
        <w:t>l</w:t>
      </w:r>
      <w:r w:rsidR="00923E72">
        <w:rPr>
          <w:rFonts w:eastAsia="Malgun Gothic"/>
          <w:lang w:val="fr-FR"/>
        </w:rPr>
        <w:t>’</w:t>
      </w:r>
      <w:r>
        <w:rPr>
          <w:rFonts w:eastAsia="Malgun Gothic"/>
          <w:lang w:val="fr-FR"/>
        </w:rPr>
        <w:t>expression de son</w:t>
      </w:r>
      <w:r w:rsidRPr="006E6DB1">
        <w:rPr>
          <w:rFonts w:eastAsia="Malgun Gothic"/>
          <w:lang w:val="fr-FR"/>
        </w:rPr>
        <w:t xml:space="preserve"> engagement. Il </w:t>
      </w:r>
      <w:r>
        <w:rPr>
          <w:rFonts w:eastAsia="Malgun Gothic"/>
          <w:lang w:val="fr-FR"/>
        </w:rPr>
        <w:t xml:space="preserve">a </w:t>
      </w:r>
      <w:r w:rsidRPr="006E6DB1">
        <w:rPr>
          <w:rFonts w:eastAsia="Malgun Gothic"/>
          <w:lang w:val="fr-FR"/>
        </w:rPr>
        <w:t>reconn</w:t>
      </w:r>
      <w:r>
        <w:rPr>
          <w:rFonts w:eastAsia="Malgun Gothic"/>
          <w:lang w:val="fr-FR"/>
        </w:rPr>
        <w:t>u</w:t>
      </w:r>
      <w:r w:rsidRPr="006E6DB1">
        <w:rPr>
          <w:rFonts w:eastAsia="Malgun Gothic"/>
          <w:lang w:val="fr-FR"/>
        </w:rPr>
        <w:t xml:space="preserve"> qu</w:t>
      </w:r>
      <w:r w:rsidR="00923E72">
        <w:rPr>
          <w:rFonts w:eastAsia="Malgun Gothic"/>
          <w:lang w:val="fr-FR"/>
        </w:rPr>
        <w:t>’</w:t>
      </w:r>
      <w:r w:rsidRPr="006E6DB1">
        <w:rPr>
          <w:rFonts w:eastAsia="Malgun Gothic"/>
          <w:lang w:val="fr-FR"/>
        </w:rPr>
        <w:t>il y a</w:t>
      </w:r>
      <w:r>
        <w:rPr>
          <w:rFonts w:eastAsia="Malgun Gothic"/>
          <w:lang w:val="fr-FR"/>
        </w:rPr>
        <w:t>vait</w:t>
      </w:r>
      <w:r w:rsidRPr="006E6DB1">
        <w:rPr>
          <w:rFonts w:eastAsia="Malgun Gothic"/>
          <w:lang w:val="fr-FR"/>
        </w:rPr>
        <w:t xml:space="preserve"> effectivement un certain nombre de questions que ce Comité devra</w:t>
      </w:r>
      <w:r>
        <w:rPr>
          <w:rFonts w:eastAsia="Malgun Gothic"/>
          <w:lang w:val="fr-FR"/>
        </w:rPr>
        <w:t>it</w:t>
      </w:r>
      <w:r w:rsidRPr="006E6DB1">
        <w:rPr>
          <w:rFonts w:eastAsia="Malgun Gothic"/>
          <w:lang w:val="fr-FR"/>
        </w:rPr>
        <w:t xml:space="preserve"> examiner pour tenter de réduire cet écart entre le nombre de dossiers soumis par les pays africains, en particulier, et celui des autres régions du monde.</w:t>
      </w:r>
    </w:p>
    <w:p w14:paraId="575420A1" w14:textId="5F95F744" w:rsidR="006E6DB1" w:rsidRPr="00F83447" w:rsidRDefault="0082435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83447">
        <w:rPr>
          <w:rFonts w:eastAsia="Malgun Gothic"/>
          <w:lang w:val="fr-FR"/>
        </w:rPr>
        <w:t xml:space="preserve">La délégation du </w:t>
      </w:r>
      <w:r w:rsidRPr="00F83447">
        <w:rPr>
          <w:rFonts w:eastAsia="Malgun Gothic"/>
          <w:b/>
          <w:bCs/>
          <w:lang w:val="fr-FR"/>
        </w:rPr>
        <w:t>Viet</w:t>
      </w:r>
      <w:r w:rsidR="005978DD" w:rsidRPr="00F83447">
        <w:rPr>
          <w:rFonts w:eastAsia="Malgun Gothic"/>
          <w:b/>
          <w:bCs/>
          <w:lang w:val="fr-FR"/>
        </w:rPr>
        <w:t> </w:t>
      </w:r>
      <w:r w:rsidRPr="00F83447">
        <w:rPr>
          <w:rFonts w:eastAsia="Malgun Gothic"/>
          <w:b/>
          <w:bCs/>
          <w:lang w:val="fr-FR"/>
        </w:rPr>
        <w:t>Nam</w:t>
      </w:r>
      <w:r w:rsidRPr="00F83447">
        <w:rPr>
          <w:rFonts w:eastAsia="Malgun Gothic"/>
          <w:lang w:val="fr-FR"/>
        </w:rPr>
        <w:t xml:space="preserve"> a félicité le Président pour sa conduite avisée des travaux du Comité et s</w:t>
      </w:r>
      <w:r w:rsidR="00923E72">
        <w:rPr>
          <w:rFonts w:eastAsia="Malgun Gothic"/>
          <w:lang w:val="fr-FR"/>
        </w:rPr>
        <w:t>’</w:t>
      </w:r>
      <w:r w:rsidRPr="00F83447">
        <w:rPr>
          <w:rFonts w:eastAsia="Malgun Gothic"/>
          <w:lang w:val="fr-FR"/>
        </w:rPr>
        <w:t>est jointe aux orateurs précédents pour remercier le Maroc de sa chaleureuse hospitalité et de l</w:t>
      </w:r>
      <w:r w:rsidR="00923E72">
        <w:rPr>
          <w:rFonts w:eastAsia="Malgun Gothic"/>
          <w:lang w:val="fr-FR"/>
        </w:rPr>
        <w:t>’</w:t>
      </w:r>
      <w:r w:rsidRPr="00F83447">
        <w:rPr>
          <w:rFonts w:eastAsia="Malgun Gothic"/>
          <w:lang w:val="fr-FR"/>
        </w:rPr>
        <w:t xml:space="preserve">excellente organisation de la réunion. Elle a remercié les États membres </w:t>
      </w:r>
      <w:r w:rsidRPr="00F83447">
        <w:rPr>
          <w:rFonts w:eastAsia="Malgun Gothic"/>
          <w:lang w:val="fr-FR"/>
        </w:rPr>
        <w:lastRenderedPageBreak/>
        <w:t>d</w:t>
      </w:r>
      <w:r w:rsidR="00923E72">
        <w:rPr>
          <w:rFonts w:eastAsia="Malgun Gothic"/>
          <w:lang w:val="fr-FR"/>
        </w:rPr>
        <w:t>’</w:t>
      </w:r>
      <w:r w:rsidRPr="00F83447">
        <w:rPr>
          <w:rFonts w:eastAsia="Malgun Gothic"/>
          <w:lang w:val="fr-FR"/>
        </w:rPr>
        <w:t>avoir soutenu le Viet</w:t>
      </w:r>
      <w:r w:rsidR="005978DD" w:rsidRPr="00F83447">
        <w:rPr>
          <w:rFonts w:eastAsia="Malgun Gothic"/>
          <w:lang w:val="fr-FR"/>
        </w:rPr>
        <w:t> </w:t>
      </w:r>
      <w:r w:rsidRPr="00F83447">
        <w:rPr>
          <w:rFonts w:eastAsia="Malgun Gothic"/>
          <w:lang w:val="fr-FR"/>
        </w:rPr>
        <w:t>Nam lors de l</w:t>
      </w:r>
      <w:r w:rsidR="00923E72">
        <w:rPr>
          <w:rFonts w:eastAsia="Malgun Gothic"/>
          <w:lang w:val="fr-FR"/>
        </w:rPr>
        <w:t>’</w:t>
      </w:r>
      <w:r w:rsidRPr="00F83447">
        <w:rPr>
          <w:rFonts w:eastAsia="Malgun Gothic"/>
          <w:lang w:val="fr-FR"/>
        </w:rPr>
        <w:t>élection des membres du Comité, ajoutant que son principal expert en matière de patrimoine culturel immatériel participerait à la présente réunion. Le patrimoine culturel immatériel était non seulement une source vitale pour la diversité culturelle, la créativité, le dialogue interculturel et la cohésion sociale, mais également un moteur du développement durable et de la résilience. La COVID</w:t>
      </w:r>
      <w:r w:rsidRPr="00F83447">
        <w:rPr>
          <w:rFonts w:eastAsia="Malgun Gothic"/>
          <w:lang w:val="fr-FR"/>
        </w:rPr>
        <w:noBreakHyphen/>
        <w:t>19 avait plus que jamais mis en évidence la valeur du patrimoine culturel immatériel et l</w:t>
      </w:r>
      <w:r w:rsidR="00923E72">
        <w:rPr>
          <w:rFonts w:eastAsia="Malgun Gothic"/>
          <w:lang w:val="fr-FR"/>
        </w:rPr>
        <w:t>’</w:t>
      </w:r>
      <w:r w:rsidRPr="00F83447">
        <w:rPr>
          <w:rFonts w:eastAsia="Malgun Gothic"/>
          <w:lang w:val="fr-FR"/>
        </w:rPr>
        <w:t xml:space="preserve">importance des communautés attachées à la poursuite de sa pratique et de son expression. La délégation a remercié le Secrétariat pour </w:t>
      </w:r>
      <w:r w:rsidR="00E40C73" w:rsidRPr="00F83447">
        <w:rPr>
          <w:rFonts w:eastAsia="Malgun Gothic"/>
          <w:lang w:val="fr-FR"/>
        </w:rPr>
        <w:t xml:space="preserve">son excellent rapport, </w:t>
      </w:r>
      <w:r w:rsidRPr="00F83447">
        <w:rPr>
          <w:rFonts w:eastAsia="Malgun Gothic"/>
          <w:lang w:val="fr-FR"/>
        </w:rPr>
        <w:t xml:space="preserve">son travail acharné et son professionnalisme en ces temps difficiles. Elle a vivement félicité le </w:t>
      </w:r>
      <w:r w:rsidR="00E40C73" w:rsidRPr="00F83447">
        <w:rPr>
          <w:rFonts w:eastAsia="Malgun Gothic"/>
          <w:lang w:val="fr-FR"/>
        </w:rPr>
        <w:t xml:space="preserve">Secrétariat et le </w:t>
      </w:r>
      <w:r w:rsidRPr="00F83447">
        <w:rPr>
          <w:rFonts w:eastAsia="Malgun Gothic"/>
          <w:lang w:val="fr-FR"/>
        </w:rPr>
        <w:t xml:space="preserve">Comité pour </w:t>
      </w:r>
      <w:r w:rsidR="00E40C73" w:rsidRPr="00F83447">
        <w:rPr>
          <w:rFonts w:eastAsia="Malgun Gothic"/>
          <w:lang w:val="fr-FR"/>
        </w:rPr>
        <w:t xml:space="preserve">leur </w:t>
      </w:r>
      <w:r w:rsidRPr="00F83447">
        <w:rPr>
          <w:rFonts w:eastAsia="Malgun Gothic"/>
          <w:lang w:val="fr-FR"/>
        </w:rPr>
        <w:t>travail efficace et s</w:t>
      </w:r>
      <w:r w:rsidR="00923E72">
        <w:rPr>
          <w:rFonts w:eastAsia="Malgun Gothic"/>
          <w:lang w:val="fr-FR"/>
        </w:rPr>
        <w:t>’</w:t>
      </w:r>
      <w:r w:rsidRPr="00F83447">
        <w:rPr>
          <w:rFonts w:eastAsia="Malgun Gothic"/>
          <w:lang w:val="fr-FR"/>
        </w:rPr>
        <w:t>est dite fière des résultats obtenus jusqu</w:t>
      </w:r>
      <w:r w:rsidR="00923E72">
        <w:rPr>
          <w:rFonts w:eastAsia="Malgun Gothic"/>
          <w:lang w:val="fr-FR"/>
        </w:rPr>
        <w:t>’</w:t>
      </w:r>
      <w:r w:rsidRPr="00F83447">
        <w:rPr>
          <w:rFonts w:eastAsia="Malgun Gothic"/>
          <w:lang w:val="fr-FR"/>
        </w:rPr>
        <w:t>alors pour promouvoir les objectifs de la Convention et encourager et suivre sa mise en œuvre, donner des orientations et consolider les programmes de renforcement des capacités</w:t>
      </w:r>
      <w:r w:rsidR="005A6781">
        <w:rPr>
          <w:rFonts w:eastAsia="Malgun Gothic"/>
          <w:lang w:val="fr-FR"/>
        </w:rPr>
        <w:t>.</w:t>
      </w:r>
      <w:r w:rsidR="006B2EFE">
        <w:rPr>
          <w:rFonts w:eastAsia="Malgun Gothic"/>
          <w:lang w:val="fr-FR"/>
        </w:rPr>
        <w:t xml:space="preserve"> E</w:t>
      </w:r>
      <w:r w:rsidR="005A6781">
        <w:rPr>
          <w:rFonts w:eastAsia="Malgun Gothic"/>
          <w:lang w:val="fr-FR"/>
        </w:rPr>
        <w:t xml:space="preserve">lle était </w:t>
      </w:r>
      <w:r w:rsidR="006B2EFE" w:rsidRPr="006B2EFE">
        <w:rPr>
          <w:rFonts w:eastAsia="Malgun Gothic"/>
          <w:color w:val="000000" w:themeColor="text1"/>
          <w:lang w:val="fr-FR"/>
        </w:rPr>
        <w:t>également</w:t>
      </w:r>
      <w:r w:rsidR="006B2EFE">
        <w:rPr>
          <w:rFonts w:eastAsia="Malgun Gothic"/>
          <w:color w:val="000000" w:themeColor="text1"/>
          <w:lang w:val="fr-FR"/>
        </w:rPr>
        <w:t xml:space="preserve"> </w:t>
      </w:r>
      <w:r w:rsidR="005A6781">
        <w:rPr>
          <w:rFonts w:eastAsia="Malgun Gothic"/>
          <w:lang w:val="fr-FR"/>
        </w:rPr>
        <w:t xml:space="preserve">tout particulièrement fière </w:t>
      </w:r>
      <w:r w:rsidRPr="00F83447">
        <w:rPr>
          <w:rFonts w:eastAsia="Malgun Gothic"/>
          <w:lang w:val="fr-FR"/>
        </w:rPr>
        <w:t xml:space="preserve">des progrès marquants </w:t>
      </w:r>
      <w:r w:rsidR="006B2EFE">
        <w:rPr>
          <w:rFonts w:eastAsia="Malgun Gothic"/>
          <w:lang w:val="fr-FR"/>
        </w:rPr>
        <w:t xml:space="preserve">réalisés </w:t>
      </w:r>
      <w:r w:rsidRPr="00F83447">
        <w:rPr>
          <w:rFonts w:eastAsia="Malgun Gothic"/>
          <w:lang w:val="fr-FR"/>
        </w:rPr>
        <w:t>dans la réflexion globale sur les mécanismes d</w:t>
      </w:r>
      <w:r w:rsidR="00923E72">
        <w:rPr>
          <w:rFonts w:eastAsia="Malgun Gothic"/>
          <w:lang w:val="fr-FR"/>
        </w:rPr>
        <w:t>’</w:t>
      </w:r>
      <w:r w:rsidRPr="00F83447">
        <w:rPr>
          <w:rFonts w:eastAsia="Malgun Gothic"/>
          <w:lang w:val="fr-FR"/>
        </w:rPr>
        <w:t>inscription</w:t>
      </w:r>
      <w:r w:rsidR="005A6781">
        <w:rPr>
          <w:rFonts w:eastAsia="Malgun Gothic"/>
          <w:lang w:val="fr-FR"/>
        </w:rPr>
        <w:t xml:space="preserve"> </w:t>
      </w:r>
      <w:r w:rsidRPr="00F83447">
        <w:rPr>
          <w:rFonts w:eastAsia="Malgun Gothic"/>
          <w:lang w:val="fr-FR"/>
        </w:rPr>
        <w:t>ainsi que de la mise en œuvre réussie de la réforme du mécanisme de soumission des rapports périodiques. Les initiatives thématiques sur le patrimoine vivant et le développement durable étaient significatives et pertinentes pour les intérêts des États parties et conformes aux décisions</w:t>
      </w:r>
      <w:r w:rsidR="006B2EFE">
        <w:rPr>
          <w:rFonts w:eastAsia="Malgun Gothic"/>
          <w:lang w:val="fr-FR"/>
        </w:rPr>
        <w:t> </w:t>
      </w:r>
      <w:r w:rsidRPr="00F83447">
        <w:rPr>
          <w:rFonts w:eastAsia="Malgun Gothic"/>
          <w:lang w:val="fr-FR"/>
        </w:rPr>
        <w:t>41C/4</w:t>
      </w:r>
      <w:r w:rsidR="00BE3180" w:rsidRPr="00F83447">
        <w:rPr>
          <w:rFonts w:eastAsia="Malgun Gothic"/>
          <w:lang w:val="fr-FR"/>
        </w:rPr>
        <w:t xml:space="preserve"> et</w:t>
      </w:r>
      <w:r w:rsidR="006B2EFE">
        <w:rPr>
          <w:rFonts w:eastAsia="Malgun Gothic"/>
          <w:lang w:val="fr-FR"/>
        </w:rPr>
        <w:t> </w:t>
      </w:r>
      <w:r w:rsidRPr="00F83447">
        <w:rPr>
          <w:rFonts w:eastAsia="Malgun Gothic"/>
          <w:lang w:val="fr-FR"/>
        </w:rPr>
        <w:t>41C/5 et de MONDIACULT dans la poursuite de la résilience et du développement durable dans un monde post-COVID</w:t>
      </w:r>
      <w:r w:rsidR="00BE3180" w:rsidRPr="00F83447">
        <w:rPr>
          <w:rFonts w:eastAsia="Malgun Gothic"/>
          <w:lang w:val="fr-FR"/>
        </w:rPr>
        <w:noBreakHyphen/>
      </w:r>
      <w:r w:rsidRPr="00F83447">
        <w:rPr>
          <w:rFonts w:eastAsia="Malgun Gothic"/>
          <w:lang w:val="fr-FR"/>
        </w:rPr>
        <w:t>19 et à l</w:t>
      </w:r>
      <w:r w:rsidR="00923E72">
        <w:rPr>
          <w:rFonts w:eastAsia="Malgun Gothic"/>
          <w:lang w:val="fr-FR"/>
        </w:rPr>
        <w:t>’</w:t>
      </w:r>
      <w:r w:rsidRPr="00F83447">
        <w:rPr>
          <w:rFonts w:eastAsia="Malgun Gothic"/>
          <w:lang w:val="fr-FR"/>
        </w:rPr>
        <w:t>approche du vingtième anniversaire de la Convention. Le Viet</w:t>
      </w:r>
      <w:r w:rsidR="005978DD" w:rsidRPr="00F83447">
        <w:rPr>
          <w:rFonts w:eastAsia="Malgun Gothic"/>
          <w:lang w:val="fr-FR"/>
        </w:rPr>
        <w:t> </w:t>
      </w:r>
      <w:r w:rsidRPr="00F83447">
        <w:rPr>
          <w:rFonts w:eastAsia="Malgun Gothic"/>
          <w:lang w:val="fr-FR"/>
        </w:rPr>
        <w:t>Nam s</w:t>
      </w:r>
      <w:r w:rsidR="00923E72">
        <w:rPr>
          <w:rFonts w:eastAsia="Malgun Gothic"/>
          <w:lang w:val="fr-FR"/>
        </w:rPr>
        <w:t>’</w:t>
      </w:r>
      <w:r w:rsidRPr="00F83447">
        <w:rPr>
          <w:rFonts w:eastAsia="Malgun Gothic"/>
          <w:lang w:val="fr-FR"/>
        </w:rPr>
        <w:t>est dit déterminé à se joindre aux membres du Comité pour déployer tous les efforts possibles afin d</w:t>
      </w:r>
      <w:r w:rsidR="00923E72">
        <w:rPr>
          <w:rFonts w:eastAsia="Malgun Gothic"/>
          <w:lang w:val="fr-FR"/>
        </w:rPr>
        <w:t>’</w:t>
      </w:r>
      <w:r w:rsidRPr="00F83447">
        <w:rPr>
          <w:rFonts w:eastAsia="Malgun Gothic"/>
          <w:lang w:val="fr-FR"/>
        </w:rPr>
        <w:t>améliorer la transparence et l</w:t>
      </w:r>
      <w:r w:rsidR="00923E72">
        <w:rPr>
          <w:rFonts w:eastAsia="Malgun Gothic"/>
          <w:lang w:val="fr-FR"/>
        </w:rPr>
        <w:t>’</w:t>
      </w:r>
      <w:r w:rsidRPr="00F83447">
        <w:rPr>
          <w:rFonts w:eastAsia="Malgun Gothic"/>
          <w:lang w:val="fr-FR"/>
        </w:rPr>
        <w:t>efficacité des mécanismes d</w:t>
      </w:r>
      <w:r w:rsidR="00923E72">
        <w:rPr>
          <w:rFonts w:eastAsia="Malgun Gothic"/>
          <w:lang w:val="fr-FR"/>
        </w:rPr>
        <w:t>’</w:t>
      </w:r>
      <w:r w:rsidRPr="00F83447">
        <w:rPr>
          <w:rFonts w:eastAsia="Malgun Gothic"/>
          <w:lang w:val="fr-FR"/>
        </w:rPr>
        <w:t>inscription, de renforcer les priorités de l</w:t>
      </w:r>
      <w:r w:rsidR="00923E72">
        <w:rPr>
          <w:rFonts w:eastAsia="Malgun Gothic"/>
          <w:lang w:val="fr-FR"/>
        </w:rPr>
        <w:t>’</w:t>
      </w:r>
      <w:r w:rsidRPr="00F83447">
        <w:rPr>
          <w:rFonts w:eastAsia="Malgun Gothic"/>
          <w:lang w:val="fr-FR"/>
        </w:rPr>
        <w:t>UNESCO, en particulier la priorité Afrique, l</w:t>
      </w:r>
      <w:r w:rsidR="00923E72">
        <w:rPr>
          <w:rFonts w:eastAsia="Malgun Gothic"/>
          <w:lang w:val="fr-FR"/>
        </w:rPr>
        <w:t>’</w:t>
      </w:r>
      <w:r w:rsidRPr="00F83447">
        <w:rPr>
          <w:rFonts w:eastAsia="Malgun Gothic"/>
          <w:lang w:val="fr-FR"/>
        </w:rPr>
        <w:t xml:space="preserve">égalité des genres, les </w:t>
      </w:r>
      <w:r w:rsidR="00BE3180" w:rsidRPr="00F83447">
        <w:rPr>
          <w:rFonts w:eastAsia="Malgun Gothic"/>
          <w:lang w:val="fr-FR"/>
        </w:rPr>
        <w:t xml:space="preserve">PEID et </w:t>
      </w:r>
      <w:r w:rsidRPr="00F83447">
        <w:rPr>
          <w:rFonts w:eastAsia="Malgun Gothic"/>
          <w:lang w:val="fr-FR"/>
        </w:rPr>
        <w:t>la jeunesse, et les efforts de renforcement des capacités dans le domaine du patrimoine vivant pour atteindre les nobles objectifs de la Convention.</w:t>
      </w:r>
    </w:p>
    <w:p w14:paraId="7E010C41" w14:textId="0E4B2E2A" w:rsidR="00213F0E" w:rsidRDefault="00213F0E" w:rsidP="00702497">
      <w:pPr>
        <w:pStyle w:val="Orateurengris"/>
        <w:numPr>
          <w:ilvl w:val="0"/>
          <w:numId w:val="21"/>
        </w:numPr>
        <w:tabs>
          <w:tab w:val="clear" w:pos="567"/>
          <w:tab w:val="clear" w:pos="709"/>
          <w:tab w:val="clear" w:pos="1418"/>
          <w:tab w:val="clear" w:pos="2126"/>
          <w:tab w:val="clear" w:pos="2835"/>
        </w:tabs>
        <w:spacing w:before="120" w:after="0"/>
        <w:ind w:left="709" w:hanging="709"/>
        <w:rPr>
          <w:rFonts w:eastAsia="Malgun Gothic"/>
          <w:lang w:val="fr-FR"/>
        </w:rPr>
      </w:pPr>
      <w:r w:rsidRPr="003A11FA">
        <w:rPr>
          <w:rFonts w:eastAsia="Malgun Gothic"/>
          <w:lang w:val="fr-FR"/>
        </w:rPr>
        <w:t xml:space="preserve">La délégation du </w:t>
      </w:r>
      <w:r w:rsidRPr="003A11FA">
        <w:rPr>
          <w:rFonts w:eastAsia="Malgun Gothic"/>
          <w:b/>
          <w:bCs/>
          <w:lang w:val="fr-FR"/>
        </w:rPr>
        <w:t>Botswana</w:t>
      </w:r>
      <w:r w:rsidRPr="003A11FA">
        <w:rPr>
          <w:rFonts w:eastAsia="Malgun Gothic"/>
          <w:lang w:val="fr-FR"/>
        </w:rPr>
        <w:t xml:space="preserve"> a félicité le Président pour sa brillante élection ainsi que le peuple marocain, en soulignant la fantastique cérémonie d</w:t>
      </w:r>
      <w:r w:rsidR="00923E72">
        <w:rPr>
          <w:rFonts w:eastAsia="Malgun Gothic"/>
          <w:lang w:val="fr-FR"/>
        </w:rPr>
        <w:t>’</w:t>
      </w:r>
      <w:r w:rsidRPr="003A11FA">
        <w:rPr>
          <w:rFonts w:eastAsia="Malgun Gothic"/>
          <w:lang w:val="fr-FR"/>
        </w:rPr>
        <w:t>ouverture, qui avait mis en valeur la diversité du patrimoine culturel immatériel du Maroc. Elle a remercié le Secrétariat pour son rapport et a félicité l</w:t>
      </w:r>
      <w:r w:rsidR="00923E72">
        <w:rPr>
          <w:rFonts w:eastAsia="Malgun Gothic"/>
          <w:lang w:val="fr-FR"/>
        </w:rPr>
        <w:t>’</w:t>
      </w:r>
      <w:r w:rsidRPr="003A11FA">
        <w:rPr>
          <w:rFonts w:eastAsia="Malgun Gothic"/>
          <w:lang w:val="fr-FR"/>
        </w:rPr>
        <w:t>équipe pour son travail acharné et ses efforts continus pour l</w:t>
      </w:r>
      <w:r w:rsidR="00923E72">
        <w:rPr>
          <w:rFonts w:eastAsia="Malgun Gothic"/>
          <w:lang w:val="fr-FR"/>
        </w:rPr>
        <w:t>’</w:t>
      </w:r>
      <w:r w:rsidRPr="003A11FA">
        <w:rPr>
          <w:rFonts w:eastAsia="Malgun Gothic"/>
          <w:lang w:val="fr-FR"/>
        </w:rPr>
        <w:t>organisation de cette réunion très importante. Suite à l</w:t>
      </w:r>
      <w:r w:rsidR="00923E72">
        <w:rPr>
          <w:rFonts w:eastAsia="Malgun Gothic"/>
          <w:lang w:val="fr-FR"/>
        </w:rPr>
        <w:t>’</w:t>
      </w:r>
      <w:r w:rsidRPr="003A11FA">
        <w:rPr>
          <w:rFonts w:eastAsia="Malgun Gothic"/>
          <w:lang w:val="fr-FR"/>
        </w:rPr>
        <w:t>approbation de la nouvelle Stratégie à moyen terme de l</w:t>
      </w:r>
      <w:r w:rsidR="00923E72">
        <w:rPr>
          <w:rFonts w:eastAsia="Malgun Gothic"/>
          <w:lang w:val="fr-FR"/>
        </w:rPr>
        <w:t>’</w:t>
      </w:r>
      <w:r w:rsidRPr="003A11FA">
        <w:rPr>
          <w:rFonts w:eastAsia="Malgun Gothic"/>
          <w:lang w:val="fr-FR"/>
        </w:rPr>
        <w:t>UNESCO pour 2022</w:t>
      </w:r>
      <w:r w:rsidRPr="003A11FA">
        <w:rPr>
          <w:rFonts w:eastAsia="Malgun Gothic"/>
          <w:lang w:val="fr-FR"/>
        </w:rPr>
        <w:noBreakHyphen/>
        <w:t>2029 et du nouveau programme et budget pour 2022</w:t>
      </w:r>
      <w:r w:rsidRPr="003A11FA">
        <w:rPr>
          <w:rFonts w:eastAsia="Malgun Gothic"/>
          <w:lang w:val="fr-FR"/>
        </w:rPr>
        <w:noBreakHyphen/>
        <w:t>2025, le Botswana avait organisé des ateliers pour le secteur de la culture afin de partager la nouvelle Stratégie à moyen terme de l</w:t>
      </w:r>
      <w:r w:rsidR="00923E72">
        <w:rPr>
          <w:rFonts w:eastAsia="Malgun Gothic"/>
          <w:lang w:val="fr-FR"/>
        </w:rPr>
        <w:t>’</w:t>
      </w:r>
      <w:r w:rsidRPr="003A11FA">
        <w:rPr>
          <w:rFonts w:eastAsia="Malgun Gothic"/>
          <w:lang w:val="fr-FR"/>
        </w:rPr>
        <w:t>UNESCO pour 2022</w:t>
      </w:r>
      <w:r w:rsidRPr="003A11FA">
        <w:rPr>
          <w:rFonts w:eastAsia="Malgun Gothic"/>
          <w:lang w:val="fr-FR"/>
        </w:rPr>
        <w:noBreakHyphen/>
        <w:t>2029 et le nouveau programme et budget pour 2022</w:t>
      </w:r>
      <w:r w:rsidRPr="003A11FA">
        <w:rPr>
          <w:rFonts w:eastAsia="Malgun Gothic"/>
          <w:lang w:val="fr-FR"/>
        </w:rPr>
        <w:noBreakHyphen/>
        <w:t xml:space="preserve">2025. </w:t>
      </w:r>
      <w:r w:rsidRPr="00702497">
        <w:rPr>
          <w:rFonts w:eastAsia="Malgun Gothic"/>
          <w:lang w:val="fr-FR"/>
        </w:rPr>
        <w:t>L</w:t>
      </w:r>
      <w:r w:rsidR="00923E72">
        <w:rPr>
          <w:rFonts w:eastAsia="Malgun Gothic"/>
          <w:lang w:val="fr-FR"/>
        </w:rPr>
        <w:t>’</w:t>
      </w:r>
      <w:r w:rsidRPr="00702497">
        <w:rPr>
          <w:rFonts w:eastAsia="Malgun Gothic"/>
          <w:lang w:val="fr-FR"/>
        </w:rPr>
        <w:t>atelier visait également à aligner les deux nouveaux cadres sur les priorités mondiales, régionales, sous-régionales et nationales</w:t>
      </w:r>
      <w:r w:rsidRPr="003A11FA">
        <w:rPr>
          <w:rFonts w:eastAsia="Malgun Gothic"/>
          <w:lang w:val="fr-FR"/>
        </w:rPr>
        <w:t>. Le Botswana avait participé à l</w:t>
      </w:r>
      <w:r w:rsidR="00923E72">
        <w:rPr>
          <w:rFonts w:eastAsia="Malgun Gothic"/>
          <w:lang w:val="fr-FR"/>
        </w:rPr>
        <w:t>’</w:t>
      </w:r>
      <w:r w:rsidRPr="003A11FA">
        <w:rPr>
          <w:rFonts w:eastAsia="Malgun Gothic"/>
          <w:lang w:val="fr-FR"/>
        </w:rPr>
        <w:t>appel lancé par la Convention de 2003 en faveur de la mise en place d</w:t>
      </w:r>
      <w:r w:rsidR="00923E72">
        <w:rPr>
          <w:rFonts w:eastAsia="Malgun Gothic"/>
          <w:lang w:val="fr-FR"/>
        </w:rPr>
        <w:t>’</w:t>
      </w:r>
      <w:r w:rsidRPr="003A11FA">
        <w:rPr>
          <w:rFonts w:eastAsia="Malgun Gothic"/>
          <w:lang w:val="fr-FR"/>
        </w:rPr>
        <w:t>un réseau global de facilitateur</w:t>
      </w:r>
      <w:r>
        <w:rPr>
          <w:rFonts w:eastAsia="Malgun Gothic"/>
          <w:lang w:val="fr-FR"/>
        </w:rPr>
        <w:t xml:space="preserve"> </w:t>
      </w:r>
      <w:r w:rsidRPr="003A11FA">
        <w:rPr>
          <w:rFonts w:eastAsia="Malgun Gothic"/>
          <w:lang w:val="fr-FR"/>
        </w:rPr>
        <w:t>qui avait été largement diffusé parmi les parties prenantes du patrimoine culturel immatériel. La délégation était heureuse d</w:t>
      </w:r>
      <w:r w:rsidR="00923E72">
        <w:rPr>
          <w:rFonts w:eastAsia="Malgun Gothic"/>
          <w:lang w:val="fr-FR"/>
        </w:rPr>
        <w:t>’</w:t>
      </w:r>
      <w:r w:rsidRPr="003A11FA">
        <w:rPr>
          <w:rFonts w:eastAsia="Malgun Gothic"/>
          <w:lang w:val="fr-FR"/>
        </w:rPr>
        <w:t>annoncer que deux professeurs de l</w:t>
      </w:r>
      <w:r w:rsidR="00923E72">
        <w:rPr>
          <w:rFonts w:eastAsia="Malgun Gothic"/>
          <w:lang w:val="fr-FR"/>
        </w:rPr>
        <w:t>’</w:t>
      </w:r>
      <w:r w:rsidRPr="003A11FA">
        <w:rPr>
          <w:rFonts w:eastAsia="Malgun Gothic"/>
          <w:lang w:val="fr-FR"/>
        </w:rPr>
        <w:t>université du Botswana, impliqués dans la mise en œuvre du patrimoine culturel immatériel, avaient été sélectionnés pour suivre une formation en vue de rejoindre le réseau global de facilitateurs de la Convention. Cela donnait l</w:t>
      </w:r>
      <w:r w:rsidR="00923E72">
        <w:rPr>
          <w:rFonts w:eastAsia="Malgun Gothic"/>
          <w:lang w:val="fr-FR"/>
        </w:rPr>
        <w:t>’</w:t>
      </w:r>
      <w:r w:rsidRPr="003A11FA">
        <w:rPr>
          <w:rFonts w:eastAsia="Malgun Gothic"/>
          <w:lang w:val="fr-FR"/>
        </w:rPr>
        <w:t>occasion d</w:t>
      </w:r>
      <w:r w:rsidR="00923E72">
        <w:rPr>
          <w:rFonts w:eastAsia="Malgun Gothic"/>
          <w:lang w:val="fr-FR"/>
        </w:rPr>
        <w:t>’</w:t>
      </w:r>
      <w:r w:rsidRPr="003A11FA">
        <w:rPr>
          <w:rFonts w:eastAsia="Malgun Gothic"/>
          <w:lang w:val="fr-FR"/>
        </w:rPr>
        <w:t>avoir plus d</w:t>
      </w:r>
      <w:r w:rsidR="00923E72">
        <w:rPr>
          <w:rFonts w:eastAsia="Malgun Gothic"/>
          <w:lang w:val="fr-FR"/>
        </w:rPr>
        <w:t>’</w:t>
      </w:r>
      <w:r w:rsidRPr="003A11FA">
        <w:rPr>
          <w:rFonts w:eastAsia="Malgun Gothic"/>
          <w:lang w:val="fr-FR"/>
        </w:rPr>
        <w:t>experts du patrimoine culturel immatériel, de faire partie du réseau et de bénéficier de formations sur la Convention. Le renforcement des capacités en matière de patrimoine culturel immatériel au Botswana s</w:t>
      </w:r>
      <w:r w:rsidR="00923E72">
        <w:rPr>
          <w:rFonts w:eastAsia="Malgun Gothic"/>
          <w:lang w:val="fr-FR"/>
        </w:rPr>
        <w:t>’</w:t>
      </w:r>
      <w:r w:rsidRPr="003A11FA">
        <w:rPr>
          <w:rFonts w:eastAsia="Malgun Gothic"/>
          <w:lang w:val="fr-FR"/>
        </w:rPr>
        <w:t>intensifiait. L</w:t>
      </w:r>
      <w:r w:rsidR="00923E72">
        <w:rPr>
          <w:rFonts w:eastAsia="Malgun Gothic"/>
          <w:lang w:val="fr-FR"/>
        </w:rPr>
        <w:t>’</w:t>
      </w:r>
      <w:r w:rsidRPr="003A11FA">
        <w:rPr>
          <w:rFonts w:eastAsia="Malgun Gothic"/>
          <w:lang w:val="fr-FR"/>
        </w:rPr>
        <w:t>un des experts nationaux avait participé à la formation en ligne ouverte à tous (MOOC) de l</w:t>
      </w:r>
      <w:r w:rsidR="00923E72">
        <w:rPr>
          <w:rFonts w:eastAsia="Malgun Gothic"/>
          <w:lang w:val="fr-FR"/>
        </w:rPr>
        <w:t>’</w:t>
      </w:r>
      <w:r w:rsidRPr="003A11FA">
        <w:rPr>
          <w:rFonts w:eastAsia="Malgun Gothic"/>
          <w:lang w:val="fr-FR"/>
        </w:rPr>
        <w:t>UNESCO sur le patrimoine vivant</w:t>
      </w:r>
      <w:r w:rsidRPr="003A11FA">
        <w:rPr>
          <w:rStyle w:val="FootnoteReference"/>
          <w:rFonts w:eastAsia="Malgun Gothic"/>
          <w:lang w:val="fr-FR"/>
        </w:rPr>
        <w:footnoteReference w:id="7"/>
      </w:r>
      <w:r w:rsidRPr="003A11FA">
        <w:rPr>
          <w:rFonts w:eastAsia="Malgun Gothic"/>
          <w:lang w:val="fr-FR"/>
        </w:rPr>
        <w:t xml:space="preserve"> et l</w:t>
      </w:r>
      <w:r w:rsidR="00923E72">
        <w:rPr>
          <w:rFonts w:eastAsia="Malgun Gothic"/>
          <w:lang w:val="fr-FR"/>
        </w:rPr>
        <w:t>’</w:t>
      </w:r>
      <w:r w:rsidRPr="003A11FA">
        <w:rPr>
          <w:rFonts w:eastAsia="Malgun Gothic"/>
          <w:lang w:val="fr-FR"/>
        </w:rPr>
        <w:t>avait achevée. Le Botswana continuait à soutenir financièrement et techniquement la mise en œuvre des programmes sur le patrimoine culturel immatériel et à explorer également d</w:t>
      </w:r>
      <w:r w:rsidR="00923E72">
        <w:rPr>
          <w:rFonts w:eastAsia="Malgun Gothic"/>
          <w:lang w:val="fr-FR"/>
        </w:rPr>
        <w:t>’</w:t>
      </w:r>
      <w:r w:rsidRPr="003A11FA">
        <w:rPr>
          <w:rFonts w:eastAsia="Malgun Gothic"/>
          <w:lang w:val="fr-FR"/>
        </w:rPr>
        <w:t>autres possibilités de collecte de fonds. Une demande d</w:t>
      </w:r>
      <w:r w:rsidR="00923E72">
        <w:rPr>
          <w:rFonts w:eastAsia="Malgun Gothic"/>
          <w:lang w:val="fr-FR"/>
        </w:rPr>
        <w:t>’</w:t>
      </w:r>
      <w:r w:rsidRPr="003A11FA">
        <w:rPr>
          <w:rFonts w:eastAsia="Malgun Gothic"/>
          <w:lang w:val="fr-FR"/>
        </w:rPr>
        <w:t>assistance internationale pour la mise en œuvre du plan de sauvegarde de l</w:t>
      </w:r>
      <w:r w:rsidR="00923E72">
        <w:rPr>
          <w:rFonts w:eastAsia="Malgun Gothic"/>
          <w:lang w:val="fr-FR"/>
        </w:rPr>
        <w:t>’</w:t>
      </w:r>
      <w:r w:rsidRPr="003A11FA">
        <w:rPr>
          <w:rFonts w:eastAsia="Malgun Gothic"/>
          <w:lang w:val="fr-FR"/>
        </w:rPr>
        <w:t xml:space="preserve">un des éléments inscrits sur la Liste de sauvegarde urgente, « Le </w:t>
      </w:r>
      <w:proofErr w:type="spellStart"/>
      <w:r w:rsidRPr="003A11FA">
        <w:rPr>
          <w:rFonts w:eastAsia="Malgun Gothic"/>
          <w:lang w:val="fr-FR"/>
        </w:rPr>
        <w:t>seperu</w:t>
      </w:r>
      <w:proofErr w:type="spellEnd"/>
      <w:r w:rsidRPr="003A11FA">
        <w:rPr>
          <w:rFonts w:eastAsia="Malgun Gothic"/>
          <w:lang w:val="fr-FR"/>
        </w:rPr>
        <w:t xml:space="preserve">, danse populaire et pratiques associées », avait été soumise au Secrétariat en mars 2022 pour être examinée dans le cadre du cycle 2023. Le pays avait également participé aux enquêtes en ligne sur les initiatives thématiques, les dimensions économiques de la sauvegarde du patrimoine culturel immatériel, la sauvegarde du patrimoine culturel immatériel et le changement climatique, et la sauvegarde du patrimoine culturel immatériel dans les contextes urbains, dont les résultats seraient communiqués lors </w:t>
      </w:r>
      <w:r w:rsidRPr="003A11FA">
        <w:rPr>
          <w:rFonts w:eastAsia="Malgun Gothic"/>
          <w:lang w:val="fr-FR"/>
        </w:rPr>
        <w:lastRenderedPageBreak/>
        <w:t>de la dix</w:t>
      </w:r>
      <w:r w:rsidRPr="003A11FA">
        <w:rPr>
          <w:rFonts w:eastAsia="Malgun Gothic"/>
          <w:lang w:val="fr-FR"/>
        </w:rPr>
        <w:noBreakHyphen/>
        <w:t>huitième session du Comité. Le Botswana avait entamé le processus de compilation des informations pour le rapport périodique sur la mise en œuvre de la Convention dans le cadre du cycle de rapport régional de l</w:t>
      </w:r>
      <w:r w:rsidR="00923E72">
        <w:rPr>
          <w:rFonts w:eastAsia="Malgun Gothic"/>
          <w:lang w:val="fr-FR"/>
        </w:rPr>
        <w:t>’</w:t>
      </w:r>
      <w:r w:rsidRPr="003A11FA">
        <w:rPr>
          <w:rFonts w:eastAsia="Malgun Gothic"/>
          <w:lang w:val="fr-FR"/>
        </w:rPr>
        <w:t>Afrique en 2023. Jusqu</w:t>
      </w:r>
      <w:r w:rsidR="00923E72">
        <w:rPr>
          <w:rFonts w:eastAsia="Malgun Gothic"/>
          <w:lang w:val="fr-FR"/>
        </w:rPr>
        <w:t>’</w:t>
      </w:r>
      <w:r w:rsidRPr="003A11FA">
        <w:rPr>
          <w:rFonts w:eastAsia="Malgun Gothic"/>
          <w:lang w:val="fr-FR"/>
        </w:rPr>
        <w:t>à présent, à l</w:t>
      </w:r>
      <w:r w:rsidR="00923E72">
        <w:rPr>
          <w:rFonts w:eastAsia="Malgun Gothic"/>
          <w:lang w:val="fr-FR"/>
        </w:rPr>
        <w:t>’</w:t>
      </w:r>
      <w:r w:rsidRPr="003A11FA">
        <w:rPr>
          <w:rFonts w:eastAsia="Malgun Gothic"/>
          <w:lang w:val="fr-FR"/>
        </w:rPr>
        <w:t>occasion de l</w:t>
      </w:r>
      <w:r w:rsidR="00923E72">
        <w:rPr>
          <w:rFonts w:eastAsia="Malgun Gothic"/>
          <w:lang w:val="fr-FR"/>
        </w:rPr>
        <w:t>’</w:t>
      </w:r>
      <w:r w:rsidRPr="003A11FA">
        <w:rPr>
          <w:rFonts w:eastAsia="Malgun Gothic"/>
          <w:lang w:val="fr-FR"/>
        </w:rPr>
        <w:t>une des étapes initiales de la première phase du processus, le nom d</w:t>
      </w:r>
      <w:r w:rsidR="00923E72">
        <w:rPr>
          <w:rFonts w:eastAsia="Malgun Gothic"/>
          <w:lang w:val="fr-FR"/>
        </w:rPr>
        <w:t>’</w:t>
      </w:r>
      <w:r w:rsidRPr="003A11FA">
        <w:rPr>
          <w:rFonts w:eastAsia="Malgun Gothic"/>
          <w:lang w:val="fr-FR"/>
        </w:rPr>
        <w:t>un point focal avait été soumis. La délégation attendait avec impatience le début des travaux de cette phase.</w:t>
      </w:r>
    </w:p>
    <w:p w14:paraId="237B1084" w14:textId="57EB5BF2" w:rsidR="00BE49F5" w:rsidRDefault="00BE49F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BE49F5">
        <w:rPr>
          <w:rFonts w:eastAsia="Malgun Gothic"/>
          <w:b/>
          <w:bCs/>
          <w:lang w:val="fr-FR"/>
        </w:rPr>
        <w:t>Président</w:t>
      </w:r>
      <w:r>
        <w:rPr>
          <w:rFonts w:eastAsia="Malgun Gothic"/>
          <w:lang w:val="fr-FR"/>
        </w:rPr>
        <w:t xml:space="preserve"> a remercié le </w:t>
      </w:r>
      <w:r w:rsidR="00CF601B">
        <w:rPr>
          <w:rFonts w:eastAsia="Malgun Gothic"/>
          <w:lang w:val="fr-FR"/>
        </w:rPr>
        <w:t>m</w:t>
      </w:r>
      <w:r>
        <w:rPr>
          <w:rFonts w:eastAsia="Malgun Gothic"/>
          <w:lang w:val="fr-FR"/>
        </w:rPr>
        <w:t>inistre du Botswana.</w:t>
      </w:r>
    </w:p>
    <w:p w14:paraId="135F4D1F" w14:textId="390EA2EE" w:rsidR="00BE49F5" w:rsidRDefault="00E563A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E563AA">
        <w:rPr>
          <w:rFonts w:eastAsia="Malgun Gothic"/>
          <w:lang w:val="fr-FR"/>
        </w:rPr>
        <w:t xml:space="preserve">La délégation du </w:t>
      </w:r>
      <w:r w:rsidRPr="00E563AA">
        <w:rPr>
          <w:rFonts w:eastAsia="Malgun Gothic"/>
          <w:b/>
          <w:bCs/>
          <w:lang w:val="fr-FR"/>
        </w:rPr>
        <w:t>Bangladesh</w:t>
      </w:r>
      <w:r w:rsidRPr="00E563AA">
        <w:rPr>
          <w:rFonts w:eastAsia="Malgun Gothic"/>
          <w:lang w:val="fr-FR"/>
        </w:rPr>
        <w:t xml:space="preserve"> a remercié le Maroc d</w:t>
      </w:r>
      <w:r w:rsidR="00923E72">
        <w:rPr>
          <w:rFonts w:eastAsia="Malgun Gothic"/>
          <w:lang w:val="fr-FR"/>
        </w:rPr>
        <w:t>’</w:t>
      </w:r>
      <w:r w:rsidRPr="00E563AA">
        <w:rPr>
          <w:rFonts w:eastAsia="Malgun Gothic"/>
          <w:lang w:val="fr-FR"/>
        </w:rPr>
        <w:t xml:space="preserve">accueillir cette réunion et </w:t>
      </w:r>
      <w:r w:rsidR="00FA4B20">
        <w:rPr>
          <w:rFonts w:eastAsia="Malgun Gothic"/>
          <w:lang w:val="fr-FR"/>
        </w:rPr>
        <w:t>pour</w:t>
      </w:r>
      <w:r w:rsidRPr="00E563AA">
        <w:rPr>
          <w:rFonts w:eastAsia="Malgun Gothic"/>
          <w:lang w:val="fr-FR"/>
        </w:rPr>
        <w:t xml:space="preserve"> sa chaleureuse hospitalité, en particulier</w:t>
      </w:r>
      <w:r w:rsidR="00FA4B20">
        <w:rPr>
          <w:rFonts w:eastAsia="Malgun Gothic"/>
          <w:lang w:val="fr-FR"/>
        </w:rPr>
        <w:t>,</w:t>
      </w:r>
      <w:r w:rsidR="00135B06">
        <w:rPr>
          <w:rFonts w:eastAsia="Malgun Gothic"/>
          <w:lang w:val="fr-FR"/>
        </w:rPr>
        <w:t xml:space="preserve"> </w:t>
      </w:r>
      <w:r w:rsidRPr="00E563AA">
        <w:rPr>
          <w:rFonts w:eastAsia="Malgun Gothic"/>
          <w:lang w:val="fr-FR"/>
        </w:rPr>
        <w:t>la spectaculaire cérémonie d</w:t>
      </w:r>
      <w:r w:rsidR="00923E72">
        <w:rPr>
          <w:rFonts w:eastAsia="Malgun Gothic"/>
          <w:lang w:val="fr-FR"/>
        </w:rPr>
        <w:t>’</w:t>
      </w:r>
      <w:r w:rsidRPr="00E563AA">
        <w:rPr>
          <w:rFonts w:eastAsia="Malgun Gothic"/>
          <w:lang w:val="fr-FR"/>
        </w:rPr>
        <w:t>ouverture</w:t>
      </w:r>
      <w:r w:rsidR="00FA4B20">
        <w:rPr>
          <w:rFonts w:eastAsia="Malgun Gothic"/>
          <w:lang w:val="fr-FR"/>
        </w:rPr>
        <w:t>,</w:t>
      </w:r>
      <w:r w:rsidRPr="00E563AA">
        <w:rPr>
          <w:rFonts w:eastAsia="Malgun Gothic"/>
          <w:lang w:val="fr-FR"/>
        </w:rPr>
        <w:t xml:space="preserve"> qui avait mis en valeur une partie du riche patrimoine immatériel du pays. Elle a remercié le Sous-Directeur général, le Secrétaire et le Secrétariat pour leur rapport très instructif et les documents de travail très complets. La délégation</w:t>
      </w:r>
      <w:r>
        <w:rPr>
          <w:rFonts w:eastAsia="Malgun Gothic"/>
          <w:lang w:val="fr-FR"/>
        </w:rPr>
        <w:t>, qui a</w:t>
      </w:r>
      <w:r w:rsidR="00B71D4A">
        <w:rPr>
          <w:rFonts w:eastAsia="Malgun Gothic"/>
          <w:lang w:val="fr-FR"/>
        </w:rPr>
        <w:t>ppréciait les</w:t>
      </w:r>
      <w:r w:rsidRPr="00E563AA">
        <w:rPr>
          <w:rFonts w:eastAsia="Malgun Gothic"/>
          <w:lang w:val="fr-FR"/>
        </w:rPr>
        <w:t xml:space="preserve"> tâches </w:t>
      </w:r>
      <w:r w:rsidR="00B71D4A">
        <w:rPr>
          <w:rFonts w:eastAsia="Malgun Gothic"/>
          <w:lang w:val="fr-FR"/>
        </w:rPr>
        <w:t xml:space="preserve">considérables </w:t>
      </w:r>
      <w:r w:rsidRPr="00E563AA">
        <w:rPr>
          <w:rFonts w:eastAsia="Malgun Gothic"/>
          <w:lang w:val="fr-FR"/>
        </w:rPr>
        <w:t>entreprises par le Secrétariat</w:t>
      </w:r>
      <w:r>
        <w:rPr>
          <w:rFonts w:eastAsia="Malgun Gothic"/>
          <w:lang w:val="fr-FR"/>
        </w:rPr>
        <w:t xml:space="preserve">, </w:t>
      </w:r>
      <w:r w:rsidRPr="00E563AA">
        <w:rPr>
          <w:rFonts w:eastAsia="Malgun Gothic"/>
          <w:lang w:val="fr-FR"/>
        </w:rPr>
        <w:t>partageait pleinement les préoccupations exprimées par d</w:t>
      </w:r>
      <w:r w:rsidR="00923E72">
        <w:rPr>
          <w:rFonts w:eastAsia="Malgun Gothic"/>
          <w:lang w:val="fr-FR"/>
        </w:rPr>
        <w:t>’</w:t>
      </w:r>
      <w:r w:rsidRPr="00E563AA">
        <w:rPr>
          <w:rFonts w:eastAsia="Malgun Gothic"/>
          <w:lang w:val="fr-FR"/>
        </w:rPr>
        <w:t>autres membres du Comité concernant le développement des capacités et l</w:t>
      </w:r>
      <w:r w:rsidR="00923E72">
        <w:rPr>
          <w:rFonts w:eastAsia="Malgun Gothic"/>
          <w:lang w:val="fr-FR"/>
        </w:rPr>
        <w:t>’</w:t>
      </w:r>
      <w:r w:rsidRPr="00E563AA">
        <w:rPr>
          <w:rFonts w:eastAsia="Malgun Gothic"/>
          <w:lang w:val="fr-FR"/>
        </w:rPr>
        <w:t>assistance internationale en vue d</w:t>
      </w:r>
      <w:r w:rsidR="00923E72">
        <w:rPr>
          <w:rFonts w:eastAsia="Malgun Gothic"/>
          <w:lang w:val="fr-FR"/>
        </w:rPr>
        <w:t>’</w:t>
      </w:r>
      <w:r w:rsidRPr="00E563AA">
        <w:rPr>
          <w:rFonts w:eastAsia="Malgun Gothic"/>
          <w:lang w:val="fr-FR"/>
        </w:rPr>
        <w:t>une mise en œuvre efficace de la Convention, en particulier pour les pays sous-représentés. Elle s</w:t>
      </w:r>
      <w:r w:rsidR="00923E72">
        <w:rPr>
          <w:rFonts w:eastAsia="Malgun Gothic"/>
          <w:lang w:val="fr-FR"/>
        </w:rPr>
        <w:t>’</w:t>
      </w:r>
      <w:r w:rsidRPr="00E563AA">
        <w:rPr>
          <w:rFonts w:eastAsia="Malgun Gothic"/>
          <w:lang w:val="fr-FR"/>
        </w:rPr>
        <w:t>est réjouie que l</w:t>
      </w:r>
      <w:r w:rsidR="00923E72">
        <w:rPr>
          <w:rFonts w:eastAsia="Malgun Gothic"/>
          <w:lang w:val="fr-FR"/>
        </w:rPr>
        <w:t>’</w:t>
      </w:r>
      <w:r w:rsidRPr="00E563AA">
        <w:rPr>
          <w:rFonts w:eastAsia="Malgun Gothic"/>
          <w:lang w:val="fr-FR"/>
        </w:rPr>
        <w:t>Afrique et les PEID aient bénéficié d</w:t>
      </w:r>
      <w:r w:rsidR="00923E72">
        <w:rPr>
          <w:rFonts w:eastAsia="Malgun Gothic"/>
          <w:lang w:val="fr-FR"/>
        </w:rPr>
        <w:t>’</w:t>
      </w:r>
      <w:r w:rsidRPr="00E563AA">
        <w:rPr>
          <w:rFonts w:eastAsia="Malgun Gothic"/>
          <w:lang w:val="fr-FR"/>
        </w:rPr>
        <w:t>une plus grande attention qu</w:t>
      </w:r>
      <w:r w:rsidR="00923E72">
        <w:rPr>
          <w:rFonts w:eastAsia="Malgun Gothic"/>
          <w:lang w:val="fr-FR"/>
        </w:rPr>
        <w:t>’</w:t>
      </w:r>
      <w:r w:rsidRPr="00E563AA">
        <w:rPr>
          <w:rFonts w:eastAsia="Malgun Gothic"/>
          <w:lang w:val="fr-FR"/>
        </w:rPr>
        <w:t>en</w:t>
      </w:r>
      <w:r w:rsidR="00AF6B98">
        <w:rPr>
          <w:rFonts w:eastAsia="Malgun Gothic"/>
          <w:lang w:val="fr-FR"/>
        </w:rPr>
        <w:t> </w:t>
      </w:r>
      <w:r w:rsidRPr="00E563AA">
        <w:rPr>
          <w:rFonts w:eastAsia="Malgun Gothic"/>
          <w:lang w:val="fr-FR"/>
        </w:rPr>
        <w:t>2021. La priorisation de l</w:t>
      </w:r>
      <w:r w:rsidR="00923E72">
        <w:rPr>
          <w:rFonts w:eastAsia="Malgun Gothic"/>
          <w:lang w:val="fr-FR"/>
        </w:rPr>
        <w:t>’</w:t>
      </w:r>
      <w:r w:rsidRPr="00E563AA">
        <w:rPr>
          <w:rFonts w:eastAsia="Malgun Gothic"/>
          <w:lang w:val="fr-FR"/>
        </w:rPr>
        <w:t>éducation dans les efforts de sauvegarde du patrimoine culturel immatériel par l</w:t>
      </w:r>
      <w:r w:rsidR="00923E72">
        <w:rPr>
          <w:rFonts w:eastAsia="Malgun Gothic"/>
          <w:lang w:val="fr-FR"/>
        </w:rPr>
        <w:t>’</w:t>
      </w:r>
      <w:r w:rsidRPr="00E563AA">
        <w:rPr>
          <w:rFonts w:eastAsia="Malgun Gothic"/>
          <w:lang w:val="fr-FR"/>
        </w:rPr>
        <w:t>éducation formelle et non formelle et la Recommandation révisée de 1974</w:t>
      </w:r>
      <w:r w:rsidR="00135B06">
        <w:rPr>
          <w:rStyle w:val="FootnoteReference"/>
          <w:rFonts w:eastAsia="Malgun Gothic"/>
          <w:lang w:val="fr-FR"/>
        </w:rPr>
        <w:footnoteReference w:id="8"/>
      </w:r>
      <w:r w:rsidRPr="00E563AA">
        <w:rPr>
          <w:rFonts w:eastAsia="Malgun Gothic"/>
          <w:lang w:val="fr-FR"/>
        </w:rPr>
        <w:t xml:space="preserve"> </w:t>
      </w:r>
      <w:r w:rsidR="00135B06">
        <w:rPr>
          <w:rFonts w:eastAsia="Malgun Gothic"/>
          <w:lang w:val="fr-FR"/>
        </w:rPr>
        <w:t>étaient</w:t>
      </w:r>
      <w:r w:rsidRPr="00E563AA">
        <w:rPr>
          <w:rFonts w:eastAsia="Malgun Gothic"/>
          <w:lang w:val="fr-FR"/>
        </w:rPr>
        <w:t xml:space="preserve"> appréciées. En tant que membre élu pour la première fois au Comité, le Bangladesh a exprimé sa gratitude </w:t>
      </w:r>
      <w:r w:rsidR="00553683">
        <w:rPr>
          <w:rFonts w:eastAsia="Malgun Gothic"/>
          <w:lang w:val="fr-FR"/>
        </w:rPr>
        <w:t>envers</w:t>
      </w:r>
      <w:r w:rsidRPr="00E563AA">
        <w:rPr>
          <w:rFonts w:eastAsia="Malgun Gothic"/>
          <w:lang w:val="fr-FR"/>
        </w:rPr>
        <w:t xml:space="preserve"> tous les États parties </w:t>
      </w:r>
      <w:r w:rsidR="00553683">
        <w:rPr>
          <w:rFonts w:eastAsia="Malgun Gothic"/>
          <w:lang w:val="fr-FR"/>
        </w:rPr>
        <w:t>pour</w:t>
      </w:r>
      <w:r w:rsidR="00B71D4A">
        <w:rPr>
          <w:rFonts w:eastAsia="Malgun Gothic"/>
          <w:lang w:val="fr-FR"/>
        </w:rPr>
        <w:t xml:space="preserve"> </w:t>
      </w:r>
      <w:r w:rsidRPr="00E563AA">
        <w:rPr>
          <w:rFonts w:eastAsia="Malgun Gothic"/>
          <w:lang w:val="fr-FR"/>
        </w:rPr>
        <w:t>lui avoir confié cette responsabilité, réitérant son engagement résolu à respecter la Convention</w:t>
      </w:r>
      <w:r w:rsidR="00130CC9">
        <w:rPr>
          <w:rFonts w:eastAsia="Malgun Gothic"/>
          <w:lang w:val="fr-FR"/>
        </w:rPr>
        <w:t>,</w:t>
      </w:r>
      <w:r w:rsidRPr="00E563AA">
        <w:rPr>
          <w:rFonts w:eastAsia="Malgun Gothic"/>
          <w:lang w:val="fr-FR"/>
        </w:rPr>
        <w:t xml:space="preserve"> grâce à ses efforts collectifs pour protéger et promouvoir les éléments immatériels de nos riches cultures. Avant l</w:t>
      </w:r>
      <w:r w:rsidR="00923E72">
        <w:rPr>
          <w:rFonts w:eastAsia="Malgun Gothic"/>
          <w:lang w:val="fr-FR"/>
        </w:rPr>
        <w:t>’</w:t>
      </w:r>
      <w:r w:rsidRPr="00E563AA">
        <w:rPr>
          <w:rFonts w:eastAsia="Malgun Gothic"/>
          <w:lang w:val="fr-FR"/>
        </w:rPr>
        <w:t>élection de juillet</w:t>
      </w:r>
      <w:r w:rsidR="003A0260">
        <w:rPr>
          <w:rFonts w:eastAsia="Malgun Gothic"/>
          <w:lang w:val="fr-FR"/>
        </w:rPr>
        <w:t> </w:t>
      </w:r>
      <w:r w:rsidRPr="00E563AA">
        <w:rPr>
          <w:rFonts w:eastAsia="Malgun Gothic"/>
          <w:lang w:val="fr-FR"/>
        </w:rPr>
        <w:t>2022, la délégation s</w:t>
      </w:r>
      <w:r w:rsidR="00923E72">
        <w:rPr>
          <w:rFonts w:eastAsia="Malgun Gothic"/>
          <w:lang w:val="fr-FR"/>
        </w:rPr>
        <w:t>’</w:t>
      </w:r>
      <w:r w:rsidRPr="00E563AA">
        <w:rPr>
          <w:rFonts w:eastAsia="Malgun Gothic"/>
          <w:lang w:val="fr-FR"/>
        </w:rPr>
        <w:t>était engagée à travailler en étroite collaboration avec les États et le Secrétariat afin d</w:t>
      </w:r>
      <w:r w:rsidR="00923E72">
        <w:rPr>
          <w:rFonts w:eastAsia="Malgun Gothic"/>
          <w:lang w:val="fr-FR"/>
        </w:rPr>
        <w:t>’</w:t>
      </w:r>
      <w:r w:rsidRPr="00E563AA">
        <w:rPr>
          <w:rFonts w:eastAsia="Malgun Gothic"/>
          <w:lang w:val="fr-FR"/>
        </w:rPr>
        <w:t xml:space="preserve">assurer la sauvegarde du patrimoine immatériel pour parvenir à la paix et au développement durable. Le Bangladesh avait rejoint le Comité pour </w:t>
      </w:r>
      <w:r w:rsidR="00553683">
        <w:rPr>
          <w:rFonts w:eastAsia="Malgun Gothic"/>
          <w:lang w:val="fr-FR"/>
        </w:rPr>
        <w:t xml:space="preserve">parvenir à </w:t>
      </w:r>
      <w:r w:rsidRPr="00E563AA">
        <w:rPr>
          <w:rFonts w:eastAsia="Malgun Gothic"/>
          <w:lang w:val="fr-FR"/>
        </w:rPr>
        <w:t>une vision commune de construction d</w:t>
      </w:r>
      <w:r w:rsidR="00923E72">
        <w:rPr>
          <w:rFonts w:eastAsia="Malgun Gothic"/>
          <w:lang w:val="fr-FR"/>
        </w:rPr>
        <w:t>’</w:t>
      </w:r>
      <w:r w:rsidRPr="00E563AA">
        <w:rPr>
          <w:rFonts w:eastAsia="Malgun Gothic"/>
          <w:lang w:val="fr-FR"/>
        </w:rPr>
        <w:t>une société mondiale inclusive, juste et pacifique afin de promouvoir la culture, l</w:t>
      </w:r>
      <w:r w:rsidR="00923E72">
        <w:rPr>
          <w:rFonts w:eastAsia="Malgun Gothic"/>
          <w:lang w:val="fr-FR"/>
        </w:rPr>
        <w:t>’</w:t>
      </w:r>
      <w:r w:rsidRPr="00E563AA">
        <w:rPr>
          <w:rFonts w:eastAsia="Malgun Gothic"/>
          <w:lang w:val="fr-FR"/>
        </w:rPr>
        <w:t>innovation et la créativité. Il estimait que, grâce à cette Convention, tous les pays</w:t>
      </w:r>
      <w:r w:rsidR="00130CC9">
        <w:rPr>
          <w:rFonts w:eastAsia="Malgun Gothic"/>
          <w:lang w:val="fr-FR"/>
        </w:rPr>
        <w:t xml:space="preserve">, </w:t>
      </w:r>
      <w:r w:rsidRPr="00E563AA">
        <w:rPr>
          <w:rFonts w:eastAsia="Malgun Gothic"/>
          <w:lang w:val="fr-FR"/>
        </w:rPr>
        <w:t>grands ou petits</w:t>
      </w:r>
      <w:r w:rsidR="00130CC9">
        <w:rPr>
          <w:rFonts w:eastAsia="Malgun Gothic"/>
          <w:lang w:val="fr-FR"/>
        </w:rPr>
        <w:t xml:space="preserve">, </w:t>
      </w:r>
      <w:r w:rsidRPr="00E563AA">
        <w:rPr>
          <w:rFonts w:eastAsia="Malgun Gothic"/>
          <w:lang w:val="fr-FR"/>
        </w:rPr>
        <w:t>auraient des chances égales de contribuer et de développer une meilleure compréhension de la sauvegarde de leur patrimoine immatériel respectif, un patrimoine partagé par l</w:t>
      </w:r>
      <w:r w:rsidR="00923E72">
        <w:rPr>
          <w:rFonts w:eastAsia="Malgun Gothic"/>
          <w:lang w:val="fr-FR"/>
        </w:rPr>
        <w:t>’</w:t>
      </w:r>
      <w:r w:rsidRPr="00E563AA">
        <w:rPr>
          <w:rFonts w:eastAsia="Malgun Gothic"/>
          <w:lang w:val="fr-FR"/>
        </w:rPr>
        <w:t>humanité tout entière. Le Comité analyserait et adopterait de nombreuses décisions à l</w:t>
      </w:r>
      <w:r w:rsidR="00923E72">
        <w:rPr>
          <w:rFonts w:eastAsia="Malgun Gothic"/>
          <w:lang w:val="fr-FR"/>
        </w:rPr>
        <w:t>’</w:t>
      </w:r>
      <w:r w:rsidRPr="00E563AA">
        <w:rPr>
          <w:rFonts w:eastAsia="Malgun Gothic"/>
          <w:lang w:val="fr-FR"/>
        </w:rPr>
        <w:t>issue de discussions techniques, de négociations et d</w:t>
      </w:r>
      <w:r w:rsidR="00923E72">
        <w:rPr>
          <w:rFonts w:eastAsia="Malgun Gothic"/>
          <w:lang w:val="fr-FR"/>
        </w:rPr>
        <w:t>’</w:t>
      </w:r>
      <w:r w:rsidRPr="00E563AA">
        <w:rPr>
          <w:rFonts w:eastAsia="Malgun Gothic"/>
          <w:lang w:val="fr-FR"/>
        </w:rPr>
        <w:t>inscriptions. La délégation a rappelé au Comité qu</w:t>
      </w:r>
      <w:r w:rsidR="00923E72">
        <w:rPr>
          <w:rFonts w:eastAsia="Malgun Gothic"/>
          <w:lang w:val="fr-FR"/>
        </w:rPr>
        <w:t>’</w:t>
      </w:r>
      <w:r w:rsidRPr="00E563AA">
        <w:rPr>
          <w:rFonts w:eastAsia="Malgun Gothic"/>
          <w:lang w:val="fr-FR"/>
        </w:rPr>
        <w:t>un élément ou un dossier représent</w:t>
      </w:r>
      <w:r w:rsidR="00135B06">
        <w:rPr>
          <w:rFonts w:eastAsia="Malgun Gothic"/>
          <w:lang w:val="fr-FR"/>
        </w:rPr>
        <w:t>e</w:t>
      </w:r>
      <w:r w:rsidRPr="00E563AA">
        <w:rPr>
          <w:rFonts w:eastAsia="Malgun Gothic"/>
          <w:lang w:val="fr-FR"/>
        </w:rPr>
        <w:t xml:space="preserve"> un patrimoine avec </w:t>
      </w:r>
      <w:r w:rsidR="00135B06">
        <w:rPr>
          <w:rFonts w:eastAsia="Malgun Gothic"/>
          <w:lang w:val="fr-FR"/>
        </w:rPr>
        <w:t xml:space="preserve">toute </w:t>
      </w:r>
      <w:r w:rsidRPr="00E563AA">
        <w:rPr>
          <w:rFonts w:eastAsia="Malgun Gothic"/>
          <w:lang w:val="fr-FR"/>
        </w:rPr>
        <w:t>une communauté derrière lui</w:t>
      </w:r>
      <w:r w:rsidR="00FA4B20">
        <w:rPr>
          <w:rFonts w:eastAsia="Malgun Gothic"/>
          <w:lang w:val="fr-FR"/>
        </w:rPr>
        <w:t>,</w:t>
      </w:r>
      <w:r w:rsidRPr="00E563AA">
        <w:rPr>
          <w:rFonts w:eastAsia="Malgun Gothic"/>
          <w:lang w:val="fr-FR"/>
        </w:rPr>
        <w:t xml:space="preserve"> </w:t>
      </w:r>
      <w:r w:rsidR="00553683">
        <w:rPr>
          <w:rFonts w:eastAsia="Malgun Gothic"/>
          <w:lang w:val="fr-FR"/>
        </w:rPr>
        <w:t xml:space="preserve">qui </w:t>
      </w:r>
      <w:r w:rsidRPr="00E563AA">
        <w:rPr>
          <w:rFonts w:eastAsia="Malgun Gothic"/>
          <w:lang w:val="fr-FR"/>
        </w:rPr>
        <w:t>attend avec impatience de célébrer sa reconnaissance. Tou</w:t>
      </w:r>
      <w:r w:rsidR="00DB07C7">
        <w:rPr>
          <w:rFonts w:eastAsia="Malgun Gothic"/>
          <w:lang w:val="fr-FR"/>
        </w:rPr>
        <w:t>t</w:t>
      </w:r>
      <w:r w:rsidRPr="00E563AA">
        <w:rPr>
          <w:rFonts w:eastAsia="Malgun Gothic"/>
          <w:lang w:val="fr-FR"/>
        </w:rPr>
        <w:t xml:space="preserve"> le patrimoine éta</w:t>
      </w:r>
      <w:r w:rsidR="00DB07C7">
        <w:rPr>
          <w:rFonts w:eastAsia="Malgun Gothic"/>
          <w:lang w:val="fr-FR"/>
        </w:rPr>
        <w:t>it</w:t>
      </w:r>
      <w:r w:rsidRPr="00E563AA">
        <w:rPr>
          <w:rFonts w:eastAsia="Malgun Gothic"/>
          <w:lang w:val="fr-FR"/>
        </w:rPr>
        <w:t xml:space="preserve"> important parce que toutes les communautés </w:t>
      </w:r>
      <w:r w:rsidR="00553683">
        <w:rPr>
          <w:rFonts w:eastAsia="Malgun Gothic"/>
          <w:lang w:val="fr-FR"/>
        </w:rPr>
        <w:t xml:space="preserve">étaient </w:t>
      </w:r>
      <w:r w:rsidRPr="00E563AA">
        <w:rPr>
          <w:rFonts w:eastAsia="Malgun Gothic"/>
          <w:lang w:val="fr-FR"/>
        </w:rPr>
        <w:t>importantes. Cette Convention devait leur permettre de survivre et de s</w:t>
      </w:r>
      <w:r w:rsidR="00923E72">
        <w:rPr>
          <w:rFonts w:eastAsia="Malgun Gothic"/>
          <w:lang w:val="fr-FR"/>
        </w:rPr>
        <w:t>’</w:t>
      </w:r>
      <w:r w:rsidRPr="00E563AA">
        <w:rPr>
          <w:rFonts w:eastAsia="Malgun Gothic"/>
          <w:lang w:val="fr-FR"/>
        </w:rPr>
        <w:t>épanouir.</w:t>
      </w:r>
    </w:p>
    <w:p w14:paraId="3360AEF0" w14:textId="2EF83737" w:rsidR="00135B06" w:rsidRDefault="00135B0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135B06">
        <w:rPr>
          <w:rFonts w:eastAsia="Malgun Gothic"/>
          <w:lang w:val="fr-FR"/>
        </w:rPr>
        <w:t xml:space="preserve">Le </w:t>
      </w:r>
      <w:r w:rsidRPr="00135B06">
        <w:rPr>
          <w:rFonts w:eastAsia="Malgun Gothic"/>
          <w:b/>
          <w:bCs/>
          <w:lang w:val="fr-FR"/>
        </w:rPr>
        <w:t>Président</w:t>
      </w:r>
      <w:r w:rsidRPr="00135B06">
        <w:rPr>
          <w:rFonts w:eastAsia="Malgun Gothic"/>
          <w:lang w:val="fr-FR"/>
        </w:rPr>
        <w:t xml:space="preserve"> a félicité une fois de plus le Bangladesh, ajoutant que tous les membres du Comité seraient d</w:t>
      </w:r>
      <w:r w:rsidR="00923E72">
        <w:rPr>
          <w:rFonts w:eastAsia="Malgun Gothic"/>
          <w:lang w:val="fr-FR"/>
        </w:rPr>
        <w:t>’</w:t>
      </w:r>
      <w:r w:rsidRPr="00135B06">
        <w:rPr>
          <w:rFonts w:eastAsia="Malgun Gothic"/>
          <w:lang w:val="fr-FR"/>
        </w:rPr>
        <w:t xml:space="preserve">accord avec ce message concernant les communautés et le travail </w:t>
      </w:r>
      <w:r w:rsidR="00776926">
        <w:rPr>
          <w:rFonts w:eastAsia="Malgun Gothic"/>
          <w:lang w:val="fr-FR"/>
        </w:rPr>
        <w:t xml:space="preserve">à </w:t>
      </w:r>
      <w:r w:rsidRPr="00135B06">
        <w:rPr>
          <w:rFonts w:eastAsia="Malgun Gothic"/>
          <w:lang w:val="fr-FR"/>
        </w:rPr>
        <w:t xml:space="preserve">faire pour </w:t>
      </w:r>
      <w:r w:rsidR="00776926">
        <w:rPr>
          <w:rFonts w:eastAsia="Malgun Gothic"/>
          <w:lang w:val="fr-FR"/>
        </w:rPr>
        <w:t>c</w:t>
      </w:r>
      <w:r w:rsidRPr="00135B06">
        <w:rPr>
          <w:rFonts w:eastAsia="Malgun Gothic"/>
          <w:lang w:val="fr-FR"/>
        </w:rPr>
        <w:t>elles</w:t>
      </w:r>
      <w:r w:rsidR="00776926">
        <w:rPr>
          <w:rFonts w:eastAsia="Malgun Gothic"/>
          <w:lang w:val="fr-FR"/>
        </w:rPr>
        <w:t>-ci</w:t>
      </w:r>
      <w:r w:rsidRPr="00135B06">
        <w:rPr>
          <w:rFonts w:eastAsia="Malgun Gothic"/>
          <w:lang w:val="fr-FR"/>
        </w:rPr>
        <w:t xml:space="preserve"> afin de les aider à perpétuer leur extraordinaire patrimoine immatériel, qui est un élément essentiel de l</w:t>
      </w:r>
      <w:r w:rsidR="00923E72">
        <w:rPr>
          <w:rFonts w:eastAsia="Malgun Gothic"/>
          <w:lang w:val="fr-FR"/>
        </w:rPr>
        <w:t>’</w:t>
      </w:r>
      <w:r w:rsidRPr="00135B06">
        <w:rPr>
          <w:rFonts w:eastAsia="Malgun Gothic"/>
          <w:lang w:val="fr-FR"/>
        </w:rPr>
        <w:t>histoire, de la culture et de l</w:t>
      </w:r>
      <w:r w:rsidR="00923E72">
        <w:rPr>
          <w:rFonts w:eastAsia="Malgun Gothic"/>
          <w:lang w:val="fr-FR"/>
        </w:rPr>
        <w:t>’</w:t>
      </w:r>
      <w:r w:rsidRPr="00135B06">
        <w:rPr>
          <w:rFonts w:eastAsia="Malgun Gothic"/>
          <w:lang w:val="fr-FR"/>
        </w:rPr>
        <w:t xml:space="preserve">identité humaine commune. </w:t>
      </w:r>
      <w:r w:rsidR="00EB7A61">
        <w:rPr>
          <w:rFonts w:eastAsia="Malgun Gothic"/>
          <w:lang w:val="fr-FR"/>
        </w:rPr>
        <w:t xml:space="preserve">Pour cette raison, </w:t>
      </w:r>
      <w:r w:rsidRPr="00135B06">
        <w:rPr>
          <w:rFonts w:eastAsia="Malgun Gothic"/>
          <w:lang w:val="fr-FR"/>
        </w:rPr>
        <w:t>le patrimoine culturel immatériel pren</w:t>
      </w:r>
      <w:r w:rsidR="00EB7A61">
        <w:rPr>
          <w:rFonts w:eastAsia="Malgun Gothic"/>
          <w:lang w:val="fr-FR"/>
        </w:rPr>
        <w:t>ait</w:t>
      </w:r>
      <w:r w:rsidRPr="00135B06">
        <w:rPr>
          <w:rFonts w:eastAsia="Malgun Gothic"/>
          <w:lang w:val="fr-FR"/>
        </w:rPr>
        <w:t xml:space="preserve"> de plus en plus d</w:t>
      </w:r>
      <w:r w:rsidR="00923E72">
        <w:rPr>
          <w:rFonts w:eastAsia="Malgun Gothic"/>
          <w:lang w:val="fr-FR"/>
        </w:rPr>
        <w:t>’</w:t>
      </w:r>
      <w:r w:rsidRPr="00135B06">
        <w:rPr>
          <w:rFonts w:eastAsia="Malgun Gothic"/>
          <w:lang w:val="fr-FR"/>
        </w:rPr>
        <w:t>importance, c</w:t>
      </w:r>
      <w:r w:rsidR="00EB7A61">
        <w:rPr>
          <w:rFonts w:eastAsia="Malgun Gothic"/>
          <w:lang w:val="fr-FR"/>
        </w:rPr>
        <w:t xml:space="preserve">omme on pouvait le voir </w:t>
      </w:r>
      <w:r w:rsidRPr="00135B06">
        <w:rPr>
          <w:rFonts w:eastAsia="Malgun Gothic"/>
          <w:lang w:val="fr-FR"/>
        </w:rPr>
        <w:t>notamment à travers les interactions sur les réseaux sociaux, par exemple, et chez les jeunes qui</w:t>
      </w:r>
      <w:r w:rsidR="00776926">
        <w:rPr>
          <w:rFonts w:eastAsia="Malgun Gothic"/>
          <w:lang w:val="fr-FR"/>
        </w:rPr>
        <w:t xml:space="preserve"> </w:t>
      </w:r>
      <w:r w:rsidRPr="00135B06">
        <w:rPr>
          <w:rFonts w:eastAsia="Malgun Gothic"/>
          <w:lang w:val="fr-FR"/>
        </w:rPr>
        <w:t>pr</w:t>
      </w:r>
      <w:r w:rsidR="00776926">
        <w:rPr>
          <w:rFonts w:eastAsia="Malgun Gothic"/>
          <w:lang w:val="fr-FR"/>
        </w:rPr>
        <w:t>enaient</w:t>
      </w:r>
      <w:r w:rsidRPr="00135B06">
        <w:rPr>
          <w:rFonts w:eastAsia="Malgun Gothic"/>
          <w:lang w:val="fr-FR"/>
        </w:rPr>
        <w:t xml:space="preserve"> en main cette dimension de la culture, ce qui </w:t>
      </w:r>
      <w:r w:rsidR="00776926">
        <w:rPr>
          <w:rFonts w:eastAsia="Malgun Gothic"/>
          <w:lang w:val="fr-FR"/>
        </w:rPr>
        <w:t xml:space="preserve">était </w:t>
      </w:r>
      <w:r w:rsidRPr="00135B06">
        <w:rPr>
          <w:rFonts w:eastAsia="Malgun Gothic"/>
          <w:lang w:val="fr-FR"/>
        </w:rPr>
        <w:t>extrêmement important.</w:t>
      </w:r>
    </w:p>
    <w:p w14:paraId="03D605DD" w14:textId="26C232E1" w:rsidR="00EB7A61" w:rsidRDefault="00EB7A6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EB7A61">
        <w:rPr>
          <w:rFonts w:eastAsia="Malgun Gothic"/>
          <w:b/>
          <w:bCs/>
          <w:lang w:val="fr-FR"/>
        </w:rPr>
        <w:t>Secrétaire</w:t>
      </w:r>
      <w:r>
        <w:rPr>
          <w:rFonts w:eastAsia="Malgun Gothic"/>
          <w:lang w:val="fr-FR"/>
        </w:rPr>
        <w:t xml:space="preserve"> a communiqué quelques </w:t>
      </w:r>
      <w:r w:rsidRPr="00EB7A61">
        <w:rPr>
          <w:rFonts w:eastAsia="Malgun Gothic"/>
          <w:lang w:val="fr-FR"/>
        </w:rPr>
        <w:t>informations</w:t>
      </w:r>
      <w:r>
        <w:rPr>
          <w:rFonts w:eastAsia="Malgun Gothic"/>
          <w:lang w:val="fr-FR"/>
        </w:rPr>
        <w:t xml:space="preserve"> pratiques, rappelant aux </w:t>
      </w:r>
      <w:r w:rsidRPr="00EB7A61">
        <w:rPr>
          <w:rFonts w:eastAsia="Malgun Gothic"/>
          <w:lang w:val="fr-FR"/>
        </w:rPr>
        <w:t>délégatio</w:t>
      </w:r>
      <w:r>
        <w:rPr>
          <w:rFonts w:eastAsia="Malgun Gothic"/>
          <w:lang w:val="fr-FR"/>
        </w:rPr>
        <w:t>ns la conférence de presse, qui se tiendrait pendant la pause déjeuner, ainsi que plusieurs événements parallèles.</w:t>
      </w:r>
    </w:p>
    <w:p w14:paraId="29073B8D" w14:textId="24A90FB7" w:rsidR="00EB7A61" w:rsidRDefault="00EB7A6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EB7A61">
        <w:rPr>
          <w:rFonts w:eastAsia="Malgun Gothic"/>
          <w:b/>
          <w:bCs/>
          <w:lang w:val="fr-FR"/>
        </w:rPr>
        <w:t>Président</w:t>
      </w:r>
      <w:r>
        <w:rPr>
          <w:rFonts w:eastAsia="Malgun Gothic"/>
          <w:lang w:val="fr-FR"/>
        </w:rPr>
        <w:t xml:space="preserve"> a levé la séance du matin.</w:t>
      </w:r>
    </w:p>
    <w:p w14:paraId="04CCA52B" w14:textId="77777777" w:rsidR="00590C6E" w:rsidRDefault="00590C6E" w:rsidP="00590C6E">
      <w:pPr>
        <w:pStyle w:val="Orateurengris"/>
        <w:tabs>
          <w:tab w:val="clear" w:pos="709"/>
          <w:tab w:val="clear" w:pos="1418"/>
          <w:tab w:val="clear" w:pos="2126"/>
          <w:tab w:val="clear" w:pos="2835"/>
        </w:tabs>
        <w:spacing w:before="120" w:after="0"/>
        <w:ind w:left="720"/>
        <w:rPr>
          <w:rFonts w:eastAsia="Malgun Gothic"/>
          <w:lang w:val="fr-FR"/>
        </w:rPr>
      </w:pPr>
    </w:p>
    <w:p w14:paraId="5D9AA13F" w14:textId="036B08D2" w:rsidR="00EB7A61" w:rsidRDefault="00EB7A61" w:rsidP="00EB7A61">
      <w:pPr>
        <w:pStyle w:val="Orateurengris"/>
        <w:tabs>
          <w:tab w:val="clear" w:pos="709"/>
          <w:tab w:val="clear" w:pos="1418"/>
          <w:tab w:val="clear" w:pos="2126"/>
          <w:tab w:val="clear" w:pos="2835"/>
        </w:tabs>
        <w:spacing w:before="120" w:after="0"/>
        <w:ind w:left="720"/>
        <w:jc w:val="center"/>
        <w:rPr>
          <w:rFonts w:eastAsia="Malgun Gothic"/>
          <w:i/>
          <w:iCs/>
          <w:lang w:val="fr-FR"/>
        </w:rPr>
      </w:pPr>
      <w:r w:rsidRPr="00EB7A61">
        <w:rPr>
          <w:rFonts w:eastAsia="Malgun Gothic"/>
          <w:i/>
          <w:iCs/>
          <w:lang w:val="fr-FR"/>
        </w:rPr>
        <w:t>[Lundi</w:t>
      </w:r>
      <w:r w:rsidR="0014172E">
        <w:rPr>
          <w:rFonts w:eastAsia="Malgun Gothic"/>
          <w:i/>
          <w:iCs/>
          <w:lang w:val="fr-FR"/>
        </w:rPr>
        <w:t> </w:t>
      </w:r>
      <w:r w:rsidRPr="00EB7A61">
        <w:rPr>
          <w:rFonts w:eastAsia="Malgun Gothic"/>
          <w:i/>
          <w:iCs/>
          <w:lang w:val="fr-FR"/>
        </w:rPr>
        <w:t>28</w:t>
      </w:r>
      <w:r w:rsidR="0014172E">
        <w:rPr>
          <w:rFonts w:eastAsia="Malgun Gothic"/>
          <w:i/>
          <w:iCs/>
          <w:lang w:val="fr-FR"/>
        </w:rPr>
        <w:t> </w:t>
      </w:r>
      <w:r w:rsidRPr="00EB7A61">
        <w:rPr>
          <w:rFonts w:eastAsia="Malgun Gothic"/>
          <w:i/>
          <w:iCs/>
          <w:lang w:val="fr-FR"/>
        </w:rPr>
        <w:t>novembre</w:t>
      </w:r>
      <w:r w:rsidR="0014172E">
        <w:rPr>
          <w:rFonts w:eastAsia="Malgun Gothic"/>
          <w:i/>
          <w:iCs/>
          <w:lang w:val="fr-FR"/>
        </w:rPr>
        <w:t> </w:t>
      </w:r>
      <w:r w:rsidR="00FD22BF">
        <w:rPr>
          <w:rFonts w:eastAsia="Malgun Gothic"/>
          <w:i/>
          <w:iCs/>
          <w:lang w:val="fr-FR"/>
        </w:rPr>
        <w:t>2022</w:t>
      </w:r>
      <w:r w:rsidRPr="00EB7A61">
        <w:rPr>
          <w:rFonts w:eastAsia="Malgun Gothic"/>
          <w:i/>
          <w:iCs/>
          <w:lang w:val="fr-FR"/>
        </w:rPr>
        <w:t>, séance de l</w:t>
      </w:r>
      <w:r w:rsidR="00923E72">
        <w:rPr>
          <w:rFonts w:eastAsia="Malgun Gothic"/>
          <w:i/>
          <w:iCs/>
          <w:lang w:val="fr-FR"/>
        </w:rPr>
        <w:t>’</w:t>
      </w:r>
      <w:r w:rsidRPr="00EB7A61">
        <w:rPr>
          <w:rFonts w:eastAsia="Malgun Gothic"/>
          <w:i/>
          <w:iCs/>
          <w:lang w:val="fr-FR"/>
        </w:rPr>
        <w:t>après-midi]</w:t>
      </w:r>
    </w:p>
    <w:p w14:paraId="3D9453AB" w14:textId="77777777" w:rsidR="00590C6E" w:rsidRDefault="00590C6E" w:rsidP="00590C6E">
      <w:pPr>
        <w:pStyle w:val="Orateurengris"/>
        <w:tabs>
          <w:tab w:val="clear" w:pos="709"/>
          <w:tab w:val="clear" w:pos="1418"/>
          <w:tab w:val="clear" w:pos="2126"/>
          <w:tab w:val="clear" w:pos="2835"/>
        </w:tabs>
        <w:spacing w:before="120" w:after="0"/>
        <w:ind w:left="720"/>
        <w:rPr>
          <w:rFonts w:eastAsia="Malgun Gothic"/>
          <w:i/>
          <w:iCs/>
          <w:lang w:val="fr-FR"/>
        </w:rPr>
      </w:pPr>
    </w:p>
    <w:p w14:paraId="4356F32A" w14:textId="3C3E153A" w:rsidR="00EB7A61" w:rsidRPr="00EB7A61" w:rsidRDefault="00EB7A61" w:rsidP="00EB7A61">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EB7A61">
        <w:rPr>
          <w:b/>
          <w:color w:val="000000" w:themeColor="text1"/>
          <w:u w:val="single"/>
          <w:lang w:val="fr-FR"/>
        </w:rPr>
        <w:lastRenderedPageBreak/>
        <w:t>POINT</w:t>
      </w:r>
      <w:r w:rsidR="002B668C">
        <w:rPr>
          <w:b/>
          <w:color w:val="000000" w:themeColor="text1"/>
          <w:u w:val="single"/>
          <w:lang w:val="fr-FR"/>
        </w:rPr>
        <w:t> </w:t>
      </w:r>
      <w:r w:rsidRPr="00EB7A61">
        <w:rPr>
          <w:b/>
          <w:color w:val="000000" w:themeColor="text1"/>
          <w:u w:val="single"/>
          <w:lang w:val="fr-FR"/>
        </w:rPr>
        <w:t>5 DE L</w:t>
      </w:r>
      <w:r w:rsidR="00923E72">
        <w:rPr>
          <w:b/>
          <w:color w:val="000000" w:themeColor="text1"/>
          <w:u w:val="single"/>
          <w:lang w:val="fr-FR"/>
        </w:rPr>
        <w:t>’</w:t>
      </w:r>
      <w:r w:rsidRPr="00EB7A61">
        <w:rPr>
          <w:b/>
          <w:color w:val="000000" w:themeColor="text1"/>
          <w:u w:val="single"/>
          <w:lang w:val="fr-FR"/>
        </w:rPr>
        <w:t>ORDRE DU JOUR [SUITE]</w:t>
      </w:r>
      <w:r w:rsidRPr="00EB7A61">
        <w:rPr>
          <w:b/>
          <w:color w:val="000000" w:themeColor="text1"/>
          <w:lang w:val="fr-FR"/>
        </w:rPr>
        <w:t> :</w:t>
      </w:r>
    </w:p>
    <w:p w14:paraId="79BB6F9E" w14:textId="6543A5F7" w:rsidR="00EB7A61" w:rsidRPr="00EB7A61" w:rsidRDefault="00EB7A61" w:rsidP="00EB7A61">
      <w:pPr>
        <w:pStyle w:val="Orateurengris"/>
        <w:spacing w:after="0"/>
        <w:jc w:val="left"/>
        <w:outlineLvl w:val="0"/>
        <w:rPr>
          <w:b/>
          <w:color w:val="000000" w:themeColor="text1"/>
          <w:lang w:val="fr-FR"/>
        </w:rPr>
      </w:pPr>
      <w:r w:rsidRPr="00EB7A61">
        <w:rPr>
          <w:b/>
          <w:color w:val="000000" w:themeColor="text1"/>
          <w:lang w:val="fr-FR"/>
        </w:rPr>
        <w:t>RAPPORT DU SECRÉTARIAT SUR SES ACTIVITÉS (DE</w:t>
      </w:r>
      <w:r w:rsidR="00130CC9">
        <w:rPr>
          <w:b/>
          <w:color w:val="000000" w:themeColor="text1"/>
          <w:lang w:val="fr-FR"/>
        </w:rPr>
        <w:t> </w:t>
      </w:r>
      <w:r w:rsidRPr="00EB7A61">
        <w:rPr>
          <w:b/>
          <w:color w:val="000000" w:themeColor="text1"/>
          <w:lang w:val="fr-FR"/>
        </w:rPr>
        <w:t>JANVIER À</w:t>
      </w:r>
      <w:r w:rsidR="00130CC9">
        <w:rPr>
          <w:b/>
          <w:color w:val="000000" w:themeColor="text1"/>
          <w:lang w:val="fr-FR"/>
        </w:rPr>
        <w:t> </w:t>
      </w:r>
      <w:r w:rsidRPr="00EB7A61">
        <w:rPr>
          <w:b/>
          <w:color w:val="000000" w:themeColor="text1"/>
          <w:lang w:val="fr-FR"/>
        </w:rPr>
        <w:t>JUIN</w:t>
      </w:r>
      <w:r w:rsidR="00130CC9">
        <w:rPr>
          <w:b/>
          <w:color w:val="000000" w:themeColor="text1"/>
          <w:lang w:val="fr-FR"/>
        </w:rPr>
        <w:t> </w:t>
      </w:r>
      <w:r w:rsidRPr="00EB7A61">
        <w:rPr>
          <w:b/>
          <w:color w:val="000000" w:themeColor="text1"/>
          <w:lang w:val="fr-FR"/>
        </w:rPr>
        <w:t>2022))</w:t>
      </w:r>
    </w:p>
    <w:p w14:paraId="1F48B510" w14:textId="77777777" w:rsidR="00EB7A61" w:rsidRPr="00EB7A61" w:rsidRDefault="00EB7A61" w:rsidP="00EB7A61">
      <w:pPr>
        <w:pStyle w:val="Orateurengris"/>
        <w:tabs>
          <w:tab w:val="clear" w:pos="709"/>
          <w:tab w:val="clear" w:pos="1418"/>
          <w:tab w:val="clear" w:pos="2126"/>
          <w:tab w:val="clear" w:pos="2835"/>
        </w:tabs>
        <w:spacing w:before="120" w:after="0"/>
        <w:ind w:left="720"/>
        <w:jc w:val="left"/>
        <w:rPr>
          <w:rFonts w:eastAsia="Malgun Gothic"/>
          <w:i/>
          <w:iCs/>
          <w:lang w:val="fr-FR"/>
        </w:rPr>
      </w:pPr>
    </w:p>
    <w:p w14:paraId="6099F936" w14:textId="34C1255B" w:rsidR="00EB7A61" w:rsidRDefault="00D010C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Après avoir souhaité la bienvenue aux délégations, le </w:t>
      </w:r>
      <w:r w:rsidRPr="00D010C4">
        <w:rPr>
          <w:rFonts w:eastAsia="Malgun Gothic"/>
          <w:b/>
          <w:bCs/>
          <w:lang w:val="fr-FR"/>
        </w:rPr>
        <w:t>Président</w:t>
      </w:r>
      <w:r>
        <w:rPr>
          <w:rFonts w:eastAsia="Malgun Gothic"/>
          <w:lang w:val="fr-FR"/>
        </w:rPr>
        <w:t xml:space="preserve"> est revenu </w:t>
      </w:r>
      <w:r w:rsidR="00DB07C7">
        <w:rPr>
          <w:rFonts w:eastAsia="Malgun Gothic"/>
          <w:lang w:val="fr-FR"/>
        </w:rPr>
        <w:t xml:space="preserve">à la discussion </w:t>
      </w:r>
      <w:r>
        <w:rPr>
          <w:rFonts w:eastAsia="Malgun Gothic"/>
          <w:lang w:val="fr-FR"/>
        </w:rPr>
        <w:t>sur le point</w:t>
      </w:r>
      <w:r w:rsidR="00776926">
        <w:rPr>
          <w:rFonts w:eastAsia="Malgun Gothic"/>
          <w:lang w:val="fr-FR"/>
        </w:rPr>
        <w:t> </w:t>
      </w:r>
      <w:r>
        <w:rPr>
          <w:rFonts w:eastAsia="Malgun Gothic"/>
          <w:lang w:val="fr-FR"/>
        </w:rPr>
        <w:t>5 de l</w:t>
      </w:r>
      <w:r w:rsidR="00923E72">
        <w:rPr>
          <w:rFonts w:eastAsia="Malgun Gothic"/>
          <w:lang w:val="fr-FR"/>
        </w:rPr>
        <w:t>’</w:t>
      </w:r>
      <w:r w:rsidRPr="00D010C4">
        <w:rPr>
          <w:rFonts w:eastAsia="Malgun Gothic"/>
          <w:lang w:val="fr-FR"/>
        </w:rPr>
        <w:t>ordre du jour</w:t>
      </w:r>
      <w:r>
        <w:rPr>
          <w:rFonts w:eastAsia="Malgun Gothic"/>
          <w:lang w:val="fr-FR"/>
        </w:rPr>
        <w:t>.</w:t>
      </w:r>
    </w:p>
    <w:p w14:paraId="04F489BF" w14:textId="2953B277" w:rsidR="00441F0B" w:rsidRDefault="00441F0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41F0B">
        <w:rPr>
          <w:rFonts w:eastAsia="Malgun Gothic"/>
          <w:lang w:val="fr-FR"/>
        </w:rPr>
        <w:t xml:space="preserve">La délégation du </w:t>
      </w:r>
      <w:r w:rsidRPr="00441F0B">
        <w:rPr>
          <w:rFonts w:eastAsia="Malgun Gothic"/>
          <w:b/>
          <w:bCs/>
          <w:lang w:val="fr-FR"/>
        </w:rPr>
        <w:t>Panama</w:t>
      </w:r>
      <w:r w:rsidRPr="00441F0B">
        <w:rPr>
          <w:rFonts w:eastAsia="Malgun Gothic"/>
          <w:lang w:val="fr-FR"/>
        </w:rPr>
        <w:t xml:space="preserve"> a félicité le Président, le remerciant pour la merveilleuse opportunité</w:t>
      </w:r>
      <w:r w:rsidR="00130CC9">
        <w:rPr>
          <w:rFonts w:eastAsia="Malgun Gothic"/>
          <w:lang w:val="fr-FR"/>
        </w:rPr>
        <w:t xml:space="preserve">, </w:t>
      </w:r>
      <w:r w:rsidRPr="00441F0B">
        <w:rPr>
          <w:rFonts w:eastAsia="Malgun Gothic"/>
          <w:lang w:val="fr-FR"/>
        </w:rPr>
        <w:t>après des années de réunions virtuelles</w:t>
      </w:r>
      <w:r w:rsidR="00130CC9">
        <w:rPr>
          <w:rFonts w:eastAsia="Malgun Gothic"/>
          <w:lang w:val="fr-FR"/>
        </w:rPr>
        <w:t>,</w:t>
      </w:r>
      <w:r w:rsidRPr="00441F0B">
        <w:rPr>
          <w:rFonts w:eastAsia="Malgun Gothic"/>
          <w:lang w:val="fr-FR"/>
        </w:rPr>
        <w:t xml:space="preserve"> </w:t>
      </w:r>
      <w:r w:rsidR="00130CC9" w:rsidRPr="00441F0B">
        <w:rPr>
          <w:rFonts w:eastAsia="Malgun Gothic"/>
          <w:lang w:val="fr-FR"/>
        </w:rPr>
        <w:t>d</w:t>
      </w:r>
      <w:r w:rsidR="00923E72">
        <w:rPr>
          <w:rFonts w:eastAsia="Malgun Gothic"/>
          <w:lang w:val="fr-FR"/>
        </w:rPr>
        <w:t>’</w:t>
      </w:r>
      <w:r w:rsidR="00130CC9" w:rsidRPr="00441F0B">
        <w:rPr>
          <w:rFonts w:eastAsia="Malgun Gothic"/>
          <w:lang w:val="fr-FR"/>
        </w:rPr>
        <w:t>être à Rabat</w:t>
      </w:r>
      <w:r w:rsidR="00130CC9">
        <w:rPr>
          <w:rFonts w:eastAsia="Malgun Gothic"/>
          <w:lang w:val="fr-FR"/>
        </w:rPr>
        <w:t xml:space="preserve"> </w:t>
      </w:r>
      <w:r w:rsidRPr="00441F0B">
        <w:rPr>
          <w:rFonts w:eastAsia="Malgun Gothic"/>
          <w:lang w:val="fr-FR"/>
        </w:rPr>
        <w:t xml:space="preserve">et de voir de ses propres yeux ce patrimoine vivant. Elle a remercié le Secrétaire et son équipe pour leur engagement et leurs efforts inlassables pour aider les délégations à renforcer le patrimoine culturel immatériel dans </w:t>
      </w:r>
      <w:r w:rsidR="00DB07C7">
        <w:rPr>
          <w:rFonts w:eastAsia="Malgun Gothic"/>
          <w:lang w:val="fr-FR"/>
        </w:rPr>
        <w:t xml:space="preserve">leurs </w:t>
      </w:r>
      <w:r w:rsidRPr="00441F0B">
        <w:rPr>
          <w:rFonts w:eastAsia="Malgun Gothic"/>
          <w:lang w:val="fr-FR"/>
        </w:rPr>
        <w:t xml:space="preserve">pays. Le Panama </w:t>
      </w:r>
      <w:r w:rsidR="00FF1E4F">
        <w:rPr>
          <w:rFonts w:eastAsia="Malgun Gothic"/>
          <w:lang w:val="fr-FR"/>
        </w:rPr>
        <w:t xml:space="preserve">œuvrait </w:t>
      </w:r>
      <w:r w:rsidRPr="00441F0B">
        <w:rPr>
          <w:rFonts w:eastAsia="Malgun Gothic"/>
          <w:lang w:val="fr-FR"/>
        </w:rPr>
        <w:t>depuis près de vingt ans sur ce sujet et attachait une grande importance à la Convention</w:t>
      </w:r>
      <w:r w:rsidR="00DB07C7">
        <w:rPr>
          <w:rFonts w:eastAsia="Malgun Gothic"/>
          <w:lang w:val="fr-FR"/>
        </w:rPr>
        <w:t xml:space="preserve"> </w:t>
      </w:r>
      <w:r w:rsidRPr="00441F0B">
        <w:rPr>
          <w:rFonts w:eastAsia="Malgun Gothic"/>
          <w:lang w:val="fr-FR"/>
        </w:rPr>
        <w:t xml:space="preserve">et aux espaces de coopération qui y avaient été créés. </w:t>
      </w:r>
      <w:r w:rsidR="00776926">
        <w:rPr>
          <w:rFonts w:eastAsia="Malgun Gothic"/>
          <w:lang w:val="fr-FR"/>
        </w:rPr>
        <w:t xml:space="preserve">La </w:t>
      </w:r>
      <w:r w:rsidR="00776926" w:rsidRPr="00776926">
        <w:rPr>
          <w:rFonts w:eastAsia="Malgun Gothic"/>
          <w:lang w:val="fr-FR"/>
        </w:rPr>
        <w:t>délégation</w:t>
      </w:r>
      <w:r w:rsidR="00776926">
        <w:rPr>
          <w:rFonts w:eastAsia="Malgun Gothic"/>
          <w:lang w:val="fr-FR"/>
        </w:rPr>
        <w:t xml:space="preserve"> </w:t>
      </w:r>
      <w:r w:rsidRPr="00441F0B">
        <w:rPr>
          <w:rFonts w:eastAsia="Malgun Gothic"/>
          <w:lang w:val="fr-FR"/>
        </w:rPr>
        <w:t>a remercié le Secrétariat pour l</w:t>
      </w:r>
      <w:r w:rsidR="00923E72">
        <w:rPr>
          <w:rFonts w:eastAsia="Malgun Gothic"/>
          <w:lang w:val="fr-FR"/>
        </w:rPr>
        <w:t>’</w:t>
      </w:r>
      <w:r w:rsidRPr="00441F0B">
        <w:rPr>
          <w:rFonts w:eastAsia="Malgun Gothic"/>
          <w:lang w:val="fr-FR"/>
        </w:rPr>
        <w:t>assistance internationale</w:t>
      </w:r>
      <w:r w:rsidR="00776926">
        <w:rPr>
          <w:rFonts w:eastAsia="Malgun Gothic"/>
          <w:lang w:val="fr-FR"/>
        </w:rPr>
        <w:t xml:space="preserve"> fournie </w:t>
      </w:r>
      <w:r w:rsidR="00DB07C7">
        <w:rPr>
          <w:rFonts w:eastAsia="Malgun Gothic"/>
          <w:lang w:val="fr-FR"/>
        </w:rPr>
        <w:t>à</w:t>
      </w:r>
      <w:r w:rsidRPr="00441F0B">
        <w:rPr>
          <w:rFonts w:eastAsia="Malgun Gothic"/>
          <w:lang w:val="fr-FR"/>
        </w:rPr>
        <w:t xml:space="preserve"> de nombreux pays</w:t>
      </w:r>
      <w:r w:rsidR="00FA4B20">
        <w:rPr>
          <w:rFonts w:eastAsia="Malgun Gothic"/>
          <w:lang w:val="fr-FR"/>
        </w:rPr>
        <w:t>,</w:t>
      </w:r>
      <w:r w:rsidRPr="00441F0B">
        <w:rPr>
          <w:rFonts w:eastAsia="Malgun Gothic"/>
          <w:lang w:val="fr-FR"/>
        </w:rPr>
        <w:t xml:space="preserve"> </w:t>
      </w:r>
      <w:r w:rsidR="00776926">
        <w:rPr>
          <w:rFonts w:eastAsia="Malgun Gothic"/>
          <w:lang w:val="fr-FR"/>
        </w:rPr>
        <w:t xml:space="preserve">qui </w:t>
      </w:r>
      <w:r w:rsidRPr="00441F0B">
        <w:rPr>
          <w:rFonts w:eastAsia="Malgun Gothic"/>
          <w:lang w:val="fr-FR"/>
        </w:rPr>
        <w:t xml:space="preserve">permet aux dirigeants communautaires des </w:t>
      </w:r>
      <w:r w:rsidR="00FF1E4F">
        <w:rPr>
          <w:rFonts w:eastAsia="Malgun Gothic"/>
          <w:lang w:val="fr-FR"/>
        </w:rPr>
        <w:t xml:space="preserve">populations </w:t>
      </w:r>
      <w:r w:rsidRPr="00441F0B">
        <w:rPr>
          <w:rFonts w:eastAsia="Malgun Gothic"/>
          <w:lang w:val="fr-FR"/>
        </w:rPr>
        <w:t>historiques de sauvegarder le patrimoine vivant des peuples afro-descendants à Cuba et en Amérique centrale. Cela signifiait qu</w:t>
      </w:r>
      <w:r w:rsidR="00923E72">
        <w:rPr>
          <w:rFonts w:eastAsia="Malgun Gothic"/>
          <w:lang w:val="fr-FR"/>
        </w:rPr>
        <w:t>’</w:t>
      </w:r>
      <w:r w:rsidRPr="00441F0B">
        <w:rPr>
          <w:rFonts w:eastAsia="Malgun Gothic"/>
          <w:lang w:val="fr-FR"/>
        </w:rPr>
        <w:t>ils pouvaient créer des inventaires et renforcer les capacités dans la région</w:t>
      </w:r>
      <w:r w:rsidR="00FF1E4F">
        <w:rPr>
          <w:rFonts w:eastAsia="Malgun Gothic"/>
          <w:lang w:val="fr-FR"/>
        </w:rPr>
        <w:t>,</w:t>
      </w:r>
      <w:r w:rsidRPr="00441F0B">
        <w:rPr>
          <w:rFonts w:eastAsia="Malgun Gothic"/>
          <w:lang w:val="fr-FR"/>
        </w:rPr>
        <w:t xml:space="preserve"> et l</w:t>
      </w:r>
      <w:r w:rsidR="00923E72">
        <w:rPr>
          <w:rFonts w:eastAsia="Malgun Gothic"/>
          <w:lang w:val="fr-FR"/>
        </w:rPr>
        <w:t>’</w:t>
      </w:r>
      <w:r w:rsidRPr="00441F0B">
        <w:rPr>
          <w:rFonts w:eastAsia="Malgun Gothic"/>
          <w:lang w:val="fr-FR"/>
        </w:rPr>
        <w:t>on pouvait espérer que ce serait l</w:t>
      </w:r>
      <w:r w:rsidR="00923E72">
        <w:rPr>
          <w:rFonts w:eastAsia="Malgun Gothic"/>
          <w:lang w:val="fr-FR"/>
        </w:rPr>
        <w:t>’</w:t>
      </w:r>
      <w:r w:rsidRPr="00441F0B">
        <w:rPr>
          <w:rFonts w:eastAsia="Malgun Gothic"/>
          <w:lang w:val="fr-FR"/>
        </w:rPr>
        <w:t>occasion d</w:t>
      </w:r>
      <w:r w:rsidR="00923E72">
        <w:rPr>
          <w:rFonts w:eastAsia="Malgun Gothic"/>
          <w:lang w:val="fr-FR"/>
        </w:rPr>
        <w:t>’</w:t>
      </w:r>
      <w:r w:rsidR="00DB07C7">
        <w:rPr>
          <w:rFonts w:eastAsia="Malgun Gothic"/>
          <w:lang w:val="fr-FR"/>
        </w:rPr>
        <w:t>encourager</w:t>
      </w:r>
      <w:r w:rsidRPr="00441F0B">
        <w:rPr>
          <w:rFonts w:eastAsia="Malgun Gothic"/>
          <w:lang w:val="fr-FR"/>
        </w:rPr>
        <w:t xml:space="preserve"> tout le monde à envisager différentes manières de coopérer et de tirer parti des ressources disponibles. La délégation espérait également que la réunion serait fructueuse et couronnée de succès, car toutes les communautés et tous les détenteurs de traditions l</w:t>
      </w:r>
      <w:r w:rsidR="00923E72">
        <w:rPr>
          <w:rFonts w:eastAsia="Malgun Gothic"/>
          <w:lang w:val="fr-FR"/>
        </w:rPr>
        <w:t>’</w:t>
      </w:r>
      <w:r w:rsidRPr="00441F0B">
        <w:rPr>
          <w:rFonts w:eastAsia="Malgun Gothic"/>
          <w:lang w:val="fr-FR"/>
        </w:rPr>
        <w:t>observaient et l</w:t>
      </w:r>
      <w:r w:rsidR="00923E72">
        <w:rPr>
          <w:rFonts w:eastAsia="Malgun Gothic"/>
          <w:lang w:val="fr-FR"/>
        </w:rPr>
        <w:t>’</w:t>
      </w:r>
      <w:r w:rsidRPr="00441F0B">
        <w:rPr>
          <w:rFonts w:eastAsia="Malgun Gothic"/>
          <w:lang w:val="fr-FR"/>
        </w:rPr>
        <w:t>attendaient.</w:t>
      </w:r>
    </w:p>
    <w:p w14:paraId="055ABCC2" w14:textId="1D6019DA" w:rsidR="00FF1E4F" w:rsidRDefault="00FF1E4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FF1E4F">
        <w:rPr>
          <w:rFonts w:eastAsia="Malgun Gothic"/>
          <w:b/>
          <w:bCs/>
          <w:lang w:val="fr-FR"/>
        </w:rPr>
        <w:t>Président</w:t>
      </w:r>
      <w:r>
        <w:rPr>
          <w:rFonts w:eastAsia="Malgun Gothic"/>
          <w:lang w:val="fr-FR"/>
        </w:rPr>
        <w:t xml:space="preserve"> a </w:t>
      </w:r>
      <w:r w:rsidRPr="00FF1E4F">
        <w:rPr>
          <w:rFonts w:eastAsia="Malgun Gothic"/>
          <w:lang w:val="fr-FR"/>
        </w:rPr>
        <w:t>remerci</w:t>
      </w:r>
      <w:r>
        <w:rPr>
          <w:rFonts w:eastAsia="Malgun Gothic"/>
          <w:lang w:val="fr-FR"/>
        </w:rPr>
        <w:t>é</w:t>
      </w:r>
      <w:r w:rsidRPr="00FF1E4F">
        <w:rPr>
          <w:rFonts w:eastAsia="Malgun Gothic"/>
          <w:lang w:val="fr-FR"/>
        </w:rPr>
        <w:t xml:space="preserve"> le Panama de son intervention et de ses paroles chaleureuses ainsi que du message </w:t>
      </w:r>
      <w:r w:rsidR="00DB07C7">
        <w:rPr>
          <w:rFonts w:eastAsia="Malgun Gothic"/>
          <w:lang w:val="fr-FR"/>
        </w:rPr>
        <w:t xml:space="preserve">concernant les </w:t>
      </w:r>
      <w:r w:rsidR="00DB07C7" w:rsidRPr="00DB07C7">
        <w:rPr>
          <w:rFonts w:eastAsia="Malgun Gothic"/>
          <w:bCs/>
          <w:color w:val="000000" w:themeColor="text1"/>
          <w:lang w:val="fr-FR"/>
        </w:rPr>
        <w:t>communautés</w:t>
      </w:r>
      <w:r w:rsidR="00DB07C7">
        <w:rPr>
          <w:rFonts w:eastAsia="Malgun Gothic"/>
          <w:bCs/>
          <w:color w:val="000000" w:themeColor="text1"/>
          <w:lang w:val="fr-FR"/>
        </w:rPr>
        <w:t xml:space="preserve">, </w:t>
      </w:r>
      <w:r w:rsidRPr="00FF1E4F">
        <w:rPr>
          <w:rFonts w:eastAsia="Malgun Gothic"/>
          <w:lang w:val="fr-FR"/>
        </w:rPr>
        <w:t xml:space="preserve">que </w:t>
      </w:r>
      <w:r w:rsidR="00DB07C7">
        <w:rPr>
          <w:rFonts w:eastAsia="Malgun Gothic"/>
          <w:lang w:val="fr-FR"/>
        </w:rPr>
        <w:t xml:space="preserve">toutes les </w:t>
      </w:r>
      <w:r w:rsidR="00DB07C7" w:rsidRPr="00DB07C7">
        <w:rPr>
          <w:rFonts w:eastAsia="Malgun Gothic"/>
          <w:lang w:val="fr-FR"/>
        </w:rPr>
        <w:t>délégatio</w:t>
      </w:r>
      <w:r w:rsidR="00DB07C7">
        <w:rPr>
          <w:rFonts w:eastAsia="Malgun Gothic"/>
          <w:lang w:val="fr-FR"/>
        </w:rPr>
        <w:t xml:space="preserve">ns </w:t>
      </w:r>
      <w:r w:rsidRPr="00FF1E4F">
        <w:rPr>
          <w:rFonts w:eastAsia="Malgun Gothic"/>
          <w:lang w:val="fr-FR"/>
        </w:rPr>
        <w:t>partage</w:t>
      </w:r>
      <w:r w:rsidR="00776926">
        <w:rPr>
          <w:rFonts w:eastAsia="Malgun Gothic"/>
          <w:lang w:val="fr-FR"/>
        </w:rPr>
        <w:t>aie</w:t>
      </w:r>
      <w:r w:rsidR="00DB07C7">
        <w:rPr>
          <w:rFonts w:eastAsia="Malgun Gothic"/>
          <w:lang w:val="fr-FR"/>
        </w:rPr>
        <w:t>nt</w:t>
      </w:r>
      <w:r w:rsidRPr="00FF1E4F">
        <w:rPr>
          <w:rFonts w:eastAsia="Malgun Gothic"/>
          <w:lang w:val="fr-FR"/>
        </w:rPr>
        <w:t>.</w:t>
      </w:r>
    </w:p>
    <w:p w14:paraId="7836C4E6" w14:textId="057968E3" w:rsidR="00FF1E4F" w:rsidRDefault="00FF1E4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F1E4F">
        <w:rPr>
          <w:rFonts w:eastAsia="Malgun Gothic"/>
          <w:lang w:val="fr-FR"/>
        </w:rPr>
        <w:t>La délégation de l</w:t>
      </w:r>
      <w:r w:rsidR="00923E72">
        <w:rPr>
          <w:rFonts w:eastAsia="Malgun Gothic"/>
          <w:lang w:val="fr-FR"/>
        </w:rPr>
        <w:t>’</w:t>
      </w:r>
      <w:r w:rsidRPr="00FF1E4F">
        <w:rPr>
          <w:rFonts w:eastAsia="Malgun Gothic"/>
          <w:b/>
          <w:bCs/>
          <w:lang w:val="fr-FR"/>
        </w:rPr>
        <w:t>Arabie</w:t>
      </w:r>
      <w:r w:rsidR="008D3070">
        <w:rPr>
          <w:rFonts w:eastAsia="Malgun Gothic"/>
          <w:b/>
          <w:bCs/>
          <w:lang w:val="fr-FR"/>
        </w:rPr>
        <w:t> </w:t>
      </w:r>
      <w:r w:rsidRPr="00FF1E4F">
        <w:rPr>
          <w:rFonts w:eastAsia="Malgun Gothic"/>
          <w:b/>
          <w:bCs/>
          <w:lang w:val="fr-FR"/>
        </w:rPr>
        <w:t xml:space="preserve">saoudite </w:t>
      </w:r>
      <w:r w:rsidRPr="00FF1E4F">
        <w:rPr>
          <w:rFonts w:eastAsia="Malgun Gothic"/>
          <w:lang w:val="fr-FR"/>
        </w:rPr>
        <w:t>a remercié le Maroc pour l</w:t>
      </w:r>
      <w:r w:rsidR="00923E72">
        <w:rPr>
          <w:rFonts w:eastAsia="Malgun Gothic"/>
          <w:lang w:val="fr-FR"/>
        </w:rPr>
        <w:t>’</w:t>
      </w:r>
      <w:r w:rsidRPr="00FF1E4F">
        <w:rPr>
          <w:rFonts w:eastAsia="Malgun Gothic"/>
          <w:lang w:val="fr-FR"/>
        </w:rPr>
        <w:t>excellente organisation du Comité</w:t>
      </w:r>
      <w:r w:rsidR="00130CC9">
        <w:rPr>
          <w:rFonts w:eastAsia="Malgun Gothic"/>
          <w:lang w:val="fr-FR"/>
        </w:rPr>
        <w:t>,</w:t>
      </w:r>
      <w:r w:rsidRPr="00FF1E4F">
        <w:rPr>
          <w:rFonts w:eastAsia="Malgun Gothic"/>
          <w:lang w:val="fr-FR"/>
        </w:rPr>
        <w:t xml:space="preserve"> et le Secrétariat pour son excellent travail. Elle s</w:t>
      </w:r>
      <w:r w:rsidR="00923E72">
        <w:rPr>
          <w:rFonts w:eastAsia="Malgun Gothic"/>
          <w:lang w:val="fr-FR"/>
        </w:rPr>
        <w:t>’</w:t>
      </w:r>
      <w:r w:rsidRPr="00FF1E4F">
        <w:rPr>
          <w:rFonts w:eastAsia="Malgun Gothic"/>
          <w:lang w:val="fr-FR"/>
        </w:rPr>
        <w:t>est jointe aux membres du Comité qui soutenaient une aide accrue au renforcement des capacités, en particulier dans les pays sous-représentés, à savoir l</w:t>
      </w:r>
      <w:r w:rsidR="00923E72">
        <w:rPr>
          <w:rFonts w:eastAsia="Malgun Gothic"/>
          <w:lang w:val="fr-FR"/>
        </w:rPr>
        <w:t>’</w:t>
      </w:r>
      <w:r w:rsidRPr="00FF1E4F">
        <w:rPr>
          <w:rFonts w:eastAsia="Malgun Gothic"/>
          <w:lang w:val="fr-FR"/>
        </w:rPr>
        <w:t>Afrique et les PEID. La délégation a conclu son intervention en invitant les délégués à visiter l</w:t>
      </w:r>
      <w:r w:rsidR="00923E72">
        <w:rPr>
          <w:rFonts w:eastAsia="Malgun Gothic"/>
          <w:lang w:val="fr-FR"/>
        </w:rPr>
        <w:t>’</w:t>
      </w:r>
      <w:r w:rsidRPr="00FF1E4F">
        <w:rPr>
          <w:rFonts w:eastAsia="Malgun Gothic"/>
          <w:lang w:val="fr-FR"/>
        </w:rPr>
        <w:t xml:space="preserve">exposition saoudienne </w:t>
      </w:r>
      <w:r w:rsidR="00776926">
        <w:rPr>
          <w:rFonts w:eastAsia="Malgun Gothic"/>
          <w:lang w:val="fr-FR"/>
        </w:rPr>
        <w:t>où ils pourraient voir</w:t>
      </w:r>
      <w:r w:rsidRPr="00FF1E4F">
        <w:rPr>
          <w:rFonts w:eastAsia="Malgun Gothic"/>
          <w:lang w:val="fr-FR"/>
        </w:rPr>
        <w:t xml:space="preserve"> en direct </w:t>
      </w:r>
      <w:r w:rsidR="00776926">
        <w:rPr>
          <w:rFonts w:eastAsia="Malgun Gothic"/>
          <w:lang w:val="fr-FR"/>
        </w:rPr>
        <w:t>des démonstrations d</w:t>
      </w:r>
      <w:r w:rsidR="00923E72">
        <w:rPr>
          <w:rFonts w:eastAsia="Malgun Gothic"/>
          <w:lang w:val="fr-FR"/>
        </w:rPr>
        <w:t>’</w:t>
      </w:r>
      <w:r w:rsidRPr="00FF1E4F">
        <w:rPr>
          <w:rFonts w:eastAsia="Malgun Gothic"/>
          <w:lang w:val="fr-FR"/>
        </w:rPr>
        <w:t xml:space="preserve">artisanat et </w:t>
      </w:r>
      <w:r w:rsidR="00776926">
        <w:rPr>
          <w:rFonts w:eastAsia="Malgun Gothic"/>
          <w:lang w:val="fr-FR"/>
        </w:rPr>
        <w:t>savourer le</w:t>
      </w:r>
      <w:r w:rsidRPr="00FF1E4F">
        <w:rPr>
          <w:rFonts w:eastAsia="Malgun Gothic"/>
          <w:lang w:val="fr-FR"/>
        </w:rPr>
        <w:t xml:space="preserve"> café saoudien.</w:t>
      </w:r>
    </w:p>
    <w:p w14:paraId="649F8FAF" w14:textId="7E452B67" w:rsidR="00FF1E4F" w:rsidRDefault="00FF1E4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F1E4F">
        <w:rPr>
          <w:rFonts w:eastAsia="Malgun Gothic"/>
          <w:lang w:val="fr-FR"/>
        </w:rPr>
        <w:t xml:space="preserve">La délégation de la </w:t>
      </w:r>
      <w:r w:rsidRPr="00FF1E4F">
        <w:rPr>
          <w:rFonts w:eastAsia="Malgun Gothic"/>
          <w:b/>
          <w:bCs/>
          <w:lang w:val="fr-FR"/>
        </w:rPr>
        <w:t>Côte d</w:t>
      </w:r>
      <w:r w:rsidR="00923E72">
        <w:rPr>
          <w:rFonts w:eastAsia="Malgun Gothic"/>
          <w:b/>
          <w:bCs/>
          <w:lang w:val="fr-FR"/>
        </w:rPr>
        <w:t>’</w:t>
      </w:r>
      <w:r w:rsidRPr="00FF1E4F">
        <w:rPr>
          <w:rFonts w:eastAsia="Malgun Gothic"/>
          <w:b/>
          <w:bCs/>
          <w:lang w:val="fr-FR"/>
        </w:rPr>
        <w:t>Ivoire</w:t>
      </w:r>
      <w:r w:rsidRPr="00FF1E4F">
        <w:rPr>
          <w:rFonts w:eastAsia="Malgun Gothic"/>
          <w:lang w:val="fr-FR"/>
        </w:rPr>
        <w:t xml:space="preserve"> a félicité le Maroc pour son accueil et la merveilleuse réception et présentation de son riche patrimoine culturel immatériel. Elle </w:t>
      </w:r>
      <w:r>
        <w:rPr>
          <w:rFonts w:eastAsia="Malgun Gothic"/>
          <w:lang w:val="fr-FR"/>
        </w:rPr>
        <w:t>était</w:t>
      </w:r>
      <w:r w:rsidRPr="00FF1E4F">
        <w:rPr>
          <w:rFonts w:eastAsia="Malgun Gothic"/>
          <w:lang w:val="fr-FR"/>
        </w:rPr>
        <w:t xml:space="preserve"> heureuse de se retrouver en </w:t>
      </w:r>
      <w:r w:rsidR="0035057A">
        <w:rPr>
          <w:rFonts w:eastAsia="Malgun Gothic"/>
          <w:lang w:val="fr-FR"/>
        </w:rPr>
        <w:t xml:space="preserve">personne </w:t>
      </w:r>
      <w:r w:rsidRPr="00FF1E4F">
        <w:rPr>
          <w:rFonts w:eastAsia="Malgun Gothic"/>
          <w:lang w:val="fr-FR"/>
        </w:rPr>
        <w:t>après deux an</w:t>
      </w:r>
      <w:r w:rsidR="00AE02DB">
        <w:rPr>
          <w:rFonts w:eastAsia="Malgun Gothic"/>
          <w:lang w:val="fr-FR"/>
        </w:rPr>
        <w:t>née</w:t>
      </w:r>
      <w:r w:rsidRPr="00FF1E4F">
        <w:rPr>
          <w:rFonts w:eastAsia="Malgun Gothic"/>
          <w:lang w:val="fr-FR"/>
        </w:rPr>
        <w:t>s d</w:t>
      </w:r>
      <w:r w:rsidR="00923E72">
        <w:rPr>
          <w:rFonts w:eastAsia="Malgun Gothic"/>
          <w:lang w:val="fr-FR"/>
        </w:rPr>
        <w:t>’</w:t>
      </w:r>
      <w:r w:rsidRPr="00FF1E4F">
        <w:rPr>
          <w:rFonts w:eastAsia="Malgun Gothic"/>
          <w:lang w:val="fr-FR"/>
        </w:rPr>
        <w:t xml:space="preserve">interruption suite à la pandémie. Cette rencontre en </w:t>
      </w:r>
      <w:r w:rsidR="00A578FD">
        <w:rPr>
          <w:rFonts w:eastAsia="Malgun Gothic"/>
          <w:lang w:val="fr-FR"/>
        </w:rPr>
        <w:t xml:space="preserve">présentiel </w:t>
      </w:r>
      <w:r w:rsidRPr="00FF1E4F">
        <w:rPr>
          <w:rFonts w:eastAsia="Malgun Gothic"/>
          <w:lang w:val="fr-FR"/>
        </w:rPr>
        <w:t>permet</w:t>
      </w:r>
      <w:r>
        <w:rPr>
          <w:rFonts w:eastAsia="Malgun Gothic"/>
          <w:lang w:val="fr-FR"/>
        </w:rPr>
        <w:t>tait</w:t>
      </w:r>
      <w:r w:rsidRPr="00FF1E4F">
        <w:rPr>
          <w:rFonts w:eastAsia="Malgun Gothic"/>
          <w:lang w:val="fr-FR"/>
        </w:rPr>
        <w:t xml:space="preserve"> aux délégués de découvrir ce beau pays et sa diversité culturelle. La Côte d</w:t>
      </w:r>
      <w:r w:rsidR="00923E72">
        <w:rPr>
          <w:rFonts w:eastAsia="Malgun Gothic"/>
          <w:lang w:val="fr-FR"/>
        </w:rPr>
        <w:t>’</w:t>
      </w:r>
      <w:r w:rsidRPr="00FF1E4F">
        <w:rPr>
          <w:rFonts w:eastAsia="Malgun Gothic"/>
          <w:lang w:val="fr-FR"/>
        </w:rPr>
        <w:t xml:space="preserve">Ivoire </w:t>
      </w:r>
      <w:r>
        <w:rPr>
          <w:rFonts w:eastAsia="Malgun Gothic"/>
          <w:lang w:val="fr-FR"/>
        </w:rPr>
        <w:t xml:space="preserve">a </w:t>
      </w:r>
      <w:r w:rsidRPr="00FF1E4F">
        <w:rPr>
          <w:rFonts w:eastAsia="Malgun Gothic"/>
          <w:lang w:val="fr-FR"/>
        </w:rPr>
        <w:t>félicit</w:t>
      </w:r>
      <w:r>
        <w:rPr>
          <w:rFonts w:eastAsia="Malgun Gothic"/>
          <w:lang w:val="fr-FR"/>
        </w:rPr>
        <w:t>é</w:t>
      </w:r>
      <w:r w:rsidRPr="00FF1E4F">
        <w:rPr>
          <w:rFonts w:eastAsia="Malgun Gothic"/>
          <w:lang w:val="fr-FR"/>
        </w:rPr>
        <w:t xml:space="preserve"> le Président pour son élection et exprim</w:t>
      </w:r>
      <w:r>
        <w:rPr>
          <w:rFonts w:eastAsia="Malgun Gothic"/>
          <w:lang w:val="fr-FR"/>
        </w:rPr>
        <w:t>é</w:t>
      </w:r>
      <w:r w:rsidRPr="00FF1E4F">
        <w:rPr>
          <w:rFonts w:eastAsia="Malgun Gothic"/>
          <w:lang w:val="fr-FR"/>
        </w:rPr>
        <w:t xml:space="preserve"> s</w:t>
      </w:r>
      <w:r w:rsidR="00B93E9F">
        <w:rPr>
          <w:rFonts w:eastAsia="Malgun Gothic"/>
          <w:lang w:val="fr-FR"/>
        </w:rPr>
        <w:t xml:space="preserve">on entière </w:t>
      </w:r>
      <w:r w:rsidRPr="00FF1E4F">
        <w:rPr>
          <w:rFonts w:eastAsia="Malgun Gothic"/>
          <w:lang w:val="fr-FR"/>
        </w:rPr>
        <w:t>satisfaction pour l</w:t>
      </w:r>
      <w:r w:rsidR="00923E72">
        <w:rPr>
          <w:rFonts w:eastAsia="Malgun Gothic"/>
          <w:lang w:val="fr-FR"/>
        </w:rPr>
        <w:t>’</w:t>
      </w:r>
      <w:r w:rsidRPr="00FF1E4F">
        <w:rPr>
          <w:rFonts w:eastAsia="Malgun Gothic"/>
          <w:lang w:val="fr-FR"/>
        </w:rPr>
        <w:t xml:space="preserve">intensité des activités menées par le Secrétariat et pour son rapport complet. Entre autres sujets de satisfaction, elle a </w:t>
      </w:r>
      <w:r w:rsidR="00B93E9F">
        <w:rPr>
          <w:rFonts w:eastAsia="Malgun Gothic"/>
          <w:lang w:val="fr-FR"/>
        </w:rPr>
        <w:t xml:space="preserve">souligné </w:t>
      </w:r>
      <w:r w:rsidRPr="00FF1E4F">
        <w:rPr>
          <w:rFonts w:eastAsia="Malgun Gothic"/>
          <w:lang w:val="fr-FR"/>
        </w:rPr>
        <w:t>les excellents résultats obtenus à l</w:t>
      </w:r>
      <w:r w:rsidR="00923E72">
        <w:rPr>
          <w:rFonts w:eastAsia="Malgun Gothic"/>
          <w:lang w:val="fr-FR"/>
        </w:rPr>
        <w:t>’</w:t>
      </w:r>
      <w:r w:rsidRPr="00FF1E4F">
        <w:rPr>
          <w:rFonts w:eastAsia="Malgun Gothic"/>
          <w:lang w:val="fr-FR"/>
        </w:rPr>
        <w:t>issue de la réflexion globale sur les mécanismes d</w:t>
      </w:r>
      <w:r w:rsidR="00923E72">
        <w:rPr>
          <w:rFonts w:eastAsia="Malgun Gothic"/>
          <w:lang w:val="fr-FR"/>
        </w:rPr>
        <w:t>’</w:t>
      </w:r>
      <w:r w:rsidRPr="00FF1E4F">
        <w:rPr>
          <w:rFonts w:eastAsia="Malgun Gothic"/>
          <w:lang w:val="fr-FR"/>
        </w:rPr>
        <w:t>inscription</w:t>
      </w:r>
      <w:r w:rsidR="00F83447">
        <w:rPr>
          <w:rFonts w:eastAsia="Malgun Gothic"/>
          <w:lang w:val="fr-FR"/>
        </w:rPr>
        <w:t xml:space="preserve"> </w:t>
      </w:r>
      <w:r w:rsidRPr="00FF1E4F">
        <w:rPr>
          <w:rFonts w:eastAsia="Malgun Gothic"/>
          <w:lang w:val="fr-FR"/>
        </w:rPr>
        <w:t>ainsi que la mise à jour des initiatives thématiques.</w:t>
      </w:r>
    </w:p>
    <w:p w14:paraId="7DAD1FBA" w14:textId="3E9F1151" w:rsidR="00FF1E4F" w:rsidRDefault="00FF1E4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AE02DB">
        <w:rPr>
          <w:rFonts w:eastAsia="Malgun Gothic"/>
          <w:b/>
          <w:bCs/>
          <w:lang w:val="fr-FR"/>
        </w:rPr>
        <w:t>Président</w:t>
      </w:r>
      <w:r>
        <w:rPr>
          <w:rFonts w:eastAsia="Malgun Gothic"/>
          <w:lang w:val="fr-FR"/>
        </w:rPr>
        <w:t xml:space="preserve"> a remercié la </w:t>
      </w:r>
      <w:r w:rsidRPr="00FF1E4F">
        <w:rPr>
          <w:rFonts w:eastAsia="Malgun Gothic"/>
          <w:lang w:val="fr-FR"/>
        </w:rPr>
        <w:t>Côte d</w:t>
      </w:r>
      <w:r w:rsidR="00923E72">
        <w:rPr>
          <w:rFonts w:eastAsia="Malgun Gothic"/>
          <w:lang w:val="fr-FR"/>
        </w:rPr>
        <w:t>’</w:t>
      </w:r>
      <w:r w:rsidRPr="00FF1E4F">
        <w:rPr>
          <w:rFonts w:eastAsia="Malgun Gothic"/>
          <w:lang w:val="fr-FR"/>
        </w:rPr>
        <w:t>Ivoire</w:t>
      </w:r>
      <w:r>
        <w:rPr>
          <w:rFonts w:eastAsia="Malgun Gothic"/>
          <w:lang w:val="fr-FR"/>
        </w:rPr>
        <w:t xml:space="preserve"> pour ses aimables paroles sur le Maroc et il a invité le </w:t>
      </w:r>
      <w:r w:rsidRPr="00FF1E4F">
        <w:rPr>
          <w:rFonts w:eastAsia="Malgun Gothic"/>
          <w:lang w:val="fr-FR"/>
        </w:rPr>
        <w:t>Secrétaire</w:t>
      </w:r>
      <w:r>
        <w:rPr>
          <w:rFonts w:eastAsia="Malgun Gothic"/>
          <w:lang w:val="fr-FR"/>
        </w:rPr>
        <w:t xml:space="preserve"> à répondre à certaines des questions</w:t>
      </w:r>
      <w:r w:rsidR="00B93E9F">
        <w:rPr>
          <w:rFonts w:eastAsia="Malgun Gothic"/>
          <w:lang w:val="fr-FR"/>
        </w:rPr>
        <w:t xml:space="preserve"> soulevées</w:t>
      </w:r>
      <w:r w:rsidR="00AE02DB">
        <w:rPr>
          <w:rFonts w:eastAsia="Malgun Gothic"/>
          <w:lang w:val="fr-FR"/>
        </w:rPr>
        <w:t>.</w:t>
      </w:r>
    </w:p>
    <w:p w14:paraId="4E430C1F" w14:textId="4AAE795E" w:rsidR="00AE02DB" w:rsidRDefault="00AE02D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AE02DB">
        <w:rPr>
          <w:rFonts w:eastAsia="Malgun Gothic"/>
          <w:lang w:val="fr-FR"/>
        </w:rPr>
        <w:t xml:space="preserve">Le </w:t>
      </w:r>
      <w:r w:rsidRPr="00AE02DB">
        <w:rPr>
          <w:rFonts w:eastAsia="Malgun Gothic"/>
          <w:b/>
          <w:bCs/>
          <w:lang w:val="fr-FR"/>
        </w:rPr>
        <w:t>Secrétaire</w:t>
      </w:r>
      <w:r w:rsidRPr="00AE02DB">
        <w:rPr>
          <w:rFonts w:eastAsia="Malgun Gothic"/>
          <w:lang w:val="fr-FR"/>
        </w:rPr>
        <w:t xml:space="preserve"> a remercié les membres du Comité pour les nombreuses remarques encourageantes qu</w:t>
      </w:r>
      <w:r w:rsidR="00923E72">
        <w:rPr>
          <w:rFonts w:eastAsia="Malgun Gothic"/>
          <w:lang w:val="fr-FR"/>
        </w:rPr>
        <w:t>’</w:t>
      </w:r>
      <w:r w:rsidRPr="00AE02DB">
        <w:rPr>
          <w:rFonts w:eastAsia="Malgun Gothic"/>
          <w:lang w:val="fr-FR"/>
        </w:rPr>
        <w:t>ils avaient formulées sur le rapport et sur le travail du Secrétariat, ce dont il s</w:t>
      </w:r>
      <w:r w:rsidR="00923E72">
        <w:rPr>
          <w:rFonts w:eastAsia="Malgun Gothic"/>
          <w:lang w:val="fr-FR"/>
        </w:rPr>
        <w:t>’</w:t>
      </w:r>
      <w:r w:rsidRPr="00AE02DB">
        <w:rPr>
          <w:rFonts w:eastAsia="Malgun Gothic"/>
          <w:lang w:val="fr-FR"/>
        </w:rPr>
        <w:t xml:space="preserve">est réjoui. Il a exprimé à son tour sa gratitude à chacun des membres du Comité qui avaient </w:t>
      </w:r>
      <w:r w:rsidR="00B93E9F">
        <w:rPr>
          <w:rFonts w:eastAsia="Malgun Gothic"/>
          <w:lang w:val="fr-FR"/>
        </w:rPr>
        <w:t xml:space="preserve">fait </w:t>
      </w:r>
      <w:r w:rsidRPr="00AE02DB">
        <w:rPr>
          <w:rFonts w:eastAsia="Malgun Gothic"/>
          <w:lang w:val="fr-FR"/>
        </w:rPr>
        <w:t>de</w:t>
      </w:r>
      <w:r w:rsidR="00B93E9F">
        <w:rPr>
          <w:rFonts w:eastAsia="Malgun Gothic"/>
          <w:lang w:val="fr-FR"/>
        </w:rPr>
        <w:t xml:space="preserve">s </w:t>
      </w:r>
      <w:r w:rsidRPr="00AE02DB">
        <w:rPr>
          <w:rFonts w:eastAsia="Malgun Gothic"/>
          <w:lang w:val="fr-FR"/>
        </w:rPr>
        <w:t>commentaires sur le travail</w:t>
      </w:r>
      <w:r w:rsidR="00C60585">
        <w:rPr>
          <w:rFonts w:eastAsia="Malgun Gothic"/>
          <w:lang w:val="fr-FR"/>
        </w:rPr>
        <w:t xml:space="preserve"> réalisé</w:t>
      </w:r>
      <w:r w:rsidRPr="00AE02DB">
        <w:rPr>
          <w:rFonts w:eastAsia="Malgun Gothic"/>
          <w:lang w:val="fr-FR"/>
        </w:rPr>
        <w:t>. Sur la question de soutenir les candidatures des pays ayant un faible nombre de dossiers, le Secrétaire a rappelé au Comité qu</w:t>
      </w:r>
      <w:r w:rsidR="00923E72">
        <w:rPr>
          <w:rFonts w:eastAsia="Malgun Gothic"/>
          <w:lang w:val="fr-FR"/>
        </w:rPr>
        <w:t>’</w:t>
      </w:r>
      <w:r w:rsidRPr="00AE02DB">
        <w:rPr>
          <w:rFonts w:eastAsia="Malgun Gothic"/>
          <w:lang w:val="fr-FR"/>
        </w:rPr>
        <w:t>il existait déjà une disposition par laquelle les pays souhaitant inscrire un élément sur la Liste de sauvegarde urgente p</w:t>
      </w:r>
      <w:r w:rsidR="00C60585">
        <w:rPr>
          <w:rFonts w:eastAsia="Malgun Gothic"/>
          <w:lang w:val="fr-FR"/>
        </w:rPr>
        <w:t>ouvaient</w:t>
      </w:r>
      <w:r w:rsidRPr="00AE02DB">
        <w:rPr>
          <w:rFonts w:eastAsia="Malgun Gothic"/>
          <w:lang w:val="fr-FR"/>
        </w:rPr>
        <w:t xml:space="preserve"> obtenir un soutien technique direct de la part du Fonds de la Convention.</w:t>
      </w:r>
      <w:r w:rsidR="00DB07C7">
        <w:rPr>
          <w:rFonts w:eastAsia="Malgun Gothic"/>
          <w:lang w:val="fr-FR"/>
        </w:rPr>
        <w:t xml:space="preserve"> Toutefois</w:t>
      </w:r>
      <w:r w:rsidRPr="00AE02DB">
        <w:rPr>
          <w:rFonts w:eastAsia="Malgun Gothic"/>
          <w:lang w:val="fr-FR"/>
        </w:rPr>
        <w:t>, le Secrétariat n</w:t>
      </w:r>
      <w:r w:rsidR="00923E72">
        <w:rPr>
          <w:rFonts w:eastAsia="Malgun Gothic"/>
          <w:lang w:val="fr-FR"/>
        </w:rPr>
        <w:t>’</w:t>
      </w:r>
      <w:r w:rsidRPr="00AE02DB">
        <w:rPr>
          <w:rFonts w:eastAsia="Malgun Gothic"/>
          <w:lang w:val="fr-FR"/>
        </w:rPr>
        <w:t xml:space="preserve">avait </w:t>
      </w:r>
      <w:r w:rsidR="00DB07C7">
        <w:rPr>
          <w:rFonts w:eastAsia="Malgun Gothic"/>
          <w:lang w:val="fr-FR"/>
        </w:rPr>
        <w:t xml:space="preserve">malheureusement </w:t>
      </w:r>
      <w:r w:rsidRPr="00AE02DB">
        <w:rPr>
          <w:rFonts w:eastAsia="Malgun Gothic"/>
          <w:lang w:val="fr-FR"/>
        </w:rPr>
        <w:t xml:space="preserve">reçu aucune demande </w:t>
      </w:r>
      <w:r w:rsidR="00DC7ECE">
        <w:rPr>
          <w:rFonts w:eastAsia="Malgun Gothic"/>
          <w:lang w:val="fr-FR"/>
        </w:rPr>
        <w:t xml:space="preserve">pour ce mécanisme </w:t>
      </w:r>
      <w:r w:rsidRPr="00AE02DB">
        <w:rPr>
          <w:rFonts w:eastAsia="Malgun Gothic"/>
          <w:lang w:val="fr-FR"/>
        </w:rPr>
        <w:t>au cours des deux ou trois dernières années</w:t>
      </w:r>
      <w:r w:rsidR="00DC7ECE">
        <w:rPr>
          <w:rFonts w:eastAsia="Malgun Gothic"/>
          <w:lang w:val="fr-FR"/>
        </w:rPr>
        <w:t>.</w:t>
      </w:r>
      <w:r w:rsidRPr="00AE02DB">
        <w:rPr>
          <w:rFonts w:eastAsia="Malgun Gothic"/>
          <w:lang w:val="fr-FR"/>
        </w:rPr>
        <w:t xml:space="preserve"> </w:t>
      </w:r>
      <w:r w:rsidR="00DB07C7">
        <w:rPr>
          <w:rFonts w:eastAsia="Malgun Gothic"/>
          <w:lang w:val="fr-FR"/>
        </w:rPr>
        <w:t xml:space="preserve">Il a rappelé aux États parties que ce mécanisme </w:t>
      </w:r>
      <w:r w:rsidR="00B93E9F">
        <w:rPr>
          <w:rFonts w:eastAsia="Malgun Gothic"/>
          <w:lang w:val="fr-FR"/>
        </w:rPr>
        <w:t xml:space="preserve">va </w:t>
      </w:r>
      <w:r w:rsidRPr="00AE02DB">
        <w:rPr>
          <w:rFonts w:eastAsia="Malgun Gothic"/>
          <w:lang w:val="fr-FR"/>
        </w:rPr>
        <w:t>au-delà du renforcement des capacités et constitu</w:t>
      </w:r>
      <w:r w:rsidR="00B93E9F">
        <w:rPr>
          <w:rFonts w:eastAsia="Malgun Gothic"/>
          <w:lang w:val="fr-FR"/>
        </w:rPr>
        <w:t>e</w:t>
      </w:r>
      <w:r w:rsidRPr="00AE02DB">
        <w:rPr>
          <w:rFonts w:eastAsia="Malgun Gothic"/>
          <w:lang w:val="fr-FR"/>
        </w:rPr>
        <w:t xml:space="preserve"> un soutien direct pour aider à l</w:t>
      </w:r>
      <w:r w:rsidR="00923E72">
        <w:rPr>
          <w:rFonts w:eastAsia="Malgun Gothic"/>
          <w:lang w:val="fr-FR"/>
        </w:rPr>
        <w:t>’</w:t>
      </w:r>
      <w:r w:rsidRPr="00AE02DB">
        <w:rPr>
          <w:rFonts w:eastAsia="Malgun Gothic"/>
          <w:lang w:val="fr-FR"/>
        </w:rPr>
        <w:t>élaboration d</w:t>
      </w:r>
      <w:r w:rsidR="00923E72">
        <w:rPr>
          <w:rFonts w:eastAsia="Malgun Gothic"/>
          <w:lang w:val="fr-FR"/>
        </w:rPr>
        <w:t>’</w:t>
      </w:r>
      <w:r w:rsidRPr="00AE02DB">
        <w:rPr>
          <w:rFonts w:eastAsia="Malgun Gothic"/>
          <w:lang w:val="fr-FR"/>
        </w:rPr>
        <w:t>un dossier de candidature à la Liste de sauvegarde urgente.</w:t>
      </w:r>
      <w:r w:rsidR="00DB07C7">
        <w:rPr>
          <w:rFonts w:eastAsia="Malgun Gothic"/>
          <w:lang w:val="fr-FR"/>
        </w:rPr>
        <w:t xml:space="preserve"> Cependant,</w:t>
      </w:r>
      <w:r w:rsidRPr="00AE02DB">
        <w:rPr>
          <w:rFonts w:eastAsia="Malgun Gothic"/>
          <w:lang w:val="fr-FR"/>
        </w:rPr>
        <w:t xml:space="preserve"> les Directives opérationnelles en vigueur limitaient ce soutien direct aux candidature</w:t>
      </w:r>
      <w:r w:rsidR="00054FE1">
        <w:rPr>
          <w:rFonts w:eastAsia="Malgun Gothic"/>
          <w:lang w:val="fr-FR"/>
        </w:rPr>
        <w:t>s</w:t>
      </w:r>
      <w:r w:rsidRPr="00AE02DB">
        <w:rPr>
          <w:rFonts w:eastAsia="Malgun Gothic"/>
          <w:lang w:val="fr-FR"/>
        </w:rPr>
        <w:t xml:space="preserve">. Le Secrétaire a </w:t>
      </w:r>
      <w:r w:rsidR="00054FE1">
        <w:rPr>
          <w:rFonts w:eastAsia="Malgun Gothic"/>
          <w:lang w:val="fr-FR"/>
        </w:rPr>
        <w:t xml:space="preserve">ensuite répondu aux </w:t>
      </w:r>
      <w:r w:rsidRPr="00AE02DB">
        <w:rPr>
          <w:rFonts w:eastAsia="Malgun Gothic"/>
          <w:lang w:val="fr-FR"/>
        </w:rPr>
        <w:t xml:space="preserve">deux questions </w:t>
      </w:r>
      <w:r w:rsidR="00054FE1">
        <w:rPr>
          <w:rFonts w:eastAsia="Malgun Gothic"/>
          <w:lang w:val="fr-FR"/>
        </w:rPr>
        <w:t>posées par</w:t>
      </w:r>
      <w:r w:rsidRPr="00AE02DB">
        <w:rPr>
          <w:rFonts w:eastAsia="Malgun Gothic"/>
          <w:lang w:val="fr-FR"/>
        </w:rPr>
        <w:t xml:space="preserve"> la Suisse</w:t>
      </w:r>
      <w:r w:rsidR="00054FE1">
        <w:rPr>
          <w:rFonts w:eastAsia="Malgun Gothic"/>
          <w:lang w:val="fr-FR"/>
        </w:rPr>
        <w:t xml:space="preserve"> sur </w:t>
      </w:r>
      <w:r w:rsidRPr="00AE02DB">
        <w:rPr>
          <w:rFonts w:eastAsia="Malgun Gothic"/>
          <w:lang w:val="fr-FR"/>
        </w:rPr>
        <w:t>le vingtième anniversaire</w:t>
      </w:r>
      <w:r w:rsidR="00054FE1">
        <w:rPr>
          <w:rFonts w:eastAsia="Malgun Gothic"/>
          <w:lang w:val="fr-FR"/>
        </w:rPr>
        <w:t xml:space="preserve"> et sur </w:t>
      </w:r>
      <w:r w:rsidRPr="00AE02DB">
        <w:rPr>
          <w:rFonts w:eastAsia="Malgun Gothic"/>
          <w:lang w:val="fr-FR"/>
        </w:rPr>
        <w:t>l</w:t>
      </w:r>
      <w:r w:rsidR="00923E72">
        <w:rPr>
          <w:rFonts w:eastAsia="Malgun Gothic"/>
          <w:lang w:val="fr-FR"/>
        </w:rPr>
        <w:t>’</w:t>
      </w:r>
      <w:r w:rsidRPr="00AE02DB">
        <w:rPr>
          <w:rFonts w:eastAsia="Malgun Gothic"/>
          <w:lang w:val="fr-FR"/>
        </w:rPr>
        <w:t>utilisation de l</w:t>
      </w:r>
      <w:r w:rsidR="00923E72">
        <w:rPr>
          <w:rFonts w:eastAsia="Malgun Gothic"/>
          <w:lang w:val="fr-FR"/>
        </w:rPr>
        <w:t>’</w:t>
      </w:r>
      <w:r w:rsidRPr="00AE02DB">
        <w:rPr>
          <w:rFonts w:eastAsia="Malgun Gothic"/>
          <w:lang w:val="fr-FR"/>
        </w:rPr>
        <w:t xml:space="preserve">emblème. Pour le vingtième anniversaire, le </w:t>
      </w:r>
      <w:r w:rsidRPr="00AE02DB">
        <w:rPr>
          <w:rFonts w:eastAsia="Malgun Gothic"/>
          <w:lang w:val="fr-FR"/>
        </w:rPr>
        <w:lastRenderedPageBreak/>
        <w:t xml:space="preserve">Secrétariat avait </w:t>
      </w:r>
      <w:r w:rsidR="00054FE1">
        <w:rPr>
          <w:rFonts w:eastAsia="Malgun Gothic"/>
          <w:lang w:val="fr-FR"/>
        </w:rPr>
        <w:t xml:space="preserve">déjà </w:t>
      </w:r>
      <w:r w:rsidRPr="00AE02DB">
        <w:rPr>
          <w:rFonts w:eastAsia="Malgun Gothic"/>
          <w:lang w:val="fr-FR"/>
        </w:rPr>
        <w:t>commencé à travailler</w:t>
      </w:r>
      <w:r w:rsidR="00DC7ECE">
        <w:rPr>
          <w:rFonts w:eastAsia="Malgun Gothic"/>
          <w:lang w:val="fr-FR"/>
        </w:rPr>
        <w:t>,</w:t>
      </w:r>
      <w:r w:rsidRPr="00AE02DB">
        <w:rPr>
          <w:rFonts w:eastAsia="Malgun Gothic"/>
          <w:lang w:val="fr-FR"/>
        </w:rPr>
        <w:t xml:space="preserve"> principalement à travers les réseaux des bureaux hors </w:t>
      </w:r>
      <w:r w:rsidR="00C60585">
        <w:rPr>
          <w:rFonts w:eastAsia="Malgun Gothic"/>
          <w:lang w:val="fr-FR"/>
        </w:rPr>
        <w:t>S</w:t>
      </w:r>
      <w:r w:rsidRPr="00AE02DB">
        <w:rPr>
          <w:rFonts w:eastAsia="Malgun Gothic"/>
          <w:lang w:val="fr-FR"/>
        </w:rPr>
        <w:t>iège de l</w:t>
      </w:r>
      <w:r w:rsidR="00923E72">
        <w:rPr>
          <w:rFonts w:eastAsia="Malgun Gothic"/>
          <w:lang w:val="fr-FR"/>
        </w:rPr>
        <w:t>’</w:t>
      </w:r>
      <w:r w:rsidRPr="00AE02DB">
        <w:rPr>
          <w:rFonts w:eastAsia="Malgun Gothic"/>
          <w:lang w:val="fr-FR"/>
        </w:rPr>
        <w:t>UNESCO</w:t>
      </w:r>
      <w:r w:rsidR="00FA4B20">
        <w:rPr>
          <w:rFonts w:eastAsia="Malgun Gothic"/>
          <w:lang w:val="fr-FR"/>
        </w:rPr>
        <w:t>,</w:t>
      </w:r>
      <w:r w:rsidR="00054FE1">
        <w:rPr>
          <w:rFonts w:eastAsia="Malgun Gothic"/>
          <w:lang w:val="fr-FR"/>
        </w:rPr>
        <w:t xml:space="preserve"> qui </w:t>
      </w:r>
      <w:r w:rsidRPr="00AE02DB">
        <w:rPr>
          <w:rFonts w:eastAsia="Malgun Gothic"/>
          <w:lang w:val="fr-FR"/>
        </w:rPr>
        <w:t xml:space="preserve">prendraient contact avec les commissions nationales de tous les pays. Il </w:t>
      </w:r>
      <w:r w:rsidR="00054FE1">
        <w:rPr>
          <w:rFonts w:eastAsia="Malgun Gothic"/>
          <w:lang w:val="fr-FR"/>
        </w:rPr>
        <w:t xml:space="preserve">a reconnu </w:t>
      </w:r>
      <w:r w:rsidRPr="00AE02DB">
        <w:rPr>
          <w:rFonts w:eastAsia="Malgun Gothic"/>
          <w:lang w:val="fr-FR"/>
        </w:rPr>
        <w:t>que l</w:t>
      </w:r>
      <w:r w:rsidR="00923E72">
        <w:rPr>
          <w:rFonts w:eastAsia="Malgun Gothic"/>
          <w:lang w:val="fr-FR"/>
        </w:rPr>
        <w:t>’</w:t>
      </w:r>
      <w:r w:rsidRPr="00AE02DB">
        <w:rPr>
          <w:rFonts w:eastAsia="Malgun Gothic"/>
          <w:lang w:val="fr-FR"/>
        </w:rPr>
        <w:t xml:space="preserve">Europe était plus limitée en </w:t>
      </w:r>
      <w:r w:rsidR="00C60585">
        <w:rPr>
          <w:rFonts w:eastAsia="Malgun Gothic"/>
          <w:lang w:val="fr-FR"/>
        </w:rPr>
        <w:t xml:space="preserve">matière </w:t>
      </w:r>
      <w:r w:rsidRPr="00AE02DB">
        <w:rPr>
          <w:rFonts w:eastAsia="Malgun Gothic"/>
          <w:lang w:val="fr-FR"/>
        </w:rPr>
        <w:t>de bureaux hors Siège</w:t>
      </w:r>
      <w:r w:rsidR="00054FE1">
        <w:rPr>
          <w:rFonts w:eastAsia="Malgun Gothic"/>
          <w:lang w:val="fr-FR"/>
        </w:rPr>
        <w:t xml:space="preserve">, ce qui </w:t>
      </w:r>
      <w:r w:rsidRPr="00AE02DB">
        <w:rPr>
          <w:rFonts w:eastAsia="Malgun Gothic"/>
          <w:lang w:val="fr-FR"/>
        </w:rPr>
        <w:t>était peut-être la raison pour laquelle la Suisse n</w:t>
      </w:r>
      <w:r w:rsidR="00923E72">
        <w:rPr>
          <w:rFonts w:eastAsia="Malgun Gothic"/>
          <w:lang w:val="fr-FR"/>
        </w:rPr>
        <w:t>’</w:t>
      </w:r>
      <w:r w:rsidRPr="00AE02DB">
        <w:rPr>
          <w:rFonts w:eastAsia="Malgun Gothic"/>
          <w:lang w:val="fr-FR"/>
        </w:rPr>
        <w:t xml:space="preserve">avait pas </w:t>
      </w:r>
      <w:r w:rsidR="00054FE1">
        <w:rPr>
          <w:rFonts w:eastAsia="Malgun Gothic"/>
          <w:lang w:val="fr-FR"/>
        </w:rPr>
        <w:t xml:space="preserve">encore </w:t>
      </w:r>
      <w:r w:rsidR="00B93E9F">
        <w:rPr>
          <w:rFonts w:eastAsia="Malgun Gothic"/>
          <w:lang w:val="fr-FR"/>
        </w:rPr>
        <w:t xml:space="preserve">eu </w:t>
      </w:r>
      <w:r w:rsidRPr="00AE02DB">
        <w:rPr>
          <w:rFonts w:eastAsia="Malgun Gothic"/>
          <w:lang w:val="fr-FR"/>
        </w:rPr>
        <w:t>de nouvelles. L</w:t>
      </w:r>
      <w:r w:rsidR="00923E72">
        <w:rPr>
          <w:rFonts w:eastAsia="Malgun Gothic"/>
          <w:lang w:val="fr-FR"/>
        </w:rPr>
        <w:t>’</w:t>
      </w:r>
      <w:r w:rsidRPr="00AE02DB">
        <w:rPr>
          <w:rFonts w:eastAsia="Malgun Gothic"/>
          <w:lang w:val="fr-FR"/>
        </w:rPr>
        <w:t>idée générale était de lancer une série d</w:t>
      </w:r>
      <w:r w:rsidR="00923E72">
        <w:rPr>
          <w:rFonts w:eastAsia="Malgun Gothic"/>
          <w:lang w:val="fr-FR"/>
        </w:rPr>
        <w:t>’</w:t>
      </w:r>
      <w:r w:rsidRPr="00AE02DB">
        <w:rPr>
          <w:rFonts w:eastAsia="Malgun Gothic"/>
          <w:lang w:val="fr-FR"/>
        </w:rPr>
        <w:t>activités autour du vingtième anniversaire. Une page web serait créée où les activités et les événements pourraient être partagés. Le Secrétariat envisageait également des publications de sensibilisation, des campagnes dans les médias sociaux, etc. L</w:t>
      </w:r>
      <w:r w:rsidR="00923E72">
        <w:rPr>
          <w:rFonts w:eastAsia="Malgun Gothic"/>
          <w:lang w:val="fr-FR"/>
        </w:rPr>
        <w:t>’</w:t>
      </w:r>
      <w:r w:rsidRPr="00AE02DB">
        <w:rPr>
          <w:rFonts w:eastAsia="Malgun Gothic"/>
          <w:lang w:val="fr-FR"/>
        </w:rPr>
        <w:t xml:space="preserve">objectif était de cibler les jeunes avec des publications amplifiant la voix des praticiens dans les communautés. Le Secrétariat envisageait </w:t>
      </w:r>
      <w:r w:rsidR="00054FE1" w:rsidRPr="00054FE1">
        <w:rPr>
          <w:rFonts w:eastAsia="Malgun Gothic"/>
          <w:color w:val="000000" w:themeColor="text1"/>
          <w:lang w:val="fr-FR"/>
        </w:rPr>
        <w:t>également</w:t>
      </w:r>
      <w:r w:rsidR="00054FE1">
        <w:rPr>
          <w:rFonts w:eastAsia="Malgun Gothic"/>
          <w:color w:val="000000" w:themeColor="text1"/>
          <w:lang w:val="fr-FR"/>
        </w:rPr>
        <w:t xml:space="preserve"> </w:t>
      </w:r>
      <w:r w:rsidRPr="00AE02DB">
        <w:rPr>
          <w:rFonts w:eastAsia="Malgun Gothic"/>
          <w:lang w:val="fr-FR"/>
        </w:rPr>
        <w:t>d</w:t>
      </w:r>
      <w:r w:rsidR="00923E72">
        <w:rPr>
          <w:rFonts w:eastAsia="Malgun Gothic"/>
          <w:lang w:val="fr-FR"/>
        </w:rPr>
        <w:t>’</w:t>
      </w:r>
      <w:r w:rsidRPr="00AE02DB">
        <w:rPr>
          <w:rFonts w:eastAsia="Malgun Gothic"/>
          <w:lang w:val="fr-FR"/>
        </w:rPr>
        <w:t>organiser un événement à l</w:t>
      </w:r>
      <w:r w:rsidR="00923E72">
        <w:rPr>
          <w:rFonts w:eastAsia="Malgun Gothic"/>
          <w:lang w:val="fr-FR"/>
        </w:rPr>
        <w:t>’</w:t>
      </w:r>
      <w:r w:rsidRPr="00AE02DB">
        <w:rPr>
          <w:rFonts w:eastAsia="Malgun Gothic"/>
          <w:lang w:val="fr-FR"/>
        </w:rPr>
        <w:t>UNESCO autour du 17</w:t>
      </w:r>
      <w:r w:rsidR="00C60585">
        <w:rPr>
          <w:rFonts w:eastAsia="Malgun Gothic"/>
          <w:lang w:val="fr-FR"/>
        </w:rPr>
        <w:t> </w:t>
      </w:r>
      <w:r w:rsidRPr="00AE02DB">
        <w:rPr>
          <w:rFonts w:eastAsia="Malgun Gothic"/>
          <w:lang w:val="fr-FR"/>
        </w:rPr>
        <w:t>octobre</w:t>
      </w:r>
      <w:r w:rsidR="00C60585">
        <w:rPr>
          <w:rFonts w:eastAsia="Malgun Gothic"/>
          <w:lang w:val="fr-FR"/>
        </w:rPr>
        <w:t> </w:t>
      </w:r>
      <w:r w:rsidRPr="00AE02DB">
        <w:rPr>
          <w:rFonts w:eastAsia="Malgun Gothic"/>
          <w:lang w:val="fr-FR"/>
        </w:rPr>
        <w:t xml:space="preserve">2023, </w:t>
      </w:r>
      <w:r w:rsidR="00054FE1">
        <w:rPr>
          <w:rFonts w:eastAsia="Malgun Gothic"/>
          <w:lang w:val="fr-FR"/>
        </w:rPr>
        <w:t>c.</w:t>
      </w:r>
      <w:r w:rsidR="00B93E9F">
        <w:rPr>
          <w:rFonts w:eastAsia="Malgun Gothic"/>
          <w:lang w:val="fr-FR"/>
        </w:rPr>
        <w:noBreakHyphen/>
      </w:r>
      <w:r w:rsidR="00054FE1">
        <w:rPr>
          <w:rFonts w:eastAsia="Malgun Gothic"/>
          <w:lang w:val="fr-FR"/>
        </w:rPr>
        <w:t>à</w:t>
      </w:r>
      <w:r w:rsidR="00B93E9F">
        <w:rPr>
          <w:rFonts w:eastAsia="Malgun Gothic"/>
          <w:lang w:val="fr-FR"/>
        </w:rPr>
        <w:noBreakHyphen/>
      </w:r>
      <w:r w:rsidR="00054FE1">
        <w:rPr>
          <w:rFonts w:eastAsia="Malgun Gothic"/>
          <w:lang w:val="fr-FR"/>
        </w:rPr>
        <w:t xml:space="preserve">d. la </w:t>
      </w:r>
      <w:r w:rsidRPr="00AE02DB">
        <w:rPr>
          <w:rFonts w:eastAsia="Malgun Gothic"/>
          <w:lang w:val="fr-FR"/>
        </w:rPr>
        <w:t>date à laquelle la Convention avait été adoptée par la Conférence générale en 2003. Le</w:t>
      </w:r>
      <w:r w:rsidR="00054FE1">
        <w:rPr>
          <w:rFonts w:eastAsia="Malgun Gothic"/>
          <w:lang w:val="fr-FR"/>
        </w:rPr>
        <w:t xml:space="preserve">s </w:t>
      </w:r>
      <w:r w:rsidRPr="00AE02DB">
        <w:rPr>
          <w:rFonts w:eastAsia="Malgun Gothic"/>
          <w:lang w:val="fr-FR"/>
        </w:rPr>
        <w:t>bureaux hors Siège se mettr</w:t>
      </w:r>
      <w:r w:rsidR="00054FE1">
        <w:rPr>
          <w:rFonts w:eastAsia="Malgun Gothic"/>
          <w:lang w:val="fr-FR"/>
        </w:rPr>
        <w:t>aient</w:t>
      </w:r>
      <w:r w:rsidRPr="00AE02DB">
        <w:rPr>
          <w:rFonts w:eastAsia="Malgun Gothic"/>
          <w:lang w:val="fr-FR"/>
        </w:rPr>
        <w:t xml:space="preserve"> en contact avec les différentes institutions dans leurs pays respectifs afin de coordonner et d</w:t>
      </w:r>
      <w:r w:rsidR="00923E72">
        <w:rPr>
          <w:rFonts w:eastAsia="Malgun Gothic"/>
          <w:lang w:val="fr-FR"/>
        </w:rPr>
        <w:t>’</w:t>
      </w:r>
      <w:r w:rsidRPr="00AE02DB">
        <w:rPr>
          <w:rFonts w:eastAsia="Malgun Gothic"/>
          <w:lang w:val="fr-FR"/>
        </w:rPr>
        <w:t>organiser une série d</w:t>
      </w:r>
      <w:r w:rsidR="00923E72">
        <w:rPr>
          <w:rFonts w:eastAsia="Malgun Gothic"/>
          <w:lang w:val="fr-FR"/>
        </w:rPr>
        <w:t>’</w:t>
      </w:r>
      <w:r w:rsidRPr="00AE02DB">
        <w:rPr>
          <w:rFonts w:eastAsia="Malgun Gothic"/>
          <w:lang w:val="fr-FR"/>
        </w:rPr>
        <w:t xml:space="preserve">événements. </w:t>
      </w:r>
      <w:r w:rsidR="00054FE1">
        <w:rPr>
          <w:rFonts w:eastAsia="Malgun Gothic"/>
          <w:lang w:val="fr-FR"/>
        </w:rPr>
        <w:t xml:space="preserve">Le </w:t>
      </w:r>
      <w:r w:rsidR="00054FE1" w:rsidRPr="00054FE1">
        <w:rPr>
          <w:rFonts w:eastAsia="Malgun Gothic"/>
          <w:lang w:val="fr-FR"/>
        </w:rPr>
        <w:t>Secréta</w:t>
      </w:r>
      <w:r w:rsidR="00054FE1">
        <w:rPr>
          <w:rFonts w:eastAsia="Malgun Gothic"/>
          <w:lang w:val="fr-FR"/>
        </w:rPr>
        <w:t xml:space="preserve">riat </w:t>
      </w:r>
      <w:r w:rsidRPr="00AE02DB">
        <w:rPr>
          <w:rFonts w:eastAsia="Malgun Gothic"/>
          <w:lang w:val="fr-FR"/>
        </w:rPr>
        <w:t xml:space="preserve">lancerait également une campagne de sensibilisation </w:t>
      </w:r>
      <w:r w:rsidR="00054FE1">
        <w:rPr>
          <w:rFonts w:eastAsia="Malgun Gothic"/>
          <w:lang w:val="fr-FR"/>
        </w:rPr>
        <w:t xml:space="preserve">sur </w:t>
      </w:r>
      <w:r w:rsidRPr="00AE02DB">
        <w:rPr>
          <w:rFonts w:eastAsia="Malgun Gothic"/>
          <w:lang w:val="fr-FR"/>
        </w:rPr>
        <w:t>l</w:t>
      </w:r>
      <w:r w:rsidR="00923E72">
        <w:rPr>
          <w:rFonts w:eastAsia="Malgun Gothic"/>
          <w:lang w:val="fr-FR"/>
        </w:rPr>
        <w:t>’</w:t>
      </w:r>
      <w:r w:rsidRPr="00AE02DB">
        <w:rPr>
          <w:rFonts w:eastAsia="Malgun Gothic"/>
          <w:lang w:val="fr-FR"/>
        </w:rPr>
        <w:t>importance du patrimoine culturel immatériel</w:t>
      </w:r>
      <w:r w:rsidR="00054FE1">
        <w:rPr>
          <w:rFonts w:eastAsia="Malgun Gothic"/>
          <w:lang w:val="fr-FR"/>
        </w:rPr>
        <w:t xml:space="preserve"> en travaillant avec </w:t>
      </w:r>
      <w:r w:rsidRPr="00AE02DB">
        <w:rPr>
          <w:rFonts w:eastAsia="Malgun Gothic"/>
          <w:lang w:val="fr-FR"/>
        </w:rPr>
        <w:t xml:space="preserve">différents médias, y compris </w:t>
      </w:r>
      <w:r w:rsidR="00054FE1">
        <w:rPr>
          <w:rFonts w:eastAsia="Malgun Gothic"/>
          <w:lang w:val="fr-FR"/>
        </w:rPr>
        <w:t xml:space="preserve">avec </w:t>
      </w:r>
      <w:r w:rsidRPr="00AE02DB">
        <w:rPr>
          <w:rFonts w:eastAsia="Malgun Gothic"/>
          <w:lang w:val="fr-FR"/>
        </w:rPr>
        <w:t xml:space="preserve">une publication spéciale sur les vingt ans du PCI </w:t>
      </w:r>
      <w:r w:rsidR="00054FE1">
        <w:rPr>
          <w:rFonts w:eastAsia="Malgun Gothic"/>
          <w:lang w:val="fr-FR"/>
        </w:rPr>
        <w:t>ainsi qu</w:t>
      </w:r>
      <w:r w:rsidR="00923E72">
        <w:rPr>
          <w:rFonts w:eastAsia="Malgun Gothic"/>
          <w:lang w:val="fr-FR"/>
        </w:rPr>
        <w:t>’</w:t>
      </w:r>
      <w:r w:rsidR="00054FE1">
        <w:rPr>
          <w:rFonts w:eastAsia="Malgun Gothic"/>
          <w:lang w:val="fr-FR"/>
        </w:rPr>
        <w:t xml:space="preserve">un </w:t>
      </w:r>
      <w:r w:rsidRPr="00AE02DB">
        <w:rPr>
          <w:rFonts w:eastAsia="Malgun Gothic"/>
          <w:lang w:val="fr-FR"/>
        </w:rPr>
        <w:t xml:space="preserve">événement </w:t>
      </w:r>
      <w:r w:rsidR="00B93E9F">
        <w:rPr>
          <w:rFonts w:eastAsia="Malgun Gothic"/>
          <w:lang w:val="fr-FR"/>
        </w:rPr>
        <w:t>pour célébrer l</w:t>
      </w:r>
      <w:r w:rsidR="00923E72">
        <w:rPr>
          <w:rFonts w:eastAsia="Malgun Gothic"/>
          <w:lang w:val="fr-FR"/>
        </w:rPr>
        <w:t>’</w:t>
      </w:r>
      <w:r w:rsidRPr="00AE02DB">
        <w:rPr>
          <w:rFonts w:eastAsia="Malgun Gothic"/>
          <w:lang w:val="fr-FR"/>
        </w:rPr>
        <w:t xml:space="preserve">anniversaire proprement dit au </w:t>
      </w:r>
      <w:r w:rsidR="00C60585">
        <w:rPr>
          <w:rFonts w:eastAsia="Malgun Gothic"/>
          <w:lang w:val="fr-FR"/>
        </w:rPr>
        <w:t>S</w:t>
      </w:r>
      <w:r w:rsidRPr="00AE02DB">
        <w:rPr>
          <w:rFonts w:eastAsia="Malgun Gothic"/>
          <w:lang w:val="fr-FR"/>
        </w:rPr>
        <w:t xml:space="preserve">iège à la fin de </w:t>
      </w:r>
      <w:r w:rsidR="00054FE1">
        <w:rPr>
          <w:rFonts w:eastAsia="Malgun Gothic"/>
          <w:lang w:val="fr-FR"/>
        </w:rPr>
        <w:t>l</w:t>
      </w:r>
      <w:r w:rsidR="00923E72">
        <w:rPr>
          <w:rFonts w:eastAsia="Malgun Gothic"/>
          <w:lang w:val="fr-FR"/>
        </w:rPr>
        <w:t>’</w:t>
      </w:r>
      <w:r w:rsidR="00054FE1">
        <w:rPr>
          <w:rFonts w:eastAsia="Malgun Gothic"/>
          <w:lang w:val="fr-FR"/>
        </w:rPr>
        <w:t xml:space="preserve">année </w:t>
      </w:r>
      <w:r w:rsidRPr="00AE02DB">
        <w:rPr>
          <w:rFonts w:eastAsia="Malgun Gothic"/>
          <w:lang w:val="fr-FR"/>
        </w:rPr>
        <w:t>2023.</w:t>
      </w:r>
    </w:p>
    <w:p w14:paraId="4623896E" w14:textId="788CA5D2" w:rsidR="00C60585" w:rsidRDefault="00532D1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32D1C">
        <w:rPr>
          <w:rFonts w:eastAsia="Malgun Gothic"/>
          <w:lang w:val="fr-FR"/>
        </w:rPr>
        <w:t>En ce qui concerne l</w:t>
      </w:r>
      <w:r w:rsidR="00923E72">
        <w:rPr>
          <w:rFonts w:eastAsia="Malgun Gothic"/>
          <w:lang w:val="fr-FR"/>
        </w:rPr>
        <w:t>’</w:t>
      </w:r>
      <w:r w:rsidRPr="00532D1C">
        <w:rPr>
          <w:rFonts w:eastAsia="Malgun Gothic"/>
          <w:lang w:val="fr-FR"/>
        </w:rPr>
        <w:t xml:space="preserve">emblème, le </w:t>
      </w:r>
      <w:r w:rsidRPr="00702497">
        <w:rPr>
          <w:rFonts w:eastAsia="Malgun Gothic"/>
          <w:b/>
          <w:bCs/>
          <w:lang w:val="fr-FR"/>
        </w:rPr>
        <w:t>Secrétaire</w:t>
      </w:r>
      <w:r w:rsidRPr="00532D1C">
        <w:rPr>
          <w:rFonts w:eastAsia="Malgun Gothic"/>
          <w:lang w:val="fr-FR"/>
        </w:rPr>
        <w:t xml:space="preserve"> était conscient et convenait que la procédure pour l</w:t>
      </w:r>
      <w:r w:rsidR="00923E72">
        <w:rPr>
          <w:rFonts w:eastAsia="Malgun Gothic"/>
          <w:lang w:val="fr-FR"/>
        </w:rPr>
        <w:t>’</w:t>
      </w:r>
      <w:r w:rsidRPr="00532D1C">
        <w:rPr>
          <w:rFonts w:eastAsia="Malgun Gothic"/>
          <w:lang w:val="fr-FR"/>
        </w:rPr>
        <w:t>utilisation de l</w:t>
      </w:r>
      <w:r w:rsidR="00923E72">
        <w:rPr>
          <w:rFonts w:eastAsia="Malgun Gothic"/>
          <w:lang w:val="fr-FR"/>
        </w:rPr>
        <w:t>’</w:t>
      </w:r>
      <w:r w:rsidRPr="00532D1C">
        <w:rPr>
          <w:rFonts w:eastAsia="Malgun Gothic"/>
          <w:lang w:val="fr-FR"/>
        </w:rPr>
        <w:t>emblème, telle qu</w:t>
      </w:r>
      <w:r w:rsidR="00923E72">
        <w:rPr>
          <w:rFonts w:eastAsia="Malgun Gothic"/>
          <w:lang w:val="fr-FR"/>
        </w:rPr>
        <w:t>’</w:t>
      </w:r>
      <w:r w:rsidRPr="00532D1C">
        <w:rPr>
          <w:rFonts w:eastAsia="Malgun Gothic"/>
          <w:lang w:val="fr-FR"/>
        </w:rPr>
        <w:t xml:space="preserve">exposée dans les Directives opérationnelles, </w:t>
      </w:r>
      <w:r w:rsidR="00B93E9F">
        <w:rPr>
          <w:rFonts w:eastAsia="Malgun Gothic"/>
          <w:lang w:val="fr-FR"/>
        </w:rPr>
        <w:t>était</w:t>
      </w:r>
      <w:r w:rsidR="00054FE1">
        <w:rPr>
          <w:rFonts w:eastAsia="Malgun Gothic"/>
          <w:lang w:val="fr-FR"/>
        </w:rPr>
        <w:t xml:space="preserve"> </w:t>
      </w:r>
      <w:r w:rsidRPr="00532D1C">
        <w:rPr>
          <w:rFonts w:eastAsia="Malgun Gothic"/>
          <w:lang w:val="fr-FR"/>
        </w:rPr>
        <w:t>assez lourde. L</w:t>
      </w:r>
      <w:r w:rsidR="00923E72">
        <w:rPr>
          <w:rFonts w:eastAsia="Malgun Gothic"/>
          <w:lang w:val="fr-FR"/>
        </w:rPr>
        <w:t>’</w:t>
      </w:r>
      <w:r w:rsidRPr="00532D1C">
        <w:rPr>
          <w:rFonts w:eastAsia="Malgun Gothic"/>
          <w:lang w:val="fr-FR"/>
        </w:rPr>
        <w:t>utilisation de l</w:t>
      </w:r>
      <w:r w:rsidR="00923E72">
        <w:rPr>
          <w:rFonts w:eastAsia="Malgun Gothic"/>
          <w:lang w:val="fr-FR"/>
        </w:rPr>
        <w:t>’</w:t>
      </w:r>
      <w:r w:rsidRPr="00532D1C">
        <w:rPr>
          <w:rFonts w:eastAsia="Malgun Gothic"/>
          <w:lang w:val="fr-FR"/>
        </w:rPr>
        <w:t>emblème était régie par deux textes</w:t>
      </w:r>
      <w:r>
        <w:rPr>
          <w:rFonts w:eastAsia="Malgun Gothic"/>
          <w:lang w:val="fr-FR"/>
        </w:rPr>
        <w:t> </w:t>
      </w:r>
      <w:r w:rsidRPr="00532D1C">
        <w:rPr>
          <w:rFonts w:eastAsia="Malgun Gothic"/>
          <w:lang w:val="fr-FR"/>
        </w:rPr>
        <w:t>: les Directives opérationnelles de la Convention ; et la Conférence générale de l</w:t>
      </w:r>
      <w:r w:rsidR="00923E72">
        <w:rPr>
          <w:rFonts w:eastAsia="Malgun Gothic"/>
          <w:lang w:val="fr-FR"/>
        </w:rPr>
        <w:t>’</w:t>
      </w:r>
      <w:r w:rsidRPr="00532D1C">
        <w:rPr>
          <w:rFonts w:eastAsia="Malgun Gothic"/>
          <w:lang w:val="fr-FR"/>
        </w:rPr>
        <w:t>UNESCO</w:t>
      </w:r>
      <w:r>
        <w:rPr>
          <w:rFonts w:eastAsia="Malgun Gothic"/>
          <w:lang w:val="fr-FR"/>
        </w:rPr>
        <w:t xml:space="preserve">, </w:t>
      </w:r>
      <w:r w:rsidRPr="00532D1C">
        <w:rPr>
          <w:rFonts w:eastAsia="Malgun Gothic"/>
          <w:lang w:val="fr-FR"/>
        </w:rPr>
        <w:t>l</w:t>
      </w:r>
      <w:r w:rsidR="00923E72">
        <w:rPr>
          <w:rFonts w:eastAsia="Malgun Gothic"/>
          <w:lang w:val="fr-FR"/>
        </w:rPr>
        <w:t>’</w:t>
      </w:r>
      <w:r w:rsidRPr="00532D1C">
        <w:rPr>
          <w:rFonts w:eastAsia="Malgun Gothic"/>
          <w:lang w:val="fr-FR"/>
        </w:rPr>
        <w:t xml:space="preserve">emblème de la Convention </w:t>
      </w:r>
      <w:r>
        <w:rPr>
          <w:rFonts w:eastAsia="Malgun Gothic"/>
          <w:lang w:val="fr-FR"/>
        </w:rPr>
        <w:t xml:space="preserve">étant </w:t>
      </w:r>
      <w:r w:rsidRPr="00532D1C">
        <w:rPr>
          <w:rFonts w:eastAsia="Malgun Gothic"/>
          <w:lang w:val="fr-FR"/>
        </w:rPr>
        <w:t>toujours associé à celui de l</w:t>
      </w:r>
      <w:r w:rsidR="00923E72">
        <w:rPr>
          <w:rFonts w:eastAsia="Malgun Gothic"/>
          <w:lang w:val="fr-FR"/>
        </w:rPr>
        <w:t>’</w:t>
      </w:r>
      <w:r w:rsidRPr="00532D1C">
        <w:rPr>
          <w:rFonts w:eastAsia="Malgun Gothic"/>
          <w:lang w:val="fr-FR"/>
        </w:rPr>
        <w:t>UNESCO. Le Secrétariat était donc soumis à deux séries de règles sur l</w:t>
      </w:r>
      <w:r w:rsidR="00923E72">
        <w:rPr>
          <w:rFonts w:eastAsia="Malgun Gothic"/>
          <w:lang w:val="fr-FR"/>
        </w:rPr>
        <w:t>’</w:t>
      </w:r>
      <w:r w:rsidRPr="00532D1C">
        <w:rPr>
          <w:rFonts w:eastAsia="Malgun Gothic"/>
          <w:lang w:val="fr-FR"/>
        </w:rPr>
        <w:t>utilisation de ce logo, ce qui expliqu</w:t>
      </w:r>
      <w:r w:rsidR="00054FE1">
        <w:rPr>
          <w:rFonts w:eastAsia="Malgun Gothic"/>
          <w:lang w:val="fr-FR"/>
        </w:rPr>
        <w:t>ait</w:t>
      </w:r>
      <w:r w:rsidRPr="00532D1C">
        <w:rPr>
          <w:rFonts w:eastAsia="Malgun Gothic"/>
          <w:lang w:val="fr-FR"/>
        </w:rPr>
        <w:t xml:space="preserve"> certaines </w:t>
      </w:r>
      <w:r w:rsidR="00B93E9F">
        <w:rPr>
          <w:rFonts w:eastAsia="Malgun Gothic"/>
          <w:lang w:val="fr-FR"/>
        </w:rPr>
        <w:t>d</w:t>
      </w:r>
      <w:r w:rsidRPr="00532D1C">
        <w:rPr>
          <w:rFonts w:eastAsia="Malgun Gothic"/>
          <w:lang w:val="fr-FR"/>
        </w:rPr>
        <w:t>es complexités rencontrées. Le Secrétaire essaierait de voir si certaines des procédures bureaucratiques pouvaient être simplifiées, ce qui serait en effet une bonne chose. Cependant, ce n</w:t>
      </w:r>
      <w:r w:rsidR="00923E72">
        <w:rPr>
          <w:rFonts w:eastAsia="Malgun Gothic"/>
          <w:lang w:val="fr-FR"/>
        </w:rPr>
        <w:t>’</w:t>
      </w:r>
      <w:r w:rsidRPr="00532D1C">
        <w:rPr>
          <w:rFonts w:eastAsia="Malgun Gothic"/>
          <w:lang w:val="fr-FR"/>
        </w:rPr>
        <w:t>était pas une décision qui pouvait être prise par le Secrétariat</w:t>
      </w:r>
      <w:r w:rsidR="002A6AD3">
        <w:rPr>
          <w:rFonts w:eastAsia="Malgun Gothic"/>
          <w:lang w:val="fr-FR"/>
        </w:rPr>
        <w:t>, l</w:t>
      </w:r>
      <w:r w:rsidRPr="00532D1C">
        <w:rPr>
          <w:rFonts w:eastAsia="Malgun Gothic"/>
          <w:lang w:val="fr-FR"/>
        </w:rPr>
        <w:t>es procédures étant régies par les r</w:t>
      </w:r>
      <w:r w:rsidR="002A6AD3">
        <w:rPr>
          <w:rFonts w:eastAsia="Malgun Gothic"/>
          <w:lang w:val="fr-FR"/>
        </w:rPr>
        <w:t>èglements</w:t>
      </w:r>
      <w:r w:rsidRPr="00532D1C">
        <w:rPr>
          <w:rFonts w:eastAsia="Malgun Gothic"/>
          <w:lang w:val="fr-FR"/>
        </w:rPr>
        <w:t xml:space="preserve"> de</w:t>
      </w:r>
      <w:r w:rsidR="002A6AD3">
        <w:rPr>
          <w:rFonts w:eastAsia="Malgun Gothic"/>
          <w:lang w:val="fr-FR"/>
        </w:rPr>
        <w:t xml:space="preserve">s </w:t>
      </w:r>
      <w:r w:rsidRPr="00532D1C">
        <w:rPr>
          <w:rFonts w:eastAsia="Malgun Gothic"/>
          <w:lang w:val="fr-FR"/>
        </w:rPr>
        <w:t>deux organes</w:t>
      </w:r>
      <w:r w:rsidR="002A6AD3">
        <w:rPr>
          <w:rFonts w:eastAsia="Malgun Gothic"/>
          <w:lang w:val="fr-FR"/>
        </w:rPr>
        <w:t xml:space="preserve"> mentionnés</w:t>
      </w:r>
      <w:r w:rsidRPr="00532D1C">
        <w:rPr>
          <w:rFonts w:eastAsia="Malgun Gothic"/>
          <w:lang w:val="fr-FR"/>
        </w:rPr>
        <w:t>. Le Secrétaire a réitéré s</w:t>
      </w:r>
      <w:r>
        <w:rPr>
          <w:rFonts w:eastAsia="Malgun Gothic"/>
          <w:lang w:val="fr-FR"/>
        </w:rPr>
        <w:t xml:space="preserve">a gratitude </w:t>
      </w:r>
      <w:r w:rsidRPr="00532D1C">
        <w:rPr>
          <w:rFonts w:eastAsia="Malgun Gothic"/>
          <w:lang w:val="fr-FR"/>
        </w:rPr>
        <w:t>et ses remerciements pour tous les commentaires très positifs reçus de la part de nombreuses délégations.</w:t>
      </w:r>
    </w:p>
    <w:p w14:paraId="6EE100F6" w14:textId="30861AB7" w:rsidR="00532D1C" w:rsidRPr="00532D1C" w:rsidRDefault="00532D1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532D1C">
        <w:rPr>
          <w:rFonts w:eastAsia="Malgun Gothic"/>
          <w:b/>
          <w:bCs/>
          <w:lang w:val="fr-FR"/>
        </w:rPr>
        <w:t>Président</w:t>
      </w:r>
      <w:r>
        <w:rPr>
          <w:rFonts w:eastAsia="Malgun Gothic"/>
          <w:lang w:val="fr-FR"/>
        </w:rPr>
        <w:t xml:space="preserve"> a donné la parole aux </w:t>
      </w:r>
      <w:r w:rsidRPr="00532D1C">
        <w:rPr>
          <w:rFonts w:eastAsia="Malgun Gothic"/>
          <w:bCs/>
          <w:lang w:val="fr-FR"/>
        </w:rPr>
        <w:t>observateurs</w:t>
      </w:r>
      <w:r>
        <w:rPr>
          <w:rFonts w:eastAsia="Malgun Gothic"/>
          <w:bCs/>
          <w:lang w:val="fr-FR"/>
        </w:rPr>
        <w:t>.</w:t>
      </w:r>
    </w:p>
    <w:p w14:paraId="23BBB70D" w14:textId="7BE9C406" w:rsidR="00532D1C" w:rsidRDefault="00532D1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32D1C">
        <w:rPr>
          <w:rFonts w:eastAsia="Malgun Gothic"/>
          <w:lang w:val="fr-FR"/>
        </w:rPr>
        <w:t xml:space="preserve">La délégation de la </w:t>
      </w:r>
      <w:r w:rsidRPr="00532D1C">
        <w:rPr>
          <w:rFonts w:eastAsia="Malgun Gothic"/>
          <w:b/>
          <w:bCs/>
          <w:lang w:val="fr-FR"/>
        </w:rPr>
        <w:t>France</w:t>
      </w:r>
      <w:r w:rsidRPr="00532D1C">
        <w:rPr>
          <w:rFonts w:eastAsia="Malgun Gothic"/>
          <w:lang w:val="fr-FR"/>
        </w:rPr>
        <w:t xml:space="preserve"> a remercié le Président pour </w:t>
      </w:r>
      <w:r>
        <w:rPr>
          <w:rFonts w:eastAsia="Malgun Gothic"/>
          <w:lang w:val="fr-FR"/>
        </w:rPr>
        <w:t>sa conduite des</w:t>
      </w:r>
      <w:r w:rsidRPr="00532D1C">
        <w:rPr>
          <w:rFonts w:eastAsia="Malgun Gothic"/>
          <w:lang w:val="fr-FR"/>
        </w:rPr>
        <w:t xml:space="preserve"> travaux </w:t>
      </w:r>
      <w:r w:rsidR="002A6AD3">
        <w:rPr>
          <w:rFonts w:eastAsia="Malgun Gothic"/>
          <w:lang w:val="fr-FR"/>
        </w:rPr>
        <w:t xml:space="preserve">du Comité </w:t>
      </w:r>
      <w:r w:rsidRPr="00532D1C">
        <w:rPr>
          <w:rFonts w:eastAsia="Malgun Gothic"/>
          <w:lang w:val="fr-FR"/>
        </w:rPr>
        <w:t>et pour l</w:t>
      </w:r>
      <w:r w:rsidR="00923E72">
        <w:rPr>
          <w:rFonts w:eastAsia="Malgun Gothic"/>
          <w:lang w:val="fr-FR"/>
        </w:rPr>
        <w:t>’</w:t>
      </w:r>
      <w:r w:rsidRPr="00532D1C">
        <w:rPr>
          <w:rFonts w:eastAsia="Malgun Gothic"/>
          <w:lang w:val="fr-FR"/>
        </w:rPr>
        <w:t>accueil exceptionnel. La France était très attachée à la Convention et à la protection du patrimoine immatériel, ce qui s</w:t>
      </w:r>
      <w:r w:rsidR="00923E72">
        <w:rPr>
          <w:rFonts w:eastAsia="Malgun Gothic"/>
          <w:lang w:val="fr-FR"/>
        </w:rPr>
        <w:t>’</w:t>
      </w:r>
      <w:r w:rsidRPr="00532D1C">
        <w:rPr>
          <w:rFonts w:eastAsia="Malgun Gothic"/>
          <w:lang w:val="fr-FR"/>
        </w:rPr>
        <w:t>était concrétisé, par exemple, en</w:t>
      </w:r>
      <w:r w:rsidR="00246428">
        <w:rPr>
          <w:rFonts w:eastAsia="Malgun Gothic"/>
          <w:lang w:val="fr-FR"/>
        </w:rPr>
        <w:t> </w:t>
      </w:r>
      <w:r w:rsidRPr="00532D1C">
        <w:rPr>
          <w:rFonts w:eastAsia="Malgun Gothic"/>
          <w:lang w:val="fr-FR"/>
        </w:rPr>
        <w:t xml:space="preserve">2022 par </w:t>
      </w:r>
      <w:r w:rsidR="002A6AD3">
        <w:rPr>
          <w:rFonts w:eastAsia="Malgun Gothic"/>
          <w:lang w:val="fr-FR"/>
        </w:rPr>
        <w:t xml:space="preserve">sa </w:t>
      </w:r>
      <w:r w:rsidRPr="00532D1C">
        <w:rPr>
          <w:rFonts w:eastAsia="Malgun Gothic"/>
          <w:lang w:val="fr-FR"/>
        </w:rPr>
        <w:t>contribution volontaire de 100</w:t>
      </w:r>
      <w:r w:rsidR="00FC4DE4">
        <w:rPr>
          <w:rFonts w:eastAsia="Malgun Gothic"/>
          <w:lang w:val="fr-FR"/>
        </w:rPr>
        <w:t> </w:t>
      </w:r>
      <w:r w:rsidRPr="00532D1C">
        <w:rPr>
          <w:rFonts w:eastAsia="Malgun Gothic"/>
          <w:lang w:val="fr-FR"/>
        </w:rPr>
        <w:t>000</w:t>
      </w:r>
      <w:r w:rsidR="00FC4DE4">
        <w:rPr>
          <w:rFonts w:eastAsia="Malgun Gothic"/>
          <w:lang w:val="fr-FR"/>
        </w:rPr>
        <w:t> </w:t>
      </w:r>
      <w:r w:rsidRPr="00532D1C">
        <w:rPr>
          <w:rFonts w:eastAsia="Malgun Gothic"/>
          <w:lang w:val="fr-FR"/>
        </w:rPr>
        <w:t xml:space="preserve">euros </w:t>
      </w:r>
      <w:r w:rsidR="00DC7ECE">
        <w:rPr>
          <w:rFonts w:eastAsia="Malgun Gothic"/>
          <w:lang w:val="fr-FR"/>
        </w:rPr>
        <w:t xml:space="preserve">afin de </w:t>
      </w:r>
      <w:r w:rsidRPr="00532D1C">
        <w:rPr>
          <w:rFonts w:eastAsia="Malgun Gothic"/>
          <w:lang w:val="fr-FR"/>
        </w:rPr>
        <w:t xml:space="preserve">renforcer </w:t>
      </w:r>
      <w:r w:rsidR="002A6AD3">
        <w:rPr>
          <w:rFonts w:eastAsia="Malgun Gothic"/>
          <w:lang w:val="fr-FR"/>
        </w:rPr>
        <w:t>l</w:t>
      </w:r>
      <w:r w:rsidR="00923E72">
        <w:rPr>
          <w:rFonts w:eastAsia="Malgun Gothic"/>
          <w:lang w:val="fr-FR"/>
        </w:rPr>
        <w:t>’</w:t>
      </w:r>
      <w:r w:rsidRPr="00532D1C">
        <w:rPr>
          <w:rFonts w:eastAsia="Malgun Gothic"/>
          <w:lang w:val="fr-FR"/>
        </w:rPr>
        <w:t>action du Secrétariat dans la mise en œuvre de la Convention.</w:t>
      </w:r>
      <w:r w:rsidR="002A6AD3">
        <w:rPr>
          <w:rFonts w:eastAsia="Malgun Gothic"/>
          <w:lang w:val="fr-FR"/>
        </w:rPr>
        <w:t xml:space="preserve"> Deux années auparavant, l</w:t>
      </w:r>
      <w:r w:rsidRPr="00532D1C">
        <w:rPr>
          <w:rFonts w:eastAsia="Malgun Gothic"/>
          <w:lang w:val="fr-FR"/>
        </w:rPr>
        <w:t xml:space="preserve">a France avait également versé une contribution </w:t>
      </w:r>
      <w:r w:rsidR="002A6AD3">
        <w:rPr>
          <w:rFonts w:eastAsia="Malgun Gothic"/>
          <w:lang w:val="fr-FR"/>
        </w:rPr>
        <w:t>en faveur du renforcement des capacités,</w:t>
      </w:r>
      <w:r w:rsidRPr="00532D1C">
        <w:rPr>
          <w:rFonts w:eastAsia="Malgun Gothic"/>
          <w:lang w:val="fr-FR"/>
        </w:rPr>
        <w:t xml:space="preserve"> qui avait permis d</w:t>
      </w:r>
      <w:r w:rsidR="00923E72">
        <w:rPr>
          <w:rFonts w:eastAsia="Malgun Gothic"/>
          <w:lang w:val="fr-FR"/>
        </w:rPr>
        <w:t>’</w:t>
      </w:r>
      <w:r w:rsidR="002A6AD3">
        <w:rPr>
          <w:rFonts w:eastAsia="Malgun Gothic"/>
          <w:lang w:val="fr-FR"/>
        </w:rPr>
        <w:t>œuvrer</w:t>
      </w:r>
      <w:r w:rsidRPr="00532D1C">
        <w:rPr>
          <w:rFonts w:eastAsia="Malgun Gothic"/>
          <w:lang w:val="fr-FR"/>
        </w:rPr>
        <w:t xml:space="preserve"> </w:t>
      </w:r>
      <w:r w:rsidR="002A6AD3">
        <w:rPr>
          <w:rFonts w:eastAsia="Malgun Gothic"/>
          <w:lang w:val="fr-FR"/>
        </w:rPr>
        <w:t xml:space="preserve">à la consolidation </w:t>
      </w:r>
      <w:r w:rsidRPr="00532D1C">
        <w:rPr>
          <w:rFonts w:eastAsia="Malgun Gothic"/>
          <w:lang w:val="fr-FR"/>
        </w:rPr>
        <w:t>des capacités au Ghana et en Gambie, dont les projets ser</w:t>
      </w:r>
      <w:r w:rsidR="00FC4DE4">
        <w:rPr>
          <w:rFonts w:eastAsia="Malgun Gothic"/>
          <w:lang w:val="fr-FR"/>
        </w:rPr>
        <w:t>aie</w:t>
      </w:r>
      <w:r w:rsidRPr="00532D1C">
        <w:rPr>
          <w:rFonts w:eastAsia="Malgun Gothic"/>
          <w:lang w:val="fr-FR"/>
        </w:rPr>
        <w:t>nt présentés le lendemain lors d</w:t>
      </w:r>
      <w:r w:rsidR="00923E72">
        <w:rPr>
          <w:rFonts w:eastAsia="Malgun Gothic"/>
          <w:lang w:val="fr-FR"/>
        </w:rPr>
        <w:t>’</w:t>
      </w:r>
      <w:r w:rsidRPr="00532D1C">
        <w:rPr>
          <w:rFonts w:eastAsia="Malgun Gothic"/>
          <w:lang w:val="fr-FR"/>
        </w:rPr>
        <w:t>un événement parallèle</w:t>
      </w:r>
      <w:r w:rsidR="002A6AD3">
        <w:rPr>
          <w:rFonts w:eastAsia="Malgun Gothic"/>
          <w:lang w:val="fr-FR"/>
        </w:rPr>
        <w:t>.</w:t>
      </w:r>
      <w:r w:rsidRPr="00532D1C">
        <w:rPr>
          <w:rFonts w:eastAsia="Malgun Gothic"/>
          <w:lang w:val="fr-FR"/>
        </w:rPr>
        <w:t xml:space="preserve"> Pour le vingtième anniversaire de la Convention, la </w:t>
      </w:r>
      <w:r w:rsidR="002A6AD3">
        <w:rPr>
          <w:rFonts w:eastAsia="Malgun Gothic"/>
          <w:lang w:val="fr-FR"/>
        </w:rPr>
        <w:t xml:space="preserve">France </w:t>
      </w:r>
      <w:r w:rsidRPr="00532D1C">
        <w:rPr>
          <w:rFonts w:eastAsia="Malgun Gothic"/>
          <w:lang w:val="fr-FR"/>
        </w:rPr>
        <w:t>encourag</w:t>
      </w:r>
      <w:r w:rsidR="00FC4DE4">
        <w:rPr>
          <w:rFonts w:eastAsia="Malgun Gothic"/>
          <w:lang w:val="fr-FR"/>
        </w:rPr>
        <w:t>e</w:t>
      </w:r>
      <w:r w:rsidRPr="00532D1C">
        <w:rPr>
          <w:rFonts w:eastAsia="Malgun Gothic"/>
          <w:lang w:val="fr-FR"/>
        </w:rPr>
        <w:t>ait tous les acteurs impliqués dans la sauvegarde du PCI en France à célébrer cet anniversaire et à promouvoir les partenariats. Par exemple, elle prévoyait d</w:t>
      </w:r>
      <w:r w:rsidR="00923E72">
        <w:rPr>
          <w:rFonts w:eastAsia="Malgun Gothic"/>
          <w:lang w:val="fr-FR"/>
        </w:rPr>
        <w:t>’</w:t>
      </w:r>
      <w:r w:rsidRPr="00532D1C">
        <w:rPr>
          <w:rFonts w:eastAsia="Malgun Gothic"/>
          <w:lang w:val="fr-FR"/>
        </w:rPr>
        <w:t xml:space="preserve">organiser un événement qui mettrait en réseau les </w:t>
      </w:r>
      <w:r w:rsidR="002A6AD3">
        <w:rPr>
          <w:rFonts w:eastAsia="Malgun Gothic"/>
          <w:lang w:val="fr-FR"/>
        </w:rPr>
        <w:t>dix-neuf</w:t>
      </w:r>
      <w:r w:rsidRPr="00532D1C">
        <w:rPr>
          <w:rFonts w:eastAsia="Malgun Gothic"/>
          <w:lang w:val="fr-FR"/>
        </w:rPr>
        <w:t xml:space="preserve"> ONG accréditées pour </w:t>
      </w:r>
      <w:r w:rsidR="00FC4DE4">
        <w:rPr>
          <w:rFonts w:eastAsia="Malgun Gothic"/>
          <w:lang w:val="fr-FR"/>
        </w:rPr>
        <w:t xml:space="preserve">exercer </w:t>
      </w:r>
      <w:r w:rsidRPr="00532D1C">
        <w:rPr>
          <w:rFonts w:eastAsia="Malgun Gothic"/>
          <w:lang w:val="fr-FR"/>
        </w:rPr>
        <w:t>des fonctions consultatives auprès du Comité. De même, la France envisageait la création d</w:t>
      </w:r>
      <w:r w:rsidR="00923E72">
        <w:rPr>
          <w:rFonts w:eastAsia="Malgun Gothic"/>
          <w:lang w:val="fr-FR"/>
        </w:rPr>
        <w:t>’</w:t>
      </w:r>
      <w:r w:rsidRPr="00532D1C">
        <w:rPr>
          <w:rFonts w:eastAsia="Malgun Gothic"/>
          <w:lang w:val="fr-FR"/>
        </w:rPr>
        <w:t>un certificat officiel d</w:t>
      </w:r>
      <w:r w:rsidR="00923E72">
        <w:rPr>
          <w:rFonts w:eastAsia="Malgun Gothic"/>
          <w:lang w:val="fr-FR"/>
        </w:rPr>
        <w:t>’</w:t>
      </w:r>
      <w:r w:rsidRPr="00532D1C">
        <w:rPr>
          <w:rFonts w:eastAsia="Malgun Gothic"/>
          <w:lang w:val="fr-FR"/>
        </w:rPr>
        <w:t>inclusion thématique du patrimoine vivant, qui serait prêt pour l</w:t>
      </w:r>
      <w:r w:rsidR="00923E72">
        <w:rPr>
          <w:rFonts w:eastAsia="Malgun Gothic"/>
          <w:lang w:val="fr-FR"/>
        </w:rPr>
        <w:t>’</w:t>
      </w:r>
      <w:r w:rsidRPr="00532D1C">
        <w:rPr>
          <w:rFonts w:eastAsia="Malgun Gothic"/>
          <w:lang w:val="fr-FR"/>
        </w:rPr>
        <w:t xml:space="preserve">édition 2023 des Journées européennes du </w:t>
      </w:r>
      <w:r w:rsidR="00FC4DE4" w:rsidRPr="00532D1C">
        <w:rPr>
          <w:rFonts w:eastAsia="Malgun Gothic"/>
          <w:lang w:val="fr-FR"/>
        </w:rPr>
        <w:t>patrimoine</w:t>
      </w:r>
      <w:r w:rsidR="008B4F8D">
        <w:rPr>
          <w:rStyle w:val="FootnoteReference"/>
          <w:rFonts w:eastAsia="Malgun Gothic"/>
          <w:lang w:val="fr-FR"/>
        </w:rPr>
        <w:footnoteReference w:id="9"/>
      </w:r>
      <w:r w:rsidR="002A6AD3">
        <w:rPr>
          <w:rFonts w:eastAsia="Malgun Gothic"/>
          <w:lang w:val="fr-FR"/>
        </w:rPr>
        <w:t xml:space="preserve">, afin de </w:t>
      </w:r>
      <w:r w:rsidR="002A6AD3" w:rsidRPr="00532D1C">
        <w:rPr>
          <w:rFonts w:eastAsia="Malgun Gothic"/>
          <w:lang w:val="fr-FR"/>
        </w:rPr>
        <w:t>valoriser l</w:t>
      </w:r>
      <w:r w:rsidR="00923E72">
        <w:rPr>
          <w:rFonts w:eastAsia="Malgun Gothic"/>
          <w:lang w:val="fr-FR"/>
        </w:rPr>
        <w:t>’</w:t>
      </w:r>
      <w:r w:rsidR="002A6AD3" w:rsidRPr="00532D1C">
        <w:rPr>
          <w:rFonts w:eastAsia="Malgun Gothic"/>
          <w:lang w:val="fr-FR"/>
        </w:rPr>
        <w:t>inventaire national du patrimoine culturel immatériel</w:t>
      </w:r>
      <w:r w:rsidR="007C4477">
        <w:rPr>
          <w:rFonts w:eastAsia="Malgun Gothic"/>
          <w:lang w:val="fr-FR"/>
        </w:rPr>
        <w:t xml:space="preserve"> </w:t>
      </w:r>
      <w:r w:rsidR="002A6AD3" w:rsidRPr="00532D1C">
        <w:rPr>
          <w:rFonts w:eastAsia="Malgun Gothic"/>
          <w:lang w:val="fr-FR"/>
        </w:rPr>
        <w:t>qui n</w:t>
      </w:r>
      <w:r w:rsidR="00923E72">
        <w:rPr>
          <w:rFonts w:eastAsia="Malgun Gothic"/>
          <w:lang w:val="fr-FR"/>
        </w:rPr>
        <w:t>’</w:t>
      </w:r>
      <w:r w:rsidR="002A6AD3" w:rsidRPr="00532D1C">
        <w:rPr>
          <w:rFonts w:eastAsia="Malgun Gothic"/>
          <w:lang w:val="fr-FR"/>
        </w:rPr>
        <w:t>est pas inscrit sur les listes de l</w:t>
      </w:r>
      <w:r w:rsidR="00923E72">
        <w:rPr>
          <w:rFonts w:eastAsia="Malgun Gothic"/>
          <w:lang w:val="fr-FR"/>
        </w:rPr>
        <w:t>’</w:t>
      </w:r>
      <w:r w:rsidR="002A6AD3" w:rsidRPr="00532D1C">
        <w:rPr>
          <w:rFonts w:eastAsia="Malgun Gothic"/>
          <w:lang w:val="fr-FR"/>
        </w:rPr>
        <w:t>UNESCO</w:t>
      </w:r>
      <w:r w:rsidR="007C4477">
        <w:rPr>
          <w:rFonts w:eastAsia="Malgun Gothic"/>
          <w:lang w:val="fr-FR"/>
        </w:rPr>
        <w:t xml:space="preserve">. </w:t>
      </w:r>
      <w:r w:rsidRPr="00532D1C">
        <w:rPr>
          <w:rFonts w:eastAsia="Malgun Gothic"/>
          <w:lang w:val="fr-FR"/>
        </w:rPr>
        <w:t xml:space="preserve">Enfin, elle </w:t>
      </w:r>
      <w:r w:rsidR="007C4477">
        <w:rPr>
          <w:rFonts w:eastAsia="Malgun Gothic"/>
          <w:lang w:val="fr-FR"/>
        </w:rPr>
        <w:t>était d</w:t>
      </w:r>
      <w:r w:rsidR="00923E72">
        <w:rPr>
          <w:rFonts w:eastAsia="Malgun Gothic"/>
          <w:lang w:val="fr-FR"/>
        </w:rPr>
        <w:t>’</w:t>
      </w:r>
      <w:r w:rsidR="007C4477">
        <w:rPr>
          <w:rFonts w:eastAsia="Malgun Gothic"/>
          <w:lang w:val="fr-FR"/>
        </w:rPr>
        <w:t xml:space="preserve">accord avec la </w:t>
      </w:r>
      <w:r w:rsidRPr="00532D1C">
        <w:rPr>
          <w:rFonts w:eastAsia="Malgun Gothic"/>
          <w:lang w:val="fr-FR"/>
        </w:rPr>
        <w:t xml:space="preserve">Suisse </w:t>
      </w:r>
      <w:r w:rsidR="007C4477">
        <w:rPr>
          <w:rFonts w:eastAsia="Malgun Gothic"/>
          <w:lang w:val="fr-FR"/>
        </w:rPr>
        <w:t>à propos de</w:t>
      </w:r>
      <w:r w:rsidRPr="00532D1C">
        <w:rPr>
          <w:rFonts w:eastAsia="Malgun Gothic"/>
          <w:lang w:val="fr-FR"/>
        </w:rPr>
        <w:t xml:space="preserve"> la procédure </w:t>
      </w:r>
      <w:r w:rsidR="007C4477">
        <w:rPr>
          <w:rFonts w:eastAsia="Malgun Gothic"/>
          <w:lang w:val="fr-FR"/>
        </w:rPr>
        <w:t xml:space="preserve">complexe </w:t>
      </w:r>
      <w:r w:rsidRPr="00532D1C">
        <w:rPr>
          <w:rFonts w:eastAsia="Malgun Gothic"/>
          <w:lang w:val="fr-FR"/>
        </w:rPr>
        <w:t>d</w:t>
      </w:r>
      <w:r w:rsidR="00923E72">
        <w:rPr>
          <w:rFonts w:eastAsia="Malgun Gothic"/>
          <w:lang w:val="fr-FR"/>
        </w:rPr>
        <w:t>’</w:t>
      </w:r>
      <w:r w:rsidRPr="00532D1C">
        <w:rPr>
          <w:rFonts w:eastAsia="Malgun Gothic"/>
          <w:lang w:val="fr-FR"/>
        </w:rPr>
        <w:t>utilisation de l</w:t>
      </w:r>
      <w:r w:rsidR="00923E72">
        <w:rPr>
          <w:rFonts w:eastAsia="Malgun Gothic"/>
          <w:lang w:val="fr-FR"/>
        </w:rPr>
        <w:t>’</w:t>
      </w:r>
      <w:r w:rsidRPr="00532D1C">
        <w:rPr>
          <w:rFonts w:eastAsia="Malgun Gothic"/>
          <w:lang w:val="fr-FR"/>
        </w:rPr>
        <w:t>emblème de l</w:t>
      </w:r>
      <w:r w:rsidR="00923E72">
        <w:rPr>
          <w:rFonts w:eastAsia="Malgun Gothic"/>
          <w:lang w:val="fr-FR"/>
        </w:rPr>
        <w:t>’</w:t>
      </w:r>
      <w:r w:rsidRPr="00532D1C">
        <w:rPr>
          <w:rFonts w:eastAsia="Malgun Gothic"/>
          <w:lang w:val="fr-FR"/>
        </w:rPr>
        <w:t>UNESCO.</w:t>
      </w:r>
    </w:p>
    <w:p w14:paraId="509A6EFE" w14:textId="19CE6712" w:rsidR="00FC4DE4" w:rsidRDefault="007A303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7A3032">
        <w:rPr>
          <w:rFonts w:eastAsia="Malgun Gothic"/>
          <w:lang w:val="fr-FR"/>
        </w:rPr>
        <w:t xml:space="preserve">La délégation de la </w:t>
      </w:r>
      <w:r w:rsidRPr="007A3032">
        <w:rPr>
          <w:rFonts w:eastAsia="Malgun Gothic"/>
          <w:b/>
          <w:bCs/>
          <w:lang w:val="fr-FR"/>
        </w:rPr>
        <w:t>Palestine</w:t>
      </w:r>
      <w:r w:rsidRPr="007A3032">
        <w:rPr>
          <w:rFonts w:eastAsia="Malgun Gothic"/>
          <w:lang w:val="fr-FR"/>
        </w:rPr>
        <w:t xml:space="preserve"> a félicité le Président pour son élection</w:t>
      </w:r>
      <w:r w:rsidR="00FA4B20">
        <w:rPr>
          <w:rFonts w:eastAsia="Malgun Gothic"/>
          <w:lang w:val="fr-FR"/>
        </w:rPr>
        <w:t>,</w:t>
      </w:r>
      <w:r w:rsidRPr="007A3032">
        <w:rPr>
          <w:rFonts w:eastAsia="Malgun Gothic"/>
          <w:lang w:val="fr-FR"/>
        </w:rPr>
        <w:t xml:space="preserve"> qui revêtait une grande importance pour le groupe arabe</w:t>
      </w:r>
      <w:r w:rsidR="007C4477">
        <w:rPr>
          <w:rFonts w:eastAsia="Malgun Gothic"/>
          <w:lang w:val="fr-FR"/>
        </w:rPr>
        <w:t xml:space="preserve"> et </w:t>
      </w:r>
      <w:r w:rsidRPr="007A3032">
        <w:rPr>
          <w:rFonts w:eastAsia="Malgun Gothic"/>
          <w:lang w:val="fr-FR"/>
        </w:rPr>
        <w:t>a remercié le Maroc, Sa Majesté le Roi et le Gouvernement d</w:t>
      </w:r>
      <w:r w:rsidR="00923E72">
        <w:rPr>
          <w:rFonts w:eastAsia="Malgun Gothic"/>
          <w:lang w:val="fr-FR"/>
        </w:rPr>
        <w:t>’</w:t>
      </w:r>
      <w:r w:rsidRPr="007A3032">
        <w:rPr>
          <w:rFonts w:eastAsia="Malgun Gothic"/>
          <w:lang w:val="fr-FR"/>
        </w:rPr>
        <w:t>accueillir cet événement. La délégation a remercié le Secrétariat</w:t>
      </w:r>
      <w:r w:rsidR="007C4477">
        <w:rPr>
          <w:rFonts w:eastAsia="Malgun Gothic"/>
          <w:lang w:val="fr-FR"/>
        </w:rPr>
        <w:t xml:space="preserve"> et </w:t>
      </w:r>
      <w:r w:rsidRPr="007A3032">
        <w:rPr>
          <w:rFonts w:eastAsia="Malgun Gothic"/>
          <w:lang w:val="fr-FR"/>
        </w:rPr>
        <w:t>le Secrétaire pour l</w:t>
      </w:r>
      <w:r w:rsidR="00923E72">
        <w:rPr>
          <w:rFonts w:eastAsia="Malgun Gothic"/>
          <w:lang w:val="fr-FR"/>
        </w:rPr>
        <w:t>’</w:t>
      </w:r>
      <w:r w:rsidRPr="007A3032">
        <w:rPr>
          <w:rFonts w:eastAsia="Malgun Gothic"/>
          <w:lang w:val="fr-FR"/>
        </w:rPr>
        <w:t xml:space="preserve">excellent rapport, la qualité des documents et les informations partagées, qui </w:t>
      </w:r>
      <w:r w:rsidR="00B70505">
        <w:rPr>
          <w:rFonts w:eastAsia="Malgun Gothic"/>
          <w:lang w:val="fr-FR"/>
        </w:rPr>
        <w:t xml:space="preserve">rendaient compte de </w:t>
      </w:r>
      <w:r w:rsidRPr="007A3032">
        <w:rPr>
          <w:rFonts w:eastAsia="Malgun Gothic"/>
          <w:lang w:val="fr-FR"/>
        </w:rPr>
        <w:t>la mise en œuvre ambitieuse de la Convention. La révision des Directives opérationnelles en ce qui concerne les mécanismes d</w:t>
      </w:r>
      <w:r w:rsidR="00923E72">
        <w:rPr>
          <w:rFonts w:eastAsia="Malgun Gothic"/>
          <w:lang w:val="fr-FR"/>
        </w:rPr>
        <w:t>’</w:t>
      </w:r>
      <w:r w:rsidRPr="007A3032">
        <w:rPr>
          <w:rFonts w:eastAsia="Malgun Gothic"/>
          <w:lang w:val="fr-FR"/>
        </w:rPr>
        <w:t xml:space="preserve">inscription était une </w:t>
      </w:r>
      <w:r w:rsidRPr="007A3032">
        <w:rPr>
          <w:rFonts w:eastAsia="Malgun Gothic"/>
          <w:lang w:val="fr-FR"/>
        </w:rPr>
        <w:lastRenderedPageBreak/>
        <w:t>réalisation importante. La réflexion devait se poursuivre pour une mise en œuvre plus large</w:t>
      </w:r>
      <w:r w:rsidR="007C4477">
        <w:rPr>
          <w:rFonts w:eastAsia="Malgun Gothic"/>
          <w:lang w:val="fr-FR"/>
        </w:rPr>
        <w:t xml:space="preserve"> de l</w:t>
      </w:r>
      <w:r w:rsidR="00923E72">
        <w:rPr>
          <w:rFonts w:eastAsia="Malgun Gothic"/>
          <w:lang w:val="fr-FR"/>
        </w:rPr>
        <w:t>’</w:t>
      </w:r>
      <w:r w:rsidR="007C4477">
        <w:rPr>
          <w:rFonts w:eastAsia="Malgun Gothic"/>
          <w:lang w:val="fr-FR"/>
        </w:rPr>
        <w:t>article</w:t>
      </w:r>
      <w:r w:rsidR="00B70505">
        <w:rPr>
          <w:rFonts w:eastAsia="Malgun Gothic"/>
          <w:lang w:val="fr-FR"/>
        </w:rPr>
        <w:t> </w:t>
      </w:r>
      <w:r w:rsidR="007C4477">
        <w:rPr>
          <w:rFonts w:eastAsia="Malgun Gothic"/>
          <w:lang w:val="fr-FR"/>
        </w:rPr>
        <w:t>18</w:t>
      </w:r>
      <w:r w:rsidRPr="007A3032">
        <w:rPr>
          <w:rFonts w:eastAsia="Malgun Gothic"/>
          <w:lang w:val="fr-FR"/>
        </w:rPr>
        <w:t>, et la délégation a remercié la Suède pour son généreux soutien financier à cette fin. Elle a salué les actions du Secrétariat pour la sauvegarde du patrimoine immatériel dans les situations de crise et d</w:t>
      </w:r>
      <w:r w:rsidR="00923E72">
        <w:rPr>
          <w:rFonts w:eastAsia="Malgun Gothic"/>
          <w:lang w:val="fr-FR"/>
        </w:rPr>
        <w:t>’</w:t>
      </w:r>
      <w:r w:rsidRPr="007A3032">
        <w:rPr>
          <w:rFonts w:eastAsia="Malgun Gothic"/>
          <w:lang w:val="fr-FR"/>
        </w:rPr>
        <w:t>urgence, et a demandé que ces actions soient étendues à toutes les zones et régions touchées par des conflits et autres situations d</w:t>
      </w:r>
      <w:r w:rsidR="00923E72">
        <w:rPr>
          <w:rFonts w:eastAsia="Malgun Gothic"/>
          <w:lang w:val="fr-FR"/>
        </w:rPr>
        <w:t>’</w:t>
      </w:r>
      <w:r w:rsidRPr="007A3032">
        <w:rPr>
          <w:rFonts w:eastAsia="Malgun Gothic"/>
          <w:lang w:val="fr-FR"/>
        </w:rPr>
        <w:t>urgence, y compris la Palestine occupée.</w:t>
      </w:r>
      <w:r w:rsidR="007C4477">
        <w:rPr>
          <w:rFonts w:eastAsia="Malgun Gothic"/>
          <w:lang w:val="fr-FR"/>
        </w:rPr>
        <w:t xml:space="preserve"> L</w:t>
      </w:r>
      <w:r w:rsidRPr="007A3032">
        <w:rPr>
          <w:rFonts w:eastAsia="Malgun Gothic"/>
          <w:lang w:val="fr-FR"/>
        </w:rPr>
        <w:t>a délégation a félicité le Secrétariat pour les préparatifs en cours en vue de la célébration du vingtième anniversaire de la Convention, annonçant que l</w:t>
      </w:r>
      <w:r w:rsidR="00923E72">
        <w:rPr>
          <w:rFonts w:eastAsia="Malgun Gothic"/>
          <w:lang w:val="fr-FR"/>
        </w:rPr>
        <w:t>’</w:t>
      </w:r>
      <w:r w:rsidRPr="007A3032">
        <w:rPr>
          <w:rFonts w:eastAsia="Malgun Gothic"/>
          <w:lang w:val="fr-FR"/>
        </w:rPr>
        <w:t xml:space="preserve">État de </w:t>
      </w:r>
      <w:r w:rsidR="00DC7ECE">
        <w:rPr>
          <w:rFonts w:eastAsia="Malgun Gothic"/>
          <w:lang w:val="fr-FR"/>
        </w:rPr>
        <w:t xml:space="preserve">la </w:t>
      </w:r>
      <w:r w:rsidRPr="007A3032">
        <w:rPr>
          <w:rFonts w:eastAsia="Malgun Gothic"/>
          <w:lang w:val="fr-FR"/>
        </w:rPr>
        <w:t>Palestine préparait également un événement spécial à cette occasion.</w:t>
      </w:r>
    </w:p>
    <w:p w14:paraId="7D41243D" w14:textId="0ED7E12D" w:rsidR="002945AF" w:rsidRDefault="0057789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7789C">
        <w:rPr>
          <w:rFonts w:eastAsia="Malgun Gothic"/>
          <w:lang w:val="fr-FR"/>
        </w:rPr>
        <w:t xml:space="preserve">La délégation du </w:t>
      </w:r>
      <w:r w:rsidRPr="0057789C">
        <w:rPr>
          <w:rFonts w:eastAsia="Malgun Gothic"/>
          <w:b/>
          <w:bCs/>
          <w:lang w:val="fr-FR"/>
        </w:rPr>
        <w:t>Malawi</w:t>
      </w:r>
      <w:r w:rsidRPr="0057789C">
        <w:rPr>
          <w:rFonts w:eastAsia="Malgun Gothic"/>
          <w:lang w:val="fr-FR"/>
        </w:rPr>
        <w:t xml:space="preserve"> s</w:t>
      </w:r>
      <w:r w:rsidR="00923E72">
        <w:rPr>
          <w:rFonts w:eastAsia="Malgun Gothic"/>
          <w:lang w:val="fr-FR"/>
        </w:rPr>
        <w:t>’</w:t>
      </w:r>
      <w:r w:rsidRPr="0057789C">
        <w:rPr>
          <w:rFonts w:eastAsia="Malgun Gothic"/>
          <w:lang w:val="fr-FR"/>
        </w:rPr>
        <w:t>est jointe aux autres délégations pour féliciter le Président pour son élection ainsi que le Maroc pour l</w:t>
      </w:r>
      <w:r w:rsidR="00923E72">
        <w:rPr>
          <w:rFonts w:eastAsia="Malgun Gothic"/>
          <w:lang w:val="fr-FR"/>
        </w:rPr>
        <w:t>’</w:t>
      </w:r>
      <w:r w:rsidRPr="0057789C">
        <w:rPr>
          <w:rFonts w:eastAsia="Malgun Gothic"/>
          <w:lang w:val="fr-FR"/>
        </w:rPr>
        <w:t>accueil chaleureux lors de la cérémonie d</w:t>
      </w:r>
      <w:r w:rsidR="00923E72">
        <w:rPr>
          <w:rFonts w:eastAsia="Malgun Gothic"/>
          <w:lang w:val="fr-FR"/>
        </w:rPr>
        <w:t>’</w:t>
      </w:r>
      <w:r w:rsidRPr="0057789C">
        <w:rPr>
          <w:rFonts w:eastAsia="Malgun Gothic"/>
          <w:lang w:val="fr-FR"/>
        </w:rPr>
        <w:t>ouverture. La sélection de plats et les spectacles culturels étaient particulièrement représentatifs de l</w:t>
      </w:r>
      <w:r w:rsidR="00923E72">
        <w:rPr>
          <w:rFonts w:eastAsia="Malgun Gothic"/>
          <w:lang w:val="fr-FR"/>
        </w:rPr>
        <w:t>’</w:t>
      </w:r>
      <w:r w:rsidRPr="0057789C">
        <w:rPr>
          <w:rFonts w:eastAsia="Malgun Gothic"/>
          <w:lang w:val="fr-FR"/>
        </w:rPr>
        <w:t>incroyable hospitalité du peuple marocain.</w:t>
      </w:r>
      <w:r w:rsidR="007C4477">
        <w:rPr>
          <w:rFonts w:eastAsia="Malgun Gothic"/>
          <w:lang w:val="fr-FR"/>
        </w:rPr>
        <w:t xml:space="preserve"> L</w:t>
      </w:r>
      <w:r w:rsidRPr="0057789C">
        <w:rPr>
          <w:rFonts w:eastAsia="Malgun Gothic"/>
          <w:lang w:val="fr-FR"/>
        </w:rPr>
        <w:t>a délégation a reconnu l</w:t>
      </w:r>
      <w:r w:rsidR="00923E72">
        <w:rPr>
          <w:rFonts w:eastAsia="Malgun Gothic"/>
          <w:lang w:val="fr-FR"/>
        </w:rPr>
        <w:t>’</w:t>
      </w:r>
      <w:r w:rsidRPr="0057789C">
        <w:rPr>
          <w:rFonts w:eastAsia="Malgun Gothic"/>
          <w:lang w:val="fr-FR"/>
        </w:rPr>
        <w:t xml:space="preserve">énorme travail </w:t>
      </w:r>
      <w:r w:rsidR="007C4477">
        <w:rPr>
          <w:rFonts w:eastAsia="Malgun Gothic"/>
          <w:lang w:val="fr-FR"/>
        </w:rPr>
        <w:t xml:space="preserve">entrepris </w:t>
      </w:r>
      <w:r w:rsidRPr="0057789C">
        <w:rPr>
          <w:rFonts w:eastAsia="Malgun Gothic"/>
          <w:lang w:val="fr-FR"/>
        </w:rPr>
        <w:t xml:space="preserve">par le Secrétariat et </w:t>
      </w:r>
      <w:r w:rsidR="007C4477">
        <w:rPr>
          <w:rFonts w:eastAsia="Malgun Gothic"/>
          <w:lang w:val="fr-FR"/>
        </w:rPr>
        <w:t>l</w:t>
      </w:r>
      <w:r w:rsidR="00923E72">
        <w:rPr>
          <w:rFonts w:eastAsia="Malgun Gothic"/>
          <w:lang w:val="fr-FR"/>
        </w:rPr>
        <w:t>’</w:t>
      </w:r>
      <w:r w:rsidR="007C4477">
        <w:rPr>
          <w:rFonts w:eastAsia="Malgun Gothic"/>
          <w:lang w:val="fr-FR"/>
        </w:rPr>
        <w:t>a</w:t>
      </w:r>
      <w:r w:rsidRPr="0057789C">
        <w:rPr>
          <w:rFonts w:eastAsia="Malgun Gothic"/>
          <w:lang w:val="fr-FR"/>
        </w:rPr>
        <w:t xml:space="preserve"> félicité </w:t>
      </w:r>
      <w:r w:rsidR="007C4477">
        <w:rPr>
          <w:rFonts w:eastAsia="Malgun Gothic"/>
          <w:lang w:val="fr-FR"/>
        </w:rPr>
        <w:t>pour le</w:t>
      </w:r>
      <w:r w:rsidRPr="0057789C">
        <w:rPr>
          <w:rFonts w:eastAsia="Malgun Gothic"/>
          <w:lang w:val="fr-FR"/>
        </w:rPr>
        <w:t xml:space="preserve"> soutien </w:t>
      </w:r>
      <w:r w:rsidR="007C4477">
        <w:rPr>
          <w:rFonts w:eastAsia="Malgun Gothic"/>
          <w:lang w:val="fr-FR"/>
        </w:rPr>
        <w:t xml:space="preserve">reçu par </w:t>
      </w:r>
      <w:r w:rsidRPr="0057789C">
        <w:rPr>
          <w:rFonts w:eastAsia="Malgun Gothic"/>
          <w:lang w:val="fr-FR"/>
        </w:rPr>
        <w:t>le Malawi dans la mise en œuvre d</w:t>
      </w:r>
      <w:r w:rsidR="007C4477">
        <w:rPr>
          <w:rFonts w:eastAsia="Malgun Gothic"/>
          <w:lang w:val="fr-FR"/>
        </w:rPr>
        <w:t>e son</w:t>
      </w:r>
      <w:r w:rsidRPr="0057789C">
        <w:rPr>
          <w:rFonts w:eastAsia="Malgun Gothic"/>
          <w:lang w:val="fr-FR"/>
        </w:rPr>
        <w:t xml:space="preserve"> projet d</w:t>
      </w:r>
      <w:r w:rsidR="00923E72">
        <w:rPr>
          <w:rFonts w:eastAsia="Malgun Gothic"/>
          <w:lang w:val="fr-FR"/>
        </w:rPr>
        <w:t>’</w:t>
      </w:r>
      <w:r w:rsidRPr="0057789C">
        <w:rPr>
          <w:rFonts w:eastAsia="Malgun Gothic"/>
          <w:lang w:val="fr-FR"/>
        </w:rPr>
        <w:t>assistance internationale malgré les difficultés liées à la pandémie de COVID</w:t>
      </w:r>
      <w:r>
        <w:rPr>
          <w:rFonts w:eastAsia="Malgun Gothic"/>
          <w:lang w:val="fr-FR"/>
        </w:rPr>
        <w:noBreakHyphen/>
      </w:r>
      <w:r w:rsidRPr="0057789C">
        <w:rPr>
          <w:rFonts w:eastAsia="Malgun Gothic"/>
          <w:lang w:val="fr-FR"/>
        </w:rPr>
        <w:t>19</w:t>
      </w:r>
      <w:r w:rsidR="00DC7ECE">
        <w:rPr>
          <w:rFonts w:eastAsia="Malgun Gothic"/>
          <w:lang w:val="fr-FR"/>
        </w:rPr>
        <w:t>,</w:t>
      </w:r>
      <w:r w:rsidR="009F4FAF">
        <w:rPr>
          <w:rFonts w:eastAsia="Malgun Gothic"/>
          <w:lang w:val="fr-FR"/>
        </w:rPr>
        <w:t xml:space="preserve"> </w:t>
      </w:r>
      <w:r w:rsidRPr="0057789C">
        <w:rPr>
          <w:rFonts w:eastAsia="Malgun Gothic"/>
          <w:lang w:val="fr-FR"/>
        </w:rPr>
        <w:t>qui avai</w:t>
      </w:r>
      <w:r w:rsidR="00B70505">
        <w:rPr>
          <w:rFonts w:eastAsia="Malgun Gothic"/>
          <w:lang w:val="fr-FR"/>
        </w:rPr>
        <w:t>en</w:t>
      </w:r>
      <w:r w:rsidRPr="0057789C">
        <w:rPr>
          <w:rFonts w:eastAsia="Malgun Gothic"/>
          <w:lang w:val="fr-FR"/>
        </w:rPr>
        <w:t xml:space="preserve">t empêché les grands rassemblements de communautés. Sans </w:t>
      </w:r>
      <w:r w:rsidR="007C4477">
        <w:rPr>
          <w:rFonts w:eastAsia="Malgun Gothic"/>
          <w:lang w:val="fr-FR"/>
        </w:rPr>
        <w:t>ces</w:t>
      </w:r>
      <w:r w:rsidRPr="0057789C">
        <w:rPr>
          <w:rFonts w:eastAsia="Malgun Gothic"/>
          <w:lang w:val="fr-FR"/>
        </w:rPr>
        <w:t xml:space="preserve"> rassemblement</w:t>
      </w:r>
      <w:r w:rsidR="007C4477">
        <w:rPr>
          <w:rFonts w:eastAsia="Malgun Gothic"/>
          <w:lang w:val="fr-FR"/>
        </w:rPr>
        <w:t>s</w:t>
      </w:r>
      <w:r w:rsidRPr="0057789C">
        <w:rPr>
          <w:rFonts w:eastAsia="Malgun Gothic"/>
          <w:lang w:val="fr-FR"/>
        </w:rPr>
        <w:t>, il était très difficile de sauvegarder le patrimoine culturel immatériel. Cependant, le Secrétariat s</w:t>
      </w:r>
      <w:r w:rsidR="00923E72">
        <w:rPr>
          <w:rFonts w:eastAsia="Malgun Gothic"/>
          <w:lang w:val="fr-FR"/>
        </w:rPr>
        <w:t>’</w:t>
      </w:r>
      <w:r w:rsidRPr="0057789C">
        <w:rPr>
          <w:rFonts w:eastAsia="Malgun Gothic"/>
          <w:lang w:val="fr-FR"/>
        </w:rPr>
        <w:t>était montré compréhensif et, grâce à l</w:t>
      </w:r>
      <w:r w:rsidR="00923E72">
        <w:rPr>
          <w:rFonts w:eastAsia="Malgun Gothic"/>
          <w:lang w:val="fr-FR"/>
        </w:rPr>
        <w:t>’</w:t>
      </w:r>
      <w:r w:rsidRPr="0057789C">
        <w:rPr>
          <w:rFonts w:eastAsia="Malgun Gothic"/>
          <w:lang w:val="fr-FR"/>
        </w:rPr>
        <w:t>extension du projet, le Malawi pouvait mettre en œuvre ce projet avec succès.</w:t>
      </w:r>
    </w:p>
    <w:p w14:paraId="3FD21A6B" w14:textId="547B29A5" w:rsidR="0057789C" w:rsidRDefault="0057789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7789C">
        <w:rPr>
          <w:rFonts w:eastAsia="Malgun Gothic"/>
          <w:lang w:val="fr-FR"/>
        </w:rPr>
        <w:t xml:space="preserve">La </w:t>
      </w:r>
      <w:r w:rsidR="007C4477" w:rsidRPr="00702497">
        <w:rPr>
          <w:rFonts w:eastAsia="Malgun Gothic"/>
          <w:b/>
          <w:bCs/>
          <w:lang w:val="fr-FR"/>
        </w:rPr>
        <w:t>ministre de la Culture de l</w:t>
      </w:r>
      <w:r w:rsidR="00923E72">
        <w:rPr>
          <w:rFonts w:eastAsia="Malgun Gothic"/>
          <w:b/>
          <w:bCs/>
          <w:lang w:val="fr-FR"/>
        </w:rPr>
        <w:t>’</w:t>
      </w:r>
      <w:r w:rsidR="007C4477" w:rsidRPr="00702497">
        <w:rPr>
          <w:rFonts w:eastAsia="Malgun Gothic"/>
          <w:b/>
          <w:bCs/>
          <w:lang w:val="fr-FR"/>
        </w:rPr>
        <w:t>Albanie</w:t>
      </w:r>
      <w:r w:rsidR="007C4477" w:rsidRPr="006E3034">
        <w:rPr>
          <w:rFonts w:eastAsia="Malgun Gothic"/>
          <w:lang w:val="fr-FR"/>
        </w:rPr>
        <w:t>,</w:t>
      </w:r>
      <w:r w:rsidR="007C4477" w:rsidRPr="00702497">
        <w:rPr>
          <w:rFonts w:eastAsia="Malgun Gothic"/>
          <w:b/>
          <w:bCs/>
          <w:lang w:val="fr-FR"/>
        </w:rPr>
        <w:t xml:space="preserve"> </w:t>
      </w:r>
      <w:r w:rsidR="00BE38E4" w:rsidRPr="006E3034">
        <w:rPr>
          <w:rFonts w:eastAsia="Malgun Gothic"/>
          <w:lang w:val="fr-FR"/>
        </w:rPr>
        <w:t>S. E</w:t>
      </w:r>
      <w:r w:rsidR="00F846ED" w:rsidRPr="006E3034">
        <w:rPr>
          <w:rFonts w:eastAsia="Malgun Gothic"/>
          <w:lang w:val="fr-FR"/>
        </w:rPr>
        <w:t>xc</w:t>
      </w:r>
      <w:r w:rsidR="00BE38E4" w:rsidRPr="006E3034">
        <w:rPr>
          <w:rFonts w:eastAsia="Malgun Gothic"/>
          <w:lang w:val="fr-FR"/>
        </w:rPr>
        <w:t xml:space="preserve">. </w:t>
      </w:r>
      <w:r w:rsidR="00B70505" w:rsidRPr="006E3034">
        <w:rPr>
          <w:rFonts w:eastAsia="Malgun Gothic"/>
          <w:lang w:val="fr-FR"/>
        </w:rPr>
        <w:t>M</w:t>
      </w:r>
      <w:r w:rsidR="00B70505" w:rsidRPr="006E3034">
        <w:rPr>
          <w:rFonts w:eastAsia="Malgun Gothic"/>
          <w:vertAlign w:val="superscript"/>
          <w:lang w:val="fr-FR"/>
        </w:rPr>
        <w:t>me</w:t>
      </w:r>
      <w:r w:rsidR="00B70505" w:rsidRPr="006E3034">
        <w:rPr>
          <w:rFonts w:eastAsia="Malgun Gothic"/>
          <w:lang w:val="fr-FR"/>
        </w:rPr>
        <w:t> </w:t>
      </w:r>
      <w:proofErr w:type="spellStart"/>
      <w:r w:rsidR="007C4477" w:rsidRPr="006E3034">
        <w:rPr>
          <w:rFonts w:eastAsia="Malgun Gothic"/>
          <w:lang w:val="fr-FR"/>
        </w:rPr>
        <w:t>Elva</w:t>
      </w:r>
      <w:proofErr w:type="spellEnd"/>
      <w:r w:rsidR="007C4477" w:rsidRPr="006E3034">
        <w:rPr>
          <w:rFonts w:eastAsia="Malgun Gothic"/>
          <w:lang w:val="fr-FR"/>
        </w:rPr>
        <w:t xml:space="preserve"> </w:t>
      </w:r>
      <w:proofErr w:type="spellStart"/>
      <w:r w:rsidR="007C4477" w:rsidRPr="006E3034">
        <w:rPr>
          <w:rFonts w:eastAsia="Malgun Gothic"/>
          <w:lang w:val="fr-FR"/>
        </w:rPr>
        <w:t>Margariti</w:t>
      </w:r>
      <w:proofErr w:type="spellEnd"/>
      <w:r w:rsidR="007C4477">
        <w:rPr>
          <w:rFonts w:eastAsia="Malgun Gothic"/>
          <w:lang w:val="fr-FR"/>
        </w:rPr>
        <w:t xml:space="preserve"> </w:t>
      </w:r>
      <w:r w:rsidRPr="0057789C">
        <w:rPr>
          <w:rFonts w:eastAsia="Malgun Gothic"/>
          <w:lang w:val="fr-FR"/>
        </w:rPr>
        <w:t>a félicité le Maroc pour l</w:t>
      </w:r>
      <w:r w:rsidR="00923E72">
        <w:rPr>
          <w:rFonts w:eastAsia="Malgun Gothic"/>
          <w:lang w:val="fr-FR"/>
        </w:rPr>
        <w:t>’</w:t>
      </w:r>
      <w:r w:rsidRPr="0057789C">
        <w:rPr>
          <w:rFonts w:eastAsia="Malgun Gothic"/>
          <w:lang w:val="fr-FR"/>
        </w:rPr>
        <w:t>excellente organisation de cet</w:t>
      </w:r>
      <w:r w:rsidR="007C4477">
        <w:rPr>
          <w:rFonts w:eastAsia="Malgun Gothic"/>
          <w:lang w:val="fr-FR"/>
        </w:rPr>
        <w:t>te réunion</w:t>
      </w:r>
      <w:r w:rsidRPr="0057789C">
        <w:rPr>
          <w:rFonts w:eastAsia="Malgun Gothic"/>
          <w:lang w:val="fr-FR"/>
        </w:rPr>
        <w:t>. C</w:t>
      </w:r>
      <w:r w:rsidR="00923E72">
        <w:rPr>
          <w:rFonts w:eastAsia="Malgun Gothic"/>
          <w:lang w:val="fr-FR"/>
        </w:rPr>
        <w:t>’</w:t>
      </w:r>
      <w:r w:rsidRPr="0057789C">
        <w:rPr>
          <w:rFonts w:eastAsia="Malgun Gothic"/>
          <w:lang w:val="fr-FR"/>
        </w:rPr>
        <w:t xml:space="preserve">était particulièrement agréable pour tout le monde de se retrouver en </w:t>
      </w:r>
      <w:r w:rsidR="00A92820">
        <w:rPr>
          <w:rFonts w:eastAsia="Malgun Gothic"/>
          <w:lang w:val="fr-FR"/>
        </w:rPr>
        <w:t>p</w:t>
      </w:r>
      <w:r w:rsidR="00A578FD">
        <w:rPr>
          <w:rFonts w:eastAsia="Malgun Gothic"/>
          <w:lang w:val="fr-FR"/>
        </w:rPr>
        <w:t>ersonne</w:t>
      </w:r>
      <w:r w:rsidR="00A92820">
        <w:rPr>
          <w:rFonts w:eastAsia="Malgun Gothic"/>
          <w:lang w:val="fr-FR"/>
        </w:rPr>
        <w:t xml:space="preserve"> </w:t>
      </w:r>
      <w:r w:rsidRPr="0057789C">
        <w:rPr>
          <w:rFonts w:eastAsia="Malgun Gothic"/>
          <w:lang w:val="fr-FR"/>
        </w:rPr>
        <w:t>au sein de ce Comité après trois ans. Le ministère albanais de la Culture faisait du patrimoine culturel immatériel l</w:t>
      </w:r>
      <w:r w:rsidR="00923E72">
        <w:rPr>
          <w:rFonts w:eastAsia="Malgun Gothic"/>
          <w:lang w:val="fr-FR"/>
        </w:rPr>
        <w:t>’</w:t>
      </w:r>
      <w:r w:rsidRPr="0057789C">
        <w:rPr>
          <w:rFonts w:eastAsia="Malgun Gothic"/>
          <w:lang w:val="fr-FR"/>
        </w:rPr>
        <w:t xml:space="preserve">une de ses priorités. Il </w:t>
      </w:r>
      <w:r w:rsidR="001F1CF7">
        <w:rPr>
          <w:rFonts w:eastAsia="Malgun Gothic"/>
          <w:lang w:val="fr-FR"/>
        </w:rPr>
        <w:t xml:space="preserve">avait </w:t>
      </w:r>
      <w:r w:rsidRPr="0057789C">
        <w:rPr>
          <w:rFonts w:eastAsia="Malgun Gothic"/>
          <w:lang w:val="fr-FR"/>
        </w:rPr>
        <w:t>réalis</w:t>
      </w:r>
      <w:r w:rsidR="001F1CF7">
        <w:rPr>
          <w:rFonts w:eastAsia="Malgun Gothic"/>
          <w:lang w:val="fr-FR"/>
        </w:rPr>
        <w:t>é</w:t>
      </w:r>
      <w:r w:rsidRPr="0057789C">
        <w:rPr>
          <w:rFonts w:eastAsia="Malgun Gothic"/>
          <w:lang w:val="fr-FR"/>
        </w:rPr>
        <w:t xml:space="preserve"> des progrès significatifs dans les activités communautaires visant à renforcer le développement durable. Il avait finalisé le Registre national du patrimoine culturel immatériel avec le soutien du Fonds d</w:t>
      </w:r>
      <w:r w:rsidR="00923E72">
        <w:rPr>
          <w:rFonts w:eastAsia="Malgun Gothic"/>
          <w:lang w:val="fr-FR"/>
        </w:rPr>
        <w:t>’</w:t>
      </w:r>
      <w:r w:rsidRPr="0057789C">
        <w:rPr>
          <w:rFonts w:eastAsia="Malgun Gothic"/>
          <w:lang w:val="fr-FR"/>
        </w:rPr>
        <w:t xml:space="preserve">assistance internationale, ce pour quoi le </w:t>
      </w:r>
      <w:r w:rsidR="001F1CF7">
        <w:rPr>
          <w:rFonts w:eastAsia="Malgun Gothic"/>
          <w:lang w:val="fr-FR"/>
        </w:rPr>
        <w:t>m</w:t>
      </w:r>
      <w:r w:rsidRPr="0057789C">
        <w:rPr>
          <w:rFonts w:eastAsia="Malgun Gothic"/>
          <w:lang w:val="fr-FR"/>
        </w:rPr>
        <w:t>inistère remerciait officiellement le Secrétariat. Parallèlement, l</w:t>
      </w:r>
      <w:r w:rsidR="00923E72">
        <w:rPr>
          <w:rFonts w:eastAsia="Malgun Gothic"/>
          <w:lang w:val="fr-FR"/>
        </w:rPr>
        <w:t>’</w:t>
      </w:r>
      <w:r w:rsidRPr="0057789C">
        <w:rPr>
          <w:rFonts w:eastAsia="Malgun Gothic"/>
          <w:lang w:val="fr-FR"/>
        </w:rPr>
        <w:t xml:space="preserve">Albanie ne cessait de former de jeunes experts à la sauvegarde et à la transmission du patrimoine culturel immatériel. Le Gouvernement albanais avait lancé un programme national intitulé </w:t>
      </w:r>
      <w:r w:rsidR="001F1CF7">
        <w:rPr>
          <w:rFonts w:eastAsia="Malgun Gothic"/>
          <w:lang w:val="fr-FR"/>
        </w:rPr>
        <w:t>« </w:t>
      </w:r>
      <w:r w:rsidRPr="0057789C">
        <w:rPr>
          <w:rFonts w:eastAsia="Malgun Gothic"/>
          <w:lang w:val="fr-FR"/>
        </w:rPr>
        <w:t>Art et artisanat</w:t>
      </w:r>
      <w:r w:rsidR="001F1CF7">
        <w:rPr>
          <w:rFonts w:eastAsia="Malgun Gothic"/>
          <w:lang w:val="fr-FR"/>
        </w:rPr>
        <w:t> »</w:t>
      </w:r>
      <w:r w:rsidR="00FA4B20">
        <w:rPr>
          <w:rFonts w:eastAsia="Malgun Gothic"/>
          <w:lang w:val="fr-FR"/>
        </w:rPr>
        <w:t>,</w:t>
      </w:r>
      <w:r w:rsidRPr="0057789C">
        <w:rPr>
          <w:rFonts w:eastAsia="Malgun Gothic"/>
          <w:lang w:val="fr-FR"/>
        </w:rPr>
        <w:t xml:space="preserve"> qui, entre autres</w:t>
      </w:r>
      <w:r w:rsidR="001F1CF7">
        <w:rPr>
          <w:rFonts w:eastAsia="Malgun Gothic"/>
          <w:lang w:val="fr-FR"/>
        </w:rPr>
        <w:t xml:space="preserve"> objectifs</w:t>
      </w:r>
      <w:r w:rsidRPr="0057789C">
        <w:rPr>
          <w:rFonts w:eastAsia="Malgun Gothic"/>
          <w:lang w:val="fr-FR"/>
        </w:rPr>
        <w:t>, visait à soutenir la transmission du patrimoine culturel immatériel dans les écoles par le biais d</w:t>
      </w:r>
      <w:r w:rsidR="00923E72">
        <w:rPr>
          <w:rFonts w:eastAsia="Malgun Gothic"/>
          <w:lang w:val="fr-FR"/>
        </w:rPr>
        <w:t>’</w:t>
      </w:r>
      <w:r w:rsidRPr="0057789C">
        <w:rPr>
          <w:rFonts w:eastAsia="Malgun Gothic"/>
          <w:lang w:val="fr-FR"/>
        </w:rPr>
        <w:t>activités d</w:t>
      </w:r>
      <w:r w:rsidR="00923E72">
        <w:rPr>
          <w:rFonts w:eastAsia="Malgun Gothic"/>
          <w:lang w:val="fr-FR"/>
        </w:rPr>
        <w:t>’</w:t>
      </w:r>
      <w:r w:rsidRPr="0057789C">
        <w:rPr>
          <w:rFonts w:eastAsia="Malgun Gothic"/>
          <w:lang w:val="fr-FR"/>
        </w:rPr>
        <w:t>apprentissage formelles et non formelles. Dans le cadre</w:t>
      </w:r>
      <w:r w:rsidR="00B70505">
        <w:rPr>
          <w:rFonts w:eastAsia="Malgun Gothic"/>
          <w:lang w:val="fr-FR"/>
        </w:rPr>
        <w:t xml:space="preserve"> </w:t>
      </w:r>
      <w:r w:rsidR="00CA4599">
        <w:rPr>
          <w:rFonts w:eastAsia="Malgun Gothic"/>
          <w:lang w:val="fr-FR"/>
        </w:rPr>
        <w:t xml:space="preserve">de la </w:t>
      </w:r>
      <w:r w:rsidRPr="0057789C">
        <w:rPr>
          <w:rFonts w:eastAsia="Malgun Gothic"/>
          <w:lang w:val="fr-FR"/>
        </w:rPr>
        <w:t>politique</w:t>
      </w:r>
      <w:r w:rsidR="00CA4599">
        <w:rPr>
          <w:rFonts w:eastAsia="Malgun Gothic"/>
          <w:lang w:val="fr-FR"/>
        </w:rPr>
        <w:t xml:space="preserve"> culturelle</w:t>
      </w:r>
      <w:r w:rsidRPr="0057789C">
        <w:rPr>
          <w:rFonts w:eastAsia="Malgun Gothic"/>
          <w:lang w:val="fr-FR"/>
        </w:rPr>
        <w:t>, le patrimoine culturel immatériel faisait partie intégrante de la stratégie de revitalisation du patrimoine culturel en Albanie. Dans l</w:t>
      </w:r>
      <w:r w:rsidR="00923E72">
        <w:rPr>
          <w:rFonts w:eastAsia="Malgun Gothic"/>
          <w:lang w:val="fr-FR"/>
        </w:rPr>
        <w:t>’</w:t>
      </w:r>
      <w:r w:rsidRPr="0057789C">
        <w:rPr>
          <w:rFonts w:eastAsia="Malgun Gothic"/>
          <w:lang w:val="fr-FR"/>
        </w:rPr>
        <w:t xml:space="preserve">esprit de la Convention, le </w:t>
      </w:r>
      <w:r w:rsidR="001F1CF7">
        <w:rPr>
          <w:rFonts w:eastAsia="Malgun Gothic"/>
          <w:lang w:val="fr-FR"/>
        </w:rPr>
        <w:t>m</w:t>
      </w:r>
      <w:r w:rsidRPr="0057789C">
        <w:rPr>
          <w:rFonts w:eastAsia="Malgun Gothic"/>
          <w:lang w:val="fr-FR"/>
        </w:rPr>
        <w:t xml:space="preserve">inistère </w:t>
      </w:r>
      <w:r w:rsidR="00CA4599">
        <w:rPr>
          <w:rFonts w:eastAsia="Malgun Gothic"/>
          <w:lang w:val="fr-FR"/>
        </w:rPr>
        <w:t>s</w:t>
      </w:r>
      <w:r w:rsidR="00923E72">
        <w:rPr>
          <w:rFonts w:eastAsia="Malgun Gothic"/>
          <w:lang w:val="fr-FR"/>
        </w:rPr>
        <w:t>’</w:t>
      </w:r>
      <w:r w:rsidR="00CA4599">
        <w:rPr>
          <w:rFonts w:eastAsia="Malgun Gothic"/>
          <w:lang w:val="fr-FR"/>
        </w:rPr>
        <w:t xml:space="preserve">était engagé </w:t>
      </w:r>
      <w:r w:rsidRPr="0057789C">
        <w:rPr>
          <w:rFonts w:eastAsia="Malgun Gothic"/>
          <w:lang w:val="fr-FR"/>
        </w:rPr>
        <w:t>d</w:t>
      </w:r>
      <w:r w:rsidR="00CA4599">
        <w:rPr>
          <w:rFonts w:eastAsia="Malgun Gothic"/>
          <w:lang w:val="fr-FR"/>
        </w:rPr>
        <w:t>ans de</w:t>
      </w:r>
      <w:r w:rsidRPr="0057789C">
        <w:rPr>
          <w:rFonts w:eastAsia="Malgun Gothic"/>
          <w:lang w:val="fr-FR"/>
        </w:rPr>
        <w:t xml:space="preserve"> nouvelles collaborations </w:t>
      </w:r>
      <w:r w:rsidR="00CA4599">
        <w:rPr>
          <w:rFonts w:eastAsia="Malgun Gothic"/>
          <w:lang w:val="fr-FR"/>
        </w:rPr>
        <w:t>en vue de la soumission de</w:t>
      </w:r>
      <w:r w:rsidRPr="0057789C">
        <w:rPr>
          <w:rFonts w:eastAsia="Malgun Gothic"/>
          <w:lang w:val="fr-FR"/>
        </w:rPr>
        <w:t xml:space="preserve"> dossiers multinationaux. En particulier dans le contexte actuel, il croyait </w:t>
      </w:r>
      <w:r w:rsidR="00CA4599">
        <w:rPr>
          <w:rFonts w:eastAsia="Malgun Gothic"/>
          <w:lang w:val="fr-FR"/>
        </w:rPr>
        <w:t xml:space="preserve">résolument </w:t>
      </w:r>
      <w:r w:rsidRPr="0057789C">
        <w:rPr>
          <w:rFonts w:eastAsia="Malgun Gothic"/>
          <w:lang w:val="fr-FR"/>
        </w:rPr>
        <w:t xml:space="preserve">que les dossiers multinationaux étaient une valeur ajoutée pour accroître le dialogue et renforcer la coopération et la paix. </w:t>
      </w:r>
      <w:r w:rsidR="00E715F8">
        <w:rPr>
          <w:rFonts w:eastAsia="Malgun Gothic"/>
          <w:lang w:val="fr-FR"/>
        </w:rPr>
        <w:t>L</w:t>
      </w:r>
      <w:r w:rsidRPr="0057789C">
        <w:rPr>
          <w:rFonts w:eastAsia="Malgun Gothic"/>
          <w:lang w:val="fr-FR"/>
        </w:rPr>
        <w:t>a délégation a souligné l</w:t>
      </w:r>
      <w:r w:rsidR="00923E72">
        <w:rPr>
          <w:rFonts w:eastAsia="Malgun Gothic"/>
          <w:lang w:val="fr-FR"/>
        </w:rPr>
        <w:t>’</w:t>
      </w:r>
      <w:r w:rsidRPr="0057789C">
        <w:rPr>
          <w:rFonts w:eastAsia="Malgun Gothic"/>
          <w:lang w:val="fr-FR"/>
        </w:rPr>
        <w:t>importance d</w:t>
      </w:r>
      <w:r w:rsidR="00923E72">
        <w:rPr>
          <w:rFonts w:eastAsia="Malgun Gothic"/>
          <w:lang w:val="fr-FR"/>
        </w:rPr>
        <w:t>’</w:t>
      </w:r>
      <w:r w:rsidRPr="0057789C">
        <w:rPr>
          <w:rFonts w:eastAsia="Malgun Gothic"/>
          <w:lang w:val="fr-FR"/>
        </w:rPr>
        <w:t>être présente</w:t>
      </w:r>
      <w:r w:rsidR="00E715F8">
        <w:rPr>
          <w:rFonts w:eastAsia="Malgun Gothic"/>
          <w:lang w:val="fr-FR"/>
        </w:rPr>
        <w:t xml:space="preserve"> à cette session</w:t>
      </w:r>
      <w:r w:rsidRPr="0057789C">
        <w:rPr>
          <w:rFonts w:eastAsia="Malgun Gothic"/>
          <w:lang w:val="fr-FR"/>
        </w:rPr>
        <w:t xml:space="preserve">, non seulement </w:t>
      </w:r>
      <w:r w:rsidR="003E757A">
        <w:rPr>
          <w:rFonts w:eastAsia="Malgun Gothic"/>
          <w:lang w:val="fr-FR"/>
        </w:rPr>
        <w:t>parce que c</w:t>
      </w:r>
      <w:r w:rsidR="00923E72">
        <w:rPr>
          <w:rFonts w:eastAsia="Malgun Gothic"/>
          <w:lang w:val="fr-FR"/>
        </w:rPr>
        <w:t>’</w:t>
      </w:r>
      <w:r w:rsidR="003E757A">
        <w:rPr>
          <w:rFonts w:eastAsia="Malgun Gothic"/>
          <w:lang w:val="fr-FR"/>
        </w:rPr>
        <w:t xml:space="preserve">était </w:t>
      </w:r>
      <w:r w:rsidRPr="0057789C">
        <w:rPr>
          <w:rFonts w:eastAsia="Malgun Gothic"/>
          <w:lang w:val="fr-FR"/>
        </w:rPr>
        <w:t>une source de motivation pour se rencontrer en</w:t>
      </w:r>
      <w:r w:rsidR="00A92820">
        <w:rPr>
          <w:rFonts w:eastAsia="Malgun Gothic"/>
          <w:lang w:val="fr-FR"/>
        </w:rPr>
        <w:t xml:space="preserve"> </w:t>
      </w:r>
      <w:r w:rsidR="00A578FD">
        <w:rPr>
          <w:bCs/>
          <w:lang w:val="fr-FR"/>
        </w:rPr>
        <w:t>personne</w:t>
      </w:r>
      <w:r w:rsidRPr="0057789C">
        <w:rPr>
          <w:rFonts w:eastAsia="Malgun Gothic"/>
          <w:lang w:val="fr-FR"/>
        </w:rPr>
        <w:t xml:space="preserve">, mais </w:t>
      </w:r>
      <w:r w:rsidR="00CA4599" w:rsidRPr="00CA4599">
        <w:rPr>
          <w:rFonts w:eastAsia="Malgun Gothic"/>
          <w:color w:val="000000" w:themeColor="text1"/>
          <w:lang w:val="fr-FR"/>
        </w:rPr>
        <w:t>également</w:t>
      </w:r>
      <w:r w:rsidR="00CA4599">
        <w:rPr>
          <w:rFonts w:eastAsia="Malgun Gothic"/>
          <w:color w:val="000000" w:themeColor="text1"/>
          <w:lang w:val="fr-FR"/>
        </w:rPr>
        <w:t xml:space="preserve"> </w:t>
      </w:r>
      <w:r w:rsidRPr="0057789C">
        <w:rPr>
          <w:rFonts w:eastAsia="Malgun Gothic"/>
          <w:lang w:val="fr-FR"/>
        </w:rPr>
        <w:t xml:space="preserve">pour partager les bonnes pratiques, et comme un </w:t>
      </w:r>
      <w:r w:rsidR="00E715F8">
        <w:rPr>
          <w:rFonts w:eastAsia="Malgun Gothic"/>
          <w:lang w:val="fr-FR"/>
        </w:rPr>
        <w:t>signe d</w:t>
      </w:r>
      <w:r w:rsidR="00923E72">
        <w:rPr>
          <w:rFonts w:eastAsia="Malgun Gothic"/>
          <w:lang w:val="fr-FR"/>
        </w:rPr>
        <w:t>’</w:t>
      </w:r>
      <w:r w:rsidRPr="0057789C">
        <w:rPr>
          <w:rFonts w:eastAsia="Malgun Gothic"/>
          <w:lang w:val="fr-FR"/>
        </w:rPr>
        <w:t>engagement à travailler ensemble en ces temps difficiles d</w:t>
      </w:r>
      <w:r w:rsidR="00923E72">
        <w:rPr>
          <w:rFonts w:eastAsia="Malgun Gothic"/>
          <w:lang w:val="fr-FR"/>
        </w:rPr>
        <w:t>’</w:t>
      </w:r>
      <w:r w:rsidRPr="0057789C">
        <w:rPr>
          <w:rFonts w:eastAsia="Malgun Gothic"/>
          <w:lang w:val="fr-FR"/>
        </w:rPr>
        <w:t>incertitude. Cela prouvait une fois de plus que la culture est ce qui rassemble</w:t>
      </w:r>
      <w:r w:rsidR="00E715F8">
        <w:rPr>
          <w:rFonts w:eastAsia="Malgun Gothic"/>
          <w:lang w:val="fr-FR"/>
        </w:rPr>
        <w:t xml:space="preserve"> les êtres humains</w:t>
      </w:r>
      <w:r w:rsidRPr="0057789C">
        <w:rPr>
          <w:rFonts w:eastAsia="Malgun Gothic"/>
          <w:lang w:val="fr-FR"/>
        </w:rPr>
        <w:t>.</w:t>
      </w:r>
    </w:p>
    <w:p w14:paraId="111842DB" w14:textId="646D6465" w:rsidR="001F1CF7" w:rsidRDefault="001F1CF7"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1F1CF7">
        <w:rPr>
          <w:rFonts w:eastAsia="Malgun Gothic"/>
          <w:b/>
          <w:bCs/>
          <w:lang w:val="fr-FR"/>
        </w:rPr>
        <w:t>Président</w:t>
      </w:r>
      <w:r>
        <w:rPr>
          <w:rFonts w:eastAsia="Malgun Gothic"/>
          <w:lang w:val="fr-FR"/>
        </w:rPr>
        <w:t xml:space="preserve"> a remercié l</w:t>
      </w:r>
      <w:r w:rsidR="00CA4599">
        <w:rPr>
          <w:rFonts w:eastAsia="Malgun Gothic"/>
          <w:lang w:val="fr-FR"/>
        </w:rPr>
        <w:t>a</w:t>
      </w:r>
      <w:r>
        <w:rPr>
          <w:rFonts w:eastAsia="Malgun Gothic"/>
          <w:lang w:val="fr-FR"/>
        </w:rPr>
        <w:t xml:space="preserve"> ministre de la Culture d</w:t>
      </w:r>
      <w:r w:rsidR="00CA4599">
        <w:rPr>
          <w:rFonts w:eastAsia="Malgun Gothic"/>
          <w:lang w:val="fr-FR"/>
        </w:rPr>
        <w:t>e l</w:t>
      </w:r>
      <w:r w:rsidR="00923E72">
        <w:rPr>
          <w:rFonts w:eastAsia="Malgun Gothic"/>
          <w:lang w:val="fr-FR"/>
        </w:rPr>
        <w:t>’</w:t>
      </w:r>
      <w:r>
        <w:rPr>
          <w:rFonts w:eastAsia="Malgun Gothic"/>
          <w:lang w:val="fr-FR"/>
        </w:rPr>
        <w:t>Albanie de faire l</w:t>
      </w:r>
      <w:r w:rsidR="00923E72">
        <w:rPr>
          <w:rFonts w:eastAsia="Malgun Gothic"/>
          <w:lang w:val="fr-FR"/>
        </w:rPr>
        <w:t>’</w:t>
      </w:r>
      <w:r>
        <w:rPr>
          <w:rFonts w:eastAsia="Malgun Gothic"/>
          <w:lang w:val="fr-FR"/>
        </w:rPr>
        <w:t>honneur au Comité de sa présence.</w:t>
      </w:r>
    </w:p>
    <w:p w14:paraId="13D1D743" w14:textId="714A0552" w:rsidR="001F1CF7" w:rsidRPr="00CA4599" w:rsidRDefault="006E194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E1945">
        <w:rPr>
          <w:rFonts w:eastAsia="Malgun Gothic"/>
          <w:lang w:val="fr-FR"/>
        </w:rPr>
        <w:t xml:space="preserve">La délégation de </w:t>
      </w:r>
      <w:r w:rsidRPr="006E1945">
        <w:rPr>
          <w:rFonts w:eastAsia="Malgun Gothic"/>
          <w:b/>
          <w:bCs/>
          <w:lang w:val="fr-FR"/>
        </w:rPr>
        <w:t>Cuba</w:t>
      </w:r>
      <w:r w:rsidRPr="006E1945">
        <w:rPr>
          <w:rFonts w:eastAsia="Malgun Gothic"/>
          <w:lang w:val="fr-FR"/>
        </w:rPr>
        <w:t xml:space="preserve"> a remercié le Maroc pour son hospitalité et son merveilleux gala</w:t>
      </w:r>
      <w:r w:rsidR="00FA4B20">
        <w:rPr>
          <w:rFonts w:eastAsia="Malgun Gothic"/>
          <w:lang w:val="fr-FR"/>
        </w:rPr>
        <w:t>,</w:t>
      </w:r>
      <w:r w:rsidRPr="006E1945">
        <w:rPr>
          <w:rFonts w:eastAsia="Malgun Gothic"/>
          <w:lang w:val="fr-FR"/>
        </w:rPr>
        <w:t xml:space="preserve"> qui était une fenêtre sur le monde arabe et africain, en souhaitant au Président beaucoup de succès. Elle a remercié le Secrétaire et le Secrétariat pour le rapport de grande qualité ainsi que pour tous les détails et le temps </w:t>
      </w:r>
      <w:r w:rsidR="00CA4599">
        <w:rPr>
          <w:rFonts w:eastAsia="Malgun Gothic"/>
          <w:lang w:val="fr-FR"/>
        </w:rPr>
        <w:t xml:space="preserve">pris pour les </w:t>
      </w:r>
      <w:r>
        <w:rPr>
          <w:rFonts w:eastAsia="Malgun Gothic"/>
          <w:lang w:val="fr-FR"/>
        </w:rPr>
        <w:t>explication</w:t>
      </w:r>
      <w:r w:rsidR="00CA4599">
        <w:rPr>
          <w:rFonts w:eastAsia="Malgun Gothic"/>
          <w:lang w:val="fr-FR"/>
        </w:rPr>
        <w:t>s</w:t>
      </w:r>
      <w:r w:rsidRPr="006E1945">
        <w:rPr>
          <w:rFonts w:eastAsia="Malgun Gothic"/>
          <w:lang w:val="fr-FR"/>
        </w:rPr>
        <w:t xml:space="preserve">. Pour Cuba, </w:t>
      </w:r>
      <w:r w:rsidR="00CA4599">
        <w:rPr>
          <w:rFonts w:eastAsia="Malgun Gothic"/>
          <w:lang w:val="fr-FR"/>
        </w:rPr>
        <w:t xml:space="preserve">dans ce rapport, il y avait </w:t>
      </w:r>
      <w:r w:rsidRPr="006E1945">
        <w:rPr>
          <w:rFonts w:eastAsia="Malgun Gothic"/>
          <w:lang w:val="fr-FR"/>
        </w:rPr>
        <w:t>trois thèmes clés</w:t>
      </w:r>
      <w:r w:rsidR="003E757A">
        <w:rPr>
          <w:rFonts w:eastAsia="Malgun Gothic"/>
          <w:lang w:val="fr-FR"/>
        </w:rPr>
        <w:t>,</w:t>
      </w:r>
      <w:r w:rsidR="00CA4599">
        <w:rPr>
          <w:rFonts w:eastAsia="Malgun Gothic"/>
          <w:lang w:val="fr-FR"/>
        </w:rPr>
        <w:t xml:space="preserve"> qui concernaient le </w:t>
      </w:r>
      <w:r w:rsidRPr="006E1945">
        <w:rPr>
          <w:rFonts w:eastAsia="Malgun Gothic"/>
          <w:lang w:val="fr-FR"/>
        </w:rPr>
        <w:t>renforcement des capacité</w:t>
      </w:r>
      <w:r w:rsidR="00E715F8">
        <w:rPr>
          <w:rFonts w:eastAsia="Malgun Gothic"/>
          <w:lang w:val="fr-FR"/>
        </w:rPr>
        <w:t>s</w:t>
      </w:r>
      <w:r w:rsidR="003E757A">
        <w:rPr>
          <w:rFonts w:eastAsia="Malgun Gothic"/>
          <w:lang w:val="fr-FR"/>
        </w:rPr>
        <w:t>,</w:t>
      </w:r>
      <w:r w:rsidR="00E715F8">
        <w:rPr>
          <w:rFonts w:eastAsia="Malgun Gothic"/>
          <w:lang w:val="fr-FR"/>
        </w:rPr>
        <w:t xml:space="preserve"> </w:t>
      </w:r>
      <w:r w:rsidR="003E757A">
        <w:rPr>
          <w:rFonts w:eastAsia="Malgun Gothic"/>
          <w:lang w:val="fr-FR"/>
        </w:rPr>
        <w:t>u</w:t>
      </w:r>
      <w:r w:rsidRPr="006E1945">
        <w:rPr>
          <w:rFonts w:eastAsia="Malgun Gothic"/>
          <w:lang w:val="fr-FR"/>
        </w:rPr>
        <w:t>n</w:t>
      </w:r>
      <w:r w:rsidR="00E715F8">
        <w:rPr>
          <w:rFonts w:eastAsia="Malgun Gothic"/>
          <w:lang w:val="fr-FR"/>
        </w:rPr>
        <w:t xml:space="preserve"> élément</w:t>
      </w:r>
      <w:r w:rsidR="003E757A">
        <w:rPr>
          <w:rFonts w:eastAsia="Malgun Gothic"/>
          <w:lang w:val="fr-FR"/>
        </w:rPr>
        <w:t xml:space="preserve"> plus que jamais</w:t>
      </w:r>
      <w:r w:rsidR="00E715F8">
        <w:rPr>
          <w:rFonts w:eastAsia="Malgun Gothic"/>
          <w:lang w:val="fr-FR"/>
        </w:rPr>
        <w:t xml:space="preserve"> essentiel</w:t>
      </w:r>
      <w:r w:rsidRPr="006E1945">
        <w:rPr>
          <w:rFonts w:eastAsia="Malgun Gothic"/>
          <w:lang w:val="fr-FR"/>
        </w:rPr>
        <w:t xml:space="preserve"> </w:t>
      </w:r>
      <w:r w:rsidR="00E715F8">
        <w:rPr>
          <w:rFonts w:eastAsia="Malgun Gothic"/>
          <w:lang w:val="fr-FR"/>
        </w:rPr>
        <w:t>de la stratégie de la Convention alors que son vingtième anniversaire approchait</w:t>
      </w:r>
      <w:r w:rsidRPr="006E1945">
        <w:rPr>
          <w:rFonts w:eastAsia="Malgun Gothic"/>
          <w:lang w:val="fr-FR"/>
        </w:rPr>
        <w:t>. Il était également nécessaire de se concentrer sur la formation des formateurs. À Cuba, il existait un programme de formation des formateurs</w:t>
      </w:r>
      <w:r w:rsidR="00E715F8">
        <w:rPr>
          <w:rFonts w:eastAsia="Malgun Gothic"/>
          <w:lang w:val="fr-FR"/>
        </w:rPr>
        <w:t xml:space="preserve"> dans les communautés</w:t>
      </w:r>
      <w:r w:rsidRPr="006E1945">
        <w:rPr>
          <w:rFonts w:eastAsia="Malgun Gothic"/>
          <w:lang w:val="fr-FR"/>
        </w:rPr>
        <w:t xml:space="preserve"> et,</w:t>
      </w:r>
      <w:r w:rsidR="00E715F8">
        <w:rPr>
          <w:rFonts w:eastAsia="Malgun Gothic"/>
          <w:lang w:val="fr-FR"/>
        </w:rPr>
        <w:t xml:space="preserve"> à ce sujet, </w:t>
      </w:r>
      <w:r w:rsidRPr="006E1945">
        <w:rPr>
          <w:rFonts w:eastAsia="Malgun Gothic"/>
          <w:lang w:val="fr-FR"/>
        </w:rPr>
        <w:t xml:space="preserve">un cours universitaire sur le patrimoine culturel avait été créé. </w:t>
      </w:r>
      <w:r w:rsidR="00E715F8">
        <w:rPr>
          <w:rFonts w:eastAsia="Malgun Gothic"/>
          <w:lang w:val="fr-FR"/>
        </w:rPr>
        <w:t>En outre, l</w:t>
      </w:r>
      <w:r w:rsidR="00923E72">
        <w:rPr>
          <w:rFonts w:eastAsia="Malgun Gothic"/>
          <w:lang w:val="fr-FR"/>
        </w:rPr>
        <w:t>’</w:t>
      </w:r>
      <w:r w:rsidRPr="006E1945">
        <w:rPr>
          <w:rFonts w:eastAsia="Malgun Gothic"/>
          <w:lang w:val="fr-FR"/>
        </w:rPr>
        <w:t>harmonisation avec d</w:t>
      </w:r>
      <w:r w:rsidR="00923E72">
        <w:rPr>
          <w:rFonts w:eastAsia="Malgun Gothic"/>
          <w:lang w:val="fr-FR"/>
        </w:rPr>
        <w:t>’</w:t>
      </w:r>
      <w:r w:rsidRPr="006E1945">
        <w:rPr>
          <w:rFonts w:eastAsia="Malgun Gothic"/>
          <w:lang w:val="fr-FR"/>
        </w:rPr>
        <w:t>autres conventions était également très importante pour Cuba.</w:t>
      </w:r>
      <w:r w:rsidR="00CA4599">
        <w:rPr>
          <w:rFonts w:eastAsia="Malgun Gothic"/>
          <w:lang w:val="fr-FR"/>
        </w:rPr>
        <w:t xml:space="preserve"> L</w:t>
      </w:r>
      <w:r w:rsidRPr="006E1945">
        <w:rPr>
          <w:rFonts w:eastAsia="Malgun Gothic"/>
          <w:lang w:val="fr-FR"/>
        </w:rPr>
        <w:t>e Secrétariat y travaillait et la délégation</w:t>
      </w:r>
      <w:r w:rsidR="00D13E52">
        <w:rPr>
          <w:rFonts w:eastAsia="Malgun Gothic"/>
          <w:lang w:val="fr-FR"/>
        </w:rPr>
        <w:t>, qui</w:t>
      </w:r>
      <w:r w:rsidRPr="006E1945">
        <w:rPr>
          <w:rFonts w:eastAsia="Malgun Gothic"/>
          <w:lang w:val="fr-FR"/>
        </w:rPr>
        <w:t xml:space="preserve"> </w:t>
      </w:r>
      <w:r w:rsidR="00E715F8">
        <w:rPr>
          <w:rFonts w:eastAsia="Malgun Gothic"/>
          <w:lang w:val="fr-FR"/>
        </w:rPr>
        <w:t xml:space="preserve">reconnaissait </w:t>
      </w:r>
      <w:r w:rsidRPr="006E1945">
        <w:rPr>
          <w:rFonts w:eastAsia="Malgun Gothic"/>
          <w:lang w:val="fr-FR"/>
        </w:rPr>
        <w:t>la nécessité d</w:t>
      </w:r>
      <w:r w:rsidR="00923E72">
        <w:rPr>
          <w:rFonts w:eastAsia="Malgun Gothic"/>
          <w:lang w:val="fr-FR"/>
        </w:rPr>
        <w:t>’</w:t>
      </w:r>
      <w:r w:rsidRPr="006E1945">
        <w:rPr>
          <w:rFonts w:eastAsia="Malgun Gothic"/>
          <w:lang w:val="fr-FR"/>
        </w:rPr>
        <w:t xml:space="preserve">un travail intersectoriel avec les </w:t>
      </w:r>
      <w:r>
        <w:rPr>
          <w:rFonts w:eastAsia="Malgun Gothic"/>
          <w:lang w:val="fr-FR"/>
        </w:rPr>
        <w:t>S</w:t>
      </w:r>
      <w:r w:rsidRPr="006E1945">
        <w:rPr>
          <w:rFonts w:eastAsia="Malgun Gothic"/>
          <w:lang w:val="fr-FR"/>
        </w:rPr>
        <w:t>ecteurs de l</w:t>
      </w:r>
      <w:r w:rsidR="00923E72">
        <w:rPr>
          <w:rFonts w:eastAsia="Malgun Gothic"/>
          <w:lang w:val="fr-FR"/>
        </w:rPr>
        <w:t>’</w:t>
      </w:r>
      <w:r w:rsidRPr="006E1945">
        <w:rPr>
          <w:rFonts w:eastAsia="Malgun Gothic"/>
          <w:lang w:val="fr-FR"/>
        </w:rPr>
        <w:t>éducation et de la science</w:t>
      </w:r>
      <w:r w:rsidR="00D13E52">
        <w:rPr>
          <w:rFonts w:eastAsia="Malgun Gothic"/>
          <w:lang w:val="fr-FR"/>
        </w:rPr>
        <w:t xml:space="preserve">, a noté les progrès réalisés </w:t>
      </w:r>
      <w:r w:rsidR="00D13E52">
        <w:rPr>
          <w:rFonts w:eastAsia="Malgun Gothic"/>
          <w:lang w:val="fr-FR"/>
        </w:rPr>
        <w:lastRenderedPageBreak/>
        <w:t>dans ce domaine</w:t>
      </w:r>
      <w:r w:rsidRPr="006E1945">
        <w:rPr>
          <w:rFonts w:eastAsia="Malgun Gothic"/>
          <w:lang w:val="fr-FR"/>
        </w:rPr>
        <w:t>. La Déclaratio</w:t>
      </w:r>
      <w:r w:rsidR="004F5E56">
        <w:rPr>
          <w:rFonts w:eastAsia="Malgun Gothic"/>
          <w:lang w:val="fr-FR"/>
        </w:rPr>
        <w:t>n</w:t>
      </w:r>
      <w:r w:rsidRPr="006E1945">
        <w:rPr>
          <w:rFonts w:eastAsia="Malgun Gothic"/>
          <w:lang w:val="fr-FR"/>
        </w:rPr>
        <w:t xml:space="preserve"> </w:t>
      </w:r>
      <w:r w:rsidR="004F5E56">
        <w:rPr>
          <w:rFonts w:eastAsia="Malgun Gothic"/>
          <w:lang w:val="fr-FR"/>
        </w:rPr>
        <w:t xml:space="preserve">finale de la conférence </w:t>
      </w:r>
      <w:r w:rsidRPr="006E1945">
        <w:rPr>
          <w:rFonts w:eastAsia="Malgun Gothic"/>
          <w:lang w:val="fr-FR"/>
        </w:rPr>
        <w:t>MONDIACULT</w:t>
      </w:r>
      <w:r w:rsidR="008B4F8D">
        <w:rPr>
          <w:rStyle w:val="FootnoteReference"/>
          <w:rFonts w:eastAsia="Malgun Gothic"/>
          <w:lang w:val="fr-FR"/>
        </w:rPr>
        <w:footnoteReference w:id="10"/>
      </w:r>
      <w:r w:rsidRPr="006E1945">
        <w:rPr>
          <w:rFonts w:eastAsia="Malgun Gothic"/>
          <w:lang w:val="fr-FR"/>
        </w:rPr>
        <w:t xml:space="preserve"> était un instrument fondamental pour la politique culturelle et le développement durable. La délégation </w:t>
      </w:r>
      <w:r w:rsidR="00D13E52">
        <w:rPr>
          <w:rFonts w:eastAsia="Malgun Gothic"/>
          <w:lang w:val="fr-FR"/>
        </w:rPr>
        <w:t>croyait également en l</w:t>
      </w:r>
      <w:r w:rsidR="00923E72">
        <w:rPr>
          <w:rFonts w:eastAsia="Malgun Gothic"/>
          <w:lang w:val="fr-FR"/>
        </w:rPr>
        <w:t>’</w:t>
      </w:r>
      <w:r w:rsidRPr="00D13E52">
        <w:rPr>
          <w:rFonts w:eastAsia="Malgun Gothic"/>
          <w:lang w:val="fr-FR"/>
        </w:rPr>
        <w:t>harmonisation avec d</w:t>
      </w:r>
      <w:r w:rsidR="00923E72">
        <w:rPr>
          <w:rFonts w:eastAsia="Malgun Gothic"/>
          <w:lang w:val="fr-FR"/>
        </w:rPr>
        <w:t>’</w:t>
      </w:r>
      <w:r w:rsidRPr="00D13E52">
        <w:rPr>
          <w:rFonts w:eastAsia="Malgun Gothic"/>
          <w:lang w:val="fr-FR"/>
        </w:rPr>
        <w:t>autres conventions de l</w:t>
      </w:r>
      <w:r w:rsidR="00923E72">
        <w:rPr>
          <w:rFonts w:eastAsia="Malgun Gothic"/>
          <w:lang w:val="fr-FR"/>
        </w:rPr>
        <w:t>’</w:t>
      </w:r>
      <w:r w:rsidRPr="00D13E52">
        <w:rPr>
          <w:rFonts w:eastAsia="Malgun Gothic"/>
          <w:lang w:val="fr-FR"/>
        </w:rPr>
        <w:t xml:space="preserve">UNESCO. </w:t>
      </w:r>
      <w:r w:rsidR="00D13E52">
        <w:rPr>
          <w:rFonts w:eastAsia="Malgun Gothic"/>
          <w:lang w:val="fr-FR"/>
        </w:rPr>
        <w:t xml:space="preserve">On </w:t>
      </w:r>
      <w:r w:rsidR="00BC6907">
        <w:rPr>
          <w:rFonts w:eastAsia="Malgun Gothic"/>
          <w:lang w:val="fr-FR"/>
        </w:rPr>
        <w:t>pouvait</w:t>
      </w:r>
      <w:r w:rsidR="00D13E52">
        <w:rPr>
          <w:rFonts w:eastAsia="Malgun Gothic"/>
          <w:lang w:val="fr-FR"/>
        </w:rPr>
        <w:t xml:space="preserve"> le constater </w:t>
      </w:r>
      <w:r w:rsidRPr="00D13E52">
        <w:rPr>
          <w:rFonts w:eastAsia="Malgun Gothic"/>
          <w:lang w:val="fr-FR"/>
        </w:rPr>
        <w:t>avec la Convention de</w:t>
      </w:r>
      <w:r w:rsidR="00FA4B20">
        <w:rPr>
          <w:rFonts w:eastAsia="Malgun Gothic"/>
          <w:lang w:val="fr-FR"/>
        </w:rPr>
        <w:t> </w:t>
      </w:r>
      <w:r w:rsidRPr="00D13E52">
        <w:rPr>
          <w:rFonts w:eastAsia="Malgun Gothic"/>
          <w:lang w:val="fr-FR"/>
        </w:rPr>
        <w:t>2005</w:t>
      </w:r>
      <w:r w:rsidR="00D13E52">
        <w:rPr>
          <w:rStyle w:val="FootnoteReference"/>
          <w:rFonts w:eastAsia="Malgun Gothic"/>
          <w:lang w:val="fr-FR"/>
        </w:rPr>
        <w:footnoteReference w:id="11"/>
      </w:r>
      <w:r w:rsidR="003E757A">
        <w:rPr>
          <w:rFonts w:eastAsia="Malgun Gothic"/>
          <w:lang w:val="fr-FR"/>
        </w:rPr>
        <w:t xml:space="preserve">, </w:t>
      </w:r>
      <w:r w:rsidR="00D13E52">
        <w:rPr>
          <w:rFonts w:eastAsia="Malgun Gothic"/>
          <w:lang w:val="fr-FR"/>
        </w:rPr>
        <w:t>où l</w:t>
      </w:r>
      <w:r w:rsidRPr="00D13E52">
        <w:rPr>
          <w:rFonts w:eastAsia="Malgun Gothic"/>
          <w:lang w:val="fr-FR"/>
        </w:rPr>
        <w:t>a frontière sembl</w:t>
      </w:r>
      <w:r w:rsidR="00CA4599">
        <w:rPr>
          <w:rFonts w:eastAsia="Malgun Gothic"/>
          <w:lang w:val="fr-FR"/>
        </w:rPr>
        <w:t>ait</w:t>
      </w:r>
      <w:r w:rsidRPr="00D13E52">
        <w:rPr>
          <w:rFonts w:eastAsia="Malgun Gothic"/>
          <w:lang w:val="fr-FR"/>
        </w:rPr>
        <w:t xml:space="preserve"> </w:t>
      </w:r>
      <w:r w:rsidR="00BC6907">
        <w:rPr>
          <w:rFonts w:eastAsia="Malgun Gothic"/>
          <w:lang w:val="fr-FR"/>
        </w:rPr>
        <w:t>ténue lorsque l</w:t>
      </w:r>
      <w:r w:rsidR="00923E72">
        <w:rPr>
          <w:rFonts w:eastAsia="Malgun Gothic"/>
          <w:lang w:val="fr-FR"/>
        </w:rPr>
        <w:t>’</w:t>
      </w:r>
      <w:r w:rsidR="00BC6907">
        <w:rPr>
          <w:rFonts w:eastAsia="Malgun Gothic"/>
          <w:lang w:val="fr-FR"/>
        </w:rPr>
        <w:t>on consid</w:t>
      </w:r>
      <w:r w:rsidR="00CA4599">
        <w:rPr>
          <w:rFonts w:eastAsia="Malgun Gothic"/>
          <w:lang w:val="fr-FR"/>
        </w:rPr>
        <w:t>érait</w:t>
      </w:r>
      <w:r w:rsidR="00BC6907">
        <w:rPr>
          <w:rFonts w:eastAsia="Malgun Gothic"/>
          <w:lang w:val="fr-FR"/>
        </w:rPr>
        <w:t xml:space="preserve"> les </w:t>
      </w:r>
      <w:r w:rsidRPr="00D13E52">
        <w:rPr>
          <w:rFonts w:eastAsia="Malgun Gothic"/>
          <w:lang w:val="fr-FR"/>
        </w:rPr>
        <w:t>industries culturelles et créative</w:t>
      </w:r>
      <w:r w:rsidR="00BC6907">
        <w:rPr>
          <w:rFonts w:eastAsia="Malgun Gothic"/>
          <w:lang w:val="fr-FR"/>
        </w:rPr>
        <w:t xml:space="preserve">s, </w:t>
      </w:r>
      <w:r w:rsidRPr="00D13E52">
        <w:rPr>
          <w:rFonts w:eastAsia="Malgun Gothic"/>
          <w:lang w:val="fr-FR"/>
        </w:rPr>
        <w:t>l</w:t>
      </w:r>
      <w:r w:rsidR="00923E72">
        <w:rPr>
          <w:rFonts w:eastAsia="Malgun Gothic"/>
          <w:lang w:val="fr-FR"/>
        </w:rPr>
        <w:t>’</w:t>
      </w:r>
      <w:r w:rsidRPr="00D13E52">
        <w:rPr>
          <w:rFonts w:eastAsia="Malgun Gothic"/>
          <w:lang w:val="fr-FR"/>
        </w:rPr>
        <w:t>UNESCO devena</w:t>
      </w:r>
      <w:r w:rsidR="00BC6907">
        <w:rPr>
          <w:rFonts w:eastAsia="Malgun Gothic"/>
          <w:lang w:val="fr-FR"/>
        </w:rPr>
        <w:t>n</w:t>
      </w:r>
      <w:r w:rsidRPr="00D13E52">
        <w:rPr>
          <w:rFonts w:eastAsia="Malgun Gothic"/>
          <w:lang w:val="fr-FR"/>
        </w:rPr>
        <w:t>t un moteur</w:t>
      </w:r>
      <w:r w:rsidR="00BC6907">
        <w:rPr>
          <w:rFonts w:eastAsia="Malgun Gothic"/>
          <w:lang w:val="fr-FR"/>
        </w:rPr>
        <w:t>, notamment au regard du Programme 2030 des Nations</w:t>
      </w:r>
      <w:r w:rsidR="00CA4599">
        <w:rPr>
          <w:rFonts w:eastAsia="Malgun Gothic"/>
          <w:lang w:val="fr-FR"/>
        </w:rPr>
        <w:t> </w:t>
      </w:r>
      <w:r w:rsidR="00BC6907">
        <w:rPr>
          <w:rFonts w:eastAsia="Malgun Gothic"/>
          <w:lang w:val="fr-FR"/>
        </w:rPr>
        <w:t>Unies ainsi que de</w:t>
      </w:r>
      <w:r w:rsidRPr="00D13E52">
        <w:rPr>
          <w:rFonts w:eastAsia="Malgun Gothic"/>
          <w:lang w:val="fr-FR"/>
        </w:rPr>
        <w:t xml:space="preserve"> MONDIACULT</w:t>
      </w:r>
      <w:r w:rsidR="003E757A">
        <w:rPr>
          <w:rFonts w:eastAsia="Malgun Gothic"/>
          <w:lang w:val="fr-FR"/>
        </w:rPr>
        <w:t>,</w:t>
      </w:r>
      <w:r w:rsidR="00BC6907" w:rsidRPr="00CA4599">
        <w:rPr>
          <w:rFonts w:eastAsia="Malgun Gothic"/>
          <w:lang w:val="fr-FR"/>
        </w:rPr>
        <w:t xml:space="preserve"> qui </w:t>
      </w:r>
      <w:r w:rsidR="00CA4599" w:rsidRPr="00CA4599">
        <w:rPr>
          <w:rFonts w:eastAsia="Malgun Gothic"/>
          <w:lang w:val="fr-FR"/>
        </w:rPr>
        <w:t xml:space="preserve">était </w:t>
      </w:r>
      <w:r w:rsidR="00BC6907" w:rsidRPr="00CA4599">
        <w:rPr>
          <w:rFonts w:eastAsia="Malgun Gothic"/>
          <w:color w:val="000000" w:themeColor="text1"/>
          <w:lang w:val="fr-FR"/>
        </w:rPr>
        <w:t>également</w:t>
      </w:r>
      <w:r w:rsidRPr="00CA4599">
        <w:rPr>
          <w:rFonts w:eastAsia="Malgun Gothic"/>
          <w:lang w:val="fr-FR"/>
        </w:rPr>
        <w:t xml:space="preserve"> un cadre très important </w:t>
      </w:r>
      <w:r w:rsidR="00BC6907" w:rsidRPr="00CA4599">
        <w:rPr>
          <w:rFonts w:eastAsia="Malgun Gothic"/>
          <w:lang w:val="fr-FR"/>
        </w:rPr>
        <w:t xml:space="preserve">en </w:t>
      </w:r>
      <w:r w:rsidRPr="00CA4599">
        <w:rPr>
          <w:rFonts w:eastAsia="Malgun Gothic"/>
          <w:lang w:val="fr-FR"/>
        </w:rPr>
        <w:t>ce sens. L</w:t>
      </w:r>
      <w:r w:rsidR="00923E72">
        <w:rPr>
          <w:rFonts w:eastAsia="Malgun Gothic"/>
          <w:lang w:val="fr-FR"/>
        </w:rPr>
        <w:t>’</w:t>
      </w:r>
      <w:r w:rsidRPr="00CA4599">
        <w:rPr>
          <w:rFonts w:eastAsia="Malgun Gothic"/>
          <w:lang w:val="fr-FR"/>
        </w:rPr>
        <w:t xml:space="preserve">UNESCO devait jouer un rôle clé pour harmoniser ses nobles objectifs avec les industries créatives et culturelles, qui doivent impliquer les communautés et se concentrer sur le patrimoine immatériel, tout en ne perdant pas de vue </w:t>
      </w:r>
      <w:r w:rsidR="00BC6907" w:rsidRPr="00CA4599">
        <w:rPr>
          <w:rFonts w:eastAsia="Malgun Gothic"/>
          <w:lang w:val="fr-FR"/>
        </w:rPr>
        <w:t xml:space="preserve">son </w:t>
      </w:r>
      <w:r w:rsidRPr="00CA4599">
        <w:rPr>
          <w:rFonts w:eastAsia="Malgun Gothic"/>
          <w:lang w:val="fr-FR"/>
        </w:rPr>
        <w:t>aspect économique</w:t>
      </w:r>
      <w:r w:rsidR="00BC6907" w:rsidRPr="00CA4599">
        <w:rPr>
          <w:rFonts w:eastAsia="Malgun Gothic"/>
          <w:lang w:val="fr-FR"/>
        </w:rPr>
        <w:t>, la commercialisation étant souvent envisagée sous un angle négatif</w:t>
      </w:r>
      <w:r w:rsidRPr="00CA4599">
        <w:rPr>
          <w:rFonts w:eastAsia="Malgun Gothic"/>
          <w:lang w:val="fr-FR"/>
        </w:rPr>
        <w:t xml:space="preserve">. En </w:t>
      </w:r>
      <w:r w:rsidR="00BC6907" w:rsidRPr="00CA4599">
        <w:rPr>
          <w:rFonts w:eastAsia="Malgun Gothic"/>
          <w:lang w:val="fr-FR"/>
        </w:rPr>
        <w:t xml:space="preserve">imaginant </w:t>
      </w:r>
      <w:r w:rsidRPr="00CA4599">
        <w:rPr>
          <w:rFonts w:eastAsia="Malgun Gothic"/>
          <w:lang w:val="fr-FR"/>
        </w:rPr>
        <w:t>l</w:t>
      </w:r>
      <w:r w:rsidR="00923E72">
        <w:rPr>
          <w:rFonts w:eastAsia="Malgun Gothic"/>
          <w:lang w:val="fr-FR"/>
        </w:rPr>
        <w:t>’</w:t>
      </w:r>
      <w:r w:rsidRPr="00CA4599">
        <w:rPr>
          <w:rFonts w:eastAsia="Malgun Gothic"/>
          <w:lang w:val="fr-FR"/>
        </w:rPr>
        <w:t>avenir de la Convention après ses vingt premières années,</w:t>
      </w:r>
      <w:r w:rsidR="00BC6907" w:rsidRPr="00CA4599">
        <w:rPr>
          <w:rFonts w:eastAsia="Malgun Gothic"/>
          <w:lang w:val="fr-FR"/>
        </w:rPr>
        <w:t xml:space="preserve"> il a été noté que</w:t>
      </w:r>
      <w:r w:rsidRPr="00CA4599">
        <w:rPr>
          <w:rFonts w:eastAsia="Malgun Gothic"/>
          <w:lang w:val="fr-FR"/>
        </w:rPr>
        <w:t xml:space="preserve"> l</w:t>
      </w:r>
      <w:r w:rsidR="00923E72">
        <w:rPr>
          <w:rFonts w:eastAsia="Malgun Gothic"/>
          <w:lang w:val="fr-FR"/>
        </w:rPr>
        <w:t>’</w:t>
      </w:r>
      <w:r w:rsidRPr="00CA4599">
        <w:rPr>
          <w:rFonts w:eastAsia="Malgun Gothic"/>
          <w:lang w:val="fr-FR"/>
        </w:rPr>
        <w:t>esprit de la Convention avait eu un impact sur la paix et l</w:t>
      </w:r>
      <w:r w:rsidR="00BC6907" w:rsidRPr="00CA4599">
        <w:rPr>
          <w:rFonts w:eastAsia="Malgun Gothic"/>
          <w:lang w:val="fr-FR"/>
        </w:rPr>
        <w:t xml:space="preserve">e développement durable dans le domaine </w:t>
      </w:r>
      <w:r w:rsidRPr="00CA4599">
        <w:rPr>
          <w:rFonts w:eastAsia="Malgun Gothic"/>
          <w:lang w:val="fr-FR"/>
        </w:rPr>
        <w:t>de la culture. Cet esprit devait également être présent dans ses organes directeurs,</w:t>
      </w:r>
      <w:r w:rsidR="00BC6907" w:rsidRPr="00CA4599">
        <w:rPr>
          <w:rFonts w:eastAsia="Malgun Gothic"/>
          <w:lang w:val="fr-FR"/>
        </w:rPr>
        <w:t xml:space="preserve"> tels que le</w:t>
      </w:r>
      <w:r w:rsidRPr="00CA4599">
        <w:rPr>
          <w:rFonts w:eastAsia="Malgun Gothic"/>
          <w:lang w:val="fr-FR"/>
        </w:rPr>
        <w:t xml:space="preserve"> Comité</w:t>
      </w:r>
      <w:r w:rsidR="00BC6907" w:rsidRPr="00CA4599">
        <w:rPr>
          <w:rFonts w:eastAsia="Malgun Gothic"/>
          <w:lang w:val="fr-FR"/>
        </w:rPr>
        <w:t xml:space="preserve"> et l</w:t>
      </w:r>
      <w:r w:rsidR="00923E72">
        <w:rPr>
          <w:rFonts w:eastAsia="Malgun Gothic"/>
          <w:lang w:val="fr-FR"/>
        </w:rPr>
        <w:t>’</w:t>
      </w:r>
      <w:r w:rsidR="00BC6907" w:rsidRPr="00CA4599">
        <w:rPr>
          <w:rFonts w:eastAsia="Malgun Gothic"/>
          <w:lang w:val="fr-FR"/>
        </w:rPr>
        <w:t>Organe d</w:t>
      </w:r>
      <w:r w:rsidR="00923E72">
        <w:rPr>
          <w:rFonts w:eastAsia="Malgun Gothic"/>
          <w:lang w:val="fr-FR"/>
        </w:rPr>
        <w:t>’</w:t>
      </w:r>
      <w:r w:rsidR="00BC6907" w:rsidRPr="00CA4599">
        <w:rPr>
          <w:rFonts w:eastAsia="Malgun Gothic"/>
          <w:lang w:val="fr-FR"/>
        </w:rPr>
        <w:t>évaluation</w:t>
      </w:r>
      <w:r w:rsidRPr="00CA4599">
        <w:rPr>
          <w:rFonts w:eastAsia="Malgun Gothic"/>
          <w:lang w:val="fr-FR"/>
        </w:rPr>
        <w:t xml:space="preserve">. La délégation </w:t>
      </w:r>
      <w:r w:rsidR="00BC6907" w:rsidRPr="00CA4599">
        <w:rPr>
          <w:rFonts w:eastAsia="Malgun Gothic"/>
          <w:lang w:val="fr-FR"/>
        </w:rPr>
        <w:t xml:space="preserve">a </w:t>
      </w:r>
      <w:r w:rsidR="00512646">
        <w:rPr>
          <w:rFonts w:eastAsia="Malgun Gothic"/>
          <w:lang w:val="fr-FR"/>
        </w:rPr>
        <w:t>exprimé son inquiétude quant au</w:t>
      </w:r>
      <w:r w:rsidR="00BC6907" w:rsidRPr="00CA4599">
        <w:rPr>
          <w:rFonts w:eastAsia="Malgun Gothic"/>
          <w:lang w:val="fr-FR"/>
        </w:rPr>
        <w:t xml:space="preserve"> déséquilibre</w:t>
      </w:r>
      <w:r w:rsidR="003E757A">
        <w:rPr>
          <w:rFonts w:eastAsia="Malgun Gothic"/>
          <w:lang w:val="fr-FR"/>
        </w:rPr>
        <w:t>,</w:t>
      </w:r>
      <w:r w:rsidR="00BC6907" w:rsidRPr="00CA4599">
        <w:rPr>
          <w:rFonts w:eastAsia="Malgun Gothic"/>
          <w:lang w:val="fr-FR"/>
        </w:rPr>
        <w:t xml:space="preserve"> signalé par le GRULAC </w:t>
      </w:r>
      <w:r w:rsidR="00512646">
        <w:rPr>
          <w:rFonts w:eastAsia="Malgun Gothic"/>
          <w:lang w:val="fr-FR"/>
        </w:rPr>
        <w:t>et par d</w:t>
      </w:r>
      <w:r w:rsidR="00923E72">
        <w:rPr>
          <w:rFonts w:eastAsia="Malgun Gothic"/>
          <w:lang w:val="fr-FR"/>
        </w:rPr>
        <w:t>’</w:t>
      </w:r>
      <w:r w:rsidR="00512646">
        <w:rPr>
          <w:rFonts w:eastAsia="Malgun Gothic"/>
          <w:lang w:val="fr-FR"/>
        </w:rPr>
        <w:t>autres, et aux</w:t>
      </w:r>
      <w:r w:rsidRPr="00CA4599">
        <w:rPr>
          <w:rFonts w:eastAsia="Malgun Gothic"/>
          <w:lang w:val="fr-FR"/>
        </w:rPr>
        <w:t xml:space="preserve"> mesures requises pour sauvegarder le patrimoine culturel immatériel</w:t>
      </w:r>
      <w:r w:rsidR="00745F91">
        <w:rPr>
          <w:rFonts w:eastAsia="Malgun Gothic"/>
          <w:lang w:val="fr-FR"/>
        </w:rPr>
        <w:t>,</w:t>
      </w:r>
      <w:r w:rsidR="008C69A7" w:rsidRPr="00CA4599">
        <w:rPr>
          <w:rFonts w:eastAsia="Malgun Gothic"/>
          <w:lang w:val="fr-FR"/>
        </w:rPr>
        <w:t xml:space="preserve"> </w:t>
      </w:r>
      <w:r w:rsidR="00745F91">
        <w:rPr>
          <w:rFonts w:eastAsia="Malgun Gothic"/>
          <w:lang w:val="fr-FR"/>
        </w:rPr>
        <w:t xml:space="preserve">ajoutant </w:t>
      </w:r>
      <w:r w:rsidRPr="00CA4599">
        <w:rPr>
          <w:rFonts w:eastAsia="Malgun Gothic"/>
          <w:lang w:val="fr-FR"/>
        </w:rPr>
        <w:t>que l</w:t>
      </w:r>
      <w:r w:rsidR="00923E72">
        <w:rPr>
          <w:rFonts w:eastAsia="Malgun Gothic"/>
          <w:lang w:val="fr-FR"/>
        </w:rPr>
        <w:t>’</w:t>
      </w:r>
      <w:r w:rsidRPr="00CA4599">
        <w:rPr>
          <w:rFonts w:eastAsia="Malgun Gothic"/>
          <w:lang w:val="fr-FR"/>
        </w:rPr>
        <w:t>Organe d</w:t>
      </w:r>
      <w:r w:rsidR="00923E72">
        <w:rPr>
          <w:rFonts w:eastAsia="Malgun Gothic"/>
          <w:lang w:val="fr-FR"/>
        </w:rPr>
        <w:t>’</w:t>
      </w:r>
      <w:r w:rsidRPr="00CA4599">
        <w:rPr>
          <w:rFonts w:eastAsia="Malgun Gothic"/>
          <w:lang w:val="fr-FR"/>
        </w:rPr>
        <w:t>évaluation et d</w:t>
      </w:r>
      <w:r w:rsidR="00923E72">
        <w:rPr>
          <w:rFonts w:eastAsia="Malgun Gothic"/>
          <w:lang w:val="fr-FR"/>
        </w:rPr>
        <w:t>’</w:t>
      </w:r>
      <w:r w:rsidRPr="00CA4599">
        <w:rPr>
          <w:rFonts w:eastAsia="Malgun Gothic"/>
          <w:lang w:val="fr-FR"/>
        </w:rPr>
        <w:t xml:space="preserve">autres organes </w:t>
      </w:r>
      <w:r w:rsidR="00CD440F" w:rsidRPr="00CA4599">
        <w:rPr>
          <w:rFonts w:eastAsia="Malgun Gothic"/>
          <w:lang w:val="fr-FR"/>
        </w:rPr>
        <w:t xml:space="preserve">directeurs </w:t>
      </w:r>
      <w:r w:rsidRPr="00CA4599">
        <w:rPr>
          <w:rFonts w:eastAsia="Malgun Gothic"/>
          <w:lang w:val="fr-FR"/>
        </w:rPr>
        <w:t xml:space="preserve">ne </w:t>
      </w:r>
      <w:r w:rsidR="00745F91">
        <w:rPr>
          <w:rFonts w:eastAsia="Malgun Gothic"/>
          <w:lang w:val="fr-FR"/>
        </w:rPr>
        <w:t xml:space="preserve">tenaient </w:t>
      </w:r>
      <w:r w:rsidRPr="00CA4599">
        <w:rPr>
          <w:rFonts w:eastAsia="Malgun Gothic"/>
          <w:lang w:val="fr-FR"/>
        </w:rPr>
        <w:t>pas nécessairement compte de ces préoccupations.</w:t>
      </w:r>
      <w:r w:rsidR="008C69A7" w:rsidRPr="00CA4599">
        <w:rPr>
          <w:rFonts w:eastAsia="Malgun Gothic"/>
          <w:lang w:val="fr-FR"/>
        </w:rPr>
        <w:t xml:space="preserve"> Cuba avait adopté une loi sur la </w:t>
      </w:r>
      <w:r w:rsidR="00EE1369">
        <w:rPr>
          <w:rFonts w:eastAsia="Malgun Gothic"/>
          <w:lang w:val="fr-FR"/>
        </w:rPr>
        <w:t>c</w:t>
      </w:r>
      <w:r w:rsidR="008C69A7" w:rsidRPr="00CA4599">
        <w:rPr>
          <w:rFonts w:eastAsia="Malgun Gothic"/>
          <w:lang w:val="fr-FR"/>
        </w:rPr>
        <w:t>ulture,</w:t>
      </w:r>
      <w:r w:rsidRPr="00CA4599">
        <w:rPr>
          <w:rFonts w:eastAsia="Malgun Gothic"/>
          <w:lang w:val="fr-FR"/>
        </w:rPr>
        <w:t xml:space="preserve"> </w:t>
      </w:r>
      <w:r w:rsidR="008C69A7" w:rsidRPr="00CA4599">
        <w:rPr>
          <w:rFonts w:eastAsia="Malgun Gothic"/>
          <w:lang w:val="fr-FR"/>
        </w:rPr>
        <w:t>en intégrant la sauvegarde du</w:t>
      </w:r>
      <w:r w:rsidRPr="00CA4599">
        <w:rPr>
          <w:rFonts w:eastAsia="Malgun Gothic"/>
          <w:lang w:val="fr-FR"/>
        </w:rPr>
        <w:t xml:space="preserve"> patrimoine culturel immatériel</w:t>
      </w:r>
      <w:r w:rsidR="008C69A7" w:rsidRPr="00CA4599">
        <w:rPr>
          <w:rFonts w:eastAsia="Malgun Gothic"/>
          <w:lang w:val="fr-FR"/>
        </w:rPr>
        <w:t xml:space="preserve"> dans sa politique culturelle.</w:t>
      </w:r>
      <w:r w:rsidRPr="00CA4599">
        <w:rPr>
          <w:rFonts w:eastAsia="Malgun Gothic"/>
          <w:lang w:val="fr-FR"/>
        </w:rPr>
        <w:t xml:space="preserve"> La délégation a remercié le Secrétariat et le Secteur de la culture pour tout </w:t>
      </w:r>
      <w:r w:rsidR="008C69A7" w:rsidRPr="00CA4599">
        <w:rPr>
          <w:rFonts w:eastAsia="Malgun Gothic"/>
          <w:lang w:val="fr-FR"/>
        </w:rPr>
        <w:t>leur travail.</w:t>
      </w:r>
    </w:p>
    <w:p w14:paraId="1CAF3236" w14:textId="49AF9A69" w:rsidR="00B53000" w:rsidRPr="008C69A7" w:rsidRDefault="00B5300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B53000">
        <w:rPr>
          <w:rFonts w:eastAsia="Malgun Gothic"/>
          <w:lang w:val="fr-FR"/>
        </w:rPr>
        <w:t xml:space="preserve">La délégation de la </w:t>
      </w:r>
      <w:r w:rsidRPr="00B53000">
        <w:rPr>
          <w:rFonts w:eastAsia="Malgun Gothic"/>
          <w:b/>
          <w:bCs/>
          <w:lang w:val="fr-FR"/>
        </w:rPr>
        <w:t>Lituanie</w:t>
      </w:r>
      <w:r w:rsidRPr="00B53000">
        <w:rPr>
          <w:rFonts w:eastAsia="Malgun Gothic"/>
          <w:lang w:val="fr-FR"/>
        </w:rPr>
        <w:t xml:space="preserve"> a félicité le Président pour s</w:t>
      </w:r>
      <w:r w:rsidR="008C69A7">
        <w:rPr>
          <w:rFonts w:eastAsia="Malgun Gothic"/>
          <w:lang w:val="fr-FR"/>
        </w:rPr>
        <w:t>es</w:t>
      </w:r>
      <w:r w:rsidRPr="00B53000">
        <w:rPr>
          <w:rFonts w:eastAsia="Malgun Gothic"/>
          <w:lang w:val="fr-FR"/>
        </w:rPr>
        <w:t xml:space="preserve"> fonction</w:t>
      </w:r>
      <w:r w:rsidR="008C69A7">
        <w:rPr>
          <w:rFonts w:eastAsia="Malgun Gothic"/>
          <w:lang w:val="fr-FR"/>
        </w:rPr>
        <w:t>s</w:t>
      </w:r>
      <w:r w:rsidRPr="00B53000">
        <w:rPr>
          <w:rFonts w:eastAsia="Malgun Gothic"/>
          <w:lang w:val="fr-FR"/>
        </w:rPr>
        <w:t xml:space="preserve"> et pour s</w:t>
      </w:r>
      <w:r w:rsidR="002A3C48">
        <w:rPr>
          <w:rFonts w:eastAsia="Malgun Gothic"/>
          <w:lang w:val="fr-FR"/>
        </w:rPr>
        <w:t xml:space="preserve">on </w:t>
      </w:r>
      <w:r w:rsidR="00E039A6">
        <w:rPr>
          <w:rFonts w:eastAsia="Malgun Gothic"/>
          <w:lang w:val="fr-FR"/>
        </w:rPr>
        <w:t xml:space="preserve">engagement </w:t>
      </w:r>
      <w:r w:rsidRPr="00B53000">
        <w:rPr>
          <w:rFonts w:eastAsia="Malgun Gothic"/>
          <w:lang w:val="fr-FR"/>
        </w:rPr>
        <w:t>personnel</w:t>
      </w:r>
      <w:r w:rsidR="00E039A6">
        <w:rPr>
          <w:rFonts w:eastAsia="Malgun Gothic"/>
          <w:lang w:val="fr-FR"/>
        </w:rPr>
        <w:t xml:space="preserve"> actif</w:t>
      </w:r>
      <w:r w:rsidRPr="00B53000">
        <w:rPr>
          <w:rFonts w:eastAsia="Malgun Gothic"/>
          <w:lang w:val="fr-FR"/>
        </w:rPr>
        <w:t xml:space="preserve"> en faveur de cette Convention. Elle était très reconnaissante de l</w:t>
      </w:r>
      <w:r w:rsidR="00923E72">
        <w:rPr>
          <w:rFonts w:eastAsia="Malgun Gothic"/>
          <w:lang w:val="fr-FR"/>
        </w:rPr>
        <w:t>’</w:t>
      </w:r>
      <w:r w:rsidRPr="00B53000">
        <w:rPr>
          <w:rFonts w:eastAsia="Malgun Gothic"/>
          <w:lang w:val="fr-FR"/>
        </w:rPr>
        <w:t>accueil extraordinaire du Maroc</w:t>
      </w:r>
      <w:r w:rsidR="00E039A6">
        <w:rPr>
          <w:rFonts w:eastAsia="Malgun Gothic"/>
          <w:lang w:val="fr-FR"/>
        </w:rPr>
        <w:t>,</w:t>
      </w:r>
      <w:r w:rsidRPr="00B53000">
        <w:rPr>
          <w:rFonts w:eastAsia="Malgun Gothic"/>
          <w:lang w:val="fr-FR"/>
        </w:rPr>
        <w:t xml:space="preserve"> </w:t>
      </w:r>
      <w:r w:rsidR="008C69A7">
        <w:rPr>
          <w:rFonts w:eastAsia="Malgun Gothic"/>
          <w:lang w:val="fr-FR"/>
        </w:rPr>
        <w:t xml:space="preserve">dont </w:t>
      </w:r>
      <w:r w:rsidRPr="00B53000">
        <w:rPr>
          <w:rFonts w:eastAsia="Malgun Gothic"/>
          <w:lang w:val="fr-FR"/>
        </w:rPr>
        <w:t>la culture traditionnelle avait été présentée avec tant de respect et de chaleur. La délégation a remercié le Secrétariat pour tous ses efforts et pour l</w:t>
      </w:r>
      <w:r w:rsidR="00923E72">
        <w:rPr>
          <w:rFonts w:eastAsia="Malgun Gothic"/>
          <w:lang w:val="fr-FR"/>
        </w:rPr>
        <w:t>’</w:t>
      </w:r>
      <w:r w:rsidRPr="00B53000">
        <w:rPr>
          <w:rFonts w:eastAsia="Malgun Gothic"/>
          <w:lang w:val="fr-FR"/>
        </w:rPr>
        <w:t>excellent travail accompli au cours de la période considérée, le félicitant pour les nombreuses activités menées, en particulier</w:t>
      </w:r>
      <w:r w:rsidR="002A3C48">
        <w:rPr>
          <w:rFonts w:eastAsia="Malgun Gothic"/>
          <w:lang w:val="fr-FR"/>
        </w:rPr>
        <w:t> </w:t>
      </w:r>
      <w:r w:rsidRPr="00B53000">
        <w:rPr>
          <w:rFonts w:eastAsia="Malgun Gothic"/>
          <w:lang w:val="fr-FR"/>
        </w:rPr>
        <w:t>: i)</w:t>
      </w:r>
      <w:r w:rsidR="002A3C48">
        <w:rPr>
          <w:rFonts w:eastAsia="Malgun Gothic"/>
          <w:lang w:val="fr-FR"/>
        </w:rPr>
        <w:t> </w:t>
      </w:r>
      <w:r w:rsidRPr="00B53000">
        <w:rPr>
          <w:rFonts w:eastAsia="Malgun Gothic"/>
          <w:lang w:val="fr-FR"/>
        </w:rPr>
        <w:t>l</w:t>
      </w:r>
      <w:r w:rsidR="00923E72">
        <w:rPr>
          <w:rFonts w:eastAsia="Malgun Gothic"/>
          <w:lang w:val="fr-FR"/>
        </w:rPr>
        <w:t>’</w:t>
      </w:r>
      <w:r w:rsidRPr="00B53000">
        <w:rPr>
          <w:rFonts w:eastAsia="Malgun Gothic"/>
          <w:lang w:val="fr-FR"/>
        </w:rPr>
        <w:t>achèvement de la réflexion globale sur les mécanismes d</w:t>
      </w:r>
      <w:r w:rsidR="00923E72">
        <w:rPr>
          <w:rFonts w:eastAsia="Malgun Gothic"/>
          <w:lang w:val="fr-FR"/>
        </w:rPr>
        <w:t>’</w:t>
      </w:r>
      <w:r w:rsidRPr="00B53000">
        <w:rPr>
          <w:rFonts w:eastAsia="Malgun Gothic"/>
          <w:lang w:val="fr-FR"/>
        </w:rPr>
        <w:t>inscription</w:t>
      </w:r>
      <w:r w:rsidR="002A3C48">
        <w:rPr>
          <w:rFonts w:eastAsia="Malgun Gothic"/>
          <w:lang w:val="fr-FR"/>
        </w:rPr>
        <w:t> </w:t>
      </w:r>
      <w:r w:rsidRPr="00B53000">
        <w:rPr>
          <w:rFonts w:eastAsia="Malgun Gothic"/>
          <w:lang w:val="fr-FR"/>
        </w:rPr>
        <w:t>; ii)</w:t>
      </w:r>
      <w:r w:rsidR="002A3C48">
        <w:rPr>
          <w:rFonts w:eastAsia="Malgun Gothic"/>
          <w:lang w:val="fr-FR"/>
        </w:rPr>
        <w:t> </w:t>
      </w:r>
      <w:r w:rsidRPr="00B53000">
        <w:rPr>
          <w:rFonts w:eastAsia="Malgun Gothic"/>
          <w:lang w:val="fr-FR"/>
        </w:rPr>
        <w:t>le processus de mise en œuvre des rapports périodiques</w:t>
      </w:r>
      <w:r w:rsidR="002A3C48">
        <w:rPr>
          <w:rFonts w:eastAsia="Malgun Gothic"/>
          <w:lang w:val="fr-FR"/>
        </w:rPr>
        <w:t> </w:t>
      </w:r>
      <w:r w:rsidRPr="00B53000">
        <w:rPr>
          <w:rFonts w:eastAsia="Malgun Gothic"/>
          <w:lang w:val="fr-FR"/>
        </w:rPr>
        <w:t>; iii)</w:t>
      </w:r>
      <w:r w:rsidR="002A3C48">
        <w:rPr>
          <w:rFonts w:eastAsia="Malgun Gothic"/>
          <w:lang w:val="fr-FR"/>
        </w:rPr>
        <w:t> </w:t>
      </w:r>
      <w:r w:rsidRPr="00B53000">
        <w:rPr>
          <w:rFonts w:eastAsia="Malgun Gothic"/>
          <w:lang w:val="fr-FR"/>
        </w:rPr>
        <w:t>le renforcement des capacités</w:t>
      </w:r>
      <w:r w:rsidR="002A3C48">
        <w:rPr>
          <w:rFonts w:eastAsia="Malgun Gothic"/>
          <w:lang w:val="fr-FR"/>
        </w:rPr>
        <w:t> </w:t>
      </w:r>
      <w:r w:rsidRPr="00B53000">
        <w:rPr>
          <w:rFonts w:eastAsia="Malgun Gothic"/>
          <w:lang w:val="fr-FR"/>
        </w:rPr>
        <w:t>; et iv)</w:t>
      </w:r>
      <w:r w:rsidR="002A3C48">
        <w:rPr>
          <w:rFonts w:eastAsia="Malgun Gothic"/>
          <w:lang w:val="fr-FR"/>
        </w:rPr>
        <w:t> </w:t>
      </w:r>
      <w:r w:rsidRPr="00B53000">
        <w:rPr>
          <w:rFonts w:eastAsia="Malgun Gothic"/>
          <w:lang w:val="fr-FR"/>
        </w:rPr>
        <w:t>la sauvegarde du patrimoine vivant dans les situations d</w:t>
      </w:r>
      <w:r w:rsidR="00923E72">
        <w:rPr>
          <w:rFonts w:eastAsia="Malgun Gothic"/>
          <w:lang w:val="fr-FR"/>
        </w:rPr>
        <w:t>’</w:t>
      </w:r>
      <w:r w:rsidRPr="00B53000">
        <w:rPr>
          <w:rFonts w:eastAsia="Malgun Gothic"/>
          <w:lang w:val="fr-FR"/>
        </w:rPr>
        <w:t xml:space="preserve">urgence, notamment dans le contexte de la guerre en Ukraine et, en particulier, les activités entreprises pour répondre aux besoins des communautés déplacées, y compris les écoliers et les écoles ukrainiennes. La Lituanie avait </w:t>
      </w:r>
      <w:r>
        <w:rPr>
          <w:rFonts w:eastAsia="Malgun Gothic"/>
          <w:lang w:val="fr-FR"/>
        </w:rPr>
        <w:t xml:space="preserve">mis en œuvre </w:t>
      </w:r>
      <w:r w:rsidRPr="00B53000">
        <w:rPr>
          <w:rFonts w:eastAsia="Malgun Gothic"/>
          <w:lang w:val="fr-FR"/>
        </w:rPr>
        <w:t>plusieurs initiatives d</w:t>
      </w:r>
      <w:r w:rsidR="00923E72">
        <w:rPr>
          <w:rFonts w:eastAsia="Malgun Gothic"/>
          <w:lang w:val="fr-FR"/>
        </w:rPr>
        <w:t>’</w:t>
      </w:r>
      <w:r w:rsidRPr="00B53000">
        <w:rPr>
          <w:rFonts w:eastAsia="Malgun Gothic"/>
          <w:lang w:val="fr-FR"/>
        </w:rPr>
        <w:t>assistance aux réfugiés ukrainiens, dont 25</w:t>
      </w:r>
      <w:r>
        <w:rPr>
          <w:rFonts w:eastAsia="Malgun Gothic"/>
          <w:lang w:val="fr-FR"/>
        </w:rPr>
        <w:t> </w:t>
      </w:r>
      <w:r w:rsidRPr="00B53000">
        <w:rPr>
          <w:rFonts w:eastAsia="Malgun Gothic"/>
          <w:lang w:val="fr-FR"/>
        </w:rPr>
        <w:t>000 enfants, sur le territoire lituanien. On pouvait espérer que toutes ces initiatives mondiales et nationales se poursuivraient.</w:t>
      </w:r>
      <w:r w:rsidR="008C69A7">
        <w:rPr>
          <w:rFonts w:eastAsia="Malgun Gothic"/>
          <w:lang w:val="fr-FR"/>
        </w:rPr>
        <w:t xml:space="preserve"> </w:t>
      </w:r>
      <w:r w:rsidRPr="008C69A7">
        <w:rPr>
          <w:rFonts w:eastAsia="Malgun Gothic"/>
          <w:lang w:val="fr-FR"/>
        </w:rPr>
        <w:t>La délégation</w:t>
      </w:r>
      <w:r w:rsidR="008C69A7">
        <w:rPr>
          <w:rFonts w:eastAsia="Malgun Gothic"/>
          <w:lang w:val="fr-FR"/>
        </w:rPr>
        <w:t xml:space="preserve"> </w:t>
      </w:r>
      <w:r w:rsidRPr="008C69A7">
        <w:rPr>
          <w:rFonts w:eastAsia="Malgun Gothic"/>
          <w:lang w:val="fr-FR"/>
        </w:rPr>
        <w:t>appréciait également l</w:t>
      </w:r>
      <w:r w:rsidR="00923E72">
        <w:rPr>
          <w:rFonts w:eastAsia="Malgun Gothic"/>
          <w:lang w:val="fr-FR"/>
        </w:rPr>
        <w:t>’</w:t>
      </w:r>
      <w:r w:rsidRPr="008C69A7">
        <w:rPr>
          <w:rFonts w:eastAsia="Malgun Gothic"/>
          <w:lang w:val="fr-FR"/>
        </w:rPr>
        <w:t xml:space="preserve">assistance du Secrétariat et le soutien apporté aux travaux des organes directeurs ainsi que la communication réalisée à cet égard. Elle a félicité le Secrétariat pour les trois initiatives thématiques visant à renforcer le développement durable </w:t>
      </w:r>
      <w:r w:rsidR="008B4F8D" w:rsidRPr="008C69A7">
        <w:rPr>
          <w:rFonts w:eastAsia="Malgun Gothic"/>
          <w:lang w:val="fr-FR"/>
        </w:rPr>
        <w:t>en lien avec le</w:t>
      </w:r>
      <w:r w:rsidRPr="008C69A7">
        <w:rPr>
          <w:rFonts w:eastAsia="Malgun Gothic"/>
          <w:lang w:val="fr-FR"/>
        </w:rPr>
        <w:t xml:space="preserve"> patrimoine culturel immatériel, qui représentent les défis essentiels de notre époque. La Lituanie a</w:t>
      </w:r>
      <w:r w:rsidR="008B4F8D" w:rsidRPr="008C69A7">
        <w:rPr>
          <w:rFonts w:eastAsia="Malgun Gothic"/>
          <w:lang w:val="fr-FR"/>
        </w:rPr>
        <w:t>vait</w:t>
      </w:r>
      <w:r w:rsidRPr="008C69A7">
        <w:rPr>
          <w:rFonts w:eastAsia="Malgun Gothic"/>
          <w:lang w:val="fr-FR"/>
        </w:rPr>
        <w:t xml:space="preserve"> répondu à l</w:t>
      </w:r>
      <w:r w:rsidR="00923E72">
        <w:rPr>
          <w:rFonts w:eastAsia="Malgun Gothic"/>
          <w:lang w:val="fr-FR"/>
        </w:rPr>
        <w:t>’</w:t>
      </w:r>
      <w:r w:rsidRPr="008C69A7">
        <w:rPr>
          <w:rFonts w:eastAsia="Malgun Gothic"/>
          <w:lang w:val="fr-FR"/>
        </w:rPr>
        <w:t>appel du Secrétariat concernant les enquêtes en ligne visant à élaborer des notes d</w:t>
      </w:r>
      <w:r w:rsidR="00923E72">
        <w:rPr>
          <w:rFonts w:eastAsia="Malgun Gothic"/>
          <w:lang w:val="fr-FR"/>
        </w:rPr>
        <w:t>’</w:t>
      </w:r>
      <w:r w:rsidRPr="008C69A7">
        <w:rPr>
          <w:rFonts w:eastAsia="Malgun Gothic"/>
          <w:lang w:val="fr-FR"/>
        </w:rPr>
        <w:t>orientation et, tout en reconnaissant l</w:t>
      </w:r>
      <w:r w:rsidR="00923E72">
        <w:rPr>
          <w:rFonts w:eastAsia="Malgun Gothic"/>
          <w:lang w:val="fr-FR"/>
        </w:rPr>
        <w:t>’</w:t>
      </w:r>
      <w:r w:rsidRPr="008C69A7">
        <w:rPr>
          <w:rFonts w:eastAsia="Malgun Gothic"/>
          <w:lang w:val="fr-FR"/>
        </w:rPr>
        <w:t>importance de cette activité, a demandé au Secrétariat de lancer les enquêtes un peu plus tôt avant la session du Comité, si possibl</w:t>
      </w:r>
      <w:r w:rsidR="008C69A7">
        <w:rPr>
          <w:rFonts w:eastAsia="Malgun Gothic"/>
          <w:lang w:val="fr-FR"/>
        </w:rPr>
        <w:t xml:space="preserve">e. </w:t>
      </w:r>
      <w:r w:rsidRPr="008C69A7">
        <w:rPr>
          <w:rFonts w:eastAsia="Malgun Gothic"/>
          <w:lang w:val="fr-FR"/>
        </w:rPr>
        <w:t>La délégation a remercié ses partenaires en Finlande pour le lancement d</w:t>
      </w:r>
      <w:r w:rsidR="00923E72">
        <w:rPr>
          <w:rFonts w:eastAsia="Malgun Gothic"/>
          <w:lang w:val="fr-FR"/>
        </w:rPr>
        <w:t>’</w:t>
      </w:r>
      <w:r w:rsidRPr="008C69A7">
        <w:rPr>
          <w:rFonts w:eastAsia="Malgun Gothic"/>
          <w:lang w:val="fr-FR"/>
        </w:rPr>
        <w:t>un projet sous-régional en</w:t>
      </w:r>
      <w:r w:rsidR="00AF6B98">
        <w:rPr>
          <w:rFonts w:eastAsia="Malgun Gothic"/>
          <w:lang w:val="fr-FR"/>
        </w:rPr>
        <w:t> </w:t>
      </w:r>
      <w:r w:rsidRPr="008C69A7">
        <w:rPr>
          <w:rFonts w:eastAsia="Malgun Gothic"/>
          <w:lang w:val="fr-FR"/>
        </w:rPr>
        <w:t xml:space="preserve">2021, </w:t>
      </w:r>
      <w:r w:rsidR="008B4F8D" w:rsidRPr="008C69A7">
        <w:rPr>
          <w:rFonts w:eastAsia="Malgun Gothic"/>
          <w:lang w:val="fr-FR"/>
        </w:rPr>
        <w:t>« </w:t>
      </w:r>
      <w:proofErr w:type="spellStart"/>
      <w:r w:rsidRPr="008C69A7">
        <w:rPr>
          <w:rFonts w:eastAsia="Malgun Gothic"/>
          <w:lang w:val="fr-FR"/>
        </w:rPr>
        <w:t>Livind</w:t>
      </w:r>
      <w:proofErr w:type="spellEnd"/>
      <w:r w:rsidR="008B4F8D" w:rsidRPr="008C69A7">
        <w:rPr>
          <w:rFonts w:eastAsia="Malgun Gothic"/>
          <w:lang w:val="fr-FR"/>
        </w:rPr>
        <w:t> »</w:t>
      </w:r>
      <w:r w:rsidR="008B4F8D">
        <w:rPr>
          <w:rStyle w:val="FootnoteReference"/>
          <w:rFonts w:eastAsia="Malgun Gothic"/>
          <w:lang w:val="fr-FR"/>
        </w:rPr>
        <w:footnoteReference w:id="12"/>
      </w:r>
      <w:r w:rsidRPr="008C69A7">
        <w:rPr>
          <w:rFonts w:eastAsia="Malgun Gothic"/>
          <w:lang w:val="fr-FR"/>
        </w:rPr>
        <w:t>, qui rassemblait neuf pays pour discuter de plusieurs accès pertinents au développement durabl</w:t>
      </w:r>
      <w:r w:rsidR="008C69A7">
        <w:rPr>
          <w:rFonts w:eastAsia="Malgun Gothic"/>
          <w:lang w:val="fr-FR"/>
        </w:rPr>
        <w:t xml:space="preserve">e et </w:t>
      </w:r>
      <w:r w:rsidRPr="008C69A7">
        <w:rPr>
          <w:rFonts w:eastAsia="Malgun Gothic"/>
          <w:lang w:val="fr-FR"/>
        </w:rPr>
        <w:t>se conclurait en</w:t>
      </w:r>
      <w:r w:rsidR="00AF6B98">
        <w:rPr>
          <w:rFonts w:eastAsia="Malgun Gothic"/>
          <w:lang w:val="fr-FR"/>
        </w:rPr>
        <w:t> </w:t>
      </w:r>
      <w:r w:rsidRPr="008C69A7">
        <w:rPr>
          <w:rFonts w:eastAsia="Malgun Gothic"/>
          <w:lang w:val="fr-FR"/>
        </w:rPr>
        <w:t>2023</w:t>
      </w:r>
      <w:r w:rsidR="002A3C48">
        <w:rPr>
          <w:rFonts w:eastAsia="Malgun Gothic"/>
          <w:lang w:val="fr-FR"/>
        </w:rPr>
        <w:t>,</w:t>
      </w:r>
      <w:r w:rsidR="008B4F8D" w:rsidRPr="008C69A7">
        <w:rPr>
          <w:rFonts w:eastAsia="Malgun Gothic"/>
          <w:lang w:val="fr-FR"/>
        </w:rPr>
        <w:t xml:space="preserve"> et</w:t>
      </w:r>
      <w:r w:rsidR="008C69A7">
        <w:rPr>
          <w:rFonts w:eastAsia="Malgun Gothic"/>
          <w:lang w:val="fr-FR"/>
        </w:rPr>
        <w:t xml:space="preserve"> qui</w:t>
      </w:r>
      <w:r w:rsidR="002A3C48">
        <w:rPr>
          <w:rFonts w:eastAsia="Malgun Gothic"/>
          <w:lang w:val="fr-FR"/>
        </w:rPr>
        <w:t xml:space="preserve"> était </w:t>
      </w:r>
      <w:r w:rsidRPr="008C69A7">
        <w:rPr>
          <w:rFonts w:eastAsia="Malgun Gothic"/>
          <w:lang w:val="fr-FR"/>
        </w:rPr>
        <w:t>un bon exemple d</w:t>
      </w:r>
      <w:r w:rsidR="00923E72">
        <w:rPr>
          <w:rFonts w:eastAsia="Malgun Gothic"/>
          <w:lang w:val="fr-FR"/>
        </w:rPr>
        <w:t>’</w:t>
      </w:r>
      <w:r w:rsidRPr="008C69A7">
        <w:rPr>
          <w:rFonts w:eastAsia="Malgun Gothic"/>
          <w:lang w:val="fr-FR"/>
        </w:rPr>
        <w:t>excellent partenariat dans le domaine du patrimoine culturel immatériel. La délégation</w:t>
      </w:r>
      <w:r w:rsidR="008C69A7">
        <w:rPr>
          <w:rFonts w:eastAsia="Malgun Gothic"/>
          <w:lang w:val="fr-FR"/>
        </w:rPr>
        <w:t xml:space="preserve"> </w:t>
      </w:r>
      <w:r w:rsidRPr="008C69A7">
        <w:rPr>
          <w:rFonts w:eastAsia="Malgun Gothic"/>
          <w:lang w:val="fr-FR"/>
        </w:rPr>
        <w:t>soutenait le projet de décision</w:t>
      </w:r>
      <w:r w:rsidR="008C69A7">
        <w:rPr>
          <w:rFonts w:eastAsia="Malgun Gothic"/>
          <w:lang w:val="fr-FR"/>
        </w:rPr>
        <w:t>.</w:t>
      </w:r>
    </w:p>
    <w:p w14:paraId="5E3CDF6F" w14:textId="00A6B806" w:rsidR="008B4F8D" w:rsidRDefault="0016000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912E7D">
        <w:rPr>
          <w:rFonts w:eastAsia="Malgun Gothic"/>
          <w:b/>
          <w:bCs/>
          <w:lang w:val="fr-FR"/>
        </w:rPr>
        <w:t>Président</w:t>
      </w:r>
      <w:r>
        <w:rPr>
          <w:rFonts w:eastAsia="Malgun Gothic"/>
          <w:lang w:val="fr-FR"/>
        </w:rPr>
        <w:t xml:space="preserve"> a remercié la Li</w:t>
      </w:r>
      <w:r w:rsidR="00912E7D">
        <w:rPr>
          <w:rFonts w:eastAsia="Malgun Gothic"/>
          <w:lang w:val="fr-FR"/>
        </w:rPr>
        <w:t xml:space="preserve">tuanie pour son </w:t>
      </w:r>
      <w:r w:rsidR="00912E7D" w:rsidRPr="00912E7D">
        <w:rPr>
          <w:rFonts w:eastAsia="Malgun Gothic"/>
          <w:lang w:val="fr-FR"/>
        </w:rPr>
        <w:t>intervention</w:t>
      </w:r>
      <w:r w:rsidR="00912E7D">
        <w:rPr>
          <w:rFonts w:eastAsia="Malgun Gothic"/>
          <w:lang w:val="fr-FR"/>
        </w:rPr>
        <w:t xml:space="preserve"> et a souhaité la bienvenue à cette réunion à la Présidente du Conseil </w:t>
      </w:r>
      <w:r w:rsidR="00912E7D" w:rsidRPr="00912E7D">
        <w:rPr>
          <w:rFonts w:eastAsia="Malgun Gothic"/>
          <w:lang w:val="fr-FR"/>
        </w:rPr>
        <w:t>exécutif</w:t>
      </w:r>
      <w:r w:rsidR="00912E7D">
        <w:rPr>
          <w:rFonts w:eastAsia="Malgun Gothic"/>
          <w:lang w:val="fr-FR"/>
        </w:rPr>
        <w:t>.</w:t>
      </w:r>
    </w:p>
    <w:p w14:paraId="16EE6E96" w14:textId="5FDFE204" w:rsidR="00912E7D" w:rsidRDefault="00912E7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912E7D">
        <w:rPr>
          <w:rFonts w:eastAsia="Malgun Gothic"/>
          <w:lang w:val="fr-FR"/>
        </w:rPr>
        <w:t xml:space="preserve">La délégation de la </w:t>
      </w:r>
      <w:r w:rsidRPr="00912E7D">
        <w:rPr>
          <w:rFonts w:eastAsia="Malgun Gothic"/>
          <w:b/>
          <w:bCs/>
          <w:lang w:val="fr-FR"/>
        </w:rPr>
        <w:t>Serbie</w:t>
      </w:r>
      <w:r w:rsidRPr="00912E7D">
        <w:rPr>
          <w:rFonts w:eastAsia="Malgun Gothic"/>
          <w:lang w:val="fr-FR"/>
        </w:rPr>
        <w:t xml:space="preserve"> a remercié le Président pour l</w:t>
      </w:r>
      <w:r w:rsidR="00923E72">
        <w:rPr>
          <w:rFonts w:eastAsia="Malgun Gothic"/>
          <w:lang w:val="fr-FR"/>
        </w:rPr>
        <w:t>’</w:t>
      </w:r>
      <w:r w:rsidRPr="00912E7D">
        <w:rPr>
          <w:rFonts w:eastAsia="Malgun Gothic"/>
          <w:lang w:val="fr-FR"/>
        </w:rPr>
        <w:t>accueil chaleureux reçu depuis son arrivée à Rabat et l</w:t>
      </w:r>
      <w:r w:rsidR="00923E72">
        <w:rPr>
          <w:rFonts w:eastAsia="Malgun Gothic"/>
          <w:lang w:val="fr-FR"/>
        </w:rPr>
        <w:t>’</w:t>
      </w:r>
      <w:r w:rsidRPr="00912E7D">
        <w:rPr>
          <w:rFonts w:eastAsia="Malgun Gothic"/>
          <w:lang w:val="fr-FR"/>
        </w:rPr>
        <w:t xml:space="preserve">a félicité pour son leadership. Elle a </w:t>
      </w:r>
      <w:r w:rsidRPr="00912E7D">
        <w:rPr>
          <w:rFonts w:eastAsia="Malgun Gothic"/>
          <w:color w:val="000000" w:themeColor="text1"/>
          <w:lang w:val="fr-FR"/>
        </w:rPr>
        <w:t>également</w:t>
      </w:r>
      <w:r>
        <w:rPr>
          <w:rFonts w:eastAsia="Malgun Gothic"/>
          <w:color w:val="000000" w:themeColor="text1"/>
          <w:lang w:val="fr-FR"/>
        </w:rPr>
        <w:t xml:space="preserve"> </w:t>
      </w:r>
      <w:r w:rsidRPr="00912E7D">
        <w:rPr>
          <w:rFonts w:eastAsia="Malgun Gothic"/>
          <w:lang w:val="fr-FR"/>
        </w:rPr>
        <w:t>remercié le Secrétariat pour son rapport, notant les nombreuses activités importantes liées à l</w:t>
      </w:r>
      <w:r w:rsidR="00923E72">
        <w:rPr>
          <w:rFonts w:eastAsia="Malgun Gothic"/>
          <w:lang w:val="fr-FR"/>
        </w:rPr>
        <w:t>’</w:t>
      </w:r>
      <w:r w:rsidRPr="00912E7D">
        <w:rPr>
          <w:rFonts w:eastAsia="Malgun Gothic"/>
          <w:lang w:val="fr-FR"/>
        </w:rPr>
        <w:t xml:space="preserve">amélioration du </w:t>
      </w:r>
      <w:r w:rsidRPr="00912E7D">
        <w:rPr>
          <w:rFonts w:eastAsia="Malgun Gothic"/>
          <w:lang w:val="fr-FR"/>
        </w:rPr>
        <w:lastRenderedPageBreak/>
        <w:t xml:space="preserve">fonctionnement de la Convention elle-même, mais également en ce qui concerne </w:t>
      </w:r>
      <w:r w:rsidR="008C69A7">
        <w:rPr>
          <w:rFonts w:eastAsia="Malgun Gothic"/>
          <w:lang w:val="fr-FR"/>
        </w:rPr>
        <w:t xml:space="preserve">son </w:t>
      </w:r>
      <w:r w:rsidRPr="00912E7D">
        <w:rPr>
          <w:rFonts w:eastAsia="Malgun Gothic"/>
          <w:lang w:val="fr-FR"/>
        </w:rPr>
        <w:t>harmonisation avec d</w:t>
      </w:r>
      <w:r w:rsidR="00923E72">
        <w:rPr>
          <w:rFonts w:eastAsia="Malgun Gothic"/>
          <w:lang w:val="fr-FR"/>
        </w:rPr>
        <w:t>’</w:t>
      </w:r>
      <w:r w:rsidRPr="00912E7D">
        <w:rPr>
          <w:rFonts w:eastAsia="Malgun Gothic"/>
          <w:lang w:val="fr-FR"/>
        </w:rPr>
        <w:t xml:space="preserve">autres conventions </w:t>
      </w:r>
      <w:r>
        <w:rPr>
          <w:rFonts w:eastAsia="Malgun Gothic"/>
          <w:lang w:val="fr-FR"/>
        </w:rPr>
        <w:t>de l</w:t>
      </w:r>
      <w:r w:rsidR="00923E72">
        <w:rPr>
          <w:rFonts w:eastAsia="Malgun Gothic"/>
          <w:lang w:val="fr-FR"/>
        </w:rPr>
        <w:t>’</w:t>
      </w:r>
      <w:r>
        <w:rPr>
          <w:rFonts w:eastAsia="Malgun Gothic"/>
          <w:lang w:val="fr-FR"/>
        </w:rPr>
        <w:t>UNESCO en matière</w:t>
      </w:r>
      <w:r w:rsidRPr="00912E7D">
        <w:rPr>
          <w:rFonts w:eastAsia="Malgun Gothic"/>
          <w:lang w:val="fr-FR"/>
        </w:rPr>
        <w:t xml:space="preserve"> </w:t>
      </w:r>
      <w:r w:rsidR="00982465">
        <w:rPr>
          <w:rFonts w:eastAsia="Malgun Gothic"/>
          <w:lang w:val="fr-FR"/>
        </w:rPr>
        <w:t xml:space="preserve">de </w:t>
      </w:r>
      <w:r w:rsidRPr="00912E7D">
        <w:rPr>
          <w:rFonts w:eastAsia="Malgun Gothic"/>
          <w:lang w:val="fr-FR"/>
        </w:rPr>
        <w:t>culture. La délégation estim</w:t>
      </w:r>
      <w:r w:rsidR="00E039A6">
        <w:rPr>
          <w:rFonts w:eastAsia="Malgun Gothic"/>
          <w:lang w:val="fr-FR"/>
        </w:rPr>
        <w:t>ait</w:t>
      </w:r>
      <w:r w:rsidRPr="00912E7D">
        <w:rPr>
          <w:rFonts w:eastAsia="Malgun Gothic"/>
          <w:lang w:val="fr-FR"/>
        </w:rPr>
        <w:t xml:space="preserve"> que le processus suivi dans le cadre de la réflexion globale sur les mécanismes d</w:t>
      </w:r>
      <w:r w:rsidR="00923E72">
        <w:rPr>
          <w:rFonts w:eastAsia="Malgun Gothic"/>
          <w:lang w:val="fr-FR"/>
        </w:rPr>
        <w:t>’</w:t>
      </w:r>
      <w:r w:rsidRPr="00912E7D">
        <w:rPr>
          <w:rFonts w:eastAsia="Malgun Gothic"/>
          <w:lang w:val="fr-FR"/>
        </w:rPr>
        <w:t>inscription, bien que difficile, a</w:t>
      </w:r>
      <w:r>
        <w:rPr>
          <w:rFonts w:eastAsia="Malgun Gothic"/>
          <w:lang w:val="fr-FR"/>
        </w:rPr>
        <w:t>vait</w:t>
      </w:r>
      <w:r w:rsidRPr="00912E7D">
        <w:rPr>
          <w:rFonts w:eastAsia="Malgun Gothic"/>
          <w:lang w:val="fr-FR"/>
        </w:rPr>
        <w:t xml:space="preserve"> été couronné de succès et contribuera</w:t>
      </w:r>
      <w:r>
        <w:rPr>
          <w:rFonts w:eastAsia="Malgun Gothic"/>
          <w:lang w:val="fr-FR"/>
        </w:rPr>
        <w:t>it</w:t>
      </w:r>
      <w:r w:rsidRPr="00912E7D">
        <w:rPr>
          <w:rFonts w:eastAsia="Malgun Gothic"/>
          <w:lang w:val="fr-FR"/>
        </w:rPr>
        <w:t xml:space="preserve"> à un meilleur équilibre des inscriptions et de la coopération entre les États membres et les communautés qui sauvegardent des éléments du patrimoine culturel immatériel. En même temps, la dé</w:t>
      </w:r>
      <w:r>
        <w:rPr>
          <w:rFonts w:eastAsia="Malgun Gothic"/>
          <w:lang w:val="fr-FR"/>
        </w:rPr>
        <w:t>finition</w:t>
      </w:r>
      <w:r w:rsidRPr="00912E7D">
        <w:rPr>
          <w:rFonts w:eastAsia="Malgun Gothic"/>
          <w:lang w:val="fr-FR"/>
        </w:rPr>
        <w:t xml:space="preserve"> d</w:t>
      </w:r>
      <w:r w:rsidR="00923E72">
        <w:rPr>
          <w:rFonts w:eastAsia="Malgun Gothic"/>
          <w:lang w:val="fr-FR"/>
        </w:rPr>
        <w:t>’</w:t>
      </w:r>
      <w:r w:rsidRPr="00912E7D">
        <w:rPr>
          <w:rFonts w:eastAsia="Malgun Gothic"/>
          <w:lang w:val="fr-FR"/>
        </w:rPr>
        <w:t>initiatives thématiques</w:t>
      </w:r>
      <w:r w:rsidR="002A3C48">
        <w:rPr>
          <w:rFonts w:eastAsia="Malgun Gothic"/>
          <w:lang w:val="fr-FR"/>
        </w:rPr>
        <w:t xml:space="preserve"> dans le cadre</w:t>
      </w:r>
      <w:r w:rsidRPr="00912E7D">
        <w:rPr>
          <w:rFonts w:eastAsia="Malgun Gothic"/>
          <w:lang w:val="fr-FR"/>
        </w:rPr>
        <w:t xml:space="preserve"> de la Convention, conformément à la </w:t>
      </w:r>
      <w:r>
        <w:rPr>
          <w:rFonts w:eastAsia="Malgun Gothic"/>
          <w:lang w:val="fr-FR"/>
        </w:rPr>
        <w:t>S</w:t>
      </w:r>
      <w:r w:rsidRPr="00912E7D">
        <w:rPr>
          <w:rFonts w:eastAsia="Malgun Gothic"/>
          <w:lang w:val="fr-FR"/>
        </w:rPr>
        <w:t>tratégie à moyen terme jusqu</w:t>
      </w:r>
      <w:r w:rsidR="00923E72">
        <w:rPr>
          <w:rFonts w:eastAsia="Malgun Gothic"/>
          <w:lang w:val="fr-FR"/>
        </w:rPr>
        <w:t>’</w:t>
      </w:r>
      <w:r w:rsidRPr="00912E7D">
        <w:rPr>
          <w:rFonts w:eastAsia="Malgun Gothic"/>
          <w:lang w:val="fr-FR"/>
        </w:rPr>
        <w:t>en 2029, fourni</w:t>
      </w:r>
      <w:r>
        <w:rPr>
          <w:rFonts w:eastAsia="Malgun Gothic"/>
          <w:lang w:val="fr-FR"/>
        </w:rPr>
        <w:t>ssait</w:t>
      </w:r>
      <w:r w:rsidRPr="00912E7D">
        <w:rPr>
          <w:rFonts w:eastAsia="Malgun Gothic"/>
          <w:lang w:val="fr-FR"/>
        </w:rPr>
        <w:t xml:space="preserve"> une orientation claire pour le travail futur au sein de la Convention, tout en traitant des questions contemporaines</w:t>
      </w:r>
      <w:r w:rsidR="00E039A6">
        <w:rPr>
          <w:rFonts w:eastAsia="Malgun Gothic"/>
          <w:lang w:val="fr-FR"/>
        </w:rPr>
        <w:t>,</w:t>
      </w:r>
      <w:r w:rsidRPr="00912E7D">
        <w:rPr>
          <w:rFonts w:eastAsia="Malgun Gothic"/>
          <w:lang w:val="fr-FR"/>
        </w:rPr>
        <w:t xml:space="preserve"> telles que le changement climatique et l</w:t>
      </w:r>
      <w:r w:rsidR="00923E72">
        <w:rPr>
          <w:rFonts w:eastAsia="Malgun Gothic"/>
          <w:lang w:val="fr-FR"/>
        </w:rPr>
        <w:t>’</w:t>
      </w:r>
      <w:r w:rsidRPr="00912E7D">
        <w:rPr>
          <w:rFonts w:eastAsia="Malgun Gothic"/>
          <w:lang w:val="fr-FR"/>
        </w:rPr>
        <w:t>urbanisation. La délégation a particulièrement souligné l</w:t>
      </w:r>
      <w:r w:rsidR="00923E72">
        <w:rPr>
          <w:rFonts w:eastAsia="Malgun Gothic"/>
          <w:lang w:val="fr-FR"/>
        </w:rPr>
        <w:t>’</w:t>
      </w:r>
      <w:r w:rsidRPr="00912E7D">
        <w:rPr>
          <w:rFonts w:eastAsia="Malgun Gothic"/>
          <w:lang w:val="fr-FR"/>
        </w:rPr>
        <w:t>importance et l</w:t>
      </w:r>
      <w:r w:rsidR="00923E72">
        <w:rPr>
          <w:rFonts w:eastAsia="Malgun Gothic"/>
          <w:lang w:val="fr-FR"/>
        </w:rPr>
        <w:t>’</w:t>
      </w:r>
      <w:r w:rsidRPr="00912E7D">
        <w:rPr>
          <w:rFonts w:eastAsia="Malgun Gothic"/>
          <w:lang w:val="fr-FR"/>
        </w:rPr>
        <w:t>action continue en matière de renforcement des capacités pour la sauvegarde du patrimoine vivant dans le cadre d</w:t>
      </w:r>
      <w:r w:rsidR="00982465">
        <w:rPr>
          <w:rFonts w:eastAsia="Malgun Gothic"/>
          <w:lang w:val="fr-FR"/>
        </w:rPr>
        <w:t>u programme</w:t>
      </w:r>
      <w:r w:rsidRPr="00912E7D">
        <w:rPr>
          <w:rFonts w:eastAsia="Malgun Gothic"/>
          <w:lang w:val="fr-FR"/>
        </w:rPr>
        <w:t xml:space="preserve"> global de renforcement des capacités pour le patrimoine culturel immatériel. En mai</w:t>
      </w:r>
      <w:r w:rsidR="003A0260">
        <w:rPr>
          <w:rFonts w:eastAsia="Malgun Gothic"/>
          <w:lang w:val="fr-FR"/>
        </w:rPr>
        <w:t> </w:t>
      </w:r>
      <w:r w:rsidRPr="00912E7D">
        <w:rPr>
          <w:rFonts w:eastAsia="Malgun Gothic"/>
          <w:lang w:val="fr-FR"/>
        </w:rPr>
        <w:t>2022, la Serbie a</w:t>
      </w:r>
      <w:r>
        <w:rPr>
          <w:rFonts w:eastAsia="Malgun Gothic"/>
          <w:lang w:val="fr-FR"/>
        </w:rPr>
        <w:t>vait</w:t>
      </w:r>
      <w:r w:rsidRPr="00912E7D">
        <w:rPr>
          <w:rFonts w:eastAsia="Malgun Gothic"/>
          <w:lang w:val="fr-FR"/>
        </w:rPr>
        <w:t xml:space="preserve"> organisé des activités dans le cadre de ce programme avec un atelier sur la sauvegarde au niveau national au Musée ethnographique de Belgrade. Cet atelier visait à améliorer le travail des experts </w:t>
      </w:r>
      <w:r w:rsidR="00E039A6">
        <w:rPr>
          <w:rFonts w:eastAsia="Malgun Gothic"/>
          <w:lang w:val="fr-FR"/>
        </w:rPr>
        <w:t xml:space="preserve">participant </w:t>
      </w:r>
      <w:r w:rsidRPr="00912E7D">
        <w:rPr>
          <w:rFonts w:eastAsia="Malgun Gothic"/>
          <w:lang w:val="fr-FR"/>
        </w:rPr>
        <w:t xml:space="preserve">activement </w:t>
      </w:r>
      <w:r w:rsidR="00E039A6">
        <w:rPr>
          <w:rFonts w:eastAsia="Malgun Gothic"/>
          <w:lang w:val="fr-FR"/>
        </w:rPr>
        <w:t>à</w:t>
      </w:r>
      <w:r w:rsidRPr="00912E7D">
        <w:rPr>
          <w:rFonts w:eastAsia="Malgun Gothic"/>
          <w:lang w:val="fr-FR"/>
        </w:rPr>
        <w:t xml:space="preserve"> la sauvegarde du patrimoine vivant. La délégation a félicité le Secrétariat pour la mise en œuvre réussie du principe régional de rapport périodique. Cette méthodologie utilisée pour les rapports périodiques </w:t>
      </w:r>
      <w:r>
        <w:rPr>
          <w:rFonts w:eastAsia="Malgun Gothic"/>
          <w:lang w:val="fr-FR"/>
        </w:rPr>
        <w:t>était</w:t>
      </w:r>
      <w:r w:rsidRPr="00912E7D">
        <w:rPr>
          <w:rFonts w:eastAsia="Malgun Gothic"/>
          <w:lang w:val="fr-FR"/>
        </w:rPr>
        <w:t xml:space="preserve"> également significative pour la mise en œuvre du projet pilote </w:t>
      </w:r>
      <w:r>
        <w:rPr>
          <w:rFonts w:eastAsia="Malgun Gothic"/>
          <w:lang w:val="fr-FR"/>
        </w:rPr>
        <w:t>« </w:t>
      </w:r>
      <w:r w:rsidRPr="00912E7D">
        <w:rPr>
          <w:rFonts w:eastAsia="Malgun Gothic"/>
          <w:lang w:val="fr-FR"/>
        </w:rPr>
        <w:t>Indicateurs Cultur</w:t>
      </w:r>
      <w:r w:rsidR="002A3C48">
        <w:rPr>
          <w:rFonts w:eastAsia="Malgun Gothic"/>
          <w:lang w:val="fr-FR"/>
        </w:rPr>
        <w:t>e/</w:t>
      </w:r>
      <w:r w:rsidRPr="00912E7D">
        <w:rPr>
          <w:rFonts w:eastAsia="Malgun Gothic"/>
          <w:lang w:val="fr-FR"/>
        </w:rPr>
        <w:t>2030</w:t>
      </w:r>
      <w:r>
        <w:rPr>
          <w:rFonts w:eastAsia="Malgun Gothic"/>
          <w:lang w:val="fr-FR"/>
        </w:rPr>
        <w:t> »</w:t>
      </w:r>
      <w:r w:rsidRPr="00912E7D">
        <w:rPr>
          <w:rFonts w:eastAsia="Malgun Gothic"/>
          <w:lang w:val="fr-FR"/>
        </w:rPr>
        <w:t xml:space="preserve"> en Serbie</w:t>
      </w:r>
      <w:r w:rsidR="002605E9">
        <w:rPr>
          <w:rStyle w:val="FootnoteReference"/>
          <w:rFonts w:eastAsia="Malgun Gothic"/>
          <w:lang w:val="fr-FR"/>
        </w:rPr>
        <w:footnoteReference w:id="13"/>
      </w:r>
      <w:r>
        <w:rPr>
          <w:rFonts w:eastAsia="Malgun Gothic"/>
          <w:lang w:val="fr-FR"/>
        </w:rPr>
        <w:t xml:space="preserve">. </w:t>
      </w:r>
      <w:r w:rsidRPr="00912E7D">
        <w:rPr>
          <w:rFonts w:eastAsia="Malgun Gothic"/>
          <w:lang w:val="fr-FR"/>
        </w:rPr>
        <w:t>Elle estim</w:t>
      </w:r>
      <w:r>
        <w:rPr>
          <w:rFonts w:eastAsia="Malgun Gothic"/>
          <w:lang w:val="fr-FR"/>
        </w:rPr>
        <w:t>ait</w:t>
      </w:r>
      <w:r w:rsidRPr="00912E7D">
        <w:rPr>
          <w:rFonts w:eastAsia="Malgun Gothic"/>
          <w:lang w:val="fr-FR"/>
        </w:rPr>
        <w:t xml:space="preserve"> qu</w:t>
      </w:r>
      <w:r w:rsidR="00923E72">
        <w:rPr>
          <w:rFonts w:eastAsia="Malgun Gothic"/>
          <w:lang w:val="fr-FR"/>
        </w:rPr>
        <w:t>’</w:t>
      </w:r>
      <w:r w:rsidRPr="00912E7D">
        <w:rPr>
          <w:rFonts w:eastAsia="Malgun Gothic"/>
          <w:lang w:val="fr-FR"/>
        </w:rPr>
        <w:t>il s</w:t>
      </w:r>
      <w:r w:rsidR="00923E72">
        <w:rPr>
          <w:rFonts w:eastAsia="Malgun Gothic"/>
          <w:lang w:val="fr-FR"/>
        </w:rPr>
        <w:t>’</w:t>
      </w:r>
      <w:r w:rsidRPr="00912E7D">
        <w:rPr>
          <w:rFonts w:eastAsia="Malgun Gothic"/>
          <w:lang w:val="fr-FR"/>
        </w:rPr>
        <w:t>agi</w:t>
      </w:r>
      <w:r>
        <w:rPr>
          <w:rFonts w:eastAsia="Malgun Gothic"/>
          <w:lang w:val="fr-FR"/>
        </w:rPr>
        <w:t>ssai</w:t>
      </w:r>
      <w:r w:rsidRPr="00912E7D">
        <w:rPr>
          <w:rFonts w:eastAsia="Malgun Gothic"/>
          <w:lang w:val="fr-FR"/>
        </w:rPr>
        <w:t>t là d</w:t>
      </w:r>
      <w:r w:rsidR="00923E72">
        <w:rPr>
          <w:rFonts w:eastAsia="Malgun Gothic"/>
          <w:lang w:val="fr-FR"/>
        </w:rPr>
        <w:t>’</w:t>
      </w:r>
      <w:r w:rsidRPr="00912E7D">
        <w:rPr>
          <w:rFonts w:eastAsia="Malgun Gothic"/>
          <w:lang w:val="fr-FR"/>
        </w:rPr>
        <w:t xml:space="preserve">un excellent exemple de synergies entre les projets, en particulier après </w:t>
      </w:r>
      <w:r w:rsidR="00E039A6">
        <w:rPr>
          <w:rFonts w:eastAsia="Malgun Gothic"/>
          <w:lang w:val="fr-FR"/>
        </w:rPr>
        <w:t xml:space="preserve">la finalisation du </w:t>
      </w:r>
      <w:r w:rsidRPr="00912E7D">
        <w:rPr>
          <w:rFonts w:eastAsia="Malgun Gothic"/>
          <w:lang w:val="fr-FR"/>
        </w:rPr>
        <w:t xml:space="preserve">cycle de rapports pour toutes les conventions </w:t>
      </w:r>
      <w:r w:rsidR="00982465">
        <w:rPr>
          <w:rFonts w:eastAsia="Malgun Gothic"/>
          <w:lang w:val="fr-FR"/>
        </w:rPr>
        <w:t xml:space="preserve">en matière de culture </w:t>
      </w:r>
      <w:r w:rsidR="00E039A6">
        <w:rPr>
          <w:rFonts w:eastAsia="Malgun Gothic"/>
          <w:lang w:val="fr-FR"/>
        </w:rPr>
        <w:t xml:space="preserve">au moyen de </w:t>
      </w:r>
      <w:r w:rsidRPr="00912E7D">
        <w:rPr>
          <w:rFonts w:eastAsia="Malgun Gothic"/>
          <w:lang w:val="fr-FR"/>
        </w:rPr>
        <w:t>cette nouvelle méthodologie</w:t>
      </w:r>
      <w:r w:rsidR="007069CB">
        <w:rPr>
          <w:rFonts w:eastAsia="Malgun Gothic"/>
          <w:lang w:val="fr-FR"/>
        </w:rPr>
        <w:t>,</w:t>
      </w:r>
      <w:r w:rsidR="008C69A7">
        <w:rPr>
          <w:rFonts w:eastAsia="Malgun Gothic"/>
          <w:lang w:val="fr-FR"/>
        </w:rPr>
        <w:t xml:space="preserve"> </w:t>
      </w:r>
      <w:r w:rsidRPr="00912E7D">
        <w:rPr>
          <w:rFonts w:eastAsia="Malgun Gothic"/>
          <w:lang w:val="fr-FR"/>
        </w:rPr>
        <w:t>qu</w:t>
      </w:r>
      <w:r w:rsidR="00923E72">
        <w:rPr>
          <w:rFonts w:eastAsia="Malgun Gothic"/>
          <w:lang w:val="fr-FR"/>
        </w:rPr>
        <w:t>’</w:t>
      </w:r>
      <w:r w:rsidRPr="00912E7D">
        <w:rPr>
          <w:rFonts w:eastAsia="Malgun Gothic"/>
          <w:lang w:val="fr-FR"/>
        </w:rPr>
        <w:t>il conv</w:t>
      </w:r>
      <w:r>
        <w:rPr>
          <w:rFonts w:eastAsia="Malgun Gothic"/>
          <w:lang w:val="fr-FR"/>
        </w:rPr>
        <w:t>enait</w:t>
      </w:r>
      <w:r w:rsidRPr="00912E7D">
        <w:rPr>
          <w:rFonts w:eastAsia="Malgun Gothic"/>
          <w:lang w:val="fr-FR"/>
        </w:rPr>
        <w:t xml:space="preserve"> de poursuivre et de développer.</w:t>
      </w:r>
    </w:p>
    <w:p w14:paraId="27081664" w14:textId="33AE3769" w:rsidR="00912E7D" w:rsidRDefault="00F9297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92978">
        <w:rPr>
          <w:rFonts w:eastAsia="Malgun Gothic"/>
          <w:lang w:val="fr-FR"/>
        </w:rPr>
        <w:t xml:space="preserve">La délégation de </w:t>
      </w:r>
      <w:r w:rsidRPr="002605E9">
        <w:rPr>
          <w:rFonts w:eastAsia="Malgun Gothic"/>
          <w:b/>
          <w:bCs/>
          <w:lang w:val="fr-FR"/>
        </w:rPr>
        <w:t>Djibouti</w:t>
      </w:r>
      <w:r w:rsidRPr="00F92978">
        <w:rPr>
          <w:rFonts w:eastAsia="Malgun Gothic"/>
          <w:lang w:val="fr-FR"/>
        </w:rPr>
        <w:t xml:space="preserve"> a évoqué le plaisir de participer à cette dix</w:t>
      </w:r>
      <w:r w:rsidR="00DF00B1">
        <w:rPr>
          <w:rFonts w:eastAsia="Malgun Gothic"/>
          <w:lang w:val="fr-FR"/>
        </w:rPr>
        <w:noBreakHyphen/>
      </w:r>
      <w:r w:rsidRPr="00F92978">
        <w:rPr>
          <w:rFonts w:eastAsia="Malgun Gothic"/>
          <w:lang w:val="fr-FR"/>
        </w:rPr>
        <w:t>septième session après deux années de travail en ligne. Le 17</w:t>
      </w:r>
      <w:r w:rsidR="00555AB7">
        <w:rPr>
          <w:rFonts w:eastAsia="Malgun Gothic"/>
          <w:lang w:val="fr-FR"/>
        </w:rPr>
        <w:t> </w:t>
      </w:r>
      <w:r w:rsidRPr="00F92978">
        <w:rPr>
          <w:rFonts w:eastAsia="Malgun Gothic"/>
          <w:lang w:val="fr-FR"/>
        </w:rPr>
        <w:t>septembre</w:t>
      </w:r>
      <w:r w:rsidR="00555AB7">
        <w:rPr>
          <w:rFonts w:eastAsia="Malgun Gothic"/>
          <w:lang w:val="fr-FR"/>
        </w:rPr>
        <w:t> </w:t>
      </w:r>
      <w:r w:rsidRPr="00F92978">
        <w:rPr>
          <w:rFonts w:eastAsia="Malgun Gothic"/>
          <w:lang w:val="fr-FR"/>
        </w:rPr>
        <w:t>2003</w:t>
      </w:r>
      <w:r w:rsidR="00555AB7">
        <w:rPr>
          <w:rFonts w:eastAsia="Malgun Gothic"/>
          <w:lang w:val="fr-FR"/>
        </w:rPr>
        <w:t xml:space="preserve">, </w:t>
      </w:r>
      <w:r w:rsidRPr="00F92978">
        <w:rPr>
          <w:rFonts w:eastAsia="Malgun Gothic"/>
          <w:lang w:val="fr-FR"/>
        </w:rPr>
        <w:t>la Convention avait été ratifiée et reconnue</w:t>
      </w:r>
      <w:r w:rsidR="00DF00B1">
        <w:rPr>
          <w:rFonts w:eastAsia="Malgun Gothic"/>
          <w:lang w:val="fr-FR"/>
        </w:rPr>
        <w:t>,</w:t>
      </w:r>
      <w:r w:rsidR="00555AB7">
        <w:rPr>
          <w:rFonts w:eastAsia="Malgun Gothic"/>
          <w:lang w:val="fr-FR"/>
        </w:rPr>
        <w:t xml:space="preserve"> et </w:t>
      </w:r>
      <w:r w:rsidRPr="00F92978">
        <w:rPr>
          <w:rFonts w:eastAsia="Malgun Gothic"/>
          <w:lang w:val="fr-FR"/>
        </w:rPr>
        <w:t>beaucoup avait été fait en peu de temps grâce à l</w:t>
      </w:r>
      <w:r w:rsidR="00923E72">
        <w:rPr>
          <w:rFonts w:eastAsia="Malgun Gothic"/>
          <w:lang w:val="fr-FR"/>
        </w:rPr>
        <w:t>’</w:t>
      </w:r>
      <w:r w:rsidRPr="00F92978">
        <w:rPr>
          <w:rFonts w:eastAsia="Malgun Gothic"/>
          <w:lang w:val="fr-FR"/>
        </w:rPr>
        <w:t>intervention d</w:t>
      </w:r>
      <w:r w:rsidR="00923E72">
        <w:rPr>
          <w:rFonts w:eastAsia="Malgun Gothic"/>
          <w:lang w:val="fr-FR"/>
        </w:rPr>
        <w:t>’</w:t>
      </w:r>
      <w:r w:rsidRPr="00F92978">
        <w:rPr>
          <w:rFonts w:eastAsia="Malgun Gothic"/>
          <w:lang w:val="fr-FR"/>
        </w:rPr>
        <w:t xml:space="preserve">éminentes personnalités qui </w:t>
      </w:r>
      <w:r w:rsidR="00555AB7">
        <w:rPr>
          <w:rFonts w:eastAsia="Malgun Gothic"/>
          <w:lang w:val="fr-FR"/>
        </w:rPr>
        <w:t>avaient</w:t>
      </w:r>
      <w:r w:rsidRPr="00F92978">
        <w:rPr>
          <w:rFonts w:eastAsia="Malgun Gothic"/>
          <w:lang w:val="fr-FR"/>
        </w:rPr>
        <w:t xml:space="preserve"> su insuffler vie et dynamisme à cette Convention. La délégation a félicité le Président pour son élection, soulignant sa sagesse et son savoir-faire</w:t>
      </w:r>
      <w:r w:rsidR="00FA4B20">
        <w:rPr>
          <w:rFonts w:eastAsia="Malgun Gothic"/>
          <w:lang w:val="fr-FR"/>
        </w:rPr>
        <w:t>,</w:t>
      </w:r>
      <w:r w:rsidRPr="00F92978">
        <w:rPr>
          <w:rFonts w:eastAsia="Malgun Gothic"/>
          <w:lang w:val="fr-FR"/>
        </w:rPr>
        <w:t xml:space="preserve"> qui l</w:t>
      </w:r>
      <w:r w:rsidR="00923E72">
        <w:rPr>
          <w:rFonts w:eastAsia="Malgun Gothic"/>
          <w:lang w:val="fr-FR"/>
        </w:rPr>
        <w:t>’</w:t>
      </w:r>
      <w:r w:rsidRPr="00F92978">
        <w:rPr>
          <w:rFonts w:eastAsia="Malgun Gothic"/>
          <w:lang w:val="fr-FR"/>
        </w:rPr>
        <w:t>aideraient à mener à bien la mission qui lui avait été confiée. Elle a salué la générosité du Maroc et son profond désir de partage des rencontres et de la culture, dont témoign</w:t>
      </w:r>
      <w:r w:rsidR="00555AB7">
        <w:rPr>
          <w:rFonts w:eastAsia="Malgun Gothic"/>
          <w:lang w:val="fr-FR"/>
        </w:rPr>
        <w:t>ait</w:t>
      </w:r>
      <w:r w:rsidRPr="00F92978">
        <w:rPr>
          <w:rFonts w:eastAsia="Malgun Gothic"/>
          <w:lang w:val="fr-FR"/>
        </w:rPr>
        <w:t xml:space="preserve"> la richesse de sa culture millénaire </w:t>
      </w:r>
      <w:r w:rsidR="00555AB7">
        <w:rPr>
          <w:rFonts w:eastAsia="Malgun Gothic"/>
          <w:lang w:val="fr-FR"/>
        </w:rPr>
        <w:t xml:space="preserve">présentée </w:t>
      </w:r>
      <w:r w:rsidRPr="00F92978">
        <w:rPr>
          <w:rFonts w:eastAsia="Malgun Gothic"/>
          <w:lang w:val="fr-FR"/>
        </w:rPr>
        <w:t xml:space="preserve">lors de la cérémonie de la veille. </w:t>
      </w:r>
      <w:r w:rsidR="00555AB7">
        <w:rPr>
          <w:rFonts w:eastAsia="Malgun Gothic"/>
          <w:lang w:val="fr-FR"/>
        </w:rPr>
        <w:t>L</w:t>
      </w:r>
      <w:r w:rsidRPr="00F92978">
        <w:rPr>
          <w:rFonts w:eastAsia="Malgun Gothic"/>
          <w:lang w:val="fr-FR"/>
        </w:rPr>
        <w:t xml:space="preserve">e Maroc avait </w:t>
      </w:r>
      <w:r w:rsidR="00555AB7">
        <w:rPr>
          <w:rFonts w:eastAsia="Malgun Gothic"/>
          <w:lang w:val="fr-FR"/>
        </w:rPr>
        <w:t>d</w:t>
      </w:r>
      <w:r w:rsidR="00923E72">
        <w:rPr>
          <w:rFonts w:eastAsia="Malgun Gothic"/>
          <w:lang w:val="fr-FR"/>
        </w:rPr>
        <w:t>’</w:t>
      </w:r>
      <w:r w:rsidR="00555AB7">
        <w:rPr>
          <w:rFonts w:eastAsia="Malgun Gothic"/>
          <w:lang w:val="fr-FR"/>
        </w:rPr>
        <w:t xml:space="preserve">ailleurs </w:t>
      </w:r>
      <w:r w:rsidRPr="00F92978">
        <w:rPr>
          <w:rFonts w:eastAsia="Malgun Gothic"/>
          <w:lang w:val="fr-FR"/>
        </w:rPr>
        <w:t>organisé en 1989 les jeux de la Francophonie. Par ailleurs, la délégation a souligné le travail du Secrétariat dans ces différentes réalisations. Elle a félicité et remercié l</w:t>
      </w:r>
      <w:r w:rsidR="00923E72">
        <w:rPr>
          <w:rFonts w:eastAsia="Malgun Gothic"/>
          <w:lang w:val="fr-FR"/>
        </w:rPr>
        <w:t>’</w:t>
      </w:r>
      <w:r w:rsidRPr="00F92978">
        <w:rPr>
          <w:rFonts w:eastAsia="Malgun Gothic"/>
          <w:lang w:val="fr-FR"/>
        </w:rPr>
        <w:t>équipe sous la direction du Secrétaire</w:t>
      </w:r>
      <w:r w:rsidR="00555AB7">
        <w:rPr>
          <w:rFonts w:eastAsia="Malgun Gothic"/>
          <w:lang w:val="fr-FR"/>
        </w:rPr>
        <w:t>,</w:t>
      </w:r>
      <w:r w:rsidRPr="00F92978">
        <w:rPr>
          <w:rFonts w:eastAsia="Malgun Gothic"/>
          <w:lang w:val="fr-FR"/>
        </w:rPr>
        <w:t xml:space="preserve"> qui contribue inlassablement à la réalisation des différents projets validés par le Comité et l</w:t>
      </w:r>
      <w:r w:rsidR="00923E72">
        <w:rPr>
          <w:rFonts w:eastAsia="Malgun Gothic"/>
          <w:lang w:val="fr-FR"/>
        </w:rPr>
        <w:t>’</w:t>
      </w:r>
      <w:r w:rsidRPr="00F92978">
        <w:rPr>
          <w:rFonts w:eastAsia="Malgun Gothic"/>
          <w:lang w:val="fr-FR"/>
        </w:rPr>
        <w:t>Assemblée Générale de cette Convention. Djibouti avait bénéficié d</w:t>
      </w:r>
      <w:r w:rsidR="00923E72">
        <w:rPr>
          <w:rFonts w:eastAsia="Malgun Gothic"/>
          <w:lang w:val="fr-FR"/>
        </w:rPr>
        <w:t>’</w:t>
      </w:r>
      <w:r w:rsidRPr="00F92978">
        <w:rPr>
          <w:rFonts w:eastAsia="Malgun Gothic"/>
          <w:lang w:val="fr-FR"/>
        </w:rPr>
        <w:t xml:space="preserve">un financement pour la sauvegarde urgente du projet </w:t>
      </w:r>
      <w:proofErr w:type="spellStart"/>
      <w:r w:rsidR="00555AB7" w:rsidRPr="00702497">
        <w:rPr>
          <w:rFonts w:eastAsia="Malgun Gothic"/>
          <w:lang w:val="fr-FR"/>
        </w:rPr>
        <w:t>Xheedo</w:t>
      </w:r>
      <w:proofErr w:type="spellEnd"/>
      <w:r w:rsidR="00DF00B1">
        <w:rPr>
          <w:rFonts w:eastAsia="Malgun Gothic"/>
          <w:lang w:val="fr-FR"/>
        </w:rPr>
        <w:t>,</w:t>
      </w:r>
      <w:r w:rsidRPr="00F92978">
        <w:rPr>
          <w:rFonts w:eastAsia="Malgun Gothic"/>
          <w:lang w:val="fr-FR"/>
        </w:rPr>
        <w:t xml:space="preserve"> qui avait été lancé cette semaine, ce pour quoi </w:t>
      </w:r>
      <w:r w:rsidR="00DF00B1">
        <w:rPr>
          <w:rFonts w:eastAsia="Malgun Gothic"/>
          <w:lang w:val="fr-FR"/>
        </w:rPr>
        <w:t>le pays</w:t>
      </w:r>
      <w:r w:rsidRPr="00F92978">
        <w:rPr>
          <w:rFonts w:eastAsia="Malgun Gothic"/>
          <w:lang w:val="fr-FR"/>
        </w:rPr>
        <w:t xml:space="preserve"> remerciait l</w:t>
      </w:r>
      <w:r w:rsidR="00923E72">
        <w:rPr>
          <w:rFonts w:eastAsia="Malgun Gothic"/>
          <w:lang w:val="fr-FR"/>
        </w:rPr>
        <w:t>’</w:t>
      </w:r>
      <w:r w:rsidRPr="00F92978">
        <w:rPr>
          <w:rFonts w:eastAsia="Malgun Gothic"/>
          <w:lang w:val="fr-FR"/>
        </w:rPr>
        <w:t xml:space="preserve">UNESCO. Pour compenser </w:t>
      </w:r>
      <w:r w:rsidR="00F86E5A">
        <w:rPr>
          <w:rFonts w:eastAsia="Malgun Gothic"/>
          <w:lang w:val="fr-FR"/>
        </w:rPr>
        <w:t>l</w:t>
      </w:r>
      <w:r w:rsidRPr="00F92978">
        <w:rPr>
          <w:rFonts w:eastAsia="Malgun Gothic"/>
          <w:lang w:val="fr-FR"/>
        </w:rPr>
        <w:t>e déséquilibre constaté en matière d</w:t>
      </w:r>
      <w:r w:rsidR="00923E72">
        <w:rPr>
          <w:rFonts w:eastAsia="Malgun Gothic"/>
          <w:lang w:val="fr-FR"/>
        </w:rPr>
        <w:t>’</w:t>
      </w:r>
      <w:r w:rsidRPr="00F92978">
        <w:rPr>
          <w:rFonts w:eastAsia="Malgun Gothic"/>
          <w:lang w:val="fr-FR"/>
        </w:rPr>
        <w:t>inscriptions</w:t>
      </w:r>
      <w:r w:rsidR="00555AB7">
        <w:rPr>
          <w:rFonts w:eastAsia="Malgun Gothic"/>
          <w:lang w:val="fr-FR"/>
        </w:rPr>
        <w:t>,</w:t>
      </w:r>
      <w:r w:rsidRPr="00F92978">
        <w:rPr>
          <w:rFonts w:eastAsia="Malgun Gothic"/>
          <w:lang w:val="fr-FR"/>
        </w:rPr>
        <w:t xml:space="preserve"> du fait d</w:t>
      </w:r>
      <w:r w:rsidR="00923E72">
        <w:rPr>
          <w:rFonts w:eastAsia="Malgun Gothic"/>
          <w:lang w:val="fr-FR"/>
        </w:rPr>
        <w:t>’</w:t>
      </w:r>
      <w:r w:rsidRPr="00F92978">
        <w:rPr>
          <w:rFonts w:eastAsia="Malgun Gothic"/>
          <w:lang w:val="fr-FR"/>
        </w:rPr>
        <w:t>un manque de renforcement des capacités, la délégation a demandé que Djibouti puisse bénéficier d</w:t>
      </w:r>
      <w:r w:rsidR="00923E72">
        <w:rPr>
          <w:rFonts w:eastAsia="Malgun Gothic"/>
          <w:lang w:val="fr-FR"/>
        </w:rPr>
        <w:t>’</w:t>
      </w:r>
      <w:r w:rsidRPr="00F92978">
        <w:rPr>
          <w:rFonts w:eastAsia="Malgun Gothic"/>
          <w:lang w:val="fr-FR"/>
        </w:rPr>
        <w:t>une formation de formateurs afin de former le plus grand nombre de facilitateurs possible. Il était vrai que l</w:t>
      </w:r>
      <w:r w:rsidR="00923E72">
        <w:rPr>
          <w:rFonts w:eastAsia="Malgun Gothic"/>
          <w:lang w:val="fr-FR"/>
        </w:rPr>
        <w:t>’</w:t>
      </w:r>
      <w:r w:rsidRPr="00F92978">
        <w:rPr>
          <w:rFonts w:eastAsia="Malgun Gothic"/>
          <w:lang w:val="fr-FR"/>
        </w:rPr>
        <w:t>UNESCO faisait déjà beaucoup dans le domaine du renforcement des capacités. Cependant, en formant</w:t>
      </w:r>
      <w:r w:rsidR="00F86E5A">
        <w:rPr>
          <w:rFonts w:eastAsia="Malgun Gothic"/>
          <w:lang w:val="fr-FR"/>
        </w:rPr>
        <w:t>, au niveau sous-régional,</w:t>
      </w:r>
      <w:r w:rsidRPr="00F92978">
        <w:rPr>
          <w:rFonts w:eastAsia="Malgun Gothic"/>
          <w:lang w:val="fr-FR"/>
        </w:rPr>
        <w:t xml:space="preserve"> des facilitateur</w:t>
      </w:r>
      <w:r w:rsidR="00F86E5A">
        <w:rPr>
          <w:rFonts w:eastAsia="Malgun Gothic"/>
          <w:lang w:val="fr-FR"/>
        </w:rPr>
        <w:t xml:space="preserve">s </w:t>
      </w:r>
      <w:r w:rsidRPr="00F92978">
        <w:rPr>
          <w:rFonts w:eastAsia="Malgun Gothic"/>
          <w:lang w:val="fr-FR"/>
        </w:rPr>
        <w:t>qui pourraient répondre aux besoins des différents pays en matière de projets, cela permettrait de rattraper le retard et donc de remédier à ce déséquilibre, comme l</w:t>
      </w:r>
      <w:r w:rsidR="00923E72">
        <w:rPr>
          <w:rFonts w:eastAsia="Malgun Gothic"/>
          <w:lang w:val="fr-FR"/>
        </w:rPr>
        <w:t>’</w:t>
      </w:r>
      <w:r w:rsidRPr="00F92978">
        <w:rPr>
          <w:rFonts w:eastAsia="Malgun Gothic"/>
          <w:lang w:val="fr-FR"/>
        </w:rPr>
        <w:t>avaient constaté différents États parties. La délégation a conclu son intervention en félicitant à nouveau l</w:t>
      </w:r>
      <w:r w:rsidR="00923E72">
        <w:rPr>
          <w:rFonts w:eastAsia="Malgun Gothic"/>
          <w:lang w:val="fr-FR"/>
        </w:rPr>
        <w:t>’</w:t>
      </w:r>
      <w:r w:rsidRPr="00F92978">
        <w:rPr>
          <w:rFonts w:eastAsia="Malgun Gothic"/>
          <w:lang w:val="fr-FR"/>
        </w:rPr>
        <w:t>UNESCO pour le succès de MONDIACULT. Cette étape était une phase importante et historique</w:t>
      </w:r>
      <w:r w:rsidR="00FA4B20">
        <w:rPr>
          <w:rFonts w:eastAsia="Malgun Gothic"/>
          <w:lang w:val="fr-FR"/>
        </w:rPr>
        <w:t>,</w:t>
      </w:r>
      <w:r w:rsidRPr="00F92978">
        <w:rPr>
          <w:rFonts w:eastAsia="Malgun Gothic"/>
          <w:lang w:val="fr-FR"/>
        </w:rPr>
        <w:t xml:space="preserve"> qui ouvrait de nouvelles perspectives, intégrant la culture dans le développement durable.</w:t>
      </w:r>
    </w:p>
    <w:p w14:paraId="0EA1CB3C" w14:textId="7F2B4A75" w:rsidR="00555AB7" w:rsidRDefault="00505AC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05ACF">
        <w:rPr>
          <w:rFonts w:eastAsia="Malgun Gothic"/>
          <w:lang w:val="fr-FR"/>
        </w:rPr>
        <w:t xml:space="preserve">La délégation de la </w:t>
      </w:r>
      <w:r w:rsidRPr="00505ACF">
        <w:rPr>
          <w:rFonts w:eastAsia="Malgun Gothic"/>
          <w:b/>
          <w:bCs/>
          <w:lang w:val="fr-FR"/>
        </w:rPr>
        <w:t>Norvège</w:t>
      </w:r>
      <w:r w:rsidRPr="00505ACF">
        <w:rPr>
          <w:rFonts w:eastAsia="Malgun Gothic"/>
          <w:lang w:val="fr-FR"/>
        </w:rPr>
        <w:t xml:space="preserve"> a félicité le Président pour son élection, ajoutant qu</w:t>
      </w:r>
      <w:r w:rsidR="00923E72">
        <w:rPr>
          <w:rFonts w:eastAsia="Malgun Gothic"/>
          <w:lang w:val="fr-FR"/>
        </w:rPr>
        <w:t>’</w:t>
      </w:r>
      <w:r w:rsidRPr="00505ACF">
        <w:rPr>
          <w:rFonts w:eastAsia="Malgun Gothic"/>
          <w:lang w:val="fr-FR"/>
        </w:rPr>
        <w:t xml:space="preserve">elle était heureuse de siéger au Comité </w:t>
      </w:r>
      <w:r w:rsidRPr="00505ACF">
        <w:rPr>
          <w:rFonts w:eastAsia="Malgun Gothic"/>
          <w:i/>
          <w:iCs/>
          <w:lang w:val="fr-FR"/>
        </w:rPr>
        <w:t>in</w:t>
      </w:r>
      <w:r w:rsidR="003A11FA">
        <w:rPr>
          <w:rFonts w:eastAsia="Malgun Gothic"/>
          <w:i/>
          <w:iCs/>
          <w:lang w:val="fr-FR"/>
        </w:rPr>
        <w:t> </w:t>
      </w:r>
      <w:r w:rsidRPr="00505ACF">
        <w:rPr>
          <w:rFonts w:eastAsia="Malgun Gothic"/>
          <w:i/>
          <w:iCs/>
          <w:lang w:val="fr-FR"/>
        </w:rPr>
        <w:t>praesentia</w:t>
      </w:r>
      <w:r w:rsidRPr="00505ACF">
        <w:rPr>
          <w:rFonts w:eastAsia="Malgun Gothic"/>
          <w:lang w:val="fr-FR"/>
        </w:rPr>
        <w:t xml:space="preserve">, en particulier </w:t>
      </w:r>
      <w:r w:rsidR="00442DD4">
        <w:rPr>
          <w:rFonts w:eastAsia="Malgun Gothic"/>
          <w:lang w:val="fr-FR"/>
        </w:rPr>
        <w:t>au</w:t>
      </w:r>
      <w:r w:rsidRPr="00505ACF">
        <w:rPr>
          <w:rFonts w:eastAsia="Malgun Gothic"/>
          <w:lang w:val="fr-FR"/>
        </w:rPr>
        <w:t xml:space="preserve"> Maroc</w:t>
      </w:r>
      <w:r w:rsidR="00442DD4">
        <w:rPr>
          <w:rFonts w:eastAsia="Malgun Gothic"/>
          <w:lang w:val="fr-FR"/>
        </w:rPr>
        <w:t>, ce pays magnifique</w:t>
      </w:r>
      <w:r w:rsidRPr="00505ACF">
        <w:rPr>
          <w:rFonts w:eastAsia="Malgun Gothic"/>
          <w:lang w:val="fr-FR"/>
        </w:rPr>
        <w:t>. La Norvège a remercié et félicité le Secrétariat pour son travail toujours excellent, dont les efforts et les réalisations étaient remarquables. Elle soutenait le travail de réflexion sur les mécanismes d</w:t>
      </w:r>
      <w:r w:rsidR="00923E72">
        <w:rPr>
          <w:rFonts w:eastAsia="Malgun Gothic"/>
          <w:lang w:val="fr-FR"/>
        </w:rPr>
        <w:t>’</w:t>
      </w:r>
      <w:r w:rsidRPr="00505ACF">
        <w:rPr>
          <w:rFonts w:eastAsia="Malgun Gothic"/>
          <w:lang w:val="fr-FR"/>
        </w:rPr>
        <w:t>inscription</w:t>
      </w:r>
      <w:r w:rsidR="00442DD4">
        <w:rPr>
          <w:rFonts w:eastAsia="Malgun Gothic"/>
          <w:lang w:val="fr-FR"/>
        </w:rPr>
        <w:t xml:space="preserve"> </w:t>
      </w:r>
      <w:r w:rsidRPr="00505ACF">
        <w:rPr>
          <w:rFonts w:eastAsia="Malgun Gothic"/>
          <w:lang w:val="fr-FR"/>
        </w:rPr>
        <w:t>et, en particulier, sur l</w:t>
      </w:r>
      <w:r w:rsidR="00923E72">
        <w:rPr>
          <w:rFonts w:eastAsia="Malgun Gothic"/>
          <w:lang w:val="fr-FR"/>
        </w:rPr>
        <w:t>’</w:t>
      </w:r>
      <w:r w:rsidRPr="00505ACF">
        <w:rPr>
          <w:rFonts w:eastAsia="Malgun Gothic"/>
          <w:lang w:val="fr-FR"/>
        </w:rPr>
        <w:t>article</w:t>
      </w:r>
      <w:r w:rsidR="006773EF">
        <w:rPr>
          <w:rFonts w:eastAsia="Malgun Gothic"/>
          <w:lang w:val="fr-FR"/>
        </w:rPr>
        <w:t> </w:t>
      </w:r>
      <w:r w:rsidRPr="00505ACF">
        <w:rPr>
          <w:rFonts w:eastAsia="Malgun Gothic"/>
          <w:lang w:val="fr-FR"/>
        </w:rPr>
        <w:t>18. La délégation s</w:t>
      </w:r>
      <w:r w:rsidR="00923E72">
        <w:rPr>
          <w:rFonts w:eastAsia="Malgun Gothic"/>
          <w:lang w:val="fr-FR"/>
        </w:rPr>
        <w:t>’</w:t>
      </w:r>
      <w:r w:rsidRPr="00505ACF">
        <w:rPr>
          <w:rFonts w:eastAsia="Malgun Gothic"/>
          <w:lang w:val="fr-FR"/>
        </w:rPr>
        <w:t>est réjouie de constater que l</w:t>
      </w:r>
      <w:r w:rsidR="00923E72">
        <w:rPr>
          <w:rFonts w:eastAsia="Malgun Gothic"/>
          <w:lang w:val="fr-FR"/>
        </w:rPr>
        <w:t>’</w:t>
      </w:r>
      <w:r w:rsidRPr="00505ACF">
        <w:rPr>
          <w:rFonts w:eastAsia="Malgun Gothic"/>
          <w:lang w:val="fr-FR"/>
        </w:rPr>
        <w:t>évaluation du processus de réflexion avait jusqu</w:t>
      </w:r>
      <w:r w:rsidR="00923E72">
        <w:rPr>
          <w:rFonts w:eastAsia="Malgun Gothic"/>
          <w:lang w:val="fr-FR"/>
        </w:rPr>
        <w:t>’</w:t>
      </w:r>
      <w:r w:rsidR="00750546">
        <w:rPr>
          <w:rFonts w:eastAsia="Malgun Gothic"/>
          <w:lang w:val="fr-FR"/>
        </w:rPr>
        <w:t xml:space="preserve">alors </w:t>
      </w:r>
      <w:r w:rsidRPr="00505ACF">
        <w:rPr>
          <w:rFonts w:eastAsia="Malgun Gothic"/>
          <w:lang w:val="fr-FR"/>
        </w:rPr>
        <w:t xml:space="preserve">permis de dégager de nouvelles idées qui contribueraient à préserver et à garantir la durabilité et la légitimité des </w:t>
      </w:r>
      <w:r w:rsidRPr="00505ACF">
        <w:rPr>
          <w:rFonts w:eastAsia="Malgun Gothic"/>
          <w:lang w:val="fr-FR"/>
        </w:rPr>
        <w:lastRenderedPageBreak/>
        <w:t>mécanismes d</w:t>
      </w:r>
      <w:r w:rsidR="00923E72">
        <w:rPr>
          <w:rFonts w:eastAsia="Malgun Gothic"/>
          <w:lang w:val="fr-FR"/>
        </w:rPr>
        <w:t>’</w:t>
      </w:r>
      <w:r w:rsidRPr="00505ACF">
        <w:rPr>
          <w:rFonts w:eastAsia="Malgun Gothic"/>
          <w:lang w:val="fr-FR"/>
        </w:rPr>
        <w:t>inscription</w:t>
      </w:r>
      <w:r w:rsidR="00F83447">
        <w:rPr>
          <w:rFonts w:eastAsia="Malgun Gothic"/>
          <w:lang w:val="fr-FR"/>
        </w:rPr>
        <w:t xml:space="preserve"> </w:t>
      </w:r>
      <w:r w:rsidRPr="00505ACF">
        <w:rPr>
          <w:rFonts w:eastAsia="Malgun Gothic"/>
          <w:lang w:val="fr-FR"/>
        </w:rPr>
        <w:t>ainsi que de la Convention elle-même. Dans les années à venir, elle souhaitait que l</w:t>
      </w:r>
      <w:r w:rsidR="00923E72">
        <w:rPr>
          <w:rFonts w:eastAsia="Malgun Gothic"/>
          <w:lang w:val="fr-FR"/>
        </w:rPr>
        <w:t>’</w:t>
      </w:r>
      <w:r w:rsidRPr="00505ACF">
        <w:rPr>
          <w:rFonts w:eastAsia="Malgun Gothic"/>
          <w:lang w:val="fr-FR"/>
        </w:rPr>
        <w:t>accent soit mis sur le rôle des populations et communautés autochtones dans la sauvegarde du patrimoine culturel immatériel, car elles jouent un rôle essentiel et significatif dans la sauvegarde, comme cela avait été souligné lors de la conférence MONDIACULT au Mexique. La délégation souhaitait que cet aspect soit davantage reconnu, et que leur participation soit plus importante. Cela devrait se traduire dans l</w:t>
      </w:r>
      <w:r w:rsidR="00923E72">
        <w:rPr>
          <w:rFonts w:eastAsia="Malgun Gothic"/>
          <w:lang w:val="fr-FR"/>
        </w:rPr>
        <w:t>’</w:t>
      </w:r>
      <w:r w:rsidRPr="00505ACF">
        <w:rPr>
          <w:rFonts w:eastAsia="Malgun Gothic"/>
          <w:lang w:val="fr-FR"/>
        </w:rPr>
        <w:t>esprit de la Convention ainsi que dans la réalisation des objectifs des ODD. En effet, la question des populations et des communautés autochtones devrait être systématiquement mise en avant, aller au-delà des simples activités de sensibilisation et se refléter dans les plans de travail et d</w:t>
      </w:r>
      <w:r w:rsidR="00923E72">
        <w:rPr>
          <w:rFonts w:eastAsia="Malgun Gothic"/>
          <w:lang w:val="fr-FR"/>
        </w:rPr>
        <w:t>’</w:t>
      </w:r>
      <w:r w:rsidRPr="00505ACF">
        <w:rPr>
          <w:rFonts w:eastAsia="Malgun Gothic"/>
          <w:lang w:val="fr-FR"/>
        </w:rPr>
        <w:t xml:space="preserve">activité. </w:t>
      </w:r>
      <w:r w:rsidR="00750546">
        <w:rPr>
          <w:rFonts w:eastAsia="Malgun Gothic"/>
          <w:lang w:val="fr-FR"/>
        </w:rPr>
        <w:t>En outre, l</w:t>
      </w:r>
      <w:r w:rsidRPr="00505ACF">
        <w:rPr>
          <w:rFonts w:eastAsia="Malgun Gothic"/>
          <w:lang w:val="fr-FR"/>
        </w:rPr>
        <w:t xml:space="preserve">a Convention avait le potentiel de jouer un rôle dans la Décennie </w:t>
      </w:r>
      <w:r w:rsidR="00750546" w:rsidRPr="00750546">
        <w:rPr>
          <w:rFonts w:eastAsia="Malgun Gothic"/>
          <w:lang w:val="fr-FR"/>
        </w:rPr>
        <w:t>internationale</w:t>
      </w:r>
      <w:r w:rsidR="00750546">
        <w:rPr>
          <w:rFonts w:eastAsia="Malgun Gothic"/>
          <w:lang w:val="fr-FR"/>
        </w:rPr>
        <w:t xml:space="preserve"> </w:t>
      </w:r>
      <w:r w:rsidRPr="00505ACF">
        <w:rPr>
          <w:rFonts w:eastAsia="Malgun Gothic"/>
          <w:lang w:val="fr-FR"/>
        </w:rPr>
        <w:t>des langues autochtones des Nations</w:t>
      </w:r>
      <w:r w:rsidR="00442DD4">
        <w:rPr>
          <w:rFonts w:eastAsia="Malgun Gothic"/>
          <w:lang w:val="fr-FR"/>
        </w:rPr>
        <w:t> </w:t>
      </w:r>
      <w:r w:rsidR="00750546">
        <w:rPr>
          <w:rFonts w:eastAsia="Malgun Gothic"/>
          <w:lang w:val="fr-FR"/>
        </w:rPr>
        <w:t>U</w:t>
      </w:r>
      <w:r w:rsidRPr="00505ACF">
        <w:rPr>
          <w:rFonts w:eastAsia="Malgun Gothic"/>
          <w:lang w:val="fr-FR"/>
        </w:rPr>
        <w:t>nies (2022</w:t>
      </w:r>
      <w:r w:rsidR="00442DD4">
        <w:rPr>
          <w:rFonts w:eastAsia="Malgun Gothic"/>
          <w:lang w:val="fr-FR"/>
        </w:rPr>
        <w:noBreakHyphen/>
      </w:r>
      <w:r w:rsidRPr="00505ACF">
        <w:rPr>
          <w:rFonts w:eastAsia="Malgun Gothic"/>
          <w:lang w:val="fr-FR"/>
        </w:rPr>
        <w:t>2032</w:t>
      </w:r>
      <w:r w:rsidR="00C7018E">
        <w:rPr>
          <w:rFonts w:eastAsia="Malgun Gothic"/>
          <w:lang w:val="fr-FR"/>
        </w:rPr>
        <w:t>)</w:t>
      </w:r>
      <w:r w:rsidR="00750546">
        <w:rPr>
          <w:rStyle w:val="FootnoteReference"/>
          <w:rFonts w:eastAsia="Malgun Gothic"/>
          <w:lang w:val="fr-FR"/>
        </w:rPr>
        <w:footnoteReference w:id="14"/>
      </w:r>
      <w:r w:rsidR="007069CB">
        <w:rPr>
          <w:rFonts w:eastAsia="Malgun Gothic"/>
          <w:lang w:val="fr-FR"/>
        </w:rPr>
        <w:t>, qui</w:t>
      </w:r>
      <w:r w:rsidRPr="00505ACF">
        <w:rPr>
          <w:rFonts w:eastAsia="Malgun Gothic"/>
          <w:lang w:val="fr-FR"/>
        </w:rPr>
        <w:t xml:space="preserve"> suivrait également les décisions prises lors de MONDIACULT</w:t>
      </w:r>
      <w:r w:rsidR="00246428">
        <w:rPr>
          <w:rFonts w:eastAsia="Malgun Gothic"/>
          <w:lang w:val="fr-FR"/>
        </w:rPr>
        <w:t> </w:t>
      </w:r>
      <w:r w:rsidRPr="00505ACF">
        <w:rPr>
          <w:rFonts w:eastAsia="Malgun Gothic"/>
          <w:lang w:val="fr-FR"/>
        </w:rPr>
        <w:t>2022. La délégation, qui soutenait fermement les travaux sur le patrimoine culturel immatériel dans les situations d</w:t>
      </w:r>
      <w:r w:rsidR="00923E72">
        <w:rPr>
          <w:rFonts w:eastAsia="Malgun Gothic"/>
          <w:lang w:val="fr-FR"/>
        </w:rPr>
        <w:t>’</w:t>
      </w:r>
      <w:r w:rsidRPr="00505ACF">
        <w:rPr>
          <w:rFonts w:eastAsia="Malgun Gothic"/>
          <w:lang w:val="fr-FR"/>
        </w:rPr>
        <w:t>urgence, a particulièrement mis en évidence le rôle du Fonds d</w:t>
      </w:r>
      <w:r w:rsidR="00923E72">
        <w:rPr>
          <w:rFonts w:eastAsia="Malgun Gothic"/>
          <w:lang w:val="fr-FR"/>
        </w:rPr>
        <w:t>’</w:t>
      </w:r>
      <w:r w:rsidRPr="00505ACF">
        <w:rPr>
          <w:rFonts w:eastAsia="Malgun Gothic"/>
          <w:lang w:val="fr-FR"/>
        </w:rPr>
        <w:t>urgence pour le patrimoine.</w:t>
      </w:r>
    </w:p>
    <w:p w14:paraId="741EF3A9" w14:textId="4D220884" w:rsidR="00750546" w:rsidRDefault="0075054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750546">
        <w:rPr>
          <w:rFonts w:eastAsia="Malgun Gothic"/>
          <w:lang w:val="fr-FR"/>
        </w:rPr>
        <w:t>La délégation de l</w:t>
      </w:r>
      <w:r w:rsidR="00923E72">
        <w:rPr>
          <w:rFonts w:eastAsia="Malgun Gothic"/>
          <w:lang w:val="fr-FR"/>
        </w:rPr>
        <w:t>’</w:t>
      </w:r>
      <w:r w:rsidRPr="00750546">
        <w:rPr>
          <w:rFonts w:eastAsia="Malgun Gothic"/>
          <w:b/>
          <w:bCs/>
          <w:lang w:val="fr-FR"/>
        </w:rPr>
        <w:t>Arménie</w:t>
      </w:r>
      <w:r w:rsidRPr="00750546">
        <w:rPr>
          <w:rFonts w:eastAsia="Malgun Gothic"/>
          <w:lang w:val="fr-FR"/>
        </w:rPr>
        <w:t xml:space="preserve"> s</w:t>
      </w:r>
      <w:r w:rsidR="00923E72">
        <w:rPr>
          <w:rFonts w:eastAsia="Malgun Gothic"/>
          <w:lang w:val="fr-FR"/>
        </w:rPr>
        <w:t>’</w:t>
      </w:r>
      <w:r w:rsidRPr="00750546">
        <w:rPr>
          <w:rFonts w:eastAsia="Malgun Gothic"/>
          <w:lang w:val="fr-FR"/>
        </w:rPr>
        <w:t>est jointe aux orateurs précédents pour féliciter le Président et remercier le Gouvernement du Maroc d</w:t>
      </w:r>
      <w:r w:rsidR="00923E72">
        <w:rPr>
          <w:rFonts w:eastAsia="Malgun Gothic"/>
          <w:lang w:val="fr-FR"/>
        </w:rPr>
        <w:t>’</w:t>
      </w:r>
      <w:r w:rsidRPr="00750546">
        <w:rPr>
          <w:rFonts w:eastAsia="Malgun Gothic"/>
          <w:lang w:val="fr-FR"/>
        </w:rPr>
        <w:t>accueillir cet événement important. Elle a également remercié le Secrétariat pour l</w:t>
      </w:r>
      <w:r w:rsidR="00923E72">
        <w:rPr>
          <w:rFonts w:eastAsia="Malgun Gothic"/>
          <w:lang w:val="fr-FR"/>
        </w:rPr>
        <w:t>’</w:t>
      </w:r>
      <w:r w:rsidRPr="00750546">
        <w:rPr>
          <w:rFonts w:eastAsia="Malgun Gothic"/>
          <w:lang w:val="fr-FR"/>
        </w:rPr>
        <w:t>excellent rapport</w:t>
      </w:r>
      <w:r w:rsidR="00442DD4">
        <w:rPr>
          <w:rFonts w:eastAsia="Malgun Gothic"/>
          <w:lang w:val="fr-FR"/>
        </w:rPr>
        <w:t xml:space="preserve"> ainsi </w:t>
      </w:r>
      <w:r w:rsidR="00E11821">
        <w:rPr>
          <w:rFonts w:eastAsia="Malgun Gothic"/>
          <w:lang w:val="fr-FR"/>
        </w:rPr>
        <w:t>que pou</w:t>
      </w:r>
      <w:r w:rsidR="00E11821" w:rsidRPr="00750546">
        <w:rPr>
          <w:rFonts w:eastAsia="Malgun Gothic"/>
          <w:lang w:val="fr-FR"/>
        </w:rPr>
        <w:t>r</w:t>
      </w:r>
      <w:r w:rsidR="00E11821">
        <w:rPr>
          <w:rFonts w:eastAsia="Malgun Gothic"/>
          <w:lang w:val="fr-FR"/>
        </w:rPr>
        <w:t xml:space="preserve"> </w:t>
      </w:r>
      <w:r w:rsidRPr="00750546">
        <w:rPr>
          <w:rFonts w:eastAsia="Malgun Gothic"/>
          <w:lang w:val="fr-FR"/>
        </w:rPr>
        <w:t xml:space="preserve">le travail impressionnant et les initiatives mises en œuvre. </w:t>
      </w:r>
      <w:r w:rsidR="00C16B8F">
        <w:rPr>
          <w:rFonts w:eastAsia="Malgun Gothic"/>
          <w:lang w:val="fr-FR"/>
        </w:rPr>
        <w:t>L</w:t>
      </w:r>
      <w:r w:rsidRPr="00750546">
        <w:rPr>
          <w:rFonts w:eastAsia="Malgun Gothic"/>
          <w:lang w:val="fr-FR"/>
        </w:rPr>
        <w:t>a délégation a</w:t>
      </w:r>
      <w:r w:rsidR="00C16B8F">
        <w:rPr>
          <w:rFonts w:eastAsia="Malgun Gothic"/>
          <w:lang w:val="fr-FR"/>
        </w:rPr>
        <w:t xml:space="preserve"> </w:t>
      </w:r>
      <w:r w:rsidR="00F86E5A">
        <w:rPr>
          <w:rFonts w:eastAsia="Malgun Gothic"/>
          <w:lang w:val="fr-FR"/>
        </w:rPr>
        <w:t xml:space="preserve">tout particulièrement </w:t>
      </w:r>
      <w:r w:rsidRPr="00750546">
        <w:rPr>
          <w:rFonts w:eastAsia="Malgun Gothic"/>
          <w:lang w:val="fr-FR"/>
        </w:rPr>
        <w:t>souligné les résultats encourageants de la réflexion globale sur les mécanismes d</w:t>
      </w:r>
      <w:r w:rsidR="00923E72">
        <w:rPr>
          <w:rFonts w:eastAsia="Malgun Gothic"/>
          <w:lang w:val="fr-FR"/>
        </w:rPr>
        <w:t>’</w:t>
      </w:r>
      <w:r w:rsidRPr="00750546">
        <w:rPr>
          <w:rFonts w:eastAsia="Malgun Gothic"/>
          <w:lang w:val="fr-FR"/>
        </w:rPr>
        <w:t xml:space="preserve">inscription </w:t>
      </w:r>
      <w:r w:rsidR="007069CB">
        <w:rPr>
          <w:rFonts w:eastAsia="Malgun Gothic"/>
          <w:lang w:val="fr-FR"/>
        </w:rPr>
        <w:t>ainsi que</w:t>
      </w:r>
      <w:r w:rsidRPr="00750546">
        <w:rPr>
          <w:rFonts w:eastAsia="Malgun Gothic"/>
          <w:lang w:val="fr-FR"/>
        </w:rPr>
        <w:t xml:space="preserve"> la nette amélioration du taux de soumission des rapports périodiques grâce à la réforme du système de soumission des rapports périodiques. La délégation s</w:t>
      </w:r>
      <w:r w:rsidR="00923E72">
        <w:rPr>
          <w:rFonts w:eastAsia="Malgun Gothic"/>
          <w:lang w:val="fr-FR"/>
        </w:rPr>
        <w:t>’</w:t>
      </w:r>
      <w:r w:rsidRPr="00750546">
        <w:rPr>
          <w:rFonts w:eastAsia="Malgun Gothic"/>
          <w:lang w:val="fr-FR"/>
        </w:rPr>
        <w:t>est également félicitée du projet mis en œuvre pour les pays africains et les PEID dans les domaines du patrimoine vivant et de l</w:t>
      </w:r>
      <w:r w:rsidR="00923E72">
        <w:rPr>
          <w:rFonts w:eastAsia="Malgun Gothic"/>
          <w:lang w:val="fr-FR"/>
        </w:rPr>
        <w:t>’</w:t>
      </w:r>
      <w:r w:rsidRPr="00750546">
        <w:rPr>
          <w:rFonts w:eastAsia="Malgun Gothic"/>
          <w:lang w:val="fr-FR"/>
        </w:rPr>
        <w:t>éducation, du renforcement des capacités et de la sauvegarde. Un autre domaine important était la sauvegarde du patrimoine vivant dans les situations d</w:t>
      </w:r>
      <w:r w:rsidR="00923E72">
        <w:rPr>
          <w:rFonts w:eastAsia="Malgun Gothic"/>
          <w:lang w:val="fr-FR"/>
        </w:rPr>
        <w:t>’</w:t>
      </w:r>
      <w:r w:rsidRPr="00750546">
        <w:rPr>
          <w:rFonts w:eastAsia="Malgun Gothic"/>
          <w:lang w:val="fr-FR"/>
        </w:rPr>
        <w:t>urgence. Dans le monde entier, le patrimoine vivant était de plus en plus concerné par les situations d</w:t>
      </w:r>
      <w:r w:rsidR="00923E72">
        <w:rPr>
          <w:rFonts w:eastAsia="Malgun Gothic"/>
          <w:lang w:val="fr-FR"/>
        </w:rPr>
        <w:t>’</w:t>
      </w:r>
      <w:r w:rsidRPr="00750546">
        <w:rPr>
          <w:rFonts w:eastAsia="Malgun Gothic"/>
          <w:lang w:val="fr-FR"/>
        </w:rPr>
        <w:t>urgence, y compris les conflits et les catastrophes. La délégation a rappelé que les situations d</w:t>
      </w:r>
      <w:r w:rsidR="00923E72">
        <w:rPr>
          <w:rFonts w:eastAsia="Malgun Gothic"/>
          <w:lang w:val="fr-FR"/>
        </w:rPr>
        <w:t>’</w:t>
      </w:r>
      <w:r w:rsidRPr="00750546">
        <w:rPr>
          <w:rFonts w:eastAsia="Malgun Gothic"/>
          <w:lang w:val="fr-FR"/>
        </w:rPr>
        <w:t>urgence menacent directement la transmission et la viabilité du patrimoine culturel immatériel</w:t>
      </w:r>
      <w:r w:rsidR="00C16B8F">
        <w:rPr>
          <w:rFonts w:eastAsia="Malgun Gothic"/>
          <w:lang w:val="fr-FR"/>
        </w:rPr>
        <w:t>,</w:t>
      </w:r>
      <w:r w:rsidRPr="00750546">
        <w:rPr>
          <w:rFonts w:eastAsia="Malgun Gothic"/>
          <w:lang w:val="fr-FR"/>
        </w:rPr>
        <w:t xml:space="preserve"> qui constitue un fondement essentiel de l</w:t>
      </w:r>
      <w:r w:rsidR="00923E72">
        <w:rPr>
          <w:rFonts w:eastAsia="Malgun Gothic"/>
          <w:lang w:val="fr-FR"/>
        </w:rPr>
        <w:t>’</w:t>
      </w:r>
      <w:r w:rsidRPr="00750546">
        <w:rPr>
          <w:rFonts w:eastAsia="Malgun Gothic"/>
          <w:lang w:val="fr-FR"/>
        </w:rPr>
        <w:t xml:space="preserve">identité et de la durabilité des communautés. </w:t>
      </w:r>
      <w:r w:rsidR="00DA2E21">
        <w:rPr>
          <w:rFonts w:eastAsia="Malgun Gothic"/>
          <w:lang w:val="fr-FR"/>
        </w:rPr>
        <w:t>Pour cette raison,</w:t>
      </w:r>
      <w:r w:rsidRPr="00750546">
        <w:rPr>
          <w:rFonts w:eastAsia="Malgun Gothic"/>
          <w:lang w:val="fr-FR"/>
        </w:rPr>
        <w:t xml:space="preserve"> la sauvegarde du patrimoine vivant dans les situations d</w:t>
      </w:r>
      <w:r w:rsidR="00923E72">
        <w:rPr>
          <w:rFonts w:eastAsia="Malgun Gothic"/>
          <w:lang w:val="fr-FR"/>
        </w:rPr>
        <w:t>’</w:t>
      </w:r>
      <w:r w:rsidRPr="00750546">
        <w:rPr>
          <w:rFonts w:eastAsia="Malgun Gothic"/>
          <w:lang w:val="fr-FR"/>
        </w:rPr>
        <w:t xml:space="preserve">urgence était de la plus haute importance pour la protection des vies et le bien-être de ses détenteurs. La délégation a salué une fois de plus les efforts du Secrétariat </w:t>
      </w:r>
      <w:r w:rsidR="00C16B8F">
        <w:rPr>
          <w:rFonts w:eastAsia="Malgun Gothic"/>
          <w:lang w:val="fr-FR"/>
        </w:rPr>
        <w:t>dans ce domaine</w:t>
      </w:r>
      <w:r w:rsidRPr="00750546">
        <w:rPr>
          <w:rFonts w:eastAsia="Malgun Gothic"/>
          <w:lang w:val="fr-FR"/>
        </w:rPr>
        <w:t xml:space="preserve">. </w:t>
      </w:r>
      <w:r w:rsidR="00F86E5A">
        <w:rPr>
          <w:rFonts w:eastAsia="Malgun Gothic"/>
          <w:lang w:val="fr-FR"/>
        </w:rPr>
        <w:t>A</w:t>
      </w:r>
      <w:r w:rsidRPr="00750546">
        <w:rPr>
          <w:rFonts w:eastAsia="Malgun Gothic"/>
          <w:lang w:val="fr-FR"/>
        </w:rPr>
        <w:t>u cours des dernières années, l</w:t>
      </w:r>
      <w:r w:rsidR="00923E72">
        <w:rPr>
          <w:rFonts w:eastAsia="Malgun Gothic"/>
          <w:lang w:val="fr-FR"/>
        </w:rPr>
        <w:t>’</w:t>
      </w:r>
      <w:r w:rsidRPr="00750546">
        <w:rPr>
          <w:rFonts w:eastAsia="Malgun Gothic"/>
          <w:lang w:val="fr-FR"/>
        </w:rPr>
        <w:t xml:space="preserve">Arménie était </w:t>
      </w:r>
      <w:r w:rsidR="00F86E5A">
        <w:rPr>
          <w:rFonts w:eastAsia="Malgun Gothic"/>
          <w:lang w:val="fr-FR"/>
        </w:rPr>
        <w:t>d</w:t>
      </w:r>
      <w:r w:rsidR="00923E72">
        <w:rPr>
          <w:rFonts w:eastAsia="Malgun Gothic"/>
          <w:lang w:val="fr-FR"/>
        </w:rPr>
        <w:t>’</w:t>
      </w:r>
      <w:r w:rsidR="00F86E5A">
        <w:rPr>
          <w:rFonts w:eastAsia="Malgun Gothic"/>
          <w:lang w:val="fr-FR"/>
        </w:rPr>
        <w:t xml:space="preserve">ailleurs </w:t>
      </w:r>
      <w:r w:rsidRPr="00750546">
        <w:rPr>
          <w:rFonts w:eastAsia="Malgun Gothic"/>
          <w:lang w:val="fr-FR"/>
        </w:rPr>
        <w:t>devenue la terre d</w:t>
      </w:r>
      <w:r w:rsidR="00923E72">
        <w:rPr>
          <w:rFonts w:eastAsia="Malgun Gothic"/>
          <w:lang w:val="fr-FR"/>
        </w:rPr>
        <w:t>’</w:t>
      </w:r>
      <w:r w:rsidRPr="00750546">
        <w:rPr>
          <w:rFonts w:eastAsia="Malgun Gothic"/>
          <w:lang w:val="fr-FR"/>
        </w:rPr>
        <w:t xml:space="preserve">accueil des réfugiés de Syrie et du Haut-Karabakh. Le Gouvernement </w:t>
      </w:r>
      <w:r w:rsidR="00C16B8F">
        <w:rPr>
          <w:rFonts w:eastAsia="Malgun Gothic"/>
          <w:lang w:val="fr-FR"/>
        </w:rPr>
        <w:t>de l</w:t>
      </w:r>
      <w:r w:rsidR="00923E72">
        <w:rPr>
          <w:rFonts w:eastAsia="Malgun Gothic"/>
          <w:lang w:val="fr-FR"/>
        </w:rPr>
        <w:t>’</w:t>
      </w:r>
      <w:r w:rsidR="00C16B8F">
        <w:rPr>
          <w:rFonts w:eastAsia="Malgun Gothic"/>
          <w:lang w:val="fr-FR"/>
        </w:rPr>
        <w:t>A</w:t>
      </w:r>
      <w:r w:rsidRPr="00750546">
        <w:rPr>
          <w:rFonts w:eastAsia="Malgun Gothic"/>
          <w:lang w:val="fr-FR"/>
        </w:rPr>
        <w:t xml:space="preserve">rménie </w:t>
      </w:r>
      <w:r w:rsidR="007069CB">
        <w:rPr>
          <w:rFonts w:eastAsia="Malgun Gothic"/>
          <w:lang w:val="fr-FR"/>
        </w:rPr>
        <w:t xml:space="preserve">avait pris </w:t>
      </w:r>
      <w:r w:rsidRPr="00750546">
        <w:rPr>
          <w:rFonts w:eastAsia="Malgun Gothic"/>
          <w:lang w:val="fr-FR"/>
        </w:rPr>
        <w:t xml:space="preserve">les mesures nécessaires pour répondre aux besoins humanitaires des réfugiés, y compris la sauvegarde et la transmission de leur patrimoine vivant. Cependant, en raison de la question </w:t>
      </w:r>
      <w:r w:rsidR="007069CB">
        <w:rPr>
          <w:rFonts w:eastAsia="Malgun Gothic"/>
          <w:lang w:val="fr-FR"/>
        </w:rPr>
        <w:t xml:space="preserve">complexe </w:t>
      </w:r>
      <w:r w:rsidRPr="00750546">
        <w:rPr>
          <w:rFonts w:eastAsia="Malgun Gothic"/>
          <w:lang w:val="fr-FR"/>
        </w:rPr>
        <w:t>et de la diversité des spécificités communautaires, l</w:t>
      </w:r>
      <w:r w:rsidR="00923E72">
        <w:rPr>
          <w:rFonts w:eastAsia="Malgun Gothic"/>
          <w:lang w:val="fr-FR"/>
        </w:rPr>
        <w:t>’</w:t>
      </w:r>
      <w:r w:rsidRPr="00750546">
        <w:rPr>
          <w:rFonts w:eastAsia="Malgun Gothic"/>
          <w:lang w:val="fr-FR"/>
        </w:rPr>
        <w:t>expérience et l</w:t>
      </w:r>
      <w:r w:rsidR="00923E72">
        <w:rPr>
          <w:rFonts w:eastAsia="Malgun Gothic"/>
          <w:lang w:val="fr-FR"/>
        </w:rPr>
        <w:t>’</w:t>
      </w:r>
      <w:r w:rsidRPr="00750546">
        <w:rPr>
          <w:rFonts w:eastAsia="Malgun Gothic"/>
          <w:lang w:val="fr-FR"/>
        </w:rPr>
        <w:t>assistance de l</w:t>
      </w:r>
      <w:r w:rsidR="00923E72">
        <w:rPr>
          <w:rFonts w:eastAsia="Malgun Gothic"/>
          <w:lang w:val="fr-FR"/>
        </w:rPr>
        <w:t>’</w:t>
      </w:r>
      <w:r w:rsidRPr="00750546">
        <w:rPr>
          <w:rFonts w:eastAsia="Malgun Gothic"/>
          <w:lang w:val="fr-FR"/>
        </w:rPr>
        <w:t>UNESCO seraient d</w:t>
      </w:r>
      <w:r w:rsidR="00923E72">
        <w:rPr>
          <w:rFonts w:eastAsia="Malgun Gothic"/>
          <w:lang w:val="fr-FR"/>
        </w:rPr>
        <w:t>’</w:t>
      </w:r>
      <w:r w:rsidRPr="00750546">
        <w:rPr>
          <w:rFonts w:eastAsia="Malgun Gothic"/>
          <w:lang w:val="fr-FR"/>
        </w:rPr>
        <w:t>une grande aide. À cet égard, la délégation souhaitait demander au Secrétariat de communiquer davantage d</w:t>
      </w:r>
      <w:r w:rsidR="00923E72">
        <w:rPr>
          <w:rFonts w:eastAsia="Malgun Gothic"/>
          <w:lang w:val="fr-FR"/>
        </w:rPr>
        <w:t>’</w:t>
      </w:r>
      <w:r w:rsidRPr="00750546">
        <w:rPr>
          <w:rFonts w:eastAsia="Malgun Gothic"/>
          <w:lang w:val="fr-FR"/>
        </w:rPr>
        <w:t>informations sur les mécanismes existants, en particulier pour l</w:t>
      </w:r>
      <w:r w:rsidR="00923E72">
        <w:rPr>
          <w:rFonts w:eastAsia="Malgun Gothic"/>
          <w:lang w:val="fr-FR"/>
        </w:rPr>
        <w:t>’</w:t>
      </w:r>
      <w:r w:rsidRPr="00750546">
        <w:rPr>
          <w:rFonts w:eastAsia="Malgun Gothic"/>
          <w:lang w:val="fr-FR"/>
        </w:rPr>
        <w:t>identification des besoins des communautés et le renforcement des capacités en vue de sauvegarder le patrimoine vivant des réfugiés dans un nouvel environnement.</w:t>
      </w:r>
    </w:p>
    <w:p w14:paraId="15F31923" w14:textId="1190F012" w:rsidR="00750546" w:rsidRDefault="0075054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750546">
        <w:rPr>
          <w:rFonts w:eastAsia="Malgun Gothic"/>
          <w:lang w:val="fr-FR"/>
        </w:rPr>
        <w:t xml:space="preserve">La délégation du </w:t>
      </w:r>
      <w:r w:rsidRPr="00750546">
        <w:rPr>
          <w:rFonts w:eastAsia="Malgun Gothic"/>
          <w:b/>
          <w:bCs/>
          <w:lang w:val="fr-FR"/>
        </w:rPr>
        <w:t>Gabon</w:t>
      </w:r>
      <w:r w:rsidRPr="00750546">
        <w:rPr>
          <w:rFonts w:eastAsia="Malgun Gothic"/>
          <w:lang w:val="fr-FR"/>
        </w:rPr>
        <w:t xml:space="preserve"> a félicité le Président pour sa conduite de la dix</w:t>
      </w:r>
      <w:r w:rsidR="00E11821">
        <w:rPr>
          <w:rFonts w:eastAsia="Malgun Gothic"/>
          <w:lang w:val="fr-FR"/>
        </w:rPr>
        <w:noBreakHyphen/>
      </w:r>
      <w:r w:rsidRPr="00750546">
        <w:rPr>
          <w:rFonts w:eastAsia="Malgun Gothic"/>
          <w:lang w:val="fr-FR"/>
        </w:rPr>
        <w:t xml:space="preserve">septième session du Comité ainsi que le Gouvernement et le peuple </w:t>
      </w:r>
      <w:r w:rsidR="00E11821">
        <w:rPr>
          <w:rFonts w:eastAsia="Malgun Gothic"/>
          <w:lang w:val="fr-FR"/>
        </w:rPr>
        <w:t>du M</w:t>
      </w:r>
      <w:r w:rsidRPr="00750546">
        <w:rPr>
          <w:rFonts w:eastAsia="Malgun Gothic"/>
          <w:lang w:val="fr-FR"/>
        </w:rPr>
        <w:t>aroc pour leur grande hospitalité et la magnifique cérémonie d</w:t>
      </w:r>
      <w:r w:rsidR="00923E72">
        <w:rPr>
          <w:rFonts w:eastAsia="Malgun Gothic"/>
          <w:lang w:val="fr-FR"/>
        </w:rPr>
        <w:t>’</w:t>
      </w:r>
      <w:r w:rsidRPr="00750546">
        <w:rPr>
          <w:rFonts w:eastAsia="Malgun Gothic"/>
          <w:lang w:val="fr-FR"/>
        </w:rPr>
        <w:t>ouverture. Elle a félicité le Secrétariat pour son rapport très détaillé et pertinent. La délégation soutenait les remarques formulées</w:t>
      </w:r>
      <w:r w:rsidR="00F86E5A">
        <w:rPr>
          <w:rFonts w:eastAsia="Malgun Gothic"/>
          <w:lang w:val="fr-FR"/>
        </w:rPr>
        <w:t>, entre autres,</w:t>
      </w:r>
      <w:r w:rsidRPr="00750546">
        <w:rPr>
          <w:rFonts w:eastAsia="Malgun Gothic"/>
          <w:lang w:val="fr-FR"/>
        </w:rPr>
        <w:t xml:space="preserve"> par le Burkina Faso et le Rwand</w:t>
      </w:r>
      <w:r w:rsidR="00F86E5A">
        <w:rPr>
          <w:rFonts w:eastAsia="Malgun Gothic"/>
          <w:lang w:val="fr-FR"/>
        </w:rPr>
        <w:t xml:space="preserve">a </w:t>
      </w:r>
      <w:r w:rsidRPr="00750546">
        <w:rPr>
          <w:rFonts w:eastAsia="Malgun Gothic"/>
          <w:lang w:val="fr-FR"/>
        </w:rPr>
        <w:t>pour qu</w:t>
      </w:r>
      <w:r w:rsidR="00923E72">
        <w:rPr>
          <w:rFonts w:eastAsia="Malgun Gothic"/>
          <w:lang w:val="fr-FR"/>
        </w:rPr>
        <w:t>’</w:t>
      </w:r>
      <w:r w:rsidRPr="00750546">
        <w:rPr>
          <w:rFonts w:eastAsia="Malgun Gothic"/>
          <w:lang w:val="fr-FR"/>
        </w:rPr>
        <w:t>un plus grand nombre d</w:t>
      </w:r>
      <w:r w:rsidR="00923E72">
        <w:rPr>
          <w:rFonts w:eastAsia="Malgun Gothic"/>
          <w:lang w:val="fr-FR"/>
        </w:rPr>
        <w:t>’</w:t>
      </w:r>
      <w:r w:rsidR="007069CB">
        <w:rPr>
          <w:rFonts w:eastAsia="Malgun Gothic"/>
          <w:lang w:val="fr-FR"/>
        </w:rPr>
        <w:t xml:space="preserve">éléments </w:t>
      </w:r>
      <w:r w:rsidRPr="00750546">
        <w:rPr>
          <w:rFonts w:eastAsia="Malgun Gothic"/>
          <w:lang w:val="fr-FR"/>
        </w:rPr>
        <w:t>africains soient inscrits au patrimoine culturel immatériel. À cet égard, elle a appelé à un renforcement accru des capacités et de la formation.</w:t>
      </w:r>
    </w:p>
    <w:p w14:paraId="0146C955" w14:textId="68BDF344" w:rsidR="00750546" w:rsidRDefault="00C16B8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C16B8F">
        <w:rPr>
          <w:rFonts w:eastAsia="Malgun Gothic"/>
          <w:lang w:val="fr-FR"/>
        </w:rPr>
        <w:t xml:space="preserve">La délégation du </w:t>
      </w:r>
      <w:r w:rsidRPr="00C16B8F">
        <w:rPr>
          <w:rFonts w:eastAsia="Malgun Gothic"/>
          <w:b/>
          <w:bCs/>
          <w:lang w:val="fr-FR"/>
        </w:rPr>
        <w:t>Liban</w:t>
      </w:r>
      <w:r w:rsidRPr="00C16B8F">
        <w:rPr>
          <w:rFonts w:eastAsia="Malgun Gothic"/>
          <w:lang w:val="fr-FR"/>
        </w:rPr>
        <w:t xml:space="preserve"> a félicité le Président pour sa conduite des travaux de cette session et remercié le Maroc pour la mémorable cérémonie d</w:t>
      </w:r>
      <w:r w:rsidR="00923E72">
        <w:rPr>
          <w:rFonts w:eastAsia="Malgun Gothic"/>
          <w:lang w:val="fr-FR"/>
        </w:rPr>
        <w:t>’</w:t>
      </w:r>
      <w:r w:rsidRPr="00C16B8F">
        <w:rPr>
          <w:rFonts w:eastAsia="Malgun Gothic"/>
          <w:lang w:val="fr-FR"/>
        </w:rPr>
        <w:t>ouverture et l</w:t>
      </w:r>
      <w:r w:rsidR="00923E72">
        <w:rPr>
          <w:rFonts w:eastAsia="Malgun Gothic"/>
          <w:lang w:val="fr-FR"/>
        </w:rPr>
        <w:t>’</w:t>
      </w:r>
      <w:r w:rsidRPr="00C16B8F">
        <w:rPr>
          <w:rFonts w:eastAsia="Malgun Gothic"/>
          <w:lang w:val="fr-FR"/>
        </w:rPr>
        <w:t>organisation de cette session. Elle a remercié le Secrétaire et son équipe pour les efforts considérables déployés afin d</w:t>
      </w:r>
      <w:r w:rsidR="00923E72">
        <w:rPr>
          <w:rFonts w:eastAsia="Malgun Gothic"/>
          <w:lang w:val="fr-FR"/>
        </w:rPr>
        <w:t>’</w:t>
      </w:r>
      <w:r w:rsidRPr="00C16B8F">
        <w:rPr>
          <w:rFonts w:eastAsia="Malgun Gothic"/>
          <w:lang w:val="fr-FR"/>
        </w:rPr>
        <w:t>élargir la Convention ainsi que pour le rapport de très grande qualité qui avait été présenté. Le Liban était très attaché à cette Convention. Bien que le Liban ait inscrit deux éléments, le travail de ces dernières années s</w:t>
      </w:r>
      <w:r w:rsidR="00923E72">
        <w:rPr>
          <w:rFonts w:eastAsia="Malgun Gothic"/>
          <w:lang w:val="fr-FR"/>
        </w:rPr>
        <w:t>’</w:t>
      </w:r>
      <w:r w:rsidRPr="00C16B8F">
        <w:rPr>
          <w:rFonts w:eastAsia="Malgun Gothic"/>
          <w:lang w:val="fr-FR"/>
        </w:rPr>
        <w:t xml:space="preserve">était concentré sur le renforcement des </w:t>
      </w:r>
      <w:r w:rsidRPr="00C16B8F">
        <w:rPr>
          <w:rFonts w:eastAsia="Malgun Gothic"/>
          <w:lang w:val="fr-FR"/>
        </w:rPr>
        <w:lastRenderedPageBreak/>
        <w:t>capacités et la formation d</w:t>
      </w:r>
      <w:r w:rsidR="00923E72">
        <w:rPr>
          <w:rFonts w:eastAsia="Malgun Gothic"/>
          <w:lang w:val="fr-FR"/>
        </w:rPr>
        <w:t>’</w:t>
      </w:r>
      <w:r w:rsidRPr="00C16B8F">
        <w:rPr>
          <w:rFonts w:eastAsia="Malgun Gothic"/>
          <w:lang w:val="fr-FR"/>
        </w:rPr>
        <w:t>un réseau national de formateurs. Il s</w:t>
      </w:r>
      <w:r w:rsidR="00923E72">
        <w:rPr>
          <w:rFonts w:eastAsia="Malgun Gothic"/>
          <w:lang w:val="fr-FR"/>
        </w:rPr>
        <w:t>’</w:t>
      </w:r>
      <w:r w:rsidRPr="00C16B8F">
        <w:rPr>
          <w:rFonts w:eastAsia="Malgun Gothic"/>
          <w:lang w:val="fr-FR"/>
        </w:rPr>
        <w:t xml:space="preserve">était également concentré sur la sensibilisation, en </w:t>
      </w:r>
      <w:r w:rsidR="00F9795D">
        <w:rPr>
          <w:rFonts w:eastAsia="Malgun Gothic"/>
          <w:lang w:val="fr-FR"/>
        </w:rPr>
        <w:t xml:space="preserve">faisant connaître </w:t>
      </w:r>
      <w:r w:rsidRPr="00C16B8F">
        <w:rPr>
          <w:rFonts w:eastAsia="Malgun Gothic"/>
          <w:lang w:val="fr-FR"/>
        </w:rPr>
        <w:t>cette Convention dans les écoles et les universités. Malheureusement, le principal problème était le manque de ressources, en particulier au cours des deux dernières années en raison de la crise sans précédent qui frappait le pays. Alors qu</w:t>
      </w:r>
      <w:r w:rsidR="00923E72">
        <w:rPr>
          <w:rFonts w:eastAsia="Malgun Gothic"/>
          <w:lang w:val="fr-FR"/>
        </w:rPr>
        <w:t>’</w:t>
      </w:r>
      <w:r w:rsidR="007069CB">
        <w:rPr>
          <w:rFonts w:eastAsia="Malgun Gothic"/>
          <w:lang w:val="fr-FR"/>
        </w:rPr>
        <w:t>il</w:t>
      </w:r>
      <w:r w:rsidR="00F9795D">
        <w:rPr>
          <w:rFonts w:eastAsia="Malgun Gothic"/>
          <w:lang w:val="fr-FR"/>
        </w:rPr>
        <w:t xml:space="preserve"> se préparait </w:t>
      </w:r>
      <w:r w:rsidRPr="00C16B8F">
        <w:rPr>
          <w:rFonts w:eastAsia="Malgun Gothic"/>
          <w:lang w:val="fr-FR"/>
        </w:rPr>
        <w:t>pour le vingtième anniversaire de la Convention, le Liban, qui organiserait plusieurs activités à ce</w:t>
      </w:r>
      <w:r w:rsidR="00F9795D">
        <w:rPr>
          <w:rFonts w:eastAsia="Malgun Gothic"/>
          <w:lang w:val="fr-FR"/>
        </w:rPr>
        <w:t xml:space="preserve"> sujet</w:t>
      </w:r>
      <w:r w:rsidRPr="00C16B8F">
        <w:rPr>
          <w:rFonts w:eastAsia="Malgun Gothic"/>
          <w:lang w:val="fr-FR"/>
        </w:rPr>
        <w:t>, était heureux d</w:t>
      </w:r>
      <w:r w:rsidR="00923E72">
        <w:rPr>
          <w:rFonts w:eastAsia="Malgun Gothic"/>
          <w:lang w:val="fr-FR"/>
        </w:rPr>
        <w:t>’</w:t>
      </w:r>
      <w:r w:rsidRPr="00C16B8F">
        <w:rPr>
          <w:rFonts w:eastAsia="Malgun Gothic"/>
          <w:lang w:val="fr-FR"/>
        </w:rPr>
        <w:t>annoncer qu</w:t>
      </w:r>
      <w:r w:rsidR="00923E72">
        <w:rPr>
          <w:rFonts w:eastAsia="Malgun Gothic"/>
          <w:lang w:val="fr-FR"/>
        </w:rPr>
        <w:t>’</w:t>
      </w:r>
      <w:r w:rsidRPr="00C16B8F">
        <w:rPr>
          <w:rFonts w:eastAsia="Malgun Gothic"/>
          <w:lang w:val="fr-FR"/>
        </w:rPr>
        <w:t>il avait soumis un dossier uni</w:t>
      </w:r>
      <w:r w:rsidR="007069CB">
        <w:rPr>
          <w:rFonts w:eastAsia="Malgun Gothic"/>
          <w:lang w:val="fr-FR"/>
        </w:rPr>
        <w:t>ssan</w:t>
      </w:r>
      <w:r w:rsidRPr="00C16B8F">
        <w:rPr>
          <w:rFonts w:eastAsia="Malgun Gothic"/>
          <w:lang w:val="fr-FR"/>
        </w:rPr>
        <w:t>t tous les Libanais</w:t>
      </w:r>
      <w:r w:rsidR="007069CB">
        <w:rPr>
          <w:rFonts w:eastAsia="Malgun Gothic"/>
          <w:lang w:val="fr-FR"/>
        </w:rPr>
        <w:t>,</w:t>
      </w:r>
      <w:r w:rsidRPr="00C16B8F">
        <w:rPr>
          <w:rFonts w:eastAsia="Malgun Gothic"/>
          <w:lang w:val="fr-FR"/>
        </w:rPr>
        <w:t xml:space="preserve"> qui serait </w:t>
      </w:r>
      <w:r w:rsidR="007069CB">
        <w:rPr>
          <w:rFonts w:eastAsia="Malgun Gothic"/>
          <w:lang w:val="fr-FR"/>
        </w:rPr>
        <w:t>examiné</w:t>
      </w:r>
      <w:r w:rsidRPr="00C16B8F">
        <w:rPr>
          <w:rFonts w:eastAsia="Malgun Gothic"/>
          <w:lang w:val="fr-FR"/>
        </w:rPr>
        <w:t xml:space="preserve"> par le Comité lors de sa </w:t>
      </w:r>
      <w:r w:rsidR="007069CB">
        <w:rPr>
          <w:rFonts w:eastAsia="Malgun Gothic"/>
          <w:lang w:val="fr-FR"/>
        </w:rPr>
        <w:t xml:space="preserve">prochaine </w:t>
      </w:r>
      <w:r w:rsidRPr="00C16B8F">
        <w:rPr>
          <w:rFonts w:eastAsia="Malgun Gothic"/>
          <w:lang w:val="fr-FR"/>
        </w:rPr>
        <w:t>réunion en</w:t>
      </w:r>
      <w:r w:rsidR="00CB5654">
        <w:rPr>
          <w:rFonts w:eastAsia="Malgun Gothic"/>
          <w:lang w:val="fr-FR"/>
        </w:rPr>
        <w:t> </w:t>
      </w:r>
      <w:r w:rsidRPr="00C16B8F">
        <w:rPr>
          <w:rFonts w:eastAsia="Malgun Gothic"/>
          <w:lang w:val="fr-FR"/>
        </w:rPr>
        <w:t>2023.</w:t>
      </w:r>
    </w:p>
    <w:p w14:paraId="15A3849C" w14:textId="3CA6438D" w:rsidR="00F9795D" w:rsidRDefault="00F9795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9795D">
        <w:rPr>
          <w:rFonts w:eastAsia="Malgun Gothic"/>
          <w:lang w:val="fr-FR"/>
        </w:rPr>
        <w:t>La délégation d</w:t>
      </w:r>
      <w:r w:rsidR="00923E72">
        <w:rPr>
          <w:rFonts w:eastAsia="Malgun Gothic"/>
          <w:lang w:val="fr-FR"/>
        </w:rPr>
        <w:t>’</w:t>
      </w:r>
      <w:r w:rsidRPr="00F9795D">
        <w:rPr>
          <w:rFonts w:eastAsia="Malgun Gothic"/>
          <w:b/>
          <w:bCs/>
          <w:lang w:val="fr-FR"/>
        </w:rPr>
        <w:t>Haïti</w:t>
      </w:r>
      <w:r w:rsidRPr="00F9795D">
        <w:rPr>
          <w:rFonts w:eastAsia="Malgun Gothic"/>
          <w:lang w:val="fr-FR"/>
        </w:rPr>
        <w:t xml:space="preserve"> a remercié le Maroc pour son accueil chaleureux</w:t>
      </w:r>
      <w:r w:rsidR="00121FDC">
        <w:rPr>
          <w:rFonts w:eastAsia="Malgun Gothic"/>
          <w:lang w:val="fr-FR"/>
        </w:rPr>
        <w:t>,</w:t>
      </w:r>
      <w:r w:rsidRPr="00F9795D">
        <w:rPr>
          <w:rFonts w:eastAsia="Malgun Gothic"/>
          <w:lang w:val="fr-FR"/>
        </w:rPr>
        <w:t xml:space="preserve"> et pour cette soirée magique</w:t>
      </w:r>
      <w:r w:rsidR="00121FDC">
        <w:rPr>
          <w:rFonts w:eastAsia="Malgun Gothic"/>
          <w:lang w:val="fr-FR"/>
        </w:rPr>
        <w:t xml:space="preserve">, </w:t>
      </w:r>
      <w:r w:rsidR="007069CB">
        <w:rPr>
          <w:rFonts w:eastAsia="Malgun Gothic"/>
          <w:lang w:val="fr-FR"/>
        </w:rPr>
        <w:t xml:space="preserve">qui avait </w:t>
      </w:r>
      <w:r w:rsidRPr="00F9795D">
        <w:rPr>
          <w:rFonts w:eastAsia="Malgun Gothic"/>
          <w:lang w:val="fr-FR"/>
        </w:rPr>
        <w:t>déploy</w:t>
      </w:r>
      <w:r w:rsidR="007069CB">
        <w:rPr>
          <w:rFonts w:eastAsia="Malgun Gothic"/>
          <w:lang w:val="fr-FR"/>
        </w:rPr>
        <w:t>é</w:t>
      </w:r>
      <w:r w:rsidRPr="00F9795D">
        <w:rPr>
          <w:rFonts w:eastAsia="Malgun Gothic"/>
          <w:lang w:val="fr-FR"/>
        </w:rPr>
        <w:t xml:space="preserve"> un éventail éblouissant des savoir</w:t>
      </w:r>
      <w:r w:rsidR="00E11821">
        <w:rPr>
          <w:rFonts w:eastAsia="Malgun Gothic"/>
          <w:lang w:val="fr-FR"/>
        </w:rPr>
        <w:noBreakHyphen/>
      </w:r>
      <w:r w:rsidRPr="00F9795D">
        <w:rPr>
          <w:rFonts w:eastAsia="Malgun Gothic"/>
          <w:lang w:val="fr-FR"/>
        </w:rPr>
        <w:t>faire marocains. Elle a remercié le Secrétariat, en particulier le Secrétaire et son équipe, pour la préparation de ce rapport</w:t>
      </w:r>
      <w:r w:rsidR="00E661F8">
        <w:rPr>
          <w:rFonts w:eastAsia="Malgun Gothic"/>
          <w:lang w:val="fr-FR"/>
        </w:rPr>
        <w:t>,</w:t>
      </w:r>
      <w:r w:rsidRPr="00F9795D">
        <w:rPr>
          <w:rFonts w:eastAsia="Malgun Gothic"/>
          <w:lang w:val="fr-FR"/>
        </w:rPr>
        <w:t xml:space="preserve"> qui reflétait leur travail acharné, souvent dans l</w:t>
      </w:r>
      <w:r w:rsidR="00923E72">
        <w:rPr>
          <w:rFonts w:eastAsia="Malgun Gothic"/>
          <w:lang w:val="fr-FR"/>
        </w:rPr>
        <w:t>’</w:t>
      </w:r>
      <w:r w:rsidRPr="00F9795D">
        <w:rPr>
          <w:rFonts w:eastAsia="Malgun Gothic"/>
          <w:lang w:val="fr-FR"/>
        </w:rPr>
        <w:t xml:space="preserve">ombre, dans le cadre de cette Convention. Haïti </w:t>
      </w:r>
      <w:r w:rsidR="007069CB">
        <w:rPr>
          <w:rFonts w:eastAsia="Malgun Gothic"/>
          <w:lang w:val="fr-FR"/>
        </w:rPr>
        <w:t>a</w:t>
      </w:r>
      <w:r w:rsidRPr="00F9795D">
        <w:rPr>
          <w:rFonts w:eastAsia="Malgun Gothic"/>
          <w:lang w:val="fr-FR"/>
        </w:rPr>
        <w:t xml:space="preserve"> réitér</w:t>
      </w:r>
      <w:r w:rsidR="007069CB">
        <w:rPr>
          <w:rFonts w:eastAsia="Malgun Gothic"/>
          <w:lang w:val="fr-FR"/>
        </w:rPr>
        <w:t>é</w:t>
      </w:r>
      <w:r w:rsidRPr="00F9795D">
        <w:rPr>
          <w:rFonts w:eastAsia="Malgun Gothic"/>
          <w:lang w:val="fr-FR"/>
        </w:rPr>
        <w:t xml:space="preserve"> ses remerciements au Japon, en particulier à l</w:t>
      </w:r>
      <w:r w:rsidR="00923E72">
        <w:rPr>
          <w:rFonts w:eastAsia="Malgun Gothic"/>
          <w:lang w:val="fr-FR"/>
        </w:rPr>
        <w:t>’</w:t>
      </w:r>
      <w:r w:rsidRPr="00F9795D">
        <w:rPr>
          <w:rFonts w:eastAsia="Malgun Gothic"/>
          <w:lang w:val="fr-FR"/>
        </w:rPr>
        <w:t xml:space="preserve">ambassadeur </w:t>
      </w:r>
      <w:r w:rsidR="004050CB">
        <w:rPr>
          <w:rFonts w:eastAsia="Malgun Gothic"/>
          <w:lang w:val="fr-FR"/>
        </w:rPr>
        <w:t>S. Exc. M </w:t>
      </w:r>
      <w:r w:rsidRPr="00F9795D">
        <w:rPr>
          <w:rFonts w:eastAsia="Malgun Gothic"/>
          <w:lang w:val="fr-FR"/>
        </w:rPr>
        <w:t xml:space="preserve">Atsuyuki Oike, pour son travail </w:t>
      </w:r>
      <w:r w:rsidR="00121FDC">
        <w:rPr>
          <w:rFonts w:eastAsia="Malgun Gothic"/>
          <w:lang w:val="fr-FR"/>
        </w:rPr>
        <w:t xml:space="preserve">essentiel </w:t>
      </w:r>
      <w:r w:rsidRPr="00F9795D">
        <w:rPr>
          <w:rFonts w:eastAsia="Malgun Gothic"/>
          <w:lang w:val="fr-FR"/>
        </w:rPr>
        <w:t>en tant que Président du groupe de travail sur les mécanismes d</w:t>
      </w:r>
      <w:r w:rsidR="00923E72">
        <w:rPr>
          <w:rFonts w:eastAsia="Malgun Gothic"/>
          <w:lang w:val="fr-FR"/>
        </w:rPr>
        <w:t>’</w:t>
      </w:r>
      <w:r w:rsidRPr="00F9795D">
        <w:rPr>
          <w:rFonts w:eastAsia="Malgun Gothic"/>
          <w:lang w:val="fr-FR"/>
        </w:rPr>
        <w:t>inscription. Haïti</w:t>
      </w:r>
      <w:r w:rsidR="00121FDC">
        <w:rPr>
          <w:rFonts w:eastAsia="Malgun Gothic"/>
          <w:lang w:val="fr-FR"/>
        </w:rPr>
        <w:t>, qui</w:t>
      </w:r>
      <w:r w:rsidRPr="00F9795D">
        <w:rPr>
          <w:rFonts w:eastAsia="Malgun Gothic"/>
          <w:lang w:val="fr-FR"/>
        </w:rPr>
        <w:t xml:space="preserve"> soutenait les remarques formulées par le Paraguay, le Panama et Cuba ainsi que par le Rwanda et le Burkina Faso, a réitéré son attachement au fait que la Convention de</w:t>
      </w:r>
      <w:r w:rsidR="006773EF">
        <w:rPr>
          <w:rFonts w:eastAsia="Malgun Gothic"/>
          <w:lang w:val="fr-FR"/>
        </w:rPr>
        <w:t> </w:t>
      </w:r>
      <w:r w:rsidRPr="00F9795D">
        <w:rPr>
          <w:rFonts w:eastAsia="Malgun Gothic"/>
          <w:lang w:val="fr-FR"/>
        </w:rPr>
        <w:t>2003 est un espace de promotion et d</w:t>
      </w:r>
      <w:r w:rsidR="00923E72">
        <w:rPr>
          <w:rFonts w:eastAsia="Malgun Gothic"/>
          <w:lang w:val="fr-FR"/>
        </w:rPr>
        <w:t>’</w:t>
      </w:r>
      <w:r w:rsidRPr="00F9795D">
        <w:rPr>
          <w:rFonts w:eastAsia="Malgun Gothic"/>
          <w:lang w:val="fr-FR"/>
        </w:rPr>
        <w:t>articulation inclusive de toutes les priorités de l</w:t>
      </w:r>
      <w:r w:rsidR="00923E72">
        <w:rPr>
          <w:rFonts w:eastAsia="Malgun Gothic"/>
          <w:lang w:val="fr-FR"/>
        </w:rPr>
        <w:t>’</w:t>
      </w:r>
      <w:r w:rsidRPr="00F9795D">
        <w:rPr>
          <w:rFonts w:eastAsia="Malgun Gothic"/>
          <w:lang w:val="fr-FR"/>
        </w:rPr>
        <w:t>Organisation,</w:t>
      </w:r>
      <w:r>
        <w:rPr>
          <w:rFonts w:eastAsia="Malgun Gothic"/>
          <w:lang w:val="fr-FR"/>
        </w:rPr>
        <w:t xml:space="preserve"> notamment</w:t>
      </w:r>
      <w:r w:rsidRPr="00F9795D">
        <w:rPr>
          <w:rFonts w:eastAsia="Malgun Gothic"/>
          <w:lang w:val="fr-FR"/>
        </w:rPr>
        <w:t xml:space="preserve"> la priorité</w:t>
      </w:r>
      <w:r>
        <w:rPr>
          <w:rFonts w:eastAsia="Malgun Gothic"/>
          <w:lang w:val="fr-FR"/>
        </w:rPr>
        <w:t xml:space="preserve"> </w:t>
      </w:r>
      <w:r w:rsidRPr="00F9795D">
        <w:rPr>
          <w:rFonts w:eastAsia="Malgun Gothic"/>
          <w:lang w:val="fr-FR"/>
        </w:rPr>
        <w:t xml:space="preserve">Afrique, </w:t>
      </w:r>
      <w:r w:rsidR="00E11821">
        <w:rPr>
          <w:rFonts w:eastAsia="Malgun Gothic"/>
          <w:lang w:val="fr-FR"/>
        </w:rPr>
        <w:t>le</w:t>
      </w:r>
      <w:r w:rsidRPr="00F9795D">
        <w:rPr>
          <w:rFonts w:eastAsia="Malgun Gothic"/>
          <w:lang w:val="fr-FR"/>
        </w:rPr>
        <w:t xml:space="preserve"> genre, la jeunesse et </w:t>
      </w:r>
      <w:r w:rsidR="00E11821">
        <w:rPr>
          <w:rFonts w:eastAsia="Malgun Gothic"/>
          <w:lang w:val="fr-FR"/>
        </w:rPr>
        <w:t>l</w:t>
      </w:r>
      <w:r w:rsidRPr="00F9795D">
        <w:rPr>
          <w:rFonts w:eastAsia="Malgun Gothic"/>
          <w:lang w:val="fr-FR"/>
        </w:rPr>
        <w:t>es PEID.</w:t>
      </w:r>
    </w:p>
    <w:p w14:paraId="53E94EA1" w14:textId="769A239E" w:rsidR="00F9795D" w:rsidRDefault="00F9795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9795D">
        <w:rPr>
          <w:rFonts w:eastAsia="Malgun Gothic"/>
          <w:lang w:val="fr-FR"/>
        </w:rPr>
        <w:t>La délégation de l</w:t>
      </w:r>
      <w:r w:rsidR="00923E72">
        <w:rPr>
          <w:rFonts w:eastAsia="Malgun Gothic"/>
          <w:lang w:val="fr-FR"/>
        </w:rPr>
        <w:t>’</w:t>
      </w:r>
      <w:r w:rsidRPr="00F9795D">
        <w:rPr>
          <w:rFonts w:eastAsia="Malgun Gothic"/>
          <w:b/>
          <w:bCs/>
          <w:lang w:val="fr-FR"/>
        </w:rPr>
        <w:t>Égypte</w:t>
      </w:r>
      <w:r w:rsidRPr="00F9795D">
        <w:rPr>
          <w:rFonts w:eastAsia="Malgun Gothic"/>
          <w:lang w:val="fr-FR"/>
        </w:rPr>
        <w:t xml:space="preserve"> s</w:t>
      </w:r>
      <w:r w:rsidR="00923E72">
        <w:rPr>
          <w:rFonts w:eastAsia="Malgun Gothic"/>
          <w:lang w:val="fr-FR"/>
        </w:rPr>
        <w:t>’</w:t>
      </w:r>
      <w:r w:rsidRPr="00F9795D">
        <w:rPr>
          <w:rFonts w:eastAsia="Malgun Gothic"/>
          <w:lang w:val="fr-FR"/>
        </w:rPr>
        <w:t xml:space="preserve">est jointe aux orateurs précédents pour adresser ses félicitations au Maroc pour </w:t>
      </w:r>
      <w:r w:rsidR="00B11F6B">
        <w:rPr>
          <w:rFonts w:eastAsia="Malgun Gothic"/>
          <w:lang w:val="fr-FR"/>
        </w:rPr>
        <w:t>l</w:t>
      </w:r>
      <w:r w:rsidR="00923E72">
        <w:rPr>
          <w:rFonts w:eastAsia="Malgun Gothic"/>
          <w:lang w:val="fr-FR"/>
        </w:rPr>
        <w:t>’</w:t>
      </w:r>
      <w:r w:rsidR="00B11F6B">
        <w:rPr>
          <w:rFonts w:eastAsia="Malgun Gothic"/>
          <w:lang w:val="fr-FR"/>
        </w:rPr>
        <w:t xml:space="preserve">accueil de </w:t>
      </w:r>
      <w:r w:rsidRPr="00F9795D">
        <w:rPr>
          <w:rFonts w:eastAsia="Malgun Gothic"/>
          <w:lang w:val="fr-FR"/>
        </w:rPr>
        <w:t>la dix</w:t>
      </w:r>
      <w:r w:rsidR="006C7D34">
        <w:rPr>
          <w:rFonts w:eastAsia="Malgun Gothic"/>
          <w:lang w:val="fr-FR"/>
        </w:rPr>
        <w:noBreakHyphen/>
      </w:r>
      <w:r w:rsidRPr="00F9795D">
        <w:rPr>
          <w:rFonts w:eastAsia="Malgun Gothic"/>
          <w:lang w:val="fr-FR"/>
        </w:rPr>
        <w:t>septième session du Comité ainsi que pour la mémorable cérémonie d</w:t>
      </w:r>
      <w:r w:rsidR="00923E72">
        <w:rPr>
          <w:rFonts w:eastAsia="Malgun Gothic"/>
          <w:lang w:val="fr-FR"/>
        </w:rPr>
        <w:t>’</w:t>
      </w:r>
      <w:r w:rsidRPr="00F9795D">
        <w:rPr>
          <w:rFonts w:eastAsia="Malgun Gothic"/>
          <w:lang w:val="fr-FR"/>
        </w:rPr>
        <w:t>ouverture. L</w:t>
      </w:r>
      <w:r w:rsidR="00923E72">
        <w:rPr>
          <w:rFonts w:eastAsia="Malgun Gothic"/>
          <w:lang w:val="fr-FR"/>
        </w:rPr>
        <w:t>’</w:t>
      </w:r>
      <w:r w:rsidRPr="00F9795D">
        <w:rPr>
          <w:rFonts w:eastAsia="Malgun Gothic"/>
          <w:lang w:val="fr-FR"/>
        </w:rPr>
        <w:t>Égypte</w:t>
      </w:r>
      <w:r w:rsidR="00B11F6B">
        <w:rPr>
          <w:rFonts w:eastAsia="Malgun Gothic"/>
          <w:lang w:val="fr-FR"/>
        </w:rPr>
        <w:t xml:space="preserve"> </w:t>
      </w:r>
      <w:r w:rsidRPr="00F9795D">
        <w:rPr>
          <w:rFonts w:eastAsia="Malgun Gothic"/>
          <w:lang w:val="fr-FR"/>
        </w:rPr>
        <w:t>était en train de mettre en œuvre un projet d</w:t>
      </w:r>
      <w:r w:rsidR="00923E72">
        <w:rPr>
          <w:rFonts w:eastAsia="Malgun Gothic"/>
          <w:lang w:val="fr-FR"/>
        </w:rPr>
        <w:t>’</w:t>
      </w:r>
      <w:r w:rsidRPr="00F9795D">
        <w:rPr>
          <w:rFonts w:eastAsia="Malgun Gothic"/>
          <w:lang w:val="fr-FR"/>
        </w:rPr>
        <w:t>inventaire de l</w:t>
      </w:r>
      <w:r w:rsidR="00923E72">
        <w:rPr>
          <w:rFonts w:eastAsia="Malgun Gothic"/>
          <w:lang w:val="fr-FR"/>
        </w:rPr>
        <w:t>’</w:t>
      </w:r>
      <w:r w:rsidRPr="00F9795D">
        <w:rPr>
          <w:rFonts w:eastAsia="Malgun Gothic"/>
          <w:lang w:val="fr-FR"/>
        </w:rPr>
        <w:t>artisanat dans le Caire historique, avec le soutien de la Convention. L</w:t>
      </w:r>
      <w:r w:rsidR="00923E72">
        <w:rPr>
          <w:rFonts w:eastAsia="Malgun Gothic"/>
          <w:lang w:val="fr-FR"/>
        </w:rPr>
        <w:t>’</w:t>
      </w:r>
      <w:r w:rsidRPr="00F9795D">
        <w:rPr>
          <w:rFonts w:eastAsia="Malgun Gothic"/>
          <w:lang w:val="fr-FR"/>
        </w:rPr>
        <w:t>Égypte encourag</w:t>
      </w:r>
      <w:r w:rsidR="009C36A9">
        <w:rPr>
          <w:rFonts w:eastAsia="Malgun Gothic"/>
          <w:lang w:val="fr-FR"/>
        </w:rPr>
        <w:t xml:space="preserve">eait </w:t>
      </w:r>
      <w:r w:rsidR="009C36A9" w:rsidRPr="009C36A9">
        <w:rPr>
          <w:rFonts w:eastAsia="Malgun Gothic"/>
          <w:color w:val="000000" w:themeColor="text1"/>
          <w:lang w:val="fr-FR"/>
        </w:rPr>
        <w:t>également</w:t>
      </w:r>
      <w:r w:rsidRPr="00F9795D">
        <w:rPr>
          <w:rFonts w:eastAsia="Malgun Gothic"/>
          <w:lang w:val="fr-FR"/>
        </w:rPr>
        <w:t xml:space="preserve"> les ONG à mettre en œuvre les instruments de la Convention et à demander l</w:t>
      </w:r>
      <w:r w:rsidR="00923E72">
        <w:rPr>
          <w:rFonts w:eastAsia="Malgun Gothic"/>
          <w:lang w:val="fr-FR"/>
        </w:rPr>
        <w:t>’</w:t>
      </w:r>
      <w:r w:rsidRPr="00F9795D">
        <w:rPr>
          <w:rFonts w:eastAsia="Malgun Gothic"/>
          <w:lang w:val="fr-FR"/>
        </w:rPr>
        <w:t xml:space="preserve">accréditation afin de coopérer les unes avec les autres pour la sauvegarde du patrimoine culturel immatériel et de mettre en œuvre les plans de sauvegarde </w:t>
      </w:r>
      <w:r w:rsidR="006C7D34">
        <w:rPr>
          <w:rFonts w:eastAsia="Malgun Gothic"/>
          <w:lang w:val="fr-FR"/>
        </w:rPr>
        <w:t xml:space="preserve">nationaux </w:t>
      </w:r>
      <w:r w:rsidRPr="00F9795D">
        <w:rPr>
          <w:rFonts w:eastAsia="Malgun Gothic"/>
          <w:lang w:val="fr-FR"/>
        </w:rPr>
        <w:t xml:space="preserve">avec le plein engagement des communautés. La délégation a remercié le Secrétariat pour ses efforts remarquables et </w:t>
      </w:r>
      <w:r w:rsidR="00121FDC">
        <w:rPr>
          <w:rFonts w:eastAsia="Malgun Gothic"/>
          <w:lang w:val="fr-FR"/>
        </w:rPr>
        <w:t xml:space="preserve">pour </w:t>
      </w:r>
      <w:r w:rsidRPr="00F9795D">
        <w:rPr>
          <w:rFonts w:eastAsia="Malgun Gothic"/>
          <w:lang w:val="fr-FR"/>
        </w:rPr>
        <w:t>le soutien apporté au renforcement des capacités et au suivi attentif du processus d</w:t>
      </w:r>
      <w:r w:rsidR="00923E72">
        <w:rPr>
          <w:rFonts w:eastAsia="Malgun Gothic"/>
          <w:lang w:val="fr-FR"/>
        </w:rPr>
        <w:t>’</w:t>
      </w:r>
      <w:r w:rsidRPr="00F9795D">
        <w:rPr>
          <w:rFonts w:eastAsia="Malgun Gothic"/>
          <w:lang w:val="fr-FR"/>
        </w:rPr>
        <w:t>établissement des rapports périodiques</w:t>
      </w:r>
      <w:r w:rsidR="00121FDC">
        <w:rPr>
          <w:rFonts w:eastAsia="Malgun Gothic"/>
          <w:lang w:val="fr-FR"/>
        </w:rPr>
        <w:t>,</w:t>
      </w:r>
      <w:r w:rsidRPr="00F9795D">
        <w:rPr>
          <w:rFonts w:eastAsia="Malgun Gothic"/>
          <w:lang w:val="fr-FR"/>
        </w:rPr>
        <w:t xml:space="preserve"> qu</w:t>
      </w:r>
      <w:r w:rsidR="00923E72">
        <w:rPr>
          <w:rFonts w:eastAsia="Malgun Gothic"/>
          <w:lang w:val="fr-FR"/>
        </w:rPr>
        <w:t>’</w:t>
      </w:r>
      <w:r w:rsidRPr="00F9795D">
        <w:rPr>
          <w:rFonts w:eastAsia="Malgun Gothic"/>
          <w:lang w:val="fr-FR"/>
        </w:rPr>
        <w:t xml:space="preserve">elle était en train de préparer </w:t>
      </w:r>
      <w:r w:rsidR="006C7D34">
        <w:rPr>
          <w:rFonts w:eastAsia="Malgun Gothic"/>
          <w:lang w:val="fr-FR"/>
        </w:rPr>
        <w:t>à propos d</w:t>
      </w:r>
      <w:r w:rsidRPr="00F9795D">
        <w:rPr>
          <w:rFonts w:eastAsia="Malgun Gothic"/>
          <w:lang w:val="fr-FR"/>
        </w:rPr>
        <w:t>es six dernières années. Elle s</w:t>
      </w:r>
      <w:r w:rsidR="00923E72">
        <w:rPr>
          <w:rFonts w:eastAsia="Malgun Gothic"/>
          <w:lang w:val="fr-FR"/>
        </w:rPr>
        <w:t>’</w:t>
      </w:r>
      <w:r w:rsidRPr="00F9795D">
        <w:rPr>
          <w:rFonts w:eastAsia="Malgun Gothic"/>
          <w:lang w:val="fr-FR"/>
        </w:rPr>
        <w:t>est réjouie à l</w:t>
      </w:r>
      <w:r w:rsidR="00923E72">
        <w:rPr>
          <w:rFonts w:eastAsia="Malgun Gothic"/>
          <w:lang w:val="fr-FR"/>
        </w:rPr>
        <w:t>’</w:t>
      </w:r>
      <w:r w:rsidRPr="00F9795D">
        <w:rPr>
          <w:rFonts w:eastAsia="Malgun Gothic"/>
          <w:lang w:val="fr-FR"/>
        </w:rPr>
        <w:t xml:space="preserve">idée de célébrer le vingtième anniversaire de la </w:t>
      </w:r>
      <w:r w:rsidR="006C7D34">
        <w:rPr>
          <w:rFonts w:eastAsia="Malgun Gothic"/>
          <w:lang w:val="fr-FR"/>
        </w:rPr>
        <w:t>C</w:t>
      </w:r>
      <w:r w:rsidRPr="00F9795D">
        <w:rPr>
          <w:rFonts w:eastAsia="Malgun Gothic"/>
          <w:lang w:val="fr-FR"/>
        </w:rPr>
        <w:t>onvention.</w:t>
      </w:r>
    </w:p>
    <w:p w14:paraId="6EFC97C1" w14:textId="7FB0062A" w:rsidR="00A201BF" w:rsidRDefault="002E6C0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2E6C0D">
        <w:rPr>
          <w:rFonts w:eastAsia="Malgun Gothic"/>
          <w:lang w:val="fr-FR"/>
        </w:rPr>
        <w:t xml:space="preserve">La délégation de la </w:t>
      </w:r>
      <w:r w:rsidRPr="002E6C0D">
        <w:rPr>
          <w:rFonts w:eastAsia="Malgun Gothic"/>
          <w:b/>
          <w:bCs/>
          <w:lang w:val="fr-FR"/>
        </w:rPr>
        <w:t>Jordanie</w:t>
      </w:r>
      <w:r w:rsidRPr="002E6C0D">
        <w:rPr>
          <w:rFonts w:eastAsia="Malgun Gothic"/>
          <w:lang w:val="fr-FR"/>
        </w:rPr>
        <w:t xml:space="preserve"> a adressé ses remerciements et </w:t>
      </w:r>
      <w:r>
        <w:rPr>
          <w:rFonts w:eastAsia="Malgun Gothic"/>
          <w:lang w:val="fr-FR"/>
        </w:rPr>
        <w:t xml:space="preserve">exprimé </w:t>
      </w:r>
      <w:r w:rsidRPr="002E6C0D">
        <w:rPr>
          <w:rFonts w:eastAsia="Malgun Gothic"/>
          <w:lang w:val="fr-FR"/>
        </w:rPr>
        <w:t>sa gratitude au Maroc pour son hospitalité, sa générosité et son accueil chaleureux, remerciant également les communautés d</w:t>
      </w:r>
      <w:r w:rsidR="00923E72">
        <w:rPr>
          <w:rFonts w:eastAsia="Malgun Gothic"/>
          <w:lang w:val="fr-FR"/>
        </w:rPr>
        <w:t>’</w:t>
      </w:r>
      <w:r w:rsidRPr="002E6C0D">
        <w:rPr>
          <w:rFonts w:eastAsia="Malgun Gothic"/>
          <w:lang w:val="fr-FR"/>
        </w:rPr>
        <w:t xml:space="preserve">avoir partagé leur riche patrimoine culturel immatériel, comme en témoignait la soirée précédente. La Jordanie </w:t>
      </w:r>
      <w:r>
        <w:rPr>
          <w:rFonts w:eastAsia="Malgun Gothic"/>
          <w:lang w:val="fr-FR"/>
        </w:rPr>
        <w:t xml:space="preserve">réalisait un </w:t>
      </w:r>
      <w:r w:rsidRPr="002E6C0D">
        <w:rPr>
          <w:rFonts w:eastAsia="Malgun Gothic"/>
          <w:lang w:val="fr-FR"/>
        </w:rPr>
        <w:t>travail institutionnel, élaborait des politiques et définissait des stratégies relatives au patrimoine culturel immatériel sur la base d</w:t>
      </w:r>
      <w:r w:rsidR="00923E72">
        <w:rPr>
          <w:rFonts w:eastAsia="Malgun Gothic"/>
          <w:lang w:val="fr-FR"/>
        </w:rPr>
        <w:t>’</w:t>
      </w:r>
      <w:r w:rsidRPr="002E6C0D">
        <w:rPr>
          <w:rFonts w:eastAsia="Malgun Gothic"/>
          <w:lang w:val="fr-FR"/>
        </w:rPr>
        <w:t>une méthodologie partagée entre les parties prenantes</w:t>
      </w:r>
      <w:r>
        <w:rPr>
          <w:rFonts w:eastAsia="Malgun Gothic"/>
          <w:lang w:val="fr-FR"/>
        </w:rPr>
        <w:t>,</w:t>
      </w:r>
      <w:r w:rsidRPr="002E6C0D">
        <w:rPr>
          <w:rFonts w:eastAsia="Malgun Gothic"/>
          <w:lang w:val="fr-FR"/>
        </w:rPr>
        <w:t xml:space="preserve"> en prenant en considération à la fois les politiques culturelles bien définies de l</w:t>
      </w:r>
      <w:r w:rsidR="00923E72">
        <w:rPr>
          <w:rFonts w:eastAsia="Malgun Gothic"/>
          <w:lang w:val="fr-FR"/>
        </w:rPr>
        <w:t>’</w:t>
      </w:r>
      <w:r w:rsidRPr="002E6C0D">
        <w:rPr>
          <w:rFonts w:eastAsia="Malgun Gothic"/>
          <w:lang w:val="fr-FR"/>
        </w:rPr>
        <w:t>UNESCO et son orientation dans ce domaine. Le Gouvernement jordanien, représenté par le ministre de la Culture et d</w:t>
      </w:r>
      <w:r w:rsidR="00923E72">
        <w:rPr>
          <w:rFonts w:eastAsia="Malgun Gothic"/>
          <w:lang w:val="fr-FR"/>
        </w:rPr>
        <w:t>’</w:t>
      </w:r>
      <w:r w:rsidRPr="002E6C0D">
        <w:rPr>
          <w:rFonts w:eastAsia="Malgun Gothic"/>
          <w:lang w:val="fr-FR"/>
        </w:rPr>
        <w:t>autres acteurs gouvernementaux et non gouvernementaux, avec la participation</w:t>
      </w:r>
      <w:r w:rsidR="00CE4A74">
        <w:rPr>
          <w:rFonts w:eastAsia="Malgun Gothic"/>
          <w:lang w:val="fr-FR"/>
        </w:rPr>
        <w:t xml:space="preserve"> pleine et entière</w:t>
      </w:r>
      <w:r w:rsidRPr="002E6C0D">
        <w:rPr>
          <w:rFonts w:eastAsia="Malgun Gothic"/>
          <w:lang w:val="fr-FR"/>
        </w:rPr>
        <w:t xml:space="preserve"> des communautés, des groupes et des individus, avait</w:t>
      </w:r>
      <w:r w:rsidR="00121FDC">
        <w:rPr>
          <w:rFonts w:eastAsia="Malgun Gothic"/>
          <w:lang w:val="fr-FR"/>
        </w:rPr>
        <w:t xml:space="preserve">, </w:t>
      </w:r>
      <w:r w:rsidRPr="002E6C0D">
        <w:rPr>
          <w:rFonts w:eastAsia="Malgun Gothic"/>
          <w:lang w:val="fr-FR"/>
        </w:rPr>
        <w:t>depuis la ratificatio</w:t>
      </w:r>
      <w:r w:rsidR="00121FDC">
        <w:rPr>
          <w:rFonts w:eastAsia="Malgun Gothic"/>
          <w:lang w:val="fr-FR"/>
        </w:rPr>
        <w:t xml:space="preserve">n, </w:t>
      </w:r>
      <w:r w:rsidRPr="002E6C0D">
        <w:rPr>
          <w:rFonts w:eastAsia="Malgun Gothic"/>
          <w:lang w:val="fr-FR"/>
        </w:rPr>
        <w:t xml:space="preserve">appliqué des mesures spécifiques et adaptées pour continuer à sauvegarder son patrimoine culturel immatériel, en cherchant à répondre aux exigences des objectifs de développement durable. </w:t>
      </w:r>
      <w:r w:rsidR="00CE4A74" w:rsidRPr="00812C45">
        <w:rPr>
          <w:rFonts w:eastAsia="Malgun Gothic"/>
          <w:lang w:val="fr-FR"/>
        </w:rPr>
        <w:t>Parmi les actions mises en œuvre, on pouvait, par exemple</w:t>
      </w:r>
      <w:r w:rsidR="00CE4A74" w:rsidRPr="00702497">
        <w:rPr>
          <w:rFonts w:eastAsia="Malgun Gothic"/>
          <w:lang w:val="fr-FR"/>
        </w:rPr>
        <w:t>,</w:t>
      </w:r>
      <w:r w:rsidR="00CE4A74" w:rsidRPr="00812C45">
        <w:rPr>
          <w:rFonts w:eastAsia="Malgun Gothic"/>
          <w:lang w:val="fr-FR"/>
        </w:rPr>
        <w:t xml:space="preserve"> citer : le renforcement des capacités des communautés et </w:t>
      </w:r>
      <w:r w:rsidR="00CE4A74" w:rsidRPr="00702497">
        <w:rPr>
          <w:rFonts w:eastAsia="Malgun Gothic"/>
          <w:lang w:val="fr-FR"/>
        </w:rPr>
        <w:t xml:space="preserve">leur </w:t>
      </w:r>
      <w:r w:rsidR="00CE4A74" w:rsidRPr="00812C45">
        <w:rPr>
          <w:rFonts w:eastAsia="Malgun Gothic"/>
          <w:lang w:val="fr-FR"/>
        </w:rPr>
        <w:t>sensibilis</w:t>
      </w:r>
      <w:r w:rsidR="00CE4A74" w:rsidRPr="00702497">
        <w:rPr>
          <w:rFonts w:eastAsia="Malgun Gothic"/>
          <w:lang w:val="fr-FR"/>
        </w:rPr>
        <w:t>ation</w:t>
      </w:r>
      <w:r w:rsidR="00CE4A74" w:rsidRPr="00812C45">
        <w:rPr>
          <w:rFonts w:eastAsia="Malgun Gothic"/>
          <w:lang w:val="fr-FR"/>
        </w:rPr>
        <w:t xml:space="preserve"> à son importance</w:t>
      </w:r>
      <w:r w:rsidR="00CE4A74" w:rsidRPr="00702497">
        <w:rPr>
          <w:rFonts w:eastAsia="Malgun Gothic"/>
          <w:lang w:val="fr-FR"/>
        </w:rPr>
        <w:t> ;</w:t>
      </w:r>
      <w:r w:rsidR="00CE4A74" w:rsidRPr="00812C45">
        <w:rPr>
          <w:rFonts w:eastAsia="Malgun Gothic"/>
          <w:lang w:val="fr-FR"/>
        </w:rPr>
        <w:t xml:space="preserve"> </w:t>
      </w:r>
      <w:r w:rsidR="00CE4A74" w:rsidRPr="00702497">
        <w:rPr>
          <w:rFonts w:eastAsia="Malgun Gothic"/>
          <w:lang w:val="fr-FR"/>
        </w:rPr>
        <w:t xml:space="preserve">le </w:t>
      </w:r>
      <w:r w:rsidR="00CE4A74" w:rsidRPr="00812C45">
        <w:rPr>
          <w:rFonts w:eastAsia="Malgun Gothic"/>
          <w:lang w:val="fr-FR"/>
        </w:rPr>
        <w:t>sou</w:t>
      </w:r>
      <w:r w:rsidR="00CE4A74" w:rsidRPr="00702497">
        <w:rPr>
          <w:rFonts w:eastAsia="Malgun Gothic"/>
          <w:lang w:val="fr-FR"/>
        </w:rPr>
        <w:t>tien aux</w:t>
      </w:r>
      <w:r w:rsidR="00CE4A74" w:rsidRPr="00812C45">
        <w:rPr>
          <w:rFonts w:eastAsia="Malgun Gothic"/>
          <w:lang w:val="fr-FR"/>
        </w:rPr>
        <w:t xml:space="preserve"> établissements d</w:t>
      </w:r>
      <w:r w:rsidR="00923E72">
        <w:rPr>
          <w:rFonts w:eastAsia="Malgun Gothic"/>
          <w:lang w:val="fr-FR"/>
        </w:rPr>
        <w:t>’</w:t>
      </w:r>
      <w:r w:rsidR="00CE4A74" w:rsidRPr="00812C45">
        <w:rPr>
          <w:rFonts w:eastAsia="Malgun Gothic"/>
          <w:lang w:val="fr-FR"/>
        </w:rPr>
        <w:t xml:space="preserve">enseignement </w:t>
      </w:r>
      <w:r w:rsidR="00CE4A74" w:rsidRPr="00702497">
        <w:rPr>
          <w:rFonts w:eastAsia="Malgun Gothic"/>
          <w:lang w:val="fr-FR"/>
        </w:rPr>
        <w:t xml:space="preserve">afin </w:t>
      </w:r>
      <w:r w:rsidR="00CE4A74" w:rsidRPr="00812C45">
        <w:rPr>
          <w:rFonts w:eastAsia="Malgun Gothic"/>
          <w:lang w:val="fr-FR"/>
        </w:rPr>
        <w:t>qu</w:t>
      </w:r>
      <w:r w:rsidR="00923E72">
        <w:rPr>
          <w:rFonts w:eastAsia="Malgun Gothic"/>
          <w:lang w:val="fr-FR"/>
        </w:rPr>
        <w:t>’</w:t>
      </w:r>
      <w:r w:rsidR="00CE4A74" w:rsidRPr="00812C45">
        <w:rPr>
          <w:rFonts w:eastAsia="Malgun Gothic"/>
          <w:lang w:val="fr-FR"/>
        </w:rPr>
        <w:t xml:space="preserve">ils </w:t>
      </w:r>
      <w:r w:rsidR="00CE4A74" w:rsidRPr="00702497">
        <w:rPr>
          <w:rFonts w:eastAsia="Malgun Gothic"/>
          <w:lang w:val="fr-FR"/>
        </w:rPr>
        <w:t xml:space="preserve">intègrent </w:t>
      </w:r>
      <w:r w:rsidR="00CE4A74" w:rsidRPr="00812C45">
        <w:rPr>
          <w:rFonts w:eastAsia="Malgun Gothic"/>
          <w:lang w:val="fr-FR"/>
        </w:rPr>
        <w:t>le contenu du patrimoine culturel immatériel dans leurs programmes éducatifs</w:t>
      </w:r>
      <w:r w:rsidR="00CE4A74" w:rsidRPr="00702497">
        <w:rPr>
          <w:rFonts w:eastAsia="Malgun Gothic"/>
          <w:lang w:val="fr-FR"/>
        </w:rPr>
        <w:t> ;</w:t>
      </w:r>
      <w:r w:rsidR="00CE4A74" w:rsidRPr="00812C45">
        <w:rPr>
          <w:rFonts w:eastAsia="Malgun Gothic"/>
          <w:lang w:val="fr-FR"/>
        </w:rPr>
        <w:t xml:space="preserve"> </w:t>
      </w:r>
      <w:r w:rsidR="00CE4A74" w:rsidRPr="00702497">
        <w:rPr>
          <w:rFonts w:eastAsia="Malgun Gothic"/>
          <w:lang w:val="fr-FR"/>
        </w:rPr>
        <w:t>la</w:t>
      </w:r>
      <w:r w:rsidR="00CE4A74" w:rsidRPr="00812C45">
        <w:rPr>
          <w:rFonts w:eastAsia="Malgun Gothic"/>
          <w:lang w:val="fr-FR"/>
        </w:rPr>
        <w:t xml:space="preserve"> modif</w:t>
      </w:r>
      <w:r w:rsidR="00CE4A74" w:rsidRPr="00702497">
        <w:rPr>
          <w:rFonts w:eastAsia="Malgun Gothic"/>
          <w:lang w:val="fr-FR"/>
        </w:rPr>
        <w:t xml:space="preserve">ication de </w:t>
      </w:r>
      <w:r w:rsidR="00CE4A74" w:rsidRPr="00812C45">
        <w:rPr>
          <w:rFonts w:eastAsia="Malgun Gothic"/>
          <w:lang w:val="fr-FR"/>
        </w:rPr>
        <w:t xml:space="preserve">la législation existante et </w:t>
      </w:r>
      <w:r w:rsidR="00CE4A74" w:rsidRPr="00702497">
        <w:rPr>
          <w:rFonts w:eastAsia="Malgun Gothic"/>
          <w:lang w:val="fr-FR"/>
        </w:rPr>
        <w:t>d</w:t>
      </w:r>
      <w:r w:rsidR="00CE4A74" w:rsidRPr="00812C45">
        <w:rPr>
          <w:rFonts w:eastAsia="Malgun Gothic"/>
          <w:lang w:val="fr-FR"/>
        </w:rPr>
        <w:t>es dispositions constitutionnelles</w:t>
      </w:r>
      <w:r w:rsidR="00CE4A74" w:rsidRPr="00702497">
        <w:rPr>
          <w:rFonts w:eastAsia="Malgun Gothic"/>
          <w:lang w:val="fr-FR"/>
        </w:rPr>
        <w:t> ;</w:t>
      </w:r>
      <w:r w:rsidR="00CE4A74" w:rsidRPr="00812C45">
        <w:rPr>
          <w:rFonts w:eastAsia="Malgun Gothic"/>
          <w:lang w:val="fr-FR"/>
        </w:rPr>
        <w:t xml:space="preserve"> </w:t>
      </w:r>
      <w:r w:rsidR="00CE4A74" w:rsidRPr="00702497">
        <w:rPr>
          <w:rFonts w:eastAsia="Malgun Gothic"/>
          <w:lang w:val="fr-FR"/>
        </w:rPr>
        <w:t>le renforcement de l</w:t>
      </w:r>
      <w:r w:rsidR="00923E72">
        <w:rPr>
          <w:rFonts w:eastAsia="Malgun Gothic"/>
          <w:lang w:val="fr-FR"/>
        </w:rPr>
        <w:t>’</w:t>
      </w:r>
      <w:r w:rsidR="00CE4A74" w:rsidRPr="00702497">
        <w:rPr>
          <w:rFonts w:eastAsia="Malgun Gothic"/>
          <w:lang w:val="fr-FR"/>
        </w:rPr>
        <w:t>action des</w:t>
      </w:r>
      <w:r w:rsidR="00CE4A74" w:rsidRPr="00812C45">
        <w:rPr>
          <w:rFonts w:eastAsia="Malgun Gothic"/>
          <w:lang w:val="fr-FR"/>
        </w:rPr>
        <w:t xml:space="preserve"> médias et </w:t>
      </w:r>
      <w:r w:rsidR="00CE4A74" w:rsidRPr="00702497">
        <w:rPr>
          <w:rFonts w:eastAsia="Malgun Gothic"/>
          <w:lang w:val="fr-FR"/>
        </w:rPr>
        <w:t>d</w:t>
      </w:r>
      <w:r w:rsidR="00CE4A74" w:rsidRPr="00812C45">
        <w:rPr>
          <w:rFonts w:eastAsia="Malgun Gothic"/>
          <w:lang w:val="fr-FR"/>
        </w:rPr>
        <w:t>es canaux d</w:t>
      </w:r>
      <w:r w:rsidR="00923E72">
        <w:rPr>
          <w:rFonts w:eastAsia="Malgun Gothic"/>
          <w:lang w:val="fr-FR"/>
        </w:rPr>
        <w:t>’</w:t>
      </w:r>
      <w:r w:rsidR="00CE4A74" w:rsidRPr="00812C45">
        <w:rPr>
          <w:rFonts w:eastAsia="Malgun Gothic"/>
          <w:lang w:val="fr-FR"/>
        </w:rPr>
        <w:t xml:space="preserve">information pour une </w:t>
      </w:r>
      <w:r w:rsidR="00812C45" w:rsidRPr="00702497">
        <w:rPr>
          <w:rFonts w:eastAsia="Malgun Gothic"/>
          <w:lang w:val="fr-FR"/>
        </w:rPr>
        <w:t xml:space="preserve">meilleure </w:t>
      </w:r>
      <w:r w:rsidRPr="00812C45">
        <w:rPr>
          <w:rFonts w:eastAsia="Malgun Gothic"/>
          <w:lang w:val="fr-FR"/>
        </w:rPr>
        <w:t>sensibilisation à l</w:t>
      </w:r>
      <w:r w:rsidR="00923E72">
        <w:rPr>
          <w:rFonts w:eastAsia="Malgun Gothic"/>
          <w:lang w:val="fr-FR"/>
        </w:rPr>
        <w:t>’</w:t>
      </w:r>
      <w:r w:rsidRPr="00812C45">
        <w:rPr>
          <w:rFonts w:eastAsia="Malgun Gothic"/>
          <w:lang w:val="fr-FR"/>
        </w:rPr>
        <w:t>importance du patrimoine culturel immatériel</w:t>
      </w:r>
      <w:r w:rsidR="00812C45" w:rsidRPr="00702497">
        <w:rPr>
          <w:rFonts w:eastAsia="Malgun Gothic"/>
          <w:lang w:val="fr-FR"/>
        </w:rPr>
        <w:t> ;</w:t>
      </w:r>
      <w:r w:rsidRPr="00812C45">
        <w:rPr>
          <w:rFonts w:eastAsia="Malgun Gothic"/>
          <w:lang w:val="fr-FR"/>
        </w:rPr>
        <w:t xml:space="preserve"> </w:t>
      </w:r>
      <w:r w:rsidR="00CE4A74" w:rsidRPr="00702497">
        <w:rPr>
          <w:rFonts w:eastAsia="Malgun Gothic"/>
          <w:lang w:val="fr-FR"/>
        </w:rPr>
        <w:t>et le soutien aux i</w:t>
      </w:r>
      <w:r w:rsidRPr="00812C45">
        <w:rPr>
          <w:rFonts w:eastAsia="Malgun Gothic"/>
          <w:lang w:val="fr-FR"/>
        </w:rPr>
        <w:t>nstitutions afin qu</w:t>
      </w:r>
      <w:r w:rsidR="00923E72">
        <w:rPr>
          <w:rFonts w:eastAsia="Malgun Gothic"/>
          <w:lang w:val="fr-FR"/>
        </w:rPr>
        <w:t>’</w:t>
      </w:r>
      <w:r w:rsidRPr="00812C45">
        <w:rPr>
          <w:rFonts w:eastAsia="Malgun Gothic"/>
          <w:lang w:val="fr-FR"/>
        </w:rPr>
        <w:t xml:space="preserve">elles </w:t>
      </w:r>
      <w:r w:rsidR="00CE4A74" w:rsidRPr="00702497">
        <w:rPr>
          <w:rFonts w:eastAsia="Malgun Gothic"/>
          <w:lang w:val="fr-FR"/>
        </w:rPr>
        <w:t xml:space="preserve">entreprennent </w:t>
      </w:r>
      <w:r w:rsidRPr="00812C45">
        <w:rPr>
          <w:rFonts w:eastAsia="Malgun Gothic"/>
          <w:lang w:val="fr-FR"/>
        </w:rPr>
        <w:t>des recherches sur les meilleures pratiques</w:t>
      </w:r>
      <w:r w:rsidR="00CE4A74" w:rsidRPr="00702497">
        <w:rPr>
          <w:rFonts w:eastAsia="Malgun Gothic"/>
          <w:lang w:val="fr-FR"/>
        </w:rPr>
        <w:t xml:space="preserve"> de </w:t>
      </w:r>
      <w:r w:rsidRPr="00812C45">
        <w:rPr>
          <w:rFonts w:eastAsia="Malgun Gothic"/>
          <w:lang w:val="fr-FR"/>
        </w:rPr>
        <w:t xml:space="preserve">sauvegarde du patrimoine culturel immatériel, en coopération avec les communautés. </w:t>
      </w:r>
      <w:r w:rsidRPr="002E6C0D">
        <w:rPr>
          <w:rFonts w:eastAsia="Malgun Gothic"/>
          <w:lang w:val="fr-FR"/>
        </w:rPr>
        <w:t>Au niveau régional, la Jordanie prenait des mesures visant à sauvegarder le patrimoine culturel immatériel partagé avec d</w:t>
      </w:r>
      <w:r w:rsidR="00923E72">
        <w:rPr>
          <w:rFonts w:eastAsia="Malgun Gothic"/>
          <w:lang w:val="fr-FR"/>
        </w:rPr>
        <w:t>’</w:t>
      </w:r>
      <w:r w:rsidRPr="002E6C0D">
        <w:rPr>
          <w:rFonts w:eastAsia="Malgun Gothic"/>
          <w:lang w:val="fr-FR"/>
        </w:rPr>
        <w:t>autres pays arabes par l</w:t>
      </w:r>
      <w:r w:rsidR="00923E72">
        <w:rPr>
          <w:rFonts w:eastAsia="Malgun Gothic"/>
          <w:lang w:val="fr-FR"/>
        </w:rPr>
        <w:t>’</w:t>
      </w:r>
      <w:r w:rsidRPr="002E6C0D">
        <w:rPr>
          <w:rFonts w:eastAsia="Malgun Gothic"/>
          <w:lang w:val="fr-FR"/>
        </w:rPr>
        <w:t xml:space="preserve">intermédiaire </w:t>
      </w:r>
      <w:r w:rsidRPr="002E6C0D">
        <w:rPr>
          <w:rFonts w:eastAsia="Malgun Gothic"/>
          <w:lang w:val="fr-FR"/>
        </w:rPr>
        <w:lastRenderedPageBreak/>
        <w:t>d</w:t>
      </w:r>
      <w:r w:rsidR="00923E72">
        <w:rPr>
          <w:rFonts w:eastAsia="Malgun Gothic"/>
          <w:lang w:val="fr-FR"/>
        </w:rPr>
        <w:t>’</w:t>
      </w:r>
      <w:r w:rsidRPr="002E6C0D">
        <w:rPr>
          <w:rFonts w:eastAsia="Malgun Gothic"/>
          <w:lang w:val="fr-FR"/>
        </w:rPr>
        <w:t>organisations internationales, en particulier l</w:t>
      </w:r>
      <w:r w:rsidR="00923E72">
        <w:rPr>
          <w:rFonts w:eastAsia="Malgun Gothic"/>
          <w:lang w:val="fr-FR"/>
        </w:rPr>
        <w:t>’</w:t>
      </w:r>
      <w:r w:rsidRPr="002E6C0D">
        <w:rPr>
          <w:rFonts w:eastAsia="Malgun Gothic"/>
          <w:lang w:val="fr-FR"/>
        </w:rPr>
        <w:t>ALECSO</w:t>
      </w:r>
      <w:r>
        <w:rPr>
          <w:rStyle w:val="FootnoteReference"/>
          <w:rFonts w:eastAsia="Malgun Gothic"/>
          <w:lang w:val="fr-FR"/>
        </w:rPr>
        <w:footnoteReference w:id="15"/>
      </w:r>
      <w:r w:rsidRPr="002E6C0D">
        <w:rPr>
          <w:rFonts w:eastAsia="Malgun Gothic"/>
          <w:lang w:val="fr-FR"/>
        </w:rPr>
        <w:t xml:space="preserve"> et l</w:t>
      </w:r>
      <w:r w:rsidR="00923E72">
        <w:rPr>
          <w:rFonts w:eastAsia="Malgun Gothic"/>
          <w:lang w:val="fr-FR"/>
        </w:rPr>
        <w:t>’</w:t>
      </w:r>
      <w:r w:rsidRPr="002E6C0D">
        <w:rPr>
          <w:rFonts w:eastAsia="Malgun Gothic"/>
          <w:lang w:val="fr-FR"/>
        </w:rPr>
        <w:t>ISESCO</w:t>
      </w:r>
      <w:r w:rsidR="00FA4B29">
        <w:rPr>
          <w:rStyle w:val="FootnoteReference"/>
          <w:rFonts w:eastAsia="Malgun Gothic"/>
          <w:lang w:val="fr-FR"/>
        </w:rPr>
        <w:footnoteReference w:id="16"/>
      </w:r>
      <w:r w:rsidR="00812C45">
        <w:rPr>
          <w:rFonts w:eastAsia="Malgun Gothic"/>
          <w:lang w:val="fr-FR"/>
        </w:rPr>
        <w:t xml:space="preserve">, </w:t>
      </w:r>
      <w:r w:rsidR="00812C45" w:rsidRPr="002E6C0D">
        <w:rPr>
          <w:rFonts w:eastAsia="Malgun Gothic"/>
          <w:lang w:val="fr-FR"/>
        </w:rPr>
        <w:t>et des gouvernements des pays concernés et de leurs communautés</w:t>
      </w:r>
      <w:r w:rsidRPr="002E6C0D">
        <w:rPr>
          <w:rFonts w:eastAsia="Malgun Gothic"/>
          <w:lang w:val="fr-FR"/>
        </w:rPr>
        <w:t>. En prenant les principes de la Convention comme approche et méthode ayant prouvé son utilité depuis près de deux décennies, la Jordanie bénéficiait également de l</w:t>
      </w:r>
      <w:r w:rsidR="00923E72">
        <w:rPr>
          <w:rFonts w:eastAsia="Malgun Gothic"/>
          <w:lang w:val="fr-FR"/>
        </w:rPr>
        <w:t>’</w:t>
      </w:r>
      <w:r w:rsidRPr="002E6C0D">
        <w:rPr>
          <w:rFonts w:eastAsia="Malgun Gothic"/>
          <w:lang w:val="fr-FR"/>
        </w:rPr>
        <w:t>expérience des pays au niveau mondial dans leur expérience en matière de sauvegarde du patrimoine immatériel.</w:t>
      </w:r>
    </w:p>
    <w:p w14:paraId="4D25AA13" w14:textId="211D8217" w:rsidR="00C63E65" w:rsidRPr="00702497" w:rsidRDefault="00FA4B29" w:rsidP="00702497">
      <w:pPr>
        <w:pStyle w:val="Orateurengris"/>
        <w:numPr>
          <w:ilvl w:val="0"/>
          <w:numId w:val="21"/>
        </w:numPr>
        <w:tabs>
          <w:tab w:val="clear" w:pos="567"/>
          <w:tab w:val="clear" w:pos="1418"/>
          <w:tab w:val="clear" w:pos="2126"/>
          <w:tab w:val="clear" w:pos="2835"/>
          <w:tab w:val="num" w:pos="709"/>
        </w:tabs>
        <w:spacing w:before="120" w:after="0"/>
        <w:ind w:left="709" w:hanging="709"/>
        <w:rPr>
          <w:b/>
          <w:color w:val="000000" w:themeColor="text1"/>
          <w:u w:val="single"/>
          <w:lang w:val="fr-FR"/>
        </w:rPr>
      </w:pPr>
      <w:r w:rsidRPr="00702497">
        <w:rPr>
          <w:rFonts w:eastAsia="Malgun Gothic"/>
          <w:color w:val="000000" w:themeColor="text1"/>
          <w:lang w:val="fr-FR"/>
        </w:rPr>
        <w:t xml:space="preserve">Le </w:t>
      </w:r>
      <w:r w:rsidRPr="00702497">
        <w:rPr>
          <w:rFonts w:eastAsia="Malgun Gothic"/>
          <w:b/>
          <w:bCs/>
          <w:color w:val="000000" w:themeColor="text1"/>
          <w:lang w:val="fr-FR"/>
        </w:rPr>
        <w:t>Président</w:t>
      </w:r>
      <w:r w:rsidRPr="00702497">
        <w:rPr>
          <w:rFonts w:eastAsia="Malgun Gothic"/>
          <w:color w:val="000000" w:themeColor="text1"/>
          <w:lang w:val="fr-FR"/>
        </w:rPr>
        <w:t xml:space="preserve"> a remercié tous les orateurs pour leurs contributions extrêmement positives. Il a noté que le renforcement des capacités avait été largement évoqué ainsi que les réflexions sur les procédures d</w:t>
      </w:r>
      <w:r w:rsidR="00923E72">
        <w:rPr>
          <w:rFonts w:eastAsia="Malgun Gothic"/>
          <w:color w:val="000000" w:themeColor="text1"/>
          <w:lang w:val="fr-FR"/>
        </w:rPr>
        <w:t>’</w:t>
      </w:r>
      <w:r w:rsidRPr="00702497">
        <w:rPr>
          <w:rFonts w:eastAsia="Malgun Gothic"/>
          <w:color w:val="000000" w:themeColor="text1"/>
          <w:lang w:val="fr-FR"/>
        </w:rPr>
        <w:t>inscription, les pays sous-représentés, le patrimoine et le développement durable, le manque d</w:t>
      </w:r>
      <w:r w:rsidR="00923E72">
        <w:rPr>
          <w:rFonts w:eastAsia="Malgun Gothic"/>
          <w:color w:val="000000" w:themeColor="text1"/>
          <w:lang w:val="fr-FR"/>
        </w:rPr>
        <w:t>’</w:t>
      </w:r>
      <w:r w:rsidRPr="00702497">
        <w:rPr>
          <w:rFonts w:eastAsia="Malgun Gothic"/>
          <w:color w:val="000000" w:themeColor="text1"/>
          <w:lang w:val="fr-FR"/>
        </w:rPr>
        <w:t>équilibre dans l</w:t>
      </w:r>
      <w:r w:rsidR="00923E72">
        <w:rPr>
          <w:rFonts w:eastAsia="Malgun Gothic"/>
          <w:color w:val="000000" w:themeColor="text1"/>
          <w:lang w:val="fr-FR"/>
        </w:rPr>
        <w:t>’</w:t>
      </w:r>
      <w:r w:rsidRPr="00702497">
        <w:rPr>
          <w:rFonts w:eastAsia="Malgun Gothic"/>
          <w:color w:val="000000" w:themeColor="text1"/>
          <w:lang w:val="fr-FR"/>
        </w:rPr>
        <w:t>approbation des dossiers, autant de thèmes sur lesquels les États parties se pencheraient dans le cadre de la Convention. Le Secrétariat et le Comité auraient également l</w:t>
      </w:r>
      <w:r w:rsidR="00923E72">
        <w:rPr>
          <w:rFonts w:eastAsia="Malgun Gothic"/>
          <w:color w:val="000000" w:themeColor="text1"/>
          <w:lang w:val="fr-FR"/>
        </w:rPr>
        <w:t>’</w:t>
      </w:r>
      <w:r w:rsidRPr="00702497">
        <w:rPr>
          <w:rFonts w:eastAsia="Malgun Gothic"/>
          <w:color w:val="000000" w:themeColor="text1"/>
          <w:lang w:val="fr-FR"/>
        </w:rPr>
        <w:t>occasion d</w:t>
      </w:r>
      <w:r w:rsidR="00923E72">
        <w:rPr>
          <w:rFonts w:eastAsia="Malgun Gothic"/>
          <w:color w:val="000000" w:themeColor="text1"/>
          <w:lang w:val="fr-FR"/>
        </w:rPr>
        <w:t>’</w:t>
      </w:r>
      <w:r w:rsidRPr="00702497">
        <w:rPr>
          <w:rFonts w:eastAsia="Malgun Gothic"/>
          <w:color w:val="000000" w:themeColor="text1"/>
          <w:lang w:val="fr-FR"/>
        </w:rPr>
        <w:t>approfondir ces sujets et d</w:t>
      </w:r>
      <w:r w:rsidR="00923E72">
        <w:rPr>
          <w:rFonts w:eastAsia="Malgun Gothic"/>
          <w:color w:val="000000" w:themeColor="text1"/>
          <w:lang w:val="fr-FR"/>
        </w:rPr>
        <w:t>’</w:t>
      </w:r>
      <w:r w:rsidRPr="00702497">
        <w:rPr>
          <w:rFonts w:eastAsia="Malgun Gothic"/>
          <w:color w:val="000000" w:themeColor="text1"/>
          <w:lang w:val="fr-FR"/>
        </w:rPr>
        <w:t>apporter les meilleures réponses possibles. En l</w:t>
      </w:r>
      <w:r w:rsidR="00923E72">
        <w:rPr>
          <w:rFonts w:eastAsia="Malgun Gothic"/>
          <w:color w:val="000000" w:themeColor="text1"/>
          <w:lang w:val="fr-FR"/>
        </w:rPr>
        <w:t>’</w:t>
      </w:r>
      <w:r w:rsidRPr="00702497">
        <w:rPr>
          <w:rFonts w:eastAsia="Malgun Gothic"/>
          <w:color w:val="000000" w:themeColor="text1"/>
          <w:lang w:val="fr-FR"/>
        </w:rPr>
        <w:t>absence d</w:t>
      </w:r>
      <w:r w:rsidR="00923E72">
        <w:rPr>
          <w:rFonts w:eastAsia="Malgun Gothic"/>
          <w:color w:val="000000" w:themeColor="text1"/>
          <w:lang w:val="fr-FR"/>
        </w:rPr>
        <w:t>’</w:t>
      </w:r>
      <w:r w:rsidRPr="00702497">
        <w:rPr>
          <w:rFonts w:eastAsia="Malgun Gothic"/>
          <w:color w:val="000000" w:themeColor="text1"/>
          <w:lang w:val="fr-FR"/>
        </w:rPr>
        <w:t xml:space="preserve">autres commentaires, </w:t>
      </w:r>
      <w:r w:rsidR="009C36A9" w:rsidRPr="00702497">
        <w:rPr>
          <w:rFonts w:eastAsia="Malgun Gothic"/>
          <w:color w:val="000000" w:themeColor="text1"/>
          <w:lang w:val="fr-FR"/>
        </w:rPr>
        <w:t xml:space="preserve">il </w:t>
      </w:r>
      <w:r w:rsidRPr="00702497">
        <w:rPr>
          <w:rFonts w:eastAsia="Malgun Gothic"/>
          <w:color w:val="000000" w:themeColor="text1"/>
          <w:lang w:val="fr-FR"/>
        </w:rPr>
        <w:t>est passé à l</w:t>
      </w:r>
      <w:r w:rsidR="00923E72">
        <w:rPr>
          <w:rFonts w:eastAsia="Malgun Gothic"/>
          <w:color w:val="000000" w:themeColor="text1"/>
          <w:lang w:val="fr-FR"/>
        </w:rPr>
        <w:t>’</w:t>
      </w:r>
      <w:r w:rsidRPr="00702497">
        <w:rPr>
          <w:rFonts w:eastAsia="Malgun Gothic"/>
          <w:color w:val="000000" w:themeColor="text1"/>
          <w:lang w:val="fr-FR"/>
        </w:rPr>
        <w:t>adoption du projet de décision dans son ensemble. En l</w:t>
      </w:r>
      <w:r w:rsidR="00923E72">
        <w:rPr>
          <w:rFonts w:eastAsia="Malgun Gothic"/>
          <w:color w:val="000000" w:themeColor="text1"/>
          <w:lang w:val="fr-FR"/>
        </w:rPr>
        <w:t>’</w:t>
      </w:r>
      <w:r w:rsidRPr="00702497">
        <w:rPr>
          <w:rFonts w:eastAsia="Malgun Gothic"/>
          <w:color w:val="000000" w:themeColor="text1"/>
          <w:lang w:val="fr-FR"/>
        </w:rPr>
        <w:t>absence</w:t>
      </w:r>
      <w:r w:rsidR="009C36A9" w:rsidRPr="00702497">
        <w:rPr>
          <w:rFonts w:eastAsia="Malgun Gothic"/>
          <w:color w:val="000000" w:themeColor="text1"/>
          <w:lang w:val="fr-FR"/>
        </w:rPr>
        <w:t xml:space="preserve"> d</w:t>
      </w:r>
      <w:r w:rsidR="00923E72">
        <w:rPr>
          <w:rFonts w:eastAsia="Malgun Gothic"/>
          <w:color w:val="000000" w:themeColor="text1"/>
          <w:lang w:val="fr-FR"/>
        </w:rPr>
        <w:t>’</w:t>
      </w:r>
      <w:r w:rsidR="009C36A9" w:rsidRPr="00702497">
        <w:rPr>
          <w:rFonts w:eastAsia="Malgun Gothic"/>
          <w:color w:val="000000" w:themeColor="text1"/>
          <w:lang w:val="fr-FR"/>
        </w:rPr>
        <w:t>objections</w:t>
      </w:r>
      <w:r w:rsidRPr="00702497">
        <w:rPr>
          <w:rFonts w:eastAsia="Malgun Gothic"/>
          <w:color w:val="000000" w:themeColor="text1"/>
          <w:lang w:val="fr-FR"/>
        </w:rPr>
        <w:t xml:space="preserve">, le </w:t>
      </w:r>
      <w:r w:rsidRPr="00702497">
        <w:rPr>
          <w:rFonts w:eastAsia="Malgun Gothic"/>
          <w:b/>
          <w:bCs/>
          <w:color w:val="000000" w:themeColor="text1"/>
          <w:lang w:val="fr-FR"/>
        </w:rPr>
        <w:t>Président a déclaré</w:t>
      </w:r>
      <w:r w:rsidR="009C36A9" w:rsidRPr="00702497">
        <w:rPr>
          <w:rFonts w:eastAsia="Malgun Gothic"/>
          <w:b/>
          <w:bCs/>
          <w:color w:val="000000" w:themeColor="text1"/>
          <w:lang w:val="fr-FR"/>
        </w:rPr>
        <w:t xml:space="preserve"> </w:t>
      </w:r>
      <w:r w:rsidRPr="00702497">
        <w:rPr>
          <w:rFonts w:eastAsia="Malgun Gothic"/>
          <w:b/>
          <w:bCs/>
          <w:color w:val="000000" w:themeColor="text1"/>
          <w:lang w:val="fr-FR"/>
        </w:rPr>
        <w:t>la décision</w:t>
      </w:r>
      <w:r w:rsidR="00812C45">
        <w:rPr>
          <w:rFonts w:eastAsia="Malgun Gothic"/>
          <w:b/>
          <w:bCs/>
          <w:color w:val="000000" w:themeColor="text1"/>
          <w:lang w:val="fr-FR"/>
        </w:rPr>
        <w:t> </w:t>
      </w:r>
      <w:hyperlink r:id="rId40" w:history="1">
        <w:r w:rsidR="002C61F6" w:rsidRPr="00B455F3">
          <w:rPr>
            <w:rStyle w:val="Hyperlink"/>
            <w:b/>
            <w:bCs/>
            <w:lang w:val="fr-FR"/>
          </w:rPr>
          <w:t>17.COM 5</w:t>
        </w:r>
      </w:hyperlink>
      <w:r w:rsidR="002C61F6" w:rsidRPr="00B455F3">
        <w:rPr>
          <w:rStyle w:val="Hyperlink"/>
          <w:bCs/>
          <w:color w:val="000000" w:themeColor="text1"/>
          <w:u w:val="none"/>
          <w:lang w:val="fr-FR"/>
        </w:rPr>
        <w:t xml:space="preserve"> </w:t>
      </w:r>
      <w:r w:rsidR="009C36A9" w:rsidRPr="00702497">
        <w:rPr>
          <w:rFonts w:eastAsia="Malgun Gothic"/>
          <w:b/>
          <w:bCs/>
          <w:color w:val="000000" w:themeColor="text1"/>
          <w:lang w:val="fr-FR"/>
        </w:rPr>
        <w:t xml:space="preserve"> adoptée.</w:t>
      </w:r>
    </w:p>
    <w:p w14:paraId="5CB6D6BE" w14:textId="04146FB8" w:rsidR="00C63E65" w:rsidRPr="00C63E65" w:rsidRDefault="00C63E65" w:rsidP="00C63E65">
      <w:pPr>
        <w:pStyle w:val="Orateurengris"/>
        <w:keepNext/>
        <w:tabs>
          <w:tab w:val="clear" w:pos="709"/>
          <w:tab w:val="clear" w:pos="1418"/>
          <w:tab w:val="clear" w:pos="2126"/>
          <w:tab w:val="clear" w:pos="2835"/>
        </w:tabs>
        <w:spacing w:before="360" w:after="60"/>
        <w:jc w:val="left"/>
        <w:outlineLvl w:val="0"/>
        <w:rPr>
          <w:b/>
          <w:color w:val="000000" w:themeColor="text1"/>
          <w:lang w:val="fr-FR"/>
        </w:rPr>
      </w:pPr>
      <w:r w:rsidRPr="00C63E65">
        <w:rPr>
          <w:b/>
          <w:color w:val="000000" w:themeColor="text1"/>
          <w:u w:val="single"/>
          <w:lang w:val="fr-FR"/>
        </w:rPr>
        <w:t>POINT</w:t>
      </w:r>
      <w:r w:rsidR="002B668C">
        <w:rPr>
          <w:b/>
          <w:color w:val="000000" w:themeColor="text1"/>
          <w:u w:val="single"/>
          <w:lang w:val="fr-FR"/>
        </w:rPr>
        <w:t> </w:t>
      </w:r>
      <w:r w:rsidRPr="00C63E65">
        <w:rPr>
          <w:b/>
          <w:color w:val="000000" w:themeColor="text1"/>
          <w:u w:val="single"/>
          <w:lang w:val="fr-FR"/>
        </w:rPr>
        <w:t>6</w:t>
      </w:r>
      <w:r>
        <w:rPr>
          <w:b/>
          <w:color w:val="000000" w:themeColor="text1"/>
          <w:u w:val="single"/>
          <w:lang w:val="fr-FR"/>
        </w:rPr>
        <w:t>.a</w:t>
      </w:r>
      <w:r w:rsidRPr="00C63E65">
        <w:rPr>
          <w:b/>
          <w:color w:val="000000" w:themeColor="text1"/>
          <w:u w:val="single"/>
          <w:lang w:val="fr-FR"/>
        </w:rPr>
        <w:t xml:space="preserve"> DE L</w:t>
      </w:r>
      <w:r w:rsidR="00923E72">
        <w:rPr>
          <w:b/>
          <w:color w:val="000000" w:themeColor="text1"/>
          <w:u w:val="single"/>
          <w:lang w:val="fr-FR"/>
        </w:rPr>
        <w:t>’</w:t>
      </w:r>
      <w:r w:rsidRPr="00C63E65">
        <w:rPr>
          <w:b/>
          <w:color w:val="000000" w:themeColor="text1"/>
          <w:u w:val="single"/>
          <w:lang w:val="fr-FR"/>
        </w:rPr>
        <w:t>ORDRE DU JOUR</w:t>
      </w:r>
      <w:r>
        <w:rPr>
          <w:b/>
          <w:color w:val="000000" w:themeColor="text1"/>
          <w:lang w:val="fr-FR"/>
        </w:rPr>
        <w:t> </w:t>
      </w:r>
      <w:r w:rsidRPr="00C63E65">
        <w:rPr>
          <w:b/>
          <w:color w:val="000000" w:themeColor="text1"/>
          <w:lang w:val="fr-FR"/>
        </w:rPr>
        <w:t>:</w:t>
      </w:r>
    </w:p>
    <w:p w14:paraId="6D592551" w14:textId="1F0EA4A3" w:rsidR="00C63E65" w:rsidRPr="00C63E65" w:rsidRDefault="00C63E65" w:rsidP="00702497">
      <w:pPr>
        <w:pStyle w:val="Orateurengris"/>
        <w:spacing w:after="0"/>
        <w:outlineLvl w:val="0"/>
        <w:rPr>
          <w:b/>
          <w:color w:val="000000" w:themeColor="text1"/>
          <w:lang w:val="fr-FR"/>
        </w:rPr>
      </w:pPr>
      <w:r>
        <w:rPr>
          <w:b/>
          <w:color w:val="000000" w:themeColor="text1"/>
          <w:lang w:val="fr-FR"/>
        </w:rPr>
        <w:t>EXAMEN DES RAPPORTS DES ÉTATS PARTIES SUR L</w:t>
      </w:r>
      <w:r w:rsidR="00923E72">
        <w:rPr>
          <w:b/>
          <w:color w:val="000000" w:themeColor="text1"/>
          <w:lang w:val="fr-FR"/>
        </w:rPr>
        <w:t>’</w:t>
      </w:r>
      <w:r>
        <w:rPr>
          <w:b/>
          <w:color w:val="000000" w:themeColor="text1"/>
          <w:lang w:val="fr-FR"/>
        </w:rPr>
        <w:t xml:space="preserve">ÉTAT ACTUEL DES ÉLÉMENTS INSCRITS SUR LA LISTE DU PATRIMOINE CULTUREL IMMATÉRIEL NÉCESSITANT UNE </w:t>
      </w:r>
      <w:r w:rsidRPr="00C63E65">
        <w:rPr>
          <w:b/>
          <w:bCs/>
          <w:color w:val="000000" w:themeColor="text1"/>
          <w:lang w:val="fr-FR"/>
        </w:rPr>
        <w:t>SAUVEGARDE</w:t>
      </w:r>
      <w:r>
        <w:rPr>
          <w:b/>
          <w:bCs/>
          <w:color w:val="000000" w:themeColor="text1"/>
          <w:lang w:val="fr-FR"/>
        </w:rPr>
        <w:t xml:space="preserve"> URGENTE</w:t>
      </w:r>
    </w:p>
    <w:p w14:paraId="0FF97CA8" w14:textId="77777777" w:rsidR="00C63E65" w:rsidRPr="00C63E65" w:rsidRDefault="00C63E65" w:rsidP="00C63E65">
      <w:pPr>
        <w:pStyle w:val="Orateurengris"/>
        <w:tabs>
          <w:tab w:val="clear" w:pos="709"/>
          <w:tab w:val="clear" w:pos="1418"/>
          <w:tab w:val="clear" w:pos="2126"/>
          <w:tab w:val="clear" w:pos="2835"/>
        </w:tabs>
        <w:spacing w:after="0"/>
        <w:ind w:left="567"/>
        <w:rPr>
          <w:b/>
          <w:color w:val="000000" w:themeColor="text1"/>
          <w:lang w:val="fr-FR"/>
        </w:rPr>
      </w:pPr>
    </w:p>
    <w:p w14:paraId="712FDF9E" w14:textId="57ED3385" w:rsidR="00C63E65" w:rsidRPr="00C63E65" w:rsidRDefault="00C63E65" w:rsidP="00C63E65">
      <w:pPr>
        <w:pStyle w:val="Orateurengris"/>
        <w:tabs>
          <w:tab w:val="clear" w:pos="709"/>
          <w:tab w:val="clear" w:pos="1418"/>
          <w:tab w:val="clear" w:pos="2126"/>
          <w:tab w:val="clear" w:pos="2835"/>
        </w:tabs>
        <w:spacing w:after="0"/>
        <w:ind w:left="709"/>
        <w:rPr>
          <w:i/>
          <w:lang w:val="fr-FR"/>
        </w:rPr>
      </w:pPr>
      <w:r w:rsidRPr="00C63E65">
        <w:rPr>
          <w:b/>
          <w:color w:val="000000" w:themeColor="text1"/>
          <w:lang w:val="fr-FR"/>
        </w:rPr>
        <w:t>Document</w:t>
      </w:r>
      <w:r>
        <w:rPr>
          <w:b/>
          <w:color w:val="000000" w:themeColor="text1"/>
          <w:lang w:val="fr-FR"/>
        </w:rPr>
        <w:t> </w:t>
      </w:r>
      <w:r w:rsidRPr="00C63E65">
        <w:rPr>
          <w:b/>
          <w:color w:val="000000" w:themeColor="text1"/>
          <w:lang w:val="fr-FR"/>
        </w:rPr>
        <w:t>:</w:t>
      </w:r>
      <w:r w:rsidRPr="00C63E65">
        <w:rPr>
          <w:b/>
          <w:iCs/>
          <w:color w:val="000000" w:themeColor="text1"/>
          <w:lang w:val="fr-FR"/>
        </w:rPr>
        <w:tab/>
      </w:r>
      <w:hyperlink r:id="rId41" w:history="1">
        <w:r w:rsidRPr="00C63E65">
          <w:rPr>
            <w:rStyle w:val="Hyperlink"/>
            <w:i/>
            <w:lang w:val="fr-FR"/>
          </w:rPr>
          <w:t>LHE/22/17.COM/6.a Rev</w:t>
        </w:r>
      </w:hyperlink>
    </w:p>
    <w:p w14:paraId="54A29F24" w14:textId="36F7676C" w:rsidR="00C63E65" w:rsidRPr="00C63E65" w:rsidRDefault="00C63E65" w:rsidP="00C63E65">
      <w:pPr>
        <w:pStyle w:val="Orateurengris"/>
        <w:tabs>
          <w:tab w:val="clear" w:pos="709"/>
          <w:tab w:val="clear" w:pos="1418"/>
          <w:tab w:val="clear" w:pos="2126"/>
          <w:tab w:val="clear" w:pos="2835"/>
        </w:tabs>
        <w:spacing w:after="0"/>
        <w:ind w:left="709"/>
        <w:rPr>
          <w:i/>
          <w:lang w:val="fr-FR"/>
        </w:rPr>
      </w:pPr>
      <w:r w:rsidRPr="00C63E65">
        <w:rPr>
          <w:b/>
          <w:color w:val="000000" w:themeColor="text1"/>
          <w:lang w:val="fr-FR"/>
        </w:rPr>
        <w:tab/>
      </w:r>
      <w:r w:rsidRPr="00C63E65">
        <w:rPr>
          <w:b/>
          <w:color w:val="000000" w:themeColor="text1"/>
          <w:lang w:val="fr-FR"/>
        </w:rPr>
        <w:tab/>
      </w:r>
      <w:hyperlink r:id="rId42" w:history="1">
        <w:r>
          <w:rPr>
            <w:rStyle w:val="Hyperlink"/>
            <w:i/>
            <w:lang w:val="fr-FR"/>
          </w:rPr>
          <w:t>24 rapports</w:t>
        </w:r>
      </w:hyperlink>
    </w:p>
    <w:p w14:paraId="7DC013E6" w14:textId="15A109AE" w:rsidR="00C63E65" w:rsidRDefault="00C63E65" w:rsidP="00C63E65">
      <w:pPr>
        <w:pStyle w:val="Orateurengris"/>
        <w:tabs>
          <w:tab w:val="clear" w:pos="709"/>
          <w:tab w:val="clear" w:pos="1418"/>
          <w:tab w:val="clear" w:pos="2126"/>
          <w:tab w:val="clear" w:pos="2835"/>
        </w:tabs>
        <w:spacing w:after="0"/>
        <w:ind w:left="709"/>
        <w:rPr>
          <w:rStyle w:val="Hyperlink"/>
          <w:i/>
          <w:lang w:val="fr-FR"/>
        </w:rPr>
      </w:pPr>
      <w:r w:rsidRPr="00C63E65">
        <w:rPr>
          <w:b/>
          <w:color w:val="000000" w:themeColor="text1"/>
          <w:lang w:val="fr-FR"/>
        </w:rPr>
        <w:t>D</w:t>
      </w:r>
      <w:r>
        <w:rPr>
          <w:b/>
          <w:color w:val="000000" w:themeColor="text1"/>
          <w:lang w:val="fr-FR"/>
        </w:rPr>
        <w:t>é</w:t>
      </w:r>
      <w:r w:rsidRPr="00C63E65">
        <w:rPr>
          <w:b/>
          <w:color w:val="000000" w:themeColor="text1"/>
          <w:lang w:val="fr-FR"/>
        </w:rPr>
        <w:t>cision</w:t>
      </w:r>
      <w:r>
        <w:rPr>
          <w:b/>
          <w:color w:val="000000" w:themeColor="text1"/>
          <w:lang w:val="fr-FR"/>
        </w:rPr>
        <w:t> </w:t>
      </w:r>
      <w:r w:rsidRPr="00C63E65">
        <w:rPr>
          <w:b/>
          <w:color w:val="000000" w:themeColor="text1"/>
          <w:lang w:val="fr-FR"/>
        </w:rPr>
        <w:t>:</w:t>
      </w:r>
      <w:r w:rsidRPr="00C63E65">
        <w:rPr>
          <w:bCs/>
          <w:color w:val="000000" w:themeColor="text1"/>
          <w:lang w:val="fr-FR"/>
        </w:rPr>
        <w:tab/>
      </w:r>
      <w:hyperlink r:id="rId43" w:history="1">
        <w:r w:rsidRPr="00C63E65">
          <w:rPr>
            <w:rStyle w:val="Hyperlink"/>
            <w:i/>
            <w:lang w:val="fr-FR"/>
          </w:rPr>
          <w:t>17.COM 6.a</w:t>
        </w:r>
      </w:hyperlink>
    </w:p>
    <w:p w14:paraId="5DFD16ED" w14:textId="77777777" w:rsidR="00C63E65" w:rsidRPr="00C63E65" w:rsidRDefault="00C63E65" w:rsidP="00C63E65">
      <w:pPr>
        <w:pStyle w:val="Orateurengris"/>
        <w:tabs>
          <w:tab w:val="clear" w:pos="709"/>
          <w:tab w:val="clear" w:pos="1418"/>
          <w:tab w:val="clear" w:pos="2126"/>
          <w:tab w:val="clear" w:pos="2835"/>
        </w:tabs>
        <w:spacing w:after="0"/>
        <w:ind w:left="709"/>
        <w:rPr>
          <w:i/>
          <w:lang w:val="fr-FR"/>
        </w:rPr>
      </w:pPr>
    </w:p>
    <w:p w14:paraId="12565900" w14:textId="0932EDC0" w:rsidR="00C63E65" w:rsidRPr="00C63E65" w:rsidRDefault="00C63E65" w:rsidP="00702497">
      <w:pPr>
        <w:pStyle w:val="Orateurengris"/>
        <w:numPr>
          <w:ilvl w:val="0"/>
          <w:numId w:val="21"/>
        </w:numPr>
        <w:tabs>
          <w:tab w:val="clear" w:pos="567"/>
          <w:tab w:val="num" w:pos="709"/>
        </w:tabs>
        <w:spacing w:after="0"/>
        <w:ind w:left="709" w:hanging="709"/>
        <w:outlineLvl w:val="0"/>
        <w:rPr>
          <w:b/>
          <w:color w:val="000000" w:themeColor="text1"/>
          <w:lang w:val="fr-FR"/>
        </w:rPr>
      </w:pPr>
      <w:r>
        <w:rPr>
          <w:rFonts w:eastAsia="Malgun Gothic"/>
          <w:lang w:val="fr-FR"/>
        </w:rPr>
        <w:t xml:space="preserve">Le </w:t>
      </w:r>
      <w:r w:rsidRPr="00C63E65">
        <w:rPr>
          <w:rFonts w:eastAsia="Malgun Gothic"/>
          <w:b/>
          <w:bCs/>
          <w:lang w:val="fr-FR"/>
        </w:rPr>
        <w:t>Président</w:t>
      </w:r>
      <w:r>
        <w:rPr>
          <w:rFonts w:eastAsia="Malgun Gothic"/>
          <w:lang w:val="fr-FR"/>
        </w:rPr>
        <w:t xml:space="preserve"> est passé au point</w:t>
      </w:r>
      <w:r w:rsidR="002B668C">
        <w:rPr>
          <w:rFonts w:eastAsia="Malgun Gothic"/>
          <w:lang w:val="fr-FR"/>
        </w:rPr>
        <w:t> </w:t>
      </w:r>
      <w:r>
        <w:rPr>
          <w:rFonts w:eastAsia="Malgun Gothic"/>
          <w:lang w:val="fr-FR"/>
        </w:rPr>
        <w:t>6.a</w:t>
      </w:r>
      <w:r w:rsidR="009C36A9">
        <w:rPr>
          <w:rFonts w:eastAsia="Malgun Gothic"/>
          <w:lang w:val="fr-FR"/>
        </w:rPr>
        <w:t xml:space="preserve">, </w:t>
      </w:r>
      <w:r>
        <w:rPr>
          <w:rFonts w:eastAsia="Malgun Gothic"/>
          <w:lang w:val="fr-FR"/>
        </w:rPr>
        <w:t>l</w:t>
      </w:r>
      <w:r w:rsidR="00923E72">
        <w:rPr>
          <w:rFonts w:eastAsia="Malgun Gothic"/>
          <w:lang w:val="fr-FR"/>
        </w:rPr>
        <w:t>’</w:t>
      </w:r>
      <w:r w:rsidRPr="00C63E65">
        <w:rPr>
          <w:bCs/>
          <w:color w:val="000000" w:themeColor="text1"/>
          <w:lang w:val="fr-FR"/>
        </w:rPr>
        <w:t xml:space="preserve">examen des rapports des </w:t>
      </w:r>
      <w:r>
        <w:rPr>
          <w:bCs/>
          <w:color w:val="000000" w:themeColor="text1"/>
          <w:lang w:val="fr-FR"/>
        </w:rPr>
        <w:t>É</w:t>
      </w:r>
      <w:r w:rsidRPr="00C63E65">
        <w:rPr>
          <w:bCs/>
          <w:color w:val="000000" w:themeColor="text1"/>
          <w:lang w:val="fr-FR"/>
        </w:rPr>
        <w:t>tats parties sur l</w:t>
      </w:r>
      <w:r w:rsidR="00923E72">
        <w:rPr>
          <w:bCs/>
          <w:color w:val="000000" w:themeColor="text1"/>
          <w:lang w:val="fr-FR"/>
        </w:rPr>
        <w:t>’</w:t>
      </w:r>
      <w:r w:rsidRPr="00C63E65">
        <w:rPr>
          <w:bCs/>
          <w:color w:val="000000" w:themeColor="text1"/>
          <w:lang w:val="fr-FR"/>
        </w:rPr>
        <w:t xml:space="preserve">état actuel des éléments inscrits sur la </w:t>
      </w:r>
      <w:r>
        <w:rPr>
          <w:bCs/>
          <w:color w:val="000000" w:themeColor="text1"/>
          <w:lang w:val="fr-FR"/>
        </w:rPr>
        <w:t>L</w:t>
      </w:r>
      <w:r w:rsidRPr="00C63E65">
        <w:rPr>
          <w:bCs/>
          <w:color w:val="000000" w:themeColor="text1"/>
          <w:lang w:val="fr-FR"/>
        </w:rPr>
        <w:t xml:space="preserve">iste </w:t>
      </w:r>
      <w:r>
        <w:rPr>
          <w:bCs/>
          <w:color w:val="000000" w:themeColor="text1"/>
          <w:lang w:val="fr-FR"/>
        </w:rPr>
        <w:t xml:space="preserve">de </w:t>
      </w:r>
      <w:r w:rsidRPr="00C63E65">
        <w:rPr>
          <w:bCs/>
          <w:color w:val="000000" w:themeColor="text1"/>
          <w:lang w:val="fr-FR"/>
        </w:rPr>
        <w:t>sauvegarde urgente</w:t>
      </w:r>
      <w:r>
        <w:rPr>
          <w:bCs/>
          <w:color w:val="000000" w:themeColor="text1"/>
          <w:lang w:val="fr-FR"/>
        </w:rPr>
        <w:t>.</w:t>
      </w:r>
    </w:p>
    <w:p w14:paraId="213DEF80" w14:textId="470E815D" w:rsidR="00FA4B29" w:rsidRDefault="00C63E6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C63E65">
        <w:rPr>
          <w:rFonts w:eastAsia="Malgun Gothic"/>
          <w:lang w:val="fr-FR"/>
        </w:rPr>
        <w:t xml:space="preserve">Le </w:t>
      </w:r>
      <w:r w:rsidRPr="004D7C6A">
        <w:rPr>
          <w:rFonts w:eastAsia="Malgun Gothic"/>
          <w:b/>
          <w:bCs/>
          <w:lang w:val="fr-FR"/>
        </w:rPr>
        <w:t>Secrétaire</w:t>
      </w:r>
      <w:r w:rsidRPr="00C63E65">
        <w:rPr>
          <w:rFonts w:eastAsia="Malgun Gothic"/>
          <w:lang w:val="fr-FR"/>
        </w:rPr>
        <w:t xml:space="preserve"> a présenté ce point</w:t>
      </w:r>
      <w:r w:rsidR="00E661F8">
        <w:rPr>
          <w:rFonts w:eastAsia="Malgun Gothic"/>
          <w:lang w:val="fr-FR"/>
        </w:rPr>
        <w:t>,</w:t>
      </w:r>
      <w:r w:rsidRPr="00C63E65">
        <w:rPr>
          <w:rFonts w:eastAsia="Malgun Gothic"/>
          <w:lang w:val="fr-FR"/>
        </w:rPr>
        <w:t xml:space="preserve"> qui concernait le neuvième cycle de rapports périodiques pour les éléments inscrits sur la Liste de sauvegarde urgente, dont les rapports avaient été soumis en décembre</w:t>
      </w:r>
      <w:r w:rsidR="001A7AF7">
        <w:rPr>
          <w:rFonts w:eastAsia="Malgun Gothic"/>
          <w:lang w:val="fr-FR"/>
        </w:rPr>
        <w:t> </w:t>
      </w:r>
      <w:r w:rsidRPr="00C63E65">
        <w:rPr>
          <w:rFonts w:eastAsia="Malgun Gothic"/>
          <w:lang w:val="fr-FR"/>
        </w:rPr>
        <w:t>2021. Ces rapports analysaient trois sujets principaux liés à la sauvegarde de ces éléments, à savoir</w:t>
      </w:r>
      <w:r w:rsidR="004D7C6A">
        <w:rPr>
          <w:rFonts w:eastAsia="Malgun Gothic"/>
          <w:lang w:val="fr-FR"/>
        </w:rPr>
        <w:t> </w:t>
      </w:r>
      <w:r w:rsidRPr="00C63E65">
        <w:rPr>
          <w:rFonts w:eastAsia="Malgun Gothic"/>
          <w:lang w:val="fr-FR"/>
        </w:rPr>
        <w:t>: i)</w:t>
      </w:r>
      <w:r w:rsidR="004D7C6A">
        <w:rPr>
          <w:rFonts w:eastAsia="Malgun Gothic"/>
          <w:lang w:val="fr-FR"/>
        </w:rPr>
        <w:t> </w:t>
      </w:r>
      <w:r w:rsidRPr="00C63E65">
        <w:rPr>
          <w:rFonts w:eastAsia="Malgun Gothic"/>
          <w:lang w:val="fr-FR"/>
        </w:rPr>
        <w:t>l</w:t>
      </w:r>
      <w:r w:rsidR="00923E72">
        <w:rPr>
          <w:rFonts w:eastAsia="Malgun Gothic"/>
          <w:lang w:val="fr-FR"/>
        </w:rPr>
        <w:t>’</w:t>
      </w:r>
      <w:r w:rsidRPr="00C63E65">
        <w:rPr>
          <w:rFonts w:eastAsia="Malgun Gothic"/>
          <w:lang w:val="fr-FR"/>
        </w:rPr>
        <w:t>efficacité du plan de sauvegarde</w:t>
      </w:r>
      <w:r w:rsidR="004D7C6A">
        <w:rPr>
          <w:rFonts w:eastAsia="Malgun Gothic"/>
          <w:lang w:val="fr-FR"/>
        </w:rPr>
        <w:t> </w:t>
      </w:r>
      <w:r w:rsidRPr="00C63E65">
        <w:rPr>
          <w:rFonts w:eastAsia="Malgun Gothic"/>
          <w:lang w:val="fr-FR"/>
        </w:rPr>
        <w:t>; ii)</w:t>
      </w:r>
      <w:r w:rsidR="004D7C6A">
        <w:rPr>
          <w:rFonts w:eastAsia="Malgun Gothic"/>
          <w:lang w:val="fr-FR"/>
        </w:rPr>
        <w:t> </w:t>
      </w:r>
      <w:r w:rsidRPr="00C63E65">
        <w:rPr>
          <w:rFonts w:eastAsia="Malgun Gothic"/>
          <w:lang w:val="fr-FR"/>
        </w:rPr>
        <w:t>la participation des communautés à la mise en œuvre du plan de sauvegarde et à la préparation du rapport</w:t>
      </w:r>
      <w:r w:rsidR="004D7C6A">
        <w:rPr>
          <w:rFonts w:eastAsia="Malgun Gothic"/>
          <w:lang w:val="fr-FR"/>
        </w:rPr>
        <w:t> </w:t>
      </w:r>
      <w:r w:rsidRPr="00C63E65">
        <w:rPr>
          <w:rFonts w:eastAsia="Malgun Gothic"/>
          <w:lang w:val="fr-FR"/>
        </w:rPr>
        <w:t>; et iii)</w:t>
      </w:r>
      <w:r w:rsidR="004D7C6A">
        <w:rPr>
          <w:rFonts w:eastAsia="Malgun Gothic"/>
          <w:lang w:val="fr-FR"/>
        </w:rPr>
        <w:t> </w:t>
      </w:r>
      <w:r w:rsidRPr="00C63E65">
        <w:rPr>
          <w:rFonts w:eastAsia="Malgun Gothic"/>
          <w:lang w:val="fr-FR"/>
        </w:rPr>
        <w:t>la viabilité et les risques associés à l</w:t>
      </w:r>
      <w:r w:rsidR="00923E72">
        <w:rPr>
          <w:rFonts w:eastAsia="Malgun Gothic"/>
          <w:lang w:val="fr-FR"/>
        </w:rPr>
        <w:t>’</w:t>
      </w:r>
      <w:r w:rsidRPr="00C63E65">
        <w:rPr>
          <w:rFonts w:eastAsia="Malgun Gothic"/>
          <w:lang w:val="fr-FR"/>
        </w:rPr>
        <w:t>élément. Le Secrétaire a invité</w:t>
      </w:r>
      <w:r>
        <w:rPr>
          <w:rFonts w:eastAsia="Malgun Gothic"/>
          <w:lang w:val="fr-FR"/>
        </w:rPr>
        <w:t xml:space="preserve"> M</w:t>
      </w:r>
      <w:r w:rsidRPr="00C63E65">
        <w:rPr>
          <w:rFonts w:eastAsia="Malgun Gothic"/>
          <w:vertAlign w:val="superscript"/>
          <w:lang w:val="fr-FR"/>
        </w:rPr>
        <w:t>me </w:t>
      </w:r>
      <w:r w:rsidRPr="00C63E65">
        <w:rPr>
          <w:rFonts w:eastAsia="Malgun Gothic"/>
          <w:lang w:val="fr-FR"/>
        </w:rPr>
        <w:t>Fumiko Ohinata</w:t>
      </w:r>
      <w:r w:rsidR="00406E6B">
        <w:rPr>
          <w:rFonts w:eastAsia="Malgun Gothic"/>
          <w:lang w:val="fr-FR"/>
        </w:rPr>
        <w:t>,</w:t>
      </w:r>
      <w:r w:rsidRPr="00C63E65">
        <w:rPr>
          <w:rFonts w:eastAsia="Malgun Gothic"/>
          <w:lang w:val="fr-FR"/>
        </w:rPr>
        <w:t xml:space="preserve"> du Secrétariat</w:t>
      </w:r>
      <w:r w:rsidR="00406E6B">
        <w:rPr>
          <w:rFonts w:eastAsia="Malgun Gothic"/>
          <w:lang w:val="fr-FR"/>
        </w:rPr>
        <w:t>,</w:t>
      </w:r>
      <w:r w:rsidRPr="00C63E65">
        <w:rPr>
          <w:rFonts w:eastAsia="Malgun Gothic"/>
          <w:lang w:val="fr-FR"/>
        </w:rPr>
        <w:t xml:space="preserve"> à donner plus de détails sur ce point.</w:t>
      </w:r>
    </w:p>
    <w:p w14:paraId="5399EAA0" w14:textId="7B740335" w:rsidR="004D7C6A" w:rsidRDefault="004D7C6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E3034">
        <w:rPr>
          <w:rFonts w:eastAsia="Malgun Gothic"/>
          <w:lang w:val="fr-FR"/>
        </w:rPr>
        <w:t>M</w:t>
      </w:r>
      <w:r w:rsidRPr="006E3034">
        <w:rPr>
          <w:rFonts w:eastAsia="Malgun Gothic"/>
          <w:vertAlign w:val="superscript"/>
          <w:lang w:val="fr-FR"/>
        </w:rPr>
        <w:t>me </w:t>
      </w:r>
      <w:r w:rsidRPr="006E3034">
        <w:rPr>
          <w:rFonts w:eastAsia="Malgun Gothic"/>
          <w:lang w:val="fr-FR"/>
        </w:rPr>
        <w:t>Fumiko Ohinata</w:t>
      </w:r>
      <w:r w:rsidR="00406E6B" w:rsidRPr="006E3034">
        <w:rPr>
          <w:rFonts w:eastAsia="Malgun Gothic"/>
          <w:lang w:val="fr-FR"/>
        </w:rPr>
        <w:t>, du</w:t>
      </w:r>
      <w:r w:rsidR="00406E6B">
        <w:rPr>
          <w:rFonts w:eastAsia="Malgun Gothic"/>
          <w:b/>
          <w:bCs/>
          <w:lang w:val="fr-FR"/>
        </w:rPr>
        <w:t xml:space="preserve"> Secrétariat,</w:t>
      </w:r>
      <w:r w:rsidRPr="00C63E65">
        <w:rPr>
          <w:rFonts w:eastAsia="Malgun Gothic"/>
          <w:lang w:val="fr-FR"/>
        </w:rPr>
        <w:t xml:space="preserve"> </w:t>
      </w:r>
      <w:r w:rsidRPr="004D7C6A">
        <w:rPr>
          <w:rFonts w:eastAsia="Malgun Gothic"/>
          <w:lang w:val="fr-FR"/>
        </w:rPr>
        <w:t>a présenté le document de travail</w:t>
      </w:r>
      <w:r w:rsidR="009A34A8">
        <w:rPr>
          <w:rFonts w:eastAsia="Malgun Gothic"/>
          <w:lang w:val="fr-FR"/>
        </w:rPr>
        <w:t> </w:t>
      </w:r>
      <w:r w:rsidRPr="004D7C6A">
        <w:rPr>
          <w:rFonts w:eastAsia="Malgun Gothic"/>
          <w:lang w:val="fr-FR"/>
        </w:rPr>
        <w:t>6.a</w:t>
      </w:r>
      <w:r w:rsidR="00E661F8">
        <w:rPr>
          <w:rFonts w:eastAsia="Malgun Gothic"/>
          <w:lang w:val="fr-FR"/>
        </w:rPr>
        <w:t>,</w:t>
      </w:r>
      <w:r w:rsidRPr="004D7C6A">
        <w:rPr>
          <w:rFonts w:eastAsia="Malgun Gothic"/>
          <w:lang w:val="fr-FR"/>
        </w:rPr>
        <w:t xml:space="preserve"> qui </w:t>
      </w:r>
      <w:r w:rsidR="006D689B">
        <w:rPr>
          <w:rFonts w:eastAsia="Malgun Gothic"/>
          <w:lang w:val="fr-FR"/>
        </w:rPr>
        <w:t xml:space="preserve">présentait </w:t>
      </w:r>
      <w:r w:rsidRPr="004D7C6A">
        <w:rPr>
          <w:rFonts w:eastAsia="Malgun Gothic"/>
          <w:lang w:val="fr-FR"/>
        </w:rPr>
        <w:t>des informations sur vingt</w:t>
      </w:r>
      <w:r w:rsidR="00812C45">
        <w:rPr>
          <w:rFonts w:eastAsia="Malgun Gothic"/>
          <w:lang w:val="fr-FR"/>
        </w:rPr>
        <w:noBreakHyphen/>
      </w:r>
      <w:r w:rsidRPr="004D7C6A">
        <w:rPr>
          <w:rFonts w:eastAsia="Malgun Gothic"/>
          <w:lang w:val="fr-FR"/>
        </w:rPr>
        <w:t xml:space="preserve">trois rapports </w:t>
      </w:r>
      <w:r w:rsidR="006D689B">
        <w:rPr>
          <w:rFonts w:eastAsia="Malgun Gothic"/>
          <w:lang w:val="fr-FR"/>
        </w:rPr>
        <w:t>soumis à</w:t>
      </w:r>
      <w:r w:rsidRPr="004D7C6A">
        <w:rPr>
          <w:rFonts w:eastAsia="Malgun Gothic"/>
          <w:lang w:val="fr-FR"/>
        </w:rPr>
        <w:t xml:space="preserve"> </w:t>
      </w:r>
      <w:r w:rsidR="006D689B">
        <w:rPr>
          <w:rFonts w:eastAsia="Malgun Gothic"/>
          <w:lang w:val="fr-FR"/>
        </w:rPr>
        <w:t>l</w:t>
      </w:r>
      <w:r w:rsidR="00923E72">
        <w:rPr>
          <w:rFonts w:eastAsia="Malgun Gothic"/>
          <w:lang w:val="fr-FR"/>
        </w:rPr>
        <w:t>’</w:t>
      </w:r>
      <w:r w:rsidRPr="004D7C6A">
        <w:rPr>
          <w:rFonts w:eastAsia="Malgun Gothic"/>
          <w:lang w:val="fr-FR"/>
        </w:rPr>
        <w:t xml:space="preserve">examen </w:t>
      </w:r>
      <w:r w:rsidR="006D689B">
        <w:rPr>
          <w:rFonts w:eastAsia="Malgun Gothic"/>
          <w:lang w:val="fr-FR"/>
        </w:rPr>
        <w:t xml:space="preserve">de </w:t>
      </w:r>
      <w:r w:rsidRPr="004D7C6A">
        <w:rPr>
          <w:rFonts w:eastAsia="Malgun Gothic"/>
          <w:lang w:val="fr-FR"/>
        </w:rPr>
        <w:t>la présente session du Comité. Ce rapport concernait quatre cycles</w:t>
      </w:r>
      <w:r w:rsidR="006D689B">
        <w:rPr>
          <w:rFonts w:eastAsia="Malgun Gothic"/>
          <w:lang w:val="fr-FR"/>
        </w:rPr>
        <w:t> </w:t>
      </w:r>
      <w:r w:rsidRPr="004D7C6A">
        <w:rPr>
          <w:rFonts w:eastAsia="Malgun Gothic"/>
          <w:lang w:val="fr-FR"/>
        </w:rPr>
        <w:t>: i)</w:t>
      </w:r>
      <w:r w:rsidR="006D689B">
        <w:rPr>
          <w:rFonts w:eastAsia="Malgun Gothic"/>
          <w:lang w:val="fr-FR"/>
        </w:rPr>
        <w:t> </w:t>
      </w:r>
      <w:r w:rsidRPr="004D7C6A">
        <w:rPr>
          <w:rFonts w:eastAsia="Malgun Gothic"/>
          <w:lang w:val="fr-FR"/>
        </w:rPr>
        <w:t>huit premiers rapports sur des éléments inscrits entre</w:t>
      </w:r>
      <w:r w:rsidR="001A7AF7">
        <w:rPr>
          <w:rFonts w:eastAsia="Malgun Gothic"/>
          <w:lang w:val="fr-FR"/>
        </w:rPr>
        <w:t> </w:t>
      </w:r>
      <w:r w:rsidRPr="004D7C6A">
        <w:rPr>
          <w:rFonts w:eastAsia="Malgun Gothic"/>
          <w:lang w:val="fr-FR"/>
        </w:rPr>
        <w:t>2017 et</w:t>
      </w:r>
      <w:r w:rsidR="001A7AF7">
        <w:rPr>
          <w:rFonts w:eastAsia="Malgun Gothic"/>
          <w:lang w:val="fr-FR"/>
        </w:rPr>
        <w:t> </w:t>
      </w:r>
      <w:r w:rsidRPr="004D7C6A">
        <w:rPr>
          <w:rFonts w:eastAsia="Malgun Gothic"/>
          <w:lang w:val="fr-FR"/>
        </w:rPr>
        <w:t>2019</w:t>
      </w:r>
      <w:r w:rsidR="006D689B">
        <w:rPr>
          <w:rFonts w:eastAsia="Malgun Gothic"/>
          <w:lang w:val="fr-FR"/>
        </w:rPr>
        <w:t> </w:t>
      </w:r>
      <w:r w:rsidRPr="004D7C6A">
        <w:rPr>
          <w:rFonts w:eastAsia="Malgun Gothic"/>
          <w:lang w:val="fr-FR"/>
        </w:rPr>
        <w:t>; ii)</w:t>
      </w:r>
      <w:r w:rsidR="006D689B">
        <w:rPr>
          <w:rFonts w:eastAsia="Malgun Gothic"/>
          <w:lang w:val="fr-FR"/>
        </w:rPr>
        <w:t> </w:t>
      </w:r>
      <w:r w:rsidRPr="004D7C6A">
        <w:rPr>
          <w:rFonts w:eastAsia="Malgun Gothic"/>
          <w:lang w:val="fr-FR"/>
        </w:rPr>
        <w:t>deux deuxièmes rapports sur des éléments inscrits en</w:t>
      </w:r>
      <w:r w:rsidR="001A7AF7">
        <w:rPr>
          <w:rFonts w:eastAsia="Malgun Gothic"/>
          <w:lang w:val="fr-FR"/>
        </w:rPr>
        <w:t> </w:t>
      </w:r>
      <w:r w:rsidRPr="004D7C6A">
        <w:rPr>
          <w:rFonts w:eastAsia="Malgun Gothic"/>
          <w:lang w:val="fr-FR"/>
        </w:rPr>
        <w:t>2013</w:t>
      </w:r>
      <w:r w:rsidR="006D689B">
        <w:rPr>
          <w:rFonts w:eastAsia="Malgun Gothic"/>
          <w:lang w:val="fr-FR"/>
        </w:rPr>
        <w:t> </w:t>
      </w:r>
      <w:r w:rsidRPr="004D7C6A">
        <w:rPr>
          <w:rFonts w:eastAsia="Malgun Gothic"/>
          <w:lang w:val="fr-FR"/>
        </w:rPr>
        <w:t>; iii)</w:t>
      </w:r>
      <w:r w:rsidR="006D689B">
        <w:rPr>
          <w:rFonts w:eastAsia="Malgun Gothic"/>
          <w:lang w:val="fr-FR"/>
        </w:rPr>
        <w:t> </w:t>
      </w:r>
      <w:r w:rsidRPr="004D7C6A">
        <w:rPr>
          <w:rFonts w:eastAsia="Malgun Gothic"/>
          <w:lang w:val="fr-FR"/>
        </w:rPr>
        <w:t>treize troisièmes rapports sur des éléments inscrits entre</w:t>
      </w:r>
      <w:r w:rsidR="001A7AF7">
        <w:rPr>
          <w:rFonts w:eastAsia="Malgun Gothic"/>
          <w:lang w:val="fr-FR"/>
        </w:rPr>
        <w:t> </w:t>
      </w:r>
      <w:r w:rsidRPr="004D7C6A">
        <w:rPr>
          <w:rFonts w:eastAsia="Malgun Gothic"/>
          <w:lang w:val="fr-FR"/>
        </w:rPr>
        <w:t>2009 et</w:t>
      </w:r>
      <w:r w:rsidR="001A7AF7">
        <w:rPr>
          <w:rFonts w:eastAsia="Malgun Gothic"/>
          <w:lang w:val="fr-FR"/>
        </w:rPr>
        <w:t> </w:t>
      </w:r>
      <w:r w:rsidRPr="004D7C6A">
        <w:rPr>
          <w:rFonts w:eastAsia="Malgun Gothic"/>
          <w:lang w:val="fr-FR"/>
        </w:rPr>
        <w:t>2013</w:t>
      </w:r>
      <w:r w:rsidR="006D689B">
        <w:rPr>
          <w:rFonts w:eastAsia="Malgun Gothic"/>
          <w:lang w:val="fr-FR"/>
        </w:rPr>
        <w:t> </w:t>
      </w:r>
      <w:r w:rsidRPr="004D7C6A">
        <w:rPr>
          <w:rFonts w:eastAsia="Malgun Gothic"/>
          <w:lang w:val="fr-FR"/>
        </w:rPr>
        <w:t>; et iv)</w:t>
      </w:r>
      <w:r w:rsidR="006D689B">
        <w:rPr>
          <w:rFonts w:eastAsia="Malgun Gothic"/>
          <w:lang w:val="fr-FR"/>
        </w:rPr>
        <w:t> </w:t>
      </w:r>
      <w:r w:rsidRPr="004D7C6A">
        <w:rPr>
          <w:rFonts w:eastAsia="Malgun Gothic"/>
          <w:lang w:val="fr-FR"/>
        </w:rPr>
        <w:t xml:space="preserve">un quatrième rapport sur un élément inscrit en 2009. </w:t>
      </w:r>
      <w:r w:rsidR="009C36A9">
        <w:rPr>
          <w:rFonts w:eastAsia="Malgun Gothic"/>
          <w:lang w:val="fr-FR"/>
        </w:rPr>
        <w:t xml:space="preserve">Elle </w:t>
      </w:r>
      <w:r w:rsidRPr="004D7C6A">
        <w:rPr>
          <w:rFonts w:eastAsia="Malgun Gothic"/>
          <w:lang w:val="fr-FR"/>
        </w:rPr>
        <w:t xml:space="preserve">passerait en revue les principaux points </w:t>
      </w:r>
      <w:r w:rsidR="00755B3F">
        <w:rPr>
          <w:rFonts w:eastAsia="Malgun Gothic"/>
          <w:lang w:val="fr-FR"/>
        </w:rPr>
        <w:t xml:space="preserve">évoqués </w:t>
      </w:r>
      <w:r w:rsidRPr="004D7C6A">
        <w:rPr>
          <w:rFonts w:eastAsia="Malgun Gothic"/>
          <w:lang w:val="fr-FR"/>
        </w:rPr>
        <w:t>dans ces vingt</w:t>
      </w:r>
      <w:r w:rsidR="00812C45">
        <w:rPr>
          <w:rFonts w:eastAsia="Malgun Gothic"/>
          <w:lang w:val="fr-FR"/>
        </w:rPr>
        <w:noBreakHyphen/>
      </w:r>
      <w:r w:rsidRPr="004D7C6A">
        <w:rPr>
          <w:rFonts w:eastAsia="Malgun Gothic"/>
          <w:lang w:val="fr-FR"/>
        </w:rPr>
        <w:t xml:space="preserve">trois rapports en fonction de trois thèmes. Le premier thème concernait </w:t>
      </w:r>
      <w:r w:rsidRPr="007D23D1">
        <w:rPr>
          <w:rFonts w:eastAsia="Malgun Gothic"/>
          <w:lang w:val="fr-FR"/>
        </w:rPr>
        <w:t>l</w:t>
      </w:r>
      <w:r w:rsidR="00923E72" w:rsidRPr="007D23D1">
        <w:rPr>
          <w:rFonts w:eastAsia="Malgun Gothic"/>
          <w:lang w:val="fr-FR"/>
        </w:rPr>
        <w:t>’</w:t>
      </w:r>
      <w:r w:rsidRPr="007D23D1">
        <w:rPr>
          <w:rFonts w:eastAsia="Malgun Gothic"/>
          <w:lang w:val="fr-FR"/>
        </w:rPr>
        <w:t>efficacité des plans de sauvegarde</w:t>
      </w:r>
      <w:r w:rsidRPr="004D7C6A">
        <w:rPr>
          <w:rFonts w:eastAsia="Malgun Gothic"/>
          <w:lang w:val="fr-FR"/>
        </w:rPr>
        <w:t>. Dans ce cycle, il avait été constaté que les cadres institutionnels et politiques avaient été renforcés dans les processus de sauvegarde. La transmission et la sensibilisation se pratiquaient de plus en plus dans le</w:t>
      </w:r>
      <w:r w:rsidR="006D689B">
        <w:rPr>
          <w:rFonts w:eastAsia="Malgun Gothic"/>
          <w:lang w:val="fr-FR"/>
        </w:rPr>
        <w:t xml:space="preserve"> cadre des</w:t>
      </w:r>
      <w:r w:rsidRPr="004D7C6A">
        <w:rPr>
          <w:rFonts w:eastAsia="Malgun Gothic"/>
          <w:lang w:val="fr-FR"/>
        </w:rPr>
        <w:t xml:space="preserve"> musées, </w:t>
      </w:r>
      <w:r w:rsidR="006D689B">
        <w:rPr>
          <w:rFonts w:eastAsia="Malgun Gothic"/>
          <w:lang w:val="fr-FR"/>
        </w:rPr>
        <w:t>d</w:t>
      </w:r>
      <w:r w:rsidRPr="004D7C6A">
        <w:rPr>
          <w:rFonts w:eastAsia="Malgun Gothic"/>
          <w:lang w:val="fr-FR"/>
        </w:rPr>
        <w:t>es bibliothèques et d</w:t>
      </w:r>
      <w:r w:rsidR="00923E72">
        <w:rPr>
          <w:rFonts w:eastAsia="Malgun Gothic"/>
          <w:lang w:val="fr-FR"/>
        </w:rPr>
        <w:t>’</w:t>
      </w:r>
      <w:r w:rsidRPr="004D7C6A">
        <w:rPr>
          <w:rFonts w:eastAsia="Malgun Gothic"/>
          <w:lang w:val="fr-FR"/>
        </w:rPr>
        <w:t xml:space="preserve">autres institutions similaires. Dans certains cas, des concours et des fêtes étaient également utilisés </w:t>
      </w:r>
      <w:r w:rsidR="006D689B">
        <w:rPr>
          <w:rFonts w:eastAsia="Malgun Gothic"/>
          <w:lang w:val="fr-FR"/>
        </w:rPr>
        <w:t>à ces</w:t>
      </w:r>
      <w:r w:rsidRPr="004D7C6A">
        <w:rPr>
          <w:rFonts w:eastAsia="Malgun Gothic"/>
          <w:lang w:val="fr-FR"/>
        </w:rPr>
        <w:t xml:space="preserve"> mêmes fins. Bien que le financement communautaire ait été utilisé dans certains cas, en général, le </w:t>
      </w:r>
      <w:r w:rsidR="006D689B">
        <w:rPr>
          <w:rFonts w:eastAsia="Malgun Gothic"/>
          <w:lang w:val="fr-FR"/>
        </w:rPr>
        <w:t xml:space="preserve">problème du </w:t>
      </w:r>
      <w:r w:rsidRPr="004D7C6A">
        <w:rPr>
          <w:rFonts w:eastAsia="Malgun Gothic"/>
          <w:lang w:val="fr-FR"/>
        </w:rPr>
        <w:t xml:space="preserve">manque de financement durable </w:t>
      </w:r>
      <w:r w:rsidR="006D689B">
        <w:rPr>
          <w:rFonts w:eastAsia="Malgun Gothic"/>
          <w:lang w:val="fr-FR"/>
        </w:rPr>
        <w:t xml:space="preserve">persistait </w:t>
      </w:r>
      <w:r w:rsidRPr="004D7C6A">
        <w:rPr>
          <w:rFonts w:eastAsia="Malgun Gothic"/>
          <w:lang w:val="fr-FR"/>
        </w:rPr>
        <w:t>pour plusieurs éléments. La prise en compte des défis environnementaux et la gestion des ressources naturelles étaient également une caractéristique essentielle des éléments de sauvegarde. La gestion de l</w:t>
      </w:r>
      <w:r w:rsidR="00923E72">
        <w:rPr>
          <w:rFonts w:eastAsia="Malgun Gothic"/>
          <w:lang w:val="fr-FR"/>
        </w:rPr>
        <w:t>’</w:t>
      </w:r>
      <w:r w:rsidRPr="004D7C6A">
        <w:rPr>
          <w:rFonts w:eastAsia="Malgun Gothic"/>
          <w:lang w:val="fr-FR"/>
        </w:rPr>
        <w:t>approvisionnement en matières premières et l</w:t>
      </w:r>
      <w:r w:rsidR="00923E72">
        <w:rPr>
          <w:rFonts w:eastAsia="Malgun Gothic"/>
          <w:lang w:val="fr-FR"/>
        </w:rPr>
        <w:t>’</w:t>
      </w:r>
      <w:r w:rsidRPr="004D7C6A">
        <w:rPr>
          <w:rFonts w:eastAsia="Malgun Gothic"/>
          <w:lang w:val="fr-FR"/>
        </w:rPr>
        <w:t xml:space="preserve">impact du changement climatique étaient signalés comme un problème pour plusieurs éléments. Certains rapports prenaient également en considération </w:t>
      </w:r>
      <w:r w:rsidRPr="004D7C6A">
        <w:rPr>
          <w:rFonts w:eastAsia="Malgun Gothic"/>
          <w:lang w:val="fr-FR"/>
        </w:rPr>
        <w:lastRenderedPageBreak/>
        <w:t>la gestion d</w:t>
      </w:r>
      <w:r w:rsidR="00923E72">
        <w:rPr>
          <w:rFonts w:eastAsia="Malgun Gothic"/>
          <w:lang w:val="fr-FR"/>
        </w:rPr>
        <w:t>’</w:t>
      </w:r>
      <w:r w:rsidRPr="004D7C6A">
        <w:rPr>
          <w:rFonts w:eastAsia="Malgun Gothic"/>
          <w:lang w:val="fr-FR"/>
        </w:rPr>
        <w:t>un site du patrimoine mondial dans le cadre du processus de sauvegarde d</w:t>
      </w:r>
      <w:r w:rsidR="00923E72">
        <w:rPr>
          <w:rFonts w:eastAsia="Malgun Gothic"/>
          <w:lang w:val="fr-FR"/>
        </w:rPr>
        <w:t>’</w:t>
      </w:r>
      <w:r w:rsidRPr="004D7C6A">
        <w:rPr>
          <w:rFonts w:eastAsia="Malgun Gothic"/>
          <w:lang w:val="fr-FR"/>
        </w:rPr>
        <w:t>un élément du patrimoine vivant. Les activités économiques continuaient d</w:t>
      </w:r>
      <w:r w:rsidR="00923E72">
        <w:rPr>
          <w:rFonts w:eastAsia="Malgun Gothic"/>
          <w:lang w:val="fr-FR"/>
        </w:rPr>
        <w:t>’</w:t>
      </w:r>
      <w:r w:rsidRPr="004D7C6A">
        <w:rPr>
          <w:rFonts w:eastAsia="Malgun Gothic"/>
          <w:lang w:val="fr-FR"/>
        </w:rPr>
        <w:t>occuper une place importante dans les rapports. Ces activités avaient le potentiel de garantir les moyens de subsistance pour des éléments tels que l</w:t>
      </w:r>
      <w:r w:rsidR="00923E72">
        <w:rPr>
          <w:rFonts w:eastAsia="Malgun Gothic"/>
          <w:lang w:val="fr-FR"/>
        </w:rPr>
        <w:t>’</w:t>
      </w:r>
      <w:r w:rsidRPr="004D7C6A">
        <w:rPr>
          <w:rFonts w:eastAsia="Malgun Gothic"/>
          <w:lang w:val="fr-FR"/>
        </w:rPr>
        <w:t>artisanat et les arts du spectacle, et offraient donc la possibilité d</w:t>
      </w:r>
      <w:r w:rsidR="00923E72">
        <w:rPr>
          <w:rFonts w:eastAsia="Malgun Gothic"/>
          <w:lang w:val="fr-FR"/>
        </w:rPr>
        <w:t>’</w:t>
      </w:r>
      <w:r w:rsidRPr="004D7C6A">
        <w:rPr>
          <w:rFonts w:eastAsia="Malgun Gothic"/>
          <w:lang w:val="fr-FR"/>
        </w:rPr>
        <w:t>assurer la viabilité d</w:t>
      </w:r>
      <w:r w:rsidR="00923E72">
        <w:rPr>
          <w:rFonts w:eastAsia="Malgun Gothic"/>
          <w:lang w:val="fr-FR"/>
        </w:rPr>
        <w:t>’</w:t>
      </w:r>
      <w:r w:rsidRPr="004D7C6A">
        <w:rPr>
          <w:rFonts w:eastAsia="Malgun Gothic"/>
          <w:lang w:val="fr-FR"/>
        </w:rPr>
        <w:t>un élément. Dans le même temps, ces activités présentaient également des risques de commercialisation excessive et de réduction de la diversité des modes d</w:t>
      </w:r>
      <w:r w:rsidR="00923E72">
        <w:rPr>
          <w:rFonts w:eastAsia="Malgun Gothic"/>
          <w:lang w:val="fr-FR"/>
        </w:rPr>
        <w:t>’</w:t>
      </w:r>
      <w:r w:rsidRPr="004D7C6A">
        <w:rPr>
          <w:rFonts w:eastAsia="Malgun Gothic"/>
          <w:lang w:val="fr-FR"/>
        </w:rPr>
        <w:t>expression culturelle. L</w:t>
      </w:r>
      <w:r w:rsidR="00923E72">
        <w:rPr>
          <w:rFonts w:eastAsia="Malgun Gothic"/>
          <w:lang w:val="fr-FR"/>
        </w:rPr>
        <w:t>’</w:t>
      </w:r>
      <w:r w:rsidRPr="004D7C6A">
        <w:rPr>
          <w:rFonts w:eastAsia="Malgun Gothic"/>
          <w:lang w:val="fr-FR"/>
        </w:rPr>
        <w:t xml:space="preserve">impact de la pandémie avait également été observé dans de nombreux rapports de ce cycle. Certaines activités </w:t>
      </w:r>
      <w:r w:rsidR="006D689B">
        <w:rPr>
          <w:rFonts w:eastAsia="Malgun Gothic"/>
          <w:lang w:val="fr-FR"/>
        </w:rPr>
        <w:t xml:space="preserve">avaient été </w:t>
      </w:r>
      <w:r w:rsidRPr="004D7C6A">
        <w:rPr>
          <w:rFonts w:eastAsia="Malgun Gothic"/>
          <w:lang w:val="fr-FR"/>
        </w:rPr>
        <w:t>réduites et d</w:t>
      </w:r>
      <w:r w:rsidR="00923E72">
        <w:rPr>
          <w:rFonts w:eastAsia="Malgun Gothic"/>
          <w:lang w:val="fr-FR"/>
        </w:rPr>
        <w:t>’</w:t>
      </w:r>
      <w:r w:rsidRPr="004D7C6A">
        <w:rPr>
          <w:rFonts w:eastAsia="Malgun Gothic"/>
          <w:lang w:val="fr-FR"/>
        </w:rPr>
        <w:t>autres transférées vers des modalités en ligne. Dans le même temps, il était encourageant de constater que certains États avaient également soutenu économiquement les détenteurs vulnérables pendant cette crise. Quatre éléments de ce cycle avaient également fait état de l</w:t>
      </w:r>
      <w:r w:rsidR="00923E72">
        <w:rPr>
          <w:rFonts w:eastAsia="Malgun Gothic"/>
          <w:lang w:val="fr-FR"/>
        </w:rPr>
        <w:t>’</w:t>
      </w:r>
      <w:r w:rsidRPr="004D7C6A">
        <w:rPr>
          <w:rFonts w:eastAsia="Malgun Gothic"/>
          <w:lang w:val="fr-FR"/>
        </w:rPr>
        <w:t>impact positif de l</w:t>
      </w:r>
      <w:r w:rsidR="00923E72">
        <w:rPr>
          <w:rFonts w:eastAsia="Malgun Gothic"/>
          <w:lang w:val="fr-FR"/>
        </w:rPr>
        <w:t>’</w:t>
      </w:r>
      <w:r w:rsidRPr="004D7C6A">
        <w:rPr>
          <w:rFonts w:eastAsia="Malgun Gothic"/>
          <w:lang w:val="fr-FR"/>
        </w:rPr>
        <w:t>assistance internationale du Fonds du patrimoine culturel immatériel.</w:t>
      </w:r>
    </w:p>
    <w:p w14:paraId="711897E3" w14:textId="521EB0ED" w:rsidR="006D689B" w:rsidRDefault="006D689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D7C6A">
        <w:rPr>
          <w:rFonts w:eastAsia="Malgun Gothic"/>
          <w:b/>
          <w:bCs/>
          <w:lang w:val="fr-FR"/>
        </w:rPr>
        <w:t>M</w:t>
      </w:r>
      <w:r w:rsidRPr="004D7C6A">
        <w:rPr>
          <w:rFonts w:eastAsia="Malgun Gothic"/>
          <w:b/>
          <w:bCs/>
          <w:vertAlign w:val="superscript"/>
          <w:lang w:val="fr-FR"/>
        </w:rPr>
        <w:t>me </w:t>
      </w:r>
      <w:r w:rsidRPr="004D7C6A">
        <w:rPr>
          <w:rFonts w:eastAsia="Malgun Gothic"/>
          <w:b/>
          <w:bCs/>
          <w:lang w:val="fr-FR"/>
        </w:rPr>
        <w:t>Fumiko Ohinata</w:t>
      </w:r>
      <w:r w:rsidRPr="00C63E65">
        <w:rPr>
          <w:rFonts w:eastAsia="Malgun Gothic"/>
          <w:lang w:val="fr-FR"/>
        </w:rPr>
        <w:t xml:space="preserve"> </w:t>
      </w:r>
      <w:r w:rsidRPr="006D689B">
        <w:rPr>
          <w:rFonts w:eastAsia="Malgun Gothic"/>
          <w:lang w:val="fr-FR"/>
        </w:rPr>
        <w:t xml:space="preserve">a ensuite présenté le deuxième sujet, </w:t>
      </w:r>
      <w:r w:rsidRPr="007D23D1">
        <w:rPr>
          <w:rFonts w:eastAsia="Malgun Gothic"/>
          <w:lang w:val="fr-FR"/>
        </w:rPr>
        <w:t xml:space="preserve">la participation </w:t>
      </w:r>
      <w:r w:rsidR="00F9113D" w:rsidRPr="007D23D1">
        <w:rPr>
          <w:rFonts w:eastAsia="Malgun Gothic"/>
          <w:lang w:val="fr-FR"/>
        </w:rPr>
        <w:t xml:space="preserve">des </w:t>
      </w:r>
      <w:r w:rsidRPr="007D23D1">
        <w:rPr>
          <w:rFonts w:eastAsia="Malgun Gothic"/>
          <w:lang w:val="fr-FR"/>
        </w:rPr>
        <w:t>communaut</w:t>
      </w:r>
      <w:r w:rsidR="00F9113D" w:rsidRPr="007D23D1">
        <w:rPr>
          <w:rFonts w:eastAsia="Malgun Gothic"/>
          <w:lang w:val="fr-FR"/>
        </w:rPr>
        <w:t>és</w:t>
      </w:r>
      <w:r w:rsidRPr="007D23D1">
        <w:rPr>
          <w:rFonts w:eastAsia="Malgun Gothic"/>
          <w:lang w:val="fr-FR"/>
        </w:rPr>
        <w:t>. Plusieurs rapports faisaient état d</w:t>
      </w:r>
      <w:r w:rsidR="00923E72" w:rsidRPr="007D23D1">
        <w:rPr>
          <w:rFonts w:eastAsia="Malgun Gothic"/>
          <w:lang w:val="fr-FR"/>
        </w:rPr>
        <w:t>’</w:t>
      </w:r>
      <w:r w:rsidRPr="007D23D1">
        <w:rPr>
          <w:rFonts w:eastAsia="Malgun Gothic"/>
          <w:lang w:val="fr-FR"/>
        </w:rPr>
        <w:t>une augmentation du nombre</w:t>
      </w:r>
      <w:r w:rsidRPr="006D689B">
        <w:rPr>
          <w:rFonts w:eastAsia="Malgun Gothic"/>
          <w:lang w:val="fr-FR"/>
        </w:rPr>
        <w:t xml:space="preserve"> de praticiens et de la participation d</w:t>
      </w:r>
      <w:r w:rsidR="00923E72">
        <w:rPr>
          <w:rFonts w:eastAsia="Malgun Gothic"/>
          <w:lang w:val="fr-FR"/>
        </w:rPr>
        <w:t>’</w:t>
      </w:r>
      <w:r w:rsidRPr="006D689B">
        <w:rPr>
          <w:rFonts w:eastAsia="Malgun Gothic"/>
          <w:lang w:val="fr-FR"/>
        </w:rPr>
        <w:t xml:space="preserve">un plus grand nombre de membres de la communauté, y compris les jeunes. Certains États avaient également </w:t>
      </w:r>
      <w:r w:rsidR="00F9113D">
        <w:rPr>
          <w:rFonts w:eastAsia="Malgun Gothic"/>
          <w:lang w:val="fr-FR"/>
        </w:rPr>
        <w:t xml:space="preserve">accordé une </w:t>
      </w:r>
      <w:r w:rsidRPr="006D689B">
        <w:rPr>
          <w:rFonts w:eastAsia="Malgun Gothic"/>
          <w:lang w:val="fr-FR"/>
        </w:rPr>
        <w:t xml:space="preserve">attention </w:t>
      </w:r>
      <w:r w:rsidR="00F9113D">
        <w:rPr>
          <w:rFonts w:eastAsia="Malgun Gothic"/>
          <w:lang w:val="fr-FR"/>
        </w:rPr>
        <w:t xml:space="preserve">particulière </w:t>
      </w:r>
      <w:r w:rsidRPr="006D689B">
        <w:rPr>
          <w:rFonts w:eastAsia="Malgun Gothic"/>
          <w:lang w:val="fr-FR"/>
        </w:rPr>
        <w:t>à l</w:t>
      </w:r>
      <w:r w:rsidR="00923E72">
        <w:rPr>
          <w:rFonts w:eastAsia="Malgun Gothic"/>
          <w:lang w:val="fr-FR"/>
        </w:rPr>
        <w:t>’</w:t>
      </w:r>
      <w:r w:rsidRPr="006D689B">
        <w:rPr>
          <w:rFonts w:eastAsia="Malgun Gothic"/>
          <w:lang w:val="fr-FR"/>
        </w:rPr>
        <w:t>inclusion sociale des groupes vulnérables. La participation des communautés à toutes les étapes de la sauvegarde était d</w:t>
      </w:r>
      <w:r w:rsidR="00923E72">
        <w:rPr>
          <w:rFonts w:eastAsia="Malgun Gothic"/>
          <w:lang w:val="fr-FR"/>
        </w:rPr>
        <w:t>’</w:t>
      </w:r>
      <w:r w:rsidRPr="006D689B">
        <w:rPr>
          <w:rFonts w:eastAsia="Malgun Gothic"/>
          <w:lang w:val="fr-FR"/>
        </w:rPr>
        <w:t>une importance primordiale, et il était donc encourageant de voir cette participation renforcée au cours de ce cycle de rapports. Des changements dans les rôles</w:t>
      </w:r>
      <w:r w:rsidR="00F9113D">
        <w:rPr>
          <w:rFonts w:eastAsia="Malgun Gothic"/>
          <w:lang w:val="fr-FR"/>
        </w:rPr>
        <w:t xml:space="preserve"> liés au genre </w:t>
      </w:r>
      <w:r w:rsidRPr="006D689B">
        <w:rPr>
          <w:rFonts w:eastAsia="Malgun Gothic"/>
          <w:lang w:val="fr-FR"/>
        </w:rPr>
        <w:t>étaient également signalés, les femmes comme les hommes s</w:t>
      </w:r>
      <w:r w:rsidR="00923E72">
        <w:rPr>
          <w:rFonts w:eastAsia="Malgun Gothic"/>
          <w:lang w:val="fr-FR"/>
        </w:rPr>
        <w:t>’</w:t>
      </w:r>
      <w:r w:rsidRPr="006D689B">
        <w:rPr>
          <w:rFonts w:eastAsia="Malgun Gothic"/>
          <w:lang w:val="fr-FR"/>
        </w:rPr>
        <w:t>impliquant dans des pratiques traditionnellement exercées par l</w:t>
      </w:r>
      <w:r w:rsidR="00923E72">
        <w:rPr>
          <w:rFonts w:eastAsia="Malgun Gothic"/>
          <w:lang w:val="fr-FR"/>
        </w:rPr>
        <w:t>’</w:t>
      </w:r>
      <w:r w:rsidRPr="006D689B">
        <w:rPr>
          <w:rFonts w:eastAsia="Malgun Gothic"/>
          <w:lang w:val="fr-FR"/>
        </w:rPr>
        <w:t>autre sexe. Il était également réjouissant de voir davantage de femmes assumer des responsabilités de direction dans le domaine de la sauvegarde et d</w:t>
      </w:r>
      <w:r w:rsidR="00923E72">
        <w:rPr>
          <w:rFonts w:eastAsia="Malgun Gothic"/>
          <w:lang w:val="fr-FR"/>
        </w:rPr>
        <w:t>’</w:t>
      </w:r>
      <w:r w:rsidRPr="006D689B">
        <w:rPr>
          <w:rFonts w:eastAsia="Malgun Gothic"/>
          <w:lang w:val="fr-FR"/>
        </w:rPr>
        <w:t>autres activités. De nombreux rapports soulignaient également le rôle des ONG et des associations locales dans la sauvegarde. Toutefois, les modes traditionnels et coutumiers de gestion locale s</w:t>
      </w:r>
      <w:r w:rsidR="00923E72">
        <w:rPr>
          <w:rFonts w:eastAsia="Malgun Gothic"/>
          <w:lang w:val="fr-FR"/>
        </w:rPr>
        <w:t>’</w:t>
      </w:r>
      <w:r w:rsidRPr="006D689B">
        <w:rPr>
          <w:rFonts w:eastAsia="Malgun Gothic"/>
          <w:lang w:val="fr-FR"/>
        </w:rPr>
        <w:t>affaiblissaient dans certains cas, alors que les structures administratives nationales et locales jouaient un rôle de plus en plus important.</w:t>
      </w:r>
    </w:p>
    <w:p w14:paraId="5E81CE71" w14:textId="2D13DBE3" w:rsidR="00EB1E2A" w:rsidRDefault="00FA04E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FA04E5">
        <w:rPr>
          <w:rFonts w:eastAsia="Malgun Gothic"/>
          <w:lang w:val="fr-FR"/>
        </w:rPr>
        <w:t>S</w:t>
      </w:r>
      <w:r w:rsidR="00923E72">
        <w:rPr>
          <w:rFonts w:eastAsia="Malgun Gothic"/>
          <w:lang w:val="fr-FR"/>
        </w:rPr>
        <w:t>’</w:t>
      </w:r>
      <w:r w:rsidRPr="00FA04E5">
        <w:rPr>
          <w:rFonts w:eastAsia="Malgun Gothic"/>
          <w:lang w:val="fr-FR"/>
        </w:rPr>
        <w:t xml:space="preserve">agissant du troisième thème relatif à </w:t>
      </w:r>
      <w:r w:rsidRPr="007D23D1">
        <w:rPr>
          <w:rFonts w:eastAsia="Malgun Gothic"/>
          <w:lang w:val="fr-FR"/>
        </w:rPr>
        <w:t xml:space="preserve">la viabilité et aux risques actuels, </w:t>
      </w:r>
      <w:r w:rsidRPr="007D23D1">
        <w:rPr>
          <w:rFonts w:eastAsia="Malgun Gothic"/>
          <w:b/>
          <w:bCs/>
          <w:lang w:val="fr-FR"/>
        </w:rPr>
        <w:t>M</w:t>
      </w:r>
      <w:r w:rsidRPr="007D23D1">
        <w:rPr>
          <w:rFonts w:eastAsia="Malgun Gothic"/>
          <w:b/>
          <w:bCs/>
          <w:vertAlign w:val="superscript"/>
          <w:lang w:val="fr-FR"/>
        </w:rPr>
        <w:t>me </w:t>
      </w:r>
      <w:r w:rsidRPr="007D23D1">
        <w:rPr>
          <w:rFonts w:eastAsia="Malgun Gothic"/>
          <w:b/>
          <w:bCs/>
          <w:lang w:val="fr-FR"/>
        </w:rPr>
        <w:t>Fumiko Ohinata</w:t>
      </w:r>
      <w:r w:rsidRPr="007D23D1">
        <w:rPr>
          <w:rFonts w:eastAsia="Malgun Gothic"/>
          <w:lang w:val="fr-FR"/>
        </w:rPr>
        <w:t xml:space="preserve"> a expliqué que, comme lors du cycle précédent, la transmission intergénérationnelle restait un défi pour de nombreux éléments. De nombreux détenteurs étaient d</w:t>
      </w:r>
      <w:r w:rsidR="00923E72" w:rsidRPr="007D23D1">
        <w:rPr>
          <w:rFonts w:eastAsia="Malgun Gothic"/>
          <w:lang w:val="fr-FR"/>
        </w:rPr>
        <w:t>’</w:t>
      </w:r>
      <w:r w:rsidRPr="007D23D1">
        <w:rPr>
          <w:rFonts w:eastAsia="Malgun Gothic"/>
          <w:lang w:val="fr-FR"/>
        </w:rPr>
        <w:t>un âge avancé, et l</w:t>
      </w:r>
      <w:r w:rsidR="00923E72" w:rsidRPr="007D23D1">
        <w:rPr>
          <w:rFonts w:eastAsia="Malgun Gothic"/>
          <w:lang w:val="fr-FR"/>
        </w:rPr>
        <w:t>’</w:t>
      </w:r>
      <w:r w:rsidRPr="007D23D1">
        <w:rPr>
          <w:rFonts w:eastAsia="Malgun Gothic"/>
          <w:lang w:val="fr-FR"/>
        </w:rPr>
        <w:t>engagement des jeunes générations constituait un défi reconnu dans de nombreux rapports. Parallèlement, l</w:t>
      </w:r>
      <w:r w:rsidR="00923E72" w:rsidRPr="007D23D1">
        <w:rPr>
          <w:rFonts w:eastAsia="Malgun Gothic"/>
          <w:lang w:val="fr-FR"/>
        </w:rPr>
        <w:t>’</w:t>
      </w:r>
      <w:r w:rsidRPr="007D23D1">
        <w:rPr>
          <w:rFonts w:eastAsia="Malgun Gothic"/>
          <w:lang w:val="fr-FR"/>
        </w:rPr>
        <w:t>importance de l</w:t>
      </w:r>
      <w:r w:rsidR="00923E72" w:rsidRPr="007D23D1">
        <w:rPr>
          <w:rFonts w:eastAsia="Malgun Gothic"/>
          <w:lang w:val="fr-FR"/>
        </w:rPr>
        <w:t>’</w:t>
      </w:r>
      <w:r w:rsidRPr="007D23D1">
        <w:rPr>
          <w:rFonts w:eastAsia="Malgun Gothic"/>
          <w:lang w:val="fr-FR"/>
        </w:rPr>
        <w:t>enseignement des langues locales pour la transmission des connaissances, de la sagesse et des traditions orales était de plus en plus reconnue. On observait par ailleurs une tendance à la diminution de la diversité des expressions. Ceci était en partie lié à l</w:t>
      </w:r>
      <w:r w:rsidR="00923E72" w:rsidRPr="007D23D1">
        <w:rPr>
          <w:rFonts w:eastAsia="Malgun Gothic"/>
          <w:lang w:val="fr-FR"/>
        </w:rPr>
        <w:t>’</w:t>
      </w:r>
      <w:r w:rsidRPr="007D23D1">
        <w:rPr>
          <w:rFonts w:eastAsia="Malgun Gothic"/>
          <w:lang w:val="fr-FR"/>
        </w:rPr>
        <w:t>impact du tourisme, des festivals et des concours, qui conduisait à un appauvrissement des répertoires ou à la répétition de certaines formes d</w:t>
      </w:r>
      <w:r w:rsidR="00923E72" w:rsidRPr="007D23D1">
        <w:rPr>
          <w:rFonts w:eastAsia="Malgun Gothic"/>
          <w:lang w:val="fr-FR"/>
        </w:rPr>
        <w:t>’</w:t>
      </w:r>
      <w:r w:rsidRPr="007D23D1">
        <w:rPr>
          <w:rFonts w:eastAsia="Malgun Gothic"/>
          <w:lang w:val="fr-FR"/>
        </w:rPr>
        <w:t>interprétation. Après avoir analysé les trois sujets, M</w:t>
      </w:r>
      <w:r w:rsidRPr="007D23D1">
        <w:rPr>
          <w:rFonts w:eastAsia="Malgun Gothic"/>
          <w:vertAlign w:val="superscript"/>
          <w:lang w:val="fr-FR"/>
        </w:rPr>
        <w:t>me</w:t>
      </w:r>
      <w:r w:rsidRPr="007D23D1">
        <w:rPr>
          <w:rFonts w:eastAsia="Malgun Gothic"/>
          <w:lang w:val="fr-FR"/>
        </w:rPr>
        <w:t> Ohinata a abordé brièvement le calendrier transitoire pour le transfert d</w:t>
      </w:r>
      <w:r w:rsidR="00923E72" w:rsidRPr="007D23D1">
        <w:rPr>
          <w:rFonts w:eastAsia="Malgun Gothic"/>
          <w:lang w:val="fr-FR"/>
        </w:rPr>
        <w:t>’</w:t>
      </w:r>
      <w:r w:rsidRPr="007D23D1">
        <w:rPr>
          <w:rFonts w:eastAsia="Malgun Gothic"/>
          <w:lang w:val="fr-FR"/>
        </w:rPr>
        <w:t>éléments entre les listes de la Convention. Au cours de ce cycle, six rapports de deux États évoquaient une aspiration à transférer</w:t>
      </w:r>
      <w:r w:rsidRPr="00FA04E5">
        <w:rPr>
          <w:rFonts w:eastAsia="Malgun Gothic"/>
          <w:lang w:val="fr-FR"/>
        </w:rPr>
        <w:t xml:space="preserve"> un élément de la Liste de sauvegarde urgente à la Liste représentative. C</w:t>
      </w:r>
      <w:r w:rsidR="00923E72">
        <w:rPr>
          <w:rFonts w:eastAsia="Malgun Gothic"/>
          <w:lang w:val="fr-FR"/>
        </w:rPr>
        <w:t>’</w:t>
      </w:r>
      <w:r w:rsidRPr="00FA04E5">
        <w:rPr>
          <w:rFonts w:eastAsia="Malgun Gothic"/>
          <w:lang w:val="fr-FR"/>
        </w:rPr>
        <w:t>était une bonne nouvelle car cela signifiait que la viabilité des éléments précédemment considérés comme nécessitant une sauvegarde urgente s</w:t>
      </w:r>
      <w:r w:rsidR="00923E72">
        <w:rPr>
          <w:rFonts w:eastAsia="Malgun Gothic"/>
          <w:lang w:val="fr-FR"/>
        </w:rPr>
        <w:t>’</w:t>
      </w:r>
      <w:r w:rsidRPr="00FA04E5">
        <w:rPr>
          <w:rFonts w:eastAsia="Malgun Gothic"/>
          <w:lang w:val="fr-FR"/>
        </w:rPr>
        <w:t>était améliorée au point qu</w:t>
      </w:r>
      <w:r w:rsidR="00923E72">
        <w:rPr>
          <w:rFonts w:eastAsia="Malgun Gothic"/>
          <w:lang w:val="fr-FR"/>
        </w:rPr>
        <w:t>’</w:t>
      </w:r>
      <w:r>
        <w:rPr>
          <w:rFonts w:eastAsia="Malgun Gothic"/>
          <w:lang w:val="fr-FR"/>
        </w:rPr>
        <w:t xml:space="preserve">on pouvait </w:t>
      </w:r>
      <w:r w:rsidR="00123B96" w:rsidRPr="00123B96">
        <w:rPr>
          <w:rFonts w:eastAsia="Malgun Gothic"/>
          <w:color w:val="000000" w:themeColor="text1"/>
          <w:lang w:val="fr-FR"/>
        </w:rPr>
        <w:t>désormais</w:t>
      </w:r>
      <w:r w:rsidR="00123B96">
        <w:rPr>
          <w:rFonts w:eastAsia="Malgun Gothic"/>
          <w:color w:val="000000" w:themeColor="text1"/>
          <w:lang w:val="fr-FR"/>
        </w:rPr>
        <w:t xml:space="preserve"> </w:t>
      </w:r>
      <w:r>
        <w:rPr>
          <w:rFonts w:eastAsia="Malgun Gothic"/>
          <w:lang w:val="fr-FR"/>
        </w:rPr>
        <w:t xml:space="preserve">envisager leur </w:t>
      </w:r>
      <w:r w:rsidRPr="00FA04E5">
        <w:rPr>
          <w:rFonts w:eastAsia="Malgun Gothic"/>
          <w:lang w:val="fr-FR"/>
        </w:rPr>
        <w:t xml:space="preserve">transfert vers la Liste représentative. </w:t>
      </w:r>
      <w:r w:rsidR="000271D8">
        <w:rPr>
          <w:rFonts w:eastAsia="Malgun Gothic"/>
          <w:lang w:val="fr-FR"/>
        </w:rPr>
        <w:t xml:space="preserve">La </w:t>
      </w:r>
      <w:r w:rsidRPr="00FA04E5">
        <w:rPr>
          <w:rFonts w:eastAsia="Malgun Gothic"/>
          <w:lang w:val="fr-FR"/>
        </w:rPr>
        <w:t>nouvelle procédure pour le transfert d</w:t>
      </w:r>
      <w:r w:rsidR="00923E72">
        <w:rPr>
          <w:rFonts w:eastAsia="Malgun Gothic"/>
          <w:lang w:val="fr-FR"/>
        </w:rPr>
        <w:t>’</w:t>
      </w:r>
      <w:r w:rsidRPr="00FA04E5">
        <w:rPr>
          <w:rFonts w:eastAsia="Malgun Gothic"/>
          <w:lang w:val="fr-FR"/>
        </w:rPr>
        <w:t>un élément entre les différentes listes de la Convention</w:t>
      </w:r>
      <w:r w:rsidR="000271D8">
        <w:rPr>
          <w:rFonts w:eastAsia="Malgun Gothic"/>
          <w:lang w:val="fr-FR"/>
        </w:rPr>
        <w:t xml:space="preserve"> </w:t>
      </w:r>
      <w:r w:rsidRPr="00FA04E5">
        <w:rPr>
          <w:rFonts w:eastAsia="Malgun Gothic"/>
          <w:lang w:val="fr-FR"/>
        </w:rPr>
        <w:t>était l</w:t>
      </w:r>
      <w:r w:rsidR="00923E72">
        <w:rPr>
          <w:rFonts w:eastAsia="Malgun Gothic"/>
          <w:lang w:val="fr-FR"/>
        </w:rPr>
        <w:t>’</w:t>
      </w:r>
      <w:r w:rsidRPr="00FA04E5">
        <w:rPr>
          <w:rFonts w:eastAsia="Malgun Gothic"/>
          <w:lang w:val="fr-FR"/>
        </w:rPr>
        <w:t>un des résultats concrets de la réflexion globale sur les mécanismes d</w:t>
      </w:r>
      <w:r w:rsidR="00923E72">
        <w:rPr>
          <w:rFonts w:eastAsia="Malgun Gothic"/>
          <w:lang w:val="fr-FR"/>
        </w:rPr>
        <w:t>’</w:t>
      </w:r>
      <w:r w:rsidRPr="00FA04E5">
        <w:rPr>
          <w:rFonts w:eastAsia="Malgun Gothic"/>
          <w:lang w:val="fr-FR"/>
        </w:rPr>
        <w:t>inscription, qui avait conduit à la révision des Directives opérationnelles par la neuvième session de l</w:t>
      </w:r>
      <w:r w:rsidR="00923E72">
        <w:rPr>
          <w:rFonts w:eastAsia="Malgun Gothic"/>
          <w:lang w:val="fr-FR"/>
        </w:rPr>
        <w:t>’</w:t>
      </w:r>
      <w:r w:rsidRPr="00FA04E5">
        <w:rPr>
          <w:rFonts w:eastAsia="Malgun Gothic"/>
          <w:lang w:val="fr-FR"/>
        </w:rPr>
        <w:t>Assemblée générale. Cette nouvelle procédure prévoyait qu</w:t>
      </w:r>
      <w:r w:rsidR="00923E72">
        <w:rPr>
          <w:rFonts w:eastAsia="Malgun Gothic"/>
          <w:lang w:val="fr-FR"/>
        </w:rPr>
        <w:t>’</w:t>
      </w:r>
      <w:r w:rsidRPr="00FA04E5">
        <w:rPr>
          <w:rFonts w:eastAsia="Malgun Gothic"/>
          <w:lang w:val="fr-FR"/>
        </w:rPr>
        <w:t>une demande de transfert d</w:t>
      </w:r>
      <w:r w:rsidR="00923E72">
        <w:rPr>
          <w:rFonts w:eastAsia="Malgun Gothic"/>
          <w:lang w:val="fr-FR"/>
        </w:rPr>
        <w:t>’</w:t>
      </w:r>
      <w:r w:rsidRPr="00FA04E5">
        <w:rPr>
          <w:rFonts w:eastAsia="Malgun Gothic"/>
          <w:lang w:val="fr-FR"/>
        </w:rPr>
        <w:t>un élément de la Liste de sauvegarde urgente à la Liste représentative doit être soumise à l</w:t>
      </w:r>
      <w:r w:rsidR="00923E72">
        <w:rPr>
          <w:rFonts w:eastAsia="Malgun Gothic"/>
          <w:lang w:val="fr-FR"/>
        </w:rPr>
        <w:t>’</w:t>
      </w:r>
      <w:r w:rsidRPr="00FA04E5">
        <w:rPr>
          <w:rFonts w:eastAsia="Malgun Gothic"/>
          <w:lang w:val="fr-FR"/>
        </w:rPr>
        <w:t>aide du formulaire ICH</w:t>
      </w:r>
      <w:r w:rsidR="00D93AD2">
        <w:rPr>
          <w:rFonts w:eastAsia="Malgun Gothic"/>
          <w:lang w:val="fr-FR"/>
        </w:rPr>
        <w:noBreakHyphen/>
      </w:r>
      <w:r w:rsidRPr="00FA04E5">
        <w:rPr>
          <w:rFonts w:eastAsia="Malgun Gothic"/>
          <w:lang w:val="fr-FR"/>
        </w:rPr>
        <w:t>02</w:t>
      </w:r>
      <w:r w:rsidR="00D93AD2">
        <w:rPr>
          <w:rFonts w:eastAsia="Malgun Gothic"/>
          <w:lang w:val="fr-FR"/>
        </w:rPr>
        <w:t> LSU à </w:t>
      </w:r>
      <w:r w:rsidRPr="00FA04E5">
        <w:rPr>
          <w:rFonts w:eastAsia="Malgun Gothic"/>
          <w:lang w:val="fr-FR"/>
        </w:rPr>
        <w:t xml:space="preserve">LR, qui serait </w:t>
      </w:r>
      <w:r>
        <w:rPr>
          <w:rFonts w:eastAsia="Malgun Gothic"/>
          <w:lang w:val="fr-FR"/>
        </w:rPr>
        <w:t>annexé</w:t>
      </w:r>
      <w:r w:rsidRPr="00FA04E5">
        <w:rPr>
          <w:rFonts w:eastAsia="Malgun Gothic"/>
          <w:lang w:val="fr-FR"/>
        </w:rPr>
        <w:t xml:space="preserve"> au formulaire de rapport périodique ICH</w:t>
      </w:r>
      <w:r w:rsidR="00D93AD2">
        <w:rPr>
          <w:rFonts w:eastAsia="Malgun Gothic"/>
          <w:lang w:val="fr-FR"/>
        </w:rPr>
        <w:noBreakHyphen/>
      </w:r>
      <w:r w:rsidRPr="00FA04E5">
        <w:rPr>
          <w:rFonts w:eastAsia="Malgun Gothic"/>
          <w:lang w:val="fr-FR"/>
        </w:rPr>
        <w:t>11. Le Secrétariat finaliser</w:t>
      </w:r>
      <w:r w:rsidR="000271D8">
        <w:rPr>
          <w:rFonts w:eastAsia="Malgun Gothic"/>
          <w:lang w:val="fr-FR"/>
        </w:rPr>
        <w:t>ait</w:t>
      </w:r>
      <w:r w:rsidRPr="00FA04E5">
        <w:rPr>
          <w:rFonts w:eastAsia="Malgun Gothic"/>
          <w:lang w:val="fr-FR"/>
        </w:rPr>
        <w:t xml:space="preserve"> tous les formulaires</w:t>
      </w:r>
      <w:r w:rsidR="000271D8">
        <w:rPr>
          <w:rStyle w:val="FootnoteReference"/>
          <w:rFonts w:eastAsia="Malgun Gothic"/>
          <w:lang w:val="fr-FR"/>
        </w:rPr>
        <w:footnoteReference w:id="17"/>
      </w:r>
      <w:r w:rsidRPr="00FA04E5">
        <w:rPr>
          <w:rFonts w:eastAsia="Malgun Gothic"/>
          <w:lang w:val="fr-FR"/>
        </w:rPr>
        <w:t xml:space="preserve"> </w:t>
      </w:r>
      <w:r>
        <w:rPr>
          <w:rFonts w:eastAsia="Malgun Gothic"/>
          <w:lang w:val="fr-FR"/>
        </w:rPr>
        <w:t>d</w:t>
      </w:r>
      <w:r w:rsidR="00923E72">
        <w:rPr>
          <w:rFonts w:eastAsia="Malgun Gothic"/>
          <w:lang w:val="fr-FR"/>
        </w:rPr>
        <w:t>’</w:t>
      </w:r>
      <w:r>
        <w:rPr>
          <w:rFonts w:eastAsia="Malgun Gothic"/>
          <w:lang w:val="fr-FR"/>
        </w:rPr>
        <w:t xml:space="preserve">ici </w:t>
      </w:r>
      <w:r w:rsidRPr="00FA04E5">
        <w:rPr>
          <w:rFonts w:eastAsia="Malgun Gothic"/>
          <w:lang w:val="fr-FR"/>
        </w:rPr>
        <w:t>la fin de l</w:t>
      </w:r>
      <w:r w:rsidR="00923E72">
        <w:rPr>
          <w:rFonts w:eastAsia="Malgun Gothic"/>
          <w:lang w:val="fr-FR"/>
        </w:rPr>
        <w:t>’</w:t>
      </w:r>
      <w:r w:rsidRPr="00FA04E5">
        <w:rPr>
          <w:rFonts w:eastAsia="Malgun Gothic"/>
          <w:lang w:val="fr-FR"/>
        </w:rPr>
        <w:t>année</w:t>
      </w:r>
      <w:r w:rsidR="00246428">
        <w:rPr>
          <w:rFonts w:eastAsia="Malgun Gothic"/>
          <w:lang w:val="fr-FR"/>
        </w:rPr>
        <w:t> </w:t>
      </w:r>
      <w:r w:rsidRPr="00FA04E5">
        <w:rPr>
          <w:rFonts w:eastAsia="Malgun Gothic"/>
          <w:lang w:val="fr-FR"/>
        </w:rPr>
        <w:t>2022. La raison pour laquelle la demande de transfert était jointe au formulaire de rapport périodique était précisément de s</w:t>
      </w:r>
      <w:r w:rsidR="00923E72">
        <w:rPr>
          <w:rFonts w:eastAsia="Malgun Gothic"/>
          <w:lang w:val="fr-FR"/>
        </w:rPr>
        <w:t>’</w:t>
      </w:r>
      <w:r w:rsidRPr="00FA04E5">
        <w:rPr>
          <w:rFonts w:eastAsia="Malgun Gothic"/>
          <w:lang w:val="fr-FR"/>
        </w:rPr>
        <w:t>assurer que cette demande était basée sur un rapport solide et de démontrer l</w:t>
      </w:r>
      <w:r w:rsidR="00923E72">
        <w:rPr>
          <w:rFonts w:eastAsia="Malgun Gothic"/>
          <w:lang w:val="fr-FR"/>
        </w:rPr>
        <w:t>’</w:t>
      </w:r>
      <w:r w:rsidRPr="00FA04E5">
        <w:rPr>
          <w:rFonts w:eastAsia="Malgun Gothic"/>
          <w:lang w:val="fr-FR"/>
        </w:rPr>
        <w:t>efficacité des actions de sauvegarde dans l</w:t>
      </w:r>
      <w:r w:rsidR="00923E72">
        <w:rPr>
          <w:rFonts w:eastAsia="Malgun Gothic"/>
          <w:lang w:val="fr-FR"/>
        </w:rPr>
        <w:t>’</w:t>
      </w:r>
      <w:r w:rsidRPr="00FA04E5">
        <w:rPr>
          <w:rFonts w:eastAsia="Malgun Gothic"/>
          <w:lang w:val="fr-FR"/>
        </w:rPr>
        <w:t>amélioration de la viabilité de l</w:t>
      </w:r>
      <w:r w:rsidR="00923E72">
        <w:rPr>
          <w:rFonts w:eastAsia="Malgun Gothic"/>
          <w:lang w:val="fr-FR"/>
        </w:rPr>
        <w:t>’</w:t>
      </w:r>
      <w:r w:rsidRPr="00FA04E5">
        <w:rPr>
          <w:rFonts w:eastAsia="Malgun Gothic"/>
          <w:lang w:val="fr-FR"/>
        </w:rPr>
        <w:t>élément.</w:t>
      </w:r>
    </w:p>
    <w:p w14:paraId="5CC8C29B" w14:textId="1DC1AF80" w:rsidR="00FA04E5" w:rsidRDefault="00FA04E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D7C6A">
        <w:rPr>
          <w:rFonts w:eastAsia="Malgun Gothic"/>
          <w:b/>
          <w:bCs/>
          <w:lang w:val="fr-FR"/>
        </w:rPr>
        <w:lastRenderedPageBreak/>
        <w:t>M</w:t>
      </w:r>
      <w:r w:rsidRPr="004D7C6A">
        <w:rPr>
          <w:rFonts w:eastAsia="Malgun Gothic"/>
          <w:b/>
          <w:bCs/>
          <w:vertAlign w:val="superscript"/>
          <w:lang w:val="fr-FR"/>
        </w:rPr>
        <w:t>me </w:t>
      </w:r>
      <w:r w:rsidRPr="004D7C6A">
        <w:rPr>
          <w:rFonts w:eastAsia="Malgun Gothic"/>
          <w:b/>
          <w:bCs/>
          <w:lang w:val="fr-FR"/>
        </w:rPr>
        <w:t>Fumiko Ohinata</w:t>
      </w:r>
      <w:r w:rsidRPr="00FA04E5">
        <w:rPr>
          <w:rFonts w:eastAsia="Malgun Gothic"/>
          <w:lang w:val="fr-FR"/>
        </w:rPr>
        <w:t xml:space="preserve"> a </w:t>
      </w:r>
      <w:r w:rsidR="00123B96">
        <w:rPr>
          <w:rFonts w:eastAsia="Malgun Gothic"/>
          <w:lang w:val="fr-FR"/>
        </w:rPr>
        <w:t xml:space="preserve">enfin </w:t>
      </w:r>
      <w:r w:rsidRPr="00FA04E5">
        <w:rPr>
          <w:rFonts w:eastAsia="Malgun Gothic"/>
          <w:lang w:val="fr-FR"/>
        </w:rPr>
        <w:t>expliqué que le calendrier d</w:t>
      </w:r>
      <w:r w:rsidR="00923E72">
        <w:rPr>
          <w:rFonts w:eastAsia="Malgun Gothic"/>
          <w:lang w:val="fr-FR"/>
        </w:rPr>
        <w:t>’</w:t>
      </w:r>
      <w:r w:rsidRPr="00FA04E5">
        <w:rPr>
          <w:rFonts w:eastAsia="Malgun Gothic"/>
          <w:lang w:val="fr-FR"/>
        </w:rPr>
        <w:t>achèvement de la réflexion globale</w:t>
      </w:r>
      <w:r w:rsidR="006A7F80">
        <w:rPr>
          <w:rFonts w:eastAsia="Malgun Gothic"/>
          <w:lang w:val="fr-FR"/>
        </w:rPr>
        <w:t>,</w:t>
      </w:r>
      <w:r w:rsidRPr="00FA04E5">
        <w:rPr>
          <w:rFonts w:eastAsia="Malgun Gothic"/>
          <w:lang w:val="fr-FR"/>
        </w:rPr>
        <w:t xml:space="preserve"> en juillet</w:t>
      </w:r>
      <w:r w:rsidR="00D93AD2">
        <w:rPr>
          <w:rFonts w:eastAsia="Malgun Gothic"/>
          <w:lang w:val="fr-FR"/>
        </w:rPr>
        <w:t> </w:t>
      </w:r>
      <w:r w:rsidRPr="00FA04E5">
        <w:rPr>
          <w:rFonts w:eastAsia="Malgun Gothic"/>
          <w:lang w:val="fr-FR"/>
        </w:rPr>
        <w:t>2022</w:t>
      </w:r>
      <w:r w:rsidR="006A7F80">
        <w:rPr>
          <w:rFonts w:eastAsia="Malgun Gothic"/>
          <w:lang w:val="fr-FR"/>
        </w:rPr>
        <w:t>,</w:t>
      </w:r>
      <w:r w:rsidRPr="00FA04E5">
        <w:rPr>
          <w:rFonts w:eastAsia="Malgun Gothic"/>
          <w:lang w:val="fr-FR"/>
        </w:rPr>
        <w:t xml:space="preserve"> signifiait toutefois que les États parties ayant déjà soumis des rapports dans le cadre de ce cycle ainsi que les États parties soumettant des rapports en décembre</w:t>
      </w:r>
      <w:r w:rsidR="00D93AD2">
        <w:rPr>
          <w:rFonts w:eastAsia="Malgun Gothic"/>
          <w:lang w:val="fr-FR"/>
        </w:rPr>
        <w:t> </w:t>
      </w:r>
      <w:r w:rsidRPr="00FA04E5">
        <w:rPr>
          <w:rFonts w:eastAsia="Malgun Gothic"/>
          <w:lang w:val="fr-FR"/>
        </w:rPr>
        <w:t xml:space="preserve">2022 pour le cycle suivant ne pourraient pas bénéficier de ce nouveau formulaire. </w:t>
      </w:r>
      <w:r w:rsidR="000271D8">
        <w:rPr>
          <w:rFonts w:eastAsia="Malgun Gothic"/>
          <w:lang w:val="fr-FR"/>
        </w:rPr>
        <w:t xml:space="preserve">Le </w:t>
      </w:r>
      <w:r w:rsidRPr="00FA04E5">
        <w:rPr>
          <w:rFonts w:eastAsia="Malgun Gothic"/>
          <w:lang w:val="fr-FR"/>
        </w:rPr>
        <w:t xml:space="preserve">Secrétariat </w:t>
      </w:r>
      <w:r w:rsidR="000271D8">
        <w:rPr>
          <w:rFonts w:eastAsia="Malgun Gothic"/>
          <w:lang w:val="fr-FR"/>
        </w:rPr>
        <w:t xml:space="preserve">proposait donc </w:t>
      </w:r>
      <w:r w:rsidRPr="00FA04E5">
        <w:rPr>
          <w:rFonts w:eastAsia="Malgun Gothic"/>
          <w:lang w:val="fr-FR"/>
        </w:rPr>
        <w:t>au Comité d</w:t>
      </w:r>
      <w:r w:rsidR="00923E72">
        <w:rPr>
          <w:rFonts w:eastAsia="Malgun Gothic"/>
          <w:lang w:val="fr-FR"/>
        </w:rPr>
        <w:t>’</w:t>
      </w:r>
      <w:r w:rsidRPr="00FA04E5">
        <w:rPr>
          <w:rFonts w:eastAsia="Malgun Gothic"/>
          <w:lang w:val="fr-FR"/>
        </w:rPr>
        <w:t>envisager</w:t>
      </w:r>
      <w:r w:rsidR="000271D8">
        <w:rPr>
          <w:rFonts w:eastAsia="Malgun Gothic"/>
          <w:lang w:val="fr-FR"/>
        </w:rPr>
        <w:t>, à titre exceptionnel,</w:t>
      </w:r>
      <w:r w:rsidRPr="00FA04E5">
        <w:rPr>
          <w:rFonts w:eastAsia="Malgun Gothic"/>
          <w:lang w:val="fr-FR"/>
        </w:rPr>
        <w:t xml:space="preserve"> un </w:t>
      </w:r>
      <w:r w:rsidR="004E509E">
        <w:rPr>
          <w:rFonts w:eastAsia="Malgun Gothic"/>
          <w:lang w:val="fr-FR"/>
        </w:rPr>
        <w:t>« </w:t>
      </w:r>
      <w:r w:rsidRPr="00FA04E5">
        <w:rPr>
          <w:rFonts w:eastAsia="Malgun Gothic"/>
          <w:lang w:val="fr-FR"/>
        </w:rPr>
        <w:t>calendrier transitoire</w:t>
      </w:r>
      <w:r w:rsidR="004E509E">
        <w:rPr>
          <w:rFonts w:eastAsia="Malgun Gothic"/>
          <w:lang w:val="fr-FR"/>
        </w:rPr>
        <w:t> »</w:t>
      </w:r>
      <w:r w:rsidRPr="00FA04E5">
        <w:rPr>
          <w:rFonts w:eastAsia="Malgun Gothic"/>
          <w:lang w:val="fr-FR"/>
        </w:rPr>
        <w:t xml:space="preserve"> pour aider ces deux groupes d</w:t>
      </w:r>
      <w:r w:rsidR="00923E72">
        <w:rPr>
          <w:rFonts w:eastAsia="Malgun Gothic"/>
          <w:lang w:val="fr-FR"/>
        </w:rPr>
        <w:t>’</w:t>
      </w:r>
      <w:r w:rsidRPr="00FA04E5">
        <w:rPr>
          <w:rFonts w:eastAsia="Malgun Gothic"/>
          <w:lang w:val="fr-FR"/>
        </w:rPr>
        <w:t>États</w:t>
      </w:r>
      <w:r w:rsidR="000271D8">
        <w:rPr>
          <w:rFonts w:eastAsia="Malgun Gothic"/>
          <w:lang w:val="fr-FR"/>
        </w:rPr>
        <w:t xml:space="preserve"> à </w:t>
      </w:r>
      <w:r w:rsidRPr="00FA04E5">
        <w:rPr>
          <w:rFonts w:eastAsia="Malgun Gothic"/>
          <w:lang w:val="fr-FR"/>
        </w:rPr>
        <w:t>soumettre des demandes de transfert, s</w:t>
      </w:r>
      <w:r w:rsidR="00923E72">
        <w:rPr>
          <w:rFonts w:eastAsia="Malgun Gothic"/>
          <w:lang w:val="fr-FR"/>
        </w:rPr>
        <w:t>’</w:t>
      </w:r>
      <w:r w:rsidRPr="00FA04E5">
        <w:rPr>
          <w:rFonts w:eastAsia="Malgun Gothic"/>
          <w:lang w:val="fr-FR"/>
        </w:rPr>
        <w:t>ils le souhait</w:t>
      </w:r>
      <w:r w:rsidR="004E509E">
        <w:rPr>
          <w:rFonts w:eastAsia="Malgun Gothic"/>
          <w:lang w:val="fr-FR"/>
        </w:rPr>
        <w:t>ai</w:t>
      </w:r>
      <w:r w:rsidRPr="00FA04E5">
        <w:rPr>
          <w:rFonts w:eastAsia="Malgun Gothic"/>
          <w:lang w:val="fr-FR"/>
        </w:rPr>
        <w:t xml:space="preserve">ent. Selon le </w:t>
      </w:r>
      <w:r w:rsidR="004E509E">
        <w:rPr>
          <w:rFonts w:eastAsia="Malgun Gothic"/>
          <w:lang w:val="fr-FR"/>
        </w:rPr>
        <w:t>« </w:t>
      </w:r>
      <w:r w:rsidRPr="00FA04E5">
        <w:rPr>
          <w:rFonts w:eastAsia="Malgun Gothic"/>
          <w:lang w:val="fr-FR"/>
        </w:rPr>
        <w:t>calendrier transitoire</w:t>
      </w:r>
      <w:r w:rsidR="004E509E">
        <w:rPr>
          <w:rFonts w:eastAsia="Malgun Gothic"/>
          <w:lang w:val="fr-FR"/>
        </w:rPr>
        <w:t> »</w:t>
      </w:r>
      <w:r w:rsidRPr="00FA04E5">
        <w:rPr>
          <w:rFonts w:eastAsia="Malgun Gothic"/>
          <w:lang w:val="fr-FR"/>
        </w:rPr>
        <w:t xml:space="preserve"> proposé, ces États pourraient soumettre des demandes de transfert avant la date limite du</w:t>
      </w:r>
      <w:r w:rsidR="006A7F80">
        <w:rPr>
          <w:rFonts w:eastAsia="Malgun Gothic"/>
          <w:lang w:val="fr-FR"/>
        </w:rPr>
        <w:t> </w:t>
      </w:r>
      <w:r w:rsidRPr="00FA04E5">
        <w:rPr>
          <w:rFonts w:eastAsia="Malgun Gothic"/>
          <w:lang w:val="fr-FR"/>
        </w:rPr>
        <w:t>31</w:t>
      </w:r>
      <w:r w:rsidR="004E509E">
        <w:rPr>
          <w:rFonts w:eastAsia="Malgun Gothic"/>
          <w:lang w:val="fr-FR"/>
        </w:rPr>
        <w:t> </w:t>
      </w:r>
      <w:r w:rsidRPr="00FA04E5">
        <w:rPr>
          <w:rFonts w:eastAsia="Malgun Gothic"/>
          <w:lang w:val="fr-FR"/>
        </w:rPr>
        <w:t>mars</w:t>
      </w:r>
      <w:r w:rsidR="004E509E">
        <w:rPr>
          <w:rFonts w:eastAsia="Malgun Gothic"/>
          <w:lang w:val="fr-FR"/>
        </w:rPr>
        <w:t> </w:t>
      </w:r>
      <w:r w:rsidRPr="00FA04E5">
        <w:rPr>
          <w:rFonts w:eastAsia="Malgun Gothic"/>
          <w:lang w:val="fr-FR"/>
        </w:rPr>
        <w:t>2023. Cela permettrait à leurs demandes d</w:t>
      </w:r>
      <w:r w:rsidR="00923E72">
        <w:rPr>
          <w:rFonts w:eastAsia="Malgun Gothic"/>
          <w:lang w:val="fr-FR"/>
        </w:rPr>
        <w:t>’</w:t>
      </w:r>
      <w:r w:rsidRPr="00FA04E5">
        <w:rPr>
          <w:rFonts w:eastAsia="Malgun Gothic"/>
          <w:lang w:val="fr-FR"/>
        </w:rPr>
        <w:t>être examinées par l</w:t>
      </w:r>
      <w:r w:rsidR="00923E72">
        <w:rPr>
          <w:rFonts w:eastAsia="Malgun Gothic"/>
          <w:lang w:val="fr-FR"/>
        </w:rPr>
        <w:t>’</w:t>
      </w:r>
      <w:r w:rsidRPr="00FA04E5">
        <w:rPr>
          <w:rFonts w:eastAsia="Malgun Gothic"/>
          <w:lang w:val="fr-FR"/>
        </w:rPr>
        <w:t>Organe d</w:t>
      </w:r>
      <w:r w:rsidR="00923E72">
        <w:rPr>
          <w:rFonts w:eastAsia="Malgun Gothic"/>
          <w:lang w:val="fr-FR"/>
        </w:rPr>
        <w:t>’</w:t>
      </w:r>
      <w:r w:rsidRPr="00FA04E5">
        <w:rPr>
          <w:rFonts w:eastAsia="Malgun Gothic"/>
          <w:lang w:val="fr-FR"/>
        </w:rPr>
        <w:t>évaluation en</w:t>
      </w:r>
      <w:r w:rsidR="003A0260">
        <w:rPr>
          <w:rFonts w:eastAsia="Malgun Gothic"/>
          <w:lang w:val="fr-FR"/>
        </w:rPr>
        <w:t> </w:t>
      </w:r>
      <w:r w:rsidRPr="00FA04E5">
        <w:rPr>
          <w:rFonts w:eastAsia="Malgun Gothic"/>
          <w:lang w:val="fr-FR"/>
        </w:rPr>
        <w:t>2024, puis d</w:t>
      </w:r>
      <w:r w:rsidR="00923E72">
        <w:rPr>
          <w:rFonts w:eastAsia="Malgun Gothic"/>
          <w:lang w:val="fr-FR"/>
        </w:rPr>
        <w:t>’</w:t>
      </w:r>
      <w:r w:rsidRPr="00FA04E5">
        <w:rPr>
          <w:rFonts w:eastAsia="Malgun Gothic"/>
          <w:lang w:val="fr-FR"/>
        </w:rPr>
        <w:t>être présentées au Comité pour examen lors de sa dix</w:t>
      </w:r>
      <w:r w:rsidR="004E509E">
        <w:rPr>
          <w:rFonts w:eastAsia="Malgun Gothic"/>
          <w:lang w:val="fr-FR"/>
        </w:rPr>
        <w:noBreakHyphen/>
      </w:r>
      <w:r w:rsidRPr="00FA04E5">
        <w:rPr>
          <w:rFonts w:eastAsia="Malgun Gothic"/>
          <w:lang w:val="fr-FR"/>
        </w:rPr>
        <w:t>neuvième session en</w:t>
      </w:r>
      <w:r w:rsidR="003A0260">
        <w:rPr>
          <w:rFonts w:eastAsia="Malgun Gothic"/>
          <w:lang w:val="fr-FR"/>
        </w:rPr>
        <w:t> </w:t>
      </w:r>
      <w:r w:rsidRPr="00FA04E5">
        <w:rPr>
          <w:rFonts w:eastAsia="Malgun Gothic"/>
          <w:lang w:val="fr-FR"/>
        </w:rPr>
        <w:t xml:space="preserve">2024. Ce </w:t>
      </w:r>
      <w:r w:rsidR="004E509E">
        <w:rPr>
          <w:rFonts w:eastAsia="Malgun Gothic"/>
          <w:lang w:val="fr-FR"/>
        </w:rPr>
        <w:t>« </w:t>
      </w:r>
      <w:r w:rsidRPr="00FA04E5">
        <w:rPr>
          <w:rFonts w:eastAsia="Malgun Gothic"/>
          <w:lang w:val="fr-FR"/>
        </w:rPr>
        <w:t>calendrier transitoire</w:t>
      </w:r>
      <w:r w:rsidR="004E509E">
        <w:rPr>
          <w:rFonts w:eastAsia="Malgun Gothic"/>
          <w:lang w:val="fr-FR"/>
        </w:rPr>
        <w:t> »</w:t>
      </w:r>
      <w:r w:rsidRPr="00FA04E5">
        <w:rPr>
          <w:rFonts w:eastAsia="Malgun Gothic"/>
          <w:lang w:val="fr-FR"/>
        </w:rPr>
        <w:t xml:space="preserve"> </w:t>
      </w:r>
      <w:r w:rsidRPr="004E509E">
        <w:rPr>
          <w:rFonts w:eastAsia="Malgun Gothic"/>
          <w:lang w:val="fr-FR"/>
        </w:rPr>
        <w:t>bénéficierait aux États dont les rapports étaient sur le point d</w:t>
      </w:r>
      <w:r w:rsidR="00923E72">
        <w:rPr>
          <w:rFonts w:eastAsia="Malgun Gothic"/>
          <w:lang w:val="fr-FR"/>
        </w:rPr>
        <w:t>’</w:t>
      </w:r>
      <w:r w:rsidRPr="004E509E">
        <w:rPr>
          <w:rFonts w:eastAsia="Malgun Gothic"/>
          <w:lang w:val="fr-FR"/>
        </w:rPr>
        <w:t>être examiné</w:t>
      </w:r>
      <w:r w:rsidR="006A7F80">
        <w:rPr>
          <w:rFonts w:eastAsia="Malgun Gothic"/>
          <w:lang w:val="fr-FR"/>
        </w:rPr>
        <w:t>s</w:t>
      </w:r>
      <w:r w:rsidRPr="004E509E">
        <w:rPr>
          <w:rFonts w:eastAsia="Malgun Gothic"/>
          <w:lang w:val="fr-FR"/>
        </w:rPr>
        <w:t xml:space="preserve"> ainsi qu</w:t>
      </w:r>
      <w:r w:rsidR="00923E72">
        <w:rPr>
          <w:rFonts w:eastAsia="Malgun Gothic"/>
          <w:lang w:val="fr-FR"/>
        </w:rPr>
        <w:t>’</w:t>
      </w:r>
      <w:r w:rsidRPr="004E509E">
        <w:rPr>
          <w:rFonts w:eastAsia="Malgun Gothic"/>
          <w:lang w:val="fr-FR"/>
        </w:rPr>
        <w:t>aux États dont les rapports seraient examinés lors de la prochaine session du Comité. En outre, au cours de ce processus d</w:t>
      </w:r>
      <w:r w:rsidR="00923E72">
        <w:rPr>
          <w:rFonts w:eastAsia="Malgun Gothic"/>
          <w:lang w:val="fr-FR"/>
        </w:rPr>
        <w:t>’</w:t>
      </w:r>
      <w:r w:rsidRPr="004E509E">
        <w:rPr>
          <w:rFonts w:eastAsia="Malgun Gothic"/>
          <w:lang w:val="fr-FR"/>
        </w:rPr>
        <w:t>évaluation, il serait également possible pour l</w:t>
      </w:r>
      <w:r w:rsidR="00923E72">
        <w:rPr>
          <w:rFonts w:eastAsia="Malgun Gothic"/>
          <w:lang w:val="fr-FR"/>
        </w:rPr>
        <w:t>’</w:t>
      </w:r>
      <w:r w:rsidRPr="004E509E">
        <w:rPr>
          <w:rFonts w:eastAsia="Malgun Gothic"/>
          <w:lang w:val="fr-FR"/>
        </w:rPr>
        <w:t>Organe d</w:t>
      </w:r>
      <w:r w:rsidR="00923E72">
        <w:rPr>
          <w:rFonts w:eastAsia="Malgun Gothic"/>
          <w:lang w:val="fr-FR"/>
        </w:rPr>
        <w:t>’</w:t>
      </w:r>
      <w:r w:rsidRPr="004E509E">
        <w:rPr>
          <w:rFonts w:eastAsia="Malgun Gothic"/>
          <w:lang w:val="fr-FR"/>
        </w:rPr>
        <w:t>évaluation de recommander au Comité d</w:t>
      </w:r>
      <w:r w:rsidR="00923E72">
        <w:rPr>
          <w:rFonts w:eastAsia="Malgun Gothic"/>
          <w:lang w:val="fr-FR"/>
        </w:rPr>
        <w:t>’</w:t>
      </w:r>
      <w:r w:rsidRPr="004E509E">
        <w:rPr>
          <w:rFonts w:eastAsia="Malgun Gothic"/>
          <w:lang w:val="fr-FR"/>
        </w:rPr>
        <w:t>inclure l</w:t>
      </w:r>
      <w:r w:rsidR="00923E72">
        <w:rPr>
          <w:rFonts w:eastAsia="Malgun Gothic"/>
          <w:lang w:val="fr-FR"/>
        </w:rPr>
        <w:t>’</w:t>
      </w:r>
      <w:r w:rsidRPr="004E509E">
        <w:rPr>
          <w:rFonts w:eastAsia="Malgun Gothic"/>
          <w:lang w:val="fr-FR"/>
        </w:rPr>
        <w:t>expérience de sauvegarde réussie dans le Registre des bonnes pratiques de sauvegarde. Il s</w:t>
      </w:r>
      <w:r w:rsidR="00923E72">
        <w:rPr>
          <w:rFonts w:eastAsia="Malgun Gothic"/>
          <w:lang w:val="fr-FR"/>
        </w:rPr>
        <w:t>’</w:t>
      </w:r>
      <w:r w:rsidRPr="004E509E">
        <w:rPr>
          <w:rFonts w:eastAsia="Malgun Gothic"/>
          <w:lang w:val="fr-FR"/>
        </w:rPr>
        <w:t>agis</w:t>
      </w:r>
      <w:r w:rsidR="004E509E">
        <w:rPr>
          <w:rFonts w:eastAsia="Malgun Gothic"/>
          <w:lang w:val="fr-FR"/>
        </w:rPr>
        <w:t>s</w:t>
      </w:r>
      <w:r w:rsidRPr="004E509E">
        <w:rPr>
          <w:rFonts w:eastAsia="Malgun Gothic"/>
          <w:lang w:val="fr-FR"/>
        </w:rPr>
        <w:t>ait là d</w:t>
      </w:r>
      <w:r w:rsidR="00923E72">
        <w:rPr>
          <w:rFonts w:eastAsia="Malgun Gothic"/>
          <w:lang w:val="fr-FR"/>
        </w:rPr>
        <w:t>’</w:t>
      </w:r>
      <w:r w:rsidRPr="004E509E">
        <w:rPr>
          <w:rFonts w:eastAsia="Malgun Gothic"/>
          <w:lang w:val="fr-FR"/>
        </w:rPr>
        <w:t>un premier pas vers la réalisation de l</w:t>
      </w:r>
      <w:r w:rsidR="00923E72">
        <w:rPr>
          <w:rFonts w:eastAsia="Malgun Gothic"/>
          <w:lang w:val="fr-FR"/>
        </w:rPr>
        <w:t>’</w:t>
      </w:r>
      <w:r w:rsidRPr="004E509E">
        <w:rPr>
          <w:rFonts w:eastAsia="Malgun Gothic"/>
          <w:lang w:val="fr-FR"/>
        </w:rPr>
        <w:t>objectif de la réflexion globale, à savoir rendre les listes et le Registre de la Convention plus interconnectés et les faire fonctionner ensemble de manière plus fluide et dynamique.</w:t>
      </w:r>
    </w:p>
    <w:p w14:paraId="753503CC" w14:textId="20244D75" w:rsidR="004E509E" w:rsidRDefault="004E509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4E509E">
        <w:rPr>
          <w:rFonts w:eastAsia="Malgun Gothic"/>
          <w:b/>
          <w:bCs/>
          <w:lang w:val="fr-FR"/>
        </w:rPr>
        <w:t>Président</w:t>
      </w:r>
      <w:r>
        <w:rPr>
          <w:rFonts w:eastAsia="Malgun Gothic"/>
          <w:lang w:val="fr-FR"/>
        </w:rPr>
        <w:t xml:space="preserve"> a remercié M</w:t>
      </w:r>
      <w:r w:rsidRPr="00FA04E5">
        <w:rPr>
          <w:rFonts w:eastAsia="Malgun Gothic"/>
          <w:vertAlign w:val="superscript"/>
          <w:lang w:val="fr-FR"/>
        </w:rPr>
        <w:t>me</w:t>
      </w:r>
      <w:r>
        <w:rPr>
          <w:rFonts w:eastAsia="Malgun Gothic"/>
          <w:lang w:val="fr-FR"/>
        </w:rPr>
        <w:t> Ohinata et a donné la parole aux orateurs afin qu</w:t>
      </w:r>
      <w:r w:rsidR="00923E72">
        <w:rPr>
          <w:rFonts w:eastAsia="Malgun Gothic"/>
          <w:lang w:val="fr-FR"/>
        </w:rPr>
        <w:t>’</w:t>
      </w:r>
      <w:r>
        <w:rPr>
          <w:rFonts w:eastAsia="Malgun Gothic"/>
          <w:lang w:val="fr-FR"/>
        </w:rPr>
        <w:t xml:space="preserve">ils </w:t>
      </w:r>
      <w:r w:rsidR="0098046B">
        <w:rPr>
          <w:rFonts w:eastAsia="Malgun Gothic"/>
          <w:lang w:val="fr-FR"/>
        </w:rPr>
        <w:t xml:space="preserve">fassent part de leurs </w:t>
      </w:r>
      <w:r>
        <w:rPr>
          <w:rFonts w:eastAsia="Malgun Gothic"/>
          <w:lang w:val="fr-FR"/>
        </w:rPr>
        <w:t>commentaires avant l</w:t>
      </w:r>
      <w:r w:rsidR="00923E72">
        <w:rPr>
          <w:rFonts w:eastAsia="Malgun Gothic"/>
          <w:lang w:val="fr-FR"/>
        </w:rPr>
        <w:t>’</w:t>
      </w:r>
      <w:r>
        <w:rPr>
          <w:rFonts w:eastAsia="Malgun Gothic"/>
          <w:lang w:val="fr-FR"/>
        </w:rPr>
        <w:t>examen des rapports individuels et des projets de décision correspondants.</w:t>
      </w:r>
    </w:p>
    <w:p w14:paraId="32130647" w14:textId="621AA5BA" w:rsidR="004E509E" w:rsidRDefault="004E509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E509E">
        <w:rPr>
          <w:rFonts w:eastAsia="Malgun Gothic"/>
          <w:lang w:val="fr-FR"/>
        </w:rPr>
        <w:t xml:space="preserve">La délégation de la </w:t>
      </w:r>
      <w:r w:rsidRPr="004E509E">
        <w:rPr>
          <w:rFonts w:eastAsia="Malgun Gothic"/>
          <w:b/>
          <w:bCs/>
          <w:lang w:val="fr-FR"/>
        </w:rPr>
        <w:t>Malaisie</w:t>
      </w:r>
      <w:r w:rsidRPr="004E509E">
        <w:rPr>
          <w:rFonts w:eastAsia="Malgun Gothic"/>
          <w:lang w:val="fr-FR"/>
        </w:rPr>
        <w:t xml:space="preserve"> a remercié le Secrétariat pour son document exhaustif ainsi que les États soumissionnaires </w:t>
      </w:r>
      <w:r w:rsidR="006A6AD8">
        <w:rPr>
          <w:rFonts w:eastAsia="Malgun Gothic"/>
          <w:lang w:val="fr-FR"/>
        </w:rPr>
        <w:t xml:space="preserve">pour leurs rapports sur </w:t>
      </w:r>
      <w:r w:rsidRPr="004E509E">
        <w:rPr>
          <w:rFonts w:eastAsia="Malgun Gothic"/>
          <w:lang w:val="fr-FR"/>
        </w:rPr>
        <w:t>l</w:t>
      </w:r>
      <w:r w:rsidR="00923E72">
        <w:rPr>
          <w:rFonts w:eastAsia="Malgun Gothic"/>
          <w:lang w:val="fr-FR"/>
        </w:rPr>
        <w:t>’</w:t>
      </w:r>
      <w:r w:rsidRPr="004E509E">
        <w:rPr>
          <w:rFonts w:eastAsia="Malgun Gothic"/>
          <w:lang w:val="fr-FR"/>
        </w:rPr>
        <w:t xml:space="preserve">état de leurs éléments et </w:t>
      </w:r>
      <w:r w:rsidR="006A6AD8">
        <w:rPr>
          <w:rFonts w:eastAsia="Malgun Gothic"/>
          <w:lang w:val="fr-FR"/>
        </w:rPr>
        <w:t>sur l</w:t>
      </w:r>
      <w:r w:rsidRPr="004E509E">
        <w:rPr>
          <w:rFonts w:eastAsia="Malgun Gothic"/>
          <w:lang w:val="fr-FR"/>
        </w:rPr>
        <w:t>es mesures de sauvegarde en place. Le système d</w:t>
      </w:r>
      <w:r w:rsidR="00923E72">
        <w:rPr>
          <w:rFonts w:eastAsia="Malgun Gothic"/>
          <w:lang w:val="fr-FR"/>
        </w:rPr>
        <w:t>’</w:t>
      </w:r>
      <w:r w:rsidR="009B5D63" w:rsidRPr="009B5D63">
        <w:rPr>
          <w:rFonts w:eastAsia="Malgun Gothic"/>
          <w:lang w:val="fr-FR"/>
        </w:rPr>
        <w:t>établissement</w:t>
      </w:r>
      <w:r w:rsidR="009B5D63">
        <w:rPr>
          <w:rFonts w:eastAsia="Malgun Gothic"/>
          <w:lang w:val="fr-FR"/>
        </w:rPr>
        <w:t xml:space="preserve"> de</w:t>
      </w:r>
      <w:r w:rsidRPr="004E509E">
        <w:rPr>
          <w:rFonts w:eastAsia="Malgun Gothic"/>
          <w:lang w:val="fr-FR"/>
        </w:rPr>
        <w:t xml:space="preserve"> rapport</w:t>
      </w:r>
      <w:r w:rsidR="009B5D63">
        <w:rPr>
          <w:rFonts w:eastAsia="Malgun Gothic"/>
          <w:lang w:val="fr-FR"/>
        </w:rPr>
        <w:t>s</w:t>
      </w:r>
      <w:r w:rsidRPr="004E509E">
        <w:rPr>
          <w:rFonts w:eastAsia="Malgun Gothic"/>
          <w:lang w:val="fr-FR"/>
        </w:rPr>
        <w:t xml:space="preserve"> sur les éléments inscrits sur la Liste de sauvegarde urgente était </w:t>
      </w:r>
      <w:r w:rsidR="009B5D63">
        <w:rPr>
          <w:rFonts w:eastAsia="Malgun Gothic"/>
          <w:lang w:val="fr-FR"/>
        </w:rPr>
        <w:t xml:space="preserve">une tâche </w:t>
      </w:r>
      <w:r w:rsidRPr="004E509E">
        <w:rPr>
          <w:rFonts w:eastAsia="Malgun Gothic"/>
          <w:lang w:val="fr-FR"/>
        </w:rPr>
        <w:t>essentiel</w:t>
      </w:r>
      <w:r w:rsidR="009B5D63">
        <w:rPr>
          <w:rFonts w:eastAsia="Malgun Gothic"/>
          <w:lang w:val="fr-FR"/>
        </w:rPr>
        <w:t>le,</w:t>
      </w:r>
      <w:r w:rsidRPr="004E509E">
        <w:rPr>
          <w:rFonts w:eastAsia="Malgun Gothic"/>
          <w:lang w:val="fr-FR"/>
        </w:rPr>
        <w:t xml:space="preserve"> car </w:t>
      </w:r>
      <w:r w:rsidR="009B5D63">
        <w:rPr>
          <w:rFonts w:eastAsia="Malgun Gothic"/>
          <w:lang w:val="fr-FR"/>
        </w:rPr>
        <w:t>il</w:t>
      </w:r>
      <w:r w:rsidRPr="004E509E">
        <w:rPr>
          <w:rFonts w:eastAsia="Malgun Gothic"/>
          <w:lang w:val="fr-FR"/>
        </w:rPr>
        <w:t xml:space="preserve"> renseignait sur le changement de statut de l</w:t>
      </w:r>
      <w:r w:rsidR="00923E72">
        <w:rPr>
          <w:rFonts w:eastAsia="Malgun Gothic"/>
          <w:lang w:val="fr-FR"/>
        </w:rPr>
        <w:t>’</w:t>
      </w:r>
      <w:r w:rsidRPr="004E509E">
        <w:rPr>
          <w:rFonts w:eastAsia="Malgun Gothic"/>
          <w:lang w:val="fr-FR"/>
        </w:rPr>
        <w:t>élément et sur l</w:t>
      </w:r>
      <w:r w:rsidR="00923E72">
        <w:rPr>
          <w:rFonts w:eastAsia="Malgun Gothic"/>
          <w:lang w:val="fr-FR"/>
        </w:rPr>
        <w:t>’</w:t>
      </w:r>
      <w:r w:rsidRPr="004E509E">
        <w:rPr>
          <w:rFonts w:eastAsia="Malgun Gothic"/>
          <w:lang w:val="fr-FR"/>
        </w:rPr>
        <w:t xml:space="preserve">efficacité des mesures de sauvegarde, avec des implications pour le Comité et </w:t>
      </w:r>
      <w:r w:rsidR="009B5D63">
        <w:rPr>
          <w:rFonts w:eastAsia="Malgun Gothic"/>
          <w:lang w:val="fr-FR"/>
        </w:rPr>
        <w:t xml:space="preserve">des </w:t>
      </w:r>
      <w:r w:rsidR="009B5D63" w:rsidRPr="009B5D63">
        <w:rPr>
          <w:rFonts w:eastAsia="Malgun Gothic"/>
          <w:lang w:val="fr-FR"/>
        </w:rPr>
        <w:t>informations</w:t>
      </w:r>
      <w:r w:rsidR="009B5D63">
        <w:rPr>
          <w:rFonts w:eastAsia="Malgun Gothic"/>
          <w:lang w:val="fr-FR"/>
        </w:rPr>
        <w:t xml:space="preserve"> sur </w:t>
      </w:r>
      <w:r w:rsidRPr="004E509E">
        <w:rPr>
          <w:rFonts w:eastAsia="Malgun Gothic"/>
          <w:lang w:val="fr-FR"/>
        </w:rPr>
        <w:t>les risques auxquels l</w:t>
      </w:r>
      <w:r w:rsidR="00923E72">
        <w:rPr>
          <w:rFonts w:eastAsia="Malgun Gothic"/>
          <w:lang w:val="fr-FR"/>
        </w:rPr>
        <w:t>’</w:t>
      </w:r>
      <w:r w:rsidRPr="004E509E">
        <w:rPr>
          <w:rFonts w:eastAsia="Malgun Gothic"/>
          <w:lang w:val="fr-FR"/>
        </w:rPr>
        <w:t>élément était confronté. L</w:t>
      </w:r>
      <w:r w:rsidR="009B5D63">
        <w:rPr>
          <w:rFonts w:eastAsia="Malgun Gothic"/>
          <w:lang w:val="fr-FR"/>
        </w:rPr>
        <w:t>a participation</w:t>
      </w:r>
      <w:r w:rsidRPr="009B5D63">
        <w:rPr>
          <w:rFonts w:eastAsia="Malgun Gothic"/>
          <w:lang w:val="fr-FR"/>
        </w:rPr>
        <w:t xml:space="preserve"> des détenteurs de la communauté était également cruciale</w:t>
      </w:r>
      <w:r w:rsidR="00006642">
        <w:rPr>
          <w:rFonts w:eastAsia="Malgun Gothic"/>
          <w:lang w:val="fr-FR"/>
        </w:rPr>
        <w:t>,</w:t>
      </w:r>
      <w:r w:rsidRPr="009B5D63">
        <w:rPr>
          <w:rFonts w:eastAsia="Malgun Gothic"/>
          <w:lang w:val="fr-FR"/>
        </w:rPr>
        <w:t xml:space="preserve"> car elle faisait le lien avec les secteurs de l</w:t>
      </w:r>
      <w:r w:rsidR="00923E72">
        <w:rPr>
          <w:rFonts w:eastAsia="Malgun Gothic"/>
          <w:lang w:val="fr-FR"/>
        </w:rPr>
        <w:t>’</w:t>
      </w:r>
      <w:r w:rsidRPr="009B5D63">
        <w:rPr>
          <w:rFonts w:eastAsia="Malgun Gothic"/>
          <w:lang w:val="fr-FR"/>
        </w:rPr>
        <w:t>éducation formelle et non formelle. La Malaisie appréciait les efforts déployés par le Comité pour évaluer les rapports périodiques. Le mécanisme de soumission des rapports périodiques était un mécanisme important dans le cadre de la Convention</w:t>
      </w:r>
      <w:r w:rsidR="009F4FAF">
        <w:rPr>
          <w:rFonts w:eastAsia="Malgun Gothic"/>
          <w:lang w:val="fr-FR"/>
        </w:rPr>
        <w:t>,</w:t>
      </w:r>
      <w:r w:rsidRPr="009B5D63">
        <w:rPr>
          <w:rFonts w:eastAsia="Malgun Gothic"/>
          <w:lang w:val="fr-FR"/>
        </w:rPr>
        <w:t xml:space="preserve"> qui permettait aux États de collecter des informations sur la viabilité actuelle et les progrès de la mise en œuvre des plans de sauvegarde de tous les éléments. Il permettait également d</w:t>
      </w:r>
      <w:r w:rsidR="00923E72">
        <w:rPr>
          <w:rFonts w:eastAsia="Malgun Gothic"/>
          <w:lang w:val="fr-FR"/>
        </w:rPr>
        <w:t>’</w:t>
      </w:r>
      <w:r w:rsidRPr="009B5D63">
        <w:rPr>
          <w:rFonts w:eastAsia="Malgun Gothic"/>
          <w:lang w:val="fr-FR"/>
        </w:rPr>
        <w:t>évaluer l</w:t>
      </w:r>
      <w:r w:rsidR="00923E72">
        <w:rPr>
          <w:rFonts w:eastAsia="Malgun Gothic"/>
          <w:lang w:val="fr-FR"/>
        </w:rPr>
        <w:t>’</w:t>
      </w:r>
      <w:r w:rsidRPr="009B5D63">
        <w:rPr>
          <w:rFonts w:eastAsia="Malgun Gothic"/>
          <w:lang w:val="fr-FR"/>
        </w:rPr>
        <w:t>efficacité des mesures de sauvegarde. En ce qui concerne les nouvelles procédures et les nouveaux formulaires requis pour transférer un élément de la Liste de sauvegarde urgente à la Liste représentative, la Malaisie a souligné la durée limitée suggérée pour les mesures transitoires de demandes de transfert</w:t>
      </w:r>
      <w:r w:rsidR="00573DC6">
        <w:rPr>
          <w:rFonts w:eastAsia="Malgun Gothic"/>
          <w:lang w:val="fr-FR"/>
        </w:rPr>
        <w:t>,</w:t>
      </w:r>
      <w:r w:rsidRPr="009B5D63">
        <w:rPr>
          <w:rFonts w:eastAsia="Malgun Gothic"/>
          <w:lang w:val="fr-FR"/>
        </w:rPr>
        <w:t xml:space="preserve"> fixée au 31</w:t>
      </w:r>
      <w:r w:rsidR="00EC1974">
        <w:rPr>
          <w:rFonts w:eastAsia="Malgun Gothic"/>
          <w:lang w:val="fr-FR"/>
        </w:rPr>
        <w:t> </w:t>
      </w:r>
      <w:r w:rsidRPr="009B5D63">
        <w:rPr>
          <w:rFonts w:eastAsia="Malgun Gothic"/>
          <w:lang w:val="fr-FR"/>
        </w:rPr>
        <w:t>mars</w:t>
      </w:r>
      <w:r w:rsidR="00EC1974">
        <w:rPr>
          <w:rFonts w:eastAsia="Malgun Gothic"/>
          <w:lang w:val="fr-FR"/>
        </w:rPr>
        <w:t>,</w:t>
      </w:r>
      <w:r w:rsidRPr="009B5D63">
        <w:rPr>
          <w:rFonts w:eastAsia="Malgun Gothic"/>
          <w:lang w:val="fr-FR"/>
        </w:rPr>
        <w:t xml:space="preserve"> et a proposé un</w:t>
      </w:r>
      <w:r w:rsidR="000271D8">
        <w:rPr>
          <w:rFonts w:eastAsia="Malgun Gothic"/>
          <w:lang w:val="fr-FR"/>
        </w:rPr>
        <w:t xml:space="preserve"> report </w:t>
      </w:r>
      <w:r w:rsidRPr="009B5D63">
        <w:rPr>
          <w:rFonts w:eastAsia="Malgun Gothic"/>
          <w:lang w:val="fr-FR"/>
        </w:rPr>
        <w:t>de cette</w:t>
      </w:r>
      <w:r w:rsidR="000271D8">
        <w:rPr>
          <w:rFonts w:eastAsia="Malgun Gothic"/>
          <w:lang w:val="fr-FR"/>
        </w:rPr>
        <w:t xml:space="preserve"> date</w:t>
      </w:r>
      <w:r w:rsidRPr="009B5D63">
        <w:rPr>
          <w:rFonts w:eastAsia="Malgun Gothic"/>
          <w:lang w:val="fr-FR"/>
        </w:rPr>
        <w:t xml:space="preserve">. Cela permettrait aux États de préparer </w:t>
      </w:r>
      <w:r w:rsidR="00573DC6">
        <w:rPr>
          <w:rFonts w:eastAsia="Malgun Gothic"/>
          <w:lang w:val="fr-FR"/>
        </w:rPr>
        <w:t xml:space="preserve">de façon adéquate </w:t>
      </w:r>
      <w:r w:rsidRPr="009B5D63">
        <w:rPr>
          <w:rFonts w:eastAsia="Malgun Gothic"/>
          <w:lang w:val="fr-FR"/>
        </w:rPr>
        <w:t>le document et d</w:t>
      </w:r>
      <w:r w:rsidR="00923E72">
        <w:rPr>
          <w:rFonts w:eastAsia="Malgun Gothic"/>
          <w:lang w:val="fr-FR"/>
        </w:rPr>
        <w:t>’</w:t>
      </w:r>
      <w:r w:rsidRPr="009B5D63">
        <w:rPr>
          <w:rFonts w:eastAsia="Malgun Gothic"/>
          <w:lang w:val="fr-FR"/>
        </w:rPr>
        <w:t>engager la communauté, étant donné que les formulaires ne seraient disponibles qu</w:t>
      </w:r>
      <w:r w:rsidR="00923E72">
        <w:rPr>
          <w:rFonts w:eastAsia="Malgun Gothic"/>
          <w:lang w:val="fr-FR"/>
        </w:rPr>
        <w:t>’</w:t>
      </w:r>
      <w:r w:rsidRPr="009B5D63">
        <w:rPr>
          <w:rFonts w:eastAsia="Malgun Gothic"/>
          <w:lang w:val="fr-FR"/>
        </w:rPr>
        <w:t>à la fin de</w:t>
      </w:r>
      <w:r w:rsidR="00EC1974">
        <w:rPr>
          <w:rFonts w:eastAsia="Malgun Gothic"/>
          <w:lang w:val="fr-FR"/>
        </w:rPr>
        <w:t xml:space="preserve"> l</w:t>
      </w:r>
      <w:r w:rsidR="00923E72">
        <w:rPr>
          <w:rFonts w:eastAsia="Malgun Gothic"/>
          <w:lang w:val="fr-FR"/>
        </w:rPr>
        <w:t>’</w:t>
      </w:r>
      <w:r w:rsidR="00EC1974">
        <w:rPr>
          <w:rFonts w:eastAsia="Malgun Gothic"/>
          <w:lang w:val="fr-FR"/>
        </w:rPr>
        <w:t>année </w:t>
      </w:r>
      <w:r w:rsidRPr="009B5D63">
        <w:rPr>
          <w:rFonts w:eastAsia="Malgun Gothic"/>
          <w:lang w:val="fr-FR"/>
        </w:rPr>
        <w:t>2022.</w:t>
      </w:r>
    </w:p>
    <w:p w14:paraId="19328210" w14:textId="3DC0E790" w:rsidR="00573DC6" w:rsidRDefault="00890F6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890F60">
        <w:rPr>
          <w:rFonts w:eastAsia="Malgun Gothic"/>
          <w:lang w:val="fr-FR"/>
        </w:rPr>
        <w:t xml:space="preserve">La délégation de la </w:t>
      </w:r>
      <w:r w:rsidRPr="00890F60">
        <w:rPr>
          <w:rFonts w:eastAsia="Malgun Gothic"/>
          <w:b/>
          <w:bCs/>
          <w:lang w:val="fr-FR"/>
        </w:rPr>
        <w:t>Tchéquie</w:t>
      </w:r>
      <w:r w:rsidRPr="00890F60">
        <w:rPr>
          <w:rFonts w:eastAsia="Malgun Gothic"/>
          <w:lang w:val="fr-FR"/>
        </w:rPr>
        <w:t xml:space="preserve"> a remercié le Secrétariat </w:t>
      </w:r>
      <w:r w:rsidR="000271D8">
        <w:rPr>
          <w:rFonts w:eastAsia="Malgun Gothic"/>
          <w:lang w:val="fr-FR"/>
        </w:rPr>
        <w:t xml:space="preserve">pour son </w:t>
      </w:r>
      <w:r w:rsidRPr="00890F60">
        <w:rPr>
          <w:rFonts w:eastAsia="Malgun Gothic"/>
          <w:lang w:val="fr-FR"/>
        </w:rPr>
        <w:t>examen des rapports ainsi que les États parties</w:t>
      </w:r>
      <w:r w:rsidR="000271D8">
        <w:rPr>
          <w:rFonts w:eastAsia="Malgun Gothic"/>
          <w:lang w:val="fr-FR"/>
        </w:rPr>
        <w:t xml:space="preserve"> pour la soumission</w:t>
      </w:r>
      <w:r w:rsidRPr="00890F60">
        <w:rPr>
          <w:rFonts w:eastAsia="Malgun Gothic"/>
          <w:lang w:val="fr-FR"/>
        </w:rPr>
        <w:t xml:space="preserve"> de</w:t>
      </w:r>
      <w:r w:rsidR="000271D8">
        <w:rPr>
          <w:rFonts w:eastAsia="Malgun Gothic"/>
          <w:lang w:val="fr-FR"/>
        </w:rPr>
        <w:t xml:space="preserve"> leurs</w:t>
      </w:r>
      <w:r w:rsidRPr="00890F60">
        <w:rPr>
          <w:rFonts w:eastAsia="Malgun Gothic"/>
          <w:lang w:val="fr-FR"/>
        </w:rPr>
        <w:t xml:space="preserve"> rapports, félicitant ceux qui avaient </w:t>
      </w:r>
      <w:r w:rsidR="00EC1974">
        <w:rPr>
          <w:rFonts w:eastAsia="Malgun Gothic"/>
          <w:lang w:val="fr-FR"/>
        </w:rPr>
        <w:t>rendu compte</w:t>
      </w:r>
      <w:r w:rsidR="000271D8">
        <w:rPr>
          <w:rFonts w:eastAsia="Malgun Gothic"/>
          <w:lang w:val="fr-FR"/>
        </w:rPr>
        <w:t xml:space="preserve"> de l</w:t>
      </w:r>
      <w:r w:rsidR="00923E72">
        <w:rPr>
          <w:rFonts w:eastAsia="Malgun Gothic"/>
          <w:lang w:val="fr-FR"/>
        </w:rPr>
        <w:t>’</w:t>
      </w:r>
      <w:r w:rsidR="000271D8">
        <w:rPr>
          <w:rFonts w:eastAsia="Malgun Gothic"/>
          <w:lang w:val="fr-FR"/>
        </w:rPr>
        <w:t xml:space="preserve">efficacité de </w:t>
      </w:r>
      <w:r w:rsidRPr="00890F60">
        <w:rPr>
          <w:rFonts w:eastAsia="Malgun Gothic"/>
          <w:lang w:val="fr-FR"/>
        </w:rPr>
        <w:t>leurs plans de sauvegarde malgré la pandémie de COVID</w:t>
      </w:r>
      <w:r>
        <w:rPr>
          <w:rFonts w:eastAsia="Malgun Gothic"/>
          <w:lang w:val="fr-FR"/>
        </w:rPr>
        <w:noBreakHyphen/>
      </w:r>
      <w:r w:rsidRPr="00890F60">
        <w:rPr>
          <w:rFonts w:eastAsia="Malgun Gothic"/>
          <w:lang w:val="fr-FR"/>
        </w:rPr>
        <w:t xml:space="preserve">19. La soumission des rapports dans les délais était en effet </w:t>
      </w:r>
      <w:r w:rsidR="006A6AD8">
        <w:rPr>
          <w:rFonts w:eastAsia="Malgun Gothic"/>
          <w:lang w:val="fr-FR"/>
        </w:rPr>
        <w:t xml:space="preserve">primordiale </w:t>
      </w:r>
      <w:r w:rsidRPr="00890F60">
        <w:rPr>
          <w:rFonts w:eastAsia="Malgun Gothic"/>
          <w:lang w:val="fr-FR"/>
        </w:rPr>
        <w:t>pour que les mesures de sauvegarde urgentes soient couronnées de succès. La délégation s</w:t>
      </w:r>
      <w:r w:rsidR="00923E72">
        <w:rPr>
          <w:rFonts w:eastAsia="Malgun Gothic"/>
          <w:lang w:val="fr-FR"/>
        </w:rPr>
        <w:t>’</w:t>
      </w:r>
      <w:r w:rsidRPr="00890F60">
        <w:rPr>
          <w:rFonts w:eastAsia="Malgun Gothic"/>
          <w:lang w:val="fr-FR"/>
        </w:rPr>
        <w:t>est réjouie d</w:t>
      </w:r>
      <w:r w:rsidR="00923E72">
        <w:rPr>
          <w:rFonts w:eastAsia="Malgun Gothic"/>
          <w:lang w:val="fr-FR"/>
        </w:rPr>
        <w:t>’</w:t>
      </w:r>
      <w:r w:rsidRPr="00890F60">
        <w:rPr>
          <w:rFonts w:eastAsia="Malgun Gothic"/>
          <w:lang w:val="fr-FR"/>
        </w:rPr>
        <w:t>apprendre que les États avaient</w:t>
      </w:r>
      <w:r w:rsidR="00EC1974">
        <w:rPr>
          <w:rFonts w:eastAsia="Malgun Gothic"/>
          <w:lang w:val="fr-FR"/>
        </w:rPr>
        <w:t>,</w:t>
      </w:r>
      <w:r w:rsidRPr="00890F60">
        <w:rPr>
          <w:rFonts w:eastAsia="Malgun Gothic"/>
          <w:lang w:val="fr-FR"/>
        </w:rPr>
        <w:t xml:space="preserve"> pour la plupart</w:t>
      </w:r>
      <w:r w:rsidR="00EC1974">
        <w:rPr>
          <w:rFonts w:eastAsia="Malgun Gothic"/>
          <w:lang w:val="fr-FR"/>
        </w:rPr>
        <w:t>,</w:t>
      </w:r>
      <w:r w:rsidRPr="00890F60">
        <w:rPr>
          <w:rFonts w:eastAsia="Malgun Gothic"/>
          <w:lang w:val="fr-FR"/>
        </w:rPr>
        <w:t xml:space="preserve"> </w:t>
      </w:r>
      <w:r w:rsidR="00EC1974">
        <w:rPr>
          <w:rFonts w:eastAsia="Malgun Gothic"/>
          <w:lang w:val="fr-FR"/>
        </w:rPr>
        <w:t xml:space="preserve">signalé </w:t>
      </w:r>
      <w:r w:rsidRPr="00890F60">
        <w:rPr>
          <w:rFonts w:eastAsia="Malgun Gothic"/>
          <w:lang w:val="fr-FR"/>
        </w:rPr>
        <w:t>une augmentation du nombre de praticiens, en particulier</w:t>
      </w:r>
      <w:r w:rsidR="000271D8">
        <w:rPr>
          <w:rFonts w:eastAsia="Malgun Gothic"/>
          <w:lang w:val="fr-FR"/>
        </w:rPr>
        <w:t xml:space="preserve"> chez les jeunes</w:t>
      </w:r>
      <w:r w:rsidRPr="00890F60">
        <w:rPr>
          <w:rFonts w:eastAsia="Malgun Gothic"/>
          <w:lang w:val="fr-FR"/>
        </w:rPr>
        <w:t>. Malheureusement, de nouveaux risques étaient pris en compte dans les plans de sauvegarde actualisés, de sorte qu</w:t>
      </w:r>
      <w:r w:rsidR="00923E72">
        <w:rPr>
          <w:rFonts w:eastAsia="Malgun Gothic"/>
          <w:lang w:val="fr-FR"/>
        </w:rPr>
        <w:t>’</w:t>
      </w:r>
      <w:r w:rsidRPr="00890F60">
        <w:rPr>
          <w:rFonts w:eastAsia="Malgun Gothic"/>
          <w:lang w:val="fr-FR"/>
        </w:rPr>
        <w:t xml:space="preserve">il existait un décalage entre les menaces identifiées et les mesures de sauvegarde planifiées. La délégation </w:t>
      </w:r>
      <w:r w:rsidR="00A60C6A">
        <w:rPr>
          <w:rFonts w:eastAsia="Malgun Gothic"/>
          <w:lang w:val="fr-FR"/>
        </w:rPr>
        <w:t xml:space="preserve">attendait beaucoup </w:t>
      </w:r>
      <w:r w:rsidR="006A6AD8">
        <w:rPr>
          <w:rFonts w:eastAsia="Malgun Gothic"/>
          <w:lang w:val="fr-FR"/>
        </w:rPr>
        <w:t>d</w:t>
      </w:r>
      <w:r w:rsidRPr="00890F60">
        <w:rPr>
          <w:rFonts w:eastAsia="Malgun Gothic"/>
          <w:lang w:val="fr-FR"/>
        </w:rPr>
        <w:t xml:space="preserve">es éléments </w:t>
      </w:r>
      <w:r w:rsidR="006A6AD8">
        <w:rPr>
          <w:rFonts w:eastAsia="Malgun Gothic"/>
          <w:lang w:val="fr-FR"/>
        </w:rPr>
        <w:t xml:space="preserve">concernés </w:t>
      </w:r>
      <w:r w:rsidR="00A60C6A">
        <w:rPr>
          <w:rFonts w:eastAsia="Malgun Gothic"/>
          <w:lang w:val="fr-FR"/>
        </w:rPr>
        <w:t xml:space="preserve">par le transfert </w:t>
      </w:r>
      <w:r w:rsidR="006A6AD8">
        <w:rPr>
          <w:rFonts w:eastAsia="Malgun Gothic"/>
          <w:lang w:val="fr-FR"/>
        </w:rPr>
        <w:t xml:space="preserve">vers </w:t>
      </w:r>
      <w:r w:rsidRPr="00890F60">
        <w:rPr>
          <w:rFonts w:eastAsia="Malgun Gothic"/>
          <w:lang w:val="fr-FR"/>
        </w:rPr>
        <w:t>la Liste représentative</w:t>
      </w:r>
      <w:r w:rsidR="00A60C6A">
        <w:rPr>
          <w:rFonts w:eastAsia="Malgun Gothic"/>
          <w:lang w:val="fr-FR"/>
        </w:rPr>
        <w:t xml:space="preserve">, qui </w:t>
      </w:r>
      <w:r w:rsidR="006A6AD8">
        <w:rPr>
          <w:rFonts w:eastAsia="Malgun Gothic"/>
          <w:lang w:val="fr-FR"/>
        </w:rPr>
        <w:t>bénéfic</w:t>
      </w:r>
      <w:r w:rsidR="00A60C6A">
        <w:rPr>
          <w:rFonts w:eastAsia="Malgun Gothic"/>
          <w:lang w:val="fr-FR"/>
        </w:rPr>
        <w:t>ieraient</w:t>
      </w:r>
      <w:r w:rsidR="006A6AD8">
        <w:rPr>
          <w:rFonts w:eastAsia="Malgun Gothic"/>
          <w:lang w:val="fr-FR"/>
        </w:rPr>
        <w:t xml:space="preserve"> </w:t>
      </w:r>
      <w:r w:rsidRPr="00890F60">
        <w:rPr>
          <w:rFonts w:eastAsia="Malgun Gothic"/>
          <w:lang w:val="fr-FR"/>
        </w:rPr>
        <w:t>d</w:t>
      </w:r>
      <w:r w:rsidR="00923E72">
        <w:rPr>
          <w:rFonts w:eastAsia="Malgun Gothic"/>
          <w:lang w:val="fr-FR"/>
        </w:rPr>
        <w:t>’</w:t>
      </w:r>
      <w:r w:rsidRPr="00890F60">
        <w:rPr>
          <w:rFonts w:eastAsia="Malgun Gothic"/>
          <w:lang w:val="fr-FR"/>
        </w:rPr>
        <w:t>un</w:t>
      </w:r>
      <w:r w:rsidR="00267538">
        <w:rPr>
          <w:rFonts w:eastAsia="Malgun Gothic"/>
          <w:lang w:val="fr-FR"/>
        </w:rPr>
        <w:t xml:space="preserve">e date limite </w:t>
      </w:r>
      <w:r w:rsidR="000271D8">
        <w:rPr>
          <w:rFonts w:eastAsia="Malgun Gothic"/>
          <w:lang w:val="fr-FR"/>
        </w:rPr>
        <w:t>fixé</w:t>
      </w:r>
      <w:r w:rsidR="00267538">
        <w:rPr>
          <w:rFonts w:eastAsia="Malgun Gothic"/>
          <w:lang w:val="fr-FR"/>
        </w:rPr>
        <w:t>e</w:t>
      </w:r>
      <w:r w:rsidR="000271D8">
        <w:rPr>
          <w:rFonts w:eastAsia="Malgun Gothic"/>
          <w:lang w:val="fr-FR"/>
        </w:rPr>
        <w:t xml:space="preserve"> au</w:t>
      </w:r>
      <w:r w:rsidRPr="00890F60">
        <w:rPr>
          <w:rFonts w:eastAsia="Malgun Gothic"/>
          <w:lang w:val="fr-FR"/>
        </w:rPr>
        <w:t xml:space="preserve"> premier trimestre</w:t>
      </w:r>
      <w:r w:rsidR="00EC1974">
        <w:rPr>
          <w:rFonts w:eastAsia="Malgun Gothic"/>
          <w:lang w:val="fr-FR"/>
        </w:rPr>
        <w:t> </w:t>
      </w:r>
      <w:r w:rsidRPr="00890F60">
        <w:rPr>
          <w:rFonts w:eastAsia="Malgun Gothic"/>
          <w:lang w:val="fr-FR"/>
        </w:rPr>
        <w:t>2023.</w:t>
      </w:r>
    </w:p>
    <w:p w14:paraId="6CF43652" w14:textId="2C805EEC" w:rsidR="00890F60" w:rsidRDefault="00890F6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890F60">
        <w:rPr>
          <w:rFonts w:eastAsia="Malgun Gothic"/>
          <w:lang w:val="fr-FR"/>
        </w:rPr>
        <w:t>La délégation de l</w:t>
      </w:r>
      <w:r w:rsidR="00923E72">
        <w:rPr>
          <w:rFonts w:eastAsia="Malgun Gothic"/>
          <w:lang w:val="fr-FR"/>
        </w:rPr>
        <w:t>’</w:t>
      </w:r>
      <w:r w:rsidRPr="00890F60">
        <w:rPr>
          <w:rFonts w:eastAsia="Malgun Gothic"/>
          <w:b/>
          <w:bCs/>
          <w:lang w:val="fr-FR"/>
        </w:rPr>
        <w:t>Éthiopie</w:t>
      </w:r>
      <w:r w:rsidRPr="00890F60">
        <w:rPr>
          <w:rFonts w:eastAsia="Malgun Gothic"/>
          <w:lang w:val="fr-FR"/>
        </w:rPr>
        <w:t xml:space="preserve"> a remercié le Maroc pour sa merveilleuse hospitalité ainsi que pour la manière dont le Président gér</w:t>
      </w:r>
      <w:r>
        <w:rPr>
          <w:rFonts w:eastAsia="Malgun Gothic"/>
          <w:lang w:val="fr-FR"/>
        </w:rPr>
        <w:t>ait</w:t>
      </w:r>
      <w:r w:rsidRPr="00890F60">
        <w:rPr>
          <w:rFonts w:eastAsia="Malgun Gothic"/>
          <w:lang w:val="fr-FR"/>
        </w:rPr>
        <w:t xml:space="preserve"> la réunion avec succès. Elle sout</w:t>
      </w:r>
      <w:r>
        <w:rPr>
          <w:rFonts w:eastAsia="Malgun Gothic"/>
          <w:lang w:val="fr-FR"/>
        </w:rPr>
        <w:t>enait</w:t>
      </w:r>
      <w:r w:rsidRPr="00890F60">
        <w:rPr>
          <w:rFonts w:eastAsia="Malgun Gothic"/>
          <w:lang w:val="fr-FR"/>
        </w:rPr>
        <w:t xml:space="preserve"> les remarques de la Malaisie concernant le temps nécessaire pour présenter les versions révisées</w:t>
      </w:r>
      <w:r>
        <w:rPr>
          <w:rFonts w:eastAsia="Malgun Gothic"/>
          <w:lang w:val="fr-FR"/>
        </w:rPr>
        <w:t>,</w:t>
      </w:r>
      <w:r w:rsidRPr="00890F60">
        <w:rPr>
          <w:rFonts w:eastAsia="Malgun Gothic"/>
          <w:lang w:val="fr-FR"/>
        </w:rPr>
        <w:t xml:space="preserve"> et </w:t>
      </w:r>
      <w:r>
        <w:rPr>
          <w:rFonts w:eastAsia="Malgun Gothic"/>
          <w:lang w:val="fr-FR"/>
        </w:rPr>
        <w:t xml:space="preserve">a donc </w:t>
      </w:r>
      <w:r w:rsidRPr="00890F60">
        <w:rPr>
          <w:rFonts w:eastAsia="Malgun Gothic"/>
          <w:color w:val="000000" w:themeColor="text1"/>
          <w:lang w:val="fr-FR"/>
        </w:rPr>
        <w:t>également</w:t>
      </w:r>
      <w:r>
        <w:rPr>
          <w:rFonts w:eastAsia="Malgun Gothic"/>
          <w:color w:val="000000" w:themeColor="text1"/>
          <w:lang w:val="fr-FR"/>
        </w:rPr>
        <w:t xml:space="preserve"> </w:t>
      </w:r>
      <w:r w:rsidRPr="00890F60">
        <w:rPr>
          <w:rFonts w:eastAsia="Malgun Gothic"/>
          <w:lang w:val="fr-FR"/>
        </w:rPr>
        <w:t>recommand</w:t>
      </w:r>
      <w:r>
        <w:rPr>
          <w:rFonts w:eastAsia="Malgun Gothic"/>
          <w:lang w:val="fr-FR"/>
        </w:rPr>
        <w:t xml:space="preserve">é </w:t>
      </w:r>
      <w:r w:rsidR="00267538">
        <w:rPr>
          <w:rFonts w:eastAsia="Malgun Gothic"/>
          <w:lang w:val="fr-FR"/>
        </w:rPr>
        <w:t xml:space="preserve">une </w:t>
      </w:r>
      <w:r w:rsidRPr="00890F60">
        <w:rPr>
          <w:rFonts w:eastAsia="Malgun Gothic"/>
          <w:lang w:val="fr-FR"/>
        </w:rPr>
        <w:t xml:space="preserve">prolongation </w:t>
      </w:r>
      <w:r>
        <w:rPr>
          <w:rFonts w:eastAsia="Malgun Gothic"/>
          <w:lang w:val="fr-FR"/>
        </w:rPr>
        <w:t>d</w:t>
      </w:r>
      <w:r w:rsidR="00267538">
        <w:rPr>
          <w:rFonts w:eastAsia="Malgun Gothic"/>
          <w:lang w:val="fr-FR"/>
        </w:rPr>
        <w:t>e la date limite</w:t>
      </w:r>
      <w:r w:rsidRPr="00890F60">
        <w:rPr>
          <w:rFonts w:eastAsia="Malgun Gothic"/>
          <w:lang w:val="fr-FR"/>
        </w:rPr>
        <w:t>.</w:t>
      </w:r>
    </w:p>
    <w:p w14:paraId="3DC0D3E8" w14:textId="7AB33113" w:rsidR="00890F60" w:rsidRDefault="00890F6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lastRenderedPageBreak/>
        <w:t xml:space="preserve">Le </w:t>
      </w:r>
      <w:r w:rsidRPr="00890F60">
        <w:rPr>
          <w:rFonts w:eastAsia="Malgun Gothic"/>
          <w:b/>
          <w:bCs/>
          <w:lang w:val="fr-FR"/>
        </w:rPr>
        <w:t>Président</w:t>
      </w:r>
      <w:r>
        <w:rPr>
          <w:rFonts w:eastAsia="Malgun Gothic"/>
          <w:lang w:val="fr-FR"/>
        </w:rPr>
        <w:t xml:space="preserve"> a indiqué qu</w:t>
      </w:r>
      <w:r w:rsidR="00923E72">
        <w:rPr>
          <w:rFonts w:eastAsia="Malgun Gothic"/>
          <w:lang w:val="fr-FR"/>
        </w:rPr>
        <w:t>’</w:t>
      </w:r>
      <w:r>
        <w:rPr>
          <w:rFonts w:eastAsia="Malgun Gothic"/>
          <w:lang w:val="fr-FR"/>
        </w:rPr>
        <w:t xml:space="preserve">un </w:t>
      </w:r>
      <w:r w:rsidRPr="00890F60">
        <w:rPr>
          <w:rFonts w:eastAsia="Malgun Gothic"/>
          <w:lang w:val="fr-FR"/>
        </w:rPr>
        <w:t>amendement</w:t>
      </w:r>
      <w:r>
        <w:rPr>
          <w:rFonts w:eastAsia="Malgun Gothic"/>
          <w:lang w:val="fr-FR"/>
        </w:rPr>
        <w:t xml:space="preserve"> avait déjà été déposé au sujet des dates limites, la question soulevée par la Malaisie et l</w:t>
      </w:r>
      <w:r w:rsidR="00923E72">
        <w:rPr>
          <w:rFonts w:eastAsia="Malgun Gothic"/>
          <w:lang w:val="fr-FR"/>
        </w:rPr>
        <w:t>’</w:t>
      </w:r>
      <w:r>
        <w:rPr>
          <w:rFonts w:eastAsia="Malgun Gothic"/>
          <w:lang w:val="fr-FR"/>
        </w:rPr>
        <w:t>Éthiopie. Il est ensuite passé aux projets de décision pour les rapports individuels, en commençant par les huit premiers rapports</w:t>
      </w:r>
      <w:r w:rsidR="00267538">
        <w:rPr>
          <w:rFonts w:eastAsia="Malgun Gothic"/>
          <w:lang w:val="fr-FR"/>
        </w:rPr>
        <w:t xml:space="preserve"> des États parties</w:t>
      </w:r>
      <w:r>
        <w:rPr>
          <w:rFonts w:eastAsia="Malgun Gothic"/>
          <w:lang w:val="fr-FR"/>
        </w:rPr>
        <w:t>.</w:t>
      </w:r>
    </w:p>
    <w:p w14:paraId="3B6A0436" w14:textId="77BC9006" w:rsidR="00890F60" w:rsidRPr="00C02395" w:rsidRDefault="00890F6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890F60">
        <w:rPr>
          <w:rFonts w:eastAsia="Malgun Gothic"/>
          <w:b/>
          <w:bCs/>
          <w:lang w:val="fr-FR"/>
        </w:rPr>
        <w:t>Président</w:t>
      </w:r>
      <w:r>
        <w:rPr>
          <w:rFonts w:eastAsia="Malgun Gothic"/>
          <w:lang w:val="fr-FR"/>
        </w:rPr>
        <w:t xml:space="preserve"> a présenté le </w:t>
      </w:r>
      <w:r w:rsidR="00267538">
        <w:rPr>
          <w:rFonts w:eastAsia="Malgun Gothic"/>
          <w:lang w:val="fr-FR"/>
        </w:rPr>
        <w:t xml:space="preserve">premier </w:t>
      </w:r>
      <w:r>
        <w:rPr>
          <w:rFonts w:eastAsia="Malgun Gothic"/>
          <w:lang w:val="fr-FR"/>
        </w:rPr>
        <w:t>rapport</w:t>
      </w:r>
      <w:r w:rsidR="00BB4315">
        <w:rPr>
          <w:rFonts w:eastAsia="Malgun Gothic"/>
          <w:lang w:val="fr-FR"/>
        </w:rPr>
        <w:t xml:space="preserve"> sur</w:t>
      </w:r>
      <w:r>
        <w:rPr>
          <w:rFonts w:eastAsia="Malgun Gothic"/>
          <w:lang w:val="fr-FR"/>
        </w:rPr>
        <w:t xml:space="preserve"> </w:t>
      </w:r>
      <w:r w:rsidR="00C02395">
        <w:rPr>
          <w:rFonts w:eastAsia="Malgun Gothic"/>
          <w:b/>
          <w:bCs/>
          <w:lang w:val="fr-FR"/>
        </w:rPr>
        <w:t>l</w:t>
      </w:r>
      <w:r w:rsidRPr="00890F60">
        <w:rPr>
          <w:rFonts w:eastAsia="Malgun Gothic"/>
          <w:b/>
          <w:bCs/>
          <w:lang w:val="fr-FR"/>
        </w:rPr>
        <w:t xml:space="preserve">e </w:t>
      </w:r>
      <w:proofErr w:type="spellStart"/>
      <w:r w:rsidRPr="00890F60">
        <w:rPr>
          <w:rFonts w:eastAsia="Malgun Gothic"/>
          <w:b/>
          <w:bCs/>
          <w:lang w:val="fr-FR"/>
        </w:rPr>
        <w:t>dikopelo</w:t>
      </w:r>
      <w:proofErr w:type="spellEnd"/>
      <w:r w:rsidRPr="00890F60">
        <w:rPr>
          <w:rFonts w:eastAsia="Malgun Gothic"/>
          <w:b/>
          <w:bCs/>
          <w:lang w:val="fr-FR"/>
        </w:rPr>
        <w:t xml:space="preserve">, musique traditionnelle des </w:t>
      </w:r>
      <w:proofErr w:type="spellStart"/>
      <w:r w:rsidRPr="00890F60">
        <w:rPr>
          <w:rFonts w:eastAsia="Malgun Gothic"/>
          <w:b/>
          <w:bCs/>
          <w:lang w:val="fr-FR"/>
        </w:rPr>
        <w:t>Bakgatla</w:t>
      </w:r>
      <w:proofErr w:type="spellEnd"/>
      <w:r w:rsidRPr="00890F60">
        <w:rPr>
          <w:rFonts w:eastAsia="Malgun Gothic"/>
          <w:b/>
          <w:bCs/>
          <w:lang w:val="fr-FR"/>
        </w:rPr>
        <w:t xml:space="preserve"> </w:t>
      </w:r>
      <w:proofErr w:type="spellStart"/>
      <w:r w:rsidRPr="00890F60">
        <w:rPr>
          <w:rFonts w:eastAsia="Malgun Gothic"/>
          <w:b/>
          <w:bCs/>
          <w:lang w:val="fr-FR"/>
        </w:rPr>
        <w:t>ba</w:t>
      </w:r>
      <w:proofErr w:type="spellEnd"/>
      <w:r w:rsidRPr="00890F60">
        <w:rPr>
          <w:rFonts w:eastAsia="Malgun Gothic"/>
          <w:b/>
          <w:bCs/>
          <w:lang w:val="fr-FR"/>
        </w:rPr>
        <w:t xml:space="preserve"> </w:t>
      </w:r>
      <w:proofErr w:type="spellStart"/>
      <w:r w:rsidRPr="00890F60">
        <w:rPr>
          <w:rFonts w:eastAsia="Malgun Gothic"/>
          <w:b/>
          <w:bCs/>
          <w:lang w:val="fr-FR"/>
        </w:rPr>
        <w:t>Kgafela</w:t>
      </w:r>
      <w:proofErr w:type="spellEnd"/>
      <w:r w:rsidRPr="00890F60">
        <w:rPr>
          <w:rFonts w:eastAsia="Malgun Gothic"/>
          <w:b/>
          <w:bCs/>
          <w:lang w:val="fr-FR"/>
        </w:rPr>
        <w:t xml:space="preserve"> dans le district de </w:t>
      </w:r>
      <w:proofErr w:type="spellStart"/>
      <w:r w:rsidRPr="00890F60">
        <w:rPr>
          <w:rFonts w:eastAsia="Malgun Gothic"/>
          <w:b/>
          <w:bCs/>
          <w:lang w:val="fr-FR"/>
        </w:rPr>
        <w:t>Kgatleng</w:t>
      </w:r>
      <w:proofErr w:type="spellEnd"/>
      <w:r>
        <w:rPr>
          <w:rFonts w:eastAsia="Malgun Gothic"/>
          <w:lang w:val="fr-FR"/>
        </w:rPr>
        <w:t xml:space="preserve"> [projet de décision</w:t>
      </w:r>
      <w:r w:rsidR="00EC1974">
        <w:rPr>
          <w:rFonts w:eastAsia="Malgun Gothic"/>
          <w:lang w:val="fr-FR"/>
        </w:rPr>
        <w:t> </w:t>
      </w:r>
      <w:r>
        <w:rPr>
          <w:rFonts w:eastAsia="Malgun Gothic"/>
          <w:lang w:val="fr-FR"/>
        </w:rPr>
        <w:t>17.COM</w:t>
      </w:r>
      <w:r w:rsidR="00C02395">
        <w:rPr>
          <w:rFonts w:eastAsia="Malgun Gothic"/>
          <w:lang w:val="fr-FR"/>
        </w:rPr>
        <w:t xml:space="preserve"> 6.a.1], soumis par le </w:t>
      </w:r>
      <w:r w:rsidR="00C02395" w:rsidRPr="00C02395">
        <w:rPr>
          <w:rFonts w:eastAsia="Malgun Gothic"/>
          <w:b/>
          <w:bCs/>
          <w:lang w:val="fr-FR"/>
        </w:rPr>
        <w:t>Botswana</w:t>
      </w:r>
      <w:r w:rsidR="00C02395">
        <w:rPr>
          <w:rFonts w:eastAsia="Malgun Gothic"/>
          <w:lang w:val="fr-FR"/>
        </w:rPr>
        <w:t xml:space="preserve">. </w:t>
      </w:r>
      <w:r w:rsidR="00C02395" w:rsidRPr="00C02395">
        <w:rPr>
          <w:rFonts w:eastAsia="Malgun Gothic"/>
          <w:lang w:val="fr-FR"/>
        </w:rPr>
        <w:t>En l</w:t>
      </w:r>
      <w:r w:rsidR="00923E72">
        <w:rPr>
          <w:rFonts w:eastAsia="Malgun Gothic"/>
          <w:lang w:val="fr-FR"/>
        </w:rPr>
        <w:t>’</w:t>
      </w:r>
      <w:r w:rsidR="00C02395" w:rsidRPr="00C02395">
        <w:rPr>
          <w:rFonts w:eastAsia="Malgun Gothic"/>
          <w:lang w:val="fr-FR"/>
        </w:rPr>
        <w:t>absence</w:t>
      </w:r>
      <w:r w:rsidR="00C02395">
        <w:rPr>
          <w:rFonts w:eastAsia="Malgun Gothic"/>
          <w:lang w:val="fr-FR"/>
        </w:rPr>
        <w:t xml:space="preserve"> d</w:t>
      </w:r>
      <w:r w:rsidR="00923E72">
        <w:rPr>
          <w:rFonts w:eastAsia="Malgun Gothic"/>
          <w:lang w:val="fr-FR"/>
        </w:rPr>
        <w:t>’</w:t>
      </w:r>
      <w:r w:rsidR="00C02395" w:rsidRPr="00C02395">
        <w:rPr>
          <w:rFonts w:eastAsia="Malgun Gothic"/>
          <w:lang w:val="fr-FR"/>
        </w:rPr>
        <w:t>amendement</w:t>
      </w:r>
      <w:r w:rsidR="00C02395">
        <w:rPr>
          <w:rFonts w:eastAsia="Malgun Gothic"/>
          <w:lang w:val="fr-FR"/>
        </w:rPr>
        <w:t xml:space="preserve">s reçus, le </w:t>
      </w:r>
      <w:r w:rsidR="00C02395" w:rsidRPr="00C02395">
        <w:rPr>
          <w:rFonts w:eastAsia="Malgun Gothic"/>
          <w:b/>
          <w:bCs/>
          <w:lang w:val="fr-FR"/>
        </w:rPr>
        <w:t>Président a déclaré la décision</w:t>
      </w:r>
      <w:r w:rsidR="00EC1974">
        <w:rPr>
          <w:rFonts w:eastAsia="Malgun Gothic"/>
          <w:lang w:val="fr-FR"/>
        </w:rPr>
        <w:t> </w:t>
      </w:r>
      <w:hyperlink r:id="rId44" w:history="1">
        <w:r w:rsidR="00C02395" w:rsidRPr="00702497">
          <w:rPr>
            <w:rStyle w:val="Hyperlink"/>
            <w:b/>
            <w:bCs/>
            <w:lang w:val="fr-FR"/>
          </w:rPr>
          <w:t>17.COM 6.a.1</w:t>
        </w:r>
      </w:hyperlink>
      <w:r w:rsidR="00C02395" w:rsidRPr="00B455F3">
        <w:rPr>
          <w:rStyle w:val="Hyperlink"/>
          <w:bCs/>
          <w:u w:val="none"/>
          <w:lang w:val="fr-FR"/>
        </w:rPr>
        <w:t xml:space="preserve"> </w:t>
      </w:r>
      <w:r w:rsidR="00C02395" w:rsidRPr="00C02395">
        <w:rPr>
          <w:rStyle w:val="Hyperlink"/>
          <w:b/>
          <w:color w:val="auto"/>
          <w:u w:val="none"/>
          <w:lang w:val="fr-FR"/>
        </w:rPr>
        <w:t>adoptée</w:t>
      </w:r>
      <w:r w:rsidR="00C02395" w:rsidRPr="00B455F3">
        <w:rPr>
          <w:rStyle w:val="Hyperlink"/>
          <w:bCs/>
          <w:color w:val="auto"/>
          <w:u w:val="none"/>
          <w:lang w:val="fr-FR"/>
        </w:rPr>
        <w:t>.</w:t>
      </w:r>
    </w:p>
    <w:p w14:paraId="37FF7FBD" w14:textId="2592A2D7" w:rsidR="00C02395" w:rsidRPr="00C02395" w:rsidRDefault="00C02395"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C02395">
        <w:rPr>
          <w:rFonts w:eastAsia="Malgun Gothic"/>
          <w:b/>
          <w:bCs/>
          <w:lang w:val="fr-FR"/>
        </w:rPr>
        <w:t>Président</w:t>
      </w:r>
      <w:r>
        <w:rPr>
          <w:rFonts w:eastAsia="Malgun Gothic"/>
          <w:lang w:val="fr-FR"/>
        </w:rPr>
        <w:t xml:space="preserve"> a présenté le </w:t>
      </w:r>
      <w:r w:rsidR="00267538">
        <w:rPr>
          <w:rFonts w:eastAsia="Malgun Gothic"/>
          <w:lang w:val="fr-FR"/>
        </w:rPr>
        <w:t xml:space="preserve">premier </w:t>
      </w:r>
      <w:r>
        <w:rPr>
          <w:rFonts w:eastAsia="Malgun Gothic"/>
          <w:lang w:val="fr-FR"/>
        </w:rPr>
        <w:t>rapport</w:t>
      </w:r>
      <w:r w:rsidR="00BB4315">
        <w:rPr>
          <w:rFonts w:eastAsia="Malgun Gothic"/>
          <w:lang w:val="fr-FR"/>
        </w:rPr>
        <w:t xml:space="preserve"> sur</w:t>
      </w:r>
      <w:r>
        <w:rPr>
          <w:rFonts w:eastAsia="Malgun Gothic"/>
          <w:lang w:val="fr-FR"/>
        </w:rPr>
        <w:t xml:space="preserve"> </w:t>
      </w:r>
      <w:r w:rsidRPr="00C02395">
        <w:rPr>
          <w:rFonts w:eastAsia="Malgun Gothic"/>
          <w:b/>
          <w:bCs/>
          <w:lang w:val="fr-FR"/>
        </w:rPr>
        <w:t>les chants de travail de llano colombo-vénézuéliens</w:t>
      </w:r>
      <w:r>
        <w:rPr>
          <w:rFonts w:eastAsia="Malgun Gothic"/>
          <w:lang w:val="fr-FR"/>
        </w:rPr>
        <w:t xml:space="preserve"> [projet de décision</w:t>
      </w:r>
      <w:r w:rsidR="00EC1974">
        <w:rPr>
          <w:rFonts w:eastAsia="Malgun Gothic"/>
          <w:lang w:val="fr-FR"/>
        </w:rPr>
        <w:t> </w:t>
      </w:r>
      <w:r>
        <w:rPr>
          <w:rFonts w:eastAsia="Malgun Gothic"/>
          <w:lang w:val="fr-FR"/>
        </w:rPr>
        <w:t xml:space="preserve">17.COM 6.a.2], soumis par la </w:t>
      </w:r>
      <w:r w:rsidRPr="00C02395">
        <w:rPr>
          <w:rFonts w:eastAsia="Malgun Gothic"/>
          <w:b/>
          <w:bCs/>
          <w:lang w:val="fr-FR"/>
        </w:rPr>
        <w:t>Colombie</w:t>
      </w:r>
      <w:r>
        <w:rPr>
          <w:rFonts w:eastAsia="Malgun Gothic"/>
          <w:lang w:val="fr-FR"/>
        </w:rPr>
        <w:t xml:space="preserve"> et la </w:t>
      </w:r>
      <w:r w:rsidRPr="00C02395">
        <w:rPr>
          <w:rFonts w:eastAsia="Malgun Gothic"/>
          <w:b/>
          <w:bCs/>
          <w:lang w:val="fr-FR"/>
        </w:rPr>
        <w:t>République bolivarienne du Venezuela</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45" w:history="1">
        <w:r w:rsidRPr="00702497">
          <w:rPr>
            <w:rStyle w:val="Hyperlink"/>
            <w:b/>
            <w:bCs/>
            <w:lang w:val="fr-FR"/>
          </w:rPr>
          <w:t>17.COM 6.a.2</w:t>
        </w:r>
      </w:hyperlink>
      <w:r w:rsidRPr="00B455F3">
        <w:rPr>
          <w:rStyle w:val="Hyperlink"/>
          <w:bCs/>
          <w:u w:val="none"/>
          <w:lang w:val="fr-FR"/>
        </w:rPr>
        <w:t xml:space="preserve"> </w:t>
      </w:r>
      <w:r w:rsidRPr="00C02395">
        <w:rPr>
          <w:rStyle w:val="Hyperlink"/>
          <w:b/>
          <w:color w:val="auto"/>
          <w:u w:val="none"/>
          <w:lang w:val="fr-FR"/>
        </w:rPr>
        <w:t>adoptée</w:t>
      </w:r>
      <w:r w:rsidRPr="00B455F3">
        <w:rPr>
          <w:rStyle w:val="Hyperlink"/>
          <w:bCs/>
          <w:color w:val="auto"/>
          <w:u w:val="none"/>
          <w:lang w:val="fr-FR"/>
        </w:rPr>
        <w:t>.</w:t>
      </w:r>
    </w:p>
    <w:p w14:paraId="50D6B765" w14:textId="481CB3C1" w:rsidR="00C02395" w:rsidRPr="00BB4315" w:rsidRDefault="00C02395"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premier </w:t>
      </w:r>
      <w:r>
        <w:rPr>
          <w:rFonts w:eastAsia="Malgun Gothic"/>
          <w:lang w:val="fr-FR"/>
        </w:rPr>
        <w:t>rapport</w:t>
      </w:r>
      <w:r w:rsidR="00BB4315">
        <w:rPr>
          <w:rFonts w:eastAsia="Malgun Gothic"/>
          <w:lang w:val="fr-FR"/>
        </w:rPr>
        <w:t xml:space="preserve"> sur</w:t>
      </w:r>
      <w:r>
        <w:rPr>
          <w:rFonts w:eastAsia="Malgun Gothic"/>
          <w:lang w:val="fr-FR"/>
        </w:rPr>
        <w:t xml:space="preserve"> </w:t>
      </w:r>
      <w:r w:rsidRPr="00BB4315">
        <w:rPr>
          <w:rFonts w:eastAsia="Malgun Gothic"/>
          <w:b/>
          <w:bCs/>
          <w:lang w:val="fr-FR"/>
        </w:rPr>
        <w:t>le séga tambour des C</w:t>
      </w:r>
      <w:r w:rsidR="00570EC7" w:rsidRPr="00BB4315">
        <w:rPr>
          <w:rFonts w:eastAsia="Malgun Gothic"/>
          <w:b/>
          <w:bCs/>
          <w:lang w:val="fr-FR"/>
        </w:rPr>
        <w:t>h</w:t>
      </w:r>
      <w:r w:rsidRPr="00BB4315">
        <w:rPr>
          <w:rFonts w:eastAsia="Malgun Gothic"/>
          <w:b/>
          <w:bCs/>
          <w:lang w:val="fr-FR"/>
        </w:rPr>
        <w:t>agos</w:t>
      </w:r>
      <w:r w:rsidR="00570EC7">
        <w:rPr>
          <w:rFonts w:eastAsia="Malgun Gothic"/>
          <w:lang w:val="fr-FR"/>
        </w:rPr>
        <w:t xml:space="preserve"> [projet de décision</w:t>
      </w:r>
      <w:r w:rsidR="00EC1974">
        <w:rPr>
          <w:rFonts w:eastAsia="Malgun Gothic"/>
          <w:lang w:val="fr-FR"/>
        </w:rPr>
        <w:t> </w:t>
      </w:r>
      <w:r w:rsidR="00570EC7">
        <w:rPr>
          <w:rFonts w:eastAsia="Malgun Gothic"/>
          <w:lang w:val="fr-FR"/>
        </w:rPr>
        <w:t>17</w:t>
      </w:r>
      <w:r w:rsidR="00BB4315">
        <w:rPr>
          <w:rFonts w:eastAsia="Malgun Gothic"/>
          <w:lang w:val="fr-FR"/>
        </w:rPr>
        <w:t xml:space="preserve">.COM 6.a.3], soumis par </w:t>
      </w:r>
      <w:r w:rsidR="00BB4315" w:rsidRPr="00BB4315">
        <w:rPr>
          <w:rFonts w:eastAsia="Malgun Gothic"/>
          <w:b/>
          <w:bCs/>
          <w:lang w:val="fr-FR"/>
        </w:rPr>
        <w:t>Maurice</w:t>
      </w:r>
      <w:r w:rsidR="00BB4315">
        <w:rPr>
          <w:rFonts w:eastAsia="Malgun Gothic"/>
          <w:lang w:val="fr-FR"/>
        </w:rPr>
        <w:t xml:space="preserve">. </w:t>
      </w:r>
      <w:r w:rsidR="00BB4315" w:rsidRPr="00C02395">
        <w:rPr>
          <w:rFonts w:eastAsia="Malgun Gothic"/>
          <w:lang w:val="fr-FR"/>
        </w:rPr>
        <w:t>En l</w:t>
      </w:r>
      <w:r w:rsidR="00923E72">
        <w:rPr>
          <w:rFonts w:eastAsia="Malgun Gothic"/>
          <w:lang w:val="fr-FR"/>
        </w:rPr>
        <w:t>’</w:t>
      </w:r>
      <w:r w:rsidR="00BB4315" w:rsidRPr="00C02395">
        <w:rPr>
          <w:rFonts w:eastAsia="Malgun Gothic"/>
          <w:lang w:val="fr-FR"/>
        </w:rPr>
        <w:t>absence</w:t>
      </w:r>
      <w:r w:rsidR="00BB4315">
        <w:rPr>
          <w:rFonts w:eastAsia="Malgun Gothic"/>
          <w:lang w:val="fr-FR"/>
        </w:rPr>
        <w:t xml:space="preserve"> d</w:t>
      </w:r>
      <w:r w:rsidR="00923E72">
        <w:rPr>
          <w:rFonts w:eastAsia="Malgun Gothic"/>
          <w:lang w:val="fr-FR"/>
        </w:rPr>
        <w:t>’</w:t>
      </w:r>
      <w:r w:rsidR="00BB4315" w:rsidRPr="00C02395">
        <w:rPr>
          <w:rFonts w:eastAsia="Malgun Gothic"/>
          <w:lang w:val="fr-FR"/>
        </w:rPr>
        <w:t>amendement</w:t>
      </w:r>
      <w:r w:rsidR="00BB4315">
        <w:rPr>
          <w:rFonts w:eastAsia="Malgun Gothic"/>
          <w:lang w:val="fr-FR"/>
        </w:rPr>
        <w:t xml:space="preserve">s reçus, le </w:t>
      </w:r>
      <w:r w:rsidR="00BB4315" w:rsidRPr="00C02395">
        <w:rPr>
          <w:rFonts w:eastAsia="Malgun Gothic"/>
          <w:b/>
          <w:bCs/>
          <w:lang w:val="fr-FR"/>
        </w:rPr>
        <w:t>Président a déclaré la décision</w:t>
      </w:r>
      <w:r w:rsidR="00EC1974">
        <w:rPr>
          <w:rFonts w:eastAsia="Malgun Gothic"/>
          <w:lang w:val="fr-FR"/>
        </w:rPr>
        <w:t> </w:t>
      </w:r>
      <w:hyperlink r:id="rId46" w:history="1">
        <w:r w:rsidR="00BB4315" w:rsidRPr="00B455F3">
          <w:rPr>
            <w:rStyle w:val="Hyperlink"/>
            <w:bCs/>
            <w:lang w:val="fr-FR"/>
          </w:rPr>
          <w:t>1</w:t>
        </w:r>
        <w:r w:rsidR="00BB4315" w:rsidRPr="00702497">
          <w:rPr>
            <w:rStyle w:val="Hyperlink"/>
            <w:b/>
            <w:bCs/>
            <w:lang w:val="fr-FR"/>
          </w:rPr>
          <w:t>7.COM 6.a.3</w:t>
        </w:r>
      </w:hyperlink>
      <w:r w:rsidR="00BB4315" w:rsidRPr="00B455F3">
        <w:rPr>
          <w:rStyle w:val="Hyperlink"/>
          <w:bCs/>
          <w:u w:val="none"/>
          <w:lang w:val="fr-FR"/>
        </w:rPr>
        <w:t xml:space="preserve"> </w:t>
      </w:r>
      <w:r w:rsidR="00BB4315" w:rsidRPr="00C02395">
        <w:rPr>
          <w:rStyle w:val="Hyperlink"/>
          <w:b/>
          <w:color w:val="auto"/>
          <w:u w:val="none"/>
          <w:lang w:val="fr-FR"/>
        </w:rPr>
        <w:t>adoptée</w:t>
      </w:r>
      <w:r w:rsidR="00BB4315" w:rsidRPr="00BB4315">
        <w:rPr>
          <w:rStyle w:val="Hyperlink"/>
          <w:bCs/>
          <w:color w:val="auto"/>
          <w:u w:val="none"/>
          <w:lang w:val="fr-FR"/>
        </w:rPr>
        <w:t>.</w:t>
      </w:r>
    </w:p>
    <w:p w14:paraId="4BEB0D74" w14:textId="2FE58D57" w:rsidR="00BB4315" w:rsidRPr="00BB4315" w:rsidRDefault="00BB4315"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premier </w:t>
      </w:r>
      <w:r>
        <w:rPr>
          <w:rFonts w:eastAsia="Malgun Gothic"/>
          <w:lang w:val="fr-FR"/>
        </w:rPr>
        <w:t xml:space="preserve">rapport sur </w:t>
      </w:r>
      <w:r w:rsidRPr="00BB4315">
        <w:rPr>
          <w:rFonts w:eastAsia="Malgun Gothic"/>
          <w:b/>
          <w:bCs/>
          <w:lang w:val="fr-FR"/>
        </w:rPr>
        <w:t>les pratiques traditionnelles mongoles de vénération de sites sacrés</w:t>
      </w:r>
      <w:r>
        <w:rPr>
          <w:rFonts w:eastAsia="Malgun Gothic"/>
          <w:lang w:val="fr-FR"/>
        </w:rPr>
        <w:t xml:space="preserve"> [projet de décision</w:t>
      </w:r>
      <w:r w:rsidR="00EC1974">
        <w:rPr>
          <w:rFonts w:eastAsia="Malgun Gothic"/>
          <w:lang w:val="fr-FR"/>
        </w:rPr>
        <w:t> </w:t>
      </w:r>
      <w:r>
        <w:rPr>
          <w:rFonts w:eastAsia="Malgun Gothic"/>
          <w:lang w:val="fr-FR"/>
        </w:rPr>
        <w:t xml:space="preserve">17.COM 6.a.4], soumis par la </w:t>
      </w:r>
      <w:r w:rsidRPr="00BB4315">
        <w:rPr>
          <w:rFonts w:eastAsia="Malgun Gothic"/>
          <w:b/>
          <w:bCs/>
          <w:lang w:val="fr-FR"/>
        </w:rPr>
        <w:t>Mongolie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47" w:history="1">
        <w:r w:rsidRPr="00702497">
          <w:rPr>
            <w:rStyle w:val="Hyperlink"/>
            <w:b/>
            <w:bCs/>
            <w:lang w:val="fr-FR"/>
          </w:rPr>
          <w:t>17.COM 6.a.4</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11CF3292" w14:textId="1304CDA8" w:rsidR="00BB4315" w:rsidRPr="00BB4315" w:rsidRDefault="00BB4315"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premier </w:t>
      </w:r>
      <w:r>
        <w:rPr>
          <w:rFonts w:eastAsia="Malgun Gothic"/>
          <w:lang w:val="fr-FR"/>
        </w:rPr>
        <w:t xml:space="preserve">rapport sur </w:t>
      </w:r>
      <w:r w:rsidRPr="00BB4315">
        <w:rPr>
          <w:rFonts w:eastAsia="Malgun Gothic"/>
          <w:b/>
          <w:bCs/>
          <w:lang w:val="fr-FR"/>
        </w:rPr>
        <w:t>l</w:t>
      </w:r>
      <w:r>
        <w:rPr>
          <w:rFonts w:eastAsia="Malgun Gothic"/>
          <w:b/>
          <w:bCs/>
          <w:lang w:val="fr-FR"/>
        </w:rPr>
        <w:t>a Taskiwin, danse martiale du Haut-Atlas occidental</w:t>
      </w:r>
      <w:r>
        <w:rPr>
          <w:rFonts w:eastAsia="Malgun Gothic"/>
          <w:lang w:val="fr-FR"/>
        </w:rPr>
        <w:t xml:space="preserve"> [projet de décision</w:t>
      </w:r>
      <w:r w:rsidR="00EC1974">
        <w:rPr>
          <w:rFonts w:eastAsia="Malgun Gothic"/>
          <w:lang w:val="fr-FR"/>
        </w:rPr>
        <w:t> </w:t>
      </w:r>
      <w:r>
        <w:rPr>
          <w:rFonts w:eastAsia="Malgun Gothic"/>
          <w:lang w:val="fr-FR"/>
        </w:rPr>
        <w:t xml:space="preserve">17.COM 6.a.5], soumis par le </w:t>
      </w:r>
      <w:r w:rsidRPr="00BB4315">
        <w:rPr>
          <w:rFonts w:eastAsia="Malgun Gothic"/>
          <w:b/>
          <w:bCs/>
          <w:lang w:val="fr-FR"/>
        </w:rPr>
        <w:t>Maroc</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48" w:history="1">
        <w:r w:rsidRPr="00B455F3">
          <w:rPr>
            <w:rStyle w:val="Hyperlink"/>
            <w:bCs/>
            <w:lang w:val="fr-FR"/>
          </w:rPr>
          <w:t>1</w:t>
        </w:r>
        <w:r w:rsidRPr="00702497">
          <w:rPr>
            <w:rStyle w:val="Hyperlink"/>
            <w:b/>
            <w:bCs/>
            <w:lang w:val="fr-FR"/>
          </w:rPr>
          <w:t>7.COM 6.a.5</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1771FEC6" w14:textId="06FE0259" w:rsidR="00BB4315" w:rsidRPr="00BB4315" w:rsidRDefault="00BB4315"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premier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langage sifflé, </w:t>
      </w:r>
      <w:r>
        <w:rPr>
          <w:rFonts w:eastAsia="Malgun Gothic"/>
          <w:lang w:val="fr-FR"/>
        </w:rPr>
        <w:t>[projet de décision</w:t>
      </w:r>
      <w:r w:rsidR="00EC1974">
        <w:rPr>
          <w:rFonts w:eastAsia="Malgun Gothic"/>
          <w:lang w:val="fr-FR"/>
        </w:rPr>
        <w:t> </w:t>
      </w:r>
      <w:r>
        <w:rPr>
          <w:rFonts w:eastAsia="Malgun Gothic"/>
          <w:lang w:val="fr-FR"/>
        </w:rPr>
        <w:t xml:space="preserve">17.COM 6.a.6], soumis par la </w:t>
      </w:r>
      <w:r w:rsidRPr="00BB4315">
        <w:rPr>
          <w:rFonts w:eastAsia="Malgun Gothic"/>
          <w:b/>
          <w:bCs/>
          <w:lang w:val="fr-FR"/>
        </w:rPr>
        <w:t>Türkiye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49" w:history="1">
        <w:r w:rsidRPr="00702497">
          <w:rPr>
            <w:rStyle w:val="Hyperlink"/>
            <w:b/>
            <w:bCs/>
            <w:lang w:val="fr-FR"/>
          </w:rPr>
          <w:t>17.COM 6.a.6</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7A691537" w14:textId="2EE88BA1" w:rsidR="00BB4315" w:rsidRPr="00BB4315" w:rsidRDefault="00BB4315"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premier </w:t>
      </w:r>
      <w:r>
        <w:rPr>
          <w:rFonts w:eastAsia="Malgun Gothic"/>
          <w:lang w:val="fr-FR"/>
        </w:rPr>
        <w:t xml:space="preserve">rapport sur </w:t>
      </w:r>
      <w:r w:rsidRPr="00BB4315">
        <w:rPr>
          <w:rFonts w:eastAsia="Malgun Gothic"/>
          <w:b/>
          <w:bCs/>
          <w:lang w:val="fr-FR"/>
        </w:rPr>
        <w:t>l</w:t>
      </w:r>
      <w:r w:rsidR="00923E72">
        <w:rPr>
          <w:rFonts w:eastAsia="Malgun Gothic"/>
          <w:b/>
          <w:bCs/>
          <w:lang w:val="fr-FR"/>
        </w:rPr>
        <w:t>’</w:t>
      </w:r>
      <w:r>
        <w:rPr>
          <w:rFonts w:eastAsia="Malgun Gothic"/>
          <w:b/>
          <w:bCs/>
          <w:lang w:val="fr-FR"/>
        </w:rPr>
        <w:t>Al</w:t>
      </w:r>
      <w:r w:rsidR="00570AD2">
        <w:rPr>
          <w:rFonts w:eastAsia="Malgun Gothic"/>
          <w:b/>
          <w:bCs/>
          <w:lang w:val="fr-FR"/>
        </w:rPr>
        <w:t> </w:t>
      </w:r>
      <w:r w:rsidR="00923E72">
        <w:rPr>
          <w:rFonts w:eastAsia="Malgun Gothic"/>
          <w:b/>
          <w:bCs/>
          <w:lang w:val="fr-FR"/>
        </w:rPr>
        <w:t>’</w:t>
      </w:r>
      <w:proofErr w:type="spellStart"/>
      <w:r w:rsidR="00570AD2">
        <w:rPr>
          <w:rFonts w:eastAsia="Malgun Gothic"/>
          <w:b/>
          <w:bCs/>
          <w:lang w:val="fr-FR"/>
        </w:rPr>
        <w:t>azi</w:t>
      </w:r>
      <w:proofErr w:type="spellEnd"/>
      <w:r>
        <w:rPr>
          <w:rFonts w:eastAsia="Malgun Gothic"/>
          <w:b/>
          <w:bCs/>
          <w:lang w:val="fr-FR"/>
        </w:rPr>
        <w:t>,</w:t>
      </w:r>
      <w:r w:rsidR="00570AD2">
        <w:rPr>
          <w:rFonts w:eastAsia="Malgun Gothic"/>
          <w:b/>
          <w:bCs/>
          <w:lang w:val="fr-FR"/>
        </w:rPr>
        <w:t xml:space="preserve"> art de la poésie, symbole de louange, de fierté et de force d</w:t>
      </w:r>
      <w:r w:rsidR="00923E72">
        <w:rPr>
          <w:rFonts w:eastAsia="Malgun Gothic"/>
          <w:b/>
          <w:bCs/>
          <w:lang w:val="fr-FR"/>
        </w:rPr>
        <w:t>’</w:t>
      </w:r>
      <w:r w:rsidR="00570AD2">
        <w:rPr>
          <w:rFonts w:eastAsia="Malgun Gothic"/>
          <w:b/>
          <w:bCs/>
          <w:lang w:val="fr-FR"/>
        </w:rPr>
        <w:t>âme</w:t>
      </w:r>
      <w:r>
        <w:rPr>
          <w:rFonts w:eastAsia="Malgun Gothic"/>
          <w:b/>
          <w:bCs/>
          <w:lang w:val="fr-FR"/>
        </w:rPr>
        <w:t xml:space="preserve"> </w:t>
      </w:r>
      <w:r>
        <w:rPr>
          <w:rFonts w:eastAsia="Malgun Gothic"/>
          <w:lang w:val="fr-FR"/>
        </w:rPr>
        <w:t>[projet de décision</w:t>
      </w:r>
      <w:r w:rsidR="00EC1974">
        <w:rPr>
          <w:rFonts w:eastAsia="Malgun Gothic"/>
          <w:lang w:val="fr-FR"/>
        </w:rPr>
        <w:t> </w:t>
      </w:r>
      <w:r>
        <w:rPr>
          <w:rFonts w:eastAsia="Malgun Gothic"/>
          <w:lang w:val="fr-FR"/>
        </w:rPr>
        <w:t>17.COM 6.a.</w:t>
      </w:r>
      <w:r w:rsidR="00570AD2">
        <w:rPr>
          <w:rFonts w:eastAsia="Malgun Gothic"/>
          <w:lang w:val="fr-FR"/>
        </w:rPr>
        <w:t>7</w:t>
      </w:r>
      <w:r>
        <w:rPr>
          <w:rFonts w:eastAsia="Malgun Gothic"/>
          <w:lang w:val="fr-FR"/>
        </w:rPr>
        <w:t>], soumis par l</w:t>
      </w:r>
      <w:r w:rsidR="00570AD2">
        <w:rPr>
          <w:rFonts w:eastAsia="Malgun Gothic"/>
          <w:lang w:val="fr-FR"/>
        </w:rPr>
        <w:t xml:space="preserve">es </w:t>
      </w:r>
      <w:r w:rsidR="00570AD2" w:rsidRPr="00570AD2">
        <w:rPr>
          <w:rFonts w:eastAsia="Malgun Gothic"/>
          <w:b/>
          <w:bCs/>
          <w:lang w:val="fr-FR"/>
        </w:rPr>
        <w:t>Émirats arabes unis</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50" w:history="1">
        <w:r w:rsidR="00570AD2" w:rsidRPr="00702497">
          <w:rPr>
            <w:rStyle w:val="Hyperlink"/>
            <w:b/>
            <w:bCs/>
            <w:lang w:val="fr-FR"/>
          </w:rPr>
          <w:t>17.COM 6.a.7</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2697228D" w14:textId="63813CA7" w:rsidR="00570AD2" w:rsidRPr="00BB4315" w:rsidRDefault="00570AD2"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deuxième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w:t>
      </w:r>
      <w:proofErr w:type="spellStart"/>
      <w:r>
        <w:rPr>
          <w:rFonts w:eastAsia="Malgun Gothic"/>
          <w:b/>
          <w:bCs/>
          <w:lang w:val="fr-FR"/>
        </w:rPr>
        <w:t>tchovgan</w:t>
      </w:r>
      <w:proofErr w:type="spellEnd"/>
      <w:r>
        <w:rPr>
          <w:rFonts w:eastAsia="Malgun Gothic"/>
          <w:b/>
          <w:bCs/>
          <w:lang w:val="fr-FR"/>
        </w:rPr>
        <w:t xml:space="preserve">, jeu équestre </w:t>
      </w:r>
      <w:r w:rsidRPr="00570AD2">
        <w:rPr>
          <w:rFonts w:eastAsia="Malgun Gothic"/>
          <w:b/>
          <w:bCs/>
          <w:lang w:val="fr-FR"/>
        </w:rPr>
        <w:t>traditionnel</w:t>
      </w:r>
      <w:r>
        <w:rPr>
          <w:rFonts w:eastAsia="Malgun Gothic"/>
          <w:b/>
          <w:bCs/>
          <w:lang w:val="fr-FR"/>
        </w:rPr>
        <w:t xml:space="preserve"> pratiqué à dos de chevaux </w:t>
      </w:r>
      <w:proofErr w:type="spellStart"/>
      <w:r>
        <w:rPr>
          <w:rFonts w:eastAsia="Malgun Gothic"/>
          <w:b/>
          <w:bCs/>
          <w:lang w:val="fr-FR"/>
        </w:rPr>
        <w:t>karabakhs</w:t>
      </w:r>
      <w:proofErr w:type="spellEnd"/>
      <w:r>
        <w:rPr>
          <w:rFonts w:eastAsia="Malgun Gothic"/>
          <w:b/>
          <w:bCs/>
          <w:lang w:val="fr-FR"/>
        </w:rPr>
        <w:t xml:space="preserve"> en </w:t>
      </w:r>
      <w:r w:rsidRPr="00570AD2">
        <w:rPr>
          <w:rFonts w:eastAsia="Malgun Gothic"/>
          <w:b/>
          <w:bCs/>
          <w:lang w:val="fr-FR"/>
        </w:rPr>
        <w:t>République</w:t>
      </w:r>
      <w:r>
        <w:rPr>
          <w:rFonts w:eastAsia="Malgun Gothic"/>
          <w:b/>
          <w:bCs/>
          <w:lang w:val="fr-FR"/>
        </w:rPr>
        <w:t xml:space="preserve"> d</w:t>
      </w:r>
      <w:r w:rsidR="00923E72">
        <w:rPr>
          <w:rFonts w:eastAsia="Malgun Gothic"/>
          <w:b/>
          <w:bCs/>
          <w:lang w:val="fr-FR"/>
        </w:rPr>
        <w:t>’</w:t>
      </w:r>
      <w:r w:rsidRPr="00570AD2">
        <w:rPr>
          <w:rFonts w:eastAsia="Malgun Gothic"/>
          <w:b/>
          <w:bCs/>
          <w:lang w:val="fr-FR"/>
        </w:rPr>
        <w:t>Azerbaïdjan</w:t>
      </w:r>
      <w:r>
        <w:rPr>
          <w:rFonts w:eastAsia="Malgun Gothic"/>
          <w:b/>
          <w:bCs/>
          <w:lang w:val="fr-FR"/>
        </w:rPr>
        <w:t xml:space="preserve"> </w:t>
      </w:r>
      <w:r>
        <w:rPr>
          <w:rFonts w:eastAsia="Malgun Gothic"/>
          <w:lang w:val="fr-FR"/>
        </w:rPr>
        <w:t>[projet de décision</w:t>
      </w:r>
      <w:r w:rsidR="00EC1974">
        <w:rPr>
          <w:rFonts w:eastAsia="Malgun Gothic"/>
          <w:lang w:val="fr-FR"/>
        </w:rPr>
        <w:t> </w:t>
      </w:r>
      <w:r>
        <w:rPr>
          <w:rFonts w:eastAsia="Malgun Gothic"/>
          <w:lang w:val="fr-FR"/>
        </w:rPr>
        <w:t>17.COM 6.a.8], soumis par l</w:t>
      </w:r>
      <w:r w:rsidR="00923E72">
        <w:rPr>
          <w:rFonts w:eastAsia="Malgun Gothic"/>
          <w:lang w:val="fr-FR"/>
        </w:rPr>
        <w:t>’</w:t>
      </w:r>
      <w:r w:rsidRPr="00570AD2">
        <w:rPr>
          <w:rFonts w:eastAsia="Malgun Gothic"/>
          <w:b/>
          <w:bCs/>
          <w:lang w:val="fr-FR"/>
        </w:rPr>
        <w:t>Azerbaïdjan</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51" w:history="1">
        <w:r w:rsidRPr="00702497">
          <w:rPr>
            <w:rStyle w:val="Hyperlink"/>
            <w:b/>
            <w:bCs/>
            <w:lang w:val="fr-FR"/>
          </w:rPr>
          <w:t>17.COM 6.a.8</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3DE0A298" w14:textId="69677509" w:rsidR="00570AD2" w:rsidRPr="00BB4315" w:rsidRDefault="00570AD2"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deuxième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a calligraphie mongole </w:t>
      </w:r>
      <w:r>
        <w:rPr>
          <w:rFonts w:eastAsia="Malgun Gothic"/>
          <w:lang w:val="fr-FR"/>
        </w:rPr>
        <w:t>[projet de décision</w:t>
      </w:r>
      <w:r w:rsidR="00EC1974">
        <w:rPr>
          <w:rFonts w:eastAsia="Malgun Gothic"/>
          <w:lang w:val="fr-FR"/>
        </w:rPr>
        <w:t> </w:t>
      </w:r>
      <w:r>
        <w:rPr>
          <w:rFonts w:eastAsia="Malgun Gothic"/>
          <w:lang w:val="fr-FR"/>
        </w:rPr>
        <w:t xml:space="preserve">17.COM 6.a.9], soumis par la </w:t>
      </w:r>
      <w:r>
        <w:rPr>
          <w:rFonts w:eastAsia="Malgun Gothic"/>
          <w:b/>
          <w:bCs/>
          <w:lang w:val="fr-FR"/>
        </w:rPr>
        <w:t>Mongolie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52" w:history="1">
        <w:r w:rsidRPr="00702497">
          <w:rPr>
            <w:rStyle w:val="Hyperlink"/>
            <w:b/>
            <w:bCs/>
            <w:lang w:val="fr-FR"/>
          </w:rPr>
          <w:t>17.COM 6.a.9</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1B3D17C9" w14:textId="7EA8AB51" w:rsidR="00570AD2" w:rsidRPr="00BB4315" w:rsidRDefault="00570AD2"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festival du Nouvel An des Qiang </w:t>
      </w:r>
      <w:r>
        <w:rPr>
          <w:rFonts w:eastAsia="Malgun Gothic"/>
          <w:lang w:val="fr-FR"/>
        </w:rPr>
        <w:t>[projet de décision</w:t>
      </w:r>
      <w:r w:rsidR="00EC1974">
        <w:rPr>
          <w:rFonts w:eastAsia="Malgun Gothic"/>
          <w:lang w:val="fr-FR"/>
        </w:rPr>
        <w:t> </w:t>
      </w:r>
      <w:r>
        <w:rPr>
          <w:rFonts w:eastAsia="Malgun Gothic"/>
          <w:lang w:val="fr-FR"/>
        </w:rPr>
        <w:t xml:space="preserve">17.COM 6.a.10], soumis par la </w:t>
      </w:r>
      <w:r>
        <w:rPr>
          <w:rFonts w:eastAsia="Malgun Gothic"/>
          <w:b/>
          <w:bCs/>
          <w:lang w:val="fr-FR"/>
        </w:rPr>
        <w:t>Chine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53" w:history="1">
        <w:r w:rsidRPr="00702497">
          <w:rPr>
            <w:rStyle w:val="Hyperlink"/>
            <w:b/>
            <w:bCs/>
            <w:lang w:val="fr-FR"/>
          </w:rPr>
          <w:t>17.COM 6.a.10</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48875EC2" w14:textId="3A823F1E" w:rsidR="00570AD2" w:rsidRPr="00BB4315" w:rsidRDefault="00570AD2"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a conception et les pratiques </w:t>
      </w:r>
      <w:r w:rsidRPr="00570AD2">
        <w:rPr>
          <w:rFonts w:eastAsia="Malgun Gothic"/>
          <w:b/>
          <w:bCs/>
          <w:lang w:val="fr-FR"/>
        </w:rPr>
        <w:t>traditionne</w:t>
      </w:r>
      <w:r>
        <w:rPr>
          <w:rFonts w:eastAsia="Malgun Gothic"/>
          <w:b/>
          <w:bCs/>
          <w:lang w:val="fr-FR"/>
        </w:rPr>
        <w:t xml:space="preserve">lles de </w:t>
      </w:r>
      <w:r w:rsidRPr="00570AD2">
        <w:rPr>
          <w:rFonts w:eastAsia="Malgun Gothic"/>
          <w:b/>
          <w:bCs/>
          <w:lang w:val="fr-FR"/>
        </w:rPr>
        <w:t>construction</w:t>
      </w:r>
      <w:r>
        <w:rPr>
          <w:rFonts w:eastAsia="Malgun Gothic"/>
          <w:b/>
          <w:bCs/>
          <w:lang w:val="fr-FR"/>
        </w:rPr>
        <w:t xml:space="preserve"> des ponts chinois de bois en arc </w:t>
      </w:r>
      <w:r>
        <w:rPr>
          <w:rFonts w:eastAsia="Malgun Gothic"/>
          <w:lang w:val="fr-FR"/>
        </w:rPr>
        <w:t>[projet de décision</w:t>
      </w:r>
      <w:r w:rsidR="00EC1974">
        <w:rPr>
          <w:rFonts w:eastAsia="Malgun Gothic"/>
          <w:lang w:val="fr-FR"/>
        </w:rPr>
        <w:t> </w:t>
      </w:r>
      <w:r>
        <w:rPr>
          <w:rFonts w:eastAsia="Malgun Gothic"/>
          <w:lang w:val="fr-FR"/>
        </w:rPr>
        <w:t xml:space="preserve">17.COM 6.a.11], soumis par la </w:t>
      </w:r>
      <w:r>
        <w:rPr>
          <w:rFonts w:eastAsia="Malgun Gothic"/>
          <w:b/>
          <w:bCs/>
          <w:lang w:val="fr-FR"/>
        </w:rPr>
        <w:t>Chine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54" w:history="1">
        <w:r w:rsidRPr="00702497">
          <w:rPr>
            <w:rStyle w:val="Hyperlink"/>
            <w:b/>
            <w:bCs/>
            <w:lang w:val="fr-FR"/>
          </w:rPr>
          <w:t>17.COM 6.a.11</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221F0A49" w14:textId="1C74FD09" w:rsidR="00570AD2" w:rsidRPr="00BB4315" w:rsidRDefault="00570AD2"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es techniques textiles </w:t>
      </w:r>
      <w:r w:rsidRPr="00570AD2">
        <w:rPr>
          <w:rFonts w:eastAsia="Malgun Gothic"/>
          <w:b/>
          <w:bCs/>
          <w:lang w:val="fr-FR"/>
        </w:rPr>
        <w:t>traditionne</w:t>
      </w:r>
      <w:r>
        <w:rPr>
          <w:rFonts w:eastAsia="Malgun Gothic"/>
          <w:b/>
          <w:bCs/>
          <w:lang w:val="fr-FR"/>
        </w:rPr>
        <w:t xml:space="preserve">lles des Li : filage, teinture tissage et broderie </w:t>
      </w:r>
      <w:r>
        <w:rPr>
          <w:rFonts w:eastAsia="Malgun Gothic"/>
          <w:lang w:val="fr-FR"/>
        </w:rPr>
        <w:t>[projet de décision</w:t>
      </w:r>
      <w:r w:rsidR="00EC1974">
        <w:rPr>
          <w:rFonts w:eastAsia="Malgun Gothic"/>
          <w:lang w:val="fr-FR"/>
        </w:rPr>
        <w:t> </w:t>
      </w:r>
      <w:r>
        <w:rPr>
          <w:rFonts w:eastAsia="Malgun Gothic"/>
          <w:lang w:val="fr-FR"/>
        </w:rPr>
        <w:t xml:space="preserve">17.COM 6.a.12], soumis par la </w:t>
      </w:r>
      <w:r>
        <w:rPr>
          <w:rFonts w:eastAsia="Malgun Gothic"/>
          <w:b/>
          <w:bCs/>
          <w:lang w:val="fr-FR"/>
        </w:rPr>
        <w:t>Chine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Président a déclaré la décision</w:t>
      </w:r>
      <w:r w:rsidR="00EC1974">
        <w:rPr>
          <w:rFonts w:eastAsia="Malgun Gothic"/>
          <w:lang w:val="fr-FR"/>
        </w:rPr>
        <w:t> </w:t>
      </w:r>
      <w:hyperlink r:id="rId55" w:history="1">
        <w:r w:rsidRPr="00702497">
          <w:rPr>
            <w:rStyle w:val="Hyperlink"/>
            <w:b/>
            <w:bCs/>
            <w:lang w:val="fr-FR"/>
          </w:rPr>
          <w:t>17.COM 6.a.12</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2516D9C8" w14:textId="7EF18F15" w:rsidR="00570AD2" w:rsidRPr="00BB4315" w:rsidRDefault="00570AD2"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w:t>
      </w:r>
      <w:proofErr w:type="spellStart"/>
      <w:r>
        <w:rPr>
          <w:rFonts w:eastAsia="Malgun Gothic"/>
          <w:b/>
          <w:bCs/>
          <w:lang w:val="fr-FR"/>
        </w:rPr>
        <w:t>Cantu</w:t>
      </w:r>
      <w:proofErr w:type="spellEnd"/>
      <w:r>
        <w:rPr>
          <w:rFonts w:eastAsia="Malgun Gothic"/>
          <w:b/>
          <w:bCs/>
          <w:lang w:val="fr-FR"/>
        </w:rPr>
        <w:t xml:space="preserve"> in </w:t>
      </w:r>
      <w:proofErr w:type="spellStart"/>
      <w:r>
        <w:rPr>
          <w:rFonts w:eastAsia="Malgun Gothic"/>
          <w:b/>
          <w:bCs/>
          <w:lang w:val="fr-FR"/>
        </w:rPr>
        <w:t>paghjella</w:t>
      </w:r>
      <w:proofErr w:type="spellEnd"/>
      <w:r>
        <w:rPr>
          <w:rFonts w:eastAsia="Malgun Gothic"/>
          <w:b/>
          <w:bCs/>
          <w:lang w:val="fr-FR"/>
        </w:rPr>
        <w:t xml:space="preserve"> profane et liturgique de Corse de tradition orale </w:t>
      </w:r>
      <w:r>
        <w:rPr>
          <w:rFonts w:eastAsia="Malgun Gothic"/>
          <w:lang w:val="fr-FR"/>
        </w:rPr>
        <w:t>[projet de décision</w:t>
      </w:r>
      <w:r w:rsidR="00EC1974">
        <w:rPr>
          <w:rFonts w:eastAsia="Malgun Gothic"/>
          <w:lang w:val="fr-FR"/>
        </w:rPr>
        <w:t> </w:t>
      </w:r>
      <w:r>
        <w:rPr>
          <w:rFonts w:eastAsia="Malgun Gothic"/>
          <w:lang w:val="fr-FR"/>
        </w:rPr>
        <w:t>17.COM 6.a.13], soumis par la</w:t>
      </w:r>
      <w:r w:rsidR="00100D60">
        <w:rPr>
          <w:rFonts w:eastAsia="Malgun Gothic"/>
          <w:b/>
          <w:bCs/>
          <w:lang w:val="fr-FR"/>
        </w:rPr>
        <w:t xml:space="preserve"> France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EC1974" w:rsidRPr="00702497">
        <w:rPr>
          <w:rFonts w:eastAsia="Malgun Gothic"/>
          <w:b/>
          <w:bCs/>
          <w:lang w:val="fr-FR"/>
        </w:rPr>
        <w:t> </w:t>
      </w:r>
      <w:hyperlink r:id="rId56" w:history="1">
        <w:r w:rsidR="00100D60" w:rsidRPr="00702497">
          <w:rPr>
            <w:rStyle w:val="Hyperlink"/>
            <w:b/>
            <w:bCs/>
            <w:lang w:val="fr-FR"/>
          </w:rPr>
          <w:t>17.COM 6.a.13</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2ACAA7EB" w14:textId="0DDB221F" w:rsidR="002F3C50" w:rsidRPr="00BB4315" w:rsidRDefault="002F3C5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lastRenderedPageBreak/>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a cérémonie de la Nan </w:t>
      </w:r>
      <w:proofErr w:type="spellStart"/>
      <w:r>
        <w:rPr>
          <w:rFonts w:eastAsia="Malgun Gothic"/>
          <w:b/>
          <w:bCs/>
          <w:lang w:val="fr-FR"/>
        </w:rPr>
        <w:t>Pa</w:t>
      </w:r>
      <w:r w:rsidR="00923E72">
        <w:rPr>
          <w:rFonts w:eastAsia="Malgun Gothic"/>
          <w:b/>
          <w:bCs/>
          <w:lang w:val="fr-FR"/>
        </w:rPr>
        <w:t>’</w:t>
      </w:r>
      <w:r>
        <w:rPr>
          <w:rFonts w:eastAsia="Malgun Gothic"/>
          <w:b/>
          <w:bCs/>
          <w:lang w:val="fr-FR"/>
        </w:rPr>
        <w:t>cg</w:t>
      </w:r>
      <w:proofErr w:type="spellEnd"/>
      <w:r>
        <w:rPr>
          <w:rFonts w:eastAsia="Malgun Gothic"/>
          <w:b/>
          <w:bCs/>
          <w:lang w:val="fr-FR"/>
        </w:rPr>
        <w:t xml:space="preserve"> </w:t>
      </w:r>
      <w:r>
        <w:rPr>
          <w:rFonts w:eastAsia="Malgun Gothic"/>
          <w:lang w:val="fr-FR"/>
        </w:rPr>
        <w:t>[projet de décision</w:t>
      </w:r>
      <w:r w:rsidR="00EC1974">
        <w:rPr>
          <w:rFonts w:eastAsia="Malgun Gothic"/>
          <w:lang w:val="fr-FR"/>
        </w:rPr>
        <w:t> </w:t>
      </w:r>
      <w:r>
        <w:rPr>
          <w:rFonts w:eastAsia="Malgun Gothic"/>
          <w:lang w:val="fr-FR"/>
        </w:rPr>
        <w:t xml:space="preserve">17.COM 6.a.14], soumis par le </w:t>
      </w:r>
      <w:r w:rsidRPr="002F3C50">
        <w:rPr>
          <w:rFonts w:eastAsia="Malgun Gothic"/>
          <w:b/>
          <w:bCs/>
          <w:lang w:val="fr-FR"/>
        </w:rPr>
        <w:t>Guatemala</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EC1974" w:rsidRPr="00702497">
        <w:rPr>
          <w:rFonts w:eastAsia="Malgun Gothic"/>
          <w:b/>
          <w:bCs/>
          <w:lang w:val="fr-FR"/>
        </w:rPr>
        <w:t> </w:t>
      </w:r>
      <w:hyperlink r:id="rId57" w:history="1">
        <w:r w:rsidRPr="00702497">
          <w:rPr>
            <w:rStyle w:val="Hyperlink"/>
            <w:b/>
            <w:bCs/>
            <w:lang w:val="fr-FR"/>
          </w:rPr>
          <w:t>17.COM 6.a.14</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3E71AF15" w14:textId="0C517B74" w:rsidR="002F3C50" w:rsidRPr="00BB4315" w:rsidRDefault="002F3C5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es traditions et pratiques associées aux </w:t>
      </w:r>
      <w:proofErr w:type="spellStart"/>
      <w:r>
        <w:rPr>
          <w:rFonts w:eastAsia="Malgun Gothic"/>
          <w:b/>
          <w:bCs/>
          <w:lang w:val="fr-FR"/>
        </w:rPr>
        <w:t>Kayas</w:t>
      </w:r>
      <w:proofErr w:type="spellEnd"/>
      <w:r>
        <w:rPr>
          <w:rFonts w:eastAsia="Malgun Gothic"/>
          <w:b/>
          <w:bCs/>
          <w:lang w:val="fr-FR"/>
        </w:rPr>
        <w:t xml:space="preserve"> dans les forêts sacrées des </w:t>
      </w:r>
      <w:proofErr w:type="spellStart"/>
      <w:r>
        <w:rPr>
          <w:rFonts w:eastAsia="Malgun Gothic"/>
          <w:b/>
          <w:bCs/>
          <w:lang w:val="fr-FR"/>
        </w:rPr>
        <w:t>Mijikenda</w:t>
      </w:r>
      <w:proofErr w:type="spellEnd"/>
      <w:r>
        <w:rPr>
          <w:rFonts w:eastAsia="Malgun Gothic"/>
          <w:b/>
          <w:bCs/>
          <w:lang w:val="fr-FR"/>
        </w:rPr>
        <w:t xml:space="preserve"> </w:t>
      </w:r>
      <w:r>
        <w:rPr>
          <w:rFonts w:eastAsia="Malgun Gothic"/>
          <w:lang w:val="fr-FR"/>
        </w:rPr>
        <w:t>[projet de décision</w:t>
      </w:r>
      <w:r w:rsidR="00EC1974">
        <w:rPr>
          <w:rFonts w:eastAsia="Malgun Gothic"/>
          <w:lang w:val="fr-FR"/>
        </w:rPr>
        <w:t> </w:t>
      </w:r>
      <w:r>
        <w:rPr>
          <w:rFonts w:eastAsia="Malgun Gothic"/>
          <w:lang w:val="fr-FR"/>
        </w:rPr>
        <w:t xml:space="preserve">17.COM 6.a.15], soumis par le </w:t>
      </w:r>
      <w:r>
        <w:rPr>
          <w:rFonts w:eastAsia="Malgun Gothic"/>
          <w:b/>
          <w:bCs/>
          <w:lang w:val="fr-FR"/>
        </w:rPr>
        <w:t>Kenya</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EC1974" w:rsidRPr="00702497">
        <w:rPr>
          <w:rFonts w:eastAsia="Malgun Gothic"/>
          <w:b/>
          <w:bCs/>
          <w:lang w:val="fr-FR"/>
        </w:rPr>
        <w:t> </w:t>
      </w:r>
      <w:hyperlink r:id="rId58" w:history="1">
        <w:r w:rsidRPr="00702497">
          <w:rPr>
            <w:rStyle w:val="Hyperlink"/>
            <w:b/>
            <w:bCs/>
            <w:lang w:val="fr-FR"/>
          </w:rPr>
          <w:t>17.COM 6.a.15</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715DE437" w14:textId="06E319E0" w:rsidR="002F3C50" w:rsidRPr="00BB4315" w:rsidRDefault="002F3C5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656F7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sidR="00923E72">
        <w:rPr>
          <w:rFonts w:eastAsia="Malgun Gothic"/>
          <w:b/>
          <w:bCs/>
          <w:lang w:val="fr-FR"/>
        </w:rPr>
        <w:t>’</w:t>
      </w:r>
      <w:r>
        <w:rPr>
          <w:rFonts w:eastAsia="Malgun Gothic"/>
          <w:b/>
          <w:bCs/>
          <w:lang w:val="fr-FR"/>
        </w:rPr>
        <w:t xml:space="preserve">espace culturel des </w:t>
      </w:r>
      <w:proofErr w:type="spellStart"/>
      <w:r>
        <w:rPr>
          <w:rFonts w:eastAsia="Malgun Gothic"/>
          <w:b/>
          <w:bCs/>
          <w:lang w:val="fr-FR"/>
        </w:rPr>
        <w:t>Suiti</w:t>
      </w:r>
      <w:proofErr w:type="spellEnd"/>
      <w:r>
        <w:rPr>
          <w:rFonts w:eastAsia="Malgun Gothic"/>
          <w:b/>
          <w:bCs/>
          <w:lang w:val="fr-FR"/>
        </w:rPr>
        <w:t xml:space="preserve"> </w:t>
      </w:r>
      <w:r>
        <w:rPr>
          <w:rFonts w:eastAsia="Malgun Gothic"/>
          <w:lang w:val="fr-FR"/>
        </w:rPr>
        <w:t>[projet de décision</w:t>
      </w:r>
      <w:r w:rsidR="00136A0D">
        <w:rPr>
          <w:rFonts w:eastAsia="Malgun Gothic"/>
          <w:lang w:val="fr-FR"/>
        </w:rPr>
        <w:t> </w:t>
      </w:r>
      <w:r>
        <w:rPr>
          <w:rFonts w:eastAsia="Malgun Gothic"/>
          <w:lang w:val="fr-FR"/>
        </w:rPr>
        <w:t xml:space="preserve">17.COM 6.a.16], soumis par la </w:t>
      </w:r>
      <w:r>
        <w:rPr>
          <w:rFonts w:eastAsia="Malgun Gothic"/>
          <w:b/>
          <w:bCs/>
          <w:lang w:val="fr-FR"/>
        </w:rPr>
        <w:t>Lettonie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136A0D" w:rsidRPr="00702497">
        <w:rPr>
          <w:rFonts w:eastAsia="Malgun Gothic"/>
          <w:b/>
          <w:bCs/>
          <w:lang w:val="fr-FR"/>
        </w:rPr>
        <w:t> </w:t>
      </w:r>
      <w:hyperlink r:id="rId59" w:history="1">
        <w:r w:rsidRPr="00702497">
          <w:rPr>
            <w:rStyle w:val="Hyperlink"/>
            <w:b/>
            <w:bCs/>
            <w:lang w:val="fr-FR"/>
          </w:rPr>
          <w:t>17.COM 6.a.16</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65ADD6AD" w14:textId="131CA342" w:rsidR="002F3C50" w:rsidRPr="002F3C50" w:rsidRDefault="002F3C5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26753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Sanké mon, rite de pêche collective dans le Sanké </w:t>
      </w:r>
      <w:r>
        <w:rPr>
          <w:rFonts w:eastAsia="Malgun Gothic"/>
          <w:lang w:val="fr-FR"/>
        </w:rPr>
        <w:t>[projet de décision</w:t>
      </w:r>
      <w:r w:rsidR="00136A0D">
        <w:rPr>
          <w:rFonts w:eastAsia="Malgun Gothic"/>
          <w:lang w:val="fr-FR"/>
        </w:rPr>
        <w:t> </w:t>
      </w:r>
      <w:r>
        <w:rPr>
          <w:rFonts w:eastAsia="Malgun Gothic"/>
          <w:lang w:val="fr-FR"/>
        </w:rPr>
        <w:t xml:space="preserve">17.COM 6.a.17], soumis par le </w:t>
      </w:r>
      <w:r w:rsidRPr="002F3C50">
        <w:rPr>
          <w:rFonts w:eastAsia="Malgun Gothic"/>
          <w:b/>
          <w:bCs/>
          <w:lang w:val="fr-FR"/>
        </w:rPr>
        <w:t>Mali</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w:t>
      </w:r>
      <w:r w:rsidR="00136A0D" w:rsidRPr="00702497">
        <w:rPr>
          <w:rFonts w:eastAsia="Malgun Gothic"/>
          <w:b/>
          <w:bCs/>
          <w:lang w:val="fr-FR"/>
        </w:rPr>
        <w:t>n </w:t>
      </w:r>
      <w:hyperlink r:id="rId60" w:history="1">
        <w:r w:rsidRPr="00702497">
          <w:rPr>
            <w:rStyle w:val="Hyperlink"/>
            <w:b/>
            <w:bCs/>
            <w:lang w:val="fr-FR"/>
          </w:rPr>
          <w:t>17.COM 6.a.17</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5808F5A9" w14:textId="0EB2B3C6" w:rsidR="002F3C50" w:rsidRPr="002F3C50" w:rsidRDefault="002F3C5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656F7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Biyelgee mongol, danse populaire </w:t>
      </w:r>
      <w:r w:rsidRPr="002F3C50">
        <w:rPr>
          <w:rFonts w:eastAsia="Malgun Gothic"/>
          <w:b/>
          <w:bCs/>
          <w:lang w:val="fr-FR"/>
        </w:rPr>
        <w:t>traditionne</w:t>
      </w:r>
      <w:r>
        <w:rPr>
          <w:rFonts w:eastAsia="Malgun Gothic"/>
          <w:b/>
          <w:bCs/>
          <w:lang w:val="fr-FR"/>
        </w:rPr>
        <w:t xml:space="preserve">lle mongole </w:t>
      </w:r>
      <w:r>
        <w:rPr>
          <w:rFonts w:eastAsia="Malgun Gothic"/>
          <w:lang w:val="fr-FR"/>
        </w:rPr>
        <w:t>[projet de décision</w:t>
      </w:r>
      <w:r w:rsidR="00136A0D">
        <w:rPr>
          <w:rFonts w:eastAsia="Malgun Gothic"/>
          <w:lang w:val="fr-FR"/>
        </w:rPr>
        <w:t> </w:t>
      </w:r>
      <w:r>
        <w:rPr>
          <w:rFonts w:eastAsia="Malgun Gothic"/>
          <w:lang w:val="fr-FR"/>
        </w:rPr>
        <w:t xml:space="preserve">17.COM 6.a.18], soumis par la </w:t>
      </w:r>
      <w:r w:rsidRPr="002F3C50">
        <w:rPr>
          <w:rFonts w:eastAsia="Malgun Gothic"/>
          <w:b/>
          <w:bCs/>
          <w:lang w:val="fr-FR"/>
        </w:rPr>
        <w:t>Mongolie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136A0D" w:rsidRPr="00702497">
        <w:rPr>
          <w:rFonts w:eastAsia="Malgun Gothic"/>
          <w:b/>
          <w:bCs/>
          <w:lang w:val="fr-FR"/>
        </w:rPr>
        <w:t> </w:t>
      </w:r>
      <w:hyperlink r:id="rId61" w:history="1">
        <w:r w:rsidRPr="00702497">
          <w:rPr>
            <w:rStyle w:val="Hyperlink"/>
            <w:b/>
            <w:bCs/>
            <w:lang w:val="fr-FR"/>
          </w:rPr>
          <w:t>17.COM 6.a.18</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22884CA1" w14:textId="4A8EC441" w:rsidR="002F3C50" w:rsidRPr="002F3C50" w:rsidRDefault="002F3C5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656F7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w:t>
      </w:r>
      <w:proofErr w:type="spellStart"/>
      <w:r>
        <w:rPr>
          <w:rFonts w:eastAsia="Malgun Gothic"/>
          <w:b/>
          <w:bCs/>
          <w:lang w:val="fr-FR"/>
        </w:rPr>
        <w:t>Tuuli</w:t>
      </w:r>
      <w:proofErr w:type="spellEnd"/>
      <w:r>
        <w:rPr>
          <w:rFonts w:eastAsia="Malgun Gothic"/>
          <w:b/>
          <w:bCs/>
          <w:lang w:val="fr-FR"/>
        </w:rPr>
        <w:t xml:space="preserve"> mongol, épopée mongole </w:t>
      </w:r>
      <w:r>
        <w:rPr>
          <w:rFonts w:eastAsia="Malgun Gothic"/>
          <w:lang w:val="fr-FR"/>
        </w:rPr>
        <w:t>[projet de décision</w:t>
      </w:r>
      <w:r w:rsidR="00136A0D">
        <w:rPr>
          <w:rFonts w:eastAsia="Malgun Gothic"/>
          <w:lang w:val="fr-FR"/>
        </w:rPr>
        <w:t> </w:t>
      </w:r>
      <w:r>
        <w:rPr>
          <w:rFonts w:eastAsia="Malgun Gothic"/>
          <w:lang w:val="fr-FR"/>
        </w:rPr>
        <w:t xml:space="preserve">17.COM 6.a.19], soumis par la </w:t>
      </w:r>
      <w:r w:rsidRPr="002F3C50">
        <w:rPr>
          <w:rFonts w:eastAsia="Malgun Gothic"/>
          <w:b/>
          <w:bCs/>
          <w:lang w:val="fr-FR"/>
        </w:rPr>
        <w:t>Mongolie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136A0D" w:rsidRPr="00702497">
        <w:rPr>
          <w:rFonts w:eastAsia="Malgun Gothic"/>
          <w:b/>
          <w:bCs/>
          <w:lang w:val="fr-FR"/>
        </w:rPr>
        <w:t> </w:t>
      </w:r>
      <w:hyperlink r:id="rId62" w:history="1">
        <w:r w:rsidRPr="00702497">
          <w:rPr>
            <w:rStyle w:val="Hyperlink"/>
            <w:b/>
            <w:bCs/>
            <w:lang w:val="fr-FR"/>
          </w:rPr>
          <w:t>17.COM 6.a.19</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35065A32" w14:textId="77D40678" w:rsidR="002F3C50" w:rsidRPr="002F3C50" w:rsidRDefault="002F3C50"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656F7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a musique </w:t>
      </w:r>
      <w:r w:rsidRPr="002F3C50">
        <w:rPr>
          <w:rFonts w:eastAsia="Malgun Gothic"/>
          <w:b/>
          <w:bCs/>
          <w:lang w:val="fr-FR"/>
        </w:rPr>
        <w:t>traditionne</w:t>
      </w:r>
      <w:r>
        <w:rPr>
          <w:rFonts w:eastAsia="Malgun Gothic"/>
          <w:b/>
          <w:bCs/>
          <w:lang w:val="fr-FR"/>
        </w:rPr>
        <w:t xml:space="preserve">lle pour flûte </w:t>
      </w:r>
      <w:proofErr w:type="spellStart"/>
      <w:r>
        <w:rPr>
          <w:rFonts w:eastAsia="Malgun Gothic"/>
          <w:b/>
          <w:bCs/>
          <w:lang w:val="fr-FR"/>
        </w:rPr>
        <w:t>tsuur</w:t>
      </w:r>
      <w:proofErr w:type="spellEnd"/>
      <w:r>
        <w:rPr>
          <w:rFonts w:eastAsia="Malgun Gothic"/>
          <w:b/>
          <w:bCs/>
          <w:lang w:val="fr-FR"/>
        </w:rPr>
        <w:t xml:space="preserve"> </w:t>
      </w:r>
      <w:r>
        <w:rPr>
          <w:rFonts w:eastAsia="Malgun Gothic"/>
          <w:lang w:val="fr-FR"/>
        </w:rPr>
        <w:t>[projet de décision</w:t>
      </w:r>
      <w:r w:rsidR="00136A0D">
        <w:rPr>
          <w:rFonts w:eastAsia="Malgun Gothic"/>
          <w:lang w:val="fr-FR"/>
        </w:rPr>
        <w:t> </w:t>
      </w:r>
      <w:r>
        <w:rPr>
          <w:rFonts w:eastAsia="Malgun Gothic"/>
          <w:lang w:val="fr-FR"/>
        </w:rPr>
        <w:t xml:space="preserve">17.COM 6.a.20], soumis par la </w:t>
      </w:r>
      <w:r w:rsidRPr="002F3C50">
        <w:rPr>
          <w:rFonts w:eastAsia="Malgun Gothic"/>
          <w:b/>
          <w:bCs/>
          <w:lang w:val="fr-FR"/>
        </w:rPr>
        <w:t>Mongolie</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136A0D" w:rsidRPr="00702497">
        <w:rPr>
          <w:rFonts w:eastAsia="Malgun Gothic"/>
          <w:b/>
          <w:bCs/>
          <w:lang w:val="fr-FR"/>
        </w:rPr>
        <w:t> </w:t>
      </w:r>
      <w:hyperlink r:id="rId63" w:history="1">
        <w:r w:rsidR="00C952CF" w:rsidRPr="00702497">
          <w:rPr>
            <w:rStyle w:val="Hyperlink"/>
            <w:b/>
            <w:bCs/>
            <w:lang w:val="fr-FR"/>
          </w:rPr>
          <w:t>17.COM 6.a.20</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37727A71" w14:textId="4C02D521" w:rsidR="00C952CF" w:rsidRPr="002F3C50" w:rsidRDefault="00C952CF"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656F7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a </w:t>
      </w:r>
      <w:r w:rsidRPr="00C952CF">
        <w:rPr>
          <w:rFonts w:eastAsia="Malgun Gothic"/>
          <w:b/>
          <w:bCs/>
          <w:lang w:val="fr-FR"/>
        </w:rPr>
        <w:t>tradition</w:t>
      </w:r>
      <w:r>
        <w:rPr>
          <w:rFonts w:eastAsia="Malgun Gothic"/>
          <w:b/>
          <w:bCs/>
          <w:lang w:val="fr-FR"/>
        </w:rPr>
        <w:t xml:space="preserve"> de l</w:t>
      </w:r>
      <w:r w:rsidR="00923E72">
        <w:rPr>
          <w:rFonts w:eastAsia="Malgun Gothic"/>
          <w:b/>
          <w:bCs/>
          <w:lang w:val="fr-FR"/>
        </w:rPr>
        <w:t>’</w:t>
      </w:r>
      <w:proofErr w:type="spellStart"/>
      <w:r>
        <w:rPr>
          <w:rFonts w:eastAsia="Malgun Gothic"/>
          <w:b/>
          <w:bCs/>
          <w:lang w:val="fr-FR"/>
        </w:rPr>
        <w:t>empaako</w:t>
      </w:r>
      <w:proofErr w:type="spellEnd"/>
      <w:r>
        <w:rPr>
          <w:rFonts w:eastAsia="Malgun Gothic"/>
          <w:b/>
          <w:bCs/>
          <w:lang w:val="fr-FR"/>
        </w:rPr>
        <w:t xml:space="preserve"> des </w:t>
      </w:r>
      <w:proofErr w:type="spellStart"/>
      <w:r>
        <w:rPr>
          <w:rFonts w:eastAsia="Malgun Gothic"/>
          <w:b/>
          <w:bCs/>
          <w:lang w:val="fr-FR"/>
        </w:rPr>
        <w:t>Batooro</w:t>
      </w:r>
      <w:proofErr w:type="spellEnd"/>
      <w:r>
        <w:rPr>
          <w:rFonts w:eastAsia="Malgun Gothic"/>
          <w:b/>
          <w:bCs/>
          <w:lang w:val="fr-FR"/>
        </w:rPr>
        <w:t xml:space="preserve">, </w:t>
      </w:r>
      <w:proofErr w:type="spellStart"/>
      <w:r>
        <w:rPr>
          <w:rFonts w:eastAsia="Malgun Gothic"/>
          <w:b/>
          <w:bCs/>
          <w:lang w:val="fr-FR"/>
        </w:rPr>
        <w:t>Banyoro</w:t>
      </w:r>
      <w:proofErr w:type="spellEnd"/>
      <w:r>
        <w:rPr>
          <w:rFonts w:eastAsia="Malgun Gothic"/>
          <w:b/>
          <w:bCs/>
          <w:lang w:val="fr-FR"/>
        </w:rPr>
        <w:t xml:space="preserve">, </w:t>
      </w:r>
      <w:proofErr w:type="spellStart"/>
      <w:r>
        <w:rPr>
          <w:rFonts w:eastAsia="Malgun Gothic"/>
          <w:b/>
          <w:bCs/>
          <w:lang w:val="fr-FR"/>
        </w:rPr>
        <w:t>Batuku</w:t>
      </w:r>
      <w:proofErr w:type="spellEnd"/>
      <w:r>
        <w:rPr>
          <w:rFonts w:eastAsia="Malgun Gothic"/>
          <w:b/>
          <w:bCs/>
          <w:lang w:val="fr-FR"/>
        </w:rPr>
        <w:t xml:space="preserve">, </w:t>
      </w:r>
      <w:proofErr w:type="spellStart"/>
      <w:r>
        <w:rPr>
          <w:rFonts w:eastAsia="Malgun Gothic"/>
          <w:b/>
          <w:bCs/>
          <w:lang w:val="fr-FR"/>
        </w:rPr>
        <w:t>Batagwenda</w:t>
      </w:r>
      <w:proofErr w:type="spellEnd"/>
      <w:r>
        <w:rPr>
          <w:rFonts w:eastAsia="Malgun Gothic"/>
          <w:b/>
          <w:bCs/>
          <w:lang w:val="fr-FR"/>
        </w:rPr>
        <w:t xml:space="preserve"> et </w:t>
      </w:r>
      <w:proofErr w:type="spellStart"/>
      <w:r>
        <w:rPr>
          <w:rFonts w:eastAsia="Malgun Gothic"/>
          <w:b/>
          <w:bCs/>
          <w:lang w:val="fr-FR"/>
        </w:rPr>
        <w:t>Banyabindi</w:t>
      </w:r>
      <w:proofErr w:type="spellEnd"/>
      <w:r>
        <w:rPr>
          <w:rFonts w:eastAsia="Malgun Gothic"/>
          <w:b/>
          <w:bCs/>
          <w:lang w:val="fr-FR"/>
        </w:rPr>
        <w:t xml:space="preserve"> de l</w:t>
      </w:r>
      <w:r w:rsidR="00923E72">
        <w:rPr>
          <w:rFonts w:eastAsia="Malgun Gothic"/>
          <w:b/>
          <w:bCs/>
          <w:lang w:val="fr-FR"/>
        </w:rPr>
        <w:t>’</w:t>
      </w:r>
      <w:r>
        <w:rPr>
          <w:rFonts w:eastAsia="Malgun Gothic"/>
          <w:b/>
          <w:bCs/>
          <w:lang w:val="fr-FR"/>
        </w:rPr>
        <w:t>ouest de l</w:t>
      </w:r>
      <w:r w:rsidR="00923E72">
        <w:rPr>
          <w:rFonts w:eastAsia="Malgun Gothic"/>
          <w:b/>
          <w:bCs/>
          <w:lang w:val="fr-FR"/>
        </w:rPr>
        <w:t>’</w:t>
      </w:r>
      <w:r>
        <w:rPr>
          <w:rFonts w:eastAsia="Malgun Gothic"/>
          <w:b/>
          <w:bCs/>
          <w:lang w:val="fr-FR"/>
        </w:rPr>
        <w:t xml:space="preserve">Ouganda </w:t>
      </w:r>
      <w:r>
        <w:rPr>
          <w:rFonts w:eastAsia="Malgun Gothic"/>
          <w:lang w:val="fr-FR"/>
        </w:rPr>
        <w:t>[projet de décision</w:t>
      </w:r>
      <w:r w:rsidR="00136A0D">
        <w:rPr>
          <w:rFonts w:eastAsia="Malgun Gothic"/>
          <w:lang w:val="fr-FR"/>
        </w:rPr>
        <w:t> </w:t>
      </w:r>
      <w:r>
        <w:rPr>
          <w:rFonts w:eastAsia="Malgun Gothic"/>
          <w:lang w:val="fr-FR"/>
        </w:rPr>
        <w:t>17.COM 6.a.21], soumis par l</w:t>
      </w:r>
      <w:r w:rsidR="00923E72">
        <w:rPr>
          <w:rFonts w:eastAsia="Malgun Gothic"/>
          <w:lang w:val="fr-FR"/>
        </w:rPr>
        <w:t>’</w:t>
      </w:r>
      <w:r>
        <w:rPr>
          <w:rFonts w:eastAsia="Malgun Gothic"/>
          <w:b/>
          <w:bCs/>
          <w:lang w:val="fr-FR"/>
        </w:rPr>
        <w:t>Ouganda</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136A0D" w:rsidRPr="00702497">
        <w:rPr>
          <w:rFonts w:eastAsia="Malgun Gothic"/>
          <w:b/>
          <w:bCs/>
          <w:lang w:val="fr-FR"/>
        </w:rPr>
        <w:t> </w:t>
      </w:r>
      <w:hyperlink r:id="rId64" w:history="1">
        <w:r w:rsidRPr="00702497">
          <w:rPr>
            <w:rStyle w:val="Hyperlink"/>
            <w:b/>
            <w:bCs/>
            <w:lang w:val="fr-FR"/>
          </w:rPr>
          <w:t>17.COM 6.a.21</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5C6DCC5D" w14:textId="44C9B7FD" w:rsidR="00C952CF" w:rsidRPr="002F3C50" w:rsidRDefault="00C952CF"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656F78">
        <w:rPr>
          <w:rFonts w:eastAsia="Malgun Gothic"/>
          <w:lang w:val="fr-FR"/>
        </w:rPr>
        <w:t xml:space="preserve">troisième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chant Ca </w:t>
      </w:r>
      <w:proofErr w:type="spellStart"/>
      <w:r>
        <w:rPr>
          <w:rFonts w:eastAsia="Malgun Gothic"/>
          <w:b/>
          <w:bCs/>
          <w:lang w:val="fr-FR"/>
        </w:rPr>
        <w:t>trù</w:t>
      </w:r>
      <w:proofErr w:type="spellEnd"/>
      <w:r>
        <w:rPr>
          <w:rFonts w:eastAsia="Malgun Gothic"/>
          <w:b/>
          <w:bCs/>
          <w:lang w:val="fr-FR"/>
        </w:rPr>
        <w:t xml:space="preserve"> </w:t>
      </w:r>
      <w:r>
        <w:rPr>
          <w:rFonts w:eastAsia="Malgun Gothic"/>
          <w:lang w:val="fr-FR"/>
        </w:rPr>
        <w:t>[projet de décision</w:t>
      </w:r>
      <w:r w:rsidR="00136A0D">
        <w:rPr>
          <w:rFonts w:eastAsia="Malgun Gothic"/>
          <w:lang w:val="fr-FR"/>
        </w:rPr>
        <w:t> </w:t>
      </w:r>
      <w:r>
        <w:rPr>
          <w:rFonts w:eastAsia="Malgun Gothic"/>
          <w:lang w:val="fr-FR"/>
        </w:rPr>
        <w:t xml:space="preserve">17.COM 6.a.22], soumis par le </w:t>
      </w:r>
      <w:r>
        <w:rPr>
          <w:rFonts w:eastAsia="Malgun Gothic"/>
          <w:b/>
          <w:bCs/>
          <w:lang w:val="fr-FR"/>
        </w:rPr>
        <w:t>Viet Nam</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136A0D" w:rsidRPr="00702497">
        <w:rPr>
          <w:rFonts w:eastAsia="Malgun Gothic"/>
          <w:b/>
          <w:bCs/>
          <w:lang w:val="fr-FR"/>
        </w:rPr>
        <w:t> </w:t>
      </w:r>
      <w:hyperlink r:id="rId65" w:history="1">
        <w:r w:rsidRPr="00702497">
          <w:rPr>
            <w:rStyle w:val="Hyperlink"/>
            <w:b/>
            <w:bCs/>
            <w:lang w:val="fr-FR"/>
          </w:rPr>
          <w:t>17.COM 6.a.22</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56154D74" w14:textId="7F49E36C" w:rsidR="00C952CF" w:rsidRPr="002F3C50" w:rsidRDefault="00C952CF"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t xml:space="preserve">Le </w:t>
      </w:r>
      <w:r w:rsidRPr="00BB4315">
        <w:rPr>
          <w:rFonts w:eastAsia="Malgun Gothic"/>
          <w:b/>
          <w:bCs/>
          <w:lang w:val="fr-FR"/>
        </w:rPr>
        <w:t>Président</w:t>
      </w:r>
      <w:r>
        <w:rPr>
          <w:rFonts w:eastAsia="Malgun Gothic"/>
          <w:lang w:val="fr-FR"/>
        </w:rPr>
        <w:t xml:space="preserve"> a présenté le </w:t>
      </w:r>
      <w:r w:rsidR="00656F78">
        <w:rPr>
          <w:rFonts w:eastAsia="Malgun Gothic"/>
          <w:lang w:val="fr-FR"/>
        </w:rPr>
        <w:t xml:space="preserve">quatrième </w:t>
      </w:r>
      <w:r>
        <w:rPr>
          <w:rFonts w:eastAsia="Malgun Gothic"/>
          <w:lang w:val="fr-FR"/>
        </w:rPr>
        <w:t xml:space="preserve">rapport sur </w:t>
      </w:r>
      <w:r w:rsidRPr="00BB4315">
        <w:rPr>
          <w:rFonts w:eastAsia="Malgun Gothic"/>
          <w:b/>
          <w:bCs/>
          <w:lang w:val="fr-FR"/>
        </w:rPr>
        <w:t>l</w:t>
      </w:r>
      <w:r>
        <w:rPr>
          <w:rFonts w:eastAsia="Malgun Gothic"/>
          <w:b/>
          <w:bCs/>
          <w:lang w:val="fr-FR"/>
        </w:rPr>
        <w:t xml:space="preserve">e rite des Tsars de </w:t>
      </w:r>
      <w:proofErr w:type="spellStart"/>
      <w:r>
        <w:rPr>
          <w:rFonts w:eastAsia="Malgun Gothic"/>
          <w:b/>
          <w:bCs/>
          <w:lang w:val="fr-FR"/>
        </w:rPr>
        <w:t>Kalyady</w:t>
      </w:r>
      <w:proofErr w:type="spellEnd"/>
      <w:r>
        <w:rPr>
          <w:rFonts w:eastAsia="Malgun Gothic"/>
          <w:b/>
          <w:bCs/>
          <w:lang w:val="fr-FR"/>
        </w:rPr>
        <w:t xml:space="preserve"> (Tsars de Noël) </w:t>
      </w:r>
      <w:r>
        <w:rPr>
          <w:rFonts w:eastAsia="Malgun Gothic"/>
          <w:lang w:val="fr-FR"/>
        </w:rPr>
        <w:t>[projet de décision</w:t>
      </w:r>
      <w:r w:rsidR="00136A0D">
        <w:rPr>
          <w:rFonts w:eastAsia="Malgun Gothic"/>
          <w:lang w:val="fr-FR"/>
        </w:rPr>
        <w:t> </w:t>
      </w:r>
      <w:r>
        <w:rPr>
          <w:rFonts w:eastAsia="Malgun Gothic"/>
          <w:lang w:val="fr-FR"/>
        </w:rPr>
        <w:t xml:space="preserve">17.COM 6.a.23], soumis par le </w:t>
      </w:r>
      <w:r>
        <w:rPr>
          <w:rFonts w:eastAsia="Malgun Gothic"/>
          <w:b/>
          <w:bCs/>
          <w:lang w:val="fr-FR"/>
        </w:rPr>
        <w:t>Bélarus</w:t>
      </w:r>
      <w:r>
        <w:rPr>
          <w:rFonts w:eastAsia="Malgun Gothic"/>
          <w:lang w:val="fr-FR"/>
        </w:rPr>
        <w:t xml:space="preserve">. </w:t>
      </w:r>
      <w:r w:rsidRPr="00C02395">
        <w:rPr>
          <w:rFonts w:eastAsia="Malgun Gothic"/>
          <w:lang w:val="fr-FR"/>
        </w:rPr>
        <w:t>En l</w:t>
      </w:r>
      <w:r w:rsidR="00923E72">
        <w:rPr>
          <w:rFonts w:eastAsia="Malgun Gothic"/>
          <w:lang w:val="fr-FR"/>
        </w:rPr>
        <w:t>’</w:t>
      </w:r>
      <w:r w:rsidRPr="00C02395">
        <w:rPr>
          <w:rFonts w:eastAsia="Malgun Gothic"/>
          <w:lang w:val="fr-FR"/>
        </w:rPr>
        <w:t>absence</w:t>
      </w:r>
      <w:r>
        <w:rPr>
          <w:rFonts w:eastAsia="Malgun Gothic"/>
          <w:lang w:val="fr-FR"/>
        </w:rPr>
        <w:t xml:space="preserve"> d</w:t>
      </w:r>
      <w:r w:rsidR="00923E72">
        <w:rPr>
          <w:rFonts w:eastAsia="Malgun Gothic"/>
          <w:lang w:val="fr-FR"/>
        </w:rPr>
        <w:t>’</w:t>
      </w:r>
      <w:r w:rsidRPr="00C02395">
        <w:rPr>
          <w:rFonts w:eastAsia="Malgun Gothic"/>
          <w:lang w:val="fr-FR"/>
        </w:rPr>
        <w:t>amendement</w:t>
      </w:r>
      <w:r>
        <w:rPr>
          <w:rFonts w:eastAsia="Malgun Gothic"/>
          <w:lang w:val="fr-FR"/>
        </w:rPr>
        <w:t xml:space="preserve">s reçus, le </w:t>
      </w:r>
      <w:r w:rsidRPr="00C02395">
        <w:rPr>
          <w:rFonts w:eastAsia="Malgun Gothic"/>
          <w:b/>
          <w:bCs/>
          <w:lang w:val="fr-FR"/>
        </w:rPr>
        <w:t xml:space="preserve">Président a déclaré la </w:t>
      </w:r>
      <w:r w:rsidRPr="00BC3271">
        <w:rPr>
          <w:rFonts w:eastAsia="Malgun Gothic"/>
          <w:b/>
          <w:bCs/>
          <w:lang w:val="fr-FR"/>
        </w:rPr>
        <w:t>décision</w:t>
      </w:r>
      <w:r w:rsidR="00136A0D" w:rsidRPr="00702497">
        <w:rPr>
          <w:rFonts w:eastAsia="Malgun Gothic"/>
          <w:b/>
          <w:bCs/>
          <w:lang w:val="fr-FR"/>
        </w:rPr>
        <w:t> </w:t>
      </w:r>
      <w:hyperlink r:id="rId66" w:history="1">
        <w:r w:rsidRPr="00702497">
          <w:rPr>
            <w:rStyle w:val="Hyperlink"/>
            <w:b/>
            <w:bCs/>
            <w:lang w:val="fr-FR"/>
          </w:rPr>
          <w:t>17.COM 6.a.23</w:t>
        </w:r>
      </w:hyperlink>
      <w:r w:rsidRPr="00B455F3">
        <w:rPr>
          <w:rStyle w:val="Hyperlink"/>
          <w:bCs/>
          <w:u w:val="none"/>
          <w:lang w:val="fr-FR"/>
        </w:rPr>
        <w:t xml:space="preserve"> </w:t>
      </w:r>
      <w:r w:rsidRPr="00C02395">
        <w:rPr>
          <w:rStyle w:val="Hyperlink"/>
          <w:b/>
          <w:color w:val="auto"/>
          <w:u w:val="none"/>
          <w:lang w:val="fr-FR"/>
        </w:rPr>
        <w:t>adoptée</w:t>
      </w:r>
      <w:r>
        <w:rPr>
          <w:rStyle w:val="Hyperlink"/>
          <w:bCs/>
          <w:color w:val="auto"/>
          <w:u w:val="none"/>
          <w:lang w:val="fr-FR"/>
        </w:rPr>
        <w:t>.</w:t>
      </w:r>
    </w:p>
    <w:p w14:paraId="5EDE1C78" w14:textId="00F9A25D" w:rsidR="00BB4315" w:rsidRDefault="00C952C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En l</w:t>
      </w:r>
      <w:r w:rsidR="00923E72">
        <w:rPr>
          <w:rFonts w:eastAsia="Malgun Gothic"/>
          <w:lang w:val="fr-FR"/>
        </w:rPr>
        <w:t>’</w:t>
      </w:r>
      <w:r>
        <w:rPr>
          <w:rFonts w:eastAsia="Malgun Gothic"/>
          <w:lang w:val="fr-FR"/>
        </w:rPr>
        <w:t xml:space="preserve">absence temporaire du </w:t>
      </w:r>
      <w:r w:rsidRPr="00C952CF">
        <w:rPr>
          <w:rFonts w:eastAsia="Malgun Gothic"/>
          <w:lang w:val="fr-FR"/>
        </w:rPr>
        <w:t>Président</w:t>
      </w:r>
      <w:r>
        <w:rPr>
          <w:rFonts w:eastAsia="Malgun Gothic"/>
          <w:lang w:val="fr-FR"/>
        </w:rPr>
        <w:t>, la</w:t>
      </w:r>
      <w:r w:rsidR="008B7C81">
        <w:rPr>
          <w:rFonts w:eastAsia="Malgun Gothic"/>
          <w:lang w:val="fr-FR"/>
        </w:rPr>
        <w:t xml:space="preserve"> </w:t>
      </w:r>
      <w:r w:rsidR="008B7C81" w:rsidRPr="00702497">
        <w:rPr>
          <w:rFonts w:eastAsia="Malgun Gothic"/>
          <w:b/>
          <w:bCs/>
          <w:lang w:val="fr-FR"/>
        </w:rPr>
        <w:t>Vice-Présidente de la</w:t>
      </w:r>
      <w:r>
        <w:rPr>
          <w:rFonts w:eastAsia="Malgun Gothic"/>
          <w:lang w:val="fr-FR"/>
        </w:rPr>
        <w:t xml:space="preserve"> </w:t>
      </w:r>
      <w:r w:rsidRPr="00C952CF">
        <w:rPr>
          <w:rFonts w:eastAsia="Malgun Gothic"/>
          <w:b/>
          <w:bCs/>
          <w:lang w:val="fr-FR"/>
        </w:rPr>
        <w:t>République de Corée</w:t>
      </w:r>
      <w:r w:rsidR="008B7C81">
        <w:rPr>
          <w:rFonts w:eastAsia="Malgun Gothic"/>
          <w:b/>
          <w:bCs/>
          <w:lang w:val="fr-FR"/>
        </w:rPr>
        <w:t xml:space="preserve"> </w:t>
      </w:r>
      <w:r>
        <w:rPr>
          <w:rFonts w:eastAsia="Malgun Gothic"/>
          <w:lang w:val="fr-FR"/>
        </w:rPr>
        <w:t>est passée à la décision chapeau (introductive) de ce point</w:t>
      </w:r>
      <w:r w:rsidR="00A60C6A">
        <w:rPr>
          <w:rFonts w:eastAsia="Malgun Gothic"/>
          <w:lang w:val="fr-FR"/>
        </w:rPr>
        <w:t>,</w:t>
      </w:r>
      <w:r>
        <w:rPr>
          <w:rFonts w:eastAsia="Malgun Gothic"/>
          <w:lang w:val="fr-FR"/>
        </w:rPr>
        <w:t xml:space="preserve"> </w:t>
      </w:r>
      <w:r w:rsidRPr="00C952CF">
        <w:rPr>
          <w:rFonts w:eastAsia="Malgun Gothic"/>
          <w:lang w:val="fr-FR"/>
        </w:rPr>
        <w:t>paragraphe</w:t>
      </w:r>
      <w:r>
        <w:rPr>
          <w:rFonts w:eastAsia="Malgun Gothic"/>
          <w:lang w:val="fr-FR"/>
        </w:rPr>
        <w:t xml:space="preserve"> par </w:t>
      </w:r>
      <w:r w:rsidRPr="00C952CF">
        <w:rPr>
          <w:rFonts w:eastAsia="Malgun Gothic"/>
          <w:lang w:val="fr-FR"/>
        </w:rPr>
        <w:t>paragraphe</w:t>
      </w:r>
      <w:r>
        <w:rPr>
          <w:rFonts w:eastAsia="Malgun Gothic"/>
          <w:lang w:val="fr-FR"/>
        </w:rPr>
        <w:t xml:space="preserve">. </w:t>
      </w:r>
      <w:r w:rsidRPr="00C952CF">
        <w:rPr>
          <w:rFonts w:eastAsia="Malgun Gothic"/>
          <w:lang w:val="fr-FR"/>
        </w:rPr>
        <w:t>En l</w:t>
      </w:r>
      <w:r w:rsidR="00923E72">
        <w:rPr>
          <w:rFonts w:eastAsia="Malgun Gothic"/>
          <w:lang w:val="fr-FR"/>
        </w:rPr>
        <w:t>’</w:t>
      </w:r>
      <w:r w:rsidRPr="00C952CF">
        <w:rPr>
          <w:rFonts w:eastAsia="Malgun Gothic"/>
          <w:lang w:val="fr-FR"/>
        </w:rPr>
        <w:t>absence</w:t>
      </w:r>
      <w:r>
        <w:rPr>
          <w:rFonts w:eastAsia="Malgun Gothic"/>
          <w:lang w:val="fr-FR"/>
        </w:rPr>
        <w:t xml:space="preserve"> d</w:t>
      </w:r>
      <w:r w:rsidR="00923E72">
        <w:rPr>
          <w:rFonts w:eastAsia="Malgun Gothic"/>
          <w:lang w:val="fr-FR"/>
        </w:rPr>
        <w:t>’</w:t>
      </w:r>
      <w:r w:rsidRPr="00C952CF">
        <w:rPr>
          <w:rFonts w:eastAsia="Malgun Gothic"/>
          <w:lang w:val="fr-FR"/>
        </w:rPr>
        <w:t>amendemen</w:t>
      </w:r>
      <w:r>
        <w:rPr>
          <w:rFonts w:eastAsia="Malgun Gothic"/>
          <w:lang w:val="fr-FR"/>
        </w:rPr>
        <w:t xml:space="preserve">ts ou de </w:t>
      </w:r>
      <w:r w:rsidRPr="00C952CF">
        <w:rPr>
          <w:rFonts w:eastAsia="Malgun Gothic"/>
          <w:lang w:val="fr-FR"/>
        </w:rPr>
        <w:t>commentaires</w:t>
      </w:r>
      <w:r>
        <w:rPr>
          <w:rFonts w:eastAsia="Malgun Gothic"/>
          <w:lang w:val="fr-FR"/>
        </w:rPr>
        <w:t xml:space="preserve">, les </w:t>
      </w:r>
      <w:r w:rsidRPr="00C952CF">
        <w:rPr>
          <w:rFonts w:eastAsia="Malgun Gothic"/>
          <w:lang w:val="fr-FR"/>
        </w:rPr>
        <w:t>paragraph</w:t>
      </w:r>
      <w:r>
        <w:rPr>
          <w:rFonts w:eastAsia="Malgun Gothic"/>
          <w:lang w:val="fr-FR"/>
        </w:rPr>
        <w:t>es</w:t>
      </w:r>
      <w:r w:rsidR="00136A0D">
        <w:rPr>
          <w:rFonts w:eastAsia="Malgun Gothic"/>
          <w:lang w:val="fr-FR"/>
        </w:rPr>
        <w:t> </w:t>
      </w:r>
      <w:r>
        <w:rPr>
          <w:rFonts w:eastAsia="Malgun Gothic"/>
          <w:lang w:val="fr-FR"/>
        </w:rPr>
        <w:t>1 à</w:t>
      </w:r>
      <w:r w:rsidR="008F5CA2">
        <w:rPr>
          <w:rFonts w:eastAsia="Malgun Gothic"/>
          <w:lang w:val="fr-FR"/>
        </w:rPr>
        <w:t> </w:t>
      </w:r>
      <w:r>
        <w:rPr>
          <w:rFonts w:eastAsia="Malgun Gothic"/>
          <w:lang w:val="fr-FR"/>
        </w:rPr>
        <w:t xml:space="preserve">8 ont été adoptés. Un </w:t>
      </w:r>
      <w:r w:rsidRPr="00C952CF">
        <w:rPr>
          <w:rFonts w:eastAsia="Malgun Gothic"/>
          <w:lang w:val="fr-FR"/>
        </w:rPr>
        <w:t>amendement</w:t>
      </w:r>
      <w:r>
        <w:rPr>
          <w:rFonts w:eastAsia="Malgun Gothic"/>
          <w:lang w:val="fr-FR"/>
        </w:rPr>
        <w:t xml:space="preserve"> avait été reçu pour le </w:t>
      </w:r>
      <w:r w:rsidRPr="00C952CF">
        <w:rPr>
          <w:rFonts w:eastAsia="Malgun Gothic"/>
          <w:lang w:val="fr-FR"/>
        </w:rPr>
        <w:t>paragraphe</w:t>
      </w:r>
      <w:r w:rsidR="00136A0D">
        <w:rPr>
          <w:rFonts w:eastAsia="Malgun Gothic"/>
          <w:lang w:val="fr-FR"/>
        </w:rPr>
        <w:t> </w:t>
      </w:r>
      <w:r>
        <w:rPr>
          <w:rFonts w:eastAsia="Malgun Gothic"/>
          <w:lang w:val="fr-FR"/>
        </w:rPr>
        <w:t>9.</w:t>
      </w:r>
    </w:p>
    <w:p w14:paraId="024C9136" w14:textId="0AD0BA77" w:rsidR="000C5DF5" w:rsidRPr="000C5DF5" w:rsidRDefault="000C5DF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La </w:t>
      </w:r>
      <w:r w:rsidRPr="000C5DF5">
        <w:rPr>
          <w:rFonts w:eastAsia="Malgun Gothic"/>
          <w:lang w:val="fr-FR"/>
        </w:rPr>
        <w:t>délégation</w:t>
      </w:r>
      <w:r>
        <w:rPr>
          <w:rFonts w:eastAsia="Malgun Gothic"/>
          <w:lang w:val="fr-FR"/>
        </w:rPr>
        <w:t xml:space="preserve"> de la </w:t>
      </w:r>
      <w:r w:rsidRPr="000C5DF5">
        <w:rPr>
          <w:rFonts w:eastAsia="Malgun Gothic"/>
          <w:b/>
          <w:bCs/>
          <w:lang w:val="fr-FR"/>
        </w:rPr>
        <w:t>Malaisie</w:t>
      </w:r>
      <w:r>
        <w:rPr>
          <w:rFonts w:eastAsia="Malgun Gothic"/>
          <w:lang w:val="fr-FR"/>
        </w:rPr>
        <w:t xml:space="preserve"> propos</w:t>
      </w:r>
      <w:r w:rsidR="00A60C6A">
        <w:rPr>
          <w:rFonts w:eastAsia="Malgun Gothic"/>
          <w:lang w:val="fr-FR"/>
        </w:rPr>
        <w:t>ait</w:t>
      </w:r>
      <w:r>
        <w:rPr>
          <w:rFonts w:eastAsia="Malgun Gothic"/>
          <w:lang w:val="fr-FR"/>
        </w:rPr>
        <w:t xml:space="preserve"> un </w:t>
      </w:r>
      <w:r w:rsidRPr="000C5DF5">
        <w:rPr>
          <w:rFonts w:eastAsia="Malgun Gothic"/>
          <w:lang w:val="fr-FR"/>
        </w:rPr>
        <w:t>amendement</w:t>
      </w:r>
      <w:r>
        <w:rPr>
          <w:rFonts w:eastAsia="Malgun Gothic"/>
          <w:lang w:val="fr-FR"/>
        </w:rPr>
        <w:t xml:space="preserve"> mineur à la mesure transitoire et a suggéré de remplacer la date initialement proposée, le</w:t>
      </w:r>
      <w:r w:rsidR="00A60C6A">
        <w:rPr>
          <w:rFonts w:eastAsia="Malgun Gothic"/>
          <w:lang w:val="fr-FR"/>
        </w:rPr>
        <w:t> </w:t>
      </w:r>
      <w:r>
        <w:rPr>
          <w:rFonts w:eastAsia="Malgun Gothic"/>
          <w:lang w:val="fr-FR"/>
        </w:rPr>
        <w:t>31 mars 2023, par le</w:t>
      </w:r>
      <w:r w:rsidR="00A60C6A">
        <w:rPr>
          <w:rFonts w:eastAsia="Malgun Gothic"/>
          <w:lang w:val="fr-FR"/>
        </w:rPr>
        <w:t> </w:t>
      </w:r>
      <w:r>
        <w:rPr>
          <w:rFonts w:eastAsia="Malgun Gothic"/>
          <w:lang w:val="fr-FR"/>
        </w:rPr>
        <w:t xml:space="preserve">30 juin 2023. Cela permettrait aux États parties concernés de disposer de plus de temps pour faire participer les </w:t>
      </w:r>
      <w:r w:rsidRPr="000C5DF5">
        <w:rPr>
          <w:rFonts w:eastAsia="Malgun Gothic"/>
          <w:bCs/>
          <w:color w:val="000000" w:themeColor="text1"/>
          <w:lang w:val="fr-FR"/>
        </w:rPr>
        <w:t>communautés</w:t>
      </w:r>
      <w:r>
        <w:rPr>
          <w:rFonts w:eastAsia="Malgun Gothic"/>
          <w:bCs/>
          <w:color w:val="000000" w:themeColor="text1"/>
          <w:lang w:val="fr-FR"/>
        </w:rPr>
        <w:t xml:space="preserve"> et mieux préparer les dossiers.</w:t>
      </w:r>
    </w:p>
    <w:p w14:paraId="4E44E4A9" w14:textId="20E501DA" w:rsidR="000C5DF5" w:rsidRDefault="000C5DF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La </w:t>
      </w:r>
      <w:r w:rsidRPr="000C5DF5">
        <w:rPr>
          <w:rFonts w:eastAsia="Malgun Gothic"/>
          <w:b/>
          <w:bCs/>
          <w:lang w:val="fr-FR"/>
        </w:rPr>
        <w:t>Vice-Présidente</w:t>
      </w:r>
      <w:r>
        <w:rPr>
          <w:rFonts w:eastAsia="Malgun Gothic"/>
          <w:lang w:val="fr-FR"/>
        </w:rPr>
        <w:t xml:space="preserve"> a noté le soutien de la </w:t>
      </w:r>
      <w:r w:rsidRPr="000C5DF5">
        <w:rPr>
          <w:rFonts w:eastAsia="Malgun Gothic"/>
          <w:lang w:val="fr-FR"/>
        </w:rPr>
        <w:t>Côte</w:t>
      </w:r>
      <w:r w:rsidR="00136A0D">
        <w:rPr>
          <w:rFonts w:eastAsia="Malgun Gothic"/>
          <w:lang w:val="fr-FR"/>
        </w:rPr>
        <w:t> </w:t>
      </w:r>
      <w:r w:rsidRPr="000C5DF5">
        <w:rPr>
          <w:rFonts w:eastAsia="Malgun Gothic"/>
          <w:lang w:val="fr-FR"/>
        </w:rPr>
        <w:t>d</w:t>
      </w:r>
      <w:r w:rsidR="00923E72">
        <w:rPr>
          <w:rFonts w:eastAsia="Malgun Gothic"/>
          <w:lang w:val="fr-FR"/>
        </w:rPr>
        <w:t>’</w:t>
      </w:r>
      <w:r w:rsidRPr="000C5DF5">
        <w:rPr>
          <w:rFonts w:eastAsia="Malgun Gothic"/>
          <w:lang w:val="fr-FR"/>
        </w:rPr>
        <w:t>Ivoire</w:t>
      </w:r>
      <w:r>
        <w:rPr>
          <w:rFonts w:eastAsia="Malgun Gothic"/>
          <w:lang w:val="fr-FR"/>
        </w:rPr>
        <w:t>, de l</w:t>
      </w:r>
      <w:r w:rsidR="00923E72">
        <w:rPr>
          <w:rFonts w:eastAsia="Malgun Gothic"/>
          <w:lang w:val="fr-FR"/>
        </w:rPr>
        <w:t>’</w:t>
      </w:r>
      <w:r>
        <w:rPr>
          <w:rFonts w:eastAsia="Malgun Gothic"/>
          <w:lang w:val="fr-FR"/>
        </w:rPr>
        <w:t>Éthiopie, de l</w:t>
      </w:r>
      <w:r w:rsidR="00923E72">
        <w:rPr>
          <w:rFonts w:eastAsia="Malgun Gothic"/>
          <w:lang w:val="fr-FR"/>
        </w:rPr>
        <w:t>’</w:t>
      </w:r>
      <w:r>
        <w:rPr>
          <w:rFonts w:eastAsia="Malgun Gothic"/>
          <w:lang w:val="fr-FR"/>
        </w:rPr>
        <w:t>Arabie</w:t>
      </w:r>
      <w:r w:rsidR="008D3070">
        <w:rPr>
          <w:rFonts w:eastAsia="Malgun Gothic"/>
          <w:lang w:val="fr-FR"/>
        </w:rPr>
        <w:t> </w:t>
      </w:r>
      <w:r>
        <w:rPr>
          <w:rFonts w:eastAsia="Malgun Gothic"/>
          <w:lang w:val="fr-FR"/>
        </w:rPr>
        <w:t>saoudite, de l</w:t>
      </w:r>
      <w:r w:rsidR="00923E72">
        <w:rPr>
          <w:rFonts w:eastAsia="Malgun Gothic"/>
          <w:lang w:val="fr-FR"/>
        </w:rPr>
        <w:t>’</w:t>
      </w:r>
      <w:r>
        <w:rPr>
          <w:rFonts w:eastAsia="Malgun Gothic"/>
          <w:lang w:val="fr-FR"/>
        </w:rPr>
        <w:t xml:space="preserve">Ouzbékistan et du Bangladesh à cette </w:t>
      </w:r>
      <w:r w:rsidRPr="000C5DF5">
        <w:rPr>
          <w:rFonts w:eastAsia="Malgun Gothic"/>
          <w:lang w:val="fr-FR"/>
        </w:rPr>
        <w:t>proposition</w:t>
      </w:r>
      <w:r>
        <w:rPr>
          <w:rFonts w:eastAsia="Malgun Gothic"/>
          <w:lang w:val="fr-FR"/>
        </w:rPr>
        <w:t xml:space="preserve"> d</w:t>
      </w:r>
      <w:r w:rsidR="00923E72">
        <w:rPr>
          <w:rFonts w:eastAsia="Malgun Gothic"/>
          <w:lang w:val="fr-FR"/>
        </w:rPr>
        <w:t>’</w:t>
      </w:r>
      <w:r w:rsidRPr="000C5DF5">
        <w:rPr>
          <w:rFonts w:eastAsia="Malgun Gothic"/>
          <w:lang w:val="fr-FR"/>
        </w:rPr>
        <w:t>amendement</w:t>
      </w:r>
      <w:r>
        <w:rPr>
          <w:rFonts w:eastAsia="Malgun Gothic"/>
          <w:lang w:val="fr-FR"/>
        </w:rPr>
        <w:t>.</w:t>
      </w:r>
    </w:p>
    <w:p w14:paraId="10DABA0A" w14:textId="1BDC3D4C" w:rsidR="000C5DF5" w:rsidRDefault="000C5DF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La </w:t>
      </w:r>
      <w:r w:rsidRPr="000C5DF5">
        <w:rPr>
          <w:rFonts w:eastAsia="Malgun Gothic"/>
          <w:lang w:val="fr-FR"/>
        </w:rPr>
        <w:t>délégation</w:t>
      </w:r>
      <w:r>
        <w:rPr>
          <w:rFonts w:eastAsia="Malgun Gothic"/>
          <w:lang w:val="fr-FR"/>
        </w:rPr>
        <w:t xml:space="preserve"> de la </w:t>
      </w:r>
      <w:r w:rsidRPr="000C5DF5">
        <w:rPr>
          <w:rFonts w:eastAsia="Malgun Gothic"/>
          <w:b/>
          <w:bCs/>
          <w:lang w:val="fr-FR"/>
        </w:rPr>
        <w:t>Tchéquie</w:t>
      </w:r>
      <w:r>
        <w:rPr>
          <w:rFonts w:eastAsia="Malgun Gothic"/>
          <w:lang w:val="fr-FR"/>
        </w:rPr>
        <w:t xml:space="preserve"> a demandé si le délai pouvait être rallongé de trois mois.</w:t>
      </w:r>
    </w:p>
    <w:p w14:paraId="6B284ADF" w14:textId="0C84D6E0" w:rsidR="000C5DF5" w:rsidRDefault="000C5DF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0C5DF5">
        <w:rPr>
          <w:rFonts w:eastAsia="Malgun Gothic"/>
          <w:lang w:val="fr-FR"/>
        </w:rPr>
        <w:t xml:space="preserve">Le </w:t>
      </w:r>
      <w:r w:rsidRPr="000C5DF5">
        <w:rPr>
          <w:rFonts w:eastAsia="Malgun Gothic"/>
          <w:b/>
          <w:bCs/>
          <w:lang w:val="fr-FR"/>
        </w:rPr>
        <w:t>Secrétaire</w:t>
      </w:r>
      <w:r w:rsidRPr="000C5DF5">
        <w:rPr>
          <w:rFonts w:eastAsia="Malgun Gothic"/>
          <w:lang w:val="fr-FR"/>
        </w:rPr>
        <w:t xml:space="preserve"> a fait remarquer que le délai de la mesure transitoire dépendrait du nombre de demandes reçues et que le Secrétariat serait probablement en mesure de répondre aux demandes dans le délai imparti, mais alerterait le Bureau si la situation devenait problématique en </w:t>
      </w:r>
      <w:r w:rsidR="000434D2">
        <w:rPr>
          <w:rFonts w:eastAsia="Malgun Gothic"/>
          <w:lang w:val="fr-FR"/>
        </w:rPr>
        <w:t>raison d</w:t>
      </w:r>
      <w:r w:rsidR="00923E72">
        <w:rPr>
          <w:rFonts w:eastAsia="Malgun Gothic"/>
          <w:lang w:val="fr-FR"/>
        </w:rPr>
        <w:t>’</w:t>
      </w:r>
      <w:r w:rsidR="000434D2">
        <w:rPr>
          <w:rFonts w:eastAsia="Malgun Gothic"/>
          <w:lang w:val="fr-FR"/>
        </w:rPr>
        <w:t>un</w:t>
      </w:r>
      <w:r w:rsidRPr="000C5DF5">
        <w:rPr>
          <w:rFonts w:eastAsia="Malgun Gothic"/>
          <w:lang w:val="fr-FR"/>
        </w:rPr>
        <w:t xml:space="preserve"> volume très élevé de demandes.</w:t>
      </w:r>
    </w:p>
    <w:p w14:paraId="61012962" w14:textId="5F33F836" w:rsidR="000C5DF5" w:rsidRDefault="000C5DF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Suite à cette explication, la </w:t>
      </w:r>
      <w:r w:rsidRPr="000C5DF5">
        <w:rPr>
          <w:rFonts w:eastAsia="Malgun Gothic"/>
          <w:b/>
          <w:bCs/>
          <w:lang w:val="fr-FR"/>
        </w:rPr>
        <w:t>Suisse</w:t>
      </w:r>
      <w:r>
        <w:rPr>
          <w:rFonts w:eastAsia="Malgun Gothic"/>
          <w:lang w:val="fr-FR"/>
        </w:rPr>
        <w:t xml:space="preserve"> </w:t>
      </w:r>
      <w:r w:rsidR="00A60C6A">
        <w:rPr>
          <w:rFonts w:eastAsia="Malgun Gothic"/>
          <w:lang w:val="fr-FR"/>
        </w:rPr>
        <w:t xml:space="preserve">a soutenu </w:t>
      </w:r>
      <w:r>
        <w:rPr>
          <w:rFonts w:eastAsia="Malgun Gothic"/>
          <w:lang w:val="fr-FR"/>
        </w:rPr>
        <w:t>l</w:t>
      </w:r>
      <w:r w:rsidR="00923E72">
        <w:rPr>
          <w:rFonts w:eastAsia="Malgun Gothic"/>
          <w:lang w:val="fr-FR"/>
        </w:rPr>
        <w:t>’</w:t>
      </w:r>
      <w:r w:rsidRPr="000C5DF5">
        <w:rPr>
          <w:rFonts w:eastAsia="Malgun Gothic"/>
          <w:lang w:val="fr-FR"/>
        </w:rPr>
        <w:t>amendement</w:t>
      </w:r>
      <w:r>
        <w:rPr>
          <w:rFonts w:eastAsia="Malgun Gothic"/>
          <w:lang w:val="fr-FR"/>
        </w:rPr>
        <w:t xml:space="preserve"> de la Malaisie.</w:t>
      </w:r>
    </w:p>
    <w:p w14:paraId="7E8448B3" w14:textId="540D941C" w:rsidR="000C5DF5" w:rsidRPr="00E21813" w:rsidRDefault="00E21813" w:rsidP="00702497">
      <w:pPr>
        <w:pStyle w:val="Orateurengris"/>
        <w:numPr>
          <w:ilvl w:val="0"/>
          <w:numId w:val="21"/>
        </w:numPr>
        <w:tabs>
          <w:tab w:val="clear" w:pos="567"/>
          <w:tab w:val="clear" w:pos="1418"/>
          <w:tab w:val="clear" w:pos="2126"/>
          <w:tab w:val="clear" w:pos="2835"/>
          <w:tab w:val="num" w:pos="709"/>
        </w:tabs>
        <w:spacing w:before="120" w:after="0"/>
        <w:ind w:left="709" w:hanging="709"/>
        <w:rPr>
          <w:rStyle w:val="Hyperlink"/>
          <w:rFonts w:eastAsia="Malgun Gothic"/>
          <w:color w:val="auto"/>
          <w:u w:val="none"/>
          <w:lang w:val="fr-FR"/>
        </w:rPr>
      </w:pPr>
      <w:r>
        <w:rPr>
          <w:rFonts w:eastAsia="Malgun Gothic"/>
          <w:lang w:val="fr-FR"/>
        </w:rPr>
        <w:lastRenderedPageBreak/>
        <w:t xml:space="preserve">La </w:t>
      </w:r>
      <w:r w:rsidRPr="00E21813">
        <w:rPr>
          <w:rFonts w:eastAsia="Malgun Gothic"/>
          <w:b/>
          <w:bCs/>
          <w:lang w:val="fr-FR"/>
        </w:rPr>
        <w:t>Vice-Présidente</w:t>
      </w:r>
      <w:r>
        <w:rPr>
          <w:rFonts w:eastAsia="Malgun Gothic"/>
          <w:lang w:val="fr-FR"/>
        </w:rPr>
        <w:t xml:space="preserve"> a c</w:t>
      </w:r>
      <w:r w:rsidR="000C5DF5">
        <w:rPr>
          <w:rFonts w:eastAsia="Malgun Gothic"/>
          <w:lang w:val="fr-FR"/>
        </w:rPr>
        <w:t>onstat</w:t>
      </w:r>
      <w:r>
        <w:rPr>
          <w:rFonts w:eastAsia="Malgun Gothic"/>
          <w:lang w:val="fr-FR"/>
        </w:rPr>
        <w:t xml:space="preserve">é </w:t>
      </w:r>
      <w:r w:rsidR="000C5DF5">
        <w:rPr>
          <w:rFonts w:eastAsia="Malgun Gothic"/>
          <w:lang w:val="fr-FR"/>
        </w:rPr>
        <w:t>qu</w:t>
      </w:r>
      <w:r w:rsidR="00923E72">
        <w:rPr>
          <w:rFonts w:eastAsia="Malgun Gothic"/>
          <w:lang w:val="fr-FR"/>
        </w:rPr>
        <w:t>’</w:t>
      </w:r>
      <w:r w:rsidR="000C5DF5">
        <w:rPr>
          <w:rFonts w:eastAsia="Malgun Gothic"/>
          <w:lang w:val="fr-FR"/>
        </w:rPr>
        <w:t>il n</w:t>
      </w:r>
      <w:r w:rsidR="00923E72">
        <w:rPr>
          <w:rFonts w:eastAsia="Malgun Gothic"/>
          <w:lang w:val="fr-FR"/>
        </w:rPr>
        <w:t>’</w:t>
      </w:r>
      <w:r w:rsidR="000C5DF5">
        <w:rPr>
          <w:rFonts w:eastAsia="Malgun Gothic"/>
          <w:lang w:val="fr-FR"/>
        </w:rPr>
        <w:t>y avait pas d</w:t>
      </w:r>
      <w:r w:rsidR="00923E72">
        <w:rPr>
          <w:rFonts w:eastAsia="Malgun Gothic"/>
          <w:lang w:val="fr-FR"/>
        </w:rPr>
        <w:t>’</w:t>
      </w:r>
      <w:r w:rsidR="000C5DF5">
        <w:rPr>
          <w:rFonts w:eastAsia="Malgun Gothic"/>
          <w:lang w:val="fr-FR"/>
        </w:rPr>
        <w:t xml:space="preserve">autres </w:t>
      </w:r>
      <w:r w:rsidR="000C5DF5" w:rsidRPr="000C5DF5">
        <w:rPr>
          <w:rFonts w:eastAsia="Malgun Gothic"/>
          <w:lang w:val="fr-FR"/>
        </w:rPr>
        <w:t>commentaires</w:t>
      </w:r>
      <w:r w:rsidR="000C5DF5">
        <w:rPr>
          <w:rFonts w:eastAsia="Malgun Gothic"/>
          <w:lang w:val="fr-FR"/>
        </w:rPr>
        <w:t xml:space="preserve"> ou objections</w:t>
      </w:r>
      <w:r>
        <w:rPr>
          <w:rFonts w:eastAsia="Malgun Gothic"/>
          <w:lang w:val="fr-FR"/>
        </w:rPr>
        <w:t xml:space="preserve">, et le </w:t>
      </w:r>
      <w:r w:rsidRPr="00E21813">
        <w:rPr>
          <w:rFonts w:eastAsia="Malgun Gothic"/>
          <w:lang w:val="fr-FR"/>
        </w:rPr>
        <w:t>paragraphe</w:t>
      </w:r>
      <w:r w:rsidR="00136A0D">
        <w:rPr>
          <w:rFonts w:eastAsia="Malgun Gothic"/>
          <w:lang w:val="fr-FR"/>
        </w:rPr>
        <w:t> </w:t>
      </w:r>
      <w:r>
        <w:rPr>
          <w:rFonts w:eastAsia="Malgun Gothic"/>
          <w:lang w:val="fr-FR"/>
        </w:rPr>
        <w:t xml:space="preserve">9 a été dûment adopté. </w:t>
      </w:r>
      <w:r w:rsidRPr="00E21813">
        <w:rPr>
          <w:rFonts w:eastAsia="Malgun Gothic"/>
          <w:lang w:val="fr-FR"/>
        </w:rPr>
        <w:t>En l</w:t>
      </w:r>
      <w:r w:rsidR="00923E72">
        <w:rPr>
          <w:rFonts w:eastAsia="Malgun Gothic"/>
          <w:lang w:val="fr-FR"/>
        </w:rPr>
        <w:t>’</w:t>
      </w:r>
      <w:r w:rsidRPr="00E21813">
        <w:rPr>
          <w:rFonts w:eastAsia="Malgun Gothic"/>
          <w:lang w:val="fr-FR"/>
        </w:rPr>
        <w:t>absence</w:t>
      </w:r>
      <w:r>
        <w:rPr>
          <w:rFonts w:eastAsia="Malgun Gothic"/>
          <w:lang w:val="fr-FR"/>
        </w:rPr>
        <w:t xml:space="preserve"> d</w:t>
      </w:r>
      <w:r w:rsidR="00923E72">
        <w:rPr>
          <w:rFonts w:eastAsia="Malgun Gothic"/>
          <w:lang w:val="fr-FR"/>
        </w:rPr>
        <w:t>’</w:t>
      </w:r>
      <w:r w:rsidRPr="00E21813">
        <w:rPr>
          <w:rFonts w:eastAsia="Malgun Gothic"/>
          <w:lang w:val="fr-FR"/>
        </w:rPr>
        <w:t>amendement</w:t>
      </w:r>
      <w:r>
        <w:rPr>
          <w:rFonts w:eastAsia="Malgun Gothic"/>
          <w:lang w:val="fr-FR"/>
        </w:rPr>
        <w:t xml:space="preserve">s ou de </w:t>
      </w:r>
      <w:r w:rsidRPr="00E21813">
        <w:rPr>
          <w:rFonts w:eastAsia="Malgun Gothic"/>
          <w:lang w:val="fr-FR"/>
        </w:rPr>
        <w:t>commentaires</w:t>
      </w:r>
      <w:r>
        <w:rPr>
          <w:rFonts w:eastAsia="Malgun Gothic"/>
          <w:lang w:val="fr-FR"/>
        </w:rPr>
        <w:t xml:space="preserve"> aux </w:t>
      </w:r>
      <w:r w:rsidRPr="00E21813">
        <w:rPr>
          <w:rFonts w:eastAsia="Malgun Gothic"/>
          <w:lang w:val="fr-FR"/>
        </w:rPr>
        <w:t>paragraph</w:t>
      </w:r>
      <w:r>
        <w:rPr>
          <w:rFonts w:eastAsia="Malgun Gothic"/>
          <w:lang w:val="fr-FR"/>
        </w:rPr>
        <w:t>es</w:t>
      </w:r>
      <w:r w:rsidR="00136A0D">
        <w:rPr>
          <w:rFonts w:eastAsia="Malgun Gothic"/>
          <w:lang w:val="fr-FR"/>
        </w:rPr>
        <w:t> </w:t>
      </w:r>
      <w:r>
        <w:rPr>
          <w:rFonts w:eastAsia="Malgun Gothic"/>
          <w:lang w:val="fr-FR"/>
        </w:rPr>
        <w:t>10 et</w:t>
      </w:r>
      <w:r w:rsidR="008F5CA2">
        <w:rPr>
          <w:rFonts w:eastAsia="Malgun Gothic"/>
          <w:lang w:val="fr-FR"/>
        </w:rPr>
        <w:t> </w:t>
      </w:r>
      <w:r>
        <w:rPr>
          <w:rFonts w:eastAsia="Malgun Gothic"/>
          <w:lang w:val="fr-FR"/>
        </w:rPr>
        <w:t xml:space="preserve">11, ceux-ci ont été dûment adoptés. La </w:t>
      </w:r>
      <w:r w:rsidRPr="00E21813">
        <w:rPr>
          <w:rFonts w:eastAsia="Malgun Gothic"/>
          <w:b/>
          <w:bCs/>
          <w:lang w:val="fr-FR"/>
        </w:rPr>
        <w:t xml:space="preserve">Vice-Présidente a déclaré la </w:t>
      </w:r>
      <w:r w:rsidRPr="00BC3271">
        <w:rPr>
          <w:rFonts w:eastAsia="Malgun Gothic"/>
          <w:b/>
          <w:bCs/>
          <w:lang w:val="fr-FR"/>
        </w:rPr>
        <w:t>décision</w:t>
      </w:r>
      <w:r w:rsidR="00136A0D" w:rsidRPr="00BC3271">
        <w:rPr>
          <w:rFonts w:eastAsia="Malgun Gothic"/>
          <w:b/>
          <w:bCs/>
          <w:lang w:val="fr-FR"/>
        </w:rPr>
        <w:t> </w:t>
      </w:r>
      <w:hyperlink r:id="rId67" w:history="1">
        <w:r w:rsidRPr="00702497">
          <w:rPr>
            <w:rStyle w:val="Hyperlink"/>
            <w:b/>
            <w:bCs/>
            <w:lang w:val="fr-FR"/>
          </w:rPr>
          <w:t>17.COM</w:t>
        </w:r>
        <w:r w:rsidR="00136A0D" w:rsidRPr="00702497">
          <w:rPr>
            <w:rStyle w:val="Hyperlink"/>
            <w:b/>
            <w:bCs/>
            <w:lang w:val="fr-FR"/>
          </w:rPr>
          <w:t> </w:t>
        </w:r>
        <w:r w:rsidRPr="00702497">
          <w:rPr>
            <w:rStyle w:val="Hyperlink"/>
            <w:b/>
            <w:bCs/>
            <w:lang w:val="fr-FR"/>
          </w:rPr>
          <w:t>6.a</w:t>
        </w:r>
      </w:hyperlink>
      <w:r w:rsidRPr="00BC3271">
        <w:rPr>
          <w:rStyle w:val="Hyperlink"/>
          <w:b/>
          <w:bCs/>
          <w:color w:val="auto"/>
          <w:u w:val="none"/>
          <w:lang w:val="fr-FR"/>
        </w:rPr>
        <w:t xml:space="preserve"> adoptée</w:t>
      </w:r>
      <w:r w:rsidRPr="00E21813">
        <w:rPr>
          <w:rStyle w:val="Hyperlink"/>
          <w:color w:val="auto"/>
          <w:u w:val="none"/>
          <w:lang w:val="fr-FR"/>
        </w:rPr>
        <w:t>.</w:t>
      </w:r>
    </w:p>
    <w:p w14:paraId="2450BF7E" w14:textId="1CDF32BF" w:rsidR="00E21813" w:rsidRDefault="00E21813"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La </w:t>
      </w:r>
      <w:r w:rsidRPr="00E21813">
        <w:rPr>
          <w:rFonts w:eastAsia="Malgun Gothic"/>
          <w:b/>
          <w:bCs/>
          <w:lang w:val="fr-FR"/>
        </w:rPr>
        <w:t>Vice-Présidente</w:t>
      </w:r>
      <w:r>
        <w:rPr>
          <w:rFonts w:eastAsia="Malgun Gothic"/>
          <w:b/>
          <w:bCs/>
          <w:lang w:val="fr-FR"/>
        </w:rPr>
        <w:t xml:space="preserve"> </w:t>
      </w:r>
      <w:r>
        <w:rPr>
          <w:rFonts w:eastAsia="Malgun Gothic"/>
          <w:lang w:val="fr-FR"/>
        </w:rPr>
        <w:t>a donné la parole aux États parties qui avaient soumis un rapport</w:t>
      </w:r>
      <w:r w:rsidR="000434D2">
        <w:rPr>
          <w:rFonts w:eastAsia="Malgun Gothic"/>
          <w:lang w:val="fr-FR"/>
        </w:rPr>
        <w:t>.</w:t>
      </w:r>
    </w:p>
    <w:p w14:paraId="4BE9C5DD" w14:textId="634A905E" w:rsidR="00E21813" w:rsidRDefault="006C0D9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C0D94">
        <w:rPr>
          <w:rFonts w:eastAsia="Malgun Gothic"/>
          <w:lang w:val="fr-FR"/>
        </w:rPr>
        <w:t>La délégation de l</w:t>
      </w:r>
      <w:r w:rsidR="00923E72">
        <w:rPr>
          <w:rFonts w:eastAsia="Malgun Gothic"/>
          <w:lang w:val="fr-FR"/>
        </w:rPr>
        <w:t>’</w:t>
      </w:r>
      <w:r w:rsidRPr="006C0D94">
        <w:rPr>
          <w:rFonts w:eastAsia="Malgun Gothic"/>
          <w:b/>
          <w:bCs/>
          <w:lang w:val="fr-FR"/>
        </w:rPr>
        <w:t>Azerbaïdjan</w:t>
      </w:r>
      <w:r w:rsidRPr="006C0D94">
        <w:rPr>
          <w:rFonts w:eastAsia="Malgun Gothic"/>
          <w:lang w:val="fr-FR"/>
        </w:rPr>
        <w:t xml:space="preserve"> a remercié le Gouvernement</w:t>
      </w:r>
      <w:r w:rsidR="000434D2">
        <w:rPr>
          <w:rFonts w:eastAsia="Malgun Gothic"/>
          <w:lang w:val="fr-FR"/>
        </w:rPr>
        <w:t xml:space="preserve"> </w:t>
      </w:r>
      <w:r w:rsidRPr="006C0D94">
        <w:rPr>
          <w:rFonts w:eastAsia="Malgun Gothic"/>
          <w:lang w:val="fr-FR"/>
        </w:rPr>
        <w:t>du Maroc dont elle appréciait l</w:t>
      </w:r>
      <w:r w:rsidR="00923E72">
        <w:rPr>
          <w:rFonts w:eastAsia="Malgun Gothic"/>
          <w:lang w:val="fr-FR"/>
        </w:rPr>
        <w:t>’</w:t>
      </w:r>
      <w:r w:rsidRPr="006C0D94">
        <w:rPr>
          <w:rFonts w:eastAsia="Malgun Gothic"/>
          <w:lang w:val="fr-FR"/>
        </w:rPr>
        <w:t>hospitalité. L</w:t>
      </w:r>
      <w:r w:rsidR="00923E72">
        <w:rPr>
          <w:rFonts w:eastAsia="Malgun Gothic"/>
          <w:lang w:val="fr-FR"/>
        </w:rPr>
        <w:t>’</w:t>
      </w:r>
      <w:r w:rsidRPr="006C0D94">
        <w:rPr>
          <w:rFonts w:eastAsia="Malgun Gothic"/>
          <w:lang w:val="fr-FR"/>
        </w:rPr>
        <w:t>Azerbaïdjan a remercié le Comité pour sa décision concernant le statut de l</w:t>
      </w:r>
      <w:r w:rsidR="00923E72">
        <w:rPr>
          <w:rFonts w:eastAsia="Malgun Gothic"/>
          <w:lang w:val="fr-FR"/>
        </w:rPr>
        <w:t>’</w:t>
      </w:r>
      <w:r w:rsidRPr="006C0D94">
        <w:rPr>
          <w:rFonts w:eastAsia="Malgun Gothic"/>
          <w:lang w:val="fr-FR"/>
        </w:rPr>
        <w:t xml:space="preserve">élément </w:t>
      </w:r>
      <w:r w:rsidR="003D2257">
        <w:rPr>
          <w:rFonts w:eastAsia="Malgun Gothic"/>
          <w:lang w:val="fr-FR"/>
        </w:rPr>
        <w:t>« </w:t>
      </w:r>
      <w:r w:rsidR="00786648">
        <w:rPr>
          <w:rFonts w:eastAsia="Malgun Gothic"/>
          <w:lang w:val="fr-FR"/>
        </w:rPr>
        <w:t>L</w:t>
      </w:r>
      <w:r>
        <w:rPr>
          <w:rFonts w:eastAsia="Malgun Gothic"/>
          <w:lang w:val="fr-FR"/>
        </w:rPr>
        <w:t xml:space="preserve">e </w:t>
      </w:r>
      <w:proofErr w:type="spellStart"/>
      <w:r>
        <w:rPr>
          <w:rFonts w:eastAsia="Malgun Gothic"/>
          <w:lang w:val="fr-FR"/>
        </w:rPr>
        <w:t>tchovgan</w:t>
      </w:r>
      <w:proofErr w:type="spellEnd"/>
      <w:r w:rsidRPr="006C0D94">
        <w:rPr>
          <w:rFonts w:eastAsia="Malgun Gothic"/>
          <w:lang w:val="fr-FR"/>
        </w:rPr>
        <w:t xml:space="preserve">, jeu </w:t>
      </w:r>
      <w:r>
        <w:rPr>
          <w:rFonts w:eastAsia="Malgun Gothic"/>
          <w:lang w:val="fr-FR"/>
        </w:rPr>
        <w:t>équestre t</w:t>
      </w:r>
      <w:r w:rsidRPr="006C0D94">
        <w:rPr>
          <w:rFonts w:eastAsia="Malgun Gothic"/>
          <w:lang w:val="fr-FR"/>
        </w:rPr>
        <w:t>raditionnel</w:t>
      </w:r>
      <w:r>
        <w:rPr>
          <w:rFonts w:eastAsia="Malgun Gothic"/>
          <w:lang w:val="fr-FR"/>
        </w:rPr>
        <w:t xml:space="preserve"> </w:t>
      </w:r>
      <w:r w:rsidR="004868C9">
        <w:rPr>
          <w:rFonts w:eastAsia="Malgun Gothic"/>
          <w:lang w:val="fr-FR"/>
        </w:rPr>
        <w:t xml:space="preserve">pratiqué à dos de chevaux </w:t>
      </w:r>
      <w:proofErr w:type="spellStart"/>
      <w:r w:rsidR="004868C9">
        <w:rPr>
          <w:rFonts w:eastAsia="Malgun Gothic"/>
          <w:lang w:val="fr-FR"/>
        </w:rPr>
        <w:t>karabakhs</w:t>
      </w:r>
      <w:proofErr w:type="spellEnd"/>
      <w:r w:rsidR="004868C9">
        <w:rPr>
          <w:rFonts w:eastAsia="Malgun Gothic"/>
          <w:lang w:val="fr-FR"/>
        </w:rPr>
        <w:t xml:space="preserve"> en </w:t>
      </w:r>
      <w:r w:rsidR="004868C9" w:rsidRPr="004868C9">
        <w:rPr>
          <w:rFonts w:eastAsia="Malgun Gothic"/>
          <w:lang w:val="fr-FR"/>
        </w:rPr>
        <w:t>République</w:t>
      </w:r>
      <w:r w:rsidR="004868C9">
        <w:rPr>
          <w:rFonts w:eastAsia="Malgun Gothic"/>
          <w:lang w:val="fr-FR"/>
        </w:rPr>
        <w:t xml:space="preserve"> d</w:t>
      </w:r>
      <w:r w:rsidR="00923E72">
        <w:rPr>
          <w:rFonts w:eastAsia="Malgun Gothic"/>
          <w:lang w:val="fr-FR"/>
        </w:rPr>
        <w:t>’</w:t>
      </w:r>
      <w:r w:rsidR="004868C9" w:rsidRPr="004868C9">
        <w:rPr>
          <w:rFonts w:eastAsia="Malgun Gothic"/>
          <w:lang w:val="fr-FR"/>
        </w:rPr>
        <w:t>Azerbaïdjan</w:t>
      </w:r>
      <w:r w:rsidR="003D2257">
        <w:rPr>
          <w:rFonts w:eastAsia="Malgun Gothic"/>
          <w:lang w:val="fr-FR"/>
        </w:rPr>
        <w:t> »</w:t>
      </w:r>
      <w:r w:rsidR="004868C9">
        <w:rPr>
          <w:rFonts w:eastAsia="Malgun Gothic"/>
          <w:lang w:val="fr-FR"/>
        </w:rPr>
        <w:t>,</w:t>
      </w:r>
      <w:r w:rsidRPr="006C0D94">
        <w:rPr>
          <w:rFonts w:eastAsia="Malgun Gothic"/>
          <w:lang w:val="fr-FR"/>
        </w:rPr>
        <w:t xml:space="preserve"> inscrit sur la Liste de sauvegarde urgente en</w:t>
      </w:r>
      <w:r w:rsidR="001A7AF7">
        <w:rPr>
          <w:rFonts w:eastAsia="Malgun Gothic"/>
          <w:lang w:val="fr-FR"/>
        </w:rPr>
        <w:t> </w:t>
      </w:r>
      <w:r w:rsidRPr="006C0D94">
        <w:rPr>
          <w:rFonts w:eastAsia="Malgun Gothic"/>
          <w:lang w:val="fr-FR"/>
        </w:rPr>
        <w:t>2013. Elle s</w:t>
      </w:r>
      <w:r w:rsidR="00923E72">
        <w:rPr>
          <w:rFonts w:eastAsia="Malgun Gothic"/>
          <w:lang w:val="fr-FR"/>
        </w:rPr>
        <w:t>’</w:t>
      </w:r>
      <w:r w:rsidRPr="006C0D94">
        <w:rPr>
          <w:rFonts w:eastAsia="Malgun Gothic"/>
          <w:lang w:val="fr-FR"/>
        </w:rPr>
        <w:t xml:space="preserve">est réjouie de voir que les efforts des communautés pour sauvegarder ce jeu traditionnel avaient été reconnus par le Comité </w:t>
      </w:r>
      <w:r w:rsidR="004868C9">
        <w:rPr>
          <w:rFonts w:eastAsia="Malgun Gothic"/>
          <w:lang w:val="fr-FR"/>
        </w:rPr>
        <w:t>dans</w:t>
      </w:r>
      <w:r w:rsidRPr="006C0D94">
        <w:rPr>
          <w:rFonts w:eastAsia="Malgun Gothic"/>
          <w:lang w:val="fr-FR"/>
        </w:rPr>
        <w:t xml:space="preserve"> </w:t>
      </w:r>
      <w:r w:rsidR="000434D2">
        <w:rPr>
          <w:rFonts w:eastAsia="Malgun Gothic"/>
          <w:lang w:val="fr-FR"/>
        </w:rPr>
        <w:t>son</w:t>
      </w:r>
      <w:r w:rsidRPr="006C0D94">
        <w:rPr>
          <w:rFonts w:eastAsia="Malgun Gothic"/>
          <w:lang w:val="fr-FR"/>
        </w:rPr>
        <w:t xml:space="preserve"> deuxième rapport sur l</w:t>
      </w:r>
      <w:r w:rsidR="00923E72">
        <w:rPr>
          <w:rFonts w:eastAsia="Malgun Gothic"/>
          <w:lang w:val="fr-FR"/>
        </w:rPr>
        <w:t>’</w:t>
      </w:r>
      <w:r w:rsidRPr="006C0D94">
        <w:rPr>
          <w:rFonts w:eastAsia="Malgun Gothic"/>
          <w:lang w:val="fr-FR"/>
        </w:rPr>
        <w:t>état actuel de cet élément. L</w:t>
      </w:r>
      <w:r w:rsidR="00923E72">
        <w:rPr>
          <w:rFonts w:eastAsia="Malgun Gothic"/>
          <w:lang w:val="fr-FR"/>
        </w:rPr>
        <w:t>’</w:t>
      </w:r>
      <w:r w:rsidRPr="006C0D94">
        <w:rPr>
          <w:rFonts w:eastAsia="Malgun Gothic"/>
          <w:lang w:val="fr-FR"/>
        </w:rPr>
        <w:t>inscription d</w:t>
      </w:r>
      <w:r w:rsidR="004868C9">
        <w:rPr>
          <w:rFonts w:eastAsia="Malgun Gothic"/>
          <w:lang w:val="fr-FR"/>
        </w:rPr>
        <w:t xml:space="preserve">u </w:t>
      </w:r>
      <w:proofErr w:type="spellStart"/>
      <w:r w:rsidR="004868C9">
        <w:rPr>
          <w:rFonts w:eastAsia="Malgun Gothic"/>
          <w:lang w:val="fr-FR"/>
        </w:rPr>
        <w:t>tchovgan</w:t>
      </w:r>
      <w:proofErr w:type="spellEnd"/>
      <w:r w:rsidRPr="006C0D94">
        <w:rPr>
          <w:rFonts w:eastAsia="Malgun Gothic"/>
          <w:lang w:val="fr-FR"/>
        </w:rPr>
        <w:t xml:space="preserve"> en</w:t>
      </w:r>
      <w:r w:rsidR="001A7AF7">
        <w:rPr>
          <w:rFonts w:eastAsia="Malgun Gothic"/>
          <w:lang w:val="fr-FR"/>
        </w:rPr>
        <w:t> </w:t>
      </w:r>
      <w:r w:rsidRPr="006C0D94">
        <w:rPr>
          <w:rFonts w:eastAsia="Malgun Gothic"/>
          <w:lang w:val="fr-FR"/>
        </w:rPr>
        <w:t>2013 avait eu un impact positif sur la pratique et la transmission du jeu. Elle avait renforcé les fonctions de l</w:t>
      </w:r>
      <w:r w:rsidR="00923E72">
        <w:rPr>
          <w:rFonts w:eastAsia="Malgun Gothic"/>
          <w:lang w:val="fr-FR"/>
        </w:rPr>
        <w:t>’</w:t>
      </w:r>
      <w:r w:rsidRPr="006C0D94">
        <w:rPr>
          <w:rFonts w:eastAsia="Malgun Gothic"/>
          <w:lang w:val="fr-FR"/>
        </w:rPr>
        <w:t>élément pour les praticiens du jeu et accru la visibilité de l</w:t>
      </w:r>
      <w:r w:rsidR="00923E72">
        <w:rPr>
          <w:rFonts w:eastAsia="Malgun Gothic"/>
          <w:lang w:val="fr-FR"/>
        </w:rPr>
        <w:t>’</w:t>
      </w:r>
      <w:r w:rsidRPr="006C0D94">
        <w:rPr>
          <w:rFonts w:eastAsia="Malgun Gothic"/>
          <w:lang w:val="fr-FR"/>
        </w:rPr>
        <w:t>élément au niveau national. L</w:t>
      </w:r>
      <w:r w:rsidR="00923E72">
        <w:rPr>
          <w:rFonts w:eastAsia="Malgun Gothic"/>
          <w:lang w:val="fr-FR"/>
        </w:rPr>
        <w:t>’</w:t>
      </w:r>
      <w:r w:rsidRPr="006C0D94">
        <w:rPr>
          <w:rFonts w:eastAsia="Malgun Gothic"/>
          <w:lang w:val="fr-FR"/>
        </w:rPr>
        <w:t xml:space="preserve">élément continuait </w:t>
      </w:r>
      <w:r w:rsidR="00F561EB">
        <w:rPr>
          <w:rFonts w:eastAsia="Malgun Gothic"/>
          <w:lang w:val="fr-FR"/>
        </w:rPr>
        <w:t>à</w:t>
      </w:r>
      <w:r w:rsidRPr="006C0D94">
        <w:rPr>
          <w:rFonts w:eastAsia="Malgun Gothic"/>
          <w:lang w:val="fr-FR"/>
        </w:rPr>
        <w:t xml:space="preserve"> renforcer le sentiment d</w:t>
      </w:r>
      <w:r w:rsidR="00923E72">
        <w:rPr>
          <w:rFonts w:eastAsia="Malgun Gothic"/>
          <w:lang w:val="fr-FR"/>
        </w:rPr>
        <w:t>’</w:t>
      </w:r>
      <w:r w:rsidRPr="006C0D94">
        <w:rPr>
          <w:rFonts w:eastAsia="Malgun Gothic"/>
          <w:lang w:val="fr-FR"/>
        </w:rPr>
        <w:t>identité et d</w:t>
      </w:r>
      <w:r w:rsidR="00923E72">
        <w:rPr>
          <w:rFonts w:eastAsia="Malgun Gothic"/>
          <w:lang w:val="fr-FR"/>
        </w:rPr>
        <w:t>’</w:t>
      </w:r>
      <w:r w:rsidRPr="006C0D94">
        <w:rPr>
          <w:rFonts w:eastAsia="Malgun Gothic"/>
          <w:lang w:val="fr-FR"/>
        </w:rPr>
        <w:t>appartenance culturelle de ses communautés. Les jeunes générations de cavaliers s</w:t>
      </w:r>
      <w:r w:rsidR="00923E72">
        <w:rPr>
          <w:rFonts w:eastAsia="Malgun Gothic"/>
          <w:lang w:val="fr-FR"/>
        </w:rPr>
        <w:t>’</w:t>
      </w:r>
      <w:r w:rsidRPr="006C0D94">
        <w:rPr>
          <w:rFonts w:eastAsia="Malgun Gothic"/>
          <w:lang w:val="fr-FR"/>
        </w:rPr>
        <w:t xml:space="preserve">intéressaient de plus en plus à la pratique du jeu. Les communautés </w:t>
      </w:r>
      <w:r w:rsidR="00A60C6A">
        <w:rPr>
          <w:rFonts w:eastAsia="Malgun Gothic"/>
          <w:lang w:val="fr-FR"/>
        </w:rPr>
        <w:t xml:space="preserve">poursuivaient la transmission </w:t>
      </w:r>
      <w:r w:rsidRPr="006C0D94">
        <w:rPr>
          <w:rFonts w:eastAsia="Malgun Gothic"/>
          <w:lang w:val="fr-FR"/>
        </w:rPr>
        <w:t>des connaissances sur le jeu au sein des familles, tant dans les zones rurales que dans les zones urbaines. Même si les plans de sauvegarde avaient contribué à l</w:t>
      </w:r>
      <w:r w:rsidR="00923E72">
        <w:rPr>
          <w:rFonts w:eastAsia="Malgun Gothic"/>
          <w:lang w:val="fr-FR"/>
        </w:rPr>
        <w:t>’</w:t>
      </w:r>
      <w:r w:rsidRPr="006C0D94">
        <w:rPr>
          <w:rFonts w:eastAsia="Malgun Gothic"/>
          <w:lang w:val="fr-FR"/>
        </w:rPr>
        <w:t>obtention de résultats positifs, leur mise en œuvre avait été perturbée par la pandémie de COVID</w:t>
      </w:r>
      <w:r w:rsidR="004868C9">
        <w:rPr>
          <w:rFonts w:eastAsia="Malgun Gothic"/>
          <w:lang w:val="fr-FR"/>
        </w:rPr>
        <w:noBreakHyphen/>
      </w:r>
      <w:r w:rsidRPr="006C0D94">
        <w:rPr>
          <w:rFonts w:eastAsia="Malgun Gothic"/>
          <w:lang w:val="fr-FR"/>
        </w:rPr>
        <w:t>19, et des mesures supplémentaires étaient nécessaires pour soutenir la viabilité de l</w:t>
      </w:r>
      <w:r w:rsidR="00923E72">
        <w:rPr>
          <w:rFonts w:eastAsia="Malgun Gothic"/>
          <w:lang w:val="fr-FR"/>
        </w:rPr>
        <w:t>’</w:t>
      </w:r>
      <w:r w:rsidRPr="006C0D94">
        <w:rPr>
          <w:rFonts w:eastAsia="Malgun Gothic"/>
          <w:lang w:val="fr-FR"/>
        </w:rPr>
        <w:t>élément et sa transmission, tout en mettant l</w:t>
      </w:r>
      <w:r w:rsidR="00923E72">
        <w:rPr>
          <w:rFonts w:eastAsia="Malgun Gothic"/>
          <w:lang w:val="fr-FR"/>
        </w:rPr>
        <w:t>’</w:t>
      </w:r>
      <w:r w:rsidRPr="006C0D94">
        <w:rPr>
          <w:rFonts w:eastAsia="Malgun Gothic"/>
          <w:lang w:val="fr-FR"/>
        </w:rPr>
        <w:t>accent sur l</w:t>
      </w:r>
      <w:r w:rsidR="00923E72">
        <w:rPr>
          <w:rFonts w:eastAsia="Malgun Gothic"/>
          <w:lang w:val="fr-FR"/>
        </w:rPr>
        <w:t>’</w:t>
      </w:r>
      <w:r w:rsidRPr="006C0D94">
        <w:rPr>
          <w:rFonts w:eastAsia="Malgun Gothic"/>
          <w:lang w:val="fr-FR"/>
        </w:rPr>
        <w:t xml:space="preserve">intérêt des jeunes et la disponibilité de la race de chevaux </w:t>
      </w:r>
      <w:proofErr w:type="spellStart"/>
      <w:r w:rsidR="004868C9">
        <w:rPr>
          <w:rFonts w:eastAsia="Malgun Gothic"/>
          <w:lang w:val="fr-FR"/>
        </w:rPr>
        <w:t>k</w:t>
      </w:r>
      <w:r w:rsidRPr="006C0D94">
        <w:rPr>
          <w:rFonts w:eastAsia="Malgun Gothic"/>
          <w:lang w:val="fr-FR"/>
        </w:rPr>
        <w:t>araba</w:t>
      </w:r>
      <w:r w:rsidR="004868C9">
        <w:rPr>
          <w:rFonts w:eastAsia="Malgun Gothic"/>
          <w:lang w:val="fr-FR"/>
        </w:rPr>
        <w:t>k</w:t>
      </w:r>
      <w:r w:rsidRPr="006C0D94">
        <w:rPr>
          <w:rFonts w:eastAsia="Malgun Gothic"/>
          <w:lang w:val="fr-FR"/>
        </w:rPr>
        <w:t>h</w:t>
      </w:r>
      <w:r w:rsidR="004868C9">
        <w:rPr>
          <w:rFonts w:eastAsia="Malgun Gothic"/>
          <w:lang w:val="fr-FR"/>
        </w:rPr>
        <w:t>s</w:t>
      </w:r>
      <w:proofErr w:type="spellEnd"/>
      <w:r w:rsidRPr="006C0D94">
        <w:rPr>
          <w:rFonts w:eastAsia="Malgun Gothic"/>
          <w:lang w:val="fr-FR"/>
        </w:rPr>
        <w:t>. Le rapport était le fruit d</w:t>
      </w:r>
      <w:r w:rsidR="00923E72">
        <w:rPr>
          <w:rFonts w:eastAsia="Malgun Gothic"/>
          <w:lang w:val="fr-FR"/>
        </w:rPr>
        <w:t>’</w:t>
      </w:r>
      <w:r w:rsidRPr="006C0D94">
        <w:rPr>
          <w:rFonts w:eastAsia="Malgun Gothic"/>
          <w:lang w:val="fr-FR"/>
        </w:rPr>
        <w:t>un vaste processus de consultation lancé en mai</w:t>
      </w:r>
      <w:r w:rsidR="00136A0D">
        <w:rPr>
          <w:rFonts w:eastAsia="Malgun Gothic"/>
          <w:lang w:val="fr-FR"/>
        </w:rPr>
        <w:t> </w:t>
      </w:r>
      <w:r w:rsidRPr="006C0D94">
        <w:rPr>
          <w:rFonts w:eastAsia="Malgun Gothic"/>
          <w:lang w:val="fr-FR"/>
        </w:rPr>
        <w:t>2021 auprès des parties prenantes, des communautés et des organisations communautaires. La délégation a félicité les deux principales organisations communautaires, l</w:t>
      </w:r>
      <w:r w:rsidR="00923E72">
        <w:rPr>
          <w:rFonts w:eastAsia="Malgun Gothic"/>
          <w:lang w:val="fr-FR"/>
        </w:rPr>
        <w:t>’</w:t>
      </w:r>
      <w:r w:rsidRPr="006C0D94">
        <w:rPr>
          <w:rFonts w:eastAsia="Malgun Gothic"/>
          <w:lang w:val="fr-FR"/>
        </w:rPr>
        <w:t xml:space="preserve">Association des </w:t>
      </w:r>
      <w:r w:rsidR="004868C9">
        <w:rPr>
          <w:rFonts w:eastAsia="Malgun Gothic"/>
          <w:lang w:val="fr-FR"/>
        </w:rPr>
        <w:t xml:space="preserve">amateurs de </w:t>
      </w:r>
      <w:r w:rsidRPr="006C0D94">
        <w:rPr>
          <w:rFonts w:eastAsia="Malgun Gothic"/>
          <w:lang w:val="fr-FR"/>
        </w:rPr>
        <w:t xml:space="preserve">chevaux </w:t>
      </w:r>
      <w:proofErr w:type="spellStart"/>
      <w:r w:rsidR="004868C9">
        <w:rPr>
          <w:rFonts w:eastAsia="Malgun Gothic"/>
          <w:lang w:val="fr-FR"/>
        </w:rPr>
        <w:t>k</w:t>
      </w:r>
      <w:r w:rsidRPr="006C0D94">
        <w:rPr>
          <w:rFonts w:eastAsia="Malgun Gothic"/>
          <w:lang w:val="fr-FR"/>
        </w:rPr>
        <w:t>arabakh</w:t>
      </w:r>
      <w:r w:rsidR="004868C9">
        <w:rPr>
          <w:rFonts w:eastAsia="Malgun Gothic"/>
          <w:lang w:val="fr-FR"/>
        </w:rPr>
        <w:t>s</w:t>
      </w:r>
      <w:proofErr w:type="spellEnd"/>
      <w:r w:rsidRPr="006C0D94">
        <w:rPr>
          <w:rFonts w:eastAsia="Malgun Gothic"/>
          <w:lang w:val="fr-FR"/>
        </w:rPr>
        <w:t xml:space="preserve"> et la Fédération équestre d</w:t>
      </w:r>
      <w:r w:rsidR="00923E72">
        <w:rPr>
          <w:rFonts w:eastAsia="Malgun Gothic"/>
          <w:lang w:val="fr-FR"/>
        </w:rPr>
        <w:t>’</w:t>
      </w:r>
      <w:r w:rsidRPr="006C0D94">
        <w:rPr>
          <w:rFonts w:eastAsia="Malgun Gothic"/>
          <w:lang w:val="fr-FR"/>
        </w:rPr>
        <w:t xml:space="preserve">Azerbaïdjan, pour leurs efforts visant à soutenir la culture du jeu </w:t>
      </w:r>
      <w:r w:rsidR="004868C9">
        <w:rPr>
          <w:rFonts w:eastAsia="Malgun Gothic"/>
          <w:lang w:val="fr-FR"/>
        </w:rPr>
        <w:t xml:space="preserve">du </w:t>
      </w:r>
      <w:proofErr w:type="spellStart"/>
      <w:r w:rsidR="004868C9">
        <w:rPr>
          <w:rFonts w:eastAsia="Malgun Gothic"/>
          <w:lang w:val="fr-FR"/>
        </w:rPr>
        <w:t>tchovgan</w:t>
      </w:r>
      <w:proofErr w:type="spellEnd"/>
      <w:r w:rsidRPr="006C0D94">
        <w:rPr>
          <w:rFonts w:eastAsia="Malgun Gothic"/>
          <w:lang w:val="fr-FR"/>
        </w:rPr>
        <w:t xml:space="preserve"> et ses praticiens. L</w:t>
      </w:r>
      <w:r w:rsidR="00923E72">
        <w:rPr>
          <w:rFonts w:eastAsia="Malgun Gothic"/>
          <w:lang w:val="fr-FR"/>
        </w:rPr>
        <w:t>’</w:t>
      </w:r>
      <w:r w:rsidRPr="006C0D94">
        <w:rPr>
          <w:rFonts w:eastAsia="Malgun Gothic"/>
          <w:lang w:val="fr-FR"/>
        </w:rPr>
        <w:t>expérience de la préparation de ce rapport avait été très importante pour toutes les parties prenantes et le processus de sauvegarde dans son ensemble</w:t>
      </w:r>
      <w:r w:rsidR="00E661F8">
        <w:rPr>
          <w:rFonts w:eastAsia="Malgun Gothic"/>
          <w:lang w:val="fr-FR"/>
        </w:rPr>
        <w:t>,</w:t>
      </w:r>
      <w:r w:rsidRPr="006C0D94">
        <w:rPr>
          <w:rFonts w:eastAsia="Malgun Gothic"/>
          <w:lang w:val="fr-FR"/>
        </w:rPr>
        <w:t xml:space="preserve"> </w:t>
      </w:r>
      <w:r w:rsidR="000434D2">
        <w:rPr>
          <w:rFonts w:eastAsia="Malgun Gothic"/>
          <w:lang w:val="fr-FR"/>
        </w:rPr>
        <w:t xml:space="preserve">qui </w:t>
      </w:r>
      <w:r w:rsidRPr="006C0D94">
        <w:rPr>
          <w:rFonts w:eastAsia="Malgun Gothic"/>
          <w:lang w:val="fr-FR"/>
        </w:rPr>
        <w:t>continuerait à faire l</w:t>
      </w:r>
      <w:r w:rsidR="00923E72">
        <w:rPr>
          <w:rFonts w:eastAsia="Malgun Gothic"/>
          <w:lang w:val="fr-FR"/>
        </w:rPr>
        <w:t>’</w:t>
      </w:r>
      <w:r w:rsidRPr="006C0D94">
        <w:rPr>
          <w:rFonts w:eastAsia="Malgun Gothic"/>
          <w:lang w:val="fr-FR"/>
        </w:rPr>
        <w:t>objet d</w:t>
      </w:r>
      <w:r w:rsidR="00923E72">
        <w:rPr>
          <w:rFonts w:eastAsia="Malgun Gothic"/>
          <w:lang w:val="fr-FR"/>
        </w:rPr>
        <w:t>’</w:t>
      </w:r>
      <w:r w:rsidRPr="006C0D94">
        <w:rPr>
          <w:rFonts w:eastAsia="Malgun Gothic"/>
          <w:lang w:val="fr-FR"/>
        </w:rPr>
        <w:t>un suivi. L</w:t>
      </w:r>
      <w:r w:rsidR="00923E72">
        <w:rPr>
          <w:rFonts w:eastAsia="Malgun Gothic"/>
          <w:lang w:val="fr-FR"/>
        </w:rPr>
        <w:t>’</w:t>
      </w:r>
      <w:r w:rsidRPr="006C0D94">
        <w:rPr>
          <w:rFonts w:eastAsia="Malgun Gothic"/>
          <w:lang w:val="fr-FR"/>
        </w:rPr>
        <w:t>Azerbaïdjan s</w:t>
      </w:r>
      <w:r w:rsidR="00923E72">
        <w:rPr>
          <w:rFonts w:eastAsia="Malgun Gothic"/>
          <w:lang w:val="fr-FR"/>
        </w:rPr>
        <w:t>’</w:t>
      </w:r>
      <w:r w:rsidRPr="006C0D94">
        <w:rPr>
          <w:rFonts w:eastAsia="Malgun Gothic"/>
          <w:lang w:val="fr-FR"/>
        </w:rPr>
        <w:t>engageait à continuer à contribuer aux efforts de sauvegarde active malgré les défis</w:t>
      </w:r>
      <w:r w:rsidR="004868C9">
        <w:rPr>
          <w:rFonts w:eastAsia="Malgun Gothic"/>
          <w:lang w:val="fr-FR"/>
        </w:rPr>
        <w:t>,</w:t>
      </w:r>
      <w:r w:rsidRPr="006C0D94">
        <w:rPr>
          <w:rFonts w:eastAsia="Malgun Gothic"/>
          <w:lang w:val="fr-FR"/>
        </w:rPr>
        <w:t xml:space="preserve"> en soutenant la transmission et la promotion de l</w:t>
      </w:r>
      <w:r w:rsidR="00923E72">
        <w:rPr>
          <w:rFonts w:eastAsia="Malgun Gothic"/>
          <w:lang w:val="fr-FR"/>
        </w:rPr>
        <w:t>’</w:t>
      </w:r>
      <w:r w:rsidRPr="006C0D94">
        <w:rPr>
          <w:rFonts w:eastAsia="Malgun Gothic"/>
          <w:lang w:val="fr-FR"/>
        </w:rPr>
        <w:t>élément.</w:t>
      </w:r>
    </w:p>
    <w:p w14:paraId="79EEA26B" w14:textId="27A07667" w:rsidR="004868C9" w:rsidRDefault="00B62B8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La </w:t>
      </w:r>
      <w:r w:rsidRPr="00B62B8F">
        <w:rPr>
          <w:rFonts w:eastAsia="Malgun Gothic"/>
          <w:b/>
          <w:bCs/>
          <w:lang w:val="fr-FR"/>
        </w:rPr>
        <w:t>Vice-Présidente</w:t>
      </w:r>
      <w:r>
        <w:rPr>
          <w:rFonts w:eastAsia="Malgun Gothic"/>
          <w:lang w:val="fr-FR"/>
        </w:rPr>
        <w:t xml:space="preserve"> a donné la parole à la Colombie</w:t>
      </w:r>
      <w:r w:rsidR="00E661F8">
        <w:rPr>
          <w:rFonts w:eastAsia="Malgun Gothic"/>
          <w:lang w:val="fr-FR"/>
        </w:rPr>
        <w:t>,</w:t>
      </w:r>
      <w:r>
        <w:rPr>
          <w:rFonts w:eastAsia="Malgun Gothic"/>
          <w:lang w:val="fr-FR"/>
        </w:rPr>
        <w:t xml:space="preserve"> qui serait suivie de la République bolivarienne du Venezuela.</w:t>
      </w:r>
    </w:p>
    <w:p w14:paraId="44D645A3" w14:textId="31A53CDB" w:rsidR="00B62B8F" w:rsidRDefault="00B62B8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B62B8F">
        <w:rPr>
          <w:rFonts w:eastAsia="Malgun Gothic"/>
          <w:lang w:val="fr-FR"/>
        </w:rPr>
        <w:t xml:space="preserve">La délégation de la </w:t>
      </w:r>
      <w:r w:rsidRPr="00B62B8F">
        <w:rPr>
          <w:rFonts w:eastAsia="Malgun Gothic"/>
          <w:b/>
          <w:bCs/>
          <w:lang w:val="fr-FR"/>
        </w:rPr>
        <w:t>Colombie</w:t>
      </w:r>
      <w:r>
        <w:rPr>
          <w:rFonts w:eastAsia="Malgun Gothic"/>
          <w:lang w:val="fr-FR"/>
        </w:rPr>
        <w:t xml:space="preserve"> était</w:t>
      </w:r>
      <w:r w:rsidRPr="00B62B8F">
        <w:rPr>
          <w:rFonts w:eastAsia="Malgun Gothic"/>
          <w:lang w:val="fr-FR"/>
        </w:rPr>
        <w:t xml:space="preserve"> représentée par</w:t>
      </w:r>
      <w:r>
        <w:rPr>
          <w:rFonts w:eastAsia="Malgun Gothic"/>
          <w:lang w:val="fr-FR"/>
        </w:rPr>
        <w:t xml:space="preserve"> M</w:t>
      </w:r>
      <w:r w:rsidRPr="00B62B8F">
        <w:rPr>
          <w:rFonts w:eastAsia="Malgun Gothic"/>
          <w:vertAlign w:val="superscript"/>
          <w:lang w:val="fr-FR"/>
        </w:rPr>
        <w:t>me</w:t>
      </w:r>
      <w:r>
        <w:rPr>
          <w:rFonts w:eastAsia="Malgun Gothic"/>
          <w:lang w:val="fr-FR"/>
        </w:rPr>
        <w:t> </w:t>
      </w:r>
      <w:proofErr w:type="spellStart"/>
      <w:r w:rsidRPr="00B62B8F">
        <w:rPr>
          <w:rFonts w:eastAsia="Malgun Gothic"/>
          <w:lang w:val="fr-FR"/>
        </w:rPr>
        <w:t>Leonor</w:t>
      </w:r>
      <w:proofErr w:type="spellEnd"/>
      <w:r w:rsidRPr="00B62B8F">
        <w:rPr>
          <w:rFonts w:eastAsia="Malgun Gothic"/>
          <w:lang w:val="fr-FR"/>
        </w:rPr>
        <w:t xml:space="preserve"> </w:t>
      </w:r>
      <w:proofErr w:type="spellStart"/>
      <w:r w:rsidRPr="00B62B8F">
        <w:rPr>
          <w:rFonts w:eastAsia="Malgun Gothic"/>
          <w:lang w:val="fr-FR"/>
        </w:rPr>
        <w:t>Zalabata</w:t>
      </w:r>
      <w:proofErr w:type="spellEnd"/>
      <w:r w:rsidRPr="00B62B8F">
        <w:rPr>
          <w:rFonts w:eastAsia="Malgun Gothic"/>
          <w:lang w:val="fr-FR"/>
        </w:rPr>
        <w:t xml:space="preserve"> Torres, membre du peuple autochtone </w:t>
      </w:r>
      <w:proofErr w:type="spellStart"/>
      <w:r w:rsidRPr="00B62B8F">
        <w:rPr>
          <w:rFonts w:eastAsia="Malgun Gothic"/>
          <w:lang w:val="fr-FR"/>
        </w:rPr>
        <w:t>Arhuaco</w:t>
      </w:r>
      <w:proofErr w:type="spellEnd"/>
      <w:r w:rsidRPr="00B62B8F">
        <w:rPr>
          <w:rFonts w:eastAsia="Malgun Gothic"/>
          <w:lang w:val="fr-FR"/>
        </w:rPr>
        <w:t xml:space="preserve"> de Colombie</w:t>
      </w:r>
      <w:r w:rsidR="00FA05A3">
        <w:rPr>
          <w:rFonts w:eastAsia="Malgun Gothic"/>
          <w:lang w:val="fr-FR"/>
        </w:rPr>
        <w:t xml:space="preserve"> et </w:t>
      </w:r>
      <w:r w:rsidRPr="00B62B8F">
        <w:rPr>
          <w:rFonts w:eastAsia="Malgun Gothic"/>
          <w:lang w:val="fr-FR"/>
        </w:rPr>
        <w:t>première représentante permanente autochtone de la Colombie auprès des Nations</w:t>
      </w:r>
      <w:r w:rsidR="003D2257">
        <w:rPr>
          <w:rFonts w:eastAsia="Malgun Gothic"/>
          <w:lang w:val="fr-FR"/>
        </w:rPr>
        <w:t> </w:t>
      </w:r>
      <w:r w:rsidRPr="00B62B8F">
        <w:rPr>
          <w:rFonts w:eastAsia="Malgun Gothic"/>
          <w:lang w:val="fr-FR"/>
        </w:rPr>
        <w:t>Unies à New</w:t>
      </w:r>
      <w:r w:rsidR="003D2257">
        <w:rPr>
          <w:rFonts w:eastAsia="Malgun Gothic"/>
          <w:lang w:val="fr-FR"/>
        </w:rPr>
        <w:t> </w:t>
      </w:r>
      <w:r w:rsidRPr="00B62B8F">
        <w:rPr>
          <w:rFonts w:eastAsia="Malgun Gothic"/>
          <w:lang w:val="fr-FR"/>
        </w:rPr>
        <w:t xml:space="preserve">York, nommée par le Président Gustavo Petro. Pour la Colombie, la sauvegarde </w:t>
      </w:r>
      <w:r w:rsidR="00786648">
        <w:rPr>
          <w:rFonts w:eastAsia="Malgun Gothic"/>
          <w:lang w:val="fr-FR"/>
        </w:rPr>
        <w:t>de l</w:t>
      </w:r>
      <w:r w:rsidR="00923E72">
        <w:rPr>
          <w:rFonts w:eastAsia="Malgun Gothic"/>
          <w:lang w:val="fr-FR"/>
        </w:rPr>
        <w:t>’</w:t>
      </w:r>
      <w:r w:rsidR="00786648">
        <w:rPr>
          <w:rFonts w:eastAsia="Malgun Gothic"/>
          <w:lang w:val="fr-FR"/>
        </w:rPr>
        <w:t xml:space="preserve">élément </w:t>
      </w:r>
      <w:r w:rsidR="003D2257">
        <w:rPr>
          <w:rFonts w:eastAsia="Malgun Gothic"/>
          <w:lang w:val="fr-FR"/>
        </w:rPr>
        <w:t>« </w:t>
      </w:r>
      <w:r w:rsidR="00786648">
        <w:rPr>
          <w:rFonts w:eastAsia="Malgun Gothic"/>
          <w:lang w:val="fr-FR"/>
        </w:rPr>
        <w:t xml:space="preserve">Les </w:t>
      </w:r>
      <w:r w:rsidRPr="00B62B8F">
        <w:rPr>
          <w:rFonts w:eastAsia="Malgun Gothic"/>
          <w:lang w:val="fr-FR"/>
        </w:rPr>
        <w:t xml:space="preserve">chants de travail </w:t>
      </w:r>
      <w:r w:rsidR="00FA05A3">
        <w:rPr>
          <w:rFonts w:eastAsia="Malgun Gothic"/>
          <w:lang w:val="fr-FR"/>
        </w:rPr>
        <w:t xml:space="preserve">de </w:t>
      </w:r>
      <w:r w:rsidRPr="00B62B8F">
        <w:rPr>
          <w:rFonts w:eastAsia="Malgun Gothic"/>
          <w:lang w:val="fr-FR"/>
        </w:rPr>
        <w:t xml:space="preserve">llano </w:t>
      </w:r>
      <w:r w:rsidR="00FA05A3">
        <w:rPr>
          <w:rFonts w:eastAsia="Malgun Gothic"/>
          <w:lang w:val="fr-FR"/>
        </w:rPr>
        <w:t>c</w:t>
      </w:r>
      <w:r w:rsidRPr="00B62B8F">
        <w:rPr>
          <w:rFonts w:eastAsia="Malgun Gothic"/>
          <w:lang w:val="fr-FR"/>
        </w:rPr>
        <w:t>olomb</w:t>
      </w:r>
      <w:r w:rsidR="00FA05A3">
        <w:rPr>
          <w:rFonts w:eastAsia="Malgun Gothic"/>
          <w:lang w:val="fr-FR"/>
        </w:rPr>
        <w:t>o-vénézuéliens</w:t>
      </w:r>
      <w:r w:rsidR="003D2257">
        <w:rPr>
          <w:rFonts w:eastAsia="Malgun Gothic"/>
          <w:lang w:val="fr-FR"/>
        </w:rPr>
        <w:t> »</w:t>
      </w:r>
      <w:r w:rsidRPr="00B62B8F">
        <w:rPr>
          <w:rFonts w:eastAsia="Malgun Gothic"/>
          <w:lang w:val="fr-FR"/>
        </w:rPr>
        <w:t xml:space="preserve"> ne signifiait pas seulement la reconnaissance interculturelle de la sagesse ancestrale traditionnelle, </w:t>
      </w:r>
      <w:r w:rsidR="00FA05A3">
        <w:rPr>
          <w:rFonts w:eastAsia="Malgun Gothic"/>
          <w:lang w:val="fr-FR"/>
        </w:rPr>
        <w:t>c</w:t>
      </w:r>
      <w:r w:rsidR="00923E72">
        <w:rPr>
          <w:rFonts w:eastAsia="Malgun Gothic"/>
          <w:lang w:val="fr-FR"/>
        </w:rPr>
        <w:t>’</w:t>
      </w:r>
      <w:r w:rsidR="00FA05A3">
        <w:rPr>
          <w:rFonts w:eastAsia="Malgun Gothic"/>
          <w:lang w:val="fr-FR"/>
        </w:rPr>
        <w:t>était</w:t>
      </w:r>
      <w:r w:rsidRPr="00B62B8F">
        <w:rPr>
          <w:rFonts w:eastAsia="Malgun Gothic"/>
          <w:lang w:val="fr-FR"/>
        </w:rPr>
        <w:t xml:space="preserve"> également d</w:t>
      </w:r>
      <w:r w:rsidR="00923E72">
        <w:rPr>
          <w:rFonts w:eastAsia="Malgun Gothic"/>
          <w:lang w:val="fr-FR"/>
        </w:rPr>
        <w:t>’</w:t>
      </w:r>
      <w:r w:rsidRPr="00B62B8F">
        <w:rPr>
          <w:rFonts w:eastAsia="Malgun Gothic"/>
          <w:lang w:val="fr-FR"/>
        </w:rPr>
        <w:t>un processus participatif dans lequel les enfants, les jeunes, les adultes et les détenteurs partagent un sens de la responsabilité et du respect de l</w:t>
      </w:r>
      <w:r w:rsidR="00923E72">
        <w:rPr>
          <w:rFonts w:eastAsia="Malgun Gothic"/>
          <w:lang w:val="fr-FR"/>
        </w:rPr>
        <w:t>’</w:t>
      </w:r>
      <w:r w:rsidRPr="00B62B8F">
        <w:rPr>
          <w:rFonts w:eastAsia="Malgun Gothic"/>
          <w:lang w:val="fr-FR"/>
        </w:rPr>
        <w:t xml:space="preserve">élément. </w:t>
      </w:r>
      <w:r w:rsidR="00FA05A3">
        <w:rPr>
          <w:rFonts w:eastAsia="Malgun Gothic"/>
          <w:lang w:val="fr-FR"/>
        </w:rPr>
        <w:t xml:space="preserve">Cela </w:t>
      </w:r>
      <w:r w:rsidRPr="00B62B8F">
        <w:rPr>
          <w:rFonts w:eastAsia="Malgun Gothic"/>
          <w:lang w:val="fr-FR"/>
        </w:rPr>
        <w:t>représentait également la volonté de transmettre, de génération en génération, la condition essentielle à la sauvegarde des pratiques liées à la profession, au mode de vie et à l</w:t>
      </w:r>
      <w:r w:rsidR="00923E72">
        <w:rPr>
          <w:rFonts w:eastAsia="Malgun Gothic"/>
          <w:lang w:val="fr-FR"/>
        </w:rPr>
        <w:t>’</w:t>
      </w:r>
      <w:r w:rsidRPr="00B62B8F">
        <w:rPr>
          <w:rFonts w:eastAsia="Malgun Gothic"/>
          <w:lang w:val="fr-FR"/>
        </w:rPr>
        <w:t>identité culturelle de la communauté.</w:t>
      </w:r>
      <w:r w:rsidR="00FA05A3">
        <w:rPr>
          <w:rFonts w:eastAsia="Malgun Gothic"/>
          <w:lang w:val="fr-FR"/>
        </w:rPr>
        <w:t xml:space="preserve"> M</w:t>
      </w:r>
      <w:r w:rsidR="00FA05A3" w:rsidRPr="00B62B8F">
        <w:rPr>
          <w:rFonts w:eastAsia="Malgun Gothic"/>
          <w:vertAlign w:val="superscript"/>
          <w:lang w:val="fr-FR"/>
        </w:rPr>
        <w:t>me</w:t>
      </w:r>
      <w:r w:rsidR="003D2257">
        <w:rPr>
          <w:rFonts w:eastAsia="Malgun Gothic"/>
          <w:lang w:val="fr-FR"/>
        </w:rPr>
        <w:t> </w:t>
      </w:r>
      <w:r w:rsidRPr="00B62B8F">
        <w:rPr>
          <w:rFonts w:eastAsia="Malgun Gothic"/>
          <w:lang w:val="fr-FR"/>
        </w:rPr>
        <w:t>Torres a souligné qu</w:t>
      </w:r>
      <w:r w:rsidR="00F561EB">
        <w:rPr>
          <w:rFonts w:eastAsia="Malgun Gothic"/>
          <w:lang w:val="fr-FR"/>
        </w:rPr>
        <w:t xml:space="preserve">e, malgré </w:t>
      </w:r>
      <w:r w:rsidRPr="00B62B8F">
        <w:rPr>
          <w:rFonts w:eastAsia="Malgun Gothic"/>
          <w:lang w:val="fr-FR"/>
        </w:rPr>
        <w:t>des défis liés à la sauvegarde de l</w:t>
      </w:r>
      <w:r w:rsidR="00923E72">
        <w:rPr>
          <w:rFonts w:eastAsia="Malgun Gothic"/>
          <w:lang w:val="fr-FR"/>
        </w:rPr>
        <w:t>’</w:t>
      </w:r>
      <w:r w:rsidRPr="00B62B8F">
        <w:rPr>
          <w:rFonts w:eastAsia="Malgun Gothic"/>
          <w:lang w:val="fr-FR"/>
        </w:rPr>
        <w:t>élément, le Gouvernement avait mis en œuvre un certain nombre de mesures pour consolider la transmission et augmenter le nombre de praticiens, en mettant l</w:t>
      </w:r>
      <w:r w:rsidR="00923E72">
        <w:rPr>
          <w:rFonts w:eastAsia="Malgun Gothic"/>
          <w:lang w:val="fr-FR"/>
        </w:rPr>
        <w:t>’</w:t>
      </w:r>
      <w:r w:rsidRPr="00B62B8F">
        <w:rPr>
          <w:rFonts w:eastAsia="Malgun Gothic"/>
          <w:lang w:val="fr-FR"/>
        </w:rPr>
        <w:t>accent sur les jeunes. L</w:t>
      </w:r>
      <w:r w:rsidR="00923E72">
        <w:rPr>
          <w:rFonts w:eastAsia="Malgun Gothic"/>
          <w:lang w:val="fr-FR"/>
        </w:rPr>
        <w:t>’</w:t>
      </w:r>
      <w:r w:rsidRPr="00B62B8F">
        <w:rPr>
          <w:rFonts w:eastAsia="Malgun Gothic"/>
          <w:lang w:val="fr-FR"/>
        </w:rPr>
        <w:t>objectif était de construire une démocratie multicolore fondée sur les libertés, la solidarité</w:t>
      </w:r>
      <w:r w:rsidR="003D2257">
        <w:rPr>
          <w:rFonts w:eastAsia="Malgun Gothic"/>
          <w:lang w:val="fr-FR"/>
        </w:rPr>
        <w:t xml:space="preserve"> et</w:t>
      </w:r>
      <w:r w:rsidRPr="00B62B8F">
        <w:rPr>
          <w:rFonts w:eastAsia="Malgun Gothic"/>
          <w:lang w:val="fr-FR"/>
        </w:rPr>
        <w:t xml:space="preserve"> le respect de la diversité et de la dignité humaine, </w:t>
      </w:r>
      <w:r w:rsidR="000434D2">
        <w:rPr>
          <w:rFonts w:eastAsia="Malgun Gothic"/>
          <w:lang w:val="fr-FR"/>
        </w:rPr>
        <w:t xml:space="preserve">au sein de </w:t>
      </w:r>
      <w:r w:rsidRPr="00B62B8F">
        <w:rPr>
          <w:rFonts w:eastAsia="Malgun Gothic"/>
          <w:lang w:val="fr-FR"/>
        </w:rPr>
        <w:t>laquelle les diverses communautés sont de véritables gardiennes de la vie, du territoire et de la biodiversité. Elle a invité le Venezuela à poursuivre le travail en commun pour mettre en œuvre les actions et les engagements que les pays partagent afin de promouvoir la paix, la culture, la protection des droits, l</w:t>
      </w:r>
      <w:r w:rsidR="00923E72">
        <w:rPr>
          <w:rFonts w:eastAsia="Malgun Gothic"/>
          <w:lang w:val="fr-FR"/>
        </w:rPr>
        <w:t>’</w:t>
      </w:r>
      <w:r w:rsidRPr="00B62B8F">
        <w:rPr>
          <w:rFonts w:eastAsia="Malgun Gothic"/>
          <w:lang w:val="fr-FR"/>
        </w:rPr>
        <w:t>égalité des genres et le changement climatique, en accord avec les systèmes de connaissances autochtones locaux.</w:t>
      </w:r>
    </w:p>
    <w:p w14:paraId="168A0A7B" w14:textId="0FBAC0E7" w:rsidR="00FA05A3" w:rsidRDefault="0049400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9400F">
        <w:rPr>
          <w:rFonts w:eastAsia="Malgun Gothic"/>
          <w:lang w:val="fr-FR"/>
        </w:rPr>
        <w:t xml:space="preserve">La délégation de la </w:t>
      </w:r>
      <w:r w:rsidRPr="0049400F">
        <w:rPr>
          <w:rFonts w:eastAsia="Malgun Gothic"/>
          <w:b/>
          <w:bCs/>
          <w:lang w:val="fr-FR"/>
        </w:rPr>
        <w:t>République bolivarienne du Venezuela</w:t>
      </w:r>
      <w:r w:rsidRPr="0049400F">
        <w:rPr>
          <w:rFonts w:eastAsia="Malgun Gothic"/>
          <w:lang w:val="fr-FR"/>
        </w:rPr>
        <w:t xml:space="preserve"> a transmis les salutations de son peuple et du Président du Venezuela</w:t>
      </w:r>
      <w:r w:rsidR="000434D2">
        <w:rPr>
          <w:rFonts w:eastAsia="Malgun Gothic"/>
          <w:lang w:val="fr-FR"/>
        </w:rPr>
        <w:t>,</w:t>
      </w:r>
      <w:r w:rsidRPr="0049400F">
        <w:rPr>
          <w:rFonts w:eastAsia="Malgun Gothic"/>
          <w:lang w:val="fr-FR"/>
        </w:rPr>
        <w:t xml:space="preserve"> </w:t>
      </w:r>
      <w:r>
        <w:rPr>
          <w:rFonts w:eastAsia="Malgun Gothic"/>
          <w:lang w:val="fr-FR"/>
        </w:rPr>
        <w:t>et a adressé ses</w:t>
      </w:r>
      <w:r w:rsidRPr="0049400F">
        <w:rPr>
          <w:rFonts w:eastAsia="Malgun Gothic"/>
          <w:lang w:val="fr-FR"/>
        </w:rPr>
        <w:t xml:space="preserve"> remerciement</w:t>
      </w:r>
      <w:r>
        <w:rPr>
          <w:rFonts w:eastAsia="Malgun Gothic"/>
          <w:lang w:val="fr-FR"/>
        </w:rPr>
        <w:t>s</w:t>
      </w:r>
      <w:r w:rsidRPr="0049400F">
        <w:rPr>
          <w:rFonts w:eastAsia="Malgun Gothic"/>
          <w:lang w:val="fr-FR"/>
        </w:rPr>
        <w:t xml:space="preserve"> </w:t>
      </w:r>
      <w:r w:rsidR="000434D2">
        <w:rPr>
          <w:rFonts w:eastAsia="Malgun Gothic"/>
          <w:lang w:val="fr-FR"/>
        </w:rPr>
        <w:t xml:space="preserve">particuliers </w:t>
      </w:r>
      <w:r w:rsidRPr="0049400F">
        <w:rPr>
          <w:rFonts w:eastAsia="Malgun Gothic"/>
          <w:lang w:val="fr-FR"/>
        </w:rPr>
        <w:t xml:space="preserve">aux </w:t>
      </w:r>
      <w:r w:rsidRPr="0049400F">
        <w:rPr>
          <w:rFonts w:eastAsia="Malgun Gothic"/>
          <w:lang w:val="fr-FR"/>
        </w:rPr>
        <w:lastRenderedPageBreak/>
        <w:t>organisateurs de cette session, à la Directrice générale de l</w:t>
      </w:r>
      <w:r w:rsidR="00923E72">
        <w:rPr>
          <w:rFonts w:eastAsia="Malgun Gothic"/>
          <w:lang w:val="fr-FR"/>
        </w:rPr>
        <w:t>’</w:t>
      </w:r>
      <w:r w:rsidRPr="0049400F">
        <w:rPr>
          <w:rFonts w:eastAsia="Malgun Gothic"/>
          <w:lang w:val="fr-FR"/>
        </w:rPr>
        <w:t>UNESCO et au Président. La décision adoptée en</w:t>
      </w:r>
      <w:r w:rsidR="001A7AF7">
        <w:rPr>
          <w:rFonts w:eastAsia="Malgun Gothic"/>
          <w:lang w:val="fr-FR"/>
        </w:rPr>
        <w:t> </w:t>
      </w:r>
      <w:r w:rsidRPr="0049400F">
        <w:rPr>
          <w:rFonts w:eastAsia="Malgun Gothic"/>
          <w:lang w:val="fr-FR"/>
        </w:rPr>
        <w:t>2016 concernant la sauvegarde du patrimoine culturel avait conduit à la mise en œuvre d</w:t>
      </w:r>
      <w:r w:rsidR="00923E72">
        <w:rPr>
          <w:rFonts w:eastAsia="Malgun Gothic"/>
          <w:lang w:val="fr-FR"/>
        </w:rPr>
        <w:t>’</w:t>
      </w:r>
      <w:r w:rsidRPr="0049400F">
        <w:rPr>
          <w:rFonts w:eastAsia="Malgun Gothic"/>
          <w:lang w:val="fr-FR"/>
        </w:rPr>
        <w:t>activités dans ce domaine, et c</w:t>
      </w:r>
      <w:r w:rsidR="00923E72">
        <w:rPr>
          <w:rFonts w:eastAsia="Malgun Gothic"/>
          <w:lang w:val="fr-FR"/>
        </w:rPr>
        <w:t>’</w:t>
      </w:r>
      <w:r>
        <w:rPr>
          <w:rFonts w:eastAsia="Malgun Gothic"/>
          <w:lang w:val="fr-FR"/>
        </w:rPr>
        <w:t>était</w:t>
      </w:r>
      <w:r w:rsidRPr="0049400F">
        <w:rPr>
          <w:rFonts w:eastAsia="Malgun Gothic"/>
          <w:lang w:val="fr-FR"/>
        </w:rPr>
        <w:t xml:space="preserve"> ainsi que la </w:t>
      </w:r>
      <w:r w:rsidR="00CB0121">
        <w:rPr>
          <w:rFonts w:eastAsia="Malgun Gothic"/>
          <w:lang w:val="fr-FR"/>
        </w:rPr>
        <w:t xml:space="preserve">candidature </w:t>
      </w:r>
      <w:r w:rsidRPr="0049400F">
        <w:rPr>
          <w:rFonts w:eastAsia="Malgun Gothic"/>
          <w:lang w:val="fr-FR"/>
        </w:rPr>
        <w:t xml:space="preserve">conjointe </w:t>
      </w:r>
      <w:r w:rsidR="00CB0121">
        <w:rPr>
          <w:rFonts w:eastAsia="Malgun Gothic"/>
          <w:lang w:val="fr-FR"/>
        </w:rPr>
        <w:t xml:space="preserve">du </w:t>
      </w:r>
      <w:r w:rsidRPr="0049400F">
        <w:rPr>
          <w:rFonts w:eastAsia="Malgun Gothic"/>
          <w:lang w:val="fr-FR"/>
        </w:rPr>
        <w:t xml:space="preserve">Venezuela et </w:t>
      </w:r>
      <w:r w:rsidR="00CB0121">
        <w:rPr>
          <w:rFonts w:eastAsia="Malgun Gothic"/>
          <w:lang w:val="fr-FR"/>
        </w:rPr>
        <w:t xml:space="preserve">de </w:t>
      </w:r>
      <w:r w:rsidRPr="0049400F">
        <w:rPr>
          <w:rFonts w:eastAsia="Malgun Gothic"/>
          <w:lang w:val="fr-FR"/>
        </w:rPr>
        <w:t>la Colombie avait vu le jour. La délégation a rappelé que le Venezuela est une société multiethnique et multiculturelle, d</w:t>
      </w:r>
      <w:r w:rsidR="00923E72">
        <w:rPr>
          <w:rFonts w:eastAsia="Malgun Gothic"/>
          <w:lang w:val="fr-FR"/>
        </w:rPr>
        <w:t>’</w:t>
      </w:r>
      <w:r w:rsidRPr="0049400F">
        <w:rPr>
          <w:rFonts w:eastAsia="Malgun Gothic"/>
          <w:lang w:val="fr-FR"/>
        </w:rPr>
        <w:t>où un engagement clair entre l</w:t>
      </w:r>
      <w:r w:rsidR="00923E72">
        <w:rPr>
          <w:rFonts w:eastAsia="Malgun Gothic"/>
          <w:lang w:val="fr-FR"/>
        </w:rPr>
        <w:t>’</w:t>
      </w:r>
      <w:r w:rsidRPr="0049400F">
        <w:rPr>
          <w:rFonts w:eastAsia="Malgun Gothic"/>
          <w:lang w:val="fr-FR"/>
        </w:rPr>
        <w:t>État et les communautés qui pratiquent les chants de travail de llano. La délégation a remercié l</w:t>
      </w:r>
      <w:r w:rsidR="00923E72">
        <w:rPr>
          <w:rFonts w:eastAsia="Malgun Gothic"/>
          <w:lang w:val="fr-FR"/>
        </w:rPr>
        <w:t>’</w:t>
      </w:r>
      <w:r w:rsidRPr="0049400F">
        <w:rPr>
          <w:rFonts w:eastAsia="Malgun Gothic"/>
          <w:lang w:val="fr-FR"/>
        </w:rPr>
        <w:t>Organe d</w:t>
      </w:r>
      <w:r w:rsidR="00923E72">
        <w:rPr>
          <w:rFonts w:eastAsia="Malgun Gothic"/>
          <w:lang w:val="fr-FR"/>
        </w:rPr>
        <w:t>’</w:t>
      </w:r>
      <w:r w:rsidRPr="0049400F">
        <w:rPr>
          <w:rFonts w:eastAsia="Malgun Gothic"/>
          <w:lang w:val="fr-FR"/>
        </w:rPr>
        <w:t>évaluation pour son évaluation positive. Celle-ci était principalement due aux efforts déployés par les détenteurs de cet élément, notamment pendant la pandémie, afin de protéger les traditions et les savoirs ancestraux en collaboration avec le Gouvernement. Compte tenu de l</w:t>
      </w:r>
      <w:r w:rsidR="00923E72">
        <w:rPr>
          <w:rFonts w:eastAsia="Malgun Gothic"/>
          <w:lang w:val="fr-FR"/>
        </w:rPr>
        <w:t>’</w:t>
      </w:r>
      <w:r w:rsidRPr="0049400F">
        <w:rPr>
          <w:rFonts w:eastAsia="Malgun Gothic"/>
          <w:lang w:val="fr-FR"/>
        </w:rPr>
        <w:t>importance de la Convention, le Parlement vénézuélien s</w:t>
      </w:r>
      <w:r w:rsidR="00923E72">
        <w:rPr>
          <w:rFonts w:eastAsia="Malgun Gothic"/>
          <w:lang w:val="fr-FR"/>
        </w:rPr>
        <w:t>’</w:t>
      </w:r>
      <w:r w:rsidRPr="0049400F">
        <w:rPr>
          <w:rFonts w:eastAsia="Malgun Gothic"/>
          <w:lang w:val="fr-FR"/>
        </w:rPr>
        <w:t>était rapproché des communautés pratiquant ce patrimoine vivant afin d</w:t>
      </w:r>
      <w:r w:rsidR="00923E72">
        <w:rPr>
          <w:rFonts w:eastAsia="Malgun Gothic"/>
          <w:lang w:val="fr-FR"/>
        </w:rPr>
        <w:t>’</w:t>
      </w:r>
      <w:r w:rsidRPr="0049400F">
        <w:rPr>
          <w:rFonts w:eastAsia="Malgun Gothic"/>
          <w:lang w:val="fr-FR"/>
        </w:rPr>
        <w:t xml:space="preserve">adopter une loi sur le </w:t>
      </w:r>
      <w:r w:rsidR="00F561EB">
        <w:rPr>
          <w:rFonts w:eastAsia="Malgun Gothic"/>
          <w:lang w:val="fr-FR"/>
        </w:rPr>
        <w:t>P</w:t>
      </w:r>
      <w:r w:rsidRPr="0049400F">
        <w:rPr>
          <w:rFonts w:eastAsia="Malgun Gothic"/>
          <w:lang w:val="fr-FR"/>
        </w:rPr>
        <w:t>atrimoine culturel immatériel. Celle-ci était en vigueur depuis septembre</w:t>
      </w:r>
      <w:r w:rsidR="003A0260">
        <w:rPr>
          <w:rFonts w:eastAsia="Malgun Gothic"/>
          <w:lang w:val="fr-FR"/>
        </w:rPr>
        <w:t> </w:t>
      </w:r>
      <w:r w:rsidRPr="0049400F">
        <w:rPr>
          <w:rFonts w:eastAsia="Malgun Gothic"/>
          <w:lang w:val="fr-FR"/>
        </w:rPr>
        <w:t xml:space="preserve">2021 et représentait un engagement renforcé pour mettre à disposition les ressources nécessaires à la protection et à la sauvegarde des chants de travail de llano. </w:t>
      </w:r>
      <w:r w:rsidR="00A06CE8">
        <w:rPr>
          <w:rFonts w:eastAsia="Malgun Gothic"/>
          <w:lang w:val="fr-FR"/>
        </w:rPr>
        <w:t>Avec la Colombie, l</w:t>
      </w:r>
      <w:r w:rsidRPr="0049400F">
        <w:rPr>
          <w:rFonts w:eastAsia="Malgun Gothic"/>
          <w:lang w:val="fr-FR"/>
        </w:rPr>
        <w:t>e Venezuela</w:t>
      </w:r>
      <w:r w:rsidR="00F561EB">
        <w:rPr>
          <w:rFonts w:eastAsia="Malgun Gothic"/>
          <w:lang w:val="fr-FR"/>
        </w:rPr>
        <w:t xml:space="preserve"> réaliserait de nouveaux progrès </w:t>
      </w:r>
      <w:r w:rsidR="00A06CE8">
        <w:rPr>
          <w:rFonts w:eastAsia="Malgun Gothic"/>
          <w:lang w:val="fr-FR"/>
        </w:rPr>
        <w:t>en matière</w:t>
      </w:r>
      <w:r w:rsidR="00F561EB">
        <w:rPr>
          <w:rFonts w:eastAsia="Malgun Gothic"/>
          <w:lang w:val="fr-FR"/>
        </w:rPr>
        <w:t xml:space="preserve"> </w:t>
      </w:r>
      <w:r w:rsidR="00A06CE8">
        <w:rPr>
          <w:rFonts w:eastAsia="Malgun Gothic"/>
          <w:lang w:val="fr-FR"/>
        </w:rPr>
        <w:t>d</w:t>
      </w:r>
      <w:r w:rsidR="00923E72">
        <w:rPr>
          <w:rFonts w:eastAsia="Malgun Gothic"/>
          <w:lang w:val="fr-FR"/>
        </w:rPr>
        <w:t>’</w:t>
      </w:r>
      <w:r w:rsidRPr="0049400F">
        <w:rPr>
          <w:rFonts w:eastAsia="Malgun Gothic"/>
          <w:lang w:val="fr-FR"/>
        </w:rPr>
        <w:t>alliance pour sauvegarde</w:t>
      </w:r>
      <w:r w:rsidR="000434D2">
        <w:rPr>
          <w:rFonts w:eastAsia="Malgun Gothic"/>
          <w:lang w:val="fr-FR"/>
        </w:rPr>
        <w:t>r le</w:t>
      </w:r>
      <w:r w:rsidRPr="0049400F">
        <w:rPr>
          <w:rFonts w:eastAsia="Malgun Gothic"/>
          <w:lang w:val="fr-FR"/>
        </w:rPr>
        <w:t xml:space="preserve"> patrimoine culturel, comme le demandaient les peuples des deux pays. La délégation a remercié une fois de plus le Comité pour cette nouvelle opportunité.</w:t>
      </w:r>
    </w:p>
    <w:p w14:paraId="3324CA1E" w14:textId="17008A53" w:rsidR="0049400F" w:rsidRDefault="0049400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9400F">
        <w:rPr>
          <w:rFonts w:eastAsia="Malgun Gothic"/>
          <w:lang w:val="fr-FR"/>
        </w:rPr>
        <w:t xml:space="preserve">La délégation du </w:t>
      </w:r>
      <w:r w:rsidRPr="0049400F">
        <w:rPr>
          <w:rFonts w:eastAsia="Malgun Gothic"/>
          <w:b/>
          <w:bCs/>
          <w:lang w:val="fr-FR"/>
        </w:rPr>
        <w:t>Botswana</w:t>
      </w:r>
      <w:r w:rsidRPr="0049400F">
        <w:rPr>
          <w:rFonts w:eastAsia="Malgun Gothic"/>
          <w:lang w:val="fr-FR"/>
        </w:rPr>
        <w:t xml:space="preserve"> a </w:t>
      </w:r>
      <w:r w:rsidR="00AC1C60">
        <w:rPr>
          <w:rFonts w:eastAsia="Malgun Gothic"/>
          <w:lang w:val="fr-FR"/>
        </w:rPr>
        <w:t xml:space="preserve">déclaré </w:t>
      </w:r>
      <w:r w:rsidRPr="0049400F">
        <w:rPr>
          <w:rFonts w:eastAsia="Malgun Gothic"/>
          <w:lang w:val="fr-FR"/>
        </w:rPr>
        <w:t>accept</w:t>
      </w:r>
      <w:r w:rsidR="00AC1C60">
        <w:rPr>
          <w:rFonts w:eastAsia="Malgun Gothic"/>
          <w:lang w:val="fr-FR"/>
        </w:rPr>
        <w:t>er</w:t>
      </w:r>
      <w:r w:rsidRPr="0049400F">
        <w:rPr>
          <w:rFonts w:eastAsia="Malgun Gothic"/>
          <w:lang w:val="fr-FR"/>
        </w:rPr>
        <w:t xml:space="preserve"> la décision</w:t>
      </w:r>
      <w:r w:rsidR="000434D2">
        <w:rPr>
          <w:rFonts w:eastAsia="Malgun Gothic"/>
          <w:lang w:val="fr-FR"/>
        </w:rPr>
        <w:t xml:space="preserve"> du</w:t>
      </w:r>
      <w:r w:rsidRPr="0049400F">
        <w:rPr>
          <w:rFonts w:eastAsia="Malgun Gothic"/>
          <w:lang w:val="fr-FR"/>
        </w:rPr>
        <w:t xml:space="preserve"> Comité </w:t>
      </w:r>
      <w:r w:rsidR="000434D2">
        <w:rPr>
          <w:rFonts w:eastAsia="Malgun Gothic"/>
          <w:lang w:val="fr-FR"/>
        </w:rPr>
        <w:t xml:space="preserve">relative à son </w:t>
      </w:r>
      <w:r w:rsidRPr="0049400F">
        <w:rPr>
          <w:rFonts w:eastAsia="Malgun Gothic"/>
          <w:lang w:val="fr-FR"/>
        </w:rPr>
        <w:t xml:space="preserve">premier rapport périodique sur </w:t>
      </w:r>
      <w:r w:rsidR="00786648">
        <w:rPr>
          <w:rFonts w:eastAsia="Malgun Gothic"/>
          <w:lang w:val="fr-FR"/>
        </w:rPr>
        <w:t>l</w:t>
      </w:r>
      <w:r w:rsidR="00923E72">
        <w:rPr>
          <w:rFonts w:eastAsia="Malgun Gothic"/>
          <w:lang w:val="fr-FR"/>
        </w:rPr>
        <w:t>’</w:t>
      </w:r>
      <w:r w:rsidR="00786648">
        <w:rPr>
          <w:rFonts w:eastAsia="Malgun Gothic"/>
          <w:lang w:val="fr-FR"/>
        </w:rPr>
        <w:t xml:space="preserve">élément </w:t>
      </w:r>
      <w:r w:rsidR="003D2257">
        <w:rPr>
          <w:rFonts w:eastAsia="Malgun Gothic"/>
          <w:lang w:val="fr-FR"/>
        </w:rPr>
        <w:t>« </w:t>
      </w:r>
      <w:r w:rsidR="00786648">
        <w:rPr>
          <w:rFonts w:eastAsia="Malgun Gothic"/>
          <w:lang w:val="fr-FR"/>
        </w:rPr>
        <w:t>L</w:t>
      </w:r>
      <w:r w:rsidR="00AC1C60">
        <w:rPr>
          <w:rFonts w:eastAsia="Malgun Gothic"/>
          <w:lang w:val="fr-FR"/>
        </w:rPr>
        <w:t xml:space="preserve">e </w:t>
      </w:r>
      <w:proofErr w:type="spellStart"/>
      <w:r w:rsidR="00AC1C60">
        <w:rPr>
          <w:rFonts w:eastAsia="Malgun Gothic"/>
          <w:lang w:val="fr-FR"/>
        </w:rPr>
        <w:t>d</w:t>
      </w:r>
      <w:r w:rsidRPr="0049400F">
        <w:rPr>
          <w:rFonts w:eastAsia="Malgun Gothic"/>
          <w:lang w:val="fr-FR"/>
        </w:rPr>
        <w:t>ikopelo</w:t>
      </w:r>
      <w:proofErr w:type="spellEnd"/>
      <w:r w:rsidR="00AC1C60">
        <w:rPr>
          <w:rFonts w:eastAsia="Malgun Gothic"/>
          <w:lang w:val="fr-FR"/>
        </w:rPr>
        <w:t xml:space="preserve">, musique </w:t>
      </w:r>
      <w:r w:rsidR="00AC1C60" w:rsidRPr="00AC1C60">
        <w:rPr>
          <w:rFonts w:eastAsia="Malgun Gothic"/>
          <w:lang w:val="fr-FR"/>
        </w:rPr>
        <w:t>traditionne</w:t>
      </w:r>
      <w:r w:rsidR="00AC1C60">
        <w:rPr>
          <w:rFonts w:eastAsia="Malgun Gothic"/>
          <w:lang w:val="fr-FR"/>
        </w:rPr>
        <w:t xml:space="preserve">lle </w:t>
      </w:r>
      <w:r w:rsidRPr="0049400F">
        <w:rPr>
          <w:rFonts w:eastAsia="Malgun Gothic"/>
          <w:lang w:val="fr-FR"/>
        </w:rPr>
        <w:t>de</w:t>
      </w:r>
      <w:r w:rsidR="00AC1C60">
        <w:rPr>
          <w:rFonts w:eastAsia="Malgun Gothic"/>
          <w:lang w:val="fr-FR"/>
        </w:rPr>
        <w:t>s</w:t>
      </w:r>
      <w:r w:rsidRPr="0049400F">
        <w:rPr>
          <w:rFonts w:eastAsia="Malgun Gothic"/>
          <w:lang w:val="fr-FR"/>
        </w:rPr>
        <w:t xml:space="preserve"> </w:t>
      </w:r>
      <w:proofErr w:type="spellStart"/>
      <w:r w:rsidRPr="0049400F">
        <w:rPr>
          <w:rFonts w:eastAsia="Malgun Gothic"/>
          <w:lang w:val="fr-FR"/>
        </w:rPr>
        <w:t>Bakgatla</w:t>
      </w:r>
      <w:proofErr w:type="spellEnd"/>
      <w:r w:rsidRPr="0049400F">
        <w:rPr>
          <w:rFonts w:eastAsia="Malgun Gothic"/>
          <w:lang w:val="fr-FR"/>
        </w:rPr>
        <w:t xml:space="preserve"> </w:t>
      </w:r>
      <w:proofErr w:type="spellStart"/>
      <w:r w:rsidRPr="0049400F">
        <w:rPr>
          <w:rFonts w:eastAsia="Malgun Gothic"/>
          <w:lang w:val="fr-FR"/>
        </w:rPr>
        <w:t>ba</w:t>
      </w:r>
      <w:proofErr w:type="spellEnd"/>
      <w:r w:rsidRPr="0049400F">
        <w:rPr>
          <w:rFonts w:eastAsia="Malgun Gothic"/>
          <w:lang w:val="fr-FR"/>
        </w:rPr>
        <w:t xml:space="preserve"> </w:t>
      </w:r>
      <w:proofErr w:type="spellStart"/>
      <w:r w:rsidRPr="0049400F">
        <w:rPr>
          <w:rFonts w:eastAsia="Malgun Gothic"/>
          <w:lang w:val="fr-FR"/>
        </w:rPr>
        <w:t>Kgafela</w:t>
      </w:r>
      <w:proofErr w:type="spellEnd"/>
      <w:r w:rsidRPr="0049400F">
        <w:rPr>
          <w:rFonts w:eastAsia="Malgun Gothic"/>
          <w:lang w:val="fr-FR"/>
        </w:rPr>
        <w:t xml:space="preserve"> dans le district de </w:t>
      </w:r>
      <w:proofErr w:type="spellStart"/>
      <w:r w:rsidRPr="0049400F">
        <w:rPr>
          <w:rFonts w:eastAsia="Malgun Gothic"/>
          <w:lang w:val="fr-FR"/>
        </w:rPr>
        <w:t>Kgatleng</w:t>
      </w:r>
      <w:proofErr w:type="spellEnd"/>
      <w:r w:rsidR="003D2257">
        <w:rPr>
          <w:rFonts w:eastAsia="Malgun Gothic"/>
          <w:lang w:val="fr-FR"/>
        </w:rPr>
        <w:t> »</w:t>
      </w:r>
      <w:r w:rsidRPr="0049400F">
        <w:rPr>
          <w:rFonts w:eastAsia="Malgun Gothic"/>
          <w:lang w:val="fr-FR"/>
        </w:rPr>
        <w:t>. Elle a remercié l</w:t>
      </w:r>
      <w:r w:rsidR="00923E72">
        <w:rPr>
          <w:rFonts w:eastAsia="Malgun Gothic"/>
          <w:lang w:val="fr-FR"/>
        </w:rPr>
        <w:t>’</w:t>
      </w:r>
      <w:r w:rsidRPr="0049400F">
        <w:rPr>
          <w:rFonts w:eastAsia="Malgun Gothic"/>
          <w:lang w:val="fr-FR"/>
        </w:rPr>
        <w:t>Organe d</w:t>
      </w:r>
      <w:r w:rsidR="00923E72">
        <w:rPr>
          <w:rFonts w:eastAsia="Malgun Gothic"/>
          <w:lang w:val="fr-FR"/>
        </w:rPr>
        <w:t>’</w:t>
      </w:r>
      <w:r w:rsidRPr="0049400F">
        <w:rPr>
          <w:rFonts w:eastAsia="Malgun Gothic"/>
          <w:lang w:val="fr-FR"/>
        </w:rPr>
        <w:t>évaluation de son évaluation approfondie du rapport ainsi que le Comité d</w:t>
      </w:r>
      <w:r w:rsidR="00A06CE8">
        <w:rPr>
          <w:rFonts w:eastAsia="Malgun Gothic"/>
          <w:lang w:val="fr-FR"/>
        </w:rPr>
        <w:t>e l</w:t>
      </w:r>
      <w:r w:rsidR="00923E72">
        <w:rPr>
          <w:rFonts w:eastAsia="Malgun Gothic"/>
          <w:lang w:val="fr-FR"/>
        </w:rPr>
        <w:t>’</w:t>
      </w:r>
      <w:r w:rsidR="00A06CE8">
        <w:rPr>
          <w:rFonts w:eastAsia="Malgun Gothic"/>
          <w:lang w:val="fr-FR"/>
        </w:rPr>
        <w:t xml:space="preserve">adoption du </w:t>
      </w:r>
      <w:r w:rsidRPr="0049400F">
        <w:rPr>
          <w:rFonts w:eastAsia="Malgun Gothic"/>
          <w:lang w:val="fr-FR"/>
        </w:rPr>
        <w:t>projet de décision. La délégation s</w:t>
      </w:r>
      <w:r w:rsidR="00923E72">
        <w:rPr>
          <w:rFonts w:eastAsia="Malgun Gothic"/>
          <w:lang w:val="fr-FR"/>
        </w:rPr>
        <w:t>’</w:t>
      </w:r>
      <w:r w:rsidRPr="0049400F">
        <w:rPr>
          <w:rFonts w:eastAsia="Malgun Gothic"/>
          <w:lang w:val="fr-FR"/>
        </w:rPr>
        <w:t>est réjouie que le Comité reconnaisse et apprécie les efforts déployés pour rédiger ce rapport pendant la période difficile de la COVID</w:t>
      </w:r>
      <w:r w:rsidR="00AC1C60">
        <w:rPr>
          <w:rFonts w:eastAsia="Malgun Gothic"/>
          <w:lang w:val="fr-FR"/>
        </w:rPr>
        <w:noBreakHyphen/>
      </w:r>
      <w:r w:rsidRPr="0049400F">
        <w:rPr>
          <w:rFonts w:eastAsia="Malgun Gothic"/>
          <w:lang w:val="fr-FR"/>
        </w:rPr>
        <w:t>19. Le Botswana a également pris note des questions qui devaient être abordées pour la mise en œuvre effective du plan de sauvegarde de cet élément, qui serai</w:t>
      </w:r>
      <w:r w:rsidR="00AC1C60">
        <w:rPr>
          <w:rFonts w:eastAsia="Malgun Gothic"/>
          <w:lang w:val="fr-FR"/>
        </w:rPr>
        <w:t>t</w:t>
      </w:r>
      <w:r w:rsidRPr="0049400F">
        <w:rPr>
          <w:rFonts w:eastAsia="Malgun Gothic"/>
          <w:lang w:val="fr-FR"/>
        </w:rPr>
        <w:t xml:space="preserve"> </w:t>
      </w:r>
      <w:r w:rsidR="00A06CE8">
        <w:rPr>
          <w:rFonts w:eastAsia="Malgun Gothic"/>
          <w:lang w:val="fr-FR"/>
        </w:rPr>
        <w:t xml:space="preserve">abordée </w:t>
      </w:r>
      <w:r w:rsidRPr="0049400F">
        <w:rPr>
          <w:rFonts w:eastAsia="Malgun Gothic"/>
          <w:lang w:val="fr-FR"/>
        </w:rPr>
        <w:t>dans le prochain rapport périodique en</w:t>
      </w:r>
      <w:r w:rsidR="00E661F8">
        <w:rPr>
          <w:rFonts w:eastAsia="Malgun Gothic"/>
          <w:lang w:val="fr-FR"/>
        </w:rPr>
        <w:t> </w:t>
      </w:r>
      <w:r w:rsidRPr="0049400F">
        <w:rPr>
          <w:rFonts w:eastAsia="Malgun Gothic"/>
          <w:lang w:val="fr-FR"/>
        </w:rPr>
        <w:t xml:space="preserve">2025. La délégation a remercié la communauté </w:t>
      </w:r>
      <w:proofErr w:type="spellStart"/>
      <w:r w:rsidRPr="0049400F">
        <w:rPr>
          <w:rFonts w:eastAsia="Malgun Gothic"/>
          <w:lang w:val="fr-FR"/>
        </w:rPr>
        <w:t>Bakgatla</w:t>
      </w:r>
      <w:proofErr w:type="spellEnd"/>
      <w:r w:rsidRPr="0049400F">
        <w:rPr>
          <w:rFonts w:eastAsia="Malgun Gothic"/>
          <w:lang w:val="fr-FR"/>
        </w:rPr>
        <w:t xml:space="preserve"> </w:t>
      </w:r>
      <w:proofErr w:type="spellStart"/>
      <w:r w:rsidRPr="0049400F">
        <w:rPr>
          <w:rFonts w:eastAsia="Malgun Gothic"/>
          <w:lang w:val="fr-FR"/>
        </w:rPr>
        <w:t>ba</w:t>
      </w:r>
      <w:proofErr w:type="spellEnd"/>
      <w:r w:rsidRPr="0049400F">
        <w:rPr>
          <w:rFonts w:eastAsia="Malgun Gothic"/>
          <w:lang w:val="fr-FR"/>
        </w:rPr>
        <w:t xml:space="preserve"> </w:t>
      </w:r>
      <w:proofErr w:type="spellStart"/>
      <w:r w:rsidRPr="0049400F">
        <w:rPr>
          <w:rFonts w:eastAsia="Malgun Gothic"/>
          <w:lang w:val="fr-FR"/>
        </w:rPr>
        <w:t>Kgafela</w:t>
      </w:r>
      <w:proofErr w:type="spellEnd"/>
      <w:r w:rsidRPr="0049400F">
        <w:rPr>
          <w:rFonts w:eastAsia="Malgun Gothic"/>
          <w:lang w:val="fr-FR"/>
        </w:rPr>
        <w:t xml:space="preserve"> et l</w:t>
      </w:r>
      <w:r w:rsidR="00923E72">
        <w:rPr>
          <w:rFonts w:eastAsia="Malgun Gothic"/>
          <w:lang w:val="fr-FR"/>
        </w:rPr>
        <w:t>’</w:t>
      </w:r>
      <w:r w:rsidRPr="0049400F">
        <w:rPr>
          <w:rFonts w:eastAsia="Malgun Gothic"/>
          <w:lang w:val="fr-FR"/>
        </w:rPr>
        <w:t xml:space="preserve">équipe du patrimoine culturel immatériel du Botswana pour le travail bien fait. </w:t>
      </w:r>
      <w:r w:rsidR="000434D2">
        <w:rPr>
          <w:rFonts w:eastAsia="Malgun Gothic"/>
          <w:lang w:val="fr-FR"/>
        </w:rPr>
        <w:t xml:space="preserve">Elle </w:t>
      </w:r>
      <w:r w:rsidRPr="0049400F">
        <w:rPr>
          <w:rFonts w:eastAsia="Malgun Gothic"/>
          <w:lang w:val="fr-FR"/>
        </w:rPr>
        <w:t>a remercié le Gouvernement d</w:t>
      </w:r>
      <w:r w:rsidR="00923E72">
        <w:rPr>
          <w:rFonts w:eastAsia="Malgun Gothic"/>
          <w:lang w:val="fr-FR"/>
        </w:rPr>
        <w:t>’</w:t>
      </w:r>
      <w:r w:rsidRPr="0049400F">
        <w:rPr>
          <w:rFonts w:eastAsia="Malgun Gothic"/>
          <w:lang w:val="fr-FR"/>
        </w:rPr>
        <w:t>avoir mis à disposition des ressources financières et techniques pour la mise en œuvre du plan de sauvegarde</w:t>
      </w:r>
      <w:r w:rsidR="000434D2">
        <w:rPr>
          <w:rFonts w:eastAsia="Malgun Gothic"/>
          <w:lang w:val="fr-FR"/>
        </w:rPr>
        <w:t xml:space="preserve"> et </w:t>
      </w:r>
      <w:r w:rsidR="00344865">
        <w:rPr>
          <w:rFonts w:eastAsia="Malgun Gothic"/>
          <w:lang w:val="fr-FR"/>
        </w:rPr>
        <w:t>a confirmé son engagement</w:t>
      </w:r>
      <w:r w:rsidRPr="0049400F">
        <w:rPr>
          <w:rFonts w:eastAsia="Malgun Gothic"/>
          <w:lang w:val="fr-FR"/>
        </w:rPr>
        <w:t xml:space="preserve"> à soutenir la mise en œuvre des programmes et activités liés au patrimoine culturel immatériel.</w:t>
      </w:r>
    </w:p>
    <w:p w14:paraId="7930C5A9" w14:textId="3474C8EC" w:rsidR="00AC1C60" w:rsidRDefault="0063237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32371">
        <w:rPr>
          <w:rFonts w:eastAsia="Malgun Gothic"/>
          <w:lang w:val="fr-FR"/>
        </w:rPr>
        <w:t xml:space="preserve">La délégation des </w:t>
      </w:r>
      <w:r w:rsidRPr="00632371">
        <w:rPr>
          <w:rFonts w:eastAsia="Malgun Gothic"/>
          <w:b/>
          <w:bCs/>
          <w:lang w:val="fr-FR"/>
        </w:rPr>
        <w:t>Émirats arabes unis</w:t>
      </w:r>
      <w:r w:rsidRPr="00632371">
        <w:rPr>
          <w:rFonts w:eastAsia="Malgun Gothic"/>
          <w:lang w:val="fr-FR"/>
        </w:rPr>
        <w:t xml:space="preserve"> a exprimé sa gratitude au Maroc pour sa chaleureuse hospitalité et pour la palette d</w:t>
      </w:r>
      <w:r w:rsidR="00344865">
        <w:rPr>
          <w:rFonts w:eastAsia="Malgun Gothic"/>
          <w:lang w:val="fr-FR"/>
        </w:rPr>
        <w:t xml:space="preserve">u </w:t>
      </w:r>
      <w:r w:rsidR="00344865" w:rsidRPr="00344865">
        <w:rPr>
          <w:rFonts w:eastAsia="Malgun Gothic"/>
          <w:lang w:val="fr-FR"/>
        </w:rPr>
        <w:t>patrimoine</w:t>
      </w:r>
      <w:r w:rsidR="00344865">
        <w:rPr>
          <w:rFonts w:eastAsia="Malgun Gothic"/>
          <w:lang w:val="fr-FR"/>
        </w:rPr>
        <w:t xml:space="preserve"> </w:t>
      </w:r>
      <w:r w:rsidR="00344865" w:rsidRPr="00344865">
        <w:rPr>
          <w:rFonts w:eastAsia="Malgun Gothic"/>
          <w:lang w:val="fr-FR"/>
        </w:rPr>
        <w:t>culturel</w:t>
      </w:r>
      <w:r w:rsidR="00344865">
        <w:rPr>
          <w:rFonts w:eastAsia="Malgun Gothic"/>
          <w:lang w:val="fr-FR"/>
        </w:rPr>
        <w:t xml:space="preserve"> </w:t>
      </w:r>
      <w:r w:rsidRPr="00632371">
        <w:rPr>
          <w:rFonts w:eastAsia="Malgun Gothic"/>
          <w:lang w:val="fr-FR"/>
        </w:rPr>
        <w:t>exceptionnelle</w:t>
      </w:r>
      <w:r w:rsidR="00344865">
        <w:rPr>
          <w:rFonts w:eastAsia="Malgun Gothic"/>
          <w:lang w:val="fr-FR"/>
        </w:rPr>
        <w:t xml:space="preserve">ment riche </w:t>
      </w:r>
      <w:r w:rsidRPr="00632371">
        <w:rPr>
          <w:rFonts w:eastAsia="Malgun Gothic"/>
          <w:lang w:val="fr-FR"/>
        </w:rPr>
        <w:t>qu</w:t>
      </w:r>
      <w:r w:rsidR="00923E72">
        <w:rPr>
          <w:rFonts w:eastAsia="Malgun Gothic"/>
          <w:lang w:val="fr-FR"/>
        </w:rPr>
        <w:t>’</w:t>
      </w:r>
      <w:r w:rsidRPr="00632371">
        <w:rPr>
          <w:rFonts w:eastAsia="Malgun Gothic"/>
          <w:lang w:val="fr-FR"/>
        </w:rPr>
        <w:t>il avait présenté lors de la cérémonie d</w:t>
      </w:r>
      <w:r w:rsidR="00923E72">
        <w:rPr>
          <w:rFonts w:eastAsia="Malgun Gothic"/>
          <w:lang w:val="fr-FR"/>
        </w:rPr>
        <w:t>’</w:t>
      </w:r>
      <w:r w:rsidRPr="00632371">
        <w:rPr>
          <w:rFonts w:eastAsia="Malgun Gothic"/>
          <w:lang w:val="fr-FR"/>
        </w:rPr>
        <w:t xml:space="preserve">ouverture. </w:t>
      </w:r>
      <w:r w:rsidR="00344865">
        <w:rPr>
          <w:rFonts w:eastAsia="Malgun Gothic"/>
          <w:lang w:val="fr-FR"/>
        </w:rPr>
        <w:t xml:space="preserve">Elle a </w:t>
      </w:r>
      <w:r w:rsidRPr="00632371">
        <w:rPr>
          <w:rFonts w:eastAsia="Malgun Gothic"/>
          <w:lang w:val="fr-FR"/>
        </w:rPr>
        <w:t>remercié l</w:t>
      </w:r>
      <w:r w:rsidR="00923E72">
        <w:rPr>
          <w:rFonts w:eastAsia="Malgun Gothic"/>
          <w:lang w:val="fr-FR"/>
        </w:rPr>
        <w:t>’</w:t>
      </w:r>
      <w:r w:rsidRPr="00632371">
        <w:rPr>
          <w:rFonts w:eastAsia="Malgun Gothic"/>
          <w:lang w:val="fr-FR"/>
        </w:rPr>
        <w:t>UNESCO de soutenir en permanence le processus de sauvegarde du patrimoine culturel immatériel, convaincu</w:t>
      </w:r>
      <w:r w:rsidR="00A06CE8">
        <w:rPr>
          <w:rFonts w:eastAsia="Malgun Gothic"/>
          <w:lang w:val="fr-FR"/>
        </w:rPr>
        <w:t>e</w:t>
      </w:r>
      <w:r w:rsidRPr="00632371">
        <w:rPr>
          <w:rFonts w:eastAsia="Malgun Gothic"/>
          <w:lang w:val="fr-FR"/>
        </w:rPr>
        <w:t xml:space="preserve"> que les mécanismes de soumission des rapports périodiques contribuent à accélérer la mise en œuvre des plans de sauvegarde. </w:t>
      </w:r>
      <w:r w:rsidR="003B3969">
        <w:rPr>
          <w:rFonts w:eastAsia="Malgun Gothic"/>
          <w:lang w:val="fr-FR"/>
        </w:rPr>
        <w:t>L</w:t>
      </w:r>
      <w:r w:rsidR="00923E72">
        <w:rPr>
          <w:rFonts w:eastAsia="Malgun Gothic"/>
          <w:lang w:val="fr-FR"/>
        </w:rPr>
        <w:t>’</w:t>
      </w:r>
      <w:r>
        <w:rPr>
          <w:rFonts w:eastAsia="Malgun Gothic"/>
          <w:lang w:val="fr-FR"/>
        </w:rPr>
        <w:t xml:space="preserve">Al </w:t>
      </w:r>
      <w:r w:rsidR="00923E72">
        <w:rPr>
          <w:rFonts w:eastAsia="Malgun Gothic"/>
          <w:lang w:val="fr-FR"/>
        </w:rPr>
        <w:t>‘</w:t>
      </w:r>
      <w:proofErr w:type="spellStart"/>
      <w:r>
        <w:rPr>
          <w:rFonts w:eastAsia="Malgun Gothic"/>
          <w:lang w:val="fr-FR"/>
        </w:rPr>
        <w:t>azi</w:t>
      </w:r>
      <w:proofErr w:type="spellEnd"/>
      <w:r w:rsidR="003B3969">
        <w:rPr>
          <w:rFonts w:eastAsia="Malgun Gothic"/>
          <w:lang w:val="fr-FR"/>
        </w:rPr>
        <w:t xml:space="preserve"> </w:t>
      </w:r>
      <w:r w:rsidRPr="00632371">
        <w:rPr>
          <w:rFonts w:eastAsia="Malgun Gothic"/>
          <w:lang w:val="fr-FR"/>
        </w:rPr>
        <w:t>avait été inscrit sur la Liste de sauvegarde urgente en</w:t>
      </w:r>
      <w:r w:rsidR="001A7AF7">
        <w:rPr>
          <w:rFonts w:eastAsia="Malgun Gothic"/>
          <w:lang w:val="fr-FR"/>
        </w:rPr>
        <w:t> </w:t>
      </w:r>
      <w:r w:rsidRPr="00632371">
        <w:rPr>
          <w:rFonts w:eastAsia="Malgun Gothic"/>
          <w:lang w:val="fr-FR"/>
        </w:rPr>
        <w:t>2017. Les autorités compétentes du pays avaient proposé la candidature</w:t>
      </w:r>
      <w:r>
        <w:rPr>
          <w:rFonts w:eastAsia="Malgun Gothic"/>
          <w:lang w:val="fr-FR"/>
        </w:rPr>
        <w:t xml:space="preserve"> pour </w:t>
      </w:r>
      <w:r w:rsidRPr="00632371">
        <w:rPr>
          <w:rFonts w:eastAsia="Malgun Gothic"/>
          <w:lang w:val="fr-FR"/>
        </w:rPr>
        <w:t>inscription d</w:t>
      </w:r>
      <w:r>
        <w:rPr>
          <w:rFonts w:eastAsia="Malgun Gothic"/>
          <w:lang w:val="fr-FR"/>
        </w:rPr>
        <w:t>e l</w:t>
      </w:r>
      <w:r w:rsidR="00923E72">
        <w:rPr>
          <w:rFonts w:eastAsia="Malgun Gothic"/>
          <w:lang w:val="fr-FR"/>
        </w:rPr>
        <w:t>’</w:t>
      </w:r>
      <w:r>
        <w:rPr>
          <w:rFonts w:eastAsia="Malgun Gothic"/>
          <w:lang w:val="fr-FR"/>
        </w:rPr>
        <w:t xml:space="preserve">Al </w:t>
      </w:r>
      <w:r w:rsidR="00923E72">
        <w:rPr>
          <w:rFonts w:eastAsia="Malgun Gothic"/>
          <w:lang w:val="fr-FR"/>
        </w:rPr>
        <w:t>‘</w:t>
      </w:r>
      <w:proofErr w:type="spellStart"/>
      <w:r>
        <w:rPr>
          <w:rFonts w:eastAsia="Malgun Gothic"/>
          <w:lang w:val="fr-FR"/>
        </w:rPr>
        <w:t>a</w:t>
      </w:r>
      <w:r w:rsidRPr="00632371">
        <w:rPr>
          <w:rFonts w:eastAsia="Malgun Gothic"/>
          <w:lang w:val="fr-FR"/>
        </w:rPr>
        <w:t>zi</w:t>
      </w:r>
      <w:proofErr w:type="spellEnd"/>
      <w:r w:rsidRPr="00632371">
        <w:rPr>
          <w:rFonts w:eastAsia="Malgun Gothic"/>
          <w:lang w:val="fr-FR"/>
        </w:rPr>
        <w:t xml:space="preserve"> compte tenu de l</w:t>
      </w:r>
      <w:r w:rsidR="00923E72">
        <w:rPr>
          <w:rFonts w:eastAsia="Malgun Gothic"/>
          <w:lang w:val="fr-FR"/>
        </w:rPr>
        <w:t>’</w:t>
      </w:r>
      <w:r w:rsidRPr="00632371">
        <w:rPr>
          <w:rFonts w:eastAsia="Malgun Gothic"/>
          <w:lang w:val="fr-FR"/>
        </w:rPr>
        <w:t>importance qu</w:t>
      </w:r>
      <w:r w:rsidR="00923E72">
        <w:rPr>
          <w:rFonts w:eastAsia="Malgun Gothic"/>
          <w:lang w:val="fr-FR"/>
        </w:rPr>
        <w:t>’</w:t>
      </w:r>
      <w:r w:rsidRPr="00632371">
        <w:rPr>
          <w:rFonts w:eastAsia="Malgun Gothic"/>
          <w:lang w:val="fr-FR"/>
        </w:rPr>
        <w:t>il revêt à l</w:t>
      </w:r>
      <w:r w:rsidR="00923E72">
        <w:rPr>
          <w:rFonts w:eastAsia="Malgun Gothic"/>
          <w:lang w:val="fr-FR"/>
        </w:rPr>
        <w:t>’</w:t>
      </w:r>
      <w:r w:rsidRPr="00632371">
        <w:rPr>
          <w:rFonts w:eastAsia="Malgun Gothic"/>
          <w:lang w:val="fr-FR"/>
        </w:rPr>
        <w:t>occasion d</w:t>
      </w:r>
      <w:r w:rsidR="00923E72">
        <w:rPr>
          <w:rFonts w:eastAsia="Malgun Gothic"/>
          <w:lang w:val="fr-FR"/>
        </w:rPr>
        <w:t>’</w:t>
      </w:r>
      <w:r w:rsidRPr="00632371">
        <w:rPr>
          <w:rFonts w:eastAsia="Malgun Gothic"/>
          <w:lang w:val="fr-FR"/>
        </w:rPr>
        <w:t>événements nationaux en accueillant des délégations officielles et des touristes. Un consensus s</w:t>
      </w:r>
      <w:r w:rsidR="00923E72">
        <w:rPr>
          <w:rFonts w:eastAsia="Malgun Gothic"/>
          <w:lang w:val="fr-FR"/>
        </w:rPr>
        <w:t>’</w:t>
      </w:r>
      <w:r w:rsidRPr="00632371">
        <w:rPr>
          <w:rFonts w:eastAsia="Malgun Gothic"/>
          <w:lang w:val="fr-FR"/>
        </w:rPr>
        <w:t>était dégagé pour que cet</w:t>
      </w:r>
      <w:r>
        <w:rPr>
          <w:rFonts w:eastAsia="Malgun Gothic"/>
          <w:lang w:val="fr-FR"/>
        </w:rPr>
        <w:t xml:space="preserve"> art </w:t>
      </w:r>
      <w:r w:rsidRPr="00632371">
        <w:rPr>
          <w:rFonts w:eastAsia="Malgun Gothic"/>
          <w:lang w:val="fr-FR"/>
        </w:rPr>
        <w:t xml:space="preserve">soit plus largement compris et </w:t>
      </w:r>
      <w:r>
        <w:rPr>
          <w:rFonts w:eastAsia="Malgun Gothic"/>
          <w:lang w:val="fr-FR"/>
        </w:rPr>
        <w:t>pratiqué</w:t>
      </w:r>
      <w:r w:rsidRPr="00632371">
        <w:rPr>
          <w:rFonts w:eastAsia="Malgun Gothic"/>
          <w:lang w:val="fr-FR"/>
        </w:rPr>
        <w:t>, tant au niveau communautaire qu</w:t>
      </w:r>
      <w:r w:rsidR="00923E72">
        <w:rPr>
          <w:rFonts w:eastAsia="Malgun Gothic"/>
          <w:lang w:val="fr-FR"/>
        </w:rPr>
        <w:t>’</w:t>
      </w:r>
      <w:r w:rsidRPr="00632371">
        <w:rPr>
          <w:rFonts w:eastAsia="Malgun Gothic"/>
          <w:lang w:val="fr-FR"/>
        </w:rPr>
        <w:t>individuel. Son inscription avait en grande partie contribué aux résultats suivants</w:t>
      </w:r>
      <w:r>
        <w:rPr>
          <w:rFonts w:eastAsia="Malgun Gothic"/>
          <w:lang w:val="fr-FR"/>
        </w:rPr>
        <w:t> </w:t>
      </w:r>
      <w:r w:rsidRPr="00632371">
        <w:rPr>
          <w:rFonts w:eastAsia="Malgun Gothic"/>
          <w:lang w:val="fr-FR"/>
        </w:rPr>
        <w:t>: i)</w:t>
      </w:r>
      <w:r>
        <w:rPr>
          <w:rFonts w:eastAsia="Malgun Gothic"/>
          <w:lang w:val="fr-FR"/>
        </w:rPr>
        <w:t> </w:t>
      </w:r>
      <w:r w:rsidR="00344865">
        <w:rPr>
          <w:rFonts w:eastAsia="Malgun Gothic"/>
          <w:lang w:val="fr-FR"/>
        </w:rPr>
        <w:t>l</w:t>
      </w:r>
      <w:r w:rsidR="00923E72">
        <w:rPr>
          <w:rFonts w:eastAsia="Malgun Gothic"/>
          <w:lang w:val="fr-FR"/>
        </w:rPr>
        <w:t>’</w:t>
      </w:r>
      <w:r w:rsidRPr="00632371">
        <w:rPr>
          <w:rFonts w:eastAsia="Malgun Gothic"/>
          <w:lang w:val="fr-FR"/>
        </w:rPr>
        <w:t>augmentation du nombre de groupes folkloriques et de praticiens de</w:t>
      </w:r>
      <w:r>
        <w:rPr>
          <w:rFonts w:eastAsia="Malgun Gothic"/>
          <w:lang w:val="fr-FR"/>
        </w:rPr>
        <w:t xml:space="preserve"> cet </w:t>
      </w:r>
      <w:r w:rsidRPr="00632371">
        <w:rPr>
          <w:rFonts w:eastAsia="Malgun Gothic"/>
          <w:lang w:val="fr-FR"/>
        </w:rPr>
        <w:t>art du spectacle</w:t>
      </w:r>
      <w:r>
        <w:rPr>
          <w:rFonts w:eastAsia="Malgun Gothic"/>
          <w:lang w:val="fr-FR"/>
        </w:rPr>
        <w:t> </w:t>
      </w:r>
      <w:r w:rsidRPr="00632371">
        <w:rPr>
          <w:rFonts w:eastAsia="Malgun Gothic"/>
          <w:lang w:val="fr-FR"/>
        </w:rPr>
        <w:t>; ii)</w:t>
      </w:r>
      <w:r>
        <w:rPr>
          <w:rFonts w:eastAsia="Malgun Gothic"/>
          <w:lang w:val="fr-FR"/>
        </w:rPr>
        <w:t> </w:t>
      </w:r>
      <w:r w:rsidR="00344865">
        <w:rPr>
          <w:rFonts w:eastAsia="Malgun Gothic"/>
          <w:lang w:val="fr-FR"/>
        </w:rPr>
        <w:t xml:space="preserve">la </w:t>
      </w:r>
      <w:r w:rsidRPr="00632371">
        <w:rPr>
          <w:rFonts w:eastAsia="Malgun Gothic"/>
          <w:lang w:val="fr-FR"/>
        </w:rPr>
        <w:t>présentation de spectacles d</w:t>
      </w:r>
      <w:r w:rsidR="00923E72">
        <w:rPr>
          <w:rFonts w:eastAsia="Malgun Gothic"/>
          <w:lang w:val="fr-FR"/>
        </w:rPr>
        <w:t>’</w:t>
      </w:r>
      <w:r w:rsidRPr="00632371">
        <w:rPr>
          <w:rFonts w:eastAsia="Malgun Gothic"/>
          <w:lang w:val="fr-FR"/>
        </w:rPr>
        <w:t>Al</w:t>
      </w:r>
      <w:r>
        <w:rPr>
          <w:rFonts w:eastAsia="Malgun Gothic"/>
          <w:lang w:val="fr-FR"/>
        </w:rPr>
        <w:t xml:space="preserve"> </w:t>
      </w:r>
      <w:r w:rsidR="00923E72">
        <w:rPr>
          <w:rFonts w:eastAsia="Malgun Gothic"/>
          <w:lang w:val="fr-FR"/>
        </w:rPr>
        <w:t>‘</w:t>
      </w:r>
      <w:proofErr w:type="spellStart"/>
      <w:r>
        <w:rPr>
          <w:rFonts w:eastAsia="Malgun Gothic"/>
          <w:lang w:val="fr-FR"/>
        </w:rPr>
        <w:t>a</w:t>
      </w:r>
      <w:r w:rsidRPr="00632371">
        <w:rPr>
          <w:rFonts w:eastAsia="Malgun Gothic"/>
          <w:lang w:val="fr-FR"/>
        </w:rPr>
        <w:t>zi</w:t>
      </w:r>
      <w:proofErr w:type="spellEnd"/>
      <w:r w:rsidRPr="00632371">
        <w:rPr>
          <w:rFonts w:eastAsia="Malgun Gothic"/>
          <w:lang w:val="fr-FR"/>
        </w:rPr>
        <w:t xml:space="preserve"> lors d</w:t>
      </w:r>
      <w:r w:rsidR="00923E72">
        <w:rPr>
          <w:rFonts w:eastAsia="Malgun Gothic"/>
          <w:lang w:val="fr-FR"/>
        </w:rPr>
        <w:t>’</w:t>
      </w:r>
      <w:r w:rsidRPr="00632371">
        <w:rPr>
          <w:rFonts w:eastAsia="Malgun Gothic"/>
          <w:lang w:val="fr-FR"/>
        </w:rPr>
        <w:t>événements de la vie sociale, de célébrations et de festivals culturels</w:t>
      </w:r>
      <w:r>
        <w:rPr>
          <w:rFonts w:eastAsia="Malgun Gothic"/>
          <w:lang w:val="fr-FR"/>
        </w:rPr>
        <w:t xml:space="preserve">, au-delà du </w:t>
      </w:r>
      <w:r w:rsidRPr="00632371">
        <w:rPr>
          <w:rFonts w:eastAsia="Malgun Gothic"/>
          <w:lang w:val="fr-FR"/>
        </w:rPr>
        <w:t>cadre des occasions nationales</w:t>
      </w:r>
      <w:r>
        <w:rPr>
          <w:rFonts w:eastAsia="Malgun Gothic"/>
          <w:lang w:val="fr-FR"/>
        </w:rPr>
        <w:t> </w:t>
      </w:r>
      <w:r w:rsidRPr="00632371">
        <w:rPr>
          <w:rFonts w:eastAsia="Malgun Gothic"/>
          <w:lang w:val="fr-FR"/>
        </w:rPr>
        <w:t>; et iii)</w:t>
      </w:r>
      <w:r>
        <w:rPr>
          <w:rFonts w:eastAsia="Malgun Gothic"/>
          <w:lang w:val="fr-FR"/>
        </w:rPr>
        <w:t> </w:t>
      </w:r>
      <w:r w:rsidR="00344865">
        <w:rPr>
          <w:rFonts w:eastAsia="Malgun Gothic"/>
          <w:lang w:val="fr-FR"/>
        </w:rPr>
        <w:t xml:space="preserve">la </w:t>
      </w:r>
      <w:r w:rsidRPr="00632371">
        <w:rPr>
          <w:rFonts w:eastAsia="Malgun Gothic"/>
          <w:lang w:val="fr-FR"/>
        </w:rPr>
        <w:t>sensibilisation à l</w:t>
      </w:r>
      <w:r w:rsidR="00923E72">
        <w:rPr>
          <w:rFonts w:eastAsia="Malgun Gothic"/>
          <w:lang w:val="fr-FR"/>
        </w:rPr>
        <w:t>’</w:t>
      </w:r>
      <w:r w:rsidRPr="00632371">
        <w:rPr>
          <w:rFonts w:eastAsia="Malgun Gothic"/>
          <w:lang w:val="fr-FR"/>
        </w:rPr>
        <w:t>art de l</w:t>
      </w:r>
      <w:r w:rsidR="00923E72">
        <w:rPr>
          <w:rFonts w:eastAsia="Malgun Gothic"/>
          <w:lang w:val="fr-FR"/>
        </w:rPr>
        <w:t>’</w:t>
      </w:r>
      <w:r w:rsidRPr="00632371">
        <w:rPr>
          <w:rFonts w:eastAsia="Malgun Gothic"/>
          <w:lang w:val="fr-FR"/>
        </w:rPr>
        <w:t xml:space="preserve">Al </w:t>
      </w:r>
      <w:r w:rsidR="00923E72">
        <w:rPr>
          <w:rFonts w:eastAsia="Malgun Gothic"/>
          <w:lang w:val="fr-FR"/>
        </w:rPr>
        <w:t>‘</w:t>
      </w:r>
      <w:proofErr w:type="spellStart"/>
      <w:r>
        <w:rPr>
          <w:rFonts w:eastAsia="Malgun Gothic"/>
          <w:lang w:val="fr-FR"/>
        </w:rPr>
        <w:t>a</w:t>
      </w:r>
      <w:r w:rsidRPr="00632371">
        <w:rPr>
          <w:rFonts w:eastAsia="Malgun Gothic"/>
          <w:lang w:val="fr-FR"/>
        </w:rPr>
        <w:t>zi</w:t>
      </w:r>
      <w:proofErr w:type="spellEnd"/>
      <w:r w:rsidRPr="00632371">
        <w:rPr>
          <w:rFonts w:eastAsia="Malgun Gothic"/>
          <w:lang w:val="fr-FR"/>
        </w:rPr>
        <w:t xml:space="preserve"> dans les médias, en particulier par le biais de médias axés sur le patrimoine et de programmes scolaires</w:t>
      </w:r>
      <w:r w:rsidR="00A06CE8">
        <w:rPr>
          <w:rFonts w:eastAsia="Malgun Gothic"/>
          <w:lang w:val="fr-FR"/>
        </w:rPr>
        <w:t>,</w:t>
      </w:r>
      <w:r w:rsidRPr="00632371">
        <w:rPr>
          <w:rFonts w:eastAsia="Malgun Gothic"/>
          <w:lang w:val="fr-FR"/>
        </w:rPr>
        <w:t xml:space="preserve"> </w:t>
      </w:r>
      <w:r w:rsidR="00A06CE8">
        <w:rPr>
          <w:rFonts w:eastAsia="Malgun Gothic"/>
          <w:lang w:val="fr-FR"/>
        </w:rPr>
        <w:t xml:space="preserve">et en intégrant </w:t>
      </w:r>
      <w:r w:rsidRPr="00632371">
        <w:rPr>
          <w:rFonts w:eastAsia="Malgun Gothic"/>
          <w:lang w:val="fr-FR"/>
        </w:rPr>
        <w:t>l</w:t>
      </w:r>
      <w:r w:rsidR="00923E72">
        <w:rPr>
          <w:rFonts w:eastAsia="Malgun Gothic"/>
          <w:lang w:val="fr-FR"/>
        </w:rPr>
        <w:t>’</w:t>
      </w:r>
      <w:r w:rsidRPr="00632371">
        <w:rPr>
          <w:rFonts w:eastAsia="Malgun Gothic"/>
          <w:lang w:val="fr-FR"/>
        </w:rPr>
        <w:t>Al</w:t>
      </w:r>
      <w:r>
        <w:rPr>
          <w:rFonts w:eastAsia="Malgun Gothic"/>
          <w:lang w:val="fr-FR"/>
        </w:rPr>
        <w:t xml:space="preserve"> </w:t>
      </w:r>
      <w:r w:rsidR="00923E72">
        <w:rPr>
          <w:rFonts w:eastAsia="Malgun Gothic"/>
          <w:lang w:val="fr-FR"/>
        </w:rPr>
        <w:t>‘</w:t>
      </w:r>
      <w:proofErr w:type="spellStart"/>
      <w:r>
        <w:rPr>
          <w:rFonts w:eastAsia="Malgun Gothic"/>
          <w:lang w:val="fr-FR"/>
        </w:rPr>
        <w:t>a</w:t>
      </w:r>
      <w:r w:rsidRPr="00632371">
        <w:rPr>
          <w:rFonts w:eastAsia="Malgun Gothic"/>
          <w:lang w:val="fr-FR"/>
        </w:rPr>
        <w:t>zi</w:t>
      </w:r>
      <w:proofErr w:type="spellEnd"/>
      <w:r w:rsidRPr="00632371">
        <w:rPr>
          <w:rFonts w:eastAsia="Malgun Gothic"/>
          <w:lang w:val="fr-FR"/>
        </w:rPr>
        <w:t xml:space="preserve"> dans le</w:t>
      </w:r>
      <w:r>
        <w:rPr>
          <w:rFonts w:eastAsia="Malgun Gothic"/>
          <w:lang w:val="fr-FR"/>
        </w:rPr>
        <w:t>s projets</w:t>
      </w:r>
      <w:r w:rsidRPr="00632371">
        <w:rPr>
          <w:rFonts w:eastAsia="Malgun Gothic"/>
          <w:lang w:val="fr-FR"/>
        </w:rPr>
        <w:t xml:space="preserve"> de l</w:t>
      </w:r>
      <w:r w:rsidR="00923E72">
        <w:rPr>
          <w:rFonts w:eastAsia="Malgun Gothic"/>
          <w:lang w:val="fr-FR"/>
        </w:rPr>
        <w:t>’</w:t>
      </w:r>
      <w:r>
        <w:rPr>
          <w:rFonts w:eastAsia="Malgun Gothic"/>
          <w:lang w:val="fr-FR"/>
        </w:rPr>
        <w:t>I</w:t>
      </w:r>
      <w:r w:rsidRPr="00632371">
        <w:rPr>
          <w:rFonts w:eastAsia="Malgun Gothic"/>
          <w:lang w:val="fr-FR"/>
        </w:rPr>
        <w:t>nstitut de formation pour les arts du spectacle, qui devait être créé en</w:t>
      </w:r>
      <w:r w:rsidR="00CB5654">
        <w:rPr>
          <w:rFonts w:eastAsia="Malgun Gothic"/>
          <w:lang w:val="fr-FR"/>
        </w:rPr>
        <w:t> </w:t>
      </w:r>
      <w:r w:rsidRPr="00632371">
        <w:rPr>
          <w:rFonts w:eastAsia="Malgun Gothic"/>
          <w:lang w:val="fr-FR"/>
        </w:rPr>
        <w:t xml:space="preserve">2023. Les Émirats arabes unis </w:t>
      </w:r>
      <w:r w:rsidR="005B1E2D">
        <w:rPr>
          <w:rFonts w:eastAsia="Malgun Gothic"/>
          <w:lang w:val="fr-FR"/>
        </w:rPr>
        <w:t xml:space="preserve">se sont engagés </w:t>
      </w:r>
      <w:r w:rsidRPr="00632371">
        <w:rPr>
          <w:rFonts w:eastAsia="Malgun Gothic"/>
          <w:lang w:val="fr-FR"/>
        </w:rPr>
        <w:t>à mettre en œuvre le plan défini dans le rapport périodique, en mettant l</w:t>
      </w:r>
      <w:r w:rsidR="00923E72">
        <w:rPr>
          <w:rFonts w:eastAsia="Malgun Gothic"/>
          <w:lang w:val="fr-FR"/>
        </w:rPr>
        <w:t>’</w:t>
      </w:r>
      <w:r w:rsidRPr="00632371">
        <w:rPr>
          <w:rFonts w:eastAsia="Malgun Gothic"/>
          <w:lang w:val="fr-FR"/>
        </w:rPr>
        <w:t>accent sur la sensibilisation de la communauté à son importance ainsi que sur l</w:t>
      </w:r>
      <w:r w:rsidR="00923E72">
        <w:rPr>
          <w:rFonts w:eastAsia="Malgun Gothic"/>
          <w:lang w:val="fr-FR"/>
        </w:rPr>
        <w:t>’</w:t>
      </w:r>
      <w:r w:rsidRPr="00632371">
        <w:rPr>
          <w:rFonts w:eastAsia="Malgun Gothic"/>
          <w:lang w:val="fr-FR"/>
        </w:rPr>
        <w:t>augmentation du nombre de praticiens et la consolidation de son statut parmi les autres arts du spectacle populaires au sein de la société locale.</w:t>
      </w:r>
    </w:p>
    <w:p w14:paraId="2F61D6A3" w14:textId="6CF7EE67" w:rsidR="000443DC" w:rsidRDefault="000443D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0443DC">
        <w:rPr>
          <w:rFonts w:eastAsia="Malgun Gothic"/>
          <w:lang w:val="fr-FR"/>
        </w:rPr>
        <w:t xml:space="preserve">La délégation de la </w:t>
      </w:r>
      <w:r w:rsidRPr="000443DC">
        <w:rPr>
          <w:rFonts w:eastAsia="Malgun Gothic"/>
          <w:b/>
          <w:bCs/>
          <w:lang w:val="fr-FR"/>
        </w:rPr>
        <w:t>Chine</w:t>
      </w:r>
      <w:r w:rsidRPr="000443DC">
        <w:rPr>
          <w:rFonts w:eastAsia="Malgun Gothic"/>
          <w:lang w:val="fr-FR"/>
        </w:rPr>
        <w:t xml:space="preserve"> a adressé ses sincères remerciements pour l</w:t>
      </w:r>
      <w:r w:rsidR="00923E72">
        <w:rPr>
          <w:rFonts w:eastAsia="Malgun Gothic"/>
          <w:lang w:val="fr-FR"/>
        </w:rPr>
        <w:t>’</w:t>
      </w:r>
      <w:r w:rsidRPr="000443DC">
        <w:rPr>
          <w:rFonts w:eastAsia="Malgun Gothic"/>
          <w:lang w:val="fr-FR"/>
        </w:rPr>
        <w:t>accueil chaleureux et l</w:t>
      </w:r>
      <w:r w:rsidR="00923E72">
        <w:rPr>
          <w:rFonts w:eastAsia="Malgun Gothic"/>
          <w:lang w:val="fr-FR"/>
        </w:rPr>
        <w:t>’</w:t>
      </w:r>
      <w:r w:rsidRPr="000443DC">
        <w:rPr>
          <w:rFonts w:eastAsia="Malgun Gothic"/>
          <w:lang w:val="fr-FR"/>
        </w:rPr>
        <w:t>hospitalité du Maroc. Le Comité avait examiné trois rapports soumis par la Chine sur des éléments inscrits sur la Liste de sauvegarde urgente. La Chine appréciait les recommandations formulées par le Comité et s</w:t>
      </w:r>
      <w:r w:rsidR="00923E72">
        <w:rPr>
          <w:rFonts w:eastAsia="Malgun Gothic"/>
          <w:lang w:val="fr-FR"/>
        </w:rPr>
        <w:t>’</w:t>
      </w:r>
      <w:r w:rsidRPr="000443DC">
        <w:rPr>
          <w:rFonts w:eastAsia="Malgun Gothic"/>
          <w:lang w:val="fr-FR"/>
        </w:rPr>
        <w:t xml:space="preserve">engageait à en tenir compte dans les cycles </w:t>
      </w:r>
      <w:r w:rsidRPr="000443DC">
        <w:rPr>
          <w:rFonts w:eastAsia="Malgun Gothic"/>
          <w:lang w:val="fr-FR"/>
        </w:rPr>
        <w:lastRenderedPageBreak/>
        <w:t>suivants afin d</w:t>
      </w:r>
      <w:r w:rsidR="00923E72">
        <w:rPr>
          <w:rFonts w:eastAsia="Malgun Gothic"/>
          <w:lang w:val="fr-FR"/>
        </w:rPr>
        <w:t>’</w:t>
      </w:r>
      <w:r w:rsidRPr="000443DC">
        <w:rPr>
          <w:rFonts w:eastAsia="Malgun Gothic"/>
          <w:lang w:val="fr-FR"/>
        </w:rPr>
        <w:t>améliorer la durabilité de ces éléments. La délégation a également noté que dans la décision</w:t>
      </w:r>
      <w:r w:rsidR="003B3969">
        <w:rPr>
          <w:rFonts w:eastAsia="Malgun Gothic"/>
          <w:lang w:val="fr-FR"/>
        </w:rPr>
        <w:t> </w:t>
      </w:r>
      <w:r w:rsidR="00344865">
        <w:rPr>
          <w:rFonts w:eastAsia="Malgun Gothic"/>
          <w:lang w:val="fr-FR"/>
        </w:rPr>
        <w:t>17.COM </w:t>
      </w:r>
      <w:r w:rsidRPr="000443DC">
        <w:rPr>
          <w:rFonts w:eastAsia="Malgun Gothic"/>
          <w:lang w:val="fr-FR"/>
        </w:rPr>
        <w:t>6.a, les demandes de transfert d</w:t>
      </w:r>
      <w:r w:rsidR="00923E72">
        <w:rPr>
          <w:rFonts w:eastAsia="Malgun Gothic"/>
          <w:lang w:val="fr-FR"/>
        </w:rPr>
        <w:t>’</w:t>
      </w:r>
      <w:r w:rsidRPr="000443DC">
        <w:rPr>
          <w:rFonts w:eastAsia="Malgun Gothic"/>
          <w:lang w:val="fr-FR"/>
        </w:rPr>
        <w:t>éléments de la Liste de sauvegarde urgente à la Liste représentative pouvaient être soumises par les États parties qui avaient présenté des rapports sur les éléments inscrits sur la Liste de sauvegarde urgente pour examen par la prochaine session avant le 30</w:t>
      </w:r>
      <w:r w:rsidR="003B3969">
        <w:rPr>
          <w:rFonts w:eastAsia="Malgun Gothic"/>
          <w:lang w:val="fr-FR"/>
        </w:rPr>
        <w:t> </w:t>
      </w:r>
      <w:r w:rsidRPr="000443DC">
        <w:rPr>
          <w:rFonts w:eastAsia="Malgun Gothic"/>
          <w:lang w:val="fr-FR"/>
        </w:rPr>
        <w:t>juin</w:t>
      </w:r>
      <w:r w:rsidR="003B3969">
        <w:rPr>
          <w:rFonts w:eastAsia="Malgun Gothic"/>
          <w:lang w:val="fr-FR"/>
        </w:rPr>
        <w:t> </w:t>
      </w:r>
      <w:r w:rsidRPr="000443DC">
        <w:rPr>
          <w:rFonts w:eastAsia="Malgun Gothic"/>
          <w:lang w:val="fr-FR"/>
        </w:rPr>
        <w:t xml:space="preserve">2023. Le report de la date limite pourrait </w:t>
      </w:r>
      <w:r w:rsidR="00344865">
        <w:rPr>
          <w:rFonts w:eastAsia="Malgun Gothic"/>
          <w:lang w:val="fr-FR"/>
        </w:rPr>
        <w:t xml:space="preserve">en effet </w:t>
      </w:r>
      <w:r w:rsidRPr="000443DC">
        <w:rPr>
          <w:rFonts w:eastAsia="Malgun Gothic"/>
          <w:lang w:val="fr-FR"/>
        </w:rPr>
        <w:t>garantir la participation large et entière des communautés concernées, tout au long du processus de transfert.</w:t>
      </w:r>
    </w:p>
    <w:p w14:paraId="271BF3F7" w14:textId="5E9A5DDE" w:rsidR="000443DC" w:rsidRDefault="000443D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0443DC">
        <w:rPr>
          <w:rFonts w:eastAsia="Malgun Gothic"/>
          <w:lang w:val="fr-FR"/>
        </w:rPr>
        <w:t xml:space="preserve">La délégation de </w:t>
      </w:r>
      <w:r w:rsidRPr="000443DC">
        <w:rPr>
          <w:rFonts w:eastAsia="Malgun Gothic"/>
          <w:b/>
          <w:bCs/>
          <w:lang w:val="fr-FR"/>
        </w:rPr>
        <w:t>Türkiye</w:t>
      </w:r>
      <w:r w:rsidRPr="000443DC">
        <w:rPr>
          <w:rFonts w:eastAsia="Malgun Gothic"/>
          <w:lang w:val="fr-FR"/>
        </w:rPr>
        <w:t xml:space="preserve"> a remercié les autorités marocaines pour leur accueil chaleureux et a félicité le Comité, l</w:t>
      </w:r>
      <w:r w:rsidR="00923E72">
        <w:rPr>
          <w:rFonts w:eastAsia="Malgun Gothic"/>
          <w:lang w:val="fr-FR"/>
        </w:rPr>
        <w:t>’</w:t>
      </w:r>
      <w:r w:rsidRPr="000443DC">
        <w:rPr>
          <w:rFonts w:eastAsia="Malgun Gothic"/>
          <w:lang w:val="fr-FR"/>
        </w:rPr>
        <w:t>Organe d</w:t>
      </w:r>
      <w:r w:rsidR="00923E72">
        <w:rPr>
          <w:rFonts w:eastAsia="Malgun Gothic"/>
          <w:lang w:val="fr-FR"/>
        </w:rPr>
        <w:t>’</w:t>
      </w:r>
      <w:r w:rsidRPr="000443DC">
        <w:rPr>
          <w:rFonts w:eastAsia="Malgun Gothic"/>
          <w:lang w:val="fr-FR"/>
        </w:rPr>
        <w:t>évaluation et le Secrétariat pour leurs efforts couronnés de succès. Elle a exprimé sa sincère gratitude au Comité et à l</w:t>
      </w:r>
      <w:r w:rsidR="00923E72">
        <w:rPr>
          <w:rFonts w:eastAsia="Malgun Gothic"/>
          <w:lang w:val="fr-FR"/>
        </w:rPr>
        <w:t>’</w:t>
      </w:r>
      <w:r w:rsidRPr="000443DC">
        <w:rPr>
          <w:rFonts w:eastAsia="Malgun Gothic"/>
          <w:lang w:val="fr-FR"/>
        </w:rPr>
        <w:t>Organe d</w:t>
      </w:r>
      <w:r w:rsidR="00923E72">
        <w:rPr>
          <w:rFonts w:eastAsia="Malgun Gothic"/>
          <w:lang w:val="fr-FR"/>
        </w:rPr>
        <w:t>’</w:t>
      </w:r>
      <w:r w:rsidRPr="000443DC">
        <w:rPr>
          <w:rFonts w:eastAsia="Malgun Gothic"/>
          <w:lang w:val="fr-FR"/>
        </w:rPr>
        <w:t>évaluation pour leur décision sur la situation actuelle d</w:t>
      </w:r>
      <w:r w:rsidR="00786648">
        <w:rPr>
          <w:rFonts w:eastAsia="Malgun Gothic"/>
          <w:lang w:val="fr-FR"/>
        </w:rPr>
        <w:t>e l</w:t>
      </w:r>
      <w:r w:rsidR="00923E72">
        <w:rPr>
          <w:rFonts w:eastAsia="Malgun Gothic"/>
          <w:lang w:val="fr-FR"/>
        </w:rPr>
        <w:t>’</w:t>
      </w:r>
      <w:r w:rsidR="00786648">
        <w:rPr>
          <w:rFonts w:eastAsia="Malgun Gothic"/>
          <w:lang w:val="fr-FR"/>
        </w:rPr>
        <w:t xml:space="preserve">élément </w:t>
      </w:r>
      <w:r w:rsidR="003B3969">
        <w:rPr>
          <w:rFonts w:eastAsia="Malgun Gothic"/>
          <w:lang w:val="fr-FR"/>
        </w:rPr>
        <w:t>« </w:t>
      </w:r>
      <w:r w:rsidR="00786648">
        <w:rPr>
          <w:rFonts w:eastAsia="Malgun Gothic"/>
          <w:lang w:val="fr-FR"/>
        </w:rPr>
        <w:t xml:space="preserve">Le </w:t>
      </w:r>
      <w:r w:rsidRPr="000443DC">
        <w:rPr>
          <w:rFonts w:eastAsia="Malgun Gothic"/>
          <w:lang w:val="fr-FR"/>
        </w:rPr>
        <w:t>langage sifflé</w:t>
      </w:r>
      <w:r w:rsidR="003B3969">
        <w:rPr>
          <w:rFonts w:eastAsia="Malgun Gothic"/>
          <w:lang w:val="fr-FR"/>
        </w:rPr>
        <w:t> »</w:t>
      </w:r>
      <w:r w:rsidRPr="000443DC">
        <w:rPr>
          <w:rFonts w:eastAsia="Malgun Gothic"/>
          <w:lang w:val="fr-FR"/>
        </w:rPr>
        <w:t>. C</w:t>
      </w:r>
      <w:r w:rsidR="00923E72">
        <w:rPr>
          <w:rFonts w:eastAsia="Malgun Gothic"/>
          <w:lang w:val="fr-FR"/>
        </w:rPr>
        <w:t>’</w:t>
      </w:r>
      <w:r w:rsidRPr="000443DC">
        <w:rPr>
          <w:rFonts w:eastAsia="Malgun Gothic"/>
          <w:lang w:val="fr-FR"/>
        </w:rPr>
        <w:t xml:space="preserve">était </w:t>
      </w:r>
      <w:r w:rsidR="006C144B">
        <w:rPr>
          <w:rFonts w:eastAsia="Malgun Gothic"/>
          <w:lang w:val="fr-FR"/>
        </w:rPr>
        <w:t xml:space="preserve">le </w:t>
      </w:r>
      <w:r w:rsidRPr="000443DC">
        <w:rPr>
          <w:rFonts w:eastAsia="Malgun Gothic"/>
          <w:lang w:val="fr-FR"/>
        </w:rPr>
        <w:t>premier rapport sur l</w:t>
      </w:r>
      <w:r w:rsidR="00923E72">
        <w:rPr>
          <w:rFonts w:eastAsia="Malgun Gothic"/>
          <w:lang w:val="fr-FR"/>
        </w:rPr>
        <w:t>’</w:t>
      </w:r>
      <w:r w:rsidRPr="000443DC">
        <w:rPr>
          <w:rFonts w:eastAsia="Malgun Gothic"/>
          <w:lang w:val="fr-FR"/>
        </w:rPr>
        <w:t>état actuel de l</w:t>
      </w:r>
      <w:r w:rsidR="00923E72">
        <w:rPr>
          <w:rFonts w:eastAsia="Malgun Gothic"/>
          <w:lang w:val="fr-FR"/>
        </w:rPr>
        <w:t>’</w:t>
      </w:r>
      <w:r w:rsidRPr="000443DC">
        <w:rPr>
          <w:rFonts w:eastAsia="Malgun Gothic"/>
          <w:lang w:val="fr-FR"/>
        </w:rPr>
        <w:t>élément inscrit en</w:t>
      </w:r>
      <w:r w:rsidR="001A7AF7">
        <w:rPr>
          <w:rFonts w:eastAsia="Malgun Gothic"/>
          <w:lang w:val="fr-FR"/>
        </w:rPr>
        <w:t> </w:t>
      </w:r>
      <w:r w:rsidRPr="000443DC">
        <w:rPr>
          <w:rFonts w:eastAsia="Malgun Gothic"/>
          <w:lang w:val="fr-FR"/>
        </w:rPr>
        <w:t>2017 sur la Liste de sauvegarde urgente. La délégation a rappelé que le langage sifflé, également connu sous le nom de langage des oiseaux, est utilisé pour communiquer sur de longues distances entre des habitats dispersés, en créant un son à l</w:t>
      </w:r>
      <w:r w:rsidR="00923E72">
        <w:rPr>
          <w:rFonts w:eastAsia="Malgun Gothic"/>
          <w:lang w:val="fr-FR"/>
        </w:rPr>
        <w:t>’</w:t>
      </w:r>
      <w:r w:rsidRPr="000443DC">
        <w:rPr>
          <w:rFonts w:eastAsia="Malgun Gothic"/>
          <w:lang w:val="fr-FR"/>
        </w:rPr>
        <w:t>aide des doigts, de la langue, des dents, des lèvres et des joues, qu</w:t>
      </w:r>
      <w:r w:rsidR="00923E72">
        <w:rPr>
          <w:rFonts w:eastAsia="Malgun Gothic"/>
          <w:lang w:val="fr-FR"/>
        </w:rPr>
        <w:t>’</w:t>
      </w:r>
      <w:r w:rsidRPr="000443DC">
        <w:rPr>
          <w:rFonts w:eastAsia="Malgun Gothic"/>
          <w:lang w:val="fr-FR"/>
        </w:rPr>
        <w:t xml:space="preserve">il est pratiqué par des personnes de tous âges et de tous sexes dans les communautés agricoles, principalement dans le village de </w:t>
      </w:r>
      <w:proofErr w:type="spellStart"/>
      <w:r w:rsidRPr="000443DC">
        <w:rPr>
          <w:rFonts w:eastAsia="Malgun Gothic"/>
          <w:lang w:val="fr-FR"/>
        </w:rPr>
        <w:t>Kuskoy</w:t>
      </w:r>
      <w:proofErr w:type="spellEnd"/>
      <w:r w:rsidRPr="000443DC">
        <w:rPr>
          <w:rFonts w:eastAsia="Malgun Gothic"/>
          <w:lang w:val="fr-FR"/>
        </w:rPr>
        <w:t>, le village des oiseaux, et qu</w:t>
      </w:r>
      <w:r w:rsidR="00923E72">
        <w:rPr>
          <w:rFonts w:eastAsia="Malgun Gothic"/>
          <w:lang w:val="fr-FR"/>
        </w:rPr>
        <w:t>’</w:t>
      </w:r>
      <w:r w:rsidRPr="000443DC">
        <w:rPr>
          <w:rFonts w:eastAsia="Malgun Gothic"/>
          <w:lang w:val="fr-FR"/>
        </w:rPr>
        <w:t>il renforce la cohésion sociale et la solidarité entre les habitants de la région. Au cours des cinq dernières années</w:t>
      </w:r>
      <w:r w:rsidR="006C144B">
        <w:rPr>
          <w:rFonts w:eastAsia="Malgun Gothic"/>
          <w:lang w:val="fr-FR"/>
        </w:rPr>
        <w:t>,</w:t>
      </w:r>
      <w:r w:rsidRPr="000443DC">
        <w:rPr>
          <w:rFonts w:eastAsia="Malgun Gothic"/>
          <w:lang w:val="fr-FR"/>
        </w:rPr>
        <w:t xml:space="preserve"> depuis son inscription, la mise en œuvre du plan de sauvegarde</w:t>
      </w:r>
      <w:r w:rsidR="006C144B">
        <w:rPr>
          <w:rFonts w:eastAsia="Malgun Gothic"/>
          <w:lang w:val="fr-FR"/>
        </w:rPr>
        <w:t xml:space="preserve"> </w:t>
      </w:r>
      <w:r w:rsidRPr="000443DC">
        <w:rPr>
          <w:rFonts w:eastAsia="Malgun Gothic"/>
          <w:lang w:val="fr-FR"/>
        </w:rPr>
        <w:t>du langage sifflé avait permis d</w:t>
      </w:r>
      <w:r w:rsidR="00923E72">
        <w:rPr>
          <w:rFonts w:eastAsia="Malgun Gothic"/>
          <w:lang w:val="fr-FR"/>
        </w:rPr>
        <w:t>’</w:t>
      </w:r>
      <w:r w:rsidRPr="000443DC">
        <w:rPr>
          <w:rFonts w:eastAsia="Malgun Gothic"/>
          <w:lang w:val="fr-FR"/>
        </w:rPr>
        <w:t>observer une augmentation du nombre de praticiens, ainsi qu</w:t>
      </w:r>
      <w:r w:rsidR="00923E72">
        <w:rPr>
          <w:rFonts w:eastAsia="Malgun Gothic"/>
          <w:lang w:val="fr-FR"/>
        </w:rPr>
        <w:t>’</w:t>
      </w:r>
      <w:r w:rsidRPr="000443DC">
        <w:rPr>
          <w:rFonts w:eastAsia="Malgun Gothic"/>
          <w:lang w:val="fr-FR"/>
        </w:rPr>
        <w:t>une augmentation de la reconnaissance de l</w:t>
      </w:r>
      <w:r w:rsidR="00923E72">
        <w:rPr>
          <w:rFonts w:eastAsia="Malgun Gothic"/>
          <w:lang w:val="fr-FR"/>
        </w:rPr>
        <w:t>’</w:t>
      </w:r>
      <w:r w:rsidRPr="000443DC">
        <w:rPr>
          <w:rFonts w:eastAsia="Malgun Gothic"/>
          <w:lang w:val="fr-FR"/>
        </w:rPr>
        <w:t>élément. La Türkiye continuerait à mettre l</w:t>
      </w:r>
      <w:r w:rsidR="00923E72">
        <w:rPr>
          <w:rFonts w:eastAsia="Malgun Gothic"/>
          <w:lang w:val="fr-FR"/>
        </w:rPr>
        <w:t>’</w:t>
      </w:r>
      <w:r w:rsidRPr="000443DC">
        <w:rPr>
          <w:rFonts w:eastAsia="Malgun Gothic"/>
          <w:lang w:val="fr-FR"/>
        </w:rPr>
        <w:t>accent sur la mise à jour de son plan de sauvegarde, sur le développement des opportunités et des possibilités de transmission de l</w:t>
      </w:r>
      <w:r w:rsidR="00923E72">
        <w:rPr>
          <w:rFonts w:eastAsia="Malgun Gothic"/>
          <w:lang w:val="fr-FR"/>
        </w:rPr>
        <w:t>’</w:t>
      </w:r>
      <w:r w:rsidRPr="000443DC">
        <w:rPr>
          <w:rFonts w:eastAsia="Malgun Gothic"/>
          <w:lang w:val="fr-FR"/>
        </w:rPr>
        <w:t>élément, sur l</w:t>
      </w:r>
      <w:r w:rsidR="00923E72">
        <w:rPr>
          <w:rFonts w:eastAsia="Malgun Gothic"/>
          <w:lang w:val="fr-FR"/>
        </w:rPr>
        <w:t>’</w:t>
      </w:r>
      <w:r w:rsidRPr="000443DC">
        <w:rPr>
          <w:rFonts w:eastAsia="Malgun Gothic"/>
          <w:lang w:val="fr-FR"/>
        </w:rPr>
        <w:t>augmentation du nombre de praticiens et sur la sensibilisation au langage sifflé</w:t>
      </w:r>
      <w:r w:rsidR="006C144B">
        <w:rPr>
          <w:rFonts w:eastAsia="Malgun Gothic"/>
          <w:lang w:val="fr-FR"/>
        </w:rPr>
        <w:t>.</w:t>
      </w:r>
    </w:p>
    <w:p w14:paraId="4E1F9AF7" w14:textId="3C6DD933" w:rsidR="006C144B" w:rsidRDefault="006C144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6C144B">
        <w:rPr>
          <w:rFonts w:eastAsia="Malgun Gothic"/>
          <w:lang w:val="fr-FR"/>
        </w:rPr>
        <w:t xml:space="preserve">La délégation de </w:t>
      </w:r>
      <w:r w:rsidRPr="006C144B">
        <w:rPr>
          <w:rFonts w:eastAsia="Malgun Gothic"/>
          <w:b/>
          <w:bCs/>
          <w:lang w:val="fr-FR"/>
        </w:rPr>
        <w:t>Maurice</w:t>
      </w:r>
      <w:r w:rsidRPr="006C144B">
        <w:rPr>
          <w:rFonts w:eastAsia="Malgun Gothic"/>
          <w:lang w:val="fr-FR"/>
        </w:rPr>
        <w:t xml:space="preserve"> a félicité et remercié le Maroc pour </w:t>
      </w:r>
      <w:r w:rsidR="00243CEE">
        <w:rPr>
          <w:rFonts w:eastAsia="Malgun Gothic"/>
          <w:lang w:val="fr-FR"/>
        </w:rPr>
        <w:t xml:space="preserve">son </w:t>
      </w:r>
      <w:r w:rsidRPr="006C144B">
        <w:rPr>
          <w:rFonts w:eastAsia="Malgun Gothic"/>
          <w:lang w:val="fr-FR"/>
        </w:rPr>
        <w:t xml:space="preserve">accueil chaleureux et </w:t>
      </w:r>
      <w:r w:rsidR="00243CEE">
        <w:rPr>
          <w:rFonts w:eastAsia="Malgun Gothic"/>
          <w:lang w:val="fr-FR"/>
        </w:rPr>
        <w:t xml:space="preserve">son </w:t>
      </w:r>
      <w:r w:rsidRPr="006C144B">
        <w:rPr>
          <w:rFonts w:eastAsia="Malgun Gothic"/>
          <w:lang w:val="fr-FR"/>
        </w:rPr>
        <w:t xml:space="preserve">hospitalité, adressant également ses remerciements au Secrétariat pour son travail remarquable et pour tout le soutien apporté aux États parties. Maurice, et en particulier la communauté chagossienne, a salué la décision du Comité </w:t>
      </w:r>
      <w:r w:rsidR="00243CEE">
        <w:rPr>
          <w:rFonts w:eastAsia="Malgun Gothic"/>
          <w:lang w:val="fr-FR"/>
        </w:rPr>
        <w:t xml:space="preserve">concernant </w:t>
      </w:r>
      <w:r w:rsidR="00344865">
        <w:rPr>
          <w:rFonts w:eastAsia="Malgun Gothic"/>
          <w:lang w:val="fr-FR"/>
        </w:rPr>
        <w:t>son</w:t>
      </w:r>
      <w:r w:rsidR="00243CEE">
        <w:rPr>
          <w:rFonts w:eastAsia="Malgun Gothic"/>
          <w:lang w:val="fr-FR"/>
        </w:rPr>
        <w:t xml:space="preserve"> </w:t>
      </w:r>
      <w:r w:rsidRPr="006C144B">
        <w:rPr>
          <w:rFonts w:eastAsia="Malgun Gothic"/>
          <w:lang w:val="fr-FR"/>
        </w:rPr>
        <w:t xml:space="preserve">premier rapport biennal soumis </w:t>
      </w:r>
      <w:r w:rsidR="00243CEE">
        <w:rPr>
          <w:rFonts w:eastAsia="Malgun Gothic"/>
          <w:lang w:val="fr-FR"/>
        </w:rPr>
        <w:t xml:space="preserve">sur </w:t>
      </w:r>
      <w:r w:rsidRPr="006C144B">
        <w:rPr>
          <w:rFonts w:eastAsia="Malgun Gothic"/>
          <w:lang w:val="fr-FR"/>
        </w:rPr>
        <w:t>la sauvegarde d</w:t>
      </w:r>
      <w:r w:rsidR="00786648">
        <w:rPr>
          <w:rFonts w:eastAsia="Malgun Gothic"/>
          <w:lang w:val="fr-FR"/>
        </w:rPr>
        <w:t>e l</w:t>
      </w:r>
      <w:r w:rsidR="00923E72">
        <w:rPr>
          <w:rFonts w:eastAsia="Malgun Gothic"/>
          <w:lang w:val="fr-FR"/>
        </w:rPr>
        <w:t>’</w:t>
      </w:r>
      <w:r w:rsidR="00786648">
        <w:rPr>
          <w:rFonts w:eastAsia="Malgun Gothic"/>
          <w:lang w:val="fr-FR"/>
        </w:rPr>
        <w:t>élément</w:t>
      </w:r>
      <w:r w:rsidRPr="006C144B">
        <w:rPr>
          <w:rFonts w:eastAsia="Malgun Gothic"/>
          <w:lang w:val="fr-FR"/>
        </w:rPr>
        <w:t xml:space="preserve"> </w:t>
      </w:r>
      <w:r w:rsidR="003B3969">
        <w:rPr>
          <w:rFonts w:eastAsia="Malgun Gothic"/>
          <w:lang w:val="fr-FR"/>
        </w:rPr>
        <w:t>« </w:t>
      </w:r>
      <w:r w:rsidR="00786648">
        <w:rPr>
          <w:rFonts w:eastAsia="Malgun Gothic"/>
          <w:lang w:val="fr-FR"/>
        </w:rPr>
        <w:t xml:space="preserve">Le </w:t>
      </w:r>
      <w:r w:rsidRPr="006C144B">
        <w:rPr>
          <w:rFonts w:eastAsia="Malgun Gothic"/>
          <w:lang w:val="fr-FR"/>
        </w:rPr>
        <w:t>ség</w:t>
      </w:r>
      <w:r w:rsidR="00786648">
        <w:rPr>
          <w:rFonts w:eastAsia="Malgun Gothic"/>
          <w:lang w:val="fr-FR"/>
        </w:rPr>
        <w:t>a</w:t>
      </w:r>
      <w:r w:rsidRPr="006C144B">
        <w:rPr>
          <w:rFonts w:eastAsia="Malgun Gothic"/>
          <w:lang w:val="fr-FR"/>
        </w:rPr>
        <w:t xml:space="preserve"> tambour des Chagos</w:t>
      </w:r>
      <w:r w:rsidR="003B3969">
        <w:rPr>
          <w:rFonts w:eastAsia="Malgun Gothic"/>
          <w:lang w:val="fr-FR"/>
        </w:rPr>
        <w:t> »</w:t>
      </w:r>
      <w:r w:rsidRPr="006C144B">
        <w:rPr>
          <w:rFonts w:eastAsia="Malgun Gothic"/>
          <w:lang w:val="fr-FR"/>
        </w:rPr>
        <w:t>, suite à son inscription en</w:t>
      </w:r>
      <w:r w:rsidR="00AF6B98">
        <w:rPr>
          <w:rFonts w:eastAsia="Malgun Gothic"/>
          <w:lang w:val="fr-FR"/>
        </w:rPr>
        <w:t> </w:t>
      </w:r>
      <w:r w:rsidRPr="006C144B">
        <w:rPr>
          <w:rFonts w:eastAsia="Malgun Gothic"/>
          <w:lang w:val="fr-FR"/>
        </w:rPr>
        <w:t xml:space="preserve">2019 sur la Liste de sauvegarde urgente. La délégation a rappelé que le séga tambour </w:t>
      </w:r>
      <w:r w:rsidR="00243CEE">
        <w:rPr>
          <w:rFonts w:eastAsia="Malgun Gothic"/>
          <w:lang w:val="fr-FR"/>
        </w:rPr>
        <w:t xml:space="preserve">des </w:t>
      </w:r>
      <w:r w:rsidRPr="006C144B">
        <w:rPr>
          <w:rFonts w:eastAsia="Malgun Gothic"/>
          <w:lang w:val="fr-FR"/>
        </w:rPr>
        <w:t>Chagos est l</w:t>
      </w:r>
      <w:r w:rsidR="00923E72">
        <w:rPr>
          <w:rFonts w:eastAsia="Malgun Gothic"/>
          <w:lang w:val="fr-FR"/>
        </w:rPr>
        <w:t>’</w:t>
      </w:r>
      <w:r w:rsidRPr="006C144B">
        <w:rPr>
          <w:rFonts w:eastAsia="Malgun Gothic"/>
          <w:lang w:val="fr-FR"/>
        </w:rPr>
        <w:t>un des riches éléments du patrimoine culturel immatériel de l</w:t>
      </w:r>
      <w:r w:rsidR="00923E72">
        <w:rPr>
          <w:rFonts w:eastAsia="Malgun Gothic"/>
          <w:lang w:val="fr-FR"/>
        </w:rPr>
        <w:t>’</w:t>
      </w:r>
      <w:r w:rsidRPr="006C144B">
        <w:rPr>
          <w:rFonts w:eastAsia="Malgun Gothic"/>
          <w:lang w:val="fr-FR"/>
        </w:rPr>
        <w:t>archipel des Chagos, qui fait partie du territoire de Maurice. Maurice s</w:t>
      </w:r>
      <w:r w:rsidR="00923E72">
        <w:rPr>
          <w:rFonts w:eastAsia="Malgun Gothic"/>
          <w:lang w:val="fr-FR"/>
        </w:rPr>
        <w:t>’</w:t>
      </w:r>
      <w:r w:rsidRPr="006C144B">
        <w:rPr>
          <w:rFonts w:eastAsia="Malgun Gothic"/>
          <w:lang w:val="fr-FR"/>
        </w:rPr>
        <w:t>était engagé à assurer la sauvegarde du séga, tambour des Chagos. Il s</w:t>
      </w:r>
      <w:r w:rsidR="00923E72">
        <w:rPr>
          <w:rFonts w:eastAsia="Malgun Gothic"/>
          <w:lang w:val="fr-FR"/>
        </w:rPr>
        <w:t>’</w:t>
      </w:r>
      <w:r w:rsidRPr="006C144B">
        <w:rPr>
          <w:rFonts w:eastAsia="Malgun Gothic"/>
          <w:lang w:val="fr-FR"/>
        </w:rPr>
        <w:t>agissait d</w:t>
      </w:r>
      <w:r w:rsidR="00923E72">
        <w:rPr>
          <w:rFonts w:eastAsia="Malgun Gothic"/>
          <w:lang w:val="fr-FR"/>
        </w:rPr>
        <w:t>’</w:t>
      </w:r>
      <w:r w:rsidRPr="006C144B">
        <w:rPr>
          <w:rFonts w:eastAsia="Malgun Gothic"/>
          <w:lang w:val="fr-FR"/>
        </w:rPr>
        <w:t>un important moyen de communication sociale entre les membres d</w:t>
      </w:r>
      <w:r w:rsidR="00923E72">
        <w:rPr>
          <w:rFonts w:eastAsia="Malgun Gothic"/>
          <w:lang w:val="fr-FR"/>
        </w:rPr>
        <w:t>’</w:t>
      </w:r>
      <w:r w:rsidRPr="006C144B">
        <w:rPr>
          <w:rFonts w:eastAsia="Malgun Gothic"/>
          <w:lang w:val="fr-FR"/>
        </w:rPr>
        <w:t>une même famille et le grand public, qui les réunissait pour des échanges significatifs et mémorables, accompagnés d</w:t>
      </w:r>
      <w:r w:rsidR="00923E72">
        <w:rPr>
          <w:rFonts w:eastAsia="Malgun Gothic"/>
          <w:lang w:val="fr-FR"/>
        </w:rPr>
        <w:t>’</w:t>
      </w:r>
      <w:r w:rsidRPr="006C144B">
        <w:rPr>
          <w:rFonts w:eastAsia="Malgun Gothic"/>
          <w:lang w:val="fr-FR"/>
        </w:rPr>
        <w:t>émotions intenses. Il racontait l</w:t>
      </w:r>
      <w:r w:rsidR="00923E72">
        <w:rPr>
          <w:rFonts w:eastAsia="Malgun Gothic"/>
          <w:lang w:val="fr-FR"/>
        </w:rPr>
        <w:t>’</w:t>
      </w:r>
      <w:r w:rsidRPr="006C144B">
        <w:rPr>
          <w:rFonts w:eastAsia="Malgun Gothic"/>
          <w:lang w:val="fr-FR"/>
        </w:rPr>
        <w:t xml:space="preserve">histoire de la communauté chagossienne dans sa vie quotidienne et son aspiration à retourner sur son lieu de naissance. Le Gouvernement </w:t>
      </w:r>
      <w:r w:rsidR="00243CEE">
        <w:rPr>
          <w:rFonts w:eastAsia="Malgun Gothic"/>
          <w:lang w:val="fr-FR"/>
        </w:rPr>
        <w:t>de Maurice</w:t>
      </w:r>
      <w:r w:rsidRPr="006C144B">
        <w:rPr>
          <w:rFonts w:eastAsia="Malgun Gothic"/>
          <w:lang w:val="fr-FR"/>
        </w:rPr>
        <w:t>, par l</w:t>
      </w:r>
      <w:r w:rsidR="00923E72">
        <w:rPr>
          <w:rFonts w:eastAsia="Malgun Gothic"/>
          <w:lang w:val="fr-FR"/>
        </w:rPr>
        <w:t>’</w:t>
      </w:r>
      <w:r w:rsidRPr="006C144B">
        <w:rPr>
          <w:rFonts w:eastAsia="Malgun Gothic"/>
          <w:lang w:val="fr-FR"/>
        </w:rPr>
        <w:t>intermédiaire du Fonds du patrimoine national et sous l</w:t>
      </w:r>
      <w:r w:rsidR="00923E72">
        <w:rPr>
          <w:rFonts w:eastAsia="Malgun Gothic"/>
          <w:lang w:val="fr-FR"/>
        </w:rPr>
        <w:t>’</w:t>
      </w:r>
      <w:r w:rsidRPr="006C144B">
        <w:rPr>
          <w:rFonts w:eastAsia="Malgun Gothic"/>
          <w:lang w:val="fr-FR"/>
        </w:rPr>
        <w:t xml:space="preserve">égide du ministère des Arts et du Patrimoine culturel, veillait à ce que la communauté participe à sa sauvegarde. Le Gouvernement soutenait financièrement et logistiquement le </w:t>
      </w:r>
      <w:proofErr w:type="spellStart"/>
      <w:r w:rsidRPr="00702497">
        <w:rPr>
          <w:rFonts w:eastAsia="Malgun Gothic"/>
          <w:lang w:val="fr-FR"/>
        </w:rPr>
        <w:t>Chagossian</w:t>
      </w:r>
      <w:proofErr w:type="spellEnd"/>
      <w:r w:rsidRPr="00702497">
        <w:rPr>
          <w:rFonts w:eastAsia="Malgun Gothic"/>
          <w:lang w:val="fr-FR"/>
        </w:rPr>
        <w:t xml:space="preserve"> </w:t>
      </w:r>
      <w:proofErr w:type="spellStart"/>
      <w:r w:rsidRPr="00702497">
        <w:rPr>
          <w:rFonts w:eastAsia="Malgun Gothic"/>
          <w:lang w:val="fr-FR"/>
        </w:rPr>
        <w:t>Welfare</w:t>
      </w:r>
      <w:proofErr w:type="spellEnd"/>
      <w:r w:rsidRPr="00702497">
        <w:rPr>
          <w:rFonts w:eastAsia="Malgun Gothic"/>
          <w:lang w:val="fr-FR"/>
        </w:rPr>
        <w:t xml:space="preserve"> </w:t>
      </w:r>
      <w:proofErr w:type="spellStart"/>
      <w:r w:rsidRPr="00702497">
        <w:rPr>
          <w:rFonts w:eastAsia="Malgun Gothic"/>
          <w:lang w:val="fr-FR"/>
        </w:rPr>
        <w:t>Fund</w:t>
      </w:r>
      <w:proofErr w:type="spellEnd"/>
      <w:r w:rsidRPr="006C144B">
        <w:rPr>
          <w:rFonts w:eastAsia="Malgun Gothic"/>
          <w:lang w:val="fr-FR"/>
        </w:rPr>
        <w:t xml:space="preserve"> pour sensibiliser les jeunes à l</w:t>
      </w:r>
      <w:r w:rsidR="00923E72">
        <w:rPr>
          <w:rFonts w:eastAsia="Malgun Gothic"/>
          <w:lang w:val="fr-FR"/>
        </w:rPr>
        <w:t>’</w:t>
      </w:r>
      <w:r w:rsidRPr="006C144B">
        <w:rPr>
          <w:rFonts w:eastAsia="Malgun Gothic"/>
          <w:lang w:val="fr-FR"/>
        </w:rPr>
        <w:t>importance de ce patrimoine. Il s</w:t>
      </w:r>
      <w:r w:rsidR="00923E72">
        <w:rPr>
          <w:rFonts w:eastAsia="Malgun Gothic"/>
          <w:lang w:val="fr-FR"/>
        </w:rPr>
        <w:t>’</w:t>
      </w:r>
      <w:r w:rsidRPr="006C144B">
        <w:rPr>
          <w:rFonts w:eastAsia="Malgun Gothic"/>
          <w:lang w:val="fr-FR"/>
        </w:rPr>
        <w:t xml:space="preserve">était pleinement engagé à faire participer les jeunes. La sauvegarde de ce patrimoine immatériel avait connu une évolution positive grâce aux efforts incessants du Gouvernement, de la communauté et du </w:t>
      </w:r>
      <w:proofErr w:type="spellStart"/>
      <w:r w:rsidRPr="00702497">
        <w:rPr>
          <w:rFonts w:eastAsia="Malgun Gothic"/>
          <w:lang w:val="fr-FR"/>
        </w:rPr>
        <w:t>Chagossian</w:t>
      </w:r>
      <w:proofErr w:type="spellEnd"/>
      <w:r w:rsidRPr="00702497">
        <w:rPr>
          <w:rFonts w:eastAsia="Malgun Gothic"/>
          <w:lang w:val="fr-FR"/>
        </w:rPr>
        <w:t xml:space="preserve"> </w:t>
      </w:r>
      <w:proofErr w:type="spellStart"/>
      <w:r w:rsidRPr="00702497">
        <w:rPr>
          <w:rFonts w:eastAsia="Malgun Gothic"/>
          <w:lang w:val="fr-FR"/>
        </w:rPr>
        <w:t>Welfare</w:t>
      </w:r>
      <w:proofErr w:type="spellEnd"/>
      <w:r w:rsidRPr="00702497">
        <w:rPr>
          <w:rFonts w:eastAsia="Malgun Gothic"/>
          <w:lang w:val="fr-FR"/>
        </w:rPr>
        <w:t xml:space="preserve"> </w:t>
      </w:r>
      <w:proofErr w:type="spellStart"/>
      <w:r w:rsidRPr="00702497">
        <w:rPr>
          <w:rFonts w:eastAsia="Malgun Gothic"/>
          <w:lang w:val="fr-FR"/>
        </w:rPr>
        <w:t>Fund</w:t>
      </w:r>
      <w:proofErr w:type="spellEnd"/>
      <w:r w:rsidRPr="00F935B6">
        <w:rPr>
          <w:rFonts w:eastAsia="Malgun Gothic"/>
          <w:lang w:val="fr-FR"/>
        </w:rPr>
        <w:t xml:space="preserve">. </w:t>
      </w:r>
      <w:r w:rsidRPr="006C144B">
        <w:rPr>
          <w:rFonts w:eastAsia="Malgun Gothic"/>
          <w:lang w:val="fr-FR"/>
        </w:rPr>
        <w:t>Afin de consolider les nouvelles évolutions positives et de s</w:t>
      </w:r>
      <w:r w:rsidR="00923E72">
        <w:rPr>
          <w:rFonts w:eastAsia="Malgun Gothic"/>
          <w:lang w:val="fr-FR"/>
        </w:rPr>
        <w:t>’</w:t>
      </w:r>
      <w:r w:rsidRPr="006C144B">
        <w:rPr>
          <w:rFonts w:eastAsia="Malgun Gothic"/>
          <w:lang w:val="fr-FR"/>
        </w:rPr>
        <w:t>assurer que l</w:t>
      </w:r>
      <w:r w:rsidR="00923E72">
        <w:rPr>
          <w:rFonts w:eastAsia="Malgun Gothic"/>
          <w:lang w:val="fr-FR"/>
        </w:rPr>
        <w:t>’</w:t>
      </w:r>
      <w:r w:rsidRPr="006C144B">
        <w:rPr>
          <w:rFonts w:eastAsia="Malgun Gothic"/>
          <w:lang w:val="fr-FR"/>
        </w:rPr>
        <w:t xml:space="preserve">élément était sur la voie du rétablissement, deux écoles de tambour </w:t>
      </w:r>
      <w:r w:rsidR="003B3969">
        <w:rPr>
          <w:rFonts w:eastAsia="Malgun Gothic"/>
          <w:lang w:val="fr-FR"/>
        </w:rPr>
        <w:t>des C</w:t>
      </w:r>
      <w:r w:rsidRPr="006C144B">
        <w:rPr>
          <w:rFonts w:eastAsia="Malgun Gothic"/>
          <w:lang w:val="fr-FR"/>
        </w:rPr>
        <w:t>hagos avaient été ouvertes en octobre</w:t>
      </w:r>
      <w:r w:rsidR="00243CEE">
        <w:rPr>
          <w:rFonts w:eastAsia="Malgun Gothic"/>
          <w:lang w:val="fr-FR"/>
        </w:rPr>
        <w:t> </w:t>
      </w:r>
      <w:r w:rsidRPr="006C144B">
        <w:rPr>
          <w:rFonts w:eastAsia="Malgun Gothic"/>
          <w:lang w:val="fr-FR"/>
        </w:rPr>
        <w:t xml:space="preserve">2021 pour permettre aux enfants et aux jeunes de se familiariser avec cet élément. Elles participaient à plusieurs événements culturels nationaux. Maurice a réitéré son engagement à poursuivre ses efforts </w:t>
      </w:r>
      <w:r w:rsidR="00243CEE">
        <w:rPr>
          <w:rFonts w:eastAsia="Malgun Gothic"/>
          <w:lang w:val="fr-FR"/>
        </w:rPr>
        <w:t>de</w:t>
      </w:r>
      <w:r w:rsidRPr="006C144B">
        <w:rPr>
          <w:rFonts w:eastAsia="Malgun Gothic"/>
          <w:lang w:val="fr-FR"/>
        </w:rPr>
        <w:t xml:space="preserve"> sauvegarde, </w:t>
      </w:r>
      <w:r w:rsidR="00243CEE">
        <w:rPr>
          <w:rFonts w:eastAsia="Malgun Gothic"/>
          <w:lang w:val="fr-FR"/>
        </w:rPr>
        <w:t>de</w:t>
      </w:r>
      <w:r w:rsidRPr="006C144B">
        <w:rPr>
          <w:rFonts w:eastAsia="Malgun Gothic"/>
          <w:lang w:val="fr-FR"/>
        </w:rPr>
        <w:t xml:space="preserve"> promotion et </w:t>
      </w:r>
      <w:r w:rsidR="00243CEE">
        <w:rPr>
          <w:rFonts w:eastAsia="Malgun Gothic"/>
          <w:lang w:val="fr-FR"/>
        </w:rPr>
        <w:t>de</w:t>
      </w:r>
      <w:r w:rsidRPr="006C144B">
        <w:rPr>
          <w:rFonts w:eastAsia="Malgun Gothic"/>
          <w:lang w:val="fr-FR"/>
        </w:rPr>
        <w:t xml:space="preserve"> transmission du séga, tambour des Chagos, en particulier parmi les membres du cercle familial, les jeunes, les détenteurs et la communauté chagossienne dans son ensemble. Maurice souscrivait pleinement aux idéaux de l</w:t>
      </w:r>
      <w:r w:rsidR="00923E72">
        <w:rPr>
          <w:rFonts w:eastAsia="Malgun Gothic"/>
          <w:lang w:val="fr-FR"/>
        </w:rPr>
        <w:t>’</w:t>
      </w:r>
      <w:r w:rsidRPr="006C144B">
        <w:rPr>
          <w:rFonts w:eastAsia="Malgun Gothic"/>
          <w:lang w:val="fr-FR"/>
        </w:rPr>
        <w:t>UNESCO et était pleinement engagée dans la mise en œuvre effective des conventions auxquelles elle avait souscrit, pour le bien-être et le bien commun de la population. Maurice collaborerait pleinement avec l</w:t>
      </w:r>
      <w:r w:rsidR="00923E72">
        <w:rPr>
          <w:rFonts w:eastAsia="Malgun Gothic"/>
          <w:lang w:val="fr-FR"/>
        </w:rPr>
        <w:t>’</w:t>
      </w:r>
      <w:r w:rsidRPr="006C144B">
        <w:rPr>
          <w:rFonts w:eastAsia="Malgun Gothic"/>
          <w:lang w:val="fr-FR"/>
        </w:rPr>
        <w:t>UNESCO à l</w:t>
      </w:r>
      <w:r w:rsidR="00923E72">
        <w:rPr>
          <w:rFonts w:eastAsia="Malgun Gothic"/>
          <w:lang w:val="fr-FR"/>
        </w:rPr>
        <w:t>’</w:t>
      </w:r>
      <w:r w:rsidRPr="006C144B">
        <w:rPr>
          <w:rFonts w:eastAsia="Malgun Gothic"/>
          <w:lang w:val="fr-FR"/>
        </w:rPr>
        <w:t>avenir et l</w:t>
      </w:r>
      <w:r w:rsidR="00923E72">
        <w:rPr>
          <w:rFonts w:eastAsia="Malgun Gothic"/>
          <w:lang w:val="fr-FR"/>
        </w:rPr>
        <w:t>’</w:t>
      </w:r>
      <w:r w:rsidRPr="006C144B">
        <w:rPr>
          <w:rFonts w:eastAsia="Malgun Gothic"/>
          <w:lang w:val="fr-FR"/>
        </w:rPr>
        <w:t xml:space="preserve">aiderait dans ses efforts </w:t>
      </w:r>
      <w:r w:rsidR="00243CEE">
        <w:rPr>
          <w:rFonts w:eastAsia="Malgun Gothic"/>
          <w:lang w:val="fr-FR"/>
        </w:rPr>
        <w:t xml:space="preserve">déployés sans relâche </w:t>
      </w:r>
      <w:r w:rsidRPr="006C144B">
        <w:rPr>
          <w:rFonts w:eastAsia="Malgun Gothic"/>
          <w:lang w:val="fr-FR"/>
        </w:rPr>
        <w:t>pour promouvoir et soutenir la culture et le patrimoine dans le monde entier.</w:t>
      </w:r>
    </w:p>
    <w:p w14:paraId="4E7BFAAD" w14:textId="21FAED45" w:rsidR="00243CEE" w:rsidRDefault="005875D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875DE">
        <w:rPr>
          <w:rFonts w:eastAsia="Malgun Gothic"/>
          <w:lang w:val="fr-FR"/>
        </w:rPr>
        <w:lastRenderedPageBreak/>
        <w:t xml:space="preserve">La délégation de la </w:t>
      </w:r>
      <w:r w:rsidRPr="005875DE">
        <w:rPr>
          <w:rFonts w:eastAsia="Malgun Gothic"/>
          <w:b/>
          <w:bCs/>
          <w:lang w:val="fr-FR"/>
        </w:rPr>
        <w:t>Lettonie</w:t>
      </w:r>
      <w:r w:rsidRPr="005875DE">
        <w:rPr>
          <w:rFonts w:eastAsia="Malgun Gothic"/>
          <w:lang w:val="fr-FR"/>
        </w:rPr>
        <w:t xml:space="preserve"> a remercié le Maroc d</w:t>
      </w:r>
      <w:r w:rsidR="00923E72">
        <w:rPr>
          <w:rFonts w:eastAsia="Malgun Gothic"/>
          <w:lang w:val="fr-FR"/>
        </w:rPr>
        <w:t>’</w:t>
      </w:r>
      <w:r w:rsidRPr="005875DE">
        <w:rPr>
          <w:rFonts w:eastAsia="Malgun Gothic"/>
          <w:lang w:val="fr-FR"/>
        </w:rPr>
        <w:t xml:space="preserve">accueillir cette session ainsi que le Comité pour sa décision et ses conseils avisés </w:t>
      </w:r>
      <w:r w:rsidR="00344865">
        <w:rPr>
          <w:rFonts w:eastAsia="Malgun Gothic"/>
          <w:lang w:val="fr-FR"/>
        </w:rPr>
        <w:t>en faveur de</w:t>
      </w:r>
      <w:r w:rsidRPr="005875DE">
        <w:rPr>
          <w:rFonts w:eastAsia="Malgun Gothic"/>
          <w:lang w:val="fr-FR"/>
        </w:rPr>
        <w:t xml:space="preserve"> la sauvegarde future de </w:t>
      </w:r>
      <w:r w:rsidR="003B3969">
        <w:rPr>
          <w:rFonts w:eastAsia="Malgun Gothic"/>
          <w:lang w:val="fr-FR"/>
        </w:rPr>
        <w:t>« L</w:t>
      </w:r>
      <w:r w:rsidR="00923E72">
        <w:rPr>
          <w:rFonts w:eastAsia="Malgun Gothic"/>
          <w:lang w:val="fr-FR"/>
        </w:rPr>
        <w:t>’</w:t>
      </w:r>
      <w:r w:rsidRPr="005875DE">
        <w:rPr>
          <w:rFonts w:eastAsia="Malgun Gothic"/>
          <w:lang w:val="fr-FR"/>
        </w:rPr>
        <w:t xml:space="preserve">espace culturel des </w:t>
      </w:r>
      <w:proofErr w:type="spellStart"/>
      <w:r w:rsidRPr="005875DE">
        <w:rPr>
          <w:rFonts w:eastAsia="Malgun Gothic"/>
          <w:lang w:val="fr-FR"/>
        </w:rPr>
        <w:t>Suiti</w:t>
      </w:r>
      <w:proofErr w:type="spellEnd"/>
      <w:r w:rsidR="003B3969">
        <w:rPr>
          <w:rFonts w:eastAsia="Malgun Gothic"/>
          <w:lang w:val="fr-FR"/>
        </w:rPr>
        <w:t> »</w:t>
      </w:r>
      <w:r w:rsidRPr="005875DE">
        <w:rPr>
          <w:rFonts w:eastAsia="Malgun Gothic"/>
          <w:lang w:val="fr-FR"/>
        </w:rPr>
        <w:t>. La Lettonie appréciait l</w:t>
      </w:r>
      <w:r w:rsidR="00923E72">
        <w:rPr>
          <w:rFonts w:eastAsia="Malgun Gothic"/>
          <w:lang w:val="fr-FR"/>
        </w:rPr>
        <w:t>’</w:t>
      </w:r>
      <w:r w:rsidRPr="005875DE">
        <w:rPr>
          <w:rFonts w:eastAsia="Malgun Gothic"/>
          <w:lang w:val="fr-FR"/>
        </w:rPr>
        <w:t>engagement inconditionnel et l</w:t>
      </w:r>
      <w:r w:rsidR="00923E72">
        <w:rPr>
          <w:rFonts w:eastAsia="Malgun Gothic"/>
          <w:lang w:val="fr-FR"/>
        </w:rPr>
        <w:t>’</w:t>
      </w:r>
      <w:r w:rsidRPr="005875DE">
        <w:rPr>
          <w:rFonts w:eastAsia="Malgun Gothic"/>
          <w:lang w:val="fr-FR"/>
        </w:rPr>
        <w:t xml:space="preserve">activité des membres de la communauté </w:t>
      </w:r>
      <w:proofErr w:type="spellStart"/>
      <w:r w:rsidRPr="005875DE">
        <w:rPr>
          <w:rFonts w:eastAsia="Malgun Gothic"/>
          <w:lang w:val="fr-FR"/>
        </w:rPr>
        <w:t>suiti</w:t>
      </w:r>
      <w:proofErr w:type="spellEnd"/>
      <w:r w:rsidRPr="005875DE">
        <w:rPr>
          <w:rFonts w:eastAsia="Malgun Gothic"/>
          <w:lang w:val="fr-FR"/>
        </w:rPr>
        <w:t xml:space="preserve"> dans la sauvegarde de leur patrimoine ainsi que l</w:t>
      </w:r>
      <w:r w:rsidR="00923E72">
        <w:rPr>
          <w:rFonts w:eastAsia="Malgun Gothic"/>
          <w:lang w:val="fr-FR"/>
        </w:rPr>
        <w:t>’</w:t>
      </w:r>
      <w:r w:rsidRPr="005875DE">
        <w:rPr>
          <w:rFonts w:eastAsia="Malgun Gothic"/>
          <w:lang w:val="fr-FR"/>
        </w:rPr>
        <w:t>établissement de partenariats plus larges bénéficiant aux communautés d</w:t>
      </w:r>
      <w:r>
        <w:rPr>
          <w:rFonts w:eastAsia="Malgun Gothic"/>
          <w:lang w:val="fr-FR"/>
        </w:rPr>
        <w:t>e</w:t>
      </w:r>
      <w:r w:rsidRPr="005875DE">
        <w:rPr>
          <w:rFonts w:eastAsia="Malgun Gothic"/>
          <w:lang w:val="fr-FR"/>
        </w:rPr>
        <w:t xml:space="preserve"> patrimoine au-delà des frontières nationales. Elle s</w:t>
      </w:r>
      <w:r w:rsidR="00923E72">
        <w:rPr>
          <w:rFonts w:eastAsia="Malgun Gothic"/>
          <w:lang w:val="fr-FR"/>
        </w:rPr>
        <w:t>’</w:t>
      </w:r>
      <w:r w:rsidRPr="005875DE">
        <w:rPr>
          <w:rFonts w:eastAsia="Malgun Gothic"/>
          <w:lang w:val="fr-FR"/>
        </w:rPr>
        <w:t>est également félicitée de l</w:t>
      </w:r>
      <w:r w:rsidR="00923E72">
        <w:rPr>
          <w:rFonts w:eastAsia="Malgun Gothic"/>
          <w:lang w:val="fr-FR"/>
        </w:rPr>
        <w:t>’</w:t>
      </w:r>
      <w:r w:rsidRPr="005875DE">
        <w:rPr>
          <w:rFonts w:eastAsia="Malgun Gothic"/>
          <w:lang w:val="fr-FR"/>
        </w:rPr>
        <w:t xml:space="preserve">engagement des membres de la communauté </w:t>
      </w:r>
      <w:proofErr w:type="spellStart"/>
      <w:r w:rsidRPr="005875DE">
        <w:rPr>
          <w:rFonts w:eastAsia="Malgun Gothic"/>
          <w:lang w:val="fr-FR"/>
        </w:rPr>
        <w:t>suiti</w:t>
      </w:r>
      <w:proofErr w:type="spellEnd"/>
      <w:r w:rsidRPr="005875DE">
        <w:rPr>
          <w:rFonts w:eastAsia="Malgun Gothic"/>
          <w:lang w:val="fr-FR"/>
        </w:rPr>
        <w:t xml:space="preserve"> dans un dialogue ouvert, y compris par le biais de la correspondance, sur les défis de la sauvegarde du patrimoine. De nouveaux instruments législatifs, politiques et financiers avaient été élaborés en Lettonie afin d</w:t>
      </w:r>
      <w:r w:rsidR="00923E72">
        <w:rPr>
          <w:rFonts w:eastAsia="Malgun Gothic"/>
          <w:lang w:val="fr-FR"/>
        </w:rPr>
        <w:t>’</w:t>
      </w:r>
      <w:r w:rsidRPr="005875DE">
        <w:rPr>
          <w:rFonts w:eastAsia="Malgun Gothic"/>
          <w:lang w:val="fr-FR"/>
        </w:rPr>
        <w:t>équilibrer la sauvegarde du patrimoine culturel immatériel et le développement, de renforcer le rôle du patrimoine immatériel et matériel et le développement régional durable, et d</w:t>
      </w:r>
      <w:r w:rsidR="00923E72">
        <w:rPr>
          <w:rFonts w:eastAsia="Malgun Gothic"/>
          <w:lang w:val="fr-FR"/>
        </w:rPr>
        <w:t>’</w:t>
      </w:r>
      <w:r w:rsidRPr="005875DE">
        <w:rPr>
          <w:rFonts w:eastAsia="Malgun Gothic"/>
          <w:lang w:val="fr-FR"/>
        </w:rPr>
        <w:t>inclure la participation des communautés</w:t>
      </w:r>
      <w:r>
        <w:rPr>
          <w:rFonts w:eastAsia="Malgun Gothic"/>
          <w:lang w:val="fr-FR"/>
        </w:rPr>
        <w:t xml:space="preserve"> </w:t>
      </w:r>
      <w:r w:rsidRPr="005875DE">
        <w:rPr>
          <w:rFonts w:eastAsia="Malgun Gothic"/>
          <w:lang w:val="fr-FR"/>
        </w:rPr>
        <w:t>à la prise de décision. En outre, la sauvegarde des espaces culturels faisait partie des priorités politiques de la Lettonie. La délégation s</w:t>
      </w:r>
      <w:r w:rsidR="00923E72">
        <w:rPr>
          <w:rFonts w:eastAsia="Malgun Gothic"/>
          <w:lang w:val="fr-FR"/>
        </w:rPr>
        <w:t>’</w:t>
      </w:r>
      <w:r w:rsidRPr="005875DE">
        <w:rPr>
          <w:rFonts w:eastAsia="Malgun Gothic"/>
          <w:lang w:val="fr-FR"/>
        </w:rPr>
        <w:t xml:space="preserve">est félicitée de la poursuite de la collaboration entre les membres de la communauté </w:t>
      </w:r>
      <w:proofErr w:type="spellStart"/>
      <w:r w:rsidRPr="005875DE">
        <w:rPr>
          <w:rFonts w:eastAsia="Malgun Gothic"/>
          <w:lang w:val="fr-FR"/>
        </w:rPr>
        <w:t>suiti</w:t>
      </w:r>
      <w:proofErr w:type="spellEnd"/>
      <w:r w:rsidRPr="005875DE">
        <w:rPr>
          <w:rFonts w:eastAsia="Malgun Gothic"/>
          <w:lang w:val="fr-FR"/>
        </w:rPr>
        <w:t>, les organisations non gouvernementales et gouvernementales, et les autres parties prenantes, en gardant à l</w:t>
      </w:r>
      <w:r w:rsidR="00923E72">
        <w:rPr>
          <w:rFonts w:eastAsia="Malgun Gothic"/>
          <w:lang w:val="fr-FR"/>
        </w:rPr>
        <w:t>’</w:t>
      </w:r>
      <w:r w:rsidRPr="005875DE">
        <w:rPr>
          <w:rFonts w:eastAsia="Malgun Gothic"/>
          <w:lang w:val="fr-FR"/>
        </w:rPr>
        <w:t xml:space="preserve">esprit les générations futures. </w:t>
      </w:r>
      <w:r w:rsidR="00344865">
        <w:rPr>
          <w:rFonts w:eastAsia="Malgun Gothic"/>
          <w:lang w:val="fr-FR"/>
        </w:rPr>
        <w:t xml:space="preserve">Elle </w:t>
      </w:r>
      <w:r w:rsidRPr="005875DE">
        <w:rPr>
          <w:rFonts w:eastAsia="Malgun Gothic"/>
          <w:lang w:val="fr-FR"/>
        </w:rPr>
        <w:t>a reconnu l</w:t>
      </w:r>
      <w:r w:rsidR="00923E72">
        <w:rPr>
          <w:rFonts w:eastAsia="Malgun Gothic"/>
          <w:lang w:val="fr-FR"/>
        </w:rPr>
        <w:t>’</w:t>
      </w:r>
      <w:r w:rsidRPr="005875DE">
        <w:rPr>
          <w:rFonts w:eastAsia="Malgun Gothic"/>
          <w:lang w:val="fr-FR"/>
        </w:rPr>
        <w:t>importance du mécanisme de soumission des rapports périodiques et l</w:t>
      </w:r>
      <w:r w:rsidR="00923E72">
        <w:rPr>
          <w:rFonts w:eastAsia="Malgun Gothic"/>
          <w:lang w:val="fr-FR"/>
        </w:rPr>
        <w:t>’</w:t>
      </w:r>
      <w:r w:rsidRPr="005875DE">
        <w:rPr>
          <w:rFonts w:eastAsia="Malgun Gothic"/>
          <w:lang w:val="fr-FR"/>
        </w:rPr>
        <w:t>importance du suivi des éléments inscrits sur la Liste de sauvegarde urgente, en déployant des efforts communs pour leur sauvegarde et en échangeant des expériences dans le monde entier.</w:t>
      </w:r>
    </w:p>
    <w:p w14:paraId="4752D7D3" w14:textId="0C0E99AB" w:rsidR="005875DE" w:rsidRPr="00A23383" w:rsidRDefault="005875D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5875DE">
        <w:rPr>
          <w:rFonts w:eastAsia="Malgun Gothic"/>
          <w:lang w:val="fr-FR"/>
        </w:rPr>
        <w:t xml:space="preserve">La délégation de la </w:t>
      </w:r>
      <w:r w:rsidRPr="005875DE">
        <w:rPr>
          <w:rFonts w:eastAsia="Malgun Gothic"/>
          <w:b/>
          <w:bCs/>
          <w:lang w:val="fr-FR"/>
        </w:rPr>
        <w:t>Mongolie</w:t>
      </w:r>
      <w:r w:rsidRPr="005875DE">
        <w:rPr>
          <w:rFonts w:eastAsia="Malgun Gothic"/>
          <w:lang w:val="fr-FR"/>
        </w:rPr>
        <w:t xml:space="preserve"> a exprimé sa gratitude au Président et à la Vice-Présidente, aux membres du Comité et à l</w:t>
      </w:r>
      <w:r w:rsidR="00923E72">
        <w:rPr>
          <w:rFonts w:eastAsia="Malgun Gothic"/>
          <w:lang w:val="fr-FR"/>
        </w:rPr>
        <w:t>’</w:t>
      </w:r>
      <w:r w:rsidRPr="005875DE">
        <w:rPr>
          <w:rFonts w:eastAsia="Malgun Gothic"/>
          <w:lang w:val="fr-FR"/>
        </w:rPr>
        <w:t>Organe d</w:t>
      </w:r>
      <w:r w:rsidR="00923E72">
        <w:rPr>
          <w:rFonts w:eastAsia="Malgun Gothic"/>
          <w:lang w:val="fr-FR"/>
        </w:rPr>
        <w:t>’</w:t>
      </w:r>
      <w:r w:rsidRPr="005875DE">
        <w:rPr>
          <w:rFonts w:eastAsia="Malgun Gothic"/>
          <w:lang w:val="fr-FR"/>
        </w:rPr>
        <w:t>évaluation</w:t>
      </w:r>
      <w:r w:rsidR="00344865">
        <w:rPr>
          <w:rFonts w:eastAsia="Malgun Gothic"/>
          <w:lang w:val="fr-FR"/>
        </w:rPr>
        <w:t>,</w:t>
      </w:r>
      <w:r w:rsidRPr="005875DE">
        <w:rPr>
          <w:rFonts w:eastAsia="Malgun Gothic"/>
          <w:lang w:val="fr-FR"/>
        </w:rPr>
        <w:t xml:space="preserve"> </w:t>
      </w:r>
      <w:r w:rsidR="00344865">
        <w:rPr>
          <w:rFonts w:eastAsia="Malgun Gothic"/>
          <w:lang w:val="fr-FR"/>
        </w:rPr>
        <w:t xml:space="preserve">remerciant </w:t>
      </w:r>
      <w:r w:rsidRPr="005875DE">
        <w:rPr>
          <w:rFonts w:eastAsia="Malgun Gothic"/>
          <w:lang w:val="fr-FR"/>
        </w:rPr>
        <w:t>également le Maroc pour sa chaleureuse hospitalité. Le rapport était très clair et complet. Au cours de la période couverte par le rapport, la Mongolie</w:t>
      </w:r>
      <w:r w:rsidR="00EE1369">
        <w:rPr>
          <w:rFonts w:eastAsia="Malgun Gothic"/>
          <w:lang w:val="fr-FR"/>
        </w:rPr>
        <w:t xml:space="preserve"> </w:t>
      </w:r>
      <w:r w:rsidRPr="005875DE">
        <w:rPr>
          <w:rFonts w:eastAsia="Malgun Gothic"/>
          <w:lang w:val="fr-FR"/>
        </w:rPr>
        <w:t>avait soumis cinq éléments</w:t>
      </w:r>
      <w:r w:rsidR="00344865">
        <w:rPr>
          <w:rFonts w:eastAsia="Malgun Gothic"/>
          <w:lang w:val="fr-FR"/>
        </w:rPr>
        <w:t xml:space="preserve"> </w:t>
      </w:r>
      <w:r w:rsidR="00A23383">
        <w:rPr>
          <w:rFonts w:eastAsia="Malgun Gothic"/>
          <w:lang w:val="fr-FR"/>
        </w:rPr>
        <w:t xml:space="preserve">et </w:t>
      </w:r>
      <w:r w:rsidRPr="005875DE">
        <w:rPr>
          <w:rFonts w:eastAsia="Malgun Gothic"/>
          <w:lang w:val="fr-FR"/>
        </w:rPr>
        <w:t>déplo</w:t>
      </w:r>
      <w:r w:rsidR="00A23383">
        <w:rPr>
          <w:rFonts w:eastAsia="Malgun Gothic"/>
          <w:lang w:val="fr-FR"/>
        </w:rPr>
        <w:t>yé</w:t>
      </w:r>
      <w:r w:rsidRPr="005875DE">
        <w:rPr>
          <w:rFonts w:eastAsia="Malgun Gothic"/>
          <w:lang w:val="fr-FR"/>
        </w:rPr>
        <w:t xml:space="preserve"> des efforts constants pour la sauvegarde du patrimoine culturel immatériel</w:t>
      </w:r>
      <w:r w:rsidR="00EE1369">
        <w:rPr>
          <w:rFonts w:eastAsia="Malgun Gothic"/>
          <w:lang w:val="fr-FR"/>
        </w:rPr>
        <w:t xml:space="preserve"> en modifiant </w:t>
      </w:r>
      <w:r w:rsidRPr="005875DE">
        <w:rPr>
          <w:rFonts w:eastAsia="Malgun Gothic"/>
          <w:lang w:val="fr-FR"/>
        </w:rPr>
        <w:t xml:space="preserve">la législation et la réglementation nationales sur la sauvegarde du patrimoine </w:t>
      </w:r>
      <w:r w:rsidRPr="00A23383">
        <w:rPr>
          <w:rFonts w:eastAsia="Malgun Gothic"/>
          <w:lang w:val="fr-FR"/>
        </w:rPr>
        <w:t>i</w:t>
      </w:r>
      <w:r w:rsidRPr="00922FB6">
        <w:rPr>
          <w:rFonts w:eastAsia="Malgun Gothic"/>
          <w:lang w:val="fr-FR"/>
        </w:rPr>
        <w:t>mmatériel. La politique et les mesures de sauvegarde de la Mongolie reposaient sur l</w:t>
      </w:r>
      <w:r w:rsidR="00923E72">
        <w:rPr>
          <w:rFonts w:eastAsia="Malgun Gothic"/>
          <w:lang w:val="fr-FR"/>
        </w:rPr>
        <w:t>’</w:t>
      </w:r>
      <w:r w:rsidRPr="00922FB6">
        <w:rPr>
          <w:rFonts w:eastAsia="Malgun Gothic"/>
          <w:lang w:val="fr-FR"/>
        </w:rPr>
        <w:t xml:space="preserve">évaluation de la viabilité du </w:t>
      </w:r>
      <w:r w:rsidRPr="00454F2F">
        <w:rPr>
          <w:rFonts w:eastAsia="Malgun Gothic"/>
          <w:lang w:val="fr-FR"/>
        </w:rPr>
        <w:t xml:space="preserve">patrimoine culturel immatériel et de ses praticiens. </w:t>
      </w:r>
      <w:r w:rsidR="00EE1369">
        <w:rPr>
          <w:rFonts w:eastAsia="Malgun Gothic"/>
          <w:lang w:val="fr-FR"/>
        </w:rPr>
        <w:t>En outre, a</w:t>
      </w:r>
      <w:r w:rsidRPr="00454F2F">
        <w:rPr>
          <w:rFonts w:eastAsia="Malgun Gothic"/>
          <w:lang w:val="fr-FR"/>
        </w:rPr>
        <w:t>u cours d</w:t>
      </w:r>
      <w:r w:rsidR="00EE1369">
        <w:rPr>
          <w:rFonts w:eastAsia="Malgun Gothic"/>
          <w:lang w:val="fr-FR"/>
        </w:rPr>
        <w:t>e la</w:t>
      </w:r>
      <w:r w:rsidRPr="00454F2F">
        <w:rPr>
          <w:rFonts w:eastAsia="Malgun Gothic"/>
          <w:lang w:val="fr-FR"/>
        </w:rPr>
        <w:t xml:space="preserve"> période</w:t>
      </w:r>
      <w:r w:rsidR="00EE1369">
        <w:rPr>
          <w:rFonts w:eastAsia="Malgun Gothic"/>
          <w:lang w:val="fr-FR"/>
        </w:rPr>
        <w:t xml:space="preserve"> concernée</w:t>
      </w:r>
      <w:r w:rsidRPr="00454F2F">
        <w:rPr>
          <w:rFonts w:eastAsia="Malgun Gothic"/>
          <w:lang w:val="fr-FR"/>
        </w:rPr>
        <w:t>, la Mongolie avait décidé de procéder à des bilans de santé des praticiens. Elle travaillait également à l</w:t>
      </w:r>
      <w:r w:rsidR="00923E72">
        <w:rPr>
          <w:rFonts w:eastAsia="Malgun Gothic"/>
          <w:lang w:val="fr-FR"/>
        </w:rPr>
        <w:t>’</w:t>
      </w:r>
      <w:r w:rsidRPr="00454F2F">
        <w:rPr>
          <w:rFonts w:eastAsia="Malgun Gothic"/>
          <w:lang w:val="fr-FR"/>
        </w:rPr>
        <w:t>élaboration de nouvelles lois pour sauvegarder le patrimoine culturel immatéri</w:t>
      </w:r>
      <w:r w:rsidRPr="00A23383">
        <w:rPr>
          <w:rFonts w:eastAsia="Malgun Gothic"/>
          <w:lang w:val="fr-FR"/>
        </w:rPr>
        <w:t>el, et prévoyait de les soumettre au Parlement en</w:t>
      </w:r>
      <w:r w:rsidR="00CB5654">
        <w:rPr>
          <w:rFonts w:eastAsia="Malgun Gothic"/>
          <w:lang w:val="fr-FR"/>
        </w:rPr>
        <w:t> </w:t>
      </w:r>
      <w:r w:rsidRPr="00A23383">
        <w:rPr>
          <w:rFonts w:eastAsia="Malgun Gothic"/>
          <w:lang w:val="fr-FR"/>
        </w:rPr>
        <w:t>2023 en vue d</w:t>
      </w:r>
      <w:r w:rsidR="00923E72">
        <w:rPr>
          <w:rFonts w:eastAsia="Malgun Gothic"/>
          <w:lang w:val="fr-FR"/>
        </w:rPr>
        <w:t>’</w:t>
      </w:r>
      <w:r w:rsidRPr="00A23383">
        <w:rPr>
          <w:rFonts w:eastAsia="Malgun Gothic"/>
          <w:lang w:val="fr-FR"/>
        </w:rPr>
        <w:t>améliorer la viabilité du patrimoine culturel immatériel et de ses praticiens.</w:t>
      </w:r>
    </w:p>
    <w:p w14:paraId="2B4E8316" w14:textId="5DC679AB" w:rsidR="00480137" w:rsidRDefault="00480137"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480137">
        <w:rPr>
          <w:rFonts w:eastAsia="Malgun Gothic"/>
          <w:lang w:val="fr-FR"/>
        </w:rPr>
        <w:t xml:space="preserve">La délégation du </w:t>
      </w:r>
      <w:r w:rsidRPr="00480137">
        <w:rPr>
          <w:rFonts w:eastAsia="Malgun Gothic"/>
          <w:b/>
          <w:bCs/>
          <w:lang w:val="fr-FR"/>
        </w:rPr>
        <w:t>Guatemala</w:t>
      </w:r>
      <w:r w:rsidRPr="00480137">
        <w:rPr>
          <w:rFonts w:eastAsia="Malgun Gothic"/>
          <w:lang w:val="fr-FR"/>
        </w:rPr>
        <w:t xml:space="preserve"> a remercié le Maroc pour son excellente hospitalité. Grâce à la sensibilisation au patrimoine culturel immatériel, il avait adopté des mesures pour la protection et la sauvegarde du patrimoine culturel immatériel de </w:t>
      </w:r>
      <w:r w:rsidR="00394AA1">
        <w:rPr>
          <w:rFonts w:eastAsia="Malgun Gothic"/>
          <w:lang w:val="fr-FR"/>
        </w:rPr>
        <w:t>« L</w:t>
      </w:r>
      <w:r w:rsidRPr="00480137">
        <w:rPr>
          <w:rFonts w:eastAsia="Malgun Gothic"/>
          <w:lang w:val="fr-FR"/>
        </w:rPr>
        <w:t xml:space="preserve">a cérémonie de la Nan </w:t>
      </w:r>
      <w:proofErr w:type="spellStart"/>
      <w:r w:rsidRPr="00480137">
        <w:rPr>
          <w:rFonts w:eastAsia="Malgun Gothic"/>
          <w:lang w:val="fr-FR"/>
        </w:rPr>
        <w:t>Pa</w:t>
      </w:r>
      <w:r w:rsidR="00923E72">
        <w:rPr>
          <w:rFonts w:eastAsia="Malgun Gothic"/>
          <w:lang w:val="fr-FR"/>
        </w:rPr>
        <w:t>’</w:t>
      </w:r>
      <w:r w:rsidRPr="00480137">
        <w:rPr>
          <w:rFonts w:eastAsia="Malgun Gothic"/>
          <w:lang w:val="fr-FR"/>
        </w:rPr>
        <w:t>ch</w:t>
      </w:r>
      <w:proofErr w:type="spellEnd"/>
      <w:r w:rsidR="00394AA1">
        <w:rPr>
          <w:rFonts w:eastAsia="Malgun Gothic"/>
          <w:lang w:val="fr-FR"/>
        </w:rPr>
        <w:t> »</w:t>
      </w:r>
      <w:r w:rsidRPr="00480137">
        <w:rPr>
          <w:rFonts w:eastAsia="Malgun Gothic"/>
          <w:lang w:val="fr-FR"/>
        </w:rPr>
        <w:t xml:space="preserve">, </w:t>
      </w:r>
      <w:r w:rsidR="00A23383">
        <w:rPr>
          <w:rFonts w:eastAsia="Malgun Gothic"/>
          <w:lang w:val="fr-FR"/>
        </w:rPr>
        <w:t xml:space="preserve">à laquelle </w:t>
      </w:r>
      <w:r w:rsidRPr="00480137">
        <w:rPr>
          <w:rFonts w:eastAsia="Malgun Gothic"/>
          <w:lang w:val="fr-FR"/>
        </w:rPr>
        <w:t>diverses communautés</w:t>
      </w:r>
      <w:r w:rsidR="00A23383">
        <w:rPr>
          <w:rFonts w:eastAsia="Malgun Gothic"/>
          <w:lang w:val="fr-FR"/>
        </w:rPr>
        <w:t xml:space="preserve"> participent activement</w:t>
      </w:r>
      <w:r w:rsidRPr="00480137">
        <w:rPr>
          <w:rFonts w:eastAsia="Malgun Gothic"/>
          <w:lang w:val="fr-FR"/>
        </w:rPr>
        <w:t xml:space="preserve">. </w:t>
      </w:r>
      <w:r w:rsidR="00A23383">
        <w:rPr>
          <w:rFonts w:eastAsia="Malgun Gothic"/>
          <w:lang w:val="fr-FR"/>
        </w:rPr>
        <w:t>Pendant la pandémie</w:t>
      </w:r>
      <w:r w:rsidRPr="00480137">
        <w:rPr>
          <w:rFonts w:eastAsia="Malgun Gothic"/>
          <w:lang w:val="fr-FR"/>
        </w:rPr>
        <w:t>, les efforts s</w:t>
      </w:r>
      <w:r w:rsidR="00923E72">
        <w:rPr>
          <w:rFonts w:eastAsia="Malgun Gothic"/>
          <w:lang w:val="fr-FR"/>
        </w:rPr>
        <w:t>’</w:t>
      </w:r>
      <w:r w:rsidRPr="00480137">
        <w:rPr>
          <w:rFonts w:eastAsia="Malgun Gothic"/>
          <w:lang w:val="fr-FR"/>
        </w:rPr>
        <w:t>étaient concentrés sur des ateliers de formation virtuels, en collaboration avec le minist</w:t>
      </w:r>
      <w:r>
        <w:rPr>
          <w:rFonts w:eastAsia="Malgun Gothic"/>
          <w:lang w:val="fr-FR"/>
        </w:rPr>
        <w:t>ère</w:t>
      </w:r>
      <w:r w:rsidRPr="00480137">
        <w:rPr>
          <w:rFonts w:eastAsia="Malgun Gothic"/>
          <w:lang w:val="fr-FR"/>
        </w:rPr>
        <w:t xml:space="preserve"> de la Culture et de l</w:t>
      </w:r>
      <w:r w:rsidR="00923E72">
        <w:rPr>
          <w:rFonts w:eastAsia="Malgun Gothic"/>
          <w:lang w:val="fr-FR"/>
        </w:rPr>
        <w:t>’</w:t>
      </w:r>
      <w:r w:rsidRPr="00480137">
        <w:rPr>
          <w:rFonts w:eastAsia="Malgun Gothic"/>
          <w:lang w:val="fr-FR"/>
        </w:rPr>
        <w:t xml:space="preserve">Éducation et des organisations locales. Un programme de formation pour les gardiens bénévoles du patrimoine culturel immatériel avait été encouragé. </w:t>
      </w:r>
      <w:r w:rsidR="00A23383">
        <w:rPr>
          <w:rFonts w:eastAsia="Malgun Gothic"/>
          <w:lang w:val="fr-FR"/>
        </w:rPr>
        <w:t>Un travail</w:t>
      </w:r>
      <w:r w:rsidRPr="00480137">
        <w:rPr>
          <w:rFonts w:eastAsia="Malgun Gothic"/>
          <w:lang w:val="fr-FR"/>
        </w:rPr>
        <w:t xml:space="preserve"> </w:t>
      </w:r>
      <w:r w:rsidR="00D113B8">
        <w:rPr>
          <w:rFonts w:eastAsia="Malgun Gothic"/>
          <w:lang w:val="fr-FR"/>
        </w:rPr>
        <w:t xml:space="preserve">avait été </w:t>
      </w:r>
      <w:r w:rsidR="00A23383">
        <w:rPr>
          <w:rFonts w:eastAsia="Malgun Gothic"/>
          <w:lang w:val="fr-FR"/>
        </w:rPr>
        <w:t>entrepris</w:t>
      </w:r>
      <w:r w:rsidRPr="00480137">
        <w:rPr>
          <w:rFonts w:eastAsia="Malgun Gothic"/>
          <w:lang w:val="fr-FR"/>
        </w:rPr>
        <w:t xml:space="preserve"> </w:t>
      </w:r>
      <w:r w:rsidR="00A23383">
        <w:rPr>
          <w:rFonts w:eastAsia="Malgun Gothic"/>
          <w:lang w:val="fr-FR"/>
        </w:rPr>
        <w:t>avec 200 bénévoles du</w:t>
      </w:r>
      <w:r w:rsidRPr="00480137">
        <w:rPr>
          <w:rFonts w:eastAsia="Malgun Gothic"/>
          <w:lang w:val="fr-FR"/>
        </w:rPr>
        <w:t xml:space="preserve"> département de San Marcos pour promouvoir ce programme dans la langue locale, le mam. On estimait qu</w:t>
      </w:r>
      <w:r w:rsidR="00923E72">
        <w:rPr>
          <w:rFonts w:eastAsia="Malgun Gothic"/>
          <w:lang w:val="fr-FR"/>
        </w:rPr>
        <w:t>’</w:t>
      </w:r>
      <w:r w:rsidRPr="00480137">
        <w:rPr>
          <w:rFonts w:eastAsia="Malgun Gothic"/>
          <w:lang w:val="fr-FR"/>
        </w:rPr>
        <w:t>il était essentiel que ce patrimoine culturel immatériel soit transmis aux nouvelles générations d</w:t>
      </w:r>
      <w:r w:rsidR="00923E72">
        <w:rPr>
          <w:rFonts w:eastAsia="Malgun Gothic"/>
          <w:lang w:val="fr-FR"/>
        </w:rPr>
        <w:t>’</w:t>
      </w:r>
      <w:r w:rsidRPr="00480137">
        <w:rPr>
          <w:rFonts w:eastAsia="Malgun Gothic"/>
          <w:lang w:val="fr-FR"/>
        </w:rPr>
        <w:t>enfants et de jeunes. La valorisation de la recherche et de la documentation sur les éléments connexes était également jugée essentielle. L</w:t>
      </w:r>
      <w:r w:rsidR="00923E72">
        <w:rPr>
          <w:rFonts w:eastAsia="Malgun Gothic"/>
          <w:lang w:val="fr-FR"/>
        </w:rPr>
        <w:t>’</w:t>
      </w:r>
      <w:r w:rsidRPr="00480137">
        <w:rPr>
          <w:rFonts w:eastAsia="Malgun Gothic"/>
          <w:lang w:val="fr-FR"/>
        </w:rPr>
        <w:t xml:space="preserve">élément était également promu par le biais de canaux numériques. Parallèlement, le Guatemala avait développé des politiques culturelles municipales centrées sur San Pedro Sacatepéquez, où se trouve cet élément, afin de promouvoir le dialogue et les actions conjointes avec les communautés locales dans leur propre intérêt et </w:t>
      </w:r>
      <w:r w:rsidR="00D113B8">
        <w:rPr>
          <w:rFonts w:eastAsia="Malgun Gothic"/>
          <w:lang w:val="fr-FR"/>
        </w:rPr>
        <w:t xml:space="preserve">afin de favoriser </w:t>
      </w:r>
      <w:r w:rsidRPr="00480137">
        <w:rPr>
          <w:rFonts w:eastAsia="Malgun Gothic"/>
          <w:lang w:val="fr-FR"/>
        </w:rPr>
        <w:t>leur lien avec la nature. Le prochain rapport détaillerait le</w:t>
      </w:r>
      <w:r w:rsidR="00A23383">
        <w:rPr>
          <w:rFonts w:eastAsia="Malgun Gothic"/>
          <w:lang w:val="fr-FR"/>
        </w:rPr>
        <w:t>s résultats du</w:t>
      </w:r>
      <w:r w:rsidRPr="00480137">
        <w:rPr>
          <w:rFonts w:eastAsia="Malgun Gothic"/>
          <w:lang w:val="fr-FR"/>
        </w:rPr>
        <w:t xml:space="preserve"> plan de sauvegarde de la cérémonie de la Nan </w:t>
      </w:r>
      <w:proofErr w:type="spellStart"/>
      <w:r w:rsidRPr="00480137">
        <w:rPr>
          <w:rFonts w:eastAsia="Malgun Gothic"/>
          <w:lang w:val="fr-FR"/>
        </w:rPr>
        <w:t>Pa</w:t>
      </w:r>
      <w:r w:rsidR="00923E72">
        <w:rPr>
          <w:rFonts w:eastAsia="Malgun Gothic"/>
          <w:lang w:val="fr-FR"/>
        </w:rPr>
        <w:t>’</w:t>
      </w:r>
      <w:r w:rsidRPr="00480137">
        <w:rPr>
          <w:rFonts w:eastAsia="Malgun Gothic"/>
          <w:lang w:val="fr-FR"/>
        </w:rPr>
        <w:t>ch</w:t>
      </w:r>
      <w:proofErr w:type="spellEnd"/>
      <w:r w:rsidRPr="00480137">
        <w:rPr>
          <w:rFonts w:eastAsia="Malgun Gothic"/>
          <w:lang w:val="fr-FR"/>
        </w:rPr>
        <w:t xml:space="preserve">, </w:t>
      </w:r>
      <w:r w:rsidR="00A23383">
        <w:rPr>
          <w:rFonts w:eastAsia="Malgun Gothic"/>
          <w:lang w:val="fr-FR"/>
        </w:rPr>
        <w:t xml:space="preserve">élaboré </w:t>
      </w:r>
      <w:r w:rsidRPr="00480137">
        <w:rPr>
          <w:rFonts w:eastAsia="Malgun Gothic"/>
          <w:lang w:val="fr-FR"/>
        </w:rPr>
        <w:t>par les communautés et qui joue un rôle important dans la mise en valeur et la transmission du savoir des anciens aux plus jeunes.</w:t>
      </w:r>
    </w:p>
    <w:p w14:paraId="31C23251" w14:textId="73EDFC71" w:rsidR="00D113B8" w:rsidRDefault="00D113B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sidRPr="00D113B8">
        <w:rPr>
          <w:rFonts w:eastAsia="Malgun Gothic"/>
          <w:lang w:val="fr-FR"/>
        </w:rPr>
        <w:t xml:space="preserve">La délégation de la </w:t>
      </w:r>
      <w:r w:rsidRPr="00D113B8">
        <w:rPr>
          <w:rFonts w:eastAsia="Malgun Gothic"/>
          <w:b/>
          <w:bCs/>
          <w:lang w:val="fr-FR"/>
        </w:rPr>
        <w:t>France</w:t>
      </w:r>
      <w:r w:rsidRPr="00D113B8">
        <w:rPr>
          <w:rFonts w:eastAsia="Malgun Gothic"/>
          <w:lang w:val="fr-FR"/>
        </w:rPr>
        <w:t xml:space="preserve"> avait un élément inscrit sur la Liste de sauvegarde urgente</w:t>
      </w:r>
      <w:r w:rsidR="00394AA1">
        <w:rPr>
          <w:rFonts w:eastAsia="Malgun Gothic"/>
          <w:lang w:val="fr-FR"/>
        </w:rPr>
        <w:t>, « L</w:t>
      </w:r>
      <w:r>
        <w:rPr>
          <w:rFonts w:eastAsia="Malgun Gothic"/>
          <w:lang w:val="fr-FR"/>
        </w:rPr>
        <w:t xml:space="preserve">e </w:t>
      </w:r>
      <w:proofErr w:type="spellStart"/>
      <w:r w:rsidRPr="00D113B8">
        <w:rPr>
          <w:rFonts w:eastAsia="Malgun Gothic"/>
          <w:lang w:val="fr-FR"/>
        </w:rPr>
        <w:t>Cantu</w:t>
      </w:r>
      <w:proofErr w:type="spellEnd"/>
      <w:r w:rsidRPr="00D113B8">
        <w:rPr>
          <w:rFonts w:eastAsia="Malgun Gothic"/>
          <w:lang w:val="fr-FR"/>
        </w:rPr>
        <w:t xml:space="preserve"> in </w:t>
      </w:r>
      <w:proofErr w:type="spellStart"/>
      <w:r w:rsidRPr="00D113B8">
        <w:rPr>
          <w:rFonts w:eastAsia="Malgun Gothic"/>
          <w:lang w:val="fr-FR"/>
        </w:rPr>
        <w:t>paghjella</w:t>
      </w:r>
      <w:proofErr w:type="spellEnd"/>
      <w:r w:rsidRPr="00D113B8">
        <w:rPr>
          <w:rFonts w:eastAsia="Malgun Gothic"/>
          <w:lang w:val="fr-FR"/>
        </w:rPr>
        <w:t xml:space="preserve"> </w:t>
      </w:r>
      <w:r>
        <w:rPr>
          <w:rFonts w:eastAsia="Malgun Gothic"/>
          <w:lang w:val="fr-FR"/>
        </w:rPr>
        <w:t>profane et liturgique de Corse de tradition orale</w:t>
      </w:r>
      <w:r w:rsidR="00394AA1">
        <w:rPr>
          <w:rFonts w:eastAsia="Malgun Gothic"/>
          <w:lang w:val="fr-FR"/>
        </w:rPr>
        <w:t> »</w:t>
      </w:r>
      <w:r w:rsidRPr="00D113B8">
        <w:rPr>
          <w:rFonts w:eastAsia="Malgun Gothic"/>
          <w:lang w:val="fr-FR"/>
        </w:rPr>
        <w:t xml:space="preserve">, une magnifique forme polyphonique. </w:t>
      </w:r>
      <w:r w:rsidR="0028700F">
        <w:rPr>
          <w:rFonts w:eastAsia="Malgun Gothic"/>
          <w:lang w:val="fr-FR"/>
        </w:rPr>
        <w:t>A</w:t>
      </w:r>
      <w:r w:rsidR="0028700F" w:rsidRPr="00D113B8">
        <w:rPr>
          <w:rFonts w:eastAsia="Malgun Gothic"/>
          <w:lang w:val="fr-FR"/>
        </w:rPr>
        <w:t>vec le soutien actif de l</w:t>
      </w:r>
      <w:r w:rsidR="00923E72">
        <w:rPr>
          <w:rFonts w:eastAsia="Malgun Gothic"/>
          <w:lang w:val="fr-FR"/>
        </w:rPr>
        <w:t>’</w:t>
      </w:r>
      <w:r w:rsidR="0028700F" w:rsidRPr="00D113B8">
        <w:rPr>
          <w:rFonts w:eastAsia="Malgun Gothic"/>
          <w:lang w:val="fr-FR"/>
        </w:rPr>
        <w:t>État français et de la Collectivité territoriale de Corse</w:t>
      </w:r>
      <w:r w:rsidR="0028700F">
        <w:rPr>
          <w:rFonts w:eastAsia="Malgun Gothic"/>
          <w:lang w:val="fr-FR"/>
        </w:rPr>
        <w:t>, c</w:t>
      </w:r>
      <w:r w:rsidRPr="00D113B8">
        <w:rPr>
          <w:rFonts w:eastAsia="Malgun Gothic"/>
          <w:lang w:val="fr-FR"/>
        </w:rPr>
        <w:t>e mécanisme de sauvegarde urgente encourag</w:t>
      </w:r>
      <w:r w:rsidR="0028700F">
        <w:rPr>
          <w:rFonts w:eastAsia="Malgun Gothic"/>
          <w:lang w:val="fr-FR"/>
        </w:rPr>
        <w:t>eait</w:t>
      </w:r>
      <w:r w:rsidRPr="00D113B8">
        <w:rPr>
          <w:rFonts w:eastAsia="Malgun Gothic"/>
          <w:lang w:val="fr-FR"/>
        </w:rPr>
        <w:t xml:space="preserve"> les communautés locales</w:t>
      </w:r>
      <w:r w:rsidR="0028700F">
        <w:rPr>
          <w:rFonts w:eastAsia="Malgun Gothic"/>
          <w:lang w:val="fr-FR"/>
        </w:rPr>
        <w:t xml:space="preserve"> </w:t>
      </w:r>
      <w:r w:rsidRPr="00D113B8">
        <w:rPr>
          <w:rFonts w:eastAsia="Malgun Gothic"/>
          <w:lang w:val="fr-FR"/>
        </w:rPr>
        <w:t>à prendre des mesures pour sauvegarder l</w:t>
      </w:r>
      <w:r w:rsidR="00923E72">
        <w:rPr>
          <w:rFonts w:eastAsia="Malgun Gothic"/>
          <w:lang w:val="fr-FR"/>
        </w:rPr>
        <w:t>’</w:t>
      </w:r>
      <w:r w:rsidRPr="00D113B8">
        <w:rPr>
          <w:rFonts w:eastAsia="Malgun Gothic"/>
          <w:lang w:val="fr-FR"/>
        </w:rPr>
        <w:t xml:space="preserve">élément. Des actions avaient été entreprises pour améliorer la </w:t>
      </w:r>
      <w:r w:rsidRPr="00D113B8">
        <w:rPr>
          <w:rFonts w:eastAsia="Malgun Gothic"/>
          <w:lang w:val="fr-FR"/>
        </w:rPr>
        <w:lastRenderedPageBreak/>
        <w:t>transmission et augmenter le nombre de communautés de prati</w:t>
      </w:r>
      <w:r>
        <w:rPr>
          <w:rFonts w:eastAsia="Malgun Gothic"/>
          <w:lang w:val="fr-FR"/>
        </w:rPr>
        <w:t>ciens</w:t>
      </w:r>
      <w:r w:rsidRPr="00D113B8">
        <w:rPr>
          <w:rFonts w:eastAsia="Malgun Gothic"/>
          <w:lang w:val="fr-FR"/>
        </w:rPr>
        <w:t xml:space="preserve">. </w:t>
      </w:r>
      <w:r>
        <w:rPr>
          <w:rFonts w:eastAsia="Malgun Gothic"/>
          <w:lang w:val="fr-FR"/>
        </w:rPr>
        <w:t xml:space="preserve">Entre autres mesures, </w:t>
      </w:r>
      <w:r w:rsidR="0017371A">
        <w:rPr>
          <w:rFonts w:eastAsia="Malgun Gothic"/>
          <w:lang w:val="fr-FR"/>
        </w:rPr>
        <w:t xml:space="preserve">figurait </w:t>
      </w:r>
      <w:r w:rsidRPr="00D113B8">
        <w:rPr>
          <w:rFonts w:eastAsia="Malgun Gothic"/>
          <w:lang w:val="fr-FR"/>
        </w:rPr>
        <w:t>l</w:t>
      </w:r>
      <w:r w:rsidR="00923E72">
        <w:rPr>
          <w:rFonts w:eastAsia="Malgun Gothic"/>
          <w:lang w:val="fr-FR"/>
        </w:rPr>
        <w:t>’</w:t>
      </w:r>
      <w:r w:rsidR="0028700F" w:rsidRPr="0028700F">
        <w:rPr>
          <w:rFonts w:eastAsia="Malgun Gothic"/>
          <w:lang w:val="fr-FR"/>
        </w:rPr>
        <w:t>enseignement</w:t>
      </w:r>
      <w:r w:rsidRPr="00D113B8">
        <w:rPr>
          <w:rFonts w:eastAsia="Malgun Gothic"/>
          <w:lang w:val="fr-FR"/>
        </w:rPr>
        <w:t xml:space="preserve"> de ce chant dans les écoles où l</w:t>
      </w:r>
      <w:r w:rsidR="00923E72">
        <w:rPr>
          <w:rFonts w:eastAsia="Malgun Gothic"/>
          <w:lang w:val="fr-FR"/>
        </w:rPr>
        <w:t>’</w:t>
      </w:r>
      <w:r w:rsidRPr="00D113B8">
        <w:rPr>
          <w:rFonts w:eastAsia="Malgun Gothic"/>
          <w:lang w:val="fr-FR"/>
        </w:rPr>
        <w:t>enseignement est dispensé en langue corse. Ces mesures avaient été prises sur la base des recommandations contenues dans les différents rapports qui continuaient d</w:t>
      </w:r>
      <w:r w:rsidR="00923E72">
        <w:rPr>
          <w:rFonts w:eastAsia="Malgun Gothic"/>
          <w:lang w:val="fr-FR"/>
        </w:rPr>
        <w:t>’</w:t>
      </w:r>
      <w:r w:rsidRPr="00D113B8">
        <w:rPr>
          <w:rFonts w:eastAsia="Malgun Gothic"/>
          <w:lang w:val="fr-FR"/>
        </w:rPr>
        <w:t>être suivis.</w:t>
      </w:r>
    </w:p>
    <w:p w14:paraId="02302A95" w14:textId="21BF10BA" w:rsidR="00D113B8" w:rsidRDefault="00D113B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La </w:t>
      </w:r>
      <w:r w:rsidRPr="00D113B8">
        <w:rPr>
          <w:rFonts w:eastAsia="Malgun Gothic"/>
          <w:b/>
          <w:bCs/>
          <w:lang w:val="fr-FR"/>
        </w:rPr>
        <w:t>Vice-Présidente</w:t>
      </w:r>
      <w:r>
        <w:rPr>
          <w:rFonts w:eastAsia="Malgun Gothic"/>
          <w:lang w:val="fr-FR"/>
        </w:rPr>
        <w:t xml:space="preserve"> a remercié toutes les </w:t>
      </w:r>
      <w:r w:rsidRPr="00D113B8">
        <w:rPr>
          <w:rFonts w:eastAsia="Malgun Gothic"/>
          <w:lang w:val="fr-FR"/>
        </w:rPr>
        <w:t>délégatio</w:t>
      </w:r>
      <w:r>
        <w:rPr>
          <w:rFonts w:eastAsia="Malgun Gothic"/>
          <w:lang w:val="fr-FR"/>
        </w:rPr>
        <w:t>ns d</w:t>
      </w:r>
      <w:r w:rsidR="00923E72">
        <w:rPr>
          <w:rFonts w:eastAsia="Malgun Gothic"/>
          <w:lang w:val="fr-FR"/>
        </w:rPr>
        <w:t>’</w:t>
      </w:r>
      <w:r>
        <w:rPr>
          <w:rFonts w:eastAsia="Malgun Gothic"/>
          <w:lang w:val="fr-FR"/>
        </w:rPr>
        <w:t>avoir partagé leurs expériences avec le Comité, ces expériences étant des sources d</w:t>
      </w:r>
      <w:r w:rsidR="00923E72">
        <w:rPr>
          <w:rFonts w:eastAsia="Malgun Gothic"/>
          <w:lang w:val="fr-FR"/>
        </w:rPr>
        <w:t>’</w:t>
      </w:r>
      <w:r>
        <w:rPr>
          <w:rFonts w:eastAsia="Malgun Gothic"/>
          <w:lang w:val="fr-FR"/>
        </w:rPr>
        <w:t xml:space="preserve">inspiration. </w:t>
      </w:r>
    </w:p>
    <w:p w14:paraId="24F676D1" w14:textId="39F1734E" w:rsidR="0030181D" w:rsidRDefault="0030181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lang w:val="fr-FR"/>
        </w:rPr>
      </w:pPr>
      <w:r>
        <w:rPr>
          <w:rFonts w:eastAsia="Malgun Gothic"/>
          <w:lang w:val="fr-FR"/>
        </w:rPr>
        <w:t xml:space="preserve">Le </w:t>
      </w:r>
      <w:r w:rsidRPr="0030181D">
        <w:rPr>
          <w:rFonts w:eastAsia="Malgun Gothic"/>
          <w:b/>
          <w:bCs/>
          <w:lang w:val="fr-FR"/>
        </w:rPr>
        <w:t>Président</w:t>
      </w:r>
      <w:r>
        <w:rPr>
          <w:rFonts w:eastAsia="Malgun Gothic"/>
          <w:lang w:val="fr-FR"/>
        </w:rPr>
        <w:t xml:space="preserve"> a repris ses fonctions et a remercié la Vice-Présidente de la </w:t>
      </w:r>
      <w:r w:rsidRPr="0030181D">
        <w:rPr>
          <w:rFonts w:eastAsia="Malgun Gothic"/>
          <w:lang w:val="fr-FR"/>
        </w:rPr>
        <w:t>République</w:t>
      </w:r>
      <w:r>
        <w:rPr>
          <w:rFonts w:eastAsia="Malgun Gothic"/>
          <w:lang w:val="fr-FR"/>
        </w:rPr>
        <w:t xml:space="preserve"> de Corée d</w:t>
      </w:r>
      <w:r w:rsidR="00923E72">
        <w:rPr>
          <w:rFonts w:eastAsia="Malgun Gothic"/>
          <w:lang w:val="fr-FR"/>
        </w:rPr>
        <w:t>’</w:t>
      </w:r>
      <w:r>
        <w:rPr>
          <w:rFonts w:eastAsia="Malgun Gothic"/>
          <w:lang w:val="fr-FR"/>
        </w:rPr>
        <w:t>avoir présidé les travaux sur ce point, en son absence.</w:t>
      </w:r>
    </w:p>
    <w:p w14:paraId="1B825712" w14:textId="7EE158F7" w:rsidR="0030181D" w:rsidRPr="0030181D" w:rsidRDefault="0030181D" w:rsidP="0030181D">
      <w:pPr>
        <w:pStyle w:val="Orateurengris"/>
        <w:keepNext/>
        <w:tabs>
          <w:tab w:val="clear" w:pos="709"/>
          <w:tab w:val="clear" w:pos="1418"/>
          <w:tab w:val="clear" w:pos="2126"/>
          <w:tab w:val="clear" w:pos="2835"/>
        </w:tabs>
        <w:spacing w:before="360" w:after="60"/>
        <w:jc w:val="left"/>
        <w:outlineLvl w:val="0"/>
        <w:rPr>
          <w:b/>
          <w:color w:val="000000" w:themeColor="text1"/>
          <w:lang w:val="fr-FR"/>
        </w:rPr>
      </w:pPr>
      <w:r>
        <w:rPr>
          <w:b/>
          <w:color w:val="000000" w:themeColor="text1"/>
          <w:u w:val="single"/>
          <w:lang w:val="fr-FR"/>
        </w:rPr>
        <w:t>POINT</w:t>
      </w:r>
      <w:r w:rsidR="002B668C">
        <w:rPr>
          <w:b/>
          <w:color w:val="000000" w:themeColor="text1"/>
          <w:u w:val="single"/>
          <w:lang w:val="fr-FR"/>
        </w:rPr>
        <w:t> </w:t>
      </w:r>
      <w:r>
        <w:rPr>
          <w:b/>
          <w:color w:val="000000" w:themeColor="text1"/>
          <w:u w:val="single"/>
          <w:lang w:val="fr-FR"/>
        </w:rPr>
        <w:t>6.b DE L</w:t>
      </w:r>
      <w:r w:rsidR="00923E72">
        <w:rPr>
          <w:b/>
          <w:color w:val="000000" w:themeColor="text1"/>
          <w:u w:val="single"/>
          <w:lang w:val="fr-FR"/>
        </w:rPr>
        <w:t>’</w:t>
      </w:r>
      <w:r w:rsidRPr="0030181D">
        <w:rPr>
          <w:b/>
          <w:color w:val="000000" w:themeColor="text1"/>
          <w:u w:val="single"/>
          <w:lang w:val="fr-FR"/>
        </w:rPr>
        <w:t>ORDRE DU JOUR</w:t>
      </w:r>
      <w:r w:rsidRPr="0030181D">
        <w:rPr>
          <w:b/>
          <w:color w:val="000000" w:themeColor="text1"/>
          <w:lang w:val="fr-FR"/>
        </w:rPr>
        <w:t> </w:t>
      </w:r>
      <w:r>
        <w:rPr>
          <w:b/>
          <w:color w:val="000000" w:themeColor="text1"/>
          <w:lang w:val="fr-FR"/>
        </w:rPr>
        <w:t>:</w:t>
      </w:r>
    </w:p>
    <w:p w14:paraId="72530A3A" w14:textId="331C4E4F" w:rsidR="0030181D" w:rsidRPr="0030181D" w:rsidRDefault="0030181D" w:rsidP="00702497">
      <w:pPr>
        <w:pStyle w:val="Orateurengris"/>
        <w:spacing w:after="0"/>
        <w:outlineLvl w:val="0"/>
        <w:rPr>
          <w:b/>
          <w:color w:val="000000" w:themeColor="text1"/>
          <w:lang w:val="fr-FR"/>
        </w:rPr>
      </w:pPr>
      <w:r w:rsidRPr="0030181D">
        <w:rPr>
          <w:b/>
          <w:color w:val="000000" w:themeColor="text1"/>
          <w:lang w:val="fr-FR"/>
        </w:rPr>
        <w:t>EXAMEN DES RAPPORTS DU PREMIER CYCLE DE RAPPORTS PÉRIODIQUES SUR L</w:t>
      </w:r>
      <w:r>
        <w:rPr>
          <w:b/>
          <w:color w:val="000000" w:themeColor="text1"/>
          <w:lang w:val="fr-FR"/>
        </w:rPr>
        <w:t>A</w:t>
      </w:r>
      <w:r w:rsidRPr="0030181D">
        <w:rPr>
          <w:b/>
          <w:color w:val="000000" w:themeColor="text1"/>
          <w:lang w:val="fr-FR"/>
        </w:rPr>
        <w:t xml:space="preserve"> </w:t>
      </w:r>
      <w:r>
        <w:rPr>
          <w:b/>
          <w:color w:val="000000" w:themeColor="text1"/>
          <w:lang w:val="fr-FR"/>
        </w:rPr>
        <w:t xml:space="preserve">MISE EN ŒUVRE </w:t>
      </w:r>
      <w:r w:rsidRPr="0030181D">
        <w:rPr>
          <w:b/>
          <w:color w:val="000000" w:themeColor="text1"/>
          <w:lang w:val="fr-FR"/>
        </w:rPr>
        <w:t xml:space="preserve">DE </w:t>
      </w:r>
      <w:r w:rsidR="00394AA1">
        <w:rPr>
          <w:b/>
          <w:color w:val="000000" w:themeColor="text1"/>
          <w:lang w:val="fr-FR"/>
        </w:rPr>
        <w:t xml:space="preserve">LA </w:t>
      </w:r>
      <w:r w:rsidRPr="0030181D">
        <w:rPr>
          <w:b/>
          <w:color w:val="000000" w:themeColor="text1"/>
          <w:lang w:val="fr-FR"/>
        </w:rPr>
        <w:t>CONVENTION ET SUR L</w:t>
      </w:r>
      <w:r w:rsidR="00923E72">
        <w:rPr>
          <w:b/>
          <w:color w:val="000000" w:themeColor="text1"/>
          <w:lang w:val="fr-FR"/>
        </w:rPr>
        <w:t>’</w:t>
      </w:r>
      <w:r w:rsidRPr="0030181D">
        <w:rPr>
          <w:b/>
          <w:color w:val="000000" w:themeColor="text1"/>
          <w:lang w:val="fr-FR"/>
        </w:rPr>
        <w:t>ÉTAT ACTUEL DES ÉLÉMENTS IN</w:t>
      </w:r>
      <w:r>
        <w:rPr>
          <w:b/>
          <w:color w:val="000000" w:themeColor="text1"/>
          <w:lang w:val="fr-FR"/>
        </w:rPr>
        <w:t>S</w:t>
      </w:r>
      <w:r w:rsidRPr="0030181D">
        <w:rPr>
          <w:b/>
          <w:color w:val="000000" w:themeColor="text1"/>
          <w:lang w:val="fr-FR"/>
        </w:rPr>
        <w:t>CRITS SUR LA LISTE REPR</w:t>
      </w:r>
      <w:r>
        <w:rPr>
          <w:b/>
          <w:color w:val="000000" w:themeColor="text1"/>
          <w:lang w:val="fr-FR"/>
        </w:rPr>
        <w:t>É</w:t>
      </w:r>
      <w:r w:rsidRPr="0030181D">
        <w:rPr>
          <w:b/>
          <w:color w:val="000000" w:themeColor="text1"/>
          <w:lang w:val="fr-FR"/>
        </w:rPr>
        <w:t xml:space="preserve">SENTATIVE </w:t>
      </w:r>
      <w:r>
        <w:rPr>
          <w:b/>
          <w:color w:val="000000" w:themeColor="text1"/>
          <w:lang w:val="fr-FR"/>
        </w:rPr>
        <w:t>DU PATRIMOINE CULTUREL IMMATÉRIEL DE L</w:t>
      </w:r>
      <w:r w:rsidR="00923E72">
        <w:rPr>
          <w:b/>
          <w:color w:val="000000" w:themeColor="text1"/>
          <w:lang w:val="fr-FR"/>
        </w:rPr>
        <w:t>’</w:t>
      </w:r>
      <w:r>
        <w:rPr>
          <w:b/>
          <w:color w:val="000000" w:themeColor="text1"/>
          <w:lang w:val="fr-FR"/>
        </w:rPr>
        <w:t xml:space="preserve">HUMANITÉ </w:t>
      </w:r>
      <w:r w:rsidRPr="0030181D">
        <w:rPr>
          <w:b/>
          <w:color w:val="000000" w:themeColor="text1"/>
          <w:lang w:val="fr-FR"/>
        </w:rPr>
        <w:t xml:space="preserve">DES </w:t>
      </w:r>
      <w:r>
        <w:rPr>
          <w:b/>
          <w:color w:val="000000" w:themeColor="text1"/>
          <w:lang w:val="fr-FR"/>
        </w:rPr>
        <w:t>ÉTATS PARTIES D</w:t>
      </w:r>
      <w:r w:rsidR="00923E72">
        <w:rPr>
          <w:b/>
          <w:color w:val="000000" w:themeColor="text1"/>
          <w:lang w:val="fr-FR"/>
        </w:rPr>
        <w:t>’</w:t>
      </w:r>
      <w:r>
        <w:rPr>
          <w:b/>
          <w:color w:val="000000" w:themeColor="text1"/>
          <w:lang w:val="fr-FR"/>
        </w:rPr>
        <w:t>EUROPE</w:t>
      </w:r>
    </w:p>
    <w:p w14:paraId="76BC5837" w14:textId="77777777" w:rsidR="0030181D" w:rsidRPr="0030181D" w:rsidRDefault="0030181D" w:rsidP="0030181D">
      <w:pPr>
        <w:pStyle w:val="Orateurengris"/>
        <w:tabs>
          <w:tab w:val="clear" w:pos="709"/>
          <w:tab w:val="clear" w:pos="1418"/>
          <w:tab w:val="clear" w:pos="2126"/>
          <w:tab w:val="clear" w:pos="2835"/>
        </w:tabs>
        <w:spacing w:after="0"/>
        <w:ind w:left="709"/>
        <w:rPr>
          <w:b/>
          <w:color w:val="000000" w:themeColor="text1"/>
          <w:lang w:val="fr-FR"/>
        </w:rPr>
      </w:pPr>
    </w:p>
    <w:p w14:paraId="32912DA4" w14:textId="2DE26B80" w:rsidR="0030181D" w:rsidRPr="0030181D" w:rsidRDefault="0030181D" w:rsidP="0030181D">
      <w:pPr>
        <w:pStyle w:val="Orateurengris"/>
        <w:tabs>
          <w:tab w:val="clear" w:pos="709"/>
          <w:tab w:val="clear" w:pos="1418"/>
          <w:tab w:val="clear" w:pos="2126"/>
          <w:tab w:val="clear" w:pos="2835"/>
        </w:tabs>
        <w:spacing w:after="0"/>
        <w:ind w:left="709"/>
        <w:rPr>
          <w:i/>
          <w:lang w:val="fr-FR"/>
        </w:rPr>
      </w:pPr>
      <w:r w:rsidRPr="0030181D">
        <w:rPr>
          <w:b/>
          <w:color w:val="000000" w:themeColor="text1"/>
          <w:lang w:val="fr-FR"/>
        </w:rPr>
        <w:t>Document</w:t>
      </w:r>
      <w:r w:rsidR="0028700F">
        <w:rPr>
          <w:b/>
          <w:color w:val="000000" w:themeColor="text1"/>
          <w:lang w:val="fr-FR"/>
        </w:rPr>
        <w:t>s</w:t>
      </w:r>
      <w:r>
        <w:rPr>
          <w:b/>
          <w:color w:val="000000" w:themeColor="text1"/>
          <w:lang w:val="fr-FR"/>
        </w:rPr>
        <w:t> </w:t>
      </w:r>
      <w:r w:rsidRPr="0030181D">
        <w:rPr>
          <w:b/>
          <w:color w:val="000000" w:themeColor="text1"/>
          <w:lang w:val="fr-FR"/>
        </w:rPr>
        <w:t>:</w:t>
      </w:r>
      <w:r w:rsidRPr="0030181D">
        <w:rPr>
          <w:b/>
          <w:iCs/>
          <w:color w:val="000000" w:themeColor="text1"/>
          <w:lang w:val="fr-FR"/>
        </w:rPr>
        <w:tab/>
      </w:r>
      <w:hyperlink r:id="rId68" w:history="1">
        <w:r w:rsidRPr="0030181D">
          <w:rPr>
            <w:rStyle w:val="Hyperlink"/>
            <w:i/>
            <w:lang w:val="fr-FR"/>
          </w:rPr>
          <w:t>LHE/22/17.COM/6.b</w:t>
        </w:r>
        <w:r w:rsidR="00943A5F">
          <w:rPr>
            <w:rStyle w:val="Hyperlink"/>
            <w:i/>
            <w:lang w:val="fr-FR"/>
          </w:rPr>
          <w:t> </w:t>
        </w:r>
        <w:r w:rsidRPr="0030181D">
          <w:rPr>
            <w:rStyle w:val="Hyperlink"/>
            <w:i/>
            <w:lang w:val="fr-FR"/>
          </w:rPr>
          <w:t>Rev</w:t>
        </w:r>
      </w:hyperlink>
    </w:p>
    <w:p w14:paraId="0690C991" w14:textId="67361A5A" w:rsidR="0030181D" w:rsidRPr="0030181D" w:rsidRDefault="0030181D" w:rsidP="0030181D">
      <w:pPr>
        <w:pStyle w:val="Orateurengris"/>
        <w:tabs>
          <w:tab w:val="clear" w:pos="709"/>
          <w:tab w:val="clear" w:pos="1418"/>
          <w:tab w:val="clear" w:pos="2126"/>
          <w:tab w:val="clear" w:pos="2835"/>
        </w:tabs>
        <w:spacing w:after="0"/>
        <w:ind w:left="709"/>
        <w:rPr>
          <w:i/>
          <w:lang w:val="fr-FR"/>
        </w:rPr>
      </w:pPr>
      <w:r w:rsidRPr="0030181D">
        <w:rPr>
          <w:b/>
          <w:color w:val="000000" w:themeColor="text1"/>
          <w:lang w:val="fr-FR"/>
        </w:rPr>
        <w:tab/>
      </w:r>
      <w:r w:rsidRPr="0030181D">
        <w:rPr>
          <w:b/>
          <w:color w:val="000000" w:themeColor="text1"/>
          <w:lang w:val="fr-FR"/>
        </w:rPr>
        <w:tab/>
      </w:r>
      <w:r w:rsidR="003D2288">
        <w:rPr>
          <w:bCs/>
          <w:color w:val="000000" w:themeColor="text1"/>
          <w:lang w:val="fr-FR"/>
        </w:rPr>
        <w:t xml:space="preserve">Voir </w:t>
      </w:r>
      <w:r w:rsidR="00847D9F">
        <w:rPr>
          <w:bCs/>
          <w:color w:val="000000" w:themeColor="text1"/>
          <w:lang w:val="fr-FR"/>
        </w:rPr>
        <w:t xml:space="preserve">les </w:t>
      </w:r>
      <w:hyperlink r:id="rId69" w:history="1">
        <w:r w:rsidRPr="0030181D">
          <w:rPr>
            <w:rStyle w:val="Hyperlink"/>
            <w:i/>
            <w:lang w:val="fr-FR"/>
          </w:rPr>
          <w:t>42</w:t>
        </w:r>
        <w:r w:rsidR="00943A5F">
          <w:rPr>
            <w:rStyle w:val="Hyperlink"/>
            <w:i/>
            <w:lang w:val="fr-FR"/>
          </w:rPr>
          <w:t> </w:t>
        </w:r>
        <w:r w:rsidRPr="0030181D">
          <w:rPr>
            <w:rStyle w:val="Hyperlink"/>
            <w:i/>
            <w:lang w:val="fr-FR"/>
          </w:rPr>
          <w:t>rapports</w:t>
        </w:r>
      </w:hyperlink>
    </w:p>
    <w:p w14:paraId="19884316" w14:textId="36DDBDE3" w:rsidR="0030181D" w:rsidRPr="0030181D" w:rsidRDefault="0030181D" w:rsidP="0030181D">
      <w:pPr>
        <w:pStyle w:val="Orateurengris"/>
        <w:tabs>
          <w:tab w:val="clear" w:pos="709"/>
          <w:tab w:val="clear" w:pos="1418"/>
          <w:tab w:val="clear" w:pos="2126"/>
          <w:tab w:val="clear" w:pos="2835"/>
        </w:tabs>
        <w:spacing w:before="120" w:after="0"/>
        <w:ind w:left="720"/>
        <w:rPr>
          <w:rFonts w:eastAsia="Malgun Gothic"/>
          <w:lang w:val="fr-FR"/>
        </w:rPr>
      </w:pPr>
      <w:r w:rsidRPr="0030181D">
        <w:rPr>
          <w:b/>
          <w:color w:val="000000" w:themeColor="text1"/>
          <w:lang w:val="fr-FR"/>
        </w:rPr>
        <w:t>D</w:t>
      </w:r>
      <w:r>
        <w:rPr>
          <w:b/>
          <w:color w:val="000000" w:themeColor="text1"/>
          <w:lang w:val="fr-FR"/>
        </w:rPr>
        <w:t>é</w:t>
      </w:r>
      <w:r w:rsidRPr="0030181D">
        <w:rPr>
          <w:b/>
          <w:color w:val="000000" w:themeColor="text1"/>
          <w:lang w:val="fr-FR"/>
        </w:rPr>
        <w:t>cision</w:t>
      </w:r>
      <w:r>
        <w:rPr>
          <w:b/>
          <w:color w:val="000000" w:themeColor="text1"/>
          <w:lang w:val="fr-FR"/>
        </w:rPr>
        <w:t> </w:t>
      </w:r>
      <w:r w:rsidRPr="0030181D">
        <w:rPr>
          <w:b/>
          <w:color w:val="000000" w:themeColor="text1"/>
          <w:lang w:val="fr-FR"/>
        </w:rPr>
        <w:t>:</w:t>
      </w:r>
      <w:r w:rsidRPr="0030181D">
        <w:rPr>
          <w:bCs/>
          <w:color w:val="000000" w:themeColor="text1"/>
          <w:lang w:val="fr-FR"/>
        </w:rPr>
        <w:tab/>
      </w:r>
      <w:hyperlink r:id="rId70" w:history="1">
        <w:r w:rsidRPr="0030181D">
          <w:rPr>
            <w:rStyle w:val="Hyperlink"/>
            <w:i/>
            <w:lang w:val="fr-FR"/>
          </w:rPr>
          <w:t>17.COM</w:t>
        </w:r>
        <w:r w:rsidR="00943A5F">
          <w:rPr>
            <w:rStyle w:val="Hyperlink"/>
            <w:i/>
            <w:lang w:val="fr-FR"/>
          </w:rPr>
          <w:t> </w:t>
        </w:r>
        <w:r w:rsidRPr="0030181D">
          <w:rPr>
            <w:rStyle w:val="Hyperlink"/>
            <w:i/>
            <w:lang w:val="fr-FR"/>
          </w:rPr>
          <w:t>6.b</w:t>
        </w:r>
      </w:hyperlink>
    </w:p>
    <w:p w14:paraId="160DE7EB" w14:textId="5DC8A502" w:rsidR="0030181D" w:rsidRPr="0030181D" w:rsidRDefault="0030181D" w:rsidP="00702497">
      <w:pPr>
        <w:pStyle w:val="Orateurengris"/>
        <w:numPr>
          <w:ilvl w:val="0"/>
          <w:numId w:val="21"/>
        </w:numPr>
        <w:tabs>
          <w:tab w:val="clear" w:pos="567"/>
          <w:tab w:val="clear" w:pos="1418"/>
          <w:tab w:val="clear" w:pos="2126"/>
          <w:tab w:val="clear" w:pos="2835"/>
          <w:tab w:val="num" w:pos="709"/>
        </w:tabs>
        <w:spacing w:before="120" w:after="0"/>
        <w:ind w:left="709"/>
        <w:rPr>
          <w:rFonts w:eastAsia="Malgun Gothic"/>
          <w:bCs/>
          <w:lang w:val="fr-FR"/>
        </w:rPr>
      </w:pPr>
      <w:r>
        <w:rPr>
          <w:rFonts w:eastAsia="Malgun Gothic"/>
          <w:lang w:val="fr-FR"/>
        </w:rPr>
        <w:t xml:space="preserve">Le </w:t>
      </w:r>
      <w:r w:rsidRPr="0030181D">
        <w:rPr>
          <w:rFonts w:eastAsia="Malgun Gothic"/>
          <w:b/>
          <w:bCs/>
          <w:lang w:val="fr-FR"/>
        </w:rPr>
        <w:t>Président</w:t>
      </w:r>
      <w:r>
        <w:rPr>
          <w:rFonts w:eastAsia="Malgun Gothic"/>
          <w:lang w:val="fr-FR"/>
        </w:rPr>
        <w:t xml:space="preserve"> est passé au point</w:t>
      </w:r>
      <w:r w:rsidR="002B668C">
        <w:rPr>
          <w:rFonts w:eastAsia="Malgun Gothic"/>
          <w:lang w:val="fr-FR"/>
        </w:rPr>
        <w:t> </w:t>
      </w:r>
      <w:r>
        <w:rPr>
          <w:rFonts w:eastAsia="Malgun Gothic"/>
          <w:lang w:val="fr-FR"/>
        </w:rPr>
        <w:t>6.b de l</w:t>
      </w:r>
      <w:r w:rsidR="00923E72">
        <w:rPr>
          <w:rFonts w:eastAsia="Malgun Gothic"/>
          <w:lang w:val="fr-FR"/>
        </w:rPr>
        <w:t>’</w:t>
      </w:r>
      <w:r w:rsidRPr="0030181D">
        <w:rPr>
          <w:rFonts w:eastAsia="Malgun Gothic"/>
          <w:lang w:val="fr-FR"/>
        </w:rPr>
        <w:t>ordre du jour</w:t>
      </w:r>
      <w:r w:rsidR="00394AA1">
        <w:rPr>
          <w:rFonts w:eastAsia="Malgun Gothic"/>
          <w:lang w:val="fr-FR"/>
        </w:rPr>
        <w:t xml:space="preserve">, </w:t>
      </w:r>
      <w:r>
        <w:rPr>
          <w:rFonts w:eastAsia="Malgun Gothic"/>
          <w:lang w:val="fr-FR"/>
        </w:rPr>
        <w:t>l</w:t>
      </w:r>
      <w:r w:rsidR="00923E72">
        <w:rPr>
          <w:rFonts w:eastAsia="Malgun Gothic"/>
          <w:lang w:val="fr-FR"/>
        </w:rPr>
        <w:t>’</w:t>
      </w:r>
      <w:r w:rsidRPr="0030181D">
        <w:rPr>
          <w:bCs/>
          <w:color w:val="000000" w:themeColor="text1"/>
          <w:lang w:val="fr-FR"/>
        </w:rPr>
        <w:t xml:space="preserve">examen des rapports du premier cycle de rapports périodiques sur la mise en œuvre de </w:t>
      </w:r>
      <w:r w:rsidR="00394AA1">
        <w:rPr>
          <w:bCs/>
          <w:color w:val="000000" w:themeColor="text1"/>
          <w:lang w:val="fr-FR"/>
        </w:rPr>
        <w:t xml:space="preserve">la </w:t>
      </w:r>
      <w:r>
        <w:rPr>
          <w:bCs/>
          <w:color w:val="000000" w:themeColor="text1"/>
          <w:lang w:val="fr-FR"/>
        </w:rPr>
        <w:t>C</w:t>
      </w:r>
      <w:r w:rsidRPr="0030181D">
        <w:rPr>
          <w:bCs/>
          <w:color w:val="000000" w:themeColor="text1"/>
          <w:lang w:val="fr-FR"/>
        </w:rPr>
        <w:t>onvention et sur l</w:t>
      </w:r>
      <w:r w:rsidR="00923E72">
        <w:rPr>
          <w:bCs/>
          <w:color w:val="000000" w:themeColor="text1"/>
          <w:lang w:val="fr-FR"/>
        </w:rPr>
        <w:t>’</w:t>
      </w:r>
      <w:r w:rsidRPr="0030181D">
        <w:rPr>
          <w:bCs/>
          <w:color w:val="000000" w:themeColor="text1"/>
          <w:lang w:val="fr-FR"/>
        </w:rPr>
        <w:t xml:space="preserve">état actuel des éléments inscrits sur la </w:t>
      </w:r>
      <w:r>
        <w:rPr>
          <w:bCs/>
          <w:color w:val="000000" w:themeColor="text1"/>
          <w:lang w:val="fr-FR"/>
        </w:rPr>
        <w:t>L</w:t>
      </w:r>
      <w:r w:rsidRPr="0030181D">
        <w:rPr>
          <w:bCs/>
          <w:color w:val="000000" w:themeColor="text1"/>
          <w:lang w:val="fr-FR"/>
        </w:rPr>
        <w:t>iste représentative du patrimoine culturel immatériel de l</w:t>
      </w:r>
      <w:r w:rsidR="00923E72">
        <w:rPr>
          <w:bCs/>
          <w:color w:val="000000" w:themeColor="text1"/>
          <w:lang w:val="fr-FR"/>
        </w:rPr>
        <w:t>’</w:t>
      </w:r>
      <w:r w:rsidRPr="0030181D">
        <w:rPr>
          <w:bCs/>
          <w:color w:val="000000" w:themeColor="text1"/>
          <w:lang w:val="fr-FR"/>
        </w:rPr>
        <w:t xml:space="preserve">humanité des </w:t>
      </w:r>
      <w:r>
        <w:rPr>
          <w:bCs/>
          <w:color w:val="000000" w:themeColor="text1"/>
          <w:lang w:val="fr-FR"/>
        </w:rPr>
        <w:t>É</w:t>
      </w:r>
      <w:r w:rsidRPr="0030181D">
        <w:rPr>
          <w:bCs/>
          <w:color w:val="000000" w:themeColor="text1"/>
          <w:lang w:val="fr-FR"/>
        </w:rPr>
        <w:t>tats parties d</w:t>
      </w:r>
      <w:r w:rsidR="00923E72">
        <w:rPr>
          <w:bCs/>
          <w:color w:val="000000" w:themeColor="text1"/>
          <w:lang w:val="fr-FR"/>
        </w:rPr>
        <w:t>’</w:t>
      </w:r>
      <w:r>
        <w:rPr>
          <w:bCs/>
          <w:color w:val="000000" w:themeColor="text1"/>
          <w:lang w:val="fr-FR"/>
        </w:rPr>
        <w:t>E</w:t>
      </w:r>
      <w:r w:rsidRPr="0030181D">
        <w:rPr>
          <w:bCs/>
          <w:color w:val="000000" w:themeColor="text1"/>
          <w:lang w:val="fr-FR"/>
        </w:rPr>
        <w:t>urope</w:t>
      </w:r>
      <w:r>
        <w:rPr>
          <w:bCs/>
          <w:color w:val="000000" w:themeColor="text1"/>
          <w:lang w:val="fr-FR"/>
        </w:rPr>
        <w:t>.</w:t>
      </w:r>
    </w:p>
    <w:p w14:paraId="646C4237" w14:textId="5A6DC3B9" w:rsidR="0030181D" w:rsidRPr="00702497" w:rsidRDefault="0068783D" w:rsidP="00702497">
      <w:pPr>
        <w:pStyle w:val="Orateurengris"/>
        <w:numPr>
          <w:ilvl w:val="0"/>
          <w:numId w:val="21"/>
        </w:numPr>
        <w:tabs>
          <w:tab w:val="clear" w:pos="567"/>
          <w:tab w:val="clear" w:pos="1418"/>
          <w:tab w:val="clear" w:pos="2126"/>
          <w:tab w:val="clear" w:pos="2835"/>
          <w:tab w:val="num" w:pos="709"/>
        </w:tabs>
        <w:spacing w:before="120" w:after="0"/>
        <w:ind w:left="709"/>
        <w:rPr>
          <w:rFonts w:eastAsia="Malgun Gothic"/>
          <w:bCs/>
          <w:i/>
          <w:iCs/>
          <w:lang w:val="fr-FR"/>
        </w:rPr>
      </w:pPr>
      <w:r w:rsidRPr="0068783D">
        <w:rPr>
          <w:rFonts w:eastAsia="Malgun Gothic"/>
          <w:bCs/>
          <w:lang w:val="fr-FR"/>
        </w:rPr>
        <w:t xml:space="preserve">Le </w:t>
      </w:r>
      <w:r w:rsidRPr="0068783D">
        <w:rPr>
          <w:rFonts w:eastAsia="Malgun Gothic"/>
          <w:b/>
          <w:lang w:val="fr-FR"/>
        </w:rPr>
        <w:t>Secrétaire</w:t>
      </w:r>
      <w:r w:rsidRPr="0068783D">
        <w:rPr>
          <w:rFonts w:eastAsia="Malgun Gothic"/>
          <w:bCs/>
          <w:lang w:val="fr-FR"/>
        </w:rPr>
        <w:t xml:space="preserve"> a rappelé que l</w:t>
      </w:r>
      <w:r w:rsidR="00923E72">
        <w:rPr>
          <w:rFonts w:eastAsia="Malgun Gothic"/>
          <w:bCs/>
          <w:lang w:val="fr-FR"/>
        </w:rPr>
        <w:t>’</w:t>
      </w:r>
      <w:r w:rsidRPr="0068783D">
        <w:rPr>
          <w:rFonts w:eastAsia="Malgun Gothic"/>
          <w:bCs/>
          <w:lang w:val="fr-FR"/>
        </w:rPr>
        <w:t>article</w:t>
      </w:r>
      <w:r w:rsidR="006773EF">
        <w:rPr>
          <w:rFonts w:eastAsia="Malgun Gothic"/>
          <w:bCs/>
          <w:lang w:val="fr-FR"/>
        </w:rPr>
        <w:t> </w:t>
      </w:r>
      <w:r w:rsidRPr="0068783D">
        <w:rPr>
          <w:rFonts w:eastAsia="Malgun Gothic"/>
          <w:bCs/>
          <w:lang w:val="fr-FR"/>
        </w:rPr>
        <w:t>29 de la Convention stipule que l</w:t>
      </w:r>
      <w:r w:rsidR="00923E72">
        <w:rPr>
          <w:rFonts w:eastAsia="Malgun Gothic"/>
          <w:bCs/>
          <w:lang w:val="fr-FR"/>
        </w:rPr>
        <w:t>’</w:t>
      </w:r>
      <w:r w:rsidRPr="0068783D">
        <w:rPr>
          <w:rFonts w:eastAsia="Malgun Gothic"/>
          <w:bCs/>
          <w:lang w:val="fr-FR"/>
        </w:rPr>
        <w:t xml:space="preserve">une des obligations des États parties est de </w:t>
      </w:r>
      <w:r w:rsidR="001757BB">
        <w:rPr>
          <w:rFonts w:eastAsia="Malgun Gothic"/>
          <w:bCs/>
          <w:lang w:val="fr-FR"/>
        </w:rPr>
        <w:t xml:space="preserve">présenter </w:t>
      </w:r>
      <w:r w:rsidRPr="0068783D">
        <w:rPr>
          <w:rFonts w:eastAsia="Malgun Gothic"/>
          <w:bCs/>
          <w:lang w:val="fr-FR"/>
        </w:rPr>
        <w:t xml:space="preserve">au Comité un rapport sur les </w:t>
      </w:r>
      <w:r w:rsidR="001757BB" w:rsidRPr="001757BB">
        <w:rPr>
          <w:rFonts w:eastAsia="Malgun Gothic"/>
          <w:bCs/>
          <w:lang w:val="fr-FR"/>
        </w:rPr>
        <w:t>dispositio</w:t>
      </w:r>
      <w:r w:rsidR="001757BB">
        <w:rPr>
          <w:rFonts w:eastAsia="Malgun Gothic"/>
          <w:bCs/>
          <w:lang w:val="fr-FR"/>
        </w:rPr>
        <w:t xml:space="preserve">ns </w:t>
      </w:r>
      <w:r w:rsidRPr="0068783D">
        <w:rPr>
          <w:rFonts w:eastAsia="Malgun Gothic"/>
          <w:bCs/>
          <w:lang w:val="fr-FR"/>
        </w:rPr>
        <w:t>législatives, réglementaires et autres prises pour la mise en œuvre de la Convention</w:t>
      </w:r>
      <w:r>
        <w:rPr>
          <w:rFonts w:eastAsia="Malgun Gothic"/>
          <w:bCs/>
          <w:lang w:val="fr-FR"/>
        </w:rPr>
        <w:t>, c</w:t>
      </w:r>
      <w:r w:rsidRPr="0068783D">
        <w:rPr>
          <w:rFonts w:eastAsia="Malgun Gothic"/>
          <w:bCs/>
          <w:lang w:val="fr-FR"/>
        </w:rPr>
        <w:t>e rapport dev</w:t>
      </w:r>
      <w:r>
        <w:rPr>
          <w:rFonts w:eastAsia="Malgun Gothic"/>
          <w:bCs/>
          <w:lang w:val="fr-FR"/>
        </w:rPr>
        <w:t>ant</w:t>
      </w:r>
      <w:r w:rsidRPr="0068783D">
        <w:rPr>
          <w:rFonts w:eastAsia="Malgun Gothic"/>
          <w:bCs/>
          <w:lang w:val="fr-FR"/>
        </w:rPr>
        <w:t xml:space="preserve"> également inclure des informations actualisées sur l</w:t>
      </w:r>
      <w:r w:rsidR="00923E72">
        <w:rPr>
          <w:rFonts w:eastAsia="Malgun Gothic"/>
          <w:bCs/>
          <w:lang w:val="fr-FR"/>
        </w:rPr>
        <w:t>’</w:t>
      </w:r>
      <w:r w:rsidRPr="0068783D">
        <w:rPr>
          <w:rFonts w:eastAsia="Malgun Gothic"/>
          <w:bCs/>
          <w:lang w:val="fr-FR"/>
        </w:rPr>
        <w:t>état actuel des éléments inscrits sur la Liste représentative dans le pays. Une fois ces rapports examinés par le Comité, un résumé de ces rapports était envoyé à la prochaine Assemblée générale. L</w:t>
      </w:r>
      <w:r w:rsidR="00923E72">
        <w:rPr>
          <w:rFonts w:eastAsia="Malgun Gothic"/>
          <w:bCs/>
          <w:lang w:val="fr-FR"/>
        </w:rPr>
        <w:t>’</w:t>
      </w:r>
      <w:r w:rsidRPr="0068783D">
        <w:rPr>
          <w:rFonts w:eastAsia="Malgun Gothic"/>
          <w:bCs/>
          <w:lang w:val="fr-FR"/>
        </w:rPr>
        <w:t>Europe était la deuxième région à soumettre des rapports périodiques sur la mise en œuvre de la Convention à la suite de la vaste réforme du cycle de rapports périodiques, qui était passé à une base régionale. Pour ce cycle, l</w:t>
      </w:r>
      <w:r w:rsidR="00923E72">
        <w:rPr>
          <w:rFonts w:eastAsia="Malgun Gothic"/>
          <w:bCs/>
          <w:lang w:val="fr-FR"/>
        </w:rPr>
        <w:t>’</w:t>
      </w:r>
      <w:r w:rsidRPr="0068783D">
        <w:rPr>
          <w:rFonts w:eastAsia="Malgun Gothic"/>
          <w:bCs/>
          <w:lang w:val="fr-FR"/>
        </w:rPr>
        <w:t xml:space="preserve">exercice réformé continuait à montrer des résultats très encourageants, avec </w:t>
      </w:r>
      <w:r>
        <w:rPr>
          <w:rFonts w:eastAsia="Malgun Gothic"/>
          <w:bCs/>
          <w:lang w:val="fr-FR"/>
        </w:rPr>
        <w:t>quarante</w:t>
      </w:r>
      <w:r>
        <w:rPr>
          <w:rFonts w:eastAsia="Malgun Gothic"/>
          <w:bCs/>
          <w:lang w:val="fr-FR"/>
        </w:rPr>
        <w:noBreakHyphen/>
        <w:t>deux</w:t>
      </w:r>
      <w:r w:rsidRPr="0068783D">
        <w:rPr>
          <w:rFonts w:eastAsia="Malgun Gothic"/>
          <w:bCs/>
          <w:lang w:val="fr-FR"/>
        </w:rPr>
        <w:t xml:space="preserve"> pays sur </w:t>
      </w:r>
      <w:r>
        <w:rPr>
          <w:rFonts w:eastAsia="Malgun Gothic"/>
          <w:bCs/>
          <w:lang w:val="fr-FR"/>
        </w:rPr>
        <w:t>quarante</w:t>
      </w:r>
      <w:r>
        <w:rPr>
          <w:rFonts w:eastAsia="Malgun Gothic"/>
          <w:bCs/>
          <w:lang w:val="fr-FR"/>
        </w:rPr>
        <w:noBreakHyphen/>
        <w:t>quatre</w:t>
      </w:r>
      <w:r w:rsidRPr="0068783D">
        <w:rPr>
          <w:rFonts w:eastAsia="Malgun Gothic"/>
          <w:bCs/>
          <w:lang w:val="fr-FR"/>
        </w:rPr>
        <w:t xml:space="preserve"> </w:t>
      </w:r>
      <w:r>
        <w:rPr>
          <w:rFonts w:eastAsia="Malgun Gothic"/>
          <w:bCs/>
          <w:lang w:val="fr-FR"/>
        </w:rPr>
        <w:t>ayant</w:t>
      </w:r>
      <w:r w:rsidRPr="0068783D">
        <w:rPr>
          <w:rFonts w:eastAsia="Malgun Gothic"/>
          <w:bCs/>
          <w:lang w:val="fr-FR"/>
        </w:rPr>
        <w:t xml:space="preserve"> soumis leur rapport, soit un taux de soumission de</w:t>
      </w:r>
      <w:r w:rsidR="009A34A8">
        <w:rPr>
          <w:rFonts w:eastAsia="Malgun Gothic"/>
          <w:bCs/>
          <w:lang w:val="fr-FR"/>
        </w:rPr>
        <w:t> </w:t>
      </w:r>
      <w:r w:rsidRPr="0068783D">
        <w:rPr>
          <w:rFonts w:eastAsia="Malgun Gothic"/>
          <w:bCs/>
          <w:lang w:val="fr-FR"/>
        </w:rPr>
        <w:t>95</w:t>
      </w:r>
      <w:r>
        <w:rPr>
          <w:rFonts w:eastAsia="Malgun Gothic"/>
          <w:bCs/>
          <w:lang w:val="fr-FR"/>
        </w:rPr>
        <w:t> </w:t>
      </w:r>
      <w:r w:rsidRPr="0068783D">
        <w:rPr>
          <w:rFonts w:eastAsia="Malgun Gothic"/>
          <w:bCs/>
          <w:lang w:val="fr-FR"/>
        </w:rPr>
        <w:t>%. Un graphique a été projeté (voir page</w:t>
      </w:r>
      <w:r w:rsidR="00DB6A4B">
        <w:rPr>
          <w:rFonts w:eastAsia="Malgun Gothic"/>
          <w:bCs/>
          <w:lang w:val="fr-FR"/>
        </w:rPr>
        <w:t> </w:t>
      </w:r>
      <w:r w:rsidRPr="0068783D">
        <w:rPr>
          <w:rFonts w:eastAsia="Malgun Gothic"/>
          <w:bCs/>
          <w:lang w:val="fr-FR"/>
        </w:rPr>
        <w:t>5 du document de travail). Comme on pouvait le constater, au tout début de la Convention, en</w:t>
      </w:r>
      <w:r w:rsidR="001A7AF7">
        <w:rPr>
          <w:rFonts w:eastAsia="Malgun Gothic"/>
          <w:bCs/>
          <w:lang w:val="fr-FR"/>
        </w:rPr>
        <w:t> </w:t>
      </w:r>
      <w:r w:rsidRPr="0068783D">
        <w:rPr>
          <w:rFonts w:eastAsia="Malgun Gothic"/>
          <w:bCs/>
          <w:lang w:val="fr-FR"/>
        </w:rPr>
        <w:t>2011, seules sept Parties devaient soumettre des rapports, d</w:t>
      </w:r>
      <w:r w:rsidR="00923E72">
        <w:rPr>
          <w:rFonts w:eastAsia="Malgun Gothic"/>
          <w:bCs/>
          <w:lang w:val="fr-FR"/>
        </w:rPr>
        <w:t>’</w:t>
      </w:r>
      <w:r w:rsidRPr="0068783D">
        <w:rPr>
          <w:rFonts w:eastAsia="Malgun Gothic"/>
          <w:bCs/>
          <w:lang w:val="fr-FR"/>
        </w:rPr>
        <w:t xml:space="preserve">où le taux élevé. Cette période avait été suivie par </w:t>
      </w:r>
      <w:r w:rsidR="0028700F">
        <w:rPr>
          <w:rFonts w:eastAsia="Malgun Gothic"/>
          <w:bCs/>
          <w:lang w:val="fr-FR"/>
        </w:rPr>
        <w:t xml:space="preserve">une </w:t>
      </w:r>
      <w:r w:rsidRPr="0068783D">
        <w:rPr>
          <w:rFonts w:eastAsia="Malgun Gothic"/>
          <w:bCs/>
          <w:lang w:val="fr-FR"/>
        </w:rPr>
        <w:t>baisse significative jusqu</w:t>
      </w:r>
      <w:r w:rsidR="00923E72">
        <w:rPr>
          <w:rFonts w:eastAsia="Malgun Gothic"/>
          <w:bCs/>
          <w:lang w:val="fr-FR"/>
        </w:rPr>
        <w:t>’</w:t>
      </w:r>
      <w:r w:rsidRPr="0068783D">
        <w:rPr>
          <w:rFonts w:eastAsia="Malgun Gothic"/>
          <w:bCs/>
          <w:lang w:val="fr-FR"/>
        </w:rPr>
        <w:t>à</w:t>
      </w:r>
      <w:r w:rsidR="009A34A8">
        <w:rPr>
          <w:rFonts w:eastAsia="Malgun Gothic"/>
          <w:bCs/>
          <w:lang w:val="fr-FR"/>
        </w:rPr>
        <w:t> </w:t>
      </w:r>
      <w:r w:rsidRPr="0068783D">
        <w:rPr>
          <w:rFonts w:eastAsia="Malgun Gothic"/>
          <w:bCs/>
          <w:lang w:val="fr-FR"/>
        </w:rPr>
        <w:t>16</w:t>
      </w:r>
      <w:r>
        <w:rPr>
          <w:rFonts w:eastAsia="Malgun Gothic"/>
          <w:bCs/>
          <w:lang w:val="fr-FR"/>
        </w:rPr>
        <w:t> </w:t>
      </w:r>
      <w:r w:rsidRPr="0068783D">
        <w:rPr>
          <w:rFonts w:eastAsia="Malgun Gothic"/>
          <w:bCs/>
          <w:lang w:val="fr-FR"/>
        </w:rPr>
        <w:t>à</w:t>
      </w:r>
      <w:r>
        <w:rPr>
          <w:rFonts w:eastAsia="Malgun Gothic"/>
          <w:bCs/>
          <w:lang w:val="fr-FR"/>
        </w:rPr>
        <w:t> </w:t>
      </w:r>
      <w:r w:rsidRPr="0068783D">
        <w:rPr>
          <w:rFonts w:eastAsia="Malgun Gothic"/>
          <w:bCs/>
          <w:lang w:val="fr-FR"/>
        </w:rPr>
        <w:t>20</w:t>
      </w:r>
      <w:r>
        <w:rPr>
          <w:rFonts w:eastAsia="Malgun Gothic"/>
          <w:bCs/>
          <w:lang w:val="fr-FR"/>
        </w:rPr>
        <w:t> </w:t>
      </w:r>
      <w:r w:rsidRPr="0068783D">
        <w:rPr>
          <w:rFonts w:eastAsia="Malgun Gothic"/>
          <w:bCs/>
          <w:lang w:val="fr-FR"/>
        </w:rPr>
        <w:t xml:space="preserve">%. Il était évident </w:t>
      </w:r>
      <w:r w:rsidR="0028700F">
        <w:rPr>
          <w:rFonts w:eastAsia="Malgun Gothic"/>
          <w:bCs/>
          <w:lang w:val="fr-FR"/>
        </w:rPr>
        <w:t xml:space="preserve">que </w:t>
      </w:r>
      <w:r w:rsidRPr="0068783D">
        <w:rPr>
          <w:rFonts w:eastAsia="Malgun Gothic"/>
          <w:bCs/>
          <w:lang w:val="fr-FR"/>
        </w:rPr>
        <w:t>le taux de soumission des rapports était beaucoup plus élevé</w:t>
      </w:r>
      <w:r w:rsidR="0028700F" w:rsidRPr="0068783D">
        <w:rPr>
          <w:rFonts w:eastAsia="Malgun Gothic"/>
          <w:bCs/>
          <w:lang w:val="fr-FR"/>
        </w:rPr>
        <w:t xml:space="preserve"> depuis la réforme</w:t>
      </w:r>
      <w:r w:rsidR="0028700F">
        <w:rPr>
          <w:rFonts w:eastAsia="Malgun Gothic"/>
          <w:bCs/>
          <w:lang w:val="fr-FR"/>
        </w:rPr>
        <w:t>.</w:t>
      </w:r>
    </w:p>
    <w:p w14:paraId="7EE61C8C" w14:textId="64354503" w:rsidR="00DD0362" w:rsidRPr="006E3034" w:rsidRDefault="0068783D" w:rsidP="00702497">
      <w:pPr>
        <w:pStyle w:val="Orateurengris"/>
        <w:numPr>
          <w:ilvl w:val="0"/>
          <w:numId w:val="21"/>
        </w:numPr>
        <w:tabs>
          <w:tab w:val="clear" w:pos="567"/>
          <w:tab w:val="clear" w:pos="1418"/>
          <w:tab w:val="clear" w:pos="2126"/>
          <w:tab w:val="clear" w:pos="2835"/>
          <w:tab w:val="num" w:pos="709"/>
        </w:tabs>
        <w:spacing w:before="120" w:after="0"/>
        <w:ind w:left="709"/>
        <w:rPr>
          <w:rFonts w:eastAsia="Malgun Gothic"/>
          <w:bCs/>
          <w:i/>
          <w:iCs/>
          <w:lang w:val="fr-FR"/>
        </w:rPr>
      </w:pPr>
      <w:r w:rsidRPr="0068783D">
        <w:rPr>
          <w:rFonts w:eastAsia="Malgun Gothic"/>
          <w:b/>
          <w:lang w:val="fr-FR"/>
        </w:rPr>
        <w:t>M</w:t>
      </w:r>
      <w:r w:rsidRPr="00702497">
        <w:rPr>
          <w:rFonts w:eastAsia="Malgun Gothic"/>
          <w:b/>
          <w:vertAlign w:val="superscript"/>
          <w:lang w:val="fr-FR"/>
        </w:rPr>
        <w:t>me</w:t>
      </w:r>
      <w:r w:rsidRPr="0068783D">
        <w:rPr>
          <w:rFonts w:eastAsia="Malgun Gothic"/>
          <w:b/>
          <w:lang w:val="fr-FR"/>
        </w:rPr>
        <w:t> Fumiko Ohinata</w:t>
      </w:r>
      <w:r w:rsidRPr="0068783D">
        <w:rPr>
          <w:rFonts w:eastAsia="Malgun Gothic"/>
          <w:bCs/>
          <w:lang w:val="fr-FR"/>
        </w:rPr>
        <w:t xml:space="preserve"> a communiqué des informations sur la mise en œuvr</w:t>
      </w:r>
      <w:r w:rsidR="001757BB">
        <w:rPr>
          <w:rFonts w:eastAsia="Malgun Gothic"/>
          <w:bCs/>
          <w:lang w:val="fr-FR"/>
        </w:rPr>
        <w:t xml:space="preserve">e </w:t>
      </w:r>
      <w:r w:rsidRPr="0068783D">
        <w:rPr>
          <w:rFonts w:eastAsia="Malgun Gothic"/>
          <w:bCs/>
          <w:lang w:val="fr-FR"/>
        </w:rPr>
        <w:t>et les conclusions de l</w:t>
      </w:r>
      <w:r w:rsidR="00923E72">
        <w:rPr>
          <w:rFonts w:eastAsia="Malgun Gothic"/>
          <w:bCs/>
          <w:lang w:val="fr-FR"/>
        </w:rPr>
        <w:t>’</w:t>
      </w:r>
      <w:r>
        <w:rPr>
          <w:rFonts w:eastAsia="Malgun Gothic"/>
          <w:bCs/>
          <w:lang w:val="fr-FR"/>
        </w:rPr>
        <w:t>e</w:t>
      </w:r>
      <w:r w:rsidRPr="0068783D">
        <w:rPr>
          <w:rFonts w:eastAsia="Malgun Gothic"/>
          <w:bCs/>
          <w:lang w:val="fr-FR"/>
        </w:rPr>
        <w:t>xercice de soumission des rapports périodiques pour ce cycle</w:t>
      </w:r>
      <w:r w:rsidR="00244F2C">
        <w:rPr>
          <w:rFonts w:eastAsia="Malgun Gothic"/>
          <w:bCs/>
          <w:lang w:val="fr-FR"/>
        </w:rPr>
        <w:t xml:space="preserve">. </w:t>
      </w:r>
      <w:r w:rsidRPr="0068783D">
        <w:rPr>
          <w:rFonts w:eastAsia="Malgun Gothic"/>
          <w:bCs/>
          <w:lang w:val="fr-FR"/>
        </w:rPr>
        <w:t>La mise en œuvre du nouveau système de rapport</w:t>
      </w:r>
      <w:r w:rsidR="00394AA1">
        <w:rPr>
          <w:rFonts w:eastAsia="Malgun Gothic"/>
          <w:bCs/>
          <w:lang w:val="fr-FR"/>
        </w:rPr>
        <w:t>s</w:t>
      </w:r>
      <w:r w:rsidRPr="0068783D">
        <w:rPr>
          <w:rFonts w:eastAsia="Malgun Gothic"/>
          <w:bCs/>
          <w:lang w:val="fr-FR"/>
        </w:rPr>
        <w:t xml:space="preserve"> périodique</w:t>
      </w:r>
      <w:r w:rsidR="00394AA1">
        <w:rPr>
          <w:rFonts w:eastAsia="Malgun Gothic"/>
          <w:bCs/>
          <w:lang w:val="fr-FR"/>
        </w:rPr>
        <w:t>s</w:t>
      </w:r>
      <w:r w:rsidRPr="0068783D">
        <w:rPr>
          <w:rFonts w:eastAsia="Malgun Gothic"/>
          <w:bCs/>
          <w:lang w:val="fr-FR"/>
        </w:rPr>
        <w:t xml:space="preserve"> en Europe a</w:t>
      </w:r>
      <w:r w:rsidR="00244F2C">
        <w:rPr>
          <w:rFonts w:eastAsia="Malgun Gothic"/>
          <w:bCs/>
          <w:lang w:val="fr-FR"/>
        </w:rPr>
        <w:t>vait</w:t>
      </w:r>
      <w:r w:rsidRPr="0068783D">
        <w:rPr>
          <w:rFonts w:eastAsia="Malgun Gothic"/>
          <w:bCs/>
          <w:lang w:val="fr-FR"/>
        </w:rPr>
        <w:t xml:space="preserve"> été une expérience enrichissante, qui a</w:t>
      </w:r>
      <w:r w:rsidR="00244F2C">
        <w:rPr>
          <w:rFonts w:eastAsia="Malgun Gothic"/>
          <w:bCs/>
          <w:lang w:val="fr-FR"/>
        </w:rPr>
        <w:t>vait</w:t>
      </w:r>
      <w:r w:rsidRPr="0068783D">
        <w:rPr>
          <w:rFonts w:eastAsia="Malgun Gothic"/>
          <w:bCs/>
          <w:lang w:val="fr-FR"/>
        </w:rPr>
        <w:t xml:space="preserve"> rassemblé de nombreux acteurs différents de la sphère du patrimoine culturel immatériel. Grâce au soutien du Centre régional pour la sauvegarde du patrimoine culturel immatériel en Europe du Sud</w:t>
      </w:r>
      <w:r w:rsidR="001757BB">
        <w:rPr>
          <w:rFonts w:eastAsia="Malgun Gothic"/>
          <w:bCs/>
          <w:lang w:val="fr-FR"/>
        </w:rPr>
        <w:noBreakHyphen/>
      </w:r>
      <w:r w:rsidRPr="0068783D">
        <w:rPr>
          <w:rFonts w:eastAsia="Malgun Gothic"/>
          <w:bCs/>
          <w:lang w:val="fr-FR"/>
        </w:rPr>
        <w:t>Est</w:t>
      </w:r>
      <w:r w:rsidR="00244F2C">
        <w:rPr>
          <w:rStyle w:val="FootnoteReference"/>
          <w:rFonts w:eastAsia="Malgun Gothic"/>
          <w:bCs/>
          <w:lang w:val="fr-FR"/>
        </w:rPr>
        <w:footnoteReference w:id="18"/>
      </w:r>
      <w:r w:rsidRPr="0068783D">
        <w:rPr>
          <w:rFonts w:eastAsia="Malgun Gothic"/>
          <w:bCs/>
          <w:lang w:val="fr-FR"/>
        </w:rPr>
        <w:t>, une formation pour les points focaux nationaux avait été organisée entre mars et avril</w:t>
      </w:r>
      <w:r w:rsidR="00394AA1">
        <w:rPr>
          <w:rFonts w:eastAsia="Malgun Gothic"/>
          <w:bCs/>
          <w:lang w:val="fr-FR"/>
        </w:rPr>
        <w:t> </w:t>
      </w:r>
      <w:r w:rsidRPr="0068783D">
        <w:rPr>
          <w:rFonts w:eastAsia="Malgun Gothic"/>
          <w:bCs/>
          <w:lang w:val="fr-FR"/>
        </w:rPr>
        <w:t>2021. Malgré le format en ligne des ateliers, en raison de la pandémie, des efforts avaient été réalisés pour assurer l</w:t>
      </w:r>
      <w:r w:rsidR="00923E72">
        <w:rPr>
          <w:rFonts w:eastAsia="Malgun Gothic"/>
          <w:bCs/>
          <w:lang w:val="fr-FR"/>
        </w:rPr>
        <w:t>’</w:t>
      </w:r>
      <w:r w:rsidRPr="0068783D">
        <w:rPr>
          <w:rFonts w:eastAsia="Malgun Gothic"/>
          <w:bCs/>
          <w:lang w:val="fr-FR"/>
        </w:rPr>
        <w:t>échange et le partage d</w:t>
      </w:r>
      <w:r w:rsidR="00923E72">
        <w:rPr>
          <w:rFonts w:eastAsia="Malgun Gothic"/>
          <w:bCs/>
          <w:lang w:val="fr-FR"/>
        </w:rPr>
        <w:t>’</w:t>
      </w:r>
      <w:r w:rsidRPr="0068783D">
        <w:rPr>
          <w:rFonts w:eastAsia="Malgun Gothic"/>
          <w:bCs/>
          <w:lang w:val="fr-FR"/>
        </w:rPr>
        <w:t>expériences entre les participants. En particulier, les points focaux nationaux avaient été accompagnés tout au long de l</w:t>
      </w:r>
      <w:r w:rsidR="00923E72">
        <w:rPr>
          <w:rFonts w:eastAsia="Malgun Gothic"/>
          <w:bCs/>
          <w:lang w:val="fr-FR"/>
        </w:rPr>
        <w:t>’</w:t>
      </w:r>
      <w:r w:rsidRPr="0068783D">
        <w:rPr>
          <w:rFonts w:eastAsia="Malgun Gothic"/>
          <w:bCs/>
          <w:lang w:val="fr-FR"/>
        </w:rPr>
        <w:t>exercice d</w:t>
      </w:r>
      <w:r w:rsidR="00923E72">
        <w:rPr>
          <w:rFonts w:eastAsia="Malgun Gothic"/>
          <w:bCs/>
          <w:lang w:val="fr-FR"/>
        </w:rPr>
        <w:t>’</w:t>
      </w:r>
      <w:r w:rsidRPr="0068783D">
        <w:rPr>
          <w:rFonts w:eastAsia="Malgun Gothic"/>
          <w:bCs/>
          <w:lang w:val="fr-FR"/>
        </w:rPr>
        <w:t xml:space="preserve">établissement des rapports. Ce cycle avait produit de nombreux résultats positifs aux niveaux régional et national, notamment la création du </w:t>
      </w:r>
      <w:r w:rsidR="005771C5">
        <w:rPr>
          <w:rFonts w:eastAsia="Malgun Gothic"/>
          <w:bCs/>
          <w:lang w:val="fr-FR"/>
        </w:rPr>
        <w:t>r</w:t>
      </w:r>
      <w:r w:rsidRPr="0068783D">
        <w:rPr>
          <w:rFonts w:eastAsia="Malgun Gothic"/>
          <w:bCs/>
          <w:lang w:val="fr-FR"/>
        </w:rPr>
        <w:t>éseau européen des points focaux pour la Convention de l</w:t>
      </w:r>
      <w:r w:rsidR="00923E72">
        <w:rPr>
          <w:rFonts w:eastAsia="Malgun Gothic"/>
          <w:bCs/>
          <w:lang w:val="fr-FR"/>
        </w:rPr>
        <w:t>’</w:t>
      </w:r>
      <w:r w:rsidRPr="0068783D">
        <w:rPr>
          <w:rFonts w:eastAsia="Malgun Gothic"/>
          <w:bCs/>
          <w:lang w:val="fr-FR"/>
        </w:rPr>
        <w:t>UNESCO de</w:t>
      </w:r>
      <w:r w:rsidR="001757BB">
        <w:rPr>
          <w:rFonts w:eastAsia="Malgun Gothic"/>
          <w:bCs/>
          <w:lang w:val="fr-FR"/>
        </w:rPr>
        <w:t> </w:t>
      </w:r>
      <w:r w:rsidRPr="0068783D">
        <w:rPr>
          <w:rFonts w:eastAsia="Malgun Gothic"/>
          <w:bCs/>
          <w:lang w:val="fr-FR"/>
        </w:rPr>
        <w:t>2003. Son rôle ne se limitait pas à soutenir l</w:t>
      </w:r>
      <w:r w:rsidR="00923E72">
        <w:rPr>
          <w:rFonts w:eastAsia="Malgun Gothic"/>
          <w:bCs/>
          <w:lang w:val="fr-FR"/>
        </w:rPr>
        <w:t>’</w:t>
      </w:r>
      <w:r w:rsidRPr="0068783D">
        <w:rPr>
          <w:rFonts w:eastAsia="Malgun Gothic"/>
          <w:bCs/>
          <w:lang w:val="fr-FR"/>
        </w:rPr>
        <w:t>exercice de soumission de rapports</w:t>
      </w:r>
      <w:r w:rsidR="00244F2C">
        <w:rPr>
          <w:rFonts w:eastAsia="Malgun Gothic"/>
          <w:bCs/>
          <w:lang w:val="fr-FR"/>
        </w:rPr>
        <w:t xml:space="preserve">, </w:t>
      </w:r>
      <w:r w:rsidRPr="0068783D">
        <w:rPr>
          <w:rFonts w:eastAsia="Malgun Gothic"/>
          <w:bCs/>
          <w:lang w:val="fr-FR"/>
        </w:rPr>
        <w:t xml:space="preserve">il était devenu une plateforme </w:t>
      </w:r>
      <w:r w:rsidRPr="0068783D">
        <w:rPr>
          <w:rFonts w:eastAsia="Malgun Gothic"/>
          <w:bCs/>
          <w:lang w:val="fr-FR"/>
        </w:rPr>
        <w:lastRenderedPageBreak/>
        <w:t>importante pour le travail en réseau et la coopération régionale dans le domaine de la sauvegarde du patrimoine vivant. Dans le même temps, les États avaient été confrontés à des difficultés dans la préparation de leurs rapports. Le délai court, la complexité du formulaire et les ressources humaines et financières limitées étaient autant de difficultés soulignées par les États parties. Le Secrétariat avait préparé un</w:t>
      </w:r>
      <w:r w:rsidR="00D56711">
        <w:rPr>
          <w:rFonts w:eastAsia="Malgun Gothic"/>
          <w:bCs/>
          <w:lang w:val="fr-FR"/>
        </w:rPr>
        <w:t xml:space="preserve">e courte vidéo </w:t>
      </w:r>
      <w:r w:rsidRPr="0068783D">
        <w:rPr>
          <w:rFonts w:eastAsia="Malgun Gothic"/>
          <w:bCs/>
          <w:lang w:val="fr-FR"/>
        </w:rPr>
        <w:t>présentant les témoignages de certains des points focaux nationaux et des facilitateurs qui avaient participé à l</w:t>
      </w:r>
      <w:r w:rsidR="00923E72">
        <w:rPr>
          <w:rFonts w:eastAsia="Malgun Gothic"/>
          <w:bCs/>
          <w:lang w:val="fr-FR"/>
        </w:rPr>
        <w:t>’</w:t>
      </w:r>
      <w:r w:rsidRPr="0068783D">
        <w:rPr>
          <w:rFonts w:eastAsia="Malgun Gothic"/>
          <w:bCs/>
          <w:lang w:val="fr-FR"/>
        </w:rPr>
        <w:t>exercice de cette année.</w:t>
      </w:r>
    </w:p>
    <w:p w14:paraId="570F80EF" w14:textId="69A28CA0" w:rsidR="0068783D" w:rsidRPr="00702497" w:rsidRDefault="00CC319E" w:rsidP="006E3034">
      <w:pPr>
        <w:pStyle w:val="Orateurengris"/>
        <w:tabs>
          <w:tab w:val="clear" w:pos="709"/>
          <w:tab w:val="clear" w:pos="1418"/>
          <w:tab w:val="clear" w:pos="2126"/>
          <w:tab w:val="clear" w:pos="2835"/>
        </w:tabs>
        <w:spacing w:before="120" w:after="0"/>
        <w:ind w:left="709"/>
        <w:jc w:val="center"/>
        <w:rPr>
          <w:rFonts w:eastAsia="Malgun Gothic"/>
          <w:bCs/>
          <w:i/>
          <w:iCs/>
          <w:lang w:val="fr-FR"/>
        </w:rPr>
      </w:pPr>
      <w:r w:rsidRPr="00337827">
        <w:rPr>
          <w:rFonts w:eastAsia="Malgun Gothic"/>
          <w:bCs/>
          <w:i/>
          <w:iCs/>
          <w:lang w:val="fr-FR"/>
        </w:rPr>
        <w:t>[La vidéo a été projetée]</w:t>
      </w:r>
    </w:p>
    <w:p w14:paraId="18C16FE7" w14:textId="0C625979" w:rsidR="00244F2C" w:rsidRDefault="00AF45F2" w:rsidP="00702497">
      <w:pPr>
        <w:pStyle w:val="Orateurengris"/>
        <w:numPr>
          <w:ilvl w:val="0"/>
          <w:numId w:val="21"/>
        </w:numPr>
        <w:tabs>
          <w:tab w:val="clear" w:pos="567"/>
          <w:tab w:val="clear" w:pos="1418"/>
          <w:tab w:val="clear" w:pos="2126"/>
          <w:tab w:val="clear" w:pos="2835"/>
          <w:tab w:val="num" w:pos="709"/>
        </w:tabs>
        <w:spacing w:before="120" w:after="0"/>
        <w:ind w:left="709"/>
        <w:rPr>
          <w:rFonts w:eastAsia="Malgun Gothic"/>
          <w:bCs/>
          <w:lang w:val="fr-FR"/>
        </w:rPr>
      </w:pPr>
      <w:r w:rsidRPr="0068783D">
        <w:rPr>
          <w:rFonts w:eastAsia="Malgun Gothic"/>
          <w:b/>
          <w:lang w:val="fr-FR"/>
        </w:rPr>
        <w:t>M</w:t>
      </w:r>
      <w:r w:rsidRPr="00702497">
        <w:rPr>
          <w:rFonts w:eastAsia="Malgun Gothic"/>
          <w:b/>
          <w:vertAlign w:val="superscript"/>
          <w:lang w:val="fr-FR"/>
        </w:rPr>
        <w:t>me</w:t>
      </w:r>
      <w:r w:rsidRPr="0068783D">
        <w:rPr>
          <w:rFonts w:eastAsia="Malgun Gothic"/>
          <w:b/>
          <w:lang w:val="fr-FR"/>
        </w:rPr>
        <w:t> Fumiko Ohinata</w:t>
      </w:r>
      <w:r w:rsidRPr="0068783D">
        <w:rPr>
          <w:rFonts w:eastAsia="Malgun Gothic"/>
          <w:bCs/>
          <w:lang w:val="fr-FR"/>
        </w:rPr>
        <w:t xml:space="preserve"> </w:t>
      </w:r>
      <w:r w:rsidRPr="00AF45F2">
        <w:rPr>
          <w:rFonts w:eastAsia="Malgun Gothic"/>
          <w:bCs/>
          <w:lang w:val="fr-FR"/>
        </w:rPr>
        <w:t>a fait remarquer que la soumission de quarante</w:t>
      </w:r>
      <w:r w:rsidR="00317DF1">
        <w:rPr>
          <w:rFonts w:eastAsia="Malgun Gothic"/>
          <w:bCs/>
          <w:lang w:val="fr-FR"/>
        </w:rPr>
        <w:noBreakHyphen/>
      </w:r>
      <w:r w:rsidRPr="00AF45F2">
        <w:rPr>
          <w:rFonts w:eastAsia="Malgun Gothic"/>
          <w:bCs/>
          <w:lang w:val="fr-FR"/>
        </w:rPr>
        <w:t>deux rapports sur la mise en œuvre de la Convention et sur l</w:t>
      </w:r>
      <w:r w:rsidR="00923E72">
        <w:rPr>
          <w:rFonts w:eastAsia="Malgun Gothic"/>
          <w:bCs/>
          <w:lang w:val="fr-FR"/>
        </w:rPr>
        <w:t>’</w:t>
      </w:r>
      <w:r w:rsidRPr="00AF45F2">
        <w:rPr>
          <w:rFonts w:eastAsia="Malgun Gothic"/>
          <w:bCs/>
          <w:lang w:val="fr-FR"/>
        </w:rPr>
        <w:t>état de</w:t>
      </w:r>
      <w:r w:rsidR="00943A5F">
        <w:rPr>
          <w:rFonts w:eastAsia="Malgun Gothic"/>
          <w:bCs/>
          <w:lang w:val="fr-FR"/>
        </w:rPr>
        <w:t> </w:t>
      </w:r>
      <w:r w:rsidRPr="00AF45F2">
        <w:rPr>
          <w:rFonts w:eastAsia="Malgun Gothic"/>
          <w:bCs/>
          <w:lang w:val="fr-FR"/>
        </w:rPr>
        <w:t>177 éléments inscrits sur la Liste représentative avait généré une quantité importante et riche de données. Le Secrétariat était encore en train d</w:t>
      </w:r>
      <w:r w:rsidR="00923E72">
        <w:rPr>
          <w:rFonts w:eastAsia="Malgun Gothic"/>
          <w:bCs/>
          <w:lang w:val="fr-FR"/>
        </w:rPr>
        <w:t>’</w:t>
      </w:r>
      <w:r w:rsidR="00943A5F">
        <w:rPr>
          <w:rFonts w:eastAsia="Malgun Gothic"/>
          <w:bCs/>
          <w:lang w:val="fr-FR"/>
        </w:rPr>
        <w:t>examiner</w:t>
      </w:r>
      <w:r w:rsidRPr="00AF45F2">
        <w:rPr>
          <w:rFonts w:eastAsia="Malgun Gothic"/>
          <w:bCs/>
          <w:lang w:val="fr-FR"/>
        </w:rPr>
        <w:t xml:space="preserve"> les données afin </w:t>
      </w:r>
      <w:r w:rsidR="00943A5F">
        <w:rPr>
          <w:rFonts w:eastAsia="Malgun Gothic"/>
          <w:bCs/>
          <w:lang w:val="fr-FR"/>
        </w:rPr>
        <w:t>qu</w:t>
      </w:r>
      <w:r w:rsidR="00923E72">
        <w:rPr>
          <w:rFonts w:eastAsia="Malgun Gothic"/>
          <w:bCs/>
          <w:lang w:val="fr-FR"/>
        </w:rPr>
        <w:t>’</w:t>
      </w:r>
      <w:r w:rsidRPr="00AF45F2">
        <w:rPr>
          <w:rFonts w:eastAsia="Malgun Gothic"/>
          <w:bCs/>
          <w:lang w:val="fr-FR"/>
        </w:rPr>
        <w:t xml:space="preserve">une analyse quantitative et qualitative approfondie </w:t>
      </w:r>
      <w:r w:rsidR="00943A5F">
        <w:rPr>
          <w:rFonts w:eastAsia="Malgun Gothic"/>
          <w:bCs/>
          <w:lang w:val="fr-FR"/>
        </w:rPr>
        <w:t xml:space="preserve">soit réalisée </w:t>
      </w:r>
      <w:r w:rsidRPr="00AF45F2">
        <w:rPr>
          <w:rFonts w:eastAsia="Malgun Gothic"/>
          <w:bCs/>
          <w:lang w:val="fr-FR"/>
        </w:rPr>
        <w:t>par une équipe de recherche collaborative</w:t>
      </w:r>
      <w:r w:rsidR="00943A5F">
        <w:rPr>
          <w:rFonts w:eastAsia="Malgun Gothic"/>
          <w:bCs/>
          <w:lang w:val="fr-FR"/>
        </w:rPr>
        <w:t>,</w:t>
      </w:r>
      <w:r w:rsidRPr="00AF45F2">
        <w:rPr>
          <w:rFonts w:eastAsia="Malgun Gothic"/>
          <w:bCs/>
          <w:lang w:val="fr-FR"/>
        </w:rPr>
        <w:t xml:space="preserve"> composée d</w:t>
      </w:r>
      <w:r w:rsidR="00923E72">
        <w:rPr>
          <w:rFonts w:eastAsia="Malgun Gothic"/>
          <w:bCs/>
          <w:lang w:val="fr-FR"/>
        </w:rPr>
        <w:t>’</w:t>
      </w:r>
      <w:r w:rsidRPr="00AF45F2">
        <w:rPr>
          <w:rFonts w:eastAsia="Malgun Gothic"/>
          <w:bCs/>
          <w:lang w:val="fr-FR"/>
        </w:rPr>
        <w:t>experts expérimentés de l</w:t>
      </w:r>
      <w:r w:rsidR="00923E72">
        <w:rPr>
          <w:rFonts w:eastAsia="Malgun Gothic"/>
          <w:bCs/>
          <w:lang w:val="fr-FR"/>
        </w:rPr>
        <w:t>’</w:t>
      </w:r>
      <w:r w:rsidRPr="00AF45F2">
        <w:rPr>
          <w:rFonts w:eastAsia="Malgun Gothic"/>
          <w:bCs/>
          <w:lang w:val="fr-FR"/>
        </w:rPr>
        <w:t>Institut d</w:t>
      </w:r>
      <w:r w:rsidR="00923E72">
        <w:rPr>
          <w:rFonts w:eastAsia="Malgun Gothic"/>
          <w:bCs/>
          <w:lang w:val="fr-FR"/>
        </w:rPr>
        <w:t>’</w:t>
      </w:r>
      <w:r w:rsidRPr="00AF45F2">
        <w:rPr>
          <w:rFonts w:eastAsia="Malgun Gothic"/>
          <w:bCs/>
          <w:lang w:val="fr-FR"/>
        </w:rPr>
        <w:t>ethnologie et d</w:t>
      </w:r>
      <w:r w:rsidR="00923E72">
        <w:rPr>
          <w:rFonts w:eastAsia="Malgun Gothic"/>
          <w:bCs/>
          <w:lang w:val="fr-FR"/>
        </w:rPr>
        <w:t>’</w:t>
      </w:r>
      <w:r w:rsidRPr="00AF45F2">
        <w:rPr>
          <w:rFonts w:eastAsia="Malgun Gothic"/>
          <w:bCs/>
          <w:lang w:val="fr-FR"/>
        </w:rPr>
        <w:t>anthropologie sociale de l</w:t>
      </w:r>
      <w:r w:rsidR="00923E72">
        <w:rPr>
          <w:rFonts w:eastAsia="Malgun Gothic"/>
          <w:bCs/>
          <w:lang w:val="fr-FR"/>
        </w:rPr>
        <w:t>’</w:t>
      </w:r>
      <w:r w:rsidRPr="00AF45F2">
        <w:rPr>
          <w:rFonts w:eastAsia="Malgun Gothic"/>
          <w:bCs/>
          <w:lang w:val="fr-FR"/>
        </w:rPr>
        <w:t xml:space="preserve">Académie slovaque des sciences. </w:t>
      </w:r>
      <w:r w:rsidR="00943A5F">
        <w:rPr>
          <w:rFonts w:eastAsia="Malgun Gothic"/>
          <w:bCs/>
          <w:lang w:val="fr-FR"/>
        </w:rPr>
        <w:t>L</w:t>
      </w:r>
      <w:r w:rsidRPr="00AF45F2">
        <w:rPr>
          <w:rFonts w:eastAsia="Malgun Gothic"/>
          <w:bCs/>
          <w:lang w:val="fr-FR"/>
        </w:rPr>
        <w:t>e résumé analytique (annexe</w:t>
      </w:r>
      <w:r w:rsidR="00DB6A4B">
        <w:rPr>
          <w:rFonts w:eastAsia="Malgun Gothic"/>
          <w:bCs/>
          <w:lang w:val="fr-FR"/>
        </w:rPr>
        <w:t> </w:t>
      </w:r>
      <w:r w:rsidRPr="00AF45F2">
        <w:rPr>
          <w:rFonts w:eastAsia="Malgun Gothic"/>
          <w:bCs/>
          <w:lang w:val="fr-FR"/>
        </w:rPr>
        <w:t xml:space="preserve">I du </w:t>
      </w:r>
      <w:r w:rsidRPr="00702497">
        <w:rPr>
          <w:rFonts w:eastAsia="Malgun Gothic"/>
          <w:bCs/>
          <w:lang w:val="fr-FR"/>
        </w:rPr>
        <w:t>document</w:t>
      </w:r>
      <w:r w:rsidR="00DB6A4B">
        <w:rPr>
          <w:rFonts w:eastAsia="Malgun Gothic"/>
          <w:bCs/>
          <w:lang w:val="fr-FR"/>
        </w:rPr>
        <w:t> </w:t>
      </w:r>
      <w:r w:rsidRPr="00702497">
        <w:rPr>
          <w:rFonts w:eastAsia="Malgun Gothic"/>
          <w:bCs/>
          <w:lang w:val="fr-FR"/>
        </w:rPr>
        <w:t>6.b</w:t>
      </w:r>
      <w:r w:rsidR="00943A5F">
        <w:rPr>
          <w:rFonts w:eastAsia="Malgun Gothic"/>
          <w:bCs/>
          <w:lang w:val="fr-FR"/>
        </w:rPr>
        <w:t> </w:t>
      </w:r>
      <w:r w:rsidRPr="00702497">
        <w:rPr>
          <w:rFonts w:eastAsia="Malgun Gothic"/>
          <w:bCs/>
          <w:lang w:val="fr-FR"/>
        </w:rPr>
        <w:t>Rev</w:t>
      </w:r>
      <w:r w:rsidRPr="00AF45F2">
        <w:rPr>
          <w:rFonts w:eastAsia="Malgun Gothic"/>
          <w:bCs/>
          <w:lang w:val="fr-FR"/>
        </w:rPr>
        <w:t>, page</w:t>
      </w:r>
      <w:r w:rsidR="00DB6A4B">
        <w:rPr>
          <w:rFonts w:eastAsia="Malgun Gothic"/>
          <w:bCs/>
          <w:lang w:val="fr-FR"/>
        </w:rPr>
        <w:t> </w:t>
      </w:r>
      <w:r w:rsidRPr="00AF45F2">
        <w:rPr>
          <w:rFonts w:eastAsia="Malgun Gothic"/>
          <w:bCs/>
          <w:lang w:val="fr-FR"/>
        </w:rPr>
        <w:t>9) illustrait les tendances divergentes et convergentes ainsi que les principaux défis et opportunités liés à la préservation du patrimoine vivant dans les différents pays de la région. Bien que le résumé analytique présente déjà des observations utiles, comme c</w:t>
      </w:r>
      <w:r w:rsidR="00923E72">
        <w:rPr>
          <w:rFonts w:eastAsia="Malgun Gothic"/>
          <w:bCs/>
          <w:lang w:val="fr-FR"/>
        </w:rPr>
        <w:t>’</w:t>
      </w:r>
      <w:r w:rsidR="00943A5F">
        <w:rPr>
          <w:rFonts w:eastAsia="Malgun Gothic"/>
          <w:bCs/>
          <w:lang w:val="fr-FR"/>
        </w:rPr>
        <w:t>était</w:t>
      </w:r>
      <w:r w:rsidRPr="00AF45F2">
        <w:rPr>
          <w:rFonts w:eastAsia="Malgun Gothic"/>
          <w:bCs/>
          <w:lang w:val="fr-FR"/>
        </w:rPr>
        <w:t xml:space="preserve"> le cas pour la région Amérique latine et Caraïbes, un rapport plus détaillé serait présenté au Comité lors de sa dix</w:t>
      </w:r>
      <w:r w:rsidR="00317DF1">
        <w:rPr>
          <w:rFonts w:eastAsia="Malgun Gothic"/>
          <w:bCs/>
          <w:lang w:val="fr-FR"/>
        </w:rPr>
        <w:noBreakHyphen/>
      </w:r>
      <w:r w:rsidRPr="00AF45F2">
        <w:rPr>
          <w:rFonts w:eastAsia="Malgun Gothic"/>
          <w:bCs/>
          <w:lang w:val="fr-FR"/>
        </w:rPr>
        <w:t>huitième session, en</w:t>
      </w:r>
      <w:r w:rsidR="00E661F8">
        <w:rPr>
          <w:rFonts w:eastAsia="Malgun Gothic"/>
          <w:bCs/>
          <w:lang w:val="fr-FR"/>
        </w:rPr>
        <w:t> </w:t>
      </w:r>
      <w:r w:rsidRPr="00AF45F2">
        <w:rPr>
          <w:rFonts w:eastAsia="Malgun Gothic"/>
          <w:bCs/>
          <w:lang w:val="fr-FR"/>
        </w:rPr>
        <w:t>2023.</w:t>
      </w:r>
    </w:p>
    <w:p w14:paraId="3F1F79CA" w14:textId="46F53DD0" w:rsidR="00AF45F2" w:rsidRDefault="00AF45F2" w:rsidP="00702497">
      <w:pPr>
        <w:pStyle w:val="Orateurengris"/>
        <w:numPr>
          <w:ilvl w:val="0"/>
          <w:numId w:val="21"/>
        </w:numPr>
        <w:tabs>
          <w:tab w:val="clear" w:pos="567"/>
          <w:tab w:val="clear" w:pos="1418"/>
          <w:tab w:val="clear" w:pos="2126"/>
          <w:tab w:val="clear" w:pos="2835"/>
          <w:tab w:val="num" w:pos="709"/>
        </w:tabs>
        <w:spacing w:before="120" w:after="0"/>
        <w:ind w:left="709"/>
        <w:rPr>
          <w:rFonts w:eastAsia="Malgun Gothic"/>
          <w:bCs/>
          <w:lang w:val="fr-FR"/>
        </w:rPr>
      </w:pPr>
      <w:r w:rsidRPr="00D91E89">
        <w:rPr>
          <w:rFonts w:eastAsia="Malgun Gothic"/>
          <w:bCs/>
          <w:lang w:val="fr-FR"/>
        </w:rPr>
        <w:t>Le</w:t>
      </w:r>
      <w:r>
        <w:rPr>
          <w:rFonts w:eastAsia="Malgun Gothic"/>
          <w:b/>
          <w:lang w:val="fr-FR"/>
        </w:rPr>
        <w:t xml:space="preserve"> Président </w:t>
      </w:r>
      <w:r w:rsidR="00D91E89">
        <w:rPr>
          <w:rFonts w:eastAsia="Malgun Gothic"/>
          <w:bCs/>
          <w:lang w:val="fr-FR"/>
        </w:rPr>
        <w:t xml:space="preserve">a remercié le </w:t>
      </w:r>
      <w:r w:rsidR="00D91E89" w:rsidRPr="00D91E89">
        <w:rPr>
          <w:rFonts w:eastAsia="Malgun Gothic"/>
          <w:bCs/>
          <w:lang w:val="fr-FR"/>
        </w:rPr>
        <w:t>Secréta</w:t>
      </w:r>
      <w:r w:rsidR="00D91E89">
        <w:rPr>
          <w:rFonts w:eastAsia="Malgun Gothic"/>
          <w:bCs/>
          <w:lang w:val="fr-FR"/>
        </w:rPr>
        <w:t>riat pour la présentation extrêmement intéressante du cycle de rapports périodiques</w:t>
      </w:r>
      <w:r w:rsidR="00E661F8">
        <w:rPr>
          <w:rFonts w:eastAsia="Malgun Gothic"/>
          <w:bCs/>
          <w:lang w:val="fr-FR"/>
        </w:rPr>
        <w:t xml:space="preserve"> de </w:t>
      </w:r>
      <w:r w:rsidR="00D91E89">
        <w:rPr>
          <w:rFonts w:eastAsia="Malgun Gothic"/>
          <w:bCs/>
          <w:lang w:val="fr-FR"/>
        </w:rPr>
        <w:t>2022</w:t>
      </w:r>
      <w:r w:rsidR="00E661F8">
        <w:rPr>
          <w:rFonts w:eastAsia="Malgun Gothic"/>
          <w:bCs/>
          <w:lang w:val="fr-FR"/>
        </w:rPr>
        <w:t>,</w:t>
      </w:r>
      <w:r w:rsidR="00D91E89">
        <w:rPr>
          <w:rFonts w:eastAsia="Malgun Gothic"/>
          <w:bCs/>
          <w:lang w:val="fr-FR"/>
        </w:rPr>
        <w:t xml:space="preserve"> qui avait été mis en œuvre avec succès. Il a applaudi tous les États parties d</w:t>
      </w:r>
      <w:r w:rsidR="00923E72">
        <w:rPr>
          <w:rFonts w:eastAsia="Malgun Gothic"/>
          <w:bCs/>
          <w:lang w:val="fr-FR"/>
        </w:rPr>
        <w:t>’</w:t>
      </w:r>
      <w:r w:rsidR="00D91E89">
        <w:rPr>
          <w:rFonts w:eastAsia="Malgun Gothic"/>
          <w:bCs/>
          <w:lang w:val="fr-FR"/>
        </w:rPr>
        <w:t>Europe pour leurs efforts et leur esprit de coordination. Il a donné la parole aux orateurs afin qu</w:t>
      </w:r>
      <w:r w:rsidR="00923E72">
        <w:rPr>
          <w:rFonts w:eastAsia="Malgun Gothic"/>
          <w:bCs/>
          <w:lang w:val="fr-FR"/>
        </w:rPr>
        <w:t>’</w:t>
      </w:r>
      <w:r w:rsidR="00D91E89">
        <w:rPr>
          <w:rFonts w:eastAsia="Malgun Gothic"/>
          <w:bCs/>
          <w:lang w:val="fr-FR"/>
        </w:rPr>
        <w:t xml:space="preserve">ils </w:t>
      </w:r>
      <w:r w:rsidR="0098046B">
        <w:rPr>
          <w:rFonts w:eastAsia="Malgun Gothic"/>
          <w:bCs/>
          <w:lang w:val="fr-FR"/>
        </w:rPr>
        <w:t>fassent part de leurs</w:t>
      </w:r>
      <w:r w:rsidR="00D91E89">
        <w:rPr>
          <w:rFonts w:eastAsia="Malgun Gothic"/>
          <w:bCs/>
          <w:lang w:val="fr-FR"/>
        </w:rPr>
        <w:t xml:space="preserve"> </w:t>
      </w:r>
      <w:r w:rsidR="00D91E89" w:rsidRPr="00D91E89">
        <w:rPr>
          <w:rFonts w:eastAsia="Malgun Gothic"/>
          <w:bCs/>
          <w:lang w:val="fr-FR"/>
        </w:rPr>
        <w:t>commentaires</w:t>
      </w:r>
      <w:r w:rsidR="00D91E89">
        <w:rPr>
          <w:rFonts w:eastAsia="Malgun Gothic"/>
          <w:bCs/>
          <w:lang w:val="fr-FR"/>
        </w:rPr>
        <w:t xml:space="preserve">. </w:t>
      </w:r>
    </w:p>
    <w:p w14:paraId="0727E1BD" w14:textId="6E8FE982" w:rsidR="00D91E89" w:rsidRDefault="004D1452" w:rsidP="00702497">
      <w:pPr>
        <w:pStyle w:val="Orateurengris"/>
        <w:numPr>
          <w:ilvl w:val="0"/>
          <w:numId w:val="21"/>
        </w:numPr>
        <w:tabs>
          <w:tab w:val="clear" w:pos="567"/>
          <w:tab w:val="clear" w:pos="1418"/>
          <w:tab w:val="clear" w:pos="2126"/>
          <w:tab w:val="clear" w:pos="2835"/>
          <w:tab w:val="num" w:pos="709"/>
        </w:tabs>
        <w:spacing w:before="120" w:after="0"/>
        <w:ind w:left="709"/>
        <w:rPr>
          <w:rFonts w:eastAsia="Malgun Gothic"/>
          <w:bCs/>
          <w:lang w:val="fr-FR"/>
        </w:rPr>
      </w:pPr>
      <w:r w:rsidRPr="004D1452">
        <w:rPr>
          <w:rFonts w:eastAsia="Malgun Gothic"/>
          <w:bCs/>
          <w:lang w:val="fr-FR"/>
        </w:rPr>
        <w:t xml:space="preserve">La délégation de la </w:t>
      </w:r>
      <w:r w:rsidRPr="004D1452">
        <w:rPr>
          <w:rFonts w:eastAsia="Malgun Gothic"/>
          <w:b/>
          <w:lang w:val="fr-FR"/>
        </w:rPr>
        <w:t>Suisse</w:t>
      </w:r>
      <w:r w:rsidRPr="004D1452">
        <w:rPr>
          <w:rFonts w:eastAsia="Malgun Gothic"/>
          <w:bCs/>
          <w:lang w:val="fr-FR"/>
        </w:rPr>
        <w:t xml:space="preserve"> avait pris note du rapport et de la première analyse du cycle de rapports périodiques pour la région Europe. Avec un taux de soumission de</w:t>
      </w:r>
      <w:r w:rsidR="009A34A8">
        <w:rPr>
          <w:rFonts w:eastAsia="Malgun Gothic"/>
          <w:bCs/>
          <w:lang w:val="fr-FR"/>
        </w:rPr>
        <w:t> </w:t>
      </w:r>
      <w:r w:rsidRPr="004D1452">
        <w:rPr>
          <w:rFonts w:eastAsia="Malgun Gothic"/>
          <w:bCs/>
          <w:lang w:val="fr-FR"/>
        </w:rPr>
        <w:t>95</w:t>
      </w:r>
      <w:r w:rsidR="00D56711">
        <w:rPr>
          <w:rFonts w:eastAsia="Malgun Gothic"/>
          <w:bCs/>
          <w:lang w:val="fr-FR"/>
        </w:rPr>
        <w:t> </w:t>
      </w:r>
      <w:r w:rsidRPr="004D1452">
        <w:rPr>
          <w:rFonts w:eastAsia="Malgun Gothic"/>
          <w:bCs/>
          <w:lang w:val="fr-FR"/>
        </w:rPr>
        <w:t>% et un volume important de données de qualité, l</w:t>
      </w:r>
      <w:r w:rsidR="00923E72">
        <w:rPr>
          <w:rFonts w:eastAsia="Malgun Gothic"/>
          <w:bCs/>
          <w:lang w:val="fr-FR"/>
        </w:rPr>
        <w:t>’</w:t>
      </w:r>
      <w:r w:rsidRPr="004D1452">
        <w:rPr>
          <w:rFonts w:eastAsia="Malgun Gothic"/>
          <w:bCs/>
          <w:lang w:val="fr-FR"/>
        </w:rPr>
        <w:t xml:space="preserve">exercice était </w:t>
      </w:r>
      <w:r w:rsidR="00CC319E">
        <w:rPr>
          <w:rFonts w:eastAsia="Malgun Gothic"/>
          <w:bCs/>
          <w:lang w:val="fr-FR"/>
        </w:rPr>
        <w:t xml:space="preserve">effectivement </w:t>
      </w:r>
      <w:r w:rsidRPr="004D1452">
        <w:rPr>
          <w:rFonts w:eastAsia="Malgun Gothic"/>
          <w:bCs/>
          <w:lang w:val="fr-FR"/>
        </w:rPr>
        <w:t>couronné de succès. La délégation a félicité tous les participants et partenaires qui s</w:t>
      </w:r>
      <w:r w:rsidR="00923E72">
        <w:rPr>
          <w:rFonts w:eastAsia="Malgun Gothic"/>
          <w:bCs/>
          <w:lang w:val="fr-FR"/>
        </w:rPr>
        <w:t>’</w:t>
      </w:r>
      <w:r w:rsidRPr="004D1452">
        <w:rPr>
          <w:rFonts w:eastAsia="Malgun Gothic"/>
          <w:bCs/>
          <w:lang w:val="fr-FR"/>
        </w:rPr>
        <w:t>étaient engagés dans ce processus d</w:t>
      </w:r>
      <w:r w:rsidR="00923E72">
        <w:rPr>
          <w:rFonts w:eastAsia="Malgun Gothic"/>
          <w:bCs/>
          <w:lang w:val="fr-FR"/>
        </w:rPr>
        <w:t>’</w:t>
      </w:r>
      <w:r w:rsidRPr="004D1452">
        <w:rPr>
          <w:rFonts w:eastAsia="Malgun Gothic"/>
          <w:bCs/>
          <w:lang w:val="fr-FR"/>
        </w:rPr>
        <w:t>auto-analyse exigeant et complexe. Elle a rappelé aux États parties que ces rapports ne devaient pas être politisés mais axés sur la sauvegarde du patrimoine. La Suisse a remercié le Secrétariat pour les efforts investis dans l</w:t>
      </w:r>
      <w:r w:rsidR="00923E72">
        <w:rPr>
          <w:rFonts w:eastAsia="Malgun Gothic"/>
          <w:bCs/>
          <w:lang w:val="fr-FR"/>
        </w:rPr>
        <w:t>’</w:t>
      </w:r>
      <w:r w:rsidRPr="004D1452">
        <w:rPr>
          <w:rFonts w:eastAsia="Malgun Gothic"/>
          <w:bCs/>
          <w:lang w:val="fr-FR"/>
        </w:rPr>
        <w:t xml:space="preserve">élaboration de ce nouveau système de rapports et, en particulier, pour le soutien </w:t>
      </w:r>
      <w:r w:rsidR="00D56711">
        <w:rPr>
          <w:rFonts w:eastAsia="Malgun Gothic"/>
          <w:bCs/>
          <w:lang w:val="fr-FR"/>
        </w:rPr>
        <w:t xml:space="preserve">accordé </w:t>
      </w:r>
      <w:r w:rsidRPr="004D1452">
        <w:rPr>
          <w:rFonts w:eastAsia="Malgun Gothic"/>
          <w:bCs/>
          <w:lang w:val="fr-FR"/>
        </w:rPr>
        <w:t>aux points focaux nationaux. Comme le montrait l</w:t>
      </w:r>
      <w:r w:rsidR="00D56711">
        <w:rPr>
          <w:rFonts w:eastAsia="Malgun Gothic"/>
          <w:bCs/>
          <w:lang w:val="fr-FR"/>
        </w:rPr>
        <w:t>a courte vidéo</w:t>
      </w:r>
      <w:r w:rsidRPr="004D1452">
        <w:rPr>
          <w:rFonts w:eastAsia="Malgun Gothic"/>
          <w:bCs/>
          <w:lang w:val="fr-FR"/>
        </w:rPr>
        <w:t>, le Secrétariat avait organisé des cours de formation en ligne très populaires. La Suisse y avait participé et était très satisfaite que cette approche permette l</w:t>
      </w:r>
      <w:r w:rsidR="00923E72">
        <w:rPr>
          <w:rFonts w:eastAsia="Malgun Gothic"/>
          <w:bCs/>
          <w:lang w:val="fr-FR"/>
        </w:rPr>
        <w:t>’</w:t>
      </w:r>
      <w:r w:rsidRPr="004D1452">
        <w:rPr>
          <w:rFonts w:eastAsia="Malgun Gothic"/>
          <w:bCs/>
          <w:lang w:val="fr-FR"/>
        </w:rPr>
        <w:t>émergence de dynamiques régionales d</w:t>
      </w:r>
      <w:r w:rsidR="00923E72">
        <w:rPr>
          <w:rFonts w:eastAsia="Malgun Gothic"/>
          <w:bCs/>
          <w:lang w:val="fr-FR"/>
        </w:rPr>
        <w:t>’</w:t>
      </w:r>
      <w:r w:rsidRPr="004D1452">
        <w:rPr>
          <w:rFonts w:eastAsia="Malgun Gothic"/>
          <w:bCs/>
          <w:lang w:val="fr-FR"/>
        </w:rPr>
        <w:t>échange et de collaboration fructueuse. En écho aux États qui avaient réalisé l</w:t>
      </w:r>
      <w:r w:rsidR="00923E72">
        <w:rPr>
          <w:rFonts w:eastAsia="Malgun Gothic"/>
          <w:bCs/>
          <w:lang w:val="fr-FR"/>
        </w:rPr>
        <w:t>’</w:t>
      </w:r>
      <w:r w:rsidRPr="004D1452">
        <w:rPr>
          <w:rFonts w:eastAsia="Malgun Gothic"/>
          <w:bCs/>
          <w:lang w:val="fr-FR"/>
        </w:rPr>
        <w:t>exercice, le document du Secrétariat mettait également en évidence les difficultés rencontrées lors de l</w:t>
      </w:r>
      <w:r w:rsidR="00923E72">
        <w:rPr>
          <w:rFonts w:eastAsia="Malgun Gothic"/>
          <w:bCs/>
          <w:lang w:val="fr-FR"/>
        </w:rPr>
        <w:t>’</w:t>
      </w:r>
      <w:r w:rsidRPr="004D1452">
        <w:rPr>
          <w:rFonts w:eastAsia="Malgun Gothic"/>
          <w:bCs/>
          <w:lang w:val="fr-FR"/>
        </w:rPr>
        <w:t>élaboration de ces rapports. Le caractère complexe et exhaustif du formulaire en ligne, les ressources importantes à mobiliser, ou encore l</w:t>
      </w:r>
      <w:r w:rsidR="00923E72">
        <w:rPr>
          <w:rFonts w:eastAsia="Malgun Gothic"/>
          <w:bCs/>
          <w:lang w:val="fr-FR"/>
        </w:rPr>
        <w:t>’</w:t>
      </w:r>
      <w:r w:rsidRPr="004D1452">
        <w:rPr>
          <w:rFonts w:eastAsia="Malgun Gothic"/>
          <w:bCs/>
          <w:lang w:val="fr-FR"/>
        </w:rPr>
        <w:t>exigence d</w:t>
      </w:r>
      <w:r w:rsidR="00923E72">
        <w:rPr>
          <w:rFonts w:eastAsia="Malgun Gothic"/>
          <w:bCs/>
          <w:lang w:val="fr-FR"/>
        </w:rPr>
        <w:t>’</w:t>
      </w:r>
      <w:r w:rsidRPr="004D1452">
        <w:rPr>
          <w:rFonts w:eastAsia="Malgun Gothic"/>
          <w:bCs/>
          <w:lang w:val="fr-FR"/>
        </w:rPr>
        <w:t xml:space="preserve">un processus participatif en étaient quelques exemples. </w:t>
      </w:r>
      <w:r w:rsidR="00CC319E">
        <w:rPr>
          <w:rFonts w:eastAsia="Malgun Gothic"/>
          <w:bCs/>
          <w:lang w:val="fr-FR"/>
        </w:rPr>
        <w:t>Il</w:t>
      </w:r>
      <w:r w:rsidRPr="004D1452">
        <w:rPr>
          <w:rFonts w:eastAsia="Malgun Gothic"/>
          <w:bCs/>
          <w:lang w:val="fr-FR"/>
        </w:rPr>
        <w:t xml:space="preserve"> était </w:t>
      </w:r>
      <w:r w:rsidR="00CC319E">
        <w:rPr>
          <w:rFonts w:eastAsia="Malgun Gothic"/>
          <w:bCs/>
          <w:lang w:val="fr-FR"/>
        </w:rPr>
        <w:t xml:space="preserve">donc </w:t>
      </w:r>
      <w:r w:rsidRPr="004D1452">
        <w:rPr>
          <w:rFonts w:eastAsia="Malgun Gothic"/>
          <w:bCs/>
          <w:lang w:val="fr-FR"/>
        </w:rPr>
        <w:t>essentiel de reconnaître ces défis, d</w:t>
      </w:r>
      <w:r w:rsidR="00923E72">
        <w:rPr>
          <w:rFonts w:eastAsia="Malgun Gothic"/>
          <w:bCs/>
          <w:lang w:val="fr-FR"/>
        </w:rPr>
        <w:t>’</w:t>
      </w:r>
      <w:r w:rsidRPr="004D1452">
        <w:rPr>
          <w:rFonts w:eastAsia="Malgun Gothic"/>
          <w:bCs/>
          <w:lang w:val="fr-FR"/>
        </w:rPr>
        <w:t>identifier des solutions et de chercher à améliorer constamment le système de rapports périodiques. Tout en étant consciente qu</w:t>
      </w:r>
      <w:r w:rsidR="00923E72">
        <w:rPr>
          <w:rFonts w:eastAsia="Malgun Gothic"/>
          <w:bCs/>
          <w:lang w:val="fr-FR"/>
        </w:rPr>
        <w:t>’</w:t>
      </w:r>
      <w:r w:rsidRPr="004D1452">
        <w:rPr>
          <w:rFonts w:eastAsia="Malgun Gothic"/>
          <w:bCs/>
          <w:lang w:val="fr-FR"/>
        </w:rPr>
        <w:t>un cycle de rapports était en cours et qu</w:t>
      </w:r>
      <w:r w:rsidR="00923E72">
        <w:rPr>
          <w:rFonts w:eastAsia="Malgun Gothic"/>
          <w:bCs/>
          <w:lang w:val="fr-FR"/>
        </w:rPr>
        <w:t>’</w:t>
      </w:r>
      <w:r w:rsidRPr="004D1452">
        <w:rPr>
          <w:rFonts w:eastAsia="Malgun Gothic"/>
          <w:bCs/>
          <w:lang w:val="fr-FR"/>
        </w:rPr>
        <w:t xml:space="preserve">une structure permettant la comparaison devait être maintenue, la Suisse souhaitait une simplification substantielle de la formulation des questionnaires afin de faciliter la préparation des rapports. Les rapports des </w:t>
      </w:r>
      <w:r w:rsidR="00D56711" w:rsidRPr="004D1452">
        <w:rPr>
          <w:rFonts w:eastAsia="Malgun Gothic"/>
          <w:bCs/>
          <w:lang w:val="fr-FR"/>
        </w:rPr>
        <w:t>États</w:t>
      </w:r>
      <w:r w:rsidRPr="004D1452">
        <w:rPr>
          <w:rFonts w:eastAsia="Malgun Gothic"/>
          <w:bCs/>
          <w:lang w:val="fr-FR"/>
        </w:rPr>
        <w:t xml:space="preserve"> n</w:t>
      </w:r>
      <w:r w:rsidR="00923E72">
        <w:rPr>
          <w:rFonts w:eastAsia="Malgun Gothic"/>
          <w:bCs/>
          <w:lang w:val="fr-FR"/>
        </w:rPr>
        <w:t>’</w:t>
      </w:r>
      <w:r w:rsidRPr="004D1452">
        <w:rPr>
          <w:rFonts w:eastAsia="Malgun Gothic"/>
          <w:bCs/>
          <w:lang w:val="fr-FR"/>
        </w:rPr>
        <w:t>avaient de sens que dans le cadre d</w:t>
      </w:r>
      <w:r w:rsidR="00923E72">
        <w:rPr>
          <w:rFonts w:eastAsia="Malgun Gothic"/>
          <w:bCs/>
          <w:lang w:val="fr-FR"/>
        </w:rPr>
        <w:t>’</w:t>
      </w:r>
      <w:r w:rsidRPr="004D1452">
        <w:rPr>
          <w:rFonts w:eastAsia="Malgun Gothic"/>
          <w:bCs/>
          <w:lang w:val="fr-FR"/>
        </w:rPr>
        <w:t>une synthèse comparative. À cet égard, elle a salué le résumé analytique présenté pour les cycles Europe et Amérique latine et Caraïbes. Compte tenu de l</w:t>
      </w:r>
      <w:r w:rsidR="00923E72">
        <w:rPr>
          <w:rFonts w:eastAsia="Malgun Gothic"/>
          <w:bCs/>
          <w:lang w:val="fr-FR"/>
        </w:rPr>
        <w:t>’</w:t>
      </w:r>
      <w:r w:rsidRPr="004D1452">
        <w:rPr>
          <w:rFonts w:eastAsia="Malgun Gothic"/>
          <w:bCs/>
          <w:lang w:val="fr-FR"/>
        </w:rPr>
        <w:t xml:space="preserve">effort considérable </w:t>
      </w:r>
      <w:r w:rsidR="00CC319E">
        <w:rPr>
          <w:rFonts w:eastAsia="Malgun Gothic"/>
          <w:bCs/>
          <w:lang w:val="fr-FR"/>
        </w:rPr>
        <w:t xml:space="preserve">à entreprendre pour élaborer </w:t>
      </w:r>
      <w:r w:rsidRPr="004D1452">
        <w:rPr>
          <w:rFonts w:eastAsia="Malgun Gothic"/>
          <w:bCs/>
          <w:lang w:val="fr-FR"/>
        </w:rPr>
        <w:t>ces rapports, il importait de rationaliser et de simplifier à la fois les mécanismes de soumission des rapports et les mécanismes d</w:t>
      </w:r>
      <w:r w:rsidR="00923E72">
        <w:rPr>
          <w:rFonts w:eastAsia="Malgun Gothic"/>
          <w:bCs/>
          <w:lang w:val="fr-FR"/>
        </w:rPr>
        <w:t>’</w:t>
      </w:r>
      <w:r w:rsidRPr="004D1452">
        <w:rPr>
          <w:rFonts w:eastAsia="Malgun Gothic"/>
          <w:bCs/>
          <w:lang w:val="fr-FR"/>
        </w:rPr>
        <w:t>analyse. Ceci semblait particulièrement pertinent au vu de la Déclaration</w:t>
      </w:r>
      <w:r w:rsidR="004F5E56">
        <w:rPr>
          <w:rFonts w:eastAsia="Malgun Gothic"/>
          <w:bCs/>
          <w:lang w:val="fr-FR"/>
        </w:rPr>
        <w:t xml:space="preserve"> finale de la conférence</w:t>
      </w:r>
      <w:r w:rsidRPr="004D1452">
        <w:rPr>
          <w:rFonts w:eastAsia="Malgun Gothic"/>
          <w:bCs/>
          <w:lang w:val="fr-FR"/>
        </w:rPr>
        <w:t xml:space="preserve"> MONDIACULT et de l</w:t>
      </w:r>
      <w:r w:rsidR="00923E72">
        <w:rPr>
          <w:rFonts w:eastAsia="Malgun Gothic"/>
          <w:bCs/>
          <w:lang w:val="fr-FR"/>
        </w:rPr>
        <w:t>’</w:t>
      </w:r>
      <w:r w:rsidRPr="004D1452">
        <w:rPr>
          <w:rFonts w:eastAsia="Malgun Gothic"/>
          <w:bCs/>
          <w:lang w:val="fr-FR"/>
        </w:rPr>
        <w:t>appel à produire un rapport global sur les politiques culturelles. Il était donc conseillé d</w:t>
      </w:r>
      <w:r w:rsidR="00923E72">
        <w:rPr>
          <w:rFonts w:eastAsia="Malgun Gothic"/>
          <w:bCs/>
          <w:lang w:val="fr-FR"/>
        </w:rPr>
        <w:t>’</w:t>
      </w:r>
      <w:r w:rsidRPr="004D1452">
        <w:rPr>
          <w:rFonts w:eastAsia="Malgun Gothic"/>
          <w:bCs/>
          <w:lang w:val="fr-FR"/>
        </w:rPr>
        <w:t>envisager des synergies et d</w:t>
      </w:r>
      <w:r w:rsidR="00923E72">
        <w:rPr>
          <w:rFonts w:eastAsia="Malgun Gothic"/>
          <w:bCs/>
          <w:lang w:val="fr-FR"/>
        </w:rPr>
        <w:t>’</w:t>
      </w:r>
      <w:r w:rsidRPr="004D1452">
        <w:rPr>
          <w:rFonts w:eastAsia="Malgun Gothic"/>
          <w:bCs/>
          <w:lang w:val="fr-FR"/>
        </w:rPr>
        <w:t xml:space="preserve">éviter toute </w:t>
      </w:r>
      <w:r w:rsidR="00D56711">
        <w:rPr>
          <w:rFonts w:eastAsia="Malgun Gothic"/>
          <w:bCs/>
          <w:lang w:val="fr-FR"/>
        </w:rPr>
        <w:t xml:space="preserve">surenchère </w:t>
      </w:r>
      <w:r w:rsidRPr="004D1452">
        <w:rPr>
          <w:rFonts w:eastAsia="Malgun Gothic"/>
          <w:bCs/>
          <w:lang w:val="fr-FR"/>
        </w:rPr>
        <w:t>dans les mécanismes de soumission des rapports.</w:t>
      </w:r>
    </w:p>
    <w:p w14:paraId="781BC106" w14:textId="487EA734" w:rsidR="00D56711" w:rsidRDefault="00D5671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D56711">
        <w:rPr>
          <w:rFonts w:eastAsia="Malgun Gothic"/>
          <w:bCs/>
          <w:lang w:val="fr-FR"/>
        </w:rPr>
        <w:t>La délégation de l</w:t>
      </w:r>
      <w:r w:rsidR="00923E72">
        <w:rPr>
          <w:rFonts w:eastAsia="Malgun Gothic"/>
          <w:bCs/>
          <w:lang w:val="fr-FR"/>
        </w:rPr>
        <w:t>’</w:t>
      </w:r>
      <w:r w:rsidRPr="00D56711">
        <w:rPr>
          <w:rFonts w:eastAsia="Malgun Gothic"/>
          <w:b/>
          <w:lang w:val="fr-FR"/>
        </w:rPr>
        <w:t>Ouzbékistan</w:t>
      </w:r>
      <w:r w:rsidRPr="00D56711">
        <w:rPr>
          <w:rFonts w:eastAsia="Malgun Gothic"/>
          <w:bCs/>
          <w:lang w:val="fr-FR"/>
        </w:rPr>
        <w:t xml:space="preserve"> a remercié les États parties d</w:t>
      </w:r>
      <w:r w:rsidR="00923E72">
        <w:rPr>
          <w:rFonts w:eastAsia="Malgun Gothic"/>
          <w:bCs/>
          <w:lang w:val="fr-FR"/>
        </w:rPr>
        <w:t>’</w:t>
      </w:r>
      <w:r w:rsidRPr="00D56711">
        <w:rPr>
          <w:rFonts w:eastAsia="Malgun Gothic"/>
          <w:bCs/>
          <w:lang w:val="fr-FR"/>
        </w:rPr>
        <w:t xml:space="preserve">avoir soumis leurs rapports nationaux dans les délais impartis. Après avoir examiné attentivement un grand nombre de </w:t>
      </w:r>
      <w:r w:rsidRPr="00D56711">
        <w:rPr>
          <w:rFonts w:eastAsia="Malgun Gothic"/>
          <w:bCs/>
          <w:lang w:val="fr-FR"/>
        </w:rPr>
        <w:lastRenderedPageBreak/>
        <w:t xml:space="preserve">ces rapports, elle a </w:t>
      </w:r>
      <w:r w:rsidR="00F25190">
        <w:rPr>
          <w:rFonts w:eastAsia="Malgun Gothic"/>
          <w:bCs/>
          <w:lang w:val="fr-FR"/>
        </w:rPr>
        <w:t>souligné</w:t>
      </w:r>
      <w:r w:rsidRPr="00D56711">
        <w:rPr>
          <w:rFonts w:eastAsia="Malgun Gothic"/>
          <w:bCs/>
          <w:lang w:val="fr-FR"/>
        </w:rPr>
        <w:t xml:space="preserve"> que</w:t>
      </w:r>
      <w:r w:rsidR="005F2E59">
        <w:rPr>
          <w:rFonts w:eastAsia="Malgun Gothic"/>
          <w:bCs/>
          <w:lang w:val="fr-FR"/>
        </w:rPr>
        <w:t xml:space="preserve"> beaucoup </w:t>
      </w:r>
      <w:r w:rsidRPr="00D56711">
        <w:rPr>
          <w:rFonts w:eastAsia="Malgun Gothic"/>
          <w:bCs/>
          <w:lang w:val="fr-FR"/>
        </w:rPr>
        <w:t>d</w:t>
      </w:r>
      <w:r w:rsidR="00923E72">
        <w:rPr>
          <w:rFonts w:eastAsia="Malgun Gothic"/>
          <w:bCs/>
          <w:lang w:val="fr-FR"/>
        </w:rPr>
        <w:t>’</w:t>
      </w:r>
      <w:r w:rsidRPr="00D56711">
        <w:rPr>
          <w:rFonts w:eastAsia="Malgun Gothic"/>
          <w:bCs/>
          <w:lang w:val="fr-FR"/>
        </w:rPr>
        <w:t>entre eux pourraient servir de modèle à d</w:t>
      </w:r>
      <w:r w:rsidR="00923E72">
        <w:rPr>
          <w:rFonts w:eastAsia="Malgun Gothic"/>
          <w:bCs/>
          <w:lang w:val="fr-FR"/>
        </w:rPr>
        <w:t>’</w:t>
      </w:r>
      <w:r w:rsidRPr="00D56711">
        <w:rPr>
          <w:rFonts w:eastAsia="Malgun Gothic"/>
          <w:bCs/>
          <w:lang w:val="fr-FR"/>
        </w:rPr>
        <w:t xml:space="preserve">autres </w:t>
      </w:r>
      <w:r w:rsidR="00317DF1">
        <w:rPr>
          <w:rFonts w:eastAsia="Malgun Gothic"/>
          <w:bCs/>
          <w:lang w:val="fr-FR"/>
        </w:rPr>
        <w:t>lors de la préparation de</w:t>
      </w:r>
      <w:r w:rsidRPr="00D56711">
        <w:rPr>
          <w:rFonts w:eastAsia="Malgun Gothic"/>
          <w:bCs/>
          <w:lang w:val="fr-FR"/>
        </w:rPr>
        <w:t xml:space="preserve"> leurs rapports pour les cycles à venir. La délégation avait cru comprendre que ces rapports devaient se référer principalement et uniquement aux efforts nationaux et, en particulier, éviter la politisation et l</w:t>
      </w:r>
      <w:r w:rsidR="00923E72">
        <w:rPr>
          <w:rFonts w:eastAsia="Malgun Gothic"/>
          <w:bCs/>
          <w:lang w:val="fr-FR"/>
        </w:rPr>
        <w:t>’</w:t>
      </w:r>
      <w:r w:rsidRPr="00D56711">
        <w:rPr>
          <w:rFonts w:eastAsia="Malgun Gothic"/>
          <w:bCs/>
          <w:lang w:val="fr-FR"/>
        </w:rPr>
        <w:t>ingérence dans les affaires intérieures d</w:t>
      </w:r>
      <w:r w:rsidR="00923E72">
        <w:rPr>
          <w:rFonts w:eastAsia="Malgun Gothic"/>
          <w:bCs/>
          <w:lang w:val="fr-FR"/>
        </w:rPr>
        <w:t>’</w:t>
      </w:r>
      <w:r w:rsidRPr="00D56711">
        <w:rPr>
          <w:rFonts w:eastAsia="Malgun Gothic"/>
          <w:bCs/>
          <w:lang w:val="fr-FR"/>
        </w:rPr>
        <w:t>autres États parties. Toutefois, il apparaissait que le rapport de l</w:t>
      </w:r>
      <w:r w:rsidR="00923E72">
        <w:rPr>
          <w:rFonts w:eastAsia="Malgun Gothic"/>
          <w:bCs/>
          <w:lang w:val="fr-FR"/>
        </w:rPr>
        <w:t>’</w:t>
      </w:r>
      <w:r w:rsidRPr="00D56711">
        <w:rPr>
          <w:rFonts w:eastAsia="Malgun Gothic"/>
          <w:bCs/>
          <w:lang w:val="fr-FR"/>
        </w:rPr>
        <w:t>Arménie contrevenait aux principes et à l</w:t>
      </w:r>
      <w:r w:rsidR="00923E72">
        <w:rPr>
          <w:rFonts w:eastAsia="Malgun Gothic"/>
          <w:bCs/>
          <w:lang w:val="fr-FR"/>
        </w:rPr>
        <w:t>’</w:t>
      </w:r>
      <w:r w:rsidRPr="00D56711">
        <w:rPr>
          <w:rFonts w:eastAsia="Malgun Gothic"/>
          <w:bCs/>
          <w:lang w:val="fr-FR"/>
        </w:rPr>
        <w:t>esprit de la Convention de</w:t>
      </w:r>
      <w:r w:rsidR="006773EF">
        <w:rPr>
          <w:rFonts w:eastAsia="Malgun Gothic"/>
          <w:bCs/>
          <w:lang w:val="fr-FR"/>
        </w:rPr>
        <w:t> </w:t>
      </w:r>
      <w:r w:rsidRPr="00D56711">
        <w:rPr>
          <w:rFonts w:eastAsia="Malgun Gothic"/>
          <w:bCs/>
          <w:lang w:val="fr-FR"/>
        </w:rPr>
        <w:t xml:space="preserve">2003, car il faisait référence à un autre État partie à de multiples reprises. En tant que membre du Comité, </w:t>
      </w:r>
      <w:r w:rsidR="00F25190">
        <w:rPr>
          <w:rFonts w:eastAsia="Malgun Gothic"/>
          <w:bCs/>
          <w:lang w:val="fr-FR"/>
        </w:rPr>
        <w:t>l</w:t>
      </w:r>
      <w:r w:rsidR="00923E72">
        <w:rPr>
          <w:rFonts w:eastAsia="Malgun Gothic"/>
          <w:bCs/>
          <w:lang w:val="fr-FR"/>
        </w:rPr>
        <w:t>’</w:t>
      </w:r>
      <w:r w:rsidRPr="00D56711">
        <w:rPr>
          <w:rFonts w:eastAsia="Malgun Gothic"/>
          <w:bCs/>
          <w:lang w:val="fr-FR"/>
        </w:rPr>
        <w:t>Ouzbékistan se sentait obligé de rappeler aux États parties, y compris l</w:t>
      </w:r>
      <w:r w:rsidR="00923E72">
        <w:rPr>
          <w:rFonts w:eastAsia="Malgun Gothic"/>
          <w:bCs/>
          <w:lang w:val="fr-FR"/>
        </w:rPr>
        <w:t>’</w:t>
      </w:r>
      <w:r w:rsidRPr="00D56711">
        <w:rPr>
          <w:rFonts w:eastAsia="Malgun Gothic"/>
          <w:bCs/>
          <w:lang w:val="fr-FR"/>
        </w:rPr>
        <w:t>Arménie, les décisions antérieures du Comité qui demande</w:t>
      </w:r>
      <w:r w:rsidR="00317DF1">
        <w:rPr>
          <w:rFonts w:eastAsia="Malgun Gothic"/>
          <w:bCs/>
          <w:lang w:val="fr-FR"/>
        </w:rPr>
        <w:t>nt</w:t>
      </w:r>
      <w:r w:rsidRPr="00D56711">
        <w:rPr>
          <w:rFonts w:eastAsia="Malgun Gothic"/>
          <w:bCs/>
          <w:lang w:val="fr-FR"/>
        </w:rPr>
        <w:t xml:space="preserve"> explicitement aux États parties </w:t>
      </w:r>
      <w:r w:rsidR="00F25190">
        <w:rPr>
          <w:rFonts w:eastAsia="Malgun Gothic"/>
          <w:bCs/>
          <w:lang w:val="fr-FR"/>
        </w:rPr>
        <w:t>« </w:t>
      </w:r>
      <w:r w:rsidRPr="00D56711">
        <w:rPr>
          <w:rFonts w:eastAsia="Malgun Gothic"/>
          <w:bCs/>
          <w:lang w:val="fr-FR"/>
        </w:rPr>
        <w:t xml:space="preserve">de </w:t>
      </w:r>
      <w:r w:rsidR="00D32095">
        <w:rPr>
          <w:rFonts w:eastAsia="Malgun Gothic"/>
          <w:bCs/>
          <w:lang w:val="fr-FR"/>
        </w:rPr>
        <w:t xml:space="preserve">prendre, dans leurs rapports périodiques, un soin </w:t>
      </w:r>
      <w:r w:rsidRPr="00D56711">
        <w:rPr>
          <w:rFonts w:eastAsia="Malgun Gothic"/>
          <w:bCs/>
          <w:lang w:val="fr-FR"/>
        </w:rPr>
        <w:t>particul</w:t>
      </w:r>
      <w:r w:rsidR="005F2E59">
        <w:rPr>
          <w:rFonts w:eastAsia="Malgun Gothic"/>
          <w:bCs/>
          <w:lang w:val="fr-FR"/>
        </w:rPr>
        <w:t>ier</w:t>
      </w:r>
      <w:r w:rsidR="00D32095">
        <w:rPr>
          <w:rFonts w:eastAsia="Malgun Gothic"/>
          <w:bCs/>
          <w:lang w:val="fr-FR"/>
        </w:rPr>
        <w:t xml:space="preserve"> </w:t>
      </w:r>
      <w:r w:rsidRPr="00D56711">
        <w:rPr>
          <w:rFonts w:eastAsia="Malgun Gothic"/>
          <w:bCs/>
          <w:lang w:val="fr-FR"/>
        </w:rPr>
        <w:t>à éviter de qualifier les pratiques et les actions dans d</w:t>
      </w:r>
      <w:r w:rsidR="00923E72">
        <w:rPr>
          <w:rFonts w:eastAsia="Malgun Gothic"/>
          <w:bCs/>
          <w:lang w:val="fr-FR"/>
        </w:rPr>
        <w:t>’</w:t>
      </w:r>
      <w:r w:rsidRPr="00D56711">
        <w:rPr>
          <w:rFonts w:eastAsia="Malgun Gothic"/>
          <w:bCs/>
          <w:lang w:val="fr-FR"/>
        </w:rPr>
        <w:t>autres États, y compris l</w:t>
      </w:r>
      <w:r w:rsidR="00923E72">
        <w:rPr>
          <w:rFonts w:eastAsia="Malgun Gothic"/>
          <w:bCs/>
          <w:lang w:val="fr-FR"/>
        </w:rPr>
        <w:t>’</w:t>
      </w:r>
      <w:r w:rsidR="00D32095">
        <w:rPr>
          <w:rFonts w:eastAsia="Malgun Gothic"/>
          <w:bCs/>
          <w:lang w:val="fr-FR"/>
        </w:rPr>
        <w:t>usage d</w:t>
      </w:r>
      <w:r w:rsidR="00923E72">
        <w:rPr>
          <w:rFonts w:eastAsia="Malgun Gothic"/>
          <w:bCs/>
          <w:lang w:val="fr-FR"/>
        </w:rPr>
        <w:t>’</w:t>
      </w:r>
      <w:r w:rsidRPr="00D56711">
        <w:rPr>
          <w:rFonts w:eastAsia="Malgun Gothic"/>
          <w:bCs/>
          <w:lang w:val="fr-FR"/>
        </w:rPr>
        <w:t xml:space="preserve">expressions qui pourraient </w:t>
      </w:r>
      <w:r w:rsidR="00D32095">
        <w:rPr>
          <w:rFonts w:eastAsia="Malgun Gothic"/>
          <w:bCs/>
          <w:lang w:val="fr-FR"/>
        </w:rPr>
        <w:t>par inadvertance porter atteinte au</w:t>
      </w:r>
      <w:r w:rsidRPr="00D56711">
        <w:rPr>
          <w:rFonts w:eastAsia="Malgun Gothic"/>
          <w:bCs/>
          <w:lang w:val="fr-FR"/>
        </w:rPr>
        <w:t xml:space="preserve"> respect mutuel entre les communautés ou entraver le dialogue interculturel</w:t>
      </w:r>
      <w:r w:rsidR="005F2E59">
        <w:rPr>
          <w:rFonts w:eastAsia="Malgun Gothic"/>
          <w:bCs/>
          <w:lang w:val="fr-FR"/>
        </w:rPr>
        <w:t> »</w:t>
      </w:r>
      <w:r w:rsidRPr="00D56711">
        <w:rPr>
          <w:rFonts w:eastAsia="Malgun Gothic"/>
          <w:bCs/>
          <w:lang w:val="fr-FR"/>
        </w:rPr>
        <w:t xml:space="preserve"> et également </w:t>
      </w:r>
      <w:r w:rsidR="007673E9">
        <w:rPr>
          <w:rFonts w:eastAsia="Malgun Gothic"/>
          <w:bCs/>
          <w:lang w:val="fr-FR"/>
        </w:rPr>
        <w:t>« </w:t>
      </w:r>
      <w:r w:rsidRPr="00D56711">
        <w:rPr>
          <w:rFonts w:eastAsia="Malgun Gothic"/>
          <w:bCs/>
          <w:lang w:val="fr-FR"/>
        </w:rPr>
        <w:t>de travailler avec le Secrétariat afin d</w:t>
      </w:r>
      <w:r w:rsidR="00923E72">
        <w:rPr>
          <w:rFonts w:eastAsia="Malgun Gothic"/>
          <w:bCs/>
          <w:lang w:val="fr-FR"/>
        </w:rPr>
        <w:t>’</w:t>
      </w:r>
      <w:r w:rsidRPr="00D56711">
        <w:rPr>
          <w:rFonts w:eastAsia="Malgun Gothic"/>
          <w:bCs/>
          <w:lang w:val="fr-FR"/>
        </w:rPr>
        <w:t>éviter</w:t>
      </w:r>
      <w:r w:rsidR="007673E9">
        <w:rPr>
          <w:rFonts w:eastAsia="Malgun Gothic"/>
          <w:bCs/>
          <w:lang w:val="fr-FR"/>
        </w:rPr>
        <w:t xml:space="preserve"> </w:t>
      </w:r>
      <w:r w:rsidRPr="00D56711">
        <w:rPr>
          <w:rFonts w:eastAsia="Malgun Gothic"/>
          <w:bCs/>
          <w:lang w:val="fr-FR"/>
        </w:rPr>
        <w:t>dans leurs rapports périodiques tout langage incompatible avec la Charte des Nations</w:t>
      </w:r>
      <w:r w:rsidR="00317DF1">
        <w:rPr>
          <w:rFonts w:eastAsia="Malgun Gothic"/>
          <w:bCs/>
          <w:lang w:val="fr-FR"/>
        </w:rPr>
        <w:t> </w:t>
      </w:r>
      <w:r w:rsidRPr="00D56711">
        <w:rPr>
          <w:rFonts w:eastAsia="Malgun Gothic"/>
          <w:bCs/>
          <w:lang w:val="fr-FR"/>
        </w:rPr>
        <w:t>Unies ainsi qu</w:t>
      </w:r>
      <w:r w:rsidR="00923E72">
        <w:rPr>
          <w:rFonts w:eastAsia="Malgun Gothic"/>
          <w:bCs/>
          <w:lang w:val="fr-FR"/>
        </w:rPr>
        <w:t>’</w:t>
      </w:r>
      <w:r w:rsidRPr="00D56711">
        <w:rPr>
          <w:rFonts w:eastAsia="Malgun Gothic"/>
          <w:bCs/>
          <w:lang w:val="fr-FR"/>
        </w:rPr>
        <w:t>avec la Convention de</w:t>
      </w:r>
      <w:r w:rsidR="006773EF">
        <w:rPr>
          <w:rFonts w:eastAsia="Malgun Gothic"/>
          <w:bCs/>
          <w:lang w:val="fr-FR"/>
        </w:rPr>
        <w:t> </w:t>
      </w:r>
      <w:r w:rsidRPr="00D56711">
        <w:rPr>
          <w:rFonts w:eastAsia="Malgun Gothic"/>
          <w:bCs/>
          <w:lang w:val="fr-FR"/>
        </w:rPr>
        <w:t xml:space="preserve">2003, et les invite à </w:t>
      </w:r>
      <w:r w:rsidR="007673E9">
        <w:rPr>
          <w:rFonts w:eastAsia="Malgun Gothic"/>
          <w:bCs/>
          <w:lang w:val="fr-FR"/>
        </w:rPr>
        <w:t xml:space="preserve">respecter </w:t>
      </w:r>
      <w:r w:rsidRPr="00D56711">
        <w:rPr>
          <w:rFonts w:eastAsia="Malgun Gothic"/>
          <w:bCs/>
          <w:lang w:val="fr-FR"/>
        </w:rPr>
        <w:t>méticuleusement ce principe dans leur trava</w:t>
      </w:r>
      <w:r w:rsidR="007673E9">
        <w:rPr>
          <w:rFonts w:eastAsia="Malgun Gothic"/>
          <w:bCs/>
          <w:lang w:val="fr-FR"/>
        </w:rPr>
        <w:t xml:space="preserve">il à </w:t>
      </w:r>
      <w:r w:rsidR="0083033C">
        <w:rPr>
          <w:rFonts w:eastAsia="Malgun Gothic"/>
          <w:bCs/>
          <w:lang w:val="fr-FR"/>
        </w:rPr>
        <w:t>l</w:t>
      </w:r>
      <w:r w:rsidR="00923E72">
        <w:rPr>
          <w:rFonts w:eastAsia="Malgun Gothic"/>
          <w:bCs/>
          <w:lang w:val="fr-FR"/>
        </w:rPr>
        <w:t>’</w:t>
      </w:r>
      <w:r w:rsidR="0083033C">
        <w:rPr>
          <w:rFonts w:eastAsia="Malgun Gothic"/>
          <w:bCs/>
          <w:lang w:val="fr-FR"/>
        </w:rPr>
        <w:t>a</w:t>
      </w:r>
      <w:r w:rsidR="007673E9">
        <w:rPr>
          <w:rFonts w:eastAsia="Malgun Gothic"/>
          <w:bCs/>
          <w:lang w:val="fr-FR"/>
        </w:rPr>
        <w:t>venir</w:t>
      </w:r>
      <w:r w:rsidR="003945E3">
        <w:rPr>
          <w:rFonts w:eastAsia="Malgun Gothic"/>
          <w:bCs/>
          <w:lang w:val="fr-FR"/>
        </w:rPr>
        <w:t>.</w:t>
      </w:r>
      <w:r w:rsidR="00D32095">
        <w:rPr>
          <w:rFonts w:eastAsia="Malgun Gothic"/>
          <w:bCs/>
          <w:lang w:val="fr-FR"/>
        </w:rPr>
        <w:t> »</w:t>
      </w:r>
      <w:r w:rsidRPr="00D56711">
        <w:rPr>
          <w:rFonts w:eastAsia="Malgun Gothic"/>
          <w:bCs/>
          <w:lang w:val="fr-FR"/>
        </w:rPr>
        <w:t xml:space="preserve"> Tout langage qui contredit ces principes et qui tente de politiser la Convention, en sapant l</w:t>
      </w:r>
      <w:r w:rsidR="00923E72">
        <w:rPr>
          <w:rFonts w:eastAsia="Malgun Gothic"/>
          <w:bCs/>
          <w:lang w:val="fr-FR"/>
        </w:rPr>
        <w:t>’</w:t>
      </w:r>
      <w:r w:rsidRPr="00D56711">
        <w:rPr>
          <w:rFonts w:eastAsia="Malgun Gothic"/>
          <w:bCs/>
          <w:lang w:val="fr-FR"/>
        </w:rPr>
        <w:t xml:space="preserve">esprit de respect mutuel et de collaboration promu par </w:t>
      </w:r>
      <w:r w:rsidR="00CC319E">
        <w:rPr>
          <w:rFonts w:eastAsia="Malgun Gothic"/>
          <w:bCs/>
          <w:lang w:val="fr-FR"/>
        </w:rPr>
        <w:t>s</w:t>
      </w:r>
      <w:r w:rsidRPr="00D56711">
        <w:rPr>
          <w:rFonts w:eastAsia="Malgun Gothic"/>
          <w:bCs/>
          <w:lang w:val="fr-FR"/>
        </w:rPr>
        <w:t>es dispositions, était inacceptable. La souveraineté et l</w:t>
      </w:r>
      <w:r w:rsidR="00923E72">
        <w:rPr>
          <w:rFonts w:eastAsia="Malgun Gothic"/>
          <w:bCs/>
          <w:lang w:val="fr-FR"/>
        </w:rPr>
        <w:t>’</w:t>
      </w:r>
      <w:r w:rsidRPr="00D56711">
        <w:rPr>
          <w:rFonts w:eastAsia="Malgun Gothic"/>
          <w:bCs/>
          <w:lang w:val="fr-FR"/>
        </w:rPr>
        <w:t xml:space="preserve">intégrité territoriale des États parties étaient sacrées et incontestables. Le Comité ne </w:t>
      </w:r>
      <w:r w:rsidR="00D32095">
        <w:rPr>
          <w:rFonts w:eastAsia="Malgun Gothic"/>
          <w:bCs/>
          <w:lang w:val="fr-FR"/>
        </w:rPr>
        <w:t xml:space="preserve">saurait </w:t>
      </w:r>
      <w:r w:rsidRPr="00D56711">
        <w:rPr>
          <w:rFonts w:eastAsia="Malgun Gothic"/>
          <w:bCs/>
          <w:lang w:val="fr-FR"/>
        </w:rPr>
        <w:t>permettre à aucun État partie de porter atteinte aux principes consacrés par la Charte des Nations</w:t>
      </w:r>
      <w:r w:rsidR="00317DF1">
        <w:rPr>
          <w:rFonts w:eastAsia="Malgun Gothic"/>
          <w:bCs/>
          <w:lang w:val="fr-FR"/>
        </w:rPr>
        <w:t> </w:t>
      </w:r>
      <w:r w:rsidRPr="00D56711">
        <w:rPr>
          <w:rFonts w:eastAsia="Malgun Gothic"/>
          <w:bCs/>
          <w:lang w:val="fr-FR"/>
        </w:rPr>
        <w:t>Unies, en particulier au sein de ce Comité.</w:t>
      </w:r>
    </w:p>
    <w:p w14:paraId="54A501C1" w14:textId="3DE1520E" w:rsidR="00D32095" w:rsidRPr="00846032" w:rsidRDefault="00AB0CB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846032">
        <w:rPr>
          <w:rFonts w:eastAsia="Malgun Gothic"/>
          <w:b/>
          <w:lang w:val="fr-FR"/>
        </w:rPr>
        <w:t>Président</w:t>
      </w:r>
      <w:r>
        <w:rPr>
          <w:rFonts w:eastAsia="Malgun Gothic"/>
          <w:bCs/>
          <w:lang w:val="fr-FR"/>
        </w:rPr>
        <w:t xml:space="preserve"> a remercié l</w:t>
      </w:r>
      <w:r w:rsidR="00923E72">
        <w:rPr>
          <w:rFonts w:eastAsia="Malgun Gothic"/>
          <w:bCs/>
          <w:lang w:val="fr-FR"/>
        </w:rPr>
        <w:t>’</w:t>
      </w:r>
      <w:r>
        <w:rPr>
          <w:rFonts w:eastAsia="Malgun Gothic"/>
          <w:bCs/>
          <w:lang w:val="fr-FR"/>
        </w:rPr>
        <w:t>Ouzbékistan</w:t>
      </w:r>
      <w:r w:rsidR="00846032">
        <w:rPr>
          <w:rFonts w:eastAsia="Malgun Gothic"/>
          <w:bCs/>
          <w:lang w:val="fr-FR"/>
        </w:rPr>
        <w:t xml:space="preserve"> et a confirmé que </w:t>
      </w:r>
      <w:r w:rsidR="00CC319E">
        <w:rPr>
          <w:rFonts w:eastAsia="Malgun Gothic"/>
          <w:bCs/>
          <w:lang w:val="fr-FR"/>
        </w:rPr>
        <w:t xml:space="preserve">sa </w:t>
      </w:r>
      <w:r w:rsidR="00846032">
        <w:rPr>
          <w:rFonts w:eastAsia="Malgun Gothic"/>
          <w:bCs/>
          <w:lang w:val="fr-FR"/>
        </w:rPr>
        <w:t xml:space="preserve">déclaration serait inscrite dans le </w:t>
      </w:r>
      <w:r w:rsidR="00846032" w:rsidRPr="00846032">
        <w:rPr>
          <w:rFonts w:eastAsia="Times New Roman"/>
          <w:bCs/>
          <w:lang w:val="fr-FR"/>
        </w:rPr>
        <w:t>compte-rendu</w:t>
      </w:r>
      <w:r w:rsidR="00846032">
        <w:rPr>
          <w:rFonts w:eastAsia="Times New Roman"/>
          <w:bCs/>
          <w:lang w:val="fr-FR"/>
        </w:rPr>
        <w:t xml:space="preserve"> de la réunion.</w:t>
      </w:r>
    </w:p>
    <w:p w14:paraId="57F3D1BB" w14:textId="39258F0F" w:rsidR="00846032" w:rsidRDefault="000F384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0F3842">
        <w:rPr>
          <w:rFonts w:eastAsia="Malgun Gothic"/>
          <w:bCs/>
          <w:lang w:val="fr-FR"/>
        </w:rPr>
        <w:t xml:space="preserve">La délégation de la </w:t>
      </w:r>
      <w:r w:rsidRPr="000F3842">
        <w:rPr>
          <w:rFonts w:eastAsia="Malgun Gothic"/>
          <w:b/>
          <w:lang w:val="fr-FR"/>
        </w:rPr>
        <w:t>Suède</w:t>
      </w:r>
      <w:r w:rsidRPr="000F3842">
        <w:rPr>
          <w:rFonts w:eastAsia="Malgun Gothic"/>
          <w:bCs/>
          <w:lang w:val="fr-FR"/>
        </w:rPr>
        <w:t xml:space="preserve"> a remercié le Secrétariat et tous les États membres concernés pour le travail considérable qu</w:t>
      </w:r>
      <w:r w:rsidR="00923E72">
        <w:rPr>
          <w:rFonts w:eastAsia="Malgun Gothic"/>
          <w:bCs/>
          <w:lang w:val="fr-FR"/>
        </w:rPr>
        <w:t>’</w:t>
      </w:r>
      <w:r w:rsidRPr="000F3842">
        <w:rPr>
          <w:rFonts w:eastAsia="Malgun Gothic"/>
          <w:bCs/>
          <w:lang w:val="fr-FR"/>
        </w:rPr>
        <w:t>ils avaient réalisé dans le cadre de l</w:t>
      </w:r>
      <w:r w:rsidR="00923E72">
        <w:rPr>
          <w:rFonts w:eastAsia="Malgun Gothic"/>
          <w:bCs/>
          <w:lang w:val="fr-FR"/>
        </w:rPr>
        <w:t>’</w:t>
      </w:r>
      <w:r w:rsidRPr="000F3842">
        <w:rPr>
          <w:rFonts w:eastAsia="Malgun Gothic"/>
          <w:bCs/>
          <w:lang w:val="fr-FR"/>
        </w:rPr>
        <w:t>établissement des rapports périodiques. Les résultats positifs obtenus jusqu</w:t>
      </w:r>
      <w:r w:rsidR="00923E72">
        <w:rPr>
          <w:rFonts w:eastAsia="Malgun Gothic"/>
          <w:bCs/>
          <w:lang w:val="fr-FR"/>
        </w:rPr>
        <w:t>’</w:t>
      </w:r>
      <w:r w:rsidRPr="000F3842">
        <w:rPr>
          <w:rFonts w:eastAsia="Malgun Gothic"/>
          <w:bCs/>
          <w:lang w:val="fr-FR"/>
        </w:rPr>
        <w:t xml:space="preserve">alors se manifestaient, entre autres, par </w:t>
      </w:r>
      <w:r w:rsidR="00317DF1">
        <w:rPr>
          <w:rFonts w:eastAsia="Malgun Gothic"/>
          <w:bCs/>
          <w:lang w:val="fr-FR"/>
        </w:rPr>
        <w:t>d</w:t>
      </w:r>
      <w:r w:rsidR="003B6221">
        <w:rPr>
          <w:rFonts w:eastAsia="Malgun Gothic"/>
          <w:bCs/>
          <w:lang w:val="fr-FR"/>
        </w:rPr>
        <w:t>es</w:t>
      </w:r>
      <w:r w:rsidRPr="000F3842">
        <w:rPr>
          <w:rFonts w:eastAsia="Malgun Gothic"/>
          <w:bCs/>
          <w:lang w:val="fr-FR"/>
        </w:rPr>
        <w:t xml:space="preserve"> niveaux élevés de participation inclusive, de nouveaux réseaux de coopération et des modalités de partage de</w:t>
      </w:r>
      <w:r>
        <w:rPr>
          <w:rFonts w:eastAsia="Malgun Gothic"/>
          <w:bCs/>
          <w:lang w:val="fr-FR"/>
        </w:rPr>
        <w:t>s</w:t>
      </w:r>
      <w:r w:rsidRPr="000F3842">
        <w:rPr>
          <w:rFonts w:eastAsia="Malgun Gothic"/>
          <w:bCs/>
          <w:lang w:val="fr-FR"/>
        </w:rPr>
        <w:t xml:space="preserve"> pratiques et d</w:t>
      </w:r>
      <w:r>
        <w:rPr>
          <w:rFonts w:eastAsia="Malgun Gothic"/>
          <w:bCs/>
          <w:lang w:val="fr-FR"/>
        </w:rPr>
        <w:t xml:space="preserve">es </w:t>
      </w:r>
      <w:r w:rsidRPr="000F3842">
        <w:rPr>
          <w:rFonts w:eastAsia="Malgun Gothic"/>
          <w:bCs/>
          <w:lang w:val="fr-FR"/>
        </w:rPr>
        <w:t xml:space="preserve">expériences. </w:t>
      </w:r>
      <w:r w:rsidR="003B6221">
        <w:rPr>
          <w:rFonts w:eastAsia="Malgun Gothic"/>
          <w:bCs/>
          <w:lang w:val="fr-FR"/>
        </w:rPr>
        <w:t xml:space="preserve">La </w:t>
      </w:r>
      <w:r w:rsidR="003B6221" w:rsidRPr="003B6221">
        <w:rPr>
          <w:rFonts w:eastAsia="Malgun Gothic"/>
          <w:bCs/>
          <w:lang w:val="fr-FR"/>
        </w:rPr>
        <w:t>délégation</w:t>
      </w:r>
      <w:r w:rsidR="003B6221">
        <w:rPr>
          <w:rFonts w:eastAsia="Malgun Gothic"/>
          <w:bCs/>
          <w:lang w:val="fr-FR"/>
        </w:rPr>
        <w:t xml:space="preserve"> </w:t>
      </w:r>
      <w:r w:rsidRPr="000F3842">
        <w:rPr>
          <w:rFonts w:eastAsia="Malgun Gothic"/>
          <w:bCs/>
          <w:lang w:val="fr-FR"/>
        </w:rPr>
        <w:t>a remercié les experts qui avaient analysé le matériel sur la base duquel des données exhaustives avaient permis d</w:t>
      </w:r>
      <w:r w:rsidR="00923E72">
        <w:rPr>
          <w:rFonts w:eastAsia="Malgun Gothic"/>
          <w:bCs/>
          <w:lang w:val="fr-FR"/>
        </w:rPr>
        <w:t>’</w:t>
      </w:r>
      <w:r w:rsidRPr="000F3842">
        <w:rPr>
          <w:rFonts w:eastAsia="Malgun Gothic"/>
          <w:bCs/>
          <w:lang w:val="fr-FR"/>
        </w:rPr>
        <w:t>identifier des tendances, des opportunités et des défis communs. Un domaine prioritaire revêtait une importance particulière</w:t>
      </w:r>
      <w:r>
        <w:rPr>
          <w:rFonts w:eastAsia="Malgun Gothic"/>
          <w:bCs/>
          <w:lang w:val="fr-FR"/>
        </w:rPr>
        <w:t> </w:t>
      </w:r>
      <w:r w:rsidRPr="000F3842">
        <w:rPr>
          <w:rFonts w:eastAsia="Malgun Gothic"/>
          <w:bCs/>
          <w:lang w:val="fr-FR"/>
        </w:rPr>
        <w:t>: les peuples autochtones, notamment lorsqu</w:t>
      </w:r>
      <w:r w:rsidR="00923E72">
        <w:rPr>
          <w:rFonts w:eastAsia="Malgun Gothic"/>
          <w:bCs/>
          <w:lang w:val="fr-FR"/>
        </w:rPr>
        <w:t>’</w:t>
      </w:r>
      <w:r w:rsidRPr="000F3842">
        <w:rPr>
          <w:rFonts w:eastAsia="Malgun Gothic"/>
          <w:bCs/>
          <w:lang w:val="fr-FR"/>
        </w:rPr>
        <w:t>il s</w:t>
      </w:r>
      <w:r w:rsidR="00923E72">
        <w:rPr>
          <w:rFonts w:eastAsia="Malgun Gothic"/>
          <w:bCs/>
          <w:lang w:val="fr-FR"/>
        </w:rPr>
        <w:t>’</w:t>
      </w:r>
      <w:r w:rsidRPr="000F3842">
        <w:rPr>
          <w:rFonts w:eastAsia="Malgun Gothic"/>
          <w:bCs/>
          <w:lang w:val="fr-FR"/>
        </w:rPr>
        <w:t xml:space="preserve">agissait de </w:t>
      </w:r>
      <w:r w:rsidR="003B6221">
        <w:rPr>
          <w:rFonts w:eastAsia="Malgun Gothic"/>
          <w:bCs/>
          <w:lang w:val="fr-FR"/>
        </w:rPr>
        <w:t xml:space="preserve">montrer </w:t>
      </w:r>
      <w:r w:rsidRPr="000F3842">
        <w:rPr>
          <w:rFonts w:eastAsia="Malgun Gothic"/>
          <w:bCs/>
          <w:lang w:val="fr-FR"/>
        </w:rPr>
        <w:t>de quelle manière les changements climatiques et environnementaux pouvaient menacer leur patrimoine culturel, mais également de quelle manière les connaissances et les expériences des peuples autochtones pouvaient contribuer au développement durable. Il importa</w:t>
      </w:r>
      <w:r>
        <w:rPr>
          <w:rFonts w:eastAsia="Malgun Gothic"/>
          <w:bCs/>
          <w:lang w:val="fr-FR"/>
        </w:rPr>
        <w:t>it</w:t>
      </w:r>
      <w:r w:rsidRPr="000F3842">
        <w:rPr>
          <w:rFonts w:eastAsia="Malgun Gothic"/>
          <w:bCs/>
          <w:lang w:val="fr-FR"/>
        </w:rPr>
        <w:t xml:space="preserve"> que le contenu de ces rapports soit utilisé dans le cadre de ce travail continu, tant au niveau national qu</w:t>
      </w:r>
      <w:r w:rsidR="00923E72">
        <w:rPr>
          <w:rFonts w:eastAsia="Malgun Gothic"/>
          <w:bCs/>
          <w:lang w:val="fr-FR"/>
        </w:rPr>
        <w:t>’</w:t>
      </w:r>
      <w:r w:rsidRPr="000F3842">
        <w:rPr>
          <w:rFonts w:eastAsia="Malgun Gothic"/>
          <w:bCs/>
          <w:lang w:val="fr-FR"/>
        </w:rPr>
        <w:t>international. La Suède approuvait également les défis identifiés par le Secrétariat</w:t>
      </w:r>
      <w:r w:rsidR="003B6221">
        <w:rPr>
          <w:rFonts w:eastAsia="Malgun Gothic"/>
          <w:bCs/>
          <w:lang w:val="fr-FR"/>
        </w:rPr>
        <w:t xml:space="preserve">, </w:t>
      </w:r>
      <w:r w:rsidRPr="000F3842">
        <w:rPr>
          <w:rFonts w:eastAsia="Malgun Gothic"/>
          <w:bCs/>
          <w:lang w:val="fr-FR"/>
        </w:rPr>
        <w:t>soulign</w:t>
      </w:r>
      <w:r w:rsidR="003B6221">
        <w:rPr>
          <w:rFonts w:eastAsia="Malgun Gothic"/>
          <w:bCs/>
          <w:lang w:val="fr-FR"/>
        </w:rPr>
        <w:t>ant</w:t>
      </w:r>
      <w:r w:rsidRPr="000F3842">
        <w:rPr>
          <w:rFonts w:eastAsia="Malgun Gothic"/>
          <w:bCs/>
          <w:lang w:val="fr-FR"/>
        </w:rPr>
        <w:t xml:space="preserve"> les difficultés de la société civile à comprendre </w:t>
      </w:r>
      <w:r w:rsidR="003B6221">
        <w:rPr>
          <w:rFonts w:eastAsia="Malgun Gothic"/>
          <w:bCs/>
          <w:lang w:val="fr-FR"/>
        </w:rPr>
        <w:t>l</w:t>
      </w:r>
      <w:r w:rsidR="00923E72">
        <w:rPr>
          <w:rFonts w:eastAsia="Malgun Gothic"/>
          <w:bCs/>
          <w:lang w:val="fr-FR"/>
        </w:rPr>
        <w:t>’</w:t>
      </w:r>
      <w:r w:rsidR="003B6221">
        <w:rPr>
          <w:rFonts w:eastAsia="Malgun Gothic"/>
          <w:bCs/>
          <w:lang w:val="fr-FR"/>
        </w:rPr>
        <w:t xml:space="preserve">ensemble du </w:t>
      </w:r>
      <w:r w:rsidRPr="000F3842">
        <w:rPr>
          <w:rFonts w:eastAsia="Malgun Gothic"/>
          <w:bCs/>
          <w:lang w:val="fr-FR"/>
        </w:rPr>
        <w:t xml:space="preserve">langage et </w:t>
      </w:r>
      <w:r w:rsidR="003B6221">
        <w:rPr>
          <w:rFonts w:eastAsia="Malgun Gothic"/>
          <w:bCs/>
          <w:lang w:val="fr-FR"/>
        </w:rPr>
        <w:t xml:space="preserve">de </w:t>
      </w:r>
      <w:r w:rsidRPr="000F3842">
        <w:rPr>
          <w:rFonts w:eastAsia="Malgun Gothic"/>
          <w:bCs/>
          <w:lang w:val="fr-FR"/>
        </w:rPr>
        <w:t>la terminologie utilisés dans les documents de rappor</w:t>
      </w:r>
      <w:r w:rsidR="003B6221">
        <w:rPr>
          <w:rFonts w:eastAsia="Malgun Gothic"/>
          <w:bCs/>
          <w:lang w:val="fr-FR"/>
        </w:rPr>
        <w:t>t</w:t>
      </w:r>
      <w:r w:rsidRPr="000F3842">
        <w:rPr>
          <w:rFonts w:eastAsia="Malgun Gothic"/>
          <w:bCs/>
          <w:lang w:val="fr-FR"/>
        </w:rPr>
        <w:t>. Enfin, elle soutenait le commentaire de la Suisse sur la nécessité de simplifier le questionnaire.</w:t>
      </w:r>
    </w:p>
    <w:p w14:paraId="0CE29D7C" w14:textId="32092FD6" w:rsidR="000F3842" w:rsidRDefault="000F384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0F3842">
        <w:rPr>
          <w:rFonts w:eastAsia="Malgun Gothic"/>
          <w:bCs/>
          <w:lang w:val="fr-FR"/>
        </w:rPr>
        <w:t xml:space="preserve">La délégation de la </w:t>
      </w:r>
      <w:r w:rsidRPr="000F3842">
        <w:rPr>
          <w:rFonts w:eastAsia="Malgun Gothic"/>
          <w:b/>
          <w:lang w:val="fr-FR"/>
        </w:rPr>
        <w:t>Slovaquie</w:t>
      </w:r>
      <w:r w:rsidRPr="000F3842">
        <w:rPr>
          <w:rFonts w:eastAsia="Malgun Gothic"/>
          <w:bCs/>
          <w:lang w:val="fr-FR"/>
        </w:rPr>
        <w:t xml:space="preserve"> a remercié le Secrétariat pour les efforts qu</w:t>
      </w:r>
      <w:r w:rsidR="00923E72">
        <w:rPr>
          <w:rFonts w:eastAsia="Malgun Gothic"/>
          <w:bCs/>
          <w:lang w:val="fr-FR"/>
        </w:rPr>
        <w:t>’</w:t>
      </w:r>
      <w:r w:rsidRPr="000F3842">
        <w:rPr>
          <w:rFonts w:eastAsia="Malgun Gothic"/>
          <w:bCs/>
          <w:lang w:val="fr-FR"/>
        </w:rPr>
        <w:t xml:space="preserve">il avait déployés au cours de ce cycle de rapports périodiques, </w:t>
      </w:r>
      <w:r w:rsidR="007673E9">
        <w:rPr>
          <w:rFonts w:eastAsia="Malgun Gothic"/>
          <w:bCs/>
          <w:lang w:val="fr-FR"/>
        </w:rPr>
        <w:t xml:space="preserve">et </w:t>
      </w:r>
      <w:r w:rsidR="003B6221">
        <w:rPr>
          <w:rFonts w:eastAsia="Malgun Gothic"/>
          <w:bCs/>
          <w:lang w:val="fr-FR"/>
        </w:rPr>
        <w:t>pour</w:t>
      </w:r>
      <w:r w:rsidRPr="000F3842">
        <w:rPr>
          <w:rFonts w:eastAsia="Malgun Gothic"/>
          <w:bCs/>
          <w:lang w:val="fr-FR"/>
        </w:rPr>
        <w:t xml:space="preserve"> aid</w:t>
      </w:r>
      <w:r w:rsidR="003B6221">
        <w:rPr>
          <w:rFonts w:eastAsia="Malgun Gothic"/>
          <w:bCs/>
          <w:lang w:val="fr-FR"/>
        </w:rPr>
        <w:t>er</w:t>
      </w:r>
      <w:r w:rsidRPr="000F3842">
        <w:rPr>
          <w:rFonts w:eastAsia="Malgun Gothic"/>
          <w:bCs/>
          <w:lang w:val="fr-FR"/>
        </w:rPr>
        <w:t xml:space="preserve"> et conseill</w:t>
      </w:r>
      <w:r w:rsidR="003B6221">
        <w:rPr>
          <w:rFonts w:eastAsia="Malgun Gothic"/>
          <w:bCs/>
          <w:lang w:val="fr-FR"/>
        </w:rPr>
        <w:t>er</w:t>
      </w:r>
      <w:r w:rsidRPr="000F3842">
        <w:rPr>
          <w:rFonts w:eastAsia="Malgun Gothic"/>
          <w:bCs/>
          <w:lang w:val="fr-FR"/>
        </w:rPr>
        <w:t xml:space="preserve"> les États parties dans une période où la communication en ligne était compliquée en raison de la pandémie de COVID</w:t>
      </w:r>
      <w:r w:rsidR="005771C5">
        <w:rPr>
          <w:rFonts w:eastAsia="Malgun Gothic"/>
          <w:bCs/>
          <w:lang w:val="fr-FR"/>
        </w:rPr>
        <w:noBreakHyphen/>
      </w:r>
      <w:r w:rsidRPr="000F3842">
        <w:rPr>
          <w:rFonts w:eastAsia="Malgun Gothic"/>
          <w:bCs/>
          <w:lang w:val="fr-FR"/>
        </w:rPr>
        <w:t xml:space="preserve">19. Elle a également remercié le Secrétariat pour </w:t>
      </w:r>
      <w:r w:rsidR="003B6221">
        <w:rPr>
          <w:rFonts w:eastAsia="Malgun Gothic"/>
          <w:bCs/>
          <w:lang w:val="fr-FR"/>
        </w:rPr>
        <w:t xml:space="preserve">son </w:t>
      </w:r>
      <w:r w:rsidRPr="000F3842">
        <w:rPr>
          <w:rFonts w:eastAsia="Malgun Gothic"/>
          <w:bCs/>
          <w:lang w:val="fr-FR"/>
        </w:rPr>
        <w:t>analyse portant sur un large éventail de domaines thématiques couverts par les rapports, offrant ainsi aux États parties l</w:t>
      </w:r>
      <w:r w:rsidR="00923E72">
        <w:rPr>
          <w:rFonts w:eastAsia="Malgun Gothic"/>
          <w:bCs/>
          <w:lang w:val="fr-FR"/>
        </w:rPr>
        <w:t>’</w:t>
      </w:r>
      <w:r w:rsidRPr="000F3842">
        <w:rPr>
          <w:rFonts w:eastAsia="Malgun Gothic"/>
          <w:bCs/>
          <w:lang w:val="fr-FR"/>
        </w:rPr>
        <w:t>occasion de réfléchir et d</w:t>
      </w:r>
      <w:r w:rsidR="00923E72">
        <w:rPr>
          <w:rFonts w:eastAsia="Malgun Gothic"/>
          <w:bCs/>
          <w:lang w:val="fr-FR"/>
        </w:rPr>
        <w:t>’</w:t>
      </w:r>
      <w:r w:rsidRPr="000F3842">
        <w:rPr>
          <w:rFonts w:eastAsia="Malgun Gothic"/>
          <w:bCs/>
          <w:lang w:val="fr-FR"/>
        </w:rPr>
        <w:t xml:space="preserve">examiner largement la complexité de la sauvegarde du patrimoine culturel immatériel, </w:t>
      </w:r>
      <w:r w:rsidR="005771C5">
        <w:rPr>
          <w:rFonts w:eastAsia="Malgun Gothic"/>
          <w:bCs/>
          <w:lang w:val="fr-FR"/>
        </w:rPr>
        <w:t>en mettant l</w:t>
      </w:r>
      <w:r w:rsidR="00923E72">
        <w:rPr>
          <w:rFonts w:eastAsia="Malgun Gothic"/>
          <w:bCs/>
          <w:lang w:val="fr-FR"/>
        </w:rPr>
        <w:t>’</w:t>
      </w:r>
      <w:r w:rsidRPr="000F3842">
        <w:rPr>
          <w:rFonts w:eastAsia="Malgun Gothic"/>
          <w:bCs/>
          <w:lang w:val="fr-FR"/>
        </w:rPr>
        <w:t>accent sur les ODD. La délégation avait eu l</w:t>
      </w:r>
      <w:r w:rsidR="00923E72">
        <w:rPr>
          <w:rFonts w:eastAsia="Malgun Gothic"/>
          <w:bCs/>
          <w:lang w:val="fr-FR"/>
        </w:rPr>
        <w:t>’</w:t>
      </w:r>
      <w:r w:rsidRPr="000F3842">
        <w:rPr>
          <w:rFonts w:eastAsia="Malgun Gothic"/>
          <w:bCs/>
          <w:lang w:val="fr-FR"/>
        </w:rPr>
        <w:t>occasion d</w:t>
      </w:r>
      <w:r w:rsidR="00923E72">
        <w:rPr>
          <w:rFonts w:eastAsia="Malgun Gothic"/>
          <w:bCs/>
          <w:lang w:val="fr-FR"/>
        </w:rPr>
        <w:t>’</w:t>
      </w:r>
      <w:r w:rsidRPr="000F3842">
        <w:rPr>
          <w:rFonts w:eastAsia="Malgun Gothic"/>
          <w:bCs/>
          <w:lang w:val="fr-FR"/>
        </w:rPr>
        <w:t>évaluer ses propres forces mais également ses défis. En outre, l</w:t>
      </w:r>
      <w:r w:rsidR="00923E72">
        <w:rPr>
          <w:rFonts w:eastAsia="Malgun Gothic"/>
          <w:bCs/>
          <w:lang w:val="fr-FR"/>
        </w:rPr>
        <w:t>’</w:t>
      </w:r>
      <w:r w:rsidRPr="000F3842">
        <w:rPr>
          <w:rFonts w:eastAsia="Malgun Gothic"/>
          <w:bCs/>
          <w:lang w:val="fr-FR"/>
        </w:rPr>
        <w:t>exercice de rapport périodique offrait la possibilité unique d</w:t>
      </w:r>
      <w:r w:rsidR="00923E72">
        <w:rPr>
          <w:rFonts w:eastAsia="Malgun Gothic"/>
          <w:bCs/>
          <w:lang w:val="fr-FR"/>
        </w:rPr>
        <w:t>’</w:t>
      </w:r>
      <w:r w:rsidRPr="000F3842">
        <w:rPr>
          <w:rFonts w:eastAsia="Malgun Gothic"/>
          <w:bCs/>
          <w:lang w:val="fr-FR"/>
        </w:rPr>
        <w:t>envisager les efforts nationaux dans un contexte international. La délégation a également remercié la Finlande et l</w:t>
      </w:r>
      <w:r w:rsidR="00923E72">
        <w:rPr>
          <w:rFonts w:eastAsia="Malgun Gothic"/>
          <w:bCs/>
          <w:lang w:val="fr-FR"/>
        </w:rPr>
        <w:t>’</w:t>
      </w:r>
      <w:r w:rsidRPr="000F3842">
        <w:rPr>
          <w:rFonts w:eastAsia="Malgun Gothic"/>
          <w:bCs/>
          <w:lang w:val="fr-FR"/>
        </w:rPr>
        <w:t>Italie d</w:t>
      </w:r>
      <w:r w:rsidR="00923E72">
        <w:rPr>
          <w:rFonts w:eastAsia="Malgun Gothic"/>
          <w:bCs/>
          <w:lang w:val="fr-FR"/>
        </w:rPr>
        <w:t>’</w:t>
      </w:r>
      <w:r w:rsidRPr="000F3842">
        <w:rPr>
          <w:rFonts w:eastAsia="Malgun Gothic"/>
          <w:bCs/>
          <w:lang w:val="fr-FR"/>
        </w:rPr>
        <w:t>avoir lancé le réseau européen des points focaux</w:t>
      </w:r>
      <w:r w:rsidR="007673E9">
        <w:rPr>
          <w:rFonts w:eastAsia="Malgun Gothic"/>
          <w:bCs/>
          <w:lang w:val="fr-FR"/>
        </w:rPr>
        <w:t>,</w:t>
      </w:r>
      <w:r w:rsidRPr="000F3842">
        <w:rPr>
          <w:rFonts w:eastAsia="Malgun Gothic"/>
          <w:bCs/>
          <w:lang w:val="fr-FR"/>
        </w:rPr>
        <w:t xml:space="preserve"> ainsi que tous les autres États parties d</w:t>
      </w:r>
      <w:r w:rsidR="00923E72">
        <w:rPr>
          <w:rFonts w:eastAsia="Malgun Gothic"/>
          <w:bCs/>
          <w:lang w:val="fr-FR"/>
        </w:rPr>
        <w:t>’</w:t>
      </w:r>
      <w:r w:rsidRPr="000F3842">
        <w:rPr>
          <w:rFonts w:eastAsia="Malgun Gothic"/>
          <w:bCs/>
          <w:lang w:val="fr-FR"/>
        </w:rPr>
        <w:t>avoir rejoint le réseau et de continuer à travailler avec beaucoup d</w:t>
      </w:r>
      <w:r w:rsidR="00923E72">
        <w:rPr>
          <w:rFonts w:eastAsia="Malgun Gothic"/>
          <w:bCs/>
          <w:lang w:val="fr-FR"/>
        </w:rPr>
        <w:t>’</w:t>
      </w:r>
      <w:r w:rsidRPr="000F3842">
        <w:rPr>
          <w:rFonts w:eastAsia="Malgun Gothic"/>
          <w:bCs/>
          <w:lang w:val="fr-FR"/>
        </w:rPr>
        <w:t>intérêt, d</w:t>
      </w:r>
      <w:r w:rsidR="00923E72">
        <w:rPr>
          <w:rFonts w:eastAsia="Malgun Gothic"/>
          <w:bCs/>
          <w:lang w:val="fr-FR"/>
        </w:rPr>
        <w:t>’</w:t>
      </w:r>
      <w:r w:rsidRPr="000F3842">
        <w:rPr>
          <w:rFonts w:eastAsia="Malgun Gothic"/>
          <w:bCs/>
          <w:lang w:val="fr-FR"/>
        </w:rPr>
        <w:t xml:space="preserve">enthousiasme et de passion. On pouvait espérer que les résultats du rapport contribueraient à améliorer la planification stratégique de la sauvegarde du patrimoine culturel immatériel au niveau international </w:t>
      </w:r>
      <w:r w:rsidR="003B6221">
        <w:rPr>
          <w:rFonts w:eastAsia="Malgun Gothic"/>
          <w:bCs/>
          <w:lang w:val="fr-FR"/>
        </w:rPr>
        <w:t>ainsi qu</w:t>
      </w:r>
      <w:r w:rsidR="00923E72">
        <w:rPr>
          <w:rFonts w:eastAsia="Malgun Gothic"/>
          <w:bCs/>
          <w:lang w:val="fr-FR"/>
        </w:rPr>
        <w:t>’</w:t>
      </w:r>
      <w:r w:rsidR="003B6221">
        <w:rPr>
          <w:rFonts w:eastAsia="Malgun Gothic"/>
          <w:bCs/>
          <w:lang w:val="fr-FR"/>
        </w:rPr>
        <w:t>au moment</w:t>
      </w:r>
      <w:r w:rsidRPr="000F3842">
        <w:rPr>
          <w:rFonts w:eastAsia="Malgun Gothic"/>
          <w:bCs/>
          <w:lang w:val="fr-FR"/>
        </w:rPr>
        <w:t xml:space="preserve"> crucial de la coopération intersectorielle dans le contexte national. À cet égard, la rédaction du rapport périodique avait permis de mieux faire connaître la Convention en </w:t>
      </w:r>
      <w:r w:rsidRPr="000F3842">
        <w:rPr>
          <w:rFonts w:eastAsia="Malgun Gothic"/>
          <w:bCs/>
          <w:lang w:val="fr-FR"/>
        </w:rPr>
        <w:lastRenderedPageBreak/>
        <w:t>Slovaquie</w:t>
      </w:r>
      <w:r w:rsidR="00E74D3E">
        <w:rPr>
          <w:rFonts w:eastAsia="Malgun Gothic"/>
          <w:bCs/>
          <w:lang w:val="fr-FR"/>
        </w:rPr>
        <w:t xml:space="preserve"> </w:t>
      </w:r>
      <w:r w:rsidRPr="000F3842">
        <w:rPr>
          <w:rFonts w:eastAsia="Malgun Gothic"/>
          <w:bCs/>
          <w:lang w:val="fr-FR"/>
        </w:rPr>
        <w:t xml:space="preserve">ainsi que dans différents ministères. Auparavant, le patrimoine immatériel ne faisait pas partie de leur agenda. Elle avait également permis une plus grande collaboration avec les ONG </w:t>
      </w:r>
      <w:r w:rsidR="005771C5">
        <w:rPr>
          <w:rFonts w:eastAsia="Malgun Gothic"/>
          <w:bCs/>
          <w:lang w:val="fr-FR"/>
        </w:rPr>
        <w:t xml:space="preserve">en charge </w:t>
      </w:r>
      <w:r w:rsidRPr="000F3842">
        <w:rPr>
          <w:rFonts w:eastAsia="Malgun Gothic"/>
          <w:bCs/>
          <w:lang w:val="fr-FR"/>
        </w:rPr>
        <w:t xml:space="preserve">de la sauvegarde du patrimoine culturel immatériel, et surtout avec les communautés. </w:t>
      </w:r>
      <w:r w:rsidR="003B6221">
        <w:rPr>
          <w:rFonts w:eastAsia="Malgun Gothic"/>
          <w:bCs/>
          <w:lang w:val="fr-FR"/>
        </w:rPr>
        <w:t xml:space="preserve">La </w:t>
      </w:r>
      <w:r w:rsidR="003B6221" w:rsidRPr="003B6221">
        <w:rPr>
          <w:rFonts w:eastAsia="Malgun Gothic"/>
          <w:bCs/>
          <w:lang w:val="fr-FR"/>
        </w:rPr>
        <w:t>délégation</w:t>
      </w:r>
      <w:r w:rsidR="003B6221">
        <w:rPr>
          <w:rFonts w:eastAsia="Malgun Gothic"/>
          <w:bCs/>
          <w:lang w:val="fr-FR"/>
        </w:rPr>
        <w:t xml:space="preserve"> était encouragée</w:t>
      </w:r>
      <w:r w:rsidRPr="000F3842">
        <w:rPr>
          <w:rFonts w:eastAsia="Malgun Gothic"/>
          <w:bCs/>
          <w:lang w:val="fr-FR"/>
        </w:rPr>
        <w:t xml:space="preserve"> de voir que les États étaient tous </w:t>
      </w:r>
      <w:r w:rsidR="005771C5">
        <w:rPr>
          <w:rFonts w:eastAsia="Malgun Gothic"/>
          <w:bCs/>
          <w:lang w:val="fr-FR"/>
        </w:rPr>
        <w:t>« </w:t>
      </w:r>
      <w:r w:rsidRPr="000F3842">
        <w:rPr>
          <w:rFonts w:eastAsia="Malgun Gothic"/>
          <w:bCs/>
          <w:lang w:val="fr-FR"/>
        </w:rPr>
        <w:t>dans le même bateau</w:t>
      </w:r>
      <w:r w:rsidR="005771C5">
        <w:rPr>
          <w:rFonts w:eastAsia="Malgun Gothic"/>
          <w:bCs/>
          <w:lang w:val="fr-FR"/>
        </w:rPr>
        <w:t> »</w:t>
      </w:r>
      <w:r w:rsidRPr="000F3842">
        <w:rPr>
          <w:rFonts w:eastAsia="Malgun Gothic"/>
          <w:bCs/>
          <w:lang w:val="fr-FR"/>
        </w:rPr>
        <w:t>, luttant contre les défis abordés dans les rapports, ce qui donnait l</w:t>
      </w:r>
      <w:r w:rsidR="00923E72">
        <w:rPr>
          <w:rFonts w:eastAsia="Malgun Gothic"/>
          <w:bCs/>
          <w:lang w:val="fr-FR"/>
        </w:rPr>
        <w:t>’</w:t>
      </w:r>
      <w:r w:rsidRPr="000F3842">
        <w:rPr>
          <w:rFonts w:eastAsia="Malgun Gothic"/>
          <w:bCs/>
          <w:lang w:val="fr-FR"/>
        </w:rPr>
        <w:t>espoir de trouver des solutions communes.</w:t>
      </w:r>
    </w:p>
    <w:p w14:paraId="77F17414" w14:textId="08789B2B" w:rsidR="005771C5" w:rsidRDefault="000A6FA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En tant que nouveau membre du </w:t>
      </w:r>
      <w:r w:rsidRPr="000A6FAA">
        <w:rPr>
          <w:rFonts w:eastAsia="Malgun Gothic"/>
          <w:bCs/>
          <w:color w:val="000000" w:themeColor="text1"/>
          <w:lang w:val="fr-FR"/>
        </w:rPr>
        <w:t>Comité</w:t>
      </w:r>
      <w:r>
        <w:rPr>
          <w:rFonts w:eastAsia="Malgun Gothic"/>
          <w:bCs/>
          <w:color w:val="000000" w:themeColor="text1"/>
          <w:lang w:val="fr-FR"/>
        </w:rPr>
        <w:t xml:space="preserve">, </w:t>
      </w:r>
      <w:r>
        <w:rPr>
          <w:rFonts w:eastAsia="Malgun Gothic"/>
          <w:bCs/>
          <w:lang w:val="fr-FR"/>
        </w:rPr>
        <w:t>l</w:t>
      </w:r>
      <w:r w:rsidR="005771C5" w:rsidRPr="005771C5">
        <w:rPr>
          <w:rFonts w:eastAsia="Malgun Gothic"/>
          <w:bCs/>
          <w:lang w:val="fr-FR"/>
        </w:rPr>
        <w:t>a délégation de l</w:t>
      </w:r>
      <w:r w:rsidR="00923E72">
        <w:rPr>
          <w:rFonts w:eastAsia="Malgun Gothic"/>
          <w:bCs/>
          <w:lang w:val="fr-FR"/>
        </w:rPr>
        <w:t>’</w:t>
      </w:r>
      <w:r w:rsidR="005771C5" w:rsidRPr="005771C5">
        <w:rPr>
          <w:rFonts w:eastAsia="Malgun Gothic"/>
          <w:b/>
          <w:lang w:val="fr-FR"/>
        </w:rPr>
        <w:t>Éthiopie</w:t>
      </w:r>
      <w:r>
        <w:rPr>
          <w:rFonts w:eastAsia="Malgun Gothic"/>
          <w:bCs/>
          <w:lang w:val="fr-FR"/>
        </w:rPr>
        <w:t xml:space="preserve"> </w:t>
      </w:r>
      <w:r w:rsidR="005771C5" w:rsidRPr="005771C5">
        <w:rPr>
          <w:rFonts w:eastAsia="Malgun Gothic"/>
          <w:bCs/>
          <w:lang w:val="fr-FR"/>
        </w:rPr>
        <w:t>a remercié le Gouvernement du Maroc pour son accueil chaleureux et sa merveilleuse hospitalité. Elle a également salué la préparation de tous les rapports par le Secrétariat</w:t>
      </w:r>
      <w:r>
        <w:rPr>
          <w:rFonts w:eastAsia="Malgun Gothic"/>
          <w:bCs/>
          <w:lang w:val="fr-FR"/>
        </w:rPr>
        <w:t xml:space="preserve"> et a déclaré </w:t>
      </w:r>
      <w:r w:rsidR="005771C5" w:rsidRPr="005771C5">
        <w:rPr>
          <w:rFonts w:eastAsia="Malgun Gothic"/>
          <w:bCs/>
          <w:lang w:val="fr-FR"/>
        </w:rPr>
        <w:t>admir</w:t>
      </w:r>
      <w:r>
        <w:rPr>
          <w:rFonts w:eastAsia="Malgun Gothic"/>
          <w:bCs/>
          <w:lang w:val="fr-FR"/>
        </w:rPr>
        <w:t>er</w:t>
      </w:r>
      <w:r w:rsidR="005771C5" w:rsidRPr="005771C5">
        <w:rPr>
          <w:rFonts w:eastAsia="Malgun Gothic"/>
          <w:bCs/>
          <w:lang w:val="fr-FR"/>
        </w:rPr>
        <w:t xml:space="preserve"> la façon dont le Président dirigeait cette réunion du Comité. L</w:t>
      </w:r>
      <w:r w:rsidR="00923E72">
        <w:rPr>
          <w:rFonts w:eastAsia="Malgun Gothic"/>
          <w:bCs/>
          <w:lang w:val="fr-FR"/>
        </w:rPr>
        <w:t>’</w:t>
      </w:r>
      <w:r w:rsidR="005771C5" w:rsidRPr="005771C5">
        <w:rPr>
          <w:rFonts w:eastAsia="Malgun Gothic"/>
          <w:bCs/>
          <w:lang w:val="fr-FR"/>
        </w:rPr>
        <w:t>Éthiopie a adressé ses remerciements aux quarante</w:t>
      </w:r>
      <w:r w:rsidR="00BA4875">
        <w:rPr>
          <w:rFonts w:eastAsia="Malgun Gothic"/>
          <w:bCs/>
          <w:lang w:val="fr-FR"/>
        </w:rPr>
        <w:noBreakHyphen/>
      </w:r>
      <w:r w:rsidR="005771C5" w:rsidRPr="005771C5">
        <w:rPr>
          <w:rFonts w:eastAsia="Malgun Gothic"/>
          <w:bCs/>
          <w:lang w:val="fr-FR"/>
        </w:rPr>
        <w:t>deux États parties d</w:t>
      </w:r>
      <w:r w:rsidR="00923E72">
        <w:rPr>
          <w:rFonts w:eastAsia="Malgun Gothic"/>
          <w:bCs/>
          <w:lang w:val="fr-FR"/>
        </w:rPr>
        <w:t>’</w:t>
      </w:r>
      <w:r w:rsidR="005771C5" w:rsidRPr="005771C5">
        <w:rPr>
          <w:rFonts w:eastAsia="Malgun Gothic"/>
          <w:bCs/>
          <w:lang w:val="fr-FR"/>
        </w:rPr>
        <w:t>Europe qui avaient soumis leurs rapports périodiques sur la mise en œuvre de la Convention et sur l</w:t>
      </w:r>
      <w:r w:rsidR="00923E72">
        <w:rPr>
          <w:rFonts w:eastAsia="Malgun Gothic"/>
          <w:bCs/>
          <w:lang w:val="fr-FR"/>
        </w:rPr>
        <w:t>’</w:t>
      </w:r>
      <w:r w:rsidR="005771C5" w:rsidRPr="005771C5">
        <w:rPr>
          <w:rFonts w:eastAsia="Malgun Gothic"/>
          <w:bCs/>
          <w:lang w:val="fr-FR"/>
        </w:rPr>
        <w:t>état des éléments inscrits</w:t>
      </w:r>
      <w:r w:rsidR="007673E9">
        <w:rPr>
          <w:rFonts w:eastAsia="Malgun Gothic"/>
          <w:bCs/>
          <w:lang w:val="fr-FR"/>
        </w:rPr>
        <w:t>,</w:t>
      </w:r>
      <w:r w:rsidR="005771C5" w:rsidRPr="005771C5">
        <w:rPr>
          <w:rFonts w:eastAsia="Malgun Gothic"/>
          <w:bCs/>
          <w:lang w:val="fr-FR"/>
        </w:rPr>
        <w:t xml:space="preserve"> pour le cycle de rapports</w:t>
      </w:r>
      <w:r w:rsidR="00246428">
        <w:rPr>
          <w:rFonts w:eastAsia="Malgun Gothic"/>
          <w:bCs/>
          <w:lang w:val="fr-FR"/>
        </w:rPr>
        <w:t> </w:t>
      </w:r>
      <w:r w:rsidR="005771C5" w:rsidRPr="005771C5">
        <w:rPr>
          <w:rFonts w:eastAsia="Malgun Gothic"/>
          <w:bCs/>
          <w:lang w:val="fr-FR"/>
        </w:rPr>
        <w:t>2022. Comme mentionné dans le rapport</w:t>
      </w:r>
      <w:r w:rsidR="00B55968">
        <w:rPr>
          <w:rFonts w:eastAsia="Malgun Gothic"/>
          <w:bCs/>
          <w:lang w:val="fr-FR"/>
        </w:rPr>
        <w:t xml:space="preserve"> du </w:t>
      </w:r>
      <w:r w:rsidR="00B55968" w:rsidRPr="00B55968">
        <w:rPr>
          <w:rFonts w:eastAsia="Malgun Gothic"/>
          <w:bCs/>
          <w:lang w:val="fr-FR"/>
        </w:rPr>
        <w:t>Secréta</w:t>
      </w:r>
      <w:r w:rsidR="00B55968">
        <w:rPr>
          <w:rFonts w:eastAsia="Malgun Gothic"/>
          <w:bCs/>
          <w:lang w:val="fr-FR"/>
        </w:rPr>
        <w:t>riat</w:t>
      </w:r>
      <w:r w:rsidR="005771C5" w:rsidRPr="005771C5">
        <w:rPr>
          <w:rFonts w:eastAsia="Malgun Gothic"/>
          <w:bCs/>
          <w:lang w:val="fr-FR"/>
        </w:rPr>
        <w:t>, la mise en œuvre des nouveaux rapports périodiques était couronnée de succès malgré les défis rencontrés en raison de la pandémie de COVID</w:t>
      </w:r>
      <w:r w:rsidR="00B55968">
        <w:rPr>
          <w:rFonts w:eastAsia="Malgun Gothic"/>
          <w:bCs/>
          <w:lang w:val="fr-FR"/>
        </w:rPr>
        <w:noBreakHyphen/>
      </w:r>
      <w:r w:rsidR="005771C5" w:rsidRPr="005771C5">
        <w:rPr>
          <w:rFonts w:eastAsia="Malgun Gothic"/>
          <w:bCs/>
          <w:lang w:val="fr-FR"/>
        </w:rPr>
        <w:t>19. La formation en ligne et d</w:t>
      </w:r>
      <w:r w:rsidR="00923E72">
        <w:rPr>
          <w:rFonts w:eastAsia="Malgun Gothic"/>
          <w:bCs/>
          <w:lang w:val="fr-FR"/>
        </w:rPr>
        <w:t>’</w:t>
      </w:r>
      <w:r w:rsidR="005771C5" w:rsidRPr="005771C5">
        <w:rPr>
          <w:rFonts w:eastAsia="Malgun Gothic"/>
          <w:bCs/>
          <w:lang w:val="fr-FR"/>
        </w:rPr>
        <w:t>autres réseaux étaient des outils dont de nombreux États parties pouvaient s</w:t>
      </w:r>
      <w:r w:rsidR="00923E72">
        <w:rPr>
          <w:rFonts w:eastAsia="Malgun Gothic"/>
          <w:bCs/>
          <w:lang w:val="fr-FR"/>
        </w:rPr>
        <w:t>’</w:t>
      </w:r>
      <w:r w:rsidR="005771C5" w:rsidRPr="005771C5">
        <w:rPr>
          <w:rFonts w:eastAsia="Malgun Gothic"/>
          <w:bCs/>
          <w:lang w:val="fr-FR"/>
        </w:rPr>
        <w:t xml:space="preserve">inspirer. Alors que le nouveau système de rapports périodiques </w:t>
      </w:r>
      <w:r>
        <w:rPr>
          <w:rFonts w:eastAsia="Malgun Gothic"/>
          <w:bCs/>
          <w:lang w:val="fr-FR"/>
        </w:rPr>
        <w:t xml:space="preserve">achevait </w:t>
      </w:r>
      <w:r w:rsidR="005771C5" w:rsidRPr="005771C5">
        <w:rPr>
          <w:rFonts w:eastAsia="Malgun Gothic"/>
          <w:bCs/>
          <w:lang w:val="fr-FR"/>
        </w:rPr>
        <w:t>sa troisième année, d</w:t>
      </w:r>
      <w:r w:rsidR="00923E72">
        <w:rPr>
          <w:rFonts w:eastAsia="Malgun Gothic"/>
          <w:bCs/>
          <w:lang w:val="fr-FR"/>
        </w:rPr>
        <w:t>’</w:t>
      </w:r>
      <w:r w:rsidR="005771C5" w:rsidRPr="005771C5">
        <w:rPr>
          <w:rFonts w:eastAsia="Malgun Gothic"/>
          <w:bCs/>
          <w:lang w:val="fr-FR"/>
        </w:rPr>
        <w:t>importants enseignements avaient été tirés de l</w:t>
      </w:r>
      <w:r w:rsidR="00923E72">
        <w:rPr>
          <w:rFonts w:eastAsia="Malgun Gothic"/>
          <w:bCs/>
          <w:lang w:val="fr-FR"/>
        </w:rPr>
        <w:t>’</w:t>
      </w:r>
      <w:r w:rsidR="005771C5" w:rsidRPr="005771C5">
        <w:rPr>
          <w:rFonts w:eastAsia="Malgun Gothic"/>
          <w:bCs/>
          <w:lang w:val="fr-FR"/>
        </w:rPr>
        <w:t>expérience des États parties d</w:t>
      </w:r>
      <w:r w:rsidR="00923E72">
        <w:rPr>
          <w:rFonts w:eastAsia="Malgun Gothic"/>
          <w:bCs/>
          <w:lang w:val="fr-FR"/>
        </w:rPr>
        <w:t>’</w:t>
      </w:r>
      <w:r w:rsidR="005771C5" w:rsidRPr="005771C5">
        <w:rPr>
          <w:rFonts w:eastAsia="Malgun Gothic"/>
          <w:bCs/>
          <w:lang w:val="fr-FR"/>
        </w:rPr>
        <w:t>Amérique latine et des Caraïbes</w:t>
      </w:r>
      <w:r w:rsidR="00E74D3E">
        <w:rPr>
          <w:rFonts w:eastAsia="Malgun Gothic"/>
          <w:bCs/>
          <w:lang w:val="fr-FR"/>
        </w:rPr>
        <w:t xml:space="preserve"> </w:t>
      </w:r>
      <w:r w:rsidR="005771C5" w:rsidRPr="005771C5">
        <w:rPr>
          <w:rFonts w:eastAsia="Malgun Gothic"/>
          <w:bCs/>
          <w:lang w:val="fr-FR"/>
        </w:rPr>
        <w:t>ainsi que d</w:t>
      </w:r>
      <w:r w:rsidR="00923E72">
        <w:rPr>
          <w:rFonts w:eastAsia="Malgun Gothic"/>
          <w:bCs/>
          <w:lang w:val="fr-FR"/>
        </w:rPr>
        <w:t>’</w:t>
      </w:r>
      <w:r w:rsidR="005771C5" w:rsidRPr="005771C5">
        <w:rPr>
          <w:rFonts w:eastAsia="Malgun Gothic"/>
          <w:bCs/>
          <w:lang w:val="fr-FR"/>
        </w:rPr>
        <w:t>Europe. Toutefois, le renforcement des capacités et les ressources restaient problématiques pour de nombreux pays. L</w:t>
      </w:r>
      <w:r w:rsidR="00923E72">
        <w:rPr>
          <w:rFonts w:eastAsia="Malgun Gothic"/>
          <w:bCs/>
          <w:lang w:val="fr-FR"/>
        </w:rPr>
        <w:t>’</w:t>
      </w:r>
      <w:r w:rsidR="005771C5" w:rsidRPr="005771C5">
        <w:rPr>
          <w:rFonts w:eastAsia="Malgun Gothic"/>
          <w:bCs/>
          <w:lang w:val="fr-FR"/>
        </w:rPr>
        <w:t>Éthiopie a fait remarquer qu</w:t>
      </w:r>
      <w:r w:rsidR="00923E72">
        <w:rPr>
          <w:rFonts w:eastAsia="Malgun Gothic"/>
          <w:bCs/>
          <w:lang w:val="fr-FR"/>
        </w:rPr>
        <w:t>’</w:t>
      </w:r>
      <w:r w:rsidR="005771C5" w:rsidRPr="005771C5">
        <w:rPr>
          <w:rFonts w:eastAsia="Malgun Gothic"/>
          <w:bCs/>
          <w:lang w:val="fr-FR"/>
        </w:rPr>
        <w:t>en ce qui concerne l</w:t>
      </w:r>
      <w:r w:rsidR="00923E72">
        <w:rPr>
          <w:rFonts w:eastAsia="Malgun Gothic"/>
          <w:bCs/>
          <w:lang w:val="fr-FR"/>
        </w:rPr>
        <w:t>’</w:t>
      </w:r>
      <w:r w:rsidR="005771C5" w:rsidRPr="005771C5">
        <w:rPr>
          <w:rFonts w:eastAsia="Malgun Gothic"/>
          <w:bCs/>
          <w:lang w:val="fr-FR"/>
        </w:rPr>
        <w:t>Afrique, il conviendrait d</w:t>
      </w:r>
      <w:r w:rsidR="00923E72">
        <w:rPr>
          <w:rFonts w:eastAsia="Malgun Gothic"/>
          <w:bCs/>
          <w:lang w:val="fr-FR"/>
        </w:rPr>
        <w:t>’</w:t>
      </w:r>
      <w:r w:rsidR="005771C5" w:rsidRPr="005771C5">
        <w:rPr>
          <w:rFonts w:eastAsia="Malgun Gothic"/>
          <w:bCs/>
          <w:lang w:val="fr-FR"/>
        </w:rPr>
        <w:t>accorder une attention particulière au renforcement des capacités et aux ressources. Bien que les défis et les réussites en matière de mise en œuvre soient présentés de manière générale dans le rapport, la délégation a souhaité obtenir davantage de détails de la part du Secrétariat</w:t>
      </w:r>
      <w:r>
        <w:rPr>
          <w:rFonts w:eastAsia="Malgun Gothic"/>
          <w:bCs/>
          <w:lang w:val="fr-FR"/>
        </w:rPr>
        <w:t xml:space="preserve"> à ce sujet.</w:t>
      </w:r>
    </w:p>
    <w:p w14:paraId="5FA06A32" w14:textId="6C7DF0D9" w:rsidR="00B55968" w:rsidRDefault="006B2CC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6B2CCB">
        <w:rPr>
          <w:rFonts w:eastAsia="Malgun Gothic"/>
          <w:bCs/>
          <w:lang w:val="fr-FR"/>
        </w:rPr>
        <w:t xml:space="preserve">La délégation de la </w:t>
      </w:r>
      <w:r w:rsidRPr="006B2CCB">
        <w:rPr>
          <w:rFonts w:eastAsia="Malgun Gothic"/>
          <w:b/>
          <w:lang w:val="fr-FR"/>
        </w:rPr>
        <w:t>Tchéquie</w:t>
      </w:r>
      <w:r w:rsidRPr="006B2CCB">
        <w:rPr>
          <w:rFonts w:eastAsia="Malgun Gothic"/>
          <w:bCs/>
          <w:lang w:val="fr-FR"/>
        </w:rPr>
        <w:t xml:space="preserve"> a remercié ses collègues de la région </w:t>
      </w:r>
      <w:r>
        <w:rPr>
          <w:rFonts w:eastAsia="Malgun Gothic"/>
          <w:bCs/>
          <w:lang w:val="fr-FR"/>
        </w:rPr>
        <w:t>E</w:t>
      </w:r>
      <w:r w:rsidRPr="006B2CCB">
        <w:rPr>
          <w:rFonts w:eastAsia="Malgun Gothic"/>
          <w:bCs/>
          <w:lang w:val="fr-FR"/>
        </w:rPr>
        <w:t>urop</w:t>
      </w:r>
      <w:r>
        <w:rPr>
          <w:rFonts w:eastAsia="Malgun Gothic"/>
          <w:bCs/>
          <w:lang w:val="fr-FR"/>
        </w:rPr>
        <w:t>e</w:t>
      </w:r>
      <w:r w:rsidRPr="006B2CCB">
        <w:rPr>
          <w:rFonts w:eastAsia="Malgun Gothic"/>
          <w:bCs/>
          <w:lang w:val="fr-FR"/>
        </w:rPr>
        <w:t xml:space="preserve"> d</w:t>
      </w:r>
      <w:r w:rsidR="00923E72">
        <w:rPr>
          <w:rFonts w:eastAsia="Malgun Gothic"/>
          <w:bCs/>
          <w:lang w:val="fr-FR"/>
        </w:rPr>
        <w:t>’</w:t>
      </w:r>
      <w:r w:rsidRPr="006B2CCB">
        <w:rPr>
          <w:rFonts w:eastAsia="Malgun Gothic"/>
          <w:bCs/>
          <w:lang w:val="fr-FR"/>
        </w:rPr>
        <w:t>avoir soumis des rapports qui sont de telles sources d</w:t>
      </w:r>
      <w:r w:rsidR="00923E72">
        <w:rPr>
          <w:rFonts w:eastAsia="Malgun Gothic"/>
          <w:bCs/>
          <w:lang w:val="fr-FR"/>
        </w:rPr>
        <w:t>’</w:t>
      </w:r>
      <w:r w:rsidRPr="006B2CCB">
        <w:rPr>
          <w:rFonts w:eastAsia="Malgun Gothic"/>
          <w:bCs/>
          <w:lang w:val="fr-FR"/>
        </w:rPr>
        <w:t>inspiration. Elle a également remercié le Secrétariat et les facilitateurs pour la formation en ligne des points focaux, les autres aides offertes et la possibilité de soumettre à nouveau les rapports avant le 15</w:t>
      </w:r>
      <w:r w:rsidR="00BC3271">
        <w:rPr>
          <w:rFonts w:eastAsia="Malgun Gothic"/>
          <w:bCs/>
          <w:lang w:val="fr-FR"/>
        </w:rPr>
        <w:t> </w:t>
      </w:r>
      <w:r w:rsidRPr="006B2CCB">
        <w:rPr>
          <w:rFonts w:eastAsia="Malgun Gothic"/>
          <w:bCs/>
          <w:lang w:val="fr-FR"/>
        </w:rPr>
        <w:t>février</w:t>
      </w:r>
      <w:r w:rsidR="00BC3271">
        <w:rPr>
          <w:rFonts w:eastAsia="Malgun Gothic"/>
          <w:bCs/>
          <w:lang w:val="fr-FR"/>
        </w:rPr>
        <w:t> </w:t>
      </w:r>
      <w:r w:rsidRPr="006B2CCB">
        <w:rPr>
          <w:rFonts w:eastAsia="Malgun Gothic"/>
          <w:bCs/>
          <w:lang w:val="fr-FR"/>
        </w:rPr>
        <w:t xml:space="preserve">2022. Elle a regretté que deux États parties </w:t>
      </w:r>
      <w:r w:rsidR="000A6FAA">
        <w:rPr>
          <w:rFonts w:eastAsia="Malgun Gothic"/>
          <w:bCs/>
          <w:lang w:val="fr-FR"/>
        </w:rPr>
        <w:t>ne soient pas parvenus à soumettre</w:t>
      </w:r>
      <w:r w:rsidRPr="006B2CCB">
        <w:rPr>
          <w:rFonts w:eastAsia="Malgun Gothic"/>
          <w:bCs/>
          <w:lang w:val="fr-FR"/>
        </w:rPr>
        <w:t xml:space="preserve"> leur rapport et a espéré que cela puisse se faire dans les meilleurs délais avec le soutien de tous. Il pourrait </w:t>
      </w:r>
      <w:r w:rsidR="000A6FAA">
        <w:rPr>
          <w:rFonts w:eastAsia="Malgun Gothic"/>
          <w:bCs/>
          <w:lang w:val="fr-FR"/>
        </w:rPr>
        <w:t xml:space="preserve">donc </w:t>
      </w:r>
      <w:r w:rsidRPr="006B2CCB">
        <w:rPr>
          <w:rFonts w:eastAsia="Malgun Gothic"/>
          <w:bCs/>
          <w:lang w:val="fr-FR"/>
        </w:rPr>
        <w:t>être utile d</w:t>
      </w:r>
      <w:r w:rsidR="000A6FAA">
        <w:rPr>
          <w:rFonts w:eastAsia="Malgun Gothic"/>
          <w:bCs/>
          <w:lang w:val="fr-FR"/>
        </w:rPr>
        <w:t>e faire référence</w:t>
      </w:r>
      <w:r w:rsidRPr="006B2CCB">
        <w:rPr>
          <w:rFonts w:eastAsia="Malgun Gothic"/>
          <w:bCs/>
          <w:lang w:val="fr-FR"/>
        </w:rPr>
        <w:t xml:space="preserve"> </w:t>
      </w:r>
      <w:r w:rsidR="000A6FAA">
        <w:rPr>
          <w:rFonts w:eastAsia="Malgun Gothic"/>
          <w:bCs/>
          <w:lang w:val="fr-FR"/>
        </w:rPr>
        <w:t>au</w:t>
      </w:r>
      <w:r w:rsidRPr="006B2CCB">
        <w:rPr>
          <w:rFonts w:eastAsia="Malgun Gothic"/>
          <w:bCs/>
          <w:lang w:val="fr-FR"/>
        </w:rPr>
        <w:t xml:space="preserve"> site web du patrimoine immatériel de l</w:t>
      </w:r>
      <w:r w:rsidR="00923E72">
        <w:rPr>
          <w:rFonts w:eastAsia="Malgun Gothic"/>
          <w:bCs/>
          <w:lang w:val="fr-FR"/>
        </w:rPr>
        <w:t>’</w:t>
      </w:r>
      <w:r w:rsidRPr="006B2CCB">
        <w:rPr>
          <w:rFonts w:eastAsia="Malgun Gothic"/>
          <w:bCs/>
          <w:lang w:val="fr-FR"/>
        </w:rPr>
        <w:t xml:space="preserve">UNESCO </w:t>
      </w:r>
      <w:r w:rsidR="000A6FAA">
        <w:rPr>
          <w:rFonts w:eastAsia="Malgun Gothic"/>
          <w:bCs/>
          <w:lang w:val="fr-FR"/>
        </w:rPr>
        <w:t>sur les</w:t>
      </w:r>
      <w:r w:rsidRPr="006B2CCB">
        <w:rPr>
          <w:rFonts w:eastAsia="Malgun Gothic"/>
          <w:bCs/>
          <w:lang w:val="fr-FR"/>
        </w:rPr>
        <w:t xml:space="preserve"> rapports périodiques dans une lettre invitant les points focaux à s</w:t>
      </w:r>
      <w:r w:rsidR="00923E72">
        <w:rPr>
          <w:rFonts w:eastAsia="Malgun Gothic"/>
          <w:bCs/>
          <w:lang w:val="fr-FR"/>
        </w:rPr>
        <w:t>’</w:t>
      </w:r>
      <w:r w:rsidRPr="006B2CCB">
        <w:rPr>
          <w:rFonts w:eastAsia="Malgun Gothic"/>
          <w:bCs/>
          <w:lang w:val="fr-FR"/>
        </w:rPr>
        <w:t>y inscrire. La délégation avait également apprécié l</w:t>
      </w:r>
      <w:r w:rsidR="00923E72">
        <w:rPr>
          <w:rFonts w:eastAsia="Malgun Gothic"/>
          <w:bCs/>
          <w:lang w:val="fr-FR"/>
        </w:rPr>
        <w:t>’</w:t>
      </w:r>
      <w:r w:rsidRPr="006B2CCB">
        <w:rPr>
          <w:rFonts w:eastAsia="Malgun Gothic"/>
          <w:bCs/>
          <w:lang w:val="fr-FR"/>
        </w:rPr>
        <w:t xml:space="preserve">analyse des experts de la région et </w:t>
      </w:r>
      <w:r w:rsidR="000A6FAA">
        <w:rPr>
          <w:rFonts w:eastAsia="Malgun Gothic"/>
          <w:bCs/>
          <w:lang w:val="fr-FR"/>
        </w:rPr>
        <w:t xml:space="preserve">le travail </w:t>
      </w:r>
      <w:r w:rsidRPr="006B2CCB">
        <w:rPr>
          <w:rFonts w:eastAsia="Malgun Gothic"/>
          <w:bCs/>
          <w:lang w:val="fr-FR"/>
        </w:rPr>
        <w:t>de l</w:t>
      </w:r>
      <w:r w:rsidR="00923E72">
        <w:rPr>
          <w:rFonts w:eastAsia="Malgun Gothic"/>
          <w:bCs/>
          <w:lang w:val="fr-FR"/>
        </w:rPr>
        <w:t>’</w:t>
      </w:r>
      <w:r w:rsidRPr="006B2CCB">
        <w:rPr>
          <w:rFonts w:eastAsia="Malgun Gothic"/>
          <w:bCs/>
          <w:lang w:val="fr-FR"/>
        </w:rPr>
        <w:t>Académie slovaque des sciences. C</w:t>
      </w:r>
      <w:r w:rsidR="00923E72">
        <w:rPr>
          <w:rFonts w:eastAsia="Malgun Gothic"/>
          <w:bCs/>
          <w:lang w:val="fr-FR"/>
        </w:rPr>
        <w:t>’</w:t>
      </w:r>
      <w:r w:rsidRPr="006B2CCB">
        <w:rPr>
          <w:rFonts w:eastAsia="Malgun Gothic"/>
          <w:bCs/>
          <w:lang w:val="fr-FR"/>
        </w:rPr>
        <w:t xml:space="preserve">était un grand défi pour toutes les parties de parvenir à un meilleur résultat </w:t>
      </w:r>
      <w:r>
        <w:rPr>
          <w:rFonts w:eastAsia="Malgun Gothic"/>
          <w:bCs/>
          <w:lang w:val="fr-FR"/>
        </w:rPr>
        <w:t xml:space="preserve">avec </w:t>
      </w:r>
      <w:r w:rsidRPr="006B2CCB">
        <w:rPr>
          <w:rFonts w:eastAsia="Malgun Gothic"/>
          <w:bCs/>
          <w:lang w:val="fr-FR"/>
        </w:rPr>
        <w:t>les indicateurs de base</w:t>
      </w:r>
      <w:r w:rsidR="004761A5">
        <w:rPr>
          <w:rFonts w:eastAsia="Malgun Gothic"/>
          <w:bCs/>
          <w:lang w:val="fr-FR"/>
        </w:rPr>
        <w:t>,</w:t>
      </w:r>
      <w:r w:rsidRPr="006B2CCB">
        <w:rPr>
          <w:rFonts w:eastAsia="Malgun Gothic"/>
          <w:bCs/>
          <w:lang w:val="fr-FR"/>
        </w:rPr>
        <w:t xml:space="preserve"> et donc dans la mise en œuvre de la Convention d</w:t>
      </w:r>
      <w:r w:rsidR="00923E72">
        <w:rPr>
          <w:rFonts w:eastAsia="Malgun Gothic"/>
          <w:bCs/>
          <w:lang w:val="fr-FR"/>
        </w:rPr>
        <w:t>’</w:t>
      </w:r>
      <w:r w:rsidRPr="006B2CCB">
        <w:rPr>
          <w:rFonts w:eastAsia="Malgun Gothic"/>
          <w:bCs/>
          <w:lang w:val="fr-FR"/>
        </w:rPr>
        <w:t>ici le prochain cycle. Elle attendait avec grand intérêt la conclusion de l</w:t>
      </w:r>
      <w:r w:rsidR="00923E72">
        <w:rPr>
          <w:rFonts w:eastAsia="Malgun Gothic"/>
          <w:bCs/>
          <w:lang w:val="fr-FR"/>
        </w:rPr>
        <w:t>’</w:t>
      </w:r>
      <w:r w:rsidRPr="006B2CCB">
        <w:rPr>
          <w:rFonts w:eastAsia="Malgun Gothic"/>
          <w:bCs/>
          <w:lang w:val="fr-FR"/>
        </w:rPr>
        <w:t>année de réflexion.</w:t>
      </w:r>
    </w:p>
    <w:p w14:paraId="54D263BD" w14:textId="212B2882" w:rsidR="006B2CCB" w:rsidRDefault="004F5E5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F5E56">
        <w:rPr>
          <w:rFonts w:eastAsia="Malgun Gothic"/>
          <w:bCs/>
          <w:lang w:val="fr-FR"/>
        </w:rPr>
        <w:t xml:space="preserve">La délégation </w:t>
      </w:r>
      <w:r>
        <w:rPr>
          <w:rFonts w:eastAsia="Malgun Gothic"/>
          <w:bCs/>
          <w:lang w:val="fr-FR"/>
        </w:rPr>
        <w:t>de l</w:t>
      </w:r>
      <w:r w:rsidR="00923E72">
        <w:rPr>
          <w:rFonts w:eastAsia="Malgun Gothic"/>
          <w:bCs/>
          <w:lang w:val="fr-FR"/>
        </w:rPr>
        <w:t>’</w:t>
      </w:r>
      <w:r w:rsidRPr="004F5E56">
        <w:rPr>
          <w:rFonts w:eastAsia="Malgun Gothic"/>
          <w:b/>
          <w:lang w:val="fr-FR"/>
        </w:rPr>
        <w:t>Allemagne</w:t>
      </w:r>
      <w:r>
        <w:rPr>
          <w:rFonts w:eastAsia="Malgun Gothic"/>
          <w:bCs/>
          <w:lang w:val="fr-FR"/>
        </w:rPr>
        <w:t xml:space="preserve"> </w:t>
      </w:r>
      <w:r w:rsidRPr="004F5E56">
        <w:rPr>
          <w:rFonts w:eastAsia="Malgun Gothic"/>
          <w:bCs/>
          <w:lang w:val="fr-FR"/>
        </w:rPr>
        <w:t>s</w:t>
      </w:r>
      <w:r w:rsidR="00923E72">
        <w:rPr>
          <w:rFonts w:eastAsia="Malgun Gothic"/>
          <w:bCs/>
          <w:lang w:val="fr-FR"/>
        </w:rPr>
        <w:t>’</w:t>
      </w:r>
      <w:r w:rsidRPr="004F5E56">
        <w:rPr>
          <w:rFonts w:eastAsia="Malgun Gothic"/>
          <w:bCs/>
          <w:lang w:val="fr-FR"/>
        </w:rPr>
        <w:t xml:space="preserve">est félicitée du taux de participation élevé en Amérique latine et Caraïbes </w:t>
      </w:r>
      <w:r w:rsidR="000A6FAA">
        <w:rPr>
          <w:rFonts w:eastAsia="Malgun Gothic"/>
          <w:bCs/>
          <w:lang w:val="fr-FR"/>
        </w:rPr>
        <w:t xml:space="preserve">et </w:t>
      </w:r>
      <w:r w:rsidRPr="004F5E56">
        <w:rPr>
          <w:rFonts w:eastAsia="Malgun Gothic"/>
          <w:bCs/>
          <w:lang w:val="fr-FR"/>
        </w:rPr>
        <w:t>en Europe. Elle a remercié le groupe d</w:t>
      </w:r>
      <w:r w:rsidR="00923E72">
        <w:rPr>
          <w:rFonts w:eastAsia="Malgun Gothic"/>
          <w:bCs/>
          <w:lang w:val="fr-FR"/>
        </w:rPr>
        <w:t>’</w:t>
      </w:r>
      <w:r w:rsidRPr="004F5E56">
        <w:rPr>
          <w:rFonts w:eastAsia="Malgun Gothic"/>
          <w:bCs/>
          <w:lang w:val="fr-FR"/>
        </w:rPr>
        <w:t>experts de l</w:t>
      </w:r>
      <w:r w:rsidR="00923E72">
        <w:rPr>
          <w:rFonts w:eastAsia="Malgun Gothic"/>
          <w:bCs/>
          <w:lang w:val="fr-FR"/>
        </w:rPr>
        <w:t>’</w:t>
      </w:r>
      <w:r w:rsidRPr="004F5E56">
        <w:rPr>
          <w:rFonts w:eastAsia="Malgun Gothic"/>
          <w:bCs/>
          <w:lang w:val="fr-FR"/>
        </w:rPr>
        <w:t>Europe d</w:t>
      </w:r>
      <w:r w:rsidR="00923E72">
        <w:rPr>
          <w:rFonts w:eastAsia="Malgun Gothic"/>
          <w:bCs/>
          <w:lang w:val="fr-FR"/>
        </w:rPr>
        <w:t>’</w:t>
      </w:r>
      <w:r w:rsidRPr="004F5E56">
        <w:rPr>
          <w:rFonts w:eastAsia="Malgun Gothic"/>
          <w:bCs/>
          <w:lang w:val="fr-FR"/>
        </w:rPr>
        <w:t xml:space="preserve">avoir </w:t>
      </w:r>
      <w:r>
        <w:rPr>
          <w:rFonts w:eastAsia="Malgun Gothic"/>
          <w:bCs/>
          <w:lang w:val="fr-FR"/>
        </w:rPr>
        <w:t xml:space="preserve">communiqué </w:t>
      </w:r>
      <w:r w:rsidRPr="004F5E56">
        <w:rPr>
          <w:rFonts w:eastAsia="Malgun Gothic"/>
          <w:bCs/>
          <w:lang w:val="fr-FR"/>
        </w:rPr>
        <w:t>une première analyse des rapports des régions</w:t>
      </w:r>
      <w:r w:rsidR="00BC3271">
        <w:rPr>
          <w:rFonts w:eastAsia="Malgun Gothic"/>
          <w:bCs/>
          <w:lang w:val="fr-FR"/>
        </w:rPr>
        <w:t> </w:t>
      </w:r>
      <w:r w:rsidRPr="004F5E56">
        <w:rPr>
          <w:rFonts w:eastAsia="Malgun Gothic"/>
          <w:bCs/>
          <w:lang w:val="fr-FR"/>
        </w:rPr>
        <w:t>1</w:t>
      </w:r>
      <w:r w:rsidR="00BC3271">
        <w:rPr>
          <w:rFonts w:eastAsia="Malgun Gothic"/>
          <w:bCs/>
          <w:lang w:val="fr-FR"/>
        </w:rPr>
        <w:t> </w:t>
      </w:r>
      <w:r w:rsidRPr="004F5E56">
        <w:rPr>
          <w:rFonts w:eastAsia="Malgun Gothic"/>
          <w:bCs/>
          <w:lang w:val="fr-FR"/>
        </w:rPr>
        <w:t>et</w:t>
      </w:r>
      <w:r w:rsidR="00BC3271">
        <w:rPr>
          <w:rFonts w:eastAsia="Malgun Gothic"/>
          <w:bCs/>
          <w:lang w:val="fr-FR"/>
        </w:rPr>
        <w:t> </w:t>
      </w:r>
      <w:r w:rsidRPr="004F5E56">
        <w:rPr>
          <w:rFonts w:eastAsia="Malgun Gothic"/>
          <w:bCs/>
          <w:lang w:val="fr-FR"/>
        </w:rPr>
        <w:t>2. La délégation attendait déjà avec impatience le rapport analytique détaillé</w:t>
      </w:r>
      <w:r w:rsidR="00E661F8">
        <w:rPr>
          <w:rFonts w:eastAsia="Malgun Gothic"/>
          <w:bCs/>
          <w:lang w:val="fr-FR"/>
        </w:rPr>
        <w:t>,</w:t>
      </w:r>
      <w:r w:rsidRPr="004F5E56">
        <w:rPr>
          <w:rFonts w:eastAsia="Malgun Gothic"/>
          <w:bCs/>
          <w:lang w:val="fr-FR"/>
        </w:rPr>
        <w:t xml:space="preserve"> qui serait publié fin</w:t>
      </w:r>
      <w:r w:rsidR="00BC3271">
        <w:rPr>
          <w:rFonts w:eastAsia="Malgun Gothic"/>
          <w:bCs/>
          <w:lang w:val="fr-FR"/>
        </w:rPr>
        <w:t> </w:t>
      </w:r>
      <w:r w:rsidRPr="004F5E56">
        <w:rPr>
          <w:rFonts w:eastAsia="Malgun Gothic"/>
          <w:bCs/>
          <w:lang w:val="fr-FR"/>
        </w:rPr>
        <w:t>2023 et dont elle espérait qu</w:t>
      </w:r>
      <w:r w:rsidR="00923E72">
        <w:rPr>
          <w:rFonts w:eastAsia="Malgun Gothic"/>
          <w:bCs/>
          <w:lang w:val="fr-FR"/>
        </w:rPr>
        <w:t>’</w:t>
      </w:r>
      <w:r w:rsidRPr="004F5E56">
        <w:rPr>
          <w:rFonts w:eastAsia="Malgun Gothic"/>
          <w:bCs/>
          <w:lang w:val="fr-FR"/>
        </w:rPr>
        <w:t>il serait une source d</w:t>
      </w:r>
      <w:r w:rsidR="00923E72">
        <w:rPr>
          <w:rFonts w:eastAsia="Malgun Gothic"/>
          <w:bCs/>
          <w:lang w:val="fr-FR"/>
        </w:rPr>
        <w:t>’</w:t>
      </w:r>
      <w:r w:rsidRPr="004F5E56">
        <w:rPr>
          <w:rFonts w:eastAsia="Malgun Gothic"/>
          <w:bCs/>
          <w:lang w:val="fr-FR"/>
        </w:rPr>
        <w:t>inspiration supplémentaire pour une compréhension commune des défis actuels et des solutions durables pour la mise en œuvre de la Convention. La délégation soutenait également l</w:t>
      </w:r>
      <w:r w:rsidR="00923E72">
        <w:rPr>
          <w:rFonts w:eastAsia="Malgun Gothic"/>
          <w:bCs/>
          <w:lang w:val="fr-FR"/>
        </w:rPr>
        <w:t>’</w:t>
      </w:r>
      <w:r w:rsidRPr="004F5E56">
        <w:rPr>
          <w:rFonts w:eastAsia="Malgun Gothic"/>
          <w:bCs/>
          <w:lang w:val="fr-FR"/>
        </w:rPr>
        <w:t>approche de renforcement des capacités adoptée jusqu</w:t>
      </w:r>
      <w:r w:rsidR="00923E72">
        <w:rPr>
          <w:rFonts w:eastAsia="Malgun Gothic"/>
          <w:bCs/>
          <w:lang w:val="fr-FR"/>
        </w:rPr>
        <w:t>’</w:t>
      </w:r>
      <w:r w:rsidRPr="004F5E56">
        <w:rPr>
          <w:rFonts w:eastAsia="Malgun Gothic"/>
          <w:bCs/>
          <w:lang w:val="fr-FR"/>
        </w:rPr>
        <w:t>alors par le Secrétariat ainsi que le renforcement de l</w:t>
      </w:r>
      <w:r w:rsidR="00923E72">
        <w:rPr>
          <w:rFonts w:eastAsia="Malgun Gothic"/>
          <w:bCs/>
          <w:lang w:val="fr-FR"/>
        </w:rPr>
        <w:t>’</w:t>
      </w:r>
      <w:r w:rsidRPr="004F5E56">
        <w:rPr>
          <w:rFonts w:eastAsia="Malgun Gothic"/>
          <w:bCs/>
          <w:lang w:val="fr-FR"/>
        </w:rPr>
        <w:t xml:space="preserve">utilisation de ce mécanisme de soumission des rapports pour produire un rapport global complet sur les politiques culturelles tous les quatre ans, comme mentionné dans la </w:t>
      </w:r>
      <w:r>
        <w:rPr>
          <w:rFonts w:eastAsia="Malgun Gothic"/>
          <w:bCs/>
          <w:lang w:val="fr-FR"/>
        </w:rPr>
        <w:t>D</w:t>
      </w:r>
      <w:r w:rsidRPr="004F5E56">
        <w:rPr>
          <w:rFonts w:eastAsia="Malgun Gothic"/>
          <w:bCs/>
          <w:lang w:val="fr-FR"/>
        </w:rPr>
        <w:t>éclaration finale de MONDIACULT</w:t>
      </w:r>
      <w:r w:rsidR="004761A5">
        <w:rPr>
          <w:rFonts w:eastAsia="Malgun Gothic"/>
          <w:bCs/>
          <w:lang w:val="fr-FR"/>
        </w:rPr>
        <w:t>,</w:t>
      </w:r>
      <w:r w:rsidRPr="004F5E56">
        <w:rPr>
          <w:rFonts w:eastAsia="Malgun Gothic"/>
          <w:bCs/>
          <w:lang w:val="fr-FR"/>
        </w:rPr>
        <w:t xml:space="preserve"> au </w:t>
      </w:r>
      <w:r w:rsidR="004761A5">
        <w:rPr>
          <w:rFonts w:eastAsia="Malgun Gothic"/>
          <w:bCs/>
          <w:lang w:val="fr-FR"/>
        </w:rPr>
        <w:t>Mexique</w:t>
      </w:r>
      <w:r w:rsidRPr="004F5E56">
        <w:rPr>
          <w:rFonts w:eastAsia="Malgun Gothic"/>
          <w:bCs/>
          <w:lang w:val="fr-FR"/>
        </w:rPr>
        <w:t xml:space="preserve"> en septembre</w:t>
      </w:r>
      <w:r w:rsidR="00BC3271">
        <w:rPr>
          <w:rFonts w:eastAsia="Malgun Gothic"/>
          <w:bCs/>
          <w:lang w:val="fr-FR"/>
        </w:rPr>
        <w:t> </w:t>
      </w:r>
      <w:r w:rsidRPr="004F5E56">
        <w:rPr>
          <w:rFonts w:eastAsia="Malgun Gothic"/>
          <w:bCs/>
          <w:lang w:val="fr-FR"/>
        </w:rPr>
        <w:t xml:space="preserve">2022. Cependant, elle souhaiterait également </w:t>
      </w:r>
      <w:r w:rsidR="000A6FAA">
        <w:rPr>
          <w:rFonts w:eastAsia="Malgun Gothic"/>
          <w:bCs/>
          <w:lang w:val="fr-FR"/>
        </w:rPr>
        <w:t>voir s</w:t>
      </w:r>
      <w:r w:rsidR="00923E72">
        <w:rPr>
          <w:rFonts w:eastAsia="Malgun Gothic"/>
          <w:bCs/>
          <w:lang w:val="fr-FR"/>
        </w:rPr>
        <w:t>’</w:t>
      </w:r>
      <w:r w:rsidR="000A6FAA">
        <w:rPr>
          <w:rFonts w:eastAsia="Malgun Gothic"/>
          <w:bCs/>
          <w:lang w:val="fr-FR"/>
        </w:rPr>
        <w:t xml:space="preserve">engager </w:t>
      </w:r>
      <w:r w:rsidRPr="004F5E56">
        <w:rPr>
          <w:rFonts w:eastAsia="Malgun Gothic"/>
          <w:bCs/>
          <w:lang w:val="fr-FR"/>
        </w:rPr>
        <w:t xml:space="preserve">une réflexion sur le processus </w:t>
      </w:r>
      <w:r>
        <w:rPr>
          <w:rFonts w:eastAsia="Malgun Gothic"/>
          <w:bCs/>
          <w:lang w:val="fr-FR"/>
        </w:rPr>
        <w:t xml:space="preserve">actuel </w:t>
      </w:r>
      <w:r w:rsidRPr="004F5E56">
        <w:rPr>
          <w:rFonts w:eastAsia="Malgun Gothic"/>
          <w:bCs/>
          <w:lang w:val="fr-FR"/>
        </w:rPr>
        <w:t>de rapport</w:t>
      </w:r>
      <w:r w:rsidR="00BC3271">
        <w:rPr>
          <w:rFonts w:eastAsia="Malgun Gothic"/>
          <w:bCs/>
          <w:lang w:val="fr-FR"/>
        </w:rPr>
        <w:t>s</w:t>
      </w:r>
      <w:r>
        <w:rPr>
          <w:rFonts w:eastAsia="Malgun Gothic"/>
          <w:bCs/>
          <w:lang w:val="fr-FR"/>
        </w:rPr>
        <w:t xml:space="preserve"> </w:t>
      </w:r>
      <w:r w:rsidRPr="004F5E56">
        <w:rPr>
          <w:rFonts w:eastAsia="Malgun Gothic"/>
          <w:bCs/>
          <w:lang w:val="fr-FR"/>
        </w:rPr>
        <w:t>périodique</w:t>
      </w:r>
      <w:r w:rsidR="00BC3271">
        <w:rPr>
          <w:rFonts w:eastAsia="Malgun Gothic"/>
          <w:bCs/>
          <w:lang w:val="fr-FR"/>
        </w:rPr>
        <w:t>s</w:t>
      </w:r>
      <w:r w:rsidRPr="004F5E56">
        <w:rPr>
          <w:rFonts w:eastAsia="Malgun Gothic"/>
          <w:bCs/>
          <w:lang w:val="fr-FR"/>
        </w:rPr>
        <w:t>, qui était long, exigeant et parfois même redondant, et ne correspondait donc pas aux capacités, ressources et calendriers limités de nombreux États parties, comme expliqué au point</w:t>
      </w:r>
      <w:r w:rsidR="00BC3271">
        <w:rPr>
          <w:rFonts w:eastAsia="Malgun Gothic"/>
          <w:bCs/>
          <w:lang w:val="fr-FR"/>
        </w:rPr>
        <w:t> </w:t>
      </w:r>
      <w:r w:rsidRPr="004F5E56">
        <w:rPr>
          <w:rFonts w:eastAsia="Malgun Gothic"/>
          <w:bCs/>
          <w:lang w:val="fr-FR"/>
        </w:rPr>
        <w:t>6.b. La délégation estimait que pour le deuxième cycle de rapports périodiques, le Secrétariat pourrait trouver un moyen d</w:t>
      </w:r>
      <w:r w:rsidR="00923E72">
        <w:rPr>
          <w:rFonts w:eastAsia="Malgun Gothic"/>
          <w:bCs/>
          <w:lang w:val="fr-FR"/>
        </w:rPr>
        <w:t>’</w:t>
      </w:r>
      <w:r w:rsidRPr="004F5E56">
        <w:rPr>
          <w:rFonts w:eastAsia="Malgun Gothic"/>
          <w:bCs/>
          <w:lang w:val="fr-FR"/>
        </w:rPr>
        <w:t>optimiser le système, tout en respectant le cadre global de résultats.</w:t>
      </w:r>
    </w:p>
    <w:p w14:paraId="4ED7B17D" w14:textId="759F1904" w:rsidR="004F5E56" w:rsidRDefault="00414CB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14CB9">
        <w:rPr>
          <w:rFonts w:eastAsia="Malgun Gothic"/>
          <w:bCs/>
          <w:lang w:val="fr-FR"/>
        </w:rPr>
        <w:t xml:space="preserve">La délégation du </w:t>
      </w:r>
      <w:r w:rsidRPr="00414CB9">
        <w:rPr>
          <w:rFonts w:eastAsia="Malgun Gothic"/>
          <w:b/>
          <w:lang w:val="fr-FR"/>
        </w:rPr>
        <w:t>Rwanda</w:t>
      </w:r>
      <w:r w:rsidRPr="00414CB9">
        <w:rPr>
          <w:rFonts w:eastAsia="Malgun Gothic"/>
          <w:bCs/>
          <w:lang w:val="fr-FR"/>
        </w:rPr>
        <w:t xml:space="preserve"> a remercié le Secrétariat pour la présentation du premier cycle de rapports périodiques sur la mise en œuvre de la Convention et sur l</w:t>
      </w:r>
      <w:r w:rsidR="00923E72">
        <w:rPr>
          <w:rFonts w:eastAsia="Malgun Gothic"/>
          <w:bCs/>
          <w:lang w:val="fr-FR"/>
        </w:rPr>
        <w:t>’</w:t>
      </w:r>
      <w:r w:rsidRPr="00414CB9">
        <w:rPr>
          <w:rFonts w:eastAsia="Malgun Gothic"/>
          <w:bCs/>
          <w:lang w:val="fr-FR"/>
        </w:rPr>
        <w:t xml:space="preserve">état actuel des éléments </w:t>
      </w:r>
      <w:r w:rsidRPr="00414CB9">
        <w:rPr>
          <w:rFonts w:eastAsia="Malgun Gothic"/>
          <w:bCs/>
          <w:lang w:val="fr-FR"/>
        </w:rPr>
        <w:lastRenderedPageBreak/>
        <w:t xml:space="preserve">inscrits sur la Liste représentative des États parties en Europe. Elle a félicité les États parties européens pour le travail effectué avec </w:t>
      </w:r>
      <w:r w:rsidR="000A6FAA">
        <w:rPr>
          <w:rFonts w:eastAsia="Malgun Gothic"/>
          <w:bCs/>
          <w:lang w:val="fr-FR"/>
        </w:rPr>
        <w:t xml:space="preserve">les </w:t>
      </w:r>
      <w:r w:rsidRPr="00414CB9">
        <w:rPr>
          <w:rFonts w:eastAsia="Malgun Gothic"/>
          <w:bCs/>
          <w:lang w:val="fr-FR"/>
        </w:rPr>
        <w:t>quarante</w:t>
      </w:r>
      <w:r w:rsidR="00BC3271">
        <w:rPr>
          <w:rFonts w:eastAsia="Malgun Gothic"/>
          <w:bCs/>
          <w:lang w:val="fr-FR"/>
        </w:rPr>
        <w:noBreakHyphen/>
      </w:r>
      <w:r w:rsidRPr="00414CB9">
        <w:rPr>
          <w:rFonts w:eastAsia="Malgun Gothic"/>
          <w:bCs/>
          <w:lang w:val="fr-FR"/>
        </w:rPr>
        <w:t xml:space="preserve">deux rapports soumis par leur région, tout en étant consciente des défis rencontrés dans </w:t>
      </w:r>
      <w:r>
        <w:rPr>
          <w:rFonts w:eastAsia="Malgun Gothic"/>
          <w:bCs/>
          <w:lang w:val="fr-FR"/>
        </w:rPr>
        <w:t xml:space="preserve">la réalisation de </w:t>
      </w:r>
      <w:r w:rsidRPr="00414CB9">
        <w:rPr>
          <w:rFonts w:eastAsia="Malgun Gothic"/>
          <w:bCs/>
          <w:lang w:val="fr-FR"/>
        </w:rPr>
        <w:t xml:space="preserve">cette tâche importante. La délégation </w:t>
      </w:r>
      <w:r>
        <w:rPr>
          <w:rFonts w:eastAsia="Malgun Gothic"/>
          <w:bCs/>
          <w:lang w:val="fr-FR"/>
        </w:rPr>
        <w:t>avait</w:t>
      </w:r>
      <w:r w:rsidRPr="00414CB9">
        <w:rPr>
          <w:rFonts w:eastAsia="Malgun Gothic"/>
          <w:bCs/>
          <w:lang w:val="fr-FR"/>
        </w:rPr>
        <w:t xml:space="preserve"> également conscien</w:t>
      </w:r>
      <w:r>
        <w:rPr>
          <w:rFonts w:eastAsia="Malgun Gothic"/>
          <w:bCs/>
          <w:lang w:val="fr-FR"/>
        </w:rPr>
        <w:t>ce</w:t>
      </w:r>
      <w:r w:rsidRPr="00414CB9">
        <w:rPr>
          <w:rFonts w:eastAsia="Malgun Gothic"/>
          <w:bCs/>
          <w:lang w:val="fr-FR"/>
        </w:rPr>
        <w:t xml:space="preserve"> que des efforts accrus avaient été nécessaires pour produire ces rapports consultatifs pendant la pandémie du COVID</w:t>
      </w:r>
      <w:r>
        <w:rPr>
          <w:rFonts w:eastAsia="Malgun Gothic"/>
          <w:bCs/>
          <w:lang w:val="fr-FR"/>
        </w:rPr>
        <w:noBreakHyphen/>
      </w:r>
      <w:r w:rsidRPr="00414CB9">
        <w:rPr>
          <w:rFonts w:eastAsia="Malgun Gothic"/>
          <w:bCs/>
          <w:lang w:val="fr-FR"/>
        </w:rPr>
        <w:t>19, comme ce fut le cas lors de la seizième session du Comité à l</w:t>
      </w:r>
      <w:r w:rsidR="00923E72">
        <w:rPr>
          <w:rFonts w:eastAsia="Malgun Gothic"/>
          <w:bCs/>
          <w:lang w:val="fr-FR"/>
        </w:rPr>
        <w:t>’</w:t>
      </w:r>
      <w:r w:rsidRPr="00414CB9">
        <w:rPr>
          <w:rFonts w:eastAsia="Malgun Gothic"/>
          <w:bCs/>
          <w:lang w:val="fr-FR"/>
        </w:rPr>
        <w:t>occasion de la présentation des rapports du premier cycle pour les États d</w:t>
      </w:r>
      <w:r>
        <w:rPr>
          <w:rFonts w:eastAsia="Malgun Gothic"/>
          <w:bCs/>
          <w:lang w:val="fr-FR"/>
        </w:rPr>
        <w:t xml:space="preserve">e la région </w:t>
      </w:r>
      <w:r w:rsidRPr="00414CB9">
        <w:rPr>
          <w:rFonts w:eastAsia="Malgun Gothic"/>
          <w:bCs/>
          <w:lang w:val="fr-FR"/>
        </w:rPr>
        <w:t xml:space="preserve">Amérique latine et Caraïbes. Ces rapports constituaient un bon exemple pour la première évaluation à venir de la région Afrique. Le Rwanda soutenait la </w:t>
      </w:r>
      <w:r w:rsidR="000A6FAA">
        <w:rPr>
          <w:rFonts w:eastAsia="Malgun Gothic"/>
          <w:bCs/>
          <w:lang w:val="fr-FR"/>
        </w:rPr>
        <w:t xml:space="preserve">position </w:t>
      </w:r>
      <w:r w:rsidRPr="00414CB9">
        <w:rPr>
          <w:rFonts w:eastAsia="Malgun Gothic"/>
          <w:bCs/>
          <w:lang w:val="fr-FR"/>
        </w:rPr>
        <w:t>défendue par l</w:t>
      </w:r>
      <w:r w:rsidR="00923E72">
        <w:rPr>
          <w:rFonts w:eastAsia="Malgun Gothic"/>
          <w:bCs/>
          <w:lang w:val="fr-FR"/>
        </w:rPr>
        <w:t>’</w:t>
      </w:r>
      <w:r w:rsidRPr="00414CB9">
        <w:rPr>
          <w:rFonts w:eastAsia="Malgun Gothic"/>
          <w:bCs/>
          <w:lang w:val="fr-FR"/>
        </w:rPr>
        <w:t>Éthiopie concernant les difficultés liées aux ressources et au renforcement des capacités de l</w:t>
      </w:r>
      <w:r w:rsidR="00923E72">
        <w:rPr>
          <w:rFonts w:eastAsia="Malgun Gothic"/>
          <w:bCs/>
          <w:lang w:val="fr-FR"/>
        </w:rPr>
        <w:t>’</w:t>
      </w:r>
      <w:r w:rsidRPr="00414CB9">
        <w:rPr>
          <w:rFonts w:eastAsia="Malgun Gothic"/>
          <w:bCs/>
          <w:lang w:val="fr-FR"/>
        </w:rPr>
        <w:t>Afrique dans le cadre de la préparation de ces rapports. Une approche régionale était sans aucun doute un outil utile et efficace pour sensibiliser à l</w:t>
      </w:r>
      <w:r w:rsidR="00923E72">
        <w:rPr>
          <w:rFonts w:eastAsia="Malgun Gothic"/>
          <w:bCs/>
          <w:lang w:val="fr-FR"/>
        </w:rPr>
        <w:t>’</w:t>
      </w:r>
      <w:r w:rsidRPr="00414CB9">
        <w:rPr>
          <w:rFonts w:eastAsia="Malgun Gothic"/>
          <w:bCs/>
          <w:lang w:val="fr-FR"/>
        </w:rPr>
        <w:t>importance de consultations plus larges et de la collaboration des parties prenantes concernées.</w:t>
      </w:r>
    </w:p>
    <w:p w14:paraId="5A9E4F95" w14:textId="51E3F67B" w:rsidR="00414CB9" w:rsidRDefault="00414CB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414CB9">
        <w:rPr>
          <w:rFonts w:eastAsia="Malgun Gothic"/>
          <w:b/>
          <w:lang w:val="fr-FR"/>
        </w:rPr>
        <w:t>Président</w:t>
      </w:r>
      <w:r>
        <w:rPr>
          <w:rFonts w:eastAsia="Malgun Gothic"/>
          <w:bCs/>
          <w:lang w:val="fr-FR"/>
        </w:rPr>
        <w:t xml:space="preserve"> a invité le </w:t>
      </w:r>
      <w:r w:rsidRPr="00414CB9">
        <w:rPr>
          <w:rFonts w:eastAsia="Malgun Gothic"/>
          <w:bCs/>
          <w:lang w:val="fr-FR"/>
        </w:rPr>
        <w:t>Secrétaire</w:t>
      </w:r>
      <w:r>
        <w:rPr>
          <w:rFonts w:eastAsia="Malgun Gothic"/>
          <w:bCs/>
          <w:lang w:val="fr-FR"/>
        </w:rPr>
        <w:t xml:space="preserve"> à répondre aux </w:t>
      </w:r>
      <w:r w:rsidRPr="00414CB9">
        <w:rPr>
          <w:rFonts w:eastAsia="Malgun Gothic"/>
          <w:bCs/>
          <w:lang w:val="fr-FR"/>
        </w:rPr>
        <w:t>interventio</w:t>
      </w:r>
      <w:r>
        <w:rPr>
          <w:rFonts w:eastAsia="Malgun Gothic"/>
          <w:bCs/>
          <w:lang w:val="fr-FR"/>
        </w:rPr>
        <w:t>ns.</w:t>
      </w:r>
    </w:p>
    <w:p w14:paraId="3173BFA0" w14:textId="4DAFC988" w:rsidR="00414CB9" w:rsidRDefault="00A457E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A457E4">
        <w:rPr>
          <w:rFonts w:eastAsia="Malgun Gothic"/>
          <w:bCs/>
          <w:lang w:val="fr-FR"/>
        </w:rPr>
        <w:t xml:space="preserve">Le </w:t>
      </w:r>
      <w:r w:rsidRPr="00A457E4">
        <w:rPr>
          <w:rFonts w:eastAsia="Malgun Gothic"/>
          <w:b/>
          <w:lang w:val="fr-FR"/>
        </w:rPr>
        <w:t>Secrétaire</w:t>
      </w:r>
      <w:r w:rsidRPr="00A457E4">
        <w:rPr>
          <w:rFonts w:eastAsia="Malgun Gothic"/>
          <w:bCs/>
          <w:lang w:val="fr-FR"/>
        </w:rPr>
        <w:t xml:space="preserve"> avait noté deux séries de questions. L</w:t>
      </w:r>
      <w:r w:rsidR="00923E72">
        <w:rPr>
          <w:rFonts w:eastAsia="Malgun Gothic"/>
          <w:bCs/>
          <w:lang w:val="fr-FR"/>
        </w:rPr>
        <w:t>’</w:t>
      </w:r>
      <w:r w:rsidRPr="00A457E4">
        <w:rPr>
          <w:rFonts w:eastAsia="Malgun Gothic"/>
          <w:bCs/>
          <w:lang w:val="fr-FR"/>
        </w:rPr>
        <w:t>une d</w:t>
      </w:r>
      <w:r w:rsidR="00923E72">
        <w:rPr>
          <w:rFonts w:eastAsia="Malgun Gothic"/>
          <w:bCs/>
          <w:lang w:val="fr-FR"/>
        </w:rPr>
        <w:t>’</w:t>
      </w:r>
      <w:r w:rsidRPr="00A457E4">
        <w:rPr>
          <w:rFonts w:eastAsia="Malgun Gothic"/>
          <w:bCs/>
          <w:lang w:val="fr-FR"/>
        </w:rPr>
        <w:t xml:space="preserve">entre elles concernait la simplification des formulaires et leur complexité, dont le Secrétariat était bien conscient. </w:t>
      </w:r>
      <w:r w:rsidR="00C606DD">
        <w:rPr>
          <w:rFonts w:eastAsia="Malgun Gothic"/>
          <w:bCs/>
          <w:lang w:val="fr-FR"/>
        </w:rPr>
        <w:t>En effet, l</w:t>
      </w:r>
      <w:r w:rsidRPr="00A457E4">
        <w:rPr>
          <w:rFonts w:eastAsia="Malgun Gothic"/>
          <w:bCs/>
          <w:lang w:val="fr-FR"/>
        </w:rPr>
        <w:t>e formulaire de rapport périodique était strictement basé sur le cadre global de résultats qui requiert une série très complète d</w:t>
      </w:r>
      <w:r w:rsidR="00923E72">
        <w:rPr>
          <w:rFonts w:eastAsia="Malgun Gothic"/>
          <w:bCs/>
          <w:lang w:val="fr-FR"/>
        </w:rPr>
        <w:t>’</w:t>
      </w:r>
      <w:r w:rsidRPr="00A457E4">
        <w:rPr>
          <w:rFonts w:eastAsia="Malgun Gothic"/>
          <w:bCs/>
          <w:lang w:val="fr-FR"/>
        </w:rPr>
        <w:t>informations</w:t>
      </w:r>
      <w:r w:rsidR="00C606DD">
        <w:rPr>
          <w:rFonts w:eastAsia="Malgun Gothic"/>
          <w:bCs/>
          <w:lang w:val="fr-FR"/>
        </w:rPr>
        <w:t xml:space="preserve">. En conséquence, </w:t>
      </w:r>
      <w:r w:rsidRPr="00A457E4">
        <w:rPr>
          <w:rFonts w:eastAsia="Malgun Gothic"/>
          <w:bCs/>
          <w:lang w:val="fr-FR"/>
        </w:rPr>
        <w:t>le Secrétariat avait l</w:t>
      </w:r>
      <w:r w:rsidR="00923E72">
        <w:rPr>
          <w:rFonts w:eastAsia="Malgun Gothic"/>
          <w:bCs/>
          <w:lang w:val="fr-FR"/>
        </w:rPr>
        <w:t>’</w:t>
      </w:r>
      <w:r w:rsidRPr="00A457E4">
        <w:rPr>
          <w:rFonts w:eastAsia="Malgun Gothic"/>
          <w:bCs/>
          <w:lang w:val="fr-FR"/>
        </w:rPr>
        <w:t xml:space="preserve">intention de travailler sur la manière de simplifier et de rationaliser le formulaire, étant donné que le cadre global de résultats était élaboré dans un but différent, et pas nécessairement pour </w:t>
      </w:r>
      <w:r w:rsidR="00C606DD">
        <w:rPr>
          <w:rFonts w:eastAsia="Malgun Gothic"/>
          <w:bCs/>
          <w:lang w:val="fr-FR"/>
        </w:rPr>
        <w:t xml:space="preserve">que </w:t>
      </w:r>
      <w:r w:rsidRPr="00A457E4">
        <w:rPr>
          <w:rFonts w:eastAsia="Malgun Gothic"/>
          <w:bCs/>
          <w:lang w:val="fr-FR"/>
        </w:rPr>
        <w:t>chaque État répond</w:t>
      </w:r>
      <w:r w:rsidR="00C606DD">
        <w:rPr>
          <w:rFonts w:eastAsia="Malgun Gothic"/>
          <w:bCs/>
          <w:lang w:val="fr-FR"/>
        </w:rPr>
        <w:t>e</w:t>
      </w:r>
      <w:r w:rsidRPr="00A457E4">
        <w:rPr>
          <w:rFonts w:eastAsia="Malgun Gothic"/>
          <w:bCs/>
          <w:lang w:val="fr-FR"/>
        </w:rPr>
        <w:t xml:space="preserve"> à chaque question. S</w:t>
      </w:r>
      <w:r w:rsidR="00923E72">
        <w:rPr>
          <w:rFonts w:eastAsia="Malgun Gothic"/>
          <w:bCs/>
          <w:lang w:val="fr-FR"/>
        </w:rPr>
        <w:t>’</w:t>
      </w:r>
      <w:r w:rsidRPr="00A457E4">
        <w:rPr>
          <w:rFonts w:eastAsia="Malgun Gothic"/>
          <w:bCs/>
          <w:lang w:val="fr-FR"/>
        </w:rPr>
        <w:t xml:space="preserve">agissant </w:t>
      </w:r>
      <w:r w:rsidR="00C606DD">
        <w:rPr>
          <w:rFonts w:eastAsia="Malgun Gothic"/>
          <w:bCs/>
          <w:lang w:val="fr-FR"/>
        </w:rPr>
        <w:t xml:space="preserve">des défis auxquels était confrontée </w:t>
      </w:r>
      <w:r w:rsidRPr="00A457E4">
        <w:rPr>
          <w:rFonts w:eastAsia="Malgun Gothic"/>
          <w:bCs/>
          <w:lang w:val="fr-FR"/>
        </w:rPr>
        <w:t>l</w:t>
      </w:r>
      <w:r w:rsidR="00923E72">
        <w:rPr>
          <w:rFonts w:eastAsia="Malgun Gothic"/>
          <w:bCs/>
          <w:lang w:val="fr-FR"/>
        </w:rPr>
        <w:t>’</w:t>
      </w:r>
      <w:r w:rsidRPr="00A457E4">
        <w:rPr>
          <w:rFonts w:eastAsia="Malgun Gothic"/>
          <w:bCs/>
          <w:lang w:val="fr-FR"/>
        </w:rPr>
        <w:t>Afrique, le Secrétariat s</w:t>
      </w:r>
      <w:r w:rsidR="00923E72">
        <w:rPr>
          <w:rFonts w:eastAsia="Malgun Gothic"/>
          <w:bCs/>
          <w:lang w:val="fr-FR"/>
        </w:rPr>
        <w:t>’</w:t>
      </w:r>
      <w:r w:rsidRPr="00A457E4">
        <w:rPr>
          <w:rFonts w:eastAsia="Malgun Gothic"/>
          <w:bCs/>
          <w:lang w:val="fr-FR"/>
        </w:rPr>
        <w:t>employait déjà à former des formateurs et à travailler avec les points focaux. Il était bien conscient de la nécessité de renforcer les capacités de la région Afrique, mais le Secrétariat pensait qu</w:t>
      </w:r>
      <w:r w:rsidR="00923E72">
        <w:rPr>
          <w:rFonts w:eastAsia="Malgun Gothic"/>
          <w:bCs/>
          <w:lang w:val="fr-FR"/>
        </w:rPr>
        <w:t>’</w:t>
      </w:r>
      <w:r w:rsidRPr="00A457E4">
        <w:rPr>
          <w:rFonts w:eastAsia="Malgun Gothic"/>
          <w:bCs/>
          <w:lang w:val="fr-FR"/>
        </w:rPr>
        <w:t>il s</w:t>
      </w:r>
      <w:r w:rsidR="00923E72">
        <w:rPr>
          <w:rFonts w:eastAsia="Malgun Gothic"/>
          <w:bCs/>
          <w:lang w:val="fr-FR"/>
        </w:rPr>
        <w:t>’</w:t>
      </w:r>
      <w:r w:rsidRPr="00A457E4">
        <w:rPr>
          <w:rFonts w:eastAsia="Malgun Gothic"/>
          <w:bCs/>
          <w:lang w:val="fr-FR"/>
        </w:rPr>
        <w:t>agissait d</w:t>
      </w:r>
      <w:r w:rsidR="00923E72">
        <w:rPr>
          <w:rFonts w:eastAsia="Malgun Gothic"/>
          <w:bCs/>
          <w:lang w:val="fr-FR"/>
        </w:rPr>
        <w:t>’</w:t>
      </w:r>
      <w:r w:rsidRPr="00A457E4">
        <w:rPr>
          <w:rFonts w:eastAsia="Malgun Gothic"/>
          <w:bCs/>
          <w:lang w:val="fr-FR"/>
        </w:rPr>
        <w:t>une occasion d</w:t>
      </w:r>
      <w:r w:rsidR="00923E72">
        <w:rPr>
          <w:rFonts w:eastAsia="Malgun Gothic"/>
          <w:bCs/>
          <w:lang w:val="fr-FR"/>
        </w:rPr>
        <w:t>’</w:t>
      </w:r>
      <w:r w:rsidR="00C606DD">
        <w:rPr>
          <w:rFonts w:eastAsia="Malgun Gothic"/>
          <w:bCs/>
          <w:lang w:val="fr-FR"/>
        </w:rPr>
        <w:t xml:space="preserve">encourager </w:t>
      </w:r>
      <w:r w:rsidRPr="00A457E4">
        <w:rPr>
          <w:rFonts w:eastAsia="Malgun Gothic"/>
          <w:bCs/>
          <w:lang w:val="fr-FR"/>
        </w:rPr>
        <w:t>davantage de soumissions, de renforcer davantage les capacités, ce pour quoi le Secrétariat avait besoin d</w:t>
      </w:r>
      <w:r w:rsidR="00923E72">
        <w:rPr>
          <w:rFonts w:eastAsia="Malgun Gothic"/>
          <w:bCs/>
          <w:lang w:val="fr-FR"/>
        </w:rPr>
        <w:t>’</w:t>
      </w:r>
      <w:r w:rsidRPr="00A457E4">
        <w:rPr>
          <w:rFonts w:eastAsia="Malgun Gothic"/>
          <w:bCs/>
          <w:lang w:val="fr-FR"/>
        </w:rPr>
        <w:t>un soutien financier. Il attendait des nouvelles de plusieurs membres de l</w:t>
      </w:r>
      <w:r w:rsidR="00923E72">
        <w:rPr>
          <w:rFonts w:eastAsia="Malgun Gothic"/>
          <w:bCs/>
          <w:lang w:val="fr-FR"/>
        </w:rPr>
        <w:t>’</w:t>
      </w:r>
      <w:r w:rsidRPr="00A457E4">
        <w:rPr>
          <w:rFonts w:eastAsia="Malgun Gothic"/>
          <w:bCs/>
          <w:lang w:val="fr-FR"/>
        </w:rPr>
        <w:t>UNESCO à cet égard. En effet, sa capacité à fournir un renforcement des capacités serait directement liée au financement reçu.</w:t>
      </w:r>
    </w:p>
    <w:p w14:paraId="57E586FF" w14:textId="54A1F0FF" w:rsidR="00A457E4" w:rsidRDefault="00A457E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A457E4">
        <w:rPr>
          <w:rFonts w:eastAsia="Malgun Gothic"/>
          <w:b/>
          <w:lang w:val="fr-FR"/>
        </w:rPr>
        <w:t>Président</w:t>
      </w:r>
      <w:r>
        <w:rPr>
          <w:rFonts w:eastAsia="Malgun Gothic"/>
          <w:bCs/>
          <w:lang w:val="fr-FR"/>
        </w:rPr>
        <w:t xml:space="preserve"> a remercié le </w:t>
      </w:r>
      <w:r w:rsidRPr="00A457E4">
        <w:rPr>
          <w:rFonts w:eastAsia="Malgun Gothic"/>
          <w:bCs/>
          <w:lang w:val="fr-FR"/>
        </w:rPr>
        <w:t>Secrétaire</w:t>
      </w:r>
      <w:r>
        <w:rPr>
          <w:rFonts w:eastAsia="Malgun Gothic"/>
          <w:bCs/>
          <w:lang w:val="fr-FR"/>
        </w:rPr>
        <w:t xml:space="preserve"> et a donné la parole aux </w:t>
      </w:r>
      <w:r w:rsidRPr="00A457E4">
        <w:rPr>
          <w:rFonts w:eastAsia="Malgun Gothic"/>
          <w:bCs/>
          <w:lang w:val="fr-FR"/>
        </w:rPr>
        <w:t>observateurs</w:t>
      </w:r>
      <w:r>
        <w:rPr>
          <w:rFonts w:eastAsia="Malgun Gothic"/>
          <w:bCs/>
          <w:lang w:val="fr-FR"/>
        </w:rPr>
        <w:t>.</w:t>
      </w:r>
    </w:p>
    <w:p w14:paraId="63A754B4" w14:textId="4ACA6BF9" w:rsidR="00A457E4" w:rsidRDefault="0043211B"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3211B">
        <w:rPr>
          <w:rFonts w:eastAsia="Malgun Gothic"/>
          <w:bCs/>
          <w:lang w:val="fr-FR"/>
        </w:rPr>
        <w:t>La délégation de l</w:t>
      </w:r>
      <w:r w:rsidR="00923E72">
        <w:rPr>
          <w:rFonts w:eastAsia="Malgun Gothic"/>
          <w:bCs/>
          <w:lang w:val="fr-FR"/>
        </w:rPr>
        <w:t>’</w:t>
      </w:r>
      <w:r w:rsidRPr="0043211B">
        <w:rPr>
          <w:rFonts w:eastAsia="Malgun Gothic"/>
          <w:b/>
          <w:lang w:val="fr-FR"/>
        </w:rPr>
        <w:t>Italie</w:t>
      </w:r>
      <w:r w:rsidRPr="0043211B">
        <w:rPr>
          <w:rFonts w:eastAsia="Malgun Gothic"/>
          <w:bCs/>
          <w:lang w:val="fr-FR"/>
        </w:rPr>
        <w:t xml:space="preserve"> a félicité le Maroc, l</w:t>
      </w:r>
      <w:r w:rsidR="00923E72">
        <w:rPr>
          <w:rFonts w:eastAsia="Malgun Gothic"/>
          <w:bCs/>
          <w:lang w:val="fr-FR"/>
        </w:rPr>
        <w:t>’</w:t>
      </w:r>
      <w:r w:rsidRPr="0043211B">
        <w:rPr>
          <w:rFonts w:eastAsia="Malgun Gothic"/>
          <w:bCs/>
          <w:lang w:val="fr-FR"/>
        </w:rPr>
        <w:t>UNESCO et le Secrétariat pour l</w:t>
      </w:r>
      <w:r w:rsidR="00923E72">
        <w:rPr>
          <w:rFonts w:eastAsia="Malgun Gothic"/>
          <w:bCs/>
          <w:lang w:val="fr-FR"/>
        </w:rPr>
        <w:t>’</w:t>
      </w:r>
      <w:r w:rsidRPr="0043211B">
        <w:rPr>
          <w:rFonts w:eastAsia="Malgun Gothic"/>
          <w:bCs/>
          <w:lang w:val="fr-FR"/>
        </w:rPr>
        <w:t>organisation extraordinaire et l</w:t>
      </w:r>
      <w:r w:rsidR="00923E72">
        <w:rPr>
          <w:rFonts w:eastAsia="Malgun Gothic"/>
          <w:bCs/>
          <w:lang w:val="fr-FR"/>
        </w:rPr>
        <w:t>’</w:t>
      </w:r>
      <w:r w:rsidRPr="0043211B">
        <w:rPr>
          <w:rFonts w:eastAsia="Malgun Gothic"/>
          <w:bCs/>
          <w:lang w:val="fr-FR"/>
        </w:rPr>
        <w:t xml:space="preserve">opportunité de se rencontrer à nouveau en </w:t>
      </w:r>
      <w:r w:rsidR="00A578FD">
        <w:rPr>
          <w:bCs/>
          <w:lang w:val="fr-FR"/>
        </w:rPr>
        <w:t xml:space="preserve">personne </w:t>
      </w:r>
      <w:r w:rsidRPr="0043211B">
        <w:rPr>
          <w:rFonts w:eastAsia="Malgun Gothic"/>
          <w:bCs/>
          <w:lang w:val="fr-FR"/>
        </w:rPr>
        <w:t>après une longue période. La pandémie avait affecté les personnes, les sociétés et la vie quotidienne et culturelle. L</w:t>
      </w:r>
      <w:r w:rsidR="00923E72">
        <w:rPr>
          <w:rFonts w:eastAsia="Malgun Gothic"/>
          <w:bCs/>
          <w:lang w:val="fr-FR"/>
        </w:rPr>
        <w:t>’</w:t>
      </w:r>
      <w:r w:rsidRPr="0043211B">
        <w:rPr>
          <w:rFonts w:eastAsia="Malgun Gothic"/>
          <w:bCs/>
          <w:lang w:val="fr-FR"/>
        </w:rPr>
        <w:t>analyse complète et détaillée des rapports périodiques sur la mise en œuvre de la Convention révélait que le mécanisme de suivi est essentiel, tout comme l</w:t>
      </w:r>
      <w:r w:rsidR="00923E72">
        <w:rPr>
          <w:rFonts w:eastAsia="Malgun Gothic"/>
          <w:bCs/>
          <w:lang w:val="fr-FR"/>
        </w:rPr>
        <w:t>’</w:t>
      </w:r>
      <w:r w:rsidRPr="0043211B">
        <w:rPr>
          <w:rFonts w:eastAsia="Malgun Gothic"/>
          <w:bCs/>
          <w:lang w:val="fr-FR"/>
        </w:rPr>
        <w:t>exercice visant à contribuer efficacement à une approche de sauvegarde aux niveaux communautaire, national et international. Les activités de renforcement des capacités, telles que définies par le Secrétariat en coopération avec les centres de catégorie</w:t>
      </w:r>
      <w:r w:rsidR="00BC3271">
        <w:rPr>
          <w:rFonts w:eastAsia="Malgun Gothic"/>
          <w:bCs/>
          <w:lang w:val="fr-FR"/>
        </w:rPr>
        <w:t> </w:t>
      </w:r>
      <w:r w:rsidRPr="0043211B">
        <w:rPr>
          <w:rFonts w:eastAsia="Malgun Gothic"/>
          <w:bCs/>
          <w:lang w:val="fr-FR"/>
        </w:rPr>
        <w:t>2</w:t>
      </w:r>
      <w:r w:rsidR="00C606DD">
        <w:rPr>
          <w:rFonts w:eastAsia="Malgun Gothic"/>
          <w:bCs/>
          <w:lang w:val="fr-FR"/>
        </w:rPr>
        <w:t xml:space="preserve">, </w:t>
      </w:r>
      <w:r w:rsidRPr="0043211B">
        <w:rPr>
          <w:rFonts w:eastAsia="Malgun Gothic"/>
          <w:bCs/>
          <w:lang w:val="fr-FR"/>
        </w:rPr>
        <w:t xml:space="preserve">les facilitateurs </w:t>
      </w:r>
      <w:r w:rsidR="00C606DD">
        <w:rPr>
          <w:rFonts w:eastAsia="Malgun Gothic"/>
          <w:bCs/>
          <w:lang w:val="fr-FR"/>
        </w:rPr>
        <w:t xml:space="preserve">et </w:t>
      </w:r>
      <w:r w:rsidRPr="0043211B">
        <w:rPr>
          <w:rFonts w:eastAsia="Malgun Gothic"/>
          <w:bCs/>
          <w:lang w:val="fr-FR"/>
        </w:rPr>
        <w:t>les points focaux, servaient à approfondir l</w:t>
      </w:r>
      <w:r w:rsidR="00923E72">
        <w:rPr>
          <w:rFonts w:eastAsia="Malgun Gothic"/>
          <w:bCs/>
          <w:lang w:val="fr-FR"/>
        </w:rPr>
        <w:t>’</w:t>
      </w:r>
      <w:r w:rsidRPr="0043211B">
        <w:rPr>
          <w:rFonts w:eastAsia="Malgun Gothic"/>
          <w:bCs/>
          <w:lang w:val="fr-FR"/>
        </w:rPr>
        <w:t>engagement sur le travail de base sur le patrimoine culturel immatériel, en particulier en renforçant la participation et les capacités institutionnelles des communautés pour assurer l</w:t>
      </w:r>
      <w:r w:rsidR="00923E72">
        <w:rPr>
          <w:rFonts w:eastAsia="Malgun Gothic"/>
          <w:bCs/>
          <w:lang w:val="fr-FR"/>
        </w:rPr>
        <w:t>’</w:t>
      </w:r>
      <w:r w:rsidRPr="0043211B">
        <w:rPr>
          <w:rFonts w:eastAsia="Malgun Gothic"/>
          <w:bCs/>
          <w:lang w:val="fr-FR"/>
        </w:rPr>
        <w:t>inclusion des jeunes, en augmentant l</w:t>
      </w:r>
      <w:r w:rsidR="00923E72">
        <w:rPr>
          <w:rFonts w:eastAsia="Malgun Gothic"/>
          <w:bCs/>
          <w:lang w:val="fr-FR"/>
        </w:rPr>
        <w:t>’</w:t>
      </w:r>
      <w:r w:rsidRPr="0043211B">
        <w:rPr>
          <w:rFonts w:eastAsia="Malgun Gothic"/>
          <w:bCs/>
          <w:lang w:val="fr-FR"/>
        </w:rPr>
        <w:t>importance de la transmission du patrimoine culturel immatériel dans l</w:t>
      </w:r>
      <w:r w:rsidR="00923E72">
        <w:rPr>
          <w:rFonts w:eastAsia="Malgun Gothic"/>
          <w:bCs/>
          <w:lang w:val="fr-FR"/>
        </w:rPr>
        <w:t>’</w:t>
      </w:r>
      <w:r w:rsidRPr="0043211B">
        <w:rPr>
          <w:rFonts w:eastAsia="Malgun Gothic"/>
          <w:bCs/>
          <w:lang w:val="fr-FR"/>
        </w:rPr>
        <w:t>éducation et en réfléchissant à la durabilité pour l</w:t>
      </w:r>
      <w:r w:rsidR="00923E72">
        <w:rPr>
          <w:rFonts w:eastAsia="Malgun Gothic"/>
          <w:bCs/>
          <w:lang w:val="fr-FR"/>
        </w:rPr>
        <w:t>’</w:t>
      </w:r>
      <w:r w:rsidRPr="0043211B">
        <w:rPr>
          <w:rFonts w:eastAsia="Malgun Gothic"/>
          <w:bCs/>
          <w:lang w:val="fr-FR"/>
        </w:rPr>
        <w:t xml:space="preserve">avenir. La conférence MONDIACULT avait déclaré que la culture </w:t>
      </w:r>
      <w:r w:rsidR="005147ED">
        <w:rPr>
          <w:rFonts w:eastAsia="Malgun Gothic"/>
          <w:bCs/>
          <w:lang w:val="fr-FR"/>
        </w:rPr>
        <w:t xml:space="preserve">est </w:t>
      </w:r>
      <w:r w:rsidRPr="0043211B">
        <w:rPr>
          <w:rFonts w:eastAsia="Malgun Gothic"/>
          <w:bCs/>
          <w:lang w:val="fr-FR"/>
        </w:rPr>
        <w:t>un bien commun mondial. Dans ce cadre, le patrimoine culturel immatériel était un pilier culturel pour une société responsable et un développement durable, et constituait un élément essentiel des plans de sauvegarde permettant aux nouvelles générations de mettre en pratique les connaissances traditionnelles, même en cas d</w:t>
      </w:r>
      <w:r w:rsidR="00923E72">
        <w:rPr>
          <w:rFonts w:eastAsia="Malgun Gothic"/>
          <w:bCs/>
          <w:lang w:val="fr-FR"/>
        </w:rPr>
        <w:t>’</w:t>
      </w:r>
      <w:r w:rsidRPr="0043211B">
        <w:rPr>
          <w:rFonts w:eastAsia="Malgun Gothic"/>
          <w:bCs/>
          <w:lang w:val="fr-FR"/>
        </w:rPr>
        <w:t>intervention d</w:t>
      </w:r>
      <w:r w:rsidR="00923E72">
        <w:rPr>
          <w:rFonts w:eastAsia="Malgun Gothic"/>
          <w:bCs/>
          <w:lang w:val="fr-FR"/>
        </w:rPr>
        <w:t>’</w:t>
      </w:r>
      <w:r w:rsidRPr="0043211B">
        <w:rPr>
          <w:rFonts w:eastAsia="Malgun Gothic"/>
          <w:bCs/>
          <w:lang w:val="fr-FR"/>
        </w:rPr>
        <w:t>urgence.</w:t>
      </w:r>
    </w:p>
    <w:p w14:paraId="1043C673" w14:textId="1DFBA08C" w:rsidR="005147ED" w:rsidRDefault="005147E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5147ED">
        <w:rPr>
          <w:rFonts w:eastAsia="Malgun Gothic"/>
          <w:b/>
          <w:lang w:val="fr-FR"/>
        </w:rPr>
        <w:t>Président</w:t>
      </w:r>
      <w:r>
        <w:rPr>
          <w:rFonts w:eastAsia="Malgun Gothic"/>
          <w:bCs/>
          <w:lang w:val="fr-FR"/>
        </w:rPr>
        <w:t xml:space="preserve"> a insisté afin que les </w:t>
      </w:r>
      <w:r w:rsidRPr="005147ED">
        <w:rPr>
          <w:rFonts w:eastAsia="Malgun Gothic"/>
          <w:bCs/>
          <w:lang w:val="fr-FR"/>
        </w:rPr>
        <w:t>observateurs</w:t>
      </w:r>
      <w:r>
        <w:rPr>
          <w:rFonts w:eastAsia="Malgun Gothic"/>
          <w:bCs/>
          <w:lang w:val="fr-FR"/>
        </w:rPr>
        <w:t xml:space="preserve"> respectent la règle limitant leur </w:t>
      </w:r>
      <w:r w:rsidRPr="005147ED">
        <w:rPr>
          <w:rFonts w:eastAsia="Malgun Gothic"/>
          <w:bCs/>
          <w:lang w:val="fr-FR"/>
        </w:rPr>
        <w:t>intervention</w:t>
      </w:r>
      <w:r>
        <w:rPr>
          <w:rFonts w:eastAsia="Malgun Gothic"/>
          <w:bCs/>
          <w:lang w:val="fr-FR"/>
        </w:rPr>
        <w:t xml:space="preserve"> à une minute.</w:t>
      </w:r>
    </w:p>
    <w:p w14:paraId="0F7FB2CE" w14:textId="0AF762F2" w:rsidR="005147ED" w:rsidRDefault="005147E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5147ED">
        <w:rPr>
          <w:rFonts w:eastAsia="Malgun Gothic"/>
          <w:bCs/>
          <w:lang w:val="fr-FR"/>
        </w:rPr>
        <w:t>La délégation de l</w:t>
      </w:r>
      <w:r w:rsidR="00923E72">
        <w:rPr>
          <w:rFonts w:eastAsia="Malgun Gothic"/>
          <w:bCs/>
          <w:lang w:val="fr-FR"/>
        </w:rPr>
        <w:t>’</w:t>
      </w:r>
      <w:r w:rsidRPr="005147ED">
        <w:rPr>
          <w:rFonts w:eastAsia="Malgun Gothic"/>
          <w:b/>
          <w:lang w:val="fr-FR"/>
        </w:rPr>
        <w:t>Arménie</w:t>
      </w:r>
      <w:r w:rsidRPr="005147ED">
        <w:rPr>
          <w:rFonts w:eastAsia="Malgun Gothic"/>
          <w:bCs/>
          <w:lang w:val="fr-FR"/>
        </w:rPr>
        <w:t xml:space="preserve"> a remercié le Secrétariat pour le résumé analytique des rapports périodiques. L</w:t>
      </w:r>
      <w:r w:rsidR="00923E72">
        <w:rPr>
          <w:rFonts w:eastAsia="Malgun Gothic"/>
          <w:bCs/>
          <w:lang w:val="fr-FR"/>
        </w:rPr>
        <w:t>’</w:t>
      </w:r>
      <w:r w:rsidRPr="005147ED">
        <w:rPr>
          <w:rFonts w:eastAsia="Malgun Gothic"/>
          <w:bCs/>
          <w:lang w:val="fr-FR"/>
        </w:rPr>
        <w:t>Arménie était heureuse de présenter son rapport sous une nouvelle forme dans laquelle elle décrivait tout le travail accompli dans le pays au cours des dernières années, y compris pendant la pandémie de COVID</w:t>
      </w:r>
      <w:r w:rsidR="00684589">
        <w:rPr>
          <w:rFonts w:eastAsia="Malgun Gothic"/>
          <w:bCs/>
          <w:lang w:val="fr-FR"/>
        </w:rPr>
        <w:noBreakHyphen/>
      </w:r>
      <w:r w:rsidRPr="005147ED">
        <w:rPr>
          <w:rFonts w:eastAsia="Malgun Gothic"/>
          <w:bCs/>
          <w:lang w:val="fr-FR"/>
        </w:rPr>
        <w:t>19. La délégation a reconnu que son rapport faisait référence à l</w:t>
      </w:r>
      <w:r w:rsidR="00923E72">
        <w:rPr>
          <w:rFonts w:eastAsia="Malgun Gothic"/>
          <w:bCs/>
          <w:lang w:val="fr-FR"/>
        </w:rPr>
        <w:t>’</w:t>
      </w:r>
      <w:r w:rsidRPr="005147ED">
        <w:rPr>
          <w:rFonts w:eastAsia="Malgun Gothic"/>
          <w:bCs/>
          <w:lang w:val="fr-FR"/>
        </w:rPr>
        <w:t>agression de l</w:t>
      </w:r>
      <w:r w:rsidR="00923E72">
        <w:rPr>
          <w:rFonts w:eastAsia="Malgun Gothic"/>
          <w:bCs/>
          <w:lang w:val="fr-FR"/>
        </w:rPr>
        <w:t>’</w:t>
      </w:r>
      <w:r w:rsidRPr="005147ED">
        <w:rPr>
          <w:rFonts w:eastAsia="Malgun Gothic"/>
          <w:bCs/>
          <w:lang w:val="fr-FR"/>
        </w:rPr>
        <w:t xml:space="preserve">Azerbaïdjan contre le Haut-Karabakh à </w:t>
      </w:r>
      <w:r w:rsidRPr="005147ED">
        <w:rPr>
          <w:rFonts w:eastAsia="Malgun Gothic"/>
          <w:bCs/>
          <w:lang w:val="fr-FR"/>
        </w:rPr>
        <w:lastRenderedPageBreak/>
        <w:t>l</w:t>
      </w:r>
      <w:r w:rsidR="00923E72">
        <w:rPr>
          <w:rFonts w:eastAsia="Malgun Gothic"/>
          <w:bCs/>
          <w:lang w:val="fr-FR"/>
        </w:rPr>
        <w:t>’</w:t>
      </w:r>
      <w:r w:rsidRPr="005147ED">
        <w:rPr>
          <w:rFonts w:eastAsia="Malgun Gothic"/>
          <w:bCs/>
          <w:lang w:val="fr-FR"/>
        </w:rPr>
        <w:t>automne</w:t>
      </w:r>
      <w:r w:rsidR="00AF6B98">
        <w:rPr>
          <w:rFonts w:eastAsia="Malgun Gothic"/>
          <w:bCs/>
          <w:lang w:val="fr-FR"/>
        </w:rPr>
        <w:t> </w:t>
      </w:r>
      <w:r w:rsidRPr="005147ED">
        <w:rPr>
          <w:rFonts w:eastAsia="Malgun Gothic"/>
          <w:bCs/>
          <w:lang w:val="fr-FR"/>
        </w:rPr>
        <w:t xml:space="preserve">2020, le rapport soulevant la question du déplacement de la population arménienne, de la </w:t>
      </w:r>
      <w:r w:rsidR="00684589">
        <w:rPr>
          <w:rFonts w:eastAsia="Malgun Gothic"/>
          <w:bCs/>
          <w:lang w:val="fr-FR"/>
        </w:rPr>
        <w:t xml:space="preserve">destruction </w:t>
      </w:r>
      <w:r w:rsidRPr="005147ED">
        <w:rPr>
          <w:rFonts w:eastAsia="Malgun Gothic"/>
          <w:bCs/>
          <w:lang w:val="fr-FR"/>
        </w:rPr>
        <w:t xml:space="preserve">de son patrimoine et des graves menaces </w:t>
      </w:r>
      <w:r w:rsidR="00684589">
        <w:rPr>
          <w:rFonts w:eastAsia="Malgun Gothic"/>
          <w:bCs/>
          <w:lang w:val="fr-FR"/>
        </w:rPr>
        <w:t>pour</w:t>
      </w:r>
      <w:r w:rsidRPr="005147ED">
        <w:rPr>
          <w:rFonts w:eastAsia="Malgun Gothic"/>
          <w:bCs/>
          <w:lang w:val="fr-FR"/>
        </w:rPr>
        <w:t xml:space="preserve"> le patrimoine vivant. La délégation a précisé que le rapport ne faisait référence qu</w:t>
      </w:r>
      <w:r w:rsidR="00923E72">
        <w:rPr>
          <w:rFonts w:eastAsia="Malgun Gothic"/>
          <w:bCs/>
          <w:lang w:val="fr-FR"/>
        </w:rPr>
        <w:t>’</w:t>
      </w:r>
      <w:r w:rsidRPr="005147ED">
        <w:rPr>
          <w:rFonts w:eastAsia="Malgun Gothic"/>
          <w:bCs/>
          <w:lang w:val="fr-FR"/>
        </w:rPr>
        <w:t>aux rites culturels et au danger auquel ils sont confrontés. L</w:t>
      </w:r>
      <w:r w:rsidR="00923E72">
        <w:rPr>
          <w:rFonts w:eastAsia="Malgun Gothic"/>
          <w:bCs/>
          <w:lang w:val="fr-FR"/>
        </w:rPr>
        <w:t>’</w:t>
      </w:r>
      <w:r w:rsidRPr="005147ED">
        <w:rPr>
          <w:rFonts w:eastAsia="Malgun Gothic"/>
          <w:bCs/>
          <w:lang w:val="fr-FR"/>
        </w:rPr>
        <w:t>Arménie n</w:t>
      </w:r>
      <w:r w:rsidR="00923E72">
        <w:rPr>
          <w:rFonts w:eastAsia="Malgun Gothic"/>
          <w:bCs/>
          <w:lang w:val="fr-FR"/>
        </w:rPr>
        <w:t>’</w:t>
      </w:r>
      <w:r w:rsidRPr="005147ED">
        <w:rPr>
          <w:rFonts w:eastAsia="Malgun Gothic"/>
          <w:bCs/>
          <w:lang w:val="fr-FR"/>
        </w:rPr>
        <w:t xml:space="preserve">épargnerait aucun effort pour protéger le patrimoine vivant de la population arménienne déplacée de force. </w:t>
      </w:r>
      <w:r w:rsidR="002D5EE7">
        <w:rPr>
          <w:rFonts w:eastAsia="Malgun Gothic"/>
          <w:bCs/>
          <w:lang w:val="fr-FR"/>
        </w:rPr>
        <w:t xml:space="preserve">En effet, elle avait le </w:t>
      </w:r>
      <w:r w:rsidRPr="005147ED">
        <w:rPr>
          <w:rFonts w:eastAsia="Malgun Gothic"/>
          <w:bCs/>
          <w:lang w:val="fr-FR"/>
        </w:rPr>
        <w:t xml:space="preserve">devoir moral et </w:t>
      </w:r>
      <w:r w:rsidR="002D5EE7">
        <w:rPr>
          <w:rFonts w:eastAsia="Malgun Gothic"/>
          <w:bCs/>
          <w:lang w:val="fr-FR"/>
        </w:rPr>
        <w:t>l</w:t>
      </w:r>
      <w:r w:rsidR="00923E72">
        <w:rPr>
          <w:rFonts w:eastAsia="Malgun Gothic"/>
          <w:bCs/>
          <w:lang w:val="fr-FR"/>
        </w:rPr>
        <w:t>’</w:t>
      </w:r>
      <w:r w:rsidRPr="005147ED">
        <w:rPr>
          <w:rFonts w:eastAsia="Malgun Gothic"/>
          <w:bCs/>
          <w:lang w:val="fr-FR"/>
        </w:rPr>
        <w:t xml:space="preserve">obligation légale </w:t>
      </w:r>
      <w:r w:rsidR="002D5EE7">
        <w:rPr>
          <w:rFonts w:eastAsia="Malgun Gothic"/>
          <w:bCs/>
          <w:lang w:val="fr-FR"/>
        </w:rPr>
        <w:t xml:space="preserve">de le faire </w:t>
      </w:r>
      <w:r w:rsidRPr="005147ED">
        <w:rPr>
          <w:rFonts w:eastAsia="Malgun Gothic"/>
          <w:bCs/>
          <w:lang w:val="fr-FR"/>
        </w:rPr>
        <w:t>en vertu de la Convention. La délégation a informé le Comité qu</w:t>
      </w:r>
      <w:r w:rsidR="00923E72">
        <w:rPr>
          <w:rFonts w:eastAsia="Malgun Gothic"/>
          <w:bCs/>
          <w:lang w:val="fr-FR"/>
        </w:rPr>
        <w:t>’</w:t>
      </w:r>
      <w:r w:rsidRPr="005147ED">
        <w:rPr>
          <w:rFonts w:eastAsia="Malgun Gothic"/>
          <w:bCs/>
          <w:lang w:val="fr-FR"/>
        </w:rPr>
        <w:t>elle avait également quelques observations concernant le rapport présenté par l</w:t>
      </w:r>
      <w:r w:rsidR="00923E72">
        <w:rPr>
          <w:rFonts w:eastAsia="Malgun Gothic"/>
          <w:bCs/>
          <w:lang w:val="fr-FR"/>
        </w:rPr>
        <w:t>’</w:t>
      </w:r>
      <w:r w:rsidRPr="005147ED">
        <w:rPr>
          <w:rFonts w:eastAsia="Malgun Gothic"/>
          <w:bCs/>
          <w:lang w:val="fr-FR"/>
        </w:rPr>
        <w:t>Azerbaïdjan, qui étai</w:t>
      </w:r>
      <w:r w:rsidR="00593A9A">
        <w:rPr>
          <w:rFonts w:eastAsia="Malgun Gothic"/>
          <w:bCs/>
          <w:lang w:val="fr-FR"/>
        </w:rPr>
        <w:t>ent</w:t>
      </w:r>
      <w:r w:rsidRPr="005147ED">
        <w:rPr>
          <w:rFonts w:eastAsia="Malgun Gothic"/>
          <w:bCs/>
          <w:lang w:val="fr-FR"/>
        </w:rPr>
        <w:t xml:space="preserve"> joint</w:t>
      </w:r>
      <w:r w:rsidR="00593A9A">
        <w:rPr>
          <w:rFonts w:eastAsia="Malgun Gothic"/>
          <w:bCs/>
          <w:lang w:val="fr-FR"/>
        </w:rPr>
        <w:t>es</w:t>
      </w:r>
      <w:r w:rsidRPr="005147ED">
        <w:rPr>
          <w:rFonts w:eastAsia="Malgun Gothic"/>
          <w:bCs/>
          <w:lang w:val="fr-FR"/>
        </w:rPr>
        <w:t xml:space="preserve"> au rapport périodique de l</w:t>
      </w:r>
      <w:r w:rsidR="00923E72">
        <w:rPr>
          <w:rFonts w:eastAsia="Malgun Gothic"/>
          <w:bCs/>
          <w:lang w:val="fr-FR"/>
        </w:rPr>
        <w:t>’</w:t>
      </w:r>
      <w:r w:rsidRPr="005147ED">
        <w:rPr>
          <w:rFonts w:eastAsia="Malgun Gothic"/>
          <w:bCs/>
          <w:lang w:val="fr-FR"/>
        </w:rPr>
        <w:t>Arménie et disponible</w:t>
      </w:r>
      <w:r w:rsidR="00593A9A">
        <w:rPr>
          <w:rFonts w:eastAsia="Malgun Gothic"/>
          <w:bCs/>
          <w:lang w:val="fr-FR"/>
        </w:rPr>
        <w:t>s</w:t>
      </w:r>
      <w:r w:rsidRPr="005147ED">
        <w:rPr>
          <w:rFonts w:eastAsia="Malgun Gothic"/>
          <w:bCs/>
          <w:lang w:val="fr-FR"/>
        </w:rPr>
        <w:t xml:space="preserve"> sur le site web de la Convention. Il s</w:t>
      </w:r>
      <w:r w:rsidR="00923E72">
        <w:rPr>
          <w:rFonts w:eastAsia="Malgun Gothic"/>
          <w:bCs/>
          <w:lang w:val="fr-FR"/>
        </w:rPr>
        <w:t>’</w:t>
      </w:r>
      <w:r w:rsidRPr="005147ED">
        <w:rPr>
          <w:rFonts w:eastAsia="Malgun Gothic"/>
          <w:bCs/>
          <w:lang w:val="fr-FR"/>
        </w:rPr>
        <w:t>agissait principalement d</w:t>
      </w:r>
      <w:r w:rsidR="00923E72">
        <w:rPr>
          <w:rFonts w:eastAsia="Malgun Gothic"/>
          <w:bCs/>
          <w:lang w:val="fr-FR"/>
        </w:rPr>
        <w:t>’</w:t>
      </w:r>
      <w:r w:rsidRPr="005147ED">
        <w:rPr>
          <w:rFonts w:eastAsia="Malgun Gothic"/>
          <w:bCs/>
          <w:lang w:val="fr-FR"/>
        </w:rPr>
        <w:t>une nouvelle tentative de réécrire l</w:t>
      </w:r>
      <w:r w:rsidR="00923E72">
        <w:rPr>
          <w:rFonts w:eastAsia="Malgun Gothic"/>
          <w:bCs/>
          <w:lang w:val="fr-FR"/>
        </w:rPr>
        <w:t>’</w:t>
      </w:r>
      <w:r w:rsidRPr="005147ED">
        <w:rPr>
          <w:rFonts w:eastAsia="Malgun Gothic"/>
          <w:bCs/>
          <w:lang w:val="fr-FR"/>
        </w:rPr>
        <w:t xml:space="preserve">histoire en présentant la ville de </w:t>
      </w:r>
      <w:proofErr w:type="spellStart"/>
      <w:r w:rsidRPr="005147ED">
        <w:rPr>
          <w:rFonts w:eastAsia="Malgun Gothic"/>
          <w:bCs/>
          <w:lang w:val="fr-FR"/>
        </w:rPr>
        <w:t>Choucha</w:t>
      </w:r>
      <w:proofErr w:type="spellEnd"/>
      <w:r w:rsidRPr="005147ED">
        <w:rPr>
          <w:rFonts w:eastAsia="Malgun Gothic"/>
          <w:bCs/>
          <w:lang w:val="fr-FR"/>
        </w:rPr>
        <w:t xml:space="preserve"> comme une ville azerbaïdjanaise</w:t>
      </w:r>
      <w:r w:rsidR="004761A5">
        <w:rPr>
          <w:rFonts w:eastAsia="Malgun Gothic"/>
          <w:bCs/>
          <w:lang w:val="fr-FR"/>
        </w:rPr>
        <w:t>,</w:t>
      </w:r>
      <w:r w:rsidRPr="005147ED">
        <w:rPr>
          <w:rFonts w:eastAsia="Malgun Gothic"/>
          <w:bCs/>
          <w:lang w:val="fr-FR"/>
        </w:rPr>
        <w:t xml:space="preserve"> sans la moindre mention de la population arménienne et de ses racines.</w:t>
      </w:r>
    </w:p>
    <w:p w14:paraId="74FE185A" w14:textId="4356AB51" w:rsidR="00A66DA8" w:rsidRDefault="00A66DA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A66DA8">
        <w:rPr>
          <w:rFonts w:eastAsia="Malgun Gothic"/>
          <w:bCs/>
          <w:lang w:val="fr-FR"/>
        </w:rPr>
        <w:t>La délégation de l</w:t>
      </w:r>
      <w:r w:rsidR="00923E72">
        <w:rPr>
          <w:rFonts w:eastAsia="Malgun Gothic"/>
          <w:bCs/>
          <w:lang w:val="fr-FR"/>
        </w:rPr>
        <w:t>’</w:t>
      </w:r>
      <w:r w:rsidRPr="00A66DA8">
        <w:rPr>
          <w:rFonts w:eastAsia="Malgun Gothic"/>
          <w:b/>
          <w:lang w:val="fr-FR"/>
        </w:rPr>
        <w:t>Azerbaïdjan</w:t>
      </w:r>
      <w:r w:rsidRPr="00A66DA8">
        <w:rPr>
          <w:rFonts w:eastAsia="Malgun Gothic"/>
          <w:bCs/>
          <w:lang w:val="fr-FR"/>
        </w:rPr>
        <w:t xml:space="preserve"> a remercié le Comité et le Secrétariat pour leurs efforts </w:t>
      </w:r>
      <w:r w:rsidR="00BC3271">
        <w:rPr>
          <w:rFonts w:eastAsia="Malgun Gothic"/>
          <w:bCs/>
          <w:lang w:val="fr-FR"/>
        </w:rPr>
        <w:t xml:space="preserve">de </w:t>
      </w:r>
      <w:r w:rsidRPr="00A66DA8">
        <w:rPr>
          <w:rFonts w:eastAsia="Malgun Gothic"/>
          <w:bCs/>
          <w:lang w:val="fr-FR"/>
        </w:rPr>
        <w:t>mise en œuvre du premier cycle de rapports périodiques dans la région Europe. Malheureusement, malgré l</w:t>
      </w:r>
      <w:r w:rsidR="00923E72">
        <w:rPr>
          <w:rFonts w:eastAsia="Malgun Gothic"/>
          <w:bCs/>
          <w:lang w:val="fr-FR"/>
        </w:rPr>
        <w:t>’</w:t>
      </w:r>
      <w:r w:rsidRPr="00A66DA8">
        <w:rPr>
          <w:rFonts w:eastAsia="Malgun Gothic"/>
          <w:bCs/>
          <w:lang w:val="fr-FR"/>
        </w:rPr>
        <w:t>énorme avantage du cycle de rapports, un État partie avait utilisé la Convention comme une plateforme pour des revendications politiques, comme cela avait été clairement évoqué par les orateurs précédents. L</w:t>
      </w:r>
      <w:r w:rsidR="00923E72">
        <w:rPr>
          <w:rFonts w:eastAsia="Malgun Gothic"/>
          <w:bCs/>
          <w:lang w:val="fr-FR"/>
        </w:rPr>
        <w:t>’</w:t>
      </w:r>
      <w:r w:rsidRPr="00A66DA8">
        <w:rPr>
          <w:rFonts w:eastAsia="Malgun Gothic"/>
          <w:bCs/>
          <w:lang w:val="fr-FR"/>
        </w:rPr>
        <w:t>Azerbaïdjan était vivement préoccupé par le contenu des rapports périodiques soumis par l</w:t>
      </w:r>
      <w:r w:rsidR="00923E72">
        <w:rPr>
          <w:rFonts w:eastAsia="Malgun Gothic"/>
          <w:bCs/>
          <w:lang w:val="fr-FR"/>
        </w:rPr>
        <w:t>’</w:t>
      </w:r>
      <w:r w:rsidRPr="00A66DA8">
        <w:rPr>
          <w:rFonts w:eastAsia="Malgun Gothic"/>
          <w:bCs/>
          <w:lang w:val="fr-FR"/>
        </w:rPr>
        <w:t>Arménie. Il rejetait d</w:t>
      </w:r>
      <w:r w:rsidR="00923E72">
        <w:rPr>
          <w:rFonts w:eastAsia="Malgun Gothic"/>
          <w:bCs/>
          <w:lang w:val="fr-FR"/>
        </w:rPr>
        <w:t>’</w:t>
      </w:r>
      <w:r w:rsidRPr="00A66DA8">
        <w:rPr>
          <w:rFonts w:eastAsia="Malgun Gothic"/>
          <w:bCs/>
          <w:lang w:val="fr-FR"/>
        </w:rPr>
        <w:t>ailleurs totalement les revendications politiques fausses et infondées mentionnées dans le rapport de l</w:t>
      </w:r>
      <w:r w:rsidR="00923E72">
        <w:rPr>
          <w:rFonts w:eastAsia="Malgun Gothic"/>
          <w:bCs/>
          <w:lang w:val="fr-FR"/>
        </w:rPr>
        <w:t>’</w:t>
      </w:r>
      <w:r w:rsidRPr="00A66DA8">
        <w:rPr>
          <w:rFonts w:eastAsia="Malgun Gothic"/>
          <w:bCs/>
          <w:lang w:val="fr-FR"/>
        </w:rPr>
        <w:t>Arménie dans le but de manipuler le Comité. Ce rapport constitu</w:t>
      </w:r>
      <w:r>
        <w:rPr>
          <w:rFonts w:eastAsia="Malgun Gothic"/>
          <w:bCs/>
          <w:lang w:val="fr-FR"/>
        </w:rPr>
        <w:t>ait</w:t>
      </w:r>
      <w:r w:rsidRPr="00A66DA8">
        <w:rPr>
          <w:rFonts w:eastAsia="Malgun Gothic"/>
          <w:bCs/>
          <w:lang w:val="fr-FR"/>
        </w:rPr>
        <w:t xml:space="preserve"> une nouvelle tentative d</w:t>
      </w:r>
      <w:r w:rsidR="00923E72">
        <w:rPr>
          <w:rFonts w:eastAsia="Malgun Gothic"/>
          <w:bCs/>
          <w:lang w:val="fr-FR"/>
        </w:rPr>
        <w:t>’</w:t>
      </w:r>
      <w:r w:rsidRPr="00A66DA8">
        <w:rPr>
          <w:rFonts w:eastAsia="Malgun Gothic"/>
          <w:bCs/>
          <w:lang w:val="fr-FR"/>
        </w:rPr>
        <w:t>instrumentaliser et de politiser la Convention et de saper l</w:t>
      </w:r>
      <w:r w:rsidR="00923E72">
        <w:rPr>
          <w:rFonts w:eastAsia="Malgun Gothic"/>
          <w:bCs/>
          <w:lang w:val="fr-FR"/>
        </w:rPr>
        <w:t>’</w:t>
      </w:r>
      <w:r w:rsidRPr="00A66DA8">
        <w:rPr>
          <w:rFonts w:eastAsia="Malgun Gothic"/>
          <w:bCs/>
          <w:lang w:val="fr-FR"/>
        </w:rPr>
        <w:t>esprit de respect mutuel et de collaboration. Cette approche ouvrait la voie à un précédent extrêmement dangereux</w:t>
      </w:r>
      <w:r w:rsidR="002F62D9">
        <w:rPr>
          <w:rFonts w:eastAsia="Malgun Gothic"/>
          <w:bCs/>
          <w:lang w:val="fr-FR"/>
        </w:rPr>
        <w:t>,</w:t>
      </w:r>
      <w:r w:rsidRPr="00A66DA8">
        <w:rPr>
          <w:rFonts w:eastAsia="Malgun Gothic"/>
          <w:bCs/>
          <w:lang w:val="fr-FR"/>
        </w:rPr>
        <w:t xml:space="preserve"> qui pourrait conduire à discréditer le Comité. Ces affirmations infondées et totalement fausses dans un rapport national émanaient d</w:t>
      </w:r>
      <w:r w:rsidR="00923E72">
        <w:rPr>
          <w:rFonts w:eastAsia="Malgun Gothic"/>
          <w:bCs/>
          <w:lang w:val="fr-FR"/>
        </w:rPr>
        <w:t>’</w:t>
      </w:r>
      <w:r w:rsidRPr="00A66DA8">
        <w:rPr>
          <w:rFonts w:eastAsia="Malgun Gothic"/>
          <w:bCs/>
          <w:lang w:val="fr-FR"/>
        </w:rPr>
        <w:t xml:space="preserve">un pays qui occupait depuis près de </w:t>
      </w:r>
      <w:r w:rsidR="00D55684">
        <w:rPr>
          <w:rFonts w:eastAsia="Malgun Gothic"/>
          <w:bCs/>
          <w:lang w:val="fr-FR"/>
        </w:rPr>
        <w:t xml:space="preserve">trente </w:t>
      </w:r>
      <w:r w:rsidRPr="00A66DA8">
        <w:rPr>
          <w:rFonts w:eastAsia="Malgun Gothic"/>
          <w:bCs/>
          <w:lang w:val="fr-FR"/>
        </w:rPr>
        <w:t>ans des territoires internationalement reconnus de l</w:t>
      </w:r>
      <w:r w:rsidR="00923E72">
        <w:rPr>
          <w:rFonts w:eastAsia="Malgun Gothic"/>
          <w:bCs/>
          <w:lang w:val="fr-FR"/>
        </w:rPr>
        <w:t>’</w:t>
      </w:r>
      <w:r w:rsidRPr="00A66DA8">
        <w:rPr>
          <w:rFonts w:eastAsia="Malgun Gothic"/>
          <w:bCs/>
          <w:lang w:val="fr-FR"/>
        </w:rPr>
        <w:t>Azerbaïdjan. Pendant l</w:t>
      </w:r>
      <w:r w:rsidR="00923E72">
        <w:rPr>
          <w:rFonts w:eastAsia="Malgun Gothic"/>
          <w:bCs/>
          <w:lang w:val="fr-FR"/>
        </w:rPr>
        <w:t>’</w:t>
      </w:r>
      <w:r w:rsidRPr="00A66DA8">
        <w:rPr>
          <w:rFonts w:eastAsia="Malgun Gothic"/>
          <w:bCs/>
          <w:lang w:val="fr-FR"/>
        </w:rPr>
        <w:t>occupation des territoires de l</w:t>
      </w:r>
      <w:r w:rsidR="00923E72">
        <w:rPr>
          <w:rFonts w:eastAsia="Malgun Gothic"/>
          <w:bCs/>
          <w:lang w:val="fr-FR"/>
        </w:rPr>
        <w:t>’</w:t>
      </w:r>
      <w:r w:rsidRPr="00A66DA8">
        <w:rPr>
          <w:rFonts w:eastAsia="Malgun Gothic"/>
          <w:bCs/>
          <w:lang w:val="fr-FR"/>
        </w:rPr>
        <w:t xml:space="preserve">Azerbaïdjan, le patrimoine culturel avait été totalement détruit. De nombreux exemples </w:t>
      </w:r>
      <w:r w:rsidR="002D5EE7">
        <w:rPr>
          <w:rFonts w:eastAsia="Malgun Gothic"/>
          <w:bCs/>
          <w:lang w:val="fr-FR"/>
        </w:rPr>
        <w:t>d</w:t>
      </w:r>
      <w:r w:rsidR="00923E72">
        <w:rPr>
          <w:rFonts w:eastAsia="Malgun Gothic"/>
          <w:bCs/>
          <w:lang w:val="fr-FR"/>
        </w:rPr>
        <w:t>’</w:t>
      </w:r>
      <w:r w:rsidRPr="00A66DA8">
        <w:rPr>
          <w:rFonts w:eastAsia="Malgun Gothic"/>
          <w:bCs/>
          <w:lang w:val="fr-FR"/>
        </w:rPr>
        <w:t xml:space="preserve">arts traditionnels, </w:t>
      </w:r>
      <w:r w:rsidR="002D5EE7">
        <w:rPr>
          <w:rFonts w:eastAsia="Malgun Gothic"/>
          <w:bCs/>
          <w:lang w:val="fr-FR"/>
        </w:rPr>
        <w:t>d</w:t>
      </w:r>
      <w:r w:rsidR="00923E72">
        <w:rPr>
          <w:rFonts w:eastAsia="Malgun Gothic"/>
          <w:bCs/>
          <w:lang w:val="fr-FR"/>
        </w:rPr>
        <w:t>’</w:t>
      </w:r>
      <w:r w:rsidRPr="00A66DA8">
        <w:rPr>
          <w:rFonts w:eastAsia="Malgun Gothic"/>
          <w:bCs/>
          <w:lang w:val="fr-FR"/>
        </w:rPr>
        <w:t xml:space="preserve">artisanat, </w:t>
      </w:r>
      <w:r w:rsidR="002D5EE7">
        <w:rPr>
          <w:rFonts w:eastAsia="Malgun Gothic"/>
          <w:bCs/>
          <w:lang w:val="fr-FR"/>
        </w:rPr>
        <w:t>d</w:t>
      </w:r>
      <w:r w:rsidR="00923E72">
        <w:rPr>
          <w:rFonts w:eastAsia="Malgun Gothic"/>
          <w:bCs/>
          <w:lang w:val="fr-FR"/>
        </w:rPr>
        <w:t>’</w:t>
      </w:r>
      <w:r w:rsidRPr="00A66DA8">
        <w:rPr>
          <w:rFonts w:eastAsia="Malgun Gothic"/>
          <w:bCs/>
          <w:lang w:val="fr-FR"/>
        </w:rPr>
        <w:t>activités sociales</w:t>
      </w:r>
      <w:r w:rsidR="002D5EE7">
        <w:rPr>
          <w:rFonts w:eastAsia="Malgun Gothic"/>
          <w:bCs/>
          <w:lang w:val="fr-FR"/>
        </w:rPr>
        <w:t xml:space="preserve"> et de </w:t>
      </w:r>
      <w:r w:rsidRPr="00A66DA8">
        <w:rPr>
          <w:rFonts w:eastAsia="Malgun Gothic"/>
          <w:bCs/>
          <w:lang w:val="fr-FR"/>
        </w:rPr>
        <w:t>pratiques rituelles</w:t>
      </w:r>
      <w:r w:rsidR="002D5EE7">
        <w:rPr>
          <w:rFonts w:eastAsia="Malgun Gothic"/>
          <w:bCs/>
          <w:lang w:val="fr-FR"/>
        </w:rPr>
        <w:t xml:space="preserve"> </w:t>
      </w:r>
      <w:r w:rsidRPr="00A66DA8">
        <w:rPr>
          <w:rFonts w:eastAsia="Malgun Gothic"/>
          <w:bCs/>
          <w:lang w:val="fr-FR"/>
        </w:rPr>
        <w:t>avaient été complètement anéantis ou étaient désormais en danger, les communautés qui avaient survécu ayant fui vers d</w:t>
      </w:r>
      <w:r w:rsidR="00923E72">
        <w:rPr>
          <w:rFonts w:eastAsia="Malgun Gothic"/>
          <w:bCs/>
          <w:lang w:val="fr-FR"/>
        </w:rPr>
        <w:t>’</w:t>
      </w:r>
      <w:r w:rsidRPr="00A66DA8">
        <w:rPr>
          <w:rFonts w:eastAsia="Malgun Gothic"/>
          <w:bCs/>
          <w:lang w:val="fr-FR"/>
        </w:rPr>
        <w:t>autres régions du pays et n</w:t>
      </w:r>
      <w:r w:rsidR="00923E72">
        <w:rPr>
          <w:rFonts w:eastAsia="Malgun Gothic"/>
          <w:bCs/>
          <w:lang w:val="fr-FR"/>
        </w:rPr>
        <w:t>’</w:t>
      </w:r>
      <w:r w:rsidRPr="00A66DA8">
        <w:rPr>
          <w:rFonts w:eastAsia="Malgun Gothic"/>
          <w:bCs/>
          <w:lang w:val="fr-FR"/>
        </w:rPr>
        <w:t>ayant plus aucun lien avec l</w:t>
      </w:r>
      <w:r w:rsidR="00923E72">
        <w:rPr>
          <w:rFonts w:eastAsia="Malgun Gothic"/>
          <w:bCs/>
          <w:lang w:val="fr-FR"/>
        </w:rPr>
        <w:t>’</w:t>
      </w:r>
      <w:r w:rsidRPr="00A66DA8">
        <w:rPr>
          <w:rFonts w:eastAsia="Malgun Gothic"/>
          <w:bCs/>
          <w:lang w:val="fr-FR"/>
        </w:rPr>
        <w:t>environnement historique et culturel depuis trente ans. L</w:t>
      </w:r>
      <w:r w:rsidR="00923E72">
        <w:rPr>
          <w:rFonts w:eastAsia="Malgun Gothic"/>
          <w:bCs/>
          <w:lang w:val="fr-FR"/>
        </w:rPr>
        <w:t>’</w:t>
      </w:r>
      <w:r w:rsidRPr="00A66DA8">
        <w:rPr>
          <w:rFonts w:eastAsia="Malgun Gothic"/>
          <w:bCs/>
          <w:lang w:val="fr-FR"/>
        </w:rPr>
        <w:t>Arménie devait cesser de politiser la Convention et se concentrer sur son propre territoire, comme l</w:t>
      </w:r>
      <w:r w:rsidR="00923E72">
        <w:rPr>
          <w:rFonts w:eastAsia="Malgun Gothic"/>
          <w:bCs/>
          <w:lang w:val="fr-FR"/>
        </w:rPr>
        <w:t>’</w:t>
      </w:r>
      <w:r w:rsidRPr="00A66DA8">
        <w:rPr>
          <w:rFonts w:eastAsia="Malgun Gothic"/>
          <w:bCs/>
          <w:lang w:val="fr-FR"/>
        </w:rPr>
        <w:t>exige la Convention.</w:t>
      </w:r>
    </w:p>
    <w:p w14:paraId="16B30FE2" w14:textId="7F6F940B" w:rsidR="00D55684" w:rsidRDefault="00D5568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D55684">
        <w:rPr>
          <w:rFonts w:eastAsia="Malgun Gothic"/>
          <w:b/>
          <w:lang w:val="fr-FR"/>
        </w:rPr>
        <w:t>Président</w:t>
      </w:r>
      <w:r>
        <w:rPr>
          <w:rFonts w:eastAsia="Malgun Gothic"/>
          <w:bCs/>
          <w:lang w:val="fr-FR"/>
        </w:rPr>
        <w:t xml:space="preserve"> a remercié les </w:t>
      </w:r>
      <w:r w:rsidRPr="00D55684">
        <w:rPr>
          <w:rFonts w:eastAsia="Malgun Gothic"/>
          <w:bCs/>
          <w:lang w:val="fr-FR"/>
        </w:rPr>
        <w:t>observateurs</w:t>
      </w:r>
      <w:r>
        <w:rPr>
          <w:rFonts w:eastAsia="Malgun Gothic"/>
          <w:bCs/>
          <w:lang w:val="fr-FR"/>
        </w:rPr>
        <w:t xml:space="preserve"> et est passé à l</w:t>
      </w:r>
      <w:r w:rsidR="00923E72">
        <w:rPr>
          <w:rFonts w:eastAsia="Malgun Gothic"/>
          <w:bCs/>
          <w:lang w:val="fr-FR"/>
        </w:rPr>
        <w:t>’</w:t>
      </w:r>
      <w:r>
        <w:rPr>
          <w:rFonts w:eastAsia="Malgun Gothic"/>
          <w:bCs/>
          <w:lang w:val="fr-FR"/>
        </w:rPr>
        <w:t xml:space="preserve">adoption du projet de décision dans son ensemble. </w:t>
      </w:r>
      <w:r w:rsidRPr="00D55684">
        <w:rPr>
          <w:rFonts w:eastAsia="Malgun Gothic"/>
          <w:bCs/>
          <w:lang w:val="fr-FR"/>
        </w:rPr>
        <w:t>En l</w:t>
      </w:r>
      <w:r w:rsidR="00923E72">
        <w:rPr>
          <w:rFonts w:eastAsia="Malgun Gothic"/>
          <w:bCs/>
          <w:lang w:val="fr-FR"/>
        </w:rPr>
        <w:t>’</w:t>
      </w:r>
      <w:r w:rsidRPr="00D55684">
        <w:rPr>
          <w:rFonts w:eastAsia="Malgun Gothic"/>
          <w:bCs/>
          <w:lang w:val="fr-FR"/>
        </w:rPr>
        <w:t>absence</w:t>
      </w:r>
      <w:r>
        <w:rPr>
          <w:rFonts w:eastAsia="Malgun Gothic"/>
          <w:bCs/>
          <w:lang w:val="fr-FR"/>
        </w:rPr>
        <w:t xml:space="preserve"> d</w:t>
      </w:r>
      <w:r w:rsidR="00923E72">
        <w:rPr>
          <w:rFonts w:eastAsia="Malgun Gothic"/>
          <w:bCs/>
          <w:lang w:val="fr-FR"/>
        </w:rPr>
        <w:t>’</w:t>
      </w:r>
      <w:r>
        <w:rPr>
          <w:rFonts w:eastAsia="Malgun Gothic"/>
          <w:bCs/>
          <w:lang w:val="fr-FR"/>
        </w:rPr>
        <w:t xml:space="preserve">objections, le </w:t>
      </w:r>
      <w:r w:rsidRPr="00D55684">
        <w:rPr>
          <w:rFonts w:eastAsia="Malgun Gothic"/>
          <w:b/>
          <w:lang w:val="fr-FR"/>
        </w:rPr>
        <w:t xml:space="preserve">Président a déclaré la </w:t>
      </w:r>
      <w:r w:rsidRPr="00BC3271">
        <w:rPr>
          <w:rFonts w:eastAsia="Malgun Gothic"/>
          <w:b/>
          <w:lang w:val="fr-FR"/>
        </w:rPr>
        <w:t>décision</w:t>
      </w:r>
      <w:r w:rsidR="00BC3271" w:rsidRPr="00BC3271">
        <w:rPr>
          <w:rFonts w:eastAsia="Malgun Gothic"/>
          <w:b/>
          <w:lang w:val="fr-FR"/>
        </w:rPr>
        <w:t> </w:t>
      </w:r>
      <w:hyperlink r:id="rId71" w:history="1">
        <w:r w:rsidRPr="00702497">
          <w:rPr>
            <w:rStyle w:val="Hyperlink"/>
            <w:b/>
            <w:lang w:val="fr-FR"/>
          </w:rPr>
          <w:t>17.COM</w:t>
        </w:r>
        <w:r w:rsidR="002D5EE7" w:rsidRPr="00702497">
          <w:rPr>
            <w:rStyle w:val="Hyperlink"/>
            <w:b/>
            <w:lang w:val="fr-FR"/>
          </w:rPr>
          <w:t> </w:t>
        </w:r>
        <w:r w:rsidRPr="00702497">
          <w:rPr>
            <w:rStyle w:val="Hyperlink"/>
            <w:b/>
            <w:lang w:val="fr-FR"/>
          </w:rPr>
          <w:t>6.</w:t>
        </w:r>
        <w:r w:rsidRPr="006E3034">
          <w:rPr>
            <w:rStyle w:val="Hyperlink"/>
            <w:b/>
            <w:lang w:val="fr-FR"/>
          </w:rPr>
          <w:t>b</w:t>
        </w:r>
      </w:hyperlink>
      <w:r>
        <w:rPr>
          <w:rStyle w:val="Hyperlink"/>
          <w:i/>
          <w:u w:val="none"/>
          <w:lang w:val="fr-FR"/>
        </w:rPr>
        <w:t xml:space="preserve"> </w:t>
      </w:r>
      <w:r w:rsidRPr="00D55684">
        <w:rPr>
          <w:rFonts w:eastAsia="Malgun Gothic"/>
          <w:b/>
          <w:lang w:val="fr-FR"/>
        </w:rPr>
        <w:t>adoptée</w:t>
      </w:r>
      <w:r>
        <w:rPr>
          <w:rFonts w:eastAsia="Malgun Gothic"/>
          <w:bCs/>
          <w:lang w:val="fr-FR"/>
        </w:rPr>
        <w:t>.</w:t>
      </w:r>
    </w:p>
    <w:p w14:paraId="3F0A71B7" w14:textId="428CEAFA" w:rsidR="00150DE0" w:rsidRPr="00150DE0" w:rsidRDefault="00150DE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150DE0">
        <w:rPr>
          <w:rFonts w:eastAsia="Malgun Gothic"/>
          <w:b/>
          <w:lang w:val="fr-FR"/>
        </w:rPr>
        <w:t>Président</w:t>
      </w:r>
      <w:r>
        <w:rPr>
          <w:rFonts w:eastAsia="Malgun Gothic"/>
          <w:bCs/>
          <w:lang w:val="fr-FR"/>
        </w:rPr>
        <w:t xml:space="preserve"> a remercié les membres du </w:t>
      </w:r>
      <w:r w:rsidRPr="00150DE0">
        <w:rPr>
          <w:rFonts w:eastAsia="Malgun Gothic"/>
          <w:bCs/>
          <w:color w:val="000000" w:themeColor="text1"/>
          <w:lang w:val="fr-FR"/>
        </w:rPr>
        <w:t>Comité</w:t>
      </w:r>
      <w:r>
        <w:rPr>
          <w:rFonts w:eastAsia="Malgun Gothic"/>
          <w:bCs/>
          <w:color w:val="000000" w:themeColor="text1"/>
          <w:lang w:val="fr-FR"/>
        </w:rPr>
        <w:t xml:space="preserve"> et a rappelé au Bureau sa réunion du lendemain, qui était </w:t>
      </w:r>
      <w:r w:rsidRPr="00150DE0">
        <w:rPr>
          <w:rFonts w:eastAsia="Malgun Gothic"/>
          <w:bCs/>
          <w:color w:val="000000" w:themeColor="text1"/>
          <w:lang w:val="fr-FR"/>
        </w:rPr>
        <w:t>également</w:t>
      </w:r>
      <w:r>
        <w:rPr>
          <w:rFonts w:eastAsia="Malgun Gothic"/>
          <w:bCs/>
          <w:color w:val="000000" w:themeColor="text1"/>
          <w:lang w:val="fr-FR"/>
        </w:rPr>
        <w:t xml:space="preserve"> ouverte aux </w:t>
      </w:r>
      <w:r w:rsidRPr="00150DE0">
        <w:rPr>
          <w:rFonts w:eastAsia="Malgun Gothic"/>
          <w:bCs/>
          <w:color w:val="000000" w:themeColor="text1"/>
          <w:lang w:val="fr-FR"/>
        </w:rPr>
        <w:t>observateurs</w:t>
      </w:r>
      <w:r>
        <w:rPr>
          <w:rFonts w:eastAsia="Malgun Gothic"/>
          <w:bCs/>
          <w:color w:val="000000" w:themeColor="text1"/>
          <w:lang w:val="fr-FR"/>
        </w:rPr>
        <w:t>.</w:t>
      </w:r>
    </w:p>
    <w:p w14:paraId="2E9F2517" w14:textId="31F2110A" w:rsidR="00150DE0" w:rsidRDefault="00150DE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150DE0">
        <w:rPr>
          <w:rFonts w:eastAsia="Malgun Gothic"/>
          <w:b/>
          <w:lang w:val="fr-FR"/>
        </w:rPr>
        <w:t>Secrétaire</w:t>
      </w:r>
      <w:r>
        <w:rPr>
          <w:rFonts w:eastAsia="Malgun Gothic"/>
          <w:bCs/>
          <w:lang w:val="fr-FR"/>
        </w:rPr>
        <w:t xml:space="preserve"> a rappelé aux membres du Comité de transmettre, d</w:t>
      </w:r>
      <w:r w:rsidR="00923E72">
        <w:rPr>
          <w:rFonts w:eastAsia="Malgun Gothic"/>
          <w:bCs/>
          <w:lang w:val="fr-FR"/>
        </w:rPr>
        <w:t>’</w:t>
      </w:r>
      <w:r>
        <w:rPr>
          <w:rFonts w:eastAsia="Malgun Gothic"/>
          <w:bCs/>
          <w:lang w:val="fr-FR"/>
        </w:rPr>
        <w:t xml:space="preserve">une part, les </w:t>
      </w:r>
      <w:r w:rsidRPr="00150DE0">
        <w:rPr>
          <w:rFonts w:eastAsia="Malgun Gothic"/>
          <w:bCs/>
          <w:lang w:val="fr-FR"/>
        </w:rPr>
        <w:t>amendemen</w:t>
      </w:r>
      <w:r>
        <w:rPr>
          <w:rFonts w:eastAsia="Malgun Gothic"/>
          <w:bCs/>
          <w:lang w:val="fr-FR"/>
        </w:rPr>
        <w:t>ts relatifs à des projets de décision spécifiques par courriel à l</w:t>
      </w:r>
      <w:r w:rsidR="00923E72">
        <w:rPr>
          <w:rFonts w:eastAsia="Malgun Gothic"/>
          <w:bCs/>
          <w:lang w:val="fr-FR"/>
        </w:rPr>
        <w:t>’</w:t>
      </w:r>
      <w:r>
        <w:rPr>
          <w:rFonts w:eastAsia="Malgun Gothic"/>
          <w:bCs/>
          <w:lang w:val="fr-FR"/>
        </w:rPr>
        <w:t>adresse mail concernée afin de permettre au Bureau de mieux organiser le temps disponible pour débattre de ces points, et, d</w:t>
      </w:r>
      <w:r w:rsidR="00923E72">
        <w:rPr>
          <w:rFonts w:eastAsia="Malgun Gothic"/>
          <w:bCs/>
          <w:lang w:val="fr-FR"/>
        </w:rPr>
        <w:t>’</w:t>
      </w:r>
      <w:r>
        <w:rPr>
          <w:rFonts w:eastAsia="Malgun Gothic"/>
          <w:bCs/>
          <w:lang w:val="fr-FR"/>
        </w:rPr>
        <w:t>autre part</w:t>
      </w:r>
      <w:r w:rsidR="00590C6E">
        <w:rPr>
          <w:rFonts w:eastAsia="Malgun Gothic"/>
          <w:bCs/>
          <w:lang w:val="fr-FR"/>
        </w:rPr>
        <w:t xml:space="preserve">, </w:t>
      </w:r>
      <w:r>
        <w:rPr>
          <w:rFonts w:eastAsia="Malgun Gothic"/>
          <w:bCs/>
          <w:lang w:val="fr-FR"/>
        </w:rPr>
        <w:t>le matériel audiovisuel à projeter</w:t>
      </w:r>
      <w:r w:rsidR="00590C6E">
        <w:rPr>
          <w:rFonts w:eastAsia="Malgun Gothic"/>
          <w:bCs/>
          <w:lang w:val="fr-FR"/>
        </w:rPr>
        <w:t>, le cas échéant</w:t>
      </w:r>
      <w:r>
        <w:rPr>
          <w:rFonts w:eastAsia="Malgun Gothic"/>
          <w:bCs/>
          <w:lang w:val="fr-FR"/>
        </w:rPr>
        <w:t>.</w:t>
      </w:r>
    </w:p>
    <w:p w14:paraId="1639043E" w14:textId="04F80FF9" w:rsidR="00150DE0" w:rsidRDefault="00150DE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150DE0">
        <w:rPr>
          <w:rFonts w:eastAsia="Malgun Gothic"/>
          <w:b/>
          <w:lang w:val="fr-FR"/>
        </w:rPr>
        <w:t>Président</w:t>
      </w:r>
      <w:r>
        <w:rPr>
          <w:rFonts w:eastAsia="Malgun Gothic"/>
          <w:bCs/>
          <w:lang w:val="fr-FR"/>
        </w:rPr>
        <w:t xml:space="preserve"> a annoncé que tous les membres du Comité avaient été invités par la princesse Lalla </w:t>
      </w:r>
      <w:proofErr w:type="spellStart"/>
      <w:r>
        <w:rPr>
          <w:rFonts w:eastAsia="Malgun Gothic"/>
          <w:bCs/>
          <w:lang w:val="fr-FR"/>
        </w:rPr>
        <w:t>Hasnaa</w:t>
      </w:r>
      <w:proofErr w:type="spellEnd"/>
      <w:r w:rsidR="002D5EE7">
        <w:rPr>
          <w:rFonts w:eastAsia="Malgun Gothic"/>
          <w:bCs/>
          <w:lang w:val="fr-FR"/>
        </w:rPr>
        <w:t xml:space="preserve"> à une audience</w:t>
      </w:r>
      <w:r>
        <w:rPr>
          <w:rFonts w:eastAsia="Malgun Gothic"/>
          <w:bCs/>
          <w:lang w:val="fr-FR"/>
        </w:rPr>
        <w:t>. La séance</w:t>
      </w:r>
      <w:r w:rsidR="00590C6E">
        <w:rPr>
          <w:rFonts w:eastAsia="Malgun Gothic"/>
          <w:bCs/>
          <w:lang w:val="fr-FR"/>
        </w:rPr>
        <w:t xml:space="preserve"> du jour</w:t>
      </w:r>
      <w:r w:rsidR="002D5EE7">
        <w:rPr>
          <w:rFonts w:eastAsia="Malgun Gothic"/>
          <w:bCs/>
          <w:lang w:val="fr-FR"/>
        </w:rPr>
        <w:t xml:space="preserve"> a été levée</w:t>
      </w:r>
      <w:r>
        <w:rPr>
          <w:rFonts w:eastAsia="Malgun Gothic"/>
          <w:bCs/>
          <w:lang w:val="fr-FR"/>
        </w:rPr>
        <w:t>.</w:t>
      </w:r>
    </w:p>
    <w:p w14:paraId="1693A797" w14:textId="77777777" w:rsidR="00590C6E" w:rsidRDefault="00590C6E" w:rsidP="00590C6E">
      <w:pPr>
        <w:pStyle w:val="Orateurengris"/>
        <w:tabs>
          <w:tab w:val="clear" w:pos="709"/>
          <w:tab w:val="clear" w:pos="1418"/>
          <w:tab w:val="clear" w:pos="2126"/>
          <w:tab w:val="clear" w:pos="2835"/>
        </w:tabs>
        <w:spacing w:before="120" w:after="0"/>
        <w:ind w:left="720"/>
        <w:rPr>
          <w:rFonts w:eastAsia="Malgun Gothic"/>
          <w:bCs/>
          <w:lang w:val="fr-FR"/>
        </w:rPr>
      </w:pPr>
    </w:p>
    <w:p w14:paraId="67E9C2C3" w14:textId="231A86B5" w:rsidR="00150DE0" w:rsidRDefault="00150DE0" w:rsidP="00150DE0">
      <w:pPr>
        <w:pStyle w:val="Orateurengris"/>
        <w:tabs>
          <w:tab w:val="clear" w:pos="709"/>
          <w:tab w:val="clear" w:pos="1418"/>
          <w:tab w:val="clear" w:pos="2126"/>
          <w:tab w:val="clear" w:pos="2835"/>
        </w:tabs>
        <w:spacing w:before="120" w:after="0"/>
        <w:ind w:left="720"/>
        <w:jc w:val="center"/>
        <w:rPr>
          <w:rFonts w:eastAsia="Malgun Gothic"/>
          <w:bCs/>
          <w:i/>
          <w:iCs/>
          <w:lang w:val="fr-FR"/>
        </w:rPr>
      </w:pPr>
      <w:r w:rsidRPr="00150DE0">
        <w:rPr>
          <w:rFonts w:eastAsia="Malgun Gothic"/>
          <w:bCs/>
          <w:i/>
          <w:iCs/>
          <w:lang w:val="fr-FR"/>
        </w:rPr>
        <w:t>[Mardi</w:t>
      </w:r>
      <w:r w:rsidR="00F935B6">
        <w:rPr>
          <w:rFonts w:eastAsia="Malgun Gothic"/>
          <w:bCs/>
          <w:i/>
          <w:iCs/>
          <w:lang w:val="fr-FR"/>
        </w:rPr>
        <w:t> </w:t>
      </w:r>
      <w:r w:rsidRPr="00150DE0">
        <w:rPr>
          <w:rFonts w:eastAsia="Malgun Gothic"/>
          <w:bCs/>
          <w:i/>
          <w:iCs/>
          <w:lang w:val="fr-FR"/>
        </w:rPr>
        <w:t>29</w:t>
      </w:r>
      <w:r w:rsidR="00F935B6">
        <w:rPr>
          <w:rFonts w:eastAsia="Malgun Gothic"/>
          <w:bCs/>
          <w:i/>
          <w:iCs/>
          <w:lang w:val="fr-FR"/>
        </w:rPr>
        <w:t> </w:t>
      </w:r>
      <w:r w:rsidRPr="00150DE0">
        <w:rPr>
          <w:rFonts w:eastAsia="Malgun Gothic"/>
          <w:bCs/>
          <w:i/>
          <w:iCs/>
          <w:lang w:val="fr-FR"/>
        </w:rPr>
        <w:t>novembre</w:t>
      </w:r>
      <w:r w:rsidR="00F935B6">
        <w:rPr>
          <w:rFonts w:eastAsia="Malgun Gothic"/>
          <w:bCs/>
          <w:i/>
          <w:iCs/>
          <w:lang w:val="fr-FR"/>
        </w:rPr>
        <w:t> </w:t>
      </w:r>
      <w:r w:rsidR="00FD22BF">
        <w:rPr>
          <w:rFonts w:eastAsia="Malgun Gothic"/>
          <w:bCs/>
          <w:i/>
          <w:iCs/>
          <w:lang w:val="fr-FR"/>
        </w:rPr>
        <w:t>2022</w:t>
      </w:r>
      <w:r w:rsidRPr="00150DE0">
        <w:rPr>
          <w:rFonts w:eastAsia="Malgun Gothic"/>
          <w:bCs/>
          <w:i/>
          <w:iCs/>
          <w:lang w:val="fr-FR"/>
        </w:rPr>
        <w:t>, séance du matin]</w:t>
      </w:r>
    </w:p>
    <w:p w14:paraId="0CAB5A04" w14:textId="77777777" w:rsidR="00590C6E" w:rsidRPr="00150DE0" w:rsidRDefault="00590C6E" w:rsidP="006E3034">
      <w:pPr>
        <w:pStyle w:val="Orateurengris"/>
        <w:tabs>
          <w:tab w:val="clear" w:pos="709"/>
          <w:tab w:val="clear" w:pos="1418"/>
          <w:tab w:val="clear" w:pos="2126"/>
          <w:tab w:val="clear" w:pos="2835"/>
        </w:tabs>
        <w:spacing w:before="120" w:after="0"/>
        <w:rPr>
          <w:rFonts w:eastAsia="Malgun Gothic"/>
          <w:bCs/>
          <w:i/>
          <w:iCs/>
          <w:lang w:val="fr-FR"/>
        </w:rPr>
      </w:pPr>
    </w:p>
    <w:p w14:paraId="735DEFEC" w14:textId="7CFCF97A" w:rsidR="00150DE0" w:rsidRPr="00907AFD" w:rsidRDefault="00590C6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590C6E">
        <w:rPr>
          <w:rFonts w:eastAsia="Malgun Gothic"/>
          <w:bCs/>
          <w:lang w:val="fr-FR"/>
        </w:rPr>
        <w:t xml:space="preserve">Le </w:t>
      </w:r>
      <w:r w:rsidRPr="00590C6E">
        <w:rPr>
          <w:rFonts w:eastAsia="Malgun Gothic"/>
          <w:b/>
          <w:lang w:val="fr-FR"/>
        </w:rPr>
        <w:t>Président</w:t>
      </w:r>
      <w:r w:rsidRPr="00590C6E">
        <w:rPr>
          <w:rFonts w:eastAsia="Malgun Gothic"/>
          <w:bCs/>
          <w:lang w:val="fr-FR"/>
        </w:rPr>
        <w:t xml:space="preserve"> a souhaité la bienvenue aux délégués pour cette deuxième journée</w:t>
      </w:r>
      <w:r w:rsidR="002D5EE7">
        <w:rPr>
          <w:rFonts w:eastAsia="Malgun Gothic"/>
          <w:bCs/>
          <w:lang w:val="fr-FR"/>
        </w:rPr>
        <w:t xml:space="preserve"> de la réunion</w:t>
      </w:r>
      <w:r w:rsidRPr="00590C6E">
        <w:rPr>
          <w:rFonts w:eastAsia="Malgun Gothic"/>
          <w:bCs/>
          <w:lang w:val="fr-FR"/>
        </w:rPr>
        <w:t xml:space="preserve">, rappelant que le Comité </w:t>
      </w:r>
      <w:r w:rsidR="002D5EE7">
        <w:rPr>
          <w:rFonts w:eastAsia="Malgun Gothic"/>
          <w:bCs/>
          <w:lang w:val="fr-FR"/>
        </w:rPr>
        <w:t xml:space="preserve">en </w:t>
      </w:r>
      <w:r w:rsidRPr="00590C6E">
        <w:rPr>
          <w:rFonts w:eastAsia="Malgun Gothic"/>
          <w:bCs/>
          <w:lang w:val="fr-FR"/>
        </w:rPr>
        <w:t xml:space="preserve">avait </w:t>
      </w:r>
      <w:r w:rsidR="002D5EE7">
        <w:rPr>
          <w:rFonts w:eastAsia="Malgun Gothic"/>
          <w:bCs/>
          <w:lang w:val="fr-FR"/>
        </w:rPr>
        <w:t xml:space="preserve">terminé avec </w:t>
      </w:r>
      <w:r w:rsidRPr="00590C6E">
        <w:rPr>
          <w:rFonts w:eastAsia="Malgun Gothic"/>
          <w:bCs/>
          <w:lang w:val="fr-FR"/>
        </w:rPr>
        <w:t>les points</w:t>
      </w:r>
      <w:r w:rsidR="00907AFD">
        <w:rPr>
          <w:rFonts w:eastAsia="Malgun Gothic"/>
          <w:bCs/>
          <w:lang w:val="fr-FR"/>
        </w:rPr>
        <w:t> </w:t>
      </w:r>
      <w:r w:rsidRPr="00590C6E">
        <w:rPr>
          <w:rFonts w:eastAsia="Malgun Gothic"/>
          <w:bCs/>
          <w:lang w:val="fr-FR"/>
        </w:rPr>
        <w:t>1 à</w:t>
      </w:r>
      <w:r w:rsidR="00907AFD">
        <w:rPr>
          <w:rFonts w:eastAsia="Malgun Gothic"/>
          <w:bCs/>
          <w:lang w:val="fr-FR"/>
        </w:rPr>
        <w:t> </w:t>
      </w:r>
      <w:r w:rsidRPr="00907AFD">
        <w:rPr>
          <w:rFonts w:eastAsia="Malgun Gothic"/>
          <w:bCs/>
          <w:lang w:val="fr-FR"/>
        </w:rPr>
        <w:t>6.b de l</w:t>
      </w:r>
      <w:r w:rsidR="00923E72">
        <w:rPr>
          <w:rFonts w:eastAsia="Malgun Gothic"/>
          <w:bCs/>
          <w:lang w:val="fr-FR"/>
        </w:rPr>
        <w:t>’</w:t>
      </w:r>
      <w:r w:rsidRPr="00907AFD">
        <w:rPr>
          <w:rFonts w:eastAsia="Malgun Gothic"/>
          <w:bCs/>
          <w:lang w:val="fr-FR"/>
        </w:rPr>
        <w:t>ordre du jour. Le Bureau s</w:t>
      </w:r>
      <w:r w:rsidR="00923E72">
        <w:rPr>
          <w:rFonts w:eastAsia="Malgun Gothic"/>
          <w:bCs/>
          <w:lang w:val="fr-FR"/>
        </w:rPr>
        <w:t>’</w:t>
      </w:r>
      <w:r w:rsidRPr="00907AFD">
        <w:rPr>
          <w:rFonts w:eastAsia="Malgun Gothic"/>
          <w:bCs/>
          <w:lang w:val="fr-FR"/>
        </w:rPr>
        <w:t>était réuni pour la première fois dans la matinée pour discuter de plusieurs questions, à savoir la révision du calendrier des travaux du Comité. Le calendrier révisé avait été publié sur le site web consacré à la dix</w:t>
      </w:r>
      <w:r w:rsidR="00907AFD">
        <w:rPr>
          <w:rFonts w:eastAsia="Malgun Gothic"/>
          <w:bCs/>
          <w:lang w:val="fr-FR"/>
        </w:rPr>
        <w:noBreakHyphen/>
      </w:r>
      <w:r w:rsidRPr="00907AFD">
        <w:rPr>
          <w:rFonts w:eastAsia="Malgun Gothic"/>
          <w:bCs/>
          <w:lang w:val="fr-FR"/>
        </w:rPr>
        <w:t>septième session du Comité. La séance du jour débuterait par l</w:t>
      </w:r>
      <w:r w:rsidR="00923E72">
        <w:rPr>
          <w:rFonts w:eastAsia="Malgun Gothic"/>
          <w:bCs/>
          <w:lang w:val="fr-FR"/>
        </w:rPr>
        <w:t>’</w:t>
      </w:r>
      <w:r w:rsidRPr="00907AFD">
        <w:rPr>
          <w:rFonts w:eastAsia="Malgun Gothic"/>
          <w:bCs/>
          <w:lang w:val="fr-FR"/>
        </w:rPr>
        <w:t>examen du point</w:t>
      </w:r>
      <w:r w:rsidR="00907AFD">
        <w:rPr>
          <w:rFonts w:eastAsia="Malgun Gothic"/>
          <w:bCs/>
          <w:lang w:val="fr-FR"/>
        </w:rPr>
        <w:t> </w:t>
      </w:r>
      <w:r w:rsidRPr="00907AFD">
        <w:rPr>
          <w:rFonts w:eastAsia="Malgun Gothic"/>
          <w:bCs/>
          <w:lang w:val="fr-FR"/>
        </w:rPr>
        <w:t>6.c, suivi du point</w:t>
      </w:r>
      <w:r w:rsidR="00907AFD">
        <w:rPr>
          <w:rFonts w:eastAsia="Malgun Gothic"/>
          <w:bCs/>
          <w:lang w:val="fr-FR"/>
        </w:rPr>
        <w:t> </w:t>
      </w:r>
      <w:r w:rsidRPr="00907AFD">
        <w:rPr>
          <w:rFonts w:eastAsia="Malgun Gothic"/>
          <w:bCs/>
          <w:lang w:val="fr-FR"/>
        </w:rPr>
        <w:t>6.d et du point</w:t>
      </w:r>
      <w:r w:rsidR="00907AFD">
        <w:rPr>
          <w:rFonts w:eastAsia="Malgun Gothic"/>
          <w:bCs/>
          <w:lang w:val="fr-FR"/>
        </w:rPr>
        <w:t> </w:t>
      </w:r>
      <w:r w:rsidRPr="00907AFD">
        <w:rPr>
          <w:rFonts w:eastAsia="Malgun Gothic"/>
          <w:bCs/>
          <w:lang w:val="fr-FR"/>
        </w:rPr>
        <w:t xml:space="preserve">7. </w:t>
      </w:r>
      <w:r w:rsidR="002D5EE7" w:rsidRPr="00907AFD">
        <w:rPr>
          <w:rFonts w:eastAsia="Malgun Gothic"/>
          <w:bCs/>
          <w:lang w:val="fr-FR"/>
        </w:rPr>
        <w:t>La séance de l</w:t>
      </w:r>
      <w:r w:rsidR="00923E72">
        <w:rPr>
          <w:rFonts w:eastAsia="Malgun Gothic"/>
          <w:bCs/>
          <w:lang w:val="fr-FR"/>
        </w:rPr>
        <w:t>’</w:t>
      </w:r>
      <w:r w:rsidR="002D5EE7" w:rsidRPr="00907AFD">
        <w:rPr>
          <w:rFonts w:eastAsia="Malgun Gothic"/>
          <w:bCs/>
          <w:lang w:val="fr-FR"/>
        </w:rPr>
        <w:t>après-midi traiterait des points</w:t>
      </w:r>
      <w:r w:rsidR="00907AFD">
        <w:rPr>
          <w:rFonts w:eastAsia="Malgun Gothic"/>
          <w:bCs/>
          <w:lang w:val="fr-FR"/>
        </w:rPr>
        <w:t> </w:t>
      </w:r>
      <w:r w:rsidR="002D5EE7" w:rsidRPr="00907AFD">
        <w:rPr>
          <w:rFonts w:eastAsia="Malgun Gothic"/>
          <w:bCs/>
          <w:lang w:val="fr-FR"/>
        </w:rPr>
        <w:t>7.a et</w:t>
      </w:r>
      <w:r w:rsidR="00907AFD">
        <w:rPr>
          <w:rFonts w:eastAsia="Malgun Gothic"/>
          <w:bCs/>
          <w:lang w:val="fr-FR"/>
        </w:rPr>
        <w:t> </w:t>
      </w:r>
      <w:r w:rsidR="002D5EE7" w:rsidRPr="00907AFD">
        <w:rPr>
          <w:rFonts w:eastAsia="Malgun Gothic"/>
          <w:bCs/>
          <w:lang w:val="fr-FR"/>
        </w:rPr>
        <w:t xml:space="preserve">7.c. </w:t>
      </w:r>
      <w:r w:rsidRPr="00907AFD">
        <w:rPr>
          <w:rFonts w:eastAsia="Malgun Gothic"/>
          <w:bCs/>
          <w:lang w:val="fr-FR"/>
        </w:rPr>
        <w:t>Compte tenu de l</w:t>
      </w:r>
      <w:r w:rsidR="00923E72">
        <w:rPr>
          <w:rFonts w:eastAsia="Malgun Gothic"/>
          <w:bCs/>
          <w:lang w:val="fr-FR"/>
        </w:rPr>
        <w:t>’</w:t>
      </w:r>
      <w:r w:rsidRPr="00907AFD">
        <w:rPr>
          <w:rFonts w:eastAsia="Malgun Gothic"/>
          <w:bCs/>
          <w:lang w:val="fr-FR"/>
        </w:rPr>
        <w:t>ordre du jour chargé, il a été demandé aux membres d</w:t>
      </w:r>
      <w:r w:rsidR="00923E72">
        <w:rPr>
          <w:rFonts w:eastAsia="Malgun Gothic"/>
          <w:bCs/>
          <w:lang w:val="fr-FR"/>
        </w:rPr>
        <w:t>’</w:t>
      </w:r>
      <w:r w:rsidRPr="00907AFD">
        <w:rPr>
          <w:rFonts w:eastAsia="Malgun Gothic"/>
          <w:bCs/>
          <w:lang w:val="fr-FR"/>
        </w:rPr>
        <w:t xml:space="preserve">être brefs et concis dans leurs interventions. Le Président a fait remarquer </w:t>
      </w:r>
      <w:r w:rsidRPr="00907AFD">
        <w:rPr>
          <w:rFonts w:eastAsia="Malgun Gothic"/>
          <w:bCs/>
          <w:lang w:val="fr-FR"/>
        </w:rPr>
        <w:lastRenderedPageBreak/>
        <w:t>que la délégation du Kenya avait souhaité prendre la parole au titre du point</w:t>
      </w:r>
      <w:r w:rsidR="00907AFD">
        <w:rPr>
          <w:rFonts w:eastAsia="Malgun Gothic"/>
          <w:bCs/>
          <w:lang w:val="fr-FR"/>
        </w:rPr>
        <w:t> </w:t>
      </w:r>
      <w:r w:rsidRPr="00907AFD">
        <w:rPr>
          <w:rFonts w:eastAsia="Malgun Gothic"/>
          <w:bCs/>
          <w:lang w:val="fr-FR"/>
        </w:rPr>
        <w:t>6.a pour présenter l</w:t>
      </w:r>
      <w:r w:rsidR="00923E72">
        <w:rPr>
          <w:rFonts w:eastAsia="Malgun Gothic"/>
          <w:bCs/>
          <w:lang w:val="fr-FR"/>
        </w:rPr>
        <w:t>’</w:t>
      </w:r>
      <w:r w:rsidRPr="00907AFD">
        <w:rPr>
          <w:rFonts w:eastAsia="Malgun Gothic"/>
          <w:bCs/>
          <w:lang w:val="fr-FR"/>
        </w:rPr>
        <w:t>expérience du Kenya sur l</w:t>
      </w:r>
      <w:r w:rsidR="00923E72">
        <w:rPr>
          <w:rFonts w:eastAsia="Malgun Gothic"/>
          <w:bCs/>
          <w:lang w:val="fr-FR"/>
        </w:rPr>
        <w:t>’</w:t>
      </w:r>
      <w:r w:rsidRPr="00907AFD">
        <w:rPr>
          <w:rFonts w:eastAsia="Malgun Gothic"/>
          <w:bCs/>
          <w:lang w:val="fr-FR"/>
        </w:rPr>
        <w:t xml:space="preserve">élément inscrit sur la Liste de sauvegarde urgente </w:t>
      </w:r>
      <w:r w:rsidR="00907AFD">
        <w:rPr>
          <w:rFonts w:eastAsia="Malgun Gothic"/>
          <w:bCs/>
          <w:lang w:val="fr-FR"/>
        </w:rPr>
        <w:t>« L</w:t>
      </w:r>
      <w:r w:rsidRPr="00907AFD">
        <w:rPr>
          <w:rFonts w:eastAsia="Malgun Gothic"/>
          <w:bCs/>
          <w:lang w:val="fr-FR"/>
        </w:rPr>
        <w:t xml:space="preserve">es traditions et pratiques associées aux </w:t>
      </w:r>
      <w:proofErr w:type="spellStart"/>
      <w:r w:rsidRPr="00907AFD">
        <w:rPr>
          <w:rFonts w:eastAsia="Malgun Gothic"/>
          <w:bCs/>
          <w:lang w:val="fr-FR"/>
        </w:rPr>
        <w:t>Kayas</w:t>
      </w:r>
      <w:proofErr w:type="spellEnd"/>
      <w:r w:rsidRPr="00907AFD">
        <w:rPr>
          <w:rFonts w:eastAsia="Malgun Gothic"/>
          <w:bCs/>
          <w:lang w:val="fr-FR"/>
        </w:rPr>
        <w:t xml:space="preserve"> dans les forêts sacrées des </w:t>
      </w:r>
      <w:proofErr w:type="spellStart"/>
      <w:r w:rsidRPr="00907AFD">
        <w:rPr>
          <w:rFonts w:eastAsia="Malgun Gothic"/>
          <w:bCs/>
          <w:lang w:val="fr-FR"/>
        </w:rPr>
        <w:t>Mijikenda</w:t>
      </w:r>
      <w:proofErr w:type="spellEnd"/>
      <w:r w:rsidR="00907AFD">
        <w:rPr>
          <w:rFonts w:eastAsia="Malgun Gothic"/>
          <w:bCs/>
          <w:lang w:val="fr-FR"/>
        </w:rPr>
        <w:t> »</w:t>
      </w:r>
      <w:r w:rsidRPr="00907AFD">
        <w:rPr>
          <w:rFonts w:eastAsia="Malgun Gothic"/>
          <w:bCs/>
          <w:lang w:val="fr-FR"/>
        </w:rPr>
        <w:t>, et que la parole lui était désormais donnée pour faire part de son expérience.</w:t>
      </w:r>
    </w:p>
    <w:p w14:paraId="32BA60BE" w14:textId="263151D0" w:rsidR="004553E3" w:rsidRDefault="00906F1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906F15">
        <w:rPr>
          <w:rFonts w:eastAsia="Malgun Gothic"/>
          <w:bCs/>
          <w:lang w:val="fr-FR"/>
        </w:rPr>
        <w:t xml:space="preserve">La délégation du </w:t>
      </w:r>
      <w:r w:rsidRPr="00906F15">
        <w:rPr>
          <w:rFonts w:eastAsia="Malgun Gothic"/>
          <w:b/>
          <w:lang w:val="fr-FR"/>
        </w:rPr>
        <w:t>Kenya</w:t>
      </w:r>
      <w:r w:rsidRPr="00906F15">
        <w:rPr>
          <w:rFonts w:eastAsia="Malgun Gothic"/>
          <w:bCs/>
          <w:lang w:val="fr-FR"/>
        </w:rPr>
        <w:t xml:space="preserve"> a félicité le Président pour son élection, exprimant sa gratitude et son appréciation pour l</w:t>
      </w:r>
      <w:r w:rsidR="00923E72">
        <w:rPr>
          <w:rFonts w:eastAsia="Malgun Gothic"/>
          <w:bCs/>
          <w:lang w:val="fr-FR"/>
        </w:rPr>
        <w:t>’</w:t>
      </w:r>
      <w:r w:rsidRPr="00906F15">
        <w:rPr>
          <w:rFonts w:eastAsia="Malgun Gothic"/>
          <w:bCs/>
          <w:lang w:val="fr-FR"/>
        </w:rPr>
        <w:t>hospitalité manifestée par le peuple du Maroc. Elle a remercié le Secrétariat pour son soutien, ses conseils et ses orientations, en particulier lorsque le Kenya avait dû satisfaire à ses obligations en tant qu</w:t>
      </w:r>
      <w:r w:rsidR="00923E72">
        <w:rPr>
          <w:rFonts w:eastAsia="Malgun Gothic"/>
          <w:bCs/>
          <w:lang w:val="fr-FR"/>
        </w:rPr>
        <w:t>’</w:t>
      </w:r>
      <w:r w:rsidRPr="00906F15">
        <w:rPr>
          <w:rFonts w:eastAsia="Malgun Gothic"/>
          <w:bCs/>
          <w:lang w:val="fr-FR"/>
        </w:rPr>
        <w:t>État partie. S</w:t>
      </w:r>
      <w:r w:rsidR="00923E72">
        <w:rPr>
          <w:rFonts w:eastAsia="Malgun Gothic"/>
          <w:bCs/>
          <w:lang w:val="fr-FR"/>
        </w:rPr>
        <w:t>’</w:t>
      </w:r>
      <w:r w:rsidRPr="00906F15">
        <w:rPr>
          <w:rFonts w:eastAsia="Malgun Gothic"/>
          <w:bCs/>
          <w:lang w:val="fr-FR"/>
        </w:rPr>
        <w:t>agissant de</w:t>
      </w:r>
      <w:r w:rsidR="00786648">
        <w:rPr>
          <w:rFonts w:eastAsia="Malgun Gothic"/>
          <w:bCs/>
          <w:lang w:val="fr-FR"/>
        </w:rPr>
        <w:t xml:space="preserve"> l</w:t>
      </w:r>
      <w:r w:rsidR="00923E72">
        <w:rPr>
          <w:rFonts w:eastAsia="Malgun Gothic"/>
          <w:bCs/>
          <w:lang w:val="fr-FR"/>
        </w:rPr>
        <w:t>’</w:t>
      </w:r>
      <w:r w:rsidR="00786648">
        <w:rPr>
          <w:rFonts w:eastAsia="Malgun Gothic"/>
          <w:bCs/>
          <w:lang w:val="fr-FR"/>
        </w:rPr>
        <w:t>élément</w:t>
      </w:r>
      <w:r w:rsidRPr="00906F15">
        <w:rPr>
          <w:rFonts w:eastAsia="Malgun Gothic"/>
          <w:bCs/>
          <w:lang w:val="fr-FR"/>
        </w:rPr>
        <w:t xml:space="preserve"> </w:t>
      </w:r>
      <w:r w:rsidR="00907AFD">
        <w:rPr>
          <w:rFonts w:eastAsia="Malgun Gothic"/>
          <w:bCs/>
          <w:lang w:val="fr-FR"/>
        </w:rPr>
        <w:t>« </w:t>
      </w:r>
      <w:r w:rsidR="00786648">
        <w:rPr>
          <w:rFonts w:eastAsia="Malgun Gothic"/>
          <w:bCs/>
          <w:lang w:val="fr-FR"/>
        </w:rPr>
        <w:t xml:space="preserve">Les </w:t>
      </w:r>
      <w:r w:rsidRPr="00906F15">
        <w:rPr>
          <w:rFonts w:eastAsia="Malgun Gothic"/>
          <w:bCs/>
          <w:lang w:val="fr-FR"/>
        </w:rPr>
        <w:t xml:space="preserve">traditions et pratiques associées aux </w:t>
      </w:r>
      <w:proofErr w:type="spellStart"/>
      <w:r w:rsidRPr="00906F15">
        <w:rPr>
          <w:rFonts w:eastAsia="Malgun Gothic"/>
          <w:bCs/>
          <w:lang w:val="fr-FR"/>
        </w:rPr>
        <w:t>Kayas</w:t>
      </w:r>
      <w:proofErr w:type="spellEnd"/>
      <w:r w:rsidRPr="00906F15">
        <w:rPr>
          <w:rFonts w:eastAsia="Malgun Gothic"/>
          <w:bCs/>
          <w:lang w:val="fr-FR"/>
        </w:rPr>
        <w:t xml:space="preserve"> dans les forêts sacrées des </w:t>
      </w:r>
      <w:proofErr w:type="spellStart"/>
      <w:r w:rsidRPr="00906F15">
        <w:rPr>
          <w:rFonts w:eastAsia="Malgun Gothic"/>
          <w:bCs/>
          <w:lang w:val="fr-FR"/>
        </w:rPr>
        <w:t>Mijikenda</w:t>
      </w:r>
      <w:proofErr w:type="spellEnd"/>
      <w:r w:rsidR="00907AFD">
        <w:rPr>
          <w:rFonts w:eastAsia="Malgun Gothic"/>
          <w:bCs/>
          <w:lang w:val="fr-FR"/>
        </w:rPr>
        <w:t> »</w:t>
      </w:r>
      <w:r w:rsidRPr="00906F15">
        <w:rPr>
          <w:rFonts w:eastAsia="Malgun Gothic"/>
          <w:bCs/>
          <w:lang w:val="fr-FR"/>
        </w:rPr>
        <w:t>, la délégation a indiqué qu</w:t>
      </w:r>
      <w:r w:rsidR="00923E72">
        <w:rPr>
          <w:rFonts w:eastAsia="Malgun Gothic"/>
          <w:bCs/>
          <w:lang w:val="fr-FR"/>
        </w:rPr>
        <w:t>’</w:t>
      </w:r>
      <w:r w:rsidRPr="00906F15">
        <w:rPr>
          <w:rFonts w:eastAsia="Malgun Gothic"/>
          <w:bCs/>
          <w:lang w:val="fr-FR"/>
        </w:rPr>
        <w:t>en consultation avec les praticiens de cet élément, elle avait révisé le plan de sauvegarde et les mesures en place pour les ajuster aux besoins et aux capacités des praticiens et des détenteurs de cet élément. L</w:t>
      </w:r>
      <w:r w:rsidR="00923E72">
        <w:rPr>
          <w:rFonts w:eastAsia="Malgun Gothic"/>
          <w:bCs/>
          <w:lang w:val="fr-FR"/>
        </w:rPr>
        <w:t>’</w:t>
      </w:r>
      <w:r w:rsidRPr="00906F15">
        <w:rPr>
          <w:rFonts w:eastAsia="Malgun Gothic"/>
          <w:bCs/>
          <w:lang w:val="fr-FR"/>
        </w:rPr>
        <w:t xml:space="preserve">État partie avait évalué les expériences des plans et mesures précédents afin de mettre en place des mécanismes plus efficaces qui renforceraient la sauvegarde de cet élément. Parmi ces mécanismes, on pouvait citer </w:t>
      </w:r>
      <w:r>
        <w:rPr>
          <w:rFonts w:eastAsia="Malgun Gothic"/>
          <w:bCs/>
          <w:lang w:val="fr-FR"/>
        </w:rPr>
        <w:t>les projets d</w:t>
      </w:r>
      <w:r w:rsidR="00923E72">
        <w:rPr>
          <w:rFonts w:eastAsia="Malgun Gothic"/>
          <w:bCs/>
          <w:lang w:val="fr-FR"/>
        </w:rPr>
        <w:t>’</w:t>
      </w:r>
      <w:r w:rsidRPr="00906F15">
        <w:rPr>
          <w:rFonts w:eastAsia="Malgun Gothic"/>
          <w:bCs/>
          <w:lang w:val="fr-FR"/>
        </w:rPr>
        <w:t xml:space="preserve">inventaire et </w:t>
      </w:r>
      <w:r>
        <w:rPr>
          <w:rFonts w:eastAsia="Malgun Gothic"/>
          <w:bCs/>
          <w:lang w:val="fr-FR"/>
        </w:rPr>
        <w:t xml:space="preserve">de </w:t>
      </w:r>
      <w:r w:rsidRPr="00906F15">
        <w:rPr>
          <w:rFonts w:eastAsia="Malgun Gothic"/>
          <w:bCs/>
          <w:lang w:val="fr-FR"/>
        </w:rPr>
        <w:t>rédaction de rapports périodiques</w:t>
      </w:r>
      <w:r w:rsidR="004553E3" w:rsidRPr="004553E3">
        <w:rPr>
          <w:rFonts w:eastAsia="Malgun Gothic"/>
          <w:bCs/>
          <w:lang w:val="fr-FR"/>
        </w:rPr>
        <w:t xml:space="preserve"> </w:t>
      </w:r>
      <w:r w:rsidR="004553E3">
        <w:rPr>
          <w:rFonts w:eastAsia="Malgun Gothic"/>
          <w:bCs/>
          <w:lang w:val="fr-FR"/>
        </w:rPr>
        <w:t xml:space="preserve">avec la participation des </w:t>
      </w:r>
      <w:r w:rsidR="004553E3" w:rsidRPr="00906F15">
        <w:rPr>
          <w:rFonts w:eastAsia="Malgun Gothic"/>
          <w:bCs/>
          <w:lang w:val="fr-FR"/>
        </w:rPr>
        <w:t>communaut</w:t>
      </w:r>
      <w:r w:rsidR="004553E3">
        <w:rPr>
          <w:rFonts w:eastAsia="Malgun Gothic"/>
          <w:bCs/>
          <w:lang w:val="fr-FR"/>
        </w:rPr>
        <w:t>és</w:t>
      </w:r>
      <w:r>
        <w:rPr>
          <w:rFonts w:eastAsia="Malgun Gothic"/>
          <w:bCs/>
          <w:lang w:val="fr-FR"/>
        </w:rPr>
        <w:t xml:space="preserve"> ainsi que</w:t>
      </w:r>
      <w:r w:rsidRPr="00906F15">
        <w:rPr>
          <w:rFonts w:eastAsia="Malgun Gothic"/>
          <w:bCs/>
          <w:lang w:val="fr-FR"/>
        </w:rPr>
        <w:t xml:space="preserve"> les ateliers de renforcement des capacités avec les praticiens et les autres parties prenantes qui travaillaient avec la communauté. L</w:t>
      </w:r>
      <w:r w:rsidR="00923E72">
        <w:rPr>
          <w:rFonts w:eastAsia="Malgun Gothic"/>
          <w:bCs/>
          <w:lang w:val="fr-FR"/>
        </w:rPr>
        <w:t>’</w:t>
      </w:r>
      <w:r w:rsidRPr="00906F15">
        <w:rPr>
          <w:rFonts w:eastAsia="Malgun Gothic"/>
          <w:bCs/>
          <w:lang w:val="fr-FR"/>
        </w:rPr>
        <w:t>État partie avait prévu dans ses projections budgétaires un soutien financier pour permettre l</w:t>
      </w:r>
      <w:r w:rsidR="00923E72">
        <w:rPr>
          <w:rFonts w:eastAsia="Malgun Gothic"/>
          <w:bCs/>
          <w:lang w:val="fr-FR"/>
        </w:rPr>
        <w:t>’</w:t>
      </w:r>
      <w:r w:rsidRPr="00906F15">
        <w:rPr>
          <w:rFonts w:eastAsia="Malgun Gothic"/>
          <w:bCs/>
          <w:lang w:val="fr-FR"/>
        </w:rPr>
        <w:t>acquisition d</w:t>
      </w:r>
      <w:r w:rsidR="00923E72">
        <w:rPr>
          <w:rFonts w:eastAsia="Malgun Gothic"/>
          <w:bCs/>
          <w:lang w:val="fr-FR"/>
        </w:rPr>
        <w:t>’</w:t>
      </w:r>
      <w:r w:rsidRPr="00906F15">
        <w:rPr>
          <w:rFonts w:eastAsia="Malgun Gothic"/>
          <w:bCs/>
          <w:lang w:val="fr-FR"/>
        </w:rPr>
        <w:t xml:space="preserve">équipements de base à utiliser pour la documentation des rituels et des activités associés aux </w:t>
      </w:r>
      <w:proofErr w:type="spellStart"/>
      <w:r w:rsidRPr="00906F15">
        <w:rPr>
          <w:rFonts w:eastAsia="Malgun Gothic"/>
          <w:bCs/>
          <w:lang w:val="fr-FR"/>
        </w:rPr>
        <w:t>Kayas</w:t>
      </w:r>
      <w:proofErr w:type="spellEnd"/>
      <w:r w:rsidRPr="00906F15">
        <w:rPr>
          <w:rFonts w:eastAsia="Malgun Gothic"/>
          <w:bCs/>
          <w:lang w:val="fr-FR"/>
        </w:rPr>
        <w:t xml:space="preserve"> dans les forêts sacrées des </w:t>
      </w:r>
      <w:proofErr w:type="spellStart"/>
      <w:r w:rsidRPr="00906F15">
        <w:rPr>
          <w:rFonts w:eastAsia="Malgun Gothic"/>
          <w:bCs/>
          <w:lang w:val="fr-FR"/>
        </w:rPr>
        <w:t>Mijikenda</w:t>
      </w:r>
      <w:proofErr w:type="spellEnd"/>
      <w:r w:rsidRPr="00906F15">
        <w:rPr>
          <w:rFonts w:eastAsia="Malgun Gothic"/>
          <w:bCs/>
          <w:lang w:val="fr-FR"/>
        </w:rPr>
        <w:t>, afin que la communauté puisse être au cœur de la gestion de la documentation et de l</w:t>
      </w:r>
      <w:r w:rsidR="00923E72">
        <w:rPr>
          <w:rFonts w:eastAsia="Malgun Gothic"/>
          <w:bCs/>
          <w:lang w:val="fr-FR"/>
        </w:rPr>
        <w:t>’</w:t>
      </w:r>
      <w:r w:rsidRPr="00906F15">
        <w:rPr>
          <w:rFonts w:eastAsia="Malgun Gothic"/>
          <w:bCs/>
          <w:lang w:val="fr-FR"/>
        </w:rPr>
        <w:t>inventaire de son patrimoine culturel immatériel. Ces efforts avaient été déployés pour assurer la mise en place d</w:t>
      </w:r>
      <w:r w:rsidR="00923E72">
        <w:rPr>
          <w:rFonts w:eastAsia="Malgun Gothic"/>
          <w:bCs/>
          <w:lang w:val="fr-FR"/>
        </w:rPr>
        <w:t>’</w:t>
      </w:r>
      <w:r w:rsidRPr="00906F15">
        <w:rPr>
          <w:rFonts w:eastAsia="Malgun Gothic"/>
          <w:bCs/>
          <w:lang w:val="fr-FR"/>
        </w:rPr>
        <w:t>un site web spécifique pour l</w:t>
      </w:r>
      <w:r w:rsidR="00923E72">
        <w:rPr>
          <w:rFonts w:eastAsia="Malgun Gothic"/>
          <w:bCs/>
          <w:lang w:val="fr-FR"/>
        </w:rPr>
        <w:t>’</w:t>
      </w:r>
      <w:r w:rsidRPr="00906F15">
        <w:rPr>
          <w:rFonts w:eastAsia="Malgun Gothic"/>
          <w:bCs/>
          <w:lang w:val="fr-FR"/>
        </w:rPr>
        <w:t>élément, géré par les praticiens. Cette initiative était en train d</w:t>
      </w:r>
      <w:r w:rsidR="00923E72">
        <w:rPr>
          <w:rFonts w:eastAsia="Malgun Gothic"/>
          <w:bCs/>
          <w:lang w:val="fr-FR"/>
        </w:rPr>
        <w:t>’</w:t>
      </w:r>
      <w:r w:rsidRPr="00906F15">
        <w:rPr>
          <w:rFonts w:eastAsia="Malgun Gothic"/>
          <w:bCs/>
          <w:lang w:val="fr-FR"/>
        </w:rPr>
        <w:t>être étendue à d</w:t>
      </w:r>
      <w:r w:rsidR="00923E72">
        <w:rPr>
          <w:rFonts w:eastAsia="Malgun Gothic"/>
          <w:bCs/>
          <w:lang w:val="fr-FR"/>
        </w:rPr>
        <w:t>’</w:t>
      </w:r>
      <w:r w:rsidRPr="00906F15">
        <w:rPr>
          <w:rFonts w:eastAsia="Malgun Gothic"/>
          <w:bCs/>
          <w:lang w:val="fr-FR"/>
        </w:rPr>
        <w:t>autres communautés, y compris celles qui n</w:t>
      </w:r>
      <w:r w:rsidR="00923E72">
        <w:rPr>
          <w:rFonts w:eastAsia="Malgun Gothic"/>
          <w:bCs/>
          <w:lang w:val="fr-FR"/>
        </w:rPr>
        <w:t>’</w:t>
      </w:r>
      <w:r w:rsidR="004553E3">
        <w:rPr>
          <w:rFonts w:eastAsia="Malgun Gothic"/>
          <w:bCs/>
          <w:lang w:val="fr-FR"/>
        </w:rPr>
        <w:t xml:space="preserve">avaient </w:t>
      </w:r>
      <w:r w:rsidRPr="00906F15">
        <w:rPr>
          <w:rFonts w:eastAsia="Malgun Gothic"/>
          <w:bCs/>
          <w:lang w:val="fr-FR"/>
        </w:rPr>
        <w:t>pas d</w:t>
      </w:r>
      <w:r w:rsidR="00923E72">
        <w:rPr>
          <w:rFonts w:eastAsia="Malgun Gothic"/>
          <w:bCs/>
          <w:lang w:val="fr-FR"/>
        </w:rPr>
        <w:t>’</w:t>
      </w:r>
      <w:r w:rsidRPr="00906F15">
        <w:rPr>
          <w:rFonts w:eastAsia="Malgun Gothic"/>
          <w:bCs/>
          <w:lang w:val="fr-FR"/>
        </w:rPr>
        <w:t>élément inscrit sur les listes du patrimoine culturel immatériel de l</w:t>
      </w:r>
      <w:r w:rsidR="00923E72">
        <w:rPr>
          <w:rFonts w:eastAsia="Malgun Gothic"/>
          <w:bCs/>
          <w:lang w:val="fr-FR"/>
        </w:rPr>
        <w:t>’</w:t>
      </w:r>
      <w:r w:rsidRPr="00906F15">
        <w:rPr>
          <w:rFonts w:eastAsia="Malgun Gothic"/>
          <w:bCs/>
          <w:lang w:val="fr-FR"/>
        </w:rPr>
        <w:t>UNESCO. Le Kenya s</w:t>
      </w:r>
      <w:r w:rsidR="00923E72">
        <w:rPr>
          <w:rFonts w:eastAsia="Malgun Gothic"/>
          <w:bCs/>
          <w:lang w:val="fr-FR"/>
        </w:rPr>
        <w:t>’</w:t>
      </w:r>
      <w:r w:rsidRPr="00906F15">
        <w:rPr>
          <w:rFonts w:eastAsia="Malgun Gothic"/>
          <w:bCs/>
          <w:lang w:val="fr-FR"/>
        </w:rPr>
        <w:t>est engagé à reconnaître ces trésors vivants de cette communauté et d</w:t>
      </w:r>
      <w:r w:rsidR="00923E72">
        <w:rPr>
          <w:rFonts w:eastAsia="Malgun Gothic"/>
          <w:bCs/>
          <w:lang w:val="fr-FR"/>
        </w:rPr>
        <w:t>’</w:t>
      </w:r>
      <w:r w:rsidRPr="00906F15">
        <w:rPr>
          <w:rFonts w:eastAsia="Malgun Gothic"/>
          <w:bCs/>
          <w:lang w:val="fr-FR"/>
        </w:rPr>
        <w:t xml:space="preserve">autres communautés en les désignant comme </w:t>
      </w:r>
      <w:r w:rsidR="004553E3">
        <w:rPr>
          <w:rFonts w:eastAsia="Malgun Gothic"/>
          <w:bCs/>
          <w:lang w:val="fr-FR"/>
        </w:rPr>
        <w:t>« </w:t>
      </w:r>
      <w:r w:rsidRPr="00906F15">
        <w:rPr>
          <w:rFonts w:eastAsia="Malgun Gothic"/>
          <w:bCs/>
          <w:lang w:val="fr-FR"/>
        </w:rPr>
        <w:t>héros et héroïnes nationaux</w:t>
      </w:r>
      <w:r w:rsidR="004553E3">
        <w:rPr>
          <w:rFonts w:eastAsia="Malgun Gothic"/>
          <w:bCs/>
          <w:lang w:val="fr-FR"/>
        </w:rPr>
        <w:t> »</w:t>
      </w:r>
      <w:r w:rsidRPr="00906F15">
        <w:rPr>
          <w:rFonts w:eastAsia="Malgun Gothic"/>
          <w:bCs/>
          <w:lang w:val="fr-FR"/>
        </w:rPr>
        <w:t xml:space="preserve"> dans une catégorie spéciale de personnes et de groupes ayant apporté une contribution considérable à la sauvegarde du patrimoine culturel immatériel dans les communautés kenyanes</w:t>
      </w:r>
      <w:r w:rsidR="004553E3">
        <w:rPr>
          <w:rFonts w:eastAsia="Malgun Gothic"/>
          <w:bCs/>
          <w:lang w:val="fr-FR"/>
        </w:rPr>
        <w:t>,</w:t>
      </w:r>
      <w:r w:rsidRPr="00906F15">
        <w:rPr>
          <w:rFonts w:eastAsia="Malgun Gothic"/>
          <w:bCs/>
          <w:lang w:val="fr-FR"/>
        </w:rPr>
        <w:t xml:space="preserve"> au cours des célébrations annuelles de </w:t>
      </w:r>
      <w:proofErr w:type="spellStart"/>
      <w:r w:rsidRPr="00906F15">
        <w:rPr>
          <w:rFonts w:eastAsia="Malgun Gothic"/>
          <w:bCs/>
          <w:lang w:val="fr-FR"/>
        </w:rPr>
        <w:t>Mashujaa</w:t>
      </w:r>
      <w:proofErr w:type="spellEnd"/>
      <w:r w:rsidRPr="00906F15">
        <w:rPr>
          <w:rFonts w:eastAsia="Malgun Gothic"/>
          <w:bCs/>
          <w:lang w:val="fr-FR"/>
        </w:rPr>
        <w:t xml:space="preserve"> ou Journée des héros.</w:t>
      </w:r>
    </w:p>
    <w:p w14:paraId="20294B6B" w14:textId="4D1C649D" w:rsidR="004553E3" w:rsidRPr="004553E3" w:rsidRDefault="004553E3" w:rsidP="004553E3">
      <w:pPr>
        <w:pStyle w:val="Orateurengris"/>
        <w:keepNext/>
        <w:tabs>
          <w:tab w:val="clear" w:pos="709"/>
          <w:tab w:val="clear" w:pos="1418"/>
          <w:tab w:val="clear" w:pos="2126"/>
          <w:tab w:val="clear" w:pos="2835"/>
        </w:tabs>
        <w:spacing w:before="360" w:after="60"/>
        <w:jc w:val="left"/>
        <w:outlineLvl w:val="0"/>
        <w:rPr>
          <w:b/>
          <w:color w:val="000000" w:themeColor="text1"/>
          <w:lang w:val="fr-FR"/>
        </w:rPr>
      </w:pPr>
      <w:r>
        <w:rPr>
          <w:b/>
          <w:color w:val="000000" w:themeColor="text1"/>
          <w:u w:val="single"/>
          <w:lang w:val="fr-FR"/>
        </w:rPr>
        <w:t>POINT</w:t>
      </w:r>
      <w:r w:rsidR="002B668C">
        <w:rPr>
          <w:b/>
          <w:color w:val="000000" w:themeColor="text1"/>
          <w:u w:val="single"/>
          <w:lang w:val="fr-FR"/>
        </w:rPr>
        <w:t> </w:t>
      </w:r>
      <w:r>
        <w:rPr>
          <w:b/>
          <w:color w:val="000000" w:themeColor="text1"/>
          <w:u w:val="single"/>
          <w:lang w:val="fr-FR"/>
        </w:rPr>
        <w:t>6.c DE L</w:t>
      </w:r>
      <w:r w:rsidR="00923E72">
        <w:rPr>
          <w:b/>
          <w:color w:val="000000" w:themeColor="text1"/>
          <w:u w:val="single"/>
          <w:lang w:val="fr-FR"/>
        </w:rPr>
        <w:t>’</w:t>
      </w:r>
      <w:r w:rsidRPr="004553E3">
        <w:rPr>
          <w:b/>
          <w:color w:val="000000" w:themeColor="text1"/>
          <w:u w:val="single"/>
          <w:lang w:val="fr-FR"/>
        </w:rPr>
        <w:t>ORDRE DU JOUR</w:t>
      </w:r>
      <w:r>
        <w:rPr>
          <w:b/>
          <w:color w:val="000000" w:themeColor="text1"/>
          <w:lang w:val="fr-FR"/>
        </w:rPr>
        <w:t> :</w:t>
      </w:r>
    </w:p>
    <w:p w14:paraId="219202C1" w14:textId="51274A4D" w:rsidR="004553E3" w:rsidRPr="004553E3" w:rsidRDefault="004553E3" w:rsidP="00702497">
      <w:pPr>
        <w:jc w:val="both"/>
        <w:rPr>
          <w:b/>
          <w:bCs/>
          <w:sz w:val="22"/>
          <w:szCs w:val="22"/>
        </w:rPr>
      </w:pPr>
      <w:r w:rsidRPr="004553E3">
        <w:rPr>
          <w:rFonts w:ascii="Arial" w:hAnsi="Arial" w:cs="Arial"/>
          <w:b/>
          <w:bCs/>
          <w:color w:val="212121"/>
          <w:sz w:val="22"/>
          <w:szCs w:val="22"/>
          <w:shd w:val="clear" w:color="auto" w:fill="FFFFFF"/>
        </w:rPr>
        <w:t>POINT SUR LE PREMIER CYCLE DE RAPPORTS PÉRIODIQUES SUR LA MISE EN ŒUVRE DE LA CONVENTION ET SUR L</w:t>
      </w:r>
      <w:r w:rsidR="00923E72">
        <w:rPr>
          <w:rFonts w:ascii="Arial" w:hAnsi="Arial" w:cs="Arial"/>
          <w:b/>
          <w:bCs/>
          <w:color w:val="212121"/>
          <w:sz w:val="22"/>
          <w:szCs w:val="22"/>
          <w:shd w:val="clear" w:color="auto" w:fill="FFFFFF"/>
        </w:rPr>
        <w:t>’</w:t>
      </w:r>
      <w:r w:rsidRPr="004553E3">
        <w:rPr>
          <w:rFonts w:ascii="Arial" w:hAnsi="Arial" w:cs="Arial"/>
          <w:b/>
          <w:bCs/>
          <w:color w:val="212121"/>
          <w:sz w:val="22"/>
          <w:szCs w:val="22"/>
          <w:shd w:val="clear" w:color="auto" w:fill="FFFFFF"/>
        </w:rPr>
        <w:t>ÉTAT ACTUEL DES ÉLÉMENTS INSCRITS SUR LA LISTE REPRÉSENTATIVE DU PATRIMOINE CULTUREL IMMATÉRIEL DE L</w:t>
      </w:r>
      <w:r w:rsidR="00923E72">
        <w:rPr>
          <w:rFonts w:ascii="Arial" w:hAnsi="Arial" w:cs="Arial"/>
          <w:b/>
          <w:bCs/>
          <w:color w:val="212121"/>
          <w:sz w:val="22"/>
          <w:szCs w:val="22"/>
          <w:shd w:val="clear" w:color="auto" w:fill="FFFFFF"/>
        </w:rPr>
        <w:t>’</w:t>
      </w:r>
      <w:r w:rsidRPr="004553E3">
        <w:rPr>
          <w:rFonts w:ascii="Arial" w:hAnsi="Arial" w:cs="Arial"/>
          <w:b/>
          <w:bCs/>
          <w:color w:val="212121"/>
          <w:sz w:val="22"/>
          <w:szCs w:val="22"/>
          <w:shd w:val="clear" w:color="auto" w:fill="FFFFFF"/>
        </w:rPr>
        <w:t>HUMANITÉ DES ÉTATS PARTIES D</w:t>
      </w:r>
      <w:r w:rsidR="00923E72">
        <w:rPr>
          <w:rFonts w:ascii="Arial" w:hAnsi="Arial" w:cs="Arial"/>
          <w:b/>
          <w:bCs/>
          <w:color w:val="212121"/>
          <w:sz w:val="22"/>
          <w:szCs w:val="22"/>
          <w:shd w:val="clear" w:color="auto" w:fill="FFFFFF"/>
        </w:rPr>
        <w:t>’</w:t>
      </w:r>
      <w:r w:rsidRPr="004553E3">
        <w:rPr>
          <w:rFonts w:ascii="Arial" w:hAnsi="Arial" w:cs="Arial"/>
          <w:b/>
          <w:bCs/>
          <w:color w:val="212121"/>
          <w:sz w:val="22"/>
          <w:szCs w:val="22"/>
          <w:shd w:val="clear" w:color="auto" w:fill="FFFFFF"/>
        </w:rPr>
        <w:t>AMÉRIQUE LATINE ET DES CARAÏBES (CYCLE</w:t>
      </w:r>
      <w:r w:rsidR="002B668C">
        <w:rPr>
          <w:rFonts w:ascii="Arial" w:hAnsi="Arial" w:cs="Arial"/>
          <w:b/>
          <w:bCs/>
          <w:color w:val="212121"/>
          <w:sz w:val="22"/>
          <w:szCs w:val="22"/>
          <w:shd w:val="clear" w:color="auto" w:fill="FFFFFF"/>
        </w:rPr>
        <w:t> </w:t>
      </w:r>
      <w:r w:rsidRPr="004553E3">
        <w:rPr>
          <w:rFonts w:ascii="Arial" w:hAnsi="Arial" w:cs="Arial"/>
          <w:b/>
          <w:bCs/>
          <w:color w:val="212121"/>
          <w:sz w:val="22"/>
          <w:szCs w:val="22"/>
          <w:shd w:val="clear" w:color="auto" w:fill="FFFFFF"/>
        </w:rPr>
        <w:t>2021), DES ÉTATS ARABES (CYCLE</w:t>
      </w:r>
      <w:r w:rsidR="002B668C">
        <w:rPr>
          <w:rFonts w:ascii="Arial" w:hAnsi="Arial" w:cs="Arial"/>
          <w:b/>
          <w:bCs/>
          <w:color w:val="212121"/>
          <w:sz w:val="22"/>
          <w:szCs w:val="22"/>
          <w:shd w:val="clear" w:color="auto" w:fill="FFFFFF"/>
        </w:rPr>
        <w:t> </w:t>
      </w:r>
      <w:r w:rsidRPr="004553E3">
        <w:rPr>
          <w:rFonts w:ascii="Arial" w:hAnsi="Arial" w:cs="Arial"/>
          <w:b/>
          <w:bCs/>
          <w:color w:val="212121"/>
          <w:sz w:val="22"/>
          <w:szCs w:val="22"/>
          <w:shd w:val="clear" w:color="auto" w:fill="FFFFFF"/>
        </w:rPr>
        <w:t>2023) ET EN AFRIQUE (CYCLE</w:t>
      </w:r>
      <w:r w:rsidR="002B668C">
        <w:rPr>
          <w:rFonts w:ascii="Arial" w:hAnsi="Arial" w:cs="Arial"/>
          <w:b/>
          <w:bCs/>
          <w:color w:val="212121"/>
          <w:sz w:val="22"/>
          <w:szCs w:val="22"/>
          <w:shd w:val="clear" w:color="auto" w:fill="FFFFFF"/>
        </w:rPr>
        <w:t> </w:t>
      </w:r>
      <w:r w:rsidRPr="004553E3">
        <w:rPr>
          <w:rFonts w:ascii="Arial" w:hAnsi="Arial" w:cs="Arial"/>
          <w:b/>
          <w:bCs/>
          <w:color w:val="212121"/>
          <w:sz w:val="22"/>
          <w:szCs w:val="22"/>
          <w:shd w:val="clear" w:color="auto" w:fill="FFFFFF"/>
        </w:rPr>
        <w:t>2024)</w:t>
      </w:r>
    </w:p>
    <w:p w14:paraId="6DBB4EC8" w14:textId="77777777" w:rsidR="004553E3" w:rsidRPr="004553E3" w:rsidRDefault="004553E3" w:rsidP="007B3084">
      <w:pPr>
        <w:pStyle w:val="Orateurengris"/>
        <w:tabs>
          <w:tab w:val="clear" w:pos="709"/>
          <w:tab w:val="clear" w:pos="1418"/>
          <w:tab w:val="clear" w:pos="2126"/>
          <w:tab w:val="clear" w:pos="2835"/>
        </w:tabs>
        <w:spacing w:after="0"/>
        <w:rPr>
          <w:b/>
          <w:color w:val="000000" w:themeColor="text1"/>
          <w:lang w:val="fr-FR"/>
        </w:rPr>
      </w:pPr>
    </w:p>
    <w:p w14:paraId="45CA3ED3" w14:textId="6CD1B055" w:rsidR="004553E3" w:rsidRPr="004553E3" w:rsidRDefault="004553E3" w:rsidP="007B3084">
      <w:pPr>
        <w:pStyle w:val="Orateurengris"/>
        <w:tabs>
          <w:tab w:val="clear" w:pos="709"/>
          <w:tab w:val="clear" w:pos="1418"/>
          <w:tab w:val="clear" w:pos="2126"/>
          <w:tab w:val="clear" w:pos="2835"/>
        </w:tabs>
        <w:spacing w:after="0"/>
        <w:ind w:left="709"/>
        <w:rPr>
          <w:lang w:val="fr-FR"/>
        </w:rPr>
      </w:pPr>
      <w:r w:rsidRPr="004553E3">
        <w:rPr>
          <w:b/>
          <w:color w:val="000000" w:themeColor="text1"/>
          <w:lang w:val="fr-FR"/>
        </w:rPr>
        <w:t>Document</w:t>
      </w:r>
      <w:r>
        <w:rPr>
          <w:b/>
          <w:color w:val="000000" w:themeColor="text1"/>
          <w:lang w:val="fr-FR"/>
        </w:rPr>
        <w:t>s </w:t>
      </w:r>
      <w:r w:rsidRPr="004553E3">
        <w:rPr>
          <w:b/>
          <w:color w:val="000000" w:themeColor="text1"/>
          <w:lang w:val="fr-FR"/>
        </w:rPr>
        <w:t>:</w:t>
      </w:r>
      <w:r w:rsidRPr="004553E3">
        <w:rPr>
          <w:b/>
          <w:iCs/>
          <w:color w:val="000000" w:themeColor="text1"/>
          <w:lang w:val="fr-FR"/>
        </w:rPr>
        <w:tab/>
      </w:r>
      <w:hyperlink r:id="rId72" w:history="1">
        <w:r w:rsidRPr="004553E3">
          <w:rPr>
            <w:rStyle w:val="Hyperlink"/>
            <w:i/>
            <w:lang w:val="fr-FR"/>
          </w:rPr>
          <w:t>LHE/22/17.COM/6.c</w:t>
        </w:r>
      </w:hyperlink>
    </w:p>
    <w:p w14:paraId="7AD8FB57" w14:textId="3CAC38BF" w:rsidR="004553E3" w:rsidRPr="004553E3" w:rsidRDefault="004553E3" w:rsidP="004553E3">
      <w:pPr>
        <w:pStyle w:val="Orateurengris"/>
        <w:tabs>
          <w:tab w:val="clear" w:pos="709"/>
          <w:tab w:val="clear" w:pos="1418"/>
          <w:tab w:val="clear" w:pos="2126"/>
          <w:tab w:val="clear" w:pos="2835"/>
        </w:tabs>
        <w:spacing w:after="0"/>
        <w:ind w:left="567"/>
        <w:rPr>
          <w:i/>
          <w:lang w:val="fr-FR"/>
        </w:rPr>
      </w:pPr>
      <w:r w:rsidRPr="004553E3">
        <w:rPr>
          <w:b/>
          <w:color w:val="000000" w:themeColor="text1"/>
          <w:lang w:val="fr-FR"/>
        </w:rPr>
        <w:tab/>
      </w:r>
      <w:r w:rsidRPr="004553E3">
        <w:rPr>
          <w:b/>
          <w:color w:val="000000" w:themeColor="text1"/>
          <w:lang w:val="fr-FR"/>
        </w:rPr>
        <w:tab/>
      </w:r>
      <w:r w:rsidRPr="004553E3">
        <w:rPr>
          <w:b/>
          <w:color w:val="000000" w:themeColor="text1"/>
          <w:lang w:val="fr-FR"/>
        </w:rPr>
        <w:tab/>
      </w:r>
      <w:hyperlink r:id="rId73" w:history="1">
        <w:r w:rsidRPr="004553E3">
          <w:rPr>
            <w:rStyle w:val="Hyperlink"/>
            <w:i/>
            <w:lang w:val="fr-FR"/>
          </w:rPr>
          <w:t>LHE/22/17.COM/INF.6.c</w:t>
        </w:r>
        <w:r w:rsidR="007A5126">
          <w:rPr>
            <w:rStyle w:val="Hyperlink"/>
            <w:i/>
            <w:lang w:val="fr-FR"/>
          </w:rPr>
          <w:t> </w:t>
        </w:r>
        <w:r w:rsidRPr="004553E3">
          <w:rPr>
            <w:rStyle w:val="Hyperlink"/>
            <w:i/>
            <w:lang w:val="fr-FR"/>
          </w:rPr>
          <w:t>Rev</w:t>
        </w:r>
      </w:hyperlink>
    </w:p>
    <w:p w14:paraId="7625DF2D" w14:textId="3609CB15" w:rsidR="004553E3" w:rsidRPr="004553E3" w:rsidRDefault="004553E3" w:rsidP="007B3084">
      <w:pPr>
        <w:pStyle w:val="Orateurengris"/>
        <w:tabs>
          <w:tab w:val="clear" w:pos="709"/>
          <w:tab w:val="clear" w:pos="1418"/>
          <w:tab w:val="clear" w:pos="2126"/>
          <w:tab w:val="clear" w:pos="2835"/>
        </w:tabs>
        <w:spacing w:before="60" w:after="240"/>
        <w:ind w:left="709"/>
        <w:rPr>
          <w:i/>
          <w:lang w:val="fr-FR"/>
        </w:rPr>
      </w:pPr>
      <w:r w:rsidRPr="004553E3">
        <w:rPr>
          <w:b/>
          <w:color w:val="000000" w:themeColor="text1"/>
          <w:lang w:val="fr-FR"/>
        </w:rPr>
        <w:t>D</w:t>
      </w:r>
      <w:r>
        <w:rPr>
          <w:b/>
          <w:color w:val="000000" w:themeColor="text1"/>
          <w:lang w:val="fr-FR"/>
        </w:rPr>
        <w:t>é</w:t>
      </w:r>
      <w:r w:rsidRPr="004553E3">
        <w:rPr>
          <w:b/>
          <w:color w:val="000000" w:themeColor="text1"/>
          <w:lang w:val="fr-FR"/>
        </w:rPr>
        <w:t>cision</w:t>
      </w:r>
      <w:r>
        <w:rPr>
          <w:b/>
          <w:color w:val="000000" w:themeColor="text1"/>
          <w:lang w:val="fr-FR"/>
        </w:rPr>
        <w:t> </w:t>
      </w:r>
      <w:r w:rsidRPr="004553E3">
        <w:rPr>
          <w:b/>
          <w:color w:val="000000" w:themeColor="text1"/>
          <w:lang w:val="fr-FR"/>
        </w:rPr>
        <w:t>:</w:t>
      </w:r>
      <w:r w:rsidRPr="004553E3">
        <w:rPr>
          <w:bCs/>
          <w:color w:val="000000" w:themeColor="text1"/>
          <w:lang w:val="fr-FR"/>
        </w:rPr>
        <w:tab/>
      </w:r>
      <w:hyperlink r:id="rId74" w:history="1">
        <w:r w:rsidRPr="004553E3">
          <w:rPr>
            <w:rStyle w:val="Hyperlink"/>
            <w:i/>
            <w:lang w:val="fr-FR"/>
          </w:rPr>
          <w:t>17.COM</w:t>
        </w:r>
        <w:r w:rsidR="007A5126">
          <w:rPr>
            <w:rStyle w:val="Hyperlink"/>
            <w:i/>
            <w:lang w:val="fr-FR"/>
          </w:rPr>
          <w:t> </w:t>
        </w:r>
        <w:r w:rsidRPr="004553E3">
          <w:rPr>
            <w:rStyle w:val="Hyperlink"/>
            <w:i/>
            <w:lang w:val="fr-FR"/>
          </w:rPr>
          <w:t>6.c</w:t>
        </w:r>
      </w:hyperlink>
      <w:r w:rsidRPr="004553E3">
        <w:rPr>
          <w:bCs/>
          <w:lang w:val="fr-FR"/>
        </w:rPr>
        <w:t xml:space="preserve"> </w:t>
      </w:r>
    </w:p>
    <w:p w14:paraId="790F65C1" w14:textId="060C4830" w:rsidR="004553E3" w:rsidRDefault="007B308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7B3084">
        <w:rPr>
          <w:rFonts w:eastAsia="Malgun Gothic"/>
          <w:bCs/>
          <w:lang w:val="fr-FR"/>
        </w:rPr>
        <w:t xml:space="preserve">Le </w:t>
      </w:r>
      <w:r w:rsidRPr="007B3084">
        <w:rPr>
          <w:rFonts w:eastAsia="Malgun Gothic"/>
          <w:b/>
          <w:lang w:val="fr-FR"/>
        </w:rPr>
        <w:t>Président</w:t>
      </w:r>
      <w:r w:rsidRPr="007B3084">
        <w:rPr>
          <w:rFonts w:eastAsia="Malgun Gothic"/>
          <w:bCs/>
          <w:lang w:val="fr-FR"/>
        </w:rPr>
        <w:t xml:space="preserve"> a remercié le Kenya d</w:t>
      </w:r>
      <w:r w:rsidR="00923E72">
        <w:rPr>
          <w:rFonts w:eastAsia="Malgun Gothic"/>
          <w:bCs/>
          <w:lang w:val="fr-FR"/>
        </w:rPr>
        <w:t>’</w:t>
      </w:r>
      <w:r w:rsidRPr="007B3084">
        <w:rPr>
          <w:rFonts w:eastAsia="Malgun Gothic"/>
          <w:bCs/>
          <w:lang w:val="fr-FR"/>
        </w:rPr>
        <w:t>avoir partagé son expérience enrichissante. Il est ensuite passé au point</w:t>
      </w:r>
      <w:r w:rsidR="002B668C">
        <w:rPr>
          <w:rFonts w:eastAsia="Malgun Gothic"/>
          <w:bCs/>
          <w:lang w:val="fr-FR"/>
        </w:rPr>
        <w:t> </w:t>
      </w:r>
      <w:r w:rsidRPr="007B3084">
        <w:rPr>
          <w:rFonts w:eastAsia="Malgun Gothic"/>
          <w:bCs/>
          <w:lang w:val="fr-FR"/>
        </w:rPr>
        <w:t>6.c de l</w:t>
      </w:r>
      <w:r w:rsidR="00923E72">
        <w:rPr>
          <w:rFonts w:eastAsia="Malgun Gothic"/>
          <w:bCs/>
          <w:lang w:val="fr-FR"/>
        </w:rPr>
        <w:t>’</w:t>
      </w:r>
      <w:r w:rsidRPr="007B3084">
        <w:rPr>
          <w:rFonts w:eastAsia="Malgun Gothic"/>
          <w:bCs/>
          <w:lang w:val="fr-FR"/>
        </w:rPr>
        <w:t>ordre du jour</w:t>
      </w:r>
      <w:r w:rsidR="002D5EE7">
        <w:rPr>
          <w:rFonts w:eastAsia="Malgun Gothic"/>
          <w:bCs/>
          <w:lang w:val="fr-FR"/>
        </w:rPr>
        <w:t xml:space="preserve">, </w:t>
      </w:r>
      <w:r w:rsidR="001D2E00">
        <w:rPr>
          <w:rFonts w:eastAsia="Malgun Gothic"/>
          <w:bCs/>
          <w:lang w:val="fr-FR"/>
        </w:rPr>
        <w:t xml:space="preserve">le </w:t>
      </w:r>
      <w:r>
        <w:rPr>
          <w:rFonts w:eastAsia="Malgun Gothic"/>
          <w:bCs/>
          <w:lang w:val="fr-FR"/>
        </w:rPr>
        <w:t>point sur le</w:t>
      </w:r>
      <w:r w:rsidRPr="007B3084">
        <w:rPr>
          <w:rFonts w:eastAsia="Malgun Gothic"/>
          <w:bCs/>
          <w:lang w:val="fr-FR"/>
        </w:rPr>
        <w:t xml:space="preserve"> premier cycle de rapports périodiques sur la mise en œuvre de la Convention et sur l</w:t>
      </w:r>
      <w:r w:rsidR="00923E72">
        <w:rPr>
          <w:rFonts w:eastAsia="Malgun Gothic"/>
          <w:bCs/>
          <w:lang w:val="fr-FR"/>
        </w:rPr>
        <w:t>’</w:t>
      </w:r>
      <w:r w:rsidRPr="007B3084">
        <w:rPr>
          <w:rFonts w:eastAsia="Malgun Gothic"/>
          <w:bCs/>
          <w:lang w:val="fr-FR"/>
        </w:rPr>
        <w:t>état actuel des éléments inscrits sur la Liste représentative du patrimoine culturel immatériel de l</w:t>
      </w:r>
      <w:r w:rsidR="00923E72">
        <w:rPr>
          <w:rFonts w:eastAsia="Malgun Gothic"/>
          <w:bCs/>
          <w:lang w:val="fr-FR"/>
        </w:rPr>
        <w:t>’</w:t>
      </w:r>
      <w:r w:rsidRPr="007B3084">
        <w:rPr>
          <w:rFonts w:eastAsia="Malgun Gothic"/>
          <w:bCs/>
          <w:lang w:val="fr-FR"/>
        </w:rPr>
        <w:t xml:space="preserve">humanité des États parties </w:t>
      </w:r>
      <w:r>
        <w:rPr>
          <w:rFonts w:eastAsia="Malgun Gothic"/>
          <w:bCs/>
          <w:lang w:val="fr-FR"/>
        </w:rPr>
        <w:t>d</w:t>
      </w:r>
      <w:r w:rsidR="00923E72">
        <w:rPr>
          <w:rFonts w:eastAsia="Malgun Gothic"/>
          <w:bCs/>
          <w:lang w:val="fr-FR"/>
        </w:rPr>
        <w:t>’</w:t>
      </w:r>
      <w:r w:rsidRPr="007B3084">
        <w:rPr>
          <w:rFonts w:eastAsia="Malgun Gothic"/>
          <w:bCs/>
          <w:lang w:val="fr-FR"/>
        </w:rPr>
        <w:t xml:space="preserve">Amérique latine et </w:t>
      </w:r>
      <w:r>
        <w:rPr>
          <w:rFonts w:eastAsia="Malgun Gothic"/>
          <w:bCs/>
          <w:lang w:val="fr-FR"/>
        </w:rPr>
        <w:t xml:space="preserve">des </w:t>
      </w:r>
      <w:r w:rsidRPr="007B3084">
        <w:rPr>
          <w:rFonts w:eastAsia="Malgun Gothic"/>
          <w:bCs/>
          <w:lang w:val="fr-FR"/>
        </w:rPr>
        <w:t>Caraïbes (cycle</w:t>
      </w:r>
      <w:r w:rsidR="00DB6A4B">
        <w:rPr>
          <w:rFonts w:eastAsia="Malgun Gothic"/>
          <w:bCs/>
          <w:lang w:val="fr-FR"/>
        </w:rPr>
        <w:t> </w:t>
      </w:r>
      <w:r w:rsidRPr="007B3084">
        <w:rPr>
          <w:rFonts w:eastAsia="Malgun Gothic"/>
          <w:bCs/>
          <w:lang w:val="fr-FR"/>
        </w:rPr>
        <w:t xml:space="preserve">2021), </w:t>
      </w:r>
      <w:r>
        <w:rPr>
          <w:rFonts w:eastAsia="Malgun Gothic"/>
          <w:bCs/>
          <w:lang w:val="fr-FR"/>
        </w:rPr>
        <w:t xml:space="preserve">des </w:t>
      </w:r>
      <w:r w:rsidRPr="007B3084">
        <w:rPr>
          <w:rFonts w:eastAsia="Malgun Gothic"/>
          <w:bCs/>
          <w:lang w:val="fr-FR"/>
        </w:rPr>
        <w:t>États arabes (cycle</w:t>
      </w:r>
      <w:r w:rsidR="00DB6A4B">
        <w:rPr>
          <w:rFonts w:eastAsia="Malgun Gothic"/>
          <w:bCs/>
          <w:lang w:val="fr-FR"/>
        </w:rPr>
        <w:t> </w:t>
      </w:r>
      <w:r w:rsidRPr="007B3084">
        <w:rPr>
          <w:rFonts w:eastAsia="Malgun Gothic"/>
          <w:bCs/>
          <w:lang w:val="fr-FR"/>
        </w:rPr>
        <w:t xml:space="preserve">2023) et </w:t>
      </w:r>
      <w:r>
        <w:rPr>
          <w:rFonts w:eastAsia="Malgun Gothic"/>
          <w:bCs/>
          <w:lang w:val="fr-FR"/>
        </w:rPr>
        <w:t xml:space="preserve">en </w:t>
      </w:r>
      <w:r w:rsidRPr="007B3084">
        <w:rPr>
          <w:rFonts w:eastAsia="Malgun Gothic"/>
          <w:bCs/>
          <w:lang w:val="fr-FR"/>
        </w:rPr>
        <w:t>Afrique (cycle</w:t>
      </w:r>
      <w:r w:rsidR="00DB6A4B">
        <w:rPr>
          <w:rFonts w:eastAsia="Malgun Gothic"/>
          <w:bCs/>
          <w:lang w:val="fr-FR"/>
        </w:rPr>
        <w:t> </w:t>
      </w:r>
      <w:r w:rsidRPr="007B3084">
        <w:rPr>
          <w:rFonts w:eastAsia="Malgun Gothic"/>
          <w:bCs/>
          <w:lang w:val="fr-FR"/>
        </w:rPr>
        <w:t>2024).</w:t>
      </w:r>
    </w:p>
    <w:p w14:paraId="0B892E55" w14:textId="680C1F56" w:rsidR="007B3084" w:rsidRDefault="007B308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7B3084">
        <w:rPr>
          <w:rFonts w:eastAsia="Malgun Gothic"/>
          <w:bCs/>
          <w:lang w:val="fr-FR"/>
        </w:rPr>
        <w:t xml:space="preserve">Le </w:t>
      </w:r>
      <w:r w:rsidRPr="007B3084">
        <w:rPr>
          <w:rFonts w:eastAsia="Malgun Gothic"/>
          <w:b/>
          <w:lang w:val="fr-FR"/>
        </w:rPr>
        <w:t>Secrétaire</w:t>
      </w:r>
      <w:r w:rsidRPr="007B3084">
        <w:rPr>
          <w:rFonts w:eastAsia="Malgun Gothic"/>
          <w:bCs/>
          <w:lang w:val="fr-FR"/>
        </w:rPr>
        <w:t xml:space="preserve"> a rappelé que la réforme des rapports périodiques était alignée sur le cadre global de résultats de la Convention, pour lequel un nouveau calendrier de soumission des rapports avait été établi par le Comité lors de sa treizième session et constituait désormais la base de la rotation régionale. Selon ce nouveau calendrier, l</w:t>
      </w:r>
      <w:r w:rsidR="00923E72">
        <w:rPr>
          <w:rFonts w:eastAsia="Malgun Gothic"/>
          <w:bCs/>
          <w:lang w:val="fr-FR"/>
        </w:rPr>
        <w:t>’</w:t>
      </w:r>
      <w:r w:rsidRPr="007B3084">
        <w:rPr>
          <w:rFonts w:eastAsia="Malgun Gothic"/>
          <w:bCs/>
          <w:lang w:val="fr-FR"/>
        </w:rPr>
        <w:t>Amérique latine et les Caraïbes avaient été la première région à mettre en œuvre l</w:t>
      </w:r>
      <w:r w:rsidR="00923E72">
        <w:rPr>
          <w:rFonts w:eastAsia="Malgun Gothic"/>
          <w:bCs/>
          <w:lang w:val="fr-FR"/>
        </w:rPr>
        <w:t>’</w:t>
      </w:r>
      <w:r w:rsidRPr="007B3084">
        <w:rPr>
          <w:rFonts w:eastAsia="Malgun Gothic"/>
          <w:bCs/>
          <w:lang w:val="fr-FR"/>
        </w:rPr>
        <w:t>exercice réformé en 2021, suivie par les États parties d</w:t>
      </w:r>
      <w:r w:rsidR="00923E72">
        <w:rPr>
          <w:rFonts w:eastAsia="Malgun Gothic"/>
          <w:bCs/>
          <w:lang w:val="fr-FR"/>
        </w:rPr>
        <w:t>’</w:t>
      </w:r>
      <w:r w:rsidRPr="007B3084">
        <w:rPr>
          <w:rFonts w:eastAsia="Malgun Gothic"/>
          <w:bCs/>
          <w:lang w:val="fr-FR"/>
        </w:rPr>
        <w:t>Europe</w:t>
      </w:r>
      <w:r w:rsidR="007A5126">
        <w:rPr>
          <w:rFonts w:eastAsia="Malgun Gothic"/>
          <w:bCs/>
          <w:lang w:val="fr-FR"/>
        </w:rPr>
        <w:t>,</w:t>
      </w:r>
      <w:r w:rsidR="00C20A5E">
        <w:rPr>
          <w:rFonts w:eastAsia="Malgun Gothic"/>
          <w:bCs/>
          <w:lang w:val="fr-FR"/>
        </w:rPr>
        <w:t xml:space="preserve"> qui avaient soumis </w:t>
      </w:r>
      <w:r w:rsidRPr="007B3084">
        <w:rPr>
          <w:rFonts w:eastAsia="Malgun Gothic"/>
          <w:bCs/>
          <w:lang w:val="fr-FR"/>
        </w:rPr>
        <w:t>leurs rapports pour examen par le Comité lors de la présente session</w:t>
      </w:r>
      <w:r w:rsidR="00C20A5E">
        <w:rPr>
          <w:rFonts w:eastAsia="Malgun Gothic"/>
          <w:bCs/>
          <w:lang w:val="fr-FR"/>
        </w:rPr>
        <w:t>,</w:t>
      </w:r>
      <w:r w:rsidRPr="007B3084">
        <w:rPr>
          <w:rFonts w:eastAsia="Malgun Gothic"/>
          <w:bCs/>
          <w:lang w:val="fr-FR"/>
        </w:rPr>
        <w:t xml:space="preserve"> dans le cadre du cycle</w:t>
      </w:r>
      <w:r w:rsidR="00246428">
        <w:rPr>
          <w:rFonts w:eastAsia="Malgun Gothic"/>
          <w:bCs/>
          <w:lang w:val="fr-FR"/>
        </w:rPr>
        <w:t> </w:t>
      </w:r>
      <w:r w:rsidRPr="007B3084">
        <w:rPr>
          <w:rFonts w:eastAsia="Malgun Gothic"/>
          <w:bCs/>
          <w:lang w:val="fr-FR"/>
        </w:rPr>
        <w:t xml:space="preserve">2022. Les régions suivantes seraient les </w:t>
      </w:r>
      <w:r w:rsidRPr="007B3084">
        <w:rPr>
          <w:rFonts w:eastAsia="Malgun Gothic"/>
          <w:bCs/>
          <w:lang w:val="fr-FR"/>
        </w:rPr>
        <w:lastRenderedPageBreak/>
        <w:t>États arabes, l</w:t>
      </w:r>
      <w:r w:rsidR="00923E72">
        <w:rPr>
          <w:rFonts w:eastAsia="Malgun Gothic"/>
          <w:bCs/>
          <w:lang w:val="fr-FR"/>
        </w:rPr>
        <w:t>’</w:t>
      </w:r>
      <w:r w:rsidRPr="007B3084">
        <w:rPr>
          <w:rFonts w:eastAsia="Malgun Gothic"/>
          <w:bCs/>
          <w:lang w:val="fr-FR"/>
        </w:rPr>
        <w:t>Afrique et, enfin, l</w:t>
      </w:r>
      <w:r w:rsidR="00923E72">
        <w:rPr>
          <w:rFonts w:eastAsia="Malgun Gothic"/>
          <w:bCs/>
          <w:lang w:val="fr-FR"/>
        </w:rPr>
        <w:t>’</w:t>
      </w:r>
      <w:r w:rsidRPr="007B3084">
        <w:rPr>
          <w:rFonts w:eastAsia="Malgun Gothic"/>
          <w:bCs/>
          <w:lang w:val="fr-FR"/>
        </w:rPr>
        <w:t>Asie et le Pacifique dans le cadre des cycles respectifs</w:t>
      </w:r>
      <w:r w:rsidR="00907AFD">
        <w:rPr>
          <w:rFonts w:eastAsia="Malgun Gothic"/>
          <w:bCs/>
          <w:lang w:val="fr-FR"/>
        </w:rPr>
        <w:t> </w:t>
      </w:r>
      <w:r w:rsidRPr="007B3084">
        <w:rPr>
          <w:rFonts w:eastAsia="Malgun Gothic"/>
          <w:bCs/>
          <w:lang w:val="fr-FR"/>
        </w:rPr>
        <w:t>2023,</w:t>
      </w:r>
      <w:r w:rsidR="00907AFD">
        <w:rPr>
          <w:rFonts w:eastAsia="Malgun Gothic"/>
          <w:bCs/>
          <w:lang w:val="fr-FR"/>
        </w:rPr>
        <w:t> </w:t>
      </w:r>
      <w:r w:rsidRPr="007B3084">
        <w:rPr>
          <w:rFonts w:eastAsia="Malgun Gothic"/>
          <w:bCs/>
          <w:lang w:val="fr-FR"/>
        </w:rPr>
        <w:t>2024 et</w:t>
      </w:r>
      <w:r w:rsidR="00907AFD">
        <w:rPr>
          <w:rFonts w:eastAsia="Malgun Gothic"/>
          <w:bCs/>
          <w:lang w:val="fr-FR"/>
        </w:rPr>
        <w:t> </w:t>
      </w:r>
      <w:r w:rsidRPr="007B3084">
        <w:rPr>
          <w:rFonts w:eastAsia="Malgun Gothic"/>
          <w:bCs/>
          <w:lang w:val="fr-FR"/>
        </w:rPr>
        <w:t>2025. Le Secrétaire a rappelé que le rapport périodique est un processus en quatre phases</w:t>
      </w:r>
      <w:r w:rsidR="002F62D9">
        <w:rPr>
          <w:rFonts w:eastAsia="Malgun Gothic"/>
          <w:bCs/>
          <w:lang w:val="fr-FR"/>
        </w:rPr>
        <w:t>,</w:t>
      </w:r>
      <w:r w:rsidRPr="007B3084">
        <w:rPr>
          <w:rFonts w:eastAsia="Malgun Gothic"/>
          <w:bCs/>
          <w:lang w:val="fr-FR"/>
        </w:rPr>
        <w:t xml:space="preserve"> qui s</w:t>
      </w:r>
      <w:r w:rsidR="00923E72">
        <w:rPr>
          <w:rFonts w:eastAsia="Malgun Gothic"/>
          <w:bCs/>
          <w:lang w:val="fr-FR"/>
        </w:rPr>
        <w:t>’</w:t>
      </w:r>
      <w:r w:rsidRPr="007B3084">
        <w:rPr>
          <w:rFonts w:eastAsia="Malgun Gothic"/>
          <w:bCs/>
          <w:lang w:val="fr-FR"/>
        </w:rPr>
        <w:t>étale sur une période de quatre ans. Cet exercice avait donc été mis en œuvre dans quatre régions en même temps, mais à une phase différente pour chacune d</w:t>
      </w:r>
      <w:r w:rsidR="00923E72">
        <w:rPr>
          <w:rFonts w:eastAsia="Malgun Gothic"/>
          <w:bCs/>
          <w:lang w:val="fr-FR"/>
        </w:rPr>
        <w:t>’</w:t>
      </w:r>
      <w:r w:rsidRPr="007B3084">
        <w:rPr>
          <w:rFonts w:eastAsia="Malgun Gothic"/>
          <w:bCs/>
          <w:lang w:val="fr-FR"/>
        </w:rPr>
        <w:t>entre elles. Pour l</w:t>
      </w:r>
      <w:r w:rsidR="00923E72">
        <w:rPr>
          <w:rFonts w:eastAsia="Malgun Gothic"/>
          <w:bCs/>
          <w:lang w:val="fr-FR"/>
        </w:rPr>
        <w:t>’</w:t>
      </w:r>
      <w:r w:rsidRPr="00C20A5E">
        <w:rPr>
          <w:rFonts w:eastAsia="Malgun Gothic"/>
          <w:bCs/>
          <w:u w:val="single"/>
          <w:lang w:val="fr-FR"/>
        </w:rPr>
        <w:t>Amérique latine et les Caraïbes</w:t>
      </w:r>
      <w:r w:rsidRPr="007B3084">
        <w:rPr>
          <w:rFonts w:eastAsia="Malgun Gothic"/>
          <w:bCs/>
          <w:lang w:val="fr-FR"/>
        </w:rPr>
        <w:t>, lors de sa seizième session en</w:t>
      </w:r>
      <w:r w:rsidR="00AF6B98">
        <w:rPr>
          <w:rFonts w:eastAsia="Malgun Gothic"/>
          <w:bCs/>
          <w:lang w:val="fr-FR"/>
        </w:rPr>
        <w:t> </w:t>
      </w:r>
      <w:r w:rsidRPr="007B3084">
        <w:rPr>
          <w:rFonts w:eastAsia="Malgun Gothic"/>
          <w:bCs/>
          <w:lang w:val="fr-FR"/>
        </w:rPr>
        <w:t>2021, le Comité avait examiné les rapports soumis par les États parties d</w:t>
      </w:r>
      <w:r w:rsidR="00923E72">
        <w:rPr>
          <w:rFonts w:eastAsia="Malgun Gothic"/>
          <w:bCs/>
          <w:lang w:val="fr-FR"/>
        </w:rPr>
        <w:t>’</w:t>
      </w:r>
      <w:r w:rsidRPr="007B3084">
        <w:rPr>
          <w:rFonts w:eastAsia="Malgun Gothic"/>
          <w:bCs/>
          <w:lang w:val="fr-FR"/>
        </w:rPr>
        <w:t>Amérique latine et des Caraïbes, ainsi qu</w:t>
      </w:r>
      <w:r w:rsidR="00923E72">
        <w:rPr>
          <w:rFonts w:eastAsia="Malgun Gothic"/>
          <w:bCs/>
          <w:lang w:val="fr-FR"/>
        </w:rPr>
        <w:t>’</w:t>
      </w:r>
      <w:r w:rsidRPr="007B3084">
        <w:rPr>
          <w:rFonts w:eastAsia="Malgun Gothic"/>
          <w:bCs/>
          <w:lang w:val="fr-FR"/>
        </w:rPr>
        <w:t>un résumé analytique synthétisant les principales conclusions de ces rapports. Cependant, le Secrétariat avait poursuivi l</w:t>
      </w:r>
      <w:r w:rsidR="00C20A5E">
        <w:rPr>
          <w:rFonts w:eastAsia="Malgun Gothic"/>
          <w:bCs/>
          <w:lang w:val="fr-FR"/>
        </w:rPr>
        <w:t>e travail d</w:t>
      </w:r>
      <w:r w:rsidR="00923E72">
        <w:rPr>
          <w:rFonts w:eastAsia="Malgun Gothic"/>
          <w:bCs/>
          <w:lang w:val="fr-FR"/>
        </w:rPr>
        <w:t>’</w:t>
      </w:r>
      <w:r w:rsidRPr="007B3084">
        <w:rPr>
          <w:rFonts w:eastAsia="Malgun Gothic"/>
          <w:bCs/>
          <w:lang w:val="fr-FR"/>
        </w:rPr>
        <w:t>analyse avec l</w:t>
      </w:r>
      <w:r w:rsidR="00923E72">
        <w:rPr>
          <w:rFonts w:eastAsia="Malgun Gothic"/>
          <w:bCs/>
          <w:lang w:val="fr-FR"/>
        </w:rPr>
        <w:t>’</w:t>
      </w:r>
      <w:r w:rsidRPr="007B3084">
        <w:rPr>
          <w:rFonts w:eastAsia="Malgun Gothic"/>
          <w:bCs/>
          <w:lang w:val="fr-FR"/>
        </w:rPr>
        <w:t>équipe de recherche mise en place pour préparer une analyse complète et exhaustive des rapports périodiques de l</w:t>
      </w:r>
      <w:r w:rsidR="00923E72">
        <w:rPr>
          <w:rFonts w:eastAsia="Malgun Gothic"/>
          <w:bCs/>
          <w:lang w:val="fr-FR"/>
        </w:rPr>
        <w:t>’</w:t>
      </w:r>
      <w:r w:rsidRPr="007B3084">
        <w:rPr>
          <w:rFonts w:eastAsia="Malgun Gothic"/>
          <w:bCs/>
          <w:lang w:val="fr-FR"/>
        </w:rPr>
        <w:t xml:space="preserve">Amérique latine et des Caraïbes, qui était désormais présentée en tant que </w:t>
      </w:r>
      <w:r w:rsidR="00751FB1">
        <w:fldChar w:fldCharType="begin"/>
      </w:r>
      <w:r w:rsidR="00751FB1" w:rsidRPr="00751FB1">
        <w:rPr>
          <w:lang w:val="fr-FR"/>
        </w:rPr>
        <w:instrText>HYPERLINK "https://ich.unesco.org/doc/src/LHE-22-17.COM-INF.6.c_Rev-FR.pdf"</w:instrText>
      </w:r>
      <w:r w:rsidR="00751FB1">
        <w:fldChar w:fldCharType="separate"/>
      </w:r>
      <w:r w:rsidR="00C20A5E" w:rsidRPr="00C20A5E">
        <w:rPr>
          <w:rStyle w:val="Hyperlink"/>
          <w:rFonts w:eastAsia="Malgun Gothic"/>
          <w:bCs/>
          <w:lang w:val="fr-FR"/>
        </w:rPr>
        <w:t>document</w:t>
      </w:r>
      <w:r w:rsidR="00C20A5E">
        <w:rPr>
          <w:rStyle w:val="Hyperlink"/>
          <w:rFonts w:eastAsia="Malgun Gothic"/>
          <w:bCs/>
          <w:lang w:val="fr-FR"/>
        </w:rPr>
        <w:t> </w:t>
      </w:r>
      <w:r w:rsidR="00C20A5E" w:rsidRPr="00C20A5E">
        <w:rPr>
          <w:rStyle w:val="Hyperlink"/>
          <w:rFonts w:eastAsia="Malgun Gothic"/>
          <w:bCs/>
          <w:lang w:val="fr-FR"/>
        </w:rPr>
        <w:t>INF</w:t>
      </w:r>
      <w:r w:rsidR="00751FB1">
        <w:rPr>
          <w:rStyle w:val="Hyperlink"/>
          <w:rFonts w:eastAsia="Malgun Gothic"/>
          <w:bCs/>
          <w:lang w:val="fr-FR"/>
        </w:rPr>
        <w:fldChar w:fldCharType="end"/>
      </w:r>
      <w:r w:rsidRPr="007B3084">
        <w:rPr>
          <w:rFonts w:eastAsia="Malgun Gothic"/>
          <w:bCs/>
          <w:lang w:val="fr-FR"/>
        </w:rPr>
        <w:t xml:space="preserve"> au présent Comité. </w:t>
      </w:r>
      <w:r w:rsidR="000D47A8" w:rsidRPr="00702497">
        <w:rPr>
          <w:rFonts w:eastAsia="Malgun Gothic"/>
          <w:bCs/>
          <w:lang w:val="fr-FR"/>
        </w:rPr>
        <w:t xml:space="preserve">Comme </w:t>
      </w:r>
      <w:r w:rsidRPr="00702497">
        <w:rPr>
          <w:rFonts w:eastAsia="Malgun Gothic"/>
          <w:bCs/>
          <w:lang w:val="fr-FR"/>
        </w:rPr>
        <w:t xml:space="preserve">rappelé </w:t>
      </w:r>
      <w:r w:rsidR="000D47A8" w:rsidRPr="00702497">
        <w:rPr>
          <w:rFonts w:eastAsia="Malgun Gothic"/>
          <w:bCs/>
          <w:lang w:val="fr-FR"/>
        </w:rPr>
        <w:t xml:space="preserve">au titre du </w:t>
      </w:r>
      <w:r w:rsidRPr="00702497">
        <w:rPr>
          <w:rFonts w:eastAsia="Malgun Gothic"/>
          <w:bCs/>
          <w:lang w:val="fr-FR"/>
        </w:rPr>
        <w:t>point</w:t>
      </w:r>
      <w:r w:rsidR="002B668C" w:rsidRPr="00702497">
        <w:rPr>
          <w:rFonts w:eastAsia="Malgun Gothic"/>
          <w:bCs/>
          <w:lang w:val="fr-FR"/>
        </w:rPr>
        <w:t> </w:t>
      </w:r>
      <w:r w:rsidRPr="00702497">
        <w:rPr>
          <w:rFonts w:eastAsia="Malgun Gothic"/>
          <w:bCs/>
          <w:lang w:val="fr-FR"/>
        </w:rPr>
        <w:t>5</w:t>
      </w:r>
      <w:r w:rsidRPr="003A11FA">
        <w:rPr>
          <w:rFonts w:eastAsia="Malgun Gothic"/>
          <w:bCs/>
          <w:lang w:val="fr-FR"/>
        </w:rPr>
        <w:t xml:space="preserve">, </w:t>
      </w:r>
      <w:r w:rsidRPr="007B3084">
        <w:rPr>
          <w:rFonts w:eastAsia="Malgun Gothic"/>
          <w:bCs/>
          <w:lang w:val="fr-FR"/>
        </w:rPr>
        <w:t>le Secrétariat avait également préparé une version mise en page de ce rapport, que l</w:t>
      </w:r>
      <w:r w:rsidR="00923E72">
        <w:rPr>
          <w:rFonts w:eastAsia="Malgun Gothic"/>
          <w:bCs/>
          <w:lang w:val="fr-FR"/>
        </w:rPr>
        <w:t>’</w:t>
      </w:r>
      <w:r w:rsidRPr="007B3084">
        <w:rPr>
          <w:rFonts w:eastAsia="Malgun Gothic"/>
          <w:bCs/>
          <w:lang w:val="fr-FR"/>
        </w:rPr>
        <w:t>on espérait attrayante et facile à lire. Cette version du rapport était l</w:t>
      </w:r>
      <w:r w:rsidR="00923E72">
        <w:rPr>
          <w:rFonts w:eastAsia="Malgun Gothic"/>
          <w:bCs/>
          <w:lang w:val="fr-FR"/>
        </w:rPr>
        <w:t>’</w:t>
      </w:r>
      <w:r w:rsidRPr="007B3084">
        <w:rPr>
          <w:rFonts w:eastAsia="Malgun Gothic"/>
          <w:bCs/>
          <w:lang w:val="fr-FR"/>
        </w:rPr>
        <w:t>analyse complète de la synthèse entreprise en</w:t>
      </w:r>
      <w:r w:rsidR="00AF6B98">
        <w:rPr>
          <w:rFonts w:eastAsia="Malgun Gothic"/>
          <w:bCs/>
          <w:lang w:val="fr-FR"/>
        </w:rPr>
        <w:t> </w:t>
      </w:r>
      <w:r w:rsidRPr="007B3084">
        <w:rPr>
          <w:rFonts w:eastAsia="Malgun Gothic"/>
          <w:bCs/>
          <w:lang w:val="fr-FR"/>
        </w:rPr>
        <w:t>2021 et désormais présentée à cette session du Comité en tant que document révisé</w:t>
      </w:r>
      <w:r w:rsidR="007F0C0F">
        <w:rPr>
          <w:rFonts w:eastAsia="Malgun Gothic"/>
          <w:bCs/>
          <w:lang w:val="fr-FR"/>
        </w:rPr>
        <w:t> </w:t>
      </w:r>
      <w:r w:rsidRPr="007B3084">
        <w:rPr>
          <w:rFonts w:eastAsia="Malgun Gothic"/>
          <w:bCs/>
          <w:lang w:val="fr-FR"/>
        </w:rPr>
        <w:t>6.c. Le Secrétaire ne s</w:t>
      </w:r>
      <w:r w:rsidR="00923E72">
        <w:rPr>
          <w:rFonts w:eastAsia="Malgun Gothic"/>
          <w:bCs/>
          <w:lang w:val="fr-FR"/>
        </w:rPr>
        <w:t>’</w:t>
      </w:r>
      <w:r w:rsidRPr="007B3084">
        <w:rPr>
          <w:rFonts w:eastAsia="Malgun Gothic"/>
          <w:bCs/>
          <w:lang w:val="fr-FR"/>
        </w:rPr>
        <w:t>est pas étendu sur l</w:t>
      </w:r>
      <w:r w:rsidR="00923E72">
        <w:rPr>
          <w:rFonts w:eastAsia="Malgun Gothic"/>
          <w:bCs/>
          <w:lang w:val="fr-FR"/>
        </w:rPr>
        <w:t>’</w:t>
      </w:r>
      <w:r w:rsidRPr="007B3084">
        <w:rPr>
          <w:rFonts w:eastAsia="Malgun Gothic"/>
          <w:bCs/>
          <w:lang w:val="fr-FR"/>
        </w:rPr>
        <w:t>exercice de soumission de rapports périodiques en Europe, car leurs rapports et leur résumé analytique avaient déjà été examinés au titre du point</w:t>
      </w:r>
      <w:r w:rsidR="007F0C0F">
        <w:rPr>
          <w:rFonts w:eastAsia="Malgun Gothic"/>
          <w:bCs/>
          <w:lang w:val="fr-FR"/>
        </w:rPr>
        <w:t> </w:t>
      </w:r>
      <w:r w:rsidRPr="007B3084">
        <w:rPr>
          <w:rFonts w:eastAsia="Malgun Gothic"/>
          <w:bCs/>
          <w:lang w:val="fr-FR"/>
        </w:rPr>
        <w:t>6.b.</w:t>
      </w:r>
    </w:p>
    <w:p w14:paraId="6CAFEF95" w14:textId="5BF22DA2" w:rsidR="000D47A8" w:rsidRDefault="000D47A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0D47A8">
        <w:rPr>
          <w:rFonts w:eastAsia="Malgun Gothic"/>
          <w:bCs/>
          <w:lang w:val="fr-FR"/>
        </w:rPr>
        <w:t xml:space="preserve">Concernant les </w:t>
      </w:r>
      <w:r w:rsidRPr="000D47A8">
        <w:rPr>
          <w:rFonts w:eastAsia="Malgun Gothic"/>
          <w:bCs/>
          <w:u w:val="single"/>
          <w:lang w:val="fr-FR"/>
        </w:rPr>
        <w:t>États arabes</w:t>
      </w:r>
      <w:r w:rsidRPr="000D47A8">
        <w:rPr>
          <w:rFonts w:eastAsia="Malgun Gothic"/>
          <w:bCs/>
          <w:lang w:val="fr-FR"/>
        </w:rPr>
        <w:t xml:space="preserve">, le </w:t>
      </w:r>
      <w:r w:rsidRPr="000D47A8">
        <w:rPr>
          <w:rFonts w:eastAsia="Malgun Gothic"/>
          <w:b/>
          <w:lang w:val="fr-FR"/>
        </w:rPr>
        <w:t>Secrétaire</w:t>
      </w:r>
      <w:r w:rsidRPr="000D47A8">
        <w:rPr>
          <w:rFonts w:eastAsia="Malgun Gothic"/>
          <w:bCs/>
          <w:lang w:val="fr-FR"/>
        </w:rPr>
        <w:t xml:space="preserve"> a expliqué que le Secrétariat avait beaucoup travaillé en</w:t>
      </w:r>
      <w:r w:rsidR="00246428">
        <w:rPr>
          <w:rFonts w:eastAsia="Malgun Gothic"/>
          <w:bCs/>
          <w:lang w:val="fr-FR"/>
        </w:rPr>
        <w:t> </w:t>
      </w:r>
      <w:r w:rsidRPr="000D47A8">
        <w:rPr>
          <w:rFonts w:eastAsia="Malgun Gothic"/>
          <w:bCs/>
          <w:lang w:val="fr-FR"/>
        </w:rPr>
        <w:t>2022</w:t>
      </w:r>
      <w:r>
        <w:rPr>
          <w:rFonts w:eastAsia="Malgun Gothic"/>
          <w:bCs/>
          <w:lang w:val="fr-FR"/>
        </w:rPr>
        <w:t>,</w:t>
      </w:r>
      <w:r w:rsidRPr="000D47A8">
        <w:rPr>
          <w:rFonts w:eastAsia="Malgun Gothic"/>
          <w:bCs/>
          <w:lang w:val="fr-FR"/>
        </w:rPr>
        <w:t xml:space="preserve"> dans le cadre du cycle</w:t>
      </w:r>
      <w:r w:rsidR="00246428">
        <w:rPr>
          <w:rFonts w:eastAsia="Malgun Gothic"/>
          <w:bCs/>
          <w:lang w:val="fr-FR"/>
        </w:rPr>
        <w:t> </w:t>
      </w:r>
      <w:r w:rsidRPr="000D47A8">
        <w:rPr>
          <w:rFonts w:eastAsia="Malgun Gothic"/>
          <w:bCs/>
          <w:lang w:val="fr-FR"/>
        </w:rPr>
        <w:t>2023</w:t>
      </w:r>
      <w:r>
        <w:rPr>
          <w:rFonts w:eastAsia="Malgun Gothic"/>
          <w:bCs/>
          <w:lang w:val="fr-FR"/>
        </w:rPr>
        <w:t>,</w:t>
      </w:r>
      <w:r w:rsidRPr="000D47A8">
        <w:rPr>
          <w:rFonts w:eastAsia="Malgun Gothic"/>
          <w:bCs/>
          <w:lang w:val="fr-FR"/>
        </w:rPr>
        <w:t xml:space="preserve"> grâce à une approche ciblée de renforcement des capacités. Les points focaux nationaux avaient bénéficié de sessions de formation en étroite collaboration avec l</w:t>
      </w:r>
      <w:r w:rsidR="00923E72">
        <w:rPr>
          <w:rFonts w:eastAsia="Malgun Gothic"/>
          <w:bCs/>
          <w:lang w:val="fr-FR"/>
        </w:rPr>
        <w:t>’</w:t>
      </w:r>
      <w:r w:rsidRPr="000D47A8">
        <w:rPr>
          <w:rFonts w:eastAsia="Malgun Gothic"/>
          <w:bCs/>
          <w:lang w:val="fr-FR"/>
        </w:rPr>
        <w:t>Institut du patrimoine de Sharjah. Ces États devaient soumettre leurs rapports en ligne avant le 15</w:t>
      </w:r>
      <w:r w:rsidR="00E41FEF">
        <w:rPr>
          <w:rFonts w:eastAsia="Malgun Gothic"/>
          <w:bCs/>
          <w:lang w:val="fr-FR"/>
        </w:rPr>
        <w:t> </w:t>
      </w:r>
      <w:r w:rsidRPr="000D47A8">
        <w:rPr>
          <w:rFonts w:eastAsia="Malgun Gothic"/>
          <w:bCs/>
          <w:lang w:val="fr-FR"/>
        </w:rPr>
        <w:t>décembre</w:t>
      </w:r>
      <w:r w:rsidR="00E41FEF">
        <w:rPr>
          <w:rFonts w:eastAsia="Malgun Gothic"/>
          <w:bCs/>
          <w:lang w:val="fr-FR"/>
        </w:rPr>
        <w:t> </w:t>
      </w:r>
      <w:r w:rsidRPr="000D47A8">
        <w:rPr>
          <w:rFonts w:eastAsia="Malgun Gothic"/>
          <w:bCs/>
          <w:lang w:val="fr-FR"/>
        </w:rPr>
        <w:t>2022. Pour l</w:t>
      </w:r>
      <w:r w:rsidR="00923E72">
        <w:rPr>
          <w:rFonts w:eastAsia="Malgun Gothic"/>
          <w:bCs/>
          <w:lang w:val="fr-FR"/>
        </w:rPr>
        <w:t>’</w:t>
      </w:r>
      <w:r w:rsidRPr="00E41FEF">
        <w:rPr>
          <w:rFonts w:eastAsia="Malgun Gothic"/>
          <w:bCs/>
          <w:u w:val="single"/>
          <w:lang w:val="fr-FR"/>
        </w:rPr>
        <w:t>Afrique</w:t>
      </w:r>
      <w:r w:rsidRPr="000D47A8">
        <w:rPr>
          <w:rFonts w:eastAsia="Malgun Gothic"/>
          <w:bCs/>
          <w:lang w:val="fr-FR"/>
        </w:rPr>
        <w:t>, l</w:t>
      </w:r>
      <w:r w:rsidR="00923E72">
        <w:rPr>
          <w:rFonts w:eastAsia="Malgun Gothic"/>
          <w:bCs/>
          <w:lang w:val="fr-FR"/>
        </w:rPr>
        <w:t>’</w:t>
      </w:r>
      <w:r w:rsidRPr="000D47A8">
        <w:rPr>
          <w:rFonts w:eastAsia="Malgun Gothic"/>
          <w:bCs/>
          <w:lang w:val="fr-FR"/>
        </w:rPr>
        <w:t>exercice de soumission de rapports périodiques venait d</w:t>
      </w:r>
      <w:r w:rsidR="00923E72">
        <w:rPr>
          <w:rFonts w:eastAsia="Malgun Gothic"/>
          <w:bCs/>
          <w:lang w:val="fr-FR"/>
        </w:rPr>
        <w:t>’</w:t>
      </w:r>
      <w:r w:rsidRPr="000D47A8">
        <w:rPr>
          <w:rFonts w:eastAsia="Malgun Gothic"/>
          <w:bCs/>
          <w:lang w:val="fr-FR"/>
        </w:rPr>
        <w:t>être lancé, c</w:t>
      </w:r>
      <w:r w:rsidR="00923E72">
        <w:rPr>
          <w:rFonts w:eastAsia="Malgun Gothic"/>
          <w:bCs/>
          <w:lang w:val="fr-FR"/>
        </w:rPr>
        <w:t>’</w:t>
      </w:r>
      <w:r w:rsidRPr="000D47A8">
        <w:rPr>
          <w:rFonts w:eastAsia="Malgun Gothic"/>
          <w:bCs/>
          <w:lang w:val="fr-FR"/>
        </w:rPr>
        <w:t>est-à-dire le renforcement des capacités pour la soumission de rapports périodiques dans le cadre du cycle</w:t>
      </w:r>
      <w:r w:rsidR="00DB6A4B">
        <w:rPr>
          <w:rFonts w:eastAsia="Malgun Gothic"/>
          <w:bCs/>
          <w:lang w:val="fr-FR"/>
        </w:rPr>
        <w:t> </w:t>
      </w:r>
      <w:r w:rsidRPr="000D47A8">
        <w:rPr>
          <w:rFonts w:eastAsia="Malgun Gothic"/>
          <w:bCs/>
          <w:lang w:val="fr-FR"/>
        </w:rPr>
        <w:t>2024. Le Secrétariat avait commencé à préparer ce renforcement des capacités prévu par l</w:t>
      </w:r>
      <w:r w:rsidR="00923E72">
        <w:rPr>
          <w:rFonts w:eastAsia="Malgun Gothic"/>
          <w:bCs/>
          <w:lang w:val="fr-FR"/>
        </w:rPr>
        <w:t>’</w:t>
      </w:r>
      <w:r w:rsidRPr="000D47A8">
        <w:rPr>
          <w:rFonts w:eastAsia="Malgun Gothic"/>
          <w:bCs/>
          <w:lang w:val="fr-FR"/>
        </w:rPr>
        <w:t>UNESCO et avait reçu une offre généreuse de collaboration avec le CRESPIAF</w:t>
      </w:r>
      <w:r w:rsidR="00E41FEF">
        <w:rPr>
          <w:rStyle w:val="FootnoteReference"/>
          <w:rFonts w:eastAsia="Malgun Gothic"/>
          <w:bCs/>
          <w:lang w:val="fr-FR"/>
        </w:rPr>
        <w:footnoteReference w:id="19"/>
      </w:r>
      <w:r w:rsidR="002D5EE7">
        <w:rPr>
          <w:rFonts w:eastAsia="Malgun Gothic"/>
          <w:bCs/>
          <w:lang w:val="fr-FR"/>
        </w:rPr>
        <w:t xml:space="preserve">, </w:t>
      </w:r>
      <w:r w:rsidR="00922FB6">
        <w:rPr>
          <w:rFonts w:eastAsia="Malgun Gothic"/>
          <w:bCs/>
          <w:lang w:val="fr-FR"/>
        </w:rPr>
        <w:t>le</w:t>
      </w:r>
      <w:r w:rsidR="002D5EE7">
        <w:rPr>
          <w:rFonts w:eastAsia="Malgun Gothic"/>
          <w:bCs/>
          <w:lang w:val="fr-FR"/>
        </w:rPr>
        <w:t xml:space="preserve"> centre de catégorie</w:t>
      </w:r>
      <w:r w:rsidR="007F0C0F">
        <w:rPr>
          <w:rFonts w:eastAsia="Malgun Gothic"/>
          <w:bCs/>
          <w:lang w:val="fr-FR"/>
        </w:rPr>
        <w:t> </w:t>
      </w:r>
      <w:r w:rsidR="002D5EE7">
        <w:rPr>
          <w:rFonts w:eastAsia="Malgun Gothic"/>
          <w:bCs/>
          <w:lang w:val="fr-FR"/>
        </w:rPr>
        <w:t xml:space="preserve">2 </w:t>
      </w:r>
      <w:r w:rsidR="00454F2F">
        <w:rPr>
          <w:rFonts w:eastAsia="Malgun Gothic"/>
          <w:bCs/>
          <w:lang w:val="fr-FR"/>
        </w:rPr>
        <w:t xml:space="preserve">situé à </w:t>
      </w:r>
      <w:r w:rsidR="002D5EE7">
        <w:rPr>
          <w:rFonts w:eastAsia="Malgun Gothic"/>
          <w:bCs/>
          <w:lang w:val="fr-FR"/>
        </w:rPr>
        <w:t>Alger</w:t>
      </w:r>
      <w:r w:rsidRPr="000D47A8">
        <w:rPr>
          <w:rFonts w:eastAsia="Malgun Gothic"/>
          <w:bCs/>
          <w:lang w:val="fr-FR"/>
        </w:rPr>
        <w:t>. Il a été rappelé aux États parties que le Secrétariat était à la recherche de financement et de soutien pour entreprendre un déploiement complet du renforcement des capacités en Afrique en</w:t>
      </w:r>
      <w:r w:rsidR="007F0C0F">
        <w:rPr>
          <w:rFonts w:eastAsia="Malgun Gothic"/>
          <w:bCs/>
          <w:lang w:val="fr-FR"/>
        </w:rPr>
        <w:t> </w:t>
      </w:r>
      <w:r w:rsidRPr="000D47A8">
        <w:rPr>
          <w:rFonts w:eastAsia="Malgun Gothic"/>
          <w:bCs/>
          <w:lang w:val="fr-FR"/>
        </w:rPr>
        <w:t>2023, qui serait une année parfaite car elle permettrait de réunir tous les pays pour la soumission des rapports périodiques afin de passer en revue des questions telles que les candidatures et les formations.</w:t>
      </w:r>
    </w:p>
    <w:p w14:paraId="4C4C7071" w14:textId="299BB61E" w:rsidR="00204D8F" w:rsidRDefault="00204D8F"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204D8F">
        <w:rPr>
          <w:rFonts w:eastAsia="Malgun Gothic"/>
          <w:bCs/>
          <w:lang w:val="fr-FR"/>
        </w:rPr>
        <w:t xml:space="preserve">Le </w:t>
      </w:r>
      <w:r w:rsidRPr="00204D8F">
        <w:rPr>
          <w:rFonts w:eastAsia="Malgun Gothic"/>
          <w:b/>
          <w:lang w:val="fr-FR"/>
        </w:rPr>
        <w:t>Secrétaire</w:t>
      </w:r>
      <w:r w:rsidRPr="00204D8F">
        <w:rPr>
          <w:rFonts w:eastAsia="Malgun Gothic"/>
          <w:bCs/>
          <w:lang w:val="fr-FR"/>
        </w:rPr>
        <w:t xml:space="preserve"> a conclu la présentation par quelques commentaires sur la voie à suivre. Bien qu</w:t>
      </w:r>
      <w:r w:rsidR="00923E72">
        <w:rPr>
          <w:rFonts w:eastAsia="Malgun Gothic"/>
          <w:bCs/>
          <w:lang w:val="fr-FR"/>
        </w:rPr>
        <w:t>’</w:t>
      </w:r>
      <w:r w:rsidRPr="00204D8F">
        <w:rPr>
          <w:rFonts w:eastAsia="Malgun Gothic"/>
          <w:bCs/>
          <w:lang w:val="fr-FR"/>
        </w:rPr>
        <w:t>il soit difficile de soutenir quatre régions entrepren</w:t>
      </w:r>
      <w:r w:rsidR="006B2CE5">
        <w:rPr>
          <w:rFonts w:eastAsia="Malgun Gothic"/>
          <w:bCs/>
          <w:lang w:val="fr-FR"/>
        </w:rPr>
        <w:t>ant</w:t>
      </w:r>
      <w:r w:rsidRPr="00204D8F">
        <w:rPr>
          <w:rFonts w:eastAsia="Malgun Gothic"/>
          <w:bCs/>
          <w:lang w:val="fr-FR"/>
        </w:rPr>
        <w:t xml:space="preserve"> l</w:t>
      </w:r>
      <w:r w:rsidR="00923E72">
        <w:rPr>
          <w:rFonts w:eastAsia="Malgun Gothic"/>
          <w:bCs/>
          <w:lang w:val="fr-FR"/>
        </w:rPr>
        <w:t>’</w:t>
      </w:r>
      <w:r w:rsidRPr="00204D8F">
        <w:rPr>
          <w:rFonts w:eastAsia="Malgun Gothic"/>
          <w:bCs/>
          <w:lang w:val="fr-FR"/>
        </w:rPr>
        <w:t>exercice des rapports périodiques, le Secrétariat tirait de nouveaux enseignements des rapports périodiques qu</w:t>
      </w:r>
      <w:r w:rsidR="00923E72">
        <w:rPr>
          <w:rFonts w:eastAsia="Malgun Gothic"/>
          <w:bCs/>
          <w:lang w:val="fr-FR"/>
        </w:rPr>
        <w:t>’</w:t>
      </w:r>
      <w:r w:rsidRPr="00204D8F">
        <w:rPr>
          <w:rFonts w:eastAsia="Malgun Gothic"/>
          <w:bCs/>
          <w:lang w:val="fr-FR"/>
        </w:rPr>
        <w:t>il pouvait appliquer d</w:t>
      </w:r>
      <w:r w:rsidR="00923E72">
        <w:rPr>
          <w:rFonts w:eastAsia="Malgun Gothic"/>
          <w:bCs/>
          <w:lang w:val="fr-FR"/>
        </w:rPr>
        <w:t>’</w:t>
      </w:r>
      <w:r w:rsidRPr="00204D8F">
        <w:rPr>
          <w:rFonts w:eastAsia="Malgun Gothic"/>
          <w:bCs/>
          <w:lang w:val="fr-FR"/>
        </w:rPr>
        <w:t>une région à l</w:t>
      </w:r>
      <w:r w:rsidR="00923E72">
        <w:rPr>
          <w:rFonts w:eastAsia="Malgun Gothic"/>
          <w:bCs/>
          <w:lang w:val="fr-FR"/>
        </w:rPr>
        <w:t>’</w:t>
      </w:r>
      <w:r w:rsidRPr="00204D8F">
        <w:rPr>
          <w:rFonts w:eastAsia="Malgun Gothic"/>
          <w:bCs/>
          <w:lang w:val="fr-FR"/>
        </w:rPr>
        <w:t>autre. Les documents de travail incluaient certaines de ces recommandations clés, en particulier celles issues de l</w:t>
      </w:r>
      <w:r w:rsidR="00923E72">
        <w:rPr>
          <w:rFonts w:eastAsia="Malgun Gothic"/>
          <w:bCs/>
          <w:lang w:val="fr-FR"/>
        </w:rPr>
        <w:t>’</w:t>
      </w:r>
      <w:r w:rsidRPr="00204D8F">
        <w:rPr>
          <w:rFonts w:eastAsia="Malgun Gothic"/>
          <w:bCs/>
          <w:lang w:val="fr-FR"/>
        </w:rPr>
        <w:t>expérience acquise en Amérique latine et dans les Caraïbes. Le Secrétariat était conscient de la nécessité d</w:t>
      </w:r>
      <w:r w:rsidR="00923E72">
        <w:rPr>
          <w:rFonts w:eastAsia="Malgun Gothic"/>
          <w:bCs/>
          <w:lang w:val="fr-FR"/>
        </w:rPr>
        <w:t>’</w:t>
      </w:r>
      <w:r w:rsidRPr="00204D8F">
        <w:rPr>
          <w:rFonts w:eastAsia="Malgun Gothic"/>
          <w:bCs/>
          <w:lang w:val="fr-FR"/>
        </w:rPr>
        <w:t>améliorer et d</w:t>
      </w:r>
      <w:r w:rsidR="00923E72">
        <w:rPr>
          <w:rFonts w:eastAsia="Malgun Gothic"/>
          <w:bCs/>
          <w:lang w:val="fr-FR"/>
        </w:rPr>
        <w:t>’</w:t>
      </w:r>
      <w:r w:rsidRPr="00204D8F">
        <w:rPr>
          <w:rFonts w:eastAsia="Malgun Gothic"/>
          <w:bCs/>
          <w:lang w:val="fr-FR"/>
        </w:rPr>
        <w:t>affiner le système. Des questions étaient posées concernant le formulaire</w:t>
      </w:r>
      <w:r w:rsidR="002F62D9">
        <w:rPr>
          <w:rFonts w:eastAsia="Malgun Gothic"/>
          <w:bCs/>
          <w:lang w:val="fr-FR"/>
        </w:rPr>
        <w:t>,</w:t>
      </w:r>
      <w:r w:rsidRPr="00204D8F">
        <w:rPr>
          <w:rFonts w:eastAsia="Malgun Gothic"/>
          <w:bCs/>
          <w:lang w:val="fr-FR"/>
        </w:rPr>
        <w:t xml:space="preserve"> qui devait être simplifié. Le Secrétariat était </w:t>
      </w:r>
      <w:r w:rsidR="00922FB6" w:rsidRPr="00922FB6">
        <w:rPr>
          <w:rFonts w:eastAsia="Malgun Gothic"/>
          <w:bCs/>
          <w:color w:val="000000" w:themeColor="text1"/>
          <w:lang w:val="fr-FR"/>
        </w:rPr>
        <w:t>également</w:t>
      </w:r>
      <w:r w:rsidR="00922FB6">
        <w:rPr>
          <w:rFonts w:eastAsia="Malgun Gothic"/>
          <w:bCs/>
          <w:color w:val="000000" w:themeColor="text1"/>
          <w:lang w:val="fr-FR"/>
        </w:rPr>
        <w:t xml:space="preserve"> </w:t>
      </w:r>
      <w:r w:rsidRPr="00204D8F">
        <w:rPr>
          <w:rFonts w:eastAsia="Malgun Gothic"/>
          <w:bCs/>
          <w:lang w:val="fr-FR"/>
        </w:rPr>
        <w:t>conscient qu</w:t>
      </w:r>
      <w:r w:rsidR="00923E72">
        <w:rPr>
          <w:rFonts w:eastAsia="Malgun Gothic"/>
          <w:bCs/>
          <w:lang w:val="fr-FR"/>
        </w:rPr>
        <w:t>’</w:t>
      </w:r>
      <w:r w:rsidRPr="00204D8F">
        <w:rPr>
          <w:rFonts w:eastAsia="Malgun Gothic"/>
          <w:bCs/>
          <w:lang w:val="fr-FR"/>
        </w:rPr>
        <w:t xml:space="preserve">il y avait plus de 100 questions, </w:t>
      </w:r>
      <w:r w:rsidR="00922FB6">
        <w:rPr>
          <w:rFonts w:eastAsia="Malgun Gothic"/>
          <w:bCs/>
          <w:lang w:val="fr-FR"/>
        </w:rPr>
        <w:t xml:space="preserve">dont certaines </w:t>
      </w:r>
      <w:r w:rsidRPr="00204D8F">
        <w:rPr>
          <w:rFonts w:eastAsia="Malgun Gothic"/>
          <w:bCs/>
          <w:lang w:val="fr-FR"/>
        </w:rPr>
        <w:t>demanda</w:t>
      </w:r>
      <w:r w:rsidR="00922FB6">
        <w:rPr>
          <w:rFonts w:eastAsia="Malgun Gothic"/>
          <w:bCs/>
          <w:lang w:val="fr-FR"/>
        </w:rPr>
        <w:t>ie</w:t>
      </w:r>
      <w:r w:rsidRPr="00204D8F">
        <w:rPr>
          <w:rFonts w:eastAsia="Malgun Gothic"/>
          <w:bCs/>
          <w:lang w:val="fr-FR"/>
        </w:rPr>
        <w:t xml:space="preserve">nt des informations identiques. </w:t>
      </w:r>
      <w:r w:rsidR="00922FB6">
        <w:rPr>
          <w:rFonts w:eastAsia="Malgun Gothic"/>
          <w:bCs/>
          <w:lang w:val="fr-FR"/>
        </w:rPr>
        <w:t xml:space="preserve">Le </w:t>
      </w:r>
      <w:r w:rsidR="00922FB6" w:rsidRPr="00922FB6">
        <w:rPr>
          <w:rFonts w:eastAsia="Malgun Gothic"/>
          <w:bCs/>
          <w:lang w:val="fr-FR"/>
        </w:rPr>
        <w:t>Secréta</w:t>
      </w:r>
      <w:r w:rsidR="00922FB6">
        <w:rPr>
          <w:rFonts w:eastAsia="Malgun Gothic"/>
          <w:bCs/>
          <w:lang w:val="fr-FR"/>
        </w:rPr>
        <w:t>riat</w:t>
      </w:r>
      <w:r w:rsidRPr="00204D8F">
        <w:rPr>
          <w:rFonts w:eastAsia="Malgun Gothic"/>
          <w:bCs/>
          <w:lang w:val="fr-FR"/>
        </w:rPr>
        <w:t xml:space="preserve"> </w:t>
      </w:r>
      <w:r w:rsidR="00922FB6">
        <w:rPr>
          <w:rFonts w:eastAsia="Malgun Gothic"/>
          <w:bCs/>
          <w:lang w:val="fr-FR"/>
        </w:rPr>
        <w:t xml:space="preserve">traiterait </w:t>
      </w:r>
      <w:r w:rsidRPr="00204D8F">
        <w:rPr>
          <w:rFonts w:eastAsia="Malgun Gothic"/>
          <w:bCs/>
          <w:lang w:val="fr-FR"/>
        </w:rPr>
        <w:t>également les questions techniques le plus rapidement possible. En même temps, toute solution structurelle devrait être examinée attentivement, au fur et à mesure de l</w:t>
      </w:r>
      <w:r w:rsidR="00923E72">
        <w:rPr>
          <w:rFonts w:eastAsia="Malgun Gothic"/>
          <w:bCs/>
          <w:lang w:val="fr-FR"/>
        </w:rPr>
        <w:t>’</w:t>
      </w:r>
      <w:r w:rsidRPr="00204D8F">
        <w:rPr>
          <w:rFonts w:eastAsia="Malgun Gothic"/>
          <w:bCs/>
          <w:lang w:val="fr-FR"/>
        </w:rPr>
        <w:t>avancement des travaux au cours de l</w:t>
      </w:r>
      <w:r w:rsidR="00923E72">
        <w:rPr>
          <w:rFonts w:eastAsia="Malgun Gothic"/>
          <w:bCs/>
          <w:lang w:val="fr-FR"/>
        </w:rPr>
        <w:t>’</w:t>
      </w:r>
      <w:r w:rsidRPr="00204D8F">
        <w:rPr>
          <w:rFonts w:eastAsia="Malgun Gothic"/>
          <w:bCs/>
          <w:lang w:val="fr-FR"/>
        </w:rPr>
        <w:t>année de réflexion, après le cycle complet. Enfin, il était important de rappeler que le document final de MONDIACULT appelait l</w:t>
      </w:r>
      <w:r w:rsidR="00923E72">
        <w:rPr>
          <w:rFonts w:eastAsia="Malgun Gothic"/>
          <w:bCs/>
          <w:lang w:val="fr-FR"/>
        </w:rPr>
        <w:t>’</w:t>
      </w:r>
      <w:r w:rsidRPr="00204D8F">
        <w:rPr>
          <w:rFonts w:eastAsia="Malgun Gothic"/>
          <w:bCs/>
          <w:lang w:val="fr-FR"/>
        </w:rPr>
        <w:t>UNESCO à produire un rapport global complet sur les politiques culturelles sur une base quadriennale. Il serait donc très important que la Convention de</w:t>
      </w:r>
      <w:r w:rsidR="006773EF">
        <w:rPr>
          <w:rFonts w:eastAsia="Malgun Gothic"/>
          <w:bCs/>
          <w:lang w:val="fr-FR"/>
        </w:rPr>
        <w:t> </w:t>
      </w:r>
      <w:r w:rsidRPr="00204D8F">
        <w:rPr>
          <w:rFonts w:eastAsia="Malgun Gothic"/>
          <w:bCs/>
          <w:lang w:val="fr-FR"/>
        </w:rPr>
        <w:t>2003 commence à explorer et à comprendre la meilleure façon d</w:t>
      </w:r>
      <w:r w:rsidR="00923E72">
        <w:rPr>
          <w:rFonts w:eastAsia="Malgun Gothic"/>
          <w:bCs/>
          <w:lang w:val="fr-FR"/>
        </w:rPr>
        <w:t>’</w:t>
      </w:r>
      <w:r w:rsidRPr="00204D8F">
        <w:rPr>
          <w:rFonts w:eastAsia="Malgun Gothic"/>
          <w:bCs/>
          <w:lang w:val="fr-FR"/>
        </w:rPr>
        <w:t>ajuster le processus pour s</w:t>
      </w:r>
      <w:r w:rsidR="00923E72">
        <w:rPr>
          <w:rFonts w:eastAsia="Malgun Gothic"/>
          <w:bCs/>
          <w:lang w:val="fr-FR"/>
        </w:rPr>
        <w:t>’</w:t>
      </w:r>
      <w:r w:rsidRPr="00204D8F">
        <w:rPr>
          <w:rFonts w:eastAsia="Malgun Gothic"/>
          <w:bCs/>
          <w:lang w:val="fr-FR"/>
        </w:rPr>
        <w:t>assurer qu</w:t>
      </w:r>
      <w:r w:rsidR="00923E72">
        <w:rPr>
          <w:rFonts w:eastAsia="Malgun Gothic"/>
          <w:bCs/>
          <w:lang w:val="fr-FR"/>
        </w:rPr>
        <w:t>’</w:t>
      </w:r>
      <w:r w:rsidRPr="00204D8F">
        <w:rPr>
          <w:rFonts w:eastAsia="Malgun Gothic"/>
          <w:bCs/>
          <w:lang w:val="fr-FR"/>
        </w:rPr>
        <w:t>il est aligné sur cette culture de rapports globaux, de sorte que la soumission de rapports périodiques dans le cadre de cette Convention puisse contribuer efficacement à ce rapport global.</w:t>
      </w:r>
    </w:p>
    <w:p w14:paraId="13BB2FC0" w14:textId="55A666C7" w:rsidR="000D47A8" w:rsidRDefault="0088186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88186D">
        <w:rPr>
          <w:rFonts w:eastAsia="Malgun Gothic"/>
          <w:bCs/>
          <w:lang w:val="fr-FR"/>
        </w:rPr>
        <w:t xml:space="preserve">Le </w:t>
      </w:r>
      <w:r w:rsidRPr="0088186D">
        <w:rPr>
          <w:rFonts w:eastAsia="Malgun Gothic"/>
          <w:b/>
          <w:lang w:val="fr-FR"/>
        </w:rPr>
        <w:t>Président</w:t>
      </w:r>
      <w:r w:rsidRPr="0088186D">
        <w:rPr>
          <w:rFonts w:eastAsia="Malgun Gothic"/>
          <w:bCs/>
          <w:lang w:val="fr-FR"/>
        </w:rPr>
        <w:t xml:space="preserve"> a remercié le Secrétaire et félicité tous les États parties et autres parties prenantes impliqués dans cet exercice participatif</w:t>
      </w:r>
      <w:r w:rsidR="007F0C0F">
        <w:rPr>
          <w:rFonts w:eastAsia="Malgun Gothic"/>
          <w:bCs/>
          <w:lang w:val="fr-FR"/>
        </w:rPr>
        <w:t xml:space="preserve">, </w:t>
      </w:r>
      <w:r w:rsidRPr="0088186D">
        <w:rPr>
          <w:rFonts w:eastAsia="Malgun Gothic"/>
          <w:bCs/>
          <w:lang w:val="fr-FR"/>
        </w:rPr>
        <w:t>fondamental pour le suivi et la mise en œuvre de la Convention. Il a remercié le Secrétariat pour son soutien continu</w:t>
      </w:r>
      <w:r w:rsidR="002F62D9">
        <w:rPr>
          <w:rFonts w:eastAsia="Malgun Gothic"/>
          <w:bCs/>
          <w:lang w:val="fr-FR"/>
        </w:rPr>
        <w:t>,</w:t>
      </w:r>
      <w:r w:rsidRPr="0088186D">
        <w:rPr>
          <w:rFonts w:eastAsia="Malgun Gothic"/>
          <w:bCs/>
          <w:lang w:val="fr-FR"/>
        </w:rPr>
        <w:t xml:space="preserve"> qui avait </w:t>
      </w:r>
      <w:r w:rsidRPr="0088186D">
        <w:rPr>
          <w:rFonts w:eastAsia="Malgun Gothic"/>
          <w:bCs/>
          <w:lang w:val="fr-FR"/>
        </w:rPr>
        <w:lastRenderedPageBreak/>
        <w:t xml:space="preserve">contribué à ces résultats. Le Président a donné la parole aux </w:t>
      </w:r>
      <w:r w:rsidR="0098046B">
        <w:rPr>
          <w:rFonts w:eastAsia="Malgun Gothic"/>
          <w:bCs/>
          <w:lang w:val="fr-FR"/>
        </w:rPr>
        <w:t xml:space="preserve">orateurs </w:t>
      </w:r>
      <w:r w:rsidRPr="0088186D">
        <w:rPr>
          <w:rFonts w:eastAsia="Malgun Gothic"/>
          <w:bCs/>
          <w:lang w:val="fr-FR"/>
        </w:rPr>
        <w:t>afin qu</w:t>
      </w:r>
      <w:r w:rsidR="00923E72">
        <w:rPr>
          <w:rFonts w:eastAsia="Malgun Gothic"/>
          <w:bCs/>
          <w:lang w:val="fr-FR"/>
        </w:rPr>
        <w:t>’</w:t>
      </w:r>
      <w:r w:rsidRPr="0088186D">
        <w:rPr>
          <w:rFonts w:eastAsia="Malgun Gothic"/>
          <w:bCs/>
          <w:lang w:val="fr-FR"/>
        </w:rPr>
        <w:t xml:space="preserve">ils </w:t>
      </w:r>
      <w:r w:rsidR="0098046B">
        <w:rPr>
          <w:rFonts w:eastAsia="Malgun Gothic"/>
          <w:bCs/>
          <w:lang w:val="fr-FR"/>
        </w:rPr>
        <w:t>fassent part de leurs</w:t>
      </w:r>
      <w:r w:rsidRPr="0088186D">
        <w:rPr>
          <w:rFonts w:eastAsia="Malgun Gothic"/>
          <w:bCs/>
          <w:lang w:val="fr-FR"/>
        </w:rPr>
        <w:t xml:space="preserve"> commentaires.</w:t>
      </w:r>
    </w:p>
    <w:p w14:paraId="024E989F" w14:textId="029E3590" w:rsidR="0088186D" w:rsidRDefault="0088186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88186D">
        <w:rPr>
          <w:rFonts w:eastAsia="Malgun Gothic"/>
          <w:bCs/>
          <w:lang w:val="fr-FR"/>
        </w:rPr>
        <w:t xml:space="preserve">La délégation du </w:t>
      </w:r>
      <w:r w:rsidRPr="0088186D">
        <w:rPr>
          <w:rFonts w:eastAsia="Malgun Gothic"/>
          <w:b/>
          <w:lang w:val="fr-FR"/>
        </w:rPr>
        <w:t>Pérou</w:t>
      </w:r>
      <w:r w:rsidRPr="0088186D">
        <w:rPr>
          <w:rFonts w:eastAsia="Malgun Gothic"/>
          <w:bCs/>
          <w:lang w:val="fr-FR"/>
        </w:rPr>
        <w:t xml:space="preserve"> a remercié le Secrétariat pour son rapport et son soutien. Elle s</w:t>
      </w:r>
      <w:r w:rsidR="00923E72">
        <w:rPr>
          <w:rFonts w:eastAsia="Malgun Gothic"/>
          <w:bCs/>
          <w:lang w:val="fr-FR"/>
        </w:rPr>
        <w:t>’</w:t>
      </w:r>
      <w:r w:rsidRPr="0088186D">
        <w:rPr>
          <w:rFonts w:eastAsia="Malgun Gothic"/>
          <w:bCs/>
          <w:lang w:val="fr-FR"/>
        </w:rPr>
        <w:t>est félicitée que la région Amérique latine et Caraïbes ait enregistré un taux de soumission très élevé malgré les circonstances défavorables liées à la pandémie de COVID</w:t>
      </w:r>
      <w:r>
        <w:rPr>
          <w:rFonts w:eastAsia="Malgun Gothic"/>
          <w:bCs/>
          <w:lang w:val="fr-FR"/>
        </w:rPr>
        <w:noBreakHyphen/>
      </w:r>
      <w:r w:rsidRPr="0088186D">
        <w:rPr>
          <w:rFonts w:eastAsia="Malgun Gothic"/>
          <w:bCs/>
          <w:lang w:val="fr-FR"/>
        </w:rPr>
        <w:t>19. La délégation a souligné le rôle de soutien que joue le CRESPIAL</w:t>
      </w:r>
      <w:r w:rsidR="00967A3D">
        <w:rPr>
          <w:rStyle w:val="FootnoteReference"/>
          <w:rFonts w:eastAsia="Malgun Gothic"/>
          <w:bCs/>
          <w:lang w:val="fr-FR"/>
        </w:rPr>
        <w:footnoteReference w:id="20"/>
      </w:r>
      <w:r w:rsidRPr="0088186D">
        <w:rPr>
          <w:rFonts w:eastAsia="Malgun Gothic"/>
          <w:bCs/>
          <w:lang w:val="fr-FR"/>
        </w:rPr>
        <w:t>, ajoutant qu</w:t>
      </w:r>
      <w:r w:rsidR="00923E72">
        <w:rPr>
          <w:rFonts w:eastAsia="Malgun Gothic"/>
          <w:bCs/>
          <w:lang w:val="fr-FR"/>
        </w:rPr>
        <w:t>’</w:t>
      </w:r>
      <w:r w:rsidRPr="0088186D">
        <w:rPr>
          <w:rFonts w:eastAsia="Malgun Gothic"/>
          <w:bCs/>
          <w:lang w:val="fr-FR"/>
        </w:rPr>
        <w:t>il était vraiment important de continuer à soutenir le travail de ce centre.</w:t>
      </w:r>
    </w:p>
    <w:p w14:paraId="27A24C61" w14:textId="2BD96F8B" w:rsidR="0088186D" w:rsidRPr="00383AC0" w:rsidRDefault="0088186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88186D">
        <w:rPr>
          <w:rFonts w:eastAsia="Malgun Gothic"/>
          <w:bCs/>
          <w:lang w:val="fr-FR"/>
        </w:rPr>
        <w:t xml:space="preserve">La délégation de la </w:t>
      </w:r>
      <w:r w:rsidRPr="0088186D">
        <w:rPr>
          <w:rFonts w:eastAsia="Malgun Gothic"/>
          <w:b/>
          <w:lang w:val="fr-FR"/>
        </w:rPr>
        <w:t>Slovaquie</w:t>
      </w:r>
      <w:r w:rsidRPr="0088186D">
        <w:rPr>
          <w:rFonts w:eastAsia="Malgun Gothic"/>
          <w:bCs/>
          <w:lang w:val="fr-FR"/>
        </w:rPr>
        <w:t xml:space="preserve"> a remercié les pays d</w:t>
      </w:r>
      <w:r w:rsidR="00923E72">
        <w:rPr>
          <w:rFonts w:eastAsia="Malgun Gothic"/>
          <w:bCs/>
          <w:lang w:val="fr-FR"/>
        </w:rPr>
        <w:t>’</w:t>
      </w:r>
      <w:r w:rsidRPr="0088186D">
        <w:rPr>
          <w:rFonts w:eastAsia="Malgun Gothic"/>
          <w:bCs/>
          <w:lang w:val="fr-FR"/>
        </w:rPr>
        <w:t>Amérique latine et des Caraïbes</w:t>
      </w:r>
      <w:r w:rsidRPr="00383AC0">
        <w:rPr>
          <w:rFonts w:eastAsia="Malgun Gothic"/>
          <w:bCs/>
          <w:lang w:val="fr-FR"/>
        </w:rPr>
        <w:t xml:space="preserve"> pour les enseignements </w:t>
      </w:r>
      <w:r w:rsidR="00383AC0">
        <w:rPr>
          <w:rFonts w:eastAsia="Malgun Gothic"/>
          <w:bCs/>
          <w:lang w:val="fr-FR"/>
        </w:rPr>
        <w:t xml:space="preserve">tirés du nouveau mécanisme, dont </w:t>
      </w:r>
      <w:r w:rsidRPr="00383AC0">
        <w:rPr>
          <w:rFonts w:eastAsia="Malgun Gothic"/>
          <w:bCs/>
          <w:lang w:val="fr-FR"/>
        </w:rPr>
        <w:t xml:space="preserve">elle avait eu la chance de discuter avec </w:t>
      </w:r>
      <w:r w:rsidR="00891B96" w:rsidRPr="00383AC0">
        <w:rPr>
          <w:rFonts w:eastAsia="Malgun Gothic"/>
          <w:bCs/>
          <w:lang w:val="fr-FR"/>
        </w:rPr>
        <w:t>d</w:t>
      </w:r>
      <w:r w:rsidRPr="00383AC0">
        <w:rPr>
          <w:rFonts w:eastAsia="Malgun Gothic"/>
          <w:bCs/>
          <w:lang w:val="fr-FR"/>
        </w:rPr>
        <w:t>es représentants des pays d</w:t>
      </w:r>
      <w:r w:rsidR="00923E72">
        <w:rPr>
          <w:rFonts w:eastAsia="Malgun Gothic"/>
          <w:bCs/>
          <w:lang w:val="fr-FR"/>
        </w:rPr>
        <w:t>’</w:t>
      </w:r>
      <w:r w:rsidRPr="00383AC0">
        <w:rPr>
          <w:rFonts w:eastAsia="Malgun Gothic"/>
          <w:bCs/>
          <w:lang w:val="fr-FR"/>
        </w:rPr>
        <w:t>Amérique latine et des Caraïbes lors du cours en ligne sur les rapports périodiques organisé par le Secrétariat en</w:t>
      </w:r>
      <w:r w:rsidR="00AF6B98">
        <w:rPr>
          <w:rFonts w:eastAsia="Malgun Gothic"/>
          <w:bCs/>
          <w:lang w:val="fr-FR"/>
        </w:rPr>
        <w:t> </w:t>
      </w:r>
      <w:r w:rsidRPr="00383AC0">
        <w:rPr>
          <w:rFonts w:eastAsia="Malgun Gothic"/>
          <w:bCs/>
          <w:lang w:val="fr-FR"/>
        </w:rPr>
        <w:t>2021</w:t>
      </w:r>
      <w:r w:rsidR="00383AC0">
        <w:rPr>
          <w:rFonts w:eastAsia="Malgun Gothic"/>
          <w:bCs/>
          <w:lang w:val="fr-FR"/>
        </w:rPr>
        <w:t xml:space="preserve">, ces pays ayant eu </w:t>
      </w:r>
      <w:r w:rsidR="00383AC0" w:rsidRPr="0088186D">
        <w:rPr>
          <w:rFonts w:eastAsia="Malgun Gothic"/>
          <w:bCs/>
          <w:lang w:val="fr-FR"/>
        </w:rPr>
        <w:t>la tâche ardue de tester l</w:t>
      </w:r>
      <w:r w:rsidR="00383AC0">
        <w:rPr>
          <w:rFonts w:eastAsia="Malgun Gothic"/>
          <w:bCs/>
          <w:lang w:val="fr-FR"/>
        </w:rPr>
        <w:t>a nouvelle modalité</w:t>
      </w:r>
      <w:r w:rsidR="00383AC0" w:rsidRPr="0088186D">
        <w:rPr>
          <w:rFonts w:eastAsia="Malgun Gothic"/>
          <w:bCs/>
          <w:lang w:val="fr-FR"/>
        </w:rPr>
        <w:t xml:space="preserve"> du mécanisme de rapports périodiques</w:t>
      </w:r>
      <w:r w:rsidR="00383AC0">
        <w:rPr>
          <w:rFonts w:eastAsia="Malgun Gothic"/>
          <w:bCs/>
          <w:lang w:val="fr-FR"/>
        </w:rPr>
        <w:t>.</w:t>
      </w:r>
      <w:r w:rsidR="00383AC0" w:rsidRPr="00383AC0">
        <w:rPr>
          <w:rFonts w:eastAsia="Malgun Gothic"/>
          <w:bCs/>
          <w:lang w:val="fr-FR"/>
        </w:rPr>
        <w:t xml:space="preserve"> </w:t>
      </w:r>
      <w:r w:rsidRPr="00383AC0">
        <w:rPr>
          <w:rFonts w:eastAsia="Malgun Gothic"/>
          <w:bCs/>
          <w:lang w:val="fr-FR"/>
        </w:rPr>
        <w:t>Les résultats de l</w:t>
      </w:r>
      <w:r w:rsidR="00923E72">
        <w:rPr>
          <w:rFonts w:eastAsia="Malgun Gothic"/>
          <w:bCs/>
          <w:lang w:val="fr-FR"/>
        </w:rPr>
        <w:t>’</w:t>
      </w:r>
      <w:r w:rsidRPr="00383AC0">
        <w:rPr>
          <w:rFonts w:eastAsia="Malgun Gothic"/>
          <w:bCs/>
          <w:lang w:val="fr-FR"/>
        </w:rPr>
        <w:t xml:space="preserve">analyse et le contenu du rapport correspondant </w:t>
      </w:r>
      <w:r w:rsidR="00204D8F" w:rsidRPr="00383AC0">
        <w:rPr>
          <w:rFonts w:eastAsia="Malgun Gothic"/>
          <w:bCs/>
          <w:lang w:val="fr-FR"/>
        </w:rPr>
        <w:t>étaient</w:t>
      </w:r>
      <w:r w:rsidRPr="00383AC0">
        <w:rPr>
          <w:rFonts w:eastAsia="Malgun Gothic"/>
          <w:bCs/>
          <w:lang w:val="fr-FR"/>
        </w:rPr>
        <w:t xml:space="preserve"> une source d</w:t>
      </w:r>
      <w:r w:rsidR="00923E72">
        <w:rPr>
          <w:rFonts w:eastAsia="Malgun Gothic"/>
          <w:bCs/>
          <w:lang w:val="fr-FR"/>
        </w:rPr>
        <w:t>’</w:t>
      </w:r>
      <w:r w:rsidRPr="00383AC0">
        <w:rPr>
          <w:rFonts w:eastAsia="Malgun Gothic"/>
          <w:bCs/>
          <w:lang w:val="fr-FR"/>
        </w:rPr>
        <w:t>inspiration. Les pays soumissionnaires offraient de nombreux exemples d</w:t>
      </w:r>
      <w:r w:rsidR="00923E72">
        <w:rPr>
          <w:rFonts w:eastAsia="Malgun Gothic"/>
          <w:bCs/>
          <w:lang w:val="fr-FR"/>
        </w:rPr>
        <w:t>’</w:t>
      </w:r>
      <w:r w:rsidRPr="00383AC0">
        <w:rPr>
          <w:rFonts w:eastAsia="Malgun Gothic"/>
          <w:bCs/>
          <w:lang w:val="fr-FR"/>
        </w:rPr>
        <w:t>investissement dans les institutions, l</w:t>
      </w:r>
      <w:r w:rsidR="00923E72">
        <w:rPr>
          <w:rFonts w:eastAsia="Malgun Gothic"/>
          <w:bCs/>
          <w:lang w:val="fr-FR"/>
        </w:rPr>
        <w:t>’</w:t>
      </w:r>
      <w:r w:rsidRPr="00383AC0">
        <w:rPr>
          <w:rFonts w:eastAsia="Malgun Gothic"/>
          <w:bCs/>
          <w:lang w:val="fr-FR"/>
        </w:rPr>
        <w:t>éducation, la sensibilisation et l</w:t>
      </w:r>
      <w:r w:rsidR="00923E72">
        <w:rPr>
          <w:rFonts w:eastAsia="Malgun Gothic"/>
          <w:bCs/>
          <w:lang w:val="fr-FR"/>
        </w:rPr>
        <w:t>’</w:t>
      </w:r>
      <w:r w:rsidRPr="00383AC0">
        <w:rPr>
          <w:rFonts w:eastAsia="Malgun Gothic"/>
          <w:bCs/>
          <w:lang w:val="fr-FR"/>
        </w:rPr>
        <w:t xml:space="preserve">élaboration de cadres politiques pour la sauvegarde, en particulier, </w:t>
      </w:r>
      <w:r w:rsidR="00383AC0" w:rsidRPr="00383AC0">
        <w:rPr>
          <w:rFonts w:eastAsia="Malgun Gothic"/>
          <w:bCs/>
          <w:lang w:val="fr-FR"/>
        </w:rPr>
        <w:t>en ce qui concerne</w:t>
      </w:r>
      <w:r w:rsidR="00383AC0">
        <w:rPr>
          <w:rFonts w:eastAsia="Malgun Gothic"/>
          <w:bCs/>
          <w:lang w:val="fr-FR"/>
        </w:rPr>
        <w:t xml:space="preserve"> </w:t>
      </w:r>
      <w:r w:rsidRPr="00383AC0">
        <w:rPr>
          <w:rFonts w:eastAsia="Malgun Gothic"/>
          <w:bCs/>
          <w:lang w:val="fr-FR"/>
        </w:rPr>
        <w:t xml:space="preserve">la gestion du patrimoine matériel, la propriété intellectuelle, et bien </w:t>
      </w:r>
      <w:r w:rsidR="00454F2F" w:rsidRPr="00383AC0">
        <w:rPr>
          <w:rFonts w:eastAsia="Malgun Gothic"/>
          <w:bCs/>
          <w:lang w:val="fr-FR"/>
        </w:rPr>
        <w:t>plus</w:t>
      </w:r>
      <w:r w:rsidRPr="00383AC0">
        <w:rPr>
          <w:rFonts w:eastAsia="Malgun Gothic"/>
          <w:bCs/>
          <w:lang w:val="fr-FR"/>
        </w:rPr>
        <w:t>. Bien qu</w:t>
      </w:r>
      <w:r w:rsidR="00923E72">
        <w:rPr>
          <w:rFonts w:eastAsia="Malgun Gothic"/>
          <w:bCs/>
          <w:lang w:val="fr-FR"/>
        </w:rPr>
        <w:t>’</w:t>
      </w:r>
      <w:r w:rsidRPr="00383AC0">
        <w:rPr>
          <w:rFonts w:eastAsia="Malgun Gothic"/>
          <w:bCs/>
          <w:lang w:val="fr-FR"/>
        </w:rPr>
        <w:t xml:space="preserve">une partie importante soit consacrée à </w:t>
      </w:r>
      <w:r w:rsidR="00383AC0">
        <w:rPr>
          <w:rFonts w:eastAsia="Malgun Gothic"/>
          <w:bCs/>
          <w:lang w:val="fr-FR"/>
        </w:rPr>
        <w:t xml:space="preserve">rendre compte </w:t>
      </w:r>
      <w:r w:rsidRPr="00383AC0">
        <w:rPr>
          <w:rFonts w:eastAsia="Malgun Gothic"/>
          <w:bCs/>
          <w:lang w:val="fr-FR"/>
        </w:rPr>
        <w:t>des éléments inscrits sur la Liste représentative, les exemples mentionnés démontraient que la Liste représentative n</w:t>
      </w:r>
      <w:r w:rsidR="00923E72">
        <w:rPr>
          <w:rFonts w:eastAsia="Malgun Gothic"/>
          <w:bCs/>
          <w:lang w:val="fr-FR"/>
        </w:rPr>
        <w:t>’</w:t>
      </w:r>
      <w:r w:rsidRPr="00383AC0">
        <w:rPr>
          <w:rFonts w:eastAsia="Malgun Gothic"/>
          <w:bCs/>
          <w:lang w:val="fr-FR"/>
        </w:rPr>
        <w:t>est qu</w:t>
      </w:r>
      <w:r w:rsidR="00923E72">
        <w:rPr>
          <w:rFonts w:eastAsia="Malgun Gothic"/>
          <w:bCs/>
          <w:lang w:val="fr-FR"/>
        </w:rPr>
        <w:t>’</w:t>
      </w:r>
      <w:r w:rsidRPr="00383AC0">
        <w:rPr>
          <w:rFonts w:eastAsia="Malgun Gothic"/>
          <w:bCs/>
          <w:lang w:val="fr-FR"/>
        </w:rPr>
        <w:t xml:space="preserve">un des multiples outils de sauvegarde du patrimoine culturel immatériel, en particulier </w:t>
      </w:r>
      <w:r w:rsidR="00204D8F" w:rsidRPr="00383AC0">
        <w:rPr>
          <w:rFonts w:eastAsia="Malgun Gothic"/>
          <w:bCs/>
          <w:lang w:val="fr-FR"/>
        </w:rPr>
        <w:t xml:space="preserve">au regard de </w:t>
      </w:r>
      <w:r w:rsidRPr="00383AC0">
        <w:rPr>
          <w:rFonts w:eastAsia="Malgun Gothic"/>
          <w:bCs/>
          <w:lang w:val="fr-FR"/>
        </w:rPr>
        <w:t>la discussion sur l</w:t>
      </w:r>
      <w:r w:rsidR="00923E72">
        <w:rPr>
          <w:rFonts w:eastAsia="Malgun Gothic"/>
          <w:bCs/>
          <w:lang w:val="fr-FR"/>
        </w:rPr>
        <w:t>’</w:t>
      </w:r>
      <w:r w:rsidRPr="00383AC0">
        <w:rPr>
          <w:rFonts w:eastAsia="Malgun Gothic"/>
          <w:bCs/>
          <w:lang w:val="fr-FR"/>
        </w:rPr>
        <w:t>article</w:t>
      </w:r>
      <w:r w:rsidR="00383AC0">
        <w:rPr>
          <w:rFonts w:eastAsia="Malgun Gothic"/>
          <w:bCs/>
          <w:lang w:val="fr-FR"/>
        </w:rPr>
        <w:t> </w:t>
      </w:r>
      <w:r w:rsidRPr="00383AC0">
        <w:rPr>
          <w:rFonts w:eastAsia="Malgun Gothic"/>
          <w:bCs/>
          <w:lang w:val="fr-FR"/>
        </w:rPr>
        <w:t>18 lancée par la Suède, dont elle s</w:t>
      </w:r>
      <w:r w:rsidR="00923E72">
        <w:rPr>
          <w:rFonts w:eastAsia="Malgun Gothic"/>
          <w:bCs/>
          <w:lang w:val="fr-FR"/>
        </w:rPr>
        <w:t>’</w:t>
      </w:r>
      <w:r w:rsidRPr="00383AC0">
        <w:rPr>
          <w:rFonts w:eastAsia="Malgun Gothic"/>
          <w:bCs/>
          <w:lang w:val="fr-FR"/>
        </w:rPr>
        <w:t>est vivement félicitée. La délégation attendait avec impatience l</w:t>
      </w:r>
      <w:r w:rsidR="00923E72">
        <w:rPr>
          <w:rFonts w:eastAsia="Malgun Gothic"/>
          <w:bCs/>
          <w:lang w:val="fr-FR"/>
        </w:rPr>
        <w:t>’</w:t>
      </w:r>
      <w:r w:rsidRPr="00383AC0">
        <w:rPr>
          <w:rFonts w:eastAsia="Malgun Gothic"/>
          <w:bCs/>
          <w:lang w:val="fr-FR"/>
        </w:rPr>
        <w:t>analyse globale de tous les cycles</w:t>
      </w:r>
      <w:r w:rsidR="00383AC0">
        <w:rPr>
          <w:rFonts w:eastAsia="Malgun Gothic"/>
          <w:bCs/>
          <w:lang w:val="fr-FR"/>
        </w:rPr>
        <w:t>,</w:t>
      </w:r>
      <w:r w:rsidRPr="00383AC0">
        <w:rPr>
          <w:rFonts w:eastAsia="Malgun Gothic"/>
          <w:bCs/>
          <w:lang w:val="fr-FR"/>
        </w:rPr>
        <w:t xml:space="preserve"> lorsque tous les États parties auraient achevé leurs rapports périodiques, afin de voir l</w:t>
      </w:r>
      <w:r w:rsidR="00923E72">
        <w:rPr>
          <w:rFonts w:eastAsia="Malgun Gothic"/>
          <w:bCs/>
          <w:lang w:val="fr-FR"/>
        </w:rPr>
        <w:t>’</w:t>
      </w:r>
      <w:r w:rsidRPr="00383AC0">
        <w:rPr>
          <w:rFonts w:eastAsia="Malgun Gothic"/>
          <w:bCs/>
          <w:lang w:val="fr-FR"/>
        </w:rPr>
        <w:t>évolution de la Convention ainsi que la mosaïque de pratiques de sauvegarde du patrimoine culturel immatériel</w:t>
      </w:r>
      <w:r w:rsidR="002F62D9">
        <w:rPr>
          <w:rFonts w:eastAsia="Malgun Gothic"/>
          <w:bCs/>
          <w:lang w:val="fr-FR"/>
        </w:rPr>
        <w:t>,</w:t>
      </w:r>
      <w:r w:rsidRPr="00383AC0">
        <w:rPr>
          <w:rFonts w:eastAsia="Malgun Gothic"/>
          <w:bCs/>
          <w:lang w:val="fr-FR"/>
        </w:rPr>
        <w:t xml:space="preserve"> qui serait créée par l</w:t>
      </w:r>
      <w:r w:rsidR="00923E72">
        <w:rPr>
          <w:rFonts w:eastAsia="Malgun Gothic"/>
          <w:bCs/>
          <w:lang w:val="fr-FR"/>
        </w:rPr>
        <w:t>’</w:t>
      </w:r>
      <w:r w:rsidRPr="00383AC0">
        <w:rPr>
          <w:rFonts w:eastAsia="Malgun Gothic"/>
          <w:bCs/>
          <w:lang w:val="fr-FR"/>
        </w:rPr>
        <w:t>ensemble des pays.</w:t>
      </w:r>
    </w:p>
    <w:p w14:paraId="251BE875" w14:textId="11EC2E47" w:rsidR="00204D8F" w:rsidRDefault="00BE72C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BE72CA">
        <w:rPr>
          <w:rFonts w:eastAsia="Malgun Gothic"/>
          <w:bCs/>
          <w:lang w:val="fr-FR"/>
        </w:rPr>
        <w:t xml:space="preserve">La délégation de la </w:t>
      </w:r>
      <w:r w:rsidRPr="00BE72CA">
        <w:rPr>
          <w:rFonts w:eastAsia="Malgun Gothic"/>
          <w:b/>
          <w:lang w:val="fr-FR"/>
        </w:rPr>
        <w:t>Tchéquie</w:t>
      </w:r>
      <w:r w:rsidRPr="00BE72CA">
        <w:rPr>
          <w:rFonts w:eastAsia="Malgun Gothic"/>
          <w:bCs/>
          <w:lang w:val="fr-FR"/>
        </w:rPr>
        <w:t xml:space="preserve"> a remercié le Secrétariat et a demandé des informations sur les phases en cours des cycles dans les régions dont les États parties n</w:t>
      </w:r>
      <w:r w:rsidR="00923E72">
        <w:rPr>
          <w:rFonts w:eastAsia="Malgun Gothic"/>
          <w:bCs/>
          <w:lang w:val="fr-FR"/>
        </w:rPr>
        <w:t>’</w:t>
      </w:r>
      <w:r w:rsidRPr="00BE72CA">
        <w:rPr>
          <w:rFonts w:eastAsia="Malgun Gothic"/>
          <w:bCs/>
          <w:lang w:val="fr-FR"/>
        </w:rPr>
        <w:t>avaient pas soumis leurs rapports périodiques depuis la dernière session. Elle a également remercié le Secrétariat pour ses principales recommandations</w:t>
      </w:r>
      <w:r w:rsidR="00C975BA">
        <w:rPr>
          <w:rFonts w:eastAsia="Malgun Gothic"/>
          <w:bCs/>
          <w:lang w:val="fr-FR"/>
        </w:rPr>
        <w:t>, ajoutant qu</w:t>
      </w:r>
      <w:r w:rsidR="00923E72">
        <w:rPr>
          <w:rFonts w:eastAsia="Malgun Gothic"/>
          <w:bCs/>
          <w:lang w:val="fr-FR"/>
        </w:rPr>
        <w:t>’</w:t>
      </w:r>
      <w:r w:rsidR="00C975BA">
        <w:rPr>
          <w:rFonts w:eastAsia="Malgun Gothic"/>
          <w:bCs/>
          <w:lang w:val="fr-FR"/>
        </w:rPr>
        <w:t xml:space="preserve">elle </w:t>
      </w:r>
      <w:r w:rsidRPr="00BE72CA">
        <w:rPr>
          <w:rFonts w:eastAsia="Malgun Gothic"/>
          <w:bCs/>
          <w:lang w:val="fr-FR"/>
        </w:rPr>
        <w:t>appréci</w:t>
      </w:r>
      <w:r w:rsidR="00C975BA">
        <w:rPr>
          <w:rFonts w:eastAsia="Malgun Gothic"/>
          <w:bCs/>
          <w:lang w:val="fr-FR"/>
        </w:rPr>
        <w:t>ait</w:t>
      </w:r>
      <w:r w:rsidRPr="00BE72CA">
        <w:rPr>
          <w:rFonts w:eastAsia="Malgun Gothic"/>
          <w:bCs/>
          <w:lang w:val="fr-FR"/>
        </w:rPr>
        <w:t xml:space="preserve"> le travail de l</w:t>
      </w:r>
      <w:r w:rsidR="00923E72">
        <w:rPr>
          <w:rFonts w:eastAsia="Malgun Gothic"/>
          <w:bCs/>
          <w:lang w:val="fr-FR"/>
        </w:rPr>
        <w:t>’</w:t>
      </w:r>
      <w:r w:rsidRPr="00BE72CA">
        <w:rPr>
          <w:rFonts w:eastAsia="Malgun Gothic"/>
          <w:bCs/>
          <w:lang w:val="fr-FR"/>
        </w:rPr>
        <w:t>équipe qui avait préparé l</w:t>
      </w:r>
      <w:r w:rsidR="00923E72">
        <w:rPr>
          <w:rFonts w:eastAsia="Malgun Gothic"/>
          <w:bCs/>
          <w:lang w:val="fr-FR"/>
        </w:rPr>
        <w:t>’</w:t>
      </w:r>
      <w:r w:rsidRPr="00BE72CA">
        <w:rPr>
          <w:rFonts w:eastAsia="Malgun Gothic"/>
          <w:bCs/>
          <w:lang w:val="fr-FR"/>
        </w:rPr>
        <w:t>analyse des rapports périodiques des pays d</w:t>
      </w:r>
      <w:r w:rsidR="00923E72">
        <w:rPr>
          <w:rFonts w:eastAsia="Malgun Gothic"/>
          <w:bCs/>
          <w:lang w:val="fr-FR"/>
        </w:rPr>
        <w:t>’</w:t>
      </w:r>
      <w:r w:rsidRPr="00BE72CA">
        <w:rPr>
          <w:rFonts w:eastAsia="Malgun Gothic"/>
          <w:bCs/>
          <w:lang w:val="fr-FR"/>
        </w:rPr>
        <w:t>Amérique latine et des Caraïbes. La délégation a félicité les États parties pour ce premier cycle réformé réussi. Elle était satisfaite que le cycle Afrique</w:t>
      </w:r>
      <w:r w:rsidR="00DB6A4B">
        <w:rPr>
          <w:rFonts w:eastAsia="Malgun Gothic"/>
          <w:bCs/>
          <w:lang w:val="fr-FR"/>
        </w:rPr>
        <w:t> </w:t>
      </w:r>
      <w:r w:rsidRPr="00BE72CA">
        <w:rPr>
          <w:rFonts w:eastAsia="Malgun Gothic"/>
          <w:bCs/>
          <w:lang w:val="fr-FR"/>
        </w:rPr>
        <w:t>2023 ait déjà commencé, et elle s</w:t>
      </w:r>
      <w:r w:rsidR="00C975BA">
        <w:rPr>
          <w:rFonts w:eastAsia="Malgun Gothic"/>
          <w:bCs/>
          <w:lang w:val="fr-FR"/>
        </w:rPr>
        <w:t>e</w:t>
      </w:r>
      <w:r w:rsidRPr="00BE72CA">
        <w:rPr>
          <w:rFonts w:eastAsia="Malgun Gothic"/>
          <w:bCs/>
          <w:lang w:val="fr-FR"/>
        </w:rPr>
        <w:t xml:space="preserve"> demand</w:t>
      </w:r>
      <w:r w:rsidR="00C975BA">
        <w:rPr>
          <w:rFonts w:eastAsia="Malgun Gothic"/>
          <w:bCs/>
          <w:lang w:val="fr-FR"/>
        </w:rPr>
        <w:t>ait</w:t>
      </w:r>
      <w:r w:rsidRPr="00BE72CA">
        <w:rPr>
          <w:rFonts w:eastAsia="Malgun Gothic"/>
          <w:bCs/>
          <w:lang w:val="fr-FR"/>
        </w:rPr>
        <w:t xml:space="preserve"> si les trois premières régions ayant soumis leurs rapports</w:t>
      </w:r>
      <w:r w:rsidR="00C975BA">
        <w:rPr>
          <w:rFonts w:eastAsia="Malgun Gothic"/>
          <w:bCs/>
          <w:lang w:val="fr-FR"/>
        </w:rPr>
        <w:t xml:space="preserve"> </w:t>
      </w:r>
      <w:r w:rsidRPr="00BE72CA">
        <w:rPr>
          <w:rFonts w:eastAsia="Malgun Gothic"/>
          <w:bCs/>
          <w:lang w:val="fr-FR"/>
        </w:rPr>
        <w:t>pourrai</w:t>
      </w:r>
      <w:r w:rsidR="00C975BA">
        <w:rPr>
          <w:rFonts w:eastAsia="Malgun Gothic"/>
          <w:bCs/>
          <w:lang w:val="fr-FR"/>
        </w:rPr>
        <w:t>en</w:t>
      </w:r>
      <w:r w:rsidRPr="00BE72CA">
        <w:rPr>
          <w:rFonts w:eastAsia="Malgun Gothic"/>
          <w:bCs/>
          <w:lang w:val="fr-FR"/>
        </w:rPr>
        <w:t xml:space="preserve">t partager </w:t>
      </w:r>
      <w:r w:rsidR="00C975BA">
        <w:rPr>
          <w:rFonts w:eastAsia="Malgun Gothic"/>
          <w:bCs/>
          <w:lang w:val="fr-FR"/>
        </w:rPr>
        <w:t xml:space="preserve">leurs </w:t>
      </w:r>
      <w:r w:rsidRPr="00BE72CA">
        <w:rPr>
          <w:rFonts w:eastAsia="Malgun Gothic"/>
          <w:bCs/>
          <w:lang w:val="fr-FR"/>
        </w:rPr>
        <w:t>expériences et soutenir les parties prenantes de la région Afrique afin que cet exercice exigeant puisse être achevé efficacement et à temps pour le plus grand nombre possible d</w:t>
      </w:r>
      <w:r w:rsidR="00923E72">
        <w:rPr>
          <w:rFonts w:eastAsia="Malgun Gothic"/>
          <w:bCs/>
          <w:lang w:val="fr-FR"/>
        </w:rPr>
        <w:t>’</w:t>
      </w:r>
      <w:r w:rsidRPr="00BE72CA">
        <w:rPr>
          <w:rFonts w:eastAsia="Malgun Gothic"/>
          <w:bCs/>
          <w:lang w:val="fr-FR"/>
        </w:rPr>
        <w:t xml:space="preserve">États parties. La délégation a souhaité à la région </w:t>
      </w:r>
      <w:r w:rsidR="00A533EE">
        <w:rPr>
          <w:rFonts w:eastAsia="Malgun Gothic"/>
          <w:bCs/>
          <w:lang w:val="fr-FR"/>
        </w:rPr>
        <w:t xml:space="preserve">des États </w:t>
      </w:r>
      <w:r w:rsidRPr="00BE72CA">
        <w:rPr>
          <w:rFonts w:eastAsia="Malgun Gothic"/>
          <w:bCs/>
          <w:lang w:val="fr-FR"/>
        </w:rPr>
        <w:t>arabe</w:t>
      </w:r>
      <w:r w:rsidR="00A533EE">
        <w:rPr>
          <w:rFonts w:eastAsia="Malgun Gothic"/>
          <w:bCs/>
          <w:lang w:val="fr-FR"/>
        </w:rPr>
        <w:t>s</w:t>
      </w:r>
      <w:r w:rsidRPr="00BE72CA">
        <w:rPr>
          <w:rFonts w:eastAsia="Malgun Gothic"/>
          <w:bCs/>
          <w:lang w:val="fr-FR"/>
        </w:rPr>
        <w:t xml:space="preserve"> un travail final couronné de succès </w:t>
      </w:r>
      <w:r w:rsidR="00B36A2D" w:rsidRPr="00B36A2D">
        <w:rPr>
          <w:rFonts w:eastAsia="Malgun Gothic"/>
          <w:bCs/>
          <w:lang w:val="fr-FR"/>
        </w:rPr>
        <w:t>en ce qui concerne</w:t>
      </w:r>
      <w:r w:rsidR="00B36A2D">
        <w:rPr>
          <w:rFonts w:eastAsia="Malgun Gothic"/>
          <w:bCs/>
          <w:lang w:val="fr-FR"/>
        </w:rPr>
        <w:t xml:space="preserve"> </w:t>
      </w:r>
      <w:r w:rsidRPr="00BE72CA">
        <w:rPr>
          <w:rFonts w:eastAsia="Malgun Gothic"/>
          <w:bCs/>
          <w:lang w:val="fr-FR"/>
        </w:rPr>
        <w:t>la soumission de leurs rapports dans les délais</w:t>
      </w:r>
      <w:r w:rsidR="00B36A2D">
        <w:rPr>
          <w:rFonts w:eastAsia="Malgun Gothic"/>
          <w:bCs/>
          <w:lang w:val="fr-FR"/>
        </w:rPr>
        <w:t>,</w:t>
      </w:r>
      <w:r w:rsidRPr="00BE72CA">
        <w:rPr>
          <w:rFonts w:eastAsia="Malgun Gothic"/>
          <w:bCs/>
          <w:lang w:val="fr-FR"/>
        </w:rPr>
        <w:t xml:space="preserve"> et un taux de soumission encore plus élevé que celui de l</w:t>
      </w:r>
      <w:r w:rsidR="00923E72">
        <w:rPr>
          <w:rFonts w:eastAsia="Malgun Gothic"/>
          <w:bCs/>
          <w:lang w:val="fr-FR"/>
        </w:rPr>
        <w:t>’</w:t>
      </w:r>
      <w:r w:rsidRPr="00BE72CA">
        <w:rPr>
          <w:rFonts w:eastAsia="Malgun Gothic"/>
          <w:bCs/>
          <w:lang w:val="fr-FR"/>
        </w:rPr>
        <w:t>Amérique latine et des Caraïbes, et de l</w:t>
      </w:r>
      <w:r w:rsidR="00923E72">
        <w:rPr>
          <w:rFonts w:eastAsia="Malgun Gothic"/>
          <w:bCs/>
          <w:lang w:val="fr-FR"/>
        </w:rPr>
        <w:t>’</w:t>
      </w:r>
      <w:r w:rsidRPr="00BE72CA">
        <w:rPr>
          <w:rFonts w:eastAsia="Malgun Gothic"/>
          <w:bCs/>
          <w:lang w:val="fr-FR"/>
        </w:rPr>
        <w:t>Europe.</w:t>
      </w:r>
    </w:p>
    <w:p w14:paraId="7D263CDF" w14:textId="43812441" w:rsidR="008968B0" w:rsidRDefault="008968B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8968B0">
        <w:rPr>
          <w:rFonts w:eastAsia="Malgun Gothic"/>
          <w:bCs/>
          <w:lang w:val="fr-FR"/>
        </w:rPr>
        <w:t xml:space="preserve">Le </w:t>
      </w:r>
      <w:r w:rsidRPr="008968B0">
        <w:rPr>
          <w:rFonts w:eastAsia="Malgun Gothic"/>
          <w:b/>
          <w:lang w:val="fr-FR"/>
        </w:rPr>
        <w:t>Secrétaire</w:t>
      </w:r>
      <w:r w:rsidRPr="008968B0">
        <w:rPr>
          <w:rFonts w:eastAsia="Malgun Gothic"/>
          <w:bCs/>
          <w:lang w:val="fr-FR"/>
        </w:rPr>
        <w:t xml:space="preserve"> a remercié</w:t>
      </w:r>
      <w:r w:rsidR="00C975BA">
        <w:rPr>
          <w:rFonts w:eastAsia="Malgun Gothic"/>
          <w:bCs/>
          <w:lang w:val="fr-FR"/>
        </w:rPr>
        <w:t xml:space="preserve"> tous les membres du </w:t>
      </w:r>
      <w:r w:rsidR="00C975BA" w:rsidRPr="00C975BA">
        <w:rPr>
          <w:rFonts w:eastAsia="Malgun Gothic"/>
          <w:bCs/>
          <w:color w:val="000000" w:themeColor="text1"/>
          <w:lang w:val="fr-FR"/>
        </w:rPr>
        <w:t>Comité</w:t>
      </w:r>
      <w:r w:rsidR="00C975BA">
        <w:rPr>
          <w:rFonts w:eastAsia="Malgun Gothic"/>
          <w:bCs/>
          <w:color w:val="000000" w:themeColor="text1"/>
          <w:lang w:val="fr-FR"/>
        </w:rPr>
        <w:t xml:space="preserve"> </w:t>
      </w:r>
      <w:r w:rsidRPr="008968B0">
        <w:rPr>
          <w:rFonts w:eastAsia="Malgun Gothic"/>
          <w:bCs/>
          <w:lang w:val="fr-FR"/>
        </w:rPr>
        <w:t xml:space="preserve">pour </w:t>
      </w:r>
      <w:r w:rsidR="00C975BA">
        <w:rPr>
          <w:rFonts w:eastAsia="Malgun Gothic"/>
          <w:bCs/>
          <w:lang w:val="fr-FR"/>
        </w:rPr>
        <w:t xml:space="preserve">leurs </w:t>
      </w:r>
      <w:r w:rsidRPr="008968B0">
        <w:rPr>
          <w:rFonts w:eastAsia="Malgun Gothic"/>
          <w:bCs/>
          <w:lang w:val="fr-FR"/>
        </w:rPr>
        <w:t xml:space="preserve">commentaires. </w:t>
      </w:r>
      <w:r w:rsidR="00C975BA">
        <w:rPr>
          <w:rFonts w:eastAsia="Malgun Gothic"/>
          <w:bCs/>
          <w:lang w:val="fr-FR"/>
        </w:rPr>
        <w:t>L</w:t>
      </w:r>
      <w:r w:rsidRPr="008968B0">
        <w:rPr>
          <w:rFonts w:eastAsia="Malgun Gothic"/>
          <w:bCs/>
          <w:lang w:val="fr-FR"/>
        </w:rPr>
        <w:t xml:space="preserve">a Tchéquie </w:t>
      </w:r>
      <w:r w:rsidR="00C975BA">
        <w:rPr>
          <w:rFonts w:eastAsia="Malgun Gothic"/>
          <w:bCs/>
          <w:lang w:val="fr-FR"/>
        </w:rPr>
        <w:t xml:space="preserve">avait formulé un magnifique commentaire </w:t>
      </w:r>
      <w:r w:rsidRPr="008968B0">
        <w:rPr>
          <w:rFonts w:eastAsia="Malgun Gothic"/>
          <w:bCs/>
          <w:lang w:val="fr-FR"/>
        </w:rPr>
        <w:t xml:space="preserve">sur la participation aux prochains cycles de rapports périodiques afin de tirer parti des leçons apprises. En fait, comme </w:t>
      </w:r>
      <w:r w:rsidR="00C975BA">
        <w:rPr>
          <w:rFonts w:eastAsia="Malgun Gothic"/>
          <w:bCs/>
          <w:lang w:val="fr-FR"/>
        </w:rPr>
        <w:t xml:space="preserve">évoqué </w:t>
      </w:r>
      <w:r w:rsidRPr="008968B0">
        <w:rPr>
          <w:rFonts w:eastAsia="Malgun Gothic"/>
          <w:bCs/>
          <w:lang w:val="fr-FR"/>
        </w:rPr>
        <w:t xml:space="preserve">par la Slovaquie, </w:t>
      </w:r>
      <w:r w:rsidR="00C975BA">
        <w:rPr>
          <w:rFonts w:eastAsia="Malgun Gothic"/>
          <w:bCs/>
          <w:lang w:val="fr-FR"/>
        </w:rPr>
        <w:t xml:space="preserve">le Secrétariat avait bien organisé un bref échange </w:t>
      </w:r>
      <w:r w:rsidRPr="008968B0">
        <w:rPr>
          <w:rFonts w:eastAsia="Malgun Gothic"/>
          <w:bCs/>
          <w:lang w:val="fr-FR"/>
        </w:rPr>
        <w:t>entre certains points focaux d</w:t>
      </w:r>
      <w:r w:rsidR="00923E72">
        <w:rPr>
          <w:rFonts w:eastAsia="Malgun Gothic"/>
          <w:bCs/>
          <w:lang w:val="fr-FR"/>
        </w:rPr>
        <w:t>’</w:t>
      </w:r>
      <w:r w:rsidRPr="008968B0">
        <w:rPr>
          <w:rFonts w:eastAsia="Malgun Gothic"/>
          <w:bCs/>
          <w:lang w:val="fr-FR"/>
        </w:rPr>
        <w:t>Amérique latine et des Caraïbes</w:t>
      </w:r>
      <w:r w:rsidR="00C975BA">
        <w:rPr>
          <w:rFonts w:eastAsia="Malgun Gothic"/>
          <w:bCs/>
          <w:lang w:val="fr-FR"/>
        </w:rPr>
        <w:t xml:space="preserve"> (la première région à soumettre des rapports)</w:t>
      </w:r>
      <w:r w:rsidRPr="008968B0">
        <w:rPr>
          <w:rFonts w:eastAsia="Malgun Gothic"/>
          <w:bCs/>
          <w:lang w:val="fr-FR"/>
        </w:rPr>
        <w:t xml:space="preserve"> et d</w:t>
      </w:r>
      <w:r w:rsidR="00923E72">
        <w:rPr>
          <w:rFonts w:eastAsia="Malgun Gothic"/>
          <w:bCs/>
          <w:lang w:val="fr-FR"/>
        </w:rPr>
        <w:t>’</w:t>
      </w:r>
      <w:r w:rsidRPr="008968B0">
        <w:rPr>
          <w:rFonts w:eastAsia="Malgun Gothic"/>
          <w:bCs/>
          <w:lang w:val="fr-FR"/>
        </w:rPr>
        <w:t>Europe afin qu</w:t>
      </w:r>
      <w:r w:rsidR="00923E72">
        <w:rPr>
          <w:rFonts w:eastAsia="Malgun Gothic"/>
          <w:bCs/>
          <w:lang w:val="fr-FR"/>
        </w:rPr>
        <w:t>’</w:t>
      </w:r>
      <w:r w:rsidRPr="008968B0">
        <w:rPr>
          <w:rFonts w:eastAsia="Malgun Gothic"/>
          <w:bCs/>
          <w:lang w:val="fr-FR"/>
        </w:rPr>
        <w:t>ils puissent transmettre leurs expériences. On pouvait espérer qu</w:t>
      </w:r>
      <w:r w:rsidR="00923E72">
        <w:rPr>
          <w:rFonts w:eastAsia="Malgun Gothic"/>
          <w:bCs/>
          <w:lang w:val="fr-FR"/>
        </w:rPr>
        <w:t>’</w:t>
      </w:r>
      <w:r w:rsidRPr="008968B0">
        <w:rPr>
          <w:rFonts w:eastAsia="Malgun Gothic"/>
          <w:bCs/>
          <w:lang w:val="fr-FR"/>
        </w:rPr>
        <w:t>il en serait de même pour l</w:t>
      </w:r>
      <w:r w:rsidR="00923E72">
        <w:rPr>
          <w:rFonts w:eastAsia="Malgun Gothic"/>
          <w:bCs/>
          <w:lang w:val="fr-FR"/>
        </w:rPr>
        <w:t>’</w:t>
      </w:r>
      <w:r w:rsidRPr="008968B0">
        <w:rPr>
          <w:rFonts w:eastAsia="Malgun Gothic"/>
          <w:bCs/>
          <w:lang w:val="fr-FR"/>
        </w:rPr>
        <w:t>Europe et les États arabes, ce qui permettrait d</w:t>
      </w:r>
      <w:r w:rsidR="00923E72">
        <w:rPr>
          <w:rFonts w:eastAsia="Malgun Gothic"/>
          <w:bCs/>
          <w:lang w:val="fr-FR"/>
        </w:rPr>
        <w:t>’</w:t>
      </w:r>
      <w:r w:rsidRPr="008968B0">
        <w:rPr>
          <w:rFonts w:eastAsia="Malgun Gothic"/>
          <w:bCs/>
          <w:lang w:val="fr-FR"/>
        </w:rPr>
        <w:t>accumuler des connaissances. Le nouveau système d</w:t>
      </w:r>
      <w:r w:rsidR="00923E72">
        <w:rPr>
          <w:rFonts w:eastAsia="Malgun Gothic"/>
          <w:bCs/>
          <w:lang w:val="fr-FR"/>
        </w:rPr>
        <w:t>’</w:t>
      </w:r>
      <w:r w:rsidRPr="008968B0">
        <w:rPr>
          <w:rFonts w:eastAsia="Malgun Gothic"/>
          <w:bCs/>
          <w:lang w:val="fr-FR"/>
        </w:rPr>
        <w:t>établissement de rapports avait donné des résultats très positifs et des enseignements étaient en train d</w:t>
      </w:r>
      <w:r w:rsidR="00923E72">
        <w:rPr>
          <w:rFonts w:eastAsia="Malgun Gothic"/>
          <w:bCs/>
          <w:lang w:val="fr-FR"/>
        </w:rPr>
        <w:t>’</w:t>
      </w:r>
      <w:r w:rsidRPr="008968B0">
        <w:rPr>
          <w:rFonts w:eastAsia="Malgun Gothic"/>
          <w:bCs/>
          <w:lang w:val="fr-FR"/>
        </w:rPr>
        <w:t>être tirés. En effet, le partage des expériences et des enseignements tirés d</w:t>
      </w:r>
      <w:r w:rsidR="00923E72">
        <w:rPr>
          <w:rFonts w:eastAsia="Malgun Gothic"/>
          <w:bCs/>
          <w:lang w:val="fr-FR"/>
        </w:rPr>
        <w:t>’</w:t>
      </w:r>
      <w:r w:rsidRPr="008968B0">
        <w:rPr>
          <w:rFonts w:eastAsia="Malgun Gothic"/>
          <w:bCs/>
          <w:lang w:val="fr-FR"/>
        </w:rPr>
        <w:t>une région à l</w:t>
      </w:r>
      <w:r w:rsidR="00923E72">
        <w:rPr>
          <w:rFonts w:eastAsia="Malgun Gothic"/>
          <w:bCs/>
          <w:lang w:val="fr-FR"/>
        </w:rPr>
        <w:t>’</w:t>
      </w:r>
      <w:r w:rsidRPr="008968B0">
        <w:rPr>
          <w:rFonts w:eastAsia="Malgun Gothic"/>
          <w:bCs/>
          <w:lang w:val="fr-FR"/>
        </w:rPr>
        <w:t>autre était une approche extrêmement positive.</w:t>
      </w:r>
      <w:r w:rsidR="00C975BA" w:rsidRPr="00C975BA">
        <w:rPr>
          <w:rFonts w:eastAsia="Malgun Gothic"/>
          <w:bCs/>
          <w:lang w:val="fr-FR"/>
        </w:rPr>
        <w:t xml:space="preserve"> </w:t>
      </w:r>
      <w:r w:rsidR="00C975BA" w:rsidRPr="008968B0">
        <w:rPr>
          <w:rFonts w:eastAsia="Malgun Gothic"/>
          <w:bCs/>
          <w:lang w:val="fr-FR"/>
        </w:rPr>
        <w:t>Par conséquent, toute offre visant à accumuler et à partager les enseignements tirés était</w:t>
      </w:r>
      <w:r w:rsidR="00490736">
        <w:rPr>
          <w:rFonts w:eastAsia="Malgun Gothic"/>
          <w:bCs/>
          <w:lang w:val="fr-FR"/>
        </w:rPr>
        <w:t xml:space="preserve"> </w:t>
      </w:r>
      <w:r w:rsidR="00C975BA" w:rsidRPr="008968B0">
        <w:rPr>
          <w:rFonts w:eastAsia="Malgun Gothic"/>
          <w:bCs/>
          <w:lang w:val="fr-FR"/>
        </w:rPr>
        <w:t xml:space="preserve">extrêmement bienvenue et serait </w:t>
      </w:r>
      <w:r w:rsidR="00C975BA">
        <w:rPr>
          <w:rFonts w:eastAsia="Malgun Gothic"/>
          <w:bCs/>
          <w:lang w:val="fr-FR"/>
        </w:rPr>
        <w:t>mise à profit</w:t>
      </w:r>
      <w:r w:rsidR="00C975BA" w:rsidRPr="008968B0">
        <w:rPr>
          <w:rFonts w:eastAsia="Malgun Gothic"/>
          <w:bCs/>
          <w:lang w:val="fr-FR"/>
        </w:rPr>
        <w:t>. Le Secrétaire a réitéré son appel à soutenir financièrement l</w:t>
      </w:r>
      <w:r w:rsidR="00923E72">
        <w:rPr>
          <w:rFonts w:eastAsia="Malgun Gothic"/>
          <w:bCs/>
          <w:lang w:val="fr-FR"/>
        </w:rPr>
        <w:t>’</w:t>
      </w:r>
      <w:r w:rsidR="00C975BA" w:rsidRPr="008968B0">
        <w:rPr>
          <w:rFonts w:eastAsia="Malgun Gothic"/>
          <w:bCs/>
          <w:lang w:val="fr-FR"/>
        </w:rPr>
        <w:t>organisation des ateliers de renforcement des capacités.</w:t>
      </w:r>
    </w:p>
    <w:p w14:paraId="1FC7D279" w14:textId="008B34C2" w:rsidR="005C6FAE" w:rsidRDefault="005C6FA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lastRenderedPageBreak/>
        <w:t xml:space="preserve">Le </w:t>
      </w:r>
      <w:r w:rsidRPr="005C6FAE">
        <w:rPr>
          <w:rFonts w:eastAsia="Malgun Gothic"/>
          <w:b/>
          <w:lang w:val="fr-FR"/>
        </w:rPr>
        <w:t>Président</w:t>
      </w:r>
      <w:r>
        <w:rPr>
          <w:rFonts w:eastAsia="Malgun Gothic"/>
          <w:bCs/>
          <w:lang w:val="fr-FR"/>
        </w:rPr>
        <w:t xml:space="preserve"> a remercié le Secrétaire et est passé au projet de décision dans son ensemble. </w:t>
      </w:r>
      <w:r w:rsidRPr="005C6FAE">
        <w:rPr>
          <w:rFonts w:eastAsia="Malgun Gothic"/>
          <w:bCs/>
          <w:lang w:val="fr-FR"/>
        </w:rPr>
        <w:t>En l</w:t>
      </w:r>
      <w:r w:rsidR="00923E72">
        <w:rPr>
          <w:rFonts w:eastAsia="Malgun Gothic"/>
          <w:bCs/>
          <w:lang w:val="fr-FR"/>
        </w:rPr>
        <w:t>’</w:t>
      </w:r>
      <w:r w:rsidRPr="005C6FAE">
        <w:rPr>
          <w:rFonts w:eastAsia="Malgun Gothic"/>
          <w:bCs/>
          <w:lang w:val="fr-FR"/>
        </w:rPr>
        <w:t>absence</w:t>
      </w:r>
      <w:r>
        <w:rPr>
          <w:rFonts w:eastAsia="Malgun Gothic"/>
          <w:bCs/>
          <w:lang w:val="fr-FR"/>
        </w:rPr>
        <w:t xml:space="preserve"> d</w:t>
      </w:r>
      <w:r w:rsidR="00923E72">
        <w:rPr>
          <w:rFonts w:eastAsia="Malgun Gothic"/>
          <w:bCs/>
          <w:lang w:val="fr-FR"/>
        </w:rPr>
        <w:t>’</w:t>
      </w:r>
      <w:r>
        <w:rPr>
          <w:rFonts w:eastAsia="Malgun Gothic"/>
          <w:bCs/>
          <w:lang w:val="fr-FR"/>
        </w:rPr>
        <w:t xml:space="preserve">objections, le </w:t>
      </w:r>
      <w:r w:rsidRPr="005C6FAE">
        <w:rPr>
          <w:rFonts w:eastAsia="Malgun Gothic"/>
          <w:b/>
          <w:lang w:val="fr-FR"/>
        </w:rPr>
        <w:t>Président a déclaré la décision</w:t>
      </w:r>
      <w:r w:rsidR="009114D8">
        <w:rPr>
          <w:rFonts w:eastAsia="Malgun Gothic"/>
          <w:b/>
          <w:lang w:val="fr-FR"/>
        </w:rPr>
        <w:t> </w:t>
      </w:r>
      <w:r w:rsidR="00751FB1">
        <w:fldChar w:fldCharType="begin"/>
      </w:r>
      <w:r w:rsidR="00751FB1" w:rsidRPr="00751FB1">
        <w:rPr>
          <w:lang w:val="fr-FR"/>
        </w:rPr>
        <w:instrText>HYPERLINK "https://ich.unesco.org/fr/Decisions/17.COM/6.c"</w:instrText>
      </w:r>
      <w:r w:rsidR="00751FB1">
        <w:fldChar w:fldCharType="separate"/>
      </w:r>
      <w:r w:rsidR="00490736" w:rsidRPr="00702497">
        <w:rPr>
          <w:rStyle w:val="Hyperlink"/>
          <w:b/>
          <w:lang w:val="fr-FR"/>
        </w:rPr>
        <w:t>17.COM</w:t>
      </w:r>
      <w:r w:rsidR="009114D8" w:rsidRPr="00702497">
        <w:rPr>
          <w:rStyle w:val="Hyperlink"/>
          <w:b/>
          <w:lang w:val="fr-FR"/>
        </w:rPr>
        <w:t> </w:t>
      </w:r>
      <w:r w:rsidR="00490736" w:rsidRPr="00702497">
        <w:rPr>
          <w:rStyle w:val="Hyperlink"/>
          <w:b/>
          <w:lang w:val="fr-FR"/>
        </w:rPr>
        <w:t>6.c</w:t>
      </w:r>
      <w:r w:rsidR="00751FB1">
        <w:rPr>
          <w:rStyle w:val="Hyperlink"/>
          <w:b/>
          <w:lang w:val="fr-FR"/>
        </w:rPr>
        <w:fldChar w:fldCharType="end"/>
      </w:r>
      <w:r w:rsidR="00490736" w:rsidRPr="00702497">
        <w:rPr>
          <w:rStyle w:val="Hyperlink"/>
          <w:b/>
          <w:u w:val="none"/>
          <w:lang w:val="fr-FR"/>
        </w:rPr>
        <w:t xml:space="preserve"> </w:t>
      </w:r>
      <w:r w:rsidRPr="005C6FAE">
        <w:rPr>
          <w:rFonts w:eastAsia="Malgun Gothic"/>
          <w:b/>
          <w:lang w:val="fr-FR"/>
        </w:rPr>
        <w:t>adoptée</w:t>
      </w:r>
      <w:r>
        <w:rPr>
          <w:rFonts w:eastAsia="Malgun Gothic"/>
          <w:bCs/>
          <w:lang w:val="fr-FR"/>
        </w:rPr>
        <w:t>.</w:t>
      </w:r>
    </w:p>
    <w:p w14:paraId="6F4F1506" w14:textId="77739A97" w:rsidR="005C6FAE" w:rsidRPr="005C6FAE" w:rsidRDefault="005C6FAE" w:rsidP="00D93A33">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Pr>
          <w:b/>
          <w:color w:val="000000" w:themeColor="text1"/>
          <w:u w:val="single"/>
          <w:lang w:val="fr-FR"/>
        </w:rPr>
        <w:t>POINT</w:t>
      </w:r>
      <w:r w:rsidR="002B668C">
        <w:rPr>
          <w:b/>
          <w:color w:val="000000" w:themeColor="text1"/>
          <w:u w:val="single"/>
          <w:lang w:val="fr-FR"/>
        </w:rPr>
        <w:t> </w:t>
      </w:r>
      <w:r>
        <w:rPr>
          <w:b/>
          <w:color w:val="000000" w:themeColor="text1"/>
          <w:u w:val="single"/>
          <w:lang w:val="fr-FR"/>
        </w:rPr>
        <w:t>6.d DE L</w:t>
      </w:r>
      <w:r w:rsidR="00923E72">
        <w:rPr>
          <w:b/>
          <w:color w:val="000000" w:themeColor="text1"/>
          <w:u w:val="single"/>
          <w:lang w:val="fr-FR"/>
        </w:rPr>
        <w:t>’</w:t>
      </w:r>
      <w:r w:rsidRPr="005C6FAE">
        <w:rPr>
          <w:b/>
          <w:color w:val="000000" w:themeColor="text1"/>
          <w:u w:val="single"/>
          <w:lang w:val="fr-FR"/>
        </w:rPr>
        <w:t>ORDRE DU JOUR</w:t>
      </w:r>
      <w:r w:rsidRPr="005C6FAE">
        <w:rPr>
          <w:b/>
          <w:color w:val="000000" w:themeColor="text1"/>
          <w:lang w:val="fr-FR"/>
        </w:rPr>
        <w:t> :</w:t>
      </w:r>
    </w:p>
    <w:p w14:paraId="47E6843C" w14:textId="46C7617B" w:rsidR="005C6FAE" w:rsidRPr="005C6FAE" w:rsidRDefault="00332B1E" w:rsidP="00702497">
      <w:pPr>
        <w:pStyle w:val="Orateurengris"/>
        <w:spacing w:after="0"/>
        <w:outlineLvl w:val="0"/>
        <w:rPr>
          <w:b/>
          <w:color w:val="000000" w:themeColor="text1"/>
          <w:lang w:val="fr-FR"/>
        </w:rPr>
      </w:pPr>
      <w:r w:rsidRPr="005C6FAE">
        <w:rPr>
          <w:b/>
          <w:color w:val="000000" w:themeColor="text1"/>
          <w:lang w:val="fr-FR"/>
        </w:rPr>
        <w:t>R</w:t>
      </w:r>
      <w:r>
        <w:rPr>
          <w:b/>
          <w:color w:val="000000" w:themeColor="text1"/>
          <w:lang w:val="fr-FR"/>
        </w:rPr>
        <w:t>APPORTS DES ÉTATS PARTIES SUR L</w:t>
      </w:r>
      <w:r w:rsidR="00923E72">
        <w:rPr>
          <w:b/>
          <w:color w:val="000000" w:themeColor="text1"/>
          <w:lang w:val="fr-FR"/>
        </w:rPr>
        <w:t>’</w:t>
      </w:r>
      <w:r>
        <w:rPr>
          <w:b/>
          <w:color w:val="000000" w:themeColor="text1"/>
          <w:lang w:val="fr-FR"/>
        </w:rPr>
        <w:t>UTILISATION DE L</w:t>
      </w:r>
      <w:r w:rsidR="00923E72">
        <w:rPr>
          <w:b/>
          <w:color w:val="000000" w:themeColor="text1"/>
          <w:lang w:val="fr-FR"/>
        </w:rPr>
        <w:t>’</w:t>
      </w:r>
      <w:r>
        <w:rPr>
          <w:b/>
          <w:color w:val="000000" w:themeColor="text1"/>
          <w:lang w:val="fr-FR"/>
        </w:rPr>
        <w:t xml:space="preserve">ASSISTANCE INTERNATIONALE DU FONDS DU PATRIMOINE CULTUREL IMMATÉRIEL </w:t>
      </w:r>
    </w:p>
    <w:p w14:paraId="043E9D3D" w14:textId="7122E7D4" w:rsidR="005C6FAE" w:rsidRPr="005C6FAE" w:rsidRDefault="005C6FAE" w:rsidP="005C6FAE">
      <w:pPr>
        <w:pStyle w:val="Orateurengris"/>
        <w:spacing w:after="0"/>
        <w:ind w:left="567"/>
        <w:jc w:val="left"/>
        <w:outlineLvl w:val="0"/>
        <w:rPr>
          <w:b/>
          <w:color w:val="000000" w:themeColor="text1"/>
          <w:lang w:val="fr-FR"/>
        </w:rPr>
      </w:pPr>
    </w:p>
    <w:p w14:paraId="0D13F983" w14:textId="0470A621" w:rsidR="005C6FAE" w:rsidRPr="005C6FAE" w:rsidRDefault="005C6FAE" w:rsidP="00D93A33">
      <w:pPr>
        <w:pStyle w:val="Orateurengris"/>
        <w:tabs>
          <w:tab w:val="clear" w:pos="709"/>
          <w:tab w:val="clear" w:pos="1418"/>
          <w:tab w:val="clear" w:pos="2126"/>
          <w:tab w:val="clear" w:pos="2835"/>
        </w:tabs>
        <w:spacing w:after="0"/>
        <w:ind w:left="709"/>
        <w:rPr>
          <w:lang w:val="fr-FR"/>
        </w:rPr>
      </w:pPr>
      <w:r w:rsidRPr="005C6FAE">
        <w:rPr>
          <w:b/>
          <w:color w:val="000000" w:themeColor="text1"/>
          <w:lang w:val="fr-FR"/>
        </w:rPr>
        <w:t>Document :</w:t>
      </w:r>
      <w:r w:rsidRPr="005C6FAE">
        <w:rPr>
          <w:b/>
          <w:iCs/>
          <w:color w:val="000000" w:themeColor="text1"/>
          <w:lang w:val="fr-FR"/>
        </w:rPr>
        <w:tab/>
      </w:r>
      <w:r w:rsidR="00751FB1">
        <w:fldChar w:fldCharType="begin"/>
      </w:r>
      <w:r w:rsidR="00751FB1" w:rsidRPr="00751FB1">
        <w:rPr>
          <w:lang w:val="fr-FR"/>
        </w:rPr>
        <w:instrText>HYPERLINK "https://ich.unesco.org/doc/src/LHE-22-17.COM-6.d-FR.docx"</w:instrText>
      </w:r>
      <w:r w:rsidR="00751FB1">
        <w:fldChar w:fldCharType="separate"/>
      </w:r>
      <w:r w:rsidRPr="005C6FAE">
        <w:rPr>
          <w:rStyle w:val="Hyperlink"/>
          <w:i/>
          <w:lang w:val="fr-FR"/>
        </w:rPr>
        <w:t>LHE/22/17.COM/6.d</w:t>
      </w:r>
      <w:r w:rsidR="00751FB1">
        <w:rPr>
          <w:rStyle w:val="Hyperlink"/>
          <w:i/>
          <w:lang w:val="fr-FR"/>
        </w:rPr>
        <w:fldChar w:fldCharType="end"/>
      </w:r>
    </w:p>
    <w:p w14:paraId="4D047598" w14:textId="2BB3A65B" w:rsidR="005C6FAE" w:rsidRPr="005C6FAE" w:rsidRDefault="005C6FAE" w:rsidP="00D93A33">
      <w:pPr>
        <w:pStyle w:val="Orateurengris"/>
        <w:tabs>
          <w:tab w:val="clear" w:pos="709"/>
          <w:tab w:val="clear" w:pos="1418"/>
          <w:tab w:val="clear" w:pos="2126"/>
          <w:tab w:val="clear" w:pos="2835"/>
        </w:tabs>
        <w:spacing w:before="60" w:after="240"/>
        <w:ind w:left="709"/>
        <w:rPr>
          <w:i/>
          <w:lang w:val="fr-FR"/>
        </w:rPr>
      </w:pPr>
      <w:r w:rsidRPr="005C6FAE">
        <w:rPr>
          <w:b/>
          <w:color w:val="000000" w:themeColor="text1"/>
          <w:lang w:val="fr-FR"/>
        </w:rPr>
        <w:t>D</w:t>
      </w:r>
      <w:r>
        <w:rPr>
          <w:b/>
          <w:color w:val="000000" w:themeColor="text1"/>
          <w:lang w:val="fr-FR"/>
        </w:rPr>
        <w:t>é</w:t>
      </w:r>
      <w:r w:rsidRPr="005C6FAE">
        <w:rPr>
          <w:b/>
          <w:color w:val="000000" w:themeColor="text1"/>
          <w:lang w:val="fr-FR"/>
        </w:rPr>
        <w:t>cision</w:t>
      </w:r>
      <w:r>
        <w:rPr>
          <w:b/>
          <w:color w:val="000000" w:themeColor="text1"/>
          <w:lang w:val="fr-FR"/>
        </w:rPr>
        <w:t> </w:t>
      </w:r>
      <w:r w:rsidRPr="005C6FAE">
        <w:rPr>
          <w:b/>
          <w:color w:val="000000" w:themeColor="text1"/>
          <w:lang w:val="fr-FR"/>
        </w:rPr>
        <w:t>:</w:t>
      </w:r>
      <w:r w:rsidRPr="005C6FAE">
        <w:rPr>
          <w:bCs/>
          <w:color w:val="000000" w:themeColor="text1"/>
          <w:lang w:val="fr-FR"/>
        </w:rPr>
        <w:tab/>
      </w:r>
      <w:r w:rsidR="00751FB1">
        <w:fldChar w:fldCharType="begin"/>
      </w:r>
      <w:r w:rsidR="00751FB1" w:rsidRPr="00751FB1">
        <w:rPr>
          <w:lang w:val="fr-FR"/>
        </w:rPr>
        <w:instrText>HYPERLINK "https://ich.unesco.org/fr/Decisions/17.COM/6.d"</w:instrText>
      </w:r>
      <w:r w:rsidR="00751FB1">
        <w:fldChar w:fldCharType="separate"/>
      </w:r>
      <w:r w:rsidRPr="005C6FAE">
        <w:rPr>
          <w:rStyle w:val="Hyperlink"/>
          <w:i/>
          <w:lang w:val="fr-FR"/>
        </w:rPr>
        <w:t>17.COM</w:t>
      </w:r>
      <w:r w:rsidR="009114D8">
        <w:rPr>
          <w:rStyle w:val="Hyperlink"/>
          <w:i/>
          <w:lang w:val="fr-FR"/>
        </w:rPr>
        <w:t> </w:t>
      </w:r>
      <w:r w:rsidRPr="005C6FAE">
        <w:rPr>
          <w:rStyle w:val="Hyperlink"/>
          <w:i/>
          <w:lang w:val="fr-FR"/>
        </w:rPr>
        <w:t>6.d</w:t>
      </w:r>
      <w:r w:rsidR="00751FB1">
        <w:rPr>
          <w:rStyle w:val="Hyperlink"/>
          <w:i/>
          <w:lang w:val="fr-FR"/>
        </w:rPr>
        <w:fldChar w:fldCharType="end"/>
      </w:r>
    </w:p>
    <w:p w14:paraId="5232EBB2" w14:textId="3D78E14F" w:rsidR="005C6FAE" w:rsidRDefault="001D2E0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1D2E00">
        <w:rPr>
          <w:rFonts w:eastAsia="Malgun Gothic"/>
          <w:b/>
          <w:lang w:val="fr-FR"/>
        </w:rPr>
        <w:t>Président</w:t>
      </w:r>
      <w:r>
        <w:rPr>
          <w:rFonts w:eastAsia="Malgun Gothic"/>
          <w:bCs/>
          <w:lang w:val="fr-FR"/>
        </w:rPr>
        <w:t xml:space="preserve"> est passé au sous-point</w:t>
      </w:r>
      <w:r w:rsidR="002B668C">
        <w:rPr>
          <w:rFonts w:eastAsia="Malgun Gothic"/>
          <w:bCs/>
          <w:lang w:val="fr-FR"/>
        </w:rPr>
        <w:t> </w:t>
      </w:r>
      <w:r>
        <w:rPr>
          <w:rFonts w:eastAsia="Malgun Gothic"/>
          <w:bCs/>
          <w:lang w:val="fr-FR"/>
        </w:rPr>
        <w:t>6.b</w:t>
      </w:r>
      <w:r w:rsidR="003940BE">
        <w:rPr>
          <w:rFonts w:eastAsia="Malgun Gothic"/>
          <w:bCs/>
          <w:lang w:val="fr-FR"/>
        </w:rPr>
        <w:t xml:space="preserve">, </w:t>
      </w:r>
      <w:r>
        <w:rPr>
          <w:rFonts w:eastAsia="Malgun Gothic"/>
          <w:bCs/>
          <w:lang w:val="fr-FR"/>
        </w:rPr>
        <w:t>les rapports des États parties sur l</w:t>
      </w:r>
      <w:r w:rsidR="00923E72">
        <w:rPr>
          <w:rFonts w:eastAsia="Malgun Gothic"/>
          <w:bCs/>
          <w:lang w:val="fr-FR"/>
        </w:rPr>
        <w:t>’</w:t>
      </w:r>
      <w:r>
        <w:rPr>
          <w:rFonts w:eastAsia="Malgun Gothic"/>
          <w:bCs/>
          <w:lang w:val="fr-FR"/>
        </w:rPr>
        <w:t>utilisation de l</w:t>
      </w:r>
      <w:r w:rsidR="00923E72">
        <w:rPr>
          <w:rFonts w:eastAsia="Malgun Gothic"/>
          <w:bCs/>
          <w:lang w:val="fr-FR"/>
        </w:rPr>
        <w:t>’</w:t>
      </w:r>
      <w:r>
        <w:rPr>
          <w:rFonts w:eastAsia="Malgun Gothic"/>
          <w:bCs/>
          <w:lang w:val="fr-FR"/>
        </w:rPr>
        <w:t xml:space="preserve">assistance internationale du </w:t>
      </w:r>
      <w:r w:rsidR="00A533EE">
        <w:rPr>
          <w:rFonts w:eastAsia="Malgun Gothic"/>
          <w:bCs/>
          <w:lang w:val="fr-FR"/>
        </w:rPr>
        <w:t>F</w:t>
      </w:r>
      <w:r>
        <w:rPr>
          <w:rFonts w:eastAsia="Malgun Gothic"/>
          <w:bCs/>
          <w:lang w:val="fr-FR"/>
        </w:rPr>
        <w:t>onds du patrimoine culturel immatériel.</w:t>
      </w:r>
    </w:p>
    <w:p w14:paraId="139EF351" w14:textId="54A0796F" w:rsidR="001D2E00" w:rsidRDefault="001D2E0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1D2E00">
        <w:rPr>
          <w:rFonts w:eastAsia="Malgun Gothic"/>
          <w:bCs/>
          <w:lang w:val="fr-FR"/>
        </w:rPr>
        <w:t xml:space="preserve">Le </w:t>
      </w:r>
      <w:r w:rsidRPr="001D2E00">
        <w:rPr>
          <w:rFonts w:eastAsia="Malgun Gothic"/>
          <w:b/>
          <w:lang w:val="fr-FR"/>
        </w:rPr>
        <w:t>Secrétaire</w:t>
      </w:r>
      <w:r w:rsidRPr="001D2E00">
        <w:rPr>
          <w:rFonts w:eastAsia="Malgun Gothic"/>
          <w:bCs/>
          <w:lang w:val="fr-FR"/>
        </w:rPr>
        <w:t xml:space="preserve"> a expliqué que l</w:t>
      </w:r>
      <w:r w:rsidR="00923E72">
        <w:rPr>
          <w:rFonts w:eastAsia="Malgun Gothic"/>
          <w:bCs/>
          <w:lang w:val="fr-FR"/>
        </w:rPr>
        <w:t>’</w:t>
      </w:r>
      <w:r w:rsidRPr="001D2E00">
        <w:rPr>
          <w:rFonts w:eastAsia="Malgun Gothic"/>
          <w:bCs/>
          <w:lang w:val="fr-FR"/>
        </w:rPr>
        <w:t>article</w:t>
      </w:r>
      <w:r w:rsidR="006773EF">
        <w:rPr>
          <w:rFonts w:eastAsia="Malgun Gothic"/>
          <w:bCs/>
          <w:lang w:val="fr-FR"/>
        </w:rPr>
        <w:t> </w:t>
      </w:r>
      <w:r w:rsidRPr="001D2E00">
        <w:rPr>
          <w:rFonts w:eastAsia="Malgun Gothic"/>
          <w:bCs/>
          <w:lang w:val="fr-FR"/>
        </w:rPr>
        <w:t xml:space="preserve">24.3 de la Convention stipule que </w:t>
      </w:r>
      <w:r w:rsidR="00BA267C">
        <w:rPr>
          <w:rFonts w:eastAsia="Malgun Gothic"/>
          <w:bCs/>
          <w:lang w:val="fr-FR"/>
        </w:rPr>
        <w:t>« L</w:t>
      </w:r>
      <w:r w:rsidR="00923E72">
        <w:rPr>
          <w:rFonts w:eastAsia="Malgun Gothic"/>
          <w:bCs/>
          <w:lang w:val="fr-FR"/>
        </w:rPr>
        <w:t>’</w:t>
      </w:r>
      <w:r w:rsidRPr="001D2E00">
        <w:rPr>
          <w:rFonts w:eastAsia="Malgun Gothic"/>
          <w:bCs/>
          <w:lang w:val="fr-FR"/>
        </w:rPr>
        <w:t>État partie bénéficiaire remet au Comité un rapport sur l</w:t>
      </w:r>
      <w:r w:rsidR="00923E72">
        <w:rPr>
          <w:rFonts w:eastAsia="Malgun Gothic"/>
          <w:bCs/>
          <w:lang w:val="fr-FR"/>
        </w:rPr>
        <w:t>’</w:t>
      </w:r>
      <w:r w:rsidRPr="001D2E00">
        <w:rPr>
          <w:rFonts w:eastAsia="Malgun Gothic"/>
          <w:bCs/>
          <w:lang w:val="fr-FR"/>
        </w:rPr>
        <w:t>utilisation de l</w:t>
      </w:r>
      <w:r w:rsidR="00923E72">
        <w:rPr>
          <w:rFonts w:eastAsia="Malgun Gothic"/>
          <w:bCs/>
          <w:lang w:val="fr-FR"/>
        </w:rPr>
        <w:t>’</w:t>
      </w:r>
      <w:r w:rsidRPr="001D2E00">
        <w:rPr>
          <w:rFonts w:eastAsia="Malgun Gothic"/>
          <w:bCs/>
          <w:lang w:val="fr-FR"/>
        </w:rPr>
        <w:t>assistance accordée en faveur de la sauvegarde du patrimoine culturel immatériel.</w:t>
      </w:r>
      <w:r w:rsidR="00BA267C">
        <w:rPr>
          <w:rFonts w:eastAsia="Malgun Gothic"/>
          <w:bCs/>
          <w:lang w:val="fr-FR"/>
        </w:rPr>
        <w:t> »</w:t>
      </w:r>
      <w:r w:rsidRPr="001D2E00">
        <w:rPr>
          <w:rFonts w:eastAsia="Malgun Gothic"/>
          <w:bCs/>
          <w:lang w:val="fr-FR"/>
        </w:rPr>
        <w:t xml:space="preserve"> Le présent document couvrait la période du 1</w:t>
      </w:r>
      <w:r w:rsidRPr="00BA267C">
        <w:rPr>
          <w:rFonts w:eastAsia="Malgun Gothic"/>
          <w:bCs/>
          <w:vertAlign w:val="superscript"/>
          <w:lang w:val="fr-FR"/>
        </w:rPr>
        <w:t>er</w:t>
      </w:r>
      <w:r w:rsidR="00BA267C">
        <w:rPr>
          <w:rFonts w:eastAsia="Malgun Gothic"/>
          <w:bCs/>
          <w:lang w:val="fr-FR"/>
        </w:rPr>
        <w:t> </w:t>
      </w:r>
      <w:r w:rsidRPr="001D2E00">
        <w:rPr>
          <w:rFonts w:eastAsia="Malgun Gothic"/>
          <w:bCs/>
          <w:lang w:val="fr-FR"/>
        </w:rPr>
        <w:t>juillet</w:t>
      </w:r>
      <w:r w:rsidR="00BA267C">
        <w:rPr>
          <w:rFonts w:eastAsia="Malgun Gothic"/>
          <w:bCs/>
          <w:lang w:val="fr-FR"/>
        </w:rPr>
        <w:t> </w:t>
      </w:r>
      <w:r w:rsidRPr="001D2E00">
        <w:rPr>
          <w:rFonts w:eastAsia="Malgun Gothic"/>
          <w:bCs/>
          <w:lang w:val="fr-FR"/>
        </w:rPr>
        <w:t>2021 au 30</w:t>
      </w:r>
      <w:r w:rsidR="00BA267C">
        <w:rPr>
          <w:rFonts w:eastAsia="Malgun Gothic"/>
          <w:bCs/>
          <w:lang w:val="fr-FR"/>
        </w:rPr>
        <w:t> </w:t>
      </w:r>
      <w:r w:rsidRPr="001D2E00">
        <w:rPr>
          <w:rFonts w:eastAsia="Malgun Gothic"/>
          <w:bCs/>
          <w:lang w:val="fr-FR"/>
        </w:rPr>
        <w:t>juin</w:t>
      </w:r>
      <w:r w:rsidR="00BA267C">
        <w:rPr>
          <w:rFonts w:eastAsia="Malgun Gothic"/>
          <w:bCs/>
          <w:lang w:val="fr-FR"/>
        </w:rPr>
        <w:t> </w:t>
      </w:r>
      <w:r w:rsidRPr="001D2E00">
        <w:rPr>
          <w:rFonts w:eastAsia="Malgun Gothic"/>
          <w:bCs/>
          <w:lang w:val="fr-FR"/>
        </w:rPr>
        <w:t>2022, et présentait une vue d</w:t>
      </w:r>
      <w:r w:rsidR="00923E72">
        <w:rPr>
          <w:rFonts w:eastAsia="Malgun Gothic"/>
          <w:bCs/>
          <w:lang w:val="fr-FR"/>
        </w:rPr>
        <w:t>’</w:t>
      </w:r>
      <w:r w:rsidRPr="001D2E00">
        <w:rPr>
          <w:rFonts w:eastAsia="Malgun Gothic"/>
          <w:bCs/>
          <w:lang w:val="fr-FR"/>
        </w:rPr>
        <w:t>ensemble de la mise en œuvre du mécanisme d</w:t>
      </w:r>
      <w:r w:rsidR="00923E72">
        <w:rPr>
          <w:rFonts w:eastAsia="Malgun Gothic"/>
          <w:bCs/>
          <w:lang w:val="fr-FR"/>
        </w:rPr>
        <w:t>’</w:t>
      </w:r>
      <w:r w:rsidRPr="001D2E00">
        <w:rPr>
          <w:rFonts w:eastAsia="Malgun Gothic"/>
          <w:bCs/>
          <w:lang w:val="fr-FR"/>
        </w:rPr>
        <w:t>assistance internationale. Au cours de la période concernée par le rapport, quarante</w:t>
      </w:r>
      <w:r w:rsidR="00A533EE">
        <w:rPr>
          <w:rFonts w:eastAsia="Malgun Gothic"/>
          <w:bCs/>
          <w:lang w:val="fr-FR"/>
        </w:rPr>
        <w:noBreakHyphen/>
      </w:r>
      <w:r w:rsidRPr="001D2E00">
        <w:rPr>
          <w:rFonts w:eastAsia="Malgun Gothic"/>
          <w:bCs/>
          <w:lang w:val="fr-FR"/>
        </w:rPr>
        <w:t>deux projets</w:t>
      </w:r>
      <w:r w:rsidR="00A533EE">
        <w:rPr>
          <w:rFonts w:eastAsia="Malgun Gothic"/>
          <w:bCs/>
          <w:lang w:val="fr-FR"/>
        </w:rPr>
        <w:t>,</w:t>
      </w:r>
      <w:r w:rsidRPr="001D2E00">
        <w:rPr>
          <w:rFonts w:eastAsia="Malgun Gothic"/>
          <w:bCs/>
          <w:lang w:val="fr-FR"/>
        </w:rPr>
        <w:t xml:space="preserve"> dans trente</w:t>
      </w:r>
      <w:r w:rsidR="00A533EE">
        <w:rPr>
          <w:rFonts w:eastAsia="Malgun Gothic"/>
          <w:bCs/>
          <w:lang w:val="fr-FR"/>
        </w:rPr>
        <w:noBreakHyphen/>
      </w:r>
      <w:r w:rsidRPr="001D2E00">
        <w:rPr>
          <w:rFonts w:eastAsia="Malgun Gothic"/>
          <w:bCs/>
          <w:lang w:val="fr-FR"/>
        </w:rPr>
        <w:t>quatre États parties</w:t>
      </w:r>
      <w:r w:rsidR="00A533EE">
        <w:rPr>
          <w:rFonts w:eastAsia="Malgun Gothic"/>
          <w:bCs/>
          <w:lang w:val="fr-FR"/>
        </w:rPr>
        <w:t>,</w:t>
      </w:r>
      <w:r w:rsidRPr="001D2E00">
        <w:rPr>
          <w:rFonts w:eastAsia="Malgun Gothic"/>
          <w:bCs/>
          <w:lang w:val="fr-FR"/>
        </w:rPr>
        <w:t xml:space="preserve"> avaient</w:t>
      </w:r>
      <w:r w:rsidR="003940BE">
        <w:rPr>
          <w:rFonts w:eastAsia="Malgun Gothic"/>
          <w:bCs/>
          <w:lang w:val="fr-FR"/>
        </w:rPr>
        <w:t xml:space="preserve"> reçu une</w:t>
      </w:r>
      <w:r w:rsidRPr="001D2E00">
        <w:rPr>
          <w:rFonts w:eastAsia="Malgun Gothic"/>
          <w:bCs/>
          <w:lang w:val="fr-FR"/>
        </w:rPr>
        <w:t xml:space="preserve"> assistance internationale pour un montant total de</w:t>
      </w:r>
      <w:r w:rsidR="006773EF">
        <w:rPr>
          <w:rFonts w:eastAsia="Malgun Gothic"/>
          <w:bCs/>
          <w:lang w:val="fr-FR"/>
        </w:rPr>
        <w:t> </w:t>
      </w:r>
      <w:r w:rsidRPr="001D2E00">
        <w:rPr>
          <w:rFonts w:eastAsia="Malgun Gothic"/>
          <w:bCs/>
          <w:lang w:val="fr-FR"/>
        </w:rPr>
        <w:t>4,9</w:t>
      </w:r>
      <w:r w:rsidR="00BA267C">
        <w:rPr>
          <w:rFonts w:eastAsia="Malgun Gothic"/>
          <w:bCs/>
          <w:lang w:val="fr-FR"/>
        </w:rPr>
        <w:t> </w:t>
      </w:r>
      <w:r w:rsidRPr="001D2E00">
        <w:rPr>
          <w:rFonts w:eastAsia="Malgun Gothic"/>
          <w:bCs/>
          <w:lang w:val="fr-FR"/>
        </w:rPr>
        <w:t xml:space="preserve">millions de </w:t>
      </w:r>
      <w:r w:rsidR="00BA267C" w:rsidRPr="00BA267C">
        <w:rPr>
          <w:rFonts w:eastAsia="Malgun Gothic"/>
          <w:bCs/>
          <w:lang w:val="fr-FR"/>
        </w:rPr>
        <w:t>dollars des États-Unis</w:t>
      </w:r>
      <w:r w:rsidRPr="001D2E00">
        <w:rPr>
          <w:rFonts w:eastAsia="Malgun Gothic"/>
          <w:bCs/>
          <w:lang w:val="fr-FR"/>
        </w:rPr>
        <w:t>. Lors de cette session, neuf rapports finaux et quatorze rapports d</w:t>
      </w:r>
      <w:r w:rsidR="00923E72">
        <w:rPr>
          <w:rFonts w:eastAsia="Malgun Gothic"/>
          <w:bCs/>
          <w:lang w:val="fr-FR"/>
        </w:rPr>
        <w:t>’</w:t>
      </w:r>
      <w:r w:rsidRPr="001D2E00">
        <w:rPr>
          <w:rFonts w:eastAsia="Malgun Gothic"/>
          <w:bCs/>
          <w:lang w:val="fr-FR"/>
        </w:rPr>
        <w:t xml:space="preserve">avancement </w:t>
      </w:r>
      <w:r w:rsidR="003940BE">
        <w:rPr>
          <w:rFonts w:eastAsia="Malgun Gothic"/>
          <w:bCs/>
          <w:lang w:val="fr-FR"/>
        </w:rPr>
        <w:t>étaient</w:t>
      </w:r>
      <w:r w:rsidRPr="001D2E00">
        <w:rPr>
          <w:rFonts w:eastAsia="Malgun Gothic"/>
          <w:bCs/>
          <w:lang w:val="fr-FR"/>
        </w:rPr>
        <w:t xml:space="preserve"> présentés (voir l</w:t>
      </w:r>
      <w:r w:rsidR="00923E72">
        <w:rPr>
          <w:rFonts w:eastAsia="Malgun Gothic"/>
          <w:bCs/>
          <w:lang w:val="fr-FR"/>
        </w:rPr>
        <w:t>’</w:t>
      </w:r>
      <w:r w:rsidRPr="001D2E00">
        <w:rPr>
          <w:rFonts w:eastAsia="Malgun Gothic"/>
          <w:bCs/>
          <w:lang w:val="fr-FR"/>
        </w:rPr>
        <w:t>annexe</w:t>
      </w:r>
      <w:r w:rsidR="006773EF">
        <w:rPr>
          <w:rFonts w:eastAsia="Malgun Gothic"/>
          <w:bCs/>
          <w:lang w:val="fr-FR"/>
        </w:rPr>
        <w:t> </w:t>
      </w:r>
      <w:r w:rsidRPr="001D2E00">
        <w:rPr>
          <w:rFonts w:eastAsia="Malgun Gothic"/>
          <w:bCs/>
          <w:lang w:val="fr-FR"/>
        </w:rPr>
        <w:t>I du document</w:t>
      </w:r>
      <w:r w:rsidR="006773EF">
        <w:rPr>
          <w:rFonts w:eastAsia="Malgun Gothic"/>
          <w:bCs/>
          <w:lang w:val="fr-FR"/>
        </w:rPr>
        <w:t> </w:t>
      </w:r>
      <w:r w:rsidRPr="001D2E00">
        <w:rPr>
          <w:rFonts w:eastAsia="Malgun Gothic"/>
          <w:bCs/>
          <w:lang w:val="fr-FR"/>
        </w:rPr>
        <w:t>6.d, page</w:t>
      </w:r>
      <w:r w:rsidR="006773EF">
        <w:rPr>
          <w:rFonts w:eastAsia="Malgun Gothic"/>
          <w:bCs/>
          <w:lang w:val="fr-FR"/>
        </w:rPr>
        <w:t> </w:t>
      </w:r>
      <w:r w:rsidRPr="001D2E00">
        <w:rPr>
          <w:rFonts w:eastAsia="Malgun Gothic"/>
          <w:bCs/>
          <w:lang w:val="fr-FR"/>
        </w:rPr>
        <w:t>11). Les dix</w:t>
      </w:r>
      <w:r w:rsidR="00A533EE">
        <w:rPr>
          <w:rFonts w:eastAsia="Malgun Gothic"/>
          <w:bCs/>
          <w:lang w:val="fr-FR"/>
        </w:rPr>
        <w:noBreakHyphen/>
      </w:r>
      <w:r w:rsidRPr="001D2E00">
        <w:rPr>
          <w:rFonts w:eastAsia="Malgun Gothic"/>
          <w:bCs/>
          <w:lang w:val="fr-FR"/>
        </w:rPr>
        <w:t>neuf autres projets, pour lesquels des rapports étaient</w:t>
      </w:r>
      <w:r w:rsidR="00BA267C">
        <w:rPr>
          <w:rFonts w:eastAsia="Malgun Gothic"/>
          <w:bCs/>
          <w:lang w:val="fr-FR"/>
        </w:rPr>
        <w:t xml:space="preserve"> à venir</w:t>
      </w:r>
      <w:r w:rsidRPr="001D2E00">
        <w:rPr>
          <w:rFonts w:eastAsia="Malgun Gothic"/>
          <w:bCs/>
          <w:lang w:val="fr-FR"/>
        </w:rPr>
        <w:t>, étaient énumérés à l</w:t>
      </w:r>
      <w:r w:rsidR="00923E72">
        <w:rPr>
          <w:rFonts w:eastAsia="Malgun Gothic"/>
          <w:bCs/>
          <w:lang w:val="fr-FR"/>
        </w:rPr>
        <w:t>’</w:t>
      </w:r>
      <w:r w:rsidRPr="001D2E00">
        <w:rPr>
          <w:rFonts w:eastAsia="Malgun Gothic"/>
          <w:bCs/>
          <w:lang w:val="fr-FR"/>
        </w:rPr>
        <w:t>annexe</w:t>
      </w:r>
      <w:r w:rsidR="006773EF">
        <w:rPr>
          <w:rFonts w:eastAsia="Malgun Gothic"/>
          <w:bCs/>
          <w:lang w:val="fr-FR"/>
        </w:rPr>
        <w:t> </w:t>
      </w:r>
      <w:r w:rsidRPr="001D2E00">
        <w:rPr>
          <w:rFonts w:eastAsia="Malgun Gothic"/>
          <w:bCs/>
          <w:lang w:val="fr-FR"/>
        </w:rPr>
        <w:t>II (page</w:t>
      </w:r>
      <w:r w:rsidR="006773EF">
        <w:rPr>
          <w:rFonts w:eastAsia="Malgun Gothic"/>
          <w:bCs/>
          <w:lang w:val="fr-FR"/>
        </w:rPr>
        <w:t> </w:t>
      </w:r>
      <w:r w:rsidRPr="001D2E00">
        <w:rPr>
          <w:rFonts w:eastAsia="Malgun Gothic"/>
          <w:bCs/>
          <w:lang w:val="fr-FR"/>
        </w:rPr>
        <w:t>13).</w:t>
      </w:r>
    </w:p>
    <w:p w14:paraId="3ED69320" w14:textId="105894BD" w:rsidR="00BA267C" w:rsidRDefault="005F5167"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6E3034">
        <w:rPr>
          <w:rFonts w:eastAsia="Malgun Gothic"/>
          <w:bCs/>
          <w:lang w:val="fr-FR"/>
        </w:rPr>
        <w:t>M</w:t>
      </w:r>
      <w:r w:rsidRPr="006E3034">
        <w:rPr>
          <w:rFonts w:eastAsia="Malgun Gothic"/>
          <w:bCs/>
          <w:vertAlign w:val="superscript"/>
          <w:lang w:val="fr-FR"/>
        </w:rPr>
        <w:t>me</w:t>
      </w:r>
      <w:r w:rsidR="00A533EE" w:rsidRPr="006E3034">
        <w:rPr>
          <w:rFonts w:eastAsia="Malgun Gothic"/>
          <w:bCs/>
          <w:lang w:val="fr-FR"/>
        </w:rPr>
        <w:t> </w:t>
      </w:r>
      <w:r w:rsidRPr="006E3034">
        <w:rPr>
          <w:rFonts w:eastAsia="Malgun Gothic"/>
          <w:bCs/>
          <w:lang w:val="fr-FR"/>
        </w:rPr>
        <w:t>Leila Maziz</w:t>
      </w:r>
      <w:r w:rsidR="00406E6B" w:rsidRPr="006E3034">
        <w:rPr>
          <w:rFonts w:eastAsia="Malgun Gothic"/>
          <w:bCs/>
          <w:lang w:val="fr-FR"/>
        </w:rPr>
        <w:t>,</w:t>
      </w:r>
      <w:r w:rsidRPr="005F5167">
        <w:rPr>
          <w:rFonts w:eastAsia="Malgun Gothic"/>
          <w:b/>
          <w:lang w:val="fr-FR"/>
        </w:rPr>
        <w:t xml:space="preserve"> du Secrétariat</w:t>
      </w:r>
      <w:r w:rsidR="00406E6B">
        <w:rPr>
          <w:rFonts w:eastAsia="Malgun Gothic"/>
          <w:b/>
          <w:lang w:val="fr-FR"/>
        </w:rPr>
        <w:t>,</w:t>
      </w:r>
      <w:r w:rsidRPr="005F5167">
        <w:rPr>
          <w:rFonts w:eastAsia="Malgun Gothic"/>
          <w:bCs/>
          <w:lang w:val="fr-FR"/>
        </w:rPr>
        <w:t xml:space="preserve"> a présenté les rapports</w:t>
      </w:r>
      <w:r>
        <w:rPr>
          <w:rFonts w:eastAsia="Malgun Gothic"/>
          <w:bCs/>
          <w:lang w:val="fr-FR"/>
        </w:rPr>
        <w:t xml:space="preserve"> et a partagé </w:t>
      </w:r>
      <w:r w:rsidRPr="005F5167">
        <w:rPr>
          <w:rFonts w:eastAsia="Malgun Gothic"/>
          <w:bCs/>
          <w:lang w:val="fr-FR"/>
        </w:rPr>
        <w:t>quelques observations générales et</w:t>
      </w:r>
      <w:r>
        <w:rPr>
          <w:rFonts w:eastAsia="Malgun Gothic"/>
          <w:bCs/>
          <w:lang w:val="fr-FR"/>
        </w:rPr>
        <w:t xml:space="preserve"> </w:t>
      </w:r>
      <w:r w:rsidRPr="005F5167">
        <w:rPr>
          <w:rFonts w:eastAsia="Malgun Gothic"/>
          <w:bCs/>
          <w:lang w:val="fr-FR"/>
        </w:rPr>
        <w:t>des tendances intéressantes concernant l</w:t>
      </w:r>
      <w:r>
        <w:rPr>
          <w:rFonts w:eastAsia="Malgun Gothic"/>
          <w:bCs/>
          <w:lang w:val="fr-FR"/>
        </w:rPr>
        <w:t>e champ d</w:t>
      </w:r>
      <w:r w:rsidR="00923E72">
        <w:rPr>
          <w:rFonts w:eastAsia="Malgun Gothic"/>
          <w:bCs/>
          <w:lang w:val="fr-FR"/>
        </w:rPr>
        <w:t>’</w:t>
      </w:r>
      <w:r>
        <w:rPr>
          <w:rFonts w:eastAsia="Malgun Gothic"/>
          <w:bCs/>
          <w:lang w:val="fr-FR"/>
        </w:rPr>
        <w:t>action</w:t>
      </w:r>
      <w:r w:rsidRPr="005F5167">
        <w:rPr>
          <w:rFonts w:eastAsia="Malgun Gothic"/>
          <w:bCs/>
          <w:lang w:val="fr-FR"/>
        </w:rPr>
        <w:t xml:space="preserve"> des projets d</w:t>
      </w:r>
      <w:r w:rsidR="00923E72">
        <w:rPr>
          <w:rFonts w:eastAsia="Malgun Gothic"/>
          <w:bCs/>
          <w:lang w:val="fr-FR"/>
        </w:rPr>
        <w:t>’</w:t>
      </w:r>
      <w:r w:rsidRPr="005F5167">
        <w:rPr>
          <w:rFonts w:eastAsia="Malgun Gothic"/>
          <w:bCs/>
          <w:lang w:val="fr-FR"/>
        </w:rPr>
        <w:t>assistance international</w:t>
      </w:r>
      <w:r w:rsidR="00C10AE0">
        <w:rPr>
          <w:rFonts w:eastAsia="Malgun Gothic"/>
          <w:bCs/>
          <w:lang w:val="fr-FR"/>
        </w:rPr>
        <w:t>e</w:t>
      </w:r>
      <w:r>
        <w:rPr>
          <w:rFonts w:eastAsia="Malgun Gothic"/>
          <w:bCs/>
          <w:lang w:val="fr-FR"/>
        </w:rPr>
        <w:t xml:space="preserve"> </w:t>
      </w:r>
      <w:r w:rsidRPr="005F5167">
        <w:rPr>
          <w:rFonts w:eastAsia="Malgun Gothic"/>
          <w:bCs/>
          <w:lang w:val="fr-FR"/>
        </w:rPr>
        <w:t>mis en œuvre. Au cours de la seizième session du Comité, une diminution du nombre de demandes d</w:t>
      </w:r>
      <w:r w:rsidR="00923E72">
        <w:rPr>
          <w:rFonts w:eastAsia="Malgun Gothic"/>
          <w:bCs/>
          <w:lang w:val="fr-FR"/>
        </w:rPr>
        <w:t>’</w:t>
      </w:r>
      <w:r w:rsidRPr="005F5167">
        <w:rPr>
          <w:rFonts w:eastAsia="Malgun Gothic"/>
          <w:bCs/>
          <w:lang w:val="fr-FR"/>
        </w:rPr>
        <w:t>assistance internationale soumises par les États parties avait été observée, avec vingt et un projets traités en deux ans</w:t>
      </w:r>
      <w:r w:rsidR="00C10AE0">
        <w:rPr>
          <w:rFonts w:eastAsia="Malgun Gothic"/>
          <w:bCs/>
          <w:lang w:val="fr-FR"/>
        </w:rPr>
        <w:t xml:space="preserve">, une baisse qui </w:t>
      </w:r>
      <w:r w:rsidRPr="005F5167">
        <w:rPr>
          <w:rFonts w:eastAsia="Malgun Gothic"/>
          <w:bCs/>
          <w:lang w:val="fr-FR"/>
        </w:rPr>
        <w:t>était principalement due à la pandémie de COVID</w:t>
      </w:r>
      <w:r>
        <w:rPr>
          <w:rFonts w:eastAsia="Malgun Gothic"/>
          <w:bCs/>
          <w:lang w:val="fr-FR"/>
        </w:rPr>
        <w:noBreakHyphen/>
      </w:r>
      <w:r w:rsidRPr="005F5167">
        <w:rPr>
          <w:rFonts w:eastAsia="Malgun Gothic"/>
          <w:bCs/>
          <w:lang w:val="fr-FR"/>
        </w:rPr>
        <w:t xml:space="preserve">19. Le Secrétariat avait depuis observé une reprise du nombre de demandes soumises, avec vingt demandes traitées entre le </w:t>
      </w:r>
      <w:r w:rsidR="00DB6A4B" w:rsidRPr="003C1B1D">
        <w:rPr>
          <w:rFonts w:eastAsia="Malgun Gothic"/>
          <w:bCs/>
          <w:lang w:val="fr-FR"/>
        </w:rPr>
        <w:t>1</w:t>
      </w:r>
      <w:r w:rsidR="00DB6A4B" w:rsidRPr="00702497">
        <w:rPr>
          <w:rFonts w:eastAsia="Malgun Gothic"/>
          <w:bCs/>
          <w:vertAlign w:val="superscript"/>
          <w:lang w:val="fr-FR"/>
        </w:rPr>
        <w:t>er</w:t>
      </w:r>
      <w:r w:rsidR="00DB6A4B" w:rsidRPr="003C1B1D">
        <w:rPr>
          <w:rFonts w:eastAsia="Malgun Gothic"/>
          <w:bCs/>
          <w:lang w:val="fr-FR"/>
        </w:rPr>
        <w:t> </w:t>
      </w:r>
      <w:r w:rsidRPr="003C1B1D">
        <w:rPr>
          <w:rFonts w:eastAsia="Malgun Gothic"/>
          <w:bCs/>
          <w:lang w:val="fr-FR"/>
        </w:rPr>
        <w:t>juillet </w:t>
      </w:r>
      <w:r w:rsidR="00726A91" w:rsidRPr="00702497">
        <w:rPr>
          <w:rFonts w:eastAsia="Malgun Gothic"/>
          <w:bCs/>
          <w:lang w:val="fr-FR"/>
        </w:rPr>
        <w:t>2021</w:t>
      </w:r>
      <w:r w:rsidRPr="00726A91">
        <w:rPr>
          <w:rFonts w:eastAsia="Malgun Gothic"/>
          <w:bCs/>
          <w:color w:val="FF0000"/>
          <w:lang w:val="fr-FR"/>
        </w:rPr>
        <w:t xml:space="preserve"> </w:t>
      </w:r>
      <w:r w:rsidRPr="005F5167">
        <w:rPr>
          <w:rFonts w:eastAsia="Malgun Gothic"/>
          <w:bCs/>
          <w:lang w:val="fr-FR"/>
        </w:rPr>
        <w:t>et le 30</w:t>
      </w:r>
      <w:r>
        <w:rPr>
          <w:rFonts w:eastAsia="Malgun Gothic"/>
          <w:bCs/>
          <w:lang w:val="fr-FR"/>
        </w:rPr>
        <w:t> </w:t>
      </w:r>
      <w:r w:rsidRPr="005F5167">
        <w:rPr>
          <w:rFonts w:eastAsia="Malgun Gothic"/>
          <w:bCs/>
          <w:lang w:val="fr-FR"/>
        </w:rPr>
        <w:t>juin</w:t>
      </w:r>
      <w:r>
        <w:rPr>
          <w:rFonts w:eastAsia="Malgun Gothic"/>
          <w:bCs/>
          <w:lang w:val="fr-FR"/>
        </w:rPr>
        <w:t> </w:t>
      </w:r>
      <w:r w:rsidRPr="005F5167">
        <w:rPr>
          <w:rFonts w:eastAsia="Malgun Gothic"/>
          <w:bCs/>
          <w:lang w:val="fr-FR"/>
        </w:rPr>
        <w:t>2022. Le déploiement géographique du mécanisme d</w:t>
      </w:r>
      <w:r w:rsidR="00923E72">
        <w:rPr>
          <w:rFonts w:eastAsia="Malgun Gothic"/>
          <w:bCs/>
          <w:lang w:val="fr-FR"/>
        </w:rPr>
        <w:t>’</w:t>
      </w:r>
      <w:r w:rsidRPr="005F5167">
        <w:rPr>
          <w:rFonts w:eastAsia="Malgun Gothic"/>
          <w:bCs/>
          <w:lang w:val="fr-FR"/>
        </w:rPr>
        <w:t>assistance internationale avait vu trente</w:t>
      </w:r>
      <w:r w:rsidR="00A533EE">
        <w:rPr>
          <w:rFonts w:eastAsia="Malgun Gothic"/>
          <w:bCs/>
          <w:lang w:val="fr-FR"/>
        </w:rPr>
        <w:noBreakHyphen/>
      </w:r>
      <w:r w:rsidRPr="005F5167">
        <w:rPr>
          <w:rFonts w:eastAsia="Malgun Gothic"/>
          <w:bCs/>
          <w:lang w:val="fr-FR"/>
        </w:rPr>
        <w:t>quatre États parties bénéficiaires, dont neuf PEID et dix</w:t>
      </w:r>
      <w:r w:rsidR="00A533EE">
        <w:rPr>
          <w:rFonts w:eastAsia="Malgun Gothic"/>
          <w:bCs/>
          <w:lang w:val="fr-FR"/>
        </w:rPr>
        <w:noBreakHyphen/>
      </w:r>
      <w:r w:rsidRPr="005F5167">
        <w:rPr>
          <w:rFonts w:eastAsia="Malgun Gothic"/>
          <w:bCs/>
          <w:lang w:val="fr-FR"/>
        </w:rPr>
        <w:t xml:space="preserve">sept États de la région Afrique. La part de plus en plus importante prise par cette dernière répondait à la priorité globale </w:t>
      </w:r>
      <w:r w:rsidR="005C511F">
        <w:rPr>
          <w:rFonts w:eastAsia="Malgun Gothic"/>
          <w:bCs/>
          <w:lang w:val="fr-FR"/>
        </w:rPr>
        <w:t xml:space="preserve">Afrique </w:t>
      </w:r>
      <w:r w:rsidRPr="005F5167">
        <w:rPr>
          <w:rFonts w:eastAsia="Malgun Gothic"/>
          <w:bCs/>
          <w:lang w:val="fr-FR"/>
        </w:rPr>
        <w:t>de l</w:t>
      </w:r>
      <w:r w:rsidR="00923E72">
        <w:rPr>
          <w:rFonts w:eastAsia="Malgun Gothic"/>
          <w:bCs/>
          <w:lang w:val="fr-FR"/>
        </w:rPr>
        <w:t>’</w:t>
      </w:r>
      <w:r w:rsidRPr="005F5167">
        <w:rPr>
          <w:rFonts w:eastAsia="Malgun Gothic"/>
          <w:bCs/>
          <w:lang w:val="fr-FR"/>
        </w:rPr>
        <w:t>UNESCO, puisque</w:t>
      </w:r>
      <w:r w:rsidR="009A34A8">
        <w:rPr>
          <w:rFonts w:eastAsia="Malgun Gothic"/>
          <w:bCs/>
          <w:lang w:val="fr-FR"/>
        </w:rPr>
        <w:t> </w:t>
      </w:r>
      <w:r w:rsidRPr="005F5167">
        <w:rPr>
          <w:rFonts w:eastAsia="Malgun Gothic"/>
          <w:bCs/>
          <w:lang w:val="fr-FR"/>
        </w:rPr>
        <w:t>43</w:t>
      </w:r>
      <w:r w:rsidR="005C511F">
        <w:rPr>
          <w:rFonts w:eastAsia="Malgun Gothic"/>
          <w:bCs/>
          <w:lang w:val="fr-FR"/>
        </w:rPr>
        <w:t> </w:t>
      </w:r>
      <w:r w:rsidRPr="005F5167">
        <w:rPr>
          <w:rFonts w:eastAsia="Malgun Gothic"/>
          <w:bCs/>
          <w:lang w:val="fr-FR"/>
        </w:rPr>
        <w:t xml:space="preserve">% des projets en cours bénéficiaient à la région Afrique et au </w:t>
      </w:r>
      <w:r w:rsidR="005E369B">
        <w:rPr>
          <w:rFonts w:eastAsia="Malgun Gothic"/>
          <w:bCs/>
          <w:lang w:val="fr-FR"/>
        </w:rPr>
        <w:t>G</w:t>
      </w:r>
      <w:r w:rsidRPr="005F5167">
        <w:rPr>
          <w:rFonts w:eastAsia="Malgun Gothic"/>
          <w:bCs/>
          <w:lang w:val="fr-FR"/>
        </w:rPr>
        <w:t>roupe électoral</w:t>
      </w:r>
      <w:r w:rsidR="00C10AE0">
        <w:rPr>
          <w:rFonts w:eastAsia="Malgun Gothic"/>
          <w:bCs/>
          <w:lang w:val="fr-FR"/>
        </w:rPr>
        <w:t> </w:t>
      </w:r>
      <w:r w:rsidRPr="005F5167">
        <w:rPr>
          <w:rFonts w:eastAsia="Malgun Gothic"/>
          <w:bCs/>
          <w:lang w:val="fr-FR"/>
        </w:rPr>
        <w:t>V(a) (voir figure</w:t>
      </w:r>
      <w:r w:rsidR="00DB6A4B">
        <w:rPr>
          <w:rFonts w:eastAsia="Malgun Gothic"/>
          <w:bCs/>
          <w:lang w:val="fr-FR"/>
        </w:rPr>
        <w:t> </w:t>
      </w:r>
      <w:r w:rsidRPr="005F5167">
        <w:rPr>
          <w:rFonts w:eastAsia="Malgun Gothic"/>
          <w:bCs/>
          <w:lang w:val="fr-FR"/>
        </w:rPr>
        <w:t>2, page</w:t>
      </w:r>
      <w:r w:rsidR="00DB6A4B">
        <w:rPr>
          <w:rFonts w:eastAsia="Malgun Gothic"/>
          <w:bCs/>
          <w:lang w:val="fr-FR"/>
        </w:rPr>
        <w:t> </w:t>
      </w:r>
      <w:r w:rsidRPr="005F5167">
        <w:rPr>
          <w:rFonts w:eastAsia="Malgun Gothic"/>
          <w:bCs/>
          <w:lang w:val="fr-FR"/>
        </w:rPr>
        <w:t>5 du document de travail). Au cours de la période couverte par le rapport, cela représentait un montant de</w:t>
      </w:r>
      <w:r w:rsidR="00DB6A4B">
        <w:rPr>
          <w:rFonts w:eastAsia="Malgun Gothic"/>
          <w:bCs/>
          <w:lang w:val="fr-FR"/>
        </w:rPr>
        <w:t> </w:t>
      </w:r>
      <w:r w:rsidRPr="005F5167">
        <w:rPr>
          <w:rFonts w:eastAsia="Malgun Gothic"/>
          <w:bCs/>
          <w:lang w:val="fr-FR"/>
        </w:rPr>
        <w:t>2,1</w:t>
      </w:r>
      <w:r w:rsidR="005C511F">
        <w:rPr>
          <w:rFonts w:eastAsia="Malgun Gothic"/>
          <w:bCs/>
          <w:lang w:val="fr-FR"/>
        </w:rPr>
        <w:t> </w:t>
      </w:r>
      <w:r w:rsidRPr="005F5167">
        <w:rPr>
          <w:rFonts w:eastAsia="Malgun Gothic"/>
          <w:bCs/>
          <w:lang w:val="fr-FR"/>
        </w:rPr>
        <w:t>millions de dollars des États</w:t>
      </w:r>
      <w:r w:rsidR="005C511F">
        <w:rPr>
          <w:rFonts w:eastAsia="Malgun Gothic"/>
          <w:bCs/>
          <w:lang w:val="fr-FR"/>
        </w:rPr>
        <w:noBreakHyphen/>
      </w:r>
      <w:r w:rsidRPr="005F5167">
        <w:rPr>
          <w:rFonts w:eastAsia="Malgun Gothic"/>
          <w:bCs/>
          <w:lang w:val="fr-FR"/>
        </w:rPr>
        <w:t>Unis. Le mécanisme d</w:t>
      </w:r>
      <w:r w:rsidR="00923E72">
        <w:rPr>
          <w:rFonts w:eastAsia="Malgun Gothic"/>
          <w:bCs/>
          <w:lang w:val="fr-FR"/>
        </w:rPr>
        <w:t>’</w:t>
      </w:r>
      <w:r w:rsidRPr="005F5167">
        <w:rPr>
          <w:rFonts w:eastAsia="Malgun Gothic"/>
          <w:bCs/>
          <w:lang w:val="fr-FR"/>
        </w:rPr>
        <w:t>assistance internationale continuait donc à se développer en soutenant un large éventail de projets dans les domaines de la sauvegarde</w:t>
      </w:r>
      <w:r w:rsidR="00C10AE0">
        <w:rPr>
          <w:rFonts w:eastAsia="Malgun Gothic"/>
          <w:bCs/>
          <w:lang w:val="fr-FR"/>
        </w:rPr>
        <w:t>,</w:t>
      </w:r>
      <w:r w:rsidRPr="005F5167">
        <w:rPr>
          <w:rFonts w:eastAsia="Malgun Gothic"/>
          <w:bCs/>
          <w:lang w:val="fr-FR"/>
        </w:rPr>
        <w:t xml:space="preserve"> tels que la sensibilisation, l</w:t>
      </w:r>
      <w:r w:rsidR="00923E72">
        <w:rPr>
          <w:rFonts w:eastAsia="Malgun Gothic"/>
          <w:bCs/>
          <w:lang w:val="fr-FR"/>
        </w:rPr>
        <w:t>’</w:t>
      </w:r>
      <w:r w:rsidRPr="005F5167">
        <w:rPr>
          <w:rFonts w:eastAsia="Malgun Gothic"/>
          <w:bCs/>
          <w:lang w:val="fr-FR"/>
        </w:rPr>
        <w:t>inventaire, la revitalisation, la transmission et le renforcement des capacités. Le renforcement des capacités restait l</w:t>
      </w:r>
      <w:r w:rsidR="00923E72">
        <w:rPr>
          <w:rFonts w:eastAsia="Malgun Gothic"/>
          <w:bCs/>
          <w:lang w:val="fr-FR"/>
        </w:rPr>
        <w:t>’</w:t>
      </w:r>
      <w:r w:rsidRPr="005F5167">
        <w:rPr>
          <w:rFonts w:eastAsia="Malgun Gothic"/>
          <w:bCs/>
          <w:lang w:val="fr-FR"/>
        </w:rPr>
        <w:t>objectif principal des projets d</w:t>
      </w:r>
      <w:r w:rsidR="00923E72">
        <w:rPr>
          <w:rFonts w:eastAsia="Malgun Gothic"/>
          <w:bCs/>
          <w:lang w:val="fr-FR"/>
        </w:rPr>
        <w:t>’</w:t>
      </w:r>
      <w:r w:rsidRPr="005F5167">
        <w:rPr>
          <w:rFonts w:eastAsia="Malgun Gothic"/>
          <w:bCs/>
          <w:lang w:val="fr-FR"/>
        </w:rPr>
        <w:t>assistance internationale, avec plus de</w:t>
      </w:r>
      <w:r w:rsidR="009A34A8">
        <w:rPr>
          <w:rFonts w:eastAsia="Malgun Gothic"/>
          <w:bCs/>
          <w:lang w:val="fr-FR"/>
        </w:rPr>
        <w:t> </w:t>
      </w:r>
      <w:r w:rsidRPr="005F5167">
        <w:rPr>
          <w:rFonts w:eastAsia="Malgun Gothic"/>
          <w:bCs/>
          <w:lang w:val="fr-FR"/>
        </w:rPr>
        <w:t>50</w:t>
      </w:r>
      <w:r w:rsidR="005C511F">
        <w:rPr>
          <w:rFonts w:eastAsia="Malgun Gothic"/>
          <w:bCs/>
          <w:lang w:val="fr-FR"/>
        </w:rPr>
        <w:t> </w:t>
      </w:r>
      <w:r w:rsidRPr="005F5167">
        <w:rPr>
          <w:rFonts w:eastAsia="Malgun Gothic"/>
          <w:bCs/>
          <w:lang w:val="fr-FR"/>
        </w:rPr>
        <w:t>% des projets en cours. Ces projets contribuaient au renforcement des capacités des communautés et à l</w:t>
      </w:r>
      <w:r w:rsidR="00923E72">
        <w:rPr>
          <w:rFonts w:eastAsia="Malgun Gothic"/>
          <w:bCs/>
          <w:lang w:val="fr-FR"/>
        </w:rPr>
        <w:t>’</w:t>
      </w:r>
      <w:r w:rsidRPr="005F5167">
        <w:rPr>
          <w:rFonts w:eastAsia="Malgun Gothic"/>
          <w:bCs/>
          <w:lang w:val="fr-FR"/>
        </w:rPr>
        <w:t>élaboration d</w:t>
      </w:r>
      <w:r w:rsidR="00923E72">
        <w:rPr>
          <w:rFonts w:eastAsia="Malgun Gothic"/>
          <w:bCs/>
          <w:lang w:val="fr-FR"/>
        </w:rPr>
        <w:t>’</w:t>
      </w:r>
      <w:r w:rsidRPr="005F5167">
        <w:rPr>
          <w:rFonts w:eastAsia="Malgun Gothic"/>
          <w:bCs/>
          <w:lang w:val="fr-FR"/>
        </w:rPr>
        <w:t>inventaires à participation communautaire, avec la collaboration de ces mêmes communautés. Il convenait de noter que bon nombre de ces projets avaient tiré parti du matériel de formation élaboré dans le cadre du programme de renforcement des capacités. Ils avaient également bénéficié de l</w:t>
      </w:r>
      <w:r w:rsidR="00923E72">
        <w:rPr>
          <w:rFonts w:eastAsia="Malgun Gothic"/>
          <w:bCs/>
          <w:lang w:val="fr-FR"/>
        </w:rPr>
        <w:t>’</w:t>
      </w:r>
      <w:r w:rsidRPr="005F5167">
        <w:rPr>
          <w:rFonts w:eastAsia="Malgun Gothic"/>
          <w:bCs/>
          <w:lang w:val="fr-FR"/>
        </w:rPr>
        <w:t xml:space="preserve">aide des experts du réseau global de facilitateurs. Les projets consacrés à la sauvegarde du patrimoine vivant ainsi que </w:t>
      </w:r>
      <w:r w:rsidRPr="005C511F">
        <w:rPr>
          <w:rStyle w:val="Heading4Char"/>
          <w:rFonts w:eastAsiaTheme="minorHAnsi"/>
          <w:b w:val="0"/>
          <w:bCs/>
          <w:lang w:val="fr-FR"/>
        </w:rPr>
        <w:t>ceux</w:t>
      </w:r>
      <w:r w:rsidRPr="005F5167">
        <w:rPr>
          <w:rFonts w:eastAsia="Malgun Gothic"/>
          <w:bCs/>
          <w:lang w:val="fr-FR"/>
        </w:rPr>
        <w:t xml:space="preserve"> axés sur les éléments inscrits sur la Liste de sauvegarde urgente étaient de plus en plus nombreux. Quant aux projets consacrés à l</w:t>
      </w:r>
      <w:r w:rsidR="00923E72">
        <w:rPr>
          <w:rFonts w:eastAsia="Malgun Gothic"/>
          <w:bCs/>
          <w:lang w:val="fr-FR"/>
        </w:rPr>
        <w:t>’</w:t>
      </w:r>
      <w:r w:rsidRPr="005F5167">
        <w:rPr>
          <w:rFonts w:eastAsia="Malgun Gothic"/>
          <w:bCs/>
          <w:lang w:val="fr-FR"/>
        </w:rPr>
        <w:t>inclusion du patrimoine vivant dans l</w:t>
      </w:r>
      <w:r w:rsidR="00923E72">
        <w:rPr>
          <w:rFonts w:eastAsia="Malgun Gothic"/>
          <w:bCs/>
          <w:lang w:val="fr-FR"/>
        </w:rPr>
        <w:t>’</w:t>
      </w:r>
      <w:r w:rsidRPr="005F5167">
        <w:rPr>
          <w:rFonts w:eastAsia="Malgun Gothic"/>
          <w:bCs/>
          <w:lang w:val="fr-FR"/>
        </w:rPr>
        <w:t>éducation formelle et non formelle, ils contribuaient au développement d</w:t>
      </w:r>
      <w:r w:rsidR="00923E72">
        <w:rPr>
          <w:rFonts w:eastAsia="Malgun Gothic"/>
          <w:bCs/>
          <w:lang w:val="fr-FR"/>
        </w:rPr>
        <w:t>’</w:t>
      </w:r>
      <w:r w:rsidRPr="005F5167">
        <w:rPr>
          <w:rFonts w:eastAsia="Malgun Gothic"/>
          <w:bCs/>
          <w:lang w:val="fr-FR"/>
        </w:rPr>
        <w:t>outils pédagogiques spécialisés dans le patrimoine culturel immatériel ou encore à la mise en place de cours de formation pour le personnel enseignant.</w:t>
      </w:r>
    </w:p>
    <w:p w14:paraId="4B08838A" w14:textId="12E2AAB6" w:rsidR="005C511F" w:rsidRPr="003C1B1D" w:rsidRDefault="00E101E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3C1B1D">
        <w:rPr>
          <w:rFonts w:eastAsia="Malgun Gothic"/>
          <w:b/>
          <w:lang w:val="fr-FR"/>
        </w:rPr>
        <w:t>M</w:t>
      </w:r>
      <w:r w:rsidRPr="003C1B1D">
        <w:rPr>
          <w:rFonts w:eastAsia="Malgun Gothic"/>
          <w:b/>
          <w:vertAlign w:val="superscript"/>
          <w:lang w:val="fr-FR"/>
        </w:rPr>
        <w:t>me</w:t>
      </w:r>
      <w:r w:rsidRPr="003C1B1D">
        <w:rPr>
          <w:rFonts w:eastAsia="Malgun Gothic"/>
          <w:b/>
          <w:lang w:val="fr-FR"/>
        </w:rPr>
        <w:t xml:space="preserve"> Leila Maziz </w:t>
      </w:r>
      <w:r w:rsidR="005C511F" w:rsidRPr="003C1B1D">
        <w:rPr>
          <w:rFonts w:eastAsia="Malgun Gothic"/>
          <w:bCs/>
          <w:lang w:val="fr-FR"/>
        </w:rPr>
        <w:t>a ensuite présenté les nombreux efforts entrepris au cours de l</w:t>
      </w:r>
      <w:r w:rsidR="00923E72">
        <w:rPr>
          <w:rFonts w:eastAsia="Malgun Gothic"/>
          <w:bCs/>
          <w:lang w:val="fr-FR"/>
        </w:rPr>
        <w:t>’</w:t>
      </w:r>
      <w:r w:rsidR="005C511F" w:rsidRPr="003C1B1D">
        <w:rPr>
          <w:rFonts w:eastAsia="Malgun Gothic"/>
          <w:bCs/>
          <w:lang w:val="fr-FR"/>
        </w:rPr>
        <w:t>année</w:t>
      </w:r>
      <w:r w:rsidR="00246428" w:rsidRPr="003C1B1D">
        <w:rPr>
          <w:rFonts w:eastAsia="Malgun Gothic"/>
          <w:bCs/>
          <w:lang w:val="fr-FR"/>
        </w:rPr>
        <w:t> </w:t>
      </w:r>
      <w:r w:rsidR="005C511F" w:rsidRPr="003C1B1D">
        <w:rPr>
          <w:rFonts w:eastAsia="Malgun Gothic"/>
          <w:bCs/>
          <w:lang w:val="fr-FR"/>
        </w:rPr>
        <w:t>2022 pour intensifier la mise en œuvre du mécanisme d</w:t>
      </w:r>
      <w:r w:rsidR="00923E72">
        <w:rPr>
          <w:rFonts w:eastAsia="Malgun Gothic"/>
          <w:bCs/>
          <w:lang w:val="fr-FR"/>
        </w:rPr>
        <w:t>’</w:t>
      </w:r>
      <w:r w:rsidR="005C511F" w:rsidRPr="003C1B1D">
        <w:rPr>
          <w:rFonts w:eastAsia="Malgun Gothic"/>
          <w:bCs/>
          <w:lang w:val="fr-FR"/>
        </w:rPr>
        <w:t>assistance internationale. Tout d</w:t>
      </w:r>
      <w:r w:rsidR="00923E72">
        <w:rPr>
          <w:rFonts w:eastAsia="Malgun Gothic"/>
          <w:bCs/>
          <w:lang w:val="fr-FR"/>
        </w:rPr>
        <w:t>’</w:t>
      </w:r>
      <w:r w:rsidR="005C511F" w:rsidRPr="003C1B1D">
        <w:rPr>
          <w:rFonts w:eastAsia="Malgun Gothic"/>
          <w:bCs/>
          <w:lang w:val="fr-FR"/>
        </w:rPr>
        <w:t>abord, il a été rappelé que</w:t>
      </w:r>
      <w:r w:rsidRPr="003C1B1D">
        <w:rPr>
          <w:rFonts w:eastAsia="Malgun Gothic"/>
          <w:bCs/>
          <w:lang w:val="fr-FR"/>
        </w:rPr>
        <w:t>,</w:t>
      </w:r>
      <w:r w:rsidR="005C511F" w:rsidRPr="003C1B1D">
        <w:rPr>
          <w:rFonts w:eastAsia="Malgun Gothic"/>
          <w:bCs/>
          <w:lang w:val="fr-FR"/>
        </w:rPr>
        <w:t xml:space="preserve"> depuis sa création en</w:t>
      </w:r>
      <w:r w:rsidR="00C10AE0" w:rsidRPr="003C1B1D">
        <w:rPr>
          <w:rFonts w:eastAsia="Malgun Gothic"/>
          <w:bCs/>
          <w:lang w:val="fr-FR"/>
        </w:rPr>
        <w:t> </w:t>
      </w:r>
      <w:r w:rsidR="005C511F" w:rsidRPr="003C1B1D">
        <w:rPr>
          <w:rFonts w:eastAsia="Malgun Gothic"/>
          <w:bCs/>
          <w:lang w:val="fr-FR"/>
        </w:rPr>
        <w:t>2008 jusqu</w:t>
      </w:r>
      <w:r w:rsidR="00923E72">
        <w:rPr>
          <w:rFonts w:eastAsia="Malgun Gothic"/>
          <w:bCs/>
          <w:lang w:val="fr-FR"/>
        </w:rPr>
        <w:t>’</w:t>
      </w:r>
      <w:r w:rsidR="005C511F" w:rsidRPr="003C1B1D">
        <w:rPr>
          <w:rFonts w:eastAsia="Malgun Gothic"/>
          <w:bCs/>
          <w:lang w:val="fr-FR"/>
        </w:rPr>
        <w:t>au 30</w:t>
      </w:r>
      <w:r w:rsidRPr="003C1B1D">
        <w:rPr>
          <w:rFonts w:eastAsia="Malgun Gothic"/>
          <w:bCs/>
          <w:lang w:val="fr-FR"/>
        </w:rPr>
        <w:t> </w:t>
      </w:r>
      <w:r w:rsidR="005C511F" w:rsidRPr="003C1B1D">
        <w:rPr>
          <w:rFonts w:eastAsia="Malgun Gothic"/>
          <w:bCs/>
          <w:lang w:val="fr-FR"/>
        </w:rPr>
        <w:t>juin</w:t>
      </w:r>
      <w:r w:rsidRPr="003C1B1D">
        <w:rPr>
          <w:rFonts w:eastAsia="Malgun Gothic"/>
          <w:bCs/>
          <w:lang w:val="fr-FR"/>
        </w:rPr>
        <w:t> </w:t>
      </w:r>
      <w:r w:rsidR="005C511F" w:rsidRPr="003C1B1D">
        <w:rPr>
          <w:rFonts w:eastAsia="Malgun Gothic"/>
          <w:bCs/>
          <w:lang w:val="fr-FR"/>
        </w:rPr>
        <w:t xml:space="preserve">2022, </w:t>
      </w:r>
      <w:r w:rsidR="00AA16C4" w:rsidRPr="003C1B1D">
        <w:rPr>
          <w:rFonts w:eastAsia="Malgun Gothic"/>
          <w:bCs/>
          <w:lang w:val="fr-FR"/>
        </w:rPr>
        <w:t>cinquante</w:t>
      </w:r>
      <w:r w:rsidR="00AA16C4" w:rsidRPr="003C1B1D">
        <w:rPr>
          <w:rFonts w:eastAsia="Malgun Gothic"/>
          <w:bCs/>
          <w:lang w:val="fr-FR"/>
        </w:rPr>
        <w:noBreakHyphen/>
        <w:t>neuf</w:t>
      </w:r>
      <w:r w:rsidR="005C511F" w:rsidRPr="003C1B1D">
        <w:rPr>
          <w:rFonts w:eastAsia="Malgun Gothic"/>
          <w:bCs/>
          <w:lang w:val="fr-FR"/>
        </w:rPr>
        <w:t xml:space="preserve"> États </w:t>
      </w:r>
      <w:r w:rsidR="005C511F" w:rsidRPr="003C1B1D">
        <w:rPr>
          <w:rFonts w:eastAsia="Malgun Gothic"/>
          <w:bCs/>
          <w:lang w:val="fr-FR"/>
        </w:rPr>
        <w:lastRenderedPageBreak/>
        <w:t>parties avaient bénéficié de l</w:t>
      </w:r>
      <w:r w:rsidR="00923E72">
        <w:rPr>
          <w:rFonts w:eastAsia="Malgun Gothic"/>
          <w:bCs/>
          <w:lang w:val="fr-FR"/>
        </w:rPr>
        <w:t>’</w:t>
      </w:r>
      <w:r w:rsidR="005C511F" w:rsidRPr="003C1B1D">
        <w:rPr>
          <w:rFonts w:eastAsia="Malgun Gothic"/>
          <w:bCs/>
          <w:lang w:val="fr-FR"/>
        </w:rPr>
        <w:t>assistance financière du Fonds du patrimoine culturel immatériel pour un montant total de</w:t>
      </w:r>
      <w:r w:rsidR="00C10AE0" w:rsidRPr="003C1B1D">
        <w:rPr>
          <w:rFonts w:eastAsia="Malgun Gothic"/>
          <w:bCs/>
          <w:lang w:val="fr-FR"/>
        </w:rPr>
        <w:t> </w:t>
      </w:r>
      <w:r w:rsidR="005C511F" w:rsidRPr="003C1B1D">
        <w:rPr>
          <w:rFonts w:eastAsia="Malgun Gothic"/>
          <w:bCs/>
          <w:lang w:val="fr-FR"/>
        </w:rPr>
        <w:t>9,4</w:t>
      </w:r>
      <w:r w:rsidR="00AA16C4" w:rsidRPr="003C1B1D">
        <w:rPr>
          <w:rFonts w:eastAsia="Malgun Gothic"/>
          <w:bCs/>
          <w:lang w:val="fr-FR"/>
        </w:rPr>
        <w:t> </w:t>
      </w:r>
      <w:r w:rsidR="005C511F" w:rsidRPr="003C1B1D">
        <w:rPr>
          <w:rFonts w:eastAsia="Malgun Gothic"/>
          <w:bCs/>
          <w:lang w:val="fr-FR"/>
        </w:rPr>
        <w:t xml:space="preserve">millions de </w:t>
      </w:r>
      <w:r w:rsidR="00AA16C4" w:rsidRPr="003C1B1D">
        <w:rPr>
          <w:rFonts w:eastAsia="Malgun Gothic"/>
          <w:bCs/>
          <w:lang w:val="fr-FR"/>
        </w:rPr>
        <w:t>dollars</w:t>
      </w:r>
      <w:r w:rsidR="005C511F" w:rsidRPr="003C1B1D">
        <w:rPr>
          <w:rFonts w:eastAsia="Malgun Gothic"/>
          <w:bCs/>
          <w:lang w:val="fr-FR"/>
        </w:rPr>
        <w:t xml:space="preserve"> des États-Unis. Cela représentait pas moins de</w:t>
      </w:r>
      <w:r w:rsidR="00C10AE0" w:rsidRPr="003C1B1D">
        <w:rPr>
          <w:rFonts w:eastAsia="Malgun Gothic"/>
          <w:bCs/>
          <w:lang w:val="fr-FR"/>
        </w:rPr>
        <w:t> </w:t>
      </w:r>
      <w:r w:rsidR="005C511F" w:rsidRPr="003C1B1D">
        <w:rPr>
          <w:rFonts w:eastAsia="Malgun Gothic"/>
          <w:bCs/>
          <w:lang w:val="fr-FR"/>
        </w:rPr>
        <w:t>116 projets financés à ce jour. Plus de la moitié des demandes avaient été approuvées (54</w:t>
      </w:r>
      <w:r w:rsidR="00AA16C4" w:rsidRPr="003C1B1D">
        <w:rPr>
          <w:rFonts w:eastAsia="Malgun Gothic"/>
          <w:bCs/>
          <w:lang w:val="fr-FR"/>
        </w:rPr>
        <w:t> </w:t>
      </w:r>
      <w:r w:rsidR="005C511F" w:rsidRPr="003C1B1D">
        <w:rPr>
          <w:rFonts w:eastAsia="Malgun Gothic"/>
          <w:bCs/>
          <w:lang w:val="fr-FR"/>
        </w:rPr>
        <w:t xml:space="preserve">%), ce qui avait bénéficié aux États du </w:t>
      </w:r>
      <w:r w:rsidR="005E369B" w:rsidRPr="003C1B1D">
        <w:rPr>
          <w:rFonts w:eastAsia="Malgun Gothic"/>
          <w:bCs/>
          <w:lang w:val="fr-FR"/>
        </w:rPr>
        <w:t>G</w:t>
      </w:r>
      <w:r w:rsidR="005C511F" w:rsidRPr="003C1B1D">
        <w:rPr>
          <w:rFonts w:eastAsia="Malgun Gothic"/>
          <w:bCs/>
          <w:lang w:val="fr-FR"/>
        </w:rPr>
        <w:t>roupe électoral</w:t>
      </w:r>
      <w:r w:rsidR="00C10AE0" w:rsidRPr="003C1B1D">
        <w:rPr>
          <w:rFonts w:eastAsia="Malgun Gothic"/>
          <w:bCs/>
          <w:lang w:val="fr-FR"/>
        </w:rPr>
        <w:t> </w:t>
      </w:r>
      <w:r w:rsidR="005C511F" w:rsidRPr="003C1B1D">
        <w:rPr>
          <w:rFonts w:eastAsia="Malgun Gothic"/>
          <w:bCs/>
          <w:lang w:val="fr-FR"/>
        </w:rPr>
        <w:t>V(a) de la région Afrique, représentant 5,05</w:t>
      </w:r>
      <w:r w:rsidRPr="003C1B1D">
        <w:rPr>
          <w:rFonts w:eastAsia="Malgun Gothic"/>
          <w:bCs/>
          <w:lang w:val="fr-FR"/>
        </w:rPr>
        <w:t> </w:t>
      </w:r>
      <w:r w:rsidR="005C511F" w:rsidRPr="003C1B1D">
        <w:rPr>
          <w:rFonts w:eastAsia="Malgun Gothic"/>
          <w:bCs/>
          <w:lang w:val="fr-FR"/>
        </w:rPr>
        <w:t xml:space="preserve">millions de </w:t>
      </w:r>
      <w:r w:rsidR="00AA16C4" w:rsidRPr="003C1B1D">
        <w:rPr>
          <w:rFonts w:eastAsia="Malgun Gothic"/>
          <w:bCs/>
          <w:lang w:val="fr-FR"/>
        </w:rPr>
        <w:t>dollars des États-Unis</w:t>
      </w:r>
      <w:r w:rsidR="005C511F" w:rsidRPr="003C1B1D">
        <w:rPr>
          <w:rFonts w:eastAsia="Malgun Gothic"/>
          <w:bCs/>
          <w:lang w:val="fr-FR"/>
        </w:rPr>
        <w:t>, soit plus de la moitié du montant total des fonds accordés. Par ailleurs, une étape importante avait été franchie</w:t>
      </w:r>
      <w:r w:rsidR="00167A84" w:rsidRPr="003C1B1D">
        <w:rPr>
          <w:rFonts w:eastAsia="Malgun Gothic"/>
          <w:bCs/>
          <w:lang w:val="fr-FR"/>
        </w:rPr>
        <w:t xml:space="preserve"> avec</w:t>
      </w:r>
      <w:r w:rsidR="005C511F" w:rsidRPr="003C1B1D">
        <w:rPr>
          <w:rFonts w:eastAsia="Malgun Gothic"/>
          <w:bCs/>
          <w:lang w:val="fr-FR"/>
        </w:rPr>
        <w:t xml:space="preserve"> la première demande multinationale d</w:t>
      </w:r>
      <w:r w:rsidR="00923E72">
        <w:rPr>
          <w:rFonts w:eastAsia="Malgun Gothic"/>
          <w:bCs/>
          <w:lang w:val="fr-FR"/>
        </w:rPr>
        <w:t>’</w:t>
      </w:r>
      <w:r w:rsidR="005C511F" w:rsidRPr="003C1B1D">
        <w:rPr>
          <w:rFonts w:eastAsia="Malgun Gothic"/>
          <w:bCs/>
          <w:lang w:val="fr-FR"/>
        </w:rPr>
        <w:t>assistance internationale</w:t>
      </w:r>
      <w:r w:rsidR="002F62D9" w:rsidRPr="003C1B1D">
        <w:rPr>
          <w:rFonts w:eastAsia="Malgun Gothic"/>
          <w:bCs/>
          <w:lang w:val="fr-FR"/>
        </w:rPr>
        <w:t>,</w:t>
      </w:r>
      <w:r w:rsidR="005C511F" w:rsidRPr="003C1B1D">
        <w:rPr>
          <w:rFonts w:eastAsia="Malgun Gothic"/>
          <w:bCs/>
          <w:lang w:val="fr-FR"/>
        </w:rPr>
        <w:t xml:space="preserve"> soumise par les États parties de Belize, du Costa</w:t>
      </w:r>
      <w:r w:rsidRPr="003C1B1D">
        <w:rPr>
          <w:rFonts w:eastAsia="Malgun Gothic"/>
          <w:bCs/>
          <w:lang w:val="fr-FR"/>
        </w:rPr>
        <w:t> </w:t>
      </w:r>
      <w:r w:rsidR="005C511F" w:rsidRPr="003C1B1D">
        <w:rPr>
          <w:rFonts w:eastAsia="Malgun Gothic"/>
          <w:bCs/>
          <w:lang w:val="fr-FR"/>
        </w:rPr>
        <w:t>Rica, de Cuba,</w:t>
      </w:r>
      <w:r w:rsidR="00167A84" w:rsidRPr="003C1B1D">
        <w:rPr>
          <w:rFonts w:eastAsia="Malgun Gothic"/>
          <w:bCs/>
          <w:lang w:val="fr-FR"/>
        </w:rPr>
        <w:t xml:space="preserve"> </w:t>
      </w:r>
      <w:r w:rsidR="005C511F" w:rsidRPr="003C1B1D">
        <w:rPr>
          <w:rFonts w:eastAsia="Malgun Gothic"/>
          <w:bCs/>
          <w:lang w:val="fr-FR"/>
        </w:rPr>
        <w:t>d</w:t>
      </w:r>
      <w:r w:rsidR="00923E72">
        <w:rPr>
          <w:rFonts w:eastAsia="Malgun Gothic"/>
          <w:bCs/>
          <w:lang w:val="fr-FR"/>
        </w:rPr>
        <w:t>’</w:t>
      </w:r>
      <w:r w:rsidR="005C511F" w:rsidRPr="003C1B1D">
        <w:rPr>
          <w:rFonts w:eastAsia="Malgun Gothic"/>
          <w:bCs/>
          <w:lang w:val="fr-FR"/>
        </w:rPr>
        <w:t>El</w:t>
      </w:r>
      <w:r w:rsidRPr="003C1B1D">
        <w:rPr>
          <w:rFonts w:eastAsia="Malgun Gothic"/>
          <w:bCs/>
          <w:lang w:val="fr-FR"/>
        </w:rPr>
        <w:t> </w:t>
      </w:r>
      <w:r w:rsidR="005C511F" w:rsidRPr="003C1B1D">
        <w:rPr>
          <w:rFonts w:eastAsia="Malgun Gothic"/>
          <w:bCs/>
          <w:lang w:val="fr-FR"/>
        </w:rPr>
        <w:t>Salvador, du Guatemala, du Honduras, du Nicaragua</w:t>
      </w:r>
      <w:r w:rsidR="00AA16C4" w:rsidRPr="003C1B1D">
        <w:rPr>
          <w:rFonts w:eastAsia="Malgun Gothic"/>
          <w:bCs/>
          <w:lang w:val="fr-FR"/>
        </w:rPr>
        <w:t xml:space="preserve">, </w:t>
      </w:r>
      <w:r w:rsidR="005C511F" w:rsidRPr="003C1B1D">
        <w:rPr>
          <w:rFonts w:eastAsia="Malgun Gothic"/>
          <w:bCs/>
          <w:lang w:val="fr-FR"/>
        </w:rPr>
        <w:t>du Panama</w:t>
      </w:r>
      <w:r w:rsidR="00AA16C4" w:rsidRPr="003C1B1D">
        <w:rPr>
          <w:rFonts w:eastAsia="Malgun Gothic"/>
          <w:bCs/>
          <w:lang w:val="fr-FR"/>
        </w:rPr>
        <w:t xml:space="preserve"> et de la République dominicaine</w:t>
      </w:r>
      <w:r w:rsidR="005C511F" w:rsidRPr="003C1B1D">
        <w:rPr>
          <w:rFonts w:eastAsia="Malgun Gothic"/>
          <w:bCs/>
          <w:lang w:val="fr-FR"/>
        </w:rPr>
        <w:t>. Ce projet intitulé</w:t>
      </w:r>
      <w:r w:rsidR="00AA16C4" w:rsidRPr="003C1B1D">
        <w:rPr>
          <w:rFonts w:eastAsia="Malgun Gothic"/>
          <w:bCs/>
          <w:lang w:val="fr-FR"/>
        </w:rPr>
        <w:t xml:space="preserve"> « </w:t>
      </w:r>
      <w:r w:rsidR="005C511F" w:rsidRPr="003C1B1D">
        <w:rPr>
          <w:rFonts w:eastAsia="Malgun Gothic"/>
          <w:bCs/>
          <w:lang w:val="fr-FR"/>
        </w:rPr>
        <w:t xml:space="preserve">Renforcement des capacités des </w:t>
      </w:r>
      <w:r w:rsidR="00AA16C4" w:rsidRPr="003C1B1D">
        <w:rPr>
          <w:rFonts w:eastAsia="Malgun Gothic"/>
          <w:bCs/>
          <w:lang w:val="fr-FR"/>
        </w:rPr>
        <w:t xml:space="preserve">responsables </w:t>
      </w:r>
      <w:r w:rsidR="005C511F" w:rsidRPr="003C1B1D">
        <w:rPr>
          <w:rFonts w:eastAsia="Malgun Gothic"/>
          <w:bCs/>
          <w:lang w:val="fr-FR"/>
        </w:rPr>
        <w:t>communautaires et des administrateurs publics afin d</w:t>
      </w:r>
      <w:r w:rsidR="00923E72">
        <w:rPr>
          <w:rFonts w:eastAsia="Malgun Gothic"/>
          <w:bCs/>
          <w:lang w:val="fr-FR"/>
        </w:rPr>
        <w:t>’</w:t>
      </w:r>
      <w:r w:rsidR="005C511F" w:rsidRPr="003C1B1D">
        <w:rPr>
          <w:rFonts w:eastAsia="Malgun Gothic"/>
          <w:bCs/>
          <w:lang w:val="fr-FR"/>
        </w:rPr>
        <w:t>as</w:t>
      </w:r>
      <w:r w:rsidR="00AA16C4" w:rsidRPr="003C1B1D">
        <w:rPr>
          <w:rFonts w:eastAsia="Malgun Gothic"/>
          <w:bCs/>
          <w:lang w:val="fr-FR"/>
        </w:rPr>
        <w:t>s</w:t>
      </w:r>
      <w:r w:rsidR="005C511F" w:rsidRPr="003C1B1D">
        <w:rPr>
          <w:rFonts w:eastAsia="Malgun Gothic"/>
          <w:bCs/>
          <w:lang w:val="fr-FR"/>
        </w:rPr>
        <w:t>ure</w:t>
      </w:r>
      <w:r w:rsidR="00AA16C4" w:rsidRPr="003C1B1D">
        <w:rPr>
          <w:rFonts w:eastAsia="Malgun Gothic"/>
          <w:bCs/>
          <w:lang w:val="fr-FR"/>
        </w:rPr>
        <w:t xml:space="preserve">r </w:t>
      </w:r>
      <w:r w:rsidR="005C511F" w:rsidRPr="003C1B1D">
        <w:rPr>
          <w:rFonts w:eastAsia="Malgun Gothic"/>
          <w:bCs/>
          <w:lang w:val="fr-FR"/>
        </w:rPr>
        <w:t xml:space="preserve">la sauvegarde du patrimoine vivant des communautés afro-descendantes </w:t>
      </w:r>
      <w:r w:rsidR="00AA16C4" w:rsidRPr="003C1B1D">
        <w:rPr>
          <w:rFonts w:eastAsia="Malgun Gothic"/>
          <w:bCs/>
          <w:lang w:val="fr-FR"/>
        </w:rPr>
        <w:t xml:space="preserve">des pays </w:t>
      </w:r>
      <w:r w:rsidR="005C511F" w:rsidRPr="003C1B1D">
        <w:rPr>
          <w:rFonts w:eastAsia="Malgun Gothic"/>
          <w:bCs/>
          <w:lang w:val="fr-FR"/>
        </w:rPr>
        <w:t>du SICA et de Cuba</w:t>
      </w:r>
      <w:r w:rsidR="00AA16C4" w:rsidRPr="003C1B1D">
        <w:rPr>
          <w:rFonts w:eastAsia="Malgun Gothic"/>
          <w:bCs/>
          <w:lang w:val="fr-FR"/>
        </w:rPr>
        <w:t> »</w:t>
      </w:r>
      <w:r w:rsidR="005C511F" w:rsidRPr="003C1B1D">
        <w:rPr>
          <w:rFonts w:eastAsia="Malgun Gothic"/>
          <w:bCs/>
          <w:lang w:val="fr-FR"/>
        </w:rPr>
        <w:t xml:space="preserve"> avait été approuvé par le Bureau en octobre</w:t>
      </w:r>
      <w:r w:rsidRPr="003C1B1D">
        <w:rPr>
          <w:rFonts w:eastAsia="Malgun Gothic"/>
          <w:bCs/>
          <w:lang w:val="fr-FR"/>
        </w:rPr>
        <w:t> </w:t>
      </w:r>
      <w:r w:rsidR="005C511F" w:rsidRPr="003C1B1D">
        <w:rPr>
          <w:rFonts w:eastAsia="Malgun Gothic"/>
          <w:bCs/>
          <w:lang w:val="fr-FR"/>
        </w:rPr>
        <w:t>2022. Ce projet permettrait de renforcer davantage la coopération régionale en matière de sauvegarde du patrimoine culturel immatériel. La réflexion globale sur les mécanismes d</w:t>
      </w:r>
      <w:r w:rsidR="00923E72">
        <w:rPr>
          <w:rFonts w:eastAsia="Malgun Gothic"/>
          <w:bCs/>
          <w:lang w:val="fr-FR"/>
        </w:rPr>
        <w:t>’</w:t>
      </w:r>
      <w:r w:rsidR="005C511F" w:rsidRPr="003C1B1D">
        <w:rPr>
          <w:rFonts w:eastAsia="Malgun Gothic"/>
          <w:bCs/>
          <w:lang w:val="fr-FR"/>
        </w:rPr>
        <w:t xml:space="preserve">inscription avait </w:t>
      </w:r>
      <w:r w:rsidR="00AA16C4" w:rsidRPr="003C1B1D">
        <w:rPr>
          <w:rFonts w:eastAsia="Malgun Gothic"/>
          <w:bCs/>
          <w:lang w:val="fr-FR"/>
        </w:rPr>
        <w:t xml:space="preserve">abouti à </w:t>
      </w:r>
      <w:r w:rsidR="005C511F" w:rsidRPr="003C1B1D">
        <w:rPr>
          <w:rFonts w:eastAsia="Malgun Gothic"/>
          <w:bCs/>
          <w:lang w:val="fr-FR"/>
        </w:rPr>
        <w:t>un élargissement des modalités du mécanisme d</w:t>
      </w:r>
      <w:r w:rsidR="00923E72">
        <w:rPr>
          <w:rFonts w:eastAsia="Malgun Gothic"/>
          <w:bCs/>
          <w:lang w:val="fr-FR"/>
        </w:rPr>
        <w:t>’</w:t>
      </w:r>
      <w:r w:rsidR="005C511F" w:rsidRPr="003C1B1D">
        <w:rPr>
          <w:rFonts w:eastAsia="Malgun Gothic"/>
          <w:bCs/>
          <w:lang w:val="fr-FR"/>
        </w:rPr>
        <w:t>assistance internationale, ce qui se traduisait par un soutien renouvelé à la disposition des États parties, tel que</w:t>
      </w:r>
      <w:r w:rsidR="00AA16C4" w:rsidRPr="003C1B1D">
        <w:rPr>
          <w:rFonts w:eastAsia="Malgun Gothic"/>
          <w:bCs/>
          <w:lang w:val="fr-FR"/>
        </w:rPr>
        <w:t> </w:t>
      </w:r>
      <w:r w:rsidR="005C511F" w:rsidRPr="003C1B1D">
        <w:rPr>
          <w:rFonts w:eastAsia="Malgun Gothic"/>
          <w:bCs/>
          <w:lang w:val="fr-FR"/>
        </w:rPr>
        <w:t>: i)</w:t>
      </w:r>
      <w:r w:rsidR="00AA16C4" w:rsidRPr="003C1B1D">
        <w:rPr>
          <w:rFonts w:eastAsia="Malgun Gothic"/>
          <w:bCs/>
          <w:lang w:val="fr-FR"/>
        </w:rPr>
        <w:t> </w:t>
      </w:r>
      <w:r w:rsidRPr="003C1B1D">
        <w:rPr>
          <w:rFonts w:eastAsia="Malgun Gothic"/>
          <w:bCs/>
          <w:lang w:val="fr-FR"/>
        </w:rPr>
        <w:t>l</w:t>
      </w:r>
      <w:r w:rsidR="00923E72">
        <w:rPr>
          <w:rFonts w:eastAsia="Malgun Gothic"/>
          <w:bCs/>
          <w:lang w:val="fr-FR"/>
        </w:rPr>
        <w:t>’</w:t>
      </w:r>
      <w:r w:rsidRPr="003C1B1D">
        <w:rPr>
          <w:rFonts w:eastAsia="Malgun Gothic"/>
          <w:bCs/>
          <w:lang w:val="fr-FR"/>
        </w:rPr>
        <w:t xml:space="preserve">assistance </w:t>
      </w:r>
      <w:r w:rsidR="005C511F" w:rsidRPr="003C1B1D">
        <w:rPr>
          <w:rFonts w:eastAsia="Malgun Gothic"/>
          <w:bCs/>
          <w:lang w:val="fr-FR"/>
        </w:rPr>
        <w:t>préparatoire pour l</w:t>
      </w:r>
      <w:r w:rsidR="00923E72">
        <w:rPr>
          <w:rFonts w:eastAsia="Malgun Gothic"/>
          <w:bCs/>
          <w:lang w:val="fr-FR"/>
        </w:rPr>
        <w:t>’</w:t>
      </w:r>
      <w:r w:rsidR="005C511F" w:rsidRPr="003C1B1D">
        <w:rPr>
          <w:rFonts w:eastAsia="Malgun Gothic"/>
          <w:bCs/>
          <w:lang w:val="fr-FR"/>
        </w:rPr>
        <w:t>élaboration des demandes de transfert d</w:t>
      </w:r>
      <w:r w:rsidR="00923E72">
        <w:rPr>
          <w:rFonts w:eastAsia="Malgun Gothic"/>
          <w:bCs/>
          <w:lang w:val="fr-FR"/>
        </w:rPr>
        <w:t>’</w:t>
      </w:r>
      <w:r w:rsidR="005C511F" w:rsidRPr="003C1B1D">
        <w:rPr>
          <w:rFonts w:eastAsia="Malgun Gothic"/>
          <w:bCs/>
          <w:lang w:val="fr-FR"/>
        </w:rPr>
        <w:t>un élément d</w:t>
      </w:r>
      <w:r w:rsidR="00923E72">
        <w:rPr>
          <w:rFonts w:eastAsia="Malgun Gothic"/>
          <w:bCs/>
          <w:lang w:val="fr-FR"/>
        </w:rPr>
        <w:t>’</w:t>
      </w:r>
      <w:r w:rsidR="005C511F" w:rsidRPr="003C1B1D">
        <w:rPr>
          <w:rFonts w:eastAsia="Malgun Gothic"/>
          <w:bCs/>
          <w:lang w:val="fr-FR"/>
        </w:rPr>
        <w:t>une liste à l</w:t>
      </w:r>
      <w:r w:rsidR="00923E72">
        <w:rPr>
          <w:rFonts w:eastAsia="Malgun Gothic"/>
          <w:bCs/>
          <w:lang w:val="fr-FR"/>
        </w:rPr>
        <w:t>’</w:t>
      </w:r>
      <w:r w:rsidR="005C511F" w:rsidRPr="003C1B1D">
        <w:rPr>
          <w:rFonts w:eastAsia="Malgun Gothic"/>
          <w:bCs/>
          <w:lang w:val="fr-FR"/>
        </w:rPr>
        <w:t>autre</w:t>
      </w:r>
      <w:r w:rsidR="00AA16C4" w:rsidRPr="003C1B1D">
        <w:rPr>
          <w:rFonts w:eastAsia="Malgun Gothic"/>
          <w:bCs/>
          <w:lang w:val="fr-FR"/>
        </w:rPr>
        <w:t> </w:t>
      </w:r>
      <w:r w:rsidR="005C511F" w:rsidRPr="003C1B1D">
        <w:rPr>
          <w:rFonts w:eastAsia="Malgun Gothic"/>
          <w:bCs/>
          <w:lang w:val="fr-FR"/>
        </w:rPr>
        <w:t>; ii)</w:t>
      </w:r>
      <w:r w:rsidR="00AA16C4" w:rsidRPr="003C1B1D">
        <w:rPr>
          <w:rFonts w:eastAsia="Malgun Gothic"/>
          <w:bCs/>
          <w:lang w:val="fr-FR"/>
        </w:rPr>
        <w:t> </w:t>
      </w:r>
      <w:r w:rsidR="005C511F" w:rsidRPr="003C1B1D">
        <w:rPr>
          <w:rFonts w:eastAsia="Malgun Gothic"/>
          <w:bCs/>
          <w:lang w:val="fr-FR"/>
        </w:rPr>
        <w:t>l</w:t>
      </w:r>
      <w:r w:rsidR="00923E72">
        <w:rPr>
          <w:rFonts w:eastAsia="Malgun Gothic"/>
          <w:bCs/>
          <w:lang w:val="fr-FR"/>
        </w:rPr>
        <w:t>’</w:t>
      </w:r>
      <w:r w:rsidR="005C511F" w:rsidRPr="003C1B1D">
        <w:rPr>
          <w:rFonts w:eastAsia="Malgun Gothic"/>
          <w:bCs/>
          <w:lang w:val="fr-FR"/>
        </w:rPr>
        <w:t>assistance préparatoire pour l</w:t>
      </w:r>
      <w:r w:rsidR="00923E72">
        <w:rPr>
          <w:rFonts w:eastAsia="Malgun Gothic"/>
          <w:bCs/>
          <w:lang w:val="fr-FR"/>
        </w:rPr>
        <w:t>’</w:t>
      </w:r>
      <w:r w:rsidR="005C511F" w:rsidRPr="003C1B1D">
        <w:rPr>
          <w:rFonts w:eastAsia="Malgun Gothic"/>
          <w:bCs/>
          <w:lang w:val="fr-FR"/>
        </w:rPr>
        <w:t xml:space="preserve">élaboration des demandes de dossiers de candidature sur une base </w:t>
      </w:r>
      <w:r w:rsidR="005C68F1" w:rsidRPr="003C1B1D">
        <w:rPr>
          <w:rFonts w:eastAsia="Malgun Gothic"/>
          <w:bCs/>
          <w:lang w:val="fr-FR"/>
        </w:rPr>
        <w:t xml:space="preserve">élargie </w:t>
      </w:r>
      <w:r w:rsidR="005C511F" w:rsidRPr="003C1B1D">
        <w:rPr>
          <w:rFonts w:eastAsia="Malgun Gothic"/>
          <w:bCs/>
          <w:lang w:val="fr-FR"/>
        </w:rPr>
        <w:t>ou réduite pour les éléments déjà inscrits</w:t>
      </w:r>
      <w:r w:rsidR="00AA16C4" w:rsidRPr="003C1B1D">
        <w:rPr>
          <w:rFonts w:eastAsia="Malgun Gothic"/>
          <w:bCs/>
          <w:lang w:val="fr-FR"/>
        </w:rPr>
        <w:t> </w:t>
      </w:r>
      <w:r w:rsidR="005C511F" w:rsidRPr="003C1B1D">
        <w:rPr>
          <w:rFonts w:eastAsia="Malgun Gothic"/>
          <w:bCs/>
          <w:lang w:val="fr-FR"/>
        </w:rPr>
        <w:t>; iii)</w:t>
      </w:r>
      <w:r w:rsidR="00AA16C4" w:rsidRPr="003C1B1D">
        <w:rPr>
          <w:rFonts w:eastAsia="Malgun Gothic"/>
          <w:bCs/>
          <w:lang w:val="fr-FR"/>
        </w:rPr>
        <w:t> </w:t>
      </w:r>
      <w:r w:rsidR="005C511F" w:rsidRPr="003C1B1D">
        <w:rPr>
          <w:rFonts w:eastAsia="Malgun Gothic"/>
          <w:bCs/>
          <w:lang w:val="fr-FR"/>
        </w:rPr>
        <w:t>l</w:t>
      </w:r>
      <w:r w:rsidR="00923E72">
        <w:rPr>
          <w:rFonts w:eastAsia="Malgun Gothic"/>
          <w:bCs/>
          <w:lang w:val="fr-FR"/>
        </w:rPr>
        <w:t>’</w:t>
      </w:r>
      <w:r w:rsidR="005C511F" w:rsidRPr="003C1B1D">
        <w:rPr>
          <w:rFonts w:eastAsia="Malgun Gothic"/>
          <w:bCs/>
          <w:lang w:val="fr-FR"/>
        </w:rPr>
        <w:t>assistance internationale pour demander le transfert d</w:t>
      </w:r>
      <w:r w:rsidR="00923E72">
        <w:rPr>
          <w:rFonts w:eastAsia="Malgun Gothic"/>
          <w:bCs/>
          <w:lang w:val="fr-FR"/>
        </w:rPr>
        <w:t>’</w:t>
      </w:r>
      <w:r w:rsidR="005C511F" w:rsidRPr="003C1B1D">
        <w:rPr>
          <w:rFonts w:eastAsia="Malgun Gothic"/>
          <w:bCs/>
          <w:lang w:val="fr-FR"/>
        </w:rPr>
        <w:t>un élément de la Liste représentative à la Liste de sauvegarde urgente</w:t>
      </w:r>
      <w:r w:rsidR="00AA16C4" w:rsidRPr="003C1B1D">
        <w:rPr>
          <w:rFonts w:eastAsia="Malgun Gothic"/>
          <w:bCs/>
          <w:lang w:val="fr-FR"/>
        </w:rPr>
        <w:t> </w:t>
      </w:r>
      <w:r w:rsidR="005C511F" w:rsidRPr="003C1B1D">
        <w:rPr>
          <w:rFonts w:eastAsia="Malgun Gothic"/>
          <w:bCs/>
          <w:lang w:val="fr-FR"/>
        </w:rPr>
        <w:t>; et iv)</w:t>
      </w:r>
      <w:r w:rsidR="00AA16C4" w:rsidRPr="003C1B1D">
        <w:rPr>
          <w:rFonts w:eastAsia="Malgun Gothic"/>
          <w:bCs/>
          <w:lang w:val="fr-FR"/>
        </w:rPr>
        <w:t> </w:t>
      </w:r>
      <w:r w:rsidR="005C511F" w:rsidRPr="003C1B1D">
        <w:rPr>
          <w:rFonts w:eastAsia="Malgun Gothic"/>
          <w:bCs/>
          <w:lang w:val="fr-FR"/>
        </w:rPr>
        <w:t>les États parties pouvaient désormais soumettre une demande d</w:t>
      </w:r>
      <w:r w:rsidR="00923E72">
        <w:rPr>
          <w:rFonts w:eastAsia="Malgun Gothic"/>
          <w:bCs/>
          <w:lang w:val="fr-FR"/>
        </w:rPr>
        <w:t>’</w:t>
      </w:r>
      <w:r w:rsidR="005C511F" w:rsidRPr="003C1B1D">
        <w:rPr>
          <w:rFonts w:eastAsia="Malgun Gothic"/>
          <w:bCs/>
          <w:lang w:val="fr-FR"/>
        </w:rPr>
        <w:t>assistance internationale d</w:t>
      </w:r>
      <w:r w:rsidR="00923E72">
        <w:rPr>
          <w:rFonts w:eastAsia="Malgun Gothic"/>
          <w:bCs/>
          <w:lang w:val="fr-FR"/>
        </w:rPr>
        <w:t>’</w:t>
      </w:r>
      <w:r w:rsidR="005C511F" w:rsidRPr="003C1B1D">
        <w:rPr>
          <w:rFonts w:eastAsia="Malgun Gothic"/>
          <w:bCs/>
          <w:lang w:val="fr-FR"/>
        </w:rPr>
        <w:t>un montant maximum de</w:t>
      </w:r>
      <w:r w:rsidR="00C10AE0" w:rsidRPr="003C1B1D">
        <w:rPr>
          <w:rFonts w:eastAsia="Malgun Gothic"/>
          <w:bCs/>
          <w:lang w:val="fr-FR"/>
        </w:rPr>
        <w:t> </w:t>
      </w:r>
      <w:r w:rsidR="005C511F" w:rsidRPr="003C1B1D">
        <w:rPr>
          <w:rFonts w:eastAsia="Malgun Gothic"/>
          <w:bCs/>
          <w:lang w:val="fr-FR"/>
        </w:rPr>
        <w:t>100</w:t>
      </w:r>
      <w:r w:rsidR="00AA16C4" w:rsidRPr="003C1B1D">
        <w:rPr>
          <w:rFonts w:eastAsia="Malgun Gothic"/>
          <w:bCs/>
          <w:lang w:val="fr-FR"/>
        </w:rPr>
        <w:t> </w:t>
      </w:r>
      <w:r w:rsidR="005C511F" w:rsidRPr="003C1B1D">
        <w:rPr>
          <w:rFonts w:eastAsia="Malgun Gothic"/>
          <w:bCs/>
          <w:lang w:val="fr-FR"/>
        </w:rPr>
        <w:t>000</w:t>
      </w:r>
      <w:r w:rsidR="00AA16C4" w:rsidRPr="003C1B1D">
        <w:rPr>
          <w:rFonts w:eastAsia="Malgun Gothic"/>
          <w:bCs/>
          <w:lang w:val="fr-FR"/>
        </w:rPr>
        <w:t> dollars des États</w:t>
      </w:r>
      <w:r w:rsidRPr="003C1B1D">
        <w:rPr>
          <w:rFonts w:eastAsia="Malgun Gothic"/>
          <w:bCs/>
          <w:lang w:val="fr-FR"/>
        </w:rPr>
        <w:t>-</w:t>
      </w:r>
      <w:r w:rsidR="00AA16C4" w:rsidRPr="003C1B1D">
        <w:rPr>
          <w:rFonts w:eastAsia="Malgun Gothic"/>
          <w:bCs/>
          <w:lang w:val="fr-FR"/>
        </w:rPr>
        <w:t xml:space="preserve">Unis </w:t>
      </w:r>
      <w:r w:rsidR="005C511F" w:rsidRPr="003C1B1D">
        <w:rPr>
          <w:rFonts w:eastAsia="Malgun Gothic"/>
          <w:bCs/>
          <w:lang w:val="fr-FR"/>
        </w:rPr>
        <w:t>à tout moment de l</w:t>
      </w:r>
      <w:r w:rsidR="00923E72">
        <w:rPr>
          <w:rFonts w:eastAsia="Malgun Gothic"/>
          <w:bCs/>
          <w:lang w:val="fr-FR"/>
        </w:rPr>
        <w:t>’</w:t>
      </w:r>
      <w:r w:rsidR="005C511F" w:rsidRPr="003C1B1D">
        <w:rPr>
          <w:rFonts w:eastAsia="Malgun Gothic"/>
          <w:bCs/>
          <w:lang w:val="fr-FR"/>
        </w:rPr>
        <w:t xml:space="preserve">année, pour examen par le Bureau du Comité. Les États parties étaient donc invités à tirer parti de ces nouvelles possibilités. </w:t>
      </w:r>
      <w:r w:rsidR="00167A84" w:rsidRPr="003C1B1D">
        <w:rPr>
          <w:rFonts w:eastAsia="Malgun Gothic"/>
          <w:bCs/>
          <w:lang w:val="fr-FR"/>
        </w:rPr>
        <w:t xml:space="preserve">Il </w:t>
      </w:r>
      <w:r w:rsidR="005C511F" w:rsidRPr="003C1B1D">
        <w:rPr>
          <w:rFonts w:eastAsia="Malgun Gothic"/>
          <w:bCs/>
          <w:lang w:val="fr-FR"/>
        </w:rPr>
        <w:t xml:space="preserve">a </w:t>
      </w:r>
      <w:r w:rsidR="00167A84" w:rsidRPr="003C1B1D">
        <w:rPr>
          <w:rFonts w:eastAsia="Malgun Gothic"/>
          <w:bCs/>
          <w:lang w:val="fr-FR"/>
        </w:rPr>
        <w:t xml:space="preserve">été </w:t>
      </w:r>
      <w:r w:rsidR="005C511F" w:rsidRPr="003C1B1D">
        <w:rPr>
          <w:rFonts w:eastAsia="Malgun Gothic"/>
          <w:bCs/>
          <w:lang w:val="fr-FR"/>
        </w:rPr>
        <w:t>rappelé que le Secrétariat poursuivait ses actions de promotion du mécanisme d</w:t>
      </w:r>
      <w:r w:rsidR="00923E72">
        <w:rPr>
          <w:rFonts w:eastAsia="Malgun Gothic"/>
          <w:bCs/>
          <w:lang w:val="fr-FR"/>
        </w:rPr>
        <w:t>’</w:t>
      </w:r>
      <w:r w:rsidR="005C511F" w:rsidRPr="003C1B1D">
        <w:rPr>
          <w:rFonts w:eastAsia="Malgun Gothic"/>
          <w:bCs/>
          <w:lang w:val="fr-FR"/>
        </w:rPr>
        <w:t>assistance internationale par le développement d</w:t>
      </w:r>
      <w:r w:rsidR="00923E72">
        <w:rPr>
          <w:rFonts w:eastAsia="Malgun Gothic"/>
          <w:bCs/>
          <w:lang w:val="fr-FR"/>
        </w:rPr>
        <w:t>’</w:t>
      </w:r>
      <w:r w:rsidR="005C511F" w:rsidRPr="003C1B1D">
        <w:rPr>
          <w:rFonts w:eastAsia="Malgun Gothic"/>
          <w:bCs/>
          <w:lang w:val="fr-FR"/>
        </w:rPr>
        <w:t>outils de communication tels que le</w:t>
      </w:r>
      <w:r w:rsidR="00AA16C4" w:rsidRPr="003C1B1D">
        <w:rPr>
          <w:rFonts w:eastAsia="Malgun Gothic"/>
          <w:bCs/>
          <w:lang w:val="fr-FR"/>
        </w:rPr>
        <w:t xml:space="preserve"> « Guide pour faire une demande d</w:t>
      </w:r>
      <w:r w:rsidR="00923E72">
        <w:rPr>
          <w:rFonts w:eastAsia="Malgun Gothic"/>
          <w:bCs/>
          <w:lang w:val="fr-FR"/>
        </w:rPr>
        <w:t>’</w:t>
      </w:r>
      <w:r w:rsidR="00AA16C4" w:rsidRPr="003C1B1D">
        <w:rPr>
          <w:rFonts w:eastAsia="Malgun Gothic"/>
          <w:bCs/>
          <w:lang w:val="fr-FR"/>
        </w:rPr>
        <w:t>assistance internationale de la Convention de</w:t>
      </w:r>
      <w:r w:rsidR="006773EF" w:rsidRPr="003C1B1D">
        <w:rPr>
          <w:rFonts w:eastAsia="Malgun Gothic"/>
          <w:bCs/>
          <w:lang w:val="fr-FR"/>
        </w:rPr>
        <w:t> </w:t>
      </w:r>
      <w:r w:rsidR="00AA16C4" w:rsidRPr="003C1B1D">
        <w:rPr>
          <w:rFonts w:eastAsia="Malgun Gothic"/>
          <w:bCs/>
          <w:lang w:val="fr-FR"/>
        </w:rPr>
        <w:t>2003 pour la sauvegarde du patrimoine culturel immatériel »</w:t>
      </w:r>
      <w:r w:rsidR="00AA16C4" w:rsidRPr="003C1B1D">
        <w:rPr>
          <w:rStyle w:val="FootnoteReference"/>
          <w:rFonts w:eastAsia="Malgun Gothic"/>
          <w:bCs/>
          <w:lang w:val="fr-FR"/>
        </w:rPr>
        <w:footnoteReference w:id="21"/>
      </w:r>
      <w:r w:rsidR="005C511F" w:rsidRPr="003C1B1D">
        <w:rPr>
          <w:rFonts w:eastAsia="Malgun Gothic"/>
          <w:bCs/>
          <w:lang w:val="fr-FR"/>
        </w:rPr>
        <w:t xml:space="preserve">. Parallèlement, une </w:t>
      </w:r>
      <w:r w:rsidR="00481A17" w:rsidRPr="003C1B1D">
        <w:rPr>
          <w:rFonts w:eastAsia="Malgun Gothic"/>
          <w:bCs/>
          <w:lang w:val="fr-FR"/>
        </w:rPr>
        <w:t>« </w:t>
      </w:r>
      <w:r w:rsidR="005C511F" w:rsidRPr="003C1B1D">
        <w:rPr>
          <w:rFonts w:eastAsia="Malgun Gothic"/>
          <w:bCs/>
          <w:lang w:val="fr-FR"/>
        </w:rPr>
        <w:t>Stratégie pour le suivi, l</w:t>
      </w:r>
      <w:r w:rsidR="00923E72">
        <w:rPr>
          <w:rFonts w:eastAsia="Malgun Gothic"/>
          <w:bCs/>
          <w:lang w:val="fr-FR"/>
        </w:rPr>
        <w:t>’</w:t>
      </w:r>
      <w:r w:rsidR="005C511F" w:rsidRPr="003C1B1D">
        <w:rPr>
          <w:rFonts w:eastAsia="Malgun Gothic"/>
          <w:bCs/>
          <w:lang w:val="fr-FR"/>
        </w:rPr>
        <w:t>évaluation et l</w:t>
      </w:r>
      <w:r w:rsidR="00923E72">
        <w:rPr>
          <w:rFonts w:eastAsia="Malgun Gothic"/>
          <w:bCs/>
          <w:lang w:val="fr-FR"/>
        </w:rPr>
        <w:t>’</w:t>
      </w:r>
      <w:r w:rsidR="005C511F" w:rsidRPr="003C1B1D">
        <w:rPr>
          <w:rFonts w:eastAsia="Malgun Gothic"/>
          <w:bCs/>
          <w:lang w:val="fr-FR"/>
        </w:rPr>
        <w:t>identification des enseignements tirés des projets d</w:t>
      </w:r>
      <w:r w:rsidR="00923E72">
        <w:rPr>
          <w:rFonts w:eastAsia="Malgun Gothic"/>
          <w:bCs/>
          <w:lang w:val="fr-FR"/>
        </w:rPr>
        <w:t>’</w:t>
      </w:r>
      <w:r w:rsidR="005C511F" w:rsidRPr="003C1B1D">
        <w:rPr>
          <w:rFonts w:eastAsia="Malgun Gothic"/>
          <w:bCs/>
          <w:lang w:val="fr-FR"/>
        </w:rPr>
        <w:t>assistance internationale</w:t>
      </w:r>
      <w:r w:rsidR="00481A17" w:rsidRPr="003C1B1D">
        <w:rPr>
          <w:rFonts w:eastAsia="Malgun Gothic"/>
          <w:bCs/>
          <w:lang w:val="fr-FR"/>
        </w:rPr>
        <w:t> »</w:t>
      </w:r>
      <w:r w:rsidR="005C511F" w:rsidRPr="003C1B1D">
        <w:rPr>
          <w:rFonts w:eastAsia="Malgun Gothic"/>
          <w:bCs/>
          <w:lang w:val="fr-FR"/>
        </w:rPr>
        <w:t xml:space="preserve"> serait présentée à la présente session du Comité au titre du point</w:t>
      </w:r>
      <w:r w:rsidR="003C1B1D">
        <w:rPr>
          <w:rFonts w:eastAsia="Malgun Gothic"/>
          <w:bCs/>
          <w:lang w:val="fr-FR"/>
        </w:rPr>
        <w:t> 11.</w:t>
      </w:r>
    </w:p>
    <w:p w14:paraId="3CCD4520" w14:textId="1CBBB35A" w:rsidR="00481A17" w:rsidRDefault="00210B8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210B80">
        <w:rPr>
          <w:rFonts w:eastAsia="Malgun Gothic"/>
          <w:b/>
          <w:lang w:val="fr-FR"/>
        </w:rPr>
        <w:t>Président</w:t>
      </w:r>
      <w:r>
        <w:rPr>
          <w:rFonts w:eastAsia="Malgun Gothic"/>
          <w:bCs/>
          <w:lang w:val="fr-FR"/>
        </w:rPr>
        <w:t xml:space="preserve"> a remercié le </w:t>
      </w:r>
      <w:r w:rsidRPr="00210B80">
        <w:rPr>
          <w:rFonts w:eastAsia="Malgun Gothic"/>
          <w:bCs/>
          <w:lang w:val="fr-FR"/>
        </w:rPr>
        <w:t>Secréta</w:t>
      </w:r>
      <w:r>
        <w:rPr>
          <w:rFonts w:eastAsia="Malgun Gothic"/>
          <w:bCs/>
          <w:lang w:val="fr-FR"/>
        </w:rPr>
        <w:t>riat et a donné la parole aux orateurs afin qu</w:t>
      </w:r>
      <w:r w:rsidR="00923E72">
        <w:rPr>
          <w:rFonts w:eastAsia="Malgun Gothic"/>
          <w:bCs/>
          <w:lang w:val="fr-FR"/>
        </w:rPr>
        <w:t>’</w:t>
      </w:r>
      <w:r>
        <w:rPr>
          <w:rFonts w:eastAsia="Malgun Gothic"/>
          <w:bCs/>
          <w:lang w:val="fr-FR"/>
        </w:rPr>
        <w:t xml:space="preserve">ils </w:t>
      </w:r>
      <w:r w:rsidR="0098046B">
        <w:rPr>
          <w:rFonts w:eastAsia="Malgun Gothic"/>
          <w:bCs/>
          <w:lang w:val="fr-FR"/>
        </w:rPr>
        <w:t xml:space="preserve">fassent part de leurs </w:t>
      </w:r>
      <w:r w:rsidRPr="00210B80">
        <w:rPr>
          <w:rFonts w:eastAsia="Malgun Gothic"/>
          <w:bCs/>
          <w:lang w:val="fr-FR"/>
        </w:rPr>
        <w:t>commentaires</w:t>
      </w:r>
      <w:r>
        <w:rPr>
          <w:rFonts w:eastAsia="Malgun Gothic"/>
          <w:bCs/>
          <w:lang w:val="fr-FR"/>
        </w:rPr>
        <w:t>.</w:t>
      </w:r>
    </w:p>
    <w:p w14:paraId="48ACD438" w14:textId="524B8104" w:rsidR="00210B80" w:rsidRDefault="00210B8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210B80">
        <w:rPr>
          <w:rFonts w:eastAsia="Malgun Gothic"/>
          <w:bCs/>
          <w:lang w:val="fr-FR"/>
        </w:rPr>
        <w:t>La délégation de l</w:t>
      </w:r>
      <w:r w:rsidR="00923E72">
        <w:rPr>
          <w:rFonts w:eastAsia="Malgun Gothic"/>
          <w:bCs/>
          <w:lang w:val="fr-FR"/>
        </w:rPr>
        <w:t>’</w:t>
      </w:r>
      <w:r w:rsidRPr="00210B80">
        <w:rPr>
          <w:rFonts w:eastAsia="Malgun Gothic"/>
          <w:b/>
          <w:lang w:val="fr-FR"/>
        </w:rPr>
        <w:t>Éthiopie</w:t>
      </w:r>
      <w:r w:rsidRPr="00210B80">
        <w:rPr>
          <w:rFonts w:eastAsia="Malgun Gothic"/>
          <w:bCs/>
          <w:lang w:val="fr-FR"/>
        </w:rPr>
        <w:t xml:space="preserve"> </w:t>
      </w:r>
      <w:r>
        <w:rPr>
          <w:rFonts w:eastAsia="Malgun Gothic"/>
          <w:bCs/>
          <w:lang w:val="fr-FR"/>
        </w:rPr>
        <w:t>s</w:t>
      </w:r>
      <w:r w:rsidR="00923E72">
        <w:rPr>
          <w:rFonts w:eastAsia="Malgun Gothic"/>
          <w:bCs/>
          <w:lang w:val="fr-FR"/>
        </w:rPr>
        <w:t>’</w:t>
      </w:r>
      <w:r>
        <w:rPr>
          <w:rFonts w:eastAsia="Malgun Gothic"/>
          <w:bCs/>
          <w:lang w:val="fr-FR"/>
        </w:rPr>
        <w:t xml:space="preserve">est dite satisfaite </w:t>
      </w:r>
      <w:r w:rsidRPr="00210B80">
        <w:rPr>
          <w:rFonts w:eastAsia="Malgun Gothic"/>
          <w:bCs/>
          <w:lang w:val="fr-FR"/>
        </w:rPr>
        <w:t xml:space="preserve">que le </w:t>
      </w:r>
      <w:r w:rsidR="005E369B">
        <w:rPr>
          <w:rFonts w:eastAsia="Malgun Gothic"/>
          <w:bCs/>
          <w:lang w:val="fr-FR"/>
        </w:rPr>
        <w:t>G</w:t>
      </w:r>
      <w:r w:rsidRPr="00210B80">
        <w:rPr>
          <w:rFonts w:eastAsia="Malgun Gothic"/>
          <w:bCs/>
          <w:lang w:val="fr-FR"/>
        </w:rPr>
        <w:t>roupe électoral</w:t>
      </w:r>
      <w:r w:rsidR="00C10AE0">
        <w:rPr>
          <w:rFonts w:eastAsia="Malgun Gothic"/>
          <w:bCs/>
          <w:lang w:val="fr-FR"/>
        </w:rPr>
        <w:t> </w:t>
      </w:r>
      <w:r w:rsidRPr="00210B80">
        <w:rPr>
          <w:rFonts w:eastAsia="Malgun Gothic"/>
          <w:bCs/>
          <w:lang w:val="fr-FR"/>
        </w:rPr>
        <w:t xml:space="preserve">V(a) ait bénéficié du Fonds du </w:t>
      </w:r>
      <w:r w:rsidR="00167A84">
        <w:rPr>
          <w:rFonts w:eastAsia="Malgun Gothic"/>
          <w:bCs/>
          <w:lang w:val="fr-FR"/>
        </w:rPr>
        <w:t xml:space="preserve">PCI </w:t>
      </w:r>
      <w:r w:rsidRPr="00210B80">
        <w:rPr>
          <w:rFonts w:eastAsia="Malgun Gothic"/>
          <w:bCs/>
          <w:lang w:val="fr-FR"/>
        </w:rPr>
        <w:t>par le biais de la priorité globale Afrique de l</w:t>
      </w:r>
      <w:r w:rsidR="00923E72">
        <w:rPr>
          <w:rFonts w:eastAsia="Malgun Gothic"/>
          <w:bCs/>
          <w:lang w:val="fr-FR"/>
        </w:rPr>
        <w:t>’</w:t>
      </w:r>
      <w:r w:rsidRPr="00210B80">
        <w:rPr>
          <w:rFonts w:eastAsia="Malgun Gothic"/>
          <w:bCs/>
          <w:lang w:val="fr-FR"/>
        </w:rPr>
        <w:t xml:space="preserve">UNESCO. Elle appréciait le projet de décision dans lequel il était dit que les États parties du </w:t>
      </w:r>
      <w:r w:rsidR="005E369B">
        <w:rPr>
          <w:rFonts w:eastAsia="Malgun Gothic"/>
          <w:bCs/>
          <w:lang w:val="fr-FR"/>
        </w:rPr>
        <w:t>G</w:t>
      </w:r>
      <w:r w:rsidRPr="00210B80">
        <w:rPr>
          <w:rFonts w:eastAsia="Malgun Gothic"/>
          <w:bCs/>
          <w:lang w:val="fr-FR"/>
        </w:rPr>
        <w:t>roupe électoral</w:t>
      </w:r>
      <w:r w:rsidR="00C10AE0">
        <w:rPr>
          <w:rFonts w:eastAsia="Malgun Gothic"/>
          <w:bCs/>
          <w:lang w:val="fr-FR"/>
        </w:rPr>
        <w:t> </w:t>
      </w:r>
      <w:r w:rsidRPr="00210B80">
        <w:rPr>
          <w:rFonts w:eastAsia="Malgun Gothic"/>
          <w:bCs/>
          <w:lang w:val="fr-FR"/>
        </w:rPr>
        <w:t>V(a) continueraient à être les principaux bénéficiaires de l</w:t>
      </w:r>
      <w:r w:rsidR="00923E72">
        <w:rPr>
          <w:rFonts w:eastAsia="Malgun Gothic"/>
          <w:bCs/>
          <w:lang w:val="fr-FR"/>
        </w:rPr>
        <w:t>’</w:t>
      </w:r>
      <w:r w:rsidRPr="00210B80">
        <w:rPr>
          <w:rFonts w:eastAsia="Malgun Gothic"/>
          <w:bCs/>
          <w:lang w:val="fr-FR"/>
        </w:rPr>
        <w:t>assistance internationale conformément à la priorité globale Afrique. Elle s</w:t>
      </w:r>
      <w:r w:rsidR="00923E72">
        <w:rPr>
          <w:rFonts w:eastAsia="Malgun Gothic"/>
          <w:bCs/>
          <w:lang w:val="fr-FR"/>
        </w:rPr>
        <w:t>’</w:t>
      </w:r>
      <w:r w:rsidRPr="00210B80">
        <w:rPr>
          <w:rFonts w:eastAsia="Malgun Gothic"/>
          <w:bCs/>
          <w:lang w:val="fr-FR"/>
        </w:rPr>
        <w:t xml:space="preserve">est également félicitée du nombre croissant de demandes soumises par les </w:t>
      </w:r>
      <w:r w:rsidR="00AB04E1">
        <w:rPr>
          <w:rFonts w:eastAsia="Malgun Gothic"/>
          <w:bCs/>
          <w:lang w:val="fr-FR"/>
        </w:rPr>
        <w:t>pied,</w:t>
      </w:r>
      <w:r w:rsidRPr="00210B80">
        <w:rPr>
          <w:rFonts w:eastAsia="Malgun Gothic"/>
          <w:bCs/>
          <w:lang w:val="fr-FR"/>
        </w:rPr>
        <w:t xml:space="preserve"> et </w:t>
      </w:r>
      <w:r>
        <w:rPr>
          <w:rFonts w:eastAsia="Malgun Gothic"/>
          <w:bCs/>
          <w:lang w:val="fr-FR"/>
        </w:rPr>
        <w:t xml:space="preserve">a déclaré soutenir </w:t>
      </w:r>
      <w:r w:rsidRPr="00210B80">
        <w:rPr>
          <w:rFonts w:eastAsia="Malgun Gothic"/>
          <w:bCs/>
          <w:lang w:val="fr-FR"/>
        </w:rPr>
        <w:t>pleinement le rapport.</w:t>
      </w:r>
    </w:p>
    <w:p w14:paraId="7DD9CB24" w14:textId="7FE1CD8B" w:rsidR="00210B80" w:rsidRDefault="00210B8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210B80">
        <w:rPr>
          <w:rFonts w:eastAsia="Malgun Gothic"/>
          <w:bCs/>
          <w:lang w:val="fr-FR"/>
        </w:rPr>
        <w:t xml:space="preserve">La délégation du </w:t>
      </w:r>
      <w:r w:rsidRPr="00210B80">
        <w:rPr>
          <w:rFonts w:eastAsia="Malgun Gothic"/>
          <w:b/>
          <w:lang w:val="fr-FR"/>
        </w:rPr>
        <w:t>Pérou</w:t>
      </w:r>
      <w:r w:rsidRPr="00210B80">
        <w:rPr>
          <w:rFonts w:eastAsia="Malgun Gothic"/>
          <w:bCs/>
          <w:lang w:val="fr-FR"/>
        </w:rPr>
        <w:t xml:space="preserve"> a remercié le Secrétariat et la mise à disposition de fonds pour la demande multinationale </w:t>
      </w:r>
      <w:r w:rsidR="0021747C">
        <w:rPr>
          <w:rFonts w:eastAsia="Malgun Gothic"/>
          <w:bCs/>
          <w:lang w:val="fr-FR"/>
        </w:rPr>
        <w:t>d</w:t>
      </w:r>
      <w:r w:rsidR="00923E72">
        <w:rPr>
          <w:rFonts w:eastAsia="Malgun Gothic"/>
          <w:bCs/>
          <w:lang w:val="fr-FR"/>
        </w:rPr>
        <w:t>’</w:t>
      </w:r>
      <w:r w:rsidR="0021747C">
        <w:rPr>
          <w:rFonts w:eastAsia="Malgun Gothic"/>
          <w:bCs/>
          <w:lang w:val="fr-FR"/>
        </w:rPr>
        <w:t xml:space="preserve">assistance </w:t>
      </w:r>
      <w:r w:rsidRPr="00210B80">
        <w:rPr>
          <w:rFonts w:eastAsia="Malgun Gothic"/>
          <w:bCs/>
          <w:lang w:val="fr-FR"/>
        </w:rPr>
        <w:t>du groupe du Système d</w:t>
      </w:r>
      <w:r w:rsidR="00923E72">
        <w:rPr>
          <w:rFonts w:eastAsia="Malgun Gothic"/>
          <w:bCs/>
          <w:lang w:val="fr-FR"/>
        </w:rPr>
        <w:t>’</w:t>
      </w:r>
      <w:r w:rsidRPr="00210B80">
        <w:rPr>
          <w:rFonts w:eastAsia="Malgun Gothic"/>
          <w:bCs/>
          <w:lang w:val="fr-FR"/>
        </w:rPr>
        <w:t>intégration centraméricain (SICA). Elle a profité de l</w:t>
      </w:r>
      <w:r w:rsidR="00923E72">
        <w:rPr>
          <w:rFonts w:eastAsia="Malgun Gothic"/>
          <w:bCs/>
          <w:lang w:val="fr-FR"/>
        </w:rPr>
        <w:t>’</w:t>
      </w:r>
      <w:r w:rsidRPr="00210B80">
        <w:rPr>
          <w:rFonts w:eastAsia="Malgun Gothic"/>
          <w:bCs/>
          <w:lang w:val="fr-FR"/>
        </w:rPr>
        <w:t>occasion pour annoncer qu</w:t>
      </w:r>
      <w:r w:rsidR="00923E72">
        <w:rPr>
          <w:rFonts w:eastAsia="Malgun Gothic"/>
          <w:bCs/>
          <w:lang w:val="fr-FR"/>
        </w:rPr>
        <w:t>’</w:t>
      </w:r>
      <w:r w:rsidRPr="00210B80">
        <w:rPr>
          <w:rFonts w:eastAsia="Malgun Gothic"/>
          <w:bCs/>
          <w:lang w:val="fr-FR"/>
        </w:rPr>
        <w:t>il s</w:t>
      </w:r>
      <w:r w:rsidR="00923E72">
        <w:rPr>
          <w:rFonts w:eastAsia="Malgun Gothic"/>
          <w:bCs/>
          <w:lang w:val="fr-FR"/>
        </w:rPr>
        <w:t>’</w:t>
      </w:r>
      <w:r w:rsidRPr="00210B80">
        <w:rPr>
          <w:rFonts w:eastAsia="Malgun Gothic"/>
          <w:bCs/>
          <w:lang w:val="fr-FR"/>
        </w:rPr>
        <w:t>agissait d</w:t>
      </w:r>
      <w:r w:rsidR="00923E72">
        <w:rPr>
          <w:rFonts w:eastAsia="Malgun Gothic"/>
          <w:bCs/>
          <w:lang w:val="fr-FR"/>
        </w:rPr>
        <w:t>’</w:t>
      </w:r>
      <w:r w:rsidRPr="00210B80">
        <w:rPr>
          <w:rFonts w:eastAsia="Malgun Gothic"/>
          <w:bCs/>
          <w:lang w:val="fr-FR"/>
        </w:rPr>
        <w:t>un grand pas en avant pour le CRESPIAL, qui recevrait pour la première fois un financement direct pour un projet multinational tel que celui-ci dans la région de l</w:t>
      </w:r>
      <w:r w:rsidR="00923E72">
        <w:rPr>
          <w:rFonts w:eastAsia="Malgun Gothic"/>
          <w:bCs/>
          <w:lang w:val="fr-FR"/>
        </w:rPr>
        <w:t>’</w:t>
      </w:r>
      <w:r w:rsidRPr="00210B80">
        <w:rPr>
          <w:rFonts w:eastAsia="Malgun Gothic"/>
          <w:bCs/>
          <w:lang w:val="fr-FR"/>
        </w:rPr>
        <w:t xml:space="preserve">Amérique latine et des Caraïbes. </w:t>
      </w:r>
      <w:r w:rsidR="008D0231">
        <w:rPr>
          <w:rFonts w:eastAsia="Malgun Gothic"/>
          <w:bCs/>
          <w:lang w:val="fr-FR"/>
        </w:rPr>
        <w:t>Par ailleurs, l</w:t>
      </w:r>
      <w:r w:rsidRPr="00210B80">
        <w:rPr>
          <w:rFonts w:eastAsia="Malgun Gothic"/>
          <w:bCs/>
          <w:lang w:val="fr-FR"/>
        </w:rPr>
        <w:t>a délégation a encouragé tous les membres et observateurs à assister à un événement parallèle qui se tiendrait le lendemain et qui serait l</w:t>
      </w:r>
      <w:r w:rsidR="00923E72">
        <w:rPr>
          <w:rFonts w:eastAsia="Malgun Gothic"/>
          <w:bCs/>
          <w:lang w:val="fr-FR"/>
        </w:rPr>
        <w:t>’</w:t>
      </w:r>
      <w:r w:rsidRPr="00210B80">
        <w:rPr>
          <w:rFonts w:eastAsia="Malgun Gothic"/>
          <w:bCs/>
          <w:lang w:val="fr-FR"/>
        </w:rPr>
        <w:t>occasion de présenter une vue d</w:t>
      </w:r>
      <w:r w:rsidR="00923E72">
        <w:rPr>
          <w:rFonts w:eastAsia="Malgun Gothic"/>
          <w:bCs/>
          <w:lang w:val="fr-FR"/>
        </w:rPr>
        <w:t>’</w:t>
      </w:r>
      <w:r w:rsidRPr="00210B80">
        <w:rPr>
          <w:rFonts w:eastAsia="Malgun Gothic"/>
          <w:bCs/>
          <w:lang w:val="fr-FR"/>
        </w:rPr>
        <w:t>ensemble de ce projet multinational d</w:t>
      </w:r>
      <w:r w:rsidR="00923E72">
        <w:rPr>
          <w:rFonts w:eastAsia="Malgun Gothic"/>
          <w:bCs/>
          <w:lang w:val="fr-FR"/>
        </w:rPr>
        <w:t>’</w:t>
      </w:r>
      <w:r w:rsidRPr="00210B80">
        <w:rPr>
          <w:rFonts w:eastAsia="Malgun Gothic"/>
          <w:bCs/>
          <w:lang w:val="fr-FR"/>
        </w:rPr>
        <w:t>un grand intérêt pour la région.</w:t>
      </w:r>
    </w:p>
    <w:p w14:paraId="705C74B8" w14:textId="151FABD6" w:rsidR="00464C65" w:rsidRDefault="00464C6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64C65">
        <w:rPr>
          <w:rFonts w:eastAsia="Malgun Gothic"/>
          <w:bCs/>
          <w:lang w:val="fr-FR"/>
        </w:rPr>
        <w:t xml:space="preserve">La délégation du </w:t>
      </w:r>
      <w:r w:rsidRPr="00464C65">
        <w:rPr>
          <w:rFonts w:eastAsia="Malgun Gothic"/>
          <w:b/>
          <w:lang w:val="fr-FR"/>
        </w:rPr>
        <w:t>Burkina</w:t>
      </w:r>
      <w:r>
        <w:rPr>
          <w:rFonts w:eastAsia="Malgun Gothic"/>
          <w:b/>
          <w:lang w:val="fr-FR"/>
        </w:rPr>
        <w:t> </w:t>
      </w:r>
      <w:r w:rsidRPr="00464C65">
        <w:rPr>
          <w:rFonts w:eastAsia="Malgun Gothic"/>
          <w:b/>
          <w:lang w:val="fr-FR"/>
        </w:rPr>
        <w:t>Faso</w:t>
      </w:r>
      <w:r w:rsidRPr="00464C65">
        <w:rPr>
          <w:rFonts w:eastAsia="Malgun Gothic"/>
          <w:bCs/>
          <w:lang w:val="fr-FR"/>
        </w:rPr>
        <w:t xml:space="preserve"> a expliqué qu</w:t>
      </w:r>
      <w:r w:rsidR="00923E72">
        <w:rPr>
          <w:rFonts w:eastAsia="Malgun Gothic"/>
          <w:bCs/>
          <w:lang w:val="fr-FR"/>
        </w:rPr>
        <w:t>’</w:t>
      </w:r>
      <w:r w:rsidRPr="00464C65">
        <w:rPr>
          <w:rFonts w:eastAsia="Malgun Gothic"/>
          <w:bCs/>
          <w:lang w:val="fr-FR"/>
        </w:rPr>
        <w:t>elle avait bénéficié d</w:t>
      </w:r>
      <w:r w:rsidR="00167A84">
        <w:rPr>
          <w:rFonts w:eastAsia="Malgun Gothic"/>
          <w:bCs/>
          <w:lang w:val="fr-FR"/>
        </w:rPr>
        <w:t>e</w:t>
      </w:r>
      <w:r w:rsidRPr="00464C65">
        <w:rPr>
          <w:rFonts w:eastAsia="Malgun Gothic"/>
          <w:bCs/>
          <w:lang w:val="fr-FR"/>
        </w:rPr>
        <w:t xml:space="preserve"> </w:t>
      </w:r>
      <w:r w:rsidR="00167A84">
        <w:rPr>
          <w:rFonts w:eastAsia="Malgun Gothic"/>
          <w:bCs/>
          <w:lang w:val="fr-FR"/>
        </w:rPr>
        <w:t>l</w:t>
      </w:r>
      <w:r w:rsidR="00923E72">
        <w:rPr>
          <w:rFonts w:eastAsia="Malgun Gothic"/>
          <w:bCs/>
          <w:lang w:val="fr-FR"/>
        </w:rPr>
        <w:t>’</w:t>
      </w:r>
      <w:r w:rsidRPr="00464C65">
        <w:rPr>
          <w:rFonts w:eastAsia="Malgun Gothic"/>
          <w:bCs/>
          <w:lang w:val="fr-FR"/>
        </w:rPr>
        <w:t>assistance internationale au cours de la période</w:t>
      </w:r>
      <w:r w:rsidR="00AF6B98">
        <w:rPr>
          <w:rFonts w:eastAsia="Malgun Gothic"/>
          <w:bCs/>
          <w:lang w:val="fr-FR"/>
        </w:rPr>
        <w:t> </w:t>
      </w:r>
      <w:r w:rsidRPr="00464C65">
        <w:rPr>
          <w:rFonts w:eastAsia="Malgun Gothic"/>
          <w:bCs/>
          <w:lang w:val="fr-FR"/>
        </w:rPr>
        <w:t>2020</w:t>
      </w:r>
      <w:r>
        <w:rPr>
          <w:rFonts w:eastAsia="Malgun Gothic"/>
          <w:bCs/>
          <w:lang w:val="fr-FR"/>
        </w:rPr>
        <w:noBreakHyphen/>
      </w:r>
      <w:r w:rsidRPr="00464C65">
        <w:rPr>
          <w:rFonts w:eastAsia="Malgun Gothic"/>
          <w:bCs/>
          <w:lang w:val="fr-FR"/>
        </w:rPr>
        <w:t>2022 pour le renforcement des capacités des acteurs impliqués dans la sauvegarde du patrimoine culturel immatériel. La première phase avait été couronnée de succès et avait permis de sélectionner douze facilitateurs nationaux. La reprise de la deuxième phase consisterait en la formation de</w:t>
      </w:r>
      <w:r w:rsidR="00AB04E1">
        <w:rPr>
          <w:rFonts w:eastAsia="Malgun Gothic"/>
          <w:bCs/>
          <w:lang w:val="fr-FR"/>
        </w:rPr>
        <w:t> </w:t>
      </w:r>
      <w:r w:rsidRPr="00464C65">
        <w:rPr>
          <w:rFonts w:eastAsia="Malgun Gothic"/>
          <w:bCs/>
          <w:lang w:val="fr-FR"/>
        </w:rPr>
        <w:t>225 acteurs locaux par les douze facilitateurs nationaux sélectionnés. La délégation s</w:t>
      </w:r>
      <w:r w:rsidR="00923E72">
        <w:rPr>
          <w:rFonts w:eastAsia="Malgun Gothic"/>
          <w:bCs/>
          <w:lang w:val="fr-FR"/>
        </w:rPr>
        <w:t>’</w:t>
      </w:r>
      <w:r w:rsidRPr="00464C65">
        <w:rPr>
          <w:rFonts w:eastAsia="Malgun Gothic"/>
          <w:bCs/>
          <w:lang w:val="fr-FR"/>
        </w:rPr>
        <w:t xml:space="preserve">est réjouie que des professionnels </w:t>
      </w:r>
      <w:r w:rsidRPr="00464C65">
        <w:rPr>
          <w:rFonts w:eastAsia="Malgun Gothic"/>
          <w:bCs/>
          <w:lang w:val="fr-FR"/>
        </w:rPr>
        <w:lastRenderedPageBreak/>
        <w:t>du PCI aient été sélectionnés pour rejoindre ce réseau global de facilitateurs. Elle a saisi cette occasion pour exprimer sa gratitude au Comité</w:t>
      </w:r>
      <w:r w:rsidR="008D0231">
        <w:rPr>
          <w:rFonts w:eastAsia="Malgun Gothic"/>
          <w:bCs/>
          <w:lang w:val="fr-FR"/>
        </w:rPr>
        <w:t xml:space="preserve"> suite à l</w:t>
      </w:r>
      <w:r w:rsidR="00923E72">
        <w:rPr>
          <w:rFonts w:eastAsia="Malgun Gothic"/>
          <w:bCs/>
          <w:lang w:val="fr-FR"/>
        </w:rPr>
        <w:t>’</w:t>
      </w:r>
      <w:r w:rsidR="008D0231">
        <w:rPr>
          <w:rFonts w:eastAsia="Malgun Gothic"/>
          <w:bCs/>
          <w:lang w:val="fr-FR"/>
        </w:rPr>
        <w:t xml:space="preserve">approbation </w:t>
      </w:r>
      <w:r>
        <w:rPr>
          <w:rFonts w:eastAsia="Malgun Gothic"/>
          <w:bCs/>
          <w:lang w:val="fr-FR"/>
        </w:rPr>
        <w:t xml:space="preserve">de </w:t>
      </w:r>
      <w:r w:rsidRPr="00464C65">
        <w:rPr>
          <w:rFonts w:eastAsia="Malgun Gothic"/>
          <w:bCs/>
          <w:lang w:val="fr-FR"/>
        </w:rPr>
        <w:t>sa demande d</w:t>
      </w:r>
      <w:r w:rsidR="00923E72">
        <w:rPr>
          <w:rFonts w:eastAsia="Malgun Gothic"/>
          <w:bCs/>
          <w:lang w:val="fr-FR"/>
        </w:rPr>
        <w:t>’</w:t>
      </w:r>
      <w:r w:rsidRPr="00464C65">
        <w:rPr>
          <w:rFonts w:eastAsia="Malgun Gothic"/>
          <w:bCs/>
          <w:lang w:val="fr-FR"/>
        </w:rPr>
        <w:t>assistance internationale, ainsi qu</w:t>
      </w:r>
      <w:r w:rsidR="00923E72">
        <w:rPr>
          <w:rFonts w:eastAsia="Malgun Gothic"/>
          <w:bCs/>
          <w:lang w:val="fr-FR"/>
        </w:rPr>
        <w:t>’</w:t>
      </w:r>
      <w:r w:rsidRPr="00464C65">
        <w:rPr>
          <w:rFonts w:eastAsia="Malgun Gothic"/>
          <w:bCs/>
          <w:lang w:val="fr-FR"/>
        </w:rPr>
        <w:t>aux pays donateurs qui, par leurs contributions, avaient rendu possible ce renforcement des capacités. L</w:t>
      </w:r>
      <w:r w:rsidR="00167A84">
        <w:rPr>
          <w:rFonts w:eastAsia="Malgun Gothic"/>
          <w:bCs/>
          <w:lang w:val="fr-FR"/>
        </w:rPr>
        <w:t xml:space="preserve">a </w:t>
      </w:r>
      <w:r w:rsidR="00167A84" w:rsidRPr="00167A84">
        <w:rPr>
          <w:rFonts w:eastAsia="Malgun Gothic"/>
          <w:bCs/>
          <w:lang w:val="fr-FR"/>
        </w:rPr>
        <w:t>délégation</w:t>
      </w:r>
      <w:r w:rsidR="00167A84">
        <w:rPr>
          <w:rFonts w:eastAsia="Malgun Gothic"/>
          <w:bCs/>
          <w:lang w:val="fr-FR"/>
        </w:rPr>
        <w:t xml:space="preserve"> </w:t>
      </w:r>
      <w:r w:rsidRPr="00464C65">
        <w:rPr>
          <w:rFonts w:eastAsia="Malgun Gothic"/>
          <w:bCs/>
          <w:lang w:val="fr-FR"/>
        </w:rPr>
        <w:t>a exhorté les États parties à poursuivre leur soutien et, en particulier, à destination de la région Afrique.</w:t>
      </w:r>
    </w:p>
    <w:p w14:paraId="452E8553" w14:textId="138A436A" w:rsidR="009A6484" w:rsidRDefault="009A648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9A6484">
        <w:rPr>
          <w:rFonts w:eastAsia="Malgun Gothic"/>
          <w:bCs/>
          <w:lang w:val="fr-FR"/>
        </w:rPr>
        <w:t>La délégation de l</w:t>
      </w:r>
      <w:r w:rsidR="00923E72">
        <w:rPr>
          <w:rFonts w:eastAsia="Malgun Gothic"/>
          <w:bCs/>
          <w:lang w:val="fr-FR"/>
        </w:rPr>
        <w:t>’</w:t>
      </w:r>
      <w:r w:rsidRPr="009A6484">
        <w:rPr>
          <w:rFonts w:eastAsia="Malgun Gothic"/>
          <w:b/>
          <w:lang w:val="fr-FR"/>
        </w:rPr>
        <w:t>Inde</w:t>
      </w:r>
      <w:r w:rsidRPr="009A6484">
        <w:rPr>
          <w:rFonts w:eastAsia="Malgun Gothic"/>
          <w:bCs/>
          <w:lang w:val="fr-FR"/>
        </w:rPr>
        <w:t xml:space="preserve"> a remercié le Maroc pour son extraordinaire hospitalité et l</w:t>
      </w:r>
      <w:r w:rsidR="00923E72">
        <w:rPr>
          <w:rFonts w:eastAsia="Malgun Gothic"/>
          <w:bCs/>
          <w:lang w:val="fr-FR"/>
        </w:rPr>
        <w:t>’</w:t>
      </w:r>
      <w:r w:rsidRPr="009A6484">
        <w:rPr>
          <w:rFonts w:eastAsia="Malgun Gothic"/>
          <w:bCs/>
          <w:lang w:val="fr-FR"/>
        </w:rPr>
        <w:t>efficacité dont il faisait preuve en organisant cette session à Rabat. L</w:t>
      </w:r>
      <w:r w:rsidR="00923E72">
        <w:rPr>
          <w:rFonts w:eastAsia="Malgun Gothic"/>
          <w:bCs/>
          <w:lang w:val="fr-FR"/>
        </w:rPr>
        <w:t>’</w:t>
      </w:r>
      <w:r w:rsidRPr="009A6484">
        <w:rPr>
          <w:rFonts w:eastAsia="Malgun Gothic"/>
          <w:bCs/>
          <w:lang w:val="fr-FR"/>
        </w:rPr>
        <w:t>Inde soutenait le projet de décision et était satisfaite de l</w:t>
      </w:r>
      <w:r w:rsidR="00923E72">
        <w:rPr>
          <w:rFonts w:eastAsia="Malgun Gothic"/>
          <w:bCs/>
          <w:lang w:val="fr-FR"/>
        </w:rPr>
        <w:t>’</w:t>
      </w:r>
      <w:r w:rsidRPr="009A6484">
        <w:rPr>
          <w:rFonts w:eastAsia="Malgun Gothic"/>
          <w:bCs/>
          <w:lang w:val="fr-FR"/>
        </w:rPr>
        <w:t>assistance internationale qui avait été accordée</w:t>
      </w:r>
      <w:r w:rsidR="00E74D3E">
        <w:rPr>
          <w:rFonts w:eastAsia="Malgun Gothic"/>
          <w:bCs/>
          <w:lang w:val="fr-FR"/>
        </w:rPr>
        <w:t xml:space="preserve"> </w:t>
      </w:r>
      <w:r w:rsidRPr="009A6484">
        <w:rPr>
          <w:rFonts w:eastAsia="Malgun Gothic"/>
          <w:bCs/>
          <w:lang w:val="fr-FR"/>
        </w:rPr>
        <w:t>ainsi que du rapport soumis par le Secrétariat. Les articles</w:t>
      </w:r>
      <w:r w:rsidR="008D0231">
        <w:rPr>
          <w:rFonts w:eastAsia="Malgun Gothic"/>
          <w:bCs/>
          <w:lang w:val="fr-FR"/>
        </w:rPr>
        <w:t> </w:t>
      </w:r>
      <w:r w:rsidRPr="009A6484">
        <w:rPr>
          <w:rFonts w:eastAsia="Malgun Gothic"/>
          <w:bCs/>
          <w:lang w:val="fr-FR"/>
        </w:rPr>
        <w:t>23 et</w:t>
      </w:r>
      <w:r w:rsidR="008D0231">
        <w:rPr>
          <w:rFonts w:eastAsia="Malgun Gothic"/>
          <w:bCs/>
          <w:lang w:val="fr-FR"/>
        </w:rPr>
        <w:t> </w:t>
      </w:r>
      <w:r w:rsidRPr="009A6484">
        <w:rPr>
          <w:rFonts w:eastAsia="Malgun Gothic"/>
          <w:bCs/>
          <w:lang w:val="fr-FR"/>
        </w:rPr>
        <w:t xml:space="preserve">24 </w:t>
      </w:r>
      <w:r w:rsidR="00167A84">
        <w:rPr>
          <w:rFonts w:eastAsia="Malgun Gothic"/>
          <w:bCs/>
          <w:lang w:val="fr-FR"/>
        </w:rPr>
        <w:t xml:space="preserve">de la </w:t>
      </w:r>
      <w:r w:rsidR="00167A84" w:rsidRPr="00167A84">
        <w:rPr>
          <w:rFonts w:eastAsia="Malgun Gothic"/>
          <w:bCs/>
          <w:lang w:val="fr-FR"/>
        </w:rPr>
        <w:t>Convention</w:t>
      </w:r>
      <w:r w:rsidR="00167A84">
        <w:rPr>
          <w:rFonts w:eastAsia="Malgun Gothic"/>
          <w:bCs/>
          <w:lang w:val="fr-FR"/>
        </w:rPr>
        <w:t xml:space="preserve"> </w:t>
      </w:r>
      <w:r w:rsidRPr="009A6484">
        <w:rPr>
          <w:rFonts w:eastAsia="Malgun Gothic"/>
          <w:bCs/>
          <w:lang w:val="fr-FR"/>
        </w:rPr>
        <w:t>étaient très importants pour les pays confrontés à des problèmes nécessitant une assistance internationale. Il était évident que la communauté internationale, en particulier l</w:t>
      </w:r>
      <w:r w:rsidR="00923E72">
        <w:rPr>
          <w:rFonts w:eastAsia="Malgun Gothic"/>
          <w:bCs/>
          <w:lang w:val="fr-FR"/>
        </w:rPr>
        <w:t>’</w:t>
      </w:r>
      <w:r w:rsidRPr="009A6484">
        <w:rPr>
          <w:rFonts w:eastAsia="Malgun Gothic"/>
          <w:bCs/>
          <w:lang w:val="fr-FR"/>
        </w:rPr>
        <w:t>UNESCO, ferait ce pas en avant pour sauvegarder le patrimoine culturel immatériel dans ces pays. L</w:t>
      </w:r>
      <w:r w:rsidR="00923E72">
        <w:rPr>
          <w:rFonts w:eastAsia="Malgun Gothic"/>
          <w:bCs/>
          <w:lang w:val="fr-FR"/>
        </w:rPr>
        <w:t>’</w:t>
      </w:r>
      <w:r w:rsidRPr="009A6484">
        <w:rPr>
          <w:rFonts w:eastAsia="Malgun Gothic"/>
          <w:bCs/>
          <w:lang w:val="fr-FR"/>
        </w:rPr>
        <w:t xml:space="preserve">Inde était particulièrement satisfaite des fonds alloués au renforcement des capacités dans le </w:t>
      </w:r>
      <w:r w:rsidR="00036659">
        <w:rPr>
          <w:rFonts w:eastAsia="Malgun Gothic"/>
          <w:bCs/>
          <w:lang w:val="fr-FR"/>
        </w:rPr>
        <w:t>G</w:t>
      </w:r>
      <w:r w:rsidRPr="009A6484">
        <w:rPr>
          <w:rFonts w:eastAsia="Malgun Gothic"/>
          <w:bCs/>
          <w:lang w:val="fr-FR"/>
        </w:rPr>
        <w:t>roupe</w:t>
      </w:r>
      <w:r w:rsidR="00AB04E1">
        <w:rPr>
          <w:rFonts w:eastAsia="Malgun Gothic"/>
          <w:bCs/>
          <w:lang w:val="fr-FR"/>
        </w:rPr>
        <w:t> </w:t>
      </w:r>
      <w:r w:rsidRPr="009A6484">
        <w:rPr>
          <w:rFonts w:eastAsia="Malgun Gothic"/>
          <w:bCs/>
          <w:lang w:val="fr-FR"/>
        </w:rPr>
        <w:t>V(a), les États africains. L</w:t>
      </w:r>
      <w:r w:rsidR="00923E72">
        <w:rPr>
          <w:rFonts w:eastAsia="Malgun Gothic"/>
          <w:bCs/>
          <w:lang w:val="fr-FR"/>
        </w:rPr>
        <w:t>’</w:t>
      </w:r>
      <w:r w:rsidRPr="009A6484">
        <w:rPr>
          <w:rFonts w:eastAsia="Malgun Gothic"/>
          <w:bCs/>
          <w:lang w:val="fr-FR"/>
        </w:rPr>
        <w:t>Inde soutenait également les mesures prises pour accorder une assistance aux États d</w:t>
      </w:r>
      <w:r w:rsidR="00923E72">
        <w:rPr>
          <w:rFonts w:eastAsia="Malgun Gothic"/>
          <w:bCs/>
          <w:lang w:val="fr-FR"/>
        </w:rPr>
        <w:t>’</w:t>
      </w:r>
      <w:r w:rsidRPr="009A6484">
        <w:rPr>
          <w:rFonts w:eastAsia="Malgun Gothic"/>
          <w:bCs/>
          <w:lang w:val="fr-FR"/>
        </w:rPr>
        <w:t>Amérique latine et des Caraïbes. Elle attendait avec intérêt les discussions au titre du point</w:t>
      </w:r>
      <w:r w:rsidR="008D0231">
        <w:rPr>
          <w:rFonts w:eastAsia="Malgun Gothic"/>
          <w:bCs/>
          <w:lang w:val="fr-FR"/>
        </w:rPr>
        <w:t> </w:t>
      </w:r>
      <w:r w:rsidRPr="009A6484">
        <w:rPr>
          <w:rFonts w:eastAsia="Malgun Gothic"/>
          <w:bCs/>
          <w:lang w:val="fr-FR"/>
        </w:rPr>
        <w:t>12 [sur le Fonds du PCI] et espérait que l</w:t>
      </w:r>
      <w:r w:rsidR="00036659">
        <w:rPr>
          <w:rFonts w:eastAsia="Malgun Gothic"/>
          <w:bCs/>
          <w:lang w:val="fr-FR"/>
        </w:rPr>
        <w:t>e « Guide pour faire une demande d</w:t>
      </w:r>
      <w:r w:rsidR="00923E72">
        <w:rPr>
          <w:rFonts w:eastAsia="Malgun Gothic"/>
          <w:bCs/>
          <w:lang w:val="fr-FR"/>
        </w:rPr>
        <w:t>’</w:t>
      </w:r>
      <w:r w:rsidR="00036659">
        <w:rPr>
          <w:rFonts w:eastAsia="Malgun Gothic"/>
          <w:bCs/>
          <w:lang w:val="fr-FR"/>
        </w:rPr>
        <w:t>assistance internationale » serait</w:t>
      </w:r>
      <w:r w:rsidRPr="009A6484">
        <w:rPr>
          <w:rFonts w:eastAsia="Malgun Gothic"/>
          <w:bCs/>
          <w:lang w:val="fr-FR"/>
        </w:rPr>
        <w:t xml:space="preserve"> plus facilement accessible en ligne, ce qui faciliterait l</w:t>
      </w:r>
      <w:r w:rsidR="00923E72">
        <w:rPr>
          <w:rFonts w:eastAsia="Malgun Gothic"/>
          <w:bCs/>
          <w:lang w:val="fr-FR"/>
        </w:rPr>
        <w:t>’</w:t>
      </w:r>
      <w:r w:rsidRPr="009A6484">
        <w:rPr>
          <w:rFonts w:eastAsia="Malgun Gothic"/>
          <w:bCs/>
          <w:lang w:val="fr-FR"/>
        </w:rPr>
        <w:t xml:space="preserve">accès </w:t>
      </w:r>
      <w:r w:rsidR="00AB04E1">
        <w:rPr>
          <w:rFonts w:eastAsia="Malgun Gothic"/>
          <w:bCs/>
          <w:lang w:val="fr-FR"/>
        </w:rPr>
        <w:t>aux</w:t>
      </w:r>
      <w:r w:rsidRPr="009A6484">
        <w:rPr>
          <w:rFonts w:eastAsia="Malgun Gothic"/>
          <w:bCs/>
          <w:lang w:val="fr-FR"/>
        </w:rPr>
        <w:t xml:space="preserve"> pays et </w:t>
      </w:r>
      <w:r w:rsidR="00AB04E1">
        <w:rPr>
          <w:rFonts w:eastAsia="Malgun Gothic"/>
          <w:bCs/>
          <w:lang w:val="fr-FR"/>
        </w:rPr>
        <w:t>aux</w:t>
      </w:r>
      <w:r w:rsidRPr="009A6484">
        <w:rPr>
          <w:rFonts w:eastAsia="Malgun Gothic"/>
          <w:bCs/>
          <w:lang w:val="fr-FR"/>
        </w:rPr>
        <w:t xml:space="preserve"> États parties. L</w:t>
      </w:r>
      <w:r w:rsidR="00923E72">
        <w:rPr>
          <w:rFonts w:eastAsia="Malgun Gothic"/>
          <w:bCs/>
          <w:lang w:val="fr-FR"/>
        </w:rPr>
        <w:t>’</w:t>
      </w:r>
      <w:r w:rsidRPr="009A6484">
        <w:rPr>
          <w:rFonts w:eastAsia="Malgun Gothic"/>
          <w:bCs/>
          <w:lang w:val="fr-FR"/>
        </w:rPr>
        <w:t>Inde s</w:t>
      </w:r>
      <w:r w:rsidR="00923E72">
        <w:rPr>
          <w:rFonts w:eastAsia="Malgun Gothic"/>
          <w:bCs/>
          <w:lang w:val="fr-FR"/>
        </w:rPr>
        <w:t>’</w:t>
      </w:r>
      <w:r w:rsidRPr="009A6484">
        <w:rPr>
          <w:rFonts w:eastAsia="Malgun Gothic"/>
          <w:bCs/>
          <w:lang w:val="fr-FR"/>
        </w:rPr>
        <w:t xml:space="preserve">est déclarée prête à </w:t>
      </w:r>
      <w:r w:rsidR="00167A84">
        <w:rPr>
          <w:rFonts w:eastAsia="Malgun Gothic"/>
          <w:bCs/>
          <w:lang w:val="fr-FR"/>
        </w:rPr>
        <w:t xml:space="preserve">travailler en partenariat </w:t>
      </w:r>
      <w:r w:rsidRPr="009A6484">
        <w:rPr>
          <w:rFonts w:eastAsia="Malgun Gothic"/>
          <w:bCs/>
          <w:lang w:val="fr-FR"/>
        </w:rPr>
        <w:t>avec les pays d</w:t>
      </w:r>
      <w:r w:rsidR="00923E72">
        <w:rPr>
          <w:rFonts w:eastAsia="Malgun Gothic"/>
          <w:bCs/>
          <w:lang w:val="fr-FR"/>
        </w:rPr>
        <w:t>’</w:t>
      </w:r>
      <w:r w:rsidRPr="009A6484">
        <w:rPr>
          <w:rFonts w:eastAsia="Malgun Gothic"/>
          <w:bCs/>
          <w:lang w:val="fr-FR"/>
        </w:rPr>
        <w:t>Amérique latine et des Caraïbes, ainsi qu</w:t>
      </w:r>
      <w:r w:rsidR="00923E72">
        <w:rPr>
          <w:rFonts w:eastAsia="Malgun Gothic"/>
          <w:bCs/>
          <w:lang w:val="fr-FR"/>
        </w:rPr>
        <w:t>’</w:t>
      </w:r>
      <w:r w:rsidRPr="009A6484">
        <w:rPr>
          <w:rFonts w:eastAsia="Malgun Gothic"/>
          <w:bCs/>
          <w:lang w:val="fr-FR"/>
        </w:rPr>
        <w:t>avec les pays d</w:t>
      </w:r>
      <w:r w:rsidR="00923E72">
        <w:rPr>
          <w:rFonts w:eastAsia="Malgun Gothic"/>
          <w:bCs/>
          <w:lang w:val="fr-FR"/>
        </w:rPr>
        <w:t>’</w:t>
      </w:r>
      <w:r w:rsidRPr="009A6484">
        <w:rPr>
          <w:rFonts w:eastAsia="Malgun Gothic"/>
          <w:bCs/>
          <w:lang w:val="fr-FR"/>
        </w:rPr>
        <w:t xml:space="preserve">Afrique. </w:t>
      </w:r>
      <w:r w:rsidR="00036659">
        <w:rPr>
          <w:rFonts w:eastAsia="Malgun Gothic"/>
          <w:bCs/>
          <w:lang w:val="fr-FR"/>
        </w:rPr>
        <w:t>En outre, e</w:t>
      </w:r>
      <w:r w:rsidRPr="009A6484">
        <w:rPr>
          <w:rFonts w:eastAsia="Malgun Gothic"/>
          <w:bCs/>
          <w:lang w:val="fr-FR"/>
        </w:rPr>
        <w:t>lle avait créé l</w:t>
      </w:r>
      <w:r w:rsidR="00923E72">
        <w:rPr>
          <w:rFonts w:eastAsia="Malgun Gothic"/>
          <w:bCs/>
          <w:lang w:val="fr-FR"/>
        </w:rPr>
        <w:t>’</w:t>
      </w:r>
      <w:r w:rsidRPr="009A6484">
        <w:rPr>
          <w:rFonts w:eastAsia="Malgun Gothic"/>
          <w:bCs/>
          <w:lang w:val="fr-FR"/>
        </w:rPr>
        <w:t>Institut indien du patrimoine, un institut d</w:t>
      </w:r>
      <w:r w:rsidR="00923E72">
        <w:rPr>
          <w:rFonts w:eastAsia="Malgun Gothic"/>
          <w:bCs/>
          <w:lang w:val="fr-FR"/>
        </w:rPr>
        <w:t>’</w:t>
      </w:r>
      <w:r w:rsidRPr="009A6484">
        <w:rPr>
          <w:rFonts w:eastAsia="Malgun Gothic"/>
          <w:bCs/>
          <w:lang w:val="fr-FR"/>
        </w:rPr>
        <w:t>avant-garde situé près de New Delhi, qui préparerait la prochaine génération de spécialistes de la sauvegarde, de la conservation</w:t>
      </w:r>
      <w:r w:rsidR="008D0231">
        <w:rPr>
          <w:rFonts w:eastAsia="Malgun Gothic"/>
          <w:bCs/>
          <w:lang w:val="fr-FR"/>
        </w:rPr>
        <w:t xml:space="preserve"> et </w:t>
      </w:r>
      <w:r w:rsidRPr="009A6484">
        <w:rPr>
          <w:rFonts w:eastAsia="Malgun Gothic"/>
          <w:bCs/>
          <w:lang w:val="fr-FR"/>
        </w:rPr>
        <w:t xml:space="preserve">de la muséologie </w:t>
      </w:r>
      <w:r w:rsidR="008D0231">
        <w:rPr>
          <w:rFonts w:eastAsia="Malgun Gothic"/>
          <w:bCs/>
          <w:lang w:val="fr-FR"/>
        </w:rPr>
        <w:t xml:space="preserve">ainsi que </w:t>
      </w:r>
      <w:r w:rsidRPr="009A6484">
        <w:rPr>
          <w:rFonts w:eastAsia="Malgun Gothic"/>
          <w:bCs/>
          <w:lang w:val="fr-FR"/>
        </w:rPr>
        <w:t xml:space="preserve">de </w:t>
      </w:r>
      <w:r w:rsidR="00036659">
        <w:rPr>
          <w:rFonts w:eastAsia="Malgun Gothic"/>
          <w:bCs/>
          <w:lang w:val="fr-FR"/>
        </w:rPr>
        <w:t xml:space="preserve">professionnels </w:t>
      </w:r>
      <w:r w:rsidRPr="009A6484">
        <w:rPr>
          <w:rFonts w:eastAsia="Malgun Gothic"/>
          <w:bCs/>
          <w:lang w:val="fr-FR"/>
        </w:rPr>
        <w:t>travaillant dans le domaine du patrimoine culturel, tant matériel qu</w:t>
      </w:r>
      <w:r w:rsidR="00923E72">
        <w:rPr>
          <w:rFonts w:eastAsia="Malgun Gothic"/>
          <w:bCs/>
          <w:lang w:val="fr-FR"/>
        </w:rPr>
        <w:t>’</w:t>
      </w:r>
      <w:r w:rsidRPr="009A6484">
        <w:rPr>
          <w:rFonts w:eastAsia="Malgun Gothic"/>
          <w:bCs/>
          <w:lang w:val="fr-FR"/>
        </w:rPr>
        <w:t>immatériel.</w:t>
      </w:r>
    </w:p>
    <w:p w14:paraId="27182D1F" w14:textId="7E2F0429" w:rsidR="00036659" w:rsidRPr="00A161D2" w:rsidRDefault="0003665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036659">
        <w:rPr>
          <w:rFonts w:eastAsia="Malgun Gothic"/>
          <w:bCs/>
          <w:lang w:val="fr-FR"/>
        </w:rPr>
        <w:t xml:space="preserve">La délégation de la </w:t>
      </w:r>
      <w:r w:rsidRPr="00036659">
        <w:rPr>
          <w:rFonts w:eastAsia="Malgun Gothic"/>
          <w:b/>
          <w:lang w:val="fr-FR"/>
        </w:rPr>
        <w:t>Suède</w:t>
      </w:r>
      <w:r w:rsidRPr="00036659">
        <w:rPr>
          <w:rFonts w:eastAsia="Malgun Gothic"/>
          <w:bCs/>
          <w:lang w:val="fr-FR"/>
        </w:rPr>
        <w:t xml:space="preserve"> a remercié le Secrétariat pour son rapport et sa présentation ainsi que pour son travail acharné. Elle a remercié le Secrétariat pour les informations sur les différentes possibilités de demander une assistance internationale pour diverses formes d</w:t>
      </w:r>
      <w:r w:rsidR="00923E72">
        <w:rPr>
          <w:rFonts w:eastAsia="Malgun Gothic"/>
          <w:bCs/>
          <w:lang w:val="fr-FR"/>
        </w:rPr>
        <w:t>’</w:t>
      </w:r>
      <w:r>
        <w:rPr>
          <w:rFonts w:eastAsia="Malgun Gothic"/>
          <w:bCs/>
          <w:lang w:val="fr-FR"/>
        </w:rPr>
        <w:t xml:space="preserve">action </w:t>
      </w:r>
      <w:r w:rsidRPr="00036659">
        <w:rPr>
          <w:rFonts w:eastAsia="Malgun Gothic"/>
          <w:bCs/>
          <w:lang w:val="fr-FR"/>
        </w:rPr>
        <w:t>de sauvegarde, par exemple la préparation de candidatures à la Liste de sauvegarde urgente ainsi que de propositions pour le Registre des bonnes pratiques de sauvegarde. Elle estimait qu</w:t>
      </w:r>
      <w:r w:rsidR="00923E72">
        <w:rPr>
          <w:rFonts w:eastAsia="Malgun Gothic"/>
          <w:bCs/>
          <w:lang w:val="fr-FR"/>
        </w:rPr>
        <w:t>’</w:t>
      </w:r>
      <w:r w:rsidRPr="00036659">
        <w:rPr>
          <w:rFonts w:eastAsia="Malgun Gothic"/>
          <w:bCs/>
          <w:lang w:val="fr-FR"/>
        </w:rPr>
        <w:t>il serait judicieux d</w:t>
      </w:r>
      <w:r w:rsidR="00923E72">
        <w:rPr>
          <w:rFonts w:eastAsia="Malgun Gothic"/>
          <w:bCs/>
          <w:lang w:val="fr-FR"/>
        </w:rPr>
        <w:t>’</w:t>
      </w:r>
      <w:r w:rsidRPr="00036659">
        <w:rPr>
          <w:rFonts w:eastAsia="Malgun Gothic"/>
          <w:bCs/>
          <w:lang w:val="fr-FR"/>
        </w:rPr>
        <w:t>offrir la même possibilité pour d</w:t>
      </w:r>
      <w:r w:rsidR="00923E72">
        <w:rPr>
          <w:rFonts w:eastAsia="Malgun Gothic"/>
          <w:bCs/>
          <w:lang w:val="fr-FR"/>
        </w:rPr>
        <w:t>’</w:t>
      </w:r>
      <w:r w:rsidRPr="00036659">
        <w:rPr>
          <w:rFonts w:eastAsia="Malgun Gothic"/>
          <w:bCs/>
          <w:lang w:val="fr-FR"/>
        </w:rPr>
        <w:t xml:space="preserve">autres candidatures. </w:t>
      </w:r>
      <w:r>
        <w:rPr>
          <w:rFonts w:eastAsia="Malgun Gothic"/>
          <w:bCs/>
          <w:lang w:val="fr-FR"/>
        </w:rPr>
        <w:t xml:space="preserve">La </w:t>
      </w:r>
      <w:r w:rsidRPr="00036659">
        <w:rPr>
          <w:rFonts w:eastAsia="Malgun Gothic"/>
          <w:bCs/>
          <w:lang w:val="fr-FR"/>
        </w:rPr>
        <w:t>délégation</w:t>
      </w:r>
      <w:r>
        <w:rPr>
          <w:rFonts w:eastAsia="Malgun Gothic"/>
          <w:bCs/>
          <w:lang w:val="fr-FR"/>
        </w:rPr>
        <w:t xml:space="preserve"> a rappelé que l</w:t>
      </w:r>
      <w:r w:rsidR="00923E72">
        <w:rPr>
          <w:rFonts w:eastAsia="Malgun Gothic"/>
          <w:bCs/>
          <w:lang w:val="fr-FR"/>
        </w:rPr>
        <w:t>’</w:t>
      </w:r>
      <w:r w:rsidRPr="00036659">
        <w:rPr>
          <w:rFonts w:eastAsia="Malgun Gothic"/>
          <w:bCs/>
          <w:lang w:val="fr-FR"/>
        </w:rPr>
        <w:t>article</w:t>
      </w:r>
      <w:r w:rsidR="006773EF">
        <w:rPr>
          <w:rFonts w:eastAsia="Malgun Gothic"/>
          <w:bCs/>
          <w:lang w:val="fr-FR"/>
        </w:rPr>
        <w:t> </w:t>
      </w:r>
      <w:r w:rsidRPr="00036659">
        <w:rPr>
          <w:rFonts w:eastAsia="Malgun Gothic"/>
          <w:bCs/>
          <w:lang w:val="fr-FR"/>
        </w:rPr>
        <w:t>20(d)</w:t>
      </w:r>
      <w:r w:rsidR="003C1B1D">
        <w:rPr>
          <w:rFonts w:eastAsia="Malgun Gothic"/>
          <w:bCs/>
          <w:lang w:val="fr-FR"/>
        </w:rPr>
        <w:t xml:space="preserve"> </w:t>
      </w:r>
      <w:r w:rsidR="00A161D2" w:rsidRPr="00702497">
        <w:rPr>
          <w:rFonts w:eastAsia="Malgun Gothic"/>
          <w:bCs/>
          <w:lang w:val="fr-FR"/>
        </w:rPr>
        <w:t>de la Convention</w:t>
      </w:r>
      <w:r w:rsidRPr="008D0231">
        <w:rPr>
          <w:rFonts w:eastAsia="Malgun Gothic"/>
          <w:bCs/>
          <w:lang w:val="fr-FR"/>
        </w:rPr>
        <w:t xml:space="preserve"> </w:t>
      </w:r>
      <w:r w:rsidRPr="00036659">
        <w:rPr>
          <w:rFonts w:eastAsia="Malgun Gothic"/>
          <w:bCs/>
          <w:lang w:val="fr-FR"/>
        </w:rPr>
        <w:t>stipule que l</w:t>
      </w:r>
      <w:r w:rsidR="00923E72">
        <w:rPr>
          <w:rFonts w:eastAsia="Malgun Gothic"/>
          <w:bCs/>
          <w:lang w:val="fr-FR"/>
        </w:rPr>
        <w:t>’</w:t>
      </w:r>
      <w:r w:rsidRPr="00036659">
        <w:rPr>
          <w:rFonts w:eastAsia="Malgun Gothic"/>
          <w:bCs/>
          <w:lang w:val="fr-FR"/>
        </w:rPr>
        <w:t xml:space="preserve">assistance internationale peut servir à </w:t>
      </w:r>
      <w:r>
        <w:rPr>
          <w:rFonts w:eastAsia="Malgun Gothic"/>
          <w:bCs/>
          <w:lang w:val="fr-FR"/>
        </w:rPr>
        <w:t>« </w:t>
      </w:r>
      <w:r w:rsidRPr="00036659">
        <w:rPr>
          <w:rFonts w:eastAsia="Malgun Gothic"/>
          <w:bCs/>
          <w:lang w:val="fr-FR"/>
        </w:rPr>
        <w:t xml:space="preserve">tout autre </w:t>
      </w:r>
      <w:r>
        <w:rPr>
          <w:rFonts w:eastAsia="Malgun Gothic"/>
          <w:bCs/>
          <w:lang w:val="fr-FR"/>
        </w:rPr>
        <w:t>objectif</w:t>
      </w:r>
      <w:r w:rsidRPr="00036659">
        <w:rPr>
          <w:rFonts w:eastAsia="Malgun Gothic"/>
          <w:bCs/>
          <w:lang w:val="fr-FR"/>
        </w:rPr>
        <w:t xml:space="preserve"> que le Comité juger</w:t>
      </w:r>
      <w:r>
        <w:rPr>
          <w:rFonts w:eastAsia="Malgun Gothic"/>
          <w:bCs/>
          <w:lang w:val="fr-FR"/>
        </w:rPr>
        <w:t>ait</w:t>
      </w:r>
      <w:r w:rsidRPr="00036659">
        <w:rPr>
          <w:rFonts w:eastAsia="Malgun Gothic"/>
          <w:bCs/>
          <w:lang w:val="fr-FR"/>
        </w:rPr>
        <w:t xml:space="preserve"> nécessaire</w:t>
      </w:r>
      <w:r>
        <w:rPr>
          <w:rFonts w:eastAsia="Malgun Gothic"/>
          <w:bCs/>
          <w:lang w:val="fr-FR"/>
        </w:rPr>
        <w:t>. »</w:t>
      </w:r>
      <w:r w:rsidRPr="00036659">
        <w:rPr>
          <w:rFonts w:eastAsia="Malgun Gothic"/>
          <w:bCs/>
          <w:lang w:val="fr-FR"/>
        </w:rPr>
        <w:t xml:space="preserve"> </w:t>
      </w:r>
      <w:r w:rsidR="00A161D2">
        <w:rPr>
          <w:rFonts w:eastAsia="Malgun Gothic"/>
          <w:bCs/>
          <w:lang w:val="fr-FR"/>
        </w:rPr>
        <w:t>Elle se demandait donc s</w:t>
      </w:r>
      <w:r w:rsidR="00923E72">
        <w:rPr>
          <w:rFonts w:eastAsia="Malgun Gothic"/>
          <w:bCs/>
          <w:lang w:val="fr-FR"/>
        </w:rPr>
        <w:t>’</w:t>
      </w:r>
      <w:r w:rsidR="00A161D2">
        <w:rPr>
          <w:rFonts w:eastAsia="Malgun Gothic"/>
          <w:bCs/>
          <w:lang w:val="fr-FR"/>
        </w:rPr>
        <w:t>il serait</w:t>
      </w:r>
      <w:r w:rsidRPr="00A161D2">
        <w:rPr>
          <w:rFonts w:eastAsia="Malgun Gothic"/>
          <w:bCs/>
          <w:lang w:val="fr-FR"/>
        </w:rPr>
        <w:t xml:space="preserve"> possible pour le Comité d</w:t>
      </w:r>
      <w:r w:rsidR="00923E72">
        <w:rPr>
          <w:rFonts w:eastAsia="Malgun Gothic"/>
          <w:bCs/>
          <w:lang w:val="fr-FR"/>
        </w:rPr>
        <w:t>’</w:t>
      </w:r>
      <w:r w:rsidRPr="00A161D2">
        <w:rPr>
          <w:rFonts w:eastAsia="Malgun Gothic"/>
          <w:bCs/>
          <w:lang w:val="fr-FR"/>
        </w:rPr>
        <w:t>inclure la préparation des candidatures à la Liste représentative pour les États n</w:t>
      </w:r>
      <w:r w:rsidR="00923E72">
        <w:rPr>
          <w:rFonts w:eastAsia="Malgun Gothic"/>
          <w:bCs/>
          <w:lang w:val="fr-FR"/>
        </w:rPr>
        <w:t>’</w:t>
      </w:r>
      <w:r w:rsidRPr="00A161D2">
        <w:rPr>
          <w:rFonts w:eastAsia="Malgun Gothic"/>
          <w:bCs/>
          <w:lang w:val="fr-FR"/>
        </w:rPr>
        <w:t xml:space="preserve">ayant pas </w:t>
      </w:r>
      <w:r w:rsidR="00AB04E1">
        <w:rPr>
          <w:rFonts w:eastAsia="Malgun Gothic"/>
          <w:bCs/>
          <w:lang w:val="fr-FR"/>
        </w:rPr>
        <w:t xml:space="preserve">encore </w:t>
      </w:r>
      <w:r w:rsidRPr="00A161D2">
        <w:rPr>
          <w:rFonts w:eastAsia="Malgun Gothic"/>
          <w:bCs/>
          <w:lang w:val="fr-FR"/>
        </w:rPr>
        <w:t>d</w:t>
      </w:r>
      <w:r w:rsidR="00923E72">
        <w:rPr>
          <w:rFonts w:eastAsia="Malgun Gothic"/>
          <w:bCs/>
          <w:lang w:val="fr-FR"/>
        </w:rPr>
        <w:t>’</w:t>
      </w:r>
      <w:r w:rsidRPr="00A161D2">
        <w:rPr>
          <w:rFonts w:eastAsia="Malgun Gothic"/>
          <w:bCs/>
          <w:lang w:val="fr-FR"/>
        </w:rPr>
        <w:t>éléments inscrits</w:t>
      </w:r>
      <w:r w:rsidR="008D0231">
        <w:rPr>
          <w:rFonts w:eastAsia="Malgun Gothic"/>
          <w:bCs/>
          <w:lang w:val="fr-FR"/>
        </w:rPr>
        <w:t>.</w:t>
      </w:r>
    </w:p>
    <w:p w14:paraId="16A05757" w14:textId="2477D053" w:rsidR="00A161D2" w:rsidRDefault="00A161D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A161D2">
        <w:rPr>
          <w:rFonts w:eastAsia="Malgun Gothic"/>
          <w:bCs/>
          <w:lang w:val="fr-FR"/>
        </w:rPr>
        <w:t xml:space="preserve">La délégation de la </w:t>
      </w:r>
      <w:r w:rsidRPr="00A161D2">
        <w:rPr>
          <w:rFonts w:eastAsia="Malgun Gothic"/>
          <w:b/>
          <w:lang w:val="fr-FR"/>
        </w:rPr>
        <w:t>Malaisie</w:t>
      </w:r>
      <w:r w:rsidRPr="00A161D2">
        <w:rPr>
          <w:rFonts w:eastAsia="Malgun Gothic"/>
          <w:bCs/>
          <w:lang w:val="fr-FR"/>
        </w:rPr>
        <w:t xml:space="preserve"> </w:t>
      </w:r>
      <w:r>
        <w:rPr>
          <w:rFonts w:eastAsia="Malgun Gothic"/>
          <w:bCs/>
          <w:lang w:val="fr-FR"/>
        </w:rPr>
        <w:t xml:space="preserve">a déclaré </w:t>
      </w:r>
      <w:r w:rsidRPr="00A161D2">
        <w:rPr>
          <w:rFonts w:eastAsia="Malgun Gothic"/>
          <w:bCs/>
          <w:lang w:val="fr-FR"/>
        </w:rPr>
        <w:t>appréci</w:t>
      </w:r>
      <w:r>
        <w:rPr>
          <w:rFonts w:eastAsia="Malgun Gothic"/>
          <w:bCs/>
          <w:lang w:val="fr-FR"/>
        </w:rPr>
        <w:t>er</w:t>
      </w:r>
      <w:r w:rsidRPr="00A161D2">
        <w:rPr>
          <w:rFonts w:eastAsia="Malgun Gothic"/>
          <w:bCs/>
          <w:lang w:val="fr-FR"/>
        </w:rPr>
        <w:t xml:space="preserve"> les efforts d</w:t>
      </w:r>
      <w:r w:rsidR="008D0231">
        <w:rPr>
          <w:rFonts w:eastAsia="Malgun Gothic"/>
          <w:bCs/>
          <w:lang w:val="fr-FR"/>
        </w:rPr>
        <w:t>éployés par</w:t>
      </w:r>
      <w:r w:rsidRPr="00A161D2">
        <w:rPr>
          <w:rFonts w:eastAsia="Malgun Gothic"/>
          <w:bCs/>
          <w:lang w:val="fr-FR"/>
        </w:rPr>
        <w:t xml:space="preserve"> Secrétariat</w:t>
      </w:r>
      <w:r w:rsidR="008D0231">
        <w:rPr>
          <w:rFonts w:eastAsia="Malgun Gothic"/>
          <w:bCs/>
          <w:lang w:val="fr-FR"/>
        </w:rPr>
        <w:t xml:space="preserve"> afin de poursuivre </w:t>
      </w:r>
      <w:r w:rsidRPr="00A161D2">
        <w:rPr>
          <w:rFonts w:eastAsia="Malgun Gothic"/>
          <w:bCs/>
          <w:lang w:val="fr-FR"/>
        </w:rPr>
        <w:t>ses actions de promotion du mécanisme d</w:t>
      </w:r>
      <w:r w:rsidR="00923E72">
        <w:rPr>
          <w:rFonts w:eastAsia="Malgun Gothic"/>
          <w:bCs/>
          <w:lang w:val="fr-FR"/>
        </w:rPr>
        <w:t>’</w:t>
      </w:r>
      <w:r w:rsidRPr="00A161D2">
        <w:rPr>
          <w:rFonts w:eastAsia="Malgun Gothic"/>
          <w:bCs/>
          <w:lang w:val="fr-FR"/>
        </w:rPr>
        <w:t>assistance internationale, notamment en soutenant techniquement les États parties. L</w:t>
      </w:r>
      <w:r w:rsidR="00923E72">
        <w:rPr>
          <w:rFonts w:eastAsia="Malgun Gothic"/>
          <w:bCs/>
          <w:lang w:val="fr-FR"/>
        </w:rPr>
        <w:t>’</w:t>
      </w:r>
      <w:r w:rsidRPr="00A161D2">
        <w:rPr>
          <w:rFonts w:eastAsia="Malgun Gothic"/>
          <w:bCs/>
          <w:lang w:val="fr-FR"/>
        </w:rPr>
        <w:t>élaboration d</w:t>
      </w:r>
      <w:r w:rsidR="008B5F14">
        <w:rPr>
          <w:rFonts w:eastAsia="Malgun Gothic"/>
          <w:bCs/>
          <w:lang w:val="fr-FR"/>
        </w:rPr>
        <w:t>u « Guide pour faire une demande d</w:t>
      </w:r>
      <w:r w:rsidR="00923E72">
        <w:rPr>
          <w:rFonts w:eastAsia="Malgun Gothic"/>
          <w:bCs/>
          <w:lang w:val="fr-FR"/>
        </w:rPr>
        <w:t>’</w:t>
      </w:r>
      <w:r w:rsidR="008B5F14">
        <w:rPr>
          <w:rFonts w:eastAsia="Malgun Gothic"/>
          <w:bCs/>
          <w:lang w:val="fr-FR"/>
        </w:rPr>
        <w:t>assistance internationale »</w:t>
      </w:r>
      <w:r w:rsidR="008B5F14" w:rsidRPr="00A161D2">
        <w:rPr>
          <w:rFonts w:eastAsia="Malgun Gothic"/>
          <w:bCs/>
          <w:lang w:val="fr-FR"/>
        </w:rPr>
        <w:t xml:space="preserve"> </w:t>
      </w:r>
      <w:r w:rsidRPr="00A161D2">
        <w:rPr>
          <w:rFonts w:eastAsia="Malgun Gothic"/>
          <w:bCs/>
          <w:lang w:val="fr-FR"/>
        </w:rPr>
        <w:t>avait bénéficié aux États parties et à d</w:t>
      </w:r>
      <w:r w:rsidR="00923E72">
        <w:rPr>
          <w:rFonts w:eastAsia="Malgun Gothic"/>
          <w:bCs/>
          <w:lang w:val="fr-FR"/>
        </w:rPr>
        <w:t>’</w:t>
      </w:r>
      <w:r w:rsidRPr="00A161D2">
        <w:rPr>
          <w:rFonts w:eastAsia="Malgun Gothic"/>
          <w:bCs/>
          <w:lang w:val="fr-FR"/>
        </w:rPr>
        <w:t>autres parties prenantes pour promouvoir l</w:t>
      </w:r>
      <w:r w:rsidR="00923E72">
        <w:rPr>
          <w:rFonts w:eastAsia="Malgun Gothic"/>
          <w:bCs/>
          <w:lang w:val="fr-FR"/>
        </w:rPr>
        <w:t>’</w:t>
      </w:r>
      <w:r w:rsidRPr="00A161D2">
        <w:rPr>
          <w:rFonts w:eastAsia="Malgun Gothic"/>
          <w:bCs/>
          <w:lang w:val="fr-FR"/>
        </w:rPr>
        <w:t>objectif de l</w:t>
      </w:r>
      <w:r w:rsidR="00923E72">
        <w:rPr>
          <w:rFonts w:eastAsia="Malgun Gothic"/>
          <w:bCs/>
          <w:lang w:val="fr-FR"/>
        </w:rPr>
        <w:t>’</w:t>
      </w:r>
      <w:r w:rsidRPr="00A161D2">
        <w:rPr>
          <w:rFonts w:eastAsia="Malgun Gothic"/>
          <w:bCs/>
          <w:lang w:val="fr-FR"/>
        </w:rPr>
        <w:t>assistance internationale</w:t>
      </w:r>
      <w:r w:rsidR="00D03D1A">
        <w:rPr>
          <w:rFonts w:eastAsia="Malgun Gothic"/>
          <w:bCs/>
          <w:lang w:val="fr-FR"/>
        </w:rPr>
        <w:t xml:space="preserve"> et</w:t>
      </w:r>
      <w:r w:rsidRPr="00A161D2">
        <w:rPr>
          <w:rFonts w:eastAsia="Malgun Gothic"/>
          <w:bCs/>
          <w:lang w:val="fr-FR"/>
        </w:rPr>
        <w:t xml:space="preserve"> ses modalités et procédures de soumission d</w:t>
      </w:r>
      <w:r w:rsidR="00923E72">
        <w:rPr>
          <w:rFonts w:eastAsia="Malgun Gothic"/>
          <w:bCs/>
          <w:lang w:val="fr-FR"/>
        </w:rPr>
        <w:t>’</w:t>
      </w:r>
      <w:r w:rsidRPr="00A161D2">
        <w:rPr>
          <w:rFonts w:eastAsia="Malgun Gothic"/>
          <w:bCs/>
          <w:lang w:val="fr-FR"/>
        </w:rPr>
        <w:t>une demande au Fonds. La session spéciale</w:t>
      </w:r>
      <w:r w:rsidR="008B5F14">
        <w:rPr>
          <w:rFonts w:eastAsia="Malgun Gothic"/>
          <w:bCs/>
          <w:lang w:val="fr-FR"/>
        </w:rPr>
        <w:t>,</w:t>
      </w:r>
      <w:r w:rsidRPr="00A161D2">
        <w:rPr>
          <w:rFonts w:eastAsia="Malgun Gothic"/>
          <w:bCs/>
          <w:lang w:val="fr-FR"/>
        </w:rPr>
        <w:t xml:space="preserve"> </w:t>
      </w:r>
      <w:r w:rsidR="008B5F14">
        <w:rPr>
          <w:rFonts w:eastAsia="Malgun Gothic"/>
          <w:bCs/>
          <w:lang w:val="fr-FR"/>
        </w:rPr>
        <w:t>organisée</w:t>
      </w:r>
      <w:r w:rsidRPr="00A161D2">
        <w:rPr>
          <w:rFonts w:eastAsia="Malgun Gothic"/>
          <w:bCs/>
          <w:lang w:val="fr-FR"/>
        </w:rPr>
        <w:t xml:space="preserve"> en mars</w:t>
      </w:r>
      <w:r w:rsidR="008D0231">
        <w:rPr>
          <w:rFonts w:eastAsia="Malgun Gothic"/>
          <w:bCs/>
          <w:lang w:val="fr-FR"/>
        </w:rPr>
        <w:t> </w:t>
      </w:r>
      <w:r w:rsidRPr="00A161D2">
        <w:rPr>
          <w:rFonts w:eastAsia="Malgun Gothic"/>
          <w:bCs/>
          <w:lang w:val="fr-FR"/>
        </w:rPr>
        <w:t>2022 pour la région Asie-Pacifique</w:t>
      </w:r>
      <w:r w:rsidR="008B5F14">
        <w:rPr>
          <w:rFonts w:eastAsia="Malgun Gothic"/>
          <w:bCs/>
          <w:lang w:val="fr-FR"/>
        </w:rPr>
        <w:t>,</w:t>
      </w:r>
      <w:r w:rsidRPr="00A161D2">
        <w:rPr>
          <w:rFonts w:eastAsia="Malgun Gothic"/>
          <w:bCs/>
          <w:lang w:val="fr-FR"/>
        </w:rPr>
        <w:t xml:space="preserve"> avait grandement profité à la Malaisie, entre autres pays de la région. Au cours des dernières années, on avait pu observer une réduction significative du nombre de demandes approuvées par le Bureau par rapport au</w:t>
      </w:r>
      <w:r w:rsidR="00E1016D">
        <w:rPr>
          <w:rFonts w:eastAsia="Malgun Gothic"/>
          <w:bCs/>
          <w:lang w:val="fr-FR"/>
        </w:rPr>
        <w:t xml:space="preserve"> nombre de</w:t>
      </w:r>
      <w:r w:rsidRPr="00A161D2">
        <w:rPr>
          <w:rFonts w:eastAsia="Malgun Gothic"/>
          <w:bCs/>
          <w:lang w:val="fr-FR"/>
        </w:rPr>
        <w:t xml:space="preserve"> demandes reçues. </w:t>
      </w:r>
      <w:r w:rsidR="008B5F14">
        <w:rPr>
          <w:rFonts w:eastAsia="Malgun Gothic"/>
          <w:bCs/>
          <w:lang w:val="fr-FR"/>
        </w:rPr>
        <w:t>L</w:t>
      </w:r>
      <w:r w:rsidRPr="00A161D2">
        <w:rPr>
          <w:rFonts w:eastAsia="Malgun Gothic"/>
          <w:bCs/>
          <w:lang w:val="fr-FR"/>
        </w:rPr>
        <w:t xml:space="preserve">a Malaisie a </w:t>
      </w:r>
      <w:r w:rsidR="008B5F14">
        <w:rPr>
          <w:rFonts w:eastAsia="Malgun Gothic"/>
          <w:bCs/>
          <w:lang w:val="fr-FR"/>
        </w:rPr>
        <w:t xml:space="preserve">donc </w:t>
      </w:r>
      <w:r w:rsidRPr="00A161D2">
        <w:rPr>
          <w:rFonts w:eastAsia="Malgun Gothic"/>
          <w:bCs/>
          <w:lang w:val="fr-FR"/>
        </w:rPr>
        <w:t xml:space="preserve">demandé des éclaircissements sur les raisons </w:t>
      </w:r>
      <w:r w:rsidR="008B5F14">
        <w:rPr>
          <w:rFonts w:eastAsia="Malgun Gothic"/>
          <w:bCs/>
          <w:lang w:val="fr-FR"/>
        </w:rPr>
        <w:t>justifiant le</w:t>
      </w:r>
      <w:r w:rsidRPr="00A161D2">
        <w:rPr>
          <w:rFonts w:eastAsia="Malgun Gothic"/>
          <w:bCs/>
          <w:lang w:val="fr-FR"/>
        </w:rPr>
        <w:t xml:space="preserve"> grand nombre de rejets de demandes en</w:t>
      </w:r>
      <w:r w:rsidR="001A7AF7">
        <w:rPr>
          <w:rFonts w:eastAsia="Malgun Gothic"/>
          <w:bCs/>
          <w:lang w:val="fr-FR"/>
        </w:rPr>
        <w:t> </w:t>
      </w:r>
      <w:r w:rsidRPr="00A161D2">
        <w:rPr>
          <w:rFonts w:eastAsia="Malgun Gothic"/>
          <w:bCs/>
          <w:lang w:val="fr-FR"/>
        </w:rPr>
        <w:t>2018.</w:t>
      </w:r>
    </w:p>
    <w:p w14:paraId="58807DA5" w14:textId="7CC074E8" w:rsidR="008B5F14" w:rsidRDefault="008B5F1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8B5F14">
        <w:rPr>
          <w:rFonts w:eastAsia="Malgun Gothic"/>
          <w:bCs/>
          <w:lang w:val="fr-FR"/>
        </w:rPr>
        <w:t xml:space="preserve">La délégation du </w:t>
      </w:r>
      <w:r w:rsidRPr="008B5F14">
        <w:rPr>
          <w:rFonts w:eastAsia="Malgun Gothic"/>
          <w:b/>
          <w:lang w:val="fr-FR"/>
        </w:rPr>
        <w:t>Botswana</w:t>
      </w:r>
      <w:r w:rsidRPr="008B5F14">
        <w:rPr>
          <w:rFonts w:eastAsia="Malgun Gothic"/>
          <w:bCs/>
          <w:lang w:val="fr-FR"/>
        </w:rPr>
        <w:t xml:space="preserve"> s</w:t>
      </w:r>
      <w:r w:rsidR="00923E72">
        <w:rPr>
          <w:rFonts w:eastAsia="Malgun Gothic"/>
          <w:bCs/>
          <w:lang w:val="fr-FR"/>
        </w:rPr>
        <w:t>’</w:t>
      </w:r>
      <w:r w:rsidRPr="008B5F14">
        <w:rPr>
          <w:rFonts w:eastAsia="Malgun Gothic"/>
          <w:bCs/>
          <w:lang w:val="fr-FR"/>
        </w:rPr>
        <w:t>est réjouie du nombre important et croissant de demandes d</w:t>
      </w:r>
      <w:r w:rsidR="00923E72">
        <w:rPr>
          <w:rFonts w:eastAsia="Malgun Gothic"/>
          <w:bCs/>
          <w:lang w:val="fr-FR"/>
        </w:rPr>
        <w:t>’</w:t>
      </w:r>
      <w:r w:rsidRPr="008B5F14">
        <w:rPr>
          <w:rFonts w:eastAsia="Malgun Gothic"/>
          <w:bCs/>
          <w:lang w:val="fr-FR"/>
        </w:rPr>
        <w:t>assistance internationale approuvées au cours de la période</w:t>
      </w:r>
      <w:r>
        <w:rPr>
          <w:rFonts w:eastAsia="Malgun Gothic"/>
          <w:bCs/>
          <w:lang w:val="fr-FR"/>
        </w:rPr>
        <w:t xml:space="preserve"> couverte par le rapport</w:t>
      </w:r>
      <w:r w:rsidRPr="008B5F14">
        <w:rPr>
          <w:rFonts w:eastAsia="Malgun Gothic"/>
          <w:bCs/>
          <w:lang w:val="fr-FR"/>
        </w:rPr>
        <w:t>. Elle a noté que les demandes émanant de l</w:t>
      </w:r>
      <w:r w:rsidR="00923E72">
        <w:rPr>
          <w:rFonts w:eastAsia="Malgun Gothic"/>
          <w:bCs/>
          <w:lang w:val="fr-FR"/>
        </w:rPr>
        <w:t>’</w:t>
      </w:r>
      <w:r w:rsidRPr="008B5F14">
        <w:rPr>
          <w:rFonts w:eastAsia="Malgun Gothic"/>
          <w:bCs/>
          <w:lang w:val="fr-FR"/>
        </w:rPr>
        <w:t>Afrique représentaient</w:t>
      </w:r>
      <w:r w:rsidR="009A34A8">
        <w:rPr>
          <w:rFonts w:eastAsia="Malgun Gothic"/>
          <w:bCs/>
          <w:lang w:val="fr-FR"/>
        </w:rPr>
        <w:t> </w:t>
      </w:r>
      <w:r w:rsidRPr="008B5F14">
        <w:rPr>
          <w:rFonts w:eastAsia="Malgun Gothic"/>
          <w:bCs/>
          <w:lang w:val="fr-FR"/>
        </w:rPr>
        <w:t>43</w:t>
      </w:r>
      <w:r>
        <w:rPr>
          <w:rFonts w:eastAsia="Malgun Gothic"/>
          <w:bCs/>
          <w:lang w:val="fr-FR"/>
        </w:rPr>
        <w:t> </w:t>
      </w:r>
      <w:r w:rsidRPr="008B5F14">
        <w:rPr>
          <w:rFonts w:eastAsia="Malgun Gothic"/>
          <w:bCs/>
          <w:lang w:val="fr-FR"/>
        </w:rPr>
        <w:t>% des projets approuvés, ce qui était conforme à la priorité globale Afrique de l</w:t>
      </w:r>
      <w:r w:rsidR="00923E72">
        <w:rPr>
          <w:rFonts w:eastAsia="Malgun Gothic"/>
          <w:bCs/>
          <w:lang w:val="fr-FR"/>
        </w:rPr>
        <w:t>’</w:t>
      </w:r>
      <w:r w:rsidRPr="008B5F14">
        <w:rPr>
          <w:rFonts w:eastAsia="Malgun Gothic"/>
          <w:bCs/>
          <w:lang w:val="fr-FR"/>
        </w:rPr>
        <w:t>UNESCO. Le Botswana a félicité les États parties qui s</w:t>
      </w:r>
      <w:r w:rsidR="00923E72">
        <w:rPr>
          <w:rFonts w:eastAsia="Malgun Gothic"/>
          <w:bCs/>
          <w:lang w:val="fr-FR"/>
        </w:rPr>
        <w:t>’</w:t>
      </w:r>
      <w:r w:rsidRPr="008B5F14">
        <w:rPr>
          <w:rFonts w:eastAsia="Malgun Gothic"/>
          <w:bCs/>
          <w:lang w:val="fr-FR"/>
        </w:rPr>
        <w:t>étaient vu accorder une assistance internationale pour la première fois. Toutefois, il a</w:t>
      </w:r>
      <w:r>
        <w:rPr>
          <w:rFonts w:eastAsia="Malgun Gothic"/>
          <w:bCs/>
          <w:lang w:val="fr-FR"/>
        </w:rPr>
        <w:t xml:space="preserve"> </w:t>
      </w:r>
      <w:r w:rsidR="008D0231">
        <w:rPr>
          <w:rFonts w:eastAsia="Malgun Gothic"/>
          <w:bCs/>
          <w:lang w:val="fr-FR"/>
        </w:rPr>
        <w:t xml:space="preserve">fait remarquer, </w:t>
      </w:r>
      <w:r w:rsidRPr="008B5F14">
        <w:rPr>
          <w:rFonts w:eastAsia="Malgun Gothic"/>
          <w:bCs/>
          <w:lang w:val="fr-FR"/>
        </w:rPr>
        <w:t>avec</w:t>
      </w:r>
      <w:r>
        <w:rPr>
          <w:rFonts w:eastAsia="Malgun Gothic"/>
          <w:bCs/>
          <w:lang w:val="fr-FR"/>
        </w:rPr>
        <w:t xml:space="preserve"> inquiétude</w:t>
      </w:r>
      <w:r w:rsidR="008D0231">
        <w:rPr>
          <w:rFonts w:eastAsia="Malgun Gothic"/>
          <w:bCs/>
          <w:lang w:val="fr-FR"/>
        </w:rPr>
        <w:t xml:space="preserve">, </w:t>
      </w:r>
      <w:r w:rsidRPr="008B5F14">
        <w:rPr>
          <w:rFonts w:eastAsia="Malgun Gothic"/>
          <w:bCs/>
          <w:lang w:val="fr-FR"/>
        </w:rPr>
        <w:t>qu</w:t>
      </w:r>
      <w:r w:rsidR="00923E72">
        <w:rPr>
          <w:rFonts w:eastAsia="Malgun Gothic"/>
          <w:bCs/>
          <w:lang w:val="fr-FR"/>
        </w:rPr>
        <w:t>’</w:t>
      </w:r>
      <w:r w:rsidRPr="008B5F14">
        <w:rPr>
          <w:rFonts w:eastAsia="Malgun Gothic"/>
          <w:bCs/>
          <w:lang w:val="fr-FR"/>
        </w:rPr>
        <w:t>aucune demande n</w:t>
      </w:r>
      <w:r w:rsidR="00923E72">
        <w:rPr>
          <w:rFonts w:eastAsia="Malgun Gothic"/>
          <w:bCs/>
          <w:lang w:val="fr-FR"/>
        </w:rPr>
        <w:t>’</w:t>
      </w:r>
      <w:r w:rsidRPr="008B5F14">
        <w:rPr>
          <w:rFonts w:eastAsia="Malgun Gothic"/>
          <w:bCs/>
          <w:lang w:val="fr-FR"/>
        </w:rPr>
        <w:t>avait été soumise par les États parties pour élaborer des candidatures à la Liste de sauvegarde urgente ou au Registre des bonnes pratiques de sauvegarde, et qu</w:t>
      </w:r>
      <w:r w:rsidR="00923E72">
        <w:rPr>
          <w:rFonts w:eastAsia="Malgun Gothic"/>
          <w:bCs/>
          <w:lang w:val="fr-FR"/>
        </w:rPr>
        <w:t>’</w:t>
      </w:r>
      <w:r w:rsidRPr="008B5F14">
        <w:rPr>
          <w:rFonts w:eastAsia="Malgun Gothic"/>
          <w:bCs/>
          <w:lang w:val="fr-FR"/>
        </w:rPr>
        <w:t>aucune demande d</w:t>
      </w:r>
      <w:r w:rsidR="00923E72">
        <w:rPr>
          <w:rFonts w:eastAsia="Malgun Gothic"/>
          <w:bCs/>
          <w:lang w:val="fr-FR"/>
        </w:rPr>
        <w:t>’</w:t>
      </w:r>
      <w:r w:rsidRPr="008B5F14">
        <w:rPr>
          <w:rFonts w:eastAsia="Malgun Gothic"/>
          <w:bCs/>
          <w:lang w:val="fr-FR"/>
        </w:rPr>
        <w:t>assistance préparatoire n</w:t>
      </w:r>
      <w:r w:rsidR="00923E72">
        <w:rPr>
          <w:rFonts w:eastAsia="Malgun Gothic"/>
          <w:bCs/>
          <w:lang w:val="fr-FR"/>
        </w:rPr>
        <w:t>’</w:t>
      </w:r>
      <w:r w:rsidRPr="008B5F14">
        <w:rPr>
          <w:rFonts w:eastAsia="Malgun Gothic"/>
          <w:bCs/>
          <w:lang w:val="fr-FR"/>
        </w:rPr>
        <w:t xml:space="preserve">avait été reçue pendant deux années consécutives. Le Botswana </w:t>
      </w:r>
      <w:r w:rsidR="00D03D1A">
        <w:rPr>
          <w:rFonts w:eastAsia="Malgun Gothic"/>
          <w:bCs/>
          <w:lang w:val="fr-FR"/>
        </w:rPr>
        <w:t xml:space="preserve">a informé le </w:t>
      </w:r>
      <w:r w:rsidR="00D03D1A">
        <w:rPr>
          <w:rFonts w:eastAsia="Malgun Gothic"/>
          <w:bCs/>
          <w:lang w:val="fr-FR"/>
        </w:rPr>
        <w:lastRenderedPageBreak/>
        <w:t>Comité qu</w:t>
      </w:r>
      <w:r w:rsidR="00923E72">
        <w:rPr>
          <w:rFonts w:eastAsia="Malgun Gothic"/>
          <w:bCs/>
          <w:lang w:val="fr-FR"/>
        </w:rPr>
        <w:t>’</w:t>
      </w:r>
      <w:r w:rsidR="00D03D1A">
        <w:rPr>
          <w:rFonts w:eastAsia="Malgun Gothic"/>
          <w:bCs/>
          <w:lang w:val="fr-FR"/>
        </w:rPr>
        <w:t xml:space="preserve">il </w:t>
      </w:r>
      <w:r w:rsidRPr="008B5F14">
        <w:rPr>
          <w:rFonts w:eastAsia="Malgun Gothic"/>
          <w:bCs/>
          <w:lang w:val="fr-FR"/>
        </w:rPr>
        <w:t>avait</w:t>
      </w:r>
      <w:r>
        <w:rPr>
          <w:rFonts w:eastAsia="Malgun Gothic"/>
          <w:bCs/>
          <w:lang w:val="fr-FR"/>
        </w:rPr>
        <w:t xml:space="preserve"> </w:t>
      </w:r>
      <w:r w:rsidRPr="008B5F14">
        <w:rPr>
          <w:rFonts w:eastAsia="Malgun Gothic"/>
          <w:bCs/>
          <w:lang w:val="fr-FR"/>
        </w:rPr>
        <w:t xml:space="preserve">soumis une demande </w:t>
      </w:r>
      <w:r>
        <w:rPr>
          <w:rFonts w:eastAsia="Malgun Gothic"/>
          <w:bCs/>
          <w:lang w:val="fr-FR"/>
        </w:rPr>
        <w:t>au</w:t>
      </w:r>
      <w:r w:rsidRPr="008B5F14">
        <w:rPr>
          <w:rFonts w:eastAsia="Malgun Gothic"/>
          <w:bCs/>
          <w:lang w:val="fr-FR"/>
        </w:rPr>
        <w:t xml:space="preserve"> Fonds pour la mise en œuvre du plan de sauvegarde d</w:t>
      </w:r>
      <w:r w:rsidR="003E25A4">
        <w:rPr>
          <w:rFonts w:eastAsia="Malgun Gothic"/>
          <w:bCs/>
          <w:lang w:val="fr-FR"/>
        </w:rPr>
        <w:t>e l</w:t>
      </w:r>
      <w:r w:rsidR="00923E72">
        <w:rPr>
          <w:rFonts w:eastAsia="Malgun Gothic"/>
          <w:bCs/>
          <w:lang w:val="fr-FR"/>
        </w:rPr>
        <w:t>’</w:t>
      </w:r>
      <w:r w:rsidR="003E25A4" w:rsidRPr="003E25A4">
        <w:rPr>
          <w:rFonts w:eastAsia="Malgun Gothic"/>
          <w:bCs/>
          <w:lang w:val="fr-FR"/>
        </w:rPr>
        <w:t>élément</w:t>
      </w:r>
      <w:r>
        <w:rPr>
          <w:rFonts w:eastAsia="Malgun Gothic"/>
          <w:bCs/>
          <w:lang w:val="fr-FR"/>
        </w:rPr>
        <w:t xml:space="preserve"> </w:t>
      </w:r>
      <w:r w:rsidR="00CB0F4C">
        <w:rPr>
          <w:rFonts w:eastAsia="Malgun Gothic"/>
          <w:bCs/>
          <w:lang w:val="fr-FR"/>
        </w:rPr>
        <w:t>« </w:t>
      </w:r>
      <w:r w:rsidR="003E25A4">
        <w:rPr>
          <w:rFonts w:eastAsia="Malgun Gothic"/>
          <w:bCs/>
          <w:lang w:val="fr-FR"/>
        </w:rPr>
        <w:t xml:space="preserve">Le </w:t>
      </w:r>
      <w:proofErr w:type="spellStart"/>
      <w:r>
        <w:rPr>
          <w:rFonts w:eastAsia="Malgun Gothic"/>
          <w:bCs/>
          <w:lang w:val="fr-FR"/>
        </w:rPr>
        <w:t>seperu</w:t>
      </w:r>
      <w:proofErr w:type="spellEnd"/>
      <w:r>
        <w:rPr>
          <w:rFonts w:eastAsia="Malgun Gothic"/>
          <w:bCs/>
          <w:lang w:val="fr-FR"/>
        </w:rPr>
        <w:t>,</w:t>
      </w:r>
      <w:r w:rsidRPr="008B5F14">
        <w:rPr>
          <w:rFonts w:eastAsia="Malgun Gothic"/>
          <w:bCs/>
          <w:lang w:val="fr-FR"/>
        </w:rPr>
        <w:t xml:space="preserve"> danse </w:t>
      </w:r>
      <w:r>
        <w:rPr>
          <w:rFonts w:eastAsia="Malgun Gothic"/>
          <w:bCs/>
          <w:lang w:val="fr-FR"/>
        </w:rPr>
        <w:t xml:space="preserve">populaire </w:t>
      </w:r>
      <w:r w:rsidRPr="008B5F14">
        <w:rPr>
          <w:rFonts w:eastAsia="Malgun Gothic"/>
          <w:bCs/>
          <w:lang w:val="fr-FR"/>
        </w:rPr>
        <w:t>et pratiques associées</w:t>
      </w:r>
      <w:r w:rsidR="00CB0F4C">
        <w:rPr>
          <w:rFonts w:eastAsia="Malgun Gothic"/>
          <w:bCs/>
          <w:lang w:val="fr-FR"/>
        </w:rPr>
        <w:t> »</w:t>
      </w:r>
      <w:r w:rsidRPr="008B5F14">
        <w:rPr>
          <w:rFonts w:eastAsia="Malgun Gothic"/>
          <w:bCs/>
          <w:lang w:val="fr-FR"/>
        </w:rPr>
        <w:t>.</w:t>
      </w:r>
    </w:p>
    <w:p w14:paraId="65BF6C39" w14:textId="086CB6F4" w:rsidR="008B5F14" w:rsidRDefault="003F4DA7"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3F4DA7">
        <w:rPr>
          <w:rFonts w:eastAsia="Malgun Gothic"/>
          <w:bCs/>
          <w:lang w:val="fr-FR"/>
        </w:rPr>
        <w:t xml:space="preserve">Le </w:t>
      </w:r>
      <w:r w:rsidRPr="003F4DA7">
        <w:rPr>
          <w:rFonts w:eastAsia="Malgun Gothic"/>
          <w:b/>
          <w:lang w:val="fr-FR"/>
        </w:rPr>
        <w:t>Secrétaire</w:t>
      </w:r>
      <w:r w:rsidRPr="003F4DA7">
        <w:rPr>
          <w:rFonts w:eastAsia="Malgun Gothic"/>
          <w:bCs/>
          <w:lang w:val="fr-FR"/>
        </w:rPr>
        <w:t xml:space="preserve"> avait </w:t>
      </w:r>
      <w:r w:rsidR="00E1016D">
        <w:rPr>
          <w:rFonts w:eastAsia="Malgun Gothic"/>
          <w:bCs/>
          <w:lang w:val="fr-FR"/>
        </w:rPr>
        <w:t xml:space="preserve">noté </w:t>
      </w:r>
      <w:r w:rsidRPr="003F4DA7">
        <w:rPr>
          <w:rFonts w:eastAsia="Malgun Gothic"/>
          <w:bCs/>
          <w:lang w:val="fr-FR"/>
        </w:rPr>
        <w:t>une question de la Suède concernant la possibilité de financer l</w:t>
      </w:r>
      <w:r w:rsidR="00923E72">
        <w:rPr>
          <w:rFonts w:eastAsia="Malgun Gothic"/>
          <w:bCs/>
          <w:lang w:val="fr-FR"/>
        </w:rPr>
        <w:t>’</w:t>
      </w:r>
      <w:r w:rsidRPr="003F4DA7">
        <w:rPr>
          <w:rFonts w:eastAsia="Malgun Gothic"/>
          <w:bCs/>
          <w:lang w:val="fr-FR"/>
        </w:rPr>
        <w:t xml:space="preserve">assistance préparatoire pour les dossiers de candidature à la Liste représentative </w:t>
      </w:r>
      <w:r w:rsidR="00E1016D">
        <w:rPr>
          <w:rFonts w:eastAsia="Malgun Gothic"/>
          <w:bCs/>
          <w:lang w:val="fr-FR"/>
        </w:rPr>
        <w:t xml:space="preserve">soumis par </w:t>
      </w:r>
      <w:r w:rsidRPr="003F4DA7">
        <w:rPr>
          <w:rFonts w:eastAsia="Malgun Gothic"/>
          <w:bCs/>
          <w:lang w:val="fr-FR"/>
        </w:rPr>
        <w:t>les États n</w:t>
      </w:r>
      <w:r w:rsidR="00923E72">
        <w:rPr>
          <w:rFonts w:eastAsia="Malgun Gothic"/>
          <w:bCs/>
          <w:lang w:val="fr-FR"/>
        </w:rPr>
        <w:t>’</w:t>
      </w:r>
      <w:r w:rsidRPr="003F4DA7">
        <w:rPr>
          <w:rFonts w:eastAsia="Malgun Gothic"/>
          <w:bCs/>
          <w:lang w:val="fr-FR"/>
        </w:rPr>
        <w:t>ayant aucun élément inscrit</w:t>
      </w:r>
      <w:r w:rsidR="00E1016D">
        <w:rPr>
          <w:rFonts w:eastAsia="Malgun Gothic"/>
          <w:bCs/>
          <w:lang w:val="fr-FR"/>
        </w:rPr>
        <w:t xml:space="preserve"> </w:t>
      </w:r>
      <w:r w:rsidRPr="003F4DA7">
        <w:rPr>
          <w:rFonts w:eastAsia="Malgun Gothic"/>
          <w:bCs/>
          <w:lang w:val="fr-FR"/>
        </w:rPr>
        <w:t>ainsi qu</w:t>
      </w:r>
      <w:r w:rsidR="00923E72">
        <w:rPr>
          <w:rFonts w:eastAsia="Malgun Gothic"/>
          <w:bCs/>
          <w:lang w:val="fr-FR"/>
        </w:rPr>
        <w:t>’</w:t>
      </w:r>
      <w:r w:rsidRPr="003F4DA7">
        <w:rPr>
          <w:rFonts w:eastAsia="Malgun Gothic"/>
          <w:bCs/>
          <w:lang w:val="fr-FR"/>
        </w:rPr>
        <w:t>une question de la Malaisie concernant le cycle</w:t>
      </w:r>
      <w:r w:rsidR="00DB6A4B">
        <w:rPr>
          <w:rFonts w:eastAsia="Malgun Gothic"/>
          <w:bCs/>
          <w:lang w:val="fr-FR"/>
        </w:rPr>
        <w:t> </w:t>
      </w:r>
      <w:r w:rsidRPr="003F4DA7">
        <w:rPr>
          <w:rFonts w:eastAsia="Malgun Gothic"/>
          <w:bCs/>
          <w:lang w:val="fr-FR"/>
        </w:rPr>
        <w:t>2018. Le Secrétaire a également remercié le Botswana d</w:t>
      </w:r>
      <w:r w:rsidR="00923E72">
        <w:rPr>
          <w:rFonts w:eastAsia="Malgun Gothic"/>
          <w:bCs/>
          <w:lang w:val="fr-FR"/>
        </w:rPr>
        <w:t>’</w:t>
      </w:r>
      <w:r w:rsidRPr="003F4DA7">
        <w:rPr>
          <w:rFonts w:eastAsia="Malgun Gothic"/>
          <w:bCs/>
          <w:lang w:val="fr-FR"/>
        </w:rPr>
        <w:t xml:space="preserve">avoir </w:t>
      </w:r>
      <w:r w:rsidR="00524833">
        <w:rPr>
          <w:rFonts w:eastAsia="Malgun Gothic"/>
          <w:bCs/>
          <w:lang w:val="fr-FR"/>
        </w:rPr>
        <w:t xml:space="preserve">évoqué </w:t>
      </w:r>
      <w:r w:rsidRPr="003F4DA7">
        <w:rPr>
          <w:rFonts w:eastAsia="Malgun Gothic"/>
          <w:bCs/>
          <w:lang w:val="fr-FR"/>
        </w:rPr>
        <w:t>le fait qu</w:t>
      </w:r>
      <w:r w:rsidR="00923E72">
        <w:rPr>
          <w:rFonts w:eastAsia="Malgun Gothic"/>
          <w:bCs/>
          <w:lang w:val="fr-FR"/>
        </w:rPr>
        <w:t>’</w:t>
      </w:r>
      <w:r w:rsidRPr="003F4DA7">
        <w:rPr>
          <w:rFonts w:eastAsia="Malgun Gothic"/>
          <w:bCs/>
          <w:lang w:val="fr-FR"/>
        </w:rPr>
        <w:t>aucune demande n</w:t>
      </w:r>
      <w:r w:rsidR="00923E72">
        <w:rPr>
          <w:rFonts w:eastAsia="Malgun Gothic"/>
          <w:bCs/>
          <w:lang w:val="fr-FR"/>
        </w:rPr>
        <w:t>’</w:t>
      </w:r>
      <w:r w:rsidRPr="003F4DA7">
        <w:rPr>
          <w:rFonts w:eastAsia="Malgun Gothic"/>
          <w:bCs/>
          <w:lang w:val="fr-FR"/>
        </w:rPr>
        <w:t>avait été reçue</w:t>
      </w:r>
      <w:r w:rsidR="00FE43D2">
        <w:rPr>
          <w:rFonts w:eastAsia="Malgun Gothic"/>
          <w:bCs/>
          <w:lang w:val="fr-FR"/>
        </w:rPr>
        <w:t>,</w:t>
      </w:r>
      <w:r w:rsidRPr="003F4DA7">
        <w:rPr>
          <w:rFonts w:eastAsia="Malgun Gothic"/>
          <w:bCs/>
          <w:lang w:val="fr-FR"/>
        </w:rPr>
        <w:t xml:space="preserve"> au cours des deux dernières années</w:t>
      </w:r>
      <w:r w:rsidR="00FE43D2">
        <w:rPr>
          <w:rFonts w:eastAsia="Malgun Gothic"/>
          <w:bCs/>
          <w:lang w:val="fr-FR"/>
        </w:rPr>
        <w:t>,</w:t>
      </w:r>
      <w:r w:rsidRPr="003F4DA7">
        <w:rPr>
          <w:rFonts w:eastAsia="Malgun Gothic"/>
          <w:bCs/>
          <w:lang w:val="fr-FR"/>
        </w:rPr>
        <w:t xml:space="preserve"> </w:t>
      </w:r>
      <w:r w:rsidR="00FE43D2">
        <w:rPr>
          <w:rFonts w:eastAsia="Malgun Gothic"/>
          <w:bCs/>
          <w:lang w:val="fr-FR"/>
        </w:rPr>
        <w:t xml:space="preserve">au titre de </w:t>
      </w:r>
      <w:r w:rsidRPr="003F4DA7">
        <w:rPr>
          <w:rFonts w:eastAsia="Malgun Gothic"/>
          <w:bCs/>
          <w:lang w:val="fr-FR"/>
        </w:rPr>
        <w:t>l</w:t>
      </w:r>
      <w:r w:rsidR="00923E72">
        <w:rPr>
          <w:rFonts w:eastAsia="Malgun Gothic"/>
          <w:bCs/>
          <w:lang w:val="fr-FR"/>
        </w:rPr>
        <w:t>’</w:t>
      </w:r>
      <w:r w:rsidRPr="003F4DA7">
        <w:rPr>
          <w:rFonts w:eastAsia="Malgun Gothic"/>
          <w:bCs/>
          <w:lang w:val="fr-FR"/>
        </w:rPr>
        <w:t>assistance préparatoire à une inscription sur la Liste de sauvegarde urgente ou à une proposition pour le Registre des bonnes pratiques de sauvegarde. Il a également assuré l</w:t>
      </w:r>
      <w:r w:rsidR="00923E72">
        <w:rPr>
          <w:rFonts w:eastAsia="Malgun Gothic"/>
          <w:bCs/>
          <w:lang w:val="fr-FR"/>
        </w:rPr>
        <w:t>’</w:t>
      </w:r>
      <w:r w:rsidRPr="003F4DA7">
        <w:rPr>
          <w:rFonts w:eastAsia="Malgun Gothic"/>
          <w:bCs/>
          <w:lang w:val="fr-FR"/>
        </w:rPr>
        <w:t xml:space="preserve">Inde que le Secrétariat trouverait un moyen </w:t>
      </w:r>
      <w:r w:rsidR="00E1016D">
        <w:rPr>
          <w:rFonts w:eastAsia="Malgun Gothic"/>
          <w:bCs/>
          <w:lang w:val="fr-FR"/>
        </w:rPr>
        <w:t>afin que l</w:t>
      </w:r>
      <w:r w:rsidR="00923E72">
        <w:rPr>
          <w:rFonts w:eastAsia="Malgun Gothic"/>
          <w:bCs/>
          <w:lang w:val="fr-FR"/>
        </w:rPr>
        <w:t>’</w:t>
      </w:r>
      <w:r w:rsidR="00E1016D">
        <w:rPr>
          <w:rFonts w:eastAsia="Malgun Gothic"/>
          <w:bCs/>
          <w:lang w:val="fr-FR"/>
        </w:rPr>
        <w:t>on</w:t>
      </w:r>
      <w:r w:rsidR="00CB0F4C">
        <w:rPr>
          <w:rFonts w:eastAsia="Malgun Gothic"/>
          <w:bCs/>
          <w:lang w:val="fr-FR"/>
        </w:rPr>
        <w:t xml:space="preserve"> </w:t>
      </w:r>
      <w:r w:rsidR="00E1016D">
        <w:rPr>
          <w:rFonts w:eastAsia="Malgun Gothic"/>
          <w:bCs/>
          <w:lang w:val="fr-FR"/>
        </w:rPr>
        <w:t xml:space="preserve">trouve </w:t>
      </w:r>
      <w:r w:rsidR="00FB64D6">
        <w:rPr>
          <w:rFonts w:eastAsia="Malgun Gothic"/>
          <w:bCs/>
          <w:lang w:val="fr-FR"/>
        </w:rPr>
        <w:t xml:space="preserve">plus aisément </w:t>
      </w:r>
      <w:r w:rsidRPr="003F4DA7">
        <w:rPr>
          <w:rFonts w:eastAsia="Malgun Gothic"/>
          <w:bCs/>
          <w:lang w:val="fr-FR"/>
        </w:rPr>
        <w:t xml:space="preserve">le </w:t>
      </w:r>
      <w:r w:rsidR="00FB64D6">
        <w:rPr>
          <w:rFonts w:eastAsia="Malgun Gothic"/>
          <w:bCs/>
          <w:lang w:val="fr-FR"/>
        </w:rPr>
        <w:t>« Guide pour faire une demande d</w:t>
      </w:r>
      <w:r w:rsidR="00923E72">
        <w:rPr>
          <w:rFonts w:eastAsia="Malgun Gothic"/>
          <w:bCs/>
          <w:lang w:val="fr-FR"/>
        </w:rPr>
        <w:t>’</w:t>
      </w:r>
      <w:r w:rsidR="00FB64D6">
        <w:rPr>
          <w:rFonts w:eastAsia="Malgun Gothic"/>
          <w:bCs/>
          <w:lang w:val="fr-FR"/>
        </w:rPr>
        <w:t xml:space="preserve">assistance internationale » </w:t>
      </w:r>
      <w:r w:rsidRPr="003F4DA7">
        <w:rPr>
          <w:rFonts w:eastAsia="Malgun Gothic"/>
          <w:bCs/>
          <w:lang w:val="fr-FR"/>
        </w:rPr>
        <w:t>sur le site web de la Convention. En fait, le site web venait d</w:t>
      </w:r>
      <w:r w:rsidR="00923E72">
        <w:rPr>
          <w:rFonts w:eastAsia="Malgun Gothic"/>
          <w:bCs/>
          <w:lang w:val="fr-FR"/>
        </w:rPr>
        <w:t>’</w:t>
      </w:r>
      <w:r w:rsidRPr="003F4DA7">
        <w:rPr>
          <w:rFonts w:eastAsia="Malgun Gothic"/>
          <w:bCs/>
          <w:lang w:val="fr-FR"/>
        </w:rPr>
        <w:t>être réorganisé et il serait donc un peu plus facile d</w:t>
      </w:r>
      <w:r w:rsidR="00923E72">
        <w:rPr>
          <w:rFonts w:eastAsia="Malgun Gothic"/>
          <w:bCs/>
          <w:lang w:val="fr-FR"/>
        </w:rPr>
        <w:t>’</w:t>
      </w:r>
      <w:r w:rsidRPr="003F4DA7">
        <w:rPr>
          <w:rFonts w:eastAsia="Malgun Gothic"/>
          <w:bCs/>
          <w:lang w:val="fr-FR"/>
        </w:rPr>
        <w:t>y accéder. La question posée par la Suède était intéressante et pertinente, et prenait en considération l</w:t>
      </w:r>
      <w:r w:rsidR="00FB64D6">
        <w:rPr>
          <w:rFonts w:eastAsia="Malgun Gothic"/>
          <w:bCs/>
          <w:lang w:val="fr-FR"/>
        </w:rPr>
        <w:t>a non-allocation des fonds</w:t>
      </w:r>
      <w:r w:rsidRPr="003F4DA7">
        <w:rPr>
          <w:rFonts w:eastAsia="Malgun Gothic"/>
          <w:bCs/>
          <w:lang w:val="fr-FR"/>
        </w:rPr>
        <w:t xml:space="preserve"> disponibles pour le Registre des bonnes pratiques de sauvegarde et la Liste de sauvegarde urgente. Cependant, le Secrétariat n</w:t>
      </w:r>
      <w:r w:rsidR="00923E72">
        <w:rPr>
          <w:rFonts w:eastAsia="Malgun Gothic"/>
          <w:bCs/>
          <w:lang w:val="fr-FR"/>
        </w:rPr>
        <w:t>’</w:t>
      </w:r>
      <w:r w:rsidRPr="003F4DA7">
        <w:rPr>
          <w:rFonts w:eastAsia="Malgun Gothic"/>
          <w:bCs/>
          <w:lang w:val="fr-FR"/>
        </w:rPr>
        <w:t>était pas nécessairement limité par le texte de la Convention</w:t>
      </w:r>
      <w:r w:rsidR="00D03D1A">
        <w:rPr>
          <w:rFonts w:eastAsia="Malgun Gothic"/>
          <w:bCs/>
          <w:lang w:val="fr-FR"/>
        </w:rPr>
        <w:t>,</w:t>
      </w:r>
      <w:r w:rsidRPr="003F4DA7">
        <w:rPr>
          <w:rFonts w:eastAsia="Malgun Gothic"/>
          <w:bCs/>
          <w:lang w:val="fr-FR"/>
        </w:rPr>
        <w:t xml:space="preserve"> mais plutôt par les Directives opérationnelles</w:t>
      </w:r>
      <w:r w:rsidR="00FE43D2">
        <w:rPr>
          <w:rFonts w:eastAsia="Malgun Gothic"/>
          <w:bCs/>
          <w:lang w:val="fr-FR"/>
        </w:rPr>
        <w:t>,</w:t>
      </w:r>
      <w:r w:rsidRPr="003F4DA7">
        <w:rPr>
          <w:rFonts w:eastAsia="Malgun Gothic"/>
          <w:bCs/>
          <w:lang w:val="fr-FR"/>
        </w:rPr>
        <w:t xml:space="preserve"> qui, au paragraphe</w:t>
      </w:r>
      <w:r w:rsidR="008F5CA2">
        <w:rPr>
          <w:rFonts w:eastAsia="Malgun Gothic"/>
          <w:bCs/>
          <w:lang w:val="fr-FR"/>
        </w:rPr>
        <w:t> </w:t>
      </w:r>
      <w:r w:rsidRPr="003F4DA7">
        <w:rPr>
          <w:rFonts w:eastAsia="Malgun Gothic"/>
          <w:bCs/>
          <w:lang w:val="fr-FR"/>
        </w:rPr>
        <w:t xml:space="preserve">21, </w:t>
      </w:r>
      <w:r w:rsidR="00D03D1A">
        <w:rPr>
          <w:rFonts w:eastAsia="Malgun Gothic"/>
          <w:bCs/>
          <w:lang w:val="fr-FR"/>
        </w:rPr>
        <w:t>exposent les grandes lignes d</w:t>
      </w:r>
      <w:r w:rsidRPr="003F4DA7">
        <w:rPr>
          <w:rFonts w:eastAsia="Malgun Gothic"/>
          <w:bCs/>
          <w:lang w:val="fr-FR"/>
        </w:rPr>
        <w:t>es formes d</w:t>
      </w:r>
      <w:r w:rsidR="00923E72">
        <w:rPr>
          <w:rFonts w:eastAsia="Malgun Gothic"/>
          <w:bCs/>
          <w:lang w:val="fr-FR"/>
        </w:rPr>
        <w:t>’</w:t>
      </w:r>
      <w:r w:rsidRPr="003F4DA7">
        <w:rPr>
          <w:rFonts w:eastAsia="Malgun Gothic"/>
          <w:bCs/>
          <w:lang w:val="fr-FR"/>
        </w:rPr>
        <w:t>assistance préparatoire p</w:t>
      </w:r>
      <w:r w:rsidR="002F62D9">
        <w:rPr>
          <w:rFonts w:eastAsia="Malgun Gothic"/>
          <w:bCs/>
          <w:lang w:val="fr-FR"/>
        </w:rPr>
        <w:t>ouvant</w:t>
      </w:r>
      <w:r w:rsidRPr="003F4DA7">
        <w:rPr>
          <w:rFonts w:eastAsia="Malgun Gothic"/>
          <w:bCs/>
          <w:lang w:val="fr-FR"/>
        </w:rPr>
        <w:t xml:space="preserve"> être accordées. Celles-ci venaient d</w:t>
      </w:r>
      <w:r w:rsidR="00923E72">
        <w:rPr>
          <w:rFonts w:eastAsia="Malgun Gothic"/>
          <w:bCs/>
          <w:lang w:val="fr-FR"/>
        </w:rPr>
        <w:t>’</w:t>
      </w:r>
      <w:r w:rsidRPr="003F4DA7">
        <w:rPr>
          <w:rFonts w:eastAsia="Malgun Gothic"/>
          <w:bCs/>
          <w:lang w:val="fr-FR"/>
        </w:rPr>
        <w:t xml:space="preserve">être étendues dans le cadre de la réflexion </w:t>
      </w:r>
      <w:r w:rsidR="00FB64D6">
        <w:rPr>
          <w:rFonts w:eastAsia="Malgun Gothic"/>
          <w:bCs/>
          <w:lang w:val="fr-FR"/>
        </w:rPr>
        <w:t>menée par le</w:t>
      </w:r>
      <w:r w:rsidRPr="003F4DA7">
        <w:rPr>
          <w:rFonts w:eastAsia="Malgun Gothic"/>
          <w:bCs/>
          <w:lang w:val="fr-FR"/>
        </w:rPr>
        <w:t xml:space="preserve"> groupe </w:t>
      </w:r>
      <w:r w:rsidR="00FB64D6">
        <w:rPr>
          <w:rFonts w:eastAsia="Malgun Gothic"/>
          <w:bCs/>
          <w:lang w:val="fr-FR"/>
        </w:rPr>
        <w:t xml:space="preserve">de travail </w:t>
      </w:r>
      <w:r w:rsidRPr="003F4DA7">
        <w:rPr>
          <w:rFonts w:eastAsia="Malgun Gothic"/>
          <w:bCs/>
          <w:lang w:val="fr-FR"/>
        </w:rPr>
        <w:t>à composition non limitée, puisqu</w:t>
      </w:r>
      <w:r w:rsidR="00E1016D">
        <w:rPr>
          <w:rFonts w:eastAsia="Malgun Gothic"/>
          <w:bCs/>
          <w:lang w:val="fr-FR"/>
        </w:rPr>
        <w:t xml:space="preserve">e, </w:t>
      </w:r>
      <w:r w:rsidRPr="003F4DA7">
        <w:rPr>
          <w:rFonts w:eastAsia="Malgun Gothic"/>
          <w:bCs/>
          <w:lang w:val="fr-FR"/>
        </w:rPr>
        <w:t>initialement</w:t>
      </w:r>
      <w:r w:rsidR="00E1016D">
        <w:rPr>
          <w:rFonts w:eastAsia="Malgun Gothic"/>
          <w:bCs/>
          <w:lang w:val="fr-FR"/>
        </w:rPr>
        <w:t>,</w:t>
      </w:r>
      <w:r w:rsidRPr="003F4DA7">
        <w:rPr>
          <w:rFonts w:eastAsia="Malgun Gothic"/>
          <w:bCs/>
          <w:lang w:val="fr-FR"/>
        </w:rPr>
        <w:t xml:space="preserve"> l</w:t>
      </w:r>
      <w:r w:rsidR="00923E72">
        <w:rPr>
          <w:rFonts w:eastAsia="Malgun Gothic"/>
          <w:bCs/>
          <w:lang w:val="fr-FR"/>
        </w:rPr>
        <w:t>’</w:t>
      </w:r>
      <w:r w:rsidRPr="003F4DA7">
        <w:rPr>
          <w:rFonts w:eastAsia="Malgun Gothic"/>
          <w:bCs/>
          <w:lang w:val="fr-FR"/>
        </w:rPr>
        <w:t>assistance n</w:t>
      </w:r>
      <w:r w:rsidR="00923E72">
        <w:rPr>
          <w:rFonts w:eastAsia="Malgun Gothic"/>
          <w:bCs/>
          <w:lang w:val="fr-FR"/>
        </w:rPr>
        <w:t>’</w:t>
      </w:r>
      <w:r w:rsidRPr="003F4DA7">
        <w:rPr>
          <w:rFonts w:eastAsia="Malgun Gothic"/>
          <w:bCs/>
          <w:lang w:val="fr-FR"/>
        </w:rPr>
        <w:t xml:space="preserve">était accordée que pour les candidatures à la Liste de sauvegarde urgente et les propositions aux </w:t>
      </w:r>
      <w:r w:rsidR="00FB64D6">
        <w:rPr>
          <w:rFonts w:eastAsia="Malgun Gothic"/>
          <w:bCs/>
          <w:lang w:val="fr-FR"/>
        </w:rPr>
        <w:t>Registre des b</w:t>
      </w:r>
      <w:r w:rsidRPr="003F4DA7">
        <w:rPr>
          <w:rFonts w:eastAsia="Malgun Gothic"/>
          <w:bCs/>
          <w:lang w:val="fr-FR"/>
        </w:rPr>
        <w:t>onnes pratiques de sauvegarde. L</w:t>
      </w:r>
      <w:r w:rsidR="00923E72">
        <w:rPr>
          <w:rFonts w:eastAsia="Malgun Gothic"/>
          <w:bCs/>
          <w:lang w:val="fr-FR"/>
        </w:rPr>
        <w:t>’</w:t>
      </w:r>
      <w:r w:rsidRPr="003F4DA7">
        <w:rPr>
          <w:rFonts w:eastAsia="Malgun Gothic"/>
          <w:bCs/>
          <w:lang w:val="fr-FR"/>
        </w:rPr>
        <w:t>assistance préparatoire pouvait désormais être demandée pour le transfert d</w:t>
      </w:r>
      <w:r w:rsidR="00923E72">
        <w:rPr>
          <w:rFonts w:eastAsia="Malgun Gothic"/>
          <w:bCs/>
          <w:lang w:val="fr-FR"/>
        </w:rPr>
        <w:t>’</w:t>
      </w:r>
      <w:r w:rsidRPr="003F4DA7">
        <w:rPr>
          <w:rFonts w:eastAsia="Malgun Gothic"/>
          <w:bCs/>
          <w:lang w:val="fr-FR"/>
        </w:rPr>
        <w:t>un élément d</w:t>
      </w:r>
      <w:r w:rsidR="00923E72">
        <w:rPr>
          <w:rFonts w:eastAsia="Malgun Gothic"/>
          <w:bCs/>
          <w:lang w:val="fr-FR"/>
        </w:rPr>
        <w:t>’</w:t>
      </w:r>
      <w:r w:rsidRPr="003F4DA7">
        <w:rPr>
          <w:rFonts w:eastAsia="Malgun Gothic"/>
          <w:bCs/>
          <w:lang w:val="fr-FR"/>
        </w:rPr>
        <w:t>une liste à une autre et pour l</w:t>
      </w:r>
      <w:r w:rsidR="00923E72">
        <w:rPr>
          <w:rFonts w:eastAsia="Malgun Gothic"/>
          <w:bCs/>
          <w:lang w:val="fr-FR"/>
        </w:rPr>
        <w:t>’</w:t>
      </w:r>
      <w:r w:rsidR="00CB0F4C">
        <w:rPr>
          <w:rFonts w:eastAsia="Malgun Gothic"/>
          <w:bCs/>
          <w:lang w:val="fr-FR"/>
        </w:rPr>
        <w:t>extension</w:t>
      </w:r>
      <w:r w:rsidRPr="003F4DA7">
        <w:rPr>
          <w:rFonts w:eastAsia="Malgun Gothic"/>
          <w:bCs/>
          <w:lang w:val="fr-FR"/>
        </w:rPr>
        <w:t xml:space="preserve"> ou la réduction d</w:t>
      </w:r>
      <w:r w:rsidR="00923E72">
        <w:rPr>
          <w:rFonts w:eastAsia="Malgun Gothic"/>
          <w:bCs/>
          <w:lang w:val="fr-FR"/>
        </w:rPr>
        <w:t>’</w:t>
      </w:r>
      <w:r w:rsidRPr="003F4DA7">
        <w:rPr>
          <w:rFonts w:eastAsia="Malgun Gothic"/>
          <w:bCs/>
          <w:lang w:val="fr-FR"/>
        </w:rPr>
        <w:t xml:space="preserve">éléments multinationaux. Toutefois, aucune disposition ne portait sur les candidatures à la </w:t>
      </w:r>
      <w:r w:rsidR="00FB64D6">
        <w:rPr>
          <w:rFonts w:eastAsia="Malgun Gothic"/>
          <w:bCs/>
          <w:lang w:val="fr-FR"/>
        </w:rPr>
        <w:t>L</w:t>
      </w:r>
      <w:r w:rsidRPr="003F4DA7">
        <w:rPr>
          <w:rFonts w:eastAsia="Malgun Gothic"/>
          <w:bCs/>
          <w:lang w:val="fr-FR"/>
        </w:rPr>
        <w:t>iste représentative. Cela ne signifiait pas que ce n</w:t>
      </w:r>
      <w:r w:rsidR="00923E72">
        <w:rPr>
          <w:rFonts w:eastAsia="Malgun Gothic"/>
          <w:bCs/>
          <w:lang w:val="fr-FR"/>
        </w:rPr>
        <w:t>’</w:t>
      </w:r>
      <w:r w:rsidRPr="003F4DA7">
        <w:rPr>
          <w:rFonts w:eastAsia="Malgun Gothic"/>
          <w:bCs/>
          <w:lang w:val="fr-FR"/>
        </w:rPr>
        <w:t>était pas possible, mais simplement que le Comité devrait transmettre sa demande à l</w:t>
      </w:r>
      <w:r w:rsidR="00923E72">
        <w:rPr>
          <w:rFonts w:eastAsia="Malgun Gothic"/>
          <w:bCs/>
          <w:lang w:val="fr-FR"/>
        </w:rPr>
        <w:t>’</w:t>
      </w:r>
      <w:r w:rsidRPr="003F4DA7">
        <w:rPr>
          <w:rFonts w:eastAsia="Malgun Gothic"/>
          <w:bCs/>
          <w:lang w:val="fr-FR"/>
        </w:rPr>
        <w:t xml:space="preserve">Assemblée générale avec sa proposition </w:t>
      </w:r>
      <w:r w:rsidR="00BC7204">
        <w:rPr>
          <w:rFonts w:eastAsia="Malgun Gothic"/>
          <w:bCs/>
          <w:lang w:val="fr-FR"/>
        </w:rPr>
        <w:t>afin d</w:t>
      </w:r>
      <w:r w:rsidR="00923E72">
        <w:rPr>
          <w:rFonts w:eastAsia="Malgun Gothic"/>
          <w:bCs/>
          <w:lang w:val="fr-FR"/>
        </w:rPr>
        <w:t>’</w:t>
      </w:r>
      <w:r w:rsidR="00BC7204">
        <w:rPr>
          <w:rFonts w:eastAsia="Malgun Gothic"/>
          <w:bCs/>
          <w:lang w:val="fr-FR"/>
        </w:rPr>
        <w:t>inclure l</w:t>
      </w:r>
      <w:r w:rsidR="00923E72">
        <w:rPr>
          <w:rFonts w:eastAsia="Malgun Gothic"/>
          <w:bCs/>
          <w:lang w:val="fr-FR"/>
        </w:rPr>
        <w:t>’</w:t>
      </w:r>
      <w:r w:rsidR="00BC7204">
        <w:rPr>
          <w:rFonts w:eastAsia="Malgun Gothic"/>
          <w:bCs/>
          <w:lang w:val="fr-FR"/>
        </w:rPr>
        <w:t xml:space="preserve">assistance pour les </w:t>
      </w:r>
      <w:r w:rsidR="00BC7204" w:rsidRPr="00BC7204">
        <w:rPr>
          <w:rFonts w:eastAsia="Malgun Gothic"/>
          <w:bCs/>
          <w:lang w:val="fr-FR"/>
        </w:rPr>
        <w:t>candidatur</w:t>
      </w:r>
      <w:r w:rsidR="00BC7204">
        <w:rPr>
          <w:rFonts w:eastAsia="Malgun Gothic"/>
          <w:bCs/>
          <w:lang w:val="fr-FR"/>
        </w:rPr>
        <w:t xml:space="preserve">es à la Liste représentative, </w:t>
      </w:r>
      <w:r w:rsidRPr="003F4DA7">
        <w:rPr>
          <w:rFonts w:eastAsia="Malgun Gothic"/>
          <w:bCs/>
          <w:lang w:val="fr-FR"/>
        </w:rPr>
        <w:t>s</w:t>
      </w:r>
      <w:r w:rsidR="00CB0F4C">
        <w:rPr>
          <w:rFonts w:eastAsia="Malgun Gothic"/>
          <w:bCs/>
          <w:lang w:val="fr-FR"/>
        </w:rPr>
        <w:t>i</w:t>
      </w:r>
      <w:r w:rsidRPr="003F4DA7">
        <w:rPr>
          <w:rFonts w:eastAsia="Malgun Gothic"/>
          <w:bCs/>
          <w:lang w:val="fr-FR"/>
        </w:rPr>
        <w:t xml:space="preserve"> l</w:t>
      </w:r>
      <w:r w:rsidR="00BC7204">
        <w:rPr>
          <w:rFonts w:eastAsia="Malgun Gothic"/>
          <w:bCs/>
          <w:lang w:val="fr-FR"/>
        </w:rPr>
        <w:t>e Comité l</w:t>
      </w:r>
      <w:r w:rsidR="00923E72">
        <w:rPr>
          <w:rFonts w:eastAsia="Malgun Gothic"/>
          <w:bCs/>
          <w:lang w:val="fr-FR"/>
        </w:rPr>
        <w:t>’</w:t>
      </w:r>
      <w:r w:rsidRPr="003F4DA7">
        <w:rPr>
          <w:rFonts w:eastAsia="Malgun Gothic"/>
          <w:bCs/>
          <w:lang w:val="fr-FR"/>
        </w:rPr>
        <w:t>estimait digne d</w:t>
      </w:r>
      <w:r w:rsidR="00923E72">
        <w:rPr>
          <w:rFonts w:eastAsia="Malgun Gothic"/>
          <w:bCs/>
          <w:lang w:val="fr-FR"/>
        </w:rPr>
        <w:t>’</w:t>
      </w:r>
      <w:r w:rsidRPr="003F4DA7">
        <w:rPr>
          <w:rFonts w:eastAsia="Malgun Gothic"/>
          <w:bCs/>
          <w:lang w:val="fr-FR"/>
        </w:rPr>
        <w:t xml:space="preserve">intérêt, </w:t>
      </w:r>
      <w:r w:rsidR="00BC7204">
        <w:rPr>
          <w:rFonts w:eastAsia="Malgun Gothic"/>
          <w:bCs/>
          <w:lang w:val="fr-FR"/>
        </w:rPr>
        <w:t>c.</w:t>
      </w:r>
      <w:r w:rsidR="00CB0F4C">
        <w:rPr>
          <w:rFonts w:eastAsia="Malgun Gothic"/>
          <w:bCs/>
          <w:lang w:val="fr-FR"/>
        </w:rPr>
        <w:noBreakHyphen/>
      </w:r>
      <w:r w:rsidR="00BC7204">
        <w:rPr>
          <w:rFonts w:eastAsia="Malgun Gothic"/>
          <w:bCs/>
          <w:lang w:val="fr-FR"/>
        </w:rPr>
        <w:t>à</w:t>
      </w:r>
      <w:r w:rsidR="00CB0F4C">
        <w:rPr>
          <w:rFonts w:eastAsia="Malgun Gothic"/>
          <w:bCs/>
          <w:lang w:val="fr-FR"/>
        </w:rPr>
        <w:noBreakHyphen/>
      </w:r>
      <w:r w:rsidR="00BC7204">
        <w:rPr>
          <w:rFonts w:eastAsia="Malgun Gothic"/>
          <w:bCs/>
          <w:lang w:val="fr-FR"/>
        </w:rPr>
        <w:t>d.</w:t>
      </w:r>
      <w:r w:rsidRPr="003F4DA7">
        <w:rPr>
          <w:rFonts w:eastAsia="Malgun Gothic"/>
          <w:bCs/>
          <w:lang w:val="fr-FR"/>
        </w:rPr>
        <w:t xml:space="preserve"> pour les pays n</w:t>
      </w:r>
      <w:r w:rsidR="00923E72">
        <w:rPr>
          <w:rFonts w:eastAsia="Malgun Gothic"/>
          <w:bCs/>
          <w:lang w:val="fr-FR"/>
        </w:rPr>
        <w:t>’</w:t>
      </w:r>
      <w:r w:rsidRPr="003F4DA7">
        <w:rPr>
          <w:rFonts w:eastAsia="Malgun Gothic"/>
          <w:bCs/>
          <w:lang w:val="fr-FR"/>
        </w:rPr>
        <w:t>ayant pas d</w:t>
      </w:r>
      <w:r w:rsidR="00923E72">
        <w:rPr>
          <w:rFonts w:eastAsia="Malgun Gothic"/>
          <w:bCs/>
          <w:lang w:val="fr-FR"/>
        </w:rPr>
        <w:t>’</w:t>
      </w:r>
      <w:r w:rsidRPr="003F4DA7">
        <w:rPr>
          <w:rFonts w:eastAsia="Malgun Gothic"/>
          <w:bCs/>
          <w:lang w:val="fr-FR"/>
        </w:rPr>
        <w:t>éléments inscrits. C</w:t>
      </w:r>
      <w:r w:rsidR="00923E72">
        <w:rPr>
          <w:rFonts w:eastAsia="Malgun Gothic"/>
          <w:bCs/>
          <w:lang w:val="fr-FR"/>
        </w:rPr>
        <w:t>’</w:t>
      </w:r>
      <w:r w:rsidRPr="003F4DA7">
        <w:rPr>
          <w:rFonts w:eastAsia="Malgun Gothic"/>
          <w:bCs/>
          <w:lang w:val="fr-FR"/>
        </w:rPr>
        <w:t>était en effet une bonne idée de disposer d</w:t>
      </w:r>
      <w:r w:rsidR="00923E72">
        <w:rPr>
          <w:rFonts w:eastAsia="Malgun Gothic"/>
          <w:bCs/>
          <w:lang w:val="fr-FR"/>
        </w:rPr>
        <w:t>’</w:t>
      </w:r>
      <w:r w:rsidRPr="003F4DA7">
        <w:rPr>
          <w:rFonts w:eastAsia="Malgun Gothic"/>
          <w:bCs/>
          <w:lang w:val="fr-FR"/>
        </w:rPr>
        <w:t>un mécanisme d</w:t>
      </w:r>
      <w:r w:rsidR="00923E72">
        <w:rPr>
          <w:rFonts w:eastAsia="Malgun Gothic"/>
          <w:bCs/>
          <w:lang w:val="fr-FR"/>
        </w:rPr>
        <w:t>’</w:t>
      </w:r>
      <w:r w:rsidRPr="003F4DA7">
        <w:rPr>
          <w:rFonts w:eastAsia="Malgun Gothic"/>
          <w:bCs/>
          <w:lang w:val="fr-FR"/>
        </w:rPr>
        <w:t>assistance préparatoire pour aider les États parties lors de leur première inscription et pour assurer un certain renforcement des capacités</w:t>
      </w:r>
      <w:r w:rsidR="00E86E9F">
        <w:rPr>
          <w:rFonts w:eastAsia="Malgun Gothic"/>
          <w:bCs/>
          <w:lang w:val="fr-FR"/>
        </w:rPr>
        <w:t xml:space="preserve"> afin de leur permettre d</w:t>
      </w:r>
      <w:r w:rsidR="00923E72">
        <w:rPr>
          <w:rFonts w:eastAsia="Malgun Gothic"/>
          <w:bCs/>
          <w:lang w:val="fr-FR"/>
        </w:rPr>
        <w:t>’</w:t>
      </w:r>
      <w:r w:rsidR="00E86E9F">
        <w:rPr>
          <w:rFonts w:eastAsia="Malgun Gothic"/>
          <w:bCs/>
          <w:lang w:val="fr-FR"/>
        </w:rPr>
        <w:t>y parvenir</w:t>
      </w:r>
      <w:r w:rsidRPr="003F4DA7">
        <w:rPr>
          <w:rFonts w:eastAsia="Malgun Gothic"/>
          <w:bCs/>
          <w:lang w:val="fr-FR"/>
        </w:rPr>
        <w:t>.</w:t>
      </w:r>
    </w:p>
    <w:p w14:paraId="66B33D4F" w14:textId="2B61BB27" w:rsidR="00FB64D6" w:rsidRDefault="00FB64D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FB64D6">
        <w:rPr>
          <w:rFonts w:eastAsia="Malgun Gothic"/>
          <w:bCs/>
          <w:lang w:val="fr-FR"/>
        </w:rPr>
        <w:t xml:space="preserve">Le </w:t>
      </w:r>
      <w:r w:rsidRPr="00FB64D6">
        <w:rPr>
          <w:rFonts w:eastAsia="Malgun Gothic"/>
          <w:b/>
          <w:lang w:val="fr-FR"/>
        </w:rPr>
        <w:t>Secrétaire</w:t>
      </w:r>
      <w:r w:rsidRPr="00FB64D6">
        <w:rPr>
          <w:rFonts w:eastAsia="Malgun Gothic"/>
          <w:bCs/>
          <w:lang w:val="fr-FR"/>
        </w:rPr>
        <w:t xml:space="preserve"> a appelé les États susceptibles d</w:t>
      </w:r>
      <w:r w:rsidR="00923E72">
        <w:rPr>
          <w:rFonts w:eastAsia="Malgun Gothic"/>
          <w:bCs/>
          <w:lang w:val="fr-FR"/>
        </w:rPr>
        <w:t>’</w:t>
      </w:r>
      <w:r w:rsidRPr="00FB64D6">
        <w:rPr>
          <w:rFonts w:eastAsia="Malgun Gothic"/>
          <w:bCs/>
          <w:lang w:val="fr-FR"/>
        </w:rPr>
        <w:t>être intéressés par la proposition d</w:t>
      </w:r>
      <w:r w:rsidR="00923E72">
        <w:rPr>
          <w:rFonts w:eastAsia="Malgun Gothic"/>
          <w:bCs/>
          <w:lang w:val="fr-FR"/>
        </w:rPr>
        <w:t>’</w:t>
      </w:r>
      <w:r w:rsidRPr="00FB64D6">
        <w:rPr>
          <w:rFonts w:eastAsia="Malgun Gothic"/>
          <w:bCs/>
          <w:lang w:val="fr-FR"/>
        </w:rPr>
        <w:t xml:space="preserve">éléments à inscrire sur la Liste de sauvegarde urgente ou de pratiques à </w:t>
      </w:r>
      <w:r w:rsidR="00CB0F4C">
        <w:rPr>
          <w:rFonts w:eastAsia="Malgun Gothic"/>
          <w:bCs/>
          <w:lang w:val="fr-FR"/>
        </w:rPr>
        <w:t>sélectionner pour</w:t>
      </w:r>
      <w:r w:rsidRPr="00FB64D6">
        <w:rPr>
          <w:rFonts w:eastAsia="Malgun Gothic"/>
          <w:bCs/>
          <w:lang w:val="fr-FR"/>
        </w:rPr>
        <w:t xml:space="preserve"> le Registre des bonnes pratiques de sauvegarde à demander </w:t>
      </w:r>
      <w:r w:rsidR="006B768D">
        <w:rPr>
          <w:rFonts w:eastAsia="Malgun Gothic"/>
          <w:bCs/>
          <w:lang w:val="fr-FR"/>
        </w:rPr>
        <w:t>l</w:t>
      </w:r>
      <w:r w:rsidR="00923E72">
        <w:rPr>
          <w:rFonts w:eastAsia="Malgun Gothic"/>
          <w:bCs/>
          <w:lang w:val="fr-FR"/>
        </w:rPr>
        <w:t>’</w:t>
      </w:r>
      <w:r w:rsidRPr="00FB64D6">
        <w:rPr>
          <w:rFonts w:eastAsia="Malgun Gothic"/>
          <w:bCs/>
          <w:lang w:val="fr-FR"/>
        </w:rPr>
        <w:t xml:space="preserve">assistance disponible à cette fin [et qui était sous-utilisée], comme mentionné par le Botswana. Répondant au point </w:t>
      </w:r>
      <w:r w:rsidR="00524833">
        <w:rPr>
          <w:rFonts w:eastAsia="Malgun Gothic"/>
          <w:bCs/>
          <w:lang w:val="fr-FR"/>
        </w:rPr>
        <w:t xml:space="preserve">évoqué </w:t>
      </w:r>
      <w:r w:rsidRPr="00FB64D6">
        <w:rPr>
          <w:rFonts w:eastAsia="Malgun Gothic"/>
          <w:bCs/>
          <w:lang w:val="fr-FR"/>
        </w:rPr>
        <w:t>par la Malaisie, le Secrétaire a noté que le tableau (figure</w:t>
      </w:r>
      <w:r w:rsidR="001A7AF7">
        <w:rPr>
          <w:rFonts w:eastAsia="Malgun Gothic"/>
          <w:bCs/>
          <w:lang w:val="fr-FR"/>
        </w:rPr>
        <w:t> </w:t>
      </w:r>
      <w:r w:rsidRPr="00FB64D6">
        <w:rPr>
          <w:rFonts w:eastAsia="Malgun Gothic"/>
          <w:bCs/>
          <w:lang w:val="fr-FR"/>
        </w:rPr>
        <w:t>1, page</w:t>
      </w:r>
      <w:r w:rsidR="001A7AF7">
        <w:rPr>
          <w:rFonts w:eastAsia="Malgun Gothic"/>
          <w:bCs/>
          <w:lang w:val="fr-FR"/>
        </w:rPr>
        <w:t> </w:t>
      </w:r>
      <w:r w:rsidRPr="00FB64D6">
        <w:rPr>
          <w:rFonts w:eastAsia="Malgun Gothic"/>
          <w:bCs/>
          <w:lang w:val="fr-FR"/>
        </w:rPr>
        <w:t>4 du document de travail) révélait effectivement un important arriéré de projets en</w:t>
      </w:r>
      <w:r w:rsidR="001A7AF7">
        <w:rPr>
          <w:rFonts w:eastAsia="Malgun Gothic"/>
          <w:bCs/>
          <w:lang w:val="fr-FR"/>
        </w:rPr>
        <w:t> </w:t>
      </w:r>
      <w:r w:rsidRPr="00FB64D6">
        <w:rPr>
          <w:rFonts w:eastAsia="Malgun Gothic"/>
          <w:bCs/>
          <w:lang w:val="fr-FR"/>
        </w:rPr>
        <w:t>2017 et</w:t>
      </w:r>
      <w:r w:rsidR="001A7AF7">
        <w:rPr>
          <w:rFonts w:eastAsia="Malgun Gothic"/>
          <w:bCs/>
          <w:lang w:val="fr-FR"/>
        </w:rPr>
        <w:t> </w:t>
      </w:r>
      <w:r w:rsidRPr="00FB64D6">
        <w:rPr>
          <w:rFonts w:eastAsia="Malgun Gothic"/>
          <w:bCs/>
          <w:lang w:val="fr-FR"/>
        </w:rPr>
        <w:t>2018. C</w:t>
      </w:r>
      <w:r w:rsidR="00923E72">
        <w:rPr>
          <w:rFonts w:eastAsia="Malgun Gothic"/>
          <w:bCs/>
          <w:lang w:val="fr-FR"/>
        </w:rPr>
        <w:t>’</w:t>
      </w:r>
      <w:r w:rsidRPr="00FB64D6">
        <w:rPr>
          <w:rFonts w:eastAsia="Malgun Gothic"/>
          <w:bCs/>
          <w:lang w:val="fr-FR"/>
        </w:rPr>
        <w:t>est à cette époque qu</w:t>
      </w:r>
      <w:r w:rsidR="00923E72">
        <w:rPr>
          <w:rFonts w:eastAsia="Malgun Gothic"/>
          <w:bCs/>
          <w:lang w:val="fr-FR"/>
        </w:rPr>
        <w:t>’</w:t>
      </w:r>
      <w:r w:rsidRPr="00FB64D6">
        <w:rPr>
          <w:rFonts w:eastAsia="Malgun Gothic"/>
          <w:bCs/>
          <w:lang w:val="fr-FR"/>
        </w:rPr>
        <w:t>une équipe spécialement consacrée au mécanisme d</w:t>
      </w:r>
      <w:r w:rsidR="00923E72">
        <w:rPr>
          <w:rFonts w:eastAsia="Malgun Gothic"/>
          <w:bCs/>
          <w:lang w:val="fr-FR"/>
        </w:rPr>
        <w:t>’</w:t>
      </w:r>
      <w:r w:rsidRPr="00FB64D6">
        <w:rPr>
          <w:rFonts w:eastAsia="Malgun Gothic"/>
          <w:bCs/>
          <w:lang w:val="fr-FR"/>
        </w:rPr>
        <w:t>assistance internationale avait été mise en place</w:t>
      </w:r>
      <w:r w:rsidR="006B768D">
        <w:rPr>
          <w:rFonts w:eastAsia="Malgun Gothic"/>
          <w:bCs/>
          <w:lang w:val="fr-FR"/>
        </w:rPr>
        <w:t>,</w:t>
      </w:r>
      <w:r w:rsidRPr="00FB64D6">
        <w:rPr>
          <w:rFonts w:eastAsia="Malgun Gothic"/>
          <w:bCs/>
          <w:lang w:val="fr-FR"/>
        </w:rPr>
        <w:t xml:space="preserve"> et c</w:t>
      </w:r>
      <w:r w:rsidR="00923E72">
        <w:rPr>
          <w:rFonts w:eastAsia="Malgun Gothic"/>
          <w:bCs/>
          <w:lang w:val="fr-FR"/>
        </w:rPr>
        <w:t>’</w:t>
      </w:r>
      <w:r w:rsidRPr="00FB64D6">
        <w:rPr>
          <w:rFonts w:eastAsia="Malgun Gothic"/>
          <w:bCs/>
          <w:lang w:val="fr-FR"/>
        </w:rPr>
        <w:t>est à ce stade que le Secrétariat avait intensifié ses efforts pour rattraper le retard et remédier à la situation. En conséquence, le mécanisme fonctionnait mieux, précisément grâce aux réformes entreprises. Néanmoins, une fois introduites, les réformes prenaient toujours quelques années avant de faire leur chemin dans le système.</w:t>
      </w:r>
    </w:p>
    <w:p w14:paraId="6DAA22E1" w14:textId="5F559E4F" w:rsidR="006B768D" w:rsidRDefault="006B768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6B768D">
        <w:rPr>
          <w:rFonts w:eastAsia="Malgun Gothic"/>
          <w:b/>
          <w:lang w:val="fr-FR"/>
        </w:rPr>
        <w:t>Président</w:t>
      </w:r>
      <w:r>
        <w:rPr>
          <w:rFonts w:eastAsia="Malgun Gothic"/>
          <w:bCs/>
          <w:lang w:val="fr-FR"/>
        </w:rPr>
        <w:t xml:space="preserve"> espérait que les réponses apportées étaient satisfaisantes. Il a donné la parole aux </w:t>
      </w:r>
      <w:r w:rsidRPr="006B768D">
        <w:rPr>
          <w:rFonts w:eastAsia="Malgun Gothic"/>
          <w:bCs/>
          <w:lang w:val="fr-FR"/>
        </w:rPr>
        <w:t>observateurs</w:t>
      </w:r>
      <w:r>
        <w:rPr>
          <w:rFonts w:eastAsia="Malgun Gothic"/>
          <w:bCs/>
          <w:lang w:val="fr-FR"/>
        </w:rPr>
        <w:t xml:space="preserve"> afin qu</w:t>
      </w:r>
      <w:r w:rsidR="00923E72">
        <w:rPr>
          <w:rFonts w:eastAsia="Malgun Gothic"/>
          <w:bCs/>
          <w:lang w:val="fr-FR"/>
        </w:rPr>
        <w:t>’</w:t>
      </w:r>
      <w:r>
        <w:rPr>
          <w:rFonts w:eastAsia="Malgun Gothic"/>
          <w:bCs/>
          <w:lang w:val="fr-FR"/>
        </w:rPr>
        <w:t xml:space="preserve">ils </w:t>
      </w:r>
      <w:r w:rsidR="0098046B">
        <w:rPr>
          <w:rFonts w:eastAsia="Malgun Gothic"/>
          <w:bCs/>
          <w:lang w:val="fr-FR"/>
        </w:rPr>
        <w:t>fassent part de leurs</w:t>
      </w:r>
      <w:r>
        <w:rPr>
          <w:rFonts w:eastAsia="Malgun Gothic"/>
          <w:bCs/>
          <w:lang w:val="fr-FR"/>
        </w:rPr>
        <w:t xml:space="preserve"> </w:t>
      </w:r>
      <w:r w:rsidRPr="006B768D">
        <w:rPr>
          <w:rFonts w:eastAsia="Malgun Gothic"/>
          <w:bCs/>
          <w:lang w:val="fr-FR"/>
        </w:rPr>
        <w:t>commentaires</w:t>
      </w:r>
      <w:r>
        <w:rPr>
          <w:rFonts w:eastAsia="Malgun Gothic"/>
          <w:bCs/>
          <w:lang w:val="fr-FR"/>
        </w:rPr>
        <w:t>.</w:t>
      </w:r>
    </w:p>
    <w:p w14:paraId="5B118011" w14:textId="0F562F93" w:rsidR="006B768D" w:rsidRDefault="006B768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6B768D">
        <w:rPr>
          <w:rFonts w:eastAsia="Malgun Gothic"/>
          <w:bCs/>
          <w:lang w:val="fr-FR"/>
        </w:rPr>
        <w:t>Au nom de l</w:t>
      </w:r>
      <w:r w:rsidR="00923E72">
        <w:rPr>
          <w:rFonts w:eastAsia="Malgun Gothic"/>
          <w:bCs/>
          <w:lang w:val="fr-FR"/>
        </w:rPr>
        <w:t>’</w:t>
      </w:r>
      <w:r w:rsidRPr="006B768D">
        <w:rPr>
          <w:rFonts w:eastAsia="Malgun Gothic"/>
          <w:bCs/>
          <w:lang w:val="fr-FR"/>
        </w:rPr>
        <w:t xml:space="preserve">Ambassadeur, la délégation du </w:t>
      </w:r>
      <w:r w:rsidRPr="006B768D">
        <w:rPr>
          <w:rFonts w:eastAsia="Malgun Gothic"/>
          <w:b/>
          <w:lang w:val="fr-FR"/>
        </w:rPr>
        <w:t>Sénégal</w:t>
      </w:r>
      <w:r w:rsidRPr="006B768D">
        <w:rPr>
          <w:rFonts w:eastAsia="Malgun Gothic"/>
          <w:bCs/>
          <w:lang w:val="fr-FR"/>
        </w:rPr>
        <w:t xml:space="preserve"> a exprimé le regret de celui</w:t>
      </w:r>
      <w:r w:rsidR="00FE43D2">
        <w:rPr>
          <w:rFonts w:eastAsia="Malgun Gothic"/>
          <w:bCs/>
          <w:lang w:val="fr-FR"/>
        </w:rPr>
        <w:t>-</w:t>
      </w:r>
      <w:r w:rsidRPr="006B768D">
        <w:rPr>
          <w:rFonts w:eastAsia="Malgun Gothic"/>
          <w:bCs/>
          <w:lang w:val="fr-FR"/>
        </w:rPr>
        <w:t xml:space="preserve">ci de ne pouvoir être présent, </w:t>
      </w:r>
      <w:r w:rsidR="00CB0F4C">
        <w:rPr>
          <w:rFonts w:eastAsia="Malgun Gothic"/>
          <w:bCs/>
          <w:lang w:val="fr-FR"/>
        </w:rPr>
        <w:t xml:space="preserve">tout </w:t>
      </w:r>
      <w:r w:rsidRPr="006B768D">
        <w:rPr>
          <w:rFonts w:eastAsia="Malgun Gothic"/>
          <w:bCs/>
          <w:lang w:val="fr-FR"/>
        </w:rPr>
        <w:t>en ayant à l</w:t>
      </w:r>
      <w:r w:rsidR="00923E72">
        <w:rPr>
          <w:rFonts w:eastAsia="Malgun Gothic"/>
          <w:bCs/>
          <w:lang w:val="fr-FR"/>
        </w:rPr>
        <w:t>’</w:t>
      </w:r>
      <w:r w:rsidRPr="006B768D">
        <w:rPr>
          <w:rFonts w:eastAsia="Malgun Gothic"/>
          <w:bCs/>
          <w:lang w:val="fr-FR"/>
        </w:rPr>
        <w:t>esprit l</w:t>
      </w:r>
      <w:r w:rsidR="00CB0F4C">
        <w:rPr>
          <w:rFonts w:eastAsia="Malgun Gothic"/>
          <w:bCs/>
          <w:lang w:val="fr-FR"/>
        </w:rPr>
        <w:t xml:space="preserve">e souvenir </w:t>
      </w:r>
      <w:r w:rsidRPr="006B768D">
        <w:rPr>
          <w:rFonts w:eastAsia="Malgun Gothic"/>
          <w:bCs/>
          <w:lang w:val="fr-FR"/>
        </w:rPr>
        <w:t>de M.</w:t>
      </w:r>
      <w:r w:rsidR="00747D3E">
        <w:rPr>
          <w:rFonts w:eastAsia="Malgun Gothic"/>
          <w:bCs/>
          <w:lang w:val="fr-FR"/>
        </w:rPr>
        <w:t> </w:t>
      </w:r>
      <w:r w:rsidRPr="006B768D">
        <w:rPr>
          <w:rFonts w:eastAsia="Malgun Gothic"/>
          <w:bCs/>
          <w:lang w:val="fr-FR"/>
        </w:rPr>
        <w:t>Abdoul Aziz Guissé, ancien Directeur du patrimoine du Sénégal, décédé en</w:t>
      </w:r>
      <w:r w:rsidR="00246428">
        <w:rPr>
          <w:rFonts w:eastAsia="Malgun Gothic"/>
          <w:bCs/>
          <w:lang w:val="fr-FR"/>
        </w:rPr>
        <w:t> </w:t>
      </w:r>
      <w:r w:rsidRPr="006B768D">
        <w:rPr>
          <w:rFonts w:eastAsia="Malgun Gothic"/>
          <w:bCs/>
          <w:lang w:val="fr-FR"/>
        </w:rPr>
        <w:t xml:space="preserve">2022. Il avait travaillé pendant quinze ans avec le Comité et participé à nombre de ses activités. </w:t>
      </w:r>
      <w:r w:rsidR="00747D3E">
        <w:rPr>
          <w:rFonts w:eastAsia="Malgun Gothic"/>
          <w:bCs/>
          <w:lang w:val="fr-FR"/>
        </w:rPr>
        <w:t>E</w:t>
      </w:r>
      <w:r w:rsidRPr="006B768D">
        <w:rPr>
          <w:rFonts w:eastAsia="Malgun Gothic"/>
          <w:bCs/>
          <w:lang w:val="fr-FR"/>
        </w:rPr>
        <w:t>n</w:t>
      </w:r>
      <w:r w:rsidR="001A7AF7">
        <w:rPr>
          <w:rFonts w:eastAsia="Malgun Gothic"/>
          <w:bCs/>
          <w:lang w:val="fr-FR"/>
        </w:rPr>
        <w:t> </w:t>
      </w:r>
      <w:r w:rsidRPr="006B768D">
        <w:rPr>
          <w:rFonts w:eastAsia="Malgun Gothic"/>
          <w:bCs/>
          <w:lang w:val="fr-FR"/>
        </w:rPr>
        <w:t>2015</w:t>
      </w:r>
      <w:r w:rsidR="00747D3E">
        <w:rPr>
          <w:rFonts w:eastAsia="Malgun Gothic"/>
          <w:bCs/>
          <w:lang w:val="fr-FR"/>
        </w:rPr>
        <w:t xml:space="preserve">, </w:t>
      </w:r>
      <w:r w:rsidRPr="006B768D">
        <w:rPr>
          <w:rFonts w:eastAsia="Malgun Gothic"/>
          <w:bCs/>
          <w:lang w:val="fr-FR"/>
        </w:rPr>
        <w:t>il avait déposé un dossier d</w:t>
      </w:r>
      <w:r w:rsidR="00923E72">
        <w:rPr>
          <w:rFonts w:eastAsia="Malgun Gothic"/>
          <w:bCs/>
          <w:lang w:val="fr-FR"/>
        </w:rPr>
        <w:t>’</w:t>
      </w:r>
      <w:r w:rsidRPr="006B768D">
        <w:rPr>
          <w:rFonts w:eastAsia="Malgun Gothic"/>
          <w:bCs/>
          <w:lang w:val="fr-FR"/>
        </w:rPr>
        <w:t>assistance internationale</w:t>
      </w:r>
      <w:r w:rsidR="00F65ADE">
        <w:rPr>
          <w:rFonts w:eastAsia="Malgun Gothic"/>
          <w:bCs/>
          <w:lang w:val="fr-FR"/>
        </w:rPr>
        <w:t>,</w:t>
      </w:r>
      <w:r w:rsidRPr="006B768D">
        <w:rPr>
          <w:rFonts w:eastAsia="Malgun Gothic"/>
          <w:bCs/>
          <w:lang w:val="fr-FR"/>
        </w:rPr>
        <w:t xml:space="preserve"> qui avait permis au Sénégal de réaliser un inventaire du patrimoine culturel immatériel</w:t>
      </w:r>
      <w:r w:rsidR="00FE43D2">
        <w:rPr>
          <w:rFonts w:eastAsia="Malgun Gothic"/>
          <w:bCs/>
          <w:lang w:val="fr-FR"/>
        </w:rPr>
        <w:t xml:space="preserve">, auquel étaient </w:t>
      </w:r>
      <w:r w:rsidR="00747D3E">
        <w:rPr>
          <w:rFonts w:eastAsia="Malgun Gothic"/>
          <w:bCs/>
          <w:lang w:val="fr-FR"/>
        </w:rPr>
        <w:t>désormais</w:t>
      </w:r>
      <w:r w:rsidRPr="006B768D">
        <w:rPr>
          <w:rFonts w:eastAsia="Malgun Gothic"/>
          <w:bCs/>
          <w:lang w:val="fr-FR"/>
        </w:rPr>
        <w:t xml:space="preserve"> </w:t>
      </w:r>
      <w:r w:rsidR="00FE43D2">
        <w:rPr>
          <w:rFonts w:eastAsia="Malgun Gothic"/>
          <w:bCs/>
          <w:lang w:val="fr-FR"/>
        </w:rPr>
        <w:t xml:space="preserve">inscrits </w:t>
      </w:r>
      <w:r w:rsidRPr="006B768D">
        <w:rPr>
          <w:rFonts w:eastAsia="Malgun Gothic"/>
          <w:bCs/>
          <w:lang w:val="fr-FR"/>
        </w:rPr>
        <w:t>cinquante</w:t>
      </w:r>
      <w:r w:rsidR="002D3EB5">
        <w:rPr>
          <w:rFonts w:eastAsia="Malgun Gothic"/>
          <w:bCs/>
          <w:lang w:val="fr-FR"/>
        </w:rPr>
        <w:noBreakHyphen/>
      </w:r>
      <w:r w:rsidRPr="006B768D">
        <w:rPr>
          <w:rFonts w:eastAsia="Malgun Gothic"/>
          <w:bCs/>
          <w:lang w:val="fr-FR"/>
        </w:rPr>
        <w:t>neuf éléments. C</w:t>
      </w:r>
      <w:r w:rsidR="00923E72">
        <w:rPr>
          <w:rFonts w:eastAsia="Malgun Gothic"/>
          <w:bCs/>
          <w:lang w:val="fr-FR"/>
        </w:rPr>
        <w:t>’</w:t>
      </w:r>
      <w:r w:rsidRPr="006B768D">
        <w:rPr>
          <w:rFonts w:eastAsia="Malgun Gothic"/>
          <w:bCs/>
          <w:lang w:val="fr-FR"/>
        </w:rPr>
        <w:t xml:space="preserve">était très important car le Sénégal </w:t>
      </w:r>
      <w:r w:rsidR="00747D3E">
        <w:rPr>
          <w:rFonts w:eastAsia="Malgun Gothic"/>
          <w:bCs/>
          <w:lang w:val="fr-FR"/>
        </w:rPr>
        <w:t xml:space="preserve">avait </w:t>
      </w:r>
      <w:r w:rsidRPr="006B768D">
        <w:rPr>
          <w:rFonts w:eastAsia="Malgun Gothic"/>
          <w:bCs/>
          <w:lang w:val="fr-FR"/>
        </w:rPr>
        <w:t>sept sites classés au patrimoine mondial</w:t>
      </w:r>
      <w:r w:rsidR="00747D3E">
        <w:rPr>
          <w:rFonts w:eastAsia="Malgun Gothic"/>
          <w:bCs/>
          <w:lang w:val="fr-FR"/>
        </w:rPr>
        <w:t>,</w:t>
      </w:r>
      <w:r w:rsidRPr="006B768D">
        <w:rPr>
          <w:rFonts w:eastAsia="Malgun Gothic"/>
          <w:bCs/>
          <w:lang w:val="fr-FR"/>
        </w:rPr>
        <w:t xml:space="preserve"> mais peinait encore à finaliser le travail sur son patrimoine culturel immatériel. En ce jour, </w:t>
      </w:r>
      <w:r w:rsidR="00E86E9F">
        <w:rPr>
          <w:rFonts w:eastAsia="Malgun Gothic"/>
          <w:bCs/>
          <w:lang w:val="fr-FR"/>
        </w:rPr>
        <w:t xml:space="preserve">la </w:t>
      </w:r>
      <w:r w:rsidR="00E86E9F" w:rsidRPr="00E86E9F">
        <w:rPr>
          <w:rFonts w:eastAsia="Malgun Gothic"/>
          <w:bCs/>
          <w:lang w:val="fr-FR"/>
        </w:rPr>
        <w:t>délégation</w:t>
      </w:r>
      <w:r w:rsidR="00E86E9F">
        <w:rPr>
          <w:rFonts w:eastAsia="Malgun Gothic"/>
          <w:bCs/>
          <w:lang w:val="fr-FR"/>
        </w:rPr>
        <w:t xml:space="preserve"> </w:t>
      </w:r>
      <w:r w:rsidRPr="006B768D">
        <w:rPr>
          <w:rFonts w:eastAsia="Malgun Gothic"/>
          <w:bCs/>
          <w:lang w:val="fr-FR"/>
        </w:rPr>
        <w:t>honor</w:t>
      </w:r>
      <w:r w:rsidR="00E86E9F">
        <w:rPr>
          <w:rFonts w:eastAsia="Malgun Gothic"/>
          <w:bCs/>
          <w:lang w:val="fr-FR"/>
        </w:rPr>
        <w:t>ait</w:t>
      </w:r>
      <w:r w:rsidRPr="006B768D">
        <w:rPr>
          <w:rFonts w:eastAsia="Malgun Gothic"/>
          <w:bCs/>
          <w:lang w:val="fr-FR"/>
        </w:rPr>
        <w:t xml:space="preserve"> sa mémoire pour le travail qu</w:t>
      </w:r>
      <w:r w:rsidR="00923E72">
        <w:rPr>
          <w:rFonts w:eastAsia="Malgun Gothic"/>
          <w:bCs/>
          <w:lang w:val="fr-FR"/>
        </w:rPr>
        <w:t>’</w:t>
      </w:r>
      <w:r w:rsidRPr="006B768D">
        <w:rPr>
          <w:rFonts w:eastAsia="Malgun Gothic"/>
          <w:bCs/>
          <w:lang w:val="fr-FR"/>
        </w:rPr>
        <w:t xml:space="preserve">il avait accompli. La délégation a remercié les organisateurs de cette session, en soulignant la qualité de la documentation. Elle a également plaidé pour que </w:t>
      </w:r>
      <w:r w:rsidR="00E86E9F">
        <w:rPr>
          <w:rFonts w:eastAsia="Malgun Gothic"/>
          <w:bCs/>
          <w:lang w:val="fr-FR"/>
        </w:rPr>
        <w:t>l</w:t>
      </w:r>
      <w:r w:rsidR="00923E72">
        <w:rPr>
          <w:rFonts w:eastAsia="Malgun Gothic"/>
          <w:bCs/>
          <w:lang w:val="fr-FR"/>
        </w:rPr>
        <w:t>’</w:t>
      </w:r>
      <w:r w:rsidRPr="006B768D">
        <w:rPr>
          <w:rFonts w:eastAsia="Malgun Gothic"/>
          <w:bCs/>
          <w:lang w:val="fr-FR"/>
        </w:rPr>
        <w:t xml:space="preserve">assistance internationale puisse contribuer à promouvoir </w:t>
      </w:r>
      <w:r w:rsidRPr="006B768D">
        <w:rPr>
          <w:rFonts w:eastAsia="Malgun Gothic"/>
          <w:bCs/>
          <w:lang w:val="fr-FR"/>
        </w:rPr>
        <w:lastRenderedPageBreak/>
        <w:t>l</w:t>
      </w:r>
      <w:r w:rsidR="00923E72">
        <w:rPr>
          <w:rFonts w:eastAsia="Malgun Gothic"/>
          <w:bCs/>
          <w:lang w:val="fr-FR"/>
        </w:rPr>
        <w:t>’</w:t>
      </w:r>
      <w:r w:rsidRPr="006B768D">
        <w:rPr>
          <w:rFonts w:eastAsia="Malgun Gothic"/>
          <w:bCs/>
          <w:lang w:val="fr-FR"/>
        </w:rPr>
        <w:t>interculturalité à travers des initiatives transnationales. La délégation a mentionné l</w:t>
      </w:r>
      <w:r w:rsidR="00923E72">
        <w:rPr>
          <w:rFonts w:eastAsia="Malgun Gothic"/>
          <w:bCs/>
          <w:lang w:val="fr-FR"/>
        </w:rPr>
        <w:t>’</w:t>
      </w:r>
      <w:r w:rsidRPr="006B768D">
        <w:rPr>
          <w:rFonts w:eastAsia="Malgun Gothic"/>
          <w:bCs/>
          <w:lang w:val="fr-FR"/>
        </w:rPr>
        <w:t>expérience de la Convention de</w:t>
      </w:r>
      <w:r w:rsidR="006773EF">
        <w:rPr>
          <w:rFonts w:eastAsia="Malgun Gothic"/>
          <w:bCs/>
          <w:lang w:val="fr-FR"/>
        </w:rPr>
        <w:t> </w:t>
      </w:r>
      <w:r w:rsidRPr="006B768D">
        <w:rPr>
          <w:rFonts w:eastAsia="Malgun Gothic"/>
          <w:bCs/>
          <w:lang w:val="fr-FR"/>
        </w:rPr>
        <w:t>1972, avec le Sénégal et la Gambie</w:t>
      </w:r>
      <w:r w:rsidR="00F65ADE">
        <w:rPr>
          <w:rFonts w:eastAsia="Malgun Gothic"/>
          <w:bCs/>
          <w:lang w:val="fr-FR"/>
        </w:rPr>
        <w:t>,</w:t>
      </w:r>
      <w:r w:rsidRPr="006B768D">
        <w:rPr>
          <w:rFonts w:eastAsia="Malgun Gothic"/>
          <w:bCs/>
          <w:lang w:val="fr-FR"/>
        </w:rPr>
        <w:t xml:space="preserve"> qui </w:t>
      </w:r>
      <w:r w:rsidR="00E86E9F">
        <w:rPr>
          <w:rFonts w:eastAsia="Malgun Gothic"/>
          <w:bCs/>
          <w:lang w:val="fr-FR"/>
        </w:rPr>
        <w:t xml:space="preserve">avaient </w:t>
      </w:r>
      <w:r w:rsidRPr="006B768D">
        <w:rPr>
          <w:rFonts w:eastAsia="Malgun Gothic"/>
          <w:bCs/>
          <w:lang w:val="fr-FR"/>
        </w:rPr>
        <w:t>men</w:t>
      </w:r>
      <w:r w:rsidR="00E86E9F">
        <w:rPr>
          <w:rFonts w:eastAsia="Malgun Gothic"/>
          <w:bCs/>
          <w:lang w:val="fr-FR"/>
        </w:rPr>
        <w:t>é</w:t>
      </w:r>
      <w:r w:rsidRPr="006B768D">
        <w:rPr>
          <w:rFonts w:eastAsia="Malgun Gothic"/>
          <w:bCs/>
          <w:lang w:val="fr-FR"/>
        </w:rPr>
        <w:t xml:space="preserve"> des travaux sur les mégalithes. Ces initiatives étaient intéressantes car l</w:t>
      </w:r>
      <w:r w:rsidR="00923E72">
        <w:rPr>
          <w:rFonts w:eastAsia="Malgun Gothic"/>
          <w:bCs/>
          <w:lang w:val="fr-FR"/>
        </w:rPr>
        <w:t>’</w:t>
      </w:r>
      <w:r w:rsidRPr="006B768D">
        <w:rPr>
          <w:rFonts w:eastAsia="Malgun Gothic"/>
          <w:bCs/>
          <w:lang w:val="fr-FR"/>
        </w:rPr>
        <w:t>interculturalité, que ce soit à travers la Convention de 2005 ou la Convention de</w:t>
      </w:r>
      <w:r w:rsidR="006773EF">
        <w:rPr>
          <w:rFonts w:eastAsia="Malgun Gothic"/>
          <w:bCs/>
          <w:lang w:val="fr-FR"/>
        </w:rPr>
        <w:t> </w:t>
      </w:r>
      <w:r w:rsidRPr="006B768D">
        <w:rPr>
          <w:rFonts w:eastAsia="Malgun Gothic"/>
          <w:bCs/>
          <w:lang w:val="fr-FR"/>
        </w:rPr>
        <w:t xml:space="preserve">2003, est clairement un facteur de promotion de la paix entre les pays. </w:t>
      </w:r>
      <w:r w:rsidR="00E86E9F">
        <w:rPr>
          <w:rFonts w:eastAsia="Malgun Gothic"/>
          <w:bCs/>
          <w:lang w:val="fr-FR"/>
        </w:rPr>
        <w:t>C</w:t>
      </w:r>
      <w:r w:rsidR="00923E72">
        <w:rPr>
          <w:rFonts w:eastAsia="Malgun Gothic"/>
          <w:bCs/>
          <w:lang w:val="fr-FR"/>
        </w:rPr>
        <w:t>’</w:t>
      </w:r>
      <w:r w:rsidRPr="006B768D">
        <w:rPr>
          <w:rFonts w:eastAsia="Malgun Gothic"/>
          <w:bCs/>
          <w:lang w:val="fr-FR"/>
        </w:rPr>
        <w:t>était donc</w:t>
      </w:r>
      <w:r w:rsidR="00E86E9F">
        <w:rPr>
          <w:rFonts w:eastAsia="Malgun Gothic"/>
          <w:bCs/>
          <w:lang w:val="fr-FR"/>
        </w:rPr>
        <w:t xml:space="preserve"> un</w:t>
      </w:r>
      <w:r w:rsidRPr="006B768D">
        <w:rPr>
          <w:rFonts w:eastAsia="Malgun Gothic"/>
          <w:bCs/>
          <w:lang w:val="fr-FR"/>
        </w:rPr>
        <w:t xml:space="preserve"> devoir de soutenir de telles initiatives.</w:t>
      </w:r>
    </w:p>
    <w:p w14:paraId="512B4570" w14:textId="6CCB370F" w:rsidR="00747D3E" w:rsidRDefault="00747D3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47D3E">
        <w:rPr>
          <w:rFonts w:eastAsia="Malgun Gothic"/>
          <w:b/>
          <w:lang w:val="fr-FR"/>
        </w:rPr>
        <w:t>Président</w:t>
      </w:r>
      <w:r>
        <w:rPr>
          <w:rFonts w:eastAsia="Malgun Gothic"/>
          <w:bCs/>
          <w:lang w:val="fr-FR"/>
        </w:rPr>
        <w:t xml:space="preserve"> a remercié le Sénégal et, au nom de tous les membres du Comité, a </w:t>
      </w:r>
      <w:r w:rsidR="0040579C">
        <w:rPr>
          <w:rFonts w:eastAsia="Malgun Gothic"/>
          <w:bCs/>
          <w:lang w:val="fr-FR"/>
        </w:rPr>
        <w:t xml:space="preserve">présenté </w:t>
      </w:r>
      <w:r>
        <w:rPr>
          <w:rFonts w:eastAsia="Malgun Gothic"/>
          <w:bCs/>
          <w:lang w:val="fr-FR"/>
        </w:rPr>
        <w:t xml:space="preserve">ses condoléances </w:t>
      </w:r>
      <w:r w:rsidR="0040579C">
        <w:rPr>
          <w:rFonts w:eastAsia="Malgun Gothic"/>
          <w:bCs/>
          <w:lang w:val="fr-FR"/>
        </w:rPr>
        <w:t>et exprimé toute sa sympathie.</w:t>
      </w:r>
    </w:p>
    <w:p w14:paraId="1E7F6573" w14:textId="18EA0C49" w:rsidR="00747D3E" w:rsidRDefault="00747D3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747D3E">
        <w:rPr>
          <w:rFonts w:eastAsia="Malgun Gothic"/>
          <w:bCs/>
          <w:lang w:val="fr-FR"/>
        </w:rPr>
        <w:t xml:space="preserve">La délégation de la </w:t>
      </w:r>
      <w:r w:rsidRPr="00747D3E">
        <w:rPr>
          <w:rFonts w:eastAsia="Malgun Gothic"/>
          <w:b/>
          <w:lang w:val="fr-FR"/>
        </w:rPr>
        <w:t>Gambie</w:t>
      </w:r>
      <w:r w:rsidRPr="00747D3E">
        <w:rPr>
          <w:rFonts w:eastAsia="Malgun Gothic"/>
          <w:bCs/>
          <w:lang w:val="fr-FR"/>
        </w:rPr>
        <w:t xml:space="preserve"> a exprimé sa satisfaction d</w:t>
      </w:r>
      <w:r w:rsidR="00923E72">
        <w:rPr>
          <w:rFonts w:eastAsia="Malgun Gothic"/>
          <w:bCs/>
          <w:lang w:val="fr-FR"/>
        </w:rPr>
        <w:t>’</w:t>
      </w:r>
      <w:r w:rsidRPr="00747D3E">
        <w:rPr>
          <w:rFonts w:eastAsia="Malgun Gothic"/>
          <w:bCs/>
          <w:lang w:val="fr-FR"/>
        </w:rPr>
        <w:t>être l</w:t>
      </w:r>
      <w:r w:rsidR="00923E72">
        <w:rPr>
          <w:rFonts w:eastAsia="Malgun Gothic"/>
          <w:bCs/>
          <w:lang w:val="fr-FR"/>
        </w:rPr>
        <w:t>’</w:t>
      </w:r>
      <w:r w:rsidRPr="00747D3E">
        <w:rPr>
          <w:rFonts w:eastAsia="Malgun Gothic"/>
          <w:bCs/>
          <w:lang w:val="fr-FR"/>
        </w:rPr>
        <w:t>un des pays qui avaient bénéficié d</w:t>
      </w:r>
      <w:r w:rsidR="00923E72">
        <w:rPr>
          <w:rFonts w:eastAsia="Malgun Gothic"/>
          <w:bCs/>
          <w:lang w:val="fr-FR"/>
        </w:rPr>
        <w:t>’</w:t>
      </w:r>
      <w:r w:rsidRPr="00747D3E">
        <w:rPr>
          <w:rFonts w:eastAsia="Malgun Gothic"/>
          <w:bCs/>
          <w:lang w:val="fr-FR"/>
        </w:rPr>
        <w:t xml:space="preserve">un soutien international. La Gambie était en train de mettre en œuvre un projet de renforcement des capacités pour consolider les capacités nationales de sauvegarde du patrimoine culturel immatériel et sa contribution au développement durable. Il était important de </w:t>
      </w:r>
      <w:r w:rsidR="002D3EB5">
        <w:rPr>
          <w:rFonts w:eastAsia="Malgun Gothic"/>
          <w:bCs/>
          <w:lang w:val="fr-FR"/>
        </w:rPr>
        <w:t xml:space="preserve">signaler </w:t>
      </w:r>
      <w:r w:rsidRPr="00747D3E">
        <w:rPr>
          <w:rFonts w:eastAsia="Malgun Gothic"/>
          <w:bCs/>
          <w:lang w:val="fr-FR"/>
        </w:rPr>
        <w:t>que le renforcement des capacités était également soutenu par des facilitateurs de Zambie et d</w:t>
      </w:r>
      <w:r w:rsidR="00923E72">
        <w:rPr>
          <w:rFonts w:eastAsia="Malgun Gothic"/>
          <w:bCs/>
          <w:lang w:val="fr-FR"/>
        </w:rPr>
        <w:t>’</w:t>
      </w:r>
      <w:r w:rsidRPr="00747D3E">
        <w:rPr>
          <w:rFonts w:eastAsia="Malgun Gothic"/>
          <w:bCs/>
          <w:lang w:val="fr-FR"/>
        </w:rPr>
        <w:t xml:space="preserve">Ouganda. Ce renforcement des capacités avait contribué à la sensibilisation au patrimoine culturel immatériel et avait également aidé le pays à acquérir des connaissances sur la Convention. La délégation a félicité ses collègues du Sénégal </w:t>
      </w:r>
      <w:r>
        <w:rPr>
          <w:rFonts w:eastAsia="Malgun Gothic"/>
          <w:bCs/>
          <w:lang w:val="fr-FR"/>
        </w:rPr>
        <w:t>d</w:t>
      </w:r>
      <w:r w:rsidR="00923E72">
        <w:rPr>
          <w:rFonts w:eastAsia="Malgun Gothic"/>
          <w:bCs/>
          <w:lang w:val="fr-FR"/>
        </w:rPr>
        <w:t>’</w:t>
      </w:r>
      <w:r w:rsidRPr="00747D3E">
        <w:rPr>
          <w:rFonts w:eastAsia="Malgun Gothic"/>
          <w:bCs/>
          <w:lang w:val="fr-FR"/>
        </w:rPr>
        <w:t xml:space="preserve">avoir mentionné la collaboration entre les deux pays. Elle a conclu son intervention en félicitant le Maroc </w:t>
      </w:r>
      <w:r w:rsidR="0040579C">
        <w:rPr>
          <w:rFonts w:eastAsia="Malgun Gothic"/>
          <w:bCs/>
          <w:lang w:val="fr-FR"/>
        </w:rPr>
        <w:t>d</w:t>
      </w:r>
      <w:r w:rsidR="00923E72">
        <w:rPr>
          <w:rFonts w:eastAsia="Malgun Gothic"/>
          <w:bCs/>
          <w:lang w:val="fr-FR"/>
        </w:rPr>
        <w:t>’</w:t>
      </w:r>
      <w:r w:rsidR="0040579C">
        <w:rPr>
          <w:rFonts w:eastAsia="Malgun Gothic"/>
          <w:bCs/>
          <w:lang w:val="fr-FR"/>
        </w:rPr>
        <w:t>accueillir cette session</w:t>
      </w:r>
      <w:r w:rsidRPr="00747D3E">
        <w:rPr>
          <w:rFonts w:eastAsia="Malgun Gothic"/>
          <w:bCs/>
          <w:lang w:val="fr-FR"/>
        </w:rPr>
        <w:t xml:space="preserve"> et </w:t>
      </w:r>
      <w:r w:rsidR="0040579C">
        <w:rPr>
          <w:rFonts w:eastAsia="Malgun Gothic"/>
          <w:bCs/>
          <w:lang w:val="fr-FR"/>
        </w:rPr>
        <w:t>d</w:t>
      </w:r>
      <w:r w:rsidR="00923E72">
        <w:rPr>
          <w:rFonts w:eastAsia="Malgun Gothic"/>
          <w:bCs/>
          <w:lang w:val="fr-FR"/>
        </w:rPr>
        <w:t>’</w:t>
      </w:r>
      <w:r w:rsidRPr="00747D3E">
        <w:rPr>
          <w:rFonts w:eastAsia="Malgun Gothic"/>
          <w:bCs/>
          <w:lang w:val="fr-FR"/>
        </w:rPr>
        <w:t>avoir fait de ce séjour un moment mémorable.</w:t>
      </w:r>
    </w:p>
    <w:p w14:paraId="1059F29F" w14:textId="4414CBAC" w:rsidR="00747D3E" w:rsidRPr="00747D3E" w:rsidRDefault="00747D3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47D3E">
        <w:rPr>
          <w:rFonts w:eastAsia="Malgun Gothic"/>
          <w:b/>
          <w:lang w:val="fr-FR"/>
        </w:rPr>
        <w:t>Président</w:t>
      </w:r>
      <w:r>
        <w:rPr>
          <w:rFonts w:eastAsia="Malgun Gothic"/>
          <w:bCs/>
          <w:lang w:val="fr-FR"/>
        </w:rPr>
        <w:t xml:space="preserve"> a remercié la Gambie pour ses paroles aimables et pour sa présence au Maroc, des remerciements </w:t>
      </w:r>
      <w:r w:rsidRPr="00747D3E">
        <w:rPr>
          <w:rFonts w:eastAsia="Malgun Gothic"/>
          <w:bCs/>
          <w:color w:val="000000" w:themeColor="text1"/>
          <w:lang w:val="fr-FR"/>
        </w:rPr>
        <w:t>également</w:t>
      </w:r>
      <w:r>
        <w:rPr>
          <w:rFonts w:eastAsia="Malgun Gothic"/>
          <w:bCs/>
          <w:color w:val="000000" w:themeColor="text1"/>
          <w:lang w:val="fr-FR"/>
        </w:rPr>
        <w:t xml:space="preserve"> adressés à tous les délégués.</w:t>
      </w:r>
    </w:p>
    <w:p w14:paraId="6CD66611" w14:textId="140F529C" w:rsidR="00747D3E" w:rsidRDefault="00747D3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747D3E">
        <w:rPr>
          <w:rFonts w:eastAsia="Malgun Gothic"/>
          <w:bCs/>
          <w:lang w:val="fr-FR"/>
        </w:rPr>
        <w:t xml:space="preserve">La délégation du </w:t>
      </w:r>
      <w:r w:rsidRPr="00747D3E">
        <w:rPr>
          <w:rFonts w:eastAsia="Malgun Gothic"/>
          <w:b/>
          <w:lang w:val="fr-FR"/>
        </w:rPr>
        <w:t>Japon</w:t>
      </w:r>
      <w:r w:rsidRPr="00747D3E">
        <w:rPr>
          <w:rFonts w:eastAsia="Malgun Gothic"/>
          <w:bCs/>
          <w:lang w:val="fr-FR"/>
        </w:rPr>
        <w:t xml:space="preserve"> a félicité le Président pour ses fonctions. L</w:t>
      </w:r>
      <w:r w:rsidR="00923E72">
        <w:rPr>
          <w:rFonts w:eastAsia="Malgun Gothic"/>
          <w:bCs/>
          <w:lang w:val="fr-FR"/>
        </w:rPr>
        <w:t>’</w:t>
      </w:r>
      <w:r w:rsidRPr="00747D3E">
        <w:rPr>
          <w:rFonts w:eastAsia="Malgun Gothic"/>
          <w:bCs/>
          <w:lang w:val="fr-FR"/>
        </w:rPr>
        <w:t xml:space="preserve">ambassadeur, </w:t>
      </w:r>
      <w:bookmarkStart w:id="4" w:name="_Hlk149577764"/>
      <w:r w:rsidR="004050CB">
        <w:rPr>
          <w:rFonts w:eastAsia="Malgun Gothic"/>
          <w:bCs/>
          <w:lang w:val="fr-FR"/>
        </w:rPr>
        <w:t xml:space="preserve">S. Exc. </w:t>
      </w:r>
      <w:bookmarkEnd w:id="4"/>
      <w:r w:rsidRPr="00747D3E">
        <w:rPr>
          <w:rFonts w:eastAsia="Malgun Gothic"/>
          <w:bCs/>
          <w:lang w:val="fr-FR"/>
        </w:rPr>
        <w:t>M.</w:t>
      </w:r>
      <w:r w:rsidR="00602064">
        <w:rPr>
          <w:rFonts w:eastAsia="Malgun Gothic"/>
          <w:bCs/>
          <w:lang w:val="fr-FR"/>
        </w:rPr>
        <w:t xml:space="preserve"> </w:t>
      </w:r>
      <w:r w:rsidRPr="00747D3E">
        <w:rPr>
          <w:rFonts w:eastAsia="Malgun Gothic"/>
          <w:bCs/>
          <w:lang w:val="fr-FR"/>
        </w:rPr>
        <w:t>Atsuyuki</w:t>
      </w:r>
      <w:r w:rsidR="00602064">
        <w:rPr>
          <w:rFonts w:eastAsia="Malgun Gothic"/>
          <w:bCs/>
          <w:lang w:val="fr-FR"/>
        </w:rPr>
        <w:t xml:space="preserve"> Oike</w:t>
      </w:r>
      <w:r w:rsidRPr="00747D3E">
        <w:rPr>
          <w:rFonts w:eastAsia="Malgun Gothic"/>
          <w:bCs/>
          <w:lang w:val="fr-FR"/>
        </w:rPr>
        <w:t>, a noté qu</w:t>
      </w:r>
      <w:r w:rsidR="00923E72">
        <w:rPr>
          <w:rFonts w:eastAsia="Malgun Gothic"/>
          <w:bCs/>
          <w:lang w:val="fr-FR"/>
        </w:rPr>
        <w:t>’</w:t>
      </w:r>
      <w:r w:rsidRPr="00747D3E">
        <w:rPr>
          <w:rFonts w:eastAsia="Malgun Gothic"/>
          <w:bCs/>
          <w:lang w:val="fr-FR"/>
        </w:rPr>
        <w:t xml:space="preserve">il avait été mentionné précédemment </w:t>
      </w:r>
      <w:r w:rsidR="004C4356">
        <w:rPr>
          <w:rFonts w:eastAsia="Malgun Gothic"/>
          <w:bCs/>
          <w:lang w:val="fr-FR"/>
        </w:rPr>
        <w:t>à propos de</w:t>
      </w:r>
      <w:r w:rsidRPr="00747D3E">
        <w:rPr>
          <w:rFonts w:eastAsia="Malgun Gothic"/>
          <w:bCs/>
          <w:lang w:val="fr-FR"/>
        </w:rPr>
        <w:t xml:space="preserve"> la réflexion globale sur les mécanismes d</w:t>
      </w:r>
      <w:r w:rsidR="00923E72">
        <w:rPr>
          <w:rFonts w:eastAsia="Malgun Gothic"/>
          <w:bCs/>
          <w:lang w:val="fr-FR"/>
        </w:rPr>
        <w:t>’</w:t>
      </w:r>
      <w:r w:rsidRPr="00747D3E">
        <w:rPr>
          <w:rFonts w:eastAsia="Malgun Gothic"/>
          <w:bCs/>
          <w:lang w:val="fr-FR"/>
        </w:rPr>
        <w:t>inscription</w:t>
      </w:r>
      <w:r w:rsidR="0040579C">
        <w:rPr>
          <w:rFonts w:eastAsia="Malgun Gothic"/>
          <w:bCs/>
          <w:lang w:val="fr-FR"/>
        </w:rPr>
        <w:t xml:space="preserve"> et</w:t>
      </w:r>
      <w:r w:rsidRPr="00747D3E">
        <w:rPr>
          <w:rFonts w:eastAsia="Malgun Gothic"/>
          <w:bCs/>
          <w:lang w:val="fr-FR"/>
        </w:rPr>
        <w:t xml:space="preserve"> </w:t>
      </w:r>
      <w:r w:rsidR="0040579C">
        <w:rPr>
          <w:rFonts w:eastAsia="Malgun Gothic"/>
          <w:bCs/>
          <w:lang w:val="fr-FR"/>
        </w:rPr>
        <w:t>il</w:t>
      </w:r>
      <w:r w:rsidRPr="00747D3E">
        <w:rPr>
          <w:rFonts w:eastAsia="Malgun Gothic"/>
          <w:bCs/>
          <w:lang w:val="fr-FR"/>
        </w:rPr>
        <w:t xml:space="preserve"> a donc remercié ses collègues. Certaines des réalisations à cet égard concernaient la mise en place d</w:t>
      </w:r>
      <w:r w:rsidR="00923E72">
        <w:rPr>
          <w:rFonts w:eastAsia="Malgun Gothic"/>
          <w:bCs/>
          <w:lang w:val="fr-FR"/>
        </w:rPr>
        <w:t>’</w:t>
      </w:r>
      <w:r w:rsidRPr="00747D3E">
        <w:rPr>
          <w:rFonts w:eastAsia="Malgun Gothic"/>
          <w:bCs/>
          <w:lang w:val="fr-FR"/>
        </w:rPr>
        <w:t>un processus simplifié pour l</w:t>
      </w:r>
      <w:r w:rsidR="00923E72">
        <w:rPr>
          <w:rFonts w:eastAsia="Malgun Gothic"/>
          <w:bCs/>
          <w:lang w:val="fr-FR"/>
        </w:rPr>
        <w:t>’</w:t>
      </w:r>
      <w:r w:rsidRPr="00747D3E">
        <w:rPr>
          <w:rFonts w:eastAsia="Malgun Gothic"/>
          <w:bCs/>
          <w:lang w:val="fr-FR"/>
        </w:rPr>
        <w:t>assistance internationale ainsi que l</w:t>
      </w:r>
      <w:r w:rsidR="00923E72">
        <w:rPr>
          <w:rFonts w:eastAsia="Malgun Gothic"/>
          <w:bCs/>
          <w:lang w:val="fr-FR"/>
        </w:rPr>
        <w:t>’</w:t>
      </w:r>
      <w:r w:rsidRPr="00747D3E">
        <w:rPr>
          <w:rFonts w:eastAsia="Malgun Gothic"/>
          <w:bCs/>
          <w:lang w:val="fr-FR"/>
        </w:rPr>
        <w:t>établissement d</w:t>
      </w:r>
      <w:r w:rsidR="00923E72">
        <w:rPr>
          <w:rFonts w:eastAsia="Malgun Gothic"/>
          <w:bCs/>
          <w:lang w:val="fr-FR"/>
        </w:rPr>
        <w:t>’</w:t>
      </w:r>
      <w:r w:rsidRPr="00747D3E">
        <w:rPr>
          <w:rFonts w:eastAsia="Malgun Gothic"/>
          <w:bCs/>
          <w:lang w:val="fr-FR"/>
        </w:rPr>
        <w:t>un processus pour le transfert d</w:t>
      </w:r>
      <w:r w:rsidR="00923E72">
        <w:rPr>
          <w:rFonts w:eastAsia="Malgun Gothic"/>
          <w:bCs/>
          <w:lang w:val="fr-FR"/>
        </w:rPr>
        <w:t>’</w:t>
      </w:r>
      <w:r w:rsidRPr="00747D3E">
        <w:rPr>
          <w:rFonts w:eastAsia="Malgun Gothic"/>
          <w:bCs/>
          <w:lang w:val="fr-FR"/>
        </w:rPr>
        <w:t>un élément d</w:t>
      </w:r>
      <w:r w:rsidR="00923E72">
        <w:rPr>
          <w:rFonts w:eastAsia="Malgun Gothic"/>
          <w:bCs/>
          <w:lang w:val="fr-FR"/>
        </w:rPr>
        <w:t>’</w:t>
      </w:r>
      <w:r w:rsidRPr="00747D3E">
        <w:rPr>
          <w:rFonts w:eastAsia="Malgun Gothic"/>
          <w:bCs/>
          <w:lang w:val="fr-FR"/>
        </w:rPr>
        <w:t>une liste à l</w:t>
      </w:r>
      <w:r w:rsidR="00923E72">
        <w:rPr>
          <w:rFonts w:eastAsia="Malgun Gothic"/>
          <w:bCs/>
          <w:lang w:val="fr-FR"/>
        </w:rPr>
        <w:t>’</w:t>
      </w:r>
      <w:r w:rsidRPr="00747D3E">
        <w:rPr>
          <w:rFonts w:eastAsia="Malgun Gothic"/>
          <w:bCs/>
          <w:lang w:val="fr-FR"/>
        </w:rPr>
        <w:t>autre, en particulier de la Liste de sauvegarde urgente à la Liste représentative. On pouvait espérer que les États membres feraient usage de ces nouveaux processus. Cependant, la réforme du patrimoine immatériel ne s</w:t>
      </w:r>
      <w:r w:rsidR="00923E72">
        <w:rPr>
          <w:rFonts w:eastAsia="Malgun Gothic"/>
          <w:bCs/>
          <w:lang w:val="fr-FR"/>
        </w:rPr>
        <w:t>’</w:t>
      </w:r>
      <w:r w:rsidRPr="00747D3E">
        <w:rPr>
          <w:rFonts w:eastAsia="Malgun Gothic"/>
          <w:bCs/>
          <w:lang w:val="fr-FR"/>
        </w:rPr>
        <w:t>arrêtait pas là. Il a félicité le Gouvernement suédois d</w:t>
      </w:r>
      <w:r w:rsidR="00923E72">
        <w:rPr>
          <w:rFonts w:eastAsia="Malgun Gothic"/>
          <w:bCs/>
          <w:lang w:val="fr-FR"/>
        </w:rPr>
        <w:t>’</w:t>
      </w:r>
      <w:r w:rsidRPr="00747D3E">
        <w:rPr>
          <w:rFonts w:eastAsia="Malgun Gothic"/>
          <w:bCs/>
          <w:lang w:val="fr-FR"/>
        </w:rPr>
        <w:t>avoir pris l</w:t>
      </w:r>
      <w:r w:rsidR="00923E72">
        <w:rPr>
          <w:rFonts w:eastAsia="Malgun Gothic"/>
          <w:bCs/>
          <w:lang w:val="fr-FR"/>
        </w:rPr>
        <w:t>’</w:t>
      </w:r>
      <w:r w:rsidRPr="00747D3E">
        <w:rPr>
          <w:rFonts w:eastAsia="Malgun Gothic"/>
          <w:bCs/>
          <w:lang w:val="fr-FR"/>
        </w:rPr>
        <w:t>initiative sur l</w:t>
      </w:r>
      <w:r w:rsidR="00923E72">
        <w:rPr>
          <w:rFonts w:eastAsia="Malgun Gothic"/>
          <w:bCs/>
          <w:lang w:val="fr-FR"/>
        </w:rPr>
        <w:t>’</w:t>
      </w:r>
      <w:r w:rsidRPr="00747D3E">
        <w:rPr>
          <w:rFonts w:eastAsia="Malgun Gothic"/>
          <w:bCs/>
          <w:lang w:val="fr-FR"/>
        </w:rPr>
        <w:t>article</w:t>
      </w:r>
      <w:r w:rsidR="002D3EB5">
        <w:rPr>
          <w:rFonts w:eastAsia="Malgun Gothic"/>
          <w:bCs/>
          <w:lang w:val="fr-FR"/>
        </w:rPr>
        <w:t> </w:t>
      </w:r>
      <w:r w:rsidRPr="00747D3E">
        <w:rPr>
          <w:rFonts w:eastAsia="Malgun Gothic"/>
          <w:bCs/>
          <w:lang w:val="fr-FR"/>
        </w:rPr>
        <w:t xml:space="preserve">18 et </w:t>
      </w:r>
      <w:r w:rsidR="002D3EB5">
        <w:rPr>
          <w:rFonts w:eastAsia="Malgun Gothic"/>
          <w:bCs/>
          <w:lang w:val="fr-FR"/>
        </w:rPr>
        <w:t xml:space="preserve">pour </w:t>
      </w:r>
      <w:r w:rsidRPr="00747D3E">
        <w:rPr>
          <w:rFonts w:eastAsia="Malgun Gothic"/>
          <w:bCs/>
          <w:lang w:val="fr-FR"/>
        </w:rPr>
        <w:t>les discussions</w:t>
      </w:r>
      <w:r w:rsidR="002D3EB5">
        <w:rPr>
          <w:rFonts w:eastAsia="Malgun Gothic"/>
          <w:bCs/>
          <w:lang w:val="fr-FR"/>
        </w:rPr>
        <w:t xml:space="preserve"> à ce sujet</w:t>
      </w:r>
      <w:r w:rsidRPr="00747D3E">
        <w:rPr>
          <w:rFonts w:eastAsia="Malgun Gothic"/>
          <w:bCs/>
          <w:lang w:val="fr-FR"/>
        </w:rPr>
        <w:t>. S</w:t>
      </w:r>
      <w:r w:rsidR="00923E72">
        <w:rPr>
          <w:rFonts w:eastAsia="Malgun Gothic"/>
          <w:bCs/>
          <w:lang w:val="fr-FR"/>
        </w:rPr>
        <w:t>’</w:t>
      </w:r>
      <w:r w:rsidRPr="00747D3E">
        <w:rPr>
          <w:rFonts w:eastAsia="Malgun Gothic"/>
          <w:bCs/>
          <w:lang w:val="fr-FR"/>
        </w:rPr>
        <w:t>agissant de l</w:t>
      </w:r>
      <w:r w:rsidR="00923E72">
        <w:rPr>
          <w:rFonts w:eastAsia="Malgun Gothic"/>
          <w:bCs/>
          <w:lang w:val="fr-FR"/>
        </w:rPr>
        <w:t>’</w:t>
      </w:r>
      <w:r w:rsidRPr="00747D3E">
        <w:rPr>
          <w:rFonts w:eastAsia="Malgun Gothic"/>
          <w:bCs/>
          <w:lang w:val="fr-FR"/>
        </w:rPr>
        <w:t>assistance internationale, le Japon soutenait un projet de sauvegarde du patrimoine vivant en situation d</w:t>
      </w:r>
      <w:r w:rsidR="00923E72">
        <w:rPr>
          <w:rFonts w:eastAsia="Malgun Gothic"/>
          <w:bCs/>
          <w:lang w:val="fr-FR"/>
        </w:rPr>
        <w:t>’</w:t>
      </w:r>
      <w:r w:rsidRPr="00747D3E">
        <w:rPr>
          <w:rFonts w:eastAsia="Malgun Gothic"/>
          <w:bCs/>
          <w:lang w:val="fr-FR"/>
        </w:rPr>
        <w:t xml:space="preserve">urgence dans cinq </w:t>
      </w:r>
      <w:r w:rsidR="0025295A">
        <w:rPr>
          <w:rFonts w:eastAsia="Malgun Gothic"/>
          <w:bCs/>
          <w:lang w:val="fr-FR"/>
        </w:rPr>
        <w:t>PEID</w:t>
      </w:r>
      <w:r w:rsidR="00221D63">
        <w:rPr>
          <w:rFonts w:eastAsia="Malgun Gothic"/>
          <w:bCs/>
          <w:lang w:val="fr-FR"/>
        </w:rPr>
        <w:t> </w:t>
      </w:r>
      <w:r w:rsidRPr="00747D3E">
        <w:rPr>
          <w:rFonts w:eastAsia="Malgun Gothic"/>
          <w:bCs/>
          <w:lang w:val="fr-FR"/>
        </w:rPr>
        <w:t>: les Bahamas</w:t>
      </w:r>
      <w:r w:rsidR="00F027A2">
        <w:rPr>
          <w:rFonts w:eastAsia="Malgun Gothic"/>
          <w:bCs/>
          <w:lang w:val="fr-FR"/>
        </w:rPr>
        <w:t> ;</w:t>
      </w:r>
      <w:r w:rsidRPr="00747D3E">
        <w:rPr>
          <w:rFonts w:eastAsia="Malgun Gothic"/>
          <w:bCs/>
          <w:lang w:val="fr-FR"/>
        </w:rPr>
        <w:t xml:space="preserve"> Belize</w:t>
      </w:r>
      <w:r w:rsidR="00F027A2">
        <w:rPr>
          <w:rFonts w:eastAsia="Malgun Gothic"/>
          <w:bCs/>
          <w:lang w:val="fr-FR"/>
        </w:rPr>
        <w:t> ;</w:t>
      </w:r>
      <w:r w:rsidRPr="00747D3E">
        <w:rPr>
          <w:rFonts w:eastAsia="Malgun Gothic"/>
          <w:bCs/>
          <w:lang w:val="fr-FR"/>
        </w:rPr>
        <w:t xml:space="preserve"> les Fidji</w:t>
      </w:r>
      <w:r w:rsidR="00F027A2">
        <w:rPr>
          <w:rFonts w:eastAsia="Malgun Gothic"/>
          <w:bCs/>
          <w:lang w:val="fr-FR"/>
        </w:rPr>
        <w:t> ;</w:t>
      </w:r>
      <w:r w:rsidRPr="00747D3E">
        <w:rPr>
          <w:rFonts w:eastAsia="Malgun Gothic"/>
          <w:bCs/>
          <w:lang w:val="fr-FR"/>
        </w:rPr>
        <w:t xml:space="preserve"> les Tonga</w:t>
      </w:r>
      <w:r w:rsidR="00F027A2">
        <w:rPr>
          <w:rFonts w:eastAsia="Malgun Gothic"/>
          <w:bCs/>
          <w:lang w:val="fr-FR"/>
        </w:rPr>
        <w:t> ;</w:t>
      </w:r>
      <w:r w:rsidRPr="00747D3E">
        <w:rPr>
          <w:rFonts w:eastAsia="Malgun Gothic"/>
          <w:bCs/>
          <w:lang w:val="fr-FR"/>
        </w:rPr>
        <w:t xml:space="preserve"> et le Vanuatu. Le changement climatique et d</w:t>
      </w:r>
      <w:r w:rsidR="00923E72">
        <w:rPr>
          <w:rFonts w:eastAsia="Malgun Gothic"/>
          <w:bCs/>
          <w:lang w:val="fr-FR"/>
        </w:rPr>
        <w:t>’</w:t>
      </w:r>
      <w:r w:rsidRPr="00747D3E">
        <w:rPr>
          <w:rFonts w:eastAsia="Malgun Gothic"/>
          <w:bCs/>
          <w:lang w:val="fr-FR"/>
        </w:rPr>
        <w:t>autres catastrophes naturelles pouvaient détruire les communautés qui pratiquent leur patrimoine vivant</w:t>
      </w:r>
      <w:r w:rsidR="002D3EB5">
        <w:rPr>
          <w:rFonts w:eastAsia="Malgun Gothic"/>
          <w:bCs/>
          <w:lang w:val="fr-FR"/>
        </w:rPr>
        <w:t>,</w:t>
      </w:r>
      <w:r w:rsidR="0040579C">
        <w:rPr>
          <w:rFonts w:eastAsia="Malgun Gothic"/>
          <w:bCs/>
          <w:lang w:val="fr-FR"/>
        </w:rPr>
        <w:t xml:space="preserve"> et c</w:t>
      </w:r>
      <w:r w:rsidRPr="00747D3E">
        <w:rPr>
          <w:rFonts w:eastAsia="Malgun Gothic"/>
          <w:bCs/>
          <w:lang w:val="fr-FR"/>
        </w:rPr>
        <w:t>es communautés avaient besoin de soutien. Après tout, le facteur le plus important en matière de patrimoine immatériel était d</w:t>
      </w:r>
      <w:r w:rsidR="00923E72">
        <w:rPr>
          <w:rFonts w:eastAsia="Malgun Gothic"/>
          <w:bCs/>
          <w:lang w:val="fr-FR"/>
        </w:rPr>
        <w:t>’</w:t>
      </w:r>
      <w:r w:rsidRPr="00747D3E">
        <w:rPr>
          <w:rFonts w:eastAsia="Malgun Gothic"/>
          <w:bCs/>
          <w:lang w:val="fr-FR"/>
        </w:rPr>
        <w:t>aider et d</w:t>
      </w:r>
      <w:r w:rsidR="00923E72">
        <w:rPr>
          <w:rFonts w:eastAsia="Malgun Gothic"/>
          <w:bCs/>
          <w:lang w:val="fr-FR"/>
        </w:rPr>
        <w:t>’</w:t>
      </w:r>
      <w:r w:rsidRPr="00747D3E">
        <w:rPr>
          <w:rFonts w:eastAsia="Malgun Gothic"/>
          <w:bCs/>
          <w:lang w:val="fr-FR"/>
        </w:rPr>
        <w:t xml:space="preserve">encourager les communautés à préserver leur patrimoine. </w:t>
      </w:r>
      <w:r w:rsidR="0040579C">
        <w:rPr>
          <w:rFonts w:eastAsia="Malgun Gothic"/>
          <w:bCs/>
          <w:lang w:val="fr-FR"/>
        </w:rPr>
        <w:t xml:space="preserve">On pouvait espérer </w:t>
      </w:r>
      <w:r w:rsidRPr="00747D3E">
        <w:rPr>
          <w:rFonts w:eastAsia="Malgun Gothic"/>
          <w:bCs/>
          <w:lang w:val="fr-FR"/>
        </w:rPr>
        <w:t xml:space="preserve">que </w:t>
      </w:r>
      <w:r w:rsidR="0040579C">
        <w:rPr>
          <w:rFonts w:eastAsia="Malgun Gothic"/>
          <w:bCs/>
          <w:lang w:val="fr-FR"/>
        </w:rPr>
        <w:t>les communautés concernées seraient au cœur d</w:t>
      </w:r>
      <w:r w:rsidRPr="00747D3E">
        <w:rPr>
          <w:rFonts w:eastAsia="Malgun Gothic"/>
          <w:bCs/>
          <w:lang w:val="fr-FR"/>
        </w:rPr>
        <w:t>es discussions de ce Comité</w:t>
      </w:r>
      <w:r w:rsidR="0040579C">
        <w:rPr>
          <w:rFonts w:eastAsia="Malgun Gothic"/>
          <w:bCs/>
          <w:lang w:val="fr-FR"/>
        </w:rPr>
        <w:t>.</w:t>
      </w:r>
    </w:p>
    <w:p w14:paraId="37CC5994" w14:textId="7887E4EB" w:rsidR="004C4356" w:rsidRDefault="0040579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Au nom de tous les membres du Comité et de tous les États parties, l</w:t>
      </w:r>
      <w:r w:rsidR="004C4356">
        <w:rPr>
          <w:rFonts w:eastAsia="Malgun Gothic"/>
          <w:bCs/>
          <w:lang w:val="fr-FR"/>
        </w:rPr>
        <w:t xml:space="preserve">e </w:t>
      </w:r>
      <w:r w:rsidR="004C4356" w:rsidRPr="004C4356">
        <w:rPr>
          <w:rFonts w:eastAsia="Malgun Gothic"/>
          <w:b/>
          <w:lang w:val="fr-FR"/>
        </w:rPr>
        <w:t>Président</w:t>
      </w:r>
      <w:r w:rsidR="004C4356">
        <w:rPr>
          <w:rFonts w:eastAsia="Malgun Gothic"/>
          <w:bCs/>
          <w:lang w:val="fr-FR"/>
        </w:rPr>
        <w:t xml:space="preserve"> a </w:t>
      </w:r>
      <w:r>
        <w:rPr>
          <w:rFonts w:eastAsia="Malgun Gothic"/>
          <w:bCs/>
          <w:lang w:val="fr-FR"/>
        </w:rPr>
        <w:t xml:space="preserve">rendu </w:t>
      </w:r>
      <w:r w:rsidR="004C4356">
        <w:rPr>
          <w:rFonts w:eastAsia="Malgun Gothic"/>
          <w:bCs/>
          <w:lang w:val="fr-FR"/>
        </w:rPr>
        <w:t>hommage à l</w:t>
      </w:r>
      <w:r w:rsidR="00923E72">
        <w:rPr>
          <w:rFonts w:eastAsia="Malgun Gothic"/>
          <w:bCs/>
          <w:lang w:val="fr-FR"/>
        </w:rPr>
        <w:t>’</w:t>
      </w:r>
      <w:r w:rsidR="004C4356">
        <w:rPr>
          <w:rFonts w:eastAsia="Malgun Gothic"/>
          <w:bCs/>
          <w:lang w:val="fr-FR"/>
        </w:rPr>
        <w:t xml:space="preserve">ambassadeur </w:t>
      </w:r>
      <w:r w:rsidR="004050CB">
        <w:rPr>
          <w:rFonts w:eastAsia="Malgun Gothic"/>
          <w:bCs/>
          <w:lang w:val="fr-FR"/>
        </w:rPr>
        <w:t xml:space="preserve">S. Exc. M. Oike </w:t>
      </w:r>
      <w:r w:rsidR="004C4356">
        <w:rPr>
          <w:rFonts w:eastAsia="Malgun Gothic"/>
          <w:bCs/>
          <w:lang w:val="fr-FR"/>
        </w:rPr>
        <w:t>Atsuyuki, le remerciant pour son merveilleux travail sur les mécanismes d</w:t>
      </w:r>
      <w:r w:rsidR="00923E72">
        <w:rPr>
          <w:rFonts w:eastAsia="Malgun Gothic"/>
          <w:bCs/>
          <w:lang w:val="fr-FR"/>
        </w:rPr>
        <w:t>’</w:t>
      </w:r>
      <w:r w:rsidR="004C4356" w:rsidRPr="004C4356">
        <w:rPr>
          <w:rFonts w:eastAsia="Malgun Gothic"/>
          <w:bCs/>
          <w:lang w:val="fr-FR"/>
        </w:rPr>
        <w:t>inscription</w:t>
      </w:r>
      <w:r>
        <w:rPr>
          <w:rFonts w:eastAsia="Malgun Gothic"/>
          <w:bCs/>
          <w:lang w:val="fr-FR"/>
        </w:rPr>
        <w:t xml:space="preserve">, </w:t>
      </w:r>
      <w:r w:rsidR="004C4356">
        <w:rPr>
          <w:rFonts w:eastAsia="Malgun Gothic"/>
          <w:bCs/>
          <w:lang w:val="fr-FR"/>
        </w:rPr>
        <w:t xml:space="preserve">ce dont ils lui seraient à jamais </w:t>
      </w:r>
      <w:r w:rsidR="004C4356" w:rsidRPr="004C4356">
        <w:rPr>
          <w:rFonts w:eastAsia="Malgun Gothic"/>
          <w:bCs/>
          <w:lang w:val="fr-FR"/>
        </w:rPr>
        <w:t>reconnaissan</w:t>
      </w:r>
      <w:r w:rsidR="004C4356">
        <w:rPr>
          <w:rFonts w:eastAsia="Malgun Gothic"/>
          <w:bCs/>
          <w:lang w:val="fr-FR"/>
        </w:rPr>
        <w:t>ts</w:t>
      </w:r>
      <w:r>
        <w:rPr>
          <w:rFonts w:eastAsia="Malgun Gothic"/>
          <w:bCs/>
          <w:lang w:val="fr-FR"/>
        </w:rPr>
        <w:t>.</w:t>
      </w:r>
    </w:p>
    <w:p w14:paraId="5AF98E39" w14:textId="366BDB1A" w:rsidR="004553E3" w:rsidRDefault="004C435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C4356">
        <w:rPr>
          <w:rFonts w:eastAsia="Malgun Gothic"/>
          <w:bCs/>
          <w:lang w:val="fr-FR"/>
        </w:rPr>
        <w:t xml:space="preserve">La délégation de la </w:t>
      </w:r>
      <w:r w:rsidRPr="004C4356">
        <w:rPr>
          <w:rFonts w:eastAsia="Malgun Gothic"/>
          <w:b/>
          <w:lang w:val="fr-FR"/>
        </w:rPr>
        <w:t>Namibie</w:t>
      </w:r>
      <w:r w:rsidRPr="004C4356">
        <w:rPr>
          <w:rFonts w:eastAsia="Malgun Gothic"/>
          <w:bCs/>
          <w:lang w:val="fr-FR"/>
        </w:rPr>
        <w:t xml:space="preserve"> a félicité le Président pour son excellent leadership et a salué le Gouvernement du Maroc pour s</w:t>
      </w:r>
      <w:r w:rsidR="00FE6248">
        <w:rPr>
          <w:rFonts w:eastAsia="Malgun Gothic"/>
          <w:bCs/>
          <w:lang w:val="fr-FR"/>
        </w:rPr>
        <w:t xml:space="preserve">a </w:t>
      </w:r>
      <w:r w:rsidRPr="004C4356">
        <w:rPr>
          <w:rFonts w:eastAsia="Malgun Gothic"/>
          <w:bCs/>
          <w:lang w:val="fr-FR"/>
        </w:rPr>
        <w:t>chaleureuse et généreuse</w:t>
      </w:r>
      <w:r w:rsidR="00FE6248">
        <w:rPr>
          <w:rFonts w:eastAsia="Malgun Gothic"/>
          <w:bCs/>
          <w:lang w:val="fr-FR"/>
        </w:rPr>
        <w:t xml:space="preserve"> hospitalité</w:t>
      </w:r>
      <w:r w:rsidRPr="004C4356">
        <w:rPr>
          <w:rFonts w:eastAsia="Malgun Gothic"/>
          <w:bCs/>
          <w:lang w:val="fr-FR"/>
        </w:rPr>
        <w:t>. La Namibie s</w:t>
      </w:r>
      <w:r w:rsidR="00923E72">
        <w:rPr>
          <w:rFonts w:eastAsia="Malgun Gothic"/>
          <w:bCs/>
          <w:lang w:val="fr-FR"/>
        </w:rPr>
        <w:t>’</w:t>
      </w:r>
      <w:r w:rsidRPr="004C4356">
        <w:rPr>
          <w:rFonts w:eastAsia="Malgun Gothic"/>
          <w:bCs/>
          <w:lang w:val="fr-FR"/>
        </w:rPr>
        <w:t>est également réjouie que le renforcement des capacités reste une priorité pour la région Afrique. Elle était en effet reconnaissante à l</w:t>
      </w:r>
      <w:r w:rsidR="00923E72">
        <w:rPr>
          <w:rFonts w:eastAsia="Malgun Gothic"/>
          <w:bCs/>
          <w:lang w:val="fr-FR"/>
        </w:rPr>
        <w:t>’</w:t>
      </w:r>
      <w:r w:rsidRPr="004C4356">
        <w:rPr>
          <w:rFonts w:eastAsia="Malgun Gothic"/>
          <w:bCs/>
          <w:lang w:val="fr-FR"/>
        </w:rPr>
        <w:t xml:space="preserve">UNESCO pour le soutien financier reçu, en particulier, pour la </w:t>
      </w:r>
      <w:r w:rsidR="00FE6248">
        <w:rPr>
          <w:rFonts w:eastAsia="Malgun Gothic"/>
          <w:bCs/>
          <w:lang w:val="fr-FR"/>
        </w:rPr>
        <w:t>s</w:t>
      </w:r>
      <w:r w:rsidRPr="004C4356">
        <w:rPr>
          <w:rFonts w:eastAsia="Malgun Gothic"/>
          <w:bCs/>
          <w:lang w:val="fr-FR"/>
        </w:rPr>
        <w:t>auvegarde de</w:t>
      </w:r>
      <w:r w:rsidR="00FE6248">
        <w:rPr>
          <w:rFonts w:eastAsia="Malgun Gothic"/>
          <w:bCs/>
          <w:lang w:val="fr-FR"/>
        </w:rPr>
        <w:t xml:space="preserve"> l</w:t>
      </w:r>
      <w:r w:rsidR="00923E72">
        <w:rPr>
          <w:rFonts w:eastAsia="Malgun Gothic"/>
          <w:bCs/>
          <w:lang w:val="fr-FR"/>
        </w:rPr>
        <w:t>’</w:t>
      </w:r>
      <w:proofErr w:type="spellStart"/>
      <w:r w:rsidR="00FE6248">
        <w:rPr>
          <w:rFonts w:eastAsia="Malgun Gothic"/>
          <w:bCs/>
          <w:lang w:val="fr-FR"/>
        </w:rPr>
        <w:t>okuruuo</w:t>
      </w:r>
      <w:proofErr w:type="spellEnd"/>
      <w:r w:rsidR="00FE6248">
        <w:rPr>
          <w:rFonts w:eastAsia="Malgun Gothic"/>
          <w:bCs/>
          <w:lang w:val="fr-FR"/>
        </w:rPr>
        <w:t xml:space="preserve"> par les </w:t>
      </w:r>
      <w:r w:rsidRPr="004C4356">
        <w:rPr>
          <w:rFonts w:eastAsia="Malgun Gothic"/>
          <w:bCs/>
          <w:lang w:val="fr-FR"/>
        </w:rPr>
        <w:t>communautés</w:t>
      </w:r>
      <w:r w:rsidR="00FE6248">
        <w:rPr>
          <w:rFonts w:eastAsia="Malgun Gothic"/>
          <w:bCs/>
          <w:lang w:val="fr-FR"/>
        </w:rPr>
        <w:t xml:space="preserve"> de détenteurs</w:t>
      </w:r>
      <w:r w:rsidRPr="004C4356">
        <w:rPr>
          <w:rFonts w:eastAsia="Malgun Gothic"/>
          <w:bCs/>
          <w:lang w:val="fr-FR"/>
        </w:rPr>
        <w:t xml:space="preserve">, </w:t>
      </w:r>
      <w:r w:rsidR="006E75A4">
        <w:rPr>
          <w:rFonts w:eastAsia="Malgun Gothic"/>
          <w:bCs/>
          <w:lang w:val="fr-FR"/>
        </w:rPr>
        <w:t xml:space="preserve">qui avait permis </w:t>
      </w:r>
      <w:r w:rsidRPr="004C4356">
        <w:rPr>
          <w:rFonts w:eastAsia="Malgun Gothic"/>
          <w:bCs/>
          <w:lang w:val="fr-FR"/>
        </w:rPr>
        <w:t>de</w:t>
      </w:r>
      <w:r w:rsidR="006E75A4">
        <w:rPr>
          <w:rFonts w:eastAsia="Malgun Gothic"/>
          <w:bCs/>
          <w:lang w:val="fr-FR"/>
        </w:rPr>
        <w:t xml:space="preserve"> réaliser des</w:t>
      </w:r>
      <w:r w:rsidRPr="004C4356">
        <w:rPr>
          <w:rFonts w:eastAsia="Malgun Gothic"/>
          <w:bCs/>
          <w:lang w:val="fr-FR"/>
        </w:rPr>
        <w:t xml:space="preserve"> progrès significatifs et </w:t>
      </w:r>
      <w:r w:rsidR="006E75A4">
        <w:rPr>
          <w:rFonts w:eastAsia="Malgun Gothic"/>
          <w:bCs/>
          <w:lang w:val="fr-FR"/>
        </w:rPr>
        <w:t>de</w:t>
      </w:r>
      <w:r w:rsidRPr="004C4356">
        <w:rPr>
          <w:rFonts w:eastAsia="Malgun Gothic"/>
          <w:bCs/>
          <w:lang w:val="fr-FR"/>
        </w:rPr>
        <w:t xml:space="preserve"> renforce</w:t>
      </w:r>
      <w:r w:rsidR="006E75A4">
        <w:rPr>
          <w:rFonts w:eastAsia="Malgun Gothic"/>
          <w:bCs/>
          <w:lang w:val="fr-FR"/>
        </w:rPr>
        <w:t>r l</w:t>
      </w:r>
      <w:r w:rsidRPr="004C4356">
        <w:rPr>
          <w:rFonts w:eastAsia="Malgun Gothic"/>
          <w:bCs/>
          <w:lang w:val="fr-FR"/>
        </w:rPr>
        <w:t xml:space="preserve">es capacités </w:t>
      </w:r>
      <w:r w:rsidR="006E75A4">
        <w:rPr>
          <w:rFonts w:eastAsia="Malgun Gothic"/>
          <w:bCs/>
          <w:lang w:val="fr-FR"/>
        </w:rPr>
        <w:t>en matière de</w:t>
      </w:r>
      <w:r w:rsidRPr="004C4356">
        <w:rPr>
          <w:rFonts w:eastAsia="Malgun Gothic"/>
          <w:bCs/>
          <w:lang w:val="fr-FR"/>
        </w:rPr>
        <w:t xml:space="preserve"> mise en œuvre de la Convention aux niveaux national et communautaire dans les différentes régions géographiques de la Namibie. </w:t>
      </w:r>
      <w:r w:rsidR="00F027A2">
        <w:rPr>
          <w:rFonts w:eastAsia="Malgun Gothic"/>
          <w:bCs/>
          <w:lang w:val="fr-FR"/>
        </w:rPr>
        <w:t>L</w:t>
      </w:r>
      <w:r w:rsidRPr="004C4356">
        <w:rPr>
          <w:rFonts w:eastAsia="Malgun Gothic"/>
          <w:bCs/>
          <w:lang w:val="fr-FR"/>
        </w:rPr>
        <w:t>a Namibie était reconnaissante du soutien indéfectible qu</w:t>
      </w:r>
      <w:r w:rsidR="00923E72">
        <w:rPr>
          <w:rFonts w:eastAsia="Malgun Gothic"/>
          <w:bCs/>
          <w:lang w:val="fr-FR"/>
        </w:rPr>
        <w:t>’</w:t>
      </w:r>
      <w:r w:rsidRPr="004C4356">
        <w:rPr>
          <w:rFonts w:eastAsia="Malgun Gothic"/>
          <w:bCs/>
          <w:lang w:val="fr-FR"/>
        </w:rPr>
        <w:t>elle continuait de recevoir de la part du Secrétariat. Malgré les revers majeurs imposés par la pandémie de COVID</w:t>
      </w:r>
      <w:r w:rsidR="00FE6248">
        <w:rPr>
          <w:rFonts w:eastAsia="Malgun Gothic"/>
          <w:bCs/>
          <w:lang w:val="fr-FR"/>
        </w:rPr>
        <w:noBreakHyphen/>
      </w:r>
      <w:r w:rsidRPr="004C4356">
        <w:rPr>
          <w:rFonts w:eastAsia="Malgun Gothic"/>
          <w:bCs/>
          <w:lang w:val="fr-FR"/>
        </w:rPr>
        <w:t>19, elle a réaffirmé l</w:t>
      </w:r>
      <w:r w:rsidR="00923E72">
        <w:rPr>
          <w:rFonts w:eastAsia="Malgun Gothic"/>
          <w:bCs/>
          <w:lang w:val="fr-FR"/>
        </w:rPr>
        <w:t>’</w:t>
      </w:r>
      <w:r w:rsidRPr="004C4356">
        <w:rPr>
          <w:rFonts w:eastAsia="Malgun Gothic"/>
          <w:bCs/>
          <w:lang w:val="fr-FR"/>
        </w:rPr>
        <w:t xml:space="preserve">engagement du Gouvernement namibien à mettre en œuvre avec succès et efficacité le projet </w:t>
      </w:r>
      <w:proofErr w:type="spellStart"/>
      <w:r w:rsidR="00FE6248">
        <w:rPr>
          <w:rFonts w:eastAsia="Malgun Gothic"/>
          <w:bCs/>
          <w:lang w:val="fr-FR"/>
        </w:rPr>
        <w:t>o</w:t>
      </w:r>
      <w:r w:rsidRPr="004C4356">
        <w:rPr>
          <w:rFonts w:eastAsia="Malgun Gothic"/>
          <w:bCs/>
          <w:lang w:val="fr-FR"/>
        </w:rPr>
        <w:t>kuruuo</w:t>
      </w:r>
      <w:proofErr w:type="spellEnd"/>
      <w:r w:rsidRPr="004C4356">
        <w:rPr>
          <w:rFonts w:eastAsia="Malgun Gothic"/>
          <w:bCs/>
          <w:lang w:val="fr-FR"/>
        </w:rPr>
        <w:t>, tout en promouvant l</w:t>
      </w:r>
      <w:r w:rsidR="00923E72">
        <w:rPr>
          <w:rFonts w:eastAsia="Malgun Gothic"/>
          <w:bCs/>
          <w:lang w:val="fr-FR"/>
        </w:rPr>
        <w:t>’</w:t>
      </w:r>
      <w:r w:rsidRPr="004C4356">
        <w:rPr>
          <w:rFonts w:eastAsia="Malgun Gothic"/>
          <w:bCs/>
          <w:lang w:val="fr-FR"/>
        </w:rPr>
        <w:t>esprit et les valeurs de la Convention.</w:t>
      </w:r>
    </w:p>
    <w:p w14:paraId="037C209F" w14:textId="44075FDC" w:rsidR="00FE6248" w:rsidRDefault="00FE624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FE6248">
        <w:rPr>
          <w:rFonts w:eastAsia="Malgun Gothic"/>
          <w:b/>
          <w:lang w:val="fr-FR"/>
        </w:rPr>
        <w:t>Président</w:t>
      </w:r>
      <w:r>
        <w:rPr>
          <w:rFonts w:eastAsia="Malgun Gothic"/>
          <w:bCs/>
          <w:lang w:val="fr-FR"/>
        </w:rPr>
        <w:t xml:space="preserve"> </w:t>
      </w:r>
      <w:r w:rsidR="003E25A4">
        <w:rPr>
          <w:rFonts w:eastAsia="Malgun Gothic"/>
          <w:bCs/>
          <w:lang w:val="fr-FR"/>
        </w:rPr>
        <w:t xml:space="preserve">était </w:t>
      </w:r>
      <w:r>
        <w:rPr>
          <w:rFonts w:eastAsia="Malgun Gothic"/>
          <w:bCs/>
          <w:lang w:val="fr-FR"/>
        </w:rPr>
        <w:t xml:space="preserve">heureux que, </w:t>
      </w:r>
      <w:r w:rsidRPr="00FE6248">
        <w:rPr>
          <w:rFonts w:eastAsia="Malgun Gothic"/>
          <w:bCs/>
          <w:lang w:val="fr-FR"/>
        </w:rPr>
        <w:t>conformément</w:t>
      </w:r>
      <w:r>
        <w:rPr>
          <w:rFonts w:eastAsia="Malgun Gothic"/>
          <w:bCs/>
          <w:lang w:val="fr-FR"/>
        </w:rPr>
        <w:t xml:space="preserve"> à la priorité globale Afrique, de plus en plus de pays africains bénéficient de cette assistance internationale.</w:t>
      </w:r>
    </w:p>
    <w:p w14:paraId="6F6B2875" w14:textId="5E555362" w:rsidR="00FE6248" w:rsidRDefault="006E75A4"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6E75A4">
        <w:rPr>
          <w:rFonts w:eastAsia="Malgun Gothic"/>
          <w:bCs/>
          <w:lang w:val="fr-FR"/>
        </w:rPr>
        <w:lastRenderedPageBreak/>
        <w:t xml:space="preserve">La délégation de la </w:t>
      </w:r>
      <w:r w:rsidRPr="00702497">
        <w:rPr>
          <w:rFonts w:eastAsia="Malgun Gothic"/>
          <w:b/>
          <w:lang w:val="fr-FR"/>
        </w:rPr>
        <w:t>Guinée</w:t>
      </w:r>
      <w:r w:rsidRPr="006E75A4">
        <w:rPr>
          <w:rFonts w:eastAsia="Malgun Gothic"/>
          <w:bCs/>
          <w:lang w:val="fr-FR"/>
        </w:rPr>
        <w:t xml:space="preserve"> a remercié l</w:t>
      </w:r>
      <w:r w:rsidR="00923E72">
        <w:rPr>
          <w:rFonts w:eastAsia="Malgun Gothic"/>
          <w:bCs/>
          <w:lang w:val="fr-FR"/>
        </w:rPr>
        <w:t>’</w:t>
      </w:r>
      <w:r w:rsidRPr="006E75A4">
        <w:rPr>
          <w:rFonts w:eastAsia="Malgun Gothic"/>
          <w:bCs/>
          <w:lang w:val="fr-FR"/>
        </w:rPr>
        <w:t>UNESCO pour tous les efforts déployés dans le cadre de la mise en œuvre au niveau national</w:t>
      </w:r>
      <w:r w:rsidR="003E25A4" w:rsidRPr="003E25A4">
        <w:rPr>
          <w:rFonts w:eastAsia="Malgun Gothic"/>
          <w:bCs/>
          <w:lang w:val="fr-FR"/>
        </w:rPr>
        <w:t xml:space="preserve"> </w:t>
      </w:r>
      <w:r w:rsidR="003E25A4" w:rsidRPr="006E75A4">
        <w:rPr>
          <w:rFonts w:eastAsia="Malgun Gothic"/>
          <w:bCs/>
          <w:lang w:val="fr-FR"/>
        </w:rPr>
        <w:t>de la Convention</w:t>
      </w:r>
      <w:r w:rsidRPr="006E75A4">
        <w:rPr>
          <w:rFonts w:eastAsia="Malgun Gothic"/>
          <w:bCs/>
          <w:lang w:val="fr-FR"/>
        </w:rPr>
        <w:t>, que la Guinée avait ratifiée en</w:t>
      </w:r>
      <w:r w:rsidR="001A7AF7">
        <w:rPr>
          <w:rFonts w:eastAsia="Malgun Gothic"/>
          <w:bCs/>
          <w:lang w:val="fr-FR"/>
        </w:rPr>
        <w:t> </w:t>
      </w:r>
      <w:r w:rsidRPr="006E75A4">
        <w:rPr>
          <w:rFonts w:eastAsia="Malgun Gothic"/>
          <w:bCs/>
          <w:lang w:val="fr-FR"/>
        </w:rPr>
        <w:t>2008. En</w:t>
      </w:r>
      <w:r w:rsidR="001A7AF7">
        <w:rPr>
          <w:rFonts w:eastAsia="Malgun Gothic"/>
          <w:bCs/>
          <w:lang w:val="fr-FR"/>
        </w:rPr>
        <w:t> </w:t>
      </w:r>
      <w:r w:rsidRPr="006E75A4">
        <w:rPr>
          <w:rFonts w:eastAsia="Malgun Gothic"/>
          <w:bCs/>
          <w:lang w:val="fr-FR"/>
        </w:rPr>
        <w:t>2017, grâce au soutien du Bureau régional de l</w:t>
      </w:r>
      <w:r w:rsidR="00923E72">
        <w:rPr>
          <w:rFonts w:eastAsia="Malgun Gothic"/>
          <w:bCs/>
          <w:lang w:val="fr-FR"/>
        </w:rPr>
        <w:t>’</w:t>
      </w:r>
      <w:r w:rsidRPr="006E75A4">
        <w:rPr>
          <w:rFonts w:eastAsia="Malgun Gothic"/>
          <w:bCs/>
          <w:lang w:val="fr-FR"/>
        </w:rPr>
        <w:t>UNESCO à Abuja, la Guinée avait bénéficié d</w:t>
      </w:r>
      <w:r w:rsidR="00923E72">
        <w:rPr>
          <w:rFonts w:eastAsia="Malgun Gothic"/>
          <w:bCs/>
          <w:lang w:val="fr-FR"/>
        </w:rPr>
        <w:t>’</w:t>
      </w:r>
      <w:r w:rsidRPr="006E75A4">
        <w:rPr>
          <w:rFonts w:eastAsia="Malgun Gothic"/>
          <w:bCs/>
          <w:lang w:val="fr-FR"/>
        </w:rPr>
        <w:t>une assistance qui lui avait permis d</w:t>
      </w:r>
      <w:r w:rsidR="00923E72">
        <w:rPr>
          <w:rFonts w:eastAsia="Malgun Gothic"/>
          <w:bCs/>
          <w:lang w:val="fr-FR"/>
        </w:rPr>
        <w:t>’</w:t>
      </w:r>
      <w:r w:rsidRPr="006E75A4">
        <w:rPr>
          <w:rFonts w:eastAsia="Malgun Gothic"/>
          <w:bCs/>
          <w:lang w:val="fr-FR"/>
        </w:rPr>
        <w:t>évaluer les besoins des groupes et communautés sur l</w:t>
      </w:r>
      <w:r w:rsidR="00923E72">
        <w:rPr>
          <w:rFonts w:eastAsia="Malgun Gothic"/>
          <w:bCs/>
          <w:lang w:val="fr-FR"/>
        </w:rPr>
        <w:t>’</w:t>
      </w:r>
      <w:r w:rsidRPr="006E75A4">
        <w:rPr>
          <w:rFonts w:eastAsia="Malgun Gothic"/>
          <w:bCs/>
          <w:lang w:val="fr-FR"/>
        </w:rPr>
        <w:t>ensemble du territoire national. A l</w:t>
      </w:r>
      <w:r w:rsidR="00923E72">
        <w:rPr>
          <w:rFonts w:eastAsia="Malgun Gothic"/>
          <w:bCs/>
          <w:lang w:val="fr-FR"/>
        </w:rPr>
        <w:t>’</w:t>
      </w:r>
      <w:r w:rsidRPr="006E75A4">
        <w:rPr>
          <w:rFonts w:eastAsia="Malgun Gothic"/>
          <w:bCs/>
          <w:lang w:val="fr-FR"/>
        </w:rPr>
        <w:t xml:space="preserve">issue de ces consultations régionales, elle avait </w:t>
      </w:r>
      <w:r w:rsidR="00E43428">
        <w:rPr>
          <w:rFonts w:eastAsia="Malgun Gothic"/>
          <w:bCs/>
          <w:lang w:val="fr-FR"/>
        </w:rPr>
        <w:t xml:space="preserve">constaté </w:t>
      </w:r>
      <w:r w:rsidRPr="006E75A4">
        <w:rPr>
          <w:rFonts w:eastAsia="Malgun Gothic"/>
          <w:bCs/>
          <w:lang w:val="fr-FR"/>
        </w:rPr>
        <w:t>que les éléments du patrimoine culturel immatériel guinéen étaient dangereusement menacés en raison de facteurs anthropiques et naturels, et même de l</w:t>
      </w:r>
      <w:r w:rsidR="00923E72">
        <w:rPr>
          <w:rFonts w:eastAsia="Malgun Gothic"/>
          <w:bCs/>
          <w:lang w:val="fr-FR"/>
        </w:rPr>
        <w:t>’</w:t>
      </w:r>
      <w:r w:rsidRPr="006E75A4">
        <w:rPr>
          <w:rFonts w:eastAsia="Malgun Gothic"/>
          <w:bCs/>
          <w:lang w:val="fr-FR"/>
        </w:rPr>
        <w:t xml:space="preserve">influence des religions monothéistes. Pour contrer ces menaces, la Guinée avait élaboré un projet intitulé </w:t>
      </w:r>
      <w:r w:rsidR="00E43428">
        <w:rPr>
          <w:rFonts w:eastAsia="Malgun Gothic"/>
          <w:bCs/>
          <w:lang w:val="fr-FR"/>
        </w:rPr>
        <w:t>« </w:t>
      </w:r>
      <w:r w:rsidRPr="006E75A4">
        <w:rPr>
          <w:rFonts w:eastAsia="Malgun Gothic"/>
          <w:bCs/>
          <w:lang w:val="fr-FR"/>
        </w:rPr>
        <w:t>Inventaire participatif et promotion des ensembles instrumentaux de musique traditionnelle en Guinée</w:t>
      </w:r>
      <w:r w:rsidR="003E25A4">
        <w:rPr>
          <w:rFonts w:eastAsia="Malgun Gothic"/>
          <w:bCs/>
          <w:lang w:val="fr-FR"/>
        </w:rPr>
        <w:t> »,</w:t>
      </w:r>
      <w:r w:rsidRPr="006E75A4">
        <w:rPr>
          <w:rFonts w:eastAsia="Malgun Gothic"/>
          <w:bCs/>
          <w:lang w:val="fr-FR"/>
        </w:rPr>
        <w:t xml:space="preserve"> car ces ensembles instrumentaux de musique traditionnelle perpétuent encore les pratiques artistiques d</w:t>
      </w:r>
      <w:r w:rsidR="00E43428">
        <w:rPr>
          <w:rFonts w:eastAsia="Malgun Gothic"/>
          <w:bCs/>
          <w:lang w:val="fr-FR"/>
        </w:rPr>
        <w:t>u</w:t>
      </w:r>
      <w:r w:rsidRPr="006E75A4">
        <w:rPr>
          <w:rFonts w:eastAsia="Malgun Gothic"/>
          <w:bCs/>
          <w:lang w:val="fr-FR"/>
        </w:rPr>
        <w:t xml:space="preserve"> </w:t>
      </w:r>
      <w:r w:rsidR="00E43428">
        <w:rPr>
          <w:rFonts w:eastAsia="Malgun Gothic"/>
          <w:bCs/>
          <w:lang w:val="fr-FR"/>
        </w:rPr>
        <w:t>m</w:t>
      </w:r>
      <w:r w:rsidRPr="006E75A4">
        <w:rPr>
          <w:rFonts w:eastAsia="Malgun Gothic"/>
          <w:bCs/>
          <w:lang w:val="fr-FR"/>
        </w:rPr>
        <w:t>andingue</w:t>
      </w:r>
      <w:r w:rsidR="00E43428">
        <w:rPr>
          <w:rFonts w:eastAsia="Malgun Gothic"/>
          <w:bCs/>
          <w:lang w:val="fr-FR"/>
        </w:rPr>
        <w:t xml:space="preserve"> </w:t>
      </w:r>
      <w:r w:rsidRPr="006E75A4">
        <w:rPr>
          <w:rFonts w:eastAsia="Malgun Gothic"/>
          <w:bCs/>
          <w:lang w:val="fr-FR"/>
        </w:rPr>
        <w:t>médiéva</w:t>
      </w:r>
      <w:r w:rsidR="00E43428">
        <w:rPr>
          <w:rFonts w:eastAsia="Malgun Gothic"/>
          <w:bCs/>
          <w:lang w:val="fr-FR"/>
        </w:rPr>
        <w:t>l</w:t>
      </w:r>
      <w:r w:rsidRPr="006E75A4">
        <w:rPr>
          <w:rFonts w:eastAsia="Malgun Gothic"/>
          <w:bCs/>
          <w:lang w:val="fr-FR"/>
        </w:rPr>
        <w:t xml:space="preserve"> à travers </w:t>
      </w:r>
      <w:r w:rsidR="00E43428">
        <w:rPr>
          <w:rFonts w:eastAsia="Malgun Gothic"/>
          <w:bCs/>
          <w:lang w:val="fr-FR"/>
        </w:rPr>
        <w:t>l</w:t>
      </w:r>
      <w:r w:rsidRPr="006E75A4">
        <w:rPr>
          <w:rFonts w:eastAsia="Malgun Gothic"/>
          <w:bCs/>
          <w:lang w:val="fr-FR"/>
        </w:rPr>
        <w:t xml:space="preserve">es chants, </w:t>
      </w:r>
      <w:r w:rsidR="00E43428">
        <w:rPr>
          <w:rFonts w:eastAsia="Malgun Gothic"/>
          <w:bCs/>
          <w:lang w:val="fr-FR"/>
        </w:rPr>
        <w:t>l</w:t>
      </w:r>
      <w:r w:rsidRPr="006E75A4">
        <w:rPr>
          <w:rFonts w:eastAsia="Malgun Gothic"/>
          <w:bCs/>
          <w:lang w:val="fr-FR"/>
        </w:rPr>
        <w:t xml:space="preserve">es danses et </w:t>
      </w:r>
      <w:r w:rsidR="00E43428">
        <w:rPr>
          <w:rFonts w:eastAsia="Malgun Gothic"/>
          <w:bCs/>
          <w:lang w:val="fr-FR"/>
        </w:rPr>
        <w:t>l</w:t>
      </w:r>
      <w:r w:rsidRPr="006E75A4">
        <w:rPr>
          <w:rFonts w:eastAsia="Malgun Gothic"/>
          <w:bCs/>
          <w:lang w:val="fr-FR"/>
        </w:rPr>
        <w:t>es rites, y compris les instruments qui leur sont associés. Elle avait donc soumis une demande d</w:t>
      </w:r>
      <w:r w:rsidR="00923E72">
        <w:rPr>
          <w:rFonts w:eastAsia="Malgun Gothic"/>
          <w:bCs/>
          <w:lang w:val="fr-FR"/>
        </w:rPr>
        <w:t>’</w:t>
      </w:r>
      <w:r w:rsidRPr="006E75A4">
        <w:rPr>
          <w:rFonts w:eastAsia="Malgun Gothic"/>
          <w:bCs/>
          <w:lang w:val="fr-FR"/>
        </w:rPr>
        <w:t>assistance financière d</w:t>
      </w:r>
      <w:r w:rsidR="00923E72">
        <w:rPr>
          <w:rFonts w:eastAsia="Malgun Gothic"/>
          <w:bCs/>
          <w:lang w:val="fr-FR"/>
        </w:rPr>
        <w:t>’</w:t>
      </w:r>
      <w:r w:rsidRPr="006E75A4">
        <w:rPr>
          <w:rFonts w:eastAsia="Malgun Gothic"/>
          <w:bCs/>
          <w:lang w:val="fr-FR"/>
        </w:rPr>
        <w:t>un montant de</w:t>
      </w:r>
      <w:r w:rsidR="00F027A2">
        <w:rPr>
          <w:rFonts w:eastAsia="Malgun Gothic"/>
          <w:bCs/>
          <w:lang w:val="fr-FR"/>
        </w:rPr>
        <w:t> </w:t>
      </w:r>
      <w:r w:rsidRPr="006E75A4">
        <w:rPr>
          <w:rFonts w:eastAsia="Malgun Gothic"/>
          <w:bCs/>
          <w:lang w:val="fr-FR"/>
        </w:rPr>
        <w:t>100</w:t>
      </w:r>
      <w:r w:rsidR="00E43428">
        <w:rPr>
          <w:rFonts w:eastAsia="Malgun Gothic"/>
          <w:bCs/>
          <w:lang w:val="fr-FR"/>
        </w:rPr>
        <w:t> </w:t>
      </w:r>
      <w:r w:rsidRPr="006E75A4">
        <w:rPr>
          <w:rFonts w:eastAsia="Malgun Gothic"/>
          <w:bCs/>
          <w:lang w:val="fr-FR"/>
        </w:rPr>
        <w:t>000</w:t>
      </w:r>
      <w:r w:rsidR="00E43428">
        <w:rPr>
          <w:rFonts w:eastAsia="Malgun Gothic"/>
          <w:bCs/>
          <w:lang w:val="fr-FR"/>
        </w:rPr>
        <w:t> </w:t>
      </w:r>
      <w:r w:rsidRPr="006E75A4">
        <w:rPr>
          <w:rFonts w:eastAsia="Malgun Gothic"/>
          <w:bCs/>
          <w:lang w:val="fr-FR"/>
        </w:rPr>
        <w:t>dollars des États-Unis, qui avait été acceptée sous réserve de certaines observations. Cette assistance financière avait été demandée pour sauvegarder les éléments fragiles du patrimoine culturel immatériel national.</w:t>
      </w:r>
    </w:p>
    <w:p w14:paraId="43E53F73" w14:textId="0A6CB71D" w:rsidR="00E43428" w:rsidRDefault="00E4342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fait remarquer que l</w:t>
      </w:r>
      <w:r w:rsidR="00923E72">
        <w:rPr>
          <w:rFonts w:eastAsia="Malgun Gothic"/>
          <w:bCs/>
          <w:lang w:val="fr-FR"/>
        </w:rPr>
        <w:t>’</w:t>
      </w:r>
      <w:r>
        <w:rPr>
          <w:rFonts w:eastAsia="Malgun Gothic"/>
          <w:bCs/>
          <w:lang w:val="fr-FR"/>
        </w:rPr>
        <w:t>appel de la Guinée avait été entendu par le Comité.</w:t>
      </w:r>
    </w:p>
    <w:p w14:paraId="04541331" w14:textId="1EEC6C2A" w:rsidR="00E43428" w:rsidRDefault="00E4342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E43428">
        <w:rPr>
          <w:rFonts w:eastAsia="Malgun Gothic"/>
          <w:bCs/>
          <w:lang w:val="fr-FR"/>
        </w:rPr>
        <w:t xml:space="preserve">La délégation du </w:t>
      </w:r>
      <w:r w:rsidRPr="00702497">
        <w:rPr>
          <w:rFonts w:eastAsia="Malgun Gothic"/>
          <w:b/>
          <w:lang w:val="fr-FR"/>
        </w:rPr>
        <w:t>Nigeria</w:t>
      </w:r>
      <w:r w:rsidRPr="00E43428">
        <w:rPr>
          <w:rFonts w:eastAsia="Malgun Gothic"/>
          <w:bCs/>
          <w:lang w:val="fr-FR"/>
        </w:rPr>
        <w:t xml:space="preserve"> a remercié le Président pour la manière dont il dirigeait les travaux du Comité, remerciant le Maroc pour son excellent accueil et son hospitalité. Le Nigeria a remercié tout particulièrement le Secrétariat pour le rapport complet. Il a noté avec un intérêt particulier que</w:t>
      </w:r>
      <w:r w:rsidR="009A34A8">
        <w:rPr>
          <w:rFonts w:eastAsia="Malgun Gothic"/>
          <w:bCs/>
          <w:lang w:val="fr-FR"/>
        </w:rPr>
        <w:t> </w:t>
      </w:r>
      <w:r w:rsidRPr="00E43428">
        <w:rPr>
          <w:rFonts w:eastAsia="Malgun Gothic"/>
          <w:bCs/>
          <w:lang w:val="fr-FR"/>
        </w:rPr>
        <w:t>43</w:t>
      </w:r>
      <w:r w:rsidR="0008768D">
        <w:rPr>
          <w:rFonts w:eastAsia="Malgun Gothic"/>
          <w:bCs/>
          <w:lang w:val="fr-FR"/>
        </w:rPr>
        <w:t> </w:t>
      </w:r>
      <w:r w:rsidRPr="00E43428">
        <w:rPr>
          <w:rFonts w:eastAsia="Malgun Gothic"/>
          <w:bCs/>
          <w:lang w:val="fr-FR"/>
        </w:rPr>
        <w:t>% des projets actifs bénéficiaient à des États du Groupe électoral</w:t>
      </w:r>
      <w:r w:rsidR="003E25A4">
        <w:rPr>
          <w:rFonts w:eastAsia="Malgun Gothic"/>
          <w:bCs/>
          <w:lang w:val="fr-FR"/>
        </w:rPr>
        <w:t> </w:t>
      </w:r>
      <w:r w:rsidRPr="00E43428">
        <w:rPr>
          <w:rFonts w:eastAsia="Malgun Gothic"/>
          <w:bCs/>
          <w:lang w:val="fr-FR"/>
        </w:rPr>
        <w:t>V(a) (Afrique), ce qui représent</w:t>
      </w:r>
      <w:r w:rsidR="0008768D">
        <w:rPr>
          <w:rFonts w:eastAsia="Malgun Gothic"/>
          <w:bCs/>
          <w:lang w:val="fr-FR"/>
        </w:rPr>
        <w:t>ait</w:t>
      </w:r>
      <w:r w:rsidR="00B970DB">
        <w:rPr>
          <w:rFonts w:eastAsia="Malgun Gothic"/>
          <w:bCs/>
          <w:lang w:val="fr-FR"/>
        </w:rPr>
        <w:t> </w:t>
      </w:r>
      <w:r w:rsidRPr="00E43428">
        <w:rPr>
          <w:rFonts w:eastAsia="Malgun Gothic"/>
          <w:bCs/>
          <w:lang w:val="fr-FR"/>
        </w:rPr>
        <w:t>2,1</w:t>
      </w:r>
      <w:r w:rsidR="0008768D">
        <w:rPr>
          <w:rFonts w:eastAsia="Malgun Gothic"/>
          <w:bCs/>
          <w:lang w:val="fr-FR"/>
        </w:rPr>
        <w:t> </w:t>
      </w:r>
      <w:r w:rsidRPr="00E43428">
        <w:rPr>
          <w:rFonts w:eastAsia="Malgun Gothic"/>
          <w:bCs/>
          <w:lang w:val="fr-FR"/>
        </w:rPr>
        <w:t>millions de dollars des États-Unis d</w:t>
      </w:r>
      <w:r w:rsidR="00923E72">
        <w:rPr>
          <w:rFonts w:eastAsia="Malgun Gothic"/>
          <w:bCs/>
          <w:lang w:val="fr-FR"/>
        </w:rPr>
        <w:t>’</w:t>
      </w:r>
      <w:r w:rsidRPr="00E43428">
        <w:rPr>
          <w:rFonts w:eastAsia="Malgun Gothic"/>
          <w:bCs/>
          <w:lang w:val="fr-FR"/>
        </w:rPr>
        <w:t>assistance accordée, conformément à la priorité globale Afrique de l</w:t>
      </w:r>
      <w:r w:rsidR="00923E72">
        <w:rPr>
          <w:rFonts w:eastAsia="Malgun Gothic"/>
          <w:bCs/>
          <w:lang w:val="fr-FR"/>
        </w:rPr>
        <w:t>’</w:t>
      </w:r>
      <w:r w:rsidRPr="00E43428">
        <w:rPr>
          <w:rFonts w:eastAsia="Malgun Gothic"/>
          <w:bCs/>
          <w:lang w:val="fr-FR"/>
        </w:rPr>
        <w:t>UNESCO. Cette tendance était encourageante, surtout si l</w:t>
      </w:r>
      <w:r w:rsidR="00923E72">
        <w:rPr>
          <w:rFonts w:eastAsia="Malgun Gothic"/>
          <w:bCs/>
          <w:lang w:val="fr-FR"/>
        </w:rPr>
        <w:t>’</w:t>
      </w:r>
      <w:r w:rsidRPr="00E43428">
        <w:rPr>
          <w:rFonts w:eastAsia="Malgun Gothic"/>
          <w:bCs/>
          <w:lang w:val="fr-FR"/>
        </w:rPr>
        <w:t>on consid</w:t>
      </w:r>
      <w:r w:rsidR="0008768D">
        <w:rPr>
          <w:rFonts w:eastAsia="Malgun Gothic"/>
          <w:bCs/>
          <w:lang w:val="fr-FR"/>
        </w:rPr>
        <w:t>érait</w:t>
      </w:r>
      <w:r w:rsidRPr="00E43428">
        <w:rPr>
          <w:rFonts w:eastAsia="Malgun Gothic"/>
          <w:bCs/>
          <w:lang w:val="fr-FR"/>
        </w:rPr>
        <w:t xml:space="preserve"> que la stratégie opérationnelle récemment approuvée pour la priorité Afrique et le programme phare sur le patrimoine culturel et le développement des capacités et de la culture étaient bien mis en œuvre. Le Nigeria avait bénéficié par le passé d</w:t>
      </w:r>
      <w:r w:rsidR="00923E72">
        <w:rPr>
          <w:rFonts w:eastAsia="Malgun Gothic"/>
          <w:bCs/>
          <w:lang w:val="fr-FR"/>
        </w:rPr>
        <w:t>’</w:t>
      </w:r>
      <w:r w:rsidRPr="00E43428">
        <w:rPr>
          <w:rFonts w:eastAsia="Malgun Gothic"/>
          <w:bCs/>
          <w:lang w:val="fr-FR"/>
        </w:rPr>
        <w:t>une aide au renforcement des capacités dans le cadre de l</w:t>
      </w:r>
      <w:r w:rsidR="00923E72">
        <w:rPr>
          <w:rFonts w:eastAsia="Malgun Gothic"/>
          <w:bCs/>
          <w:lang w:val="fr-FR"/>
        </w:rPr>
        <w:t>’</w:t>
      </w:r>
      <w:r w:rsidRPr="00E43428">
        <w:rPr>
          <w:rFonts w:eastAsia="Malgun Gothic"/>
          <w:bCs/>
          <w:lang w:val="fr-FR"/>
        </w:rPr>
        <w:t>assistance internationale. La délégation a rappelé le projet et le soutien à la mise en œuvre effective de la Convention de</w:t>
      </w:r>
      <w:r w:rsidR="001A7AF7">
        <w:rPr>
          <w:rFonts w:eastAsia="Malgun Gothic"/>
          <w:bCs/>
          <w:lang w:val="fr-FR"/>
        </w:rPr>
        <w:t> </w:t>
      </w:r>
      <w:r w:rsidRPr="00E43428">
        <w:rPr>
          <w:rFonts w:eastAsia="Malgun Gothic"/>
          <w:bCs/>
          <w:lang w:val="fr-FR"/>
        </w:rPr>
        <w:t>2003 pour la sauvegarde du patrimoine culturel immatériel au Nigéria, qui avait été mené de</w:t>
      </w:r>
      <w:r w:rsidR="001A7AF7">
        <w:rPr>
          <w:rFonts w:eastAsia="Malgun Gothic"/>
          <w:bCs/>
          <w:lang w:val="fr-FR"/>
        </w:rPr>
        <w:t> </w:t>
      </w:r>
      <w:r w:rsidRPr="00E43428">
        <w:rPr>
          <w:rFonts w:eastAsia="Malgun Gothic"/>
          <w:bCs/>
          <w:lang w:val="fr-FR"/>
        </w:rPr>
        <w:t>2014 à</w:t>
      </w:r>
      <w:r w:rsidR="001A7AF7">
        <w:rPr>
          <w:rFonts w:eastAsia="Malgun Gothic"/>
          <w:bCs/>
          <w:lang w:val="fr-FR"/>
        </w:rPr>
        <w:t> </w:t>
      </w:r>
      <w:r w:rsidRPr="00E43428">
        <w:rPr>
          <w:rFonts w:eastAsia="Malgun Gothic"/>
          <w:bCs/>
          <w:lang w:val="fr-FR"/>
        </w:rPr>
        <w:t xml:space="preserve">2017. Elle soutenait </w:t>
      </w:r>
      <w:r w:rsidR="0008768D">
        <w:rPr>
          <w:rFonts w:eastAsia="Malgun Gothic"/>
          <w:bCs/>
          <w:lang w:val="fr-FR"/>
        </w:rPr>
        <w:t xml:space="preserve">donc </w:t>
      </w:r>
      <w:r w:rsidRPr="00E43428">
        <w:rPr>
          <w:rFonts w:eastAsia="Malgun Gothic"/>
          <w:bCs/>
          <w:lang w:val="fr-FR"/>
        </w:rPr>
        <w:t>le projet de décision.</w:t>
      </w:r>
    </w:p>
    <w:p w14:paraId="7F586814" w14:textId="2064ACD0" w:rsidR="0008768D" w:rsidRDefault="0008768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08768D">
        <w:rPr>
          <w:rFonts w:eastAsia="Malgun Gothic"/>
          <w:bCs/>
          <w:lang w:val="fr-FR"/>
        </w:rPr>
        <w:t xml:space="preserve">La délégation des </w:t>
      </w:r>
      <w:r w:rsidRPr="00702497">
        <w:rPr>
          <w:rFonts w:eastAsia="Malgun Gothic"/>
          <w:b/>
          <w:lang w:val="fr-FR"/>
        </w:rPr>
        <w:t>Seychelles</w:t>
      </w:r>
      <w:r w:rsidRPr="0008768D">
        <w:rPr>
          <w:rFonts w:eastAsia="Malgun Gothic"/>
          <w:bCs/>
          <w:lang w:val="fr-FR"/>
        </w:rPr>
        <w:t xml:space="preserve"> a remercié le Président, le Comité et le Secrétariat pour cette merveilleuse organisation, félicitant le Maroc pour son hospitalité et son accueil chaleureux. Les Seychelles ont remercié l</w:t>
      </w:r>
      <w:r w:rsidR="00923E72">
        <w:rPr>
          <w:rFonts w:eastAsia="Malgun Gothic"/>
          <w:bCs/>
          <w:lang w:val="fr-FR"/>
        </w:rPr>
        <w:t>’</w:t>
      </w:r>
      <w:r w:rsidRPr="0008768D">
        <w:rPr>
          <w:rFonts w:eastAsia="Malgun Gothic"/>
          <w:bCs/>
          <w:lang w:val="fr-FR"/>
        </w:rPr>
        <w:t>UNESCO pour l</w:t>
      </w:r>
      <w:r w:rsidR="00923E72">
        <w:rPr>
          <w:rFonts w:eastAsia="Malgun Gothic"/>
          <w:bCs/>
          <w:lang w:val="fr-FR"/>
        </w:rPr>
        <w:t>’</w:t>
      </w:r>
      <w:r w:rsidRPr="0008768D">
        <w:rPr>
          <w:rFonts w:eastAsia="Malgun Gothic"/>
          <w:bCs/>
          <w:lang w:val="fr-FR"/>
        </w:rPr>
        <w:t>aide apportée au pays pour l</w:t>
      </w:r>
      <w:r w:rsidR="00923E72">
        <w:rPr>
          <w:rFonts w:eastAsia="Malgun Gothic"/>
          <w:bCs/>
          <w:lang w:val="fr-FR"/>
        </w:rPr>
        <w:t>’</w:t>
      </w:r>
      <w:r w:rsidRPr="0008768D">
        <w:rPr>
          <w:rFonts w:eastAsia="Malgun Gothic"/>
          <w:bCs/>
          <w:lang w:val="fr-FR"/>
        </w:rPr>
        <w:t>inscription d</w:t>
      </w:r>
      <w:r w:rsidR="003E25A4">
        <w:rPr>
          <w:rFonts w:eastAsia="Malgun Gothic"/>
          <w:bCs/>
          <w:lang w:val="fr-FR"/>
        </w:rPr>
        <w:t>e l</w:t>
      </w:r>
      <w:r w:rsidR="00923E72">
        <w:rPr>
          <w:rFonts w:eastAsia="Malgun Gothic"/>
          <w:bCs/>
          <w:lang w:val="fr-FR"/>
        </w:rPr>
        <w:t>’</w:t>
      </w:r>
      <w:r w:rsidR="003E25A4">
        <w:rPr>
          <w:rFonts w:eastAsia="Malgun Gothic"/>
          <w:bCs/>
          <w:lang w:val="fr-FR"/>
        </w:rPr>
        <w:t>élément</w:t>
      </w:r>
      <w:r w:rsidRPr="0008768D">
        <w:rPr>
          <w:rFonts w:eastAsia="Malgun Gothic"/>
          <w:bCs/>
          <w:lang w:val="fr-FR"/>
        </w:rPr>
        <w:t xml:space="preserve"> </w:t>
      </w:r>
      <w:r w:rsidR="003E25A4">
        <w:rPr>
          <w:rFonts w:eastAsia="Malgun Gothic"/>
          <w:bCs/>
          <w:lang w:val="fr-FR"/>
        </w:rPr>
        <w:t xml:space="preserve">« Le </w:t>
      </w:r>
      <w:proofErr w:type="spellStart"/>
      <w:r>
        <w:rPr>
          <w:rFonts w:eastAsia="Malgun Gothic"/>
          <w:bCs/>
          <w:lang w:val="fr-FR"/>
        </w:rPr>
        <w:t>m</w:t>
      </w:r>
      <w:r w:rsidRPr="0008768D">
        <w:rPr>
          <w:rFonts w:eastAsia="Malgun Gothic"/>
          <w:bCs/>
          <w:lang w:val="fr-FR"/>
        </w:rPr>
        <w:t>outya</w:t>
      </w:r>
      <w:proofErr w:type="spellEnd"/>
      <w:r w:rsidR="003E25A4">
        <w:rPr>
          <w:rFonts w:eastAsia="Malgun Gothic"/>
          <w:bCs/>
          <w:lang w:val="fr-FR"/>
        </w:rPr>
        <w:t> »</w:t>
      </w:r>
      <w:r w:rsidRPr="0008768D">
        <w:rPr>
          <w:rFonts w:eastAsia="Malgun Gothic"/>
          <w:bCs/>
          <w:lang w:val="fr-FR"/>
        </w:rPr>
        <w:t xml:space="preserve"> sur la Liste représentative, une première pour les Seychelles.</w:t>
      </w:r>
    </w:p>
    <w:p w14:paraId="20B95843" w14:textId="7163B94C" w:rsidR="0008768D" w:rsidRDefault="0008768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En l</w:t>
      </w:r>
      <w:r w:rsidR="00923E72">
        <w:rPr>
          <w:rFonts w:eastAsia="Malgun Gothic"/>
          <w:bCs/>
          <w:lang w:val="fr-FR"/>
        </w:rPr>
        <w:t>’</w:t>
      </w:r>
      <w:r>
        <w:rPr>
          <w:rFonts w:eastAsia="Malgun Gothic"/>
          <w:bCs/>
          <w:lang w:val="fr-FR"/>
        </w:rPr>
        <w:t>absence d</w:t>
      </w:r>
      <w:r w:rsidR="00923E72">
        <w:rPr>
          <w:rFonts w:eastAsia="Malgun Gothic"/>
          <w:bCs/>
          <w:lang w:val="fr-FR"/>
        </w:rPr>
        <w:t>’</w:t>
      </w:r>
      <w:r>
        <w:rPr>
          <w:rFonts w:eastAsia="Malgun Gothic"/>
          <w:bCs/>
          <w:lang w:val="fr-FR"/>
        </w:rPr>
        <w:t xml:space="preserve">autres </w:t>
      </w:r>
      <w:r w:rsidRPr="0008768D">
        <w:rPr>
          <w:rFonts w:eastAsia="Malgun Gothic"/>
          <w:bCs/>
          <w:lang w:val="fr-FR"/>
        </w:rPr>
        <w:t>commentaires</w:t>
      </w:r>
      <w:r>
        <w:rPr>
          <w:rFonts w:eastAsia="Malgun Gothic"/>
          <w:bCs/>
          <w:lang w:val="fr-FR"/>
        </w:rPr>
        <w:t xml:space="preserve">, le </w:t>
      </w:r>
      <w:r w:rsidRPr="00702497">
        <w:rPr>
          <w:rFonts w:eastAsia="Malgun Gothic"/>
          <w:b/>
          <w:lang w:val="fr-FR"/>
        </w:rPr>
        <w:t>Président</w:t>
      </w:r>
      <w:r>
        <w:rPr>
          <w:rFonts w:eastAsia="Malgun Gothic"/>
          <w:bCs/>
          <w:lang w:val="fr-FR"/>
        </w:rPr>
        <w:t xml:space="preserve"> est passé à l</w:t>
      </w:r>
      <w:r w:rsidR="00923E72">
        <w:rPr>
          <w:rFonts w:eastAsia="Malgun Gothic"/>
          <w:bCs/>
          <w:lang w:val="fr-FR"/>
        </w:rPr>
        <w:t>’</w:t>
      </w:r>
      <w:r>
        <w:rPr>
          <w:rFonts w:eastAsia="Malgun Gothic"/>
          <w:bCs/>
          <w:lang w:val="fr-FR"/>
        </w:rPr>
        <w:t>adoption du projet de décision dans son ensemble. En l</w:t>
      </w:r>
      <w:r w:rsidR="00923E72">
        <w:rPr>
          <w:rFonts w:eastAsia="Malgun Gothic"/>
          <w:bCs/>
          <w:lang w:val="fr-FR"/>
        </w:rPr>
        <w:t>’</w:t>
      </w:r>
      <w:r>
        <w:rPr>
          <w:rFonts w:eastAsia="Malgun Gothic"/>
          <w:bCs/>
          <w:lang w:val="fr-FR"/>
        </w:rPr>
        <w:t>absence d</w:t>
      </w:r>
      <w:r w:rsidR="00923E72">
        <w:rPr>
          <w:rFonts w:eastAsia="Malgun Gothic"/>
          <w:bCs/>
          <w:lang w:val="fr-FR"/>
        </w:rPr>
        <w:t>’</w:t>
      </w:r>
      <w:r w:rsidRPr="0008768D">
        <w:rPr>
          <w:rFonts w:eastAsia="Malgun Gothic"/>
          <w:bCs/>
          <w:lang w:val="fr-FR"/>
        </w:rPr>
        <w:t>objections</w:t>
      </w:r>
      <w:r>
        <w:rPr>
          <w:rFonts w:eastAsia="Malgun Gothic"/>
          <w:bCs/>
          <w:lang w:val="fr-FR"/>
        </w:rPr>
        <w:t xml:space="preserve">, le </w:t>
      </w:r>
      <w:r w:rsidRPr="00702497">
        <w:rPr>
          <w:rFonts w:eastAsia="Malgun Gothic"/>
          <w:b/>
          <w:lang w:val="fr-FR"/>
        </w:rPr>
        <w:t>Président a déclaré la décision</w:t>
      </w:r>
      <w:r w:rsidR="003E25A4">
        <w:rPr>
          <w:rFonts w:eastAsia="Malgun Gothic"/>
          <w:b/>
          <w:lang w:val="fr-FR"/>
        </w:rPr>
        <w:t> </w:t>
      </w:r>
      <w:r w:rsidR="00751FB1">
        <w:fldChar w:fldCharType="begin"/>
      </w:r>
      <w:r w:rsidR="00751FB1" w:rsidRPr="00751FB1">
        <w:rPr>
          <w:lang w:val="fr-FR"/>
        </w:rPr>
        <w:instrText>HYPERLINK "https://ich.unesco.org/fr/Decisions/17.COM/6.d"</w:instrText>
      </w:r>
      <w:r w:rsidR="00751FB1">
        <w:fldChar w:fldCharType="separate"/>
      </w:r>
      <w:r w:rsidRPr="00702497">
        <w:rPr>
          <w:rStyle w:val="Hyperlink"/>
          <w:b/>
          <w:snapToGrid/>
          <w:lang w:val="fr-FR"/>
        </w:rPr>
        <w:t>17.COM 6.d</w:t>
      </w:r>
      <w:r w:rsidR="00751FB1">
        <w:rPr>
          <w:rStyle w:val="Hyperlink"/>
          <w:b/>
          <w:snapToGrid/>
          <w:lang w:val="fr-FR"/>
        </w:rPr>
        <w:fldChar w:fldCharType="end"/>
      </w:r>
      <w:r w:rsidRPr="00702497">
        <w:rPr>
          <w:rFonts w:eastAsia="Malgun Gothic"/>
          <w:b/>
          <w:lang w:val="fr-FR"/>
        </w:rPr>
        <w:t xml:space="preserve"> adoptée</w:t>
      </w:r>
      <w:r>
        <w:rPr>
          <w:rFonts w:eastAsia="Malgun Gothic"/>
          <w:bCs/>
          <w:lang w:val="fr-FR"/>
        </w:rPr>
        <w:t>.</w:t>
      </w:r>
    </w:p>
    <w:p w14:paraId="6AC2E58B" w14:textId="3C56BADE" w:rsidR="0008768D" w:rsidRDefault="0008768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donné la parole aux pays qui avaient bénéficié de l</w:t>
      </w:r>
      <w:r w:rsidR="00923E72">
        <w:rPr>
          <w:rFonts w:eastAsia="Malgun Gothic"/>
          <w:bCs/>
          <w:lang w:val="fr-FR"/>
        </w:rPr>
        <w:t>’</w:t>
      </w:r>
      <w:r>
        <w:rPr>
          <w:rFonts w:eastAsia="Malgun Gothic"/>
          <w:bCs/>
          <w:lang w:val="fr-FR"/>
        </w:rPr>
        <w:t>assistance internationale et achevé leurs projets afin qu</w:t>
      </w:r>
      <w:r w:rsidR="00923E72">
        <w:rPr>
          <w:rFonts w:eastAsia="Malgun Gothic"/>
          <w:bCs/>
          <w:lang w:val="fr-FR"/>
        </w:rPr>
        <w:t>’</w:t>
      </w:r>
      <w:r>
        <w:rPr>
          <w:rFonts w:eastAsia="Malgun Gothic"/>
          <w:bCs/>
          <w:lang w:val="fr-FR"/>
        </w:rPr>
        <w:t xml:space="preserve">ils </w:t>
      </w:r>
      <w:r w:rsidR="00E26073">
        <w:rPr>
          <w:rFonts w:eastAsia="Malgun Gothic"/>
          <w:bCs/>
          <w:lang w:val="fr-FR"/>
        </w:rPr>
        <w:t xml:space="preserve">fassent part de </w:t>
      </w:r>
      <w:r>
        <w:rPr>
          <w:rFonts w:eastAsia="Malgun Gothic"/>
          <w:bCs/>
          <w:lang w:val="fr-FR"/>
        </w:rPr>
        <w:t>leur expérience.</w:t>
      </w:r>
    </w:p>
    <w:p w14:paraId="1035744E" w14:textId="434D045F" w:rsidR="0008768D" w:rsidRDefault="00E26073"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E26073">
        <w:rPr>
          <w:rFonts w:eastAsia="Malgun Gothic"/>
          <w:bCs/>
          <w:lang w:val="fr-FR"/>
        </w:rPr>
        <w:t xml:space="preserve">La délégation du </w:t>
      </w:r>
      <w:r w:rsidRPr="00702497">
        <w:rPr>
          <w:rFonts w:eastAsia="Malgun Gothic"/>
          <w:b/>
          <w:lang w:val="fr-FR"/>
        </w:rPr>
        <w:t>Cambodge</w:t>
      </w:r>
      <w:r w:rsidRPr="00E26073">
        <w:rPr>
          <w:rFonts w:eastAsia="Malgun Gothic"/>
          <w:bCs/>
          <w:lang w:val="fr-FR"/>
        </w:rPr>
        <w:t xml:space="preserve"> a remercié et félicité le Gouvernement du Maroc pour l</w:t>
      </w:r>
      <w:r w:rsidR="00923E72">
        <w:rPr>
          <w:rFonts w:eastAsia="Malgun Gothic"/>
          <w:bCs/>
          <w:lang w:val="fr-FR"/>
        </w:rPr>
        <w:t>’</w:t>
      </w:r>
      <w:r w:rsidRPr="00E26073">
        <w:rPr>
          <w:rFonts w:eastAsia="Malgun Gothic"/>
          <w:bCs/>
          <w:lang w:val="fr-FR"/>
        </w:rPr>
        <w:t>organisation de cette session et pour l</w:t>
      </w:r>
      <w:r w:rsidR="00923E72">
        <w:rPr>
          <w:rFonts w:eastAsia="Malgun Gothic"/>
          <w:bCs/>
          <w:lang w:val="fr-FR"/>
        </w:rPr>
        <w:t>’</w:t>
      </w:r>
      <w:r w:rsidRPr="00E26073">
        <w:rPr>
          <w:rFonts w:eastAsia="Malgun Gothic"/>
          <w:bCs/>
          <w:lang w:val="fr-FR"/>
        </w:rPr>
        <w:t>accueil chaleureux dans cette belle ville de Rabat. Elle a exprimé sa gratitude au Comité</w:t>
      </w:r>
      <w:r w:rsidR="00F65ADE">
        <w:rPr>
          <w:rFonts w:eastAsia="Malgun Gothic"/>
          <w:bCs/>
          <w:lang w:val="fr-FR"/>
        </w:rPr>
        <w:t>,</w:t>
      </w:r>
      <w:r w:rsidRPr="00E26073">
        <w:rPr>
          <w:rFonts w:eastAsia="Malgun Gothic"/>
          <w:bCs/>
          <w:lang w:val="fr-FR"/>
        </w:rPr>
        <w:t xml:space="preserve"> qui avait approuvé l</w:t>
      </w:r>
      <w:r w:rsidR="00923E72">
        <w:rPr>
          <w:rFonts w:eastAsia="Malgun Gothic"/>
          <w:bCs/>
          <w:lang w:val="fr-FR"/>
        </w:rPr>
        <w:t>’</w:t>
      </w:r>
      <w:r w:rsidRPr="00E26073">
        <w:rPr>
          <w:rFonts w:eastAsia="Malgun Gothic"/>
          <w:bCs/>
          <w:lang w:val="fr-FR"/>
        </w:rPr>
        <w:t>assistance internationale pour le plan de sauvegarde d</w:t>
      </w:r>
      <w:r w:rsidR="003E25A4">
        <w:rPr>
          <w:rFonts w:eastAsia="Malgun Gothic"/>
          <w:bCs/>
          <w:lang w:val="fr-FR"/>
        </w:rPr>
        <w:t>e l</w:t>
      </w:r>
      <w:r w:rsidR="00923E72">
        <w:rPr>
          <w:rFonts w:eastAsia="Malgun Gothic"/>
          <w:bCs/>
          <w:lang w:val="fr-FR"/>
        </w:rPr>
        <w:t>’</w:t>
      </w:r>
      <w:r w:rsidR="003E25A4">
        <w:rPr>
          <w:rFonts w:eastAsia="Malgun Gothic"/>
          <w:bCs/>
          <w:lang w:val="fr-FR"/>
        </w:rPr>
        <w:t>élément</w:t>
      </w:r>
      <w:r>
        <w:rPr>
          <w:rFonts w:eastAsia="Malgun Gothic"/>
          <w:bCs/>
          <w:lang w:val="fr-FR"/>
        </w:rPr>
        <w:t xml:space="preserve"> </w:t>
      </w:r>
      <w:r w:rsidR="003E25A4">
        <w:rPr>
          <w:rFonts w:eastAsia="Malgun Gothic"/>
          <w:bCs/>
          <w:lang w:val="fr-FR"/>
        </w:rPr>
        <w:t>« </w:t>
      </w:r>
      <w:proofErr w:type="spellStart"/>
      <w:r>
        <w:rPr>
          <w:rFonts w:eastAsia="Malgun Gothic"/>
          <w:bCs/>
          <w:lang w:val="fr-FR"/>
        </w:rPr>
        <w:t>c</w:t>
      </w:r>
      <w:r w:rsidRPr="00E26073">
        <w:rPr>
          <w:rFonts w:eastAsia="Malgun Gothic"/>
          <w:bCs/>
          <w:lang w:val="fr-FR"/>
        </w:rPr>
        <w:t>hapei</w:t>
      </w:r>
      <w:proofErr w:type="spellEnd"/>
      <w:r w:rsidRPr="00E26073">
        <w:rPr>
          <w:rFonts w:eastAsia="Malgun Gothic"/>
          <w:bCs/>
          <w:lang w:val="fr-FR"/>
        </w:rPr>
        <w:t xml:space="preserve"> Dang </w:t>
      </w:r>
      <w:proofErr w:type="spellStart"/>
      <w:r w:rsidRPr="00E26073">
        <w:rPr>
          <w:rFonts w:eastAsia="Malgun Gothic"/>
          <w:bCs/>
          <w:lang w:val="fr-FR"/>
        </w:rPr>
        <w:t>Veng</w:t>
      </w:r>
      <w:proofErr w:type="spellEnd"/>
      <w:r w:rsidR="003E25A4">
        <w:rPr>
          <w:rFonts w:eastAsia="Malgun Gothic"/>
          <w:bCs/>
          <w:lang w:val="fr-FR"/>
        </w:rPr>
        <w:t> »</w:t>
      </w:r>
      <w:r w:rsidRPr="00E26073">
        <w:rPr>
          <w:rFonts w:eastAsia="Malgun Gothic"/>
          <w:bCs/>
          <w:lang w:val="fr-FR"/>
        </w:rPr>
        <w:t>. Le rôle et les responsabilités du Comité, de l</w:t>
      </w:r>
      <w:r w:rsidR="00923E72">
        <w:rPr>
          <w:rFonts w:eastAsia="Malgun Gothic"/>
          <w:bCs/>
          <w:lang w:val="fr-FR"/>
        </w:rPr>
        <w:t>’</w:t>
      </w:r>
      <w:r w:rsidRPr="00E26073">
        <w:rPr>
          <w:rFonts w:eastAsia="Malgun Gothic"/>
          <w:bCs/>
          <w:lang w:val="fr-FR"/>
        </w:rPr>
        <w:t>Organe d</w:t>
      </w:r>
      <w:r w:rsidR="00923E72">
        <w:rPr>
          <w:rFonts w:eastAsia="Malgun Gothic"/>
          <w:bCs/>
          <w:lang w:val="fr-FR"/>
        </w:rPr>
        <w:t>’</w:t>
      </w:r>
      <w:r w:rsidRPr="00E26073">
        <w:rPr>
          <w:rFonts w:eastAsia="Malgun Gothic"/>
          <w:bCs/>
          <w:lang w:val="fr-FR"/>
        </w:rPr>
        <w:t xml:space="preserve">évaluation et du Secrétariat étaient essentiels et avaient été assumés avec un professionnalisme qui garantissait un avenir radieux à la préservation du patrimoine culturel immatériel pour les générations futures. La délégation a invité le </w:t>
      </w:r>
      <w:r w:rsidRPr="003C1B1D">
        <w:rPr>
          <w:rFonts w:eastAsia="Malgun Gothic"/>
          <w:bCs/>
          <w:lang w:val="fr-FR"/>
        </w:rPr>
        <w:t>Directeur général technique du ministère de la Culture et des Beaux-Arts du Cambodge à pré</w:t>
      </w:r>
      <w:r w:rsidRPr="00E26073">
        <w:rPr>
          <w:rFonts w:eastAsia="Malgun Gothic"/>
          <w:bCs/>
          <w:lang w:val="fr-FR"/>
        </w:rPr>
        <w:t>senter un résumé de l</w:t>
      </w:r>
      <w:r w:rsidR="00923E72">
        <w:rPr>
          <w:rFonts w:eastAsia="Malgun Gothic"/>
          <w:bCs/>
          <w:lang w:val="fr-FR"/>
        </w:rPr>
        <w:t>’</w:t>
      </w:r>
      <w:r w:rsidRPr="00E26073">
        <w:rPr>
          <w:rFonts w:eastAsia="Malgun Gothic"/>
          <w:bCs/>
          <w:lang w:val="fr-FR"/>
        </w:rPr>
        <w:t>expérience et de la situation actuelle d</w:t>
      </w:r>
      <w:r>
        <w:rPr>
          <w:rFonts w:eastAsia="Malgun Gothic"/>
          <w:bCs/>
          <w:lang w:val="fr-FR"/>
        </w:rPr>
        <w:t>u</w:t>
      </w:r>
      <w:r w:rsidRPr="00E26073">
        <w:rPr>
          <w:rFonts w:eastAsia="Malgun Gothic"/>
          <w:bCs/>
          <w:lang w:val="fr-FR"/>
        </w:rPr>
        <w:t xml:space="preserve"> </w:t>
      </w:r>
      <w:proofErr w:type="spellStart"/>
      <w:r>
        <w:rPr>
          <w:rFonts w:eastAsia="Malgun Gothic"/>
          <w:bCs/>
          <w:lang w:val="fr-FR"/>
        </w:rPr>
        <w:t>c</w:t>
      </w:r>
      <w:r w:rsidRPr="00E26073">
        <w:rPr>
          <w:rFonts w:eastAsia="Malgun Gothic"/>
          <w:bCs/>
          <w:lang w:val="fr-FR"/>
        </w:rPr>
        <w:t>hapei</w:t>
      </w:r>
      <w:proofErr w:type="spellEnd"/>
      <w:r w:rsidRPr="00E26073">
        <w:rPr>
          <w:rFonts w:eastAsia="Malgun Gothic"/>
          <w:bCs/>
          <w:lang w:val="fr-FR"/>
        </w:rPr>
        <w:t xml:space="preserve"> Dang </w:t>
      </w:r>
      <w:proofErr w:type="spellStart"/>
      <w:r w:rsidRPr="00E26073">
        <w:rPr>
          <w:rFonts w:eastAsia="Malgun Gothic"/>
          <w:bCs/>
          <w:lang w:val="fr-FR"/>
        </w:rPr>
        <w:t>Veng</w:t>
      </w:r>
      <w:proofErr w:type="spellEnd"/>
      <w:r w:rsidRPr="00E26073">
        <w:rPr>
          <w:rFonts w:eastAsia="Malgun Gothic"/>
          <w:bCs/>
          <w:lang w:val="fr-FR"/>
        </w:rPr>
        <w:t>.</w:t>
      </w:r>
    </w:p>
    <w:p w14:paraId="49FAB2D3" w14:textId="7FCDE81B" w:rsidR="00E26073" w:rsidRDefault="001129D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129D7">
        <w:rPr>
          <w:rFonts w:eastAsia="Malgun Gothic"/>
          <w:bCs/>
          <w:lang w:val="fr-FR"/>
        </w:rPr>
        <w:t xml:space="preserve">La délégation du </w:t>
      </w:r>
      <w:r w:rsidRPr="00702497">
        <w:rPr>
          <w:rFonts w:eastAsia="Malgun Gothic"/>
          <w:b/>
          <w:lang w:val="fr-FR"/>
        </w:rPr>
        <w:t>Cambodge</w:t>
      </w:r>
      <w:r w:rsidRPr="001129D7">
        <w:rPr>
          <w:rFonts w:eastAsia="Malgun Gothic"/>
          <w:bCs/>
          <w:lang w:val="fr-FR"/>
        </w:rPr>
        <w:t xml:space="preserve"> [</w:t>
      </w:r>
      <w:r w:rsidR="00422F6C">
        <w:rPr>
          <w:rFonts w:eastAsia="Malgun Gothic"/>
          <w:bCs/>
          <w:lang w:val="fr-FR"/>
        </w:rPr>
        <w:t>D</w:t>
      </w:r>
      <w:r w:rsidRPr="001129D7">
        <w:rPr>
          <w:rFonts w:eastAsia="Malgun Gothic"/>
          <w:bCs/>
          <w:lang w:val="fr-FR"/>
        </w:rPr>
        <w:t>euxième orateur], représentée par M.</w:t>
      </w:r>
      <w:r>
        <w:rPr>
          <w:rFonts w:eastAsia="Malgun Gothic"/>
          <w:bCs/>
          <w:lang w:val="fr-FR"/>
        </w:rPr>
        <w:t> </w:t>
      </w:r>
      <w:proofErr w:type="spellStart"/>
      <w:r w:rsidRPr="001129D7">
        <w:rPr>
          <w:rFonts w:eastAsia="Malgun Gothic"/>
          <w:bCs/>
          <w:lang w:val="fr-FR"/>
        </w:rPr>
        <w:t>Siyonn</w:t>
      </w:r>
      <w:proofErr w:type="spellEnd"/>
      <w:r w:rsidRPr="001129D7">
        <w:rPr>
          <w:rFonts w:eastAsia="Malgun Gothic"/>
          <w:bCs/>
          <w:lang w:val="fr-FR"/>
        </w:rPr>
        <w:t xml:space="preserve"> </w:t>
      </w:r>
      <w:proofErr w:type="spellStart"/>
      <w:r w:rsidRPr="001129D7">
        <w:rPr>
          <w:rFonts w:eastAsia="Malgun Gothic"/>
          <w:bCs/>
          <w:lang w:val="fr-FR"/>
        </w:rPr>
        <w:t>Sophearith</w:t>
      </w:r>
      <w:proofErr w:type="spellEnd"/>
      <w:r w:rsidRPr="001129D7">
        <w:rPr>
          <w:rFonts w:eastAsia="Malgun Gothic"/>
          <w:bCs/>
          <w:lang w:val="fr-FR"/>
        </w:rPr>
        <w:t xml:space="preserve">, </w:t>
      </w:r>
      <w:r w:rsidR="003C1B1D" w:rsidRPr="003C1B1D">
        <w:rPr>
          <w:rFonts w:eastAsia="Malgun Gothic"/>
          <w:bCs/>
          <w:lang w:val="fr-FR"/>
        </w:rPr>
        <w:t>Directeur général technique du ministère de la Culture et des Beaux-Arts du Cambodge</w:t>
      </w:r>
      <w:r w:rsidR="00C857B5">
        <w:rPr>
          <w:rFonts w:eastAsia="Malgun Gothic"/>
          <w:bCs/>
          <w:lang w:val="fr-FR"/>
        </w:rPr>
        <w:t xml:space="preserve">, </w:t>
      </w:r>
      <w:r w:rsidRPr="001129D7">
        <w:rPr>
          <w:rFonts w:eastAsia="Malgun Gothic"/>
          <w:bCs/>
          <w:lang w:val="fr-FR"/>
        </w:rPr>
        <w:t xml:space="preserve">a rappelé que le </w:t>
      </w:r>
      <w:proofErr w:type="spellStart"/>
      <w:r w:rsidRPr="001129D7">
        <w:rPr>
          <w:rFonts w:eastAsia="Malgun Gothic"/>
          <w:bCs/>
          <w:lang w:val="fr-FR"/>
        </w:rPr>
        <w:t>chapei</w:t>
      </w:r>
      <w:proofErr w:type="spellEnd"/>
      <w:r w:rsidRPr="001129D7">
        <w:rPr>
          <w:rFonts w:eastAsia="Malgun Gothic"/>
          <w:bCs/>
          <w:lang w:val="fr-FR"/>
        </w:rPr>
        <w:t xml:space="preserve"> Dang </w:t>
      </w:r>
      <w:proofErr w:type="spellStart"/>
      <w:r w:rsidRPr="001129D7">
        <w:rPr>
          <w:rFonts w:eastAsia="Malgun Gothic"/>
          <w:bCs/>
          <w:lang w:val="fr-FR"/>
        </w:rPr>
        <w:t>Veng</w:t>
      </w:r>
      <w:proofErr w:type="spellEnd"/>
      <w:r w:rsidRPr="001129D7">
        <w:rPr>
          <w:rFonts w:eastAsia="Malgun Gothic"/>
          <w:bCs/>
          <w:lang w:val="fr-FR"/>
        </w:rPr>
        <w:t xml:space="preserve"> est un luth à long manche</w:t>
      </w:r>
      <w:r w:rsidR="00F65ADE">
        <w:rPr>
          <w:rFonts w:eastAsia="Malgun Gothic"/>
          <w:bCs/>
          <w:lang w:val="fr-FR"/>
        </w:rPr>
        <w:t>,</w:t>
      </w:r>
      <w:r w:rsidRPr="001129D7">
        <w:rPr>
          <w:rFonts w:eastAsia="Malgun Gothic"/>
          <w:bCs/>
          <w:lang w:val="fr-FR"/>
        </w:rPr>
        <w:t xml:space="preserve"> qui se joue le plus souvent accompagné de chants mélodieux. Dans le passé, cette tradition musicale était très populaire dans la société cambodgienne. Cependant, avant son inscription sur la Liste de sauvegarde </w:t>
      </w:r>
      <w:r w:rsidRPr="001129D7">
        <w:rPr>
          <w:rFonts w:eastAsia="Malgun Gothic"/>
          <w:bCs/>
          <w:lang w:val="fr-FR"/>
        </w:rPr>
        <w:lastRenderedPageBreak/>
        <w:t>urgente en</w:t>
      </w:r>
      <w:r w:rsidR="001A7AF7">
        <w:rPr>
          <w:rFonts w:eastAsia="Malgun Gothic"/>
          <w:bCs/>
          <w:lang w:val="fr-FR"/>
        </w:rPr>
        <w:t> </w:t>
      </w:r>
      <w:r w:rsidRPr="001129D7">
        <w:rPr>
          <w:rFonts w:eastAsia="Malgun Gothic"/>
          <w:bCs/>
          <w:lang w:val="fr-FR"/>
        </w:rPr>
        <w:t>2016, cette pratique était sur le point de disparaître. Grâce à son inscription et à l</w:t>
      </w:r>
      <w:r w:rsidR="00923E72">
        <w:rPr>
          <w:rFonts w:eastAsia="Malgun Gothic"/>
          <w:bCs/>
          <w:lang w:val="fr-FR"/>
        </w:rPr>
        <w:t>’</w:t>
      </w:r>
      <w:r w:rsidRPr="001129D7">
        <w:rPr>
          <w:rFonts w:eastAsia="Malgun Gothic"/>
          <w:bCs/>
          <w:lang w:val="fr-FR"/>
        </w:rPr>
        <w:t>assistance internationale pour la mise en œuvre du plan de sauvegarde, couvrant la période de novembre</w:t>
      </w:r>
      <w:r w:rsidR="001A7AF7">
        <w:rPr>
          <w:rFonts w:eastAsia="Malgun Gothic"/>
          <w:bCs/>
          <w:lang w:val="fr-FR"/>
        </w:rPr>
        <w:t> </w:t>
      </w:r>
      <w:r w:rsidRPr="001129D7">
        <w:rPr>
          <w:rFonts w:eastAsia="Malgun Gothic"/>
          <w:bCs/>
          <w:lang w:val="fr-FR"/>
        </w:rPr>
        <w:t>2017 à novembre</w:t>
      </w:r>
      <w:r w:rsidR="001A7AF7">
        <w:rPr>
          <w:rFonts w:eastAsia="Malgun Gothic"/>
          <w:bCs/>
          <w:lang w:val="fr-FR"/>
        </w:rPr>
        <w:t> </w:t>
      </w:r>
      <w:r w:rsidRPr="001129D7">
        <w:rPr>
          <w:rFonts w:eastAsia="Malgun Gothic"/>
          <w:bCs/>
          <w:lang w:val="fr-FR"/>
        </w:rPr>
        <w:t xml:space="preserve">2021, le </w:t>
      </w:r>
      <w:proofErr w:type="spellStart"/>
      <w:r w:rsidRPr="001129D7">
        <w:rPr>
          <w:rFonts w:eastAsia="Malgun Gothic"/>
          <w:bCs/>
          <w:lang w:val="fr-FR"/>
        </w:rPr>
        <w:t>chapei</w:t>
      </w:r>
      <w:proofErr w:type="spellEnd"/>
      <w:r w:rsidRPr="001129D7">
        <w:rPr>
          <w:rFonts w:eastAsia="Malgun Gothic"/>
          <w:bCs/>
          <w:lang w:val="fr-FR"/>
        </w:rPr>
        <w:t xml:space="preserve"> Dang </w:t>
      </w:r>
      <w:proofErr w:type="spellStart"/>
      <w:r w:rsidRPr="001129D7">
        <w:rPr>
          <w:rFonts w:eastAsia="Malgun Gothic"/>
          <w:bCs/>
          <w:lang w:val="fr-FR"/>
        </w:rPr>
        <w:t>Veng</w:t>
      </w:r>
      <w:proofErr w:type="spellEnd"/>
      <w:r w:rsidRPr="001129D7">
        <w:rPr>
          <w:rFonts w:eastAsia="Malgun Gothic"/>
          <w:bCs/>
          <w:lang w:val="fr-FR"/>
        </w:rPr>
        <w:t xml:space="preserve"> n</w:t>
      </w:r>
      <w:r w:rsidR="00923E72">
        <w:rPr>
          <w:rFonts w:eastAsia="Malgun Gothic"/>
          <w:bCs/>
          <w:lang w:val="fr-FR"/>
        </w:rPr>
        <w:t>’</w:t>
      </w:r>
      <w:r w:rsidRPr="001129D7">
        <w:rPr>
          <w:rFonts w:eastAsia="Malgun Gothic"/>
          <w:bCs/>
          <w:lang w:val="fr-FR"/>
        </w:rPr>
        <w:t>avait désormais clairement plus besoin de faire l</w:t>
      </w:r>
      <w:r w:rsidR="00923E72">
        <w:rPr>
          <w:rFonts w:eastAsia="Malgun Gothic"/>
          <w:bCs/>
          <w:lang w:val="fr-FR"/>
        </w:rPr>
        <w:t>’</w:t>
      </w:r>
      <w:r w:rsidRPr="001129D7">
        <w:rPr>
          <w:rFonts w:eastAsia="Malgun Gothic"/>
          <w:bCs/>
          <w:lang w:val="fr-FR"/>
        </w:rPr>
        <w:t>objet d</w:t>
      </w:r>
      <w:r w:rsidR="00923E72">
        <w:rPr>
          <w:rFonts w:eastAsia="Malgun Gothic"/>
          <w:bCs/>
          <w:lang w:val="fr-FR"/>
        </w:rPr>
        <w:t>’</w:t>
      </w:r>
      <w:r w:rsidRPr="001129D7">
        <w:rPr>
          <w:rFonts w:eastAsia="Malgun Gothic"/>
          <w:bCs/>
          <w:lang w:val="fr-FR"/>
        </w:rPr>
        <w:t>une sauvegarde urgente. Les jeunes se montraient plus actifs et plus intéressés par l</w:t>
      </w:r>
      <w:r w:rsidR="00923E72">
        <w:rPr>
          <w:rFonts w:eastAsia="Malgun Gothic"/>
          <w:bCs/>
          <w:lang w:val="fr-FR"/>
        </w:rPr>
        <w:t>’</w:t>
      </w:r>
      <w:r w:rsidRPr="001129D7">
        <w:rPr>
          <w:rFonts w:eastAsia="Malgun Gothic"/>
          <w:bCs/>
          <w:lang w:val="fr-FR"/>
        </w:rPr>
        <w:t xml:space="preserve">apprentissage et la préservation du </w:t>
      </w:r>
      <w:proofErr w:type="spellStart"/>
      <w:r w:rsidRPr="001129D7">
        <w:rPr>
          <w:rFonts w:eastAsia="Malgun Gothic"/>
          <w:bCs/>
          <w:lang w:val="fr-FR"/>
        </w:rPr>
        <w:t>chapei</w:t>
      </w:r>
      <w:proofErr w:type="spellEnd"/>
      <w:r w:rsidRPr="001129D7">
        <w:rPr>
          <w:rFonts w:eastAsia="Malgun Gothic"/>
          <w:bCs/>
          <w:lang w:val="fr-FR"/>
        </w:rPr>
        <w:t xml:space="preserve">, tandis que le grand public découvrait désormais les spectacles du </w:t>
      </w:r>
      <w:proofErr w:type="spellStart"/>
      <w:r w:rsidRPr="001129D7">
        <w:rPr>
          <w:rFonts w:eastAsia="Malgun Gothic"/>
          <w:bCs/>
          <w:lang w:val="fr-FR"/>
        </w:rPr>
        <w:t>chapei</w:t>
      </w:r>
      <w:proofErr w:type="spellEnd"/>
      <w:r w:rsidRPr="001129D7">
        <w:rPr>
          <w:rFonts w:eastAsia="Malgun Gothic"/>
          <w:bCs/>
          <w:lang w:val="fr-FR"/>
        </w:rPr>
        <w:t xml:space="preserve">. Tout en préservant les valeurs et les traditions, la mise en </w:t>
      </w:r>
      <w:r w:rsidR="00C857B5">
        <w:rPr>
          <w:rFonts w:eastAsia="Malgun Gothic"/>
          <w:bCs/>
          <w:lang w:val="fr-FR"/>
        </w:rPr>
        <w:t xml:space="preserve">lumière </w:t>
      </w:r>
      <w:r w:rsidRPr="001129D7">
        <w:rPr>
          <w:rFonts w:eastAsia="Malgun Gothic"/>
          <w:bCs/>
          <w:lang w:val="fr-FR"/>
        </w:rPr>
        <w:t>et l</w:t>
      </w:r>
      <w:r w:rsidR="00923E72">
        <w:rPr>
          <w:rFonts w:eastAsia="Malgun Gothic"/>
          <w:bCs/>
          <w:lang w:val="fr-FR"/>
        </w:rPr>
        <w:t>’</w:t>
      </w:r>
      <w:r w:rsidRPr="001129D7">
        <w:rPr>
          <w:rFonts w:eastAsia="Malgun Gothic"/>
          <w:bCs/>
          <w:lang w:val="fr-FR"/>
        </w:rPr>
        <w:t xml:space="preserve">intégration du </w:t>
      </w:r>
      <w:proofErr w:type="spellStart"/>
      <w:r w:rsidRPr="001129D7">
        <w:rPr>
          <w:rFonts w:eastAsia="Malgun Gothic"/>
          <w:bCs/>
          <w:lang w:val="fr-FR"/>
        </w:rPr>
        <w:t>chapei</w:t>
      </w:r>
      <w:proofErr w:type="spellEnd"/>
      <w:r w:rsidRPr="001129D7">
        <w:rPr>
          <w:rFonts w:eastAsia="Malgun Gothic"/>
          <w:bCs/>
          <w:lang w:val="fr-FR"/>
        </w:rPr>
        <w:t xml:space="preserve"> dans d</w:t>
      </w:r>
      <w:r w:rsidR="00923E72">
        <w:rPr>
          <w:rFonts w:eastAsia="Malgun Gothic"/>
          <w:bCs/>
          <w:lang w:val="fr-FR"/>
        </w:rPr>
        <w:t>’</w:t>
      </w:r>
      <w:r w:rsidRPr="001129D7">
        <w:rPr>
          <w:rFonts w:eastAsia="Malgun Gothic"/>
          <w:bCs/>
          <w:lang w:val="fr-FR"/>
        </w:rPr>
        <w:t xml:space="preserve">autres formes de spectacles avaient gagné une popularité considérable. Le clip </w:t>
      </w:r>
      <w:r w:rsidRPr="00702497">
        <w:rPr>
          <w:rFonts w:eastAsia="Malgun Gothic"/>
          <w:bCs/>
          <w:i/>
          <w:iCs/>
          <w:lang w:val="fr-FR"/>
        </w:rPr>
        <w:t>Time to Rise</w:t>
      </w:r>
      <w:r w:rsidRPr="001129D7">
        <w:rPr>
          <w:rFonts w:eastAsia="Malgun Gothic"/>
          <w:bCs/>
          <w:lang w:val="fr-FR"/>
        </w:rPr>
        <w:t xml:space="preserve"> était un </w:t>
      </w:r>
      <w:r w:rsidR="00C857B5">
        <w:rPr>
          <w:rFonts w:eastAsia="Malgun Gothic"/>
          <w:bCs/>
          <w:lang w:val="fr-FR"/>
        </w:rPr>
        <w:t xml:space="preserve">bon </w:t>
      </w:r>
      <w:r w:rsidRPr="001129D7">
        <w:rPr>
          <w:rFonts w:eastAsia="Malgun Gothic"/>
          <w:bCs/>
          <w:lang w:val="fr-FR"/>
        </w:rPr>
        <w:t>exemple dans lequel le maître Kong Nay, l</w:t>
      </w:r>
      <w:r w:rsidR="00923E72">
        <w:rPr>
          <w:rFonts w:eastAsia="Malgun Gothic"/>
          <w:bCs/>
          <w:lang w:val="fr-FR"/>
        </w:rPr>
        <w:t>’</w:t>
      </w:r>
      <w:r w:rsidRPr="001129D7">
        <w:rPr>
          <w:rFonts w:eastAsia="Malgun Gothic"/>
          <w:bCs/>
          <w:lang w:val="fr-FR"/>
        </w:rPr>
        <w:t xml:space="preserve">un des maîtres du </w:t>
      </w:r>
      <w:proofErr w:type="spellStart"/>
      <w:r w:rsidRPr="001129D7">
        <w:rPr>
          <w:rFonts w:eastAsia="Malgun Gothic"/>
          <w:bCs/>
          <w:lang w:val="fr-FR"/>
        </w:rPr>
        <w:t>chapei</w:t>
      </w:r>
      <w:proofErr w:type="spellEnd"/>
      <w:r w:rsidRPr="001129D7">
        <w:rPr>
          <w:rFonts w:eastAsia="Malgun Gothic"/>
          <w:bCs/>
          <w:lang w:val="fr-FR"/>
        </w:rPr>
        <w:t xml:space="preserve"> ayant survécu au régime des Khmers rouges, jouait aux côtés du célèbre rappeur </w:t>
      </w:r>
      <w:proofErr w:type="spellStart"/>
      <w:r w:rsidRPr="001129D7">
        <w:rPr>
          <w:rFonts w:eastAsia="Malgun Gothic"/>
          <w:bCs/>
          <w:lang w:val="fr-FR"/>
        </w:rPr>
        <w:t>VannDa</w:t>
      </w:r>
      <w:proofErr w:type="spellEnd"/>
      <w:r w:rsidRPr="001129D7">
        <w:rPr>
          <w:rFonts w:eastAsia="Malgun Gothic"/>
          <w:bCs/>
          <w:lang w:val="fr-FR"/>
        </w:rPr>
        <w:t>, avec</w:t>
      </w:r>
      <w:r w:rsidR="00B970DB">
        <w:rPr>
          <w:rFonts w:eastAsia="Malgun Gothic"/>
          <w:bCs/>
          <w:lang w:val="fr-FR"/>
        </w:rPr>
        <w:t> </w:t>
      </w:r>
      <w:r w:rsidRPr="001129D7">
        <w:rPr>
          <w:rFonts w:eastAsia="Malgun Gothic"/>
          <w:bCs/>
          <w:lang w:val="fr-FR"/>
        </w:rPr>
        <w:t>1,3</w:t>
      </w:r>
      <w:r w:rsidR="00C857B5">
        <w:rPr>
          <w:rFonts w:eastAsia="Malgun Gothic"/>
          <w:bCs/>
          <w:lang w:val="fr-FR"/>
        </w:rPr>
        <w:t> </w:t>
      </w:r>
      <w:r w:rsidRPr="001129D7">
        <w:rPr>
          <w:rFonts w:eastAsia="Malgun Gothic"/>
          <w:bCs/>
          <w:lang w:val="fr-FR"/>
        </w:rPr>
        <w:t xml:space="preserve">million de vues sur </w:t>
      </w:r>
      <w:proofErr w:type="spellStart"/>
      <w:r w:rsidRPr="001129D7">
        <w:rPr>
          <w:rFonts w:eastAsia="Malgun Gothic"/>
          <w:bCs/>
          <w:lang w:val="fr-FR"/>
        </w:rPr>
        <w:t>Youtube</w:t>
      </w:r>
      <w:proofErr w:type="spellEnd"/>
      <w:r w:rsidRPr="001129D7">
        <w:rPr>
          <w:rFonts w:eastAsia="Malgun Gothic"/>
          <w:bCs/>
          <w:lang w:val="fr-FR"/>
        </w:rPr>
        <w:t xml:space="preserve"> dans le monde entier. Ce clip vidéo n</w:t>
      </w:r>
      <w:r w:rsidR="00923E72">
        <w:rPr>
          <w:rFonts w:eastAsia="Malgun Gothic"/>
          <w:bCs/>
          <w:lang w:val="fr-FR"/>
        </w:rPr>
        <w:t>’</w:t>
      </w:r>
      <w:r w:rsidRPr="001129D7">
        <w:rPr>
          <w:rFonts w:eastAsia="Malgun Gothic"/>
          <w:bCs/>
          <w:lang w:val="fr-FR"/>
        </w:rPr>
        <w:t xml:space="preserve">avait pas seulement permis de faire connaître le </w:t>
      </w:r>
      <w:proofErr w:type="spellStart"/>
      <w:r w:rsidRPr="001129D7">
        <w:rPr>
          <w:rFonts w:eastAsia="Malgun Gothic"/>
          <w:bCs/>
          <w:lang w:val="fr-FR"/>
        </w:rPr>
        <w:t>chapei</w:t>
      </w:r>
      <w:proofErr w:type="spellEnd"/>
      <w:r w:rsidRPr="001129D7">
        <w:rPr>
          <w:rFonts w:eastAsia="Malgun Gothic"/>
          <w:bCs/>
          <w:lang w:val="fr-FR"/>
        </w:rPr>
        <w:t>, il avait également favorisé la créativité dans l</w:t>
      </w:r>
      <w:r w:rsidR="00923E72">
        <w:rPr>
          <w:rFonts w:eastAsia="Malgun Gothic"/>
          <w:bCs/>
          <w:lang w:val="fr-FR"/>
        </w:rPr>
        <w:t>’</w:t>
      </w:r>
      <w:r w:rsidRPr="001129D7">
        <w:rPr>
          <w:rFonts w:eastAsia="Malgun Gothic"/>
          <w:bCs/>
          <w:lang w:val="fr-FR"/>
        </w:rPr>
        <w:t>industrie du clip vidéo au Cambodge. Des efforts étaient désormais déployés pour continuer à préserver la viabilité et la pérennité de cette magnifique tradition musicale, dans le but de transférer l</w:t>
      </w:r>
      <w:r w:rsidR="00923E72">
        <w:rPr>
          <w:rFonts w:eastAsia="Malgun Gothic"/>
          <w:bCs/>
          <w:lang w:val="fr-FR"/>
        </w:rPr>
        <w:t>’</w:t>
      </w:r>
      <w:r w:rsidRPr="001129D7">
        <w:rPr>
          <w:rFonts w:eastAsia="Malgun Gothic"/>
          <w:bCs/>
          <w:lang w:val="fr-FR"/>
        </w:rPr>
        <w:t xml:space="preserve">élément sur la Liste représentative. Le Ministère continuerait à soutenir et à travailler en étroite collaboration avec les praticiens, les communautés et les autres parties prenantes concernées, tant privées que publiques, afin de créer un environnement propice </w:t>
      </w:r>
      <w:r w:rsidR="00B970DB">
        <w:rPr>
          <w:rFonts w:eastAsia="Malgun Gothic"/>
          <w:bCs/>
          <w:lang w:val="fr-FR"/>
        </w:rPr>
        <w:t xml:space="preserve">pour </w:t>
      </w:r>
      <w:r w:rsidR="00C857B5">
        <w:rPr>
          <w:rFonts w:eastAsia="Malgun Gothic"/>
          <w:bCs/>
          <w:lang w:val="fr-FR"/>
        </w:rPr>
        <w:t xml:space="preserve">que le </w:t>
      </w:r>
      <w:proofErr w:type="spellStart"/>
      <w:r w:rsidRPr="001129D7">
        <w:rPr>
          <w:rFonts w:eastAsia="Malgun Gothic"/>
          <w:bCs/>
          <w:lang w:val="fr-FR"/>
        </w:rPr>
        <w:t>chapei</w:t>
      </w:r>
      <w:proofErr w:type="spellEnd"/>
      <w:r w:rsidR="00C857B5">
        <w:rPr>
          <w:rFonts w:eastAsia="Malgun Gothic"/>
          <w:bCs/>
          <w:lang w:val="fr-FR"/>
        </w:rPr>
        <w:t xml:space="preserve"> soit florissant</w:t>
      </w:r>
      <w:r w:rsidRPr="001129D7">
        <w:rPr>
          <w:rFonts w:eastAsia="Malgun Gothic"/>
          <w:bCs/>
          <w:lang w:val="fr-FR"/>
        </w:rPr>
        <w:t>.</w:t>
      </w:r>
    </w:p>
    <w:p w14:paraId="6686125D" w14:textId="69F56492" w:rsidR="00C857B5" w:rsidRDefault="000211A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le Cambodge et a souhaité la bienvenue au Maroc </w:t>
      </w:r>
      <w:r w:rsidR="00F25A4C">
        <w:rPr>
          <w:rFonts w:eastAsia="Malgun Gothic"/>
          <w:bCs/>
          <w:lang w:val="fr-FR"/>
        </w:rPr>
        <w:t>à la</w:t>
      </w:r>
      <w:r>
        <w:rPr>
          <w:rFonts w:eastAsia="Malgun Gothic"/>
          <w:bCs/>
          <w:lang w:val="fr-FR"/>
        </w:rPr>
        <w:t xml:space="preserve"> </w:t>
      </w:r>
      <w:r w:rsidR="003B07FD">
        <w:rPr>
          <w:rFonts w:eastAsia="Malgun Gothic"/>
          <w:bCs/>
          <w:lang w:val="fr-FR"/>
        </w:rPr>
        <w:t>m</w:t>
      </w:r>
      <w:r>
        <w:rPr>
          <w:rFonts w:eastAsia="Malgun Gothic"/>
          <w:bCs/>
          <w:lang w:val="fr-FR"/>
        </w:rPr>
        <w:t>inistre.</w:t>
      </w:r>
    </w:p>
    <w:p w14:paraId="74C7A430" w14:textId="238FCB12" w:rsidR="00DE538F" w:rsidRDefault="0094214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94214C">
        <w:rPr>
          <w:rFonts w:eastAsia="Malgun Gothic"/>
          <w:bCs/>
          <w:lang w:val="fr-FR"/>
        </w:rPr>
        <w:t xml:space="preserve">La délégation de la </w:t>
      </w:r>
      <w:r w:rsidRPr="00702497">
        <w:rPr>
          <w:rFonts w:eastAsia="Malgun Gothic"/>
          <w:b/>
          <w:lang w:val="fr-FR"/>
        </w:rPr>
        <w:t>Mauritanie</w:t>
      </w:r>
      <w:r w:rsidRPr="0094214C">
        <w:rPr>
          <w:rFonts w:eastAsia="Malgun Gothic"/>
          <w:bCs/>
          <w:lang w:val="fr-FR"/>
        </w:rPr>
        <w:t xml:space="preserve"> a exprimé ses remerciements pour l</w:t>
      </w:r>
      <w:r w:rsidR="00923E72">
        <w:rPr>
          <w:rFonts w:eastAsia="Malgun Gothic"/>
          <w:bCs/>
          <w:lang w:val="fr-FR"/>
        </w:rPr>
        <w:t>’</w:t>
      </w:r>
      <w:r w:rsidRPr="0094214C">
        <w:rPr>
          <w:rFonts w:eastAsia="Malgun Gothic"/>
          <w:bCs/>
          <w:lang w:val="fr-FR"/>
        </w:rPr>
        <w:t>accueil chaleureux et l</w:t>
      </w:r>
      <w:r w:rsidR="00923E72">
        <w:rPr>
          <w:rFonts w:eastAsia="Malgun Gothic"/>
          <w:bCs/>
          <w:lang w:val="fr-FR"/>
        </w:rPr>
        <w:t>’</w:t>
      </w:r>
      <w:r w:rsidRPr="0094214C">
        <w:rPr>
          <w:rFonts w:eastAsia="Malgun Gothic"/>
          <w:bCs/>
          <w:lang w:val="fr-FR"/>
        </w:rPr>
        <w:t xml:space="preserve">hospitalité. La vidéo présentée parlait de la mémoire collective de la nation, mettant en lumière les coutumes, les traditions et la diversité culturelle de la Mauritanie, avec ses langues, ses nationalités et ses traditions culturelles fort anciennes. </w:t>
      </w:r>
      <w:r>
        <w:rPr>
          <w:rFonts w:eastAsia="Malgun Gothic"/>
          <w:bCs/>
          <w:lang w:val="fr-FR"/>
        </w:rPr>
        <w:t xml:space="preserve">La </w:t>
      </w:r>
      <w:r w:rsidRPr="0094214C">
        <w:rPr>
          <w:rFonts w:eastAsia="Malgun Gothic"/>
          <w:bCs/>
          <w:lang w:val="fr-FR"/>
        </w:rPr>
        <w:t>délégation</w:t>
      </w:r>
      <w:r>
        <w:rPr>
          <w:rFonts w:eastAsia="Malgun Gothic"/>
          <w:bCs/>
          <w:lang w:val="fr-FR"/>
        </w:rPr>
        <w:t xml:space="preserve"> </w:t>
      </w:r>
      <w:r w:rsidRPr="0094214C">
        <w:rPr>
          <w:rFonts w:eastAsia="Malgun Gothic"/>
          <w:bCs/>
          <w:lang w:val="fr-FR"/>
        </w:rPr>
        <w:t>a rappelé que la Mauritanie sert de pont entre l</w:t>
      </w:r>
      <w:r w:rsidR="00923E72">
        <w:rPr>
          <w:rFonts w:eastAsia="Malgun Gothic"/>
          <w:bCs/>
          <w:lang w:val="fr-FR"/>
        </w:rPr>
        <w:t>’</w:t>
      </w:r>
      <w:r w:rsidRPr="0094214C">
        <w:rPr>
          <w:rFonts w:eastAsia="Malgun Gothic"/>
          <w:bCs/>
          <w:lang w:val="fr-FR"/>
        </w:rPr>
        <w:t xml:space="preserve">Afrique et le Maghreb arabe et leurs relations culturelles et que, dans cette région sans frontières, il y a beaucoup de cultures, de relations et de dialogues de civilisations et de rencontres culturelles. </w:t>
      </w:r>
      <w:r w:rsidR="00B970DB">
        <w:rPr>
          <w:rFonts w:eastAsia="Malgun Gothic"/>
          <w:bCs/>
          <w:lang w:val="fr-FR"/>
        </w:rPr>
        <w:t>Avec cette diversité culturelle, c</w:t>
      </w:r>
      <w:r w:rsidR="00923E72">
        <w:rPr>
          <w:rFonts w:eastAsia="Malgun Gothic"/>
          <w:bCs/>
          <w:lang w:val="fr-FR"/>
        </w:rPr>
        <w:t>’</w:t>
      </w:r>
      <w:r w:rsidRPr="0094214C">
        <w:rPr>
          <w:rFonts w:eastAsia="Malgun Gothic"/>
          <w:bCs/>
          <w:lang w:val="fr-FR"/>
        </w:rPr>
        <w:t>était donc une image de la Mauritanie</w:t>
      </w:r>
      <w:r w:rsidR="00B970DB">
        <w:rPr>
          <w:rFonts w:eastAsia="Malgun Gothic"/>
          <w:bCs/>
          <w:lang w:val="fr-FR"/>
        </w:rPr>
        <w:t xml:space="preserve"> </w:t>
      </w:r>
      <w:r w:rsidRPr="0094214C">
        <w:rPr>
          <w:rFonts w:eastAsia="Malgun Gothic"/>
          <w:bCs/>
          <w:lang w:val="fr-FR"/>
        </w:rPr>
        <w:t>qui conserve encore l</w:t>
      </w:r>
      <w:r w:rsidR="00923E72">
        <w:rPr>
          <w:rFonts w:eastAsia="Malgun Gothic"/>
          <w:bCs/>
          <w:lang w:val="fr-FR"/>
        </w:rPr>
        <w:t>’</w:t>
      </w:r>
      <w:r w:rsidRPr="0094214C">
        <w:rPr>
          <w:rFonts w:eastAsia="Malgun Gothic"/>
          <w:bCs/>
          <w:lang w:val="fr-FR"/>
        </w:rPr>
        <w:t>héritage de l</w:t>
      </w:r>
      <w:r w:rsidR="00923E72">
        <w:rPr>
          <w:rFonts w:eastAsia="Malgun Gothic"/>
          <w:bCs/>
          <w:lang w:val="fr-FR"/>
        </w:rPr>
        <w:t>’</w:t>
      </w:r>
      <w:r w:rsidRPr="0094214C">
        <w:rPr>
          <w:rFonts w:eastAsia="Malgun Gothic"/>
          <w:bCs/>
          <w:lang w:val="fr-FR"/>
        </w:rPr>
        <w:t>Afrique et du monde arabe. La délégation était heureuse d</w:t>
      </w:r>
      <w:r w:rsidR="00923E72">
        <w:rPr>
          <w:rFonts w:eastAsia="Malgun Gothic"/>
          <w:bCs/>
          <w:lang w:val="fr-FR"/>
        </w:rPr>
        <w:t>’</w:t>
      </w:r>
      <w:r w:rsidRPr="0094214C">
        <w:rPr>
          <w:rFonts w:eastAsia="Malgun Gothic"/>
          <w:bCs/>
          <w:lang w:val="fr-FR"/>
        </w:rPr>
        <w:t xml:space="preserve">ajouter </w:t>
      </w:r>
      <w:r>
        <w:rPr>
          <w:rFonts w:eastAsia="Malgun Gothic"/>
          <w:bCs/>
          <w:lang w:val="fr-FR"/>
        </w:rPr>
        <w:t xml:space="preserve">cela </w:t>
      </w:r>
      <w:r w:rsidRPr="0094214C">
        <w:rPr>
          <w:rFonts w:eastAsia="Malgun Gothic"/>
          <w:bCs/>
          <w:lang w:val="fr-FR"/>
        </w:rPr>
        <w:t>à cette mémoire collective du patrimoine immatériel.</w:t>
      </w:r>
    </w:p>
    <w:p w14:paraId="6DB05F5B" w14:textId="44F040B5" w:rsidR="0094214C" w:rsidRDefault="0094214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et félicité la Mauritanie. Une motion d</w:t>
      </w:r>
      <w:r w:rsidR="00923E72">
        <w:rPr>
          <w:rFonts w:eastAsia="Malgun Gothic"/>
          <w:bCs/>
          <w:lang w:val="fr-FR"/>
        </w:rPr>
        <w:t>’</w:t>
      </w:r>
      <w:r>
        <w:rPr>
          <w:rFonts w:eastAsia="Malgun Gothic"/>
          <w:bCs/>
          <w:lang w:val="fr-FR"/>
        </w:rPr>
        <w:t>ordre était invoquée par l</w:t>
      </w:r>
      <w:r w:rsidR="00923E72">
        <w:rPr>
          <w:rFonts w:eastAsia="Malgun Gothic"/>
          <w:bCs/>
          <w:lang w:val="fr-FR"/>
        </w:rPr>
        <w:t>’</w:t>
      </w:r>
      <w:r>
        <w:rPr>
          <w:rFonts w:eastAsia="Malgun Gothic"/>
          <w:bCs/>
          <w:lang w:val="fr-FR"/>
        </w:rPr>
        <w:t>Inde.</w:t>
      </w:r>
    </w:p>
    <w:p w14:paraId="69F0C422" w14:textId="08D77D32" w:rsidR="0094214C" w:rsidRDefault="0094214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La </w:t>
      </w:r>
      <w:r w:rsidRPr="0094214C">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Inde</w:t>
      </w:r>
      <w:r>
        <w:rPr>
          <w:rFonts w:eastAsia="Malgun Gothic"/>
          <w:bCs/>
          <w:lang w:val="fr-FR"/>
        </w:rPr>
        <w:t xml:space="preserve"> a demandé au </w:t>
      </w:r>
      <w:r w:rsidRPr="0094214C">
        <w:rPr>
          <w:rFonts w:eastAsia="Malgun Gothic"/>
          <w:bCs/>
          <w:lang w:val="fr-FR"/>
        </w:rPr>
        <w:t>Président</w:t>
      </w:r>
      <w:r>
        <w:rPr>
          <w:rFonts w:eastAsia="Malgun Gothic"/>
          <w:bCs/>
          <w:lang w:val="fr-FR"/>
        </w:rPr>
        <w:t xml:space="preserve"> de préciser l</w:t>
      </w:r>
      <w:r w:rsidR="00923E72">
        <w:rPr>
          <w:rFonts w:eastAsia="Malgun Gothic"/>
          <w:bCs/>
          <w:lang w:val="fr-FR"/>
        </w:rPr>
        <w:t>’</w:t>
      </w:r>
      <w:r>
        <w:rPr>
          <w:rFonts w:eastAsia="Malgun Gothic"/>
          <w:bCs/>
          <w:lang w:val="fr-FR"/>
        </w:rPr>
        <w:t>ordre des points de l</w:t>
      </w:r>
      <w:r w:rsidR="00923E72">
        <w:rPr>
          <w:rFonts w:eastAsia="Malgun Gothic"/>
          <w:bCs/>
          <w:lang w:val="fr-FR"/>
        </w:rPr>
        <w:t>’</w:t>
      </w:r>
      <w:r w:rsidRPr="0094214C">
        <w:rPr>
          <w:rFonts w:eastAsia="Malgun Gothic"/>
          <w:bCs/>
          <w:lang w:val="fr-FR"/>
        </w:rPr>
        <w:t>ordre du jour</w:t>
      </w:r>
      <w:r>
        <w:rPr>
          <w:rFonts w:eastAsia="Malgun Gothic"/>
          <w:bCs/>
          <w:lang w:val="fr-FR"/>
        </w:rPr>
        <w:t>.</w:t>
      </w:r>
    </w:p>
    <w:p w14:paraId="15A55E4D" w14:textId="1252D517" w:rsidR="0094214C" w:rsidRDefault="0094214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expliqué que le Comité était encore au point</w:t>
      </w:r>
      <w:r w:rsidR="002B668C">
        <w:rPr>
          <w:rFonts w:eastAsia="Malgun Gothic"/>
          <w:bCs/>
          <w:lang w:val="fr-FR"/>
        </w:rPr>
        <w:t> </w:t>
      </w:r>
      <w:r>
        <w:rPr>
          <w:rFonts w:eastAsia="Malgun Gothic"/>
          <w:bCs/>
          <w:lang w:val="fr-FR"/>
        </w:rPr>
        <w:t>6.d.</w:t>
      </w:r>
    </w:p>
    <w:p w14:paraId="682D9687" w14:textId="3AEB0662" w:rsidR="0094214C" w:rsidRDefault="0094214C"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Secrétaire</w:t>
      </w:r>
      <w:r>
        <w:rPr>
          <w:rFonts w:eastAsia="Malgun Gothic"/>
          <w:bCs/>
          <w:lang w:val="fr-FR"/>
        </w:rPr>
        <w:t xml:space="preserve"> a expliqué que la décision</w:t>
      </w:r>
      <w:r w:rsidR="002B668C">
        <w:rPr>
          <w:rFonts w:eastAsia="Malgun Gothic"/>
          <w:bCs/>
          <w:lang w:val="fr-FR"/>
        </w:rPr>
        <w:t> </w:t>
      </w:r>
      <w:r>
        <w:rPr>
          <w:rFonts w:eastAsia="Malgun Gothic"/>
          <w:bCs/>
          <w:lang w:val="fr-FR"/>
        </w:rPr>
        <w:t>6.d avait été adoptée, mais qu</w:t>
      </w:r>
      <w:r w:rsidR="00923E72">
        <w:rPr>
          <w:rFonts w:eastAsia="Malgun Gothic"/>
          <w:bCs/>
          <w:lang w:val="fr-FR"/>
        </w:rPr>
        <w:t>’</w:t>
      </w:r>
      <w:r>
        <w:rPr>
          <w:rFonts w:eastAsia="Malgun Gothic"/>
          <w:bCs/>
          <w:lang w:val="fr-FR"/>
        </w:rPr>
        <w:t xml:space="preserve">il était </w:t>
      </w:r>
      <w:r w:rsidR="00FF0BF6">
        <w:rPr>
          <w:rFonts w:eastAsia="Malgun Gothic"/>
          <w:bCs/>
          <w:lang w:val="fr-FR"/>
        </w:rPr>
        <w:t>habituel au sein de ce Comité de permettre aux États parties de débattre des résultats des projets achevés qui avaient bénéficié de l</w:t>
      </w:r>
      <w:r w:rsidR="00923E72">
        <w:rPr>
          <w:rFonts w:eastAsia="Malgun Gothic"/>
          <w:bCs/>
          <w:lang w:val="fr-FR"/>
        </w:rPr>
        <w:t>’</w:t>
      </w:r>
      <w:r w:rsidR="00FF0BF6">
        <w:rPr>
          <w:rFonts w:eastAsia="Malgun Gothic"/>
          <w:bCs/>
          <w:lang w:val="fr-FR"/>
        </w:rPr>
        <w:t>assistance internationale.</w:t>
      </w:r>
    </w:p>
    <w:p w14:paraId="7AE8C56A" w14:textId="47DDB914" w:rsidR="00FF0BF6" w:rsidRDefault="00FF0BF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FF0BF6">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FF0BF6">
        <w:rPr>
          <w:rFonts w:eastAsia="Malgun Gothic"/>
          <w:bCs/>
          <w:lang w:val="fr-FR"/>
        </w:rPr>
        <w:t xml:space="preserve"> a expliqué que le Comité aurait </w:t>
      </w:r>
      <w:r>
        <w:rPr>
          <w:rFonts w:eastAsia="Malgun Gothic"/>
          <w:bCs/>
          <w:lang w:val="fr-FR"/>
        </w:rPr>
        <w:t>mieux apprécié c</w:t>
      </w:r>
      <w:r w:rsidRPr="00FF0BF6">
        <w:rPr>
          <w:rFonts w:eastAsia="Malgun Gothic"/>
          <w:bCs/>
          <w:lang w:val="fr-FR"/>
        </w:rPr>
        <w:t>es présentations s</w:t>
      </w:r>
      <w:r w:rsidR="00923E72">
        <w:rPr>
          <w:rFonts w:eastAsia="Malgun Gothic"/>
          <w:bCs/>
          <w:lang w:val="fr-FR"/>
        </w:rPr>
        <w:t>’</w:t>
      </w:r>
      <w:r w:rsidRPr="00FF0BF6">
        <w:rPr>
          <w:rFonts w:eastAsia="Malgun Gothic"/>
          <w:bCs/>
          <w:lang w:val="fr-FR"/>
        </w:rPr>
        <w:t xml:space="preserve">il avait reçu une liste des pays </w:t>
      </w:r>
      <w:r>
        <w:rPr>
          <w:rFonts w:eastAsia="Malgun Gothic"/>
          <w:bCs/>
          <w:lang w:val="fr-FR"/>
        </w:rPr>
        <w:t>qui les soumettaient</w:t>
      </w:r>
      <w:r w:rsidRPr="00FF0BF6">
        <w:rPr>
          <w:rFonts w:eastAsia="Malgun Gothic"/>
          <w:bCs/>
          <w:lang w:val="fr-FR"/>
        </w:rPr>
        <w:t>.</w:t>
      </w:r>
    </w:p>
    <w:p w14:paraId="4D993D02" w14:textId="20121C6B" w:rsidR="00FF0BF6" w:rsidRPr="00DB6A4B" w:rsidRDefault="00FF0BF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Secrétaire</w:t>
      </w:r>
      <w:r>
        <w:rPr>
          <w:rFonts w:eastAsia="Malgun Gothic"/>
          <w:bCs/>
          <w:lang w:val="fr-FR"/>
        </w:rPr>
        <w:t xml:space="preserve"> a précisé que l</w:t>
      </w:r>
      <w:r w:rsidR="00923E72">
        <w:rPr>
          <w:rFonts w:eastAsia="Malgun Gothic"/>
          <w:bCs/>
          <w:lang w:val="fr-FR"/>
        </w:rPr>
        <w:t>’</w:t>
      </w:r>
      <w:r>
        <w:rPr>
          <w:rFonts w:eastAsia="Malgun Gothic"/>
          <w:bCs/>
          <w:lang w:val="fr-FR"/>
        </w:rPr>
        <w:t>annexe</w:t>
      </w:r>
      <w:r w:rsidR="00DB6A4B">
        <w:rPr>
          <w:rFonts w:eastAsia="Malgun Gothic"/>
          <w:bCs/>
          <w:lang w:val="fr-FR"/>
        </w:rPr>
        <w:t> </w:t>
      </w:r>
      <w:r>
        <w:rPr>
          <w:rFonts w:eastAsia="Malgun Gothic"/>
          <w:bCs/>
          <w:lang w:val="fr-FR"/>
        </w:rPr>
        <w:t>I du rapport (page</w:t>
      </w:r>
      <w:r w:rsidR="00DB6A4B">
        <w:rPr>
          <w:rFonts w:eastAsia="Malgun Gothic"/>
          <w:bCs/>
          <w:lang w:val="fr-FR"/>
        </w:rPr>
        <w:t> 1</w:t>
      </w:r>
      <w:r w:rsidRPr="00DB6A4B">
        <w:rPr>
          <w:rFonts w:eastAsia="Malgun Gothic"/>
          <w:bCs/>
          <w:lang w:val="fr-FR"/>
        </w:rPr>
        <w:t>1) énumérait la liste des pays (sur un fond bleu) qui avaient soumis leurs rapports finaux et pour lesquels les projets étaient terminés.</w:t>
      </w:r>
    </w:p>
    <w:p w14:paraId="19ED9901" w14:textId="0FF77D67" w:rsidR="00FF0BF6" w:rsidRDefault="00FF0BF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FF0BF6">
        <w:rPr>
          <w:rFonts w:eastAsia="Malgun Gothic"/>
          <w:bCs/>
          <w:lang w:val="fr-FR"/>
        </w:rPr>
        <w:t xml:space="preserve">La délégation de la </w:t>
      </w:r>
      <w:r w:rsidRPr="00702497">
        <w:rPr>
          <w:rFonts w:eastAsia="Malgun Gothic"/>
          <w:b/>
          <w:lang w:val="fr-FR"/>
        </w:rPr>
        <w:t>Mongolie</w:t>
      </w:r>
      <w:r w:rsidRPr="00FF0BF6">
        <w:rPr>
          <w:rFonts w:eastAsia="Malgun Gothic"/>
          <w:bCs/>
          <w:lang w:val="fr-FR"/>
        </w:rPr>
        <w:t xml:space="preserve"> a présenté les deux projets qui avaient été mis en œuvre entre</w:t>
      </w:r>
      <w:r w:rsidR="00F65ADE">
        <w:rPr>
          <w:rFonts w:eastAsia="Malgun Gothic"/>
          <w:bCs/>
          <w:lang w:val="fr-FR"/>
        </w:rPr>
        <w:t> </w:t>
      </w:r>
      <w:r w:rsidRPr="00FF0BF6">
        <w:rPr>
          <w:rFonts w:eastAsia="Malgun Gothic"/>
          <w:bCs/>
          <w:lang w:val="fr-FR"/>
        </w:rPr>
        <w:t>2000 et</w:t>
      </w:r>
      <w:r w:rsidR="00F65ADE">
        <w:rPr>
          <w:rFonts w:eastAsia="Malgun Gothic"/>
          <w:bCs/>
          <w:lang w:val="fr-FR"/>
        </w:rPr>
        <w:t> </w:t>
      </w:r>
      <w:r w:rsidRPr="00FF0BF6">
        <w:rPr>
          <w:rFonts w:eastAsia="Malgun Gothic"/>
          <w:bCs/>
          <w:lang w:val="fr-FR"/>
        </w:rPr>
        <w:t>2022 grâce à l</w:t>
      </w:r>
      <w:r w:rsidR="00923E72">
        <w:rPr>
          <w:rFonts w:eastAsia="Malgun Gothic"/>
          <w:bCs/>
          <w:lang w:val="fr-FR"/>
        </w:rPr>
        <w:t>’</w:t>
      </w:r>
      <w:r w:rsidRPr="00FF0BF6">
        <w:rPr>
          <w:rFonts w:eastAsia="Malgun Gothic"/>
          <w:bCs/>
          <w:lang w:val="fr-FR"/>
        </w:rPr>
        <w:t>assistance internationale pour renforcer la viabilité de deux éléments du patrimoine culturel immatériel</w:t>
      </w:r>
      <w:r w:rsidR="00A57A0F">
        <w:rPr>
          <w:rFonts w:eastAsia="Malgun Gothic"/>
          <w:bCs/>
          <w:lang w:val="fr-FR"/>
        </w:rPr>
        <w:t>, « L</w:t>
      </w:r>
      <w:r w:rsidRPr="00FF0BF6">
        <w:rPr>
          <w:rFonts w:eastAsia="Malgun Gothic"/>
          <w:bCs/>
          <w:lang w:val="fr-FR"/>
        </w:rPr>
        <w:t>a technique d</w:t>
      </w:r>
      <w:r w:rsidR="00923E72">
        <w:rPr>
          <w:rFonts w:eastAsia="Malgun Gothic"/>
          <w:bCs/>
          <w:lang w:val="fr-FR"/>
        </w:rPr>
        <w:t>’</w:t>
      </w:r>
      <w:r w:rsidRPr="00FF0BF6">
        <w:rPr>
          <w:rFonts w:eastAsia="Malgun Gothic"/>
          <w:bCs/>
          <w:lang w:val="fr-FR"/>
        </w:rPr>
        <w:t>interprétation d</w:t>
      </w:r>
      <w:r w:rsidR="008034E5">
        <w:rPr>
          <w:rFonts w:eastAsia="Malgun Gothic"/>
          <w:bCs/>
          <w:lang w:val="fr-FR"/>
        </w:rPr>
        <w:t>u</w:t>
      </w:r>
      <w:r w:rsidRPr="00FF0BF6">
        <w:rPr>
          <w:rFonts w:eastAsia="Malgun Gothic"/>
          <w:bCs/>
          <w:lang w:val="fr-FR"/>
        </w:rPr>
        <w:t xml:space="preserve"> chant long des </w:t>
      </w:r>
      <w:r w:rsidR="008034E5">
        <w:rPr>
          <w:rFonts w:eastAsia="Malgun Gothic"/>
          <w:bCs/>
          <w:lang w:val="fr-FR"/>
        </w:rPr>
        <w:t>joueurs de flûte limbe </w:t>
      </w:r>
      <w:r w:rsidRPr="00FF0BF6">
        <w:rPr>
          <w:rFonts w:eastAsia="Malgun Gothic"/>
          <w:bCs/>
          <w:lang w:val="fr-FR"/>
        </w:rPr>
        <w:t>-</w:t>
      </w:r>
      <w:r w:rsidR="008034E5">
        <w:rPr>
          <w:rFonts w:eastAsia="Malgun Gothic"/>
          <w:bCs/>
          <w:lang w:val="fr-FR"/>
        </w:rPr>
        <w:t> </w:t>
      </w:r>
      <w:r w:rsidRPr="00FF0BF6">
        <w:rPr>
          <w:rFonts w:eastAsia="Malgun Gothic"/>
          <w:bCs/>
          <w:lang w:val="fr-FR"/>
        </w:rPr>
        <w:t>la respiration circulaire</w:t>
      </w:r>
      <w:r w:rsidR="00A57A0F">
        <w:rPr>
          <w:rFonts w:eastAsia="Malgun Gothic"/>
          <w:bCs/>
          <w:lang w:val="fr-FR"/>
        </w:rPr>
        <w:t> » et « L</w:t>
      </w:r>
      <w:r w:rsidRPr="00FF0BF6">
        <w:rPr>
          <w:rFonts w:eastAsia="Malgun Gothic"/>
          <w:bCs/>
          <w:lang w:val="fr-FR"/>
        </w:rPr>
        <w:t xml:space="preserve">es pratiques traditionnelles </w:t>
      </w:r>
      <w:r w:rsidR="00A57A0F">
        <w:rPr>
          <w:rFonts w:eastAsia="Malgun Gothic"/>
          <w:bCs/>
          <w:lang w:val="fr-FR"/>
        </w:rPr>
        <w:t xml:space="preserve">mongoles </w:t>
      </w:r>
      <w:r w:rsidRPr="00FF0BF6">
        <w:rPr>
          <w:rFonts w:eastAsia="Malgun Gothic"/>
          <w:bCs/>
          <w:lang w:val="fr-FR"/>
        </w:rPr>
        <w:t>de vénération des sites sacrés</w:t>
      </w:r>
      <w:r w:rsidR="00A57A0F">
        <w:rPr>
          <w:rFonts w:eastAsia="Malgun Gothic"/>
          <w:bCs/>
          <w:lang w:val="fr-FR"/>
        </w:rPr>
        <w:t> »</w:t>
      </w:r>
      <w:r w:rsidRPr="00FF0BF6">
        <w:rPr>
          <w:rFonts w:eastAsia="Malgun Gothic"/>
          <w:bCs/>
          <w:lang w:val="fr-FR"/>
        </w:rPr>
        <w:t>, inscrit</w:t>
      </w:r>
      <w:r w:rsidR="00A57A0F">
        <w:rPr>
          <w:rFonts w:eastAsia="Malgun Gothic"/>
          <w:bCs/>
          <w:lang w:val="fr-FR"/>
        </w:rPr>
        <w:t>s</w:t>
      </w:r>
      <w:r w:rsidRPr="00FF0BF6">
        <w:rPr>
          <w:rFonts w:eastAsia="Malgun Gothic"/>
          <w:bCs/>
          <w:lang w:val="fr-FR"/>
        </w:rPr>
        <w:t xml:space="preserve"> respectivement sur la Liste de sauvegarde urgente en</w:t>
      </w:r>
      <w:r w:rsidR="00F65ADE">
        <w:rPr>
          <w:rFonts w:eastAsia="Malgun Gothic"/>
          <w:bCs/>
          <w:lang w:val="fr-FR"/>
        </w:rPr>
        <w:t> </w:t>
      </w:r>
      <w:r w:rsidRPr="00FF0BF6">
        <w:rPr>
          <w:rFonts w:eastAsia="Malgun Gothic"/>
          <w:bCs/>
          <w:lang w:val="fr-FR"/>
        </w:rPr>
        <w:t>2011 et en</w:t>
      </w:r>
      <w:r w:rsidR="00F65ADE">
        <w:rPr>
          <w:rFonts w:eastAsia="Malgun Gothic"/>
          <w:bCs/>
          <w:lang w:val="fr-FR"/>
        </w:rPr>
        <w:t> </w:t>
      </w:r>
      <w:r w:rsidRPr="00FF0BF6">
        <w:rPr>
          <w:rFonts w:eastAsia="Malgun Gothic"/>
          <w:bCs/>
          <w:lang w:val="fr-FR"/>
        </w:rPr>
        <w:t xml:space="preserve">2017. Lorsque la Mongolie avait </w:t>
      </w:r>
      <w:r w:rsidR="008034E5">
        <w:rPr>
          <w:rFonts w:eastAsia="Malgun Gothic"/>
          <w:bCs/>
          <w:lang w:val="fr-FR"/>
        </w:rPr>
        <w:t xml:space="preserve">soumis la </w:t>
      </w:r>
      <w:r w:rsidR="008034E5" w:rsidRPr="008034E5">
        <w:rPr>
          <w:rFonts w:eastAsia="Malgun Gothic"/>
          <w:bCs/>
          <w:lang w:val="fr-FR"/>
        </w:rPr>
        <w:t>candidature</w:t>
      </w:r>
      <w:r w:rsidR="008034E5">
        <w:rPr>
          <w:rFonts w:eastAsia="Malgun Gothic"/>
          <w:bCs/>
          <w:lang w:val="fr-FR"/>
        </w:rPr>
        <w:t xml:space="preserve"> </w:t>
      </w:r>
      <w:r w:rsidRPr="00FF0BF6">
        <w:rPr>
          <w:rFonts w:eastAsia="Malgun Gothic"/>
          <w:bCs/>
          <w:lang w:val="fr-FR"/>
        </w:rPr>
        <w:t>de ces deux éléments, il y avait très peu de praticiens et le pourcentage du répertoire utilisant la méthode traditionnelle parmi les musiciens professionnels diminuait rapidement. Le nombre de maîtres disposant de suffisamment de connaissances pour mener correctement les rituels et cérémonies de culte traditionnel avait également considérablement diminué en raison de leur interdiction au XX</w:t>
      </w:r>
      <w:r w:rsidR="008034E5" w:rsidRPr="00702497">
        <w:rPr>
          <w:rFonts w:eastAsia="Malgun Gothic"/>
          <w:bCs/>
          <w:vertAlign w:val="superscript"/>
          <w:lang w:val="fr-FR"/>
        </w:rPr>
        <w:t>e</w:t>
      </w:r>
      <w:r w:rsidR="00A57A0F">
        <w:rPr>
          <w:rFonts w:eastAsia="Malgun Gothic"/>
          <w:bCs/>
          <w:lang w:val="fr-FR"/>
        </w:rPr>
        <w:t> </w:t>
      </w:r>
      <w:r w:rsidRPr="00FF0BF6">
        <w:rPr>
          <w:rFonts w:eastAsia="Malgun Gothic"/>
          <w:bCs/>
          <w:lang w:val="fr-FR"/>
        </w:rPr>
        <w:t>siècle, avec seulement</w:t>
      </w:r>
      <w:r w:rsidR="009A34A8">
        <w:rPr>
          <w:rFonts w:eastAsia="Malgun Gothic"/>
          <w:bCs/>
          <w:lang w:val="fr-FR"/>
        </w:rPr>
        <w:t> </w:t>
      </w:r>
      <w:r w:rsidRPr="00FF0BF6">
        <w:rPr>
          <w:rFonts w:eastAsia="Malgun Gothic"/>
          <w:bCs/>
          <w:lang w:val="fr-FR"/>
        </w:rPr>
        <w:t>20</w:t>
      </w:r>
      <w:r w:rsidR="008034E5">
        <w:rPr>
          <w:rFonts w:eastAsia="Malgun Gothic"/>
          <w:bCs/>
          <w:lang w:val="fr-FR"/>
        </w:rPr>
        <w:t> </w:t>
      </w:r>
      <w:r w:rsidRPr="00FF0BF6">
        <w:rPr>
          <w:rFonts w:eastAsia="Malgun Gothic"/>
          <w:bCs/>
          <w:lang w:val="fr-FR"/>
        </w:rPr>
        <w:t>% des 1</w:t>
      </w:r>
      <w:r w:rsidR="008034E5">
        <w:rPr>
          <w:rFonts w:eastAsia="Malgun Gothic"/>
          <w:bCs/>
          <w:lang w:val="fr-FR"/>
        </w:rPr>
        <w:t> </w:t>
      </w:r>
      <w:r w:rsidRPr="00FF0BF6">
        <w:rPr>
          <w:rFonts w:eastAsia="Malgun Gothic"/>
          <w:bCs/>
          <w:lang w:val="fr-FR"/>
        </w:rPr>
        <w:t xml:space="preserve">000 </w:t>
      </w:r>
      <w:r w:rsidR="008034E5">
        <w:rPr>
          <w:rFonts w:eastAsia="Malgun Gothic"/>
          <w:bCs/>
          <w:lang w:val="fr-FR"/>
        </w:rPr>
        <w:t xml:space="preserve">praticiens </w:t>
      </w:r>
      <w:r w:rsidRPr="00FF0BF6">
        <w:rPr>
          <w:rFonts w:eastAsia="Malgun Gothic"/>
          <w:bCs/>
          <w:lang w:val="fr-FR"/>
        </w:rPr>
        <w:t>traditionnels des sites sacrés. Ces dernières années, le Gouvernement de la Mongolie s</w:t>
      </w:r>
      <w:r w:rsidR="00923E72">
        <w:rPr>
          <w:rFonts w:eastAsia="Malgun Gothic"/>
          <w:bCs/>
          <w:lang w:val="fr-FR"/>
        </w:rPr>
        <w:t>’</w:t>
      </w:r>
      <w:r w:rsidRPr="00FF0BF6">
        <w:rPr>
          <w:rFonts w:eastAsia="Malgun Gothic"/>
          <w:bCs/>
          <w:lang w:val="fr-FR"/>
        </w:rPr>
        <w:t>était efforcé d</w:t>
      </w:r>
      <w:r w:rsidR="00923E72">
        <w:rPr>
          <w:rFonts w:eastAsia="Malgun Gothic"/>
          <w:bCs/>
          <w:lang w:val="fr-FR"/>
        </w:rPr>
        <w:t>’</w:t>
      </w:r>
      <w:r w:rsidRPr="00FF0BF6">
        <w:rPr>
          <w:rFonts w:eastAsia="Malgun Gothic"/>
          <w:bCs/>
          <w:lang w:val="fr-FR"/>
        </w:rPr>
        <w:t xml:space="preserve">améliorer la </w:t>
      </w:r>
      <w:r w:rsidRPr="00FF0BF6">
        <w:rPr>
          <w:rFonts w:eastAsia="Malgun Gothic"/>
          <w:bCs/>
          <w:lang w:val="fr-FR"/>
        </w:rPr>
        <w:lastRenderedPageBreak/>
        <w:t>viabilité de ces éléments du patrimoine en modifiant les lois et les normes, et en soutenant les praticiens, les communautés et les parties prenantes qui participent activement à la sauvegarde de ces éléments et à la promotion de l</w:t>
      </w:r>
      <w:r w:rsidR="00923E72">
        <w:rPr>
          <w:rFonts w:eastAsia="Malgun Gothic"/>
          <w:bCs/>
          <w:lang w:val="fr-FR"/>
        </w:rPr>
        <w:t>’</w:t>
      </w:r>
      <w:r w:rsidRPr="00FF0BF6">
        <w:rPr>
          <w:rFonts w:eastAsia="Malgun Gothic"/>
          <w:bCs/>
          <w:lang w:val="fr-FR"/>
        </w:rPr>
        <w:t>importance de ces éléments du patrimoine auprès du public. La mise en œuvre de ce projet avait permis à la Mongolie d</w:t>
      </w:r>
      <w:r w:rsidR="00923E72">
        <w:rPr>
          <w:rFonts w:eastAsia="Malgun Gothic"/>
          <w:bCs/>
          <w:lang w:val="fr-FR"/>
        </w:rPr>
        <w:t>’</w:t>
      </w:r>
      <w:r w:rsidRPr="00FF0BF6">
        <w:rPr>
          <w:rFonts w:eastAsia="Malgun Gothic"/>
          <w:bCs/>
          <w:lang w:val="fr-FR"/>
        </w:rPr>
        <w:t>améliorer la viabilité de ces deux éléments. Pour le projet</w:t>
      </w:r>
      <w:r w:rsidR="00A57A0F">
        <w:rPr>
          <w:rFonts w:eastAsia="Malgun Gothic"/>
          <w:bCs/>
          <w:lang w:val="fr-FR"/>
        </w:rPr>
        <w:t xml:space="preserve"> intitulé</w:t>
      </w:r>
      <w:r w:rsidR="008034E5" w:rsidRPr="008034E5">
        <w:rPr>
          <w:rFonts w:eastAsia="Malgun Gothic"/>
          <w:bCs/>
          <w:lang w:val="fr-FR"/>
        </w:rPr>
        <w:t xml:space="preserve"> </w:t>
      </w:r>
      <w:r w:rsidR="00A57A0F">
        <w:rPr>
          <w:rFonts w:eastAsia="Malgun Gothic"/>
          <w:bCs/>
          <w:lang w:val="fr-FR"/>
        </w:rPr>
        <w:t>« L</w:t>
      </w:r>
      <w:r w:rsidR="00685064">
        <w:rPr>
          <w:rFonts w:eastAsia="Malgun Gothic"/>
          <w:bCs/>
          <w:lang w:val="fr-FR"/>
        </w:rPr>
        <w:t xml:space="preserve">a transmission aux nouvelles générations et la stabilisation de </w:t>
      </w:r>
      <w:r w:rsidR="008034E5" w:rsidRPr="00FF0BF6">
        <w:rPr>
          <w:rFonts w:eastAsia="Malgun Gothic"/>
          <w:bCs/>
          <w:lang w:val="fr-FR"/>
        </w:rPr>
        <w:t>la technique d</w:t>
      </w:r>
      <w:r w:rsidR="00923E72">
        <w:rPr>
          <w:rFonts w:eastAsia="Malgun Gothic"/>
          <w:bCs/>
          <w:lang w:val="fr-FR"/>
        </w:rPr>
        <w:t>’</w:t>
      </w:r>
      <w:r w:rsidR="008034E5" w:rsidRPr="00FF0BF6">
        <w:rPr>
          <w:rFonts w:eastAsia="Malgun Gothic"/>
          <w:bCs/>
          <w:lang w:val="fr-FR"/>
        </w:rPr>
        <w:t>interprétation d</w:t>
      </w:r>
      <w:r w:rsidR="008034E5">
        <w:rPr>
          <w:rFonts w:eastAsia="Malgun Gothic"/>
          <w:bCs/>
          <w:lang w:val="fr-FR"/>
        </w:rPr>
        <w:t>u</w:t>
      </w:r>
      <w:r w:rsidR="008034E5" w:rsidRPr="00FF0BF6">
        <w:rPr>
          <w:rFonts w:eastAsia="Malgun Gothic"/>
          <w:bCs/>
          <w:lang w:val="fr-FR"/>
        </w:rPr>
        <w:t xml:space="preserve"> chant long des </w:t>
      </w:r>
      <w:r w:rsidR="008034E5">
        <w:rPr>
          <w:rFonts w:eastAsia="Malgun Gothic"/>
          <w:bCs/>
          <w:lang w:val="fr-FR"/>
        </w:rPr>
        <w:t>joueurs de flûte limbe </w:t>
      </w:r>
      <w:r w:rsidR="008034E5" w:rsidRPr="00FF0BF6">
        <w:rPr>
          <w:rFonts w:eastAsia="Malgun Gothic"/>
          <w:bCs/>
          <w:lang w:val="fr-FR"/>
        </w:rPr>
        <w:t>-</w:t>
      </w:r>
      <w:r w:rsidR="008034E5">
        <w:rPr>
          <w:rFonts w:eastAsia="Malgun Gothic"/>
          <w:bCs/>
          <w:lang w:val="fr-FR"/>
        </w:rPr>
        <w:t> </w:t>
      </w:r>
      <w:r w:rsidR="008034E5" w:rsidRPr="00FF0BF6">
        <w:rPr>
          <w:rFonts w:eastAsia="Malgun Gothic"/>
          <w:bCs/>
          <w:lang w:val="fr-FR"/>
        </w:rPr>
        <w:t>la respiration circulaire</w:t>
      </w:r>
      <w:r w:rsidR="0050742A">
        <w:rPr>
          <w:rFonts w:eastAsia="Malgun Gothic"/>
          <w:bCs/>
          <w:lang w:val="fr-FR"/>
        </w:rPr>
        <w:t xml:space="preserve">, à travers le répertoire </w:t>
      </w:r>
      <w:r w:rsidR="001348BE">
        <w:rPr>
          <w:rFonts w:eastAsia="Malgun Gothic"/>
          <w:bCs/>
          <w:lang w:val="fr-FR"/>
        </w:rPr>
        <w:t>ancien</w:t>
      </w:r>
      <w:r w:rsidR="00A57A0F">
        <w:rPr>
          <w:rFonts w:eastAsia="Malgun Gothic"/>
          <w:bCs/>
          <w:lang w:val="fr-FR"/>
        </w:rPr>
        <w:t> »</w:t>
      </w:r>
      <w:r w:rsidRPr="00FF0BF6">
        <w:rPr>
          <w:rFonts w:eastAsia="Malgun Gothic"/>
          <w:bCs/>
          <w:lang w:val="fr-FR"/>
        </w:rPr>
        <w:t>, mis en œuvre par le Centre national pour le patrimoine culturel et l</w:t>
      </w:r>
      <w:r w:rsidR="00923E72">
        <w:rPr>
          <w:rFonts w:eastAsia="Malgun Gothic"/>
          <w:bCs/>
          <w:lang w:val="fr-FR"/>
        </w:rPr>
        <w:t>’</w:t>
      </w:r>
      <w:r w:rsidRPr="00FF0BF6">
        <w:rPr>
          <w:rFonts w:eastAsia="Malgun Gothic"/>
          <w:bCs/>
          <w:lang w:val="fr-FR"/>
        </w:rPr>
        <w:t>Association mongole des artistes d</w:t>
      </w:r>
      <w:r w:rsidR="008034E5">
        <w:rPr>
          <w:rFonts w:eastAsia="Malgun Gothic"/>
          <w:bCs/>
          <w:lang w:val="fr-FR"/>
        </w:rPr>
        <w:t>u l</w:t>
      </w:r>
      <w:r w:rsidRPr="00FF0BF6">
        <w:rPr>
          <w:rFonts w:eastAsia="Malgun Gothic"/>
          <w:bCs/>
          <w:lang w:val="fr-FR"/>
        </w:rPr>
        <w:t>imbe, des travaux de terrain avaient été menés, une base de données avait été créée et un bureau temporaire pour la formation des apprentis avait été financé dans sept</w:t>
      </w:r>
      <w:r w:rsidR="008034E5">
        <w:rPr>
          <w:rFonts w:eastAsia="Malgun Gothic"/>
          <w:bCs/>
          <w:lang w:val="fr-FR"/>
        </w:rPr>
        <w:t xml:space="preserve"> lieux </w:t>
      </w:r>
      <w:r w:rsidRPr="008034E5">
        <w:rPr>
          <w:rFonts w:eastAsia="Malgun Gothic"/>
          <w:bCs/>
          <w:lang w:val="fr-FR"/>
        </w:rPr>
        <w:t xml:space="preserve">(la formation des apprentis avait été dispensée sur la base de </w:t>
      </w:r>
      <w:r w:rsidR="008034E5">
        <w:rPr>
          <w:rFonts w:eastAsia="Malgun Gothic"/>
          <w:bCs/>
          <w:lang w:val="fr-FR"/>
        </w:rPr>
        <w:t>dix</w:t>
      </w:r>
      <w:r w:rsidRPr="008034E5">
        <w:rPr>
          <w:rFonts w:eastAsia="Malgun Gothic"/>
          <w:bCs/>
          <w:lang w:val="fr-FR"/>
        </w:rPr>
        <w:t xml:space="preserve"> praticiens). En outre, des mesures de renforcement des capacités et de sensibilisation </w:t>
      </w:r>
      <w:r w:rsidR="002A7DA5">
        <w:rPr>
          <w:rFonts w:eastAsia="Malgun Gothic"/>
          <w:bCs/>
          <w:lang w:val="fr-FR"/>
        </w:rPr>
        <w:t xml:space="preserve">avaient été mises en œuvre et </w:t>
      </w:r>
      <w:r w:rsidRPr="008034E5">
        <w:rPr>
          <w:rFonts w:eastAsia="Malgun Gothic"/>
          <w:bCs/>
          <w:lang w:val="fr-FR"/>
        </w:rPr>
        <w:t>une conférence sur la recherche avait été organisée. En conséquence, la diffusion de la respiration circulaire était passée de huit lieux en</w:t>
      </w:r>
      <w:r w:rsidR="001A7AF7">
        <w:rPr>
          <w:rFonts w:eastAsia="Malgun Gothic"/>
          <w:bCs/>
          <w:lang w:val="fr-FR"/>
        </w:rPr>
        <w:t> </w:t>
      </w:r>
      <w:r w:rsidRPr="008034E5">
        <w:rPr>
          <w:rFonts w:eastAsia="Malgun Gothic"/>
          <w:bCs/>
          <w:lang w:val="fr-FR"/>
        </w:rPr>
        <w:t>2014 à quatorze lieux aujourd</w:t>
      </w:r>
      <w:r w:rsidR="00923E72">
        <w:rPr>
          <w:rFonts w:eastAsia="Malgun Gothic"/>
          <w:bCs/>
          <w:lang w:val="fr-FR"/>
        </w:rPr>
        <w:t>’</w:t>
      </w:r>
      <w:r w:rsidRPr="008034E5">
        <w:rPr>
          <w:rFonts w:eastAsia="Malgun Gothic"/>
          <w:bCs/>
          <w:lang w:val="fr-FR"/>
        </w:rPr>
        <w:t>hui, et le nombre de praticiens formés à la respiration circulaire avait augmenté pour atteindre plus de 160.</w:t>
      </w:r>
    </w:p>
    <w:p w14:paraId="32163419" w14:textId="5E41291B" w:rsidR="008034E5" w:rsidRDefault="008034E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8034E5">
        <w:rPr>
          <w:rFonts w:eastAsia="Malgun Gothic"/>
          <w:bCs/>
          <w:lang w:val="fr-FR"/>
        </w:rPr>
        <w:t xml:space="preserve">La délégation de la </w:t>
      </w:r>
      <w:r w:rsidRPr="00702497">
        <w:rPr>
          <w:rFonts w:eastAsia="Malgun Gothic"/>
          <w:b/>
          <w:lang w:val="fr-FR"/>
        </w:rPr>
        <w:t>Mongolie</w:t>
      </w:r>
      <w:r w:rsidRPr="008034E5">
        <w:rPr>
          <w:rFonts w:eastAsia="Malgun Gothic"/>
          <w:bCs/>
          <w:lang w:val="fr-FR"/>
        </w:rPr>
        <w:t xml:space="preserve"> a </w:t>
      </w:r>
      <w:r>
        <w:rPr>
          <w:rFonts w:eastAsia="Malgun Gothic"/>
          <w:bCs/>
          <w:lang w:val="fr-FR"/>
        </w:rPr>
        <w:t xml:space="preserve">ensuite </w:t>
      </w:r>
      <w:r w:rsidRPr="008034E5">
        <w:rPr>
          <w:rFonts w:eastAsia="Malgun Gothic"/>
          <w:bCs/>
          <w:lang w:val="fr-FR"/>
        </w:rPr>
        <w:t>présenté le deuxième projet,</w:t>
      </w:r>
      <w:r w:rsidR="0050742A">
        <w:rPr>
          <w:rFonts w:eastAsia="Malgun Gothic"/>
          <w:bCs/>
          <w:lang w:val="fr-FR"/>
        </w:rPr>
        <w:t xml:space="preserve"> intitulé « S</w:t>
      </w:r>
      <w:r w:rsidR="00685064" w:rsidRPr="00702497">
        <w:rPr>
          <w:lang w:val="fr-FR"/>
        </w:rPr>
        <w:t>outenir la durabilité naturelle et culturelle à travers la revitalisation et la transmission des pratiques traditionnelles de vénération des sites sacrés</w:t>
      </w:r>
      <w:r w:rsidR="002A7DA5">
        <w:rPr>
          <w:lang w:val="fr-FR"/>
        </w:rPr>
        <w:t xml:space="preserve"> en Mongolie</w:t>
      </w:r>
      <w:r w:rsidR="0050742A">
        <w:rPr>
          <w:lang w:val="fr-FR"/>
        </w:rPr>
        <w:t> »</w:t>
      </w:r>
      <w:r w:rsidR="00685064" w:rsidRPr="00702497">
        <w:rPr>
          <w:lang w:val="fr-FR"/>
        </w:rPr>
        <w:t xml:space="preserve">. </w:t>
      </w:r>
      <w:r w:rsidRPr="008034E5">
        <w:rPr>
          <w:rFonts w:eastAsia="Malgun Gothic"/>
          <w:bCs/>
          <w:lang w:val="fr-FR"/>
        </w:rPr>
        <w:t>Ce projet avait été mis en œuvre par une ONG accréditée en Mongolie, la Fondation pour la protection du patrimoine naturel et culturel</w:t>
      </w:r>
      <w:r w:rsidR="0019529B">
        <w:rPr>
          <w:rFonts w:eastAsia="Malgun Gothic"/>
          <w:bCs/>
          <w:lang w:val="fr-FR"/>
        </w:rPr>
        <w:t xml:space="preserve"> (FPNCH)</w:t>
      </w:r>
      <w:r w:rsidRPr="008034E5">
        <w:rPr>
          <w:rFonts w:eastAsia="Malgun Gothic"/>
          <w:bCs/>
          <w:lang w:val="fr-FR"/>
        </w:rPr>
        <w:t>, avec le soutien du Centre national pour le patrimoine culturel et d</w:t>
      </w:r>
      <w:r w:rsidR="00923E72">
        <w:rPr>
          <w:rFonts w:eastAsia="Malgun Gothic"/>
          <w:bCs/>
          <w:lang w:val="fr-FR"/>
        </w:rPr>
        <w:t>’</w:t>
      </w:r>
      <w:r w:rsidRPr="008034E5">
        <w:rPr>
          <w:rFonts w:eastAsia="Malgun Gothic"/>
          <w:bCs/>
          <w:lang w:val="fr-FR"/>
        </w:rPr>
        <w:t xml:space="preserve">autres organisations culturelles nationales et locales. Il avait donné lieu à un </w:t>
      </w:r>
      <w:r w:rsidR="0019529B">
        <w:rPr>
          <w:rFonts w:eastAsia="Malgun Gothic"/>
          <w:bCs/>
          <w:lang w:val="fr-FR"/>
        </w:rPr>
        <w:t xml:space="preserve">périple </w:t>
      </w:r>
      <w:r w:rsidRPr="008034E5">
        <w:rPr>
          <w:rFonts w:eastAsia="Malgun Gothic"/>
          <w:bCs/>
          <w:lang w:val="fr-FR"/>
        </w:rPr>
        <w:t xml:space="preserve">de deux ans dans la nature et la culture, sous la devise </w:t>
      </w:r>
      <w:r w:rsidR="00685064">
        <w:rPr>
          <w:rFonts w:eastAsia="Malgun Gothic"/>
          <w:bCs/>
          <w:lang w:val="fr-FR"/>
        </w:rPr>
        <w:t>« </w:t>
      </w:r>
      <w:r w:rsidRPr="008034E5">
        <w:rPr>
          <w:rFonts w:eastAsia="Malgun Gothic"/>
          <w:bCs/>
          <w:lang w:val="fr-FR"/>
        </w:rPr>
        <w:t>Apprécions et respectons la patrie sacrée et notre patrimoine</w:t>
      </w:r>
      <w:r w:rsidR="00685064">
        <w:rPr>
          <w:rFonts w:eastAsia="Malgun Gothic"/>
          <w:bCs/>
          <w:lang w:val="fr-FR"/>
        </w:rPr>
        <w:t> »</w:t>
      </w:r>
      <w:r w:rsidRPr="008034E5">
        <w:rPr>
          <w:rFonts w:eastAsia="Malgun Gothic"/>
          <w:bCs/>
          <w:lang w:val="fr-FR"/>
        </w:rPr>
        <w:t>, entre</w:t>
      </w:r>
      <w:r w:rsidR="001A7AF7">
        <w:rPr>
          <w:rFonts w:eastAsia="Malgun Gothic"/>
          <w:bCs/>
          <w:lang w:val="fr-FR"/>
        </w:rPr>
        <w:t> </w:t>
      </w:r>
      <w:r w:rsidRPr="008034E5">
        <w:rPr>
          <w:rFonts w:eastAsia="Malgun Gothic"/>
          <w:bCs/>
          <w:lang w:val="fr-FR"/>
        </w:rPr>
        <w:t>2018 et</w:t>
      </w:r>
      <w:r w:rsidR="001A7AF7">
        <w:rPr>
          <w:rFonts w:eastAsia="Malgun Gothic"/>
          <w:bCs/>
          <w:lang w:val="fr-FR"/>
        </w:rPr>
        <w:t> </w:t>
      </w:r>
      <w:r w:rsidRPr="008034E5">
        <w:rPr>
          <w:rFonts w:eastAsia="Malgun Gothic"/>
          <w:bCs/>
          <w:lang w:val="fr-FR"/>
        </w:rPr>
        <w:t xml:space="preserve">2020. Ce </w:t>
      </w:r>
      <w:r w:rsidR="0019529B">
        <w:rPr>
          <w:rFonts w:eastAsia="Malgun Gothic"/>
          <w:bCs/>
          <w:lang w:val="fr-FR"/>
        </w:rPr>
        <w:t xml:space="preserve">périple </w:t>
      </w:r>
      <w:r w:rsidRPr="008034E5">
        <w:rPr>
          <w:rFonts w:eastAsia="Malgun Gothic"/>
          <w:bCs/>
          <w:lang w:val="fr-FR"/>
        </w:rPr>
        <w:t>avait également été organisé dans le cadre de la campagne collaborative de l</w:t>
      </w:r>
      <w:r w:rsidR="00923E72">
        <w:rPr>
          <w:rFonts w:eastAsia="Malgun Gothic"/>
          <w:bCs/>
          <w:lang w:val="fr-FR"/>
        </w:rPr>
        <w:t>’</w:t>
      </w:r>
      <w:r w:rsidRPr="008034E5">
        <w:rPr>
          <w:rFonts w:eastAsia="Malgun Gothic"/>
          <w:bCs/>
          <w:lang w:val="fr-FR"/>
        </w:rPr>
        <w:t>ICOMOS et de l</w:t>
      </w:r>
      <w:r w:rsidR="00923E72">
        <w:rPr>
          <w:rFonts w:eastAsia="Malgun Gothic"/>
          <w:bCs/>
          <w:lang w:val="fr-FR"/>
        </w:rPr>
        <w:t>’</w:t>
      </w:r>
      <w:r w:rsidRPr="008034E5">
        <w:rPr>
          <w:rFonts w:eastAsia="Malgun Gothic"/>
          <w:bCs/>
          <w:lang w:val="fr-FR"/>
        </w:rPr>
        <w:t>UICN. Grâce à ce projet, plus de</w:t>
      </w:r>
      <w:r w:rsidR="007F7668">
        <w:rPr>
          <w:rFonts w:eastAsia="Malgun Gothic"/>
          <w:bCs/>
          <w:lang w:val="fr-FR"/>
        </w:rPr>
        <w:t> </w:t>
      </w:r>
      <w:r w:rsidRPr="008034E5">
        <w:rPr>
          <w:rFonts w:eastAsia="Malgun Gothic"/>
          <w:bCs/>
          <w:lang w:val="fr-FR"/>
        </w:rPr>
        <w:t>800 communautés locales avaient été activement impliquées. Dans le cadre de la recherche sur le terrain, la FPNCH et le Centre national pour le patrimoine culturel avaient dressé un inventaire national et créé une base de données d</w:t>
      </w:r>
      <w:r w:rsidR="00923E72">
        <w:rPr>
          <w:rFonts w:eastAsia="Malgun Gothic"/>
          <w:bCs/>
          <w:lang w:val="fr-FR"/>
        </w:rPr>
        <w:t>’</w:t>
      </w:r>
      <w:r w:rsidRPr="008034E5">
        <w:rPr>
          <w:rFonts w:eastAsia="Malgun Gothic"/>
          <w:bCs/>
          <w:lang w:val="fr-FR"/>
        </w:rPr>
        <w:t xml:space="preserve">informations sur les sites sacrés en Mongolie. Le concours national des meilleures pratiques pour faire revivre et promouvoir les pratiques </w:t>
      </w:r>
      <w:r w:rsidR="0019529B">
        <w:rPr>
          <w:rFonts w:eastAsia="Malgun Gothic"/>
          <w:bCs/>
          <w:lang w:val="fr-FR"/>
        </w:rPr>
        <w:t xml:space="preserve">de vénération </w:t>
      </w:r>
      <w:r w:rsidRPr="008034E5">
        <w:rPr>
          <w:rFonts w:eastAsia="Malgun Gothic"/>
          <w:bCs/>
          <w:lang w:val="fr-FR"/>
        </w:rPr>
        <w:t xml:space="preserve">avait été </w:t>
      </w:r>
      <w:r w:rsidR="0019529B">
        <w:rPr>
          <w:rFonts w:eastAsia="Malgun Gothic"/>
          <w:bCs/>
          <w:lang w:val="fr-FR"/>
        </w:rPr>
        <w:t>organisé au sein d</w:t>
      </w:r>
      <w:r w:rsidRPr="008034E5">
        <w:rPr>
          <w:rFonts w:eastAsia="Malgun Gothic"/>
          <w:bCs/>
          <w:lang w:val="fr-FR"/>
        </w:rPr>
        <w:t>es communautés d</w:t>
      </w:r>
      <w:r w:rsidR="00923E72">
        <w:rPr>
          <w:rFonts w:eastAsia="Malgun Gothic"/>
          <w:bCs/>
          <w:lang w:val="fr-FR"/>
        </w:rPr>
        <w:t>’</w:t>
      </w:r>
      <w:r w:rsidRPr="008034E5">
        <w:rPr>
          <w:rFonts w:eastAsia="Malgun Gothic"/>
          <w:bCs/>
          <w:lang w:val="fr-FR"/>
        </w:rPr>
        <w:t>octobre</w:t>
      </w:r>
      <w:r w:rsidR="003A0260">
        <w:rPr>
          <w:rFonts w:eastAsia="Malgun Gothic"/>
          <w:bCs/>
          <w:lang w:val="fr-FR"/>
        </w:rPr>
        <w:t> </w:t>
      </w:r>
      <w:r w:rsidRPr="008034E5">
        <w:rPr>
          <w:rFonts w:eastAsia="Malgun Gothic"/>
          <w:bCs/>
          <w:lang w:val="fr-FR"/>
        </w:rPr>
        <w:t>2019 à juin</w:t>
      </w:r>
      <w:r w:rsidR="003A0260">
        <w:rPr>
          <w:rFonts w:eastAsia="Malgun Gothic"/>
          <w:bCs/>
          <w:lang w:val="fr-FR"/>
        </w:rPr>
        <w:t> </w:t>
      </w:r>
      <w:r w:rsidRPr="008034E5">
        <w:rPr>
          <w:rFonts w:eastAsia="Malgun Gothic"/>
          <w:bCs/>
          <w:lang w:val="fr-FR"/>
        </w:rPr>
        <w:t>2021. Le concours national avait attiré le grand public et les communautés locales, et s</w:t>
      </w:r>
      <w:r w:rsidR="00923E72">
        <w:rPr>
          <w:rFonts w:eastAsia="Malgun Gothic"/>
          <w:bCs/>
          <w:lang w:val="fr-FR"/>
        </w:rPr>
        <w:t>’</w:t>
      </w:r>
      <w:r w:rsidRPr="008034E5">
        <w:rPr>
          <w:rFonts w:eastAsia="Malgun Gothic"/>
          <w:bCs/>
          <w:lang w:val="fr-FR"/>
        </w:rPr>
        <w:t>était achevé en octobre</w:t>
      </w:r>
      <w:r w:rsidR="003A0260">
        <w:rPr>
          <w:rFonts w:eastAsia="Malgun Gothic"/>
          <w:bCs/>
          <w:lang w:val="fr-FR"/>
        </w:rPr>
        <w:t> </w:t>
      </w:r>
      <w:r w:rsidRPr="008034E5">
        <w:rPr>
          <w:rFonts w:eastAsia="Malgun Gothic"/>
          <w:bCs/>
          <w:lang w:val="fr-FR"/>
        </w:rPr>
        <w:t>2021. Plus de 100 communautés locales avaient participé avec succès au concours et vingt</w:t>
      </w:r>
      <w:r w:rsidR="002A7DA5">
        <w:rPr>
          <w:rFonts w:eastAsia="Malgun Gothic"/>
          <w:bCs/>
          <w:lang w:val="fr-FR"/>
        </w:rPr>
        <w:noBreakHyphen/>
      </w:r>
      <w:r w:rsidRPr="008034E5">
        <w:rPr>
          <w:rFonts w:eastAsia="Malgun Gothic"/>
          <w:bCs/>
          <w:lang w:val="fr-FR"/>
        </w:rPr>
        <w:t>et</w:t>
      </w:r>
      <w:r w:rsidR="002A7DA5">
        <w:rPr>
          <w:rFonts w:eastAsia="Malgun Gothic"/>
          <w:bCs/>
          <w:lang w:val="fr-FR"/>
        </w:rPr>
        <w:noBreakHyphen/>
      </w:r>
      <w:r w:rsidRPr="008034E5">
        <w:rPr>
          <w:rFonts w:eastAsia="Malgun Gothic"/>
          <w:bCs/>
          <w:lang w:val="fr-FR"/>
        </w:rPr>
        <w:t>une d</w:t>
      </w:r>
      <w:r w:rsidR="00923E72">
        <w:rPr>
          <w:rFonts w:eastAsia="Malgun Gothic"/>
          <w:bCs/>
          <w:lang w:val="fr-FR"/>
        </w:rPr>
        <w:t>’</w:t>
      </w:r>
      <w:r w:rsidRPr="008034E5">
        <w:rPr>
          <w:rFonts w:eastAsia="Malgun Gothic"/>
          <w:bCs/>
          <w:lang w:val="fr-FR"/>
        </w:rPr>
        <w:t>entre elles avaient été sélectionnées et récompensées par des certificats d</w:t>
      </w:r>
      <w:r w:rsidR="00923E72">
        <w:rPr>
          <w:rFonts w:eastAsia="Malgun Gothic"/>
          <w:bCs/>
          <w:lang w:val="fr-FR"/>
        </w:rPr>
        <w:t>’</w:t>
      </w:r>
      <w:r w:rsidRPr="008034E5">
        <w:rPr>
          <w:rFonts w:eastAsia="Malgun Gothic"/>
          <w:bCs/>
          <w:lang w:val="fr-FR"/>
        </w:rPr>
        <w:t>honneur et des droits culturels. En conclusion, la viabilité de ces deux éléments avait permis d</w:t>
      </w:r>
      <w:r w:rsidR="00923E72">
        <w:rPr>
          <w:rFonts w:eastAsia="Malgun Gothic"/>
          <w:bCs/>
          <w:lang w:val="fr-FR"/>
        </w:rPr>
        <w:t>’</w:t>
      </w:r>
      <w:r w:rsidRPr="008034E5">
        <w:rPr>
          <w:rFonts w:eastAsia="Malgun Gothic"/>
          <w:bCs/>
          <w:lang w:val="fr-FR"/>
        </w:rPr>
        <w:t>augmenter le nombre de praticiens et d</w:t>
      </w:r>
      <w:r w:rsidR="00923E72">
        <w:rPr>
          <w:rFonts w:eastAsia="Malgun Gothic"/>
          <w:bCs/>
          <w:lang w:val="fr-FR"/>
        </w:rPr>
        <w:t>’</w:t>
      </w:r>
      <w:r w:rsidRPr="008034E5">
        <w:rPr>
          <w:rFonts w:eastAsia="Malgun Gothic"/>
          <w:bCs/>
          <w:lang w:val="fr-FR"/>
        </w:rPr>
        <w:t xml:space="preserve">accroître la participation active des communautés, des individus et des parties prenantes aux activités de sauvegarde. Ces projets avaient amélioré la cohésion entre les communautés et les organisations non gouvernementales et gouvernementales ainsi que le renforcement des capacités des parties prenantes et la transmission de ce patrimoine aux jeunes. La délégation a souligné le soutien du ministère de la Culture de </w:t>
      </w:r>
      <w:r w:rsidR="0019529B">
        <w:rPr>
          <w:rFonts w:eastAsia="Malgun Gothic"/>
          <w:bCs/>
          <w:lang w:val="fr-FR"/>
        </w:rPr>
        <w:t xml:space="preserve">la </w:t>
      </w:r>
      <w:r w:rsidRPr="008034E5">
        <w:rPr>
          <w:rFonts w:eastAsia="Malgun Gothic"/>
          <w:bCs/>
          <w:lang w:val="fr-FR"/>
        </w:rPr>
        <w:t>Mongolie dans la mise en œuvre de ce projet, et d</w:t>
      </w:r>
      <w:r w:rsidR="00923E72">
        <w:rPr>
          <w:rFonts w:eastAsia="Malgun Gothic"/>
          <w:bCs/>
          <w:lang w:val="fr-FR"/>
        </w:rPr>
        <w:t>’</w:t>
      </w:r>
      <w:r w:rsidRPr="008034E5">
        <w:rPr>
          <w:rFonts w:eastAsia="Malgun Gothic"/>
          <w:bCs/>
          <w:lang w:val="fr-FR"/>
        </w:rPr>
        <w:t>autres discussions et recherches avaient déjà commencé en Mongolie pour transférer ces éléments de la Liste de sauvegarde urgente à la Liste représentative. La délégation a exprimé sa grande reconnaissance aux praticiens, aux communautés et aux détenteurs qui avaient joué un rôle actif dans ces deux projets. La Mongolie a également exprimé sa profonde gratitude à l</w:t>
      </w:r>
      <w:r w:rsidR="00923E72">
        <w:rPr>
          <w:rFonts w:eastAsia="Malgun Gothic"/>
          <w:bCs/>
          <w:lang w:val="fr-FR"/>
        </w:rPr>
        <w:t>’</w:t>
      </w:r>
      <w:r w:rsidRPr="008034E5">
        <w:rPr>
          <w:rFonts w:eastAsia="Malgun Gothic"/>
          <w:bCs/>
          <w:lang w:val="fr-FR"/>
        </w:rPr>
        <w:t>Organe d</w:t>
      </w:r>
      <w:r w:rsidR="00923E72">
        <w:rPr>
          <w:rFonts w:eastAsia="Malgun Gothic"/>
          <w:bCs/>
          <w:lang w:val="fr-FR"/>
        </w:rPr>
        <w:t>’</w:t>
      </w:r>
      <w:r w:rsidRPr="008034E5">
        <w:rPr>
          <w:rFonts w:eastAsia="Malgun Gothic"/>
          <w:bCs/>
          <w:lang w:val="fr-FR"/>
        </w:rPr>
        <w:t>évaluation, au Fonds du PCI et au Secrétariat pour leurs décisions</w:t>
      </w:r>
      <w:r w:rsidR="00F65ADE">
        <w:rPr>
          <w:rFonts w:eastAsia="Malgun Gothic"/>
          <w:bCs/>
          <w:lang w:val="fr-FR"/>
        </w:rPr>
        <w:t>,</w:t>
      </w:r>
      <w:r w:rsidRPr="008034E5">
        <w:rPr>
          <w:rFonts w:eastAsia="Malgun Gothic"/>
          <w:bCs/>
          <w:lang w:val="fr-FR"/>
        </w:rPr>
        <w:t xml:space="preserve"> qui avaient permis d</w:t>
      </w:r>
      <w:r w:rsidR="00923E72">
        <w:rPr>
          <w:rFonts w:eastAsia="Malgun Gothic"/>
          <w:bCs/>
          <w:lang w:val="fr-FR"/>
        </w:rPr>
        <w:t>’</w:t>
      </w:r>
      <w:r w:rsidRPr="008034E5">
        <w:rPr>
          <w:rFonts w:eastAsia="Malgun Gothic"/>
          <w:bCs/>
          <w:lang w:val="fr-FR"/>
        </w:rPr>
        <w:t>améliorer la viabilité de ces deux éléments du patrimoine en Mongolie.</w:t>
      </w:r>
    </w:p>
    <w:p w14:paraId="17772F38" w14:textId="59CED2EC" w:rsidR="00A619EA" w:rsidRDefault="00A619E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la Mongolie pour cette très intéressante présentation.</w:t>
      </w:r>
    </w:p>
    <w:p w14:paraId="6E7E8F48" w14:textId="184EFED7" w:rsidR="00A619EA" w:rsidRDefault="00A619E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A619EA">
        <w:rPr>
          <w:rFonts w:eastAsia="Malgun Gothic"/>
          <w:bCs/>
          <w:lang w:val="fr-FR"/>
        </w:rPr>
        <w:t xml:space="preserve">La délégation de la </w:t>
      </w:r>
      <w:r w:rsidRPr="00702497">
        <w:rPr>
          <w:rFonts w:eastAsia="Malgun Gothic"/>
          <w:b/>
          <w:lang w:val="fr-FR"/>
        </w:rPr>
        <w:t>Zambie</w:t>
      </w:r>
      <w:r w:rsidRPr="00A619EA">
        <w:rPr>
          <w:rFonts w:eastAsia="Malgun Gothic"/>
          <w:bCs/>
          <w:lang w:val="fr-FR"/>
        </w:rPr>
        <w:t xml:space="preserve"> a </w:t>
      </w:r>
      <w:r w:rsidR="002A7DA5">
        <w:rPr>
          <w:rFonts w:eastAsia="Malgun Gothic"/>
          <w:bCs/>
          <w:lang w:val="fr-FR"/>
        </w:rPr>
        <w:t xml:space="preserve">salué </w:t>
      </w:r>
      <w:r w:rsidRPr="00A619EA">
        <w:rPr>
          <w:rFonts w:eastAsia="Malgun Gothic"/>
          <w:bCs/>
          <w:lang w:val="fr-FR"/>
        </w:rPr>
        <w:t xml:space="preserve">le Président pour </w:t>
      </w:r>
      <w:r w:rsidR="002A7DA5">
        <w:rPr>
          <w:rFonts w:eastAsia="Malgun Gothic"/>
          <w:bCs/>
          <w:lang w:val="fr-FR"/>
        </w:rPr>
        <w:t xml:space="preserve">sa conduite des travaux de </w:t>
      </w:r>
      <w:r w:rsidRPr="00A619EA">
        <w:rPr>
          <w:rFonts w:eastAsia="Malgun Gothic"/>
          <w:bCs/>
          <w:lang w:val="fr-FR"/>
        </w:rPr>
        <w:t>cette réunion, le Secrétariat pour son travail et pour avoir permis aux délégations d</w:t>
      </w:r>
      <w:r w:rsidR="00923E72">
        <w:rPr>
          <w:rFonts w:eastAsia="Malgun Gothic"/>
          <w:bCs/>
          <w:lang w:val="fr-FR"/>
        </w:rPr>
        <w:t>’</w:t>
      </w:r>
      <w:r w:rsidRPr="00A619EA">
        <w:rPr>
          <w:rFonts w:eastAsia="Malgun Gothic"/>
          <w:bCs/>
          <w:lang w:val="fr-FR"/>
        </w:rPr>
        <w:t>y participer ainsi que le Maroc pour sa bonne volonté et l</w:t>
      </w:r>
      <w:r w:rsidR="00923E72">
        <w:rPr>
          <w:rFonts w:eastAsia="Malgun Gothic"/>
          <w:bCs/>
          <w:lang w:val="fr-FR"/>
        </w:rPr>
        <w:t>’</w:t>
      </w:r>
      <w:r w:rsidRPr="00A619EA">
        <w:rPr>
          <w:rFonts w:eastAsia="Malgun Gothic"/>
          <w:bCs/>
          <w:lang w:val="fr-FR"/>
        </w:rPr>
        <w:t>accueil réservé aux délégations. L</w:t>
      </w:r>
      <w:r w:rsidR="00923E72">
        <w:rPr>
          <w:rFonts w:eastAsia="Malgun Gothic"/>
          <w:bCs/>
          <w:lang w:val="fr-FR"/>
        </w:rPr>
        <w:t>’</w:t>
      </w:r>
      <w:r w:rsidRPr="00A619EA">
        <w:rPr>
          <w:rFonts w:eastAsia="Malgun Gothic"/>
          <w:bCs/>
          <w:lang w:val="fr-FR"/>
        </w:rPr>
        <w:t>un des principaux projets ayant bénéficié d</w:t>
      </w:r>
      <w:r w:rsidR="00923E72">
        <w:rPr>
          <w:rFonts w:eastAsia="Malgun Gothic"/>
          <w:bCs/>
          <w:lang w:val="fr-FR"/>
        </w:rPr>
        <w:t>’</w:t>
      </w:r>
      <w:r w:rsidRPr="00A619EA">
        <w:rPr>
          <w:rFonts w:eastAsia="Malgun Gothic"/>
          <w:bCs/>
          <w:lang w:val="fr-FR"/>
        </w:rPr>
        <w:t>un financement de l</w:t>
      </w:r>
      <w:r w:rsidR="00923E72">
        <w:rPr>
          <w:rFonts w:eastAsia="Malgun Gothic"/>
          <w:bCs/>
          <w:lang w:val="fr-FR"/>
        </w:rPr>
        <w:t>’</w:t>
      </w:r>
      <w:r w:rsidRPr="00A619EA">
        <w:rPr>
          <w:rFonts w:eastAsia="Malgun Gothic"/>
          <w:bCs/>
          <w:lang w:val="fr-FR"/>
        </w:rPr>
        <w:t>UNESCO</w:t>
      </w:r>
      <w:r w:rsidR="00C53169">
        <w:rPr>
          <w:rFonts w:eastAsia="Malgun Gothic"/>
          <w:bCs/>
          <w:lang w:val="fr-FR"/>
        </w:rPr>
        <w:t xml:space="preserve">, intitulé « Le renforcement des capacités pour la </w:t>
      </w:r>
      <w:r w:rsidR="00C53169" w:rsidRPr="00C53169">
        <w:rPr>
          <w:rFonts w:eastAsia="Malgun Gothic"/>
          <w:bCs/>
          <w:color w:val="000000" w:themeColor="text1"/>
          <w:lang w:val="fr-FR"/>
        </w:rPr>
        <w:t>sauvegarde</w:t>
      </w:r>
      <w:r w:rsidR="00C53169">
        <w:rPr>
          <w:rFonts w:eastAsia="Malgun Gothic"/>
          <w:bCs/>
          <w:color w:val="000000" w:themeColor="text1"/>
          <w:lang w:val="fr-FR"/>
        </w:rPr>
        <w:t xml:space="preserve"> et la gestion du patrimoine culturel immatériel en Zambie », était </w:t>
      </w:r>
      <w:r w:rsidR="00C53169">
        <w:rPr>
          <w:rFonts w:eastAsia="Malgun Gothic"/>
          <w:bCs/>
          <w:lang w:val="fr-FR"/>
        </w:rPr>
        <w:t>un</w:t>
      </w:r>
      <w:r w:rsidRPr="00A619EA">
        <w:rPr>
          <w:rFonts w:eastAsia="Malgun Gothic"/>
          <w:bCs/>
          <w:lang w:val="fr-FR"/>
        </w:rPr>
        <w:t xml:space="preserve"> programme diplômant sur le patrimoine culturel immatériel de l</w:t>
      </w:r>
      <w:r w:rsidR="00923E72">
        <w:rPr>
          <w:rFonts w:eastAsia="Malgun Gothic"/>
          <w:bCs/>
          <w:lang w:val="fr-FR"/>
        </w:rPr>
        <w:t>’</w:t>
      </w:r>
      <w:r w:rsidR="00717573">
        <w:rPr>
          <w:rFonts w:eastAsia="Malgun Gothic"/>
          <w:bCs/>
          <w:lang w:val="fr-FR"/>
        </w:rPr>
        <w:t>u</w:t>
      </w:r>
      <w:r w:rsidRPr="00A619EA">
        <w:rPr>
          <w:rFonts w:eastAsia="Malgun Gothic"/>
          <w:bCs/>
          <w:lang w:val="fr-FR"/>
        </w:rPr>
        <w:t>niversité de Zambie. Le but était de renforcer les capacités de sauvegarde et de gestion du patrimoine culturel immatériel en Zambie. Le projet avait trois objectifs, à savoir</w:t>
      </w:r>
      <w:r w:rsidR="00EA533E">
        <w:rPr>
          <w:rFonts w:eastAsia="Malgun Gothic"/>
          <w:bCs/>
          <w:lang w:val="fr-FR"/>
        </w:rPr>
        <w:t> </w:t>
      </w:r>
      <w:r w:rsidRPr="00A619EA">
        <w:rPr>
          <w:rFonts w:eastAsia="Malgun Gothic"/>
          <w:bCs/>
          <w:lang w:val="fr-FR"/>
        </w:rPr>
        <w:t>: i)</w:t>
      </w:r>
      <w:r w:rsidR="00EA533E">
        <w:rPr>
          <w:rFonts w:eastAsia="Malgun Gothic"/>
          <w:bCs/>
          <w:lang w:val="fr-FR"/>
        </w:rPr>
        <w:t> </w:t>
      </w:r>
      <w:r w:rsidRPr="00A619EA">
        <w:rPr>
          <w:rFonts w:eastAsia="Malgun Gothic"/>
          <w:bCs/>
          <w:lang w:val="fr-FR"/>
        </w:rPr>
        <w:t xml:space="preserve">fournir une masse critique </w:t>
      </w:r>
      <w:r w:rsidRPr="00A619EA">
        <w:rPr>
          <w:rFonts w:eastAsia="Malgun Gothic"/>
          <w:bCs/>
          <w:lang w:val="fr-FR"/>
        </w:rPr>
        <w:lastRenderedPageBreak/>
        <w:t>d</w:t>
      </w:r>
      <w:r w:rsidR="00923E72">
        <w:rPr>
          <w:rFonts w:eastAsia="Malgun Gothic"/>
          <w:bCs/>
          <w:lang w:val="fr-FR"/>
        </w:rPr>
        <w:t>’</w:t>
      </w:r>
      <w:r w:rsidRPr="00A619EA">
        <w:rPr>
          <w:rFonts w:eastAsia="Malgun Gothic"/>
          <w:bCs/>
          <w:lang w:val="fr-FR"/>
        </w:rPr>
        <w:t>experts pour la sauvegarde du patrimoine culturel immatériel en Zambie</w:t>
      </w:r>
      <w:r w:rsidR="00EA533E">
        <w:rPr>
          <w:rFonts w:eastAsia="Malgun Gothic"/>
          <w:bCs/>
          <w:lang w:val="fr-FR"/>
        </w:rPr>
        <w:t> </w:t>
      </w:r>
      <w:r w:rsidRPr="00A619EA">
        <w:rPr>
          <w:rFonts w:eastAsia="Malgun Gothic"/>
          <w:bCs/>
          <w:lang w:val="fr-FR"/>
        </w:rPr>
        <w:t>; ii)</w:t>
      </w:r>
      <w:r w:rsidR="00EA533E">
        <w:rPr>
          <w:rFonts w:eastAsia="Malgun Gothic"/>
          <w:bCs/>
          <w:lang w:val="fr-FR"/>
        </w:rPr>
        <w:t> </w:t>
      </w:r>
      <w:r w:rsidRPr="00A619EA">
        <w:rPr>
          <w:rFonts w:eastAsia="Malgun Gothic"/>
          <w:bCs/>
          <w:lang w:val="fr-FR"/>
        </w:rPr>
        <w:t xml:space="preserve">améliorer le niveau de formation des administrateurs et des experts œuvrant dans le domaine du patrimoine culturel immatériel </w:t>
      </w:r>
      <w:r w:rsidR="00EA533E">
        <w:rPr>
          <w:rFonts w:eastAsia="Malgun Gothic"/>
          <w:bCs/>
          <w:lang w:val="fr-FR"/>
        </w:rPr>
        <w:t>en leur permettant d</w:t>
      </w:r>
      <w:r w:rsidR="00923E72">
        <w:rPr>
          <w:rFonts w:eastAsia="Malgun Gothic"/>
          <w:bCs/>
          <w:lang w:val="fr-FR"/>
        </w:rPr>
        <w:t>’</w:t>
      </w:r>
      <w:r w:rsidR="00EA533E">
        <w:rPr>
          <w:rFonts w:eastAsia="Malgun Gothic"/>
          <w:bCs/>
          <w:lang w:val="fr-FR"/>
        </w:rPr>
        <w:t xml:space="preserve">obtenir </w:t>
      </w:r>
      <w:r w:rsidRPr="00A619EA">
        <w:rPr>
          <w:rFonts w:eastAsia="Malgun Gothic"/>
          <w:bCs/>
          <w:lang w:val="fr-FR"/>
        </w:rPr>
        <w:t>un diplôme</w:t>
      </w:r>
      <w:r w:rsidR="00EA533E">
        <w:rPr>
          <w:rFonts w:eastAsia="Malgun Gothic"/>
          <w:bCs/>
          <w:lang w:val="fr-FR"/>
        </w:rPr>
        <w:t> </w:t>
      </w:r>
      <w:r w:rsidRPr="00A619EA">
        <w:rPr>
          <w:rFonts w:eastAsia="Malgun Gothic"/>
          <w:bCs/>
          <w:lang w:val="fr-FR"/>
        </w:rPr>
        <w:t>; et iii)</w:t>
      </w:r>
      <w:r w:rsidR="00EA533E">
        <w:rPr>
          <w:rFonts w:eastAsia="Malgun Gothic"/>
          <w:bCs/>
          <w:lang w:val="fr-FR"/>
        </w:rPr>
        <w:t> créer une niche</w:t>
      </w:r>
      <w:r w:rsidRPr="00A619EA">
        <w:rPr>
          <w:rFonts w:eastAsia="Malgun Gothic"/>
          <w:bCs/>
          <w:lang w:val="fr-FR"/>
        </w:rPr>
        <w:t xml:space="preserve"> pour la recherche critique et la compréhension </w:t>
      </w:r>
      <w:r w:rsidR="00EA533E">
        <w:rPr>
          <w:rFonts w:eastAsia="Malgun Gothic"/>
          <w:bCs/>
          <w:lang w:val="fr-FR"/>
        </w:rPr>
        <w:t xml:space="preserve">approfondie </w:t>
      </w:r>
      <w:r w:rsidRPr="00A619EA">
        <w:rPr>
          <w:rFonts w:eastAsia="Malgun Gothic"/>
          <w:bCs/>
          <w:lang w:val="fr-FR"/>
        </w:rPr>
        <w:t>d</w:t>
      </w:r>
      <w:r w:rsidR="00EA533E">
        <w:rPr>
          <w:rFonts w:eastAsia="Malgun Gothic"/>
          <w:bCs/>
          <w:lang w:val="fr-FR"/>
        </w:rPr>
        <w:t>ans</w:t>
      </w:r>
      <w:r w:rsidRPr="00A619EA">
        <w:rPr>
          <w:rFonts w:eastAsia="Malgun Gothic"/>
          <w:bCs/>
          <w:lang w:val="fr-FR"/>
        </w:rPr>
        <w:t xml:space="preserve"> ce domaine. Le projet avait été approuvé en</w:t>
      </w:r>
      <w:r w:rsidR="001A7AF7">
        <w:rPr>
          <w:rFonts w:eastAsia="Malgun Gothic"/>
          <w:bCs/>
          <w:lang w:val="fr-FR"/>
        </w:rPr>
        <w:t> </w:t>
      </w:r>
      <w:r w:rsidRPr="00A619EA">
        <w:rPr>
          <w:rFonts w:eastAsia="Malgun Gothic"/>
          <w:bCs/>
          <w:lang w:val="fr-FR"/>
        </w:rPr>
        <w:t>2017 pour un montant de</w:t>
      </w:r>
      <w:r w:rsidR="007F7668">
        <w:rPr>
          <w:rFonts w:eastAsia="Malgun Gothic"/>
          <w:bCs/>
          <w:lang w:val="fr-FR"/>
        </w:rPr>
        <w:t> </w:t>
      </w:r>
      <w:r w:rsidRPr="00A619EA">
        <w:rPr>
          <w:rFonts w:eastAsia="Malgun Gothic"/>
          <w:bCs/>
          <w:lang w:val="fr-FR"/>
        </w:rPr>
        <w:t>334</w:t>
      </w:r>
      <w:r w:rsidR="00EA533E">
        <w:rPr>
          <w:rFonts w:eastAsia="Malgun Gothic"/>
          <w:bCs/>
          <w:lang w:val="fr-FR"/>
        </w:rPr>
        <w:t> </w:t>
      </w:r>
      <w:r w:rsidRPr="00A619EA">
        <w:rPr>
          <w:rFonts w:eastAsia="Malgun Gothic"/>
          <w:bCs/>
          <w:lang w:val="fr-FR"/>
        </w:rPr>
        <w:t>820</w:t>
      </w:r>
      <w:r w:rsidR="00EA533E">
        <w:rPr>
          <w:rFonts w:eastAsia="Malgun Gothic"/>
          <w:bCs/>
          <w:lang w:val="fr-FR"/>
        </w:rPr>
        <w:t> </w:t>
      </w:r>
      <w:r w:rsidRPr="00A619EA">
        <w:rPr>
          <w:rFonts w:eastAsia="Malgun Gothic"/>
          <w:bCs/>
          <w:lang w:val="fr-FR"/>
        </w:rPr>
        <w:t>dollars des États-Unis. La mise en œuvre du projet s</w:t>
      </w:r>
      <w:r w:rsidR="00923E72">
        <w:rPr>
          <w:rFonts w:eastAsia="Malgun Gothic"/>
          <w:bCs/>
          <w:lang w:val="fr-FR"/>
        </w:rPr>
        <w:t>’</w:t>
      </w:r>
      <w:r w:rsidRPr="00A619EA">
        <w:rPr>
          <w:rFonts w:eastAsia="Malgun Gothic"/>
          <w:bCs/>
          <w:lang w:val="fr-FR"/>
        </w:rPr>
        <w:t>était déroulée de</w:t>
      </w:r>
      <w:r w:rsidR="0095130A">
        <w:rPr>
          <w:rFonts w:eastAsia="Malgun Gothic"/>
          <w:bCs/>
          <w:lang w:val="fr-FR"/>
        </w:rPr>
        <w:t> </w:t>
      </w:r>
      <w:r w:rsidRPr="00A619EA">
        <w:rPr>
          <w:rFonts w:eastAsia="Malgun Gothic"/>
          <w:bCs/>
          <w:lang w:val="fr-FR"/>
        </w:rPr>
        <w:t>2018 à</w:t>
      </w:r>
      <w:r w:rsidR="0095130A">
        <w:rPr>
          <w:rFonts w:eastAsia="Malgun Gothic"/>
          <w:bCs/>
          <w:lang w:val="fr-FR"/>
        </w:rPr>
        <w:t> </w:t>
      </w:r>
      <w:r w:rsidRPr="00A619EA">
        <w:rPr>
          <w:rFonts w:eastAsia="Malgun Gothic"/>
          <w:bCs/>
          <w:lang w:val="fr-FR"/>
        </w:rPr>
        <w:t xml:space="preserve">2021. </w:t>
      </w:r>
      <w:r w:rsidR="00EA533E">
        <w:rPr>
          <w:rFonts w:eastAsia="Malgun Gothic"/>
          <w:bCs/>
          <w:lang w:val="fr-FR"/>
        </w:rPr>
        <w:t>P</w:t>
      </w:r>
      <w:r w:rsidRPr="00A619EA">
        <w:rPr>
          <w:rFonts w:eastAsia="Malgun Gothic"/>
          <w:bCs/>
          <w:lang w:val="fr-FR"/>
        </w:rPr>
        <w:t>our leur quatrième année d</w:t>
      </w:r>
      <w:r w:rsidR="00923E72">
        <w:rPr>
          <w:rFonts w:eastAsia="Malgun Gothic"/>
          <w:bCs/>
          <w:lang w:val="fr-FR"/>
        </w:rPr>
        <w:t>’</w:t>
      </w:r>
      <w:r w:rsidRPr="00A619EA">
        <w:rPr>
          <w:rFonts w:eastAsia="Malgun Gothic"/>
          <w:bCs/>
          <w:lang w:val="fr-FR"/>
        </w:rPr>
        <w:t>étude</w:t>
      </w:r>
      <w:r w:rsidR="00EA533E">
        <w:rPr>
          <w:rFonts w:eastAsia="Malgun Gothic"/>
          <w:bCs/>
          <w:lang w:val="fr-FR"/>
        </w:rPr>
        <w:t xml:space="preserve"> </w:t>
      </w:r>
      <w:r w:rsidRPr="00A619EA">
        <w:rPr>
          <w:rFonts w:eastAsia="Malgun Gothic"/>
          <w:bCs/>
          <w:lang w:val="fr-FR"/>
        </w:rPr>
        <w:t>dans le cadre de ce projet</w:t>
      </w:r>
      <w:r w:rsidR="00EA533E">
        <w:rPr>
          <w:rFonts w:eastAsia="Malgun Gothic"/>
          <w:bCs/>
          <w:lang w:val="fr-FR"/>
        </w:rPr>
        <w:t>,</w:t>
      </w:r>
      <w:r w:rsidRPr="00A619EA">
        <w:rPr>
          <w:rFonts w:eastAsia="Malgun Gothic"/>
          <w:bCs/>
          <w:lang w:val="fr-FR"/>
        </w:rPr>
        <w:t xml:space="preserve"> </w:t>
      </w:r>
      <w:r w:rsidR="00EA533E">
        <w:rPr>
          <w:rFonts w:eastAsia="Malgun Gothic"/>
          <w:bCs/>
          <w:lang w:val="fr-FR"/>
        </w:rPr>
        <w:t>l</w:t>
      </w:r>
      <w:r w:rsidR="00EA533E" w:rsidRPr="00A619EA">
        <w:rPr>
          <w:rFonts w:eastAsia="Malgun Gothic"/>
          <w:bCs/>
          <w:lang w:val="fr-FR"/>
        </w:rPr>
        <w:t xml:space="preserve">e parrainage des étudiants </w:t>
      </w:r>
      <w:r w:rsidR="00EA533E">
        <w:rPr>
          <w:rFonts w:eastAsia="Malgun Gothic"/>
          <w:bCs/>
          <w:lang w:val="fr-FR"/>
        </w:rPr>
        <w:t>avait</w:t>
      </w:r>
      <w:r w:rsidRPr="00A619EA">
        <w:rPr>
          <w:rFonts w:eastAsia="Malgun Gothic"/>
          <w:bCs/>
          <w:lang w:val="fr-FR"/>
        </w:rPr>
        <w:t xml:space="preserve"> </w:t>
      </w:r>
      <w:r w:rsidR="00EA533E">
        <w:rPr>
          <w:rFonts w:eastAsia="Malgun Gothic"/>
          <w:bCs/>
          <w:lang w:val="fr-FR"/>
        </w:rPr>
        <w:t>été assuré</w:t>
      </w:r>
      <w:r w:rsidRPr="00A619EA">
        <w:rPr>
          <w:rFonts w:eastAsia="Malgun Gothic"/>
          <w:bCs/>
          <w:lang w:val="fr-FR"/>
        </w:rPr>
        <w:t xml:space="preserve"> par le Gouvernement de la Zambie jusqu</w:t>
      </w:r>
      <w:r w:rsidR="00923E72">
        <w:rPr>
          <w:rFonts w:eastAsia="Malgun Gothic"/>
          <w:bCs/>
          <w:lang w:val="fr-FR"/>
        </w:rPr>
        <w:t>’</w:t>
      </w:r>
      <w:r w:rsidRPr="00A619EA">
        <w:rPr>
          <w:rFonts w:eastAsia="Malgun Gothic"/>
          <w:bCs/>
          <w:lang w:val="fr-FR"/>
        </w:rPr>
        <w:t>à la fin du programme</w:t>
      </w:r>
      <w:r w:rsidR="00F65ADE">
        <w:rPr>
          <w:rFonts w:eastAsia="Malgun Gothic"/>
          <w:bCs/>
          <w:lang w:val="fr-FR"/>
        </w:rPr>
        <w:t>,</w:t>
      </w:r>
      <w:r w:rsidR="00EA533E">
        <w:rPr>
          <w:rFonts w:eastAsia="Malgun Gothic"/>
          <w:bCs/>
          <w:lang w:val="fr-FR"/>
        </w:rPr>
        <w:t xml:space="preserve"> </w:t>
      </w:r>
      <w:r w:rsidRPr="00A619EA">
        <w:rPr>
          <w:rFonts w:eastAsia="Malgun Gothic"/>
          <w:bCs/>
          <w:lang w:val="fr-FR"/>
        </w:rPr>
        <w:t xml:space="preserve">qui </w:t>
      </w:r>
      <w:r w:rsidR="00EA533E">
        <w:rPr>
          <w:rFonts w:eastAsia="Malgun Gothic"/>
          <w:bCs/>
          <w:lang w:val="fr-FR"/>
        </w:rPr>
        <w:t>s</w:t>
      </w:r>
      <w:r w:rsidR="00923E72">
        <w:rPr>
          <w:rFonts w:eastAsia="Malgun Gothic"/>
          <w:bCs/>
          <w:lang w:val="fr-FR"/>
        </w:rPr>
        <w:t>’</w:t>
      </w:r>
      <w:r w:rsidR="00EA533E">
        <w:rPr>
          <w:rFonts w:eastAsia="Malgun Gothic"/>
          <w:bCs/>
          <w:lang w:val="fr-FR"/>
        </w:rPr>
        <w:t>était achevé</w:t>
      </w:r>
      <w:r w:rsidRPr="00A619EA">
        <w:rPr>
          <w:rFonts w:eastAsia="Malgun Gothic"/>
          <w:bCs/>
          <w:lang w:val="fr-FR"/>
        </w:rPr>
        <w:t xml:space="preserve"> en novembre</w:t>
      </w:r>
      <w:r w:rsidR="001A7AF7">
        <w:rPr>
          <w:rFonts w:eastAsia="Malgun Gothic"/>
          <w:bCs/>
          <w:lang w:val="fr-FR"/>
        </w:rPr>
        <w:t> </w:t>
      </w:r>
      <w:r w:rsidRPr="00A619EA">
        <w:rPr>
          <w:rFonts w:eastAsia="Malgun Gothic"/>
          <w:bCs/>
          <w:lang w:val="fr-FR"/>
        </w:rPr>
        <w:t>2022. Le projet était censé inscrire vingt étudiants, mais</w:t>
      </w:r>
      <w:r w:rsidR="00AB3881">
        <w:rPr>
          <w:rFonts w:eastAsia="Malgun Gothic"/>
          <w:bCs/>
          <w:lang w:val="fr-FR"/>
        </w:rPr>
        <w:t xml:space="preserve"> seuls </w:t>
      </w:r>
      <w:r w:rsidRPr="00A619EA">
        <w:rPr>
          <w:rFonts w:eastAsia="Malgun Gothic"/>
          <w:bCs/>
          <w:lang w:val="fr-FR"/>
        </w:rPr>
        <w:t xml:space="preserve">seize étudiants </w:t>
      </w:r>
      <w:r w:rsidR="00EA533E">
        <w:rPr>
          <w:rFonts w:eastAsia="Malgun Gothic"/>
          <w:bCs/>
          <w:lang w:val="fr-FR"/>
        </w:rPr>
        <w:t xml:space="preserve">avaient </w:t>
      </w:r>
      <w:r w:rsidRPr="00A619EA">
        <w:rPr>
          <w:rFonts w:eastAsia="Malgun Gothic"/>
          <w:bCs/>
          <w:lang w:val="fr-FR"/>
        </w:rPr>
        <w:t xml:space="preserve">été </w:t>
      </w:r>
      <w:r w:rsidR="00EA533E">
        <w:rPr>
          <w:rFonts w:eastAsia="Malgun Gothic"/>
          <w:bCs/>
          <w:lang w:val="fr-FR"/>
        </w:rPr>
        <w:t xml:space="preserve">effectivement </w:t>
      </w:r>
      <w:r w:rsidRPr="00A619EA">
        <w:rPr>
          <w:rFonts w:eastAsia="Malgun Gothic"/>
          <w:bCs/>
          <w:lang w:val="fr-FR"/>
        </w:rPr>
        <w:t>inscrits au programme. Quinze étudiants étaient censés obtenir leur diplôme, puisqu</w:t>
      </w:r>
      <w:r w:rsidR="00923E72">
        <w:rPr>
          <w:rFonts w:eastAsia="Malgun Gothic"/>
          <w:bCs/>
          <w:lang w:val="fr-FR"/>
        </w:rPr>
        <w:t>’</w:t>
      </w:r>
      <w:r w:rsidRPr="00A619EA">
        <w:rPr>
          <w:rFonts w:eastAsia="Malgun Gothic"/>
          <w:bCs/>
          <w:lang w:val="fr-FR"/>
        </w:rPr>
        <w:t>ils avaient passé leurs examens finaux, mais l</w:t>
      </w:r>
      <w:r w:rsidR="00923E72">
        <w:rPr>
          <w:rFonts w:eastAsia="Malgun Gothic"/>
          <w:bCs/>
          <w:lang w:val="fr-FR"/>
        </w:rPr>
        <w:t>’</w:t>
      </w:r>
      <w:r w:rsidRPr="00A619EA">
        <w:rPr>
          <w:rFonts w:eastAsia="Malgun Gothic"/>
          <w:bCs/>
          <w:lang w:val="fr-FR"/>
        </w:rPr>
        <w:t>un d</w:t>
      </w:r>
      <w:r w:rsidR="00923E72">
        <w:rPr>
          <w:rFonts w:eastAsia="Malgun Gothic"/>
          <w:bCs/>
          <w:lang w:val="fr-FR"/>
        </w:rPr>
        <w:t>’</w:t>
      </w:r>
      <w:r w:rsidRPr="00A619EA">
        <w:rPr>
          <w:rFonts w:eastAsia="Malgun Gothic"/>
          <w:bCs/>
          <w:lang w:val="fr-FR"/>
        </w:rPr>
        <w:t>entre eux était malheureusement décédé. Les étudiants étaient principalement issus du département de la Culture et des Affaires traditionnelles</w:t>
      </w:r>
      <w:r w:rsidR="00D57203">
        <w:rPr>
          <w:rFonts w:eastAsia="Malgun Gothic"/>
          <w:bCs/>
          <w:lang w:val="fr-FR"/>
        </w:rPr>
        <w:t>,</w:t>
      </w:r>
      <w:r w:rsidRPr="00A619EA">
        <w:rPr>
          <w:rFonts w:eastAsia="Malgun Gothic"/>
          <w:bCs/>
          <w:lang w:val="fr-FR"/>
        </w:rPr>
        <w:t xml:space="preserve"> des musées nationaux et également des communautés.</w:t>
      </w:r>
    </w:p>
    <w:p w14:paraId="74623C30" w14:textId="22270112" w:rsidR="00C347DE" w:rsidRPr="009114D8" w:rsidRDefault="00C347DE"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9114D8">
        <w:rPr>
          <w:rFonts w:eastAsia="Malgun Gothic"/>
          <w:bCs/>
          <w:lang w:val="fr-FR"/>
        </w:rPr>
        <w:t xml:space="preserve">La délégation de la </w:t>
      </w:r>
      <w:r w:rsidRPr="00702497">
        <w:rPr>
          <w:rFonts w:eastAsia="Malgun Gothic"/>
          <w:b/>
          <w:lang w:val="fr-FR"/>
        </w:rPr>
        <w:t>Zambie</w:t>
      </w:r>
      <w:r w:rsidRPr="009114D8">
        <w:rPr>
          <w:rFonts w:eastAsia="Malgun Gothic"/>
          <w:bCs/>
          <w:lang w:val="fr-FR"/>
        </w:rPr>
        <w:t xml:space="preserve"> a indiqué que le projet avait pu soutenir deux doctorants qui travaillaient encore sur leurs recherches. Au début du programme, les universitaires, les conférenciers et les autres parties prenantes avaient reçu une formation sur les dispositions de la Convention de</w:t>
      </w:r>
      <w:r w:rsidR="006773EF">
        <w:rPr>
          <w:rFonts w:eastAsia="Malgun Gothic"/>
          <w:bCs/>
          <w:lang w:val="fr-FR"/>
        </w:rPr>
        <w:t> </w:t>
      </w:r>
      <w:r w:rsidRPr="009114D8">
        <w:rPr>
          <w:rFonts w:eastAsia="Malgun Gothic"/>
          <w:bCs/>
          <w:lang w:val="fr-FR"/>
        </w:rPr>
        <w:t xml:space="preserve">2003. À ce stade, la formation visait à préparer la mise en œuvre et la gestion du programme de diplôme sur le patrimoine culturel immatériel. Deux étudiants avaient mené des projets </w:t>
      </w:r>
      <w:r w:rsidR="007F7668">
        <w:rPr>
          <w:rFonts w:eastAsia="Malgun Gothic"/>
          <w:bCs/>
          <w:lang w:val="fr-FR"/>
        </w:rPr>
        <w:t>au sein d</w:t>
      </w:r>
      <w:r w:rsidRPr="009114D8">
        <w:rPr>
          <w:rFonts w:eastAsia="Malgun Gothic"/>
          <w:bCs/>
          <w:lang w:val="fr-FR"/>
        </w:rPr>
        <w:t>es communautés, ayant ainsi une approche directe de la sauvegarde</w:t>
      </w:r>
      <w:r w:rsidR="007F7668">
        <w:rPr>
          <w:rFonts w:eastAsia="Malgun Gothic"/>
          <w:bCs/>
          <w:lang w:val="fr-FR"/>
        </w:rPr>
        <w:t>,</w:t>
      </w:r>
      <w:r w:rsidRPr="009114D8">
        <w:rPr>
          <w:rFonts w:eastAsia="Malgun Gothic"/>
          <w:bCs/>
          <w:lang w:val="fr-FR"/>
        </w:rPr>
        <w:t xml:space="preserve"> </w:t>
      </w:r>
      <w:r w:rsidR="007F7668">
        <w:rPr>
          <w:rFonts w:eastAsia="Malgun Gothic"/>
          <w:bCs/>
          <w:lang w:val="fr-FR"/>
        </w:rPr>
        <w:t xml:space="preserve">avec des activités telles que </w:t>
      </w:r>
      <w:r w:rsidRPr="009114D8">
        <w:rPr>
          <w:rFonts w:eastAsia="Malgun Gothic"/>
          <w:bCs/>
          <w:lang w:val="fr-FR"/>
        </w:rPr>
        <w:t>la sensibilisation, la documentation et l</w:t>
      </w:r>
      <w:r w:rsidR="00923E72">
        <w:rPr>
          <w:rFonts w:eastAsia="Malgun Gothic"/>
          <w:bCs/>
          <w:lang w:val="fr-FR"/>
        </w:rPr>
        <w:t>’</w:t>
      </w:r>
      <w:r w:rsidRPr="009114D8">
        <w:rPr>
          <w:rFonts w:eastAsia="Malgun Gothic"/>
          <w:bCs/>
          <w:lang w:val="fr-FR"/>
        </w:rPr>
        <w:t>inventaire, entre autres. Certains des projets initiaux des étudiants avaient été adoptés par les communautés pour une mise en œuvre ultérieure. Parallèlement aux programmes de formation généraux, des étudiants de premier cycle de l</w:t>
      </w:r>
      <w:r w:rsidR="00923E72">
        <w:rPr>
          <w:rFonts w:eastAsia="Malgun Gothic"/>
          <w:bCs/>
          <w:lang w:val="fr-FR"/>
        </w:rPr>
        <w:t>’</w:t>
      </w:r>
      <w:r w:rsidR="00717573">
        <w:rPr>
          <w:rFonts w:eastAsia="Malgun Gothic"/>
          <w:bCs/>
          <w:lang w:val="fr-FR"/>
        </w:rPr>
        <w:t>u</w:t>
      </w:r>
      <w:r w:rsidRPr="009114D8">
        <w:rPr>
          <w:rFonts w:eastAsia="Malgun Gothic"/>
          <w:bCs/>
          <w:lang w:val="fr-FR"/>
        </w:rPr>
        <w:t>niversité de Zambie, d</w:t>
      </w:r>
      <w:r w:rsidR="00923E72">
        <w:rPr>
          <w:rFonts w:eastAsia="Malgun Gothic"/>
          <w:bCs/>
          <w:lang w:val="fr-FR"/>
        </w:rPr>
        <w:t>’</w:t>
      </w:r>
      <w:r w:rsidRPr="009114D8">
        <w:rPr>
          <w:rFonts w:eastAsia="Malgun Gothic"/>
          <w:bCs/>
          <w:lang w:val="fr-FR"/>
        </w:rPr>
        <w:t>autres universités et établissements d</w:t>
      </w:r>
      <w:r w:rsidR="00923E72">
        <w:rPr>
          <w:rFonts w:eastAsia="Malgun Gothic"/>
          <w:bCs/>
          <w:lang w:val="fr-FR"/>
        </w:rPr>
        <w:t>’</w:t>
      </w:r>
      <w:r w:rsidRPr="009114D8">
        <w:rPr>
          <w:rFonts w:eastAsia="Malgun Gothic"/>
          <w:bCs/>
          <w:lang w:val="fr-FR"/>
        </w:rPr>
        <w:t xml:space="preserve">enseignement, tels que le </w:t>
      </w:r>
      <w:proofErr w:type="spellStart"/>
      <w:r w:rsidRPr="009114D8">
        <w:rPr>
          <w:rFonts w:eastAsia="Malgun Gothic"/>
          <w:bCs/>
          <w:lang w:val="fr-FR"/>
        </w:rPr>
        <w:t>Zambia</w:t>
      </w:r>
      <w:proofErr w:type="spellEnd"/>
      <w:r w:rsidRPr="009114D8">
        <w:rPr>
          <w:rFonts w:eastAsia="Malgun Gothic"/>
          <w:bCs/>
          <w:lang w:val="fr-FR"/>
        </w:rPr>
        <w:t xml:space="preserve"> News and Information Services (Services zambiens de nouvelles et d</w:t>
      </w:r>
      <w:r w:rsidR="00923E72">
        <w:rPr>
          <w:rFonts w:eastAsia="Malgun Gothic"/>
          <w:bCs/>
          <w:lang w:val="fr-FR"/>
        </w:rPr>
        <w:t>’</w:t>
      </w:r>
      <w:r w:rsidRPr="009114D8">
        <w:rPr>
          <w:rFonts w:eastAsia="Malgun Gothic"/>
          <w:bCs/>
          <w:lang w:val="fr-FR"/>
        </w:rPr>
        <w:t xml:space="preserve">informations), le National </w:t>
      </w:r>
      <w:proofErr w:type="spellStart"/>
      <w:r w:rsidRPr="009114D8">
        <w:rPr>
          <w:rFonts w:eastAsia="Malgun Gothic"/>
          <w:bCs/>
          <w:lang w:val="fr-FR"/>
        </w:rPr>
        <w:t>Museums</w:t>
      </w:r>
      <w:proofErr w:type="spellEnd"/>
      <w:r w:rsidRPr="009114D8">
        <w:rPr>
          <w:rFonts w:eastAsia="Malgun Gothic"/>
          <w:bCs/>
          <w:lang w:val="fr-FR"/>
        </w:rPr>
        <w:t xml:space="preserve"> </w:t>
      </w:r>
      <w:proofErr w:type="spellStart"/>
      <w:r w:rsidRPr="009114D8">
        <w:rPr>
          <w:rFonts w:eastAsia="Malgun Gothic"/>
          <w:bCs/>
          <w:lang w:val="fr-FR"/>
        </w:rPr>
        <w:t>Board</w:t>
      </w:r>
      <w:proofErr w:type="spellEnd"/>
      <w:r w:rsidRPr="009114D8">
        <w:rPr>
          <w:rFonts w:eastAsia="Malgun Gothic"/>
          <w:bCs/>
          <w:lang w:val="fr-FR"/>
        </w:rPr>
        <w:t xml:space="preserve"> (Comité national des musées)</w:t>
      </w:r>
      <w:r w:rsidR="007E03DA">
        <w:rPr>
          <w:rFonts w:eastAsia="Malgun Gothic"/>
          <w:bCs/>
          <w:lang w:val="fr-FR"/>
        </w:rPr>
        <w:t xml:space="preserve"> et</w:t>
      </w:r>
      <w:r w:rsidRPr="009114D8">
        <w:rPr>
          <w:rFonts w:eastAsia="Malgun Gothic"/>
          <w:bCs/>
          <w:lang w:val="fr-FR"/>
        </w:rPr>
        <w:t xml:space="preserve"> le National Heritage (Patrimoine national)</w:t>
      </w:r>
      <w:r w:rsidR="007E03DA">
        <w:rPr>
          <w:rFonts w:eastAsia="Malgun Gothic"/>
          <w:bCs/>
          <w:lang w:val="fr-FR"/>
        </w:rPr>
        <w:t>, ainsi que</w:t>
      </w:r>
      <w:r w:rsidRPr="009114D8">
        <w:rPr>
          <w:rFonts w:eastAsia="Malgun Gothic"/>
          <w:bCs/>
          <w:lang w:val="fr-FR"/>
        </w:rPr>
        <w:t xml:space="preserve"> d</w:t>
      </w:r>
      <w:r w:rsidR="00923E72">
        <w:rPr>
          <w:rFonts w:eastAsia="Malgun Gothic"/>
          <w:bCs/>
          <w:lang w:val="fr-FR"/>
        </w:rPr>
        <w:t>’</w:t>
      </w:r>
      <w:r w:rsidRPr="009114D8">
        <w:rPr>
          <w:rFonts w:eastAsia="Malgun Gothic"/>
          <w:bCs/>
          <w:lang w:val="fr-FR"/>
        </w:rPr>
        <w:t>autres parties prenantes avaient suivi une formation continue de courte durée et réalisé des inventaires au sein des communautés. Le programme</w:t>
      </w:r>
      <w:r w:rsidR="00F65ADE">
        <w:rPr>
          <w:rFonts w:eastAsia="Malgun Gothic"/>
          <w:bCs/>
          <w:lang w:val="fr-FR"/>
        </w:rPr>
        <w:t>,</w:t>
      </w:r>
      <w:r w:rsidRPr="009114D8">
        <w:rPr>
          <w:rFonts w:eastAsia="Malgun Gothic"/>
          <w:bCs/>
          <w:lang w:val="fr-FR"/>
        </w:rPr>
        <w:t xml:space="preserve"> qui avait démarré avec le soutien de l</w:t>
      </w:r>
      <w:r w:rsidR="00923E72">
        <w:rPr>
          <w:rFonts w:eastAsia="Malgun Gothic"/>
          <w:bCs/>
          <w:lang w:val="fr-FR"/>
        </w:rPr>
        <w:t>’</w:t>
      </w:r>
      <w:r w:rsidRPr="009114D8">
        <w:rPr>
          <w:rFonts w:eastAsia="Malgun Gothic"/>
          <w:bCs/>
          <w:lang w:val="fr-FR"/>
        </w:rPr>
        <w:t>UNESCO</w:t>
      </w:r>
      <w:r w:rsidR="00F65ADE">
        <w:rPr>
          <w:rFonts w:eastAsia="Malgun Gothic"/>
          <w:bCs/>
          <w:lang w:val="fr-FR"/>
        </w:rPr>
        <w:t>,</w:t>
      </w:r>
      <w:r w:rsidRPr="009114D8">
        <w:rPr>
          <w:rFonts w:eastAsia="Malgun Gothic"/>
          <w:bCs/>
          <w:lang w:val="fr-FR"/>
        </w:rPr>
        <w:t xml:space="preserve"> continuerait </w:t>
      </w:r>
      <w:r w:rsidR="007E03DA">
        <w:rPr>
          <w:rFonts w:eastAsia="Malgun Gothic"/>
          <w:bCs/>
          <w:lang w:val="fr-FR"/>
        </w:rPr>
        <w:t xml:space="preserve">à </w:t>
      </w:r>
      <w:r w:rsidRPr="009114D8">
        <w:rPr>
          <w:rFonts w:eastAsia="Malgun Gothic"/>
          <w:bCs/>
          <w:lang w:val="fr-FR"/>
        </w:rPr>
        <w:t>être géré par l</w:t>
      </w:r>
      <w:r w:rsidR="00923E72">
        <w:rPr>
          <w:rFonts w:eastAsia="Malgun Gothic"/>
          <w:bCs/>
          <w:lang w:val="fr-FR"/>
        </w:rPr>
        <w:t>’</w:t>
      </w:r>
      <w:r w:rsidR="00717573">
        <w:rPr>
          <w:rFonts w:eastAsia="Malgun Gothic"/>
          <w:bCs/>
          <w:lang w:val="fr-FR"/>
        </w:rPr>
        <w:t>u</w:t>
      </w:r>
      <w:r w:rsidRPr="009114D8">
        <w:rPr>
          <w:rFonts w:eastAsia="Malgun Gothic"/>
          <w:bCs/>
          <w:lang w:val="fr-FR"/>
        </w:rPr>
        <w:t>niversité de Zambie et était devenu un programme permanent.</w:t>
      </w:r>
    </w:p>
    <w:p w14:paraId="38D0C19F" w14:textId="1A6363A2" w:rsidR="00602064" w:rsidRDefault="005E1E68"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5E1E68">
        <w:rPr>
          <w:rFonts w:eastAsia="Malgun Gothic"/>
          <w:bCs/>
          <w:lang w:val="fr-FR"/>
        </w:rPr>
        <w:t xml:space="preserve">La délégation du </w:t>
      </w:r>
      <w:r w:rsidRPr="00702497">
        <w:rPr>
          <w:rFonts w:eastAsia="Malgun Gothic"/>
          <w:b/>
          <w:lang w:val="fr-FR"/>
        </w:rPr>
        <w:t>Zimbabwe</w:t>
      </w:r>
      <w:r w:rsidRPr="005E1E68">
        <w:rPr>
          <w:rFonts w:eastAsia="Malgun Gothic"/>
          <w:bCs/>
          <w:lang w:val="fr-FR"/>
        </w:rPr>
        <w:t xml:space="preserve"> a remercié le Maroc pour son hospitalité et a félicité le Président pour la cérémonie d</w:t>
      </w:r>
      <w:r w:rsidR="00923E72">
        <w:rPr>
          <w:rFonts w:eastAsia="Malgun Gothic"/>
          <w:bCs/>
          <w:lang w:val="fr-FR"/>
        </w:rPr>
        <w:t>’</w:t>
      </w:r>
      <w:r w:rsidRPr="005E1E68">
        <w:rPr>
          <w:rFonts w:eastAsia="Malgun Gothic"/>
          <w:bCs/>
          <w:lang w:val="fr-FR"/>
        </w:rPr>
        <w:t>ouverture officielle haute en couleurs. Elle a également félicité le Président et le Secrétariat pour le bon travail accompli et pour le rapport présenté. En tant que bénéficiaire de l</w:t>
      </w:r>
      <w:r w:rsidR="00923E72">
        <w:rPr>
          <w:rFonts w:eastAsia="Malgun Gothic"/>
          <w:bCs/>
          <w:lang w:val="fr-FR"/>
        </w:rPr>
        <w:t>’</w:t>
      </w:r>
      <w:r w:rsidRPr="005E1E68">
        <w:rPr>
          <w:rFonts w:eastAsia="Malgun Gothic"/>
          <w:bCs/>
          <w:lang w:val="fr-FR"/>
        </w:rPr>
        <w:t>aide internationale, le Zimbabwe était très reconnaissant de ce soutien inestimable. Ses projets les plus récents étaient</w:t>
      </w:r>
      <w:r w:rsidR="00A25245">
        <w:rPr>
          <w:rFonts w:eastAsia="Malgun Gothic"/>
          <w:bCs/>
          <w:lang w:val="fr-FR"/>
        </w:rPr>
        <w:t> </w:t>
      </w:r>
      <w:r w:rsidRPr="005E1E68">
        <w:rPr>
          <w:rFonts w:eastAsia="Malgun Gothic"/>
          <w:bCs/>
          <w:lang w:val="fr-FR"/>
        </w:rPr>
        <w:t>: i)</w:t>
      </w:r>
      <w:r w:rsidR="00A25245">
        <w:rPr>
          <w:rFonts w:eastAsia="Malgun Gothic"/>
          <w:bCs/>
          <w:lang w:val="fr-FR"/>
        </w:rPr>
        <w:t xml:space="preserve"> </w:t>
      </w:r>
      <w:r w:rsidR="0095130A">
        <w:rPr>
          <w:rFonts w:eastAsia="Malgun Gothic"/>
          <w:bCs/>
          <w:lang w:val="fr-FR"/>
        </w:rPr>
        <w:t>« L</w:t>
      </w:r>
      <w:r w:rsidR="00A25245">
        <w:rPr>
          <w:rFonts w:eastAsia="Malgun Gothic"/>
          <w:bCs/>
          <w:lang w:val="fr-FR"/>
        </w:rPr>
        <w:t xml:space="preserve">e renforcement des capacités </w:t>
      </w:r>
      <w:r w:rsidRPr="005E1E68">
        <w:rPr>
          <w:rFonts w:eastAsia="Malgun Gothic"/>
          <w:bCs/>
          <w:lang w:val="fr-FR"/>
        </w:rPr>
        <w:t xml:space="preserve">des communautés </w:t>
      </w:r>
      <w:r w:rsidR="00A25245">
        <w:rPr>
          <w:rFonts w:eastAsia="Malgun Gothic"/>
          <w:bCs/>
          <w:lang w:val="fr-FR"/>
        </w:rPr>
        <w:t xml:space="preserve">en matière de </w:t>
      </w:r>
      <w:r w:rsidRPr="005E1E68">
        <w:rPr>
          <w:rFonts w:eastAsia="Malgun Gothic"/>
          <w:bCs/>
          <w:lang w:val="fr-FR"/>
        </w:rPr>
        <w:t>sauvegarde</w:t>
      </w:r>
      <w:r w:rsidR="00A25245">
        <w:rPr>
          <w:rFonts w:eastAsia="Malgun Gothic"/>
          <w:bCs/>
          <w:lang w:val="fr-FR"/>
        </w:rPr>
        <w:t xml:space="preserve"> d</w:t>
      </w:r>
      <w:r w:rsidRPr="005E1E68">
        <w:rPr>
          <w:rFonts w:eastAsia="Malgun Gothic"/>
          <w:bCs/>
          <w:lang w:val="fr-FR"/>
        </w:rPr>
        <w:t xml:space="preserve">es expressions de danse traditionnelle </w:t>
      </w:r>
      <w:r w:rsidR="0095130A">
        <w:rPr>
          <w:rFonts w:eastAsia="Malgun Gothic"/>
          <w:bCs/>
          <w:lang w:val="fr-FR"/>
        </w:rPr>
        <w:t xml:space="preserve">comme </w:t>
      </w:r>
      <w:r w:rsidRPr="005E1E68">
        <w:rPr>
          <w:rFonts w:eastAsia="Malgun Gothic"/>
          <w:bCs/>
          <w:lang w:val="fr-FR"/>
        </w:rPr>
        <w:t>patrimoine des arts du spectacle dans l</w:t>
      </w:r>
      <w:r w:rsidR="00923E72">
        <w:rPr>
          <w:rFonts w:eastAsia="Malgun Gothic"/>
          <w:bCs/>
          <w:lang w:val="fr-FR"/>
        </w:rPr>
        <w:t>’</w:t>
      </w:r>
      <w:r w:rsidRPr="005E1E68">
        <w:rPr>
          <w:rFonts w:eastAsia="Malgun Gothic"/>
          <w:bCs/>
          <w:lang w:val="fr-FR"/>
        </w:rPr>
        <w:t>ouest du Zimbabwe</w:t>
      </w:r>
      <w:r w:rsidR="0095130A">
        <w:rPr>
          <w:rFonts w:eastAsia="Malgun Gothic"/>
          <w:bCs/>
          <w:lang w:val="fr-FR"/>
        </w:rPr>
        <w:t> »</w:t>
      </w:r>
      <w:r w:rsidRPr="005E1E68">
        <w:rPr>
          <w:rFonts w:eastAsia="Malgun Gothic"/>
          <w:bCs/>
          <w:lang w:val="fr-FR"/>
        </w:rPr>
        <w:t xml:space="preserve">, </w:t>
      </w:r>
      <w:r w:rsidR="00EA2A19">
        <w:rPr>
          <w:rFonts w:eastAsia="Malgun Gothic"/>
          <w:bCs/>
          <w:lang w:val="fr-FR"/>
        </w:rPr>
        <w:t xml:space="preserve">mis en œuvre </w:t>
      </w:r>
      <w:r w:rsidRPr="005E1E68">
        <w:rPr>
          <w:rFonts w:eastAsia="Malgun Gothic"/>
          <w:bCs/>
          <w:lang w:val="fr-FR"/>
        </w:rPr>
        <w:t>par l</w:t>
      </w:r>
      <w:r w:rsidR="00923E72">
        <w:rPr>
          <w:rFonts w:eastAsia="Malgun Gothic"/>
          <w:bCs/>
          <w:lang w:val="fr-FR"/>
        </w:rPr>
        <w:t>’</w:t>
      </w:r>
      <w:r w:rsidRPr="005E1E68">
        <w:rPr>
          <w:rFonts w:eastAsia="Malgun Gothic"/>
          <w:bCs/>
          <w:lang w:val="fr-FR"/>
        </w:rPr>
        <w:t xml:space="preserve">ONG </w:t>
      </w:r>
      <w:proofErr w:type="spellStart"/>
      <w:r w:rsidRPr="005E1E68">
        <w:rPr>
          <w:rFonts w:eastAsia="Malgun Gothic"/>
          <w:bCs/>
          <w:lang w:val="fr-FR"/>
        </w:rPr>
        <w:t>Nhimbe</w:t>
      </w:r>
      <w:proofErr w:type="spellEnd"/>
      <w:r w:rsidRPr="005E1E68">
        <w:rPr>
          <w:rFonts w:eastAsia="Malgun Gothic"/>
          <w:bCs/>
          <w:lang w:val="fr-FR"/>
        </w:rPr>
        <w:t xml:space="preserve"> Trust</w:t>
      </w:r>
      <w:r w:rsidR="00EA2A19">
        <w:rPr>
          <w:rFonts w:eastAsia="Malgun Gothic"/>
          <w:bCs/>
          <w:lang w:val="fr-FR"/>
        </w:rPr>
        <w:t> </w:t>
      </w:r>
      <w:r w:rsidRPr="005E1E68">
        <w:rPr>
          <w:rFonts w:eastAsia="Malgun Gothic"/>
          <w:bCs/>
          <w:lang w:val="fr-FR"/>
        </w:rPr>
        <w:t xml:space="preserve">; et ii) </w:t>
      </w:r>
      <w:r w:rsidR="0095130A">
        <w:rPr>
          <w:rFonts w:eastAsia="Malgun Gothic"/>
          <w:bCs/>
          <w:lang w:val="fr-FR"/>
        </w:rPr>
        <w:t>« L</w:t>
      </w:r>
      <w:r w:rsidR="00923E72">
        <w:rPr>
          <w:rFonts w:eastAsia="Malgun Gothic"/>
          <w:bCs/>
          <w:lang w:val="fr-FR"/>
        </w:rPr>
        <w:t>’</w:t>
      </w:r>
      <w:r w:rsidR="00EA2A19">
        <w:rPr>
          <w:rFonts w:eastAsia="Malgun Gothic"/>
          <w:bCs/>
          <w:lang w:val="fr-FR"/>
        </w:rPr>
        <w:t>inventaire d</w:t>
      </w:r>
      <w:r w:rsidRPr="005E1E68">
        <w:rPr>
          <w:rFonts w:eastAsia="Malgun Gothic"/>
          <w:bCs/>
          <w:lang w:val="fr-FR"/>
        </w:rPr>
        <w:t xml:space="preserve">es traditions orales, </w:t>
      </w:r>
      <w:r w:rsidR="00EA2A19">
        <w:rPr>
          <w:rFonts w:eastAsia="Malgun Gothic"/>
          <w:bCs/>
          <w:lang w:val="fr-FR"/>
        </w:rPr>
        <w:t>d</w:t>
      </w:r>
      <w:r w:rsidRPr="005E1E68">
        <w:rPr>
          <w:rFonts w:eastAsia="Malgun Gothic"/>
          <w:bCs/>
          <w:lang w:val="fr-FR"/>
        </w:rPr>
        <w:t>es expressions</w:t>
      </w:r>
      <w:r w:rsidR="00EA2A19">
        <w:rPr>
          <w:rFonts w:eastAsia="Malgun Gothic"/>
          <w:bCs/>
          <w:lang w:val="fr-FR"/>
        </w:rPr>
        <w:t>, d</w:t>
      </w:r>
      <w:r w:rsidRPr="005E1E68">
        <w:rPr>
          <w:rFonts w:eastAsia="Malgun Gothic"/>
          <w:bCs/>
          <w:lang w:val="fr-FR"/>
        </w:rPr>
        <w:t xml:space="preserve">es connaissances et </w:t>
      </w:r>
      <w:r w:rsidR="00EA2A19">
        <w:rPr>
          <w:rFonts w:eastAsia="Malgun Gothic"/>
          <w:bCs/>
          <w:lang w:val="fr-FR"/>
        </w:rPr>
        <w:t xml:space="preserve">des </w:t>
      </w:r>
      <w:r w:rsidRPr="005E1E68">
        <w:rPr>
          <w:rFonts w:eastAsia="Malgun Gothic"/>
          <w:bCs/>
          <w:lang w:val="fr-FR"/>
        </w:rPr>
        <w:t xml:space="preserve">pratiques locales des </w:t>
      </w:r>
      <w:proofErr w:type="spellStart"/>
      <w:r w:rsidRPr="005E1E68">
        <w:rPr>
          <w:rFonts w:eastAsia="Malgun Gothic"/>
          <w:bCs/>
          <w:lang w:val="fr-FR"/>
        </w:rPr>
        <w:t>Korekore</w:t>
      </w:r>
      <w:proofErr w:type="spellEnd"/>
      <w:r w:rsidRPr="005E1E68">
        <w:rPr>
          <w:rFonts w:eastAsia="Malgun Gothic"/>
          <w:bCs/>
          <w:lang w:val="fr-FR"/>
        </w:rPr>
        <w:t xml:space="preserve"> du district de </w:t>
      </w:r>
      <w:proofErr w:type="spellStart"/>
      <w:r w:rsidRPr="005E1E68">
        <w:rPr>
          <w:rFonts w:eastAsia="Malgun Gothic"/>
          <w:bCs/>
          <w:lang w:val="fr-FR"/>
        </w:rPr>
        <w:t>Hurungwe</w:t>
      </w:r>
      <w:proofErr w:type="spellEnd"/>
      <w:r w:rsidRPr="005E1E68">
        <w:rPr>
          <w:rFonts w:eastAsia="Malgun Gothic"/>
          <w:bCs/>
          <w:lang w:val="fr-FR"/>
        </w:rPr>
        <w:t xml:space="preserve"> au Zimbabwe</w:t>
      </w:r>
      <w:r w:rsidR="0095130A">
        <w:rPr>
          <w:rFonts w:eastAsia="Malgun Gothic"/>
          <w:bCs/>
          <w:lang w:val="fr-FR"/>
        </w:rPr>
        <w:t> »</w:t>
      </w:r>
      <w:r w:rsidRPr="005E1E68">
        <w:rPr>
          <w:rFonts w:eastAsia="Malgun Gothic"/>
          <w:bCs/>
          <w:lang w:val="fr-FR"/>
        </w:rPr>
        <w:t xml:space="preserve">, </w:t>
      </w:r>
      <w:r w:rsidR="00EA2A19">
        <w:rPr>
          <w:rFonts w:eastAsia="Malgun Gothic"/>
          <w:bCs/>
          <w:lang w:val="fr-FR"/>
        </w:rPr>
        <w:t xml:space="preserve">mis en œuvre </w:t>
      </w:r>
      <w:r w:rsidRPr="005E1E68">
        <w:rPr>
          <w:rFonts w:eastAsia="Malgun Gothic"/>
          <w:bCs/>
          <w:lang w:val="fr-FR"/>
        </w:rPr>
        <w:t>par l</w:t>
      </w:r>
      <w:r w:rsidR="00923E72">
        <w:rPr>
          <w:rFonts w:eastAsia="Malgun Gothic"/>
          <w:bCs/>
          <w:lang w:val="fr-FR"/>
        </w:rPr>
        <w:t>’</w:t>
      </w:r>
      <w:r w:rsidR="00717573">
        <w:rPr>
          <w:rFonts w:eastAsia="Malgun Gothic"/>
          <w:bCs/>
          <w:lang w:val="fr-FR"/>
        </w:rPr>
        <w:t>u</w:t>
      </w:r>
      <w:r w:rsidRPr="005E1E68">
        <w:rPr>
          <w:rFonts w:eastAsia="Malgun Gothic"/>
          <w:bCs/>
          <w:lang w:val="fr-FR"/>
        </w:rPr>
        <w:t xml:space="preserve">niversité </w:t>
      </w:r>
      <w:r w:rsidR="00EA2A19">
        <w:rPr>
          <w:rFonts w:eastAsia="Malgun Gothic"/>
          <w:bCs/>
          <w:lang w:val="fr-FR"/>
        </w:rPr>
        <w:t>t</w:t>
      </w:r>
      <w:r w:rsidRPr="005E1E68">
        <w:rPr>
          <w:rFonts w:eastAsia="Malgun Gothic"/>
          <w:bCs/>
          <w:lang w:val="fr-FR"/>
        </w:rPr>
        <w:t>echnologi</w:t>
      </w:r>
      <w:r w:rsidR="00EA2A19">
        <w:rPr>
          <w:rFonts w:eastAsia="Malgun Gothic"/>
          <w:bCs/>
          <w:lang w:val="fr-FR"/>
        </w:rPr>
        <w:t>que</w:t>
      </w:r>
      <w:r w:rsidRPr="005E1E68">
        <w:rPr>
          <w:rFonts w:eastAsia="Malgun Gothic"/>
          <w:bCs/>
          <w:lang w:val="fr-FR"/>
        </w:rPr>
        <w:t xml:space="preserve"> de Chinhoyi. Le financement de ces projets avait permis de sensibiliser les membres des communautés et l</w:t>
      </w:r>
      <w:r w:rsidR="00923E72">
        <w:rPr>
          <w:rFonts w:eastAsia="Malgun Gothic"/>
          <w:bCs/>
          <w:lang w:val="fr-FR"/>
        </w:rPr>
        <w:t>’</w:t>
      </w:r>
      <w:r w:rsidRPr="005E1E68">
        <w:rPr>
          <w:rFonts w:eastAsia="Malgun Gothic"/>
          <w:bCs/>
          <w:lang w:val="fr-FR"/>
        </w:rPr>
        <w:t>ensemble du Zimbabwe à la Convention de</w:t>
      </w:r>
      <w:r w:rsidR="006773EF">
        <w:rPr>
          <w:rFonts w:eastAsia="Malgun Gothic"/>
          <w:bCs/>
          <w:lang w:val="fr-FR"/>
        </w:rPr>
        <w:t> </w:t>
      </w:r>
      <w:r w:rsidRPr="005E1E68">
        <w:rPr>
          <w:rFonts w:eastAsia="Malgun Gothic"/>
          <w:bCs/>
          <w:lang w:val="fr-FR"/>
        </w:rPr>
        <w:t xml:space="preserve">2003, ce qui avait eu un impact considérable, notamment en renforçant la capacité des communautés locales à valoriser leur patrimoine culturel immatériel dans un monde de plus en plus </w:t>
      </w:r>
      <w:proofErr w:type="spellStart"/>
      <w:r w:rsidRPr="005E1E68">
        <w:rPr>
          <w:rFonts w:eastAsia="Malgun Gothic"/>
          <w:bCs/>
          <w:lang w:val="fr-FR"/>
        </w:rPr>
        <w:t>monoculturel</w:t>
      </w:r>
      <w:proofErr w:type="spellEnd"/>
      <w:r w:rsidRPr="005E1E68">
        <w:rPr>
          <w:rFonts w:eastAsia="Malgun Gothic"/>
          <w:bCs/>
          <w:lang w:val="fr-FR"/>
        </w:rPr>
        <w:t>. L</w:t>
      </w:r>
      <w:r w:rsidR="00923E72">
        <w:rPr>
          <w:rFonts w:eastAsia="Malgun Gothic"/>
          <w:bCs/>
          <w:lang w:val="fr-FR"/>
        </w:rPr>
        <w:t>’</w:t>
      </w:r>
      <w:r w:rsidRPr="005E1E68">
        <w:rPr>
          <w:rFonts w:eastAsia="Malgun Gothic"/>
          <w:bCs/>
          <w:lang w:val="fr-FR"/>
        </w:rPr>
        <w:t>inclusion d</w:t>
      </w:r>
      <w:r w:rsidR="00923E72">
        <w:rPr>
          <w:rFonts w:eastAsia="Malgun Gothic"/>
          <w:bCs/>
          <w:lang w:val="fr-FR"/>
        </w:rPr>
        <w:t>’</w:t>
      </w:r>
      <w:r w:rsidRPr="005E1E68">
        <w:rPr>
          <w:rFonts w:eastAsia="Malgun Gothic"/>
          <w:bCs/>
          <w:lang w:val="fr-FR"/>
        </w:rPr>
        <w:t>éléments inventoriés provenant des différentes communautés du Zimbabwe dans la liste de l</w:t>
      </w:r>
      <w:r w:rsidR="00923E72">
        <w:rPr>
          <w:rFonts w:eastAsia="Malgun Gothic"/>
          <w:bCs/>
          <w:lang w:val="fr-FR"/>
        </w:rPr>
        <w:t>’</w:t>
      </w:r>
      <w:r w:rsidRPr="005E1E68">
        <w:rPr>
          <w:rFonts w:eastAsia="Malgun Gothic"/>
          <w:bCs/>
          <w:lang w:val="fr-FR"/>
        </w:rPr>
        <w:t>inventaire national permettrait d</w:t>
      </w:r>
      <w:r w:rsidR="00923E72">
        <w:rPr>
          <w:rFonts w:eastAsia="Malgun Gothic"/>
          <w:bCs/>
          <w:lang w:val="fr-FR"/>
        </w:rPr>
        <w:t>’</w:t>
      </w:r>
      <w:r w:rsidRPr="005E1E68">
        <w:rPr>
          <w:rFonts w:eastAsia="Malgun Gothic"/>
          <w:bCs/>
          <w:lang w:val="fr-FR"/>
        </w:rPr>
        <w:t>attirer des candidatures à l</w:t>
      </w:r>
      <w:r w:rsidR="00923E72">
        <w:rPr>
          <w:rFonts w:eastAsia="Malgun Gothic"/>
          <w:bCs/>
          <w:lang w:val="fr-FR"/>
        </w:rPr>
        <w:t>’</w:t>
      </w:r>
      <w:r w:rsidRPr="005E1E68">
        <w:rPr>
          <w:rFonts w:eastAsia="Malgun Gothic"/>
          <w:bCs/>
          <w:lang w:val="fr-FR"/>
        </w:rPr>
        <w:t>inscription sur les listes de l</w:t>
      </w:r>
      <w:r w:rsidR="00923E72">
        <w:rPr>
          <w:rFonts w:eastAsia="Malgun Gothic"/>
          <w:bCs/>
          <w:lang w:val="fr-FR"/>
        </w:rPr>
        <w:t>’</w:t>
      </w:r>
      <w:r w:rsidRPr="005E1E68">
        <w:rPr>
          <w:rFonts w:eastAsia="Malgun Gothic"/>
          <w:bCs/>
          <w:lang w:val="fr-FR"/>
        </w:rPr>
        <w:t>UNESCO, et avait renforcé les capacités et l</w:t>
      </w:r>
      <w:r w:rsidR="00923E72">
        <w:rPr>
          <w:rFonts w:eastAsia="Malgun Gothic"/>
          <w:bCs/>
          <w:lang w:val="fr-FR"/>
        </w:rPr>
        <w:t>’</w:t>
      </w:r>
      <w:r w:rsidRPr="005E1E68">
        <w:rPr>
          <w:rFonts w:eastAsia="Malgun Gothic"/>
          <w:bCs/>
          <w:lang w:val="fr-FR"/>
        </w:rPr>
        <w:t>autonomie des communautés locales grâce à la formation de formateurs, de femmes, de jeunes, de chefs traditionnels et de représentants du gouvernement à l</w:t>
      </w:r>
      <w:r w:rsidR="00923E72">
        <w:rPr>
          <w:rFonts w:eastAsia="Malgun Gothic"/>
          <w:bCs/>
          <w:lang w:val="fr-FR"/>
        </w:rPr>
        <w:t>’</w:t>
      </w:r>
      <w:r w:rsidRPr="005E1E68">
        <w:rPr>
          <w:rFonts w:eastAsia="Malgun Gothic"/>
          <w:bCs/>
          <w:lang w:val="fr-FR"/>
        </w:rPr>
        <w:t xml:space="preserve">inventaire </w:t>
      </w:r>
      <w:r w:rsidR="00EA2A19">
        <w:rPr>
          <w:rFonts w:eastAsia="Malgun Gothic"/>
          <w:bCs/>
          <w:lang w:val="fr-FR"/>
        </w:rPr>
        <w:t xml:space="preserve">à participation </w:t>
      </w:r>
      <w:r w:rsidRPr="005E1E68">
        <w:rPr>
          <w:rFonts w:eastAsia="Malgun Gothic"/>
          <w:bCs/>
          <w:lang w:val="fr-FR"/>
        </w:rPr>
        <w:t>communautaire, qui se répercutait désormais sur un plus grand nombre de membres de la communauté. La documentation des éléments et la transmission du patrimoine culturel immatériel par des moyens numériques étaient acceptées, dans l</w:t>
      </w:r>
      <w:r w:rsidR="00923E72">
        <w:rPr>
          <w:rFonts w:eastAsia="Malgun Gothic"/>
          <w:bCs/>
          <w:lang w:val="fr-FR"/>
        </w:rPr>
        <w:t>’</w:t>
      </w:r>
      <w:r w:rsidRPr="005E1E68">
        <w:rPr>
          <w:rFonts w:eastAsia="Malgun Gothic"/>
          <w:bCs/>
          <w:lang w:val="fr-FR"/>
        </w:rPr>
        <w:t>intérêt des communautés et pour la postérité. Le Zimbabwe avait également réussi à créer un sentiment de dialogue et de coexistence pacifique entre les communautés qui apprécient leur patrimoine culturel immatériel et le transmettent et le sauvegardent de manière durable. Des forums de discussion et d</w:t>
      </w:r>
      <w:r w:rsidR="00923E72">
        <w:rPr>
          <w:rFonts w:eastAsia="Malgun Gothic"/>
          <w:bCs/>
          <w:lang w:val="fr-FR"/>
        </w:rPr>
        <w:t>’</w:t>
      </w:r>
      <w:r w:rsidRPr="005E1E68">
        <w:rPr>
          <w:rFonts w:eastAsia="Malgun Gothic"/>
          <w:bCs/>
          <w:lang w:val="fr-FR"/>
        </w:rPr>
        <w:t>échange d</w:t>
      </w:r>
      <w:r w:rsidR="00923E72">
        <w:rPr>
          <w:rFonts w:eastAsia="Malgun Gothic"/>
          <w:bCs/>
          <w:lang w:val="fr-FR"/>
        </w:rPr>
        <w:t>’</w:t>
      </w:r>
      <w:r w:rsidRPr="005E1E68">
        <w:rPr>
          <w:rFonts w:eastAsia="Malgun Gothic"/>
          <w:bCs/>
          <w:lang w:val="fr-FR"/>
        </w:rPr>
        <w:t>informations sur les processus d</w:t>
      </w:r>
      <w:r w:rsidR="00923E72">
        <w:rPr>
          <w:rFonts w:eastAsia="Malgun Gothic"/>
          <w:bCs/>
          <w:lang w:val="fr-FR"/>
        </w:rPr>
        <w:t>’</w:t>
      </w:r>
      <w:r w:rsidRPr="005E1E68">
        <w:rPr>
          <w:rFonts w:eastAsia="Malgun Gothic"/>
          <w:bCs/>
          <w:lang w:val="fr-FR"/>
        </w:rPr>
        <w:t xml:space="preserve">inventaire du </w:t>
      </w:r>
      <w:r w:rsidRPr="005E1E68">
        <w:rPr>
          <w:rFonts w:eastAsia="Malgun Gothic"/>
          <w:bCs/>
          <w:lang w:val="fr-FR"/>
        </w:rPr>
        <w:lastRenderedPageBreak/>
        <w:t>patrimoine culturel immatériel à participation communautaire et les meilleures pratiques avaient été relancés. Le Zimbabwe avait également donné aux communautés les moyens de demander une assistance internationale pour leurs activités d</w:t>
      </w:r>
      <w:r w:rsidR="00923E72">
        <w:rPr>
          <w:rFonts w:eastAsia="Malgun Gothic"/>
          <w:bCs/>
          <w:lang w:val="fr-FR"/>
        </w:rPr>
        <w:t>’</w:t>
      </w:r>
      <w:r w:rsidRPr="005E1E68">
        <w:rPr>
          <w:rFonts w:eastAsia="Malgun Gothic"/>
          <w:bCs/>
          <w:lang w:val="fr-FR"/>
        </w:rPr>
        <w:t>inventaire à participation communautaire dans leurs districts et avait poursuivi l</w:t>
      </w:r>
      <w:r w:rsidR="00EA2A19">
        <w:rPr>
          <w:rFonts w:eastAsia="Malgun Gothic"/>
          <w:bCs/>
          <w:lang w:val="fr-FR"/>
        </w:rPr>
        <w:t>a</w:t>
      </w:r>
      <w:r w:rsidRPr="005E1E68">
        <w:rPr>
          <w:rFonts w:eastAsia="Malgun Gothic"/>
          <w:bCs/>
          <w:lang w:val="fr-FR"/>
        </w:rPr>
        <w:t xml:space="preserve"> sensibilisation des communautés du Zimbabwe au patrimoine culturel immatériel, ce qui avait abouti à une politique nationale de célébration du patrimoine culturel vivant du pays</w:t>
      </w:r>
      <w:r w:rsidR="007E03DA">
        <w:rPr>
          <w:rFonts w:eastAsia="Malgun Gothic"/>
          <w:bCs/>
          <w:lang w:val="fr-FR"/>
        </w:rPr>
        <w:t>,</w:t>
      </w:r>
      <w:r w:rsidRPr="005E1E68">
        <w:rPr>
          <w:rFonts w:eastAsia="Malgun Gothic"/>
          <w:bCs/>
          <w:lang w:val="fr-FR"/>
        </w:rPr>
        <w:t xml:space="preserve"> tout </w:t>
      </w:r>
      <w:r w:rsidR="00EA2A19">
        <w:rPr>
          <w:rFonts w:eastAsia="Malgun Gothic"/>
          <w:bCs/>
          <w:lang w:val="fr-FR"/>
        </w:rPr>
        <w:t>au long du</w:t>
      </w:r>
      <w:r w:rsidRPr="005E1E68">
        <w:rPr>
          <w:rFonts w:eastAsia="Malgun Gothic"/>
          <w:bCs/>
          <w:lang w:val="fr-FR"/>
        </w:rPr>
        <w:t xml:space="preserve"> mois de mai,</w:t>
      </w:r>
      <w:r w:rsidR="00EA2A19">
        <w:rPr>
          <w:rFonts w:eastAsia="Malgun Gothic"/>
          <w:bCs/>
          <w:lang w:val="fr-FR"/>
        </w:rPr>
        <w:t xml:space="preserve"> </w:t>
      </w:r>
      <w:r w:rsidRPr="005E1E68">
        <w:rPr>
          <w:rFonts w:eastAsia="Malgun Gothic"/>
          <w:bCs/>
          <w:lang w:val="fr-FR"/>
        </w:rPr>
        <w:t>inaugurée par le Gouvernement en</w:t>
      </w:r>
      <w:r w:rsidR="00246428">
        <w:rPr>
          <w:rFonts w:eastAsia="Malgun Gothic"/>
          <w:bCs/>
          <w:lang w:val="fr-FR"/>
        </w:rPr>
        <w:t> </w:t>
      </w:r>
      <w:r w:rsidRPr="005E1E68">
        <w:rPr>
          <w:rFonts w:eastAsia="Malgun Gothic"/>
          <w:bCs/>
          <w:lang w:val="fr-FR"/>
        </w:rPr>
        <w:t>2022. Le Zimbabwe a remercié l</w:t>
      </w:r>
      <w:r w:rsidR="00923E72">
        <w:rPr>
          <w:rFonts w:eastAsia="Malgun Gothic"/>
          <w:bCs/>
          <w:lang w:val="fr-FR"/>
        </w:rPr>
        <w:t>’</w:t>
      </w:r>
      <w:r w:rsidRPr="005E1E68">
        <w:rPr>
          <w:rFonts w:eastAsia="Malgun Gothic"/>
          <w:bCs/>
          <w:lang w:val="fr-FR"/>
        </w:rPr>
        <w:t xml:space="preserve">UNESCO pour le financement du patrimoine culturel immatériel. </w:t>
      </w:r>
    </w:p>
    <w:p w14:paraId="5422A4D8" w14:textId="6AA14B3A" w:rsidR="00C347DE" w:rsidRPr="00702497" w:rsidRDefault="005E1E68" w:rsidP="006E3034">
      <w:pPr>
        <w:pStyle w:val="Orateurengris"/>
        <w:tabs>
          <w:tab w:val="clear" w:pos="709"/>
          <w:tab w:val="clear" w:pos="1418"/>
          <w:tab w:val="clear" w:pos="2126"/>
          <w:tab w:val="clear" w:pos="2835"/>
        </w:tabs>
        <w:spacing w:before="120" w:after="0"/>
        <w:ind w:left="709"/>
        <w:jc w:val="center"/>
        <w:rPr>
          <w:rFonts w:eastAsia="Malgun Gothic"/>
          <w:bCs/>
          <w:lang w:val="fr-FR"/>
        </w:rPr>
      </w:pPr>
      <w:r w:rsidRPr="00702497">
        <w:rPr>
          <w:rFonts w:eastAsia="Malgun Gothic"/>
          <w:bCs/>
          <w:i/>
          <w:iCs/>
          <w:lang w:val="fr-FR"/>
        </w:rPr>
        <w:t>[Projection d</w:t>
      </w:r>
      <w:r w:rsidR="00923E72">
        <w:rPr>
          <w:rFonts w:eastAsia="Malgun Gothic"/>
          <w:bCs/>
          <w:i/>
          <w:iCs/>
          <w:lang w:val="fr-FR"/>
        </w:rPr>
        <w:t>’</w:t>
      </w:r>
      <w:r w:rsidRPr="00702497">
        <w:rPr>
          <w:rFonts w:eastAsia="Malgun Gothic"/>
          <w:bCs/>
          <w:i/>
          <w:iCs/>
          <w:lang w:val="fr-FR"/>
        </w:rPr>
        <w:t>une vidéo sur l</w:t>
      </w:r>
      <w:r w:rsidR="00923E72">
        <w:rPr>
          <w:rFonts w:eastAsia="Malgun Gothic"/>
          <w:bCs/>
          <w:i/>
          <w:iCs/>
          <w:lang w:val="fr-FR"/>
        </w:rPr>
        <w:t>’</w:t>
      </w:r>
      <w:r w:rsidRPr="00702497">
        <w:rPr>
          <w:rFonts w:eastAsia="Malgun Gothic"/>
          <w:bCs/>
          <w:i/>
          <w:iCs/>
          <w:lang w:val="fr-FR"/>
        </w:rPr>
        <w:t>élément]</w:t>
      </w:r>
    </w:p>
    <w:p w14:paraId="1C142F19" w14:textId="48CFE57C" w:rsidR="00EA2A19" w:rsidRPr="00EA2A19" w:rsidRDefault="00EA2A1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les États parties d</w:t>
      </w:r>
      <w:r w:rsidR="00923E72">
        <w:rPr>
          <w:rFonts w:eastAsia="Malgun Gothic"/>
          <w:bCs/>
          <w:lang w:val="fr-FR"/>
        </w:rPr>
        <w:t>’</w:t>
      </w:r>
      <w:r>
        <w:rPr>
          <w:rFonts w:eastAsia="Malgun Gothic"/>
          <w:bCs/>
          <w:lang w:val="fr-FR"/>
        </w:rPr>
        <w:t>avoir fait part de leurs expériences.</w:t>
      </w:r>
    </w:p>
    <w:p w14:paraId="37B6240A" w14:textId="6AA391B9" w:rsidR="00EA2A19" w:rsidRPr="00702497" w:rsidRDefault="00442A29" w:rsidP="00702497">
      <w:pPr>
        <w:pStyle w:val="Marge"/>
        <w:keepNext/>
        <w:tabs>
          <w:tab w:val="clear" w:pos="567"/>
          <w:tab w:val="left" w:pos="709"/>
          <w:tab w:val="left" w:pos="1418"/>
          <w:tab w:val="left" w:pos="2126"/>
          <w:tab w:val="left" w:pos="2835"/>
        </w:tabs>
        <w:spacing w:before="360" w:after="60"/>
        <w:jc w:val="left"/>
        <w:outlineLvl w:val="0"/>
        <w:rPr>
          <w:rFonts w:eastAsiaTheme="minorHAnsi" w:cs="Arial"/>
          <w:b/>
          <w:color w:val="000000" w:themeColor="text1"/>
          <w:szCs w:val="22"/>
        </w:rPr>
      </w:pPr>
      <w:r>
        <w:rPr>
          <w:rFonts w:eastAsiaTheme="minorHAnsi" w:cs="Arial"/>
          <w:b/>
          <w:color w:val="000000" w:themeColor="text1"/>
          <w:szCs w:val="22"/>
          <w:u w:val="single"/>
        </w:rPr>
        <w:t>POINT</w:t>
      </w:r>
      <w:r w:rsidR="002B668C">
        <w:rPr>
          <w:rFonts w:eastAsiaTheme="minorHAnsi" w:cs="Arial"/>
          <w:b/>
          <w:color w:val="000000" w:themeColor="text1"/>
          <w:szCs w:val="22"/>
          <w:u w:val="single"/>
        </w:rPr>
        <w:t> </w:t>
      </w:r>
      <w:r>
        <w:rPr>
          <w:rFonts w:eastAsiaTheme="minorHAnsi" w:cs="Arial"/>
          <w:b/>
          <w:color w:val="000000" w:themeColor="text1"/>
          <w:szCs w:val="22"/>
          <w:u w:val="single"/>
        </w:rPr>
        <w:t>7 DE L</w:t>
      </w:r>
      <w:r w:rsidR="00923E72">
        <w:rPr>
          <w:rFonts w:eastAsiaTheme="minorHAnsi" w:cs="Arial"/>
          <w:b/>
          <w:color w:val="000000" w:themeColor="text1"/>
          <w:szCs w:val="22"/>
          <w:u w:val="single"/>
        </w:rPr>
        <w:t>’</w:t>
      </w:r>
      <w:r w:rsidRPr="00442A29">
        <w:rPr>
          <w:rFonts w:eastAsiaTheme="minorHAnsi" w:cs="Arial"/>
          <w:b/>
          <w:color w:val="000000" w:themeColor="text1"/>
          <w:szCs w:val="22"/>
          <w:u w:val="single"/>
        </w:rPr>
        <w:t>ORDRE DU JOUR</w:t>
      </w:r>
      <w:r>
        <w:rPr>
          <w:rFonts w:eastAsiaTheme="minorHAnsi" w:cs="Arial"/>
          <w:b/>
          <w:color w:val="000000" w:themeColor="text1"/>
          <w:szCs w:val="22"/>
          <w:u w:val="single"/>
        </w:rPr>
        <w:t> </w:t>
      </w:r>
      <w:r>
        <w:rPr>
          <w:rFonts w:eastAsiaTheme="minorHAnsi" w:cs="Arial"/>
          <w:b/>
          <w:color w:val="000000" w:themeColor="text1"/>
          <w:szCs w:val="22"/>
        </w:rPr>
        <w:t>:</w:t>
      </w:r>
    </w:p>
    <w:p w14:paraId="002E0386" w14:textId="2CB87FC5" w:rsidR="00442A29" w:rsidRPr="006A336F" w:rsidRDefault="00442A29"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6A336F">
        <w:rPr>
          <w:rFonts w:eastAsiaTheme="minorHAnsi"/>
          <w:b/>
          <w:color w:val="000000" w:themeColor="text1"/>
        </w:rPr>
        <w:t>R</w:t>
      </w:r>
      <w:r>
        <w:rPr>
          <w:rFonts w:eastAsiaTheme="minorHAnsi"/>
          <w:b/>
          <w:color w:val="000000" w:themeColor="text1"/>
        </w:rPr>
        <w:t>APPORT DE L</w:t>
      </w:r>
      <w:r w:rsidR="00923E72">
        <w:rPr>
          <w:rFonts w:eastAsiaTheme="minorHAnsi"/>
          <w:b/>
          <w:color w:val="000000" w:themeColor="text1"/>
        </w:rPr>
        <w:t>’</w:t>
      </w:r>
      <w:r>
        <w:rPr>
          <w:rFonts w:eastAsiaTheme="minorHAnsi"/>
          <w:b/>
          <w:color w:val="000000" w:themeColor="text1"/>
        </w:rPr>
        <w:t>ORGANE D</w:t>
      </w:r>
      <w:r w:rsidR="00923E72">
        <w:rPr>
          <w:rFonts w:eastAsiaTheme="minorHAnsi"/>
          <w:b/>
          <w:color w:val="000000" w:themeColor="text1"/>
        </w:rPr>
        <w:t>’</w:t>
      </w:r>
      <w:r>
        <w:rPr>
          <w:rFonts w:eastAsiaTheme="minorHAnsi"/>
          <w:b/>
          <w:color w:val="000000" w:themeColor="text1"/>
        </w:rPr>
        <w:t>ÉVALUATION SUR SES TRAVAUX EN 2022</w:t>
      </w:r>
    </w:p>
    <w:p w14:paraId="20F3E5B8" w14:textId="2A24C310" w:rsidR="00EA2A19" w:rsidRPr="00702497" w:rsidRDefault="00EA2A19" w:rsidP="00702497">
      <w:pPr>
        <w:pStyle w:val="Orateurengris"/>
        <w:tabs>
          <w:tab w:val="clear" w:pos="709"/>
          <w:tab w:val="clear" w:pos="1418"/>
          <w:tab w:val="clear" w:pos="2126"/>
          <w:tab w:val="clear" w:pos="2835"/>
        </w:tabs>
        <w:spacing w:after="0"/>
        <w:ind w:left="709"/>
        <w:rPr>
          <w:i/>
          <w:lang w:val="fr-FR"/>
        </w:rPr>
      </w:pPr>
      <w:r w:rsidRPr="00702497">
        <w:rPr>
          <w:b/>
          <w:color w:val="000000" w:themeColor="text1"/>
          <w:lang w:val="fr-FR"/>
        </w:rPr>
        <w:t>Documents :</w:t>
      </w:r>
      <w:r w:rsidRPr="00702497">
        <w:rPr>
          <w:b/>
          <w:iCs/>
          <w:color w:val="000000" w:themeColor="text1"/>
          <w:lang w:val="fr-FR"/>
        </w:rPr>
        <w:tab/>
      </w:r>
      <w:r w:rsidR="00751FB1">
        <w:fldChar w:fldCharType="begin"/>
      </w:r>
      <w:r w:rsidR="00751FB1" w:rsidRPr="00751FB1">
        <w:rPr>
          <w:lang w:val="fr-FR"/>
        </w:rPr>
        <w:instrText>HYPERLINK "https://ich.unesco.org/doc/src/LHE-22-17.COM-7-FR.docx"</w:instrText>
      </w:r>
      <w:r w:rsidR="00751FB1">
        <w:fldChar w:fldCharType="separate"/>
      </w:r>
      <w:r w:rsidRPr="00702497">
        <w:rPr>
          <w:rStyle w:val="Hyperlink"/>
          <w:i/>
          <w:lang w:val="fr-FR"/>
        </w:rPr>
        <w:t>LHE/22/17.COM/7</w:t>
      </w:r>
      <w:r w:rsidR="00751FB1">
        <w:rPr>
          <w:rStyle w:val="Hyperlink"/>
          <w:i/>
          <w:lang w:val="fr-FR"/>
        </w:rPr>
        <w:fldChar w:fldCharType="end"/>
      </w:r>
    </w:p>
    <w:p w14:paraId="47C09717" w14:textId="1ADC6AAD" w:rsidR="00EA2A19" w:rsidRPr="00702497" w:rsidRDefault="00EA2A19" w:rsidP="00702497">
      <w:pPr>
        <w:pStyle w:val="Orateurengris"/>
        <w:tabs>
          <w:tab w:val="clear" w:pos="709"/>
          <w:tab w:val="clear" w:pos="1418"/>
          <w:tab w:val="clear" w:pos="2126"/>
          <w:tab w:val="clear" w:pos="2835"/>
        </w:tabs>
        <w:spacing w:after="0"/>
        <w:ind w:left="567"/>
        <w:rPr>
          <w:i/>
          <w:lang w:val="fr-FR"/>
        </w:rPr>
      </w:pPr>
      <w:r w:rsidRPr="00702497">
        <w:rPr>
          <w:b/>
          <w:color w:val="000000" w:themeColor="text1"/>
          <w:lang w:val="fr-FR"/>
        </w:rPr>
        <w:tab/>
      </w:r>
      <w:r w:rsidRPr="00702497">
        <w:rPr>
          <w:b/>
          <w:color w:val="000000" w:themeColor="text1"/>
          <w:lang w:val="fr-FR"/>
        </w:rPr>
        <w:tab/>
      </w:r>
      <w:r w:rsidRPr="00702497">
        <w:rPr>
          <w:b/>
          <w:color w:val="000000" w:themeColor="text1"/>
          <w:lang w:val="fr-FR"/>
        </w:rPr>
        <w:tab/>
      </w:r>
      <w:r w:rsidR="00751FB1">
        <w:fldChar w:fldCharType="begin"/>
      </w:r>
      <w:r w:rsidR="00751FB1" w:rsidRPr="00751FB1">
        <w:rPr>
          <w:lang w:val="fr-FR"/>
        </w:rPr>
        <w:instrText>HYPERLINK "https://ich.unesco.org/doc/src/17COM_Order_of_files_Rev.3_FR.docx"</w:instrText>
      </w:r>
      <w:r w:rsidR="00751FB1">
        <w:fldChar w:fldCharType="separate"/>
      </w:r>
      <w:r w:rsidR="00442A29" w:rsidRPr="00702497">
        <w:rPr>
          <w:rStyle w:val="Hyperlink"/>
          <w:i/>
          <w:lang w:val="fr-FR"/>
        </w:rPr>
        <w:t>Ordre des dossiers</w:t>
      </w:r>
      <w:r w:rsidR="007E03DA">
        <w:rPr>
          <w:rStyle w:val="Hyperlink"/>
          <w:i/>
          <w:lang w:val="fr-FR"/>
        </w:rPr>
        <w:t> </w:t>
      </w:r>
      <w:r w:rsidR="00442A29" w:rsidRPr="00702497">
        <w:rPr>
          <w:rStyle w:val="Hyperlink"/>
          <w:i/>
          <w:lang w:val="fr-FR"/>
        </w:rPr>
        <w:t>Rev.3</w:t>
      </w:r>
      <w:r w:rsidR="00751FB1">
        <w:rPr>
          <w:rStyle w:val="Hyperlink"/>
          <w:i/>
          <w:lang w:val="fr-FR"/>
        </w:rPr>
        <w:fldChar w:fldCharType="end"/>
      </w:r>
    </w:p>
    <w:p w14:paraId="42711FA0" w14:textId="424F7358" w:rsidR="00EA2A19" w:rsidRPr="00702497" w:rsidRDefault="00EA2A19" w:rsidP="00702497">
      <w:pPr>
        <w:pStyle w:val="Orateurengris"/>
        <w:tabs>
          <w:tab w:val="clear" w:pos="709"/>
          <w:tab w:val="clear" w:pos="1418"/>
          <w:tab w:val="clear" w:pos="2126"/>
          <w:tab w:val="clear" w:pos="2835"/>
        </w:tabs>
        <w:spacing w:before="60" w:after="240"/>
        <w:ind w:left="709"/>
        <w:rPr>
          <w:i/>
          <w:lang w:val="fr-FR"/>
        </w:rPr>
      </w:pPr>
      <w:r w:rsidRPr="00702497">
        <w:rPr>
          <w:b/>
          <w:color w:val="000000" w:themeColor="text1"/>
          <w:lang w:val="fr-FR"/>
        </w:rPr>
        <w:t>Décision :</w:t>
      </w:r>
      <w:r w:rsidRPr="00702497">
        <w:rPr>
          <w:bCs/>
          <w:color w:val="000000" w:themeColor="text1"/>
          <w:lang w:val="fr-FR"/>
        </w:rPr>
        <w:tab/>
      </w:r>
      <w:hyperlink r:id="rId75" w:history="1">
        <w:r w:rsidRPr="00702497">
          <w:rPr>
            <w:rStyle w:val="Hyperlink"/>
            <w:i/>
            <w:lang w:val="fr-FR"/>
          </w:rPr>
          <w:t>17.COM</w:t>
        </w:r>
        <w:r w:rsidR="0095130A">
          <w:rPr>
            <w:rStyle w:val="Hyperlink"/>
            <w:i/>
            <w:lang w:val="fr-FR"/>
          </w:rPr>
          <w:t> </w:t>
        </w:r>
        <w:r w:rsidRPr="00702497">
          <w:rPr>
            <w:rStyle w:val="Hyperlink"/>
            <w:i/>
            <w:lang w:val="fr-FR"/>
          </w:rPr>
          <w:t>7</w:t>
        </w:r>
      </w:hyperlink>
    </w:p>
    <w:p w14:paraId="50B20B9B" w14:textId="242F3266" w:rsidR="00EA2A19" w:rsidRDefault="00442A2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42A29">
        <w:rPr>
          <w:rFonts w:eastAsia="Malgun Gothic"/>
          <w:bCs/>
          <w:lang w:val="fr-FR"/>
        </w:rPr>
        <w:t xml:space="preserve">Le </w:t>
      </w:r>
      <w:r w:rsidRPr="00702497">
        <w:rPr>
          <w:rFonts w:eastAsia="Malgun Gothic"/>
          <w:b/>
          <w:lang w:val="fr-FR"/>
        </w:rPr>
        <w:t>Président</w:t>
      </w:r>
      <w:r w:rsidRPr="00442A29">
        <w:rPr>
          <w:rFonts w:eastAsia="Malgun Gothic"/>
          <w:bCs/>
          <w:lang w:val="fr-FR"/>
        </w:rPr>
        <w:t xml:space="preserve"> est passé au point</w:t>
      </w:r>
      <w:r w:rsidR="002B668C">
        <w:rPr>
          <w:rFonts w:eastAsia="Malgun Gothic"/>
          <w:bCs/>
          <w:lang w:val="fr-FR"/>
        </w:rPr>
        <w:t> </w:t>
      </w:r>
      <w:r w:rsidRPr="00442A29">
        <w:rPr>
          <w:rFonts w:eastAsia="Malgun Gothic"/>
          <w:bCs/>
          <w:lang w:val="fr-FR"/>
        </w:rPr>
        <w:t>7 de l</w:t>
      </w:r>
      <w:r w:rsidR="00923E72">
        <w:rPr>
          <w:rFonts w:eastAsia="Malgun Gothic"/>
          <w:bCs/>
          <w:lang w:val="fr-FR"/>
        </w:rPr>
        <w:t>’</w:t>
      </w:r>
      <w:r w:rsidRPr="00442A29">
        <w:rPr>
          <w:rFonts w:eastAsia="Malgun Gothic"/>
          <w:bCs/>
          <w:lang w:val="fr-FR"/>
        </w:rPr>
        <w:t xml:space="preserve">ordre du jour, attendu </w:t>
      </w:r>
      <w:r w:rsidR="0095130A">
        <w:rPr>
          <w:rFonts w:eastAsia="Malgun Gothic"/>
          <w:bCs/>
          <w:lang w:val="fr-FR"/>
        </w:rPr>
        <w:t xml:space="preserve">avec impatience </w:t>
      </w:r>
      <w:r w:rsidRPr="00442A29">
        <w:rPr>
          <w:rFonts w:eastAsia="Malgun Gothic"/>
          <w:bCs/>
          <w:lang w:val="fr-FR"/>
        </w:rPr>
        <w:t>par tous. Il a fait appel à l</w:t>
      </w:r>
      <w:r w:rsidR="00923E72">
        <w:rPr>
          <w:rFonts w:eastAsia="Malgun Gothic"/>
          <w:bCs/>
          <w:lang w:val="fr-FR"/>
        </w:rPr>
        <w:t>’</w:t>
      </w:r>
      <w:r w:rsidRPr="00442A29">
        <w:rPr>
          <w:rFonts w:eastAsia="Malgun Gothic"/>
          <w:bCs/>
          <w:lang w:val="fr-FR"/>
        </w:rPr>
        <w:t>esprit constructif et à l</w:t>
      </w:r>
      <w:r w:rsidR="00923E72">
        <w:rPr>
          <w:rFonts w:eastAsia="Malgun Gothic"/>
          <w:bCs/>
          <w:lang w:val="fr-FR"/>
        </w:rPr>
        <w:t>’</w:t>
      </w:r>
      <w:r w:rsidRPr="00442A29">
        <w:rPr>
          <w:rFonts w:eastAsia="Malgun Gothic"/>
          <w:bCs/>
          <w:lang w:val="fr-FR"/>
        </w:rPr>
        <w:t>ouverture d</w:t>
      </w:r>
      <w:r w:rsidR="00923E72">
        <w:rPr>
          <w:rFonts w:eastAsia="Malgun Gothic"/>
          <w:bCs/>
          <w:lang w:val="fr-FR"/>
        </w:rPr>
        <w:t>’</w:t>
      </w:r>
      <w:r w:rsidRPr="00442A29">
        <w:rPr>
          <w:rFonts w:eastAsia="Malgun Gothic"/>
          <w:bCs/>
          <w:lang w:val="fr-FR"/>
        </w:rPr>
        <w:t>esprit du Comité et a souhaité la bienvenue au Président de l</w:t>
      </w:r>
      <w:r w:rsidR="00923E72">
        <w:rPr>
          <w:rFonts w:eastAsia="Malgun Gothic"/>
          <w:bCs/>
          <w:lang w:val="fr-FR"/>
        </w:rPr>
        <w:t>’</w:t>
      </w:r>
      <w:r w:rsidRPr="00442A29">
        <w:rPr>
          <w:rFonts w:eastAsia="Malgun Gothic"/>
          <w:bCs/>
          <w:lang w:val="fr-FR"/>
        </w:rPr>
        <w:t>Organe d</w:t>
      </w:r>
      <w:r w:rsidR="00923E72">
        <w:rPr>
          <w:rFonts w:eastAsia="Malgun Gothic"/>
          <w:bCs/>
          <w:lang w:val="fr-FR"/>
        </w:rPr>
        <w:t>’</w:t>
      </w:r>
      <w:r w:rsidRPr="00442A29">
        <w:rPr>
          <w:rFonts w:eastAsia="Malgun Gothic"/>
          <w:bCs/>
          <w:lang w:val="fr-FR"/>
        </w:rPr>
        <w:t>évaluation, M.</w:t>
      </w:r>
      <w:r>
        <w:rPr>
          <w:rFonts w:eastAsia="Malgun Gothic"/>
          <w:bCs/>
          <w:lang w:val="fr-FR"/>
        </w:rPr>
        <w:t> </w:t>
      </w:r>
      <w:r w:rsidRPr="00442A29">
        <w:rPr>
          <w:rFonts w:eastAsia="Malgun Gothic"/>
          <w:bCs/>
          <w:lang w:val="fr-FR"/>
        </w:rPr>
        <w:t xml:space="preserve">Pier Luigi Petrillo (Italie), à la Vice-Présidente, </w:t>
      </w:r>
      <w:r>
        <w:rPr>
          <w:rFonts w:eastAsia="Malgun Gothic"/>
          <w:bCs/>
          <w:lang w:val="fr-FR"/>
        </w:rPr>
        <w:t>Mme </w:t>
      </w:r>
      <w:r w:rsidRPr="00442A29">
        <w:rPr>
          <w:rFonts w:eastAsia="Malgun Gothic"/>
          <w:bCs/>
          <w:lang w:val="fr-FR"/>
        </w:rPr>
        <w:t>Nahla Abdallah Emam (Égypte), et au Rapporteur, M.</w:t>
      </w:r>
      <w:r>
        <w:rPr>
          <w:rFonts w:eastAsia="Malgun Gothic"/>
          <w:bCs/>
          <w:lang w:val="fr-FR"/>
        </w:rPr>
        <w:t> </w:t>
      </w:r>
      <w:r w:rsidRPr="00442A29">
        <w:rPr>
          <w:rFonts w:eastAsia="Malgun Gothic"/>
          <w:bCs/>
          <w:lang w:val="fr-FR"/>
        </w:rPr>
        <w:t>Kirk Siang Yeo (Singapour), qui ont tous rejoint la tribune.</w:t>
      </w:r>
    </w:p>
    <w:p w14:paraId="26C35564" w14:textId="66BDF668" w:rsidR="00442A29" w:rsidRDefault="00442A2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42A29">
        <w:rPr>
          <w:rFonts w:eastAsia="Malgun Gothic"/>
          <w:bCs/>
          <w:lang w:val="fr-FR"/>
        </w:rPr>
        <w:t xml:space="preserve">Le </w:t>
      </w:r>
      <w:r w:rsidRPr="00702497">
        <w:rPr>
          <w:rFonts w:eastAsia="Malgun Gothic"/>
          <w:b/>
          <w:lang w:val="fr-FR"/>
        </w:rPr>
        <w:t>Secrétaire</w:t>
      </w:r>
      <w:r w:rsidRPr="00442A29">
        <w:rPr>
          <w:rFonts w:eastAsia="Malgun Gothic"/>
          <w:bCs/>
          <w:lang w:val="fr-FR"/>
        </w:rPr>
        <w:t xml:space="preserve"> a expliqué que l</w:t>
      </w:r>
      <w:r w:rsidR="00923E72">
        <w:rPr>
          <w:rFonts w:eastAsia="Malgun Gothic"/>
          <w:bCs/>
          <w:lang w:val="fr-FR"/>
        </w:rPr>
        <w:t>’</w:t>
      </w:r>
      <w:r w:rsidRPr="00442A29">
        <w:rPr>
          <w:rFonts w:eastAsia="Malgun Gothic"/>
          <w:bCs/>
          <w:lang w:val="fr-FR"/>
        </w:rPr>
        <w:t>Organe d</w:t>
      </w:r>
      <w:r w:rsidR="00923E72">
        <w:rPr>
          <w:rFonts w:eastAsia="Malgun Gothic"/>
          <w:bCs/>
          <w:lang w:val="fr-FR"/>
        </w:rPr>
        <w:t>’</w:t>
      </w:r>
      <w:r w:rsidRPr="00442A29">
        <w:rPr>
          <w:rFonts w:eastAsia="Malgun Gothic"/>
          <w:bCs/>
          <w:lang w:val="fr-FR"/>
        </w:rPr>
        <w:t>évaluation pour le cycle</w:t>
      </w:r>
      <w:r w:rsidR="00246428">
        <w:rPr>
          <w:rFonts w:eastAsia="Malgun Gothic"/>
          <w:bCs/>
          <w:lang w:val="fr-FR"/>
        </w:rPr>
        <w:t> </w:t>
      </w:r>
      <w:r w:rsidRPr="00442A29">
        <w:rPr>
          <w:rFonts w:eastAsia="Malgun Gothic"/>
          <w:bCs/>
          <w:lang w:val="fr-FR"/>
        </w:rPr>
        <w:t>2022 avait été créé par le Comité lors de sa seizième session en</w:t>
      </w:r>
      <w:r w:rsidR="00AF6B98">
        <w:rPr>
          <w:rFonts w:eastAsia="Malgun Gothic"/>
          <w:bCs/>
          <w:lang w:val="fr-FR"/>
        </w:rPr>
        <w:t> </w:t>
      </w:r>
      <w:r w:rsidRPr="00442A29">
        <w:rPr>
          <w:rFonts w:eastAsia="Malgun Gothic"/>
          <w:bCs/>
          <w:lang w:val="fr-FR"/>
        </w:rPr>
        <w:t>2021. L</w:t>
      </w:r>
      <w:r w:rsidR="00923E72">
        <w:rPr>
          <w:rFonts w:eastAsia="Malgun Gothic"/>
          <w:bCs/>
          <w:lang w:val="fr-FR"/>
        </w:rPr>
        <w:t>’</w:t>
      </w:r>
      <w:r w:rsidRPr="00442A29">
        <w:rPr>
          <w:rFonts w:eastAsia="Malgun Gothic"/>
          <w:bCs/>
          <w:lang w:val="fr-FR"/>
        </w:rPr>
        <w:t xml:space="preserve">Organe </w:t>
      </w:r>
      <w:r>
        <w:rPr>
          <w:rFonts w:eastAsia="Malgun Gothic"/>
          <w:bCs/>
          <w:lang w:val="fr-FR"/>
        </w:rPr>
        <w:t xml:space="preserve">avait été </w:t>
      </w:r>
      <w:r w:rsidRPr="00442A29">
        <w:rPr>
          <w:rFonts w:eastAsia="Malgun Gothic"/>
          <w:bCs/>
          <w:lang w:val="fr-FR"/>
        </w:rPr>
        <w:t>chargé d</w:t>
      </w:r>
      <w:r w:rsidR="00923E72">
        <w:rPr>
          <w:rFonts w:eastAsia="Malgun Gothic"/>
          <w:bCs/>
          <w:lang w:val="fr-FR"/>
        </w:rPr>
        <w:t>’</w:t>
      </w:r>
      <w:r w:rsidRPr="00442A29">
        <w:rPr>
          <w:rFonts w:eastAsia="Malgun Gothic"/>
          <w:bCs/>
          <w:lang w:val="fr-FR"/>
        </w:rPr>
        <w:t>évaluer les candidatures à la Liste de sauvegarde urgente examinées au titre du point</w:t>
      </w:r>
      <w:r w:rsidR="002B668C">
        <w:rPr>
          <w:rFonts w:eastAsia="Malgun Gothic"/>
          <w:bCs/>
          <w:lang w:val="fr-FR"/>
        </w:rPr>
        <w:t> </w:t>
      </w:r>
      <w:r w:rsidRPr="00442A29">
        <w:rPr>
          <w:rFonts w:eastAsia="Malgun Gothic"/>
          <w:bCs/>
          <w:lang w:val="fr-FR"/>
        </w:rPr>
        <w:t>7.a. Le cycle</w:t>
      </w:r>
      <w:r w:rsidR="00246428">
        <w:rPr>
          <w:rFonts w:eastAsia="Malgun Gothic"/>
          <w:bCs/>
          <w:lang w:val="fr-FR"/>
        </w:rPr>
        <w:t> </w:t>
      </w:r>
      <w:r w:rsidRPr="00442A29">
        <w:rPr>
          <w:rFonts w:eastAsia="Malgun Gothic"/>
          <w:bCs/>
          <w:lang w:val="fr-FR"/>
        </w:rPr>
        <w:t>2022 comprenait également une candidature à la Liste de sauvegarde urgente combinée à une demande d</w:t>
      </w:r>
      <w:r w:rsidR="00923E72">
        <w:rPr>
          <w:rFonts w:eastAsia="Malgun Gothic"/>
          <w:bCs/>
          <w:lang w:val="fr-FR"/>
        </w:rPr>
        <w:t>’</w:t>
      </w:r>
      <w:r w:rsidRPr="00442A29">
        <w:rPr>
          <w:rFonts w:eastAsia="Malgun Gothic"/>
          <w:bCs/>
          <w:lang w:val="fr-FR"/>
        </w:rPr>
        <w:t>assistance internationale.</w:t>
      </w:r>
      <w:r w:rsidR="003C1B1D">
        <w:rPr>
          <w:rFonts w:eastAsia="Malgun Gothic"/>
          <w:bCs/>
          <w:lang w:val="fr-FR"/>
        </w:rPr>
        <w:t xml:space="preserve"> L</w:t>
      </w:r>
      <w:r w:rsidR="00923E72">
        <w:rPr>
          <w:rFonts w:eastAsia="Malgun Gothic"/>
          <w:bCs/>
          <w:lang w:val="fr-FR"/>
        </w:rPr>
        <w:t>’</w:t>
      </w:r>
      <w:r w:rsidR="003C1B1D">
        <w:rPr>
          <w:rFonts w:eastAsia="Malgun Gothic"/>
          <w:bCs/>
          <w:lang w:val="fr-FR"/>
        </w:rPr>
        <w:t>Organe</w:t>
      </w:r>
      <w:r w:rsidR="00602064">
        <w:rPr>
          <w:rFonts w:eastAsia="Malgun Gothic"/>
          <w:bCs/>
          <w:lang w:val="fr-FR"/>
        </w:rPr>
        <w:t xml:space="preserve"> d</w:t>
      </w:r>
      <w:r w:rsidR="00923E72">
        <w:rPr>
          <w:rFonts w:eastAsia="Malgun Gothic"/>
          <w:bCs/>
          <w:lang w:val="fr-FR"/>
        </w:rPr>
        <w:t>’</w:t>
      </w:r>
      <w:r w:rsidR="00602064">
        <w:rPr>
          <w:rFonts w:eastAsia="Malgun Gothic"/>
          <w:bCs/>
          <w:lang w:val="fr-FR"/>
        </w:rPr>
        <w:t>évaluation</w:t>
      </w:r>
      <w:r w:rsidR="003C1B1D">
        <w:rPr>
          <w:rFonts w:eastAsia="Malgun Gothic"/>
          <w:bCs/>
          <w:lang w:val="fr-FR"/>
        </w:rPr>
        <w:t xml:space="preserve"> </w:t>
      </w:r>
      <w:r w:rsidRPr="00442A29">
        <w:rPr>
          <w:rFonts w:eastAsia="Malgun Gothic"/>
          <w:bCs/>
          <w:lang w:val="fr-FR"/>
        </w:rPr>
        <w:t>était également chargé d</w:t>
      </w:r>
      <w:r w:rsidR="00923E72">
        <w:rPr>
          <w:rFonts w:eastAsia="Malgun Gothic"/>
          <w:bCs/>
          <w:lang w:val="fr-FR"/>
        </w:rPr>
        <w:t>’</w:t>
      </w:r>
      <w:r w:rsidRPr="00442A29">
        <w:rPr>
          <w:rFonts w:eastAsia="Malgun Gothic"/>
          <w:bCs/>
          <w:lang w:val="fr-FR"/>
        </w:rPr>
        <w:t>évaluer les candidatures à la Liste représentative examinées au titre du point</w:t>
      </w:r>
      <w:r w:rsidR="00E74D3E">
        <w:rPr>
          <w:rFonts w:eastAsia="Malgun Gothic"/>
          <w:bCs/>
          <w:lang w:val="fr-FR"/>
        </w:rPr>
        <w:t> </w:t>
      </w:r>
      <w:r w:rsidRPr="00442A29">
        <w:rPr>
          <w:rFonts w:eastAsia="Malgun Gothic"/>
          <w:bCs/>
          <w:lang w:val="fr-FR"/>
        </w:rPr>
        <w:t>7.b ainsi que les propositions au Registre des bonnes pratiques de sauvegarde au titre du point</w:t>
      </w:r>
      <w:r w:rsidR="00E74D3E">
        <w:rPr>
          <w:rFonts w:eastAsia="Malgun Gothic"/>
          <w:bCs/>
          <w:lang w:val="fr-FR"/>
        </w:rPr>
        <w:t> </w:t>
      </w:r>
      <w:r w:rsidRPr="00442A29">
        <w:rPr>
          <w:rFonts w:eastAsia="Malgun Gothic"/>
          <w:bCs/>
          <w:lang w:val="fr-FR"/>
        </w:rPr>
        <w:t>7.c. En</w:t>
      </w:r>
      <w:r w:rsidR="00E74D3E">
        <w:rPr>
          <w:rFonts w:eastAsia="Malgun Gothic"/>
          <w:bCs/>
          <w:lang w:val="fr-FR"/>
        </w:rPr>
        <w:t> </w:t>
      </w:r>
      <w:r w:rsidRPr="00442A29">
        <w:rPr>
          <w:rFonts w:eastAsia="Malgun Gothic"/>
          <w:bCs/>
          <w:lang w:val="fr-FR"/>
        </w:rPr>
        <w:t>2022, il y avait une demande d</w:t>
      </w:r>
      <w:r w:rsidR="00923E72">
        <w:rPr>
          <w:rFonts w:eastAsia="Malgun Gothic"/>
          <w:bCs/>
          <w:lang w:val="fr-FR"/>
        </w:rPr>
        <w:t>’</w:t>
      </w:r>
      <w:r w:rsidRPr="00442A29">
        <w:rPr>
          <w:rFonts w:eastAsia="Malgun Gothic"/>
          <w:bCs/>
          <w:lang w:val="fr-FR"/>
        </w:rPr>
        <w:t>assistance internationale supérieure à 100</w:t>
      </w:r>
      <w:r w:rsidR="0078189F">
        <w:rPr>
          <w:rFonts w:eastAsia="Malgun Gothic"/>
          <w:bCs/>
          <w:lang w:val="fr-FR"/>
        </w:rPr>
        <w:t> </w:t>
      </w:r>
      <w:r w:rsidRPr="00442A29">
        <w:rPr>
          <w:rFonts w:eastAsia="Malgun Gothic"/>
          <w:bCs/>
          <w:lang w:val="fr-FR"/>
        </w:rPr>
        <w:t>000</w:t>
      </w:r>
      <w:r w:rsidR="0078189F">
        <w:rPr>
          <w:rFonts w:eastAsia="Malgun Gothic"/>
          <w:bCs/>
          <w:lang w:val="fr-FR"/>
        </w:rPr>
        <w:t> </w:t>
      </w:r>
      <w:r w:rsidRPr="00442A29">
        <w:rPr>
          <w:rFonts w:eastAsia="Malgun Gothic"/>
          <w:bCs/>
          <w:lang w:val="fr-FR"/>
        </w:rPr>
        <w:t>dollars des États-Unis, au titre du point</w:t>
      </w:r>
      <w:r w:rsidR="00E74D3E">
        <w:rPr>
          <w:rFonts w:eastAsia="Malgun Gothic"/>
          <w:bCs/>
          <w:lang w:val="fr-FR"/>
        </w:rPr>
        <w:t> </w:t>
      </w:r>
      <w:r w:rsidRPr="00442A29">
        <w:rPr>
          <w:rFonts w:eastAsia="Malgun Gothic"/>
          <w:bCs/>
          <w:lang w:val="fr-FR"/>
        </w:rPr>
        <w:t xml:space="preserve">7.d. Comme </w:t>
      </w:r>
      <w:r w:rsidR="0078189F">
        <w:rPr>
          <w:rFonts w:eastAsia="Malgun Gothic"/>
          <w:bCs/>
          <w:lang w:val="fr-FR"/>
        </w:rPr>
        <w:t>lors des</w:t>
      </w:r>
      <w:r w:rsidRPr="00442A29">
        <w:rPr>
          <w:rFonts w:eastAsia="Malgun Gothic"/>
          <w:bCs/>
          <w:lang w:val="fr-FR"/>
        </w:rPr>
        <w:t xml:space="preserve"> années précédentes, l</w:t>
      </w:r>
      <w:r w:rsidR="00923E72">
        <w:rPr>
          <w:rFonts w:eastAsia="Malgun Gothic"/>
          <w:bCs/>
          <w:lang w:val="fr-FR"/>
        </w:rPr>
        <w:t>’</w:t>
      </w:r>
      <w:r w:rsidRPr="00442A29">
        <w:rPr>
          <w:rFonts w:eastAsia="Malgun Gothic"/>
          <w:bCs/>
          <w:lang w:val="fr-FR"/>
        </w:rPr>
        <w:t>Organe d</w:t>
      </w:r>
      <w:r w:rsidR="00923E72">
        <w:rPr>
          <w:rFonts w:eastAsia="Malgun Gothic"/>
          <w:bCs/>
          <w:lang w:val="fr-FR"/>
        </w:rPr>
        <w:t>’</w:t>
      </w:r>
      <w:r w:rsidRPr="00442A29">
        <w:rPr>
          <w:rFonts w:eastAsia="Malgun Gothic"/>
          <w:bCs/>
          <w:lang w:val="fr-FR"/>
        </w:rPr>
        <w:t>évaluation avait été chargé d</w:t>
      </w:r>
      <w:r w:rsidR="00923E72">
        <w:rPr>
          <w:rFonts w:eastAsia="Malgun Gothic"/>
          <w:bCs/>
          <w:lang w:val="fr-FR"/>
        </w:rPr>
        <w:t>’</w:t>
      </w:r>
      <w:r w:rsidRPr="00442A29">
        <w:rPr>
          <w:rFonts w:eastAsia="Malgun Gothic"/>
          <w:bCs/>
          <w:lang w:val="fr-FR"/>
        </w:rPr>
        <w:t>évaluer un nombre élevé de dossiers, cinquante</w:t>
      </w:r>
      <w:r w:rsidR="00C302C2">
        <w:rPr>
          <w:rFonts w:eastAsia="Malgun Gothic"/>
          <w:bCs/>
          <w:lang w:val="fr-FR"/>
        </w:rPr>
        <w:noBreakHyphen/>
      </w:r>
      <w:r w:rsidRPr="00442A29">
        <w:rPr>
          <w:rFonts w:eastAsia="Malgun Gothic"/>
          <w:bCs/>
          <w:lang w:val="fr-FR"/>
        </w:rPr>
        <w:t>six au total. Le Secrétariat a félicité les membres de l</w:t>
      </w:r>
      <w:r w:rsidR="00923E72">
        <w:rPr>
          <w:rFonts w:eastAsia="Malgun Gothic"/>
          <w:bCs/>
          <w:lang w:val="fr-FR"/>
        </w:rPr>
        <w:t>’</w:t>
      </w:r>
      <w:r w:rsidRPr="00442A29">
        <w:rPr>
          <w:rFonts w:eastAsia="Malgun Gothic"/>
          <w:bCs/>
          <w:lang w:val="fr-FR"/>
        </w:rPr>
        <w:t>Organe pour leurs efforts et leur dévouement. Il a informé le Comité que deux dossiers avaient été retirés par les États soumissionnaires</w:t>
      </w:r>
      <w:r w:rsidR="00C302C2">
        <w:rPr>
          <w:rFonts w:eastAsia="Malgun Gothic"/>
          <w:bCs/>
          <w:lang w:val="fr-FR"/>
        </w:rPr>
        <w:t> </w:t>
      </w:r>
      <w:r w:rsidRPr="00442A29">
        <w:rPr>
          <w:rFonts w:eastAsia="Malgun Gothic"/>
          <w:bCs/>
          <w:lang w:val="fr-FR"/>
        </w:rPr>
        <w:t>:</w:t>
      </w:r>
      <w:r w:rsidR="00C302C2">
        <w:rPr>
          <w:rFonts w:eastAsia="Malgun Gothic"/>
          <w:bCs/>
          <w:lang w:val="fr-FR"/>
        </w:rPr>
        <w:t xml:space="preserve"> </w:t>
      </w:r>
      <w:r w:rsidR="00194137">
        <w:rPr>
          <w:rFonts w:eastAsia="Malgun Gothic"/>
          <w:bCs/>
          <w:lang w:val="fr-FR"/>
        </w:rPr>
        <w:t>« L</w:t>
      </w:r>
      <w:r w:rsidR="00C302C2">
        <w:rPr>
          <w:rFonts w:eastAsia="Malgun Gothic"/>
          <w:bCs/>
          <w:lang w:val="fr-FR"/>
        </w:rPr>
        <w:t xml:space="preserve">a </w:t>
      </w:r>
      <w:r w:rsidRPr="00442A29">
        <w:rPr>
          <w:rFonts w:eastAsia="Malgun Gothic"/>
          <w:bCs/>
          <w:lang w:val="fr-FR"/>
        </w:rPr>
        <w:t xml:space="preserve">Shakespeare Mas, une composante traditionnelle du Carnaval </w:t>
      </w:r>
      <w:r w:rsidR="00C302C2">
        <w:rPr>
          <w:rFonts w:eastAsia="Malgun Gothic"/>
          <w:bCs/>
          <w:lang w:val="fr-FR"/>
        </w:rPr>
        <w:t xml:space="preserve">propre </w:t>
      </w:r>
      <w:r w:rsidRPr="00442A29">
        <w:rPr>
          <w:rFonts w:eastAsia="Malgun Gothic"/>
          <w:bCs/>
          <w:lang w:val="fr-FR"/>
        </w:rPr>
        <w:t xml:space="preserve">à </w:t>
      </w:r>
      <w:proofErr w:type="spellStart"/>
      <w:r w:rsidRPr="00442A29">
        <w:rPr>
          <w:rFonts w:eastAsia="Malgun Gothic"/>
          <w:bCs/>
          <w:lang w:val="fr-FR"/>
        </w:rPr>
        <w:t>Carriacou</w:t>
      </w:r>
      <w:proofErr w:type="spellEnd"/>
      <w:r w:rsidR="00194137">
        <w:rPr>
          <w:rFonts w:eastAsia="Malgun Gothic"/>
          <w:bCs/>
          <w:lang w:val="fr-FR"/>
        </w:rPr>
        <w:t> »</w:t>
      </w:r>
      <w:r w:rsidRPr="00442A29">
        <w:rPr>
          <w:rFonts w:eastAsia="Malgun Gothic"/>
          <w:bCs/>
          <w:lang w:val="fr-FR"/>
        </w:rPr>
        <w:t xml:space="preserve"> [17.COM</w:t>
      </w:r>
      <w:r w:rsidR="00C302C2">
        <w:rPr>
          <w:rFonts w:eastAsia="Malgun Gothic"/>
          <w:bCs/>
          <w:lang w:val="fr-FR"/>
        </w:rPr>
        <w:t> </w:t>
      </w:r>
      <w:r w:rsidRPr="00442A29">
        <w:rPr>
          <w:rFonts w:eastAsia="Malgun Gothic"/>
          <w:bCs/>
          <w:lang w:val="fr-FR"/>
        </w:rPr>
        <w:t>7.b.12]</w:t>
      </w:r>
      <w:r w:rsidR="00C302C2">
        <w:rPr>
          <w:rFonts w:eastAsia="Malgun Gothic"/>
          <w:bCs/>
          <w:lang w:val="fr-FR"/>
        </w:rPr>
        <w:t>, soumis par la Grenade </w:t>
      </w:r>
      <w:r w:rsidRPr="00442A29">
        <w:rPr>
          <w:rFonts w:eastAsia="Malgun Gothic"/>
          <w:bCs/>
          <w:lang w:val="fr-FR"/>
        </w:rPr>
        <w:t>;</w:t>
      </w:r>
      <w:r w:rsidR="00C302C2">
        <w:rPr>
          <w:rFonts w:eastAsia="Malgun Gothic"/>
          <w:bCs/>
          <w:lang w:val="fr-FR"/>
        </w:rPr>
        <w:t xml:space="preserve"> et</w:t>
      </w:r>
      <w:r w:rsidRPr="00442A29">
        <w:rPr>
          <w:rFonts w:eastAsia="Malgun Gothic"/>
          <w:bCs/>
          <w:lang w:val="fr-FR"/>
        </w:rPr>
        <w:t xml:space="preserve"> </w:t>
      </w:r>
      <w:r w:rsidR="00194137">
        <w:rPr>
          <w:rFonts w:eastAsia="Malgun Gothic"/>
          <w:bCs/>
          <w:lang w:val="fr-FR"/>
        </w:rPr>
        <w:t>« L</w:t>
      </w:r>
      <w:r w:rsidR="00C302C2">
        <w:rPr>
          <w:rFonts w:eastAsia="Malgun Gothic"/>
          <w:bCs/>
          <w:lang w:val="fr-FR"/>
        </w:rPr>
        <w:t>a culture vivante de la fête foraine et l</w:t>
      </w:r>
      <w:r w:rsidR="00923E72">
        <w:rPr>
          <w:rFonts w:eastAsia="Malgun Gothic"/>
          <w:bCs/>
          <w:lang w:val="fr-FR"/>
        </w:rPr>
        <w:t>’</w:t>
      </w:r>
      <w:r w:rsidR="00C302C2">
        <w:rPr>
          <w:rFonts w:eastAsia="Malgun Gothic"/>
          <w:bCs/>
          <w:lang w:val="fr-FR"/>
        </w:rPr>
        <w:t>art des forains</w:t>
      </w:r>
      <w:r w:rsidR="00194137">
        <w:rPr>
          <w:rFonts w:eastAsia="Malgun Gothic"/>
          <w:bCs/>
          <w:lang w:val="fr-FR"/>
        </w:rPr>
        <w:t> »</w:t>
      </w:r>
      <w:r w:rsidR="00C302C2">
        <w:rPr>
          <w:rFonts w:eastAsia="Malgun Gothic"/>
          <w:bCs/>
          <w:lang w:val="fr-FR"/>
        </w:rPr>
        <w:t xml:space="preserve"> </w:t>
      </w:r>
      <w:r w:rsidRPr="00442A29">
        <w:rPr>
          <w:rFonts w:eastAsia="Malgun Gothic"/>
          <w:bCs/>
          <w:lang w:val="fr-FR"/>
        </w:rPr>
        <w:t>[17.COM</w:t>
      </w:r>
      <w:r w:rsidR="00C302C2">
        <w:rPr>
          <w:rFonts w:eastAsia="Malgun Gothic"/>
          <w:bCs/>
          <w:lang w:val="fr-FR"/>
        </w:rPr>
        <w:t> </w:t>
      </w:r>
      <w:r w:rsidRPr="00442A29">
        <w:rPr>
          <w:rFonts w:eastAsia="Malgun Gothic"/>
          <w:bCs/>
          <w:lang w:val="fr-FR"/>
        </w:rPr>
        <w:t>7.b.46]</w:t>
      </w:r>
      <w:r w:rsidR="00C302C2">
        <w:rPr>
          <w:rFonts w:eastAsia="Malgun Gothic"/>
          <w:bCs/>
          <w:lang w:val="fr-FR"/>
        </w:rPr>
        <w:t>,</w:t>
      </w:r>
      <w:r w:rsidR="00C302C2" w:rsidRPr="00C302C2">
        <w:rPr>
          <w:rFonts w:eastAsia="Malgun Gothic"/>
          <w:bCs/>
          <w:lang w:val="fr-FR"/>
        </w:rPr>
        <w:t xml:space="preserve"> </w:t>
      </w:r>
      <w:r w:rsidR="00C302C2">
        <w:rPr>
          <w:rFonts w:eastAsia="Malgun Gothic"/>
          <w:bCs/>
          <w:lang w:val="fr-FR"/>
        </w:rPr>
        <w:t>soumis par</w:t>
      </w:r>
      <w:r w:rsidR="00C302C2" w:rsidRPr="00442A29">
        <w:rPr>
          <w:rFonts w:eastAsia="Malgun Gothic"/>
          <w:bCs/>
          <w:lang w:val="fr-FR"/>
        </w:rPr>
        <w:t xml:space="preserve"> la Belgique et la France</w:t>
      </w:r>
      <w:r w:rsidRPr="00442A29">
        <w:rPr>
          <w:rFonts w:eastAsia="Malgun Gothic"/>
          <w:bCs/>
          <w:lang w:val="fr-FR"/>
        </w:rPr>
        <w:t xml:space="preserve">. Au total, le Comité examinerait donc </w:t>
      </w:r>
      <w:r w:rsidR="00B64F78">
        <w:rPr>
          <w:rFonts w:eastAsia="Malgun Gothic"/>
          <w:bCs/>
          <w:lang w:val="fr-FR"/>
        </w:rPr>
        <w:t xml:space="preserve">un total de </w:t>
      </w:r>
      <w:r w:rsidR="00C302C2">
        <w:rPr>
          <w:rFonts w:eastAsia="Malgun Gothic"/>
          <w:bCs/>
          <w:lang w:val="fr-FR"/>
        </w:rPr>
        <w:t>cinquante</w:t>
      </w:r>
      <w:r w:rsidR="00C302C2">
        <w:rPr>
          <w:rFonts w:eastAsia="Malgun Gothic"/>
          <w:bCs/>
          <w:lang w:val="fr-FR"/>
        </w:rPr>
        <w:noBreakHyphen/>
        <w:t>quatre</w:t>
      </w:r>
      <w:r w:rsidRPr="00442A29">
        <w:rPr>
          <w:rFonts w:eastAsia="Malgun Gothic"/>
          <w:bCs/>
          <w:lang w:val="fr-FR"/>
        </w:rPr>
        <w:t xml:space="preserve"> dossiers.</w:t>
      </w:r>
    </w:p>
    <w:p w14:paraId="6A6E4566" w14:textId="530D0276" w:rsidR="00C302C2" w:rsidRDefault="00C302C2"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C302C2">
        <w:rPr>
          <w:rFonts w:eastAsia="Malgun Gothic"/>
          <w:bCs/>
          <w:lang w:val="fr-FR"/>
        </w:rPr>
        <w:t xml:space="preserve">Le </w:t>
      </w:r>
      <w:r w:rsidRPr="00702497">
        <w:rPr>
          <w:rFonts w:eastAsia="Malgun Gothic"/>
          <w:b/>
          <w:lang w:val="fr-FR"/>
        </w:rPr>
        <w:t>Secrétaire</w:t>
      </w:r>
      <w:r w:rsidRPr="00C302C2">
        <w:rPr>
          <w:rFonts w:eastAsia="Malgun Gothic"/>
          <w:bCs/>
          <w:lang w:val="fr-FR"/>
        </w:rPr>
        <w:t xml:space="preserve"> a présenté l</w:t>
      </w:r>
      <w:r w:rsidR="00923E72">
        <w:rPr>
          <w:rFonts w:eastAsia="Malgun Gothic"/>
          <w:bCs/>
          <w:lang w:val="fr-FR"/>
        </w:rPr>
        <w:t>’</w:t>
      </w:r>
      <w:r w:rsidRPr="00C302C2">
        <w:rPr>
          <w:rFonts w:eastAsia="Malgun Gothic"/>
          <w:bCs/>
          <w:lang w:val="fr-FR"/>
        </w:rPr>
        <w:t>organisation du point</w:t>
      </w:r>
      <w:r w:rsidR="002B668C">
        <w:rPr>
          <w:rFonts w:eastAsia="Malgun Gothic"/>
          <w:bCs/>
          <w:lang w:val="fr-FR"/>
        </w:rPr>
        <w:t> </w:t>
      </w:r>
      <w:r w:rsidRPr="00C302C2">
        <w:rPr>
          <w:rFonts w:eastAsia="Malgun Gothic"/>
          <w:bCs/>
          <w:lang w:val="fr-FR"/>
        </w:rPr>
        <w:t>7 et de ses sous-points afin de faciliter le bon déroulement des débats. Tout d</w:t>
      </w:r>
      <w:r w:rsidR="00923E72">
        <w:rPr>
          <w:rFonts w:eastAsia="Malgun Gothic"/>
          <w:bCs/>
          <w:lang w:val="fr-FR"/>
        </w:rPr>
        <w:t>’</w:t>
      </w:r>
      <w:r w:rsidRPr="00C302C2">
        <w:rPr>
          <w:rFonts w:eastAsia="Malgun Gothic"/>
          <w:bCs/>
          <w:lang w:val="fr-FR"/>
        </w:rPr>
        <w:t>abord, M.</w:t>
      </w:r>
      <w:r w:rsidR="00B64F78">
        <w:rPr>
          <w:rFonts w:eastAsia="Malgun Gothic"/>
          <w:bCs/>
          <w:lang w:val="fr-FR"/>
        </w:rPr>
        <w:t> </w:t>
      </w:r>
      <w:r w:rsidRPr="00C302C2">
        <w:rPr>
          <w:rFonts w:eastAsia="Malgun Gothic"/>
          <w:bCs/>
          <w:lang w:val="fr-FR"/>
        </w:rPr>
        <w:t>Kirk Siang Yeo, le Rapporteur, présenterait un bref rapport oral sur les travaux de l</w:t>
      </w:r>
      <w:r w:rsidR="00923E72">
        <w:rPr>
          <w:rFonts w:eastAsia="Malgun Gothic"/>
          <w:bCs/>
          <w:lang w:val="fr-FR"/>
        </w:rPr>
        <w:t>’</w:t>
      </w:r>
      <w:r w:rsidRPr="00C302C2">
        <w:rPr>
          <w:rFonts w:eastAsia="Malgun Gothic"/>
          <w:bCs/>
          <w:lang w:val="fr-FR"/>
        </w:rPr>
        <w:t>Organe d</w:t>
      </w:r>
      <w:r w:rsidR="00923E72">
        <w:rPr>
          <w:rFonts w:eastAsia="Malgun Gothic"/>
          <w:bCs/>
          <w:lang w:val="fr-FR"/>
        </w:rPr>
        <w:t>’</w:t>
      </w:r>
      <w:r w:rsidRPr="00C302C2">
        <w:rPr>
          <w:rFonts w:eastAsia="Malgun Gothic"/>
          <w:bCs/>
          <w:lang w:val="fr-FR"/>
        </w:rPr>
        <w:t xml:space="preserve">évaluation </w:t>
      </w:r>
      <w:r w:rsidR="00194137">
        <w:rPr>
          <w:rFonts w:eastAsia="Malgun Gothic"/>
          <w:bCs/>
          <w:lang w:val="fr-FR"/>
        </w:rPr>
        <w:t>pour le cycle</w:t>
      </w:r>
      <w:r w:rsidR="00246428">
        <w:rPr>
          <w:rFonts w:eastAsia="Malgun Gothic"/>
          <w:bCs/>
          <w:lang w:val="fr-FR"/>
        </w:rPr>
        <w:t> </w:t>
      </w:r>
      <w:r w:rsidRPr="00C302C2">
        <w:rPr>
          <w:rFonts w:eastAsia="Malgun Gothic"/>
          <w:bCs/>
          <w:lang w:val="fr-FR"/>
        </w:rPr>
        <w:t>2022 et sur les principales questions transversales identifiées par l</w:t>
      </w:r>
      <w:r w:rsidR="00923E72">
        <w:rPr>
          <w:rFonts w:eastAsia="Malgun Gothic"/>
          <w:bCs/>
          <w:lang w:val="fr-FR"/>
        </w:rPr>
        <w:t>’</w:t>
      </w:r>
      <w:r w:rsidRPr="00C302C2">
        <w:rPr>
          <w:rFonts w:eastAsia="Malgun Gothic"/>
          <w:bCs/>
          <w:lang w:val="fr-FR"/>
        </w:rPr>
        <w:t>Organe au cours de ce cycle. Après le rapport oral, la parole serait donnée aux questions spécifiques que les membres du Comité pourraient souhaiter adresser à l</w:t>
      </w:r>
      <w:r w:rsidR="00923E72">
        <w:rPr>
          <w:rFonts w:eastAsia="Malgun Gothic"/>
          <w:bCs/>
          <w:lang w:val="fr-FR"/>
        </w:rPr>
        <w:t>’</w:t>
      </w:r>
      <w:r w:rsidRPr="00C302C2">
        <w:rPr>
          <w:rFonts w:eastAsia="Malgun Gothic"/>
          <w:bCs/>
          <w:lang w:val="fr-FR"/>
        </w:rPr>
        <w:t>Organe d</w:t>
      </w:r>
      <w:r w:rsidR="00923E72">
        <w:rPr>
          <w:rFonts w:eastAsia="Malgun Gothic"/>
          <w:bCs/>
          <w:lang w:val="fr-FR"/>
        </w:rPr>
        <w:t>’</w:t>
      </w:r>
      <w:r w:rsidRPr="00C302C2">
        <w:rPr>
          <w:rFonts w:eastAsia="Malgun Gothic"/>
          <w:bCs/>
          <w:lang w:val="fr-FR"/>
        </w:rPr>
        <w:t>évaluation sur son rapport, les interventions étant limitées aux questions adressées à l</w:t>
      </w:r>
      <w:r w:rsidR="00923E72">
        <w:rPr>
          <w:rFonts w:eastAsia="Malgun Gothic"/>
          <w:bCs/>
          <w:lang w:val="fr-FR"/>
        </w:rPr>
        <w:t>’</w:t>
      </w:r>
      <w:r w:rsidRPr="00C302C2">
        <w:rPr>
          <w:rFonts w:eastAsia="Malgun Gothic"/>
          <w:bCs/>
          <w:lang w:val="fr-FR"/>
        </w:rPr>
        <w:t>Organe d</w:t>
      </w:r>
      <w:r w:rsidR="00923E72">
        <w:rPr>
          <w:rFonts w:eastAsia="Malgun Gothic"/>
          <w:bCs/>
          <w:lang w:val="fr-FR"/>
        </w:rPr>
        <w:t>’</w:t>
      </w:r>
      <w:r w:rsidRPr="00C302C2">
        <w:rPr>
          <w:rFonts w:eastAsia="Malgun Gothic"/>
          <w:bCs/>
          <w:lang w:val="fr-FR"/>
        </w:rPr>
        <w:t>évaluation concernant les questions abordées dans le rapport global. En effet, l</w:t>
      </w:r>
      <w:r w:rsidR="00923E72">
        <w:rPr>
          <w:rFonts w:eastAsia="Malgun Gothic"/>
          <w:bCs/>
          <w:lang w:val="fr-FR"/>
        </w:rPr>
        <w:t>’</w:t>
      </w:r>
      <w:r w:rsidRPr="00C302C2">
        <w:rPr>
          <w:rFonts w:eastAsia="Malgun Gothic"/>
          <w:bCs/>
          <w:lang w:val="fr-FR"/>
        </w:rPr>
        <w:t xml:space="preserve">adoption de la décision </w:t>
      </w:r>
      <w:r w:rsidR="00B64F78">
        <w:rPr>
          <w:rFonts w:eastAsia="Malgun Gothic"/>
          <w:bCs/>
          <w:lang w:val="fr-FR"/>
        </w:rPr>
        <w:t xml:space="preserve">générale </w:t>
      </w:r>
      <w:r w:rsidRPr="00C302C2">
        <w:rPr>
          <w:rFonts w:eastAsia="Malgun Gothic"/>
          <w:bCs/>
          <w:lang w:val="fr-FR"/>
        </w:rPr>
        <w:t>sur le point</w:t>
      </w:r>
      <w:r w:rsidR="0038735E">
        <w:rPr>
          <w:rFonts w:eastAsia="Malgun Gothic"/>
          <w:bCs/>
          <w:lang w:val="fr-FR"/>
        </w:rPr>
        <w:t> </w:t>
      </w:r>
      <w:r w:rsidRPr="00C302C2">
        <w:rPr>
          <w:rFonts w:eastAsia="Malgun Gothic"/>
          <w:bCs/>
          <w:lang w:val="fr-FR"/>
        </w:rPr>
        <w:t xml:space="preserve">7 serait suspendue </w:t>
      </w:r>
      <w:r w:rsidRPr="00B64F78">
        <w:rPr>
          <w:rFonts w:eastAsia="Malgun Gothic"/>
          <w:bCs/>
          <w:lang w:val="fr-FR"/>
        </w:rPr>
        <w:t>jusqu</w:t>
      </w:r>
      <w:r w:rsidR="00923E72">
        <w:rPr>
          <w:rFonts w:eastAsia="Malgun Gothic"/>
          <w:bCs/>
          <w:lang w:val="fr-FR"/>
        </w:rPr>
        <w:t>’</w:t>
      </w:r>
      <w:r w:rsidRPr="00B64F78">
        <w:rPr>
          <w:rFonts w:eastAsia="Malgun Gothic"/>
          <w:bCs/>
          <w:lang w:val="fr-FR"/>
        </w:rPr>
        <w:t>à ce que</w:t>
      </w:r>
      <w:r w:rsidRPr="00C302C2">
        <w:rPr>
          <w:rFonts w:eastAsia="Malgun Gothic"/>
          <w:bCs/>
          <w:lang w:val="fr-FR"/>
        </w:rPr>
        <w:t xml:space="preserve"> </w:t>
      </w:r>
      <w:r w:rsidRPr="00702497">
        <w:rPr>
          <w:rFonts w:eastAsia="Malgun Gothic"/>
          <w:bCs/>
          <w:i/>
          <w:iCs/>
          <w:lang w:val="fr-FR"/>
        </w:rPr>
        <w:t>tous les dossiers de candidature individuels aient été examinés</w:t>
      </w:r>
      <w:r w:rsidRPr="00C302C2">
        <w:rPr>
          <w:rFonts w:eastAsia="Malgun Gothic"/>
          <w:bCs/>
          <w:lang w:val="fr-FR"/>
        </w:rPr>
        <w:t>. Le Comité procéderait alors à l</w:t>
      </w:r>
      <w:r w:rsidR="00923E72">
        <w:rPr>
          <w:rFonts w:eastAsia="Malgun Gothic"/>
          <w:bCs/>
          <w:lang w:val="fr-FR"/>
        </w:rPr>
        <w:t>’</w:t>
      </w:r>
      <w:r w:rsidRPr="00C302C2">
        <w:rPr>
          <w:rFonts w:eastAsia="Malgun Gothic"/>
          <w:bCs/>
          <w:lang w:val="fr-FR"/>
        </w:rPr>
        <w:t>évaluation de tous les dossiers individuellement, conformément à la décision</w:t>
      </w:r>
      <w:r w:rsidR="0038735E">
        <w:rPr>
          <w:rFonts w:eastAsia="Malgun Gothic"/>
          <w:bCs/>
          <w:lang w:val="fr-FR"/>
        </w:rPr>
        <w:t> </w:t>
      </w:r>
      <w:r w:rsidR="00751FB1">
        <w:fldChar w:fldCharType="begin"/>
      </w:r>
      <w:r w:rsidR="00751FB1" w:rsidRPr="00751FB1">
        <w:rPr>
          <w:lang w:val="fr-FR"/>
        </w:rPr>
        <w:instrText>HYPERLINK "https://ich.unesco.org/fr/Decisions/16.COM/16"</w:instrText>
      </w:r>
      <w:r w:rsidR="00751FB1">
        <w:fldChar w:fldCharType="separate"/>
      </w:r>
      <w:r w:rsidR="00B64F78" w:rsidRPr="00702497">
        <w:rPr>
          <w:rStyle w:val="Hyperlink"/>
          <w:lang w:val="fr-FR"/>
        </w:rPr>
        <w:t>16.COM 16</w:t>
      </w:r>
      <w:r w:rsidR="00751FB1">
        <w:rPr>
          <w:rStyle w:val="Hyperlink"/>
          <w:lang w:val="fr-FR"/>
        </w:rPr>
        <w:fldChar w:fldCharType="end"/>
      </w:r>
      <w:r w:rsidR="00B64F78" w:rsidRPr="00702497">
        <w:rPr>
          <w:rStyle w:val="Hyperlink"/>
          <w:u w:val="none"/>
          <w:lang w:val="fr-FR"/>
        </w:rPr>
        <w:t xml:space="preserve"> </w:t>
      </w:r>
      <w:r w:rsidRPr="00B64F78">
        <w:rPr>
          <w:rFonts w:eastAsia="Malgun Gothic"/>
          <w:bCs/>
          <w:lang w:val="fr-FR"/>
        </w:rPr>
        <w:t>prise</w:t>
      </w:r>
      <w:r w:rsidRPr="00C302C2">
        <w:rPr>
          <w:rFonts w:eastAsia="Malgun Gothic"/>
          <w:bCs/>
          <w:lang w:val="fr-FR"/>
        </w:rPr>
        <w:t xml:space="preserve"> en</w:t>
      </w:r>
      <w:r w:rsidR="00AF6B98">
        <w:rPr>
          <w:rFonts w:eastAsia="Malgun Gothic"/>
          <w:bCs/>
          <w:lang w:val="fr-FR"/>
        </w:rPr>
        <w:t> </w:t>
      </w:r>
      <w:r w:rsidRPr="00C302C2">
        <w:rPr>
          <w:rFonts w:eastAsia="Malgun Gothic"/>
          <w:bCs/>
          <w:lang w:val="fr-FR"/>
        </w:rPr>
        <w:t xml:space="preserve">2021. Les candidatures seraient examinées </w:t>
      </w:r>
      <w:r w:rsidR="00B64F78">
        <w:rPr>
          <w:rFonts w:eastAsia="Malgun Gothic"/>
          <w:bCs/>
          <w:lang w:val="fr-FR"/>
        </w:rPr>
        <w:t>en suivant l</w:t>
      </w:r>
      <w:r w:rsidR="00923E72">
        <w:rPr>
          <w:rFonts w:eastAsia="Malgun Gothic"/>
          <w:bCs/>
          <w:lang w:val="fr-FR"/>
        </w:rPr>
        <w:t>’</w:t>
      </w:r>
      <w:r w:rsidRPr="00C302C2">
        <w:rPr>
          <w:rFonts w:eastAsia="Malgun Gothic"/>
          <w:bCs/>
          <w:lang w:val="fr-FR"/>
        </w:rPr>
        <w:t xml:space="preserve">ordre alphabétique </w:t>
      </w:r>
      <w:r w:rsidR="0038735E">
        <w:rPr>
          <w:rFonts w:eastAsia="Malgun Gothic"/>
          <w:bCs/>
          <w:lang w:val="fr-FR"/>
        </w:rPr>
        <w:t xml:space="preserve">des noms </w:t>
      </w:r>
      <w:r w:rsidR="00B64F78">
        <w:rPr>
          <w:rFonts w:eastAsia="Malgun Gothic"/>
          <w:bCs/>
          <w:lang w:val="fr-FR"/>
        </w:rPr>
        <w:t>en anglais des États parties soumissionnaires</w:t>
      </w:r>
      <w:r w:rsidRPr="00C302C2">
        <w:rPr>
          <w:rFonts w:eastAsia="Malgun Gothic"/>
          <w:bCs/>
          <w:lang w:val="fr-FR"/>
        </w:rPr>
        <w:t xml:space="preserve">, en commençant par la lettre </w:t>
      </w:r>
      <w:r w:rsidR="005E3160">
        <w:rPr>
          <w:rFonts w:eastAsia="Malgun Gothic"/>
          <w:bCs/>
          <w:lang w:val="fr-FR"/>
        </w:rPr>
        <w:t>« </w:t>
      </w:r>
      <w:r w:rsidRPr="00C302C2">
        <w:rPr>
          <w:rFonts w:eastAsia="Malgun Gothic"/>
          <w:bCs/>
          <w:lang w:val="fr-FR"/>
        </w:rPr>
        <w:t>C</w:t>
      </w:r>
      <w:r w:rsidR="005E3160">
        <w:rPr>
          <w:rFonts w:eastAsia="Malgun Gothic"/>
          <w:bCs/>
          <w:lang w:val="fr-FR"/>
        </w:rPr>
        <w:t> »</w:t>
      </w:r>
      <w:r w:rsidR="00B64F78">
        <w:rPr>
          <w:rFonts w:eastAsia="Malgun Gothic"/>
          <w:bCs/>
          <w:lang w:val="fr-FR"/>
        </w:rPr>
        <w:t>,</w:t>
      </w:r>
      <w:r w:rsidRPr="00C302C2">
        <w:rPr>
          <w:rFonts w:eastAsia="Malgun Gothic"/>
          <w:bCs/>
          <w:lang w:val="fr-FR"/>
        </w:rPr>
        <w:t xml:space="preserve"> dans le cadre de chaque mécanisme. Un programme provisoire (ordre des dossiers) avec des créneaux horaires estimés avait été mis à disposition, mais il était susceptible d</w:t>
      </w:r>
      <w:r w:rsidR="00923E72">
        <w:rPr>
          <w:rFonts w:eastAsia="Malgun Gothic"/>
          <w:bCs/>
          <w:lang w:val="fr-FR"/>
        </w:rPr>
        <w:t>’</w:t>
      </w:r>
      <w:r w:rsidRPr="00C302C2">
        <w:rPr>
          <w:rFonts w:eastAsia="Malgun Gothic"/>
          <w:bCs/>
          <w:lang w:val="fr-FR"/>
        </w:rPr>
        <w:t xml:space="preserve">être modifié. Il a été demandé que tous les </w:t>
      </w:r>
      <w:r w:rsidRPr="00C302C2">
        <w:rPr>
          <w:rFonts w:eastAsia="Malgun Gothic"/>
          <w:bCs/>
          <w:lang w:val="fr-FR"/>
        </w:rPr>
        <w:lastRenderedPageBreak/>
        <w:t>amendements pour la discussion des dossiers individuels soient envoyés à l</w:t>
      </w:r>
      <w:r w:rsidR="00923E72">
        <w:rPr>
          <w:rFonts w:eastAsia="Malgun Gothic"/>
          <w:bCs/>
          <w:lang w:val="fr-FR"/>
        </w:rPr>
        <w:t>’</w:t>
      </w:r>
      <w:r w:rsidRPr="00C302C2">
        <w:rPr>
          <w:rFonts w:eastAsia="Malgun Gothic"/>
          <w:bCs/>
          <w:lang w:val="fr-FR"/>
        </w:rPr>
        <w:t>adresse électronique prévue à cet effet. Le débat général aurait lieu après les évaluations de tous les dossiers individuels et serait suivi de l</w:t>
      </w:r>
      <w:r w:rsidR="00923E72">
        <w:rPr>
          <w:rFonts w:eastAsia="Malgun Gothic"/>
          <w:bCs/>
          <w:lang w:val="fr-FR"/>
        </w:rPr>
        <w:t>’</w:t>
      </w:r>
      <w:r w:rsidRPr="00C302C2">
        <w:rPr>
          <w:rFonts w:eastAsia="Malgun Gothic"/>
          <w:bCs/>
          <w:lang w:val="fr-FR"/>
        </w:rPr>
        <w:t>adoption de la décision générale.</w:t>
      </w:r>
    </w:p>
    <w:p w14:paraId="01BA9D09" w14:textId="17941B66" w:rsidR="00B64F78" w:rsidRDefault="001F1C2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1F1C26">
        <w:rPr>
          <w:rFonts w:eastAsia="Malgun Gothic"/>
          <w:bCs/>
          <w:lang w:val="fr-FR"/>
        </w:rPr>
        <w:t xml:space="preserve">Le </w:t>
      </w:r>
      <w:r w:rsidRPr="00702497">
        <w:rPr>
          <w:rFonts w:eastAsia="Malgun Gothic"/>
          <w:b/>
          <w:lang w:val="fr-FR"/>
        </w:rPr>
        <w:t>Président</w:t>
      </w:r>
      <w:r w:rsidRPr="001F1C26">
        <w:rPr>
          <w:rFonts w:eastAsia="Malgun Gothic"/>
          <w:bCs/>
          <w:lang w:val="fr-FR"/>
        </w:rPr>
        <w:t xml:space="preserve"> a présenté la méthode de travail pour l</w:t>
      </w:r>
      <w:r w:rsidR="00923E72">
        <w:rPr>
          <w:rFonts w:eastAsia="Malgun Gothic"/>
          <w:bCs/>
          <w:lang w:val="fr-FR"/>
        </w:rPr>
        <w:t>’</w:t>
      </w:r>
      <w:r w:rsidRPr="001F1C26">
        <w:rPr>
          <w:rFonts w:eastAsia="Malgun Gothic"/>
          <w:bCs/>
          <w:lang w:val="fr-FR"/>
        </w:rPr>
        <w:t xml:space="preserve">organisation du débat en ce qui concerne la gestion du temps et les amendements, </w:t>
      </w:r>
      <w:r>
        <w:rPr>
          <w:rFonts w:eastAsia="Malgun Gothic"/>
          <w:bCs/>
          <w:lang w:val="fr-FR"/>
        </w:rPr>
        <w:t xml:space="preserve">une question </w:t>
      </w:r>
      <w:r w:rsidRPr="001F1C26">
        <w:rPr>
          <w:rFonts w:eastAsia="Malgun Gothic"/>
          <w:bCs/>
          <w:lang w:val="fr-FR"/>
        </w:rPr>
        <w:t>abordée dans la circulaire envoyée le</w:t>
      </w:r>
      <w:r w:rsidR="009B677E">
        <w:rPr>
          <w:rFonts w:eastAsia="Malgun Gothic"/>
          <w:bCs/>
          <w:lang w:val="fr-FR"/>
        </w:rPr>
        <w:t> </w:t>
      </w:r>
      <w:r w:rsidRPr="001F1C26">
        <w:rPr>
          <w:rFonts w:eastAsia="Malgun Gothic"/>
          <w:bCs/>
          <w:lang w:val="fr-FR"/>
        </w:rPr>
        <w:t>4</w:t>
      </w:r>
      <w:r w:rsidR="0038735E">
        <w:rPr>
          <w:rFonts w:eastAsia="Malgun Gothic"/>
          <w:bCs/>
          <w:lang w:val="fr-FR"/>
        </w:rPr>
        <w:t> </w:t>
      </w:r>
      <w:r w:rsidRPr="001F1C26">
        <w:rPr>
          <w:rFonts w:eastAsia="Malgun Gothic"/>
          <w:bCs/>
          <w:lang w:val="fr-FR"/>
        </w:rPr>
        <w:t>novembre aux États parties. Le calendrier provisoire, tel qu</w:t>
      </w:r>
      <w:r w:rsidR="00923E72">
        <w:rPr>
          <w:rFonts w:eastAsia="Malgun Gothic"/>
          <w:bCs/>
          <w:lang w:val="fr-FR"/>
        </w:rPr>
        <w:t>’</w:t>
      </w:r>
      <w:r w:rsidRPr="001F1C26">
        <w:rPr>
          <w:rFonts w:eastAsia="Malgun Gothic"/>
          <w:bCs/>
          <w:lang w:val="fr-FR"/>
        </w:rPr>
        <w:t>approuvé par le Bureau le</w:t>
      </w:r>
      <w:r w:rsidR="009B677E">
        <w:rPr>
          <w:rFonts w:eastAsia="Malgun Gothic"/>
          <w:bCs/>
          <w:lang w:val="fr-FR"/>
        </w:rPr>
        <w:t> </w:t>
      </w:r>
      <w:r w:rsidR="0038735E">
        <w:rPr>
          <w:rFonts w:eastAsia="Malgun Gothic"/>
          <w:bCs/>
          <w:lang w:val="fr-FR"/>
        </w:rPr>
        <w:t>4 </w:t>
      </w:r>
      <w:r w:rsidRPr="001F1C26">
        <w:rPr>
          <w:rFonts w:eastAsia="Malgun Gothic"/>
          <w:bCs/>
          <w:lang w:val="fr-FR"/>
        </w:rPr>
        <w:t>octobre</w:t>
      </w:r>
      <w:r w:rsidR="0038735E">
        <w:rPr>
          <w:rFonts w:eastAsia="Malgun Gothic"/>
          <w:bCs/>
          <w:lang w:val="fr-FR"/>
        </w:rPr>
        <w:t> </w:t>
      </w:r>
      <w:r w:rsidRPr="001F1C26">
        <w:rPr>
          <w:rFonts w:eastAsia="Malgun Gothic"/>
          <w:bCs/>
          <w:lang w:val="fr-FR"/>
        </w:rPr>
        <w:t>2022, prévoyait cinq sessions ou environ quinze heures pour les points relatifs aux candidatures (soit seize minutes par dossier). Suivant la pratique habituelle, toutes les décisions au titre du point</w:t>
      </w:r>
      <w:r w:rsidR="0038735E">
        <w:rPr>
          <w:rFonts w:eastAsia="Malgun Gothic"/>
          <w:bCs/>
          <w:lang w:val="fr-FR"/>
        </w:rPr>
        <w:t> </w:t>
      </w:r>
      <w:r w:rsidRPr="001F1C26">
        <w:rPr>
          <w:rFonts w:eastAsia="Malgun Gothic"/>
          <w:bCs/>
          <w:lang w:val="fr-FR"/>
        </w:rPr>
        <w:t>7 et de ses sous-points seraient adoptées sans débat, à moins qu</w:t>
      </w:r>
      <w:r w:rsidR="00923E72">
        <w:rPr>
          <w:rFonts w:eastAsia="Malgun Gothic"/>
          <w:bCs/>
          <w:lang w:val="fr-FR"/>
        </w:rPr>
        <w:t>’</w:t>
      </w:r>
      <w:r w:rsidRPr="001F1C26">
        <w:rPr>
          <w:rFonts w:eastAsia="Malgun Gothic"/>
          <w:bCs/>
          <w:lang w:val="fr-FR"/>
        </w:rPr>
        <w:t>un membre du Comité n</w:t>
      </w:r>
      <w:r w:rsidR="00923E72">
        <w:rPr>
          <w:rFonts w:eastAsia="Malgun Gothic"/>
          <w:bCs/>
          <w:lang w:val="fr-FR"/>
        </w:rPr>
        <w:t>’</w:t>
      </w:r>
      <w:r w:rsidR="00933E6E">
        <w:rPr>
          <w:rFonts w:eastAsia="Malgun Gothic"/>
          <w:bCs/>
          <w:lang w:val="fr-FR"/>
        </w:rPr>
        <w:t xml:space="preserve">aborde </w:t>
      </w:r>
      <w:r w:rsidRPr="001F1C26">
        <w:rPr>
          <w:rFonts w:eastAsia="Malgun Gothic"/>
          <w:bCs/>
          <w:lang w:val="fr-FR"/>
        </w:rPr>
        <w:t>un point particulier. En principe, le Comité adopterait chaque projet de décision dans son ensemble sous réserve qu</w:t>
      </w:r>
      <w:r w:rsidR="00923E72">
        <w:rPr>
          <w:rFonts w:eastAsia="Malgun Gothic"/>
          <w:bCs/>
          <w:lang w:val="fr-FR"/>
        </w:rPr>
        <w:t>’</w:t>
      </w:r>
      <w:r w:rsidRPr="001F1C26">
        <w:rPr>
          <w:rFonts w:eastAsia="Malgun Gothic"/>
          <w:bCs/>
          <w:lang w:val="fr-FR"/>
        </w:rPr>
        <w:t>aucun amendement ni aucune demande de débat n</w:t>
      </w:r>
      <w:r w:rsidR="00923E72">
        <w:rPr>
          <w:rFonts w:eastAsia="Malgun Gothic"/>
          <w:bCs/>
          <w:lang w:val="fr-FR"/>
        </w:rPr>
        <w:t>’</w:t>
      </w:r>
      <w:r w:rsidRPr="001F1C26">
        <w:rPr>
          <w:rFonts w:eastAsia="Malgun Gothic"/>
          <w:bCs/>
          <w:lang w:val="fr-FR"/>
        </w:rPr>
        <w:t xml:space="preserve">ait été reçu. </w:t>
      </w:r>
      <w:r w:rsidR="000D0A89">
        <w:rPr>
          <w:rFonts w:eastAsia="Malgun Gothic"/>
          <w:bCs/>
          <w:lang w:val="fr-FR"/>
        </w:rPr>
        <w:t>Toutefois, s</w:t>
      </w:r>
      <w:r w:rsidR="00923E72">
        <w:rPr>
          <w:rFonts w:eastAsia="Malgun Gothic"/>
          <w:bCs/>
          <w:lang w:val="fr-FR"/>
        </w:rPr>
        <w:t>’</w:t>
      </w:r>
      <w:r w:rsidRPr="001F1C26">
        <w:rPr>
          <w:rFonts w:eastAsia="Malgun Gothic"/>
          <w:bCs/>
          <w:lang w:val="fr-FR"/>
        </w:rPr>
        <w:t>agissant des projets de décision pour lesquels des amendements étaient soumis, le Comité les adopterait paragraphe par paragraphe. Le Secrétariat a</w:t>
      </w:r>
      <w:r w:rsidR="000D0A89">
        <w:rPr>
          <w:rFonts w:eastAsia="Malgun Gothic"/>
          <w:bCs/>
          <w:lang w:val="fr-FR"/>
        </w:rPr>
        <w:t>vait</w:t>
      </w:r>
      <w:r w:rsidRPr="001F1C26">
        <w:rPr>
          <w:rFonts w:eastAsia="Malgun Gothic"/>
          <w:bCs/>
          <w:lang w:val="fr-FR"/>
        </w:rPr>
        <w:t xml:space="preserve"> reçu des amendements pour les candidatures suivantes</w:t>
      </w:r>
      <w:r w:rsidR="000D0A89">
        <w:rPr>
          <w:rFonts w:eastAsia="Malgun Gothic"/>
          <w:bCs/>
          <w:lang w:val="fr-FR"/>
        </w:rPr>
        <w:t> : a</w:t>
      </w:r>
      <w:r w:rsidRPr="001F1C26">
        <w:rPr>
          <w:rFonts w:eastAsia="Malgun Gothic"/>
          <w:bCs/>
          <w:lang w:val="fr-FR"/>
        </w:rPr>
        <w:t>u nom du groupe GRULAC, le Panama avait demandé l</w:t>
      </w:r>
      <w:r w:rsidR="00923E72">
        <w:rPr>
          <w:rFonts w:eastAsia="Malgun Gothic"/>
          <w:bCs/>
          <w:lang w:val="fr-FR"/>
        </w:rPr>
        <w:t>’</w:t>
      </w:r>
      <w:r w:rsidRPr="001F1C26">
        <w:rPr>
          <w:rFonts w:eastAsia="Malgun Gothic"/>
          <w:bCs/>
          <w:lang w:val="fr-FR"/>
        </w:rPr>
        <w:t>ouverture d</w:t>
      </w:r>
      <w:r w:rsidR="00923E72">
        <w:rPr>
          <w:rFonts w:eastAsia="Malgun Gothic"/>
          <w:bCs/>
          <w:lang w:val="fr-FR"/>
        </w:rPr>
        <w:t>’</w:t>
      </w:r>
      <w:r w:rsidRPr="001F1C26">
        <w:rPr>
          <w:rFonts w:eastAsia="Malgun Gothic"/>
          <w:bCs/>
          <w:lang w:val="fr-FR"/>
        </w:rPr>
        <w:t>un débat pour la candidature</w:t>
      </w:r>
      <w:r w:rsidR="0038735E">
        <w:rPr>
          <w:rFonts w:eastAsia="Malgun Gothic"/>
          <w:bCs/>
          <w:lang w:val="fr-FR"/>
        </w:rPr>
        <w:t xml:space="preserve"> de l</w:t>
      </w:r>
      <w:r w:rsidR="00923E72">
        <w:rPr>
          <w:rFonts w:eastAsia="Malgun Gothic"/>
          <w:bCs/>
          <w:lang w:val="fr-FR"/>
        </w:rPr>
        <w:t>’</w:t>
      </w:r>
      <w:r w:rsidR="0038735E" w:rsidRPr="0038735E">
        <w:rPr>
          <w:rFonts w:eastAsia="Malgun Gothic"/>
          <w:bCs/>
          <w:lang w:val="fr-FR"/>
        </w:rPr>
        <w:t>élément</w:t>
      </w:r>
      <w:r w:rsidRPr="001F1C26">
        <w:rPr>
          <w:rFonts w:eastAsia="Malgun Gothic"/>
          <w:bCs/>
          <w:lang w:val="fr-FR"/>
        </w:rPr>
        <w:t xml:space="preserve"> </w:t>
      </w:r>
      <w:r w:rsidR="0038735E">
        <w:rPr>
          <w:rFonts w:eastAsia="Malgun Gothic"/>
          <w:bCs/>
          <w:lang w:val="fr-FR"/>
        </w:rPr>
        <w:t>« L</w:t>
      </w:r>
      <w:r w:rsidRPr="001F1C26">
        <w:rPr>
          <w:rFonts w:eastAsia="Malgun Gothic"/>
          <w:bCs/>
          <w:lang w:val="fr-FR"/>
        </w:rPr>
        <w:t>e savoir-faire des maîtres du rhum léger</w:t>
      </w:r>
      <w:r w:rsidR="0038735E">
        <w:rPr>
          <w:rFonts w:eastAsia="Malgun Gothic"/>
          <w:bCs/>
          <w:lang w:val="fr-FR"/>
        </w:rPr>
        <w:t> »</w:t>
      </w:r>
      <w:r w:rsidRPr="001F1C26">
        <w:rPr>
          <w:rFonts w:eastAsia="Malgun Gothic"/>
          <w:bCs/>
          <w:lang w:val="fr-FR"/>
        </w:rPr>
        <w:t xml:space="preserve"> </w:t>
      </w:r>
      <w:r w:rsidR="000D0A89">
        <w:rPr>
          <w:rFonts w:eastAsia="Malgun Gothic"/>
          <w:bCs/>
          <w:lang w:val="fr-FR"/>
        </w:rPr>
        <w:t xml:space="preserve">soumise </w:t>
      </w:r>
      <w:r w:rsidRPr="001F1C26">
        <w:rPr>
          <w:rFonts w:eastAsia="Malgun Gothic"/>
          <w:bCs/>
          <w:lang w:val="fr-FR"/>
        </w:rPr>
        <w:t>par Cuba</w:t>
      </w:r>
      <w:r w:rsidR="0038735E">
        <w:rPr>
          <w:rFonts w:eastAsia="Malgun Gothic"/>
          <w:bCs/>
          <w:lang w:val="fr-FR"/>
        </w:rPr>
        <w:t> ;</w:t>
      </w:r>
      <w:r w:rsidRPr="001F1C26">
        <w:rPr>
          <w:rFonts w:eastAsia="Malgun Gothic"/>
          <w:bCs/>
          <w:lang w:val="fr-FR"/>
        </w:rPr>
        <w:t xml:space="preserve"> et </w:t>
      </w:r>
      <w:r w:rsidR="0038735E">
        <w:rPr>
          <w:rFonts w:eastAsia="Malgun Gothic"/>
          <w:bCs/>
          <w:lang w:val="fr-FR"/>
        </w:rPr>
        <w:t xml:space="preserve">pour </w:t>
      </w:r>
      <w:r w:rsidR="00657195">
        <w:rPr>
          <w:rFonts w:eastAsia="Malgun Gothic"/>
          <w:bCs/>
          <w:lang w:val="fr-FR"/>
        </w:rPr>
        <w:t xml:space="preserve">la </w:t>
      </w:r>
      <w:r w:rsidR="00657195" w:rsidRPr="00657195">
        <w:rPr>
          <w:rFonts w:eastAsia="Malgun Gothic"/>
          <w:bCs/>
          <w:lang w:val="fr-FR"/>
        </w:rPr>
        <w:t>candidature</w:t>
      </w:r>
      <w:r w:rsidR="00657195">
        <w:rPr>
          <w:rFonts w:eastAsia="Malgun Gothic"/>
          <w:bCs/>
          <w:lang w:val="fr-FR"/>
        </w:rPr>
        <w:t xml:space="preserve"> de l</w:t>
      </w:r>
      <w:r w:rsidR="00923E72">
        <w:rPr>
          <w:rFonts w:eastAsia="Malgun Gothic"/>
          <w:bCs/>
          <w:lang w:val="fr-FR"/>
        </w:rPr>
        <w:t>’</w:t>
      </w:r>
      <w:r w:rsidR="00657195" w:rsidRPr="00657195">
        <w:rPr>
          <w:rFonts w:eastAsia="Malgun Gothic"/>
          <w:bCs/>
          <w:lang w:val="fr-FR"/>
        </w:rPr>
        <w:t>élément</w:t>
      </w:r>
      <w:r w:rsidR="00657195">
        <w:rPr>
          <w:rFonts w:eastAsia="Malgun Gothic"/>
          <w:bCs/>
          <w:lang w:val="fr-FR"/>
        </w:rPr>
        <w:t xml:space="preserve"> </w:t>
      </w:r>
      <w:r w:rsidR="0038735E">
        <w:rPr>
          <w:rFonts w:eastAsia="Malgun Gothic"/>
          <w:bCs/>
          <w:lang w:val="fr-FR"/>
        </w:rPr>
        <w:t>« L</w:t>
      </w:r>
      <w:r w:rsidRPr="001F1C26">
        <w:rPr>
          <w:rFonts w:eastAsia="Malgun Gothic"/>
          <w:bCs/>
          <w:lang w:val="fr-FR"/>
        </w:rPr>
        <w:t xml:space="preserve">a </w:t>
      </w:r>
      <w:r w:rsidR="000D0A89">
        <w:rPr>
          <w:rFonts w:eastAsia="Malgun Gothic"/>
          <w:bCs/>
          <w:lang w:val="fr-FR"/>
        </w:rPr>
        <w:t>S</w:t>
      </w:r>
      <w:r w:rsidRPr="001F1C26">
        <w:rPr>
          <w:rFonts w:eastAsia="Malgun Gothic"/>
          <w:bCs/>
          <w:lang w:val="fr-FR"/>
        </w:rPr>
        <w:t>emaine sainte au Guatemala</w:t>
      </w:r>
      <w:r w:rsidR="0038735E">
        <w:rPr>
          <w:rFonts w:eastAsia="Malgun Gothic"/>
          <w:bCs/>
          <w:lang w:val="fr-FR"/>
        </w:rPr>
        <w:t> »</w:t>
      </w:r>
      <w:r w:rsidRPr="001F1C26">
        <w:rPr>
          <w:rFonts w:eastAsia="Malgun Gothic"/>
          <w:bCs/>
          <w:lang w:val="fr-FR"/>
        </w:rPr>
        <w:t xml:space="preserve"> soumise par le Guatemala</w:t>
      </w:r>
      <w:r w:rsidR="00657195">
        <w:rPr>
          <w:rFonts w:eastAsia="Malgun Gothic"/>
          <w:bCs/>
          <w:lang w:val="fr-FR"/>
        </w:rPr>
        <w:t>. Par ailleurs, l</w:t>
      </w:r>
      <w:r w:rsidRPr="001F1C26">
        <w:rPr>
          <w:rFonts w:eastAsia="Malgun Gothic"/>
          <w:bCs/>
          <w:lang w:val="fr-FR"/>
        </w:rPr>
        <w:t>e Brésil avait soumis un amendement pour la décision globale sur le point</w:t>
      </w:r>
      <w:r w:rsidR="00AC6722">
        <w:rPr>
          <w:rFonts w:eastAsia="Malgun Gothic"/>
          <w:bCs/>
          <w:lang w:val="fr-FR"/>
        </w:rPr>
        <w:t> </w:t>
      </w:r>
      <w:r w:rsidRPr="001F1C26">
        <w:rPr>
          <w:rFonts w:eastAsia="Malgun Gothic"/>
          <w:bCs/>
          <w:lang w:val="fr-FR"/>
        </w:rPr>
        <w:t xml:space="preserve">7, </w:t>
      </w:r>
      <w:r w:rsidR="00657195">
        <w:rPr>
          <w:rFonts w:eastAsia="Malgun Gothic"/>
          <w:bCs/>
          <w:lang w:val="fr-FR"/>
        </w:rPr>
        <w:t xml:space="preserve">le </w:t>
      </w:r>
      <w:r w:rsidR="000D0A89">
        <w:rPr>
          <w:rFonts w:eastAsia="Malgun Gothic"/>
          <w:bCs/>
          <w:lang w:val="fr-FR"/>
        </w:rPr>
        <w:t>r</w:t>
      </w:r>
      <w:r w:rsidRPr="001F1C26">
        <w:rPr>
          <w:rFonts w:eastAsia="Malgun Gothic"/>
          <w:bCs/>
          <w:lang w:val="fr-FR"/>
        </w:rPr>
        <w:t>apport de l</w:t>
      </w:r>
      <w:r w:rsidR="00923E72">
        <w:rPr>
          <w:rFonts w:eastAsia="Malgun Gothic"/>
          <w:bCs/>
          <w:lang w:val="fr-FR"/>
        </w:rPr>
        <w:t>’</w:t>
      </w:r>
      <w:r w:rsidRPr="001F1C26">
        <w:rPr>
          <w:rFonts w:eastAsia="Malgun Gothic"/>
          <w:bCs/>
          <w:lang w:val="fr-FR"/>
        </w:rPr>
        <w:t>Organe d</w:t>
      </w:r>
      <w:r w:rsidR="00923E72">
        <w:rPr>
          <w:rFonts w:eastAsia="Malgun Gothic"/>
          <w:bCs/>
          <w:lang w:val="fr-FR"/>
        </w:rPr>
        <w:t>’</w:t>
      </w:r>
      <w:r w:rsidRPr="001F1C26">
        <w:rPr>
          <w:rFonts w:eastAsia="Malgun Gothic"/>
          <w:bCs/>
          <w:lang w:val="fr-FR"/>
        </w:rPr>
        <w:t>évaluation sur ses travaux en</w:t>
      </w:r>
      <w:r w:rsidR="00246428">
        <w:rPr>
          <w:rFonts w:eastAsia="Malgun Gothic"/>
          <w:bCs/>
          <w:lang w:val="fr-FR"/>
        </w:rPr>
        <w:t> </w:t>
      </w:r>
      <w:r w:rsidRPr="001F1C26">
        <w:rPr>
          <w:rFonts w:eastAsia="Malgun Gothic"/>
          <w:bCs/>
          <w:lang w:val="fr-FR"/>
        </w:rPr>
        <w:t>2022 (projet de décision</w:t>
      </w:r>
      <w:r w:rsidR="00657195">
        <w:rPr>
          <w:rFonts w:eastAsia="Malgun Gothic"/>
          <w:bCs/>
          <w:lang w:val="fr-FR"/>
        </w:rPr>
        <w:t> </w:t>
      </w:r>
      <w:r w:rsidRPr="001F1C26">
        <w:rPr>
          <w:rFonts w:eastAsia="Malgun Gothic"/>
          <w:bCs/>
          <w:lang w:val="fr-FR"/>
        </w:rPr>
        <w:t>17.COM</w:t>
      </w:r>
      <w:r w:rsidR="00CB0121">
        <w:rPr>
          <w:rFonts w:eastAsia="Malgun Gothic"/>
          <w:bCs/>
          <w:lang w:val="fr-FR"/>
        </w:rPr>
        <w:t> </w:t>
      </w:r>
      <w:r w:rsidRPr="001F1C26">
        <w:rPr>
          <w:rFonts w:eastAsia="Malgun Gothic"/>
          <w:bCs/>
          <w:lang w:val="fr-FR"/>
        </w:rPr>
        <w:t>7), qui était soutenu par l</w:t>
      </w:r>
      <w:r w:rsidR="00923E72">
        <w:rPr>
          <w:rFonts w:eastAsia="Malgun Gothic"/>
          <w:bCs/>
          <w:lang w:val="fr-FR"/>
        </w:rPr>
        <w:t>’</w:t>
      </w:r>
      <w:r w:rsidRPr="001F1C26">
        <w:rPr>
          <w:rFonts w:eastAsia="Malgun Gothic"/>
          <w:bCs/>
          <w:lang w:val="fr-FR"/>
        </w:rPr>
        <w:t xml:space="preserve">Angola, le Panama, le Paraguay, le Pérou et le Rwanda. Le Brésil avait </w:t>
      </w:r>
      <w:r w:rsidR="00657195" w:rsidRPr="00657195">
        <w:rPr>
          <w:rFonts w:eastAsia="Malgun Gothic"/>
          <w:bCs/>
          <w:color w:val="000000" w:themeColor="text1"/>
          <w:lang w:val="fr-FR"/>
        </w:rPr>
        <w:t>également</w:t>
      </w:r>
      <w:r w:rsidR="00657195">
        <w:rPr>
          <w:rFonts w:eastAsia="Malgun Gothic"/>
          <w:bCs/>
          <w:color w:val="000000" w:themeColor="text1"/>
          <w:lang w:val="fr-FR"/>
        </w:rPr>
        <w:t xml:space="preserve"> </w:t>
      </w:r>
      <w:r w:rsidRPr="001F1C26">
        <w:rPr>
          <w:rFonts w:eastAsia="Malgun Gothic"/>
          <w:bCs/>
          <w:lang w:val="fr-FR"/>
        </w:rPr>
        <w:t>soumis un amendement pour la candidatur</w:t>
      </w:r>
      <w:r w:rsidR="000D0A89">
        <w:rPr>
          <w:rFonts w:eastAsia="Malgun Gothic"/>
          <w:bCs/>
          <w:lang w:val="fr-FR"/>
        </w:rPr>
        <w:t>e</w:t>
      </w:r>
      <w:r w:rsidR="00657195">
        <w:rPr>
          <w:rFonts w:eastAsia="Malgun Gothic"/>
          <w:bCs/>
          <w:lang w:val="fr-FR"/>
        </w:rPr>
        <w:t xml:space="preserve"> de l</w:t>
      </w:r>
      <w:r w:rsidR="00923E72">
        <w:rPr>
          <w:rFonts w:eastAsia="Malgun Gothic"/>
          <w:bCs/>
          <w:lang w:val="fr-FR"/>
        </w:rPr>
        <w:t>’</w:t>
      </w:r>
      <w:r w:rsidR="00657195">
        <w:rPr>
          <w:rFonts w:eastAsia="Malgun Gothic"/>
          <w:bCs/>
          <w:lang w:val="fr-FR"/>
        </w:rPr>
        <w:t>élément « L</w:t>
      </w:r>
      <w:r w:rsidR="00CB0121">
        <w:rPr>
          <w:rFonts w:eastAsia="Malgun Gothic"/>
          <w:bCs/>
          <w:lang w:val="fr-FR"/>
        </w:rPr>
        <w:t xml:space="preserve">e </w:t>
      </w:r>
      <w:r w:rsidRPr="001F1C26">
        <w:rPr>
          <w:rFonts w:eastAsia="Malgun Gothic"/>
          <w:bCs/>
          <w:lang w:val="fr-FR"/>
        </w:rPr>
        <w:t>savoir</w:t>
      </w:r>
      <w:r w:rsidR="00CB0121">
        <w:rPr>
          <w:rFonts w:eastAsia="Malgun Gothic"/>
          <w:bCs/>
          <w:lang w:val="fr-FR"/>
        </w:rPr>
        <w:t>-</w:t>
      </w:r>
      <w:r w:rsidRPr="001F1C26">
        <w:rPr>
          <w:rFonts w:eastAsia="Malgun Gothic"/>
          <w:bCs/>
          <w:lang w:val="fr-FR"/>
        </w:rPr>
        <w:t>faire des maîtres du rhum léger</w:t>
      </w:r>
      <w:r w:rsidR="00657195">
        <w:rPr>
          <w:rFonts w:eastAsia="Malgun Gothic"/>
          <w:bCs/>
          <w:lang w:val="fr-FR"/>
        </w:rPr>
        <w:t> »</w:t>
      </w:r>
      <w:r w:rsidR="00AC6722">
        <w:rPr>
          <w:rFonts w:eastAsia="Malgun Gothic"/>
          <w:bCs/>
          <w:lang w:val="fr-FR"/>
        </w:rPr>
        <w:t>,</w:t>
      </w:r>
      <w:r w:rsidRPr="001F1C26">
        <w:rPr>
          <w:rFonts w:eastAsia="Malgun Gothic"/>
          <w:bCs/>
          <w:lang w:val="fr-FR"/>
        </w:rPr>
        <w:t xml:space="preserve"> soumise par Cuba</w:t>
      </w:r>
      <w:r w:rsidR="00AC6722">
        <w:rPr>
          <w:rFonts w:eastAsia="Malgun Gothic"/>
          <w:bCs/>
          <w:lang w:val="fr-FR"/>
        </w:rPr>
        <w:t xml:space="preserve"> </w:t>
      </w:r>
      <w:r w:rsidRPr="001F1C26">
        <w:rPr>
          <w:rFonts w:eastAsia="Malgun Gothic"/>
          <w:bCs/>
          <w:lang w:val="fr-FR"/>
        </w:rPr>
        <w:t>en vue de son inscription sur la Liste représentative (projet de décision</w:t>
      </w:r>
      <w:r w:rsidR="00657195">
        <w:rPr>
          <w:rFonts w:eastAsia="Malgun Gothic"/>
          <w:bCs/>
          <w:lang w:val="fr-FR"/>
        </w:rPr>
        <w:t> </w:t>
      </w:r>
      <w:r w:rsidRPr="001F1C26">
        <w:rPr>
          <w:rFonts w:eastAsia="Malgun Gothic"/>
          <w:bCs/>
          <w:lang w:val="fr-FR"/>
        </w:rPr>
        <w:t>17</w:t>
      </w:r>
      <w:r w:rsidR="00657195">
        <w:rPr>
          <w:rFonts w:eastAsia="Malgun Gothic"/>
          <w:bCs/>
          <w:lang w:val="fr-FR"/>
        </w:rPr>
        <w:t>.</w:t>
      </w:r>
      <w:r w:rsidRPr="001F1C26">
        <w:rPr>
          <w:rFonts w:eastAsia="Malgun Gothic"/>
          <w:bCs/>
          <w:lang w:val="fr-FR"/>
        </w:rPr>
        <w:t>COM</w:t>
      </w:r>
      <w:r w:rsidR="00CB0121">
        <w:rPr>
          <w:rFonts w:eastAsia="Malgun Gothic"/>
          <w:bCs/>
          <w:lang w:val="fr-FR"/>
        </w:rPr>
        <w:t> </w:t>
      </w:r>
      <w:r w:rsidRPr="001F1C26">
        <w:rPr>
          <w:rFonts w:eastAsia="Malgun Gothic"/>
          <w:bCs/>
          <w:lang w:val="fr-FR"/>
        </w:rPr>
        <w:t>7.b.5), qui était soutenu par l</w:t>
      </w:r>
      <w:r w:rsidR="00923E72">
        <w:rPr>
          <w:rFonts w:eastAsia="Malgun Gothic"/>
          <w:bCs/>
          <w:lang w:val="fr-FR"/>
        </w:rPr>
        <w:t>’</w:t>
      </w:r>
      <w:r w:rsidRPr="001F1C26">
        <w:rPr>
          <w:rFonts w:eastAsia="Malgun Gothic"/>
          <w:bCs/>
          <w:lang w:val="fr-FR"/>
        </w:rPr>
        <w:t>Angola, l</w:t>
      </w:r>
      <w:r w:rsidR="00923E72">
        <w:rPr>
          <w:rFonts w:eastAsia="Malgun Gothic"/>
          <w:bCs/>
          <w:lang w:val="fr-FR"/>
        </w:rPr>
        <w:t>’</w:t>
      </w:r>
      <w:r w:rsidRPr="001F1C26">
        <w:rPr>
          <w:rFonts w:eastAsia="Malgun Gothic"/>
          <w:bCs/>
          <w:lang w:val="fr-FR"/>
        </w:rPr>
        <w:t>Éthiopie, le Panama, le Paraguay, le Pérou, le Rwanda et le Viet</w:t>
      </w:r>
      <w:r w:rsidR="00657195">
        <w:rPr>
          <w:rFonts w:eastAsia="Malgun Gothic"/>
          <w:bCs/>
          <w:lang w:val="fr-FR"/>
        </w:rPr>
        <w:t> </w:t>
      </w:r>
      <w:r w:rsidRPr="001F1C26">
        <w:rPr>
          <w:rFonts w:eastAsia="Malgun Gothic"/>
          <w:bCs/>
          <w:lang w:val="fr-FR"/>
        </w:rPr>
        <w:t>Nam. L</w:t>
      </w:r>
      <w:r w:rsidR="00923E72">
        <w:rPr>
          <w:rFonts w:eastAsia="Malgun Gothic"/>
          <w:bCs/>
          <w:lang w:val="fr-FR"/>
        </w:rPr>
        <w:t>’</w:t>
      </w:r>
      <w:r w:rsidRPr="001F1C26">
        <w:rPr>
          <w:rFonts w:eastAsia="Malgun Gothic"/>
          <w:bCs/>
          <w:lang w:val="fr-FR"/>
        </w:rPr>
        <w:t>Arabie</w:t>
      </w:r>
      <w:r w:rsidR="008D3070">
        <w:rPr>
          <w:rFonts w:eastAsia="Malgun Gothic"/>
          <w:bCs/>
          <w:lang w:val="fr-FR"/>
        </w:rPr>
        <w:t> </w:t>
      </w:r>
      <w:r w:rsidRPr="001F1C26">
        <w:rPr>
          <w:rFonts w:eastAsia="Malgun Gothic"/>
          <w:bCs/>
          <w:lang w:val="fr-FR"/>
        </w:rPr>
        <w:t>saoudite avait soumis un amendement pour la candidature</w:t>
      </w:r>
      <w:r w:rsidR="00657195">
        <w:rPr>
          <w:rFonts w:eastAsia="Malgun Gothic"/>
          <w:bCs/>
          <w:lang w:val="fr-FR"/>
        </w:rPr>
        <w:t xml:space="preserve"> de l</w:t>
      </w:r>
      <w:r w:rsidR="00923E72">
        <w:rPr>
          <w:rFonts w:eastAsia="Malgun Gothic"/>
          <w:bCs/>
          <w:lang w:val="fr-FR"/>
        </w:rPr>
        <w:t>’</w:t>
      </w:r>
      <w:r w:rsidR="00657195">
        <w:rPr>
          <w:rFonts w:eastAsia="Malgun Gothic"/>
          <w:bCs/>
          <w:lang w:val="fr-FR"/>
        </w:rPr>
        <w:t>élément</w:t>
      </w:r>
      <w:r w:rsidR="000D0A89">
        <w:rPr>
          <w:rFonts w:eastAsia="Malgun Gothic"/>
          <w:bCs/>
          <w:lang w:val="fr-FR"/>
        </w:rPr>
        <w:t xml:space="preserve"> </w:t>
      </w:r>
      <w:r w:rsidR="00657195">
        <w:rPr>
          <w:rFonts w:eastAsia="Malgun Gothic"/>
          <w:bCs/>
          <w:lang w:val="fr-FR"/>
        </w:rPr>
        <w:t>« L</w:t>
      </w:r>
      <w:r w:rsidR="000D0A89">
        <w:rPr>
          <w:rFonts w:eastAsia="Malgun Gothic"/>
          <w:bCs/>
          <w:lang w:val="fr-FR"/>
        </w:rPr>
        <w:t>es f</w:t>
      </w:r>
      <w:r w:rsidRPr="001F1C26">
        <w:rPr>
          <w:rFonts w:eastAsia="Malgun Gothic"/>
          <w:bCs/>
          <w:lang w:val="fr-FR"/>
        </w:rPr>
        <w:t>estiv</w:t>
      </w:r>
      <w:r w:rsidR="000D0A89">
        <w:rPr>
          <w:rFonts w:eastAsia="Malgun Gothic"/>
          <w:bCs/>
          <w:lang w:val="fr-FR"/>
        </w:rPr>
        <w:t>ités associées</w:t>
      </w:r>
      <w:r w:rsidRPr="001F1C26">
        <w:rPr>
          <w:rFonts w:eastAsia="Malgun Gothic"/>
          <w:bCs/>
          <w:lang w:val="fr-FR"/>
        </w:rPr>
        <w:t xml:space="preserve"> au voyage de la Sainte Famille en Égypte</w:t>
      </w:r>
      <w:r w:rsidR="00657195">
        <w:rPr>
          <w:rFonts w:eastAsia="Malgun Gothic"/>
          <w:bCs/>
          <w:lang w:val="fr-FR"/>
        </w:rPr>
        <w:t> »</w:t>
      </w:r>
      <w:r w:rsidR="00AC6722">
        <w:rPr>
          <w:rFonts w:eastAsia="Malgun Gothic"/>
          <w:bCs/>
          <w:lang w:val="fr-FR"/>
        </w:rPr>
        <w:t>,</w:t>
      </w:r>
      <w:r w:rsidR="00657195">
        <w:rPr>
          <w:rFonts w:eastAsia="Malgun Gothic"/>
          <w:bCs/>
          <w:lang w:val="fr-FR"/>
        </w:rPr>
        <w:t xml:space="preserve"> </w:t>
      </w:r>
      <w:r w:rsidRPr="001F1C26">
        <w:rPr>
          <w:rFonts w:eastAsia="Malgun Gothic"/>
          <w:bCs/>
          <w:lang w:val="fr-FR"/>
        </w:rPr>
        <w:t>soumise par l</w:t>
      </w:r>
      <w:r w:rsidR="00923E72">
        <w:rPr>
          <w:rFonts w:eastAsia="Malgun Gothic"/>
          <w:bCs/>
          <w:lang w:val="fr-FR"/>
        </w:rPr>
        <w:t>’</w:t>
      </w:r>
      <w:r w:rsidRPr="001F1C26">
        <w:rPr>
          <w:rFonts w:eastAsia="Malgun Gothic"/>
          <w:bCs/>
          <w:lang w:val="fr-FR"/>
        </w:rPr>
        <w:t>Égypte</w:t>
      </w:r>
      <w:r w:rsidR="00AC6722">
        <w:rPr>
          <w:rFonts w:eastAsia="Malgun Gothic"/>
          <w:bCs/>
          <w:lang w:val="fr-FR"/>
        </w:rPr>
        <w:t xml:space="preserve"> </w:t>
      </w:r>
      <w:r w:rsidRPr="001F1C26">
        <w:rPr>
          <w:rFonts w:eastAsia="Malgun Gothic"/>
          <w:bCs/>
          <w:lang w:val="fr-FR"/>
        </w:rPr>
        <w:t>en vue de son inscription sur la Liste représentative (projet de décision</w:t>
      </w:r>
      <w:r w:rsidR="00657195">
        <w:rPr>
          <w:rFonts w:eastAsia="Malgun Gothic"/>
          <w:bCs/>
          <w:lang w:val="fr-FR"/>
        </w:rPr>
        <w:t> </w:t>
      </w:r>
      <w:r w:rsidRPr="001F1C26">
        <w:rPr>
          <w:rFonts w:eastAsia="Malgun Gothic"/>
          <w:bCs/>
          <w:lang w:val="fr-FR"/>
        </w:rPr>
        <w:t>17.COM</w:t>
      </w:r>
      <w:r w:rsidR="00CB0121">
        <w:rPr>
          <w:rFonts w:eastAsia="Malgun Gothic"/>
          <w:bCs/>
          <w:lang w:val="fr-FR"/>
        </w:rPr>
        <w:t> </w:t>
      </w:r>
      <w:r w:rsidRPr="001F1C26">
        <w:rPr>
          <w:rFonts w:eastAsia="Malgun Gothic"/>
          <w:bCs/>
          <w:lang w:val="fr-FR"/>
        </w:rPr>
        <w:t>7.b.7), qui était soutenu par le Brésil, la Malaisie, l</w:t>
      </w:r>
      <w:r w:rsidR="00923E72">
        <w:rPr>
          <w:rFonts w:eastAsia="Malgun Gothic"/>
          <w:bCs/>
          <w:lang w:val="fr-FR"/>
        </w:rPr>
        <w:t>’</w:t>
      </w:r>
      <w:r w:rsidRPr="001F1C26">
        <w:rPr>
          <w:rFonts w:eastAsia="Malgun Gothic"/>
          <w:bCs/>
          <w:lang w:val="fr-FR"/>
        </w:rPr>
        <w:t>Ouzbékistan, le Bangladesh, le Maroc, la Mauritanie, le Viet</w:t>
      </w:r>
      <w:r w:rsidR="000D0A89">
        <w:rPr>
          <w:rFonts w:eastAsia="Malgun Gothic"/>
          <w:bCs/>
          <w:lang w:val="fr-FR"/>
        </w:rPr>
        <w:t> </w:t>
      </w:r>
      <w:r w:rsidRPr="001F1C26">
        <w:rPr>
          <w:rFonts w:eastAsia="Malgun Gothic"/>
          <w:bCs/>
          <w:lang w:val="fr-FR"/>
        </w:rPr>
        <w:t>Nam, l</w:t>
      </w:r>
      <w:r w:rsidR="00923E72">
        <w:rPr>
          <w:rFonts w:eastAsia="Malgun Gothic"/>
          <w:bCs/>
          <w:lang w:val="fr-FR"/>
        </w:rPr>
        <w:t>’</w:t>
      </w:r>
      <w:r w:rsidRPr="001F1C26">
        <w:rPr>
          <w:rFonts w:eastAsia="Malgun Gothic"/>
          <w:bCs/>
          <w:lang w:val="fr-FR"/>
        </w:rPr>
        <w:t>Inde et le Paraguay</w:t>
      </w:r>
      <w:r w:rsidR="00657195">
        <w:rPr>
          <w:rFonts w:eastAsia="Malgun Gothic"/>
          <w:bCs/>
          <w:lang w:val="fr-FR"/>
        </w:rPr>
        <w:t>. L</w:t>
      </w:r>
      <w:r w:rsidR="00923E72">
        <w:rPr>
          <w:rFonts w:eastAsia="Malgun Gothic"/>
          <w:bCs/>
          <w:lang w:val="fr-FR"/>
        </w:rPr>
        <w:t>’</w:t>
      </w:r>
      <w:r w:rsidRPr="001F1C26">
        <w:rPr>
          <w:rFonts w:eastAsia="Malgun Gothic"/>
          <w:bCs/>
          <w:lang w:val="fr-FR"/>
        </w:rPr>
        <w:t>Arabie</w:t>
      </w:r>
      <w:r w:rsidR="008D3070">
        <w:rPr>
          <w:rFonts w:eastAsia="Malgun Gothic"/>
          <w:bCs/>
          <w:lang w:val="fr-FR"/>
        </w:rPr>
        <w:t> </w:t>
      </w:r>
      <w:r w:rsidRPr="001F1C26">
        <w:rPr>
          <w:rFonts w:eastAsia="Malgun Gothic"/>
          <w:bCs/>
          <w:lang w:val="fr-FR"/>
        </w:rPr>
        <w:t xml:space="preserve">saoudite avait </w:t>
      </w:r>
      <w:r w:rsidR="00657195" w:rsidRPr="00657195">
        <w:rPr>
          <w:rFonts w:eastAsia="Malgun Gothic"/>
          <w:bCs/>
          <w:color w:val="000000" w:themeColor="text1"/>
          <w:lang w:val="fr-FR"/>
        </w:rPr>
        <w:t>également</w:t>
      </w:r>
      <w:r w:rsidR="00657195">
        <w:rPr>
          <w:rFonts w:eastAsia="Malgun Gothic"/>
          <w:bCs/>
          <w:color w:val="000000" w:themeColor="text1"/>
          <w:lang w:val="fr-FR"/>
        </w:rPr>
        <w:t xml:space="preserve"> </w:t>
      </w:r>
      <w:r w:rsidRPr="001F1C26">
        <w:rPr>
          <w:rFonts w:eastAsia="Malgun Gothic"/>
          <w:bCs/>
          <w:lang w:val="fr-FR"/>
        </w:rPr>
        <w:t>soumis un amendement pour la candidature</w:t>
      </w:r>
      <w:r w:rsidR="00657195">
        <w:rPr>
          <w:rFonts w:eastAsia="Malgun Gothic"/>
          <w:bCs/>
          <w:lang w:val="fr-FR"/>
        </w:rPr>
        <w:t xml:space="preserve"> de l</w:t>
      </w:r>
      <w:r w:rsidR="00923E72">
        <w:rPr>
          <w:rFonts w:eastAsia="Malgun Gothic"/>
          <w:bCs/>
          <w:lang w:val="fr-FR"/>
        </w:rPr>
        <w:t>’</w:t>
      </w:r>
      <w:r w:rsidR="00657195">
        <w:rPr>
          <w:rFonts w:eastAsia="Malgun Gothic"/>
          <w:bCs/>
          <w:lang w:val="fr-FR"/>
        </w:rPr>
        <w:t>élément</w:t>
      </w:r>
      <w:r w:rsidRPr="001F1C26">
        <w:rPr>
          <w:rFonts w:eastAsia="Malgun Gothic"/>
          <w:bCs/>
          <w:lang w:val="fr-FR"/>
        </w:rPr>
        <w:t xml:space="preserve"> </w:t>
      </w:r>
      <w:r w:rsidR="00657195">
        <w:rPr>
          <w:rFonts w:eastAsia="Malgun Gothic"/>
          <w:bCs/>
          <w:lang w:val="fr-FR"/>
        </w:rPr>
        <w:t>« L</w:t>
      </w:r>
      <w:r w:rsidR="00AB00F9">
        <w:rPr>
          <w:rFonts w:eastAsia="Malgun Gothic"/>
          <w:bCs/>
          <w:lang w:val="fr-FR"/>
        </w:rPr>
        <w:t xml:space="preserve">a </w:t>
      </w:r>
      <w:r w:rsidRPr="001F1C26">
        <w:rPr>
          <w:rFonts w:eastAsia="Malgun Gothic"/>
          <w:bCs/>
          <w:lang w:val="fr-FR"/>
        </w:rPr>
        <w:t xml:space="preserve">danse moderne en </w:t>
      </w:r>
      <w:r w:rsidR="00657195">
        <w:rPr>
          <w:rFonts w:eastAsia="Malgun Gothic"/>
          <w:bCs/>
          <w:lang w:val="fr-FR"/>
        </w:rPr>
        <w:t>Allemagne »,</w:t>
      </w:r>
      <w:r w:rsidRPr="001F1C26">
        <w:rPr>
          <w:rFonts w:eastAsia="Malgun Gothic"/>
          <w:bCs/>
          <w:lang w:val="fr-FR"/>
        </w:rPr>
        <w:t xml:space="preserve"> </w:t>
      </w:r>
      <w:r w:rsidR="000D0A89">
        <w:rPr>
          <w:rFonts w:eastAsia="Malgun Gothic"/>
          <w:bCs/>
          <w:lang w:val="fr-FR"/>
        </w:rPr>
        <w:t xml:space="preserve">soumise </w:t>
      </w:r>
      <w:r w:rsidRPr="001F1C26">
        <w:rPr>
          <w:rFonts w:eastAsia="Malgun Gothic"/>
          <w:bCs/>
          <w:lang w:val="fr-FR"/>
        </w:rPr>
        <w:t>par l</w:t>
      </w:r>
      <w:r w:rsidR="00923E72">
        <w:rPr>
          <w:rFonts w:eastAsia="Malgun Gothic"/>
          <w:bCs/>
          <w:lang w:val="fr-FR"/>
        </w:rPr>
        <w:t>’</w:t>
      </w:r>
      <w:r w:rsidRPr="001F1C26">
        <w:rPr>
          <w:rFonts w:eastAsia="Malgun Gothic"/>
          <w:bCs/>
          <w:lang w:val="fr-FR"/>
        </w:rPr>
        <w:t>Allemagne.</w:t>
      </w:r>
    </w:p>
    <w:p w14:paraId="7EB704AF" w14:textId="1E6A155F" w:rsidR="000D0A89" w:rsidRDefault="000D0A8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signalé que l</w:t>
      </w:r>
      <w:r w:rsidR="00923E72">
        <w:rPr>
          <w:rFonts w:eastAsia="Malgun Gothic"/>
          <w:bCs/>
          <w:lang w:val="fr-FR"/>
        </w:rPr>
        <w:t>’</w:t>
      </w:r>
      <w:r>
        <w:rPr>
          <w:rFonts w:eastAsia="Malgun Gothic"/>
          <w:bCs/>
          <w:lang w:val="fr-FR"/>
        </w:rPr>
        <w:t>Allemagne avait invoqué une motion d</w:t>
      </w:r>
      <w:r w:rsidR="00923E72">
        <w:rPr>
          <w:rFonts w:eastAsia="Malgun Gothic"/>
          <w:bCs/>
          <w:lang w:val="fr-FR"/>
        </w:rPr>
        <w:t>’</w:t>
      </w:r>
      <w:r>
        <w:rPr>
          <w:rFonts w:eastAsia="Malgun Gothic"/>
          <w:bCs/>
          <w:lang w:val="fr-FR"/>
        </w:rPr>
        <w:t>ordre.</w:t>
      </w:r>
    </w:p>
    <w:p w14:paraId="193D3D27" w14:textId="4B33F4A5" w:rsidR="000D0A89" w:rsidRDefault="000D0A8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La </w:t>
      </w:r>
      <w:r w:rsidRPr="000D0A89">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Allemagne</w:t>
      </w:r>
      <w:r>
        <w:rPr>
          <w:rFonts w:eastAsia="Malgun Gothic"/>
          <w:bCs/>
          <w:lang w:val="fr-FR"/>
        </w:rPr>
        <w:t xml:space="preserve"> a notifié au Président que l</w:t>
      </w:r>
      <w:r w:rsidR="00923E72">
        <w:rPr>
          <w:rFonts w:eastAsia="Malgun Gothic"/>
          <w:bCs/>
          <w:lang w:val="fr-FR"/>
        </w:rPr>
        <w:t>’</w:t>
      </w:r>
      <w:r>
        <w:rPr>
          <w:rFonts w:eastAsia="Malgun Gothic"/>
          <w:bCs/>
          <w:lang w:val="fr-FR"/>
        </w:rPr>
        <w:t xml:space="preserve">Allemagne soutenait </w:t>
      </w:r>
      <w:r w:rsidRPr="000D0A89">
        <w:rPr>
          <w:rFonts w:eastAsia="Malgun Gothic"/>
          <w:bCs/>
          <w:color w:val="000000" w:themeColor="text1"/>
          <w:lang w:val="fr-FR"/>
        </w:rPr>
        <w:t>également</w:t>
      </w:r>
      <w:r>
        <w:rPr>
          <w:rFonts w:eastAsia="Malgun Gothic"/>
          <w:bCs/>
          <w:color w:val="000000" w:themeColor="text1"/>
          <w:lang w:val="fr-FR"/>
        </w:rPr>
        <w:t xml:space="preserve"> l</w:t>
      </w:r>
      <w:r w:rsidR="00923E72">
        <w:rPr>
          <w:rFonts w:eastAsia="Malgun Gothic"/>
          <w:bCs/>
          <w:color w:val="000000" w:themeColor="text1"/>
          <w:lang w:val="fr-FR"/>
        </w:rPr>
        <w:t>’</w:t>
      </w:r>
      <w:r w:rsidRPr="000D0A89">
        <w:rPr>
          <w:rFonts w:eastAsia="Malgun Gothic"/>
          <w:bCs/>
          <w:color w:val="000000" w:themeColor="text1"/>
          <w:lang w:val="fr-FR"/>
        </w:rPr>
        <w:t>amendement</w:t>
      </w:r>
      <w:r>
        <w:rPr>
          <w:rFonts w:eastAsia="Malgun Gothic"/>
          <w:bCs/>
          <w:color w:val="000000" w:themeColor="text1"/>
          <w:lang w:val="fr-FR"/>
        </w:rPr>
        <w:t xml:space="preserve"> soumis pour </w:t>
      </w:r>
      <w:r w:rsidR="00657195">
        <w:rPr>
          <w:rFonts w:eastAsia="Malgun Gothic"/>
          <w:bCs/>
          <w:color w:val="000000" w:themeColor="text1"/>
          <w:lang w:val="fr-FR"/>
        </w:rPr>
        <w:t>« L</w:t>
      </w:r>
      <w:r>
        <w:rPr>
          <w:rFonts w:eastAsia="Malgun Gothic"/>
          <w:bCs/>
          <w:color w:val="000000" w:themeColor="text1"/>
          <w:lang w:val="fr-FR"/>
        </w:rPr>
        <w:t xml:space="preserve">es </w:t>
      </w:r>
      <w:r>
        <w:rPr>
          <w:rFonts w:eastAsia="Malgun Gothic"/>
          <w:bCs/>
          <w:lang w:val="fr-FR"/>
        </w:rPr>
        <w:t>f</w:t>
      </w:r>
      <w:r w:rsidRPr="001F1C26">
        <w:rPr>
          <w:rFonts w:eastAsia="Malgun Gothic"/>
          <w:bCs/>
          <w:lang w:val="fr-FR"/>
        </w:rPr>
        <w:t>estiv</w:t>
      </w:r>
      <w:r>
        <w:rPr>
          <w:rFonts w:eastAsia="Malgun Gothic"/>
          <w:bCs/>
          <w:lang w:val="fr-FR"/>
        </w:rPr>
        <w:t>ités associées</w:t>
      </w:r>
      <w:r w:rsidRPr="001F1C26">
        <w:rPr>
          <w:rFonts w:eastAsia="Malgun Gothic"/>
          <w:bCs/>
          <w:lang w:val="fr-FR"/>
        </w:rPr>
        <w:t xml:space="preserve"> au voyage de la Sainte Famille en Égypte</w:t>
      </w:r>
      <w:r w:rsidR="00657195">
        <w:rPr>
          <w:rFonts w:eastAsia="Malgun Gothic"/>
          <w:bCs/>
          <w:lang w:val="fr-FR"/>
        </w:rPr>
        <w:t> ».</w:t>
      </w:r>
    </w:p>
    <w:p w14:paraId="0079D52E" w14:textId="00DF0AD2" w:rsidR="00AD537A" w:rsidRDefault="00AD537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Secrétaire</w:t>
      </w:r>
      <w:r>
        <w:rPr>
          <w:rFonts w:eastAsia="Malgun Gothic"/>
          <w:bCs/>
          <w:lang w:val="fr-FR"/>
        </w:rPr>
        <w:t xml:space="preserve"> a précisé que le document lu par le Président était le document initial, mais que des courriels avaient été reçus et qu</w:t>
      </w:r>
      <w:r w:rsidR="00923E72">
        <w:rPr>
          <w:rFonts w:eastAsia="Malgun Gothic"/>
          <w:bCs/>
          <w:lang w:val="fr-FR"/>
        </w:rPr>
        <w:t>’</w:t>
      </w:r>
      <w:r>
        <w:rPr>
          <w:rFonts w:eastAsia="Malgun Gothic"/>
          <w:bCs/>
          <w:lang w:val="fr-FR"/>
        </w:rPr>
        <w:t xml:space="preserve">ils seraient de toute façon pris en </w:t>
      </w:r>
      <w:r w:rsidRPr="00AD537A">
        <w:rPr>
          <w:rFonts w:eastAsia="Malgun Gothic"/>
          <w:bCs/>
          <w:lang w:val="fr-FR"/>
        </w:rPr>
        <w:t>considération</w:t>
      </w:r>
      <w:r>
        <w:rPr>
          <w:rFonts w:eastAsia="Malgun Gothic"/>
          <w:bCs/>
          <w:lang w:val="fr-FR"/>
        </w:rPr>
        <w:t xml:space="preserve"> lors de l</w:t>
      </w:r>
      <w:r w:rsidR="00923E72">
        <w:rPr>
          <w:rFonts w:eastAsia="Malgun Gothic"/>
          <w:bCs/>
          <w:lang w:val="fr-FR"/>
        </w:rPr>
        <w:t>’</w:t>
      </w:r>
      <w:r>
        <w:rPr>
          <w:rFonts w:eastAsia="Malgun Gothic"/>
          <w:bCs/>
          <w:lang w:val="fr-FR"/>
        </w:rPr>
        <w:t>examen des dossiers individuels.</w:t>
      </w:r>
    </w:p>
    <w:p w14:paraId="5F61F86D" w14:textId="15A128F8" w:rsidR="00AD537A" w:rsidRDefault="00CB0121"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CB0121">
        <w:rPr>
          <w:rFonts w:eastAsia="Malgun Gothic"/>
          <w:bCs/>
          <w:lang w:val="fr-FR"/>
        </w:rPr>
        <w:t xml:space="preserve">Le </w:t>
      </w:r>
      <w:r w:rsidRPr="00702497">
        <w:rPr>
          <w:rFonts w:eastAsia="Malgun Gothic"/>
          <w:b/>
          <w:lang w:val="fr-FR"/>
        </w:rPr>
        <w:t>Président</w:t>
      </w:r>
      <w:r w:rsidRPr="00CB0121">
        <w:rPr>
          <w:rFonts w:eastAsia="Malgun Gothic"/>
          <w:bCs/>
          <w:lang w:val="fr-FR"/>
        </w:rPr>
        <w:t xml:space="preserve"> a poursuivi en indiquant que l</w:t>
      </w:r>
      <w:r w:rsidR="00923E72">
        <w:rPr>
          <w:rFonts w:eastAsia="Malgun Gothic"/>
          <w:bCs/>
          <w:lang w:val="fr-FR"/>
        </w:rPr>
        <w:t>’</w:t>
      </w:r>
      <w:r w:rsidRPr="00CB0121">
        <w:rPr>
          <w:rFonts w:eastAsia="Malgun Gothic"/>
          <w:bCs/>
          <w:lang w:val="fr-FR"/>
        </w:rPr>
        <w:t>Arabie</w:t>
      </w:r>
      <w:r w:rsidR="008D3070">
        <w:rPr>
          <w:rFonts w:eastAsia="Malgun Gothic"/>
          <w:bCs/>
          <w:lang w:val="fr-FR"/>
        </w:rPr>
        <w:t> </w:t>
      </w:r>
      <w:r w:rsidRPr="00CB0121">
        <w:rPr>
          <w:rFonts w:eastAsia="Malgun Gothic"/>
          <w:bCs/>
          <w:lang w:val="fr-FR"/>
        </w:rPr>
        <w:t xml:space="preserve">saoudite avait </w:t>
      </w:r>
      <w:r>
        <w:rPr>
          <w:rFonts w:eastAsia="Malgun Gothic"/>
          <w:bCs/>
          <w:lang w:val="fr-FR"/>
        </w:rPr>
        <w:t xml:space="preserve">donc </w:t>
      </w:r>
      <w:r w:rsidRPr="00CB0121">
        <w:rPr>
          <w:rFonts w:eastAsia="Malgun Gothic"/>
          <w:bCs/>
          <w:lang w:val="fr-FR"/>
        </w:rPr>
        <w:t>soumis un amendement pour la candidature</w:t>
      </w:r>
      <w:r w:rsidR="00AB00F9">
        <w:rPr>
          <w:rFonts w:eastAsia="Malgun Gothic"/>
          <w:bCs/>
          <w:lang w:val="fr-FR"/>
        </w:rPr>
        <w:t xml:space="preserve"> </w:t>
      </w:r>
      <w:r>
        <w:rPr>
          <w:rFonts w:eastAsia="Malgun Gothic"/>
          <w:bCs/>
          <w:lang w:val="fr-FR"/>
        </w:rPr>
        <w:t xml:space="preserve">de </w:t>
      </w:r>
      <w:r w:rsidR="00657195">
        <w:rPr>
          <w:rFonts w:eastAsia="Malgun Gothic"/>
          <w:bCs/>
          <w:lang w:val="fr-FR"/>
        </w:rPr>
        <w:t>« L</w:t>
      </w:r>
      <w:r>
        <w:rPr>
          <w:rFonts w:eastAsia="Malgun Gothic"/>
          <w:bCs/>
          <w:lang w:val="fr-FR"/>
        </w:rPr>
        <w:t>a d</w:t>
      </w:r>
      <w:r w:rsidRPr="00CB0121">
        <w:rPr>
          <w:rFonts w:eastAsia="Malgun Gothic"/>
          <w:bCs/>
          <w:lang w:val="fr-FR"/>
        </w:rPr>
        <w:t xml:space="preserve">anse moderne en </w:t>
      </w:r>
      <w:r w:rsidR="00657195">
        <w:rPr>
          <w:rFonts w:eastAsia="Malgun Gothic"/>
          <w:bCs/>
          <w:lang w:val="fr-FR"/>
        </w:rPr>
        <w:t>Allemagne »</w:t>
      </w:r>
      <w:r w:rsidR="00AC6722">
        <w:rPr>
          <w:rFonts w:eastAsia="Malgun Gothic"/>
          <w:bCs/>
          <w:lang w:val="fr-FR"/>
        </w:rPr>
        <w:t>,</w:t>
      </w:r>
      <w:r>
        <w:rPr>
          <w:rFonts w:eastAsia="Malgun Gothic"/>
          <w:bCs/>
          <w:lang w:val="fr-FR"/>
        </w:rPr>
        <w:t xml:space="preserve"> soumise </w:t>
      </w:r>
      <w:r w:rsidRPr="00CB0121">
        <w:rPr>
          <w:rFonts w:eastAsia="Malgun Gothic"/>
          <w:bCs/>
          <w:lang w:val="fr-FR"/>
        </w:rPr>
        <w:t>par l</w:t>
      </w:r>
      <w:r w:rsidR="00923E72">
        <w:rPr>
          <w:rFonts w:eastAsia="Malgun Gothic"/>
          <w:bCs/>
          <w:lang w:val="fr-FR"/>
        </w:rPr>
        <w:t>’</w:t>
      </w:r>
      <w:r w:rsidR="00657195">
        <w:rPr>
          <w:rFonts w:eastAsia="Malgun Gothic"/>
          <w:bCs/>
          <w:lang w:val="fr-FR"/>
        </w:rPr>
        <w:t>Allemagne</w:t>
      </w:r>
      <w:r w:rsidRPr="00CB0121">
        <w:rPr>
          <w:rFonts w:eastAsia="Malgun Gothic"/>
          <w:bCs/>
          <w:lang w:val="fr-FR"/>
        </w:rPr>
        <w:t xml:space="preserve"> en vue de son inscription sur la Liste représentative (projet de décision</w:t>
      </w:r>
      <w:r w:rsidR="00657195">
        <w:rPr>
          <w:rFonts w:eastAsia="Malgun Gothic"/>
          <w:bCs/>
          <w:lang w:val="fr-FR"/>
        </w:rPr>
        <w:t> </w:t>
      </w:r>
      <w:r w:rsidRPr="00CB0121">
        <w:rPr>
          <w:rFonts w:eastAsia="Malgun Gothic"/>
          <w:bCs/>
          <w:lang w:val="fr-FR"/>
        </w:rPr>
        <w:t>17.COM</w:t>
      </w:r>
      <w:r>
        <w:rPr>
          <w:rFonts w:eastAsia="Malgun Gothic"/>
          <w:bCs/>
          <w:lang w:val="fr-FR"/>
        </w:rPr>
        <w:t> </w:t>
      </w:r>
      <w:r w:rsidRPr="00CB0121">
        <w:rPr>
          <w:rFonts w:eastAsia="Malgun Gothic"/>
          <w:bCs/>
          <w:lang w:val="fr-FR"/>
        </w:rPr>
        <w:t>7.b.10). Le Paraguay avait soumis un amendement pour la candidature</w:t>
      </w:r>
      <w:r w:rsidR="00657195">
        <w:rPr>
          <w:rFonts w:eastAsia="Malgun Gothic"/>
          <w:bCs/>
          <w:lang w:val="fr-FR"/>
        </w:rPr>
        <w:t xml:space="preserve"> de l</w:t>
      </w:r>
      <w:r w:rsidR="00923E72">
        <w:rPr>
          <w:rFonts w:eastAsia="Malgun Gothic"/>
          <w:bCs/>
          <w:lang w:val="fr-FR"/>
        </w:rPr>
        <w:t>’</w:t>
      </w:r>
      <w:r w:rsidR="00657195">
        <w:rPr>
          <w:rFonts w:eastAsia="Malgun Gothic"/>
          <w:bCs/>
          <w:lang w:val="fr-FR"/>
        </w:rPr>
        <w:t>élément « L</w:t>
      </w:r>
      <w:r>
        <w:rPr>
          <w:rFonts w:eastAsia="Malgun Gothic"/>
          <w:bCs/>
          <w:lang w:val="fr-FR"/>
        </w:rPr>
        <w:t xml:space="preserve">a </w:t>
      </w:r>
      <w:r w:rsidRPr="00CB0121">
        <w:rPr>
          <w:rFonts w:eastAsia="Malgun Gothic"/>
          <w:bCs/>
          <w:lang w:val="fr-FR"/>
        </w:rPr>
        <w:t>Semaine sainte au Guatemala</w:t>
      </w:r>
      <w:r w:rsidR="00657195">
        <w:rPr>
          <w:rFonts w:eastAsia="Malgun Gothic"/>
          <w:bCs/>
          <w:lang w:val="fr-FR"/>
        </w:rPr>
        <w:t> »</w:t>
      </w:r>
      <w:r w:rsidR="00AC6722">
        <w:rPr>
          <w:rFonts w:eastAsia="Malgun Gothic"/>
          <w:bCs/>
          <w:lang w:val="fr-FR"/>
        </w:rPr>
        <w:t>,</w:t>
      </w:r>
      <w:r>
        <w:rPr>
          <w:rFonts w:eastAsia="Malgun Gothic"/>
          <w:bCs/>
          <w:lang w:val="fr-FR"/>
        </w:rPr>
        <w:t xml:space="preserve"> soumise</w:t>
      </w:r>
      <w:r w:rsidRPr="00CB0121">
        <w:rPr>
          <w:rFonts w:eastAsia="Malgun Gothic"/>
          <w:bCs/>
          <w:lang w:val="fr-FR"/>
        </w:rPr>
        <w:t xml:space="preserve"> par le Guatemala en vue de son inscription sur la Liste représentative (projet de décision</w:t>
      </w:r>
      <w:r w:rsidR="00657195">
        <w:rPr>
          <w:rFonts w:eastAsia="Malgun Gothic"/>
          <w:bCs/>
          <w:lang w:val="fr-FR"/>
        </w:rPr>
        <w:t> </w:t>
      </w:r>
      <w:r w:rsidRPr="00CB0121">
        <w:rPr>
          <w:rFonts w:eastAsia="Malgun Gothic"/>
          <w:bCs/>
          <w:lang w:val="fr-FR"/>
        </w:rPr>
        <w:t>17.COM</w:t>
      </w:r>
      <w:r>
        <w:rPr>
          <w:rFonts w:eastAsia="Malgun Gothic"/>
          <w:bCs/>
          <w:lang w:val="fr-FR"/>
        </w:rPr>
        <w:t> </w:t>
      </w:r>
      <w:r w:rsidRPr="00CB0121">
        <w:rPr>
          <w:rFonts w:eastAsia="Malgun Gothic"/>
          <w:bCs/>
          <w:lang w:val="fr-FR"/>
        </w:rPr>
        <w:t>7.b.13), qui était soutenu par le Brésil, l</w:t>
      </w:r>
      <w:r w:rsidR="00923E72">
        <w:rPr>
          <w:rFonts w:eastAsia="Malgun Gothic"/>
          <w:bCs/>
          <w:lang w:val="fr-FR"/>
        </w:rPr>
        <w:t>’</w:t>
      </w:r>
      <w:r w:rsidRPr="00CB0121">
        <w:rPr>
          <w:rFonts w:eastAsia="Malgun Gothic"/>
          <w:bCs/>
          <w:lang w:val="fr-FR"/>
        </w:rPr>
        <w:t>Éthiopie, l</w:t>
      </w:r>
      <w:r w:rsidR="00923E72">
        <w:rPr>
          <w:rFonts w:eastAsia="Malgun Gothic"/>
          <w:bCs/>
          <w:lang w:val="fr-FR"/>
        </w:rPr>
        <w:t>’</w:t>
      </w:r>
      <w:r w:rsidRPr="00CB0121">
        <w:rPr>
          <w:rFonts w:eastAsia="Malgun Gothic"/>
          <w:bCs/>
          <w:lang w:val="fr-FR"/>
        </w:rPr>
        <w:t>Inde, le Panama, le Pérou, le Rwanda et le Viet</w:t>
      </w:r>
      <w:r w:rsidR="00657195">
        <w:rPr>
          <w:rFonts w:eastAsia="Malgun Gothic"/>
          <w:bCs/>
          <w:lang w:val="fr-FR"/>
        </w:rPr>
        <w:t> </w:t>
      </w:r>
      <w:r w:rsidRPr="00CB0121">
        <w:rPr>
          <w:rFonts w:eastAsia="Malgun Gothic"/>
          <w:bCs/>
          <w:lang w:val="fr-FR"/>
        </w:rPr>
        <w:t>Nam, cette liste serait mise à jour lors de l</w:t>
      </w:r>
      <w:r w:rsidR="00923E72">
        <w:rPr>
          <w:rFonts w:eastAsia="Malgun Gothic"/>
          <w:bCs/>
          <w:lang w:val="fr-FR"/>
        </w:rPr>
        <w:t>’</w:t>
      </w:r>
      <w:r w:rsidRPr="00CB0121">
        <w:rPr>
          <w:rFonts w:eastAsia="Malgun Gothic"/>
          <w:bCs/>
          <w:lang w:val="fr-FR"/>
        </w:rPr>
        <w:t>examen de ce dossier. Le Bangladesh avait soumis un amendement pour la candidature</w:t>
      </w:r>
      <w:r w:rsidR="00657195">
        <w:rPr>
          <w:rFonts w:eastAsia="Malgun Gothic"/>
          <w:bCs/>
          <w:lang w:val="fr-FR"/>
        </w:rPr>
        <w:t xml:space="preserve"> de l</w:t>
      </w:r>
      <w:r w:rsidR="00923E72">
        <w:rPr>
          <w:rFonts w:eastAsia="Malgun Gothic"/>
          <w:bCs/>
          <w:lang w:val="fr-FR"/>
        </w:rPr>
        <w:t>’</w:t>
      </w:r>
      <w:r w:rsidR="00657195">
        <w:rPr>
          <w:rFonts w:eastAsia="Malgun Gothic"/>
          <w:bCs/>
          <w:lang w:val="fr-FR"/>
        </w:rPr>
        <w:t>élément</w:t>
      </w:r>
      <w:r w:rsidRPr="00CB0121">
        <w:rPr>
          <w:rFonts w:eastAsia="Malgun Gothic"/>
          <w:bCs/>
          <w:lang w:val="fr-FR"/>
        </w:rPr>
        <w:t xml:space="preserve"> </w:t>
      </w:r>
      <w:r w:rsidR="00657195">
        <w:rPr>
          <w:rFonts w:eastAsia="Malgun Gothic"/>
          <w:bCs/>
          <w:lang w:val="fr-FR"/>
        </w:rPr>
        <w:t>« </w:t>
      </w:r>
      <w:proofErr w:type="spellStart"/>
      <w:r w:rsidRPr="00CB0121">
        <w:rPr>
          <w:rFonts w:eastAsia="Malgun Gothic"/>
          <w:bCs/>
          <w:lang w:val="fr-FR"/>
        </w:rPr>
        <w:t>Yaldā</w:t>
      </w:r>
      <w:proofErr w:type="spellEnd"/>
      <w:r w:rsidRPr="00CB0121">
        <w:rPr>
          <w:rFonts w:eastAsia="Malgun Gothic"/>
          <w:bCs/>
          <w:lang w:val="fr-FR"/>
        </w:rPr>
        <w:t>/</w:t>
      </w:r>
      <w:proofErr w:type="spellStart"/>
      <w:r w:rsidRPr="00CB0121">
        <w:rPr>
          <w:rFonts w:eastAsia="Malgun Gothic"/>
          <w:bCs/>
          <w:lang w:val="fr-FR"/>
        </w:rPr>
        <w:t>Chella</w:t>
      </w:r>
      <w:proofErr w:type="spellEnd"/>
      <w:r w:rsidR="00657195">
        <w:rPr>
          <w:rFonts w:eastAsia="Malgun Gothic"/>
          <w:bCs/>
          <w:lang w:val="fr-FR"/>
        </w:rPr>
        <w:t> »</w:t>
      </w:r>
      <w:r w:rsidR="00AC6722">
        <w:rPr>
          <w:rFonts w:eastAsia="Malgun Gothic"/>
          <w:bCs/>
          <w:lang w:val="fr-FR"/>
        </w:rPr>
        <w:t>,</w:t>
      </w:r>
      <w:r>
        <w:rPr>
          <w:rFonts w:eastAsia="Malgun Gothic"/>
          <w:bCs/>
          <w:lang w:val="fr-FR"/>
        </w:rPr>
        <w:t xml:space="preserve"> soumise </w:t>
      </w:r>
      <w:r w:rsidRPr="00CB0121">
        <w:rPr>
          <w:rFonts w:eastAsia="Malgun Gothic"/>
          <w:bCs/>
          <w:lang w:val="fr-FR"/>
        </w:rPr>
        <w:t>par la République islamique d</w:t>
      </w:r>
      <w:r w:rsidR="00923E72">
        <w:rPr>
          <w:rFonts w:eastAsia="Malgun Gothic"/>
          <w:bCs/>
          <w:lang w:val="fr-FR"/>
        </w:rPr>
        <w:t>’</w:t>
      </w:r>
      <w:r w:rsidRPr="00CB0121">
        <w:rPr>
          <w:rFonts w:eastAsia="Malgun Gothic"/>
          <w:bCs/>
          <w:lang w:val="fr-FR"/>
        </w:rPr>
        <w:t>Iran et l</w:t>
      </w:r>
      <w:r w:rsidR="00923E72">
        <w:rPr>
          <w:rFonts w:eastAsia="Malgun Gothic"/>
          <w:bCs/>
          <w:lang w:val="fr-FR"/>
        </w:rPr>
        <w:t>’</w:t>
      </w:r>
      <w:r w:rsidRPr="00CB0121">
        <w:rPr>
          <w:rFonts w:eastAsia="Malgun Gothic"/>
          <w:bCs/>
          <w:lang w:val="fr-FR"/>
        </w:rPr>
        <w:t>Afghanistan</w:t>
      </w:r>
      <w:r w:rsidR="00AC6722">
        <w:rPr>
          <w:rFonts w:eastAsia="Malgun Gothic"/>
          <w:bCs/>
          <w:lang w:val="fr-FR"/>
        </w:rPr>
        <w:t xml:space="preserve"> en vue de son </w:t>
      </w:r>
      <w:r w:rsidR="00AC6722" w:rsidRPr="00AC6722">
        <w:rPr>
          <w:rFonts w:eastAsia="Malgun Gothic"/>
          <w:bCs/>
          <w:lang w:val="fr-FR"/>
        </w:rPr>
        <w:t>inscription</w:t>
      </w:r>
      <w:r w:rsidRPr="00CB0121">
        <w:rPr>
          <w:rFonts w:eastAsia="Malgun Gothic"/>
          <w:bCs/>
          <w:lang w:val="fr-FR"/>
        </w:rPr>
        <w:t xml:space="preserve"> sur la Liste représentative (projet de décision</w:t>
      </w:r>
      <w:r w:rsidR="00657195">
        <w:rPr>
          <w:rFonts w:eastAsia="Malgun Gothic"/>
          <w:bCs/>
          <w:lang w:val="fr-FR"/>
        </w:rPr>
        <w:t> </w:t>
      </w:r>
      <w:r w:rsidRPr="00CB0121">
        <w:rPr>
          <w:rFonts w:eastAsia="Malgun Gothic"/>
          <w:bCs/>
          <w:lang w:val="fr-FR"/>
        </w:rPr>
        <w:t>17.COM</w:t>
      </w:r>
      <w:r w:rsidR="00657195">
        <w:rPr>
          <w:rFonts w:eastAsia="Malgun Gothic"/>
          <w:bCs/>
          <w:lang w:val="fr-FR"/>
        </w:rPr>
        <w:t> </w:t>
      </w:r>
      <w:r w:rsidRPr="00CB0121">
        <w:rPr>
          <w:rFonts w:eastAsia="Malgun Gothic"/>
          <w:bCs/>
          <w:lang w:val="fr-FR"/>
        </w:rPr>
        <w:t>7.b.15), qui était soutenu par l</w:t>
      </w:r>
      <w:r w:rsidR="00923E72">
        <w:rPr>
          <w:rFonts w:eastAsia="Malgun Gothic"/>
          <w:bCs/>
          <w:lang w:val="fr-FR"/>
        </w:rPr>
        <w:t>’</w:t>
      </w:r>
      <w:r w:rsidRPr="00CB0121">
        <w:rPr>
          <w:rFonts w:eastAsia="Malgun Gothic"/>
          <w:bCs/>
          <w:lang w:val="fr-FR"/>
        </w:rPr>
        <w:t>Éthiopie, l</w:t>
      </w:r>
      <w:r w:rsidR="00923E72">
        <w:rPr>
          <w:rFonts w:eastAsia="Malgun Gothic"/>
          <w:bCs/>
          <w:lang w:val="fr-FR"/>
        </w:rPr>
        <w:t>’</w:t>
      </w:r>
      <w:r w:rsidRPr="00CB0121">
        <w:rPr>
          <w:rFonts w:eastAsia="Malgun Gothic"/>
          <w:bCs/>
          <w:lang w:val="fr-FR"/>
        </w:rPr>
        <w:t>Inde, la Malaisie, la République de Corée et l</w:t>
      </w:r>
      <w:r w:rsidR="00923E72">
        <w:rPr>
          <w:rFonts w:eastAsia="Malgun Gothic"/>
          <w:bCs/>
          <w:lang w:val="fr-FR"/>
        </w:rPr>
        <w:t>’</w:t>
      </w:r>
      <w:r w:rsidRPr="00CB0121">
        <w:rPr>
          <w:rFonts w:eastAsia="Malgun Gothic"/>
          <w:bCs/>
          <w:lang w:val="fr-FR"/>
        </w:rPr>
        <w:t>Ouzbékistan. L</w:t>
      </w:r>
      <w:r w:rsidR="00923E72">
        <w:rPr>
          <w:rFonts w:eastAsia="Malgun Gothic"/>
          <w:bCs/>
          <w:lang w:val="fr-FR"/>
        </w:rPr>
        <w:t>’</w:t>
      </w:r>
      <w:r w:rsidRPr="00CB0121">
        <w:rPr>
          <w:rFonts w:eastAsia="Malgun Gothic"/>
          <w:bCs/>
          <w:lang w:val="fr-FR"/>
        </w:rPr>
        <w:t>Inde avait soumis un amendement pour la candidature</w:t>
      </w:r>
      <w:r w:rsidR="00657195">
        <w:rPr>
          <w:rFonts w:eastAsia="Malgun Gothic"/>
          <w:bCs/>
          <w:lang w:val="fr-FR"/>
        </w:rPr>
        <w:t xml:space="preserve"> de l</w:t>
      </w:r>
      <w:r w:rsidR="00923E72">
        <w:rPr>
          <w:rFonts w:eastAsia="Malgun Gothic"/>
          <w:bCs/>
          <w:lang w:val="fr-FR"/>
        </w:rPr>
        <w:t>’</w:t>
      </w:r>
      <w:r w:rsidR="00657195">
        <w:rPr>
          <w:rFonts w:eastAsia="Malgun Gothic"/>
          <w:bCs/>
          <w:lang w:val="fr-FR"/>
        </w:rPr>
        <w:t>élément</w:t>
      </w:r>
      <w:r w:rsidR="001023D5">
        <w:rPr>
          <w:rFonts w:eastAsia="Malgun Gothic"/>
          <w:bCs/>
          <w:lang w:val="fr-FR"/>
        </w:rPr>
        <w:t xml:space="preserve"> </w:t>
      </w:r>
      <w:r w:rsidR="00657195">
        <w:rPr>
          <w:rFonts w:eastAsia="Malgun Gothic"/>
          <w:bCs/>
          <w:lang w:val="fr-FR"/>
        </w:rPr>
        <w:t>« L</w:t>
      </w:r>
      <w:r w:rsidR="00923E72">
        <w:rPr>
          <w:rFonts w:eastAsia="Malgun Gothic"/>
          <w:bCs/>
          <w:lang w:val="fr-FR"/>
        </w:rPr>
        <w:t>’</w:t>
      </w:r>
      <w:proofErr w:type="spellStart"/>
      <w:r w:rsidR="001023D5">
        <w:rPr>
          <w:rFonts w:eastAsia="Malgun Gothic"/>
          <w:bCs/>
          <w:lang w:val="fr-FR"/>
        </w:rPr>
        <w:t>o</w:t>
      </w:r>
      <w:r w:rsidRPr="00CB0121">
        <w:rPr>
          <w:rFonts w:eastAsia="Malgun Gothic"/>
          <w:bCs/>
          <w:lang w:val="fr-FR"/>
        </w:rPr>
        <w:t>rt</w:t>
      </w:r>
      <w:r w:rsidR="001023D5">
        <w:rPr>
          <w:rFonts w:eastAsia="Malgun Gothic"/>
          <w:bCs/>
          <w:lang w:val="fr-FR"/>
        </w:rPr>
        <w:t>é</w:t>
      </w:r>
      <w:r w:rsidRPr="00CB0121">
        <w:rPr>
          <w:rFonts w:eastAsia="Malgun Gothic"/>
          <w:bCs/>
          <w:lang w:val="fr-FR"/>
        </w:rPr>
        <w:t>k</w:t>
      </w:r>
      <w:r w:rsidR="001023D5">
        <w:rPr>
          <w:rFonts w:eastAsia="Malgun Gothic"/>
          <w:bCs/>
          <w:lang w:val="fr-FR"/>
        </w:rPr>
        <w:t>é</w:t>
      </w:r>
      <w:proofErr w:type="spellEnd"/>
      <w:r w:rsidRPr="00CB0121">
        <w:rPr>
          <w:rFonts w:eastAsia="Malgun Gothic"/>
          <w:bCs/>
          <w:lang w:val="fr-FR"/>
        </w:rPr>
        <w:t xml:space="preserve">, </w:t>
      </w:r>
      <w:r w:rsidR="001023D5">
        <w:rPr>
          <w:rFonts w:eastAsia="Malgun Gothic"/>
          <w:bCs/>
          <w:lang w:val="fr-FR"/>
        </w:rPr>
        <w:t xml:space="preserve">un </w:t>
      </w:r>
      <w:r w:rsidRPr="00CB0121">
        <w:rPr>
          <w:rFonts w:eastAsia="Malgun Gothic"/>
          <w:bCs/>
          <w:lang w:val="fr-FR"/>
        </w:rPr>
        <w:t>art du spectacle traditionnel au Kazakhstan</w:t>
      </w:r>
      <w:r w:rsidR="00657195">
        <w:rPr>
          <w:rFonts w:eastAsia="Malgun Gothic"/>
          <w:bCs/>
          <w:lang w:val="fr-FR"/>
        </w:rPr>
        <w:t> </w:t>
      </w:r>
      <w:r w:rsidRPr="00CB0121">
        <w:rPr>
          <w:rFonts w:eastAsia="Malgun Gothic"/>
          <w:bCs/>
          <w:lang w:val="fr-FR"/>
        </w:rPr>
        <w:t>: danse, marionnettes et musique</w:t>
      </w:r>
      <w:r w:rsidR="00657195">
        <w:rPr>
          <w:rFonts w:eastAsia="Malgun Gothic"/>
          <w:bCs/>
          <w:lang w:val="fr-FR"/>
        </w:rPr>
        <w:t> »</w:t>
      </w:r>
      <w:r w:rsidR="00AC6722">
        <w:rPr>
          <w:rFonts w:eastAsia="Malgun Gothic"/>
          <w:bCs/>
          <w:lang w:val="fr-FR"/>
        </w:rPr>
        <w:t xml:space="preserve">, soumise par le Kazakhstan </w:t>
      </w:r>
      <w:r w:rsidRPr="00CB0121">
        <w:rPr>
          <w:rFonts w:eastAsia="Malgun Gothic"/>
          <w:bCs/>
          <w:lang w:val="fr-FR"/>
        </w:rPr>
        <w:t>en vue de son inscription sur la Liste représentative (projet de décision</w:t>
      </w:r>
      <w:r w:rsidR="00657195">
        <w:rPr>
          <w:rFonts w:eastAsia="Malgun Gothic"/>
          <w:bCs/>
          <w:lang w:val="fr-FR"/>
        </w:rPr>
        <w:t> </w:t>
      </w:r>
      <w:r w:rsidRPr="00CB0121">
        <w:rPr>
          <w:rFonts w:eastAsia="Malgun Gothic"/>
          <w:bCs/>
          <w:lang w:val="fr-FR"/>
        </w:rPr>
        <w:t>17.COM</w:t>
      </w:r>
      <w:r w:rsidR="001023D5">
        <w:rPr>
          <w:rFonts w:eastAsia="Malgun Gothic"/>
          <w:bCs/>
          <w:lang w:val="fr-FR"/>
        </w:rPr>
        <w:t> </w:t>
      </w:r>
      <w:r w:rsidRPr="00CB0121">
        <w:rPr>
          <w:rFonts w:eastAsia="Malgun Gothic"/>
          <w:bCs/>
          <w:lang w:val="fr-FR"/>
        </w:rPr>
        <w:t>7.b.20), qui était soutenu par la Malaisie, l</w:t>
      </w:r>
      <w:r w:rsidR="00923E72">
        <w:rPr>
          <w:rFonts w:eastAsia="Malgun Gothic"/>
          <w:bCs/>
          <w:lang w:val="fr-FR"/>
        </w:rPr>
        <w:t>’</w:t>
      </w:r>
      <w:r w:rsidRPr="00CB0121">
        <w:rPr>
          <w:rFonts w:eastAsia="Malgun Gothic"/>
          <w:bCs/>
          <w:lang w:val="fr-FR"/>
        </w:rPr>
        <w:t>Ouzbékistan, la République de Corée, l</w:t>
      </w:r>
      <w:r w:rsidR="00923E72">
        <w:rPr>
          <w:rFonts w:eastAsia="Malgun Gothic"/>
          <w:bCs/>
          <w:lang w:val="fr-FR"/>
        </w:rPr>
        <w:t>’</w:t>
      </w:r>
      <w:r w:rsidRPr="00CB0121">
        <w:rPr>
          <w:rFonts w:eastAsia="Malgun Gothic"/>
          <w:bCs/>
          <w:lang w:val="fr-FR"/>
        </w:rPr>
        <w:t>Arabie</w:t>
      </w:r>
      <w:r w:rsidR="008D3070">
        <w:rPr>
          <w:rFonts w:eastAsia="Malgun Gothic"/>
          <w:bCs/>
          <w:lang w:val="fr-FR"/>
        </w:rPr>
        <w:t> </w:t>
      </w:r>
      <w:r w:rsidRPr="00CB0121">
        <w:rPr>
          <w:rFonts w:eastAsia="Malgun Gothic"/>
          <w:bCs/>
          <w:lang w:val="fr-FR"/>
        </w:rPr>
        <w:t xml:space="preserve">saoudite, le Bangladesh, le Brésil, le Maroc, le Pérou et la </w:t>
      </w:r>
      <w:r w:rsidRPr="00CB0121">
        <w:rPr>
          <w:rFonts w:eastAsia="Malgun Gothic"/>
          <w:bCs/>
          <w:lang w:val="fr-FR"/>
        </w:rPr>
        <w:lastRenderedPageBreak/>
        <w:t xml:space="preserve">Mauritanie. </w:t>
      </w:r>
      <w:r w:rsidR="009B677E">
        <w:rPr>
          <w:rFonts w:eastAsia="Malgun Gothic"/>
          <w:bCs/>
          <w:lang w:val="fr-FR"/>
        </w:rPr>
        <w:t>Enfin, l</w:t>
      </w:r>
      <w:r w:rsidR="00923E72">
        <w:rPr>
          <w:rFonts w:eastAsia="Malgun Gothic"/>
          <w:bCs/>
          <w:lang w:val="fr-FR"/>
        </w:rPr>
        <w:t>’</w:t>
      </w:r>
      <w:r w:rsidRPr="00CB0121">
        <w:rPr>
          <w:rFonts w:eastAsia="Malgun Gothic"/>
          <w:bCs/>
          <w:lang w:val="fr-FR"/>
        </w:rPr>
        <w:t>Arabie</w:t>
      </w:r>
      <w:r w:rsidR="008D3070">
        <w:rPr>
          <w:rFonts w:eastAsia="Malgun Gothic"/>
          <w:bCs/>
          <w:lang w:val="fr-FR"/>
        </w:rPr>
        <w:t> </w:t>
      </w:r>
      <w:r w:rsidRPr="00CB0121">
        <w:rPr>
          <w:rFonts w:eastAsia="Malgun Gothic"/>
          <w:bCs/>
          <w:lang w:val="fr-FR"/>
        </w:rPr>
        <w:t>saoudite avait soumis un amendement pour la candidature</w:t>
      </w:r>
      <w:r w:rsidR="00657195">
        <w:rPr>
          <w:rFonts w:eastAsia="Malgun Gothic"/>
          <w:bCs/>
          <w:lang w:val="fr-FR"/>
        </w:rPr>
        <w:t xml:space="preserve"> de l</w:t>
      </w:r>
      <w:r w:rsidR="00923E72">
        <w:rPr>
          <w:rFonts w:eastAsia="Malgun Gothic"/>
          <w:bCs/>
          <w:lang w:val="fr-FR"/>
        </w:rPr>
        <w:t>’</w:t>
      </w:r>
      <w:r w:rsidR="00657195">
        <w:rPr>
          <w:rFonts w:eastAsia="Malgun Gothic"/>
          <w:bCs/>
          <w:lang w:val="fr-FR"/>
        </w:rPr>
        <w:t>élément « L</w:t>
      </w:r>
      <w:r w:rsidR="00923E72">
        <w:rPr>
          <w:rFonts w:eastAsia="Malgun Gothic"/>
          <w:bCs/>
          <w:lang w:val="fr-FR"/>
        </w:rPr>
        <w:t>’</w:t>
      </w:r>
      <w:r w:rsidRPr="00CB0121">
        <w:rPr>
          <w:rFonts w:eastAsia="Malgun Gothic"/>
          <w:bCs/>
          <w:lang w:val="fr-FR"/>
        </w:rPr>
        <w:t>art de la blouse traditionnelle avec broderie sur l</w:t>
      </w:r>
      <w:r w:rsidR="00923E72">
        <w:rPr>
          <w:rFonts w:eastAsia="Malgun Gothic"/>
          <w:bCs/>
          <w:lang w:val="fr-FR"/>
        </w:rPr>
        <w:t>’</w:t>
      </w:r>
      <w:r w:rsidRPr="00CB0121">
        <w:rPr>
          <w:rFonts w:eastAsia="Malgun Gothic"/>
          <w:bCs/>
          <w:lang w:val="fr-FR"/>
        </w:rPr>
        <w:t>épaule (</w:t>
      </w:r>
      <w:proofErr w:type="spellStart"/>
      <w:r w:rsidRPr="00CB0121">
        <w:rPr>
          <w:rFonts w:eastAsia="Malgun Gothic"/>
          <w:bCs/>
          <w:lang w:val="fr-FR"/>
        </w:rPr>
        <w:t>altiță</w:t>
      </w:r>
      <w:proofErr w:type="spellEnd"/>
      <w:r w:rsidRPr="00CB0121">
        <w:rPr>
          <w:rFonts w:eastAsia="Malgun Gothic"/>
          <w:bCs/>
          <w:lang w:val="fr-FR"/>
        </w:rPr>
        <w:t>)</w:t>
      </w:r>
      <w:r w:rsidR="001023D5">
        <w:rPr>
          <w:rFonts w:eastAsia="Malgun Gothic"/>
          <w:bCs/>
          <w:lang w:val="fr-FR"/>
        </w:rPr>
        <w:t xml:space="preserve">, </w:t>
      </w:r>
      <w:r w:rsidRPr="00CB0121">
        <w:rPr>
          <w:rFonts w:eastAsia="Malgun Gothic"/>
          <w:bCs/>
          <w:lang w:val="fr-FR"/>
        </w:rPr>
        <w:t>élément de l</w:t>
      </w:r>
      <w:r w:rsidR="00923E72">
        <w:rPr>
          <w:rFonts w:eastAsia="Malgun Gothic"/>
          <w:bCs/>
          <w:lang w:val="fr-FR"/>
        </w:rPr>
        <w:t>’</w:t>
      </w:r>
      <w:r w:rsidRPr="00CB0121">
        <w:rPr>
          <w:rFonts w:eastAsia="Malgun Gothic"/>
          <w:bCs/>
          <w:lang w:val="fr-FR"/>
        </w:rPr>
        <w:t>identité culturelle en Roumanie et en République de Moldova</w:t>
      </w:r>
      <w:r w:rsidR="00657195">
        <w:rPr>
          <w:rFonts w:eastAsia="Malgun Gothic"/>
          <w:bCs/>
          <w:lang w:val="fr-FR"/>
        </w:rPr>
        <w:t> »</w:t>
      </w:r>
      <w:r w:rsidR="00AC6722">
        <w:rPr>
          <w:rFonts w:eastAsia="Malgun Gothic"/>
          <w:bCs/>
          <w:lang w:val="fr-FR"/>
        </w:rPr>
        <w:t>,</w:t>
      </w:r>
      <w:r w:rsidR="001023D5">
        <w:rPr>
          <w:rFonts w:eastAsia="Malgun Gothic"/>
          <w:bCs/>
          <w:lang w:val="fr-FR"/>
        </w:rPr>
        <w:t xml:space="preserve"> </w:t>
      </w:r>
      <w:r w:rsidRPr="00CB0121">
        <w:rPr>
          <w:rFonts w:eastAsia="Malgun Gothic"/>
          <w:bCs/>
          <w:lang w:val="fr-FR"/>
        </w:rPr>
        <w:t>soumise par la Roumanie et la République de Moldova</w:t>
      </w:r>
      <w:r w:rsidR="00AC6722">
        <w:rPr>
          <w:rFonts w:eastAsia="Malgun Gothic"/>
          <w:bCs/>
          <w:lang w:val="fr-FR"/>
        </w:rPr>
        <w:t xml:space="preserve"> </w:t>
      </w:r>
      <w:r w:rsidRPr="00CB0121">
        <w:rPr>
          <w:rFonts w:eastAsia="Malgun Gothic"/>
          <w:bCs/>
          <w:lang w:val="fr-FR"/>
        </w:rPr>
        <w:t>en vue de son inscription sur la Liste représentative (projet de décision</w:t>
      </w:r>
      <w:r w:rsidR="00657195">
        <w:rPr>
          <w:rFonts w:eastAsia="Malgun Gothic"/>
          <w:bCs/>
          <w:lang w:val="fr-FR"/>
        </w:rPr>
        <w:t> </w:t>
      </w:r>
      <w:r w:rsidRPr="00CB0121">
        <w:rPr>
          <w:rFonts w:eastAsia="Malgun Gothic"/>
          <w:bCs/>
          <w:lang w:val="fr-FR"/>
        </w:rPr>
        <w:t>17.COM</w:t>
      </w:r>
      <w:r w:rsidR="001023D5">
        <w:rPr>
          <w:rFonts w:eastAsia="Malgun Gothic"/>
          <w:bCs/>
          <w:lang w:val="fr-FR"/>
        </w:rPr>
        <w:t> </w:t>
      </w:r>
      <w:r w:rsidRPr="00CB0121">
        <w:rPr>
          <w:rFonts w:eastAsia="Malgun Gothic"/>
          <w:bCs/>
          <w:lang w:val="fr-FR"/>
        </w:rPr>
        <w:t>7.b.23), soutenu par le Paraguay et le Brésil, et probablement d</w:t>
      </w:r>
      <w:r w:rsidR="00923E72">
        <w:rPr>
          <w:rFonts w:eastAsia="Malgun Gothic"/>
          <w:bCs/>
          <w:lang w:val="fr-FR"/>
        </w:rPr>
        <w:t>’</w:t>
      </w:r>
      <w:r w:rsidRPr="00CB0121">
        <w:rPr>
          <w:rFonts w:eastAsia="Malgun Gothic"/>
          <w:bCs/>
          <w:lang w:val="fr-FR"/>
        </w:rPr>
        <w:t xml:space="preserve">autres </w:t>
      </w:r>
      <w:r w:rsidR="001023D5">
        <w:rPr>
          <w:rFonts w:eastAsia="Malgun Gothic"/>
          <w:bCs/>
          <w:lang w:val="fr-FR"/>
        </w:rPr>
        <w:t xml:space="preserve">États </w:t>
      </w:r>
      <w:r w:rsidRPr="00CB0121">
        <w:rPr>
          <w:rFonts w:eastAsia="Malgun Gothic"/>
          <w:bCs/>
          <w:lang w:val="fr-FR"/>
        </w:rPr>
        <w:t>ultérieurement.</w:t>
      </w:r>
    </w:p>
    <w:p w14:paraId="58F1FD7F" w14:textId="62AD74DA" w:rsidR="001023D5" w:rsidRPr="00702497" w:rsidRDefault="001023D5"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La </w:t>
      </w:r>
      <w:r w:rsidRPr="001023D5">
        <w:rPr>
          <w:rFonts w:eastAsia="Malgun Gothic"/>
          <w:bCs/>
          <w:lang w:val="fr-FR"/>
        </w:rPr>
        <w:t>délégation</w:t>
      </w:r>
      <w:r>
        <w:rPr>
          <w:rFonts w:eastAsia="Malgun Gothic"/>
          <w:bCs/>
          <w:lang w:val="fr-FR"/>
        </w:rPr>
        <w:t xml:space="preserve"> de la </w:t>
      </w:r>
      <w:r w:rsidRPr="00702497">
        <w:rPr>
          <w:rFonts w:eastAsia="Malgun Gothic"/>
          <w:b/>
          <w:lang w:val="fr-FR"/>
        </w:rPr>
        <w:t>Mauritanie</w:t>
      </w:r>
      <w:r>
        <w:rPr>
          <w:rFonts w:eastAsia="Malgun Gothic"/>
          <w:bCs/>
          <w:lang w:val="fr-FR"/>
        </w:rPr>
        <w:t xml:space="preserve"> a déclaré soutenir </w:t>
      </w:r>
      <w:r w:rsidRPr="001023D5">
        <w:rPr>
          <w:rFonts w:eastAsia="Malgun Gothic"/>
          <w:bCs/>
          <w:color w:val="000000" w:themeColor="text1"/>
          <w:lang w:val="fr-FR"/>
        </w:rPr>
        <w:t>également</w:t>
      </w:r>
      <w:r>
        <w:rPr>
          <w:rFonts w:eastAsia="Malgun Gothic"/>
          <w:bCs/>
          <w:color w:val="000000" w:themeColor="text1"/>
          <w:lang w:val="fr-FR"/>
        </w:rPr>
        <w:t xml:space="preserve"> l</w:t>
      </w:r>
      <w:r w:rsidR="00923E72">
        <w:rPr>
          <w:rFonts w:eastAsia="Malgun Gothic"/>
          <w:bCs/>
          <w:color w:val="000000" w:themeColor="text1"/>
          <w:lang w:val="fr-FR"/>
        </w:rPr>
        <w:t>’</w:t>
      </w:r>
      <w:r w:rsidRPr="001023D5">
        <w:rPr>
          <w:rFonts w:eastAsia="Malgun Gothic"/>
          <w:bCs/>
          <w:color w:val="000000" w:themeColor="text1"/>
          <w:lang w:val="fr-FR"/>
        </w:rPr>
        <w:t>amendement</w:t>
      </w:r>
      <w:r>
        <w:rPr>
          <w:rFonts w:eastAsia="Malgun Gothic"/>
          <w:bCs/>
          <w:color w:val="000000" w:themeColor="text1"/>
          <w:lang w:val="fr-FR"/>
        </w:rPr>
        <w:t xml:space="preserve"> au dossier roumain.</w:t>
      </w:r>
    </w:p>
    <w:p w14:paraId="5C0C165D" w14:textId="1F2CB9E2" w:rsidR="001023D5" w:rsidRDefault="002420D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2420DA">
        <w:rPr>
          <w:rFonts w:eastAsia="Malgun Gothic"/>
          <w:bCs/>
          <w:lang w:val="fr-FR"/>
        </w:rPr>
        <w:t xml:space="preserve">Le </w:t>
      </w:r>
      <w:r w:rsidRPr="00702497">
        <w:rPr>
          <w:rFonts w:eastAsia="Malgun Gothic"/>
          <w:b/>
          <w:lang w:val="fr-FR"/>
        </w:rPr>
        <w:t>Président</w:t>
      </w:r>
      <w:r w:rsidRPr="002420DA">
        <w:rPr>
          <w:rFonts w:eastAsia="Malgun Gothic"/>
          <w:bCs/>
          <w:lang w:val="fr-FR"/>
        </w:rPr>
        <w:t xml:space="preserve"> a rappelé que d</w:t>
      </w:r>
      <w:r w:rsidR="00923E72">
        <w:rPr>
          <w:rFonts w:eastAsia="Malgun Gothic"/>
          <w:bCs/>
          <w:lang w:val="fr-FR"/>
        </w:rPr>
        <w:t>’</w:t>
      </w:r>
      <w:r w:rsidRPr="002420DA">
        <w:rPr>
          <w:rFonts w:eastAsia="Malgun Gothic"/>
          <w:bCs/>
          <w:lang w:val="fr-FR"/>
        </w:rPr>
        <w:t>autres soutiens pourraient être mentionnés plus tard au cours de</w:t>
      </w:r>
      <w:r w:rsidR="00AC6722">
        <w:rPr>
          <w:rFonts w:eastAsia="Malgun Gothic"/>
          <w:bCs/>
          <w:lang w:val="fr-FR"/>
        </w:rPr>
        <w:t xml:space="preserve"> l</w:t>
      </w:r>
      <w:r w:rsidR="00923E72">
        <w:rPr>
          <w:rFonts w:eastAsia="Malgun Gothic"/>
          <w:bCs/>
          <w:lang w:val="fr-FR"/>
        </w:rPr>
        <w:t>’</w:t>
      </w:r>
      <w:r w:rsidRPr="002420DA">
        <w:rPr>
          <w:rFonts w:eastAsia="Malgun Gothic"/>
          <w:bCs/>
          <w:lang w:val="fr-FR"/>
        </w:rPr>
        <w:t>examen des dossiers. Pour chaque dossier examiné, l</w:t>
      </w:r>
      <w:r w:rsidR="00923E72">
        <w:rPr>
          <w:rFonts w:eastAsia="Malgun Gothic"/>
          <w:bCs/>
          <w:lang w:val="fr-FR"/>
        </w:rPr>
        <w:t>’</w:t>
      </w:r>
      <w:r w:rsidRPr="002420DA">
        <w:rPr>
          <w:rFonts w:eastAsia="Malgun Gothic"/>
          <w:bCs/>
          <w:lang w:val="fr-FR"/>
        </w:rPr>
        <w:t>État soumissionnaire disposerait d</w:t>
      </w:r>
      <w:r w:rsidR="00923E72">
        <w:rPr>
          <w:rFonts w:eastAsia="Malgun Gothic"/>
          <w:bCs/>
          <w:lang w:val="fr-FR"/>
        </w:rPr>
        <w:t>’</w:t>
      </w:r>
      <w:r w:rsidRPr="002420DA">
        <w:rPr>
          <w:rFonts w:eastAsia="Malgun Gothic"/>
          <w:bCs/>
          <w:lang w:val="fr-FR"/>
        </w:rPr>
        <w:t>un total de deux minutes après l</w:t>
      </w:r>
      <w:r w:rsidR="00923E72">
        <w:rPr>
          <w:rFonts w:eastAsia="Malgun Gothic"/>
          <w:bCs/>
          <w:lang w:val="fr-FR"/>
        </w:rPr>
        <w:t>’</w:t>
      </w:r>
      <w:r w:rsidRPr="002420DA">
        <w:rPr>
          <w:rFonts w:eastAsia="Malgun Gothic"/>
          <w:bCs/>
          <w:lang w:val="fr-FR"/>
        </w:rPr>
        <w:t>adoption pour faire une déclaration et/ou montrer un clip vidéo, comme il était d</w:t>
      </w:r>
      <w:r w:rsidR="00923E72">
        <w:rPr>
          <w:rFonts w:eastAsia="Malgun Gothic"/>
          <w:bCs/>
          <w:lang w:val="fr-FR"/>
        </w:rPr>
        <w:t>’</w:t>
      </w:r>
      <w:r w:rsidR="0087096A">
        <w:rPr>
          <w:rFonts w:eastAsia="Malgun Gothic"/>
          <w:bCs/>
          <w:lang w:val="fr-FR"/>
        </w:rPr>
        <w:t>usage</w:t>
      </w:r>
      <w:r w:rsidRPr="002420DA">
        <w:rPr>
          <w:rFonts w:eastAsia="Malgun Gothic"/>
          <w:bCs/>
          <w:lang w:val="fr-FR"/>
        </w:rPr>
        <w:t xml:space="preserve">. Pour les dossiers multinationaux, le temps total alloué </w:t>
      </w:r>
      <w:r w:rsidR="0087096A">
        <w:rPr>
          <w:rFonts w:eastAsia="Malgun Gothic"/>
          <w:bCs/>
          <w:lang w:val="fr-FR"/>
        </w:rPr>
        <w:t xml:space="preserve">serait </w:t>
      </w:r>
      <w:r w:rsidRPr="002420DA">
        <w:rPr>
          <w:rFonts w:eastAsia="Malgun Gothic"/>
          <w:bCs/>
          <w:lang w:val="fr-FR"/>
        </w:rPr>
        <w:t>de trois minutes. Les membres souhaitant ouvrir un</w:t>
      </w:r>
      <w:r w:rsidR="0087096A">
        <w:rPr>
          <w:rFonts w:eastAsia="Malgun Gothic"/>
          <w:bCs/>
          <w:lang w:val="fr-FR"/>
        </w:rPr>
        <w:t xml:space="preserve"> débat </w:t>
      </w:r>
      <w:r w:rsidRPr="002420DA">
        <w:rPr>
          <w:rFonts w:eastAsia="Malgun Gothic"/>
          <w:bCs/>
          <w:lang w:val="fr-FR"/>
        </w:rPr>
        <w:t>ou amender des projets de décisions spécifiques sur les candidatures aux listes, les propositions pour le Registre des bonnes pratiques de sauvegarde ou les demandes d</w:t>
      </w:r>
      <w:r w:rsidR="00923E72">
        <w:rPr>
          <w:rFonts w:eastAsia="Malgun Gothic"/>
          <w:bCs/>
          <w:lang w:val="fr-FR"/>
        </w:rPr>
        <w:t>’</w:t>
      </w:r>
      <w:r w:rsidRPr="002420DA">
        <w:rPr>
          <w:rFonts w:eastAsia="Malgun Gothic"/>
          <w:bCs/>
          <w:lang w:val="fr-FR"/>
        </w:rPr>
        <w:t>assistance internationale étaient invités à en informer le Secrétariat, et ce, dans un souci d</w:t>
      </w:r>
      <w:r w:rsidR="0087096A">
        <w:rPr>
          <w:rFonts w:eastAsia="Malgun Gothic"/>
          <w:bCs/>
          <w:lang w:val="fr-FR"/>
        </w:rPr>
        <w:t xml:space="preserve">e bonne </w:t>
      </w:r>
      <w:r w:rsidRPr="002420DA">
        <w:rPr>
          <w:rFonts w:eastAsia="Malgun Gothic"/>
          <w:bCs/>
          <w:lang w:val="fr-FR"/>
        </w:rPr>
        <w:t xml:space="preserve">organisation. De cette manière, le Bureau pourrait établir une liste de dossiers à débattre. Le Président a ensuite rappelé plusieurs autres points importants concernant la procédure de débat sur ce point précis, à savoir les règles et les méthodes de travail du Comité. Comme pour les autres points, la priorité était donnée aux membres du Comité, mais la parole </w:t>
      </w:r>
      <w:r w:rsidR="0087096A">
        <w:rPr>
          <w:rFonts w:eastAsia="Malgun Gothic"/>
          <w:bCs/>
          <w:lang w:val="fr-FR"/>
        </w:rPr>
        <w:t xml:space="preserve">pouvait </w:t>
      </w:r>
      <w:r w:rsidRPr="002420DA">
        <w:rPr>
          <w:rFonts w:eastAsia="Malgun Gothic"/>
          <w:bCs/>
          <w:lang w:val="fr-FR"/>
        </w:rPr>
        <w:t xml:space="preserve">également </w:t>
      </w:r>
      <w:r w:rsidR="0087096A">
        <w:rPr>
          <w:rFonts w:eastAsia="Malgun Gothic"/>
          <w:bCs/>
          <w:lang w:val="fr-FR"/>
        </w:rPr>
        <w:t xml:space="preserve">être </w:t>
      </w:r>
      <w:r w:rsidRPr="002420DA">
        <w:rPr>
          <w:rFonts w:eastAsia="Malgun Gothic"/>
          <w:bCs/>
          <w:lang w:val="fr-FR"/>
        </w:rPr>
        <w:t xml:space="preserve">donnée aux États parties non membres du Comité et aux autres observateurs, si le temps le permettait. Une limite de deux minutes était fixée pour chaque intervention. Les États </w:t>
      </w:r>
      <w:r w:rsidR="00A35921">
        <w:rPr>
          <w:rFonts w:eastAsia="Malgun Gothic"/>
          <w:bCs/>
          <w:lang w:val="fr-FR"/>
        </w:rPr>
        <w:t xml:space="preserve">parties </w:t>
      </w:r>
      <w:r w:rsidRPr="002420DA">
        <w:rPr>
          <w:rFonts w:eastAsia="Malgun Gothic"/>
          <w:bCs/>
          <w:lang w:val="fr-FR"/>
        </w:rPr>
        <w:t>non membres du Comité ne pouvaient pas prendre la parole lorsque le Comité examinait des candidatures individuelles. L</w:t>
      </w:r>
      <w:r w:rsidR="00923E72">
        <w:rPr>
          <w:rFonts w:eastAsia="Malgun Gothic"/>
          <w:bCs/>
          <w:lang w:val="fr-FR"/>
        </w:rPr>
        <w:t>’</w:t>
      </w:r>
      <w:r w:rsidRPr="002420DA">
        <w:rPr>
          <w:rFonts w:eastAsia="Malgun Gothic"/>
          <w:bCs/>
          <w:lang w:val="fr-FR"/>
        </w:rPr>
        <w:t>exception à cette règle était prévue par l</w:t>
      </w:r>
      <w:r w:rsidR="00923E72">
        <w:rPr>
          <w:rFonts w:eastAsia="Malgun Gothic"/>
          <w:bCs/>
          <w:lang w:val="fr-FR"/>
        </w:rPr>
        <w:t>’</w:t>
      </w:r>
      <w:r w:rsidRPr="002420DA">
        <w:rPr>
          <w:rFonts w:eastAsia="Malgun Gothic"/>
          <w:bCs/>
          <w:lang w:val="fr-FR"/>
        </w:rPr>
        <w:t>article</w:t>
      </w:r>
      <w:r w:rsidR="00A35921">
        <w:rPr>
          <w:rFonts w:eastAsia="Malgun Gothic"/>
          <w:bCs/>
          <w:lang w:val="fr-FR"/>
        </w:rPr>
        <w:t> </w:t>
      </w:r>
      <w:r w:rsidRPr="002420DA">
        <w:rPr>
          <w:rFonts w:eastAsia="Malgun Gothic"/>
          <w:bCs/>
          <w:lang w:val="fr-FR"/>
        </w:rPr>
        <w:t>22.4 du Règlement intérieur du Comité lorsque les États soumissionnaires pouvaient prendre la parole pour répondre à des questions spécifiques et pour communiquer des informations en réponse à des questions soulevées par les membres du Comité concernant leur dossier. Le même article précisait que les États soumissionnaires, qu</w:t>
      </w:r>
      <w:r w:rsidR="00923E72">
        <w:rPr>
          <w:rFonts w:eastAsia="Malgun Gothic"/>
          <w:bCs/>
          <w:lang w:val="fr-FR"/>
        </w:rPr>
        <w:t>’</w:t>
      </w:r>
      <w:r w:rsidRPr="002420DA">
        <w:rPr>
          <w:rFonts w:eastAsia="Malgun Gothic"/>
          <w:bCs/>
          <w:lang w:val="fr-FR"/>
        </w:rPr>
        <w:t>ils soient ou non membres du Comité, ne devaient pas prendre la parole pour défendre leurs propres candidatures, mais uniquement pour répondre aux questions spécifiques posées.</w:t>
      </w:r>
    </w:p>
    <w:p w14:paraId="14AE809B" w14:textId="0F566C25" w:rsidR="0087096A" w:rsidRDefault="0087096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87096A">
        <w:rPr>
          <w:rFonts w:eastAsia="Malgun Gothic"/>
          <w:bCs/>
          <w:lang w:val="fr-FR"/>
        </w:rPr>
        <w:t xml:space="preserve">Le </w:t>
      </w:r>
      <w:r w:rsidRPr="00702497">
        <w:rPr>
          <w:rFonts w:eastAsia="Malgun Gothic"/>
          <w:b/>
          <w:lang w:val="fr-FR"/>
        </w:rPr>
        <w:t>Président</w:t>
      </w:r>
      <w:r w:rsidRPr="0087096A">
        <w:rPr>
          <w:rFonts w:eastAsia="Malgun Gothic"/>
          <w:bCs/>
          <w:lang w:val="fr-FR"/>
        </w:rPr>
        <w:t xml:space="preserve"> a précisé comment il entendait procéder en ce qui concerne le processus de prise de décision, qui tenait compte des décisions et pratiques antérieures, et également en fonction de la décision</w:t>
      </w:r>
      <w:r w:rsidR="00A35921">
        <w:rPr>
          <w:rFonts w:eastAsia="Malgun Gothic"/>
          <w:bCs/>
          <w:lang w:val="fr-FR"/>
        </w:rPr>
        <w:t> </w:t>
      </w:r>
      <w:r w:rsidR="00751FB1">
        <w:fldChar w:fldCharType="begin"/>
      </w:r>
      <w:r w:rsidR="00751FB1" w:rsidRPr="00751FB1">
        <w:rPr>
          <w:lang w:val="fr-FR"/>
        </w:rPr>
        <w:instrText>HYPERLINK "https://ich.unesco.org/fr/Decisions/11.COM/8"</w:instrText>
      </w:r>
      <w:r w:rsidR="00751FB1">
        <w:fldChar w:fldCharType="separate"/>
      </w:r>
      <w:r w:rsidR="00490FEA" w:rsidRPr="00702497">
        <w:rPr>
          <w:rStyle w:val="Hyperlink"/>
          <w:bCs/>
          <w:lang w:val="fr-FR"/>
        </w:rPr>
        <w:t>11.COM 8</w:t>
      </w:r>
      <w:r w:rsidR="00751FB1">
        <w:rPr>
          <w:rStyle w:val="Hyperlink"/>
          <w:bCs/>
          <w:lang w:val="fr-FR"/>
        </w:rPr>
        <w:fldChar w:fldCharType="end"/>
      </w:r>
      <w:r>
        <w:rPr>
          <w:rFonts w:eastAsia="Malgun Gothic"/>
          <w:bCs/>
          <w:lang w:val="fr-FR"/>
        </w:rPr>
        <w:t xml:space="preserve"> </w:t>
      </w:r>
      <w:r w:rsidRPr="0087096A">
        <w:rPr>
          <w:rFonts w:eastAsia="Malgun Gothic"/>
          <w:bCs/>
          <w:lang w:val="fr-FR"/>
        </w:rPr>
        <w:t>du Comité portant sur la clarification du processus de prise de décision en matière d</w:t>
      </w:r>
      <w:r w:rsidR="00923E72">
        <w:rPr>
          <w:rFonts w:eastAsia="Malgun Gothic"/>
          <w:bCs/>
          <w:lang w:val="fr-FR"/>
        </w:rPr>
        <w:t>’</w:t>
      </w:r>
      <w:r w:rsidRPr="0087096A">
        <w:rPr>
          <w:rFonts w:eastAsia="Malgun Gothic"/>
          <w:bCs/>
          <w:lang w:val="fr-FR"/>
        </w:rPr>
        <w:t>inscription, de sélection ou d</w:t>
      </w:r>
      <w:r w:rsidR="00923E72">
        <w:rPr>
          <w:rFonts w:eastAsia="Malgun Gothic"/>
          <w:bCs/>
          <w:lang w:val="fr-FR"/>
        </w:rPr>
        <w:t>’</w:t>
      </w:r>
      <w:r w:rsidRPr="0087096A">
        <w:rPr>
          <w:rFonts w:eastAsia="Malgun Gothic"/>
          <w:bCs/>
          <w:lang w:val="fr-FR"/>
        </w:rPr>
        <w:t>approbation des candidatures, des propositions et des demandes. Conformément au paragraphe</w:t>
      </w:r>
      <w:r w:rsidR="00A35921">
        <w:rPr>
          <w:rFonts w:eastAsia="Malgun Gothic"/>
          <w:bCs/>
          <w:lang w:val="fr-FR"/>
        </w:rPr>
        <w:t> </w:t>
      </w:r>
      <w:r w:rsidRPr="0087096A">
        <w:rPr>
          <w:rFonts w:eastAsia="Malgun Gothic"/>
          <w:bCs/>
          <w:lang w:val="fr-FR"/>
        </w:rPr>
        <w:t>14 du Règlement intérieur du Comité, le Président a</w:t>
      </w:r>
      <w:r w:rsidR="00490FEA">
        <w:rPr>
          <w:rFonts w:eastAsia="Malgun Gothic"/>
          <w:bCs/>
          <w:lang w:val="fr-FR"/>
        </w:rPr>
        <w:t>vait</w:t>
      </w:r>
      <w:r w:rsidRPr="0087096A">
        <w:rPr>
          <w:rFonts w:eastAsia="Malgun Gothic"/>
          <w:bCs/>
          <w:lang w:val="fr-FR"/>
        </w:rPr>
        <w:t xml:space="preserve"> le devoir de veiller au bon déroulement des débats et au maintien de l</w:t>
      </w:r>
      <w:r w:rsidR="00923E72">
        <w:rPr>
          <w:rFonts w:eastAsia="Malgun Gothic"/>
          <w:bCs/>
          <w:lang w:val="fr-FR"/>
        </w:rPr>
        <w:t>’</w:t>
      </w:r>
      <w:r w:rsidRPr="0087096A">
        <w:rPr>
          <w:rFonts w:eastAsia="Malgun Gothic"/>
          <w:bCs/>
          <w:lang w:val="fr-FR"/>
        </w:rPr>
        <w:t xml:space="preserve">ordre, en assurant un esprit de consensus et de coopération internationale tout au long des débats et de la prise de décision. Le Président a rappelé au Comité que les projets de décision </w:t>
      </w:r>
      <w:r w:rsidR="009B677E">
        <w:rPr>
          <w:rFonts w:eastAsia="Malgun Gothic"/>
          <w:bCs/>
          <w:lang w:val="fr-FR"/>
        </w:rPr>
        <w:t xml:space="preserve">proposés </w:t>
      </w:r>
      <w:r w:rsidRPr="0087096A">
        <w:rPr>
          <w:rFonts w:eastAsia="Malgun Gothic"/>
          <w:bCs/>
          <w:lang w:val="fr-FR"/>
        </w:rPr>
        <w:t>avaient été préparés par l</w:t>
      </w:r>
      <w:r w:rsidR="00923E72">
        <w:rPr>
          <w:rFonts w:eastAsia="Malgun Gothic"/>
          <w:bCs/>
          <w:lang w:val="fr-FR"/>
        </w:rPr>
        <w:t>’</w:t>
      </w:r>
      <w:r w:rsidRPr="0087096A">
        <w:rPr>
          <w:rFonts w:eastAsia="Malgun Gothic"/>
          <w:bCs/>
          <w:lang w:val="fr-FR"/>
        </w:rPr>
        <w:t>Organe d</w:t>
      </w:r>
      <w:r w:rsidR="00923E72">
        <w:rPr>
          <w:rFonts w:eastAsia="Malgun Gothic"/>
          <w:bCs/>
          <w:lang w:val="fr-FR"/>
        </w:rPr>
        <w:t>’</w:t>
      </w:r>
      <w:r w:rsidRPr="0087096A">
        <w:rPr>
          <w:rFonts w:eastAsia="Malgun Gothic"/>
          <w:bCs/>
          <w:lang w:val="fr-FR"/>
        </w:rPr>
        <w:t>évaluation, un organe consultatif créé pour aider à l</w:t>
      </w:r>
      <w:r w:rsidR="00923E72">
        <w:rPr>
          <w:rFonts w:eastAsia="Malgun Gothic"/>
          <w:bCs/>
          <w:lang w:val="fr-FR"/>
        </w:rPr>
        <w:t>’</w:t>
      </w:r>
      <w:r w:rsidRPr="0087096A">
        <w:rPr>
          <w:rFonts w:eastAsia="Malgun Gothic"/>
          <w:bCs/>
          <w:lang w:val="fr-FR"/>
        </w:rPr>
        <w:t>examen approfondi des candidatures. Les membres de cet organe avaient été élus sur la base de leur expertise et en tenant pleinement compte d</w:t>
      </w:r>
      <w:r w:rsidR="00923E72">
        <w:rPr>
          <w:rFonts w:eastAsia="Malgun Gothic"/>
          <w:bCs/>
          <w:lang w:val="fr-FR"/>
        </w:rPr>
        <w:t>’</w:t>
      </w:r>
      <w:r w:rsidRPr="0087096A">
        <w:rPr>
          <w:rFonts w:eastAsia="Malgun Gothic"/>
          <w:bCs/>
          <w:lang w:val="fr-FR"/>
        </w:rPr>
        <w:t>une représentation régionale équilibrée. Par conséquent, les débats devaient faire preuve de respect à l</w:t>
      </w:r>
      <w:r w:rsidR="00923E72">
        <w:rPr>
          <w:rFonts w:eastAsia="Malgun Gothic"/>
          <w:bCs/>
          <w:lang w:val="fr-FR"/>
        </w:rPr>
        <w:t>’</w:t>
      </w:r>
      <w:r w:rsidRPr="0087096A">
        <w:rPr>
          <w:rFonts w:eastAsia="Malgun Gothic"/>
          <w:bCs/>
          <w:lang w:val="fr-FR"/>
        </w:rPr>
        <w:t>égard de l</w:t>
      </w:r>
      <w:r w:rsidR="00923E72">
        <w:rPr>
          <w:rFonts w:eastAsia="Malgun Gothic"/>
          <w:bCs/>
          <w:lang w:val="fr-FR"/>
        </w:rPr>
        <w:t>’</w:t>
      </w:r>
      <w:r w:rsidRPr="0087096A">
        <w:rPr>
          <w:rFonts w:eastAsia="Malgun Gothic"/>
          <w:bCs/>
          <w:lang w:val="fr-FR"/>
        </w:rPr>
        <w:t>expertise et du travail diligent de l</w:t>
      </w:r>
      <w:r w:rsidR="00923E72">
        <w:rPr>
          <w:rFonts w:eastAsia="Malgun Gothic"/>
          <w:bCs/>
          <w:lang w:val="fr-FR"/>
        </w:rPr>
        <w:t>’</w:t>
      </w:r>
      <w:r w:rsidRPr="0087096A">
        <w:rPr>
          <w:rFonts w:eastAsia="Malgun Gothic"/>
          <w:bCs/>
          <w:lang w:val="fr-FR"/>
        </w:rPr>
        <w:t>Organe d</w:t>
      </w:r>
      <w:r w:rsidR="00923E72">
        <w:rPr>
          <w:rFonts w:eastAsia="Malgun Gothic"/>
          <w:bCs/>
          <w:lang w:val="fr-FR"/>
        </w:rPr>
        <w:t>’</w:t>
      </w:r>
      <w:r w:rsidRPr="0087096A">
        <w:rPr>
          <w:rFonts w:eastAsia="Malgun Gothic"/>
          <w:bCs/>
          <w:lang w:val="fr-FR"/>
        </w:rPr>
        <w:t>évaluation. Lorsque des amendements seraient proposés, le Président s</w:t>
      </w:r>
      <w:r w:rsidR="00923E72">
        <w:rPr>
          <w:rFonts w:eastAsia="Malgun Gothic"/>
          <w:bCs/>
          <w:lang w:val="fr-FR"/>
        </w:rPr>
        <w:t>’</w:t>
      </w:r>
      <w:r w:rsidRPr="0087096A">
        <w:rPr>
          <w:rFonts w:eastAsia="Malgun Gothic"/>
          <w:bCs/>
          <w:lang w:val="fr-FR"/>
        </w:rPr>
        <w:t>efforcerait d</w:t>
      </w:r>
      <w:r w:rsidR="00923E72">
        <w:rPr>
          <w:rFonts w:eastAsia="Malgun Gothic"/>
          <w:bCs/>
          <w:lang w:val="fr-FR"/>
        </w:rPr>
        <w:t>’</w:t>
      </w:r>
      <w:r w:rsidRPr="0087096A">
        <w:rPr>
          <w:rFonts w:eastAsia="Malgun Gothic"/>
          <w:bCs/>
          <w:lang w:val="fr-FR"/>
        </w:rPr>
        <w:t>établir un consensus en appréciant à la fois les arguments qui les soutiennent et les objections qu</w:t>
      </w:r>
      <w:r w:rsidR="00923E72">
        <w:rPr>
          <w:rFonts w:eastAsia="Malgun Gothic"/>
          <w:bCs/>
          <w:lang w:val="fr-FR"/>
        </w:rPr>
        <w:t>’</w:t>
      </w:r>
      <w:r w:rsidRPr="0087096A">
        <w:rPr>
          <w:rFonts w:eastAsia="Malgun Gothic"/>
          <w:bCs/>
          <w:lang w:val="fr-FR"/>
        </w:rPr>
        <w:t>ils suscitent. Lorsqu</w:t>
      </w:r>
      <w:r w:rsidR="00923E72">
        <w:rPr>
          <w:rFonts w:eastAsia="Malgun Gothic"/>
          <w:bCs/>
          <w:lang w:val="fr-FR"/>
        </w:rPr>
        <w:t>’</w:t>
      </w:r>
      <w:r w:rsidRPr="0087096A">
        <w:rPr>
          <w:rFonts w:eastAsia="Malgun Gothic"/>
          <w:bCs/>
          <w:lang w:val="fr-FR"/>
        </w:rPr>
        <w:t>un amendement serait soumis, il faudrait d</w:t>
      </w:r>
      <w:r w:rsidR="00923E72">
        <w:rPr>
          <w:rFonts w:eastAsia="Malgun Gothic"/>
          <w:bCs/>
          <w:lang w:val="fr-FR"/>
        </w:rPr>
        <w:t>’</w:t>
      </w:r>
      <w:r w:rsidRPr="0087096A">
        <w:rPr>
          <w:rFonts w:eastAsia="Malgun Gothic"/>
          <w:bCs/>
          <w:lang w:val="fr-FR"/>
        </w:rPr>
        <w:t>abord déterminer s</w:t>
      </w:r>
      <w:r w:rsidR="00923E72">
        <w:rPr>
          <w:rFonts w:eastAsia="Malgun Gothic"/>
          <w:bCs/>
          <w:lang w:val="fr-FR"/>
        </w:rPr>
        <w:t>’</w:t>
      </w:r>
      <w:r w:rsidRPr="0087096A">
        <w:rPr>
          <w:rFonts w:eastAsia="Malgun Gothic"/>
          <w:bCs/>
          <w:lang w:val="fr-FR"/>
        </w:rPr>
        <w:t>il bénéfici</w:t>
      </w:r>
      <w:r w:rsidR="00490FEA">
        <w:rPr>
          <w:rFonts w:eastAsia="Malgun Gothic"/>
          <w:bCs/>
          <w:lang w:val="fr-FR"/>
        </w:rPr>
        <w:t>ait</w:t>
      </w:r>
      <w:r w:rsidRPr="0087096A">
        <w:rPr>
          <w:rFonts w:eastAsia="Malgun Gothic"/>
          <w:bCs/>
          <w:lang w:val="fr-FR"/>
        </w:rPr>
        <w:t xml:space="preserve"> d</w:t>
      </w:r>
      <w:r w:rsidR="00923E72">
        <w:rPr>
          <w:rFonts w:eastAsia="Malgun Gothic"/>
          <w:bCs/>
          <w:lang w:val="fr-FR"/>
        </w:rPr>
        <w:t>’</w:t>
      </w:r>
      <w:r w:rsidRPr="0087096A">
        <w:rPr>
          <w:rFonts w:eastAsia="Malgun Gothic"/>
          <w:bCs/>
          <w:lang w:val="fr-FR"/>
        </w:rPr>
        <w:t xml:space="preserve">un </w:t>
      </w:r>
      <w:r w:rsidRPr="00702497">
        <w:rPr>
          <w:rFonts w:eastAsia="Malgun Gothic"/>
          <w:bCs/>
          <w:i/>
          <w:iCs/>
          <w:lang w:val="fr-FR"/>
        </w:rPr>
        <w:t>soutien actif relatif</w:t>
      </w:r>
      <w:r w:rsidRPr="0087096A">
        <w:rPr>
          <w:rFonts w:eastAsia="Malgun Gothic"/>
          <w:bCs/>
          <w:lang w:val="fr-FR"/>
        </w:rPr>
        <w:t xml:space="preserve"> de la part du Comité. Il chercherait ainsi à obtenir des expressions de soutien de la part d</w:t>
      </w:r>
      <w:r w:rsidR="00923E72">
        <w:rPr>
          <w:rFonts w:eastAsia="Malgun Gothic"/>
          <w:bCs/>
          <w:lang w:val="fr-FR"/>
        </w:rPr>
        <w:t>’</w:t>
      </w:r>
      <w:r w:rsidRPr="0087096A">
        <w:rPr>
          <w:rFonts w:eastAsia="Malgun Gothic"/>
          <w:bCs/>
          <w:lang w:val="fr-FR"/>
        </w:rPr>
        <w:t>au moins un tiers des membres du Comité. En cas d</w:t>
      </w:r>
      <w:r w:rsidR="00923E72">
        <w:rPr>
          <w:rFonts w:eastAsia="Malgun Gothic"/>
          <w:bCs/>
          <w:lang w:val="fr-FR"/>
        </w:rPr>
        <w:t>’</w:t>
      </w:r>
      <w:r w:rsidRPr="0087096A">
        <w:rPr>
          <w:rFonts w:eastAsia="Malgun Gothic"/>
          <w:bCs/>
          <w:lang w:val="fr-FR"/>
        </w:rPr>
        <w:t>objection d</w:t>
      </w:r>
      <w:r w:rsidR="00923E72">
        <w:rPr>
          <w:rFonts w:eastAsia="Malgun Gothic"/>
          <w:bCs/>
          <w:lang w:val="fr-FR"/>
        </w:rPr>
        <w:t>’</w:t>
      </w:r>
      <w:r w:rsidRPr="0087096A">
        <w:rPr>
          <w:rFonts w:eastAsia="Malgun Gothic"/>
          <w:bCs/>
          <w:lang w:val="fr-FR"/>
        </w:rPr>
        <w:t xml:space="preserve">un membre du Comité à cet amendement, il chercherait à obtenir le </w:t>
      </w:r>
      <w:r w:rsidR="00490FEA" w:rsidRPr="00702497">
        <w:rPr>
          <w:rFonts w:eastAsia="Malgun Gothic"/>
          <w:bCs/>
          <w:i/>
          <w:iCs/>
          <w:lang w:val="fr-FR"/>
        </w:rPr>
        <w:t xml:space="preserve">large </w:t>
      </w:r>
      <w:r w:rsidRPr="00702497">
        <w:rPr>
          <w:rFonts w:eastAsia="Malgun Gothic"/>
          <w:bCs/>
          <w:i/>
          <w:iCs/>
          <w:lang w:val="fr-FR"/>
        </w:rPr>
        <w:t>soutien actif</w:t>
      </w:r>
      <w:r w:rsidRPr="0087096A">
        <w:rPr>
          <w:rFonts w:eastAsia="Malgun Gothic"/>
          <w:bCs/>
          <w:lang w:val="fr-FR"/>
        </w:rPr>
        <w:t xml:space="preserve"> de la majorité des membres du Comité. Il avait cru comprendre que les membres du Comité souhaitaient maintenir l</w:t>
      </w:r>
      <w:r w:rsidR="00923E72">
        <w:rPr>
          <w:rFonts w:eastAsia="Malgun Gothic"/>
          <w:bCs/>
          <w:lang w:val="fr-FR"/>
        </w:rPr>
        <w:t>’</w:t>
      </w:r>
      <w:r w:rsidRPr="0087096A">
        <w:rPr>
          <w:rFonts w:eastAsia="Malgun Gothic"/>
          <w:bCs/>
          <w:lang w:val="fr-FR"/>
        </w:rPr>
        <w:t>accord de travail tacite mis en place pour la première fois lors de la douzième session du Comité en</w:t>
      </w:r>
      <w:r w:rsidR="001A7AF7">
        <w:rPr>
          <w:rFonts w:eastAsia="Malgun Gothic"/>
          <w:bCs/>
          <w:lang w:val="fr-FR"/>
        </w:rPr>
        <w:t> </w:t>
      </w:r>
      <w:r w:rsidRPr="0087096A">
        <w:rPr>
          <w:rFonts w:eastAsia="Malgun Gothic"/>
          <w:bCs/>
          <w:lang w:val="fr-FR"/>
        </w:rPr>
        <w:t>2017, par lequel les membres du Comité avaient convenu de s</w:t>
      </w:r>
      <w:r w:rsidR="00923E72">
        <w:rPr>
          <w:rFonts w:eastAsia="Malgun Gothic"/>
          <w:bCs/>
          <w:lang w:val="fr-FR"/>
        </w:rPr>
        <w:t>’</w:t>
      </w:r>
      <w:r w:rsidRPr="0087096A">
        <w:rPr>
          <w:rFonts w:eastAsia="Malgun Gothic"/>
          <w:bCs/>
          <w:lang w:val="fr-FR"/>
        </w:rPr>
        <w:t>abstenir d</w:t>
      </w:r>
      <w:r w:rsidR="00923E72">
        <w:rPr>
          <w:rFonts w:eastAsia="Malgun Gothic"/>
          <w:bCs/>
          <w:lang w:val="fr-FR"/>
        </w:rPr>
        <w:t>’</w:t>
      </w:r>
      <w:r w:rsidRPr="0087096A">
        <w:rPr>
          <w:rFonts w:eastAsia="Malgun Gothic"/>
          <w:bCs/>
          <w:lang w:val="fr-FR"/>
        </w:rPr>
        <w:t>inscrire les dossiers que l</w:t>
      </w:r>
      <w:r w:rsidR="00923E72">
        <w:rPr>
          <w:rFonts w:eastAsia="Malgun Gothic"/>
          <w:bCs/>
          <w:lang w:val="fr-FR"/>
        </w:rPr>
        <w:t>’</w:t>
      </w:r>
      <w:r w:rsidRPr="0087096A">
        <w:rPr>
          <w:rFonts w:eastAsia="Malgun Gothic"/>
          <w:bCs/>
          <w:lang w:val="fr-FR"/>
        </w:rPr>
        <w:t>Organe d</w:t>
      </w:r>
      <w:r w:rsidR="00923E72">
        <w:rPr>
          <w:rFonts w:eastAsia="Malgun Gothic"/>
          <w:bCs/>
          <w:lang w:val="fr-FR"/>
        </w:rPr>
        <w:t>’</w:t>
      </w:r>
      <w:r w:rsidRPr="0087096A">
        <w:rPr>
          <w:rFonts w:eastAsia="Malgun Gothic"/>
          <w:bCs/>
          <w:lang w:val="fr-FR"/>
        </w:rPr>
        <w:t>évaluation recommandait de ne pas inscrire et ceux pour lesquels plus de deux critères n</w:t>
      </w:r>
      <w:r w:rsidR="00923E72">
        <w:rPr>
          <w:rFonts w:eastAsia="Malgun Gothic"/>
          <w:bCs/>
          <w:lang w:val="fr-FR"/>
        </w:rPr>
        <w:t>’</w:t>
      </w:r>
      <w:r w:rsidRPr="0087096A">
        <w:rPr>
          <w:rFonts w:eastAsia="Malgun Gothic"/>
          <w:bCs/>
          <w:lang w:val="fr-FR"/>
        </w:rPr>
        <w:t>étaient pas satisfaits. En d</w:t>
      </w:r>
      <w:r w:rsidR="00923E72">
        <w:rPr>
          <w:rFonts w:eastAsia="Malgun Gothic"/>
          <w:bCs/>
          <w:lang w:val="fr-FR"/>
        </w:rPr>
        <w:t>’</w:t>
      </w:r>
      <w:r w:rsidRPr="0087096A">
        <w:rPr>
          <w:rFonts w:eastAsia="Malgun Gothic"/>
          <w:bCs/>
          <w:lang w:val="fr-FR"/>
        </w:rPr>
        <w:t xml:space="preserve">autres termes, si des candidatures présentaient trois, quatre ou </w:t>
      </w:r>
      <w:r w:rsidRPr="0087096A">
        <w:rPr>
          <w:rFonts w:eastAsia="Malgun Gothic"/>
          <w:bCs/>
          <w:lang w:val="fr-FR"/>
        </w:rPr>
        <w:lastRenderedPageBreak/>
        <w:t xml:space="preserve">cinq critères </w:t>
      </w:r>
      <w:r w:rsidR="002021B4">
        <w:rPr>
          <w:rFonts w:eastAsia="Malgun Gothic"/>
          <w:bCs/>
          <w:lang w:val="fr-FR"/>
        </w:rPr>
        <w:t xml:space="preserve">à propos desquels </w:t>
      </w:r>
      <w:r w:rsidRPr="0087096A">
        <w:rPr>
          <w:rFonts w:eastAsia="Malgun Gothic"/>
          <w:bCs/>
          <w:lang w:val="fr-FR"/>
        </w:rPr>
        <w:t>l</w:t>
      </w:r>
      <w:r w:rsidR="00923E72">
        <w:rPr>
          <w:rFonts w:eastAsia="Malgun Gothic"/>
          <w:bCs/>
          <w:lang w:val="fr-FR"/>
        </w:rPr>
        <w:t>’</w:t>
      </w:r>
      <w:r w:rsidRPr="0087096A">
        <w:rPr>
          <w:rFonts w:eastAsia="Malgun Gothic"/>
          <w:bCs/>
          <w:lang w:val="fr-FR"/>
        </w:rPr>
        <w:t>Organe d</w:t>
      </w:r>
      <w:r w:rsidR="00923E72">
        <w:rPr>
          <w:rFonts w:eastAsia="Malgun Gothic"/>
          <w:bCs/>
          <w:lang w:val="fr-FR"/>
        </w:rPr>
        <w:t>’</w:t>
      </w:r>
      <w:r w:rsidRPr="0087096A">
        <w:rPr>
          <w:rFonts w:eastAsia="Malgun Gothic"/>
          <w:bCs/>
          <w:lang w:val="fr-FR"/>
        </w:rPr>
        <w:t xml:space="preserve">évaluation recommandait de renvoyer ou de ne pas inscrire, </w:t>
      </w:r>
      <w:r w:rsidRPr="00FE3E27">
        <w:rPr>
          <w:rFonts w:eastAsia="Malgun Gothic"/>
          <w:bCs/>
          <w:lang w:val="fr-FR"/>
        </w:rPr>
        <w:t>l</w:t>
      </w:r>
      <w:r w:rsidR="00923E72">
        <w:rPr>
          <w:rFonts w:eastAsia="Malgun Gothic"/>
          <w:bCs/>
          <w:lang w:val="fr-FR"/>
        </w:rPr>
        <w:t>’</w:t>
      </w:r>
      <w:r w:rsidRPr="00FE3E27">
        <w:rPr>
          <w:rFonts w:eastAsia="Malgun Gothic"/>
          <w:bCs/>
          <w:lang w:val="fr-FR"/>
        </w:rPr>
        <w:t>accord</w:t>
      </w:r>
      <w:r w:rsidRPr="0087096A">
        <w:rPr>
          <w:rFonts w:eastAsia="Malgun Gothic"/>
          <w:bCs/>
          <w:lang w:val="fr-FR"/>
        </w:rPr>
        <w:t xml:space="preserve"> </w:t>
      </w:r>
      <w:r w:rsidR="00A35921">
        <w:rPr>
          <w:rFonts w:eastAsia="Malgun Gothic"/>
          <w:bCs/>
          <w:lang w:val="fr-FR"/>
        </w:rPr>
        <w:t>serait</w:t>
      </w:r>
      <w:r w:rsidRPr="0087096A">
        <w:rPr>
          <w:rFonts w:eastAsia="Malgun Gothic"/>
          <w:bCs/>
          <w:lang w:val="fr-FR"/>
        </w:rPr>
        <w:t xml:space="preserve"> de </w:t>
      </w:r>
      <w:r w:rsidRPr="00702497">
        <w:rPr>
          <w:rFonts w:eastAsia="Malgun Gothic"/>
          <w:bCs/>
          <w:i/>
          <w:iCs/>
          <w:lang w:val="fr-FR"/>
        </w:rPr>
        <w:t>ne pas</w:t>
      </w:r>
      <w:r w:rsidRPr="0087096A">
        <w:rPr>
          <w:rFonts w:eastAsia="Malgun Gothic"/>
          <w:bCs/>
          <w:lang w:val="fr-FR"/>
        </w:rPr>
        <w:t xml:space="preserve"> inscrire ces candidatures.</w:t>
      </w:r>
    </w:p>
    <w:p w14:paraId="76CBB910" w14:textId="50449E07" w:rsidR="00490FEA" w:rsidRDefault="00490FEA"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490FEA">
        <w:rPr>
          <w:rFonts w:eastAsia="Malgun Gothic"/>
          <w:bCs/>
          <w:lang w:val="fr-FR"/>
        </w:rPr>
        <w:t xml:space="preserve">Le </w:t>
      </w:r>
      <w:r w:rsidRPr="00702497">
        <w:rPr>
          <w:rFonts w:eastAsia="Malgun Gothic"/>
          <w:b/>
          <w:lang w:val="fr-FR"/>
        </w:rPr>
        <w:t>Président</w:t>
      </w:r>
      <w:r w:rsidRPr="00490FEA">
        <w:rPr>
          <w:rFonts w:eastAsia="Malgun Gothic"/>
          <w:bCs/>
          <w:lang w:val="fr-FR"/>
        </w:rPr>
        <w:t xml:space="preserve"> a signalé que cet accord avait été respecté depuis sa mise en place en</w:t>
      </w:r>
      <w:r w:rsidR="001A7AF7">
        <w:rPr>
          <w:rFonts w:eastAsia="Malgun Gothic"/>
          <w:bCs/>
          <w:lang w:val="fr-FR"/>
        </w:rPr>
        <w:t> </w:t>
      </w:r>
      <w:r w:rsidRPr="00490FEA">
        <w:rPr>
          <w:rFonts w:eastAsia="Malgun Gothic"/>
          <w:bCs/>
          <w:lang w:val="fr-FR"/>
        </w:rPr>
        <w:t>2017. Néanmoins, le Comité était libre et souverain pour discuter des candidatures. Il ne s</w:t>
      </w:r>
      <w:r w:rsidR="00923E72">
        <w:rPr>
          <w:rFonts w:eastAsia="Malgun Gothic"/>
          <w:bCs/>
          <w:lang w:val="fr-FR"/>
        </w:rPr>
        <w:t>’</w:t>
      </w:r>
      <w:r w:rsidRPr="00490FEA">
        <w:rPr>
          <w:rFonts w:eastAsia="Malgun Gothic"/>
          <w:bCs/>
          <w:lang w:val="fr-FR"/>
        </w:rPr>
        <w:t>agissait pas d</w:t>
      </w:r>
      <w:r w:rsidR="00923E72">
        <w:rPr>
          <w:rFonts w:eastAsia="Malgun Gothic"/>
          <w:bCs/>
          <w:lang w:val="fr-FR"/>
        </w:rPr>
        <w:t>’</w:t>
      </w:r>
      <w:r w:rsidRPr="00490FEA">
        <w:rPr>
          <w:rFonts w:eastAsia="Malgun Gothic"/>
          <w:bCs/>
          <w:lang w:val="fr-FR"/>
        </w:rPr>
        <w:t>une règle fixe mais plutôt d</w:t>
      </w:r>
      <w:r w:rsidR="00923E72">
        <w:rPr>
          <w:rFonts w:eastAsia="Malgun Gothic"/>
          <w:bCs/>
          <w:lang w:val="fr-FR"/>
        </w:rPr>
        <w:t>’</w:t>
      </w:r>
      <w:r w:rsidRPr="00490FEA">
        <w:rPr>
          <w:rFonts w:eastAsia="Malgun Gothic"/>
          <w:bCs/>
          <w:lang w:val="fr-FR"/>
        </w:rPr>
        <w:t>un accord tacite et, en effet, il y avait eu</w:t>
      </w:r>
      <w:r w:rsidR="009F391D">
        <w:rPr>
          <w:rFonts w:eastAsia="Malgun Gothic"/>
          <w:bCs/>
          <w:lang w:val="fr-FR"/>
        </w:rPr>
        <w:t>,</w:t>
      </w:r>
      <w:r w:rsidRPr="00490FEA">
        <w:rPr>
          <w:rFonts w:eastAsia="Malgun Gothic"/>
          <w:bCs/>
          <w:lang w:val="fr-FR"/>
        </w:rPr>
        <w:t xml:space="preserve"> par le passé</w:t>
      </w:r>
      <w:r w:rsidR="009F391D">
        <w:rPr>
          <w:rFonts w:eastAsia="Malgun Gothic"/>
          <w:bCs/>
          <w:lang w:val="fr-FR"/>
        </w:rPr>
        <w:t>,</w:t>
      </w:r>
      <w:r w:rsidRPr="00490FEA">
        <w:rPr>
          <w:rFonts w:eastAsia="Malgun Gothic"/>
          <w:bCs/>
          <w:lang w:val="fr-FR"/>
        </w:rPr>
        <w:t xml:space="preserve"> des cas où le débat avait été ouvert pour discuter de certaines questions. Toutefois, le Comité avait finalement confirmé les recommandations de l</w:t>
      </w:r>
      <w:r w:rsidR="00923E72">
        <w:rPr>
          <w:rFonts w:eastAsia="Malgun Gothic"/>
          <w:bCs/>
          <w:lang w:val="fr-FR"/>
        </w:rPr>
        <w:t>’</w:t>
      </w:r>
      <w:r w:rsidRPr="00490FEA">
        <w:rPr>
          <w:rFonts w:eastAsia="Malgun Gothic"/>
          <w:bCs/>
          <w:lang w:val="fr-FR"/>
        </w:rPr>
        <w:t>Organe d</w:t>
      </w:r>
      <w:r w:rsidR="00923E72">
        <w:rPr>
          <w:rFonts w:eastAsia="Malgun Gothic"/>
          <w:bCs/>
          <w:lang w:val="fr-FR"/>
        </w:rPr>
        <w:t>’</w:t>
      </w:r>
      <w:r w:rsidRPr="00490FEA">
        <w:rPr>
          <w:rFonts w:eastAsia="Malgun Gothic"/>
          <w:bCs/>
          <w:lang w:val="fr-FR"/>
        </w:rPr>
        <w:t>évaluation, compte tenu de son expertise et de son expérience. Le Président avait cru comprendre que certains États soumissionnaires avaient retiré leurs dossiers de candidature dans l</w:t>
      </w:r>
      <w:r w:rsidR="00923E72">
        <w:rPr>
          <w:rFonts w:eastAsia="Malgun Gothic"/>
          <w:bCs/>
          <w:lang w:val="fr-FR"/>
        </w:rPr>
        <w:t>’</w:t>
      </w:r>
      <w:r w:rsidRPr="00490FEA">
        <w:rPr>
          <w:rFonts w:eastAsia="Malgun Gothic"/>
          <w:bCs/>
          <w:lang w:val="fr-FR"/>
        </w:rPr>
        <w:t>esprit de l</w:t>
      </w:r>
      <w:r w:rsidR="00923E72">
        <w:rPr>
          <w:rFonts w:eastAsia="Malgun Gothic"/>
          <w:bCs/>
          <w:lang w:val="fr-FR"/>
        </w:rPr>
        <w:t>’</w:t>
      </w:r>
      <w:r w:rsidRPr="00490FEA">
        <w:rPr>
          <w:rFonts w:eastAsia="Malgun Gothic"/>
          <w:bCs/>
          <w:lang w:val="fr-FR"/>
        </w:rPr>
        <w:t xml:space="preserve">accord de travail, ce dont il leur était reconnaissant. Un travail important avait été entrepris par le Comité </w:t>
      </w:r>
      <w:r w:rsidR="00A35921">
        <w:rPr>
          <w:rFonts w:eastAsia="Malgun Gothic"/>
          <w:bCs/>
          <w:lang w:val="fr-FR"/>
        </w:rPr>
        <w:t>afin d</w:t>
      </w:r>
      <w:r w:rsidR="00923E72">
        <w:rPr>
          <w:rFonts w:eastAsia="Malgun Gothic"/>
          <w:bCs/>
          <w:lang w:val="fr-FR"/>
        </w:rPr>
        <w:t>’</w:t>
      </w:r>
      <w:r w:rsidRPr="00490FEA">
        <w:rPr>
          <w:rFonts w:eastAsia="Malgun Gothic"/>
          <w:bCs/>
          <w:lang w:val="fr-FR"/>
        </w:rPr>
        <w:t>améliorer la crédibilité, la redevabilité et le caractère opérationnel des mécanismes d</w:t>
      </w:r>
      <w:r w:rsidR="00923E72">
        <w:rPr>
          <w:rFonts w:eastAsia="Malgun Gothic"/>
          <w:bCs/>
          <w:lang w:val="fr-FR"/>
        </w:rPr>
        <w:t>’</w:t>
      </w:r>
      <w:r w:rsidRPr="00490FEA">
        <w:rPr>
          <w:rFonts w:eastAsia="Malgun Gothic"/>
          <w:bCs/>
          <w:lang w:val="fr-FR"/>
        </w:rPr>
        <w:t xml:space="preserve">inscription grâce à la réflexion globale </w:t>
      </w:r>
      <w:r w:rsidR="009F391D">
        <w:rPr>
          <w:rFonts w:eastAsia="Malgun Gothic"/>
          <w:bCs/>
          <w:lang w:val="fr-FR"/>
        </w:rPr>
        <w:t xml:space="preserve">sur les </w:t>
      </w:r>
      <w:r w:rsidRPr="00490FEA">
        <w:rPr>
          <w:rFonts w:eastAsia="Malgun Gothic"/>
          <w:bCs/>
          <w:lang w:val="fr-FR"/>
        </w:rPr>
        <w:t>mécanismes d</w:t>
      </w:r>
      <w:r w:rsidR="00923E72">
        <w:rPr>
          <w:rFonts w:eastAsia="Malgun Gothic"/>
          <w:bCs/>
          <w:lang w:val="fr-FR"/>
        </w:rPr>
        <w:t>’</w:t>
      </w:r>
      <w:r w:rsidRPr="00490FEA">
        <w:rPr>
          <w:rFonts w:eastAsia="Malgun Gothic"/>
          <w:bCs/>
          <w:lang w:val="fr-FR"/>
        </w:rPr>
        <w:t>inscription</w:t>
      </w:r>
      <w:r w:rsidR="004D4983">
        <w:rPr>
          <w:rFonts w:eastAsia="Malgun Gothic"/>
          <w:bCs/>
          <w:lang w:val="fr-FR"/>
        </w:rPr>
        <w:t>,</w:t>
      </w:r>
      <w:r w:rsidR="009F391D">
        <w:rPr>
          <w:rFonts w:eastAsia="Malgun Gothic"/>
          <w:bCs/>
          <w:lang w:val="fr-FR"/>
        </w:rPr>
        <w:t xml:space="preserve"> </w:t>
      </w:r>
      <w:r w:rsidRPr="00490FEA">
        <w:rPr>
          <w:rFonts w:eastAsia="Malgun Gothic"/>
          <w:bCs/>
          <w:lang w:val="fr-FR"/>
        </w:rPr>
        <w:t>qui s</w:t>
      </w:r>
      <w:r w:rsidR="00923E72">
        <w:rPr>
          <w:rFonts w:eastAsia="Malgun Gothic"/>
          <w:bCs/>
          <w:lang w:val="fr-FR"/>
        </w:rPr>
        <w:t>’</w:t>
      </w:r>
      <w:r w:rsidRPr="00490FEA">
        <w:rPr>
          <w:rFonts w:eastAsia="Malgun Gothic"/>
          <w:bCs/>
          <w:lang w:val="fr-FR"/>
        </w:rPr>
        <w:t>était déroulée entre</w:t>
      </w:r>
      <w:r w:rsidR="00F65ADE">
        <w:rPr>
          <w:rFonts w:eastAsia="Malgun Gothic"/>
          <w:bCs/>
          <w:lang w:val="fr-FR"/>
        </w:rPr>
        <w:t> </w:t>
      </w:r>
      <w:r w:rsidRPr="00490FEA">
        <w:rPr>
          <w:rFonts w:eastAsia="Malgun Gothic"/>
          <w:bCs/>
          <w:lang w:val="fr-FR"/>
        </w:rPr>
        <w:t>2018 et</w:t>
      </w:r>
      <w:r w:rsidR="00F65ADE">
        <w:rPr>
          <w:rFonts w:eastAsia="Malgun Gothic"/>
          <w:bCs/>
          <w:lang w:val="fr-FR"/>
        </w:rPr>
        <w:t> </w:t>
      </w:r>
      <w:r w:rsidRPr="00490FEA">
        <w:rPr>
          <w:rFonts w:eastAsia="Malgun Gothic"/>
          <w:bCs/>
          <w:lang w:val="fr-FR"/>
        </w:rPr>
        <w:t>2022, un certain nombre de ces révisions devant encore prendre effet, car il faudrait un cycle ou deux pour commencer à en voir les résultats. Cependant, certaines révisions étaient déjà opérationnelles, par exemple</w:t>
      </w:r>
      <w:r w:rsidR="002021B4">
        <w:rPr>
          <w:rFonts w:eastAsia="Malgun Gothic"/>
          <w:bCs/>
          <w:lang w:val="fr-FR"/>
        </w:rPr>
        <w:t>,</w:t>
      </w:r>
      <w:r w:rsidRPr="00490FEA">
        <w:rPr>
          <w:rFonts w:eastAsia="Malgun Gothic"/>
          <w:bCs/>
          <w:lang w:val="fr-FR"/>
        </w:rPr>
        <w:t xml:space="preserve"> le processus de dialogue entre l</w:t>
      </w:r>
      <w:r w:rsidR="00923E72">
        <w:rPr>
          <w:rFonts w:eastAsia="Malgun Gothic"/>
          <w:bCs/>
          <w:lang w:val="fr-FR"/>
        </w:rPr>
        <w:t>’</w:t>
      </w:r>
      <w:r w:rsidRPr="00490FEA">
        <w:rPr>
          <w:rFonts w:eastAsia="Malgun Gothic"/>
          <w:bCs/>
          <w:lang w:val="fr-FR"/>
        </w:rPr>
        <w:t>Organe d</w:t>
      </w:r>
      <w:r w:rsidR="00923E72">
        <w:rPr>
          <w:rFonts w:eastAsia="Malgun Gothic"/>
          <w:bCs/>
          <w:lang w:val="fr-FR"/>
        </w:rPr>
        <w:t>’</w:t>
      </w:r>
      <w:r w:rsidRPr="00490FEA">
        <w:rPr>
          <w:rFonts w:eastAsia="Malgun Gothic"/>
          <w:bCs/>
          <w:lang w:val="fr-FR"/>
        </w:rPr>
        <w:t>évaluation et les États soumissionnaires lors de l</w:t>
      </w:r>
      <w:r w:rsidR="00923E72">
        <w:rPr>
          <w:rFonts w:eastAsia="Malgun Gothic"/>
          <w:bCs/>
          <w:lang w:val="fr-FR"/>
        </w:rPr>
        <w:t>’</w:t>
      </w:r>
      <w:r w:rsidRPr="00490FEA">
        <w:rPr>
          <w:rFonts w:eastAsia="Malgun Gothic"/>
          <w:bCs/>
          <w:lang w:val="fr-FR"/>
        </w:rPr>
        <w:t>évaluation des candidatures, qui avait été mis en place à onze reprises au cours de cette session. Le bon déroulement de ces débats était primordial et la prise de décision du Comité avait un impact non seulement sur le travail du Comité mais également sur la Convention. En tant que membres du Comité, il était de leur devoir de prendre en compte ces points tout au long des débats.</w:t>
      </w:r>
    </w:p>
    <w:p w14:paraId="4CB38410" w14:textId="16620215" w:rsidR="009F391D" w:rsidRDefault="009F391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9F391D">
        <w:rPr>
          <w:rFonts w:eastAsia="Malgun Gothic"/>
          <w:bCs/>
          <w:lang w:val="fr-FR"/>
        </w:rPr>
        <w:t xml:space="preserve">La délégation du </w:t>
      </w:r>
      <w:r w:rsidRPr="00702497">
        <w:rPr>
          <w:rFonts w:eastAsia="Malgun Gothic"/>
          <w:b/>
          <w:lang w:val="fr-FR"/>
        </w:rPr>
        <w:t>Brésil</w:t>
      </w:r>
      <w:r w:rsidRPr="009F391D">
        <w:rPr>
          <w:rFonts w:eastAsia="Malgun Gothic"/>
          <w:bCs/>
          <w:lang w:val="fr-FR"/>
        </w:rPr>
        <w:t xml:space="preserve"> a félicité l</w:t>
      </w:r>
      <w:r w:rsidR="00923E72">
        <w:rPr>
          <w:rFonts w:eastAsia="Malgun Gothic"/>
          <w:bCs/>
          <w:lang w:val="fr-FR"/>
        </w:rPr>
        <w:t>’</w:t>
      </w:r>
      <w:r w:rsidRPr="009F391D">
        <w:rPr>
          <w:rFonts w:eastAsia="Malgun Gothic"/>
          <w:bCs/>
          <w:lang w:val="fr-FR"/>
        </w:rPr>
        <w:t>Organe d</w:t>
      </w:r>
      <w:r w:rsidR="00923E72">
        <w:rPr>
          <w:rFonts w:eastAsia="Malgun Gothic"/>
          <w:bCs/>
          <w:lang w:val="fr-FR"/>
        </w:rPr>
        <w:t>’</w:t>
      </w:r>
      <w:r w:rsidRPr="009F391D">
        <w:rPr>
          <w:rFonts w:eastAsia="Malgun Gothic"/>
          <w:bCs/>
          <w:lang w:val="fr-FR"/>
        </w:rPr>
        <w:t>évaluation pour son rapport, dont on pouvait tirer de nombreux enseignements pertinents sur l</w:t>
      </w:r>
      <w:r w:rsidR="00923E72">
        <w:rPr>
          <w:rFonts w:eastAsia="Malgun Gothic"/>
          <w:bCs/>
          <w:lang w:val="fr-FR"/>
        </w:rPr>
        <w:t>’</w:t>
      </w:r>
      <w:r w:rsidRPr="009F391D">
        <w:rPr>
          <w:rFonts w:eastAsia="Malgun Gothic"/>
          <w:bCs/>
          <w:lang w:val="fr-FR"/>
        </w:rPr>
        <w:t>évolution de la Convention. Le Brésil et les experts du Département du patrimoine culturel immatériel avaient également analysé de nombreux dossiers et sav</w:t>
      </w:r>
      <w:r w:rsidR="00BB2A07">
        <w:rPr>
          <w:rFonts w:eastAsia="Malgun Gothic"/>
          <w:bCs/>
          <w:lang w:val="fr-FR"/>
        </w:rPr>
        <w:t>ai</w:t>
      </w:r>
      <w:r w:rsidRPr="009F391D">
        <w:rPr>
          <w:rFonts w:eastAsia="Malgun Gothic"/>
          <w:bCs/>
          <w:lang w:val="fr-FR"/>
        </w:rPr>
        <w:t xml:space="preserve">ent à quel point cette tâche pouvait être ardue. </w:t>
      </w:r>
      <w:r w:rsidR="00BB2A07">
        <w:rPr>
          <w:rFonts w:eastAsia="Malgun Gothic"/>
          <w:bCs/>
          <w:lang w:val="fr-FR"/>
        </w:rPr>
        <w:t>S</w:t>
      </w:r>
      <w:r w:rsidR="00923E72">
        <w:rPr>
          <w:rFonts w:eastAsia="Malgun Gothic"/>
          <w:bCs/>
          <w:lang w:val="fr-FR"/>
        </w:rPr>
        <w:t>’</w:t>
      </w:r>
      <w:r w:rsidR="00BB2A07">
        <w:rPr>
          <w:rFonts w:eastAsia="Malgun Gothic"/>
          <w:bCs/>
          <w:lang w:val="fr-FR"/>
        </w:rPr>
        <w:t xml:space="preserve">agissant de </w:t>
      </w:r>
      <w:r w:rsidRPr="009F391D">
        <w:rPr>
          <w:rFonts w:eastAsia="Malgun Gothic"/>
          <w:bCs/>
          <w:lang w:val="fr-FR"/>
        </w:rPr>
        <w:t>l</w:t>
      </w:r>
      <w:r w:rsidR="00923E72">
        <w:rPr>
          <w:rFonts w:eastAsia="Malgun Gothic"/>
          <w:bCs/>
          <w:lang w:val="fr-FR"/>
        </w:rPr>
        <w:t>’</w:t>
      </w:r>
      <w:r w:rsidRPr="009F391D">
        <w:rPr>
          <w:rFonts w:eastAsia="Malgun Gothic"/>
          <w:bCs/>
          <w:lang w:val="fr-FR"/>
        </w:rPr>
        <w:t>accord de travail, la délégation a rappelé que, depuis</w:t>
      </w:r>
      <w:r w:rsidR="001A7AF7">
        <w:rPr>
          <w:rFonts w:eastAsia="Malgun Gothic"/>
          <w:bCs/>
          <w:lang w:val="fr-FR"/>
        </w:rPr>
        <w:t> </w:t>
      </w:r>
      <w:r w:rsidRPr="009F391D">
        <w:rPr>
          <w:rFonts w:eastAsia="Malgun Gothic"/>
          <w:bCs/>
          <w:lang w:val="fr-FR"/>
        </w:rPr>
        <w:t xml:space="preserve">2017, cinq dossiers avec trois critères non satisfaits ou plus et un dossier dont la non inscription </w:t>
      </w:r>
      <w:r w:rsidR="00A35921">
        <w:rPr>
          <w:rFonts w:eastAsia="Malgun Gothic"/>
          <w:bCs/>
          <w:lang w:val="fr-FR"/>
        </w:rPr>
        <w:t xml:space="preserve">avait été </w:t>
      </w:r>
      <w:r w:rsidRPr="009F391D">
        <w:rPr>
          <w:rFonts w:eastAsia="Malgun Gothic"/>
          <w:bCs/>
          <w:lang w:val="fr-FR"/>
        </w:rPr>
        <w:t xml:space="preserve">recommandée avaient </w:t>
      </w:r>
      <w:r w:rsidR="002021B4">
        <w:rPr>
          <w:rFonts w:eastAsia="Malgun Gothic"/>
          <w:bCs/>
          <w:lang w:val="fr-FR"/>
        </w:rPr>
        <w:t>bénéficié d</w:t>
      </w:r>
      <w:r w:rsidR="00923E72">
        <w:rPr>
          <w:rFonts w:eastAsia="Malgun Gothic"/>
          <w:bCs/>
          <w:lang w:val="fr-FR"/>
        </w:rPr>
        <w:t>’</w:t>
      </w:r>
      <w:r w:rsidR="002021B4">
        <w:rPr>
          <w:rFonts w:eastAsia="Malgun Gothic"/>
          <w:bCs/>
          <w:lang w:val="fr-FR"/>
        </w:rPr>
        <w:t xml:space="preserve">un </w:t>
      </w:r>
      <w:r w:rsidRPr="009F391D">
        <w:rPr>
          <w:rFonts w:eastAsia="Malgun Gothic"/>
          <w:bCs/>
          <w:lang w:val="fr-FR"/>
        </w:rPr>
        <w:t xml:space="preserve">débat </w:t>
      </w:r>
      <w:r w:rsidR="002021B4">
        <w:rPr>
          <w:rFonts w:eastAsia="Malgun Gothic"/>
          <w:bCs/>
          <w:lang w:val="fr-FR"/>
        </w:rPr>
        <w:t>entre les membres du</w:t>
      </w:r>
      <w:r w:rsidRPr="009F391D">
        <w:rPr>
          <w:rFonts w:eastAsia="Malgun Gothic"/>
          <w:bCs/>
          <w:lang w:val="fr-FR"/>
        </w:rPr>
        <w:t xml:space="preserve"> Comité. En examinant toutes ces expressions de différents groupes régionaux, elle était parvenue à la conclusion que l</w:t>
      </w:r>
      <w:r w:rsidR="00923E72">
        <w:rPr>
          <w:rFonts w:eastAsia="Malgun Gothic"/>
          <w:bCs/>
          <w:lang w:val="fr-FR"/>
        </w:rPr>
        <w:t>’</w:t>
      </w:r>
      <w:r w:rsidRPr="009F391D">
        <w:rPr>
          <w:rFonts w:eastAsia="Malgun Gothic"/>
          <w:bCs/>
          <w:lang w:val="fr-FR"/>
        </w:rPr>
        <w:t>accord de travail</w:t>
      </w:r>
      <w:r w:rsidR="002021B4">
        <w:rPr>
          <w:rFonts w:eastAsia="Malgun Gothic"/>
          <w:bCs/>
          <w:lang w:val="fr-FR"/>
        </w:rPr>
        <w:t>,</w:t>
      </w:r>
      <w:r w:rsidRPr="009F391D">
        <w:rPr>
          <w:rFonts w:eastAsia="Malgun Gothic"/>
          <w:bCs/>
          <w:lang w:val="fr-FR"/>
        </w:rPr>
        <w:t xml:space="preserve"> négocié par ce Comité particulier</w:t>
      </w:r>
      <w:r w:rsidR="002021B4">
        <w:rPr>
          <w:rFonts w:eastAsia="Malgun Gothic"/>
          <w:bCs/>
          <w:lang w:val="fr-FR"/>
        </w:rPr>
        <w:t xml:space="preserve">, </w:t>
      </w:r>
      <w:r w:rsidRPr="009F391D">
        <w:rPr>
          <w:rFonts w:eastAsia="Malgun Gothic"/>
          <w:bCs/>
          <w:lang w:val="fr-FR"/>
        </w:rPr>
        <w:t>était davantage un principe général qu</w:t>
      </w:r>
      <w:r w:rsidR="00923E72">
        <w:rPr>
          <w:rFonts w:eastAsia="Malgun Gothic"/>
          <w:bCs/>
          <w:lang w:val="fr-FR"/>
        </w:rPr>
        <w:t>’</w:t>
      </w:r>
      <w:r w:rsidRPr="009F391D">
        <w:rPr>
          <w:rFonts w:eastAsia="Malgun Gothic"/>
          <w:bCs/>
          <w:lang w:val="fr-FR"/>
        </w:rPr>
        <w:t>une loi impérative. Tout comme l</w:t>
      </w:r>
      <w:r w:rsidR="00923E72">
        <w:rPr>
          <w:rFonts w:eastAsia="Malgun Gothic"/>
          <w:bCs/>
          <w:lang w:val="fr-FR"/>
        </w:rPr>
        <w:t>’</w:t>
      </w:r>
      <w:r w:rsidRPr="009F391D">
        <w:rPr>
          <w:rFonts w:eastAsia="Malgun Gothic"/>
          <w:bCs/>
          <w:lang w:val="fr-FR"/>
        </w:rPr>
        <w:t>Organe d</w:t>
      </w:r>
      <w:r w:rsidR="00923E72">
        <w:rPr>
          <w:rFonts w:eastAsia="Malgun Gothic"/>
          <w:bCs/>
          <w:lang w:val="fr-FR"/>
        </w:rPr>
        <w:t>’</w:t>
      </w:r>
      <w:r w:rsidRPr="009F391D">
        <w:rPr>
          <w:rFonts w:eastAsia="Malgun Gothic"/>
          <w:bCs/>
          <w:lang w:val="fr-FR"/>
        </w:rPr>
        <w:t xml:space="preserve">évaluation procédait à une analyse au cas par cas, le Comité devrait faire de même. La délégation avait </w:t>
      </w:r>
      <w:r w:rsidR="00BB2A07">
        <w:rPr>
          <w:rFonts w:eastAsia="Malgun Gothic"/>
          <w:bCs/>
          <w:lang w:val="fr-FR"/>
        </w:rPr>
        <w:t xml:space="preserve">cru </w:t>
      </w:r>
      <w:r w:rsidRPr="009F391D">
        <w:rPr>
          <w:rFonts w:eastAsia="Malgun Gothic"/>
          <w:bCs/>
          <w:lang w:val="fr-FR"/>
        </w:rPr>
        <w:t>compr</w:t>
      </w:r>
      <w:r w:rsidR="00BB2A07">
        <w:rPr>
          <w:rFonts w:eastAsia="Malgun Gothic"/>
          <w:bCs/>
          <w:lang w:val="fr-FR"/>
        </w:rPr>
        <w:t>endre</w:t>
      </w:r>
      <w:r w:rsidRPr="009F391D">
        <w:rPr>
          <w:rFonts w:eastAsia="Malgun Gothic"/>
          <w:bCs/>
          <w:lang w:val="fr-FR"/>
        </w:rPr>
        <w:t xml:space="preserve"> </w:t>
      </w:r>
      <w:r w:rsidR="00BB2A07">
        <w:rPr>
          <w:rFonts w:eastAsia="Malgun Gothic"/>
          <w:bCs/>
          <w:lang w:val="fr-FR"/>
        </w:rPr>
        <w:t>qu</w:t>
      </w:r>
      <w:r w:rsidR="00923E72">
        <w:rPr>
          <w:rFonts w:eastAsia="Malgun Gothic"/>
          <w:bCs/>
          <w:lang w:val="fr-FR"/>
        </w:rPr>
        <w:t>’</w:t>
      </w:r>
      <w:r w:rsidR="00BB2A07">
        <w:rPr>
          <w:rFonts w:eastAsia="Malgun Gothic"/>
          <w:bCs/>
          <w:lang w:val="fr-FR"/>
        </w:rPr>
        <w:t xml:space="preserve">il y avait certaines incohérences dans ce cycle dont </w:t>
      </w:r>
      <w:r w:rsidRPr="009F391D">
        <w:rPr>
          <w:rFonts w:eastAsia="Malgun Gothic"/>
          <w:bCs/>
          <w:lang w:val="fr-FR"/>
        </w:rPr>
        <w:t xml:space="preserve">le Comité souhaitait débattre. Le Comité ne </w:t>
      </w:r>
      <w:r w:rsidR="00BB2A07">
        <w:rPr>
          <w:rFonts w:eastAsia="Malgun Gothic"/>
          <w:bCs/>
          <w:lang w:val="fr-FR"/>
        </w:rPr>
        <w:t xml:space="preserve">pouvait </w:t>
      </w:r>
      <w:r w:rsidRPr="009F391D">
        <w:rPr>
          <w:rFonts w:eastAsia="Malgun Gothic"/>
          <w:bCs/>
          <w:lang w:val="fr-FR"/>
        </w:rPr>
        <w:t>se soustraire à ses responsabilités. Lorsque les membres du Comité étaient élus, ils s</w:t>
      </w:r>
      <w:r w:rsidR="00923E72">
        <w:rPr>
          <w:rFonts w:eastAsia="Malgun Gothic"/>
          <w:bCs/>
          <w:lang w:val="fr-FR"/>
        </w:rPr>
        <w:t>’</w:t>
      </w:r>
      <w:r w:rsidRPr="009F391D">
        <w:rPr>
          <w:rFonts w:eastAsia="Malgun Gothic"/>
          <w:bCs/>
          <w:lang w:val="fr-FR"/>
        </w:rPr>
        <w:t xml:space="preserve">engageaient à analyser les dossiers et à partager leurs perceptions. Ne pas ouvrir les dossiers </w:t>
      </w:r>
      <w:r w:rsidR="00630DA7">
        <w:rPr>
          <w:rFonts w:eastAsia="Malgun Gothic"/>
          <w:bCs/>
          <w:lang w:val="fr-FR"/>
        </w:rPr>
        <w:t xml:space="preserve">alors que </w:t>
      </w:r>
      <w:r w:rsidRPr="009F391D">
        <w:rPr>
          <w:rFonts w:eastAsia="Malgun Gothic"/>
          <w:bCs/>
          <w:lang w:val="fr-FR"/>
        </w:rPr>
        <w:t>des membres du Comité</w:t>
      </w:r>
      <w:r w:rsidR="00630DA7">
        <w:rPr>
          <w:rFonts w:eastAsia="Malgun Gothic"/>
          <w:bCs/>
          <w:lang w:val="fr-FR"/>
        </w:rPr>
        <w:t xml:space="preserve"> le demandaient</w:t>
      </w:r>
      <w:r w:rsidRPr="009F391D">
        <w:rPr>
          <w:rFonts w:eastAsia="Malgun Gothic"/>
          <w:bCs/>
          <w:lang w:val="fr-FR"/>
        </w:rPr>
        <w:t xml:space="preserve"> porterait atteinte à la légitimité du Comité lui-même. La délégation soutenait l</w:t>
      </w:r>
      <w:r w:rsidR="00923E72">
        <w:rPr>
          <w:rFonts w:eastAsia="Malgun Gothic"/>
          <w:bCs/>
          <w:lang w:val="fr-FR"/>
        </w:rPr>
        <w:t>’</w:t>
      </w:r>
      <w:r w:rsidRPr="009F391D">
        <w:rPr>
          <w:rFonts w:eastAsia="Malgun Gothic"/>
          <w:bCs/>
          <w:lang w:val="fr-FR"/>
        </w:rPr>
        <w:t>idée d</w:t>
      </w:r>
      <w:r w:rsidR="00923E72">
        <w:rPr>
          <w:rFonts w:eastAsia="Malgun Gothic"/>
          <w:bCs/>
          <w:lang w:val="fr-FR"/>
        </w:rPr>
        <w:t>’</w:t>
      </w:r>
      <w:r w:rsidRPr="009F391D">
        <w:rPr>
          <w:rFonts w:eastAsia="Malgun Gothic"/>
          <w:bCs/>
          <w:lang w:val="fr-FR"/>
        </w:rPr>
        <w:t>un plus grand dialogue et d</w:t>
      </w:r>
      <w:r w:rsidR="00923E72">
        <w:rPr>
          <w:rFonts w:eastAsia="Malgun Gothic"/>
          <w:bCs/>
          <w:lang w:val="fr-FR"/>
        </w:rPr>
        <w:t>’</w:t>
      </w:r>
      <w:r w:rsidRPr="009F391D">
        <w:rPr>
          <w:rFonts w:eastAsia="Malgun Gothic"/>
          <w:bCs/>
          <w:lang w:val="fr-FR"/>
        </w:rPr>
        <w:t>une vision plus large sur certains dossiers afin de partager les impressions</w:t>
      </w:r>
      <w:r w:rsidR="00D57203">
        <w:rPr>
          <w:rFonts w:eastAsia="Malgun Gothic"/>
          <w:bCs/>
          <w:lang w:val="fr-FR"/>
        </w:rPr>
        <w:t>,</w:t>
      </w:r>
      <w:r w:rsidRPr="009F391D">
        <w:rPr>
          <w:rFonts w:eastAsia="Malgun Gothic"/>
          <w:bCs/>
          <w:lang w:val="fr-FR"/>
        </w:rPr>
        <w:t xml:space="preserve"> mais également de pouvoir écouter d</w:t>
      </w:r>
      <w:r w:rsidR="00923E72">
        <w:rPr>
          <w:rFonts w:eastAsia="Malgun Gothic"/>
          <w:bCs/>
          <w:lang w:val="fr-FR"/>
        </w:rPr>
        <w:t>’</w:t>
      </w:r>
      <w:r w:rsidRPr="009F391D">
        <w:rPr>
          <w:rFonts w:eastAsia="Malgun Gothic"/>
          <w:bCs/>
          <w:lang w:val="fr-FR"/>
        </w:rPr>
        <w:t>autres impressions. Elle souhaitait des échanges de points de vue sur les dossiers et estimait que le dialogue était l</w:t>
      </w:r>
      <w:r w:rsidR="00923E72">
        <w:rPr>
          <w:rFonts w:eastAsia="Malgun Gothic"/>
          <w:bCs/>
          <w:lang w:val="fr-FR"/>
        </w:rPr>
        <w:t>’</w:t>
      </w:r>
      <w:r w:rsidRPr="009F391D">
        <w:rPr>
          <w:rFonts w:eastAsia="Malgun Gothic"/>
          <w:bCs/>
          <w:lang w:val="fr-FR"/>
        </w:rPr>
        <w:t>objectif principal du Comité.</w:t>
      </w:r>
    </w:p>
    <w:p w14:paraId="01AFC3A3" w14:textId="19AD2AA3" w:rsidR="00630DA7" w:rsidRDefault="00630DA7"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précisé qu</w:t>
      </w:r>
      <w:r w:rsidR="00923E72">
        <w:rPr>
          <w:rFonts w:eastAsia="Malgun Gothic"/>
          <w:bCs/>
          <w:lang w:val="fr-FR"/>
        </w:rPr>
        <w:t>’</w:t>
      </w:r>
      <w:r>
        <w:rPr>
          <w:rFonts w:eastAsia="Malgun Gothic"/>
          <w:bCs/>
          <w:lang w:val="fr-FR"/>
        </w:rPr>
        <w:t xml:space="preserve">à ce stade, les questions et </w:t>
      </w:r>
      <w:r w:rsidRPr="00630DA7">
        <w:rPr>
          <w:rFonts w:eastAsia="Malgun Gothic"/>
          <w:bCs/>
          <w:lang w:val="fr-FR"/>
        </w:rPr>
        <w:t>commentaires</w:t>
      </w:r>
      <w:r>
        <w:rPr>
          <w:rFonts w:eastAsia="Malgun Gothic"/>
          <w:bCs/>
          <w:lang w:val="fr-FR"/>
        </w:rPr>
        <w:t xml:space="preserve"> ne devraient porter que sur la procédure de travail et non sur la présentation du rapport de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évaluation.</w:t>
      </w:r>
    </w:p>
    <w:p w14:paraId="5015AC56" w14:textId="4C67658B" w:rsidR="00630DA7" w:rsidRDefault="00630DA7"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630DA7">
        <w:rPr>
          <w:rFonts w:eastAsia="Malgun Gothic"/>
          <w:bCs/>
          <w:lang w:val="fr-FR"/>
        </w:rPr>
        <w:t>La délégation de l</w:t>
      </w:r>
      <w:r w:rsidR="00923E72">
        <w:rPr>
          <w:rFonts w:eastAsia="Malgun Gothic"/>
          <w:bCs/>
          <w:lang w:val="fr-FR"/>
        </w:rPr>
        <w:t>’</w:t>
      </w:r>
      <w:r w:rsidRPr="00702497">
        <w:rPr>
          <w:rFonts w:eastAsia="Malgun Gothic"/>
          <w:b/>
          <w:lang w:val="fr-FR"/>
        </w:rPr>
        <w:t>Éthiopie</w:t>
      </w:r>
      <w:r w:rsidRPr="00630DA7">
        <w:rPr>
          <w:rFonts w:eastAsia="Malgun Gothic"/>
          <w:bCs/>
          <w:lang w:val="fr-FR"/>
        </w:rPr>
        <w:t xml:space="preserve"> s</w:t>
      </w:r>
      <w:r w:rsidR="00923E72">
        <w:rPr>
          <w:rFonts w:eastAsia="Malgun Gothic"/>
          <w:bCs/>
          <w:lang w:val="fr-FR"/>
        </w:rPr>
        <w:t>’</w:t>
      </w:r>
      <w:r w:rsidRPr="00630DA7">
        <w:rPr>
          <w:rFonts w:eastAsia="Malgun Gothic"/>
          <w:bCs/>
          <w:lang w:val="fr-FR"/>
        </w:rPr>
        <w:t>est ralliée aux observations formulées par le Brésil. Rappelant les remarques de la Directrice générale lors de la cérémonie d</w:t>
      </w:r>
      <w:r w:rsidR="00923E72">
        <w:rPr>
          <w:rFonts w:eastAsia="Malgun Gothic"/>
          <w:bCs/>
          <w:lang w:val="fr-FR"/>
        </w:rPr>
        <w:t>’</w:t>
      </w:r>
      <w:r w:rsidRPr="00630DA7">
        <w:rPr>
          <w:rFonts w:eastAsia="Malgun Gothic"/>
          <w:bCs/>
          <w:lang w:val="fr-FR"/>
        </w:rPr>
        <w:t>ouverture, elle appréciait également les recommandations de la communauté scientifique et s</w:t>
      </w:r>
      <w:r w:rsidR="009B7800">
        <w:rPr>
          <w:rFonts w:eastAsia="Malgun Gothic"/>
          <w:bCs/>
          <w:lang w:val="fr-FR"/>
        </w:rPr>
        <w:t>e</w:t>
      </w:r>
      <w:r w:rsidRPr="00630DA7">
        <w:rPr>
          <w:rFonts w:eastAsia="Malgun Gothic"/>
          <w:bCs/>
          <w:lang w:val="fr-FR"/>
        </w:rPr>
        <w:t xml:space="preserve"> conformait</w:t>
      </w:r>
      <w:r w:rsidR="009B7800">
        <w:rPr>
          <w:rFonts w:eastAsia="Malgun Gothic"/>
          <w:bCs/>
          <w:lang w:val="fr-FR"/>
        </w:rPr>
        <w:t xml:space="preserve"> à ces règles</w:t>
      </w:r>
      <w:r w:rsidRPr="00630DA7">
        <w:rPr>
          <w:rFonts w:eastAsia="Malgun Gothic"/>
          <w:bCs/>
          <w:lang w:val="fr-FR"/>
        </w:rPr>
        <w:t xml:space="preserve">. Toutefois, </w:t>
      </w:r>
      <w:r w:rsidR="009B7800">
        <w:rPr>
          <w:rFonts w:eastAsia="Malgun Gothic"/>
          <w:bCs/>
          <w:lang w:val="fr-FR"/>
        </w:rPr>
        <w:t>s</w:t>
      </w:r>
      <w:r w:rsidR="00923E72">
        <w:rPr>
          <w:rFonts w:eastAsia="Malgun Gothic"/>
          <w:bCs/>
          <w:lang w:val="fr-FR"/>
        </w:rPr>
        <w:t>’</w:t>
      </w:r>
      <w:r w:rsidR="009B7800">
        <w:rPr>
          <w:rFonts w:eastAsia="Malgun Gothic"/>
          <w:bCs/>
          <w:lang w:val="fr-FR"/>
        </w:rPr>
        <w:t xml:space="preserve">agissant de </w:t>
      </w:r>
      <w:r w:rsidRPr="00630DA7">
        <w:rPr>
          <w:rFonts w:eastAsia="Malgun Gothic"/>
          <w:bCs/>
          <w:lang w:val="fr-FR"/>
        </w:rPr>
        <w:t xml:space="preserve">la méthode de travail proposée, les dossiers devaient </w:t>
      </w:r>
      <w:r w:rsidR="009B7800">
        <w:rPr>
          <w:rFonts w:eastAsia="Malgun Gothic"/>
          <w:bCs/>
          <w:lang w:val="fr-FR"/>
        </w:rPr>
        <w:t>faire l</w:t>
      </w:r>
      <w:r w:rsidR="00923E72">
        <w:rPr>
          <w:rFonts w:eastAsia="Malgun Gothic"/>
          <w:bCs/>
          <w:lang w:val="fr-FR"/>
        </w:rPr>
        <w:t>’</w:t>
      </w:r>
      <w:r w:rsidR="009B7800">
        <w:rPr>
          <w:rFonts w:eastAsia="Malgun Gothic"/>
          <w:bCs/>
          <w:lang w:val="fr-FR"/>
        </w:rPr>
        <w:t xml:space="preserve">objet de débat </w:t>
      </w:r>
      <w:r w:rsidRPr="00630DA7">
        <w:rPr>
          <w:rFonts w:eastAsia="Malgun Gothic"/>
          <w:bCs/>
          <w:lang w:val="fr-FR"/>
        </w:rPr>
        <w:t>au sein du Comité de manière démocratique. Les besoins du pays et le renforcement des capacités ainsi que l</w:t>
      </w:r>
      <w:r w:rsidR="00923E72">
        <w:rPr>
          <w:rFonts w:eastAsia="Malgun Gothic"/>
          <w:bCs/>
          <w:lang w:val="fr-FR"/>
        </w:rPr>
        <w:t>’</w:t>
      </w:r>
      <w:r w:rsidRPr="00630DA7">
        <w:rPr>
          <w:rFonts w:eastAsia="Malgun Gothic"/>
          <w:bCs/>
          <w:lang w:val="fr-FR"/>
        </w:rPr>
        <w:t>expérience des États parties en matière de préparation des documents avaient fait l</w:t>
      </w:r>
      <w:r w:rsidR="00923E72">
        <w:rPr>
          <w:rFonts w:eastAsia="Malgun Gothic"/>
          <w:bCs/>
          <w:lang w:val="fr-FR"/>
        </w:rPr>
        <w:t>’</w:t>
      </w:r>
      <w:r w:rsidRPr="00630DA7">
        <w:rPr>
          <w:rFonts w:eastAsia="Malgun Gothic"/>
          <w:bCs/>
          <w:lang w:val="fr-FR"/>
        </w:rPr>
        <w:t xml:space="preserve">objet de nombreuses discussions. </w:t>
      </w:r>
      <w:r w:rsidR="00E648F1">
        <w:rPr>
          <w:rFonts w:eastAsia="Malgun Gothic"/>
          <w:bCs/>
          <w:lang w:val="fr-FR"/>
        </w:rPr>
        <w:t>C</w:t>
      </w:r>
      <w:r w:rsidR="00923E72">
        <w:rPr>
          <w:rFonts w:eastAsia="Malgun Gothic"/>
          <w:bCs/>
          <w:lang w:val="fr-FR"/>
        </w:rPr>
        <w:t>’</w:t>
      </w:r>
      <w:r w:rsidR="00E648F1">
        <w:rPr>
          <w:rFonts w:eastAsia="Malgun Gothic"/>
          <w:bCs/>
          <w:lang w:val="fr-FR"/>
        </w:rPr>
        <w:t xml:space="preserve">est </w:t>
      </w:r>
      <w:r w:rsidRPr="00630DA7">
        <w:rPr>
          <w:rFonts w:eastAsia="Malgun Gothic"/>
          <w:bCs/>
          <w:lang w:val="fr-FR"/>
        </w:rPr>
        <w:t>donc la raison pour laquelle il appartenait au Comité de débattre et de parvenir à ses propres conclusions.</w:t>
      </w:r>
    </w:p>
    <w:p w14:paraId="6221900E" w14:textId="4578A920" w:rsidR="009B7800" w:rsidRDefault="009B780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9B7800">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9B7800">
        <w:rPr>
          <w:rFonts w:eastAsia="Malgun Gothic"/>
          <w:bCs/>
          <w:lang w:val="fr-FR"/>
        </w:rPr>
        <w:t xml:space="preserve"> a noté la motion d</w:t>
      </w:r>
      <w:r w:rsidR="00923E72">
        <w:rPr>
          <w:rFonts w:eastAsia="Malgun Gothic"/>
          <w:bCs/>
          <w:lang w:val="fr-FR"/>
        </w:rPr>
        <w:t>’</w:t>
      </w:r>
      <w:r w:rsidRPr="009B7800">
        <w:rPr>
          <w:rFonts w:eastAsia="Malgun Gothic"/>
          <w:bCs/>
          <w:lang w:val="fr-FR"/>
        </w:rPr>
        <w:t>ordre invoquée par l</w:t>
      </w:r>
      <w:r w:rsidR="00923E72">
        <w:rPr>
          <w:rFonts w:eastAsia="Malgun Gothic"/>
          <w:bCs/>
          <w:lang w:val="fr-FR"/>
        </w:rPr>
        <w:t>’</w:t>
      </w:r>
      <w:r w:rsidRPr="009B7800">
        <w:rPr>
          <w:rFonts w:eastAsia="Malgun Gothic"/>
          <w:bCs/>
          <w:lang w:val="fr-FR"/>
        </w:rPr>
        <w:t xml:space="preserve">Allemagne concernant </w:t>
      </w:r>
      <w:r w:rsidR="00545D40">
        <w:rPr>
          <w:rFonts w:eastAsia="Malgun Gothic"/>
          <w:bCs/>
          <w:lang w:val="fr-FR"/>
        </w:rPr>
        <w:t>« L</w:t>
      </w:r>
      <w:r w:rsidRPr="009B7800">
        <w:rPr>
          <w:rFonts w:eastAsia="Malgun Gothic"/>
          <w:bCs/>
          <w:lang w:val="fr-FR"/>
        </w:rPr>
        <w:t xml:space="preserve">es festivités </w:t>
      </w:r>
      <w:r>
        <w:rPr>
          <w:rFonts w:eastAsia="Malgun Gothic"/>
          <w:bCs/>
          <w:lang w:val="fr-FR"/>
        </w:rPr>
        <w:t>associées</w:t>
      </w:r>
      <w:r w:rsidRPr="009B7800">
        <w:rPr>
          <w:rFonts w:eastAsia="Malgun Gothic"/>
          <w:bCs/>
          <w:lang w:val="fr-FR"/>
        </w:rPr>
        <w:t xml:space="preserve"> au voyage de la Sainte Famille en Égypte</w:t>
      </w:r>
      <w:r w:rsidR="00545D40">
        <w:rPr>
          <w:rFonts w:eastAsia="Malgun Gothic"/>
          <w:bCs/>
          <w:lang w:val="fr-FR"/>
        </w:rPr>
        <w:t> »</w:t>
      </w:r>
      <w:r w:rsidRPr="009B7800">
        <w:rPr>
          <w:rFonts w:eastAsia="Malgun Gothic"/>
          <w:bCs/>
          <w:lang w:val="fr-FR"/>
        </w:rPr>
        <w:t xml:space="preserve"> et souhait</w:t>
      </w:r>
      <w:r>
        <w:rPr>
          <w:rFonts w:eastAsia="Malgun Gothic"/>
          <w:bCs/>
          <w:lang w:val="fr-FR"/>
        </w:rPr>
        <w:t>ait</w:t>
      </w:r>
      <w:r w:rsidRPr="009B7800">
        <w:rPr>
          <w:rFonts w:eastAsia="Malgun Gothic"/>
          <w:bCs/>
          <w:lang w:val="fr-FR"/>
        </w:rPr>
        <w:t xml:space="preserve"> savoir quels autres pays se portaient coauteurs de l</w:t>
      </w:r>
      <w:r w:rsidR="00923E72">
        <w:rPr>
          <w:rFonts w:eastAsia="Malgun Gothic"/>
          <w:bCs/>
          <w:lang w:val="fr-FR"/>
        </w:rPr>
        <w:t>’</w:t>
      </w:r>
      <w:r w:rsidRPr="009B7800">
        <w:rPr>
          <w:rFonts w:eastAsia="Malgun Gothic"/>
          <w:bCs/>
          <w:lang w:val="fr-FR"/>
        </w:rPr>
        <w:t xml:space="preserve">amendement. Elle souhaitait également connaître la </w:t>
      </w:r>
      <w:r w:rsidRPr="009B7800">
        <w:rPr>
          <w:rFonts w:eastAsia="Malgun Gothic"/>
          <w:bCs/>
          <w:lang w:val="fr-FR"/>
        </w:rPr>
        <w:lastRenderedPageBreak/>
        <w:t>liste des coauteurs de l</w:t>
      </w:r>
      <w:r w:rsidR="00923E72">
        <w:rPr>
          <w:rFonts w:eastAsia="Malgun Gothic"/>
          <w:bCs/>
          <w:lang w:val="fr-FR"/>
        </w:rPr>
        <w:t>’</w:t>
      </w:r>
      <w:r w:rsidRPr="009B7800">
        <w:rPr>
          <w:rFonts w:eastAsia="Malgun Gothic"/>
          <w:bCs/>
          <w:lang w:val="fr-FR"/>
        </w:rPr>
        <w:t xml:space="preserve">amendement </w:t>
      </w:r>
      <w:r>
        <w:rPr>
          <w:rFonts w:eastAsia="Malgun Gothic"/>
          <w:bCs/>
          <w:lang w:val="fr-FR"/>
        </w:rPr>
        <w:t>au projet de décision lié au</w:t>
      </w:r>
      <w:r w:rsidRPr="009B7800">
        <w:rPr>
          <w:rFonts w:eastAsia="Malgun Gothic"/>
          <w:bCs/>
          <w:lang w:val="fr-FR"/>
        </w:rPr>
        <w:t xml:space="preserve"> dossier soumis par la Roumanie et la </w:t>
      </w:r>
      <w:r>
        <w:rPr>
          <w:rFonts w:eastAsia="Malgun Gothic"/>
          <w:bCs/>
          <w:lang w:val="fr-FR"/>
        </w:rPr>
        <w:t xml:space="preserve">République de </w:t>
      </w:r>
      <w:r w:rsidRPr="009B7800">
        <w:rPr>
          <w:rFonts w:eastAsia="Malgun Gothic"/>
          <w:bCs/>
          <w:lang w:val="fr-FR"/>
        </w:rPr>
        <w:t xml:space="preserve">Moldova, </w:t>
      </w:r>
      <w:r w:rsidR="00E648F1" w:rsidRPr="00E648F1">
        <w:rPr>
          <w:rFonts w:eastAsia="Malgun Gothic"/>
          <w:bCs/>
          <w:lang w:val="fr-FR"/>
        </w:rPr>
        <w:t>amendement</w:t>
      </w:r>
      <w:r w:rsidR="00E648F1">
        <w:rPr>
          <w:rFonts w:eastAsia="Malgun Gothic"/>
          <w:bCs/>
          <w:lang w:val="fr-FR"/>
        </w:rPr>
        <w:t xml:space="preserve"> </w:t>
      </w:r>
      <w:r w:rsidRPr="009B7800">
        <w:rPr>
          <w:rFonts w:eastAsia="Malgun Gothic"/>
          <w:bCs/>
          <w:lang w:val="fr-FR"/>
        </w:rPr>
        <w:t>dont l</w:t>
      </w:r>
      <w:r w:rsidR="00923E72">
        <w:rPr>
          <w:rFonts w:eastAsia="Malgun Gothic"/>
          <w:bCs/>
          <w:lang w:val="fr-FR"/>
        </w:rPr>
        <w:t>’</w:t>
      </w:r>
      <w:r w:rsidRPr="009B7800">
        <w:rPr>
          <w:rFonts w:eastAsia="Malgun Gothic"/>
          <w:bCs/>
          <w:lang w:val="fr-FR"/>
        </w:rPr>
        <w:t>auteur était l</w:t>
      </w:r>
      <w:r w:rsidR="00923E72">
        <w:rPr>
          <w:rFonts w:eastAsia="Malgun Gothic"/>
          <w:bCs/>
          <w:lang w:val="fr-FR"/>
        </w:rPr>
        <w:t>’</w:t>
      </w:r>
      <w:r w:rsidRPr="009B7800">
        <w:rPr>
          <w:rFonts w:eastAsia="Malgun Gothic"/>
          <w:bCs/>
          <w:lang w:val="fr-FR"/>
        </w:rPr>
        <w:t>Arabie</w:t>
      </w:r>
      <w:r w:rsidR="008D3070">
        <w:rPr>
          <w:rFonts w:eastAsia="Malgun Gothic"/>
          <w:bCs/>
          <w:lang w:val="fr-FR"/>
        </w:rPr>
        <w:t> </w:t>
      </w:r>
      <w:r w:rsidRPr="009B7800">
        <w:rPr>
          <w:rFonts w:eastAsia="Malgun Gothic"/>
          <w:bCs/>
          <w:lang w:val="fr-FR"/>
        </w:rPr>
        <w:t>saoudite.</w:t>
      </w:r>
    </w:p>
    <w:p w14:paraId="38599F79" w14:textId="40FD0AB0" w:rsidR="009B7800" w:rsidRDefault="009B7800"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expliqué que la liste des coauteurs serait donnée suite à l</w:t>
      </w:r>
      <w:r w:rsidR="00923E72">
        <w:rPr>
          <w:rFonts w:eastAsia="Malgun Gothic"/>
          <w:bCs/>
          <w:lang w:val="fr-FR"/>
        </w:rPr>
        <w:t>’</w:t>
      </w:r>
      <w:r>
        <w:rPr>
          <w:rFonts w:eastAsia="Malgun Gothic"/>
          <w:bCs/>
          <w:lang w:val="fr-FR"/>
        </w:rPr>
        <w:t>examen cas par cas des dossiers.</w:t>
      </w:r>
    </w:p>
    <w:p w14:paraId="71EC1D9C" w14:textId="78C8183A" w:rsidR="009B7800" w:rsidRDefault="006D4376"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6D4376">
        <w:rPr>
          <w:rFonts w:eastAsia="Malgun Gothic"/>
          <w:bCs/>
          <w:lang w:val="fr-FR"/>
        </w:rPr>
        <w:t xml:space="preserve">La délégation du </w:t>
      </w:r>
      <w:r w:rsidRPr="00702497">
        <w:rPr>
          <w:rFonts w:eastAsia="Malgun Gothic"/>
          <w:b/>
          <w:lang w:val="fr-FR"/>
        </w:rPr>
        <w:t>Paraguay</w:t>
      </w:r>
      <w:r w:rsidRPr="006D4376">
        <w:rPr>
          <w:rFonts w:eastAsia="Malgun Gothic"/>
          <w:bCs/>
          <w:lang w:val="fr-FR"/>
        </w:rPr>
        <w:t xml:space="preserve"> appréciait l</w:t>
      </w:r>
      <w:r w:rsidR="00923E72">
        <w:rPr>
          <w:rFonts w:eastAsia="Malgun Gothic"/>
          <w:bCs/>
          <w:lang w:val="fr-FR"/>
        </w:rPr>
        <w:t>’</w:t>
      </w:r>
      <w:r w:rsidRPr="006D4376">
        <w:rPr>
          <w:rFonts w:eastAsia="Malgun Gothic"/>
          <w:bCs/>
          <w:lang w:val="fr-FR"/>
        </w:rPr>
        <w:t>important travail de l</w:t>
      </w:r>
      <w:r w:rsidR="00923E72">
        <w:rPr>
          <w:rFonts w:eastAsia="Malgun Gothic"/>
          <w:bCs/>
          <w:lang w:val="fr-FR"/>
        </w:rPr>
        <w:t>’</w:t>
      </w:r>
      <w:r w:rsidRPr="006D4376">
        <w:rPr>
          <w:rFonts w:eastAsia="Malgun Gothic"/>
          <w:bCs/>
          <w:lang w:val="fr-FR"/>
        </w:rPr>
        <w:t>Organe d</w:t>
      </w:r>
      <w:r w:rsidR="00923E72">
        <w:rPr>
          <w:rFonts w:eastAsia="Malgun Gothic"/>
          <w:bCs/>
          <w:lang w:val="fr-FR"/>
        </w:rPr>
        <w:t>’</w:t>
      </w:r>
      <w:r w:rsidRPr="006D4376">
        <w:rPr>
          <w:rFonts w:eastAsia="Malgun Gothic"/>
          <w:bCs/>
          <w:lang w:val="fr-FR"/>
        </w:rPr>
        <w:t>évaluation. En tant que membre récent du Comité, elle avait étudié les Directives opérationnelles et la responsabilité du Comité. Elle comprenait que le Comité est l</w:t>
      </w:r>
      <w:r w:rsidR="00923E72">
        <w:rPr>
          <w:rFonts w:eastAsia="Malgun Gothic"/>
          <w:bCs/>
          <w:lang w:val="fr-FR"/>
        </w:rPr>
        <w:t>’</w:t>
      </w:r>
      <w:r w:rsidRPr="006D4376">
        <w:rPr>
          <w:rFonts w:eastAsia="Malgun Gothic"/>
          <w:bCs/>
          <w:lang w:val="fr-FR"/>
        </w:rPr>
        <w:t>organe suprême de la Convention</w:t>
      </w:r>
      <w:r>
        <w:rPr>
          <w:rFonts w:eastAsia="Malgun Gothic"/>
          <w:bCs/>
          <w:lang w:val="fr-FR"/>
        </w:rPr>
        <w:t xml:space="preserve">, </w:t>
      </w:r>
      <w:r w:rsidRPr="006D4376">
        <w:rPr>
          <w:rFonts w:eastAsia="Malgun Gothic"/>
          <w:bCs/>
          <w:lang w:val="fr-FR"/>
        </w:rPr>
        <w:t>qu</w:t>
      </w:r>
      <w:r w:rsidR="00923E72">
        <w:rPr>
          <w:rFonts w:eastAsia="Malgun Gothic"/>
          <w:bCs/>
          <w:lang w:val="fr-FR"/>
        </w:rPr>
        <w:t>’</w:t>
      </w:r>
      <w:r>
        <w:rPr>
          <w:rFonts w:eastAsia="Malgun Gothic"/>
          <w:bCs/>
          <w:lang w:val="fr-FR"/>
        </w:rPr>
        <w:t>il</w:t>
      </w:r>
      <w:r w:rsidRPr="006D4376">
        <w:rPr>
          <w:rFonts w:eastAsia="Malgun Gothic"/>
          <w:bCs/>
          <w:lang w:val="fr-FR"/>
        </w:rPr>
        <w:t xml:space="preserve"> a une responsabilité et est redevable </w:t>
      </w:r>
      <w:r>
        <w:rPr>
          <w:rFonts w:eastAsia="Malgun Gothic"/>
          <w:bCs/>
          <w:lang w:val="fr-FR"/>
        </w:rPr>
        <w:t>envers les</w:t>
      </w:r>
      <w:r w:rsidRPr="006D4376">
        <w:rPr>
          <w:rFonts w:eastAsia="Malgun Gothic"/>
          <w:bCs/>
          <w:lang w:val="fr-FR"/>
        </w:rPr>
        <w:t xml:space="preserve"> États parties</w:t>
      </w:r>
      <w:r>
        <w:rPr>
          <w:rFonts w:eastAsia="Malgun Gothic"/>
          <w:bCs/>
          <w:lang w:val="fr-FR"/>
        </w:rPr>
        <w:t>,</w:t>
      </w:r>
      <w:r w:rsidRPr="006D4376">
        <w:rPr>
          <w:rFonts w:eastAsia="Malgun Gothic"/>
          <w:bCs/>
          <w:lang w:val="fr-FR"/>
        </w:rPr>
        <w:t xml:space="preserve"> selon les principes de la Convention. En effet, certaines situations nécessitaient un dialogue. La délégation soutenait donc la proposition du Brésil d</w:t>
      </w:r>
      <w:r w:rsidR="00923E72">
        <w:rPr>
          <w:rFonts w:eastAsia="Malgun Gothic"/>
          <w:bCs/>
          <w:lang w:val="fr-FR"/>
        </w:rPr>
        <w:t>’</w:t>
      </w:r>
      <w:r w:rsidRPr="006D4376">
        <w:rPr>
          <w:rFonts w:eastAsia="Malgun Gothic"/>
          <w:bCs/>
          <w:lang w:val="fr-FR"/>
        </w:rPr>
        <w:t>analyser les éléments et de se prononcer, étant donné que les différentes perspectives pouvaient être tout à fait subjectives, à l</w:t>
      </w:r>
      <w:r w:rsidR="00923E72">
        <w:rPr>
          <w:rFonts w:eastAsia="Malgun Gothic"/>
          <w:bCs/>
          <w:lang w:val="fr-FR"/>
        </w:rPr>
        <w:t>’</w:t>
      </w:r>
      <w:r w:rsidRPr="006D4376">
        <w:rPr>
          <w:rFonts w:eastAsia="Malgun Gothic"/>
          <w:bCs/>
          <w:lang w:val="fr-FR"/>
        </w:rPr>
        <w:t>instar de toutes les activités humaines, conduisant ainsi à des opinions divergentes. Un processus étant toujours différent d</w:t>
      </w:r>
      <w:r w:rsidR="00923E72">
        <w:rPr>
          <w:rFonts w:eastAsia="Malgun Gothic"/>
          <w:bCs/>
          <w:lang w:val="fr-FR"/>
        </w:rPr>
        <w:t>’</w:t>
      </w:r>
      <w:r w:rsidRPr="006D4376">
        <w:rPr>
          <w:rFonts w:eastAsia="Malgun Gothic"/>
          <w:bCs/>
          <w:lang w:val="fr-FR"/>
        </w:rPr>
        <w:t>autres processus, elle ne pensait pas que le Comité devrait appliquer des règles qui avaient été appliquées dans le passé. Ce n</w:t>
      </w:r>
      <w:r w:rsidR="00923E72">
        <w:rPr>
          <w:rFonts w:eastAsia="Malgun Gothic"/>
          <w:bCs/>
          <w:lang w:val="fr-FR"/>
        </w:rPr>
        <w:t>’</w:t>
      </w:r>
      <w:r w:rsidRPr="006D4376">
        <w:rPr>
          <w:rFonts w:eastAsia="Malgun Gothic"/>
          <w:bCs/>
          <w:lang w:val="fr-FR"/>
        </w:rPr>
        <w:t>était pas dans l</w:t>
      </w:r>
      <w:r w:rsidR="00923E72">
        <w:rPr>
          <w:rFonts w:eastAsia="Malgun Gothic"/>
          <w:bCs/>
          <w:lang w:val="fr-FR"/>
        </w:rPr>
        <w:t>’</w:t>
      </w:r>
      <w:r w:rsidRPr="006D4376">
        <w:rPr>
          <w:rFonts w:eastAsia="Malgun Gothic"/>
          <w:bCs/>
          <w:lang w:val="fr-FR"/>
        </w:rPr>
        <w:t>esprit de la Convention. Certains éléments devaient être examinés par le Comité</w:t>
      </w:r>
      <w:r w:rsidR="00E648F1">
        <w:rPr>
          <w:rFonts w:eastAsia="Malgun Gothic"/>
          <w:bCs/>
          <w:lang w:val="fr-FR"/>
        </w:rPr>
        <w:t>,</w:t>
      </w:r>
      <w:r w:rsidRPr="006D4376">
        <w:rPr>
          <w:rFonts w:eastAsia="Malgun Gothic"/>
          <w:bCs/>
          <w:lang w:val="fr-FR"/>
        </w:rPr>
        <w:t xml:space="preserve"> et c</w:t>
      </w:r>
      <w:r w:rsidR="00923E72">
        <w:rPr>
          <w:rFonts w:eastAsia="Malgun Gothic"/>
          <w:bCs/>
          <w:lang w:val="fr-FR"/>
        </w:rPr>
        <w:t>’</w:t>
      </w:r>
      <w:r w:rsidRPr="006D4376">
        <w:rPr>
          <w:rFonts w:eastAsia="Malgun Gothic"/>
          <w:bCs/>
          <w:lang w:val="fr-FR"/>
        </w:rPr>
        <w:t>était ce dialogue qui était la base de la démocratie, de la paix et de la justice, ce à quoi tous les membres du Comité s</w:t>
      </w:r>
      <w:r w:rsidR="00923E72">
        <w:rPr>
          <w:rFonts w:eastAsia="Malgun Gothic"/>
          <w:bCs/>
          <w:lang w:val="fr-FR"/>
        </w:rPr>
        <w:t>’</w:t>
      </w:r>
      <w:r w:rsidRPr="006D4376">
        <w:rPr>
          <w:rFonts w:eastAsia="Malgun Gothic"/>
          <w:bCs/>
          <w:lang w:val="fr-FR"/>
        </w:rPr>
        <w:t>employaient. Les mots étaient nos outils de travail et c</w:t>
      </w:r>
      <w:r w:rsidR="00923E72">
        <w:rPr>
          <w:rFonts w:eastAsia="Malgun Gothic"/>
          <w:bCs/>
          <w:lang w:val="fr-FR"/>
        </w:rPr>
        <w:t>’</w:t>
      </w:r>
      <w:r w:rsidRPr="006D4376">
        <w:rPr>
          <w:rFonts w:eastAsia="Malgun Gothic"/>
          <w:bCs/>
          <w:lang w:val="fr-FR"/>
        </w:rPr>
        <w:t>est par le dialogue que le Comité pourrait traiter les questions difficiles. Des données objectives prouvaient l</w:t>
      </w:r>
      <w:r w:rsidR="00923E72">
        <w:rPr>
          <w:rFonts w:eastAsia="Malgun Gothic"/>
          <w:bCs/>
          <w:lang w:val="fr-FR"/>
        </w:rPr>
        <w:t>’</w:t>
      </w:r>
      <w:r w:rsidRPr="006D4376">
        <w:rPr>
          <w:rFonts w:eastAsia="Malgun Gothic"/>
          <w:bCs/>
          <w:lang w:val="fr-FR"/>
        </w:rPr>
        <w:t>existence d</w:t>
      </w:r>
      <w:r w:rsidR="00923E72">
        <w:rPr>
          <w:rFonts w:eastAsia="Malgun Gothic"/>
          <w:bCs/>
          <w:lang w:val="fr-FR"/>
        </w:rPr>
        <w:t>’</w:t>
      </w:r>
      <w:r w:rsidRPr="006D4376">
        <w:rPr>
          <w:rFonts w:eastAsia="Malgun Gothic"/>
          <w:bCs/>
          <w:lang w:val="fr-FR"/>
        </w:rPr>
        <w:t>un déséquilibre, comme le mentionnait le rapport de l</w:t>
      </w:r>
      <w:r w:rsidR="00923E72">
        <w:rPr>
          <w:rFonts w:eastAsia="Malgun Gothic"/>
          <w:bCs/>
          <w:lang w:val="fr-FR"/>
        </w:rPr>
        <w:t>’</w:t>
      </w:r>
      <w:r w:rsidRPr="006D4376">
        <w:rPr>
          <w:rFonts w:eastAsia="Malgun Gothic"/>
          <w:bCs/>
          <w:lang w:val="fr-FR"/>
        </w:rPr>
        <w:t>Organe d</w:t>
      </w:r>
      <w:r w:rsidR="00923E72">
        <w:rPr>
          <w:rFonts w:eastAsia="Malgun Gothic"/>
          <w:bCs/>
          <w:lang w:val="fr-FR"/>
        </w:rPr>
        <w:t>’</w:t>
      </w:r>
      <w:r w:rsidRPr="006D4376">
        <w:rPr>
          <w:rFonts w:eastAsia="Malgun Gothic"/>
          <w:bCs/>
          <w:lang w:val="fr-FR"/>
        </w:rPr>
        <w:t>évaluation. Le rapport soulevait également des questions préoccupantes</w:t>
      </w:r>
      <w:r w:rsidR="004D4983">
        <w:rPr>
          <w:rFonts w:eastAsia="Malgun Gothic"/>
          <w:bCs/>
          <w:lang w:val="fr-FR"/>
        </w:rPr>
        <w:t>,</w:t>
      </w:r>
      <w:r w:rsidRPr="006D4376">
        <w:rPr>
          <w:rFonts w:eastAsia="Malgun Gothic"/>
          <w:bCs/>
          <w:lang w:val="fr-FR"/>
        </w:rPr>
        <w:t xml:space="preserve"> qui devaient être abordées avec clarté. Les critères semblaient être très fermes et, à d</w:t>
      </w:r>
      <w:r w:rsidR="00923E72">
        <w:rPr>
          <w:rFonts w:eastAsia="Malgun Gothic"/>
          <w:bCs/>
          <w:lang w:val="fr-FR"/>
        </w:rPr>
        <w:t>’</w:t>
      </w:r>
      <w:r w:rsidRPr="006D4376">
        <w:rPr>
          <w:rFonts w:eastAsia="Malgun Gothic"/>
          <w:bCs/>
          <w:lang w:val="fr-FR"/>
        </w:rPr>
        <w:t>autres moments, plutôt flexibles, c</w:t>
      </w:r>
      <w:r w:rsidR="00923E72">
        <w:rPr>
          <w:rFonts w:eastAsia="Malgun Gothic"/>
          <w:bCs/>
          <w:lang w:val="fr-FR"/>
        </w:rPr>
        <w:t>’</w:t>
      </w:r>
      <w:r w:rsidRPr="006D4376">
        <w:rPr>
          <w:rFonts w:eastAsia="Malgun Gothic"/>
          <w:bCs/>
          <w:lang w:val="fr-FR"/>
        </w:rPr>
        <w:t>est la raison pour laquelle il était normal de faire part de ces préoccupations</w:t>
      </w:r>
      <w:r w:rsidR="004D4983">
        <w:rPr>
          <w:rFonts w:eastAsia="Malgun Gothic"/>
          <w:bCs/>
          <w:lang w:val="fr-FR"/>
        </w:rPr>
        <w:t>,</w:t>
      </w:r>
      <w:r w:rsidRPr="006D4376">
        <w:rPr>
          <w:rFonts w:eastAsia="Malgun Gothic"/>
          <w:bCs/>
          <w:lang w:val="fr-FR"/>
        </w:rPr>
        <w:t xml:space="preserve"> qui devaient faire l</w:t>
      </w:r>
      <w:r w:rsidR="00923E72">
        <w:rPr>
          <w:rFonts w:eastAsia="Malgun Gothic"/>
          <w:bCs/>
          <w:lang w:val="fr-FR"/>
        </w:rPr>
        <w:t>’</w:t>
      </w:r>
      <w:r w:rsidRPr="006D4376">
        <w:rPr>
          <w:rFonts w:eastAsia="Malgun Gothic"/>
          <w:bCs/>
          <w:lang w:val="fr-FR"/>
        </w:rPr>
        <w:t>objet d</w:t>
      </w:r>
      <w:r w:rsidR="00923E72">
        <w:rPr>
          <w:rFonts w:eastAsia="Malgun Gothic"/>
          <w:bCs/>
          <w:lang w:val="fr-FR"/>
        </w:rPr>
        <w:t>’</w:t>
      </w:r>
      <w:r w:rsidRPr="006D4376">
        <w:rPr>
          <w:rFonts w:eastAsia="Malgun Gothic"/>
          <w:bCs/>
          <w:lang w:val="fr-FR"/>
        </w:rPr>
        <w:t>une discussion au sein du Comité. Nous nous devions de faire prévaloir la raison par le dialogue. Nous ne pouvions laisser personne sans voix.</w:t>
      </w:r>
    </w:p>
    <w:p w14:paraId="700C9524" w14:textId="60DFE280" w:rsidR="00651ED6" w:rsidRPr="003C1B1D" w:rsidRDefault="00EC0709"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3C1B1D">
        <w:rPr>
          <w:rFonts w:eastAsia="Malgun Gothic"/>
          <w:bCs/>
          <w:lang w:val="fr-FR"/>
        </w:rPr>
        <w:t xml:space="preserve">La délégation du </w:t>
      </w:r>
      <w:r w:rsidRPr="00702497">
        <w:rPr>
          <w:rFonts w:eastAsia="Malgun Gothic"/>
          <w:b/>
          <w:lang w:val="fr-FR"/>
        </w:rPr>
        <w:t>Panama</w:t>
      </w:r>
      <w:r w:rsidRPr="003C1B1D">
        <w:rPr>
          <w:rFonts w:eastAsia="Malgun Gothic"/>
          <w:bCs/>
          <w:lang w:val="fr-FR"/>
        </w:rPr>
        <w:t xml:space="preserve"> a repris à son compte les remarques </w:t>
      </w:r>
      <w:r w:rsidR="006821BC">
        <w:rPr>
          <w:rFonts w:eastAsia="Malgun Gothic"/>
          <w:bCs/>
          <w:lang w:val="fr-FR"/>
        </w:rPr>
        <w:t xml:space="preserve">formulées </w:t>
      </w:r>
      <w:r w:rsidRPr="003C1B1D">
        <w:rPr>
          <w:rFonts w:eastAsia="Malgun Gothic"/>
          <w:bCs/>
          <w:lang w:val="fr-FR"/>
        </w:rPr>
        <w:t>par les différents membres</w:t>
      </w:r>
      <w:r w:rsidR="006821BC">
        <w:rPr>
          <w:rFonts w:eastAsia="Malgun Gothic"/>
          <w:bCs/>
          <w:lang w:val="fr-FR"/>
        </w:rPr>
        <w:t>,</w:t>
      </w:r>
      <w:r w:rsidRPr="003C1B1D">
        <w:rPr>
          <w:rFonts w:eastAsia="Malgun Gothic"/>
          <w:bCs/>
          <w:lang w:val="fr-FR"/>
        </w:rPr>
        <w:t xml:space="preserve"> selon lesquelles il </w:t>
      </w:r>
      <w:r w:rsidR="00545D40" w:rsidRPr="003C1B1D">
        <w:rPr>
          <w:rFonts w:eastAsia="Malgun Gothic"/>
          <w:bCs/>
          <w:lang w:val="fr-FR"/>
        </w:rPr>
        <w:t xml:space="preserve">était </w:t>
      </w:r>
      <w:r w:rsidRPr="003C1B1D">
        <w:rPr>
          <w:rFonts w:eastAsia="Malgun Gothic"/>
          <w:bCs/>
          <w:lang w:val="fr-FR"/>
        </w:rPr>
        <w:t>important de disposer d</w:t>
      </w:r>
      <w:r w:rsidR="00923E72">
        <w:rPr>
          <w:rFonts w:eastAsia="Malgun Gothic"/>
          <w:bCs/>
          <w:lang w:val="fr-FR"/>
        </w:rPr>
        <w:t>’</w:t>
      </w:r>
      <w:r w:rsidRPr="003C1B1D">
        <w:rPr>
          <w:rFonts w:eastAsia="Malgun Gothic"/>
          <w:bCs/>
          <w:lang w:val="fr-FR"/>
        </w:rPr>
        <w:t xml:space="preserve">un espace de communication et de dialogue, </w:t>
      </w:r>
      <w:r w:rsidRPr="003C1B1D">
        <w:rPr>
          <w:rFonts w:eastAsia="Malgun Gothic"/>
          <w:bCs/>
          <w:color w:val="000000" w:themeColor="text1"/>
          <w:lang w:val="fr-FR"/>
        </w:rPr>
        <w:t xml:space="preserve">sachant </w:t>
      </w:r>
      <w:r w:rsidRPr="003C1B1D">
        <w:rPr>
          <w:rFonts w:eastAsia="Malgun Gothic"/>
          <w:bCs/>
          <w:lang w:val="fr-FR"/>
        </w:rPr>
        <w:t>que le dialogue est la base de ces conversations et de la compréhension. Dans de nombreux cas, comme indiqué précédemment, tous les États n</w:t>
      </w:r>
      <w:r w:rsidR="00923E72">
        <w:rPr>
          <w:rFonts w:eastAsia="Malgun Gothic"/>
          <w:bCs/>
          <w:lang w:val="fr-FR"/>
        </w:rPr>
        <w:t>’</w:t>
      </w:r>
      <w:r w:rsidRPr="003C1B1D">
        <w:rPr>
          <w:rFonts w:eastAsia="Malgun Gothic"/>
          <w:bCs/>
          <w:lang w:val="fr-FR"/>
        </w:rPr>
        <w:t>avaient pas eu la possibilité de dialoguer avec les experts</w:t>
      </w:r>
      <w:r w:rsidR="006821BC">
        <w:rPr>
          <w:rFonts w:eastAsia="Malgun Gothic"/>
          <w:bCs/>
          <w:lang w:val="fr-FR"/>
        </w:rPr>
        <w:t>,</w:t>
      </w:r>
      <w:r w:rsidRPr="003C1B1D">
        <w:rPr>
          <w:rFonts w:eastAsia="Malgun Gothic"/>
          <w:bCs/>
          <w:lang w:val="fr-FR"/>
        </w:rPr>
        <w:t xml:space="preserve"> </w:t>
      </w:r>
      <w:r w:rsidR="00703386" w:rsidRPr="00702497">
        <w:rPr>
          <w:rFonts w:eastAsia="Malgun Gothic"/>
          <w:bCs/>
          <w:shd w:val="clear" w:color="auto" w:fill="FFFFFF" w:themeFill="background1"/>
          <w:lang w:val="fr-FR"/>
        </w:rPr>
        <w:t>c</w:t>
      </w:r>
      <w:r w:rsidR="000D68DD" w:rsidRPr="00702497">
        <w:rPr>
          <w:rFonts w:eastAsia="Malgun Gothic"/>
          <w:bCs/>
          <w:shd w:val="clear" w:color="auto" w:fill="FFFFFF" w:themeFill="background1"/>
          <w:lang w:val="fr-FR"/>
        </w:rPr>
        <w:t>e dialogue</w:t>
      </w:r>
      <w:r w:rsidR="000D68DD" w:rsidRPr="003C1B1D">
        <w:rPr>
          <w:rFonts w:eastAsia="Malgun Gothic"/>
          <w:bCs/>
          <w:lang w:val="fr-FR"/>
        </w:rPr>
        <w:t xml:space="preserve"> étant un mécanisme important et efficace mis en place</w:t>
      </w:r>
      <w:r w:rsidRPr="003C1B1D">
        <w:rPr>
          <w:rFonts w:eastAsia="Malgun Gothic"/>
          <w:bCs/>
          <w:lang w:val="fr-FR"/>
        </w:rPr>
        <w:t xml:space="preserve"> La délégation souhaitait donc donner à ces États l</w:t>
      </w:r>
      <w:r w:rsidR="00923E72">
        <w:rPr>
          <w:rFonts w:eastAsia="Malgun Gothic"/>
          <w:bCs/>
          <w:lang w:val="fr-FR"/>
        </w:rPr>
        <w:t>’</w:t>
      </w:r>
      <w:r w:rsidRPr="003C1B1D">
        <w:rPr>
          <w:rFonts w:eastAsia="Malgun Gothic"/>
          <w:bCs/>
          <w:lang w:val="fr-FR"/>
        </w:rPr>
        <w:t>occasion d</w:t>
      </w:r>
      <w:r w:rsidR="00923E72">
        <w:rPr>
          <w:rFonts w:eastAsia="Malgun Gothic"/>
          <w:bCs/>
          <w:lang w:val="fr-FR"/>
        </w:rPr>
        <w:t>’</w:t>
      </w:r>
      <w:r w:rsidRPr="003C1B1D">
        <w:rPr>
          <w:rFonts w:eastAsia="Malgun Gothic"/>
          <w:bCs/>
          <w:lang w:val="fr-FR"/>
        </w:rPr>
        <w:t>exprimer leurs sentiments.</w:t>
      </w:r>
    </w:p>
    <w:p w14:paraId="7E46FA6E" w14:textId="39EC25D8" w:rsidR="000D68DD" w:rsidRDefault="000D68D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0D68DD">
        <w:rPr>
          <w:rFonts w:eastAsia="Malgun Gothic"/>
          <w:bCs/>
          <w:lang w:val="fr-FR"/>
        </w:rPr>
        <w:t>La délégation de l</w:t>
      </w:r>
      <w:r w:rsidR="00923E72">
        <w:rPr>
          <w:rFonts w:eastAsia="Malgun Gothic"/>
          <w:bCs/>
          <w:lang w:val="fr-FR"/>
        </w:rPr>
        <w:t>’</w:t>
      </w:r>
      <w:r w:rsidRPr="00702497">
        <w:rPr>
          <w:rFonts w:eastAsia="Malgun Gothic"/>
          <w:b/>
          <w:lang w:val="fr-FR"/>
        </w:rPr>
        <w:t>Angola</w:t>
      </w:r>
      <w:r w:rsidRPr="000D68DD">
        <w:rPr>
          <w:rFonts w:eastAsia="Malgun Gothic"/>
          <w:bCs/>
          <w:lang w:val="fr-FR"/>
        </w:rPr>
        <w:t xml:space="preserve"> a souscrit à l</w:t>
      </w:r>
      <w:r w:rsidR="00923E72">
        <w:rPr>
          <w:rFonts w:eastAsia="Malgun Gothic"/>
          <w:bCs/>
          <w:lang w:val="fr-FR"/>
        </w:rPr>
        <w:t>’</w:t>
      </w:r>
      <w:r w:rsidRPr="000D68DD">
        <w:rPr>
          <w:rFonts w:eastAsia="Malgun Gothic"/>
          <w:bCs/>
          <w:lang w:val="fr-FR"/>
        </w:rPr>
        <w:t>intervention du Brésil et d</w:t>
      </w:r>
      <w:r w:rsidR="00923E72">
        <w:rPr>
          <w:rFonts w:eastAsia="Malgun Gothic"/>
          <w:bCs/>
          <w:lang w:val="fr-FR"/>
        </w:rPr>
        <w:t>’</w:t>
      </w:r>
      <w:r w:rsidRPr="000D68DD">
        <w:rPr>
          <w:rFonts w:eastAsia="Malgun Gothic"/>
          <w:bCs/>
          <w:lang w:val="fr-FR"/>
        </w:rPr>
        <w:t>autres pays qui appelaient au dialogue au sein du Comité. Il importait donc que le Comité discute, écoute et soit sensible aux sujets abordés, ce qui ne serait possible que par le dialogue et en écoutant les autres membres du Comité</w:t>
      </w:r>
      <w:r w:rsidR="00E648F1">
        <w:rPr>
          <w:rFonts w:eastAsia="Malgun Gothic"/>
          <w:bCs/>
          <w:lang w:val="fr-FR"/>
        </w:rPr>
        <w:t xml:space="preserve">, </w:t>
      </w:r>
      <w:r w:rsidRPr="000D68DD">
        <w:rPr>
          <w:rFonts w:eastAsia="Malgun Gothic"/>
          <w:bCs/>
          <w:lang w:val="fr-FR"/>
        </w:rPr>
        <w:t xml:space="preserve">dont les éléments </w:t>
      </w:r>
      <w:r>
        <w:rPr>
          <w:rFonts w:eastAsia="Malgun Gothic"/>
          <w:bCs/>
          <w:lang w:val="fr-FR"/>
        </w:rPr>
        <w:t xml:space="preserve">étaient </w:t>
      </w:r>
      <w:r w:rsidRPr="000D68DD">
        <w:rPr>
          <w:rFonts w:eastAsia="Malgun Gothic"/>
          <w:bCs/>
          <w:lang w:val="fr-FR"/>
        </w:rPr>
        <w:t>inscrits sur les listes, et en entendant ce qu</w:t>
      </w:r>
      <w:r w:rsidR="00923E72">
        <w:rPr>
          <w:rFonts w:eastAsia="Malgun Gothic"/>
          <w:bCs/>
          <w:lang w:val="fr-FR"/>
        </w:rPr>
        <w:t>’</w:t>
      </w:r>
      <w:r w:rsidRPr="000D68DD">
        <w:rPr>
          <w:rFonts w:eastAsia="Malgun Gothic"/>
          <w:bCs/>
          <w:lang w:val="fr-FR"/>
        </w:rPr>
        <w:t xml:space="preserve">ils </w:t>
      </w:r>
      <w:r>
        <w:rPr>
          <w:rFonts w:eastAsia="Malgun Gothic"/>
          <w:bCs/>
          <w:lang w:val="fr-FR"/>
        </w:rPr>
        <w:t xml:space="preserve">avaient </w:t>
      </w:r>
      <w:r w:rsidRPr="000D68DD">
        <w:rPr>
          <w:rFonts w:eastAsia="Malgun Gothic"/>
          <w:bCs/>
          <w:lang w:val="fr-FR"/>
        </w:rPr>
        <w:t>à dire par rapport au processus.</w:t>
      </w:r>
    </w:p>
    <w:p w14:paraId="729DFD0C" w14:textId="16F53576" w:rsidR="000D68DD" w:rsidRDefault="000D68DD" w:rsidP="00702497">
      <w:pPr>
        <w:pStyle w:val="Orateurengris"/>
        <w:numPr>
          <w:ilvl w:val="0"/>
          <w:numId w:val="21"/>
        </w:numPr>
        <w:tabs>
          <w:tab w:val="clear" w:pos="567"/>
          <w:tab w:val="clear" w:pos="1418"/>
          <w:tab w:val="clear" w:pos="2126"/>
          <w:tab w:val="clear" w:pos="2835"/>
          <w:tab w:val="num" w:pos="709"/>
        </w:tabs>
        <w:spacing w:before="120" w:after="0"/>
        <w:ind w:left="709" w:hanging="709"/>
        <w:rPr>
          <w:rFonts w:eastAsia="Malgun Gothic"/>
          <w:bCs/>
          <w:lang w:val="fr-FR"/>
        </w:rPr>
      </w:pPr>
      <w:r w:rsidRPr="000D68DD">
        <w:rPr>
          <w:rFonts w:eastAsia="Malgun Gothic"/>
          <w:bCs/>
          <w:lang w:val="fr-FR"/>
        </w:rPr>
        <w:t>En l</w:t>
      </w:r>
      <w:r w:rsidR="00923E72">
        <w:rPr>
          <w:rFonts w:eastAsia="Malgun Gothic"/>
          <w:bCs/>
          <w:lang w:val="fr-FR"/>
        </w:rPr>
        <w:t>’</w:t>
      </w:r>
      <w:r w:rsidRPr="000D68DD">
        <w:rPr>
          <w:rFonts w:eastAsia="Malgun Gothic"/>
          <w:bCs/>
          <w:lang w:val="fr-FR"/>
        </w:rPr>
        <w:t>absence d</w:t>
      </w:r>
      <w:r w:rsidR="00923E72">
        <w:rPr>
          <w:rFonts w:eastAsia="Malgun Gothic"/>
          <w:bCs/>
          <w:lang w:val="fr-FR"/>
        </w:rPr>
        <w:t>’</w:t>
      </w:r>
      <w:r w:rsidRPr="000D68DD">
        <w:rPr>
          <w:rFonts w:eastAsia="Malgun Gothic"/>
          <w:bCs/>
          <w:lang w:val="fr-FR"/>
        </w:rPr>
        <w:t xml:space="preserve">autres commentaires, le </w:t>
      </w:r>
      <w:r w:rsidRPr="00702497">
        <w:rPr>
          <w:rFonts w:eastAsia="Malgun Gothic"/>
          <w:b/>
          <w:lang w:val="fr-FR"/>
        </w:rPr>
        <w:t>Président</w:t>
      </w:r>
      <w:r w:rsidRPr="000D68DD">
        <w:rPr>
          <w:rFonts w:eastAsia="Malgun Gothic"/>
          <w:bCs/>
          <w:lang w:val="fr-FR"/>
        </w:rPr>
        <w:t xml:space="preserve"> a souhaité rappeler aux observateurs qu</w:t>
      </w:r>
      <w:r w:rsidR="00923E72">
        <w:rPr>
          <w:rFonts w:eastAsia="Malgun Gothic"/>
          <w:bCs/>
          <w:lang w:val="fr-FR"/>
        </w:rPr>
        <w:t>’</w:t>
      </w:r>
      <w:r w:rsidRPr="000D68DD">
        <w:rPr>
          <w:rFonts w:eastAsia="Malgun Gothic"/>
          <w:bCs/>
          <w:lang w:val="fr-FR"/>
        </w:rPr>
        <w:t>un grand nombre de personnes suivaient les travaux du Comité par le biais d</w:t>
      </w:r>
      <w:r w:rsidR="00923E72">
        <w:rPr>
          <w:rFonts w:eastAsia="Malgun Gothic"/>
          <w:bCs/>
          <w:lang w:val="fr-FR"/>
        </w:rPr>
        <w:t>’</w:t>
      </w:r>
      <w:r w:rsidRPr="000D68DD">
        <w:rPr>
          <w:rFonts w:eastAsia="Malgun Gothic"/>
          <w:bCs/>
          <w:lang w:val="fr-FR"/>
        </w:rPr>
        <w:t>une retransmission en direct sur Internet ou des médias d</w:t>
      </w:r>
      <w:r w:rsidR="00923E72">
        <w:rPr>
          <w:rFonts w:eastAsia="Malgun Gothic"/>
          <w:bCs/>
          <w:lang w:val="fr-FR"/>
        </w:rPr>
        <w:t>’</w:t>
      </w:r>
      <w:r w:rsidRPr="000D68DD">
        <w:rPr>
          <w:rFonts w:eastAsia="Malgun Gothic"/>
          <w:bCs/>
          <w:lang w:val="fr-FR"/>
        </w:rPr>
        <w:t>information et qu</w:t>
      </w:r>
      <w:r w:rsidR="00923E72">
        <w:rPr>
          <w:rFonts w:eastAsia="Malgun Gothic"/>
          <w:bCs/>
          <w:lang w:val="fr-FR"/>
        </w:rPr>
        <w:t>’</w:t>
      </w:r>
      <w:r w:rsidRPr="000D68DD">
        <w:rPr>
          <w:rFonts w:eastAsia="Malgun Gothic"/>
          <w:bCs/>
          <w:lang w:val="fr-FR"/>
        </w:rPr>
        <w:t>il était donc important de respecter autant que possible le calendrier. Il a invité le rapporteur de l</w:t>
      </w:r>
      <w:r w:rsidR="00923E72">
        <w:rPr>
          <w:rFonts w:eastAsia="Malgun Gothic"/>
          <w:bCs/>
          <w:lang w:val="fr-FR"/>
        </w:rPr>
        <w:t>’</w:t>
      </w:r>
      <w:r w:rsidRPr="000D68DD">
        <w:rPr>
          <w:rFonts w:eastAsia="Malgun Gothic"/>
          <w:bCs/>
          <w:lang w:val="fr-FR"/>
        </w:rPr>
        <w:t>Organe d</w:t>
      </w:r>
      <w:r w:rsidR="00923E72">
        <w:rPr>
          <w:rFonts w:eastAsia="Malgun Gothic"/>
          <w:bCs/>
          <w:lang w:val="fr-FR"/>
        </w:rPr>
        <w:t>’</w:t>
      </w:r>
      <w:r w:rsidRPr="000D68DD">
        <w:rPr>
          <w:rFonts w:eastAsia="Malgun Gothic"/>
          <w:bCs/>
          <w:lang w:val="fr-FR"/>
        </w:rPr>
        <w:t>évaluation, M. Kirk Siang</w:t>
      </w:r>
      <w:r w:rsidR="00602064">
        <w:rPr>
          <w:rFonts w:eastAsia="Malgun Gothic"/>
          <w:bCs/>
          <w:lang w:val="fr-FR"/>
        </w:rPr>
        <w:t xml:space="preserve"> Yeo</w:t>
      </w:r>
      <w:r w:rsidRPr="000D68DD">
        <w:rPr>
          <w:rFonts w:eastAsia="Malgun Gothic"/>
          <w:bCs/>
          <w:lang w:val="fr-FR"/>
        </w:rPr>
        <w:t>, à présenter son rapport.</w:t>
      </w:r>
    </w:p>
    <w:p w14:paraId="6C0B82E6" w14:textId="3965B12D" w:rsidR="000D68DD" w:rsidRDefault="000D68D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D68DD">
        <w:rPr>
          <w:rFonts w:eastAsia="Malgun Gothic"/>
          <w:bCs/>
          <w:lang w:val="fr-FR"/>
        </w:rPr>
        <w:t xml:space="preserve">Le </w:t>
      </w:r>
      <w:r w:rsidRPr="00702497">
        <w:rPr>
          <w:rFonts w:eastAsia="Malgun Gothic"/>
          <w:b/>
          <w:lang w:val="fr-FR"/>
        </w:rPr>
        <w:t>Rapporteur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 xml:space="preserve">évaluation, </w:t>
      </w:r>
      <w:r w:rsidRPr="006E3034">
        <w:rPr>
          <w:rFonts w:eastAsia="Malgun Gothic"/>
          <w:bCs/>
          <w:lang w:val="fr-FR"/>
        </w:rPr>
        <w:t>M. Yeo Kirk Siang</w:t>
      </w:r>
      <w:r w:rsidR="00602064">
        <w:rPr>
          <w:rFonts w:eastAsia="Malgun Gothic"/>
          <w:b/>
          <w:lang w:val="fr-FR"/>
        </w:rPr>
        <w:t xml:space="preserve"> </w:t>
      </w:r>
      <w:r w:rsidR="00602064" w:rsidRPr="006E3034">
        <w:rPr>
          <w:rFonts w:eastAsia="Malgun Gothic"/>
          <w:bCs/>
          <w:lang w:val="fr-FR"/>
        </w:rPr>
        <w:t>Yeo</w:t>
      </w:r>
      <w:r w:rsidRPr="00602064">
        <w:rPr>
          <w:rFonts w:eastAsia="Malgun Gothic"/>
          <w:bCs/>
          <w:lang w:val="fr-FR"/>
        </w:rPr>
        <w:t>,</w:t>
      </w:r>
      <w:r w:rsidRPr="000D68DD">
        <w:rPr>
          <w:rFonts w:eastAsia="Malgun Gothic"/>
          <w:bCs/>
          <w:lang w:val="fr-FR"/>
        </w:rPr>
        <w:t xml:space="preserve"> s</w:t>
      </w:r>
      <w:r w:rsidR="00923E72">
        <w:rPr>
          <w:rFonts w:eastAsia="Malgun Gothic"/>
          <w:bCs/>
          <w:lang w:val="fr-FR"/>
        </w:rPr>
        <w:t>’</w:t>
      </w:r>
      <w:r w:rsidRPr="000D68DD">
        <w:rPr>
          <w:rFonts w:eastAsia="Malgun Gothic"/>
          <w:bCs/>
          <w:lang w:val="fr-FR"/>
        </w:rPr>
        <w:t>est principalement penché sur certaines observations considérées comme les plus importantes de ce cycle. Il a rappelé que l</w:t>
      </w:r>
      <w:r w:rsidR="00923E72">
        <w:rPr>
          <w:rFonts w:eastAsia="Malgun Gothic"/>
          <w:bCs/>
          <w:lang w:val="fr-FR"/>
        </w:rPr>
        <w:t>’</w:t>
      </w:r>
      <w:r w:rsidRPr="000D68DD">
        <w:rPr>
          <w:rFonts w:eastAsia="Malgun Gothic"/>
          <w:bCs/>
          <w:lang w:val="fr-FR"/>
        </w:rPr>
        <w:t>Organe d</w:t>
      </w:r>
      <w:r w:rsidR="00923E72">
        <w:rPr>
          <w:rFonts w:eastAsia="Malgun Gothic"/>
          <w:bCs/>
          <w:lang w:val="fr-FR"/>
        </w:rPr>
        <w:t>’</w:t>
      </w:r>
      <w:r w:rsidRPr="000D68DD">
        <w:rPr>
          <w:rFonts w:eastAsia="Malgun Gothic"/>
          <w:bCs/>
          <w:lang w:val="fr-FR"/>
        </w:rPr>
        <w:t>évaluation est composé de douze membres, six experts représentant les États parties (qui ne sont pas membres du Comité) et six autres membres représentant des ONG accréditées. Deux adhésions avaient expiré automatiquement lorsque les États qu</w:t>
      </w:r>
      <w:r w:rsidR="00923E72">
        <w:rPr>
          <w:rFonts w:eastAsia="Malgun Gothic"/>
          <w:bCs/>
          <w:lang w:val="fr-FR"/>
        </w:rPr>
        <w:t>’</w:t>
      </w:r>
      <w:r w:rsidRPr="000D68DD">
        <w:rPr>
          <w:rFonts w:eastAsia="Malgun Gothic"/>
          <w:bCs/>
          <w:lang w:val="fr-FR"/>
        </w:rPr>
        <w:t>ils représentaient avaient été élus membres du Comité lors de la neuvième session de l</w:t>
      </w:r>
      <w:r w:rsidR="00923E72">
        <w:rPr>
          <w:rFonts w:eastAsia="Malgun Gothic"/>
          <w:bCs/>
          <w:lang w:val="fr-FR"/>
        </w:rPr>
        <w:t>’</w:t>
      </w:r>
      <w:r w:rsidRPr="000D68DD">
        <w:rPr>
          <w:rFonts w:eastAsia="Malgun Gothic"/>
          <w:bCs/>
          <w:lang w:val="fr-FR"/>
        </w:rPr>
        <w:t>Assemblée générale, en juillet</w:t>
      </w:r>
      <w:r w:rsidR="003A0260">
        <w:rPr>
          <w:rFonts w:eastAsia="Malgun Gothic"/>
          <w:bCs/>
          <w:lang w:val="fr-FR"/>
        </w:rPr>
        <w:t> </w:t>
      </w:r>
      <w:r w:rsidRPr="000D68DD">
        <w:rPr>
          <w:rFonts w:eastAsia="Malgun Gothic"/>
          <w:bCs/>
          <w:lang w:val="fr-FR"/>
        </w:rPr>
        <w:t>2022, les experts de l</w:t>
      </w:r>
      <w:r w:rsidR="00923E72">
        <w:rPr>
          <w:rFonts w:eastAsia="Malgun Gothic"/>
          <w:bCs/>
          <w:lang w:val="fr-FR"/>
        </w:rPr>
        <w:t>’</w:t>
      </w:r>
      <w:r w:rsidRPr="000D68DD">
        <w:rPr>
          <w:rFonts w:eastAsia="Malgun Gothic"/>
          <w:bCs/>
          <w:lang w:val="fr-FR"/>
        </w:rPr>
        <w:t>Organe d</w:t>
      </w:r>
      <w:r w:rsidR="00923E72">
        <w:rPr>
          <w:rFonts w:eastAsia="Malgun Gothic"/>
          <w:bCs/>
          <w:lang w:val="fr-FR"/>
        </w:rPr>
        <w:t>’</w:t>
      </w:r>
      <w:r w:rsidRPr="000D68DD">
        <w:rPr>
          <w:rFonts w:eastAsia="Malgun Gothic"/>
          <w:bCs/>
          <w:lang w:val="fr-FR"/>
        </w:rPr>
        <w:t>évaluation devant être des représentants d</w:t>
      </w:r>
      <w:r w:rsidR="00923E72">
        <w:rPr>
          <w:rFonts w:eastAsia="Malgun Gothic"/>
          <w:bCs/>
          <w:lang w:val="fr-FR"/>
        </w:rPr>
        <w:t>’</w:t>
      </w:r>
      <w:r w:rsidRPr="000D68DD">
        <w:rPr>
          <w:rFonts w:eastAsia="Malgun Gothic"/>
          <w:bCs/>
          <w:lang w:val="fr-FR"/>
        </w:rPr>
        <w:t>États parties non membres du Comité. Les États parties de</w:t>
      </w:r>
      <w:r w:rsidR="00044668">
        <w:rPr>
          <w:rFonts w:eastAsia="Malgun Gothic"/>
          <w:bCs/>
          <w:lang w:val="fr-FR"/>
        </w:rPr>
        <w:t>s</w:t>
      </w:r>
      <w:r w:rsidRPr="000D68DD">
        <w:rPr>
          <w:rFonts w:eastAsia="Malgun Gothic"/>
          <w:bCs/>
          <w:lang w:val="fr-FR"/>
        </w:rPr>
        <w:t xml:space="preserve"> deux experts de Slovaquie et d</w:t>
      </w:r>
      <w:r w:rsidR="00923E72">
        <w:rPr>
          <w:rFonts w:eastAsia="Malgun Gothic"/>
          <w:bCs/>
          <w:lang w:val="fr-FR"/>
        </w:rPr>
        <w:t>’</w:t>
      </w:r>
      <w:r w:rsidRPr="000D68DD">
        <w:rPr>
          <w:rFonts w:eastAsia="Malgun Gothic"/>
          <w:bCs/>
          <w:lang w:val="fr-FR"/>
        </w:rPr>
        <w:t>Éthiopie ayant été élus au Comité, les deux experts avaient dû mettre fin à leur mandat. Néanmoins, ces deux experts avaient déjà terminé toutes leurs évaluations au cours de la période précédant le mois de juin</w:t>
      </w:r>
      <w:r w:rsidR="00246428">
        <w:rPr>
          <w:rFonts w:eastAsia="Malgun Gothic"/>
          <w:bCs/>
          <w:lang w:val="fr-FR"/>
        </w:rPr>
        <w:t> </w:t>
      </w:r>
      <w:r w:rsidR="00044668">
        <w:rPr>
          <w:rFonts w:eastAsia="Malgun Gothic"/>
          <w:bCs/>
          <w:lang w:val="fr-FR"/>
        </w:rPr>
        <w:t xml:space="preserve">2022 </w:t>
      </w:r>
      <w:r w:rsidRPr="000D68DD">
        <w:rPr>
          <w:rFonts w:eastAsia="Malgun Gothic"/>
          <w:bCs/>
          <w:lang w:val="fr-FR"/>
        </w:rPr>
        <w:t>et avaient pu participer pleinement à la réunion de juin au cours de laquelle les membres s</w:t>
      </w:r>
      <w:r w:rsidR="00923E72">
        <w:rPr>
          <w:rFonts w:eastAsia="Malgun Gothic"/>
          <w:bCs/>
          <w:lang w:val="fr-FR"/>
        </w:rPr>
        <w:t>’</w:t>
      </w:r>
      <w:r w:rsidRPr="000D68DD">
        <w:rPr>
          <w:rFonts w:eastAsia="Malgun Gothic"/>
          <w:bCs/>
          <w:lang w:val="fr-FR"/>
        </w:rPr>
        <w:t>étaient mis d</w:t>
      </w:r>
      <w:r w:rsidR="00923E72">
        <w:rPr>
          <w:rFonts w:eastAsia="Malgun Gothic"/>
          <w:bCs/>
          <w:lang w:val="fr-FR"/>
        </w:rPr>
        <w:t>’</w:t>
      </w:r>
      <w:r w:rsidRPr="000D68DD">
        <w:rPr>
          <w:rFonts w:eastAsia="Malgun Gothic"/>
          <w:bCs/>
          <w:lang w:val="fr-FR"/>
        </w:rPr>
        <w:t xml:space="preserve">accord sur des </w:t>
      </w:r>
      <w:r w:rsidRPr="000D68DD">
        <w:rPr>
          <w:rFonts w:eastAsia="Malgun Gothic"/>
          <w:bCs/>
          <w:lang w:val="fr-FR"/>
        </w:rPr>
        <w:lastRenderedPageBreak/>
        <w:t>recommandations. En ce sens, leur départ en juillet n</w:t>
      </w:r>
      <w:r w:rsidR="00923E72">
        <w:rPr>
          <w:rFonts w:eastAsia="Malgun Gothic"/>
          <w:bCs/>
          <w:lang w:val="fr-FR"/>
        </w:rPr>
        <w:t>’</w:t>
      </w:r>
      <w:r w:rsidRPr="000D68DD">
        <w:rPr>
          <w:rFonts w:eastAsia="Malgun Gothic"/>
          <w:bCs/>
          <w:lang w:val="fr-FR"/>
        </w:rPr>
        <w:t>avait eu d</w:t>
      </w:r>
      <w:r w:rsidR="00923E72">
        <w:rPr>
          <w:rFonts w:eastAsia="Malgun Gothic"/>
          <w:bCs/>
          <w:lang w:val="fr-FR"/>
        </w:rPr>
        <w:t>’</w:t>
      </w:r>
      <w:r w:rsidRPr="000D68DD">
        <w:rPr>
          <w:rFonts w:eastAsia="Malgun Gothic"/>
          <w:bCs/>
          <w:lang w:val="fr-FR"/>
        </w:rPr>
        <w:t>incidence que sur leur participation à la réunion de septembre, au cours de laquelle l</w:t>
      </w:r>
      <w:r w:rsidR="00923E72">
        <w:rPr>
          <w:rFonts w:eastAsia="Malgun Gothic"/>
          <w:bCs/>
          <w:lang w:val="fr-FR"/>
        </w:rPr>
        <w:t>’</w:t>
      </w:r>
      <w:r w:rsidR="00044668">
        <w:rPr>
          <w:rFonts w:eastAsia="Malgun Gothic"/>
          <w:bCs/>
          <w:lang w:val="fr-FR"/>
        </w:rPr>
        <w:t>O</w:t>
      </w:r>
      <w:r w:rsidRPr="000D68DD">
        <w:rPr>
          <w:rFonts w:eastAsia="Malgun Gothic"/>
          <w:bCs/>
          <w:lang w:val="fr-FR"/>
        </w:rPr>
        <w:t xml:space="preserve">rgane avait examiné les cas de </w:t>
      </w:r>
      <w:r w:rsidR="00044668">
        <w:rPr>
          <w:rFonts w:eastAsia="Malgun Gothic"/>
          <w:bCs/>
          <w:lang w:val="fr-FR"/>
        </w:rPr>
        <w:t>« </w:t>
      </w:r>
      <w:r w:rsidRPr="000D68DD">
        <w:rPr>
          <w:rFonts w:eastAsia="Malgun Gothic"/>
          <w:bCs/>
          <w:lang w:val="fr-FR"/>
        </w:rPr>
        <w:t>dialogue</w:t>
      </w:r>
      <w:r w:rsidR="00044668">
        <w:rPr>
          <w:rFonts w:eastAsia="Malgun Gothic"/>
          <w:bCs/>
          <w:lang w:val="fr-FR"/>
        </w:rPr>
        <w:t> »</w:t>
      </w:r>
      <w:r w:rsidRPr="000D68DD">
        <w:rPr>
          <w:rFonts w:eastAsia="Malgun Gothic"/>
          <w:bCs/>
          <w:lang w:val="fr-FR"/>
        </w:rPr>
        <w:t xml:space="preserve"> et finalisé son rapport et ses recommandations. À cet égard, les évaluations et les recommandations de tous les dossiers impliquaient les douze membres de l</w:t>
      </w:r>
      <w:r w:rsidR="00923E72">
        <w:rPr>
          <w:rFonts w:eastAsia="Malgun Gothic"/>
          <w:bCs/>
          <w:lang w:val="fr-FR"/>
        </w:rPr>
        <w:t>’</w:t>
      </w:r>
      <w:r w:rsidRPr="000D68DD">
        <w:rPr>
          <w:rFonts w:eastAsia="Malgun Gothic"/>
          <w:bCs/>
          <w:lang w:val="fr-FR"/>
        </w:rPr>
        <w:t>Organe. Le rapport de l</w:t>
      </w:r>
      <w:r w:rsidR="00923E72">
        <w:rPr>
          <w:rFonts w:eastAsia="Malgun Gothic"/>
          <w:bCs/>
          <w:lang w:val="fr-FR"/>
        </w:rPr>
        <w:t>’</w:t>
      </w:r>
      <w:r w:rsidRPr="000D68DD">
        <w:rPr>
          <w:rFonts w:eastAsia="Malgun Gothic"/>
          <w:bCs/>
          <w:lang w:val="fr-FR"/>
        </w:rPr>
        <w:t>Organe d</w:t>
      </w:r>
      <w:r w:rsidR="00923E72">
        <w:rPr>
          <w:rFonts w:eastAsia="Malgun Gothic"/>
          <w:bCs/>
          <w:lang w:val="fr-FR"/>
        </w:rPr>
        <w:t>’</w:t>
      </w:r>
      <w:r w:rsidRPr="000D68DD">
        <w:rPr>
          <w:rFonts w:eastAsia="Malgun Gothic"/>
          <w:bCs/>
          <w:lang w:val="fr-FR"/>
        </w:rPr>
        <w:t>évaluation était composé de cinq documents de travail.</w:t>
      </w:r>
    </w:p>
    <w:p w14:paraId="5CD24236" w14:textId="358C7D61" w:rsidR="00044668" w:rsidRDefault="005C2BF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C2BF1">
        <w:rPr>
          <w:rFonts w:eastAsia="Malgun Gothic"/>
          <w:bCs/>
          <w:lang w:val="fr-FR"/>
        </w:rPr>
        <w:t xml:space="preserve">Le </w:t>
      </w:r>
      <w:r w:rsidRPr="00702497">
        <w:rPr>
          <w:rFonts w:eastAsia="Malgun Gothic"/>
          <w:b/>
          <w:lang w:val="fr-FR"/>
        </w:rPr>
        <w:t>Rapporteur</w:t>
      </w:r>
      <w:r w:rsidRPr="005C2BF1">
        <w:rPr>
          <w:rFonts w:eastAsia="Malgun Gothic"/>
          <w:bCs/>
          <w:lang w:val="fr-FR"/>
        </w:rPr>
        <w:t xml:space="preserve"> a présenté le rapport général traitant des observations générales, des méthodes de travail de l</w:t>
      </w:r>
      <w:r w:rsidR="00923E72">
        <w:rPr>
          <w:rFonts w:eastAsia="Malgun Gothic"/>
          <w:bCs/>
          <w:lang w:val="fr-FR"/>
        </w:rPr>
        <w:t>’</w:t>
      </w:r>
      <w:r w:rsidRPr="005C2BF1">
        <w:rPr>
          <w:rFonts w:eastAsia="Malgun Gothic"/>
          <w:bCs/>
          <w:lang w:val="fr-FR"/>
        </w:rPr>
        <w:t>Organe et des questions thématiques observées au cours de ce cycle. Les pays ayant commencé à lever les restrictions de voyage, l</w:t>
      </w:r>
      <w:r w:rsidR="00923E72">
        <w:rPr>
          <w:rFonts w:eastAsia="Malgun Gothic"/>
          <w:bCs/>
          <w:lang w:val="fr-FR"/>
        </w:rPr>
        <w:t>’</w:t>
      </w:r>
      <w:r w:rsidRPr="005C2BF1">
        <w:rPr>
          <w:rFonts w:eastAsia="Malgun Gothic"/>
          <w:bCs/>
          <w:lang w:val="fr-FR"/>
        </w:rPr>
        <w:t>Organe d</w:t>
      </w:r>
      <w:r w:rsidR="00923E72">
        <w:rPr>
          <w:rFonts w:eastAsia="Malgun Gothic"/>
          <w:bCs/>
          <w:lang w:val="fr-FR"/>
        </w:rPr>
        <w:t>’</w:t>
      </w:r>
      <w:r w:rsidRPr="005C2BF1">
        <w:rPr>
          <w:rFonts w:eastAsia="Malgun Gothic"/>
          <w:bCs/>
          <w:lang w:val="fr-FR"/>
        </w:rPr>
        <w:t xml:space="preserve">évaluation avait </w:t>
      </w:r>
      <w:r>
        <w:rPr>
          <w:rFonts w:eastAsia="Malgun Gothic"/>
          <w:bCs/>
          <w:lang w:val="fr-FR"/>
        </w:rPr>
        <w:t xml:space="preserve">eu </w:t>
      </w:r>
      <w:r w:rsidRPr="005C2BF1">
        <w:rPr>
          <w:rFonts w:eastAsia="Malgun Gothic"/>
          <w:bCs/>
          <w:lang w:val="fr-FR"/>
        </w:rPr>
        <w:t xml:space="preserve">la possibilité de se réunir selon un mélange de modalités en </w:t>
      </w:r>
      <w:r w:rsidR="00A92820">
        <w:rPr>
          <w:bCs/>
          <w:lang w:val="fr-FR"/>
        </w:rPr>
        <w:t>p</w:t>
      </w:r>
      <w:r w:rsidR="00DC183E">
        <w:rPr>
          <w:bCs/>
          <w:lang w:val="fr-FR"/>
        </w:rPr>
        <w:t>ersonne</w:t>
      </w:r>
      <w:r w:rsidR="00A92820">
        <w:rPr>
          <w:bCs/>
          <w:lang w:val="fr-FR"/>
        </w:rPr>
        <w:t xml:space="preserve"> </w:t>
      </w:r>
      <w:r w:rsidRPr="005C2BF1">
        <w:rPr>
          <w:rFonts w:eastAsia="Malgun Gothic"/>
          <w:bCs/>
          <w:lang w:val="fr-FR"/>
        </w:rPr>
        <w:t>et en ligne au cours de ce cycle. La première réunion s</w:t>
      </w:r>
      <w:r w:rsidR="00923E72">
        <w:rPr>
          <w:rFonts w:eastAsia="Malgun Gothic"/>
          <w:bCs/>
          <w:lang w:val="fr-FR"/>
        </w:rPr>
        <w:t>’</w:t>
      </w:r>
      <w:r w:rsidRPr="005C2BF1">
        <w:rPr>
          <w:rFonts w:eastAsia="Malgun Gothic"/>
          <w:bCs/>
          <w:lang w:val="fr-FR"/>
        </w:rPr>
        <w:t>était tenue entièrement en ligne en février</w:t>
      </w:r>
      <w:r w:rsidR="00DC183E">
        <w:rPr>
          <w:rFonts w:eastAsia="Malgun Gothic"/>
          <w:bCs/>
          <w:lang w:val="fr-FR"/>
        </w:rPr>
        <w:t> </w:t>
      </w:r>
      <w:r w:rsidRPr="005C2BF1">
        <w:rPr>
          <w:rFonts w:eastAsia="Malgun Gothic"/>
          <w:bCs/>
          <w:lang w:val="fr-FR"/>
        </w:rPr>
        <w:t>2022. Lors de cette réunion, le Secrétariat avait donné des orientations aux membres de l</w:t>
      </w:r>
      <w:r w:rsidR="00923E72">
        <w:rPr>
          <w:rFonts w:eastAsia="Malgun Gothic"/>
          <w:bCs/>
          <w:lang w:val="fr-FR"/>
        </w:rPr>
        <w:t>’</w:t>
      </w:r>
      <w:r w:rsidRPr="005C2BF1">
        <w:rPr>
          <w:rFonts w:eastAsia="Malgun Gothic"/>
          <w:bCs/>
          <w:lang w:val="fr-FR"/>
        </w:rPr>
        <w:t>Organe d</w:t>
      </w:r>
      <w:r w:rsidR="00923E72">
        <w:rPr>
          <w:rFonts w:eastAsia="Malgun Gothic"/>
          <w:bCs/>
          <w:lang w:val="fr-FR"/>
        </w:rPr>
        <w:t>’</w:t>
      </w:r>
      <w:r w:rsidRPr="005C2BF1">
        <w:rPr>
          <w:rFonts w:eastAsia="Malgun Gothic"/>
          <w:bCs/>
          <w:lang w:val="fr-FR"/>
        </w:rPr>
        <w:t>évaluation et discuté de diverses questions transversales observées au cours des cycles précédents. Lors de cette même réunion, le Président, la Vice-Présidente et le Rapporteur avaient été élus. La deuxième réunion s</w:t>
      </w:r>
      <w:r w:rsidR="00923E72">
        <w:rPr>
          <w:rFonts w:eastAsia="Malgun Gothic"/>
          <w:bCs/>
          <w:lang w:val="fr-FR"/>
        </w:rPr>
        <w:t>’</w:t>
      </w:r>
      <w:r w:rsidR="00DC183E">
        <w:rPr>
          <w:rFonts w:eastAsia="Malgun Gothic"/>
          <w:bCs/>
          <w:lang w:val="fr-FR"/>
        </w:rPr>
        <w:t>était</w:t>
      </w:r>
      <w:r w:rsidRPr="005C2BF1">
        <w:rPr>
          <w:rFonts w:eastAsia="Malgun Gothic"/>
          <w:bCs/>
          <w:lang w:val="fr-FR"/>
        </w:rPr>
        <w:t xml:space="preserve"> tenue </w:t>
      </w:r>
      <w:r w:rsidRPr="00702497">
        <w:rPr>
          <w:rFonts w:eastAsia="Malgun Gothic"/>
          <w:bCs/>
          <w:i/>
          <w:iCs/>
          <w:lang w:val="fr-FR"/>
        </w:rPr>
        <w:t>in</w:t>
      </w:r>
      <w:r w:rsidR="006821BC">
        <w:rPr>
          <w:rFonts w:eastAsia="Malgun Gothic"/>
          <w:bCs/>
          <w:i/>
          <w:iCs/>
          <w:lang w:val="fr-FR"/>
        </w:rPr>
        <w:t> </w:t>
      </w:r>
      <w:r w:rsidRPr="00702497">
        <w:rPr>
          <w:rFonts w:eastAsia="Malgun Gothic"/>
          <w:bCs/>
          <w:i/>
          <w:iCs/>
          <w:lang w:val="fr-FR"/>
        </w:rPr>
        <w:t>praesentia</w:t>
      </w:r>
      <w:r w:rsidRPr="005C2BF1">
        <w:rPr>
          <w:rFonts w:eastAsia="Malgun Gothic"/>
          <w:bCs/>
          <w:lang w:val="fr-FR"/>
        </w:rPr>
        <w:t xml:space="preserve"> en juin au siège de l</w:t>
      </w:r>
      <w:r w:rsidR="00923E72">
        <w:rPr>
          <w:rFonts w:eastAsia="Malgun Gothic"/>
          <w:bCs/>
          <w:lang w:val="fr-FR"/>
        </w:rPr>
        <w:t>’</w:t>
      </w:r>
      <w:r w:rsidRPr="005C2BF1">
        <w:rPr>
          <w:rFonts w:eastAsia="Malgun Gothic"/>
          <w:bCs/>
          <w:lang w:val="fr-FR"/>
        </w:rPr>
        <w:t>UNESCO à Paris. Au cours de cette réunion, l</w:t>
      </w:r>
      <w:r w:rsidR="00923E72">
        <w:rPr>
          <w:rFonts w:eastAsia="Malgun Gothic"/>
          <w:bCs/>
          <w:lang w:val="fr-FR"/>
        </w:rPr>
        <w:t>’</w:t>
      </w:r>
      <w:r w:rsidRPr="005C2BF1">
        <w:rPr>
          <w:rFonts w:eastAsia="Malgun Gothic"/>
          <w:bCs/>
          <w:lang w:val="fr-FR"/>
        </w:rPr>
        <w:t>Organe avait délibéré et était parvenu à des décisions pour chacun des dossiers de candidature. Lors de la troisième réunion</w:t>
      </w:r>
      <w:r w:rsidR="004A5560">
        <w:rPr>
          <w:rFonts w:eastAsia="Malgun Gothic"/>
          <w:bCs/>
          <w:lang w:val="fr-FR"/>
        </w:rPr>
        <w:t>,</w:t>
      </w:r>
      <w:r w:rsidRPr="005C2BF1">
        <w:rPr>
          <w:rFonts w:eastAsia="Malgun Gothic"/>
          <w:bCs/>
          <w:lang w:val="fr-FR"/>
        </w:rPr>
        <w:t xml:space="preserve"> en septembre</w:t>
      </w:r>
      <w:r w:rsidR="00B93B08">
        <w:rPr>
          <w:rFonts w:eastAsia="Malgun Gothic"/>
          <w:bCs/>
          <w:lang w:val="fr-FR"/>
        </w:rPr>
        <w:t> </w:t>
      </w:r>
      <w:r w:rsidRPr="005C2BF1">
        <w:rPr>
          <w:rFonts w:eastAsia="Malgun Gothic"/>
          <w:bCs/>
          <w:lang w:val="fr-FR"/>
        </w:rPr>
        <w:t>2022, le Président et le Rapporteur avaient rejoint le Secrétariat à Paris, tandis que le reste de l</w:t>
      </w:r>
      <w:r w:rsidR="00923E72">
        <w:rPr>
          <w:rFonts w:eastAsia="Malgun Gothic"/>
          <w:bCs/>
          <w:lang w:val="fr-FR"/>
        </w:rPr>
        <w:t>’</w:t>
      </w:r>
      <w:r w:rsidRPr="005C2BF1">
        <w:rPr>
          <w:rFonts w:eastAsia="Malgun Gothic"/>
          <w:bCs/>
          <w:lang w:val="fr-FR"/>
        </w:rPr>
        <w:t>Organe avait participé en ligne pour discuter des dossiers ayant fait l</w:t>
      </w:r>
      <w:r w:rsidR="00923E72">
        <w:rPr>
          <w:rFonts w:eastAsia="Malgun Gothic"/>
          <w:bCs/>
          <w:lang w:val="fr-FR"/>
        </w:rPr>
        <w:t>’</w:t>
      </w:r>
      <w:r w:rsidRPr="005C2BF1">
        <w:rPr>
          <w:rFonts w:eastAsia="Malgun Gothic"/>
          <w:bCs/>
          <w:lang w:val="fr-FR"/>
        </w:rPr>
        <w:t>objet du mécanisme de dialogue ainsi que des projets de décisions et du rapport général. Par souci de neutralité, les membres de l</w:t>
      </w:r>
      <w:r w:rsidR="00923E72">
        <w:rPr>
          <w:rFonts w:eastAsia="Malgun Gothic"/>
          <w:bCs/>
          <w:lang w:val="fr-FR"/>
        </w:rPr>
        <w:t>’</w:t>
      </w:r>
      <w:r w:rsidRPr="005C2BF1">
        <w:rPr>
          <w:rFonts w:eastAsia="Malgun Gothic"/>
          <w:bCs/>
          <w:lang w:val="fr-FR"/>
        </w:rPr>
        <w:t>Organe d</w:t>
      </w:r>
      <w:r w:rsidR="00923E72">
        <w:rPr>
          <w:rFonts w:eastAsia="Malgun Gothic"/>
          <w:bCs/>
          <w:lang w:val="fr-FR"/>
        </w:rPr>
        <w:t>’</w:t>
      </w:r>
      <w:r w:rsidRPr="005C2BF1">
        <w:rPr>
          <w:rFonts w:eastAsia="Malgun Gothic"/>
          <w:bCs/>
          <w:lang w:val="fr-FR"/>
        </w:rPr>
        <w:t>évaluation ne participaient pas et n</w:t>
      </w:r>
      <w:r w:rsidR="00923E72">
        <w:rPr>
          <w:rFonts w:eastAsia="Malgun Gothic"/>
          <w:bCs/>
          <w:lang w:val="fr-FR"/>
        </w:rPr>
        <w:t>’</w:t>
      </w:r>
      <w:r w:rsidRPr="005C2BF1">
        <w:rPr>
          <w:rFonts w:eastAsia="Malgun Gothic"/>
          <w:bCs/>
          <w:lang w:val="fr-FR"/>
        </w:rPr>
        <w:t xml:space="preserve">étaient pas impliqués de quelque manière que ce soit dans les évaluations des dossiers provenant de leur pays de nationalité ou du pays </w:t>
      </w:r>
      <w:r w:rsidR="004A5560">
        <w:rPr>
          <w:rFonts w:eastAsia="Malgun Gothic"/>
          <w:bCs/>
          <w:lang w:val="fr-FR"/>
        </w:rPr>
        <w:t>dans lequel</w:t>
      </w:r>
      <w:r w:rsidRPr="005C2BF1">
        <w:rPr>
          <w:rFonts w:eastAsia="Malgun Gothic"/>
          <w:bCs/>
          <w:lang w:val="fr-FR"/>
        </w:rPr>
        <w:t xml:space="preserve"> leur ONG est basée. Le travail de l</w:t>
      </w:r>
      <w:r w:rsidR="00923E72">
        <w:rPr>
          <w:rFonts w:eastAsia="Malgun Gothic"/>
          <w:bCs/>
          <w:lang w:val="fr-FR"/>
        </w:rPr>
        <w:t>’</w:t>
      </w:r>
      <w:r w:rsidRPr="005C2BF1">
        <w:rPr>
          <w:rFonts w:eastAsia="Malgun Gothic"/>
          <w:bCs/>
          <w:lang w:val="fr-FR"/>
        </w:rPr>
        <w:t>Organe était guidé par la Convention, les Directives opérationnelles et les décisions des organes précédents. Bien que l</w:t>
      </w:r>
      <w:r w:rsidR="00923E72">
        <w:rPr>
          <w:rFonts w:eastAsia="Malgun Gothic"/>
          <w:bCs/>
          <w:lang w:val="fr-FR"/>
        </w:rPr>
        <w:t>’</w:t>
      </w:r>
      <w:r w:rsidRPr="005C2BF1">
        <w:rPr>
          <w:rFonts w:eastAsia="Malgun Gothic"/>
          <w:bCs/>
          <w:lang w:val="fr-FR"/>
        </w:rPr>
        <w:t>Organe reconnaisse l</w:t>
      </w:r>
      <w:r w:rsidR="00923E72">
        <w:rPr>
          <w:rFonts w:eastAsia="Malgun Gothic"/>
          <w:bCs/>
          <w:lang w:val="fr-FR"/>
        </w:rPr>
        <w:t>’</w:t>
      </w:r>
      <w:r w:rsidRPr="005C2BF1">
        <w:rPr>
          <w:rFonts w:eastAsia="Malgun Gothic"/>
          <w:bCs/>
          <w:lang w:val="fr-FR"/>
        </w:rPr>
        <w:t>avantage de se réunir en</w:t>
      </w:r>
      <w:r w:rsidR="004A1E04">
        <w:rPr>
          <w:bCs/>
          <w:lang w:val="fr-FR"/>
        </w:rPr>
        <w:t xml:space="preserve"> personne</w:t>
      </w:r>
      <w:r w:rsidRPr="005C2BF1">
        <w:rPr>
          <w:rFonts w:eastAsia="Malgun Gothic"/>
          <w:bCs/>
          <w:lang w:val="fr-FR"/>
        </w:rPr>
        <w:t>, l</w:t>
      </w:r>
      <w:r w:rsidR="00923E72">
        <w:rPr>
          <w:rFonts w:eastAsia="Malgun Gothic"/>
          <w:bCs/>
          <w:lang w:val="fr-FR"/>
        </w:rPr>
        <w:t>’</w:t>
      </w:r>
      <w:r w:rsidRPr="005C2BF1">
        <w:rPr>
          <w:rFonts w:eastAsia="Malgun Gothic"/>
          <w:bCs/>
          <w:lang w:val="fr-FR"/>
        </w:rPr>
        <w:t>interface en ligne continuait d</w:t>
      </w:r>
      <w:r w:rsidR="00923E72">
        <w:rPr>
          <w:rFonts w:eastAsia="Malgun Gothic"/>
          <w:bCs/>
          <w:lang w:val="fr-FR"/>
        </w:rPr>
        <w:t>’</w:t>
      </w:r>
      <w:r w:rsidRPr="005C2BF1">
        <w:rPr>
          <w:rFonts w:eastAsia="Malgun Gothic"/>
          <w:bCs/>
          <w:lang w:val="fr-FR"/>
        </w:rPr>
        <w:t>être une plateforme utile et contribuait aux discussions et à l</w:t>
      </w:r>
      <w:r w:rsidR="00923E72">
        <w:rPr>
          <w:rFonts w:eastAsia="Malgun Gothic"/>
          <w:bCs/>
          <w:lang w:val="fr-FR"/>
        </w:rPr>
        <w:t>’</w:t>
      </w:r>
      <w:r w:rsidRPr="005C2BF1">
        <w:rPr>
          <w:rFonts w:eastAsia="Malgun Gothic"/>
          <w:bCs/>
          <w:lang w:val="fr-FR"/>
        </w:rPr>
        <w:t>établissement d</w:t>
      </w:r>
      <w:r w:rsidR="00923E72">
        <w:rPr>
          <w:rFonts w:eastAsia="Malgun Gothic"/>
          <w:bCs/>
          <w:lang w:val="fr-FR"/>
        </w:rPr>
        <w:t>’</w:t>
      </w:r>
      <w:r w:rsidRPr="005C2BF1">
        <w:rPr>
          <w:rFonts w:eastAsia="Malgun Gothic"/>
          <w:bCs/>
          <w:lang w:val="fr-FR"/>
        </w:rPr>
        <w:t>un consensus. L</w:t>
      </w:r>
      <w:r w:rsidR="00923E72">
        <w:rPr>
          <w:rFonts w:eastAsia="Malgun Gothic"/>
          <w:bCs/>
          <w:lang w:val="fr-FR"/>
        </w:rPr>
        <w:t>’</w:t>
      </w:r>
      <w:r w:rsidRPr="005C2BF1">
        <w:rPr>
          <w:rFonts w:eastAsia="Malgun Gothic"/>
          <w:bCs/>
          <w:lang w:val="fr-FR"/>
        </w:rPr>
        <w:t xml:space="preserve">Organe avait donc félicité le Secrétariat pour cet outil bien conçu, et </w:t>
      </w:r>
      <w:r>
        <w:rPr>
          <w:rFonts w:eastAsia="Malgun Gothic"/>
          <w:bCs/>
          <w:lang w:val="fr-FR"/>
        </w:rPr>
        <w:t xml:space="preserve">avait </w:t>
      </w:r>
      <w:r w:rsidRPr="005C2BF1">
        <w:rPr>
          <w:rFonts w:eastAsia="Malgun Gothic"/>
          <w:bCs/>
          <w:lang w:val="fr-FR"/>
        </w:rPr>
        <w:t xml:space="preserve">soutenu son utilisation </w:t>
      </w:r>
      <w:r>
        <w:rPr>
          <w:rFonts w:eastAsia="Malgun Gothic"/>
          <w:bCs/>
          <w:lang w:val="fr-FR"/>
        </w:rPr>
        <w:t xml:space="preserve">pérenne </w:t>
      </w:r>
      <w:r w:rsidRPr="005C2BF1">
        <w:rPr>
          <w:rFonts w:eastAsia="Malgun Gothic"/>
          <w:bCs/>
          <w:lang w:val="fr-FR"/>
        </w:rPr>
        <w:t>pour les cycles à venir. Il s</w:t>
      </w:r>
      <w:r w:rsidR="00923E72">
        <w:rPr>
          <w:rFonts w:eastAsia="Malgun Gothic"/>
          <w:bCs/>
          <w:lang w:val="fr-FR"/>
        </w:rPr>
        <w:t>’</w:t>
      </w:r>
      <w:r w:rsidRPr="005C2BF1">
        <w:rPr>
          <w:rFonts w:eastAsia="Malgun Gothic"/>
          <w:bCs/>
          <w:lang w:val="fr-FR"/>
        </w:rPr>
        <w:t xml:space="preserve">agissait du troisième cycle de mise en œuvre complète du </w:t>
      </w:r>
      <w:r w:rsidRPr="00702497">
        <w:rPr>
          <w:rFonts w:eastAsia="Malgun Gothic"/>
          <w:bCs/>
          <w:u w:val="single"/>
          <w:lang w:val="fr-FR"/>
        </w:rPr>
        <w:t>processus de dialogue</w:t>
      </w:r>
      <w:r w:rsidRPr="005C2BF1">
        <w:rPr>
          <w:rFonts w:eastAsia="Malgun Gothic"/>
          <w:bCs/>
          <w:lang w:val="fr-FR"/>
        </w:rPr>
        <w:t>, qui était un des résultats concrets de la réflexion globale sur les mécanismes d</w:t>
      </w:r>
      <w:r w:rsidR="00923E72">
        <w:rPr>
          <w:rFonts w:eastAsia="Malgun Gothic"/>
          <w:bCs/>
          <w:lang w:val="fr-FR"/>
        </w:rPr>
        <w:t>’</w:t>
      </w:r>
      <w:r w:rsidRPr="005C2BF1">
        <w:rPr>
          <w:rFonts w:eastAsia="Malgun Gothic"/>
          <w:bCs/>
          <w:lang w:val="fr-FR"/>
        </w:rPr>
        <w:t>inscription sur les listes de la Convention. Comme lors des cycles précédents, le processus de dialogue n</w:t>
      </w:r>
      <w:r w:rsidR="00923E72">
        <w:rPr>
          <w:rFonts w:eastAsia="Malgun Gothic"/>
          <w:bCs/>
          <w:lang w:val="fr-FR"/>
        </w:rPr>
        <w:t>’</w:t>
      </w:r>
      <w:r w:rsidRPr="005C2BF1">
        <w:rPr>
          <w:rFonts w:eastAsia="Malgun Gothic"/>
          <w:bCs/>
          <w:lang w:val="fr-FR"/>
        </w:rPr>
        <w:t>avait été utilisé qu</w:t>
      </w:r>
      <w:r w:rsidR="00923E72">
        <w:rPr>
          <w:rFonts w:eastAsia="Malgun Gothic"/>
          <w:bCs/>
          <w:lang w:val="fr-FR"/>
        </w:rPr>
        <w:t>’</w:t>
      </w:r>
      <w:r w:rsidRPr="005C2BF1">
        <w:rPr>
          <w:rFonts w:eastAsia="Malgun Gothic"/>
          <w:bCs/>
          <w:lang w:val="fr-FR"/>
        </w:rPr>
        <w:t xml:space="preserve">en cas de manque </w:t>
      </w:r>
      <w:r w:rsidRPr="00702497">
        <w:rPr>
          <w:rFonts w:eastAsia="Malgun Gothic"/>
          <w:bCs/>
          <w:i/>
          <w:iCs/>
          <w:lang w:val="fr-FR"/>
        </w:rPr>
        <w:t>mineur</w:t>
      </w:r>
      <w:r w:rsidRPr="005C2BF1">
        <w:rPr>
          <w:rFonts w:eastAsia="Malgun Gothic"/>
          <w:bCs/>
          <w:lang w:val="fr-FR"/>
        </w:rPr>
        <w:t xml:space="preserve"> d</w:t>
      </w:r>
      <w:r w:rsidR="00923E72">
        <w:rPr>
          <w:rFonts w:eastAsia="Malgun Gothic"/>
          <w:bCs/>
          <w:lang w:val="fr-FR"/>
        </w:rPr>
        <w:t>’</w:t>
      </w:r>
      <w:r w:rsidRPr="005C2BF1">
        <w:rPr>
          <w:rFonts w:eastAsia="Malgun Gothic"/>
          <w:bCs/>
          <w:lang w:val="fr-FR"/>
        </w:rPr>
        <w:t xml:space="preserve">informations ou de déclarations confuses pouvant être clarifiées par un simple échange de questions et </w:t>
      </w:r>
      <w:r>
        <w:rPr>
          <w:rFonts w:eastAsia="Malgun Gothic"/>
          <w:bCs/>
          <w:lang w:val="fr-FR"/>
        </w:rPr>
        <w:t xml:space="preserve">de </w:t>
      </w:r>
      <w:r w:rsidRPr="005C2BF1">
        <w:rPr>
          <w:rFonts w:eastAsia="Malgun Gothic"/>
          <w:bCs/>
          <w:lang w:val="fr-FR"/>
        </w:rPr>
        <w:t>réponses avec l</w:t>
      </w:r>
      <w:r w:rsidR="00923E72">
        <w:rPr>
          <w:rFonts w:eastAsia="Malgun Gothic"/>
          <w:bCs/>
          <w:lang w:val="fr-FR"/>
        </w:rPr>
        <w:t>’</w:t>
      </w:r>
      <w:r w:rsidRPr="005C2BF1">
        <w:rPr>
          <w:rFonts w:eastAsia="Malgun Gothic"/>
          <w:bCs/>
          <w:lang w:val="fr-FR"/>
        </w:rPr>
        <w:t>État soumissionnaire. L</w:t>
      </w:r>
      <w:r w:rsidR="00923E72">
        <w:rPr>
          <w:rFonts w:eastAsia="Malgun Gothic"/>
          <w:bCs/>
          <w:lang w:val="fr-FR"/>
        </w:rPr>
        <w:t>’</w:t>
      </w:r>
      <w:r w:rsidRPr="005C2BF1">
        <w:rPr>
          <w:rFonts w:eastAsia="Malgun Gothic"/>
          <w:bCs/>
          <w:lang w:val="fr-FR"/>
        </w:rPr>
        <w:t>Organe d</w:t>
      </w:r>
      <w:r w:rsidR="00923E72">
        <w:rPr>
          <w:rFonts w:eastAsia="Malgun Gothic"/>
          <w:bCs/>
          <w:lang w:val="fr-FR"/>
        </w:rPr>
        <w:t>’</w:t>
      </w:r>
      <w:r w:rsidRPr="005C2BF1">
        <w:rPr>
          <w:rFonts w:eastAsia="Malgun Gothic"/>
          <w:bCs/>
          <w:lang w:val="fr-FR"/>
        </w:rPr>
        <w:t>évaluation avai</w:t>
      </w:r>
      <w:r>
        <w:rPr>
          <w:rFonts w:eastAsia="Malgun Gothic"/>
          <w:bCs/>
          <w:lang w:val="fr-FR"/>
        </w:rPr>
        <w:t xml:space="preserve">t </w:t>
      </w:r>
      <w:r w:rsidRPr="005C2BF1">
        <w:rPr>
          <w:rFonts w:eastAsia="Malgun Gothic"/>
          <w:bCs/>
          <w:lang w:val="fr-FR"/>
        </w:rPr>
        <w:t>souligné que le processus de dialogue ne pouvait pas être utilisé pour les dossiers manquant d</w:t>
      </w:r>
      <w:r w:rsidR="00923E72">
        <w:rPr>
          <w:rFonts w:eastAsia="Malgun Gothic"/>
          <w:bCs/>
          <w:lang w:val="fr-FR"/>
        </w:rPr>
        <w:t>’</w:t>
      </w:r>
      <w:r w:rsidRPr="005C2BF1">
        <w:rPr>
          <w:rFonts w:eastAsia="Malgun Gothic"/>
          <w:bCs/>
          <w:lang w:val="fr-FR"/>
        </w:rPr>
        <w:t xml:space="preserve">informations substantielles, car il était destiné à apporter des clarifications et non à fournir de nouvelles informations qui ne figuraient pas </w:t>
      </w:r>
      <w:r>
        <w:rPr>
          <w:rFonts w:eastAsia="Malgun Gothic"/>
          <w:bCs/>
          <w:lang w:val="fr-FR"/>
        </w:rPr>
        <w:t xml:space="preserve">initialement </w:t>
      </w:r>
      <w:r w:rsidRPr="005C2BF1">
        <w:rPr>
          <w:rFonts w:eastAsia="Malgun Gothic"/>
          <w:bCs/>
          <w:lang w:val="fr-FR"/>
        </w:rPr>
        <w:t>dans le dossier.</w:t>
      </w:r>
    </w:p>
    <w:p w14:paraId="1D5AE6B6" w14:textId="3061BF5A" w:rsidR="005C2BF1" w:rsidRDefault="005C2BF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C2BF1">
        <w:rPr>
          <w:rFonts w:eastAsia="Malgun Gothic"/>
          <w:bCs/>
          <w:lang w:val="fr-FR"/>
        </w:rPr>
        <w:t xml:space="preserve">Le </w:t>
      </w:r>
      <w:r w:rsidRPr="00702497">
        <w:rPr>
          <w:rFonts w:eastAsia="Malgun Gothic"/>
          <w:b/>
          <w:lang w:val="fr-FR"/>
        </w:rPr>
        <w:t>Rapporteur</w:t>
      </w:r>
      <w:r w:rsidRPr="005C2BF1">
        <w:rPr>
          <w:rFonts w:eastAsia="Malgun Gothic"/>
          <w:bCs/>
          <w:lang w:val="fr-FR"/>
        </w:rPr>
        <w:t xml:space="preserve"> a indiqué que le processus de dialogue avait été mis en œuvre pour onze dossiers, tous concernant des candidatures à la Liste représentative, et qu</w:t>
      </w:r>
      <w:r w:rsidR="00923E72">
        <w:rPr>
          <w:rFonts w:eastAsia="Malgun Gothic"/>
          <w:bCs/>
          <w:lang w:val="fr-FR"/>
        </w:rPr>
        <w:t>’</w:t>
      </w:r>
      <w:r w:rsidRPr="005C2BF1">
        <w:rPr>
          <w:rFonts w:eastAsia="Malgun Gothic"/>
          <w:bCs/>
          <w:lang w:val="fr-FR"/>
        </w:rPr>
        <w:t>un total de vingt</w:t>
      </w:r>
      <w:r>
        <w:rPr>
          <w:rFonts w:eastAsia="Malgun Gothic"/>
          <w:bCs/>
          <w:lang w:val="fr-FR"/>
        </w:rPr>
        <w:noBreakHyphen/>
      </w:r>
      <w:r w:rsidRPr="005C2BF1">
        <w:rPr>
          <w:rFonts w:eastAsia="Malgun Gothic"/>
          <w:bCs/>
          <w:lang w:val="fr-FR"/>
        </w:rPr>
        <w:t>cinq questions avaient été posées. Dans plusieurs dossiers multinationaux, les questions avaient été posées uniquement à des États spécifiques au sein du groupe d</w:t>
      </w:r>
      <w:r w:rsidR="00923E72">
        <w:rPr>
          <w:rFonts w:eastAsia="Malgun Gothic"/>
          <w:bCs/>
          <w:lang w:val="fr-FR"/>
        </w:rPr>
        <w:t>’</w:t>
      </w:r>
      <w:r w:rsidRPr="005C2BF1">
        <w:rPr>
          <w:rFonts w:eastAsia="Malgun Gothic"/>
          <w:bCs/>
          <w:lang w:val="fr-FR"/>
        </w:rPr>
        <w:t>États soumissionnaires, car les autres États soumissionnaires avaient communiqué suffisamment d</w:t>
      </w:r>
      <w:r w:rsidR="00923E72">
        <w:rPr>
          <w:rFonts w:eastAsia="Malgun Gothic"/>
          <w:bCs/>
          <w:lang w:val="fr-FR"/>
        </w:rPr>
        <w:t>’</w:t>
      </w:r>
      <w:r w:rsidRPr="005C2BF1">
        <w:rPr>
          <w:rFonts w:eastAsia="Malgun Gothic"/>
          <w:bCs/>
          <w:lang w:val="fr-FR"/>
        </w:rPr>
        <w:t>informations dans le dossier. Si la majorité des États soumissionnaires avaient tiré parti du processus de dialogue, deux dossiers n</w:t>
      </w:r>
      <w:r w:rsidR="00923E72">
        <w:rPr>
          <w:rFonts w:eastAsia="Malgun Gothic"/>
          <w:bCs/>
          <w:lang w:val="fr-FR"/>
        </w:rPr>
        <w:t>’</w:t>
      </w:r>
      <w:r w:rsidRPr="005C2BF1">
        <w:rPr>
          <w:rFonts w:eastAsia="Malgun Gothic"/>
          <w:bCs/>
          <w:lang w:val="fr-FR"/>
        </w:rPr>
        <w:t>avaient pas fourni suffisamment d</w:t>
      </w:r>
      <w:r w:rsidR="00923E72">
        <w:rPr>
          <w:rFonts w:eastAsia="Malgun Gothic"/>
          <w:bCs/>
          <w:lang w:val="fr-FR"/>
        </w:rPr>
        <w:t>’</w:t>
      </w:r>
      <w:r w:rsidRPr="005C2BF1">
        <w:rPr>
          <w:rFonts w:eastAsia="Malgun Gothic"/>
          <w:bCs/>
          <w:lang w:val="fr-FR"/>
        </w:rPr>
        <w:t>éclaircissements et il avait donc été recommandé de les renvoyer. Il en ressortait que</w:t>
      </w:r>
      <w:r w:rsidR="009A34A8">
        <w:rPr>
          <w:rFonts w:eastAsia="Malgun Gothic"/>
          <w:bCs/>
          <w:lang w:val="fr-FR"/>
        </w:rPr>
        <w:t> </w:t>
      </w:r>
      <w:r w:rsidRPr="005C2BF1">
        <w:rPr>
          <w:rFonts w:eastAsia="Malgun Gothic"/>
          <w:bCs/>
          <w:lang w:val="fr-FR"/>
        </w:rPr>
        <w:t>27</w:t>
      </w:r>
      <w:r w:rsidR="009B6A38">
        <w:rPr>
          <w:rFonts w:eastAsia="Malgun Gothic"/>
          <w:bCs/>
          <w:lang w:val="fr-FR"/>
        </w:rPr>
        <w:t> </w:t>
      </w:r>
      <w:r w:rsidRPr="005C2BF1">
        <w:rPr>
          <w:rFonts w:eastAsia="Malgun Gothic"/>
          <w:bCs/>
          <w:lang w:val="fr-FR"/>
        </w:rPr>
        <w:t>% des dossiers avaient fait l</w:t>
      </w:r>
      <w:r w:rsidR="00923E72">
        <w:rPr>
          <w:rFonts w:eastAsia="Malgun Gothic"/>
          <w:bCs/>
          <w:lang w:val="fr-FR"/>
        </w:rPr>
        <w:t>’</w:t>
      </w:r>
      <w:r w:rsidRPr="005C2BF1">
        <w:rPr>
          <w:rFonts w:eastAsia="Malgun Gothic"/>
          <w:bCs/>
          <w:lang w:val="fr-FR"/>
        </w:rPr>
        <w:t>objet d</w:t>
      </w:r>
      <w:r w:rsidR="00923E72">
        <w:rPr>
          <w:rFonts w:eastAsia="Malgun Gothic"/>
          <w:bCs/>
          <w:lang w:val="fr-FR"/>
        </w:rPr>
        <w:t>’</w:t>
      </w:r>
      <w:r w:rsidRPr="005C2BF1">
        <w:rPr>
          <w:rFonts w:eastAsia="Malgun Gothic"/>
          <w:bCs/>
          <w:lang w:val="fr-FR"/>
        </w:rPr>
        <w:t>une recommandation de renvoi et que</w:t>
      </w:r>
      <w:r w:rsidR="009A34A8">
        <w:rPr>
          <w:rFonts w:eastAsia="Malgun Gothic"/>
          <w:bCs/>
          <w:lang w:val="fr-FR"/>
        </w:rPr>
        <w:t> </w:t>
      </w:r>
      <w:r w:rsidRPr="005C2BF1">
        <w:rPr>
          <w:rFonts w:eastAsia="Malgun Gothic"/>
          <w:bCs/>
          <w:lang w:val="fr-FR"/>
        </w:rPr>
        <w:t>71</w:t>
      </w:r>
      <w:r w:rsidR="009B6A38">
        <w:rPr>
          <w:rFonts w:eastAsia="Malgun Gothic"/>
          <w:bCs/>
          <w:lang w:val="fr-FR"/>
        </w:rPr>
        <w:t> </w:t>
      </w:r>
      <w:r w:rsidRPr="005C2BF1">
        <w:rPr>
          <w:rFonts w:eastAsia="Malgun Gothic"/>
          <w:bCs/>
          <w:lang w:val="fr-FR"/>
        </w:rPr>
        <w:t>% des dossiers avaient fait l</w:t>
      </w:r>
      <w:r w:rsidR="00923E72">
        <w:rPr>
          <w:rFonts w:eastAsia="Malgun Gothic"/>
          <w:bCs/>
          <w:lang w:val="fr-FR"/>
        </w:rPr>
        <w:t>’</w:t>
      </w:r>
      <w:r w:rsidRPr="005C2BF1">
        <w:rPr>
          <w:rFonts w:eastAsia="Malgun Gothic"/>
          <w:bCs/>
          <w:lang w:val="fr-FR"/>
        </w:rPr>
        <w:t>objet d</w:t>
      </w:r>
      <w:r w:rsidR="00923E72">
        <w:rPr>
          <w:rFonts w:eastAsia="Malgun Gothic"/>
          <w:bCs/>
          <w:lang w:val="fr-FR"/>
        </w:rPr>
        <w:t>’</w:t>
      </w:r>
      <w:r w:rsidRPr="005C2BF1">
        <w:rPr>
          <w:rFonts w:eastAsia="Malgun Gothic"/>
          <w:bCs/>
          <w:lang w:val="fr-FR"/>
        </w:rPr>
        <w:t>une recommandation d</w:t>
      </w:r>
      <w:r w:rsidR="00923E72">
        <w:rPr>
          <w:rFonts w:eastAsia="Malgun Gothic"/>
          <w:bCs/>
          <w:lang w:val="fr-FR"/>
        </w:rPr>
        <w:t>’</w:t>
      </w:r>
      <w:r w:rsidRPr="005C2BF1">
        <w:rPr>
          <w:rFonts w:eastAsia="Malgun Gothic"/>
          <w:bCs/>
          <w:lang w:val="fr-FR"/>
        </w:rPr>
        <w:t>inscription sur la Liste de sauvegarde urgente ou sur la Liste représentative, d</w:t>
      </w:r>
      <w:r w:rsidR="00923E72">
        <w:rPr>
          <w:rFonts w:eastAsia="Malgun Gothic"/>
          <w:bCs/>
          <w:lang w:val="fr-FR"/>
        </w:rPr>
        <w:t>’</w:t>
      </w:r>
      <w:r w:rsidRPr="005C2BF1">
        <w:rPr>
          <w:rFonts w:eastAsia="Malgun Gothic"/>
          <w:bCs/>
          <w:lang w:val="fr-FR"/>
        </w:rPr>
        <w:t>une sélection dans le Registre des bonnes pratiques de sauvegarde ou d</w:t>
      </w:r>
      <w:r w:rsidR="00923E72">
        <w:rPr>
          <w:rFonts w:eastAsia="Malgun Gothic"/>
          <w:bCs/>
          <w:lang w:val="fr-FR"/>
        </w:rPr>
        <w:t>’</w:t>
      </w:r>
      <w:r w:rsidRPr="005C2BF1">
        <w:rPr>
          <w:rFonts w:eastAsia="Malgun Gothic"/>
          <w:bCs/>
          <w:lang w:val="fr-FR"/>
        </w:rPr>
        <w:t>une approbation de l</w:t>
      </w:r>
      <w:r w:rsidR="00923E72">
        <w:rPr>
          <w:rFonts w:eastAsia="Malgun Gothic"/>
          <w:bCs/>
          <w:lang w:val="fr-FR"/>
        </w:rPr>
        <w:t>’</w:t>
      </w:r>
      <w:r w:rsidRPr="005C2BF1">
        <w:rPr>
          <w:rFonts w:eastAsia="Malgun Gothic"/>
          <w:bCs/>
          <w:lang w:val="fr-FR"/>
        </w:rPr>
        <w:t>assistance internationale (voir page</w:t>
      </w:r>
      <w:r w:rsidR="004A1E04">
        <w:rPr>
          <w:rFonts w:eastAsia="Malgun Gothic"/>
          <w:bCs/>
          <w:lang w:val="fr-FR"/>
        </w:rPr>
        <w:t> </w:t>
      </w:r>
      <w:r w:rsidRPr="005C2BF1">
        <w:rPr>
          <w:rFonts w:eastAsia="Malgun Gothic"/>
          <w:bCs/>
          <w:lang w:val="fr-FR"/>
        </w:rPr>
        <w:t>7 du document de travail). L</w:t>
      </w:r>
      <w:r w:rsidR="00923E72">
        <w:rPr>
          <w:rFonts w:eastAsia="Malgun Gothic"/>
          <w:bCs/>
          <w:lang w:val="fr-FR"/>
        </w:rPr>
        <w:t>’</w:t>
      </w:r>
      <w:r w:rsidR="004A1E04">
        <w:rPr>
          <w:rFonts w:eastAsia="Malgun Gothic"/>
          <w:bCs/>
          <w:lang w:val="fr-FR"/>
        </w:rPr>
        <w:t>O</w:t>
      </w:r>
      <w:r w:rsidRPr="005C2BF1">
        <w:rPr>
          <w:rFonts w:eastAsia="Malgun Gothic"/>
          <w:bCs/>
          <w:lang w:val="fr-FR"/>
        </w:rPr>
        <w:t>rgane était parvenu à un consensus sur tous les dossiers, à l</w:t>
      </w:r>
      <w:r w:rsidR="00923E72">
        <w:rPr>
          <w:rFonts w:eastAsia="Malgun Gothic"/>
          <w:bCs/>
          <w:lang w:val="fr-FR"/>
        </w:rPr>
        <w:t>’</w:t>
      </w:r>
      <w:r w:rsidRPr="005C2BF1">
        <w:rPr>
          <w:rFonts w:eastAsia="Malgun Gothic"/>
          <w:bCs/>
          <w:lang w:val="fr-FR"/>
        </w:rPr>
        <w:t>exception du dossier</w:t>
      </w:r>
      <w:r w:rsidR="004A1E04">
        <w:rPr>
          <w:rFonts w:eastAsia="Malgun Gothic"/>
          <w:bCs/>
          <w:lang w:val="fr-FR"/>
        </w:rPr>
        <w:t xml:space="preserve"> « L</w:t>
      </w:r>
      <w:r w:rsidR="009B6A38">
        <w:rPr>
          <w:rFonts w:eastAsia="Malgun Gothic"/>
          <w:bCs/>
          <w:lang w:val="fr-FR"/>
        </w:rPr>
        <w:t>a d</w:t>
      </w:r>
      <w:r w:rsidRPr="005C2BF1">
        <w:rPr>
          <w:rFonts w:eastAsia="Malgun Gothic"/>
          <w:bCs/>
          <w:lang w:val="fr-FR"/>
        </w:rPr>
        <w:t xml:space="preserve">anse moderne en </w:t>
      </w:r>
      <w:r w:rsidR="004A1E04">
        <w:rPr>
          <w:rFonts w:eastAsia="Malgun Gothic"/>
          <w:bCs/>
          <w:lang w:val="fr-FR"/>
        </w:rPr>
        <w:t>Allemagne »</w:t>
      </w:r>
      <w:r w:rsidRPr="005C2BF1">
        <w:rPr>
          <w:rFonts w:eastAsia="Malgun Gothic"/>
          <w:bCs/>
          <w:lang w:val="fr-FR"/>
        </w:rPr>
        <w:t>. Après un long débat, l</w:t>
      </w:r>
      <w:r w:rsidR="00923E72">
        <w:rPr>
          <w:rFonts w:eastAsia="Malgun Gothic"/>
          <w:bCs/>
          <w:lang w:val="fr-FR"/>
        </w:rPr>
        <w:t>’</w:t>
      </w:r>
      <w:r w:rsidRPr="005C2BF1">
        <w:rPr>
          <w:rFonts w:eastAsia="Malgun Gothic"/>
          <w:bCs/>
          <w:lang w:val="fr-FR"/>
        </w:rPr>
        <w:t xml:space="preserve">Organe </w:t>
      </w:r>
      <w:r w:rsidR="009B6A38">
        <w:rPr>
          <w:rFonts w:eastAsia="Malgun Gothic"/>
          <w:bCs/>
          <w:lang w:val="fr-FR"/>
        </w:rPr>
        <w:t>s</w:t>
      </w:r>
      <w:r w:rsidR="00923E72">
        <w:rPr>
          <w:rFonts w:eastAsia="Malgun Gothic"/>
          <w:bCs/>
          <w:lang w:val="fr-FR"/>
        </w:rPr>
        <w:t>’</w:t>
      </w:r>
      <w:r w:rsidR="009B6A38">
        <w:rPr>
          <w:rFonts w:eastAsia="Malgun Gothic"/>
          <w:bCs/>
          <w:lang w:val="fr-FR"/>
        </w:rPr>
        <w:t xml:space="preserve">était retrouvé </w:t>
      </w:r>
      <w:r w:rsidRPr="005C2BF1">
        <w:rPr>
          <w:rFonts w:eastAsia="Malgun Gothic"/>
          <w:bCs/>
          <w:lang w:val="fr-FR"/>
        </w:rPr>
        <w:t>divisé dans son évaluation du dossier, six membres recommandant l</w:t>
      </w:r>
      <w:r w:rsidR="00923E72">
        <w:rPr>
          <w:rFonts w:eastAsia="Malgun Gothic"/>
          <w:bCs/>
          <w:lang w:val="fr-FR"/>
        </w:rPr>
        <w:t>’</w:t>
      </w:r>
      <w:r w:rsidRPr="005C2BF1">
        <w:rPr>
          <w:rFonts w:eastAsia="Malgun Gothic"/>
          <w:bCs/>
          <w:lang w:val="fr-FR"/>
        </w:rPr>
        <w:t>inscription de l</w:t>
      </w:r>
      <w:r w:rsidR="00923E72">
        <w:rPr>
          <w:rFonts w:eastAsia="Malgun Gothic"/>
          <w:bCs/>
          <w:lang w:val="fr-FR"/>
        </w:rPr>
        <w:t>’</w:t>
      </w:r>
      <w:r w:rsidRPr="005C2BF1">
        <w:rPr>
          <w:rFonts w:eastAsia="Malgun Gothic"/>
          <w:bCs/>
          <w:lang w:val="fr-FR"/>
        </w:rPr>
        <w:t xml:space="preserve">élément et les six </w:t>
      </w:r>
      <w:r w:rsidR="004A5560">
        <w:rPr>
          <w:rFonts w:eastAsia="Malgun Gothic"/>
          <w:bCs/>
          <w:lang w:val="fr-FR"/>
        </w:rPr>
        <w:t xml:space="preserve">autres </w:t>
      </w:r>
      <w:r w:rsidRPr="005C2BF1">
        <w:rPr>
          <w:rFonts w:eastAsia="Malgun Gothic"/>
          <w:bCs/>
          <w:lang w:val="fr-FR"/>
        </w:rPr>
        <w:t>membres recommandant de ne pas inscrire l</w:t>
      </w:r>
      <w:r w:rsidR="00923E72">
        <w:rPr>
          <w:rFonts w:eastAsia="Malgun Gothic"/>
          <w:bCs/>
          <w:lang w:val="fr-FR"/>
        </w:rPr>
        <w:t>’</w:t>
      </w:r>
      <w:r w:rsidRPr="005C2BF1">
        <w:rPr>
          <w:rFonts w:eastAsia="Malgun Gothic"/>
          <w:bCs/>
          <w:lang w:val="fr-FR"/>
        </w:rPr>
        <w:t>élément. Compte tenu de cette division, l</w:t>
      </w:r>
      <w:r w:rsidR="00923E72">
        <w:rPr>
          <w:rFonts w:eastAsia="Malgun Gothic"/>
          <w:bCs/>
          <w:lang w:val="fr-FR"/>
        </w:rPr>
        <w:t>’</w:t>
      </w:r>
      <w:r w:rsidRPr="005C2BF1">
        <w:rPr>
          <w:rFonts w:eastAsia="Malgun Gothic"/>
          <w:bCs/>
          <w:lang w:val="fr-FR"/>
        </w:rPr>
        <w:t>Organe avait décidé de présenter au Comité un projet de décision comportant deux options, oui et non. Ce dossier serait approfondi plus tard au cours de la session. L</w:t>
      </w:r>
      <w:r w:rsidR="00923E72">
        <w:rPr>
          <w:rFonts w:eastAsia="Malgun Gothic"/>
          <w:bCs/>
          <w:lang w:val="fr-FR"/>
        </w:rPr>
        <w:t>’</w:t>
      </w:r>
      <w:r w:rsidRPr="005C2BF1">
        <w:rPr>
          <w:rFonts w:eastAsia="Malgun Gothic"/>
          <w:bCs/>
          <w:lang w:val="fr-FR"/>
        </w:rPr>
        <w:t>Organe d</w:t>
      </w:r>
      <w:r w:rsidR="00923E72">
        <w:rPr>
          <w:rFonts w:eastAsia="Malgun Gothic"/>
          <w:bCs/>
          <w:lang w:val="fr-FR"/>
        </w:rPr>
        <w:t>’</w:t>
      </w:r>
      <w:r w:rsidRPr="005C2BF1">
        <w:rPr>
          <w:rFonts w:eastAsia="Malgun Gothic"/>
          <w:bCs/>
          <w:lang w:val="fr-FR"/>
        </w:rPr>
        <w:t xml:space="preserve">évaluation félicitait les nombreuses communautés, groupes et individus dont le patrimoine </w:t>
      </w:r>
      <w:r w:rsidRPr="005C2BF1">
        <w:rPr>
          <w:rFonts w:eastAsia="Malgun Gothic"/>
          <w:bCs/>
          <w:lang w:val="fr-FR"/>
        </w:rPr>
        <w:lastRenderedPageBreak/>
        <w:t>culturel immatériel avait été proposé ainsi que les États parties qui avaient soumis des candidatures pleinement conformes aux critères énoncés dans les Directives opérationnelles. Au cours de ce cycle, l</w:t>
      </w:r>
      <w:r w:rsidR="00923E72">
        <w:rPr>
          <w:rFonts w:eastAsia="Malgun Gothic"/>
          <w:bCs/>
          <w:lang w:val="fr-FR"/>
        </w:rPr>
        <w:t>’</w:t>
      </w:r>
      <w:r w:rsidRPr="005C2BF1">
        <w:rPr>
          <w:rFonts w:eastAsia="Malgun Gothic"/>
          <w:bCs/>
          <w:lang w:val="fr-FR"/>
        </w:rPr>
        <w:t>Organe avait remarqué l</w:t>
      </w:r>
      <w:r w:rsidR="00923E72">
        <w:rPr>
          <w:rFonts w:eastAsia="Malgun Gothic"/>
          <w:bCs/>
          <w:lang w:val="fr-FR"/>
        </w:rPr>
        <w:t>’</w:t>
      </w:r>
      <w:r w:rsidRPr="005C2BF1">
        <w:rPr>
          <w:rFonts w:eastAsia="Malgun Gothic"/>
          <w:bCs/>
          <w:lang w:val="fr-FR"/>
        </w:rPr>
        <w:t>augmentation du nombre de bons exemples et de dossiers bien rédigés</w:t>
      </w:r>
      <w:r w:rsidR="00E74D3E">
        <w:rPr>
          <w:rFonts w:eastAsia="Malgun Gothic"/>
          <w:bCs/>
          <w:lang w:val="fr-FR"/>
        </w:rPr>
        <w:t xml:space="preserve"> </w:t>
      </w:r>
      <w:r w:rsidRPr="005C2BF1">
        <w:rPr>
          <w:rFonts w:eastAsia="Malgun Gothic"/>
          <w:bCs/>
          <w:lang w:val="fr-FR"/>
        </w:rPr>
        <w:t>ainsi que la haute qualité des dossiers en général. L</w:t>
      </w:r>
      <w:r w:rsidR="00923E72">
        <w:rPr>
          <w:rFonts w:eastAsia="Malgun Gothic"/>
          <w:bCs/>
          <w:lang w:val="fr-FR"/>
        </w:rPr>
        <w:t>’</w:t>
      </w:r>
      <w:r w:rsidRPr="005C2BF1">
        <w:rPr>
          <w:rFonts w:eastAsia="Malgun Gothic"/>
          <w:bCs/>
          <w:lang w:val="fr-FR"/>
        </w:rPr>
        <w:t>Organe d</w:t>
      </w:r>
      <w:r w:rsidR="00923E72">
        <w:rPr>
          <w:rFonts w:eastAsia="Malgun Gothic"/>
          <w:bCs/>
          <w:lang w:val="fr-FR"/>
        </w:rPr>
        <w:t>’</w:t>
      </w:r>
      <w:r w:rsidRPr="005C2BF1">
        <w:rPr>
          <w:rFonts w:eastAsia="Malgun Gothic"/>
          <w:bCs/>
          <w:lang w:val="fr-FR"/>
        </w:rPr>
        <w:t>évaluation avait également noté avec satisfaction que quatre dossiers précédemment soumis avaient été recommandés pour inscription au cours de ce cycle. Les États soumissionnaires avaient pris note des commentaires précédents de l</w:t>
      </w:r>
      <w:r w:rsidR="00923E72">
        <w:rPr>
          <w:rFonts w:eastAsia="Malgun Gothic"/>
          <w:bCs/>
          <w:lang w:val="fr-FR"/>
        </w:rPr>
        <w:t>’</w:t>
      </w:r>
      <w:r w:rsidRPr="005C2BF1">
        <w:rPr>
          <w:rFonts w:eastAsia="Malgun Gothic"/>
          <w:bCs/>
          <w:lang w:val="fr-FR"/>
        </w:rPr>
        <w:t>Organe et soumis à nouveau les dossiers qui avaient été notablement améliorés.</w:t>
      </w:r>
    </w:p>
    <w:p w14:paraId="18BC323D" w14:textId="7AD2142F" w:rsidR="003A69C4" w:rsidRDefault="00576F8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76F88">
        <w:rPr>
          <w:rFonts w:eastAsia="Malgun Gothic"/>
          <w:bCs/>
          <w:lang w:val="fr-FR"/>
        </w:rPr>
        <w:t xml:space="preserve">Le </w:t>
      </w:r>
      <w:r w:rsidRPr="00702497">
        <w:rPr>
          <w:rFonts w:eastAsia="Malgun Gothic"/>
          <w:b/>
          <w:lang w:val="fr-FR"/>
        </w:rPr>
        <w:t>Rapporteur</w:t>
      </w:r>
      <w:r w:rsidRPr="00576F88">
        <w:rPr>
          <w:rFonts w:eastAsia="Malgun Gothic"/>
          <w:bCs/>
          <w:lang w:val="fr-FR"/>
        </w:rPr>
        <w:t xml:space="preserve"> a noté que l</w:t>
      </w:r>
      <w:r w:rsidR="00923E72">
        <w:rPr>
          <w:rFonts w:eastAsia="Malgun Gothic"/>
          <w:bCs/>
          <w:lang w:val="fr-FR"/>
        </w:rPr>
        <w:t>’</w:t>
      </w:r>
      <w:r w:rsidRPr="00576F88">
        <w:rPr>
          <w:rFonts w:eastAsia="Malgun Gothic"/>
          <w:bCs/>
          <w:lang w:val="fr-FR"/>
        </w:rPr>
        <w:t xml:space="preserve">un des aspects les plus marquants de ce cycle était le lien entre </w:t>
      </w:r>
      <w:r w:rsidRPr="006E3034">
        <w:rPr>
          <w:rFonts w:eastAsia="Malgun Gothic"/>
          <w:bCs/>
          <w:lang w:val="fr-FR"/>
        </w:rPr>
        <w:t>le patrimoine culturel immatériel et la durabilité environnementale</w:t>
      </w:r>
      <w:r w:rsidRPr="009B4E71">
        <w:rPr>
          <w:rFonts w:eastAsia="Malgun Gothic"/>
          <w:bCs/>
          <w:lang w:val="fr-FR"/>
        </w:rPr>
        <w:t xml:space="preserve">. </w:t>
      </w:r>
      <w:r w:rsidRPr="00576F88">
        <w:rPr>
          <w:rFonts w:eastAsia="Malgun Gothic"/>
          <w:bCs/>
          <w:lang w:val="fr-FR"/>
        </w:rPr>
        <w:t>L</w:t>
      </w:r>
      <w:r w:rsidR="00923E72">
        <w:rPr>
          <w:rFonts w:eastAsia="Malgun Gothic"/>
          <w:bCs/>
          <w:lang w:val="fr-FR"/>
        </w:rPr>
        <w:t>’</w:t>
      </w:r>
      <w:r w:rsidRPr="00576F88">
        <w:rPr>
          <w:rFonts w:eastAsia="Malgun Gothic"/>
          <w:bCs/>
          <w:lang w:val="fr-FR"/>
        </w:rPr>
        <w:t>Organe d</w:t>
      </w:r>
      <w:r w:rsidR="00923E72">
        <w:rPr>
          <w:rFonts w:eastAsia="Malgun Gothic"/>
          <w:bCs/>
          <w:lang w:val="fr-FR"/>
        </w:rPr>
        <w:t>’</w:t>
      </w:r>
      <w:r w:rsidRPr="00576F88">
        <w:rPr>
          <w:rFonts w:eastAsia="Malgun Gothic"/>
          <w:bCs/>
          <w:lang w:val="fr-FR"/>
        </w:rPr>
        <w:t>évaluation a</w:t>
      </w:r>
      <w:r w:rsidR="000E1EF6">
        <w:rPr>
          <w:rFonts w:eastAsia="Malgun Gothic"/>
          <w:bCs/>
          <w:lang w:val="fr-FR"/>
        </w:rPr>
        <w:t>vait</w:t>
      </w:r>
      <w:r w:rsidRPr="00576F88">
        <w:rPr>
          <w:rFonts w:eastAsia="Malgun Gothic"/>
          <w:bCs/>
          <w:lang w:val="fr-FR"/>
        </w:rPr>
        <w:t xml:space="preserve"> décrit les candidatures de cette année comme un </w:t>
      </w:r>
      <w:r>
        <w:rPr>
          <w:rFonts w:eastAsia="Malgun Gothic"/>
          <w:bCs/>
          <w:lang w:val="fr-FR"/>
        </w:rPr>
        <w:t>« </w:t>
      </w:r>
      <w:r w:rsidRPr="00576F88">
        <w:rPr>
          <w:rFonts w:eastAsia="Malgun Gothic"/>
          <w:bCs/>
          <w:lang w:val="fr-FR"/>
        </w:rPr>
        <w:t>cycle vert</w:t>
      </w:r>
      <w:r>
        <w:rPr>
          <w:rFonts w:eastAsia="Malgun Gothic"/>
          <w:bCs/>
          <w:lang w:val="fr-FR"/>
        </w:rPr>
        <w:t> »</w:t>
      </w:r>
      <w:r w:rsidR="004A1E04">
        <w:rPr>
          <w:rFonts w:eastAsia="Malgun Gothic"/>
          <w:bCs/>
          <w:lang w:val="fr-FR"/>
        </w:rPr>
        <w:t>,</w:t>
      </w:r>
      <w:r w:rsidRPr="00576F88">
        <w:rPr>
          <w:rFonts w:eastAsia="Malgun Gothic"/>
          <w:bCs/>
          <w:lang w:val="fr-FR"/>
        </w:rPr>
        <w:t xml:space="preserve"> car dix-neuf candidatures avaient démontré des liens positifs entre le patrimoine culturel immatériel et l</w:t>
      </w:r>
      <w:r w:rsidR="00923E72">
        <w:rPr>
          <w:rFonts w:eastAsia="Malgun Gothic"/>
          <w:bCs/>
          <w:lang w:val="fr-FR"/>
        </w:rPr>
        <w:t>’</w:t>
      </w:r>
      <w:r w:rsidRPr="00576F88">
        <w:rPr>
          <w:rFonts w:eastAsia="Malgun Gothic"/>
          <w:bCs/>
          <w:lang w:val="fr-FR"/>
        </w:rPr>
        <w:t>environnement. Parmi les exemples de ces liens, on pouvait citer les pratiques agricoles durables du point de vue environnemental, l</w:t>
      </w:r>
      <w:r w:rsidR="00923E72">
        <w:rPr>
          <w:rFonts w:eastAsia="Malgun Gothic"/>
          <w:bCs/>
          <w:lang w:val="fr-FR"/>
        </w:rPr>
        <w:t>’</w:t>
      </w:r>
      <w:r w:rsidRPr="00576F88">
        <w:rPr>
          <w:rFonts w:eastAsia="Malgun Gothic"/>
          <w:bCs/>
          <w:lang w:val="fr-FR"/>
        </w:rPr>
        <w:t>utilisation durable des matériaux naturels, la sensibilisation à la diversité bioculturelle, les connaissances autochtones traditionnelles concernant la nature et les relations avec les animaux. Il s</w:t>
      </w:r>
      <w:r w:rsidR="00923E72">
        <w:rPr>
          <w:rFonts w:eastAsia="Malgun Gothic"/>
          <w:bCs/>
          <w:lang w:val="fr-FR"/>
        </w:rPr>
        <w:t>’</w:t>
      </w:r>
      <w:r w:rsidRPr="00576F88">
        <w:rPr>
          <w:rFonts w:eastAsia="Malgun Gothic"/>
          <w:bCs/>
          <w:lang w:val="fr-FR"/>
        </w:rPr>
        <w:t>agissait là d</w:t>
      </w:r>
      <w:r w:rsidR="00923E72">
        <w:rPr>
          <w:rFonts w:eastAsia="Malgun Gothic"/>
          <w:bCs/>
          <w:lang w:val="fr-FR"/>
        </w:rPr>
        <w:t>’</w:t>
      </w:r>
      <w:r w:rsidRPr="00576F88">
        <w:rPr>
          <w:rFonts w:eastAsia="Malgun Gothic"/>
          <w:bCs/>
          <w:lang w:val="fr-FR"/>
        </w:rPr>
        <w:t>une évolution importante et d</w:t>
      </w:r>
      <w:r w:rsidR="00923E72">
        <w:rPr>
          <w:rFonts w:eastAsia="Malgun Gothic"/>
          <w:bCs/>
          <w:lang w:val="fr-FR"/>
        </w:rPr>
        <w:t>’</w:t>
      </w:r>
      <w:r w:rsidRPr="00576F88">
        <w:rPr>
          <w:rFonts w:eastAsia="Malgun Gothic"/>
          <w:bCs/>
          <w:lang w:val="fr-FR"/>
        </w:rPr>
        <w:t>un des domaines sur lesquels le Comité devait continuer à concentrer son attention, étant donné que bon nombre des problèmes environnementaux auxquels le monde était désormais confronté étaient liés à notre compréhension du monde vivant et de la nature et à la relation que nous entretenions avec eux. En sauvegardant ces pratiques du patrimoine vivant qui célèbrent et respectent l</w:t>
      </w:r>
      <w:r w:rsidR="00923E72">
        <w:rPr>
          <w:rFonts w:eastAsia="Malgun Gothic"/>
          <w:bCs/>
          <w:lang w:val="fr-FR"/>
        </w:rPr>
        <w:t>’</w:t>
      </w:r>
      <w:r w:rsidRPr="00576F88">
        <w:rPr>
          <w:rFonts w:eastAsia="Malgun Gothic"/>
          <w:bCs/>
          <w:lang w:val="fr-FR"/>
        </w:rPr>
        <w:t>environnement naturel, nous favorisions également le repositionnement et, dans certains cas, la reconquête de nos propres attitudes culturelles à l</w:t>
      </w:r>
      <w:r w:rsidR="00923E72">
        <w:rPr>
          <w:rFonts w:eastAsia="Malgun Gothic"/>
          <w:bCs/>
          <w:lang w:val="fr-FR"/>
        </w:rPr>
        <w:t>’</w:t>
      </w:r>
      <w:r w:rsidRPr="00576F88">
        <w:rPr>
          <w:rFonts w:eastAsia="Malgun Gothic"/>
          <w:bCs/>
          <w:lang w:val="fr-FR"/>
        </w:rPr>
        <w:t>égard de l</w:t>
      </w:r>
      <w:r w:rsidR="00923E72">
        <w:rPr>
          <w:rFonts w:eastAsia="Malgun Gothic"/>
          <w:bCs/>
          <w:lang w:val="fr-FR"/>
        </w:rPr>
        <w:t>’</w:t>
      </w:r>
      <w:r w:rsidRPr="00576F88">
        <w:rPr>
          <w:rFonts w:eastAsia="Malgun Gothic"/>
          <w:bCs/>
          <w:lang w:val="fr-FR"/>
        </w:rPr>
        <w:t xml:space="preserve">environnement. Un autre point fort de ce cycle était le nombre élevé de </w:t>
      </w:r>
      <w:r w:rsidRPr="006E3034">
        <w:rPr>
          <w:rFonts w:eastAsia="Malgun Gothic"/>
          <w:bCs/>
          <w:lang w:val="fr-FR"/>
        </w:rPr>
        <w:t>dossiers multinationaux</w:t>
      </w:r>
      <w:r w:rsidRPr="00576F88">
        <w:rPr>
          <w:rFonts w:eastAsia="Malgun Gothic"/>
          <w:bCs/>
          <w:lang w:val="fr-FR"/>
        </w:rPr>
        <w:t>. L</w:t>
      </w:r>
      <w:r w:rsidR="00923E72">
        <w:rPr>
          <w:rFonts w:eastAsia="Malgun Gothic"/>
          <w:bCs/>
          <w:lang w:val="fr-FR"/>
        </w:rPr>
        <w:t>’</w:t>
      </w:r>
      <w:r w:rsidRPr="00576F88">
        <w:rPr>
          <w:rFonts w:eastAsia="Malgun Gothic"/>
          <w:bCs/>
          <w:lang w:val="fr-FR"/>
        </w:rPr>
        <w:t>Organe d</w:t>
      </w:r>
      <w:r w:rsidR="00923E72">
        <w:rPr>
          <w:rFonts w:eastAsia="Malgun Gothic"/>
          <w:bCs/>
          <w:lang w:val="fr-FR"/>
        </w:rPr>
        <w:t>’</w:t>
      </w:r>
      <w:r w:rsidRPr="00576F88">
        <w:rPr>
          <w:rFonts w:eastAsia="Malgun Gothic"/>
          <w:bCs/>
          <w:lang w:val="fr-FR"/>
        </w:rPr>
        <w:t>évaluation avait eu le plaisir d</w:t>
      </w:r>
      <w:r w:rsidR="00923E72">
        <w:rPr>
          <w:rFonts w:eastAsia="Malgun Gothic"/>
          <w:bCs/>
          <w:lang w:val="fr-FR"/>
        </w:rPr>
        <w:t>’</w:t>
      </w:r>
      <w:r w:rsidRPr="00576F88">
        <w:rPr>
          <w:rFonts w:eastAsia="Malgun Gothic"/>
          <w:bCs/>
          <w:lang w:val="fr-FR"/>
        </w:rPr>
        <w:t xml:space="preserve">examiner quatorze dossiers multinationaux, ce qui était </w:t>
      </w:r>
      <w:r>
        <w:rPr>
          <w:rFonts w:eastAsia="Malgun Gothic"/>
          <w:bCs/>
          <w:lang w:val="fr-FR"/>
        </w:rPr>
        <w:t xml:space="preserve">un chiffre </w:t>
      </w:r>
      <w:r w:rsidRPr="00576F88">
        <w:rPr>
          <w:rFonts w:eastAsia="Malgun Gothic"/>
          <w:bCs/>
          <w:lang w:val="fr-FR"/>
        </w:rPr>
        <w:t>plus élevé que lors du cycle précédent, soulignant la capacité accrue des États parties à coordonner de tels dossiers ainsi qu</w:t>
      </w:r>
      <w:r w:rsidR="00923E72">
        <w:rPr>
          <w:rFonts w:eastAsia="Malgun Gothic"/>
          <w:bCs/>
          <w:lang w:val="fr-FR"/>
        </w:rPr>
        <w:t>’</w:t>
      </w:r>
      <w:r w:rsidRPr="00576F88">
        <w:rPr>
          <w:rFonts w:eastAsia="Malgun Gothic"/>
          <w:bCs/>
          <w:lang w:val="fr-FR"/>
        </w:rPr>
        <w:t>un intérêt croissant pour la sauvegarde du patrimoine culturel immatériel partagé. Ces candidatures favorisaient la coopération mutuelle entre les pays et encourageaient le dialogue et le respect entre les différentes communautés des États soumissionnaires. De nombreuses candidatures multinationales proposaient également des mesures de sauvegarde conjointes, et il était encourageant de constater les collaborations entre les communautés et les États soumissionnaires, ces efforts se poursuivant après l</w:t>
      </w:r>
      <w:r w:rsidR="00923E72">
        <w:rPr>
          <w:rFonts w:eastAsia="Malgun Gothic"/>
          <w:bCs/>
          <w:lang w:val="fr-FR"/>
        </w:rPr>
        <w:t>’</w:t>
      </w:r>
      <w:r w:rsidRPr="00576F88">
        <w:rPr>
          <w:rFonts w:eastAsia="Malgun Gothic"/>
          <w:bCs/>
          <w:lang w:val="fr-FR"/>
        </w:rPr>
        <w:t>inscription des éléments. L</w:t>
      </w:r>
      <w:r w:rsidR="00923E72">
        <w:rPr>
          <w:rFonts w:eastAsia="Malgun Gothic"/>
          <w:bCs/>
          <w:lang w:val="fr-FR"/>
        </w:rPr>
        <w:t>’</w:t>
      </w:r>
      <w:r w:rsidRPr="00576F88">
        <w:rPr>
          <w:rFonts w:eastAsia="Malgun Gothic"/>
          <w:bCs/>
          <w:lang w:val="fr-FR"/>
        </w:rPr>
        <w:t>Organe reconnaissait la complexité de la préparation des candidatures multinationales et saluait les efforts déployés par les États soumissionnaires. En même temps, l</w:t>
      </w:r>
      <w:r w:rsidR="00923E72">
        <w:rPr>
          <w:rFonts w:eastAsia="Malgun Gothic"/>
          <w:bCs/>
          <w:lang w:val="fr-FR"/>
        </w:rPr>
        <w:t>’</w:t>
      </w:r>
      <w:r w:rsidRPr="00576F88">
        <w:rPr>
          <w:rFonts w:eastAsia="Malgun Gothic"/>
          <w:bCs/>
          <w:lang w:val="fr-FR"/>
        </w:rPr>
        <w:t>Organe avait souligné certaines de ses observations. Dans plusieurs cas, les informations communiquées par chaque État étaient différentes et les dossiers ne parvenaient pas à mettre en évidence la nature commune des éléments entre les États soumissionnaires. L</w:t>
      </w:r>
      <w:r w:rsidR="00923E72">
        <w:rPr>
          <w:rFonts w:eastAsia="Malgun Gothic"/>
          <w:bCs/>
          <w:lang w:val="fr-FR"/>
        </w:rPr>
        <w:t>’</w:t>
      </w:r>
      <w:r w:rsidRPr="00576F88">
        <w:rPr>
          <w:rFonts w:eastAsia="Malgun Gothic"/>
          <w:bCs/>
          <w:lang w:val="fr-FR"/>
        </w:rPr>
        <w:t>Organe recommandait que les dossiers multinationaux mettent en évidence</w:t>
      </w:r>
      <w:r w:rsidR="00757E98">
        <w:rPr>
          <w:rFonts w:eastAsia="Malgun Gothic"/>
          <w:bCs/>
          <w:lang w:val="fr-FR"/>
        </w:rPr>
        <w:t xml:space="preserve">, </w:t>
      </w:r>
      <w:r w:rsidR="00757E98" w:rsidRPr="00576F88">
        <w:rPr>
          <w:rFonts w:eastAsia="Malgun Gothic"/>
          <w:bCs/>
          <w:lang w:val="fr-FR"/>
        </w:rPr>
        <w:t>dans la mesure du possible</w:t>
      </w:r>
      <w:r w:rsidR="00757E98">
        <w:rPr>
          <w:rFonts w:eastAsia="Malgun Gothic"/>
          <w:bCs/>
          <w:lang w:val="fr-FR"/>
        </w:rPr>
        <w:t>,</w:t>
      </w:r>
      <w:r w:rsidRPr="00576F88">
        <w:rPr>
          <w:rFonts w:eastAsia="Malgun Gothic"/>
          <w:bCs/>
          <w:lang w:val="fr-FR"/>
        </w:rPr>
        <w:t xml:space="preserve"> les pratiques et les caractéristiques communes de l</w:t>
      </w:r>
      <w:r w:rsidR="00923E72">
        <w:rPr>
          <w:rFonts w:eastAsia="Malgun Gothic"/>
          <w:bCs/>
          <w:lang w:val="fr-FR"/>
        </w:rPr>
        <w:t>’</w:t>
      </w:r>
      <w:r w:rsidRPr="00576F88">
        <w:rPr>
          <w:rFonts w:eastAsia="Malgun Gothic"/>
          <w:bCs/>
          <w:lang w:val="fr-FR"/>
        </w:rPr>
        <w:t>élément dans tous les États</w:t>
      </w:r>
      <w:r w:rsidR="00757E98">
        <w:rPr>
          <w:rFonts w:eastAsia="Malgun Gothic"/>
          <w:bCs/>
          <w:lang w:val="fr-FR"/>
        </w:rPr>
        <w:t>.</w:t>
      </w:r>
      <w:r w:rsidRPr="00576F88">
        <w:rPr>
          <w:rFonts w:eastAsia="Malgun Gothic"/>
          <w:bCs/>
          <w:lang w:val="fr-FR"/>
        </w:rPr>
        <w:t xml:space="preserve"> Cela pouvait </w:t>
      </w:r>
      <w:r w:rsidR="00757E98">
        <w:rPr>
          <w:rFonts w:eastAsia="Malgun Gothic"/>
          <w:bCs/>
          <w:lang w:val="fr-FR"/>
        </w:rPr>
        <w:t xml:space="preserve">illustrer </w:t>
      </w:r>
      <w:r w:rsidRPr="00576F88">
        <w:rPr>
          <w:rFonts w:eastAsia="Malgun Gothic"/>
          <w:bCs/>
          <w:lang w:val="fr-FR"/>
        </w:rPr>
        <w:t>les pratiques culturelles partagées et la coopération entre les États et les communautés. Le deuxième point concernait la mise à disposition d</w:t>
      </w:r>
      <w:r w:rsidR="00923E72">
        <w:rPr>
          <w:rFonts w:eastAsia="Malgun Gothic"/>
          <w:bCs/>
          <w:lang w:val="fr-FR"/>
        </w:rPr>
        <w:t>’</w:t>
      </w:r>
      <w:r w:rsidRPr="00576F88">
        <w:rPr>
          <w:rFonts w:eastAsia="Malgun Gothic"/>
          <w:bCs/>
          <w:lang w:val="fr-FR"/>
        </w:rPr>
        <w:t>informations. Dans plusieurs dossiers multinationaux, il y avait un déséquilibre d</w:t>
      </w:r>
      <w:r w:rsidR="00923E72">
        <w:rPr>
          <w:rFonts w:eastAsia="Malgun Gothic"/>
          <w:bCs/>
          <w:lang w:val="fr-FR"/>
        </w:rPr>
        <w:t>’</w:t>
      </w:r>
      <w:r w:rsidRPr="00576F88">
        <w:rPr>
          <w:rFonts w:eastAsia="Malgun Gothic"/>
          <w:bCs/>
          <w:lang w:val="fr-FR"/>
        </w:rPr>
        <w:t>informations entre les États soumissionnaires. L</w:t>
      </w:r>
      <w:r w:rsidR="00923E72">
        <w:rPr>
          <w:rFonts w:eastAsia="Malgun Gothic"/>
          <w:bCs/>
          <w:lang w:val="fr-FR"/>
        </w:rPr>
        <w:t>’</w:t>
      </w:r>
      <w:r w:rsidRPr="00576F88">
        <w:rPr>
          <w:rFonts w:eastAsia="Malgun Gothic"/>
          <w:bCs/>
          <w:lang w:val="fr-FR"/>
        </w:rPr>
        <w:t>Organe encourageait les États soumissionnaires participant à des candidatures multinationales à consacrer suffisamment de temps et de ressources à la coordination et à la préparation des futures candidatures et à communiquer des informations équilibrées provenant de tous les États soumissionnaires. En ce qui concerne les mesures de sauvegarde communes, l</w:t>
      </w:r>
      <w:r w:rsidR="00923E72">
        <w:rPr>
          <w:rFonts w:eastAsia="Malgun Gothic"/>
          <w:bCs/>
          <w:lang w:val="fr-FR"/>
        </w:rPr>
        <w:t>’</w:t>
      </w:r>
      <w:r w:rsidRPr="00576F88">
        <w:rPr>
          <w:rFonts w:eastAsia="Malgun Gothic"/>
          <w:bCs/>
          <w:lang w:val="fr-FR"/>
        </w:rPr>
        <w:t>Organe reconnaissait que les mesures de sauvegarde pouvaient être spécifiques à chaque État et à leur contexte. En même temps, l</w:t>
      </w:r>
      <w:r w:rsidR="00923E72">
        <w:rPr>
          <w:rFonts w:eastAsia="Malgun Gothic"/>
          <w:bCs/>
          <w:lang w:val="fr-FR"/>
        </w:rPr>
        <w:t>’</w:t>
      </w:r>
      <w:r w:rsidRPr="00576F88">
        <w:rPr>
          <w:rFonts w:eastAsia="Malgun Gothic"/>
          <w:bCs/>
          <w:lang w:val="fr-FR"/>
        </w:rPr>
        <w:t>Organe soulignait que les dossiers multinationaux devraient également chercher à inclure des mesures conjointes pour sauvegarder l</w:t>
      </w:r>
      <w:r w:rsidR="00923E72">
        <w:rPr>
          <w:rFonts w:eastAsia="Malgun Gothic"/>
          <w:bCs/>
          <w:lang w:val="fr-FR"/>
        </w:rPr>
        <w:t>’</w:t>
      </w:r>
      <w:r w:rsidRPr="00576F88">
        <w:rPr>
          <w:rFonts w:eastAsia="Malgun Gothic"/>
          <w:bCs/>
          <w:lang w:val="fr-FR"/>
        </w:rPr>
        <w:t>élément en tant que patrimoine partagé, ceci étant important pour créer des liens et encourager le dialogue entre les différentes communautés et les États soumissionnaires. Dans certains dossiers, l</w:t>
      </w:r>
      <w:r w:rsidR="00923E72">
        <w:rPr>
          <w:rFonts w:eastAsia="Malgun Gothic"/>
          <w:bCs/>
          <w:lang w:val="fr-FR"/>
        </w:rPr>
        <w:t>’</w:t>
      </w:r>
      <w:r w:rsidRPr="00576F88">
        <w:rPr>
          <w:rFonts w:eastAsia="Malgun Gothic"/>
          <w:bCs/>
          <w:lang w:val="fr-FR"/>
        </w:rPr>
        <w:t>absence totale de mesures de sauvegarde conjointes avait empêché la satisfaction du critère</w:t>
      </w:r>
      <w:r w:rsidR="003F721F">
        <w:rPr>
          <w:rFonts w:eastAsia="Malgun Gothic"/>
          <w:bCs/>
          <w:lang w:val="fr-FR"/>
        </w:rPr>
        <w:t> </w:t>
      </w:r>
      <w:r w:rsidRPr="00576F88">
        <w:rPr>
          <w:rFonts w:eastAsia="Malgun Gothic"/>
          <w:bCs/>
          <w:lang w:val="fr-FR"/>
        </w:rPr>
        <w:t>R.3.</w:t>
      </w:r>
      <w:r w:rsidR="00757E98">
        <w:rPr>
          <w:rFonts w:eastAsia="Malgun Gothic"/>
          <w:bCs/>
          <w:lang w:val="fr-FR"/>
        </w:rPr>
        <w:t xml:space="preserve"> Parallèlement</w:t>
      </w:r>
      <w:r w:rsidRPr="00576F88">
        <w:rPr>
          <w:rFonts w:eastAsia="Malgun Gothic"/>
          <w:bCs/>
          <w:lang w:val="fr-FR"/>
        </w:rPr>
        <w:t>, l</w:t>
      </w:r>
      <w:r w:rsidR="00923E72">
        <w:rPr>
          <w:rFonts w:eastAsia="Malgun Gothic"/>
          <w:bCs/>
          <w:lang w:val="fr-FR"/>
        </w:rPr>
        <w:t>’</w:t>
      </w:r>
      <w:r w:rsidRPr="00576F88">
        <w:rPr>
          <w:rFonts w:eastAsia="Malgun Gothic"/>
          <w:bCs/>
          <w:lang w:val="fr-FR"/>
        </w:rPr>
        <w:t xml:space="preserve">Organe avait noté que plusieurs candidatures multinationales incluaient des mesures conjointes proposées, telles que des festivités communes, des publications, des échanges de </w:t>
      </w:r>
      <w:r w:rsidRPr="00576F88">
        <w:rPr>
          <w:rFonts w:eastAsia="Malgun Gothic"/>
          <w:bCs/>
          <w:lang w:val="fr-FR"/>
        </w:rPr>
        <w:lastRenderedPageBreak/>
        <w:t>connaissances et d</w:t>
      </w:r>
      <w:r w:rsidR="00923E72">
        <w:rPr>
          <w:rFonts w:eastAsia="Malgun Gothic"/>
          <w:bCs/>
          <w:lang w:val="fr-FR"/>
        </w:rPr>
        <w:t>’</w:t>
      </w:r>
      <w:r w:rsidRPr="00576F88">
        <w:rPr>
          <w:rFonts w:eastAsia="Malgun Gothic"/>
          <w:bCs/>
          <w:lang w:val="fr-FR"/>
        </w:rPr>
        <w:t>expériences entre les États soumissionnaires. De telles collaborations étaient le reflet positif du travail effectué dans le cadre de la Convention, car elles favorisaient le respect mutuel et rapprochaient les communautés.</w:t>
      </w:r>
    </w:p>
    <w:p w14:paraId="3C372549" w14:textId="3582DBBA" w:rsidR="009339EB" w:rsidRDefault="009339E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339EB">
        <w:rPr>
          <w:rFonts w:eastAsia="Malgun Gothic"/>
          <w:bCs/>
          <w:lang w:val="fr-FR"/>
        </w:rPr>
        <w:t xml:space="preserve">Le </w:t>
      </w:r>
      <w:r w:rsidRPr="00702497">
        <w:rPr>
          <w:rFonts w:eastAsia="Malgun Gothic"/>
          <w:b/>
          <w:lang w:val="fr-FR"/>
        </w:rPr>
        <w:t>Rapporteur</w:t>
      </w:r>
      <w:r w:rsidRPr="009339EB">
        <w:rPr>
          <w:rFonts w:eastAsia="Malgun Gothic"/>
          <w:bCs/>
          <w:lang w:val="fr-FR"/>
        </w:rPr>
        <w:t xml:space="preserve"> a ensuite évoqué la preuve du </w:t>
      </w:r>
      <w:r w:rsidRPr="006E3034">
        <w:rPr>
          <w:rFonts w:eastAsia="Malgun Gothic"/>
          <w:bCs/>
          <w:lang w:val="fr-FR"/>
        </w:rPr>
        <w:t>consentement des communautés</w:t>
      </w:r>
      <w:r w:rsidRPr="009339EB">
        <w:rPr>
          <w:rFonts w:eastAsia="Malgun Gothic"/>
          <w:bCs/>
          <w:lang w:val="fr-FR"/>
        </w:rPr>
        <w:t>. Dans certains cas, les lettres des communautés n</w:t>
      </w:r>
      <w:r w:rsidR="00923E72">
        <w:rPr>
          <w:rFonts w:eastAsia="Malgun Gothic"/>
          <w:bCs/>
          <w:lang w:val="fr-FR"/>
        </w:rPr>
        <w:t>’</w:t>
      </w:r>
      <w:r w:rsidRPr="009339EB">
        <w:rPr>
          <w:rFonts w:eastAsia="Malgun Gothic"/>
          <w:bCs/>
          <w:lang w:val="fr-FR"/>
        </w:rPr>
        <w:t xml:space="preserve">indiquaient que le consentement à la candidature par les États respectifs et ne mentionnaient pas la nature multinationale de la candidature. Dans ces cas, </w:t>
      </w:r>
      <w:r>
        <w:rPr>
          <w:rFonts w:eastAsia="Malgun Gothic"/>
          <w:bCs/>
          <w:lang w:val="fr-FR"/>
        </w:rPr>
        <w:t xml:space="preserve">il était impossible de </w:t>
      </w:r>
      <w:r w:rsidRPr="009339EB">
        <w:rPr>
          <w:rFonts w:eastAsia="Malgun Gothic"/>
          <w:bCs/>
          <w:lang w:val="fr-FR"/>
        </w:rPr>
        <w:t>dire si les communautés consentaient à la candidature multinationale impliquant d</w:t>
      </w:r>
      <w:r w:rsidR="00923E72">
        <w:rPr>
          <w:rFonts w:eastAsia="Malgun Gothic"/>
          <w:bCs/>
          <w:lang w:val="fr-FR"/>
        </w:rPr>
        <w:t>’</w:t>
      </w:r>
      <w:r w:rsidRPr="009339EB">
        <w:rPr>
          <w:rFonts w:eastAsia="Malgun Gothic"/>
          <w:bCs/>
          <w:lang w:val="fr-FR"/>
        </w:rPr>
        <w:t>autres États et d</w:t>
      </w:r>
      <w:r w:rsidR="00923E72">
        <w:rPr>
          <w:rFonts w:eastAsia="Malgun Gothic"/>
          <w:bCs/>
          <w:lang w:val="fr-FR"/>
        </w:rPr>
        <w:t>’</w:t>
      </w:r>
      <w:r w:rsidRPr="009339EB">
        <w:rPr>
          <w:rFonts w:eastAsia="Malgun Gothic"/>
          <w:bCs/>
          <w:lang w:val="fr-FR"/>
        </w:rPr>
        <w:t xml:space="preserve">autres communautés. </w:t>
      </w:r>
      <w:r>
        <w:rPr>
          <w:rFonts w:eastAsia="Malgun Gothic"/>
          <w:bCs/>
          <w:lang w:val="fr-FR"/>
        </w:rPr>
        <w:t xml:space="preserve">Toutefois, </w:t>
      </w:r>
      <w:r w:rsidRPr="009339EB">
        <w:rPr>
          <w:rFonts w:eastAsia="Malgun Gothic"/>
          <w:bCs/>
          <w:lang w:val="fr-FR"/>
        </w:rPr>
        <w:t>la majorité des dossiers démontraient l</w:t>
      </w:r>
      <w:r w:rsidR="00923E72">
        <w:rPr>
          <w:rFonts w:eastAsia="Malgun Gothic"/>
          <w:bCs/>
          <w:lang w:val="fr-FR"/>
        </w:rPr>
        <w:t>’</w:t>
      </w:r>
      <w:r w:rsidRPr="009339EB">
        <w:rPr>
          <w:rFonts w:eastAsia="Malgun Gothic"/>
          <w:bCs/>
          <w:lang w:val="fr-FR"/>
        </w:rPr>
        <w:t xml:space="preserve">accord entre les États et les communautés, ce qui constituait un consentement au caractère multinational de la candidature. Plusieurs dossiers </w:t>
      </w:r>
      <w:r w:rsidR="005B6804">
        <w:rPr>
          <w:rFonts w:eastAsia="Malgun Gothic"/>
          <w:bCs/>
          <w:lang w:val="fr-FR"/>
        </w:rPr>
        <w:t>expliquaient de façon détaillée</w:t>
      </w:r>
      <w:r w:rsidRPr="009339EB">
        <w:rPr>
          <w:rFonts w:eastAsia="Malgun Gothic"/>
          <w:bCs/>
          <w:lang w:val="fr-FR"/>
        </w:rPr>
        <w:t xml:space="preserve"> </w:t>
      </w:r>
      <w:r w:rsidR="00072B96" w:rsidRPr="00A11975">
        <w:rPr>
          <w:rFonts w:eastAsia="Malgun Gothic"/>
          <w:bCs/>
          <w:lang w:val="fr-FR"/>
        </w:rPr>
        <w:t>l</w:t>
      </w:r>
      <w:r w:rsidR="00AD7D1A">
        <w:rPr>
          <w:rFonts w:eastAsia="Malgun Gothic"/>
          <w:bCs/>
          <w:lang w:val="fr-FR"/>
        </w:rPr>
        <w:t>a participation</w:t>
      </w:r>
      <w:r w:rsidR="00072B96">
        <w:rPr>
          <w:rFonts w:eastAsia="Malgun Gothic"/>
          <w:bCs/>
          <w:lang w:val="fr-FR"/>
        </w:rPr>
        <w:t xml:space="preserve"> </w:t>
      </w:r>
      <w:r w:rsidRPr="009339EB">
        <w:rPr>
          <w:rFonts w:eastAsia="Malgun Gothic"/>
          <w:bCs/>
          <w:lang w:val="fr-FR"/>
        </w:rPr>
        <w:t xml:space="preserve">active des communautés à toutes les étapes du processus de candidature. Ces exemples positifs de participation communautaire entre pays pouvaient servir de bonnes pratiques pour les États préparant de futurs dossiers de candidature. Le Rapporteur a ensuite abordé quelques observations spécifiques aux </w:t>
      </w:r>
      <w:r w:rsidRPr="006E3034">
        <w:rPr>
          <w:rFonts w:eastAsia="Malgun Gothic"/>
          <w:bCs/>
          <w:lang w:val="fr-FR"/>
        </w:rPr>
        <w:t>candidatures à la Liste de sauvegarde urgente et à la Liste représentative</w:t>
      </w:r>
      <w:r w:rsidRPr="009B4E71">
        <w:rPr>
          <w:rFonts w:eastAsia="Malgun Gothic"/>
          <w:bCs/>
          <w:lang w:val="fr-FR"/>
        </w:rPr>
        <w:t>.</w:t>
      </w:r>
      <w:r w:rsidRPr="009339EB">
        <w:rPr>
          <w:rFonts w:eastAsia="Malgun Gothic"/>
          <w:bCs/>
          <w:lang w:val="fr-FR"/>
        </w:rPr>
        <w:t xml:space="preserve"> Tout d</w:t>
      </w:r>
      <w:r w:rsidR="00923E72">
        <w:rPr>
          <w:rFonts w:eastAsia="Malgun Gothic"/>
          <w:bCs/>
          <w:lang w:val="fr-FR"/>
        </w:rPr>
        <w:t>’</w:t>
      </w:r>
      <w:r w:rsidRPr="009339EB">
        <w:rPr>
          <w:rFonts w:eastAsia="Malgun Gothic"/>
          <w:bCs/>
          <w:lang w:val="fr-FR"/>
        </w:rPr>
        <w:t>abord, il y avait la question des définitions. Dans certains cas, les descriptions des éléments proposés étaient trop génér</w:t>
      </w:r>
      <w:r w:rsidR="004C1D01">
        <w:rPr>
          <w:rFonts w:eastAsia="Malgun Gothic"/>
          <w:bCs/>
          <w:lang w:val="fr-FR"/>
        </w:rPr>
        <w:t>ales</w:t>
      </w:r>
      <w:r w:rsidRPr="009339EB">
        <w:rPr>
          <w:rFonts w:eastAsia="Malgun Gothic"/>
          <w:bCs/>
          <w:lang w:val="fr-FR"/>
        </w:rPr>
        <w:t xml:space="preserve"> et pouvaient s</w:t>
      </w:r>
      <w:r w:rsidR="00923E72">
        <w:rPr>
          <w:rFonts w:eastAsia="Malgun Gothic"/>
          <w:bCs/>
          <w:lang w:val="fr-FR"/>
        </w:rPr>
        <w:t>’</w:t>
      </w:r>
      <w:r w:rsidRPr="009339EB">
        <w:rPr>
          <w:rFonts w:eastAsia="Malgun Gothic"/>
          <w:bCs/>
          <w:lang w:val="fr-FR"/>
        </w:rPr>
        <w:t>appliquer à n</w:t>
      </w:r>
      <w:r w:rsidR="00923E72">
        <w:rPr>
          <w:rFonts w:eastAsia="Malgun Gothic"/>
          <w:bCs/>
          <w:lang w:val="fr-FR"/>
        </w:rPr>
        <w:t>’</w:t>
      </w:r>
      <w:r w:rsidRPr="009339EB">
        <w:rPr>
          <w:rFonts w:eastAsia="Malgun Gothic"/>
          <w:bCs/>
          <w:lang w:val="fr-FR"/>
        </w:rPr>
        <w:t>importe quel type d</w:t>
      </w:r>
      <w:r w:rsidR="00923E72">
        <w:rPr>
          <w:rFonts w:eastAsia="Malgun Gothic"/>
          <w:bCs/>
          <w:lang w:val="fr-FR"/>
        </w:rPr>
        <w:t>’</w:t>
      </w:r>
      <w:r w:rsidRPr="009339EB">
        <w:rPr>
          <w:rFonts w:eastAsia="Malgun Gothic"/>
          <w:bCs/>
          <w:lang w:val="fr-FR"/>
        </w:rPr>
        <w:t>élément soumis à candidature. Dans d</w:t>
      </w:r>
      <w:r w:rsidR="00923E72">
        <w:rPr>
          <w:rFonts w:eastAsia="Malgun Gothic"/>
          <w:bCs/>
          <w:lang w:val="fr-FR"/>
        </w:rPr>
        <w:t>’</w:t>
      </w:r>
      <w:r w:rsidRPr="009339EB">
        <w:rPr>
          <w:rFonts w:eastAsia="Malgun Gothic"/>
          <w:bCs/>
          <w:lang w:val="fr-FR"/>
        </w:rPr>
        <w:t>autres</w:t>
      </w:r>
      <w:r w:rsidR="00416B99">
        <w:rPr>
          <w:rFonts w:eastAsia="Malgun Gothic"/>
          <w:bCs/>
          <w:lang w:val="fr-FR"/>
        </w:rPr>
        <w:t xml:space="preserve"> cas</w:t>
      </w:r>
      <w:r w:rsidRPr="009339EB">
        <w:rPr>
          <w:rFonts w:eastAsia="Malgun Gothic"/>
          <w:bCs/>
          <w:lang w:val="fr-FR"/>
        </w:rPr>
        <w:t xml:space="preserve">, </w:t>
      </w:r>
      <w:r w:rsidR="005B6804">
        <w:rPr>
          <w:rFonts w:eastAsia="Malgun Gothic"/>
          <w:bCs/>
          <w:lang w:val="fr-FR"/>
        </w:rPr>
        <w:t>avec d</w:t>
      </w:r>
      <w:r w:rsidRPr="009339EB">
        <w:rPr>
          <w:rFonts w:eastAsia="Malgun Gothic"/>
          <w:bCs/>
          <w:lang w:val="fr-FR"/>
        </w:rPr>
        <w:t>es définitions larges</w:t>
      </w:r>
      <w:r w:rsidR="005B6804">
        <w:rPr>
          <w:rFonts w:eastAsia="Malgun Gothic"/>
          <w:bCs/>
          <w:lang w:val="fr-FR"/>
        </w:rPr>
        <w:t xml:space="preserve">, il était </w:t>
      </w:r>
      <w:r w:rsidRPr="009339EB">
        <w:rPr>
          <w:rFonts w:eastAsia="Malgun Gothic"/>
          <w:bCs/>
          <w:lang w:val="fr-FR"/>
        </w:rPr>
        <w:t>difficile d</w:t>
      </w:r>
      <w:r w:rsidR="00923E72">
        <w:rPr>
          <w:rFonts w:eastAsia="Malgun Gothic"/>
          <w:bCs/>
          <w:lang w:val="fr-FR"/>
        </w:rPr>
        <w:t>’</w:t>
      </w:r>
      <w:r w:rsidRPr="009339EB">
        <w:rPr>
          <w:rFonts w:eastAsia="Malgun Gothic"/>
          <w:bCs/>
          <w:lang w:val="fr-FR"/>
        </w:rPr>
        <w:t>établir si l</w:t>
      </w:r>
      <w:r w:rsidR="00923E72">
        <w:rPr>
          <w:rFonts w:eastAsia="Malgun Gothic"/>
          <w:bCs/>
          <w:lang w:val="fr-FR"/>
        </w:rPr>
        <w:t>’</w:t>
      </w:r>
      <w:r w:rsidRPr="009339EB">
        <w:rPr>
          <w:rFonts w:eastAsia="Malgun Gothic"/>
          <w:bCs/>
          <w:lang w:val="fr-FR"/>
        </w:rPr>
        <w:t>élément était défini comme patrimoine culturel immatériel en vertu de l</w:t>
      </w:r>
      <w:r w:rsidR="00923E72">
        <w:rPr>
          <w:rFonts w:eastAsia="Malgun Gothic"/>
          <w:bCs/>
          <w:lang w:val="fr-FR"/>
        </w:rPr>
        <w:t>’</w:t>
      </w:r>
      <w:r w:rsidRPr="009339EB">
        <w:rPr>
          <w:rFonts w:eastAsia="Malgun Gothic"/>
          <w:bCs/>
          <w:lang w:val="fr-FR"/>
        </w:rPr>
        <w:t>article</w:t>
      </w:r>
      <w:r w:rsidR="004C1D01">
        <w:rPr>
          <w:rFonts w:eastAsia="Malgun Gothic"/>
          <w:bCs/>
          <w:lang w:val="fr-FR"/>
        </w:rPr>
        <w:t> </w:t>
      </w:r>
      <w:r w:rsidRPr="009339EB">
        <w:rPr>
          <w:rFonts w:eastAsia="Malgun Gothic"/>
          <w:bCs/>
          <w:lang w:val="fr-FR"/>
        </w:rPr>
        <w:t xml:space="preserve">2 de la Convention. </w:t>
      </w:r>
      <w:r w:rsidR="00416B99">
        <w:rPr>
          <w:rFonts w:eastAsia="Malgun Gothic"/>
          <w:bCs/>
          <w:lang w:val="fr-FR"/>
        </w:rPr>
        <w:t>Avec d</w:t>
      </w:r>
      <w:r w:rsidRPr="009339EB">
        <w:rPr>
          <w:rFonts w:eastAsia="Malgun Gothic"/>
          <w:bCs/>
          <w:lang w:val="fr-FR"/>
        </w:rPr>
        <w:t>es définitions aussi larges</w:t>
      </w:r>
      <w:r w:rsidR="00416B99">
        <w:rPr>
          <w:rFonts w:eastAsia="Malgun Gothic"/>
          <w:bCs/>
          <w:lang w:val="fr-FR"/>
        </w:rPr>
        <w:t xml:space="preserve">, il était </w:t>
      </w:r>
      <w:r w:rsidR="00416B99" w:rsidRPr="00416B99">
        <w:rPr>
          <w:rFonts w:eastAsia="Malgun Gothic"/>
          <w:bCs/>
          <w:color w:val="000000" w:themeColor="text1"/>
          <w:lang w:val="fr-FR"/>
        </w:rPr>
        <w:t>également</w:t>
      </w:r>
      <w:r w:rsidR="00416B99">
        <w:rPr>
          <w:rFonts w:eastAsia="Malgun Gothic"/>
          <w:bCs/>
          <w:color w:val="000000" w:themeColor="text1"/>
          <w:lang w:val="fr-FR"/>
        </w:rPr>
        <w:t xml:space="preserve"> </w:t>
      </w:r>
      <w:r w:rsidRPr="009339EB">
        <w:rPr>
          <w:rFonts w:eastAsia="Malgun Gothic"/>
          <w:bCs/>
          <w:lang w:val="fr-FR"/>
        </w:rPr>
        <w:t xml:space="preserve">difficile </w:t>
      </w:r>
      <w:r w:rsidR="00416B99">
        <w:rPr>
          <w:rFonts w:eastAsia="Malgun Gothic"/>
          <w:bCs/>
          <w:lang w:val="fr-FR"/>
        </w:rPr>
        <w:t>de</w:t>
      </w:r>
      <w:r w:rsidRPr="009339EB">
        <w:rPr>
          <w:rFonts w:eastAsia="Malgun Gothic"/>
          <w:bCs/>
          <w:lang w:val="fr-FR"/>
        </w:rPr>
        <w:t xml:space="preserve"> détermi</w:t>
      </w:r>
      <w:r w:rsidR="00416B99">
        <w:rPr>
          <w:rFonts w:eastAsia="Malgun Gothic"/>
          <w:bCs/>
          <w:lang w:val="fr-FR"/>
        </w:rPr>
        <w:t>ner l</w:t>
      </w:r>
      <w:r w:rsidRPr="009339EB">
        <w:rPr>
          <w:rFonts w:eastAsia="Malgun Gothic"/>
          <w:bCs/>
          <w:lang w:val="fr-FR"/>
        </w:rPr>
        <w:t>es connaissances et compétences associées à l</w:t>
      </w:r>
      <w:r w:rsidR="00923E72">
        <w:rPr>
          <w:rFonts w:eastAsia="Malgun Gothic"/>
          <w:bCs/>
          <w:lang w:val="fr-FR"/>
        </w:rPr>
        <w:t>’</w:t>
      </w:r>
      <w:r w:rsidRPr="009339EB">
        <w:rPr>
          <w:rFonts w:eastAsia="Malgun Gothic"/>
          <w:bCs/>
          <w:lang w:val="fr-FR"/>
        </w:rPr>
        <w:t>élément, la transmission de l</w:t>
      </w:r>
      <w:r w:rsidR="00923E72">
        <w:rPr>
          <w:rFonts w:eastAsia="Malgun Gothic"/>
          <w:bCs/>
          <w:lang w:val="fr-FR"/>
        </w:rPr>
        <w:t>’</w:t>
      </w:r>
      <w:r w:rsidRPr="009339EB">
        <w:rPr>
          <w:rFonts w:eastAsia="Malgun Gothic"/>
          <w:bCs/>
          <w:lang w:val="fr-FR"/>
        </w:rPr>
        <w:t>élément ainsi que le consentement de la communauté. L</w:t>
      </w:r>
      <w:r w:rsidR="00923E72">
        <w:rPr>
          <w:rFonts w:eastAsia="Malgun Gothic"/>
          <w:bCs/>
          <w:lang w:val="fr-FR"/>
        </w:rPr>
        <w:t>’</w:t>
      </w:r>
      <w:r w:rsidRPr="009339EB">
        <w:rPr>
          <w:rFonts w:eastAsia="Malgun Gothic"/>
          <w:bCs/>
          <w:lang w:val="fr-FR"/>
        </w:rPr>
        <w:t>autre point soulevé concernait l</w:t>
      </w:r>
      <w:r w:rsidR="00923E72">
        <w:rPr>
          <w:rFonts w:eastAsia="Malgun Gothic"/>
          <w:bCs/>
          <w:lang w:val="fr-FR"/>
        </w:rPr>
        <w:t>’</w:t>
      </w:r>
      <w:r w:rsidRPr="009339EB">
        <w:rPr>
          <w:rFonts w:eastAsia="Malgun Gothic"/>
          <w:bCs/>
          <w:lang w:val="fr-FR"/>
        </w:rPr>
        <w:t xml:space="preserve">accent mis sur les produits et les objets, </w:t>
      </w:r>
      <w:r w:rsidR="004C1D01">
        <w:rPr>
          <w:rFonts w:eastAsia="Malgun Gothic"/>
          <w:bCs/>
          <w:lang w:val="fr-FR"/>
        </w:rPr>
        <w:t xml:space="preserve">qui est </w:t>
      </w:r>
      <w:r w:rsidRPr="009339EB">
        <w:rPr>
          <w:rFonts w:eastAsia="Malgun Gothic"/>
          <w:bCs/>
          <w:lang w:val="fr-FR"/>
        </w:rPr>
        <w:t>une question récurrente. L</w:t>
      </w:r>
      <w:r w:rsidR="00923E72">
        <w:rPr>
          <w:rFonts w:eastAsia="Malgun Gothic"/>
          <w:bCs/>
          <w:lang w:val="fr-FR"/>
        </w:rPr>
        <w:t>’</w:t>
      </w:r>
      <w:r w:rsidRPr="009339EB">
        <w:rPr>
          <w:rFonts w:eastAsia="Malgun Gothic"/>
          <w:bCs/>
          <w:lang w:val="fr-FR"/>
        </w:rPr>
        <w:t>accent était mis sur les aspects matériels de l</w:t>
      </w:r>
      <w:r w:rsidR="00923E72">
        <w:rPr>
          <w:rFonts w:eastAsia="Malgun Gothic"/>
          <w:bCs/>
          <w:lang w:val="fr-FR"/>
        </w:rPr>
        <w:t>’</w:t>
      </w:r>
      <w:r w:rsidRPr="009339EB">
        <w:rPr>
          <w:rFonts w:eastAsia="Malgun Gothic"/>
          <w:bCs/>
          <w:lang w:val="fr-FR"/>
        </w:rPr>
        <w:t>élément plutôt que sur les pratiques et les techniques, les fonctions sociales et les significations culturelles associées à l</w:t>
      </w:r>
      <w:r w:rsidR="00923E72">
        <w:rPr>
          <w:rFonts w:eastAsia="Malgun Gothic"/>
          <w:bCs/>
          <w:lang w:val="fr-FR"/>
        </w:rPr>
        <w:t>’</w:t>
      </w:r>
      <w:r w:rsidRPr="009339EB">
        <w:rPr>
          <w:rFonts w:eastAsia="Malgun Gothic"/>
          <w:bCs/>
          <w:lang w:val="fr-FR"/>
        </w:rPr>
        <w:t>élément. La description des dossiers devrait se concentrer sur les pratiques de fabrication du produit ou d</w:t>
      </w:r>
      <w:r w:rsidR="00923E72">
        <w:rPr>
          <w:rFonts w:eastAsia="Malgun Gothic"/>
          <w:bCs/>
          <w:lang w:val="fr-FR"/>
        </w:rPr>
        <w:t>’</w:t>
      </w:r>
      <w:r w:rsidRPr="009339EB">
        <w:rPr>
          <w:rFonts w:eastAsia="Malgun Gothic"/>
          <w:bCs/>
          <w:lang w:val="fr-FR"/>
        </w:rPr>
        <w:t>interprétation de l</w:t>
      </w:r>
      <w:r w:rsidR="00923E72">
        <w:rPr>
          <w:rFonts w:eastAsia="Malgun Gothic"/>
          <w:bCs/>
          <w:lang w:val="fr-FR"/>
        </w:rPr>
        <w:t>’</w:t>
      </w:r>
      <w:r w:rsidRPr="009339EB">
        <w:rPr>
          <w:rFonts w:eastAsia="Malgun Gothic"/>
          <w:bCs/>
          <w:lang w:val="fr-FR"/>
        </w:rPr>
        <w:t>instrument</w:t>
      </w:r>
      <w:r w:rsidR="00E74D3E">
        <w:rPr>
          <w:rFonts w:eastAsia="Malgun Gothic"/>
          <w:bCs/>
          <w:lang w:val="fr-FR"/>
        </w:rPr>
        <w:t xml:space="preserve"> </w:t>
      </w:r>
      <w:r w:rsidRPr="009339EB">
        <w:rPr>
          <w:rFonts w:eastAsia="Malgun Gothic"/>
          <w:bCs/>
          <w:lang w:val="fr-FR"/>
        </w:rPr>
        <w:t>ainsi que sur les connaissances et les compétences transmises, plutôt que sur le produit physique ou l</w:t>
      </w:r>
      <w:r w:rsidR="00923E72">
        <w:rPr>
          <w:rFonts w:eastAsia="Malgun Gothic"/>
          <w:bCs/>
          <w:lang w:val="fr-FR"/>
        </w:rPr>
        <w:t>’</w:t>
      </w:r>
      <w:r w:rsidRPr="009339EB">
        <w:rPr>
          <w:rFonts w:eastAsia="Malgun Gothic"/>
          <w:bCs/>
          <w:lang w:val="fr-FR"/>
        </w:rPr>
        <w:t>instrument lui-même.</w:t>
      </w:r>
    </w:p>
    <w:p w14:paraId="7DD44B3C" w14:textId="167DE21E" w:rsidR="004C1D01" w:rsidRDefault="004C1D0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C1D01">
        <w:rPr>
          <w:rFonts w:eastAsia="Malgun Gothic"/>
          <w:bCs/>
          <w:lang w:val="fr-FR"/>
        </w:rPr>
        <w:t xml:space="preserve">Le </w:t>
      </w:r>
      <w:r w:rsidR="005B6804" w:rsidRPr="00702497">
        <w:rPr>
          <w:rFonts w:eastAsia="Malgun Gothic"/>
          <w:b/>
          <w:lang w:val="fr-FR"/>
        </w:rPr>
        <w:t>R</w:t>
      </w:r>
      <w:r w:rsidRPr="00702497">
        <w:rPr>
          <w:rFonts w:eastAsia="Malgun Gothic"/>
          <w:b/>
          <w:lang w:val="fr-FR"/>
        </w:rPr>
        <w:t>apporteur</w:t>
      </w:r>
      <w:r w:rsidRPr="004C1D01">
        <w:rPr>
          <w:rFonts w:eastAsia="Malgun Gothic"/>
          <w:bCs/>
          <w:lang w:val="fr-FR"/>
        </w:rPr>
        <w:t xml:space="preserve"> a </w:t>
      </w:r>
      <w:r w:rsidR="005B6804">
        <w:rPr>
          <w:rFonts w:eastAsia="Malgun Gothic"/>
          <w:bCs/>
          <w:lang w:val="fr-FR"/>
        </w:rPr>
        <w:t xml:space="preserve">ensuite </w:t>
      </w:r>
      <w:r w:rsidRPr="004C1D01">
        <w:rPr>
          <w:rFonts w:eastAsia="Malgun Gothic"/>
          <w:bCs/>
          <w:lang w:val="fr-FR"/>
        </w:rPr>
        <w:t xml:space="preserve">abordé le </w:t>
      </w:r>
      <w:r w:rsidRPr="006E3034">
        <w:rPr>
          <w:rFonts w:eastAsia="Malgun Gothic"/>
          <w:bCs/>
          <w:lang w:val="fr-FR"/>
        </w:rPr>
        <w:t>critère</w:t>
      </w:r>
      <w:r w:rsidR="000E1EF6" w:rsidRPr="006E3034">
        <w:rPr>
          <w:rFonts w:eastAsia="Malgun Gothic"/>
          <w:bCs/>
          <w:lang w:val="fr-FR"/>
        </w:rPr>
        <w:t> </w:t>
      </w:r>
      <w:r w:rsidRPr="006E3034">
        <w:rPr>
          <w:rFonts w:eastAsia="Malgun Gothic"/>
          <w:bCs/>
          <w:lang w:val="fr-FR"/>
        </w:rPr>
        <w:t>R.2</w:t>
      </w:r>
      <w:r w:rsidRPr="004C1D01">
        <w:rPr>
          <w:rFonts w:eastAsia="Malgun Gothic"/>
          <w:bCs/>
          <w:lang w:val="fr-FR"/>
        </w:rPr>
        <w:t>, l</w:t>
      </w:r>
      <w:r w:rsidR="00923E72">
        <w:rPr>
          <w:rFonts w:eastAsia="Malgun Gothic"/>
          <w:bCs/>
          <w:lang w:val="fr-FR"/>
        </w:rPr>
        <w:t>’</w:t>
      </w:r>
      <w:r w:rsidRPr="004C1D01">
        <w:rPr>
          <w:rFonts w:eastAsia="Malgun Gothic"/>
          <w:bCs/>
          <w:lang w:val="fr-FR"/>
        </w:rPr>
        <w:t>Organe d</w:t>
      </w:r>
      <w:r w:rsidR="00923E72">
        <w:rPr>
          <w:rFonts w:eastAsia="Malgun Gothic"/>
          <w:bCs/>
          <w:lang w:val="fr-FR"/>
        </w:rPr>
        <w:t>’</w:t>
      </w:r>
      <w:r w:rsidRPr="004C1D01">
        <w:rPr>
          <w:rFonts w:eastAsia="Malgun Gothic"/>
          <w:bCs/>
          <w:lang w:val="fr-FR"/>
        </w:rPr>
        <w:t xml:space="preserve">évaluation </w:t>
      </w:r>
      <w:r w:rsidR="000E1EF6">
        <w:rPr>
          <w:rFonts w:eastAsia="Malgun Gothic"/>
          <w:bCs/>
          <w:lang w:val="fr-FR"/>
        </w:rPr>
        <w:t xml:space="preserve">ayant noté </w:t>
      </w:r>
      <w:r w:rsidRPr="004C1D01">
        <w:rPr>
          <w:rFonts w:eastAsia="Malgun Gothic"/>
          <w:bCs/>
          <w:lang w:val="fr-FR"/>
        </w:rPr>
        <w:t>des problèmes récurrents</w:t>
      </w:r>
      <w:r w:rsidR="004961C0">
        <w:rPr>
          <w:rFonts w:eastAsia="Malgun Gothic"/>
          <w:bCs/>
          <w:lang w:val="fr-FR"/>
        </w:rPr>
        <w:t xml:space="preserve"> à son propos</w:t>
      </w:r>
      <w:r w:rsidRPr="004C1D01">
        <w:rPr>
          <w:rFonts w:eastAsia="Malgun Gothic"/>
          <w:bCs/>
          <w:lang w:val="fr-FR"/>
        </w:rPr>
        <w:t xml:space="preserve">. Comme lors des cycles précédents, plusieurs dossiers communiquaient des informations uniquement sur la visibilité et la </w:t>
      </w:r>
      <w:r w:rsidR="004961C0">
        <w:rPr>
          <w:rFonts w:eastAsia="Malgun Gothic"/>
          <w:bCs/>
          <w:lang w:val="fr-FR"/>
        </w:rPr>
        <w:t xml:space="preserve">prise de </w:t>
      </w:r>
      <w:r w:rsidR="004961C0" w:rsidRPr="004961C0">
        <w:rPr>
          <w:rFonts w:eastAsia="Malgun Gothic"/>
          <w:bCs/>
          <w:lang w:val="fr-FR"/>
        </w:rPr>
        <w:t>conscience</w:t>
      </w:r>
      <w:r w:rsidR="004961C0">
        <w:rPr>
          <w:rFonts w:eastAsia="Malgun Gothic"/>
          <w:bCs/>
          <w:lang w:val="fr-FR"/>
        </w:rPr>
        <w:t xml:space="preserve"> </w:t>
      </w:r>
      <w:r w:rsidRPr="004C1D01">
        <w:rPr>
          <w:rFonts w:eastAsia="Malgun Gothic"/>
          <w:bCs/>
          <w:lang w:val="fr-FR"/>
        </w:rPr>
        <w:t>de l</w:t>
      </w:r>
      <w:r w:rsidR="00923E72">
        <w:rPr>
          <w:rFonts w:eastAsia="Malgun Gothic"/>
          <w:bCs/>
          <w:lang w:val="fr-FR"/>
        </w:rPr>
        <w:t>’</w:t>
      </w:r>
      <w:r w:rsidRPr="004C1D01">
        <w:rPr>
          <w:rFonts w:eastAsia="Malgun Gothic"/>
          <w:bCs/>
          <w:lang w:val="fr-FR"/>
        </w:rPr>
        <w:t xml:space="preserve">élément lui-même et pas suffisamment sur la visibilité et la </w:t>
      </w:r>
      <w:r w:rsidR="004961C0">
        <w:rPr>
          <w:rFonts w:eastAsia="Malgun Gothic"/>
          <w:bCs/>
          <w:lang w:val="fr-FR"/>
        </w:rPr>
        <w:t xml:space="preserve">prise de conscience </w:t>
      </w:r>
      <w:r w:rsidRPr="004C1D01">
        <w:rPr>
          <w:rFonts w:eastAsia="Malgun Gothic"/>
          <w:bCs/>
          <w:lang w:val="fr-FR"/>
        </w:rPr>
        <w:t>du patrimoine culturel immatériel en général. Techniquement, ces dossiers ne répondaient pas au critère, mais l</w:t>
      </w:r>
      <w:r w:rsidR="00923E72">
        <w:rPr>
          <w:rFonts w:eastAsia="Malgun Gothic"/>
          <w:bCs/>
          <w:lang w:val="fr-FR"/>
        </w:rPr>
        <w:t>’</w:t>
      </w:r>
      <w:r w:rsidRPr="004C1D01">
        <w:rPr>
          <w:rFonts w:eastAsia="Malgun Gothic"/>
          <w:bCs/>
          <w:lang w:val="fr-FR"/>
        </w:rPr>
        <w:t>Organe avait noté que cette question avait été débattue lors de la réflexion globale sur les mécanismes d</w:t>
      </w:r>
      <w:r w:rsidR="00923E72">
        <w:rPr>
          <w:rFonts w:eastAsia="Malgun Gothic"/>
          <w:bCs/>
          <w:lang w:val="fr-FR"/>
        </w:rPr>
        <w:t>’</w:t>
      </w:r>
      <w:r w:rsidRPr="004C1D01">
        <w:rPr>
          <w:rFonts w:eastAsia="Malgun Gothic"/>
          <w:bCs/>
          <w:lang w:val="fr-FR"/>
        </w:rPr>
        <w:t>inscription. Par conséquent, l</w:t>
      </w:r>
      <w:r w:rsidR="00923E72">
        <w:rPr>
          <w:rFonts w:eastAsia="Malgun Gothic"/>
          <w:bCs/>
          <w:lang w:val="fr-FR"/>
        </w:rPr>
        <w:t>’</w:t>
      </w:r>
      <w:r w:rsidRPr="004C1D01">
        <w:rPr>
          <w:rFonts w:eastAsia="Malgun Gothic"/>
          <w:bCs/>
          <w:lang w:val="fr-FR"/>
        </w:rPr>
        <w:t>Organe n</w:t>
      </w:r>
      <w:r w:rsidR="00923E72">
        <w:rPr>
          <w:rFonts w:eastAsia="Malgun Gothic"/>
          <w:bCs/>
          <w:lang w:val="fr-FR"/>
        </w:rPr>
        <w:t>’</w:t>
      </w:r>
      <w:r w:rsidRPr="004C1D01">
        <w:rPr>
          <w:rFonts w:eastAsia="Malgun Gothic"/>
          <w:bCs/>
          <w:lang w:val="fr-FR"/>
        </w:rPr>
        <w:t>avait pas renvoyé ou rejeté de dossier uniquement sur la base du critère</w:t>
      </w:r>
      <w:r w:rsidR="000E1EF6">
        <w:rPr>
          <w:rFonts w:eastAsia="Malgun Gothic"/>
          <w:bCs/>
          <w:lang w:val="fr-FR"/>
        </w:rPr>
        <w:t> </w:t>
      </w:r>
      <w:r w:rsidRPr="004C1D01">
        <w:rPr>
          <w:rFonts w:eastAsia="Malgun Gothic"/>
          <w:bCs/>
          <w:lang w:val="fr-FR"/>
        </w:rPr>
        <w:t xml:space="preserve">R.2. En ce qui concerne les </w:t>
      </w:r>
      <w:r w:rsidRPr="00702497">
        <w:rPr>
          <w:rFonts w:eastAsia="Malgun Gothic"/>
          <w:bCs/>
          <w:u w:val="single"/>
          <w:lang w:val="fr-FR"/>
        </w:rPr>
        <w:t>critères</w:t>
      </w:r>
      <w:r w:rsidR="000E1EF6" w:rsidRPr="00702497">
        <w:rPr>
          <w:rFonts w:eastAsia="Malgun Gothic"/>
          <w:bCs/>
          <w:u w:val="single"/>
          <w:lang w:val="fr-FR"/>
        </w:rPr>
        <w:t> </w:t>
      </w:r>
      <w:r w:rsidRPr="00702497">
        <w:rPr>
          <w:rFonts w:eastAsia="Malgun Gothic"/>
          <w:bCs/>
          <w:u w:val="single"/>
          <w:lang w:val="fr-FR"/>
        </w:rPr>
        <w:t>U.2 et</w:t>
      </w:r>
      <w:r w:rsidR="005B6804">
        <w:rPr>
          <w:rFonts w:eastAsia="Malgun Gothic"/>
          <w:bCs/>
          <w:u w:val="single"/>
          <w:lang w:val="fr-FR"/>
        </w:rPr>
        <w:t> </w:t>
      </w:r>
      <w:r w:rsidRPr="00702497">
        <w:rPr>
          <w:rFonts w:eastAsia="Malgun Gothic"/>
          <w:bCs/>
          <w:u w:val="single"/>
          <w:lang w:val="fr-FR"/>
        </w:rPr>
        <w:t>R.3</w:t>
      </w:r>
      <w:r w:rsidRPr="004C1D01">
        <w:rPr>
          <w:rFonts w:eastAsia="Malgun Gothic"/>
          <w:bCs/>
          <w:lang w:val="fr-FR"/>
        </w:rPr>
        <w:t>, l</w:t>
      </w:r>
      <w:r w:rsidR="00923E72">
        <w:rPr>
          <w:rFonts w:eastAsia="Malgun Gothic"/>
          <w:bCs/>
          <w:lang w:val="fr-FR"/>
        </w:rPr>
        <w:t>’</w:t>
      </w:r>
      <w:r w:rsidRPr="004C1D01">
        <w:rPr>
          <w:rFonts w:eastAsia="Malgun Gothic"/>
          <w:bCs/>
          <w:lang w:val="fr-FR"/>
        </w:rPr>
        <w:t>Organe d</w:t>
      </w:r>
      <w:r w:rsidR="00923E72">
        <w:rPr>
          <w:rFonts w:eastAsia="Malgun Gothic"/>
          <w:bCs/>
          <w:lang w:val="fr-FR"/>
        </w:rPr>
        <w:t>’</w:t>
      </w:r>
      <w:r w:rsidRPr="004C1D01">
        <w:rPr>
          <w:rFonts w:eastAsia="Malgun Gothic"/>
          <w:bCs/>
          <w:lang w:val="fr-FR"/>
        </w:rPr>
        <w:t xml:space="preserve">évaluation avait constaté </w:t>
      </w:r>
      <w:r w:rsidR="000E1EF6">
        <w:rPr>
          <w:rFonts w:eastAsia="Malgun Gothic"/>
          <w:bCs/>
          <w:lang w:val="fr-FR"/>
        </w:rPr>
        <w:t>un</w:t>
      </w:r>
      <w:r w:rsidRPr="004C1D01">
        <w:rPr>
          <w:rFonts w:eastAsia="Malgun Gothic"/>
          <w:bCs/>
          <w:lang w:val="fr-FR"/>
        </w:rPr>
        <w:t xml:space="preserve"> manque d</w:t>
      </w:r>
      <w:r w:rsidR="00923E72">
        <w:rPr>
          <w:rFonts w:eastAsia="Malgun Gothic"/>
          <w:bCs/>
          <w:lang w:val="fr-FR"/>
        </w:rPr>
        <w:t>’</w:t>
      </w:r>
      <w:r w:rsidRPr="004C1D01">
        <w:rPr>
          <w:rFonts w:eastAsia="Malgun Gothic"/>
          <w:bCs/>
          <w:lang w:val="fr-FR"/>
        </w:rPr>
        <w:t>informations dans plusieurs dossiers</w:t>
      </w:r>
      <w:r w:rsidR="005B6804">
        <w:rPr>
          <w:rFonts w:eastAsia="Malgun Gothic"/>
          <w:bCs/>
          <w:lang w:val="fr-FR"/>
        </w:rPr>
        <w:t>,</w:t>
      </w:r>
      <w:r w:rsidRPr="004C1D01">
        <w:rPr>
          <w:rFonts w:eastAsia="Malgun Gothic"/>
          <w:bCs/>
          <w:lang w:val="fr-FR"/>
        </w:rPr>
        <w:t xml:space="preserve"> </w:t>
      </w:r>
      <w:r w:rsidR="005B6804">
        <w:rPr>
          <w:rFonts w:eastAsia="Malgun Gothic"/>
          <w:bCs/>
          <w:lang w:val="fr-FR"/>
        </w:rPr>
        <w:t xml:space="preserve">à propos de </w:t>
      </w:r>
      <w:r w:rsidR="00072B96" w:rsidRPr="00A11975">
        <w:rPr>
          <w:rFonts w:eastAsia="Malgun Gothic"/>
          <w:bCs/>
          <w:lang w:val="fr-FR"/>
        </w:rPr>
        <w:t>l</w:t>
      </w:r>
      <w:r w:rsidR="00AD7D1A">
        <w:rPr>
          <w:rFonts w:eastAsia="Malgun Gothic"/>
          <w:bCs/>
          <w:lang w:val="fr-FR"/>
        </w:rPr>
        <w:t>a participation</w:t>
      </w:r>
      <w:r w:rsidR="00072B96">
        <w:rPr>
          <w:rFonts w:eastAsia="Malgun Gothic"/>
          <w:bCs/>
          <w:lang w:val="fr-FR"/>
        </w:rPr>
        <w:t xml:space="preserve"> </w:t>
      </w:r>
      <w:r w:rsidRPr="004C1D01">
        <w:rPr>
          <w:rFonts w:eastAsia="Malgun Gothic"/>
          <w:bCs/>
          <w:lang w:val="fr-FR"/>
        </w:rPr>
        <w:t xml:space="preserve">des communautés </w:t>
      </w:r>
      <w:r w:rsidR="00AD7D1A">
        <w:rPr>
          <w:rFonts w:eastAsia="Malgun Gothic"/>
          <w:bCs/>
          <w:lang w:val="fr-FR"/>
        </w:rPr>
        <w:t xml:space="preserve">à </w:t>
      </w:r>
      <w:r w:rsidRPr="004C1D01">
        <w:rPr>
          <w:rFonts w:eastAsia="Malgun Gothic"/>
          <w:bCs/>
          <w:lang w:val="fr-FR"/>
        </w:rPr>
        <w:t>l</w:t>
      </w:r>
      <w:r w:rsidR="00923E72">
        <w:rPr>
          <w:rFonts w:eastAsia="Malgun Gothic"/>
          <w:bCs/>
          <w:lang w:val="fr-FR"/>
        </w:rPr>
        <w:t>’</w:t>
      </w:r>
      <w:r w:rsidRPr="004C1D01">
        <w:rPr>
          <w:rFonts w:eastAsia="Malgun Gothic"/>
          <w:bCs/>
          <w:lang w:val="fr-FR"/>
        </w:rPr>
        <w:t>élaboration et</w:t>
      </w:r>
      <w:r w:rsidR="005B6804">
        <w:rPr>
          <w:rFonts w:eastAsia="Malgun Gothic"/>
          <w:bCs/>
          <w:lang w:val="fr-FR"/>
        </w:rPr>
        <w:t xml:space="preserve"> </w:t>
      </w:r>
      <w:r w:rsidRPr="004C1D01">
        <w:rPr>
          <w:rFonts w:eastAsia="Malgun Gothic"/>
          <w:bCs/>
          <w:lang w:val="fr-FR"/>
        </w:rPr>
        <w:t>la mise en œuvre des mesures de sauvegarde proposées. Dans la mesure du possible, l</w:t>
      </w:r>
      <w:r w:rsidR="00923E72">
        <w:rPr>
          <w:rFonts w:eastAsia="Malgun Gothic"/>
          <w:bCs/>
          <w:lang w:val="fr-FR"/>
        </w:rPr>
        <w:t>’</w:t>
      </w:r>
      <w:r w:rsidRPr="004C1D01">
        <w:rPr>
          <w:rFonts w:eastAsia="Malgun Gothic"/>
          <w:bCs/>
          <w:lang w:val="fr-FR"/>
        </w:rPr>
        <w:t>Organe avait utilisé le processus de dialogue pour clarifier les informations présentées dans les dossiers. Dans certains dossiers, le formulaire de candidature comprenait une liste de communautés</w:t>
      </w:r>
      <w:r w:rsidR="004961C0">
        <w:rPr>
          <w:rFonts w:eastAsia="Malgun Gothic"/>
          <w:bCs/>
          <w:lang w:val="fr-FR"/>
        </w:rPr>
        <w:t xml:space="preserve"> </w:t>
      </w:r>
      <w:r w:rsidRPr="004C1D01">
        <w:rPr>
          <w:rFonts w:eastAsia="Malgun Gothic"/>
          <w:bCs/>
          <w:lang w:val="fr-FR"/>
        </w:rPr>
        <w:t>avec peu d</w:t>
      </w:r>
      <w:r w:rsidR="00923E72">
        <w:rPr>
          <w:rFonts w:eastAsia="Malgun Gothic"/>
          <w:bCs/>
          <w:lang w:val="fr-FR"/>
        </w:rPr>
        <w:t>’</w:t>
      </w:r>
      <w:r w:rsidRPr="004C1D01">
        <w:rPr>
          <w:rFonts w:eastAsia="Malgun Gothic"/>
          <w:bCs/>
          <w:lang w:val="fr-FR"/>
        </w:rPr>
        <w:t>informations sur l</w:t>
      </w:r>
      <w:r w:rsidR="004961C0">
        <w:rPr>
          <w:rFonts w:eastAsia="Malgun Gothic"/>
          <w:bCs/>
          <w:lang w:val="fr-FR"/>
        </w:rPr>
        <w:t xml:space="preserve">es modalités de leur </w:t>
      </w:r>
      <w:r w:rsidR="004961C0" w:rsidRPr="004961C0">
        <w:rPr>
          <w:rFonts w:eastAsia="Malgun Gothic"/>
          <w:bCs/>
          <w:lang w:val="fr-FR"/>
        </w:rPr>
        <w:t>parti</w:t>
      </w:r>
      <w:r w:rsidR="004961C0">
        <w:rPr>
          <w:rFonts w:eastAsia="Malgun Gothic"/>
          <w:bCs/>
          <w:lang w:val="fr-FR"/>
        </w:rPr>
        <w:t xml:space="preserve">cipation </w:t>
      </w:r>
      <w:r w:rsidRPr="004C1D01">
        <w:rPr>
          <w:rFonts w:eastAsia="Malgun Gothic"/>
          <w:bCs/>
          <w:lang w:val="fr-FR"/>
        </w:rPr>
        <w:t>à l</w:t>
      </w:r>
      <w:r w:rsidR="00923E72">
        <w:rPr>
          <w:rFonts w:eastAsia="Malgun Gothic"/>
          <w:bCs/>
          <w:lang w:val="fr-FR"/>
        </w:rPr>
        <w:t>’</w:t>
      </w:r>
      <w:r w:rsidRPr="004C1D01">
        <w:rPr>
          <w:rFonts w:eastAsia="Malgun Gothic"/>
          <w:bCs/>
          <w:lang w:val="fr-FR"/>
        </w:rPr>
        <w:t>élaboration et à la mise en œuvre des mesures proposées. Étant donné l</w:t>
      </w:r>
      <w:r w:rsidR="00923E72">
        <w:rPr>
          <w:rFonts w:eastAsia="Malgun Gothic"/>
          <w:bCs/>
          <w:lang w:val="fr-FR"/>
        </w:rPr>
        <w:t>’</w:t>
      </w:r>
      <w:r w:rsidRPr="004C1D01">
        <w:rPr>
          <w:rFonts w:eastAsia="Malgun Gothic"/>
          <w:bCs/>
          <w:lang w:val="fr-FR"/>
        </w:rPr>
        <w:t xml:space="preserve">importance de </w:t>
      </w:r>
      <w:r w:rsidR="00072B96" w:rsidRPr="00A11975">
        <w:rPr>
          <w:rFonts w:eastAsia="Malgun Gothic"/>
          <w:bCs/>
          <w:lang w:val="fr-FR"/>
        </w:rPr>
        <w:t>l</w:t>
      </w:r>
      <w:r w:rsidR="00AD7D1A">
        <w:rPr>
          <w:rFonts w:eastAsia="Malgun Gothic"/>
          <w:bCs/>
          <w:lang w:val="fr-FR"/>
        </w:rPr>
        <w:t>a participation</w:t>
      </w:r>
      <w:r w:rsidR="00072B96">
        <w:rPr>
          <w:rFonts w:eastAsia="Malgun Gothic"/>
          <w:bCs/>
          <w:lang w:val="fr-FR"/>
        </w:rPr>
        <w:t xml:space="preserve"> </w:t>
      </w:r>
      <w:r w:rsidRPr="004C1D01">
        <w:rPr>
          <w:rFonts w:eastAsia="Malgun Gothic"/>
          <w:bCs/>
          <w:lang w:val="fr-FR"/>
        </w:rPr>
        <w:t xml:space="preserve">des communautés </w:t>
      </w:r>
      <w:r w:rsidR="00AD7D1A">
        <w:rPr>
          <w:rFonts w:eastAsia="Malgun Gothic"/>
          <w:bCs/>
          <w:lang w:val="fr-FR"/>
        </w:rPr>
        <w:t>au</w:t>
      </w:r>
      <w:r w:rsidRPr="004C1D01">
        <w:rPr>
          <w:rFonts w:eastAsia="Malgun Gothic"/>
          <w:bCs/>
          <w:lang w:val="fr-FR"/>
        </w:rPr>
        <w:t xml:space="preserve"> processus de sauvegarde, l</w:t>
      </w:r>
      <w:r w:rsidR="00923E72">
        <w:rPr>
          <w:rFonts w:eastAsia="Malgun Gothic"/>
          <w:bCs/>
          <w:lang w:val="fr-FR"/>
        </w:rPr>
        <w:t>’</w:t>
      </w:r>
      <w:r w:rsidRPr="004C1D01">
        <w:rPr>
          <w:rFonts w:eastAsia="Malgun Gothic"/>
          <w:bCs/>
          <w:lang w:val="fr-FR"/>
        </w:rPr>
        <w:t>Organe d</w:t>
      </w:r>
      <w:r w:rsidR="00923E72">
        <w:rPr>
          <w:rFonts w:eastAsia="Malgun Gothic"/>
          <w:bCs/>
          <w:lang w:val="fr-FR"/>
        </w:rPr>
        <w:t>’</w:t>
      </w:r>
      <w:r w:rsidRPr="004C1D01">
        <w:rPr>
          <w:rFonts w:eastAsia="Malgun Gothic"/>
          <w:bCs/>
          <w:lang w:val="fr-FR"/>
        </w:rPr>
        <w:t xml:space="preserve">évaluation avait recommandé de renvoyer ces dossiers. </w:t>
      </w:r>
      <w:r w:rsidR="000E1EF6">
        <w:rPr>
          <w:rFonts w:eastAsia="Malgun Gothic"/>
          <w:bCs/>
          <w:lang w:val="fr-FR"/>
        </w:rPr>
        <w:t>S</w:t>
      </w:r>
      <w:r w:rsidR="00923E72">
        <w:rPr>
          <w:rFonts w:eastAsia="Malgun Gothic"/>
          <w:bCs/>
          <w:lang w:val="fr-FR"/>
        </w:rPr>
        <w:t>’</w:t>
      </w:r>
      <w:r w:rsidR="000E1EF6">
        <w:rPr>
          <w:rFonts w:eastAsia="Malgun Gothic"/>
          <w:bCs/>
          <w:lang w:val="fr-FR"/>
        </w:rPr>
        <w:t xml:space="preserve">agissant du </w:t>
      </w:r>
      <w:r w:rsidRPr="006E3034">
        <w:rPr>
          <w:rFonts w:eastAsia="Malgun Gothic"/>
          <w:bCs/>
          <w:lang w:val="fr-FR"/>
        </w:rPr>
        <w:t>critère</w:t>
      </w:r>
      <w:r w:rsidR="000E1EF6" w:rsidRPr="006E3034">
        <w:rPr>
          <w:rFonts w:eastAsia="Malgun Gothic"/>
          <w:bCs/>
          <w:lang w:val="fr-FR"/>
        </w:rPr>
        <w:t> </w:t>
      </w:r>
      <w:r w:rsidRPr="006E3034">
        <w:rPr>
          <w:rFonts w:eastAsia="Malgun Gothic"/>
          <w:bCs/>
          <w:lang w:val="fr-FR"/>
        </w:rPr>
        <w:t>U.4/R.4</w:t>
      </w:r>
      <w:r w:rsidRPr="009B4E71">
        <w:rPr>
          <w:rFonts w:eastAsia="Malgun Gothic"/>
          <w:bCs/>
          <w:lang w:val="fr-FR"/>
        </w:rPr>
        <w:t>,</w:t>
      </w:r>
      <w:r w:rsidRPr="004C1D01">
        <w:rPr>
          <w:rFonts w:eastAsia="Malgun Gothic"/>
          <w:bCs/>
          <w:lang w:val="fr-FR"/>
        </w:rPr>
        <w:t xml:space="preserve"> l</w:t>
      </w:r>
      <w:r w:rsidR="00923E72">
        <w:rPr>
          <w:rFonts w:eastAsia="Malgun Gothic"/>
          <w:bCs/>
          <w:lang w:val="fr-FR"/>
        </w:rPr>
        <w:t>’</w:t>
      </w:r>
      <w:r w:rsidRPr="004C1D01">
        <w:rPr>
          <w:rFonts w:eastAsia="Malgun Gothic"/>
          <w:bCs/>
          <w:lang w:val="fr-FR"/>
        </w:rPr>
        <w:t>Organe d</w:t>
      </w:r>
      <w:r w:rsidR="00923E72">
        <w:rPr>
          <w:rFonts w:eastAsia="Malgun Gothic"/>
          <w:bCs/>
          <w:lang w:val="fr-FR"/>
        </w:rPr>
        <w:t>’</w:t>
      </w:r>
      <w:r w:rsidRPr="004C1D01">
        <w:rPr>
          <w:rFonts w:eastAsia="Malgun Gothic"/>
          <w:bCs/>
          <w:lang w:val="fr-FR"/>
        </w:rPr>
        <w:t>évaluation soulign</w:t>
      </w:r>
      <w:r w:rsidR="000E1EF6">
        <w:rPr>
          <w:rFonts w:eastAsia="Malgun Gothic"/>
          <w:bCs/>
          <w:lang w:val="fr-FR"/>
        </w:rPr>
        <w:t>ait</w:t>
      </w:r>
      <w:r w:rsidRPr="004C1D01">
        <w:rPr>
          <w:rFonts w:eastAsia="Malgun Gothic"/>
          <w:bCs/>
          <w:lang w:val="fr-FR"/>
        </w:rPr>
        <w:t xml:space="preserve"> l</w:t>
      </w:r>
      <w:r w:rsidR="00923E72">
        <w:rPr>
          <w:rFonts w:eastAsia="Malgun Gothic"/>
          <w:bCs/>
          <w:lang w:val="fr-FR"/>
        </w:rPr>
        <w:t>’</w:t>
      </w:r>
      <w:r w:rsidRPr="004C1D01">
        <w:rPr>
          <w:rFonts w:eastAsia="Malgun Gothic"/>
          <w:bCs/>
          <w:lang w:val="fr-FR"/>
        </w:rPr>
        <w:t>importance de faire participer les détenteurs et les praticiens tout au long du processus de candidature. La majorité des dossiers mettaient en avant les différentes communautés et donnaient des précisions sur leur rôle dans les différentes étapes de la candidature, notamment sur la façon dont elles avaient participé à la préparation des informations, de la vidéo, des photographies, du processus d</w:t>
      </w:r>
      <w:r w:rsidR="00923E72">
        <w:rPr>
          <w:rFonts w:eastAsia="Malgun Gothic"/>
          <w:bCs/>
          <w:lang w:val="fr-FR"/>
        </w:rPr>
        <w:t>’</w:t>
      </w:r>
      <w:r w:rsidRPr="004C1D01">
        <w:rPr>
          <w:rFonts w:eastAsia="Malgun Gothic"/>
          <w:bCs/>
          <w:lang w:val="fr-FR"/>
        </w:rPr>
        <w:t>inventaire et d</w:t>
      </w:r>
      <w:r w:rsidR="00923E72">
        <w:rPr>
          <w:rFonts w:eastAsia="Malgun Gothic"/>
          <w:bCs/>
          <w:lang w:val="fr-FR"/>
        </w:rPr>
        <w:t>’</w:t>
      </w:r>
      <w:r w:rsidRPr="004C1D01">
        <w:rPr>
          <w:rFonts w:eastAsia="Malgun Gothic"/>
          <w:bCs/>
          <w:lang w:val="fr-FR"/>
        </w:rPr>
        <w:t xml:space="preserve">autres contributions. Cependant, dans un certain nombre de dossiers, les informations communiquées manquaient de détails concernant leur </w:t>
      </w:r>
      <w:r w:rsidR="00AD7D1A">
        <w:rPr>
          <w:rFonts w:eastAsia="Malgun Gothic"/>
          <w:bCs/>
          <w:lang w:val="fr-FR"/>
        </w:rPr>
        <w:t xml:space="preserve">participation </w:t>
      </w:r>
      <w:r w:rsidRPr="004C1D01">
        <w:rPr>
          <w:rFonts w:eastAsia="Malgun Gothic"/>
          <w:bCs/>
          <w:lang w:val="fr-FR"/>
        </w:rPr>
        <w:t>active. À cet égard, l</w:t>
      </w:r>
      <w:r w:rsidR="00923E72">
        <w:rPr>
          <w:rFonts w:eastAsia="Malgun Gothic"/>
          <w:bCs/>
          <w:lang w:val="fr-FR"/>
        </w:rPr>
        <w:t>’</w:t>
      </w:r>
      <w:r w:rsidRPr="004C1D01">
        <w:rPr>
          <w:rFonts w:eastAsia="Malgun Gothic"/>
          <w:bCs/>
          <w:lang w:val="fr-FR"/>
        </w:rPr>
        <w:t>Organe d</w:t>
      </w:r>
      <w:r w:rsidR="00923E72">
        <w:rPr>
          <w:rFonts w:eastAsia="Malgun Gothic"/>
          <w:bCs/>
          <w:lang w:val="fr-FR"/>
        </w:rPr>
        <w:t>’</w:t>
      </w:r>
      <w:r w:rsidRPr="004C1D01">
        <w:rPr>
          <w:rFonts w:eastAsia="Malgun Gothic"/>
          <w:bCs/>
          <w:lang w:val="fr-FR"/>
        </w:rPr>
        <w:t>évaluation encourageait les États parties à définir et à décrire les modalités d</w:t>
      </w:r>
      <w:r w:rsidR="00AD7D1A">
        <w:rPr>
          <w:rFonts w:eastAsia="Malgun Gothic"/>
          <w:bCs/>
          <w:lang w:val="fr-FR"/>
        </w:rPr>
        <w:t>e participation</w:t>
      </w:r>
      <w:r w:rsidR="00072B96" w:rsidRPr="004C1D01">
        <w:rPr>
          <w:rFonts w:eastAsia="Malgun Gothic"/>
          <w:bCs/>
          <w:lang w:val="fr-FR"/>
        </w:rPr>
        <w:t xml:space="preserve"> </w:t>
      </w:r>
      <w:r w:rsidRPr="004C1D01">
        <w:rPr>
          <w:rFonts w:eastAsia="Malgun Gothic"/>
          <w:bCs/>
          <w:lang w:val="fr-FR"/>
        </w:rPr>
        <w:t xml:space="preserve">des communautés </w:t>
      </w:r>
      <w:r w:rsidR="00AD7D1A">
        <w:rPr>
          <w:rFonts w:eastAsia="Malgun Gothic"/>
          <w:bCs/>
          <w:lang w:val="fr-FR"/>
        </w:rPr>
        <w:t xml:space="preserve">à </w:t>
      </w:r>
      <w:r w:rsidRPr="004C1D01">
        <w:rPr>
          <w:rFonts w:eastAsia="Malgun Gothic"/>
          <w:bCs/>
          <w:lang w:val="fr-FR"/>
        </w:rPr>
        <w:t>la préparation du dossier, ce manque de détails pouvant entraîner le renvoi d</w:t>
      </w:r>
      <w:r w:rsidR="00923E72">
        <w:rPr>
          <w:rFonts w:eastAsia="Malgun Gothic"/>
          <w:bCs/>
          <w:lang w:val="fr-FR"/>
        </w:rPr>
        <w:t>’</w:t>
      </w:r>
      <w:r w:rsidRPr="004C1D01">
        <w:rPr>
          <w:rFonts w:eastAsia="Malgun Gothic"/>
          <w:bCs/>
          <w:lang w:val="fr-FR"/>
        </w:rPr>
        <w:t>un dossier.</w:t>
      </w:r>
    </w:p>
    <w:p w14:paraId="79D0AC17" w14:textId="432C1D0F" w:rsidR="000E1EF6" w:rsidRDefault="000E1EF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E1EF6">
        <w:rPr>
          <w:rFonts w:eastAsia="Malgun Gothic"/>
          <w:bCs/>
          <w:lang w:val="fr-FR"/>
        </w:rPr>
        <w:lastRenderedPageBreak/>
        <w:t xml:space="preserve">Le </w:t>
      </w:r>
      <w:r w:rsidRPr="00702497">
        <w:rPr>
          <w:rFonts w:eastAsia="Malgun Gothic"/>
          <w:b/>
          <w:lang w:val="fr-FR"/>
        </w:rPr>
        <w:t>Rapporteur</w:t>
      </w:r>
      <w:r w:rsidRPr="000E1EF6">
        <w:rPr>
          <w:rFonts w:eastAsia="Malgun Gothic"/>
          <w:bCs/>
          <w:lang w:val="fr-FR"/>
        </w:rPr>
        <w:t xml:space="preserve"> s</w:t>
      </w:r>
      <w:r w:rsidR="00923E72">
        <w:rPr>
          <w:rFonts w:eastAsia="Malgun Gothic"/>
          <w:bCs/>
          <w:lang w:val="fr-FR"/>
        </w:rPr>
        <w:t>’</w:t>
      </w:r>
      <w:r w:rsidRPr="000E1EF6">
        <w:rPr>
          <w:rFonts w:eastAsia="Malgun Gothic"/>
          <w:bCs/>
          <w:lang w:val="fr-FR"/>
        </w:rPr>
        <w:t xml:space="preserve">est ensuite intéressé à la question des </w:t>
      </w:r>
      <w:r w:rsidRPr="006E3034">
        <w:rPr>
          <w:rFonts w:eastAsia="Malgun Gothic"/>
          <w:bCs/>
          <w:lang w:val="fr-FR"/>
        </w:rPr>
        <w:t>lettres de consentement</w:t>
      </w:r>
      <w:r w:rsidRPr="009B4E71">
        <w:rPr>
          <w:rFonts w:eastAsia="Malgun Gothic"/>
          <w:bCs/>
          <w:lang w:val="fr-FR"/>
        </w:rPr>
        <w:t>.</w:t>
      </w:r>
      <w:r w:rsidRPr="000E1EF6">
        <w:rPr>
          <w:rFonts w:eastAsia="Malgun Gothic"/>
          <w:bCs/>
          <w:lang w:val="fr-FR"/>
        </w:rPr>
        <w:t xml:space="preserve"> Dans ce cycle, l</w:t>
      </w:r>
      <w:r w:rsidR="00923E72">
        <w:rPr>
          <w:rFonts w:eastAsia="Malgun Gothic"/>
          <w:bCs/>
          <w:lang w:val="fr-FR"/>
        </w:rPr>
        <w:t>’</w:t>
      </w:r>
      <w:r w:rsidRPr="000E1EF6">
        <w:rPr>
          <w:rFonts w:eastAsia="Malgun Gothic"/>
          <w:bCs/>
          <w:lang w:val="fr-FR"/>
        </w:rPr>
        <w:t>Organe d</w:t>
      </w:r>
      <w:r w:rsidR="00923E72">
        <w:rPr>
          <w:rFonts w:eastAsia="Malgun Gothic"/>
          <w:bCs/>
          <w:lang w:val="fr-FR"/>
        </w:rPr>
        <w:t>’</w:t>
      </w:r>
      <w:r w:rsidRPr="000E1EF6">
        <w:rPr>
          <w:rFonts w:eastAsia="Malgun Gothic"/>
          <w:bCs/>
          <w:lang w:val="fr-FR"/>
        </w:rPr>
        <w:t xml:space="preserve">évaluation avait continué </w:t>
      </w:r>
      <w:r w:rsidR="00BF671E">
        <w:rPr>
          <w:rFonts w:eastAsia="Malgun Gothic"/>
          <w:bCs/>
          <w:lang w:val="fr-FR"/>
        </w:rPr>
        <w:t>de</w:t>
      </w:r>
      <w:r w:rsidRPr="000E1EF6">
        <w:rPr>
          <w:rFonts w:eastAsia="Malgun Gothic"/>
          <w:bCs/>
          <w:lang w:val="fr-FR"/>
        </w:rPr>
        <w:t xml:space="preserve"> voir des lettres standardisées et </w:t>
      </w:r>
      <w:proofErr w:type="spellStart"/>
      <w:r w:rsidRPr="000E1EF6">
        <w:rPr>
          <w:rFonts w:eastAsia="Malgun Gothic"/>
          <w:bCs/>
          <w:lang w:val="fr-FR"/>
        </w:rPr>
        <w:t>pré-remplies</w:t>
      </w:r>
      <w:proofErr w:type="spellEnd"/>
      <w:r w:rsidRPr="000E1EF6">
        <w:rPr>
          <w:rFonts w:eastAsia="Malgun Gothic"/>
          <w:bCs/>
          <w:lang w:val="fr-FR"/>
        </w:rPr>
        <w:t>, signées uniquement par divers membres des communautés concernées. L</w:t>
      </w:r>
      <w:r w:rsidR="00923E72">
        <w:rPr>
          <w:rFonts w:eastAsia="Malgun Gothic"/>
          <w:bCs/>
          <w:lang w:val="fr-FR"/>
        </w:rPr>
        <w:t>’</w:t>
      </w:r>
      <w:r w:rsidRPr="000E1EF6">
        <w:rPr>
          <w:rFonts w:eastAsia="Malgun Gothic"/>
          <w:bCs/>
          <w:lang w:val="fr-FR"/>
        </w:rPr>
        <w:t>Organe d</w:t>
      </w:r>
      <w:r w:rsidR="00923E72">
        <w:rPr>
          <w:rFonts w:eastAsia="Malgun Gothic"/>
          <w:bCs/>
          <w:lang w:val="fr-FR"/>
        </w:rPr>
        <w:t>’</w:t>
      </w:r>
      <w:r w:rsidRPr="000E1EF6">
        <w:rPr>
          <w:rFonts w:eastAsia="Malgun Gothic"/>
          <w:bCs/>
          <w:lang w:val="fr-FR"/>
        </w:rPr>
        <w:t>évaluation encourageait donc l</w:t>
      </w:r>
      <w:r w:rsidR="00923E72">
        <w:rPr>
          <w:rFonts w:eastAsia="Malgun Gothic"/>
          <w:bCs/>
          <w:lang w:val="fr-FR"/>
        </w:rPr>
        <w:t>’</w:t>
      </w:r>
      <w:r w:rsidRPr="000E1EF6">
        <w:rPr>
          <w:rFonts w:eastAsia="Malgun Gothic"/>
          <w:bCs/>
          <w:lang w:val="fr-FR"/>
        </w:rPr>
        <w:t xml:space="preserve">utilisation de lettres ou de vidéos personnalisées, car elles expriment mieux </w:t>
      </w:r>
      <w:r w:rsidR="00072B96" w:rsidRPr="00A11975">
        <w:rPr>
          <w:rFonts w:eastAsia="Malgun Gothic"/>
          <w:bCs/>
          <w:lang w:val="fr-FR"/>
        </w:rPr>
        <w:t>l</w:t>
      </w:r>
      <w:r w:rsidR="00AD7D1A">
        <w:rPr>
          <w:rFonts w:eastAsia="Malgun Gothic"/>
          <w:bCs/>
          <w:lang w:val="fr-FR"/>
        </w:rPr>
        <w:t>a participation</w:t>
      </w:r>
      <w:r w:rsidR="00072B96">
        <w:rPr>
          <w:rFonts w:eastAsia="Malgun Gothic"/>
          <w:bCs/>
          <w:lang w:val="fr-FR"/>
        </w:rPr>
        <w:t xml:space="preserve"> </w:t>
      </w:r>
      <w:r w:rsidRPr="000E1EF6">
        <w:rPr>
          <w:rFonts w:eastAsia="Malgun Gothic"/>
          <w:bCs/>
          <w:lang w:val="fr-FR"/>
        </w:rPr>
        <w:t xml:space="preserve">des communautés et leur consentement libre et préalable à la candidature. Certaines lettres de consentement faisaient référence à </w:t>
      </w:r>
      <w:r w:rsidR="008275D2">
        <w:rPr>
          <w:rFonts w:eastAsia="Malgun Gothic"/>
          <w:bCs/>
          <w:lang w:val="fr-FR"/>
        </w:rPr>
        <w:t>une</w:t>
      </w:r>
      <w:r w:rsidRPr="000E1EF6">
        <w:rPr>
          <w:rFonts w:eastAsia="Malgun Gothic"/>
          <w:bCs/>
          <w:lang w:val="fr-FR"/>
        </w:rPr>
        <w:t xml:space="preserve"> mauvaise liste, par exemple</w:t>
      </w:r>
      <w:r w:rsidR="008275D2">
        <w:rPr>
          <w:rFonts w:eastAsia="Malgun Gothic"/>
          <w:bCs/>
          <w:lang w:val="fr-FR"/>
        </w:rPr>
        <w:t>,</w:t>
      </w:r>
      <w:r w:rsidRPr="000E1EF6">
        <w:rPr>
          <w:rFonts w:eastAsia="Malgun Gothic"/>
          <w:bCs/>
          <w:lang w:val="fr-FR"/>
        </w:rPr>
        <w:t xml:space="preserve"> à la Liste du patrimoine mondial au lieu de l</w:t>
      </w:r>
      <w:r w:rsidR="00923E72">
        <w:rPr>
          <w:rFonts w:eastAsia="Malgun Gothic"/>
          <w:bCs/>
          <w:lang w:val="fr-FR"/>
        </w:rPr>
        <w:t>’</w:t>
      </w:r>
      <w:r w:rsidRPr="000E1EF6">
        <w:rPr>
          <w:rFonts w:eastAsia="Malgun Gothic"/>
          <w:bCs/>
          <w:lang w:val="fr-FR"/>
        </w:rPr>
        <w:t>une des listes du patrimoine culturel immatériel. Cette tendance soulignait la nécessité de sensibiliser les communautés du patrimoine à la nature et aux objectifs des listes du patrimoine culturel immatériel de l</w:t>
      </w:r>
      <w:r w:rsidR="00923E72">
        <w:rPr>
          <w:rFonts w:eastAsia="Malgun Gothic"/>
          <w:bCs/>
          <w:lang w:val="fr-FR"/>
        </w:rPr>
        <w:t>’</w:t>
      </w:r>
      <w:r w:rsidRPr="000E1EF6">
        <w:rPr>
          <w:rFonts w:eastAsia="Malgun Gothic"/>
          <w:bCs/>
          <w:lang w:val="fr-FR"/>
        </w:rPr>
        <w:t xml:space="preserve">UNESCO. </w:t>
      </w:r>
      <w:r w:rsidR="00E168CB">
        <w:rPr>
          <w:rFonts w:eastAsia="Malgun Gothic"/>
          <w:bCs/>
          <w:lang w:val="fr-FR"/>
        </w:rPr>
        <w:t>Par ailleurs, l</w:t>
      </w:r>
      <w:r w:rsidR="00923E72">
        <w:rPr>
          <w:rFonts w:eastAsia="Malgun Gothic"/>
          <w:bCs/>
          <w:lang w:val="fr-FR"/>
        </w:rPr>
        <w:t>’</w:t>
      </w:r>
      <w:r w:rsidRPr="000E1EF6">
        <w:rPr>
          <w:rFonts w:eastAsia="Malgun Gothic"/>
          <w:bCs/>
          <w:lang w:val="fr-FR"/>
        </w:rPr>
        <w:t>Organe</w:t>
      </w:r>
      <w:r w:rsidR="00BF671E">
        <w:rPr>
          <w:rFonts w:eastAsia="Malgun Gothic"/>
          <w:bCs/>
          <w:lang w:val="fr-FR"/>
        </w:rPr>
        <w:t xml:space="preserve"> mettait</w:t>
      </w:r>
      <w:r w:rsidRPr="000E1EF6">
        <w:rPr>
          <w:rFonts w:eastAsia="Malgun Gothic"/>
          <w:bCs/>
          <w:lang w:val="fr-FR"/>
        </w:rPr>
        <w:t xml:space="preserve"> l</w:t>
      </w:r>
      <w:r w:rsidR="00923E72">
        <w:rPr>
          <w:rFonts w:eastAsia="Malgun Gothic"/>
          <w:bCs/>
          <w:lang w:val="fr-FR"/>
        </w:rPr>
        <w:t>’</w:t>
      </w:r>
      <w:r w:rsidRPr="000E1EF6">
        <w:rPr>
          <w:rFonts w:eastAsia="Malgun Gothic"/>
          <w:bCs/>
          <w:lang w:val="fr-FR"/>
        </w:rPr>
        <w:t xml:space="preserve">accent sur </w:t>
      </w:r>
      <w:r w:rsidR="00E168CB">
        <w:rPr>
          <w:rFonts w:eastAsia="Malgun Gothic"/>
          <w:bCs/>
          <w:lang w:val="fr-FR"/>
        </w:rPr>
        <w:t>le sujet</w:t>
      </w:r>
      <w:r w:rsidR="00E168CB" w:rsidRPr="000E1EF6">
        <w:rPr>
          <w:rFonts w:eastAsia="Malgun Gothic"/>
          <w:bCs/>
          <w:lang w:val="fr-FR"/>
        </w:rPr>
        <w:t xml:space="preserve"> des </w:t>
      </w:r>
      <w:r w:rsidR="00E168CB" w:rsidRPr="006E3034">
        <w:rPr>
          <w:rFonts w:eastAsia="Malgun Gothic"/>
          <w:bCs/>
          <w:lang w:val="fr-FR"/>
        </w:rPr>
        <w:t>institutions publiques</w:t>
      </w:r>
      <w:r w:rsidR="00E168CB" w:rsidRPr="000E1EF6">
        <w:rPr>
          <w:rFonts w:eastAsia="Malgun Gothic"/>
          <w:bCs/>
          <w:lang w:val="fr-FR"/>
        </w:rPr>
        <w:t xml:space="preserve">, </w:t>
      </w:r>
      <w:r w:rsidR="00E168CB">
        <w:rPr>
          <w:rFonts w:eastAsia="Malgun Gothic"/>
          <w:bCs/>
          <w:lang w:val="fr-FR"/>
        </w:rPr>
        <w:t xml:space="preserve">en lien avec </w:t>
      </w:r>
      <w:r w:rsidRPr="000E1EF6">
        <w:rPr>
          <w:rFonts w:eastAsia="Malgun Gothic"/>
          <w:bCs/>
          <w:lang w:val="fr-FR"/>
        </w:rPr>
        <w:t>le rôle des fonctionnaires et la question de savoir si ces institutions et fonctionnaires devraient être considérés comme des membres et des représentants des communautés. Dans plusieurs dossiers</w:t>
      </w:r>
      <w:r w:rsidR="00E168CB">
        <w:rPr>
          <w:rFonts w:eastAsia="Malgun Gothic"/>
          <w:bCs/>
          <w:lang w:val="fr-FR"/>
        </w:rPr>
        <w:t>,</w:t>
      </w:r>
      <w:r w:rsidRPr="000E1EF6">
        <w:rPr>
          <w:rFonts w:eastAsia="Malgun Gothic"/>
          <w:bCs/>
          <w:lang w:val="fr-FR"/>
        </w:rPr>
        <w:t xml:space="preserve"> des organes de l</w:t>
      </w:r>
      <w:r w:rsidR="00923E72">
        <w:rPr>
          <w:rFonts w:eastAsia="Malgun Gothic"/>
          <w:bCs/>
          <w:lang w:val="fr-FR"/>
        </w:rPr>
        <w:t>’</w:t>
      </w:r>
      <w:r w:rsidRPr="000E1EF6">
        <w:rPr>
          <w:rFonts w:eastAsia="Malgun Gothic"/>
          <w:bCs/>
          <w:lang w:val="fr-FR"/>
        </w:rPr>
        <w:t>administration publique, tels que des ministères, des organes directeurs, des musées gérés par l</w:t>
      </w:r>
      <w:r w:rsidR="00923E72">
        <w:rPr>
          <w:rFonts w:eastAsia="Malgun Gothic"/>
          <w:bCs/>
          <w:lang w:val="fr-FR"/>
        </w:rPr>
        <w:t>’</w:t>
      </w:r>
      <w:r w:rsidRPr="000E1EF6">
        <w:rPr>
          <w:rFonts w:eastAsia="Malgun Gothic"/>
          <w:bCs/>
          <w:lang w:val="fr-FR"/>
        </w:rPr>
        <w:t>État, etc.</w:t>
      </w:r>
      <w:r w:rsidR="008275D2">
        <w:rPr>
          <w:rFonts w:eastAsia="Malgun Gothic"/>
          <w:bCs/>
          <w:lang w:val="fr-FR"/>
        </w:rPr>
        <w:t>,</w:t>
      </w:r>
      <w:r w:rsidR="00E168CB" w:rsidRPr="000E1EF6">
        <w:rPr>
          <w:rFonts w:eastAsia="Malgun Gothic"/>
          <w:bCs/>
          <w:lang w:val="fr-FR"/>
        </w:rPr>
        <w:t xml:space="preserve"> </w:t>
      </w:r>
      <w:r w:rsidR="00E168CB">
        <w:rPr>
          <w:rFonts w:eastAsia="Malgun Gothic"/>
          <w:bCs/>
          <w:lang w:val="fr-FR"/>
        </w:rPr>
        <w:t xml:space="preserve">étaient décrits comme étant </w:t>
      </w:r>
      <w:r w:rsidR="00E168CB" w:rsidRPr="000E1EF6">
        <w:rPr>
          <w:rFonts w:eastAsia="Malgun Gothic"/>
          <w:bCs/>
          <w:lang w:val="fr-FR"/>
        </w:rPr>
        <w:t xml:space="preserve">les communautés </w:t>
      </w:r>
      <w:r w:rsidR="00E168CB">
        <w:rPr>
          <w:rFonts w:eastAsia="Malgun Gothic"/>
          <w:bCs/>
          <w:lang w:val="fr-FR"/>
        </w:rPr>
        <w:t xml:space="preserve">concernées. </w:t>
      </w:r>
      <w:r w:rsidRPr="000E1EF6">
        <w:rPr>
          <w:rFonts w:eastAsia="Malgun Gothic"/>
          <w:bCs/>
          <w:lang w:val="fr-FR"/>
        </w:rPr>
        <w:t>En outre, des lettres de consentement étaient parfois fournies par des fonctionnaires et des institutions du Gouvernement. L</w:t>
      </w:r>
      <w:r w:rsidR="00923E72">
        <w:rPr>
          <w:rFonts w:eastAsia="Malgun Gothic"/>
          <w:bCs/>
          <w:lang w:val="fr-FR"/>
        </w:rPr>
        <w:t>’</w:t>
      </w:r>
      <w:r w:rsidR="0036149B">
        <w:rPr>
          <w:rFonts w:eastAsia="Malgun Gothic"/>
          <w:bCs/>
          <w:lang w:val="fr-FR"/>
        </w:rPr>
        <w:t xml:space="preserve">Organe </w:t>
      </w:r>
      <w:r w:rsidRPr="000E1EF6">
        <w:rPr>
          <w:rFonts w:eastAsia="Malgun Gothic"/>
          <w:bCs/>
          <w:lang w:val="fr-FR"/>
        </w:rPr>
        <w:t xml:space="preserve">avait tendance à considérer que ces fonctionnaires et institutions gouvernementales </w:t>
      </w:r>
      <w:r w:rsidR="0036149B">
        <w:rPr>
          <w:rFonts w:eastAsia="Malgun Gothic"/>
          <w:bCs/>
          <w:lang w:val="fr-FR"/>
        </w:rPr>
        <w:t>appartenaient à</w:t>
      </w:r>
      <w:r w:rsidRPr="000E1EF6">
        <w:rPr>
          <w:rFonts w:eastAsia="Malgun Gothic"/>
          <w:bCs/>
          <w:lang w:val="fr-FR"/>
        </w:rPr>
        <w:t xml:space="preserve"> l</w:t>
      </w:r>
      <w:r w:rsidR="00923E72">
        <w:rPr>
          <w:rFonts w:eastAsia="Malgun Gothic"/>
          <w:bCs/>
          <w:lang w:val="fr-FR"/>
        </w:rPr>
        <w:t>’</w:t>
      </w:r>
      <w:r w:rsidRPr="000E1EF6">
        <w:rPr>
          <w:rFonts w:eastAsia="Malgun Gothic"/>
          <w:bCs/>
          <w:lang w:val="fr-FR"/>
        </w:rPr>
        <w:t>État partie. Cependant, l</w:t>
      </w:r>
      <w:r w:rsidR="00923E72">
        <w:rPr>
          <w:rFonts w:eastAsia="Malgun Gothic"/>
          <w:bCs/>
          <w:lang w:val="fr-FR"/>
        </w:rPr>
        <w:t>’</w:t>
      </w:r>
      <w:r w:rsidRPr="000E1EF6">
        <w:rPr>
          <w:rFonts w:eastAsia="Malgun Gothic"/>
          <w:bCs/>
          <w:lang w:val="fr-FR"/>
        </w:rPr>
        <w:t>Organe reconnaissait que</w:t>
      </w:r>
      <w:r w:rsidR="008275D2">
        <w:rPr>
          <w:rFonts w:eastAsia="Malgun Gothic"/>
          <w:bCs/>
          <w:lang w:val="fr-FR"/>
        </w:rPr>
        <w:t>,</w:t>
      </w:r>
      <w:r w:rsidRPr="000E1EF6">
        <w:rPr>
          <w:rFonts w:eastAsia="Malgun Gothic"/>
          <w:bCs/>
          <w:lang w:val="fr-FR"/>
        </w:rPr>
        <w:t xml:space="preserve"> dans certains cas, les chefs d</w:t>
      </w:r>
      <w:r w:rsidR="00923E72">
        <w:rPr>
          <w:rFonts w:eastAsia="Malgun Gothic"/>
          <w:bCs/>
          <w:lang w:val="fr-FR"/>
        </w:rPr>
        <w:t>’</w:t>
      </w:r>
      <w:r w:rsidRPr="000E1EF6">
        <w:rPr>
          <w:rFonts w:eastAsia="Malgun Gothic"/>
          <w:bCs/>
          <w:lang w:val="fr-FR"/>
        </w:rPr>
        <w:t>organisations, de troupes ou de tribus pouvaient être considérés comme des représentants autorisés de la communauté. Leurs rôles devaient donc être clairement expliqués dans le dossier s</w:t>
      </w:r>
      <w:r w:rsidR="00923E72">
        <w:rPr>
          <w:rFonts w:eastAsia="Malgun Gothic"/>
          <w:bCs/>
          <w:lang w:val="fr-FR"/>
        </w:rPr>
        <w:t>’</w:t>
      </w:r>
      <w:r w:rsidRPr="000E1EF6">
        <w:rPr>
          <w:rFonts w:eastAsia="Malgun Gothic"/>
          <w:bCs/>
          <w:lang w:val="fr-FR"/>
        </w:rPr>
        <w:t>ils devaient être considérés comme faisant partie des communautés de l</w:t>
      </w:r>
      <w:r w:rsidR="00923E72">
        <w:rPr>
          <w:rFonts w:eastAsia="Malgun Gothic"/>
          <w:bCs/>
          <w:lang w:val="fr-FR"/>
        </w:rPr>
        <w:t>’</w:t>
      </w:r>
      <w:r w:rsidRPr="000E1EF6">
        <w:rPr>
          <w:rFonts w:eastAsia="Malgun Gothic"/>
          <w:bCs/>
          <w:lang w:val="fr-FR"/>
        </w:rPr>
        <w:t>élément candidat.</w:t>
      </w:r>
    </w:p>
    <w:p w14:paraId="4848B4F4" w14:textId="208FA2E9" w:rsidR="0036149B" w:rsidRDefault="00A1197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11975">
        <w:rPr>
          <w:rFonts w:eastAsia="Malgun Gothic"/>
          <w:bCs/>
          <w:lang w:val="fr-FR"/>
        </w:rPr>
        <w:t xml:space="preserve">Le </w:t>
      </w:r>
      <w:r w:rsidRPr="00702497">
        <w:rPr>
          <w:rFonts w:eastAsia="Malgun Gothic"/>
          <w:b/>
          <w:lang w:val="fr-FR"/>
        </w:rPr>
        <w:t>Rapporteur</w:t>
      </w:r>
      <w:r w:rsidRPr="00A11975">
        <w:rPr>
          <w:rFonts w:eastAsia="Malgun Gothic"/>
          <w:bCs/>
          <w:lang w:val="fr-FR"/>
        </w:rPr>
        <w:t xml:space="preserve"> est passé au </w:t>
      </w:r>
      <w:r w:rsidRPr="006E3034">
        <w:rPr>
          <w:rFonts w:eastAsia="Malgun Gothic"/>
          <w:bCs/>
          <w:lang w:val="fr-FR"/>
        </w:rPr>
        <w:t>critère</w:t>
      </w:r>
      <w:r w:rsidR="008F5CA2" w:rsidRPr="006E3034">
        <w:rPr>
          <w:rFonts w:eastAsia="Malgun Gothic"/>
          <w:bCs/>
          <w:lang w:val="fr-FR"/>
        </w:rPr>
        <w:t> </w:t>
      </w:r>
      <w:r w:rsidRPr="006E3034">
        <w:rPr>
          <w:rFonts w:eastAsia="Malgun Gothic"/>
          <w:bCs/>
          <w:lang w:val="fr-FR"/>
        </w:rPr>
        <w:t>R.5</w:t>
      </w:r>
      <w:r w:rsidRPr="00A11975">
        <w:rPr>
          <w:rFonts w:eastAsia="Malgun Gothic"/>
          <w:bCs/>
          <w:lang w:val="fr-FR"/>
        </w:rPr>
        <w:t>, que la majorité des dossiers avaient pu satisfaire, les États soumissionnaires ayant été en mesure de communiquer des informations détaillées sur leurs inventaires, y compris des sites web et des documents. Cependant, dans plusieurs dossiers, l</w:t>
      </w:r>
      <w:r w:rsidR="00923E72">
        <w:rPr>
          <w:rFonts w:eastAsia="Malgun Gothic"/>
          <w:bCs/>
          <w:lang w:val="fr-FR"/>
        </w:rPr>
        <w:t>’</w:t>
      </w:r>
      <w:r w:rsidRPr="00A11975">
        <w:rPr>
          <w:rFonts w:eastAsia="Malgun Gothic"/>
          <w:bCs/>
          <w:lang w:val="fr-FR"/>
        </w:rPr>
        <w:t>Organe avait constaté un manque d</w:t>
      </w:r>
      <w:r w:rsidR="00923E72">
        <w:rPr>
          <w:rFonts w:eastAsia="Malgun Gothic"/>
          <w:bCs/>
          <w:lang w:val="fr-FR"/>
        </w:rPr>
        <w:t>’</w:t>
      </w:r>
      <w:r w:rsidRPr="00A11975">
        <w:rPr>
          <w:rFonts w:eastAsia="Malgun Gothic"/>
          <w:bCs/>
          <w:lang w:val="fr-FR"/>
        </w:rPr>
        <w:t xml:space="preserve">informations </w:t>
      </w:r>
      <w:r w:rsidR="007B4B9F">
        <w:rPr>
          <w:rFonts w:eastAsia="Malgun Gothic"/>
          <w:bCs/>
          <w:lang w:val="fr-FR"/>
        </w:rPr>
        <w:t xml:space="preserve">sur </w:t>
      </w:r>
      <w:r w:rsidR="008275D2">
        <w:rPr>
          <w:rFonts w:eastAsia="Malgun Gothic"/>
          <w:bCs/>
          <w:lang w:val="fr-FR"/>
        </w:rPr>
        <w:t xml:space="preserve">la participation </w:t>
      </w:r>
      <w:r w:rsidRPr="00A11975">
        <w:rPr>
          <w:rFonts w:eastAsia="Malgun Gothic"/>
          <w:bCs/>
          <w:lang w:val="fr-FR"/>
        </w:rPr>
        <w:t xml:space="preserve">des communautés </w:t>
      </w:r>
      <w:r w:rsidR="008275D2">
        <w:rPr>
          <w:rFonts w:eastAsia="Malgun Gothic"/>
          <w:bCs/>
          <w:lang w:val="fr-FR"/>
        </w:rPr>
        <w:t>au</w:t>
      </w:r>
      <w:r w:rsidRPr="00A11975">
        <w:rPr>
          <w:rFonts w:eastAsia="Malgun Gothic"/>
          <w:bCs/>
          <w:lang w:val="fr-FR"/>
        </w:rPr>
        <w:t xml:space="preserve"> processus d</w:t>
      </w:r>
      <w:r w:rsidR="00923E72">
        <w:rPr>
          <w:rFonts w:eastAsia="Malgun Gothic"/>
          <w:bCs/>
          <w:lang w:val="fr-FR"/>
        </w:rPr>
        <w:t>’</w:t>
      </w:r>
      <w:r w:rsidRPr="00A11975">
        <w:rPr>
          <w:rFonts w:eastAsia="Malgun Gothic"/>
          <w:bCs/>
          <w:lang w:val="fr-FR"/>
        </w:rPr>
        <w:t>inventaire. Étant donné que les communautés jouent un rôle important dans l</w:t>
      </w:r>
      <w:r w:rsidR="00923E72">
        <w:rPr>
          <w:rFonts w:eastAsia="Malgun Gothic"/>
          <w:bCs/>
          <w:lang w:val="fr-FR"/>
        </w:rPr>
        <w:t>’</w:t>
      </w:r>
      <w:r w:rsidRPr="00A11975">
        <w:rPr>
          <w:rFonts w:eastAsia="Malgun Gothic"/>
          <w:bCs/>
          <w:lang w:val="fr-FR"/>
        </w:rPr>
        <w:t>inventaire de leur propre patrimoine culturel immatériel, l</w:t>
      </w:r>
      <w:r w:rsidR="00923E72">
        <w:rPr>
          <w:rFonts w:eastAsia="Malgun Gothic"/>
          <w:bCs/>
          <w:lang w:val="fr-FR"/>
        </w:rPr>
        <w:t>’</w:t>
      </w:r>
      <w:r w:rsidRPr="00A11975">
        <w:rPr>
          <w:rFonts w:eastAsia="Malgun Gothic"/>
          <w:bCs/>
          <w:lang w:val="fr-FR"/>
        </w:rPr>
        <w:t xml:space="preserve">Organe encourageait les États parties à veiller à ce que les inventaires soient dressés et mis à jour avec </w:t>
      </w:r>
      <w:r w:rsidR="008275D2">
        <w:rPr>
          <w:rFonts w:eastAsia="Malgun Gothic"/>
          <w:bCs/>
          <w:lang w:val="fr-FR"/>
        </w:rPr>
        <w:t xml:space="preserve">la participation </w:t>
      </w:r>
      <w:r w:rsidRPr="00A11975">
        <w:rPr>
          <w:rFonts w:eastAsia="Malgun Gothic"/>
          <w:bCs/>
          <w:lang w:val="fr-FR"/>
        </w:rPr>
        <w:t xml:space="preserve">des communautés. Le Rapporteur a ensuite abordé plusieurs questions thématiques, dont la première concernait </w:t>
      </w:r>
      <w:r w:rsidRPr="006E3034">
        <w:rPr>
          <w:rFonts w:eastAsia="Malgun Gothic"/>
          <w:bCs/>
          <w:lang w:val="fr-FR"/>
        </w:rPr>
        <w:t>les labels, les marques et les normes</w:t>
      </w:r>
      <w:r w:rsidRPr="009B4E71">
        <w:rPr>
          <w:rFonts w:eastAsia="Malgun Gothic"/>
          <w:bCs/>
          <w:lang w:val="fr-FR"/>
        </w:rPr>
        <w:t>.</w:t>
      </w:r>
      <w:r w:rsidRPr="00A11975">
        <w:rPr>
          <w:rFonts w:eastAsia="Malgun Gothic"/>
          <w:bCs/>
          <w:lang w:val="fr-FR"/>
        </w:rPr>
        <w:t xml:space="preserve"> Dans plusieurs dossiers, les États parties proposaient un nouveau label pour protéger la pratique ou le savoir-faire contre l</w:t>
      </w:r>
      <w:r w:rsidR="00923E72">
        <w:rPr>
          <w:rFonts w:eastAsia="Malgun Gothic"/>
          <w:bCs/>
          <w:lang w:val="fr-FR"/>
        </w:rPr>
        <w:t>’</w:t>
      </w:r>
      <w:r w:rsidRPr="00A11975">
        <w:rPr>
          <w:rFonts w:eastAsia="Malgun Gothic"/>
          <w:bCs/>
          <w:lang w:val="fr-FR"/>
        </w:rPr>
        <w:t>appropriation illicite. L</w:t>
      </w:r>
      <w:r w:rsidR="00923E72">
        <w:rPr>
          <w:rFonts w:eastAsia="Malgun Gothic"/>
          <w:bCs/>
          <w:lang w:val="fr-FR"/>
        </w:rPr>
        <w:t>’</w:t>
      </w:r>
      <w:r w:rsidRPr="00A11975">
        <w:rPr>
          <w:rFonts w:eastAsia="Malgun Gothic"/>
          <w:bCs/>
          <w:lang w:val="fr-FR"/>
        </w:rPr>
        <w:t>Organe reconnaissait que les labels peuvent aider à faire connaître les éléments et les connaissances et compétences qui y sont associées, mais</w:t>
      </w:r>
      <w:r w:rsidR="007B4B9F">
        <w:rPr>
          <w:rFonts w:eastAsia="Malgun Gothic"/>
          <w:bCs/>
          <w:lang w:val="fr-FR"/>
        </w:rPr>
        <w:t>,</w:t>
      </w:r>
      <w:r w:rsidRPr="00A11975">
        <w:rPr>
          <w:rFonts w:eastAsia="Malgun Gothic"/>
          <w:bCs/>
          <w:lang w:val="fr-FR"/>
        </w:rPr>
        <w:t xml:space="preserve"> en même temps, il était important de veiller à ce que ces labels et marques ne soient pas utilisés pour revendiquer l</w:t>
      </w:r>
      <w:r w:rsidR="00923E72">
        <w:rPr>
          <w:rFonts w:eastAsia="Malgun Gothic"/>
          <w:bCs/>
          <w:lang w:val="fr-FR"/>
        </w:rPr>
        <w:t>’</w:t>
      </w:r>
      <w:r w:rsidRPr="00A11975">
        <w:rPr>
          <w:rFonts w:eastAsia="Malgun Gothic"/>
          <w:bCs/>
          <w:lang w:val="fr-FR"/>
        </w:rPr>
        <w:t>authenticité ou la propriété de l</w:t>
      </w:r>
      <w:r w:rsidR="00923E72">
        <w:rPr>
          <w:rFonts w:eastAsia="Malgun Gothic"/>
          <w:bCs/>
          <w:lang w:val="fr-FR"/>
        </w:rPr>
        <w:t>’</w:t>
      </w:r>
      <w:r w:rsidRPr="00A11975">
        <w:rPr>
          <w:rFonts w:eastAsia="Malgun Gothic"/>
          <w:bCs/>
          <w:lang w:val="fr-FR"/>
        </w:rPr>
        <w:t>élément, ce qui est contraire à l</w:t>
      </w:r>
      <w:r w:rsidR="00923E72">
        <w:rPr>
          <w:rFonts w:eastAsia="Malgun Gothic"/>
          <w:bCs/>
          <w:lang w:val="fr-FR"/>
        </w:rPr>
        <w:t>’</w:t>
      </w:r>
      <w:r w:rsidRPr="00A11975">
        <w:rPr>
          <w:rFonts w:eastAsia="Malgun Gothic"/>
          <w:bCs/>
          <w:lang w:val="fr-FR"/>
        </w:rPr>
        <w:t>esprit de la Convention. Dans d</w:t>
      </w:r>
      <w:r w:rsidR="00923E72">
        <w:rPr>
          <w:rFonts w:eastAsia="Malgun Gothic"/>
          <w:bCs/>
          <w:lang w:val="fr-FR"/>
        </w:rPr>
        <w:t>’</w:t>
      </w:r>
      <w:r w:rsidRPr="00A11975">
        <w:rPr>
          <w:rFonts w:eastAsia="Malgun Gothic"/>
          <w:bCs/>
          <w:lang w:val="fr-FR"/>
        </w:rPr>
        <w:t>autres dossiers, en particulier ceux concernant des pratiques alimentaires ou artisanales, il était proposé d</w:t>
      </w:r>
      <w:r w:rsidR="00923E72">
        <w:rPr>
          <w:rFonts w:eastAsia="Malgun Gothic"/>
          <w:bCs/>
          <w:lang w:val="fr-FR"/>
        </w:rPr>
        <w:t>’</w:t>
      </w:r>
      <w:r w:rsidRPr="00A11975">
        <w:rPr>
          <w:rFonts w:eastAsia="Malgun Gothic"/>
          <w:bCs/>
          <w:lang w:val="fr-FR"/>
        </w:rPr>
        <w:t>établir des normes afin de s</w:t>
      </w:r>
      <w:r w:rsidR="00923E72">
        <w:rPr>
          <w:rFonts w:eastAsia="Malgun Gothic"/>
          <w:bCs/>
          <w:lang w:val="fr-FR"/>
        </w:rPr>
        <w:t>’</w:t>
      </w:r>
      <w:r w:rsidRPr="00A11975">
        <w:rPr>
          <w:rFonts w:eastAsia="Malgun Gothic"/>
          <w:bCs/>
          <w:lang w:val="fr-FR"/>
        </w:rPr>
        <w:t xml:space="preserve">assurer que la pratique puisse être exécutée de la même façon standard. </w:t>
      </w:r>
      <w:r w:rsidR="007B4B9F">
        <w:rPr>
          <w:rFonts w:eastAsia="Malgun Gothic"/>
          <w:bCs/>
          <w:lang w:val="fr-FR"/>
        </w:rPr>
        <w:t>L</w:t>
      </w:r>
      <w:r w:rsidR="00923E72">
        <w:rPr>
          <w:rFonts w:eastAsia="Malgun Gothic"/>
          <w:bCs/>
          <w:lang w:val="fr-FR"/>
        </w:rPr>
        <w:t>’</w:t>
      </w:r>
      <w:r w:rsidR="007B4B9F">
        <w:rPr>
          <w:rFonts w:eastAsia="Malgun Gothic"/>
          <w:bCs/>
          <w:lang w:val="fr-FR"/>
        </w:rPr>
        <w:t>Organe tenait à rappeler que s</w:t>
      </w:r>
      <w:r w:rsidRPr="00A11975">
        <w:rPr>
          <w:rFonts w:eastAsia="Malgun Gothic"/>
          <w:bCs/>
          <w:lang w:val="fr-FR"/>
        </w:rPr>
        <w:t xml:space="preserve">i les normes </w:t>
      </w:r>
      <w:r w:rsidR="007B4B9F">
        <w:rPr>
          <w:rFonts w:eastAsia="Malgun Gothic"/>
          <w:bCs/>
          <w:lang w:val="fr-FR"/>
        </w:rPr>
        <w:t xml:space="preserve">peuvent </w:t>
      </w:r>
      <w:r w:rsidRPr="00A11975">
        <w:rPr>
          <w:rFonts w:eastAsia="Malgun Gothic"/>
          <w:bCs/>
          <w:lang w:val="fr-FR"/>
        </w:rPr>
        <w:t>être utiles pour définir les caractéristiques et les techniques d</w:t>
      </w:r>
      <w:r w:rsidR="00923E72">
        <w:rPr>
          <w:rFonts w:eastAsia="Malgun Gothic"/>
          <w:bCs/>
          <w:lang w:val="fr-FR"/>
        </w:rPr>
        <w:t>’</w:t>
      </w:r>
      <w:r w:rsidRPr="00A11975">
        <w:rPr>
          <w:rFonts w:eastAsia="Malgun Gothic"/>
          <w:bCs/>
          <w:lang w:val="fr-FR"/>
        </w:rPr>
        <w:t xml:space="preserve">un élément, elles </w:t>
      </w:r>
      <w:r w:rsidR="007B4B9F">
        <w:rPr>
          <w:rFonts w:eastAsia="Malgun Gothic"/>
          <w:bCs/>
          <w:lang w:val="fr-FR"/>
        </w:rPr>
        <w:t xml:space="preserve">risquent </w:t>
      </w:r>
      <w:r w:rsidRPr="00A11975">
        <w:rPr>
          <w:rFonts w:eastAsia="Malgun Gothic"/>
          <w:bCs/>
          <w:lang w:val="fr-FR"/>
        </w:rPr>
        <w:t xml:space="preserve">également de figer le patrimoine vivant et de limiter la créativité humaine. À cet égard, </w:t>
      </w:r>
      <w:r w:rsidR="007B4B9F">
        <w:rPr>
          <w:rFonts w:eastAsia="Malgun Gothic"/>
          <w:bCs/>
          <w:lang w:val="fr-FR"/>
        </w:rPr>
        <w:t>il</w:t>
      </w:r>
      <w:r w:rsidRPr="00A11975">
        <w:rPr>
          <w:rFonts w:eastAsia="Malgun Gothic"/>
          <w:bCs/>
          <w:lang w:val="fr-FR"/>
        </w:rPr>
        <w:t xml:space="preserve"> encourageait les États à prêter une attention particulière à cette question et à expliquer comment les </w:t>
      </w:r>
      <w:r w:rsidR="007B4B9F">
        <w:rPr>
          <w:rFonts w:eastAsia="Malgun Gothic"/>
          <w:bCs/>
          <w:lang w:val="fr-FR"/>
        </w:rPr>
        <w:t xml:space="preserve">labels </w:t>
      </w:r>
      <w:r w:rsidRPr="00A11975">
        <w:rPr>
          <w:rFonts w:eastAsia="Malgun Gothic"/>
          <w:bCs/>
          <w:lang w:val="fr-FR"/>
        </w:rPr>
        <w:t>ou les normes proposés renforceraient la viabilité de l</w:t>
      </w:r>
      <w:r w:rsidR="00923E72">
        <w:rPr>
          <w:rFonts w:eastAsia="Malgun Gothic"/>
          <w:bCs/>
          <w:lang w:val="fr-FR"/>
        </w:rPr>
        <w:t>’</w:t>
      </w:r>
      <w:r w:rsidRPr="00A11975">
        <w:rPr>
          <w:rFonts w:eastAsia="Malgun Gothic"/>
          <w:bCs/>
          <w:lang w:val="fr-FR"/>
        </w:rPr>
        <w:t>élément tout en n</w:t>
      </w:r>
      <w:r w:rsidR="00923E72">
        <w:rPr>
          <w:rFonts w:eastAsia="Malgun Gothic"/>
          <w:bCs/>
          <w:lang w:val="fr-FR"/>
        </w:rPr>
        <w:t>’</w:t>
      </w:r>
      <w:r w:rsidRPr="00A11975">
        <w:rPr>
          <w:rFonts w:eastAsia="Malgun Gothic"/>
          <w:bCs/>
          <w:lang w:val="fr-FR"/>
        </w:rPr>
        <w:t>ay</w:t>
      </w:r>
      <w:r w:rsidR="007B4B9F">
        <w:rPr>
          <w:rFonts w:eastAsia="Malgun Gothic"/>
          <w:bCs/>
          <w:lang w:val="fr-FR"/>
        </w:rPr>
        <w:t>ant</w:t>
      </w:r>
      <w:r w:rsidRPr="00A11975">
        <w:rPr>
          <w:rFonts w:eastAsia="Malgun Gothic"/>
          <w:bCs/>
          <w:lang w:val="fr-FR"/>
        </w:rPr>
        <w:t xml:space="preserve"> pas d</w:t>
      </w:r>
      <w:r w:rsidR="00923E72">
        <w:rPr>
          <w:rFonts w:eastAsia="Malgun Gothic"/>
          <w:bCs/>
          <w:lang w:val="fr-FR"/>
        </w:rPr>
        <w:t>’</w:t>
      </w:r>
      <w:r w:rsidRPr="00A11975">
        <w:rPr>
          <w:rFonts w:eastAsia="Malgun Gothic"/>
          <w:bCs/>
          <w:lang w:val="fr-FR"/>
        </w:rPr>
        <w:t>incidence</w:t>
      </w:r>
      <w:r w:rsidR="007B4B9F">
        <w:rPr>
          <w:rFonts w:eastAsia="Malgun Gothic"/>
          <w:bCs/>
          <w:lang w:val="fr-FR"/>
        </w:rPr>
        <w:t>s</w:t>
      </w:r>
      <w:r w:rsidRPr="00A11975">
        <w:rPr>
          <w:rFonts w:eastAsia="Malgun Gothic"/>
          <w:bCs/>
          <w:lang w:val="fr-FR"/>
        </w:rPr>
        <w:t xml:space="preserve"> sur la créativité de l</w:t>
      </w:r>
      <w:r w:rsidR="00923E72">
        <w:rPr>
          <w:rFonts w:eastAsia="Malgun Gothic"/>
          <w:bCs/>
          <w:lang w:val="fr-FR"/>
        </w:rPr>
        <w:t>’</w:t>
      </w:r>
      <w:r w:rsidRPr="00A11975">
        <w:rPr>
          <w:rFonts w:eastAsia="Malgun Gothic"/>
          <w:bCs/>
          <w:lang w:val="fr-FR"/>
        </w:rPr>
        <w:t>homme et la nature vivante de l</w:t>
      </w:r>
      <w:r w:rsidR="00923E72">
        <w:rPr>
          <w:rFonts w:eastAsia="Malgun Gothic"/>
          <w:bCs/>
          <w:lang w:val="fr-FR"/>
        </w:rPr>
        <w:t>’</w:t>
      </w:r>
      <w:r w:rsidRPr="00A11975">
        <w:rPr>
          <w:rFonts w:eastAsia="Malgun Gothic"/>
          <w:bCs/>
          <w:lang w:val="fr-FR"/>
        </w:rPr>
        <w:t xml:space="preserve">élément. </w:t>
      </w:r>
      <w:r w:rsidR="008275D2">
        <w:rPr>
          <w:rFonts w:eastAsia="Malgun Gothic"/>
          <w:bCs/>
          <w:lang w:val="fr-FR"/>
        </w:rPr>
        <w:t>S</w:t>
      </w:r>
      <w:r w:rsidR="00923E72">
        <w:rPr>
          <w:rFonts w:eastAsia="Malgun Gothic"/>
          <w:bCs/>
          <w:lang w:val="fr-FR"/>
        </w:rPr>
        <w:t>’</w:t>
      </w:r>
      <w:r w:rsidR="008275D2">
        <w:rPr>
          <w:rFonts w:eastAsia="Malgun Gothic"/>
          <w:bCs/>
          <w:lang w:val="fr-FR"/>
        </w:rPr>
        <w:t>agissant de</w:t>
      </w:r>
      <w:r w:rsidRPr="00A11975">
        <w:rPr>
          <w:rFonts w:eastAsia="Malgun Gothic"/>
          <w:bCs/>
          <w:lang w:val="fr-FR"/>
        </w:rPr>
        <w:t xml:space="preserve"> la question de la </w:t>
      </w:r>
      <w:r w:rsidRPr="006E3034">
        <w:rPr>
          <w:rFonts w:eastAsia="Malgun Gothic"/>
          <w:bCs/>
          <w:lang w:val="fr-FR"/>
        </w:rPr>
        <w:t>commercialisation</w:t>
      </w:r>
      <w:r w:rsidRPr="00A11975">
        <w:rPr>
          <w:rFonts w:eastAsia="Malgun Gothic"/>
          <w:bCs/>
          <w:lang w:val="fr-FR"/>
        </w:rPr>
        <w:t>, l</w:t>
      </w:r>
      <w:r w:rsidR="00923E72">
        <w:rPr>
          <w:rFonts w:eastAsia="Malgun Gothic"/>
          <w:bCs/>
          <w:lang w:val="fr-FR"/>
        </w:rPr>
        <w:t>’</w:t>
      </w:r>
      <w:r w:rsidRPr="00A11975">
        <w:rPr>
          <w:rFonts w:eastAsia="Malgun Gothic"/>
          <w:bCs/>
          <w:lang w:val="fr-FR"/>
        </w:rPr>
        <w:t>Organe reconnaissait que les activités commerciales sont une source importante de revenus pour les praticiens. Plusieurs dossiers établissaient des liens positifs entre le patrimoine culturel immatériel et les moyens de subsistance durables des communautés, en décrivant les mécanismes de suivi mis en place pour remédier aux conséquences non intentionnelles de l</w:t>
      </w:r>
      <w:r w:rsidR="00923E72">
        <w:rPr>
          <w:rFonts w:eastAsia="Malgun Gothic"/>
          <w:bCs/>
          <w:lang w:val="fr-FR"/>
        </w:rPr>
        <w:t>’</w:t>
      </w:r>
      <w:r w:rsidRPr="00A11975">
        <w:rPr>
          <w:rFonts w:eastAsia="Malgun Gothic"/>
          <w:bCs/>
          <w:lang w:val="fr-FR"/>
        </w:rPr>
        <w:t>inscription. D</w:t>
      </w:r>
      <w:r w:rsidR="00923E72">
        <w:rPr>
          <w:rFonts w:eastAsia="Malgun Gothic"/>
          <w:bCs/>
          <w:lang w:val="fr-FR"/>
        </w:rPr>
        <w:t>’</w:t>
      </w:r>
      <w:r w:rsidRPr="00A11975">
        <w:rPr>
          <w:rFonts w:eastAsia="Malgun Gothic"/>
          <w:bCs/>
          <w:lang w:val="fr-FR"/>
        </w:rPr>
        <w:t>un autre côté, il pouvait y avoir un risque de commercialisation excessive et de décontextualisation de ces pratiques si ces activités n</w:t>
      </w:r>
      <w:r w:rsidR="00923E72">
        <w:rPr>
          <w:rFonts w:eastAsia="Malgun Gothic"/>
          <w:bCs/>
          <w:lang w:val="fr-FR"/>
        </w:rPr>
        <w:t>’</w:t>
      </w:r>
      <w:r w:rsidRPr="00A11975">
        <w:rPr>
          <w:rFonts w:eastAsia="Malgun Gothic"/>
          <w:bCs/>
          <w:lang w:val="fr-FR"/>
        </w:rPr>
        <w:t>étaient pas bien gérées. Plusieurs dossiers, en particulier les dossiers concernant l</w:t>
      </w:r>
      <w:r w:rsidR="00923E72">
        <w:rPr>
          <w:rFonts w:eastAsia="Malgun Gothic"/>
          <w:bCs/>
          <w:lang w:val="fr-FR"/>
        </w:rPr>
        <w:t>’</w:t>
      </w:r>
      <w:r w:rsidRPr="00A11975">
        <w:rPr>
          <w:rFonts w:eastAsia="Malgun Gothic"/>
          <w:bCs/>
          <w:lang w:val="fr-FR"/>
        </w:rPr>
        <w:t>artisanat et les modes d</w:t>
      </w:r>
      <w:r w:rsidR="00923E72">
        <w:rPr>
          <w:rFonts w:eastAsia="Malgun Gothic"/>
          <w:bCs/>
          <w:lang w:val="fr-FR"/>
        </w:rPr>
        <w:t>’</w:t>
      </w:r>
      <w:r w:rsidRPr="00A11975">
        <w:rPr>
          <w:rFonts w:eastAsia="Malgun Gothic"/>
          <w:bCs/>
          <w:lang w:val="fr-FR"/>
        </w:rPr>
        <w:t>alimentation, négligeaient parfois le problème en restant silencieux et en ne donnant pas de détails sur les éventuelles conséquences involontaires [de l</w:t>
      </w:r>
      <w:r w:rsidR="00923E72">
        <w:rPr>
          <w:rFonts w:eastAsia="Malgun Gothic"/>
          <w:bCs/>
          <w:lang w:val="fr-FR"/>
        </w:rPr>
        <w:t>’</w:t>
      </w:r>
      <w:r w:rsidRPr="00A11975">
        <w:rPr>
          <w:rFonts w:eastAsia="Malgun Gothic"/>
          <w:bCs/>
          <w:lang w:val="fr-FR"/>
        </w:rPr>
        <w:t>inscription] et sur la manière dont ils entendaient les atténuer. Ils ne donnaient pas non plus de détails sur la manière dont ils comptaient remédier à ce risque. Il s</w:t>
      </w:r>
      <w:r w:rsidR="00923E72">
        <w:rPr>
          <w:rFonts w:eastAsia="Malgun Gothic"/>
          <w:bCs/>
          <w:lang w:val="fr-FR"/>
        </w:rPr>
        <w:t>’</w:t>
      </w:r>
      <w:r w:rsidRPr="00A11975">
        <w:rPr>
          <w:rFonts w:eastAsia="Malgun Gothic"/>
          <w:bCs/>
          <w:lang w:val="fr-FR"/>
        </w:rPr>
        <w:t>agissait d</w:t>
      </w:r>
      <w:r w:rsidR="00923E72">
        <w:rPr>
          <w:rFonts w:eastAsia="Malgun Gothic"/>
          <w:bCs/>
          <w:lang w:val="fr-FR"/>
        </w:rPr>
        <w:t>’</w:t>
      </w:r>
      <w:r w:rsidRPr="00A11975">
        <w:rPr>
          <w:rFonts w:eastAsia="Malgun Gothic"/>
          <w:bCs/>
          <w:lang w:val="fr-FR"/>
        </w:rPr>
        <w:t xml:space="preserve">un problème récurrent et le Secrétariat était </w:t>
      </w:r>
      <w:r w:rsidRPr="00A11975">
        <w:rPr>
          <w:rFonts w:eastAsia="Malgun Gothic"/>
          <w:bCs/>
          <w:lang w:val="fr-FR"/>
        </w:rPr>
        <w:lastRenderedPageBreak/>
        <w:t>en train d</w:t>
      </w:r>
      <w:r w:rsidR="00923E72">
        <w:rPr>
          <w:rFonts w:eastAsia="Malgun Gothic"/>
          <w:bCs/>
          <w:lang w:val="fr-FR"/>
        </w:rPr>
        <w:t>’</w:t>
      </w:r>
      <w:r w:rsidRPr="00A11975">
        <w:rPr>
          <w:rFonts w:eastAsia="Malgun Gothic"/>
          <w:bCs/>
          <w:lang w:val="fr-FR"/>
        </w:rPr>
        <w:t>élaborer une note d</w:t>
      </w:r>
      <w:r w:rsidR="00923E72">
        <w:rPr>
          <w:rFonts w:eastAsia="Malgun Gothic"/>
          <w:bCs/>
          <w:lang w:val="fr-FR"/>
        </w:rPr>
        <w:t>’</w:t>
      </w:r>
      <w:r w:rsidRPr="00A11975">
        <w:rPr>
          <w:rFonts w:eastAsia="Malgun Gothic"/>
          <w:bCs/>
          <w:lang w:val="fr-FR"/>
        </w:rPr>
        <w:t>orientation sur la commercialisation. Au cours de ce cycle, un nombre important de dossiers étaient liés à l</w:t>
      </w:r>
      <w:r w:rsidR="00923E72">
        <w:rPr>
          <w:rFonts w:eastAsia="Malgun Gothic"/>
          <w:bCs/>
          <w:lang w:val="fr-FR"/>
        </w:rPr>
        <w:t>’</w:t>
      </w:r>
      <w:r w:rsidRPr="00A11975">
        <w:rPr>
          <w:rFonts w:eastAsia="Malgun Gothic"/>
          <w:bCs/>
          <w:lang w:val="fr-FR"/>
        </w:rPr>
        <w:t>artisanat et aux modes d</w:t>
      </w:r>
      <w:r w:rsidR="00923E72">
        <w:rPr>
          <w:rFonts w:eastAsia="Malgun Gothic"/>
          <w:bCs/>
          <w:lang w:val="fr-FR"/>
        </w:rPr>
        <w:t>’</w:t>
      </w:r>
      <w:r w:rsidRPr="00A11975">
        <w:rPr>
          <w:rFonts w:eastAsia="Malgun Gothic"/>
          <w:bCs/>
          <w:lang w:val="fr-FR"/>
        </w:rPr>
        <w:t>alimentation</w:t>
      </w:r>
      <w:r w:rsidR="00DE646A">
        <w:rPr>
          <w:rFonts w:eastAsia="Malgun Gothic"/>
          <w:bCs/>
          <w:lang w:val="fr-FR"/>
        </w:rPr>
        <w:t> </w:t>
      </w:r>
      <w:r w:rsidRPr="00A11975">
        <w:rPr>
          <w:rFonts w:eastAsia="Malgun Gothic"/>
          <w:bCs/>
          <w:lang w:val="fr-FR"/>
        </w:rPr>
        <w:t>:</w:t>
      </w:r>
      <w:r w:rsidR="008275D2">
        <w:rPr>
          <w:rFonts w:eastAsia="Malgun Gothic"/>
          <w:bCs/>
          <w:lang w:val="fr-FR"/>
        </w:rPr>
        <w:t> </w:t>
      </w:r>
      <w:r w:rsidRPr="00A11975">
        <w:rPr>
          <w:rFonts w:eastAsia="Malgun Gothic"/>
          <w:bCs/>
          <w:lang w:val="fr-FR"/>
        </w:rPr>
        <w:t>32</w:t>
      </w:r>
      <w:r w:rsidR="00DE646A">
        <w:rPr>
          <w:rFonts w:eastAsia="Malgun Gothic"/>
          <w:bCs/>
          <w:lang w:val="fr-FR"/>
        </w:rPr>
        <w:t> </w:t>
      </w:r>
      <w:r w:rsidRPr="00A11975">
        <w:rPr>
          <w:rFonts w:eastAsia="Malgun Gothic"/>
          <w:bCs/>
          <w:lang w:val="fr-FR"/>
        </w:rPr>
        <w:t>% des dossiers étaient liés à l</w:t>
      </w:r>
      <w:r w:rsidR="00923E72">
        <w:rPr>
          <w:rFonts w:eastAsia="Malgun Gothic"/>
          <w:bCs/>
          <w:lang w:val="fr-FR"/>
        </w:rPr>
        <w:t>’</w:t>
      </w:r>
      <w:r w:rsidRPr="00A11975">
        <w:rPr>
          <w:rFonts w:eastAsia="Malgun Gothic"/>
          <w:bCs/>
          <w:lang w:val="fr-FR"/>
        </w:rPr>
        <w:t>artisanat et</w:t>
      </w:r>
      <w:r w:rsidR="009A34A8">
        <w:rPr>
          <w:rFonts w:eastAsia="Malgun Gothic"/>
          <w:bCs/>
          <w:lang w:val="fr-FR"/>
        </w:rPr>
        <w:t> </w:t>
      </w:r>
      <w:r w:rsidRPr="00A11975">
        <w:rPr>
          <w:rFonts w:eastAsia="Malgun Gothic"/>
          <w:bCs/>
          <w:lang w:val="fr-FR"/>
        </w:rPr>
        <w:t>20</w:t>
      </w:r>
      <w:r w:rsidR="00DE646A">
        <w:rPr>
          <w:rFonts w:eastAsia="Malgun Gothic"/>
          <w:bCs/>
          <w:lang w:val="fr-FR"/>
        </w:rPr>
        <w:t> </w:t>
      </w:r>
      <w:r w:rsidRPr="00A11975">
        <w:rPr>
          <w:rFonts w:eastAsia="Malgun Gothic"/>
          <w:bCs/>
          <w:lang w:val="fr-FR"/>
        </w:rPr>
        <w:t>% au patrimoine culinaire ou aux modes d</w:t>
      </w:r>
      <w:r w:rsidR="00923E72">
        <w:rPr>
          <w:rFonts w:eastAsia="Malgun Gothic"/>
          <w:bCs/>
          <w:lang w:val="fr-FR"/>
        </w:rPr>
        <w:t>’</w:t>
      </w:r>
      <w:r w:rsidRPr="00A11975">
        <w:rPr>
          <w:rFonts w:eastAsia="Malgun Gothic"/>
          <w:bCs/>
          <w:lang w:val="fr-FR"/>
        </w:rPr>
        <w:t>alimentation. C</w:t>
      </w:r>
      <w:r w:rsidR="00923E72">
        <w:rPr>
          <w:rFonts w:eastAsia="Malgun Gothic"/>
          <w:bCs/>
          <w:lang w:val="fr-FR"/>
        </w:rPr>
        <w:t>’</w:t>
      </w:r>
      <w:r w:rsidRPr="00A11975">
        <w:rPr>
          <w:rFonts w:eastAsia="Malgun Gothic"/>
          <w:bCs/>
          <w:lang w:val="fr-FR"/>
        </w:rPr>
        <w:t>était une tendance qui semblait s</w:t>
      </w:r>
      <w:r w:rsidR="00923E72">
        <w:rPr>
          <w:rFonts w:eastAsia="Malgun Gothic"/>
          <w:bCs/>
          <w:lang w:val="fr-FR"/>
        </w:rPr>
        <w:t>’</w:t>
      </w:r>
      <w:r w:rsidRPr="00A11975">
        <w:rPr>
          <w:rFonts w:eastAsia="Malgun Gothic"/>
          <w:bCs/>
          <w:lang w:val="fr-FR"/>
        </w:rPr>
        <w:t>accentuer au cours des dernières années. L</w:t>
      </w:r>
      <w:r w:rsidR="00923E72">
        <w:rPr>
          <w:rFonts w:eastAsia="Malgun Gothic"/>
          <w:bCs/>
          <w:lang w:val="fr-FR"/>
        </w:rPr>
        <w:t>’</w:t>
      </w:r>
      <w:r w:rsidRPr="00A11975">
        <w:rPr>
          <w:rFonts w:eastAsia="Malgun Gothic"/>
          <w:bCs/>
          <w:lang w:val="fr-FR"/>
        </w:rPr>
        <w:t>Organe reconnaissait que les cuisines traditionnelles, la préparation artisanale des aliments et la production d</w:t>
      </w:r>
      <w:r w:rsidR="00923E72">
        <w:rPr>
          <w:rFonts w:eastAsia="Malgun Gothic"/>
          <w:bCs/>
          <w:lang w:val="fr-FR"/>
        </w:rPr>
        <w:t>’</w:t>
      </w:r>
      <w:r w:rsidRPr="00A11975">
        <w:rPr>
          <w:rFonts w:eastAsia="Malgun Gothic"/>
          <w:bCs/>
          <w:lang w:val="fr-FR"/>
        </w:rPr>
        <w:t>artisanat traditionnel sont des formes de patrimoine culturel immatériel. Toutefois, l</w:t>
      </w:r>
      <w:r w:rsidR="00923E72">
        <w:rPr>
          <w:rFonts w:eastAsia="Malgun Gothic"/>
          <w:bCs/>
          <w:lang w:val="fr-FR"/>
        </w:rPr>
        <w:t>’</w:t>
      </w:r>
      <w:r w:rsidRPr="00A11975">
        <w:rPr>
          <w:rFonts w:eastAsia="Malgun Gothic"/>
          <w:bCs/>
          <w:lang w:val="fr-FR"/>
        </w:rPr>
        <w:t>Organe souhaitait également rappeler que ces dossiers devraient se concentrer sur les connaissances et les compétences liées à l</w:t>
      </w:r>
      <w:r w:rsidR="00923E72">
        <w:rPr>
          <w:rFonts w:eastAsia="Malgun Gothic"/>
          <w:bCs/>
          <w:lang w:val="fr-FR"/>
        </w:rPr>
        <w:t>’</w:t>
      </w:r>
      <w:r w:rsidRPr="00A11975">
        <w:rPr>
          <w:rFonts w:eastAsia="Malgun Gothic"/>
          <w:bCs/>
          <w:lang w:val="fr-FR"/>
        </w:rPr>
        <w:t xml:space="preserve">élément ainsi que sur les pratiques sociales, les fonctions sociales et les significations culturelles qui y sont associées, et que les dossiers ne </w:t>
      </w:r>
      <w:r w:rsidR="00BF671E">
        <w:rPr>
          <w:rFonts w:eastAsia="Malgun Gothic"/>
          <w:bCs/>
          <w:lang w:val="fr-FR"/>
        </w:rPr>
        <w:t xml:space="preserve">devaient </w:t>
      </w:r>
      <w:r w:rsidRPr="00A11975">
        <w:rPr>
          <w:rFonts w:eastAsia="Malgun Gothic"/>
          <w:bCs/>
          <w:lang w:val="fr-FR"/>
        </w:rPr>
        <w:t>pas se concentrer principalement sur le produit lui-même. Compte tenu du nombre élevé de candidatures représentant une gamme ou un domaine limité du patrimoine culturel immatériel, l</w:t>
      </w:r>
      <w:r w:rsidR="00923E72">
        <w:rPr>
          <w:rFonts w:eastAsia="Malgun Gothic"/>
          <w:bCs/>
          <w:lang w:val="fr-FR"/>
        </w:rPr>
        <w:t>’</w:t>
      </w:r>
      <w:r w:rsidRPr="00A11975">
        <w:rPr>
          <w:rFonts w:eastAsia="Malgun Gothic"/>
          <w:bCs/>
          <w:lang w:val="fr-FR"/>
        </w:rPr>
        <w:t>Organe invitait les États parties à tenir compte de la grande diversité du patrimoine vivant lors de la candidature d</w:t>
      </w:r>
      <w:r w:rsidR="00923E72">
        <w:rPr>
          <w:rFonts w:eastAsia="Malgun Gothic"/>
          <w:bCs/>
          <w:lang w:val="fr-FR"/>
        </w:rPr>
        <w:t>’</w:t>
      </w:r>
      <w:r w:rsidRPr="00A11975">
        <w:rPr>
          <w:rFonts w:eastAsia="Malgun Gothic"/>
          <w:bCs/>
          <w:lang w:val="fr-FR"/>
        </w:rPr>
        <w:t>éléments dans les cycles futurs.</w:t>
      </w:r>
    </w:p>
    <w:p w14:paraId="77E8AB72" w14:textId="7EF2FD2F" w:rsidR="00DE646A" w:rsidRDefault="00DE646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E646A">
        <w:rPr>
          <w:rFonts w:eastAsia="Malgun Gothic"/>
          <w:bCs/>
          <w:lang w:val="fr-FR"/>
        </w:rPr>
        <w:t xml:space="preserve">Le </w:t>
      </w:r>
      <w:r w:rsidRPr="00702497">
        <w:rPr>
          <w:rFonts w:eastAsia="Malgun Gothic"/>
          <w:b/>
          <w:lang w:val="fr-FR"/>
        </w:rPr>
        <w:t>Rapporteur</w:t>
      </w:r>
      <w:r w:rsidRPr="00DE646A">
        <w:rPr>
          <w:rFonts w:eastAsia="Malgun Gothic"/>
          <w:bCs/>
          <w:lang w:val="fr-FR"/>
        </w:rPr>
        <w:t xml:space="preserve"> a fait part de certains des </w:t>
      </w:r>
      <w:r w:rsidRPr="006E3034">
        <w:rPr>
          <w:rFonts w:eastAsia="Malgun Gothic"/>
          <w:bCs/>
          <w:lang w:val="fr-FR"/>
        </w:rPr>
        <w:t>défis observés au cours de ce cycle</w:t>
      </w:r>
      <w:r w:rsidRPr="00DE646A">
        <w:rPr>
          <w:rFonts w:eastAsia="Malgun Gothic"/>
          <w:bCs/>
          <w:lang w:val="fr-FR"/>
        </w:rPr>
        <w:t>. Tout d</w:t>
      </w:r>
      <w:r w:rsidR="00923E72">
        <w:rPr>
          <w:rFonts w:eastAsia="Malgun Gothic"/>
          <w:bCs/>
          <w:lang w:val="fr-FR"/>
        </w:rPr>
        <w:t>’</w:t>
      </w:r>
      <w:r w:rsidRPr="00DE646A">
        <w:rPr>
          <w:rFonts w:eastAsia="Malgun Gothic"/>
          <w:bCs/>
          <w:lang w:val="fr-FR"/>
        </w:rPr>
        <w:t xml:space="preserve">abord, </w:t>
      </w:r>
      <w:r w:rsidR="001B2567">
        <w:rPr>
          <w:rFonts w:eastAsia="Malgun Gothic"/>
          <w:bCs/>
          <w:lang w:val="fr-FR"/>
        </w:rPr>
        <w:t xml:space="preserve">il a évoqué </w:t>
      </w:r>
      <w:r w:rsidRPr="00DE646A">
        <w:rPr>
          <w:rFonts w:eastAsia="Malgun Gothic"/>
          <w:bCs/>
          <w:lang w:val="fr-FR"/>
        </w:rPr>
        <w:t>la charge de travail. L</w:t>
      </w:r>
      <w:r w:rsidR="00923E72">
        <w:rPr>
          <w:rFonts w:eastAsia="Malgun Gothic"/>
          <w:bCs/>
          <w:lang w:val="fr-FR"/>
        </w:rPr>
        <w:t>’</w:t>
      </w:r>
      <w:r w:rsidRPr="00DE646A">
        <w:rPr>
          <w:rFonts w:eastAsia="Malgun Gothic"/>
          <w:bCs/>
          <w:lang w:val="fr-FR"/>
        </w:rPr>
        <w:t>Organe avait évalué avec succès les cinquante</w:t>
      </w:r>
      <w:r w:rsidR="001B2567">
        <w:rPr>
          <w:rFonts w:eastAsia="Malgun Gothic"/>
          <w:bCs/>
          <w:lang w:val="fr-FR"/>
        </w:rPr>
        <w:noBreakHyphen/>
      </w:r>
      <w:r w:rsidRPr="00DE646A">
        <w:rPr>
          <w:rFonts w:eastAsia="Malgun Gothic"/>
          <w:bCs/>
          <w:lang w:val="fr-FR"/>
        </w:rPr>
        <w:t>six dossiers, et cette immense charge de travail avait été accomplie grâce à l</w:t>
      </w:r>
      <w:r w:rsidR="00923E72">
        <w:rPr>
          <w:rFonts w:eastAsia="Malgun Gothic"/>
          <w:bCs/>
          <w:lang w:val="fr-FR"/>
        </w:rPr>
        <w:t>’</w:t>
      </w:r>
      <w:r w:rsidRPr="00DE646A">
        <w:rPr>
          <w:rFonts w:eastAsia="Malgun Gothic"/>
          <w:bCs/>
          <w:lang w:val="fr-FR"/>
        </w:rPr>
        <w:t>engagement de tous les membres de l</w:t>
      </w:r>
      <w:r w:rsidR="00923E72">
        <w:rPr>
          <w:rFonts w:eastAsia="Malgun Gothic"/>
          <w:bCs/>
          <w:lang w:val="fr-FR"/>
        </w:rPr>
        <w:t>’</w:t>
      </w:r>
      <w:r w:rsidRPr="00DE646A">
        <w:rPr>
          <w:rFonts w:eastAsia="Malgun Gothic"/>
          <w:bCs/>
          <w:lang w:val="fr-FR"/>
        </w:rPr>
        <w:t>Organe, avec le soutien du Secrétariat. Toutefois, l</w:t>
      </w:r>
      <w:r w:rsidR="00923E72">
        <w:rPr>
          <w:rFonts w:eastAsia="Malgun Gothic"/>
          <w:bCs/>
          <w:lang w:val="fr-FR"/>
        </w:rPr>
        <w:t>’</w:t>
      </w:r>
      <w:r w:rsidRPr="00DE646A">
        <w:rPr>
          <w:rFonts w:eastAsia="Malgun Gothic"/>
          <w:bCs/>
          <w:lang w:val="fr-FR"/>
        </w:rPr>
        <w:t>Organe d</w:t>
      </w:r>
      <w:r w:rsidR="00923E72">
        <w:rPr>
          <w:rFonts w:eastAsia="Malgun Gothic"/>
          <w:bCs/>
          <w:lang w:val="fr-FR"/>
        </w:rPr>
        <w:t>’</w:t>
      </w:r>
      <w:r w:rsidRPr="00DE646A">
        <w:rPr>
          <w:rFonts w:eastAsia="Malgun Gothic"/>
          <w:bCs/>
          <w:lang w:val="fr-FR"/>
        </w:rPr>
        <w:t xml:space="preserve">évaluation </w:t>
      </w:r>
      <w:r w:rsidR="00505E24">
        <w:rPr>
          <w:rFonts w:eastAsia="Malgun Gothic"/>
          <w:bCs/>
          <w:lang w:val="fr-FR"/>
        </w:rPr>
        <w:t>tenait à</w:t>
      </w:r>
      <w:r w:rsidR="001B2567">
        <w:rPr>
          <w:rFonts w:eastAsia="Malgun Gothic"/>
          <w:bCs/>
          <w:lang w:val="fr-FR"/>
        </w:rPr>
        <w:t xml:space="preserve"> </w:t>
      </w:r>
      <w:r w:rsidRPr="00DE646A">
        <w:rPr>
          <w:rFonts w:eastAsia="Malgun Gothic"/>
          <w:bCs/>
          <w:lang w:val="fr-FR"/>
        </w:rPr>
        <w:t>soulign</w:t>
      </w:r>
      <w:r w:rsidR="00505E24">
        <w:rPr>
          <w:rFonts w:eastAsia="Malgun Gothic"/>
          <w:bCs/>
          <w:lang w:val="fr-FR"/>
        </w:rPr>
        <w:t>er</w:t>
      </w:r>
      <w:r w:rsidRPr="00DE646A">
        <w:rPr>
          <w:rFonts w:eastAsia="Malgun Gothic"/>
          <w:bCs/>
          <w:lang w:val="fr-FR"/>
        </w:rPr>
        <w:t xml:space="preserve"> qu</w:t>
      </w:r>
      <w:r w:rsidR="00923E72">
        <w:rPr>
          <w:rFonts w:eastAsia="Malgun Gothic"/>
          <w:bCs/>
          <w:lang w:val="fr-FR"/>
        </w:rPr>
        <w:t>’</w:t>
      </w:r>
      <w:r w:rsidRPr="00DE646A">
        <w:rPr>
          <w:rFonts w:eastAsia="Malgun Gothic"/>
          <w:bCs/>
          <w:lang w:val="fr-FR"/>
        </w:rPr>
        <w:t xml:space="preserve">un temps considérable </w:t>
      </w:r>
      <w:r w:rsidR="00505E24">
        <w:rPr>
          <w:rFonts w:eastAsia="Malgun Gothic"/>
          <w:bCs/>
          <w:lang w:val="fr-FR"/>
        </w:rPr>
        <w:t>était</w:t>
      </w:r>
      <w:r w:rsidRPr="00DE646A">
        <w:rPr>
          <w:rFonts w:eastAsia="Malgun Gothic"/>
          <w:bCs/>
          <w:lang w:val="fr-FR"/>
        </w:rPr>
        <w:t xml:space="preserve"> nécessaire pour ces évaluations approfondies de chaque dossier. Toute nouvelle augmentation du plafond annuel de dossiers aurait une incidence négative sur la qualité du processus d</w:t>
      </w:r>
      <w:r w:rsidR="00923E72">
        <w:rPr>
          <w:rFonts w:eastAsia="Malgun Gothic"/>
          <w:bCs/>
          <w:lang w:val="fr-FR"/>
        </w:rPr>
        <w:t>’</w:t>
      </w:r>
      <w:r w:rsidRPr="00DE646A">
        <w:rPr>
          <w:rFonts w:eastAsia="Malgun Gothic"/>
          <w:bCs/>
          <w:lang w:val="fr-FR"/>
        </w:rPr>
        <w:t>évaluation. L</w:t>
      </w:r>
      <w:r w:rsidR="00923E72">
        <w:rPr>
          <w:rFonts w:eastAsia="Malgun Gothic"/>
          <w:bCs/>
          <w:lang w:val="fr-FR"/>
        </w:rPr>
        <w:t>’</w:t>
      </w:r>
      <w:r w:rsidRPr="00DE646A">
        <w:rPr>
          <w:rFonts w:eastAsia="Malgun Gothic"/>
          <w:bCs/>
          <w:lang w:val="fr-FR"/>
        </w:rPr>
        <w:t xml:space="preserve">Organe </w:t>
      </w:r>
      <w:r w:rsidR="001B2567">
        <w:rPr>
          <w:rFonts w:eastAsia="Malgun Gothic"/>
          <w:bCs/>
          <w:lang w:val="fr-FR"/>
        </w:rPr>
        <w:t>soulign</w:t>
      </w:r>
      <w:r w:rsidR="00505E24">
        <w:rPr>
          <w:rFonts w:eastAsia="Malgun Gothic"/>
          <w:bCs/>
          <w:lang w:val="fr-FR"/>
        </w:rPr>
        <w:t>ait</w:t>
      </w:r>
      <w:r w:rsidR="001B2567">
        <w:rPr>
          <w:rFonts w:eastAsia="Malgun Gothic"/>
          <w:bCs/>
          <w:lang w:val="fr-FR"/>
        </w:rPr>
        <w:t xml:space="preserve"> </w:t>
      </w:r>
      <w:r w:rsidRPr="00DE646A">
        <w:rPr>
          <w:rFonts w:eastAsia="Malgun Gothic"/>
          <w:bCs/>
          <w:lang w:val="fr-FR"/>
        </w:rPr>
        <w:t>la haute qualité des dossiers de candidature en général pour ce cycle</w:t>
      </w:r>
      <w:r w:rsidR="00505E24">
        <w:rPr>
          <w:rFonts w:eastAsia="Malgun Gothic"/>
          <w:bCs/>
          <w:lang w:val="fr-FR"/>
        </w:rPr>
        <w:t>,</w:t>
      </w:r>
      <w:r w:rsidRPr="00DE646A">
        <w:rPr>
          <w:rFonts w:eastAsia="Malgun Gothic"/>
          <w:bCs/>
          <w:lang w:val="fr-FR"/>
        </w:rPr>
        <w:t xml:space="preserve"> et de nombreux aspects positifs avaient été observés. En même temps, l</w:t>
      </w:r>
      <w:r w:rsidR="00923E72">
        <w:rPr>
          <w:rFonts w:eastAsia="Malgun Gothic"/>
          <w:bCs/>
          <w:lang w:val="fr-FR"/>
        </w:rPr>
        <w:t>’</w:t>
      </w:r>
      <w:r w:rsidRPr="00DE646A">
        <w:rPr>
          <w:rFonts w:eastAsia="Malgun Gothic"/>
          <w:bCs/>
          <w:lang w:val="fr-FR"/>
        </w:rPr>
        <w:t>Organe avait noté qu</w:t>
      </w:r>
      <w:r w:rsidR="00923E72">
        <w:rPr>
          <w:rFonts w:eastAsia="Malgun Gothic"/>
          <w:bCs/>
          <w:lang w:val="fr-FR"/>
        </w:rPr>
        <w:t>’</w:t>
      </w:r>
      <w:r w:rsidRPr="00DE646A">
        <w:rPr>
          <w:rFonts w:eastAsia="Malgun Gothic"/>
          <w:bCs/>
          <w:lang w:val="fr-FR"/>
        </w:rPr>
        <w:t xml:space="preserve">un certain nombre de dossiers étaient </w:t>
      </w:r>
      <w:r w:rsidRPr="00702497">
        <w:rPr>
          <w:rFonts w:eastAsia="Malgun Gothic"/>
          <w:bCs/>
          <w:i/>
          <w:iCs/>
          <w:lang w:val="fr-FR"/>
        </w:rPr>
        <w:t>renvoyés</w:t>
      </w:r>
      <w:r w:rsidRPr="00DE646A">
        <w:rPr>
          <w:rFonts w:eastAsia="Malgun Gothic"/>
          <w:bCs/>
          <w:lang w:val="fr-FR"/>
        </w:rPr>
        <w:t xml:space="preserve"> parce qu</w:t>
      </w:r>
      <w:r w:rsidR="00923E72">
        <w:rPr>
          <w:rFonts w:eastAsia="Malgun Gothic"/>
          <w:bCs/>
          <w:lang w:val="fr-FR"/>
        </w:rPr>
        <w:t>’</w:t>
      </w:r>
      <w:r w:rsidRPr="00DE646A">
        <w:rPr>
          <w:rFonts w:eastAsia="Malgun Gothic"/>
          <w:bCs/>
          <w:lang w:val="fr-FR"/>
        </w:rPr>
        <w:t>ils n</w:t>
      </w:r>
      <w:r w:rsidR="00923E72">
        <w:rPr>
          <w:rFonts w:eastAsia="Malgun Gothic"/>
          <w:bCs/>
          <w:lang w:val="fr-FR"/>
        </w:rPr>
        <w:t>’</w:t>
      </w:r>
      <w:r w:rsidRPr="00DE646A">
        <w:rPr>
          <w:rFonts w:eastAsia="Malgun Gothic"/>
          <w:bCs/>
          <w:lang w:val="fr-FR"/>
        </w:rPr>
        <w:t xml:space="preserve">étaient pas en mesure de satisfaire pleinement aux critères, </w:t>
      </w:r>
      <w:r w:rsidR="001B2567">
        <w:rPr>
          <w:rFonts w:eastAsia="Malgun Gothic"/>
          <w:bCs/>
          <w:lang w:val="fr-FR"/>
        </w:rPr>
        <w:t xml:space="preserve">avec </w:t>
      </w:r>
      <w:r w:rsidR="00505E24">
        <w:rPr>
          <w:rFonts w:eastAsia="Malgun Gothic"/>
          <w:bCs/>
          <w:lang w:val="fr-FR"/>
        </w:rPr>
        <w:t xml:space="preserve">des </w:t>
      </w:r>
      <w:r w:rsidRPr="00DE646A">
        <w:rPr>
          <w:rFonts w:eastAsia="Malgun Gothic"/>
          <w:bCs/>
          <w:lang w:val="fr-FR"/>
        </w:rPr>
        <w:t>problèmes récurrents observés. En particulier, l</w:t>
      </w:r>
      <w:r w:rsidR="00923E72">
        <w:rPr>
          <w:rFonts w:eastAsia="Malgun Gothic"/>
          <w:bCs/>
          <w:lang w:val="fr-FR"/>
        </w:rPr>
        <w:t>’</w:t>
      </w:r>
      <w:r w:rsidRPr="00DE646A">
        <w:rPr>
          <w:rFonts w:eastAsia="Malgun Gothic"/>
          <w:bCs/>
          <w:lang w:val="fr-FR"/>
        </w:rPr>
        <w:t>Organe avait noté que les candidatures soumises pour la première fois n</w:t>
      </w:r>
      <w:r w:rsidR="00923E72">
        <w:rPr>
          <w:rFonts w:eastAsia="Malgun Gothic"/>
          <w:bCs/>
          <w:lang w:val="fr-FR"/>
        </w:rPr>
        <w:t>’</w:t>
      </w:r>
      <w:r w:rsidRPr="00DE646A">
        <w:rPr>
          <w:rFonts w:eastAsia="Malgun Gothic"/>
          <w:bCs/>
          <w:lang w:val="fr-FR"/>
        </w:rPr>
        <w:t>étaient pas toujours rédigées de manière appropriée. Elles pouvaient manquer d</w:t>
      </w:r>
      <w:r w:rsidR="00923E72">
        <w:rPr>
          <w:rFonts w:eastAsia="Malgun Gothic"/>
          <w:bCs/>
          <w:lang w:val="fr-FR"/>
        </w:rPr>
        <w:t>’</w:t>
      </w:r>
      <w:r w:rsidRPr="00DE646A">
        <w:rPr>
          <w:rFonts w:eastAsia="Malgun Gothic"/>
          <w:bCs/>
          <w:lang w:val="fr-FR"/>
        </w:rPr>
        <w:t>informations ou contenir des phrases qui n</w:t>
      </w:r>
      <w:r w:rsidR="00923E72">
        <w:rPr>
          <w:rFonts w:eastAsia="Malgun Gothic"/>
          <w:bCs/>
          <w:lang w:val="fr-FR"/>
        </w:rPr>
        <w:t>’</w:t>
      </w:r>
      <w:r w:rsidRPr="00DE646A">
        <w:rPr>
          <w:rFonts w:eastAsia="Malgun Gothic"/>
          <w:bCs/>
          <w:lang w:val="fr-FR"/>
        </w:rPr>
        <w:t>étaient pas entièrement conformes à l</w:t>
      </w:r>
      <w:r w:rsidR="00923E72">
        <w:rPr>
          <w:rFonts w:eastAsia="Malgun Gothic"/>
          <w:bCs/>
          <w:lang w:val="fr-FR"/>
        </w:rPr>
        <w:t>’</w:t>
      </w:r>
      <w:r w:rsidRPr="00DE646A">
        <w:rPr>
          <w:rFonts w:eastAsia="Malgun Gothic"/>
          <w:bCs/>
          <w:lang w:val="fr-FR"/>
        </w:rPr>
        <w:t>esprit de la Convention. Par conséquent, l</w:t>
      </w:r>
      <w:r w:rsidR="00923E72">
        <w:rPr>
          <w:rFonts w:eastAsia="Malgun Gothic"/>
          <w:bCs/>
          <w:lang w:val="fr-FR"/>
        </w:rPr>
        <w:t>’</w:t>
      </w:r>
      <w:r w:rsidRPr="00DE646A">
        <w:rPr>
          <w:rFonts w:eastAsia="Malgun Gothic"/>
          <w:bCs/>
          <w:lang w:val="fr-FR"/>
        </w:rPr>
        <w:t>Organe n</w:t>
      </w:r>
      <w:r w:rsidR="00923E72">
        <w:rPr>
          <w:rFonts w:eastAsia="Malgun Gothic"/>
          <w:bCs/>
          <w:lang w:val="fr-FR"/>
        </w:rPr>
        <w:t>’</w:t>
      </w:r>
      <w:r w:rsidRPr="00DE646A">
        <w:rPr>
          <w:rFonts w:eastAsia="Malgun Gothic"/>
          <w:bCs/>
          <w:lang w:val="fr-FR"/>
        </w:rPr>
        <w:t>avait pas été en mesure d</w:t>
      </w:r>
      <w:r w:rsidR="00923E72">
        <w:rPr>
          <w:rFonts w:eastAsia="Malgun Gothic"/>
          <w:bCs/>
          <w:lang w:val="fr-FR"/>
        </w:rPr>
        <w:t>’</w:t>
      </w:r>
      <w:r w:rsidRPr="00DE646A">
        <w:rPr>
          <w:rFonts w:eastAsia="Malgun Gothic"/>
          <w:bCs/>
          <w:lang w:val="fr-FR"/>
        </w:rPr>
        <w:t>évaluer ces dossiers de manière positive. Cette tendance soulignait la nécessité de renforcer le réseau global de facilitateurs et d</w:t>
      </w:r>
      <w:r w:rsidR="00923E72">
        <w:rPr>
          <w:rFonts w:eastAsia="Malgun Gothic"/>
          <w:bCs/>
          <w:lang w:val="fr-FR"/>
        </w:rPr>
        <w:t>’</w:t>
      </w:r>
      <w:r w:rsidRPr="00DE646A">
        <w:rPr>
          <w:rFonts w:eastAsia="Malgun Gothic"/>
          <w:bCs/>
          <w:lang w:val="fr-FR"/>
        </w:rPr>
        <w:t>explorer d</w:t>
      </w:r>
      <w:r w:rsidR="00923E72">
        <w:rPr>
          <w:rFonts w:eastAsia="Malgun Gothic"/>
          <w:bCs/>
          <w:lang w:val="fr-FR"/>
        </w:rPr>
        <w:t>’</w:t>
      </w:r>
      <w:r w:rsidRPr="00DE646A">
        <w:rPr>
          <w:rFonts w:eastAsia="Malgun Gothic"/>
          <w:bCs/>
          <w:lang w:val="fr-FR"/>
        </w:rPr>
        <w:t>autres modes de coopération susceptibles de soutenir le renforcement des capacités dans différentes régions du monde. Le rapport général présentait de nombreux aspects positifs, des questions récurrentes, des tendances émergentes et des défis. Le Rapporteur esp</w:t>
      </w:r>
      <w:r w:rsidR="001B2567">
        <w:rPr>
          <w:rFonts w:eastAsia="Malgun Gothic"/>
          <w:bCs/>
          <w:lang w:val="fr-FR"/>
        </w:rPr>
        <w:t xml:space="preserve">érait </w:t>
      </w:r>
      <w:r w:rsidRPr="00DE646A">
        <w:rPr>
          <w:rFonts w:eastAsia="Malgun Gothic"/>
          <w:bCs/>
          <w:lang w:val="fr-FR"/>
        </w:rPr>
        <w:t>que ce rapport constituerait une référence utile pour les États parties, les organisations et les communautés lorsqu</w:t>
      </w:r>
      <w:r w:rsidR="00923E72">
        <w:rPr>
          <w:rFonts w:eastAsia="Malgun Gothic"/>
          <w:bCs/>
          <w:lang w:val="fr-FR"/>
        </w:rPr>
        <w:t>’</w:t>
      </w:r>
      <w:r w:rsidRPr="00DE646A">
        <w:rPr>
          <w:rFonts w:eastAsia="Malgun Gothic"/>
          <w:bCs/>
          <w:lang w:val="fr-FR"/>
        </w:rPr>
        <w:t>ils prépareraient les futurs dossiers de candidature et délibéreraient sur la sauvegarde du patrimoine immatériel dans leur pays. En conclusion, l</w:t>
      </w:r>
      <w:r w:rsidR="00923E72">
        <w:rPr>
          <w:rFonts w:eastAsia="Malgun Gothic"/>
          <w:bCs/>
          <w:lang w:val="fr-FR"/>
        </w:rPr>
        <w:t>’</w:t>
      </w:r>
      <w:r w:rsidRPr="00DE646A">
        <w:rPr>
          <w:rFonts w:eastAsia="Malgun Gothic"/>
          <w:bCs/>
          <w:lang w:val="fr-FR"/>
        </w:rPr>
        <w:t>Organe a exprimé sa gratitude au Comité pour avoir confié le processus d</w:t>
      </w:r>
      <w:r w:rsidR="00923E72">
        <w:rPr>
          <w:rFonts w:eastAsia="Malgun Gothic"/>
          <w:bCs/>
          <w:lang w:val="fr-FR"/>
        </w:rPr>
        <w:t>’</w:t>
      </w:r>
      <w:r w:rsidRPr="00DE646A">
        <w:rPr>
          <w:rFonts w:eastAsia="Malgun Gothic"/>
          <w:bCs/>
          <w:lang w:val="fr-FR"/>
        </w:rPr>
        <w:t>évaluation à ses membres. En outre, il a remercié l</w:t>
      </w:r>
      <w:r w:rsidR="00923E72">
        <w:rPr>
          <w:rFonts w:eastAsia="Malgun Gothic"/>
          <w:bCs/>
          <w:lang w:val="fr-FR"/>
        </w:rPr>
        <w:t>’</w:t>
      </w:r>
      <w:r w:rsidRPr="00DE646A">
        <w:rPr>
          <w:rFonts w:eastAsia="Malgun Gothic"/>
          <w:bCs/>
          <w:lang w:val="fr-FR"/>
        </w:rPr>
        <w:t xml:space="preserve">équipe du Secrétariat pour son travail acharné et son </w:t>
      </w:r>
      <w:r w:rsidR="001B2567">
        <w:rPr>
          <w:rFonts w:eastAsia="Malgun Gothic"/>
          <w:bCs/>
          <w:lang w:val="fr-FR"/>
        </w:rPr>
        <w:t xml:space="preserve">engagement </w:t>
      </w:r>
      <w:r w:rsidRPr="00DE646A">
        <w:rPr>
          <w:rFonts w:eastAsia="Malgun Gothic"/>
          <w:bCs/>
          <w:lang w:val="fr-FR"/>
        </w:rPr>
        <w:t>à soutenir le travail de l</w:t>
      </w:r>
      <w:r w:rsidR="00923E72">
        <w:rPr>
          <w:rFonts w:eastAsia="Malgun Gothic"/>
          <w:bCs/>
          <w:lang w:val="fr-FR"/>
        </w:rPr>
        <w:t>’</w:t>
      </w:r>
      <w:r w:rsidRPr="00DE646A">
        <w:rPr>
          <w:rFonts w:eastAsia="Malgun Gothic"/>
          <w:bCs/>
          <w:lang w:val="fr-FR"/>
        </w:rPr>
        <w:t>Organe. Les projets de décisions pour les dossiers seraient présentés par le Président de l</w:t>
      </w:r>
      <w:r w:rsidR="00923E72">
        <w:rPr>
          <w:rFonts w:eastAsia="Malgun Gothic"/>
          <w:bCs/>
          <w:lang w:val="fr-FR"/>
        </w:rPr>
        <w:t>’</w:t>
      </w:r>
      <w:r w:rsidRPr="00DE646A">
        <w:rPr>
          <w:rFonts w:eastAsia="Malgun Gothic"/>
          <w:bCs/>
          <w:lang w:val="fr-FR"/>
        </w:rPr>
        <w:t>Organe d</w:t>
      </w:r>
      <w:r w:rsidR="00923E72">
        <w:rPr>
          <w:rFonts w:eastAsia="Malgun Gothic"/>
          <w:bCs/>
          <w:lang w:val="fr-FR"/>
        </w:rPr>
        <w:t>’</w:t>
      </w:r>
      <w:r w:rsidRPr="00DE646A">
        <w:rPr>
          <w:rFonts w:eastAsia="Malgun Gothic"/>
          <w:bCs/>
          <w:lang w:val="fr-FR"/>
        </w:rPr>
        <w:t>évaluation, M.</w:t>
      </w:r>
      <w:r w:rsidR="001B2567">
        <w:rPr>
          <w:rFonts w:eastAsia="Malgun Gothic"/>
          <w:bCs/>
          <w:lang w:val="fr-FR"/>
        </w:rPr>
        <w:t> </w:t>
      </w:r>
      <w:r w:rsidRPr="00DE646A">
        <w:rPr>
          <w:rFonts w:eastAsia="Malgun Gothic"/>
          <w:bCs/>
          <w:lang w:val="fr-FR"/>
        </w:rPr>
        <w:t xml:space="preserve">Pier Luigi Petrillo, et la Vice-Présidente, </w:t>
      </w:r>
      <w:r w:rsidR="001B2567">
        <w:rPr>
          <w:rFonts w:eastAsia="Malgun Gothic"/>
          <w:bCs/>
          <w:lang w:val="fr-FR"/>
        </w:rPr>
        <w:t>M</w:t>
      </w:r>
      <w:r w:rsidR="001B2567" w:rsidRPr="00702497">
        <w:rPr>
          <w:rFonts w:eastAsia="Malgun Gothic"/>
          <w:bCs/>
          <w:vertAlign w:val="superscript"/>
          <w:lang w:val="fr-FR"/>
        </w:rPr>
        <w:t>me</w:t>
      </w:r>
      <w:r w:rsidR="001B2567">
        <w:rPr>
          <w:rFonts w:eastAsia="Malgun Gothic"/>
          <w:bCs/>
          <w:lang w:val="fr-FR"/>
        </w:rPr>
        <w:t> </w:t>
      </w:r>
      <w:r w:rsidRPr="00DE646A">
        <w:rPr>
          <w:rFonts w:eastAsia="Malgun Gothic"/>
          <w:bCs/>
          <w:lang w:val="fr-FR"/>
        </w:rPr>
        <w:t>Nahla Abdallah Emam.</w:t>
      </w:r>
    </w:p>
    <w:p w14:paraId="0DBE52F0" w14:textId="36B5F9C8" w:rsidR="001B2567" w:rsidRDefault="001B256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B2567">
        <w:rPr>
          <w:rFonts w:eastAsia="Malgun Gothic"/>
          <w:bCs/>
          <w:lang w:val="fr-FR"/>
        </w:rPr>
        <w:t xml:space="preserve">Le </w:t>
      </w:r>
      <w:r w:rsidRPr="00702497">
        <w:rPr>
          <w:rFonts w:eastAsia="Malgun Gothic"/>
          <w:b/>
          <w:lang w:val="fr-FR"/>
        </w:rPr>
        <w:t>Président</w:t>
      </w:r>
      <w:r w:rsidRPr="001B2567">
        <w:rPr>
          <w:rFonts w:eastAsia="Malgun Gothic"/>
          <w:bCs/>
          <w:lang w:val="fr-FR"/>
        </w:rPr>
        <w:t xml:space="preserve"> a remercié M.</w:t>
      </w:r>
      <w:r>
        <w:rPr>
          <w:rFonts w:eastAsia="Malgun Gothic"/>
          <w:bCs/>
          <w:lang w:val="fr-FR"/>
        </w:rPr>
        <w:t> </w:t>
      </w:r>
      <w:r w:rsidRPr="001B2567">
        <w:rPr>
          <w:rFonts w:eastAsia="Malgun Gothic"/>
          <w:bCs/>
          <w:lang w:val="fr-FR"/>
        </w:rPr>
        <w:t>Yeo pour sa présentation, notant que plusieurs questions critiques et pertinentes avaient été soulevées et qu</w:t>
      </w:r>
      <w:r w:rsidR="00923E72">
        <w:rPr>
          <w:rFonts w:eastAsia="Malgun Gothic"/>
          <w:bCs/>
          <w:lang w:val="fr-FR"/>
        </w:rPr>
        <w:t>’</w:t>
      </w:r>
      <w:r w:rsidRPr="001B2567">
        <w:rPr>
          <w:rFonts w:eastAsia="Malgun Gothic"/>
          <w:bCs/>
          <w:lang w:val="fr-FR"/>
        </w:rPr>
        <w:t>elles éclaireraient les débats du Comité. Il trouvait particulièrement intéressant de savoir que l</w:t>
      </w:r>
      <w:r w:rsidR="00923E72">
        <w:rPr>
          <w:rFonts w:eastAsia="Malgun Gothic"/>
          <w:bCs/>
          <w:lang w:val="fr-FR"/>
        </w:rPr>
        <w:t>’</w:t>
      </w:r>
      <w:r w:rsidRPr="001B2567">
        <w:rPr>
          <w:rFonts w:eastAsia="Malgun Gothic"/>
          <w:bCs/>
          <w:lang w:val="fr-FR"/>
        </w:rPr>
        <w:t>Organe d</w:t>
      </w:r>
      <w:r w:rsidR="00923E72">
        <w:rPr>
          <w:rFonts w:eastAsia="Malgun Gothic"/>
          <w:bCs/>
          <w:lang w:val="fr-FR"/>
        </w:rPr>
        <w:t>’</w:t>
      </w:r>
      <w:r w:rsidRPr="001B2567">
        <w:rPr>
          <w:rFonts w:eastAsia="Malgun Gothic"/>
          <w:bCs/>
          <w:lang w:val="fr-FR"/>
        </w:rPr>
        <w:t>évaluation avait estimé que les candidatures présentées au Comité s</w:t>
      </w:r>
      <w:r w:rsidR="00923E72">
        <w:rPr>
          <w:rFonts w:eastAsia="Malgun Gothic"/>
          <w:bCs/>
          <w:lang w:val="fr-FR"/>
        </w:rPr>
        <w:t>’</w:t>
      </w:r>
      <w:r w:rsidRPr="001B2567">
        <w:rPr>
          <w:rFonts w:eastAsia="Malgun Gothic"/>
          <w:bCs/>
          <w:lang w:val="fr-FR"/>
        </w:rPr>
        <w:t xml:space="preserve">inscrivaient dans un </w:t>
      </w:r>
      <w:r w:rsidR="00505E24">
        <w:rPr>
          <w:rFonts w:eastAsia="Malgun Gothic"/>
          <w:bCs/>
          <w:lang w:val="fr-FR"/>
        </w:rPr>
        <w:t>« </w:t>
      </w:r>
      <w:r w:rsidRPr="001B2567">
        <w:rPr>
          <w:rFonts w:eastAsia="Malgun Gothic"/>
          <w:bCs/>
          <w:lang w:val="fr-FR"/>
        </w:rPr>
        <w:t>cycle vert</w:t>
      </w:r>
      <w:r w:rsidR="00505E24">
        <w:rPr>
          <w:rFonts w:eastAsia="Malgun Gothic"/>
          <w:bCs/>
          <w:lang w:val="fr-FR"/>
        </w:rPr>
        <w:t> »</w:t>
      </w:r>
      <w:r w:rsidRPr="001B2567">
        <w:rPr>
          <w:rFonts w:eastAsia="Malgun Gothic"/>
          <w:bCs/>
          <w:lang w:val="fr-FR"/>
        </w:rPr>
        <w:t>. Avant de lever la séance, le Président a rappelé aux délégués les différents événements parallèles qui se dérouleraient pendant la pause déjeuner.</w:t>
      </w:r>
    </w:p>
    <w:p w14:paraId="3CF61EDD" w14:textId="77777777" w:rsidR="00072B96" w:rsidRDefault="00072B96"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24EFB06B" w14:textId="77777777" w:rsidR="009B4E71" w:rsidRDefault="009B4E71"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6D5BD1A2" w14:textId="77777777" w:rsidR="009B4E71" w:rsidRDefault="009B4E71"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6BB65421" w14:textId="77777777" w:rsidR="009B4E71" w:rsidRDefault="009B4E71"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18EB7367" w14:textId="77777777" w:rsidR="009B4E71" w:rsidRPr="001B2567" w:rsidRDefault="009B4E71"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41A3CB74" w14:textId="66C9A4C0" w:rsidR="009B4E71" w:rsidRPr="006E3034" w:rsidRDefault="001B2567" w:rsidP="006E3034">
      <w:pPr>
        <w:pStyle w:val="Orateurengris"/>
        <w:tabs>
          <w:tab w:val="clear" w:pos="709"/>
          <w:tab w:val="clear" w:pos="1418"/>
          <w:tab w:val="clear" w:pos="2126"/>
          <w:tab w:val="clear" w:pos="2835"/>
          <w:tab w:val="left" w:pos="4962"/>
        </w:tabs>
        <w:spacing w:before="120" w:after="0"/>
        <w:ind w:left="720"/>
        <w:jc w:val="center"/>
        <w:rPr>
          <w:lang w:val="fr-FR"/>
        </w:rPr>
      </w:pPr>
      <w:r w:rsidRPr="00702497">
        <w:rPr>
          <w:rFonts w:eastAsia="Malgun Gothic"/>
          <w:bCs/>
          <w:i/>
          <w:iCs/>
          <w:lang w:val="fr-FR"/>
        </w:rPr>
        <w:lastRenderedPageBreak/>
        <w:t>[Mardi</w:t>
      </w:r>
      <w:r w:rsidR="009114D8">
        <w:rPr>
          <w:rFonts w:eastAsia="Malgun Gothic"/>
          <w:bCs/>
          <w:i/>
          <w:iCs/>
          <w:lang w:val="fr-FR"/>
        </w:rPr>
        <w:t> </w:t>
      </w:r>
      <w:r w:rsidRPr="00702497">
        <w:rPr>
          <w:rFonts w:eastAsia="Malgun Gothic"/>
          <w:bCs/>
          <w:i/>
          <w:iCs/>
          <w:lang w:val="fr-FR"/>
        </w:rPr>
        <w:t>29</w:t>
      </w:r>
      <w:r w:rsidR="009114D8">
        <w:rPr>
          <w:rFonts w:eastAsia="Malgun Gothic"/>
          <w:bCs/>
          <w:i/>
          <w:iCs/>
          <w:lang w:val="fr-FR"/>
        </w:rPr>
        <w:t> </w:t>
      </w:r>
      <w:r w:rsidRPr="00702497">
        <w:rPr>
          <w:rFonts w:eastAsia="Malgun Gothic"/>
          <w:bCs/>
          <w:i/>
          <w:iCs/>
          <w:lang w:val="fr-FR"/>
        </w:rPr>
        <w:t>novembre</w:t>
      </w:r>
      <w:r w:rsidR="009114D8">
        <w:rPr>
          <w:rFonts w:eastAsia="Malgun Gothic"/>
          <w:bCs/>
          <w:i/>
          <w:iCs/>
          <w:lang w:val="fr-FR"/>
        </w:rPr>
        <w:t> </w:t>
      </w:r>
      <w:r w:rsidR="00FD22BF">
        <w:rPr>
          <w:rFonts w:eastAsia="Malgun Gothic"/>
          <w:bCs/>
          <w:i/>
          <w:iCs/>
          <w:lang w:val="fr-FR"/>
        </w:rPr>
        <w:t>2022</w:t>
      </w:r>
      <w:r w:rsidRPr="00702497">
        <w:rPr>
          <w:rFonts w:eastAsia="Malgun Gothic"/>
          <w:bCs/>
          <w:i/>
          <w:iCs/>
          <w:lang w:val="fr-FR"/>
        </w:rPr>
        <w:t>, séance de l</w:t>
      </w:r>
      <w:r w:rsidR="00923E72">
        <w:rPr>
          <w:rFonts w:eastAsia="Malgun Gothic"/>
          <w:bCs/>
          <w:i/>
          <w:iCs/>
          <w:lang w:val="fr-FR"/>
        </w:rPr>
        <w:t>’</w:t>
      </w:r>
      <w:r w:rsidRPr="00702497">
        <w:rPr>
          <w:rFonts w:eastAsia="Malgun Gothic"/>
          <w:bCs/>
          <w:i/>
          <w:iCs/>
          <w:lang w:val="fr-FR"/>
        </w:rPr>
        <w:t>après-midi]</w:t>
      </w:r>
    </w:p>
    <w:p w14:paraId="0C63C819" w14:textId="60C247AB" w:rsidR="001B2567" w:rsidRPr="00702497" w:rsidRDefault="001B2567">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cs="Arial"/>
          <w:b/>
          <w:color w:val="000000" w:themeColor="text1"/>
          <w:szCs w:val="22"/>
        </w:rPr>
      </w:pPr>
      <w:r w:rsidRPr="001B2567">
        <w:rPr>
          <w:rFonts w:eastAsiaTheme="minorHAnsi" w:cs="Arial"/>
          <w:b/>
          <w:color w:val="000000" w:themeColor="text1"/>
          <w:szCs w:val="22"/>
          <w:u w:val="single"/>
        </w:rPr>
        <w:t>POINT</w:t>
      </w:r>
      <w:r w:rsidR="002B668C">
        <w:rPr>
          <w:rFonts w:eastAsiaTheme="minorHAnsi" w:cs="Arial"/>
          <w:b/>
          <w:color w:val="000000" w:themeColor="text1"/>
          <w:szCs w:val="22"/>
          <w:u w:val="single"/>
        </w:rPr>
        <w:t> </w:t>
      </w:r>
      <w:r w:rsidRPr="001B2567">
        <w:rPr>
          <w:rFonts w:eastAsiaTheme="minorHAnsi" w:cs="Arial"/>
          <w:b/>
          <w:color w:val="000000" w:themeColor="text1"/>
          <w:szCs w:val="22"/>
          <w:u w:val="single"/>
        </w:rPr>
        <w:t>7 DE L</w:t>
      </w:r>
      <w:r w:rsidR="00923E72">
        <w:rPr>
          <w:rFonts w:eastAsiaTheme="minorHAnsi" w:cs="Arial"/>
          <w:b/>
          <w:color w:val="000000" w:themeColor="text1"/>
          <w:szCs w:val="22"/>
          <w:u w:val="single"/>
        </w:rPr>
        <w:t>’</w:t>
      </w:r>
      <w:r w:rsidRPr="001B2567">
        <w:rPr>
          <w:rFonts w:eastAsiaTheme="minorHAnsi" w:cs="Arial"/>
          <w:b/>
          <w:color w:val="000000" w:themeColor="text1"/>
          <w:szCs w:val="22"/>
          <w:u w:val="single"/>
        </w:rPr>
        <w:t>ORDRE DU JOUR [SUITE]</w:t>
      </w:r>
      <w:r>
        <w:rPr>
          <w:rFonts w:eastAsiaTheme="minorHAnsi" w:cs="Arial"/>
          <w:b/>
          <w:color w:val="000000" w:themeColor="text1"/>
          <w:szCs w:val="22"/>
        </w:rPr>
        <w:t> :</w:t>
      </w:r>
    </w:p>
    <w:p w14:paraId="0E32FCA1" w14:textId="7F9F2BE3" w:rsidR="001B2567" w:rsidRPr="001B2567" w:rsidRDefault="001B2567" w:rsidP="006E3034">
      <w:pPr>
        <w:pStyle w:val="Marge"/>
        <w:keepNext/>
        <w:tabs>
          <w:tab w:val="clear" w:pos="567"/>
          <w:tab w:val="left" w:pos="709"/>
          <w:tab w:val="left" w:pos="1418"/>
          <w:tab w:val="left" w:pos="2126"/>
          <w:tab w:val="left" w:pos="2835"/>
        </w:tabs>
        <w:spacing w:after="120"/>
        <w:ind w:left="567" w:hanging="567"/>
        <w:outlineLvl w:val="0"/>
        <w:rPr>
          <w:rFonts w:eastAsia="Malgun Gothic"/>
        </w:rPr>
      </w:pPr>
      <w:r w:rsidRPr="009B17A4">
        <w:rPr>
          <w:rFonts w:eastAsiaTheme="minorHAnsi"/>
          <w:b/>
          <w:color w:val="000000" w:themeColor="text1"/>
        </w:rPr>
        <w:t>R</w:t>
      </w:r>
      <w:r>
        <w:rPr>
          <w:rFonts w:eastAsiaTheme="minorHAnsi"/>
          <w:b/>
          <w:color w:val="000000" w:themeColor="text1"/>
        </w:rPr>
        <w:t>APPORT DE L</w:t>
      </w:r>
      <w:r w:rsidR="00923E72">
        <w:rPr>
          <w:rFonts w:eastAsiaTheme="minorHAnsi"/>
          <w:b/>
          <w:color w:val="000000" w:themeColor="text1"/>
        </w:rPr>
        <w:t>’</w:t>
      </w:r>
      <w:r>
        <w:rPr>
          <w:rFonts w:eastAsiaTheme="minorHAnsi"/>
          <w:b/>
          <w:color w:val="000000" w:themeColor="text1"/>
        </w:rPr>
        <w:t>ORGANE D</w:t>
      </w:r>
      <w:r w:rsidR="00923E72">
        <w:rPr>
          <w:rFonts w:eastAsiaTheme="minorHAnsi"/>
          <w:b/>
          <w:color w:val="000000" w:themeColor="text1"/>
        </w:rPr>
        <w:t>’</w:t>
      </w:r>
      <w:r>
        <w:rPr>
          <w:rFonts w:eastAsiaTheme="minorHAnsi"/>
          <w:b/>
          <w:color w:val="000000" w:themeColor="text1"/>
        </w:rPr>
        <w:t>ÉVALUATION SUR SES TRAVAUX EN 2022</w:t>
      </w:r>
    </w:p>
    <w:p w14:paraId="42941E49" w14:textId="540B142F" w:rsidR="001B2567" w:rsidRDefault="00072B9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est revenu au point</w:t>
      </w:r>
      <w:r w:rsidR="002B668C">
        <w:rPr>
          <w:rFonts w:eastAsia="Malgun Gothic"/>
          <w:bCs/>
          <w:lang w:val="fr-FR"/>
        </w:rPr>
        <w:t> </w:t>
      </w:r>
      <w:r>
        <w:rPr>
          <w:rFonts w:eastAsia="Malgun Gothic"/>
          <w:bCs/>
          <w:lang w:val="fr-FR"/>
        </w:rPr>
        <w:t>7 de l</w:t>
      </w:r>
      <w:r w:rsidR="00923E72">
        <w:rPr>
          <w:rFonts w:eastAsia="Malgun Gothic"/>
          <w:bCs/>
          <w:lang w:val="fr-FR"/>
        </w:rPr>
        <w:t>’</w:t>
      </w:r>
      <w:r w:rsidRPr="00072B96">
        <w:rPr>
          <w:rFonts w:eastAsia="Malgun Gothic"/>
          <w:bCs/>
          <w:lang w:val="fr-FR"/>
        </w:rPr>
        <w:t>ordre du jour</w:t>
      </w:r>
      <w:r>
        <w:rPr>
          <w:rFonts w:eastAsia="Malgun Gothic"/>
          <w:bCs/>
          <w:lang w:val="fr-FR"/>
        </w:rPr>
        <w:t>, le rapport oral de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 xml:space="preserve">évaluation présenté par son </w:t>
      </w:r>
      <w:r w:rsidRPr="00072B96">
        <w:rPr>
          <w:rFonts w:eastAsia="Malgun Gothic"/>
          <w:bCs/>
          <w:lang w:val="fr-FR"/>
        </w:rPr>
        <w:t>Rapporteur</w:t>
      </w:r>
      <w:r>
        <w:rPr>
          <w:rFonts w:eastAsia="Malgun Gothic"/>
          <w:bCs/>
          <w:lang w:val="fr-FR"/>
        </w:rPr>
        <w:t>. Il a donné la parole aux membres du Comité afin qu</w:t>
      </w:r>
      <w:r w:rsidR="00923E72">
        <w:rPr>
          <w:rFonts w:eastAsia="Malgun Gothic"/>
          <w:bCs/>
          <w:lang w:val="fr-FR"/>
        </w:rPr>
        <w:t>’</w:t>
      </w:r>
      <w:r>
        <w:rPr>
          <w:rFonts w:eastAsia="Malgun Gothic"/>
          <w:bCs/>
          <w:lang w:val="fr-FR"/>
        </w:rPr>
        <w:t xml:space="preserve">ils </w:t>
      </w:r>
      <w:r w:rsidR="00AE5509">
        <w:rPr>
          <w:rFonts w:eastAsia="Malgun Gothic"/>
          <w:bCs/>
          <w:lang w:val="fr-FR"/>
        </w:rPr>
        <w:t xml:space="preserve">fassent part de leurs </w:t>
      </w:r>
      <w:r w:rsidRPr="00072B96">
        <w:rPr>
          <w:rFonts w:eastAsia="Malgun Gothic"/>
          <w:bCs/>
          <w:lang w:val="fr-FR"/>
        </w:rPr>
        <w:t>commentaires</w:t>
      </w:r>
      <w:r>
        <w:rPr>
          <w:rFonts w:eastAsia="Malgun Gothic"/>
          <w:bCs/>
          <w:lang w:val="fr-FR"/>
        </w:rPr>
        <w:t xml:space="preserve"> ou posent des questions sur le rapport de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évaluation.</w:t>
      </w:r>
    </w:p>
    <w:p w14:paraId="5AB41920" w14:textId="1F416E44" w:rsidR="00072B96" w:rsidRDefault="003905C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905CB">
        <w:rPr>
          <w:rFonts w:eastAsia="Malgun Gothic"/>
          <w:bCs/>
          <w:lang w:val="fr-FR"/>
        </w:rPr>
        <w:t xml:space="preserve">La délégation de la </w:t>
      </w:r>
      <w:r w:rsidRPr="00702497">
        <w:rPr>
          <w:rFonts w:eastAsia="Malgun Gothic"/>
          <w:b/>
          <w:lang w:val="fr-FR"/>
        </w:rPr>
        <w:t>Suisse</w:t>
      </w:r>
      <w:r w:rsidRPr="003905CB">
        <w:rPr>
          <w:rFonts w:eastAsia="Malgun Gothic"/>
          <w:bCs/>
          <w:lang w:val="fr-FR"/>
        </w:rPr>
        <w:t xml:space="preserve"> a fait remarquer que le rapport de l</w:t>
      </w:r>
      <w:r w:rsidR="00923E72">
        <w:rPr>
          <w:rFonts w:eastAsia="Malgun Gothic"/>
          <w:bCs/>
          <w:lang w:val="fr-FR"/>
        </w:rPr>
        <w:t>’</w:t>
      </w:r>
      <w:r w:rsidRPr="003905CB">
        <w:rPr>
          <w:rFonts w:eastAsia="Malgun Gothic"/>
          <w:bCs/>
          <w:lang w:val="fr-FR"/>
        </w:rPr>
        <w:t>Organe d</w:t>
      </w:r>
      <w:r w:rsidR="00923E72">
        <w:rPr>
          <w:rFonts w:eastAsia="Malgun Gothic"/>
          <w:bCs/>
          <w:lang w:val="fr-FR"/>
        </w:rPr>
        <w:t>’</w:t>
      </w:r>
      <w:r w:rsidRPr="003905CB">
        <w:rPr>
          <w:rFonts w:eastAsia="Malgun Gothic"/>
          <w:bCs/>
          <w:lang w:val="fr-FR"/>
        </w:rPr>
        <w:t>évaluation révélait la qualité du travail effectué par les experts. Il fournissait des analyses quantitatives et qualitatives, mettant en évidence les questions, les problèmes et les évolutions dans les dossiers présentés. La Suisse a remercié tous les experts et le Secrétariat pour leur engagement dans l</w:t>
      </w:r>
      <w:r w:rsidR="00923E72">
        <w:rPr>
          <w:rFonts w:eastAsia="Malgun Gothic"/>
          <w:bCs/>
          <w:lang w:val="fr-FR"/>
        </w:rPr>
        <w:t>’</w:t>
      </w:r>
      <w:r w:rsidRPr="003905CB">
        <w:rPr>
          <w:rFonts w:eastAsia="Malgun Gothic"/>
          <w:bCs/>
          <w:lang w:val="fr-FR"/>
        </w:rPr>
        <w:t>élaboration de ce rapport. L</w:t>
      </w:r>
      <w:r w:rsidR="00923E72">
        <w:rPr>
          <w:rFonts w:eastAsia="Malgun Gothic"/>
          <w:bCs/>
          <w:lang w:val="fr-FR"/>
        </w:rPr>
        <w:t>’</w:t>
      </w:r>
      <w:r w:rsidRPr="003905CB">
        <w:rPr>
          <w:rFonts w:eastAsia="Malgun Gothic"/>
          <w:bCs/>
          <w:lang w:val="fr-FR"/>
        </w:rPr>
        <w:t>Organe avait formulé plusieurs recommandations pertinentes. Tout d</w:t>
      </w:r>
      <w:r w:rsidR="00923E72">
        <w:rPr>
          <w:rFonts w:eastAsia="Malgun Gothic"/>
          <w:bCs/>
          <w:lang w:val="fr-FR"/>
        </w:rPr>
        <w:t>’</w:t>
      </w:r>
      <w:r w:rsidRPr="003905CB">
        <w:rPr>
          <w:rFonts w:eastAsia="Malgun Gothic"/>
          <w:bCs/>
          <w:lang w:val="fr-FR"/>
        </w:rPr>
        <w:t>abord, la recommandation d</w:t>
      </w:r>
      <w:r w:rsidR="00923E72">
        <w:rPr>
          <w:rFonts w:eastAsia="Malgun Gothic"/>
          <w:bCs/>
          <w:lang w:val="fr-FR"/>
        </w:rPr>
        <w:t>’</w:t>
      </w:r>
      <w:r w:rsidRPr="003905CB">
        <w:rPr>
          <w:rFonts w:eastAsia="Malgun Gothic"/>
          <w:bCs/>
          <w:lang w:val="fr-FR"/>
        </w:rPr>
        <w:t xml:space="preserve">une forte </w:t>
      </w:r>
      <w:r w:rsidR="00CE2ADA">
        <w:rPr>
          <w:rFonts w:eastAsia="Malgun Gothic"/>
          <w:bCs/>
          <w:lang w:val="fr-FR"/>
        </w:rPr>
        <w:t xml:space="preserve">participation </w:t>
      </w:r>
      <w:r w:rsidRPr="003905CB">
        <w:rPr>
          <w:rFonts w:eastAsia="Malgun Gothic"/>
          <w:bCs/>
          <w:lang w:val="fr-FR"/>
        </w:rPr>
        <w:t xml:space="preserve">des communautés </w:t>
      </w:r>
      <w:r w:rsidR="009258A1">
        <w:rPr>
          <w:rFonts w:eastAsia="Malgun Gothic"/>
          <w:bCs/>
          <w:lang w:val="fr-FR"/>
        </w:rPr>
        <w:t xml:space="preserve">à </w:t>
      </w:r>
      <w:r w:rsidRPr="003905CB">
        <w:rPr>
          <w:rFonts w:eastAsia="Malgun Gothic"/>
          <w:bCs/>
          <w:lang w:val="fr-FR"/>
        </w:rPr>
        <w:t>la préparation des dossiers de candidature était une exigence de la Convention et constituait souvent un défi pour tous les États soumissionnaires. Pour y</w:t>
      </w:r>
      <w:r>
        <w:rPr>
          <w:rFonts w:eastAsia="Malgun Gothic"/>
          <w:bCs/>
          <w:lang w:val="fr-FR"/>
        </w:rPr>
        <w:t xml:space="preserve"> parvenir</w:t>
      </w:r>
      <w:r w:rsidRPr="003905CB">
        <w:rPr>
          <w:rFonts w:eastAsia="Malgun Gothic"/>
          <w:bCs/>
          <w:lang w:val="fr-FR"/>
        </w:rPr>
        <w:t>, le renforcement des capacités et la formation de facilitateurs étaient des pistes à privilégier et à soutenir. Deuxièmement, la qualité des candidatures multinationales devait encore être améliorée. À cet égard, il a été rappelé que l</w:t>
      </w:r>
      <w:r w:rsidR="00923E72">
        <w:rPr>
          <w:rFonts w:eastAsia="Malgun Gothic"/>
          <w:bCs/>
          <w:lang w:val="fr-FR"/>
        </w:rPr>
        <w:t>’</w:t>
      </w:r>
      <w:r w:rsidRPr="003905CB">
        <w:rPr>
          <w:rFonts w:eastAsia="Malgun Gothic"/>
          <w:bCs/>
          <w:lang w:val="fr-FR"/>
        </w:rPr>
        <w:t>Organe d</w:t>
      </w:r>
      <w:r w:rsidR="00923E72">
        <w:rPr>
          <w:rFonts w:eastAsia="Malgun Gothic"/>
          <w:bCs/>
          <w:lang w:val="fr-FR"/>
        </w:rPr>
        <w:t>’</w:t>
      </w:r>
      <w:r w:rsidRPr="003905CB">
        <w:rPr>
          <w:rFonts w:eastAsia="Malgun Gothic"/>
          <w:bCs/>
          <w:lang w:val="fr-FR"/>
        </w:rPr>
        <w:t>évaluation avait demandé au Secrétariat de préparer une note d</w:t>
      </w:r>
      <w:r w:rsidR="00923E72">
        <w:rPr>
          <w:rFonts w:eastAsia="Malgun Gothic"/>
          <w:bCs/>
          <w:lang w:val="fr-FR"/>
        </w:rPr>
        <w:t>’</w:t>
      </w:r>
      <w:r w:rsidRPr="003905CB">
        <w:rPr>
          <w:rFonts w:eastAsia="Malgun Gothic"/>
          <w:bCs/>
          <w:lang w:val="fr-FR"/>
        </w:rPr>
        <w:t>orientation pour la préparation des dossiers multinationaux. La haute qualité des dossiers soumis a également été notée, avec</w:t>
      </w:r>
      <w:r w:rsidR="009A34A8">
        <w:rPr>
          <w:rFonts w:eastAsia="Malgun Gothic"/>
          <w:bCs/>
          <w:lang w:val="fr-FR"/>
        </w:rPr>
        <w:t> </w:t>
      </w:r>
      <w:r w:rsidRPr="003905CB">
        <w:rPr>
          <w:rFonts w:eastAsia="Malgun Gothic"/>
          <w:bCs/>
          <w:lang w:val="fr-FR"/>
        </w:rPr>
        <w:t>71</w:t>
      </w:r>
      <w:r>
        <w:rPr>
          <w:rFonts w:eastAsia="Malgun Gothic"/>
          <w:bCs/>
          <w:lang w:val="fr-FR"/>
        </w:rPr>
        <w:t> </w:t>
      </w:r>
      <w:r w:rsidRPr="003905CB">
        <w:rPr>
          <w:rFonts w:eastAsia="Malgun Gothic"/>
          <w:bCs/>
          <w:lang w:val="fr-FR"/>
        </w:rPr>
        <w:t xml:space="preserve">% des candidatures </w:t>
      </w:r>
      <w:r>
        <w:rPr>
          <w:rFonts w:eastAsia="Malgun Gothic"/>
          <w:bCs/>
          <w:lang w:val="fr-FR"/>
        </w:rPr>
        <w:t>dont l</w:t>
      </w:r>
      <w:r w:rsidR="00923E72">
        <w:rPr>
          <w:rFonts w:eastAsia="Malgun Gothic"/>
          <w:bCs/>
          <w:lang w:val="fr-FR"/>
        </w:rPr>
        <w:t>’</w:t>
      </w:r>
      <w:r w:rsidRPr="003905CB">
        <w:rPr>
          <w:rFonts w:eastAsia="Malgun Gothic"/>
          <w:bCs/>
          <w:lang w:val="fr-FR"/>
        </w:rPr>
        <w:t>inscription</w:t>
      </w:r>
      <w:r>
        <w:rPr>
          <w:rFonts w:eastAsia="Malgun Gothic"/>
          <w:bCs/>
          <w:lang w:val="fr-FR"/>
        </w:rPr>
        <w:t xml:space="preserve"> était recommandée</w:t>
      </w:r>
      <w:r w:rsidRPr="003905CB">
        <w:rPr>
          <w:rFonts w:eastAsia="Malgun Gothic"/>
          <w:bCs/>
          <w:lang w:val="fr-FR"/>
        </w:rPr>
        <w:t xml:space="preserve">. Parmi ceux-ci figuraient plusieurs dossiers qui avaient été précédemment renvoyés. </w:t>
      </w:r>
      <w:r>
        <w:rPr>
          <w:rFonts w:eastAsia="Malgun Gothic"/>
          <w:bCs/>
          <w:lang w:val="fr-FR"/>
        </w:rPr>
        <w:t xml:space="preserve">La </w:t>
      </w:r>
      <w:r w:rsidRPr="003905CB">
        <w:rPr>
          <w:rFonts w:eastAsia="Malgun Gothic"/>
          <w:bCs/>
          <w:lang w:val="fr-FR"/>
        </w:rPr>
        <w:t>délégation</w:t>
      </w:r>
      <w:r>
        <w:rPr>
          <w:rFonts w:eastAsia="Malgun Gothic"/>
          <w:bCs/>
          <w:lang w:val="fr-FR"/>
        </w:rPr>
        <w:t xml:space="preserve"> s</w:t>
      </w:r>
      <w:r w:rsidR="00923E72">
        <w:rPr>
          <w:rFonts w:eastAsia="Malgun Gothic"/>
          <w:bCs/>
          <w:lang w:val="fr-FR"/>
        </w:rPr>
        <w:t>’</w:t>
      </w:r>
      <w:r>
        <w:rPr>
          <w:rFonts w:eastAsia="Malgun Gothic"/>
          <w:bCs/>
          <w:lang w:val="fr-FR"/>
        </w:rPr>
        <w:t xml:space="preserve">en est réjouie </w:t>
      </w:r>
      <w:r w:rsidRPr="003905CB">
        <w:rPr>
          <w:rFonts w:eastAsia="Malgun Gothic"/>
          <w:bCs/>
          <w:lang w:val="fr-FR"/>
        </w:rPr>
        <w:t>car cela montrait qu</w:t>
      </w:r>
      <w:r w:rsidR="00923E72">
        <w:rPr>
          <w:rFonts w:eastAsia="Malgun Gothic"/>
          <w:bCs/>
          <w:lang w:val="fr-FR"/>
        </w:rPr>
        <w:t>’</w:t>
      </w:r>
      <w:r w:rsidRPr="003905CB">
        <w:rPr>
          <w:rFonts w:eastAsia="Malgun Gothic"/>
          <w:bCs/>
          <w:lang w:val="fr-FR"/>
        </w:rPr>
        <w:t>une proposition de renvoi ne devait pas être considérée comme un échec, au contraire, cela encourageait l</w:t>
      </w:r>
      <w:r w:rsidR="00923E72">
        <w:rPr>
          <w:rFonts w:eastAsia="Malgun Gothic"/>
          <w:bCs/>
          <w:lang w:val="fr-FR"/>
        </w:rPr>
        <w:t>’</w:t>
      </w:r>
      <w:r w:rsidRPr="003905CB">
        <w:rPr>
          <w:rFonts w:eastAsia="Malgun Gothic"/>
          <w:bCs/>
          <w:lang w:val="fr-FR"/>
        </w:rPr>
        <w:t>État soumissionnaire à améliorer la qualité du dossier. À ce sujet, les évaluations donnaient des indications et des conseils pertinents pour tous les États soumissionnaires. Reconnaissant l</w:t>
      </w:r>
      <w:r w:rsidR="00923E72">
        <w:rPr>
          <w:rFonts w:eastAsia="Malgun Gothic"/>
          <w:bCs/>
          <w:lang w:val="fr-FR"/>
        </w:rPr>
        <w:t>’</w:t>
      </w:r>
      <w:r w:rsidRPr="003905CB">
        <w:rPr>
          <w:rFonts w:eastAsia="Malgun Gothic"/>
          <w:bCs/>
          <w:lang w:val="fr-FR"/>
        </w:rPr>
        <w:t>expertise de l</w:t>
      </w:r>
      <w:r w:rsidR="00923E72">
        <w:rPr>
          <w:rFonts w:eastAsia="Malgun Gothic"/>
          <w:bCs/>
          <w:lang w:val="fr-FR"/>
        </w:rPr>
        <w:t>’</w:t>
      </w:r>
      <w:r w:rsidRPr="003905CB">
        <w:rPr>
          <w:rFonts w:eastAsia="Malgun Gothic"/>
          <w:bCs/>
          <w:lang w:val="fr-FR"/>
        </w:rPr>
        <w:t>Organe, la Suisse s</w:t>
      </w:r>
      <w:r w:rsidR="00923E72">
        <w:rPr>
          <w:rFonts w:eastAsia="Malgun Gothic"/>
          <w:bCs/>
          <w:lang w:val="fr-FR"/>
        </w:rPr>
        <w:t>’</w:t>
      </w:r>
      <w:r w:rsidRPr="003905CB">
        <w:rPr>
          <w:rFonts w:eastAsia="Malgun Gothic"/>
          <w:bCs/>
          <w:lang w:val="fr-FR"/>
        </w:rPr>
        <w:t>est engagée à respecter les recommandations de l</w:t>
      </w:r>
      <w:r w:rsidR="00923E72">
        <w:rPr>
          <w:rFonts w:eastAsia="Malgun Gothic"/>
          <w:bCs/>
          <w:lang w:val="fr-FR"/>
        </w:rPr>
        <w:t>’</w:t>
      </w:r>
      <w:r w:rsidRPr="003905CB">
        <w:rPr>
          <w:rFonts w:eastAsia="Malgun Gothic"/>
          <w:bCs/>
          <w:lang w:val="fr-FR"/>
        </w:rPr>
        <w:t>Organe et l</w:t>
      </w:r>
      <w:r w:rsidR="00923E72">
        <w:rPr>
          <w:rFonts w:eastAsia="Malgun Gothic"/>
          <w:bCs/>
          <w:lang w:val="fr-FR"/>
        </w:rPr>
        <w:t>’</w:t>
      </w:r>
      <w:r w:rsidRPr="003905CB">
        <w:rPr>
          <w:rFonts w:eastAsia="Malgun Gothic"/>
          <w:bCs/>
          <w:lang w:val="fr-FR"/>
        </w:rPr>
        <w:t>accord de travail. Les méthodes de travail pouvaient et devaient évoluer. Toutefois, ces adaptations devaient se faire indépendamment du traitement des dossiers de candidature.</w:t>
      </w:r>
    </w:p>
    <w:p w14:paraId="6BAE68CE" w14:textId="6E983F13" w:rsidR="003905CB" w:rsidRDefault="005F194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F1948">
        <w:rPr>
          <w:rFonts w:eastAsia="Malgun Gothic"/>
          <w:bCs/>
          <w:lang w:val="fr-FR"/>
        </w:rPr>
        <w:t xml:space="preserve">La délégation du </w:t>
      </w:r>
      <w:r w:rsidRPr="00702497">
        <w:rPr>
          <w:rFonts w:eastAsia="Malgun Gothic"/>
          <w:b/>
          <w:lang w:val="fr-FR"/>
        </w:rPr>
        <w:t>Brésil</w:t>
      </w:r>
      <w:r w:rsidRPr="005F1948">
        <w:rPr>
          <w:rFonts w:eastAsia="Malgun Gothic"/>
          <w:bCs/>
          <w:lang w:val="fr-FR"/>
        </w:rPr>
        <w:t xml:space="preserve"> a </w:t>
      </w:r>
      <w:r w:rsidR="00015925">
        <w:rPr>
          <w:rFonts w:eastAsia="Malgun Gothic"/>
          <w:bCs/>
          <w:lang w:val="fr-FR"/>
        </w:rPr>
        <w:t xml:space="preserve">fait part de </w:t>
      </w:r>
      <w:r w:rsidRPr="005F1948">
        <w:rPr>
          <w:rFonts w:eastAsia="Malgun Gothic"/>
          <w:bCs/>
          <w:lang w:val="fr-FR"/>
        </w:rPr>
        <w:t xml:space="preserve">son soutien </w:t>
      </w:r>
      <w:r w:rsidR="00505E24">
        <w:rPr>
          <w:rFonts w:eastAsia="Malgun Gothic"/>
          <w:bCs/>
          <w:lang w:val="fr-FR"/>
        </w:rPr>
        <w:t xml:space="preserve">et de son respect </w:t>
      </w:r>
      <w:r w:rsidRPr="005F1948">
        <w:rPr>
          <w:rFonts w:eastAsia="Malgun Gothic"/>
          <w:bCs/>
          <w:lang w:val="fr-FR"/>
        </w:rPr>
        <w:t>pour l</w:t>
      </w:r>
      <w:r w:rsidR="00923E72">
        <w:rPr>
          <w:rFonts w:eastAsia="Malgun Gothic"/>
          <w:bCs/>
          <w:lang w:val="fr-FR"/>
        </w:rPr>
        <w:t>’</w:t>
      </w:r>
      <w:r w:rsidRPr="005F1948">
        <w:rPr>
          <w:rFonts w:eastAsia="Malgun Gothic"/>
          <w:bCs/>
          <w:lang w:val="fr-FR"/>
        </w:rPr>
        <w:t>énorme travail de l</w:t>
      </w:r>
      <w:r w:rsidR="00923E72">
        <w:rPr>
          <w:rFonts w:eastAsia="Malgun Gothic"/>
          <w:bCs/>
          <w:lang w:val="fr-FR"/>
        </w:rPr>
        <w:t>’</w:t>
      </w:r>
      <w:r w:rsidRPr="005F1948">
        <w:rPr>
          <w:rFonts w:eastAsia="Malgun Gothic"/>
          <w:bCs/>
          <w:lang w:val="fr-FR"/>
        </w:rPr>
        <w:t>Organe d</w:t>
      </w:r>
      <w:r w:rsidR="00923E72">
        <w:rPr>
          <w:rFonts w:eastAsia="Malgun Gothic"/>
          <w:bCs/>
          <w:lang w:val="fr-FR"/>
        </w:rPr>
        <w:t>’</w:t>
      </w:r>
      <w:r w:rsidRPr="005F1948">
        <w:rPr>
          <w:rFonts w:eastAsia="Malgun Gothic"/>
          <w:bCs/>
          <w:lang w:val="fr-FR"/>
        </w:rPr>
        <w:t>évaluation, dont les commentaires étaient très importants pour l</w:t>
      </w:r>
      <w:r w:rsidR="00923E72">
        <w:rPr>
          <w:rFonts w:eastAsia="Malgun Gothic"/>
          <w:bCs/>
          <w:lang w:val="fr-FR"/>
        </w:rPr>
        <w:t>’</w:t>
      </w:r>
      <w:r w:rsidRPr="005F1948">
        <w:rPr>
          <w:rFonts w:eastAsia="Malgun Gothic"/>
          <w:bCs/>
          <w:lang w:val="fr-FR"/>
        </w:rPr>
        <w:t>avenir de la Convention. Elle a attiré l</w:t>
      </w:r>
      <w:r w:rsidR="00923E72">
        <w:rPr>
          <w:rFonts w:eastAsia="Malgun Gothic"/>
          <w:bCs/>
          <w:lang w:val="fr-FR"/>
        </w:rPr>
        <w:t>’</w:t>
      </w:r>
      <w:r w:rsidRPr="005F1948">
        <w:rPr>
          <w:rFonts w:eastAsia="Malgun Gothic"/>
          <w:bCs/>
          <w:lang w:val="fr-FR"/>
        </w:rPr>
        <w:t xml:space="preserve">attention sur la réflexion </w:t>
      </w:r>
      <w:r w:rsidR="0032035A">
        <w:rPr>
          <w:rFonts w:eastAsia="Malgun Gothic"/>
          <w:bCs/>
          <w:lang w:val="fr-FR"/>
        </w:rPr>
        <w:t>engag</w:t>
      </w:r>
      <w:r w:rsidRPr="005F1948">
        <w:rPr>
          <w:rFonts w:eastAsia="Malgun Gothic"/>
          <w:bCs/>
          <w:lang w:val="fr-FR"/>
        </w:rPr>
        <w:t>ée au paragraphe</w:t>
      </w:r>
      <w:r w:rsidR="00505E24">
        <w:rPr>
          <w:rFonts w:eastAsia="Malgun Gothic"/>
          <w:bCs/>
          <w:lang w:val="fr-FR"/>
        </w:rPr>
        <w:t> </w:t>
      </w:r>
      <w:r w:rsidRPr="005F1948">
        <w:rPr>
          <w:rFonts w:eastAsia="Malgun Gothic"/>
          <w:bCs/>
          <w:lang w:val="fr-FR"/>
        </w:rPr>
        <w:t>45 du rapport concernant le tourisme et la standardisation qui, selon elle, pourrait bénéficier des discussions menées dans le cadre de la Convention de 2005. Le rapport mettait également en évidence certains déséquilibres géographiques, et la délégation souscri</w:t>
      </w:r>
      <w:r w:rsidR="00505E24">
        <w:rPr>
          <w:rFonts w:eastAsia="Malgun Gothic"/>
          <w:bCs/>
          <w:lang w:val="fr-FR"/>
        </w:rPr>
        <w:t>vai</w:t>
      </w:r>
      <w:r w:rsidRPr="005F1948">
        <w:rPr>
          <w:rFonts w:eastAsia="Malgun Gothic"/>
          <w:bCs/>
          <w:lang w:val="fr-FR"/>
        </w:rPr>
        <w:t>t au paragraphe</w:t>
      </w:r>
      <w:r w:rsidR="00505E24">
        <w:rPr>
          <w:rFonts w:eastAsia="Malgun Gothic"/>
          <w:bCs/>
          <w:lang w:val="fr-FR"/>
        </w:rPr>
        <w:t> </w:t>
      </w:r>
      <w:r w:rsidRPr="005F1948">
        <w:rPr>
          <w:rFonts w:eastAsia="Malgun Gothic"/>
          <w:bCs/>
          <w:lang w:val="fr-FR"/>
        </w:rPr>
        <w:t>36 selon lequel il était nécessaire de renforcer davantage les capacités dans certaines régions. Ce déséquilibre dans les listes était la raison pour laquelle le Brésil avait soumis un amendement au projet de décision. La délégation a précisé que son point de vue n</w:t>
      </w:r>
      <w:r w:rsidR="00923E72">
        <w:rPr>
          <w:rFonts w:eastAsia="Malgun Gothic"/>
          <w:bCs/>
          <w:lang w:val="fr-FR"/>
        </w:rPr>
        <w:t>’</w:t>
      </w:r>
      <w:r w:rsidRPr="005F1948">
        <w:rPr>
          <w:rFonts w:eastAsia="Malgun Gothic"/>
          <w:bCs/>
          <w:lang w:val="fr-FR"/>
        </w:rPr>
        <w:t>était pas le fait d</w:t>
      </w:r>
      <w:r w:rsidR="00923E72">
        <w:rPr>
          <w:rFonts w:eastAsia="Malgun Gothic"/>
          <w:bCs/>
          <w:lang w:val="fr-FR"/>
        </w:rPr>
        <w:t>’</w:t>
      </w:r>
      <w:r w:rsidRPr="005F1948">
        <w:rPr>
          <w:rFonts w:eastAsia="Malgun Gothic"/>
          <w:bCs/>
          <w:lang w:val="fr-FR"/>
        </w:rPr>
        <w:t>une partie prenante en particulier, mais qu</w:t>
      </w:r>
      <w:r w:rsidR="00923E72">
        <w:rPr>
          <w:rFonts w:eastAsia="Malgun Gothic"/>
          <w:bCs/>
          <w:lang w:val="fr-FR"/>
        </w:rPr>
        <w:t>’</w:t>
      </w:r>
      <w:r w:rsidRPr="005F1948">
        <w:rPr>
          <w:rFonts w:eastAsia="Malgun Gothic"/>
          <w:bCs/>
          <w:lang w:val="fr-FR"/>
        </w:rPr>
        <w:t>il s</w:t>
      </w:r>
      <w:r w:rsidR="00923E72">
        <w:rPr>
          <w:rFonts w:eastAsia="Malgun Gothic"/>
          <w:bCs/>
          <w:lang w:val="fr-FR"/>
        </w:rPr>
        <w:t>’</w:t>
      </w:r>
      <w:r w:rsidRPr="005F1948">
        <w:rPr>
          <w:rFonts w:eastAsia="Malgun Gothic"/>
          <w:bCs/>
          <w:lang w:val="fr-FR"/>
        </w:rPr>
        <w:t>agissait d</w:t>
      </w:r>
      <w:r w:rsidR="00923E72">
        <w:rPr>
          <w:rFonts w:eastAsia="Malgun Gothic"/>
          <w:bCs/>
          <w:lang w:val="fr-FR"/>
        </w:rPr>
        <w:t>’</w:t>
      </w:r>
      <w:r w:rsidRPr="005F1948">
        <w:rPr>
          <w:rFonts w:eastAsia="Malgun Gothic"/>
          <w:bCs/>
          <w:lang w:val="fr-FR"/>
        </w:rPr>
        <w:t>une question structurelle et d</w:t>
      </w:r>
      <w:r w:rsidR="00923E72">
        <w:rPr>
          <w:rFonts w:eastAsia="Malgun Gothic"/>
          <w:bCs/>
          <w:lang w:val="fr-FR"/>
        </w:rPr>
        <w:t>’</w:t>
      </w:r>
      <w:r w:rsidRPr="005F1948">
        <w:rPr>
          <w:rFonts w:eastAsia="Malgun Gothic"/>
          <w:bCs/>
          <w:lang w:val="fr-FR"/>
        </w:rPr>
        <w:t>une responsabilité commune de l</w:t>
      </w:r>
      <w:r w:rsidR="00923E72">
        <w:rPr>
          <w:rFonts w:eastAsia="Malgun Gothic"/>
          <w:bCs/>
          <w:lang w:val="fr-FR"/>
        </w:rPr>
        <w:t>’</w:t>
      </w:r>
      <w:r w:rsidRPr="005F1948">
        <w:rPr>
          <w:rFonts w:eastAsia="Malgun Gothic"/>
          <w:bCs/>
          <w:lang w:val="fr-FR"/>
        </w:rPr>
        <w:t>ensemble de la communauté de l</w:t>
      </w:r>
      <w:r w:rsidR="00923E72">
        <w:rPr>
          <w:rFonts w:eastAsia="Malgun Gothic"/>
          <w:bCs/>
          <w:lang w:val="fr-FR"/>
        </w:rPr>
        <w:t>’</w:t>
      </w:r>
      <w:r w:rsidRPr="005F1948">
        <w:rPr>
          <w:rFonts w:eastAsia="Malgun Gothic"/>
          <w:bCs/>
          <w:lang w:val="fr-FR"/>
        </w:rPr>
        <w:t>UNESCO. Chaque geste comptait et certaines mesures pourraient peut-être être prises pour réduire ces déséquilibres. Le moyen le plus évident résidait dans l</w:t>
      </w:r>
      <w:r w:rsidR="00923E72">
        <w:rPr>
          <w:rFonts w:eastAsia="Malgun Gothic"/>
          <w:bCs/>
          <w:lang w:val="fr-FR"/>
        </w:rPr>
        <w:t>’</w:t>
      </w:r>
      <w:r w:rsidRPr="005F1948">
        <w:rPr>
          <w:rFonts w:eastAsia="Malgun Gothic"/>
          <w:bCs/>
          <w:lang w:val="fr-FR"/>
        </w:rPr>
        <w:t xml:space="preserve">approche par le dialogue. Le rapport notait que onze dossiers avaient bénéficié de ce nouvel outil. Certaines </w:t>
      </w:r>
      <w:r w:rsidR="0032035A">
        <w:rPr>
          <w:rFonts w:eastAsia="Malgun Gothic"/>
          <w:bCs/>
          <w:lang w:val="fr-FR"/>
        </w:rPr>
        <w:t xml:space="preserve">des </w:t>
      </w:r>
      <w:r w:rsidRPr="005F1948">
        <w:rPr>
          <w:rFonts w:eastAsia="Malgun Gothic"/>
          <w:bCs/>
          <w:lang w:val="fr-FR"/>
        </w:rPr>
        <w:t>incohérences, observées par les experts brésiliens dans leurs évaluations, auraient pu être évitées en améliorant cet espace de dialogue rapide mais pertinent. Le Brésil avait soumis un amendement en ce sens. Quant aux membres du Comité, ils devaient intensifier le dialogue et utiliser toutes les sources pour contribuer à de nouvelles perceptions de la Convention. La Suède en avait donné un bon exemple en parrainant l</w:t>
      </w:r>
      <w:r w:rsidR="00923E72">
        <w:rPr>
          <w:rFonts w:eastAsia="Malgun Gothic"/>
          <w:bCs/>
          <w:lang w:val="fr-FR"/>
        </w:rPr>
        <w:t>’</w:t>
      </w:r>
      <w:r w:rsidRPr="005F1948">
        <w:rPr>
          <w:rFonts w:eastAsia="Malgun Gothic"/>
          <w:bCs/>
          <w:lang w:val="fr-FR"/>
        </w:rPr>
        <w:t>importante réflexion sur l</w:t>
      </w:r>
      <w:r w:rsidR="00923E72">
        <w:rPr>
          <w:rFonts w:eastAsia="Malgun Gothic"/>
          <w:bCs/>
          <w:lang w:val="fr-FR"/>
        </w:rPr>
        <w:t>’</w:t>
      </w:r>
      <w:r w:rsidRPr="005F1948">
        <w:rPr>
          <w:rFonts w:eastAsia="Malgun Gothic"/>
          <w:bCs/>
          <w:lang w:val="fr-FR"/>
        </w:rPr>
        <w:t>article</w:t>
      </w:r>
      <w:r w:rsidR="006773EF">
        <w:rPr>
          <w:rFonts w:eastAsia="Malgun Gothic"/>
          <w:bCs/>
          <w:lang w:val="fr-FR"/>
        </w:rPr>
        <w:t> </w:t>
      </w:r>
      <w:r w:rsidRPr="005F1948">
        <w:rPr>
          <w:rFonts w:eastAsia="Malgun Gothic"/>
          <w:bCs/>
          <w:lang w:val="fr-FR"/>
        </w:rPr>
        <w:t>18 de la Convention, ce dont le Brésil lui était reconnaissant. Une autre bonne occasion était le Comité lui-même, qui comprend des experts de vingt</w:t>
      </w:r>
      <w:r w:rsidR="00505E24">
        <w:rPr>
          <w:rFonts w:eastAsia="Malgun Gothic"/>
          <w:bCs/>
          <w:lang w:val="fr-FR"/>
        </w:rPr>
        <w:noBreakHyphen/>
      </w:r>
      <w:r w:rsidRPr="005F1948">
        <w:rPr>
          <w:rFonts w:eastAsia="Malgun Gothic"/>
          <w:bCs/>
          <w:lang w:val="fr-FR"/>
        </w:rPr>
        <w:t>quatre pays qui ont une excellente opportunité de répondre à certaines des questions soulevées par l</w:t>
      </w:r>
      <w:r w:rsidR="00923E72">
        <w:rPr>
          <w:rFonts w:eastAsia="Malgun Gothic"/>
          <w:bCs/>
          <w:lang w:val="fr-FR"/>
        </w:rPr>
        <w:t>’</w:t>
      </w:r>
      <w:r w:rsidRPr="005F1948">
        <w:rPr>
          <w:rFonts w:eastAsia="Malgun Gothic"/>
          <w:bCs/>
          <w:lang w:val="fr-FR"/>
        </w:rPr>
        <w:t>Organe d</w:t>
      </w:r>
      <w:r w:rsidR="00923E72">
        <w:rPr>
          <w:rFonts w:eastAsia="Malgun Gothic"/>
          <w:bCs/>
          <w:lang w:val="fr-FR"/>
        </w:rPr>
        <w:t>’</w:t>
      </w:r>
      <w:r w:rsidRPr="005F1948">
        <w:rPr>
          <w:rFonts w:eastAsia="Malgun Gothic"/>
          <w:bCs/>
          <w:lang w:val="fr-FR"/>
        </w:rPr>
        <w:t>évaluation au cours de ce cycle. La délégation a salué les efforts déjà entrepris par l</w:t>
      </w:r>
      <w:r w:rsidR="00923E72">
        <w:rPr>
          <w:rFonts w:eastAsia="Malgun Gothic"/>
          <w:bCs/>
          <w:lang w:val="fr-FR"/>
        </w:rPr>
        <w:t>’</w:t>
      </w:r>
      <w:r w:rsidRPr="005F1948">
        <w:rPr>
          <w:rFonts w:eastAsia="Malgun Gothic"/>
          <w:bCs/>
          <w:lang w:val="fr-FR"/>
        </w:rPr>
        <w:t xml:space="preserve">intermédiaire des groupes de travail consacrés à des questions spécifiques et a renouvelé son soutien afin que les nouvelles propositions puissent être pleinement et rapidement mises </w:t>
      </w:r>
      <w:r w:rsidRPr="005F1948">
        <w:rPr>
          <w:rFonts w:eastAsia="Malgun Gothic"/>
          <w:bCs/>
          <w:lang w:val="fr-FR"/>
        </w:rPr>
        <w:lastRenderedPageBreak/>
        <w:t>en œuvre. Une Liste représentative plus équilibrée géographiquement donnerait plus de légitimité aux actions du Secrétariat et contribuerait au rayonnement de cette Convention.</w:t>
      </w:r>
    </w:p>
    <w:p w14:paraId="6CA343B8" w14:textId="7BAB8186" w:rsidR="0032035A" w:rsidRDefault="008A2973"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A2973">
        <w:rPr>
          <w:rFonts w:eastAsia="Malgun Gothic"/>
          <w:bCs/>
          <w:lang w:val="fr-FR"/>
        </w:rPr>
        <w:t xml:space="preserve">La délégation de la </w:t>
      </w:r>
      <w:r w:rsidRPr="00702497">
        <w:rPr>
          <w:rFonts w:eastAsia="Malgun Gothic"/>
          <w:b/>
          <w:lang w:val="fr-FR"/>
        </w:rPr>
        <w:t>Tchéquie</w:t>
      </w:r>
      <w:r w:rsidRPr="008A2973">
        <w:rPr>
          <w:rFonts w:eastAsia="Malgun Gothic"/>
          <w:bCs/>
          <w:lang w:val="fr-FR"/>
        </w:rPr>
        <w:t xml:space="preserve"> a exprimé son respect et sa gratitude pour tout le travail accompli par le Secrétariat et l</w:t>
      </w:r>
      <w:r w:rsidR="00923E72">
        <w:rPr>
          <w:rFonts w:eastAsia="Malgun Gothic"/>
          <w:bCs/>
          <w:lang w:val="fr-FR"/>
        </w:rPr>
        <w:t>’</w:t>
      </w:r>
      <w:r w:rsidRPr="008A2973">
        <w:rPr>
          <w:rFonts w:eastAsia="Malgun Gothic"/>
          <w:bCs/>
          <w:lang w:val="fr-FR"/>
        </w:rPr>
        <w:t>Organe d</w:t>
      </w:r>
      <w:r w:rsidR="00923E72">
        <w:rPr>
          <w:rFonts w:eastAsia="Malgun Gothic"/>
          <w:bCs/>
          <w:lang w:val="fr-FR"/>
        </w:rPr>
        <w:t>’</w:t>
      </w:r>
      <w:r w:rsidRPr="008A2973">
        <w:rPr>
          <w:rFonts w:eastAsia="Malgun Gothic"/>
          <w:bCs/>
          <w:lang w:val="fr-FR"/>
        </w:rPr>
        <w:t>évaluation au cours de ce cycle. La charge de travail s</w:t>
      </w:r>
      <w:r w:rsidR="00923E72">
        <w:rPr>
          <w:rFonts w:eastAsia="Malgun Gothic"/>
          <w:bCs/>
          <w:lang w:val="fr-FR"/>
        </w:rPr>
        <w:t>’</w:t>
      </w:r>
      <w:r w:rsidRPr="008A2973">
        <w:rPr>
          <w:rFonts w:eastAsia="Malgun Gothic"/>
          <w:bCs/>
          <w:lang w:val="fr-FR"/>
        </w:rPr>
        <w:t>était accrue, mais l</w:t>
      </w:r>
      <w:r w:rsidR="00923E72">
        <w:rPr>
          <w:rFonts w:eastAsia="Malgun Gothic"/>
          <w:bCs/>
          <w:lang w:val="fr-FR"/>
        </w:rPr>
        <w:t>’</w:t>
      </w:r>
      <w:r w:rsidRPr="008A2973">
        <w:rPr>
          <w:rFonts w:eastAsia="Malgun Gothic"/>
          <w:bCs/>
          <w:lang w:val="fr-FR"/>
        </w:rPr>
        <w:t>Organe était tout de même parvenu à terminer son travail à temps et à soumettre un rapport de bonne qualité. Malheureusement, tous les dossiers n</w:t>
      </w:r>
      <w:r w:rsidR="00923E72">
        <w:rPr>
          <w:rFonts w:eastAsia="Malgun Gothic"/>
          <w:bCs/>
          <w:lang w:val="fr-FR"/>
        </w:rPr>
        <w:t>’</w:t>
      </w:r>
      <w:r w:rsidRPr="008A2973">
        <w:rPr>
          <w:rFonts w:eastAsia="Malgun Gothic"/>
          <w:bCs/>
          <w:lang w:val="fr-FR"/>
        </w:rPr>
        <w:t>avaient pas pu être évalués positivement, même lorsque le processus de dialogue avait été mis en œuvre. Le Comité devrait continuer à explorer les moyens de résoudre la plupart des problèmes des dossiers avant qu</w:t>
      </w:r>
      <w:r w:rsidR="00923E72">
        <w:rPr>
          <w:rFonts w:eastAsia="Malgun Gothic"/>
          <w:bCs/>
          <w:lang w:val="fr-FR"/>
        </w:rPr>
        <w:t>’</w:t>
      </w:r>
      <w:r w:rsidRPr="008A2973">
        <w:rPr>
          <w:rFonts w:eastAsia="Malgun Gothic"/>
          <w:bCs/>
          <w:lang w:val="fr-FR"/>
        </w:rPr>
        <w:t>ils ne soient soumis au Comité. Entre autres, il a été souligné que le rapport de l</w:t>
      </w:r>
      <w:r w:rsidR="00923E72">
        <w:rPr>
          <w:rFonts w:eastAsia="Malgun Gothic"/>
          <w:bCs/>
          <w:lang w:val="fr-FR"/>
        </w:rPr>
        <w:t>’</w:t>
      </w:r>
      <w:r w:rsidRPr="008A2973">
        <w:rPr>
          <w:rFonts w:eastAsia="Malgun Gothic"/>
          <w:bCs/>
          <w:lang w:val="fr-FR"/>
        </w:rPr>
        <w:t>Organe d</w:t>
      </w:r>
      <w:r w:rsidR="00923E72">
        <w:rPr>
          <w:rFonts w:eastAsia="Malgun Gothic"/>
          <w:bCs/>
          <w:lang w:val="fr-FR"/>
        </w:rPr>
        <w:t>’</w:t>
      </w:r>
      <w:r w:rsidRPr="008A2973">
        <w:rPr>
          <w:rFonts w:eastAsia="Malgun Gothic"/>
          <w:bCs/>
          <w:lang w:val="fr-FR"/>
        </w:rPr>
        <w:t>évaluation suggér</w:t>
      </w:r>
      <w:r>
        <w:rPr>
          <w:rFonts w:eastAsia="Malgun Gothic"/>
          <w:bCs/>
          <w:lang w:val="fr-FR"/>
        </w:rPr>
        <w:t>ait</w:t>
      </w:r>
      <w:r w:rsidRPr="008A2973">
        <w:rPr>
          <w:rFonts w:eastAsia="Malgun Gothic"/>
          <w:bCs/>
          <w:lang w:val="fr-FR"/>
        </w:rPr>
        <w:t xml:space="preserve"> la mise en place d</w:t>
      </w:r>
      <w:r w:rsidR="00923E72">
        <w:rPr>
          <w:rFonts w:eastAsia="Malgun Gothic"/>
          <w:bCs/>
          <w:lang w:val="fr-FR"/>
        </w:rPr>
        <w:t>’</w:t>
      </w:r>
      <w:r w:rsidRPr="008A2973">
        <w:rPr>
          <w:rFonts w:eastAsia="Malgun Gothic"/>
          <w:bCs/>
          <w:lang w:val="fr-FR"/>
        </w:rPr>
        <w:t>un système d</w:t>
      </w:r>
      <w:r w:rsidR="00923E72">
        <w:rPr>
          <w:rFonts w:eastAsia="Malgun Gothic"/>
          <w:bCs/>
          <w:lang w:val="fr-FR"/>
        </w:rPr>
        <w:t>’</w:t>
      </w:r>
      <w:r w:rsidRPr="008A2973">
        <w:rPr>
          <w:rFonts w:eastAsia="Malgun Gothic"/>
          <w:bCs/>
          <w:lang w:val="fr-FR"/>
        </w:rPr>
        <w:t>utilisation d</w:t>
      </w:r>
      <w:r w:rsidR="00923E72">
        <w:rPr>
          <w:rFonts w:eastAsia="Malgun Gothic"/>
          <w:bCs/>
          <w:lang w:val="fr-FR"/>
        </w:rPr>
        <w:t>’</w:t>
      </w:r>
      <w:r w:rsidRPr="008A2973">
        <w:rPr>
          <w:rFonts w:eastAsia="Malgun Gothic"/>
          <w:bCs/>
          <w:lang w:val="fr-FR"/>
        </w:rPr>
        <w:t>informations externes</w:t>
      </w:r>
      <w:r>
        <w:rPr>
          <w:rFonts w:eastAsia="Malgun Gothic"/>
          <w:bCs/>
          <w:lang w:val="fr-FR"/>
        </w:rPr>
        <w:t>,</w:t>
      </w:r>
      <w:r w:rsidRPr="008A2973">
        <w:rPr>
          <w:rFonts w:eastAsia="Malgun Gothic"/>
          <w:bCs/>
          <w:lang w:val="fr-FR"/>
        </w:rPr>
        <w:t xml:space="preserve"> de manière transparente et formalisée au cours du processus d</w:t>
      </w:r>
      <w:r w:rsidR="00923E72">
        <w:rPr>
          <w:rFonts w:eastAsia="Malgun Gothic"/>
          <w:bCs/>
          <w:lang w:val="fr-FR"/>
        </w:rPr>
        <w:t>’</w:t>
      </w:r>
      <w:r w:rsidRPr="008A2973">
        <w:rPr>
          <w:rFonts w:eastAsia="Malgun Gothic"/>
          <w:bCs/>
          <w:lang w:val="fr-FR"/>
        </w:rPr>
        <w:t>évaluation (paragraphe</w:t>
      </w:r>
      <w:r w:rsidR="00E8452B">
        <w:rPr>
          <w:rFonts w:eastAsia="Malgun Gothic"/>
          <w:bCs/>
          <w:lang w:val="fr-FR"/>
        </w:rPr>
        <w:t> </w:t>
      </w:r>
      <w:r w:rsidRPr="008A2973">
        <w:rPr>
          <w:rFonts w:eastAsia="Malgun Gothic"/>
          <w:bCs/>
          <w:lang w:val="fr-FR"/>
        </w:rPr>
        <w:t xml:space="preserve">29 du rapport). Une telle possibilité pourrait éliminer certains des problèmes subsistants, mais probablement pas tous. Cela pourrait </w:t>
      </w:r>
      <w:r w:rsidR="00CE2ADA">
        <w:rPr>
          <w:rFonts w:eastAsia="Malgun Gothic"/>
          <w:bCs/>
          <w:lang w:val="fr-FR"/>
        </w:rPr>
        <w:t>concerner</w:t>
      </w:r>
      <w:r w:rsidRPr="008A2973">
        <w:rPr>
          <w:rFonts w:eastAsia="Malgun Gothic"/>
          <w:bCs/>
          <w:lang w:val="fr-FR"/>
        </w:rPr>
        <w:t xml:space="preserve">, en particulier, </w:t>
      </w:r>
      <w:r w:rsidR="00CE2ADA">
        <w:rPr>
          <w:rFonts w:eastAsia="Malgun Gothic"/>
          <w:bCs/>
          <w:lang w:val="fr-FR"/>
        </w:rPr>
        <w:t>le</w:t>
      </w:r>
      <w:r w:rsidRPr="008A2973">
        <w:rPr>
          <w:rFonts w:eastAsia="Malgun Gothic"/>
          <w:bCs/>
          <w:lang w:val="fr-FR"/>
        </w:rPr>
        <w:t xml:space="preserve"> critère</w:t>
      </w:r>
      <w:r>
        <w:rPr>
          <w:rFonts w:eastAsia="Malgun Gothic"/>
          <w:bCs/>
          <w:lang w:val="fr-FR"/>
        </w:rPr>
        <w:t> </w:t>
      </w:r>
      <w:r w:rsidRPr="008A2973">
        <w:rPr>
          <w:rFonts w:eastAsia="Malgun Gothic"/>
          <w:bCs/>
          <w:lang w:val="fr-FR"/>
        </w:rPr>
        <w:t>R.1 et éventuellement</w:t>
      </w:r>
      <w:r w:rsidR="00CE2ADA">
        <w:rPr>
          <w:rFonts w:eastAsia="Malgun Gothic"/>
          <w:bCs/>
          <w:lang w:val="fr-FR"/>
        </w:rPr>
        <w:t xml:space="preserve"> le critère</w:t>
      </w:r>
      <w:r w:rsidR="00E8452B">
        <w:rPr>
          <w:rFonts w:eastAsia="Malgun Gothic"/>
          <w:bCs/>
          <w:lang w:val="fr-FR"/>
        </w:rPr>
        <w:t> </w:t>
      </w:r>
      <w:r w:rsidRPr="008A2973">
        <w:rPr>
          <w:rFonts w:eastAsia="Malgun Gothic"/>
          <w:bCs/>
          <w:lang w:val="fr-FR"/>
        </w:rPr>
        <w:t>R.5, mais probablement pa</w:t>
      </w:r>
      <w:r w:rsidR="00CE2ADA">
        <w:rPr>
          <w:rFonts w:eastAsia="Malgun Gothic"/>
          <w:bCs/>
          <w:lang w:val="fr-FR"/>
        </w:rPr>
        <w:t xml:space="preserve">s </w:t>
      </w:r>
      <w:r w:rsidRPr="008A2973">
        <w:rPr>
          <w:rFonts w:eastAsia="Malgun Gothic"/>
          <w:bCs/>
          <w:lang w:val="fr-FR"/>
        </w:rPr>
        <w:t>d</w:t>
      </w:r>
      <w:r w:rsidR="00923E72">
        <w:rPr>
          <w:rFonts w:eastAsia="Malgun Gothic"/>
          <w:bCs/>
          <w:lang w:val="fr-FR"/>
        </w:rPr>
        <w:t>’</w:t>
      </w:r>
      <w:r w:rsidRPr="008A2973">
        <w:rPr>
          <w:rFonts w:eastAsia="Malgun Gothic"/>
          <w:bCs/>
          <w:lang w:val="fr-FR"/>
        </w:rPr>
        <w:t>autres critères. La délégation demand</w:t>
      </w:r>
      <w:r w:rsidR="00CE2ADA">
        <w:rPr>
          <w:rFonts w:eastAsia="Malgun Gothic"/>
          <w:bCs/>
          <w:lang w:val="fr-FR"/>
        </w:rPr>
        <w:t xml:space="preserve">ait </w:t>
      </w:r>
      <w:r w:rsidRPr="008A2973">
        <w:rPr>
          <w:rFonts w:eastAsia="Malgun Gothic"/>
          <w:bCs/>
          <w:lang w:val="fr-FR"/>
        </w:rPr>
        <w:t>à l</w:t>
      </w:r>
      <w:r w:rsidR="00923E72">
        <w:rPr>
          <w:rFonts w:eastAsia="Malgun Gothic"/>
          <w:bCs/>
          <w:lang w:val="fr-FR"/>
        </w:rPr>
        <w:t>’</w:t>
      </w:r>
      <w:r w:rsidRPr="008A2973">
        <w:rPr>
          <w:rFonts w:eastAsia="Malgun Gothic"/>
          <w:bCs/>
          <w:lang w:val="fr-FR"/>
        </w:rPr>
        <w:t>Organe d</w:t>
      </w:r>
      <w:r w:rsidR="00923E72">
        <w:rPr>
          <w:rFonts w:eastAsia="Malgun Gothic"/>
          <w:bCs/>
          <w:lang w:val="fr-FR"/>
        </w:rPr>
        <w:t>’</w:t>
      </w:r>
      <w:r w:rsidRPr="008A2973">
        <w:rPr>
          <w:rFonts w:eastAsia="Malgun Gothic"/>
          <w:bCs/>
          <w:lang w:val="fr-FR"/>
        </w:rPr>
        <w:t>évaluation d</w:t>
      </w:r>
      <w:r w:rsidR="00923E72">
        <w:rPr>
          <w:rFonts w:eastAsia="Malgun Gothic"/>
          <w:bCs/>
          <w:lang w:val="fr-FR"/>
        </w:rPr>
        <w:t>’</w:t>
      </w:r>
      <w:r w:rsidRPr="008A2973">
        <w:rPr>
          <w:rFonts w:eastAsia="Malgun Gothic"/>
          <w:bCs/>
          <w:lang w:val="fr-FR"/>
        </w:rPr>
        <w:t>approfondir la discussion sur l</w:t>
      </w:r>
      <w:r>
        <w:rPr>
          <w:rFonts w:eastAsia="Malgun Gothic"/>
          <w:bCs/>
          <w:lang w:val="fr-FR"/>
        </w:rPr>
        <w:t>es modalités d</w:t>
      </w:r>
      <w:r w:rsidR="00923E72">
        <w:rPr>
          <w:rFonts w:eastAsia="Malgun Gothic"/>
          <w:bCs/>
          <w:lang w:val="fr-FR"/>
        </w:rPr>
        <w:t>’</w:t>
      </w:r>
      <w:r>
        <w:rPr>
          <w:rFonts w:eastAsia="Malgun Gothic"/>
          <w:bCs/>
          <w:lang w:val="fr-FR"/>
        </w:rPr>
        <w:t xml:space="preserve">intégration des </w:t>
      </w:r>
      <w:r w:rsidRPr="008A2973">
        <w:rPr>
          <w:rFonts w:eastAsia="Malgun Gothic"/>
          <w:bCs/>
          <w:lang w:val="fr-FR"/>
        </w:rPr>
        <w:t xml:space="preserve">informations externes. </w:t>
      </w:r>
      <w:r w:rsidR="00E8452B">
        <w:rPr>
          <w:rFonts w:eastAsia="Malgun Gothic"/>
          <w:bCs/>
          <w:lang w:val="fr-FR"/>
        </w:rPr>
        <w:t>Par ailleurs, e</w:t>
      </w:r>
      <w:r w:rsidR="00B2396B">
        <w:rPr>
          <w:rFonts w:eastAsia="Malgun Gothic"/>
          <w:bCs/>
          <w:lang w:val="fr-FR"/>
        </w:rPr>
        <w:t xml:space="preserve">lle </w:t>
      </w:r>
      <w:r w:rsidRPr="008A2973">
        <w:rPr>
          <w:rFonts w:eastAsia="Malgun Gothic"/>
          <w:bCs/>
          <w:lang w:val="fr-FR"/>
        </w:rPr>
        <w:t>a exprimé le souhait que le Comité honore l</w:t>
      </w:r>
      <w:r w:rsidR="00923E72">
        <w:rPr>
          <w:rFonts w:eastAsia="Malgun Gothic"/>
          <w:bCs/>
          <w:lang w:val="fr-FR"/>
        </w:rPr>
        <w:t>’</w:t>
      </w:r>
      <w:r w:rsidRPr="008A2973">
        <w:rPr>
          <w:rFonts w:eastAsia="Malgun Gothic"/>
          <w:bCs/>
          <w:lang w:val="fr-FR"/>
        </w:rPr>
        <w:t xml:space="preserve">accord de travail et que, même si un débat </w:t>
      </w:r>
      <w:r w:rsidR="00B2396B">
        <w:rPr>
          <w:rFonts w:eastAsia="Malgun Gothic"/>
          <w:bCs/>
          <w:lang w:val="fr-FR"/>
        </w:rPr>
        <w:t>était</w:t>
      </w:r>
      <w:r w:rsidRPr="008A2973">
        <w:rPr>
          <w:rFonts w:eastAsia="Malgun Gothic"/>
          <w:bCs/>
          <w:lang w:val="fr-FR"/>
        </w:rPr>
        <w:t xml:space="preserve"> ouvert, comme l</w:t>
      </w:r>
      <w:r w:rsidR="00923E72">
        <w:rPr>
          <w:rFonts w:eastAsia="Malgun Gothic"/>
          <w:bCs/>
          <w:lang w:val="fr-FR"/>
        </w:rPr>
        <w:t>’</w:t>
      </w:r>
      <w:r w:rsidRPr="008A2973">
        <w:rPr>
          <w:rFonts w:eastAsia="Malgun Gothic"/>
          <w:bCs/>
          <w:lang w:val="fr-FR"/>
        </w:rPr>
        <w:t>avaient demandé plusieurs membres, le Comité n</w:t>
      </w:r>
      <w:r w:rsidR="00923E72">
        <w:rPr>
          <w:rFonts w:eastAsia="Malgun Gothic"/>
          <w:bCs/>
          <w:lang w:val="fr-FR"/>
        </w:rPr>
        <w:t>’</w:t>
      </w:r>
      <w:r w:rsidRPr="008A2973">
        <w:rPr>
          <w:rFonts w:eastAsia="Malgun Gothic"/>
          <w:bCs/>
          <w:lang w:val="fr-FR"/>
        </w:rPr>
        <w:t>inscrive pas d</w:t>
      </w:r>
      <w:r w:rsidR="00923E72">
        <w:rPr>
          <w:rFonts w:eastAsia="Malgun Gothic"/>
          <w:bCs/>
          <w:lang w:val="fr-FR"/>
        </w:rPr>
        <w:t>’</w:t>
      </w:r>
      <w:r w:rsidRPr="008A2973">
        <w:rPr>
          <w:rFonts w:eastAsia="Malgun Gothic"/>
          <w:bCs/>
          <w:lang w:val="fr-FR"/>
        </w:rPr>
        <w:t xml:space="preserve">éléments </w:t>
      </w:r>
      <w:r w:rsidR="00E527F6">
        <w:rPr>
          <w:rFonts w:eastAsia="Malgun Gothic"/>
          <w:bCs/>
          <w:lang w:val="fr-FR"/>
        </w:rPr>
        <w:t xml:space="preserve">ayant </w:t>
      </w:r>
      <w:r w:rsidRPr="008A2973">
        <w:rPr>
          <w:rFonts w:eastAsia="Malgun Gothic"/>
          <w:bCs/>
          <w:lang w:val="fr-FR"/>
        </w:rPr>
        <w:t>plus de deux critères non satisfaits. Ayant appliqué, dans le passé, cette approche pour son propre dossier renvoyé, la Tchéquie était fermement convaincue qu</w:t>
      </w:r>
      <w:r w:rsidR="00923E72">
        <w:rPr>
          <w:rFonts w:eastAsia="Malgun Gothic"/>
          <w:bCs/>
          <w:lang w:val="fr-FR"/>
        </w:rPr>
        <w:t>’</w:t>
      </w:r>
      <w:r w:rsidRPr="008A2973">
        <w:rPr>
          <w:rFonts w:eastAsia="Malgun Gothic"/>
          <w:bCs/>
          <w:lang w:val="fr-FR"/>
        </w:rPr>
        <w:t>un renvoi sur la base de plusieurs critères n</w:t>
      </w:r>
      <w:r w:rsidR="00923E72">
        <w:rPr>
          <w:rFonts w:eastAsia="Malgun Gothic"/>
          <w:bCs/>
          <w:lang w:val="fr-FR"/>
        </w:rPr>
        <w:t>’</w:t>
      </w:r>
      <w:r w:rsidRPr="008A2973">
        <w:rPr>
          <w:rFonts w:eastAsia="Malgun Gothic"/>
          <w:bCs/>
          <w:lang w:val="fr-FR"/>
        </w:rPr>
        <w:t>était pas un résultat négatif, mais plutôt un signal indiquant que la présentation de l</w:t>
      </w:r>
      <w:r w:rsidR="00923E72">
        <w:rPr>
          <w:rFonts w:eastAsia="Malgun Gothic"/>
          <w:bCs/>
          <w:lang w:val="fr-FR"/>
        </w:rPr>
        <w:t>’</w:t>
      </w:r>
      <w:r w:rsidRPr="008A2973">
        <w:rPr>
          <w:rFonts w:eastAsia="Malgun Gothic"/>
          <w:bCs/>
          <w:lang w:val="fr-FR"/>
        </w:rPr>
        <w:t>élément en question n</w:t>
      </w:r>
      <w:r w:rsidR="00923E72">
        <w:rPr>
          <w:rFonts w:eastAsia="Malgun Gothic"/>
          <w:bCs/>
          <w:lang w:val="fr-FR"/>
        </w:rPr>
        <w:t>’</w:t>
      </w:r>
      <w:r w:rsidRPr="008A2973">
        <w:rPr>
          <w:rFonts w:eastAsia="Malgun Gothic"/>
          <w:bCs/>
          <w:lang w:val="fr-FR"/>
        </w:rPr>
        <w:t>était pas suffisamment claire, complète ou compréhensible, et qu</w:t>
      </w:r>
      <w:r w:rsidR="00923E72">
        <w:rPr>
          <w:rFonts w:eastAsia="Malgun Gothic"/>
          <w:bCs/>
          <w:lang w:val="fr-FR"/>
        </w:rPr>
        <w:t>’</w:t>
      </w:r>
      <w:r w:rsidRPr="008A2973">
        <w:rPr>
          <w:rFonts w:eastAsia="Malgun Gothic"/>
          <w:bCs/>
          <w:lang w:val="fr-FR"/>
        </w:rPr>
        <w:t>il y avait encore du travail à faire pour préparer une stratégie de sauvegarde réellement efficace, afin de s</w:t>
      </w:r>
      <w:r w:rsidR="00923E72">
        <w:rPr>
          <w:rFonts w:eastAsia="Malgun Gothic"/>
          <w:bCs/>
          <w:lang w:val="fr-FR"/>
        </w:rPr>
        <w:t>’</w:t>
      </w:r>
      <w:r w:rsidRPr="008A2973">
        <w:rPr>
          <w:rFonts w:eastAsia="Malgun Gothic"/>
          <w:bCs/>
          <w:lang w:val="fr-FR"/>
        </w:rPr>
        <w:t>assurer que les communautés étaient et resteraient les principales forces motrices de l</w:t>
      </w:r>
      <w:r w:rsidR="00923E72">
        <w:rPr>
          <w:rFonts w:eastAsia="Malgun Gothic"/>
          <w:bCs/>
          <w:lang w:val="fr-FR"/>
        </w:rPr>
        <w:t>’</w:t>
      </w:r>
      <w:r w:rsidRPr="008A2973">
        <w:rPr>
          <w:rFonts w:eastAsia="Malgun Gothic"/>
          <w:bCs/>
          <w:lang w:val="fr-FR"/>
        </w:rPr>
        <w:t>élaboration et de la mise en œuvre de la sauvegarde. La délégation s</w:t>
      </w:r>
      <w:r w:rsidR="00923E72">
        <w:rPr>
          <w:rFonts w:eastAsia="Malgun Gothic"/>
          <w:bCs/>
          <w:lang w:val="fr-FR"/>
        </w:rPr>
        <w:t>’</w:t>
      </w:r>
      <w:r w:rsidRPr="008A2973">
        <w:rPr>
          <w:rFonts w:eastAsia="Malgun Gothic"/>
          <w:bCs/>
          <w:lang w:val="fr-FR"/>
        </w:rPr>
        <w:t>est réjouie que tous les dossiers de sauvegarde urgente et d</w:t>
      </w:r>
      <w:r w:rsidR="00923E72">
        <w:rPr>
          <w:rFonts w:eastAsia="Malgun Gothic"/>
          <w:bCs/>
          <w:lang w:val="fr-FR"/>
        </w:rPr>
        <w:t>’</w:t>
      </w:r>
      <w:r w:rsidRPr="008A2973">
        <w:rPr>
          <w:rFonts w:eastAsia="Malgun Gothic"/>
          <w:bCs/>
          <w:lang w:val="fr-FR"/>
        </w:rPr>
        <w:t>assistance internationale ainsi qu</w:t>
      </w:r>
      <w:r w:rsidR="00923E72">
        <w:rPr>
          <w:rFonts w:eastAsia="Malgun Gothic"/>
          <w:bCs/>
          <w:lang w:val="fr-FR"/>
        </w:rPr>
        <w:t>’</w:t>
      </w:r>
      <w:r w:rsidRPr="008A2973">
        <w:rPr>
          <w:rFonts w:eastAsia="Malgun Gothic"/>
          <w:bCs/>
          <w:lang w:val="fr-FR"/>
        </w:rPr>
        <w:t xml:space="preserve">une majorité de </w:t>
      </w:r>
      <w:r w:rsidR="00B2396B" w:rsidRPr="00B2396B">
        <w:rPr>
          <w:rFonts w:eastAsia="Malgun Gothic"/>
          <w:bCs/>
          <w:lang w:val="fr-FR"/>
        </w:rPr>
        <w:t>proposition</w:t>
      </w:r>
      <w:r w:rsidR="00B2396B">
        <w:rPr>
          <w:rFonts w:eastAsia="Malgun Gothic"/>
          <w:bCs/>
          <w:lang w:val="fr-FR"/>
        </w:rPr>
        <w:t xml:space="preserve">s </w:t>
      </w:r>
      <w:r w:rsidRPr="008A2973">
        <w:rPr>
          <w:rFonts w:eastAsia="Malgun Gothic"/>
          <w:bCs/>
          <w:lang w:val="fr-FR"/>
        </w:rPr>
        <w:t>au</w:t>
      </w:r>
      <w:r w:rsidR="00B2396B">
        <w:rPr>
          <w:rFonts w:eastAsia="Malgun Gothic"/>
          <w:bCs/>
          <w:lang w:val="fr-FR"/>
        </w:rPr>
        <w:t xml:space="preserve"> Registre des</w:t>
      </w:r>
      <w:r w:rsidRPr="008A2973">
        <w:rPr>
          <w:rFonts w:eastAsia="Malgun Gothic"/>
          <w:bCs/>
          <w:lang w:val="fr-FR"/>
        </w:rPr>
        <w:t xml:space="preserve"> bonnes pratiques de sauvegarde </w:t>
      </w:r>
      <w:r w:rsidR="00B2396B">
        <w:rPr>
          <w:rFonts w:eastAsia="Malgun Gothic"/>
          <w:bCs/>
          <w:lang w:val="fr-FR"/>
        </w:rPr>
        <w:t xml:space="preserve">aient </w:t>
      </w:r>
      <w:r w:rsidRPr="008A2973">
        <w:rPr>
          <w:rFonts w:eastAsia="Malgun Gothic"/>
          <w:bCs/>
          <w:lang w:val="fr-FR"/>
        </w:rPr>
        <w:t>fait l</w:t>
      </w:r>
      <w:r w:rsidR="00923E72">
        <w:rPr>
          <w:rFonts w:eastAsia="Malgun Gothic"/>
          <w:bCs/>
          <w:lang w:val="fr-FR"/>
        </w:rPr>
        <w:t>’</w:t>
      </w:r>
      <w:r w:rsidRPr="008A2973">
        <w:rPr>
          <w:rFonts w:eastAsia="Malgun Gothic"/>
          <w:bCs/>
          <w:lang w:val="fr-FR"/>
        </w:rPr>
        <w:t>objet d</w:t>
      </w:r>
      <w:r w:rsidR="00923E72">
        <w:rPr>
          <w:rFonts w:eastAsia="Malgun Gothic"/>
          <w:bCs/>
          <w:lang w:val="fr-FR"/>
        </w:rPr>
        <w:t>’</w:t>
      </w:r>
      <w:r w:rsidRPr="008A2973">
        <w:rPr>
          <w:rFonts w:eastAsia="Malgun Gothic"/>
          <w:bCs/>
          <w:lang w:val="fr-FR"/>
        </w:rPr>
        <w:t xml:space="preserve">une évaluation positive. Elle a félicité tous les </w:t>
      </w:r>
      <w:r w:rsidR="00B2396B" w:rsidRPr="008A2973">
        <w:rPr>
          <w:rFonts w:eastAsia="Malgun Gothic"/>
          <w:bCs/>
          <w:lang w:val="fr-FR"/>
        </w:rPr>
        <w:t>États</w:t>
      </w:r>
      <w:r w:rsidR="00E8452B">
        <w:rPr>
          <w:rFonts w:eastAsia="Malgun Gothic"/>
          <w:bCs/>
          <w:lang w:val="fr-FR"/>
        </w:rPr>
        <w:t xml:space="preserve"> ayant des dossiers </w:t>
      </w:r>
      <w:r w:rsidRPr="008A2973">
        <w:rPr>
          <w:rFonts w:eastAsia="Malgun Gothic"/>
          <w:bCs/>
          <w:lang w:val="fr-FR"/>
        </w:rPr>
        <w:t>dont l</w:t>
      </w:r>
      <w:r w:rsidR="00923E72">
        <w:rPr>
          <w:rFonts w:eastAsia="Malgun Gothic"/>
          <w:bCs/>
          <w:lang w:val="fr-FR"/>
        </w:rPr>
        <w:t>’</w:t>
      </w:r>
      <w:r w:rsidRPr="008A2973">
        <w:rPr>
          <w:rFonts w:eastAsia="Malgun Gothic"/>
          <w:bCs/>
          <w:lang w:val="fr-FR"/>
        </w:rPr>
        <w:t>inscription avai</w:t>
      </w:r>
      <w:r w:rsidR="00E8452B">
        <w:rPr>
          <w:rFonts w:eastAsia="Malgun Gothic"/>
          <w:bCs/>
          <w:lang w:val="fr-FR"/>
        </w:rPr>
        <w:t>t</w:t>
      </w:r>
      <w:r w:rsidRPr="008A2973">
        <w:rPr>
          <w:rFonts w:eastAsia="Malgun Gothic"/>
          <w:bCs/>
          <w:lang w:val="fr-FR"/>
        </w:rPr>
        <w:t xml:space="preserve"> été recommandée.</w:t>
      </w:r>
    </w:p>
    <w:p w14:paraId="12FD0A6E" w14:textId="39BFFE87" w:rsidR="00B2396B" w:rsidRDefault="00B2396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2396B">
        <w:rPr>
          <w:rFonts w:eastAsia="Malgun Gothic"/>
          <w:bCs/>
          <w:lang w:val="fr-FR"/>
        </w:rPr>
        <w:t>La délégation de l</w:t>
      </w:r>
      <w:r w:rsidR="00923E72">
        <w:rPr>
          <w:rFonts w:eastAsia="Malgun Gothic"/>
          <w:bCs/>
          <w:lang w:val="fr-FR"/>
        </w:rPr>
        <w:t>’</w:t>
      </w:r>
      <w:r w:rsidRPr="00702497">
        <w:rPr>
          <w:rFonts w:eastAsia="Malgun Gothic"/>
          <w:b/>
          <w:lang w:val="fr-FR"/>
        </w:rPr>
        <w:t>Ouzbékistan</w:t>
      </w:r>
      <w:r w:rsidR="00E8452B" w:rsidRPr="00702497">
        <w:rPr>
          <w:rFonts w:eastAsia="Malgun Gothic"/>
          <w:bCs/>
          <w:lang w:val="fr-FR"/>
        </w:rPr>
        <w:t>, qui</w:t>
      </w:r>
      <w:r w:rsidRPr="00B2396B">
        <w:rPr>
          <w:rFonts w:eastAsia="Malgun Gothic"/>
          <w:bCs/>
          <w:lang w:val="fr-FR"/>
        </w:rPr>
        <w:t xml:space="preserve"> appréci</w:t>
      </w:r>
      <w:r w:rsidR="00924241">
        <w:rPr>
          <w:rFonts w:eastAsia="Malgun Gothic"/>
          <w:bCs/>
          <w:lang w:val="fr-FR"/>
        </w:rPr>
        <w:t>ait</w:t>
      </w:r>
      <w:r w:rsidRPr="00B2396B">
        <w:rPr>
          <w:rFonts w:eastAsia="Malgun Gothic"/>
          <w:bCs/>
          <w:lang w:val="fr-FR"/>
        </w:rPr>
        <w:t xml:space="preserve"> le rapport complet de l</w:t>
      </w:r>
      <w:r w:rsidR="00923E72">
        <w:rPr>
          <w:rFonts w:eastAsia="Malgun Gothic"/>
          <w:bCs/>
          <w:lang w:val="fr-FR"/>
        </w:rPr>
        <w:t>’</w:t>
      </w:r>
      <w:r w:rsidRPr="00B2396B">
        <w:rPr>
          <w:rFonts w:eastAsia="Malgun Gothic"/>
          <w:bCs/>
          <w:lang w:val="fr-FR"/>
        </w:rPr>
        <w:t>Organe d</w:t>
      </w:r>
      <w:r w:rsidR="00923E72">
        <w:rPr>
          <w:rFonts w:eastAsia="Malgun Gothic"/>
          <w:bCs/>
          <w:lang w:val="fr-FR"/>
        </w:rPr>
        <w:t>’</w:t>
      </w:r>
      <w:r w:rsidRPr="00B2396B">
        <w:rPr>
          <w:rFonts w:eastAsia="Malgun Gothic"/>
          <w:bCs/>
          <w:lang w:val="fr-FR"/>
        </w:rPr>
        <w:t>évaluation sur ses activités au cours de l</w:t>
      </w:r>
      <w:r w:rsidR="00923E72">
        <w:rPr>
          <w:rFonts w:eastAsia="Malgun Gothic"/>
          <w:bCs/>
          <w:lang w:val="fr-FR"/>
        </w:rPr>
        <w:t>’</w:t>
      </w:r>
      <w:r w:rsidRPr="00B2396B">
        <w:rPr>
          <w:rFonts w:eastAsia="Malgun Gothic"/>
          <w:bCs/>
          <w:lang w:val="fr-FR"/>
        </w:rPr>
        <w:t>année</w:t>
      </w:r>
      <w:r w:rsidR="00E8452B">
        <w:rPr>
          <w:rFonts w:eastAsia="Malgun Gothic"/>
          <w:bCs/>
          <w:lang w:val="fr-FR"/>
        </w:rPr>
        <w:t> </w:t>
      </w:r>
      <w:r w:rsidRPr="00B2396B">
        <w:rPr>
          <w:rFonts w:eastAsia="Malgun Gothic"/>
          <w:bCs/>
          <w:lang w:val="fr-FR"/>
        </w:rPr>
        <w:t xml:space="preserve">2022, </w:t>
      </w:r>
      <w:r w:rsidR="00E8452B">
        <w:rPr>
          <w:rFonts w:eastAsia="Malgun Gothic"/>
          <w:bCs/>
          <w:lang w:val="fr-FR"/>
        </w:rPr>
        <w:t xml:space="preserve">a </w:t>
      </w:r>
      <w:r w:rsidRPr="00B2396B">
        <w:rPr>
          <w:rFonts w:eastAsia="Malgun Gothic"/>
          <w:bCs/>
          <w:lang w:val="fr-FR"/>
        </w:rPr>
        <w:t>remerci</w:t>
      </w:r>
      <w:r w:rsidR="00E8452B">
        <w:rPr>
          <w:rFonts w:eastAsia="Malgun Gothic"/>
          <w:bCs/>
          <w:lang w:val="fr-FR"/>
        </w:rPr>
        <w:t xml:space="preserve">é </w:t>
      </w:r>
      <w:r w:rsidRPr="00B2396B">
        <w:rPr>
          <w:rFonts w:eastAsia="Malgun Gothic"/>
          <w:bCs/>
          <w:lang w:val="fr-FR"/>
        </w:rPr>
        <w:t>tous ses membres, tant les experts que les ONG, pour le travail considérable accompli au cours de ce cycle. La plupart des évaluations et des recommandations étaient extrêmement utiles, tant pour le Comité que pour les États soumissionnaires. Le nombre de dossiers soumis à l</w:t>
      </w:r>
      <w:r w:rsidR="00923E72">
        <w:rPr>
          <w:rFonts w:eastAsia="Malgun Gothic"/>
          <w:bCs/>
          <w:lang w:val="fr-FR"/>
        </w:rPr>
        <w:t>’</w:t>
      </w:r>
      <w:r w:rsidRPr="00B2396B">
        <w:rPr>
          <w:rFonts w:eastAsia="Malgun Gothic"/>
          <w:bCs/>
          <w:lang w:val="fr-FR"/>
        </w:rPr>
        <w:t>examen augmentait d</w:t>
      </w:r>
      <w:r w:rsidR="00923E72">
        <w:rPr>
          <w:rFonts w:eastAsia="Malgun Gothic"/>
          <w:bCs/>
          <w:lang w:val="fr-FR"/>
        </w:rPr>
        <w:t>’</w:t>
      </w:r>
      <w:r w:rsidRPr="00B2396B">
        <w:rPr>
          <w:rFonts w:eastAsia="Malgun Gothic"/>
          <w:bCs/>
          <w:lang w:val="fr-FR"/>
        </w:rPr>
        <w:t>année en année, ce qui demandait beaucoup de dévouement et d</w:t>
      </w:r>
      <w:r w:rsidR="00923E72">
        <w:rPr>
          <w:rFonts w:eastAsia="Malgun Gothic"/>
          <w:bCs/>
          <w:lang w:val="fr-FR"/>
        </w:rPr>
        <w:t>’</w:t>
      </w:r>
      <w:r w:rsidRPr="00B2396B">
        <w:rPr>
          <w:rFonts w:eastAsia="Malgun Gothic"/>
          <w:bCs/>
          <w:lang w:val="fr-FR"/>
        </w:rPr>
        <w:t>engagement de la part de l</w:t>
      </w:r>
      <w:r w:rsidR="00923E72">
        <w:rPr>
          <w:rFonts w:eastAsia="Malgun Gothic"/>
          <w:bCs/>
          <w:lang w:val="fr-FR"/>
        </w:rPr>
        <w:t>’</w:t>
      </w:r>
      <w:r w:rsidRPr="00B2396B">
        <w:rPr>
          <w:rFonts w:eastAsia="Malgun Gothic"/>
          <w:bCs/>
          <w:lang w:val="fr-FR"/>
        </w:rPr>
        <w:t>Organe d</w:t>
      </w:r>
      <w:r w:rsidR="00923E72">
        <w:rPr>
          <w:rFonts w:eastAsia="Malgun Gothic"/>
          <w:bCs/>
          <w:lang w:val="fr-FR"/>
        </w:rPr>
        <w:t>’</w:t>
      </w:r>
      <w:r w:rsidRPr="00B2396B">
        <w:rPr>
          <w:rFonts w:eastAsia="Malgun Gothic"/>
          <w:bCs/>
          <w:lang w:val="fr-FR"/>
        </w:rPr>
        <w:t>évaluation. Malgré cela, tous les délais avaient été respectés. La délégation avait examiné les cinq documents de travail de l</w:t>
      </w:r>
      <w:r w:rsidR="00923E72">
        <w:rPr>
          <w:rFonts w:eastAsia="Malgun Gothic"/>
          <w:bCs/>
          <w:lang w:val="fr-FR"/>
        </w:rPr>
        <w:t>’</w:t>
      </w:r>
      <w:r w:rsidRPr="00B2396B">
        <w:rPr>
          <w:rFonts w:eastAsia="Malgun Gothic"/>
          <w:bCs/>
          <w:lang w:val="fr-FR"/>
        </w:rPr>
        <w:t>Organe d</w:t>
      </w:r>
      <w:r w:rsidR="00923E72">
        <w:rPr>
          <w:rFonts w:eastAsia="Malgun Gothic"/>
          <w:bCs/>
          <w:lang w:val="fr-FR"/>
        </w:rPr>
        <w:t>’</w:t>
      </w:r>
      <w:r w:rsidRPr="00B2396B">
        <w:rPr>
          <w:rFonts w:eastAsia="Malgun Gothic"/>
          <w:bCs/>
          <w:lang w:val="fr-FR"/>
        </w:rPr>
        <w:t>évaluation et avait observé des améliorations dans les dossiers de candidature. Elle s</w:t>
      </w:r>
      <w:r w:rsidR="00923E72">
        <w:rPr>
          <w:rFonts w:eastAsia="Malgun Gothic"/>
          <w:bCs/>
          <w:lang w:val="fr-FR"/>
        </w:rPr>
        <w:t>’</w:t>
      </w:r>
      <w:r w:rsidRPr="00B2396B">
        <w:rPr>
          <w:rFonts w:eastAsia="Malgun Gothic"/>
          <w:bCs/>
          <w:lang w:val="fr-FR"/>
        </w:rPr>
        <w:t>est réjouie que le processus de dialogue en amont</w:t>
      </w:r>
      <w:r w:rsidR="00924241">
        <w:rPr>
          <w:rFonts w:eastAsia="Malgun Gothic"/>
          <w:bCs/>
          <w:lang w:val="fr-FR"/>
        </w:rPr>
        <w:t>,</w:t>
      </w:r>
      <w:r w:rsidRPr="00B2396B">
        <w:rPr>
          <w:rFonts w:eastAsia="Malgun Gothic"/>
          <w:bCs/>
          <w:lang w:val="fr-FR"/>
        </w:rPr>
        <w:t xml:space="preserve"> récemment adopté</w:t>
      </w:r>
      <w:r w:rsidR="00924241">
        <w:rPr>
          <w:rFonts w:eastAsia="Malgun Gothic"/>
          <w:bCs/>
          <w:lang w:val="fr-FR"/>
        </w:rPr>
        <w:t>,</w:t>
      </w:r>
      <w:r w:rsidRPr="00B2396B">
        <w:rPr>
          <w:rFonts w:eastAsia="Malgun Gothic"/>
          <w:bCs/>
          <w:lang w:val="fr-FR"/>
        </w:rPr>
        <w:t xml:space="preserve"> ait également été utilisé pour améliorer la qualité des dossiers. Compte tenu des conclusions et des décisions de l</w:t>
      </w:r>
      <w:r w:rsidR="00923E72">
        <w:rPr>
          <w:rFonts w:eastAsia="Malgun Gothic"/>
          <w:bCs/>
          <w:lang w:val="fr-FR"/>
        </w:rPr>
        <w:t>’</w:t>
      </w:r>
      <w:r w:rsidRPr="00B2396B">
        <w:rPr>
          <w:rFonts w:eastAsia="Malgun Gothic"/>
          <w:bCs/>
          <w:lang w:val="fr-FR"/>
        </w:rPr>
        <w:t>Organe d</w:t>
      </w:r>
      <w:r w:rsidR="00923E72">
        <w:rPr>
          <w:rFonts w:eastAsia="Malgun Gothic"/>
          <w:bCs/>
          <w:lang w:val="fr-FR"/>
        </w:rPr>
        <w:t>’</w:t>
      </w:r>
      <w:r w:rsidRPr="00B2396B">
        <w:rPr>
          <w:rFonts w:eastAsia="Malgun Gothic"/>
          <w:bCs/>
          <w:lang w:val="fr-FR"/>
        </w:rPr>
        <w:t>évaluation, la délégation les examinerait un par un afin d</w:t>
      </w:r>
      <w:r w:rsidR="00923E72">
        <w:rPr>
          <w:rFonts w:eastAsia="Malgun Gothic"/>
          <w:bCs/>
          <w:lang w:val="fr-FR"/>
        </w:rPr>
        <w:t>’</w:t>
      </w:r>
      <w:r w:rsidRPr="00B2396B">
        <w:rPr>
          <w:rFonts w:eastAsia="Malgun Gothic"/>
          <w:bCs/>
          <w:lang w:val="fr-FR"/>
        </w:rPr>
        <w:t>atteindre l</w:t>
      </w:r>
      <w:r w:rsidR="00923E72">
        <w:rPr>
          <w:rFonts w:eastAsia="Malgun Gothic"/>
          <w:bCs/>
          <w:lang w:val="fr-FR"/>
        </w:rPr>
        <w:t>’</w:t>
      </w:r>
      <w:r w:rsidRPr="00B2396B">
        <w:rPr>
          <w:rFonts w:eastAsia="Malgun Gothic"/>
          <w:bCs/>
          <w:lang w:val="fr-FR"/>
        </w:rPr>
        <w:t>objectif essentiel de la Convention</w:t>
      </w:r>
      <w:r w:rsidR="004D4983">
        <w:rPr>
          <w:rFonts w:eastAsia="Malgun Gothic"/>
          <w:bCs/>
          <w:lang w:val="fr-FR"/>
        </w:rPr>
        <w:t>,</w:t>
      </w:r>
      <w:r w:rsidRPr="00B2396B">
        <w:rPr>
          <w:rFonts w:eastAsia="Malgun Gothic"/>
          <w:bCs/>
          <w:lang w:val="fr-FR"/>
        </w:rPr>
        <w:t xml:space="preserve"> qui est de sauvegarder le patrimoine culturel immatériel et d</w:t>
      </w:r>
      <w:r w:rsidR="00923E72">
        <w:rPr>
          <w:rFonts w:eastAsia="Malgun Gothic"/>
          <w:bCs/>
          <w:lang w:val="fr-FR"/>
        </w:rPr>
        <w:t>’</w:t>
      </w:r>
      <w:r w:rsidRPr="00B2396B">
        <w:rPr>
          <w:rFonts w:eastAsia="Malgun Gothic"/>
          <w:bCs/>
          <w:lang w:val="fr-FR"/>
        </w:rPr>
        <w:t>accorder une assistance mutuelle au niveau international. La délégation a souligné le rôle primordial des communautés tout au long du processus de candidature, et elle a apporté son soutien au projet de décision.</w:t>
      </w:r>
    </w:p>
    <w:p w14:paraId="2E03B4B0" w14:textId="57D33D38" w:rsidR="00924241" w:rsidRDefault="0092424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24241">
        <w:rPr>
          <w:rFonts w:eastAsia="Malgun Gothic"/>
          <w:bCs/>
          <w:lang w:val="fr-FR"/>
        </w:rPr>
        <w:t xml:space="preserve">La délégation du </w:t>
      </w:r>
      <w:r w:rsidRPr="00702497">
        <w:rPr>
          <w:rFonts w:eastAsia="Malgun Gothic"/>
          <w:b/>
          <w:lang w:val="fr-FR"/>
        </w:rPr>
        <w:t>Burkina Faso</w:t>
      </w:r>
      <w:r w:rsidRPr="00924241">
        <w:rPr>
          <w:rFonts w:eastAsia="Malgun Gothic"/>
          <w:bCs/>
          <w:lang w:val="fr-FR"/>
        </w:rPr>
        <w:t xml:space="preserve"> a félicité l</w:t>
      </w:r>
      <w:r w:rsidR="00923E72">
        <w:rPr>
          <w:rFonts w:eastAsia="Malgun Gothic"/>
          <w:bCs/>
          <w:lang w:val="fr-FR"/>
        </w:rPr>
        <w:t>’</w:t>
      </w:r>
      <w:r w:rsidRPr="00924241">
        <w:rPr>
          <w:rFonts w:eastAsia="Malgun Gothic"/>
          <w:bCs/>
          <w:lang w:val="fr-FR"/>
        </w:rPr>
        <w:t>Organe d</w:t>
      </w:r>
      <w:r w:rsidR="00923E72">
        <w:rPr>
          <w:rFonts w:eastAsia="Malgun Gothic"/>
          <w:bCs/>
          <w:lang w:val="fr-FR"/>
        </w:rPr>
        <w:t>’</w:t>
      </w:r>
      <w:r w:rsidRPr="00924241">
        <w:rPr>
          <w:rFonts w:eastAsia="Malgun Gothic"/>
          <w:bCs/>
          <w:lang w:val="fr-FR"/>
        </w:rPr>
        <w:t>évaluation pour son rapport détaillé et son travail. Elle a fait référence aux recommandations formulées par l</w:t>
      </w:r>
      <w:r w:rsidR="00923E72">
        <w:rPr>
          <w:rFonts w:eastAsia="Malgun Gothic"/>
          <w:bCs/>
          <w:lang w:val="fr-FR"/>
        </w:rPr>
        <w:t>’</w:t>
      </w:r>
      <w:r w:rsidRPr="00924241">
        <w:rPr>
          <w:rFonts w:eastAsia="Malgun Gothic"/>
          <w:bCs/>
          <w:lang w:val="fr-FR"/>
        </w:rPr>
        <w:t>Organe, notamment en ce qui concerne la préparation des candidatures multinationales, l</w:t>
      </w:r>
      <w:r w:rsidR="00923E72">
        <w:rPr>
          <w:rFonts w:eastAsia="Malgun Gothic"/>
          <w:bCs/>
          <w:lang w:val="fr-FR"/>
        </w:rPr>
        <w:t>’</w:t>
      </w:r>
      <w:r w:rsidRPr="00924241">
        <w:rPr>
          <w:rFonts w:eastAsia="Malgun Gothic"/>
          <w:bCs/>
          <w:lang w:val="fr-FR"/>
        </w:rPr>
        <w:t>utilisation d</w:t>
      </w:r>
      <w:r w:rsidR="00923E72">
        <w:rPr>
          <w:rFonts w:eastAsia="Malgun Gothic"/>
          <w:bCs/>
          <w:lang w:val="fr-FR"/>
        </w:rPr>
        <w:t>’</w:t>
      </w:r>
      <w:r w:rsidRPr="00924241">
        <w:rPr>
          <w:rFonts w:eastAsia="Malgun Gothic"/>
          <w:bCs/>
          <w:lang w:val="fr-FR"/>
        </w:rPr>
        <w:t>informations externes et la question de la commercialisation. La mise en œuvre urgente de ces recommandations était le gage d</w:t>
      </w:r>
      <w:r w:rsidR="00923E72">
        <w:rPr>
          <w:rFonts w:eastAsia="Malgun Gothic"/>
          <w:bCs/>
          <w:lang w:val="fr-FR"/>
        </w:rPr>
        <w:t>’</w:t>
      </w:r>
      <w:r w:rsidRPr="00924241">
        <w:rPr>
          <w:rFonts w:eastAsia="Malgun Gothic"/>
          <w:bCs/>
          <w:lang w:val="fr-FR"/>
        </w:rPr>
        <w:t>une plus grande objectivité dans l</w:t>
      </w:r>
      <w:r w:rsidR="00923E72">
        <w:rPr>
          <w:rFonts w:eastAsia="Malgun Gothic"/>
          <w:bCs/>
          <w:lang w:val="fr-FR"/>
        </w:rPr>
        <w:t>’</w:t>
      </w:r>
      <w:r w:rsidRPr="00924241">
        <w:rPr>
          <w:rFonts w:eastAsia="Malgun Gothic"/>
          <w:bCs/>
          <w:lang w:val="fr-FR"/>
        </w:rPr>
        <w:t>examen et l</w:t>
      </w:r>
      <w:r w:rsidR="00923E72">
        <w:rPr>
          <w:rFonts w:eastAsia="Malgun Gothic"/>
          <w:bCs/>
          <w:lang w:val="fr-FR"/>
        </w:rPr>
        <w:t>’</w:t>
      </w:r>
      <w:r w:rsidRPr="00924241">
        <w:rPr>
          <w:rFonts w:eastAsia="Malgun Gothic"/>
          <w:bCs/>
          <w:lang w:val="fr-FR"/>
        </w:rPr>
        <w:t>adoption rapides des décisions du Comité. La délégation a suggéré que la réflexion soit menée par le Secrétariat afin d</w:t>
      </w:r>
      <w:r w:rsidR="00923E72">
        <w:rPr>
          <w:rFonts w:eastAsia="Malgun Gothic"/>
          <w:bCs/>
          <w:lang w:val="fr-FR"/>
        </w:rPr>
        <w:t>’</w:t>
      </w:r>
      <w:r w:rsidRPr="00924241">
        <w:rPr>
          <w:rFonts w:eastAsia="Malgun Gothic"/>
          <w:bCs/>
          <w:lang w:val="fr-FR"/>
        </w:rPr>
        <w:t>élaborer des notes d</w:t>
      </w:r>
      <w:r w:rsidR="00923E72">
        <w:rPr>
          <w:rFonts w:eastAsia="Malgun Gothic"/>
          <w:bCs/>
          <w:lang w:val="fr-FR"/>
        </w:rPr>
        <w:t>’</w:t>
      </w:r>
      <w:r w:rsidRPr="00924241">
        <w:rPr>
          <w:rFonts w:eastAsia="Malgun Gothic"/>
          <w:bCs/>
          <w:lang w:val="fr-FR"/>
        </w:rPr>
        <w:t>orientation sur ces recommandations. Ces notes pourraient servir de cadre à l</w:t>
      </w:r>
      <w:r w:rsidR="00923E72">
        <w:rPr>
          <w:rFonts w:eastAsia="Malgun Gothic"/>
          <w:bCs/>
          <w:lang w:val="fr-FR"/>
        </w:rPr>
        <w:t>’</w:t>
      </w:r>
      <w:r w:rsidRPr="00924241">
        <w:rPr>
          <w:rFonts w:eastAsia="Malgun Gothic"/>
          <w:bCs/>
          <w:lang w:val="fr-FR"/>
        </w:rPr>
        <w:t>Organe d</w:t>
      </w:r>
      <w:r w:rsidR="00923E72">
        <w:rPr>
          <w:rFonts w:eastAsia="Malgun Gothic"/>
          <w:bCs/>
          <w:lang w:val="fr-FR"/>
        </w:rPr>
        <w:t>’</w:t>
      </w:r>
      <w:r w:rsidRPr="00924241">
        <w:rPr>
          <w:rFonts w:eastAsia="Malgun Gothic"/>
          <w:bCs/>
          <w:lang w:val="fr-FR"/>
        </w:rPr>
        <w:t>évaluation et seraient soumises au Comité pour examen et adoption. Ces notes d</w:t>
      </w:r>
      <w:r w:rsidR="00923E72">
        <w:rPr>
          <w:rFonts w:eastAsia="Malgun Gothic"/>
          <w:bCs/>
          <w:lang w:val="fr-FR"/>
        </w:rPr>
        <w:t>’</w:t>
      </w:r>
      <w:r w:rsidRPr="00924241">
        <w:rPr>
          <w:rFonts w:eastAsia="Malgun Gothic"/>
          <w:bCs/>
          <w:lang w:val="fr-FR"/>
        </w:rPr>
        <w:t>orientation pourraient établir, entre autres, les principes et les conditions du processus de dialogue entre l</w:t>
      </w:r>
      <w:r w:rsidR="00923E72">
        <w:rPr>
          <w:rFonts w:eastAsia="Malgun Gothic"/>
          <w:bCs/>
          <w:lang w:val="fr-FR"/>
        </w:rPr>
        <w:t>’</w:t>
      </w:r>
      <w:r w:rsidRPr="00924241">
        <w:rPr>
          <w:rFonts w:eastAsia="Malgun Gothic"/>
          <w:bCs/>
          <w:lang w:val="fr-FR"/>
        </w:rPr>
        <w:t>Organe d</w:t>
      </w:r>
      <w:r w:rsidR="00923E72">
        <w:rPr>
          <w:rFonts w:eastAsia="Malgun Gothic"/>
          <w:bCs/>
          <w:lang w:val="fr-FR"/>
        </w:rPr>
        <w:t>’</w:t>
      </w:r>
      <w:r w:rsidRPr="00924241">
        <w:rPr>
          <w:rFonts w:eastAsia="Malgun Gothic"/>
          <w:bCs/>
          <w:lang w:val="fr-FR"/>
        </w:rPr>
        <w:t>évaluation et les États soumissionnaires</w:t>
      </w:r>
      <w:r w:rsidR="00E527F6">
        <w:rPr>
          <w:rFonts w:eastAsia="Malgun Gothic"/>
          <w:bCs/>
          <w:lang w:val="fr-FR"/>
        </w:rPr>
        <w:t>,</w:t>
      </w:r>
      <w:r w:rsidRPr="00924241">
        <w:rPr>
          <w:rFonts w:eastAsia="Malgun Gothic"/>
          <w:bCs/>
          <w:lang w:val="fr-FR"/>
        </w:rPr>
        <w:t xml:space="preserve"> ainsi qu</w:t>
      </w:r>
      <w:r w:rsidR="00923E72">
        <w:rPr>
          <w:rFonts w:eastAsia="Malgun Gothic"/>
          <w:bCs/>
          <w:lang w:val="fr-FR"/>
        </w:rPr>
        <w:t>’</w:t>
      </w:r>
      <w:r w:rsidRPr="00924241">
        <w:rPr>
          <w:rFonts w:eastAsia="Malgun Gothic"/>
          <w:bCs/>
          <w:lang w:val="fr-FR"/>
        </w:rPr>
        <w:t>une forme d</w:t>
      </w:r>
      <w:r w:rsidR="00923E72">
        <w:rPr>
          <w:rFonts w:eastAsia="Malgun Gothic"/>
          <w:bCs/>
          <w:lang w:val="fr-FR"/>
        </w:rPr>
        <w:t>’</w:t>
      </w:r>
      <w:r w:rsidRPr="00924241">
        <w:rPr>
          <w:rFonts w:eastAsia="Malgun Gothic"/>
          <w:bCs/>
          <w:lang w:val="fr-FR"/>
        </w:rPr>
        <w:t xml:space="preserve">accord de travail adopté par le Comité. La délégation </w:t>
      </w:r>
      <w:r w:rsidRPr="00924241">
        <w:rPr>
          <w:rFonts w:eastAsia="Malgun Gothic"/>
          <w:bCs/>
          <w:lang w:val="fr-FR"/>
        </w:rPr>
        <w:lastRenderedPageBreak/>
        <w:t>a demandé l</w:t>
      </w:r>
      <w:r w:rsidR="00923E72">
        <w:rPr>
          <w:rFonts w:eastAsia="Malgun Gothic"/>
          <w:bCs/>
          <w:lang w:val="fr-FR"/>
        </w:rPr>
        <w:t>’</w:t>
      </w:r>
      <w:r w:rsidRPr="00924241">
        <w:rPr>
          <w:rFonts w:eastAsia="Malgun Gothic"/>
          <w:bCs/>
          <w:lang w:val="fr-FR"/>
        </w:rPr>
        <w:t>avis du Secrétariat sur cette proposition concernant la réflexion et l</w:t>
      </w:r>
      <w:r w:rsidR="00923E72">
        <w:rPr>
          <w:rFonts w:eastAsia="Malgun Gothic"/>
          <w:bCs/>
          <w:lang w:val="fr-FR"/>
        </w:rPr>
        <w:t>’</w:t>
      </w:r>
      <w:r w:rsidRPr="00924241">
        <w:rPr>
          <w:rFonts w:eastAsia="Malgun Gothic"/>
          <w:bCs/>
          <w:lang w:val="fr-FR"/>
        </w:rPr>
        <w:t>élaboration des notes d</w:t>
      </w:r>
      <w:r w:rsidR="00923E72">
        <w:rPr>
          <w:rFonts w:eastAsia="Malgun Gothic"/>
          <w:bCs/>
          <w:lang w:val="fr-FR"/>
        </w:rPr>
        <w:t>’</w:t>
      </w:r>
      <w:r w:rsidRPr="00924241">
        <w:rPr>
          <w:rFonts w:eastAsia="Malgun Gothic"/>
          <w:bCs/>
          <w:lang w:val="fr-FR"/>
        </w:rPr>
        <w:t>orientation à soumettre au Comité.</w:t>
      </w:r>
    </w:p>
    <w:p w14:paraId="74683E3A" w14:textId="3D0047CC" w:rsidR="00FE3E27" w:rsidRDefault="00FE3E2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FE3E27">
        <w:rPr>
          <w:rFonts w:eastAsia="Malgun Gothic"/>
          <w:bCs/>
          <w:lang w:val="fr-FR"/>
        </w:rPr>
        <w:t>La délégation de l</w:t>
      </w:r>
      <w:r w:rsidR="00923E72">
        <w:rPr>
          <w:rFonts w:eastAsia="Malgun Gothic"/>
          <w:bCs/>
          <w:lang w:val="fr-FR"/>
        </w:rPr>
        <w:t>’</w:t>
      </w:r>
      <w:r w:rsidRPr="00702497">
        <w:rPr>
          <w:rFonts w:eastAsia="Malgun Gothic"/>
          <w:b/>
          <w:lang w:val="fr-FR"/>
        </w:rPr>
        <w:t>Éthiopie</w:t>
      </w:r>
      <w:r w:rsidRPr="00FE3E27">
        <w:rPr>
          <w:rFonts w:eastAsia="Malgun Gothic"/>
          <w:bCs/>
          <w:lang w:val="fr-FR"/>
        </w:rPr>
        <w:t xml:space="preserve"> a félicité l</w:t>
      </w:r>
      <w:r w:rsidR="00923E72">
        <w:rPr>
          <w:rFonts w:eastAsia="Malgun Gothic"/>
          <w:bCs/>
          <w:lang w:val="fr-FR"/>
        </w:rPr>
        <w:t>’</w:t>
      </w:r>
      <w:r w:rsidRPr="00FE3E27">
        <w:rPr>
          <w:rFonts w:eastAsia="Malgun Gothic"/>
          <w:bCs/>
          <w:lang w:val="fr-FR"/>
        </w:rPr>
        <w:t>Organe d</w:t>
      </w:r>
      <w:r w:rsidR="00923E72">
        <w:rPr>
          <w:rFonts w:eastAsia="Malgun Gothic"/>
          <w:bCs/>
          <w:lang w:val="fr-FR"/>
        </w:rPr>
        <w:t>’</w:t>
      </w:r>
      <w:r w:rsidRPr="00FE3E27">
        <w:rPr>
          <w:rFonts w:eastAsia="Malgun Gothic"/>
          <w:bCs/>
          <w:lang w:val="fr-FR"/>
        </w:rPr>
        <w:t>évaluation d</w:t>
      </w:r>
      <w:r w:rsidR="00923E72">
        <w:rPr>
          <w:rFonts w:eastAsia="Malgun Gothic"/>
          <w:bCs/>
          <w:lang w:val="fr-FR"/>
        </w:rPr>
        <w:t>’</w:t>
      </w:r>
      <w:r>
        <w:rPr>
          <w:rFonts w:eastAsia="Malgun Gothic"/>
          <w:bCs/>
          <w:lang w:val="fr-FR"/>
        </w:rPr>
        <w:t>être parvenu à</w:t>
      </w:r>
      <w:r w:rsidRPr="00FE3E27">
        <w:rPr>
          <w:rFonts w:eastAsia="Malgun Gothic"/>
          <w:bCs/>
          <w:lang w:val="fr-FR"/>
        </w:rPr>
        <w:t xml:space="preserve"> fai</w:t>
      </w:r>
      <w:r>
        <w:rPr>
          <w:rFonts w:eastAsia="Malgun Gothic"/>
          <w:bCs/>
          <w:lang w:val="fr-FR"/>
        </w:rPr>
        <w:t>re</w:t>
      </w:r>
      <w:r w:rsidRPr="00FE3E27">
        <w:rPr>
          <w:rFonts w:eastAsia="Malgun Gothic"/>
          <w:bCs/>
          <w:lang w:val="fr-FR"/>
        </w:rPr>
        <w:t xml:space="preserve"> face à une lourde charge de travail et a remercié le Secrétariat d</w:t>
      </w:r>
      <w:r w:rsidR="00923E72">
        <w:rPr>
          <w:rFonts w:eastAsia="Malgun Gothic"/>
          <w:bCs/>
          <w:lang w:val="fr-FR"/>
        </w:rPr>
        <w:t>’</w:t>
      </w:r>
      <w:r w:rsidRPr="00FE3E27">
        <w:rPr>
          <w:rFonts w:eastAsia="Malgun Gothic"/>
          <w:bCs/>
          <w:lang w:val="fr-FR"/>
        </w:rPr>
        <w:t>avoir facilité le travail de l</w:t>
      </w:r>
      <w:r w:rsidR="00923E72">
        <w:rPr>
          <w:rFonts w:eastAsia="Malgun Gothic"/>
          <w:bCs/>
          <w:lang w:val="fr-FR"/>
        </w:rPr>
        <w:t>’</w:t>
      </w:r>
      <w:r w:rsidRPr="00FE3E27">
        <w:rPr>
          <w:rFonts w:eastAsia="Malgun Gothic"/>
          <w:bCs/>
          <w:lang w:val="fr-FR"/>
        </w:rPr>
        <w:t>Organe d</w:t>
      </w:r>
      <w:r w:rsidR="00923E72">
        <w:rPr>
          <w:rFonts w:eastAsia="Malgun Gothic"/>
          <w:bCs/>
          <w:lang w:val="fr-FR"/>
        </w:rPr>
        <w:t>’</w:t>
      </w:r>
      <w:r w:rsidRPr="00FE3E27">
        <w:rPr>
          <w:rFonts w:eastAsia="Malgun Gothic"/>
          <w:bCs/>
          <w:lang w:val="fr-FR"/>
        </w:rPr>
        <w:t>évaluation. Le rapport était complet et</w:t>
      </w:r>
      <w:r w:rsidR="00FD664F">
        <w:rPr>
          <w:rFonts w:eastAsia="Malgun Gothic"/>
          <w:bCs/>
          <w:lang w:val="fr-FR"/>
        </w:rPr>
        <w:t xml:space="preserve"> très éclairant</w:t>
      </w:r>
      <w:r w:rsidRPr="00FE3E27">
        <w:rPr>
          <w:rFonts w:eastAsia="Malgun Gothic"/>
          <w:bCs/>
          <w:lang w:val="fr-FR"/>
        </w:rPr>
        <w:t>, mettant en évidence les questions thématiques fondamentales et d</w:t>
      </w:r>
      <w:r w:rsidR="00923E72">
        <w:rPr>
          <w:rFonts w:eastAsia="Malgun Gothic"/>
          <w:bCs/>
          <w:lang w:val="fr-FR"/>
        </w:rPr>
        <w:t>’</w:t>
      </w:r>
      <w:r w:rsidRPr="00FE3E27">
        <w:rPr>
          <w:rFonts w:eastAsia="Malgun Gothic"/>
          <w:bCs/>
          <w:lang w:val="fr-FR"/>
        </w:rPr>
        <w:t>autres préoccupations pertinentes touchant les communautés dans le contexte de la Convention. Néanmoins, elle a demandé à l</w:t>
      </w:r>
      <w:r w:rsidR="00923E72">
        <w:rPr>
          <w:rFonts w:eastAsia="Malgun Gothic"/>
          <w:bCs/>
          <w:lang w:val="fr-FR"/>
        </w:rPr>
        <w:t>’</w:t>
      </w:r>
      <w:r w:rsidRPr="00FE3E27">
        <w:rPr>
          <w:rFonts w:eastAsia="Malgun Gothic"/>
          <w:bCs/>
          <w:lang w:val="fr-FR"/>
        </w:rPr>
        <w:t>Organe d</w:t>
      </w:r>
      <w:r w:rsidR="00923E72">
        <w:rPr>
          <w:rFonts w:eastAsia="Malgun Gothic"/>
          <w:bCs/>
          <w:lang w:val="fr-FR"/>
        </w:rPr>
        <w:t>’</w:t>
      </w:r>
      <w:r w:rsidRPr="00FE3E27">
        <w:rPr>
          <w:rFonts w:eastAsia="Malgun Gothic"/>
          <w:bCs/>
          <w:lang w:val="fr-FR"/>
        </w:rPr>
        <w:t xml:space="preserve">évaluation des éclaircissements sur les </w:t>
      </w:r>
      <w:r w:rsidR="0070609C">
        <w:rPr>
          <w:rFonts w:eastAsia="Malgun Gothic"/>
          <w:bCs/>
          <w:lang w:val="fr-FR"/>
        </w:rPr>
        <w:t xml:space="preserve">questions </w:t>
      </w:r>
      <w:r w:rsidRPr="00FE3E27">
        <w:rPr>
          <w:rFonts w:eastAsia="Malgun Gothic"/>
          <w:bCs/>
          <w:lang w:val="fr-FR"/>
        </w:rPr>
        <w:t>thématiques concernant les labels et les marques, la pratique par rapport au produit ainsi que la commercialisation excessive et la décontextualisation dans le contexte du développement durable. Outre les observations et commentaires positifs formulés par l</w:t>
      </w:r>
      <w:r w:rsidR="00923E72">
        <w:rPr>
          <w:rFonts w:eastAsia="Malgun Gothic"/>
          <w:bCs/>
          <w:lang w:val="fr-FR"/>
        </w:rPr>
        <w:t>’</w:t>
      </w:r>
      <w:r w:rsidRPr="00FE3E27">
        <w:rPr>
          <w:rFonts w:eastAsia="Malgun Gothic"/>
          <w:bCs/>
          <w:lang w:val="fr-FR"/>
        </w:rPr>
        <w:t>Organe d</w:t>
      </w:r>
      <w:r w:rsidR="00923E72">
        <w:rPr>
          <w:rFonts w:eastAsia="Malgun Gothic"/>
          <w:bCs/>
          <w:lang w:val="fr-FR"/>
        </w:rPr>
        <w:t>’</w:t>
      </w:r>
      <w:r w:rsidRPr="00FE3E27">
        <w:rPr>
          <w:rFonts w:eastAsia="Malgun Gothic"/>
          <w:bCs/>
          <w:lang w:val="fr-FR"/>
        </w:rPr>
        <w:t>évaluation et les éclaircissements apportés lors de la session de ce matin, la délégation souhaitait savoir combien de questions soulevées dans les décisions antérieures du Comité avaient été traitées dans le cadre du présent cycle</w:t>
      </w:r>
      <w:r w:rsidR="00FD664F">
        <w:rPr>
          <w:rFonts w:eastAsia="Malgun Gothic"/>
          <w:bCs/>
          <w:lang w:val="fr-FR"/>
        </w:rPr>
        <w:t>.</w:t>
      </w:r>
    </w:p>
    <w:p w14:paraId="4F09B8C5" w14:textId="1F2047FA" w:rsidR="0070609C" w:rsidRDefault="0070609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0609C">
        <w:rPr>
          <w:rFonts w:eastAsia="Malgun Gothic"/>
          <w:bCs/>
          <w:lang w:val="fr-FR"/>
        </w:rPr>
        <w:t xml:space="preserve">La délégation de la </w:t>
      </w:r>
      <w:r w:rsidRPr="00702497">
        <w:rPr>
          <w:rFonts w:eastAsia="Malgun Gothic"/>
          <w:b/>
          <w:lang w:val="fr-FR"/>
        </w:rPr>
        <w:t>Malaisie</w:t>
      </w:r>
      <w:r w:rsidRPr="0070609C">
        <w:rPr>
          <w:rFonts w:eastAsia="Malgun Gothic"/>
          <w:bCs/>
          <w:lang w:val="fr-FR"/>
        </w:rPr>
        <w:t xml:space="preserve"> a exprimé sa reconnaissance à l</w:t>
      </w:r>
      <w:r w:rsidR="00923E72">
        <w:rPr>
          <w:rFonts w:eastAsia="Malgun Gothic"/>
          <w:bCs/>
          <w:lang w:val="fr-FR"/>
        </w:rPr>
        <w:t>’</w:t>
      </w:r>
      <w:r w:rsidRPr="0070609C">
        <w:rPr>
          <w:rFonts w:eastAsia="Malgun Gothic"/>
          <w:bCs/>
          <w:lang w:val="fr-FR"/>
        </w:rPr>
        <w:t>Organe d</w:t>
      </w:r>
      <w:r w:rsidR="00923E72">
        <w:rPr>
          <w:rFonts w:eastAsia="Malgun Gothic"/>
          <w:bCs/>
          <w:lang w:val="fr-FR"/>
        </w:rPr>
        <w:t>’</w:t>
      </w:r>
      <w:r w:rsidRPr="0070609C">
        <w:rPr>
          <w:rFonts w:eastAsia="Malgun Gothic"/>
          <w:bCs/>
          <w:lang w:val="fr-FR"/>
        </w:rPr>
        <w:t>évaluation pour son engagement et son dévouement ainsi que pour le travail entrepris par les experts, compte tenu notamment des circonstances très difficiles et éprouvantes de l</w:t>
      </w:r>
      <w:r w:rsidR="00923E72">
        <w:rPr>
          <w:rFonts w:eastAsia="Malgun Gothic"/>
          <w:bCs/>
          <w:lang w:val="fr-FR"/>
        </w:rPr>
        <w:t>’</w:t>
      </w:r>
      <w:r w:rsidRPr="0070609C">
        <w:rPr>
          <w:rFonts w:eastAsia="Malgun Gothic"/>
          <w:bCs/>
          <w:lang w:val="fr-FR"/>
        </w:rPr>
        <w:t>année</w:t>
      </w:r>
      <w:r w:rsidR="002C59CA">
        <w:rPr>
          <w:rFonts w:eastAsia="Malgun Gothic"/>
          <w:bCs/>
          <w:lang w:val="fr-FR"/>
        </w:rPr>
        <w:t> </w:t>
      </w:r>
      <w:r w:rsidRPr="0070609C">
        <w:rPr>
          <w:rFonts w:eastAsia="Malgun Gothic"/>
          <w:bCs/>
          <w:lang w:val="fr-FR"/>
        </w:rPr>
        <w:t>2022. Les recommandations de l</w:t>
      </w:r>
      <w:r w:rsidR="00923E72">
        <w:rPr>
          <w:rFonts w:eastAsia="Malgun Gothic"/>
          <w:bCs/>
          <w:lang w:val="fr-FR"/>
        </w:rPr>
        <w:t>’</w:t>
      </w:r>
      <w:r w:rsidRPr="0070609C">
        <w:rPr>
          <w:rFonts w:eastAsia="Malgun Gothic"/>
          <w:bCs/>
          <w:lang w:val="fr-FR"/>
        </w:rPr>
        <w:t>Organe d</w:t>
      </w:r>
      <w:r w:rsidR="00923E72">
        <w:rPr>
          <w:rFonts w:eastAsia="Malgun Gothic"/>
          <w:bCs/>
          <w:lang w:val="fr-FR"/>
        </w:rPr>
        <w:t>’</w:t>
      </w:r>
      <w:r w:rsidRPr="0070609C">
        <w:rPr>
          <w:rFonts w:eastAsia="Malgun Gothic"/>
          <w:bCs/>
          <w:lang w:val="fr-FR"/>
        </w:rPr>
        <w:t>évaluation étaient pertinentes et claires. Des préoccupations avaient été exprimées par l</w:t>
      </w:r>
      <w:r w:rsidR="00923E72">
        <w:rPr>
          <w:rFonts w:eastAsia="Malgun Gothic"/>
          <w:bCs/>
          <w:lang w:val="fr-FR"/>
        </w:rPr>
        <w:t>’</w:t>
      </w:r>
      <w:r w:rsidRPr="0070609C">
        <w:rPr>
          <w:rFonts w:eastAsia="Malgun Gothic"/>
          <w:bCs/>
          <w:lang w:val="fr-FR"/>
        </w:rPr>
        <w:t>Organe d</w:t>
      </w:r>
      <w:r w:rsidR="00923E72">
        <w:rPr>
          <w:rFonts w:eastAsia="Malgun Gothic"/>
          <w:bCs/>
          <w:lang w:val="fr-FR"/>
        </w:rPr>
        <w:t>’</w:t>
      </w:r>
      <w:r w:rsidRPr="0070609C">
        <w:rPr>
          <w:rFonts w:eastAsia="Malgun Gothic"/>
          <w:bCs/>
          <w:lang w:val="fr-FR"/>
        </w:rPr>
        <w:t>évaluation concernant la définition d</w:t>
      </w:r>
      <w:r w:rsidR="00923E72">
        <w:rPr>
          <w:rFonts w:eastAsia="Malgun Gothic"/>
          <w:bCs/>
          <w:lang w:val="fr-FR"/>
        </w:rPr>
        <w:t>’</w:t>
      </w:r>
      <w:r w:rsidRPr="0070609C">
        <w:rPr>
          <w:rFonts w:eastAsia="Malgun Gothic"/>
          <w:bCs/>
          <w:lang w:val="fr-FR"/>
        </w:rPr>
        <w:t>éléments spécifiques du patrimoine culturel immatériel dans certaines propositions, le rôle central des communautés, des groupes et des individus dans la soumission, la planification et la mise en œuvre des programmes, les questions relatives à la préparation des candidatures multinationales et les questions de commercialisation excessive. L</w:t>
      </w:r>
      <w:r w:rsidR="00923E72">
        <w:rPr>
          <w:rFonts w:eastAsia="Malgun Gothic"/>
          <w:bCs/>
          <w:lang w:val="fr-FR"/>
        </w:rPr>
        <w:t>’</w:t>
      </w:r>
      <w:r w:rsidRPr="0070609C">
        <w:rPr>
          <w:rFonts w:eastAsia="Malgun Gothic"/>
          <w:bCs/>
          <w:lang w:val="fr-FR"/>
        </w:rPr>
        <w:t>Organe d</w:t>
      </w:r>
      <w:r w:rsidR="00923E72">
        <w:rPr>
          <w:rFonts w:eastAsia="Malgun Gothic"/>
          <w:bCs/>
          <w:lang w:val="fr-FR"/>
        </w:rPr>
        <w:t>’</w:t>
      </w:r>
      <w:r w:rsidRPr="0070609C">
        <w:rPr>
          <w:rFonts w:eastAsia="Malgun Gothic"/>
          <w:bCs/>
          <w:lang w:val="fr-FR"/>
        </w:rPr>
        <w:t>évaluation avait assumé une charge de travail considérable compte tenu des cinquante</w:t>
      </w:r>
      <w:r w:rsidR="002C59CA">
        <w:rPr>
          <w:rFonts w:eastAsia="Malgun Gothic"/>
          <w:bCs/>
          <w:lang w:val="fr-FR"/>
        </w:rPr>
        <w:noBreakHyphen/>
      </w:r>
      <w:r w:rsidRPr="0070609C">
        <w:rPr>
          <w:rFonts w:eastAsia="Malgun Gothic"/>
          <w:bCs/>
          <w:lang w:val="fr-FR"/>
        </w:rPr>
        <w:t>six dossiers qu</w:t>
      </w:r>
      <w:r w:rsidR="00923E72">
        <w:rPr>
          <w:rFonts w:eastAsia="Malgun Gothic"/>
          <w:bCs/>
          <w:lang w:val="fr-FR"/>
        </w:rPr>
        <w:t>’</w:t>
      </w:r>
      <w:r w:rsidRPr="0070609C">
        <w:rPr>
          <w:rFonts w:eastAsia="Malgun Gothic"/>
          <w:bCs/>
          <w:lang w:val="fr-FR"/>
        </w:rPr>
        <w:t>il avait dû examiner, toutes catégories confondues. Malgré le nombre croissant de dossiers, l</w:t>
      </w:r>
      <w:r w:rsidR="00923E72">
        <w:rPr>
          <w:rFonts w:eastAsia="Malgun Gothic"/>
          <w:bCs/>
          <w:lang w:val="fr-FR"/>
        </w:rPr>
        <w:t>’</w:t>
      </w:r>
      <w:r w:rsidRPr="0070609C">
        <w:rPr>
          <w:rFonts w:eastAsia="Malgun Gothic"/>
          <w:bCs/>
          <w:lang w:val="fr-FR"/>
        </w:rPr>
        <w:t>Organe d</w:t>
      </w:r>
      <w:r w:rsidR="00923E72">
        <w:rPr>
          <w:rFonts w:eastAsia="Malgun Gothic"/>
          <w:bCs/>
          <w:lang w:val="fr-FR"/>
        </w:rPr>
        <w:t>’</w:t>
      </w:r>
      <w:r w:rsidRPr="0070609C">
        <w:rPr>
          <w:rFonts w:eastAsia="Malgun Gothic"/>
          <w:bCs/>
          <w:lang w:val="fr-FR"/>
        </w:rPr>
        <w:t xml:space="preserve">évaluation avait été en mesure de fournir une </w:t>
      </w:r>
      <w:r w:rsidR="00DE0198">
        <w:rPr>
          <w:rFonts w:eastAsia="Malgun Gothic"/>
          <w:bCs/>
          <w:lang w:val="fr-FR"/>
        </w:rPr>
        <w:t xml:space="preserve">excellente </w:t>
      </w:r>
      <w:r w:rsidRPr="0070609C">
        <w:rPr>
          <w:rFonts w:eastAsia="Malgun Gothic"/>
          <w:bCs/>
          <w:lang w:val="fr-FR"/>
        </w:rPr>
        <w:t>analyse et expertise dans son examen des dossiers, ce qui aiderait le Comité à prendre des décisions en toute connaissance de cause. Au fil des an</w:t>
      </w:r>
      <w:r w:rsidR="00DE0198">
        <w:rPr>
          <w:rFonts w:eastAsia="Malgun Gothic"/>
          <w:bCs/>
          <w:lang w:val="fr-FR"/>
        </w:rPr>
        <w:t>nées</w:t>
      </w:r>
      <w:r w:rsidRPr="0070609C">
        <w:rPr>
          <w:rFonts w:eastAsia="Malgun Gothic"/>
          <w:bCs/>
          <w:lang w:val="fr-FR"/>
        </w:rPr>
        <w:t xml:space="preserve">, </w:t>
      </w:r>
      <w:r w:rsidR="00DE0198">
        <w:rPr>
          <w:rFonts w:eastAsia="Malgun Gothic"/>
          <w:bCs/>
          <w:lang w:val="fr-FR"/>
        </w:rPr>
        <w:t>l</w:t>
      </w:r>
      <w:r w:rsidR="00923E72">
        <w:rPr>
          <w:rFonts w:eastAsia="Malgun Gothic"/>
          <w:bCs/>
          <w:lang w:val="fr-FR"/>
        </w:rPr>
        <w:t>’</w:t>
      </w:r>
      <w:r w:rsidR="00DE0198">
        <w:rPr>
          <w:rFonts w:eastAsia="Malgun Gothic"/>
          <w:bCs/>
          <w:lang w:val="fr-FR"/>
        </w:rPr>
        <w:t xml:space="preserve">augmentation du </w:t>
      </w:r>
      <w:r w:rsidRPr="0070609C">
        <w:rPr>
          <w:rFonts w:eastAsia="Malgun Gothic"/>
          <w:bCs/>
          <w:lang w:val="fr-FR"/>
        </w:rPr>
        <w:t>nombre de soumissions multinationales</w:t>
      </w:r>
      <w:r w:rsidR="00DE0198">
        <w:rPr>
          <w:rFonts w:eastAsia="Malgun Gothic"/>
          <w:bCs/>
          <w:lang w:val="fr-FR"/>
        </w:rPr>
        <w:t xml:space="preserve"> devenait évidente</w:t>
      </w:r>
      <w:r w:rsidRPr="0070609C">
        <w:rPr>
          <w:rFonts w:eastAsia="Malgun Gothic"/>
          <w:bCs/>
          <w:lang w:val="fr-FR"/>
        </w:rPr>
        <w:t>, avec quatorze dossiers multinationaux évalués au cours de ce cycle. La Malaisie a</w:t>
      </w:r>
      <w:r w:rsidR="00DE0198">
        <w:rPr>
          <w:rFonts w:eastAsia="Malgun Gothic"/>
          <w:bCs/>
          <w:lang w:val="fr-FR"/>
        </w:rPr>
        <w:t xml:space="preserve"> rappelé </w:t>
      </w:r>
      <w:r w:rsidRPr="0070609C">
        <w:rPr>
          <w:rFonts w:eastAsia="Malgun Gothic"/>
          <w:bCs/>
          <w:lang w:val="fr-FR"/>
        </w:rPr>
        <w:t>l</w:t>
      </w:r>
      <w:r w:rsidR="00923E72">
        <w:rPr>
          <w:rFonts w:eastAsia="Malgun Gothic"/>
          <w:bCs/>
          <w:lang w:val="fr-FR"/>
        </w:rPr>
        <w:t>’</w:t>
      </w:r>
      <w:r w:rsidRPr="0070609C">
        <w:rPr>
          <w:rFonts w:eastAsia="Malgun Gothic"/>
          <w:bCs/>
          <w:lang w:val="fr-FR"/>
        </w:rPr>
        <w:t xml:space="preserve">importance de cette catégorie de candidatures, qui devraient être </w:t>
      </w:r>
      <w:r w:rsidR="002C59CA">
        <w:rPr>
          <w:rFonts w:eastAsia="Malgun Gothic"/>
          <w:bCs/>
          <w:lang w:val="fr-FR"/>
        </w:rPr>
        <w:t xml:space="preserve">constamment </w:t>
      </w:r>
      <w:r w:rsidRPr="0070609C">
        <w:rPr>
          <w:rFonts w:eastAsia="Malgun Gothic"/>
          <w:bCs/>
          <w:lang w:val="fr-FR"/>
        </w:rPr>
        <w:t>priorisées</w:t>
      </w:r>
      <w:r w:rsidR="00006642">
        <w:rPr>
          <w:rFonts w:eastAsia="Malgun Gothic"/>
          <w:bCs/>
          <w:lang w:val="fr-FR"/>
        </w:rPr>
        <w:t>,</w:t>
      </w:r>
      <w:r w:rsidRPr="0070609C">
        <w:rPr>
          <w:rFonts w:eastAsia="Malgun Gothic"/>
          <w:bCs/>
          <w:lang w:val="fr-FR"/>
        </w:rPr>
        <w:t xml:space="preserve"> car elles permettent aux États parties</w:t>
      </w:r>
      <w:r w:rsidR="00DE0198">
        <w:rPr>
          <w:rFonts w:eastAsia="Malgun Gothic"/>
          <w:bCs/>
          <w:lang w:val="fr-FR"/>
        </w:rPr>
        <w:t>,</w:t>
      </w:r>
      <w:r w:rsidRPr="0070609C">
        <w:rPr>
          <w:rFonts w:eastAsia="Malgun Gothic"/>
          <w:bCs/>
          <w:lang w:val="fr-FR"/>
        </w:rPr>
        <w:t xml:space="preserve"> au sein d</w:t>
      </w:r>
      <w:r w:rsidR="00923E72">
        <w:rPr>
          <w:rFonts w:eastAsia="Malgun Gothic"/>
          <w:bCs/>
          <w:lang w:val="fr-FR"/>
        </w:rPr>
        <w:t>’</w:t>
      </w:r>
      <w:r w:rsidRPr="0070609C">
        <w:rPr>
          <w:rFonts w:eastAsia="Malgun Gothic"/>
          <w:bCs/>
          <w:lang w:val="fr-FR"/>
        </w:rPr>
        <w:t xml:space="preserve">une même région et </w:t>
      </w:r>
      <w:r w:rsidR="00DE0198">
        <w:rPr>
          <w:rFonts w:eastAsia="Malgun Gothic"/>
          <w:bCs/>
          <w:lang w:val="fr-FR"/>
        </w:rPr>
        <w:t xml:space="preserve">dans des </w:t>
      </w:r>
      <w:r w:rsidRPr="0070609C">
        <w:rPr>
          <w:rFonts w:eastAsia="Malgun Gothic"/>
          <w:bCs/>
          <w:lang w:val="fr-FR"/>
        </w:rPr>
        <w:t>régions</w:t>
      </w:r>
      <w:r w:rsidR="00DE0198">
        <w:rPr>
          <w:rFonts w:eastAsia="Malgun Gothic"/>
          <w:bCs/>
          <w:lang w:val="fr-FR"/>
        </w:rPr>
        <w:t xml:space="preserve"> différentes</w:t>
      </w:r>
      <w:r w:rsidRPr="0070609C">
        <w:rPr>
          <w:rFonts w:eastAsia="Malgun Gothic"/>
          <w:bCs/>
          <w:lang w:val="fr-FR"/>
        </w:rPr>
        <w:t xml:space="preserve"> qui partagent des cultures similaires</w:t>
      </w:r>
      <w:r w:rsidR="00FD664F">
        <w:rPr>
          <w:rFonts w:eastAsia="Malgun Gothic"/>
          <w:bCs/>
          <w:lang w:val="fr-FR"/>
        </w:rPr>
        <w:t>,</w:t>
      </w:r>
      <w:r w:rsidRPr="0070609C">
        <w:rPr>
          <w:rFonts w:eastAsia="Malgun Gothic"/>
          <w:bCs/>
          <w:lang w:val="fr-FR"/>
        </w:rPr>
        <w:t xml:space="preserve"> de se réunir. Cela encouragerait la coopération internationale et le dialogue en matière de patrimoine vivant. La Malaisie s</w:t>
      </w:r>
      <w:r w:rsidR="00923E72">
        <w:rPr>
          <w:rFonts w:eastAsia="Malgun Gothic"/>
          <w:bCs/>
          <w:lang w:val="fr-FR"/>
        </w:rPr>
        <w:t>’</w:t>
      </w:r>
      <w:r w:rsidRPr="0070609C">
        <w:rPr>
          <w:rFonts w:eastAsia="Malgun Gothic"/>
          <w:bCs/>
          <w:lang w:val="fr-FR"/>
        </w:rPr>
        <w:t>est fait l</w:t>
      </w:r>
      <w:r w:rsidR="00923E72">
        <w:rPr>
          <w:rFonts w:eastAsia="Malgun Gothic"/>
          <w:bCs/>
          <w:lang w:val="fr-FR"/>
        </w:rPr>
        <w:t>’</w:t>
      </w:r>
      <w:r w:rsidRPr="0070609C">
        <w:rPr>
          <w:rFonts w:eastAsia="Malgun Gothic"/>
          <w:bCs/>
          <w:lang w:val="fr-FR"/>
        </w:rPr>
        <w:t xml:space="preserve">écho des préoccupations </w:t>
      </w:r>
      <w:r w:rsidR="00BF5EB1">
        <w:rPr>
          <w:rFonts w:eastAsia="Malgun Gothic"/>
          <w:bCs/>
          <w:lang w:val="fr-FR"/>
        </w:rPr>
        <w:t xml:space="preserve">exprimées </w:t>
      </w:r>
      <w:r w:rsidRPr="0070609C">
        <w:rPr>
          <w:rFonts w:eastAsia="Malgun Gothic"/>
          <w:bCs/>
          <w:lang w:val="fr-FR"/>
        </w:rPr>
        <w:t>par les États parties concernant le processus de dialogue, auquel tous les États concernés n</w:t>
      </w:r>
      <w:r w:rsidR="00923E72">
        <w:rPr>
          <w:rFonts w:eastAsia="Malgun Gothic"/>
          <w:bCs/>
          <w:lang w:val="fr-FR"/>
        </w:rPr>
        <w:t>’</w:t>
      </w:r>
      <w:r w:rsidRPr="0070609C">
        <w:rPr>
          <w:rFonts w:eastAsia="Malgun Gothic"/>
          <w:bCs/>
          <w:lang w:val="fr-FR"/>
        </w:rPr>
        <w:t>avaient pas eu l</w:t>
      </w:r>
      <w:r w:rsidR="00923E72">
        <w:rPr>
          <w:rFonts w:eastAsia="Malgun Gothic"/>
          <w:bCs/>
          <w:lang w:val="fr-FR"/>
        </w:rPr>
        <w:t>’</w:t>
      </w:r>
      <w:r w:rsidRPr="0070609C">
        <w:rPr>
          <w:rFonts w:eastAsia="Malgun Gothic"/>
          <w:bCs/>
          <w:lang w:val="fr-FR"/>
        </w:rPr>
        <w:t>occasion de participer. La Malaisie comprenait l</w:t>
      </w:r>
      <w:r w:rsidR="00923E72">
        <w:rPr>
          <w:rFonts w:eastAsia="Malgun Gothic"/>
          <w:bCs/>
          <w:lang w:val="fr-FR"/>
        </w:rPr>
        <w:t>’</w:t>
      </w:r>
      <w:r w:rsidRPr="0070609C">
        <w:rPr>
          <w:rFonts w:eastAsia="Malgun Gothic"/>
          <w:bCs/>
          <w:lang w:val="fr-FR"/>
        </w:rPr>
        <w:t>explication donnée par le Rapporteur. Elle estimait néanmoins que ce processus était essentiel et qu</w:t>
      </w:r>
      <w:r w:rsidR="00923E72">
        <w:rPr>
          <w:rFonts w:eastAsia="Malgun Gothic"/>
          <w:bCs/>
          <w:lang w:val="fr-FR"/>
        </w:rPr>
        <w:t>’</w:t>
      </w:r>
      <w:r w:rsidRPr="0070609C">
        <w:rPr>
          <w:rFonts w:eastAsia="Malgun Gothic"/>
          <w:bCs/>
          <w:lang w:val="fr-FR"/>
        </w:rPr>
        <w:t>il devrait être étendu à tous les dossiers qui ne satisfont pas aux critères. Cela constituerait la plateforme nécessaire pour améliorer les dossiers, même si cela augmentait la charge de travail de l</w:t>
      </w:r>
      <w:r w:rsidR="00923E72">
        <w:rPr>
          <w:rFonts w:eastAsia="Malgun Gothic"/>
          <w:bCs/>
          <w:lang w:val="fr-FR"/>
        </w:rPr>
        <w:t>’</w:t>
      </w:r>
      <w:r w:rsidRPr="0070609C">
        <w:rPr>
          <w:rFonts w:eastAsia="Malgun Gothic"/>
          <w:bCs/>
          <w:lang w:val="fr-FR"/>
        </w:rPr>
        <w:t>Organe d</w:t>
      </w:r>
      <w:r w:rsidR="00923E72">
        <w:rPr>
          <w:rFonts w:eastAsia="Malgun Gothic"/>
          <w:bCs/>
          <w:lang w:val="fr-FR"/>
        </w:rPr>
        <w:t>’</w:t>
      </w:r>
      <w:r w:rsidRPr="0070609C">
        <w:rPr>
          <w:rFonts w:eastAsia="Malgun Gothic"/>
          <w:bCs/>
          <w:lang w:val="fr-FR"/>
        </w:rPr>
        <w:t>évaluation. Enfin, la Malaisie s</w:t>
      </w:r>
      <w:r w:rsidR="00923E72">
        <w:rPr>
          <w:rFonts w:eastAsia="Malgun Gothic"/>
          <w:bCs/>
          <w:lang w:val="fr-FR"/>
        </w:rPr>
        <w:t>’</w:t>
      </w:r>
      <w:r w:rsidRPr="0070609C">
        <w:rPr>
          <w:rFonts w:eastAsia="Malgun Gothic"/>
          <w:bCs/>
          <w:lang w:val="fr-FR"/>
        </w:rPr>
        <w:t>est dite également préoccupée par la question de la commercialisation excessive</w:t>
      </w:r>
      <w:r w:rsidR="004D4983">
        <w:rPr>
          <w:rFonts w:eastAsia="Malgun Gothic"/>
          <w:bCs/>
          <w:lang w:val="fr-FR"/>
        </w:rPr>
        <w:t>,</w:t>
      </w:r>
      <w:r w:rsidRPr="0070609C">
        <w:rPr>
          <w:rFonts w:eastAsia="Malgun Gothic"/>
          <w:bCs/>
          <w:lang w:val="fr-FR"/>
        </w:rPr>
        <w:t xml:space="preserve"> qui apparaissait dans plusieurs dossiers. À cet égard, il était nécessaire de bien comprendre où se situ</w:t>
      </w:r>
      <w:r w:rsidR="00DE0198">
        <w:rPr>
          <w:rFonts w:eastAsia="Malgun Gothic"/>
          <w:bCs/>
          <w:lang w:val="fr-FR"/>
        </w:rPr>
        <w:t>ait</w:t>
      </w:r>
      <w:r w:rsidRPr="0070609C">
        <w:rPr>
          <w:rFonts w:eastAsia="Malgun Gothic"/>
          <w:bCs/>
          <w:lang w:val="fr-FR"/>
        </w:rPr>
        <w:t xml:space="preserve"> la limite en</w:t>
      </w:r>
      <w:r w:rsidR="00DE0198">
        <w:rPr>
          <w:rFonts w:eastAsia="Malgun Gothic"/>
          <w:bCs/>
          <w:lang w:val="fr-FR"/>
        </w:rPr>
        <w:t>tre</w:t>
      </w:r>
      <w:r w:rsidRPr="0070609C">
        <w:rPr>
          <w:rFonts w:eastAsia="Malgun Gothic"/>
          <w:bCs/>
          <w:lang w:val="fr-FR"/>
        </w:rPr>
        <w:t xml:space="preserve"> </w:t>
      </w:r>
      <w:r w:rsidR="00DE0198">
        <w:rPr>
          <w:rFonts w:eastAsia="Malgun Gothic"/>
          <w:bCs/>
          <w:lang w:val="fr-FR"/>
        </w:rPr>
        <w:t xml:space="preserve">la </w:t>
      </w:r>
      <w:r w:rsidRPr="0070609C">
        <w:rPr>
          <w:rFonts w:eastAsia="Malgun Gothic"/>
          <w:bCs/>
          <w:lang w:val="fr-FR"/>
        </w:rPr>
        <w:t xml:space="preserve">commercialisation et </w:t>
      </w:r>
      <w:r w:rsidR="00DE0198">
        <w:rPr>
          <w:rFonts w:eastAsia="Malgun Gothic"/>
          <w:bCs/>
          <w:lang w:val="fr-FR"/>
        </w:rPr>
        <w:t xml:space="preserve">la </w:t>
      </w:r>
      <w:r w:rsidRPr="0070609C">
        <w:rPr>
          <w:rFonts w:eastAsia="Malgun Gothic"/>
          <w:bCs/>
          <w:lang w:val="fr-FR"/>
        </w:rPr>
        <w:t>commercialisation excessive de l</w:t>
      </w:r>
      <w:r w:rsidR="00923E72">
        <w:rPr>
          <w:rFonts w:eastAsia="Malgun Gothic"/>
          <w:bCs/>
          <w:lang w:val="fr-FR"/>
        </w:rPr>
        <w:t>’</w:t>
      </w:r>
      <w:r w:rsidRPr="0070609C">
        <w:rPr>
          <w:rFonts w:eastAsia="Malgun Gothic"/>
          <w:bCs/>
          <w:lang w:val="fr-FR"/>
        </w:rPr>
        <w:t>élément.</w:t>
      </w:r>
    </w:p>
    <w:p w14:paraId="2F2EE59A" w14:textId="7920CEE8" w:rsidR="00DE0198" w:rsidRDefault="00DE019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E0198">
        <w:rPr>
          <w:rFonts w:eastAsia="Malgun Gothic"/>
          <w:bCs/>
          <w:lang w:val="fr-FR"/>
        </w:rPr>
        <w:t xml:space="preserve">La délégation du </w:t>
      </w:r>
      <w:r w:rsidRPr="00702497">
        <w:rPr>
          <w:rFonts w:eastAsia="Malgun Gothic"/>
          <w:b/>
          <w:lang w:val="fr-FR"/>
        </w:rPr>
        <w:t>Maroc</w:t>
      </w:r>
      <w:r w:rsidRPr="00DE0198">
        <w:rPr>
          <w:rFonts w:eastAsia="Malgun Gothic"/>
          <w:bCs/>
          <w:lang w:val="fr-FR"/>
        </w:rPr>
        <w:t xml:space="preserve"> a remercié l</w:t>
      </w:r>
      <w:r w:rsidR="00923E72">
        <w:rPr>
          <w:rFonts w:eastAsia="Malgun Gothic"/>
          <w:bCs/>
          <w:lang w:val="fr-FR"/>
        </w:rPr>
        <w:t>’</w:t>
      </w:r>
      <w:r w:rsidRPr="00DE0198">
        <w:rPr>
          <w:rFonts w:eastAsia="Malgun Gothic"/>
          <w:bCs/>
          <w:lang w:val="fr-FR"/>
        </w:rPr>
        <w:t>Organe d</w:t>
      </w:r>
      <w:r w:rsidR="00923E72">
        <w:rPr>
          <w:rFonts w:eastAsia="Malgun Gothic"/>
          <w:bCs/>
          <w:lang w:val="fr-FR"/>
        </w:rPr>
        <w:t>’</w:t>
      </w:r>
      <w:r w:rsidRPr="00DE0198">
        <w:rPr>
          <w:rFonts w:eastAsia="Malgun Gothic"/>
          <w:bCs/>
          <w:lang w:val="fr-FR"/>
        </w:rPr>
        <w:t>évaluation pour la qualité de son rapport clair et complet, et a félicité le Secrétariat pour son travail à cet égard. Elle a souligné l</w:t>
      </w:r>
      <w:r w:rsidR="00923E72">
        <w:rPr>
          <w:rFonts w:eastAsia="Malgun Gothic"/>
          <w:bCs/>
          <w:lang w:val="fr-FR"/>
        </w:rPr>
        <w:t>’</w:t>
      </w:r>
      <w:r w:rsidRPr="00DE0198">
        <w:rPr>
          <w:rFonts w:eastAsia="Malgun Gothic"/>
          <w:bCs/>
          <w:lang w:val="fr-FR"/>
        </w:rPr>
        <w:t>importance du processus de dialogue entre les États soumissionnaires et l</w:t>
      </w:r>
      <w:r w:rsidR="00923E72">
        <w:rPr>
          <w:rFonts w:eastAsia="Malgun Gothic"/>
          <w:bCs/>
          <w:lang w:val="fr-FR"/>
        </w:rPr>
        <w:t>’</w:t>
      </w:r>
      <w:r w:rsidRPr="00DE0198">
        <w:rPr>
          <w:rFonts w:eastAsia="Malgun Gothic"/>
          <w:bCs/>
          <w:lang w:val="fr-FR"/>
        </w:rPr>
        <w:t>Organe d</w:t>
      </w:r>
      <w:r w:rsidR="00923E72">
        <w:rPr>
          <w:rFonts w:eastAsia="Malgun Gothic"/>
          <w:bCs/>
          <w:lang w:val="fr-FR"/>
        </w:rPr>
        <w:t>’</w:t>
      </w:r>
      <w:r w:rsidRPr="00DE0198">
        <w:rPr>
          <w:rFonts w:eastAsia="Malgun Gothic"/>
          <w:bCs/>
          <w:lang w:val="fr-FR"/>
        </w:rPr>
        <w:t xml:space="preserve">évaluation, qui avait été utilisé dans onze cas au cours de ce cycle. Cependant, de nombreux États parties qui avaient soumis des dossiers de candidature avaient </w:t>
      </w:r>
      <w:r w:rsidR="0098208D">
        <w:rPr>
          <w:rFonts w:eastAsia="Malgun Gothic"/>
          <w:bCs/>
          <w:lang w:val="fr-FR"/>
        </w:rPr>
        <w:t xml:space="preserve">déclaré ne pas avoir </w:t>
      </w:r>
      <w:r w:rsidRPr="00DE0198">
        <w:rPr>
          <w:rFonts w:eastAsia="Malgun Gothic"/>
          <w:bCs/>
          <w:lang w:val="fr-FR"/>
        </w:rPr>
        <w:t xml:space="preserve">bénéficié de ce mécanisme pour transmettre des informations et des éclaircissements, et ainsi faire les ajustements nécessaires à leur dossier. </w:t>
      </w:r>
      <w:r w:rsidR="006821BC">
        <w:rPr>
          <w:rFonts w:eastAsia="Malgun Gothic"/>
          <w:bCs/>
          <w:lang w:val="fr-FR"/>
        </w:rPr>
        <w:t xml:space="preserve">Pour cette raison, </w:t>
      </w:r>
      <w:r w:rsidRPr="00DE0198">
        <w:rPr>
          <w:rFonts w:eastAsia="Malgun Gothic"/>
          <w:bCs/>
          <w:lang w:val="fr-FR"/>
        </w:rPr>
        <w:t>la délégation demandait que le processus de dialogue soit étendu à tous les dossiers à l</w:t>
      </w:r>
      <w:r w:rsidR="00923E72">
        <w:rPr>
          <w:rFonts w:eastAsia="Malgun Gothic"/>
          <w:bCs/>
          <w:lang w:val="fr-FR"/>
        </w:rPr>
        <w:t>’</w:t>
      </w:r>
      <w:r w:rsidRPr="00DE0198">
        <w:rPr>
          <w:rFonts w:eastAsia="Malgun Gothic"/>
          <w:bCs/>
          <w:lang w:val="fr-FR"/>
        </w:rPr>
        <w:t xml:space="preserve">avenir </w:t>
      </w:r>
      <w:r w:rsidR="0098208D" w:rsidRPr="00702497">
        <w:rPr>
          <w:rFonts w:eastAsia="Malgun Gothic"/>
          <w:bCs/>
          <w:lang w:val="fr-FR"/>
        </w:rPr>
        <w:t xml:space="preserve">et que les mesures nécessaires soient prises pour </w:t>
      </w:r>
      <w:r w:rsidRPr="00DE0198">
        <w:rPr>
          <w:rFonts w:eastAsia="Malgun Gothic"/>
          <w:bCs/>
          <w:lang w:val="fr-FR"/>
        </w:rPr>
        <w:t>surmonter les contraintes techniques ou budgétaires. Pour cette raison, et bien d</w:t>
      </w:r>
      <w:r w:rsidR="00923E72">
        <w:rPr>
          <w:rFonts w:eastAsia="Malgun Gothic"/>
          <w:bCs/>
          <w:lang w:val="fr-FR"/>
        </w:rPr>
        <w:t>’</w:t>
      </w:r>
      <w:r w:rsidRPr="00DE0198">
        <w:rPr>
          <w:rFonts w:eastAsia="Malgun Gothic"/>
          <w:bCs/>
          <w:lang w:val="fr-FR"/>
        </w:rPr>
        <w:t>autres, elle ne voyait pas d</w:t>
      </w:r>
      <w:r w:rsidR="00923E72">
        <w:rPr>
          <w:rFonts w:eastAsia="Malgun Gothic"/>
          <w:bCs/>
          <w:lang w:val="fr-FR"/>
        </w:rPr>
        <w:t>’</w:t>
      </w:r>
      <w:r w:rsidRPr="00DE0198">
        <w:rPr>
          <w:rFonts w:eastAsia="Malgun Gothic"/>
          <w:bCs/>
          <w:lang w:val="fr-FR"/>
        </w:rPr>
        <w:t>inconvénient à ce que le Comité ouvre le débat sur les dossiers de candidature si les États soumissionnaires en faisaient la demande. Cela permettrait à l</w:t>
      </w:r>
      <w:r w:rsidR="00923E72">
        <w:rPr>
          <w:rFonts w:eastAsia="Malgun Gothic"/>
          <w:bCs/>
          <w:lang w:val="fr-FR"/>
        </w:rPr>
        <w:t>’</w:t>
      </w:r>
      <w:r w:rsidRPr="00DE0198">
        <w:rPr>
          <w:rFonts w:eastAsia="Malgun Gothic"/>
          <w:bCs/>
          <w:lang w:val="fr-FR"/>
        </w:rPr>
        <w:t xml:space="preserve">État soumissionnaire de répondre aux remarques et observations de </w:t>
      </w:r>
      <w:r w:rsidRPr="00DE0198">
        <w:rPr>
          <w:rFonts w:eastAsia="Malgun Gothic"/>
          <w:bCs/>
          <w:lang w:val="fr-FR"/>
        </w:rPr>
        <w:lastRenderedPageBreak/>
        <w:t>l</w:t>
      </w:r>
      <w:r w:rsidR="00923E72">
        <w:rPr>
          <w:rFonts w:eastAsia="Malgun Gothic"/>
          <w:bCs/>
          <w:lang w:val="fr-FR"/>
        </w:rPr>
        <w:t>’</w:t>
      </w:r>
      <w:r w:rsidRPr="00DE0198">
        <w:rPr>
          <w:rFonts w:eastAsia="Malgun Gothic"/>
          <w:bCs/>
          <w:lang w:val="fr-FR"/>
        </w:rPr>
        <w:t>Organe d</w:t>
      </w:r>
      <w:r w:rsidR="00923E72">
        <w:rPr>
          <w:rFonts w:eastAsia="Malgun Gothic"/>
          <w:bCs/>
          <w:lang w:val="fr-FR"/>
        </w:rPr>
        <w:t>’</w:t>
      </w:r>
      <w:r w:rsidRPr="00DE0198">
        <w:rPr>
          <w:rFonts w:eastAsia="Malgun Gothic"/>
          <w:bCs/>
          <w:lang w:val="fr-FR"/>
        </w:rPr>
        <w:t>évaluation. Ce débat ne remettait nullement en cause le travail ou les conclusions de l</w:t>
      </w:r>
      <w:r w:rsidR="00923E72">
        <w:rPr>
          <w:rFonts w:eastAsia="Malgun Gothic"/>
          <w:bCs/>
          <w:lang w:val="fr-FR"/>
        </w:rPr>
        <w:t>’</w:t>
      </w:r>
      <w:r w:rsidRPr="00DE0198">
        <w:rPr>
          <w:rFonts w:eastAsia="Malgun Gothic"/>
          <w:bCs/>
          <w:lang w:val="fr-FR"/>
        </w:rPr>
        <w:t>Organe d</w:t>
      </w:r>
      <w:r w:rsidR="00923E72">
        <w:rPr>
          <w:rFonts w:eastAsia="Malgun Gothic"/>
          <w:bCs/>
          <w:lang w:val="fr-FR"/>
        </w:rPr>
        <w:t>’</w:t>
      </w:r>
      <w:r w:rsidRPr="00DE0198">
        <w:rPr>
          <w:rFonts w:eastAsia="Malgun Gothic"/>
          <w:bCs/>
          <w:lang w:val="fr-FR"/>
        </w:rPr>
        <w:t>évaluation. Il permettait simplement un processus démocratique et équitable en confirmant la souveraineté du Comité et de ses décisions. La délégation croyait également que l</w:t>
      </w:r>
      <w:r w:rsidR="00923E72">
        <w:rPr>
          <w:rFonts w:eastAsia="Malgun Gothic"/>
          <w:bCs/>
          <w:lang w:val="fr-FR"/>
        </w:rPr>
        <w:t>’</w:t>
      </w:r>
      <w:r w:rsidRPr="00DE0198">
        <w:rPr>
          <w:rFonts w:eastAsia="Malgun Gothic"/>
          <w:bCs/>
          <w:lang w:val="fr-FR"/>
        </w:rPr>
        <w:t>esprit de la Convention de</w:t>
      </w:r>
      <w:r w:rsidR="006773EF">
        <w:rPr>
          <w:rFonts w:eastAsia="Malgun Gothic"/>
          <w:bCs/>
          <w:lang w:val="fr-FR"/>
        </w:rPr>
        <w:t> </w:t>
      </w:r>
      <w:r w:rsidRPr="00DE0198">
        <w:rPr>
          <w:rFonts w:eastAsia="Malgun Gothic"/>
          <w:bCs/>
          <w:lang w:val="fr-FR"/>
        </w:rPr>
        <w:t>2003 était différent de celui de la Convention de</w:t>
      </w:r>
      <w:r w:rsidR="006773EF">
        <w:rPr>
          <w:rFonts w:eastAsia="Malgun Gothic"/>
          <w:bCs/>
          <w:lang w:val="fr-FR"/>
        </w:rPr>
        <w:t> </w:t>
      </w:r>
      <w:r w:rsidRPr="00DE0198">
        <w:rPr>
          <w:rFonts w:eastAsia="Malgun Gothic"/>
          <w:bCs/>
          <w:lang w:val="fr-FR"/>
        </w:rPr>
        <w:t>1972</w:t>
      </w:r>
      <w:r w:rsidR="008C06EF">
        <w:rPr>
          <w:rFonts w:eastAsia="Malgun Gothic"/>
          <w:bCs/>
          <w:lang w:val="fr-FR"/>
        </w:rPr>
        <w:t xml:space="preserve">, </w:t>
      </w:r>
      <w:r w:rsidRPr="00DE0198">
        <w:rPr>
          <w:rFonts w:eastAsia="Malgun Gothic"/>
          <w:bCs/>
          <w:lang w:val="fr-FR"/>
        </w:rPr>
        <w:t>l</w:t>
      </w:r>
      <w:r w:rsidR="00923E72">
        <w:rPr>
          <w:rFonts w:eastAsia="Malgun Gothic"/>
          <w:bCs/>
          <w:lang w:val="fr-FR"/>
        </w:rPr>
        <w:t>’</w:t>
      </w:r>
      <w:r w:rsidRPr="00DE0198">
        <w:rPr>
          <w:rFonts w:eastAsia="Malgun Gothic"/>
          <w:bCs/>
          <w:lang w:val="fr-FR"/>
        </w:rPr>
        <w:t>objectif de la Convention de</w:t>
      </w:r>
      <w:r w:rsidR="006773EF">
        <w:rPr>
          <w:rFonts w:eastAsia="Malgun Gothic"/>
          <w:bCs/>
          <w:lang w:val="fr-FR"/>
        </w:rPr>
        <w:t> </w:t>
      </w:r>
      <w:r w:rsidRPr="00DE0198">
        <w:rPr>
          <w:rFonts w:eastAsia="Malgun Gothic"/>
          <w:bCs/>
          <w:lang w:val="fr-FR"/>
        </w:rPr>
        <w:t>2003 étant d</w:t>
      </w:r>
      <w:r w:rsidR="00923E72">
        <w:rPr>
          <w:rFonts w:eastAsia="Malgun Gothic"/>
          <w:bCs/>
          <w:lang w:val="fr-FR"/>
        </w:rPr>
        <w:t>’</w:t>
      </w:r>
      <w:r w:rsidRPr="00DE0198">
        <w:rPr>
          <w:rFonts w:eastAsia="Malgun Gothic"/>
          <w:bCs/>
          <w:lang w:val="fr-FR"/>
        </w:rPr>
        <w:t>encourager l</w:t>
      </w:r>
      <w:r w:rsidR="00923E72">
        <w:rPr>
          <w:rFonts w:eastAsia="Malgun Gothic"/>
          <w:bCs/>
          <w:lang w:val="fr-FR"/>
        </w:rPr>
        <w:t>’</w:t>
      </w:r>
      <w:r w:rsidRPr="00DE0198">
        <w:rPr>
          <w:rFonts w:eastAsia="Malgun Gothic"/>
          <w:bCs/>
          <w:lang w:val="fr-FR"/>
        </w:rPr>
        <w:t>inscription du patrimoine culturel immatériel aux quatre coins du monde, dans le but de parvenir à un bon équilibre géographique et à une présence équitable. Elle souhaitait voir la session de Rabat lancer une approche plus juste et plus équilibrée dans l</w:t>
      </w:r>
      <w:r w:rsidR="00923E72">
        <w:rPr>
          <w:rFonts w:eastAsia="Malgun Gothic"/>
          <w:bCs/>
          <w:lang w:val="fr-FR"/>
        </w:rPr>
        <w:t>’</w:t>
      </w:r>
      <w:r w:rsidRPr="00DE0198">
        <w:rPr>
          <w:rFonts w:eastAsia="Malgun Gothic"/>
          <w:bCs/>
          <w:lang w:val="fr-FR"/>
        </w:rPr>
        <w:t>évaluation des candidatures à la Convention de</w:t>
      </w:r>
      <w:r w:rsidR="006773EF">
        <w:rPr>
          <w:rFonts w:eastAsia="Malgun Gothic"/>
          <w:bCs/>
          <w:lang w:val="fr-FR"/>
        </w:rPr>
        <w:t> </w:t>
      </w:r>
      <w:r w:rsidRPr="00DE0198">
        <w:rPr>
          <w:rFonts w:eastAsia="Malgun Gothic"/>
          <w:bCs/>
          <w:lang w:val="fr-FR"/>
        </w:rPr>
        <w:t>2003. L</w:t>
      </w:r>
      <w:r w:rsidR="00923E72">
        <w:rPr>
          <w:rFonts w:eastAsia="Malgun Gothic"/>
          <w:bCs/>
          <w:lang w:val="fr-FR"/>
        </w:rPr>
        <w:t>’</w:t>
      </w:r>
      <w:r w:rsidRPr="00DE0198">
        <w:rPr>
          <w:rFonts w:eastAsia="Malgun Gothic"/>
          <w:bCs/>
          <w:lang w:val="fr-FR"/>
        </w:rPr>
        <w:t>accord de travail restait d</w:t>
      </w:r>
      <w:r w:rsidR="00923E72">
        <w:rPr>
          <w:rFonts w:eastAsia="Malgun Gothic"/>
          <w:bCs/>
          <w:lang w:val="fr-FR"/>
        </w:rPr>
        <w:t>’</w:t>
      </w:r>
      <w:r w:rsidRPr="00DE0198">
        <w:rPr>
          <w:rFonts w:eastAsia="Malgun Gothic"/>
          <w:bCs/>
          <w:lang w:val="fr-FR"/>
        </w:rPr>
        <w:t>actualité lors de la prise de décision, mais ne pouvait en aucun cas devenir une règle sacrée.</w:t>
      </w:r>
    </w:p>
    <w:p w14:paraId="56B26375" w14:textId="3FD8D259" w:rsidR="008C06EF" w:rsidRDefault="008C06E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C06EF">
        <w:rPr>
          <w:rFonts w:eastAsia="Malgun Gothic"/>
          <w:bCs/>
          <w:lang w:val="fr-FR"/>
        </w:rPr>
        <w:t>La délégation de l</w:t>
      </w:r>
      <w:r w:rsidR="00923E72">
        <w:rPr>
          <w:rFonts w:eastAsia="Malgun Gothic"/>
          <w:bCs/>
          <w:lang w:val="fr-FR"/>
        </w:rPr>
        <w:t>’</w:t>
      </w:r>
      <w:r w:rsidRPr="00702497">
        <w:rPr>
          <w:rFonts w:eastAsia="Malgun Gothic"/>
          <w:b/>
          <w:lang w:val="fr-FR"/>
        </w:rPr>
        <w:t>Allemagne</w:t>
      </w:r>
      <w:r w:rsidRPr="008C06EF">
        <w:rPr>
          <w:rFonts w:eastAsia="Malgun Gothic"/>
          <w:bCs/>
          <w:lang w:val="fr-FR"/>
        </w:rPr>
        <w:t xml:space="preserve"> a exprimé sa gratitude à l</w:t>
      </w:r>
      <w:r w:rsidR="00923E72">
        <w:rPr>
          <w:rFonts w:eastAsia="Malgun Gothic"/>
          <w:bCs/>
          <w:lang w:val="fr-FR"/>
        </w:rPr>
        <w:t>’</w:t>
      </w:r>
      <w:r w:rsidRPr="008C06EF">
        <w:rPr>
          <w:rFonts w:eastAsia="Malgun Gothic"/>
          <w:bCs/>
          <w:lang w:val="fr-FR"/>
        </w:rPr>
        <w:t>Organe d</w:t>
      </w:r>
      <w:r w:rsidR="00923E72">
        <w:rPr>
          <w:rFonts w:eastAsia="Malgun Gothic"/>
          <w:bCs/>
          <w:lang w:val="fr-FR"/>
        </w:rPr>
        <w:t>’</w:t>
      </w:r>
      <w:r w:rsidRPr="008C06EF">
        <w:rPr>
          <w:rFonts w:eastAsia="Malgun Gothic"/>
          <w:bCs/>
          <w:lang w:val="fr-FR"/>
        </w:rPr>
        <w:t xml:space="preserve">évaluation pour son travail précieux et approfondi. Elle </w:t>
      </w:r>
      <w:r>
        <w:rPr>
          <w:rFonts w:eastAsia="Malgun Gothic"/>
          <w:bCs/>
          <w:lang w:val="fr-FR"/>
        </w:rPr>
        <w:t>se demandait de quelle façon</w:t>
      </w:r>
      <w:r w:rsidRPr="008C06EF">
        <w:rPr>
          <w:rFonts w:eastAsia="Malgun Gothic"/>
          <w:bCs/>
          <w:lang w:val="fr-FR"/>
        </w:rPr>
        <w:t xml:space="preserve"> l</w:t>
      </w:r>
      <w:r w:rsidR="00923E72">
        <w:rPr>
          <w:rFonts w:eastAsia="Malgun Gothic"/>
          <w:bCs/>
          <w:lang w:val="fr-FR"/>
        </w:rPr>
        <w:t>’</w:t>
      </w:r>
      <w:r w:rsidRPr="008C06EF">
        <w:rPr>
          <w:rFonts w:eastAsia="Malgun Gothic"/>
          <w:bCs/>
          <w:lang w:val="fr-FR"/>
        </w:rPr>
        <w:t>Organe d</w:t>
      </w:r>
      <w:r w:rsidR="00923E72">
        <w:rPr>
          <w:rFonts w:eastAsia="Malgun Gothic"/>
          <w:bCs/>
          <w:lang w:val="fr-FR"/>
        </w:rPr>
        <w:t>’</w:t>
      </w:r>
      <w:r w:rsidRPr="008C06EF">
        <w:rPr>
          <w:rFonts w:eastAsia="Malgun Gothic"/>
          <w:bCs/>
          <w:lang w:val="fr-FR"/>
        </w:rPr>
        <w:t>évaluation p</w:t>
      </w:r>
      <w:r>
        <w:rPr>
          <w:rFonts w:eastAsia="Malgun Gothic"/>
          <w:bCs/>
          <w:lang w:val="fr-FR"/>
        </w:rPr>
        <w:t>ourrait</w:t>
      </w:r>
      <w:r w:rsidRPr="008C06EF">
        <w:rPr>
          <w:rFonts w:eastAsia="Malgun Gothic"/>
          <w:bCs/>
          <w:lang w:val="fr-FR"/>
        </w:rPr>
        <w:t xml:space="preserve"> mieux inclure les principes éthiques pour la sauvegarde du patrimoine culturel immatériel dans son travail, par exemple en ce qui concerne l</w:t>
      </w:r>
      <w:r w:rsidR="00923E72">
        <w:rPr>
          <w:rFonts w:eastAsia="Malgun Gothic"/>
          <w:bCs/>
          <w:lang w:val="fr-FR"/>
        </w:rPr>
        <w:t>’</w:t>
      </w:r>
      <w:r w:rsidRPr="008C06EF">
        <w:rPr>
          <w:rFonts w:eastAsia="Malgun Gothic"/>
          <w:bCs/>
          <w:lang w:val="fr-FR"/>
        </w:rPr>
        <w:t>égalité des genres</w:t>
      </w:r>
      <w:r>
        <w:rPr>
          <w:rFonts w:eastAsia="Malgun Gothic"/>
          <w:bCs/>
          <w:lang w:val="fr-FR"/>
        </w:rPr>
        <w:t xml:space="preserve">. </w:t>
      </w:r>
      <w:r w:rsidRPr="008C06EF">
        <w:rPr>
          <w:rFonts w:eastAsia="Malgun Gothic"/>
          <w:bCs/>
          <w:lang w:val="fr-FR"/>
        </w:rPr>
        <w:t>Par ailleurs, la délégation était convaincue qu</w:t>
      </w:r>
      <w:r w:rsidR="00923E72">
        <w:rPr>
          <w:rFonts w:eastAsia="Malgun Gothic"/>
          <w:bCs/>
          <w:lang w:val="fr-FR"/>
        </w:rPr>
        <w:t>’</w:t>
      </w:r>
      <w:r w:rsidRPr="008C06EF">
        <w:rPr>
          <w:rFonts w:eastAsia="Malgun Gothic"/>
          <w:bCs/>
          <w:lang w:val="fr-FR"/>
        </w:rPr>
        <w:t>il fallait adhérer à l</w:t>
      </w:r>
      <w:r w:rsidR="00923E72">
        <w:rPr>
          <w:rFonts w:eastAsia="Malgun Gothic"/>
          <w:bCs/>
          <w:lang w:val="fr-FR"/>
        </w:rPr>
        <w:t>’</w:t>
      </w:r>
      <w:r w:rsidRPr="008C06EF">
        <w:rPr>
          <w:rFonts w:eastAsia="Malgun Gothic"/>
          <w:bCs/>
          <w:lang w:val="fr-FR"/>
        </w:rPr>
        <w:t xml:space="preserve">accord de travail pour garantir la crédibilité de la Convention, du Comité et des </w:t>
      </w:r>
      <w:r w:rsidR="002C59CA">
        <w:rPr>
          <w:rFonts w:eastAsia="Malgun Gothic"/>
          <w:bCs/>
          <w:lang w:val="fr-FR"/>
        </w:rPr>
        <w:t>l</w:t>
      </w:r>
      <w:r w:rsidRPr="008C06EF">
        <w:rPr>
          <w:rFonts w:eastAsia="Malgun Gothic"/>
          <w:bCs/>
          <w:lang w:val="fr-FR"/>
        </w:rPr>
        <w:t>istes.</w:t>
      </w:r>
    </w:p>
    <w:p w14:paraId="40A1A518" w14:textId="067EE91A" w:rsidR="008C06EF" w:rsidRDefault="008C06E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C06EF">
        <w:rPr>
          <w:rFonts w:eastAsia="Malgun Gothic"/>
          <w:bCs/>
          <w:lang w:val="fr-FR"/>
        </w:rPr>
        <w:t xml:space="preserve">La délégation </w:t>
      </w:r>
      <w:r>
        <w:rPr>
          <w:rFonts w:eastAsia="Malgun Gothic"/>
          <w:bCs/>
          <w:lang w:val="fr-FR"/>
        </w:rPr>
        <w:t xml:space="preserve">de la </w:t>
      </w:r>
      <w:r w:rsidRPr="00702497">
        <w:rPr>
          <w:rFonts w:eastAsia="Malgun Gothic"/>
          <w:b/>
          <w:lang w:val="fr-FR"/>
        </w:rPr>
        <w:t>Slovaquie</w:t>
      </w:r>
      <w:r w:rsidRPr="008C06EF">
        <w:rPr>
          <w:rFonts w:eastAsia="Malgun Gothic"/>
          <w:bCs/>
          <w:lang w:val="fr-FR"/>
        </w:rPr>
        <w:t xml:space="preserve"> a félicité l</w:t>
      </w:r>
      <w:r w:rsidR="00923E72">
        <w:rPr>
          <w:rFonts w:eastAsia="Malgun Gothic"/>
          <w:bCs/>
          <w:lang w:val="fr-FR"/>
        </w:rPr>
        <w:t>’</w:t>
      </w:r>
      <w:r w:rsidRPr="008C06EF">
        <w:rPr>
          <w:rFonts w:eastAsia="Malgun Gothic"/>
          <w:bCs/>
          <w:lang w:val="fr-FR"/>
        </w:rPr>
        <w:t>Organe d</w:t>
      </w:r>
      <w:r w:rsidR="00923E72">
        <w:rPr>
          <w:rFonts w:eastAsia="Malgun Gothic"/>
          <w:bCs/>
          <w:lang w:val="fr-FR"/>
        </w:rPr>
        <w:t>’</w:t>
      </w:r>
      <w:r w:rsidRPr="008C06EF">
        <w:rPr>
          <w:rFonts w:eastAsia="Malgun Gothic"/>
          <w:bCs/>
          <w:lang w:val="fr-FR"/>
        </w:rPr>
        <w:t xml:space="preserve">évaluation pour la grande qualité de son travail et pour son rapport exhaustif. Elle a déclaré son </w:t>
      </w:r>
      <w:r w:rsidR="0018742C">
        <w:rPr>
          <w:rFonts w:eastAsia="Malgun Gothic"/>
          <w:bCs/>
          <w:lang w:val="fr-FR"/>
        </w:rPr>
        <w:t xml:space="preserve">engagement en faveur de </w:t>
      </w:r>
      <w:r w:rsidRPr="008C06EF">
        <w:rPr>
          <w:rFonts w:eastAsia="Malgun Gothic"/>
          <w:bCs/>
          <w:lang w:val="fr-FR"/>
        </w:rPr>
        <w:t>l</w:t>
      </w:r>
      <w:r w:rsidR="00923E72">
        <w:rPr>
          <w:rFonts w:eastAsia="Malgun Gothic"/>
          <w:bCs/>
          <w:lang w:val="fr-FR"/>
        </w:rPr>
        <w:t>’</w:t>
      </w:r>
      <w:r w:rsidRPr="008C06EF">
        <w:rPr>
          <w:rFonts w:eastAsia="Malgun Gothic"/>
          <w:bCs/>
          <w:lang w:val="fr-FR"/>
        </w:rPr>
        <w:t>accord de travail, qu</w:t>
      </w:r>
      <w:r w:rsidR="00923E72">
        <w:rPr>
          <w:rFonts w:eastAsia="Malgun Gothic"/>
          <w:bCs/>
          <w:lang w:val="fr-FR"/>
        </w:rPr>
        <w:t>’</w:t>
      </w:r>
      <w:r w:rsidRPr="008C06EF">
        <w:rPr>
          <w:rFonts w:eastAsia="Malgun Gothic"/>
          <w:bCs/>
          <w:lang w:val="fr-FR"/>
        </w:rPr>
        <w:t>elle considérait comme essentiel pour maintenir le mode de fonctionnement efficient, efficace et cohérent de ce Comité. La délégation a reconnu tous les efforts des États parties investis dans le processus de préparation et de soumission des dossiers de candidature, des propositions et des demandes d</w:t>
      </w:r>
      <w:r w:rsidR="00923E72">
        <w:rPr>
          <w:rFonts w:eastAsia="Malgun Gothic"/>
          <w:bCs/>
          <w:lang w:val="fr-FR"/>
        </w:rPr>
        <w:t>’</w:t>
      </w:r>
      <w:r w:rsidRPr="008C06EF">
        <w:rPr>
          <w:rFonts w:eastAsia="Malgun Gothic"/>
          <w:bCs/>
          <w:lang w:val="fr-FR"/>
        </w:rPr>
        <w:t xml:space="preserve">assistance internationale au cours de ce cycle. Elle a particulièrement félicité les États parties qui avaient soumis leur premier dossier de candidature, même si elle estimait que leur nombre était trop faible. La délégation était donc favorable à une action encore plus significative pour </w:t>
      </w:r>
      <w:r w:rsidR="0018742C">
        <w:rPr>
          <w:rFonts w:eastAsia="Malgun Gothic"/>
          <w:bCs/>
          <w:lang w:val="fr-FR"/>
        </w:rPr>
        <w:t>soutenir les</w:t>
      </w:r>
      <w:r w:rsidRPr="008C06EF">
        <w:rPr>
          <w:rFonts w:eastAsia="Malgun Gothic"/>
          <w:bCs/>
          <w:lang w:val="fr-FR"/>
        </w:rPr>
        <w:t xml:space="preserve"> communautés et </w:t>
      </w:r>
      <w:r w:rsidR="0018742C">
        <w:rPr>
          <w:rFonts w:eastAsia="Malgun Gothic"/>
          <w:bCs/>
          <w:lang w:val="fr-FR"/>
        </w:rPr>
        <w:t xml:space="preserve">les </w:t>
      </w:r>
      <w:r w:rsidRPr="008C06EF">
        <w:rPr>
          <w:rFonts w:eastAsia="Malgun Gothic"/>
          <w:bCs/>
          <w:lang w:val="fr-FR"/>
        </w:rPr>
        <w:t xml:space="preserve">États parties. Elle soutenait </w:t>
      </w:r>
      <w:r w:rsidR="0018742C">
        <w:rPr>
          <w:rFonts w:eastAsia="Malgun Gothic"/>
          <w:bCs/>
          <w:lang w:val="fr-FR"/>
        </w:rPr>
        <w:t xml:space="preserve">donc </w:t>
      </w:r>
      <w:r w:rsidRPr="008C06EF">
        <w:rPr>
          <w:rFonts w:eastAsia="Malgun Gothic"/>
          <w:bCs/>
          <w:lang w:val="fr-FR"/>
        </w:rPr>
        <w:t>la proposition de la Suède d</w:t>
      </w:r>
      <w:r w:rsidR="00923E72">
        <w:rPr>
          <w:rFonts w:eastAsia="Malgun Gothic"/>
          <w:bCs/>
          <w:lang w:val="fr-FR"/>
        </w:rPr>
        <w:t>’</w:t>
      </w:r>
      <w:r w:rsidRPr="008C06EF">
        <w:rPr>
          <w:rFonts w:eastAsia="Malgun Gothic"/>
          <w:bCs/>
          <w:lang w:val="fr-FR"/>
        </w:rPr>
        <w:t xml:space="preserve">ouvrir la possibilité de demander une assistance internationale </w:t>
      </w:r>
      <w:r w:rsidR="0093079A">
        <w:rPr>
          <w:rFonts w:eastAsia="Malgun Gothic"/>
          <w:bCs/>
          <w:lang w:val="fr-FR"/>
        </w:rPr>
        <w:t xml:space="preserve">à </w:t>
      </w:r>
      <w:r w:rsidRPr="008C06EF">
        <w:rPr>
          <w:rFonts w:eastAsia="Malgun Gothic"/>
          <w:bCs/>
          <w:lang w:val="fr-FR"/>
        </w:rPr>
        <w:t>la préparation des dossiers de candidature pour les États n</w:t>
      </w:r>
      <w:r w:rsidR="00923E72">
        <w:rPr>
          <w:rFonts w:eastAsia="Malgun Gothic"/>
          <w:bCs/>
          <w:lang w:val="fr-FR"/>
        </w:rPr>
        <w:t>’</w:t>
      </w:r>
      <w:r w:rsidRPr="008C06EF">
        <w:rPr>
          <w:rFonts w:eastAsia="Malgun Gothic"/>
          <w:bCs/>
          <w:lang w:val="fr-FR"/>
        </w:rPr>
        <w:t xml:space="preserve">ayant pas </w:t>
      </w:r>
      <w:r w:rsidR="0093079A">
        <w:rPr>
          <w:rFonts w:eastAsia="Malgun Gothic"/>
          <w:bCs/>
          <w:lang w:val="fr-FR"/>
        </w:rPr>
        <w:t xml:space="preserve">encore </w:t>
      </w:r>
      <w:r w:rsidRPr="008C06EF">
        <w:rPr>
          <w:rFonts w:eastAsia="Malgun Gothic"/>
          <w:bCs/>
          <w:lang w:val="fr-FR"/>
        </w:rPr>
        <w:t>d</w:t>
      </w:r>
      <w:r w:rsidR="00923E72">
        <w:rPr>
          <w:rFonts w:eastAsia="Malgun Gothic"/>
          <w:bCs/>
          <w:lang w:val="fr-FR"/>
        </w:rPr>
        <w:t>’</w:t>
      </w:r>
      <w:r w:rsidRPr="008C06EF">
        <w:rPr>
          <w:rFonts w:eastAsia="Malgun Gothic"/>
          <w:bCs/>
          <w:lang w:val="fr-FR"/>
        </w:rPr>
        <w:t>inscription sur la Liste représentative. Elle souscrivait également à l</w:t>
      </w:r>
      <w:r w:rsidR="00923E72">
        <w:rPr>
          <w:rFonts w:eastAsia="Malgun Gothic"/>
          <w:bCs/>
          <w:lang w:val="fr-FR"/>
        </w:rPr>
        <w:t>’</w:t>
      </w:r>
      <w:r w:rsidRPr="008C06EF">
        <w:rPr>
          <w:rFonts w:eastAsia="Malgun Gothic"/>
          <w:bCs/>
          <w:lang w:val="fr-FR"/>
        </w:rPr>
        <w:t>idée d</w:t>
      </w:r>
      <w:r w:rsidR="00923E72">
        <w:rPr>
          <w:rFonts w:eastAsia="Malgun Gothic"/>
          <w:bCs/>
          <w:lang w:val="fr-FR"/>
        </w:rPr>
        <w:t>’</w:t>
      </w:r>
      <w:r w:rsidRPr="008C06EF">
        <w:rPr>
          <w:rFonts w:eastAsia="Malgun Gothic"/>
          <w:bCs/>
          <w:lang w:val="fr-FR"/>
        </w:rPr>
        <w:t>autres formes de coopération, y compris au niveau bilatéral, pour accompagner les processus de candidature. À cet égard, le Groupe des amis des PEID et le Groupe des amis de l</w:t>
      </w:r>
      <w:r w:rsidR="00923E72">
        <w:rPr>
          <w:rFonts w:eastAsia="Malgun Gothic"/>
          <w:bCs/>
          <w:lang w:val="fr-FR"/>
        </w:rPr>
        <w:t>’</w:t>
      </w:r>
      <w:r w:rsidRPr="008C06EF">
        <w:rPr>
          <w:rFonts w:eastAsia="Malgun Gothic"/>
          <w:bCs/>
          <w:lang w:val="fr-FR"/>
        </w:rPr>
        <w:t>Afrique, récemment créés par l</w:t>
      </w:r>
      <w:r w:rsidR="00923E72">
        <w:rPr>
          <w:rFonts w:eastAsia="Malgun Gothic"/>
          <w:bCs/>
          <w:lang w:val="fr-FR"/>
        </w:rPr>
        <w:t>’</w:t>
      </w:r>
      <w:r w:rsidRPr="008C06EF">
        <w:rPr>
          <w:rFonts w:eastAsia="Malgun Gothic"/>
          <w:bCs/>
          <w:lang w:val="fr-FR"/>
        </w:rPr>
        <w:t>UNESCO, étaient des initiatives utiles</w:t>
      </w:r>
      <w:r w:rsidR="00006642">
        <w:rPr>
          <w:rFonts w:eastAsia="Malgun Gothic"/>
          <w:bCs/>
          <w:lang w:val="fr-FR"/>
        </w:rPr>
        <w:t>,</w:t>
      </w:r>
      <w:r w:rsidRPr="008C06EF">
        <w:rPr>
          <w:rFonts w:eastAsia="Malgun Gothic"/>
          <w:bCs/>
          <w:lang w:val="fr-FR"/>
        </w:rPr>
        <w:t xml:space="preserve"> car ils pouvaient servir de plateformes pour faciliter des formes concrètes de coopération et d</w:t>
      </w:r>
      <w:r w:rsidR="00923E72">
        <w:rPr>
          <w:rFonts w:eastAsia="Malgun Gothic"/>
          <w:bCs/>
          <w:lang w:val="fr-FR"/>
        </w:rPr>
        <w:t>’</w:t>
      </w:r>
      <w:r w:rsidRPr="008C06EF">
        <w:rPr>
          <w:rFonts w:eastAsia="Malgun Gothic"/>
          <w:bCs/>
          <w:lang w:val="fr-FR"/>
        </w:rPr>
        <w:t xml:space="preserve">assistance entre les États membres. La Slovaquie était prête à jouer un rôle actif. </w:t>
      </w:r>
      <w:r w:rsidR="0018742C">
        <w:rPr>
          <w:rFonts w:eastAsia="Malgun Gothic"/>
          <w:bCs/>
          <w:lang w:val="fr-FR"/>
        </w:rPr>
        <w:t>Par ailleurs, l</w:t>
      </w:r>
      <w:r w:rsidRPr="008C06EF">
        <w:rPr>
          <w:rFonts w:eastAsia="Malgun Gothic"/>
          <w:bCs/>
          <w:lang w:val="fr-FR"/>
        </w:rPr>
        <w:t>a recommandation de renvoyer un élément ne constituait en aucun cas un jugement sur les mérites de l</w:t>
      </w:r>
      <w:r w:rsidR="00923E72">
        <w:rPr>
          <w:rFonts w:eastAsia="Malgun Gothic"/>
          <w:bCs/>
          <w:lang w:val="fr-FR"/>
        </w:rPr>
        <w:t>’</w:t>
      </w:r>
      <w:r w:rsidRPr="008C06EF">
        <w:rPr>
          <w:rFonts w:eastAsia="Malgun Gothic"/>
          <w:bCs/>
          <w:lang w:val="fr-FR"/>
        </w:rPr>
        <w:t>élément lui</w:t>
      </w:r>
      <w:r w:rsidR="00F47148">
        <w:rPr>
          <w:rFonts w:eastAsia="Malgun Gothic"/>
          <w:bCs/>
          <w:lang w:val="fr-FR"/>
        </w:rPr>
        <w:noBreakHyphen/>
      </w:r>
      <w:r w:rsidRPr="008C06EF">
        <w:rPr>
          <w:rFonts w:eastAsia="Malgun Gothic"/>
          <w:bCs/>
          <w:lang w:val="fr-FR"/>
        </w:rPr>
        <w:t>même. Un renvoi donnait l</w:t>
      </w:r>
      <w:r w:rsidR="00923E72">
        <w:rPr>
          <w:rFonts w:eastAsia="Malgun Gothic"/>
          <w:bCs/>
          <w:lang w:val="fr-FR"/>
        </w:rPr>
        <w:t>’</w:t>
      </w:r>
      <w:r w:rsidRPr="008C06EF">
        <w:rPr>
          <w:rFonts w:eastAsia="Malgun Gothic"/>
          <w:bCs/>
          <w:lang w:val="fr-FR"/>
        </w:rPr>
        <w:t>occasion à l</w:t>
      </w:r>
      <w:r w:rsidR="00923E72">
        <w:rPr>
          <w:rFonts w:eastAsia="Malgun Gothic"/>
          <w:bCs/>
          <w:lang w:val="fr-FR"/>
        </w:rPr>
        <w:t>’</w:t>
      </w:r>
      <w:r w:rsidRPr="008C06EF">
        <w:rPr>
          <w:rFonts w:eastAsia="Malgun Gothic"/>
          <w:bCs/>
          <w:lang w:val="fr-FR"/>
        </w:rPr>
        <w:t>État soumissionnaire d</w:t>
      </w:r>
      <w:r w:rsidR="00923E72">
        <w:rPr>
          <w:rFonts w:eastAsia="Malgun Gothic"/>
          <w:bCs/>
          <w:lang w:val="fr-FR"/>
        </w:rPr>
        <w:t>’</w:t>
      </w:r>
      <w:r w:rsidRPr="008C06EF">
        <w:rPr>
          <w:rFonts w:eastAsia="Malgun Gothic"/>
          <w:bCs/>
          <w:lang w:val="fr-FR"/>
        </w:rPr>
        <w:t>améliorer la description de l</w:t>
      </w:r>
      <w:r w:rsidR="00923E72">
        <w:rPr>
          <w:rFonts w:eastAsia="Malgun Gothic"/>
          <w:bCs/>
          <w:lang w:val="fr-FR"/>
        </w:rPr>
        <w:t>’</w:t>
      </w:r>
      <w:r w:rsidRPr="008C06EF">
        <w:rPr>
          <w:rFonts w:eastAsia="Malgun Gothic"/>
          <w:bCs/>
          <w:lang w:val="fr-FR"/>
        </w:rPr>
        <w:t>élément et les mesures de sauvegarde associées, d</w:t>
      </w:r>
      <w:r w:rsidR="00923E72">
        <w:rPr>
          <w:rFonts w:eastAsia="Malgun Gothic"/>
          <w:bCs/>
          <w:lang w:val="fr-FR"/>
        </w:rPr>
        <w:t>’</w:t>
      </w:r>
      <w:r w:rsidRPr="008C06EF">
        <w:rPr>
          <w:rFonts w:eastAsia="Malgun Gothic"/>
          <w:bCs/>
          <w:lang w:val="fr-FR"/>
        </w:rPr>
        <w:t>assurer la participation la plus forte des communautés, etc. C</w:t>
      </w:r>
      <w:r w:rsidR="00923E72">
        <w:rPr>
          <w:rFonts w:eastAsia="Malgun Gothic"/>
          <w:bCs/>
          <w:lang w:val="fr-FR"/>
        </w:rPr>
        <w:t>’</w:t>
      </w:r>
      <w:r w:rsidRPr="008C06EF">
        <w:rPr>
          <w:rFonts w:eastAsia="Malgun Gothic"/>
          <w:bCs/>
          <w:lang w:val="fr-FR"/>
        </w:rPr>
        <w:t>était l</w:t>
      </w:r>
      <w:r w:rsidR="00923E72">
        <w:rPr>
          <w:rFonts w:eastAsia="Malgun Gothic"/>
          <w:bCs/>
          <w:lang w:val="fr-FR"/>
        </w:rPr>
        <w:t>’</w:t>
      </w:r>
      <w:r w:rsidRPr="008C06EF">
        <w:rPr>
          <w:rFonts w:eastAsia="Malgun Gothic"/>
          <w:bCs/>
          <w:lang w:val="fr-FR"/>
        </w:rPr>
        <w:t>occasion de présenter les précieux éléments du patrimoine culturel immatériel sur la page web de la Convention et sur les outils numériques en ligne liés à la sensibilisation à la Convention. De plus, la description améliorée pouvait servir de référence pour les dossiers à venir. Les dossiers de candidature étaient un outil important pour la promotion et la présentation des éléments du patrimoine immatériel à tous les niveaux</w:t>
      </w:r>
      <w:r w:rsidR="0018742C">
        <w:rPr>
          <w:rFonts w:eastAsia="Malgun Gothic"/>
          <w:bCs/>
          <w:lang w:val="fr-FR"/>
        </w:rPr>
        <w:t>,</w:t>
      </w:r>
      <w:r w:rsidRPr="008C06EF">
        <w:rPr>
          <w:rFonts w:eastAsia="Malgun Gothic"/>
          <w:bCs/>
          <w:lang w:val="fr-FR"/>
        </w:rPr>
        <w:t xml:space="preserve"> et il était donc important qu</w:t>
      </w:r>
      <w:r w:rsidR="00923E72">
        <w:rPr>
          <w:rFonts w:eastAsia="Malgun Gothic"/>
          <w:bCs/>
          <w:lang w:val="fr-FR"/>
        </w:rPr>
        <w:t>’</w:t>
      </w:r>
      <w:r w:rsidRPr="008C06EF">
        <w:rPr>
          <w:rFonts w:eastAsia="Malgun Gothic"/>
          <w:bCs/>
          <w:lang w:val="fr-FR"/>
        </w:rPr>
        <w:t>ils soient rédigés de manière claire et compréhensible. La délégation a constaté avec satisfaction que le processus de dialogue avait été utilisé avec succès au cours des trois dernières années et que la tendance était à la hausse. Malgré le temps, les efforts et la grande implication personnelle des acteurs concernés, l</w:t>
      </w:r>
      <w:r w:rsidR="00923E72">
        <w:rPr>
          <w:rFonts w:eastAsia="Malgun Gothic"/>
          <w:bCs/>
          <w:lang w:val="fr-FR"/>
        </w:rPr>
        <w:t>’</w:t>
      </w:r>
      <w:r w:rsidRPr="008C06EF">
        <w:rPr>
          <w:rFonts w:eastAsia="Malgun Gothic"/>
          <w:bCs/>
          <w:lang w:val="fr-FR"/>
        </w:rPr>
        <w:t>Organe posait chaque année davantage de questions. Il y avait eu onze questions en</w:t>
      </w:r>
      <w:r w:rsidR="00AF6B98">
        <w:rPr>
          <w:rFonts w:eastAsia="Malgun Gothic"/>
          <w:bCs/>
          <w:lang w:val="fr-FR"/>
        </w:rPr>
        <w:t> </w:t>
      </w:r>
      <w:r w:rsidRPr="008C06EF">
        <w:rPr>
          <w:rFonts w:eastAsia="Malgun Gothic"/>
          <w:bCs/>
          <w:lang w:val="fr-FR"/>
        </w:rPr>
        <w:t>2020, vingt</w:t>
      </w:r>
      <w:r w:rsidR="0093079A">
        <w:rPr>
          <w:rFonts w:eastAsia="Malgun Gothic"/>
          <w:bCs/>
          <w:lang w:val="fr-FR"/>
        </w:rPr>
        <w:noBreakHyphen/>
      </w:r>
      <w:r w:rsidRPr="008C06EF">
        <w:rPr>
          <w:rFonts w:eastAsia="Malgun Gothic"/>
          <w:bCs/>
          <w:lang w:val="fr-FR"/>
        </w:rPr>
        <w:t>deux en</w:t>
      </w:r>
      <w:r w:rsidR="00AF6B98">
        <w:rPr>
          <w:rFonts w:eastAsia="Malgun Gothic"/>
          <w:bCs/>
          <w:lang w:val="fr-FR"/>
        </w:rPr>
        <w:t> </w:t>
      </w:r>
      <w:r w:rsidRPr="008C06EF">
        <w:rPr>
          <w:rFonts w:eastAsia="Malgun Gothic"/>
          <w:bCs/>
          <w:lang w:val="fr-FR"/>
        </w:rPr>
        <w:t>2021 et vingt</w:t>
      </w:r>
      <w:r w:rsidR="0093079A">
        <w:rPr>
          <w:rFonts w:eastAsia="Malgun Gothic"/>
          <w:bCs/>
          <w:lang w:val="fr-FR"/>
        </w:rPr>
        <w:noBreakHyphen/>
      </w:r>
      <w:r w:rsidRPr="008C06EF">
        <w:rPr>
          <w:rFonts w:eastAsia="Malgun Gothic"/>
          <w:bCs/>
          <w:lang w:val="fr-FR"/>
        </w:rPr>
        <w:t>cinq en</w:t>
      </w:r>
      <w:r w:rsidR="00AF6B98">
        <w:rPr>
          <w:rFonts w:eastAsia="Malgun Gothic"/>
          <w:bCs/>
          <w:lang w:val="fr-FR"/>
        </w:rPr>
        <w:t> </w:t>
      </w:r>
      <w:r w:rsidRPr="008C06EF">
        <w:rPr>
          <w:rFonts w:eastAsia="Malgun Gothic"/>
          <w:bCs/>
          <w:lang w:val="fr-FR"/>
        </w:rPr>
        <w:t>2022. Il existait un lien évident entre le processus de dialogue et le pourcentage élevé de recommandations positives, ce qui amenait à se poser la question de la capacité à accroître l</w:t>
      </w:r>
      <w:r w:rsidR="00923E72">
        <w:rPr>
          <w:rFonts w:eastAsia="Malgun Gothic"/>
          <w:bCs/>
          <w:lang w:val="fr-FR"/>
        </w:rPr>
        <w:t>’</w:t>
      </w:r>
      <w:r w:rsidRPr="008C06EF">
        <w:rPr>
          <w:rFonts w:eastAsia="Malgun Gothic"/>
          <w:bCs/>
          <w:lang w:val="fr-FR"/>
        </w:rPr>
        <w:t>utilisation du processus de dialogue.</w:t>
      </w:r>
    </w:p>
    <w:p w14:paraId="514801B1" w14:textId="6647EA0D" w:rsidR="0018742C" w:rsidRDefault="0070338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03386">
        <w:rPr>
          <w:rFonts w:eastAsia="Malgun Gothic"/>
          <w:bCs/>
          <w:lang w:val="fr-FR"/>
        </w:rPr>
        <w:t xml:space="preserve">La délégation de la </w:t>
      </w:r>
      <w:r w:rsidRPr="00702497">
        <w:rPr>
          <w:rFonts w:eastAsia="Malgun Gothic"/>
          <w:b/>
          <w:lang w:val="fr-FR"/>
        </w:rPr>
        <w:t>Suède</w:t>
      </w:r>
      <w:r w:rsidRPr="00703386">
        <w:rPr>
          <w:rFonts w:eastAsia="Malgun Gothic"/>
          <w:bCs/>
          <w:lang w:val="fr-FR"/>
        </w:rPr>
        <w:t xml:space="preserve"> a remercié l</w:t>
      </w:r>
      <w:r w:rsidR="00923E72">
        <w:rPr>
          <w:rFonts w:eastAsia="Malgun Gothic"/>
          <w:bCs/>
          <w:lang w:val="fr-FR"/>
        </w:rPr>
        <w:t>’</w:t>
      </w:r>
      <w:r w:rsidRPr="00703386">
        <w:rPr>
          <w:rFonts w:eastAsia="Malgun Gothic"/>
          <w:bCs/>
          <w:lang w:val="fr-FR"/>
        </w:rPr>
        <w:t>Organe d</w:t>
      </w:r>
      <w:r w:rsidR="00923E72">
        <w:rPr>
          <w:rFonts w:eastAsia="Malgun Gothic"/>
          <w:bCs/>
          <w:lang w:val="fr-FR"/>
        </w:rPr>
        <w:t>’</w:t>
      </w:r>
      <w:r w:rsidRPr="00703386">
        <w:rPr>
          <w:rFonts w:eastAsia="Malgun Gothic"/>
          <w:bCs/>
          <w:lang w:val="fr-FR"/>
        </w:rPr>
        <w:t>évaluation pour son excellent rapport et pour sa lecture attentive des dossiers. Elle a également souligné l</w:t>
      </w:r>
      <w:r w:rsidR="00923E72">
        <w:rPr>
          <w:rFonts w:eastAsia="Malgun Gothic"/>
          <w:bCs/>
          <w:lang w:val="fr-FR"/>
        </w:rPr>
        <w:t>’</w:t>
      </w:r>
      <w:r w:rsidRPr="00703386">
        <w:rPr>
          <w:rFonts w:eastAsia="Malgun Gothic"/>
          <w:bCs/>
          <w:lang w:val="fr-FR"/>
        </w:rPr>
        <w:t>importance de respecter l</w:t>
      </w:r>
      <w:r w:rsidR="00923E72">
        <w:rPr>
          <w:rFonts w:eastAsia="Malgun Gothic"/>
          <w:bCs/>
          <w:lang w:val="fr-FR"/>
        </w:rPr>
        <w:t>’</w:t>
      </w:r>
      <w:r w:rsidRPr="00703386">
        <w:rPr>
          <w:rFonts w:eastAsia="Malgun Gothic"/>
          <w:bCs/>
          <w:lang w:val="fr-FR"/>
        </w:rPr>
        <w:t>expertise de l</w:t>
      </w:r>
      <w:r w:rsidR="00923E72">
        <w:rPr>
          <w:rFonts w:eastAsia="Malgun Gothic"/>
          <w:bCs/>
          <w:lang w:val="fr-FR"/>
        </w:rPr>
        <w:t>’</w:t>
      </w:r>
      <w:r w:rsidRPr="00703386">
        <w:rPr>
          <w:rFonts w:eastAsia="Malgun Gothic"/>
          <w:bCs/>
          <w:lang w:val="fr-FR"/>
        </w:rPr>
        <w:t>Organe d</w:t>
      </w:r>
      <w:r w:rsidR="00923E72">
        <w:rPr>
          <w:rFonts w:eastAsia="Malgun Gothic"/>
          <w:bCs/>
          <w:lang w:val="fr-FR"/>
        </w:rPr>
        <w:t>’</w:t>
      </w:r>
      <w:r w:rsidRPr="00703386">
        <w:rPr>
          <w:rFonts w:eastAsia="Malgun Gothic"/>
          <w:bCs/>
          <w:lang w:val="fr-FR"/>
        </w:rPr>
        <w:t>évaluation et les observations et recommandations formulées dans son rapport. La Suède s</w:t>
      </w:r>
      <w:r w:rsidR="00923E72">
        <w:rPr>
          <w:rFonts w:eastAsia="Malgun Gothic"/>
          <w:bCs/>
          <w:lang w:val="fr-FR"/>
        </w:rPr>
        <w:t>’</w:t>
      </w:r>
      <w:r w:rsidRPr="00703386">
        <w:rPr>
          <w:rFonts w:eastAsia="Malgun Gothic"/>
          <w:bCs/>
          <w:lang w:val="fr-FR"/>
        </w:rPr>
        <w:t>est félicitée des aspects positifs des évaluations de l</w:t>
      </w:r>
      <w:r w:rsidR="00923E72">
        <w:rPr>
          <w:rFonts w:eastAsia="Malgun Gothic"/>
          <w:bCs/>
          <w:lang w:val="fr-FR"/>
        </w:rPr>
        <w:t>’</w:t>
      </w:r>
      <w:r w:rsidRPr="00703386">
        <w:rPr>
          <w:rFonts w:eastAsia="Malgun Gothic"/>
          <w:bCs/>
          <w:lang w:val="fr-FR"/>
        </w:rPr>
        <w:t>Organe, en particulier de l</w:t>
      </w:r>
      <w:r w:rsidR="00923E72">
        <w:rPr>
          <w:rFonts w:eastAsia="Malgun Gothic"/>
          <w:bCs/>
          <w:lang w:val="fr-FR"/>
        </w:rPr>
        <w:t>’</w:t>
      </w:r>
      <w:r w:rsidRPr="00703386">
        <w:rPr>
          <w:rFonts w:eastAsia="Malgun Gothic"/>
          <w:bCs/>
          <w:lang w:val="fr-FR"/>
        </w:rPr>
        <w:t xml:space="preserve">augmentation du nombre de dossiers alignés sur les objectifs de </w:t>
      </w:r>
      <w:r w:rsidRPr="00703386">
        <w:rPr>
          <w:rFonts w:eastAsia="Malgun Gothic"/>
          <w:bCs/>
          <w:lang w:val="fr-FR"/>
        </w:rPr>
        <w:lastRenderedPageBreak/>
        <w:t>développement durable. Cependant, un certain nombre de défis et de problèmes subsistaient. Par exemple, les rôles parfois marginaux des acteurs de la société civile concernés, et les questions de standardisation et de commercialisation excessive. À cet égard, la délégation a demandé à l</w:t>
      </w:r>
      <w:r w:rsidR="00923E72">
        <w:rPr>
          <w:rFonts w:eastAsia="Malgun Gothic"/>
          <w:bCs/>
          <w:lang w:val="fr-FR"/>
        </w:rPr>
        <w:t>’</w:t>
      </w:r>
      <w:r w:rsidRPr="00703386">
        <w:rPr>
          <w:rFonts w:eastAsia="Malgun Gothic"/>
          <w:bCs/>
          <w:lang w:val="fr-FR"/>
        </w:rPr>
        <w:t>Organe d</w:t>
      </w:r>
      <w:r w:rsidR="00923E72">
        <w:rPr>
          <w:rFonts w:eastAsia="Malgun Gothic"/>
          <w:bCs/>
          <w:lang w:val="fr-FR"/>
        </w:rPr>
        <w:t>’</w:t>
      </w:r>
      <w:r w:rsidRPr="00703386">
        <w:rPr>
          <w:rFonts w:eastAsia="Malgun Gothic"/>
          <w:bCs/>
          <w:lang w:val="fr-FR"/>
        </w:rPr>
        <w:t>évaluation s</w:t>
      </w:r>
      <w:r w:rsidR="00923E72">
        <w:rPr>
          <w:rFonts w:eastAsia="Malgun Gothic"/>
          <w:bCs/>
          <w:lang w:val="fr-FR"/>
        </w:rPr>
        <w:t>’</w:t>
      </w:r>
      <w:r w:rsidRPr="00703386">
        <w:rPr>
          <w:rFonts w:eastAsia="Malgun Gothic"/>
          <w:bCs/>
          <w:lang w:val="fr-FR"/>
        </w:rPr>
        <w:t>il avait d</w:t>
      </w:r>
      <w:r w:rsidR="00923E72">
        <w:rPr>
          <w:rFonts w:eastAsia="Malgun Gothic"/>
          <w:bCs/>
          <w:lang w:val="fr-FR"/>
        </w:rPr>
        <w:t>’</w:t>
      </w:r>
      <w:r w:rsidRPr="00703386">
        <w:rPr>
          <w:rFonts w:eastAsia="Malgun Gothic"/>
          <w:bCs/>
          <w:lang w:val="fr-FR"/>
        </w:rPr>
        <w:t>autres recommandations à formuler à l</w:t>
      </w:r>
      <w:r w:rsidR="00923E72">
        <w:rPr>
          <w:rFonts w:eastAsia="Malgun Gothic"/>
          <w:bCs/>
          <w:lang w:val="fr-FR"/>
        </w:rPr>
        <w:t>’</w:t>
      </w:r>
      <w:r w:rsidRPr="00703386">
        <w:rPr>
          <w:rFonts w:eastAsia="Malgun Gothic"/>
          <w:bCs/>
          <w:lang w:val="fr-FR"/>
        </w:rPr>
        <w:t>intention des États parties sur la manière d</w:t>
      </w:r>
      <w:r w:rsidR="00923E72">
        <w:rPr>
          <w:rFonts w:eastAsia="Malgun Gothic"/>
          <w:bCs/>
          <w:lang w:val="fr-FR"/>
        </w:rPr>
        <w:t>’</w:t>
      </w:r>
      <w:r w:rsidRPr="00703386">
        <w:rPr>
          <w:rFonts w:eastAsia="Malgun Gothic"/>
          <w:bCs/>
          <w:lang w:val="fr-FR"/>
        </w:rPr>
        <w:t>utiliser l</w:t>
      </w:r>
      <w:r w:rsidR="00923E72">
        <w:rPr>
          <w:rFonts w:eastAsia="Malgun Gothic"/>
          <w:bCs/>
          <w:lang w:val="fr-FR"/>
        </w:rPr>
        <w:t>’</w:t>
      </w:r>
      <w:r w:rsidRPr="00703386">
        <w:rPr>
          <w:rFonts w:eastAsia="Malgun Gothic"/>
          <w:bCs/>
          <w:lang w:val="fr-FR"/>
        </w:rPr>
        <w:t>expertise et les ressources au sein des communautés et des ONG dans le processus de rédaction des dossiers. La Suède a également souligné le commentaire de l</w:t>
      </w:r>
      <w:r w:rsidR="00923E72">
        <w:rPr>
          <w:rFonts w:eastAsia="Malgun Gothic"/>
          <w:bCs/>
          <w:lang w:val="fr-FR"/>
        </w:rPr>
        <w:t>’</w:t>
      </w:r>
      <w:r w:rsidRPr="00703386">
        <w:rPr>
          <w:rFonts w:eastAsia="Malgun Gothic"/>
          <w:bCs/>
          <w:lang w:val="fr-FR"/>
        </w:rPr>
        <w:t>Organe sur la relation entre le patrimoine matériel et le patrimoine immatériel, et l</w:t>
      </w:r>
      <w:r w:rsidR="00923E72">
        <w:rPr>
          <w:rFonts w:eastAsia="Malgun Gothic"/>
          <w:bCs/>
          <w:lang w:val="fr-FR"/>
        </w:rPr>
        <w:t>’</w:t>
      </w:r>
      <w:r w:rsidRPr="00703386">
        <w:rPr>
          <w:rFonts w:eastAsia="Malgun Gothic"/>
          <w:bCs/>
          <w:lang w:val="fr-FR"/>
        </w:rPr>
        <w:t>importance d</w:t>
      </w:r>
      <w:r w:rsidR="00923E72">
        <w:rPr>
          <w:rFonts w:eastAsia="Malgun Gothic"/>
          <w:bCs/>
          <w:lang w:val="fr-FR"/>
        </w:rPr>
        <w:t>’</w:t>
      </w:r>
      <w:r w:rsidRPr="00703386">
        <w:rPr>
          <w:rFonts w:eastAsia="Malgun Gothic"/>
          <w:bCs/>
          <w:lang w:val="fr-FR"/>
        </w:rPr>
        <w:t>articuler les connaissances, les pratiques et les compétences. Elle a</w:t>
      </w:r>
      <w:r w:rsidR="00A92F58">
        <w:rPr>
          <w:rFonts w:eastAsia="Malgun Gothic"/>
          <w:bCs/>
          <w:lang w:val="fr-FR"/>
        </w:rPr>
        <w:t>vait</w:t>
      </w:r>
      <w:r w:rsidRPr="00703386">
        <w:rPr>
          <w:rFonts w:eastAsia="Malgun Gothic"/>
          <w:bCs/>
          <w:lang w:val="fr-FR"/>
        </w:rPr>
        <w:t xml:space="preserve"> noté une tendance à décrire parfois des choses et des lieux plutôt que des connaissances et des coutumes</w:t>
      </w:r>
      <w:r w:rsidR="00A92F58">
        <w:rPr>
          <w:rFonts w:eastAsia="Malgun Gothic"/>
          <w:bCs/>
          <w:lang w:val="fr-FR"/>
        </w:rPr>
        <w:t xml:space="preserve">. Elle </w:t>
      </w:r>
      <w:r w:rsidRPr="00703386">
        <w:rPr>
          <w:rFonts w:eastAsia="Malgun Gothic"/>
          <w:bCs/>
          <w:lang w:val="fr-FR"/>
        </w:rPr>
        <w:t>s</w:t>
      </w:r>
      <w:r w:rsidR="00923E72">
        <w:rPr>
          <w:rFonts w:eastAsia="Malgun Gothic"/>
          <w:bCs/>
          <w:lang w:val="fr-FR"/>
        </w:rPr>
        <w:t>’</w:t>
      </w:r>
      <w:r w:rsidRPr="00703386">
        <w:rPr>
          <w:rFonts w:eastAsia="Malgun Gothic"/>
          <w:bCs/>
          <w:lang w:val="fr-FR"/>
        </w:rPr>
        <w:t>est interrogée sur les raisons pour lesquelles il en était ainsi</w:t>
      </w:r>
      <w:r w:rsidR="00A92F58">
        <w:rPr>
          <w:rFonts w:eastAsia="Malgun Gothic"/>
          <w:bCs/>
          <w:lang w:val="fr-FR"/>
        </w:rPr>
        <w:t>, et a demandé à l</w:t>
      </w:r>
      <w:r w:rsidR="00923E72">
        <w:rPr>
          <w:rFonts w:eastAsia="Malgun Gothic"/>
          <w:bCs/>
          <w:lang w:val="fr-FR"/>
        </w:rPr>
        <w:t>’</w:t>
      </w:r>
      <w:r w:rsidRPr="00703386">
        <w:rPr>
          <w:rFonts w:eastAsia="Malgun Gothic"/>
          <w:bCs/>
          <w:lang w:val="fr-FR"/>
        </w:rPr>
        <w:t>Organe d</w:t>
      </w:r>
      <w:r w:rsidR="00923E72">
        <w:rPr>
          <w:rFonts w:eastAsia="Malgun Gothic"/>
          <w:bCs/>
          <w:lang w:val="fr-FR"/>
        </w:rPr>
        <w:t>’</w:t>
      </w:r>
      <w:r w:rsidRPr="00703386">
        <w:rPr>
          <w:rFonts w:eastAsia="Malgun Gothic"/>
          <w:bCs/>
          <w:lang w:val="fr-FR"/>
        </w:rPr>
        <w:t xml:space="preserve">évaluation </w:t>
      </w:r>
      <w:r w:rsidR="00A92F58">
        <w:rPr>
          <w:rFonts w:eastAsia="Malgun Gothic"/>
          <w:bCs/>
          <w:lang w:val="fr-FR"/>
        </w:rPr>
        <w:t>s</w:t>
      </w:r>
      <w:r w:rsidR="00923E72">
        <w:rPr>
          <w:rFonts w:eastAsia="Malgun Gothic"/>
          <w:bCs/>
          <w:lang w:val="fr-FR"/>
        </w:rPr>
        <w:t>’</w:t>
      </w:r>
      <w:r w:rsidR="00A92F58">
        <w:rPr>
          <w:rFonts w:eastAsia="Malgun Gothic"/>
          <w:bCs/>
          <w:lang w:val="fr-FR"/>
        </w:rPr>
        <w:t xml:space="preserve">il </w:t>
      </w:r>
      <w:r w:rsidRPr="00703386">
        <w:rPr>
          <w:rFonts w:eastAsia="Malgun Gothic"/>
          <w:bCs/>
          <w:lang w:val="fr-FR"/>
        </w:rPr>
        <w:t>avait</w:t>
      </w:r>
      <w:r w:rsidR="00A92F58">
        <w:rPr>
          <w:rFonts w:eastAsia="Malgun Gothic"/>
          <w:bCs/>
          <w:lang w:val="fr-FR"/>
        </w:rPr>
        <w:t xml:space="preserve"> </w:t>
      </w:r>
      <w:r w:rsidRPr="00703386">
        <w:rPr>
          <w:rFonts w:eastAsia="Malgun Gothic"/>
          <w:bCs/>
          <w:lang w:val="fr-FR"/>
        </w:rPr>
        <w:t>des suggestions précises à formuler sur la manière de résoudre ce problème</w:t>
      </w:r>
      <w:r w:rsidR="00A92F58">
        <w:rPr>
          <w:rFonts w:eastAsia="Malgun Gothic"/>
          <w:bCs/>
          <w:lang w:val="fr-FR"/>
        </w:rPr>
        <w:t>.</w:t>
      </w:r>
      <w:r w:rsidRPr="00703386">
        <w:rPr>
          <w:rFonts w:eastAsia="Malgun Gothic"/>
          <w:bCs/>
          <w:lang w:val="fr-FR"/>
        </w:rPr>
        <w:t xml:space="preserve"> Les cinquante</w:t>
      </w:r>
      <w:r w:rsidR="00F47148">
        <w:rPr>
          <w:rFonts w:eastAsia="Malgun Gothic"/>
          <w:bCs/>
          <w:lang w:val="fr-FR"/>
        </w:rPr>
        <w:noBreakHyphen/>
      </w:r>
      <w:r w:rsidRPr="00703386">
        <w:rPr>
          <w:rFonts w:eastAsia="Malgun Gothic"/>
          <w:bCs/>
          <w:lang w:val="fr-FR"/>
        </w:rPr>
        <w:t>six dossiers représentaient une diversité impressionnante de patrimoine culturel immatériel provenant de différents lieux d</w:t>
      </w:r>
      <w:r w:rsidR="00A92F58">
        <w:rPr>
          <w:rFonts w:eastAsia="Malgun Gothic"/>
          <w:bCs/>
          <w:lang w:val="fr-FR"/>
        </w:rPr>
        <w:t>ans le</w:t>
      </w:r>
      <w:r w:rsidRPr="00703386">
        <w:rPr>
          <w:rFonts w:eastAsia="Malgun Gothic"/>
          <w:bCs/>
          <w:lang w:val="fr-FR"/>
        </w:rPr>
        <w:t xml:space="preserve"> monde. </w:t>
      </w:r>
      <w:r w:rsidR="0093079A">
        <w:rPr>
          <w:rFonts w:eastAsia="Malgun Gothic"/>
          <w:bCs/>
          <w:lang w:val="fr-FR"/>
        </w:rPr>
        <w:t>Selon l</w:t>
      </w:r>
      <w:r w:rsidR="00923E72">
        <w:rPr>
          <w:rFonts w:eastAsia="Malgun Gothic"/>
          <w:bCs/>
          <w:lang w:val="fr-FR"/>
        </w:rPr>
        <w:t>’</w:t>
      </w:r>
      <w:r w:rsidRPr="00703386">
        <w:rPr>
          <w:rFonts w:eastAsia="Malgun Gothic"/>
          <w:bCs/>
          <w:lang w:val="fr-FR"/>
        </w:rPr>
        <w:t>examen</w:t>
      </w:r>
      <w:r w:rsidR="0093079A">
        <w:rPr>
          <w:rFonts w:eastAsia="Malgun Gothic"/>
          <w:bCs/>
          <w:lang w:val="fr-FR"/>
        </w:rPr>
        <w:t xml:space="preserve"> de l</w:t>
      </w:r>
      <w:r w:rsidR="00923E72">
        <w:rPr>
          <w:rFonts w:eastAsia="Malgun Gothic"/>
          <w:bCs/>
          <w:lang w:val="fr-FR"/>
        </w:rPr>
        <w:t>’</w:t>
      </w:r>
      <w:r w:rsidR="0093079A">
        <w:rPr>
          <w:rFonts w:eastAsia="Malgun Gothic"/>
          <w:bCs/>
          <w:lang w:val="fr-FR"/>
        </w:rPr>
        <w:t>Organe d</w:t>
      </w:r>
      <w:r w:rsidR="00923E72">
        <w:rPr>
          <w:rFonts w:eastAsia="Malgun Gothic"/>
          <w:bCs/>
          <w:lang w:val="fr-FR"/>
        </w:rPr>
        <w:t>’</w:t>
      </w:r>
      <w:r w:rsidR="0093079A">
        <w:rPr>
          <w:rFonts w:eastAsia="Malgun Gothic"/>
          <w:bCs/>
          <w:lang w:val="fr-FR"/>
        </w:rPr>
        <w:t>évaluation</w:t>
      </w:r>
      <w:r w:rsidRPr="00703386">
        <w:rPr>
          <w:rFonts w:eastAsia="Malgun Gothic"/>
          <w:bCs/>
          <w:lang w:val="fr-FR"/>
        </w:rPr>
        <w:t>, un renvoi était généralement dû à un manque d</w:t>
      </w:r>
      <w:r w:rsidR="00923E72">
        <w:rPr>
          <w:rFonts w:eastAsia="Malgun Gothic"/>
          <w:bCs/>
          <w:lang w:val="fr-FR"/>
        </w:rPr>
        <w:t>’</w:t>
      </w:r>
      <w:r w:rsidRPr="00703386">
        <w:rPr>
          <w:rFonts w:eastAsia="Malgun Gothic"/>
          <w:bCs/>
          <w:lang w:val="fr-FR"/>
        </w:rPr>
        <w:t>informations sur les moyens de sauvegarder l</w:t>
      </w:r>
      <w:r w:rsidR="00923E72">
        <w:rPr>
          <w:rFonts w:eastAsia="Malgun Gothic"/>
          <w:bCs/>
          <w:lang w:val="fr-FR"/>
        </w:rPr>
        <w:t>’</w:t>
      </w:r>
      <w:r w:rsidRPr="00703386">
        <w:rPr>
          <w:rFonts w:eastAsia="Malgun Gothic"/>
          <w:bCs/>
          <w:lang w:val="fr-FR"/>
        </w:rPr>
        <w:t>élément, sur la manière de coopérer avec les parties prenantes et de les</w:t>
      </w:r>
      <w:r w:rsidR="0093079A">
        <w:rPr>
          <w:rFonts w:eastAsia="Malgun Gothic"/>
          <w:bCs/>
          <w:lang w:val="fr-FR"/>
        </w:rPr>
        <w:t xml:space="preserve"> faire participer</w:t>
      </w:r>
      <w:r w:rsidRPr="00703386">
        <w:rPr>
          <w:rFonts w:eastAsia="Malgun Gothic"/>
          <w:bCs/>
          <w:lang w:val="fr-FR"/>
        </w:rPr>
        <w:t>, ou sur la manière de sensibiliser au patrimoine culturel immatériel. Il s</w:t>
      </w:r>
      <w:r w:rsidR="00923E72">
        <w:rPr>
          <w:rFonts w:eastAsia="Malgun Gothic"/>
          <w:bCs/>
          <w:lang w:val="fr-FR"/>
        </w:rPr>
        <w:t>’</w:t>
      </w:r>
      <w:r w:rsidRPr="00703386">
        <w:rPr>
          <w:rFonts w:eastAsia="Malgun Gothic"/>
          <w:bCs/>
          <w:lang w:val="fr-FR"/>
        </w:rPr>
        <w:t>agissait de l</w:t>
      </w:r>
      <w:r w:rsidR="00923E72">
        <w:rPr>
          <w:rFonts w:eastAsia="Malgun Gothic"/>
          <w:bCs/>
          <w:lang w:val="fr-FR"/>
        </w:rPr>
        <w:t>’</w:t>
      </w:r>
      <w:r w:rsidRPr="00703386">
        <w:rPr>
          <w:rFonts w:eastAsia="Malgun Gothic"/>
          <w:bCs/>
          <w:lang w:val="fr-FR"/>
        </w:rPr>
        <w:t>essence même de la Convention et il était donc primordial pour le statut de la Convention que les recommandations de l</w:t>
      </w:r>
      <w:r w:rsidR="00923E72">
        <w:rPr>
          <w:rFonts w:eastAsia="Malgun Gothic"/>
          <w:bCs/>
          <w:lang w:val="fr-FR"/>
        </w:rPr>
        <w:t>’</w:t>
      </w:r>
      <w:r w:rsidRPr="00703386">
        <w:rPr>
          <w:rFonts w:eastAsia="Malgun Gothic"/>
          <w:bCs/>
          <w:lang w:val="fr-FR"/>
        </w:rPr>
        <w:t xml:space="preserve">Organe soient prises en compte. Un renvoi était un appel à </w:t>
      </w:r>
      <w:r w:rsidR="00A92F58">
        <w:rPr>
          <w:rFonts w:eastAsia="Malgun Gothic"/>
          <w:bCs/>
          <w:lang w:val="fr-FR"/>
        </w:rPr>
        <w:t xml:space="preserve">des </w:t>
      </w:r>
      <w:r w:rsidR="00A92F58" w:rsidRPr="00A92F58">
        <w:rPr>
          <w:rFonts w:eastAsia="Malgun Gothic"/>
          <w:bCs/>
          <w:lang w:val="fr-FR"/>
        </w:rPr>
        <w:t>éclaircissements</w:t>
      </w:r>
      <w:r w:rsidRPr="00703386">
        <w:rPr>
          <w:rFonts w:eastAsia="Malgun Gothic"/>
          <w:bCs/>
          <w:lang w:val="fr-FR"/>
        </w:rPr>
        <w:t xml:space="preserve"> et non un rejet. Le processus de dialogue était un moyen de faciliter le processus de candidature. La délégation a </w:t>
      </w:r>
      <w:r w:rsidR="00A92F58" w:rsidRPr="00A92F58">
        <w:rPr>
          <w:rFonts w:eastAsia="Malgun Gothic"/>
          <w:bCs/>
          <w:color w:val="000000" w:themeColor="text1"/>
          <w:lang w:val="fr-FR"/>
        </w:rPr>
        <w:t>également</w:t>
      </w:r>
      <w:r w:rsidR="00A92F58">
        <w:rPr>
          <w:rFonts w:eastAsia="Malgun Gothic"/>
          <w:bCs/>
          <w:color w:val="000000" w:themeColor="text1"/>
          <w:lang w:val="fr-FR"/>
        </w:rPr>
        <w:t xml:space="preserve"> </w:t>
      </w:r>
      <w:r w:rsidRPr="00703386">
        <w:rPr>
          <w:rFonts w:eastAsia="Malgun Gothic"/>
          <w:bCs/>
          <w:lang w:val="fr-FR"/>
        </w:rPr>
        <w:t>demandé à l</w:t>
      </w:r>
      <w:r w:rsidR="00923E72">
        <w:rPr>
          <w:rFonts w:eastAsia="Malgun Gothic"/>
          <w:bCs/>
          <w:lang w:val="fr-FR"/>
        </w:rPr>
        <w:t>’</w:t>
      </w:r>
      <w:r w:rsidRPr="00703386">
        <w:rPr>
          <w:rFonts w:eastAsia="Malgun Gothic"/>
          <w:bCs/>
          <w:lang w:val="fr-FR"/>
        </w:rPr>
        <w:t>Organe s</w:t>
      </w:r>
      <w:r w:rsidR="00923E72">
        <w:rPr>
          <w:rFonts w:eastAsia="Malgun Gothic"/>
          <w:bCs/>
          <w:lang w:val="fr-FR"/>
        </w:rPr>
        <w:t>’</w:t>
      </w:r>
      <w:r w:rsidRPr="00703386">
        <w:rPr>
          <w:rFonts w:eastAsia="Malgun Gothic"/>
          <w:bCs/>
          <w:lang w:val="fr-FR"/>
        </w:rPr>
        <w:t>il avait d</w:t>
      </w:r>
      <w:r w:rsidR="00923E72">
        <w:rPr>
          <w:rFonts w:eastAsia="Malgun Gothic"/>
          <w:bCs/>
          <w:lang w:val="fr-FR"/>
        </w:rPr>
        <w:t>’</w:t>
      </w:r>
      <w:r w:rsidRPr="00703386">
        <w:rPr>
          <w:rFonts w:eastAsia="Malgun Gothic"/>
          <w:bCs/>
          <w:lang w:val="fr-FR"/>
        </w:rPr>
        <w:t>autres suggestions pour rendre ce processus plus clair et plus facile à comprendre, et dans quels cas le processus [de dialogue] était utilisé</w:t>
      </w:r>
      <w:r w:rsidR="00A92F58">
        <w:rPr>
          <w:rFonts w:eastAsia="Malgun Gothic"/>
          <w:bCs/>
          <w:lang w:val="fr-FR"/>
        </w:rPr>
        <w:t>.</w:t>
      </w:r>
      <w:r w:rsidRPr="00703386">
        <w:rPr>
          <w:rFonts w:eastAsia="Malgun Gothic"/>
          <w:bCs/>
          <w:lang w:val="fr-FR"/>
        </w:rPr>
        <w:t xml:space="preserve"> La Suède a remercié les États parties qui contribuaient à la diversité du patrimoine vivant, mais également les États qui avaient retiré leur dossier. Cela témoignait du respect pour l</w:t>
      </w:r>
      <w:r w:rsidR="00923E72">
        <w:rPr>
          <w:rFonts w:eastAsia="Malgun Gothic"/>
          <w:bCs/>
          <w:lang w:val="fr-FR"/>
        </w:rPr>
        <w:t>’</w:t>
      </w:r>
      <w:r w:rsidRPr="00703386">
        <w:rPr>
          <w:rFonts w:eastAsia="Malgun Gothic"/>
          <w:bCs/>
          <w:lang w:val="fr-FR"/>
        </w:rPr>
        <w:t>énorme travail réalisé par l</w:t>
      </w:r>
      <w:r w:rsidR="00923E72">
        <w:rPr>
          <w:rFonts w:eastAsia="Malgun Gothic"/>
          <w:bCs/>
          <w:lang w:val="fr-FR"/>
        </w:rPr>
        <w:t>’</w:t>
      </w:r>
      <w:r w:rsidRPr="00703386">
        <w:rPr>
          <w:rFonts w:eastAsia="Malgun Gothic"/>
          <w:bCs/>
          <w:lang w:val="fr-FR"/>
        </w:rPr>
        <w:t>Organe et facilitait le travail de ce Comité. Elle proposerait plus tard un amendement au projet de décisio</w:t>
      </w:r>
      <w:r w:rsidR="00A92F58">
        <w:rPr>
          <w:rFonts w:eastAsia="Malgun Gothic"/>
          <w:bCs/>
          <w:lang w:val="fr-FR"/>
        </w:rPr>
        <w:t>n, sur</w:t>
      </w:r>
      <w:r w:rsidRPr="00703386">
        <w:rPr>
          <w:rFonts w:eastAsia="Malgun Gothic"/>
          <w:bCs/>
          <w:lang w:val="fr-FR"/>
        </w:rPr>
        <w:t xml:space="preserve"> l</w:t>
      </w:r>
      <w:r w:rsidR="00923E72">
        <w:rPr>
          <w:rFonts w:eastAsia="Malgun Gothic"/>
          <w:bCs/>
          <w:lang w:val="fr-FR"/>
        </w:rPr>
        <w:t>’</w:t>
      </w:r>
      <w:r w:rsidRPr="00703386">
        <w:rPr>
          <w:rFonts w:eastAsia="Malgun Gothic"/>
          <w:bCs/>
          <w:lang w:val="fr-FR"/>
        </w:rPr>
        <w:t>octroi d</w:t>
      </w:r>
      <w:r w:rsidR="00923E72">
        <w:rPr>
          <w:rFonts w:eastAsia="Malgun Gothic"/>
          <w:bCs/>
          <w:lang w:val="fr-FR"/>
        </w:rPr>
        <w:t>’</w:t>
      </w:r>
      <w:r w:rsidRPr="00703386">
        <w:rPr>
          <w:rFonts w:eastAsia="Malgun Gothic"/>
          <w:bCs/>
          <w:lang w:val="fr-FR"/>
        </w:rPr>
        <w:t>une assistance internationale pour la préparation d</w:t>
      </w:r>
      <w:r w:rsidR="00923E72">
        <w:rPr>
          <w:rFonts w:eastAsia="Malgun Gothic"/>
          <w:bCs/>
          <w:lang w:val="fr-FR"/>
        </w:rPr>
        <w:t>’</w:t>
      </w:r>
      <w:r w:rsidRPr="00703386">
        <w:rPr>
          <w:rFonts w:eastAsia="Malgun Gothic"/>
          <w:bCs/>
          <w:lang w:val="fr-FR"/>
        </w:rPr>
        <w:t>une première candidature.</w:t>
      </w:r>
    </w:p>
    <w:p w14:paraId="4CDC197B" w14:textId="2C481613" w:rsidR="00A92F58" w:rsidRDefault="00A92F5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la Suède pour son intéressante </w:t>
      </w:r>
      <w:r w:rsidRPr="00A92F58">
        <w:rPr>
          <w:rFonts w:eastAsia="Malgun Gothic"/>
          <w:bCs/>
          <w:lang w:val="fr-FR"/>
        </w:rPr>
        <w:t>intervention</w:t>
      </w:r>
      <w:r>
        <w:rPr>
          <w:rFonts w:eastAsia="Malgun Gothic"/>
          <w:bCs/>
          <w:lang w:val="fr-FR"/>
        </w:rPr>
        <w:t>, notant les nombreuses questions sur le processus de dialogue. Il a convenu qu</w:t>
      </w:r>
      <w:r w:rsidR="00923E72">
        <w:rPr>
          <w:rFonts w:eastAsia="Malgun Gothic"/>
          <w:bCs/>
          <w:lang w:val="fr-FR"/>
        </w:rPr>
        <w:t>’</w:t>
      </w:r>
      <w:r>
        <w:rPr>
          <w:rFonts w:eastAsia="Malgun Gothic"/>
          <w:bCs/>
          <w:lang w:val="fr-FR"/>
        </w:rPr>
        <w:t>il serait bon d</w:t>
      </w:r>
      <w:r w:rsidR="00923E72">
        <w:rPr>
          <w:rFonts w:eastAsia="Malgun Gothic"/>
          <w:bCs/>
          <w:lang w:val="fr-FR"/>
        </w:rPr>
        <w:t>’</w:t>
      </w:r>
      <w:r>
        <w:rPr>
          <w:rFonts w:eastAsia="Malgun Gothic"/>
          <w:bCs/>
          <w:lang w:val="fr-FR"/>
        </w:rPr>
        <w:t>en savoir plus sur la méthode utilisée par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évaluation et son interaction avec les États soumissionnaires.</w:t>
      </w:r>
    </w:p>
    <w:p w14:paraId="7023304F" w14:textId="481481CD" w:rsidR="00A92F58" w:rsidRDefault="000459A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459AD">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0459AD">
        <w:rPr>
          <w:rFonts w:eastAsia="Malgun Gothic"/>
          <w:bCs/>
          <w:lang w:val="fr-FR"/>
        </w:rPr>
        <w:t xml:space="preserve"> a remercié l</w:t>
      </w:r>
      <w:r w:rsidR="00923E72">
        <w:rPr>
          <w:rFonts w:eastAsia="Malgun Gothic"/>
          <w:bCs/>
          <w:lang w:val="fr-FR"/>
        </w:rPr>
        <w:t>’</w:t>
      </w:r>
      <w:r w:rsidRPr="000459AD">
        <w:rPr>
          <w:rFonts w:eastAsia="Malgun Gothic"/>
          <w:bCs/>
          <w:lang w:val="fr-FR"/>
        </w:rPr>
        <w:t>Organe d</w:t>
      </w:r>
      <w:r w:rsidR="00923E72">
        <w:rPr>
          <w:rFonts w:eastAsia="Malgun Gothic"/>
          <w:bCs/>
          <w:lang w:val="fr-FR"/>
        </w:rPr>
        <w:t>’</w:t>
      </w:r>
      <w:r w:rsidRPr="000459AD">
        <w:rPr>
          <w:rFonts w:eastAsia="Malgun Gothic"/>
          <w:bCs/>
          <w:lang w:val="fr-FR"/>
        </w:rPr>
        <w:t>évaluation pour son admirable travail d</w:t>
      </w:r>
      <w:r w:rsidR="00923E72">
        <w:rPr>
          <w:rFonts w:eastAsia="Malgun Gothic"/>
          <w:bCs/>
          <w:lang w:val="fr-FR"/>
        </w:rPr>
        <w:t>’</w:t>
      </w:r>
      <w:r w:rsidRPr="000459AD">
        <w:rPr>
          <w:rFonts w:eastAsia="Malgun Gothic"/>
          <w:bCs/>
          <w:lang w:val="fr-FR"/>
        </w:rPr>
        <w:t>évaluation des dossiers de candidature soumis en vue de l</w:t>
      </w:r>
      <w:r w:rsidR="00923E72">
        <w:rPr>
          <w:rFonts w:eastAsia="Malgun Gothic"/>
          <w:bCs/>
          <w:lang w:val="fr-FR"/>
        </w:rPr>
        <w:t>’</w:t>
      </w:r>
      <w:r w:rsidRPr="000459AD">
        <w:rPr>
          <w:rFonts w:eastAsia="Malgun Gothic"/>
          <w:bCs/>
          <w:lang w:val="fr-FR"/>
        </w:rPr>
        <w:t>inscription sur la Liste de sauvegarde urgente. Elle souhaitait qu</w:t>
      </w:r>
      <w:r w:rsidR="00923E72">
        <w:rPr>
          <w:rFonts w:eastAsia="Malgun Gothic"/>
          <w:bCs/>
          <w:lang w:val="fr-FR"/>
        </w:rPr>
        <w:t>’</w:t>
      </w:r>
      <w:r w:rsidRPr="000459AD">
        <w:rPr>
          <w:rFonts w:eastAsia="Malgun Gothic"/>
          <w:bCs/>
          <w:lang w:val="fr-FR"/>
        </w:rPr>
        <w:t>un mécanisme amélioré soit adopté et étendu aux programmes de renforcement des capacités. La délégation a convenu que les candidatures multinationales doivent être encouragées</w:t>
      </w:r>
      <w:r w:rsidR="0093079A">
        <w:rPr>
          <w:rFonts w:eastAsia="Malgun Gothic"/>
          <w:bCs/>
          <w:lang w:val="fr-FR"/>
        </w:rPr>
        <w:t>,</w:t>
      </w:r>
      <w:r w:rsidRPr="000459AD">
        <w:rPr>
          <w:rFonts w:eastAsia="Malgun Gothic"/>
          <w:bCs/>
          <w:lang w:val="fr-FR"/>
        </w:rPr>
        <w:t xml:space="preserve"> car elles favorisent l</w:t>
      </w:r>
      <w:r w:rsidR="00923E72">
        <w:rPr>
          <w:rFonts w:eastAsia="Malgun Gothic"/>
          <w:bCs/>
          <w:lang w:val="fr-FR"/>
        </w:rPr>
        <w:t>’</w:t>
      </w:r>
      <w:r w:rsidRPr="000459AD">
        <w:rPr>
          <w:rFonts w:eastAsia="Malgun Gothic"/>
          <w:bCs/>
          <w:lang w:val="fr-FR"/>
        </w:rPr>
        <w:t>esprit et le mandat de la Convention. Elle s</w:t>
      </w:r>
      <w:r>
        <w:rPr>
          <w:rFonts w:eastAsia="Malgun Gothic"/>
          <w:bCs/>
          <w:lang w:val="fr-FR"/>
        </w:rPr>
        <w:t>e</w:t>
      </w:r>
      <w:r w:rsidRPr="000459AD">
        <w:rPr>
          <w:rFonts w:eastAsia="Malgun Gothic"/>
          <w:bCs/>
          <w:lang w:val="fr-FR"/>
        </w:rPr>
        <w:t xml:space="preserve"> demand</w:t>
      </w:r>
      <w:r>
        <w:rPr>
          <w:rFonts w:eastAsia="Malgun Gothic"/>
          <w:bCs/>
          <w:lang w:val="fr-FR"/>
        </w:rPr>
        <w:t>ait</w:t>
      </w:r>
      <w:r w:rsidRPr="000459AD">
        <w:rPr>
          <w:rFonts w:eastAsia="Malgun Gothic"/>
          <w:bCs/>
          <w:lang w:val="fr-FR"/>
        </w:rPr>
        <w:t xml:space="preserve"> comment le Comité pourrait y parvenir. Il était impératif d</w:t>
      </w:r>
      <w:r w:rsidR="00923E72">
        <w:rPr>
          <w:rFonts w:eastAsia="Malgun Gothic"/>
          <w:bCs/>
          <w:lang w:val="fr-FR"/>
        </w:rPr>
        <w:t>’</w:t>
      </w:r>
      <w:r w:rsidRPr="000459AD">
        <w:rPr>
          <w:rFonts w:eastAsia="Malgun Gothic"/>
          <w:bCs/>
          <w:lang w:val="fr-FR"/>
        </w:rPr>
        <w:t>accorder de l</w:t>
      </w:r>
      <w:r w:rsidR="00923E72">
        <w:rPr>
          <w:rFonts w:eastAsia="Malgun Gothic"/>
          <w:bCs/>
          <w:lang w:val="fr-FR"/>
        </w:rPr>
        <w:t>’</w:t>
      </w:r>
      <w:r w:rsidRPr="000459AD">
        <w:rPr>
          <w:rFonts w:eastAsia="Malgun Gothic"/>
          <w:bCs/>
          <w:lang w:val="fr-FR"/>
        </w:rPr>
        <w:t>importance au processus de dialogue en amont afin de traiter les questions liées aux déséquilibres géographiques</w:t>
      </w:r>
      <w:r w:rsidR="00F47148">
        <w:rPr>
          <w:rFonts w:eastAsia="Malgun Gothic"/>
          <w:bCs/>
          <w:lang w:val="fr-FR"/>
        </w:rPr>
        <w:t>,</w:t>
      </w:r>
      <w:r w:rsidRPr="000459AD">
        <w:rPr>
          <w:rFonts w:eastAsia="Malgun Gothic"/>
          <w:bCs/>
          <w:lang w:val="fr-FR"/>
        </w:rPr>
        <w:t xml:space="preserve"> mais également à la commercialisation excessive. Des orientations claires pourraient être publiées afin de mieux comprendre et traiter les questions de commercialisation excessive. La délégation souhaitait qu</w:t>
      </w:r>
      <w:r w:rsidR="00923E72">
        <w:rPr>
          <w:rFonts w:eastAsia="Malgun Gothic"/>
          <w:bCs/>
          <w:lang w:val="fr-FR"/>
        </w:rPr>
        <w:t>’</w:t>
      </w:r>
      <w:r w:rsidRPr="000459AD">
        <w:rPr>
          <w:rFonts w:eastAsia="Malgun Gothic"/>
          <w:bCs/>
          <w:lang w:val="fr-FR"/>
        </w:rPr>
        <w:t xml:space="preserve">un processus progressif soit mis en place à cette fin. Elle a </w:t>
      </w:r>
      <w:r w:rsidR="005F7CDD">
        <w:rPr>
          <w:rFonts w:eastAsia="Malgun Gothic"/>
          <w:bCs/>
          <w:lang w:val="fr-FR"/>
        </w:rPr>
        <w:t xml:space="preserve">lancé un appel </w:t>
      </w:r>
      <w:r w:rsidRPr="000459AD">
        <w:rPr>
          <w:rFonts w:eastAsia="Malgun Gothic"/>
          <w:bCs/>
          <w:lang w:val="fr-FR"/>
        </w:rPr>
        <w:t xml:space="preserve">au Secrétariat </w:t>
      </w:r>
      <w:r w:rsidR="005F7CDD">
        <w:rPr>
          <w:rFonts w:eastAsia="Malgun Gothic"/>
          <w:bCs/>
          <w:lang w:val="fr-FR"/>
        </w:rPr>
        <w:t>afin qu</w:t>
      </w:r>
      <w:r w:rsidR="00923E72">
        <w:rPr>
          <w:rFonts w:eastAsia="Malgun Gothic"/>
          <w:bCs/>
          <w:lang w:val="fr-FR"/>
        </w:rPr>
        <w:t>’</w:t>
      </w:r>
      <w:r w:rsidR="005F7CDD">
        <w:rPr>
          <w:rFonts w:eastAsia="Malgun Gothic"/>
          <w:bCs/>
          <w:lang w:val="fr-FR"/>
        </w:rPr>
        <w:t>il</w:t>
      </w:r>
      <w:r w:rsidRPr="000459AD">
        <w:rPr>
          <w:rFonts w:eastAsia="Malgun Gothic"/>
          <w:bCs/>
          <w:lang w:val="fr-FR"/>
        </w:rPr>
        <w:t xml:space="preserve"> sugg</w:t>
      </w:r>
      <w:r w:rsidR="005F7CDD">
        <w:rPr>
          <w:rFonts w:eastAsia="Malgun Gothic"/>
          <w:bCs/>
          <w:lang w:val="fr-FR"/>
        </w:rPr>
        <w:t>ère</w:t>
      </w:r>
      <w:r w:rsidRPr="005F7CDD">
        <w:rPr>
          <w:rFonts w:eastAsia="Malgun Gothic"/>
          <w:bCs/>
          <w:lang w:val="fr-FR"/>
        </w:rPr>
        <w:t xml:space="preserve"> de nouveaux moyens de générer des fonds pour mieux gérer la Convention </w:t>
      </w:r>
      <w:r w:rsidR="005F7CDD">
        <w:rPr>
          <w:rFonts w:eastAsia="Malgun Gothic"/>
          <w:bCs/>
          <w:lang w:val="fr-FR"/>
        </w:rPr>
        <w:t xml:space="preserve">et </w:t>
      </w:r>
      <w:r w:rsidR="009A34A8">
        <w:rPr>
          <w:rFonts w:eastAsia="Malgun Gothic"/>
          <w:bCs/>
          <w:lang w:val="fr-FR"/>
        </w:rPr>
        <w:t>p</w:t>
      </w:r>
      <w:r w:rsidR="005F7CDD">
        <w:rPr>
          <w:rFonts w:eastAsia="Malgun Gothic"/>
          <w:bCs/>
          <w:lang w:val="fr-FR"/>
        </w:rPr>
        <w:t xml:space="preserve">our </w:t>
      </w:r>
      <w:r w:rsidRPr="005F7CDD">
        <w:rPr>
          <w:rFonts w:eastAsia="Malgun Gothic"/>
          <w:bCs/>
          <w:lang w:val="fr-FR"/>
        </w:rPr>
        <w:t>évaluer un plus grand nombre d</w:t>
      </w:r>
      <w:r w:rsidR="00923E72">
        <w:rPr>
          <w:rFonts w:eastAsia="Malgun Gothic"/>
          <w:bCs/>
          <w:lang w:val="fr-FR"/>
        </w:rPr>
        <w:t>’</w:t>
      </w:r>
      <w:r w:rsidRPr="005F7CDD">
        <w:rPr>
          <w:rFonts w:eastAsia="Malgun Gothic"/>
          <w:bCs/>
          <w:lang w:val="fr-FR"/>
        </w:rPr>
        <w:t xml:space="preserve">inscriptions autorisées par État partie. </w:t>
      </w:r>
      <w:r w:rsidR="005F7CDD">
        <w:rPr>
          <w:rFonts w:eastAsia="Malgun Gothic"/>
          <w:bCs/>
          <w:lang w:val="fr-FR"/>
        </w:rPr>
        <w:t>En effet, p</w:t>
      </w:r>
      <w:r w:rsidRPr="005F7CDD">
        <w:rPr>
          <w:rFonts w:eastAsia="Malgun Gothic"/>
          <w:bCs/>
          <w:lang w:val="fr-FR"/>
        </w:rPr>
        <w:t>our une culture vieille de</w:t>
      </w:r>
      <w:r w:rsidR="009A34A8">
        <w:rPr>
          <w:rFonts w:eastAsia="Malgun Gothic"/>
          <w:bCs/>
          <w:lang w:val="fr-FR"/>
        </w:rPr>
        <w:t> </w:t>
      </w:r>
      <w:r w:rsidRPr="005F7CDD">
        <w:rPr>
          <w:rFonts w:eastAsia="Malgun Gothic"/>
          <w:bCs/>
          <w:lang w:val="fr-FR"/>
        </w:rPr>
        <w:t>10</w:t>
      </w:r>
      <w:r w:rsidR="005F7CDD">
        <w:rPr>
          <w:rFonts w:eastAsia="Malgun Gothic"/>
          <w:bCs/>
          <w:lang w:val="fr-FR"/>
        </w:rPr>
        <w:t> </w:t>
      </w:r>
      <w:r w:rsidRPr="005F7CDD">
        <w:rPr>
          <w:rFonts w:eastAsia="Malgun Gothic"/>
          <w:bCs/>
          <w:lang w:val="fr-FR"/>
        </w:rPr>
        <w:t>000 ans, comptant plus de 1</w:t>
      </w:r>
      <w:r w:rsidR="005F7CDD">
        <w:rPr>
          <w:rFonts w:eastAsia="Malgun Gothic"/>
          <w:bCs/>
          <w:lang w:val="fr-FR"/>
        </w:rPr>
        <w:t> </w:t>
      </w:r>
      <w:r w:rsidRPr="005F7CDD">
        <w:rPr>
          <w:rFonts w:eastAsia="Malgun Gothic"/>
          <w:bCs/>
          <w:lang w:val="fr-FR"/>
        </w:rPr>
        <w:t>900 langues, abritant 1,4</w:t>
      </w:r>
      <w:r w:rsidR="005F7CDD">
        <w:rPr>
          <w:rFonts w:eastAsia="Malgun Gothic"/>
          <w:bCs/>
          <w:lang w:val="fr-FR"/>
        </w:rPr>
        <w:t> </w:t>
      </w:r>
      <w:r w:rsidRPr="005F7CDD">
        <w:rPr>
          <w:rFonts w:eastAsia="Malgun Gothic"/>
          <w:bCs/>
          <w:lang w:val="fr-FR"/>
        </w:rPr>
        <w:t>milliard de personnes, soit</w:t>
      </w:r>
      <w:r w:rsidR="009A34A8">
        <w:rPr>
          <w:rFonts w:eastAsia="Malgun Gothic"/>
          <w:bCs/>
          <w:lang w:val="fr-FR"/>
        </w:rPr>
        <w:t> </w:t>
      </w:r>
      <w:r w:rsidR="005F7CDD">
        <w:rPr>
          <w:rFonts w:eastAsia="Malgun Gothic"/>
          <w:bCs/>
          <w:lang w:val="fr-FR"/>
        </w:rPr>
        <w:t xml:space="preserve">20 % </w:t>
      </w:r>
      <w:r w:rsidRPr="005F7CDD">
        <w:rPr>
          <w:rFonts w:eastAsia="Malgun Gothic"/>
          <w:bCs/>
          <w:lang w:val="fr-FR"/>
        </w:rPr>
        <w:t>de la population mondiale, une seule candidature tous les deux ans ne suffisait pas à refléter la diversité de l</w:t>
      </w:r>
      <w:r w:rsidR="00923E72">
        <w:rPr>
          <w:rFonts w:eastAsia="Malgun Gothic"/>
          <w:bCs/>
          <w:lang w:val="fr-FR"/>
        </w:rPr>
        <w:t>’</w:t>
      </w:r>
      <w:r w:rsidRPr="005F7CDD">
        <w:rPr>
          <w:rFonts w:eastAsia="Malgun Gothic"/>
          <w:bCs/>
          <w:lang w:val="fr-FR"/>
        </w:rPr>
        <w:t>Inde et du sous-continent indien. Il fallait en faire plus pour augmenter le nombre de candidatures.</w:t>
      </w:r>
    </w:p>
    <w:p w14:paraId="77911F63" w14:textId="110091D4" w:rsidR="005F7CDD" w:rsidRDefault="005F7CD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F7CDD">
        <w:rPr>
          <w:rFonts w:eastAsia="Malgun Gothic"/>
          <w:bCs/>
          <w:lang w:val="fr-FR"/>
        </w:rPr>
        <w:t xml:space="preserve">Le </w:t>
      </w:r>
      <w:r w:rsidRPr="00702497">
        <w:rPr>
          <w:rFonts w:eastAsia="Malgun Gothic"/>
          <w:b/>
          <w:lang w:val="fr-FR"/>
        </w:rPr>
        <w:t>Président</w:t>
      </w:r>
      <w:r w:rsidRPr="005F7CDD">
        <w:rPr>
          <w:rFonts w:eastAsia="Malgun Gothic"/>
          <w:bCs/>
          <w:lang w:val="fr-FR"/>
        </w:rPr>
        <w:t xml:space="preserve"> a remercié l</w:t>
      </w:r>
      <w:r w:rsidR="00923E72">
        <w:rPr>
          <w:rFonts w:eastAsia="Malgun Gothic"/>
          <w:bCs/>
          <w:lang w:val="fr-FR"/>
        </w:rPr>
        <w:t>’</w:t>
      </w:r>
      <w:r w:rsidRPr="005F7CDD">
        <w:rPr>
          <w:rFonts w:eastAsia="Malgun Gothic"/>
          <w:bCs/>
          <w:lang w:val="fr-FR"/>
        </w:rPr>
        <w:t>Inde pour les nombreux points intéressants</w:t>
      </w:r>
      <w:r w:rsidR="00524833">
        <w:rPr>
          <w:rFonts w:eastAsia="Malgun Gothic"/>
          <w:bCs/>
          <w:lang w:val="fr-FR"/>
        </w:rPr>
        <w:t xml:space="preserve"> évoqués</w:t>
      </w:r>
      <w:r w:rsidRPr="005F7CDD">
        <w:rPr>
          <w:rFonts w:eastAsia="Malgun Gothic"/>
          <w:bCs/>
          <w:lang w:val="fr-FR"/>
        </w:rPr>
        <w:t>. En effet, le Comité devait réfléchir à la manière de faire avancer les choses. Chaque pays avait ses propres spécificités, qu</w:t>
      </w:r>
      <w:r w:rsidR="00923E72">
        <w:rPr>
          <w:rFonts w:eastAsia="Malgun Gothic"/>
          <w:bCs/>
          <w:lang w:val="fr-FR"/>
        </w:rPr>
        <w:t>’</w:t>
      </w:r>
      <w:r w:rsidRPr="005F7CDD">
        <w:rPr>
          <w:rFonts w:eastAsia="Malgun Gothic"/>
          <w:bCs/>
          <w:lang w:val="fr-FR"/>
        </w:rPr>
        <w:t>elles soient culturelles, sociales ou démographiques, dont il fallait tenir compte. Le Comité ne saurait avoir une approche standardisée avec tous les dossiers et il devrait évoluer sur ce point à l</w:t>
      </w:r>
      <w:r w:rsidR="00923E72">
        <w:rPr>
          <w:rFonts w:eastAsia="Malgun Gothic"/>
          <w:bCs/>
          <w:lang w:val="fr-FR"/>
        </w:rPr>
        <w:t>’</w:t>
      </w:r>
      <w:r w:rsidRPr="005F7CDD">
        <w:rPr>
          <w:rFonts w:eastAsia="Malgun Gothic"/>
          <w:bCs/>
          <w:lang w:val="fr-FR"/>
        </w:rPr>
        <w:t>avenir.</w:t>
      </w:r>
    </w:p>
    <w:p w14:paraId="72884032" w14:textId="13746099" w:rsidR="005F7CDD" w:rsidRDefault="009C679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C6799">
        <w:rPr>
          <w:rFonts w:eastAsia="Malgun Gothic"/>
          <w:bCs/>
          <w:lang w:val="fr-FR"/>
        </w:rPr>
        <w:lastRenderedPageBreak/>
        <w:t xml:space="preserve">La délégation du </w:t>
      </w:r>
      <w:r w:rsidRPr="00702497">
        <w:rPr>
          <w:rFonts w:eastAsia="Malgun Gothic"/>
          <w:b/>
          <w:lang w:val="fr-FR"/>
        </w:rPr>
        <w:t>Pérou</w:t>
      </w:r>
      <w:r w:rsidRPr="009C6799">
        <w:rPr>
          <w:rFonts w:eastAsia="Malgun Gothic"/>
          <w:bCs/>
          <w:lang w:val="fr-FR"/>
        </w:rPr>
        <w:t xml:space="preserve"> a remercié l</w:t>
      </w:r>
      <w:r w:rsidR="00923E72">
        <w:rPr>
          <w:rFonts w:eastAsia="Malgun Gothic"/>
          <w:bCs/>
          <w:lang w:val="fr-FR"/>
        </w:rPr>
        <w:t>’</w:t>
      </w:r>
      <w:r w:rsidRPr="009C6799">
        <w:rPr>
          <w:rFonts w:eastAsia="Malgun Gothic"/>
          <w:bCs/>
          <w:lang w:val="fr-FR"/>
        </w:rPr>
        <w:t>Organe d</w:t>
      </w:r>
      <w:r w:rsidR="00923E72">
        <w:rPr>
          <w:rFonts w:eastAsia="Malgun Gothic"/>
          <w:bCs/>
          <w:lang w:val="fr-FR"/>
        </w:rPr>
        <w:t>’</w:t>
      </w:r>
      <w:r w:rsidRPr="009C6799">
        <w:rPr>
          <w:rFonts w:eastAsia="Malgun Gothic"/>
          <w:bCs/>
          <w:lang w:val="fr-FR"/>
        </w:rPr>
        <w:t>évaluation pour son rapport détaillé, félicitant ses membres pour l</w:t>
      </w:r>
      <w:r w:rsidR="00923E72">
        <w:rPr>
          <w:rFonts w:eastAsia="Malgun Gothic"/>
          <w:bCs/>
          <w:lang w:val="fr-FR"/>
        </w:rPr>
        <w:t>’</w:t>
      </w:r>
      <w:r w:rsidRPr="009C6799">
        <w:rPr>
          <w:rFonts w:eastAsia="Malgun Gothic"/>
          <w:bCs/>
          <w:lang w:val="fr-FR"/>
        </w:rPr>
        <w:t>excellent travail accompli et pour avoir présenté leurs résultats dans le temps imparti. Elle s</w:t>
      </w:r>
      <w:r w:rsidR="00923E72">
        <w:rPr>
          <w:rFonts w:eastAsia="Malgun Gothic"/>
          <w:bCs/>
          <w:lang w:val="fr-FR"/>
        </w:rPr>
        <w:t>’</w:t>
      </w:r>
      <w:r w:rsidRPr="009C6799">
        <w:rPr>
          <w:rFonts w:eastAsia="Malgun Gothic"/>
          <w:bCs/>
          <w:lang w:val="fr-FR"/>
        </w:rPr>
        <w:t>est félicitée de l</w:t>
      </w:r>
      <w:r w:rsidR="00923E72">
        <w:rPr>
          <w:rFonts w:eastAsia="Malgun Gothic"/>
          <w:bCs/>
          <w:lang w:val="fr-FR"/>
        </w:rPr>
        <w:t>’</w:t>
      </w:r>
      <w:r w:rsidRPr="009C6799">
        <w:rPr>
          <w:rFonts w:eastAsia="Malgun Gothic"/>
          <w:bCs/>
          <w:lang w:val="fr-FR"/>
        </w:rPr>
        <w:t>amélioration de l</w:t>
      </w:r>
      <w:r w:rsidR="00923E72">
        <w:rPr>
          <w:rFonts w:eastAsia="Malgun Gothic"/>
          <w:bCs/>
          <w:lang w:val="fr-FR"/>
        </w:rPr>
        <w:t>’</w:t>
      </w:r>
      <w:r w:rsidRPr="009C6799">
        <w:rPr>
          <w:rFonts w:eastAsia="Malgun Gothic"/>
          <w:bCs/>
          <w:lang w:val="fr-FR"/>
        </w:rPr>
        <w:t>évaluation des dossiers, du nombre de dossiers multinationaux et du lien entre le patrimoine culturel immatériel et l</w:t>
      </w:r>
      <w:r w:rsidR="00923E72">
        <w:rPr>
          <w:rFonts w:eastAsia="Malgun Gothic"/>
          <w:bCs/>
          <w:lang w:val="fr-FR"/>
        </w:rPr>
        <w:t>’</w:t>
      </w:r>
      <w:r w:rsidRPr="009C6799">
        <w:rPr>
          <w:rFonts w:eastAsia="Malgun Gothic"/>
          <w:bCs/>
          <w:lang w:val="fr-FR"/>
        </w:rPr>
        <w:t>environnement. La délégation a également salué le travail rigoureux effectué sur la base de chaque critère. Néanmoins, comme cela avait été souligné dans certains cas, l</w:t>
      </w:r>
      <w:r w:rsidR="00923E72">
        <w:rPr>
          <w:rFonts w:eastAsia="Malgun Gothic"/>
          <w:bCs/>
          <w:lang w:val="fr-FR"/>
        </w:rPr>
        <w:t>’</w:t>
      </w:r>
      <w:r w:rsidRPr="009C6799">
        <w:rPr>
          <w:rFonts w:eastAsia="Malgun Gothic"/>
          <w:bCs/>
          <w:lang w:val="fr-FR"/>
        </w:rPr>
        <w:t>Organe d</w:t>
      </w:r>
      <w:r w:rsidR="00923E72">
        <w:rPr>
          <w:rFonts w:eastAsia="Malgun Gothic"/>
          <w:bCs/>
          <w:lang w:val="fr-FR"/>
        </w:rPr>
        <w:t>’</w:t>
      </w:r>
      <w:r w:rsidRPr="009C6799">
        <w:rPr>
          <w:rFonts w:eastAsia="Malgun Gothic"/>
          <w:bCs/>
          <w:lang w:val="fr-FR"/>
        </w:rPr>
        <w:t>évaluation avait eu recours au processus de dialogue pour examiner certains critères. Elle souhaitait avoir plus de détails sur la manière dont l</w:t>
      </w:r>
      <w:r w:rsidR="00923E72">
        <w:rPr>
          <w:rFonts w:eastAsia="Malgun Gothic"/>
          <w:bCs/>
          <w:lang w:val="fr-FR"/>
        </w:rPr>
        <w:t>’</w:t>
      </w:r>
      <w:r w:rsidRPr="009C6799">
        <w:rPr>
          <w:rFonts w:eastAsia="Malgun Gothic"/>
          <w:bCs/>
          <w:lang w:val="fr-FR"/>
        </w:rPr>
        <w:t>Organe d</w:t>
      </w:r>
      <w:r w:rsidR="00923E72">
        <w:rPr>
          <w:rFonts w:eastAsia="Malgun Gothic"/>
          <w:bCs/>
          <w:lang w:val="fr-FR"/>
        </w:rPr>
        <w:t>’</w:t>
      </w:r>
      <w:r w:rsidRPr="009C6799">
        <w:rPr>
          <w:rFonts w:eastAsia="Malgun Gothic"/>
          <w:bCs/>
          <w:lang w:val="fr-FR"/>
        </w:rPr>
        <w:t>évaluation avait décidé d</w:t>
      </w:r>
      <w:r>
        <w:rPr>
          <w:rFonts w:eastAsia="Malgun Gothic"/>
          <w:bCs/>
          <w:lang w:val="fr-FR"/>
        </w:rPr>
        <w:t>e mettre en œuvre</w:t>
      </w:r>
      <w:r w:rsidRPr="009C6799">
        <w:rPr>
          <w:rFonts w:eastAsia="Malgun Gothic"/>
          <w:bCs/>
          <w:lang w:val="fr-FR"/>
        </w:rPr>
        <w:t xml:space="preserve"> le processus de dialogue prévu dans les Directives opérationnelles. La délégation comprenait qu</w:t>
      </w:r>
      <w:r w:rsidR="00923E72">
        <w:rPr>
          <w:rFonts w:eastAsia="Malgun Gothic"/>
          <w:bCs/>
          <w:lang w:val="fr-FR"/>
        </w:rPr>
        <w:t>’</w:t>
      </w:r>
      <w:r w:rsidRPr="009C6799">
        <w:rPr>
          <w:rFonts w:eastAsia="Malgun Gothic"/>
          <w:bCs/>
          <w:lang w:val="fr-FR"/>
        </w:rPr>
        <w:t>il y avait des restrictions financières. Néanmoins, elle estimait que le processus de dialogue devrait être disponible pour le plus grand nombre possible de dossiers nécessitant des éclaircissements. Elle estimait également qu</w:t>
      </w:r>
      <w:r w:rsidR="00923E72">
        <w:rPr>
          <w:rFonts w:eastAsia="Malgun Gothic"/>
          <w:bCs/>
          <w:lang w:val="fr-FR"/>
        </w:rPr>
        <w:t>’</w:t>
      </w:r>
      <w:r w:rsidRPr="009C6799">
        <w:rPr>
          <w:rFonts w:eastAsia="Malgun Gothic"/>
          <w:bCs/>
          <w:lang w:val="fr-FR"/>
        </w:rPr>
        <w:t xml:space="preserve">il y avait </w:t>
      </w:r>
      <w:r>
        <w:rPr>
          <w:rFonts w:eastAsia="Malgun Gothic"/>
          <w:bCs/>
          <w:lang w:val="fr-FR"/>
        </w:rPr>
        <w:t xml:space="preserve">eu </w:t>
      </w:r>
      <w:r w:rsidRPr="009C6799">
        <w:rPr>
          <w:rFonts w:eastAsia="Malgun Gothic"/>
          <w:bCs/>
          <w:lang w:val="fr-FR"/>
        </w:rPr>
        <w:t xml:space="preserve">des circonstances particulières </w:t>
      </w:r>
      <w:r>
        <w:rPr>
          <w:rFonts w:eastAsia="Malgun Gothic"/>
          <w:bCs/>
          <w:lang w:val="fr-FR"/>
        </w:rPr>
        <w:t>pour</w:t>
      </w:r>
      <w:r w:rsidRPr="009C6799">
        <w:rPr>
          <w:rFonts w:eastAsia="Malgun Gothic"/>
          <w:bCs/>
          <w:lang w:val="fr-FR"/>
        </w:rPr>
        <w:t xml:space="preserve"> la préparation des dossiers </w:t>
      </w:r>
      <w:r w:rsidR="00F47148">
        <w:rPr>
          <w:rFonts w:eastAsia="Malgun Gothic"/>
          <w:bCs/>
          <w:lang w:val="fr-FR"/>
        </w:rPr>
        <w:t>au cours d</w:t>
      </w:r>
      <w:r w:rsidRPr="009C6799">
        <w:rPr>
          <w:rFonts w:eastAsia="Malgun Gothic"/>
          <w:bCs/>
          <w:lang w:val="fr-FR"/>
        </w:rPr>
        <w:t>es cycles</w:t>
      </w:r>
      <w:r w:rsidR="00AF6B98">
        <w:rPr>
          <w:rFonts w:eastAsia="Malgun Gothic"/>
          <w:bCs/>
          <w:lang w:val="fr-FR"/>
        </w:rPr>
        <w:t> </w:t>
      </w:r>
      <w:r w:rsidRPr="009C6799">
        <w:rPr>
          <w:rFonts w:eastAsia="Malgun Gothic"/>
          <w:bCs/>
          <w:lang w:val="fr-FR"/>
        </w:rPr>
        <w:t>2019</w:t>
      </w:r>
      <w:r w:rsidR="00F47148">
        <w:rPr>
          <w:rFonts w:eastAsia="Malgun Gothic"/>
          <w:bCs/>
          <w:lang w:val="fr-FR"/>
        </w:rPr>
        <w:noBreakHyphen/>
      </w:r>
      <w:r w:rsidRPr="009C6799">
        <w:rPr>
          <w:rFonts w:eastAsia="Malgun Gothic"/>
          <w:bCs/>
          <w:lang w:val="fr-FR"/>
        </w:rPr>
        <w:t xml:space="preserve">2021, qui avaient été </w:t>
      </w:r>
      <w:r>
        <w:rPr>
          <w:rFonts w:eastAsia="Malgun Gothic"/>
          <w:bCs/>
          <w:lang w:val="fr-FR"/>
        </w:rPr>
        <w:t xml:space="preserve">élaborés </w:t>
      </w:r>
      <w:r w:rsidRPr="009C6799">
        <w:rPr>
          <w:rFonts w:eastAsia="Malgun Gothic"/>
          <w:bCs/>
          <w:lang w:val="fr-FR"/>
        </w:rPr>
        <w:t xml:space="preserve">pendant la pandémie. </w:t>
      </w:r>
      <w:r>
        <w:rPr>
          <w:rFonts w:eastAsia="Malgun Gothic"/>
          <w:bCs/>
          <w:lang w:val="fr-FR"/>
        </w:rPr>
        <w:t>C</w:t>
      </w:r>
      <w:r w:rsidRPr="009C6799">
        <w:rPr>
          <w:rFonts w:eastAsia="Malgun Gothic"/>
          <w:bCs/>
          <w:lang w:val="fr-FR"/>
        </w:rPr>
        <w:t>ela avait</w:t>
      </w:r>
      <w:r w:rsidR="00DA2E21">
        <w:rPr>
          <w:rFonts w:eastAsia="Malgun Gothic"/>
          <w:bCs/>
          <w:lang w:val="fr-FR"/>
        </w:rPr>
        <w:t>,</w:t>
      </w:r>
      <w:r>
        <w:rPr>
          <w:rFonts w:eastAsia="Malgun Gothic"/>
          <w:bCs/>
          <w:lang w:val="fr-FR"/>
        </w:rPr>
        <w:t xml:space="preserve"> bien entendu</w:t>
      </w:r>
      <w:r w:rsidR="00DA2E21">
        <w:rPr>
          <w:rFonts w:eastAsia="Malgun Gothic"/>
          <w:bCs/>
          <w:lang w:val="fr-FR"/>
        </w:rPr>
        <w:t>,</w:t>
      </w:r>
      <w:r w:rsidRPr="009C6799">
        <w:rPr>
          <w:rFonts w:eastAsia="Malgun Gothic"/>
          <w:bCs/>
          <w:lang w:val="fr-FR"/>
        </w:rPr>
        <w:t xml:space="preserve"> eu un impact et avait conditionné la préparation des dossiers eux-mêmes. </w:t>
      </w:r>
      <w:r w:rsidR="00DA2E21">
        <w:rPr>
          <w:rFonts w:eastAsia="Malgun Gothic"/>
          <w:bCs/>
          <w:lang w:val="fr-FR"/>
        </w:rPr>
        <w:t xml:space="preserve">Pour cette raison, </w:t>
      </w:r>
      <w:r w:rsidRPr="009C6799">
        <w:rPr>
          <w:rFonts w:eastAsia="Malgun Gothic"/>
          <w:bCs/>
          <w:lang w:val="fr-FR"/>
        </w:rPr>
        <w:t>une attention particulière aurait dû être accordée à ces dossiers dans le cadre d</w:t>
      </w:r>
      <w:r w:rsidR="00923E72">
        <w:rPr>
          <w:rFonts w:eastAsia="Malgun Gothic"/>
          <w:bCs/>
          <w:lang w:val="fr-FR"/>
        </w:rPr>
        <w:t>’</w:t>
      </w:r>
      <w:r w:rsidRPr="009C6799">
        <w:rPr>
          <w:rFonts w:eastAsia="Malgun Gothic"/>
          <w:bCs/>
          <w:lang w:val="fr-FR"/>
        </w:rPr>
        <w:t>un processus de dialogue, indépendamment du fait que de nombreux critères aient été satisfaits ou non. La délégation s</w:t>
      </w:r>
      <w:r w:rsidR="00923E72">
        <w:rPr>
          <w:rFonts w:eastAsia="Malgun Gothic"/>
          <w:bCs/>
          <w:lang w:val="fr-FR"/>
        </w:rPr>
        <w:t>’</w:t>
      </w:r>
      <w:r w:rsidRPr="009C6799">
        <w:rPr>
          <w:rFonts w:eastAsia="Malgun Gothic"/>
          <w:bCs/>
          <w:lang w:val="fr-FR"/>
        </w:rPr>
        <w:t>est fait l</w:t>
      </w:r>
      <w:r w:rsidR="00923E72">
        <w:rPr>
          <w:rFonts w:eastAsia="Malgun Gothic"/>
          <w:bCs/>
          <w:lang w:val="fr-FR"/>
        </w:rPr>
        <w:t>’</w:t>
      </w:r>
      <w:r w:rsidRPr="009C6799">
        <w:rPr>
          <w:rFonts w:eastAsia="Malgun Gothic"/>
          <w:bCs/>
          <w:lang w:val="fr-FR"/>
        </w:rPr>
        <w:t>écho du sentiment d</w:t>
      </w:r>
      <w:r w:rsidR="00923E72">
        <w:rPr>
          <w:rFonts w:eastAsia="Malgun Gothic"/>
          <w:bCs/>
          <w:lang w:val="fr-FR"/>
        </w:rPr>
        <w:t>’</w:t>
      </w:r>
      <w:r w:rsidRPr="009C6799">
        <w:rPr>
          <w:rFonts w:eastAsia="Malgun Gothic"/>
          <w:bCs/>
          <w:lang w:val="fr-FR"/>
        </w:rPr>
        <w:t>autres membres en donnant aux pays qui le demandent la possibilité de communiquer des informations complémentaires au sujet de leurs soumissions.</w:t>
      </w:r>
    </w:p>
    <w:p w14:paraId="03AC5026" w14:textId="4091043F" w:rsidR="009C6799" w:rsidRDefault="009C679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C6799">
        <w:rPr>
          <w:rFonts w:eastAsia="Malgun Gothic"/>
          <w:bCs/>
          <w:lang w:val="fr-FR"/>
        </w:rPr>
        <w:t xml:space="preserve">La délégation du </w:t>
      </w:r>
      <w:r w:rsidRPr="00702497">
        <w:rPr>
          <w:rFonts w:eastAsia="Malgun Gothic"/>
          <w:b/>
          <w:lang w:val="fr-FR"/>
        </w:rPr>
        <w:t>Rwanda</w:t>
      </w:r>
      <w:r w:rsidRPr="009C6799">
        <w:rPr>
          <w:rFonts w:eastAsia="Malgun Gothic"/>
          <w:bCs/>
          <w:lang w:val="fr-FR"/>
        </w:rPr>
        <w:t xml:space="preserve"> a remercié l</w:t>
      </w:r>
      <w:r w:rsidR="00923E72">
        <w:rPr>
          <w:rFonts w:eastAsia="Malgun Gothic"/>
          <w:bCs/>
          <w:lang w:val="fr-FR"/>
        </w:rPr>
        <w:t>’</w:t>
      </w:r>
      <w:r w:rsidRPr="009C6799">
        <w:rPr>
          <w:rFonts w:eastAsia="Malgun Gothic"/>
          <w:bCs/>
          <w:lang w:val="fr-FR"/>
        </w:rPr>
        <w:t>Organe d</w:t>
      </w:r>
      <w:r w:rsidR="00923E72">
        <w:rPr>
          <w:rFonts w:eastAsia="Malgun Gothic"/>
          <w:bCs/>
          <w:lang w:val="fr-FR"/>
        </w:rPr>
        <w:t>’</w:t>
      </w:r>
      <w:r w:rsidRPr="009C6799">
        <w:rPr>
          <w:rFonts w:eastAsia="Malgun Gothic"/>
          <w:bCs/>
          <w:lang w:val="fr-FR"/>
        </w:rPr>
        <w:t>évaluation pour son travail remarquable et le Secrétariat pour l</w:t>
      </w:r>
      <w:r w:rsidR="00923E72">
        <w:rPr>
          <w:rFonts w:eastAsia="Malgun Gothic"/>
          <w:bCs/>
          <w:lang w:val="fr-FR"/>
        </w:rPr>
        <w:t>’</w:t>
      </w:r>
      <w:r w:rsidRPr="009C6799">
        <w:rPr>
          <w:rFonts w:eastAsia="Malgun Gothic"/>
          <w:bCs/>
          <w:lang w:val="fr-FR"/>
        </w:rPr>
        <w:t>avoir rendu plus facile. Il a été noté que l</w:t>
      </w:r>
      <w:r w:rsidR="00923E72">
        <w:rPr>
          <w:rFonts w:eastAsia="Malgun Gothic"/>
          <w:bCs/>
          <w:lang w:val="fr-FR"/>
        </w:rPr>
        <w:t>’</w:t>
      </w:r>
      <w:r w:rsidRPr="009C6799">
        <w:rPr>
          <w:rFonts w:eastAsia="Malgun Gothic"/>
          <w:bCs/>
          <w:lang w:val="fr-FR"/>
        </w:rPr>
        <w:t>Organe d</w:t>
      </w:r>
      <w:r w:rsidR="00923E72">
        <w:rPr>
          <w:rFonts w:eastAsia="Malgun Gothic"/>
          <w:bCs/>
          <w:lang w:val="fr-FR"/>
        </w:rPr>
        <w:t>’</w:t>
      </w:r>
      <w:r w:rsidRPr="009C6799">
        <w:rPr>
          <w:rFonts w:eastAsia="Malgun Gothic"/>
          <w:bCs/>
          <w:lang w:val="fr-FR"/>
        </w:rPr>
        <w:t>évaluation avait ouvert le processus de dialogue pour onze dossiers, dont neuf avaient été recommandés pour inscription. Bien que le processus de dialogue se soit avéré être un mécanisme efficace entre les États soumissionnaires et l</w:t>
      </w:r>
      <w:r w:rsidR="00923E72">
        <w:rPr>
          <w:rFonts w:eastAsia="Malgun Gothic"/>
          <w:bCs/>
          <w:lang w:val="fr-FR"/>
        </w:rPr>
        <w:t>’</w:t>
      </w:r>
      <w:r w:rsidRPr="009C6799">
        <w:rPr>
          <w:rFonts w:eastAsia="Malgun Gothic"/>
          <w:bCs/>
          <w:lang w:val="fr-FR"/>
        </w:rPr>
        <w:t>Organe d</w:t>
      </w:r>
      <w:r w:rsidR="00923E72">
        <w:rPr>
          <w:rFonts w:eastAsia="Malgun Gothic"/>
          <w:bCs/>
          <w:lang w:val="fr-FR"/>
        </w:rPr>
        <w:t>’</w:t>
      </w:r>
      <w:r w:rsidRPr="009C6799">
        <w:rPr>
          <w:rFonts w:eastAsia="Malgun Gothic"/>
          <w:bCs/>
          <w:lang w:val="fr-FR"/>
        </w:rPr>
        <w:t>évaluation, il était regrettable que le processus de dialogue n</w:t>
      </w:r>
      <w:r w:rsidR="00923E72">
        <w:rPr>
          <w:rFonts w:eastAsia="Malgun Gothic"/>
          <w:bCs/>
          <w:lang w:val="fr-FR"/>
        </w:rPr>
        <w:t>’</w:t>
      </w:r>
      <w:r w:rsidRPr="009C6799">
        <w:rPr>
          <w:rFonts w:eastAsia="Malgun Gothic"/>
          <w:bCs/>
          <w:lang w:val="fr-FR"/>
        </w:rPr>
        <w:t xml:space="preserve">ait pas été mis en </w:t>
      </w:r>
      <w:r w:rsidR="00010C29" w:rsidRPr="009C6799">
        <w:rPr>
          <w:rFonts w:eastAsia="Malgun Gothic"/>
          <w:bCs/>
          <w:lang w:val="fr-FR"/>
        </w:rPr>
        <w:t>œuvre</w:t>
      </w:r>
      <w:r w:rsidRPr="009C6799">
        <w:rPr>
          <w:rFonts w:eastAsia="Malgun Gothic"/>
          <w:bCs/>
          <w:lang w:val="fr-FR"/>
        </w:rPr>
        <w:t xml:space="preserve"> </w:t>
      </w:r>
      <w:r w:rsidR="00010C29">
        <w:rPr>
          <w:rFonts w:eastAsia="Malgun Gothic"/>
          <w:bCs/>
          <w:lang w:val="fr-FR"/>
        </w:rPr>
        <w:t xml:space="preserve">pour </w:t>
      </w:r>
      <w:r w:rsidRPr="009C6799">
        <w:rPr>
          <w:rFonts w:eastAsia="Malgun Gothic"/>
          <w:bCs/>
          <w:lang w:val="fr-FR"/>
        </w:rPr>
        <w:t>l</w:t>
      </w:r>
      <w:r w:rsidR="00923E72">
        <w:rPr>
          <w:rFonts w:eastAsia="Malgun Gothic"/>
          <w:bCs/>
          <w:lang w:val="fr-FR"/>
        </w:rPr>
        <w:t>’</w:t>
      </w:r>
      <w:r w:rsidRPr="009C6799">
        <w:rPr>
          <w:rFonts w:eastAsia="Malgun Gothic"/>
          <w:bCs/>
          <w:lang w:val="fr-FR"/>
        </w:rPr>
        <w:t>évaluation d</w:t>
      </w:r>
      <w:r w:rsidR="00923E72">
        <w:rPr>
          <w:rFonts w:eastAsia="Malgun Gothic"/>
          <w:bCs/>
          <w:lang w:val="fr-FR"/>
        </w:rPr>
        <w:t>’</w:t>
      </w:r>
      <w:r w:rsidRPr="009C6799">
        <w:rPr>
          <w:rFonts w:eastAsia="Malgun Gothic"/>
          <w:bCs/>
          <w:lang w:val="fr-FR"/>
        </w:rPr>
        <w:t>autres dossiers nécessitant des éclaircissements supplémentaires. Prenant en compte les propres conclusions de l</w:t>
      </w:r>
      <w:r w:rsidR="00923E72">
        <w:rPr>
          <w:rFonts w:eastAsia="Malgun Gothic"/>
          <w:bCs/>
          <w:lang w:val="fr-FR"/>
        </w:rPr>
        <w:t>’</w:t>
      </w:r>
      <w:r w:rsidRPr="009C6799">
        <w:rPr>
          <w:rFonts w:eastAsia="Malgun Gothic"/>
          <w:bCs/>
          <w:lang w:val="fr-FR"/>
        </w:rPr>
        <w:t>Organe d</w:t>
      </w:r>
      <w:r w:rsidR="00923E72">
        <w:rPr>
          <w:rFonts w:eastAsia="Malgun Gothic"/>
          <w:bCs/>
          <w:lang w:val="fr-FR"/>
        </w:rPr>
        <w:t>’</w:t>
      </w:r>
      <w:r w:rsidRPr="009C6799">
        <w:rPr>
          <w:rFonts w:eastAsia="Malgun Gothic"/>
          <w:bCs/>
          <w:lang w:val="fr-FR"/>
        </w:rPr>
        <w:t>évaluation dans son rapport sur le cycle</w:t>
      </w:r>
      <w:r w:rsidR="006E3700">
        <w:rPr>
          <w:rFonts w:eastAsia="Malgun Gothic"/>
          <w:bCs/>
          <w:lang w:val="fr-FR"/>
        </w:rPr>
        <w:t> </w:t>
      </w:r>
      <w:r w:rsidRPr="009C6799">
        <w:rPr>
          <w:rFonts w:eastAsia="Malgun Gothic"/>
          <w:bCs/>
          <w:lang w:val="fr-FR"/>
        </w:rPr>
        <w:t>2022, où les deux groupes régionaux ayant les meilleurs dossiers de candidature</w:t>
      </w:r>
      <w:r w:rsidR="006E3700">
        <w:rPr>
          <w:rFonts w:eastAsia="Malgun Gothic"/>
          <w:bCs/>
          <w:lang w:val="fr-FR"/>
        </w:rPr>
        <w:t xml:space="preserve"> étaient identifiés</w:t>
      </w:r>
      <w:r w:rsidRPr="009C6799">
        <w:rPr>
          <w:rFonts w:eastAsia="Malgun Gothic"/>
          <w:bCs/>
          <w:lang w:val="fr-FR"/>
        </w:rPr>
        <w:t xml:space="preserve">, le Rwanda a recommandé et fortement encouragé </w:t>
      </w:r>
      <w:r w:rsidR="006E3700">
        <w:rPr>
          <w:rFonts w:eastAsia="Malgun Gothic"/>
          <w:bCs/>
          <w:lang w:val="fr-FR"/>
        </w:rPr>
        <w:t>l</w:t>
      </w:r>
      <w:r w:rsidR="00923E72">
        <w:rPr>
          <w:rFonts w:eastAsia="Malgun Gothic"/>
          <w:bCs/>
          <w:lang w:val="fr-FR"/>
        </w:rPr>
        <w:t>’</w:t>
      </w:r>
      <w:r w:rsidR="006E3700">
        <w:rPr>
          <w:rFonts w:eastAsia="Malgun Gothic"/>
          <w:bCs/>
          <w:lang w:val="fr-FR"/>
        </w:rPr>
        <w:t xml:space="preserve">intégration du </w:t>
      </w:r>
      <w:r w:rsidRPr="009C6799">
        <w:rPr>
          <w:rFonts w:eastAsia="Malgun Gothic"/>
          <w:bCs/>
          <w:lang w:val="fr-FR"/>
        </w:rPr>
        <w:t xml:space="preserve">processus de dialogue </w:t>
      </w:r>
      <w:r w:rsidR="006E3700">
        <w:rPr>
          <w:rFonts w:eastAsia="Malgun Gothic"/>
          <w:bCs/>
          <w:lang w:val="fr-FR"/>
        </w:rPr>
        <w:t>dans l</w:t>
      </w:r>
      <w:r w:rsidR="00923E72">
        <w:rPr>
          <w:rFonts w:eastAsia="Malgun Gothic"/>
          <w:bCs/>
          <w:lang w:val="fr-FR"/>
        </w:rPr>
        <w:t>’</w:t>
      </w:r>
      <w:r w:rsidR="006E3700" w:rsidRPr="006E3700">
        <w:rPr>
          <w:rFonts w:eastAsia="Malgun Gothic"/>
          <w:bCs/>
          <w:lang w:val="fr-FR"/>
        </w:rPr>
        <w:t>évaluation</w:t>
      </w:r>
      <w:r w:rsidR="006E3700">
        <w:rPr>
          <w:rFonts w:eastAsia="Malgun Gothic"/>
          <w:bCs/>
          <w:lang w:val="fr-FR"/>
        </w:rPr>
        <w:t xml:space="preserve"> </w:t>
      </w:r>
      <w:r w:rsidRPr="009C6799">
        <w:rPr>
          <w:rFonts w:eastAsia="Malgun Gothic"/>
          <w:bCs/>
          <w:lang w:val="fr-FR"/>
        </w:rPr>
        <w:t>pour les pays en développement</w:t>
      </w:r>
      <w:r w:rsidR="006E3700">
        <w:rPr>
          <w:rFonts w:eastAsia="Malgun Gothic"/>
          <w:bCs/>
          <w:lang w:val="fr-FR"/>
        </w:rPr>
        <w:t>.</w:t>
      </w:r>
      <w:r w:rsidRPr="009C6799">
        <w:rPr>
          <w:rFonts w:eastAsia="Malgun Gothic"/>
          <w:bCs/>
          <w:lang w:val="fr-FR"/>
        </w:rPr>
        <w:t xml:space="preserve"> Il était fermement convaincu que les efforts de développement des capacités des États parties</w:t>
      </w:r>
      <w:r w:rsidR="00010C29">
        <w:rPr>
          <w:rFonts w:eastAsia="Malgun Gothic"/>
          <w:bCs/>
          <w:lang w:val="fr-FR"/>
        </w:rPr>
        <w:t xml:space="preserve"> en matière d</w:t>
      </w:r>
      <w:r w:rsidR="00923E72">
        <w:rPr>
          <w:rFonts w:eastAsia="Malgun Gothic"/>
          <w:bCs/>
          <w:lang w:val="fr-FR"/>
        </w:rPr>
        <w:t>’</w:t>
      </w:r>
      <w:r w:rsidRPr="009C6799">
        <w:rPr>
          <w:rFonts w:eastAsia="Malgun Gothic"/>
          <w:bCs/>
          <w:lang w:val="fr-FR"/>
        </w:rPr>
        <w:t>élaboration des mesures de sauvegarde devraient être renforcés par un recours accru au mécanisme d</w:t>
      </w:r>
      <w:r w:rsidR="00923E72">
        <w:rPr>
          <w:rFonts w:eastAsia="Malgun Gothic"/>
          <w:bCs/>
          <w:lang w:val="fr-FR"/>
        </w:rPr>
        <w:t>’</w:t>
      </w:r>
      <w:r w:rsidRPr="009C6799">
        <w:rPr>
          <w:rFonts w:eastAsia="Malgun Gothic"/>
          <w:bCs/>
          <w:lang w:val="fr-FR"/>
        </w:rPr>
        <w:t>assistance internationale.</w:t>
      </w:r>
    </w:p>
    <w:p w14:paraId="6CD33748" w14:textId="2D84282C" w:rsidR="00010C29" w:rsidRDefault="00010C2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10C29">
        <w:rPr>
          <w:rFonts w:eastAsia="Malgun Gothic"/>
          <w:bCs/>
          <w:lang w:val="fr-FR"/>
        </w:rPr>
        <w:t xml:space="preserve">La délégation de la </w:t>
      </w:r>
      <w:r w:rsidRPr="00702497">
        <w:rPr>
          <w:rFonts w:eastAsia="Malgun Gothic"/>
          <w:b/>
          <w:lang w:val="fr-FR"/>
        </w:rPr>
        <w:t>République de Corée</w:t>
      </w:r>
      <w:r w:rsidRPr="00010C29">
        <w:rPr>
          <w:rFonts w:eastAsia="Malgun Gothic"/>
          <w:bCs/>
          <w:lang w:val="fr-FR"/>
        </w:rPr>
        <w:t xml:space="preserve"> a remercié l</w:t>
      </w:r>
      <w:r w:rsidR="00923E72">
        <w:rPr>
          <w:rFonts w:eastAsia="Malgun Gothic"/>
          <w:bCs/>
          <w:lang w:val="fr-FR"/>
        </w:rPr>
        <w:t>’</w:t>
      </w:r>
      <w:r w:rsidRPr="00010C29">
        <w:rPr>
          <w:rFonts w:eastAsia="Malgun Gothic"/>
          <w:bCs/>
          <w:lang w:val="fr-FR"/>
        </w:rPr>
        <w:t>Organe d</w:t>
      </w:r>
      <w:r w:rsidR="00923E72">
        <w:rPr>
          <w:rFonts w:eastAsia="Malgun Gothic"/>
          <w:bCs/>
          <w:lang w:val="fr-FR"/>
        </w:rPr>
        <w:t>’</w:t>
      </w:r>
      <w:r w:rsidRPr="00010C29">
        <w:rPr>
          <w:rFonts w:eastAsia="Malgun Gothic"/>
          <w:bCs/>
          <w:lang w:val="fr-FR"/>
        </w:rPr>
        <w:t>évaluation pour le travail acharné et le dévouement dont il avait fait preuve pour évaluer les cinquante</w:t>
      </w:r>
      <w:r w:rsidR="006E3700">
        <w:rPr>
          <w:rFonts w:eastAsia="Malgun Gothic"/>
          <w:bCs/>
          <w:lang w:val="fr-FR"/>
        </w:rPr>
        <w:noBreakHyphen/>
      </w:r>
      <w:r w:rsidRPr="00010C29">
        <w:rPr>
          <w:rFonts w:eastAsia="Malgun Gothic"/>
          <w:bCs/>
          <w:lang w:val="fr-FR"/>
        </w:rPr>
        <w:t>six candidatures de ce cycle malgré les difficultés rencontrées. L</w:t>
      </w:r>
      <w:r w:rsidR="00923E72">
        <w:rPr>
          <w:rFonts w:eastAsia="Malgun Gothic"/>
          <w:bCs/>
          <w:lang w:val="fr-FR"/>
        </w:rPr>
        <w:t>’</w:t>
      </w:r>
      <w:r w:rsidRPr="00010C29">
        <w:rPr>
          <w:rFonts w:eastAsia="Malgun Gothic"/>
          <w:bCs/>
          <w:lang w:val="fr-FR"/>
        </w:rPr>
        <w:t>Organe d</w:t>
      </w:r>
      <w:r w:rsidR="00923E72">
        <w:rPr>
          <w:rFonts w:eastAsia="Malgun Gothic"/>
          <w:bCs/>
          <w:lang w:val="fr-FR"/>
        </w:rPr>
        <w:t>’</w:t>
      </w:r>
      <w:r w:rsidRPr="00010C29">
        <w:rPr>
          <w:rFonts w:eastAsia="Malgun Gothic"/>
          <w:bCs/>
          <w:lang w:val="fr-FR"/>
        </w:rPr>
        <w:t xml:space="preserve">évaluation avait maintenu un niveau élevé de cohérence dans les évaluations, ce qui </w:t>
      </w:r>
      <w:r w:rsidR="006E3700">
        <w:rPr>
          <w:rFonts w:eastAsia="Malgun Gothic"/>
          <w:bCs/>
          <w:lang w:val="fr-FR"/>
        </w:rPr>
        <w:t>est</w:t>
      </w:r>
      <w:r w:rsidRPr="00010C29">
        <w:rPr>
          <w:rFonts w:eastAsia="Malgun Gothic"/>
          <w:bCs/>
          <w:lang w:val="fr-FR"/>
        </w:rPr>
        <w:t xml:space="preserve"> un moyen important d</w:t>
      </w:r>
      <w:r w:rsidR="00923E72">
        <w:rPr>
          <w:rFonts w:eastAsia="Malgun Gothic"/>
          <w:bCs/>
          <w:lang w:val="fr-FR"/>
        </w:rPr>
        <w:t>’</w:t>
      </w:r>
      <w:r w:rsidRPr="00010C29">
        <w:rPr>
          <w:rFonts w:eastAsia="Malgun Gothic"/>
          <w:bCs/>
          <w:lang w:val="fr-FR"/>
        </w:rPr>
        <w:t>assurer la crédibilité des mécanismes d</w:t>
      </w:r>
      <w:r w:rsidR="00923E72">
        <w:rPr>
          <w:rFonts w:eastAsia="Malgun Gothic"/>
          <w:bCs/>
          <w:lang w:val="fr-FR"/>
        </w:rPr>
        <w:t>’</w:t>
      </w:r>
      <w:r w:rsidRPr="00010C29">
        <w:rPr>
          <w:rFonts w:eastAsia="Malgun Gothic"/>
          <w:bCs/>
          <w:lang w:val="fr-FR"/>
        </w:rPr>
        <w:t xml:space="preserve">inscription sur les listes. La délégation a également </w:t>
      </w:r>
      <w:r w:rsidR="00197030">
        <w:rPr>
          <w:rFonts w:eastAsia="Malgun Gothic"/>
          <w:bCs/>
          <w:lang w:val="fr-FR"/>
        </w:rPr>
        <w:t xml:space="preserve">relevé </w:t>
      </w:r>
      <w:r w:rsidRPr="00010C29">
        <w:rPr>
          <w:rFonts w:eastAsia="Malgun Gothic"/>
          <w:bCs/>
          <w:lang w:val="fr-FR"/>
        </w:rPr>
        <w:t>que le processus de dialogue avait été activement mis en œuvre pour onze candidatures, conformément au paragraphe</w:t>
      </w:r>
      <w:r w:rsidR="006E3700">
        <w:rPr>
          <w:rFonts w:eastAsia="Malgun Gothic"/>
          <w:bCs/>
          <w:lang w:val="fr-FR"/>
        </w:rPr>
        <w:t> </w:t>
      </w:r>
      <w:r w:rsidRPr="00010C29">
        <w:rPr>
          <w:rFonts w:eastAsia="Malgun Gothic"/>
          <w:bCs/>
          <w:lang w:val="fr-FR"/>
        </w:rPr>
        <w:t xml:space="preserve">55 des Directives opérationnelles, et que </w:t>
      </w:r>
      <w:r w:rsidR="006E3700">
        <w:rPr>
          <w:rFonts w:eastAsia="Malgun Gothic"/>
          <w:bCs/>
          <w:lang w:val="fr-FR"/>
        </w:rPr>
        <w:t>l</w:t>
      </w:r>
      <w:r w:rsidR="00923E72">
        <w:rPr>
          <w:rFonts w:eastAsia="Malgun Gothic"/>
          <w:bCs/>
          <w:lang w:val="fr-FR"/>
        </w:rPr>
        <w:t>’</w:t>
      </w:r>
      <w:r w:rsidR="006E3700" w:rsidRPr="006E3700">
        <w:rPr>
          <w:rFonts w:eastAsia="Malgun Gothic"/>
          <w:bCs/>
          <w:lang w:val="fr-FR"/>
        </w:rPr>
        <w:t>inscription</w:t>
      </w:r>
      <w:r w:rsidR="006E3700">
        <w:rPr>
          <w:rFonts w:eastAsia="Malgun Gothic"/>
          <w:bCs/>
          <w:lang w:val="fr-FR"/>
        </w:rPr>
        <w:t xml:space="preserve"> de </w:t>
      </w:r>
      <w:r w:rsidRPr="00010C29">
        <w:rPr>
          <w:rFonts w:eastAsia="Malgun Gothic"/>
          <w:bCs/>
          <w:lang w:val="fr-FR"/>
        </w:rPr>
        <w:t xml:space="preserve">neuf candidatures </w:t>
      </w:r>
      <w:r w:rsidR="006E3700">
        <w:rPr>
          <w:rFonts w:eastAsia="Malgun Gothic"/>
          <w:bCs/>
          <w:lang w:val="fr-FR"/>
        </w:rPr>
        <w:t xml:space="preserve">sur la Liste </w:t>
      </w:r>
      <w:r w:rsidRPr="00010C29">
        <w:rPr>
          <w:rFonts w:eastAsia="Malgun Gothic"/>
          <w:bCs/>
          <w:lang w:val="fr-FR"/>
        </w:rPr>
        <w:t>étaient désormais recommandées par le biais de ce processus. Cela avait été rendu possible grâce au travail acharné de l</w:t>
      </w:r>
      <w:r w:rsidR="00923E72">
        <w:rPr>
          <w:rFonts w:eastAsia="Malgun Gothic"/>
          <w:bCs/>
          <w:lang w:val="fr-FR"/>
        </w:rPr>
        <w:t>’</w:t>
      </w:r>
      <w:r w:rsidRPr="00010C29">
        <w:rPr>
          <w:rFonts w:eastAsia="Malgun Gothic"/>
          <w:bCs/>
          <w:lang w:val="fr-FR"/>
        </w:rPr>
        <w:t>Organe d</w:t>
      </w:r>
      <w:r w:rsidR="00923E72">
        <w:rPr>
          <w:rFonts w:eastAsia="Malgun Gothic"/>
          <w:bCs/>
          <w:lang w:val="fr-FR"/>
        </w:rPr>
        <w:t>’</w:t>
      </w:r>
      <w:r w:rsidRPr="00010C29">
        <w:rPr>
          <w:rFonts w:eastAsia="Malgun Gothic"/>
          <w:bCs/>
          <w:lang w:val="fr-FR"/>
        </w:rPr>
        <w:t>évaluation et des États soumissionnaires qui avaient fait preuve de souplesse et d</w:t>
      </w:r>
      <w:r w:rsidR="00923E72">
        <w:rPr>
          <w:rFonts w:eastAsia="Malgun Gothic"/>
          <w:bCs/>
          <w:lang w:val="fr-FR"/>
        </w:rPr>
        <w:t>’</w:t>
      </w:r>
      <w:r w:rsidRPr="00010C29">
        <w:rPr>
          <w:rFonts w:eastAsia="Malgun Gothic"/>
          <w:bCs/>
          <w:lang w:val="fr-FR"/>
        </w:rPr>
        <w:t>un esprit de coopération. La délégation appréciait également le projet du Secrétariat de publier des orientations sur la commercialisation. Ce n</w:t>
      </w:r>
      <w:r w:rsidR="00923E72">
        <w:rPr>
          <w:rFonts w:eastAsia="Malgun Gothic"/>
          <w:bCs/>
          <w:lang w:val="fr-FR"/>
        </w:rPr>
        <w:t>’</w:t>
      </w:r>
      <w:r w:rsidRPr="00010C29">
        <w:rPr>
          <w:rFonts w:eastAsia="Malgun Gothic"/>
          <w:bCs/>
          <w:lang w:val="fr-FR"/>
        </w:rPr>
        <w:t xml:space="preserve">était pas une tâche simple compte tenu de la diversité des situations dans les différents pays. Cependant, cela était nécessaire car les besoins des communautés </w:t>
      </w:r>
      <w:r w:rsidR="006E3700">
        <w:rPr>
          <w:rFonts w:eastAsia="Malgun Gothic"/>
          <w:bCs/>
          <w:lang w:val="fr-FR"/>
        </w:rPr>
        <w:t xml:space="preserve">désireuses </w:t>
      </w:r>
      <w:r w:rsidRPr="00010C29">
        <w:rPr>
          <w:rFonts w:eastAsia="Malgun Gothic"/>
          <w:bCs/>
          <w:lang w:val="fr-FR"/>
        </w:rPr>
        <w:t xml:space="preserve">ou </w:t>
      </w:r>
      <w:r w:rsidR="006E3700">
        <w:rPr>
          <w:rFonts w:eastAsia="Malgun Gothic"/>
          <w:bCs/>
          <w:lang w:val="fr-FR"/>
        </w:rPr>
        <w:t xml:space="preserve">ayant </w:t>
      </w:r>
      <w:r w:rsidR="00197030">
        <w:rPr>
          <w:rFonts w:eastAsia="Malgun Gothic"/>
          <w:bCs/>
          <w:lang w:val="fr-FR"/>
        </w:rPr>
        <w:t>besoin d</w:t>
      </w:r>
      <w:r w:rsidR="00923E72">
        <w:rPr>
          <w:rFonts w:eastAsia="Malgun Gothic"/>
          <w:bCs/>
          <w:lang w:val="fr-FR"/>
        </w:rPr>
        <w:t>’</w:t>
      </w:r>
      <w:r w:rsidRPr="00010C29">
        <w:rPr>
          <w:rFonts w:eastAsia="Malgun Gothic"/>
          <w:bCs/>
          <w:lang w:val="fr-FR"/>
        </w:rPr>
        <w:t xml:space="preserve">utiliser leur élément </w:t>
      </w:r>
      <w:r w:rsidR="006E3700">
        <w:rPr>
          <w:rFonts w:eastAsia="Malgun Gothic"/>
          <w:bCs/>
          <w:lang w:val="fr-FR"/>
        </w:rPr>
        <w:t xml:space="preserve">à des fins commerciales </w:t>
      </w:r>
      <w:r w:rsidRPr="00010C29">
        <w:rPr>
          <w:rFonts w:eastAsia="Malgun Gothic"/>
          <w:bCs/>
          <w:lang w:val="fr-FR"/>
        </w:rPr>
        <w:t xml:space="preserve">pour le tourisme </w:t>
      </w:r>
      <w:r w:rsidR="006E3700">
        <w:rPr>
          <w:rFonts w:eastAsia="Malgun Gothic"/>
          <w:bCs/>
          <w:lang w:val="fr-FR"/>
        </w:rPr>
        <w:t xml:space="preserve">devaient </w:t>
      </w:r>
      <w:r w:rsidRPr="00010C29">
        <w:rPr>
          <w:rFonts w:eastAsia="Malgun Gothic"/>
          <w:bCs/>
          <w:lang w:val="fr-FR"/>
        </w:rPr>
        <w:t>être pris en compte. La réflexion globale sur les mécanismes d</w:t>
      </w:r>
      <w:r w:rsidR="00923E72">
        <w:rPr>
          <w:rFonts w:eastAsia="Malgun Gothic"/>
          <w:bCs/>
          <w:lang w:val="fr-FR"/>
        </w:rPr>
        <w:t>’</w:t>
      </w:r>
      <w:r w:rsidRPr="00010C29">
        <w:rPr>
          <w:rFonts w:eastAsia="Malgun Gothic"/>
          <w:bCs/>
          <w:lang w:val="fr-FR"/>
        </w:rPr>
        <w:t>inscription ayant été menée à bien, on s</w:t>
      </w:r>
      <w:r w:rsidR="00923E72">
        <w:rPr>
          <w:rFonts w:eastAsia="Malgun Gothic"/>
          <w:bCs/>
          <w:lang w:val="fr-FR"/>
        </w:rPr>
        <w:t>’</w:t>
      </w:r>
      <w:r w:rsidRPr="00010C29">
        <w:rPr>
          <w:rFonts w:eastAsia="Malgun Gothic"/>
          <w:bCs/>
          <w:lang w:val="fr-FR"/>
        </w:rPr>
        <w:t>attendait à ce que l</w:t>
      </w:r>
      <w:r w:rsidR="00923E72">
        <w:rPr>
          <w:rFonts w:eastAsia="Malgun Gothic"/>
          <w:bCs/>
          <w:lang w:val="fr-FR"/>
        </w:rPr>
        <w:t>’</w:t>
      </w:r>
      <w:r w:rsidRPr="00010C29">
        <w:rPr>
          <w:rFonts w:eastAsia="Malgun Gothic"/>
          <w:bCs/>
          <w:lang w:val="fr-FR"/>
        </w:rPr>
        <w:t>Organe joue un rôle plus important et plus étendu. Tous ces points aboutiraient au résultat souhaité, à savoir que le Comité garantisse un mécanisme de travail durable pour l</w:t>
      </w:r>
      <w:r w:rsidR="00923E72">
        <w:rPr>
          <w:rFonts w:eastAsia="Malgun Gothic"/>
          <w:bCs/>
          <w:lang w:val="fr-FR"/>
        </w:rPr>
        <w:t>’</w:t>
      </w:r>
      <w:r w:rsidRPr="00010C29">
        <w:rPr>
          <w:rFonts w:eastAsia="Malgun Gothic"/>
          <w:bCs/>
          <w:lang w:val="fr-FR"/>
        </w:rPr>
        <w:t>Organe d</w:t>
      </w:r>
      <w:r w:rsidR="00923E72">
        <w:rPr>
          <w:rFonts w:eastAsia="Malgun Gothic"/>
          <w:bCs/>
          <w:lang w:val="fr-FR"/>
        </w:rPr>
        <w:t>’</w:t>
      </w:r>
      <w:r w:rsidRPr="00010C29">
        <w:rPr>
          <w:rFonts w:eastAsia="Malgun Gothic"/>
          <w:bCs/>
          <w:lang w:val="fr-FR"/>
        </w:rPr>
        <w:t>évaluation.</w:t>
      </w:r>
    </w:p>
    <w:p w14:paraId="739995BA" w14:textId="6D6C65D7" w:rsidR="00197030" w:rsidRDefault="005D5CF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D5CF2">
        <w:rPr>
          <w:rFonts w:eastAsia="Malgun Gothic"/>
          <w:bCs/>
          <w:lang w:val="fr-FR"/>
        </w:rPr>
        <w:t xml:space="preserve">La délégation du </w:t>
      </w:r>
      <w:r w:rsidRPr="00702497">
        <w:rPr>
          <w:rFonts w:eastAsia="Malgun Gothic"/>
          <w:b/>
          <w:lang w:val="fr-FR"/>
        </w:rPr>
        <w:t>Paraguay</w:t>
      </w:r>
      <w:r w:rsidRPr="005D5CF2">
        <w:rPr>
          <w:rFonts w:eastAsia="Malgun Gothic"/>
          <w:bCs/>
          <w:lang w:val="fr-FR"/>
        </w:rPr>
        <w:t xml:space="preserve"> a salué l</w:t>
      </w:r>
      <w:r w:rsidR="00923E72">
        <w:rPr>
          <w:rFonts w:eastAsia="Malgun Gothic"/>
          <w:bCs/>
          <w:lang w:val="fr-FR"/>
        </w:rPr>
        <w:t>’</w:t>
      </w:r>
      <w:r w:rsidRPr="005D5CF2">
        <w:rPr>
          <w:rFonts w:eastAsia="Malgun Gothic"/>
          <w:bCs/>
          <w:lang w:val="fr-FR"/>
        </w:rPr>
        <w:t>énorme travail réalisé par l</w:t>
      </w:r>
      <w:r w:rsidR="00923E72">
        <w:rPr>
          <w:rFonts w:eastAsia="Malgun Gothic"/>
          <w:bCs/>
          <w:lang w:val="fr-FR"/>
        </w:rPr>
        <w:t>’</w:t>
      </w:r>
      <w:r w:rsidRPr="005D5CF2">
        <w:rPr>
          <w:rFonts w:eastAsia="Malgun Gothic"/>
          <w:bCs/>
          <w:lang w:val="fr-FR"/>
        </w:rPr>
        <w:t>Organe d</w:t>
      </w:r>
      <w:r w:rsidR="00923E72">
        <w:rPr>
          <w:rFonts w:eastAsia="Malgun Gothic"/>
          <w:bCs/>
          <w:lang w:val="fr-FR"/>
        </w:rPr>
        <w:t>’</w:t>
      </w:r>
      <w:r w:rsidRPr="005D5CF2">
        <w:rPr>
          <w:rFonts w:eastAsia="Malgun Gothic"/>
          <w:bCs/>
          <w:lang w:val="fr-FR"/>
        </w:rPr>
        <w:t>évaluation, ajoutant qu</w:t>
      </w:r>
      <w:r w:rsidR="00923E72">
        <w:rPr>
          <w:rFonts w:eastAsia="Malgun Gothic"/>
          <w:bCs/>
          <w:lang w:val="fr-FR"/>
        </w:rPr>
        <w:t>’</w:t>
      </w:r>
      <w:r w:rsidRPr="005D5CF2">
        <w:rPr>
          <w:rFonts w:eastAsia="Malgun Gothic"/>
          <w:bCs/>
          <w:lang w:val="fr-FR"/>
        </w:rPr>
        <w:t xml:space="preserve">il était utile et instructif de comprendre comment le processus fonctionnait, car il jetait sans aucun doute les bases pour progresser vers des candidatures </w:t>
      </w:r>
      <w:r w:rsidR="00331B4F">
        <w:rPr>
          <w:rFonts w:eastAsia="Malgun Gothic"/>
          <w:bCs/>
          <w:lang w:val="fr-FR"/>
        </w:rPr>
        <w:t xml:space="preserve">intégrant, </w:t>
      </w:r>
      <w:r w:rsidRPr="005D5CF2">
        <w:rPr>
          <w:rFonts w:eastAsia="Malgun Gothic"/>
          <w:bCs/>
          <w:lang w:val="fr-FR"/>
        </w:rPr>
        <w:t>avant tou</w:t>
      </w:r>
      <w:r w:rsidR="00331B4F">
        <w:rPr>
          <w:rFonts w:eastAsia="Malgun Gothic"/>
          <w:bCs/>
          <w:lang w:val="fr-FR"/>
        </w:rPr>
        <w:t>t,</w:t>
      </w:r>
      <w:r w:rsidRPr="005D5CF2">
        <w:rPr>
          <w:rFonts w:eastAsia="Malgun Gothic"/>
          <w:bCs/>
          <w:lang w:val="fr-FR"/>
        </w:rPr>
        <w:t xml:space="preserve"> la participation des communautés. Il était évident que le patrimoine culturel immatériel </w:t>
      </w:r>
      <w:r w:rsidRPr="005D5CF2">
        <w:rPr>
          <w:rFonts w:eastAsia="Malgun Gothic"/>
          <w:bCs/>
          <w:lang w:val="fr-FR"/>
        </w:rPr>
        <w:lastRenderedPageBreak/>
        <w:t>est traditionnel, contemporain, vivant, inclusif, représentatif et basé sur les communautés. La délégation</w:t>
      </w:r>
      <w:r w:rsidR="009B6A5A">
        <w:rPr>
          <w:rFonts w:eastAsia="Malgun Gothic"/>
          <w:bCs/>
          <w:lang w:val="fr-FR"/>
        </w:rPr>
        <w:t xml:space="preserve">, </w:t>
      </w:r>
      <w:r w:rsidR="00CC59E8">
        <w:rPr>
          <w:rFonts w:eastAsia="Malgun Gothic"/>
          <w:bCs/>
          <w:lang w:val="fr-FR"/>
        </w:rPr>
        <w:t xml:space="preserve">qui </w:t>
      </w:r>
      <w:r w:rsidRPr="005D5CF2">
        <w:rPr>
          <w:rFonts w:eastAsia="Malgun Gothic"/>
          <w:bCs/>
          <w:lang w:val="fr-FR"/>
        </w:rPr>
        <w:t>a convenu de la nécessité d</w:t>
      </w:r>
      <w:r w:rsidR="00923E72">
        <w:rPr>
          <w:rFonts w:eastAsia="Malgun Gothic"/>
          <w:bCs/>
          <w:lang w:val="fr-FR"/>
        </w:rPr>
        <w:t>’</w:t>
      </w:r>
      <w:r w:rsidRPr="005D5CF2">
        <w:rPr>
          <w:rFonts w:eastAsia="Malgun Gothic"/>
          <w:bCs/>
          <w:lang w:val="fr-FR"/>
        </w:rPr>
        <w:t xml:space="preserve">un plus grand équilibre </w:t>
      </w:r>
      <w:r>
        <w:rPr>
          <w:rFonts w:eastAsia="Malgun Gothic"/>
          <w:bCs/>
          <w:lang w:val="fr-FR"/>
        </w:rPr>
        <w:t xml:space="preserve">de </w:t>
      </w:r>
      <w:r w:rsidRPr="005D5CF2">
        <w:rPr>
          <w:rFonts w:eastAsia="Malgun Gothic"/>
          <w:bCs/>
          <w:lang w:val="fr-FR"/>
        </w:rPr>
        <w:t xml:space="preserve">la Liste représentative, </w:t>
      </w:r>
      <w:r w:rsidR="00CC59E8">
        <w:rPr>
          <w:rFonts w:eastAsia="Malgun Gothic"/>
          <w:bCs/>
          <w:lang w:val="fr-FR"/>
        </w:rPr>
        <w:t xml:space="preserve">pensait </w:t>
      </w:r>
      <w:r w:rsidRPr="005D5CF2">
        <w:rPr>
          <w:rFonts w:eastAsia="Malgun Gothic"/>
          <w:bCs/>
          <w:lang w:val="fr-FR"/>
        </w:rPr>
        <w:t>qu</w:t>
      </w:r>
      <w:r w:rsidR="009B6A5A">
        <w:rPr>
          <w:rFonts w:eastAsia="Malgun Gothic"/>
          <w:bCs/>
          <w:lang w:val="fr-FR"/>
        </w:rPr>
        <w:t xml:space="preserve">e ce serait une bonne chose </w:t>
      </w:r>
      <w:r w:rsidRPr="005D5CF2">
        <w:rPr>
          <w:rFonts w:eastAsia="Malgun Gothic"/>
          <w:bCs/>
          <w:lang w:val="fr-FR"/>
        </w:rPr>
        <w:t>d</w:t>
      </w:r>
      <w:r w:rsidR="009B6A5A">
        <w:rPr>
          <w:rFonts w:eastAsia="Malgun Gothic"/>
          <w:bCs/>
          <w:lang w:val="fr-FR"/>
        </w:rPr>
        <w:t>e réfléchir à</w:t>
      </w:r>
      <w:r w:rsidRPr="005D5CF2">
        <w:rPr>
          <w:rFonts w:eastAsia="Malgun Gothic"/>
          <w:bCs/>
          <w:lang w:val="fr-FR"/>
        </w:rPr>
        <w:t xml:space="preserve"> un</w:t>
      </w:r>
      <w:r w:rsidR="009B6A5A">
        <w:rPr>
          <w:rFonts w:eastAsia="Malgun Gothic"/>
          <w:bCs/>
          <w:lang w:val="fr-FR"/>
        </w:rPr>
        <w:t xml:space="preserve">e fonction </w:t>
      </w:r>
      <w:r w:rsidRPr="005D5CF2">
        <w:rPr>
          <w:rFonts w:eastAsia="Malgun Gothic"/>
          <w:bCs/>
          <w:lang w:val="fr-FR"/>
        </w:rPr>
        <w:t xml:space="preserve">pédagogique </w:t>
      </w:r>
      <w:r w:rsidR="009B6A5A">
        <w:rPr>
          <w:rFonts w:eastAsia="Malgun Gothic"/>
          <w:bCs/>
          <w:lang w:val="fr-FR"/>
        </w:rPr>
        <w:t xml:space="preserve">que pourrait jouer la Convention en </w:t>
      </w:r>
      <w:r w:rsidRPr="005D5CF2">
        <w:rPr>
          <w:rFonts w:eastAsia="Malgun Gothic"/>
          <w:bCs/>
          <w:lang w:val="fr-FR"/>
        </w:rPr>
        <w:t>aid</w:t>
      </w:r>
      <w:r w:rsidR="009B6A5A">
        <w:rPr>
          <w:rFonts w:eastAsia="Malgun Gothic"/>
          <w:bCs/>
          <w:lang w:val="fr-FR"/>
        </w:rPr>
        <w:t>ant</w:t>
      </w:r>
      <w:r w:rsidRPr="005D5CF2">
        <w:rPr>
          <w:rFonts w:eastAsia="Malgun Gothic"/>
          <w:bCs/>
          <w:lang w:val="fr-FR"/>
        </w:rPr>
        <w:t xml:space="preserve"> les États à mieux comprendre comment identifier clairement les éléments du patrimoine culturel immatériel, tout en mettant l</w:t>
      </w:r>
      <w:r w:rsidR="00923E72">
        <w:rPr>
          <w:rFonts w:eastAsia="Malgun Gothic"/>
          <w:bCs/>
          <w:lang w:val="fr-FR"/>
        </w:rPr>
        <w:t>’</w:t>
      </w:r>
      <w:r w:rsidRPr="005D5CF2">
        <w:rPr>
          <w:rFonts w:eastAsia="Malgun Gothic"/>
          <w:bCs/>
          <w:lang w:val="fr-FR"/>
        </w:rPr>
        <w:t>accent sur le rôle central joué par les communautés. Dans nos cultures, le patrimoine culturel immatériel était avant tout communautaire</w:t>
      </w:r>
      <w:r w:rsidR="009B6A5A">
        <w:rPr>
          <w:rFonts w:eastAsia="Malgun Gothic"/>
          <w:bCs/>
          <w:lang w:val="fr-FR"/>
        </w:rPr>
        <w:t>,</w:t>
      </w:r>
      <w:r w:rsidRPr="005D5CF2">
        <w:rPr>
          <w:rFonts w:eastAsia="Malgun Gothic"/>
          <w:bCs/>
          <w:lang w:val="fr-FR"/>
        </w:rPr>
        <w:t xml:space="preserve"> et c</w:t>
      </w:r>
      <w:r w:rsidR="00923E72">
        <w:rPr>
          <w:rFonts w:eastAsia="Malgun Gothic"/>
          <w:bCs/>
          <w:lang w:val="fr-FR"/>
        </w:rPr>
        <w:t>’</w:t>
      </w:r>
      <w:r w:rsidRPr="005D5CF2">
        <w:rPr>
          <w:rFonts w:eastAsia="Malgun Gothic"/>
          <w:bCs/>
          <w:lang w:val="fr-FR"/>
        </w:rPr>
        <w:t>était là que les indicateurs étaient nécessaires pour appréhender fidèlement cet élément, car les détenteurs du patrimoine sont des membres des communautés autochtones. Il était parfois très difficile de mettre en place des formulaires en fonction du niveau d</w:t>
      </w:r>
      <w:r w:rsidR="00923E72">
        <w:rPr>
          <w:rFonts w:eastAsia="Malgun Gothic"/>
          <w:bCs/>
          <w:lang w:val="fr-FR"/>
        </w:rPr>
        <w:t>’</w:t>
      </w:r>
      <w:r w:rsidRPr="005D5CF2">
        <w:rPr>
          <w:rFonts w:eastAsia="Malgun Gothic"/>
          <w:bCs/>
          <w:lang w:val="fr-FR"/>
        </w:rPr>
        <w:t xml:space="preserve">expertise dans le domaine. </w:t>
      </w:r>
      <w:r>
        <w:rPr>
          <w:rFonts w:eastAsia="Malgun Gothic"/>
          <w:bCs/>
          <w:lang w:val="fr-FR"/>
        </w:rPr>
        <w:t>S</w:t>
      </w:r>
      <w:r w:rsidR="00923E72">
        <w:rPr>
          <w:rFonts w:eastAsia="Malgun Gothic"/>
          <w:bCs/>
          <w:lang w:val="fr-FR"/>
        </w:rPr>
        <w:t>’</w:t>
      </w:r>
      <w:r>
        <w:rPr>
          <w:rFonts w:eastAsia="Malgun Gothic"/>
          <w:bCs/>
          <w:lang w:val="fr-FR"/>
        </w:rPr>
        <w:t xml:space="preserve">agissant de </w:t>
      </w:r>
      <w:r w:rsidRPr="005D5CF2">
        <w:rPr>
          <w:rFonts w:eastAsia="Malgun Gothic"/>
          <w:bCs/>
          <w:lang w:val="fr-FR"/>
        </w:rPr>
        <w:t>la commercialisation excessive, la délégation s</w:t>
      </w:r>
      <w:r w:rsidR="00923E72">
        <w:rPr>
          <w:rFonts w:eastAsia="Malgun Gothic"/>
          <w:bCs/>
          <w:lang w:val="fr-FR"/>
        </w:rPr>
        <w:t>’</w:t>
      </w:r>
      <w:r>
        <w:rPr>
          <w:rFonts w:eastAsia="Malgun Gothic"/>
          <w:bCs/>
          <w:lang w:val="fr-FR"/>
        </w:rPr>
        <w:t xml:space="preserve">est </w:t>
      </w:r>
      <w:r w:rsidRPr="005D5CF2">
        <w:rPr>
          <w:rFonts w:eastAsia="Malgun Gothic"/>
          <w:bCs/>
          <w:lang w:val="fr-FR"/>
        </w:rPr>
        <w:t>interrog</w:t>
      </w:r>
      <w:r>
        <w:rPr>
          <w:rFonts w:eastAsia="Malgun Gothic"/>
          <w:bCs/>
          <w:lang w:val="fr-FR"/>
        </w:rPr>
        <w:t>ée</w:t>
      </w:r>
      <w:r w:rsidRPr="005D5CF2">
        <w:rPr>
          <w:rFonts w:eastAsia="Malgun Gothic"/>
          <w:bCs/>
          <w:lang w:val="fr-FR"/>
        </w:rPr>
        <w:t xml:space="preserve"> sur la manière dont elle est mesurée et sur les indicateurs utilisés, rappelant que souvent, les gens utilisent leurs éléments dynamiques pour exister et subsister.</w:t>
      </w:r>
    </w:p>
    <w:p w14:paraId="3D792E17" w14:textId="4D700C66" w:rsidR="005D5CF2" w:rsidRDefault="00964B7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64B7B">
        <w:rPr>
          <w:rFonts w:eastAsia="Malgun Gothic"/>
          <w:bCs/>
          <w:lang w:val="fr-FR"/>
        </w:rPr>
        <w:t xml:space="preserve">La délégation du </w:t>
      </w:r>
      <w:r w:rsidRPr="00702497">
        <w:rPr>
          <w:rFonts w:eastAsia="Malgun Gothic"/>
          <w:b/>
          <w:lang w:val="fr-FR"/>
        </w:rPr>
        <w:t>Bangladesh</w:t>
      </w:r>
      <w:r w:rsidRPr="00964B7B">
        <w:rPr>
          <w:rFonts w:eastAsia="Malgun Gothic"/>
          <w:bCs/>
          <w:lang w:val="fr-FR"/>
        </w:rPr>
        <w:t xml:space="preserve"> s</w:t>
      </w:r>
      <w:r w:rsidR="00923E72">
        <w:rPr>
          <w:rFonts w:eastAsia="Malgun Gothic"/>
          <w:bCs/>
          <w:lang w:val="fr-FR"/>
        </w:rPr>
        <w:t>’</w:t>
      </w:r>
      <w:r w:rsidRPr="00964B7B">
        <w:rPr>
          <w:rFonts w:eastAsia="Malgun Gothic"/>
          <w:bCs/>
          <w:lang w:val="fr-FR"/>
        </w:rPr>
        <w:t>est félicitée du rapport complet de l</w:t>
      </w:r>
      <w:r w:rsidR="00923E72">
        <w:rPr>
          <w:rFonts w:eastAsia="Malgun Gothic"/>
          <w:bCs/>
          <w:lang w:val="fr-FR"/>
        </w:rPr>
        <w:t>’</w:t>
      </w:r>
      <w:r w:rsidRPr="00964B7B">
        <w:rPr>
          <w:rFonts w:eastAsia="Malgun Gothic"/>
          <w:bCs/>
          <w:lang w:val="fr-FR"/>
        </w:rPr>
        <w:t>Organe d</w:t>
      </w:r>
      <w:r w:rsidR="00923E72">
        <w:rPr>
          <w:rFonts w:eastAsia="Malgun Gothic"/>
          <w:bCs/>
          <w:lang w:val="fr-FR"/>
        </w:rPr>
        <w:t>’</w:t>
      </w:r>
      <w:r w:rsidRPr="00964B7B">
        <w:rPr>
          <w:rFonts w:eastAsia="Malgun Gothic"/>
          <w:bCs/>
          <w:lang w:val="fr-FR"/>
        </w:rPr>
        <w:t>évaluation, rassurée par le fait que les États parties attachent une grande importance à la Convention, en particulier aux communautés. Elle avait en outre apprécié les nuances des remarques et observations formulées par l</w:t>
      </w:r>
      <w:r w:rsidR="00923E72">
        <w:rPr>
          <w:rFonts w:eastAsia="Malgun Gothic"/>
          <w:bCs/>
          <w:lang w:val="fr-FR"/>
        </w:rPr>
        <w:t>’</w:t>
      </w:r>
      <w:r w:rsidRPr="00964B7B">
        <w:rPr>
          <w:rFonts w:eastAsia="Malgun Gothic"/>
          <w:bCs/>
          <w:lang w:val="fr-FR"/>
        </w:rPr>
        <w:t>Organe d</w:t>
      </w:r>
      <w:r w:rsidR="00923E72">
        <w:rPr>
          <w:rFonts w:eastAsia="Malgun Gothic"/>
          <w:bCs/>
          <w:lang w:val="fr-FR"/>
        </w:rPr>
        <w:t>’</w:t>
      </w:r>
      <w:r w:rsidRPr="00964B7B">
        <w:rPr>
          <w:rFonts w:eastAsia="Malgun Gothic"/>
          <w:bCs/>
          <w:lang w:val="fr-FR"/>
        </w:rPr>
        <w:t>évaluation. Le rapport</w:t>
      </w:r>
      <w:r w:rsidR="00331B4F">
        <w:rPr>
          <w:rFonts w:eastAsia="Malgun Gothic"/>
          <w:bCs/>
          <w:lang w:val="fr-FR"/>
        </w:rPr>
        <w:t xml:space="preserve"> </w:t>
      </w:r>
      <w:r w:rsidRPr="00964B7B">
        <w:rPr>
          <w:rFonts w:eastAsia="Malgun Gothic"/>
          <w:bCs/>
          <w:lang w:val="fr-FR"/>
        </w:rPr>
        <w:t xml:space="preserve">oral </w:t>
      </w:r>
      <w:r w:rsidR="00331B4F">
        <w:rPr>
          <w:rFonts w:eastAsia="Malgun Gothic"/>
          <w:bCs/>
          <w:lang w:val="fr-FR"/>
        </w:rPr>
        <w:t>d</w:t>
      </w:r>
      <w:r w:rsidR="00923E72">
        <w:rPr>
          <w:rFonts w:eastAsia="Malgun Gothic"/>
          <w:bCs/>
          <w:lang w:val="fr-FR"/>
        </w:rPr>
        <w:t>’</w:t>
      </w:r>
      <w:r w:rsidR="00331B4F">
        <w:rPr>
          <w:rFonts w:eastAsia="Malgun Gothic"/>
          <w:bCs/>
          <w:lang w:val="fr-FR"/>
        </w:rPr>
        <w:t xml:space="preserve">information </w:t>
      </w:r>
      <w:r w:rsidRPr="00964B7B">
        <w:rPr>
          <w:rFonts w:eastAsia="Malgun Gothic"/>
          <w:bCs/>
          <w:lang w:val="fr-FR"/>
        </w:rPr>
        <w:t>présenté par le Rapporteur permettait également de mieux comprendre la Convention et ses procédures. La délégation avait également pris conscience des difficultés rencontrées lors de l</w:t>
      </w:r>
      <w:r w:rsidR="00923E72">
        <w:rPr>
          <w:rFonts w:eastAsia="Malgun Gothic"/>
          <w:bCs/>
          <w:lang w:val="fr-FR"/>
        </w:rPr>
        <w:t>’</w:t>
      </w:r>
      <w:r w:rsidRPr="00964B7B">
        <w:rPr>
          <w:rFonts w:eastAsia="Malgun Gothic"/>
          <w:bCs/>
          <w:lang w:val="fr-FR"/>
        </w:rPr>
        <w:t>évaluation des dossiers, remerciant l</w:t>
      </w:r>
      <w:r w:rsidR="00923E72">
        <w:rPr>
          <w:rFonts w:eastAsia="Malgun Gothic"/>
          <w:bCs/>
          <w:lang w:val="fr-FR"/>
        </w:rPr>
        <w:t>’</w:t>
      </w:r>
      <w:r w:rsidRPr="00964B7B">
        <w:rPr>
          <w:rFonts w:eastAsia="Malgun Gothic"/>
          <w:bCs/>
          <w:lang w:val="fr-FR"/>
        </w:rPr>
        <w:t>Organe d</w:t>
      </w:r>
      <w:r w:rsidR="00923E72">
        <w:rPr>
          <w:rFonts w:eastAsia="Malgun Gothic"/>
          <w:bCs/>
          <w:lang w:val="fr-FR"/>
        </w:rPr>
        <w:t>’</w:t>
      </w:r>
      <w:r w:rsidRPr="00964B7B">
        <w:rPr>
          <w:rFonts w:eastAsia="Malgun Gothic"/>
          <w:bCs/>
          <w:lang w:val="fr-FR"/>
        </w:rPr>
        <w:t>évaluation pour son évaluation technique. Toutefois, il était toujours essentiel que les États membres élus évaluent les candidatures et décident des inscriptions. Tout en soulignant l</w:t>
      </w:r>
      <w:r w:rsidR="00923E72">
        <w:rPr>
          <w:rFonts w:eastAsia="Malgun Gothic"/>
          <w:bCs/>
          <w:lang w:val="fr-FR"/>
        </w:rPr>
        <w:t>’</w:t>
      </w:r>
      <w:r w:rsidRPr="00964B7B">
        <w:rPr>
          <w:rFonts w:eastAsia="Malgun Gothic"/>
          <w:bCs/>
          <w:lang w:val="fr-FR"/>
        </w:rPr>
        <w:t>importance d</w:t>
      </w:r>
      <w:r w:rsidR="00923E72">
        <w:rPr>
          <w:rFonts w:eastAsia="Malgun Gothic"/>
          <w:bCs/>
          <w:lang w:val="fr-FR"/>
        </w:rPr>
        <w:t>’</w:t>
      </w:r>
      <w:r>
        <w:rPr>
          <w:rFonts w:eastAsia="Malgun Gothic"/>
          <w:bCs/>
          <w:lang w:val="fr-FR"/>
        </w:rPr>
        <w:t xml:space="preserve">apporter des preuves de </w:t>
      </w:r>
      <w:r w:rsidRPr="00964B7B">
        <w:rPr>
          <w:rFonts w:eastAsia="Malgun Gothic"/>
          <w:bCs/>
          <w:lang w:val="fr-FR"/>
        </w:rPr>
        <w:t>la participation active des communautés concernées, la délégation a également insisté sur l</w:t>
      </w:r>
      <w:r w:rsidR="00923E72">
        <w:rPr>
          <w:rFonts w:eastAsia="Malgun Gothic"/>
          <w:bCs/>
          <w:lang w:val="fr-FR"/>
        </w:rPr>
        <w:t>’</w:t>
      </w:r>
      <w:r w:rsidRPr="00964B7B">
        <w:rPr>
          <w:rFonts w:eastAsia="Malgun Gothic"/>
          <w:bCs/>
          <w:lang w:val="fr-FR"/>
        </w:rPr>
        <w:t xml:space="preserve">importance et la nécessité de diffuser de manière </w:t>
      </w:r>
      <w:r>
        <w:rPr>
          <w:rFonts w:eastAsia="Malgun Gothic"/>
          <w:bCs/>
          <w:lang w:val="fr-FR"/>
        </w:rPr>
        <w:t xml:space="preserve">systématique </w:t>
      </w:r>
      <w:r w:rsidRPr="00964B7B">
        <w:rPr>
          <w:rFonts w:eastAsia="Malgun Gothic"/>
          <w:bCs/>
          <w:lang w:val="fr-FR"/>
        </w:rPr>
        <w:t>des informations techniques sur les paramètres permettant de présenter la participation des communautés. À cette fin, la délégation a demandé au Secrétariat de consulter les États membres et, si possible, de présenter un format pouvant être utilisé pour préparer un questionnaire et un formulaire de consentement pour les communautés concernées. L</w:t>
      </w:r>
      <w:r w:rsidR="00923E72">
        <w:rPr>
          <w:rFonts w:eastAsia="Malgun Gothic"/>
          <w:bCs/>
          <w:lang w:val="fr-FR"/>
        </w:rPr>
        <w:t>’</w:t>
      </w:r>
      <w:r w:rsidRPr="00964B7B">
        <w:rPr>
          <w:rFonts w:eastAsia="Malgun Gothic"/>
          <w:bCs/>
          <w:lang w:val="fr-FR"/>
        </w:rPr>
        <w:t>objectif ultime devrait être de rendre le processus d</w:t>
      </w:r>
      <w:r w:rsidR="00923E72">
        <w:rPr>
          <w:rFonts w:eastAsia="Malgun Gothic"/>
          <w:bCs/>
          <w:lang w:val="fr-FR"/>
        </w:rPr>
        <w:t>’</w:t>
      </w:r>
      <w:r w:rsidRPr="00964B7B">
        <w:rPr>
          <w:rFonts w:eastAsia="Malgun Gothic"/>
          <w:bCs/>
          <w:lang w:val="fr-FR"/>
        </w:rPr>
        <w:t>inscription aussi facile que possible afin que les éléments inscrits se concentrent davantage sur les mécanismes de sauvegarde postérieurs à l</w:t>
      </w:r>
      <w:r w:rsidR="00923E72">
        <w:rPr>
          <w:rFonts w:eastAsia="Malgun Gothic"/>
          <w:bCs/>
          <w:lang w:val="fr-FR"/>
        </w:rPr>
        <w:t>’</w:t>
      </w:r>
      <w:r w:rsidRPr="00964B7B">
        <w:rPr>
          <w:rFonts w:eastAsia="Malgun Gothic"/>
          <w:bCs/>
          <w:lang w:val="fr-FR"/>
        </w:rPr>
        <w:t>inscription, de sorte que le patrimoine immatériel de l</w:t>
      </w:r>
      <w:r w:rsidR="00923E72">
        <w:rPr>
          <w:rFonts w:eastAsia="Malgun Gothic"/>
          <w:bCs/>
          <w:lang w:val="fr-FR"/>
        </w:rPr>
        <w:t>’</w:t>
      </w:r>
      <w:r w:rsidRPr="00964B7B">
        <w:rPr>
          <w:rFonts w:eastAsia="Malgun Gothic"/>
          <w:bCs/>
          <w:lang w:val="fr-FR"/>
        </w:rPr>
        <w:t xml:space="preserve">humanité soit bien sauvegardé pour la postérité. </w:t>
      </w:r>
      <w:r w:rsidR="00331B4F">
        <w:rPr>
          <w:rFonts w:eastAsia="Malgun Gothic"/>
          <w:bCs/>
          <w:lang w:val="fr-FR"/>
        </w:rPr>
        <w:t xml:space="preserve">En guise de conclusion, la </w:t>
      </w:r>
      <w:r w:rsidR="00331B4F" w:rsidRPr="00331B4F">
        <w:rPr>
          <w:rFonts w:eastAsia="Malgun Gothic"/>
          <w:bCs/>
          <w:lang w:val="fr-FR"/>
        </w:rPr>
        <w:t>délégation</w:t>
      </w:r>
      <w:r w:rsidR="00331B4F">
        <w:rPr>
          <w:rFonts w:eastAsia="Malgun Gothic"/>
          <w:bCs/>
          <w:lang w:val="fr-FR"/>
        </w:rPr>
        <w:t xml:space="preserve"> a déclaré que l</w:t>
      </w:r>
      <w:r w:rsidRPr="00964B7B">
        <w:rPr>
          <w:rFonts w:eastAsia="Malgun Gothic"/>
          <w:bCs/>
          <w:lang w:val="fr-FR"/>
        </w:rPr>
        <w:t xml:space="preserve">es inscriptions ne </w:t>
      </w:r>
      <w:r w:rsidR="009B6A5A">
        <w:rPr>
          <w:rFonts w:eastAsia="Malgun Gothic"/>
          <w:bCs/>
          <w:lang w:val="fr-FR"/>
        </w:rPr>
        <w:t>sont pas</w:t>
      </w:r>
      <w:r w:rsidR="00851F77">
        <w:rPr>
          <w:rFonts w:eastAsia="Malgun Gothic"/>
          <w:bCs/>
          <w:lang w:val="fr-FR"/>
        </w:rPr>
        <w:t xml:space="preserve"> un aboutissement tout auréolé de gloire</w:t>
      </w:r>
      <w:r w:rsidRPr="00964B7B">
        <w:rPr>
          <w:rFonts w:eastAsia="Malgun Gothic"/>
          <w:bCs/>
          <w:lang w:val="fr-FR"/>
        </w:rPr>
        <w:t xml:space="preserve">, mais </w:t>
      </w:r>
      <w:r w:rsidR="00851F77">
        <w:rPr>
          <w:rFonts w:eastAsia="Malgun Gothic"/>
          <w:bCs/>
          <w:lang w:val="fr-FR"/>
        </w:rPr>
        <w:t>qu</w:t>
      </w:r>
      <w:r w:rsidR="00923E72">
        <w:rPr>
          <w:rFonts w:eastAsia="Malgun Gothic"/>
          <w:bCs/>
          <w:lang w:val="fr-FR"/>
        </w:rPr>
        <w:t>’</w:t>
      </w:r>
      <w:r w:rsidR="00851F77">
        <w:rPr>
          <w:rFonts w:eastAsia="Malgun Gothic"/>
          <w:bCs/>
          <w:lang w:val="fr-FR"/>
        </w:rPr>
        <w:t xml:space="preserve">elles soulignent plutôt </w:t>
      </w:r>
      <w:r w:rsidR="00331B4F">
        <w:rPr>
          <w:rFonts w:eastAsia="Malgun Gothic"/>
          <w:bCs/>
          <w:lang w:val="fr-FR"/>
        </w:rPr>
        <w:t>notre r</w:t>
      </w:r>
      <w:r w:rsidRPr="00964B7B">
        <w:rPr>
          <w:rFonts w:eastAsia="Malgun Gothic"/>
          <w:bCs/>
          <w:lang w:val="fr-FR"/>
        </w:rPr>
        <w:t>esponsabilité de protéger</w:t>
      </w:r>
      <w:r w:rsidR="006821BC">
        <w:rPr>
          <w:rFonts w:eastAsia="Malgun Gothic"/>
          <w:bCs/>
          <w:lang w:val="fr-FR"/>
        </w:rPr>
        <w:t xml:space="preserve"> les éléments</w:t>
      </w:r>
      <w:r w:rsidRPr="00964B7B">
        <w:rPr>
          <w:rFonts w:eastAsia="Malgun Gothic"/>
          <w:bCs/>
          <w:lang w:val="fr-FR"/>
        </w:rPr>
        <w:t>.</w:t>
      </w:r>
    </w:p>
    <w:p w14:paraId="6B21EC5D" w14:textId="1E4E2614" w:rsidR="00964B7B" w:rsidRDefault="00964B7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64B7B">
        <w:rPr>
          <w:rFonts w:eastAsia="Malgun Gothic"/>
          <w:bCs/>
          <w:lang w:val="fr-FR"/>
        </w:rPr>
        <w:t>En l</w:t>
      </w:r>
      <w:r w:rsidR="00923E72">
        <w:rPr>
          <w:rFonts w:eastAsia="Malgun Gothic"/>
          <w:bCs/>
          <w:lang w:val="fr-FR"/>
        </w:rPr>
        <w:t>’</w:t>
      </w:r>
      <w:r w:rsidRPr="00964B7B">
        <w:rPr>
          <w:rFonts w:eastAsia="Malgun Gothic"/>
          <w:bCs/>
          <w:lang w:val="fr-FR"/>
        </w:rPr>
        <w:t>absence</w:t>
      </w:r>
      <w:r>
        <w:rPr>
          <w:rFonts w:eastAsia="Malgun Gothic"/>
          <w:bCs/>
          <w:lang w:val="fr-FR"/>
        </w:rPr>
        <w:t xml:space="preserve"> d</w:t>
      </w:r>
      <w:r w:rsidR="00923E72">
        <w:rPr>
          <w:rFonts w:eastAsia="Malgun Gothic"/>
          <w:bCs/>
          <w:lang w:val="fr-FR"/>
        </w:rPr>
        <w:t>’</w:t>
      </w:r>
      <w:r>
        <w:rPr>
          <w:rFonts w:eastAsia="Malgun Gothic"/>
          <w:bCs/>
          <w:lang w:val="fr-FR"/>
        </w:rPr>
        <w:t xml:space="preserve">autres </w:t>
      </w:r>
      <w:r w:rsidRPr="00964B7B">
        <w:rPr>
          <w:rFonts w:eastAsia="Malgun Gothic"/>
          <w:bCs/>
          <w:lang w:val="fr-FR"/>
        </w:rPr>
        <w:t>commentaires</w:t>
      </w:r>
      <w:r>
        <w:rPr>
          <w:rFonts w:eastAsia="Malgun Gothic"/>
          <w:bCs/>
          <w:lang w:val="fr-FR"/>
        </w:rPr>
        <w:t xml:space="preserve"> de membres du Comité, le </w:t>
      </w:r>
      <w:r w:rsidRPr="00702497">
        <w:rPr>
          <w:rFonts w:eastAsia="Malgun Gothic"/>
          <w:b/>
          <w:lang w:val="fr-FR"/>
        </w:rPr>
        <w:t>Président</w:t>
      </w:r>
      <w:r>
        <w:rPr>
          <w:rFonts w:eastAsia="Malgun Gothic"/>
          <w:bCs/>
          <w:lang w:val="fr-FR"/>
        </w:rPr>
        <w:t xml:space="preserve"> a donné la parole aux </w:t>
      </w:r>
      <w:r w:rsidRPr="00964B7B">
        <w:rPr>
          <w:rFonts w:eastAsia="Malgun Gothic"/>
          <w:bCs/>
          <w:lang w:val="fr-FR"/>
        </w:rPr>
        <w:t>observateurs</w:t>
      </w:r>
      <w:r>
        <w:rPr>
          <w:rFonts w:eastAsia="Malgun Gothic"/>
          <w:bCs/>
          <w:lang w:val="fr-FR"/>
        </w:rPr>
        <w:t>.</w:t>
      </w:r>
    </w:p>
    <w:p w14:paraId="1B13912B" w14:textId="41BFAA6F" w:rsidR="00964B7B" w:rsidRDefault="00964B7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64B7B">
        <w:rPr>
          <w:rFonts w:eastAsia="Malgun Gothic"/>
          <w:bCs/>
          <w:lang w:val="fr-FR"/>
        </w:rPr>
        <w:t xml:space="preserve">La délégation de la </w:t>
      </w:r>
      <w:r w:rsidRPr="00702497">
        <w:rPr>
          <w:rFonts w:eastAsia="Malgun Gothic"/>
          <w:b/>
          <w:lang w:val="fr-FR"/>
        </w:rPr>
        <w:t>Palestine</w:t>
      </w:r>
      <w:r w:rsidRPr="00964B7B">
        <w:rPr>
          <w:rFonts w:eastAsia="Malgun Gothic"/>
          <w:bCs/>
          <w:lang w:val="fr-FR"/>
        </w:rPr>
        <w:t xml:space="preserve"> a remercié et félicité l</w:t>
      </w:r>
      <w:r w:rsidR="00923E72">
        <w:rPr>
          <w:rFonts w:eastAsia="Malgun Gothic"/>
          <w:bCs/>
          <w:lang w:val="fr-FR"/>
        </w:rPr>
        <w:t>’</w:t>
      </w:r>
      <w:r w:rsidRPr="00964B7B">
        <w:rPr>
          <w:rFonts w:eastAsia="Malgun Gothic"/>
          <w:bCs/>
          <w:lang w:val="fr-FR"/>
        </w:rPr>
        <w:t>Organe d</w:t>
      </w:r>
      <w:r w:rsidR="00923E72">
        <w:rPr>
          <w:rFonts w:eastAsia="Malgun Gothic"/>
          <w:bCs/>
          <w:lang w:val="fr-FR"/>
        </w:rPr>
        <w:t>’</w:t>
      </w:r>
      <w:r w:rsidRPr="00964B7B">
        <w:rPr>
          <w:rFonts w:eastAsia="Malgun Gothic"/>
          <w:bCs/>
          <w:lang w:val="fr-FR"/>
        </w:rPr>
        <w:t>évaluation pour la clarté et l</w:t>
      </w:r>
      <w:r w:rsidR="00923E72">
        <w:rPr>
          <w:rFonts w:eastAsia="Malgun Gothic"/>
          <w:bCs/>
          <w:lang w:val="fr-FR"/>
        </w:rPr>
        <w:t>’</w:t>
      </w:r>
      <w:r w:rsidRPr="00964B7B">
        <w:rPr>
          <w:rFonts w:eastAsia="Malgun Gothic"/>
          <w:bCs/>
          <w:lang w:val="fr-FR"/>
        </w:rPr>
        <w:t xml:space="preserve">excellence de son rapport, qui soulevait de nombreuses questions. </w:t>
      </w:r>
      <w:r w:rsidR="00851F77">
        <w:rPr>
          <w:rFonts w:eastAsia="Malgun Gothic"/>
          <w:bCs/>
          <w:lang w:val="fr-FR"/>
        </w:rPr>
        <w:t>Ayant</w:t>
      </w:r>
      <w:r w:rsidRPr="00964B7B">
        <w:rPr>
          <w:rFonts w:eastAsia="Malgun Gothic"/>
          <w:bCs/>
          <w:lang w:val="fr-FR"/>
        </w:rPr>
        <w:t xml:space="preserve"> </w:t>
      </w:r>
      <w:r w:rsidR="00851F77">
        <w:rPr>
          <w:rFonts w:eastAsia="Malgun Gothic"/>
          <w:bCs/>
          <w:lang w:val="fr-FR"/>
        </w:rPr>
        <w:t>constaté</w:t>
      </w:r>
      <w:r w:rsidRPr="00964B7B">
        <w:rPr>
          <w:rFonts w:eastAsia="Malgun Gothic"/>
          <w:bCs/>
          <w:lang w:val="fr-FR"/>
        </w:rPr>
        <w:t xml:space="preserve"> la forte demande </w:t>
      </w:r>
      <w:r w:rsidR="00851F77">
        <w:rPr>
          <w:rFonts w:eastAsia="Malgun Gothic"/>
          <w:bCs/>
          <w:lang w:val="fr-FR"/>
        </w:rPr>
        <w:t>en faveur d</w:t>
      </w:r>
      <w:r w:rsidR="00923E72">
        <w:rPr>
          <w:rFonts w:eastAsia="Malgun Gothic"/>
          <w:bCs/>
          <w:lang w:val="fr-FR"/>
        </w:rPr>
        <w:t>’</w:t>
      </w:r>
      <w:r w:rsidR="00851F77">
        <w:rPr>
          <w:rFonts w:eastAsia="Malgun Gothic"/>
          <w:bCs/>
          <w:lang w:val="fr-FR"/>
        </w:rPr>
        <w:t xml:space="preserve">une </w:t>
      </w:r>
      <w:r w:rsidRPr="00964B7B">
        <w:rPr>
          <w:rFonts w:eastAsia="Malgun Gothic"/>
          <w:bCs/>
          <w:lang w:val="fr-FR"/>
        </w:rPr>
        <w:t xml:space="preserve">extension du </w:t>
      </w:r>
      <w:r w:rsidR="00441882">
        <w:rPr>
          <w:rFonts w:eastAsia="Malgun Gothic"/>
          <w:bCs/>
          <w:lang w:val="fr-FR"/>
        </w:rPr>
        <w:t xml:space="preserve">mécanisme de </w:t>
      </w:r>
      <w:r w:rsidRPr="00964B7B">
        <w:rPr>
          <w:rFonts w:eastAsia="Malgun Gothic"/>
          <w:bCs/>
          <w:lang w:val="fr-FR"/>
        </w:rPr>
        <w:t>dialogue afin d</w:t>
      </w:r>
      <w:r w:rsidR="00923E72">
        <w:rPr>
          <w:rFonts w:eastAsia="Malgun Gothic"/>
          <w:bCs/>
          <w:lang w:val="fr-FR"/>
        </w:rPr>
        <w:t>’</w:t>
      </w:r>
      <w:r w:rsidRPr="00964B7B">
        <w:rPr>
          <w:rFonts w:eastAsia="Malgun Gothic"/>
          <w:bCs/>
          <w:lang w:val="fr-FR"/>
        </w:rPr>
        <w:t>inclure davantage de dossiers</w:t>
      </w:r>
      <w:r w:rsidR="00851F77">
        <w:rPr>
          <w:rFonts w:eastAsia="Malgun Gothic"/>
          <w:bCs/>
          <w:lang w:val="fr-FR"/>
        </w:rPr>
        <w:t xml:space="preserve">, </w:t>
      </w:r>
      <w:r w:rsidRPr="00964B7B">
        <w:rPr>
          <w:rFonts w:eastAsia="Malgun Gothic"/>
          <w:bCs/>
          <w:lang w:val="fr-FR"/>
        </w:rPr>
        <w:t>elle a suggéré que les membres du Comité envisagent la création d</w:t>
      </w:r>
      <w:r w:rsidR="00923E72">
        <w:rPr>
          <w:rFonts w:eastAsia="Malgun Gothic"/>
          <w:bCs/>
          <w:lang w:val="fr-FR"/>
        </w:rPr>
        <w:t>’</w:t>
      </w:r>
      <w:r w:rsidRPr="00964B7B">
        <w:rPr>
          <w:rFonts w:eastAsia="Malgun Gothic"/>
          <w:bCs/>
          <w:lang w:val="fr-FR"/>
        </w:rPr>
        <w:t>un groupe de travail pour examiner cette question ainsi que les autres questions soulevées</w:t>
      </w:r>
      <w:r w:rsidR="006F049A">
        <w:rPr>
          <w:rFonts w:eastAsia="Malgun Gothic"/>
          <w:bCs/>
          <w:lang w:val="fr-FR"/>
        </w:rPr>
        <w:t>,</w:t>
      </w:r>
      <w:r w:rsidRPr="00964B7B">
        <w:rPr>
          <w:rFonts w:eastAsia="Malgun Gothic"/>
          <w:bCs/>
          <w:lang w:val="fr-FR"/>
        </w:rPr>
        <w:t xml:space="preserve"> </w:t>
      </w:r>
      <w:r w:rsidR="006F049A">
        <w:rPr>
          <w:rFonts w:eastAsia="Malgun Gothic"/>
          <w:bCs/>
          <w:lang w:val="fr-FR"/>
        </w:rPr>
        <w:t>p</w:t>
      </w:r>
      <w:r w:rsidRPr="00964B7B">
        <w:rPr>
          <w:rFonts w:eastAsia="Malgun Gothic"/>
          <w:bCs/>
          <w:lang w:val="fr-FR"/>
        </w:rPr>
        <w:t>ar exemple, la méthode de travail du Comité</w:t>
      </w:r>
      <w:r w:rsidR="00851F77">
        <w:rPr>
          <w:rFonts w:eastAsia="Malgun Gothic"/>
          <w:bCs/>
          <w:lang w:val="fr-FR"/>
        </w:rPr>
        <w:t xml:space="preserve"> et</w:t>
      </w:r>
      <w:r w:rsidRPr="00964B7B">
        <w:rPr>
          <w:rFonts w:eastAsia="Malgun Gothic"/>
          <w:bCs/>
          <w:lang w:val="fr-FR"/>
        </w:rPr>
        <w:t xml:space="preserve"> la question des lettres de consentement standardisées pour les communautés, une proposition </w:t>
      </w:r>
      <w:r w:rsidR="00B725DB">
        <w:rPr>
          <w:rFonts w:eastAsia="Malgun Gothic"/>
          <w:bCs/>
          <w:lang w:val="fr-FR"/>
        </w:rPr>
        <w:t xml:space="preserve">tout à fait fondée </w:t>
      </w:r>
      <w:r w:rsidRPr="00964B7B">
        <w:rPr>
          <w:rFonts w:eastAsia="Malgun Gothic"/>
          <w:bCs/>
          <w:lang w:val="fr-FR"/>
        </w:rPr>
        <w:t>du Bangladesh. La délégation a pris note du fait que l</w:t>
      </w:r>
      <w:r w:rsidR="00923E72">
        <w:rPr>
          <w:rFonts w:eastAsia="Malgun Gothic"/>
          <w:bCs/>
          <w:lang w:val="fr-FR"/>
        </w:rPr>
        <w:t>’</w:t>
      </w:r>
      <w:r w:rsidRPr="00964B7B">
        <w:rPr>
          <w:rFonts w:eastAsia="Malgun Gothic"/>
          <w:bCs/>
          <w:lang w:val="fr-FR"/>
        </w:rPr>
        <w:t>Organe d</w:t>
      </w:r>
      <w:r w:rsidR="00923E72">
        <w:rPr>
          <w:rFonts w:eastAsia="Malgun Gothic"/>
          <w:bCs/>
          <w:lang w:val="fr-FR"/>
        </w:rPr>
        <w:t>’</w:t>
      </w:r>
      <w:r w:rsidRPr="00964B7B">
        <w:rPr>
          <w:rFonts w:eastAsia="Malgun Gothic"/>
          <w:bCs/>
          <w:lang w:val="fr-FR"/>
        </w:rPr>
        <w:t>évaluation avait perdu deux membres en juin afin de se conformer aux règles, ce qui aurait pu être problématique pour l</w:t>
      </w:r>
      <w:r w:rsidR="00923E72">
        <w:rPr>
          <w:rFonts w:eastAsia="Malgun Gothic"/>
          <w:bCs/>
          <w:lang w:val="fr-FR"/>
        </w:rPr>
        <w:t>’</w:t>
      </w:r>
      <w:r w:rsidRPr="00964B7B">
        <w:rPr>
          <w:rFonts w:eastAsia="Malgun Gothic"/>
          <w:bCs/>
          <w:lang w:val="fr-FR"/>
        </w:rPr>
        <w:t>Organe</w:t>
      </w:r>
      <w:r w:rsidR="00441882">
        <w:rPr>
          <w:rFonts w:eastAsia="Malgun Gothic"/>
          <w:bCs/>
          <w:lang w:val="fr-FR"/>
        </w:rPr>
        <w:t>,</w:t>
      </w:r>
      <w:r w:rsidRPr="00964B7B">
        <w:rPr>
          <w:rFonts w:eastAsia="Malgun Gothic"/>
          <w:bCs/>
          <w:lang w:val="fr-FR"/>
        </w:rPr>
        <w:t xml:space="preserve"> puisque </w:t>
      </w:r>
      <w:r w:rsidR="00441882">
        <w:rPr>
          <w:rFonts w:eastAsia="Malgun Gothic"/>
          <w:bCs/>
          <w:lang w:val="fr-FR"/>
        </w:rPr>
        <w:t xml:space="preserve">la charge de travail avait été répartie entre </w:t>
      </w:r>
      <w:r w:rsidRPr="00964B7B">
        <w:rPr>
          <w:rFonts w:eastAsia="Malgun Gothic"/>
          <w:bCs/>
          <w:lang w:val="fr-FR"/>
        </w:rPr>
        <w:t xml:space="preserve">dix membres au lieu de douze. La délégation a </w:t>
      </w:r>
      <w:r w:rsidR="00851F77" w:rsidRPr="00851F77">
        <w:rPr>
          <w:rFonts w:eastAsia="Malgun Gothic"/>
          <w:bCs/>
          <w:color w:val="000000" w:themeColor="text1"/>
          <w:lang w:val="fr-FR"/>
        </w:rPr>
        <w:t>également</w:t>
      </w:r>
      <w:r w:rsidR="00851F77">
        <w:rPr>
          <w:rFonts w:eastAsia="Malgun Gothic"/>
          <w:bCs/>
          <w:color w:val="000000" w:themeColor="text1"/>
          <w:lang w:val="fr-FR"/>
        </w:rPr>
        <w:t xml:space="preserve"> </w:t>
      </w:r>
      <w:r w:rsidRPr="00964B7B">
        <w:rPr>
          <w:rFonts w:eastAsia="Malgun Gothic"/>
          <w:bCs/>
          <w:lang w:val="fr-FR"/>
        </w:rPr>
        <w:t>suggéré d</w:t>
      </w:r>
      <w:r w:rsidR="00923E72">
        <w:rPr>
          <w:rFonts w:eastAsia="Malgun Gothic"/>
          <w:bCs/>
          <w:lang w:val="fr-FR"/>
        </w:rPr>
        <w:t>’</w:t>
      </w:r>
      <w:r w:rsidRPr="00964B7B">
        <w:rPr>
          <w:rFonts w:eastAsia="Malgun Gothic"/>
          <w:bCs/>
          <w:lang w:val="fr-FR"/>
        </w:rPr>
        <w:t>organiser une session extraordinaire juste après l</w:t>
      </w:r>
      <w:r w:rsidR="00923E72">
        <w:rPr>
          <w:rFonts w:eastAsia="Malgun Gothic"/>
          <w:bCs/>
          <w:lang w:val="fr-FR"/>
        </w:rPr>
        <w:t>’</w:t>
      </w:r>
      <w:r w:rsidRPr="00964B7B">
        <w:rPr>
          <w:rFonts w:eastAsia="Malgun Gothic"/>
          <w:bCs/>
          <w:lang w:val="fr-FR"/>
        </w:rPr>
        <w:t>Assemblée générale afin d</w:t>
      </w:r>
      <w:r w:rsidR="00923E72">
        <w:rPr>
          <w:rFonts w:eastAsia="Malgun Gothic"/>
          <w:bCs/>
          <w:lang w:val="fr-FR"/>
        </w:rPr>
        <w:t>’</w:t>
      </w:r>
      <w:r w:rsidRPr="00964B7B">
        <w:rPr>
          <w:rFonts w:eastAsia="Malgun Gothic"/>
          <w:bCs/>
          <w:lang w:val="fr-FR"/>
        </w:rPr>
        <w:t>élire deux des experts manquants de l</w:t>
      </w:r>
      <w:r w:rsidR="00923E72">
        <w:rPr>
          <w:rFonts w:eastAsia="Malgun Gothic"/>
          <w:bCs/>
          <w:lang w:val="fr-FR"/>
        </w:rPr>
        <w:t>’</w:t>
      </w:r>
      <w:r w:rsidRPr="00964B7B">
        <w:rPr>
          <w:rFonts w:eastAsia="Malgun Gothic"/>
          <w:bCs/>
          <w:lang w:val="fr-FR"/>
        </w:rPr>
        <w:t>Organe d</w:t>
      </w:r>
      <w:r w:rsidR="00923E72">
        <w:rPr>
          <w:rFonts w:eastAsia="Malgun Gothic"/>
          <w:bCs/>
          <w:lang w:val="fr-FR"/>
        </w:rPr>
        <w:t>’</w:t>
      </w:r>
      <w:r w:rsidRPr="00964B7B">
        <w:rPr>
          <w:rFonts w:eastAsia="Malgun Gothic"/>
          <w:bCs/>
          <w:lang w:val="fr-FR"/>
        </w:rPr>
        <w:t xml:space="preserve">évaluation. </w:t>
      </w:r>
      <w:r w:rsidR="00441882">
        <w:rPr>
          <w:rFonts w:eastAsia="Malgun Gothic"/>
          <w:bCs/>
          <w:lang w:val="fr-FR"/>
        </w:rPr>
        <w:t>S</w:t>
      </w:r>
      <w:r w:rsidR="00923E72">
        <w:rPr>
          <w:rFonts w:eastAsia="Malgun Gothic"/>
          <w:bCs/>
          <w:lang w:val="fr-FR"/>
        </w:rPr>
        <w:t>’</w:t>
      </w:r>
      <w:r w:rsidR="00441882">
        <w:rPr>
          <w:rFonts w:eastAsia="Malgun Gothic"/>
          <w:bCs/>
          <w:lang w:val="fr-FR"/>
        </w:rPr>
        <w:t xml:space="preserve">agissant de </w:t>
      </w:r>
      <w:r w:rsidRPr="00964B7B">
        <w:rPr>
          <w:rFonts w:eastAsia="Malgun Gothic"/>
          <w:bCs/>
          <w:lang w:val="fr-FR"/>
        </w:rPr>
        <w:t xml:space="preserve">la proposition de la Suède, soutenue par la Slovaquie, </w:t>
      </w:r>
      <w:r w:rsidR="00441882">
        <w:rPr>
          <w:rFonts w:eastAsia="Malgun Gothic"/>
          <w:bCs/>
          <w:lang w:val="fr-FR"/>
        </w:rPr>
        <w:t>d</w:t>
      </w:r>
      <w:r w:rsidR="00923E72">
        <w:rPr>
          <w:rFonts w:eastAsia="Malgun Gothic"/>
          <w:bCs/>
          <w:lang w:val="fr-FR"/>
        </w:rPr>
        <w:t>’</w:t>
      </w:r>
      <w:r w:rsidR="00441882">
        <w:rPr>
          <w:rFonts w:eastAsia="Malgun Gothic"/>
          <w:bCs/>
          <w:lang w:val="fr-FR"/>
        </w:rPr>
        <w:t xml:space="preserve">accorder </w:t>
      </w:r>
      <w:r w:rsidRPr="00964B7B">
        <w:rPr>
          <w:rFonts w:eastAsia="Malgun Gothic"/>
          <w:bCs/>
          <w:lang w:val="fr-FR"/>
        </w:rPr>
        <w:t>une assistance internationale aux États parties n</w:t>
      </w:r>
      <w:r w:rsidR="00923E72">
        <w:rPr>
          <w:rFonts w:eastAsia="Malgun Gothic"/>
          <w:bCs/>
          <w:lang w:val="fr-FR"/>
        </w:rPr>
        <w:t>’</w:t>
      </w:r>
      <w:r w:rsidRPr="00964B7B">
        <w:rPr>
          <w:rFonts w:eastAsia="Malgun Gothic"/>
          <w:bCs/>
          <w:lang w:val="fr-FR"/>
        </w:rPr>
        <w:t>ayant pas d</w:t>
      </w:r>
      <w:r w:rsidR="00923E72">
        <w:rPr>
          <w:rFonts w:eastAsia="Malgun Gothic"/>
          <w:bCs/>
          <w:lang w:val="fr-FR"/>
        </w:rPr>
        <w:t>’</w:t>
      </w:r>
      <w:r w:rsidRPr="00964B7B">
        <w:rPr>
          <w:rFonts w:eastAsia="Malgun Gothic"/>
          <w:bCs/>
          <w:lang w:val="fr-FR"/>
        </w:rPr>
        <w:t>élément inscrit</w:t>
      </w:r>
      <w:r w:rsidR="00441882">
        <w:rPr>
          <w:rFonts w:eastAsia="Malgun Gothic"/>
          <w:bCs/>
          <w:lang w:val="fr-FR"/>
        </w:rPr>
        <w:t xml:space="preserve"> </w:t>
      </w:r>
      <w:r w:rsidR="00441882" w:rsidRPr="00964B7B">
        <w:rPr>
          <w:rFonts w:eastAsia="Malgun Gothic"/>
          <w:bCs/>
          <w:lang w:val="fr-FR"/>
        </w:rPr>
        <w:t>pour la préparation des dossiers de candidature</w:t>
      </w:r>
      <w:r w:rsidRPr="00964B7B">
        <w:rPr>
          <w:rFonts w:eastAsia="Malgun Gothic"/>
          <w:bCs/>
          <w:lang w:val="fr-FR"/>
        </w:rPr>
        <w:t xml:space="preserve">, la délégation a </w:t>
      </w:r>
      <w:r w:rsidR="00851F77">
        <w:rPr>
          <w:rFonts w:eastAsia="Malgun Gothic"/>
          <w:bCs/>
          <w:lang w:val="fr-FR"/>
        </w:rPr>
        <w:t xml:space="preserve">proposé </w:t>
      </w:r>
      <w:r w:rsidRPr="00964B7B">
        <w:rPr>
          <w:rFonts w:eastAsia="Malgun Gothic"/>
          <w:bCs/>
          <w:lang w:val="fr-FR"/>
        </w:rPr>
        <w:t>de l</w:t>
      </w:r>
      <w:r w:rsidR="00923E72">
        <w:rPr>
          <w:rFonts w:eastAsia="Malgun Gothic"/>
          <w:bCs/>
          <w:lang w:val="fr-FR"/>
        </w:rPr>
        <w:t>’</w:t>
      </w:r>
      <w:r w:rsidRPr="00964B7B">
        <w:rPr>
          <w:rFonts w:eastAsia="Malgun Gothic"/>
          <w:bCs/>
          <w:lang w:val="fr-FR"/>
        </w:rPr>
        <w:t xml:space="preserve">étendre aux pays en développement, y compris les PEID, afin de la rendre plus équitable. </w:t>
      </w:r>
      <w:r w:rsidR="00334087">
        <w:rPr>
          <w:rFonts w:eastAsia="Malgun Gothic"/>
          <w:bCs/>
          <w:lang w:val="fr-FR"/>
        </w:rPr>
        <w:t>Enfin, e</w:t>
      </w:r>
      <w:r w:rsidRPr="00964B7B">
        <w:rPr>
          <w:rFonts w:eastAsia="Malgun Gothic"/>
          <w:bCs/>
          <w:lang w:val="fr-FR"/>
        </w:rPr>
        <w:t>lle a félicité le Secrétariat pour la qualité des documents de travail.</w:t>
      </w:r>
    </w:p>
    <w:p w14:paraId="5D878441" w14:textId="2AFA6607" w:rsidR="00441882" w:rsidRDefault="0044188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41882">
        <w:rPr>
          <w:rFonts w:eastAsia="Malgun Gothic"/>
          <w:bCs/>
          <w:lang w:val="fr-FR"/>
        </w:rPr>
        <w:t xml:space="preserve">La délégation de la </w:t>
      </w:r>
      <w:r w:rsidRPr="00702497">
        <w:rPr>
          <w:rFonts w:eastAsia="Malgun Gothic"/>
          <w:b/>
          <w:lang w:val="fr-FR"/>
        </w:rPr>
        <w:t>République dominicaine</w:t>
      </w:r>
      <w:r w:rsidRPr="00441882">
        <w:rPr>
          <w:rFonts w:eastAsia="Malgun Gothic"/>
          <w:bCs/>
          <w:lang w:val="fr-FR"/>
        </w:rPr>
        <w:t xml:space="preserve"> a félicité le Président pour l</w:t>
      </w:r>
      <w:r w:rsidR="00923E72">
        <w:rPr>
          <w:rFonts w:eastAsia="Malgun Gothic"/>
          <w:bCs/>
          <w:lang w:val="fr-FR"/>
        </w:rPr>
        <w:t>’</w:t>
      </w:r>
      <w:r w:rsidRPr="00441882">
        <w:rPr>
          <w:rFonts w:eastAsia="Malgun Gothic"/>
          <w:bCs/>
          <w:lang w:val="fr-FR"/>
        </w:rPr>
        <w:t xml:space="preserve">excellente organisation de cette session et a rappelé que cette Convention a un impact direct sur le </w:t>
      </w:r>
      <w:r w:rsidRPr="00441882">
        <w:rPr>
          <w:rFonts w:eastAsia="Malgun Gothic"/>
          <w:bCs/>
          <w:lang w:val="fr-FR"/>
        </w:rPr>
        <w:lastRenderedPageBreak/>
        <w:t>terrain et sur la vie des personnes. La pandémie et les souffrances qu</w:t>
      </w:r>
      <w:r w:rsidR="00923E72">
        <w:rPr>
          <w:rFonts w:eastAsia="Malgun Gothic"/>
          <w:bCs/>
          <w:lang w:val="fr-FR"/>
        </w:rPr>
        <w:t>’</w:t>
      </w:r>
      <w:r w:rsidRPr="00441882">
        <w:rPr>
          <w:rFonts w:eastAsia="Malgun Gothic"/>
          <w:bCs/>
          <w:lang w:val="fr-FR"/>
        </w:rPr>
        <w:t>elle avait occasionnées avaient mis en évidence que la culture</w:t>
      </w:r>
      <w:r w:rsidR="00750118">
        <w:rPr>
          <w:rFonts w:eastAsia="Malgun Gothic"/>
          <w:bCs/>
          <w:lang w:val="fr-FR"/>
        </w:rPr>
        <w:t>,</w:t>
      </w:r>
      <w:r w:rsidRPr="00441882">
        <w:rPr>
          <w:rFonts w:eastAsia="Malgun Gothic"/>
          <w:bCs/>
          <w:lang w:val="fr-FR"/>
        </w:rPr>
        <w:t xml:space="preserve"> sous toutes ses formes</w:t>
      </w:r>
      <w:r w:rsidR="00750118">
        <w:rPr>
          <w:rFonts w:eastAsia="Malgun Gothic"/>
          <w:bCs/>
          <w:lang w:val="fr-FR"/>
        </w:rPr>
        <w:t>,</w:t>
      </w:r>
      <w:r w:rsidRPr="00441882">
        <w:rPr>
          <w:rFonts w:eastAsia="Malgun Gothic"/>
          <w:bCs/>
          <w:lang w:val="fr-FR"/>
        </w:rPr>
        <w:t xml:space="preserve"> est essentielle au bon fonctionnement de sociétés durables. La délégation a salué l</w:t>
      </w:r>
      <w:r w:rsidR="00923E72">
        <w:rPr>
          <w:rFonts w:eastAsia="Malgun Gothic"/>
          <w:bCs/>
          <w:lang w:val="fr-FR"/>
        </w:rPr>
        <w:t>’</w:t>
      </w:r>
      <w:r w:rsidRPr="00441882">
        <w:rPr>
          <w:rFonts w:eastAsia="Malgun Gothic"/>
          <w:bCs/>
          <w:lang w:val="fr-FR"/>
        </w:rPr>
        <w:t>immense travail de l</w:t>
      </w:r>
      <w:r w:rsidR="00923E72">
        <w:rPr>
          <w:rFonts w:eastAsia="Malgun Gothic"/>
          <w:bCs/>
          <w:lang w:val="fr-FR"/>
        </w:rPr>
        <w:t>’</w:t>
      </w:r>
      <w:r w:rsidRPr="00441882">
        <w:rPr>
          <w:rFonts w:eastAsia="Malgun Gothic"/>
          <w:bCs/>
          <w:lang w:val="fr-FR"/>
        </w:rPr>
        <w:t>Organe d</w:t>
      </w:r>
      <w:r w:rsidR="00923E72">
        <w:rPr>
          <w:rFonts w:eastAsia="Malgun Gothic"/>
          <w:bCs/>
          <w:lang w:val="fr-FR"/>
        </w:rPr>
        <w:t>’</w:t>
      </w:r>
      <w:r w:rsidRPr="00441882">
        <w:rPr>
          <w:rFonts w:eastAsia="Malgun Gothic"/>
          <w:bCs/>
          <w:lang w:val="fr-FR"/>
        </w:rPr>
        <w:t>évaluation tel que reflété dans le rapport, remerciant l</w:t>
      </w:r>
      <w:r w:rsidR="00923E72">
        <w:rPr>
          <w:rFonts w:eastAsia="Malgun Gothic"/>
          <w:bCs/>
          <w:lang w:val="fr-FR"/>
        </w:rPr>
        <w:t>’</w:t>
      </w:r>
      <w:r w:rsidRPr="00441882">
        <w:rPr>
          <w:rFonts w:eastAsia="Malgun Gothic"/>
          <w:bCs/>
          <w:lang w:val="fr-FR"/>
        </w:rPr>
        <w:t>Organe pour son travail méticuleux. Néanmoins, dans ce cycle, il n</w:t>
      </w:r>
      <w:r w:rsidR="00923E72">
        <w:rPr>
          <w:rFonts w:eastAsia="Malgun Gothic"/>
          <w:bCs/>
          <w:lang w:val="fr-FR"/>
        </w:rPr>
        <w:t>’</w:t>
      </w:r>
      <w:r w:rsidRPr="00441882">
        <w:rPr>
          <w:rFonts w:eastAsia="Malgun Gothic"/>
          <w:bCs/>
          <w:lang w:val="fr-FR"/>
        </w:rPr>
        <w:t>y avait malheureusement pas d</w:t>
      </w:r>
      <w:r w:rsidR="00923E72">
        <w:rPr>
          <w:rFonts w:eastAsia="Malgun Gothic"/>
          <w:bCs/>
          <w:lang w:val="fr-FR"/>
        </w:rPr>
        <w:t>’</w:t>
      </w:r>
      <w:r w:rsidRPr="00441882">
        <w:rPr>
          <w:rFonts w:eastAsia="Malgun Gothic"/>
          <w:bCs/>
          <w:lang w:val="fr-FR"/>
        </w:rPr>
        <w:t>équilibre géographique en ce qui concerne les candidatures à la Liste représentative, même s</w:t>
      </w:r>
      <w:r w:rsidR="00923E72">
        <w:rPr>
          <w:rFonts w:eastAsia="Malgun Gothic"/>
          <w:bCs/>
          <w:lang w:val="fr-FR"/>
        </w:rPr>
        <w:t>’</w:t>
      </w:r>
      <w:r w:rsidRPr="00441882">
        <w:rPr>
          <w:rFonts w:eastAsia="Malgun Gothic"/>
          <w:bCs/>
          <w:lang w:val="fr-FR"/>
        </w:rPr>
        <w:t>il y avait des propositions émanant des Groupes</w:t>
      </w:r>
      <w:r w:rsidR="00334087">
        <w:rPr>
          <w:rFonts w:eastAsia="Malgun Gothic"/>
          <w:bCs/>
          <w:lang w:val="fr-FR"/>
        </w:rPr>
        <w:t> </w:t>
      </w:r>
      <w:r w:rsidRPr="00441882">
        <w:rPr>
          <w:rFonts w:eastAsia="Malgun Gothic"/>
          <w:bCs/>
          <w:lang w:val="fr-FR"/>
        </w:rPr>
        <w:t>III et</w:t>
      </w:r>
      <w:r w:rsidR="00334087">
        <w:rPr>
          <w:rFonts w:eastAsia="Malgun Gothic"/>
          <w:bCs/>
          <w:lang w:val="fr-FR"/>
        </w:rPr>
        <w:t> </w:t>
      </w:r>
      <w:r w:rsidRPr="00441882">
        <w:rPr>
          <w:rFonts w:eastAsia="Malgun Gothic"/>
          <w:bCs/>
          <w:lang w:val="fr-FR"/>
        </w:rPr>
        <w:t>V(a). L</w:t>
      </w:r>
      <w:r w:rsidR="00923E72">
        <w:rPr>
          <w:rFonts w:eastAsia="Malgun Gothic"/>
          <w:bCs/>
          <w:lang w:val="fr-FR"/>
        </w:rPr>
        <w:t>’</w:t>
      </w:r>
      <w:r w:rsidRPr="00441882">
        <w:rPr>
          <w:rFonts w:eastAsia="Malgun Gothic"/>
          <w:bCs/>
          <w:lang w:val="fr-FR"/>
        </w:rPr>
        <w:t>Organe jouait un rôle essentiel, mais il ne pouvait se substituer au mandat du Comité, qui devait l</w:t>
      </w:r>
      <w:r w:rsidR="00923E72">
        <w:rPr>
          <w:rFonts w:eastAsia="Malgun Gothic"/>
          <w:bCs/>
          <w:lang w:val="fr-FR"/>
        </w:rPr>
        <w:t>’</w:t>
      </w:r>
      <w:r w:rsidRPr="00441882">
        <w:rPr>
          <w:rFonts w:eastAsia="Malgun Gothic"/>
          <w:bCs/>
          <w:lang w:val="fr-FR"/>
        </w:rPr>
        <w:t xml:space="preserve">exercer. </w:t>
      </w:r>
      <w:r w:rsidR="001A6358">
        <w:rPr>
          <w:rFonts w:eastAsia="Malgun Gothic"/>
          <w:bCs/>
          <w:lang w:val="fr-FR"/>
        </w:rPr>
        <w:t>L</w:t>
      </w:r>
      <w:r w:rsidRPr="00441882">
        <w:rPr>
          <w:rFonts w:eastAsia="Malgun Gothic"/>
          <w:bCs/>
          <w:lang w:val="fr-FR"/>
        </w:rPr>
        <w:t xml:space="preserve">es États </w:t>
      </w:r>
      <w:r w:rsidR="001A6358">
        <w:rPr>
          <w:rFonts w:eastAsia="Malgun Gothic"/>
          <w:bCs/>
          <w:lang w:val="fr-FR"/>
        </w:rPr>
        <w:t xml:space="preserve">sans </w:t>
      </w:r>
      <w:r w:rsidRPr="00441882">
        <w:rPr>
          <w:rFonts w:eastAsia="Malgun Gothic"/>
          <w:bCs/>
          <w:lang w:val="fr-FR"/>
        </w:rPr>
        <w:t>éléments inscrits étaient prioritaires, et les dossiers qu</w:t>
      </w:r>
      <w:r w:rsidR="00923E72">
        <w:rPr>
          <w:rFonts w:eastAsia="Malgun Gothic"/>
          <w:bCs/>
          <w:lang w:val="fr-FR"/>
        </w:rPr>
        <w:t>’</w:t>
      </w:r>
      <w:r w:rsidRPr="00441882">
        <w:rPr>
          <w:rFonts w:eastAsia="Malgun Gothic"/>
          <w:bCs/>
          <w:lang w:val="fr-FR"/>
        </w:rPr>
        <w:t>ils avaient soumis dev</w:t>
      </w:r>
      <w:r w:rsidR="00750118">
        <w:rPr>
          <w:rFonts w:eastAsia="Malgun Gothic"/>
          <w:bCs/>
          <w:lang w:val="fr-FR"/>
        </w:rPr>
        <w:t>r</w:t>
      </w:r>
      <w:r w:rsidRPr="00441882">
        <w:rPr>
          <w:rFonts w:eastAsia="Malgun Gothic"/>
          <w:bCs/>
          <w:lang w:val="fr-FR"/>
        </w:rPr>
        <w:t xml:space="preserve">aient donc être prioritaires et </w:t>
      </w:r>
      <w:r w:rsidR="00750118">
        <w:rPr>
          <w:rFonts w:eastAsia="Malgun Gothic"/>
          <w:bCs/>
          <w:lang w:val="fr-FR"/>
        </w:rPr>
        <w:t xml:space="preserve">bénéficier </w:t>
      </w:r>
      <w:r w:rsidRPr="00441882">
        <w:rPr>
          <w:rFonts w:eastAsia="Malgun Gothic"/>
          <w:bCs/>
          <w:lang w:val="fr-FR"/>
        </w:rPr>
        <w:t>d</w:t>
      </w:r>
      <w:r w:rsidR="00750118">
        <w:rPr>
          <w:rFonts w:eastAsia="Malgun Gothic"/>
          <w:bCs/>
          <w:lang w:val="fr-FR"/>
        </w:rPr>
        <w:t>u</w:t>
      </w:r>
      <w:r w:rsidRPr="00441882">
        <w:rPr>
          <w:rFonts w:eastAsia="Malgun Gothic"/>
          <w:bCs/>
          <w:lang w:val="fr-FR"/>
        </w:rPr>
        <w:t xml:space="preserve"> dialogue en amont. La délégation était convaincue que l</w:t>
      </w:r>
      <w:r w:rsidR="00923E72">
        <w:rPr>
          <w:rFonts w:eastAsia="Malgun Gothic"/>
          <w:bCs/>
          <w:lang w:val="fr-FR"/>
        </w:rPr>
        <w:t>’</w:t>
      </w:r>
      <w:r w:rsidRPr="00441882">
        <w:rPr>
          <w:rFonts w:eastAsia="Malgun Gothic"/>
          <w:bCs/>
          <w:lang w:val="fr-FR"/>
        </w:rPr>
        <w:t>ouverture et la mise en œuvre d</w:t>
      </w:r>
      <w:r w:rsidR="00923E72">
        <w:rPr>
          <w:rFonts w:eastAsia="Malgun Gothic"/>
          <w:bCs/>
          <w:lang w:val="fr-FR"/>
        </w:rPr>
        <w:t>’</w:t>
      </w:r>
      <w:r w:rsidRPr="00441882">
        <w:rPr>
          <w:rFonts w:eastAsia="Malgun Gothic"/>
          <w:bCs/>
          <w:lang w:val="fr-FR"/>
        </w:rPr>
        <w:t>un dialogue en amont permettraient de ne pas avoir recours au Fonds. Au contraire, celui-ci pourrait contribuer directement à la stabilité financière de la Convention. Le processus de dialogue avait été mis en œuvre pour onze dossiers, ce qui montrait que le dialogue est possible et que le Comité devrait donc s</w:t>
      </w:r>
      <w:r w:rsidR="00923E72">
        <w:rPr>
          <w:rFonts w:eastAsia="Malgun Gothic"/>
          <w:bCs/>
          <w:lang w:val="fr-FR"/>
        </w:rPr>
        <w:t>’</w:t>
      </w:r>
      <w:r w:rsidRPr="00441882">
        <w:rPr>
          <w:rFonts w:eastAsia="Malgun Gothic"/>
          <w:bCs/>
          <w:lang w:val="fr-FR"/>
        </w:rPr>
        <w:t xml:space="preserve">efforcer de normaliser ce dialogue. Ne pas le faire reviendrait à établir des privilèges ou à favoriser des </w:t>
      </w:r>
      <w:r w:rsidR="00750118" w:rsidRPr="00441882">
        <w:rPr>
          <w:rFonts w:eastAsia="Malgun Gothic"/>
          <w:bCs/>
          <w:lang w:val="fr-FR"/>
        </w:rPr>
        <w:t>États</w:t>
      </w:r>
      <w:r w:rsidRPr="00441882">
        <w:rPr>
          <w:rFonts w:eastAsia="Malgun Gothic"/>
          <w:bCs/>
          <w:lang w:val="fr-FR"/>
        </w:rPr>
        <w:t>, ce qui irait à l</w:t>
      </w:r>
      <w:r w:rsidR="00923E72">
        <w:rPr>
          <w:rFonts w:eastAsia="Malgun Gothic"/>
          <w:bCs/>
          <w:lang w:val="fr-FR"/>
        </w:rPr>
        <w:t>’</w:t>
      </w:r>
      <w:r w:rsidRPr="00441882">
        <w:rPr>
          <w:rFonts w:eastAsia="Malgun Gothic"/>
          <w:bCs/>
          <w:lang w:val="fr-FR"/>
        </w:rPr>
        <w:t>encontre de l</w:t>
      </w:r>
      <w:r w:rsidR="00923E72">
        <w:rPr>
          <w:rFonts w:eastAsia="Malgun Gothic"/>
          <w:bCs/>
          <w:lang w:val="fr-FR"/>
        </w:rPr>
        <w:t>’</w:t>
      </w:r>
      <w:r w:rsidRPr="00441882">
        <w:rPr>
          <w:rFonts w:eastAsia="Malgun Gothic"/>
          <w:bCs/>
          <w:lang w:val="fr-FR"/>
        </w:rPr>
        <w:t>esprit de la Convention.</w:t>
      </w:r>
    </w:p>
    <w:p w14:paraId="47836996" w14:textId="37E9F0B2" w:rsidR="00750118" w:rsidRDefault="00E93B4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93B4A">
        <w:rPr>
          <w:rFonts w:eastAsia="Malgun Gothic"/>
          <w:bCs/>
          <w:lang w:val="fr-FR"/>
        </w:rPr>
        <w:t xml:space="preserve">La délégation de la </w:t>
      </w:r>
      <w:r w:rsidRPr="00702497">
        <w:rPr>
          <w:rFonts w:eastAsia="Malgun Gothic"/>
          <w:b/>
          <w:lang w:val="fr-FR"/>
        </w:rPr>
        <w:t>Lituanie</w:t>
      </w:r>
      <w:r w:rsidRPr="00E93B4A">
        <w:rPr>
          <w:rFonts w:eastAsia="Malgun Gothic"/>
          <w:bCs/>
          <w:lang w:val="fr-FR"/>
        </w:rPr>
        <w:t xml:space="preserve"> a remercié l</w:t>
      </w:r>
      <w:r w:rsidR="00923E72">
        <w:rPr>
          <w:rFonts w:eastAsia="Malgun Gothic"/>
          <w:bCs/>
          <w:lang w:val="fr-FR"/>
        </w:rPr>
        <w:t>’</w:t>
      </w:r>
      <w:r w:rsidRPr="00E93B4A">
        <w:rPr>
          <w:rFonts w:eastAsia="Malgun Gothic"/>
          <w:bCs/>
          <w:lang w:val="fr-FR"/>
        </w:rPr>
        <w:t>Organe d</w:t>
      </w:r>
      <w:r w:rsidR="00923E72">
        <w:rPr>
          <w:rFonts w:eastAsia="Malgun Gothic"/>
          <w:bCs/>
          <w:lang w:val="fr-FR"/>
        </w:rPr>
        <w:t>’</w:t>
      </w:r>
      <w:r w:rsidRPr="00E93B4A">
        <w:rPr>
          <w:rFonts w:eastAsia="Malgun Gothic"/>
          <w:bCs/>
          <w:lang w:val="fr-FR"/>
        </w:rPr>
        <w:t>évaluation pour son travail et pour la grande qualité de son rapport</w:t>
      </w:r>
      <w:r w:rsidR="00B725DB">
        <w:rPr>
          <w:rFonts w:eastAsia="Malgun Gothic"/>
          <w:bCs/>
          <w:lang w:val="fr-FR"/>
        </w:rPr>
        <w:t>,</w:t>
      </w:r>
      <w:r>
        <w:rPr>
          <w:rFonts w:eastAsia="Malgun Gothic"/>
          <w:bCs/>
          <w:lang w:val="fr-FR"/>
        </w:rPr>
        <w:t xml:space="preserve"> </w:t>
      </w:r>
      <w:r w:rsidRPr="00E93B4A">
        <w:rPr>
          <w:rFonts w:eastAsia="Malgun Gothic"/>
          <w:bCs/>
          <w:lang w:val="fr-FR"/>
        </w:rPr>
        <w:t>qui mettait en évidence de bons exemples et formulait des observations et des recommandations méticuleuses fondées sur une analyse approfondie des dossiers. Ce</w:t>
      </w:r>
      <w:r>
        <w:rPr>
          <w:rFonts w:eastAsia="Malgun Gothic"/>
          <w:bCs/>
          <w:lang w:val="fr-FR"/>
        </w:rPr>
        <w:t>la</w:t>
      </w:r>
      <w:r w:rsidRPr="00E93B4A">
        <w:rPr>
          <w:rFonts w:eastAsia="Malgun Gothic"/>
          <w:bCs/>
          <w:lang w:val="fr-FR"/>
        </w:rPr>
        <w:t xml:space="preserve"> servirait de source d</w:t>
      </w:r>
      <w:r w:rsidR="00923E72">
        <w:rPr>
          <w:rFonts w:eastAsia="Malgun Gothic"/>
          <w:bCs/>
          <w:lang w:val="fr-FR"/>
        </w:rPr>
        <w:t>’</w:t>
      </w:r>
      <w:r w:rsidRPr="00E93B4A">
        <w:rPr>
          <w:rFonts w:eastAsia="Malgun Gothic"/>
          <w:bCs/>
          <w:lang w:val="fr-FR"/>
        </w:rPr>
        <w:t>inspiration aux États parties dans leurs efforts à venir pour préparer des dossiers concluants. Elle appréciait les principes de travail de l</w:t>
      </w:r>
      <w:r w:rsidR="00923E72">
        <w:rPr>
          <w:rFonts w:eastAsia="Malgun Gothic"/>
          <w:bCs/>
          <w:lang w:val="fr-FR"/>
        </w:rPr>
        <w:t>’</w:t>
      </w:r>
      <w:r w:rsidRPr="00E93B4A">
        <w:rPr>
          <w:rFonts w:eastAsia="Malgun Gothic"/>
          <w:bCs/>
          <w:lang w:val="fr-FR"/>
        </w:rPr>
        <w:t>Organe, qui étai</w:t>
      </w:r>
      <w:r>
        <w:rPr>
          <w:rFonts w:eastAsia="Malgun Gothic"/>
          <w:bCs/>
          <w:lang w:val="fr-FR"/>
        </w:rPr>
        <w:t>en</w:t>
      </w:r>
      <w:r w:rsidRPr="00E93B4A">
        <w:rPr>
          <w:rFonts w:eastAsia="Malgun Gothic"/>
          <w:bCs/>
          <w:lang w:val="fr-FR"/>
        </w:rPr>
        <w:t>t cohérent</w:t>
      </w:r>
      <w:r>
        <w:rPr>
          <w:rFonts w:eastAsia="Malgun Gothic"/>
          <w:bCs/>
          <w:lang w:val="fr-FR"/>
        </w:rPr>
        <w:t>s</w:t>
      </w:r>
      <w:r w:rsidRPr="00E93B4A">
        <w:rPr>
          <w:rFonts w:eastAsia="Malgun Gothic"/>
          <w:bCs/>
          <w:lang w:val="fr-FR"/>
        </w:rPr>
        <w:t xml:space="preserve"> avec les approches précédentes, tout en suivant les critères définis dans les Directives opérationnelles, en donnant la priorité au contenu des dossiers dans le processus d</w:t>
      </w:r>
      <w:r w:rsidR="00923E72">
        <w:rPr>
          <w:rFonts w:eastAsia="Malgun Gothic"/>
          <w:bCs/>
          <w:lang w:val="fr-FR"/>
        </w:rPr>
        <w:t>’</w:t>
      </w:r>
      <w:r w:rsidRPr="00E93B4A">
        <w:rPr>
          <w:rFonts w:eastAsia="Malgun Gothic"/>
          <w:bCs/>
          <w:lang w:val="fr-FR"/>
        </w:rPr>
        <w:t>évaluation et en mettant en application le processus de dialogue, entre autres. La délégation partageait l</w:t>
      </w:r>
      <w:r w:rsidR="00923E72">
        <w:rPr>
          <w:rFonts w:eastAsia="Malgun Gothic"/>
          <w:bCs/>
          <w:lang w:val="fr-FR"/>
        </w:rPr>
        <w:t>’</w:t>
      </w:r>
      <w:r w:rsidRPr="00E93B4A">
        <w:rPr>
          <w:rFonts w:eastAsia="Malgun Gothic"/>
          <w:bCs/>
          <w:lang w:val="fr-FR"/>
        </w:rPr>
        <w:t>opinion selon laquelle, dans certains cas, l</w:t>
      </w:r>
      <w:r w:rsidR="00923E72">
        <w:rPr>
          <w:rFonts w:eastAsia="Malgun Gothic"/>
          <w:bCs/>
          <w:lang w:val="fr-FR"/>
        </w:rPr>
        <w:t>’</w:t>
      </w:r>
      <w:r w:rsidRPr="00E93B4A">
        <w:rPr>
          <w:rFonts w:eastAsia="Malgun Gothic"/>
          <w:bCs/>
          <w:lang w:val="fr-FR"/>
        </w:rPr>
        <w:t>option de renvoi des dossiers constitu</w:t>
      </w:r>
      <w:r w:rsidR="00334087">
        <w:rPr>
          <w:rFonts w:eastAsia="Malgun Gothic"/>
          <w:bCs/>
          <w:lang w:val="fr-FR"/>
        </w:rPr>
        <w:t>e</w:t>
      </w:r>
      <w:r w:rsidRPr="00E93B4A">
        <w:rPr>
          <w:rFonts w:eastAsia="Malgun Gothic"/>
          <w:bCs/>
          <w:lang w:val="fr-FR"/>
        </w:rPr>
        <w:t xml:space="preserve"> un outil essentiel pour améliorer la qualité des dossiers, donnant même un temps précieux aux États soumissionnaires pour mettre en œuvre d</w:t>
      </w:r>
      <w:r w:rsidR="00923E72">
        <w:rPr>
          <w:rFonts w:eastAsia="Malgun Gothic"/>
          <w:bCs/>
          <w:lang w:val="fr-FR"/>
        </w:rPr>
        <w:t>’</w:t>
      </w:r>
      <w:r w:rsidRPr="00E93B4A">
        <w:rPr>
          <w:rFonts w:eastAsia="Malgun Gothic"/>
          <w:bCs/>
          <w:lang w:val="fr-FR"/>
        </w:rPr>
        <w:t>importantes mesures de sauvegarde avant leur nouvelle soumission. Cela permettait d</w:t>
      </w:r>
      <w:r w:rsidR="00923E72">
        <w:rPr>
          <w:rFonts w:eastAsia="Malgun Gothic"/>
          <w:bCs/>
          <w:lang w:val="fr-FR"/>
        </w:rPr>
        <w:t>’</w:t>
      </w:r>
      <w:r w:rsidRPr="00E93B4A">
        <w:rPr>
          <w:rFonts w:eastAsia="Malgun Gothic"/>
          <w:bCs/>
          <w:lang w:val="fr-FR"/>
        </w:rPr>
        <w:t>améliorer les plans de sauvegarde</w:t>
      </w:r>
      <w:r w:rsidR="00B725DB">
        <w:rPr>
          <w:rFonts w:eastAsia="Malgun Gothic"/>
          <w:bCs/>
          <w:lang w:val="fr-FR"/>
        </w:rPr>
        <w:t>,</w:t>
      </w:r>
      <w:r w:rsidRPr="00E93B4A">
        <w:rPr>
          <w:rFonts w:eastAsia="Malgun Gothic"/>
          <w:bCs/>
          <w:lang w:val="fr-FR"/>
        </w:rPr>
        <w:t xml:space="preserve"> qui </w:t>
      </w:r>
      <w:r w:rsidR="00334087">
        <w:rPr>
          <w:rFonts w:eastAsia="Malgun Gothic"/>
          <w:bCs/>
          <w:lang w:val="fr-FR"/>
        </w:rPr>
        <w:t xml:space="preserve">sont </w:t>
      </w:r>
      <w:r w:rsidRPr="00E93B4A">
        <w:rPr>
          <w:rFonts w:eastAsia="Malgun Gothic"/>
          <w:bCs/>
          <w:lang w:val="fr-FR"/>
        </w:rPr>
        <w:t>l</w:t>
      </w:r>
      <w:r w:rsidR="00923E72">
        <w:rPr>
          <w:rFonts w:eastAsia="Malgun Gothic"/>
          <w:bCs/>
          <w:lang w:val="fr-FR"/>
        </w:rPr>
        <w:t>’</w:t>
      </w:r>
      <w:r w:rsidRPr="00E93B4A">
        <w:rPr>
          <w:rFonts w:eastAsia="Malgun Gothic"/>
          <w:bCs/>
          <w:lang w:val="fr-FR"/>
        </w:rPr>
        <w:t xml:space="preserve">un des moyens les plus importants de mettre en œuvre la </w:t>
      </w:r>
      <w:r w:rsidR="00917A52">
        <w:rPr>
          <w:rFonts w:eastAsia="Malgun Gothic"/>
          <w:bCs/>
          <w:lang w:val="fr-FR"/>
        </w:rPr>
        <w:t>C</w:t>
      </w:r>
      <w:r w:rsidRPr="00E93B4A">
        <w:rPr>
          <w:rFonts w:eastAsia="Malgun Gothic"/>
          <w:bCs/>
          <w:lang w:val="fr-FR"/>
        </w:rPr>
        <w:t xml:space="preserve">onvention. </w:t>
      </w:r>
      <w:r w:rsidR="00791BBD">
        <w:rPr>
          <w:rFonts w:eastAsia="Malgun Gothic"/>
          <w:bCs/>
          <w:lang w:val="fr-FR"/>
        </w:rPr>
        <w:t>Par ailleurs, l</w:t>
      </w:r>
      <w:r w:rsidRPr="00E93B4A">
        <w:rPr>
          <w:rFonts w:eastAsia="Malgun Gothic"/>
          <w:bCs/>
          <w:lang w:val="fr-FR"/>
        </w:rPr>
        <w:t>a délégation</w:t>
      </w:r>
      <w:r w:rsidR="00791BBD">
        <w:rPr>
          <w:rFonts w:eastAsia="Malgun Gothic"/>
          <w:bCs/>
          <w:lang w:val="fr-FR"/>
        </w:rPr>
        <w:t>, qui</w:t>
      </w:r>
      <w:r w:rsidRPr="00E93B4A">
        <w:rPr>
          <w:rFonts w:eastAsia="Malgun Gothic"/>
          <w:bCs/>
          <w:lang w:val="fr-FR"/>
        </w:rPr>
        <w:t xml:space="preserve"> s</w:t>
      </w:r>
      <w:r w:rsidR="00923E72">
        <w:rPr>
          <w:rFonts w:eastAsia="Malgun Gothic"/>
          <w:bCs/>
          <w:lang w:val="fr-FR"/>
        </w:rPr>
        <w:t>’</w:t>
      </w:r>
      <w:r w:rsidRPr="00E93B4A">
        <w:rPr>
          <w:rFonts w:eastAsia="Malgun Gothic"/>
          <w:bCs/>
          <w:lang w:val="fr-FR"/>
        </w:rPr>
        <w:t>est réjouie de constater le nombre croissant de dossiers multinationaux</w:t>
      </w:r>
      <w:r w:rsidR="00917A52">
        <w:rPr>
          <w:rFonts w:eastAsia="Malgun Gothic"/>
          <w:bCs/>
          <w:lang w:val="fr-FR"/>
        </w:rPr>
        <w:t>,</w:t>
      </w:r>
      <w:r w:rsidRPr="00E93B4A">
        <w:rPr>
          <w:rFonts w:eastAsia="Malgun Gothic"/>
          <w:bCs/>
          <w:lang w:val="fr-FR"/>
        </w:rPr>
        <w:t xml:space="preserve"> </w:t>
      </w:r>
      <w:r w:rsidR="00791BBD">
        <w:rPr>
          <w:rFonts w:eastAsia="Malgun Gothic"/>
          <w:bCs/>
          <w:lang w:val="fr-FR"/>
        </w:rPr>
        <w:t xml:space="preserve">était favorable à </w:t>
      </w:r>
      <w:r w:rsidRPr="00E93B4A">
        <w:rPr>
          <w:rFonts w:eastAsia="Malgun Gothic"/>
          <w:bCs/>
          <w:lang w:val="fr-FR"/>
        </w:rPr>
        <w:t>l</w:t>
      </w:r>
      <w:r w:rsidR="00923E72">
        <w:rPr>
          <w:rFonts w:eastAsia="Malgun Gothic"/>
          <w:bCs/>
          <w:lang w:val="fr-FR"/>
        </w:rPr>
        <w:t>’</w:t>
      </w:r>
      <w:r w:rsidRPr="00E93B4A">
        <w:rPr>
          <w:rFonts w:eastAsia="Malgun Gothic"/>
          <w:bCs/>
          <w:lang w:val="fr-FR"/>
        </w:rPr>
        <w:t>invitation à préparer des notes d</w:t>
      </w:r>
      <w:r w:rsidR="00923E72">
        <w:rPr>
          <w:rFonts w:eastAsia="Malgun Gothic"/>
          <w:bCs/>
          <w:lang w:val="fr-FR"/>
        </w:rPr>
        <w:t>’</w:t>
      </w:r>
      <w:r w:rsidRPr="00E93B4A">
        <w:rPr>
          <w:rFonts w:eastAsia="Malgun Gothic"/>
          <w:bCs/>
          <w:lang w:val="fr-FR"/>
        </w:rPr>
        <w:t>orientation pour aider les États parties à s</w:t>
      </w:r>
      <w:r w:rsidR="00923E72">
        <w:rPr>
          <w:rFonts w:eastAsia="Malgun Gothic"/>
          <w:bCs/>
          <w:lang w:val="fr-FR"/>
        </w:rPr>
        <w:t>’</w:t>
      </w:r>
      <w:r w:rsidRPr="00E93B4A">
        <w:rPr>
          <w:rFonts w:eastAsia="Malgun Gothic"/>
          <w:bCs/>
          <w:lang w:val="fr-FR"/>
        </w:rPr>
        <w:t>y retrouver dans le processus assez complexe des dossiers multinationaux.</w:t>
      </w:r>
    </w:p>
    <w:p w14:paraId="6E2589F2" w14:textId="0C6EED8C" w:rsidR="00917A52" w:rsidRDefault="00E5335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53355">
        <w:rPr>
          <w:rFonts w:eastAsia="Malgun Gothic"/>
          <w:bCs/>
          <w:lang w:val="fr-FR"/>
        </w:rPr>
        <w:t xml:space="preserve">La délégation de </w:t>
      </w:r>
      <w:r w:rsidRPr="00702497">
        <w:rPr>
          <w:rFonts w:eastAsia="Malgun Gothic"/>
          <w:b/>
          <w:lang w:val="fr-FR"/>
        </w:rPr>
        <w:t>Cuba</w:t>
      </w:r>
      <w:r w:rsidRPr="00E53355">
        <w:rPr>
          <w:rFonts w:eastAsia="Malgun Gothic"/>
          <w:bCs/>
          <w:lang w:val="fr-FR"/>
        </w:rPr>
        <w:t xml:space="preserve"> a pris note du rapport de l</w:t>
      </w:r>
      <w:r w:rsidR="00923E72">
        <w:rPr>
          <w:rFonts w:eastAsia="Malgun Gothic"/>
          <w:bCs/>
          <w:lang w:val="fr-FR"/>
        </w:rPr>
        <w:t>’</w:t>
      </w:r>
      <w:r w:rsidRPr="00E53355">
        <w:rPr>
          <w:rFonts w:eastAsia="Malgun Gothic"/>
          <w:bCs/>
          <w:lang w:val="fr-FR"/>
        </w:rPr>
        <w:t>Organe d</w:t>
      </w:r>
      <w:r w:rsidR="00923E72">
        <w:rPr>
          <w:rFonts w:eastAsia="Malgun Gothic"/>
          <w:bCs/>
          <w:lang w:val="fr-FR"/>
        </w:rPr>
        <w:t>’</w:t>
      </w:r>
      <w:r w:rsidRPr="00E53355">
        <w:rPr>
          <w:rFonts w:eastAsia="Malgun Gothic"/>
          <w:bCs/>
          <w:lang w:val="fr-FR"/>
        </w:rPr>
        <w:t>évaluation</w:t>
      </w:r>
      <w:r w:rsidR="00F068D1">
        <w:rPr>
          <w:rFonts w:eastAsia="Malgun Gothic"/>
          <w:bCs/>
          <w:lang w:val="fr-FR"/>
        </w:rPr>
        <w:t xml:space="preserve"> et a </w:t>
      </w:r>
      <w:r w:rsidRPr="00E53355">
        <w:rPr>
          <w:rFonts w:eastAsia="Malgun Gothic"/>
          <w:bCs/>
          <w:lang w:val="fr-FR"/>
        </w:rPr>
        <w:t>soulign</w:t>
      </w:r>
      <w:r w:rsidR="00F068D1">
        <w:rPr>
          <w:rFonts w:eastAsia="Malgun Gothic"/>
          <w:bCs/>
          <w:lang w:val="fr-FR"/>
        </w:rPr>
        <w:t>é</w:t>
      </w:r>
      <w:r w:rsidRPr="00E53355">
        <w:rPr>
          <w:rFonts w:eastAsia="Malgun Gothic"/>
          <w:bCs/>
          <w:lang w:val="fr-FR"/>
        </w:rPr>
        <w:t xml:space="preserve"> l</w:t>
      </w:r>
      <w:r w:rsidR="00923E72">
        <w:rPr>
          <w:rFonts w:eastAsia="Malgun Gothic"/>
          <w:bCs/>
          <w:lang w:val="fr-FR"/>
        </w:rPr>
        <w:t>’</w:t>
      </w:r>
      <w:r w:rsidRPr="00E53355">
        <w:rPr>
          <w:rFonts w:eastAsia="Malgun Gothic"/>
          <w:bCs/>
          <w:lang w:val="fr-FR"/>
        </w:rPr>
        <w:t>importance de son travail lorsqu</w:t>
      </w:r>
      <w:r w:rsidR="00923E72">
        <w:rPr>
          <w:rFonts w:eastAsia="Malgun Gothic"/>
          <w:bCs/>
          <w:lang w:val="fr-FR"/>
        </w:rPr>
        <w:t>’</w:t>
      </w:r>
      <w:r w:rsidRPr="00E53355">
        <w:rPr>
          <w:rFonts w:eastAsia="Malgun Gothic"/>
          <w:bCs/>
          <w:lang w:val="fr-FR"/>
        </w:rPr>
        <w:t>il s</w:t>
      </w:r>
      <w:r w:rsidR="00923E72">
        <w:rPr>
          <w:rFonts w:eastAsia="Malgun Gothic"/>
          <w:bCs/>
          <w:lang w:val="fr-FR"/>
        </w:rPr>
        <w:t>’</w:t>
      </w:r>
      <w:r w:rsidRPr="00E53355">
        <w:rPr>
          <w:rFonts w:eastAsia="Malgun Gothic"/>
          <w:bCs/>
          <w:lang w:val="fr-FR"/>
        </w:rPr>
        <w:t>agit de garantir le processus d</w:t>
      </w:r>
      <w:r w:rsidR="00923E72">
        <w:rPr>
          <w:rFonts w:eastAsia="Malgun Gothic"/>
          <w:bCs/>
          <w:lang w:val="fr-FR"/>
        </w:rPr>
        <w:t>’</w:t>
      </w:r>
      <w:r w:rsidRPr="00E53355">
        <w:rPr>
          <w:rFonts w:eastAsia="Malgun Gothic"/>
          <w:bCs/>
          <w:lang w:val="fr-FR"/>
        </w:rPr>
        <w:t>inscription sur les listes. Toutefois, l</w:t>
      </w:r>
      <w:r w:rsidR="00923E72">
        <w:rPr>
          <w:rFonts w:eastAsia="Malgun Gothic"/>
          <w:bCs/>
          <w:lang w:val="fr-FR"/>
        </w:rPr>
        <w:t>’</w:t>
      </w:r>
      <w:r w:rsidRPr="00E53355">
        <w:rPr>
          <w:rFonts w:eastAsia="Malgun Gothic"/>
          <w:bCs/>
          <w:lang w:val="fr-FR"/>
        </w:rPr>
        <w:t>évaluation devait également refléter les priorités établies dans les Directives opérationnelles de la Convention en abordant des questions essentielles</w:t>
      </w:r>
      <w:r w:rsidR="00DB37C1">
        <w:rPr>
          <w:rFonts w:eastAsia="Malgun Gothic"/>
          <w:bCs/>
          <w:lang w:val="fr-FR"/>
        </w:rPr>
        <w:t>,</w:t>
      </w:r>
      <w:r w:rsidRPr="00E53355">
        <w:rPr>
          <w:rFonts w:eastAsia="Malgun Gothic"/>
          <w:bCs/>
          <w:lang w:val="fr-FR"/>
        </w:rPr>
        <w:t xml:space="preserve"> telles que l</w:t>
      </w:r>
      <w:r w:rsidR="00923E72">
        <w:rPr>
          <w:rFonts w:eastAsia="Malgun Gothic"/>
          <w:bCs/>
          <w:lang w:val="fr-FR"/>
        </w:rPr>
        <w:t>’</w:t>
      </w:r>
      <w:r w:rsidRPr="00E53355">
        <w:rPr>
          <w:rFonts w:eastAsia="Malgun Gothic"/>
          <w:bCs/>
          <w:lang w:val="fr-FR"/>
        </w:rPr>
        <w:t>équilibre régional, l</w:t>
      </w:r>
      <w:r w:rsidR="00923E72">
        <w:rPr>
          <w:rFonts w:eastAsia="Malgun Gothic"/>
          <w:bCs/>
          <w:lang w:val="fr-FR"/>
        </w:rPr>
        <w:t>’</w:t>
      </w:r>
      <w:r w:rsidRPr="00E53355">
        <w:rPr>
          <w:rFonts w:eastAsia="Malgun Gothic"/>
          <w:bCs/>
          <w:lang w:val="fr-FR"/>
        </w:rPr>
        <w:t>attention portée aux groupes prioritaires, la diversité linguistique et l</w:t>
      </w:r>
      <w:r w:rsidR="00923E72">
        <w:rPr>
          <w:rFonts w:eastAsia="Malgun Gothic"/>
          <w:bCs/>
          <w:lang w:val="fr-FR"/>
        </w:rPr>
        <w:t>’</w:t>
      </w:r>
      <w:r w:rsidRPr="00E53355">
        <w:rPr>
          <w:rFonts w:eastAsia="Malgun Gothic"/>
          <w:bCs/>
          <w:lang w:val="fr-FR"/>
        </w:rPr>
        <w:t>harmonisation avec d</w:t>
      </w:r>
      <w:r w:rsidR="00923E72">
        <w:rPr>
          <w:rFonts w:eastAsia="Malgun Gothic"/>
          <w:bCs/>
          <w:lang w:val="fr-FR"/>
        </w:rPr>
        <w:t>’</w:t>
      </w:r>
      <w:r w:rsidRPr="00E53355">
        <w:rPr>
          <w:rFonts w:eastAsia="Malgun Gothic"/>
          <w:bCs/>
          <w:lang w:val="fr-FR"/>
        </w:rPr>
        <w:t>autres conventions, qui devraient se refléter dans les conclusions de l</w:t>
      </w:r>
      <w:r w:rsidR="00923E72">
        <w:rPr>
          <w:rFonts w:eastAsia="Malgun Gothic"/>
          <w:bCs/>
          <w:lang w:val="fr-FR"/>
        </w:rPr>
        <w:t>’</w:t>
      </w:r>
      <w:r w:rsidRPr="00E53355">
        <w:rPr>
          <w:rFonts w:eastAsia="Malgun Gothic"/>
          <w:bCs/>
          <w:lang w:val="fr-FR"/>
        </w:rPr>
        <w:t>Organe d</w:t>
      </w:r>
      <w:r w:rsidR="00923E72">
        <w:rPr>
          <w:rFonts w:eastAsia="Malgun Gothic"/>
          <w:bCs/>
          <w:lang w:val="fr-FR"/>
        </w:rPr>
        <w:t>’</w:t>
      </w:r>
      <w:r w:rsidRPr="00E53355">
        <w:rPr>
          <w:rFonts w:eastAsia="Malgun Gothic"/>
          <w:bCs/>
          <w:lang w:val="fr-FR"/>
        </w:rPr>
        <w:t>Évaluation. La délégation a regretté le manque d</w:t>
      </w:r>
      <w:r w:rsidR="00923E72">
        <w:rPr>
          <w:rFonts w:eastAsia="Malgun Gothic"/>
          <w:bCs/>
          <w:lang w:val="fr-FR"/>
        </w:rPr>
        <w:t>’</w:t>
      </w:r>
      <w:r w:rsidRPr="00E53355">
        <w:rPr>
          <w:rFonts w:eastAsia="Malgun Gothic"/>
          <w:bCs/>
          <w:lang w:val="fr-FR"/>
        </w:rPr>
        <w:t>équilibre de ce cycle, en particulier en ce qui concerne la région de l</w:t>
      </w:r>
      <w:r w:rsidR="00923E72">
        <w:rPr>
          <w:rFonts w:eastAsia="Malgun Gothic"/>
          <w:bCs/>
          <w:lang w:val="fr-FR"/>
        </w:rPr>
        <w:t>’</w:t>
      </w:r>
      <w:r w:rsidRPr="00E53355">
        <w:rPr>
          <w:rFonts w:eastAsia="Malgun Gothic"/>
          <w:bCs/>
          <w:lang w:val="fr-FR"/>
        </w:rPr>
        <w:t>Amérique latine et des Caraïbes et les PEID. Aucun des dossiers de cette région n</w:t>
      </w:r>
      <w:r w:rsidR="00923E72">
        <w:rPr>
          <w:rFonts w:eastAsia="Malgun Gothic"/>
          <w:bCs/>
          <w:lang w:val="fr-FR"/>
        </w:rPr>
        <w:t>’</w:t>
      </w:r>
      <w:r w:rsidRPr="00E53355">
        <w:rPr>
          <w:rFonts w:eastAsia="Malgun Gothic"/>
          <w:bCs/>
          <w:lang w:val="fr-FR"/>
        </w:rPr>
        <w:t>avait bénéficié du dialogue en amont, y compris les pays qui soumettaient un dossier pour la première fois. L</w:t>
      </w:r>
      <w:r w:rsidR="00923E72">
        <w:rPr>
          <w:rFonts w:eastAsia="Malgun Gothic"/>
          <w:bCs/>
          <w:lang w:val="fr-FR"/>
        </w:rPr>
        <w:t>’</w:t>
      </w:r>
      <w:r w:rsidRPr="00E53355">
        <w:rPr>
          <w:rFonts w:eastAsia="Malgun Gothic"/>
          <w:bCs/>
          <w:lang w:val="fr-FR"/>
        </w:rPr>
        <w:t>évaluation ne saurait s</w:t>
      </w:r>
      <w:r w:rsidR="00923E72">
        <w:rPr>
          <w:rFonts w:eastAsia="Malgun Gothic"/>
          <w:bCs/>
          <w:lang w:val="fr-FR"/>
        </w:rPr>
        <w:t>’</w:t>
      </w:r>
      <w:r w:rsidRPr="00E53355">
        <w:rPr>
          <w:rFonts w:eastAsia="Malgun Gothic"/>
          <w:bCs/>
          <w:lang w:val="fr-FR"/>
        </w:rPr>
        <w:t>engager dans une compétition pour savoir quel groupe régional était capable de préparer les meilleurs dossiers, surtout lorsque les communautés et les détenteurs participent au processus. La délégation soutenait les remarques formulées par le Brésil, le Maroc, la Malaisie, l</w:t>
      </w:r>
      <w:r w:rsidR="00923E72">
        <w:rPr>
          <w:rFonts w:eastAsia="Malgun Gothic"/>
          <w:bCs/>
          <w:lang w:val="fr-FR"/>
        </w:rPr>
        <w:t>’</w:t>
      </w:r>
      <w:r w:rsidRPr="00E53355">
        <w:rPr>
          <w:rFonts w:eastAsia="Malgun Gothic"/>
          <w:bCs/>
          <w:lang w:val="fr-FR"/>
        </w:rPr>
        <w:t>Inde, le Rwanda, le Pérou, le Paraguay et le Bangladesh</w:t>
      </w:r>
      <w:r w:rsidR="00B725DB">
        <w:rPr>
          <w:rFonts w:eastAsia="Malgun Gothic"/>
          <w:bCs/>
          <w:lang w:val="fr-FR"/>
        </w:rPr>
        <w:t>,</w:t>
      </w:r>
      <w:r w:rsidRPr="00E53355">
        <w:rPr>
          <w:rFonts w:eastAsia="Malgun Gothic"/>
          <w:bCs/>
          <w:lang w:val="fr-FR"/>
        </w:rPr>
        <w:t xml:space="preserve"> qui partageaient les mêmes préoccupations. Elle était convaincue que le Maroc constituerait un point de départ pour l</w:t>
      </w:r>
      <w:r w:rsidR="00923E72">
        <w:rPr>
          <w:rFonts w:eastAsia="Malgun Gothic"/>
          <w:bCs/>
          <w:lang w:val="fr-FR"/>
        </w:rPr>
        <w:t>’</w:t>
      </w:r>
      <w:r w:rsidRPr="00E53355">
        <w:rPr>
          <w:rFonts w:eastAsia="Malgun Gothic"/>
          <w:bCs/>
          <w:lang w:val="fr-FR"/>
        </w:rPr>
        <w:t>amélioration du système d</w:t>
      </w:r>
      <w:r w:rsidR="00923E72">
        <w:rPr>
          <w:rFonts w:eastAsia="Malgun Gothic"/>
          <w:bCs/>
          <w:lang w:val="fr-FR"/>
        </w:rPr>
        <w:t>’</w:t>
      </w:r>
      <w:r w:rsidRPr="00E53355">
        <w:rPr>
          <w:rFonts w:eastAsia="Malgun Gothic"/>
          <w:bCs/>
          <w:lang w:val="fr-FR"/>
        </w:rPr>
        <w:t>évaluation et de cette Convention. La délégation a remercié l</w:t>
      </w:r>
      <w:r w:rsidR="00923E72">
        <w:rPr>
          <w:rFonts w:eastAsia="Malgun Gothic"/>
          <w:bCs/>
          <w:lang w:val="fr-FR"/>
        </w:rPr>
        <w:t>’</w:t>
      </w:r>
      <w:r w:rsidRPr="00E53355">
        <w:rPr>
          <w:rFonts w:eastAsia="Malgun Gothic"/>
          <w:bCs/>
          <w:lang w:val="fr-FR"/>
        </w:rPr>
        <w:t>Espagne de mettre à disposition une interprétation en espagnol.</w:t>
      </w:r>
    </w:p>
    <w:p w14:paraId="7DDCFA73" w14:textId="493837B7" w:rsidR="00DB37C1" w:rsidRDefault="00DB37C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B37C1">
        <w:rPr>
          <w:rFonts w:eastAsia="Malgun Gothic"/>
          <w:bCs/>
          <w:lang w:val="fr-FR"/>
        </w:rPr>
        <w:t>La délégation de l</w:t>
      </w:r>
      <w:r w:rsidR="00923E72">
        <w:rPr>
          <w:rFonts w:eastAsia="Malgun Gothic"/>
          <w:bCs/>
          <w:lang w:val="fr-FR"/>
        </w:rPr>
        <w:t>’</w:t>
      </w:r>
      <w:r w:rsidRPr="00702497">
        <w:rPr>
          <w:rFonts w:eastAsia="Malgun Gothic"/>
          <w:b/>
          <w:lang w:val="fr-FR"/>
        </w:rPr>
        <w:t>Argentine</w:t>
      </w:r>
      <w:r w:rsidRPr="00DB37C1">
        <w:rPr>
          <w:rFonts w:eastAsia="Malgun Gothic"/>
          <w:bCs/>
          <w:lang w:val="fr-FR"/>
        </w:rPr>
        <w:t xml:space="preserve"> a remercié les autorités du Maroc d</w:t>
      </w:r>
      <w:r w:rsidR="00923E72">
        <w:rPr>
          <w:rFonts w:eastAsia="Malgun Gothic"/>
          <w:bCs/>
          <w:lang w:val="fr-FR"/>
        </w:rPr>
        <w:t>’</w:t>
      </w:r>
      <w:r w:rsidRPr="00DB37C1">
        <w:rPr>
          <w:rFonts w:eastAsia="Malgun Gothic"/>
          <w:bCs/>
          <w:lang w:val="fr-FR"/>
        </w:rPr>
        <w:t>organiser cette dix</w:t>
      </w:r>
      <w:r>
        <w:rPr>
          <w:rFonts w:eastAsia="Malgun Gothic"/>
          <w:bCs/>
          <w:lang w:val="fr-FR"/>
        </w:rPr>
        <w:noBreakHyphen/>
      </w:r>
      <w:r w:rsidRPr="00DB37C1">
        <w:rPr>
          <w:rFonts w:eastAsia="Malgun Gothic"/>
          <w:bCs/>
          <w:lang w:val="fr-FR"/>
        </w:rPr>
        <w:t>septième session ainsi que l</w:t>
      </w:r>
      <w:r w:rsidR="00923E72">
        <w:rPr>
          <w:rFonts w:eastAsia="Malgun Gothic"/>
          <w:bCs/>
          <w:lang w:val="fr-FR"/>
        </w:rPr>
        <w:t>’</w:t>
      </w:r>
      <w:r w:rsidRPr="00DB37C1">
        <w:rPr>
          <w:rFonts w:eastAsia="Malgun Gothic"/>
          <w:bCs/>
          <w:lang w:val="fr-FR"/>
        </w:rPr>
        <w:t>UNESCO, le Secrétariat et le Président. Elle a remercié l</w:t>
      </w:r>
      <w:r w:rsidR="00923E72">
        <w:rPr>
          <w:rFonts w:eastAsia="Malgun Gothic"/>
          <w:bCs/>
          <w:lang w:val="fr-FR"/>
        </w:rPr>
        <w:t>’</w:t>
      </w:r>
      <w:r w:rsidRPr="00DB37C1">
        <w:rPr>
          <w:rFonts w:eastAsia="Malgun Gothic"/>
          <w:bCs/>
          <w:lang w:val="fr-FR"/>
        </w:rPr>
        <w:t>Organe d</w:t>
      </w:r>
      <w:r w:rsidR="00923E72">
        <w:rPr>
          <w:rFonts w:eastAsia="Malgun Gothic"/>
          <w:bCs/>
          <w:lang w:val="fr-FR"/>
        </w:rPr>
        <w:t>’</w:t>
      </w:r>
      <w:r w:rsidRPr="00DB37C1">
        <w:rPr>
          <w:rFonts w:eastAsia="Malgun Gothic"/>
          <w:bCs/>
          <w:lang w:val="fr-FR"/>
        </w:rPr>
        <w:t>évaluation pour son rapport très détaillé. Comme mentionné par un certain nombre d</w:t>
      </w:r>
      <w:r w:rsidR="00923E72">
        <w:rPr>
          <w:rFonts w:eastAsia="Malgun Gothic"/>
          <w:bCs/>
          <w:lang w:val="fr-FR"/>
        </w:rPr>
        <w:t>’</w:t>
      </w:r>
      <w:r w:rsidRPr="00DB37C1">
        <w:rPr>
          <w:rFonts w:eastAsia="Malgun Gothic"/>
          <w:bCs/>
          <w:lang w:val="fr-FR"/>
        </w:rPr>
        <w:t>autres délégations, l</w:t>
      </w:r>
      <w:r w:rsidR="00923E72">
        <w:rPr>
          <w:rFonts w:eastAsia="Malgun Gothic"/>
          <w:bCs/>
          <w:lang w:val="fr-FR"/>
        </w:rPr>
        <w:t>’</w:t>
      </w:r>
      <w:r w:rsidRPr="00DB37C1">
        <w:rPr>
          <w:rFonts w:eastAsia="Malgun Gothic"/>
          <w:bCs/>
          <w:lang w:val="fr-FR"/>
        </w:rPr>
        <w:t>Argentine avait également des inquiétudes quant au déséquilibre et à la représentation de certaines régions sur les listes. La délégation s</w:t>
      </w:r>
      <w:r w:rsidR="00923E72">
        <w:rPr>
          <w:rFonts w:eastAsia="Malgun Gothic"/>
          <w:bCs/>
          <w:lang w:val="fr-FR"/>
        </w:rPr>
        <w:t>’</w:t>
      </w:r>
      <w:r w:rsidRPr="00DB37C1">
        <w:rPr>
          <w:rFonts w:eastAsia="Malgun Gothic"/>
          <w:bCs/>
          <w:lang w:val="fr-FR"/>
        </w:rPr>
        <w:t>est fait l</w:t>
      </w:r>
      <w:r w:rsidR="00923E72">
        <w:rPr>
          <w:rFonts w:eastAsia="Malgun Gothic"/>
          <w:bCs/>
          <w:lang w:val="fr-FR"/>
        </w:rPr>
        <w:t>’</w:t>
      </w:r>
      <w:r w:rsidRPr="00DB37C1">
        <w:rPr>
          <w:rFonts w:eastAsia="Malgun Gothic"/>
          <w:bCs/>
          <w:lang w:val="fr-FR"/>
        </w:rPr>
        <w:t xml:space="preserve">écho de la demande </w:t>
      </w:r>
      <w:r>
        <w:rPr>
          <w:rFonts w:eastAsia="Malgun Gothic"/>
          <w:bCs/>
          <w:lang w:val="fr-FR"/>
        </w:rPr>
        <w:t>en faveur d</w:t>
      </w:r>
      <w:r w:rsidR="00923E72">
        <w:rPr>
          <w:rFonts w:eastAsia="Malgun Gothic"/>
          <w:bCs/>
          <w:lang w:val="fr-FR"/>
        </w:rPr>
        <w:t>’</w:t>
      </w:r>
      <w:r>
        <w:rPr>
          <w:rFonts w:eastAsia="Malgun Gothic"/>
          <w:bCs/>
          <w:lang w:val="fr-FR"/>
        </w:rPr>
        <w:t xml:space="preserve">un </w:t>
      </w:r>
      <w:r w:rsidRPr="00DB37C1">
        <w:rPr>
          <w:rFonts w:eastAsia="Malgun Gothic"/>
          <w:bCs/>
          <w:lang w:val="fr-FR"/>
        </w:rPr>
        <w:t xml:space="preserve">renforcement des capacités nationales et locales ainsi </w:t>
      </w:r>
      <w:r w:rsidRPr="00DB37C1">
        <w:rPr>
          <w:rFonts w:eastAsia="Malgun Gothic"/>
          <w:bCs/>
          <w:lang w:val="fr-FR"/>
        </w:rPr>
        <w:lastRenderedPageBreak/>
        <w:t>que du dialogue en amont entre l</w:t>
      </w:r>
      <w:r w:rsidR="00923E72">
        <w:rPr>
          <w:rFonts w:eastAsia="Malgun Gothic"/>
          <w:bCs/>
          <w:lang w:val="fr-FR"/>
        </w:rPr>
        <w:t>’</w:t>
      </w:r>
      <w:r w:rsidRPr="00DB37C1">
        <w:rPr>
          <w:rFonts w:eastAsia="Malgun Gothic"/>
          <w:bCs/>
          <w:lang w:val="fr-FR"/>
        </w:rPr>
        <w:t>Organe d</w:t>
      </w:r>
      <w:r w:rsidR="00923E72">
        <w:rPr>
          <w:rFonts w:eastAsia="Malgun Gothic"/>
          <w:bCs/>
          <w:lang w:val="fr-FR"/>
        </w:rPr>
        <w:t>’</w:t>
      </w:r>
      <w:r w:rsidRPr="00DB37C1">
        <w:rPr>
          <w:rFonts w:eastAsia="Malgun Gothic"/>
          <w:bCs/>
          <w:lang w:val="fr-FR"/>
        </w:rPr>
        <w:t xml:space="preserve">évaluation et les États soumissionnaires, un </w:t>
      </w:r>
      <w:r w:rsidR="00791BBD">
        <w:rPr>
          <w:rFonts w:eastAsia="Malgun Gothic"/>
          <w:bCs/>
          <w:lang w:val="fr-FR"/>
        </w:rPr>
        <w:t xml:space="preserve">aspect </w:t>
      </w:r>
      <w:r w:rsidRPr="00DB37C1">
        <w:rPr>
          <w:rFonts w:eastAsia="Malgun Gothic"/>
          <w:bCs/>
          <w:lang w:val="fr-FR"/>
        </w:rPr>
        <w:t>essentiel du processus de candidature. Elle estim</w:t>
      </w:r>
      <w:r w:rsidR="00F068D1">
        <w:rPr>
          <w:rFonts w:eastAsia="Malgun Gothic"/>
          <w:bCs/>
          <w:lang w:val="fr-FR"/>
        </w:rPr>
        <w:t xml:space="preserve">ait </w:t>
      </w:r>
      <w:r w:rsidRPr="00DB37C1">
        <w:rPr>
          <w:rFonts w:eastAsia="Malgun Gothic"/>
          <w:bCs/>
          <w:lang w:val="fr-FR"/>
        </w:rPr>
        <w:t>que le dialogue à chaque étape de la mise en œuvre de la Convention est nécessaire</w:t>
      </w:r>
      <w:r>
        <w:rPr>
          <w:rFonts w:eastAsia="Malgun Gothic"/>
          <w:bCs/>
          <w:lang w:val="fr-FR"/>
        </w:rPr>
        <w:t>,</w:t>
      </w:r>
      <w:r w:rsidRPr="00DB37C1">
        <w:rPr>
          <w:rFonts w:eastAsia="Malgun Gothic"/>
          <w:bCs/>
          <w:lang w:val="fr-FR"/>
        </w:rPr>
        <w:t xml:space="preserve"> et a expliqué pourquoi cela devrait faire partie de l</w:t>
      </w:r>
      <w:r w:rsidR="00923E72">
        <w:rPr>
          <w:rFonts w:eastAsia="Malgun Gothic"/>
          <w:bCs/>
          <w:lang w:val="fr-FR"/>
        </w:rPr>
        <w:t>’</w:t>
      </w:r>
      <w:r w:rsidRPr="00DB37C1">
        <w:rPr>
          <w:rFonts w:eastAsia="Malgun Gothic"/>
          <w:bCs/>
          <w:lang w:val="fr-FR"/>
        </w:rPr>
        <w:t>approche, se ralliant aux sentiments exprimés par d</w:t>
      </w:r>
      <w:r w:rsidR="00923E72">
        <w:rPr>
          <w:rFonts w:eastAsia="Malgun Gothic"/>
          <w:bCs/>
          <w:lang w:val="fr-FR"/>
        </w:rPr>
        <w:t>’</w:t>
      </w:r>
      <w:r w:rsidRPr="00DB37C1">
        <w:rPr>
          <w:rFonts w:eastAsia="Malgun Gothic"/>
          <w:bCs/>
          <w:lang w:val="fr-FR"/>
        </w:rPr>
        <w:t>autres, à savoir que ces questions devaient faire l</w:t>
      </w:r>
      <w:r w:rsidR="00923E72">
        <w:rPr>
          <w:rFonts w:eastAsia="Malgun Gothic"/>
          <w:bCs/>
          <w:lang w:val="fr-FR"/>
        </w:rPr>
        <w:t>’</w:t>
      </w:r>
      <w:r w:rsidRPr="00DB37C1">
        <w:rPr>
          <w:rFonts w:eastAsia="Malgun Gothic"/>
          <w:bCs/>
          <w:lang w:val="fr-FR"/>
        </w:rPr>
        <w:t>objet d</w:t>
      </w:r>
      <w:r w:rsidR="00923E72">
        <w:rPr>
          <w:rFonts w:eastAsia="Malgun Gothic"/>
          <w:bCs/>
          <w:lang w:val="fr-FR"/>
        </w:rPr>
        <w:t>’</w:t>
      </w:r>
      <w:r w:rsidRPr="00DB37C1">
        <w:rPr>
          <w:rFonts w:eastAsia="Malgun Gothic"/>
          <w:bCs/>
          <w:lang w:val="fr-FR"/>
        </w:rPr>
        <w:t>un débat approfondi.</w:t>
      </w:r>
    </w:p>
    <w:p w14:paraId="4E252563" w14:textId="5E9AFE12" w:rsidR="00DB37C1" w:rsidRDefault="00DB37C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B37C1">
        <w:rPr>
          <w:rFonts w:eastAsia="Malgun Gothic"/>
          <w:bCs/>
          <w:lang w:val="fr-FR"/>
        </w:rPr>
        <w:t xml:space="preserve">La délégation du </w:t>
      </w:r>
      <w:r w:rsidRPr="00702497">
        <w:rPr>
          <w:rFonts w:eastAsia="Malgun Gothic"/>
          <w:b/>
          <w:lang w:val="fr-FR"/>
        </w:rPr>
        <w:t>Guatemala</w:t>
      </w:r>
      <w:r w:rsidRPr="00DB37C1">
        <w:rPr>
          <w:rFonts w:eastAsia="Malgun Gothic"/>
          <w:bCs/>
          <w:lang w:val="fr-FR"/>
        </w:rPr>
        <w:t xml:space="preserve"> a remercié l</w:t>
      </w:r>
      <w:r w:rsidR="00923E72">
        <w:rPr>
          <w:rFonts w:eastAsia="Malgun Gothic"/>
          <w:bCs/>
          <w:lang w:val="fr-FR"/>
        </w:rPr>
        <w:t>’</w:t>
      </w:r>
      <w:r w:rsidRPr="00DB37C1">
        <w:rPr>
          <w:rFonts w:eastAsia="Malgun Gothic"/>
          <w:bCs/>
          <w:lang w:val="fr-FR"/>
        </w:rPr>
        <w:t>Organe d</w:t>
      </w:r>
      <w:r w:rsidR="00923E72">
        <w:rPr>
          <w:rFonts w:eastAsia="Malgun Gothic"/>
          <w:bCs/>
          <w:lang w:val="fr-FR"/>
        </w:rPr>
        <w:t>’</w:t>
      </w:r>
      <w:r w:rsidRPr="00DB37C1">
        <w:rPr>
          <w:rFonts w:eastAsia="Malgun Gothic"/>
          <w:bCs/>
          <w:lang w:val="fr-FR"/>
        </w:rPr>
        <w:t>évaluation pour l</w:t>
      </w:r>
      <w:r w:rsidR="00923E72">
        <w:rPr>
          <w:rFonts w:eastAsia="Malgun Gothic"/>
          <w:bCs/>
          <w:lang w:val="fr-FR"/>
        </w:rPr>
        <w:t>’</w:t>
      </w:r>
      <w:r w:rsidRPr="00DB37C1">
        <w:rPr>
          <w:rFonts w:eastAsia="Malgun Gothic"/>
          <w:bCs/>
          <w:lang w:val="fr-FR"/>
        </w:rPr>
        <w:t>immense travail accompli</w:t>
      </w:r>
      <w:r w:rsidR="000E332B">
        <w:rPr>
          <w:rFonts w:eastAsia="Malgun Gothic"/>
          <w:bCs/>
          <w:lang w:val="fr-FR"/>
        </w:rPr>
        <w:t xml:space="preserve"> avec l</w:t>
      </w:r>
      <w:r w:rsidR="00923E72">
        <w:rPr>
          <w:rFonts w:eastAsia="Malgun Gothic"/>
          <w:bCs/>
          <w:lang w:val="fr-FR"/>
        </w:rPr>
        <w:t>’</w:t>
      </w:r>
      <w:r w:rsidRPr="00DB37C1">
        <w:rPr>
          <w:rFonts w:eastAsia="Malgun Gothic"/>
          <w:bCs/>
          <w:lang w:val="fr-FR"/>
        </w:rPr>
        <w:t>évaluation des nombreux dossiers de ce cycle. En tant qu</w:t>
      </w:r>
      <w:r w:rsidR="00923E72">
        <w:rPr>
          <w:rFonts w:eastAsia="Malgun Gothic"/>
          <w:bCs/>
          <w:lang w:val="fr-FR"/>
        </w:rPr>
        <w:t>’</w:t>
      </w:r>
      <w:r w:rsidRPr="00DB37C1">
        <w:rPr>
          <w:rFonts w:eastAsia="Malgun Gothic"/>
          <w:bCs/>
          <w:lang w:val="fr-FR"/>
        </w:rPr>
        <w:t xml:space="preserve">État partie, le Guatemala </w:t>
      </w:r>
      <w:r w:rsidR="000E332B">
        <w:rPr>
          <w:rFonts w:eastAsia="Malgun Gothic"/>
          <w:bCs/>
          <w:lang w:val="fr-FR"/>
        </w:rPr>
        <w:t xml:space="preserve">était désireux de </w:t>
      </w:r>
      <w:r w:rsidRPr="00DB37C1">
        <w:rPr>
          <w:rFonts w:eastAsia="Malgun Gothic"/>
          <w:bCs/>
          <w:lang w:val="fr-FR"/>
        </w:rPr>
        <w:t>promouvoir un dialogue équilibré afin de garantir que tous les États soumissionnaires ont la possibilité d</w:t>
      </w:r>
      <w:r w:rsidR="00923E72">
        <w:rPr>
          <w:rFonts w:eastAsia="Malgun Gothic"/>
          <w:bCs/>
          <w:lang w:val="fr-FR"/>
        </w:rPr>
        <w:t>’</w:t>
      </w:r>
      <w:r w:rsidRPr="00DB37C1">
        <w:rPr>
          <w:rFonts w:eastAsia="Malgun Gothic"/>
          <w:bCs/>
          <w:lang w:val="fr-FR"/>
        </w:rPr>
        <w:t>être entendus, ce qui souligne l</w:t>
      </w:r>
      <w:r w:rsidR="00923E72">
        <w:rPr>
          <w:rFonts w:eastAsia="Malgun Gothic"/>
          <w:bCs/>
          <w:lang w:val="fr-FR"/>
        </w:rPr>
        <w:t>’</w:t>
      </w:r>
      <w:r w:rsidRPr="00DB37C1">
        <w:rPr>
          <w:rFonts w:eastAsia="Malgun Gothic"/>
          <w:bCs/>
          <w:lang w:val="fr-FR"/>
        </w:rPr>
        <w:t>importance de l</w:t>
      </w:r>
      <w:r w:rsidR="00923E72">
        <w:rPr>
          <w:rFonts w:eastAsia="Malgun Gothic"/>
          <w:bCs/>
          <w:lang w:val="fr-FR"/>
        </w:rPr>
        <w:t>’</w:t>
      </w:r>
      <w:r w:rsidRPr="00DB37C1">
        <w:rPr>
          <w:rFonts w:eastAsia="Malgun Gothic"/>
          <w:bCs/>
          <w:lang w:val="fr-FR"/>
        </w:rPr>
        <w:t xml:space="preserve">équilibre régional. La délégation </w:t>
      </w:r>
      <w:r w:rsidR="000E332B">
        <w:rPr>
          <w:rFonts w:eastAsia="Malgun Gothic"/>
          <w:bCs/>
          <w:lang w:val="fr-FR"/>
        </w:rPr>
        <w:t xml:space="preserve">était consciente </w:t>
      </w:r>
      <w:r w:rsidRPr="00DB37C1">
        <w:rPr>
          <w:rFonts w:eastAsia="Malgun Gothic"/>
          <w:bCs/>
          <w:lang w:val="fr-FR"/>
        </w:rPr>
        <w:t>que l</w:t>
      </w:r>
      <w:r w:rsidR="00923E72">
        <w:rPr>
          <w:rFonts w:eastAsia="Malgun Gothic"/>
          <w:bCs/>
          <w:lang w:val="fr-FR"/>
        </w:rPr>
        <w:t>’</w:t>
      </w:r>
      <w:r w:rsidRPr="00DB37C1">
        <w:rPr>
          <w:rFonts w:eastAsia="Malgun Gothic"/>
          <w:bCs/>
          <w:lang w:val="fr-FR"/>
        </w:rPr>
        <w:t>inscription n</w:t>
      </w:r>
      <w:r w:rsidR="00923E72">
        <w:rPr>
          <w:rFonts w:eastAsia="Malgun Gothic"/>
          <w:bCs/>
          <w:lang w:val="fr-FR"/>
        </w:rPr>
        <w:t>’</w:t>
      </w:r>
      <w:r w:rsidRPr="00DB37C1">
        <w:rPr>
          <w:rFonts w:eastAsia="Malgun Gothic"/>
          <w:bCs/>
          <w:lang w:val="fr-FR"/>
        </w:rPr>
        <w:t>était pas une compétition et que tous les États dev</w:t>
      </w:r>
      <w:r w:rsidR="000E332B">
        <w:rPr>
          <w:rFonts w:eastAsia="Malgun Gothic"/>
          <w:bCs/>
          <w:lang w:val="fr-FR"/>
        </w:rPr>
        <w:t>r</w:t>
      </w:r>
      <w:r w:rsidRPr="00DB37C1">
        <w:rPr>
          <w:rFonts w:eastAsia="Malgun Gothic"/>
          <w:bCs/>
          <w:lang w:val="fr-FR"/>
        </w:rPr>
        <w:t xml:space="preserve">aient avoir la possibilité de dissiper toute inquiétude </w:t>
      </w:r>
      <w:r w:rsidR="00791BBD">
        <w:rPr>
          <w:rFonts w:eastAsia="Malgun Gothic"/>
          <w:bCs/>
          <w:lang w:val="fr-FR"/>
        </w:rPr>
        <w:t xml:space="preserve">suscitée par </w:t>
      </w:r>
      <w:r w:rsidRPr="00DB37C1">
        <w:rPr>
          <w:rFonts w:eastAsia="Malgun Gothic"/>
          <w:bCs/>
          <w:lang w:val="fr-FR"/>
        </w:rPr>
        <w:t>leur dossier de manière équitable, en particulier pour les États qui n</w:t>
      </w:r>
      <w:r w:rsidR="00923E72">
        <w:rPr>
          <w:rFonts w:eastAsia="Malgun Gothic"/>
          <w:bCs/>
          <w:lang w:val="fr-FR"/>
        </w:rPr>
        <w:t>’</w:t>
      </w:r>
      <w:r w:rsidRPr="00DB37C1">
        <w:rPr>
          <w:rFonts w:eastAsia="Malgun Gothic"/>
          <w:bCs/>
          <w:lang w:val="fr-FR"/>
        </w:rPr>
        <w:t xml:space="preserve">avaient pas bénéficié du processus de dialogue. Elle a rappelé que le patrimoine culturel immatériel est important dans tous les </w:t>
      </w:r>
      <w:r w:rsidR="000E332B" w:rsidRPr="00DB37C1">
        <w:rPr>
          <w:rFonts w:eastAsia="Malgun Gothic"/>
          <w:bCs/>
          <w:lang w:val="fr-FR"/>
        </w:rPr>
        <w:t>États</w:t>
      </w:r>
      <w:r w:rsidRPr="00DB37C1">
        <w:rPr>
          <w:rFonts w:eastAsia="Malgun Gothic"/>
          <w:bCs/>
          <w:lang w:val="fr-FR"/>
        </w:rPr>
        <w:t xml:space="preserve"> et que les communautés gèrent et mettent en œuvre toutes les mesures de sauvegarde avec tous les acteurs des différentes communautés</w:t>
      </w:r>
      <w:r w:rsidR="00D92876">
        <w:rPr>
          <w:rFonts w:eastAsia="Malgun Gothic"/>
          <w:bCs/>
          <w:lang w:val="fr-FR"/>
        </w:rPr>
        <w:t>,</w:t>
      </w:r>
      <w:r w:rsidRPr="00DB37C1">
        <w:rPr>
          <w:rFonts w:eastAsia="Malgun Gothic"/>
          <w:bCs/>
          <w:lang w:val="fr-FR"/>
        </w:rPr>
        <w:t xml:space="preserve"> et que</w:t>
      </w:r>
      <w:r w:rsidR="000E332B">
        <w:rPr>
          <w:rFonts w:eastAsia="Malgun Gothic"/>
          <w:bCs/>
          <w:lang w:val="fr-FR"/>
        </w:rPr>
        <w:t>,</w:t>
      </w:r>
      <w:r w:rsidRPr="00DB37C1">
        <w:rPr>
          <w:rFonts w:eastAsia="Malgun Gothic"/>
          <w:bCs/>
          <w:lang w:val="fr-FR"/>
        </w:rPr>
        <w:t xml:space="preserve"> pour cette raison</w:t>
      </w:r>
      <w:r w:rsidR="000E332B">
        <w:rPr>
          <w:rFonts w:eastAsia="Malgun Gothic"/>
          <w:bCs/>
          <w:lang w:val="fr-FR"/>
        </w:rPr>
        <w:t>,</w:t>
      </w:r>
      <w:r w:rsidRPr="00DB37C1">
        <w:rPr>
          <w:rFonts w:eastAsia="Malgun Gothic"/>
          <w:bCs/>
          <w:lang w:val="fr-FR"/>
        </w:rPr>
        <w:t xml:space="preserve"> le processus doit se dérouler de manière équitable afin que chacun des États soumissionnaires ait le droit d</w:t>
      </w:r>
      <w:r w:rsidR="00923E72">
        <w:rPr>
          <w:rFonts w:eastAsia="Malgun Gothic"/>
          <w:bCs/>
          <w:lang w:val="fr-FR"/>
        </w:rPr>
        <w:t>’</w:t>
      </w:r>
      <w:r w:rsidRPr="00DB37C1">
        <w:rPr>
          <w:rFonts w:eastAsia="Malgun Gothic"/>
          <w:bCs/>
          <w:lang w:val="fr-FR"/>
        </w:rPr>
        <w:t>être entendu.</w:t>
      </w:r>
    </w:p>
    <w:p w14:paraId="1F99EEEA" w14:textId="273DF48D" w:rsidR="000E332B" w:rsidRDefault="000E332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le </w:t>
      </w:r>
      <w:r w:rsidR="003B07FD">
        <w:rPr>
          <w:rFonts w:eastAsia="Malgun Gothic"/>
          <w:bCs/>
          <w:lang w:val="fr-FR"/>
        </w:rPr>
        <w:t>v</w:t>
      </w:r>
      <w:r>
        <w:rPr>
          <w:rFonts w:eastAsia="Malgun Gothic"/>
          <w:bCs/>
          <w:lang w:val="fr-FR"/>
        </w:rPr>
        <w:t>ice-</w:t>
      </w:r>
      <w:r w:rsidR="003B07FD">
        <w:rPr>
          <w:rFonts w:eastAsia="Malgun Gothic"/>
          <w:bCs/>
          <w:lang w:val="fr-FR"/>
        </w:rPr>
        <w:t>m</w:t>
      </w:r>
      <w:r>
        <w:rPr>
          <w:rFonts w:eastAsia="Malgun Gothic"/>
          <w:bCs/>
          <w:lang w:val="fr-FR"/>
        </w:rPr>
        <w:t>inistre pour son intervention.</w:t>
      </w:r>
    </w:p>
    <w:p w14:paraId="1D598E2A" w14:textId="3B62B2C1" w:rsidR="000E332B" w:rsidRDefault="000E332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E332B">
        <w:rPr>
          <w:rFonts w:eastAsia="Malgun Gothic"/>
          <w:bCs/>
          <w:lang w:val="fr-FR"/>
        </w:rPr>
        <w:t>La délégation d</w:t>
      </w:r>
      <w:r w:rsidR="00923E72">
        <w:rPr>
          <w:rFonts w:eastAsia="Malgun Gothic"/>
          <w:bCs/>
          <w:lang w:val="fr-FR"/>
        </w:rPr>
        <w:t>’</w:t>
      </w:r>
      <w:r w:rsidRPr="00702497">
        <w:rPr>
          <w:rFonts w:eastAsia="Malgun Gothic"/>
          <w:b/>
          <w:lang w:val="fr-FR"/>
        </w:rPr>
        <w:t>Haïti</w:t>
      </w:r>
      <w:r w:rsidRPr="000E332B">
        <w:rPr>
          <w:rFonts w:eastAsia="Malgun Gothic"/>
          <w:bCs/>
          <w:lang w:val="fr-FR"/>
        </w:rPr>
        <w:t xml:space="preserve"> a remercié l</w:t>
      </w:r>
      <w:r w:rsidR="00923E72">
        <w:rPr>
          <w:rFonts w:eastAsia="Malgun Gothic"/>
          <w:bCs/>
          <w:lang w:val="fr-FR"/>
        </w:rPr>
        <w:t>’</w:t>
      </w:r>
      <w:r w:rsidRPr="000E332B">
        <w:rPr>
          <w:rFonts w:eastAsia="Malgun Gothic"/>
          <w:bCs/>
          <w:lang w:val="fr-FR"/>
        </w:rPr>
        <w:t>Organe d</w:t>
      </w:r>
      <w:r w:rsidR="00923E72">
        <w:rPr>
          <w:rFonts w:eastAsia="Malgun Gothic"/>
          <w:bCs/>
          <w:lang w:val="fr-FR"/>
        </w:rPr>
        <w:t>’</w:t>
      </w:r>
      <w:r w:rsidRPr="000E332B">
        <w:rPr>
          <w:rFonts w:eastAsia="Malgun Gothic"/>
          <w:bCs/>
          <w:lang w:val="fr-FR"/>
        </w:rPr>
        <w:t>évaluation pour le travail colossal qu</w:t>
      </w:r>
      <w:r w:rsidR="00923E72">
        <w:rPr>
          <w:rFonts w:eastAsia="Malgun Gothic"/>
          <w:bCs/>
          <w:lang w:val="fr-FR"/>
        </w:rPr>
        <w:t>’</w:t>
      </w:r>
      <w:r w:rsidRPr="000E332B">
        <w:rPr>
          <w:rFonts w:eastAsia="Malgun Gothic"/>
          <w:bCs/>
          <w:lang w:val="fr-FR"/>
        </w:rPr>
        <w:t>il avait accompli, comme en attestait le présent rapport. Elle a tenu à souligner le paragraphe</w:t>
      </w:r>
      <w:r w:rsidR="00F068D1">
        <w:rPr>
          <w:rFonts w:eastAsia="Malgun Gothic"/>
          <w:bCs/>
          <w:lang w:val="fr-FR"/>
        </w:rPr>
        <w:t> </w:t>
      </w:r>
      <w:r w:rsidRPr="000E332B">
        <w:rPr>
          <w:rFonts w:eastAsia="Malgun Gothic"/>
          <w:bCs/>
          <w:lang w:val="fr-FR"/>
        </w:rPr>
        <w:t>36</w:t>
      </w:r>
      <w:r w:rsidR="00B725DB">
        <w:rPr>
          <w:rFonts w:eastAsia="Malgun Gothic"/>
          <w:bCs/>
          <w:lang w:val="fr-FR"/>
        </w:rPr>
        <w:t>,</w:t>
      </w:r>
      <w:r w:rsidRPr="000E332B">
        <w:rPr>
          <w:rFonts w:eastAsia="Malgun Gothic"/>
          <w:bCs/>
          <w:lang w:val="fr-FR"/>
        </w:rPr>
        <w:t xml:space="preserve"> qui </w:t>
      </w:r>
      <w:r w:rsidR="00440611">
        <w:rPr>
          <w:rFonts w:eastAsia="Malgun Gothic"/>
          <w:bCs/>
          <w:lang w:val="fr-FR"/>
        </w:rPr>
        <w:t xml:space="preserve">mettait en exergue </w:t>
      </w:r>
      <w:r w:rsidRPr="000E332B">
        <w:rPr>
          <w:rFonts w:eastAsia="Malgun Gothic"/>
          <w:bCs/>
          <w:lang w:val="fr-FR"/>
        </w:rPr>
        <w:t>la qualité des dossiers présentés par les Groupes</w:t>
      </w:r>
      <w:r w:rsidR="00440611">
        <w:rPr>
          <w:rFonts w:eastAsia="Malgun Gothic"/>
          <w:bCs/>
          <w:lang w:val="fr-FR"/>
        </w:rPr>
        <w:t> </w:t>
      </w:r>
      <w:r w:rsidRPr="000E332B">
        <w:rPr>
          <w:rFonts w:eastAsia="Malgun Gothic"/>
          <w:bCs/>
          <w:lang w:val="fr-FR"/>
        </w:rPr>
        <w:t>I et</w:t>
      </w:r>
      <w:r w:rsidR="00F068D1">
        <w:rPr>
          <w:rFonts w:eastAsia="Malgun Gothic"/>
          <w:bCs/>
          <w:lang w:val="fr-FR"/>
        </w:rPr>
        <w:t> </w:t>
      </w:r>
      <w:r w:rsidRPr="000E332B">
        <w:rPr>
          <w:rFonts w:eastAsia="Malgun Gothic"/>
          <w:bCs/>
          <w:lang w:val="fr-FR"/>
        </w:rPr>
        <w:t>II, ce qui donnait matière à réflexion. La délégation s</w:t>
      </w:r>
      <w:r w:rsidR="00923E72">
        <w:rPr>
          <w:rFonts w:eastAsia="Malgun Gothic"/>
          <w:bCs/>
          <w:lang w:val="fr-FR"/>
        </w:rPr>
        <w:t>’</w:t>
      </w:r>
      <w:r w:rsidRPr="000E332B">
        <w:rPr>
          <w:rFonts w:eastAsia="Malgun Gothic"/>
          <w:bCs/>
          <w:lang w:val="fr-FR"/>
        </w:rPr>
        <w:t>est fait l</w:t>
      </w:r>
      <w:r w:rsidR="00923E72">
        <w:rPr>
          <w:rFonts w:eastAsia="Malgun Gothic"/>
          <w:bCs/>
          <w:lang w:val="fr-FR"/>
        </w:rPr>
        <w:t>’</w:t>
      </w:r>
      <w:r w:rsidRPr="000E332B">
        <w:rPr>
          <w:rFonts w:eastAsia="Malgun Gothic"/>
          <w:bCs/>
          <w:lang w:val="fr-FR"/>
        </w:rPr>
        <w:t>écho des remarques des membres du Groupe</w:t>
      </w:r>
      <w:r w:rsidR="00440611">
        <w:rPr>
          <w:rFonts w:eastAsia="Malgun Gothic"/>
          <w:bCs/>
          <w:lang w:val="fr-FR"/>
        </w:rPr>
        <w:t> </w:t>
      </w:r>
      <w:r w:rsidRPr="000E332B">
        <w:rPr>
          <w:rFonts w:eastAsia="Malgun Gothic"/>
          <w:bCs/>
          <w:lang w:val="fr-FR"/>
        </w:rPr>
        <w:t>III et du Groupe</w:t>
      </w:r>
      <w:r w:rsidR="00440611">
        <w:rPr>
          <w:rFonts w:eastAsia="Malgun Gothic"/>
          <w:bCs/>
          <w:lang w:val="fr-FR"/>
        </w:rPr>
        <w:t> </w:t>
      </w:r>
      <w:r w:rsidRPr="000E332B">
        <w:rPr>
          <w:rFonts w:eastAsia="Malgun Gothic"/>
          <w:bCs/>
          <w:lang w:val="fr-FR"/>
        </w:rPr>
        <w:t xml:space="preserve">V(a) pour appeler à un dialogue beaucoup plus important, </w:t>
      </w:r>
      <w:r w:rsidR="00440611">
        <w:rPr>
          <w:rFonts w:eastAsia="Malgun Gothic"/>
          <w:bCs/>
          <w:lang w:val="fr-FR"/>
        </w:rPr>
        <w:t>et s</w:t>
      </w:r>
      <w:r w:rsidR="00923E72">
        <w:rPr>
          <w:rFonts w:eastAsia="Malgun Gothic"/>
          <w:bCs/>
          <w:lang w:val="fr-FR"/>
        </w:rPr>
        <w:t>’</w:t>
      </w:r>
      <w:r w:rsidR="00440611">
        <w:rPr>
          <w:rFonts w:eastAsia="Malgun Gothic"/>
          <w:bCs/>
          <w:lang w:val="fr-FR"/>
        </w:rPr>
        <w:t xml:space="preserve">est demandé </w:t>
      </w:r>
      <w:r w:rsidRPr="000E332B">
        <w:rPr>
          <w:rFonts w:eastAsia="Malgun Gothic"/>
          <w:bCs/>
          <w:lang w:val="fr-FR"/>
        </w:rPr>
        <w:t>pourquoi ne pas appliquer la priorité aux PEID dans cette Convention, ce qui signifierait un dialogue plus important pour ces pays insulaires en développement qui ont besoin de ces mécanismes et pour qu</w:t>
      </w:r>
      <w:r w:rsidR="00923E72">
        <w:rPr>
          <w:rFonts w:eastAsia="Malgun Gothic"/>
          <w:bCs/>
          <w:lang w:val="fr-FR"/>
        </w:rPr>
        <w:t>’</w:t>
      </w:r>
      <w:r w:rsidRPr="000E332B">
        <w:rPr>
          <w:rFonts w:eastAsia="Malgun Gothic"/>
          <w:bCs/>
          <w:lang w:val="fr-FR"/>
        </w:rPr>
        <w:t>ils se voient représentés à la mesure de leurs contributions à cette Convention très importante. La délégation a réitéré le soutien d</w:t>
      </w:r>
      <w:r w:rsidR="00923E72">
        <w:rPr>
          <w:rFonts w:eastAsia="Malgun Gothic"/>
          <w:bCs/>
          <w:lang w:val="fr-FR"/>
        </w:rPr>
        <w:t>’</w:t>
      </w:r>
      <w:r w:rsidRPr="000E332B">
        <w:rPr>
          <w:rFonts w:eastAsia="Malgun Gothic"/>
          <w:bCs/>
          <w:lang w:val="fr-FR"/>
        </w:rPr>
        <w:t>Haïti à la candidature de l</w:t>
      </w:r>
      <w:r w:rsidR="00923E72">
        <w:rPr>
          <w:rFonts w:eastAsia="Malgun Gothic"/>
          <w:bCs/>
          <w:lang w:val="fr-FR"/>
        </w:rPr>
        <w:t>’</w:t>
      </w:r>
      <w:r w:rsidRPr="000E332B">
        <w:rPr>
          <w:rFonts w:eastAsia="Malgun Gothic"/>
          <w:bCs/>
          <w:lang w:val="fr-FR"/>
        </w:rPr>
        <w:t>élément soumis par Cuba, un élément très cher à Haïti et à toute la région.</w:t>
      </w:r>
    </w:p>
    <w:p w14:paraId="615326F4" w14:textId="565B53FB" w:rsidR="00440611" w:rsidRDefault="0044061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40611">
        <w:rPr>
          <w:rFonts w:eastAsia="Malgun Gothic"/>
          <w:bCs/>
          <w:lang w:val="fr-FR"/>
        </w:rPr>
        <w:t xml:space="preserve">La délégation de la </w:t>
      </w:r>
      <w:r w:rsidRPr="00702497">
        <w:rPr>
          <w:rFonts w:eastAsia="Malgun Gothic"/>
          <w:b/>
          <w:lang w:val="fr-FR"/>
        </w:rPr>
        <w:t>Norvège</w:t>
      </w:r>
      <w:r w:rsidRPr="00440611">
        <w:rPr>
          <w:rFonts w:eastAsia="Malgun Gothic"/>
          <w:bCs/>
          <w:lang w:val="fr-FR"/>
        </w:rPr>
        <w:t xml:space="preserve"> a fait siennes les remarques formulées</w:t>
      </w:r>
      <w:r>
        <w:rPr>
          <w:rFonts w:eastAsia="Malgun Gothic"/>
          <w:bCs/>
          <w:lang w:val="fr-FR"/>
        </w:rPr>
        <w:t>, entre autres,</w:t>
      </w:r>
      <w:r w:rsidRPr="00440611">
        <w:rPr>
          <w:rFonts w:eastAsia="Malgun Gothic"/>
          <w:bCs/>
          <w:lang w:val="fr-FR"/>
        </w:rPr>
        <w:t xml:space="preserve"> par la Suède, la Tchéquie et la Suisse</w:t>
      </w:r>
      <w:r w:rsidR="00B725DB">
        <w:rPr>
          <w:rFonts w:eastAsia="Malgun Gothic"/>
          <w:bCs/>
          <w:lang w:val="fr-FR"/>
        </w:rPr>
        <w:t>,</w:t>
      </w:r>
      <w:r w:rsidRPr="00440611">
        <w:rPr>
          <w:rFonts w:eastAsia="Malgun Gothic"/>
          <w:bCs/>
          <w:lang w:val="fr-FR"/>
        </w:rPr>
        <w:t xml:space="preserve"> qui avaient insisté pour que la décision relative à l</w:t>
      </w:r>
      <w:r w:rsidR="00923E72">
        <w:rPr>
          <w:rFonts w:eastAsia="Malgun Gothic"/>
          <w:bCs/>
          <w:lang w:val="fr-FR"/>
        </w:rPr>
        <w:t>’</w:t>
      </w:r>
      <w:r w:rsidRPr="00440611">
        <w:rPr>
          <w:rFonts w:eastAsia="Malgun Gothic"/>
          <w:bCs/>
          <w:lang w:val="fr-FR"/>
        </w:rPr>
        <w:t>examen des candidatures aux listes et au Registre soit fondée sur des connaissances d</w:t>
      </w:r>
      <w:r w:rsidR="00923E72">
        <w:rPr>
          <w:rFonts w:eastAsia="Malgun Gothic"/>
          <w:bCs/>
          <w:lang w:val="fr-FR"/>
        </w:rPr>
        <w:t>’</w:t>
      </w:r>
      <w:r w:rsidRPr="00440611">
        <w:rPr>
          <w:rFonts w:eastAsia="Malgun Gothic"/>
          <w:bCs/>
          <w:lang w:val="fr-FR"/>
        </w:rPr>
        <w:t>experts. Elle a souligné l</w:t>
      </w:r>
      <w:r w:rsidR="00923E72">
        <w:rPr>
          <w:rFonts w:eastAsia="Malgun Gothic"/>
          <w:bCs/>
          <w:lang w:val="fr-FR"/>
        </w:rPr>
        <w:t>’</w:t>
      </w:r>
      <w:r w:rsidRPr="00440611">
        <w:rPr>
          <w:rFonts w:eastAsia="Malgun Gothic"/>
          <w:bCs/>
          <w:lang w:val="fr-FR"/>
        </w:rPr>
        <w:t>importance du travail des ONG et a encouragé leur implication forte et continue.</w:t>
      </w:r>
    </w:p>
    <w:p w14:paraId="7FF9F41D" w14:textId="0BF47E79" w:rsidR="00440611" w:rsidRDefault="0044061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40611">
        <w:rPr>
          <w:rFonts w:eastAsia="Malgun Gothic"/>
          <w:bCs/>
          <w:lang w:val="fr-FR"/>
        </w:rPr>
        <w:t>La délégation de l</w:t>
      </w:r>
      <w:r w:rsidR="00923E72">
        <w:rPr>
          <w:rFonts w:eastAsia="Malgun Gothic"/>
          <w:bCs/>
          <w:lang w:val="fr-FR"/>
        </w:rPr>
        <w:t>’</w:t>
      </w:r>
      <w:r w:rsidRPr="00702497">
        <w:rPr>
          <w:rFonts w:eastAsia="Malgun Gothic"/>
          <w:b/>
          <w:lang w:val="fr-FR"/>
        </w:rPr>
        <w:t>Espagne</w:t>
      </w:r>
      <w:r w:rsidRPr="00440611">
        <w:rPr>
          <w:rFonts w:eastAsia="Malgun Gothic"/>
          <w:bCs/>
          <w:lang w:val="fr-FR"/>
        </w:rPr>
        <w:t xml:space="preserve"> a remercié le Président d</w:t>
      </w:r>
      <w:r w:rsidR="00923E72">
        <w:rPr>
          <w:rFonts w:eastAsia="Malgun Gothic"/>
          <w:bCs/>
          <w:lang w:val="fr-FR"/>
        </w:rPr>
        <w:t>’</w:t>
      </w:r>
      <w:r w:rsidRPr="00440611">
        <w:rPr>
          <w:rFonts w:eastAsia="Malgun Gothic"/>
          <w:bCs/>
          <w:lang w:val="fr-FR"/>
        </w:rPr>
        <w:t>accueillir cette réunion ainsi que le Secrétariat et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évaluation pour leur excellent travail, reconnaissant qu</w:t>
      </w:r>
      <w:r w:rsidR="00923E72">
        <w:rPr>
          <w:rFonts w:eastAsia="Malgun Gothic"/>
          <w:bCs/>
          <w:lang w:val="fr-FR"/>
        </w:rPr>
        <w:t>’</w:t>
      </w:r>
      <w:r w:rsidRPr="00440611">
        <w:rPr>
          <w:rFonts w:eastAsia="Malgun Gothic"/>
          <w:bCs/>
          <w:lang w:val="fr-FR"/>
        </w:rPr>
        <w:t>il était extrêmement complexe de mener à bien ce travail en ligne et se félicitant du rapport. Néanmoins, comme d</w:t>
      </w:r>
      <w:r w:rsidR="00923E72">
        <w:rPr>
          <w:rFonts w:eastAsia="Malgun Gothic"/>
          <w:bCs/>
          <w:lang w:val="fr-FR"/>
        </w:rPr>
        <w:t>’</w:t>
      </w:r>
      <w:r w:rsidRPr="00440611">
        <w:rPr>
          <w:rFonts w:eastAsia="Malgun Gothic"/>
          <w:bCs/>
          <w:lang w:val="fr-FR"/>
        </w:rPr>
        <w:t>autres États parties, en particulier dans les Groupes</w:t>
      </w:r>
      <w:r w:rsidR="00F068D1">
        <w:rPr>
          <w:rFonts w:eastAsia="Malgun Gothic"/>
          <w:bCs/>
          <w:lang w:val="fr-FR"/>
        </w:rPr>
        <w:t> </w:t>
      </w:r>
      <w:r w:rsidRPr="00440611">
        <w:rPr>
          <w:rFonts w:eastAsia="Malgun Gothic"/>
          <w:bCs/>
          <w:lang w:val="fr-FR"/>
        </w:rPr>
        <w:t>III et</w:t>
      </w:r>
      <w:r w:rsidR="00F068D1">
        <w:rPr>
          <w:rFonts w:eastAsia="Malgun Gothic"/>
          <w:bCs/>
          <w:lang w:val="fr-FR"/>
        </w:rPr>
        <w:t> </w:t>
      </w:r>
      <w:r w:rsidRPr="00440611">
        <w:rPr>
          <w:rFonts w:eastAsia="Malgun Gothic"/>
          <w:bCs/>
          <w:lang w:val="fr-FR"/>
        </w:rPr>
        <w:t>V(a), l</w:t>
      </w:r>
      <w:r w:rsidR="00923E72">
        <w:rPr>
          <w:rFonts w:eastAsia="Malgun Gothic"/>
          <w:bCs/>
          <w:lang w:val="fr-FR"/>
        </w:rPr>
        <w:t>’</w:t>
      </w:r>
      <w:r w:rsidRPr="00440611">
        <w:rPr>
          <w:rFonts w:eastAsia="Malgun Gothic"/>
          <w:bCs/>
          <w:lang w:val="fr-FR"/>
        </w:rPr>
        <w:t>Espagne a insisté pour que le processus de dialogue soit systématique, car l</w:t>
      </w:r>
      <w:r w:rsidR="00923E72">
        <w:rPr>
          <w:rFonts w:eastAsia="Malgun Gothic"/>
          <w:bCs/>
          <w:lang w:val="fr-FR"/>
        </w:rPr>
        <w:t>’</w:t>
      </w:r>
      <w:r w:rsidRPr="00440611">
        <w:rPr>
          <w:rFonts w:eastAsia="Malgun Gothic"/>
          <w:bCs/>
          <w:lang w:val="fr-FR"/>
        </w:rPr>
        <w:t>application n</w:t>
      </w:r>
      <w:r w:rsidR="00923E72">
        <w:rPr>
          <w:rFonts w:eastAsia="Malgun Gothic"/>
          <w:bCs/>
          <w:lang w:val="fr-FR"/>
        </w:rPr>
        <w:t>’</w:t>
      </w:r>
      <w:r w:rsidRPr="00440611">
        <w:rPr>
          <w:rFonts w:eastAsia="Malgun Gothic"/>
          <w:bCs/>
          <w:lang w:val="fr-FR"/>
        </w:rPr>
        <w:t>était pas transparente à l</w:t>
      </w:r>
      <w:r w:rsidR="00923E72">
        <w:rPr>
          <w:rFonts w:eastAsia="Malgun Gothic"/>
          <w:bCs/>
          <w:lang w:val="fr-FR"/>
        </w:rPr>
        <w:t>’</w:t>
      </w:r>
      <w:r w:rsidRPr="00440611">
        <w:rPr>
          <w:rFonts w:eastAsia="Malgun Gothic"/>
          <w:bCs/>
          <w:lang w:val="fr-FR"/>
        </w:rPr>
        <w:t>égard de certains États.</w:t>
      </w:r>
    </w:p>
    <w:p w14:paraId="36048873" w14:textId="6CC0FBF4" w:rsidR="00440611" w:rsidRDefault="0044061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40611">
        <w:rPr>
          <w:rFonts w:eastAsia="Malgun Gothic"/>
          <w:bCs/>
          <w:lang w:val="fr-FR"/>
        </w:rPr>
        <w:t>En l</w:t>
      </w:r>
      <w:r w:rsidR="00923E72">
        <w:rPr>
          <w:rFonts w:eastAsia="Malgun Gothic"/>
          <w:bCs/>
          <w:lang w:val="fr-FR"/>
        </w:rPr>
        <w:t>’</w:t>
      </w:r>
      <w:r w:rsidRPr="00440611">
        <w:rPr>
          <w:rFonts w:eastAsia="Malgun Gothic"/>
          <w:bCs/>
          <w:lang w:val="fr-FR"/>
        </w:rPr>
        <w:t>absence</w:t>
      </w:r>
      <w:r>
        <w:rPr>
          <w:rFonts w:eastAsia="Malgun Gothic"/>
          <w:bCs/>
          <w:lang w:val="fr-FR"/>
        </w:rPr>
        <w:t xml:space="preserve"> d</w:t>
      </w:r>
      <w:r w:rsidR="00923E72">
        <w:rPr>
          <w:rFonts w:eastAsia="Malgun Gothic"/>
          <w:bCs/>
          <w:lang w:val="fr-FR"/>
        </w:rPr>
        <w:t>’</w:t>
      </w:r>
      <w:r>
        <w:rPr>
          <w:rFonts w:eastAsia="Malgun Gothic"/>
          <w:bCs/>
          <w:lang w:val="fr-FR"/>
        </w:rPr>
        <w:t xml:space="preserve">autres </w:t>
      </w:r>
      <w:r w:rsidRPr="00440611">
        <w:rPr>
          <w:rFonts w:eastAsia="Malgun Gothic"/>
          <w:bCs/>
          <w:lang w:val="fr-FR"/>
        </w:rPr>
        <w:t>commentaires</w:t>
      </w:r>
      <w:r>
        <w:rPr>
          <w:rFonts w:eastAsia="Malgun Gothic"/>
          <w:bCs/>
          <w:lang w:val="fr-FR"/>
        </w:rPr>
        <w:t xml:space="preserve">, le </w:t>
      </w:r>
      <w:r w:rsidRPr="00702497">
        <w:rPr>
          <w:rFonts w:eastAsia="Malgun Gothic"/>
          <w:b/>
          <w:lang w:val="fr-FR"/>
        </w:rPr>
        <w:t>Président</w:t>
      </w:r>
      <w:r>
        <w:rPr>
          <w:rFonts w:eastAsia="Malgun Gothic"/>
          <w:bCs/>
          <w:lang w:val="fr-FR"/>
        </w:rPr>
        <w:t xml:space="preserve"> a invité le </w:t>
      </w:r>
      <w:r w:rsidRPr="00440611">
        <w:rPr>
          <w:rFonts w:eastAsia="Malgun Gothic"/>
          <w:bCs/>
          <w:lang w:val="fr-FR"/>
        </w:rPr>
        <w:t>Rapporteur</w:t>
      </w:r>
      <w:r>
        <w:rPr>
          <w:rFonts w:eastAsia="Malgun Gothic"/>
          <w:bCs/>
          <w:lang w:val="fr-FR"/>
        </w:rPr>
        <w:t xml:space="preserve"> à répondre aux questions posées.</w:t>
      </w:r>
    </w:p>
    <w:p w14:paraId="0B919F6F" w14:textId="243925CF" w:rsidR="00440611" w:rsidRDefault="0044061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40611">
        <w:rPr>
          <w:rFonts w:eastAsia="Malgun Gothic"/>
          <w:bCs/>
          <w:lang w:val="fr-FR"/>
        </w:rPr>
        <w:t xml:space="preserve">Le </w:t>
      </w:r>
      <w:r w:rsidRPr="00702497">
        <w:rPr>
          <w:rFonts w:eastAsia="Malgun Gothic"/>
          <w:b/>
          <w:lang w:val="fr-FR"/>
        </w:rPr>
        <w:t>Rapporteur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440611">
        <w:rPr>
          <w:rFonts w:eastAsia="Malgun Gothic"/>
          <w:bCs/>
          <w:lang w:val="fr-FR"/>
        </w:rPr>
        <w:t xml:space="preserve"> a remercié les États parties pour les mots d</w:t>
      </w:r>
      <w:r w:rsidR="00923E72">
        <w:rPr>
          <w:rFonts w:eastAsia="Malgun Gothic"/>
          <w:bCs/>
          <w:lang w:val="fr-FR"/>
        </w:rPr>
        <w:t>’</w:t>
      </w:r>
      <w:r w:rsidRPr="00440611">
        <w:rPr>
          <w:rFonts w:eastAsia="Malgun Gothic"/>
          <w:bCs/>
          <w:lang w:val="fr-FR"/>
        </w:rPr>
        <w:t>encouragement adressés à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 xml:space="preserve">évaluation </w:t>
      </w:r>
      <w:r w:rsidR="00F068D1">
        <w:rPr>
          <w:rFonts w:eastAsia="Malgun Gothic"/>
          <w:bCs/>
          <w:lang w:val="fr-FR"/>
        </w:rPr>
        <w:t xml:space="preserve">suite à </w:t>
      </w:r>
      <w:r w:rsidRPr="00440611">
        <w:rPr>
          <w:rFonts w:eastAsia="Malgun Gothic"/>
          <w:bCs/>
          <w:lang w:val="fr-FR"/>
        </w:rPr>
        <w:t>son travail et son rapport. Le processus de dialogue était en fait conçu comme un simple échange de questions posées à l</w:t>
      </w:r>
      <w:r w:rsidR="00923E72">
        <w:rPr>
          <w:rFonts w:eastAsia="Malgun Gothic"/>
          <w:bCs/>
          <w:lang w:val="fr-FR"/>
        </w:rPr>
        <w:t>’</w:t>
      </w:r>
      <w:r w:rsidRPr="00440611">
        <w:rPr>
          <w:rFonts w:eastAsia="Malgun Gothic"/>
          <w:bCs/>
          <w:lang w:val="fr-FR"/>
        </w:rPr>
        <w:t>État soumissionnaire et de réponses, destiné à clarifier toute déclaration qui n</w:t>
      </w:r>
      <w:r w:rsidR="00923E72">
        <w:rPr>
          <w:rFonts w:eastAsia="Malgun Gothic"/>
          <w:bCs/>
          <w:lang w:val="fr-FR"/>
        </w:rPr>
        <w:t>’</w:t>
      </w:r>
      <w:r w:rsidR="00BF0258">
        <w:rPr>
          <w:rFonts w:eastAsia="Malgun Gothic"/>
          <w:bCs/>
          <w:lang w:val="fr-FR"/>
        </w:rPr>
        <w:t>était</w:t>
      </w:r>
      <w:r w:rsidRPr="00440611">
        <w:rPr>
          <w:rFonts w:eastAsia="Malgun Gothic"/>
          <w:bCs/>
          <w:lang w:val="fr-FR"/>
        </w:rPr>
        <w:t xml:space="preserve"> pas claire dans le dossier ou à corriger certaines erreurs techniques qui </w:t>
      </w:r>
      <w:r w:rsidR="00BF0258">
        <w:rPr>
          <w:rFonts w:eastAsia="Malgun Gothic"/>
          <w:bCs/>
          <w:lang w:val="fr-FR"/>
        </w:rPr>
        <w:t xml:space="preserve">pouvaient </w:t>
      </w:r>
      <w:r w:rsidRPr="00440611">
        <w:rPr>
          <w:rFonts w:eastAsia="Malgun Gothic"/>
          <w:bCs/>
          <w:lang w:val="fr-FR"/>
        </w:rPr>
        <w:t>être résolues par une simple réponse. Dans sa forme présente, il ne visait pas à solliciter ou à traiter des questions plus complexes qui ne pouvaient pas être résolues. Telle était l</w:t>
      </w:r>
      <w:r w:rsidR="00923E72">
        <w:rPr>
          <w:rFonts w:eastAsia="Malgun Gothic"/>
          <w:bCs/>
          <w:lang w:val="fr-FR"/>
        </w:rPr>
        <w:t>’</w:t>
      </w:r>
      <w:r w:rsidRPr="00440611">
        <w:rPr>
          <w:rFonts w:eastAsia="Malgun Gothic"/>
          <w:bCs/>
          <w:lang w:val="fr-FR"/>
        </w:rPr>
        <w:t xml:space="preserve">approche fondamentale. Si un dossier contenait </w:t>
      </w:r>
      <w:r w:rsidR="00D92876">
        <w:rPr>
          <w:rFonts w:eastAsia="Malgun Gothic"/>
          <w:bCs/>
          <w:lang w:val="fr-FR"/>
        </w:rPr>
        <w:t xml:space="preserve">assez </w:t>
      </w:r>
      <w:r w:rsidRPr="00440611">
        <w:rPr>
          <w:rFonts w:eastAsia="Malgun Gothic"/>
          <w:bCs/>
          <w:lang w:val="fr-FR"/>
        </w:rPr>
        <w:t>d</w:t>
      </w:r>
      <w:r w:rsidR="00923E72">
        <w:rPr>
          <w:rFonts w:eastAsia="Malgun Gothic"/>
          <w:bCs/>
          <w:lang w:val="fr-FR"/>
        </w:rPr>
        <w:t>’</w:t>
      </w:r>
      <w:r w:rsidRPr="00440611">
        <w:rPr>
          <w:rFonts w:eastAsia="Malgun Gothic"/>
          <w:bCs/>
          <w:lang w:val="fr-FR"/>
        </w:rPr>
        <w:t>informations et que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évaluation estimait que le dossier était suffisamment complet pour prendre une décision ou procéder à une évaluation, alors aucune question n</w:t>
      </w:r>
      <w:r w:rsidR="00923E72">
        <w:rPr>
          <w:rFonts w:eastAsia="Malgun Gothic"/>
          <w:bCs/>
          <w:lang w:val="fr-FR"/>
        </w:rPr>
        <w:t>’</w:t>
      </w:r>
      <w:r w:rsidRPr="00440611">
        <w:rPr>
          <w:rFonts w:eastAsia="Malgun Gothic"/>
          <w:bCs/>
          <w:lang w:val="fr-FR"/>
        </w:rPr>
        <w:t xml:space="preserve">était posée dans le cadre du processus de dialogue. Cette question était </w:t>
      </w:r>
      <w:r w:rsidR="00BF0258">
        <w:rPr>
          <w:rFonts w:eastAsia="Malgun Gothic"/>
          <w:bCs/>
          <w:lang w:val="fr-FR"/>
        </w:rPr>
        <w:t xml:space="preserve">en fait </w:t>
      </w:r>
      <w:r w:rsidRPr="00440611">
        <w:rPr>
          <w:rFonts w:eastAsia="Malgun Gothic"/>
          <w:bCs/>
          <w:lang w:val="fr-FR"/>
        </w:rPr>
        <w:t>liée à une autre, celle de la capacité.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évaluation pouvait-il augmenter le nombre d</w:t>
      </w:r>
      <w:r w:rsidR="00923E72">
        <w:rPr>
          <w:rFonts w:eastAsia="Malgun Gothic"/>
          <w:bCs/>
          <w:lang w:val="fr-FR"/>
        </w:rPr>
        <w:t>’</w:t>
      </w:r>
      <w:r w:rsidRPr="00440611">
        <w:rPr>
          <w:rFonts w:eastAsia="Malgun Gothic"/>
          <w:bCs/>
          <w:lang w:val="fr-FR"/>
        </w:rPr>
        <w:t>évaluations</w:t>
      </w:r>
      <w:r w:rsidR="00BA0C8C">
        <w:rPr>
          <w:rFonts w:eastAsia="Malgun Gothic"/>
          <w:bCs/>
          <w:lang w:val="fr-FR"/>
        </w:rPr>
        <w:t> </w:t>
      </w:r>
      <w:r w:rsidRPr="00440611">
        <w:rPr>
          <w:rFonts w:eastAsia="Malgun Gothic"/>
          <w:bCs/>
          <w:lang w:val="fr-FR"/>
        </w:rPr>
        <w:t>? Le Rapporteur a noté que la charge de travail était déjà lourde et substantielle</w:t>
      </w:r>
      <w:r w:rsidR="00BF0258">
        <w:rPr>
          <w:rFonts w:eastAsia="Malgun Gothic"/>
          <w:bCs/>
          <w:lang w:val="fr-FR"/>
        </w:rPr>
        <w:t xml:space="preserve"> alors qu</w:t>
      </w:r>
      <w:r w:rsidR="00923E72">
        <w:rPr>
          <w:rFonts w:eastAsia="Malgun Gothic"/>
          <w:bCs/>
          <w:lang w:val="fr-FR"/>
        </w:rPr>
        <w:t>’</w:t>
      </w:r>
      <w:r w:rsidR="00BF0258">
        <w:rPr>
          <w:rFonts w:eastAsia="Malgun Gothic"/>
          <w:bCs/>
          <w:lang w:val="fr-FR"/>
        </w:rPr>
        <w:t>il</w:t>
      </w:r>
      <w:r w:rsidRPr="00440611">
        <w:rPr>
          <w:rFonts w:eastAsia="Malgun Gothic"/>
          <w:bCs/>
          <w:lang w:val="fr-FR"/>
        </w:rPr>
        <w:t xml:space="preserve"> avait été suggéré d</w:t>
      </w:r>
      <w:r w:rsidR="00923E72">
        <w:rPr>
          <w:rFonts w:eastAsia="Malgun Gothic"/>
          <w:bCs/>
          <w:lang w:val="fr-FR"/>
        </w:rPr>
        <w:t>’</w:t>
      </w:r>
      <w:r w:rsidRPr="00440611">
        <w:rPr>
          <w:rFonts w:eastAsia="Malgun Gothic"/>
          <w:bCs/>
          <w:lang w:val="fr-FR"/>
        </w:rPr>
        <w:t xml:space="preserve">élargir le processus de </w:t>
      </w:r>
      <w:r w:rsidRPr="00440611">
        <w:rPr>
          <w:rFonts w:eastAsia="Malgun Gothic"/>
          <w:bCs/>
          <w:lang w:val="fr-FR"/>
        </w:rPr>
        <w:lastRenderedPageBreak/>
        <w:t>dialogue. Bien entendu, cette question devait être examinée et une décision devait être prise en fonction de la charge de travail globale de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 xml:space="preserve">évaluation et, bien entendu, du Secrétariat, qui soutenait également ce travail. </w:t>
      </w:r>
      <w:r w:rsidR="00BF0258">
        <w:rPr>
          <w:rFonts w:eastAsia="Malgun Gothic"/>
          <w:bCs/>
          <w:lang w:val="fr-FR"/>
        </w:rPr>
        <w:t>S</w:t>
      </w:r>
      <w:r w:rsidR="00923E72">
        <w:rPr>
          <w:rFonts w:eastAsia="Malgun Gothic"/>
          <w:bCs/>
          <w:lang w:val="fr-FR"/>
        </w:rPr>
        <w:t>’</w:t>
      </w:r>
      <w:r w:rsidR="00BF0258">
        <w:rPr>
          <w:rFonts w:eastAsia="Malgun Gothic"/>
          <w:bCs/>
          <w:lang w:val="fr-FR"/>
        </w:rPr>
        <w:t xml:space="preserve">agissant des </w:t>
      </w:r>
      <w:r w:rsidRPr="00440611">
        <w:rPr>
          <w:rFonts w:eastAsia="Malgun Gothic"/>
          <w:bCs/>
          <w:lang w:val="fr-FR"/>
        </w:rPr>
        <w:t xml:space="preserve">questions </w:t>
      </w:r>
      <w:r w:rsidR="00BF0258">
        <w:rPr>
          <w:rFonts w:eastAsia="Malgun Gothic"/>
          <w:bCs/>
          <w:lang w:val="fr-FR"/>
        </w:rPr>
        <w:t>en lien avec le</w:t>
      </w:r>
      <w:r w:rsidRPr="00440611">
        <w:rPr>
          <w:rFonts w:eastAsia="Malgun Gothic"/>
          <w:bCs/>
          <w:lang w:val="fr-FR"/>
        </w:rPr>
        <w:t xml:space="preserve"> dialogue, posées par la Tchéquie, sur l</w:t>
      </w:r>
      <w:r w:rsidR="00923E72">
        <w:rPr>
          <w:rFonts w:eastAsia="Malgun Gothic"/>
          <w:bCs/>
          <w:lang w:val="fr-FR"/>
        </w:rPr>
        <w:t>’</w:t>
      </w:r>
      <w:r w:rsidRPr="00440611">
        <w:rPr>
          <w:rFonts w:eastAsia="Malgun Gothic"/>
          <w:bCs/>
          <w:lang w:val="fr-FR"/>
        </w:rPr>
        <w:t>utilisation d</w:t>
      </w:r>
      <w:r w:rsidR="00923E72">
        <w:rPr>
          <w:rFonts w:eastAsia="Malgun Gothic"/>
          <w:bCs/>
          <w:lang w:val="fr-FR"/>
        </w:rPr>
        <w:t>’</w:t>
      </w:r>
      <w:r w:rsidRPr="00440611">
        <w:rPr>
          <w:rFonts w:eastAsia="Malgun Gothic"/>
          <w:bCs/>
          <w:lang w:val="fr-FR"/>
        </w:rPr>
        <w:t>informations externes,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évaluation estimait que des informations supplémentaires pourraient éventuellement améliorer le processus d</w:t>
      </w:r>
      <w:r w:rsidR="00923E72">
        <w:rPr>
          <w:rFonts w:eastAsia="Malgun Gothic"/>
          <w:bCs/>
          <w:lang w:val="fr-FR"/>
        </w:rPr>
        <w:t>’</w:t>
      </w:r>
      <w:r w:rsidRPr="00440611">
        <w:rPr>
          <w:rFonts w:eastAsia="Malgun Gothic"/>
          <w:bCs/>
          <w:lang w:val="fr-FR"/>
        </w:rPr>
        <w:t>évaluation, comme mentionné dans le rapport. Mais, en même temps,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évaluation réalisait ses évaluations sur la base des informations figurant dans le dossier et non sur la base d</w:t>
      </w:r>
      <w:r w:rsidR="00923E72">
        <w:rPr>
          <w:rFonts w:eastAsia="Malgun Gothic"/>
          <w:bCs/>
          <w:lang w:val="fr-FR"/>
        </w:rPr>
        <w:t>’</w:t>
      </w:r>
      <w:r w:rsidRPr="00440611">
        <w:rPr>
          <w:rFonts w:eastAsia="Malgun Gothic"/>
          <w:bCs/>
          <w:lang w:val="fr-FR"/>
        </w:rPr>
        <w:t>informations tirées de sa propre expérience ou de ses connaissances acquises lors de visites personnelles ou d</w:t>
      </w:r>
      <w:r w:rsidR="00923E72">
        <w:rPr>
          <w:rFonts w:eastAsia="Malgun Gothic"/>
          <w:bCs/>
          <w:lang w:val="fr-FR"/>
        </w:rPr>
        <w:t>’</w:t>
      </w:r>
      <w:r w:rsidRPr="00440611">
        <w:rPr>
          <w:rFonts w:eastAsia="Malgun Gothic"/>
          <w:bCs/>
          <w:lang w:val="fr-FR"/>
        </w:rPr>
        <w:t>informations trouvées en ligne.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 xml:space="preserve">évaluation avait longuement débattu de ce point </w:t>
      </w:r>
      <w:r w:rsidR="00BF0258">
        <w:rPr>
          <w:rFonts w:eastAsia="Malgun Gothic"/>
          <w:bCs/>
          <w:lang w:val="fr-FR"/>
        </w:rPr>
        <w:t>et s</w:t>
      </w:r>
      <w:r w:rsidR="00923E72">
        <w:rPr>
          <w:rFonts w:eastAsia="Malgun Gothic"/>
          <w:bCs/>
          <w:lang w:val="fr-FR"/>
        </w:rPr>
        <w:t>’</w:t>
      </w:r>
      <w:r w:rsidR="00BF0258">
        <w:rPr>
          <w:rFonts w:eastAsia="Malgun Gothic"/>
          <w:bCs/>
          <w:lang w:val="fr-FR"/>
        </w:rPr>
        <w:t>était posé la question des modalités d</w:t>
      </w:r>
      <w:r w:rsidR="00923E72">
        <w:rPr>
          <w:rFonts w:eastAsia="Malgun Gothic"/>
          <w:bCs/>
          <w:lang w:val="fr-FR"/>
        </w:rPr>
        <w:t>’</w:t>
      </w:r>
      <w:r w:rsidR="00BF0258">
        <w:rPr>
          <w:rFonts w:eastAsia="Malgun Gothic"/>
          <w:bCs/>
          <w:lang w:val="fr-FR"/>
        </w:rPr>
        <w:t xml:space="preserve">utilisation de </w:t>
      </w:r>
      <w:r w:rsidRPr="00440611">
        <w:rPr>
          <w:rFonts w:eastAsia="Malgun Gothic"/>
          <w:bCs/>
          <w:lang w:val="fr-FR"/>
        </w:rPr>
        <w:t>telles informations externes</w:t>
      </w:r>
      <w:r w:rsidR="00BF0258">
        <w:rPr>
          <w:rFonts w:eastAsia="Malgun Gothic"/>
          <w:bCs/>
          <w:lang w:val="fr-FR"/>
        </w:rPr>
        <w:t xml:space="preserve">. </w:t>
      </w:r>
      <w:r w:rsidRPr="00440611">
        <w:rPr>
          <w:rFonts w:eastAsia="Malgun Gothic"/>
          <w:bCs/>
          <w:lang w:val="fr-FR"/>
        </w:rPr>
        <w:t>Il existait en effet des sources définies qui pouvaient être utilisées, des sources d</w:t>
      </w:r>
      <w:r w:rsidR="00923E72">
        <w:rPr>
          <w:rFonts w:eastAsia="Malgun Gothic"/>
          <w:bCs/>
          <w:lang w:val="fr-FR"/>
        </w:rPr>
        <w:t>’</w:t>
      </w:r>
      <w:r w:rsidRPr="00440611">
        <w:rPr>
          <w:rFonts w:eastAsia="Malgun Gothic"/>
          <w:bCs/>
          <w:lang w:val="fr-FR"/>
        </w:rPr>
        <w:t>information qui étaient exactes, mais en quoi cela constituait-il une approche équitable</w:t>
      </w:r>
      <w:r w:rsidR="00A069FA">
        <w:rPr>
          <w:rFonts w:eastAsia="Malgun Gothic"/>
          <w:bCs/>
          <w:lang w:val="fr-FR"/>
        </w:rPr>
        <w:t>,</w:t>
      </w:r>
      <w:r w:rsidRPr="00440611">
        <w:rPr>
          <w:rFonts w:eastAsia="Malgun Gothic"/>
          <w:bCs/>
          <w:lang w:val="fr-FR"/>
        </w:rPr>
        <w:t xml:space="preserve"> puisque les sources devaient être en anglais et en français pour que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évaluation puisse utiliser de telles informations</w:t>
      </w:r>
      <w:r w:rsidR="00D92876">
        <w:rPr>
          <w:rFonts w:eastAsia="Malgun Gothic"/>
          <w:bCs/>
          <w:lang w:val="fr-FR"/>
        </w:rPr>
        <w:t> ?</w:t>
      </w:r>
      <w:r w:rsidRPr="00440611">
        <w:rPr>
          <w:rFonts w:eastAsia="Malgun Gothic"/>
          <w:bCs/>
          <w:lang w:val="fr-FR"/>
        </w:rPr>
        <w:t xml:space="preserve"> Comment l</w:t>
      </w:r>
      <w:r w:rsidR="00923E72">
        <w:rPr>
          <w:rFonts w:eastAsia="Malgun Gothic"/>
          <w:bCs/>
          <w:lang w:val="fr-FR"/>
        </w:rPr>
        <w:t>’</w:t>
      </w:r>
      <w:r w:rsidRPr="00440611">
        <w:rPr>
          <w:rFonts w:eastAsia="Malgun Gothic"/>
          <w:bCs/>
          <w:lang w:val="fr-FR"/>
        </w:rPr>
        <w:t>Organe d</w:t>
      </w:r>
      <w:r w:rsidR="00923E72">
        <w:rPr>
          <w:rFonts w:eastAsia="Malgun Gothic"/>
          <w:bCs/>
          <w:lang w:val="fr-FR"/>
        </w:rPr>
        <w:t>’</w:t>
      </w:r>
      <w:r w:rsidRPr="00440611">
        <w:rPr>
          <w:rFonts w:eastAsia="Malgun Gothic"/>
          <w:bCs/>
          <w:lang w:val="fr-FR"/>
        </w:rPr>
        <w:t>évaluation pouvait-il adopter une approche plus cohérente et plus transparente</w:t>
      </w:r>
      <w:r w:rsidR="00F068D1">
        <w:rPr>
          <w:rFonts w:eastAsia="Malgun Gothic"/>
          <w:bCs/>
          <w:lang w:val="fr-FR"/>
        </w:rPr>
        <w:t> </w:t>
      </w:r>
      <w:r w:rsidRPr="00440611">
        <w:rPr>
          <w:rFonts w:eastAsia="Malgun Gothic"/>
          <w:bCs/>
          <w:lang w:val="fr-FR"/>
        </w:rPr>
        <w:t>? Malheureusement, l</w:t>
      </w:r>
      <w:r w:rsidR="00923E72">
        <w:rPr>
          <w:rFonts w:eastAsia="Malgun Gothic"/>
          <w:bCs/>
          <w:lang w:val="fr-FR"/>
        </w:rPr>
        <w:t>’</w:t>
      </w:r>
      <w:r w:rsidRPr="00440611">
        <w:rPr>
          <w:rFonts w:eastAsia="Malgun Gothic"/>
          <w:bCs/>
          <w:lang w:val="fr-FR"/>
        </w:rPr>
        <w:t>Organe n</w:t>
      </w:r>
      <w:r w:rsidR="00923E72">
        <w:rPr>
          <w:rFonts w:eastAsia="Malgun Gothic"/>
          <w:bCs/>
          <w:lang w:val="fr-FR"/>
        </w:rPr>
        <w:t>’</w:t>
      </w:r>
      <w:r w:rsidRPr="00440611">
        <w:rPr>
          <w:rFonts w:eastAsia="Malgun Gothic"/>
          <w:bCs/>
          <w:lang w:val="fr-FR"/>
        </w:rPr>
        <w:t>avait pas de solution concrète ou de proposition à ce stade pour répondre à cette question.</w:t>
      </w:r>
    </w:p>
    <w:p w14:paraId="04DD1B99" w14:textId="4628A412" w:rsidR="00BF0258" w:rsidRDefault="00BF025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F0258">
        <w:rPr>
          <w:rFonts w:eastAsia="Malgun Gothic"/>
          <w:bCs/>
          <w:lang w:val="fr-FR"/>
        </w:rPr>
        <w:t xml:space="preserve">Le </w:t>
      </w:r>
      <w:r w:rsidRPr="00702497">
        <w:rPr>
          <w:rFonts w:eastAsia="Malgun Gothic"/>
          <w:b/>
          <w:lang w:val="fr-FR"/>
        </w:rPr>
        <w:t>Rapporteur</w:t>
      </w:r>
      <w:r w:rsidRPr="00BF0258">
        <w:rPr>
          <w:rFonts w:eastAsia="Malgun Gothic"/>
          <w:bCs/>
          <w:lang w:val="fr-FR"/>
        </w:rPr>
        <w:t xml:space="preserve"> a expliqué que certaines idées avaient </w:t>
      </w:r>
      <w:r>
        <w:rPr>
          <w:rFonts w:eastAsia="Malgun Gothic"/>
          <w:bCs/>
          <w:lang w:val="fr-FR"/>
        </w:rPr>
        <w:t>fait l</w:t>
      </w:r>
      <w:r w:rsidR="00923E72">
        <w:rPr>
          <w:rFonts w:eastAsia="Malgun Gothic"/>
          <w:bCs/>
          <w:lang w:val="fr-FR"/>
        </w:rPr>
        <w:t>’</w:t>
      </w:r>
      <w:r>
        <w:rPr>
          <w:rFonts w:eastAsia="Malgun Gothic"/>
          <w:bCs/>
          <w:lang w:val="fr-FR"/>
        </w:rPr>
        <w:t>objet de débats</w:t>
      </w:r>
      <w:r w:rsidRPr="00BF0258">
        <w:rPr>
          <w:rFonts w:eastAsia="Malgun Gothic"/>
          <w:bCs/>
          <w:lang w:val="fr-FR"/>
        </w:rPr>
        <w:t>. Par exemple, il avait été suggéré de réaliser un entretien vidéo avec les communautés. Mais là encore, il faudrait tenir compte du calendrier fixé pour l</w:t>
      </w:r>
      <w:r w:rsidR="00923E72">
        <w:rPr>
          <w:rFonts w:eastAsia="Malgun Gothic"/>
          <w:bCs/>
          <w:lang w:val="fr-FR"/>
        </w:rPr>
        <w:t>’</w:t>
      </w:r>
      <w:r w:rsidRPr="00BF0258">
        <w:rPr>
          <w:rFonts w:eastAsia="Malgun Gothic"/>
          <w:bCs/>
          <w:lang w:val="fr-FR"/>
        </w:rPr>
        <w:t>évaluation, du nombre de dossiers à évaluer et du processus</w:t>
      </w:r>
      <w:r w:rsidR="00F068D1">
        <w:rPr>
          <w:rFonts w:eastAsia="Malgun Gothic"/>
          <w:bCs/>
          <w:lang w:val="fr-FR"/>
        </w:rPr>
        <w:t>. C</w:t>
      </w:r>
      <w:r w:rsidRPr="00BF0258">
        <w:rPr>
          <w:rFonts w:eastAsia="Malgun Gothic"/>
          <w:bCs/>
          <w:lang w:val="fr-FR"/>
        </w:rPr>
        <w:t>omment établir de tels processus</w:t>
      </w:r>
      <w:r w:rsidR="00BA0C8C">
        <w:rPr>
          <w:rFonts w:eastAsia="Malgun Gothic"/>
          <w:bCs/>
          <w:lang w:val="fr-FR"/>
        </w:rPr>
        <w:t> </w:t>
      </w:r>
      <w:r w:rsidRPr="00BF0258">
        <w:rPr>
          <w:rFonts w:eastAsia="Malgun Gothic"/>
          <w:bCs/>
          <w:lang w:val="fr-FR"/>
        </w:rPr>
        <w:t>? L</w:t>
      </w:r>
      <w:r w:rsidR="00923E72">
        <w:rPr>
          <w:rFonts w:eastAsia="Malgun Gothic"/>
          <w:bCs/>
          <w:lang w:val="fr-FR"/>
        </w:rPr>
        <w:t>’</w:t>
      </w:r>
      <w:r w:rsidRPr="00BF0258">
        <w:rPr>
          <w:rFonts w:eastAsia="Malgun Gothic"/>
          <w:bCs/>
          <w:lang w:val="fr-FR"/>
        </w:rPr>
        <w:t>Éthiopie avait posé une question sur les marques, les labels, les pratiques et les produits ainsi que sur les liens avec le développement durable. Dans la présentation précédente, le Rapporteur avait mentionné que l</w:t>
      </w:r>
      <w:r w:rsidR="00923E72">
        <w:rPr>
          <w:rFonts w:eastAsia="Malgun Gothic"/>
          <w:bCs/>
          <w:lang w:val="fr-FR"/>
        </w:rPr>
        <w:t>’</w:t>
      </w:r>
      <w:r w:rsidRPr="00BF0258">
        <w:rPr>
          <w:rFonts w:eastAsia="Malgun Gothic"/>
          <w:bCs/>
          <w:lang w:val="fr-FR"/>
        </w:rPr>
        <w:t>Organe reconnaissait l</w:t>
      </w:r>
      <w:r w:rsidR="00923E72">
        <w:rPr>
          <w:rFonts w:eastAsia="Malgun Gothic"/>
          <w:bCs/>
          <w:lang w:val="fr-FR"/>
        </w:rPr>
        <w:t>’</w:t>
      </w:r>
      <w:r w:rsidRPr="00BF0258">
        <w:rPr>
          <w:rFonts w:eastAsia="Malgun Gothic"/>
          <w:bCs/>
          <w:lang w:val="fr-FR"/>
        </w:rPr>
        <w:t>importance du patrimoine culturel immatériel et des moyens de subsistance durables des communautés. Les moyens de subsistance durables susceptibles d</w:t>
      </w:r>
      <w:r w:rsidR="00923E72">
        <w:rPr>
          <w:rFonts w:eastAsia="Malgun Gothic"/>
          <w:bCs/>
          <w:lang w:val="fr-FR"/>
        </w:rPr>
        <w:t>’</w:t>
      </w:r>
      <w:r w:rsidRPr="00BF0258">
        <w:rPr>
          <w:rFonts w:eastAsia="Malgun Gothic"/>
          <w:bCs/>
          <w:lang w:val="fr-FR"/>
        </w:rPr>
        <w:t>améliorer la vie des gens étaient une considération importante pour le développement durable. En même temps, la question de la commercialisation faisait l</w:t>
      </w:r>
      <w:r w:rsidR="00923E72">
        <w:rPr>
          <w:rFonts w:eastAsia="Malgun Gothic"/>
          <w:bCs/>
          <w:lang w:val="fr-FR"/>
        </w:rPr>
        <w:t>’</w:t>
      </w:r>
      <w:r w:rsidRPr="00BF0258">
        <w:rPr>
          <w:rFonts w:eastAsia="Malgun Gothic"/>
          <w:bCs/>
          <w:lang w:val="fr-FR"/>
        </w:rPr>
        <w:t xml:space="preserve">objet de nombreuses discussions. À quel moment la commercialisation </w:t>
      </w:r>
      <w:r w:rsidR="00BA0C8C">
        <w:rPr>
          <w:rFonts w:eastAsia="Malgun Gothic"/>
          <w:bCs/>
          <w:lang w:val="fr-FR"/>
        </w:rPr>
        <w:t>devenait</w:t>
      </w:r>
      <w:r w:rsidRPr="00BF0258">
        <w:rPr>
          <w:rFonts w:eastAsia="Malgun Gothic"/>
          <w:bCs/>
          <w:lang w:val="fr-FR"/>
        </w:rPr>
        <w:t>-elle excessive</w:t>
      </w:r>
      <w:r w:rsidR="00BA0C8C">
        <w:rPr>
          <w:rFonts w:eastAsia="Malgun Gothic"/>
          <w:bCs/>
          <w:lang w:val="fr-FR"/>
        </w:rPr>
        <w:t> </w:t>
      </w:r>
      <w:r w:rsidRPr="00BF0258">
        <w:rPr>
          <w:rFonts w:eastAsia="Malgun Gothic"/>
          <w:bCs/>
          <w:lang w:val="fr-FR"/>
        </w:rPr>
        <w:t>? C</w:t>
      </w:r>
      <w:r w:rsidR="00923E72">
        <w:rPr>
          <w:rFonts w:eastAsia="Malgun Gothic"/>
          <w:bCs/>
          <w:lang w:val="fr-FR"/>
        </w:rPr>
        <w:t>’</w:t>
      </w:r>
      <w:r w:rsidRPr="00BF0258">
        <w:rPr>
          <w:rFonts w:eastAsia="Malgun Gothic"/>
          <w:bCs/>
          <w:lang w:val="fr-FR"/>
        </w:rPr>
        <w:t>était une question sur laquelle l</w:t>
      </w:r>
      <w:r w:rsidR="00923E72">
        <w:rPr>
          <w:rFonts w:eastAsia="Malgun Gothic"/>
          <w:bCs/>
          <w:lang w:val="fr-FR"/>
        </w:rPr>
        <w:t>’</w:t>
      </w:r>
      <w:r w:rsidRPr="00BF0258">
        <w:rPr>
          <w:rFonts w:eastAsia="Malgun Gothic"/>
          <w:bCs/>
          <w:lang w:val="fr-FR"/>
        </w:rPr>
        <w:t>Organe souhaitait obtenir plus de précisions, et il attendait avec impatience les orientations que le Secrétariat était en train de préparer. L</w:t>
      </w:r>
      <w:r w:rsidR="00923E72">
        <w:rPr>
          <w:rFonts w:eastAsia="Malgun Gothic"/>
          <w:bCs/>
          <w:lang w:val="fr-FR"/>
        </w:rPr>
        <w:t>’</w:t>
      </w:r>
      <w:r w:rsidRPr="00BF0258">
        <w:rPr>
          <w:rFonts w:eastAsia="Malgun Gothic"/>
          <w:bCs/>
          <w:lang w:val="fr-FR"/>
        </w:rPr>
        <w:t xml:space="preserve">Allemagne avait posé une question sur les principes éthiques et </w:t>
      </w:r>
      <w:r w:rsidR="00BA0C8C">
        <w:rPr>
          <w:rFonts w:eastAsia="Malgun Gothic"/>
          <w:bCs/>
          <w:lang w:val="fr-FR"/>
        </w:rPr>
        <w:t>leurs modalités d</w:t>
      </w:r>
      <w:r w:rsidR="00923E72">
        <w:rPr>
          <w:rFonts w:eastAsia="Malgun Gothic"/>
          <w:bCs/>
          <w:lang w:val="fr-FR"/>
        </w:rPr>
        <w:t>’</w:t>
      </w:r>
      <w:r w:rsidR="00BA0C8C">
        <w:rPr>
          <w:rFonts w:eastAsia="Malgun Gothic"/>
          <w:bCs/>
          <w:lang w:val="fr-FR"/>
        </w:rPr>
        <w:t xml:space="preserve">inclusion </w:t>
      </w:r>
      <w:r w:rsidRPr="00BF0258">
        <w:rPr>
          <w:rFonts w:eastAsia="Malgun Gothic"/>
          <w:bCs/>
          <w:lang w:val="fr-FR"/>
        </w:rPr>
        <w:t>dans l</w:t>
      </w:r>
      <w:r w:rsidR="00923E72">
        <w:rPr>
          <w:rFonts w:eastAsia="Malgun Gothic"/>
          <w:bCs/>
          <w:lang w:val="fr-FR"/>
        </w:rPr>
        <w:t>’</w:t>
      </w:r>
      <w:r w:rsidRPr="00BF0258">
        <w:rPr>
          <w:rFonts w:eastAsia="Malgun Gothic"/>
          <w:bCs/>
          <w:lang w:val="fr-FR"/>
        </w:rPr>
        <w:t>évaluation ainsi que sur les aspects liés à l</w:t>
      </w:r>
      <w:r w:rsidR="00923E72">
        <w:rPr>
          <w:rFonts w:eastAsia="Malgun Gothic"/>
          <w:bCs/>
          <w:lang w:val="fr-FR"/>
        </w:rPr>
        <w:t>’</w:t>
      </w:r>
      <w:r w:rsidRPr="00BF0258">
        <w:rPr>
          <w:rFonts w:eastAsia="Malgun Gothic"/>
          <w:bCs/>
          <w:lang w:val="fr-FR"/>
        </w:rPr>
        <w:t>égalité entre les genres. Il a été indiqué que les questions de genre sont abordées dans le formulaire de candidature en vigueur et que les États soumissionnaires doivent fournir suffisamment d</w:t>
      </w:r>
      <w:r w:rsidR="00923E72">
        <w:rPr>
          <w:rFonts w:eastAsia="Malgun Gothic"/>
          <w:bCs/>
          <w:lang w:val="fr-FR"/>
        </w:rPr>
        <w:t>’</w:t>
      </w:r>
      <w:r w:rsidRPr="00BF0258">
        <w:rPr>
          <w:rFonts w:eastAsia="Malgun Gothic"/>
          <w:bCs/>
          <w:lang w:val="fr-FR"/>
        </w:rPr>
        <w:t>informations sur les questions liées au genre. L</w:t>
      </w:r>
      <w:r w:rsidR="00923E72">
        <w:rPr>
          <w:rFonts w:eastAsia="Malgun Gothic"/>
          <w:bCs/>
          <w:lang w:val="fr-FR"/>
        </w:rPr>
        <w:t>’</w:t>
      </w:r>
      <w:r w:rsidRPr="00BF0258">
        <w:rPr>
          <w:rFonts w:eastAsia="Malgun Gothic"/>
          <w:bCs/>
          <w:lang w:val="fr-FR"/>
        </w:rPr>
        <w:t>Organe avait remarqué que certains dossiers étaient muets sur les rôles de genre, de sorte que certains dossiers étaient soit à prédominance masculine, soit à prédominance féminine. Toutefois, l</w:t>
      </w:r>
      <w:r w:rsidR="00923E72">
        <w:rPr>
          <w:rFonts w:eastAsia="Malgun Gothic"/>
          <w:bCs/>
          <w:lang w:val="fr-FR"/>
        </w:rPr>
        <w:t>’</w:t>
      </w:r>
      <w:r w:rsidRPr="00BF0258">
        <w:rPr>
          <w:rFonts w:eastAsia="Malgun Gothic"/>
          <w:bCs/>
          <w:lang w:val="fr-FR"/>
        </w:rPr>
        <w:t>Organe aurait apprécié que le contexte soit plus détaillé quant à la raison pour laquelle il y avait des rôles de genre spécifiques, ce qui pou</w:t>
      </w:r>
      <w:r w:rsidR="00470486">
        <w:rPr>
          <w:rFonts w:eastAsia="Malgun Gothic"/>
          <w:bCs/>
          <w:lang w:val="fr-FR"/>
        </w:rPr>
        <w:t>v</w:t>
      </w:r>
      <w:r w:rsidRPr="00BF0258">
        <w:rPr>
          <w:rFonts w:eastAsia="Malgun Gothic"/>
          <w:bCs/>
          <w:lang w:val="fr-FR"/>
        </w:rPr>
        <w:t>ait être dû à l</w:t>
      </w:r>
      <w:r w:rsidR="00923E72">
        <w:rPr>
          <w:rFonts w:eastAsia="Malgun Gothic"/>
          <w:bCs/>
          <w:lang w:val="fr-FR"/>
        </w:rPr>
        <w:t>’</w:t>
      </w:r>
      <w:r w:rsidRPr="00BF0258">
        <w:rPr>
          <w:rFonts w:eastAsia="Malgun Gothic"/>
          <w:bCs/>
          <w:lang w:val="fr-FR"/>
        </w:rPr>
        <w:t>histoire ou au contexte social. Ce type d</w:t>
      </w:r>
      <w:r w:rsidR="00923E72">
        <w:rPr>
          <w:rFonts w:eastAsia="Malgun Gothic"/>
          <w:bCs/>
          <w:lang w:val="fr-FR"/>
        </w:rPr>
        <w:t>’</w:t>
      </w:r>
      <w:r w:rsidRPr="00BF0258">
        <w:rPr>
          <w:rFonts w:eastAsia="Malgun Gothic"/>
          <w:bCs/>
          <w:lang w:val="fr-FR"/>
        </w:rPr>
        <w:t>explication serait très utile pour déterminer s</w:t>
      </w:r>
      <w:r w:rsidR="00923E72">
        <w:rPr>
          <w:rFonts w:eastAsia="Malgun Gothic"/>
          <w:bCs/>
          <w:lang w:val="fr-FR"/>
        </w:rPr>
        <w:t>’</w:t>
      </w:r>
      <w:r w:rsidRPr="00BF0258">
        <w:rPr>
          <w:rFonts w:eastAsia="Malgun Gothic"/>
          <w:bCs/>
          <w:lang w:val="fr-FR"/>
        </w:rPr>
        <w:t>il y a</w:t>
      </w:r>
      <w:r w:rsidR="00BA0C8C">
        <w:rPr>
          <w:rFonts w:eastAsia="Malgun Gothic"/>
          <w:bCs/>
          <w:lang w:val="fr-FR"/>
        </w:rPr>
        <w:t>vait</w:t>
      </w:r>
      <w:r w:rsidRPr="00BF0258">
        <w:rPr>
          <w:rFonts w:eastAsia="Malgun Gothic"/>
          <w:bCs/>
          <w:lang w:val="fr-FR"/>
        </w:rPr>
        <w:t xml:space="preserve"> des problèmes concernant le genre ou s</w:t>
      </w:r>
      <w:r w:rsidR="00923E72">
        <w:rPr>
          <w:rFonts w:eastAsia="Malgun Gothic"/>
          <w:bCs/>
          <w:lang w:val="fr-FR"/>
        </w:rPr>
        <w:t>’</w:t>
      </w:r>
      <w:r w:rsidRPr="00BF0258">
        <w:rPr>
          <w:rFonts w:eastAsia="Malgun Gothic"/>
          <w:bCs/>
          <w:lang w:val="fr-FR"/>
        </w:rPr>
        <w:t>il s</w:t>
      </w:r>
      <w:r w:rsidR="00923E72">
        <w:rPr>
          <w:rFonts w:eastAsia="Malgun Gothic"/>
          <w:bCs/>
          <w:lang w:val="fr-FR"/>
        </w:rPr>
        <w:t>’</w:t>
      </w:r>
      <w:r w:rsidRPr="00BF0258">
        <w:rPr>
          <w:rFonts w:eastAsia="Malgun Gothic"/>
          <w:bCs/>
          <w:lang w:val="fr-FR"/>
        </w:rPr>
        <w:t>agi</w:t>
      </w:r>
      <w:r w:rsidR="00BA0C8C">
        <w:rPr>
          <w:rFonts w:eastAsia="Malgun Gothic"/>
          <w:bCs/>
          <w:lang w:val="fr-FR"/>
        </w:rPr>
        <w:t>ssai</w:t>
      </w:r>
      <w:r w:rsidRPr="00BF0258">
        <w:rPr>
          <w:rFonts w:eastAsia="Malgun Gothic"/>
          <w:bCs/>
          <w:lang w:val="fr-FR"/>
        </w:rPr>
        <w:t>t d</w:t>
      </w:r>
      <w:r w:rsidR="00923E72">
        <w:rPr>
          <w:rFonts w:eastAsia="Malgun Gothic"/>
          <w:bCs/>
          <w:lang w:val="fr-FR"/>
        </w:rPr>
        <w:t>’</w:t>
      </w:r>
      <w:r w:rsidRPr="00BF0258">
        <w:rPr>
          <w:rFonts w:eastAsia="Malgun Gothic"/>
          <w:bCs/>
          <w:lang w:val="fr-FR"/>
        </w:rPr>
        <w:t>une partie acceptable des rôles de genre qui reflètent la culture, l</w:t>
      </w:r>
      <w:r w:rsidR="00923E72">
        <w:rPr>
          <w:rFonts w:eastAsia="Malgun Gothic"/>
          <w:bCs/>
          <w:lang w:val="fr-FR"/>
        </w:rPr>
        <w:t>’</w:t>
      </w:r>
      <w:r w:rsidRPr="00BF0258">
        <w:rPr>
          <w:rFonts w:eastAsia="Malgun Gothic"/>
          <w:bCs/>
          <w:lang w:val="fr-FR"/>
        </w:rPr>
        <w:t>histoire et la pratique de l</w:t>
      </w:r>
      <w:r w:rsidR="00923E72">
        <w:rPr>
          <w:rFonts w:eastAsia="Malgun Gothic"/>
          <w:bCs/>
          <w:lang w:val="fr-FR"/>
        </w:rPr>
        <w:t>’</w:t>
      </w:r>
      <w:r w:rsidRPr="00BF0258">
        <w:rPr>
          <w:rFonts w:eastAsia="Malgun Gothic"/>
          <w:bCs/>
          <w:lang w:val="fr-FR"/>
        </w:rPr>
        <w:t>État soumissionnaire.</w:t>
      </w:r>
    </w:p>
    <w:p w14:paraId="34A460FD" w14:textId="0861F897" w:rsidR="00BA0C8C" w:rsidRDefault="00BA0C8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le Rapporteur pour ses </w:t>
      </w:r>
      <w:r w:rsidRPr="00BA0C8C">
        <w:rPr>
          <w:rFonts w:eastAsia="Malgun Gothic"/>
          <w:bCs/>
          <w:lang w:val="fr-FR"/>
        </w:rPr>
        <w:t>éclaircissements</w:t>
      </w:r>
      <w:r>
        <w:rPr>
          <w:rFonts w:eastAsia="Malgun Gothic"/>
          <w:bCs/>
          <w:lang w:val="fr-FR"/>
        </w:rPr>
        <w:t>.</w:t>
      </w:r>
    </w:p>
    <w:p w14:paraId="318A6657" w14:textId="2ED7A38E" w:rsidR="00BA0C8C" w:rsidRDefault="00BA0C8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A0C8C">
        <w:rPr>
          <w:rFonts w:eastAsia="Malgun Gothic"/>
          <w:bCs/>
          <w:lang w:val="fr-FR"/>
        </w:rPr>
        <w:t xml:space="preserve">Le </w:t>
      </w:r>
      <w:r w:rsidRPr="00702497">
        <w:rPr>
          <w:rFonts w:eastAsia="Malgun Gothic"/>
          <w:b/>
          <w:lang w:val="fr-FR"/>
        </w:rPr>
        <w:t>Secrétaire</w:t>
      </w:r>
      <w:r w:rsidRPr="00BA0C8C">
        <w:rPr>
          <w:rFonts w:eastAsia="Malgun Gothic"/>
          <w:bCs/>
          <w:lang w:val="fr-FR"/>
        </w:rPr>
        <w:t xml:space="preserve"> a répondu aux questions adressées au Secrétariat concernant l</w:t>
      </w:r>
      <w:r w:rsidR="00923E72">
        <w:rPr>
          <w:rFonts w:eastAsia="Malgun Gothic"/>
          <w:bCs/>
          <w:lang w:val="fr-FR"/>
        </w:rPr>
        <w:t>’</w:t>
      </w:r>
      <w:r w:rsidRPr="00BA0C8C">
        <w:rPr>
          <w:rFonts w:eastAsia="Malgun Gothic"/>
          <w:bCs/>
          <w:lang w:val="fr-FR"/>
        </w:rPr>
        <w:t>élaboration de notes d</w:t>
      </w:r>
      <w:r w:rsidR="00923E72">
        <w:rPr>
          <w:rFonts w:eastAsia="Malgun Gothic"/>
          <w:bCs/>
          <w:lang w:val="fr-FR"/>
        </w:rPr>
        <w:t>’</w:t>
      </w:r>
      <w:r w:rsidRPr="00BA0C8C">
        <w:rPr>
          <w:rFonts w:eastAsia="Malgun Gothic"/>
          <w:bCs/>
          <w:lang w:val="fr-FR"/>
        </w:rPr>
        <w:t>orientation pour les dossiers multinationaux, qui avait été demandée en</w:t>
      </w:r>
      <w:r w:rsidR="00AF6B98">
        <w:rPr>
          <w:rFonts w:eastAsia="Malgun Gothic"/>
          <w:bCs/>
          <w:lang w:val="fr-FR"/>
        </w:rPr>
        <w:t> </w:t>
      </w:r>
      <w:r w:rsidRPr="00BA0C8C">
        <w:rPr>
          <w:rFonts w:eastAsia="Malgun Gothic"/>
          <w:bCs/>
          <w:lang w:val="fr-FR"/>
        </w:rPr>
        <w:t xml:space="preserve">2021, comme mentionné dans le projet de décision. Le Secrétaire a expliqué que le Secrétariat avait été invité à développer les résultats de la </w:t>
      </w:r>
      <w:r w:rsidRPr="001A6358">
        <w:rPr>
          <w:rFonts w:eastAsia="Malgun Gothic"/>
          <w:bCs/>
          <w:lang w:val="fr-FR"/>
        </w:rPr>
        <w:t>réflexion globale sur les mécanismes d</w:t>
      </w:r>
      <w:r w:rsidR="00923E72">
        <w:rPr>
          <w:rFonts w:eastAsia="Malgun Gothic"/>
          <w:bCs/>
          <w:lang w:val="fr-FR"/>
        </w:rPr>
        <w:t>’</w:t>
      </w:r>
      <w:r w:rsidRPr="001A6358">
        <w:rPr>
          <w:rFonts w:eastAsia="Malgun Gothic"/>
          <w:bCs/>
          <w:lang w:val="fr-FR"/>
        </w:rPr>
        <w:t>inscription e</w:t>
      </w:r>
      <w:r w:rsidRPr="00BA0C8C">
        <w:rPr>
          <w:rFonts w:eastAsia="Malgun Gothic"/>
          <w:bCs/>
          <w:lang w:val="fr-FR"/>
        </w:rPr>
        <w:t>t qu</w:t>
      </w:r>
      <w:r w:rsidR="00923E72">
        <w:rPr>
          <w:rFonts w:eastAsia="Malgun Gothic"/>
          <w:bCs/>
          <w:lang w:val="fr-FR"/>
        </w:rPr>
        <w:t>’</w:t>
      </w:r>
      <w:r w:rsidRPr="00BA0C8C">
        <w:rPr>
          <w:rFonts w:eastAsia="Malgun Gothic"/>
          <w:bCs/>
          <w:lang w:val="fr-FR"/>
        </w:rPr>
        <w:t>il avait attendu ses résultats, mais qu</w:t>
      </w:r>
      <w:r w:rsidR="00923E72">
        <w:rPr>
          <w:rFonts w:eastAsia="Malgun Gothic"/>
          <w:bCs/>
          <w:lang w:val="fr-FR"/>
        </w:rPr>
        <w:t>’</w:t>
      </w:r>
      <w:r w:rsidRPr="00BA0C8C">
        <w:rPr>
          <w:rFonts w:eastAsia="Malgun Gothic"/>
          <w:bCs/>
          <w:lang w:val="fr-FR"/>
        </w:rPr>
        <w:t xml:space="preserve">il procédait </w:t>
      </w:r>
      <w:r w:rsidR="00470486" w:rsidRPr="00470486">
        <w:rPr>
          <w:rFonts w:eastAsia="Malgun Gothic"/>
          <w:bCs/>
          <w:color w:val="000000" w:themeColor="text1"/>
          <w:lang w:val="fr-FR"/>
        </w:rPr>
        <w:t>désormais</w:t>
      </w:r>
      <w:r w:rsidR="00470486">
        <w:rPr>
          <w:rFonts w:eastAsia="Malgun Gothic"/>
          <w:bCs/>
          <w:color w:val="000000" w:themeColor="text1"/>
          <w:lang w:val="fr-FR"/>
        </w:rPr>
        <w:t xml:space="preserve"> </w:t>
      </w:r>
      <w:r w:rsidRPr="00BA0C8C">
        <w:rPr>
          <w:rFonts w:eastAsia="Malgun Gothic"/>
          <w:bCs/>
          <w:lang w:val="fr-FR"/>
        </w:rPr>
        <w:t>à l</w:t>
      </w:r>
      <w:r w:rsidR="00923E72">
        <w:rPr>
          <w:rFonts w:eastAsia="Malgun Gothic"/>
          <w:bCs/>
          <w:lang w:val="fr-FR"/>
        </w:rPr>
        <w:t>’</w:t>
      </w:r>
      <w:r w:rsidRPr="00BA0C8C">
        <w:rPr>
          <w:rFonts w:eastAsia="Malgun Gothic"/>
          <w:bCs/>
          <w:lang w:val="fr-FR"/>
        </w:rPr>
        <w:t>élaboration de notes d</w:t>
      </w:r>
      <w:r w:rsidR="00923E72">
        <w:rPr>
          <w:rFonts w:eastAsia="Malgun Gothic"/>
          <w:bCs/>
          <w:lang w:val="fr-FR"/>
        </w:rPr>
        <w:t>’</w:t>
      </w:r>
      <w:r w:rsidRPr="00BA0C8C">
        <w:rPr>
          <w:rFonts w:eastAsia="Malgun Gothic"/>
          <w:bCs/>
          <w:lang w:val="fr-FR"/>
        </w:rPr>
        <w:t>orientation sur les dossiers multinationaux. S</w:t>
      </w:r>
      <w:r w:rsidR="00923E72">
        <w:rPr>
          <w:rFonts w:eastAsia="Malgun Gothic"/>
          <w:bCs/>
          <w:lang w:val="fr-FR"/>
        </w:rPr>
        <w:t>’</w:t>
      </w:r>
      <w:r w:rsidRPr="00BA0C8C">
        <w:rPr>
          <w:rFonts w:eastAsia="Malgun Gothic"/>
          <w:bCs/>
          <w:lang w:val="fr-FR"/>
        </w:rPr>
        <w:t>agissant de la question du Bangladesh sur l</w:t>
      </w:r>
      <w:r w:rsidR="00923E72">
        <w:rPr>
          <w:rFonts w:eastAsia="Malgun Gothic"/>
          <w:bCs/>
          <w:lang w:val="fr-FR"/>
        </w:rPr>
        <w:t>’</w:t>
      </w:r>
      <w:r w:rsidRPr="00BA0C8C">
        <w:rPr>
          <w:rFonts w:eastAsia="Malgun Gothic"/>
          <w:bCs/>
          <w:lang w:val="fr-FR"/>
        </w:rPr>
        <w:t>établissement d</w:t>
      </w:r>
      <w:r w:rsidR="00923E72">
        <w:rPr>
          <w:rFonts w:eastAsia="Malgun Gothic"/>
          <w:bCs/>
          <w:lang w:val="fr-FR"/>
        </w:rPr>
        <w:t>’</w:t>
      </w:r>
      <w:r w:rsidRPr="00BA0C8C">
        <w:rPr>
          <w:rFonts w:eastAsia="Malgun Gothic"/>
          <w:bCs/>
          <w:lang w:val="fr-FR"/>
        </w:rPr>
        <w:t>un format de questionnaire pour l</w:t>
      </w:r>
      <w:r w:rsidR="00470486">
        <w:rPr>
          <w:rFonts w:eastAsia="Malgun Gothic"/>
          <w:bCs/>
          <w:lang w:val="fr-FR"/>
        </w:rPr>
        <w:t>a participation</w:t>
      </w:r>
      <w:r w:rsidRPr="00BA0C8C">
        <w:rPr>
          <w:rFonts w:eastAsia="Malgun Gothic"/>
          <w:bCs/>
          <w:lang w:val="fr-FR"/>
        </w:rPr>
        <w:t xml:space="preserve"> de la communauté, le Secrétaire a estimé qu</w:t>
      </w:r>
      <w:r w:rsidR="00923E72">
        <w:rPr>
          <w:rFonts w:eastAsia="Malgun Gothic"/>
          <w:bCs/>
          <w:lang w:val="fr-FR"/>
        </w:rPr>
        <w:t>’</w:t>
      </w:r>
      <w:r w:rsidRPr="00BA0C8C">
        <w:rPr>
          <w:rFonts w:eastAsia="Malgun Gothic"/>
          <w:bCs/>
          <w:lang w:val="fr-FR"/>
        </w:rPr>
        <w:t>il conviendrait de débattre de ce qui serait nécessaire. De nombreuses recommandations de l</w:t>
      </w:r>
      <w:r w:rsidR="00923E72">
        <w:rPr>
          <w:rFonts w:eastAsia="Malgun Gothic"/>
          <w:bCs/>
          <w:lang w:val="fr-FR"/>
        </w:rPr>
        <w:t>’</w:t>
      </w:r>
      <w:r w:rsidRPr="00BA0C8C">
        <w:rPr>
          <w:rFonts w:eastAsia="Malgun Gothic"/>
          <w:bCs/>
          <w:lang w:val="fr-FR"/>
        </w:rPr>
        <w:t>Organe d</w:t>
      </w:r>
      <w:r w:rsidR="00923E72">
        <w:rPr>
          <w:rFonts w:eastAsia="Malgun Gothic"/>
          <w:bCs/>
          <w:lang w:val="fr-FR"/>
        </w:rPr>
        <w:t>’</w:t>
      </w:r>
      <w:r w:rsidRPr="00BA0C8C">
        <w:rPr>
          <w:rFonts w:eastAsia="Malgun Gothic"/>
          <w:bCs/>
          <w:lang w:val="fr-FR"/>
        </w:rPr>
        <w:t>évaluation demandaient de ne pas avoir de format standard. Par conséquent, toute décision sur un format standard nécessiterait une discussion plus large, mais il allait de soi que le Secrétariat pourrait facilement élaborer un format standard si cela s</w:t>
      </w:r>
      <w:r w:rsidR="00923E72">
        <w:rPr>
          <w:rFonts w:eastAsia="Malgun Gothic"/>
          <w:bCs/>
          <w:lang w:val="fr-FR"/>
        </w:rPr>
        <w:t>’</w:t>
      </w:r>
      <w:r w:rsidRPr="00BA0C8C">
        <w:rPr>
          <w:rFonts w:eastAsia="Malgun Gothic"/>
          <w:bCs/>
          <w:lang w:val="fr-FR"/>
        </w:rPr>
        <w:t>avérait nécessaire à l</w:t>
      </w:r>
      <w:r w:rsidR="00923E72">
        <w:rPr>
          <w:rFonts w:eastAsia="Malgun Gothic"/>
          <w:bCs/>
          <w:lang w:val="fr-FR"/>
        </w:rPr>
        <w:t>’</w:t>
      </w:r>
      <w:r w:rsidRPr="00BA0C8C">
        <w:rPr>
          <w:rFonts w:eastAsia="Malgun Gothic"/>
          <w:bCs/>
          <w:lang w:val="fr-FR"/>
        </w:rPr>
        <w:t>issue de la réflexion.</w:t>
      </w:r>
    </w:p>
    <w:p w14:paraId="381D8A88" w14:textId="1D70529C" w:rsidR="00D37E0C" w:rsidRDefault="00D37E0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37E0C">
        <w:rPr>
          <w:rFonts w:eastAsia="Malgun Gothic"/>
          <w:bCs/>
          <w:lang w:val="fr-FR"/>
        </w:rPr>
        <w:lastRenderedPageBreak/>
        <w:t xml:space="preserve">Le </w:t>
      </w:r>
      <w:r w:rsidRPr="00702497">
        <w:rPr>
          <w:rFonts w:eastAsia="Malgun Gothic"/>
          <w:b/>
          <w:lang w:val="fr-FR"/>
        </w:rPr>
        <w:t>Rapporteur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D37E0C">
        <w:rPr>
          <w:rFonts w:eastAsia="Malgun Gothic"/>
          <w:bCs/>
          <w:lang w:val="fr-FR"/>
        </w:rPr>
        <w:t xml:space="preserve"> est revenu sur la question de la Suède concernant l</w:t>
      </w:r>
      <w:r w:rsidR="00923E72">
        <w:rPr>
          <w:rFonts w:eastAsia="Malgun Gothic"/>
          <w:bCs/>
          <w:lang w:val="fr-FR"/>
        </w:rPr>
        <w:t>’</w:t>
      </w:r>
      <w:r w:rsidRPr="00D37E0C">
        <w:rPr>
          <w:rFonts w:eastAsia="Malgun Gothic"/>
          <w:bCs/>
          <w:lang w:val="fr-FR"/>
        </w:rPr>
        <w:t>utilisation de l</w:t>
      </w:r>
      <w:r w:rsidR="00923E72">
        <w:rPr>
          <w:rFonts w:eastAsia="Malgun Gothic"/>
          <w:bCs/>
          <w:lang w:val="fr-FR"/>
        </w:rPr>
        <w:t>’</w:t>
      </w:r>
      <w:r w:rsidRPr="00D37E0C">
        <w:rPr>
          <w:rFonts w:eastAsia="Malgun Gothic"/>
          <w:bCs/>
          <w:lang w:val="fr-FR"/>
        </w:rPr>
        <w:t xml:space="preserve">expertise et des ressources qui pourraient être utiles pour aider </w:t>
      </w:r>
      <w:r w:rsidR="00EC71F8">
        <w:rPr>
          <w:rFonts w:eastAsia="Malgun Gothic"/>
          <w:bCs/>
          <w:lang w:val="fr-FR"/>
        </w:rPr>
        <w:t xml:space="preserve">les </w:t>
      </w:r>
      <w:r w:rsidRPr="00D37E0C">
        <w:rPr>
          <w:rFonts w:eastAsia="Malgun Gothic"/>
          <w:bCs/>
          <w:lang w:val="fr-FR"/>
        </w:rPr>
        <w:t>candidature</w:t>
      </w:r>
      <w:r w:rsidR="00EC71F8">
        <w:rPr>
          <w:rFonts w:eastAsia="Malgun Gothic"/>
          <w:bCs/>
          <w:lang w:val="fr-FR"/>
        </w:rPr>
        <w:t xml:space="preserve">s </w:t>
      </w:r>
      <w:r w:rsidRPr="00D37E0C">
        <w:rPr>
          <w:rFonts w:eastAsia="Malgun Gothic"/>
          <w:bCs/>
          <w:lang w:val="fr-FR"/>
        </w:rPr>
        <w:t>à l</w:t>
      </w:r>
      <w:r w:rsidR="00923E72">
        <w:rPr>
          <w:rFonts w:eastAsia="Malgun Gothic"/>
          <w:bCs/>
          <w:lang w:val="fr-FR"/>
        </w:rPr>
        <w:t>’</w:t>
      </w:r>
      <w:r w:rsidRPr="00D37E0C">
        <w:rPr>
          <w:rFonts w:eastAsia="Malgun Gothic"/>
          <w:bCs/>
          <w:lang w:val="fr-FR"/>
        </w:rPr>
        <w:t>avenir. Il existait plusieurs moyens, par exemple</w:t>
      </w:r>
      <w:r w:rsidR="00EC71F8">
        <w:rPr>
          <w:rFonts w:eastAsia="Malgun Gothic"/>
          <w:bCs/>
          <w:lang w:val="fr-FR"/>
        </w:rPr>
        <w:t>,</w:t>
      </w:r>
      <w:r w:rsidRPr="00D37E0C">
        <w:rPr>
          <w:rFonts w:eastAsia="Malgun Gothic"/>
          <w:bCs/>
          <w:lang w:val="fr-FR"/>
        </w:rPr>
        <w:t xml:space="preserve"> le réseau global de facilitateurs, comme mentionné dans le rapport. L</w:t>
      </w:r>
      <w:r w:rsidR="00923E72">
        <w:rPr>
          <w:rFonts w:eastAsia="Malgun Gothic"/>
          <w:bCs/>
          <w:lang w:val="fr-FR"/>
        </w:rPr>
        <w:t>’</w:t>
      </w:r>
      <w:r w:rsidRPr="00D37E0C">
        <w:rPr>
          <w:rFonts w:eastAsia="Malgun Gothic"/>
          <w:bCs/>
          <w:lang w:val="fr-FR"/>
        </w:rPr>
        <w:t>Organe estimait que les ONG et l</w:t>
      </w:r>
      <w:r w:rsidR="00923E72">
        <w:rPr>
          <w:rFonts w:eastAsia="Malgun Gothic"/>
          <w:bCs/>
          <w:lang w:val="fr-FR"/>
        </w:rPr>
        <w:t>’</w:t>
      </w:r>
      <w:r w:rsidRPr="00D37E0C">
        <w:rPr>
          <w:rFonts w:eastAsia="Malgun Gothic"/>
          <w:bCs/>
          <w:lang w:val="fr-FR"/>
        </w:rPr>
        <w:t>expertise des chercheurs universitaires sont très importantes, et que de nombreuses ONG disposent de ressources précieuses</w:t>
      </w:r>
      <w:r w:rsidR="00B725DB">
        <w:rPr>
          <w:rFonts w:eastAsia="Malgun Gothic"/>
          <w:bCs/>
          <w:lang w:val="fr-FR"/>
        </w:rPr>
        <w:t>,</w:t>
      </w:r>
      <w:r w:rsidRPr="00D37E0C">
        <w:rPr>
          <w:rFonts w:eastAsia="Malgun Gothic"/>
          <w:bCs/>
          <w:lang w:val="fr-FR"/>
        </w:rPr>
        <w:t xml:space="preserve"> qui peuvent être utiles pour soutenir les </w:t>
      </w:r>
      <w:r w:rsidR="00EC71F8">
        <w:rPr>
          <w:rFonts w:eastAsia="Malgun Gothic"/>
          <w:bCs/>
          <w:lang w:val="fr-FR"/>
        </w:rPr>
        <w:t xml:space="preserve">futures </w:t>
      </w:r>
      <w:r w:rsidRPr="00D37E0C">
        <w:rPr>
          <w:rFonts w:eastAsia="Malgun Gothic"/>
          <w:bCs/>
          <w:lang w:val="fr-FR"/>
        </w:rPr>
        <w:t>candidatures. L</w:t>
      </w:r>
      <w:r w:rsidR="00923E72">
        <w:rPr>
          <w:rFonts w:eastAsia="Malgun Gothic"/>
          <w:bCs/>
          <w:lang w:val="fr-FR"/>
        </w:rPr>
        <w:t>’</w:t>
      </w:r>
      <w:r w:rsidRPr="00D37E0C">
        <w:rPr>
          <w:rFonts w:eastAsia="Malgun Gothic"/>
          <w:bCs/>
          <w:lang w:val="fr-FR"/>
        </w:rPr>
        <w:t>Organe d</w:t>
      </w:r>
      <w:r w:rsidR="00923E72">
        <w:rPr>
          <w:rFonts w:eastAsia="Malgun Gothic"/>
          <w:bCs/>
          <w:lang w:val="fr-FR"/>
        </w:rPr>
        <w:t>’</w:t>
      </w:r>
      <w:r w:rsidRPr="00D37E0C">
        <w:rPr>
          <w:rFonts w:eastAsia="Malgun Gothic"/>
          <w:bCs/>
          <w:lang w:val="fr-FR"/>
        </w:rPr>
        <w:t>évaluation s</w:t>
      </w:r>
      <w:r w:rsidR="00923E72">
        <w:rPr>
          <w:rFonts w:eastAsia="Malgun Gothic"/>
          <w:bCs/>
          <w:lang w:val="fr-FR"/>
        </w:rPr>
        <w:t>’</w:t>
      </w:r>
      <w:r w:rsidRPr="00D37E0C">
        <w:rPr>
          <w:rFonts w:eastAsia="Malgun Gothic"/>
          <w:bCs/>
          <w:lang w:val="fr-FR"/>
        </w:rPr>
        <w:t>était efforcé d</w:t>
      </w:r>
      <w:r w:rsidR="00923E72">
        <w:rPr>
          <w:rFonts w:eastAsia="Malgun Gothic"/>
          <w:bCs/>
          <w:lang w:val="fr-FR"/>
        </w:rPr>
        <w:t>’</w:t>
      </w:r>
      <w:r w:rsidRPr="00D37E0C">
        <w:rPr>
          <w:rFonts w:eastAsia="Malgun Gothic"/>
          <w:bCs/>
          <w:lang w:val="fr-FR"/>
        </w:rPr>
        <w:t>être aussi détaillé que possible dans son rapport et sa présentation. On pouvait espérer que les questions mises en évidence dans le rapport constitueraient des références utiles</w:t>
      </w:r>
      <w:r w:rsidR="007950F6">
        <w:rPr>
          <w:rFonts w:eastAsia="Malgun Gothic"/>
          <w:bCs/>
          <w:lang w:val="fr-FR"/>
        </w:rPr>
        <w:t>,</w:t>
      </w:r>
      <w:r w:rsidRPr="00D37E0C">
        <w:rPr>
          <w:rFonts w:eastAsia="Malgun Gothic"/>
          <w:bCs/>
          <w:lang w:val="fr-FR"/>
        </w:rPr>
        <w:t xml:space="preserve"> dont les pays pourraient tenir compte lors de la préparation des candidatures à venir.</w:t>
      </w:r>
    </w:p>
    <w:p w14:paraId="7E7A7FCB" w14:textId="791DDF0B" w:rsidR="00EC71F8" w:rsidRDefault="00EC71F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rappelé au Comité que le projet de décision</w:t>
      </w:r>
      <w:r w:rsidR="002B668C">
        <w:rPr>
          <w:rFonts w:eastAsia="Malgun Gothic"/>
          <w:bCs/>
          <w:lang w:val="fr-FR"/>
        </w:rPr>
        <w:t> </w:t>
      </w:r>
      <w:r>
        <w:rPr>
          <w:rFonts w:eastAsia="Malgun Gothic"/>
          <w:bCs/>
          <w:lang w:val="fr-FR"/>
        </w:rPr>
        <w:t>17.COM 7 serait examiné après l</w:t>
      </w:r>
      <w:r w:rsidR="00923E72">
        <w:rPr>
          <w:rFonts w:eastAsia="Malgun Gothic"/>
          <w:bCs/>
          <w:lang w:val="fr-FR"/>
        </w:rPr>
        <w:t>’</w:t>
      </w:r>
      <w:r>
        <w:rPr>
          <w:rFonts w:eastAsia="Malgun Gothic"/>
          <w:bCs/>
          <w:lang w:val="fr-FR"/>
        </w:rPr>
        <w:t>examen des décisions individuelles au titre des points</w:t>
      </w:r>
      <w:r w:rsidR="00FF784B">
        <w:rPr>
          <w:rFonts w:eastAsia="Malgun Gothic"/>
          <w:bCs/>
          <w:lang w:val="fr-FR"/>
        </w:rPr>
        <w:t> </w:t>
      </w:r>
      <w:r>
        <w:rPr>
          <w:rFonts w:eastAsia="Malgun Gothic"/>
          <w:bCs/>
          <w:lang w:val="fr-FR"/>
        </w:rPr>
        <w:t>7.a,</w:t>
      </w:r>
      <w:r w:rsidR="002B668C">
        <w:rPr>
          <w:rFonts w:eastAsia="Malgun Gothic"/>
          <w:bCs/>
          <w:lang w:val="fr-FR"/>
        </w:rPr>
        <w:t> </w:t>
      </w:r>
      <w:r>
        <w:rPr>
          <w:rFonts w:eastAsia="Malgun Gothic"/>
          <w:bCs/>
          <w:lang w:val="fr-FR"/>
        </w:rPr>
        <w:t>7.b,</w:t>
      </w:r>
      <w:r w:rsidR="002B668C">
        <w:rPr>
          <w:rFonts w:eastAsia="Malgun Gothic"/>
          <w:bCs/>
          <w:lang w:val="fr-FR"/>
        </w:rPr>
        <w:t> </w:t>
      </w:r>
      <w:r>
        <w:rPr>
          <w:rFonts w:eastAsia="Malgun Gothic"/>
          <w:bCs/>
          <w:lang w:val="fr-FR"/>
        </w:rPr>
        <w:t>7.c et</w:t>
      </w:r>
      <w:r w:rsidR="002B668C">
        <w:rPr>
          <w:rFonts w:eastAsia="Malgun Gothic"/>
          <w:bCs/>
          <w:lang w:val="fr-FR"/>
        </w:rPr>
        <w:t> </w:t>
      </w:r>
      <w:r>
        <w:rPr>
          <w:rFonts w:eastAsia="Malgun Gothic"/>
          <w:bCs/>
          <w:lang w:val="fr-FR"/>
        </w:rPr>
        <w:t>7.d. En conséquence, le Président a suspendu le projet de décision</w:t>
      </w:r>
      <w:r w:rsidR="00FF784B">
        <w:rPr>
          <w:rFonts w:eastAsia="Malgun Gothic"/>
          <w:bCs/>
          <w:lang w:val="fr-FR"/>
        </w:rPr>
        <w:t> </w:t>
      </w:r>
      <w:r>
        <w:rPr>
          <w:rFonts w:eastAsia="Malgun Gothic"/>
          <w:bCs/>
          <w:lang w:val="fr-FR"/>
        </w:rPr>
        <w:t>17.COM 7.</w:t>
      </w:r>
    </w:p>
    <w:p w14:paraId="3C9A1609" w14:textId="0A02A7EE" w:rsidR="00EC71F8" w:rsidRPr="009B17A4" w:rsidRDefault="00CE787A" w:rsidP="00702497">
      <w:pPr>
        <w:pStyle w:val="Marge"/>
        <w:keepNext/>
        <w:tabs>
          <w:tab w:val="clear" w:pos="567"/>
          <w:tab w:val="left" w:pos="709"/>
          <w:tab w:val="left" w:pos="1418"/>
          <w:tab w:val="left" w:pos="2126"/>
          <w:tab w:val="left" w:pos="2835"/>
        </w:tabs>
        <w:spacing w:before="360" w:after="60"/>
        <w:jc w:val="left"/>
        <w:outlineLvl w:val="0"/>
        <w:rPr>
          <w:rFonts w:eastAsiaTheme="minorHAnsi"/>
          <w:b/>
          <w:color w:val="000000" w:themeColor="text1"/>
          <w:u w:val="single"/>
        </w:rPr>
      </w:pPr>
      <w:r>
        <w:rPr>
          <w:rFonts w:eastAsiaTheme="minorHAnsi" w:cs="Arial"/>
          <w:b/>
          <w:color w:val="000000" w:themeColor="text1"/>
          <w:szCs w:val="22"/>
          <w:u w:val="single"/>
        </w:rPr>
        <w:t>POINT</w:t>
      </w:r>
      <w:r w:rsidR="00FF784B">
        <w:rPr>
          <w:rFonts w:eastAsiaTheme="minorHAnsi" w:cs="Arial"/>
          <w:b/>
          <w:color w:val="000000" w:themeColor="text1"/>
          <w:szCs w:val="22"/>
          <w:u w:val="single"/>
        </w:rPr>
        <w:t> </w:t>
      </w:r>
      <w:r>
        <w:rPr>
          <w:rFonts w:eastAsiaTheme="minorHAnsi" w:cs="Arial"/>
          <w:b/>
          <w:color w:val="000000" w:themeColor="text1"/>
          <w:szCs w:val="22"/>
          <w:u w:val="single"/>
        </w:rPr>
        <w:t>7.a DE L</w:t>
      </w:r>
      <w:r w:rsidR="00923E72">
        <w:rPr>
          <w:rFonts w:eastAsiaTheme="minorHAnsi" w:cs="Arial"/>
          <w:b/>
          <w:color w:val="000000" w:themeColor="text1"/>
          <w:szCs w:val="22"/>
          <w:u w:val="single"/>
        </w:rPr>
        <w:t>’</w:t>
      </w:r>
      <w:r w:rsidRPr="00CB040C">
        <w:rPr>
          <w:rFonts w:eastAsiaTheme="minorHAnsi" w:cs="Arial"/>
          <w:b/>
          <w:color w:val="000000" w:themeColor="text1"/>
          <w:szCs w:val="22"/>
          <w:u w:val="single"/>
        </w:rPr>
        <w:t>ORDRE DU JOUR</w:t>
      </w:r>
      <w:r w:rsidR="00FF784B" w:rsidRPr="00702497">
        <w:rPr>
          <w:rFonts w:eastAsiaTheme="minorHAnsi" w:cs="Arial"/>
          <w:b/>
          <w:color w:val="000000" w:themeColor="text1"/>
          <w:szCs w:val="22"/>
        </w:rPr>
        <w:t> :</w:t>
      </w:r>
    </w:p>
    <w:p w14:paraId="7E4C215F" w14:textId="547BD195" w:rsidR="00EC71F8" w:rsidRPr="009B17A4" w:rsidRDefault="00CE787A"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Pr>
          <w:rFonts w:eastAsiaTheme="minorHAnsi"/>
          <w:b/>
          <w:color w:val="000000" w:themeColor="text1"/>
        </w:rPr>
        <w:t xml:space="preserve">EXAMEN DES </w:t>
      </w:r>
      <w:r w:rsidRPr="00CB040C">
        <w:rPr>
          <w:rFonts w:eastAsiaTheme="minorHAnsi"/>
          <w:b/>
          <w:color w:val="000000" w:themeColor="text1"/>
        </w:rPr>
        <w:t>CANDIDATUR</w:t>
      </w:r>
      <w:r>
        <w:rPr>
          <w:rFonts w:eastAsiaTheme="minorHAnsi"/>
          <w:b/>
          <w:color w:val="000000" w:themeColor="text1"/>
        </w:rPr>
        <w:t xml:space="preserve">ES POUR </w:t>
      </w:r>
      <w:r w:rsidRPr="00CE787A">
        <w:rPr>
          <w:rFonts w:eastAsiaTheme="minorHAnsi"/>
          <w:b/>
          <w:color w:val="000000" w:themeColor="text1"/>
        </w:rPr>
        <w:t>INSCRIPTION</w:t>
      </w:r>
      <w:r>
        <w:rPr>
          <w:rFonts w:eastAsiaTheme="minorHAnsi"/>
          <w:b/>
          <w:color w:val="000000" w:themeColor="text1"/>
        </w:rPr>
        <w:t xml:space="preserve"> SUR LA LISTE DU PATRIMOINE CULTUREL IMMATÉRIEL NÉCESSITANT UNE </w:t>
      </w:r>
      <w:r w:rsidRPr="00CE787A">
        <w:rPr>
          <w:rFonts w:eastAsiaTheme="minorHAnsi"/>
          <w:b/>
          <w:bCs/>
          <w:color w:val="000000" w:themeColor="text1"/>
        </w:rPr>
        <w:t>SAUVEGARDE</w:t>
      </w:r>
      <w:r>
        <w:rPr>
          <w:rFonts w:eastAsiaTheme="minorHAnsi"/>
          <w:b/>
          <w:bCs/>
          <w:color w:val="000000" w:themeColor="text1"/>
        </w:rPr>
        <w:t xml:space="preserve"> URGENTE</w:t>
      </w:r>
    </w:p>
    <w:p w14:paraId="49A92C00" w14:textId="48708890" w:rsidR="00EC71F8" w:rsidRPr="00702497" w:rsidRDefault="00EC71F8" w:rsidP="00702497">
      <w:pPr>
        <w:pStyle w:val="Orateurengris"/>
        <w:tabs>
          <w:tab w:val="clear" w:pos="709"/>
          <w:tab w:val="clear" w:pos="1418"/>
          <w:tab w:val="clear" w:pos="2126"/>
          <w:tab w:val="clear" w:pos="2835"/>
        </w:tabs>
        <w:spacing w:after="0"/>
        <w:ind w:left="567" w:firstLine="142"/>
        <w:rPr>
          <w:i/>
          <w:lang w:val="fr-FR"/>
        </w:rPr>
      </w:pPr>
      <w:r w:rsidRPr="00702497">
        <w:rPr>
          <w:b/>
          <w:snapToGrid/>
          <w:color w:val="000000" w:themeColor="text1"/>
          <w:lang w:val="fr-FR"/>
        </w:rPr>
        <w:t>Document</w:t>
      </w:r>
      <w:r w:rsidR="0025295A">
        <w:rPr>
          <w:b/>
          <w:snapToGrid/>
          <w:color w:val="000000" w:themeColor="text1"/>
          <w:lang w:val="fr-FR"/>
        </w:rPr>
        <w:t> </w:t>
      </w:r>
      <w:r w:rsidRPr="00702497">
        <w:rPr>
          <w:b/>
          <w:snapToGrid/>
          <w:color w:val="000000" w:themeColor="text1"/>
          <w:lang w:val="fr-FR"/>
        </w:rPr>
        <w:t>:</w:t>
      </w:r>
      <w:r w:rsidRPr="00702497">
        <w:rPr>
          <w:b/>
          <w:color w:val="000000" w:themeColor="text1"/>
          <w:lang w:val="fr-FR"/>
        </w:rPr>
        <w:tab/>
      </w:r>
      <w:r w:rsidR="00751FB1">
        <w:fldChar w:fldCharType="begin"/>
      </w:r>
      <w:r w:rsidR="00751FB1" w:rsidRPr="00751FB1">
        <w:rPr>
          <w:lang w:val="fr-FR"/>
        </w:rPr>
        <w:instrText>HYPERLINK "https://ich.unesco.org/doc/src/LHE-22-17.COM-7.a-FR.docx"</w:instrText>
      </w:r>
      <w:r w:rsidR="00751FB1">
        <w:fldChar w:fldCharType="separate"/>
      </w:r>
      <w:r w:rsidRPr="00702497">
        <w:rPr>
          <w:rStyle w:val="Hyperlink"/>
          <w:i/>
          <w:lang w:val="fr-FR"/>
        </w:rPr>
        <w:t>LHE/22/17.COM/7.a</w:t>
      </w:r>
      <w:r w:rsidR="00751FB1">
        <w:rPr>
          <w:rStyle w:val="Hyperlink"/>
          <w:i/>
          <w:lang w:val="fr-FR"/>
        </w:rPr>
        <w:fldChar w:fldCharType="end"/>
      </w:r>
    </w:p>
    <w:p w14:paraId="4787B791" w14:textId="68E27BBB" w:rsidR="00EC71F8" w:rsidRPr="00702497" w:rsidRDefault="00CE787A" w:rsidP="00702497">
      <w:pPr>
        <w:pStyle w:val="Orateurengris"/>
        <w:tabs>
          <w:tab w:val="clear" w:pos="709"/>
          <w:tab w:val="clear" w:pos="1418"/>
          <w:tab w:val="clear" w:pos="2126"/>
          <w:tab w:val="clear" w:pos="2835"/>
        </w:tabs>
        <w:spacing w:after="240"/>
        <w:ind w:left="1985" w:firstLine="142"/>
        <w:rPr>
          <w:color w:val="0000FF" w:themeColor="hyperlink"/>
          <w:u w:val="single"/>
          <w:lang w:val="fr-FR"/>
        </w:rPr>
      </w:pPr>
      <w:r w:rsidRPr="00702497">
        <w:rPr>
          <w:bCs/>
          <w:i/>
          <w:iCs/>
          <w:color w:val="000000" w:themeColor="text1"/>
          <w:lang w:val="fr-FR"/>
        </w:rPr>
        <w:t>Voir les</w:t>
      </w:r>
      <w:r w:rsidR="00EC71F8" w:rsidRPr="00702497">
        <w:rPr>
          <w:b/>
          <w:i/>
          <w:iCs/>
          <w:color w:val="000000" w:themeColor="text1"/>
          <w:lang w:val="fr-FR"/>
        </w:rPr>
        <w:t xml:space="preserve"> </w:t>
      </w:r>
      <w:r w:rsidR="00751FB1">
        <w:fldChar w:fldCharType="begin"/>
      </w:r>
      <w:r w:rsidR="00751FB1" w:rsidRPr="00751FB1">
        <w:rPr>
          <w:lang w:val="fr-FR"/>
        </w:rPr>
        <w:instrText>HYPERLINK "https://ich.unesco.org/fr/7a-urgent-safeguarding-list-01280"</w:instrText>
      </w:r>
      <w:r w:rsidR="00751FB1">
        <w:fldChar w:fldCharType="separate"/>
      </w:r>
      <w:r w:rsidRPr="00702497">
        <w:rPr>
          <w:rStyle w:val="Hyperlink"/>
          <w:i/>
          <w:lang w:val="fr-FR"/>
        </w:rPr>
        <w:t>4 candidatures</w:t>
      </w:r>
      <w:r w:rsidR="00751FB1">
        <w:rPr>
          <w:rStyle w:val="Hyperlink"/>
          <w:i/>
          <w:lang w:val="fr-FR"/>
        </w:rPr>
        <w:fldChar w:fldCharType="end"/>
      </w:r>
    </w:p>
    <w:p w14:paraId="1AF4C8D2" w14:textId="22F0FD8D" w:rsidR="00EC71F8" w:rsidRPr="00702497" w:rsidRDefault="00CE787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E787A">
        <w:rPr>
          <w:rFonts w:eastAsia="Malgun Gothic"/>
          <w:bCs/>
          <w:lang w:val="fr-FR"/>
        </w:rPr>
        <w:t xml:space="preserve">Le </w:t>
      </w:r>
      <w:r w:rsidRPr="00702497">
        <w:rPr>
          <w:rFonts w:eastAsia="Malgun Gothic"/>
          <w:b/>
          <w:lang w:val="fr-FR"/>
        </w:rPr>
        <w:t>Président</w:t>
      </w:r>
      <w:r w:rsidRPr="00CE787A">
        <w:rPr>
          <w:rFonts w:eastAsia="Malgun Gothic"/>
          <w:bCs/>
          <w:lang w:val="fr-FR"/>
        </w:rPr>
        <w:t xml:space="preserve"> est passé au point</w:t>
      </w:r>
      <w:r w:rsidR="002B668C">
        <w:rPr>
          <w:rFonts w:eastAsia="Malgun Gothic"/>
          <w:bCs/>
          <w:lang w:val="fr-FR"/>
        </w:rPr>
        <w:t> </w:t>
      </w:r>
      <w:r w:rsidRPr="00CE787A">
        <w:rPr>
          <w:rFonts w:eastAsia="Malgun Gothic"/>
          <w:bCs/>
          <w:lang w:val="fr-FR"/>
        </w:rPr>
        <w:t>7.a</w:t>
      </w:r>
      <w:r w:rsidR="00FF784B">
        <w:rPr>
          <w:rFonts w:eastAsia="Malgun Gothic"/>
          <w:bCs/>
          <w:lang w:val="fr-FR"/>
        </w:rPr>
        <w:t xml:space="preserve">, </w:t>
      </w:r>
      <w:r w:rsidRPr="00CE787A">
        <w:rPr>
          <w:rFonts w:eastAsia="Malgun Gothic"/>
          <w:bCs/>
          <w:lang w:val="fr-FR"/>
        </w:rPr>
        <w:t>l</w:t>
      </w:r>
      <w:r w:rsidR="00923E72">
        <w:rPr>
          <w:rFonts w:eastAsia="Malgun Gothic"/>
          <w:bCs/>
          <w:lang w:val="fr-FR"/>
        </w:rPr>
        <w:t>’</w:t>
      </w:r>
      <w:r w:rsidRPr="00CE787A">
        <w:rPr>
          <w:rFonts w:eastAsia="Malgun Gothic"/>
          <w:bCs/>
          <w:lang w:val="fr-FR"/>
        </w:rPr>
        <w:t>e</w:t>
      </w:r>
      <w:r w:rsidRPr="00702497">
        <w:rPr>
          <w:bCs/>
          <w:color w:val="000000" w:themeColor="text1"/>
          <w:lang w:val="fr-FR"/>
        </w:rPr>
        <w:t xml:space="preserve">xamen des candidatures pour inscription sur la </w:t>
      </w:r>
      <w:r>
        <w:rPr>
          <w:bCs/>
          <w:color w:val="000000" w:themeColor="text1"/>
          <w:lang w:val="fr-FR"/>
        </w:rPr>
        <w:t>L</w:t>
      </w:r>
      <w:r w:rsidRPr="00702497">
        <w:rPr>
          <w:bCs/>
          <w:color w:val="000000" w:themeColor="text1"/>
          <w:lang w:val="fr-FR"/>
        </w:rPr>
        <w:t>iste du patrimoine culturel immatériel nécessitant une sauvegarde urgente</w:t>
      </w:r>
      <w:r>
        <w:rPr>
          <w:bCs/>
          <w:color w:val="000000" w:themeColor="text1"/>
          <w:lang w:val="fr-FR"/>
        </w:rPr>
        <w:t>.</w:t>
      </w:r>
    </w:p>
    <w:p w14:paraId="5AD57B41" w14:textId="5D652F52" w:rsidR="00CE787A" w:rsidRDefault="00CE787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E787A">
        <w:rPr>
          <w:rFonts w:eastAsia="Malgun Gothic"/>
          <w:bCs/>
          <w:lang w:val="fr-FR"/>
        </w:rPr>
        <w:t xml:space="preserve">Le </w:t>
      </w:r>
      <w:r w:rsidRPr="00702497">
        <w:rPr>
          <w:rFonts w:eastAsia="Malgun Gothic"/>
          <w:b/>
          <w:lang w:val="fr-FR"/>
        </w:rPr>
        <w:t>Secrétaire</w:t>
      </w:r>
      <w:r w:rsidRPr="00CE787A">
        <w:rPr>
          <w:rFonts w:eastAsia="Malgun Gothic"/>
          <w:bCs/>
          <w:lang w:val="fr-FR"/>
        </w:rPr>
        <w:t xml:space="preserve"> a expliqué qu</w:t>
      </w:r>
      <w:r w:rsidR="00923E72">
        <w:rPr>
          <w:rFonts w:eastAsia="Malgun Gothic"/>
          <w:bCs/>
          <w:lang w:val="fr-FR"/>
        </w:rPr>
        <w:t>’</w:t>
      </w:r>
      <w:r w:rsidRPr="00CE787A">
        <w:rPr>
          <w:rFonts w:eastAsia="Malgun Gothic"/>
          <w:bCs/>
          <w:lang w:val="fr-FR"/>
        </w:rPr>
        <w:t>au titre de ce sous-point, le Comité examinerait les quatre candidatures soumises par le</w:t>
      </w:r>
      <w:r>
        <w:rPr>
          <w:rFonts w:eastAsia="Malgun Gothic"/>
          <w:bCs/>
          <w:lang w:val="fr-FR"/>
        </w:rPr>
        <w:t> </w:t>
      </w:r>
      <w:r w:rsidRPr="00CE787A">
        <w:rPr>
          <w:rFonts w:eastAsia="Malgun Gothic"/>
          <w:bCs/>
          <w:lang w:val="fr-FR"/>
        </w:rPr>
        <w:t>Chili, la</w:t>
      </w:r>
      <w:r>
        <w:rPr>
          <w:rFonts w:eastAsia="Malgun Gothic"/>
          <w:bCs/>
          <w:lang w:val="fr-FR"/>
        </w:rPr>
        <w:t> </w:t>
      </w:r>
      <w:r w:rsidRPr="00CE787A">
        <w:rPr>
          <w:rFonts w:eastAsia="Malgun Gothic"/>
          <w:bCs/>
          <w:lang w:val="fr-FR"/>
        </w:rPr>
        <w:t>T</w:t>
      </w:r>
      <w:r w:rsidR="002B668C">
        <w:rPr>
          <w:rFonts w:eastAsia="Malgun Gothic"/>
          <w:bCs/>
          <w:lang w:val="fr-FR"/>
        </w:rPr>
        <w:t>ü</w:t>
      </w:r>
      <w:r w:rsidR="00B725DB">
        <w:rPr>
          <w:rFonts w:eastAsia="Malgun Gothic"/>
          <w:bCs/>
          <w:lang w:val="fr-FR"/>
        </w:rPr>
        <w:t>rkiye</w:t>
      </w:r>
      <w:r w:rsidRPr="00CE787A">
        <w:rPr>
          <w:rFonts w:eastAsia="Malgun Gothic"/>
          <w:bCs/>
          <w:lang w:val="fr-FR"/>
        </w:rPr>
        <w:t>, le</w:t>
      </w:r>
      <w:r>
        <w:rPr>
          <w:rFonts w:eastAsia="Malgun Gothic"/>
          <w:bCs/>
          <w:lang w:val="fr-FR"/>
        </w:rPr>
        <w:t> </w:t>
      </w:r>
      <w:r w:rsidRPr="00CE787A">
        <w:rPr>
          <w:rFonts w:eastAsia="Malgun Gothic"/>
          <w:bCs/>
          <w:lang w:val="fr-FR"/>
        </w:rPr>
        <w:t>Viet</w:t>
      </w:r>
      <w:r>
        <w:rPr>
          <w:rFonts w:eastAsia="Malgun Gothic"/>
          <w:bCs/>
          <w:lang w:val="fr-FR"/>
        </w:rPr>
        <w:t> </w:t>
      </w:r>
      <w:r w:rsidRPr="00CE787A">
        <w:rPr>
          <w:rFonts w:eastAsia="Malgun Gothic"/>
          <w:bCs/>
          <w:lang w:val="fr-FR"/>
        </w:rPr>
        <w:t>Nam et l</w:t>
      </w:r>
      <w:r w:rsidR="00923E72">
        <w:rPr>
          <w:rFonts w:eastAsia="Malgun Gothic"/>
          <w:bCs/>
          <w:lang w:val="fr-FR"/>
        </w:rPr>
        <w:t>’</w:t>
      </w:r>
      <w:r w:rsidRPr="00CE787A">
        <w:rPr>
          <w:rFonts w:eastAsia="Malgun Gothic"/>
          <w:bCs/>
          <w:lang w:val="fr-FR"/>
        </w:rPr>
        <w:t>Albanie, dans cet ordre. Le dossier de l</w:t>
      </w:r>
      <w:r w:rsidR="00923E72">
        <w:rPr>
          <w:rFonts w:eastAsia="Malgun Gothic"/>
          <w:bCs/>
          <w:lang w:val="fr-FR"/>
        </w:rPr>
        <w:t>’</w:t>
      </w:r>
      <w:r w:rsidRPr="00CE787A">
        <w:rPr>
          <w:rFonts w:eastAsia="Malgun Gothic"/>
          <w:bCs/>
          <w:lang w:val="fr-FR"/>
        </w:rPr>
        <w:t>Albanie était une candidature à la Liste de sauvegarde urgente combinée à une demande d</w:t>
      </w:r>
      <w:r w:rsidR="00923E72">
        <w:rPr>
          <w:rFonts w:eastAsia="Malgun Gothic"/>
          <w:bCs/>
          <w:lang w:val="fr-FR"/>
        </w:rPr>
        <w:t>’</w:t>
      </w:r>
      <w:r w:rsidRPr="00CE787A">
        <w:rPr>
          <w:rFonts w:eastAsia="Malgun Gothic"/>
          <w:bCs/>
          <w:lang w:val="fr-FR"/>
        </w:rPr>
        <w:t>assistance internationale. Avant de commencer l</w:t>
      </w:r>
      <w:r w:rsidR="00923E72">
        <w:rPr>
          <w:rFonts w:eastAsia="Malgun Gothic"/>
          <w:bCs/>
          <w:lang w:val="fr-FR"/>
        </w:rPr>
        <w:t>’</w:t>
      </w:r>
      <w:r w:rsidRPr="00CE787A">
        <w:rPr>
          <w:rFonts w:eastAsia="Malgun Gothic"/>
          <w:bCs/>
          <w:lang w:val="fr-FR"/>
        </w:rPr>
        <w:t>examen des candidatures, les critères guidant les décisions du Comité ont été projetés à l</w:t>
      </w:r>
      <w:r w:rsidR="00923E72">
        <w:rPr>
          <w:rFonts w:eastAsia="Malgun Gothic"/>
          <w:bCs/>
          <w:lang w:val="fr-FR"/>
        </w:rPr>
        <w:t>’</w:t>
      </w:r>
      <w:r w:rsidRPr="00CE787A">
        <w:rPr>
          <w:rFonts w:eastAsia="Malgun Gothic"/>
          <w:bCs/>
          <w:lang w:val="fr-FR"/>
        </w:rPr>
        <w:t>écran. Il était demandé aux États soumissionnaires de démontrer qu</w:t>
      </w:r>
      <w:r w:rsidR="00923E72">
        <w:rPr>
          <w:rFonts w:eastAsia="Malgun Gothic"/>
          <w:bCs/>
          <w:lang w:val="fr-FR"/>
        </w:rPr>
        <w:t>’</w:t>
      </w:r>
      <w:r w:rsidRPr="00CE787A">
        <w:rPr>
          <w:rFonts w:eastAsia="Malgun Gothic"/>
          <w:bCs/>
          <w:lang w:val="fr-FR"/>
        </w:rPr>
        <w:t>un élément proposé satisfait à tous les critères, à savoir</w:t>
      </w:r>
      <w:r w:rsidR="00B13AA0">
        <w:rPr>
          <w:rFonts w:eastAsia="Malgun Gothic"/>
          <w:bCs/>
          <w:lang w:val="fr-FR"/>
        </w:rPr>
        <w:t> </w:t>
      </w:r>
      <w:r w:rsidRPr="00CE787A">
        <w:rPr>
          <w:rFonts w:eastAsia="Malgun Gothic"/>
          <w:bCs/>
          <w:lang w:val="fr-FR"/>
        </w:rPr>
        <w:t>U.1,</w:t>
      </w:r>
      <w:r w:rsidR="00B13AA0">
        <w:rPr>
          <w:rFonts w:eastAsia="Malgun Gothic"/>
          <w:bCs/>
          <w:lang w:val="fr-FR"/>
        </w:rPr>
        <w:t> </w:t>
      </w:r>
      <w:r w:rsidRPr="00CE787A">
        <w:rPr>
          <w:rFonts w:eastAsia="Malgun Gothic"/>
          <w:bCs/>
          <w:lang w:val="fr-FR"/>
        </w:rPr>
        <w:t>U.2,</w:t>
      </w:r>
      <w:r w:rsidR="00B13AA0">
        <w:rPr>
          <w:rFonts w:eastAsia="Malgun Gothic"/>
          <w:bCs/>
          <w:lang w:val="fr-FR"/>
        </w:rPr>
        <w:t> </w:t>
      </w:r>
      <w:r w:rsidRPr="00CE787A">
        <w:rPr>
          <w:rFonts w:eastAsia="Malgun Gothic"/>
          <w:bCs/>
          <w:lang w:val="fr-FR"/>
        </w:rPr>
        <w:t>U.3,</w:t>
      </w:r>
      <w:r w:rsidR="00B13AA0">
        <w:rPr>
          <w:rFonts w:eastAsia="Malgun Gothic"/>
          <w:bCs/>
          <w:lang w:val="fr-FR"/>
        </w:rPr>
        <w:t> </w:t>
      </w:r>
      <w:r w:rsidRPr="00CE787A">
        <w:rPr>
          <w:rFonts w:eastAsia="Malgun Gothic"/>
          <w:bCs/>
          <w:lang w:val="fr-FR"/>
        </w:rPr>
        <w:t>U.4 et</w:t>
      </w:r>
      <w:r w:rsidR="00B13AA0">
        <w:rPr>
          <w:rFonts w:eastAsia="Malgun Gothic"/>
          <w:bCs/>
          <w:lang w:val="fr-FR"/>
        </w:rPr>
        <w:t> </w:t>
      </w:r>
      <w:r w:rsidRPr="00CE787A">
        <w:rPr>
          <w:rFonts w:eastAsia="Malgun Gothic"/>
          <w:bCs/>
          <w:lang w:val="fr-FR"/>
        </w:rPr>
        <w:t xml:space="preserve">U.5. </w:t>
      </w:r>
      <w:r w:rsidR="009F296C">
        <w:rPr>
          <w:rFonts w:eastAsia="Malgun Gothic"/>
          <w:bCs/>
          <w:lang w:val="fr-FR"/>
        </w:rPr>
        <w:t>Le critère</w:t>
      </w:r>
      <w:r w:rsidR="006260A9">
        <w:rPr>
          <w:rFonts w:eastAsia="Malgun Gothic"/>
          <w:bCs/>
          <w:lang w:val="fr-FR"/>
        </w:rPr>
        <w:t> </w:t>
      </w:r>
      <w:r w:rsidRPr="00CE787A">
        <w:rPr>
          <w:rFonts w:eastAsia="Malgun Gothic"/>
          <w:bCs/>
          <w:lang w:val="fr-FR"/>
        </w:rPr>
        <w:t>U.6</w:t>
      </w:r>
      <w:r w:rsidR="009F296C">
        <w:rPr>
          <w:rFonts w:eastAsia="Malgun Gothic"/>
          <w:bCs/>
          <w:lang w:val="fr-FR"/>
        </w:rPr>
        <w:t xml:space="preserve"> s</w:t>
      </w:r>
      <w:r w:rsidR="00923E72">
        <w:rPr>
          <w:rFonts w:eastAsia="Malgun Gothic"/>
          <w:bCs/>
          <w:lang w:val="fr-FR"/>
        </w:rPr>
        <w:t>’</w:t>
      </w:r>
      <w:r w:rsidR="009F296C">
        <w:rPr>
          <w:rFonts w:eastAsia="Malgun Gothic"/>
          <w:bCs/>
          <w:lang w:val="fr-FR"/>
        </w:rPr>
        <w:t>applique</w:t>
      </w:r>
      <w:r w:rsidRPr="00CE787A">
        <w:rPr>
          <w:rFonts w:eastAsia="Malgun Gothic"/>
          <w:bCs/>
          <w:lang w:val="fr-FR"/>
        </w:rPr>
        <w:t xml:space="preserve"> pour les cas particuliers, mais il n</w:t>
      </w:r>
      <w:r w:rsidR="00923E72">
        <w:rPr>
          <w:rFonts w:eastAsia="Malgun Gothic"/>
          <w:bCs/>
          <w:lang w:val="fr-FR"/>
        </w:rPr>
        <w:t>’</w:t>
      </w:r>
      <w:r w:rsidRPr="00CE787A">
        <w:rPr>
          <w:rFonts w:eastAsia="Malgun Gothic"/>
          <w:bCs/>
          <w:lang w:val="fr-FR"/>
        </w:rPr>
        <w:t xml:space="preserve">a pas été </w:t>
      </w:r>
      <w:r>
        <w:rPr>
          <w:rFonts w:eastAsia="Malgun Gothic"/>
          <w:bCs/>
          <w:lang w:val="fr-FR"/>
        </w:rPr>
        <w:t xml:space="preserve">pris en </w:t>
      </w:r>
      <w:r w:rsidRPr="00CE787A">
        <w:rPr>
          <w:rFonts w:eastAsia="Malgun Gothic"/>
          <w:bCs/>
          <w:lang w:val="fr-FR"/>
        </w:rPr>
        <w:t>considération</w:t>
      </w:r>
      <w:r>
        <w:rPr>
          <w:rFonts w:eastAsia="Malgun Gothic"/>
          <w:bCs/>
          <w:lang w:val="fr-FR"/>
        </w:rPr>
        <w:t xml:space="preserve"> </w:t>
      </w:r>
      <w:r w:rsidRPr="00CE787A">
        <w:rPr>
          <w:rFonts w:eastAsia="Malgun Gothic"/>
          <w:bCs/>
          <w:lang w:val="fr-FR"/>
        </w:rPr>
        <w:t>lors de cette session.</w:t>
      </w:r>
    </w:p>
    <w:p w14:paraId="450ADB88" w14:textId="74864616" w:rsidR="00CE787A" w:rsidRDefault="00CE787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est passé à l</w:t>
      </w:r>
      <w:r w:rsidR="00923E72">
        <w:rPr>
          <w:rFonts w:eastAsia="Malgun Gothic"/>
          <w:bCs/>
          <w:lang w:val="fr-FR"/>
        </w:rPr>
        <w:t>’</w:t>
      </w:r>
      <w:r>
        <w:rPr>
          <w:rFonts w:eastAsia="Malgun Gothic"/>
          <w:bCs/>
          <w:lang w:val="fr-FR"/>
        </w:rPr>
        <w:t>examen des dossiers individuels et a invité le Président de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 xml:space="preserve">évaluation à présenter la première </w:t>
      </w:r>
      <w:r w:rsidRPr="00CE787A">
        <w:rPr>
          <w:rFonts w:eastAsia="Malgun Gothic"/>
          <w:bCs/>
          <w:lang w:val="fr-FR"/>
        </w:rPr>
        <w:t>candidature</w:t>
      </w:r>
      <w:r>
        <w:rPr>
          <w:rFonts w:eastAsia="Malgun Gothic"/>
          <w:bCs/>
          <w:lang w:val="fr-FR"/>
        </w:rPr>
        <w:t>.</w:t>
      </w:r>
    </w:p>
    <w:p w14:paraId="036D1A78" w14:textId="77DDC586" w:rsidR="00CE787A" w:rsidRDefault="00CE787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E787A">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 xml:space="preserve">évaluation, </w:t>
      </w:r>
      <w:r w:rsidRPr="006E3034">
        <w:rPr>
          <w:rFonts w:eastAsia="Malgun Gothic"/>
          <w:bCs/>
          <w:lang w:val="fr-FR"/>
        </w:rPr>
        <w:t>M.</w:t>
      </w:r>
      <w:r w:rsidR="006260A9" w:rsidRPr="006E3034">
        <w:rPr>
          <w:rFonts w:eastAsia="Malgun Gothic"/>
          <w:bCs/>
          <w:lang w:val="fr-FR"/>
        </w:rPr>
        <w:t> </w:t>
      </w:r>
      <w:r w:rsidRPr="006E3034">
        <w:rPr>
          <w:rFonts w:eastAsia="Malgun Gothic"/>
          <w:bCs/>
          <w:lang w:val="fr-FR"/>
        </w:rPr>
        <w:t>Pier Luigi Petrillo</w:t>
      </w:r>
      <w:r w:rsidRPr="00CE787A">
        <w:rPr>
          <w:rFonts w:eastAsia="Malgun Gothic"/>
          <w:bCs/>
          <w:lang w:val="fr-FR"/>
        </w:rPr>
        <w:t xml:space="preserve">, a présenté le premier dossier de candidature, </w:t>
      </w:r>
      <w:r w:rsidRPr="00702497">
        <w:rPr>
          <w:rFonts w:eastAsia="Malgun Gothic"/>
          <w:b/>
          <w:lang w:val="fr-FR"/>
        </w:rPr>
        <w:t xml:space="preserve">la poterie de </w:t>
      </w:r>
      <w:proofErr w:type="spellStart"/>
      <w:r w:rsidRPr="00702497">
        <w:rPr>
          <w:rFonts w:eastAsia="Malgun Gothic"/>
          <w:b/>
          <w:lang w:val="fr-FR"/>
        </w:rPr>
        <w:t>Quinchamalí</w:t>
      </w:r>
      <w:proofErr w:type="spellEnd"/>
      <w:r w:rsidRPr="00702497">
        <w:rPr>
          <w:rFonts w:eastAsia="Malgun Gothic"/>
          <w:b/>
          <w:lang w:val="fr-FR"/>
        </w:rPr>
        <w:t xml:space="preserve"> et Santa Cruz de </w:t>
      </w:r>
      <w:proofErr w:type="spellStart"/>
      <w:r w:rsidRPr="00702497">
        <w:rPr>
          <w:rFonts w:eastAsia="Malgun Gothic"/>
          <w:b/>
          <w:lang w:val="fr-FR"/>
        </w:rPr>
        <w:t>Cuca</w:t>
      </w:r>
      <w:proofErr w:type="spellEnd"/>
      <w:r w:rsidRPr="00CE787A">
        <w:rPr>
          <w:rFonts w:eastAsia="Malgun Gothic"/>
          <w:bCs/>
          <w:lang w:val="fr-FR"/>
        </w:rPr>
        <w:t xml:space="preserve"> [projet de décision</w:t>
      </w:r>
      <w:r w:rsidR="006260A9">
        <w:rPr>
          <w:rFonts w:eastAsia="Malgun Gothic"/>
          <w:bCs/>
          <w:lang w:val="fr-FR"/>
        </w:rPr>
        <w:t> </w:t>
      </w:r>
      <w:r w:rsidRPr="00CE787A">
        <w:rPr>
          <w:rFonts w:eastAsia="Malgun Gothic"/>
          <w:bCs/>
          <w:lang w:val="fr-FR"/>
        </w:rPr>
        <w:t xml:space="preserve">7.a.1], soumis par le </w:t>
      </w:r>
      <w:r w:rsidRPr="00702497">
        <w:rPr>
          <w:rFonts w:eastAsia="Malgun Gothic"/>
          <w:b/>
          <w:lang w:val="fr-FR"/>
        </w:rPr>
        <w:t>Chili</w:t>
      </w:r>
      <w:r w:rsidR="00A17DE3">
        <w:rPr>
          <w:rFonts w:eastAsia="Malgun Gothic"/>
          <w:bCs/>
          <w:lang w:val="fr-FR"/>
        </w:rPr>
        <w:t xml:space="preserve">, expliquant que </w:t>
      </w:r>
      <w:r w:rsidRPr="00CE787A">
        <w:rPr>
          <w:rFonts w:eastAsia="Malgun Gothic"/>
          <w:bCs/>
          <w:lang w:val="fr-FR"/>
        </w:rPr>
        <w:t>l</w:t>
      </w:r>
      <w:r w:rsidR="00923E72">
        <w:rPr>
          <w:rFonts w:eastAsia="Malgun Gothic"/>
          <w:bCs/>
          <w:lang w:val="fr-FR"/>
        </w:rPr>
        <w:t>’</w:t>
      </w:r>
      <w:r w:rsidRPr="00CE787A">
        <w:rPr>
          <w:rFonts w:eastAsia="Malgun Gothic"/>
          <w:bCs/>
          <w:lang w:val="fr-FR"/>
        </w:rPr>
        <w:t>élément</w:t>
      </w:r>
      <w:r w:rsidR="00DB76F7">
        <w:rPr>
          <w:rFonts w:eastAsia="Malgun Gothic"/>
          <w:bCs/>
          <w:lang w:val="fr-FR"/>
        </w:rPr>
        <w:t xml:space="preserve"> </w:t>
      </w:r>
      <w:r w:rsidR="00A17DE3">
        <w:rPr>
          <w:rFonts w:eastAsia="Malgun Gothic"/>
          <w:bCs/>
          <w:lang w:val="fr-FR"/>
        </w:rPr>
        <w:t xml:space="preserve">est </w:t>
      </w:r>
      <w:r w:rsidR="00DB76F7" w:rsidRPr="00DB76F7">
        <w:rPr>
          <w:rFonts w:eastAsia="Malgun Gothic"/>
          <w:bCs/>
          <w:lang w:val="fr-FR"/>
        </w:rPr>
        <w:t>représentati</w:t>
      </w:r>
      <w:r w:rsidR="00DB76F7">
        <w:rPr>
          <w:rFonts w:eastAsia="Malgun Gothic"/>
          <w:bCs/>
          <w:lang w:val="fr-FR"/>
        </w:rPr>
        <w:t xml:space="preserve">f </w:t>
      </w:r>
      <w:r w:rsidRPr="00CE787A">
        <w:rPr>
          <w:rFonts w:eastAsia="Malgun Gothic"/>
          <w:bCs/>
          <w:lang w:val="fr-FR"/>
        </w:rPr>
        <w:t>d</w:t>
      </w:r>
      <w:r w:rsidR="00DB76F7">
        <w:rPr>
          <w:rFonts w:eastAsia="Malgun Gothic"/>
          <w:bCs/>
          <w:lang w:val="fr-FR"/>
        </w:rPr>
        <w:t>e</w:t>
      </w:r>
      <w:r w:rsidRPr="00CE787A">
        <w:rPr>
          <w:rFonts w:eastAsia="Malgun Gothic"/>
          <w:bCs/>
          <w:lang w:val="fr-FR"/>
        </w:rPr>
        <w:t xml:space="preserve"> la tradition culturelle métisse du centre du Chili et se caractérise par des </w:t>
      </w:r>
      <w:r w:rsidR="00DB76F7">
        <w:rPr>
          <w:rFonts w:eastAsia="Malgun Gothic"/>
          <w:bCs/>
          <w:lang w:val="fr-FR"/>
        </w:rPr>
        <w:t xml:space="preserve">pièces noires </w:t>
      </w:r>
      <w:r w:rsidRPr="00CE787A">
        <w:rPr>
          <w:rFonts w:eastAsia="Malgun Gothic"/>
          <w:bCs/>
          <w:lang w:val="fr-FR"/>
        </w:rPr>
        <w:t>fonctionnel</w:t>
      </w:r>
      <w:r w:rsidR="00DB76F7">
        <w:rPr>
          <w:rFonts w:eastAsia="Malgun Gothic"/>
          <w:bCs/>
          <w:lang w:val="fr-FR"/>
        </w:rPr>
        <w:t>le</w:t>
      </w:r>
      <w:r w:rsidRPr="00CE787A">
        <w:rPr>
          <w:rFonts w:eastAsia="Malgun Gothic"/>
          <w:bCs/>
          <w:lang w:val="fr-FR"/>
        </w:rPr>
        <w:t>s et décorati</w:t>
      </w:r>
      <w:r w:rsidR="00DB76F7">
        <w:rPr>
          <w:rFonts w:eastAsia="Malgun Gothic"/>
          <w:bCs/>
          <w:lang w:val="fr-FR"/>
        </w:rPr>
        <w:t>ve</w:t>
      </w:r>
      <w:r w:rsidRPr="00CE787A">
        <w:rPr>
          <w:rFonts w:eastAsia="Malgun Gothic"/>
          <w:bCs/>
          <w:lang w:val="fr-FR"/>
        </w:rPr>
        <w:t xml:space="preserve">s </w:t>
      </w:r>
      <w:r w:rsidR="00DB76F7">
        <w:rPr>
          <w:rFonts w:eastAsia="Malgun Gothic"/>
          <w:bCs/>
          <w:lang w:val="fr-FR"/>
        </w:rPr>
        <w:t xml:space="preserve">portant des motifs </w:t>
      </w:r>
      <w:r w:rsidRPr="00CE787A">
        <w:rPr>
          <w:rFonts w:eastAsia="Malgun Gothic"/>
          <w:bCs/>
          <w:lang w:val="fr-FR"/>
        </w:rPr>
        <w:t>blancs</w:t>
      </w:r>
      <w:r w:rsidR="00DB76F7">
        <w:rPr>
          <w:rFonts w:eastAsia="Malgun Gothic"/>
          <w:bCs/>
          <w:lang w:val="fr-FR"/>
        </w:rPr>
        <w:t>, fabriquées</w:t>
      </w:r>
      <w:r w:rsidRPr="00CE787A">
        <w:rPr>
          <w:rFonts w:eastAsia="Malgun Gothic"/>
          <w:bCs/>
          <w:lang w:val="fr-FR"/>
        </w:rPr>
        <w:t xml:space="preserve"> </w:t>
      </w:r>
      <w:r w:rsidR="00DB76F7">
        <w:rPr>
          <w:rFonts w:eastAsia="Malgun Gothic"/>
          <w:bCs/>
          <w:lang w:val="fr-FR"/>
        </w:rPr>
        <w:t>à l</w:t>
      </w:r>
      <w:r w:rsidR="00923E72">
        <w:rPr>
          <w:rFonts w:eastAsia="Malgun Gothic"/>
          <w:bCs/>
          <w:lang w:val="fr-FR"/>
        </w:rPr>
        <w:t>’</w:t>
      </w:r>
      <w:r w:rsidR="00DB76F7">
        <w:rPr>
          <w:rFonts w:eastAsia="Malgun Gothic"/>
          <w:bCs/>
          <w:lang w:val="fr-FR"/>
        </w:rPr>
        <w:t xml:space="preserve">aide </w:t>
      </w:r>
      <w:r w:rsidRPr="00CE787A">
        <w:rPr>
          <w:rFonts w:eastAsia="Malgun Gothic"/>
          <w:bCs/>
          <w:lang w:val="fr-FR"/>
        </w:rPr>
        <w:t xml:space="preserve">de techniques </w:t>
      </w:r>
      <w:r w:rsidR="00DB76F7">
        <w:rPr>
          <w:rFonts w:eastAsia="Malgun Gothic"/>
          <w:bCs/>
          <w:lang w:val="fr-FR"/>
        </w:rPr>
        <w:t xml:space="preserve">qui perdurent </w:t>
      </w:r>
      <w:r w:rsidRPr="00CE787A">
        <w:rPr>
          <w:rFonts w:eastAsia="Malgun Gothic"/>
          <w:bCs/>
          <w:lang w:val="fr-FR"/>
        </w:rPr>
        <w:t>de</w:t>
      </w:r>
      <w:r w:rsidR="00DB76F7">
        <w:rPr>
          <w:rFonts w:eastAsia="Malgun Gothic"/>
          <w:bCs/>
          <w:lang w:val="fr-FR"/>
        </w:rPr>
        <w:t>puis des</w:t>
      </w:r>
      <w:r w:rsidRPr="00CE787A">
        <w:rPr>
          <w:rFonts w:eastAsia="Malgun Gothic"/>
          <w:bCs/>
          <w:lang w:val="fr-FR"/>
        </w:rPr>
        <w:t xml:space="preserve"> siècles</w:t>
      </w:r>
      <w:r w:rsidR="00DB76F7">
        <w:rPr>
          <w:rFonts w:eastAsia="Malgun Gothic"/>
          <w:bCs/>
          <w:lang w:val="fr-FR"/>
        </w:rPr>
        <w:t>,</w:t>
      </w:r>
      <w:r w:rsidRPr="00CE787A">
        <w:rPr>
          <w:rFonts w:eastAsia="Malgun Gothic"/>
          <w:bCs/>
          <w:lang w:val="fr-FR"/>
        </w:rPr>
        <w:t xml:space="preserve"> </w:t>
      </w:r>
      <w:r w:rsidR="00DB76F7">
        <w:rPr>
          <w:rFonts w:eastAsia="Malgun Gothic"/>
          <w:bCs/>
          <w:lang w:val="fr-FR"/>
        </w:rPr>
        <w:t xml:space="preserve">avec une </w:t>
      </w:r>
      <w:r w:rsidRPr="00CE787A">
        <w:rPr>
          <w:rFonts w:eastAsia="Malgun Gothic"/>
          <w:bCs/>
          <w:lang w:val="fr-FR"/>
        </w:rPr>
        <w:t xml:space="preserve">production </w:t>
      </w:r>
      <w:r w:rsidR="00B13AA0">
        <w:rPr>
          <w:rFonts w:eastAsia="Malgun Gothic"/>
          <w:bCs/>
          <w:lang w:val="fr-FR"/>
        </w:rPr>
        <w:t xml:space="preserve">en </w:t>
      </w:r>
      <w:r w:rsidRPr="00CE787A">
        <w:rPr>
          <w:rFonts w:eastAsia="Malgun Gothic"/>
          <w:bCs/>
          <w:lang w:val="fr-FR"/>
        </w:rPr>
        <w:t xml:space="preserve">plusieurs étapes, de la collecte des matières premières argileuses à la production et à la finition des produits. </w:t>
      </w:r>
      <w:r w:rsidR="00DB76F7">
        <w:rPr>
          <w:rFonts w:eastAsia="Malgun Gothic"/>
          <w:bCs/>
          <w:lang w:val="fr-FR"/>
        </w:rPr>
        <w:t>Il a précisé que l</w:t>
      </w:r>
      <w:r w:rsidR="00923E72">
        <w:rPr>
          <w:rFonts w:eastAsia="Malgun Gothic"/>
          <w:bCs/>
          <w:lang w:val="fr-FR"/>
        </w:rPr>
        <w:t>’</w:t>
      </w:r>
      <w:r w:rsidR="00DB76F7">
        <w:rPr>
          <w:rFonts w:eastAsia="Malgun Gothic"/>
          <w:bCs/>
          <w:lang w:val="fr-FR"/>
        </w:rPr>
        <w:t>élément est une s</w:t>
      </w:r>
      <w:r w:rsidRPr="00CE787A">
        <w:rPr>
          <w:rFonts w:eastAsia="Malgun Gothic"/>
          <w:bCs/>
          <w:lang w:val="fr-FR"/>
        </w:rPr>
        <w:t>ource d</w:t>
      </w:r>
      <w:r w:rsidR="00923E72">
        <w:rPr>
          <w:rFonts w:eastAsia="Malgun Gothic"/>
          <w:bCs/>
          <w:lang w:val="fr-FR"/>
        </w:rPr>
        <w:t>’</w:t>
      </w:r>
      <w:r w:rsidRPr="00CE787A">
        <w:rPr>
          <w:rFonts w:eastAsia="Malgun Gothic"/>
          <w:bCs/>
          <w:lang w:val="fr-FR"/>
        </w:rPr>
        <w:t>autonomie sociale et économique, cette pratique soulign</w:t>
      </w:r>
      <w:r w:rsidR="00DB76F7">
        <w:rPr>
          <w:rFonts w:eastAsia="Malgun Gothic"/>
          <w:bCs/>
          <w:lang w:val="fr-FR"/>
        </w:rPr>
        <w:t>ant</w:t>
      </w:r>
      <w:r w:rsidRPr="00CE787A">
        <w:rPr>
          <w:rFonts w:eastAsia="Malgun Gothic"/>
          <w:bCs/>
          <w:lang w:val="fr-FR"/>
        </w:rPr>
        <w:t xml:space="preserve"> le rôle non subordonné des femmes dans les relations entre les sexes. L</w:t>
      </w:r>
      <w:r w:rsidR="00923E72">
        <w:rPr>
          <w:rFonts w:eastAsia="Malgun Gothic"/>
          <w:bCs/>
          <w:lang w:val="fr-FR"/>
        </w:rPr>
        <w:t>’</w:t>
      </w:r>
      <w:r w:rsidRPr="00CE787A">
        <w:rPr>
          <w:rFonts w:eastAsia="Malgun Gothic"/>
          <w:bCs/>
          <w:lang w:val="fr-FR"/>
        </w:rPr>
        <w:t>Organe d</w:t>
      </w:r>
      <w:r w:rsidR="00923E72">
        <w:rPr>
          <w:rFonts w:eastAsia="Malgun Gothic"/>
          <w:bCs/>
          <w:lang w:val="fr-FR"/>
        </w:rPr>
        <w:t>’</w:t>
      </w:r>
      <w:r w:rsidRPr="00CE787A">
        <w:rPr>
          <w:rFonts w:eastAsia="Malgun Gothic"/>
          <w:bCs/>
          <w:lang w:val="fr-FR"/>
        </w:rPr>
        <w:t>évaluatio</w:t>
      </w:r>
      <w:r w:rsidR="00DB76F7">
        <w:rPr>
          <w:rFonts w:eastAsia="Malgun Gothic"/>
          <w:bCs/>
          <w:lang w:val="fr-FR"/>
        </w:rPr>
        <w:t>n avait</w:t>
      </w:r>
      <w:r w:rsidRPr="00CE787A">
        <w:rPr>
          <w:rFonts w:eastAsia="Malgun Gothic"/>
          <w:bCs/>
          <w:lang w:val="fr-FR"/>
        </w:rPr>
        <w:t xml:space="preserve"> considéré que la candidature satisfaisait aux cinq critères. Le dossier expliquait les différentes menaces qui pèsent sur l</w:t>
      </w:r>
      <w:r w:rsidR="00923E72">
        <w:rPr>
          <w:rFonts w:eastAsia="Malgun Gothic"/>
          <w:bCs/>
          <w:lang w:val="fr-FR"/>
        </w:rPr>
        <w:t>’</w:t>
      </w:r>
      <w:r w:rsidRPr="00CE787A">
        <w:rPr>
          <w:rFonts w:eastAsia="Malgun Gothic"/>
          <w:bCs/>
          <w:lang w:val="fr-FR"/>
        </w:rPr>
        <w:t>élément, décrivant en particulier trois facteurs de risque qui soulignent la nécessité d</w:t>
      </w:r>
      <w:r w:rsidR="00923E72">
        <w:rPr>
          <w:rFonts w:eastAsia="Malgun Gothic"/>
          <w:bCs/>
          <w:lang w:val="fr-FR"/>
        </w:rPr>
        <w:t>’</w:t>
      </w:r>
      <w:r w:rsidRPr="00CE787A">
        <w:rPr>
          <w:rFonts w:eastAsia="Malgun Gothic"/>
          <w:bCs/>
          <w:lang w:val="fr-FR"/>
        </w:rPr>
        <w:t>une sauvegarde urgente</w:t>
      </w:r>
      <w:r w:rsidR="00B13AA0">
        <w:rPr>
          <w:rFonts w:eastAsia="Malgun Gothic"/>
          <w:bCs/>
          <w:lang w:val="fr-FR"/>
        </w:rPr>
        <w:t> ;</w:t>
      </w:r>
      <w:r w:rsidRPr="00CE787A">
        <w:rPr>
          <w:rFonts w:eastAsia="Malgun Gothic"/>
          <w:bCs/>
          <w:lang w:val="fr-FR"/>
        </w:rPr>
        <w:t xml:space="preserve"> et le plan de sauvegarde proposé était clair. Cependant, le dossier soulign</w:t>
      </w:r>
      <w:r w:rsidR="00DB76F7">
        <w:rPr>
          <w:rFonts w:eastAsia="Malgun Gothic"/>
          <w:bCs/>
          <w:lang w:val="fr-FR"/>
        </w:rPr>
        <w:t>ait</w:t>
      </w:r>
      <w:r w:rsidRPr="00CE787A">
        <w:rPr>
          <w:rFonts w:eastAsia="Malgun Gothic"/>
          <w:bCs/>
          <w:lang w:val="fr-FR"/>
        </w:rPr>
        <w:t xml:space="preserve"> que l</w:t>
      </w:r>
      <w:r w:rsidR="00923E72">
        <w:rPr>
          <w:rFonts w:eastAsia="Malgun Gothic"/>
          <w:bCs/>
          <w:lang w:val="fr-FR"/>
        </w:rPr>
        <w:t>’</w:t>
      </w:r>
      <w:r w:rsidRPr="00CE787A">
        <w:rPr>
          <w:rFonts w:eastAsia="Malgun Gothic"/>
          <w:bCs/>
          <w:lang w:val="fr-FR"/>
        </w:rPr>
        <w:t xml:space="preserve">un des principaux problèmes </w:t>
      </w:r>
      <w:r w:rsidR="006260A9">
        <w:rPr>
          <w:rFonts w:eastAsia="Malgun Gothic"/>
          <w:bCs/>
          <w:lang w:val="fr-FR"/>
        </w:rPr>
        <w:t xml:space="preserve">était </w:t>
      </w:r>
      <w:r w:rsidRPr="00CE787A">
        <w:rPr>
          <w:rFonts w:eastAsia="Malgun Gothic"/>
          <w:bCs/>
          <w:lang w:val="fr-FR"/>
        </w:rPr>
        <w:t>le manque de protection juridique de la production liée à la propriété intellectuelle. À cet égard, l</w:t>
      </w:r>
      <w:r w:rsidR="00923E72">
        <w:rPr>
          <w:rFonts w:eastAsia="Malgun Gothic"/>
          <w:bCs/>
          <w:lang w:val="fr-FR"/>
        </w:rPr>
        <w:t>’</w:t>
      </w:r>
      <w:r w:rsidRPr="00CE787A">
        <w:rPr>
          <w:rFonts w:eastAsia="Malgun Gothic"/>
          <w:bCs/>
          <w:lang w:val="fr-FR"/>
        </w:rPr>
        <w:t>Organe rappel</w:t>
      </w:r>
      <w:r w:rsidR="006260A9">
        <w:rPr>
          <w:rFonts w:eastAsia="Malgun Gothic"/>
          <w:bCs/>
          <w:lang w:val="fr-FR"/>
        </w:rPr>
        <w:t>ait</w:t>
      </w:r>
      <w:r w:rsidRPr="00CE787A">
        <w:rPr>
          <w:rFonts w:eastAsia="Malgun Gothic"/>
          <w:bCs/>
          <w:lang w:val="fr-FR"/>
        </w:rPr>
        <w:t xml:space="preserve"> que l</w:t>
      </w:r>
      <w:r w:rsidR="00923E72">
        <w:rPr>
          <w:rFonts w:eastAsia="Malgun Gothic"/>
          <w:bCs/>
          <w:lang w:val="fr-FR"/>
        </w:rPr>
        <w:t>’</w:t>
      </w:r>
      <w:r w:rsidRPr="00CE787A">
        <w:rPr>
          <w:rFonts w:eastAsia="Malgun Gothic"/>
          <w:bCs/>
          <w:lang w:val="fr-FR"/>
        </w:rPr>
        <w:t xml:space="preserve">inscription sur la Liste de sauvegarde urgente ne </w:t>
      </w:r>
      <w:r w:rsidR="00B13AA0">
        <w:rPr>
          <w:rFonts w:eastAsia="Malgun Gothic"/>
          <w:bCs/>
          <w:lang w:val="fr-FR"/>
        </w:rPr>
        <w:t>fait pas mention d</w:t>
      </w:r>
      <w:r w:rsidRPr="00CE787A">
        <w:rPr>
          <w:rFonts w:eastAsia="Malgun Gothic"/>
          <w:bCs/>
          <w:lang w:val="fr-FR"/>
        </w:rPr>
        <w:t>es droits de propriété intellectuelle. En conclusion, l</w:t>
      </w:r>
      <w:r w:rsidR="00923E72">
        <w:rPr>
          <w:rFonts w:eastAsia="Malgun Gothic"/>
          <w:bCs/>
          <w:lang w:val="fr-FR"/>
        </w:rPr>
        <w:t>’</w:t>
      </w:r>
      <w:r w:rsidRPr="00CE787A">
        <w:rPr>
          <w:rFonts w:eastAsia="Malgun Gothic"/>
          <w:bCs/>
          <w:lang w:val="fr-FR"/>
        </w:rPr>
        <w:t>Organe d</w:t>
      </w:r>
      <w:r w:rsidR="00923E72">
        <w:rPr>
          <w:rFonts w:eastAsia="Malgun Gothic"/>
          <w:bCs/>
          <w:lang w:val="fr-FR"/>
        </w:rPr>
        <w:t>’</w:t>
      </w:r>
      <w:r w:rsidRPr="00CE787A">
        <w:rPr>
          <w:rFonts w:eastAsia="Malgun Gothic"/>
          <w:bCs/>
          <w:lang w:val="fr-FR"/>
        </w:rPr>
        <w:t>évaluation</w:t>
      </w:r>
      <w:r w:rsidR="00DB76F7">
        <w:rPr>
          <w:rFonts w:eastAsia="Malgun Gothic"/>
          <w:bCs/>
          <w:lang w:val="fr-FR"/>
        </w:rPr>
        <w:t xml:space="preserve"> </w:t>
      </w:r>
      <w:r w:rsidRPr="00CE787A">
        <w:rPr>
          <w:rFonts w:eastAsia="Malgun Gothic"/>
          <w:bCs/>
          <w:lang w:val="fr-FR"/>
        </w:rPr>
        <w:t>recommandait l</w:t>
      </w:r>
      <w:r w:rsidR="00923E72">
        <w:rPr>
          <w:rFonts w:eastAsia="Malgun Gothic"/>
          <w:bCs/>
          <w:lang w:val="fr-FR"/>
        </w:rPr>
        <w:t>’</w:t>
      </w:r>
      <w:r w:rsidRPr="00CE787A">
        <w:rPr>
          <w:rFonts w:eastAsia="Malgun Gothic"/>
          <w:bCs/>
          <w:lang w:val="fr-FR"/>
        </w:rPr>
        <w:t>inscription sur la Liste de sauvegarde urgente.</w:t>
      </w:r>
    </w:p>
    <w:p w14:paraId="7D0C5660" w14:textId="069516F8" w:rsidR="00DB76F7" w:rsidRPr="00702497" w:rsidRDefault="00DB76F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702497">
        <w:rPr>
          <w:rFonts w:eastAsia="Malgun Gothic"/>
          <w:b/>
          <w:lang w:val="fr-FR"/>
        </w:rPr>
        <w:t>Président</w:t>
      </w:r>
      <w:r>
        <w:rPr>
          <w:rFonts w:eastAsia="Malgun Gothic"/>
          <w:bCs/>
          <w:lang w:val="fr-FR"/>
        </w:rPr>
        <w:t xml:space="preserve"> est </w:t>
      </w:r>
      <w:r w:rsidR="00BC178F">
        <w:rPr>
          <w:rFonts w:eastAsia="Malgun Gothic"/>
          <w:bCs/>
          <w:lang w:val="fr-FR"/>
        </w:rPr>
        <w:t xml:space="preserve">donc </w:t>
      </w:r>
      <w:r>
        <w:rPr>
          <w:rFonts w:eastAsia="Malgun Gothic"/>
          <w:bCs/>
          <w:lang w:val="fr-FR"/>
        </w:rPr>
        <w:t>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w:t>
      </w:r>
      <w:r w:rsidR="00D65A60">
        <w:rPr>
          <w:rFonts w:eastAsia="Malgun Gothic"/>
          <w:bCs/>
          <w:lang w:val="fr-FR"/>
        </w:rPr>
        <w:t>l</w:t>
      </w:r>
      <w:r>
        <w:rPr>
          <w:rFonts w:eastAsia="Malgun Gothic"/>
          <w:bCs/>
          <w:lang w:val="fr-FR"/>
        </w:rPr>
        <w:t xml:space="preserve">e </w:t>
      </w:r>
      <w:r w:rsidRPr="00702497">
        <w:rPr>
          <w:rFonts w:eastAsia="Malgun Gothic"/>
          <w:b/>
          <w:lang w:val="fr-FR"/>
        </w:rPr>
        <w:t xml:space="preserve">Président a déclaré adoptée </w:t>
      </w:r>
      <w:r w:rsidRPr="00702497">
        <w:rPr>
          <w:rFonts w:eastAsia="Malgun Gothic"/>
          <w:b/>
          <w:lang w:val="fr-FR"/>
        </w:rPr>
        <w:lastRenderedPageBreak/>
        <w:t>la décision</w:t>
      </w:r>
      <w:r w:rsidR="006260A9">
        <w:rPr>
          <w:rFonts w:eastAsia="Malgun Gothic"/>
          <w:bCs/>
          <w:lang w:val="fr-FR"/>
        </w:rPr>
        <w:t> </w:t>
      </w:r>
      <w:r w:rsidR="00751FB1">
        <w:fldChar w:fldCharType="begin"/>
      </w:r>
      <w:r w:rsidR="00751FB1" w:rsidRPr="00751FB1">
        <w:rPr>
          <w:lang w:val="fr-FR"/>
        </w:rPr>
        <w:instrText>HYPERLINK "https://ich.unesco.org/fr/Decisions/17.COM/7.a.1"</w:instrText>
      </w:r>
      <w:r w:rsidR="00751FB1">
        <w:fldChar w:fldCharType="separate"/>
      </w:r>
      <w:r w:rsidRPr="00702497">
        <w:rPr>
          <w:rStyle w:val="Hyperlink"/>
          <w:b/>
          <w:bCs/>
          <w:lang w:val="fr-FR"/>
        </w:rPr>
        <w:t>17.COM</w:t>
      </w:r>
      <w:r w:rsidR="00770EBC" w:rsidRPr="00702497">
        <w:rPr>
          <w:rStyle w:val="Hyperlink"/>
          <w:b/>
          <w:bCs/>
          <w:lang w:val="fr-FR"/>
        </w:rPr>
        <w:t> </w:t>
      </w:r>
      <w:r w:rsidRPr="00702497">
        <w:rPr>
          <w:rStyle w:val="Hyperlink"/>
          <w:b/>
          <w:bCs/>
          <w:lang w:val="fr-FR"/>
        </w:rPr>
        <w:t>7.a.1</w:t>
      </w:r>
      <w:r w:rsidR="00751FB1">
        <w:rPr>
          <w:rStyle w:val="Hyperlink"/>
          <w:b/>
          <w:bCs/>
          <w:lang w:val="fr-FR"/>
        </w:rPr>
        <w:fldChar w:fldCharType="end"/>
      </w:r>
      <w:r>
        <w:rPr>
          <w:rFonts w:eastAsia="Malgun Gothic"/>
          <w:bCs/>
          <w:lang w:val="fr-FR"/>
        </w:rPr>
        <w:t xml:space="preserve"> </w:t>
      </w:r>
      <w:r w:rsidRPr="00702497">
        <w:rPr>
          <w:rFonts w:eastAsia="Malgun Gothic"/>
          <w:b/>
          <w:lang w:val="fr-FR"/>
        </w:rPr>
        <w:t>d</w:t>
      </w:r>
      <w:r w:rsidR="00923E72">
        <w:rPr>
          <w:rFonts w:eastAsia="Malgun Gothic"/>
          <w:b/>
          <w:lang w:val="fr-FR"/>
        </w:rPr>
        <w:t>’</w:t>
      </w:r>
      <w:r w:rsidRPr="00702497">
        <w:rPr>
          <w:rFonts w:eastAsia="Malgun Gothic"/>
          <w:b/>
          <w:lang w:val="fr-FR"/>
        </w:rPr>
        <w:t xml:space="preserve">inscrire </w:t>
      </w:r>
      <w:r w:rsidRPr="00AE6A00">
        <w:rPr>
          <w:rFonts w:eastAsia="Malgun Gothic"/>
          <w:b/>
          <w:lang w:val="fr-FR"/>
        </w:rPr>
        <w:t xml:space="preserve">la poterie de </w:t>
      </w:r>
      <w:proofErr w:type="spellStart"/>
      <w:r w:rsidRPr="00AE6A00">
        <w:rPr>
          <w:rFonts w:eastAsia="Malgun Gothic"/>
          <w:b/>
          <w:lang w:val="fr-FR"/>
        </w:rPr>
        <w:t>Quinchamalí</w:t>
      </w:r>
      <w:proofErr w:type="spellEnd"/>
      <w:r w:rsidRPr="00AE6A00">
        <w:rPr>
          <w:rFonts w:eastAsia="Malgun Gothic"/>
          <w:b/>
          <w:lang w:val="fr-FR"/>
        </w:rPr>
        <w:t xml:space="preserve"> et Santa Cruz de </w:t>
      </w:r>
      <w:proofErr w:type="spellStart"/>
      <w:r w:rsidRPr="00AE6A00">
        <w:rPr>
          <w:rFonts w:eastAsia="Malgun Gothic"/>
          <w:b/>
          <w:lang w:val="fr-FR"/>
        </w:rPr>
        <w:t>Cuca</w:t>
      </w:r>
      <w:proofErr w:type="spellEnd"/>
      <w:r>
        <w:rPr>
          <w:rFonts w:eastAsia="Malgun Gothic"/>
          <w:b/>
          <w:lang w:val="fr-FR"/>
        </w:rPr>
        <w:t xml:space="preserve"> sur la Liste de sauvegarde urgente.</w:t>
      </w:r>
    </w:p>
    <w:p w14:paraId="1934C08E" w14:textId="005F2856" w:rsidR="00DB76F7" w:rsidRDefault="00770EB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70EBC">
        <w:rPr>
          <w:rFonts w:eastAsia="Malgun Gothic"/>
          <w:bCs/>
          <w:lang w:val="fr-FR"/>
        </w:rPr>
        <w:t xml:space="preserve">La délégation du </w:t>
      </w:r>
      <w:r w:rsidRPr="00702497">
        <w:rPr>
          <w:rFonts w:eastAsia="Malgun Gothic"/>
          <w:b/>
          <w:lang w:val="fr-FR"/>
        </w:rPr>
        <w:t>Chili</w:t>
      </w:r>
      <w:r w:rsidRPr="00770EBC">
        <w:rPr>
          <w:rFonts w:eastAsia="Malgun Gothic"/>
          <w:bCs/>
          <w:lang w:val="fr-FR"/>
        </w:rPr>
        <w:t xml:space="preserve"> a remercié le Maroc pour son hospitalité et a fait part de s</w:t>
      </w:r>
      <w:r w:rsidR="00B13AA0">
        <w:rPr>
          <w:rFonts w:eastAsia="Malgun Gothic"/>
          <w:bCs/>
          <w:lang w:val="fr-FR"/>
        </w:rPr>
        <w:t>a</w:t>
      </w:r>
      <w:r w:rsidRPr="00770EBC">
        <w:rPr>
          <w:rFonts w:eastAsia="Malgun Gothic"/>
          <w:bCs/>
          <w:lang w:val="fr-FR"/>
        </w:rPr>
        <w:t xml:space="preserve"> reconnaissance</w:t>
      </w:r>
      <w:r>
        <w:rPr>
          <w:rFonts w:eastAsia="Malgun Gothic"/>
          <w:bCs/>
          <w:lang w:val="fr-FR"/>
        </w:rPr>
        <w:t xml:space="preserve"> </w:t>
      </w:r>
      <w:r w:rsidRPr="00770EBC">
        <w:rPr>
          <w:rFonts w:eastAsia="Malgun Gothic"/>
          <w:bCs/>
          <w:lang w:val="fr-FR"/>
        </w:rPr>
        <w:t>et de ses remerciements au Comité pour la candidature et l</w:t>
      </w:r>
      <w:r w:rsidR="00923E72">
        <w:rPr>
          <w:rFonts w:eastAsia="Malgun Gothic"/>
          <w:bCs/>
          <w:lang w:val="fr-FR"/>
        </w:rPr>
        <w:t>’</w:t>
      </w:r>
      <w:r w:rsidRPr="00770EBC">
        <w:rPr>
          <w:rFonts w:eastAsia="Malgun Gothic"/>
          <w:bCs/>
          <w:lang w:val="fr-FR"/>
        </w:rPr>
        <w:t xml:space="preserve">inscription de la poterie de </w:t>
      </w:r>
      <w:proofErr w:type="spellStart"/>
      <w:r w:rsidRPr="00770EBC">
        <w:rPr>
          <w:rFonts w:eastAsia="Malgun Gothic"/>
          <w:bCs/>
          <w:lang w:val="fr-FR"/>
        </w:rPr>
        <w:t>Quinchamalí</w:t>
      </w:r>
      <w:proofErr w:type="spellEnd"/>
      <w:r w:rsidRPr="00770EBC">
        <w:rPr>
          <w:rFonts w:eastAsia="Malgun Gothic"/>
          <w:bCs/>
          <w:lang w:val="fr-FR"/>
        </w:rPr>
        <w:t xml:space="preserve"> et Santa Cruz de </w:t>
      </w:r>
      <w:proofErr w:type="spellStart"/>
      <w:r w:rsidRPr="00770EBC">
        <w:rPr>
          <w:rFonts w:eastAsia="Malgun Gothic"/>
          <w:bCs/>
          <w:lang w:val="fr-FR"/>
        </w:rPr>
        <w:t>Cuca</w:t>
      </w:r>
      <w:proofErr w:type="spellEnd"/>
      <w:r w:rsidRPr="00770EBC">
        <w:rPr>
          <w:rFonts w:eastAsia="Malgun Gothic"/>
          <w:bCs/>
          <w:lang w:val="fr-FR"/>
        </w:rPr>
        <w:t xml:space="preserve"> sur la Liste de sauvegarde urgente</w:t>
      </w:r>
      <w:r w:rsidR="00B13AA0">
        <w:rPr>
          <w:rFonts w:eastAsia="Malgun Gothic"/>
          <w:bCs/>
          <w:lang w:val="fr-FR"/>
        </w:rPr>
        <w:t>,</w:t>
      </w:r>
      <w:r w:rsidRPr="00770EBC">
        <w:rPr>
          <w:rFonts w:eastAsia="Malgun Gothic"/>
          <w:bCs/>
          <w:lang w:val="fr-FR"/>
        </w:rPr>
        <w:t xml:space="preserve"> qui profiterait à la région de </w:t>
      </w:r>
      <w:proofErr w:type="spellStart"/>
      <w:r w:rsidRPr="00770EBC">
        <w:rPr>
          <w:rFonts w:eastAsia="Malgun Gothic"/>
          <w:bCs/>
          <w:lang w:val="fr-FR"/>
        </w:rPr>
        <w:t>Quinchamalí</w:t>
      </w:r>
      <w:proofErr w:type="spellEnd"/>
      <w:r w:rsidRPr="00770EBC">
        <w:rPr>
          <w:rFonts w:eastAsia="Malgun Gothic"/>
          <w:bCs/>
          <w:lang w:val="fr-FR"/>
        </w:rPr>
        <w:t xml:space="preserve"> et Santa Cruz de </w:t>
      </w:r>
      <w:proofErr w:type="spellStart"/>
      <w:r w:rsidRPr="00770EBC">
        <w:rPr>
          <w:rFonts w:eastAsia="Malgun Gothic"/>
          <w:bCs/>
          <w:lang w:val="fr-FR"/>
        </w:rPr>
        <w:t>Cuca</w:t>
      </w:r>
      <w:proofErr w:type="spellEnd"/>
      <w:r w:rsidRPr="00770EBC">
        <w:rPr>
          <w:rFonts w:eastAsia="Malgun Gothic"/>
          <w:bCs/>
          <w:lang w:val="fr-FR"/>
        </w:rPr>
        <w:t>. Depuis plus de deux siècles, les artisans développaient ces techniques de poterie noire et blanche. Il s</w:t>
      </w:r>
      <w:r w:rsidR="00923E72">
        <w:rPr>
          <w:rFonts w:eastAsia="Malgun Gothic"/>
          <w:bCs/>
          <w:lang w:val="fr-FR"/>
        </w:rPr>
        <w:t>’</w:t>
      </w:r>
      <w:r w:rsidRPr="00770EBC">
        <w:rPr>
          <w:rFonts w:eastAsia="Malgun Gothic"/>
          <w:bCs/>
          <w:lang w:val="fr-FR"/>
        </w:rPr>
        <w:t>ag</w:t>
      </w:r>
      <w:r>
        <w:rPr>
          <w:rFonts w:eastAsia="Malgun Gothic"/>
          <w:bCs/>
          <w:lang w:val="fr-FR"/>
        </w:rPr>
        <w:t>i</w:t>
      </w:r>
      <w:r w:rsidRPr="00770EBC">
        <w:rPr>
          <w:rFonts w:eastAsia="Malgun Gothic"/>
          <w:bCs/>
          <w:lang w:val="fr-FR"/>
        </w:rPr>
        <w:t>ssait d</w:t>
      </w:r>
      <w:r w:rsidR="00923E72">
        <w:rPr>
          <w:rFonts w:eastAsia="Malgun Gothic"/>
          <w:bCs/>
          <w:lang w:val="fr-FR"/>
        </w:rPr>
        <w:t>’</w:t>
      </w:r>
      <w:r w:rsidRPr="00770EBC">
        <w:rPr>
          <w:rFonts w:eastAsia="Malgun Gothic"/>
          <w:bCs/>
          <w:lang w:val="fr-FR"/>
        </w:rPr>
        <w:t>une technique qui faisait depuis longtemps partie du patrimoine culturel du Chili et qui était transmise de génération en génération de manière ininterrompue jusqu</w:t>
      </w:r>
      <w:r w:rsidR="00923E72">
        <w:rPr>
          <w:rFonts w:eastAsia="Malgun Gothic"/>
          <w:bCs/>
          <w:lang w:val="fr-FR"/>
        </w:rPr>
        <w:t>’</w:t>
      </w:r>
      <w:r w:rsidRPr="00770EBC">
        <w:rPr>
          <w:rFonts w:eastAsia="Malgun Gothic"/>
          <w:bCs/>
          <w:lang w:val="fr-FR"/>
        </w:rPr>
        <w:t xml:space="preserve">à notre époque. </w:t>
      </w:r>
      <w:r w:rsidR="00B13AA0">
        <w:rPr>
          <w:rFonts w:eastAsia="Malgun Gothic"/>
          <w:bCs/>
          <w:lang w:val="fr-FR"/>
        </w:rPr>
        <w:t xml:space="preserve">Ces </w:t>
      </w:r>
      <w:r w:rsidRPr="00770EBC">
        <w:rPr>
          <w:rFonts w:eastAsia="Malgun Gothic"/>
          <w:bCs/>
          <w:lang w:val="fr-FR"/>
        </w:rPr>
        <w:t>objets</w:t>
      </w:r>
      <w:r w:rsidR="00B13AA0">
        <w:rPr>
          <w:rFonts w:eastAsia="Malgun Gothic"/>
          <w:bCs/>
          <w:lang w:val="fr-FR"/>
        </w:rPr>
        <w:t>,</w:t>
      </w:r>
      <w:r w:rsidRPr="00770EBC">
        <w:rPr>
          <w:rFonts w:eastAsia="Malgun Gothic"/>
          <w:bCs/>
          <w:lang w:val="fr-FR"/>
        </w:rPr>
        <w:t xml:space="preserve"> à la fois ornementaux et utiles, </w:t>
      </w:r>
      <w:r w:rsidR="00B13AA0">
        <w:rPr>
          <w:rFonts w:eastAsia="Malgun Gothic"/>
          <w:bCs/>
          <w:lang w:val="fr-FR"/>
        </w:rPr>
        <w:t>étaient f</w:t>
      </w:r>
      <w:r w:rsidRPr="00770EBC">
        <w:rPr>
          <w:rFonts w:eastAsia="Malgun Gothic"/>
          <w:bCs/>
          <w:lang w:val="fr-FR"/>
        </w:rPr>
        <w:t>abriqués par des artisans. Les formes féminines de la jeune fille portant la guitare et de la travailleuse des champs étaient stylisées. Les protagonistes de cette forme d</w:t>
      </w:r>
      <w:r w:rsidR="00923E72">
        <w:rPr>
          <w:rFonts w:eastAsia="Malgun Gothic"/>
          <w:bCs/>
          <w:lang w:val="fr-FR"/>
        </w:rPr>
        <w:t>’</w:t>
      </w:r>
      <w:r w:rsidRPr="00770EBC">
        <w:rPr>
          <w:rFonts w:eastAsia="Malgun Gothic"/>
          <w:bCs/>
          <w:lang w:val="fr-FR"/>
        </w:rPr>
        <w:t>art étaient au cœur de la vie rurale. En outre, les rôles de genre étaient respectés. Pour que la tradition de cette poterie se perpétue, il était important d</w:t>
      </w:r>
      <w:r w:rsidR="00923E72">
        <w:rPr>
          <w:rFonts w:eastAsia="Malgun Gothic"/>
          <w:bCs/>
          <w:lang w:val="fr-FR"/>
        </w:rPr>
        <w:t>’</w:t>
      </w:r>
      <w:r w:rsidRPr="00770EBC">
        <w:rPr>
          <w:rFonts w:eastAsia="Malgun Gothic"/>
          <w:bCs/>
          <w:lang w:val="fr-FR"/>
        </w:rPr>
        <w:t>attirer la jeune génération. Cependant, le maintien de cette tradition nécessiterait une mobilisation et une coopération à différents niveaux afin d</w:t>
      </w:r>
      <w:r w:rsidR="00923E72">
        <w:rPr>
          <w:rFonts w:eastAsia="Malgun Gothic"/>
          <w:bCs/>
          <w:lang w:val="fr-FR"/>
        </w:rPr>
        <w:t>’</w:t>
      </w:r>
      <w:r w:rsidRPr="00770EBC">
        <w:rPr>
          <w:rFonts w:eastAsia="Malgun Gothic"/>
          <w:bCs/>
          <w:lang w:val="fr-FR"/>
        </w:rPr>
        <w:t xml:space="preserve">assurer la transmission future. Les autorités culturelles de </w:t>
      </w:r>
      <w:proofErr w:type="spellStart"/>
      <w:r w:rsidRPr="00770EBC">
        <w:rPr>
          <w:rFonts w:eastAsia="Malgun Gothic"/>
          <w:bCs/>
          <w:lang w:val="fr-FR"/>
        </w:rPr>
        <w:t>Quinchamalí</w:t>
      </w:r>
      <w:proofErr w:type="spellEnd"/>
      <w:r w:rsidRPr="00770EBC">
        <w:rPr>
          <w:rFonts w:eastAsia="Malgun Gothic"/>
          <w:bCs/>
          <w:lang w:val="fr-FR"/>
        </w:rPr>
        <w:t xml:space="preserve"> et de Santa Cruz de </w:t>
      </w:r>
      <w:proofErr w:type="spellStart"/>
      <w:r w:rsidRPr="00770EBC">
        <w:rPr>
          <w:rFonts w:eastAsia="Malgun Gothic"/>
          <w:bCs/>
          <w:lang w:val="fr-FR"/>
        </w:rPr>
        <w:t>Cuca</w:t>
      </w:r>
      <w:proofErr w:type="spellEnd"/>
      <w:r w:rsidRPr="00770EBC">
        <w:rPr>
          <w:rFonts w:eastAsia="Malgun Gothic"/>
          <w:bCs/>
          <w:lang w:val="fr-FR"/>
        </w:rPr>
        <w:t xml:space="preserve"> ont adressé leurs remerciements pour cette reconnaissance.</w:t>
      </w:r>
      <w:r>
        <w:rPr>
          <w:rFonts w:eastAsia="Malgun Gothic"/>
          <w:bCs/>
          <w:lang w:val="fr-FR"/>
        </w:rPr>
        <w:t xml:space="preserve"> </w:t>
      </w:r>
      <w:r w:rsidR="00B13AA0">
        <w:rPr>
          <w:rFonts w:eastAsia="Malgun Gothic"/>
          <w:bCs/>
          <w:lang w:val="fr-FR"/>
        </w:rPr>
        <w:t>La réussite de c</w:t>
      </w:r>
      <w:r w:rsidRPr="00770EBC">
        <w:rPr>
          <w:rFonts w:eastAsia="Malgun Gothic"/>
          <w:bCs/>
          <w:lang w:val="fr-FR"/>
        </w:rPr>
        <w:t>ette inscription a</w:t>
      </w:r>
      <w:r w:rsidR="00A17DE3">
        <w:rPr>
          <w:rFonts w:eastAsia="Malgun Gothic"/>
          <w:bCs/>
          <w:lang w:val="fr-FR"/>
        </w:rPr>
        <w:t>vait été rendue possible</w:t>
      </w:r>
      <w:r w:rsidRPr="00770EBC">
        <w:rPr>
          <w:rFonts w:eastAsia="Malgun Gothic"/>
          <w:bCs/>
          <w:lang w:val="fr-FR"/>
        </w:rPr>
        <w:t xml:space="preserve"> grâce à ce </w:t>
      </w:r>
      <w:r w:rsidR="00B13AA0">
        <w:rPr>
          <w:rFonts w:eastAsia="Malgun Gothic"/>
          <w:bCs/>
          <w:lang w:val="fr-FR"/>
        </w:rPr>
        <w:t xml:space="preserve">haut </w:t>
      </w:r>
      <w:r w:rsidRPr="00770EBC">
        <w:rPr>
          <w:rFonts w:eastAsia="Malgun Gothic"/>
          <w:bCs/>
          <w:lang w:val="fr-FR"/>
        </w:rPr>
        <w:t>niveau de coopération.</w:t>
      </w:r>
    </w:p>
    <w:p w14:paraId="3B567722" w14:textId="52B6D1B6" w:rsidR="00A17DE3" w:rsidRDefault="00A17DE3"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17DE3">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A17DE3">
        <w:rPr>
          <w:rFonts w:eastAsia="Malgun Gothic"/>
          <w:bCs/>
          <w:lang w:val="fr-FR"/>
        </w:rPr>
        <w:t xml:space="preserve"> a présenté le dossier de candidature suivant, </w:t>
      </w:r>
      <w:r w:rsidRPr="00702497">
        <w:rPr>
          <w:rFonts w:eastAsia="Malgun Gothic"/>
          <w:b/>
          <w:lang w:val="fr-FR"/>
        </w:rPr>
        <w:t>le travail traditionnel de la pierre d</w:t>
      </w:r>
      <w:r w:rsidR="00923E72">
        <w:rPr>
          <w:rFonts w:eastAsia="Malgun Gothic"/>
          <w:b/>
          <w:lang w:val="fr-FR"/>
        </w:rPr>
        <w:t>’</w:t>
      </w:r>
      <w:proofErr w:type="spellStart"/>
      <w:r w:rsidRPr="00702497">
        <w:rPr>
          <w:rFonts w:eastAsia="Malgun Gothic"/>
          <w:b/>
          <w:lang w:val="fr-FR"/>
        </w:rPr>
        <w:t>Ahlat</w:t>
      </w:r>
      <w:proofErr w:type="spellEnd"/>
      <w:r w:rsidRPr="00702497">
        <w:rPr>
          <w:rFonts w:eastAsia="Malgun Gothic"/>
          <w:b/>
          <w:lang w:val="fr-FR"/>
        </w:rPr>
        <w:t xml:space="preserve"> </w:t>
      </w:r>
      <w:r w:rsidRPr="00A17DE3">
        <w:rPr>
          <w:rFonts w:eastAsia="Malgun Gothic"/>
          <w:bCs/>
          <w:lang w:val="fr-FR"/>
        </w:rPr>
        <w:t>[projet de décision</w:t>
      </w:r>
      <w:r w:rsidR="006260A9">
        <w:rPr>
          <w:rFonts w:eastAsia="Malgun Gothic"/>
          <w:bCs/>
          <w:lang w:val="fr-FR"/>
        </w:rPr>
        <w:t> </w:t>
      </w:r>
      <w:r w:rsidRPr="00A17DE3">
        <w:rPr>
          <w:rFonts w:eastAsia="Malgun Gothic"/>
          <w:bCs/>
          <w:lang w:val="fr-FR"/>
        </w:rPr>
        <w:t>7.a.2]</w:t>
      </w:r>
      <w:r w:rsidR="006260A9">
        <w:rPr>
          <w:rFonts w:eastAsia="Malgun Gothic"/>
          <w:bCs/>
          <w:lang w:val="fr-FR"/>
        </w:rPr>
        <w:t>,</w:t>
      </w:r>
      <w:r w:rsidRPr="00A17DE3">
        <w:rPr>
          <w:rFonts w:eastAsia="Malgun Gothic"/>
          <w:bCs/>
          <w:lang w:val="fr-FR"/>
        </w:rPr>
        <w:t xml:space="preserve"> soumis par la </w:t>
      </w:r>
      <w:r w:rsidR="001B3FDB" w:rsidRPr="001B3FDB">
        <w:rPr>
          <w:rFonts w:eastAsia="Malgun Gothic"/>
          <w:b/>
          <w:lang w:val="fr-FR"/>
        </w:rPr>
        <w:t>Türkiye</w:t>
      </w:r>
      <w:r w:rsidRPr="00A17DE3">
        <w:rPr>
          <w:rFonts w:eastAsia="Malgun Gothic"/>
          <w:bCs/>
          <w:lang w:val="fr-FR"/>
        </w:rPr>
        <w:t>, expliquant que le travail traditionnel de la pierre d</w:t>
      </w:r>
      <w:r w:rsidR="00923E72">
        <w:rPr>
          <w:rFonts w:eastAsia="Malgun Gothic"/>
          <w:bCs/>
          <w:lang w:val="fr-FR"/>
        </w:rPr>
        <w:t>’</w:t>
      </w:r>
      <w:proofErr w:type="spellStart"/>
      <w:r w:rsidRPr="00A17DE3">
        <w:rPr>
          <w:rFonts w:eastAsia="Malgun Gothic"/>
          <w:bCs/>
          <w:lang w:val="fr-FR"/>
        </w:rPr>
        <w:t>Ahlat</w:t>
      </w:r>
      <w:proofErr w:type="spellEnd"/>
      <w:r w:rsidRPr="00A17DE3">
        <w:rPr>
          <w:rFonts w:eastAsia="Malgun Gothic"/>
          <w:bCs/>
          <w:lang w:val="fr-FR"/>
        </w:rPr>
        <w:t xml:space="preserve"> </w:t>
      </w:r>
      <w:r>
        <w:rPr>
          <w:rFonts w:eastAsia="Malgun Gothic"/>
          <w:bCs/>
          <w:lang w:val="fr-FR"/>
        </w:rPr>
        <w:t xml:space="preserve">englobe les </w:t>
      </w:r>
      <w:r w:rsidRPr="00A17DE3">
        <w:rPr>
          <w:rFonts w:eastAsia="Malgun Gothic"/>
          <w:bCs/>
          <w:lang w:val="fr-FR"/>
        </w:rPr>
        <w:t xml:space="preserve">connaissances, </w:t>
      </w:r>
      <w:r>
        <w:rPr>
          <w:rFonts w:eastAsia="Malgun Gothic"/>
          <w:bCs/>
          <w:lang w:val="fr-FR"/>
        </w:rPr>
        <w:t>les</w:t>
      </w:r>
      <w:r w:rsidRPr="00A17DE3">
        <w:rPr>
          <w:rFonts w:eastAsia="Malgun Gothic"/>
          <w:bCs/>
          <w:lang w:val="fr-FR"/>
        </w:rPr>
        <w:t xml:space="preserve"> méthodes, </w:t>
      </w:r>
      <w:r>
        <w:rPr>
          <w:rFonts w:eastAsia="Malgun Gothic"/>
          <w:bCs/>
          <w:lang w:val="fr-FR"/>
        </w:rPr>
        <w:t xml:space="preserve">le </w:t>
      </w:r>
      <w:r w:rsidRPr="00A17DE3">
        <w:rPr>
          <w:rFonts w:eastAsia="Malgun Gothic"/>
          <w:bCs/>
          <w:lang w:val="fr-FR"/>
        </w:rPr>
        <w:t>savoir-faire</w:t>
      </w:r>
      <w:r>
        <w:rPr>
          <w:rFonts w:eastAsia="Malgun Gothic"/>
          <w:bCs/>
          <w:lang w:val="fr-FR"/>
        </w:rPr>
        <w:t xml:space="preserve"> </w:t>
      </w:r>
      <w:r w:rsidRPr="00A17DE3">
        <w:rPr>
          <w:rFonts w:eastAsia="Malgun Gothic"/>
          <w:bCs/>
          <w:lang w:val="fr-FR"/>
        </w:rPr>
        <w:t xml:space="preserve">et la compréhension esthétique </w:t>
      </w:r>
      <w:r>
        <w:rPr>
          <w:rFonts w:eastAsia="Malgun Gothic"/>
          <w:bCs/>
          <w:lang w:val="fr-FR"/>
        </w:rPr>
        <w:t xml:space="preserve">concernant </w:t>
      </w:r>
      <w:r w:rsidRPr="00A17DE3">
        <w:rPr>
          <w:rFonts w:eastAsia="Malgun Gothic"/>
          <w:bCs/>
          <w:lang w:val="fr-FR"/>
        </w:rPr>
        <w:t>l</w:t>
      </w:r>
      <w:r w:rsidR="00923E72">
        <w:rPr>
          <w:rFonts w:eastAsia="Malgun Gothic"/>
          <w:bCs/>
          <w:lang w:val="fr-FR"/>
        </w:rPr>
        <w:t>’</w:t>
      </w:r>
      <w:r w:rsidRPr="00A17DE3">
        <w:rPr>
          <w:rFonts w:eastAsia="Malgun Gothic"/>
          <w:bCs/>
          <w:lang w:val="fr-FR"/>
        </w:rPr>
        <w:t>extraction de</w:t>
      </w:r>
      <w:r>
        <w:rPr>
          <w:rFonts w:eastAsia="Malgun Gothic"/>
          <w:bCs/>
          <w:lang w:val="fr-FR"/>
        </w:rPr>
        <w:t xml:space="preserve"> la</w:t>
      </w:r>
      <w:r w:rsidRPr="00A17DE3">
        <w:rPr>
          <w:rFonts w:eastAsia="Malgun Gothic"/>
          <w:bCs/>
          <w:lang w:val="fr-FR"/>
        </w:rPr>
        <w:t xml:space="preserve"> pierre volcanique d</w:t>
      </w:r>
      <w:r w:rsidR="00923E72">
        <w:rPr>
          <w:rFonts w:eastAsia="Malgun Gothic"/>
          <w:bCs/>
          <w:lang w:val="fr-FR"/>
        </w:rPr>
        <w:t>’</w:t>
      </w:r>
      <w:proofErr w:type="spellStart"/>
      <w:r w:rsidRPr="00A17DE3">
        <w:rPr>
          <w:rFonts w:eastAsia="Malgun Gothic"/>
          <w:bCs/>
          <w:lang w:val="fr-FR"/>
        </w:rPr>
        <w:t>Ahlat</w:t>
      </w:r>
      <w:proofErr w:type="spellEnd"/>
      <w:r>
        <w:rPr>
          <w:rFonts w:eastAsia="Malgun Gothic"/>
          <w:bCs/>
          <w:lang w:val="fr-FR"/>
        </w:rPr>
        <w:t xml:space="preserve">, </w:t>
      </w:r>
      <w:r w:rsidRPr="00A17DE3">
        <w:rPr>
          <w:rFonts w:eastAsia="Malgun Gothic"/>
          <w:bCs/>
          <w:lang w:val="fr-FR"/>
        </w:rPr>
        <w:t xml:space="preserve">le façonnage et </w:t>
      </w:r>
      <w:r>
        <w:rPr>
          <w:rFonts w:eastAsia="Malgun Gothic"/>
          <w:bCs/>
          <w:lang w:val="fr-FR"/>
        </w:rPr>
        <w:t xml:space="preserve">la gravure </w:t>
      </w:r>
      <w:r w:rsidRPr="00A17DE3">
        <w:rPr>
          <w:rFonts w:eastAsia="Malgun Gothic"/>
          <w:bCs/>
          <w:lang w:val="fr-FR"/>
        </w:rPr>
        <w:t>des pierres</w:t>
      </w:r>
      <w:r>
        <w:rPr>
          <w:rFonts w:eastAsia="Malgun Gothic"/>
          <w:bCs/>
          <w:lang w:val="fr-FR"/>
        </w:rPr>
        <w:t>,</w:t>
      </w:r>
      <w:r w:rsidRPr="00A17DE3">
        <w:rPr>
          <w:rFonts w:eastAsia="Malgun Gothic"/>
          <w:bCs/>
          <w:lang w:val="fr-FR"/>
        </w:rPr>
        <w:t xml:space="preserve"> et que </w:t>
      </w:r>
      <w:r w:rsidR="006260A9">
        <w:rPr>
          <w:rFonts w:eastAsia="Malgun Gothic"/>
          <w:bCs/>
          <w:lang w:val="fr-FR"/>
        </w:rPr>
        <w:t xml:space="preserve">ce </w:t>
      </w:r>
      <w:r w:rsidRPr="00A17DE3">
        <w:rPr>
          <w:rFonts w:eastAsia="Malgun Gothic"/>
          <w:bCs/>
          <w:lang w:val="fr-FR"/>
        </w:rPr>
        <w:t>travail traditionnel implique également la construction de structures et la création d</w:t>
      </w:r>
      <w:r w:rsidR="00923E72">
        <w:rPr>
          <w:rFonts w:eastAsia="Malgun Gothic"/>
          <w:bCs/>
          <w:lang w:val="fr-FR"/>
        </w:rPr>
        <w:t>’</w:t>
      </w:r>
      <w:r w:rsidRPr="00A17DE3">
        <w:rPr>
          <w:rFonts w:eastAsia="Malgun Gothic"/>
          <w:bCs/>
          <w:lang w:val="fr-FR"/>
        </w:rPr>
        <w:t xml:space="preserve">artefacts. Il a précisé que ses détenteurs et praticiens </w:t>
      </w:r>
      <w:r w:rsidR="001B3FDB">
        <w:rPr>
          <w:rFonts w:eastAsia="Malgun Gothic"/>
          <w:bCs/>
          <w:lang w:val="fr-FR"/>
        </w:rPr>
        <w:t xml:space="preserve">sont </w:t>
      </w:r>
      <w:r w:rsidRPr="00A17DE3">
        <w:rPr>
          <w:rFonts w:eastAsia="Malgun Gothic"/>
          <w:bCs/>
          <w:lang w:val="fr-FR"/>
        </w:rPr>
        <w:t>les mineurs</w:t>
      </w:r>
      <w:r w:rsidR="001B3FDB">
        <w:rPr>
          <w:rFonts w:eastAsia="Malgun Gothic"/>
          <w:bCs/>
          <w:lang w:val="fr-FR"/>
        </w:rPr>
        <w:t xml:space="preserve">, </w:t>
      </w:r>
      <w:r w:rsidR="00DB69BB">
        <w:rPr>
          <w:rFonts w:eastAsia="Malgun Gothic"/>
          <w:bCs/>
          <w:lang w:val="fr-FR"/>
        </w:rPr>
        <w:t xml:space="preserve">les </w:t>
      </w:r>
      <w:r w:rsidRPr="00A17DE3">
        <w:rPr>
          <w:rFonts w:eastAsia="Malgun Gothic"/>
          <w:bCs/>
          <w:lang w:val="fr-FR"/>
        </w:rPr>
        <w:t xml:space="preserve">sculpteurs </w:t>
      </w:r>
      <w:r w:rsidR="001B3FDB">
        <w:rPr>
          <w:rFonts w:eastAsia="Malgun Gothic"/>
          <w:bCs/>
          <w:lang w:val="fr-FR"/>
        </w:rPr>
        <w:t xml:space="preserve">et </w:t>
      </w:r>
      <w:r w:rsidR="00DB69BB">
        <w:rPr>
          <w:rFonts w:eastAsia="Malgun Gothic"/>
          <w:bCs/>
          <w:lang w:val="fr-FR"/>
        </w:rPr>
        <w:t xml:space="preserve">les </w:t>
      </w:r>
      <w:r w:rsidRPr="00A17DE3">
        <w:rPr>
          <w:rFonts w:eastAsia="Malgun Gothic"/>
          <w:bCs/>
          <w:lang w:val="fr-FR"/>
        </w:rPr>
        <w:t xml:space="preserve">tailleurs de pierre </w:t>
      </w:r>
      <w:r w:rsidR="00DB69BB">
        <w:rPr>
          <w:rFonts w:eastAsia="Malgun Gothic"/>
          <w:bCs/>
          <w:lang w:val="fr-FR"/>
        </w:rPr>
        <w:t>ainsi que</w:t>
      </w:r>
      <w:r w:rsidRPr="00A17DE3">
        <w:rPr>
          <w:rFonts w:eastAsia="Malgun Gothic"/>
          <w:bCs/>
          <w:lang w:val="fr-FR"/>
        </w:rPr>
        <w:t xml:space="preserve"> les </w:t>
      </w:r>
      <w:r w:rsidR="001B3FDB">
        <w:rPr>
          <w:rFonts w:eastAsia="Malgun Gothic"/>
          <w:bCs/>
          <w:lang w:val="fr-FR"/>
        </w:rPr>
        <w:t xml:space="preserve">dessinateurs </w:t>
      </w:r>
      <w:r w:rsidRPr="00A17DE3">
        <w:rPr>
          <w:rFonts w:eastAsia="Malgun Gothic"/>
          <w:bCs/>
          <w:lang w:val="fr-FR"/>
        </w:rPr>
        <w:t>de motifs. L</w:t>
      </w:r>
      <w:r w:rsidR="00923E72">
        <w:rPr>
          <w:rFonts w:eastAsia="Malgun Gothic"/>
          <w:bCs/>
          <w:lang w:val="fr-FR"/>
        </w:rPr>
        <w:t>’</w:t>
      </w:r>
      <w:r w:rsidRPr="00A17DE3">
        <w:rPr>
          <w:rFonts w:eastAsia="Malgun Gothic"/>
          <w:bCs/>
          <w:lang w:val="fr-FR"/>
        </w:rPr>
        <w:t>Organe d</w:t>
      </w:r>
      <w:r w:rsidR="00923E72">
        <w:rPr>
          <w:rFonts w:eastAsia="Malgun Gothic"/>
          <w:bCs/>
          <w:lang w:val="fr-FR"/>
        </w:rPr>
        <w:t>’</w:t>
      </w:r>
      <w:r w:rsidRPr="00A17DE3">
        <w:rPr>
          <w:rFonts w:eastAsia="Malgun Gothic"/>
          <w:bCs/>
          <w:lang w:val="fr-FR"/>
        </w:rPr>
        <w:t>évaluation avait estimé que la candidature satisfaisait aux cinq critères et avait vivement apprécié la candidature d</w:t>
      </w:r>
      <w:r w:rsidR="00923E72">
        <w:rPr>
          <w:rFonts w:eastAsia="Malgun Gothic"/>
          <w:bCs/>
          <w:lang w:val="fr-FR"/>
        </w:rPr>
        <w:t>’</w:t>
      </w:r>
      <w:r w:rsidRPr="00A17DE3">
        <w:rPr>
          <w:rFonts w:eastAsia="Malgun Gothic"/>
          <w:bCs/>
          <w:lang w:val="fr-FR"/>
        </w:rPr>
        <w:t>un élément qui démontre les liens étroits entre la conservation du patrimoine culturel matériel et la sauvegarde du patrimoine culturel immatériel. Le dossier de candidature expliquait clairement la nécessité d</w:t>
      </w:r>
      <w:r w:rsidR="00923E72">
        <w:rPr>
          <w:rFonts w:eastAsia="Malgun Gothic"/>
          <w:bCs/>
          <w:lang w:val="fr-FR"/>
        </w:rPr>
        <w:t>’</w:t>
      </w:r>
      <w:r w:rsidRPr="00A17DE3">
        <w:rPr>
          <w:rFonts w:eastAsia="Malgun Gothic"/>
          <w:bCs/>
          <w:lang w:val="fr-FR"/>
        </w:rPr>
        <w:t>une sauvegarde urgente, et le plan de sauvegarde était en phase avec cette situation. En conclusion, l</w:t>
      </w:r>
      <w:r w:rsidR="00923E72">
        <w:rPr>
          <w:rFonts w:eastAsia="Malgun Gothic"/>
          <w:bCs/>
          <w:lang w:val="fr-FR"/>
        </w:rPr>
        <w:t>’</w:t>
      </w:r>
      <w:r w:rsidRPr="00A17DE3">
        <w:rPr>
          <w:rFonts w:eastAsia="Malgun Gothic"/>
          <w:bCs/>
          <w:lang w:val="fr-FR"/>
        </w:rPr>
        <w:t>Organe d</w:t>
      </w:r>
      <w:r w:rsidR="00923E72">
        <w:rPr>
          <w:rFonts w:eastAsia="Malgun Gothic"/>
          <w:bCs/>
          <w:lang w:val="fr-FR"/>
        </w:rPr>
        <w:t>’</w:t>
      </w:r>
      <w:r w:rsidRPr="00A17DE3">
        <w:rPr>
          <w:rFonts w:eastAsia="Malgun Gothic"/>
          <w:bCs/>
          <w:lang w:val="fr-FR"/>
        </w:rPr>
        <w:t>évaluation recommandait l</w:t>
      </w:r>
      <w:r w:rsidR="00923E72">
        <w:rPr>
          <w:rFonts w:eastAsia="Malgun Gothic"/>
          <w:bCs/>
          <w:lang w:val="fr-FR"/>
        </w:rPr>
        <w:t>’</w:t>
      </w:r>
      <w:r w:rsidRPr="00A17DE3">
        <w:rPr>
          <w:rFonts w:eastAsia="Malgun Gothic"/>
          <w:bCs/>
          <w:lang w:val="fr-FR"/>
        </w:rPr>
        <w:t>inscription de cet élément sur la Liste de sauvegarde urgente.</w:t>
      </w:r>
    </w:p>
    <w:p w14:paraId="47DF726C" w14:textId="325F7A72" w:rsidR="001B3FDB" w:rsidRPr="00702497" w:rsidRDefault="001B3FD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w:t>
      </w:r>
      <w:r w:rsidR="00BC178F">
        <w:rPr>
          <w:rFonts w:eastAsia="Malgun Gothic"/>
          <w:bCs/>
          <w:lang w:val="fr-FR"/>
        </w:rPr>
        <w:t xml:space="preserve">donc </w:t>
      </w:r>
      <w:r>
        <w:rPr>
          <w:rFonts w:eastAsia="Malgun Gothic"/>
          <w:bCs/>
          <w:lang w:val="fr-FR"/>
        </w:rPr>
        <w:t>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w:t>
      </w:r>
      <w:r w:rsidR="00D65A60">
        <w:rPr>
          <w:rFonts w:eastAsia="Malgun Gothic"/>
          <w:bCs/>
          <w:lang w:val="fr-FR"/>
        </w:rPr>
        <w:t>l</w:t>
      </w:r>
      <w:r>
        <w:rPr>
          <w:rFonts w:eastAsia="Malgun Gothic"/>
          <w:bCs/>
          <w:lang w:val="fr-FR"/>
        </w:rPr>
        <w:t xml:space="preserve">e </w:t>
      </w:r>
      <w:r w:rsidRPr="00AE6A00">
        <w:rPr>
          <w:rFonts w:eastAsia="Malgun Gothic"/>
          <w:b/>
          <w:lang w:val="fr-FR"/>
        </w:rPr>
        <w:t>Président a déclaré adoptée la décision</w:t>
      </w:r>
      <w:r w:rsidR="006260A9">
        <w:rPr>
          <w:rFonts w:eastAsia="Malgun Gothic"/>
          <w:b/>
          <w:lang w:val="fr-FR"/>
        </w:rPr>
        <w:t> </w:t>
      </w:r>
      <w:r w:rsidR="00751FB1">
        <w:fldChar w:fldCharType="begin"/>
      </w:r>
      <w:r w:rsidR="00751FB1" w:rsidRPr="00751FB1">
        <w:rPr>
          <w:lang w:val="fr-FR"/>
        </w:rPr>
        <w:instrText>HYPERLINK "https://ich.unesco.org/fr/Decisions/17.COM/7.a.2"</w:instrText>
      </w:r>
      <w:r w:rsidR="00751FB1">
        <w:fldChar w:fldCharType="separate"/>
      </w:r>
      <w:r w:rsidRPr="00702497">
        <w:rPr>
          <w:rStyle w:val="Hyperlink"/>
          <w:b/>
          <w:bCs/>
          <w:lang w:val="fr-FR"/>
        </w:rPr>
        <w:t>17.COM 7.a.2</w:t>
      </w:r>
      <w:r w:rsidR="00751FB1">
        <w:rPr>
          <w:rStyle w:val="Hyperlink"/>
          <w:b/>
          <w:bCs/>
          <w:lang w:val="fr-FR"/>
        </w:rPr>
        <w:fldChar w:fldCharType="end"/>
      </w:r>
      <w:r w:rsidRPr="00702497">
        <w:rPr>
          <w:rStyle w:val="Hyperlink"/>
          <w:b/>
          <w:bCs/>
          <w:color w:val="auto"/>
          <w:u w:val="none"/>
          <w:lang w:val="fr-FR"/>
        </w:rPr>
        <w:t xml:space="preserve"> d</w:t>
      </w:r>
      <w:r w:rsidR="00923E72">
        <w:rPr>
          <w:rStyle w:val="Hyperlink"/>
          <w:b/>
          <w:bCs/>
          <w:color w:val="auto"/>
          <w:u w:val="none"/>
          <w:lang w:val="fr-FR"/>
        </w:rPr>
        <w:t>’</w:t>
      </w:r>
      <w:r w:rsidRPr="00702497">
        <w:rPr>
          <w:rStyle w:val="Hyperlink"/>
          <w:b/>
          <w:bCs/>
          <w:color w:val="auto"/>
          <w:u w:val="none"/>
          <w:lang w:val="fr-FR"/>
        </w:rPr>
        <w:t xml:space="preserve">inscrire </w:t>
      </w:r>
      <w:r w:rsidRPr="00AE6A00">
        <w:rPr>
          <w:rFonts w:eastAsia="Malgun Gothic"/>
          <w:b/>
          <w:lang w:val="fr-FR"/>
        </w:rPr>
        <w:t>le travail traditionnel de la pierre d</w:t>
      </w:r>
      <w:r w:rsidR="00923E72">
        <w:rPr>
          <w:rFonts w:eastAsia="Malgun Gothic"/>
          <w:b/>
          <w:lang w:val="fr-FR"/>
        </w:rPr>
        <w:t>’</w:t>
      </w:r>
      <w:proofErr w:type="spellStart"/>
      <w:r w:rsidRPr="00AE6A00">
        <w:rPr>
          <w:rFonts w:eastAsia="Malgun Gothic"/>
          <w:b/>
          <w:lang w:val="fr-FR"/>
        </w:rPr>
        <w:t>Ahlat</w:t>
      </w:r>
      <w:proofErr w:type="spellEnd"/>
      <w:r>
        <w:rPr>
          <w:rFonts w:eastAsia="Malgun Gothic"/>
          <w:b/>
          <w:lang w:val="fr-FR"/>
        </w:rPr>
        <w:t xml:space="preserve"> sur la Liste de sauvegarde urgente.</w:t>
      </w:r>
    </w:p>
    <w:p w14:paraId="755C0C92" w14:textId="65D8F1F9" w:rsidR="001B3FDB" w:rsidRDefault="001B3FD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B3FDB">
        <w:rPr>
          <w:rFonts w:eastAsia="Malgun Gothic"/>
          <w:bCs/>
          <w:lang w:val="fr-FR"/>
        </w:rPr>
        <w:t xml:space="preserve">La délégation de la </w:t>
      </w:r>
      <w:r w:rsidRPr="00702497">
        <w:rPr>
          <w:rFonts w:eastAsia="Malgun Gothic"/>
          <w:b/>
          <w:lang w:val="fr-FR"/>
        </w:rPr>
        <w:t>Türkiye</w:t>
      </w:r>
      <w:r w:rsidRPr="001B3FDB">
        <w:rPr>
          <w:rFonts w:eastAsia="Malgun Gothic"/>
          <w:bCs/>
          <w:lang w:val="fr-FR"/>
        </w:rPr>
        <w:t xml:space="preserve"> a expliqué que le travail traditionnel de la pierre d</w:t>
      </w:r>
      <w:r w:rsidR="00923E72">
        <w:rPr>
          <w:rFonts w:eastAsia="Malgun Gothic"/>
          <w:bCs/>
          <w:lang w:val="fr-FR"/>
        </w:rPr>
        <w:t>’</w:t>
      </w:r>
      <w:proofErr w:type="spellStart"/>
      <w:r w:rsidRPr="001B3FDB">
        <w:rPr>
          <w:rFonts w:eastAsia="Malgun Gothic"/>
          <w:bCs/>
          <w:lang w:val="fr-FR"/>
        </w:rPr>
        <w:t>Ahlat</w:t>
      </w:r>
      <w:proofErr w:type="spellEnd"/>
      <w:r w:rsidRPr="001B3FDB">
        <w:rPr>
          <w:rFonts w:eastAsia="Malgun Gothic"/>
          <w:bCs/>
          <w:lang w:val="fr-FR"/>
        </w:rPr>
        <w:t xml:space="preserve"> englobe les connaissances, les méthodes, le savoir-faire et la compréhension esthétique concernant l</w:t>
      </w:r>
      <w:r w:rsidR="00923E72">
        <w:rPr>
          <w:rFonts w:eastAsia="Malgun Gothic"/>
          <w:bCs/>
          <w:lang w:val="fr-FR"/>
        </w:rPr>
        <w:t>’</w:t>
      </w:r>
      <w:r w:rsidRPr="001B3FDB">
        <w:rPr>
          <w:rFonts w:eastAsia="Malgun Gothic"/>
          <w:bCs/>
          <w:lang w:val="fr-FR"/>
        </w:rPr>
        <w:t>extraction de la pierre volcanique d</w:t>
      </w:r>
      <w:r w:rsidR="00923E72">
        <w:rPr>
          <w:rFonts w:eastAsia="Malgun Gothic"/>
          <w:bCs/>
          <w:lang w:val="fr-FR"/>
        </w:rPr>
        <w:t>’</w:t>
      </w:r>
      <w:proofErr w:type="spellStart"/>
      <w:r w:rsidRPr="001B3FDB">
        <w:rPr>
          <w:rFonts w:eastAsia="Malgun Gothic"/>
          <w:bCs/>
          <w:lang w:val="fr-FR"/>
        </w:rPr>
        <w:t>Ahlat</w:t>
      </w:r>
      <w:proofErr w:type="spellEnd"/>
      <w:r w:rsidRPr="001B3FDB">
        <w:rPr>
          <w:rFonts w:eastAsia="Malgun Gothic"/>
          <w:bCs/>
          <w:lang w:val="fr-FR"/>
        </w:rPr>
        <w:t xml:space="preserve"> </w:t>
      </w:r>
      <w:r w:rsidR="00624241">
        <w:rPr>
          <w:rFonts w:eastAsia="Malgun Gothic"/>
          <w:bCs/>
          <w:lang w:val="fr-FR"/>
        </w:rPr>
        <w:t xml:space="preserve">ainsi que </w:t>
      </w:r>
      <w:r w:rsidRPr="001B3FDB">
        <w:rPr>
          <w:rFonts w:eastAsia="Malgun Gothic"/>
          <w:bCs/>
          <w:lang w:val="fr-FR"/>
        </w:rPr>
        <w:t>le façonnage et la gravure des pierres, puis leur utilisation pour créer des structures et des artefacts. Elle a précisé que la pierre d</w:t>
      </w:r>
      <w:r w:rsidR="00923E72">
        <w:rPr>
          <w:rFonts w:eastAsia="Malgun Gothic"/>
          <w:bCs/>
          <w:lang w:val="fr-FR"/>
        </w:rPr>
        <w:t>’</w:t>
      </w:r>
      <w:proofErr w:type="spellStart"/>
      <w:r w:rsidRPr="001B3FDB">
        <w:rPr>
          <w:rFonts w:eastAsia="Malgun Gothic"/>
          <w:bCs/>
          <w:lang w:val="fr-FR"/>
        </w:rPr>
        <w:t>Ahlat</w:t>
      </w:r>
      <w:proofErr w:type="spellEnd"/>
      <w:r w:rsidRPr="001B3FDB">
        <w:rPr>
          <w:rFonts w:eastAsia="Malgun Gothic"/>
          <w:bCs/>
          <w:lang w:val="fr-FR"/>
        </w:rPr>
        <w:t xml:space="preserve"> est une pierre volcanique extraite par des méthodes traditionnelles des contreforts du mont </w:t>
      </w:r>
      <w:proofErr w:type="spellStart"/>
      <w:r w:rsidRPr="001B3FDB">
        <w:rPr>
          <w:rFonts w:eastAsia="Malgun Gothic"/>
          <w:bCs/>
          <w:lang w:val="fr-FR"/>
        </w:rPr>
        <w:t>Nemrut</w:t>
      </w:r>
      <w:proofErr w:type="spellEnd"/>
      <w:r w:rsidRPr="001B3FDB">
        <w:rPr>
          <w:rFonts w:eastAsia="Malgun Gothic"/>
          <w:bCs/>
          <w:lang w:val="fr-FR"/>
        </w:rPr>
        <w:t>, situé près d</w:t>
      </w:r>
      <w:r w:rsidR="00923E72">
        <w:rPr>
          <w:rFonts w:eastAsia="Malgun Gothic"/>
          <w:bCs/>
          <w:lang w:val="fr-FR"/>
        </w:rPr>
        <w:t>’</w:t>
      </w:r>
      <w:proofErr w:type="spellStart"/>
      <w:r w:rsidRPr="001B3FDB">
        <w:rPr>
          <w:rFonts w:eastAsia="Malgun Gothic"/>
          <w:bCs/>
          <w:lang w:val="fr-FR"/>
        </w:rPr>
        <w:t>Ahlat</w:t>
      </w:r>
      <w:proofErr w:type="spellEnd"/>
      <w:r w:rsidRPr="001B3FDB">
        <w:rPr>
          <w:rFonts w:eastAsia="Malgun Gothic"/>
          <w:bCs/>
          <w:lang w:val="fr-FR"/>
        </w:rPr>
        <w:t>, un district de la province de Bitlis, et que le travail traditionnel de la pierre d</w:t>
      </w:r>
      <w:r w:rsidR="00923E72">
        <w:rPr>
          <w:rFonts w:eastAsia="Malgun Gothic"/>
          <w:bCs/>
          <w:lang w:val="fr-FR"/>
        </w:rPr>
        <w:t>’</w:t>
      </w:r>
      <w:proofErr w:type="spellStart"/>
      <w:r w:rsidRPr="001B3FDB">
        <w:rPr>
          <w:rFonts w:eastAsia="Malgun Gothic"/>
          <w:bCs/>
          <w:lang w:val="fr-FR"/>
        </w:rPr>
        <w:t>Ahlat</w:t>
      </w:r>
      <w:proofErr w:type="spellEnd"/>
      <w:r w:rsidRPr="001B3FDB">
        <w:rPr>
          <w:rFonts w:eastAsia="Malgun Gothic"/>
          <w:bCs/>
          <w:lang w:val="fr-FR"/>
        </w:rPr>
        <w:t xml:space="preserve"> revêt une grande importance pour </w:t>
      </w:r>
      <w:proofErr w:type="spellStart"/>
      <w:r w:rsidRPr="001B3FDB">
        <w:rPr>
          <w:rFonts w:eastAsia="Malgun Gothic"/>
          <w:bCs/>
          <w:lang w:val="fr-FR"/>
        </w:rPr>
        <w:t>Ahlat</w:t>
      </w:r>
      <w:proofErr w:type="spellEnd"/>
      <w:r w:rsidRPr="001B3FDB">
        <w:rPr>
          <w:rFonts w:eastAsia="Malgun Gothic"/>
          <w:bCs/>
          <w:lang w:val="fr-FR"/>
        </w:rPr>
        <w:t xml:space="preserve"> en tant qu</w:t>
      </w:r>
      <w:r w:rsidR="00923E72">
        <w:rPr>
          <w:rFonts w:eastAsia="Malgun Gothic"/>
          <w:bCs/>
          <w:lang w:val="fr-FR"/>
        </w:rPr>
        <w:t>’</w:t>
      </w:r>
      <w:r w:rsidRPr="001B3FDB">
        <w:rPr>
          <w:rFonts w:eastAsia="Malgun Gothic"/>
          <w:bCs/>
          <w:lang w:val="fr-FR"/>
        </w:rPr>
        <w:t>élément de l</w:t>
      </w:r>
      <w:r w:rsidR="00923E72">
        <w:rPr>
          <w:rFonts w:eastAsia="Malgun Gothic"/>
          <w:bCs/>
          <w:lang w:val="fr-FR"/>
        </w:rPr>
        <w:t>’</w:t>
      </w:r>
      <w:r w:rsidRPr="001B3FDB">
        <w:rPr>
          <w:rFonts w:eastAsia="Malgun Gothic"/>
          <w:bCs/>
          <w:lang w:val="fr-FR"/>
        </w:rPr>
        <w:t>identité et de l</w:t>
      </w:r>
      <w:r w:rsidR="00923E72">
        <w:rPr>
          <w:rFonts w:eastAsia="Malgun Gothic"/>
          <w:bCs/>
          <w:lang w:val="fr-FR"/>
        </w:rPr>
        <w:t>’</w:t>
      </w:r>
      <w:r w:rsidRPr="001B3FDB">
        <w:rPr>
          <w:rFonts w:eastAsia="Malgun Gothic"/>
          <w:bCs/>
          <w:lang w:val="fr-FR"/>
        </w:rPr>
        <w:t>image de la ville. Les maisons traditionnelles d</w:t>
      </w:r>
      <w:r w:rsidR="00923E72">
        <w:rPr>
          <w:rFonts w:eastAsia="Malgun Gothic"/>
          <w:bCs/>
          <w:lang w:val="fr-FR"/>
        </w:rPr>
        <w:t>’</w:t>
      </w:r>
      <w:proofErr w:type="spellStart"/>
      <w:r w:rsidRPr="001B3FDB">
        <w:rPr>
          <w:rFonts w:eastAsia="Malgun Gothic"/>
          <w:bCs/>
          <w:lang w:val="fr-FR"/>
        </w:rPr>
        <w:t>Ahlat</w:t>
      </w:r>
      <w:proofErr w:type="spellEnd"/>
      <w:r w:rsidRPr="001B3FDB">
        <w:rPr>
          <w:rFonts w:eastAsia="Malgun Gothic"/>
          <w:bCs/>
          <w:lang w:val="fr-FR"/>
        </w:rPr>
        <w:t xml:space="preserve"> construites en pierre d</w:t>
      </w:r>
      <w:r w:rsidR="00923E72">
        <w:rPr>
          <w:rFonts w:eastAsia="Malgun Gothic"/>
          <w:bCs/>
          <w:lang w:val="fr-FR"/>
        </w:rPr>
        <w:t>’</w:t>
      </w:r>
      <w:proofErr w:type="spellStart"/>
      <w:r w:rsidRPr="001B3FDB">
        <w:rPr>
          <w:rFonts w:eastAsia="Malgun Gothic"/>
          <w:bCs/>
          <w:lang w:val="fr-FR"/>
        </w:rPr>
        <w:t>Ahlat</w:t>
      </w:r>
      <w:proofErr w:type="spellEnd"/>
      <w:r w:rsidRPr="001B3FDB">
        <w:rPr>
          <w:rFonts w:eastAsia="Malgun Gothic"/>
          <w:bCs/>
          <w:lang w:val="fr-FR"/>
        </w:rPr>
        <w:t xml:space="preserve"> ne représentaient pas seulement un style architectural, elles reflétaient également la vie sociale et culturelle. Le savoir traditionnel autour de l</w:t>
      </w:r>
      <w:r w:rsidR="00923E72">
        <w:rPr>
          <w:rFonts w:eastAsia="Malgun Gothic"/>
          <w:bCs/>
          <w:lang w:val="fr-FR"/>
        </w:rPr>
        <w:t>’</w:t>
      </w:r>
      <w:r w:rsidRPr="001B3FDB">
        <w:rPr>
          <w:rFonts w:eastAsia="Malgun Gothic"/>
          <w:bCs/>
          <w:lang w:val="fr-FR"/>
        </w:rPr>
        <w:t xml:space="preserve">élément était transmis de génération en génération depuis des siècles. Mais sa viabilité était sérieusement menacée depuis les dernières décennies en raison des </w:t>
      </w:r>
      <w:r w:rsidR="00624241" w:rsidRPr="00624241">
        <w:rPr>
          <w:rFonts w:eastAsia="Malgun Gothic"/>
          <w:bCs/>
          <w:lang w:val="fr-FR"/>
        </w:rPr>
        <w:t>évolutio</w:t>
      </w:r>
      <w:r w:rsidR="00624241">
        <w:rPr>
          <w:rFonts w:eastAsia="Malgun Gothic"/>
          <w:bCs/>
          <w:lang w:val="fr-FR"/>
        </w:rPr>
        <w:t xml:space="preserve">ns </w:t>
      </w:r>
      <w:r w:rsidRPr="001B3FDB">
        <w:rPr>
          <w:rFonts w:eastAsia="Malgun Gothic"/>
          <w:bCs/>
          <w:lang w:val="fr-FR"/>
        </w:rPr>
        <w:t>démographiques et de l</w:t>
      </w:r>
      <w:r w:rsidR="00923E72">
        <w:rPr>
          <w:rFonts w:eastAsia="Malgun Gothic"/>
          <w:bCs/>
          <w:lang w:val="fr-FR"/>
        </w:rPr>
        <w:t>’</w:t>
      </w:r>
      <w:r w:rsidRPr="001B3FDB">
        <w:rPr>
          <w:rFonts w:eastAsia="Malgun Gothic"/>
          <w:bCs/>
          <w:lang w:val="fr-FR"/>
        </w:rPr>
        <w:t>utilisation généralisée de techniques et de matériaux de construction modernes dans la région. Cette inscription démontrait les liens étroits entre la conservation du patrimoine culturel matériel et sa sauvegarde. La délégation s</w:t>
      </w:r>
      <w:r w:rsidR="00923E72">
        <w:rPr>
          <w:rFonts w:eastAsia="Malgun Gothic"/>
          <w:bCs/>
          <w:lang w:val="fr-FR"/>
        </w:rPr>
        <w:t>’</w:t>
      </w:r>
      <w:r w:rsidRPr="001B3FDB">
        <w:rPr>
          <w:rFonts w:eastAsia="Malgun Gothic"/>
          <w:bCs/>
          <w:lang w:val="fr-FR"/>
        </w:rPr>
        <w:t>est félicitée de l</w:t>
      </w:r>
      <w:r w:rsidR="00923E72">
        <w:rPr>
          <w:rFonts w:eastAsia="Malgun Gothic"/>
          <w:bCs/>
          <w:lang w:val="fr-FR"/>
        </w:rPr>
        <w:t>’</w:t>
      </w:r>
      <w:r w:rsidRPr="001B3FDB">
        <w:rPr>
          <w:rFonts w:eastAsia="Malgun Gothic"/>
          <w:bCs/>
          <w:lang w:val="fr-FR"/>
        </w:rPr>
        <w:t xml:space="preserve">importance du travail en réseau et de la coopération entre les parties prenantes aux niveaux local et national. Au cours du processus de préparation du dossier, les administrations locales, les ONG, les universitaires, les </w:t>
      </w:r>
      <w:r w:rsidRPr="001B3FDB">
        <w:rPr>
          <w:rFonts w:eastAsia="Malgun Gothic"/>
          <w:bCs/>
          <w:lang w:val="fr-FR"/>
        </w:rPr>
        <w:lastRenderedPageBreak/>
        <w:t xml:space="preserve">détenteurs et les praticiens avaient travaillé ensemble en </w:t>
      </w:r>
      <w:r w:rsidR="002D6B88">
        <w:rPr>
          <w:rFonts w:eastAsia="Malgun Gothic"/>
          <w:bCs/>
          <w:lang w:val="fr-FR"/>
        </w:rPr>
        <w:t xml:space="preserve">parfaite </w:t>
      </w:r>
      <w:r w:rsidRPr="001B3FDB">
        <w:rPr>
          <w:rFonts w:eastAsia="Malgun Gothic"/>
          <w:bCs/>
          <w:lang w:val="fr-FR"/>
        </w:rPr>
        <w:t xml:space="preserve">harmonie. La délégation appréciait vivement la reconnaissance de ces efforts conjoints </w:t>
      </w:r>
      <w:r w:rsidR="00624241">
        <w:rPr>
          <w:rFonts w:eastAsia="Malgun Gothic"/>
          <w:bCs/>
          <w:lang w:val="fr-FR"/>
        </w:rPr>
        <w:t xml:space="preserve">en faveur de </w:t>
      </w:r>
      <w:r w:rsidRPr="001B3FDB">
        <w:rPr>
          <w:rFonts w:eastAsia="Malgun Gothic"/>
          <w:bCs/>
          <w:lang w:val="fr-FR"/>
        </w:rPr>
        <w:t>l</w:t>
      </w:r>
      <w:r w:rsidR="00923E72">
        <w:rPr>
          <w:rFonts w:eastAsia="Malgun Gothic"/>
          <w:bCs/>
          <w:lang w:val="fr-FR"/>
        </w:rPr>
        <w:t>’</w:t>
      </w:r>
      <w:r w:rsidRPr="001B3FDB">
        <w:rPr>
          <w:rFonts w:eastAsia="Malgun Gothic"/>
          <w:bCs/>
          <w:lang w:val="fr-FR"/>
        </w:rPr>
        <w:t>identification de l</w:t>
      </w:r>
      <w:r w:rsidR="00923E72">
        <w:rPr>
          <w:rFonts w:eastAsia="Malgun Gothic"/>
          <w:bCs/>
          <w:lang w:val="fr-FR"/>
        </w:rPr>
        <w:t>’</w:t>
      </w:r>
      <w:r w:rsidRPr="001B3FDB">
        <w:rPr>
          <w:rFonts w:eastAsia="Malgun Gothic"/>
          <w:bCs/>
          <w:lang w:val="fr-FR"/>
        </w:rPr>
        <w:t xml:space="preserve">élément et </w:t>
      </w:r>
      <w:r w:rsidR="00624241">
        <w:rPr>
          <w:rFonts w:eastAsia="Malgun Gothic"/>
          <w:bCs/>
          <w:lang w:val="fr-FR"/>
        </w:rPr>
        <w:t xml:space="preserve">de </w:t>
      </w:r>
      <w:r w:rsidRPr="001B3FDB">
        <w:rPr>
          <w:rFonts w:eastAsia="Malgun Gothic"/>
          <w:bCs/>
          <w:lang w:val="fr-FR"/>
        </w:rPr>
        <w:t>l</w:t>
      </w:r>
      <w:r w:rsidR="00923E72">
        <w:rPr>
          <w:rFonts w:eastAsia="Malgun Gothic"/>
          <w:bCs/>
          <w:lang w:val="fr-FR"/>
        </w:rPr>
        <w:t>’</w:t>
      </w:r>
      <w:r w:rsidRPr="001B3FDB">
        <w:rPr>
          <w:rFonts w:eastAsia="Malgun Gothic"/>
          <w:bCs/>
          <w:lang w:val="fr-FR"/>
        </w:rPr>
        <w:t>élaboration de mesures de sauvegarde par tous les partenaires concernés.</w:t>
      </w:r>
    </w:p>
    <w:p w14:paraId="11942EEC" w14:textId="4EC7C6A8" w:rsidR="00624241" w:rsidRPr="00702497" w:rsidRDefault="00624241"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w:t>
      </w:r>
      <w:r w:rsidR="00D67C72">
        <w:rPr>
          <w:rFonts w:eastAsia="Malgun Gothic"/>
          <w:bCs/>
          <w:i/>
          <w:iCs/>
          <w:lang w:val="fr-FR"/>
        </w:rPr>
        <w:t xml:space="preserve"> diffusée</w:t>
      </w:r>
      <w:r w:rsidRPr="00702497">
        <w:rPr>
          <w:rFonts w:eastAsia="Malgun Gothic"/>
          <w:bCs/>
          <w:i/>
          <w:iCs/>
          <w:lang w:val="fr-FR"/>
        </w:rPr>
        <w:t>]</w:t>
      </w:r>
    </w:p>
    <w:p w14:paraId="20937D9D" w14:textId="7D87E4EB" w:rsidR="00624241" w:rsidRDefault="0062424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24241">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624241">
        <w:rPr>
          <w:rFonts w:eastAsia="Malgun Gothic"/>
          <w:bCs/>
          <w:lang w:val="fr-FR"/>
        </w:rPr>
        <w:t xml:space="preserve"> a présenté le dossier de candidature suivant, </w:t>
      </w:r>
      <w:r w:rsidRPr="00702497">
        <w:rPr>
          <w:rFonts w:eastAsia="Malgun Gothic"/>
          <w:b/>
          <w:lang w:val="fr-FR"/>
        </w:rPr>
        <w:t>l</w:t>
      </w:r>
      <w:r w:rsidR="00923E72">
        <w:rPr>
          <w:rFonts w:eastAsia="Malgun Gothic"/>
          <w:b/>
          <w:lang w:val="fr-FR"/>
        </w:rPr>
        <w:t>’</w:t>
      </w:r>
      <w:r w:rsidRPr="00702497">
        <w:rPr>
          <w:rFonts w:eastAsia="Malgun Gothic"/>
          <w:b/>
          <w:lang w:val="fr-FR"/>
        </w:rPr>
        <w:t xml:space="preserve">art de la poterie du peuple </w:t>
      </w:r>
      <w:proofErr w:type="spellStart"/>
      <w:r w:rsidRPr="00702497">
        <w:rPr>
          <w:rFonts w:eastAsia="Malgun Gothic"/>
          <w:b/>
          <w:lang w:val="fr-FR"/>
        </w:rPr>
        <w:t>Chăm</w:t>
      </w:r>
      <w:proofErr w:type="spellEnd"/>
      <w:r w:rsidRPr="00624241">
        <w:rPr>
          <w:rFonts w:eastAsia="Malgun Gothic"/>
          <w:bCs/>
          <w:lang w:val="fr-FR"/>
        </w:rPr>
        <w:t xml:space="preserve"> [projet de décision</w:t>
      </w:r>
      <w:r w:rsidR="002D6B88">
        <w:rPr>
          <w:rFonts w:eastAsia="Malgun Gothic"/>
          <w:bCs/>
          <w:lang w:val="fr-FR"/>
        </w:rPr>
        <w:t> </w:t>
      </w:r>
      <w:r w:rsidRPr="00624241">
        <w:rPr>
          <w:rFonts w:eastAsia="Malgun Gothic"/>
          <w:bCs/>
          <w:lang w:val="fr-FR"/>
        </w:rPr>
        <w:t xml:space="preserve">7.a.3], soumis par le </w:t>
      </w:r>
      <w:r w:rsidRPr="00702497">
        <w:rPr>
          <w:rFonts w:eastAsia="Malgun Gothic"/>
          <w:b/>
          <w:lang w:val="fr-FR"/>
        </w:rPr>
        <w:t>Viet Nam</w:t>
      </w:r>
      <w:r w:rsidRPr="00624241">
        <w:rPr>
          <w:rFonts w:eastAsia="Malgun Gothic"/>
          <w:bCs/>
          <w:lang w:val="fr-FR"/>
        </w:rPr>
        <w:t>, expliquant que les poterie</w:t>
      </w:r>
      <w:r>
        <w:rPr>
          <w:rFonts w:eastAsia="Malgun Gothic"/>
          <w:bCs/>
          <w:lang w:val="fr-FR"/>
        </w:rPr>
        <w:t>s</w:t>
      </w:r>
      <w:r w:rsidRPr="00624241">
        <w:rPr>
          <w:rFonts w:eastAsia="Malgun Gothic"/>
          <w:bCs/>
          <w:lang w:val="fr-FR"/>
        </w:rPr>
        <w:t xml:space="preserve"> du peuple </w:t>
      </w:r>
      <w:proofErr w:type="spellStart"/>
      <w:r w:rsidRPr="00624241">
        <w:rPr>
          <w:rFonts w:eastAsia="Malgun Gothic"/>
          <w:bCs/>
          <w:lang w:val="fr-FR"/>
        </w:rPr>
        <w:t>Chăm</w:t>
      </w:r>
      <w:proofErr w:type="spellEnd"/>
      <w:r w:rsidRPr="00624241">
        <w:rPr>
          <w:rFonts w:eastAsia="Malgun Gothic"/>
          <w:bCs/>
          <w:lang w:val="fr-FR"/>
        </w:rPr>
        <w:t xml:space="preserve"> sont principalement des ustensiles ménagers, des objets </w:t>
      </w:r>
      <w:r>
        <w:rPr>
          <w:rFonts w:eastAsia="Malgun Gothic"/>
          <w:bCs/>
          <w:lang w:val="fr-FR"/>
        </w:rPr>
        <w:t xml:space="preserve">de culte </w:t>
      </w:r>
      <w:r w:rsidRPr="00624241">
        <w:rPr>
          <w:rFonts w:eastAsia="Malgun Gothic"/>
          <w:bCs/>
          <w:lang w:val="fr-FR"/>
        </w:rPr>
        <w:t>et des œuvres d</w:t>
      </w:r>
      <w:r w:rsidR="00923E72">
        <w:rPr>
          <w:rFonts w:eastAsia="Malgun Gothic"/>
          <w:bCs/>
          <w:lang w:val="fr-FR"/>
        </w:rPr>
        <w:t>’</w:t>
      </w:r>
      <w:r w:rsidRPr="00624241">
        <w:rPr>
          <w:rFonts w:eastAsia="Malgun Gothic"/>
          <w:bCs/>
          <w:lang w:val="fr-FR"/>
        </w:rPr>
        <w:t xml:space="preserve">art, notamment des jarres, des pots, des </w:t>
      </w:r>
      <w:r w:rsidR="00D65A60">
        <w:rPr>
          <w:rFonts w:eastAsia="Malgun Gothic"/>
          <w:bCs/>
          <w:lang w:val="fr-FR"/>
        </w:rPr>
        <w:t xml:space="preserve">plateaux </w:t>
      </w:r>
      <w:r w:rsidRPr="00624241">
        <w:rPr>
          <w:rFonts w:eastAsia="Malgun Gothic"/>
          <w:bCs/>
          <w:lang w:val="fr-FR"/>
        </w:rPr>
        <w:t>et des vases et qu</w:t>
      </w:r>
      <w:r w:rsidR="00923E72">
        <w:rPr>
          <w:rFonts w:eastAsia="Malgun Gothic"/>
          <w:bCs/>
          <w:lang w:val="fr-FR"/>
        </w:rPr>
        <w:t>’</w:t>
      </w:r>
      <w:r w:rsidRPr="00624241">
        <w:rPr>
          <w:rFonts w:eastAsia="Malgun Gothic"/>
          <w:bCs/>
          <w:lang w:val="fr-FR"/>
        </w:rPr>
        <w:t>ils sont l</w:t>
      </w:r>
      <w:r w:rsidR="00923E72">
        <w:rPr>
          <w:rFonts w:eastAsia="Malgun Gothic"/>
          <w:bCs/>
          <w:lang w:val="fr-FR"/>
        </w:rPr>
        <w:t>’</w:t>
      </w:r>
      <w:r w:rsidRPr="00624241">
        <w:rPr>
          <w:rFonts w:eastAsia="Malgun Gothic"/>
          <w:bCs/>
          <w:lang w:val="fr-FR"/>
        </w:rPr>
        <w:t xml:space="preserve">expression de la créativité individuelle </w:t>
      </w:r>
      <w:r w:rsidR="00D65A60">
        <w:rPr>
          <w:rFonts w:eastAsia="Malgun Gothic"/>
          <w:bCs/>
          <w:lang w:val="fr-FR"/>
        </w:rPr>
        <w:t xml:space="preserve">basée </w:t>
      </w:r>
      <w:r w:rsidRPr="00624241">
        <w:rPr>
          <w:rFonts w:eastAsia="Malgun Gothic"/>
          <w:bCs/>
          <w:lang w:val="fr-FR"/>
        </w:rPr>
        <w:t xml:space="preserve">sur les connaissances transmises au sein de la communauté. Il a précisé que les poteries ne sont pas </w:t>
      </w:r>
      <w:r w:rsidR="00D65A60">
        <w:rPr>
          <w:rFonts w:eastAsia="Malgun Gothic"/>
          <w:bCs/>
          <w:lang w:val="fr-FR"/>
        </w:rPr>
        <w:t xml:space="preserve">vernies </w:t>
      </w:r>
      <w:r w:rsidRPr="00624241">
        <w:rPr>
          <w:rFonts w:eastAsia="Malgun Gothic"/>
          <w:bCs/>
          <w:lang w:val="fr-FR"/>
        </w:rPr>
        <w:t>mais cuites</w:t>
      </w:r>
      <w:r w:rsidR="00D65A60">
        <w:rPr>
          <w:rFonts w:eastAsia="Malgun Gothic"/>
          <w:bCs/>
          <w:lang w:val="fr-FR"/>
        </w:rPr>
        <w:t xml:space="preserve"> à ciel ouvert</w:t>
      </w:r>
      <w:r w:rsidRPr="00624241">
        <w:rPr>
          <w:rFonts w:eastAsia="Malgun Gothic"/>
          <w:bCs/>
          <w:lang w:val="fr-FR"/>
        </w:rPr>
        <w:t xml:space="preserve"> </w:t>
      </w:r>
      <w:r w:rsidR="00D65A60">
        <w:rPr>
          <w:rFonts w:eastAsia="Malgun Gothic"/>
          <w:bCs/>
          <w:lang w:val="fr-FR"/>
        </w:rPr>
        <w:t>dans un feu de bois et de</w:t>
      </w:r>
      <w:r w:rsidRPr="00624241">
        <w:rPr>
          <w:rFonts w:eastAsia="Malgun Gothic"/>
          <w:bCs/>
          <w:lang w:val="fr-FR"/>
        </w:rPr>
        <w:t xml:space="preserve"> paille</w:t>
      </w:r>
      <w:r w:rsidR="00D65A60">
        <w:rPr>
          <w:rFonts w:eastAsia="Malgun Gothic"/>
          <w:bCs/>
          <w:lang w:val="fr-FR"/>
        </w:rPr>
        <w:t>,</w:t>
      </w:r>
      <w:r w:rsidRPr="00624241">
        <w:rPr>
          <w:rFonts w:eastAsia="Malgun Gothic"/>
          <w:bCs/>
          <w:lang w:val="fr-FR"/>
        </w:rPr>
        <w:t xml:space="preserve"> pendant sept à huit heures à une température d</w:t>
      </w:r>
      <w:r w:rsidR="00923E72">
        <w:rPr>
          <w:rFonts w:eastAsia="Malgun Gothic"/>
          <w:bCs/>
          <w:lang w:val="fr-FR"/>
        </w:rPr>
        <w:t>’</w:t>
      </w:r>
      <w:r w:rsidRPr="00624241">
        <w:rPr>
          <w:rFonts w:eastAsia="Malgun Gothic"/>
          <w:bCs/>
          <w:lang w:val="fr-FR"/>
        </w:rPr>
        <w:t>environ</w:t>
      </w:r>
      <w:r w:rsidR="00DB69BB">
        <w:rPr>
          <w:rFonts w:eastAsia="Malgun Gothic"/>
          <w:bCs/>
          <w:lang w:val="fr-FR"/>
        </w:rPr>
        <w:t> </w:t>
      </w:r>
      <w:r w:rsidRPr="00624241">
        <w:rPr>
          <w:rFonts w:eastAsia="Malgun Gothic"/>
          <w:bCs/>
          <w:lang w:val="fr-FR"/>
        </w:rPr>
        <w:t>800°</w:t>
      </w:r>
      <w:r w:rsidR="002D6B88">
        <w:rPr>
          <w:rFonts w:eastAsia="Malgun Gothic"/>
          <w:bCs/>
          <w:lang w:val="fr-FR"/>
        </w:rPr>
        <w:t> </w:t>
      </w:r>
      <w:r w:rsidRPr="00624241">
        <w:rPr>
          <w:rFonts w:eastAsia="Malgun Gothic"/>
          <w:bCs/>
          <w:lang w:val="fr-FR"/>
        </w:rPr>
        <w:t xml:space="preserve">C, que les matières premières </w:t>
      </w:r>
      <w:r w:rsidR="00D65A60">
        <w:rPr>
          <w:rFonts w:eastAsia="Malgun Gothic"/>
          <w:bCs/>
          <w:lang w:val="fr-FR"/>
        </w:rPr>
        <w:t xml:space="preserve">proviennent de sources locales, </w:t>
      </w:r>
      <w:r w:rsidRPr="00624241">
        <w:rPr>
          <w:rFonts w:eastAsia="Malgun Gothic"/>
          <w:bCs/>
          <w:lang w:val="fr-FR"/>
        </w:rPr>
        <w:t xml:space="preserve">et que les connaissances et </w:t>
      </w:r>
      <w:r w:rsidR="00D65A60" w:rsidRPr="00D65A60">
        <w:rPr>
          <w:rFonts w:eastAsia="Malgun Gothic"/>
          <w:bCs/>
          <w:lang w:val="fr-FR"/>
        </w:rPr>
        <w:t>savoir-faire</w:t>
      </w:r>
      <w:r w:rsidR="00D65A60">
        <w:rPr>
          <w:rFonts w:eastAsia="Malgun Gothic"/>
          <w:bCs/>
          <w:lang w:val="fr-FR"/>
        </w:rPr>
        <w:t xml:space="preserve"> </w:t>
      </w:r>
      <w:r w:rsidRPr="00624241">
        <w:rPr>
          <w:rFonts w:eastAsia="Malgun Gothic"/>
          <w:bCs/>
          <w:lang w:val="fr-FR"/>
        </w:rPr>
        <w:t>sont transmis aux jeunes générations au sein des familles</w:t>
      </w:r>
      <w:r w:rsidR="00DB69BB">
        <w:rPr>
          <w:rFonts w:eastAsia="Malgun Gothic"/>
          <w:bCs/>
          <w:lang w:val="fr-FR"/>
        </w:rPr>
        <w:t>,</w:t>
      </w:r>
      <w:r w:rsidRPr="00624241">
        <w:rPr>
          <w:rFonts w:eastAsia="Malgun Gothic"/>
          <w:bCs/>
          <w:lang w:val="fr-FR"/>
        </w:rPr>
        <w:t xml:space="preserve"> </w:t>
      </w:r>
      <w:r w:rsidR="00DB69BB">
        <w:rPr>
          <w:rFonts w:eastAsia="Malgun Gothic"/>
          <w:bCs/>
          <w:lang w:val="fr-FR"/>
        </w:rPr>
        <w:t xml:space="preserve">dans le cadre de </w:t>
      </w:r>
      <w:r w:rsidRPr="00624241">
        <w:rPr>
          <w:rFonts w:eastAsia="Malgun Gothic"/>
          <w:bCs/>
          <w:lang w:val="fr-FR"/>
        </w:rPr>
        <w:t>la pratique. L</w:t>
      </w:r>
      <w:r w:rsidR="00923E72">
        <w:rPr>
          <w:rFonts w:eastAsia="Malgun Gothic"/>
          <w:bCs/>
          <w:lang w:val="fr-FR"/>
        </w:rPr>
        <w:t>’</w:t>
      </w:r>
      <w:r w:rsidRPr="00624241">
        <w:rPr>
          <w:rFonts w:eastAsia="Malgun Gothic"/>
          <w:bCs/>
          <w:lang w:val="fr-FR"/>
        </w:rPr>
        <w:t>Organe d</w:t>
      </w:r>
      <w:r w:rsidR="00923E72">
        <w:rPr>
          <w:rFonts w:eastAsia="Malgun Gothic"/>
          <w:bCs/>
          <w:lang w:val="fr-FR"/>
        </w:rPr>
        <w:t>’</w:t>
      </w:r>
      <w:r w:rsidRPr="00624241">
        <w:rPr>
          <w:rFonts w:eastAsia="Malgun Gothic"/>
          <w:bCs/>
          <w:lang w:val="fr-FR"/>
        </w:rPr>
        <w:t>évaluation avait estimé que la candidature satisfaisait à l</w:t>
      </w:r>
      <w:r w:rsidR="00923E72">
        <w:rPr>
          <w:rFonts w:eastAsia="Malgun Gothic"/>
          <w:bCs/>
          <w:lang w:val="fr-FR"/>
        </w:rPr>
        <w:t>’</w:t>
      </w:r>
      <w:r w:rsidRPr="00624241">
        <w:rPr>
          <w:rFonts w:eastAsia="Malgun Gothic"/>
          <w:bCs/>
          <w:lang w:val="fr-FR"/>
        </w:rPr>
        <w:t>ensemble des cinq critères. Le dossier était bien expliqué et, malgré de nombreux efforts de sauvegarde, la viabilité de l</w:t>
      </w:r>
      <w:r w:rsidR="00923E72">
        <w:rPr>
          <w:rFonts w:eastAsia="Malgun Gothic"/>
          <w:bCs/>
          <w:lang w:val="fr-FR"/>
        </w:rPr>
        <w:t>’</w:t>
      </w:r>
      <w:r w:rsidRPr="00624241">
        <w:rPr>
          <w:rFonts w:eastAsia="Malgun Gothic"/>
          <w:bCs/>
          <w:lang w:val="fr-FR"/>
        </w:rPr>
        <w:t>élément était toujours en péril en raison de diverses menaces. Le dossier détaillait le plan de sauvegarde de l</w:t>
      </w:r>
      <w:r w:rsidR="00923E72">
        <w:rPr>
          <w:rFonts w:eastAsia="Malgun Gothic"/>
          <w:bCs/>
          <w:lang w:val="fr-FR"/>
        </w:rPr>
        <w:t>’</w:t>
      </w:r>
      <w:r w:rsidRPr="00624241">
        <w:rPr>
          <w:rFonts w:eastAsia="Malgun Gothic"/>
          <w:bCs/>
          <w:lang w:val="fr-FR"/>
        </w:rPr>
        <w:t>élément</w:t>
      </w:r>
      <w:r w:rsidR="00DB69BB">
        <w:rPr>
          <w:rFonts w:eastAsia="Malgun Gothic"/>
          <w:bCs/>
          <w:lang w:val="fr-FR"/>
        </w:rPr>
        <w:t>,</w:t>
      </w:r>
      <w:r w:rsidRPr="00624241">
        <w:rPr>
          <w:rFonts w:eastAsia="Malgun Gothic"/>
          <w:bCs/>
          <w:lang w:val="fr-FR"/>
        </w:rPr>
        <w:t xml:space="preserve"> qui serait mis en œuvre sur une période de quatre ans. En conclusion, l</w:t>
      </w:r>
      <w:r w:rsidR="00923E72">
        <w:rPr>
          <w:rFonts w:eastAsia="Malgun Gothic"/>
          <w:bCs/>
          <w:lang w:val="fr-FR"/>
        </w:rPr>
        <w:t>’</w:t>
      </w:r>
      <w:r w:rsidRPr="00624241">
        <w:rPr>
          <w:rFonts w:eastAsia="Malgun Gothic"/>
          <w:bCs/>
          <w:lang w:val="fr-FR"/>
        </w:rPr>
        <w:t>Organe d</w:t>
      </w:r>
      <w:r w:rsidR="00923E72">
        <w:rPr>
          <w:rFonts w:eastAsia="Malgun Gothic"/>
          <w:bCs/>
          <w:lang w:val="fr-FR"/>
        </w:rPr>
        <w:t>’</w:t>
      </w:r>
      <w:r w:rsidRPr="00624241">
        <w:rPr>
          <w:rFonts w:eastAsia="Malgun Gothic"/>
          <w:bCs/>
          <w:lang w:val="fr-FR"/>
        </w:rPr>
        <w:t>évaluation recommandait l</w:t>
      </w:r>
      <w:r w:rsidR="00923E72">
        <w:rPr>
          <w:rFonts w:eastAsia="Malgun Gothic"/>
          <w:bCs/>
          <w:lang w:val="fr-FR"/>
        </w:rPr>
        <w:t>’</w:t>
      </w:r>
      <w:r w:rsidRPr="00624241">
        <w:rPr>
          <w:rFonts w:eastAsia="Malgun Gothic"/>
          <w:bCs/>
          <w:lang w:val="fr-FR"/>
        </w:rPr>
        <w:t>inscription de cet élément sur la Liste de sauvegarde urgente.</w:t>
      </w:r>
    </w:p>
    <w:p w14:paraId="15246F12" w14:textId="61395F74" w:rsidR="00D65A60" w:rsidRPr="00702497" w:rsidRDefault="00D65A6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w:t>
      </w:r>
      <w:r w:rsidR="00BC178F">
        <w:rPr>
          <w:rFonts w:eastAsia="Malgun Gothic"/>
          <w:bCs/>
          <w:lang w:val="fr-FR"/>
        </w:rPr>
        <w:t xml:space="preserve">donc </w:t>
      </w:r>
      <w:r>
        <w:rPr>
          <w:rFonts w:eastAsia="Malgun Gothic"/>
          <w:bCs/>
          <w:lang w:val="fr-FR"/>
        </w:rPr>
        <w:t>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2D6B88">
        <w:rPr>
          <w:rFonts w:eastAsia="Malgun Gothic"/>
          <w:b/>
          <w:lang w:val="fr-FR"/>
        </w:rPr>
        <w:t> </w:t>
      </w:r>
      <w:r w:rsidR="00751FB1">
        <w:fldChar w:fldCharType="begin"/>
      </w:r>
      <w:r w:rsidR="00751FB1" w:rsidRPr="00751FB1">
        <w:rPr>
          <w:lang w:val="fr-FR"/>
        </w:rPr>
        <w:instrText>HYPERLINK "https://ich.unesco.org/fr/Decisions/17.COM/7.a.3"</w:instrText>
      </w:r>
      <w:r w:rsidR="00751FB1">
        <w:fldChar w:fldCharType="separate"/>
      </w:r>
      <w:r w:rsidRPr="00702497">
        <w:rPr>
          <w:rStyle w:val="Hyperlink"/>
          <w:b/>
          <w:bCs/>
          <w:lang w:val="fr-FR"/>
        </w:rPr>
        <w:t>17.COM 7.a.3</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AE6A00">
        <w:rPr>
          <w:rFonts w:eastAsia="Malgun Gothic"/>
          <w:b/>
          <w:lang w:val="fr-FR"/>
        </w:rPr>
        <w:t>l</w:t>
      </w:r>
      <w:r w:rsidR="00923E72">
        <w:rPr>
          <w:rFonts w:eastAsia="Malgun Gothic"/>
          <w:b/>
          <w:lang w:val="fr-FR"/>
        </w:rPr>
        <w:t>’</w:t>
      </w:r>
      <w:r w:rsidRPr="00AE6A00">
        <w:rPr>
          <w:rFonts w:eastAsia="Malgun Gothic"/>
          <w:b/>
          <w:lang w:val="fr-FR"/>
        </w:rPr>
        <w:t xml:space="preserve">art de la poterie du peuple </w:t>
      </w:r>
      <w:proofErr w:type="spellStart"/>
      <w:r w:rsidRPr="00AE6A00">
        <w:rPr>
          <w:rFonts w:eastAsia="Malgun Gothic"/>
          <w:b/>
          <w:lang w:val="fr-FR"/>
        </w:rPr>
        <w:t>Chăm</w:t>
      </w:r>
      <w:proofErr w:type="spellEnd"/>
      <w:r>
        <w:rPr>
          <w:rFonts w:eastAsia="Malgun Gothic"/>
          <w:b/>
          <w:lang w:val="fr-FR"/>
        </w:rPr>
        <w:t xml:space="preserve"> sur la Liste de sauvegarde urgente</w:t>
      </w:r>
      <w:r w:rsidRPr="00702497">
        <w:rPr>
          <w:rFonts w:eastAsia="Malgun Gothic"/>
          <w:bCs/>
          <w:lang w:val="fr-FR"/>
        </w:rPr>
        <w:t>.</w:t>
      </w:r>
    </w:p>
    <w:p w14:paraId="38CEA1DD" w14:textId="55A5FB71" w:rsidR="008440D5" w:rsidRDefault="008440D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440D5">
        <w:rPr>
          <w:rFonts w:eastAsia="Malgun Gothic"/>
          <w:bCs/>
          <w:lang w:val="fr-FR"/>
        </w:rPr>
        <w:t xml:space="preserve">La délégation du </w:t>
      </w:r>
      <w:r w:rsidRPr="00702497">
        <w:rPr>
          <w:rFonts w:eastAsia="Malgun Gothic"/>
          <w:b/>
          <w:lang w:val="fr-FR"/>
        </w:rPr>
        <w:t>Viet</w:t>
      </w:r>
      <w:r w:rsidR="002D6B88">
        <w:rPr>
          <w:rFonts w:eastAsia="Malgun Gothic"/>
          <w:b/>
          <w:lang w:val="fr-FR"/>
        </w:rPr>
        <w:t> </w:t>
      </w:r>
      <w:r w:rsidRPr="00702497">
        <w:rPr>
          <w:rFonts w:eastAsia="Malgun Gothic"/>
          <w:b/>
          <w:lang w:val="fr-FR"/>
        </w:rPr>
        <w:t>Nam</w:t>
      </w:r>
      <w:r w:rsidRPr="008440D5">
        <w:rPr>
          <w:rFonts w:eastAsia="Malgun Gothic"/>
          <w:bCs/>
          <w:lang w:val="fr-FR"/>
        </w:rPr>
        <w:t xml:space="preserve"> s</w:t>
      </w:r>
      <w:r w:rsidR="00923E72">
        <w:rPr>
          <w:rFonts w:eastAsia="Malgun Gothic"/>
          <w:bCs/>
          <w:lang w:val="fr-FR"/>
        </w:rPr>
        <w:t>’</w:t>
      </w:r>
      <w:r w:rsidRPr="008440D5">
        <w:rPr>
          <w:rFonts w:eastAsia="Malgun Gothic"/>
          <w:bCs/>
          <w:lang w:val="fr-FR"/>
        </w:rPr>
        <w:t xml:space="preserve">est réjouie que le groupe ethnique </w:t>
      </w:r>
      <w:proofErr w:type="spellStart"/>
      <w:r w:rsidRPr="008440D5">
        <w:rPr>
          <w:rFonts w:eastAsia="Malgun Gothic"/>
          <w:bCs/>
          <w:lang w:val="fr-FR"/>
        </w:rPr>
        <w:t>Chăm</w:t>
      </w:r>
      <w:proofErr w:type="spellEnd"/>
      <w:r w:rsidRPr="008440D5">
        <w:rPr>
          <w:rFonts w:eastAsia="Malgun Gothic"/>
          <w:bCs/>
          <w:lang w:val="fr-FR"/>
        </w:rPr>
        <w:t>, dans les provinces du centre du Viet</w:t>
      </w:r>
      <w:r w:rsidR="002D6B88">
        <w:rPr>
          <w:rFonts w:eastAsia="Malgun Gothic"/>
          <w:bCs/>
          <w:lang w:val="fr-FR"/>
        </w:rPr>
        <w:t> </w:t>
      </w:r>
      <w:r w:rsidRPr="008440D5">
        <w:rPr>
          <w:rFonts w:eastAsia="Malgun Gothic"/>
          <w:bCs/>
          <w:lang w:val="fr-FR"/>
        </w:rPr>
        <w:t>Nam, célèbre en ce moment même l</w:t>
      </w:r>
      <w:r w:rsidR="00923E72">
        <w:rPr>
          <w:rFonts w:eastAsia="Malgun Gothic"/>
          <w:bCs/>
          <w:lang w:val="fr-FR"/>
        </w:rPr>
        <w:t>’</w:t>
      </w:r>
      <w:r w:rsidRPr="008440D5">
        <w:rPr>
          <w:rFonts w:eastAsia="Malgun Gothic"/>
          <w:bCs/>
          <w:lang w:val="fr-FR"/>
        </w:rPr>
        <w:t>inscription de l</w:t>
      </w:r>
      <w:r w:rsidR="00923E72">
        <w:rPr>
          <w:rFonts w:eastAsia="Malgun Gothic"/>
          <w:bCs/>
          <w:lang w:val="fr-FR"/>
        </w:rPr>
        <w:t>’</w:t>
      </w:r>
      <w:r w:rsidRPr="008440D5">
        <w:rPr>
          <w:rFonts w:eastAsia="Malgun Gothic"/>
          <w:bCs/>
          <w:lang w:val="fr-FR"/>
        </w:rPr>
        <w:t xml:space="preserve">art de la poterie du peuple </w:t>
      </w:r>
      <w:proofErr w:type="spellStart"/>
      <w:r w:rsidRPr="008440D5">
        <w:rPr>
          <w:rFonts w:eastAsia="Malgun Gothic"/>
          <w:bCs/>
          <w:lang w:val="fr-FR"/>
        </w:rPr>
        <w:t>Chăm</w:t>
      </w:r>
      <w:proofErr w:type="spellEnd"/>
      <w:r w:rsidRPr="008440D5">
        <w:rPr>
          <w:rFonts w:eastAsia="Malgun Gothic"/>
          <w:bCs/>
          <w:lang w:val="fr-FR"/>
        </w:rPr>
        <w:t xml:space="preserve"> sur la Liste de sauvegarde urgente. Avec l</w:t>
      </w:r>
      <w:r w:rsidR="00923E72">
        <w:rPr>
          <w:rFonts w:eastAsia="Malgun Gothic"/>
          <w:bCs/>
          <w:lang w:val="fr-FR"/>
        </w:rPr>
        <w:t>’</w:t>
      </w:r>
      <w:r w:rsidRPr="008440D5">
        <w:rPr>
          <w:rFonts w:eastAsia="Malgun Gothic"/>
          <w:bCs/>
          <w:lang w:val="fr-FR"/>
        </w:rPr>
        <w:t>accord du Premier ministre du Viet</w:t>
      </w:r>
      <w:r w:rsidR="00DB69BB">
        <w:rPr>
          <w:rFonts w:eastAsia="Malgun Gothic"/>
          <w:bCs/>
          <w:lang w:val="fr-FR"/>
        </w:rPr>
        <w:t> </w:t>
      </w:r>
      <w:r w:rsidRPr="008440D5">
        <w:rPr>
          <w:rFonts w:eastAsia="Malgun Gothic"/>
          <w:bCs/>
          <w:lang w:val="fr-FR"/>
        </w:rPr>
        <w:t>Nam, au nom du ministère de la Culture, des Sports et du Tourisme, des autorités locales et des communautés ethniques, le Viet</w:t>
      </w:r>
      <w:r w:rsidR="002D6B88">
        <w:rPr>
          <w:rFonts w:eastAsia="Malgun Gothic"/>
          <w:bCs/>
          <w:lang w:val="fr-FR"/>
        </w:rPr>
        <w:t> </w:t>
      </w:r>
      <w:r w:rsidRPr="008440D5">
        <w:rPr>
          <w:rFonts w:eastAsia="Malgun Gothic"/>
          <w:bCs/>
          <w:lang w:val="fr-FR"/>
        </w:rPr>
        <w:t>Nam s</w:t>
      </w:r>
      <w:r w:rsidR="00923E72">
        <w:rPr>
          <w:rFonts w:eastAsia="Malgun Gothic"/>
          <w:bCs/>
          <w:lang w:val="fr-FR"/>
        </w:rPr>
        <w:t>’</w:t>
      </w:r>
      <w:r w:rsidRPr="008440D5">
        <w:rPr>
          <w:rFonts w:eastAsia="Malgun Gothic"/>
          <w:bCs/>
          <w:lang w:val="fr-FR"/>
        </w:rPr>
        <w:t>engag</w:t>
      </w:r>
      <w:r w:rsidR="00826C42">
        <w:rPr>
          <w:rFonts w:eastAsia="Malgun Gothic"/>
          <w:bCs/>
          <w:lang w:val="fr-FR"/>
        </w:rPr>
        <w:t>eait</w:t>
      </w:r>
      <w:r w:rsidRPr="008440D5">
        <w:rPr>
          <w:rFonts w:eastAsia="Malgun Gothic"/>
          <w:bCs/>
          <w:lang w:val="fr-FR"/>
        </w:rPr>
        <w:t xml:space="preserve"> à mettre en œuvre un programme national </w:t>
      </w:r>
      <w:r w:rsidR="00826C42">
        <w:rPr>
          <w:rFonts w:eastAsia="Malgun Gothic"/>
          <w:bCs/>
          <w:lang w:val="fr-FR"/>
        </w:rPr>
        <w:t xml:space="preserve">de soutien à la </w:t>
      </w:r>
      <w:r w:rsidRPr="008440D5">
        <w:rPr>
          <w:rFonts w:eastAsia="Malgun Gothic"/>
          <w:bCs/>
          <w:lang w:val="fr-FR"/>
        </w:rPr>
        <w:t xml:space="preserve">pratique de </w:t>
      </w:r>
      <w:r w:rsidR="00826C42">
        <w:rPr>
          <w:rFonts w:eastAsia="Malgun Gothic"/>
          <w:bCs/>
          <w:lang w:val="fr-FR"/>
        </w:rPr>
        <w:t xml:space="preserve">la </w:t>
      </w:r>
      <w:r w:rsidRPr="008440D5">
        <w:rPr>
          <w:rFonts w:eastAsia="Malgun Gothic"/>
          <w:bCs/>
          <w:lang w:val="fr-FR"/>
        </w:rPr>
        <w:t xml:space="preserve">poterie du peuple </w:t>
      </w:r>
      <w:proofErr w:type="spellStart"/>
      <w:r w:rsidRPr="008440D5">
        <w:rPr>
          <w:rFonts w:eastAsia="Malgun Gothic"/>
          <w:bCs/>
          <w:lang w:val="fr-FR"/>
        </w:rPr>
        <w:t>Chăm</w:t>
      </w:r>
      <w:proofErr w:type="spellEnd"/>
      <w:r w:rsidRPr="008440D5">
        <w:rPr>
          <w:rFonts w:eastAsia="Malgun Gothic"/>
          <w:bCs/>
          <w:lang w:val="fr-FR"/>
        </w:rPr>
        <w:t xml:space="preserve"> afin de sauvegarder la viabilité de cet élément. La délégation a remercié la Directrice générale de l</w:t>
      </w:r>
      <w:r w:rsidR="00923E72">
        <w:rPr>
          <w:rFonts w:eastAsia="Malgun Gothic"/>
          <w:bCs/>
          <w:lang w:val="fr-FR"/>
        </w:rPr>
        <w:t>’</w:t>
      </w:r>
      <w:r w:rsidRPr="008440D5">
        <w:rPr>
          <w:rFonts w:eastAsia="Malgun Gothic"/>
          <w:bCs/>
          <w:lang w:val="fr-FR"/>
        </w:rPr>
        <w:t>UNESCO, le Président, l</w:t>
      </w:r>
      <w:r w:rsidR="00923E72">
        <w:rPr>
          <w:rFonts w:eastAsia="Malgun Gothic"/>
          <w:bCs/>
          <w:lang w:val="fr-FR"/>
        </w:rPr>
        <w:t>’</w:t>
      </w:r>
      <w:r w:rsidRPr="008440D5">
        <w:rPr>
          <w:rFonts w:eastAsia="Malgun Gothic"/>
          <w:bCs/>
          <w:lang w:val="fr-FR"/>
        </w:rPr>
        <w:t>Organe d</w:t>
      </w:r>
      <w:r w:rsidR="00923E72">
        <w:rPr>
          <w:rFonts w:eastAsia="Malgun Gothic"/>
          <w:bCs/>
          <w:lang w:val="fr-FR"/>
        </w:rPr>
        <w:t>’</w:t>
      </w:r>
      <w:r w:rsidRPr="008440D5">
        <w:rPr>
          <w:rFonts w:eastAsia="Malgun Gothic"/>
          <w:bCs/>
          <w:lang w:val="fr-FR"/>
        </w:rPr>
        <w:t>évaluation, les membres du Comité et le Secrétariat pour leur travail acharné et leur soutien à l</w:t>
      </w:r>
      <w:r w:rsidR="00923E72">
        <w:rPr>
          <w:rFonts w:eastAsia="Malgun Gothic"/>
          <w:bCs/>
          <w:lang w:val="fr-FR"/>
        </w:rPr>
        <w:t>’</w:t>
      </w:r>
      <w:r w:rsidRPr="008440D5">
        <w:rPr>
          <w:rFonts w:eastAsia="Malgun Gothic"/>
          <w:bCs/>
          <w:lang w:val="fr-FR"/>
        </w:rPr>
        <w:t>inscription de cet élément significatif.</w:t>
      </w:r>
    </w:p>
    <w:p w14:paraId="6178F838" w14:textId="5BABF544" w:rsidR="00826C42" w:rsidRPr="00702497" w:rsidRDefault="00826C42"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AE6A00">
        <w:rPr>
          <w:rFonts w:eastAsia="Malgun Gothic"/>
          <w:bCs/>
          <w:i/>
          <w:iCs/>
          <w:lang w:val="fr-FR"/>
        </w:rPr>
        <w:t>[Une vidéo présentant l</w:t>
      </w:r>
      <w:r w:rsidR="00923E72">
        <w:rPr>
          <w:rFonts w:eastAsia="Malgun Gothic"/>
          <w:bCs/>
          <w:i/>
          <w:iCs/>
          <w:lang w:val="fr-FR"/>
        </w:rPr>
        <w:t>’</w:t>
      </w:r>
      <w:r w:rsidRPr="00AE6A00">
        <w:rPr>
          <w:rFonts w:eastAsia="Malgun Gothic"/>
          <w:bCs/>
          <w:i/>
          <w:iCs/>
          <w:lang w:val="fr-FR"/>
        </w:rPr>
        <w:t>élément a été</w:t>
      </w:r>
      <w:r w:rsidR="00D67C72">
        <w:rPr>
          <w:rFonts w:eastAsia="Malgun Gothic"/>
          <w:bCs/>
          <w:i/>
          <w:iCs/>
          <w:lang w:val="fr-FR"/>
        </w:rPr>
        <w:t xml:space="preserve"> diffusée</w:t>
      </w:r>
      <w:r>
        <w:rPr>
          <w:rFonts w:eastAsia="Malgun Gothic"/>
          <w:bCs/>
          <w:i/>
          <w:iCs/>
          <w:lang w:val="fr-FR"/>
        </w:rPr>
        <w:t>]</w:t>
      </w:r>
    </w:p>
    <w:p w14:paraId="33FD240F" w14:textId="30A7E98A" w:rsidR="00826C42" w:rsidRDefault="00826C4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26C42">
        <w:rPr>
          <w:rFonts w:eastAsia="Malgun Gothic"/>
          <w:bCs/>
          <w:lang w:val="fr-FR"/>
        </w:rPr>
        <w:t xml:space="preserve">Le </w:t>
      </w:r>
      <w:r w:rsidRPr="00702497">
        <w:rPr>
          <w:rFonts w:eastAsia="Malgun Gothic"/>
          <w:b/>
          <w:lang w:val="fr-FR"/>
        </w:rPr>
        <w:t>Président</w:t>
      </w:r>
      <w:r w:rsidRPr="00826C42">
        <w:rPr>
          <w:rFonts w:eastAsia="Malgun Gothic"/>
          <w:bCs/>
          <w:lang w:val="fr-FR"/>
        </w:rPr>
        <w:t xml:space="preserve"> est passé au dossier suivant à examiner, expliquant que le Comité devait décider si la candidature satisfaisait aux critères d</w:t>
      </w:r>
      <w:r w:rsidR="00923E72">
        <w:rPr>
          <w:rFonts w:eastAsia="Malgun Gothic"/>
          <w:bCs/>
          <w:lang w:val="fr-FR"/>
        </w:rPr>
        <w:t>’</w:t>
      </w:r>
      <w:r w:rsidRPr="00826C42">
        <w:rPr>
          <w:rFonts w:eastAsia="Malgun Gothic"/>
          <w:bCs/>
          <w:lang w:val="fr-FR"/>
        </w:rPr>
        <w:t>inscription sur la Liste de sauvegarde urgente et d</w:t>
      </w:r>
      <w:r w:rsidR="00923E72">
        <w:rPr>
          <w:rFonts w:eastAsia="Malgun Gothic"/>
          <w:bCs/>
          <w:lang w:val="fr-FR"/>
        </w:rPr>
        <w:t>’</w:t>
      </w:r>
      <w:r w:rsidRPr="00826C42">
        <w:rPr>
          <w:rFonts w:eastAsia="Malgun Gothic"/>
          <w:bCs/>
          <w:lang w:val="fr-FR"/>
        </w:rPr>
        <w:t>octroi de l</w:t>
      </w:r>
      <w:r w:rsidR="00923E72">
        <w:rPr>
          <w:rFonts w:eastAsia="Malgun Gothic"/>
          <w:bCs/>
          <w:lang w:val="fr-FR"/>
        </w:rPr>
        <w:t>’</w:t>
      </w:r>
      <w:r w:rsidRPr="00826C42">
        <w:rPr>
          <w:rFonts w:eastAsia="Malgun Gothic"/>
          <w:bCs/>
          <w:lang w:val="fr-FR"/>
        </w:rPr>
        <w:t>assistance internationale. Les critères pour la demande d</w:t>
      </w:r>
      <w:r w:rsidR="00923E72">
        <w:rPr>
          <w:rFonts w:eastAsia="Malgun Gothic"/>
          <w:bCs/>
          <w:lang w:val="fr-FR"/>
        </w:rPr>
        <w:t>’</w:t>
      </w:r>
      <w:r w:rsidRPr="00826C42">
        <w:rPr>
          <w:rFonts w:eastAsia="Malgun Gothic"/>
          <w:bCs/>
          <w:lang w:val="fr-FR"/>
        </w:rPr>
        <w:t>assistance internationale ont été projetés à l</w:t>
      </w:r>
      <w:r w:rsidR="00923E72">
        <w:rPr>
          <w:rFonts w:eastAsia="Malgun Gothic"/>
          <w:bCs/>
          <w:lang w:val="fr-FR"/>
        </w:rPr>
        <w:t>’</w:t>
      </w:r>
      <w:r w:rsidRPr="00826C42">
        <w:rPr>
          <w:rFonts w:eastAsia="Malgun Gothic"/>
          <w:bCs/>
          <w:lang w:val="fr-FR"/>
        </w:rPr>
        <w:t>écran ainsi que le paragraphe</w:t>
      </w:r>
      <w:r w:rsidR="002D6B88">
        <w:rPr>
          <w:rFonts w:eastAsia="Malgun Gothic"/>
          <w:bCs/>
          <w:lang w:val="fr-FR"/>
        </w:rPr>
        <w:t> </w:t>
      </w:r>
      <w:r w:rsidRPr="00826C42">
        <w:rPr>
          <w:rFonts w:eastAsia="Malgun Gothic"/>
          <w:bCs/>
          <w:lang w:val="fr-FR"/>
        </w:rPr>
        <w:t>10 des Directives opérationnelles, qui mentionne deux facteurs que le Comité peut également prendre en compte dans son évaluation. Il a été rappelé qu</w:t>
      </w:r>
      <w:r w:rsidR="00923E72">
        <w:rPr>
          <w:rFonts w:eastAsia="Malgun Gothic"/>
          <w:bCs/>
          <w:lang w:val="fr-FR"/>
        </w:rPr>
        <w:t>’</w:t>
      </w:r>
      <w:r w:rsidRPr="00826C42">
        <w:rPr>
          <w:rFonts w:eastAsia="Malgun Gothic"/>
          <w:bCs/>
          <w:lang w:val="fr-FR"/>
        </w:rPr>
        <w:t>il n</w:t>
      </w:r>
      <w:r w:rsidR="00923E72">
        <w:rPr>
          <w:rFonts w:eastAsia="Malgun Gothic"/>
          <w:bCs/>
          <w:lang w:val="fr-FR"/>
        </w:rPr>
        <w:t>’</w:t>
      </w:r>
      <w:r w:rsidRPr="00826C42">
        <w:rPr>
          <w:rFonts w:eastAsia="Malgun Gothic"/>
          <w:bCs/>
          <w:lang w:val="fr-FR"/>
        </w:rPr>
        <w:t>était pas nécessaire de satisfaire à tous les critères pour que la demande soit approuvée.</w:t>
      </w:r>
    </w:p>
    <w:p w14:paraId="7F3CF54E" w14:textId="151E2D65" w:rsidR="004731D6" w:rsidRDefault="004731D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731D6">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4731D6">
        <w:rPr>
          <w:rFonts w:eastAsia="Malgun Gothic"/>
          <w:bCs/>
          <w:lang w:val="fr-FR"/>
        </w:rPr>
        <w:t xml:space="preserve"> a présenté l</w:t>
      </w:r>
      <w:r>
        <w:rPr>
          <w:rFonts w:eastAsia="Malgun Gothic"/>
          <w:bCs/>
          <w:lang w:val="fr-FR"/>
        </w:rPr>
        <w:t>e dossier de</w:t>
      </w:r>
      <w:r w:rsidRPr="004731D6">
        <w:rPr>
          <w:rFonts w:eastAsia="Malgun Gothic"/>
          <w:bCs/>
          <w:lang w:val="fr-FR"/>
        </w:rPr>
        <w:t xml:space="preserve"> candidature suivante, </w:t>
      </w:r>
      <w:r w:rsidRPr="00702497">
        <w:rPr>
          <w:rFonts w:eastAsia="Malgun Gothic"/>
          <w:b/>
          <w:lang w:val="fr-FR"/>
        </w:rPr>
        <w:t>la xhubleta, savoir-faire, artisanat et formes d</w:t>
      </w:r>
      <w:r w:rsidR="00923E72">
        <w:rPr>
          <w:rFonts w:eastAsia="Malgun Gothic"/>
          <w:b/>
          <w:lang w:val="fr-FR"/>
        </w:rPr>
        <w:t>’</w:t>
      </w:r>
      <w:r w:rsidRPr="00702497">
        <w:rPr>
          <w:rFonts w:eastAsia="Malgun Gothic"/>
          <w:b/>
          <w:lang w:val="fr-FR"/>
        </w:rPr>
        <w:t>utilisation</w:t>
      </w:r>
      <w:r w:rsidRPr="004731D6">
        <w:rPr>
          <w:rFonts w:eastAsia="Malgun Gothic"/>
          <w:bCs/>
          <w:lang w:val="fr-FR"/>
        </w:rPr>
        <w:t xml:space="preserve"> [projet de décision</w:t>
      </w:r>
      <w:r w:rsidR="002D6B88">
        <w:rPr>
          <w:rFonts w:eastAsia="Malgun Gothic"/>
          <w:bCs/>
          <w:lang w:val="fr-FR"/>
        </w:rPr>
        <w:t> </w:t>
      </w:r>
      <w:r w:rsidRPr="004731D6">
        <w:rPr>
          <w:rFonts w:eastAsia="Malgun Gothic"/>
          <w:bCs/>
          <w:lang w:val="fr-FR"/>
        </w:rPr>
        <w:t>7.a.4], soumis par l</w:t>
      </w:r>
      <w:r w:rsidR="00923E72">
        <w:rPr>
          <w:rFonts w:eastAsia="Malgun Gothic"/>
          <w:bCs/>
          <w:lang w:val="fr-FR"/>
        </w:rPr>
        <w:t>’</w:t>
      </w:r>
      <w:r w:rsidRPr="00702497">
        <w:rPr>
          <w:rFonts w:eastAsia="Malgun Gothic"/>
          <w:b/>
          <w:lang w:val="fr-FR"/>
        </w:rPr>
        <w:t>Albanie</w:t>
      </w:r>
      <w:r>
        <w:rPr>
          <w:rFonts w:eastAsia="Malgun Gothic"/>
          <w:bCs/>
          <w:lang w:val="fr-FR"/>
        </w:rPr>
        <w:t>, expliquant que l</w:t>
      </w:r>
      <w:r w:rsidRPr="004731D6">
        <w:rPr>
          <w:rFonts w:eastAsia="Malgun Gothic"/>
          <w:bCs/>
          <w:lang w:val="fr-FR"/>
        </w:rPr>
        <w:t xml:space="preserve">a xhubleta est un vêtement </w:t>
      </w:r>
      <w:r>
        <w:rPr>
          <w:rFonts w:eastAsia="Malgun Gothic"/>
          <w:bCs/>
          <w:lang w:val="fr-FR"/>
        </w:rPr>
        <w:t xml:space="preserve">fait à la main, </w:t>
      </w:r>
      <w:r w:rsidRPr="004731D6">
        <w:rPr>
          <w:rFonts w:eastAsia="Malgun Gothic"/>
          <w:bCs/>
          <w:lang w:val="fr-FR"/>
        </w:rPr>
        <w:t xml:space="preserve">porté par les femmes et les filles </w:t>
      </w:r>
      <w:r>
        <w:rPr>
          <w:rFonts w:eastAsia="Malgun Gothic"/>
          <w:bCs/>
          <w:lang w:val="fr-FR"/>
        </w:rPr>
        <w:t xml:space="preserve">vivant dans les régions montagneuses </w:t>
      </w:r>
      <w:r w:rsidRPr="004731D6">
        <w:rPr>
          <w:rFonts w:eastAsia="Malgun Gothic"/>
          <w:bCs/>
          <w:lang w:val="fr-FR"/>
        </w:rPr>
        <w:t>du nord de l</w:t>
      </w:r>
      <w:r w:rsidR="00923E72">
        <w:rPr>
          <w:rFonts w:eastAsia="Malgun Gothic"/>
          <w:bCs/>
          <w:lang w:val="fr-FR"/>
        </w:rPr>
        <w:t>’</w:t>
      </w:r>
      <w:r w:rsidRPr="004731D6">
        <w:rPr>
          <w:rFonts w:eastAsia="Malgun Gothic"/>
          <w:bCs/>
          <w:lang w:val="fr-FR"/>
        </w:rPr>
        <w:t xml:space="preserve">Albanie, </w:t>
      </w:r>
      <w:r>
        <w:rPr>
          <w:rFonts w:eastAsia="Malgun Gothic"/>
          <w:bCs/>
          <w:lang w:val="fr-FR"/>
        </w:rPr>
        <w:t xml:space="preserve">qui se </w:t>
      </w:r>
      <w:r w:rsidRPr="004731D6">
        <w:rPr>
          <w:rFonts w:eastAsia="Malgun Gothic"/>
          <w:bCs/>
          <w:lang w:val="fr-FR"/>
        </w:rPr>
        <w:t>caractéris</w:t>
      </w:r>
      <w:r>
        <w:rPr>
          <w:rFonts w:eastAsia="Malgun Gothic"/>
          <w:bCs/>
          <w:lang w:val="fr-FR"/>
        </w:rPr>
        <w:t>e</w:t>
      </w:r>
      <w:r w:rsidRPr="004731D6">
        <w:rPr>
          <w:rFonts w:eastAsia="Malgun Gothic"/>
          <w:bCs/>
          <w:lang w:val="fr-FR"/>
        </w:rPr>
        <w:t xml:space="preserve"> par sa forme de cloche ondulée</w:t>
      </w:r>
      <w:r>
        <w:rPr>
          <w:rFonts w:eastAsia="Malgun Gothic"/>
          <w:bCs/>
          <w:lang w:val="fr-FR"/>
        </w:rPr>
        <w:t xml:space="preserve"> Il a précisé que l</w:t>
      </w:r>
      <w:r w:rsidRPr="004731D6">
        <w:rPr>
          <w:rFonts w:eastAsia="Malgun Gothic"/>
          <w:bCs/>
          <w:lang w:val="fr-FR"/>
        </w:rPr>
        <w:t>a xhubleta était autrefois utilisée dans la vie quotidienne dès l</w:t>
      </w:r>
      <w:r w:rsidR="00923E72">
        <w:rPr>
          <w:rFonts w:eastAsia="Malgun Gothic"/>
          <w:bCs/>
          <w:lang w:val="fr-FR"/>
        </w:rPr>
        <w:t>’</w:t>
      </w:r>
      <w:r w:rsidRPr="004731D6">
        <w:rPr>
          <w:rFonts w:eastAsia="Malgun Gothic"/>
          <w:bCs/>
          <w:lang w:val="fr-FR"/>
        </w:rPr>
        <w:t>âge de la puberté, indiquant le statut social et économique de la personne qui la portait</w:t>
      </w:r>
      <w:r w:rsidR="00DB69BB">
        <w:rPr>
          <w:rFonts w:eastAsia="Malgun Gothic"/>
          <w:bCs/>
          <w:lang w:val="fr-FR"/>
        </w:rPr>
        <w:t xml:space="preserve">, </w:t>
      </w:r>
      <w:r>
        <w:rPr>
          <w:rFonts w:eastAsia="Malgun Gothic"/>
          <w:bCs/>
          <w:lang w:val="fr-FR"/>
        </w:rPr>
        <w:t>que, d</w:t>
      </w:r>
      <w:r w:rsidRPr="004731D6">
        <w:rPr>
          <w:rFonts w:eastAsia="Malgun Gothic"/>
          <w:bCs/>
          <w:lang w:val="fr-FR"/>
        </w:rPr>
        <w:t xml:space="preserve">e nos jours, peu de femmes </w:t>
      </w:r>
      <w:r>
        <w:rPr>
          <w:rFonts w:eastAsia="Malgun Gothic"/>
          <w:bCs/>
          <w:lang w:val="fr-FR"/>
        </w:rPr>
        <w:t xml:space="preserve">connaissent </w:t>
      </w:r>
      <w:r w:rsidRPr="004731D6">
        <w:rPr>
          <w:rFonts w:eastAsia="Malgun Gothic"/>
          <w:bCs/>
          <w:lang w:val="fr-FR"/>
        </w:rPr>
        <w:t>l</w:t>
      </w:r>
      <w:r w:rsidR="00923E72">
        <w:rPr>
          <w:rFonts w:eastAsia="Malgun Gothic"/>
          <w:bCs/>
          <w:lang w:val="fr-FR"/>
        </w:rPr>
        <w:t>’</w:t>
      </w:r>
      <w:r w:rsidRPr="004731D6">
        <w:rPr>
          <w:rFonts w:eastAsia="Malgun Gothic"/>
          <w:bCs/>
          <w:lang w:val="fr-FR"/>
        </w:rPr>
        <w:t>ensemble du processus</w:t>
      </w:r>
      <w:r>
        <w:rPr>
          <w:rFonts w:eastAsia="Malgun Gothic"/>
          <w:bCs/>
          <w:lang w:val="fr-FR"/>
        </w:rPr>
        <w:t xml:space="preserve"> de confection</w:t>
      </w:r>
      <w:r w:rsidRPr="004731D6">
        <w:rPr>
          <w:rFonts w:eastAsia="Malgun Gothic"/>
          <w:bCs/>
          <w:lang w:val="fr-FR"/>
        </w:rPr>
        <w:t xml:space="preserve"> et </w:t>
      </w:r>
      <w:r w:rsidR="00DB69BB">
        <w:rPr>
          <w:rFonts w:eastAsia="Malgun Gothic"/>
          <w:bCs/>
          <w:lang w:val="fr-FR"/>
        </w:rPr>
        <w:t xml:space="preserve">que </w:t>
      </w:r>
      <w:r w:rsidRPr="004731D6">
        <w:rPr>
          <w:rFonts w:eastAsia="Malgun Gothic"/>
          <w:bCs/>
          <w:lang w:val="fr-FR"/>
        </w:rPr>
        <w:t>la transmission traditionnelle au sein de la famille est rare. Néanmoins, le vêtement</w:t>
      </w:r>
      <w:r>
        <w:rPr>
          <w:rFonts w:eastAsia="Malgun Gothic"/>
          <w:bCs/>
          <w:lang w:val="fr-FR"/>
        </w:rPr>
        <w:t>, qui</w:t>
      </w:r>
      <w:r w:rsidRPr="004731D6">
        <w:rPr>
          <w:rFonts w:eastAsia="Malgun Gothic"/>
          <w:bCs/>
          <w:lang w:val="fr-FR"/>
        </w:rPr>
        <w:t xml:space="preserve"> a conservé sa signification sociale et spirituelle</w:t>
      </w:r>
      <w:r>
        <w:rPr>
          <w:rFonts w:eastAsia="Malgun Gothic"/>
          <w:bCs/>
          <w:lang w:val="fr-FR"/>
        </w:rPr>
        <w:t>, était</w:t>
      </w:r>
      <w:r w:rsidRPr="004731D6">
        <w:rPr>
          <w:rFonts w:eastAsia="Malgun Gothic"/>
          <w:bCs/>
          <w:lang w:val="fr-FR"/>
        </w:rPr>
        <w:t xml:space="preserve"> toujours considéré comme faisant partie intégrante de l</w:t>
      </w:r>
      <w:r w:rsidR="00923E72">
        <w:rPr>
          <w:rFonts w:eastAsia="Malgun Gothic"/>
          <w:bCs/>
          <w:lang w:val="fr-FR"/>
        </w:rPr>
        <w:t>’</w:t>
      </w:r>
      <w:r w:rsidRPr="004731D6">
        <w:rPr>
          <w:rFonts w:eastAsia="Malgun Gothic"/>
          <w:bCs/>
          <w:lang w:val="fr-FR"/>
        </w:rPr>
        <w:t>identité des</w:t>
      </w:r>
      <w:r>
        <w:rPr>
          <w:rFonts w:eastAsia="Malgun Gothic"/>
          <w:bCs/>
          <w:lang w:val="fr-FR"/>
        </w:rPr>
        <w:t xml:space="preserve"> </w:t>
      </w:r>
      <w:r w:rsidRPr="004731D6">
        <w:rPr>
          <w:rFonts w:eastAsia="Malgun Gothic"/>
          <w:bCs/>
          <w:color w:val="000000" w:themeColor="text1"/>
          <w:lang w:val="fr-FR"/>
        </w:rPr>
        <w:t>communautés</w:t>
      </w:r>
      <w:r>
        <w:rPr>
          <w:rFonts w:eastAsia="Malgun Gothic"/>
          <w:bCs/>
          <w:color w:val="000000" w:themeColor="text1"/>
          <w:lang w:val="fr-FR"/>
        </w:rPr>
        <w:t xml:space="preserve"> montagnardes</w:t>
      </w:r>
      <w:r w:rsidRPr="004731D6">
        <w:rPr>
          <w:rFonts w:eastAsia="Malgun Gothic"/>
          <w:bCs/>
          <w:lang w:val="fr-FR"/>
        </w:rPr>
        <w:t>. L</w:t>
      </w:r>
      <w:r w:rsidR="00923E72">
        <w:rPr>
          <w:rFonts w:eastAsia="Malgun Gothic"/>
          <w:bCs/>
          <w:lang w:val="fr-FR"/>
        </w:rPr>
        <w:t>’</w:t>
      </w:r>
      <w:r w:rsidRPr="004731D6">
        <w:rPr>
          <w:rFonts w:eastAsia="Malgun Gothic"/>
          <w:bCs/>
          <w:lang w:val="fr-FR"/>
        </w:rPr>
        <w:t>Organe d</w:t>
      </w:r>
      <w:r w:rsidR="00923E72">
        <w:rPr>
          <w:rFonts w:eastAsia="Malgun Gothic"/>
          <w:bCs/>
          <w:lang w:val="fr-FR"/>
        </w:rPr>
        <w:t>’</w:t>
      </w:r>
      <w:r w:rsidRPr="004731D6">
        <w:rPr>
          <w:rFonts w:eastAsia="Malgun Gothic"/>
          <w:bCs/>
          <w:lang w:val="fr-FR"/>
        </w:rPr>
        <w:t>évaluation a</w:t>
      </w:r>
      <w:r>
        <w:rPr>
          <w:rFonts w:eastAsia="Malgun Gothic"/>
          <w:bCs/>
          <w:lang w:val="fr-FR"/>
        </w:rPr>
        <w:t>vait</w:t>
      </w:r>
      <w:r w:rsidRPr="004731D6">
        <w:rPr>
          <w:rFonts w:eastAsia="Malgun Gothic"/>
          <w:bCs/>
          <w:lang w:val="fr-FR"/>
        </w:rPr>
        <w:t xml:space="preserve"> estimé que la candidature satisfaisait aux cinq critères</w:t>
      </w:r>
      <w:r>
        <w:rPr>
          <w:rFonts w:eastAsia="Malgun Gothic"/>
          <w:bCs/>
          <w:lang w:val="fr-FR"/>
        </w:rPr>
        <w:t xml:space="preserve">, </w:t>
      </w:r>
      <w:r w:rsidRPr="004731D6">
        <w:rPr>
          <w:rFonts w:eastAsia="Malgun Gothic"/>
          <w:bCs/>
          <w:lang w:val="fr-FR"/>
        </w:rPr>
        <w:t>soulign</w:t>
      </w:r>
      <w:r>
        <w:rPr>
          <w:rFonts w:eastAsia="Malgun Gothic"/>
          <w:bCs/>
          <w:lang w:val="fr-FR"/>
        </w:rPr>
        <w:t>ant</w:t>
      </w:r>
      <w:r w:rsidRPr="004731D6">
        <w:rPr>
          <w:rFonts w:eastAsia="Malgun Gothic"/>
          <w:bCs/>
          <w:lang w:val="fr-FR"/>
        </w:rPr>
        <w:t xml:space="preserve"> qu</w:t>
      </w:r>
      <w:r w:rsidR="00923E72">
        <w:rPr>
          <w:rFonts w:eastAsia="Malgun Gothic"/>
          <w:bCs/>
          <w:lang w:val="fr-FR"/>
        </w:rPr>
        <w:t>’</w:t>
      </w:r>
      <w:r w:rsidRPr="004731D6">
        <w:rPr>
          <w:rFonts w:eastAsia="Malgun Gothic"/>
          <w:bCs/>
          <w:lang w:val="fr-FR"/>
        </w:rPr>
        <w:t>il appréciait le dossier bien préparé</w:t>
      </w:r>
      <w:r w:rsidR="0047721C">
        <w:rPr>
          <w:rFonts w:eastAsia="Malgun Gothic"/>
          <w:bCs/>
          <w:lang w:val="fr-FR"/>
        </w:rPr>
        <w:t>,</w:t>
      </w:r>
      <w:r w:rsidRPr="004731D6">
        <w:rPr>
          <w:rFonts w:eastAsia="Malgun Gothic"/>
          <w:bCs/>
          <w:lang w:val="fr-FR"/>
        </w:rPr>
        <w:t xml:space="preserve"> qui p</w:t>
      </w:r>
      <w:r>
        <w:rPr>
          <w:rFonts w:eastAsia="Malgun Gothic"/>
          <w:bCs/>
          <w:lang w:val="fr-FR"/>
        </w:rPr>
        <w:t>ourrait</w:t>
      </w:r>
      <w:r w:rsidRPr="004731D6">
        <w:rPr>
          <w:rFonts w:eastAsia="Malgun Gothic"/>
          <w:bCs/>
          <w:lang w:val="fr-FR"/>
        </w:rPr>
        <w:t xml:space="preserve"> servir de bon exemple de plan de sauvegarde </w:t>
      </w:r>
      <w:r w:rsidRPr="004731D6">
        <w:rPr>
          <w:rFonts w:eastAsia="Malgun Gothic"/>
          <w:bCs/>
          <w:lang w:val="fr-FR"/>
        </w:rPr>
        <w:lastRenderedPageBreak/>
        <w:t>complet pour traiter la viabilité d</w:t>
      </w:r>
      <w:r w:rsidR="00923E72">
        <w:rPr>
          <w:rFonts w:eastAsia="Malgun Gothic"/>
          <w:bCs/>
          <w:lang w:val="fr-FR"/>
        </w:rPr>
        <w:t>’</w:t>
      </w:r>
      <w:r w:rsidRPr="004731D6">
        <w:rPr>
          <w:rFonts w:eastAsia="Malgun Gothic"/>
          <w:bCs/>
          <w:lang w:val="fr-FR"/>
        </w:rPr>
        <w:t>un élément menacé et nécessitant une sauvegarde urgente. L</w:t>
      </w:r>
      <w:r w:rsidR="00923E72">
        <w:rPr>
          <w:rFonts w:eastAsia="Malgun Gothic"/>
          <w:bCs/>
          <w:lang w:val="fr-FR"/>
        </w:rPr>
        <w:t>’</w:t>
      </w:r>
      <w:r w:rsidRPr="004731D6">
        <w:rPr>
          <w:rFonts w:eastAsia="Malgun Gothic"/>
          <w:bCs/>
          <w:lang w:val="fr-FR"/>
        </w:rPr>
        <w:t>Organe avait vivement apprécié que le dossier prenne en compte la réutilisation des matériaux et la durabilité environnementale dans le processus de sauvegarde de l</w:t>
      </w:r>
      <w:r w:rsidR="00923E72">
        <w:rPr>
          <w:rFonts w:eastAsia="Malgun Gothic"/>
          <w:bCs/>
          <w:lang w:val="fr-FR"/>
        </w:rPr>
        <w:t>’</w:t>
      </w:r>
      <w:r w:rsidRPr="004731D6">
        <w:rPr>
          <w:rFonts w:eastAsia="Malgun Gothic"/>
          <w:bCs/>
          <w:lang w:val="fr-FR"/>
        </w:rPr>
        <w:t>élément. En conclusion, l</w:t>
      </w:r>
      <w:r w:rsidR="00923E72">
        <w:rPr>
          <w:rFonts w:eastAsia="Malgun Gothic"/>
          <w:bCs/>
          <w:lang w:val="fr-FR"/>
        </w:rPr>
        <w:t>’</w:t>
      </w:r>
      <w:r w:rsidRPr="004731D6">
        <w:rPr>
          <w:rFonts w:eastAsia="Malgun Gothic"/>
          <w:bCs/>
          <w:lang w:val="fr-FR"/>
        </w:rPr>
        <w:t>Organe d</w:t>
      </w:r>
      <w:r w:rsidR="00923E72">
        <w:rPr>
          <w:rFonts w:eastAsia="Malgun Gothic"/>
          <w:bCs/>
          <w:lang w:val="fr-FR"/>
        </w:rPr>
        <w:t>’</w:t>
      </w:r>
      <w:r w:rsidRPr="004731D6">
        <w:rPr>
          <w:rFonts w:eastAsia="Malgun Gothic"/>
          <w:bCs/>
          <w:lang w:val="fr-FR"/>
        </w:rPr>
        <w:t>évaluation recommandait l</w:t>
      </w:r>
      <w:r w:rsidR="00923E72">
        <w:rPr>
          <w:rFonts w:eastAsia="Malgun Gothic"/>
          <w:bCs/>
          <w:lang w:val="fr-FR"/>
        </w:rPr>
        <w:t>’</w:t>
      </w:r>
      <w:r w:rsidRPr="004731D6">
        <w:rPr>
          <w:rFonts w:eastAsia="Malgun Gothic"/>
          <w:bCs/>
          <w:lang w:val="fr-FR"/>
        </w:rPr>
        <w:t>inscription de cet élément sur la Liste de sauvegarde urgente. L</w:t>
      </w:r>
      <w:r w:rsidR="00923E72">
        <w:rPr>
          <w:rFonts w:eastAsia="Malgun Gothic"/>
          <w:bCs/>
          <w:lang w:val="fr-FR"/>
        </w:rPr>
        <w:t>’</w:t>
      </w:r>
      <w:r w:rsidRPr="004731D6">
        <w:rPr>
          <w:rFonts w:eastAsia="Malgun Gothic"/>
          <w:bCs/>
          <w:lang w:val="fr-FR"/>
        </w:rPr>
        <w:t>Albanie avait également demandé l</w:t>
      </w:r>
      <w:r w:rsidR="00923E72">
        <w:rPr>
          <w:rFonts w:eastAsia="Malgun Gothic"/>
          <w:bCs/>
          <w:lang w:val="fr-FR"/>
        </w:rPr>
        <w:t>’</w:t>
      </w:r>
      <w:r w:rsidRPr="004731D6">
        <w:rPr>
          <w:rFonts w:eastAsia="Malgun Gothic"/>
          <w:bCs/>
          <w:lang w:val="fr-FR"/>
        </w:rPr>
        <w:t>assistance internationale du Fonds du PCI pour la mise en œuvre du plan de sauvegarde de l</w:t>
      </w:r>
      <w:r w:rsidR="00923E72">
        <w:rPr>
          <w:rFonts w:eastAsia="Malgun Gothic"/>
          <w:bCs/>
          <w:lang w:val="fr-FR"/>
        </w:rPr>
        <w:t>’</w:t>
      </w:r>
      <w:r w:rsidRPr="004731D6">
        <w:rPr>
          <w:rFonts w:eastAsia="Malgun Gothic"/>
          <w:bCs/>
          <w:lang w:val="fr-FR"/>
        </w:rPr>
        <w:t xml:space="preserve">élément. La proposition était un programme de sauvegarde </w:t>
      </w:r>
      <w:r w:rsidR="00090D9A">
        <w:rPr>
          <w:rFonts w:eastAsia="Malgun Gothic"/>
          <w:bCs/>
          <w:lang w:val="fr-FR"/>
        </w:rPr>
        <w:t>biennal</w:t>
      </w:r>
      <w:r w:rsidR="001B4A0A">
        <w:rPr>
          <w:rFonts w:eastAsia="Malgun Gothic"/>
          <w:bCs/>
          <w:lang w:val="fr-FR"/>
        </w:rPr>
        <w:t xml:space="preserve"> </w:t>
      </w:r>
      <w:r w:rsidRPr="004731D6">
        <w:rPr>
          <w:rFonts w:eastAsia="Malgun Gothic"/>
          <w:bCs/>
          <w:lang w:val="fr-FR"/>
        </w:rPr>
        <w:t>qui vis</w:t>
      </w:r>
      <w:r w:rsidR="00090D9A">
        <w:rPr>
          <w:rFonts w:eastAsia="Malgun Gothic"/>
          <w:bCs/>
          <w:lang w:val="fr-FR"/>
        </w:rPr>
        <w:t>ait</w:t>
      </w:r>
      <w:r w:rsidRPr="004731D6">
        <w:rPr>
          <w:rFonts w:eastAsia="Malgun Gothic"/>
          <w:bCs/>
          <w:lang w:val="fr-FR"/>
        </w:rPr>
        <w:t xml:space="preserve"> à soutenir les efforts </w:t>
      </w:r>
      <w:r w:rsidRPr="001A6358">
        <w:rPr>
          <w:rFonts w:eastAsia="Malgun Gothic"/>
          <w:bCs/>
          <w:lang w:val="fr-FR"/>
        </w:rPr>
        <w:t>pour améliorer</w:t>
      </w:r>
      <w:r w:rsidRPr="004731D6">
        <w:rPr>
          <w:rFonts w:eastAsia="Malgun Gothic"/>
          <w:bCs/>
          <w:lang w:val="fr-FR"/>
        </w:rPr>
        <w:t xml:space="preserve"> la </w:t>
      </w:r>
      <w:r w:rsidR="00090D9A">
        <w:rPr>
          <w:rFonts w:eastAsia="Malgun Gothic"/>
          <w:bCs/>
          <w:lang w:val="fr-FR"/>
        </w:rPr>
        <w:t xml:space="preserve">pratique et la </w:t>
      </w:r>
      <w:r w:rsidRPr="004731D6">
        <w:rPr>
          <w:rFonts w:eastAsia="Malgun Gothic"/>
          <w:bCs/>
          <w:lang w:val="fr-FR"/>
        </w:rPr>
        <w:t>transmission de l</w:t>
      </w:r>
      <w:r w:rsidR="00923E72">
        <w:rPr>
          <w:rFonts w:eastAsia="Malgun Gothic"/>
          <w:bCs/>
          <w:lang w:val="fr-FR"/>
        </w:rPr>
        <w:t>’</w:t>
      </w:r>
      <w:r w:rsidRPr="004731D6">
        <w:rPr>
          <w:rFonts w:eastAsia="Malgun Gothic"/>
          <w:bCs/>
          <w:lang w:val="fr-FR"/>
        </w:rPr>
        <w:t>élément dans le nord de l</w:t>
      </w:r>
      <w:r w:rsidR="00923E72">
        <w:rPr>
          <w:rFonts w:eastAsia="Malgun Gothic"/>
          <w:bCs/>
          <w:lang w:val="fr-FR"/>
        </w:rPr>
        <w:t>’</w:t>
      </w:r>
      <w:r w:rsidRPr="004731D6">
        <w:rPr>
          <w:rFonts w:eastAsia="Malgun Gothic"/>
          <w:bCs/>
          <w:lang w:val="fr-FR"/>
        </w:rPr>
        <w:t>Albanie. Elle avait trois objectifs principaux et se fondait sur une forte coopération avec la communauté concernée. Le budget comprenait une description détaillée des dépenses. En conclusion, l</w:t>
      </w:r>
      <w:r w:rsidR="00923E72">
        <w:rPr>
          <w:rFonts w:eastAsia="Malgun Gothic"/>
          <w:bCs/>
          <w:lang w:val="fr-FR"/>
        </w:rPr>
        <w:t>’</w:t>
      </w:r>
      <w:r w:rsidRPr="004731D6">
        <w:rPr>
          <w:rFonts w:eastAsia="Malgun Gothic"/>
          <w:bCs/>
          <w:lang w:val="fr-FR"/>
        </w:rPr>
        <w:t>Organe d</w:t>
      </w:r>
      <w:r w:rsidR="00923E72">
        <w:rPr>
          <w:rFonts w:eastAsia="Malgun Gothic"/>
          <w:bCs/>
          <w:lang w:val="fr-FR"/>
        </w:rPr>
        <w:t>’</w:t>
      </w:r>
      <w:r w:rsidRPr="004731D6">
        <w:rPr>
          <w:rFonts w:eastAsia="Malgun Gothic"/>
          <w:bCs/>
          <w:lang w:val="fr-FR"/>
        </w:rPr>
        <w:t>évaluation  recommandait également d</w:t>
      </w:r>
      <w:r w:rsidR="00923E72">
        <w:rPr>
          <w:rFonts w:eastAsia="Malgun Gothic"/>
          <w:bCs/>
          <w:lang w:val="fr-FR"/>
        </w:rPr>
        <w:t>’</w:t>
      </w:r>
      <w:r w:rsidRPr="004731D6">
        <w:rPr>
          <w:rFonts w:eastAsia="Malgun Gothic"/>
          <w:bCs/>
          <w:lang w:val="fr-FR"/>
        </w:rPr>
        <w:t>approuver la demande d</w:t>
      </w:r>
      <w:r w:rsidR="00923E72">
        <w:rPr>
          <w:rFonts w:eastAsia="Malgun Gothic"/>
          <w:bCs/>
          <w:lang w:val="fr-FR"/>
        </w:rPr>
        <w:t>’</w:t>
      </w:r>
      <w:r w:rsidRPr="004731D6">
        <w:rPr>
          <w:rFonts w:eastAsia="Malgun Gothic"/>
          <w:bCs/>
          <w:lang w:val="fr-FR"/>
        </w:rPr>
        <w:t>assistance internationale soumise par l</w:t>
      </w:r>
      <w:r w:rsidR="00923E72">
        <w:rPr>
          <w:rFonts w:eastAsia="Malgun Gothic"/>
          <w:bCs/>
          <w:lang w:val="fr-FR"/>
        </w:rPr>
        <w:t>’</w:t>
      </w:r>
      <w:r w:rsidRPr="004731D6">
        <w:rPr>
          <w:rFonts w:eastAsia="Malgun Gothic"/>
          <w:bCs/>
          <w:lang w:val="fr-FR"/>
        </w:rPr>
        <w:t>État partie.</w:t>
      </w:r>
    </w:p>
    <w:p w14:paraId="2F0B4D01" w14:textId="04376971" w:rsidR="00090D9A" w:rsidRPr="00AE6A00" w:rsidRDefault="00090D9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w:t>
      </w:r>
      <w:r w:rsidR="00BC178F">
        <w:rPr>
          <w:rFonts w:eastAsia="Malgun Gothic"/>
          <w:bCs/>
          <w:lang w:val="fr-FR"/>
        </w:rPr>
        <w:t xml:space="preserve">donc </w:t>
      </w:r>
      <w:r>
        <w:rPr>
          <w:rFonts w:eastAsia="Malgun Gothic"/>
          <w:bCs/>
          <w:lang w:val="fr-FR"/>
        </w:rPr>
        <w:t>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2D6B88">
        <w:rPr>
          <w:rFonts w:eastAsia="Malgun Gothic"/>
          <w:b/>
          <w:lang w:val="fr-FR"/>
        </w:rPr>
        <w:t> </w:t>
      </w:r>
      <w:r w:rsidR="00751FB1">
        <w:fldChar w:fldCharType="begin"/>
      </w:r>
      <w:r w:rsidR="00751FB1" w:rsidRPr="00751FB1">
        <w:rPr>
          <w:lang w:val="fr-FR"/>
        </w:rPr>
        <w:instrText>HYPERLINK "https://ich.unesco.org/fr/Decisions/17.COM/7.a.4"</w:instrText>
      </w:r>
      <w:r w:rsidR="00751FB1">
        <w:fldChar w:fldCharType="separate"/>
      </w:r>
      <w:r w:rsidRPr="00702497">
        <w:rPr>
          <w:rStyle w:val="Hyperlink"/>
          <w:b/>
          <w:bCs/>
          <w:lang w:val="fr-FR"/>
        </w:rPr>
        <w:t>17.COM 7.a.4</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AE6A00">
        <w:rPr>
          <w:rFonts w:eastAsia="Malgun Gothic"/>
          <w:b/>
          <w:lang w:val="fr-FR"/>
        </w:rPr>
        <w:t>la xhubleta, savoir-faire, artisanat et formes d</w:t>
      </w:r>
      <w:r w:rsidR="00923E72">
        <w:rPr>
          <w:rFonts w:eastAsia="Malgun Gothic"/>
          <w:b/>
          <w:lang w:val="fr-FR"/>
        </w:rPr>
        <w:t>’</w:t>
      </w:r>
      <w:r w:rsidRPr="00AE6A00">
        <w:rPr>
          <w:rFonts w:eastAsia="Malgun Gothic"/>
          <w:b/>
          <w:lang w:val="fr-FR"/>
        </w:rPr>
        <w:t>utilisation</w:t>
      </w:r>
      <w:r>
        <w:rPr>
          <w:rFonts w:eastAsia="Malgun Gothic"/>
          <w:b/>
          <w:lang w:val="fr-FR"/>
        </w:rPr>
        <w:t xml:space="preserve"> sur la Liste de sauvegarde urgente et d</w:t>
      </w:r>
      <w:r w:rsidR="00923E72">
        <w:rPr>
          <w:rFonts w:eastAsia="Malgun Gothic"/>
          <w:b/>
          <w:lang w:val="fr-FR"/>
        </w:rPr>
        <w:t>’</w:t>
      </w:r>
      <w:r>
        <w:rPr>
          <w:rFonts w:eastAsia="Malgun Gothic"/>
          <w:b/>
          <w:lang w:val="fr-FR"/>
        </w:rPr>
        <w:t>accorder l</w:t>
      </w:r>
      <w:r w:rsidR="00923E72">
        <w:rPr>
          <w:rFonts w:eastAsia="Malgun Gothic"/>
          <w:b/>
          <w:lang w:val="fr-FR"/>
        </w:rPr>
        <w:t>’</w:t>
      </w:r>
      <w:r>
        <w:rPr>
          <w:rFonts w:eastAsia="Malgun Gothic"/>
          <w:b/>
          <w:lang w:val="fr-FR"/>
        </w:rPr>
        <w:t>assistance internationale.</w:t>
      </w:r>
    </w:p>
    <w:p w14:paraId="351261C1" w14:textId="5DC4CC75" w:rsidR="00090D9A" w:rsidRDefault="001B4A0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A</w:t>
      </w:r>
      <w:r w:rsidR="00FD3A7F" w:rsidRPr="00FD3A7F">
        <w:rPr>
          <w:rFonts w:eastAsia="Malgun Gothic"/>
          <w:bCs/>
          <w:lang w:val="fr-FR"/>
        </w:rPr>
        <w:t xml:space="preserve">u nom de tous les Albanais et du Gouvernement albanais, </w:t>
      </w:r>
      <w:r>
        <w:rPr>
          <w:rFonts w:eastAsia="Malgun Gothic"/>
          <w:bCs/>
          <w:lang w:val="fr-FR"/>
        </w:rPr>
        <w:t>l</w:t>
      </w:r>
      <w:r w:rsidRPr="00FD3A7F">
        <w:rPr>
          <w:rFonts w:eastAsia="Malgun Gothic"/>
          <w:bCs/>
          <w:lang w:val="fr-FR"/>
        </w:rPr>
        <w:t>a délégation de l</w:t>
      </w:r>
      <w:r w:rsidR="00923E72">
        <w:rPr>
          <w:rFonts w:eastAsia="Malgun Gothic"/>
          <w:bCs/>
          <w:lang w:val="fr-FR"/>
        </w:rPr>
        <w:t>’</w:t>
      </w:r>
      <w:r w:rsidRPr="00E23A33">
        <w:rPr>
          <w:rFonts w:eastAsia="Malgun Gothic"/>
          <w:b/>
          <w:lang w:val="fr-FR"/>
        </w:rPr>
        <w:t>Albanie</w:t>
      </w:r>
      <w:r w:rsidRPr="00FD3A7F">
        <w:rPr>
          <w:rFonts w:eastAsia="Malgun Gothic"/>
          <w:bCs/>
          <w:lang w:val="fr-FR"/>
        </w:rPr>
        <w:t xml:space="preserve"> a exprimé sa gratitude au Comité </w:t>
      </w:r>
      <w:r w:rsidR="00FD3A7F" w:rsidRPr="00FD3A7F">
        <w:rPr>
          <w:rFonts w:eastAsia="Malgun Gothic"/>
          <w:bCs/>
          <w:lang w:val="fr-FR"/>
        </w:rPr>
        <w:t>pour la décision d</w:t>
      </w:r>
      <w:r w:rsidR="00923E72">
        <w:rPr>
          <w:rFonts w:eastAsia="Malgun Gothic"/>
          <w:bCs/>
          <w:lang w:val="fr-FR"/>
        </w:rPr>
        <w:t>’</w:t>
      </w:r>
      <w:r w:rsidR="00FD3A7F" w:rsidRPr="00FD3A7F">
        <w:rPr>
          <w:rFonts w:eastAsia="Malgun Gothic"/>
          <w:bCs/>
          <w:lang w:val="fr-FR"/>
        </w:rPr>
        <w:t>inscrire la maîtrise et l</w:t>
      </w:r>
      <w:r w:rsidR="00923E72">
        <w:rPr>
          <w:rFonts w:eastAsia="Malgun Gothic"/>
          <w:bCs/>
          <w:lang w:val="fr-FR"/>
        </w:rPr>
        <w:t>’</w:t>
      </w:r>
      <w:r w:rsidR="00FD3A7F" w:rsidRPr="00FD3A7F">
        <w:rPr>
          <w:rFonts w:eastAsia="Malgun Gothic"/>
          <w:bCs/>
          <w:lang w:val="fr-FR"/>
        </w:rPr>
        <w:t>excellence de la confection de la xhubleta sur la Liste de sauvegarde urgente et pour l</w:t>
      </w:r>
      <w:r w:rsidR="00923E72">
        <w:rPr>
          <w:rFonts w:eastAsia="Malgun Gothic"/>
          <w:bCs/>
          <w:lang w:val="fr-FR"/>
        </w:rPr>
        <w:t>’</w:t>
      </w:r>
      <w:r w:rsidR="00FD3A7F" w:rsidRPr="00FD3A7F">
        <w:rPr>
          <w:rFonts w:eastAsia="Malgun Gothic"/>
          <w:bCs/>
          <w:lang w:val="fr-FR"/>
        </w:rPr>
        <w:t>approbation de la demande d</w:t>
      </w:r>
      <w:r w:rsidR="00923E72">
        <w:rPr>
          <w:rFonts w:eastAsia="Malgun Gothic"/>
          <w:bCs/>
          <w:lang w:val="fr-FR"/>
        </w:rPr>
        <w:t>’</w:t>
      </w:r>
      <w:r w:rsidR="00FD3A7F" w:rsidRPr="00FD3A7F">
        <w:rPr>
          <w:rFonts w:eastAsia="Malgun Gothic"/>
          <w:bCs/>
          <w:lang w:val="fr-FR"/>
        </w:rPr>
        <w:t>assistance internationale. Pour les Albanais, la xhubleta n</w:t>
      </w:r>
      <w:r w:rsidR="00923E72">
        <w:rPr>
          <w:rFonts w:eastAsia="Malgun Gothic"/>
          <w:bCs/>
          <w:lang w:val="fr-FR"/>
        </w:rPr>
        <w:t>’</w:t>
      </w:r>
      <w:r w:rsidR="00FD3A7F" w:rsidRPr="00FD3A7F">
        <w:rPr>
          <w:rFonts w:eastAsia="Malgun Gothic"/>
          <w:bCs/>
          <w:lang w:val="fr-FR"/>
        </w:rPr>
        <w:t>était pas seulement un costume ou une simple robe, c</w:t>
      </w:r>
      <w:r w:rsidR="00923E72">
        <w:rPr>
          <w:rFonts w:eastAsia="Malgun Gothic"/>
          <w:bCs/>
          <w:lang w:val="fr-FR"/>
        </w:rPr>
        <w:t>’</w:t>
      </w:r>
      <w:r w:rsidR="00FD3A7F" w:rsidRPr="00FD3A7F">
        <w:rPr>
          <w:rFonts w:eastAsia="Malgun Gothic"/>
          <w:bCs/>
          <w:lang w:val="fr-FR"/>
        </w:rPr>
        <w:t>était un mode de vie. La xhubleta accompagnait les femmes des zones montagneuses albanaises de la naissance à la mort, dans la joie comme dans la</w:t>
      </w:r>
      <w:r w:rsidR="00FD3A7F">
        <w:rPr>
          <w:rFonts w:eastAsia="Malgun Gothic"/>
          <w:bCs/>
          <w:lang w:val="fr-FR"/>
        </w:rPr>
        <w:t xml:space="preserve"> peine</w:t>
      </w:r>
      <w:r w:rsidR="00FD3A7F" w:rsidRPr="00FD3A7F">
        <w:rPr>
          <w:rFonts w:eastAsia="Malgun Gothic"/>
          <w:bCs/>
          <w:lang w:val="fr-FR"/>
        </w:rPr>
        <w:t>. Dans le nord de l</w:t>
      </w:r>
      <w:r w:rsidR="00923E72">
        <w:rPr>
          <w:rFonts w:eastAsia="Malgun Gothic"/>
          <w:bCs/>
          <w:lang w:val="fr-FR"/>
        </w:rPr>
        <w:t>’</w:t>
      </w:r>
      <w:r w:rsidR="00FD3A7F" w:rsidRPr="00FD3A7F">
        <w:rPr>
          <w:rFonts w:eastAsia="Malgun Gothic"/>
          <w:bCs/>
          <w:lang w:val="fr-FR"/>
        </w:rPr>
        <w:t>Albanie, où les femmes portaient encore ce costume, on entendait souvent dire que la xhubleta était aussi vieille que les humains et, en effet, les archéologues parl</w:t>
      </w:r>
      <w:r w:rsidR="00FD3A7F">
        <w:rPr>
          <w:rFonts w:eastAsia="Malgun Gothic"/>
          <w:bCs/>
          <w:lang w:val="fr-FR"/>
        </w:rPr>
        <w:t>ai</w:t>
      </w:r>
      <w:r w:rsidR="00FD3A7F" w:rsidRPr="00FD3A7F">
        <w:rPr>
          <w:rFonts w:eastAsia="Malgun Gothic"/>
          <w:bCs/>
          <w:lang w:val="fr-FR"/>
        </w:rPr>
        <w:t>ent d</w:t>
      </w:r>
      <w:r w:rsidR="00923E72">
        <w:rPr>
          <w:rFonts w:eastAsia="Malgun Gothic"/>
          <w:bCs/>
          <w:lang w:val="fr-FR"/>
        </w:rPr>
        <w:t>’</w:t>
      </w:r>
      <w:r w:rsidR="00FD3A7F" w:rsidRPr="00FD3A7F">
        <w:rPr>
          <w:rFonts w:eastAsia="Malgun Gothic"/>
          <w:bCs/>
          <w:lang w:val="fr-FR"/>
        </w:rPr>
        <w:t>un costume de xhubleta vieux de</w:t>
      </w:r>
      <w:r>
        <w:rPr>
          <w:rFonts w:eastAsia="Malgun Gothic"/>
          <w:bCs/>
          <w:lang w:val="fr-FR"/>
        </w:rPr>
        <w:t> </w:t>
      </w:r>
      <w:r w:rsidR="00FD3A7F" w:rsidRPr="00FD3A7F">
        <w:rPr>
          <w:rFonts w:eastAsia="Malgun Gothic"/>
          <w:bCs/>
          <w:lang w:val="fr-FR"/>
        </w:rPr>
        <w:t>4</w:t>
      </w:r>
      <w:r w:rsidR="00FD3A7F">
        <w:rPr>
          <w:rFonts w:eastAsia="Malgun Gothic"/>
          <w:bCs/>
          <w:lang w:val="fr-FR"/>
        </w:rPr>
        <w:t> </w:t>
      </w:r>
      <w:r w:rsidR="00FD3A7F" w:rsidRPr="00FD3A7F">
        <w:rPr>
          <w:rFonts w:eastAsia="Malgun Gothic"/>
          <w:bCs/>
          <w:lang w:val="fr-FR"/>
        </w:rPr>
        <w:t>000 ans. Pendant tout ce temps, il a</w:t>
      </w:r>
      <w:r w:rsidR="00FD3A7F">
        <w:rPr>
          <w:rFonts w:eastAsia="Malgun Gothic"/>
          <w:bCs/>
          <w:lang w:val="fr-FR"/>
        </w:rPr>
        <w:t>vait</w:t>
      </w:r>
      <w:r w:rsidR="00FD3A7F" w:rsidRPr="00FD3A7F">
        <w:rPr>
          <w:rFonts w:eastAsia="Malgun Gothic"/>
          <w:bCs/>
          <w:lang w:val="fr-FR"/>
        </w:rPr>
        <w:t xml:space="preserve"> été le témoin de l</w:t>
      </w:r>
      <w:r w:rsidR="00923E72">
        <w:rPr>
          <w:rFonts w:eastAsia="Malgun Gothic"/>
          <w:bCs/>
          <w:lang w:val="fr-FR"/>
        </w:rPr>
        <w:t>’</w:t>
      </w:r>
      <w:r w:rsidR="00FD3A7F" w:rsidRPr="00FD3A7F">
        <w:rPr>
          <w:rFonts w:eastAsia="Malgun Gothic"/>
          <w:bCs/>
          <w:lang w:val="fr-FR"/>
        </w:rPr>
        <w:t>histoire des habitants de nos terres, évoluant avec eux, tout en s</w:t>
      </w:r>
      <w:r w:rsidR="00923E72">
        <w:rPr>
          <w:rFonts w:eastAsia="Malgun Gothic"/>
          <w:bCs/>
          <w:lang w:val="fr-FR"/>
        </w:rPr>
        <w:t>’</w:t>
      </w:r>
      <w:r w:rsidR="00FD3A7F" w:rsidRPr="00FD3A7F">
        <w:rPr>
          <w:rFonts w:eastAsia="Malgun Gothic"/>
          <w:bCs/>
          <w:lang w:val="fr-FR"/>
        </w:rPr>
        <w:t>enrichissant d</w:t>
      </w:r>
      <w:r w:rsidR="00923E72">
        <w:rPr>
          <w:rFonts w:eastAsia="Malgun Gothic"/>
          <w:bCs/>
          <w:lang w:val="fr-FR"/>
        </w:rPr>
        <w:t>’</w:t>
      </w:r>
      <w:r w:rsidR="00FD3A7F" w:rsidRPr="00FD3A7F">
        <w:rPr>
          <w:rFonts w:eastAsia="Malgun Gothic"/>
          <w:bCs/>
          <w:lang w:val="fr-FR"/>
        </w:rPr>
        <w:t>expériences de vie et de symboles qu</w:t>
      </w:r>
      <w:r w:rsidR="00923E72">
        <w:rPr>
          <w:rFonts w:eastAsia="Malgun Gothic"/>
          <w:bCs/>
          <w:lang w:val="fr-FR"/>
        </w:rPr>
        <w:t>’</w:t>
      </w:r>
      <w:r w:rsidR="00FD3A7F" w:rsidRPr="00FD3A7F">
        <w:rPr>
          <w:rFonts w:eastAsia="Malgun Gothic"/>
          <w:bCs/>
          <w:lang w:val="fr-FR"/>
        </w:rPr>
        <w:t>il faudrait des années pour démêler. Aujourd</w:t>
      </w:r>
      <w:r w:rsidR="00923E72">
        <w:rPr>
          <w:rFonts w:eastAsia="Malgun Gothic"/>
          <w:bCs/>
          <w:lang w:val="fr-FR"/>
        </w:rPr>
        <w:t>’</w:t>
      </w:r>
      <w:r w:rsidR="00FD3A7F" w:rsidRPr="00FD3A7F">
        <w:rPr>
          <w:rFonts w:eastAsia="Malgun Gothic"/>
          <w:bCs/>
          <w:lang w:val="fr-FR"/>
        </w:rPr>
        <w:t>hui, tout était rendu plus facile grâce à la technologie. Il n</w:t>
      </w:r>
      <w:r w:rsidR="00923E72">
        <w:rPr>
          <w:rFonts w:eastAsia="Malgun Gothic"/>
          <w:bCs/>
          <w:lang w:val="fr-FR"/>
        </w:rPr>
        <w:t>’</w:t>
      </w:r>
      <w:r w:rsidR="00FD3A7F" w:rsidRPr="00FD3A7F">
        <w:rPr>
          <w:rFonts w:eastAsia="Malgun Gothic"/>
          <w:bCs/>
          <w:lang w:val="fr-FR"/>
        </w:rPr>
        <w:t xml:space="preserve">était pas difficile de fabriquer à la chaîne une tenue similaire à celle de </w:t>
      </w:r>
      <w:r w:rsidR="006D0AB0">
        <w:rPr>
          <w:rFonts w:eastAsia="Malgun Gothic"/>
          <w:bCs/>
          <w:lang w:val="fr-FR"/>
        </w:rPr>
        <w:t>x</w:t>
      </w:r>
      <w:r w:rsidR="00FD3A7F" w:rsidRPr="00FD3A7F">
        <w:rPr>
          <w:rFonts w:eastAsia="Malgun Gothic"/>
          <w:bCs/>
          <w:lang w:val="fr-FR"/>
        </w:rPr>
        <w:t>hubleta</w:t>
      </w:r>
      <w:r>
        <w:rPr>
          <w:rFonts w:eastAsia="Malgun Gothic"/>
          <w:bCs/>
          <w:lang w:val="fr-FR"/>
        </w:rPr>
        <w:t>,</w:t>
      </w:r>
      <w:r w:rsidR="00FD3A7F" w:rsidRPr="00FD3A7F">
        <w:rPr>
          <w:rFonts w:eastAsia="Malgun Gothic"/>
          <w:bCs/>
          <w:lang w:val="fr-FR"/>
        </w:rPr>
        <w:t xml:space="preserve"> </w:t>
      </w:r>
      <w:r>
        <w:rPr>
          <w:rFonts w:eastAsia="Malgun Gothic"/>
          <w:bCs/>
          <w:lang w:val="fr-FR"/>
        </w:rPr>
        <w:t>m</w:t>
      </w:r>
      <w:r w:rsidR="00FD3A7F" w:rsidRPr="00FD3A7F">
        <w:rPr>
          <w:rFonts w:eastAsia="Malgun Gothic"/>
          <w:bCs/>
          <w:lang w:val="fr-FR"/>
        </w:rPr>
        <w:t>ais la beauté de l</w:t>
      </w:r>
      <w:r w:rsidR="00923E72">
        <w:rPr>
          <w:rFonts w:eastAsia="Malgun Gothic"/>
          <w:bCs/>
          <w:lang w:val="fr-FR"/>
        </w:rPr>
        <w:t>’</w:t>
      </w:r>
      <w:r w:rsidR="00FD3A7F" w:rsidRPr="00FD3A7F">
        <w:rPr>
          <w:rFonts w:eastAsia="Malgun Gothic"/>
          <w:bCs/>
          <w:lang w:val="fr-FR"/>
        </w:rPr>
        <w:t>original, tel qu</w:t>
      </w:r>
      <w:r w:rsidR="00923E72">
        <w:rPr>
          <w:rFonts w:eastAsia="Malgun Gothic"/>
          <w:bCs/>
          <w:lang w:val="fr-FR"/>
        </w:rPr>
        <w:t>’</w:t>
      </w:r>
      <w:r w:rsidR="00FD3A7F" w:rsidRPr="00FD3A7F">
        <w:rPr>
          <w:rFonts w:eastAsia="Malgun Gothic"/>
          <w:bCs/>
          <w:lang w:val="fr-FR"/>
        </w:rPr>
        <w:t xml:space="preserve">il était confectionné par nos mères, </w:t>
      </w:r>
      <w:r w:rsidR="006D0AB0">
        <w:rPr>
          <w:rFonts w:eastAsia="Malgun Gothic"/>
          <w:bCs/>
          <w:lang w:val="fr-FR"/>
        </w:rPr>
        <w:t>était</w:t>
      </w:r>
      <w:r w:rsidR="00FD3A7F" w:rsidRPr="00FD3A7F">
        <w:rPr>
          <w:rFonts w:eastAsia="Malgun Gothic"/>
          <w:bCs/>
          <w:lang w:val="fr-FR"/>
        </w:rPr>
        <w:t xml:space="preserve"> inatteignable. Tout le processus de fabrication d</w:t>
      </w:r>
      <w:r w:rsidR="00923E72">
        <w:rPr>
          <w:rFonts w:eastAsia="Malgun Gothic"/>
          <w:bCs/>
          <w:lang w:val="fr-FR"/>
        </w:rPr>
        <w:t>’</w:t>
      </w:r>
      <w:r w:rsidR="00FD3A7F" w:rsidRPr="00FD3A7F">
        <w:rPr>
          <w:rFonts w:eastAsia="Malgun Gothic"/>
          <w:bCs/>
          <w:lang w:val="fr-FR"/>
        </w:rPr>
        <w:t>une xhubleta était un rituel en soi et comprenait non seulement la connaissance du tissage, mais également celle des formules magiques que les femmes et les jeunes filles murmurent pendant le processus de fabrication de la robe pour qu</w:t>
      </w:r>
      <w:r w:rsidR="00923E72">
        <w:rPr>
          <w:rFonts w:eastAsia="Malgun Gothic"/>
          <w:bCs/>
          <w:lang w:val="fr-FR"/>
        </w:rPr>
        <w:t>’</w:t>
      </w:r>
      <w:r w:rsidR="00FD3A7F" w:rsidRPr="00FD3A7F">
        <w:rPr>
          <w:rFonts w:eastAsia="Malgun Gothic"/>
          <w:bCs/>
          <w:lang w:val="fr-FR"/>
        </w:rPr>
        <w:t>elle soit belle et durable. Cette belle tradition</w:t>
      </w:r>
      <w:r w:rsidR="006D0AB0">
        <w:rPr>
          <w:rFonts w:eastAsia="Malgun Gothic"/>
          <w:bCs/>
          <w:lang w:val="fr-FR"/>
        </w:rPr>
        <w:t xml:space="preserve">, </w:t>
      </w:r>
      <w:r w:rsidR="00FD3A7F" w:rsidRPr="00FD3A7F">
        <w:rPr>
          <w:rFonts w:eastAsia="Malgun Gothic"/>
          <w:bCs/>
          <w:lang w:val="fr-FR"/>
        </w:rPr>
        <w:t>transmise de génération en génération</w:t>
      </w:r>
      <w:r w:rsidR="006D0AB0">
        <w:rPr>
          <w:rFonts w:eastAsia="Malgun Gothic"/>
          <w:bCs/>
          <w:lang w:val="fr-FR"/>
        </w:rPr>
        <w:t xml:space="preserve">, </w:t>
      </w:r>
      <w:r w:rsidR="00FD3A7F" w:rsidRPr="00FD3A7F">
        <w:rPr>
          <w:rFonts w:eastAsia="Malgun Gothic"/>
          <w:bCs/>
          <w:lang w:val="fr-FR"/>
        </w:rPr>
        <w:t>résistait à l</w:t>
      </w:r>
      <w:r w:rsidR="00923E72">
        <w:rPr>
          <w:rFonts w:eastAsia="Malgun Gothic"/>
          <w:bCs/>
          <w:lang w:val="fr-FR"/>
        </w:rPr>
        <w:t>’</w:t>
      </w:r>
      <w:r w:rsidR="00FD3A7F" w:rsidRPr="00FD3A7F">
        <w:rPr>
          <w:rFonts w:eastAsia="Malgun Gothic"/>
          <w:bCs/>
          <w:lang w:val="fr-FR"/>
        </w:rPr>
        <w:t xml:space="preserve">épreuve du temps grâce aux efforts et au dévouement de la communauté locale </w:t>
      </w:r>
      <w:r>
        <w:rPr>
          <w:rFonts w:eastAsia="Malgun Gothic"/>
          <w:bCs/>
          <w:lang w:val="fr-FR"/>
        </w:rPr>
        <w:t>au sein de laquelle</w:t>
      </w:r>
      <w:r w:rsidR="00FD3A7F" w:rsidRPr="00FD3A7F">
        <w:rPr>
          <w:rFonts w:eastAsia="Malgun Gothic"/>
          <w:bCs/>
          <w:lang w:val="fr-FR"/>
        </w:rPr>
        <w:t xml:space="preserve"> elle avait survécu jusqu</w:t>
      </w:r>
      <w:r w:rsidR="00923E72">
        <w:rPr>
          <w:rFonts w:eastAsia="Malgun Gothic"/>
          <w:bCs/>
          <w:lang w:val="fr-FR"/>
        </w:rPr>
        <w:t>’</w:t>
      </w:r>
      <w:r w:rsidR="00FD3A7F" w:rsidRPr="00FD3A7F">
        <w:rPr>
          <w:rFonts w:eastAsia="Malgun Gothic"/>
          <w:bCs/>
          <w:lang w:val="fr-FR"/>
        </w:rPr>
        <w:t>à aujourd</w:t>
      </w:r>
      <w:r w:rsidR="00923E72">
        <w:rPr>
          <w:rFonts w:eastAsia="Malgun Gothic"/>
          <w:bCs/>
          <w:lang w:val="fr-FR"/>
        </w:rPr>
        <w:t>’</w:t>
      </w:r>
      <w:r w:rsidR="00FD3A7F" w:rsidRPr="00FD3A7F">
        <w:rPr>
          <w:rFonts w:eastAsia="Malgun Gothic"/>
          <w:bCs/>
          <w:lang w:val="fr-FR"/>
        </w:rPr>
        <w:t>hui. Sa protection et sa transmission aux autres générations étaient devenues une obligation non seulement nationale, mais également internationale, grâce à l</w:t>
      </w:r>
      <w:r w:rsidR="00923E72">
        <w:rPr>
          <w:rFonts w:eastAsia="Malgun Gothic"/>
          <w:bCs/>
          <w:lang w:val="fr-FR"/>
        </w:rPr>
        <w:t>’</w:t>
      </w:r>
      <w:r w:rsidR="00FD3A7F" w:rsidRPr="00FD3A7F">
        <w:rPr>
          <w:rFonts w:eastAsia="Malgun Gothic"/>
          <w:bCs/>
          <w:lang w:val="fr-FR"/>
        </w:rPr>
        <w:t xml:space="preserve">inscription de </w:t>
      </w:r>
      <w:r w:rsidR="009E5518">
        <w:rPr>
          <w:rFonts w:eastAsia="Malgun Gothic"/>
          <w:bCs/>
          <w:lang w:val="fr-FR"/>
        </w:rPr>
        <w:t xml:space="preserve">la </w:t>
      </w:r>
      <w:r w:rsidR="00FD3A7F" w:rsidRPr="00FD3A7F">
        <w:rPr>
          <w:rFonts w:eastAsia="Malgun Gothic"/>
          <w:bCs/>
          <w:lang w:val="fr-FR"/>
        </w:rPr>
        <w:t xml:space="preserve">xhubleta sur la Liste de sauvegarde urgente. Désormais, il serait obligatoire de mettre en place des structures pour documenter la cartographie précise des lieux </w:t>
      </w:r>
      <w:r w:rsidR="00A5013A">
        <w:rPr>
          <w:rFonts w:eastAsia="Malgun Gothic"/>
          <w:bCs/>
          <w:lang w:val="fr-FR"/>
        </w:rPr>
        <w:t>où</w:t>
      </w:r>
      <w:r w:rsidR="00FD3A7F" w:rsidRPr="00FD3A7F">
        <w:rPr>
          <w:rFonts w:eastAsia="Malgun Gothic"/>
          <w:bCs/>
          <w:lang w:val="fr-FR"/>
        </w:rPr>
        <w:t xml:space="preserve"> la xhubleta</w:t>
      </w:r>
      <w:r w:rsidR="00A5013A">
        <w:rPr>
          <w:rFonts w:eastAsia="Malgun Gothic"/>
          <w:bCs/>
          <w:lang w:val="fr-FR"/>
        </w:rPr>
        <w:t xml:space="preserve"> est portée,</w:t>
      </w:r>
      <w:r w:rsidR="00FD3A7F" w:rsidRPr="00FD3A7F">
        <w:rPr>
          <w:rFonts w:eastAsia="Malgun Gothic"/>
          <w:bCs/>
          <w:lang w:val="fr-FR"/>
        </w:rPr>
        <w:t xml:space="preserve"> et de créer l</w:t>
      </w:r>
      <w:r w:rsidR="00923E72">
        <w:rPr>
          <w:rFonts w:eastAsia="Malgun Gothic"/>
          <w:bCs/>
          <w:lang w:val="fr-FR"/>
        </w:rPr>
        <w:t>’</w:t>
      </w:r>
      <w:r w:rsidR="00FD3A7F" w:rsidRPr="00FD3A7F">
        <w:rPr>
          <w:rFonts w:eastAsia="Malgun Gothic"/>
          <w:bCs/>
          <w:lang w:val="fr-FR"/>
        </w:rPr>
        <w:t>infrastructure adéquate qui permettrait de transmettre les connaissances de génération en génération, d</w:t>
      </w:r>
      <w:r w:rsidR="00923E72">
        <w:rPr>
          <w:rFonts w:eastAsia="Malgun Gothic"/>
          <w:bCs/>
          <w:lang w:val="fr-FR"/>
        </w:rPr>
        <w:t>’</w:t>
      </w:r>
      <w:r w:rsidR="00FD3A7F" w:rsidRPr="00FD3A7F">
        <w:rPr>
          <w:rFonts w:eastAsia="Malgun Gothic"/>
          <w:bCs/>
          <w:lang w:val="fr-FR"/>
        </w:rPr>
        <w:t xml:space="preserve">enseigner </w:t>
      </w:r>
      <w:r w:rsidR="009E5518">
        <w:rPr>
          <w:rFonts w:eastAsia="Malgun Gothic"/>
          <w:bCs/>
          <w:lang w:val="fr-FR"/>
        </w:rPr>
        <w:t xml:space="preserve">le </w:t>
      </w:r>
      <w:r w:rsidR="009E5518" w:rsidRPr="009E5518">
        <w:rPr>
          <w:rFonts w:eastAsia="Malgun Gothic"/>
          <w:bCs/>
          <w:lang w:val="fr-FR"/>
        </w:rPr>
        <w:t>savoir-faire</w:t>
      </w:r>
      <w:r w:rsidR="009E5518">
        <w:rPr>
          <w:rFonts w:eastAsia="Malgun Gothic"/>
          <w:bCs/>
          <w:lang w:val="fr-FR"/>
        </w:rPr>
        <w:t xml:space="preserve"> </w:t>
      </w:r>
      <w:r w:rsidR="00FD3A7F" w:rsidRPr="00FD3A7F">
        <w:rPr>
          <w:rFonts w:eastAsia="Malgun Gothic"/>
          <w:bCs/>
          <w:lang w:val="fr-FR"/>
        </w:rPr>
        <w:t>aux jeunes filles et de promouvoir la xhubleta en tant qu</w:t>
      </w:r>
      <w:r w:rsidR="00923E72">
        <w:rPr>
          <w:rFonts w:eastAsia="Malgun Gothic"/>
          <w:bCs/>
          <w:lang w:val="fr-FR"/>
        </w:rPr>
        <w:t>’</w:t>
      </w:r>
      <w:r w:rsidR="00FD3A7F" w:rsidRPr="00FD3A7F">
        <w:rPr>
          <w:rFonts w:eastAsia="Malgun Gothic"/>
          <w:bCs/>
          <w:lang w:val="fr-FR"/>
        </w:rPr>
        <w:t>atout extraordinaire pour les Albanais et l</w:t>
      </w:r>
      <w:r w:rsidR="00923E72">
        <w:rPr>
          <w:rFonts w:eastAsia="Malgun Gothic"/>
          <w:bCs/>
          <w:lang w:val="fr-FR"/>
        </w:rPr>
        <w:t>’</w:t>
      </w:r>
      <w:r w:rsidR="00FD3A7F" w:rsidRPr="00FD3A7F">
        <w:rPr>
          <w:rFonts w:eastAsia="Malgun Gothic"/>
          <w:bCs/>
          <w:lang w:val="fr-FR"/>
        </w:rPr>
        <w:t>ensemble de la région méditerranéenne. Ce jour n</w:t>
      </w:r>
      <w:r w:rsidR="00923E72">
        <w:rPr>
          <w:rFonts w:eastAsia="Malgun Gothic"/>
          <w:bCs/>
          <w:lang w:val="fr-FR"/>
        </w:rPr>
        <w:t>’</w:t>
      </w:r>
      <w:r w:rsidR="00FD3A7F" w:rsidRPr="00FD3A7F">
        <w:rPr>
          <w:rFonts w:eastAsia="Malgun Gothic"/>
          <w:bCs/>
          <w:lang w:val="fr-FR"/>
        </w:rPr>
        <w:t>était que le début d</w:t>
      </w:r>
      <w:r w:rsidR="00923E72">
        <w:rPr>
          <w:rFonts w:eastAsia="Malgun Gothic"/>
          <w:bCs/>
          <w:lang w:val="fr-FR"/>
        </w:rPr>
        <w:t>’</w:t>
      </w:r>
      <w:r w:rsidR="00FD3A7F" w:rsidRPr="00FD3A7F">
        <w:rPr>
          <w:rFonts w:eastAsia="Malgun Gothic"/>
          <w:bCs/>
          <w:lang w:val="fr-FR"/>
        </w:rPr>
        <w:t>un travail de longue haleine pour la sauvegarde de ce patrimoine.</w:t>
      </w:r>
    </w:p>
    <w:p w14:paraId="7DF28695" w14:textId="173CD738" w:rsidR="00A5013A" w:rsidRDefault="00A5013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félicité tous les États parties pour leurs </w:t>
      </w:r>
      <w:r w:rsidRPr="00A5013A">
        <w:rPr>
          <w:rFonts w:eastAsia="Malgun Gothic"/>
          <w:bCs/>
          <w:lang w:val="fr-FR"/>
        </w:rPr>
        <w:t>inscriptio</w:t>
      </w:r>
      <w:r>
        <w:rPr>
          <w:rFonts w:eastAsia="Malgun Gothic"/>
          <w:bCs/>
          <w:lang w:val="fr-FR"/>
        </w:rPr>
        <w:t>ns réussies. Il a informé le Comité que le Bureau avait reçu une demande de l</w:t>
      </w:r>
      <w:r w:rsidR="00923E72">
        <w:rPr>
          <w:rFonts w:eastAsia="Malgun Gothic"/>
          <w:bCs/>
          <w:lang w:val="fr-FR"/>
        </w:rPr>
        <w:t>’</w:t>
      </w:r>
      <w:r>
        <w:rPr>
          <w:rFonts w:eastAsia="Malgun Gothic"/>
          <w:bCs/>
          <w:lang w:val="fr-FR"/>
        </w:rPr>
        <w:t xml:space="preserve">Andorre et de la France afin que leur </w:t>
      </w:r>
      <w:r w:rsidRPr="00A5013A">
        <w:rPr>
          <w:rFonts w:eastAsia="Malgun Gothic"/>
          <w:bCs/>
          <w:lang w:val="fr-FR"/>
        </w:rPr>
        <w:t>candidature</w:t>
      </w:r>
      <w:r>
        <w:rPr>
          <w:rFonts w:eastAsia="Malgun Gothic"/>
          <w:bCs/>
          <w:lang w:val="fr-FR"/>
        </w:rPr>
        <w:t xml:space="preserve"> soit examinée</w:t>
      </w:r>
      <w:r w:rsidR="009E5518">
        <w:rPr>
          <w:rFonts w:eastAsia="Malgun Gothic"/>
          <w:bCs/>
          <w:lang w:val="fr-FR"/>
        </w:rPr>
        <w:t xml:space="preserve"> dans l</w:t>
      </w:r>
      <w:r w:rsidR="00923E72">
        <w:rPr>
          <w:rFonts w:eastAsia="Malgun Gothic"/>
          <w:bCs/>
          <w:lang w:val="fr-FR"/>
        </w:rPr>
        <w:t>’</w:t>
      </w:r>
      <w:r w:rsidR="009E5518">
        <w:rPr>
          <w:rFonts w:eastAsia="Malgun Gothic"/>
          <w:bCs/>
          <w:lang w:val="fr-FR"/>
        </w:rPr>
        <w:t>après-midi</w:t>
      </w:r>
      <w:r>
        <w:rPr>
          <w:rFonts w:eastAsia="Malgun Gothic"/>
          <w:bCs/>
          <w:lang w:val="fr-FR"/>
        </w:rPr>
        <w:t>, ce qui serait fait juste après la Chine.</w:t>
      </w:r>
    </w:p>
    <w:p w14:paraId="2EF8954C" w14:textId="14194016" w:rsidR="00A5013A" w:rsidRPr="00702497" w:rsidRDefault="00A5013A" w:rsidP="00702497">
      <w:pPr>
        <w:pStyle w:val="Marge"/>
        <w:keepNext/>
        <w:tabs>
          <w:tab w:val="clear" w:pos="567"/>
          <w:tab w:val="left" w:pos="709"/>
          <w:tab w:val="left" w:pos="1418"/>
          <w:tab w:val="left" w:pos="2126"/>
          <w:tab w:val="left" w:pos="2835"/>
        </w:tabs>
        <w:spacing w:before="360" w:after="60"/>
        <w:jc w:val="left"/>
        <w:outlineLvl w:val="0"/>
        <w:rPr>
          <w:rFonts w:eastAsiaTheme="minorHAnsi"/>
          <w:b/>
          <w:color w:val="000000" w:themeColor="text1"/>
        </w:rPr>
      </w:pPr>
      <w:r w:rsidRPr="00A5013A">
        <w:rPr>
          <w:rFonts w:eastAsiaTheme="minorHAnsi" w:cs="Arial"/>
          <w:b/>
          <w:color w:val="000000" w:themeColor="text1"/>
          <w:szCs w:val="22"/>
          <w:u w:val="single"/>
        </w:rPr>
        <w:lastRenderedPageBreak/>
        <w:t>POINT</w:t>
      </w:r>
      <w:r w:rsidR="002B668C">
        <w:rPr>
          <w:rFonts w:eastAsiaTheme="minorHAnsi" w:cs="Arial"/>
          <w:b/>
          <w:color w:val="000000" w:themeColor="text1"/>
          <w:szCs w:val="22"/>
          <w:u w:val="single"/>
        </w:rPr>
        <w:t> </w:t>
      </w:r>
      <w:r w:rsidRPr="00A5013A">
        <w:rPr>
          <w:rFonts w:eastAsiaTheme="minorHAnsi" w:cs="Arial"/>
          <w:b/>
          <w:color w:val="000000" w:themeColor="text1"/>
          <w:szCs w:val="22"/>
          <w:u w:val="single"/>
        </w:rPr>
        <w:t>7.b DE L</w:t>
      </w:r>
      <w:r w:rsidR="00923E72">
        <w:rPr>
          <w:rFonts w:eastAsiaTheme="minorHAnsi" w:cs="Arial"/>
          <w:b/>
          <w:color w:val="000000" w:themeColor="text1"/>
          <w:szCs w:val="22"/>
          <w:u w:val="single"/>
        </w:rPr>
        <w:t>’</w:t>
      </w:r>
      <w:r w:rsidRPr="00A5013A">
        <w:rPr>
          <w:rFonts w:eastAsiaTheme="minorHAnsi" w:cs="Arial"/>
          <w:b/>
          <w:color w:val="000000" w:themeColor="text1"/>
          <w:szCs w:val="22"/>
          <w:u w:val="single"/>
        </w:rPr>
        <w:t>ORDRE DU JOUR</w:t>
      </w:r>
      <w:r w:rsidRPr="00A5013A">
        <w:rPr>
          <w:rFonts w:eastAsiaTheme="minorHAnsi" w:cs="Arial"/>
          <w:b/>
          <w:color w:val="000000" w:themeColor="text1"/>
          <w:szCs w:val="22"/>
        </w:rPr>
        <w:t> :</w:t>
      </w:r>
    </w:p>
    <w:p w14:paraId="11843E02" w14:textId="27BC3D12" w:rsidR="00A5013A" w:rsidRPr="00A5013A" w:rsidRDefault="00A5013A"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A5013A">
        <w:rPr>
          <w:rFonts w:eastAsiaTheme="minorHAnsi"/>
          <w:b/>
          <w:color w:val="000000" w:themeColor="text1"/>
        </w:rPr>
        <w:t>EXAMEN DES CANDIDATURES POUR INSCRIPTION SUR LA LISTE REPRÉSENTATIVE DU PATRIMOINE CULTUREL IMMATÉRIEL DE L</w:t>
      </w:r>
      <w:r w:rsidR="00923E72">
        <w:rPr>
          <w:rFonts w:eastAsiaTheme="minorHAnsi"/>
          <w:b/>
          <w:color w:val="000000" w:themeColor="text1"/>
        </w:rPr>
        <w:t>’</w:t>
      </w:r>
      <w:r w:rsidRPr="00A5013A">
        <w:rPr>
          <w:rFonts w:eastAsiaTheme="minorHAnsi"/>
          <w:b/>
          <w:color w:val="000000" w:themeColor="text1"/>
        </w:rPr>
        <w:t>HUMANITÉ</w:t>
      </w:r>
    </w:p>
    <w:p w14:paraId="194B8B73" w14:textId="6FA1FCBC" w:rsidR="00A5013A" w:rsidRPr="00702497" w:rsidRDefault="00A5013A" w:rsidP="00702497">
      <w:pPr>
        <w:pStyle w:val="Orateurengris"/>
        <w:tabs>
          <w:tab w:val="clear" w:pos="709"/>
          <w:tab w:val="clear" w:pos="1418"/>
          <w:tab w:val="clear" w:pos="2126"/>
          <w:tab w:val="clear" w:pos="2835"/>
        </w:tabs>
        <w:spacing w:after="0"/>
        <w:ind w:left="709"/>
        <w:rPr>
          <w:i/>
          <w:lang w:val="fr-FR"/>
        </w:rPr>
      </w:pPr>
      <w:r w:rsidRPr="00702497">
        <w:rPr>
          <w:b/>
          <w:color w:val="000000" w:themeColor="text1"/>
          <w:lang w:val="fr-FR"/>
        </w:rPr>
        <w:t>Document</w:t>
      </w:r>
      <w:r w:rsidR="00A30EFD">
        <w:rPr>
          <w:b/>
          <w:color w:val="000000" w:themeColor="text1"/>
          <w:lang w:val="fr-FR"/>
        </w:rPr>
        <w:t> </w:t>
      </w:r>
      <w:r w:rsidRPr="00702497">
        <w:rPr>
          <w:b/>
          <w:color w:val="000000" w:themeColor="text1"/>
          <w:lang w:val="fr-FR"/>
        </w:rPr>
        <w:t>:</w:t>
      </w:r>
      <w:r w:rsidRPr="00702497">
        <w:rPr>
          <w:b/>
          <w:iCs/>
          <w:color w:val="000000" w:themeColor="text1"/>
          <w:lang w:val="fr-FR"/>
        </w:rPr>
        <w:tab/>
      </w:r>
      <w:r w:rsidR="00751FB1">
        <w:fldChar w:fldCharType="begin"/>
      </w:r>
      <w:r w:rsidR="00751FB1" w:rsidRPr="00751FB1">
        <w:rPr>
          <w:lang w:val="fr-FR"/>
        </w:rPr>
        <w:instrText>HYPERLINK "https://ich.unesco.org/doc/src/LHE-22-17.COM-7.b_Rev_Add.2-FR.docx"</w:instrText>
      </w:r>
      <w:r w:rsidR="00751FB1">
        <w:fldChar w:fldCharType="separate"/>
      </w:r>
      <w:r w:rsidRPr="00702497">
        <w:rPr>
          <w:rStyle w:val="Hyperlink"/>
          <w:i/>
          <w:lang w:val="fr-FR"/>
        </w:rPr>
        <w:t>LHE/22/17.COM/7.b</w:t>
      </w:r>
      <w:r w:rsidR="001B4A0A">
        <w:rPr>
          <w:rStyle w:val="Hyperlink"/>
          <w:i/>
          <w:lang w:val="fr-FR"/>
        </w:rPr>
        <w:t> </w:t>
      </w:r>
      <w:r w:rsidRPr="00702497">
        <w:rPr>
          <w:rStyle w:val="Hyperlink"/>
          <w:i/>
          <w:lang w:val="fr-FR"/>
        </w:rPr>
        <w:t>Rev.+Add.2</w:t>
      </w:r>
      <w:r w:rsidR="00751FB1">
        <w:rPr>
          <w:rStyle w:val="Hyperlink"/>
          <w:i/>
          <w:lang w:val="fr-FR"/>
        </w:rPr>
        <w:fldChar w:fldCharType="end"/>
      </w:r>
    </w:p>
    <w:p w14:paraId="02318184" w14:textId="2B76227C" w:rsidR="00A5013A" w:rsidRPr="00702497" w:rsidRDefault="00A5013A" w:rsidP="00702497">
      <w:pPr>
        <w:pStyle w:val="Orateurengris"/>
        <w:tabs>
          <w:tab w:val="clear" w:pos="709"/>
          <w:tab w:val="clear" w:pos="1418"/>
          <w:tab w:val="clear" w:pos="2126"/>
          <w:tab w:val="clear" w:pos="2835"/>
        </w:tabs>
        <w:spacing w:after="240"/>
        <w:ind w:left="567"/>
        <w:rPr>
          <w:i/>
          <w:lang w:val="fr-FR"/>
        </w:rPr>
      </w:pPr>
      <w:r w:rsidRPr="00702497">
        <w:rPr>
          <w:b/>
          <w:color w:val="000000" w:themeColor="text1"/>
          <w:lang w:val="fr-FR"/>
        </w:rPr>
        <w:tab/>
      </w:r>
      <w:r w:rsidRPr="00702497">
        <w:rPr>
          <w:b/>
          <w:color w:val="000000" w:themeColor="text1"/>
          <w:lang w:val="fr-FR"/>
        </w:rPr>
        <w:tab/>
      </w:r>
      <w:r w:rsidRPr="00702497">
        <w:rPr>
          <w:b/>
          <w:color w:val="000000" w:themeColor="text1"/>
          <w:lang w:val="fr-FR"/>
        </w:rPr>
        <w:tab/>
      </w:r>
      <w:r w:rsidRPr="00702497">
        <w:rPr>
          <w:bCs/>
          <w:i/>
          <w:iCs/>
          <w:color w:val="000000" w:themeColor="text1"/>
          <w:lang w:val="fr-FR"/>
        </w:rPr>
        <w:t>Voir les</w:t>
      </w:r>
      <w:r w:rsidRPr="00702497">
        <w:rPr>
          <w:b/>
          <w:i/>
          <w:iCs/>
          <w:color w:val="000000" w:themeColor="text1"/>
          <w:lang w:val="fr-FR"/>
        </w:rPr>
        <w:t xml:space="preserve"> </w:t>
      </w:r>
      <w:r w:rsidR="00751FB1">
        <w:fldChar w:fldCharType="begin"/>
      </w:r>
      <w:r w:rsidR="00751FB1" w:rsidRPr="00751FB1">
        <w:rPr>
          <w:lang w:val="fr-FR"/>
        </w:rPr>
        <w:instrText>HYPERLINK "https://ich.unesco.org/fr/7b-representative-list-01281"</w:instrText>
      </w:r>
      <w:r w:rsidR="00751FB1">
        <w:fldChar w:fldCharType="separate"/>
      </w:r>
      <w:r w:rsidRPr="00702497">
        <w:rPr>
          <w:rStyle w:val="Hyperlink"/>
          <w:i/>
          <w:lang w:val="fr-FR"/>
        </w:rPr>
        <w:t>46 candidatures</w:t>
      </w:r>
      <w:r w:rsidR="00751FB1">
        <w:rPr>
          <w:rStyle w:val="Hyperlink"/>
          <w:i/>
          <w:lang w:val="fr-FR"/>
        </w:rPr>
        <w:fldChar w:fldCharType="end"/>
      </w:r>
    </w:p>
    <w:p w14:paraId="412E7984" w14:textId="6D38BD97" w:rsidR="00A5013A" w:rsidRDefault="00A5013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est passé au point</w:t>
      </w:r>
      <w:r w:rsidR="002B668C">
        <w:rPr>
          <w:rFonts w:eastAsia="Malgun Gothic"/>
          <w:bCs/>
          <w:lang w:val="fr-FR"/>
        </w:rPr>
        <w:t> </w:t>
      </w:r>
      <w:r>
        <w:rPr>
          <w:rFonts w:eastAsia="Malgun Gothic"/>
          <w:bCs/>
          <w:lang w:val="fr-FR"/>
        </w:rPr>
        <w:t>7.b</w:t>
      </w:r>
      <w:r w:rsidR="00A30EFD">
        <w:rPr>
          <w:rFonts w:eastAsia="Malgun Gothic"/>
          <w:bCs/>
          <w:lang w:val="fr-FR"/>
        </w:rPr>
        <w:t xml:space="preserve">, </w:t>
      </w:r>
      <w:r>
        <w:rPr>
          <w:rFonts w:eastAsia="Malgun Gothic"/>
          <w:bCs/>
          <w:lang w:val="fr-FR"/>
        </w:rPr>
        <w:t>l</w:t>
      </w:r>
      <w:r w:rsidR="00923E72">
        <w:rPr>
          <w:rFonts w:eastAsia="Malgun Gothic"/>
          <w:bCs/>
          <w:lang w:val="fr-FR"/>
        </w:rPr>
        <w:t>’</w:t>
      </w:r>
      <w:r>
        <w:rPr>
          <w:rFonts w:eastAsia="Malgun Gothic"/>
          <w:bCs/>
          <w:lang w:val="fr-FR"/>
        </w:rPr>
        <w:t xml:space="preserve">examen des </w:t>
      </w:r>
      <w:r w:rsidRPr="00A5013A">
        <w:rPr>
          <w:rFonts w:eastAsia="Malgun Gothic"/>
          <w:bCs/>
          <w:lang w:val="fr-FR"/>
        </w:rPr>
        <w:t>candidatur</w:t>
      </w:r>
      <w:r>
        <w:rPr>
          <w:rFonts w:eastAsia="Malgun Gothic"/>
          <w:bCs/>
          <w:lang w:val="fr-FR"/>
        </w:rPr>
        <w:t xml:space="preserve">es pour </w:t>
      </w:r>
      <w:r w:rsidRPr="00A5013A">
        <w:rPr>
          <w:rFonts w:eastAsia="Malgun Gothic"/>
          <w:bCs/>
          <w:lang w:val="fr-FR"/>
        </w:rPr>
        <w:t>inscription</w:t>
      </w:r>
      <w:r>
        <w:rPr>
          <w:rFonts w:eastAsia="Malgun Gothic"/>
          <w:bCs/>
          <w:lang w:val="fr-FR"/>
        </w:rPr>
        <w:t xml:space="preserve"> sur la Liste représentative du patrimoine culturel immatériel de l</w:t>
      </w:r>
      <w:r w:rsidR="00923E72">
        <w:rPr>
          <w:rFonts w:eastAsia="Malgun Gothic"/>
          <w:bCs/>
          <w:lang w:val="fr-FR"/>
        </w:rPr>
        <w:t>’</w:t>
      </w:r>
      <w:r>
        <w:rPr>
          <w:rFonts w:eastAsia="Malgun Gothic"/>
          <w:bCs/>
          <w:lang w:val="fr-FR"/>
        </w:rPr>
        <w:t>humanité.</w:t>
      </w:r>
    </w:p>
    <w:p w14:paraId="7DAFBF50" w14:textId="1D1E4FA4" w:rsidR="00A5013A" w:rsidRDefault="00A5013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5013A">
        <w:rPr>
          <w:rFonts w:eastAsia="Malgun Gothic"/>
          <w:bCs/>
          <w:lang w:val="fr-FR"/>
        </w:rPr>
        <w:t xml:space="preserve">Le </w:t>
      </w:r>
      <w:r w:rsidRPr="00702497">
        <w:rPr>
          <w:rFonts w:eastAsia="Malgun Gothic"/>
          <w:b/>
          <w:lang w:val="fr-FR"/>
        </w:rPr>
        <w:t>Secrétaire</w:t>
      </w:r>
      <w:r w:rsidRPr="00A5013A">
        <w:rPr>
          <w:rFonts w:eastAsia="Malgun Gothic"/>
          <w:bCs/>
          <w:lang w:val="fr-FR"/>
        </w:rPr>
        <w:t xml:space="preserve"> a informé le Comité que la France et la Belgique avaient retiré leur candidature conjointe</w:t>
      </w:r>
      <w:r w:rsidR="001B4A0A">
        <w:rPr>
          <w:rFonts w:eastAsia="Malgun Gothic"/>
          <w:bCs/>
          <w:lang w:val="fr-FR"/>
        </w:rPr>
        <w:t>,</w:t>
      </w:r>
      <w:r w:rsidR="00A30EFD">
        <w:rPr>
          <w:rFonts w:eastAsia="Malgun Gothic"/>
          <w:bCs/>
          <w:lang w:val="fr-FR"/>
        </w:rPr>
        <w:t xml:space="preserve"> « L</w:t>
      </w:r>
      <w:r w:rsidR="00D471CA">
        <w:rPr>
          <w:rFonts w:eastAsia="Malgun Gothic"/>
          <w:bCs/>
          <w:lang w:val="fr-FR"/>
        </w:rPr>
        <w:t>a c</w:t>
      </w:r>
      <w:r w:rsidRPr="00A5013A">
        <w:rPr>
          <w:rFonts w:eastAsia="Malgun Gothic"/>
          <w:bCs/>
          <w:lang w:val="fr-FR"/>
        </w:rPr>
        <w:t xml:space="preserve">ulture </w:t>
      </w:r>
      <w:r w:rsidR="00D471CA">
        <w:rPr>
          <w:rFonts w:eastAsia="Malgun Gothic"/>
          <w:bCs/>
          <w:lang w:val="fr-FR"/>
        </w:rPr>
        <w:t xml:space="preserve">vivante de la fête </w:t>
      </w:r>
      <w:r w:rsidRPr="00A5013A">
        <w:rPr>
          <w:rFonts w:eastAsia="Malgun Gothic"/>
          <w:bCs/>
          <w:lang w:val="fr-FR"/>
        </w:rPr>
        <w:t>foraine</w:t>
      </w:r>
      <w:r w:rsidR="00D471CA">
        <w:rPr>
          <w:rFonts w:eastAsia="Malgun Gothic"/>
          <w:bCs/>
          <w:lang w:val="fr-FR"/>
        </w:rPr>
        <w:t xml:space="preserve"> et l</w:t>
      </w:r>
      <w:r w:rsidR="00923E72">
        <w:rPr>
          <w:rFonts w:eastAsia="Malgun Gothic"/>
          <w:bCs/>
          <w:lang w:val="fr-FR"/>
        </w:rPr>
        <w:t>’</w:t>
      </w:r>
      <w:r w:rsidRPr="00A5013A">
        <w:rPr>
          <w:rFonts w:eastAsia="Malgun Gothic"/>
          <w:bCs/>
          <w:lang w:val="fr-FR"/>
        </w:rPr>
        <w:t>art des forains</w:t>
      </w:r>
      <w:r w:rsidR="00A30EFD">
        <w:rPr>
          <w:rFonts w:eastAsia="Malgun Gothic"/>
          <w:bCs/>
          <w:lang w:val="fr-FR"/>
        </w:rPr>
        <w:t> »</w:t>
      </w:r>
      <w:r w:rsidR="001B4A0A">
        <w:rPr>
          <w:rFonts w:eastAsia="Malgun Gothic"/>
          <w:bCs/>
          <w:lang w:val="fr-FR"/>
        </w:rPr>
        <w:t>,</w:t>
      </w:r>
      <w:r w:rsidRPr="00A5013A">
        <w:rPr>
          <w:rFonts w:eastAsia="Malgun Gothic"/>
          <w:bCs/>
          <w:lang w:val="fr-FR"/>
        </w:rPr>
        <w:t xml:space="preserve"> </w:t>
      </w:r>
      <w:r w:rsidR="006F049A">
        <w:rPr>
          <w:rFonts w:eastAsia="Malgun Gothic"/>
          <w:bCs/>
          <w:lang w:val="fr-FR"/>
        </w:rPr>
        <w:t>et que l</w:t>
      </w:r>
      <w:r w:rsidRPr="00A5013A">
        <w:rPr>
          <w:rFonts w:eastAsia="Malgun Gothic"/>
          <w:bCs/>
          <w:lang w:val="fr-FR"/>
        </w:rPr>
        <w:t xml:space="preserve">a Grenade </w:t>
      </w:r>
      <w:r w:rsidR="006F049A">
        <w:rPr>
          <w:rFonts w:eastAsia="Malgun Gothic"/>
          <w:bCs/>
          <w:lang w:val="fr-FR"/>
        </w:rPr>
        <w:t xml:space="preserve">en avait fait de même avec </w:t>
      </w:r>
      <w:r w:rsidRPr="00A5013A">
        <w:rPr>
          <w:rFonts w:eastAsia="Malgun Gothic"/>
          <w:bCs/>
          <w:lang w:val="fr-FR"/>
        </w:rPr>
        <w:t>son dossier de candidature</w:t>
      </w:r>
      <w:r w:rsidR="00A30EFD">
        <w:rPr>
          <w:rFonts w:eastAsia="Malgun Gothic"/>
          <w:bCs/>
          <w:lang w:val="fr-FR"/>
        </w:rPr>
        <w:t xml:space="preserve"> « </w:t>
      </w:r>
      <w:r w:rsidR="00D471CA">
        <w:rPr>
          <w:rFonts w:eastAsia="Malgun Gothic"/>
          <w:bCs/>
          <w:lang w:val="fr-FR"/>
        </w:rPr>
        <w:t xml:space="preserve">La </w:t>
      </w:r>
      <w:r w:rsidRPr="00A5013A">
        <w:rPr>
          <w:rFonts w:eastAsia="Malgun Gothic"/>
          <w:bCs/>
          <w:lang w:val="fr-FR"/>
        </w:rPr>
        <w:t>Shakespeare</w:t>
      </w:r>
      <w:r w:rsidR="00D471CA">
        <w:rPr>
          <w:rFonts w:eastAsia="Malgun Gothic"/>
          <w:bCs/>
          <w:lang w:val="fr-FR"/>
        </w:rPr>
        <w:t xml:space="preserve"> Mas</w:t>
      </w:r>
      <w:r w:rsidR="00923E72">
        <w:rPr>
          <w:rFonts w:eastAsia="Malgun Gothic"/>
          <w:bCs/>
          <w:lang w:val="fr-FR"/>
        </w:rPr>
        <w:t>’</w:t>
      </w:r>
      <w:r w:rsidRPr="00A5013A">
        <w:rPr>
          <w:rFonts w:eastAsia="Malgun Gothic"/>
          <w:bCs/>
          <w:lang w:val="fr-FR"/>
        </w:rPr>
        <w:t xml:space="preserve">, une composante traditionnelle du </w:t>
      </w:r>
      <w:r w:rsidR="00D471CA">
        <w:rPr>
          <w:rFonts w:eastAsia="Malgun Gothic"/>
          <w:bCs/>
          <w:lang w:val="fr-FR"/>
        </w:rPr>
        <w:t>C</w:t>
      </w:r>
      <w:r w:rsidRPr="00A5013A">
        <w:rPr>
          <w:rFonts w:eastAsia="Malgun Gothic"/>
          <w:bCs/>
          <w:lang w:val="fr-FR"/>
        </w:rPr>
        <w:t xml:space="preserve">arnaval propre à </w:t>
      </w:r>
      <w:proofErr w:type="spellStart"/>
      <w:r w:rsidRPr="00A5013A">
        <w:rPr>
          <w:rFonts w:eastAsia="Malgun Gothic"/>
          <w:bCs/>
          <w:lang w:val="fr-FR"/>
        </w:rPr>
        <w:t>Carriacou</w:t>
      </w:r>
      <w:proofErr w:type="spellEnd"/>
      <w:r w:rsidR="00A30EFD">
        <w:rPr>
          <w:rFonts w:eastAsia="Malgun Gothic"/>
          <w:bCs/>
          <w:lang w:val="fr-FR"/>
        </w:rPr>
        <w:t> »</w:t>
      </w:r>
      <w:r w:rsidRPr="00A5013A">
        <w:rPr>
          <w:rFonts w:eastAsia="Malgun Gothic"/>
          <w:bCs/>
          <w:lang w:val="fr-FR"/>
        </w:rPr>
        <w:t>. Cela signifiait que quarante</w:t>
      </w:r>
      <w:r w:rsidR="00A30EFD">
        <w:rPr>
          <w:rFonts w:eastAsia="Malgun Gothic"/>
          <w:bCs/>
          <w:lang w:val="fr-FR"/>
        </w:rPr>
        <w:noBreakHyphen/>
      </w:r>
      <w:r w:rsidRPr="00A5013A">
        <w:rPr>
          <w:rFonts w:eastAsia="Malgun Gothic"/>
          <w:bCs/>
          <w:lang w:val="fr-FR"/>
        </w:rPr>
        <w:t>quatre candidatures seraient examinées en vue d</w:t>
      </w:r>
      <w:r w:rsidR="00923E72">
        <w:rPr>
          <w:rFonts w:eastAsia="Malgun Gothic"/>
          <w:bCs/>
          <w:lang w:val="fr-FR"/>
        </w:rPr>
        <w:t>’</w:t>
      </w:r>
      <w:r w:rsidRPr="00A5013A">
        <w:rPr>
          <w:rFonts w:eastAsia="Malgun Gothic"/>
          <w:bCs/>
          <w:lang w:val="fr-FR"/>
        </w:rPr>
        <w:t>une éventuelle inscription sur la Liste représentative. Les critères (R.1,</w:t>
      </w:r>
      <w:r w:rsidR="001B4A0A">
        <w:rPr>
          <w:rFonts w:eastAsia="Malgun Gothic"/>
          <w:bCs/>
          <w:lang w:val="fr-FR"/>
        </w:rPr>
        <w:t> </w:t>
      </w:r>
      <w:r w:rsidRPr="00A5013A">
        <w:rPr>
          <w:rFonts w:eastAsia="Malgun Gothic"/>
          <w:bCs/>
          <w:lang w:val="fr-FR"/>
        </w:rPr>
        <w:t>R.2,</w:t>
      </w:r>
      <w:r w:rsidR="001B4A0A">
        <w:rPr>
          <w:rFonts w:eastAsia="Malgun Gothic"/>
          <w:bCs/>
          <w:lang w:val="fr-FR"/>
        </w:rPr>
        <w:t> </w:t>
      </w:r>
      <w:r w:rsidRPr="00A5013A">
        <w:rPr>
          <w:rFonts w:eastAsia="Malgun Gothic"/>
          <w:bCs/>
          <w:lang w:val="fr-FR"/>
        </w:rPr>
        <w:t>R.3,</w:t>
      </w:r>
      <w:r w:rsidR="001B4A0A">
        <w:rPr>
          <w:rFonts w:eastAsia="Malgun Gothic"/>
          <w:bCs/>
          <w:lang w:val="fr-FR"/>
        </w:rPr>
        <w:t> </w:t>
      </w:r>
      <w:r w:rsidRPr="00A5013A">
        <w:rPr>
          <w:rFonts w:eastAsia="Malgun Gothic"/>
          <w:bCs/>
          <w:lang w:val="fr-FR"/>
        </w:rPr>
        <w:t>R.4 et</w:t>
      </w:r>
      <w:r w:rsidR="001B4A0A">
        <w:rPr>
          <w:rFonts w:eastAsia="Malgun Gothic"/>
          <w:bCs/>
          <w:lang w:val="fr-FR"/>
        </w:rPr>
        <w:t> </w:t>
      </w:r>
      <w:r w:rsidRPr="00A5013A">
        <w:rPr>
          <w:rFonts w:eastAsia="Malgun Gothic"/>
          <w:bCs/>
          <w:lang w:val="fr-FR"/>
        </w:rPr>
        <w:t>R.5) qui guident les décisions au titre de ce point ont été projetés à l</w:t>
      </w:r>
      <w:r w:rsidR="00923E72">
        <w:rPr>
          <w:rFonts w:eastAsia="Malgun Gothic"/>
          <w:bCs/>
          <w:lang w:val="fr-FR"/>
        </w:rPr>
        <w:t>’</w:t>
      </w:r>
      <w:r w:rsidRPr="00A5013A">
        <w:rPr>
          <w:rFonts w:eastAsia="Malgun Gothic"/>
          <w:bCs/>
          <w:lang w:val="fr-FR"/>
        </w:rPr>
        <w:t>écran. Les États soumissionnaires devaient démontrer qu</w:t>
      </w:r>
      <w:r w:rsidR="00923E72">
        <w:rPr>
          <w:rFonts w:eastAsia="Malgun Gothic"/>
          <w:bCs/>
          <w:lang w:val="fr-FR"/>
        </w:rPr>
        <w:t>’</w:t>
      </w:r>
      <w:r w:rsidRPr="00A5013A">
        <w:rPr>
          <w:rFonts w:eastAsia="Malgun Gothic"/>
          <w:bCs/>
          <w:lang w:val="fr-FR"/>
        </w:rPr>
        <w:t>un élément soumis à candidature satisfaisait à l</w:t>
      </w:r>
      <w:r w:rsidR="00923E72">
        <w:rPr>
          <w:rFonts w:eastAsia="Malgun Gothic"/>
          <w:bCs/>
          <w:lang w:val="fr-FR"/>
        </w:rPr>
        <w:t>’</w:t>
      </w:r>
      <w:r w:rsidRPr="00A5013A">
        <w:rPr>
          <w:rFonts w:eastAsia="Malgun Gothic"/>
          <w:bCs/>
          <w:lang w:val="fr-FR"/>
        </w:rPr>
        <w:t>ensemble des cinq critères.</w:t>
      </w:r>
    </w:p>
    <w:p w14:paraId="07485821" w14:textId="006F46CD" w:rsidR="00D471CA" w:rsidRDefault="00D471C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471CA">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D471CA">
        <w:rPr>
          <w:rFonts w:eastAsia="Malgun Gothic"/>
          <w:bCs/>
          <w:lang w:val="fr-FR"/>
        </w:rPr>
        <w:t xml:space="preserve"> a présenté le premier dossier de candidature, </w:t>
      </w:r>
      <w:r w:rsidRPr="00702497">
        <w:rPr>
          <w:rFonts w:eastAsia="Malgun Gothic"/>
          <w:b/>
          <w:lang w:val="fr-FR"/>
        </w:rPr>
        <w:t xml:space="preserve">le </w:t>
      </w:r>
      <w:proofErr w:type="spellStart"/>
      <w:r w:rsidRPr="00702497">
        <w:rPr>
          <w:rFonts w:eastAsia="Malgun Gothic"/>
          <w:b/>
          <w:lang w:val="fr-FR"/>
        </w:rPr>
        <w:t>kun</w:t>
      </w:r>
      <w:proofErr w:type="spellEnd"/>
      <w:r w:rsidRPr="00702497">
        <w:rPr>
          <w:rFonts w:eastAsia="Malgun Gothic"/>
          <w:b/>
          <w:lang w:val="fr-FR"/>
        </w:rPr>
        <w:t xml:space="preserve"> </w:t>
      </w:r>
      <w:proofErr w:type="spellStart"/>
      <w:r w:rsidRPr="00702497">
        <w:rPr>
          <w:rFonts w:eastAsia="Malgun Gothic"/>
          <w:b/>
          <w:lang w:val="fr-FR"/>
        </w:rPr>
        <w:t>lbokator</w:t>
      </w:r>
      <w:proofErr w:type="spellEnd"/>
      <w:r w:rsidRPr="00702497">
        <w:rPr>
          <w:rFonts w:eastAsia="Malgun Gothic"/>
          <w:b/>
          <w:lang w:val="fr-FR"/>
        </w:rPr>
        <w:t>, un art martial traditionnel au Cambodge</w:t>
      </w:r>
      <w:r w:rsidRPr="00D471CA">
        <w:rPr>
          <w:rFonts w:eastAsia="Malgun Gothic"/>
          <w:bCs/>
          <w:lang w:val="fr-FR"/>
        </w:rPr>
        <w:t xml:space="preserve"> [projet de décision</w:t>
      </w:r>
      <w:r w:rsidR="00A30EFD">
        <w:rPr>
          <w:rFonts w:eastAsia="Malgun Gothic"/>
          <w:bCs/>
          <w:lang w:val="fr-FR"/>
        </w:rPr>
        <w:t> </w:t>
      </w:r>
      <w:r w:rsidRPr="00D471CA">
        <w:rPr>
          <w:rFonts w:eastAsia="Malgun Gothic"/>
          <w:bCs/>
          <w:lang w:val="fr-FR"/>
        </w:rPr>
        <w:t xml:space="preserve">7.b.1], soumis par le </w:t>
      </w:r>
      <w:r w:rsidRPr="00702497">
        <w:rPr>
          <w:rFonts w:eastAsia="Malgun Gothic"/>
          <w:b/>
          <w:lang w:val="fr-FR"/>
        </w:rPr>
        <w:t>Cambodge</w:t>
      </w:r>
      <w:r w:rsidRPr="00D471CA">
        <w:rPr>
          <w:rFonts w:eastAsia="Malgun Gothic"/>
          <w:bCs/>
          <w:lang w:val="fr-FR"/>
        </w:rPr>
        <w:t>, expliquant que l</w:t>
      </w:r>
      <w:r w:rsidR="00923E72">
        <w:rPr>
          <w:rFonts w:eastAsia="Malgun Gothic"/>
          <w:bCs/>
          <w:lang w:val="fr-FR"/>
        </w:rPr>
        <w:t>’</w:t>
      </w:r>
      <w:r w:rsidRPr="00D471CA">
        <w:rPr>
          <w:rFonts w:eastAsia="Malgun Gothic"/>
          <w:bCs/>
          <w:lang w:val="fr-FR"/>
        </w:rPr>
        <w:t>élément inculque et développe la force mentale et physique et la discipline chez ses</w:t>
      </w:r>
      <w:r>
        <w:rPr>
          <w:rFonts w:eastAsia="Malgun Gothic"/>
          <w:bCs/>
          <w:lang w:val="fr-FR"/>
        </w:rPr>
        <w:t xml:space="preserve"> praticiens</w:t>
      </w:r>
      <w:r w:rsidRPr="00D471CA">
        <w:rPr>
          <w:rFonts w:eastAsia="Malgun Gothic"/>
          <w:bCs/>
          <w:lang w:val="fr-FR"/>
        </w:rPr>
        <w:t xml:space="preserve">, </w:t>
      </w:r>
      <w:r>
        <w:rPr>
          <w:rFonts w:eastAsia="Malgun Gothic"/>
          <w:bCs/>
          <w:lang w:val="fr-FR"/>
        </w:rPr>
        <w:t>qu</w:t>
      </w:r>
      <w:r w:rsidR="00923E72">
        <w:rPr>
          <w:rFonts w:eastAsia="Malgun Gothic"/>
          <w:bCs/>
          <w:lang w:val="fr-FR"/>
        </w:rPr>
        <w:t>’</w:t>
      </w:r>
      <w:r>
        <w:rPr>
          <w:rFonts w:eastAsia="Malgun Gothic"/>
          <w:bCs/>
          <w:lang w:val="fr-FR"/>
        </w:rPr>
        <w:t xml:space="preserve">il </w:t>
      </w:r>
      <w:r w:rsidRPr="00D471CA">
        <w:rPr>
          <w:rFonts w:eastAsia="Malgun Gothic"/>
          <w:bCs/>
          <w:lang w:val="fr-FR"/>
        </w:rPr>
        <w:t>impliqu</w:t>
      </w:r>
      <w:r>
        <w:rPr>
          <w:rFonts w:eastAsia="Malgun Gothic"/>
          <w:bCs/>
          <w:lang w:val="fr-FR"/>
        </w:rPr>
        <w:t>e</w:t>
      </w:r>
      <w:r w:rsidRPr="00D471CA">
        <w:rPr>
          <w:rFonts w:eastAsia="Malgun Gothic"/>
          <w:bCs/>
          <w:lang w:val="fr-FR"/>
        </w:rPr>
        <w:t xml:space="preserve"> des rituels et des pratiques sociales, qu</w:t>
      </w:r>
      <w:r w:rsidR="00923E72">
        <w:rPr>
          <w:rFonts w:eastAsia="Malgun Gothic"/>
          <w:bCs/>
          <w:lang w:val="fr-FR"/>
        </w:rPr>
        <w:t>’</w:t>
      </w:r>
      <w:r w:rsidRPr="00D471CA">
        <w:rPr>
          <w:rFonts w:eastAsia="Malgun Gothic"/>
          <w:bCs/>
          <w:lang w:val="fr-FR"/>
        </w:rPr>
        <w:t>il est pratiqué dans le cadre d</w:t>
      </w:r>
      <w:r w:rsidR="00923E72">
        <w:rPr>
          <w:rFonts w:eastAsia="Malgun Gothic"/>
          <w:bCs/>
          <w:lang w:val="fr-FR"/>
        </w:rPr>
        <w:t>’</w:t>
      </w:r>
      <w:r w:rsidRPr="00D471CA">
        <w:rPr>
          <w:rFonts w:eastAsia="Malgun Gothic"/>
          <w:bCs/>
          <w:lang w:val="fr-FR"/>
        </w:rPr>
        <w:t xml:space="preserve">offrandes rituelles aux divinités locales lors de rassemblements, de </w:t>
      </w:r>
      <w:r>
        <w:rPr>
          <w:rFonts w:eastAsia="Malgun Gothic"/>
          <w:bCs/>
          <w:lang w:val="fr-FR"/>
        </w:rPr>
        <w:t xml:space="preserve">festivités </w:t>
      </w:r>
      <w:r w:rsidRPr="00D471CA">
        <w:rPr>
          <w:rFonts w:eastAsia="Malgun Gothic"/>
          <w:bCs/>
          <w:lang w:val="fr-FR"/>
        </w:rPr>
        <w:t>et d</w:t>
      </w:r>
      <w:r w:rsidR="00923E72">
        <w:rPr>
          <w:rFonts w:eastAsia="Malgun Gothic"/>
          <w:bCs/>
          <w:lang w:val="fr-FR"/>
        </w:rPr>
        <w:t>’</w:t>
      </w:r>
      <w:r w:rsidRPr="00D471CA">
        <w:rPr>
          <w:rFonts w:eastAsia="Malgun Gothic"/>
          <w:bCs/>
          <w:lang w:val="fr-FR"/>
        </w:rPr>
        <w:t>événements majeurs et qu</w:t>
      </w:r>
      <w:r w:rsidR="00923E72">
        <w:rPr>
          <w:rFonts w:eastAsia="Malgun Gothic"/>
          <w:bCs/>
          <w:lang w:val="fr-FR"/>
        </w:rPr>
        <w:t>’</w:t>
      </w:r>
      <w:r w:rsidRPr="00D471CA">
        <w:rPr>
          <w:rFonts w:eastAsia="Malgun Gothic"/>
          <w:bCs/>
          <w:lang w:val="fr-FR"/>
        </w:rPr>
        <w:t>il joue un rôle clé dans le renforcement du respect entre les pratiquants et leur société ainsi que dans la protection de l</w:t>
      </w:r>
      <w:r w:rsidR="00923E72">
        <w:rPr>
          <w:rFonts w:eastAsia="Malgun Gothic"/>
          <w:bCs/>
          <w:lang w:val="fr-FR"/>
        </w:rPr>
        <w:t>’</w:t>
      </w:r>
      <w:r w:rsidRPr="00D471CA">
        <w:rPr>
          <w:rFonts w:eastAsia="Malgun Gothic"/>
          <w:bCs/>
          <w:lang w:val="fr-FR"/>
        </w:rPr>
        <w:t>environnement. L</w:t>
      </w:r>
      <w:r w:rsidR="00923E72">
        <w:rPr>
          <w:rFonts w:eastAsia="Malgun Gothic"/>
          <w:bCs/>
          <w:lang w:val="fr-FR"/>
        </w:rPr>
        <w:t>’</w:t>
      </w:r>
      <w:r w:rsidRPr="00D471CA">
        <w:rPr>
          <w:rFonts w:eastAsia="Malgun Gothic"/>
          <w:bCs/>
          <w:lang w:val="fr-FR"/>
        </w:rPr>
        <w:t>Organe d</w:t>
      </w:r>
      <w:r w:rsidR="00923E72">
        <w:rPr>
          <w:rFonts w:eastAsia="Malgun Gothic"/>
          <w:bCs/>
          <w:lang w:val="fr-FR"/>
        </w:rPr>
        <w:t>’</w:t>
      </w:r>
      <w:r w:rsidRPr="00D471CA">
        <w:rPr>
          <w:rFonts w:eastAsia="Malgun Gothic"/>
          <w:bCs/>
          <w:lang w:val="fr-FR"/>
        </w:rPr>
        <w:t>évaluation avait considéré que la candidature satisfaisait à l</w:t>
      </w:r>
      <w:r w:rsidR="00923E72">
        <w:rPr>
          <w:rFonts w:eastAsia="Malgun Gothic"/>
          <w:bCs/>
          <w:lang w:val="fr-FR"/>
        </w:rPr>
        <w:t>’</w:t>
      </w:r>
      <w:r w:rsidRPr="00D471CA">
        <w:rPr>
          <w:rFonts w:eastAsia="Malgun Gothic"/>
          <w:bCs/>
          <w:lang w:val="fr-FR"/>
        </w:rPr>
        <w:t>ensemble des cinq critères. Le dossier expliquait que la viabilité et le développement de l</w:t>
      </w:r>
      <w:r w:rsidR="00923E72">
        <w:rPr>
          <w:rFonts w:eastAsia="Malgun Gothic"/>
          <w:bCs/>
          <w:lang w:val="fr-FR"/>
        </w:rPr>
        <w:t>’</w:t>
      </w:r>
      <w:r w:rsidRPr="00D471CA">
        <w:rPr>
          <w:rFonts w:eastAsia="Malgun Gothic"/>
          <w:bCs/>
          <w:lang w:val="fr-FR"/>
        </w:rPr>
        <w:t xml:space="preserve">élément sont assurés par des maîtres qui forment des individus en organisant divers ateliers, en ouvrant des écoles de formation et en mettant en place un réseau interprovincial pour partager les expériences </w:t>
      </w:r>
      <w:r w:rsidR="004F4FD8">
        <w:rPr>
          <w:rFonts w:eastAsia="Malgun Gothic"/>
          <w:bCs/>
          <w:lang w:val="fr-FR"/>
        </w:rPr>
        <w:t>associées à</w:t>
      </w:r>
      <w:r w:rsidRPr="00D471CA">
        <w:rPr>
          <w:rFonts w:eastAsia="Malgun Gothic"/>
          <w:bCs/>
          <w:lang w:val="fr-FR"/>
        </w:rPr>
        <w:t xml:space="preserve"> l</w:t>
      </w:r>
      <w:r w:rsidR="00923E72">
        <w:rPr>
          <w:rFonts w:eastAsia="Malgun Gothic"/>
          <w:bCs/>
          <w:lang w:val="fr-FR"/>
        </w:rPr>
        <w:t>’</w:t>
      </w:r>
      <w:r w:rsidRPr="00D471CA">
        <w:rPr>
          <w:rFonts w:eastAsia="Malgun Gothic"/>
          <w:bCs/>
          <w:lang w:val="fr-FR"/>
        </w:rPr>
        <w:t>élément. Cependant, l</w:t>
      </w:r>
      <w:r w:rsidR="00923E72">
        <w:rPr>
          <w:rFonts w:eastAsia="Malgun Gothic"/>
          <w:bCs/>
          <w:lang w:val="fr-FR"/>
        </w:rPr>
        <w:t>’</w:t>
      </w:r>
      <w:r w:rsidRPr="00D471CA">
        <w:rPr>
          <w:rFonts w:eastAsia="Malgun Gothic"/>
          <w:bCs/>
          <w:lang w:val="fr-FR"/>
        </w:rPr>
        <w:t>Organe avait noté qu</w:t>
      </w:r>
      <w:r w:rsidR="00923E72">
        <w:rPr>
          <w:rFonts w:eastAsia="Malgun Gothic"/>
          <w:bCs/>
          <w:lang w:val="fr-FR"/>
        </w:rPr>
        <w:t>’</w:t>
      </w:r>
      <w:r w:rsidRPr="00D471CA">
        <w:rPr>
          <w:rFonts w:eastAsia="Malgun Gothic"/>
          <w:bCs/>
          <w:lang w:val="fr-FR"/>
        </w:rPr>
        <w:t>il import</w:t>
      </w:r>
      <w:r w:rsidR="001B4A0A">
        <w:rPr>
          <w:rFonts w:eastAsia="Malgun Gothic"/>
          <w:bCs/>
          <w:lang w:val="fr-FR"/>
        </w:rPr>
        <w:t>erait</w:t>
      </w:r>
      <w:r w:rsidRPr="00D471CA">
        <w:rPr>
          <w:rFonts w:eastAsia="Malgun Gothic"/>
          <w:bCs/>
          <w:lang w:val="fr-FR"/>
        </w:rPr>
        <w:t xml:space="preserve"> que l</w:t>
      </w:r>
      <w:r w:rsidR="00923E72">
        <w:rPr>
          <w:rFonts w:eastAsia="Malgun Gothic"/>
          <w:bCs/>
          <w:lang w:val="fr-FR"/>
        </w:rPr>
        <w:t>’</w:t>
      </w:r>
      <w:r w:rsidRPr="00D471CA">
        <w:rPr>
          <w:rFonts w:eastAsia="Malgun Gothic"/>
          <w:bCs/>
          <w:lang w:val="fr-FR"/>
        </w:rPr>
        <w:t xml:space="preserve">État partie mette en œuvre des mesures de sécurité </w:t>
      </w:r>
      <w:r w:rsidR="004F4FD8">
        <w:rPr>
          <w:rFonts w:eastAsia="Malgun Gothic"/>
          <w:bCs/>
          <w:lang w:val="fr-FR"/>
        </w:rPr>
        <w:t xml:space="preserve">afin de garantir </w:t>
      </w:r>
      <w:r w:rsidRPr="00D471CA">
        <w:rPr>
          <w:rFonts w:eastAsia="Malgun Gothic"/>
          <w:bCs/>
          <w:lang w:val="fr-FR"/>
        </w:rPr>
        <w:t xml:space="preserve">le bien-être et la sécurité des </w:t>
      </w:r>
      <w:r w:rsidR="004F4FD8">
        <w:rPr>
          <w:rFonts w:eastAsia="Malgun Gothic"/>
          <w:bCs/>
          <w:lang w:val="fr-FR"/>
        </w:rPr>
        <w:t xml:space="preserve">praticiens </w:t>
      </w:r>
      <w:r w:rsidRPr="00D471CA">
        <w:rPr>
          <w:rFonts w:eastAsia="Malgun Gothic"/>
          <w:bCs/>
          <w:lang w:val="fr-FR"/>
        </w:rPr>
        <w:t>lors</w:t>
      </w:r>
      <w:r w:rsidR="004F4FD8">
        <w:rPr>
          <w:rFonts w:eastAsia="Malgun Gothic"/>
          <w:bCs/>
          <w:lang w:val="fr-FR"/>
        </w:rPr>
        <w:t>qu</w:t>
      </w:r>
      <w:r w:rsidR="00923E72">
        <w:rPr>
          <w:rFonts w:eastAsia="Malgun Gothic"/>
          <w:bCs/>
          <w:lang w:val="fr-FR"/>
        </w:rPr>
        <w:t>’</w:t>
      </w:r>
      <w:r w:rsidR="004F4FD8">
        <w:rPr>
          <w:rFonts w:eastAsia="Malgun Gothic"/>
          <w:bCs/>
          <w:lang w:val="fr-FR"/>
        </w:rPr>
        <w:t xml:space="preserve">ils </w:t>
      </w:r>
      <w:r w:rsidRPr="00D471CA">
        <w:rPr>
          <w:rFonts w:eastAsia="Malgun Gothic"/>
          <w:bCs/>
          <w:lang w:val="fr-FR"/>
        </w:rPr>
        <w:t>pratique</w:t>
      </w:r>
      <w:r w:rsidR="004F4FD8">
        <w:rPr>
          <w:rFonts w:eastAsia="Malgun Gothic"/>
          <w:bCs/>
          <w:lang w:val="fr-FR"/>
        </w:rPr>
        <w:t xml:space="preserve">nt </w:t>
      </w:r>
      <w:r w:rsidRPr="00D471CA">
        <w:rPr>
          <w:rFonts w:eastAsia="Malgun Gothic"/>
          <w:bCs/>
          <w:lang w:val="fr-FR"/>
        </w:rPr>
        <w:t>l</w:t>
      </w:r>
      <w:r w:rsidR="00923E72">
        <w:rPr>
          <w:rFonts w:eastAsia="Malgun Gothic"/>
          <w:bCs/>
          <w:lang w:val="fr-FR"/>
        </w:rPr>
        <w:t>’</w:t>
      </w:r>
      <w:r w:rsidRPr="00D471CA">
        <w:rPr>
          <w:rFonts w:eastAsia="Malgun Gothic"/>
          <w:bCs/>
          <w:lang w:val="fr-FR"/>
        </w:rPr>
        <w:t>élément. L</w:t>
      </w:r>
      <w:r w:rsidR="00923E72">
        <w:rPr>
          <w:rFonts w:eastAsia="Malgun Gothic"/>
          <w:bCs/>
          <w:lang w:val="fr-FR"/>
        </w:rPr>
        <w:t>’</w:t>
      </w:r>
      <w:r w:rsidR="004F4FD8">
        <w:rPr>
          <w:rFonts w:eastAsia="Malgun Gothic"/>
          <w:bCs/>
          <w:lang w:val="fr-FR"/>
        </w:rPr>
        <w:t>Organe d</w:t>
      </w:r>
      <w:r w:rsidR="00923E72">
        <w:rPr>
          <w:rFonts w:eastAsia="Malgun Gothic"/>
          <w:bCs/>
          <w:lang w:val="fr-FR"/>
        </w:rPr>
        <w:t>’</w:t>
      </w:r>
      <w:r w:rsidR="004F4FD8">
        <w:rPr>
          <w:rFonts w:eastAsia="Malgun Gothic"/>
          <w:bCs/>
          <w:lang w:val="fr-FR"/>
        </w:rPr>
        <w:t>évaluation</w:t>
      </w:r>
      <w:r w:rsidRPr="00D471CA">
        <w:rPr>
          <w:rFonts w:eastAsia="Malgun Gothic"/>
          <w:bCs/>
          <w:lang w:val="fr-FR"/>
        </w:rPr>
        <w:t xml:space="preserve"> recommandait l</w:t>
      </w:r>
      <w:r w:rsidR="00923E72">
        <w:rPr>
          <w:rFonts w:eastAsia="Malgun Gothic"/>
          <w:bCs/>
          <w:lang w:val="fr-FR"/>
        </w:rPr>
        <w:t>’</w:t>
      </w:r>
      <w:r w:rsidRPr="00D471CA">
        <w:rPr>
          <w:rFonts w:eastAsia="Malgun Gothic"/>
          <w:bCs/>
          <w:lang w:val="fr-FR"/>
        </w:rPr>
        <w:t>inscription de cet élément sur la Liste représentative.</w:t>
      </w:r>
    </w:p>
    <w:p w14:paraId="7BF2561C" w14:textId="078B353F" w:rsidR="004F4FD8" w:rsidRDefault="004F4FD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A30EFD">
        <w:rPr>
          <w:rFonts w:eastAsia="Malgun Gothic"/>
          <w:b/>
          <w:lang w:val="fr-FR"/>
        </w:rPr>
        <w:t> </w:t>
      </w:r>
      <w:r w:rsidR="00751FB1">
        <w:fldChar w:fldCharType="begin"/>
      </w:r>
      <w:r w:rsidR="00751FB1" w:rsidRPr="00751FB1">
        <w:rPr>
          <w:lang w:val="fr-FR"/>
        </w:rPr>
        <w:instrText>HYPERLINK "https://ich.unesco.org/fr/Decisions/17.COM/7.b.1"</w:instrText>
      </w:r>
      <w:r w:rsidR="00751FB1">
        <w:fldChar w:fldCharType="separate"/>
      </w:r>
      <w:r w:rsidRPr="00702497">
        <w:rPr>
          <w:rStyle w:val="Hyperlink"/>
          <w:b/>
          <w:bCs/>
          <w:lang w:val="fr-FR"/>
        </w:rPr>
        <w:t>17.COM 7.b.1</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AE6A00">
        <w:rPr>
          <w:rFonts w:eastAsia="Malgun Gothic"/>
          <w:b/>
          <w:lang w:val="fr-FR"/>
        </w:rPr>
        <w:t xml:space="preserve">le </w:t>
      </w:r>
      <w:proofErr w:type="spellStart"/>
      <w:r w:rsidRPr="00AE6A00">
        <w:rPr>
          <w:rFonts w:eastAsia="Malgun Gothic"/>
          <w:b/>
          <w:lang w:val="fr-FR"/>
        </w:rPr>
        <w:t>kun</w:t>
      </w:r>
      <w:proofErr w:type="spellEnd"/>
      <w:r w:rsidRPr="00AE6A00">
        <w:rPr>
          <w:rFonts w:eastAsia="Malgun Gothic"/>
          <w:b/>
          <w:lang w:val="fr-FR"/>
        </w:rPr>
        <w:t xml:space="preserve"> </w:t>
      </w:r>
      <w:proofErr w:type="spellStart"/>
      <w:r w:rsidRPr="00AE6A00">
        <w:rPr>
          <w:rFonts w:eastAsia="Malgun Gothic"/>
          <w:b/>
          <w:lang w:val="fr-FR"/>
        </w:rPr>
        <w:t>lbokator</w:t>
      </w:r>
      <w:proofErr w:type="spellEnd"/>
      <w:r w:rsidRPr="00AE6A00">
        <w:rPr>
          <w:rFonts w:eastAsia="Malgun Gothic"/>
          <w:b/>
          <w:lang w:val="fr-FR"/>
        </w:rPr>
        <w:t>, un art martial traditionnel au Cambodge</w:t>
      </w:r>
      <w:r>
        <w:rPr>
          <w:rFonts w:eastAsia="Malgun Gothic"/>
          <w:b/>
          <w:lang w:val="fr-FR"/>
        </w:rPr>
        <w:t xml:space="preserve"> sur la Liste représentative</w:t>
      </w:r>
      <w:r>
        <w:rPr>
          <w:rFonts w:eastAsia="Malgun Gothic"/>
          <w:bCs/>
          <w:lang w:val="fr-FR"/>
        </w:rPr>
        <w:t>.</w:t>
      </w:r>
    </w:p>
    <w:p w14:paraId="415DA30C" w14:textId="5650AF7E" w:rsidR="004F4FD8" w:rsidRDefault="00F569E3"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F569E3">
        <w:rPr>
          <w:rFonts w:eastAsia="Malgun Gothic"/>
          <w:bCs/>
          <w:lang w:val="fr-FR"/>
        </w:rPr>
        <w:t>La</w:t>
      </w:r>
      <w:r w:rsidR="001A6358">
        <w:rPr>
          <w:rFonts w:eastAsia="Malgun Gothic"/>
          <w:bCs/>
          <w:lang w:val="fr-FR"/>
        </w:rPr>
        <w:t xml:space="preserve"> </w:t>
      </w:r>
      <w:r w:rsidR="001A6358" w:rsidRPr="001A6358">
        <w:rPr>
          <w:rFonts w:eastAsia="Malgun Gothic"/>
          <w:b/>
          <w:lang w:val="fr-FR"/>
        </w:rPr>
        <w:t xml:space="preserve">ministre de la Culture et des Beaux-Arts du Cambodge, </w:t>
      </w:r>
      <w:r w:rsidR="001A6358" w:rsidRPr="006E3034">
        <w:rPr>
          <w:rFonts w:eastAsia="Malgun Gothic"/>
          <w:bCs/>
          <w:lang w:val="fr-FR"/>
        </w:rPr>
        <w:t>S. E</w:t>
      </w:r>
      <w:r w:rsidR="00F846ED" w:rsidRPr="006E3034">
        <w:rPr>
          <w:rFonts w:eastAsia="Malgun Gothic"/>
          <w:bCs/>
          <w:lang w:val="fr-FR"/>
        </w:rPr>
        <w:t>xc</w:t>
      </w:r>
      <w:r w:rsidR="00B17188" w:rsidRPr="006E3034">
        <w:rPr>
          <w:rFonts w:eastAsia="Malgun Gothic"/>
          <w:bCs/>
          <w:lang w:val="fr-FR"/>
        </w:rPr>
        <w:t>.</w:t>
      </w:r>
      <w:r w:rsidR="001A6358" w:rsidRPr="006E3034">
        <w:rPr>
          <w:rFonts w:eastAsia="Malgun Gothic"/>
          <w:bCs/>
          <w:lang w:val="fr-FR"/>
        </w:rPr>
        <w:t xml:space="preserve"> M</w:t>
      </w:r>
      <w:r w:rsidR="001A6358" w:rsidRPr="006E3034">
        <w:rPr>
          <w:rFonts w:eastAsia="Malgun Gothic"/>
          <w:bCs/>
          <w:vertAlign w:val="superscript"/>
          <w:lang w:val="fr-FR"/>
        </w:rPr>
        <w:t>me</w:t>
      </w:r>
      <w:r w:rsidR="002E083D" w:rsidRPr="006E3034">
        <w:rPr>
          <w:rFonts w:eastAsia="Malgun Gothic"/>
          <w:bCs/>
          <w:lang w:val="fr-FR"/>
        </w:rPr>
        <w:t> </w:t>
      </w:r>
      <w:proofErr w:type="spellStart"/>
      <w:r w:rsidR="001A6358" w:rsidRPr="006E3034">
        <w:rPr>
          <w:rFonts w:eastAsia="Malgun Gothic"/>
          <w:bCs/>
          <w:lang w:val="fr-FR"/>
        </w:rPr>
        <w:t>Sackona</w:t>
      </w:r>
      <w:proofErr w:type="spellEnd"/>
      <w:r w:rsidR="001A6358" w:rsidRPr="006E3034">
        <w:rPr>
          <w:rFonts w:eastAsia="Malgun Gothic"/>
          <w:bCs/>
          <w:lang w:val="fr-FR"/>
        </w:rPr>
        <w:t xml:space="preserve"> </w:t>
      </w:r>
      <w:proofErr w:type="spellStart"/>
      <w:r w:rsidR="001A6358" w:rsidRPr="006E3034">
        <w:rPr>
          <w:rFonts w:eastAsia="Malgun Gothic"/>
          <w:bCs/>
          <w:lang w:val="fr-FR"/>
        </w:rPr>
        <w:t>Phoeurng</w:t>
      </w:r>
      <w:proofErr w:type="spellEnd"/>
      <w:r w:rsidR="001A6358">
        <w:rPr>
          <w:rFonts w:eastAsia="Malgun Gothic"/>
          <w:bCs/>
          <w:lang w:val="fr-FR"/>
        </w:rPr>
        <w:t xml:space="preserve">, </w:t>
      </w:r>
      <w:r w:rsidRPr="00F569E3">
        <w:rPr>
          <w:rFonts w:eastAsia="Malgun Gothic"/>
          <w:bCs/>
          <w:lang w:val="fr-FR"/>
        </w:rPr>
        <w:t>a remercié le Comité pour sa décision d</w:t>
      </w:r>
      <w:r w:rsidR="00923E72">
        <w:rPr>
          <w:rFonts w:eastAsia="Malgun Gothic"/>
          <w:bCs/>
          <w:lang w:val="fr-FR"/>
        </w:rPr>
        <w:t>’</w:t>
      </w:r>
      <w:r w:rsidRPr="00F569E3">
        <w:rPr>
          <w:rFonts w:eastAsia="Malgun Gothic"/>
          <w:bCs/>
          <w:lang w:val="fr-FR"/>
        </w:rPr>
        <w:t xml:space="preserve">inscrire le </w:t>
      </w:r>
      <w:proofErr w:type="spellStart"/>
      <w:r w:rsidRPr="00F569E3">
        <w:rPr>
          <w:rFonts w:eastAsia="Malgun Gothic"/>
          <w:bCs/>
          <w:lang w:val="fr-FR"/>
        </w:rPr>
        <w:t>kun</w:t>
      </w:r>
      <w:proofErr w:type="spellEnd"/>
      <w:r w:rsidRPr="00F569E3">
        <w:rPr>
          <w:rFonts w:eastAsia="Malgun Gothic"/>
          <w:bCs/>
          <w:lang w:val="fr-FR"/>
        </w:rPr>
        <w:t xml:space="preserve"> </w:t>
      </w:r>
      <w:proofErr w:type="spellStart"/>
      <w:r w:rsidRPr="00F569E3">
        <w:rPr>
          <w:rFonts w:eastAsia="Malgun Gothic"/>
          <w:bCs/>
          <w:lang w:val="fr-FR"/>
        </w:rPr>
        <w:t>lbokator</w:t>
      </w:r>
      <w:proofErr w:type="spellEnd"/>
      <w:r w:rsidRPr="00F569E3">
        <w:rPr>
          <w:rFonts w:eastAsia="Malgun Gothic"/>
          <w:bCs/>
          <w:lang w:val="fr-FR"/>
        </w:rPr>
        <w:t xml:space="preserve"> sur la Liste représentative. Cette inscription s</w:t>
      </w:r>
      <w:r w:rsidR="00923E72">
        <w:rPr>
          <w:rFonts w:eastAsia="Malgun Gothic"/>
          <w:bCs/>
          <w:lang w:val="fr-FR"/>
        </w:rPr>
        <w:t>’</w:t>
      </w:r>
      <w:r w:rsidRPr="00F569E3">
        <w:rPr>
          <w:rFonts w:eastAsia="Malgun Gothic"/>
          <w:bCs/>
          <w:lang w:val="fr-FR"/>
        </w:rPr>
        <w:t>inscrirait dans l</w:t>
      </w:r>
      <w:r w:rsidR="00923E72">
        <w:rPr>
          <w:rFonts w:eastAsia="Malgun Gothic"/>
          <w:bCs/>
          <w:lang w:val="fr-FR"/>
        </w:rPr>
        <w:t>’</w:t>
      </w:r>
      <w:r w:rsidRPr="00F569E3">
        <w:rPr>
          <w:rFonts w:eastAsia="Malgun Gothic"/>
          <w:bCs/>
          <w:lang w:val="fr-FR"/>
        </w:rPr>
        <w:t xml:space="preserve">histoire </w:t>
      </w:r>
      <w:r>
        <w:rPr>
          <w:rFonts w:eastAsia="Malgun Gothic"/>
          <w:bCs/>
          <w:lang w:val="fr-FR"/>
        </w:rPr>
        <w:t xml:space="preserve">vieille </w:t>
      </w:r>
      <w:r w:rsidRPr="00F569E3">
        <w:rPr>
          <w:rFonts w:eastAsia="Malgun Gothic"/>
          <w:bCs/>
          <w:lang w:val="fr-FR"/>
        </w:rPr>
        <w:t>de</w:t>
      </w:r>
      <w:r w:rsidR="0023576B">
        <w:rPr>
          <w:rFonts w:eastAsia="Malgun Gothic"/>
          <w:bCs/>
          <w:lang w:val="fr-FR"/>
        </w:rPr>
        <w:t> </w:t>
      </w:r>
      <w:r w:rsidRPr="00F569E3">
        <w:rPr>
          <w:rFonts w:eastAsia="Malgun Gothic"/>
          <w:bCs/>
          <w:lang w:val="fr-FR"/>
        </w:rPr>
        <w:t>2</w:t>
      </w:r>
      <w:r>
        <w:rPr>
          <w:rFonts w:eastAsia="Malgun Gothic"/>
          <w:bCs/>
          <w:lang w:val="fr-FR"/>
        </w:rPr>
        <w:t> </w:t>
      </w:r>
      <w:r w:rsidRPr="00F569E3">
        <w:rPr>
          <w:rFonts w:eastAsia="Malgun Gothic"/>
          <w:bCs/>
          <w:lang w:val="fr-FR"/>
        </w:rPr>
        <w:t>000 ans de cet art martial khmer</w:t>
      </w:r>
      <w:r w:rsidR="0047721C">
        <w:rPr>
          <w:rFonts w:eastAsia="Malgun Gothic"/>
          <w:bCs/>
          <w:lang w:val="fr-FR"/>
        </w:rPr>
        <w:t>,</w:t>
      </w:r>
      <w:r>
        <w:rPr>
          <w:rFonts w:eastAsia="Malgun Gothic"/>
          <w:bCs/>
          <w:lang w:val="fr-FR"/>
        </w:rPr>
        <w:t xml:space="preserve"> qui apporte </w:t>
      </w:r>
      <w:r w:rsidRPr="00F569E3">
        <w:rPr>
          <w:rFonts w:eastAsia="Malgun Gothic"/>
          <w:bCs/>
          <w:lang w:val="fr-FR"/>
        </w:rPr>
        <w:t xml:space="preserve">joie et fierté aux maîtres, aux pratiquants, aux communautés et au peuple du Cambodge. Cette décision récompensait pleinement les efforts déployés pour sauvegarder tous les éléments de ce dossier de candidature à un niveau de reconnaissance internationale. La délégation a dédié cette inscription et rendu hommage à deux maîtres, maître </w:t>
      </w:r>
      <w:proofErr w:type="spellStart"/>
      <w:r w:rsidRPr="00F569E3">
        <w:rPr>
          <w:rFonts w:eastAsia="Malgun Gothic"/>
          <w:bCs/>
          <w:lang w:val="fr-FR"/>
        </w:rPr>
        <w:t>Ith</w:t>
      </w:r>
      <w:proofErr w:type="spellEnd"/>
      <w:r w:rsidRPr="00F569E3">
        <w:rPr>
          <w:rFonts w:eastAsia="Malgun Gothic"/>
          <w:bCs/>
          <w:lang w:val="fr-FR"/>
        </w:rPr>
        <w:t xml:space="preserve"> Pen et maître Ros </w:t>
      </w:r>
      <w:proofErr w:type="spellStart"/>
      <w:r w:rsidRPr="00F569E3">
        <w:rPr>
          <w:rFonts w:eastAsia="Malgun Gothic"/>
          <w:bCs/>
          <w:lang w:val="fr-FR"/>
        </w:rPr>
        <w:t>Serei</w:t>
      </w:r>
      <w:proofErr w:type="spellEnd"/>
      <w:r w:rsidRPr="00F569E3">
        <w:rPr>
          <w:rFonts w:eastAsia="Malgun Gothic"/>
          <w:bCs/>
          <w:lang w:val="fr-FR"/>
        </w:rPr>
        <w:t>, qui n</w:t>
      </w:r>
      <w:r w:rsidR="00923E72">
        <w:rPr>
          <w:rFonts w:eastAsia="Malgun Gothic"/>
          <w:bCs/>
          <w:lang w:val="fr-FR"/>
        </w:rPr>
        <w:t>’</w:t>
      </w:r>
      <w:r w:rsidRPr="00F569E3">
        <w:rPr>
          <w:rFonts w:eastAsia="Malgun Gothic"/>
          <w:bCs/>
          <w:lang w:val="fr-FR"/>
        </w:rPr>
        <w:t>étaient malheureusement plus parmi nous aujourd</w:t>
      </w:r>
      <w:r w:rsidR="00923E72">
        <w:rPr>
          <w:rFonts w:eastAsia="Malgun Gothic"/>
          <w:bCs/>
          <w:lang w:val="fr-FR"/>
        </w:rPr>
        <w:t>’</w:t>
      </w:r>
      <w:r w:rsidRPr="00F569E3">
        <w:rPr>
          <w:rFonts w:eastAsia="Malgun Gothic"/>
          <w:bCs/>
          <w:lang w:val="fr-FR"/>
        </w:rPr>
        <w:t xml:space="preserve">hui et qui ne pourraient pas célébrer le résultat de leur travail. Au nom du Gouvernement royal du Cambodge, la ministre de la Culture et des Beaux-Arts a assuré le Comité que toutes les recommandations énoncées dans cette décision seraient </w:t>
      </w:r>
      <w:r w:rsidR="00DA2EEB">
        <w:rPr>
          <w:rFonts w:eastAsia="Malgun Gothic"/>
          <w:bCs/>
          <w:lang w:val="fr-FR"/>
        </w:rPr>
        <w:t xml:space="preserve">sérieusement </w:t>
      </w:r>
      <w:r w:rsidRPr="00F569E3">
        <w:rPr>
          <w:rFonts w:eastAsia="Malgun Gothic"/>
          <w:bCs/>
          <w:lang w:val="fr-FR"/>
        </w:rPr>
        <w:t>prise</w:t>
      </w:r>
      <w:r w:rsidR="0023576B">
        <w:rPr>
          <w:rFonts w:eastAsia="Malgun Gothic"/>
          <w:bCs/>
          <w:lang w:val="fr-FR"/>
        </w:rPr>
        <w:t>s</w:t>
      </w:r>
      <w:r w:rsidRPr="00F569E3">
        <w:rPr>
          <w:rFonts w:eastAsia="Malgun Gothic"/>
          <w:bCs/>
          <w:lang w:val="fr-FR"/>
        </w:rPr>
        <w:t xml:space="preserve"> en considération afin de sauvegarder et de promouvoir l</w:t>
      </w:r>
      <w:r w:rsidR="00923E72">
        <w:rPr>
          <w:rFonts w:eastAsia="Malgun Gothic"/>
          <w:bCs/>
          <w:lang w:val="fr-FR"/>
        </w:rPr>
        <w:t>’</w:t>
      </w:r>
      <w:r w:rsidRPr="00F569E3">
        <w:rPr>
          <w:rFonts w:eastAsia="Malgun Gothic"/>
          <w:bCs/>
          <w:lang w:val="fr-FR"/>
        </w:rPr>
        <w:t xml:space="preserve">élément inscrit et les autres éléments du patrimoine culturel immatériel au Cambodge. Le Ministère continuerait à travailler en étroite collaboration avec les </w:t>
      </w:r>
      <w:r w:rsidR="00BC178F">
        <w:rPr>
          <w:rFonts w:eastAsia="Malgun Gothic"/>
          <w:bCs/>
          <w:lang w:val="fr-FR"/>
        </w:rPr>
        <w:t xml:space="preserve">communautés, les </w:t>
      </w:r>
      <w:r w:rsidRPr="00F569E3">
        <w:rPr>
          <w:rFonts w:eastAsia="Malgun Gothic"/>
          <w:bCs/>
          <w:lang w:val="fr-FR"/>
        </w:rPr>
        <w:t xml:space="preserve">maîtres, </w:t>
      </w:r>
      <w:r w:rsidR="00DA2EEB">
        <w:rPr>
          <w:rFonts w:eastAsia="Malgun Gothic"/>
          <w:bCs/>
          <w:lang w:val="fr-FR"/>
        </w:rPr>
        <w:t xml:space="preserve">les </w:t>
      </w:r>
      <w:r w:rsidRPr="00F569E3">
        <w:rPr>
          <w:rFonts w:eastAsia="Malgun Gothic"/>
          <w:bCs/>
          <w:lang w:val="fr-FR"/>
        </w:rPr>
        <w:t>détenteurs</w:t>
      </w:r>
      <w:r w:rsidR="00BC178F">
        <w:rPr>
          <w:rFonts w:eastAsia="Malgun Gothic"/>
          <w:bCs/>
          <w:lang w:val="fr-FR"/>
        </w:rPr>
        <w:t xml:space="preserve"> et</w:t>
      </w:r>
      <w:r w:rsidRPr="00F569E3">
        <w:rPr>
          <w:rFonts w:eastAsia="Malgun Gothic"/>
          <w:bCs/>
          <w:lang w:val="fr-FR"/>
        </w:rPr>
        <w:t xml:space="preserve"> </w:t>
      </w:r>
      <w:r w:rsidR="00DA2EEB">
        <w:rPr>
          <w:rFonts w:eastAsia="Malgun Gothic"/>
          <w:bCs/>
          <w:lang w:val="fr-FR"/>
        </w:rPr>
        <w:t xml:space="preserve">les </w:t>
      </w:r>
      <w:r w:rsidRPr="00F569E3">
        <w:rPr>
          <w:rFonts w:eastAsia="Malgun Gothic"/>
          <w:bCs/>
          <w:lang w:val="fr-FR"/>
        </w:rPr>
        <w:t>praticiens</w:t>
      </w:r>
      <w:r w:rsidR="00BC178F">
        <w:rPr>
          <w:rFonts w:eastAsia="Malgun Gothic"/>
          <w:bCs/>
          <w:lang w:val="fr-FR"/>
        </w:rPr>
        <w:t xml:space="preserve"> </w:t>
      </w:r>
      <w:r w:rsidRPr="00F569E3">
        <w:rPr>
          <w:rFonts w:eastAsia="Malgun Gothic"/>
          <w:bCs/>
          <w:lang w:val="fr-FR"/>
        </w:rPr>
        <w:t>concernés ainsi qu</w:t>
      </w:r>
      <w:r w:rsidR="00923E72">
        <w:rPr>
          <w:rFonts w:eastAsia="Malgun Gothic"/>
          <w:bCs/>
          <w:lang w:val="fr-FR"/>
        </w:rPr>
        <w:t>’</w:t>
      </w:r>
      <w:r w:rsidRPr="00F569E3">
        <w:rPr>
          <w:rFonts w:eastAsia="Malgun Gothic"/>
          <w:bCs/>
          <w:lang w:val="fr-FR"/>
        </w:rPr>
        <w:t>avec d</w:t>
      </w:r>
      <w:r w:rsidR="00923E72">
        <w:rPr>
          <w:rFonts w:eastAsia="Malgun Gothic"/>
          <w:bCs/>
          <w:lang w:val="fr-FR"/>
        </w:rPr>
        <w:t>’</w:t>
      </w:r>
      <w:r w:rsidRPr="00F569E3">
        <w:rPr>
          <w:rFonts w:eastAsia="Malgun Gothic"/>
          <w:bCs/>
          <w:lang w:val="fr-FR"/>
        </w:rPr>
        <w:t>autres parties afin de contribuer à la création d</w:t>
      </w:r>
      <w:r w:rsidR="00923E72">
        <w:rPr>
          <w:rFonts w:eastAsia="Malgun Gothic"/>
          <w:bCs/>
          <w:lang w:val="fr-FR"/>
        </w:rPr>
        <w:t>’</w:t>
      </w:r>
      <w:r w:rsidRPr="00F569E3">
        <w:rPr>
          <w:rFonts w:eastAsia="Malgun Gothic"/>
          <w:bCs/>
          <w:lang w:val="fr-FR"/>
        </w:rPr>
        <w:t>un environnement favorable à l</w:t>
      </w:r>
      <w:r w:rsidR="00923E72">
        <w:rPr>
          <w:rFonts w:eastAsia="Malgun Gothic"/>
          <w:bCs/>
          <w:lang w:val="fr-FR"/>
        </w:rPr>
        <w:t>’</w:t>
      </w:r>
      <w:r w:rsidRPr="00F569E3">
        <w:rPr>
          <w:rFonts w:eastAsia="Malgun Gothic"/>
          <w:bCs/>
          <w:lang w:val="fr-FR"/>
        </w:rPr>
        <w:t xml:space="preserve">épanouissement du </w:t>
      </w:r>
      <w:proofErr w:type="spellStart"/>
      <w:r w:rsidR="00DA2EEB">
        <w:rPr>
          <w:rFonts w:eastAsia="Malgun Gothic"/>
          <w:bCs/>
          <w:lang w:val="fr-FR"/>
        </w:rPr>
        <w:t>k</w:t>
      </w:r>
      <w:r w:rsidRPr="00F569E3">
        <w:rPr>
          <w:rFonts w:eastAsia="Malgun Gothic"/>
          <w:bCs/>
          <w:lang w:val="fr-FR"/>
        </w:rPr>
        <w:t>un</w:t>
      </w:r>
      <w:proofErr w:type="spellEnd"/>
      <w:r w:rsidRPr="00F569E3">
        <w:rPr>
          <w:rFonts w:eastAsia="Malgun Gothic"/>
          <w:bCs/>
          <w:lang w:val="fr-FR"/>
        </w:rPr>
        <w:t xml:space="preserve"> </w:t>
      </w:r>
      <w:proofErr w:type="spellStart"/>
      <w:r w:rsidR="00DA2EEB">
        <w:rPr>
          <w:rFonts w:eastAsia="Malgun Gothic"/>
          <w:bCs/>
          <w:lang w:val="fr-FR"/>
        </w:rPr>
        <w:t>l</w:t>
      </w:r>
      <w:r w:rsidRPr="00F569E3">
        <w:rPr>
          <w:rFonts w:eastAsia="Malgun Gothic"/>
          <w:bCs/>
          <w:lang w:val="fr-FR"/>
        </w:rPr>
        <w:t>bokator</w:t>
      </w:r>
      <w:proofErr w:type="spellEnd"/>
      <w:r w:rsidRPr="00F569E3">
        <w:rPr>
          <w:rFonts w:eastAsia="Malgun Gothic"/>
          <w:bCs/>
          <w:lang w:val="fr-FR"/>
        </w:rPr>
        <w:t>.</w:t>
      </w:r>
    </w:p>
    <w:p w14:paraId="618469CC" w14:textId="057CE116" w:rsidR="00DA2EEB" w:rsidRDefault="00DA2EE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félicité la ministre de la Culture et des Beaux-Arts du Cambodge.</w:t>
      </w:r>
    </w:p>
    <w:p w14:paraId="2307AC85" w14:textId="4ADA4C4B" w:rsidR="00DA2EEB" w:rsidRDefault="00DA2EE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A2EEB">
        <w:rPr>
          <w:rFonts w:eastAsia="Malgun Gothic"/>
          <w:bCs/>
          <w:lang w:val="fr-FR"/>
        </w:rPr>
        <w:lastRenderedPageBreak/>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DA2EEB">
        <w:rPr>
          <w:rFonts w:eastAsia="Malgun Gothic"/>
          <w:bCs/>
          <w:lang w:val="fr-FR"/>
        </w:rPr>
        <w:t xml:space="preserve"> a présenté le dossier de candidature suivant, </w:t>
      </w:r>
      <w:r w:rsidR="008C1314" w:rsidRPr="00702497">
        <w:rPr>
          <w:rFonts w:eastAsia="Malgun Gothic"/>
          <w:b/>
          <w:lang w:val="fr-FR"/>
        </w:rPr>
        <w:t>les t</w:t>
      </w:r>
      <w:r w:rsidRPr="00702497">
        <w:rPr>
          <w:rFonts w:eastAsia="Malgun Gothic"/>
          <w:b/>
          <w:lang w:val="fr-FR"/>
        </w:rPr>
        <w:t xml:space="preserve">echniques traditionnelles de </w:t>
      </w:r>
      <w:r w:rsidR="008C1314" w:rsidRPr="00702497">
        <w:rPr>
          <w:rFonts w:eastAsia="Malgun Gothic"/>
          <w:b/>
          <w:lang w:val="fr-FR"/>
        </w:rPr>
        <w:t xml:space="preserve">transformation </w:t>
      </w:r>
      <w:r w:rsidRPr="00702497">
        <w:rPr>
          <w:rFonts w:eastAsia="Malgun Gothic"/>
          <w:b/>
          <w:lang w:val="fr-FR"/>
        </w:rPr>
        <w:t xml:space="preserve">du thé et </w:t>
      </w:r>
      <w:r w:rsidR="008C1314" w:rsidRPr="00702497">
        <w:rPr>
          <w:rFonts w:eastAsia="Malgun Gothic"/>
          <w:b/>
          <w:lang w:val="fr-FR"/>
        </w:rPr>
        <w:t xml:space="preserve">les </w:t>
      </w:r>
      <w:r w:rsidRPr="00702497">
        <w:rPr>
          <w:rFonts w:eastAsia="Malgun Gothic"/>
          <w:b/>
          <w:lang w:val="fr-FR"/>
        </w:rPr>
        <w:t>pratiques sociales associées en Chine</w:t>
      </w:r>
      <w:r w:rsidRPr="00DA2EEB">
        <w:rPr>
          <w:rFonts w:eastAsia="Malgun Gothic"/>
          <w:bCs/>
          <w:lang w:val="fr-FR"/>
        </w:rPr>
        <w:t xml:space="preserve"> [projet de décision</w:t>
      </w:r>
      <w:r w:rsidR="00BC178F">
        <w:rPr>
          <w:rFonts w:eastAsia="Malgun Gothic"/>
          <w:bCs/>
          <w:lang w:val="fr-FR"/>
        </w:rPr>
        <w:t> </w:t>
      </w:r>
      <w:r w:rsidRPr="00DA2EEB">
        <w:rPr>
          <w:rFonts w:eastAsia="Malgun Gothic"/>
          <w:bCs/>
          <w:lang w:val="fr-FR"/>
        </w:rPr>
        <w:t xml:space="preserve">7.b.2], soumis par la </w:t>
      </w:r>
      <w:r w:rsidRPr="00702497">
        <w:rPr>
          <w:rFonts w:eastAsia="Malgun Gothic"/>
          <w:b/>
          <w:lang w:val="fr-FR"/>
        </w:rPr>
        <w:t>Chine</w:t>
      </w:r>
      <w:r w:rsidRPr="00DA2EEB">
        <w:rPr>
          <w:rFonts w:eastAsia="Malgun Gothic"/>
          <w:bCs/>
          <w:lang w:val="fr-FR"/>
        </w:rPr>
        <w:t xml:space="preserve">, expliquant que les techniques traditionnelles de </w:t>
      </w:r>
      <w:r w:rsidR="008C1314">
        <w:rPr>
          <w:rFonts w:eastAsia="Malgun Gothic"/>
          <w:bCs/>
          <w:lang w:val="fr-FR"/>
        </w:rPr>
        <w:t xml:space="preserve">transformation </w:t>
      </w:r>
      <w:r w:rsidRPr="00DA2EEB">
        <w:rPr>
          <w:rFonts w:eastAsia="Malgun Gothic"/>
          <w:bCs/>
          <w:lang w:val="fr-FR"/>
        </w:rPr>
        <w:t>du thé et les pratiques sociales associées en Chine englobent les connaissances, le</w:t>
      </w:r>
      <w:r w:rsidR="008C1314">
        <w:rPr>
          <w:rFonts w:eastAsia="Malgun Gothic"/>
          <w:bCs/>
          <w:lang w:val="fr-FR"/>
        </w:rPr>
        <w:t xml:space="preserve"> </w:t>
      </w:r>
      <w:r w:rsidR="008C1314" w:rsidRPr="008C1314">
        <w:rPr>
          <w:rFonts w:eastAsia="Malgun Gothic"/>
          <w:bCs/>
          <w:lang w:val="fr-FR"/>
        </w:rPr>
        <w:t>savoir-faire</w:t>
      </w:r>
      <w:r w:rsidR="008C1314">
        <w:rPr>
          <w:rFonts w:eastAsia="Malgun Gothic"/>
          <w:bCs/>
          <w:lang w:val="fr-FR"/>
        </w:rPr>
        <w:t xml:space="preserve"> </w:t>
      </w:r>
      <w:r w:rsidRPr="00DA2EEB">
        <w:rPr>
          <w:rFonts w:eastAsia="Malgun Gothic"/>
          <w:bCs/>
          <w:lang w:val="fr-FR"/>
        </w:rPr>
        <w:t xml:space="preserve">et les pratiques </w:t>
      </w:r>
      <w:r w:rsidR="008C1314">
        <w:rPr>
          <w:rFonts w:eastAsia="Malgun Gothic"/>
          <w:bCs/>
          <w:lang w:val="fr-FR"/>
        </w:rPr>
        <w:t>en matière de</w:t>
      </w:r>
      <w:r w:rsidRPr="00DA2EEB">
        <w:rPr>
          <w:rFonts w:eastAsia="Malgun Gothic"/>
          <w:bCs/>
          <w:lang w:val="fr-FR"/>
        </w:rPr>
        <w:t xml:space="preserve"> gestion des plantations de thé,</w:t>
      </w:r>
      <w:r w:rsidR="008C1314">
        <w:rPr>
          <w:rFonts w:eastAsia="Malgun Gothic"/>
          <w:bCs/>
          <w:lang w:val="fr-FR"/>
        </w:rPr>
        <w:t xml:space="preserve"> de</w:t>
      </w:r>
      <w:r w:rsidRPr="00DA2EEB">
        <w:rPr>
          <w:rFonts w:eastAsia="Malgun Gothic"/>
          <w:bCs/>
          <w:lang w:val="fr-FR"/>
        </w:rPr>
        <w:t xml:space="preserve"> cueillette des feuilles de thé, </w:t>
      </w:r>
      <w:r w:rsidR="008C1314">
        <w:rPr>
          <w:rFonts w:eastAsia="Malgun Gothic"/>
          <w:bCs/>
          <w:lang w:val="fr-FR"/>
        </w:rPr>
        <w:t>de transformation à la main</w:t>
      </w:r>
      <w:r w:rsidRPr="00DA2EEB">
        <w:rPr>
          <w:rFonts w:eastAsia="Malgun Gothic"/>
          <w:bCs/>
          <w:lang w:val="fr-FR"/>
        </w:rPr>
        <w:t>,</w:t>
      </w:r>
      <w:r w:rsidR="008C1314">
        <w:rPr>
          <w:rFonts w:eastAsia="Malgun Gothic"/>
          <w:bCs/>
          <w:lang w:val="fr-FR"/>
        </w:rPr>
        <w:t xml:space="preserve"> de</w:t>
      </w:r>
      <w:r w:rsidRPr="00DA2EEB">
        <w:rPr>
          <w:rFonts w:eastAsia="Malgun Gothic"/>
          <w:bCs/>
          <w:lang w:val="fr-FR"/>
        </w:rPr>
        <w:t xml:space="preserve"> consommation et </w:t>
      </w:r>
      <w:r w:rsidR="008C1314">
        <w:rPr>
          <w:rFonts w:eastAsia="Malgun Gothic"/>
          <w:bCs/>
          <w:lang w:val="fr-FR"/>
        </w:rPr>
        <w:t>de</w:t>
      </w:r>
      <w:r w:rsidRPr="00DA2EEB">
        <w:rPr>
          <w:rFonts w:eastAsia="Malgun Gothic"/>
          <w:bCs/>
          <w:lang w:val="fr-FR"/>
        </w:rPr>
        <w:t xml:space="preserve"> partage du thé. L</w:t>
      </w:r>
      <w:r w:rsidR="00923E72">
        <w:rPr>
          <w:rFonts w:eastAsia="Malgun Gothic"/>
          <w:bCs/>
          <w:lang w:val="fr-FR"/>
        </w:rPr>
        <w:t>’</w:t>
      </w:r>
      <w:r w:rsidRPr="00DA2EEB">
        <w:rPr>
          <w:rFonts w:eastAsia="Malgun Gothic"/>
          <w:bCs/>
          <w:lang w:val="fr-FR"/>
        </w:rPr>
        <w:t>Organe d</w:t>
      </w:r>
      <w:r w:rsidR="00923E72">
        <w:rPr>
          <w:rFonts w:eastAsia="Malgun Gothic"/>
          <w:bCs/>
          <w:lang w:val="fr-FR"/>
        </w:rPr>
        <w:t>’</w:t>
      </w:r>
      <w:r w:rsidRPr="00DA2EEB">
        <w:rPr>
          <w:rFonts w:eastAsia="Malgun Gothic"/>
          <w:bCs/>
          <w:lang w:val="fr-FR"/>
        </w:rPr>
        <w:t>évaluation avait estimé que la candidature satisfaisait à l</w:t>
      </w:r>
      <w:r w:rsidR="00923E72">
        <w:rPr>
          <w:rFonts w:eastAsia="Malgun Gothic"/>
          <w:bCs/>
          <w:lang w:val="fr-FR"/>
        </w:rPr>
        <w:t>’</w:t>
      </w:r>
      <w:r w:rsidRPr="00DA2EEB">
        <w:rPr>
          <w:rFonts w:eastAsia="Malgun Gothic"/>
          <w:bCs/>
          <w:lang w:val="fr-FR"/>
        </w:rPr>
        <w:t>ensemble des cinq critères. Le dossier</w:t>
      </w:r>
      <w:r w:rsidR="008C1314">
        <w:rPr>
          <w:rFonts w:eastAsia="Malgun Gothic"/>
          <w:bCs/>
          <w:lang w:val="fr-FR"/>
        </w:rPr>
        <w:t xml:space="preserve"> présentait les </w:t>
      </w:r>
      <w:r w:rsidR="008C1314" w:rsidRPr="008C1314">
        <w:rPr>
          <w:rFonts w:eastAsia="Malgun Gothic"/>
          <w:bCs/>
          <w:lang w:val="fr-FR"/>
        </w:rPr>
        <w:t>savoir-faire</w:t>
      </w:r>
      <w:r w:rsidR="008C1314">
        <w:rPr>
          <w:rFonts w:eastAsia="Malgun Gothic"/>
          <w:bCs/>
          <w:lang w:val="fr-FR"/>
        </w:rPr>
        <w:t xml:space="preserve"> </w:t>
      </w:r>
      <w:r w:rsidRPr="00DA2EEB">
        <w:rPr>
          <w:rFonts w:eastAsia="Malgun Gothic"/>
          <w:bCs/>
          <w:lang w:val="fr-FR"/>
        </w:rPr>
        <w:t>li</w:t>
      </w:r>
      <w:r w:rsidR="008C1314">
        <w:rPr>
          <w:rFonts w:eastAsia="Malgun Gothic"/>
          <w:bCs/>
          <w:lang w:val="fr-FR"/>
        </w:rPr>
        <w:t>és à</w:t>
      </w:r>
      <w:r w:rsidRPr="00DA2EEB">
        <w:rPr>
          <w:rFonts w:eastAsia="Malgun Gothic"/>
          <w:bCs/>
          <w:lang w:val="fr-FR"/>
        </w:rPr>
        <w:t xml:space="preserve"> la transformation du thé, un aspect immatériel de l</w:t>
      </w:r>
      <w:r w:rsidR="00923E72">
        <w:rPr>
          <w:rFonts w:eastAsia="Malgun Gothic"/>
          <w:bCs/>
          <w:lang w:val="fr-FR"/>
        </w:rPr>
        <w:t>’</w:t>
      </w:r>
      <w:r w:rsidRPr="00DA2EEB">
        <w:rPr>
          <w:rFonts w:eastAsia="Malgun Gothic"/>
          <w:bCs/>
          <w:lang w:val="fr-FR"/>
        </w:rPr>
        <w:t>élément, y compris l</w:t>
      </w:r>
      <w:r w:rsidR="008C1314">
        <w:rPr>
          <w:rFonts w:eastAsia="Malgun Gothic"/>
          <w:bCs/>
          <w:lang w:val="fr-FR"/>
        </w:rPr>
        <w:t>es</w:t>
      </w:r>
      <w:r w:rsidRPr="00DA2EEB">
        <w:rPr>
          <w:rFonts w:eastAsia="Malgun Gothic"/>
          <w:bCs/>
          <w:lang w:val="fr-FR"/>
        </w:rPr>
        <w:t xml:space="preserve"> valeur</w:t>
      </w:r>
      <w:r w:rsidR="008C1314">
        <w:rPr>
          <w:rFonts w:eastAsia="Malgun Gothic"/>
          <w:bCs/>
          <w:lang w:val="fr-FR"/>
        </w:rPr>
        <w:t>s</w:t>
      </w:r>
      <w:r w:rsidRPr="00DA2EEB">
        <w:rPr>
          <w:rFonts w:eastAsia="Malgun Gothic"/>
          <w:bCs/>
          <w:lang w:val="fr-FR"/>
        </w:rPr>
        <w:t xml:space="preserve"> de modestie, d</w:t>
      </w:r>
      <w:r w:rsidR="00923E72">
        <w:rPr>
          <w:rFonts w:eastAsia="Malgun Gothic"/>
          <w:bCs/>
          <w:lang w:val="fr-FR"/>
        </w:rPr>
        <w:t>’</w:t>
      </w:r>
      <w:r w:rsidRPr="00DA2EEB">
        <w:rPr>
          <w:rFonts w:eastAsia="Malgun Gothic"/>
          <w:bCs/>
          <w:lang w:val="fr-FR"/>
        </w:rPr>
        <w:t xml:space="preserve">harmonie, de </w:t>
      </w:r>
      <w:r w:rsidR="008C1314">
        <w:rPr>
          <w:rFonts w:eastAsia="Malgun Gothic"/>
          <w:bCs/>
          <w:lang w:val="fr-FR"/>
        </w:rPr>
        <w:t>politesse</w:t>
      </w:r>
      <w:r w:rsidRPr="00DA2EEB">
        <w:rPr>
          <w:rFonts w:eastAsia="Malgun Gothic"/>
          <w:bCs/>
          <w:lang w:val="fr-FR"/>
        </w:rPr>
        <w:t xml:space="preserve"> et d</w:t>
      </w:r>
      <w:r w:rsidR="008C1314">
        <w:rPr>
          <w:rFonts w:eastAsia="Malgun Gothic"/>
          <w:bCs/>
          <w:lang w:val="fr-FR"/>
        </w:rPr>
        <w:t>e</w:t>
      </w:r>
      <w:r w:rsidRPr="00DA2EEB">
        <w:rPr>
          <w:rFonts w:eastAsia="Malgun Gothic"/>
          <w:bCs/>
          <w:lang w:val="fr-FR"/>
        </w:rPr>
        <w:t xml:space="preserve"> respect ainsi que les </w:t>
      </w:r>
      <w:r w:rsidR="008C1314">
        <w:rPr>
          <w:rFonts w:eastAsia="Malgun Gothic"/>
          <w:bCs/>
          <w:lang w:val="fr-FR"/>
        </w:rPr>
        <w:t xml:space="preserve">bienfaits </w:t>
      </w:r>
      <w:r w:rsidRPr="00DA2EEB">
        <w:rPr>
          <w:rFonts w:eastAsia="Malgun Gothic"/>
          <w:bCs/>
          <w:lang w:val="fr-FR"/>
        </w:rPr>
        <w:t>pour le corps et l</w:t>
      </w:r>
      <w:r w:rsidR="00923E72">
        <w:rPr>
          <w:rFonts w:eastAsia="Malgun Gothic"/>
          <w:bCs/>
          <w:lang w:val="fr-FR"/>
        </w:rPr>
        <w:t>’</w:t>
      </w:r>
      <w:r w:rsidRPr="00DA2EEB">
        <w:rPr>
          <w:rFonts w:eastAsia="Malgun Gothic"/>
          <w:bCs/>
          <w:lang w:val="fr-FR"/>
        </w:rPr>
        <w:t xml:space="preserve">esprit, et </w:t>
      </w:r>
      <w:r w:rsidR="008C1314">
        <w:rPr>
          <w:rFonts w:eastAsia="Malgun Gothic"/>
          <w:bCs/>
          <w:lang w:val="fr-FR"/>
        </w:rPr>
        <w:t xml:space="preserve">énonçait </w:t>
      </w:r>
      <w:r w:rsidRPr="00DA2EEB">
        <w:rPr>
          <w:rFonts w:eastAsia="Malgun Gothic"/>
          <w:bCs/>
          <w:lang w:val="fr-FR"/>
        </w:rPr>
        <w:t>des mesures de sauvegarde significatives et utiles. En conclusion, l</w:t>
      </w:r>
      <w:r w:rsidR="00923E72">
        <w:rPr>
          <w:rFonts w:eastAsia="Malgun Gothic"/>
          <w:bCs/>
          <w:lang w:val="fr-FR"/>
        </w:rPr>
        <w:t>’</w:t>
      </w:r>
      <w:r w:rsidRPr="00DA2EEB">
        <w:rPr>
          <w:rFonts w:eastAsia="Malgun Gothic"/>
          <w:bCs/>
          <w:lang w:val="fr-FR"/>
        </w:rPr>
        <w:t>Organe d</w:t>
      </w:r>
      <w:r w:rsidR="00923E72">
        <w:rPr>
          <w:rFonts w:eastAsia="Malgun Gothic"/>
          <w:bCs/>
          <w:lang w:val="fr-FR"/>
        </w:rPr>
        <w:t>’</w:t>
      </w:r>
      <w:r w:rsidRPr="00DA2EEB">
        <w:rPr>
          <w:rFonts w:eastAsia="Malgun Gothic"/>
          <w:bCs/>
          <w:lang w:val="fr-FR"/>
        </w:rPr>
        <w:t>évaluation recommandait l</w:t>
      </w:r>
      <w:r w:rsidR="00923E72">
        <w:rPr>
          <w:rFonts w:eastAsia="Malgun Gothic"/>
          <w:bCs/>
          <w:lang w:val="fr-FR"/>
        </w:rPr>
        <w:t>’</w:t>
      </w:r>
      <w:r w:rsidRPr="00DA2EEB">
        <w:rPr>
          <w:rFonts w:eastAsia="Malgun Gothic"/>
          <w:bCs/>
          <w:lang w:val="fr-FR"/>
        </w:rPr>
        <w:t>inscription de cet élément sur la Liste représentative.</w:t>
      </w:r>
    </w:p>
    <w:p w14:paraId="4CD87DF5" w14:textId="61F93984" w:rsidR="008C1314" w:rsidRDefault="008C131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BC178F">
        <w:rPr>
          <w:rFonts w:eastAsia="Malgun Gothic"/>
          <w:b/>
          <w:lang w:val="fr-FR"/>
        </w:rPr>
        <w:t> </w:t>
      </w:r>
      <w:r w:rsidR="00751FB1">
        <w:fldChar w:fldCharType="begin"/>
      </w:r>
      <w:r w:rsidR="00751FB1" w:rsidRPr="00751FB1">
        <w:rPr>
          <w:lang w:val="fr-FR"/>
        </w:rPr>
        <w:instrText>HYPERLINK "https://ich.unesco.org/fr/Decisions/17.COM/7.b.2"</w:instrText>
      </w:r>
      <w:r w:rsidR="00751FB1">
        <w:fldChar w:fldCharType="separate"/>
      </w:r>
      <w:r w:rsidR="00A65599" w:rsidRPr="00702497">
        <w:rPr>
          <w:rStyle w:val="Hyperlink"/>
          <w:b/>
          <w:bCs/>
          <w:lang w:val="fr-FR"/>
        </w:rPr>
        <w:t>17.COM 7.b.2</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00A65599" w:rsidRPr="00724FB7">
        <w:rPr>
          <w:rFonts w:eastAsia="Malgun Gothic"/>
          <w:b/>
          <w:lang w:val="fr-FR"/>
        </w:rPr>
        <w:t>les techniques traditionnelles de transformation du thé et les pratiques sociales associées en Chine</w:t>
      </w:r>
      <w:r w:rsidR="00A65599">
        <w:rPr>
          <w:rFonts w:eastAsia="Malgun Gothic"/>
          <w:b/>
          <w:lang w:val="fr-FR"/>
        </w:rPr>
        <w:t xml:space="preserve"> </w:t>
      </w:r>
      <w:r>
        <w:rPr>
          <w:rFonts w:eastAsia="Malgun Gothic"/>
          <w:b/>
          <w:lang w:val="fr-FR"/>
        </w:rPr>
        <w:t>sur la Liste représentative</w:t>
      </w:r>
      <w:r>
        <w:rPr>
          <w:rFonts w:eastAsia="Malgun Gothic"/>
          <w:bCs/>
          <w:lang w:val="fr-FR"/>
        </w:rPr>
        <w:t>.</w:t>
      </w:r>
    </w:p>
    <w:p w14:paraId="27D9D8BF" w14:textId="3B11753B" w:rsidR="00A65599" w:rsidRDefault="00A6559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65599">
        <w:rPr>
          <w:rFonts w:eastAsia="Malgun Gothic"/>
          <w:bCs/>
          <w:lang w:val="fr-FR"/>
        </w:rPr>
        <w:t xml:space="preserve">Dans une allocution vidéo, le </w:t>
      </w:r>
      <w:r w:rsidRPr="00702497">
        <w:rPr>
          <w:rFonts w:eastAsia="Malgun Gothic"/>
          <w:b/>
          <w:lang w:val="fr-FR"/>
        </w:rPr>
        <w:t xml:space="preserve">ministre de la Culture et du Tourisme, </w:t>
      </w:r>
      <w:r w:rsidR="006C3B58" w:rsidRPr="006E3034">
        <w:rPr>
          <w:rFonts w:eastAsia="Malgun Gothic"/>
          <w:bCs/>
          <w:lang w:val="fr-FR"/>
        </w:rPr>
        <w:t>S. E</w:t>
      </w:r>
      <w:r w:rsidR="00F846ED" w:rsidRPr="006E3034">
        <w:rPr>
          <w:rFonts w:eastAsia="Malgun Gothic"/>
          <w:bCs/>
          <w:lang w:val="fr-FR"/>
        </w:rPr>
        <w:t>xc</w:t>
      </w:r>
      <w:r w:rsidR="006C3B58" w:rsidRPr="006E3034">
        <w:rPr>
          <w:rFonts w:eastAsia="Malgun Gothic"/>
          <w:bCs/>
          <w:lang w:val="fr-FR"/>
        </w:rPr>
        <w:t xml:space="preserve">. </w:t>
      </w:r>
      <w:r w:rsidRPr="006E3034">
        <w:rPr>
          <w:rFonts w:eastAsia="Malgun Gothic"/>
          <w:bCs/>
          <w:lang w:val="fr-FR"/>
        </w:rPr>
        <w:t>M.</w:t>
      </w:r>
      <w:r w:rsidR="006C3B58" w:rsidRPr="006E3034">
        <w:rPr>
          <w:rFonts w:eastAsia="Malgun Gothic"/>
          <w:bCs/>
          <w:lang w:val="fr-FR"/>
        </w:rPr>
        <w:t> </w:t>
      </w:r>
      <w:r w:rsidRPr="006E3034">
        <w:rPr>
          <w:rFonts w:eastAsia="Malgun Gothic"/>
          <w:bCs/>
          <w:lang w:val="fr-FR"/>
        </w:rPr>
        <w:t xml:space="preserve">Hu </w:t>
      </w:r>
      <w:proofErr w:type="spellStart"/>
      <w:r w:rsidRPr="006E3034">
        <w:rPr>
          <w:rFonts w:eastAsia="Malgun Gothic"/>
          <w:bCs/>
          <w:lang w:val="fr-FR"/>
        </w:rPr>
        <w:t>Heping</w:t>
      </w:r>
      <w:proofErr w:type="spellEnd"/>
      <w:r w:rsidRPr="00A65599">
        <w:rPr>
          <w:rFonts w:eastAsia="Malgun Gothic"/>
          <w:bCs/>
          <w:lang w:val="fr-FR"/>
        </w:rPr>
        <w:t>, s</w:t>
      </w:r>
      <w:r w:rsidR="00923E72">
        <w:rPr>
          <w:rFonts w:eastAsia="Malgun Gothic"/>
          <w:bCs/>
          <w:lang w:val="fr-FR"/>
        </w:rPr>
        <w:t>’</w:t>
      </w:r>
      <w:r w:rsidRPr="00A65599">
        <w:rPr>
          <w:rFonts w:eastAsia="Malgun Gothic"/>
          <w:bCs/>
          <w:lang w:val="fr-FR"/>
        </w:rPr>
        <w:t xml:space="preserve">est exprimé au nom de la Chine et du ministère de la Culture et du Tourisme pour </w:t>
      </w:r>
      <w:r w:rsidR="00D87325">
        <w:rPr>
          <w:rFonts w:eastAsia="Malgun Gothic"/>
          <w:bCs/>
          <w:lang w:val="fr-FR"/>
        </w:rPr>
        <w:t xml:space="preserve">témoigner de </w:t>
      </w:r>
      <w:r w:rsidRPr="00A65599">
        <w:rPr>
          <w:rFonts w:eastAsia="Malgun Gothic"/>
          <w:bCs/>
          <w:lang w:val="fr-FR"/>
        </w:rPr>
        <w:t xml:space="preserve">sa sincère gratitude au Comité </w:t>
      </w:r>
      <w:r w:rsidR="00D87325">
        <w:rPr>
          <w:rFonts w:eastAsia="Malgun Gothic"/>
          <w:bCs/>
          <w:lang w:val="fr-FR"/>
        </w:rPr>
        <w:t xml:space="preserve">suite à </w:t>
      </w:r>
      <w:r w:rsidRPr="00A65599">
        <w:rPr>
          <w:rFonts w:eastAsia="Malgun Gothic"/>
          <w:bCs/>
          <w:lang w:val="fr-FR"/>
        </w:rPr>
        <w:t>l</w:t>
      </w:r>
      <w:r w:rsidR="00923E72">
        <w:rPr>
          <w:rFonts w:eastAsia="Malgun Gothic"/>
          <w:bCs/>
          <w:lang w:val="fr-FR"/>
        </w:rPr>
        <w:t>’</w:t>
      </w:r>
      <w:r w:rsidRPr="00A65599">
        <w:rPr>
          <w:rFonts w:eastAsia="Malgun Gothic"/>
          <w:bCs/>
          <w:lang w:val="fr-FR"/>
        </w:rPr>
        <w:t xml:space="preserve">inscription des techniques traditionnelles de transformation du thé et des pratiques associées en Chine sur la Liste représentative. Il a rappelé que le thé est originaire de Chine et est devenu populaire dans le monde entier. En Chine, les connaissances et </w:t>
      </w:r>
      <w:r w:rsidR="005244D8">
        <w:rPr>
          <w:rFonts w:eastAsia="Malgun Gothic"/>
          <w:bCs/>
          <w:lang w:val="fr-FR"/>
        </w:rPr>
        <w:t>le</w:t>
      </w:r>
      <w:r w:rsidR="001C300E">
        <w:rPr>
          <w:rFonts w:eastAsia="Malgun Gothic"/>
          <w:bCs/>
          <w:lang w:val="fr-FR"/>
        </w:rPr>
        <w:t>s</w:t>
      </w:r>
      <w:r w:rsidR="005244D8">
        <w:rPr>
          <w:rFonts w:eastAsia="Malgun Gothic"/>
          <w:bCs/>
          <w:lang w:val="fr-FR"/>
        </w:rPr>
        <w:t xml:space="preserve"> </w:t>
      </w:r>
      <w:r w:rsidRPr="00A65599">
        <w:rPr>
          <w:rFonts w:eastAsia="Malgun Gothic"/>
          <w:bCs/>
          <w:lang w:val="fr-FR"/>
        </w:rPr>
        <w:t>savoir-faire</w:t>
      </w:r>
      <w:r w:rsidR="001C300E">
        <w:rPr>
          <w:rFonts w:eastAsia="Malgun Gothic"/>
          <w:bCs/>
          <w:lang w:val="fr-FR"/>
        </w:rPr>
        <w:t xml:space="preserve"> méthodiques</w:t>
      </w:r>
      <w:r w:rsidRPr="00A65599">
        <w:rPr>
          <w:rFonts w:eastAsia="Malgun Gothic"/>
          <w:bCs/>
          <w:lang w:val="fr-FR"/>
        </w:rPr>
        <w:t>, les pratiques sociales variées et les nombreuses connotations culturelles liées à la production, à la transformation et à la consommation du thé étaient entretenus et transmis comme un patrimoine important depuis de nombreux siècles. Le thé était au cœur du dialogue commercial et culturel entre la Chine et d</w:t>
      </w:r>
      <w:r w:rsidR="00923E72">
        <w:rPr>
          <w:rFonts w:eastAsia="Malgun Gothic"/>
          <w:bCs/>
          <w:lang w:val="fr-FR"/>
        </w:rPr>
        <w:t>’</w:t>
      </w:r>
      <w:r w:rsidRPr="00A65599">
        <w:rPr>
          <w:rFonts w:eastAsia="Malgun Gothic"/>
          <w:bCs/>
          <w:lang w:val="fr-FR"/>
        </w:rPr>
        <w:t>autres pays le long de l</w:t>
      </w:r>
      <w:r w:rsidR="00923E72">
        <w:rPr>
          <w:rFonts w:eastAsia="Malgun Gothic"/>
          <w:bCs/>
          <w:lang w:val="fr-FR"/>
        </w:rPr>
        <w:t>’</w:t>
      </w:r>
      <w:r w:rsidR="005244D8">
        <w:rPr>
          <w:rFonts w:eastAsia="Malgun Gothic"/>
          <w:bCs/>
          <w:lang w:val="fr-FR"/>
        </w:rPr>
        <w:t>A</w:t>
      </w:r>
      <w:r w:rsidRPr="00A65599">
        <w:rPr>
          <w:rFonts w:eastAsia="Malgun Gothic"/>
          <w:bCs/>
          <w:lang w:val="fr-FR"/>
        </w:rPr>
        <w:t xml:space="preserve">ncienne </w:t>
      </w:r>
      <w:r w:rsidR="005244D8">
        <w:rPr>
          <w:rFonts w:eastAsia="Malgun Gothic"/>
          <w:bCs/>
          <w:lang w:val="fr-FR"/>
        </w:rPr>
        <w:t>r</w:t>
      </w:r>
      <w:r w:rsidRPr="00A65599">
        <w:rPr>
          <w:rFonts w:eastAsia="Malgun Gothic"/>
          <w:bCs/>
          <w:lang w:val="fr-FR"/>
        </w:rPr>
        <w:t>oute de la soie, de la Route du thé et des chevaux et de la Nouvelle route de la soie. La Chine était heureuse de célébrer la Journée internationale du thé pour marquer son importance culturelle, son arôme s</w:t>
      </w:r>
      <w:r w:rsidR="00923E72">
        <w:rPr>
          <w:rFonts w:eastAsia="Malgun Gothic"/>
          <w:bCs/>
          <w:lang w:val="fr-FR"/>
        </w:rPr>
        <w:t>’</w:t>
      </w:r>
      <w:r w:rsidRPr="00A65599">
        <w:rPr>
          <w:rFonts w:eastAsia="Malgun Gothic"/>
          <w:bCs/>
          <w:lang w:val="fr-FR"/>
        </w:rPr>
        <w:t>étant fait une place dans le cœur des gens partout dans le monde. Actuellement, dans de nombreuses régions de Chine, des communautés locales bénéficiaient grandement de la transmission des techniques traditionnelles de transformation du thé, de la promotion de la culture du thé et du développement de la production de thé, ce qui permettait d</w:t>
      </w:r>
      <w:r w:rsidR="00923E72">
        <w:rPr>
          <w:rFonts w:eastAsia="Malgun Gothic"/>
          <w:bCs/>
          <w:lang w:val="fr-FR"/>
        </w:rPr>
        <w:t>’</w:t>
      </w:r>
      <w:r w:rsidRPr="00A65599">
        <w:rPr>
          <w:rFonts w:eastAsia="Malgun Gothic"/>
          <w:bCs/>
          <w:lang w:val="fr-FR"/>
        </w:rPr>
        <w:t>éradiquer la pauvreté et de garantir leurs moyens de subsistance. C</w:t>
      </w:r>
      <w:r w:rsidR="00923E72">
        <w:rPr>
          <w:rFonts w:eastAsia="Malgun Gothic"/>
          <w:bCs/>
          <w:lang w:val="fr-FR"/>
        </w:rPr>
        <w:t>’</w:t>
      </w:r>
      <w:r w:rsidRPr="00A65599">
        <w:rPr>
          <w:rFonts w:eastAsia="Malgun Gothic"/>
          <w:bCs/>
          <w:lang w:val="fr-FR"/>
        </w:rPr>
        <w:t>était un bon exemple de la manière dont la Chine contribue à la réduction de la pauvreté dans le monde. L</w:t>
      </w:r>
      <w:r w:rsidR="00923E72">
        <w:rPr>
          <w:rFonts w:eastAsia="Malgun Gothic"/>
          <w:bCs/>
          <w:lang w:val="fr-FR"/>
        </w:rPr>
        <w:t>’</w:t>
      </w:r>
      <w:r w:rsidRPr="00A65599">
        <w:rPr>
          <w:rFonts w:eastAsia="Malgun Gothic"/>
          <w:bCs/>
          <w:lang w:val="fr-FR"/>
        </w:rPr>
        <w:t xml:space="preserve">inscription de cet élément permettrait de soutenir la transmission des connaissances et </w:t>
      </w:r>
      <w:r w:rsidR="00BC178F">
        <w:rPr>
          <w:rFonts w:eastAsia="Malgun Gothic"/>
          <w:bCs/>
          <w:lang w:val="fr-FR"/>
        </w:rPr>
        <w:t>du</w:t>
      </w:r>
      <w:r w:rsidRPr="00A65599">
        <w:rPr>
          <w:rFonts w:eastAsia="Malgun Gothic"/>
          <w:bCs/>
          <w:lang w:val="fr-FR"/>
        </w:rPr>
        <w:t xml:space="preserve"> savoir-faire liés à la transformation du thé, d</w:t>
      </w:r>
      <w:r w:rsidR="00923E72">
        <w:rPr>
          <w:rFonts w:eastAsia="Malgun Gothic"/>
          <w:bCs/>
          <w:lang w:val="fr-FR"/>
        </w:rPr>
        <w:t>’</w:t>
      </w:r>
      <w:r w:rsidRPr="00A65599">
        <w:rPr>
          <w:rFonts w:eastAsia="Malgun Gothic"/>
          <w:bCs/>
          <w:lang w:val="fr-FR"/>
        </w:rPr>
        <w:t xml:space="preserve">améliorer le patrimoine culturel immatériel en général et de renforcer son rôle en matière de durabilité sociale et économique et de communication interculturelle. Le Gouvernement de la Chine tiendrait ses engagements en matière de sauvegarde afin de transmettre et de promouvoir le patrimoine culturel du thé. Tout comme le fait de boire du thé </w:t>
      </w:r>
      <w:r w:rsidR="00BC178F">
        <w:rPr>
          <w:rFonts w:eastAsia="Malgun Gothic"/>
          <w:bCs/>
          <w:lang w:val="fr-FR"/>
        </w:rPr>
        <w:t xml:space="preserve">peut </w:t>
      </w:r>
      <w:r w:rsidRPr="00A65599">
        <w:rPr>
          <w:rFonts w:eastAsia="Malgun Gothic"/>
          <w:bCs/>
          <w:lang w:val="fr-FR"/>
        </w:rPr>
        <w:t>rapprocher les gens, la Chine s</w:t>
      </w:r>
      <w:r w:rsidR="00923E72">
        <w:rPr>
          <w:rFonts w:eastAsia="Malgun Gothic"/>
          <w:bCs/>
          <w:lang w:val="fr-FR"/>
        </w:rPr>
        <w:t>’</w:t>
      </w:r>
      <w:r w:rsidRPr="00A65599">
        <w:rPr>
          <w:rFonts w:eastAsia="Malgun Gothic"/>
          <w:bCs/>
          <w:lang w:val="fr-FR"/>
        </w:rPr>
        <w:t>est réjouie à l</w:t>
      </w:r>
      <w:r w:rsidR="00923E72">
        <w:rPr>
          <w:rFonts w:eastAsia="Malgun Gothic"/>
          <w:bCs/>
          <w:lang w:val="fr-FR"/>
        </w:rPr>
        <w:t>’</w:t>
      </w:r>
      <w:r w:rsidRPr="00A65599">
        <w:rPr>
          <w:rFonts w:eastAsia="Malgun Gothic"/>
          <w:bCs/>
          <w:lang w:val="fr-FR"/>
        </w:rPr>
        <w:t>idée d</w:t>
      </w:r>
      <w:r w:rsidR="00923E72">
        <w:rPr>
          <w:rFonts w:eastAsia="Malgun Gothic"/>
          <w:bCs/>
          <w:lang w:val="fr-FR"/>
        </w:rPr>
        <w:t>’</w:t>
      </w:r>
      <w:r w:rsidRPr="00A65599">
        <w:rPr>
          <w:rFonts w:eastAsia="Malgun Gothic"/>
          <w:bCs/>
          <w:lang w:val="fr-FR"/>
        </w:rPr>
        <w:t>intensifier le dialogue culturel.</w:t>
      </w:r>
    </w:p>
    <w:p w14:paraId="795CAE8E" w14:textId="45FD5AE9" w:rsidR="008C1314" w:rsidRDefault="001C300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C300E">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1C300E">
        <w:rPr>
          <w:rFonts w:eastAsia="Malgun Gothic"/>
          <w:bCs/>
          <w:lang w:val="fr-FR"/>
        </w:rPr>
        <w:t xml:space="preserve"> a présenté le dossier de candidature suivant, </w:t>
      </w:r>
      <w:r w:rsidRPr="00702497">
        <w:rPr>
          <w:rFonts w:eastAsia="Malgun Gothic"/>
          <w:b/>
          <w:lang w:val="fr-FR"/>
        </w:rPr>
        <w:t>les fêtes de l</w:t>
      </w:r>
      <w:r w:rsidR="00923E72">
        <w:rPr>
          <w:rFonts w:eastAsia="Malgun Gothic"/>
          <w:b/>
          <w:lang w:val="fr-FR"/>
        </w:rPr>
        <w:t>’</w:t>
      </w:r>
      <w:r w:rsidRPr="00702497">
        <w:rPr>
          <w:rFonts w:eastAsia="Malgun Gothic"/>
          <w:b/>
          <w:lang w:val="fr-FR"/>
        </w:rPr>
        <w:t>ours dans les Pyrénées</w:t>
      </w:r>
      <w:r w:rsidRPr="001C300E">
        <w:rPr>
          <w:rFonts w:eastAsia="Malgun Gothic"/>
          <w:bCs/>
          <w:lang w:val="fr-FR"/>
        </w:rPr>
        <w:t xml:space="preserve"> [projet de décision</w:t>
      </w:r>
      <w:r w:rsidR="00D1330F">
        <w:rPr>
          <w:rFonts w:eastAsia="Malgun Gothic"/>
          <w:bCs/>
          <w:lang w:val="fr-FR"/>
        </w:rPr>
        <w:t> </w:t>
      </w:r>
      <w:r w:rsidRPr="001C300E">
        <w:rPr>
          <w:rFonts w:eastAsia="Malgun Gothic"/>
          <w:bCs/>
          <w:lang w:val="fr-FR"/>
        </w:rPr>
        <w:t xml:space="preserve">7.b.39], soumis par </w:t>
      </w:r>
      <w:r w:rsidRPr="00702497">
        <w:rPr>
          <w:rFonts w:eastAsia="Malgun Gothic"/>
          <w:b/>
          <w:lang w:val="fr-FR"/>
        </w:rPr>
        <w:t xml:space="preserve">Andorre </w:t>
      </w:r>
      <w:r w:rsidRPr="00F15FCD">
        <w:rPr>
          <w:rFonts w:eastAsia="Malgun Gothic"/>
          <w:bCs/>
          <w:lang w:val="fr-FR"/>
        </w:rPr>
        <w:t>et la</w:t>
      </w:r>
      <w:r w:rsidRPr="00702497">
        <w:rPr>
          <w:rFonts w:eastAsia="Malgun Gothic"/>
          <w:b/>
          <w:lang w:val="fr-FR"/>
        </w:rPr>
        <w:t xml:space="preserve"> France</w:t>
      </w:r>
      <w:r w:rsidRPr="001C300E">
        <w:rPr>
          <w:rFonts w:eastAsia="Malgun Gothic"/>
          <w:bCs/>
          <w:lang w:val="fr-FR"/>
        </w:rPr>
        <w:t>, expliquant qu</w:t>
      </w:r>
      <w:r w:rsidR="00923E72">
        <w:rPr>
          <w:rFonts w:eastAsia="Malgun Gothic"/>
          <w:bCs/>
          <w:lang w:val="fr-FR"/>
        </w:rPr>
        <w:t>’</w:t>
      </w:r>
      <w:r w:rsidRPr="001C300E">
        <w:rPr>
          <w:rFonts w:eastAsia="Malgun Gothic"/>
          <w:bCs/>
          <w:lang w:val="fr-FR"/>
        </w:rPr>
        <w:t>il s</w:t>
      </w:r>
      <w:r w:rsidR="00923E72">
        <w:rPr>
          <w:rFonts w:eastAsia="Malgun Gothic"/>
          <w:bCs/>
          <w:lang w:val="fr-FR"/>
        </w:rPr>
        <w:t>’</w:t>
      </w:r>
      <w:r w:rsidRPr="001C300E">
        <w:rPr>
          <w:rFonts w:eastAsia="Malgun Gothic"/>
          <w:bCs/>
          <w:lang w:val="fr-FR"/>
        </w:rPr>
        <w:t>agit d</w:t>
      </w:r>
      <w:r w:rsidR="00923E72">
        <w:rPr>
          <w:rFonts w:eastAsia="Malgun Gothic"/>
          <w:bCs/>
          <w:lang w:val="fr-FR"/>
        </w:rPr>
        <w:t>’</w:t>
      </w:r>
      <w:r w:rsidRPr="001C300E">
        <w:rPr>
          <w:rFonts w:eastAsia="Malgun Gothic"/>
          <w:bCs/>
          <w:lang w:val="fr-FR"/>
        </w:rPr>
        <w:t xml:space="preserve">une </w:t>
      </w:r>
      <w:r>
        <w:rPr>
          <w:rFonts w:eastAsia="Malgun Gothic"/>
          <w:bCs/>
          <w:lang w:val="fr-FR"/>
        </w:rPr>
        <w:t xml:space="preserve">célébration ancestrale </w:t>
      </w:r>
      <w:r w:rsidRPr="001C300E">
        <w:rPr>
          <w:rFonts w:eastAsia="Malgun Gothic"/>
          <w:bCs/>
          <w:lang w:val="fr-FR"/>
        </w:rPr>
        <w:t>associée à l</w:t>
      </w:r>
      <w:r w:rsidR="00923E72">
        <w:rPr>
          <w:rFonts w:eastAsia="Malgun Gothic"/>
          <w:bCs/>
          <w:lang w:val="fr-FR"/>
        </w:rPr>
        <w:t>’</w:t>
      </w:r>
      <w:r w:rsidRPr="001C300E">
        <w:rPr>
          <w:rFonts w:eastAsia="Malgun Gothic"/>
          <w:bCs/>
          <w:lang w:val="fr-FR"/>
        </w:rPr>
        <w:t>ours</w:t>
      </w:r>
      <w:r>
        <w:rPr>
          <w:rFonts w:eastAsia="Malgun Gothic"/>
          <w:bCs/>
          <w:lang w:val="fr-FR"/>
        </w:rPr>
        <w:t xml:space="preserve"> et </w:t>
      </w:r>
      <w:r w:rsidRPr="001C300E">
        <w:rPr>
          <w:rFonts w:eastAsia="Malgun Gothic"/>
          <w:bCs/>
          <w:lang w:val="fr-FR"/>
        </w:rPr>
        <w:t>symbolisant la relation entre l</w:t>
      </w:r>
      <w:r w:rsidR="00923E72">
        <w:rPr>
          <w:rFonts w:eastAsia="Malgun Gothic"/>
          <w:bCs/>
          <w:lang w:val="fr-FR"/>
        </w:rPr>
        <w:t>’</w:t>
      </w:r>
      <w:r w:rsidRPr="001C300E">
        <w:rPr>
          <w:rFonts w:eastAsia="Malgun Gothic"/>
          <w:bCs/>
          <w:lang w:val="fr-FR"/>
        </w:rPr>
        <w:t xml:space="preserve">homme et la nature, qui </w:t>
      </w:r>
      <w:r>
        <w:rPr>
          <w:rFonts w:eastAsia="Malgun Gothic"/>
          <w:bCs/>
          <w:lang w:val="fr-FR"/>
        </w:rPr>
        <w:t xml:space="preserve">a lieu </w:t>
      </w:r>
      <w:r w:rsidRPr="001C300E">
        <w:rPr>
          <w:rFonts w:eastAsia="Malgun Gothic"/>
          <w:bCs/>
          <w:lang w:val="fr-FR"/>
        </w:rPr>
        <w:t>en hiver et comprend un ensemble de rituels et d</w:t>
      </w:r>
      <w:r w:rsidR="00923E72">
        <w:rPr>
          <w:rFonts w:eastAsia="Malgun Gothic"/>
          <w:bCs/>
          <w:lang w:val="fr-FR"/>
        </w:rPr>
        <w:t>’</w:t>
      </w:r>
      <w:r w:rsidRPr="001C300E">
        <w:rPr>
          <w:rFonts w:eastAsia="Malgun Gothic"/>
          <w:bCs/>
          <w:lang w:val="fr-FR"/>
        </w:rPr>
        <w:t>événements tels que</w:t>
      </w:r>
      <w:r w:rsidR="0035664F">
        <w:rPr>
          <w:rFonts w:eastAsia="Malgun Gothic"/>
          <w:bCs/>
          <w:lang w:val="fr-FR"/>
        </w:rPr>
        <w:t xml:space="preserve"> du théâtre</w:t>
      </w:r>
      <w:r w:rsidRPr="001C300E">
        <w:rPr>
          <w:rFonts w:eastAsia="Malgun Gothic"/>
          <w:bCs/>
          <w:lang w:val="fr-FR"/>
        </w:rPr>
        <w:t xml:space="preserve">, </w:t>
      </w:r>
      <w:r>
        <w:rPr>
          <w:rFonts w:eastAsia="Malgun Gothic"/>
          <w:bCs/>
          <w:lang w:val="fr-FR"/>
        </w:rPr>
        <w:t>d</w:t>
      </w:r>
      <w:r w:rsidRPr="001C300E">
        <w:rPr>
          <w:rFonts w:eastAsia="Malgun Gothic"/>
          <w:bCs/>
          <w:lang w:val="fr-FR"/>
        </w:rPr>
        <w:t xml:space="preserve">es danses et </w:t>
      </w:r>
      <w:r>
        <w:rPr>
          <w:rFonts w:eastAsia="Malgun Gothic"/>
          <w:bCs/>
          <w:lang w:val="fr-FR"/>
        </w:rPr>
        <w:t xml:space="preserve">de </w:t>
      </w:r>
      <w:r w:rsidRPr="001C300E">
        <w:rPr>
          <w:rFonts w:eastAsia="Malgun Gothic"/>
          <w:bCs/>
          <w:lang w:val="fr-FR"/>
        </w:rPr>
        <w:t xml:space="preserve">la musique, et pendant laquelle les jeunes hommes se déguisent en ours et courent dans les rues pour </w:t>
      </w:r>
      <w:r w:rsidR="00064B90">
        <w:rPr>
          <w:rFonts w:eastAsia="Malgun Gothic"/>
          <w:bCs/>
          <w:lang w:val="fr-FR"/>
        </w:rPr>
        <w:t xml:space="preserve">tenter </w:t>
      </w:r>
      <w:r w:rsidRPr="001C300E">
        <w:rPr>
          <w:rFonts w:eastAsia="Malgun Gothic"/>
          <w:bCs/>
          <w:lang w:val="fr-FR"/>
        </w:rPr>
        <w:t>d</w:t>
      </w:r>
      <w:r w:rsidR="00923E72">
        <w:rPr>
          <w:rFonts w:eastAsia="Malgun Gothic"/>
          <w:bCs/>
          <w:lang w:val="fr-FR"/>
        </w:rPr>
        <w:t>’</w:t>
      </w:r>
      <w:r w:rsidRPr="001C300E">
        <w:rPr>
          <w:rFonts w:eastAsia="Malgun Gothic"/>
          <w:bCs/>
          <w:lang w:val="fr-FR"/>
        </w:rPr>
        <w:t>attraper les participants. L</w:t>
      </w:r>
      <w:r w:rsidR="00923E72">
        <w:rPr>
          <w:rFonts w:eastAsia="Malgun Gothic"/>
          <w:bCs/>
          <w:lang w:val="fr-FR"/>
        </w:rPr>
        <w:t>’</w:t>
      </w:r>
      <w:r w:rsidRPr="001C300E">
        <w:rPr>
          <w:rFonts w:eastAsia="Malgun Gothic"/>
          <w:bCs/>
          <w:lang w:val="fr-FR"/>
        </w:rPr>
        <w:t>Organe d</w:t>
      </w:r>
      <w:r w:rsidR="00923E72">
        <w:rPr>
          <w:rFonts w:eastAsia="Malgun Gothic"/>
          <w:bCs/>
          <w:lang w:val="fr-FR"/>
        </w:rPr>
        <w:t>’</w:t>
      </w:r>
      <w:r w:rsidRPr="001C300E">
        <w:rPr>
          <w:rFonts w:eastAsia="Malgun Gothic"/>
          <w:bCs/>
          <w:lang w:val="fr-FR"/>
        </w:rPr>
        <w:t>évaluation avait estimé que la candidature satisfaisait à l</w:t>
      </w:r>
      <w:r w:rsidR="00923E72">
        <w:rPr>
          <w:rFonts w:eastAsia="Malgun Gothic"/>
          <w:bCs/>
          <w:lang w:val="fr-FR"/>
        </w:rPr>
        <w:t>’</w:t>
      </w:r>
      <w:r w:rsidRPr="001C300E">
        <w:rPr>
          <w:rFonts w:eastAsia="Malgun Gothic"/>
          <w:bCs/>
          <w:lang w:val="fr-FR"/>
        </w:rPr>
        <w:t>ensemble des cinq critères. Le dossier expliquait bien le</w:t>
      </w:r>
      <w:r w:rsidR="00064B90">
        <w:rPr>
          <w:rFonts w:eastAsia="Malgun Gothic"/>
          <w:bCs/>
          <w:lang w:val="fr-FR"/>
        </w:rPr>
        <w:t>s</w:t>
      </w:r>
      <w:r w:rsidRPr="001C300E">
        <w:rPr>
          <w:rFonts w:eastAsia="Malgun Gothic"/>
          <w:bCs/>
          <w:lang w:val="fr-FR"/>
        </w:rPr>
        <w:t xml:space="preserve"> rôle</w:t>
      </w:r>
      <w:r w:rsidR="00064B90">
        <w:rPr>
          <w:rFonts w:eastAsia="Malgun Gothic"/>
          <w:bCs/>
          <w:lang w:val="fr-FR"/>
        </w:rPr>
        <w:t>s</w:t>
      </w:r>
      <w:r w:rsidRPr="001C300E">
        <w:rPr>
          <w:rFonts w:eastAsia="Malgun Gothic"/>
          <w:bCs/>
          <w:lang w:val="fr-FR"/>
        </w:rPr>
        <w:t xml:space="preserve"> et les responsabilités des praticiens</w:t>
      </w:r>
      <w:r w:rsidR="00064B90">
        <w:rPr>
          <w:rFonts w:eastAsia="Malgun Gothic"/>
          <w:bCs/>
          <w:lang w:val="fr-FR"/>
        </w:rPr>
        <w:t xml:space="preserve"> participant à l</w:t>
      </w:r>
      <w:r w:rsidR="00923E72">
        <w:rPr>
          <w:rFonts w:eastAsia="Malgun Gothic"/>
          <w:bCs/>
          <w:lang w:val="fr-FR"/>
        </w:rPr>
        <w:t>’</w:t>
      </w:r>
      <w:r w:rsidR="00064B90" w:rsidRPr="00064B90">
        <w:rPr>
          <w:rFonts w:eastAsia="Malgun Gothic"/>
          <w:bCs/>
          <w:lang w:val="fr-FR"/>
        </w:rPr>
        <w:t>organisation</w:t>
      </w:r>
      <w:r w:rsidR="00064B90">
        <w:rPr>
          <w:rFonts w:eastAsia="Malgun Gothic"/>
          <w:bCs/>
          <w:lang w:val="fr-FR"/>
        </w:rPr>
        <w:t xml:space="preserve"> de la célébration, aux</w:t>
      </w:r>
      <w:r w:rsidRPr="001C300E">
        <w:rPr>
          <w:rFonts w:eastAsia="Malgun Gothic"/>
          <w:bCs/>
          <w:lang w:val="fr-FR"/>
        </w:rPr>
        <w:t xml:space="preserve"> jeux de rôle, </w:t>
      </w:r>
      <w:r w:rsidR="00064B90">
        <w:rPr>
          <w:rFonts w:eastAsia="Malgun Gothic"/>
          <w:bCs/>
          <w:lang w:val="fr-FR"/>
        </w:rPr>
        <w:t>aux</w:t>
      </w:r>
      <w:r w:rsidRPr="001C300E">
        <w:rPr>
          <w:rFonts w:eastAsia="Malgun Gothic"/>
          <w:bCs/>
          <w:lang w:val="fr-FR"/>
        </w:rPr>
        <w:t xml:space="preserve"> chansons et </w:t>
      </w:r>
      <w:r w:rsidR="00064B90">
        <w:rPr>
          <w:rFonts w:eastAsia="Malgun Gothic"/>
          <w:bCs/>
          <w:lang w:val="fr-FR"/>
        </w:rPr>
        <w:t>aux saynètes</w:t>
      </w:r>
      <w:r w:rsidR="0023576B">
        <w:rPr>
          <w:rFonts w:eastAsia="Malgun Gothic"/>
          <w:bCs/>
          <w:lang w:val="fr-FR"/>
        </w:rPr>
        <w:t>,</w:t>
      </w:r>
      <w:r w:rsidRPr="001C300E">
        <w:rPr>
          <w:rFonts w:eastAsia="Malgun Gothic"/>
          <w:bCs/>
          <w:lang w:val="fr-FR"/>
        </w:rPr>
        <w:t xml:space="preserve"> ainsi que l</w:t>
      </w:r>
      <w:r w:rsidR="00923E72">
        <w:rPr>
          <w:rFonts w:eastAsia="Malgun Gothic"/>
          <w:bCs/>
          <w:lang w:val="fr-FR"/>
        </w:rPr>
        <w:t>’</w:t>
      </w:r>
      <w:r w:rsidR="00064B90">
        <w:rPr>
          <w:rFonts w:eastAsia="Malgun Gothic"/>
          <w:bCs/>
          <w:lang w:val="fr-FR"/>
        </w:rPr>
        <w:t xml:space="preserve">importance </w:t>
      </w:r>
      <w:r w:rsidRPr="001C300E">
        <w:rPr>
          <w:rFonts w:eastAsia="Malgun Gothic"/>
          <w:bCs/>
          <w:lang w:val="fr-FR"/>
        </w:rPr>
        <w:t xml:space="preserve">culturelle actuelle de </w:t>
      </w:r>
      <w:r w:rsidR="00064B90">
        <w:rPr>
          <w:rFonts w:eastAsia="Malgun Gothic"/>
          <w:bCs/>
          <w:lang w:val="fr-FR"/>
        </w:rPr>
        <w:t>ces fêtes</w:t>
      </w:r>
      <w:r w:rsidRPr="001C300E">
        <w:rPr>
          <w:rFonts w:eastAsia="Malgun Gothic"/>
          <w:bCs/>
          <w:lang w:val="fr-FR"/>
        </w:rPr>
        <w:t>. En conclusion, l</w:t>
      </w:r>
      <w:r w:rsidR="00923E72">
        <w:rPr>
          <w:rFonts w:eastAsia="Malgun Gothic"/>
          <w:bCs/>
          <w:lang w:val="fr-FR"/>
        </w:rPr>
        <w:t>’</w:t>
      </w:r>
      <w:r w:rsidRPr="001C300E">
        <w:rPr>
          <w:rFonts w:eastAsia="Malgun Gothic"/>
          <w:bCs/>
          <w:lang w:val="fr-FR"/>
        </w:rPr>
        <w:t>Organe d</w:t>
      </w:r>
      <w:r w:rsidR="00923E72">
        <w:rPr>
          <w:rFonts w:eastAsia="Malgun Gothic"/>
          <w:bCs/>
          <w:lang w:val="fr-FR"/>
        </w:rPr>
        <w:t>’</w:t>
      </w:r>
      <w:r w:rsidRPr="001C300E">
        <w:rPr>
          <w:rFonts w:eastAsia="Malgun Gothic"/>
          <w:bCs/>
          <w:lang w:val="fr-FR"/>
        </w:rPr>
        <w:t>évaluation recommandait l</w:t>
      </w:r>
      <w:r w:rsidR="00923E72">
        <w:rPr>
          <w:rFonts w:eastAsia="Malgun Gothic"/>
          <w:bCs/>
          <w:lang w:val="fr-FR"/>
        </w:rPr>
        <w:t>’</w:t>
      </w:r>
      <w:r w:rsidRPr="001C300E">
        <w:rPr>
          <w:rFonts w:eastAsia="Malgun Gothic"/>
          <w:bCs/>
          <w:lang w:val="fr-FR"/>
        </w:rPr>
        <w:t>inscription de cet élément sur la Liste représentative.</w:t>
      </w:r>
    </w:p>
    <w:p w14:paraId="3FA88788" w14:textId="114D4D62" w:rsidR="00064B90" w:rsidRDefault="00064B9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w:t>
      </w:r>
      <w:r>
        <w:rPr>
          <w:rFonts w:eastAsia="Malgun Gothic"/>
          <w:bCs/>
          <w:lang w:val="fr-FR"/>
        </w:rPr>
        <w:lastRenderedPageBreak/>
        <w:t xml:space="preserve">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D1330F">
        <w:rPr>
          <w:rFonts w:eastAsia="Malgun Gothic"/>
          <w:b/>
          <w:lang w:val="fr-FR"/>
        </w:rPr>
        <w:t> </w:t>
      </w:r>
      <w:r w:rsidR="00751FB1">
        <w:fldChar w:fldCharType="begin"/>
      </w:r>
      <w:r w:rsidR="00751FB1" w:rsidRPr="00751FB1">
        <w:rPr>
          <w:lang w:val="fr-FR"/>
        </w:rPr>
        <w:instrText>HYPERLINK "https://ich.unesco.org/fr/Decisions/17.COM/7.b.39"</w:instrText>
      </w:r>
      <w:r w:rsidR="00751FB1">
        <w:fldChar w:fldCharType="separate"/>
      </w:r>
      <w:r w:rsidRPr="00702497">
        <w:rPr>
          <w:rStyle w:val="Hyperlink"/>
          <w:b/>
          <w:bCs/>
          <w:lang w:val="fr-FR"/>
        </w:rPr>
        <w:t>17.COM 7.b.39</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724FB7">
        <w:rPr>
          <w:rFonts w:eastAsia="Malgun Gothic"/>
          <w:b/>
          <w:lang w:val="fr-FR"/>
        </w:rPr>
        <w:t>les fêtes de l</w:t>
      </w:r>
      <w:r w:rsidR="00923E72">
        <w:rPr>
          <w:rFonts w:eastAsia="Malgun Gothic"/>
          <w:b/>
          <w:lang w:val="fr-FR"/>
        </w:rPr>
        <w:t>’</w:t>
      </w:r>
      <w:r w:rsidRPr="00724FB7">
        <w:rPr>
          <w:rFonts w:eastAsia="Malgun Gothic"/>
          <w:b/>
          <w:lang w:val="fr-FR"/>
        </w:rPr>
        <w:t>ours dans les Pyrénées</w:t>
      </w:r>
      <w:r>
        <w:rPr>
          <w:rFonts w:eastAsia="Malgun Gothic"/>
          <w:b/>
          <w:lang w:val="fr-FR"/>
        </w:rPr>
        <w:t xml:space="preserve"> sur la Liste représentative</w:t>
      </w:r>
      <w:r>
        <w:rPr>
          <w:rFonts w:eastAsia="Malgun Gothic"/>
          <w:bCs/>
          <w:lang w:val="fr-FR"/>
        </w:rPr>
        <w:t>.</w:t>
      </w:r>
    </w:p>
    <w:p w14:paraId="16FA9264" w14:textId="5D9E6C09" w:rsidR="00064B90" w:rsidRPr="00702497" w:rsidRDefault="00064B90"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w:t>
      </w:r>
      <w:r w:rsidR="00D67C72">
        <w:rPr>
          <w:rFonts w:eastAsia="Malgun Gothic"/>
          <w:bCs/>
          <w:i/>
          <w:iCs/>
          <w:lang w:val="fr-FR"/>
        </w:rPr>
        <w:t xml:space="preserve"> diffusée</w:t>
      </w:r>
      <w:r w:rsidRPr="00702497">
        <w:rPr>
          <w:rFonts w:eastAsia="Malgun Gothic"/>
          <w:bCs/>
          <w:i/>
          <w:iCs/>
          <w:lang w:val="fr-FR"/>
        </w:rPr>
        <w:t>]</w:t>
      </w:r>
    </w:p>
    <w:p w14:paraId="0C9BC503" w14:textId="7B28DB5A" w:rsidR="00064B90" w:rsidRDefault="009F296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La délégation d</w:t>
      </w:r>
      <w:r w:rsidR="00923E72">
        <w:rPr>
          <w:rFonts w:eastAsia="Malgun Gothic"/>
          <w:bCs/>
          <w:lang w:val="fr-FR"/>
        </w:rPr>
        <w:t>’</w:t>
      </w:r>
      <w:r w:rsidRPr="006E3034">
        <w:rPr>
          <w:rFonts w:eastAsia="Malgun Gothic"/>
          <w:b/>
          <w:lang w:val="fr-FR"/>
        </w:rPr>
        <w:t>Andorre</w:t>
      </w:r>
      <w:r>
        <w:rPr>
          <w:rFonts w:eastAsia="Malgun Gothic"/>
          <w:bCs/>
          <w:lang w:val="fr-FR"/>
        </w:rPr>
        <w:t xml:space="preserve">, </w:t>
      </w:r>
      <w:r w:rsidR="00923E72">
        <w:rPr>
          <w:rFonts w:eastAsia="Malgun Gothic"/>
          <w:bCs/>
          <w:lang w:val="fr-FR"/>
        </w:rPr>
        <w:t>’</w:t>
      </w:r>
      <w:r w:rsidR="00923E72">
        <w:rPr>
          <w:rFonts w:eastAsia="Malgun Gothic"/>
          <w:b/>
          <w:lang w:val="fr-FR"/>
        </w:rPr>
        <w:t>’</w:t>
      </w:r>
      <w:r w:rsidR="0035664F" w:rsidRPr="0035664F">
        <w:rPr>
          <w:rFonts w:eastAsia="Malgun Gothic"/>
          <w:bCs/>
          <w:lang w:val="fr-FR"/>
        </w:rPr>
        <w:t>a exprimé son plaisir d</w:t>
      </w:r>
      <w:r w:rsidR="00923E72">
        <w:rPr>
          <w:rFonts w:eastAsia="Malgun Gothic"/>
          <w:bCs/>
          <w:lang w:val="fr-FR"/>
        </w:rPr>
        <w:t>’</w:t>
      </w:r>
      <w:r w:rsidR="0035664F" w:rsidRPr="0035664F">
        <w:rPr>
          <w:rFonts w:eastAsia="Malgun Gothic"/>
          <w:bCs/>
          <w:lang w:val="fr-FR"/>
        </w:rPr>
        <w:t xml:space="preserve">être à Rabat avec la </w:t>
      </w:r>
      <w:r w:rsidR="00D1330F">
        <w:rPr>
          <w:rFonts w:eastAsia="Malgun Gothic"/>
          <w:bCs/>
          <w:lang w:val="fr-FR"/>
        </w:rPr>
        <w:t xml:space="preserve">grande </w:t>
      </w:r>
      <w:r w:rsidR="0035664F" w:rsidRPr="0035664F">
        <w:rPr>
          <w:rFonts w:eastAsia="Malgun Gothic"/>
          <w:bCs/>
          <w:lang w:val="fr-FR"/>
        </w:rPr>
        <w:t>famille de l</w:t>
      </w:r>
      <w:r w:rsidR="00923E72">
        <w:rPr>
          <w:rFonts w:eastAsia="Malgun Gothic"/>
          <w:bCs/>
          <w:lang w:val="fr-FR"/>
        </w:rPr>
        <w:t>’</w:t>
      </w:r>
      <w:r w:rsidR="0035664F" w:rsidRPr="0035664F">
        <w:rPr>
          <w:rFonts w:eastAsia="Malgun Gothic"/>
          <w:bCs/>
          <w:lang w:val="fr-FR"/>
        </w:rPr>
        <w:t>UNESCO. Au nom du Gouvernement et de toute la population de la Principauté d</w:t>
      </w:r>
      <w:r w:rsidR="00923E72">
        <w:rPr>
          <w:rFonts w:eastAsia="Malgun Gothic"/>
          <w:bCs/>
          <w:lang w:val="fr-FR"/>
        </w:rPr>
        <w:t>’</w:t>
      </w:r>
      <w:r w:rsidR="0035664F" w:rsidRPr="0035664F">
        <w:rPr>
          <w:rFonts w:eastAsia="Malgun Gothic"/>
          <w:bCs/>
          <w:lang w:val="fr-FR"/>
        </w:rPr>
        <w:t xml:space="preserve">Andorre, </w:t>
      </w:r>
      <w:r>
        <w:rPr>
          <w:rFonts w:eastAsia="Malgun Gothic"/>
          <w:bCs/>
          <w:lang w:val="fr-FR"/>
        </w:rPr>
        <w:t>Andorre</w:t>
      </w:r>
      <w:r w:rsidR="0035664F" w:rsidRPr="0035664F">
        <w:rPr>
          <w:rFonts w:eastAsia="Malgun Gothic"/>
          <w:bCs/>
          <w:lang w:val="fr-FR"/>
        </w:rPr>
        <w:t xml:space="preserve"> a remercié l</w:t>
      </w:r>
      <w:r w:rsidR="00923E72">
        <w:rPr>
          <w:rFonts w:eastAsia="Malgun Gothic"/>
          <w:bCs/>
          <w:lang w:val="fr-FR"/>
        </w:rPr>
        <w:t>’</w:t>
      </w:r>
      <w:r w:rsidR="0035664F" w:rsidRPr="0035664F">
        <w:rPr>
          <w:rFonts w:eastAsia="Malgun Gothic"/>
          <w:bCs/>
          <w:lang w:val="fr-FR"/>
        </w:rPr>
        <w:t>Organe d</w:t>
      </w:r>
      <w:r w:rsidR="00923E72">
        <w:rPr>
          <w:rFonts w:eastAsia="Malgun Gothic"/>
          <w:bCs/>
          <w:lang w:val="fr-FR"/>
        </w:rPr>
        <w:t>’</w:t>
      </w:r>
      <w:r w:rsidR="0035664F" w:rsidRPr="0035664F">
        <w:rPr>
          <w:rFonts w:eastAsia="Malgun Gothic"/>
          <w:bCs/>
          <w:lang w:val="fr-FR"/>
        </w:rPr>
        <w:t>évaluation et le Comité pour l</w:t>
      </w:r>
      <w:r w:rsidR="00923E72">
        <w:rPr>
          <w:rFonts w:eastAsia="Malgun Gothic"/>
          <w:bCs/>
          <w:lang w:val="fr-FR"/>
        </w:rPr>
        <w:t>’</w:t>
      </w:r>
      <w:r w:rsidR="0035664F" w:rsidRPr="0035664F">
        <w:rPr>
          <w:rFonts w:eastAsia="Malgun Gothic"/>
          <w:bCs/>
          <w:lang w:val="fr-FR"/>
        </w:rPr>
        <w:t>inscription des fêtes de l</w:t>
      </w:r>
      <w:r w:rsidR="00923E72">
        <w:rPr>
          <w:rFonts w:eastAsia="Malgun Gothic"/>
          <w:bCs/>
          <w:lang w:val="fr-FR"/>
        </w:rPr>
        <w:t>’</w:t>
      </w:r>
      <w:r w:rsidR="0035664F" w:rsidRPr="0035664F">
        <w:rPr>
          <w:rFonts w:eastAsia="Malgun Gothic"/>
          <w:bCs/>
          <w:lang w:val="fr-FR"/>
        </w:rPr>
        <w:t xml:space="preserve">ours dans les Pyrénées sur la Liste représentative, présentée conjointement avec la France. Cette inscription, la deuxième pour Andorre, contribuerait à </w:t>
      </w:r>
      <w:r w:rsidR="0035664F">
        <w:rPr>
          <w:rFonts w:eastAsia="Malgun Gothic"/>
          <w:bCs/>
          <w:lang w:val="fr-FR"/>
        </w:rPr>
        <w:t xml:space="preserve">valoriser </w:t>
      </w:r>
      <w:r w:rsidR="0035664F" w:rsidRPr="0035664F">
        <w:rPr>
          <w:rFonts w:eastAsia="Malgun Gothic"/>
          <w:bCs/>
          <w:lang w:val="fr-FR"/>
        </w:rPr>
        <w:t xml:space="preserve">les pratiques du patrimoine culturel immatériel des montagnes et des vallées </w:t>
      </w:r>
      <w:r w:rsidR="0035664F">
        <w:rPr>
          <w:rFonts w:eastAsia="Malgun Gothic"/>
          <w:bCs/>
          <w:lang w:val="fr-FR"/>
        </w:rPr>
        <w:t>p</w:t>
      </w:r>
      <w:r w:rsidR="0035664F" w:rsidRPr="0035664F">
        <w:rPr>
          <w:rFonts w:eastAsia="Malgun Gothic"/>
          <w:bCs/>
          <w:lang w:val="fr-FR"/>
        </w:rPr>
        <w:t>yrénée</w:t>
      </w:r>
      <w:r w:rsidR="0035664F">
        <w:rPr>
          <w:rFonts w:eastAsia="Malgun Gothic"/>
          <w:bCs/>
          <w:lang w:val="fr-FR"/>
        </w:rPr>
        <w:t>nnes</w:t>
      </w:r>
      <w:r w:rsidR="0035664F" w:rsidRPr="0035664F">
        <w:rPr>
          <w:rFonts w:eastAsia="Malgun Gothic"/>
          <w:bCs/>
          <w:lang w:val="fr-FR"/>
        </w:rPr>
        <w:t xml:space="preserve"> et à sensibiliser le grand public à l</w:t>
      </w:r>
      <w:r w:rsidR="00923E72">
        <w:rPr>
          <w:rFonts w:eastAsia="Malgun Gothic"/>
          <w:bCs/>
          <w:lang w:val="fr-FR"/>
        </w:rPr>
        <w:t>’</w:t>
      </w:r>
      <w:r w:rsidR="0035664F" w:rsidRPr="0035664F">
        <w:rPr>
          <w:rFonts w:eastAsia="Malgun Gothic"/>
          <w:bCs/>
          <w:lang w:val="fr-FR"/>
        </w:rPr>
        <w:t xml:space="preserve">importance de la sauvegarde des pratiques sociales, des rituels et des fêtes. La reconnaissance de ces célébrations, qui </w:t>
      </w:r>
      <w:r w:rsidR="0035664F">
        <w:rPr>
          <w:rFonts w:eastAsia="Malgun Gothic"/>
          <w:bCs/>
          <w:lang w:val="fr-FR"/>
        </w:rPr>
        <w:t>avaient survécu aux assauts du</w:t>
      </w:r>
      <w:r w:rsidR="0035664F" w:rsidRPr="0035664F">
        <w:rPr>
          <w:rFonts w:eastAsia="Malgun Gothic"/>
          <w:bCs/>
          <w:lang w:val="fr-FR"/>
        </w:rPr>
        <w:t xml:space="preserve"> temps et serv</w:t>
      </w:r>
      <w:r w:rsidR="0035664F">
        <w:rPr>
          <w:rFonts w:eastAsia="Malgun Gothic"/>
          <w:bCs/>
          <w:lang w:val="fr-FR"/>
        </w:rPr>
        <w:t>ai</w:t>
      </w:r>
      <w:r w:rsidR="0035664F" w:rsidRPr="0035664F">
        <w:rPr>
          <w:rFonts w:eastAsia="Malgun Gothic"/>
          <w:bCs/>
          <w:lang w:val="fr-FR"/>
        </w:rPr>
        <w:t>ent à créer des espaces de complicité et d</w:t>
      </w:r>
      <w:r w:rsidR="00923E72">
        <w:rPr>
          <w:rFonts w:eastAsia="Malgun Gothic"/>
          <w:bCs/>
          <w:lang w:val="fr-FR"/>
        </w:rPr>
        <w:t>’</w:t>
      </w:r>
      <w:r w:rsidR="0035664F" w:rsidRPr="0035664F">
        <w:rPr>
          <w:rFonts w:eastAsia="Malgun Gothic"/>
          <w:bCs/>
          <w:lang w:val="fr-FR"/>
        </w:rPr>
        <w:t xml:space="preserve">échange au sein de la population locale, mettait en </w:t>
      </w:r>
      <w:r w:rsidR="0035664F">
        <w:rPr>
          <w:rFonts w:eastAsia="Malgun Gothic"/>
          <w:bCs/>
          <w:lang w:val="fr-FR"/>
        </w:rPr>
        <w:t xml:space="preserve">valeur </w:t>
      </w:r>
      <w:r w:rsidR="0035664F" w:rsidRPr="0035664F">
        <w:rPr>
          <w:rFonts w:eastAsia="Malgun Gothic"/>
          <w:bCs/>
          <w:lang w:val="fr-FR"/>
        </w:rPr>
        <w:t>la richesse des traditions d</w:t>
      </w:r>
      <w:r w:rsidR="00923E72">
        <w:rPr>
          <w:rFonts w:eastAsia="Malgun Gothic"/>
          <w:bCs/>
          <w:lang w:val="fr-FR"/>
        </w:rPr>
        <w:t>’</w:t>
      </w:r>
      <w:r w:rsidR="0035664F" w:rsidRPr="0035664F">
        <w:rPr>
          <w:rFonts w:eastAsia="Malgun Gothic"/>
          <w:bCs/>
          <w:lang w:val="fr-FR"/>
        </w:rPr>
        <w:t xml:space="preserve">expression orale, encadrées par </w:t>
      </w:r>
      <w:r w:rsidR="0035664F">
        <w:rPr>
          <w:rFonts w:eastAsia="Malgun Gothic"/>
          <w:bCs/>
          <w:lang w:val="fr-FR"/>
        </w:rPr>
        <w:t xml:space="preserve">les arts scéniques </w:t>
      </w:r>
      <w:r w:rsidR="0035664F" w:rsidRPr="0035664F">
        <w:rPr>
          <w:rFonts w:eastAsia="Malgun Gothic"/>
          <w:bCs/>
          <w:lang w:val="fr-FR"/>
        </w:rPr>
        <w:t xml:space="preserve">et </w:t>
      </w:r>
      <w:r w:rsidR="0035664F">
        <w:rPr>
          <w:rFonts w:eastAsia="Malgun Gothic"/>
          <w:bCs/>
          <w:lang w:val="fr-FR"/>
        </w:rPr>
        <w:t>l</w:t>
      </w:r>
      <w:r w:rsidR="00923E72">
        <w:rPr>
          <w:rFonts w:eastAsia="Malgun Gothic"/>
          <w:bCs/>
          <w:lang w:val="fr-FR"/>
        </w:rPr>
        <w:t>’</w:t>
      </w:r>
      <w:r w:rsidR="0035664F" w:rsidRPr="0035664F">
        <w:rPr>
          <w:rFonts w:eastAsia="Malgun Gothic"/>
          <w:bCs/>
          <w:lang w:val="fr-FR"/>
        </w:rPr>
        <w:t xml:space="preserve">interprétation, </w:t>
      </w:r>
      <w:r w:rsidR="0035664F">
        <w:rPr>
          <w:rFonts w:eastAsia="Malgun Gothic"/>
          <w:bCs/>
          <w:lang w:val="fr-FR"/>
        </w:rPr>
        <w:t>et</w:t>
      </w:r>
      <w:r w:rsidR="0035664F" w:rsidRPr="0035664F">
        <w:rPr>
          <w:rFonts w:eastAsia="Malgun Gothic"/>
          <w:bCs/>
          <w:lang w:val="fr-FR"/>
        </w:rPr>
        <w:t xml:space="preserve"> contribu</w:t>
      </w:r>
      <w:r w:rsidR="0035664F">
        <w:rPr>
          <w:rFonts w:eastAsia="Malgun Gothic"/>
          <w:bCs/>
          <w:lang w:val="fr-FR"/>
        </w:rPr>
        <w:t>ait</w:t>
      </w:r>
      <w:r w:rsidR="0035664F" w:rsidRPr="0035664F">
        <w:rPr>
          <w:rFonts w:eastAsia="Malgun Gothic"/>
          <w:bCs/>
          <w:lang w:val="fr-FR"/>
        </w:rPr>
        <w:t xml:space="preserve"> à maintenir l</w:t>
      </w:r>
      <w:r w:rsidR="00923E72">
        <w:rPr>
          <w:rFonts w:eastAsia="Malgun Gothic"/>
          <w:bCs/>
          <w:lang w:val="fr-FR"/>
        </w:rPr>
        <w:t>’</w:t>
      </w:r>
      <w:r w:rsidR="0035664F" w:rsidRPr="0035664F">
        <w:rPr>
          <w:rFonts w:eastAsia="Malgun Gothic"/>
          <w:bCs/>
          <w:lang w:val="fr-FR"/>
        </w:rPr>
        <w:t>imaginaire collectif traditionnel</w:t>
      </w:r>
      <w:r w:rsidR="0035664F">
        <w:rPr>
          <w:rFonts w:eastAsia="Malgun Gothic"/>
          <w:bCs/>
          <w:lang w:val="fr-FR"/>
        </w:rPr>
        <w:t xml:space="preserve"> vivant</w:t>
      </w:r>
      <w:r w:rsidR="0035664F" w:rsidRPr="0035664F">
        <w:rPr>
          <w:rFonts w:eastAsia="Malgun Gothic"/>
          <w:bCs/>
          <w:lang w:val="fr-FR"/>
        </w:rPr>
        <w:t>.</w:t>
      </w:r>
    </w:p>
    <w:p w14:paraId="6D694426" w14:textId="3700539C" w:rsidR="0035664F" w:rsidRDefault="00923E7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w:t>
      </w:r>
      <w:r w:rsidR="009F296C">
        <w:rPr>
          <w:rFonts w:eastAsia="Malgun Gothic"/>
          <w:bCs/>
          <w:lang w:val="fr-FR"/>
        </w:rPr>
        <w:t xml:space="preserve">La délégation de </w:t>
      </w:r>
      <w:r w:rsidR="009F296C" w:rsidRPr="006E3034">
        <w:rPr>
          <w:rFonts w:eastAsia="Malgun Gothic"/>
          <w:b/>
          <w:lang w:val="fr-FR"/>
        </w:rPr>
        <w:t>France</w:t>
      </w:r>
      <w:r w:rsidR="009F296C">
        <w:rPr>
          <w:rFonts w:eastAsia="Malgun Gothic"/>
          <w:bCs/>
          <w:lang w:val="fr-FR"/>
        </w:rPr>
        <w:t>, a</w:t>
      </w:r>
      <w:r w:rsidR="0035664F" w:rsidRPr="0035664F">
        <w:rPr>
          <w:rFonts w:eastAsia="Malgun Gothic"/>
          <w:bCs/>
          <w:lang w:val="fr-FR"/>
        </w:rPr>
        <w:t xml:space="preserve"> remerci</w:t>
      </w:r>
      <w:r w:rsidR="009F296C">
        <w:rPr>
          <w:rFonts w:eastAsia="Malgun Gothic"/>
          <w:bCs/>
          <w:lang w:val="fr-FR"/>
        </w:rPr>
        <w:t xml:space="preserve">é </w:t>
      </w:r>
      <w:r w:rsidR="0035664F" w:rsidRPr="0035664F">
        <w:rPr>
          <w:rFonts w:eastAsia="Malgun Gothic"/>
          <w:bCs/>
          <w:lang w:val="fr-FR"/>
        </w:rPr>
        <w:t>le Comité de sa décision d</w:t>
      </w:r>
      <w:r>
        <w:rPr>
          <w:rFonts w:eastAsia="Malgun Gothic"/>
          <w:bCs/>
          <w:lang w:val="fr-FR"/>
        </w:rPr>
        <w:t>’</w:t>
      </w:r>
      <w:r w:rsidR="0035664F" w:rsidRPr="0035664F">
        <w:rPr>
          <w:rFonts w:eastAsia="Malgun Gothic"/>
          <w:bCs/>
          <w:lang w:val="fr-FR"/>
        </w:rPr>
        <w:t>inscrire les fêtes de l</w:t>
      </w:r>
      <w:r>
        <w:rPr>
          <w:rFonts w:eastAsia="Malgun Gothic"/>
          <w:bCs/>
          <w:lang w:val="fr-FR"/>
        </w:rPr>
        <w:t>’</w:t>
      </w:r>
      <w:r w:rsidR="0035664F" w:rsidRPr="0035664F">
        <w:rPr>
          <w:rFonts w:eastAsia="Malgun Gothic"/>
          <w:bCs/>
          <w:lang w:val="fr-FR"/>
        </w:rPr>
        <w:t>ours dans les Pyrénées sur la Liste représentative. La France partageait la joie de la communauté, représentée par dix de ses membres, qui avait fait le déplacement jusqu</w:t>
      </w:r>
      <w:r>
        <w:rPr>
          <w:rFonts w:eastAsia="Malgun Gothic"/>
          <w:bCs/>
          <w:lang w:val="fr-FR"/>
        </w:rPr>
        <w:t>’</w:t>
      </w:r>
      <w:r w:rsidR="0035664F" w:rsidRPr="0035664F">
        <w:rPr>
          <w:rFonts w:eastAsia="Malgun Gothic"/>
          <w:bCs/>
          <w:lang w:val="fr-FR"/>
        </w:rPr>
        <w:t>à Rabat. Cette communauté andorrane et française était porteuse de cet élément</w:t>
      </w:r>
      <w:r w:rsidR="001103FD">
        <w:rPr>
          <w:rFonts w:eastAsia="Malgun Gothic"/>
          <w:bCs/>
          <w:lang w:val="fr-FR"/>
        </w:rPr>
        <w:t xml:space="preserve"> </w:t>
      </w:r>
      <w:r w:rsidR="0035664F" w:rsidRPr="0035664F">
        <w:rPr>
          <w:rFonts w:eastAsia="Malgun Gothic"/>
          <w:bCs/>
          <w:lang w:val="fr-FR"/>
        </w:rPr>
        <w:t>qui exprime l</w:t>
      </w:r>
      <w:r>
        <w:rPr>
          <w:rFonts w:eastAsia="Malgun Gothic"/>
          <w:bCs/>
          <w:lang w:val="fr-FR"/>
        </w:rPr>
        <w:t>’</w:t>
      </w:r>
      <w:r w:rsidR="0035664F" w:rsidRPr="0035664F">
        <w:rPr>
          <w:rFonts w:eastAsia="Malgun Gothic"/>
          <w:bCs/>
          <w:lang w:val="fr-FR"/>
        </w:rPr>
        <w:t>attachement de la communauté à ses valeurs culturelles et qui témoigne également de l</w:t>
      </w:r>
      <w:r>
        <w:rPr>
          <w:rFonts w:eastAsia="Malgun Gothic"/>
          <w:bCs/>
          <w:lang w:val="fr-FR"/>
        </w:rPr>
        <w:t>’</w:t>
      </w:r>
      <w:r w:rsidR="0035664F" w:rsidRPr="0035664F">
        <w:rPr>
          <w:rFonts w:eastAsia="Malgun Gothic"/>
          <w:bCs/>
          <w:lang w:val="fr-FR"/>
        </w:rPr>
        <w:t>importance des manifestations populaires intergénérationnelles. La France s</w:t>
      </w:r>
      <w:r>
        <w:rPr>
          <w:rFonts w:eastAsia="Malgun Gothic"/>
          <w:bCs/>
          <w:lang w:val="fr-FR"/>
        </w:rPr>
        <w:t>’</w:t>
      </w:r>
      <w:r w:rsidR="0035664F" w:rsidRPr="0035664F">
        <w:rPr>
          <w:rFonts w:eastAsia="Malgun Gothic"/>
          <w:bCs/>
          <w:lang w:val="fr-FR"/>
        </w:rPr>
        <w:t>est réjouie d</w:t>
      </w:r>
      <w:r>
        <w:rPr>
          <w:rFonts w:eastAsia="Malgun Gothic"/>
          <w:bCs/>
          <w:lang w:val="fr-FR"/>
        </w:rPr>
        <w:t>’</w:t>
      </w:r>
      <w:r w:rsidR="0035664F" w:rsidRPr="0035664F">
        <w:rPr>
          <w:rFonts w:eastAsia="Malgun Gothic"/>
          <w:bCs/>
          <w:lang w:val="fr-FR"/>
        </w:rPr>
        <w:t>avoir pu présenter ce projet avec son ami</w:t>
      </w:r>
      <w:r w:rsidR="008F7A27">
        <w:rPr>
          <w:rFonts w:eastAsia="Malgun Gothic"/>
          <w:bCs/>
          <w:lang w:val="fr-FR"/>
        </w:rPr>
        <w:t>e</w:t>
      </w:r>
      <w:r w:rsidR="0035664F" w:rsidRPr="0035664F">
        <w:rPr>
          <w:rFonts w:eastAsia="Malgun Gothic"/>
          <w:bCs/>
          <w:lang w:val="fr-FR"/>
        </w:rPr>
        <w:t xml:space="preserve"> commun</w:t>
      </w:r>
      <w:r w:rsidR="008F7A27">
        <w:rPr>
          <w:rFonts w:eastAsia="Malgun Gothic"/>
          <w:bCs/>
          <w:lang w:val="fr-FR"/>
        </w:rPr>
        <w:t>e</w:t>
      </w:r>
      <w:r w:rsidR="0035664F" w:rsidRPr="0035664F">
        <w:rPr>
          <w:rFonts w:eastAsia="Malgun Gothic"/>
          <w:bCs/>
          <w:lang w:val="fr-FR"/>
        </w:rPr>
        <w:t>.</w:t>
      </w:r>
    </w:p>
    <w:p w14:paraId="671358B7" w14:textId="4E8D5F69" w:rsidR="008F7A27" w:rsidRDefault="008F7A2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félicité Andorre et la France, ajoutant que les </w:t>
      </w:r>
      <w:r w:rsidRPr="008F7A27">
        <w:rPr>
          <w:rFonts w:eastAsia="Malgun Gothic"/>
          <w:bCs/>
          <w:color w:val="000000" w:themeColor="text1"/>
          <w:lang w:val="fr-FR"/>
        </w:rPr>
        <w:t>communautés</w:t>
      </w:r>
      <w:r>
        <w:rPr>
          <w:rFonts w:eastAsia="Malgun Gothic"/>
          <w:bCs/>
          <w:color w:val="000000" w:themeColor="text1"/>
          <w:lang w:val="fr-FR"/>
        </w:rPr>
        <w:t xml:space="preserve"> qui arrivent ensemble d</w:t>
      </w:r>
      <w:r w:rsidR="00923E72">
        <w:rPr>
          <w:rFonts w:eastAsia="Malgun Gothic"/>
          <w:bCs/>
          <w:color w:val="000000" w:themeColor="text1"/>
          <w:lang w:val="fr-FR"/>
        </w:rPr>
        <w:t>’</w:t>
      </w:r>
      <w:r>
        <w:rPr>
          <w:rFonts w:eastAsia="Malgun Gothic"/>
          <w:bCs/>
          <w:color w:val="000000" w:themeColor="text1"/>
          <w:lang w:val="fr-FR"/>
        </w:rPr>
        <w:t xml:space="preserve">un peu partout dans le monde </w:t>
      </w:r>
      <w:r w:rsidRPr="008F7A27">
        <w:rPr>
          <w:rFonts w:eastAsia="Malgun Gothic"/>
          <w:bCs/>
          <w:color w:val="000000" w:themeColor="text1"/>
          <w:lang w:val="fr-FR"/>
        </w:rPr>
        <w:t>représent</w:t>
      </w:r>
      <w:r>
        <w:rPr>
          <w:rFonts w:eastAsia="Malgun Gothic"/>
          <w:bCs/>
          <w:color w:val="000000" w:themeColor="text1"/>
          <w:lang w:val="fr-FR"/>
        </w:rPr>
        <w:t xml:space="preserve">ent </w:t>
      </w:r>
      <w:r w:rsidR="001103FD">
        <w:rPr>
          <w:rFonts w:eastAsia="Malgun Gothic"/>
          <w:bCs/>
          <w:color w:val="000000" w:themeColor="text1"/>
          <w:lang w:val="fr-FR"/>
        </w:rPr>
        <w:t xml:space="preserve">toute </w:t>
      </w:r>
      <w:r>
        <w:rPr>
          <w:rFonts w:eastAsia="Malgun Gothic"/>
          <w:bCs/>
          <w:color w:val="000000" w:themeColor="text1"/>
          <w:lang w:val="fr-FR"/>
        </w:rPr>
        <w:t xml:space="preserve">la beauté de la </w:t>
      </w:r>
      <w:r w:rsidRPr="008F7A27">
        <w:rPr>
          <w:rFonts w:eastAsia="Malgun Gothic"/>
          <w:bCs/>
          <w:color w:val="000000" w:themeColor="text1"/>
          <w:lang w:val="fr-FR"/>
        </w:rPr>
        <w:t>Convention</w:t>
      </w:r>
      <w:r>
        <w:rPr>
          <w:rFonts w:eastAsia="Malgun Gothic"/>
          <w:bCs/>
          <w:color w:val="000000" w:themeColor="text1"/>
          <w:lang w:val="fr-FR"/>
        </w:rPr>
        <w:t xml:space="preserve">. À travers cette </w:t>
      </w:r>
      <w:r w:rsidRPr="008F7A27">
        <w:rPr>
          <w:rFonts w:eastAsia="Malgun Gothic"/>
          <w:bCs/>
          <w:color w:val="000000" w:themeColor="text1"/>
          <w:lang w:val="fr-FR"/>
        </w:rPr>
        <w:t>candidature</w:t>
      </w:r>
      <w:r>
        <w:rPr>
          <w:rFonts w:eastAsia="Malgun Gothic"/>
          <w:bCs/>
          <w:color w:val="000000" w:themeColor="text1"/>
          <w:lang w:val="fr-FR"/>
        </w:rPr>
        <w:t xml:space="preserve">, </w:t>
      </w:r>
      <w:r>
        <w:rPr>
          <w:rFonts w:eastAsia="Malgun Gothic"/>
          <w:bCs/>
          <w:lang w:val="fr-FR"/>
        </w:rPr>
        <w:t xml:space="preserve">il a rendu hommage à toutes les </w:t>
      </w:r>
      <w:r w:rsidRPr="008F7A27">
        <w:rPr>
          <w:rFonts w:eastAsia="Malgun Gothic"/>
          <w:bCs/>
          <w:color w:val="000000" w:themeColor="text1"/>
          <w:lang w:val="fr-FR"/>
        </w:rPr>
        <w:t>communautés</w:t>
      </w:r>
      <w:r>
        <w:rPr>
          <w:rFonts w:eastAsia="Malgun Gothic"/>
          <w:bCs/>
          <w:color w:val="000000" w:themeColor="text1"/>
          <w:lang w:val="fr-FR"/>
        </w:rPr>
        <w:t xml:space="preserve"> d</w:t>
      </w:r>
      <w:r w:rsidR="00923E72">
        <w:rPr>
          <w:rFonts w:eastAsia="Malgun Gothic"/>
          <w:bCs/>
          <w:color w:val="000000" w:themeColor="text1"/>
          <w:lang w:val="fr-FR"/>
        </w:rPr>
        <w:t>’</w:t>
      </w:r>
      <w:r>
        <w:rPr>
          <w:rFonts w:eastAsia="Malgun Gothic"/>
          <w:bCs/>
          <w:color w:val="000000" w:themeColor="text1"/>
          <w:lang w:val="fr-FR"/>
        </w:rPr>
        <w:t>où qu</w:t>
      </w:r>
      <w:r w:rsidR="00923E72">
        <w:rPr>
          <w:rFonts w:eastAsia="Malgun Gothic"/>
          <w:bCs/>
          <w:color w:val="000000" w:themeColor="text1"/>
          <w:lang w:val="fr-FR"/>
        </w:rPr>
        <w:t>’</w:t>
      </w:r>
      <w:r>
        <w:rPr>
          <w:rFonts w:eastAsia="Malgun Gothic"/>
          <w:bCs/>
          <w:color w:val="000000" w:themeColor="text1"/>
          <w:lang w:val="fr-FR"/>
        </w:rPr>
        <w:t>elles viennent dans le monde entier</w:t>
      </w:r>
      <w:r>
        <w:rPr>
          <w:rFonts w:eastAsia="Malgun Gothic"/>
          <w:bCs/>
          <w:lang w:val="fr-FR"/>
        </w:rPr>
        <w:t>.</w:t>
      </w:r>
    </w:p>
    <w:p w14:paraId="5A1DD84B" w14:textId="32DD85FB" w:rsidR="008F7A27" w:rsidRDefault="008F7A2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F7A27">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8F7A27">
        <w:rPr>
          <w:rFonts w:eastAsia="Malgun Gothic"/>
          <w:bCs/>
          <w:lang w:val="fr-FR"/>
        </w:rPr>
        <w:t xml:space="preserve"> </w:t>
      </w:r>
      <w:r>
        <w:rPr>
          <w:rFonts w:eastAsia="Malgun Gothic"/>
          <w:bCs/>
          <w:lang w:val="fr-FR"/>
        </w:rPr>
        <w:t xml:space="preserve">a </w:t>
      </w:r>
      <w:r w:rsidRPr="008F7A27">
        <w:rPr>
          <w:rFonts w:eastAsia="Malgun Gothic"/>
          <w:bCs/>
          <w:lang w:val="fr-FR"/>
        </w:rPr>
        <w:t>présent</w:t>
      </w:r>
      <w:r>
        <w:rPr>
          <w:rFonts w:eastAsia="Malgun Gothic"/>
          <w:bCs/>
          <w:lang w:val="fr-FR"/>
        </w:rPr>
        <w:t>é</w:t>
      </w:r>
      <w:r w:rsidRPr="008F7A27">
        <w:rPr>
          <w:rFonts w:eastAsia="Malgun Gothic"/>
          <w:bCs/>
          <w:lang w:val="fr-FR"/>
        </w:rPr>
        <w:t xml:space="preserve"> le dossier de candidature suivant, </w:t>
      </w:r>
      <w:r w:rsidRPr="00702497">
        <w:rPr>
          <w:rFonts w:eastAsia="Malgun Gothic"/>
          <w:b/>
          <w:lang w:val="fr-FR"/>
        </w:rPr>
        <w:t xml:space="preserve">le système ancestral de connaissances des quatre peuples autochtones </w:t>
      </w:r>
      <w:proofErr w:type="spellStart"/>
      <w:r w:rsidRPr="00702497">
        <w:rPr>
          <w:rFonts w:eastAsia="Malgun Gothic"/>
          <w:b/>
          <w:lang w:val="fr-FR"/>
        </w:rPr>
        <w:t>arhuaco</w:t>
      </w:r>
      <w:proofErr w:type="spellEnd"/>
      <w:r w:rsidRPr="00702497">
        <w:rPr>
          <w:rFonts w:eastAsia="Malgun Gothic"/>
          <w:b/>
          <w:lang w:val="fr-FR"/>
        </w:rPr>
        <w:t xml:space="preserve">, </w:t>
      </w:r>
      <w:proofErr w:type="spellStart"/>
      <w:r w:rsidRPr="00702497">
        <w:rPr>
          <w:rFonts w:eastAsia="Malgun Gothic"/>
          <w:b/>
          <w:lang w:val="fr-FR"/>
        </w:rPr>
        <w:t>kankuamo</w:t>
      </w:r>
      <w:proofErr w:type="spellEnd"/>
      <w:r w:rsidRPr="00702497">
        <w:rPr>
          <w:rFonts w:eastAsia="Malgun Gothic"/>
          <w:b/>
          <w:lang w:val="fr-FR"/>
        </w:rPr>
        <w:t xml:space="preserve">, </w:t>
      </w:r>
      <w:proofErr w:type="spellStart"/>
      <w:r w:rsidRPr="00702497">
        <w:rPr>
          <w:rFonts w:eastAsia="Malgun Gothic"/>
          <w:b/>
          <w:lang w:val="fr-FR"/>
        </w:rPr>
        <w:t>kogi</w:t>
      </w:r>
      <w:proofErr w:type="spellEnd"/>
      <w:r w:rsidRPr="00702497">
        <w:rPr>
          <w:rFonts w:eastAsia="Malgun Gothic"/>
          <w:b/>
          <w:lang w:val="fr-FR"/>
        </w:rPr>
        <w:t xml:space="preserve"> et </w:t>
      </w:r>
      <w:proofErr w:type="spellStart"/>
      <w:r w:rsidRPr="00702497">
        <w:rPr>
          <w:rFonts w:eastAsia="Malgun Gothic"/>
          <w:b/>
          <w:lang w:val="fr-FR"/>
        </w:rPr>
        <w:t>wiwa</w:t>
      </w:r>
      <w:proofErr w:type="spellEnd"/>
      <w:r w:rsidRPr="00702497">
        <w:rPr>
          <w:rFonts w:eastAsia="Malgun Gothic"/>
          <w:b/>
          <w:lang w:val="fr-FR"/>
        </w:rPr>
        <w:t xml:space="preserve"> de la Sierra Nevada de Santa Marta</w:t>
      </w:r>
      <w:r w:rsidRPr="008F7A27">
        <w:rPr>
          <w:rFonts w:eastAsia="Malgun Gothic"/>
          <w:bCs/>
          <w:lang w:val="fr-FR"/>
        </w:rPr>
        <w:t xml:space="preserve"> [projet de décision</w:t>
      </w:r>
      <w:r w:rsidR="00D1330F">
        <w:rPr>
          <w:rFonts w:eastAsia="Malgun Gothic"/>
          <w:bCs/>
          <w:lang w:val="fr-FR"/>
        </w:rPr>
        <w:t> </w:t>
      </w:r>
      <w:r w:rsidRPr="008F7A27">
        <w:rPr>
          <w:rFonts w:eastAsia="Malgun Gothic"/>
          <w:bCs/>
          <w:lang w:val="fr-FR"/>
        </w:rPr>
        <w:t xml:space="preserve">7.b.3], soumis par la </w:t>
      </w:r>
      <w:r w:rsidRPr="00702497">
        <w:rPr>
          <w:rFonts w:eastAsia="Malgun Gothic"/>
          <w:b/>
          <w:lang w:val="fr-FR"/>
        </w:rPr>
        <w:t>Colombie</w:t>
      </w:r>
      <w:r>
        <w:rPr>
          <w:rFonts w:eastAsia="Malgun Gothic"/>
          <w:bCs/>
          <w:lang w:val="fr-FR"/>
        </w:rPr>
        <w:t>, expliquant que</w:t>
      </w:r>
      <w:r w:rsidRPr="008F7A27">
        <w:rPr>
          <w:rFonts w:eastAsia="Malgun Gothic"/>
          <w:bCs/>
          <w:lang w:val="fr-FR"/>
        </w:rPr>
        <w:t xml:space="preserve"> </w:t>
      </w:r>
      <w:r>
        <w:rPr>
          <w:rFonts w:eastAsia="Malgun Gothic"/>
          <w:bCs/>
          <w:lang w:val="fr-FR"/>
        </w:rPr>
        <w:t>l</w:t>
      </w:r>
      <w:r w:rsidRPr="008F7A27">
        <w:rPr>
          <w:rFonts w:eastAsia="Malgun Gothic"/>
          <w:bCs/>
          <w:lang w:val="fr-FR"/>
        </w:rPr>
        <w:t xml:space="preserve">e système ancestral des quatre peuples de la Sierra Nevada de Santa Marta </w:t>
      </w:r>
      <w:r>
        <w:rPr>
          <w:rFonts w:eastAsia="Malgun Gothic"/>
          <w:bCs/>
          <w:lang w:val="fr-FR"/>
        </w:rPr>
        <w:t xml:space="preserve">définit les missions </w:t>
      </w:r>
      <w:r w:rsidRPr="008F7A27">
        <w:rPr>
          <w:rFonts w:eastAsia="Malgun Gothic"/>
          <w:bCs/>
          <w:lang w:val="fr-FR"/>
        </w:rPr>
        <w:t>sacré</w:t>
      </w:r>
      <w:r>
        <w:rPr>
          <w:rFonts w:eastAsia="Malgun Gothic"/>
          <w:bCs/>
          <w:lang w:val="fr-FR"/>
        </w:rPr>
        <w:t>e</w:t>
      </w:r>
      <w:r w:rsidRPr="008F7A27">
        <w:rPr>
          <w:rFonts w:eastAsia="Malgun Gothic"/>
          <w:bCs/>
          <w:lang w:val="fr-FR"/>
        </w:rPr>
        <w:t xml:space="preserve">s </w:t>
      </w:r>
      <w:r>
        <w:rPr>
          <w:rFonts w:eastAsia="Malgun Gothic"/>
          <w:bCs/>
          <w:lang w:val="fr-FR"/>
        </w:rPr>
        <w:t>concernant l</w:t>
      </w:r>
      <w:r w:rsidR="00923E72">
        <w:rPr>
          <w:rFonts w:eastAsia="Malgun Gothic"/>
          <w:bCs/>
          <w:lang w:val="fr-FR"/>
        </w:rPr>
        <w:t>’</w:t>
      </w:r>
      <w:r>
        <w:rPr>
          <w:rFonts w:eastAsia="Malgun Gothic"/>
          <w:bCs/>
          <w:lang w:val="fr-FR"/>
        </w:rPr>
        <w:t xml:space="preserve">harmonie de ces </w:t>
      </w:r>
      <w:r w:rsidRPr="008F7A27">
        <w:rPr>
          <w:rFonts w:eastAsia="Malgun Gothic"/>
          <w:bCs/>
          <w:lang w:val="fr-FR"/>
        </w:rPr>
        <w:t>quatre peuples avec l</w:t>
      </w:r>
      <w:r w:rsidR="00923E72">
        <w:rPr>
          <w:rFonts w:eastAsia="Malgun Gothic"/>
          <w:bCs/>
          <w:lang w:val="fr-FR"/>
        </w:rPr>
        <w:t>’</w:t>
      </w:r>
      <w:r w:rsidRPr="008F7A27">
        <w:rPr>
          <w:rFonts w:eastAsia="Malgun Gothic"/>
          <w:bCs/>
          <w:lang w:val="fr-FR"/>
        </w:rPr>
        <w:t xml:space="preserve">univers </w:t>
      </w:r>
      <w:r>
        <w:rPr>
          <w:rFonts w:eastAsia="Malgun Gothic"/>
          <w:bCs/>
          <w:lang w:val="fr-FR"/>
        </w:rPr>
        <w:t xml:space="preserve">à la fois </w:t>
      </w:r>
      <w:r w:rsidRPr="008F7A27">
        <w:rPr>
          <w:rFonts w:eastAsia="Malgun Gothic"/>
          <w:bCs/>
          <w:lang w:val="fr-FR"/>
        </w:rPr>
        <w:t>physique et spirituel. L</w:t>
      </w:r>
      <w:r w:rsidR="00923E72">
        <w:rPr>
          <w:rFonts w:eastAsia="Malgun Gothic"/>
          <w:bCs/>
          <w:lang w:val="fr-FR"/>
        </w:rPr>
        <w:t>’</w:t>
      </w:r>
      <w:r w:rsidRPr="008F7A27">
        <w:rPr>
          <w:rFonts w:eastAsia="Malgun Gothic"/>
          <w:bCs/>
          <w:lang w:val="fr-FR"/>
        </w:rPr>
        <w:t>Organe d</w:t>
      </w:r>
      <w:r w:rsidR="00923E72">
        <w:rPr>
          <w:rFonts w:eastAsia="Malgun Gothic"/>
          <w:bCs/>
          <w:lang w:val="fr-FR"/>
        </w:rPr>
        <w:t>’</w:t>
      </w:r>
      <w:r w:rsidRPr="008F7A27">
        <w:rPr>
          <w:rFonts w:eastAsia="Malgun Gothic"/>
          <w:bCs/>
          <w:lang w:val="fr-FR"/>
        </w:rPr>
        <w:t>évaluation avait estimé que la candidature satisfaisait à l</w:t>
      </w:r>
      <w:r w:rsidR="00923E72">
        <w:rPr>
          <w:rFonts w:eastAsia="Malgun Gothic"/>
          <w:bCs/>
          <w:lang w:val="fr-FR"/>
        </w:rPr>
        <w:t>’</w:t>
      </w:r>
      <w:r w:rsidRPr="008F7A27">
        <w:rPr>
          <w:rFonts w:eastAsia="Malgun Gothic"/>
          <w:bCs/>
          <w:lang w:val="fr-FR"/>
        </w:rPr>
        <w:t>ensemble des cinq critères. Le dossier expliquait bien que l</w:t>
      </w:r>
      <w:r w:rsidR="00923E72">
        <w:rPr>
          <w:rFonts w:eastAsia="Malgun Gothic"/>
          <w:bCs/>
          <w:lang w:val="fr-FR"/>
        </w:rPr>
        <w:t>’</w:t>
      </w:r>
      <w:r w:rsidRPr="008F7A27">
        <w:rPr>
          <w:rFonts w:eastAsia="Malgun Gothic"/>
          <w:bCs/>
          <w:lang w:val="fr-FR"/>
        </w:rPr>
        <w:t>élément est transmis de génération en génération par la pratique culturelle, les activités communautaires, l</w:t>
      </w:r>
      <w:r w:rsidR="00923E72">
        <w:rPr>
          <w:rFonts w:eastAsia="Malgun Gothic"/>
          <w:bCs/>
          <w:lang w:val="fr-FR"/>
        </w:rPr>
        <w:t>’</w:t>
      </w:r>
      <w:r w:rsidRPr="008F7A27">
        <w:rPr>
          <w:rFonts w:eastAsia="Malgun Gothic"/>
          <w:bCs/>
          <w:lang w:val="fr-FR"/>
        </w:rPr>
        <w:t>utilisation de la langue autochtone et la</w:t>
      </w:r>
      <w:r w:rsidR="004522CC">
        <w:rPr>
          <w:rFonts w:eastAsia="Malgun Gothic"/>
          <w:bCs/>
          <w:lang w:val="fr-FR"/>
        </w:rPr>
        <w:t xml:space="preserve"> réalisation de missions </w:t>
      </w:r>
      <w:r w:rsidRPr="008F7A27">
        <w:rPr>
          <w:rFonts w:eastAsia="Malgun Gothic"/>
          <w:bCs/>
          <w:lang w:val="fr-FR"/>
        </w:rPr>
        <w:t>sacré</w:t>
      </w:r>
      <w:r w:rsidR="004522CC">
        <w:rPr>
          <w:rFonts w:eastAsia="Malgun Gothic"/>
          <w:bCs/>
          <w:lang w:val="fr-FR"/>
        </w:rPr>
        <w:t>e</w:t>
      </w:r>
      <w:r w:rsidRPr="008F7A27">
        <w:rPr>
          <w:rFonts w:eastAsia="Malgun Gothic"/>
          <w:bCs/>
          <w:lang w:val="fr-FR"/>
        </w:rPr>
        <w:t>s. En conclusion, l</w:t>
      </w:r>
      <w:r w:rsidR="00923E72">
        <w:rPr>
          <w:rFonts w:eastAsia="Malgun Gothic"/>
          <w:bCs/>
          <w:lang w:val="fr-FR"/>
        </w:rPr>
        <w:t>’</w:t>
      </w:r>
      <w:r w:rsidRPr="008F7A27">
        <w:rPr>
          <w:rFonts w:eastAsia="Malgun Gothic"/>
          <w:bCs/>
          <w:lang w:val="fr-FR"/>
        </w:rPr>
        <w:t>Organe d</w:t>
      </w:r>
      <w:r w:rsidR="00923E72">
        <w:rPr>
          <w:rFonts w:eastAsia="Malgun Gothic"/>
          <w:bCs/>
          <w:lang w:val="fr-FR"/>
        </w:rPr>
        <w:t>’</w:t>
      </w:r>
      <w:r w:rsidRPr="008F7A27">
        <w:rPr>
          <w:rFonts w:eastAsia="Malgun Gothic"/>
          <w:bCs/>
          <w:lang w:val="fr-FR"/>
        </w:rPr>
        <w:t>évaluation recommandait l</w:t>
      </w:r>
      <w:r w:rsidR="00923E72">
        <w:rPr>
          <w:rFonts w:eastAsia="Malgun Gothic"/>
          <w:bCs/>
          <w:lang w:val="fr-FR"/>
        </w:rPr>
        <w:t>’</w:t>
      </w:r>
      <w:r w:rsidRPr="008F7A27">
        <w:rPr>
          <w:rFonts w:eastAsia="Malgun Gothic"/>
          <w:bCs/>
          <w:lang w:val="fr-FR"/>
        </w:rPr>
        <w:t>inscription de cet élément sur la Liste représentative.</w:t>
      </w:r>
    </w:p>
    <w:p w14:paraId="350AE41B" w14:textId="5A78CA9E" w:rsidR="004522CC" w:rsidRDefault="004522C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D1330F">
        <w:rPr>
          <w:rFonts w:eastAsia="Malgun Gothic"/>
          <w:b/>
          <w:lang w:val="fr-FR"/>
        </w:rPr>
        <w:t> </w:t>
      </w:r>
      <w:r w:rsidR="00751FB1">
        <w:fldChar w:fldCharType="begin"/>
      </w:r>
      <w:r w:rsidR="00751FB1" w:rsidRPr="00751FB1">
        <w:rPr>
          <w:lang w:val="fr-FR"/>
        </w:rPr>
        <w:instrText>HYPERLINK "https://ich.unesco.org/fr/Decisions/17.COM/7.b.3"</w:instrText>
      </w:r>
      <w:r w:rsidR="00751FB1">
        <w:fldChar w:fldCharType="separate"/>
      </w:r>
      <w:r w:rsidRPr="00702497">
        <w:rPr>
          <w:rStyle w:val="Hyperlink"/>
          <w:b/>
          <w:bCs/>
          <w:lang w:val="fr-FR"/>
        </w:rPr>
        <w:t>17.COM 7.b.3</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724FB7">
        <w:rPr>
          <w:rFonts w:eastAsia="Malgun Gothic"/>
          <w:b/>
          <w:lang w:val="fr-FR"/>
        </w:rPr>
        <w:t xml:space="preserve">le système ancestral de connaissances des quatre peuples autochtones </w:t>
      </w:r>
      <w:proofErr w:type="spellStart"/>
      <w:r w:rsidRPr="00724FB7">
        <w:rPr>
          <w:rFonts w:eastAsia="Malgun Gothic"/>
          <w:b/>
          <w:lang w:val="fr-FR"/>
        </w:rPr>
        <w:t>arhuaco</w:t>
      </w:r>
      <w:proofErr w:type="spellEnd"/>
      <w:r w:rsidRPr="00724FB7">
        <w:rPr>
          <w:rFonts w:eastAsia="Malgun Gothic"/>
          <w:b/>
          <w:lang w:val="fr-FR"/>
        </w:rPr>
        <w:t xml:space="preserve">, </w:t>
      </w:r>
      <w:proofErr w:type="spellStart"/>
      <w:r w:rsidRPr="00724FB7">
        <w:rPr>
          <w:rFonts w:eastAsia="Malgun Gothic"/>
          <w:b/>
          <w:lang w:val="fr-FR"/>
        </w:rPr>
        <w:t>kankuamo</w:t>
      </w:r>
      <w:proofErr w:type="spellEnd"/>
      <w:r w:rsidRPr="00724FB7">
        <w:rPr>
          <w:rFonts w:eastAsia="Malgun Gothic"/>
          <w:b/>
          <w:lang w:val="fr-FR"/>
        </w:rPr>
        <w:t xml:space="preserve">, </w:t>
      </w:r>
      <w:proofErr w:type="spellStart"/>
      <w:r w:rsidRPr="00724FB7">
        <w:rPr>
          <w:rFonts w:eastAsia="Malgun Gothic"/>
          <w:b/>
          <w:lang w:val="fr-FR"/>
        </w:rPr>
        <w:t>kogi</w:t>
      </w:r>
      <w:proofErr w:type="spellEnd"/>
      <w:r w:rsidRPr="00724FB7">
        <w:rPr>
          <w:rFonts w:eastAsia="Malgun Gothic"/>
          <w:b/>
          <w:lang w:val="fr-FR"/>
        </w:rPr>
        <w:t xml:space="preserve"> et </w:t>
      </w:r>
      <w:proofErr w:type="spellStart"/>
      <w:r w:rsidRPr="00724FB7">
        <w:rPr>
          <w:rFonts w:eastAsia="Malgun Gothic"/>
          <w:b/>
          <w:lang w:val="fr-FR"/>
        </w:rPr>
        <w:t>wiwa</w:t>
      </w:r>
      <w:proofErr w:type="spellEnd"/>
      <w:r w:rsidRPr="00724FB7">
        <w:rPr>
          <w:rFonts w:eastAsia="Malgun Gothic"/>
          <w:b/>
          <w:lang w:val="fr-FR"/>
        </w:rPr>
        <w:t xml:space="preserve"> de la Sierra Nevada de Santa Marta</w:t>
      </w:r>
      <w:r>
        <w:rPr>
          <w:rFonts w:eastAsia="Malgun Gothic"/>
          <w:b/>
          <w:lang w:val="fr-FR"/>
        </w:rPr>
        <w:t xml:space="preserve"> sur la Liste représentative</w:t>
      </w:r>
      <w:r>
        <w:rPr>
          <w:rFonts w:eastAsia="Malgun Gothic"/>
          <w:bCs/>
          <w:lang w:val="fr-FR"/>
        </w:rPr>
        <w:t>.</w:t>
      </w:r>
    </w:p>
    <w:p w14:paraId="752176A2" w14:textId="71DF1440" w:rsidR="004522CC" w:rsidRDefault="004522C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522CC">
        <w:rPr>
          <w:rFonts w:eastAsia="Malgun Gothic"/>
          <w:bCs/>
          <w:lang w:val="fr-FR"/>
        </w:rPr>
        <w:t xml:space="preserve">La délégation de la </w:t>
      </w:r>
      <w:r w:rsidRPr="00702497">
        <w:rPr>
          <w:rFonts w:eastAsia="Malgun Gothic"/>
          <w:b/>
          <w:lang w:val="fr-FR"/>
        </w:rPr>
        <w:t>Colombie</w:t>
      </w:r>
      <w:r w:rsidRPr="004522CC">
        <w:rPr>
          <w:rFonts w:eastAsia="Malgun Gothic"/>
          <w:bCs/>
          <w:lang w:val="fr-FR"/>
        </w:rPr>
        <w:t xml:space="preserve">, représentée par </w:t>
      </w:r>
      <w:r>
        <w:rPr>
          <w:rFonts w:eastAsia="Malgun Gothic"/>
          <w:bCs/>
          <w:lang w:val="fr-FR"/>
        </w:rPr>
        <w:t>M</w:t>
      </w:r>
      <w:r w:rsidRPr="00702497">
        <w:rPr>
          <w:rFonts w:eastAsia="Malgun Gothic"/>
          <w:bCs/>
          <w:vertAlign w:val="superscript"/>
          <w:lang w:val="fr-FR"/>
        </w:rPr>
        <w:t>me</w:t>
      </w:r>
      <w:r>
        <w:rPr>
          <w:rFonts w:eastAsia="Malgun Gothic"/>
          <w:bCs/>
          <w:lang w:val="fr-FR"/>
        </w:rPr>
        <w:t> </w:t>
      </w:r>
      <w:proofErr w:type="spellStart"/>
      <w:r w:rsidRPr="004522CC">
        <w:rPr>
          <w:rFonts w:eastAsia="Malgun Gothic"/>
          <w:bCs/>
          <w:lang w:val="fr-FR"/>
        </w:rPr>
        <w:t>Leonor</w:t>
      </w:r>
      <w:proofErr w:type="spellEnd"/>
      <w:r w:rsidRPr="004522CC">
        <w:rPr>
          <w:rFonts w:eastAsia="Malgun Gothic"/>
          <w:bCs/>
          <w:lang w:val="fr-FR"/>
        </w:rPr>
        <w:t xml:space="preserve"> </w:t>
      </w:r>
      <w:proofErr w:type="spellStart"/>
      <w:r w:rsidRPr="004522CC">
        <w:rPr>
          <w:rFonts w:eastAsia="Malgun Gothic"/>
          <w:bCs/>
          <w:lang w:val="fr-FR"/>
        </w:rPr>
        <w:t>Zalabata</w:t>
      </w:r>
      <w:proofErr w:type="spellEnd"/>
      <w:r w:rsidRPr="004522CC">
        <w:rPr>
          <w:rFonts w:eastAsia="Malgun Gothic"/>
          <w:bCs/>
          <w:lang w:val="fr-FR"/>
        </w:rPr>
        <w:t xml:space="preserve"> Torres, du peuple </w:t>
      </w:r>
      <w:proofErr w:type="spellStart"/>
      <w:r w:rsidRPr="004522CC">
        <w:rPr>
          <w:rFonts w:eastAsia="Malgun Gothic"/>
          <w:bCs/>
          <w:lang w:val="fr-FR"/>
        </w:rPr>
        <w:t>arhuaco</w:t>
      </w:r>
      <w:proofErr w:type="spellEnd"/>
      <w:r w:rsidRPr="004522CC">
        <w:rPr>
          <w:rFonts w:eastAsia="Malgun Gothic"/>
          <w:bCs/>
          <w:lang w:val="fr-FR"/>
        </w:rPr>
        <w:t xml:space="preserve"> et ambassadrice auprès des Nations</w:t>
      </w:r>
      <w:r w:rsidR="009C67B8">
        <w:rPr>
          <w:rFonts w:eastAsia="Malgun Gothic"/>
          <w:bCs/>
          <w:lang w:val="fr-FR"/>
        </w:rPr>
        <w:t> </w:t>
      </w:r>
      <w:r w:rsidR="003A0A74">
        <w:rPr>
          <w:rFonts w:eastAsia="Malgun Gothic"/>
          <w:bCs/>
          <w:lang w:val="fr-FR"/>
        </w:rPr>
        <w:t>U</w:t>
      </w:r>
      <w:r w:rsidRPr="004522CC">
        <w:rPr>
          <w:rFonts w:eastAsia="Malgun Gothic"/>
          <w:bCs/>
          <w:lang w:val="fr-FR"/>
        </w:rPr>
        <w:t>nies à New York, a remercié le Gouvernement du Maroc pour l</w:t>
      </w:r>
      <w:r w:rsidR="00923E72">
        <w:rPr>
          <w:rFonts w:eastAsia="Malgun Gothic"/>
          <w:bCs/>
          <w:lang w:val="fr-FR"/>
        </w:rPr>
        <w:t>’</w:t>
      </w:r>
      <w:r w:rsidRPr="004522CC">
        <w:rPr>
          <w:rFonts w:eastAsia="Malgun Gothic"/>
          <w:bCs/>
          <w:lang w:val="fr-FR"/>
        </w:rPr>
        <w:t xml:space="preserve">organisation de ce grand événement. Elle a déclaré que notre mère la Terre, qui a la capacité de produire la vie, nous a donné naissance et que nous sommes les enfants de la Terre, </w:t>
      </w:r>
      <w:r w:rsidR="003A0A74">
        <w:rPr>
          <w:rFonts w:eastAsia="Malgun Gothic"/>
          <w:bCs/>
          <w:lang w:val="fr-FR"/>
        </w:rPr>
        <w:t xml:space="preserve">et </w:t>
      </w:r>
      <w:r w:rsidRPr="004522CC">
        <w:rPr>
          <w:rFonts w:eastAsia="Malgun Gothic"/>
          <w:bCs/>
          <w:lang w:val="fr-FR"/>
        </w:rPr>
        <w:t>qu</w:t>
      </w:r>
      <w:r w:rsidR="00923E72">
        <w:rPr>
          <w:rFonts w:eastAsia="Malgun Gothic"/>
          <w:bCs/>
          <w:lang w:val="fr-FR"/>
        </w:rPr>
        <w:t>’</w:t>
      </w:r>
      <w:r w:rsidRPr="004522CC">
        <w:rPr>
          <w:rFonts w:eastAsia="Malgun Gothic"/>
          <w:bCs/>
          <w:lang w:val="fr-FR"/>
        </w:rPr>
        <w:t>elle a créé le monde et les peuples autochtones. Nous savions comment prendre soin de notre mère la Terre et sauver le monde. Il convenait de reconnaître que les connaissances ancestrales sont tout aussi valables que les connaissances scientifiques. [</w:t>
      </w:r>
      <w:r w:rsidR="00422F6C">
        <w:rPr>
          <w:rFonts w:eastAsia="Malgun Gothic"/>
          <w:bCs/>
          <w:lang w:val="fr-FR"/>
        </w:rPr>
        <w:t>D</w:t>
      </w:r>
      <w:r w:rsidRPr="004522CC">
        <w:rPr>
          <w:rFonts w:eastAsia="Malgun Gothic"/>
          <w:bCs/>
          <w:lang w:val="fr-FR"/>
        </w:rPr>
        <w:t xml:space="preserve">euxième orateur] Les peuples </w:t>
      </w:r>
      <w:proofErr w:type="spellStart"/>
      <w:r w:rsidRPr="004522CC">
        <w:rPr>
          <w:rFonts w:eastAsia="Malgun Gothic"/>
          <w:bCs/>
          <w:lang w:val="fr-FR"/>
        </w:rPr>
        <w:t>arhuaco</w:t>
      </w:r>
      <w:proofErr w:type="spellEnd"/>
      <w:r w:rsidRPr="004522CC">
        <w:rPr>
          <w:rFonts w:eastAsia="Malgun Gothic"/>
          <w:bCs/>
          <w:lang w:val="fr-FR"/>
        </w:rPr>
        <w:t xml:space="preserve">, </w:t>
      </w:r>
      <w:proofErr w:type="spellStart"/>
      <w:r w:rsidRPr="004522CC">
        <w:rPr>
          <w:rFonts w:eastAsia="Malgun Gothic"/>
          <w:bCs/>
          <w:lang w:val="fr-FR"/>
        </w:rPr>
        <w:t>kankuamo</w:t>
      </w:r>
      <w:proofErr w:type="spellEnd"/>
      <w:r w:rsidRPr="004522CC">
        <w:rPr>
          <w:rFonts w:eastAsia="Malgun Gothic"/>
          <w:bCs/>
          <w:lang w:val="fr-FR"/>
        </w:rPr>
        <w:t xml:space="preserve">, </w:t>
      </w:r>
      <w:proofErr w:type="spellStart"/>
      <w:r w:rsidRPr="004522CC">
        <w:rPr>
          <w:rFonts w:eastAsia="Malgun Gothic"/>
          <w:bCs/>
          <w:lang w:val="fr-FR"/>
        </w:rPr>
        <w:t>kogi</w:t>
      </w:r>
      <w:proofErr w:type="spellEnd"/>
      <w:r w:rsidRPr="004522CC">
        <w:rPr>
          <w:rFonts w:eastAsia="Malgun Gothic"/>
          <w:bCs/>
          <w:lang w:val="fr-FR"/>
        </w:rPr>
        <w:t xml:space="preserve"> et </w:t>
      </w:r>
      <w:proofErr w:type="spellStart"/>
      <w:r w:rsidRPr="004522CC">
        <w:rPr>
          <w:rFonts w:eastAsia="Malgun Gothic"/>
          <w:bCs/>
          <w:lang w:val="fr-FR"/>
        </w:rPr>
        <w:t>wiwa</w:t>
      </w:r>
      <w:proofErr w:type="spellEnd"/>
      <w:r w:rsidRPr="004522CC">
        <w:rPr>
          <w:rFonts w:eastAsia="Malgun Gothic"/>
          <w:bCs/>
          <w:lang w:val="fr-FR"/>
        </w:rPr>
        <w:t xml:space="preserve"> avaient le devoir de prendre soin du monde et de la vie dans toute sa diversité. Nous, les humains et les êtres qui font partie de ce monde, </w:t>
      </w:r>
      <w:r w:rsidR="003A0A74" w:rsidRPr="004522CC">
        <w:rPr>
          <w:rFonts w:eastAsia="Malgun Gothic"/>
          <w:bCs/>
          <w:lang w:val="fr-FR"/>
        </w:rPr>
        <w:t>ne faisions qu</w:t>
      </w:r>
      <w:r w:rsidR="00923E72">
        <w:rPr>
          <w:rFonts w:eastAsia="Malgun Gothic"/>
          <w:bCs/>
          <w:lang w:val="fr-FR"/>
        </w:rPr>
        <w:t>’</w:t>
      </w:r>
      <w:r w:rsidR="003A0A74" w:rsidRPr="004522CC">
        <w:rPr>
          <w:rFonts w:eastAsia="Malgun Gothic"/>
          <w:bCs/>
          <w:lang w:val="fr-FR"/>
        </w:rPr>
        <w:t xml:space="preserve">un avec la nature </w:t>
      </w:r>
      <w:r w:rsidRPr="004522CC">
        <w:rPr>
          <w:rFonts w:eastAsia="Malgun Gothic"/>
          <w:bCs/>
          <w:lang w:val="fr-FR"/>
        </w:rPr>
        <w:t xml:space="preserve">et nous </w:t>
      </w:r>
      <w:r w:rsidRPr="004522CC">
        <w:rPr>
          <w:rFonts w:eastAsia="Malgun Gothic"/>
          <w:bCs/>
          <w:lang w:val="fr-FR"/>
        </w:rPr>
        <w:lastRenderedPageBreak/>
        <w:t>avions un rôle à jouer qui obéit à la loi d</w:t>
      </w:r>
      <w:r w:rsidR="00923E72">
        <w:rPr>
          <w:rFonts w:eastAsia="Malgun Gothic"/>
          <w:bCs/>
          <w:lang w:val="fr-FR"/>
        </w:rPr>
        <w:t>’</w:t>
      </w:r>
      <w:r w:rsidRPr="004522CC">
        <w:rPr>
          <w:rFonts w:eastAsia="Malgun Gothic"/>
          <w:bCs/>
          <w:lang w:val="fr-FR"/>
        </w:rPr>
        <w:t>origine. Notre responsabilité était de transmettre ce savoir aux générations futures. Nos autorités spirituelles étaient appelées dans ce monde pour établir ce lien avec le monde, ce qui signifie que nous ne faisons qu</w:t>
      </w:r>
      <w:r w:rsidR="00923E72">
        <w:rPr>
          <w:rFonts w:eastAsia="Malgun Gothic"/>
          <w:bCs/>
          <w:lang w:val="fr-FR"/>
        </w:rPr>
        <w:t>’</w:t>
      </w:r>
      <w:r w:rsidRPr="004522CC">
        <w:rPr>
          <w:rFonts w:eastAsia="Malgun Gothic"/>
          <w:bCs/>
          <w:lang w:val="fr-FR"/>
        </w:rPr>
        <w:t>un avec la nature. [Troisième orateur] La reconnaissance et la protection de ce système de connaissances ancestrales faisaient partie de l</w:t>
      </w:r>
      <w:r w:rsidR="00923E72">
        <w:rPr>
          <w:rFonts w:eastAsia="Malgun Gothic"/>
          <w:bCs/>
          <w:lang w:val="fr-FR"/>
        </w:rPr>
        <w:t>’</w:t>
      </w:r>
      <w:r w:rsidRPr="004522CC">
        <w:rPr>
          <w:rFonts w:eastAsia="Malgun Gothic"/>
          <w:bCs/>
          <w:lang w:val="fr-FR"/>
        </w:rPr>
        <w:t>engagement du Gouvernement, et ces connaissances étaient intégrées dans sa stratégie de lutte contre le changement climatique. Le devoir éthique, politique et spirituel de veiller sur la Terre soulignait l</w:t>
      </w:r>
      <w:r w:rsidR="00923E72">
        <w:rPr>
          <w:rFonts w:eastAsia="Malgun Gothic"/>
          <w:bCs/>
          <w:lang w:val="fr-FR"/>
        </w:rPr>
        <w:t>’</w:t>
      </w:r>
      <w:r w:rsidRPr="004522CC">
        <w:rPr>
          <w:rFonts w:eastAsia="Malgun Gothic"/>
          <w:bCs/>
          <w:lang w:val="fr-FR"/>
        </w:rPr>
        <w:t>importance de la culture dans l</w:t>
      </w:r>
      <w:r w:rsidR="00923E72">
        <w:rPr>
          <w:rFonts w:eastAsia="Malgun Gothic"/>
          <w:bCs/>
          <w:lang w:val="fr-FR"/>
        </w:rPr>
        <w:t>’</w:t>
      </w:r>
      <w:r w:rsidRPr="004522CC">
        <w:rPr>
          <w:rFonts w:eastAsia="Malgun Gothic"/>
          <w:bCs/>
          <w:lang w:val="fr-FR"/>
        </w:rPr>
        <w:t>atténuation du changement climatique et l</w:t>
      </w:r>
      <w:r w:rsidR="00923E72">
        <w:rPr>
          <w:rFonts w:eastAsia="Malgun Gothic"/>
          <w:bCs/>
          <w:lang w:val="fr-FR"/>
        </w:rPr>
        <w:t>’</w:t>
      </w:r>
      <w:r w:rsidRPr="004522CC">
        <w:rPr>
          <w:rFonts w:eastAsia="Malgun Gothic"/>
          <w:bCs/>
          <w:lang w:val="fr-FR"/>
        </w:rPr>
        <w:t xml:space="preserve">instauration de la paix. [Quatrième orateur] Les autorités territoriales du </w:t>
      </w:r>
      <w:r w:rsidR="003A0A74">
        <w:rPr>
          <w:rFonts w:eastAsia="Malgun Gothic"/>
          <w:bCs/>
          <w:lang w:val="fr-FR"/>
        </w:rPr>
        <w:t xml:space="preserve">département de </w:t>
      </w:r>
      <w:r w:rsidRPr="004522CC">
        <w:rPr>
          <w:rFonts w:eastAsia="Malgun Gothic"/>
          <w:bCs/>
          <w:lang w:val="fr-FR"/>
        </w:rPr>
        <w:t xml:space="preserve">Magdalena </w:t>
      </w:r>
      <w:r w:rsidR="003A0A74">
        <w:rPr>
          <w:rFonts w:eastAsia="Malgun Gothic"/>
          <w:bCs/>
          <w:lang w:val="fr-FR"/>
        </w:rPr>
        <w:t xml:space="preserve">soutenaient </w:t>
      </w:r>
      <w:r w:rsidRPr="004522CC">
        <w:rPr>
          <w:rFonts w:eastAsia="Malgun Gothic"/>
          <w:bCs/>
          <w:lang w:val="fr-FR"/>
        </w:rPr>
        <w:t>le</w:t>
      </w:r>
      <w:r w:rsidR="009C67B8">
        <w:rPr>
          <w:rFonts w:eastAsia="Malgun Gothic"/>
          <w:bCs/>
          <w:lang w:val="fr-FR"/>
        </w:rPr>
        <w:t>s</w:t>
      </w:r>
      <w:r w:rsidRPr="004522CC">
        <w:rPr>
          <w:rFonts w:eastAsia="Malgun Gothic"/>
          <w:bCs/>
          <w:lang w:val="fr-FR"/>
        </w:rPr>
        <w:t xml:space="preserve"> peuple</w:t>
      </w:r>
      <w:r w:rsidR="009C67B8">
        <w:rPr>
          <w:rFonts w:eastAsia="Malgun Gothic"/>
          <w:bCs/>
          <w:lang w:val="fr-FR"/>
        </w:rPr>
        <w:t>s</w:t>
      </w:r>
      <w:r w:rsidRPr="004522CC">
        <w:rPr>
          <w:rFonts w:eastAsia="Malgun Gothic"/>
          <w:bCs/>
          <w:lang w:val="fr-FR"/>
        </w:rPr>
        <w:t xml:space="preserve"> de</w:t>
      </w:r>
      <w:r w:rsidR="009C67B8">
        <w:rPr>
          <w:rFonts w:eastAsia="Malgun Gothic"/>
          <w:bCs/>
          <w:lang w:val="fr-FR"/>
        </w:rPr>
        <w:t xml:space="preserve"> la</w:t>
      </w:r>
      <w:r w:rsidRPr="004522CC">
        <w:rPr>
          <w:rFonts w:eastAsia="Malgun Gothic"/>
          <w:bCs/>
          <w:lang w:val="fr-FR"/>
        </w:rPr>
        <w:t xml:space="preserve"> Sierra dans </w:t>
      </w:r>
      <w:r w:rsidR="009C67B8">
        <w:rPr>
          <w:rFonts w:eastAsia="Malgun Gothic"/>
          <w:bCs/>
          <w:lang w:val="fr-FR"/>
        </w:rPr>
        <w:t>leur</w:t>
      </w:r>
      <w:r w:rsidRPr="004522CC">
        <w:rPr>
          <w:rFonts w:eastAsia="Malgun Gothic"/>
          <w:bCs/>
          <w:lang w:val="fr-FR"/>
        </w:rPr>
        <w:t xml:space="preserve"> quête pour poursuivre la transmission de ce savoir ancestral. Les communautés œuvraient au changement social, dans le but ultime de créer un monde plus juste et d</w:t>
      </w:r>
      <w:r w:rsidR="00923E72">
        <w:rPr>
          <w:rFonts w:eastAsia="Malgun Gothic"/>
          <w:bCs/>
          <w:lang w:val="fr-FR"/>
        </w:rPr>
        <w:t>’</w:t>
      </w:r>
      <w:r w:rsidRPr="004522CC">
        <w:rPr>
          <w:rFonts w:eastAsia="Malgun Gothic"/>
          <w:bCs/>
          <w:lang w:val="fr-FR"/>
        </w:rPr>
        <w:t>utiliser des pratiques agricoles respectueuses de la nature et en harmonie avec la Terre Mère. Il a invité les délégués à assister à un événement organisé plus tard dans la semaine.</w:t>
      </w:r>
    </w:p>
    <w:p w14:paraId="2825642D" w14:textId="60EB58B4" w:rsidR="003A0A74" w:rsidRDefault="004A553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A5538">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4A5538">
        <w:rPr>
          <w:rFonts w:eastAsia="Malgun Gothic"/>
          <w:bCs/>
          <w:lang w:val="fr-FR"/>
        </w:rPr>
        <w:t xml:space="preserve"> a présenté le dossier de candidature suivant, </w:t>
      </w:r>
      <w:r w:rsidRPr="00702497">
        <w:rPr>
          <w:rFonts w:eastAsia="Malgun Gothic"/>
          <w:b/>
          <w:lang w:val="fr-FR"/>
        </w:rPr>
        <w:t>les fêtes de la Saint</w:t>
      </w:r>
      <w:r w:rsidRPr="00702497">
        <w:rPr>
          <w:rFonts w:eastAsia="Malgun Gothic"/>
          <w:b/>
          <w:lang w:val="fr-FR"/>
        </w:rPr>
        <w:noBreakHyphen/>
      </w:r>
      <w:proofErr w:type="spellStart"/>
      <w:r w:rsidRPr="00702497">
        <w:rPr>
          <w:rFonts w:eastAsia="Malgun Gothic"/>
          <w:b/>
          <w:lang w:val="fr-FR"/>
        </w:rPr>
        <w:t>Tryphon</w:t>
      </w:r>
      <w:proofErr w:type="spellEnd"/>
      <w:r w:rsidRPr="00702497">
        <w:rPr>
          <w:rFonts w:eastAsia="Malgun Gothic"/>
          <w:b/>
          <w:lang w:val="fr-FR"/>
        </w:rPr>
        <w:t xml:space="preserve"> et le kolo (danse en cercle) de la Saint</w:t>
      </w:r>
      <w:r w:rsidRPr="00702497">
        <w:rPr>
          <w:rFonts w:eastAsia="Malgun Gothic"/>
          <w:b/>
          <w:lang w:val="fr-FR"/>
        </w:rPr>
        <w:noBreakHyphen/>
      </w:r>
      <w:proofErr w:type="spellStart"/>
      <w:r w:rsidRPr="00702497">
        <w:rPr>
          <w:rFonts w:eastAsia="Malgun Gothic"/>
          <w:b/>
          <w:lang w:val="fr-FR"/>
        </w:rPr>
        <w:t>Tryphon</w:t>
      </w:r>
      <w:proofErr w:type="spellEnd"/>
      <w:r w:rsidRPr="00702497">
        <w:rPr>
          <w:rFonts w:eastAsia="Malgun Gothic"/>
          <w:b/>
          <w:lang w:val="fr-FR"/>
        </w:rPr>
        <w:t xml:space="preserve">, traditions des Croates de la </w:t>
      </w:r>
      <w:proofErr w:type="spellStart"/>
      <w:r w:rsidRPr="00702497">
        <w:rPr>
          <w:rFonts w:eastAsia="Malgun Gothic"/>
          <w:b/>
          <w:lang w:val="fr-FR"/>
        </w:rPr>
        <w:t>Boka</w:t>
      </w:r>
      <w:proofErr w:type="spellEnd"/>
      <w:r w:rsidRPr="00702497">
        <w:rPr>
          <w:rFonts w:eastAsia="Malgun Gothic"/>
          <w:b/>
          <w:lang w:val="fr-FR"/>
        </w:rPr>
        <w:t xml:space="preserve"> </w:t>
      </w:r>
      <w:proofErr w:type="spellStart"/>
      <w:r w:rsidRPr="00702497">
        <w:rPr>
          <w:rFonts w:eastAsia="Malgun Gothic"/>
          <w:b/>
          <w:lang w:val="fr-FR"/>
        </w:rPr>
        <w:t>Kotorska</w:t>
      </w:r>
      <w:proofErr w:type="spellEnd"/>
      <w:r w:rsidRPr="00702497">
        <w:rPr>
          <w:rFonts w:eastAsia="Malgun Gothic"/>
          <w:b/>
          <w:lang w:val="fr-FR"/>
        </w:rPr>
        <w:t xml:space="preserve"> (baie de Kotor) vivant en République de Croatie</w:t>
      </w:r>
      <w:r w:rsidRPr="004A5538">
        <w:rPr>
          <w:rFonts w:eastAsia="Malgun Gothic"/>
          <w:bCs/>
          <w:lang w:val="fr-FR"/>
        </w:rPr>
        <w:t xml:space="preserve"> [projet de décision</w:t>
      </w:r>
      <w:r w:rsidR="009C67B8">
        <w:rPr>
          <w:rFonts w:eastAsia="Malgun Gothic"/>
          <w:bCs/>
          <w:lang w:val="fr-FR"/>
        </w:rPr>
        <w:t> </w:t>
      </w:r>
      <w:r w:rsidRPr="004A5538">
        <w:rPr>
          <w:rFonts w:eastAsia="Malgun Gothic"/>
          <w:bCs/>
          <w:lang w:val="fr-FR"/>
        </w:rPr>
        <w:t xml:space="preserve">7.b.4], soumis par la </w:t>
      </w:r>
      <w:r w:rsidRPr="00702497">
        <w:rPr>
          <w:rFonts w:eastAsia="Malgun Gothic"/>
          <w:b/>
          <w:lang w:val="fr-FR"/>
        </w:rPr>
        <w:t>Croatie</w:t>
      </w:r>
      <w:r w:rsidRPr="004A5538">
        <w:rPr>
          <w:rFonts w:eastAsia="Malgun Gothic"/>
          <w:bCs/>
          <w:lang w:val="fr-FR"/>
        </w:rPr>
        <w:t>, expliquant que l</w:t>
      </w:r>
      <w:r w:rsidR="00923E72">
        <w:rPr>
          <w:rFonts w:eastAsia="Malgun Gothic"/>
          <w:bCs/>
          <w:lang w:val="fr-FR"/>
        </w:rPr>
        <w:t>’</w:t>
      </w:r>
      <w:r w:rsidRPr="004A5538">
        <w:rPr>
          <w:rFonts w:eastAsia="Malgun Gothic"/>
          <w:bCs/>
          <w:lang w:val="fr-FR"/>
        </w:rPr>
        <w:t>élément consiste en un récital religieux en l</w:t>
      </w:r>
      <w:r w:rsidR="00923E72">
        <w:rPr>
          <w:rFonts w:eastAsia="Malgun Gothic"/>
          <w:bCs/>
          <w:lang w:val="fr-FR"/>
        </w:rPr>
        <w:t>’</w:t>
      </w:r>
      <w:r w:rsidRPr="004A5538">
        <w:rPr>
          <w:rFonts w:eastAsia="Malgun Gothic"/>
          <w:bCs/>
          <w:lang w:val="fr-FR"/>
        </w:rPr>
        <w:t xml:space="preserve">honneur de saint </w:t>
      </w:r>
      <w:proofErr w:type="spellStart"/>
      <w:r w:rsidRPr="004A5538">
        <w:rPr>
          <w:rFonts w:eastAsia="Malgun Gothic"/>
          <w:bCs/>
          <w:lang w:val="fr-FR"/>
        </w:rPr>
        <w:t>Tryphon</w:t>
      </w:r>
      <w:proofErr w:type="spellEnd"/>
      <w:r w:rsidRPr="004A5538">
        <w:rPr>
          <w:rFonts w:eastAsia="Malgun Gothic"/>
          <w:bCs/>
          <w:lang w:val="fr-FR"/>
        </w:rPr>
        <w:t>, suivi d</w:t>
      </w:r>
      <w:r w:rsidR="00923E72">
        <w:rPr>
          <w:rFonts w:eastAsia="Malgun Gothic"/>
          <w:bCs/>
          <w:lang w:val="fr-FR"/>
        </w:rPr>
        <w:t>’</w:t>
      </w:r>
      <w:r w:rsidRPr="004A5538">
        <w:rPr>
          <w:rFonts w:eastAsia="Malgun Gothic"/>
          <w:bCs/>
          <w:lang w:val="fr-FR"/>
        </w:rPr>
        <w:t>une danse en</w:t>
      </w:r>
      <w:r>
        <w:rPr>
          <w:rFonts w:eastAsia="Malgun Gothic"/>
          <w:bCs/>
          <w:lang w:val="fr-FR"/>
        </w:rPr>
        <w:t xml:space="preserve"> cercle</w:t>
      </w:r>
      <w:r w:rsidRPr="004A5538">
        <w:rPr>
          <w:rFonts w:eastAsia="Malgun Gothic"/>
          <w:bCs/>
          <w:lang w:val="fr-FR"/>
        </w:rPr>
        <w:t>, qu</w:t>
      </w:r>
      <w:r w:rsidR="00923E72">
        <w:rPr>
          <w:rFonts w:eastAsia="Malgun Gothic"/>
          <w:bCs/>
          <w:lang w:val="fr-FR"/>
        </w:rPr>
        <w:t>’</w:t>
      </w:r>
      <w:r w:rsidRPr="004A5538">
        <w:rPr>
          <w:rFonts w:eastAsia="Malgun Gothic"/>
          <w:bCs/>
          <w:lang w:val="fr-FR"/>
        </w:rPr>
        <w:t xml:space="preserve">il est pratiqué </w:t>
      </w:r>
      <w:r>
        <w:rPr>
          <w:rFonts w:eastAsia="Malgun Gothic"/>
          <w:bCs/>
          <w:lang w:val="fr-FR"/>
        </w:rPr>
        <w:t xml:space="preserve">chaque année </w:t>
      </w:r>
      <w:r w:rsidRPr="004A5538">
        <w:rPr>
          <w:rFonts w:eastAsia="Malgun Gothic"/>
          <w:bCs/>
          <w:lang w:val="fr-FR"/>
        </w:rPr>
        <w:t>pendant les mois de février et de mars</w:t>
      </w:r>
      <w:r>
        <w:rPr>
          <w:rFonts w:eastAsia="Malgun Gothic"/>
          <w:bCs/>
          <w:lang w:val="fr-FR"/>
        </w:rPr>
        <w:t xml:space="preserve">, </w:t>
      </w:r>
      <w:r w:rsidRPr="004A5538">
        <w:rPr>
          <w:rFonts w:eastAsia="Malgun Gothic"/>
          <w:bCs/>
          <w:lang w:val="fr-FR"/>
        </w:rPr>
        <w:t xml:space="preserve">et que les détenteurs sont des Croates </w:t>
      </w:r>
      <w:r>
        <w:rPr>
          <w:rFonts w:eastAsia="Malgun Gothic"/>
          <w:bCs/>
          <w:lang w:val="fr-FR"/>
        </w:rPr>
        <w:t xml:space="preserve">de la </w:t>
      </w:r>
      <w:proofErr w:type="spellStart"/>
      <w:r w:rsidRPr="004A5538">
        <w:rPr>
          <w:rFonts w:eastAsia="Malgun Gothic"/>
          <w:bCs/>
          <w:lang w:val="fr-FR"/>
        </w:rPr>
        <w:t>Boka</w:t>
      </w:r>
      <w:proofErr w:type="spellEnd"/>
      <w:r w:rsidRPr="004A5538">
        <w:rPr>
          <w:rFonts w:eastAsia="Malgun Gothic"/>
          <w:bCs/>
          <w:lang w:val="fr-FR"/>
        </w:rPr>
        <w:t xml:space="preserve">, qui se </w:t>
      </w:r>
      <w:r>
        <w:rPr>
          <w:rFonts w:eastAsia="Malgun Gothic"/>
          <w:bCs/>
          <w:lang w:val="fr-FR"/>
        </w:rPr>
        <w:t xml:space="preserve">regroupent </w:t>
      </w:r>
      <w:r w:rsidRPr="004A5538">
        <w:rPr>
          <w:rFonts w:eastAsia="Malgun Gothic"/>
          <w:bCs/>
          <w:lang w:val="fr-FR"/>
        </w:rPr>
        <w:t>en confréries. L</w:t>
      </w:r>
      <w:r w:rsidR="00923E72">
        <w:rPr>
          <w:rFonts w:eastAsia="Malgun Gothic"/>
          <w:bCs/>
          <w:lang w:val="fr-FR"/>
        </w:rPr>
        <w:t>’</w:t>
      </w:r>
      <w:r w:rsidRPr="004A5538">
        <w:rPr>
          <w:rFonts w:eastAsia="Malgun Gothic"/>
          <w:bCs/>
          <w:lang w:val="fr-FR"/>
        </w:rPr>
        <w:t>Organe d</w:t>
      </w:r>
      <w:r w:rsidR="00923E72">
        <w:rPr>
          <w:rFonts w:eastAsia="Malgun Gothic"/>
          <w:bCs/>
          <w:lang w:val="fr-FR"/>
        </w:rPr>
        <w:t>’</w:t>
      </w:r>
      <w:r w:rsidRPr="004A5538">
        <w:rPr>
          <w:rFonts w:eastAsia="Malgun Gothic"/>
          <w:bCs/>
          <w:lang w:val="fr-FR"/>
        </w:rPr>
        <w:t>évaluation a</w:t>
      </w:r>
      <w:r w:rsidR="009C67B8">
        <w:rPr>
          <w:rFonts w:eastAsia="Malgun Gothic"/>
          <w:bCs/>
          <w:lang w:val="fr-FR"/>
        </w:rPr>
        <w:t>vait</w:t>
      </w:r>
      <w:r w:rsidRPr="004A5538">
        <w:rPr>
          <w:rFonts w:eastAsia="Malgun Gothic"/>
          <w:bCs/>
          <w:lang w:val="fr-FR"/>
        </w:rPr>
        <w:t xml:space="preserve"> estimé que la candidature satisfaisait aux cinq critères. Le dossier expliquait la fonction sociale et culturelle de l</w:t>
      </w:r>
      <w:r w:rsidR="00923E72">
        <w:rPr>
          <w:rFonts w:eastAsia="Malgun Gothic"/>
          <w:bCs/>
          <w:lang w:val="fr-FR"/>
        </w:rPr>
        <w:t>’</w:t>
      </w:r>
      <w:r w:rsidRPr="004A5538">
        <w:rPr>
          <w:rFonts w:eastAsia="Malgun Gothic"/>
          <w:bCs/>
          <w:lang w:val="fr-FR"/>
        </w:rPr>
        <w:t>élément et présentait des informations sur les mesures de sauvegarde proposées</w:t>
      </w:r>
      <w:r w:rsidR="0047721C">
        <w:rPr>
          <w:rFonts w:eastAsia="Malgun Gothic"/>
          <w:bCs/>
          <w:lang w:val="fr-FR"/>
        </w:rPr>
        <w:t>,</w:t>
      </w:r>
      <w:r w:rsidRPr="004A5538">
        <w:rPr>
          <w:rFonts w:eastAsia="Malgun Gothic"/>
          <w:bCs/>
          <w:lang w:val="fr-FR"/>
        </w:rPr>
        <w:t xml:space="preserve"> qui comprennent </w:t>
      </w:r>
      <w:r>
        <w:rPr>
          <w:rFonts w:eastAsia="Malgun Gothic"/>
          <w:bCs/>
          <w:lang w:val="fr-FR"/>
        </w:rPr>
        <w:t xml:space="preserve">une aide </w:t>
      </w:r>
      <w:r w:rsidRPr="004A5538">
        <w:rPr>
          <w:rFonts w:eastAsia="Malgun Gothic"/>
          <w:bCs/>
          <w:lang w:val="fr-FR"/>
        </w:rPr>
        <w:t>financi</w:t>
      </w:r>
      <w:r>
        <w:rPr>
          <w:rFonts w:eastAsia="Malgun Gothic"/>
          <w:bCs/>
          <w:lang w:val="fr-FR"/>
        </w:rPr>
        <w:t>ère</w:t>
      </w:r>
      <w:r w:rsidRPr="004A5538">
        <w:rPr>
          <w:rFonts w:eastAsia="Malgun Gothic"/>
          <w:bCs/>
          <w:lang w:val="fr-FR"/>
        </w:rPr>
        <w:t>, l</w:t>
      </w:r>
      <w:r w:rsidR="00923E72">
        <w:rPr>
          <w:rFonts w:eastAsia="Malgun Gothic"/>
          <w:bCs/>
          <w:lang w:val="fr-FR"/>
        </w:rPr>
        <w:t>’</w:t>
      </w:r>
      <w:r w:rsidRPr="004A5538">
        <w:rPr>
          <w:rFonts w:eastAsia="Malgun Gothic"/>
          <w:bCs/>
          <w:lang w:val="fr-FR"/>
        </w:rPr>
        <w:t>éducation et la promotion de l</w:t>
      </w:r>
      <w:r w:rsidR="00923E72">
        <w:rPr>
          <w:rFonts w:eastAsia="Malgun Gothic"/>
          <w:bCs/>
          <w:lang w:val="fr-FR"/>
        </w:rPr>
        <w:t>’</w:t>
      </w:r>
      <w:r w:rsidRPr="004A5538">
        <w:rPr>
          <w:rFonts w:eastAsia="Malgun Gothic"/>
          <w:bCs/>
          <w:lang w:val="fr-FR"/>
        </w:rPr>
        <w:t>élément par le biais des médias. L</w:t>
      </w:r>
      <w:r w:rsidR="00923E72">
        <w:rPr>
          <w:rFonts w:eastAsia="Malgun Gothic"/>
          <w:bCs/>
          <w:lang w:val="fr-FR"/>
        </w:rPr>
        <w:t>’</w:t>
      </w:r>
      <w:r w:rsidRPr="004A5538">
        <w:rPr>
          <w:rFonts w:eastAsia="Malgun Gothic"/>
          <w:bCs/>
          <w:lang w:val="fr-FR"/>
        </w:rPr>
        <w:t>Organe avait signalé qu</w:t>
      </w:r>
      <w:r w:rsidR="00923E72">
        <w:rPr>
          <w:rFonts w:eastAsia="Malgun Gothic"/>
          <w:bCs/>
          <w:lang w:val="fr-FR"/>
        </w:rPr>
        <w:t>’</w:t>
      </w:r>
      <w:r w:rsidRPr="004A5538">
        <w:rPr>
          <w:rFonts w:eastAsia="Malgun Gothic"/>
          <w:bCs/>
          <w:lang w:val="fr-FR"/>
        </w:rPr>
        <w:t>il serait important que l</w:t>
      </w:r>
      <w:r w:rsidR="00923E72">
        <w:rPr>
          <w:rFonts w:eastAsia="Malgun Gothic"/>
          <w:bCs/>
          <w:lang w:val="fr-FR"/>
        </w:rPr>
        <w:t>’</w:t>
      </w:r>
      <w:r w:rsidRPr="004A5538">
        <w:rPr>
          <w:rFonts w:eastAsia="Malgun Gothic"/>
          <w:bCs/>
          <w:lang w:val="fr-FR"/>
        </w:rPr>
        <w:t>État partie partage son expérience en matière de sauvegarde avec d</w:t>
      </w:r>
      <w:r w:rsidR="00923E72">
        <w:rPr>
          <w:rFonts w:eastAsia="Malgun Gothic"/>
          <w:bCs/>
          <w:lang w:val="fr-FR"/>
        </w:rPr>
        <w:t>’</w:t>
      </w:r>
      <w:r w:rsidRPr="004A5538">
        <w:rPr>
          <w:rFonts w:eastAsia="Malgun Gothic"/>
          <w:bCs/>
          <w:lang w:val="fr-FR"/>
        </w:rPr>
        <w:t xml:space="preserve">autres États parties </w:t>
      </w:r>
      <w:r>
        <w:rPr>
          <w:rFonts w:eastAsia="Malgun Gothic"/>
          <w:bCs/>
          <w:lang w:val="fr-FR"/>
        </w:rPr>
        <w:t>disposant d</w:t>
      </w:r>
      <w:r w:rsidR="00923E72">
        <w:rPr>
          <w:rFonts w:eastAsia="Malgun Gothic"/>
          <w:bCs/>
          <w:lang w:val="fr-FR"/>
        </w:rPr>
        <w:t>’</w:t>
      </w:r>
      <w:r w:rsidRPr="004A5538">
        <w:rPr>
          <w:rFonts w:eastAsia="Malgun Gothic"/>
          <w:bCs/>
          <w:lang w:val="fr-FR"/>
        </w:rPr>
        <w:t>éléments similaires. En conclusion, l</w:t>
      </w:r>
      <w:r w:rsidR="00923E72">
        <w:rPr>
          <w:rFonts w:eastAsia="Malgun Gothic"/>
          <w:bCs/>
          <w:lang w:val="fr-FR"/>
        </w:rPr>
        <w:t>’</w:t>
      </w:r>
      <w:r w:rsidRPr="004A5538">
        <w:rPr>
          <w:rFonts w:eastAsia="Malgun Gothic"/>
          <w:bCs/>
          <w:lang w:val="fr-FR"/>
        </w:rPr>
        <w:t>Organe d</w:t>
      </w:r>
      <w:r w:rsidR="00923E72">
        <w:rPr>
          <w:rFonts w:eastAsia="Malgun Gothic"/>
          <w:bCs/>
          <w:lang w:val="fr-FR"/>
        </w:rPr>
        <w:t>’</w:t>
      </w:r>
      <w:r w:rsidRPr="004A5538">
        <w:rPr>
          <w:rFonts w:eastAsia="Malgun Gothic"/>
          <w:bCs/>
          <w:lang w:val="fr-FR"/>
        </w:rPr>
        <w:t>évaluation recommandait l</w:t>
      </w:r>
      <w:r w:rsidR="00923E72">
        <w:rPr>
          <w:rFonts w:eastAsia="Malgun Gothic"/>
          <w:bCs/>
          <w:lang w:val="fr-FR"/>
        </w:rPr>
        <w:t>’</w:t>
      </w:r>
      <w:r w:rsidRPr="004A5538">
        <w:rPr>
          <w:rFonts w:eastAsia="Malgun Gothic"/>
          <w:bCs/>
          <w:lang w:val="fr-FR"/>
        </w:rPr>
        <w:t>inscription de cet élément sur la Liste représentative.</w:t>
      </w:r>
    </w:p>
    <w:p w14:paraId="086C6B5C" w14:textId="3B57420A" w:rsidR="004A5538" w:rsidRDefault="004A553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9C67B8">
        <w:rPr>
          <w:rFonts w:eastAsia="Malgun Gothic"/>
          <w:b/>
          <w:lang w:val="fr-FR"/>
        </w:rPr>
        <w:t> </w:t>
      </w:r>
      <w:r w:rsidR="00751FB1">
        <w:fldChar w:fldCharType="begin"/>
      </w:r>
      <w:r w:rsidR="00751FB1" w:rsidRPr="00751FB1">
        <w:rPr>
          <w:lang w:val="fr-FR"/>
        </w:rPr>
        <w:instrText>HYPERLINK "https://ich.unesco.org/fr/Decisions/17.COM/7.b.4"</w:instrText>
      </w:r>
      <w:r w:rsidR="00751FB1">
        <w:fldChar w:fldCharType="separate"/>
      </w:r>
      <w:r w:rsidRPr="00702497">
        <w:rPr>
          <w:rStyle w:val="Hyperlink"/>
          <w:b/>
          <w:bCs/>
          <w:lang w:val="fr-FR"/>
        </w:rPr>
        <w:t>17.COM 7.b.4</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724FB7">
        <w:rPr>
          <w:rFonts w:eastAsia="Malgun Gothic"/>
          <w:b/>
          <w:lang w:val="fr-FR"/>
        </w:rPr>
        <w:t>les fêtes de la Saint</w:t>
      </w:r>
      <w:r w:rsidRPr="00724FB7">
        <w:rPr>
          <w:rFonts w:eastAsia="Malgun Gothic"/>
          <w:b/>
          <w:lang w:val="fr-FR"/>
        </w:rPr>
        <w:noBreakHyphen/>
      </w:r>
      <w:proofErr w:type="spellStart"/>
      <w:r w:rsidRPr="00724FB7">
        <w:rPr>
          <w:rFonts w:eastAsia="Malgun Gothic"/>
          <w:b/>
          <w:lang w:val="fr-FR"/>
        </w:rPr>
        <w:t>Tryphon</w:t>
      </w:r>
      <w:proofErr w:type="spellEnd"/>
      <w:r w:rsidRPr="00724FB7">
        <w:rPr>
          <w:rFonts w:eastAsia="Malgun Gothic"/>
          <w:b/>
          <w:lang w:val="fr-FR"/>
        </w:rPr>
        <w:t xml:space="preserve"> et le kolo (danse en cercle) de la Saint</w:t>
      </w:r>
      <w:r w:rsidRPr="00724FB7">
        <w:rPr>
          <w:rFonts w:eastAsia="Malgun Gothic"/>
          <w:b/>
          <w:lang w:val="fr-FR"/>
        </w:rPr>
        <w:noBreakHyphen/>
      </w:r>
      <w:proofErr w:type="spellStart"/>
      <w:r w:rsidRPr="00724FB7">
        <w:rPr>
          <w:rFonts w:eastAsia="Malgun Gothic"/>
          <w:b/>
          <w:lang w:val="fr-FR"/>
        </w:rPr>
        <w:t>Tryphon</w:t>
      </w:r>
      <w:proofErr w:type="spellEnd"/>
      <w:r w:rsidRPr="00724FB7">
        <w:rPr>
          <w:rFonts w:eastAsia="Malgun Gothic"/>
          <w:b/>
          <w:lang w:val="fr-FR"/>
        </w:rPr>
        <w:t xml:space="preserve">, traditions des Croates de la </w:t>
      </w:r>
      <w:proofErr w:type="spellStart"/>
      <w:r w:rsidRPr="00724FB7">
        <w:rPr>
          <w:rFonts w:eastAsia="Malgun Gothic"/>
          <w:b/>
          <w:lang w:val="fr-FR"/>
        </w:rPr>
        <w:t>Boka</w:t>
      </w:r>
      <w:proofErr w:type="spellEnd"/>
      <w:r w:rsidRPr="00724FB7">
        <w:rPr>
          <w:rFonts w:eastAsia="Malgun Gothic"/>
          <w:b/>
          <w:lang w:val="fr-FR"/>
        </w:rPr>
        <w:t xml:space="preserve"> </w:t>
      </w:r>
      <w:proofErr w:type="spellStart"/>
      <w:r w:rsidRPr="00724FB7">
        <w:rPr>
          <w:rFonts w:eastAsia="Malgun Gothic"/>
          <w:b/>
          <w:lang w:val="fr-FR"/>
        </w:rPr>
        <w:t>Kotorska</w:t>
      </w:r>
      <w:proofErr w:type="spellEnd"/>
      <w:r w:rsidRPr="00724FB7">
        <w:rPr>
          <w:rFonts w:eastAsia="Malgun Gothic"/>
          <w:b/>
          <w:lang w:val="fr-FR"/>
        </w:rPr>
        <w:t xml:space="preserve"> (baie de Kotor) vivant en République de Croatie</w:t>
      </w:r>
      <w:r w:rsidRPr="004A5538">
        <w:rPr>
          <w:rFonts w:eastAsia="Malgun Gothic"/>
          <w:bCs/>
          <w:lang w:val="fr-FR"/>
        </w:rPr>
        <w:t xml:space="preserve"> </w:t>
      </w:r>
      <w:r>
        <w:rPr>
          <w:rFonts w:eastAsia="Malgun Gothic"/>
          <w:b/>
          <w:lang w:val="fr-FR"/>
        </w:rPr>
        <w:t>sur la Liste représentative</w:t>
      </w:r>
      <w:r>
        <w:rPr>
          <w:rFonts w:eastAsia="Malgun Gothic"/>
          <w:bCs/>
          <w:lang w:val="fr-FR"/>
        </w:rPr>
        <w:t>.</w:t>
      </w:r>
    </w:p>
    <w:p w14:paraId="42550ECC" w14:textId="6F0CA37B" w:rsidR="004A5538" w:rsidRDefault="00ED518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ED5189">
        <w:rPr>
          <w:rFonts w:eastAsia="Malgun Gothic"/>
          <w:bCs/>
          <w:lang w:val="fr-FR"/>
        </w:rPr>
        <w:t>délégation</w:t>
      </w:r>
      <w:r>
        <w:rPr>
          <w:rFonts w:eastAsia="Malgun Gothic"/>
          <w:bCs/>
          <w:lang w:val="fr-FR"/>
        </w:rPr>
        <w:t xml:space="preserve"> de la </w:t>
      </w:r>
      <w:r w:rsidRPr="00702497">
        <w:rPr>
          <w:rFonts w:eastAsia="Malgun Gothic"/>
          <w:b/>
          <w:lang w:val="fr-FR"/>
        </w:rPr>
        <w:t>Croatie</w:t>
      </w:r>
      <w:r>
        <w:rPr>
          <w:rFonts w:eastAsia="Malgun Gothic"/>
          <w:bCs/>
          <w:lang w:val="fr-FR"/>
        </w:rPr>
        <w:t xml:space="preserve"> a remercié le </w:t>
      </w:r>
      <w:r w:rsidRPr="00ED5189">
        <w:rPr>
          <w:rFonts w:eastAsia="Malgun Gothic"/>
          <w:bCs/>
          <w:lang w:val="fr-FR"/>
        </w:rPr>
        <w:t>Président</w:t>
      </w:r>
      <w:r>
        <w:rPr>
          <w:rFonts w:eastAsia="Malgun Gothic"/>
          <w:bCs/>
          <w:lang w:val="fr-FR"/>
        </w:rPr>
        <w:t xml:space="preserve"> pour sa conduite avisée des travaux et pour la chaleureuse hospitalité </w:t>
      </w:r>
      <w:r w:rsidR="00A6182E">
        <w:rPr>
          <w:rFonts w:eastAsia="Malgun Gothic"/>
          <w:bCs/>
          <w:lang w:val="fr-FR"/>
        </w:rPr>
        <w:t>d</w:t>
      </w:r>
      <w:r>
        <w:rPr>
          <w:rFonts w:eastAsia="Malgun Gothic"/>
          <w:bCs/>
          <w:lang w:val="fr-FR"/>
        </w:rPr>
        <w:t>u Maroc.</w:t>
      </w:r>
    </w:p>
    <w:p w14:paraId="317149EC" w14:textId="1C78B075" w:rsidR="00ED5189" w:rsidRDefault="00ED518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D5189">
        <w:rPr>
          <w:rFonts w:eastAsia="Malgun Gothic"/>
          <w:bCs/>
          <w:lang w:val="fr-FR"/>
        </w:rPr>
        <w:t xml:space="preserve">Dans une allocution vidéo, la </w:t>
      </w:r>
      <w:r w:rsidRPr="00702497">
        <w:rPr>
          <w:rFonts w:eastAsia="Malgun Gothic"/>
          <w:b/>
          <w:lang w:val="fr-FR"/>
        </w:rPr>
        <w:t>ministre de la Culture et des Médias de la République de Croatie</w:t>
      </w:r>
      <w:r w:rsidRPr="00ED5189">
        <w:rPr>
          <w:rFonts w:eastAsia="Malgun Gothic"/>
          <w:bCs/>
          <w:lang w:val="fr-FR"/>
        </w:rPr>
        <w:t xml:space="preserve">, </w:t>
      </w:r>
      <w:r w:rsidR="006C3B58" w:rsidRPr="006E3034">
        <w:rPr>
          <w:rFonts w:eastAsia="Malgun Gothic"/>
          <w:bCs/>
          <w:lang w:val="fr-FR"/>
        </w:rPr>
        <w:t>S.</w:t>
      </w:r>
      <w:r w:rsidR="00090E6E" w:rsidRPr="006E3034">
        <w:rPr>
          <w:rFonts w:eastAsia="Malgun Gothic"/>
          <w:bCs/>
          <w:lang w:val="fr-FR"/>
        </w:rPr>
        <w:t> </w:t>
      </w:r>
      <w:r w:rsidR="006C3B58" w:rsidRPr="006E3034">
        <w:rPr>
          <w:rFonts w:eastAsia="Malgun Gothic"/>
          <w:bCs/>
          <w:lang w:val="fr-FR"/>
        </w:rPr>
        <w:t>E</w:t>
      </w:r>
      <w:r w:rsidR="00F846ED" w:rsidRPr="006E3034">
        <w:rPr>
          <w:rFonts w:eastAsia="Malgun Gothic"/>
          <w:bCs/>
          <w:lang w:val="fr-FR"/>
        </w:rPr>
        <w:t>xc</w:t>
      </w:r>
      <w:r w:rsidR="006C3B58" w:rsidRPr="006E3034">
        <w:rPr>
          <w:rFonts w:eastAsia="Malgun Gothic"/>
          <w:bCs/>
          <w:lang w:val="fr-FR"/>
        </w:rPr>
        <w:t xml:space="preserve">. </w:t>
      </w:r>
      <w:r w:rsidRPr="006E3034">
        <w:rPr>
          <w:rFonts w:eastAsia="Malgun Gothic"/>
          <w:bCs/>
          <w:lang w:val="fr-FR"/>
        </w:rPr>
        <w:t>M</w:t>
      </w:r>
      <w:r w:rsidRPr="006E3034">
        <w:rPr>
          <w:rFonts w:eastAsia="Malgun Gothic"/>
          <w:bCs/>
          <w:vertAlign w:val="superscript"/>
          <w:lang w:val="fr-FR"/>
        </w:rPr>
        <w:t>me</w:t>
      </w:r>
      <w:r w:rsidRPr="006E3034">
        <w:rPr>
          <w:rFonts w:eastAsia="Malgun Gothic"/>
          <w:bCs/>
          <w:lang w:val="fr-FR"/>
        </w:rPr>
        <w:t xml:space="preserve"> Nina </w:t>
      </w:r>
      <w:proofErr w:type="spellStart"/>
      <w:r w:rsidRPr="006E3034">
        <w:rPr>
          <w:rFonts w:eastAsia="Malgun Gothic"/>
          <w:bCs/>
          <w:lang w:val="fr-FR"/>
        </w:rPr>
        <w:t>Obuljen</w:t>
      </w:r>
      <w:proofErr w:type="spellEnd"/>
      <w:r w:rsidRPr="006E3034">
        <w:rPr>
          <w:rFonts w:eastAsia="Malgun Gothic"/>
          <w:bCs/>
          <w:lang w:val="fr-FR"/>
        </w:rPr>
        <w:t xml:space="preserve"> </w:t>
      </w:r>
      <w:proofErr w:type="spellStart"/>
      <w:r w:rsidRPr="006E3034">
        <w:rPr>
          <w:rFonts w:eastAsia="Malgun Gothic"/>
          <w:bCs/>
          <w:lang w:val="fr-FR"/>
        </w:rPr>
        <w:t>Koržinek</w:t>
      </w:r>
      <w:proofErr w:type="spellEnd"/>
      <w:r w:rsidRPr="009B4E71">
        <w:rPr>
          <w:rFonts w:eastAsia="Malgun Gothic"/>
          <w:bCs/>
          <w:lang w:val="fr-FR"/>
        </w:rPr>
        <w:t>,</w:t>
      </w:r>
      <w:r w:rsidRPr="00ED5189">
        <w:rPr>
          <w:rFonts w:eastAsia="Malgun Gothic"/>
          <w:bCs/>
          <w:lang w:val="fr-FR"/>
        </w:rPr>
        <w:t xml:space="preserve"> a salué le Comité, les membres du Secteur de la culture ainsi que les représentants de tous les États membres. C</w:t>
      </w:r>
      <w:r w:rsidR="00923E72">
        <w:rPr>
          <w:rFonts w:eastAsia="Malgun Gothic"/>
          <w:bCs/>
          <w:lang w:val="fr-FR"/>
        </w:rPr>
        <w:t>’</w:t>
      </w:r>
      <w:r w:rsidRPr="00ED5189">
        <w:rPr>
          <w:rFonts w:eastAsia="Malgun Gothic"/>
          <w:bCs/>
          <w:lang w:val="fr-FR"/>
        </w:rPr>
        <w:t>était un honneur exceptionnel de partager la joie de l</w:t>
      </w:r>
      <w:r w:rsidR="00923E72">
        <w:rPr>
          <w:rFonts w:eastAsia="Malgun Gothic"/>
          <w:bCs/>
          <w:lang w:val="fr-FR"/>
        </w:rPr>
        <w:t>’</w:t>
      </w:r>
      <w:r w:rsidRPr="00ED5189">
        <w:rPr>
          <w:rFonts w:eastAsia="Malgun Gothic"/>
          <w:bCs/>
          <w:lang w:val="fr-FR"/>
        </w:rPr>
        <w:t>inscription sur la Liste représentative de</w:t>
      </w:r>
      <w:r>
        <w:rPr>
          <w:rFonts w:eastAsia="Malgun Gothic"/>
          <w:bCs/>
          <w:lang w:val="fr-FR"/>
        </w:rPr>
        <w:t>s</w:t>
      </w:r>
      <w:r w:rsidRPr="00ED5189">
        <w:rPr>
          <w:rFonts w:eastAsia="Malgun Gothic"/>
          <w:bCs/>
          <w:lang w:val="fr-FR"/>
        </w:rPr>
        <w:t xml:space="preserve"> </w:t>
      </w:r>
      <w:r w:rsidRPr="00702497">
        <w:rPr>
          <w:rFonts w:eastAsia="Malgun Gothic"/>
          <w:bCs/>
          <w:lang w:val="fr-FR"/>
        </w:rPr>
        <w:t>fêtes de la Saint</w:t>
      </w:r>
      <w:r w:rsidRPr="00702497">
        <w:rPr>
          <w:rFonts w:eastAsia="Malgun Gothic"/>
          <w:bCs/>
          <w:lang w:val="fr-FR"/>
        </w:rPr>
        <w:noBreakHyphen/>
      </w:r>
      <w:proofErr w:type="spellStart"/>
      <w:r w:rsidRPr="00702497">
        <w:rPr>
          <w:rFonts w:eastAsia="Malgun Gothic"/>
          <w:bCs/>
          <w:lang w:val="fr-FR"/>
        </w:rPr>
        <w:t>Tryphon</w:t>
      </w:r>
      <w:proofErr w:type="spellEnd"/>
      <w:r w:rsidRPr="00702497">
        <w:rPr>
          <w:rFonts w:eastAsia="Malgun Gothic"/>
          <w:bCs/>
          <w:lang w:val="fr-FR"/>
        </w:rPr>
        <w:t xml:space="preserve"> et </w:t>
      </w:r>
      <w:r>
        <w:rPr>
          <w:rFonts w:eastAsia="Malgun Gothic"/>
          <w:bCs/>
          <w:lang w:val="fr-FR"/>
        </w:rPr>
        <w:t>du</w:t>
      </w:r>
      <w:r w:rsidRPr="00702497">
        <w:rPr>
          <w:rFonts w:eastAsia="Malgun Gothic"/>
          <w:bCs/>
          <w:lang w:val="fr-FR"/>
        </w:rPr>
        <w:t xml:space="preserve"> kolo (danse en cercle) de la Saint</w:t>
      </w:r>
      <w:r w:rsidRPr="00702497">
        <w:rPr>
          <w:rFonts w:eastAsia="Malgun Gothic"/>
          <w:bCs/>
          <w:lang w:val="fr-FR"/>
        </w:rPr>
        <w:noBreakHyphen/>
      </w:r>
      <w:proofErr w:type="spellStart"/>
      <w:r w:rsidRPr="00702497">
        <w:rPr>
          <w:rFonts w:eastAsia="Malgun Gothic"/>
          <w:bCs/>
          <w:lang w:val="fr-FR"/>
        </w:rPr>
        <w:t>Tryphon</w:t>
      </w:r>
      <w:proofErr w:type="spellEnd"/>
      <w:r w:rsidRPr="00702497">
        <w:rPr>
          <w:rFonts w:eastAsia="Malgun Gothic"/>
          <w:bCs/>
          <w:lang w:val="fr-FR"/>
        </w:rPr>
        <w:t xml:space="preserve">, traditions des Croates de la </w:t>
      </w:r>
      <w:proofErr w:type="spellStart"/>
      <w:r w:rsidRPr="00702497">
        <w:rPr>
          <w:rFonts w:eastAsia="Malgun Gothic"/>
          <w:bCs/>
          <w:lang w:val="fr-FR"/>
        </w:rPr>
        <w:t>Boka</w:t>
      </w:r>
      <w:proofErr w:type="spellEnd"/>
      <w:r w:rsidRPr="00702497">
        <w:rPr>
          <w:rFonts w:eastAsia="Malgun Gothic"/>
          <w:bCs/>
          <w:lang w:val="fr-FR"/>
        </w:rPr>
        <w:t xml:space="preserve"> </w:t>
      </w:r>
      <w:proofErr w:type="spellStart"/>
      <w:r w:rsidRPr="00702497">
        <w:rPr>
          <w:rFonts w:eastAsia="Malgun Gothic"/>
          <w:bCs/>
          <w:lang w:val="fr-FR"/>
        </w:rPr>
        <w:t>Kotorska</w:t>
      </w:r>
      <w:proofErr w:type="spellEnd"/>
      <w:r w:rsidRPr="00702497">
        <w:rPr>
          <w:rFonts w:eastAsia="Malgun Gothic"/>
          <w:bCs/>
          <w:lang w:val="fr-FR"/>
        </w:rPr>
        <w:t xml:space="preserve"> (baie de Kotor) vivant en République de Croatie</w:t>
      </w:r>
      <w:r w:rsidRPr="00ED5189">
        <w:rPr>
          <w:rFonts w:eastAsia="Malgun Gothic"/>
          <w:bCs/>
          <w:lang w:val="fr-FR"/>
        </w:rPr>
        <w:t xml:space="preserve">. </w:t>
      </w:r>
      <w:r>
        <w:rPr>
          <w:rFonts w:eastAsia="Malgun Gothic"/>
          <w:bCs/>
          <w:lang w:val="fr-FR"/>
        </w:rPr>
        <w:t>L</w:t>
      </w:r>
      <w:r w:rsidR="00923E72">
        <w:rPr>
          <w:rFonts w:eastAsia="Malgun Gothic"/>
          <w:bCs/>
          <w:lang w:val="fr-FR"/>
        </w:rPr>
        <w:t>’</w:t>
      </w:r>
      <w:r w:rsidRPr="00ED5189">
        <w:rPr>
          <w:rFonts w:eastAsia="Malgun Gothic"/>
          <w:bCs/>
          <w:lang w:val="fr-FR"/>
        </w:rPr>
        <w:t>élément faisait partie de l</w:t>
      </w:r>
      <w:r w:rsidR="00923E72">
        <w:rPr>
          <w:rFonts w:eastAsia="Malgun Gothic"/>
          <w:bCs/>
          <w:lang w:val="fr-FR"/>
        </w:rPr>
        <w:t>’</w:t>
      </w:r>
      <w:r w:rsidRPr="00ED5189">
        <w:rPr>
          <w:rFonts w:eastAsia="Malgun Gothic"/>
          <w:bCs/>
          <w:lang w:val="fr-FR"/>
        </w:rPr>
        <w:t xml:space="preserve">héritage culturel des Croates de </w:t>
      </w:r>
      <w:r>
        <w:rPr>
          <w:rFonts w:eastAsia="Malgun Gothic"/>
          <w:bCs/>
          <w:lang w:val="fr-FR"/>
        </w:rPr>
        <w:t xml:space="preserve">la </w:t>
      </w:r>
      <w:proofErr w:type="spellStart"/>
      <w:r w:rsidRPr="00ED5189">
        <w:rPr>
          <w:rFonts w:eastAsia="Malgun Gothic"/>
          <w:bCs/>
          <w:lang w:val="fr-FR"/>
        </w:rPr>
        <w:t>Boka</w:t>
      </w:r>
      <w:proofErr w:type="spellEnd"/>
      <w:r w:rsidRPr="00ED5189">
        <w:rPr>
          <w:rFonts w:eastAsia="Malgun Gothic"/>
          <w:bCs/>
          <w:lang w:val="fr-FR"/>
        </w:rPr>
        <w:t xml:space="preserve">, également connus sous le nom de </w:t>
      </w:r>
      <w:r w:rsidR="00A54922">
        <w:rPr>
          <w:rFonts w:eastAsia="Malgun Gothic"/>
          <w:bCs/>
          <w:lang w:val="fr-FR"/>
        </w:rPr>
        <w:t>« </w:t>
      </w:r>
      <w:proofErr w:type="spellStart"/>
      <w:r w:rsidRPr="00ED5189">
        <w:rPr>
          <w:rFonts w:eastAsia="Malgun Gothic"/>
          <w:bCs/>
          <w:lang w:val="fr-FR"/>
        </w:rPr>
        <w:t>Boka</w:t>
      </w:r>
      <w:proofErr w:type="spellEnd"/>
      <w:r w:rsidR="00A54922">
        <w:rPr>
          <w:rFonts w:eastAsia="Malgun Gothic"/>
          <w:bCs/>
          <w:lang w:val="fr-FR"/>
        </w:rPr>
        <w:t> »</w:t>
      </w:r>
      <w:r w:rsidRPr="00ED5189">
        <w:rPr>
          <w:rFonts w:eastAsia="Malgun Gothic"/>
          <w:bCs/>
          <w:lang w:val="fr-FR"/>
        </w:rPr>
        <w:t>. Ils avaient apporté leur patrimoine avec eux lorsqu</w:t>
      </w:r>
      <w:r w:rsidR="00923E72">
        <w:rPr>
          <w:rFonts w:eastAsia="Malgun Gothic"/>
          <w:bCs/>
          <w:lang w:val="fr-FR"/>
        </w:rPr>
        <w:t>’</w:t>
      </w:r>
      <w:r w:rsidRPr="00ED5189">
        <w:rPr>
          <w:rFonts w:eastAsia="Malgun Gothic"/>
          <w:bCs/>
          <w:lang w:val="fr-FR"/>
        </w:rPr>
        <w:t xml:space="preserve">ils avaient immigré de </w:t>
      </w:r>
      <w:r w:rsidR="00A54922">
        <w:rPr>
          <w:rFonts w:eastAsia="Malgun Gothic"/>
          <w:bCs/>
          <w:lang w:val="fr-FR"/>
        </w:rPr>
        <w:t xml:space="preserve">la </w:t>
      </w:r>
      <w:proofErr w:type="spellStart"/>
      <w:r w:rsidRPr="00ED5189">
        <w:rPr>
          <w:rFonts w:eastAsia="Malgun Gothic"/>
          <w:bCs/>
          <w:lang w:val="fr-FR"/>
        </w:rPr>
        <w:t>Boka</w:t>
      </w:r>
      <w:proofErr w:type="spellEnd"/>
      <w:r w:rsidRPr="00ED5189">
        <w:rPr>
          <w:rFonts w:eastAsia="Malgun Gothic"/>
          <w:bCs/>
          <w:lang w:val="fr-FR"/>
        </w:rPr>
        <w:t xml:space="preserve"> </w:t>
      </w:r>
      <w:proofErr w:type="spellStart"/>
      <w:r w:rsidRPr="00ED5189">
        <w:rPr>
          <w:rFonts w:eastAsia="Malgun Gothic"/>
          <w:bCs/>
          <w:lang w:val="fr-FR"/>
        </w:rPr>
        <w:t>Kotorska</w:t>
      </w:r>
      <w:proofErr w:type="spellEnd"/>
      <w:r w:rsidRPr="00ED5189">
        <w:rPr>
          <w:rFonts w:eastAsia="Malgun Gothic"/>
          <w:bCs/>
          <w:lang w:val="fr-FR"/>
        </w:rPr>
        <w:t xml:space="preserve">. La tradition de la marine de </w:t>
      </w:r>
      <w:r w:rsidR="00A54922">
        <w:rPr>
          <w:rFonts w:eastAsia="Malgun Gothic"/>
          <w:bCs/>
          <w:lang w:val="fr-FR"/>
        </w:rPr>
        <w:t xml:space="preserve">la </w:t>
      </w:r>
      <w:proofErr w:type="spellStart"/>
      <w:r w:rsidRPr="00ED5189">
        <w:rPr>
          <w:rFonts w:eastAsia="Malgun Gothic"/>
          <w:bCs/>
          <w:lang w:val="fr-FR"/>
        </w:rPr>
        <w:t>Boka</w:t>
      </w:r>
      <w:proofErr w:type="spellEnd"/>
      <w:r w:rsidRPr="00ED5189">
        <w:rPr>
          <w:rFonts w:eastAsia="Malgun Gothic"/>
          <w:bCs/>
          <w:lang w:val="fr-FR"/>
        </w:rPr>
        <w:t>, une fraternité historique de marins et d</w:t>
      </w:r>
      <w:r w:rsidR="00923E72">
        <w:rPr>
          <w:rFonts w:eastAsia="Malgun Gothic"/>
          <w:bCs/>
          <w:lang w:val="fr-FR"/>
        </w:rPr>
        <w:t>’</w:t>
      </w:r>
      <w:r w:rsidRPr="00ED5189">
        <w:rPr>
          <w:rFonts w:eastAsia="Malgun Gothic"/>
          <w:bCs/>
          <w:lang w:val="fr-FR"/>
        </w:rPr>
        <w:t>associations de guildes originaires de la baie de Kotor, était un élément indissociable de l</w:t>
      </w:r>
      <w:r w:rsidR="00923E72">
        <w:rPr>
          <w:rFonts w:eastAsia="Malgun Gothic"/>
          <w:bCs/>
          <w:lang w:val="fr-FR"/>
        </w:rPr>
        <w:t>’</w:t>
      </w:r>
      <w:r w:rsidRPr="00ED5189">
        <w:rPr>
          <w:rFonts w:eastAsia="Malgun Gothic"/>
          <w:bCs/>
          <w:lang w:val="fr-FR"/>
        </w:rPr>
        <w:t>identité, de l</w:t>
      </w:r>
      <w:r w:rsidR="00923E72">
        <w:rPr>
          <w:rFonts w:eastAsia="Malgun Gothic"/>
          <w:bCs/>
          <w:lang w:val="fr-FR"/>
        </w:rPr>
        <w:t>’</w:t>
      </w:r>
      <w:r w:rsidRPr="00ED5189">
        <w:rPr>
          <w:rFonts w:eastAsia="Malgun Gothic"/>
          <w:bCs/>
          <w:lang w:val="fr-FR"/>
        </w:rPr>
        <w:t xml:space="preserve">histoire, de la culture et de la tradition des Croates de la baie de Kotor. Le peuple croate jouait un rôle essentiel dans la création et la préservation de la marine de </w:t>
      </w:r>
      <w:proofErr w:type="spellStart"/>
      <w:r w:rsidRPr="00ED5189">
        <w:rPr>
          <w:rFonts w:eastAsia="Malgun Gothic"/>
          <w:bCs/>
          <w:lang w:val="fr-FR"/>
        </w:rPr>
        <w:t>Boka</w:t>
      </w:r>
      <w:proofErr w:type="spellEnd"/>
      <w:r w:rsidRPr="00ED5189">
        <w:rPr>
          <w:rFonts w:eastAsia="Malgun Gothic"/>
          <w:bCs/>
          <w:lang w:val="fr-FR"/>
        </w:rPr>
        <w:t xml:space="preserve"> et de ses traditions culturelles, les traditions d</w:t>
      </w:r>
      <w:r w:rsidR="00A54922">
        <w:rPr>
          <w:rFonts w:eastAsia="Malgun Gothic"/>
          <w:bCs/>
          <w:lang w:val="fr-FR"/>
        </w:rPr>
        <w:t>e la</w:t>
      </w:r>
      <w:r w:rsidRPr="00ED5189">
        <w:rPr>
          <w:rFonts w:eastAsia="Malgun Gothic"/>
          <w:bCs/>
          <w:lang w:val="fr-FR"/>
        </w:rPr>
        <w:t xml:space="preserve"> Saint</w:t>
      </w:r>
      <w:r w:rsidR="00A54922">
        <w:rPr>
          <w:rFonts w:eastAsia="Malgun Gothic"/>
          <w:bCs/>
          <w:lang w:val="fr-FR"/>
        </w:rPr>
        <w:noBreakHyphen/>
      </w:r>
      <w:proofErr w:type="spellStart"/>
      <w:r w:rsidRPr="00ED5189">
        <w:rPr>
          <w:rFonts w:eastAsia="Malgun Gothic"/>
          <w:bCs/>
          <w:lang w:val="fr-FR"/>
        </w:rPr>
        <w:t>Tryphon</w:t>
      </w:r>
      <w:proofErr w:type="spellEnd"/>
      <w:r w:rsidRPr="00ED5189">
        <w:rPr>
          <w:rFonts w:eastAsia="Malgun Gothic"/>
          <w:bCs/>
          <w:lang w:val="fr-FR"/>
        </w:rPr>
        <w:t xml:space="preserve">. Chaque année, la marine de </w:t>
      </w:r>
      <w:proofErr w:type="spellStart"/>
      <w:r w:rsidRPr="00ED5189">
        <w:rPr>
          <w:rFonts w:eastAsia="Malgun Gothic"/>
          <w:bCs/>
          <w:lang w:val="fr-FR"/>
        </w:rPr>
        <w:t>Boka</w:t>
      </w:r>
      <w:proofErr w:type="spellEnd"/>
      <w:r w:rsidRPr="00ED5189">
        <w:rPr>
          <w:rFonts w:eastAsia="Malgun Gothic"/>
          <w:bCs/>
          <w:lang w:val="fr-FR"/>
        </w:rPr>
        <w:t xml:space="preserve"> et plusieurs villes croates se réunissaient pour célébrer la Saint</w:t>
      </w:r>
      <w:r w:rsidR="00A54922">
        <w:rPr>
          <w:rFonts w:eastAsia="Malgun Gothic"/>
          <w:bCs/>
          <w:lang w:val="fr-FR"/>
        </w:rPr>
        <w:noBreakHyphen/>
      </w:r>
      <w:proofErr w:type="spellStart"/>
      <w:r w:rsidRPr="00ED5189">
        <w:rPr>
          <w:rFonts w:eastAsia="Malgun Gothic"/>
          <w:bCs/>
          <w:lang w:val="fr-FR"/>
        </w:rPr>
        <w:t>Tryphon</w:t>
      </w:r>
      <w:proofErr w:type="spellEnd"/>
      <w:r w:rsidRPr="00ED5189">
        <w:rPr>
          <w:rFonts w:eastAsia="Malgun Gothic"/>
          <w:bCs/>
          <w:lang w:val="fr-FR"/>
        </w:rPr>
        <w:t xml:space="preserve"> sur les places et dans les rues. Les détenteurs, qui faisai</w:t>
      </w:r>
      <w:r w:rsidR="00384C07">
        <w:rPr>
          <w:rFonts w:eastAsia="Malgun Gothic"/>
          <w:bCs/>
          <w:lang w:val="fr-FR"/>
        </w:rPr>
        <w:t>en</w:t>
      </w:r>
      <w:r w:rsidRPr="00ED5189">
        <w:rPr>
          <w:rFonts w:eastAsia="Malgun Gothic"/>
          <w:bCs/>
          <w:lang w:val="fr-FR"/>
        </w:rPr>
        <w:t>t déjà connaître cette tradition par cette inscription, impliqueraient probablement encore plus la nouvelle génération</w:t>
      </w:r>
      <w:r w:rsidR="0047721C">
        <w:rPr>
          <w:rFonts w:eastAsia="Malgun Gothic"/>
          <w:bCs/>
          <w:lang w:val="fr-FR"/>
        </w:rPr>
        <w:t>,</w:t>
      </w:r>
      <w:r w:rsidRPr="00ED5189">
        <w:rPr>
          <w:rFonts w:eastAsia="Malgun Gothic"/>
          <w:bCs/>
          <w:lang w:val="fr-FR"/>
        </w:rPr>
        <w:t xml:space="preserve"> qui transmettrait l</w:t>
      </w:r>
      <w:r w:rsidR="00923E72">
        <w:rPr>
          <w:rFonts w:eastAsia="Malgun Gothic"/>
          <w:bCs/>
          <w:lang w:val="fr-FR"/>
        </w:rPr>
        <w:t>’</w:t>
      </w:r>
      <w:r w:rsidRPr="00ED5189">
        <w:rPr>
          <w:rFonts w:eastAsia="Malgun Gothic"/>
          <w:bCs/>
          <w:lang w:val="fr-FR"/>
        </w:rPr>
        <w:t>importance de ce patrimoine culturel immatériel exceptionnel aux générations futures. Elle a remercié tous les participants pour leur coopération et a regretté de ne pouvoir être présente au Maroc, félicitant tous les autres États parties qui avaient mené à bien les processus d</w:t>
      </w:r>
      <w:r w:rsidR="00923E72">
        <w:rPr>
          <w:rFonts w:eastAsia="Malgun Gothic"/>
          <w:bCs/>
          <w:lang w:val="fr-FR"/>
        </w:rPr>
        <w:t>’</w:t>
      </w:r>
      <w:r w:rsidRPr="00ED5189">
        <w:rPr>
          <w:rFonts w:eastAsia="Malgun Gothic"/>
          <w:bCs/>
          <w:lang w:val="fr-FR"/>
        </w:rPr>
        <w:t>inscription et s</w:t>
      </w:r>
      <w:r w:rsidR="00923E72">
        <w:rPr>
          <w:rFonts w:eastAsia="Malgun Gothic"/>
          <w:bCs/>
          <w:lang w:val="fr-FR"/>
        </w:rPr>
        <w:t>’</w:t>
      </w:r>
      <w:r w:rsidRPr="00ED5189">
        <w:rPr>
          <w:rFonts w:eastAsia="Malgun Gothic"/>
          <w:bCs/>
          <w:lang w:val="fr-FR"/>
        </w:rPr>
        <w:t>efforçaient de sauvegarder leur patrimoine culturel immatériel.</w:t>
      </w:r>
    </w:p>
    <w:p w14:paraId="1E61765D" w14:textId="10EE1E7D" w:rsidR="00A54922" w:rsidRDefault="006060A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060A6">
        <w:rPr>
          <w:rFonts w:eastAsia="Malgun Gothic"/>
          <w:bCs/>
          <w:lang w:val="fr-FR"/>
        </w:rPr>
        <w:lastRenderedPageBreak/>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6060A6">
        <w:rPr>
          <w:rFonts w:eastAsia="Malgun Gothic"/>
          <w:bCs/>
          <w:lang w:val="fr-FR"/>
        </w:rPr>
        <w:t xml:space="preserve"> est passé au dossier de candidature suivant</w:t>
      </w:r>
      <w:r w:rsidRPr="00702497">
        <w:rPr>
          <w:rFonts w:eastAsia="Malgun Gothic"/>
          <w:b/>
          <w:lang w:val="fr-FR"/>
        </w:rPr>
        <w:t>, le savoir-faire des maîtres du rhum léger</w:t>
      </w:r>
      <w:r w:rsidRPr="006060A6">
        <w:rPr>
          <w:rFonts w:eastAsia="Malgun Gothic"/>
          <w:bCs/>
          <w:lang w:val="fr-FR"/>
        </w:rPr>
        <w:t xml:space="preserve"> [projet de décision</w:t>
      </w:r>
      <w:r w:rsidR="009C67B8">
        <w:rPr>
          <w:rFonts w:eastAsia="Malgun Gothic"/>
          <w:bCs/>
          <w:lang w:val="fr-FR"/>
        </w:rPr>
        <w:t> </w:t>
      </w:r>
      <w:r w:rsidRPr="006060A6">
        <w:rPr>
          <w:rFonts w:eastAsia="Malgun Gothic"/>
          <w:bCs/>
          <w:lang w:val="fr-FR"/>
        </w:rPr>
        <w:t xml:space="preserve">7.b.5], soumis par </w:t>
      </w:r>
      <w:r w:rsidRPr="00702497">
        <w:rPr>
          <w:rFonts w:eastAsia="Malgun Gothic"/>
          <w:b/>
          <w:lang w:val="fr-FR"/>
        </w:rPr>
        <w:t>Cuba</w:t>
      </w:r>
      <w:r w:rsidRPr="006060A6">
        <w:rPr>
          <w:rFonts w:eastAsia="Malgun Gothic"/>
          <w:bCs/>
          <w:lang w:val="fr-FR"/>
        </w:rPr>
        <w:t>, expliquant que le</w:t>
      </w:r>
      <w:r>
        <w:rPr>
          <w:rFonts w:eastAsia="Malgun Gothic"/>
          <w:bCs/>
          <w:lang w:val="fr-FR"/>
        </w:rPr>
        <w:t xml:space="preserve"> </w:t>
      </w:r>
      <w:r w:rsidRPr="006060A6">
        <w:rPr>
          <w:rFonts w:eastAsia="Malgun Gothic"/>
          <w:bCs/>
          <w:lang w:val="fr-FR"/>
        </w:rPr>
        <w:t>savoir-faire</w:t>
      </w:r>
      <w:r>
        <w:rPr>
          <w:rFonts w:eastAsia="Malgun Gothic"/>
          <w:bCs/>
          <w:lang w:val="fr-FR"/>
        </w:rPr>
        <w:t xml:space="preserve"> </w:t>
      </w:r>
      <w:r w:rsidRPr="006060A6">
        <w:rPr>
          <w:rFonts w:eastAsia="Malgun Gothic"/>
          <w:bCs/>
          <w:lang w:val="fr-FR"/>
        </w:rPr>
        <w:t xml:space="preserve">des maîtres du rhum léger </w:t>
      </w:r>
      <w:r>
        <w:rPr>
          <w:rFonts w:eastAsia="Malgun Gothic"/>
          <w:bCs/>
          <w:lang w:val="fr-FR"/>
        </w:rPr>
        <w:t xml:space="preserve">est </w:t>
      </w:r>
      <w:r w:rsidRPr="006060A6">
        <w:rPr>
          <w:rFonts w:eastAsia="Malgun Gothic"/>
          <w:bCs/>
          <w:lang w:val="fr-FR"/>
        </w:rPr>
        <w:t xml:space="preserve">un ensemble de connaissances et de techniques traditionnelles, scientifiques, sensorielles et innovantes qui garantissent la sauvegarde de la </w:t>
      </w:r>
      <w:r>
        <w:rPr>
          <w:rFonts w:eastAsia="Malgun Gothic"/>
          <w:bCs/>
          <w:lang w:val="fr-FR"/>
        </w:rPr>
        <w:t xml:space="preserve">production </w:t>
      </w:r>
      <w:r w:rsidRPr="006060A6">
        <w:rPr>
          <w:rFonts w:eastAsia="Malgun Gothic"/>
          <w:bCs/>
          <w:lang w:val="fr-FR"/>
        </w:rPr>
        <w:t>du rhum léger cubain</w:t>
      </w:r>
      <w:r>
        <w:rPr>
          <w:rFonts w:eastAsia="Malgun Gothic"/>
          <w:bCs/>
          <w:lang w:val="fr-FR"/>
        </w:rPr>
        <w:t>, laquelle repose</w:t>
      </w:r>
      <w:r w:rsidRPr="006060A6">
        <w:rPr>
          <w:rFonts w:eastAsia="Malgun Gothic"/>
          <w:bCs/>
          <w:lang w:val="fr-FR"/>
        </w:rPr>
        <w:t xml:space="preserve"> sur des processus </w:t>
      </w:r>
      <w:r>
        <w:rPr>
          <w:rFonts w:eastAsia="Malgun Gothic"/>
          <w:bCs/>
          <w:lang w:val="fr-FR"/>
        </w:rPr>
        <w:t>continus d</w:t>
      </w:r>
      <w:r w:rsidR="00923E72">
        <w:rPr>
          <w:rFonts w:eastAsia="Malgun Gothic"/>
          <w:bCs/>
          <w:lang w:val="fr-FR"/>
        </w:rPr>
        <w:t>’</w:t>
      </w:r>
      <w:r>
        <w:rPr>
          <w:rFonts w:eastAsia="Malgun Gothic"/>
          <w:bCs/>
          <w:lang w:val="fr-FR"/>
        </w:rPr>
        <w:t xml:space="preserve">assemblage </w:t>
      </w:r>
      <w:r w:rsidRPr="006060A6">
        <w:rPr>
          <w:rFonts w:eastAsia="Malgun Gothic"/>
          <w:bCs/>
          <w:lang w:val="fr-FR"/>
        </w:rPr>
        <w:t>et de vieillissement naturel successif</w:t>
      </w:r>
      <w:r>
        <w:rPr>
          <w:rFonts w:eastAsia="Malgun Gothic"/>
          <w:bCs/>
          <w:lang w:val="fr-FR"/>
        </w:rPr>
        <w:t>s</w:t>
      </w:r>
      <w:r w:rsidRPr="006060A6">
        <w:rPr>
          <w:rFonts w:eastAsia="Malgun Gothic"/>
          <w:bCs/>
          <w:lang w:val="fr-FR"/>
        </w:rPr>
        <w:t>. L</w:t>
      </w:r>
      <w:r w:rsidR="00923E72">
        <w:rPr>
          <w:rFonts w:eastAsia="Malgun Gothic"/>
          <w:bCs/>
          <w:lang w:val="fr-FR"/>
        </w:rPr>
        <w:t>’</w:t>
      </w:r>
      <w:r w:rsidRPr="006060A6">
        <w:rPr>
          <w:rFonts w:eastAsia="Malgun Gothic"/>
          <w:bCs/>
          <w:lang w:val="fr-FR"/>
        </w:rPr>
        <w:t>Organe d</w:t>
      </w:r>
      <w:r w:rsidR="00923E72">
        <w:rPr>
          <w:rFonts w:eastAsia="Malgun Gothic"/>
          <w:bCs/>
          <w:lang w:val="fr-FR"/>
        </w:rPr>
        <w:t>’</w:t>
      </w:r>
      <w:r w:rsidRPr="006060A6">
        <w:rPr>
          <w:rFonts w:eastAsia="Malgun Gothic"/>
          <w:bCs/>
          <w:lang w:val="fr-FR"/>
        </w:rPr>
        <w:t>évaluation avait estimé que les critères</w:t>
      </w:r>
      <w:r w:rsidR="009C67B8">
        <w:rPr>
          <w:rFonts w:eastAsia="Malgun Gothic"/>
          <w:bCs/>
          <w:lang w:val="fr-FR"/>
        </w:rPr>
        <w:t> </w:t>
      </w:r>
      <w:r w:rsidRPr="006060A6">
        <w:rPr>
          <w:rFonts w:eastAsia="Malgun Gothic"/>
          <w:bCs/>
          <w:lang w:val="fr-FR"/>
        </w:rPr>
        <w:t>R.4 et</w:t>
      </w:r>
      <w:r w:rsidR="009C67B8">
        <w:rPr>
          <w:rFonts w:eastAsia="Malgun Gothic"/>
          <w:bCs/>
          <w:lang w:val="fr-FR"/>
        </w:rPr>
        <w:t> </w:t>
      </w:r>
      <w:r w:rsidRPr="006060A6">
        <w:rPr>
          <w:rFonts w:eastAsia="Malgun Gothic"/>
          <w:bCs/>
          <w:lang w:val="fr-FR"/>
        </w:rPr>
        <w:t xml:space="preserve">R.5 étaient satisfaits, mais que les informations </w:t>
      </w:r>
      <w:r>
        <w:rPr>
          <w:rFonts w:eastAsia="Malgun Gothic"/>
          <w:bCs/>
          <w:lang w:val="fr-FR"/>
        </w:rPr>
        <w:t xml:space="preserve">communiquées </w:t>
      </w:r>
      <w:r w:rsidRPr="006060A6">
        <w:rPr>
          <w:rFonts w:eastAsia="Malgun Gothic"/>
          <w:bCs/>
          <w:lang w:val="fr-FR"/>
        </w:rPr>
        <w:t>dans le dossier n</w:t>
      </w:r>
      <w:r w:rsidR="00923E72">
        <w:rPr>
          <w:rFonts w:eastAsia="Malgun Gothic"/>
          <w:bCs/>
          <w:lang w:val="fr-FR"/>
        </w:rPr>
        <w:t>’</w:t>
      </w:r>
      <w:r w:rsidRPr="006060A6">
        <w:rPr>
          <w:rFonts w:eastAsia="Malgun Gothic"/>
          <w:bCs/>
          <w:lang w:val="fr-FR"/>
        </w:rPr>
        <w:t>étaient pas suffisantes pour déterminer si les critères</w:t>
      </w:r>
      <w:r w:rsidR="009C67B8">
        <w:rPr>
          <w:rFonts w:eastAsia="Malgun Gothic"/>
          <w:bCs/>
          <w:lang w:val="fr-FR"/>
        </w:rPr>
        <w:t> </w:t>
      </w:r>
      <w:r w:rsidRPr="006060A6">
        <w:rPr>
          <w:rFonts w:eastAsia="Malgun Gothic"/>
          <w:bCs/>
          <w:lang w:val="fr-FR"/>
        </w:rPr>
        <w:t>R.1,</w:t>
      </w:r>
      <w:r w:rsidR="00A6182E">
        <w:rPr>
          <w:rFonts w:eastAsia="Malgun Gothic"/>
          <w:bCs/>
          <w:lang w:val="fr-FR"/>
        </w:rPr>
        <w:t> </w:t>
      </w:r>
      <w:r w:rsidRPr="006060A6">
        <w:rPr>
          <w:rFonts w:eastAsia="Malgun Gothic"/>
          <w:bCs/>
          <w:lang w:val="fr-FR"/>
        </w:rPr>
        <w:t>R.2 et</w:t>
      </w:r>
      <w:r w:rsidR="009C67B8">
        <w:rPr>
          <w:rFonts w:eastAsia="Malgun Gothic"/>
          <w:bCs/>
          <w:lang w:val="fr-FR"/>
        </w:rPr>
        <w:t> </w:t>
      </w:r>
      <w:r w:rsidRPr="006060A6">
        <w:rPr>
          <w:rFonts w:eastAsia="Malgun Gothic"/>
          <w:bCs/>
          <w:lang w:val="fr-FR"/>
        </w:rPr>
        <w:t>R.3 étaient satisfaits. L</w:t>
      </w:r>
      <w:r w:rsidR="00923E72">
        <w:rPr>
          <w:rFonts w:eastAsia="Malgun Gothic"/>
          <w:bCs/>
          <w:lang w:val="fr-FR"/>
        </w:rPr>
        <w:t>’</w:t>
      </w:r>
      <w:r w:rsidRPr="006060A6">
        <w:rPr>
          <w:rFonts w:eastAsia="Malgun Gothic"/>
          <w:bCs/>
          <w:lang w:val="fr-FR"/>
        </w:rPr>
        <w:t>Organe avait noté que le dossier se concentrait sur le rhum léger en tant que produit et qu</w:t>
      </w:r>
      <w:r w:rsidR="00923E72">
        <w:rPr>
          <w:rFonts w:eastAsia="Malgun Gothic"/>
          <w:bCs/>
          <w:lang w:val="fr-FR"/>
        </w:rPr>
        <w:t>’</w:t>
      </w:r>
      <w:r w:rsidRPr="006060A6">
        <w:rPr>
          <w:rFonts w:eastAsia="Malgun Gothic"/>
          <w:bCs/>
          <w:lang w:val="fr-FR"/>
        </w:rPr>
        <w:t>il n</w:t>
      </w:r>
      <w:r w:rsidR="00923E72">
        <w:rPr>
          <w:rFonts w:eastAsia="Malgun Gothic"/>
          <w:bCs/>
          <w:lang w:val="fr-FR"/>
        </w:rPr>
        <w:t>’</w:t>
      </w:r>
      <w:r w:rsidRPr="006060A6">
        <w:rPr>
          <w:rFonts w:eastAsia="Malgun Gothic"/>
          <w:bCs/>
          <w:lang w:val="fr-FR"/>
        </w:rPr>
        <w:t>y avait pas suffisamment d</w:t>
      </w:r>
      <w:r w:rsidR="00923E72">
        <w:rPr>
          <w:rFonts w:eastAsia="Malgun Gothic"/>
          <w:bCs/>
          <w:lang w:val="fr-FR"/>
        </w:rPr>
        <w:t>’</w:t>
      </w:r>
      <w:r w:rsidRPr="006060A6">
        <w:rPr>
          <w:rFonts w:eastAsia="Malgun Gothic"/>
          <w:bCs/>
          <w:lang w:val="fr-FR"/>
        </w:rPr>
        <w:t>explications sur les fonctions sociales et les significations culturelles de l</w:t>
      </w:r>
      <w:r w:rsidR="00923E72">
        <w:rPr>
          <w:rFonts w:eastAsia="Malgun Gothic"/>
          <w:bCs/>
          <w:lang w:val="fr-FR"/>
        </w:rPr>
        <w:t>’</w:t>
      </w:r>
      <w:r w:rsidRPr="006060A6">
        <w:rPr>
          <w:rFonts w:eastAsia="Malgun Gothic"/>
          <w:bCs/>
          <w:lang w:val="fr-FR"/>
        </w:rPr>
        <w:t xml:space="preserve">élément. En outre, le dossier ne </w:t>
      </w:r>
      <w:r>
        <w:rPr>
          <w:rFonts w:eastAsia="Malgun Gothic"/>
          <w:bCs/>
          <w:lang w:val="fr-FR"/>
        </w:rPr>
        <w:t xml:space="preserve">donnait </w:t>
      </w:r>
      <w:r w:rsidRPr="006060A6">
        <w:rPr>
          <w:rFonts w:eastAsia="Malgun Gothic"/>
          <w:bCs/>
          <w:lang w:val="fr-FR"/>
        </w:rPr>
        <w:t>pas suffisamment d</w:t>
      </w:r>
      <w:r w:rsidR="00923E72">
        <w:rPr>
          <w:rFonts w:eastAsia="Malgun Gothic"/>
          <w:bCs/>
          <w:lang w:val="fr-FR"/>
        </w:rPr>
        <w:t>’</w:t>
      </w:r>
      <w:r w:rsidRPr="006060A6">
        <w:rPr>
          <w:rFonts w:eastAsia="Malgun Gothic"/>
          <w:bCs/>
          <w:lang w:val="fr-FR"/>
        </w:rPr>
        <w:t>informations sur les connaissances et savoir-faire</w:t>
      </w:r>
      <w:r>
        <w:rPr>
          <w:rFonts w:eastAsia="Malgun Gothic"/>
          <w:bCs/>
          <w:lang w:val="fr-FR"/>
        </w:rPr>
        <w:t xml:space="preserve"> </w:t>
      </w:r>
      <w:r w:rsidRPr="006060A6">
        <w:rPr>
          <w:rFonts w:eastAsia="Malgun Gothic"/>
          <w:bCs/>
          <w:lang w:val="fr-FR"/>
        </w:rPr>
        <w:t xml:space="preserve">associés au processus de fabrication du rhum léger. Bien que le dossier présente de brèves informations sur les mesures de sauvegarde proposées, celles-ci </w:t>
      </w:r>
      <w:r>
        <w:rPr>
          <w:rFonts w:eastAsia="Malgun Gothic"/>
          <w:bCs/>
          <w:lang w:val="fr-FR"/>
        </w:rPr>
        <w:t xml:space="preserve">consistaient </w:t>
      </w:r>
      <w:r w:rsidRPr="006060A6">
        <w:rPr>
          <w:rFonts w:eastAsia="Malgun Gothic"/>
          <w:bCs/>
          <w:lang w:val="fr-FR"/>
        </w:rPr>
        <w:t xml:space="preserve">principalement </w:t>
      </w:r>
      <w:r>
        <w:rPr>
          <w:rFonts w:eastAsia="Malgun Gothic"/>
          <w:bCs/>
          <w:lang w:val="fr-FR"/>
        </w:rPr>
        <w:t xml:space="preserve">à promouvoir le </w:t>
      </w:r>
      <w:r w:rsidRPr="006060A6">
        <w:rPr>
          <w:rFonts w:eastAsia="Malgun Gothic"/>
          <w:bCs/>
          <w:lang w:val="fr-FR"/>
        </w:rPr>
        <w:t xml:space="preserve">rhum léger en tant que produit, </w:t>
      </w:r>
      <w:r>
        <w:rPr>
          <w:rFonts w:eastAsia="Malgun Gothic"/>
          <w:bCs/>
          <w:lang w:val="fr-FR"/>
        </w:rPr>
        <w:t>à</w:t>
      </w:r>
      <w:r w:rsidRPr="006060A6">
        <w:rPr>
          <w:rFonts w:eastAsia="Malgun Gothic"/>
          <w:bCs/>
          <w:lang w:val="fr-FR"/>
        </w:rPr>
        <w:t xml:space="preserve"> réglement</w:t>
      </w:r>
      <w:r>
        <w:rPr>
          <w:rFonts w:eastAsia="Malgun Gothic"/>
          <w:bCs/>
          <w:lang w:val="fr-FR"/>
        </w:rPr>
        <w:t>er</w:t>
      </w:r>
      <w:r w:rsidRPr="006060A6">
        <w:rPr>
          <w:rFonts w:eastAsia="Malgun Gothic"/>
          <w:bCs/>
          <w:lang w:val="fr-FR"/>
        </w:rPr>
        <w:t xml:space="preserve"> et contrôle</w:t>
      </w:r>
      <w:r>
        <w:rPr>
          <w:rFonts w:eastAsia="Malgun Gothic"/>
          <w:bCs/>
          <w:lang w:val="fr-FR"/>
        </w:rPr>
        <w:t>r</w:t>
      </w:r>
      <w:r w:rsidRPr="006060A6">
        <w:rPr>
          <w:rFonts w:eastAsia="Malgun Gothic"/>
          <w:bCs/>
          <w:lang w:val="fr-FR"/>
        </w:rPr>
        <w:t xml:space="preserve"> </w:t>
      </w:r>
      <w:r>
        <w:rPr>
          <w:rFonts w:eastAsia="Malgun Gothic"/>
          <w:bCs/>
          <w:lang w:val="fr-FR"/>
        </w:rPr>
        <w:t>les d</w:t>
      </w:r>
      <w:r w:rsidRPr="006060A6">
        <w:rPr>
          <w:rFonts w:eastAsia="Malgun Gothic"/>
          <w:bCs/>
          <w:lang w:val="fr-FR"/>
        </w:rPr>
        <w:t xml:space="preserve">roits commerciaux </w:t>
      </w:r>
      <w:r w:rsidR="00A47C82">
        <w:rPr>
          <w:rFonts w:eastAsia="Malgun Gothic"/>
          <w:bCs/>
          <w:lang w:val="fr-FR"/>
        </w:rPr>
        <w:t xml:space="preserve">liés </w:t>
      </w:r>
      <w:r w:rsidRPr="006060A6">
        <w:rPr>
          <w:rFonts w:eastAsia="Malgun Gothic"/>
          <w:bCs/>
          <w:lang w:val="fr-FR"/>
        </w:rPr>
        <w:t xml:space="preserve">au rhum léger pour les producteurs, </w:t>
      </w:r>
      <w:r w:rsidR="00A47C82">
        <w:rPr>
          <w:rFonts w:eastAsia="Malgun Gothic"/>
          <w:bCs/>
          <w:lang w:val="fr-FR"/>
        </w:rPr>
        <w:t xml:space="preserve">à </w:t>
      </w:r>
      <w:r w:rsidRPr="006060A6">
        <w:rPr>
          <w:rFonts w:eastAsia="Malgun Gothic"/>
          <w:bCs/>
          <w:lang w:val="fr-FR"/>
        </w:rPr>
        <w:t>réglement</w:t>
      </w:r>
      <w:r w:rsidR="00A47C82">
        <w:rPr>
          <w:rFonts w:eastAsia="Malgun Gothic"/>
          <w:bCs/>
          <w:lang w:val="fr-FR"/>
        </w:rPr>
        <w:t>er le</w:t>
      </w:r>
      <w:r w:rsidRPr="006060A6">
        <w:rPr>
          <w:rFonts w:eastAsia="Malgun Gothic"/>
          <w:bCs/>
          <w:lang w:val="fr-FR"/>
        </w:rPr>
        <w:t xml:space="preserve"> processus de production du rhum et </w:t>
      </w:r>
      <w:r w:rsidR="00A47C82">
        <w:rPr>
          <w:rFonts w:eastAsia="Malgun Gothic"/>
          <w:bCs/>
          <w:lang w:val="fr-FR"/>
        </w:rPr>
        <w:t xml:space="preserve">à limiter </w:t>
      </w:r>
      <w:r w:rsidRPr="006060A6">
        <w:rPr>
          <w:rFonts w:eastAsia="Malgun Gothic"/>
          <w:bCs/>
          <w:lang w:val="fr-FR"/>
        </w:rPr>
        <w:t>l</w:t>
      </w:r>
      <w:r w:rsidR="00923E72">
        <w:rPr>
          <w:rFonts w:eastAsia="Malgun Gothic"/>
          <w:bCs/>
          <w:lang w:val="fr-FR"/>
        </w:rPr>
        <w:t>’</w:t>
      </w:r>
      <w:r w:rsidRPr="006060A6">
        <w:rPr>
          <w:rFonts w:eastAsia="Malgun Gothic"/>
          <w:bCs/>
          <w:lang w:val="fr-FR"/>
        </w:rPr>
        <w:t>accès aux nouveaux producteurs</w:t>
      </w:r>
      <w:r w:rsidR="00A47C82">
        <w:rPr>
          <w:rFonts w:eastAsia="Malgun Gothic"/>
          <w:bCs/>
          <w:lang w:val="fr-FR"/>
        </w:rPr>
        <w:t>,</w:t>
      </w:r>
      <w:r w:rsidRPr="006060A6">
        <w:rPr>
          <w:rFonts w:eastAsia="Malgun Gothic"/>
          <w:bCs/>
          <w:lang w:val="fr-FR"/>
        </w:rPr>
        <w:t xml:space="preserve"> en cas d</w:t>
      </w:r>
      <w:r w:rsidR="00923E72">
        <w:rPr>
          <w:rFonts w:eastAsia="Malgun Gothic"/>
          <w:bCs/>
          <w:lang w:val="fr-FR"/>
        </w:rPr>
        <w:t>’</w:t>
      </w:r>
      <w:r w:rsidRPr="006060A6">
        <w:rPr>
          <w:rFonts w:eastAsia="Malgun Gothic"/>
          <w:bCs/>
          <w:lang w:val="fr-FR"/>
        </w:rPr>
        <w:t>inscription sur la Liste représentative. Pour cette raison, l</w:t>
      </w:r>
      <w:r w:rsidR="00923E72">
        <w:rPr>
          <w:rFonts w:eastAsia="Malgun Gothic"/>
          <w:bCs/>
          <w:lang w:val="fr-FR"/>
        </w:rPr>
        <w:t>’</w:t>
      </w:r>
      <w:r w:rsidRPr="006060A6">
        <w:rPr>
          <w:rFonts w:eastAsia="Malgun Gothic"/>
          <w:bCs/>
          <w:lang w:val="fr-FR"/>
        </w:rPr>
        <w:t>Organe d</w:t>
      </w:r>
      <w:r w:rsidR="00923E72">
        <w:rPr>
          <w:rFonts w:eastAsia="Malgun Gothic"/>
          <w:bCs/>
          <w:lang w:val="fr-FR"/>
        </w:rPr>
        <w:t>’</w:t>
      </w:r>
      <w:r w:rsidRPr="006060A6">
        <w:rPr>
          <w:rFonts w:eastAsia="Malgun Gothic"/>
          <w:bCs/>
          <w:lang w:val="fr-FR"/>
        </w:rPr>
        <w:t>évaluation recommandait que cette candidature soit renvoyée à l</w:t>
      </w:r>
      <w:r w:rsidR="00923E72">
        <w:rPr>
          <w:rFonts w:eastAsia="Malgun Gothic"/>
          <w:bCs/>
          <w:lang w:val="fr-FR"/>
        </w:rPr>
        <w:t>’</w:t>
      </w:r>
      <w:r w:rsidRPr="006060A6">
        <w:rPr>
          <w:rFonts w:eastAsia="Malgun Gothic"/>
          <w:bCs/>
          <w:lang w:val="fr-FR"/>
        </w:rPr>
        <w:t>État soumissionnaire.</w:t>
      </w:r>
    </w:p>
    <w:p w14:paraId="1B867E58" w14:textId="60D1AB7B" w:rsidR="00A47C82" w:rsidRDefault="00A47C8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évaluation et a signalé qu</w:t>
      </w:r>
      <w:r w:rsidR="00923E72">
        <w:rPr>
          <w:rFonts w:eastAsia="Malgun Gothic"/>
          <w:bCs/>
          <w:lang w:val="fr-FR"/>
        </w:rPr>
        <w:t>’</w:t>
      </w:r>
      <w:r>
        <w:rPr>
          <w:rFonts w:eastAsia="Malgun Gothic"/>
          <w:bCs/>
          <w:lang w:val="fr-FR"/>
        </w:rPr>
        <w:t xml:space="preserve">un </w:t>
      </w:r>
      <w:r w:rsidRPr="00A47C82">
        <w:rPr>
          <w:rFonts w:eastAsia="Malgun Gothic"/>
          <w:bCs/>
          <w:lang w:val="fr-FR"/>
        </w:rPr>
        <w:t>amendement</w:t>
      </w:r>
      <w:r>
        <w:rPr>
          <w:rFonts w:eastAsia="Malgun Gothic"/>
          <w:bCs/>
          <w:lang w:val="fr-FR"/>
        </w:rPr>
        <w:t xml:space="preserve"> avait été soumis par le Brésil</w:t>
      </w:r>
      <w:r w:rsidR="00D616E4">
        <w:rPr>
          <w:rFonts w:eastAsia="Malgun Gothic"/>
          <w:bCs/>
          <w:lang w:val="fr-FR"/>
        </w:rPr>
        <w:t>, soutenu par l</w:t>
      </w:r>
      <w:r w:rsidR="00923E72">
        <w:rPr>
          <w:rFonts w:eastAsia="Malgun Gothic"/>
          <w:bCs/>
          <w:lang w:val="fr-FR"/>
        </w:rPr>
        <w:t>’</w:t>
      </w:r>
      <w:r w:rsidR="00D616E4">
        <w:rPr>
          <w:rFonts w:eastAsia="Malgun Gothic"/>
          <w:bCs/>
          <w:lang w:val="fr-FR"/>
        </w:rPr>
        <w:t>Angola, l</w:t>
      </w:r>
      <w:r w:rsidR="00923E72">
        <w:rPr>
          <w:rFonts w:eastAsia="Malgun Gothic"/>
          <w:bCs/>
          <w:lang w:val="fr-FR"/>
        </w:rPr>
        <w:t>’</w:t>
      </w:r>
      <w:r w:rsidR="00D616E4">
        <w:rPr>
          <w:rFonts w:eastAsia="Malgun Gothic"/>
          <w:bCs/>
          <w:lang w:val="fr-FR"/>
        </w:rPr>
        <w:t xml:space="preserve">Éthiopie, le Panama, le Paraguay, le Pérou, le Rwanda, le Viet Nam et le Burkina Faso. Le Brésil a été invité à présenter son </w:t>
      </w:r>
      <w:r w:rsidR="00D616E4" w:rsidRPr="00D616E4">
        <w:rPr>
          <w:rFonts w:eastAsia="Malgun Gothic"/>
          <w:bCs/>
          <w:lang w:val="fr-FR"/>
        </w:rPr>
        <w:t>amendement</w:t>
      </w:r>
      <w:r w:rsidR="00D616E4">
        <w:rPr>
          <w:rFonts w:eastAsia="Malgun Gothic"/>
          <w:bCs/>
          <w:lang w:val="fr-FR"/>
        </w:rPr>
        <w:t>.</w:t>
      </w:r>
    </w:p>
    <w:p w14:paraId="1CBCB6FC" w14:textId="07B4FA84" w:rsidR="00D616E4" w:rsidRDefault="00D616E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616E4">
        <w:rPr>
          <w:rFonts w:eastAsia="Malgun Gothic"/>
          <w:bCs/>
          <w:lang w:val="fr-FR"/>
        </w:rPr>
        <w:t xml:space="preserve">La délégation du </w:t>
      </w:r>
      <w:r w:rsidRPr="00702497">
        <w:rPr>
          <w:rFonts w:eastAsia="Malgun Gothic"/>
          <w:b/>
          <w:lang w:val="fr-FR"/>
        </w:rPr>
        <w:t>Brésil</w:t>
      </w:r>
      <w:r w:rsidRPr="00D616E4">
        <w:rPr>
          <w:rFonts w:eastAsia="Malgun Gothic"/>
          <w:bCs/>
          <w:lang w:val="fr-FR"/>
        </w:rPr>
        <w:t xml:space="preserve"> était reconnaissante à Cuba de proposer l</w:t>
      </w:r>
      <w:r w:rsidR="00923E72">
        <w:rPr>
          <w:rFonts w:eastAsia="Malgun Gothic"/>
          <w:bCs/>
          <w:lang w:val="fr-FR"/>
        </w:rPr>
        <w:t>’</w:t>
      </w:r>
      <w:r w:rsidRPr="00D616E4">
        <w:rPr>
          <w:rFonts w:eastAsia="Malgun Gothic"/>
          <w:bCs/>
          <w:lang w:val="fr-FR"/>
        </w:rPr>
        <w:t>inscription d</w:t>
      </w:r>
      <w:r w:rsidR="00923E72">
        <w:rPr>
          <w:rFonts w:eastAsia="Malgun Gothic"/>
          <w:bCs/>
          <w:lang w:val="fr-FR"/>
        </w:rPr>
        <w:t>’</w:t>
      </w:r>
      <w:r w:rsidRPr="00D616E4">
        <w:rPr>
          <w:rFonts w:eastAsia="Malgun Gothic"/>
          <w:bCs/>
          <w:lang w:val="fr-FR"/>
        </w:rPr>
        <w:t>un élément lié à la tradition centenaire associée à l</w:t>
      </w:r>
      <w:r w:rsidR="00923E72">
        <w:rPr>
          <w:rFonts w:eastAsia="Malgun Gothic"/>
          <w:bCs/>
          <w:lang w:val="fr-FR"/>
        </w:rPr>
        <w:t>’</w:t>
      </w:r>
      <w:r w:rsidRPr="00D616E4">
        <w:rPr>
          <w:rFonts w:eastAsia="Malgun Gothic"/>
          <w:bCs/>
          <w:lang w:val="fr-FR"/>
        </w:rPr>
        <w:t>art de transmettre un ensemble de connaissances traditionnelles, scientifiques, sensorielles et innovantes par le biais d</w:t>
      </w:r>
      <w:r w:rsidR="00923E72">
        <w:rPr>
          <w:rFonts w:eastAsia="Malgun Gothic"/>
          <w:bCs/>
          <w:lang w:val="fr-FR"/>
        </w:rPr>
        <w:t>’</w:t>
      </w:r>
      <w:r w:rsidRPr="00D616E4">
        <w:rPr>
          <w:rFonts w:eastAsia="Malgun Gothic"/>
          <w:bCs/>
          <w:lang w:val="fr-FR"/>
        </w:rPr>
        <w:t>expressions orales. Ce dossier constituait un élément inhabituel mais très important du patrimoine culturel immatériel, contribuant ainsi à une plus grande diversité sur la Liste représentative. En effet, il était peu courant dans la région du Groupe de l</w:t>
      </w:r>
      <w:r w:rsidR="00923E72">
        <w:rPr>
          <w:rFonts w:eastAsia="Malgun Gothic"/>
          <w:bCs/>
          <w:lang w:val="fr-FR"/>
        </w:rPr>
        <w:t>’</w:t>
      </w:r>
      <w:r w:rsidRPr="00D616E4">
        <w:rPr>
          <w:rFonts w:eastAsia="Malgun Gothic"/>
          <w:bCs/>
          <w:lang w:val="fr-FR"/>
        </w:rPr>
        <w:t>Amérique latine et des Caraïbes (GRULAC) de soumettre des dossiers associés à ce domaine du patrimoine culturel immatériel. Cependant, l</w:t>
      </w:r>
      <w:r w:rsidR="00923E72">
        <w:rPr>
          <w:rFonts w:eastAsia="Malgun Gothic"/>
          <w:bCs/>
          <w:lang w:val="fr-FR"/>
        </w:rPr>
        <w:t>’</w:t>
      </w:r>
      <w:r w:rsidRPr="00D616E4">
        <w:rPr>
          <w:rFonts w:eastAsia="Malgun Gothic"/>
          <w:bCs/>
          <w:lang w:val="fr-FR"/>
        </w:rPr>
        <w:t>inventaire national reflétait le potentiel original des éléments liés à l</w:t>
      </w:r>
      <w:r w:rsidR="00923E72">
        <w:rPr>
          <w:rFonts w:eastAsia="Malgun Gothic"/>
          <w:bCs/>
          <w:lang w:val="fr-FR"/>
        </w:rPr>
        <w:t>’</w:t>
      </w:r>
      <w:r w:rsidRPr="00D616E4">
        <w:rPr>
          <w:rFonts w:eastAsia="Malgun Gothic"/>
          <w:bCs/>
          <w:lang w:val="fr-FR"/>
        </w:rPr>
        <w:t>agro</w:t>
      </w:r>
      <w:r>
        <w:rPr>
          <w:rFonts w:eastAsia="Malgun Gothic"/>
          <w:bCs/>
          <w:lang w:val="fr-FR"/>
        </w:rPr>
        <w:noBreakHyphen/>
      </w:r>
      <w:r w:rsidRPr="00D616E4">
        <w:rPr>
          <w:rFonts w:eastAsia="Malgun Gothic"/>
          <w:bCs/>
          <w:lang w:val="fr-FR"/>
        </w:rPr>
        <w:t>industrie. La délégation a remercié l</w:t>
      </w:r>
      <w:r w:rsidR="00923E72">
        <w:rPr>
          <w:rFonts w:eastAsia="Malgun Gothic"/>
          <w:bCs/>
          <w:lang w:val="fr-FR"/>
        </w:rPr>
        <w:t>’</w:t>
      </w:r>
      <w:r w:rsidRPr="00D616E4">
        <w:rPr>
          <w:rFonts w:eastAsia="Malgun Gothic"/>
          <w:bCs/>
          <w:lang w:val="fr-FR"/>
        </w:rPr>
        <w:t>Organe d</w:t>
      </w:r>
      <w:r w:rsidR="00923E72">
        <w:rPr>
          <w:rFonts w:eastAsia="Malgun Gothic"/>
          <w:bCs/>
          <w:lang w:val="fr-FR"/>
        </w:rPr>
        <w:t>’</w:t>
      </w:r>
      <w:r w:rsidRPr="00D616E4">
        <w:rPr>
          <w:rFonts w:eastAsia="Malgun Gothic"/>
          <w:bCs/>
          <w:lang w:val="fr-FR"/>
        </w:rPr>
        <w:t>évaluation pour sa recommandation au Comité et aux États parties. Leur perception d</w:t>
      </w:r>
      <w:r w:rsidR="00923E72">
        <w:rPr>
          <w:rFonts w:eastAsia="Malgun Gothic"/>
          <w:bCs/>
          <w:lang w:val="fr-FR"/>
        </w:rPr>
        <w:t>’</w:t>
      </w:r>
      <w:r w:rsidRPr="00D616E4">
        <w:rPr>
          <w:rFonts w:eastAsia="Malgun Gothic"/>
          <w:bCs/>
          <w:lang w:val="fr-FR"/>
        </w:rPr>
        <w:t>experts était un bon point de départ pour la discussion au sein du Comité. Selon le dossier de candidature et les informations transmises par l</w:t>
      </w:r>
      <w:r w:rsidR="00923E72">
        <w:rPr>
          <w:rFonts w:eastAsia="Malgun Gothic"/>
          <w:bCs/>
          <w:lang w:val="fr-FR"/>
        </w:rPr>
        <w:t>’</w:t>
      </w:r>
      <w:r w:rsidRPr="00D616E4">
        <w:rPr>
          <w:rFonts w:eastAsia="Malgun Gothic"/>
          <w:bCs/>
          <w:lang w:val="fr-FR"/>
        </w:rPr>
        <w:t>État concerné, le savoir-faire des maîtres du rhum léger cubain constituait à la fois une pratique sociale au sein des espaces de fabrication, et des rituels relevant de l</w:t>
      </w:r>
      <w:r w:rsidR="00923E72">
        <w:rPr>
          <w:rFonts w:eastAsia="Malgun Gothic"/>
          <w:bCs/>
          <w:lang w:val="fr-FR"/>
        </w:rPr>
        <w:t>’</w:t>
      </w:r>
      <w:r w:rsidRPr="00D616E4">
        <w:rPr>
          <w:rFonts w:eastAsia="Malgun Gothic"/>
          <w:bCs/>
          <w:lang w:val="fr-FR"/>
        </w:rPr>
        <w:t>art de transmettre des connaissances associées à la nature et au climat, en raison de l</w:t>
      </w:r>
      <w:r w:rsidR="00923E72">
        <w:rPr>
          <w:rFonts w:eastAsia="Malgun Gothic"/>
          <w:bCs/>
          <w:lang w:val="fr-FR"/>
        </w:rPr>
        <w:t>’</w:t>
      </w:r>
      <w:r w:rsidRPr="00D616E4">
        <w:rPr>
          <w:rFonts w:eastAsia="Malgun Gothic"/>
          <w:bCs/>
          <w:lang w:val="fr-FR"/>
        </w:rPr>
        <w:t xml:space="preserve">impact direct </w:t>
      </w:r>
      <w:r w:rsidR="00473500">
        <w:rPr>
          <w:rFonts w:eastAsia="Malgun Gothic"/>
          <w:bCs/>
          <w:lang w:val="fr-FR"/>
        </w:rPr>
        <w:t xml:space="preserve">de ceux-ci </w:t>
      </w:r>
      <w:r w:rsidRPr="00D616E4">
        <w:rPr>
          <w:rFonts w:eastAsia="Malgun Gothic"/>
          <w:bCs/>
          <w:lang w:val="fr-FR"/>
        </w:rPr>
        <w:t>sur le processus de sélection, de marquage et de vieillissement des spiritueux. À la suite des arguments précédemment mentionnés par le GRULAC sur les raisons de d</w:t>
      </w:r>
      <w:r w:rsidR="00923E72">
        <w:rPr>
          <w:rFonts w:eastAsia="Malgun Gothic"/>
          <w:bCs/>
          <w:lang w:val="fr-FR"/>
        </w:rPr>
        <w:t>’</w:t>
      </w:r>
      <w:r w:rsidRPr="00D616E4">
        <w:rPr>
          <w:rFonts w:eastAsia="Malgun Gothic"/>
          <w:bCs/>
          <w:lang w:val="fr-FR"/>
        </w:rPr>
        <w:t>ouvrir le débat, la délégation a demandé à Cuba de préciser la nature, les fonctions sociales et la signification culturelle de l</w:t>
      </w:r>
      <w:r w:rsidR="00923E72">
        <w:rPr>
          <w:rFonts w:eastAsia="Malgun Gothic"/>
          <w:bCs/>
          <w:lang w:val="fr-FR"/>
        </w:rPr>
        <w:t>’</w:t>
      </w:r>
      <w:r w:rsidRPr="00D616E4">
        <w:rPr>
          <w:rFonts w:eastAsia="Malgun Gothic"/>
          <w:bCs/>
          <w:lang w:val="fr-FR"/>
        </w:rPr>
        <w:t>élément ainsi que les personnes considérées comme les détenteurs culturels de cette pratique culturelle.</w:t>
      </w:r>
    </w:p>
    <w:p w14:paraId="03999ABA" w14:textId="21E0BF39" w:rsidR="00473500" w:rsidRDefault="0047350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invité Cuba à répondre à la question posée par le Brésil.</w:t>
      </w:r>
    </w:p>
    <w:p w14:paraId="4614BC9B" w14:textId="1BBE71E2" w:rsidR="00473500" w:rsidRDefault="0047350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73500">
        <w:rPr>
          <w:rFonts w:eastAsia="Malgun Gothic"/>
          <w:bCs/>
          <w:lang w:val="fr-FR"/>
        </w:rPr>
        <w:t xml:space="preserve">La délégation de </w:t>
      </w:r>
      <w:r w:rsidRPr="00702497">
        <w:rPr>
          <w:rFonts w:eastAsia="Malgun Gothic"/>
          <w:b/>
          <w:lang w:val="fr-FR"/>
        </w:rPr>
        <w:t>Cuba</w:t>
      </w:r>
      <w:r w:rsidRPr="00473500">
        <w:rPr>
          <w:rFonts w:eastAsia="Malgun Gothic"/>
          <w:bCs/>
          <w:lang w:val="fr-FR"/>
        </w:rPr>
        <w:t xml:space="preserve"> a expliqué que l</w:t>
      </w:r>
      <w:r w:rsidR="00923E72">
        <w:rPr>
          <w:rFonts w:eastAsia="Malgun Gothic"/>
          <w:bCs/>
          <w:lang w:val="fr-FR"/>
        </w:rPr>
        <w:t>’</w:t>
      </w:r>
      <w:r w:rsidRPr="00473500">
        <w:rPr>
          <w:rFonts w:eastAsia="Malgun Gothic"/>
          <w:bCs/>
          <w:lang w:val="fr-FR"/>
        </w:rPr>
        <w:t xml:space="preserve">art de la transmission du savoir-faire des maîtres du rhum léger est essentiellement un langage corporel, sensoriel et oral visant à </w:t>
      </w:r>
      <w:r w:rsidR="00623576">
        <w:rPr>
          <w:rFonts w:eastAsia="Malgun Gothic"/>
          <w:bCs/>
          <w:lang w:val="fr-FR"/>
        </w:rPr>
        <w:t xml:space="preserve">passer aux générations futures </w:t>
      </w:r>
      <w:r w:rsidRPr="00473500">
        <w:rPr>
          <w:rFonts w:eastAsia="Malgun Gothic"/>
          <w:bCs/>
          <w:lang w:val="fr-FR"/>
        </w:rPr>
        <w:t>une tradition scientifique, un savoir sensoriel et des techniques de transmission</w:t>
      </w:r>
      <w:r w:rsidR="00623576">
        <w:rPr>
          <w:rFonts w:eastAsia="Malgun Gothic"/>
          <w:bCs/>
          <w:lang w:val="fr-FR"/>
        </w:rPr>
        <w:t xml:space="preserve">. Elle a précisé que </w:t>
      </w:r>
      <w:r w:rsidRPr="00473500">
        <w:rPr>
          <w:rFonts w:eastAsia="Malgun Gothic"/>
          <w:bCs/>
          <w:lang w:val="fr-FR"/>
        </w:rPr>
        <w:t>les pratiques de transmission se déroulent au quotidien</w:t>
      </w:r>
      <w:r w:rsidR="0032205E">
        <w:rPr>
          <w:rFonts w:eastAsia="Malgun Gothic"/>
          <w:bCs/>
          <w:lang w:val="fr-FR"/>
        </w:rPr>
        <w:t>, en continu,</w:t>
      </w:r>
      <w:r w:rsidRPr="00473500">
        <w:rPr>
          <w:rFonts w:eastAsia="Malgun Gothic"/>
          <w:bCs/>
          <w:lang w:val="fr-FR"/>
        </w:rPr>
        <w:t xml:space="preserve"> dans les espaces de fabrication et les lieux où travaillent les maîtres</w:t>
      </w:r>
      <w:r w:rsidR="0047721C">
        <w:rPr>
          <w:rFonts w:eastAsia="Malgun Gothic"/>
          <w:bCs/>
          <w:lang w:val="fr-FR"/>
        </w:rPr>
        <w:t>,</w:t>
      </w:r>
      <w:r w:rsidRPr="00473500">
        <w:rPr>
          <w:rFonts w:eastAsia="Malgun Gothic"/>
          <w:bCs/>
          <w:lang w:val="fr-FR"/>
        </w:rPr>
        <w:t xml:space="preserve"> qui constituent la communauté des détenteurs.</w:t>
      </w:r>
      <w:r w:rsidR="00925866">
        <w:rPr>
          <w:rFonts w:eastAsia="Malgun Gothic"/>
          <w:bCs/>
          <w:lang w:val="fr-FR"/>
        </w:rPr>
        <w:t xml:space="preserve"> C</w:t>
      </w:r>
      <w:r w:rsidR="00923E72">
        <w:rPr>
          <w:rFonts w:eastAsia="Malgun Gothic"/>
          <w:bCs/>
          <w:lang w:val="fr-FR"/>
        </w:rPr>
        <w:t>’</w:t>
      </w:r>
      <w:r w:rsidRPr="00473500">
        <w:rPr>
          <w:rFonts w:eastAsia="Malgun Gothic"/>
          <w:bCs/>
          <w:lang w:val="fr-FR"/>
        </w:rPr>
        <w:t>était ce processus de transmission</w:t>
      </w:r>
      <w:r w:rsidR="0047721C">
        <w:rPr>
          <w:rFonts w:eastAsia="Malgun Gothic"/>
          <w:bCs/>
          <w:lang w:val="fr-FR"/>
        </w:rPr>
        <w:t>,</w:t>
      </w:r>
      <w:r w:rsidRPr="00473500">
        <w:rPr>
          <w:rFonts w:eastAsia="Malgun Gothic"/>
          <w:bCs/>
          <w:lang w:val="fr-FR"/>
        </w:rPr>
        <w:t xml:space="preserve"> réuni</w:t>
      </w:r>
      <w:r w:rsidR="00623576">
        <w:rPr>
          <w:rFonts w:eastAsia="Malgun Gothic"/>
          <w:bCs/>
          <w:lang w:val="fr-FR"/>
        </w:rPr>
        <w:t>ssant</w:t>
      </w:r>
      <w:r w:rsidRPr="00473500">
        <w:rPr>
          <w:rFonts w:eastAsia="Malgun Gothic"/>
          <w:bCs/>
          <w:lang w:val="fr-FR"/>
        </w:rPr>
        <w:t xml:space="preserve"> tous les éléments naturels, </w:t>
      </w:r>
      <w:r w:rsidR="00925866">
        <w:rPr>
          <w:rFonts w:eastAsia="Malgun Gothic"/>
          <w:bCs/>
          <w:lang w:val="fr-FR"/>
        </w:rPr>
        <w:t>qui constitue les fonctions et pratiques sociales</w:t>
      </w:r>
      <w:r w:rsidR="00623576">
        <w:rPr>
          <w:rFonts w:eastAsia="Malgun Gothic"/>
          <w:bCs/>
          <w:lang w:val="fr-FR"/>
        </w:rPr>
        <w:t xml:space="preserve"> </w:t>
      </w:r>
      <w:r w:rsidR="0032205E">
        <w:rPr>
          <w:rFonts w:eastAsia="Malgun Gothic"/>
          <w:bCs/>
          <w:lang w:val="fr-FR"/>
        </w:rPr>
        <w:t>évoqué</w:t>
      </w:r>
      <w:r w:rsidR="00623576">
        <w:rPr>
          <w:rFonts w:eastAsia="Malgun Gothic"/>
          <w:bCs/>
          <w:lang w:val="fr-FR"/>
        </w:rPr>
        <w:t>es</w:t>
      </w:r>
      <w:r w:rsidR="0032205E">
        <w:rPr>
          <w:rFonts w:eastAsia="Malgun Gothic"/>
          <w:bCs/>
          <w:lang w:val="fr-FR"/>
        </w:rPr>
        <w:t xml:space="preserve"> </w:t>
      </w:r>
      <w:r w:rsidRPr="00473500">
        <w:rPr>
          <w:rFonts w:eastAsia="Malgun Gothic"/>
          <w:bCs/>
          <w:lang w:val="fr-FR"/>
        </w:rPr>
        <w:t>dans l</w:t>
      </w:r>
      <w:r w:rsidR="00923E72">
        <w:rPr>
          <w:rFonts w:eastAsia="Malgun Gothic"/>
          <w:bCs/>
          <w:lang w:val="fr-FR"/>
        </w:rPr>
        <w:t>’</w:t>
      </w:r>
      <w:r w:rsidRPr="00473500">
        <w:rPr>
          <w:rFonts w:eastAsia="Malgun Gothic"/>
          <w:bCs/>
          <w:lang w:val="fr-FR"/>
        </w:rPr>
        <w:t>article</w:t>
      </w:r>
      <w:r w:rsidR="00327449">
        <w:rPr>
          <w:rFonts w:eastAsia="Malgun Gothic"/>
          <w:bCs/>
          <w:lang w:val="fr-FR"/>
        </w:rPr>
        <w:t> </w:t>
      </w:r>
      <w:r w:rsidRPr="00473500">
        <w:rPr>
          <w:rFonts w:eastAsia="Malgun Gothic"/>
          <w:bCs/>
          <w:lang w:val="fr-FR"/>
        </w:rPr>
        <w:t xml:space="preserve">2 de la Convention. </w:t>
      </w:r>
      <w:r w:rsidR="0032205E">
        <w:rPr>
          <w:rFonts w:eastAsia="Malgun Gothic"/>
          <w:bCs/>
          <w:lang w:val="fr-FR"/>
        </w:rPr>
        <w:t>L</w:t>
      </w:r>
      <w:r w:rsidRPr="00473500">
        <w:rPr>
          <w:rFonts w:eastAsia="Malgun Gothic"/>
          <w:bCs/>
          <w:lang w:val="fr-FR"/>
        </w:rPr>
        <w:t>a section</w:t>
      </w:r>
      <w:r w:rsidR="00327449">
        <w:rPr>
          <w:rFonts w:eastAsia="Malgun Gothic"/>
          <w:bCs/>
          <w:lang w:val="fr-FR"/>
        </w:rPr>
        <w:t> </w:t>
      </w:r>
      <w:r w:rsidRPr="00473500">
        <w:rPr>
          <w:rFonts w:eastAsia="Malgun Gothic"/>
          <w:bCs/>
          <w:lang w:val="fr-FR"/>
        </w:rPr>
        <w:t>3 du dossier de candidature</w:t>
      </w:r>
      <w:r w:rsidR="0032205E">
        <w:rPr>
          <w:rFonts w:eastAsia="Malgun Gothic"/>
          <w:bCs/>
          <w:lang w:val="fr-FR"/>
        </w:rPr>
        <w:t xml:space="preserve"> </w:t>
      </w:r>
      <w:r w:rsidRPr="00473500">
        <w:rPr>
          <w:rFonts w:eastAsia="Malgun Gothic"/>
          <w:bCs/>
          <w:lang w:val="fr-FR"/>
        </w:rPr>
        <w:t>expliquait clairement que la candidature correspond à l</w:t>
      </w:r>
      <w:r w:rsidR="00923E72">
        <w:rPr>
          <w:rFonts w:eastAsia="Malgun Gothic"/>
          <w:bCs/>
          <w:lang w:val="fr-FR"/>
        </w:rPr>
        <w:t>’</w:t>
      </w:r>
      <w:r w:rsidRPr="00473500">
        <w:rPr>
          <w:rFonts w:eastAsia="Malgun Gothic"/>
          <w:bCs/>
          <w:lang w:val="fr-FR"/>
        </w:rPr>
        <w:t>art de la transmission, qui est sa fonction sociale, l</w:t>
      </w:r>
      <w:r w:rsidR="00923E72">
        <w:rPr>
          <w:rFonts w:eastAsia="Malgun Gothic"/>
          <w:bCs/>
          <w:lang w:val="fr-FR"/>
        </w:rPr>
        <w:t>’</w:t>
      </w:r>
      <w:r w:rsidRPr="00473500">
        <w:rPr>
          <w:rFonts w:eastAsia="Malgun Gothic"/>
          <w:bCs/>
          <w:lang w:val="fr-FR"/>
        </w:rPr>
        <w:t>objet principal du dossier, et non la production en tant que telle. À la page</w:t>
      </w:r>
      <w:r w:rsidR="00327449">
        <w:rPr>
          <w:rFonts w:eastAsia="Malgun Gothic"/>
          <w:bCs/>
          <w:lang w:val="fr-FR"/>
        </w:rPr>
        <w:t> </w:t>
      </w:r>
      <w:r w:rsidRPr="00473500">
        <w:rPr>
          <w:rFonts w:eastAsia="Malgun Gothic"/>
          <w:bCs/>
          <w:lang w:val="fr-FR"/>
        </w:rPr>
        <w:t>3, paragraphe</w:t>
      </w:r>
      <w:r w:rsidR="00327449">
        <w:rPr>
          <w:rFonts w:eastAsia="Malgun Gothic"/>
          <w:bCs/>
          <w:lang w:val="fr-FR"/>
        </w:rPr>
        <w:t> </w:t>
      </w:r>
      <w:r w:rsidRPr="00473500">
        <w:rPr>
          <w:rFonts w:eastAsia="Malgun Gothic"/>
          <w:bCs/>
          <w:lang w:val="fr-FR"/>
        </w:rPr>
        <w:t>1, il était question de l</w:t>
      </w:r>
      <w:r w:rsidR="00923E72">
        <w:rPr>
          <w:rFonts w:eastAsia="Malgun Gothic"/>
          <w:bCs/>
          <w:lang w:val="fr-FR"/>
        </w:rPr>
        <w:t>’</w:t>
      </w:r>
      <w:r w:rsidRPr="00473500">
        <w:rPr>
          <w:rFonts w:eastAsia="Malgun Gothic"/>
          <w:bCs/>
          <w:lang w:val="fr-FR"/>
        </w:rPr>
        <w:t xml:space="preserve">importance de la transmission. Cette fonction sociale faisait partie intégrante de la formation des nouveaux maîtres </w:t>
      </w:r>
      <w:r w:rsidR="00F65232">
        <w:rPr>
          <w:rFonts w:eastAsia="Malgun Gothic"/>
          <w:bCs/>
          <w:lang w:val="fr-FR"/>
        </w:rPr>
        <w:t xml:space="preserve">à </w:t>
      </w:r>
      <w:r w:rsidRPr="00473500">
        <w:rPr>
          <w:rFonts w:eastAsia="Malgun Gothic"/>
          <w:bCs/>
          <w:lang w:val="fr-FR"/>
        </w:rPr>
        <w:t xml:space="preserve">la tradition centenaire. Depuis 1793, la canne à sucre était </w:t>
      </w:r>
      <w:r w:rsidRPr="00473500">
        <w:rPr>
          <w:rFonts w:eastAsia="Malgun Gothic"/>
          <w:bCs/>
          <w:lang w:val="fr-FR"/>
        </w:rPr>
        <w:lastRenderedPageBreak/>
        <w:t>un élément important de l</w:t>
      </w:r>
      <w:r w:rsidR="00923E72">
        <w:rPr>
          <w:rFonts w:eastAsia="Malgun Gothic"/>
          <w:bCs/>
          <w:lang w:val="fr-FR"/>
        </w:rPr>
        <w:t>’</w:t>
      </w:r>
      <w:r w:rsidRPr="00473500">
        <w:rPr>
          <w:rFonts w:eastAsia="Malgun Gothic"/>
          <w:bCs/>
          <w:lang w:val="fr-FR"/>
        </w:rPr>
        <w:t>économie cubaine. Dans tous les aspects de la société, la canne à sucre jouait un rôle</w:t>
      </w:r>
      <w:r w:rsidR="00DA2E21">
        <w:rPr>
          <w:rFonts w:eastAsia="Malgun Gothic"/>
          <w:bCs/>
          <w:lang w:val="fr-FR"/>
        </w:rPr>
        <w:t xml:space="preserve"> </w:t>
      </w:r>
      <w:r w:rsidRPr="00473500">
        <w:rPr>
          <w:rFonts w:eastAsia="Malgun Gothic"/>
          <w:bCs/>
          <w:lang w:val="fr-FR"/>
        </w:rPr>
        <w:t>et</w:t>
      </w:r>
      <w:r w:rsidR="00DA2E21">
        <w:rPr>
          <w:rFonts w:eastAsia="Malgun Gothic"/>
          <w:bCs/>
          <w:lang w:val="fr-FR"/>
        </w:rPr>
        <w:t xml:space="preserve">, pour cette raison, </w:t>
      </w:r>
      <w:r w:rsidRPr="00473500">
        <w:rPr>
          <w:rFonts w:eastAsia="Malgun Gothic"/>
          <w:bCs/>
          <w:lang w:val="fr-FR"/>
        </w:rPr>
        <w:t>ces maîtres du rhum léger (</w:t>
      </w:r>
      <w:r w:rsidR="00623576">
        <w:rPr>
          <w:rFonts w:eastAsia="Malgun Gothic"/>
          <w:bCs/>
          <w:lang w:val="fr-FR"/>
        </w:rPr>
        <w:t>au sein du</w:t>
      </w:r>
      <w:r w:rsidRPr="00473500">
        <w:rPr>
          <w:rFonts w:eastAsia="Malgun Gothic"/>
          <w:bCs/>
          <w:lang w:val="fr-FR"/>
        </w:rPr>
        <w:t xml:space="preserve"> contexte familial et</w:t>
      </w:r>
      <w:r w:rsidR="00623576">
        <w:rPr>
          <w:rFonts w:eastAsia="Malgun Gothic"/>
          <w:bCs/>
          <w:lang w:val="fr-FR"/>
        </w:rPr>
        <w:t xml:space="preserve"> dans l</w:t>
      </w:r>
      <w:r w:rsidRPr="00473500">
        <w:rPr>
          <w:rFonts w:eastAsia="Malgun Gothic"/>
          <w:bCs/>
          <w:lang w:val="fr-FR"/>
        </w:rPr>
        <w:t>e contexte de la fabrication) jouaient un rôle aussi essentiel. La relation apprenti-maître était également au cœur de cette</w:t>
      </w:r>
      <w:r w:rsidR="0032205E">
        <w:rPr>
          <w:rFonts w:eastAsia="Malgun Gothic"/>
          <w:bCs/>
          <w:lang w:val="fr-FR"/>
        </w:rPr>
        <w:t xml:space="preserve"> interprétation</w:t>
      </w:r>
      <w:r w:rsidRPr="00473500">
        <w:rPr>
          <w:rFonts w:eastAsia="Malgun Gothic"/>
          <w:bCs/>
          <w:lang w:val="fr-FR"/>
        </w:rPr>
        <w:t xml:space="preserve">. Le dossier ne décrivait pas une recette de fabrication du rhum, il présentait plutôt la fonction sociale de cette transmission, la manière dont les gens mettaient </w:t>
      </w:r>
      <w:r w:rsidR="0032205E">
        <w:rPr>
          <w:rFonts w:eastAsia="Malgun Gothic"/>
          <w:bCs/>
          <w:lang w:val="fr-FR"/>
        </w:rPr>
        <w:t xml:space="preserve">en œuvre de façon </w:t>
      </w:r>
      <w:r w:rsidRPr="00473500">
        <w:rPr>
          <w:rFonts w:eastAsia="Malgun Gothic"/>
          <w:bCs/>
          <w:lang w:val="fr-FR"/>
        </w:rPr>
        <w:t>collective et solidaire leur savoir-faire et leurs pratiques ainsi que la transmission des valeurs de génération en génération. Il ne s</w:t>
      </w:r>
      <w:r w:rsidR="00923E72">
        <w:rPr>
          <w:rFonts w:eastAsia="Malgun Gothic"/>
          <w:bCs/>
          <w:lang w:val="fr-FR"/>
        </w:rPr>
        <w:t>’</w:t>
      </w:r>
      <w:r w:rsidRPr="00473500">
        <w:rPr>
          <w:rFonts w:eastAsia="Malgun Gothic"/>
          <w:bCs/>
          <w:lang w:val="fr-FR"/>
        </w:rPr>
        <w:t>agissait pas de promouvoir un produit ou une marque, il s</w:t>
      </w:r>
      <w:r w:rsidR="00923E72">
        <w:rPr>
          <w:rFonts w:eastAsia="Malgun Gothic"/>
          <w:bCs/>
          <w:lang w:val="fr-FR"/>
        </w:rPr>
        <w:t>’</w:t>
      </w:r>
      <w:r w:rsidRPr="00473500">
        <w:rPr>
          <w:rFonts w:eastAsia="Malgun Gothic"/>
          <w:bCs/>
          <w:lang w:val="fr-FR"/>
        </w:rPr>
        <w:t xml:space="preserve">agissait de valeurs partagées à travers les générations et les aspects historiques de la transmission qui se manifestaient dans les valeurs de base du rhum léger. </w:t>
      </w:r>
      <w:r w:rsidR="0032205E">
        <w:rPr>
          <w:rFonts w:eastAsia="Malgun Gothic"/>
          <w:bCs/>
          <w:lang w:val="fr-FR"/>
        </w:rPr>
        <w:t>On ne pouvait pas comprendre l</w:t>
      </w:r>
      <w:r w:rsidR="00923E72">
        <w:rPr>
          <w:rFonts w:eastAsia="Malgun Gothic"/>
          <w:bCs/>
          <w:lang w:val="fr-FR"/>
        </w:rPr>
        <w:t>’</w:t>
      </w:r>
      <w:r w:rsidRPr="00473500">
        <w:rPr>
          <w:rFonts w:eastAsia="Malgun Gothic"/>
          <w:bCs/>
          <w:lang w:val="fr-FR"/>
        </w:rPr>
        <w:t xml:space="preserve">histoire de Cuba sans </w:t>
      </w:r>
      <w:r w:rsidR="0032205E">
        <w:rPr>
          <w:rFonts w:eastAsia="Malgun Gothic"/>
          <w:bCs/>
          <w:lang w:val="fr-FR"/>
        </w:rPr>
        <w:t xml:space="preserve">tenir compte de </w:t>
      </w:r>
      <w:r w:rsidRPr="00473500">
        <w:rPr>
          <w:rFonts w:eastAsia="Malgun Gothic"/>
          <w:bCs/>
          <w:lang w:val="fr-FR"/>
        </w:rPr>
        <w:t>ce type de transmission du savoir, la façon dont les maîtres développaient leur propre mode de transmission de leur savoir et de leur expertise. Cette fonction sociale était au cœur de la candidature et faisait partie intégrante de la société cubaine. En réponse aux deux questions sur la nature de l</w:t>
      </w:r>
      <w:r w:rsidR="00923E72">
        <w:rPr>
          <w:rFonts w:eastAsia="Malgun Gothic"/>
          <w:bCs/>
          <w:lang w:val="fr-FR"/>
        </w:rPr>
        <w:t>’</w:t>
      </w:r>
      <w:r w:rsidRPr="00473500">
        <w:rPr>
          <w:rFonts w:eastAsia="Malgun Gothic"/>
          <w:bCs/>
          <w:lang w:val="fr-FR"/>
        </w:rPr>
        <w:t>élément en ce qui concerne sa fonction sociale, la délégation a réaffirmé que la candidature concernait la sauvegarde de la transmission effective de l</w:t>
      </w:r>
      <w:r w:rsidR="00923E72">
        <w:rPr>
          <w:rFonts w:eastAsia="Malgun Gothic"/>
          <w:bCs/>
          <w:lang w:val="fr-FR"/>
        </w:rPr>
        <w:t>’</w:t>
      </w:r>
      <w:r w:rsidRPr="00473500">
        <w:rPr>
          <w:rFonts w:eastAsia="Malgun Gothic"/>
          <w:bCs/>
          <w:lang w:val="fr-FR"/>
        </w:rPr>
        <w:t xml:space="preserve">élément, </w:t>
      </w:r>
      <w:r w:rsidR="007834BD">
        <w:rPr>
          <w:rFonts w:eastAsia="Malgun Gothic"/>
          <w:bCs/>
          <w:lang w:val="fr-FR"/>
        </w:rPr>
        <w:t xml:space="preserve">ajoutant </w:t>
      </w:r>
      <w:r w:rsidRPr="00473500">
        <w:rPr>
          <w:rFonts w:eastAsia="Malgun Gothic"/>
          <w:bCs/>
          <w:lang w:val="fr-FR"/>
        </w:rPr>
        <w:t xml:space="preserve">que cette transmission orale ne </w:t>
      </w:r>
      <w:r w:rsidR="007834BD">
        <w:rPr>
          <w:rFonts w:eastAsia="Malgun Gothic"/>
          <w:bCs/>
          <w:lang w:val="fr-FR"/>
        </w:rPr>
        <w:t xml:space="preserve">se faisait </w:t>
      </w:r>
      <w:r w:rsidRPr="00473500">
        <w:rPr>
          <w:rFonts w:eastAsia="Malgun Gothic"/>
          <w:bCs/>
          <w:lang w:val="fr-FR"/>
        </w:rPr>
        <w:t>pas</w:t>
      </w:r>
      <w:r w:rsidR="0032205E">
        <w:rPr>
          <w:rFonts w:eastAsia="Malgun Gothic"/>
          <w:bCs/>
          <w:lang w:val="fr-FR"/>
        </w:rPr>
        <w:t>, par exemple,</w:t>
      </w:r>
      <w:r w:rsidRPr="00473500">
        <w:rPr>
          <w:rFonts w:eastAsia="Malgun Gothic"/>
          <w:bCs/>
          <w:lang w:val="fr-FR"/>
        </w:rPr>
        <w:t xml:space="preserve"> dans le cadre d</w:t>
      </w:r>
      <w:r w:rsidR="00923E72">
        <w:rPr>
          <w:rFonts w:eastAsia="Malgun Gothic"/>
          <w:bCs/>
          <w:lang w:val="fr-FR"/>
        </w:rPr>
        <w:t>’</w:t>
      </w:r>
      <w:r w:rsidRPr="00473500">
        <w:rPr>
          <w:rFonts w:eastAsia="Malgun Gothic"/>
          <w:bCs/>
          <w:lang w:val="fr-FR"/>
        </w:rPr>
        <w:t>un cours universitaire, mais au cœur de la communauté. Cette relation maître-apprenti était l</w:t>
      </w:r>
      <w:r w:rsidR="00923E72">
        <w:rPr>
          <w:rFonts w:eastAsia="Malgun Gothic"/>
          <w:bCs/>
          <w:lang w:val="fr-FR"/>
        </w:rPr>
        <w:t>’</w:t>
      </w:r>
      <w:r w:rsidRPr="00473500">
        <w:rPr>
          <w:rFonts w:eastAsia="Malgun Gothic"/>
          <w:bCs/>
          <w:lang w:val="fr-FR"/>
        </w:rPr>
        <w:t>espace de transmission de ce savoir. Les communautés dans lesquelles évoluaient les apprentis et les maîtres faisaient donc partie de la société. Ce n</w:t>
      </w:r>
      <w:r w:rsidR="00923E72">
        <w:rPr>
          <w:rFonts w:eastAsia="Malgun Gothic"/>
          <w:bCs/>
          <w:lang w:val="fr-FR"/>
        </w:rPr>
        <w:t>’</w:t>
      </w:r>
      <w:r w:rsidRPr="00473500">
        <w:rPr>
          <w:rFonts w:eastAsia="Malgun Gothic"/>
          <w:bCs/>
          <w:lang w:val="fr-FR"/>
        </w:rPr>
        <w:t>était pas quelque chose de séparé de la société. Cela faisait partie intégrante de la société cubaine dans les communautés où le rhum léger est produit et est étroitement lié à l</w:t>
      </w:r>
      <w:r w:rsidR="00923E72">
        <w:rPr>
          <w:rFonts w:eastAsia="Malgun Gothic"/>
          <w:bCs/>
          <w:lang w:val="fr-FR"/>
        </w:rPr>
        <w:t>’</w:t>
      </w:r>
      <w:r w:rsidRPr="00473500">
        <w:rPr>
          <w:rFonts w:eastAsia="Malgun Gothic"/>
          <w:bCs/>
          <w:lang w:val="fr-FR"/>
        </w:rPr>
        <w:t>histoire de la culture cubaine.</w:t>
      </w:r>
    </w:p>
    <w:p w14:paraId="4DAAA8D3" w14:textId="40C22B6D" w:rsidR="007834BD" w:rsidRDefault="007834B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834BD">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7834BD">
        <w:rPr>
          <w:rFonts w:eastAsia="Malgun Gothic"/>
          <w:bCs/>
          <w:lang w:val="fr-FR"/>
        </w:rPr>
        <w:t xml:space="preserve"> a fait </w:t>
      </w:r>
      <w:r>
        <w:rPr>
          <w:rFonts w:eastAsia="Malgun Gothic"/>
          <w:bCs/>
          <w:lang w:val="fr-FR"/>
        </w:rPr>
        <w:t xml:space="preserve">observer </w:t>
      </w:r>
      <w:r w:rsidRPr="007834BD">
        <w:rPr>
          <w:rFonts w:eastAsia="Malgun Gothic"/>
          <w:bCs/>
          <w:lang w:val="fr-FR"/>
        </w:rPr>
        <w:t>qu</w:t>
      </w:r>
      <w:r w:rsidR="00923E72">
        <w:rPr>
          <w:rFonts w:eastAsia="Malgun Gothic"/>
          <w:bCs/>
          <w:lang w:val="fr-FR"/>
        </w:rPr>
        <w:t>’</w:t>
      </w:r>
      <w:r w:rsidRPr="007834BD">
        <w:rPr>
          <w:rFonts w:eastAsia="Malgun Gothic"/>
          <w:bCs/>
          <w:lang w:val="fr-FR"/>
        </w:rPr>
        <w:t>il s</w:t>
      </w:r>
      <w:r w:rsidR="00923E72">
        <w:rPr>
          <w:rFonts w:eastAsia="Malgun Gothic"/>
          <w:bCs/>
          <w:lang w:val="fr-FR"/>
        </w:rPr>
        <w:t>’</w:t>
      </w:r>
      <w:r w:rsidRPr="007834BD">
        <w:rPr>
          <w:rFonts w:eastAsia="Malgun Gothic"/>
          <w:bCs/>
          <w:lang w:val="fr-FR"/>
        </w:rPr>
        <w:t>agissait de l</w:t>
      </w:r>
      <w:r w:rsidR="00923E72">
        <w:rPr>
          <w:rFonts w:eastAsia="Malgun Gothic"/>
          <w:bCs/>
          <w:lang w:val="fr-FR"/>
        </w:rPr>
        <w:t>’</w:t>
      </w:r>
      <w:r w:rsidRPr="007834BD">
        <w:rPr>
          <w:rFonts w:eastAsia="Malgun Gothic"/>
          <w:bCs/>
          <w:lang w:val="fr-FR"/>
        </w:rPr>
        <w:t xml:space="preserve">un des débats les plus importants </w:t>
      </w:r>
      <w:r>
        <w:rPr>
          <w:rFonts w:eastAsia="Malgun Gothic"/>
          <w:bCs/>
          <w:lang w:val="fr-FR"/>
        </w:rPr>
        <w:t xml:space="preserve">que cette </w:t>
      </w:r>
      <w:r w:rsidRPr="007834BD">
        <w:rPr>
          <w:rFonts w:eastAsia="Malgun Gothic"/>
          <w:bCs/>
          <w:lang w:val="fr-FR"/>
        </w:rPr>
        <w:t>Convention</w:t>
      </w:r>
      <w:r>
        <w:rPr>
          <w:rFonts w:eastAsia="Malgun Gothic"/>
          <w:bCs/>
          <w:lang w:val="fr-FR"/>
        </w:rPr>
        <w:t xml:space="preserve"> était appelée à ouvrir</w:t>
      </w:r>
      <w:r w:rsidRPr="007834BD">
        <w:rPr>
          <w:rFonts w:eastAsia="Malgun Gothic"/>
          <w:bCs/>
          <w:lang w:val="fr-FR"/>
        </w:rPr>
        <w:t>, un débat qui opposait les aspirations aux aspects techniques. La déclaration que Cuba venait de prononcer affirmait que cette candidature était étroitement liée à l</w:t>
      </w:r>
      <w:r w:rsidR="00923E72">
        <w:rPr>
          <w:rFonts w:eastAsia="Malgun Gothic"/>
          <w:bCs/>
          <w:lang w:val="fr-FR"/>
        </w:rPr>
        <w:t>’</w:t>
      </w:r>
      <w:r w:rsidRPr="007834BD">
        <w:rPr>
          <w:rFonts w:eastAsia="Malgun Gothic"/>
          <w:bCs/>
          <w:lang w:val="fr-FR"/>
        </w:rPr>
        <w:t>histoire de la culture cubaine et de son peuple, ce que la délégation a salué. Cuba avait fait valoir son point de vue et c</w:t>
      </w:r>
      <w:r w:rsidR="00923E72">
        <w:rPr>
          <w:rFonts w:eastAsia="Malgun Gothic"/>
          <w:bCs/>
          <w:lang w:val="fr-FR"/>
        </w:rPr>
        <w:t>’</w:t>
      </w:r>
      <w:r w:rsidRPr="007834BD">
        <w:rPr>
          <w:rFonts w:eastAsia="Malgun Gothic"/>
          <w:bCs/>
          <w:lang w:val="fr-FR"/>
        </w:rPr>
        <w:t xml:space="preserve">était désormais au Comité </w:t>
      </w:r>
      <w:r>
        <w:rPr>
          <w:rFonts w:eastAsia="Malgun Gothic"/>
          <w:bCs/>
          <w:lang w:val="fr-FR"/>
        </w:rPr>
        <w:t>qu</w:t>
      </w:r>
      <w:r w:rsidR="00923E72">
        <w:rPr>
          <w:rFonts w:eastAsia="Malgun Gothic"/>
          <w:bCs/>
          <w:lang w:val="fr-FR"/>
        </w:rPr>
        <w:t>’</w:t>
      </w:r>
      <w:r>
        <w:rPr>
          <w:rFonts w:eastAsia="Malgun Gothic"/>
          <w:bCs/>
          <w:lang w:val="fr-FR"/>
        </w:rPr>
        <w:t xml:space="preserve">il revenait </w:t>
      </w:r>
      <w:r w:rsidRPr="007834BD">
        <w:rPr>
          <w:rFonts w:eastAsia="Malgun Gothic"/>
          <w:bCs/>
          <w:lang w:val="fr-FR"/>
        </w:rPr>
        <w:t>de prendre une décision. La délégation a noté les aspirations d</w:t>
      </w:r>
      <w:r w:rsidR="00923E72">
        <w:rPr>
          <w:rFonts w:eastAsia="Malgun Gothic"/>
          <w:bCs/>
          <w:lang w:val="fr-FR"/>
        </w:rPr>
        <w:t>’</w:t>
      </w:r>
      <w:r w:rsidRPr="007834BD">
        <w:rPr>
          <w:rFonts w:eastAsia="Malgun Gothic"/>
          <w:bCs/>
          <w:lang w:val="fr-FR"/>
        </w:rPr>
        <w:t>un pays en développement avec un faible revenu par habitant</w:t>
      </w:r>
      <w:r w:rsidR="0047721C">
        <w:rPr>
          <w:rFonts w:eastAsia="Malgun Gothic"/>
          <w:bCs/>
          <w:lang w:val="fr-FR"/>
        </w:rPr>
        <w:t>,</w:t>
      </w:r>
      <w:r w:rsidRPr="007834BD">
        <w:rPr>
          <w:rFonts w:eastAsia="Malgun Gothic"/>
          <w:bCs/>
          <w:lang w:val="fr-FR"/>
        </w:rPr>
        <w:t xml:space="preserve"> qui tente d</w:t>
      </w:r>
      <w:r w:rsidR="00923E72">
        <w:rPr>
          <w:rFonts w:eastAsia="Malgun Gothic"/>
          <w:bCs/>
          <w:lang w:val="fr-FR"/>
        </w:rPr>
        <w:t>’</w:t>
      </w:r>
      <w:r w:rsidRPr="007834BD">
        <w:rPr>
          <w:rFonts w:eastAsia="Malgun Gothic"/>
          <w:bCs/>
          <w:lang w:val="fr-FR"/>
        </w:rPr>
        <w:t>établir son patrimoine culturel face aux technicités du monde moderne d</w:t>
      </w:r>
      <w:r w:rsidR="00923E72">
        <w:rPr>
          <w:rFonts w:eastAsia="Malgun Gothic"/>
          <w:bCs/>
          <w:lang w:val="fr-FR"/>
        </w:rPr>
        <w:t>’</w:t>
      </w:r>
      <w:r w:rsidRPr="007834BD">
        <w:rPr>
          <w:rFonts w:eastAsia="Malgun Gothic"/>
          <w:bCs/>
          <w:lang w:val="fr-FR"/>
        </w:rPr>
        <w:t>aujourd</w:t>
      </w:r>
      <w:r w:rsidR="00923E72">
        <w:rPr>
          <w:rFonts w:eastAsia="Malgun Gothic"/>
          <w:bCs/>
          <w:lang w:val="fr-FR"/>
        </w:rPr>
        <w:t>’</w:t>
      </w:r>
      <w:r w:rsidRPr="007834BD">
        <w:rPr>
          <w:rFonts w:eastAsia="Malgun Gothic"/>
          <w:bCs/>
          <w:lang w:val="fr-FR"/>
        </w:rPr>
        <w:t xml:space="preserve">hui. Le Comité se trouvait à un moment charnière. </w:t>
      </w:r>
      <w:r w:rsidR="00857932">
        <w:rPr>
          <w:rFonts w:eastAsia="Malgun Gothic"/>
          <w:bCs/>
          <w:lang w:val="fr-FR"/>
        </w:rPr>
        <w:t xml:space="preserve">Suite à </w:t>
      </w:r>
      <w:r w:rsidRPr="007834BD">
        <w:rPr>
          <w:rFonts w:eastAsia="Malgun Gothic"/>
          <w:bCs/>
          <w:lang w:val="fr-FR"/>
        </w:rPr>
        <w:t>l</w:t>
      </w:r>
      <w:r w:rsidR="00923E72">
        <w:rPr>
          <w:rFonts w:eastAsia="Malgun Gothic"/>
          <w:bCs/>
          <w:lang w:val="fr-FR"/>
        </w:rPr>
        <w:t>’</w:t>
      </w:r>
      <w:r w:rsidRPr="007834BD">
        <w:rPr>
          <w:rFonts w:eastAsia="Malgun Gothic"/>
          <w:bCs/>
          <w:lang w:val="fr-FR"/>
        </w:rPr>
        <w:t>explication du Président de l</w:t>
      </w:r>
      <w:r w:rsidR="00923E72">
        <w:rPr>
          <w:rFonts w:eastAsia="Malgun Gothic"/>
          <w:bCs/>
          <w:lang w:val="fr-FR"/>
        </w:rPr>
        <w:t>’</w:t>
      </w:r>
      <w:r w:rsidRPr="007834BD">
        <w:rPr>
          <w:rFonts w:eastAsia="Malgun Gothic"/>
          <w:bCs/>
          <w:lang w:val="fr-FR"/>
        </w:rPr>
        <w:t>Organe d</w:t>
      </w:r>
      <w:r w:rsidR="00923E72">
        <w:rPr>
          <w:rFonts w:eastAsia="Malgun Gothic"/>
          <w:bCs/>
          <w:lang w:val="fr-FR"/>
        </w:rPr>
        <w:t>’</w:t>
      </w:r>
      <w:r w:rsidRPr="007834BD">
        <w:rPr>
          <w:rFonts w:eastAsia="Malgun Gothic"/>
          <w:bCs/>
          <w:lang w:val="fr-FR"/>
        </w:rPr>
        <w:t>évaluation sur la question du critère</w:t>
      </w:r>
      <w:r w:rsidR="00327449">
        <w:rPr>
          <w:rFonts w:eastAsia="Malgun Gothic"/>
          <w:bCs/>
          <w:lang w:val="fr-FR"/>
        </w:rPr>
        <w:t> </w:t>
      </w:r>
      <w:r w:rsidRPr="007834BD">
        <w:rPr>
          <w:rFonts w:eastAsia="Malgun Gothic"/>
          <w:bCs/>
          <w:lang w:val="fr-FR"/>
        </w:rPr>
        <w:t xml:space="preserve">R.2, il a été </w:t>
      </w:r>
      <w:r w:rsidR="00857932">
        <w:rPr>
          <w:rFonts w:eastAsia="Malgun Gothic"/>
          <w:bCs/>
          <w:lang w:val="fr-FR"/>
        </w:rPr>
        <w:t xml:space="preserve">rappelé </w:t>
      </w:r>
      <w:r w:rsidRPr="007834BD">
        <w:rPr>
          <w:rFonts w:eastAsia="Malgun Gothic"/>
          <w:bCs/>
          <w:lang w:val="fr-FR"/>
        </w:rPr>
        <w:t>(et c</w:t>
      </w:r>
      <w:r w:rsidR="00923E72">
        <w:rPr>
          <w:rFonts w:eastAsia="Malgun Gothic"/>
          <w:bCs/>
          <w:lang w:val="fr-FR"/>
        </w:rPr>
        <w:t>’</w:t>
      </w:r>
      <w:r w:rsidRPr="007834BD">
        <w:rPr>
          <w:rFonts w:eastAsia="Malgun Gothic"/>
          <w:bCs/>
          <w:lang w:val="fr-FR"/>
        </w:rPr>
        <w:t>était injuste pour cette candidature en particulier) que</w:t>
      </w:r>
      <w:r w:rsidR="00857932">
        <w:rPr>
          <w:rFonts w:eastAsia="Malgun Gothic"/>
          <w:bCs/>
          <w:lang w:val="fr-FR"/>
        </w:rPr>
        <w:t>, dans le passé,</w:t>
      </w:r>
      <w:r w:rsidRPr="007834BD">
        <w:rPr>
          <w:rFonts w:eastAsia="Malgun Gothic"/>
          <w:bCs/>
          <w:lang w:val="fr-FR"/>
        </w:rPr>
        <w:t xml:space="preserve"> de multiples candidatures</w:t>
      </w:r>
      <w:r w:rsidR="00857932">
        <w:rPr>
          <w:rFonts w:eastAsia="Malgun Gothic"/>
          <w:bCs/>
          <w:lang w:val="fr-FR"/>
        </w:rPr>
        <w:t xml:space="preserve"> </w:t>
      </w:r>
      <w:r w:rsidRPr="007834BD">
        <w:rPr>
          <w:rFonts w:eastAsia="Malgun Gothic"/>
          <w:bCs/>
          <w:lang w:val="fr-FR"/>
        </w:rPr>
        <w:t>avaient</w:t>
      </w:r>
      <w:r w:rsidR="00857932">
        <w:rPr>
          <w:rFonts w:eastAsia="Malgun Gothic"/>
          <w:bCs/>
          <w:lang w:val="fr-FR"/>
        </w:rPr>
        <w:t xml:space="preserve"> dû faire face </w:t>
      </w:r>
      <w:r w:rsidRPr="007834BD">
        <w:rPr>
          <w:rFonts w:eastAsia="Malgun Gothic"/>
          <w:bCs/>
          <w:lang w:val="fr-FR"/>
        </w:rPr>
        <w:t>à des difficultés récurrentes avec le critère</w:t>
      </w:r>
      <w:r w:rsidR="00327449">
        <w:rPr>
          <w:rFonts w:eastAsia="Malgun Gothic"/>
          <w:bCs/>
          <w:lang w:val="fr-FR"/>
        </w:rPr>
        <w:t> </w:t>
      </w:r>
      <w:r w:rsidRPr="007834BD">
        <w:rPr>
          <w:rFonts w:eastAsia="Malgun Gothic"/>
          <w:bCs/>
          <w:lang w:val="fr-FR"/>
        </w:rPr>
        <w:t xml:space="preserve">R.2. Il a également été </w:t>
      </w:r>
      <w:r w:rsidR="00857932">
        <w:rPr>
          <w:rFonts w:eastAsia="Malgun Gothic"/>
          <w:bCs/>
          <w:lang w:val="fr-FR"/>
        </w:rPr>
        <w:t xml:space="preserve">rappelé </w:t>
      </w:r>
      <w:r w:rsidRPr="007834BD">
        <w:rPr>
          <w:rFonts w:eastAsia="Malgun Gothic"/>
          <w:bCs/>
          <w:lang w:val="fr-FR"/>
        </w:rPr>
        <w:t>que l</w:t>
      </w:r>
      <w:r w:rsidR="00923E72">
        <w:rPr>
          <w:rFonts w:eastAsia="Malgun Gothic"/>
          <w:bCs/>
          <w:lang w:val="fr-FR"/>
        </w:rPr>
        <w:t>’</w:t>
      </w:r>
      <w:r w:rsidRPr="007834BD">
        <w:rPr>
          <w:rFonts w:eastAsia="Malgun Gothic"/>
          <w:bCs/>
          <w:lang w:val="fr-FR"/>
        </w:rPr>
        <w:t>Organe d</w:t>
      </w:r>
      <w:r w:rsidR="00923E72">
        <w:rPr>
          <w:rFonts w:eastAsia="Malgun Gothic"/>
          <w:bCs/>
          <w:lang w:val="fr-FR"/>
        </w:rPr>
        <w:t>’</w:t>
      </w:r>
      <w:r w:rsidRPr="007834BD">
        <w:rPr>
          <w:rFonts w:eastAsia="Malgun Gothic"/>
          <w:bCs/>
          <w:lang w:val="fr-FR"/>
        </w:rPr>
        <w:t>évaluation n</w:t>
      </w:r>
      <w:r w:rsidR="00923E72">
        <w:rPr>
          <w:rFonts w:eastAsia="Malgun Gothic"/>
          <w:bCs/>
          <w:lang w:val="fr-FR"/>
        </w:rPr>
        <w:t>’</w:t>
      </w:r>
      <w:r w:rsidRPr="007834BD">
        <w:rPr>
          <w:rFonts w:eastAsia="Malgun Gothic"/>
          <w:bCs/>
          <w:lang w:val="fr-FR"/>
        </w:rPr>
        <w:t>avait pas renvoyé ou rejeté de dossier uniquement sur la base de ce critère. En outre, l</w:t>
      </w:r>
      <w:r w:rsidR="00923E72">
        <w:rPr>
          <w:rFonts w:eastAsia="Malgun Gothic"/>
          <w:bCs/>
          <w:lang w:val="fr-FR"/>
        </w:rPr>
        <w:t>’</w:t>
      </w:r>
      <w:r w:rsidRPr="007834BD">
        <w:rPr>
          <w:rFonts w:eastAsia="Malgun Gothic"/>
          <w:bCs/>
          <w:lang w:val="fr-FR"/>
        </w:rPr>
        <w:t>Organe avait pris note des discussions relatives à la réflexion globale sur les mécanismes d</w:t>
      </w:r>
      <w:r w:rsidR="00923E72">
        <w:rPr>
          <w:rFonts w:eastAsia="Malgun Gothic"/>
          <w:bCs/>
          <w:lang w:val="fr-FR"/>
        </w:rPr>
        <w:t>’</w:t>
      </w:r>
      <w:r w:rsidRPr="007834BD">
        <w:rPr>
          <w:rFonts w:eastAsia="Malgun Gothic"/>
          <w:bCs/>
          <w:lang w:val="fr-FR"/>
        </w:rPr>
        <w:t>inscription. Selon les informations présentées par Cuba dans le dossier de candidature, le savoir-faire des maîtres du rhum léger contribuerait à assurer sa préservation et la reconnaissance de la valeur du patrimoine culturel immatériel associé à la transmission orale de ce savoir traditionnel. Les valeurs historiques, culturelles et symboliques qu</w:t>
      </w:r>
      <w:r w:rsidR="00923E72">
        <w:rPr>
          <w:rFonts w:eastAsia="Malgun Gothic"/>
          <w:bCs/>
          <w:lang w:val="fr-FR"/>
        </w:rPr>
        <w:t>’</w:t>
      </w:r>
      <w:r w:rsidRPr="007834BD">
        <w:rPr>
          <w:rFonts w:eastAsia="Malgun Gothic"/>
          <w:bCs/>
          <w:lang w:val="fr-FR"/>
        </w:rPr>
        <w:t>il représente pour les communautés s</w:t>
      </w:r>
      <w:r w:rsidR="00923E72">
        <w:rPr>
          <w:rFonts w:eastAsia="Malgun Gothic"/>
          <w:bCs/>
          <w:lang w:val="fr-FR"/>
        </w:rPr>
        <w:t>’</w:t>
      </w:r>
      <w:r w:rsidRPr="007834BD">
        <w:rPr>
          <w:rFonts w:eastAsia="Malgun Gothic"/>
          <w:bCs/>
          <w:lang w:val="fr-FR"/>
        </w:rPr>
        <w:t>inscrivaient dans les valeurs d</w:t>
      </w:r>
      <w:r w:rsidR="00923E72">
        <w:rPr>
          <w:rFonts w:eastAsia="Malgun Gothic"/>
          <w:bCs/>
          <w:lang w:val="fr-FR"/>
        </w:rPr>
        <w:t>’</w:t>
      </w:r>
      <w:r w:rsidRPr="007834BD">
        <w:rPr>
          <w:rFonts w:eastAsia="Malgun Gothic"/>
          <w:bCs/>
          <w:lang w:val="fr-FR"/>
        </w:rPr>
        <w:t>harmonie avec l</w:t>
      </w:r>
      <w:r w:rsidR="00923E72">
        <w:rPr>
          <w:rFonts w:eastAsia="Malgun Gothic"/>
          <w:bCs/>
          <w:lang w:val="fr-FR"/>
        </w:rPr>
        <w:t>’</w:t>
      </w:r>
      <w:r w:rsidRPr="007834BD">
        <w:rPr>
          <w:rFonts w:eastAsia="Malgun Gothic"/>
          <w:bCs/>
          <w:lang w:val="fr-FR"/>
        </w:rPr>
        <w:t>environnement, d</w:t>
      </w:r>
      <w:r w:rsidR="00923E72">
        <w:rPr>
          <w:rFonts w:eastAsia="Malgun Gothic"/>
          <w:bCs/>
          <w:lang w:val="fr-FR"/>
        </w:rPr>
        <w:t>’</w:t>
      </w:r>
      <w:r w:rsidRPr="007834BD">
        <w:rPr>
          <w:rFonts w:eastAsia="Malgun Gothic"/>
          <w:bCs/>
          <w:lang w:val="fr-FR"/>
        </w:rPr>
        <w:t>éco-culture et de développement durable. Outre ces informations, la délégation a demandé à Cuba de développer d</w:t>
      </w:r>
      <w:r w:rsidR="00923E72">
        <w:rPr>
          <w:rFonts w:eastAsia="Malgun Gothic"/>
          <w:bCs/>
          <w:lang w:val="fr-FR"/>
        </w:rPr>
        <w:t>’</w:t>
      </w:r>
      <w:r w:rsidRPr="007834BD">
        <w:rPr>
          <w:rFonts w:eastAsia="Malgun Gothic"/>
          <w:bCs/>
          <w:lang w:val="fr-FR"/>
        </w:rPr>
        <w:t>autres aspects sur la manière dont l</w:t>
      </w:r>
      <w:r w:rsidR="00923E72">
        <w:rPr>
          <w:rFonts w:eastAsia="Malgun Gothic"/>
          <w:bCs/>
          <w:lang w:val="fr-FR"/>
        </w:rPr>
        <w:t>’</w:t>
      </w:r>
      <w:r w:rsidRPr="007834BD">
        <w:rPr>
          <w:rFonts w:eastAsia="Malgun Gothic"/>
          <w:bCs/>
          <w:lang w:val="fr-FR"/>
        </w:rPr>
        <w:t>inscription de cet élément pourrait contribuer aux objectifs de cette Convention.</w:t>
      </w:r>
    </w:p>
    <w:p w14:paraId="67D89366" w14:textId="5996C5EB" w:rsidR="00857932" w:rsidRDefault="0044787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4787B">
        <w:rPr>
          <w:rFonts w:eastAsia="Malgun Gothic"/>
          <w:bCs/>
          <w:lang w:val="fr-FR"/>
        </w:rPr>
        <w:t xml:space="preserve">La délégation de </w:t>
      </w:r>
      <w:r w:rsidRPr="00702497">
        <w:rPr>
          <w:rFonts w:eastAsia="Malgun Gothic"/>
          <w:b/>
          <w:lang w:val="fr-FR"/>
        </w:rPr>
        <w:t>Cuba</w:t>
      </w:r>
      <w:r w:rsidRPr="0044787B">
        <w:rPr>
          <w:rFonts w:eastAsia="Malgun Gothic"/>
          <w:bCs/>
          <w:lang w:val="fr-FR"/>
        </w:rPr>
        <w:t xml:space="preserve"> a remercié l</w:t>
      </w:r>
      <w:r w:rsidR="00923E72">
        <w:rPr>
          <w:rFonts w:eastAsia="Malgun Gothic"/>
          <w:bCs/>
          <w:lang w:val="fr-FR"/>
        </w:rPr>
        <w:t>’</w:t>
      </w:r>
      <w:r w:rsidRPr="0044787B">
        <w:rPr>
          <w:rFonts w:eastAsia="Malgun Gothic"/>
          <w:bCs/>
          <w:lang w:val="fr-FR"/>
        </w:rPr>
        <w:t>Inde pour les paroles aimables adressées à Cuba et à son peuple, et pour avoir mis l</w:t>
      </w:r>
      <w:r w:rsidR="00923E72">
        <w:rPr>
          <w:rFonts w:eastAsia="Malgun Gothic"/>
          <w:bCs/>
          <w:lang w:val="fr-FR"/>
        </w:rPr>
        <w:t>’</w:t>
      </w:r>
      <w:r w:rsidRPr="0044787B">
        <w:rPr>
          <w:rFonts w:eastAsia="Malgun Gothic"/>
          <w:bCs/>
          <w:lang w:val="fr-FR"/>
        </w:rPr>
        <w:t xml:space="preserve">accent sur un aspect très important de la façon dont les communautés perçoivent leur patrimoine culturel et dont </w:t>
      </w:r>
      <w:r w:rsidR="00264353">
        <w:rPr>
          <w:rFonts w:eastAsia="Malgun Gothic"/>
          <w:bCs/>
          <w:lang w:val="fr-FR"/>
        </w:rPr>
        <w:t xml:space="preserve">cela </w:t>
      </w:r>
      <w:r w:rsidRPr="0044787B">
        <w:rPr>
          <w:rFonts w:eastAsia="Malgun Gothic"/>
          <w:bCs/>
          <w:lang w:val="fr-FR"/>
        </w:rPr>
        <w:t>pourrait accroître la visibilité du patrimoine culturel immatériel en général. La plus grande contribution serait la reconnaissance par l</w:t>
      </w:r>
      <w:r w:rsidR="00923E72">
        <w:rPr>
          <w:rFonts w:eastAsia="Malgun Gothic"/>
          <w:bCs/>
          <w:lang w:val="fr-FR"/>
        </w:rPr>
        <w:t>’</w:t>
      </w:r>
      <w:r w:rsidRPr="0044787B">
        <w:rPr>
          <w:rFonts w:eastAsia="Malgun Gothic"/>
          <w:bCs/>
          <w:lang w:val="fr-FR"/>
        </w:rPr>
        <w:t>UNESCO d</w:t>
      </w:r>
      <w:r w:rsidR="00923E72">
        <w:rPr>
          <w:rFonts w:eastAsia="Malgun Gothic"/>
          <w:bCs/>
          <w:lang w:val="fr-FR"/>
        </w:rPr>
        <w:t>’</w:t>
      </w:r>
      <w:r w:rsidRPr="0044787B">
        <w:rPr>
          <w:rFonts w:eastAsia="Malgun Gothic"/>
          <w:bCs/>
          <w:lang w:val="fr-FR"/>
        </w:rPr>
        <w:t>une tradition centenaire qui favorise les connaissances traditionnelles, scientifiques et sensorielles et leur transmission. Il a été rappelé que cet élément n</w:t>
      </w:r>
      <w:r w:rsidR="00923E72">
        <w:rPr>
          <w:rFonts w:eastAsia="Malgun Gothic"/>
          <w:bCs/>
          <w:lang w:val="fr-FR"/>
        </w:rPr>
        <w:t>’</w:t>
      </w:r>
      <w:r w:rsidRPr="0044787B">
        <w:rPr>
          <w:rFonts w:eastAsia="Malgun Gothic"/>
          <w:bCs/>
          <w:lang w:val="fr-FR"/>
        </w:rPr>
        <w:t>avait pas été supplanté par la technologie moderne et qu</w:t>
      </w:r>
      <w:r w:rsidR="00923E72">
        <w:rPr>
          <w:rFonts w:eastAsia="Malgun Gothic"/>
          <w:bCs/>
          <w:lang w:val="fr-FR"/>
        </w:rPr>
        <w:t>’</w:t>
      </w:r>
      <w:r w:rsidRPr="0044787B">
        <w:rPr>
          <w:rFonts w:eastAsia="Malgun Gothic"/>
          <w:bCs/>
          <w:lang w:val="fr-FR"/>
        </w:rPr>
        <w:t>il était solide malgré les politiques de blocus et les adversités auxquelles il avait été confronté. Il s</w:t>
      </w:r>
      <w:r w:rsidR="00923E72">
        <w:rPr>
          <w:rFonts w:eastAsia="Malgun Gothic"/>
          <w:bCs/>
          <w:lang w:val="fr-FR"/>
        </w:rPr>
        <w:t>’</w:t>
      </w:r>
      <w:r w:rsidRPr="0044787B">
        <w:rPr>
          <w:rFonts w:eastAsia="Malgun Gothic"/>
          <w:bCs/>
          <w:lang w:val="fr-FR"/>
        </w:rPr>
        <w:t>agissait d</w:t>
      </w:r>
      <w:r w:rsidR="00923E72">
        <w:rPr>
          <w:rFonts w:eastAsia="Malgun Gothic"/>
          <w:bCs/>
          <w:lang w:val="fr-FR"/>
        </w:rPr>
        <w:t>’</w:t>
      </w:r>
      <w:r w:rsidRPr="0044787B">
        <w:rPr>
          <w:rFonts w:eastAsia="Malgun Gothic"/>
          <w:bCs/>
          <w:lang w:val="fr-FR"/>
        </w:rPr>
        <w:t>une tradition de longue date</w:t>
      </w:r>
      <w:r w:rsidR="00A27BC3">
        <w:rPr>
          <w:rFonts w:eastAsia="Malgun Gothic"/>
          <w:bCs/>
          <w:lang w:val="fr-FR"/>
        </w:rPr>
        <w:t>,</w:t>
      </w:r>
      <w:r w:rsidRPr="0044787B">
        <w:rPr>
          <w:rFonts w:eastAsia="Malgun Gothic"/>
          <w:bCs/>
          <w:lang w:val="fr-FR"/>
        </w:rPr>
        <w:t xml:space="preserve"> </w:t>
      </w:r>
      <w:r w:rsidR="00A27BC3">
        <w:rPr>
          <w:rFonts w:eastAsia="Malgun Gothic"/>
          <w:bCs/>
          <w:lang w:val="fr-FR"/>
        </w:rPr>
        <w:t xml:space="preserve">riche </w:t>
      </w:r>
      <w:r w:rsidRPr="0044787B">
        <w:rPr>
          <w:rFonts w:eastAsia="Malgun Gothic"/>
          <w:bCs/>
          <w:lang w:val="fr-FR"/>
        </w:rPr>
        <w:t>de connaissances ancestrales, qui avai</w:t>
      </w:r>
      <w:r w:rsidR="00A27BC3">
        <w:rPr>
          <w:rFonts w:eastAsia="Malgun Gothic"/>
          <w:bCs/>
          <w:lang w:val="fr-FR"/>
        </w:rPr>
        <w:t>t</w:t>
      </w:r>
      <w:r w:rsidRPr="0044787B">
        <w:rPr>
          <w:rFonts w:eastAsia="Malgun Gothic"/>
          <w:bCs/>
          <w:lang w:val="fr-FR"/>
        </w:rPr>
        <w:t xml:space="preserve"> vu le jour avec l</w:t>
      </w:r>
      <w:r w:rsidR="00923E72">
        <w:rPr>
          <w:rFonts w:eastAsia="Malgun Gothic"/>
          <w:bCs/>
          <w:lang w:val="fr-FR"/>
        </w:rPr>
        <w:t>’</w:t>
      </w:r>
      <w:r w:rsidRPr="0044787B">
        <w:rPr>
          <w:rFonts w:eastAsia="Malgun Gothic"/>
          <w:bCs/>
          <w:lang w:val="fr-FR"/>
        </w:rPr>
        <w:t>arrivée de l</w:t>
      </w:r>
      <w:r w:rsidR="00923E72">
        <w:rPr>
          <w:rFonts w:eastAsia="Malgun Gothic"/>
          <w:bCs/>
          <w:lang w:val="fr-FR"/>
        </w:rPr>
        <w:t>’</w:t>
      </w:r>
      <w:r w:rsidRPr="0044787B">
        <w:rPr>
          <w:rFonts w:eastAsia="Malgun Gothic"/>
          <w:bCs/>
          <w:lang w:val="fr-FR"/>
        </w:rPr>
        <w:t xml:space="preserve">industrie de la canne à sucre à Cuba à partir de 1872 et le début de la production et de la distillation du rhum. Cet élément permettrait également de sensibiliser à cet aspect. </w:t>
      </w:r>
      <w:r w:rsidRPr="0044787B">
        <w:rPr>
          <w:rFonts w:eastAsia="Malgun Gothic"/>
          <w:bCs/>
          <w:lang w:val="fr-FR"/>
        </w:rPr>
        <w:lastRenderedPageBreak/>
        <w:t>Le dossier de candidature décrivait clairement le lien entre</w:t>
      </w:r>
      <w:r w:rsidR="00A27BC3">
        <w:rPr>
          <w:rFonts w:eastAsia="Malgun Gothic"/>
          <w:bCs/>
          <w:lang w:val="fr-FR"/>
        </w:rPr>
        <w:t>, d</w:t>
      </w:r>
      <w:r w:rsidR="00923E72">
        <w:rPr>
          <w:rFonts w:eastAsia="Malgun Gothic"/>
          <w:bCs/>
          <w:lang w:val="fr-FR"/>
        </w:rPr>
        <w:t>’</w:t>
      </w:r>
      <w:r w:rsidR="00A27BC3">
        <w:rPr>
          <w:rFonts w:eastAsia="Malgun Gothic"/>
          <w:bCs/>
          <w:lang w:val="fr-FR"/>
        </w:rPr>
        <w:t>une part,</w:t>
      </w:r>
      <w:r w:rsidRPr="0044787B">
        <w:rPr>
          <w:rFonts w:eastAsia="Malgun Gothic"/>
          <w:bCs/>
          <w:lang w:val="fr-FR"/>
        </w:rPr>
        <w:t xml:space="preserve"> le patrimoine culturel immatériel, sa relation avec la nature, son histoire industrielle</w:t>
      </w:r>
      <w:r w:rsidR="00A27BC3">
        <w:rPr>
          <w:rFonts w:eastAsia="Malgun Gothic"/>
          <w:bCs/>
          <w:lang w:val="fr-FR"/>
        </w:rPr>
        <w:t>,</w:t>
      </w:r>
      <w:r w:rsidRPr="0044787B">
        <w:rPr>
          <w:rFonts w:eastAsia="Malgun Gothic"/>
          <w:bCs/>
          <w:lang w:val="fr-FR"/>
        </w:rPr>
        <w:t xml:space="preserve"> et</w:t>
      </w:r>
      <w:r w:rsidR="00A27BC3">
        <w:rPr>
          <w:rFonts w:eastAsia="Malgun Gothic"/>
          <w:bCs/>
          <w:lang w:val="fr-FR"/>
        </w:rPr>
        <w:t>, d</w:t>
      </w:r>
      <w:r w:rsidR="00923E72">
        <w:rPr>
          <w:rFonts w:eastAsia="Malgun Gothic"/>
          <w:bCs/>
          <w:lang w:val="fr-FR"/>
        </w:rPr>
        <w:t>’</w:t>
      </w:r>
      <w:r w:rsidR="00A27BC3">
        <w:rPr>
          <w:rFonts w:eastAsia="Malgun Gothic"/>
          <w:bCs/>
          <w:lang w:val="fr-FR"/>
        </w:rPr>
        <w:t>autre part,</w:t>
      </w:r>
      <w:r w:rsidRPr="0044787B">
        <w:rPr>
          <w:rFonts w:eastAsia="Malgun Gothic"/>
          <w:bCs/>
          <w:lang w:val="fr-FR"/>
        </w:rPr>
        <w:t xml:space="preserve"> le patrimoine culturel matériel. De nombreux espaces de fabrication étaient en fait des localités qui, au fil du temps, étaient devenues des monuments nationaux. Cela permettrait une approche plus intégrée de ces aspects industriels et patrimoniaux. Cela favoriserait une plus grande synergie entre cette Convention et d</w:t>
      </w:r>
      <w:r w:rsidR="00923E72">
        <w:rPr>
          <w:rFonts w:eastAsia="Malgun Gothic"/>
          <w:bCs/>
          <w:lang w:val="fr-FR"/>
        </w:rPr>
        <w:t>’</w:t>
      </w:r>
      <w:r w:rsidRPr="0044787B">
        <w:rPr>
          <w:rFonts w:eastAsia="Malgun Gothic"/>
          <w:bCs/>
          <w:lang w:val="fr-FR"/>
        </w:rPr>
        <w:t>autres conventions de l</w:t>
      </w:r>
      <w:r w:rsidR="00923E72">
        <w:rPr>
          <w:rFonts w:eastAsia="Malgun Gothic"/>
          <w:bCs/>
          <w:lang w:val="fr-FR"/>
        </w:rPr>
        <w:t>’</w:t>
      </w:r>
      <w:r w:rsidRPr="0044787B">
        <w:rPr>
          <w:rFonts w:eastAsia="Malgun Gothic"/>
          <w:bCs/>
          <w:lang w:val="fr-FR"/>
        </w:rPr>
        <w:t>UNESCO en matière de culture. Grâce à cette transmission intergénérationnelle, les aspects culturels de cette agro-industrie deviendraient en fait plus visibles, au-delà du produit lui-même. Les détenteurs n</w:t>
      </w:r>
      <w:r w:rsidR="00923E72">
        <w:rPr>
          <w:rFonts w:eastAsia="Malgun Gothic"/>
          <w:bCs/>
          <w:lang w:val="fr-FR"/>
        </w:rPr>
        <w:t>’</w:t>
      </w:r>
      <w:r w:rsidRPr="0044787B">
        <w:rPr>
          <w:rFonts w:eastAsia="Malgun Gothic"/>
          <w:bCs/>
          <w:lang w:val="fr-FR"/>
        </w:rPr>
        <w:t>étaient pas seulement des détenteurs de connaissances, ils représentaient également la culture cubaine. En effet, le rhum était la saveur liquide de Cuba et faisait partie intégrante de cette transmission. La délégation estimait également que cette candidature favoriserait l</w:t>
      </w:r>
      <w:r w:rsidR="00923E72">
        <w:rPr>
          <w:rFonts w:eastAsia="Malgun Gothic"/>
          <w:bCs/>
          <w:lang w:val="fr-FR"/>
        </w:rPr>
        <w:t>’</w:t>
      </w:r>
      <w:r w:rsidRPr="0044787B">
        <w:rPr>
          <w:rFonts w:eastAsia="Malgun Gothic"/>
          <w:bCs/>
          <w:lang w:val="fr-FR"/>
        </w:rPr>
        <w:t>interaction entre les différentes communautés qui composent la société cubaine, une transculturation avec la transmission favorisant le dialogue et la créativité humaine. C</w:t>
      </w:r>
      <w:r w:rsidR="00923E72">
        <w:rPr>
          <w:rFonts w:eastAsia="Malgun Gothic"/>
          <w:bCs/>
          <w:lang w:val="fr-FR"/>
        </w:rPr>
        <w:t>’</w:t>
      </w:r>
      <w:r w:rsidRPr="0044787B">
        <w:rPr>
          <w:rFonts w:eastAsia="Malgun Gothic"/>
          <w:bCs/>
          <w:lang w:val="fr-FR"/>
        </w:rPr>
        <w:t>était un élément qui favorise également le dialogue et la cohésion entre les générations. La page</w:t>
      </w:r>
      <w:r w:rsidR="00A27BC3">
        <w:rPr>
          <w:rFonts w:eastAsia="Malgun Gothic"/>
          <w:bCs/>
          <w:lang w:val="fr-FR"/>
        </w:rPr>
        <w:t> </w:t>
      </w:r>
      <w:r w:rsidRPr="0044787B">
        <w:rPr>
          <w:rFonts w:eastAsia="Malgun Gothic"/>
          <w:bCs/>
          <w:lang w:val="fr-FR"/>
        </w:rPr>
        <w:t xml:space="preserve">6 de la candidature exposait clairement </w:t>
      </w:r>
      <w:r w:rsidR="00264353">
        <w:rPr>
          <w:rFonts w:eastAsia="Malgun Gothic"/>
          <w:bCs/>
          <w:lang w:val="fr-FR"/>
        </w:rPr>
        <w:t xml:space="preserve">comment </w:t>
      </w:r>
      <w:r w:rsidRPr="0044787B">
        <w:rPr>
          <w:rFonts w:eastAsia="Malgun Gothic"/>
          <w:bCs/>
          <w:lang w:val="fr-FR"/>
        </w:rPr>
        <w:t>l</w:t>
      </w:r>
      <w:r w:rsidR="00923E72">
        <w:rPr>
          <w:rFonts w:eastAsia="Malgun Gothic"/>
          <w:bCs/>
          <w:lang w:val="fr-FR"/>
        </w:rPr>
        <w:t>’</w:t>
      </w:r>
      <w:r w:rsidRPr="0044787B">
        <w:rPr>
          <w:rFonts w:eastAsia="Malgun Gothic"/>
          <w:bCs/>
          <w:lang w:val="fr-FR"/>
        </w:rPr>
        <w:t>inscription de cet élément permettrait de sensibiliser, par sa transmission orale et intergénérationnelle, non seulement à la production du rhum léger, mais également au fait qu</w:t>
      </w:r>
      <w:r w:rsidR="00923E72">
        <w:rPr>
          <w:rFonts w:eastAsia="Malgun Gothic"/>
          <w:bCs/>
          <w:lang w:val="fr-FR"/>
        </w:rPr>
        <w:t>’</w:t>
      </w:r>
      <w:r w:rsidRPr="0044787B">
        <w:rPr>
          <w:rFonts w:eastAsia="Malgun Gothic"/>
          <w:bCs/>
          <w:lang w:val="fr-FR"/>
        </w:rPr>
        <w:t>il fait partie intégrante de l</w:t>
      </w:r>
      <w:r w:rsidR="00923E72">
        <w:rPr>
          <w:rFonts w:eastAsia="Malgun Gothic"/>
          <w:bCs/>
          <w:lang w:val="fr-FR"/>
        </w:rPr>
        <w:t>’</w:t>
      </w:r>
      <w:r w:rsidRPr="0044787B">
        <w:rPr>
          <w:rFonts w:eastAsia="Malgun Gothic"/>
          <w:bCs/>
          <w:lang w:val="fr-FR"/>
        </w:rPr>
        <w:t>histoire et de la culture cubaines.</w:t>
      </w:r>
    </w:p>
    <w:p w14:paraId="23926C78" w14:textId="58B25E8C" w:rsidR="00A27BC3" w:rsidRDefault="00A27BC3"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27BC3">
        <w:rPr>
          <w:rFonts w:eastAsia="Malgun Gothic"/>
          <w:bCs/>
          <w:lang w:val="fr-FR"/>
        </w:rPr>
        <w:t>La délégation de l</w:t>
      </w:r>
      <w:r w:rsidR="00923E72">
        <w:rPr>
          <w:rFonts w:eastAsia="Malgun Gothic"/>
          <w:bCs/>
          <w:lang w:val="fr-FR"/>
        </w:rPr>
        <w:t>’</w:t>
      </w:r>
      <w:r w:rsidRPr="00702497">
        <w:rPr>
          <w:rFonts w:eastAsia="Malgun Gothic"/>
          <w:b/>
          <w:lang w:val="fr-FR"/>
        </w:rPr>
        <w:t>Éthiopie</w:t>
      </w:r>
      <w:r w:rsidRPr="00A27BC3">
        <w:rPr>
          <w:rFonts w:eastAsia="Malgun Gothic"/>
          <w:bCs/>
          <w:lang w:val="fr-FR"/>
        </w:rPr>
        <w:t xml:space="preserve"> </w:t>
      </w:r>
      <w:r>
        <w:rPr>
          <w:rFonts w:eastAsia="Malgun Gothic"/>
          <w:bCs/>
          <w:lang w:val="fr-FR"/>
        </w:rPr>
        <w:t xml:space="preserve">était </w:t>
      </w:r>
      <w:r w:rsidRPr="00A27BC3">
        <w:rPr>
          <w:rFonts w:eastAsia="Malgun Gothic"/>
          <w:bCs/>
          <w:lang w:val="fr-FR"/>
        </w:rPr>
        <w:t xml:space="preserve">satisfaite des informations communiquées par Cuba sur les aspects liés à </w:t>
      </w:r>
      <w:r w:rsidR="00327449">
        <w:rPr>
          <w:rFonts w:eastAsia="Malgun Gothic"/>
          <w:bCs/>
          <w:lang w:val="fr-FR"/>
        </w:rPr>
        <w:t xml:space="preserve">la contribution de </w:t>
      </w:r>
      <w:r w:rsidRPr="00A27BC3">
        <w:rPr>
          <w:rFonts w:eastAsia="Malgun Gothic"/>
          <w:bCs/>
          <w:lang w:val="fr-FR"/>
        </w:rPr>
        <w:t>l</w:t>
      </w:r>
      <w:r w:rsidR="00923E72">
        <w:rPr>
          <w:rFonts w:eastAsia="Malgun Gothic"/>
          <w:bCs/>
          <w:lang w:val="fr-FR"/>
        </w:rPr>
        <w:t>’</w:t>
      </w:r>
      <w:r w:rsidRPr="00A27BC3">
        <w:rPr>
          <w:rFonts w:eastAsia="Malgun Gothic"/>
          <w:bCs/>
          <w:lang w:val="fr-FR"/>
        </w:rPr>
        <w:t>inscription de cet élément à la visibilité du patrimoine culturel immatériel en général. Cela permettrait de préserver et de reconnaître la valeur du patrimoine culturel immatériel associé à la transmission des connaissances traditionnelles liées à l</w:t>
      </w:r>
      <w:r w:rsidR="00923E72">
        <w:rPr>
          <w:rFonts w:eastAsia="Malgun Gothic"/>
          <w:bCs/>
          <w:lang w:val="fr-FR"/>
        </w:rPr>
        <w:t>’</w:t>
      </w:r>
      <w:r w:rsidRPr="00A27BC3">
        <w:rPr>
          <w:rFonts w:eastAsia="Malgun Gothic"/>
          <w:bCs/>
          <w:lang w:val="fr-FR"/>
        </w:rPr>
        <w:t xml:space="preserve">artisanat et aux processus de fabrication des produits de la nature, </w:t>
      </w:r>
      <w:r w:rsidR="00C125E3">
        <w:rPr>
          <w:rFonts w:eastAsia="Malgun Gothic"/>
          <w:bCs/>
          <w:lang w:val="fr-FR"/>
        </w:rPr>
        <w:t>porteurs de</w:t>
      </w:r>
      <w:r w:rsidRPr="00A27BC3">
        <w:rPr>
          <w:rFonts w:eastAsia="Malgun Gothic"/>
          <w:bCs/>
          <w:lang w:val="fr-FR"/>
        </w:rPr>
        <w:t xml:space="preserve"> valeurs historiques, culturelles et symboliques pour les communautés en harmonie avec l</w:t>
      </w:r>
      <w:r w:rsidR="00923E72">
        <w:rPr>
          <w:rFonts w:eastAsia="Malgun Gothic"/>
          <w:bCs/>
          <w:lang w:val="fr-FR"/>
        </w:rPr>
        <w:t>’</w:t>
      </w:r>
      <w:r w:rsidRPr="00A27BC3">
        <w:rPr>
          <w:rFonts w:eastAsia="Malgun Gothic"/>
          <w:bCs/>
          <w:lang w:val="fr-FR"/>
        </w:rPr>
        <w:t>environnement, l</w:t>
      </w:r>
      <w:r w:rsidR="00923E72">
        <w:rPr>
          <w:rFonts w:eastAsia="Malgun Gothic"/>
          <w:bCs/>
          <w:lang w:val="fr-FR"/>
        </w:rPr>
        <w:t>’</w:t>
      </w:r>
      <w:r w:rsidRPr="00A27BC3">
        <w:rPr>
          <w:rFonts w:eastAsia="Malgun Gothic"/>
          <w:bCs/>
          <w:lang w:val="fr-FR"/>
        </w:rPr>
        <w:t>éco-culture et le développement durable. Cela permettrait également de</w:t>
      </w:r>
      <w:r w:rsidR="00C125E3">
        <w:rPr>
          <w:rFonts w:eastAsia="Malgun Gothic"/>
          <w:bCs/>
          <w:lang w:val="fr-FR"/>
        </w:rPr>
        <w:t xml:space="preserve"> sensibiliser à </w:t>
      </w:r>
      <w:r w:rsidRPr="00A27BC3">
        <w:rPr>
          <w:rFonts w:eastAsia="Malgun Gothic"/>
          <w:bCs/>
          <w:lang w:val="fr-FR"/>
        </w:rPr>
        <w:t>l</w:t>
      </w:r>
      <w:r w:rsidR="00923E72">
        <w:rPr>
          <w:rFonts w:eastAsia="Malgun Gothic"/>
          <w:bCs/>
          <w:lang w:val="fr-FR"/>
        </w:rPr>
        <w:t>’</w:t>
      </w:r>
      <w:r w:rsidRPr="00A27BC3">
        <w:rPr>
          <w:rFonts w:eastAsia="Malgun Gothic"/>
          <w:bCs/>
          <w:lang w:val="fr-FR"/>
        </w:rPr>
        <w:t>importance d</w:t>
      </w:r>
      <w:r w:rsidR="00923E72">
        <w:rPr>
          <w:rFonts w:eastAsia="Malgun Gothic"/>
          <w:bCs/>
          <w:lang w:val="fr-FR"/>
        </w:rPr>
        <w:t>’</w:t>
      </w:r>
      <w:r w:rsidRPr="00A27BC3">
        <w:rPr>
          <w:rFonts w:eastAsia="Malgun Gothic"/>
          <w:bCs/>
          <w:lang w:val="fr-FR"/>
        </w:rPr>
        <w:t>une tradition centenaire</w:t>
      </w:r>
      <w:r w:rsidR="00C125E3">
        <w:rPr>
          <w:rFonts w:eastAsia="Malgun Gothic"/>
          <w:bCs/>
          <w:lang w:val="fr-FR"/>
        </w:rPr>
        <w:t>,</w:t>
      </w:r>
      <w:r w:rsidR="00CB6B11">
        <w:rPr>
          <w:rFonts w:eastAsia="Malgun Gothic"/>
          <w:bCs/>
          <w:lang w:val="fr-FR"/>
        </w:rPr>
        <w:t xml:space="preserve"> basée </w:t>
      </w:r>
      <w:r w:rsidRPr="00A27BC3">
        <w:rPr>
          <w:rFonts w:eastAsia="Malgun Gothic"/>
          <w:bCs/>
          <w:lang w:val="fr-FR"/>
        </w:rPr>
        <w:t>sur la valeur de la transmission orale, corporelle et sensorielle des savoirs et des pratiques du patrimoine culturel immatériel. Ces savoirs étaient le fruit de la créativité humaine et n</w:t>
      </w:r>
      <w:r w:rsidR="00923E72">
        <w:rPr>
          <w:rFonts w:eastAsia="Malgun Gothic"/>
          <w:bCs/>
          <w:lang w:val="fr-FR"/>
        </w:rPr>
        <w:t>’</w:t>
      </w:r>
      <w:r w:rsidRPr="00A27BC3">
        <w:rPr>
          <w:rFonts w:eastAsia="Malgun Gothic"/>
          <w:bCs/>
          <w:lang w:val="fr-FR"/>
        </w:rPr>
        <w:t>avaient pas été remplacés ou substitués par la technologie. L</w:t>
      </w:r>
      <w:r w:rsidR="00923E72">
        <w:rPr>
          <w:rFonts w:eastAsia="Malgun Gothic"/>
          <w:bCs/>
          <w:lang w:val="fr-FR"/>
        </w:rPr>
        <w:t>’</w:t>
      </w:r>
      <w:r w:rsidRPr="00A27BC3">
        <w:rPr>
          <w:rFonts w:eastAsia="Malgun Gothic"/>
          <w:bCs/>
          <w:lang w:val="fr-FR"/>
        </w:rPr>
        <w:t xml:space="preserve">inscription encouragerait donc la transmission de pratiques qui favorisent une meilleure relation entre les communautés, </w:t>
      </w:r>
      <w:r w:rsidR="00CB6B11">
        <w:rPr>
          <w:rFonts w:eastAsia="Malgun Gothic"/>
          <w:bCs/>
          <w:lang w:val="fr-FR"/>
        </w:rPr>
        <w:t xml:space="preserve">stimulant </w:t>
      </w:r>
      <w:r w:rsidRPr="00A27BC3">
        <w:rPr>
          <w:rFonts w:eastAsia="Malgun Gothic"/>
          <w:bCs/>
          <w:lang w:val="fr-FR"/>
        </w:rPr>
        <w:t>ainsi le dialogue interculturel et intergénérationnel. L</w:t>
      </w:r>
      <w:r w:rsidR="00923E72">
        <w:rPr>
          <w:rFonts w:eastAsia="Malgun Gothic"/>
          <w:bCs/>
          <w:lang w:val="fr-FR"/>
        </w:rPr>
        <w:t>’</w:t>
      </w:r>
      <w:r w:rsidRPr="00A27BC3">
        <w:rPr>
          <w:rFonts w:eastAsia="Malgun Gothic"/>
          <w:bCs/>
          <w:lang w:val="fr-FR"/>
        </w:rPr>
        <w:t>inscription de cet élément mettrait en évidence la diversité du patrimoine culturel immatériel non seulement de Cuba mais également des Caraïbes au niveau international ainsi que son lien avec d</w:t>
      </w:r>
      <w:r w:rsidR="00923E72">
        <w:rPr>
          <w:rFonts w:eastAsia="Malgun Gothic"/>
          <w:bCs/>
          <w:lang w:val="fr-FR"/>
        </w:rPr>
        <w:t>’</w:t>
      </w:r>
      <w:r w:rsidRPr="00A27BC3">
        <w:rPr>
          <w:rFonts w:eastAsia="Malgun Gothic"/>
          <w:bCs/>
          <w:lang w:val="fr-FR"/>
        </w:rPr>
        <w:t>autres domaines et expressions du patrimoine, tels que les fêtes traditionnelles et populaires, les traditions culinaires, les manifestations musicales et les danses. En conclusion, cela faciliterait une meilleure interaction entre les différents types de patrimoine, tels que le patrimoine immatériel, naturel et industriel. Cela permettrait de promouvoir une gestion intégrale de toutes ces formes de patrimoine, favorisant ainsi un développement durable basé sur la culture.</w:t>
      </w:r>
    </w:p>
    <w:p w14:paraId="38D3019E" w14:textId="5E92D01D" w:rsidR="00CB6B11" w:rsidRDefault="00CB6B1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B6B11">
        <w:rPr>
          <w:rFonts w:eastAsia="Malgun Gothic"/>
          <w:bCs/>
          <w:lang w:val="fr-FR"/>
        </w:rPr>
        <w:t xml:space="preserve">La délégation du </w:t>
      </w:r>
      <w:r w:rsidRPr="00702497">
        <w:rPr>
          <w:rFonts w:eastAsia="Malgun Gothic"/>
          <w:b/>
          <w:lang w:val="fr-FR"/>
        </w:rPr>
        <w:t>Panama</w:t>
      </w:r>
      <w:r w:rsidRPr="00CB6B11">
        <w:rPr>
          <w:rFonts w:eastAsia="Malgun Gothic"/>
          <w:bCs/>
          <w:lang w:val="fr-FR"/>
        </w:rPr>
        <w:t xml:space="preserve"> était également satisfaite des réponses </w:t>
      </w:r>
      <w:r>
        <w:rPr>
          <w:rFonts w:eastAsia="Malgun Gothic"/>
          <w:bCs/>
          <w:lang w:val="fr-FR"/>
        </w:rPr>
        <w:t xml:space="preserve">apportées </w:t>
      </w:r>
      <w:r w:rsidRPr="00CB6B11">
        <w:rPr>
          <w:rFonts w:eastAsia="Malgun Gothic"/>
          <w:bCs/>
          <w:lang w:val="fr-FR"/>
        </w:rPr>
        <w:t>par Cuba et, d</w:t>
      </w:r>
      <w:r w:rsidR="00923E72">
        <w:rPr>
          <w:rFonts w:eastAsia="Malgun Gothic"/>
          <w:bCs/>
          <w:lang w:val="fr-FR"/>
        </w:rPr>
        <w:t>’</w:t>
      </w:r>
      <w:r w:rsidRPr="00CB6B11">
        <w:rPr>
          <w:rFonts w:eastAsia="Malgun Gothic"/>
          <w:bCs/>
          <w:lang w:val="fr-FR"/>
        </w:rPr>
        <w:t>un point de vue technique, a souligné le fait que les produits artisanaux, qu</w:t>
      </w:r>
      <w:r w:rsidR="00923E72">
        <w:rPr>
          <w:rFonts w:eastAsia="Malgun Gothic"/>
          <w:bCs/>
          <w:lang w:val="fr-FR"/>
        </w:rPr>
        <w:t>’</w:t>
      </w:r>
      <w:r w:rsidRPr="00CB6B11">
        <w:rPr>
          <w:rFonts w:eastAsia="Malgun Gothic"/>
          <w:bCs/>
          <w:lang w:val="fr-FR"/>
        </w:rPr>
        <w:t>il s</w:t>
      </w:r>
      <w:r w:rsidR="00923E72">
        <w:rPr>
          <w:rFonts w:eastAsia="Malgun Gothic"/>
          <w:bCs/>
          <w:lang w:val="fr-FR"/>
        </w:rPr>
        <w:t>’</w:t>
      </w:r>
      <w:r w:rsidRPr="00CB6B11">
        <w:rPr>
          <w:rFonts w:eastAsia="Malgun Gothic"/>
          <w:bCs/>
          <w:lang w:val="fr-FR"/>
        </w:rPr>
        <w:t>agisse de poterie ou de tout type de produit destiné à la consommation, conduisaient souvent à simplifier et à sacrifier les communautés par crainte d</w:t>
      </w:r>
      <w:r w:rsidR="00923E72">
        <w:rPr>
          <w:rFonts w:eastAsia="Malgun Gothic"/>
          <w:bCs/>
          <w:lang w:val="fr-FR"/>
        </w:rPr>
        <w:t>’</w:t>
      </w:r>
      <w:r w:rsidRPr="00CB6B11">
        <w:rPr>
          <w:rFonts w:eastAsia="Malgun Gothic"/>
          <w:bCs/>
          <w:lang w:val="fr-FR"/>
        </w:rPr>
        <w:t>inscrire un élément qui est considéré comme favorisant la commercialisation. Dans le cas présent, il était clair qu</w:t>
      </w:r>
      <w:r w:rsidR="00923E72">
        <w:rPr>
          <w:rFonts w:eastAsia="Malgun Gothic"/>
          <w:bCs/>
          <w:lang w:val="fr-FR"/>
        </w:rPr>
        <w:t>’</w:t>
      </w:r>
      <w:r w:rsidRPr="00CB6B11">
        <w:rPr>
          <w:rFonts w:eastAsia="Malgun Gothic"/>
          <w:bCs/>
          <w:lang w:val="fr-FR"/>
        </w:rPr>
        <w:t>il existait une chaîne de connaissances, depuis la plantation de la canne à sucre jusqu</w:t>
      </w:r>
      <w:r w:rsidR="00923E72">
        <w:rPr>
          <w:rFonts w:eastAsia="Malgun Gothic"/>
          <w:bCs/>
          <w:lang w:val="fr-FR"/>
        </w:rPr>
        <w:t>’</w:t>
      </w:r>
      <w:r w:rsidRPr="00CB6B11">
        <w:rPr>
          <w:rFonts w:eastAsia="Malgun Gothic"/>
          <w:bCs/>
          <w:lang w:val="fr-FR"/>
        </w:rPr>
        <w:t xml:space="preserve">à la production de rhum. </w:t>
      </w:r>
      <w:r w:rsidR="00E10507">
        <w:rPr>
          <w:rFonts w:eastAsia="Malgun Gothic"/>
          <w:bCs/>
          <w:lang w:val="fr-FR"/>
        </w:rPr>
        <w:t>L</w:t>
      </w:r>
      <w:r w:rsidRPr="00CB6B11">
        <w:rPr>
          <w:rFonts w:eastAsia="Malgun Gothic"/>
          <w:bCs/>
          <w:lang w:val="fr-FR"/>
        </w:rPr>
        <w:t xml:space="preserve">es maîtres du rhum symbolisaient </w:t>
      </w:r>
      <w:r w:rsidR="00E10507">
        <w:rPr>
          <w:rFonts w:eastAsia="Malgun Gothic"/>
          <w:bCs/>
          <w:lang w:val="fr-FR"/>
        </w:rPr>
        <w:t xml:space="preserve">effectivement </w:t>
      </w:r>
      <w:r w:rsidRPr="00CB6B11">
        <w:rPr>
          <w:rFonts w:eastAsia="Malgun Gothic"/>
          <w:bCs/>
          <w:lang w:val="fr-FR"/>
        </w:rPr>
        <w:t>cette chaîne de connaissances. La délégation a félicité le peuple cubain pour cet élément, ajoutant qu</w:t>
      </w:r>
      <w:r w:rsidR="00923E72">
        <w:rPr>
          <w:rFonts w:eastAsia="Malgun Gothic"/>
          <w:bCs/>
          <w:lang w:val="fr-FR"/>
        </w:rPr>
        <w:t>’</w:t>
      </w:r>
      <w:r w:rsidRPr="00CB6B11">
        <w:rPr>
          <w:rFonts w:eastAsia="Malgun Gothic"/>
          <w:bCs/>
          <w:lang w:val="fr-FR"/>
        </w:rPr>
        <w:t>il était temps d</w:t>
      </w:r>
      <w:r w:rsidR="00923E72">
        <w:rPr>
          <w:rFonts w:eastAsia="Malgun Gothic"/>
          <w:bCs/>
          <w:lang w:val="fr-FR"/>
        </w:rPr>
        <w:t>’</w:t>
      </w:r>
      <w:r w:rsidRPr="00CB6B11">
        <w:rPr>
          <w:rFonts w:eastAsia="Malgun Gothic"/>
          <w:bCs/>
          <w:lang w:val="fr-FR"/>
        </w:rPr>
        <w:t>ouvrir des espaces de dialogue entre les maîtres des différentes communautés et les experts en évaluation afin de réellement comprendre et réfléchir à la manière d</w:t>
      </w:r>
      <w:r w:rsidR="00923E72">
        <w:rPr>
          <w:rFonts w:eastAsia="Malgun Gothic"/>
          <w:bCs/>
          <w:lang w:val="fr-FR"/>
        </w:rPr>
        <w:t>’</w:t>
      </w:r>
      <w:r w:rsidRPr="00CB6B11">
        <w:rPr>
          <w:rFonts w:eastAsia="Malgun Gothic"/>
          <w:bCs/>
          <w:lang w:val="fr-FR"/>
        </w:rPr>
        <w:t>améliorer ce type de dossiers de candidature liés aux produits artisanaux, qu</w:t>
      </w:r>
      <w:r w:rsidR="00923E72">
        <w:rPr>
          <w:rFonts w:eastAsia="Malgun Gothic"/>
          <w:bCs/>
          <w:lang w:val="fr-FR"/>
        </w:rPr>
        <w:t>’</w:t>
      </w:r>
      <w:r w:rsidRPr="00CB6B11">
        <w:rPr>
          <w:rFonts w:eastAsia="Malgun Gothic"/>
          <w:bCs/>
          <w:lang w:val="fr-FR"/>
        </w:rPr>
        <w:t>ils soient destinés à la consommation ou à la pratique. Le Comité devait regarder au-delà du produit et voir la valeur qu</w:t>
      </w:r>
      <w:r w:rsidR="00923E72">
        <w:rPr>
          <w:rFonts w:eastAsia="Malgun Gothic"/>
          <w:bCs/>
          <w:lang w:val="fr-FR"/>
        </w:rPr>
        <w:t>’</w:t>
      </w:r>
      <w:r w:rsidRPr="00CB6B11">
        <w:rPr>
          <w:rFonts w:eastAsia="Malgun Gothic"/>
          <w:bCs/>
          <w:lang w:val="fr-FR"/>
        </w:rPr>
        <w:t>il apporte à la communauté en le consommant. Il ne pouvait pas sacrifier l</w:t>
      </w:r>
      <w:r w:rsidR="00923E72">
        <w:rPr>
          <w:rFonts w:eastAsia="Malgun Gothic"/>
          <w:bCs/>
          <w:lang w:val="fr-FR"/>
        </w:rPr>
        <w:t>’</w:t>
      </w:r>
      <w:r w:rsidRPr="00CB6B11">
        <w:rPr>
          <w:rFonts w:eastAsia="Malgun Gothic"/>
          <w:bCs/>
          <w:lang w:val="fr-FR"/>
        </w:rPr>
        <w:t>élément, qui est avant tout une tradition, avec une communauté qui la pratique, l</w:t>
      </w:r>
      <w:r w:rsidR="00923E72">
        <w:rPr>
          <w:rFonts w:eastAsia="Malgun Gothic"/>
          <w:bCs/>
          <w:lang w:val="fr-FR"/>
        </w:rPr>
        <w:t>’</w:t>
      </w:r>
      <w:r w:rsidRPr="00CB6B11">
        <w:rPr>
          <w:rFonts w:eastAsia="Malgun Gothic"/>
          <w:bCs/>
          <w:lang w:val="fr-FR"/>
        </w:rPr>
        <w:t>apprécie et la partage, et qui représente son identité.</w:t>
      </w:r>
    </w:p>
    <w:p w14:paraId="796F3E23" w14:textId="5A91EDA0" w:rsidR="00E10507" w:rsidRDefault="00E1050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10507">
        <w:rPr>
          <w:rFonts w:eastAsia="Malgun Gothic"/>
          <w:bCs/>
          <w:lang w:val="fr-FR"/>
        </w:rPr>
        <w:t>La délégation de l</w:t>
      </w:r>
      <w:r w:rsidR="00923E72">
        <w:rPr>
          <w:rFonts w:eastAsia="Malgun Gothic"/>
          <w:bCs/>
          <w:lang w:val="fr-FR"/>
        </w:rPr>
        <w:t>’</w:t>
      </w:r>
      <w:r w:rsidRPr="00702497">
        <w:rPr>
          <w:rFonts w:eastAsia="Malgun Gothic"/>
          <w:b/>
          <w:lang w:val="fr-FR"/>
        </w:rPr>
        <w:t>Angola</w:t>
      </w:r>
      <w:r w:rsidRPr="00E10507">
        <w:rPr>
          <w:rFonts w:eastAsia="Malgun Gothic"/>
          <w:bCs/>
          <w:lang w:val="fr-FR"/>
        </w:rPr>
        <w:t xml:space="preserve"> a remercié l</w:t>
      </w:r>
      <w:r w:rsidR="00923E72">
        <w:rPr>
          <w:rFonts w:eastAsia="Malgun Gothic"/>
          <w:bCs/>
          <w:lang w:val="fr-FR"/>
        </w:rPr>
        <w:t>’</w:t>
      </w:r>
      <w:r w:rsidRPr="00E10507">
        <w:rPr>
          <w:rFonts w:eastAsia="Malgun Gothic"/>
          <w:bCs/>
          <w:lang w:val="fr-FR"/>
        </w:rPr>
        <w:t>Organe d</w:t>
      </w:r>
      <w:r w:rsidR="00923E72">
        <w:rPr>
          <w:rFonts w:eastAsia="Malgun Gothic"/>
          <w:bCs/>
          <w:lang w:val="fr-FR"/>
        </w:rPr>
        <w:t>’</w:t>
      </w:r>
      <w:r w:rsidRPr="00E10507">
        <w:rPr>
          <w:rFonts w:eastAsia="Malgun Gothic"/>
          <w:bCs/>
          <w:lang w:val="fr-FR"/>
        </w:rPr>
        <w:t>évaluation pour son rapport et s</w:t>
      </w:r>
      <w:r w:rsidR="00923E72">
        <w:rPr>
          <w:rFonts w:eastAsia="Malgun Gothic"/>
          <w:bCs/>
          <w:lang w:val="fr-FR"/>
        </w:rPr>
        <w:t>’</w:t>
      </w:r>
      <w:r w:rsidRPr="00E10507">
        <w:rPr>
          <w:rFonts w:eastAsia="Malgun Gothic"/>
          <w:bCs/>
          <w:lang w:val="fr-FR"/>
        </w:rPr>
        <w:t xml:space="preserve">est félicitée des informations communiquées par Cuba. Elle est revenue sur le point précédent </w:t>
      </w:r>
      <w:r w:rsidRPr="00E10507">
        <w:rPr>
          <w:rFonts w:eastAsia="Malgun Gothic"/>
          <w:bCs/>
          <w:lang w:val="fr-FR"/>
        </w:rPr>
        <w:lastRenderedPageBreak/>
        <w:t>concernant l</w:t>
      </w:r>
      <w:r w:rsidR="00923E72">
        <w:rPr>
          <w:rFonts w:eastAsia="Malgun Gothic"/>
          <w:bCs/>
          <w:lang w:val="fr-FR"/>
        </w:rPr>
        <w:t>’</w:t>
      </w:r>
      <w:r w:rsidRPr="00E10507">
        <w:rPr>
          <w:rFonts w:eastAsia="Malgun Gothic"/>
          <w:bCs/>
          <w:lang w:val="fr-FR"/>
        </w:rPr>
        <w:t>importance du dialogue. L</w:t>
      </w:r>
      <w:r>
        <w:rPr>
          <w:rFonts w:eastAsia="Malgun Gothic"/>
          <w:bCs/>
          <w:lang w:val="fr-FR"/>
        </w:rPr>
        <w:t>a mise en œuvre</w:t>
      </w:r>
      <w:r w:rsidRPr="00E10507">
        <w:rPr>
          <w:rFonts w:eastAsia="Malgun Gothic"/>
          <w:bCs/>
          <w:lang w:val="fr-FR"/>
        </w:rPr>
        <w:t xml:space="preserve"> du processus de dialogue aurait permis de mieux comprendre l</w:t>
      </w:r>
      <w:r w:rsidR="00923E72">
        <w:rPr>
          <w:rFonts w:eastAsia="Malgun Gothic"/>
          <w:bCs/>
          <w:lang w:val="fr-FR"/>
        </w:rPr>
        <w:t>’</w:t>
      </w:r>
      <w:r w:rsidRPr="00E10507">
        <w:rPr>
          <w:rFonts w:eastAsia="Malgun Gothic"/>
          <w:bCs/>
          <w:lang w:val="fr-FR"/>
        </w:rPr>
        <w:t>élément dans la mesure où il ne s</w:t>
      </w:r>
      <w:r w:rsidR="00923E72">
        <w:rPr>
          <w:rFonts w:eastAsia="Malgun Gothic"/>
          <w:bCs/>
          <w:lang w:val="fr-FR"/>
        </w:rPr>
        <w:t>’</w:t>
      </w:r>
      <w:r w:rsidRPr="00E10507">
        <w:rPr>
          <w:rFonts w:eastAsia="Malgun Gothic"/>
          <w:bCs/>
          <w:lang w:val="fr-FR"/>
        </w:rPr>
        <w:t>agi</w:t>
      </w:r>
      <w:r>
        <w:rPr>
          <w:rFonts w:eastAsia="Malgun Gothic"/>
          <w:bCs/>
          <w:lang w:val="fr-FR"/>
        </w:rPr>
        <w:t>t</w:t>
      </w:r>
      <w:r w:rsidRPr="00E10507">
        <w:rPr>
          <w:rFonts w:eastAsia="Malgun Gothic"/>
          <w:bCs/>
          <w:lang w:val="fr-FR"/>
        </w:rPr>
        <w:t xml:space="preserve"> pas du rhum en soi mais du savoir-faire lié à l</w:t>
      </w:r>
      <w:r w:rsidR="00923E72">
        <w:rPr>
          <w:rFonts w:eastAsia="Malgun Gothic"/>
          <w:bCs/>
          <w:lang w:val="fr-FR"/>
        </w:rPr>
        <w:t>’</w:t>
      </w:r>
      <w:r w:rsidRPr="00E10507">
        <w:rPr>
          <w:rFonts w:eastAsia="Malgun Gothic"/>
          <w:bCs/>
          <w:lang w:val="fr-FR"/>
        </w:rPr>
        <w:t>art de produire le rhum léger, et non du rhum lui-même. En tant que culture immatérielle, la transmission orale était l</w:t>
      </w:r>
      <w:r w:rsidR="00923E72">
        <w:rPr>
          <w:rFonts w:eastAsia="Malgun Gothic"/>
          <w:bCs/>
          <w:lang w:val="fr-FR"/>
        </w:rPr>
        <w:t>’</w:t>
      </w:r>
      <w:r w:rsidRPr="00E10507">
        <w:rPr>
          <w:rFonts w:eastAsia="Malgun Gothic"/>
          <w:bCs/>
          <w:lang w:val="fr-FR"/>
        </w:rPr>
        <w:t>un des moyens de transmettre les connaissances, ce qui apparaissait clairement dans ce processus de transmission intergénérationnelle. Cette transmission était importante, sinon on risquait de perdre cette culture centenaire, une culture qui méritait d</w:t>
      </w:r>
      <w:r w:rsidR="00923E72">
        <w:rPr>
          <w:rFonts w:eastAsia="Malgun Gothic"/>
          <w:bCs/>
          <w:lang w:val="fr-FR"/>
        </w:rPr>
        <w:t>’</w:t>
      </w:r>
      <w:r w:rsidRPr="00E10507">
        <w:rPr>
          <w:rFonts w:eastAsia="Malgun Gothic"/>
          <w:bCs/>
          <w:lang w:val="fr-FR"/>
        </w:rPr>
        <w:t>être sauvegardée et qui faisait partie intégrante de l</w:t>
      </w:r>
      <w:r w:rsidR="00923E72">
        <w:rPr>
          <w:rFonts w:eastAsia="Malgun Gothic"/>
          <w:bCs/>
          <w:lang w:val="fr-FR"/>
        </w:rPr>
        <w:t>’</w:t>
      </w:r>
      <w:r w:rsidRPr="00E10507">
        <w:rPr>
          <w:rFonts w:eastAsia="Malgun Gothic"/>
          <w:bCs/>
          <w:lang w:val="fr-FR"/>
        </w:rPr>
        <w:t>identité du peuple cubain.</w:t>
      </w:r>
    </w:p>
    <w:p w14:paraId="60F066E2" w14:textId="24D08F9F" w:rsidR="00E10507" w:rsidRDefault="00E1050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10507">
        <w:rPr>
          <w:rFonts w:eastAsia="Malgun Gothic"/>
          <w:bCs/>
          <w:lang w:val="fr-FR"/>
        </w:rPr>
        <w:t xml:space="preserve">La délégation de la </w:t>
      </w:r>
      <w:r w:rsidRPr="00702497">
        <w:rPr>
          <w:rFonts w:eastAsia="Malgun Gothic"/>
          <w:b/>
          <w:lang w:val="fr-FR"/>
        </w:rPr>
        <w:t>Tchéquie</w:t>
      </w:r>
      <w:r w:rsidRPr="00E10507">
        <w:rPr>
          <w:rFonts w:eastAsia="Malgun Gothic"/>
          <w:bCs/>
          <w:lang w:val="fr-FR"/>
        </w:rPr>
        <w:t xml:space="preserve"> était heureuse de constater l</w:t>
      </w:r>
      <w:r w:rsidR="00923E72">
        <w:rPr>
          <w:rFonts w:eastAsia="Malgun Gothic"/>
          <w:bCs/>
          <w:lang w:val="fr-FR"/>
        </w:rPr>
        <w:t>’</w:t>
      </w:r>
      <w:r w:rsidRPr="00E10507">
        <w:rPr>
          <w:rFonts w:eastAsia="Malgun Gothic"/>
          <w:bCs/>
          <w:lang w:val="fr-FR"/>
        </w:rPr>
        <w:t>engagement et l</w:t>
      </w:r>
      <w:r w:rsidR="00923E72">
        <w:rPr>
          <w:rFonts w:eastAsia="Malgun Gothic"/>
          <w:bCs/>
          <w:lang w:val="fr-FR"/>
        </w:rPr>
        <w:t>’</w:t>
      </w:r>
      <w:r w:rsidRPr="00E10507">
        <w:rPr>
          <w:rFonts w:eastAsia="Malgun Gothic"/>
          <w:bCs/>
          <w:lang w:val="fr-FR"/>
        </w:rPr>
        <w:t>enthousiasme de la délégation cubaine et des membres du Comité pour cette candidature. La délégation avait étudié le dossier avec grand intérêt et apprécié l</w:t>
      </w:r>
      <w:r w:rsidR="00923E72">
        <w:rPr>
          <w:rFonts w:eastAsia="Malgun Gothic"/>
          <w:bCs/>
          <w:lang w:val="fr-FR"/>
        </w:rPr>
        <w:t>’</w:t>
      </w:r>
      <w:r w:rsidRPr="00E10507">
        <w:rPr>
          <w:rFonts w:eastAsia="Malgun Gothic"/>
          <w:bCs/>
          <w:lang w:val="fr-FR"/>
        </w:rPr>
        <w:t>esprit communautaire et l</w:t>
      </w:r>
      <w:r w:rsidR="00923E72">
        <w:rPr>
          <w:rFonts w:eastAsia="Malgun Gothic"/>
          <w:bCs/>
          <w:lang w:val="fr-FR"/>
        </w:rPr>
        <w:t>’</w:t>
      </w:r>
      <w:r w:rsidRPr="00E10507">
        <w:rPr>
          <w:rFonts w:eastAsia="Malgun Gothic"/>
          <w:bCs/>
          <w:lang w:val="fr-FR"/>
        </w:rPr>
        <w:t xml:space="preserve">importance du savoir-faire des maîtres du rhum léger et du processus de fabrication ainsi que sa grande </w:t>
      </w:r>
      <w:r w:rsidR="00361CBE">
        <w:rPr>
          <w:rFonts w:eastAsia="Malgun Gothic"/>
          <w:bCs/>
          <w:lang w:val="fr-FR"/>
        </w:rPr>
        <w:t xml:space="preserve">popularité </w:t>
      </w:r>
      <w:r w:rsidRPr="00E10507">
        <w:rPr>
          <w:rFonts w:eastAsia="Malgun Gothic"/>
          <w:bCs/>
          <w:lang w:val="fr-FR"/>
        </w:rPr>
        <w:t>en tant que symboles significatifs de la culture du rhum. Par expérience, la délégation savait combien il est parfois difficile de rédiger le dossier de candidature de manière à répondre à toutes les questions et à décrire de manière exhaustive et compréhensible l</w:t>
      </w:r>
      <w:r w:rsidR="00923E72">
        <w:rPr>
          <w:rFonts w:eastAsia="Malgun Gothic"/>
          <w:bCs/>
          <w:lang w:val="fr-FR"/>
        </w:rPr>
        <w:t>’</w:t>
      </w:r>
      <w:r w:rsidRPr="00E10507">
        <w:rPr>
          <w:rFonts w:eastAsia="Malgun Gothic"/>
          <w:bCs/>
          <w:lang w:val="fr-FR"/>
        </w:rPr>
        <w:t>essence de l</w:t>
      </w:r>
      <w:r w:rsidR="00923E72">
        <w:rPr>
          <w:rFonts w:eastAsia="Malgun Gothic"/>
          <w:bCs/>
          <w:lang w:val="fr-FR"/>
        </w:rPr>
        <w:t>’</w:t>
      </w:r>
      <w:r w:rsidRPr="00E10507">
        <w:rPr>
          <w:rFonts w:eastAsia="Malgun Gothic"/>
          <w:bCs/>
          <w:lang w:val="fr-FR"/>
        </w:rPr>
        <w:t>élément, la stratégie de sauvegarde et le rôle des communautés pour des personnes d</w:t>
      </w:r>
      <w:r w:rsidR="00923E72">
        <w:rPr>
          <w:rFonts w:eastAsia="Malgun Gothic"/>
          <w:bCs/>
          <w:lang w:val="fr-FR"/>
        </w:rPr>
        <w:t>’</w:t>
      </w:r>
      <w:r w:rsidRPr="00E10507">
        <w:rPr>
          <w:rFonts w:eastAsia="Malgun Gothic"/>
          <w:bCs/>
          <w:lang w:val="fr-FR"/>
        </w:rPr>
        <w:t>horizons culturels différents. Toutefois, elle regrettait de ne pas avoir trouvé la présentation de l</w:t>
      </w:r>
      <w:r w:rsidR="00923E72">
        <w:rPr>
          <w:rFonts w:eastAsia="Malgun Gothic"/>
          <w:bCs/>
          <w:lang w:val="fr-FR"/>
        </w:rPr>
        <w:t>’</w:t>
      </w:r>
      <w:r w:rsidRPr="00E10507">
        <w:rPr>
          <w:rFonts w:eastAsia="Malgun Gothic"/>
          <w:bCs/>
          <w:lang w:val="fr-FR"/>
        </w:rPr>
        <w:t>élément satisfaisante et de ne pas avoir été convaincue par les explications fournies. Le principal problème résidait dans la définition même de l</w:t>
      </w:r>
      <w:r w:rsidR="00923E72">
        <w:rPr>
          <w:rFonts w:eastAsia="Malgun Gothic"/>
          <w:bCs/>
          <w:lang w:val="fr-FR"/>
        </w:rPr>
        <w:t>’</w:t>
      </w:r>
      <w:r w:rsidRPr="00E10507">
        <w:rPr>
          <w:rFonts w:eastAsia="Malgun Gothic"/>
          <w:bCs/>
          <w:lang w:val="fr-FR"/>
        </w:rPr>
        <w:t>élément, qui n</w:t>
      </w:r>
      <w:r w:rsidR="00923E72">
        <w:rPr>
          <w:rFonts w:eastAsia="Malgun Gothic"/>
          <w:bCs/>
          <w:lang w:val="fr-FR"/>
        </w:rPr>
        <w:t>’</w:t>
      </w:r>
      <w:r w:rsidRPr="00E10507">
        <w:rPr>
          <w:rFonts w:eastAsia="Malgun Gothic"/>
          <w:bCs/>
          <w:lang w:val="fr-FR"/>
        </w:rPr>
        <w:t>était pas suffisamment factuelle pour comprendre pleinement l</w:t>
      </w:r>
      <w:r w:rsidR="00923E72">
        <w:rPr>
          <w:rFonts w:eastAsia="Malgun Gothic"/>
          <w:bCs/>
          <w:lang w:val="fr-FR"/>
        </w:rPr>
        <w:t>’</w:t>
      </w:r>
      <w:r w:rsidRPr="00E10507">
        <w:rPr>
          <w:rFonts w:eastAsia="Malgun Gothic"/>
          <w:bCs/>
          <w:lang w:val="fr-FR"/>
        </w:rPr>
        <w:t xml:space="preserve">élément proposé à la candidature. Le mot </w:t>
      </w:r>
      <w:r w:rsidR="00361CBE">
        <w:rPr>
          <w:rFonts w:eastAsia="Malgun Gothic"/>
          <w:bCs/>
          <w:lang w:val="fr-FR"/>
        </w:rPr>
        <w:t>« </w:t>
      </w:r>
      <w:r w:rsidRPr="00E10507">
        <w:rPr>
          <w:rFonts w:eastAsia="Malgun Gothic"/>
          <w:bCs/>
          <w:lang w:val="fr-FR"/>
        </w:rPr>
        <w:t>transmission</w:t>
      </w:r>
      <w:r w:rsidR="00361CBE">
        <w:rPr>
          <w:rFonts w:eastAsia="Malgun Gothic"/>
          <w:bCs/>
          <w:lang w:val="fr-FR"/>
        </w:rPr>
        <w:t> »</w:t>
      </w:r>
      <w:r w:rsidRPr="00E10507">
        <w:rPr>
          <w:rFonts w:eastAsia="Malgun Gothic"/>
          <w:bCs/>
          <w:lang w:val="fr-FR"/>
        </w:rPr>
        <w:t xml:space="preserve"> était mentionné à plusieurs reprises, mais ce qui </w:t>
      </w:r>
      <w:r w:rsidR="00361CBE">
        <w:rPr>
          <w:rFonts w:eastAsia="Malgun Gothic"/>
          <w:bCs/>
          <w:lang w:val="fr-FR"/>
        </w:rPr>
        <w:t>était</w:t>
      </w:r>
      <w:r w:rsidRPr="00E10507">
        <w:rPr>
          <w:rFonts w:eastAsia="Malgun Gothic"/>
          <w:bCs/>
          <w:lang w:val="fr-FR"/>
        </w:rPr>
        <w:t xml:space="preserve"> transmis n</w:t>
      </w:r>
      <w:r w:rsidR="00923E72">
        <w:rPr>
          <w:rFonts w:eastAsia="Malgun Gothic"/>
          <w:bCs/>
          <w:lang w:val="fr-FR"/>
        </w:rPr>
        <w:t>’</w:t>
      </w:r>
      <w:r w:rsidR="005F7FBF">
        <w:rPr>
          <w:rFonts w:eastAsia="Malgun Gothic"/>
          <w:bCs/>
          <w:lang w:val="fr-FR"/>
        </w:rPr>
        <w:t>était</w:t>
      </w:r>
      <w:r w:rsidRPr="00E10507">
        <w:rPr>
          <w:rFonts w:eastAsia="Malgun Gothic"/>
          <w:bCs/>
          <w:lang w:val="fr-FR"/>
        </w:rPr>
        <w:t xml:space="preserve"> pas clair. On ne saurait dire quel type de connaissances et quel type de savoir-faire étaient transmis. Il a</w:t>
      </w:r>
      <w:r w:rsidR="00C125E3">
        <w:rPr>
          <w:rFonts w:eastAsia="Malgun Gothic"/>
          <w:bCs/>
          <w:lang w:val="fr-FR"/>
        </w:rPr>
        <w:t>vait</w:t>
      </w:r>
      <w:r w:rsidRPr="00E10507">
        <w:rPr>
          <w:rFonts w:eastAsia="Malgun Gothic"/>
          <w:bCs/>
          <w:lang w:val="fr-FR"/>
        </w:rPr>
        <w:t xml:space="preserve"> été expliqué qu</w:t>
      </w:r>
      <w:r w:rsidR="00923E72">
        <w:rPr>
          <w:rFonts w:eastAsia="Malgun Gothic"/>
          <w:bCs/>
          <w:lang w:val="fr-FR"/>
        </w:rPr>
        <w:t>’</w:t>
      </w:r>
      <w:r w:rsidRPr="00E10507">
        <w:rPr>
          <w:rFonts w:eastAsia="Malgun Gothic"/>
          <w:bCs/>
          <w:lang w:val="fr-FR"/>
        </w:rPr>
        <w:t>il s</w:t>
      </w:r>
      <w:r w:rsidR="00923E72">
        <w:rPr>
          <w:rFonts w:eastAsia="Malgun Gothic"/>
          <w:bCs/>
          <w:lang w:val="fr-FR"/>
        </w:rPr>
        <w:t>’</w:t>
      </w:r>
      <w:r w:rsidRPr="00E10507">
        <w:rPr>
          <w:rFonts w:eastAsia="Malgun Gothic"/>
          <w:bCs/>
          <w:lang w:val="fr-FR"/>
        </w:rPr>
        <w:t>agissait du savoir-faire des maîtres du rhum léger, mais on ne savait toujours pas en quoi consistait ce savoir-faire, en particulier pour les personnes qui ne sont pas issues de cette tradition. En outre, la délégation souhaitait obtenir une explication claire sur l</w:t>
      </w:r>
      <w:r w:rsidR="00923E72">
        <w:rPr>
          <w:rFonts w:eastAsia="Malgun Gothic"/>
          <w:bCs/>
          <w:lang w:val="fr-FR"/>
        </w:rPr>
        <w:t>’</w:t>
      </w:r>
      <w:r w:rsidRPr="00E10507">
        <w:rPr>
          <w:rFonts w:eastAsia="Malgun Gothic"/>
          <w:bCs/>
          <w:lang w:val="fr-FR"/>
        </w:rPr>
        <w:t xml:space="preserve">interconnexion entre les maîtres </w:t>
      </w:r>
      <w:proofErr w:type="spellStart"/>
      <w:r w:rsidRPr="00E10507">
        <w:rPr>
          <w:rFonts w:eastAsia="Malgun Gothic"/>
          <w:bCs/>
          <w:lang w:val="fr-FR"/>
        </w:rPr>
        <w:t>rhumiers</w:t>
      </w:r>
      <w:proofErr w:type="spellEnd"/>
      <w:r w:rsidRPr="00E10507">
        <w:rPr>
          <w:rFonts w:eastAsia="Malgun Gothic"/>
          <w:bCs/>
          <w:lang w:val="fr-FR"/>
        </w:rPr>
        <w:t xml:space="preserve"> et le reste de la communauté des fabricants de rhum, et en particulier sur le rôle que joue leur savoir-faire du point de vue de la société cubaine en général. Un autre problème concernait l</w:t>
      </w:r>
      <w:r w:rsidR="00923E72">
        <w:rPr>
          <w:rFonts w:eastAsia="Malgun Gothic"/>
          <w:bCs/>
          <w:lang w:val="fr-FR"/>
        </w:rPr>
        <w:t>’</w:t>
      </w:r>
      <w:r w:rsidRPr="00E10507">
        <w:rPr>
          <w:rFonts w:eastAsia="Malgun Gothic"/>
          <w:bCs/>
          <w:lang w:val="fr-FR"/>
        </w:rPr>
        <w:t>absence d</w:t>
      </w:r>
      <w:r w:rsidR="00923E72">
        <w:rPr>
          <w:rFonts w:eastAsia="Malgun Gothic"/>
          <w:bCs/>
          <w:lang w:val="fr-FR"/>
        </w:rPr>
        <w:t>’</w:t>
      </w:r>
      <w:r w:rsidRPr="00E10507">
        <w:rPr>
          <w:rFonts w:eastAsia="Malgun Gothic"/>
          <w:bCs/>
          <w:lang w:val="fr-FR"/>
        </w:rPr>
        <w:t>informations sur la participation de la communauté à la planification, en particulier à la mise en œuvre des mesures de sauvegarde, qui est cruciale pour une sauvegarde réussie. Même la section</w:t>
      </w:r>
      <w:r w:rsidR="00361CBE">
        <w:rPr>
          <w:rFonts w:eastAsia="Malgun Gothic"/>
          <w:bCs/>
          <w:lang w:val="fr-FR"/>
        </w:rPr>
        <w:t> </w:t>
      </w:r>
      <w:r w:rsidRPr="00E10507">
        <w:rPr>
          <w:rFonts w:eastAsia="Malgun Gothic"/>
          <w:bCs/>
          <w:lang w:val="fr-FR"/>
        </w:rPr>
        <w:t>4 ne mentionnait pas cette partie du processus d</w:t>
      </w:r>
      <w:r w:rsidR="00923E72">
        <w:rPr>
          <w:rFonts w:eastAsia="Malgun Gothic"/>
          <w:bCs/>
          <w:lang w:val="fr-FR"/>
        </w:rPr>
        <w:t>’</w:t>
      </w:r>
      <w:r w:rsidRPr="00E10507">
        <w:rPr>
          <w:rFonts w:eastAsia="Malgun Gothic"/>
          <w:bCs/>
          <w:lang w:val="fr-FR"/>
        </w:rPr>
        <w:t>élaboration. La délégation estimait qu</w:t>
      </w:r>
      <w:r w:rsidR="00923E72">
        <w:rPr>
          <w:rFonts w:eastAsia="Malgun Gothic"/>
          <w:bCs/>
          <w:lang w:val="fr-FR"/>
        </w:rPr>
        <w:t>’</w:t>
      </w:r>
      <w:r w:rsidRPr="00E10507">
        <w:rPr>
          <w:rFonts w:eastAsia="Malgun Gothic"/>
          <w:bCs/>
          <w:lang w:val="fr-FR"/>
        </w:rPr>
        <w:t>un élément doté d</w:t>
      </w:r>
      <w:r w:rsidR="00923E72">
        <w:rPr>
          <w:rFonts w:eastAsia="Malgun Gothic"/>
          <w:bCs/>
          <w:lang w:val="fr-FR"/>
        </w:rPr>
        <w:t>’</w:t>
      </w:r>
      <w:r w:rsidRPr="00E10507">
        <w:rPr>
          <w:rFonts w:eastAsia="Malgun Gothic"/>
          <w:bCs/>
          <w:lang w:val="fr-FR"/>
        </w:rPr>
        <w:t>un tel potentiel et d</w:t>
      </w:r>
      <w:r w:rsidR="00923E72">
        <w:rPr>
          <w:rFonts w:eastAsia="Malgun Gothic"/>
          <w:bCs/>
          <w:lang w:val="fr-FR"/>
        </w:rPr>
        <w:t>’</w:t>
      </w:r>
      <w:r w:rsidRPr="00E10507">
        <w:rPr>
          <w:rFonts w:eastAsia="Malgun Gothic"/>
          <w:bCs/>
          <w:lang w:val="fr-FR"/>
        </w:rPr>
        <w:t>une communauté de praticiens dévoués mérit</w:t>
      </w:r>
      <w:r w:rsidR="00361CBE">
        <w:rPr>
          <w:rFonts w:eastAsia="Malgun Gothic"/>
          <w:bCs/>
          <w:lang w:val="fr-FR"/>
        </w:rPr>
        <w:t>ait</w:t>
      </w:r>
      <w:r w:rsidRPr="00E10507">
        <w:rPr>
          <w:rFonts w:eastAsia="Malgun Gothic"/>
          <w:bCs/>
          <w:lang w:val="fr-FR"/>
        </w:rPr>
        <w:t xml:space="preserve"> une bien meilleure présentation, et </w:t>
      </w:r>
      <w:r w:rsidR="00361CBE">
        <w:rPr>
          <w:rFonts w:eastAsia="Malgun Gothic"/>
          <w:bCs/>
          <w:lang w:val="fr-FR"/>
        </w:rPr>
        <w:t xml:space="preserve">elle </w:t>
      </w:r>
      <w:r w:rsidRPr="00E10507">
        <w:rPr>
          <w:rFonts w:eastAsia="Malgun Gothic"/>
          <w:bCs/>
          <w:lang w:val="fr-FR"/>
        </w:rPr>
        <w:t>encourageait vivement Cuba à saisir cette occasion pour réviser le dossier, en complétant toutes les informations manquantes et en fournissant une traduction de bonne qualité, ainsi qu</w:t>
      </w:r>
      <w:r w:rsidR="00923E72">
        <w:rPr>
          <w:rFonts w:eastAsia="Malgun Gothic"/>
          <w:bCs/>
          <w:lang w:val="fr-FR"/>
        </w:rPr>
        <w:t>’</w:t>
      </w:r>
      <w:r w:rsidRPr="00E10507">
        <w:rPr>
          <w:rFonts w:eastAsia="Malgun Gothic"/>
          <w:bCs/>
          <w:lang w:val="fr-FR"/>
        </w:rPr>
        <w:t xml:space="preserve">en soumettant à nouveau une version </w:t>
      </w:r>
      <w:r w:rsidR="00361CBE">
        <w:rPr>
          <w:rFonts w:eastAsia="Malgun Gothic"/>
          <w:bCs/>
          <w:lang w:val="fr-FR"/>
        </w:rPr>
        <w:t>révisée</w:t>
      </w:r>
      <w:r w:rsidR="00C125E3">
        <w:rPr>
          <w:rFonts w:eastAsia="Malgun Gothic"/>
          <w:bCs/>
          <w:lang w:val="fr-FR"/>
        </w:rPr>
        <w:t xml:space="preserve"> </w:t>
      </w:r>
      <w:r w:rsidRPr="00E10507">
        <w:rPr>
          <w:rFonts w:eastAsia="Malgun Gothic"/>
          <w:bCs/>
          <w:lang w:val="fr-FR"/>
        </w:rPr>
        <w:t xml:space="preserve">qui </w:t>
      </w:r>
      <w:r w:rsidR="005F7FBF">
        <w:rPr>
          <w:rFonts w:eastAsia="Malgun Gothic"/>
          <w:bCs/>
          <w:lang w:val="fr-FR"/>
        </w:rPr>
        <w:t xml:space="preserve">exprime </w:t>
      </w:r>
      <w:r w:rsidRPr="00E10507">
        <w:rPr>
          <w:rFonts w:eastAsia="Malgun Gothic"/>
          <w:bCs/>
          <w:lang w:val="fr-FR"/>
        </w:rPr>
        <w:t xml:space="preserve">de manière adéquate ce que la communauté et les rédacteurs </w:t>
      </w:r>
      <w:r w:rsidR="00C125E3">
        <w:rPr>
          <w:rFonts w:eastAsia="Malgun Gothic"/>
          <w:bCs/>
          <w:lang w:val="fr-FR"/>
        </w:rPr>
        <w:t xml:space="preserve">ont </w:t>
      </w:r>
      <w:r w:rsidR="00361CBE">
        <w:rPr>
          <w:rFonts w:eastAsia="Malgun Gothic"/>
          <w:bCs/>
          <w:lang w:val="fr-FR"/>
        </w:rPr>
        <w:t>l</w:t>
      </w:r>
      <w:r w:rsidR="00923E72">
        <w:rPr>
          <w:rFonts w:eastAsia="Malgun Gothic"/>
          <w:bCs/>
          <w:lang w:val="fr-FR"/>
        </w:rPr>
        <w:t>’</w:t>
      </w:r>
      <w:r w:rsidR="00361CBE">
        <w:rPr>
          <w:rFonts w:eastAsia="Malgun Gothic"/>
          <w:bCs/>
          <w:lang w:val="fr-FR"/>
        </w:rPr>
        <w:t>intention de transmettre</w:t>
      </w:r>
      <w:r w:rsidRPr="00E10507">
        <w:rPr>
          <w:rFonts w:eastAsia="Malgun Gothic"/>
          <w:bCs/>
          <w:lang w:val="fr-FR"/>
        </w:rPr>
        <w:t>. La délégation a demandé à l</w:t>
      </w:r>
      <w:r w:rsidR="00923E72">
        <w:rPr>
          <w:rFonts w:eastAsia="Malgun Gothic"/>
          <w:bCs/>
          <w:lang w:val="fr-FR"/>
        </w:rPr>
        <w:t>’</w:t>
      </w:r>
      <w:r w:rsidRPr="00E10507">
        <w:rPr>
          <w:rFonts w:eastAsia="Malgun Gothic"/>
          <w:bCs/>
          <w:lang w:val="fr-FR"/>
        </w:rPr>
        <w:t>Organe d</w:t>
      </w:r>
      <w:r w:rsidR="00923E72">
        <w:rPr>
          <w:rFonts w:eastAsia="Malgun Gothic"/>
          <w:bCs/>
          <w:lang w:val="fr-FR"/>
        </w:rPr>
        <w:t>’</w:t>
      </w:r>
      <w:r w:rsidRPr="00E10507">
        <w:rPr>
          <w:rFonts w:eastAsia="Malgun Gothic"/>
          <w:bCs/>
          <w:lang w:val="fr-FR"/>
        </w:rPr>
        <w:t>expliquer pourquoi il n</w:t>
      </w:r>
      <w:r w:rsidR="00923E72">
        <w:rPr>
          <w:rFonts w:eastAsia="Malgun Gothic"/>
          <w:bCs/>
          <w:lang w:val="fr-FR"/>
        </w:rPr>
        <w:t>’</w:t>
      </w:r>
      <w:r w:rsidRPr="00E10507">
        <w:rPr>
          <w:rFonts w:eastAsia="Malgun Gothic"/>
          <w:bCs/>
          <w:lang w:val="fr-FR"/>
        </w:rPr>
        <w:t>avait pas utilisé l</w:t>
      </w:r>
      <w:r w:rsidR="00923E72">
        <w:rPr>
          <w:rFonts w:eastAsia="Malgun Gothic"/>
          <w:bCs/>
          <w:lang w:val="fr-FR"/>
        </w:rPr>
        <w:t>’</w:t>
      </w:r>
      <w:r w:rsidRPr="00E10507">
        <w:rPr>
          <w:rFonts w:eastAsia="Malgun Gothic"/>
          <w:bCs/>
          <w:lang w:val="fr-FR"/>
        </w:rPr>
        <w:t>option du dialogue dans ce cas</w:t>
      </w:r>
      <w:r w:rsidR="00361CBE">
        <w:rPr>
          <w:rFonts w:eastAsia="Malgun Gothic"/>
          <w:bCs/>
          <w:lang w:val="fr-FR"/>
        </w:rPr>
        <w:t xml:space="preserve"> précis</w:t>
      </w:r>
      <w:r w:rsidRPr="00E10507">
        <w:rPr>
          <w:rFonts w:eastAsia="Malgun Gothic"/>
          <w:bCs/>
          <w:lang w:val="fr-FR"/>
        </w:rPr>
        <w:t xml:space="preserve"> et pourquoi cette option avait été jugée insuffisante pour résoudre les problèmes de ce dossier.</w:t>
      </w:r>
    </w:p>
    <w:p w14:paraId="218D69C2" w14:textId="65EDDB39" w:rsidR="00361CBE" w:rsidRDefault="00361CB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61CBE">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361CBE">
        <w:rPr>
          <w:rFonts w:eastAsia="Malgun Gothic"/>
          <w:bCs/>
          <w:lang w:val="fr-FR"/>
        </w:rPr>
        <w:t xml:space="preserve"> a rappelé au Comité que l</w:t>
      </w:r>
      <w:r w:rsidR="00923E72">
        <w:rPr>
          <w:rFonts w:eastAsia="Malgun Gothic"/>
          <w:bCs/>
          <w:lang w:val="fr-FR"/>
        </w:rPr>
        <w:t>’</w:t>
      </w:r>
      <w:r w:rsidRPr="00361CBE">
        <w:rPr>
          <w:rFonts w:eastAsia="Malgun Gothic"/>
          <w:bCs/>
          <w:lang w:val="fr-FR"/>
        </w:rPr>
        <w:t>Organe n</w:t>
      </w:r>
      <w:r w:rsidR="00923E72">
        <w:rPr>
          <w:rFonts w:eastAsia="Malgun Gothic"/>
          <w:bCs/>
          <w:lang w:val="fr-FR"/>
        </w:rPr>
        <w:t>’</w:t>
      </w:r>
      <w:r w:rsidRPr="00361CBE">
        <w:rPr>
          <w:rFonts w:eastAsia="Malgun Gothic"/>
          <w:bCs/>
          <w:lang w:val="fr-FR"/>
        </w:rPr>
        <w:t>évalue pas l</w:t>
      </w:r>
      <w:r w:rsidR="00923E72">
        <w:rPr>
          <w:rFonts w:eastAsia="Malgun Gothic"/>
          <w:bCs/>
          <w:lang w:val="fr-FR"/>
        </w:rPr>
        <w:t>’</w:t>
      </w:r>
      <w:r w:rsidRPr="00361CBE">
        <w:rPr>
          <w:rFonts w:eastAsia="Malgun Gothic"/>
          <w:bCs/>
          <w:lang w:val="fr-FR"/>
        </w:rPr>
        <w:t>élément lui-même et que</w:t>
      </w:r>
      <w:r>
        <w:rPr>
          <w:rFonts w:eastAsia="Malgun Gothic"/>
          <w:bCs/>
          <w:lang w:val="fr-FR"/>
        </w:rPr>
        <w:t>,</w:t>
      </w:r>
      <w:r w:rsidRPr="00361CBE">
        <w:rPr>
          <w:rFonts w:eastAsia="Malgun Gothic"/>
          <w:bCs/>
          <w:lang w:val="fr-FR"/>
        </w:rPr>
        <w:t xml:space="preserve"> dans tous les cas, il évalue uniquement les informations communiquées dans le dossier par l</w:t>
      </w:r>
      <w:r w:rsidR="00923E72">
        <w:rPr>
          <w:rFonts w:eastAsia="Malgun Gothic"/>
          <w:bCs/>
          <w:lang w:val="fr-FR"/>
        </w:rPr>
        <w:t>’</w:t>
      </w:r>
      <w:r w:rsidRPr="00361CBE">
        <w:rPr>
          <w:rFonts w:eastAsia="Malgun Gothic"/>
          <w:bCs/>
          <w:lang w:val="fr-FR"/>
        </w:rPr>
        <w:t>État partie. L</w:t>
      </w:r>
      <w:r w:rsidR="00923E72">
        <w:rPr>
          <w:rFonts w:eastAsia="Malgun Gothic"/>
          <w:bCs/>
          <w:lang w:val="fr-FR"/>
        </w:rPr>
        <w:t>’</w:t>
      </w:r>
      <w:r w:rsidRPr="00361CBE">
        <w:rPr>
          <w:rFonts w:eastAsia="Malgun Gothic"/>
          <w:bCs/>
          <w:lang w:val="fr-FR"/>
        </w:rPr>
        <w:t>Organe ne pouvait pas fonder son évaluation sur des connaissances personnelles ou des informations externes. Il devait évaluer les informations transmises par l</w:t>
      </w:r>
      <w:r w:rsidR="00923E72">
        <w:rPr>
          <w:rFonts w:eastAsia="Malgun Gothic"/>
          <w:bCs/>
          <w:lang w:val="fr-FR"/>
        </w:rPr>
        <w:t>’</w:t>
      </w:r>
      <w:r w:rsidRPr="00361CBE">
        <w:rPr>
          <w:rFonts w:eastAsia="Malgun Gothic"/>
          <w:bCs/>
          <w:lang w:val="fr-FR"/>
        </w:rPr>
        <w:t>État. L</w:t>
      </w:r>
      <w:r w:rsidR="00923E72">
        <w:rPr>
          <w:rFonts w:eastAsia="Malgun Gothic"/>
          <w:bCs/>
          <w:lang w:val="fr-FR"/>
        </w:rPr>
        <w:t>’</w:t>
      </w:r>
      <w:r w:rsidRPr="00361CBE">
        <w:rPr>
          <w:rFonts w:eastAsia="Malgun Gothic"/>
          <w:bCs/>
          <w:lang w:val="fr-FR"/>
        </w:rPr>
        <w:t>évaluation ne portait pas sur l</w:t>
      </w:r>
      <w:r w:rsidR="00923E72">
        <w:rPr>
          <w:rFonts w:eastAsia="Malgun Gothic"/>
          <w:bCs/>
          <w:lang w:val="fr-FR"/>
        </w:rPr>
        <w:t>’</w:t>
      </w:r>
      <w:r w:rsidRPr="00361CBE">
        <w:rPr>
          <w:rFonts w:eastAsia="Malgun Gothic"/>
          <w:bCs/>
          <w:lang w:val="fr-FR"/>
        </w:rPr>
        <w:t>élément, mais sur les informations fournies par l</w:t>
      </w:r>
      <w:r w:rsidR="00923E72">
        <w:rPr>
          <w:rFonts w:eastAsia="Malgun Gothic"/>
          <w:bCs/>
          <w:lang w:val="fr-FR"/>
        </w:rPr>
        <w:t>’</w:t>
      </w:r>
      <w:r w:rsidRPr="00361CBE">
        <w:rPr>
          <w:rFonts w:eastAsia="Malgun Gothic"/>
          <w:bCs/>
          <w:lang w:val="fr-FR"/>
        </w:rPr>
        <w:t>État. Dans ce cas précis, il n</w:t>
      </w:r>
      <w:r w:rsidR="00923E72">
        <w:rPr>
          <w:rFonts w:eastAsia="Malgun Gothic"/>
          <w:bCs/>
          <w:lang w:val="fr-FR"/>
        </w:rPr>
        <w:t>’</w:t>
      </w:r>
      <w:r w:rsidRPr="00361CBE">
        <w:rPr>
          <w:rFonts w:eastAsia="Malgun Gothic"/>
          <w:bCs/>
          <w:lang w:val="fr-FR"/>
        </w:rPr>
        <w:t>a</w:t>
      </w:r>
      <w:r>
        <w:rPr>
          <w:rFonts w:eastAsia="Malgun Gothic"/>
          <w:bCs/>
          <w:lang w:val="fr-FR"/>
        </w:rPr>
        <w:t>vait</w:t>
      </w:r>
      <w:r w:rsidRPr="00361CBE">
        <w:rPr>
          <w:rFonts w:eastAsia="Malgun Gothic"/>
          <w:bCs/>
          <w:lang w:val="fr-FR"/>
        </w:rPr>
        <w:t xml:space="preserve"> pas été possible d</w:t>
      </w:r>
      <w:r w:rsidR="00923E72">
        <w:rPr>
          <w:rFonts w:eastAsia="Malgun Gothic"/>
          <w:bCs/>
          <w:lang w:val="fr-FR"/>
        </w:rPr>
        <w:t>’</w:t>
      </w:r>
      <w:r w:rsidRPr="00361CBE">
        <w:rPr>
          <w:rFonts w:eastAsia="Malgun Gothic"/>
          <w:bCs/>
          <w:lang w:val="fr-FR"/>
        </w:rPr>
        <w:t>utiliser l</w:t>
      </w:r>
      <w:r w:rsidR="00923E72">
        <w:rPr>
          <w:rFonts w:eastAsia="Malgun Gothic"/>
          <w:bCs/>
          <w:lang w:val="fr-FR"/>
        </w:rPr>
        <w:t>’</w:t>
      </w:r>
      <w:r w:rsidRPr="00361CBE">
        <w:rPr>
          <w:rFonts w:eastAsia="Malgun Gothic"/>
          <w:bCs/>
          <w:lang w:val="fr-FR"/>
        </w:rPr>
        <w:t>option de dialogue</w:t>
      </w:r>
      <w:r w:rsidR="00F92345">
        <w:rPr>
          <w:rFonts w:eastAsia="Malgun Gothic"/>
          <w:bCs/>
          <w:lang w:val="fr-FR"/>
        </w:rPr>
        <w:t>,</w:t>
      </w:r>
      <w:r w:rsidRPr="00361CBE">
        <w:rPr>
          <w:rFonts w:eastAsia="Malgun Gothic"/>
          <w:bCs/>
          <w:lang w:val="fr-FR"/>
        </w:rPr>
        <w:t xml:space="preserve"> car le processus de dialogue n</w:t>
      </w:r>
      <w:r w:rsidR="00923E72">
        <w:rPr>
          <w:rFonts w:eastAsia="Malgun Gothic"/>
          <w:bCs/>
          <w:lang w:val="fr-FR"/>
        </w:rPr>
        <w:t>’</w:t>
      </w:r>
      <w:r>
        <w:rPr>
          <w:rFonts w:eastAsia="Malgun Gothic"/>
          <w:bCs/>
          <w:lang w:val="fr-FR"/>
        </w:rPr>
        <w:t>est</w:t>
      </w:r>
      <w:r w:rsidRPr="00361CBE">
        <w:rPr>
          <w:rFonts w:eastAsia="Malgun Gothic"/>
          <w:bCs/>
          <w:lang w:val="fr-FR"/>
        </w:rPr>
        <w:t xml:space="preserve"> établi que pour répondre à une question spécifique qui nécessit</w:t>
      </w:r>
      <w:r>
        <w:rPr>
          <w:rFonts w:eastAsia="Malgun Gothic"/>
          <w:bCs/>
          <w:lang w:val="fr-FR"/>
        </w:rPr>
        <w:t>e</w:t>
      </w:r>
      <w:r w:rsidRPr="00361CBE">
        <w:rPr>
          <w:rFonts w:eastAsia="Malgun Gothic"/>
          <w:bCs/>
          <w:lang w:val="fr-FR"/>
        </w:rPr>
        <w:t xml:space="preserve"> une réponse spécifique, comme le stipule le paragraphe</w:t>
      </w:r>
      <w:r>
        <w:rPr>
          <w:rFonts w:eastAsia="Malgun Gothic"/>
          <w:bCs/>
          <w:lang w:val="fr-FR"/>
        </w:rPr>
        <w:t> </w:t>
      </w:r>
      <w:r w:rsidRPr="00361CBE">
        <w:rPr>
          <w:rFonts w:eastAsia="Malgun Gothic"/>
          <w:bCs/>
          <w:lang w:val="fr-FR"/>
        </w:rPr>
        <w:t>55 des Directives opérationnelles. L</w:t>
      </w:r>
      <w:r w:rsidR="00923E72">
        <w:rPr>
          <w:rFonts w:eastAsia="Malgun Gothic"/>
          <w:bCs/>
          <w:lang w:val="fr-FR"/>
        </w:rPr>
        <w:t>’</w:t>
      </w:r>
      <w:r w:rsidRPr="00361CBE">
        <w:rPr>
          <w:rFonts w:eastAsia="Malgun Gothic"/>
          <w:bCs/>
          <w:lang w:val="fr-FR"/>
        </w:rPr>
        <w:t>option de dialogue était utilisée lorsque l</w:t>
      </w:r>
      <w:r w:rsidR="00923E72">
        <w:rPr>
          <w:rFonts w:eastAsia="Malgun Gothic"/>
          <w:bCs/>
          <w:lang w:val="fr-FR"/>
        </w:rPr>
        <w:t>’</w:t>
      </w:r>
      <w:r>
        <w:rPr>
          <w:rFonts w:eastAsia="Malgun Gothic"/>
          <w:bCs/>
          <w:lang w:val="fr-FR"/>
        </w:rPr>
        <w:t>O</w:t>
      </w:r>
      <w:r w:rsidRPr="00361CBE">
        <w:rPr>
          <w:rFonts w:eastAsia="Malgun Gothic"/>
          <w:bCs/>
          <w:lang w:val="fr-FR"/>
        </w:rPr>
        <w:t>rgane pensait qu</w:t>
      </w:r>
      <w:r w:rsidR="00923E72">
        <w:rPr>
          <w:rFonts w:eastAsia="Malgun Gothic"/>
          <w:bCs/>
          <w:lang w:val="fr-FR"/>
        </w:rPr>
        <w:t>’</w:t>
      </w:r>
      <w:r w:rsidRPr="00361CBE">
        <w:rPr>
          <w:rFonts w:eastAsia="Malgun Gothic"/>
          <w:bCs/>
          <w:lang w:val="fr-FR"/>
        </w:rPr>
        <w:t>il y avait un problème spécifique dans le dossier que l</w:t>
      </w:r>
      <w:r w:rsidR="00923E72">
        <w:rPr>
          <w:rFonts w:eastAsia="Malgun Gothic"/>
          <w:bCs/>
          <w:lang w:val="fr-FR"/>
        </w:rPr>
        <w:t>’</w:t>
      </w:r>
      <w:r w:rsidRPr="00361CBE">
        <w:rPr>
          <w:rFonts w:eastAsia="Malgun Gothic"/>
          <w:bCs/>
          <w:lang w:val="fr-FR"/>
        </w:rPr>
        <w:t>Organe pouvait clarifier en posant une question spécifique à l</w:t>
      </w:r>
      <w:r w:rsidR="00923E72">
        <w:rPr>
          <w:rFonts w:eastAsia="Malgun Gothic"/>
          <w:bCs/>
          <w:lang w:val="fr-FR"/>
        </w:rPr>
        <w:t>’</w:t>
      </w:r>
      <w:r w:rsidRPr="00361CBE">
        <w:rPr>
          <w:rFonts w:eastAsia="Malgun Gothic"/>
          <w:bCs/>
          <w:lang w:val="fr-FR"/>
        </w:rPr>
        <w:t>État partie</w:t>
      </w:r>
      <w:r w:rsidR="009F1531">
        <w:rPr>
          <w:rFonts w:eastAsia="Malgun Gothic"/>
          <w:bCs/>
          <w:lang w:val="fr-FR"/>
        </w:rPr>
        <w:t>, m</w:t>
      </w:r>
      <w:r w:rsidRPr="00361CBE">
        <w:rPr>
          <w:rFonts w:eastAsia="Malgun Gothic"/>
          <w:bCs/>
          <w:lang w:val="fr-FR"/>
        </w:rPr>
        <w:t xml:space="preserve">ais </w:t>
      </w:r>
      <w:r w:rsidR="009F1531">
        <w:rPr>
          <w:rFonts w:eastAsia="Malgun Gothic"/>
          <w:bCs/>
          <w:lang w:val="fr-FR"/>
        </w:rPr>
        <w:t xml:space="preserve">il </w:t>
      </w:r>
      <w:r w:rsidRPr="00361CBE">
        <w:rPr>
          <w:rFonts w:eastAsia="Malgun Gothic"/>
          <w:bCs/>
          <w:lang w:val="fr-FR"/>
        </w:rPr>
        <w:t>ne pouvait pas utiliser l</w:t>
      </w:r>
      <w:r w:rsidR="00923E72">
        <w:rPr>
          <w:rFonts w:eastAsia="Malgun Gothic"/>
          <w:bCs/>
          <w:lang w:val="fr-FR"/>
        </w:rPr>
        <w:t>’</w:t>
      </w:r>
      <w:r w:rsidRPr="00361CBE">
        <w:rPr>
          <w:rFonts w:eastAsia="Malgun Gothic"/>
          <w:bCs/>
          <w:lang w:val="fr-FR"/>
        </w:rPr>
        <w:t>option de dialogue pour donner à l</w:t>
      </w:r>
      <w:r w:rsidR="00923E72">
        <w:rPr>
          <w:rFonts w:eastAsia="Malgun Gothic"/>
          <w:bCs/>
          <w:lang w:val="fr-FR"/>
        </w:rPr>
        <w:t>’</w:t>
      </w:r>
      <w:r w:rsidRPr="00361CBE">
        <w:rPr>
          <w:rFonts w:eastAsia="Malgun Gothic"/>
          <w:bCs/>
          <w:lang w:val="fr-FR"/>
        </w:rPr>
        <w:t>État partie la possibilité d</w:t>
      </w:r>
      <w:r w:rsidR="00923E72">
        <w:rPr>
          <w:rFonts w:eastAsia="Malgun Gothic"/>
          <w:bCs/>
          <w:lang w:val="fr-FR"/>
        </w:rPr>
        <w:t>’</w:t>
      </w:r>
      <w:r w:rsidRPr="00361CBE">
        <w:rPr>
          <w:rFonts w:eastAsia="Malgun Gothic"/>
          <w:bCs/>
          <w:lang w:val="fr-FR"/>
        </w:rPr>
        <w:t>ajouter des informations supplémentaires ou de réécrire le dossier. Dans ce cas particulier, l</w:t>
      </w:r>
      <w:r w:rsidR="00923E72">
        <w:rPr>
          <w:rFonts w:eastAsia="Malgun Gothic"/>
          <w:bCs/>
          <w:lang w:val="fr-FR"/>
        </w:rPr>
        <w:t>’</w:t>
      </w:r>
      <w:r w:rsidRPr="00361CBE">
        <w:rPr>
          <w:rFonts w:eastAsia="Malgun Gothic"/>
          <w:bCs/>
          <w:lang w:val="fr-FR"/>
        </w:rPr>
        <w:t xml:space="preserve">Organe avait trouvé un certain nombre de </w:t>
      </w:r>
      <w:r w:rsidR="009F1531">
        <w:rPr>
          <w:rFonts w:eastAsia="Malgun Gothic"/>
          <w:bCs/>
          <w:lang w:val="fr-FR"/>
        </w:rPr>
        <w:t xml:space="preserve">problèmes </w:t>
      </w:r>
      <w:r w:rsidRPr="00361CBE">
        <w:rPr>
          <w:rFonts w:eastAsia="Malgun Gothic"/>
          <w:bCs/>
          <w:lang w:val="fr-FR"/>
        </w:rPr>
        <w:t>importants qu</w:t>
      </w:r>
      <w:r w:rsidR="00923E72">
        <w:rPr>
          <w:rFonts w:eastAsia="Malgun Gothic"/>
          <w:bCs/>
          <w:lang w:val="fr-FR"/>
        </w:rPr>
        <w:t>’</w:t>
      </w:r>
      <w:r w:rsidRPr="00361CBE">
        <w:rPr>
          <w:rFonts w:eastAsia="Malgun Gothic"/>
          <w:bCs/>
          <w:lang w:val="fr-FR"/>
        </w:rPr>
        <w:t>il était impossible de résoudre en posant une question spécifique et qui étaient liés à la définition de l</w:t>
      </w:r>
      <w:r w:rsidR="00923E72">
        <w:rPr>
          <w:rFonts w:eastAsia="Malgun Gothic"/>
          <w:bCs/>
          <w:lang w:val="fr-FR"/>
        </w:rPr>
        <w:t>’</w:t>
      </w:r>
      <w:r w:rsidRPr="00361CBE">
        <w:rPr>
          <w:rFonts w:eastAsia="Malgun Gothic"/>
          <w:bCs/>
          <w:lang w:val="fr-FR"/>
        </w:rPr>
        <w:t>élément et aux mesures de sauvegarde.</w:t>
      </w:r>
    </w:p>
    <w:p w14:paraId="0EE8C6F6" w14:textId="70FFFCAF" w:rsidR="009F1531" w:rsidRDefault="009F153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F1531">
        <w:rPr>
          <w:rFonts w:eastAsia="Malgun Gothic"/>
          <w:bCs/>
          <w:lang w:val="fr-FR"/>
        </w:rPr>
        <w:lastRenderedPageBreak/>
        <w:t xml:space="preserve">La délégation du </w:t>
      </w:r>
      <w:r w:rsidRPr="00702497">
        <w:rPr>
          <w:rFonts w:eastAsia="Malgun Gothic"/>
          <w:b/>
          <w:lang w:val="fr-FR"/>
        </w:rPr>
        <w:t>Botswana</w:t>
      </w:r>
      <w:r w:rsidRPr="009F1531">
        <w:rPr>
          <w:rFonts w:eastAsia="Malgun Gothic"/>
          <w:bCs/>
          <w:lang w:val="fr-FR"/>
        </w:rPr>
        <w:t xml:space="preserve"> </w:t>
      </w:r>
      <w:r>
        <w:rPr>
          <w:rFonts w:eastAsia="Malgun Gothic"/>
          <w:bCs/>
          <w:lang w:val="fr-FR"/>
        </w:rPr>
        <w:t xml:space="preserve">était </w:t>
      </w:r>
      <w:r w:rsidRPr="009F1531">
        <w:rPr>
          <w:rFonts w:eastAsia="Malgun Gothic"/>
          <w:bCs/>
          <w:lang w:val="fr-FR"/>
        </w:rPr>
        <w:t>satisfaite de l</w:t>
      </w:r>
      <w:r w:rsidR="00923E72">
        <w:rPr>
          <w:rFonts w:eastAsia="Malgun Gothic"/>
          <w:bCs/>
          <w:lang w:val="fr-FR"/>
        </w:rPr>
        <w:t>’</w:t>
      </w:r>
      <w:r w:rsidRPr="009F1531">
        <w:rPr>
          <w:rFonts w:eastAsia="Malgun Gothic"/>
          <w:bCs/>
          <w:lang w:val="fr-FR"/>
        </w:rPr>
        <w:t xml:space="preserve">explication </w:t>
      </w:r>
      <w:r>
        <w:rPr>
          <w:rFonts w:eastAsia="Malgun Gothic"/>
          <w:bCs/>
          <w:lang w:val="fr-FR"/>
        </w:rPr>
        <w:t xml:space="preserve">donnée </w:t>
      </w:r>
      <w:r w:rsidRPr="009F1531">
        <w:rPr>
          <w:rFonts w:eastAsia="Malgun Gothic"/>
          <w:bCs/>
          <w:lang w:val="fr-FR"/>
        </w:rPr>
        <w:t>par la délégation cubaine et des amendements proposés par le Brésil et soutenus par les pays figurant sur la liste des co</w:t>
      </w:r>
      <w:r>
        <w:rPr>
          <w:rFonts w:eastAsia="Malgun Gothic"/>
          <w:bCs/>
          <w:lang w:val="fr-FR"/>
        </w:rPr>
        <w:t>auteurs</w:t>
      </w:r>
      <w:r w:rsidRPr="009F1531">
        <w:rPr>
          <w:rFonts w:eastAsia="Malgun Gothic"/>
          <w:bCs/>
          <w:lang w:val="fr-FR"/>
        </w:rPr>
        <w:t>. Elle souhait</w:t>
      </w:r>
      <w:r>
        <w:rPr>
          <w:rFonts w:eastAsia="Malgun Gothic"/>
          <w:bCs/>
          <w:lang w:val="fr-FR"/>
        </w:rPr>
        <w:t>ait</w:t>
      </w:r>
      <w:r w:rsidRPr="009F1531">
        <w:rPr>
          <w:rFonts w:eastAsia="Malgun Gothic"/>
          <w:bCs/>
          <w:lang w:val="fr-FR"/>
        </w:rPr>
        <w:t xml:space="preserve"> ajouter son nom à la liste des</w:t>
      </w:r>
      <w:r>
        <w:rPr>
          <w:rFonts w:eastAsia="Malgun Gothic"/>
          <w:bCs/>
          <w:lang w:val="fr-FR"/>
        </w:rPr>
        <w:t xml:space="preserve"> coauteurs</w:t>
      </w:r>
      <w:r w:rsidRPr="009F1531">
        <w:rPr>
          <w:rFonts w:eastAsia="Malgun Gothic"/>
          <w:bCs/>
          <w:lang w:val="fr-FR"/>
        </w:rPr>
        <w:t>.</w:t>
      </w:r>
    </w:p>
    <w:p w14:paraId="1DDED970" w14:textId="6A5323C2" w:rsidR="009F1531" w:rsidRDefault="009F153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F1531">
        <w:rPr>
          <w:rFonts w:eastAsia="Malgun Gothic"/>
          <w:bCs/>
          <w:lang w:val="fr-FR"/>
        </w:rPr>
        <w:t xml:space="preserve">La délégation du </w:t>
      </w:r>
      <w:r w:rsidRPr="00702497">
        <w:rPr>
          <w:rFonts w:eastAsia="Malgun Gothic"/>
          <w:b/>
          <w:lang w:val="fr-FR"/>
        </w:rPr>
        <w:t>Viet</w:t>
      </w:r>
      <w:r>
        <w:rPr>
          <w:rFonts w:eastAsia="Malgun Gothic"/>
          <w:b/>
          <w:lang w:val="fr-FR"/>
        </w:rPr>
        <w:t> </w:t>
      </w:r>
      <w:r w:rsidRPr="00702497">
        <w:rPr>
          <w:rFonts w:eastAsia="Malgun Gothic"/>
          <w:b/>
          <w:lang w:val="fr-FR"/>
        </w:rPr>
        <w:t>Nam</w:t>
      </w:r>
      <w:r w:rsidRPr="009F1531">
        <w:rPr>
          <w:rFonts w:eastAsia="Malgun Gothic"/>
          <w:bCs/>
          <w:lang w:val="fr-FR"/>
        </w:rPr>
        <w:t xml:space="preserve"> s</w:t>
      </w:r>
      <w:r w:rsidR="00923E72">
        <w:rPr>
          <w:rFonts w:eastAsia="Malgun Gothic"/>
          <w:bCs/>
          <w:lang w:val="fr-FR"/>
        </w:rPr>
        <w:t>’</w:t>
      </w:r>
      <w:r w:rsidRPr="009F1531">
        <w:rPr>
          <w:rFonts w:eastAsia="Malgun Gothic"/>
          <w:bCs/>
          <w:lang w:val="fr-FR"/>
        </w:rPr>
        <w:t xml:space="preserve">est déclarée satisfaite des informations </w:t>
      </w:r>
      <w:r>
        <w:rPr>
          <w:rFonts w:eastAsia="Malgun Gothic"/>
          <w:bCs/>
          <w:lang w:val="fr-FR"/>
        </w:rPr>
        <w:t xml:space="preserve">communiquées </w:t>
      </w:r>
      <w:r w:rsidRPr="009F1531">
        <w:rPr>
          <w:rFonts w:eastAsia="Malgun Gothic"/>
          <w:bCs/>
          <w:lang w:val="fr-FR"/>
        </w:rPr>
        <w:t>par Cuba sur l</w:t>
      </w:r>
      <w:r w:rsidR="00923E72">
        <w:rPr>
          <w:rFonts w:eastAsia="Malgun Gothic"/>
          <w:bCs/>
          <w:lang w:val="fr-FR"/>
        </w:rPr>
        <w:t>’</w:t>
      </w:r>
      <w:r w:rsidRPr="009F1531">
        <w:rPr>
          <w:rFonts w:eastAsia="Malgun Gothic"/>
          <w:bCs/>
          <w:lang w:val="fr-FR"/>
        </w:rPr>
        <w:t xml:space="preserve">aspect </w:t>
      </w:r>
      <w:r>
        <w:rPr>
          <w:rFonts w:eastAsia="Malgun Gothic"/>
          <w:bCs/>
          <w:lang w:val="fr-FR"/>
        </w:rPr>
        <w:t xml:space="preserve">de la </w:t>
      </w:r>
      <w:r w:rsidRPr="009F1531">
        <w:rPr>
          <w:rFonts w:eastAsia="Malgun Gothic"/>
          <w:bCs/>
          <w:lang w:val="fr-FR"/>
        </w:rPr>
        <w:t>candidature</w:t>
      </w:r>
      <w:r>
        <w:rPr>
          <w:rFonts w:eastAsia="Malgun Gothic"/>
          <w:bCs/>
          <w:lang w:val="fr-FR"/>
        </w:rPr>
        <w:t xml:space="preserve"> </w:t>
      </w:r>
      <w:r w:rsidRPr="009F1531">
        <w:rPr>
          <w:rFonts w:eastAsia="Malgun Gothic"/>
          <w:bCs/>
          <w:lang w:val="fr-FR"/>
        </w:rPr>
        <w:t>lié à la manière dont l</w:t>
      </w:r>
      <w:r w:rsidR="00923E72">
        <w:rPr>
          <w:rFonts w:eastAsia="Malgun Gothic"/>
          <w:bCs/>
          <w:lang w:val="fr-FR"/>
        </w:rPr>
        <w:t>’</w:t>
      </w:r>
      <w:r w:rsidRPr="009F1531">
        <w:rPr>
          <w:rFonts w:eastAsia="Malgun Gothic"/>
          <w:bCs/>
          <w:lang w:val="fr-FR"/>
        </w:rPr>
        <w:t xml:space="preserve">inscription de cet élément pourrait contribuer à la visibilité du patrimoine culturel immatériel. </w:t>
      </w:r>
      <w:r>
        <w:rPr>
          <w:rFonts w:eastAsia="Malgun Gothic"/>
          <w:bCs/>
          <w:lang w:val="fr-FR"/>
        </w:rPr>
        <w:t xml:space="preserve">Cela </w:t>
      </w:r>
      <w:r w:rsidRPr="009F1531">
        <w:rPr>
          <w:rFonts w:eastAsia="Malgun Gothic"/>
          <w:bCs/>
          <w:lang w:val="fr-FR"/>
        </w:rPr>
        <w:t xml:space="preserve">permettrait de </w:t>
      </w:r>
      <w:r>
        <w:rPr>
          <w:rFonts w:eastAsia="Malgun Gothic"/>
          <w:bCs/>
          <w:lang w:val="fr-FR"/>
        </w:rPr>
        <w:t xml:space="preserve">faire prendre conscience de </w:t>
      </w:r>
      <w:r w:rsidRPr="009F1531">
        <w:rPr>
          <w:rFonts w:eastAsia="Malgun Gothic"/>
          <w:bCs/>
          <w:lang w:val="fr-FR"/>
        </w:rPr>
        <w:t>l</w:t>
      </w:r>
      <w:r w:rsidR="00923E72">
        <w:rPr>
          <w:rFonts w:eastAsia="Malgun Gothic"/>
          <w:bCs/>
          <w:lang w:val="fr-FR"/>
        </w:rPr>
        <w:t>’</w:t>
      </w:r>
      <w:r w:rsidRPr="009F1531">
        <w:rPr>
          <w:rFonts w:eastAsia="Malgun Gothic"/>
          <w:bCs/>
          <w:lang w:val="fr-FR"/>
        </w:rPr>
        <w:t>importance du savoir</w:t>
      </w:r>
      <w:r>
        <w:rPr>
          <w:rFonts w:eastAsia="Malgun Gothic"/>
          <w:bCs/>
          <w:lang w:val="fr-FR"/>
        </w:rPr>
        <w:noBreakHyphen/>
        <w:t>faire</w:t>
      </w:r>
      <w:r w:rsidRPr="009F1531">
        <w:rPr>
          <w:rFonts w:eastAsia="Malgun Gothic"/>
          <w:bCs/>
          <w:lang w:val="fr-FR"/>
        </w:rPr>
        <w:t xml:space="preserve"> des maîtres du rhum léger, une tradition centenaire. Ce savoir</w:t>
      </w:r>
      <w:r>
        <w:rPr>
          <w:rFonts w:eastAsia="Malgun Gothic"/>
          <w:bCs/>
          <w:lang w:val="fr-FR"/>
        </w:rPr>
        <w:noBreakHyphen/>
        <w:t>faire</w:t>
      </w:r>
      <w:r w:rsidRPr="009F1531">
        <w:rPr>
          <w:rFonts w:eastAsia="Malgun Gothic"/>
          <w:bCs/>
          <w:lang w:val="fr-FR"/>
        </w:rPr>
        <w:t xml:space="preserve"> </w:t>
      </w:r>
      <w:r>
        <w:rPr>
          <w:rFonts w:eastAsia="Malgun Gothic"/>
          <w:bCs/>
          <w:lang w:val="fr-FR"/>
        </w:rPr>
        <w:t xml:space="preserve">était </w:t>
      </w:r>
      <w:r w:rsidRPr="009F1531">
        <w:rPr>
          <w:rFonts w:eastAsia="Malgun Gothic"/>
          <w:bCs/>
          <w:lang w:val="fr-FR"/>
        </w:rPr>
        <w:t>le résultat de la créativité humaine et n</w:t>
      </w:r>
      <w:r w:rsidR="00923E72">
        <w:rPr>
          <w:rFonts w:eastAsia="Malgun Gothic"/>
          <w:bCs/>
          <w:lang w:val="fr-FR"/>
        </w:rPr>
        <w:t>’</w:t>
      </w:r>
      <w:r w:rsidRPr="009F1531">
        <w:rPr>
          <w:rFonts w:eastAsia="Malgun Gothic"/>
          <w:bCs/>
          <w:lang w:val="fr-FR"/>
        </w:rPr>
        <w:t>a</w:t>
      </w:r>
      <w:r>
        <w:rPr>
          <w:rFonts w:eastAsia="Malgun Gothic"/>
          <w:bCs/>
          <w:lang w:val="fr-FR"/>
        </w:rPr>
        <w:t>vait</w:t>
      </w:r>
      <w:r w:rsidRPr="009F1531">
        <w:rPr>
          <w:rFonts w:eastAsia="Malgun Gothic"/>
          <w:bCs/>
          <w:lang w:val="fr-FR"/>
        </w:rPr>
        <w:t xml:space="preserve"> pas été remplacé ou substitué par la technologie. Le Viet</w:t>
      </w:r>
      <w:r>
        <w:rPr>
          <w:rFonts w:eastAsia="Malgun Gothic"/>
          <w:bCs/>
          <w:lang w:val="fr-FR"/>
        </w:rPr>
        <w:t> </w:t>
      </w:r>
      <w:r w:rsidRPr="009F1531">
        <w:rPr>
          <w:rFonts w:eastAsia="Malgun Gothic"/>
          <w:bCs/>
          <w:lang w:val="fr-FR"/>
        </w:rPr>
        <w:t>Nam soutenait donc l</w:t>
      </w:r>
      <w:r w:rsidR="00923E72">
        <w:rPr>
          <w:rFonts w:eastAsia="Malgun Gothic"/>
          <w:bCs/>
          <w:lang w:val="fr-FR"/>
        </w:rPr>
        <w:t>’</w:t>
      </w:r>
      <w:r w:rsidRPr="009F1531">
        <w:rPr>
          <w:rFonts w:eastAsia="Malgun Gothic"/>
          <w:bCs/>
          <w:lang w:val="fr-FR"/>
        </w:rPr>
        <w:t>inscription du dossier.</w:t>
      </w:r>
    </w:p>
    <w:p w14:paraId="674152AE" w14:textId="64E3D89B" w:rsidR="009F1531" w:rsidRDefault="00D01E1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01E1F">
        <w:rPr>
          <w:rFonts w:eastAsia="Malgun Gothic"/>
          <w:bCs/>
          <w:lang w:val="fr-FR"/>
        </w:rPr>
        <w:t xml:space="preserve">La délégation de la </w:t>
      </w:r>
      <w:r w:rsidRPr="00702497">
        <w:rPr>
          <w:rFonts w:eastAsia="Malgun Gothic"/>
          <w:b/>
          <w:lang w:val="fr-FR"/>
        </w:rPr>
        <w:t>Slovaquie</w:t>
      </w:r>
      <w:r w:rsidRPr="00D01E1F">
        <w:rPr>
          <w:rFonts w:eastAsia="Malgun Gothic"/>
          <w:bCs/>
          <w:lang w:val="fr-FR"/>
        </w:rPr>
        <w:t xml:space="preserve"> a remercié Cuba pour son explication complémentaire détaillée. En tant que nouveau membre du Comité, elle </w:t>
      </w:r>
      <w:r>
        <w:rPr>
          <w:rFonts w:eastAsia="Malgun Gothic"/>
          <w:bCs/>
          <w:lang w:val="fr-FR"/>
        </w:rPr>
        <w:t xml:space="preserve">était </w:t>
      </w:r>
      <w:r w:rsidRPr="00D01E1F">
        <w:rPr>
          <w:rFonts w:eastAsia="Malgun Gothic"/>
          <w:bCs/>
          <w:lang w:val="fr-FR"/>
        </w:rPr>
        <w:t xml:space="preserve">un peu </w:t>
      </w:r>
      <w:r>
        <w:rPr>
          <w:rFonts w:eastAsia="Malgun Gothic"/>
          <w:bCs/>
          <w:lang w:val="fr-FR"/>
        </w:rPr>
        <w:t>déconcertée</w:t>
      </w:r>
      <w:r w:rsidR="00006642">
        <w:rPr>
          <w:rFonts w:eastAsia="Malgun Gothic"/>
          <w:bCs/>
          <w:lang w:val="fr-FR"/>
        </w:rPr>
        <w:t>,</w:t>
      </w:r>
      <w:r>
        <w:rPr>
          <w:rFonts w:eastAsia="Malgun Gothic"/>
          <w:bCs/>
          <w:lang w:val="fr-FR"/>
        </w:rPr>
        <w:t xml:space="preserve"> </w:t>
      </w:r>
      <w:r w:rsidRPr="00D01E1F">
        <w:rPr>
          <w:rFonts w:eastAsia="Malgun Gothic"/>
          <w:bCs/>
          <w:lang w:val="fr-FR"/>
        </w:rPr>
        <w:t>car la question principale concernait l</w:t>
      </w:r>
      <w:r w:rsidR="00923E72">
        <w:rPr>
          <w:rFonts w:eastAsia="Malgun Gothic"/>
          <w:bCs/>
          <w:lang w:val="fr-FR"/>
        </w:rPr>
        <w:t>’</w:t>
      </w:r>
      <w:r w:rsidRPr="00D01E1F">
        <w:rPr>
          <w:rFonts w:eastAsia="Malgun Gothic"/>
          <w:bCs/>
          <w:lang w:val="fr-FR"/>
        </w:rPr>
        <w:t>efficacité et la cohérence du processus de prise de décision par ce Comité. Jusqu</w:t>
      </w:r>
      <w:r w:rsidR="00923E72">
        <w:rPr>
          <w:rFonts w:eastAsia="Malgun Gothic"/>
          <w:bCs/>
          <w:lang w:val="fr-FR"/>
        </w:rPr>
        <w:t>’</w:t>
      </w:r>
      <w:r w:rsidRPr="00D01E1F">
        <w:rPr>
          <w:rFonts w:eastAsia="Malgun Gothic"/>
          <w:bCs/>
          <w:lang w:val="fr-FR"/>
        </w:rPr>
        <w:t>à présent, le processus avait été cohérent grâce à l</w:t>
      </w:r>
      <w:r w:rsidR="00923E72">
        <w:rPr>
          <w:rFonts w:eastAsia="Malgun Gothic"/>
          <w:bCs/>
          <w:lang w:val="fr-FR"/>
        </w:rPr>
        <w:t>’</w:t>
      </w:r>
      <w:r w:rsidRPr="00D01E1F">
        <w:rPr>
          <w:rFonts w:eastAsia="Malgun Gothic"/>
          <w:bCs/>
          <w:lang w:val="fr-FR"/>
        </w:rPr>
        <w:t>existence de l</w:t>
      </w:r>
      <w:r w:rsidR="00923E72">
        <w:rPr>
          <w:rFonts w:eastAsia="Malgun Gothic"/>
          <w:bCs/>
          <w:lang w:val="fr-FR"/>
        </w:rPr>
        <w:t>’</w:t>
      </w:r>
      <w:r w:rsidRPr="00D01E1F">
        <w:rPr>
          <w:rFonts w:eastAsia="Malgun Gothic"/>
          <w:bCs/>
          <w:lang w:val="fr-FR"/>
        </w:rPr>
        <w:t>accord de travail. Celui-ci avait été respecté au cours des cinq dernières années, puisque sur vingt</w:t>
      </w:r>
      <w:r w:rsidR="00BB7DEF">
        <w:rPr>
          <w:rFonts w:eastAsia="Malgun Gothic"/>
          <w:bCs/>
          <w:lang w:val="fr-FR"/>
        </w:rPr>
        <w:noBreakHyphen/>
      </w:r>
      <w:r w:rsidRPr="00D01E1F">
        <w:rPr>
          <w:rFonts w:eastAsia="Malgun Gothic"/>
          <w:bCs/>
          <w:lang w:val="fr-FR"/>
        </w:rPr>
        <w:t>trois dossiers pour lesquels trois critères ou plus n</w:t>
      </w:r>
      <w:r w:rsidR="00923E72">
        <w:rPr>
          <w:rFonts w:eastAsia="Malgun Gothic"/>
          <w:bCs/>
          <w:lang w:val="fr-FR"/>
        </w:rPr>
        <w:t>’</w:t>
      </w:r>
      <w:r w:rsidRPr="00D01E1F">
        <w:rPr>
          <w:rFonts w:eastAsia="Malgun Gothic"/>
          <w:bCs/>
          <w:lang w:val="fr-FR"/>
        </w:rPr>
        <w:t>avaient pas été satisfaits, aucun dossier de candidature n</w:t>
      </w:r>
      <w:r w:rsidR="00923E72">
        <w:rPr>
          <w:rFonts w:eastAsia="Malgun Gothic"/>
          <w:bCs/>
          <w:lang w:val="fr-FR"/>
        </w:rPr>
        <w:t>’</w:t>
      </w:r>
      <w:r w:rsidRPr="00D01E1F">
        <w:rPr>
          <w:rFonts w:eastAsia="Malgun Gothic"/>
          <w:bCs/>
          <w:lang w:val="fr-FR"/>
        </w:rPr>
        <w:t>avait été inscrit. C</w:t>
      </w:r>
      <w:r w:rsidR="00923E72">
        <w:rPr>
          <w:rFonts w:eastAsia="Malgun Gothic"/>
          <w:bCs/>
          <w:lang w:val="fr-FR"/>
        </w:rPr>
        <w:t>’</w:t>
      </w:r>
      <w:r w:rsidRPr="00D01E1F">
        <w:rPr>
          <w:rFonts w:eastAsia="Malgun Gothic"/>
          <w:bCs/>
          <w:lang w:val="fr-FR"/>
        </w:rPr>
        <w:t>était essentiel pour assurer la crédibilité et l</w:t>
      </w:r>
      <w:r w:rsidR="00923E72">
        <w:rPr>
          <w:rFonts w:eastAsia="Malgun Gothic"/>
          <w:bCs/>
          <w:lang w:val="fr-FR"/>
        </w:rPr>
        <w:t>’</w:t>
      </w:r>
      <w:r w:rsidRPr="00D01E1F">
        <w:rPr>
          <w:rFonts w:eastAsia="Malgun Gothic"/>
          <w:bCs/>
          <w:lang w:val="fr-FR"/>
        </w:rPr>
        <w:t xml:space="preserve">efficacité du Comité. La délégation </w:t>
      </w:r>
      <w:r w:rsidR="001D0397">
        <w:rPr>
          <w:rFonts w:eastAsia="Malgun Gothic"/>
          <w:bCs/>
          <w:lang w:val="fr-FR"/>
        </w:rPr>
        <w:t xml:space="preserve">pensait </w:t>
      </w:r>
      <w:r w:rsidRPr="00D01E1F">
        <w:rPr>
          <w:rFonts w:eastAsia="Malgun Gothic"/>
          <w:bCs/>
          <w:lang w:val="fr-FR"/>
        </w:rPr>
        <w:t>que la description claire et exacte de l</w:t>
      </w:r>
      <w:r w:rsidR="00923E72">
        <w:rPr>
          <w:rFonts w:eastAsia="Malgun Gothic"/>
          <w:bCs/>
          <w:lang w:val="fr-FR"/>
        </w:rPr>
        <w:t>’</w:t>
      </w:r>
      <w:r w:rsidRPr="00D01E1F">
        <w:rPr>
          <w:rFonts w:eastAsia="Malgun Gothic"/>
          <w:bCs/>
          <w:lang w:val="fr-FR"/>
        </w:rPr>
        <w:t>élément dans le dossier était à la fois très importante et essentielle pour la compréhension de l</w:t>
      </w:r>
      <w:r w:rsidR="00923E72">
        <w:rPr>
          <w:rFonts w:eastAsia="Malgun Gothic"/>
          <w:bCs/>
          <w:lang w:val="fr-FR"/>
        </w:rPr>
        <w:t>’</w:t>
      </w:r>
      <w:r w:rsidRPr="00D01E1F">
        <w:rPr>
          <w:rFonts w:eastAsia="Malgun Gothic"/>
          <w:bCs/>
          <w:lang w:val="fr-FR"/>
        </w:rPr>
        <w:t xml:space="preserve">élément par le public le plus large. Pour paraphraser les mots du Bangladesh, </w:t>
      </w:r>
      <w:r w:rsidR="001D0397">
        <w:rPr>
          <w:rFonts w:eastAsia="Malgun Gothic"/>
          <w:bCs/>
          <w:lang w:val="fr-FR"/>
        </w:rPr>
        <w:t>« </w:t>
      </w:r>
      <w:r w:rsidRPr="00D01E1F">
        <w:rPr>
          <w:rFonts w:eastAsia="Malgun Gothic"/>
          <w:bCs/>
          <w:lang w:val="fr-FR"/>
        </w:rPr>
        <w:t>chaque patrimoine culturel immatériel compte parce que chaque communauté compte</w:t>
      </w:r>
      <w:r w:rsidR="001D0397">
        <w:rPr>
          <w:rFonts w:eastAsia="Malgun Gothic"/>
          <w:bCs/>
          <w:lang w:val="fr-FR"/>
        </w:rPr>
        <w:t> »</w:t>
      </w:r>
      <w:r w:rsidRPr="00D01E1F">
        <w:rPr>
          <w:rFonts w:eastAsia="Malgun Gothic"/>
          <w:bCs/>
          <w:lang w:val="fr-FR"/>
        </w:rPr>
        <w:t>. La délégation estimait que c</w:t>
      </w:r>
      <w:r w:rsidR="00923E72">
        <w:rPr>
          <w:rFonts w:eastAsia="Malgun Gothic"/>
          <w:bCs/>
          <w:lang w:val="fr-FR"/>
        </w:rPr>
        <w:t>’</w:t>
      </w:r>
      <w:r w:rsidRPr="00D01E1F">
        <w:rPr>
          <w:rFonts w:eastAsia="Malgun Gothic"/>
          <w:bCs/>
          <w:lang w:val="fr-FR"/>
        </w:rPr>
        <w:t>est précisément les communautés, et leur précieux patrimoine culturel immatériel, qui méritent une description exhaustive et claire dans le dossier et sur la page web de l</w:t>
      </w:r>
      <w:r w:rsidR="00923E72">
        <w:rPr>
          <w:rFonts w:eastAsia="Malgun Gothic"/>
          <w:bCs/>
          <w:lang w:val="fr-FR"/>
        </w:rPr>
        <w:t>’</w:t>
      </w:r>
      <w:r w:rsidRPr="00D01E1F">
        <w:rPr>
          <w:rFonts w:eastAsia="Malgun Gothic"/>
          <w:bCs/>
          <w:lang w:val="fr-FR"/>
        </w:rPr>
        <w:t>UNESCO ainsi que dans tous les outils en ligne correspondants</w:t>
      </w:r>
      <w:r w:rsidR="001D0397">
        <w:rPr>
          <w:rFonts w:eastAsia="Malgun Gothic"/>
          <w:bCs/>
          <w:lang w:val="fr-FR"/>
        </w:rPr>
        <w:t>,</w:t>
      </w:r>
      <w:r w:rsidRPr="00D01E1F">
        <w:rPr>
          <w:rFonts w:eastAsia="Malgun Gothic"/>
          <w:bCs/>
          <w:lang w:val="fr-FR"/>
        </w:rPr>
        <w:t xml:space="preserve"> contribuant </w:t>
      </w:r>
      <w:r w:rsidR="005C4A25">
        <w:rPr>
          <w:rFonts w:eastAsia="Malgun Gothic"/>
          <w:bCs/>
          <w:lang w:val="fr-FR"/>
        </w:rPr>
        <w:t xml:space="preserve">ainsi </w:t>
      </w:r>
      <w:r w:rsidRPr="00D01E1F">
        <w:rPr>
          <w:rFonts w:eastAsia="Malgun Gothic"/>
          <w:bCs/>
          <w:lang w:val="fr-FR"/>
        </w:rPr>
        <w:t>à la sensibilisation à la sauvegarde du patrimoine culturel immatériel.</w:t>
      </w:r>
    </w:p>
    <w:p w14:paraId="0C3D077E" w14:textId="3E530C35" w:rsidR="001D0397" w:rsidRDefault="001D039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D0397">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8D3070">
        <w:rPr>
          <w:rFonts w:eastAsia="Malgun Gothic"/>
          <w:b/>
          <w:lang w:val="fr-FR"/>
        </w:rPr>
        <w:t> </w:t>
      </w:r>
      <w:r w:rsidRPr="00702497">
        <w:rPr>
          <w:rFonts w:eastAsia="Malgun Gothic"/>
          <w:b/>
          <w:lang w:val="fr-FR"/>
        </w:rPr>
        <w:t xml:space="preserve">saoudite </w:t>
      </w:r>
      <w:r w:rsidRPr="001D0397">
        <w:rPr>
          <w:rFonts w:eastAsia="Malgun Gothic"/>
          <w:bCs/>
          <w:lang w:val="fr-FR"/>
        </w:rPr>
        <w:t>a remercié Cuba pour ses explications, qui permettaient de clarifier les questions relatives au critère</w:t>
      </w:r>
      <w:r>
        <w:rPr>
          <w:rFonts w:eastAsia="Malgun Gothic"/>
          <w:bCs/>
          <w:lang w:val="fr-FR"/>
        </w:rPr>
        <w:t> </w:t>
      </w:r>
      <w:r w:rsidRPr="001D0397">
        <w:rPr>
          <w:rFonts w:eastAsia="Malgun Gothic"/>
          <w:bCs/>
          <w:lang w:val="fr-FR"/>
        </w:rPr>
        <w:t>R.2. L</w:t>
      </w:r>
      <w:r w:rsidR="00923E72">
        <w:rPr>
          <w:rFonts w:eastAsia="Malgun Gothic"/>
          <w:bCs/>
          <w:lang w:val="fr-FR"/>
        </w:rPr>
        <w:t>’</w:t>
      </w:r>
      <w:r w:rsidRPr="001D0397">
        <w:rPr>
          <w:rFonts w:eastAsia="Malgun Gothic"/>
          <w:bCs/>
          <w:lang w:val="fr-FR"/>
        </w:rPr>
        <w:t>Arabie</w:t>
      </w:r>
      <w:r w:rsidR="008D3070">
        <w:rPr>
          <w:rFonts w:eastAsia="Malgun Gothic"/>
          <w:bCs/>
          <w:lang w:val="fr-FR"/>
        </w:rPr>
        <w:t> </w:t>
      </w:r>
      <w:r w:rsidRPr="001D0397">
        <w:rPr>
          <w:rFonts w:eastAsia="Malgun Gothic"/>
          <w:bCs/>
          <w:lang w:val="fr-FR"/>
        </w:rPr>
        <w:t>saoudite estimait également que le dossier permettrait de sensibiliser à l</w:t>
      </w:r>
      <w:r w:rsidR="00923E72">
        <w:rPr>
          <w:rFonts w:eastAsia="Malgun Gothic"/>
          <w:bCs/>
          <w:lang w:val="fr-FR"/>
        </w:rPr>
        <w:t>’</w:t>
      </w:r>
      <w:r w:rsidRPr="001D0397">
        <w:rPr>
          <w:rFonts w:eastAsia="Malgun Gothic"/>
          <w:bCs/>
          <w:lang w:val="fr-FR"/>
        </w:rPr>
        <w:t xml:space="preserve">importance de traditions séculaires qui reposent sur des valeurs orales, corporelles et sensorielles de transmission des connaissances ainsi que </w:t>
      </w:r>
      <w:r w:rsidR="007B7802">
        <w:rPr>
          <w:rFonts w:eastAsia="Malgun Gothic"/>
          <w:bCs/>
          <w:lang w:val="fr-FR"/>
        </w:rPr>
        <w:t xml:space="preserve">sur des </w:t>
      </w:r>
      <w:r w:rsidRPr="001D0397">
        <w:rPr>
          <w:rFonts w:eastAsia="Malgun Gothic"/>
          <w:bCs/>
          <w:lang w:val="fr-FR"/>
        </w:rPr>
        <w:t xml:space="preserve">pratiques </w:t>
      </w:r>
      <w:r w:rsidR="007B7802">
        <w:rPr>
          <w:rFonts w:eastAsia="Malgun Gothic"/>
          <w:bCs/>
          <w:lang w:val="fr-FR"/>
        </w:rPr>
        <w:t>qui sont des</w:t>
      </w:r>
      <w:r w:rsidRPr="001D0397">
        <w:rPr>
          <w:rFonts w:eastAsia="Malgun Gothic"/>
          <w:bCs/>
          <w:lang w:val="fr-FR"/>
        </w:rPr>
        <w:t xml:space="preserve"> vecteurs du patrimoine immatériel, en encourageant la transmission </w:t>
      </w:r>
      <w:r w:rsidR="007B7802">
        <w:rPr>
          <w:rFonts w:eastAsia="Malgun Gothic"/>
          <w:bCs/>
          <w:lang w:val="fr-FR"/>
        </w:rPr>
        <w:t xml:space="preserve">au sein </w:t>
      </w:r>
      <w:r w:rsidRPr="001D0397">
        <w:rPr>
          <w:rFonts w:eastAsia="Malgun Gothic"/>
          <w:bCs/>
          <w:lang w:val="fr-FR"/>
        </w:rPr>
        <w:t>d</w:t>
      </w:r>
      <w:r w:rsidR="007B7802">
        <w:rPr>
          <w:rFonts w:eastAsia="Malgun Gothic"/>
          <w:bCs/>
          <w:lang w:val="fr-FR"/>
        </w:rPr>
        <w:t>es</w:t>
      </w:r>
      <w:r w:rsidRPr="001D0397">
        <w:rPr>
          <w:rFonts w:eastAsia="Malgun Gothic"/>
          <w:bCs/>
          <w:lang w:val="fr-FR"/>
        </w:rPr>
        <w:t xml:space="preserve"> </w:t>
      </w:r>
      <w:r w:rsidR="00BB7DEF">
        <w:rPr>
          <w:rFonts w:eastAsia="Malgun Gothic"/>
          <w:bCs/>
          <w:lang w:val="fr-FR"/>
        </w:rPr>
        <w:t xml:space="preserve">fabriques </w:t>
      </w:r>
      <w:r w:rsidRPr="001D0397">
        <w:rPr>
          <w:rFonts w:eastAsia="Malgun Gothic"/>
          <w:bCs/>
          <w:lang w:val="fr-FR"/>
        </w:rPr>
        <w:t xml:space="preserve">afin </w:t>
      </w:r>
      <w:r w:rsidR="00BB7DEF">
        <w:rPr>
          <w:rFonts w:eastAsia="Malgun Gothic"/>
          <w:bCs/>
          <w:lang w:val="fr-FR"/>
        </w:rPr>
        <w:t xml:space="preserve">de promouvoir </w:t>
      </w:r>
      <w:r w:rsidRPr="001D0397">
        <w:rPr>
          <w:rFonts w:eastAsia="Malgun Gothic"/>
          <w:bCs/>
          <w:lang w:val="fr-FR"/>
        </w:rPr>
        <w:t xml:space="preserve">une meilleure relation entre les communautés, et en </w:t>
      </w:r>
      <w:r w:rsidR="007B7802">
        <w:rPr>
          <w:rFonts w:eastAsia="Malgun Gothic"/>
          <w:bCs/>
          <w:lang w:val="fr-FR"/>
        </w:rPr>
        <w:t xml:space="preserve">favorisant </w:t>
      </w:r>
      <w:r w:rsidRPr="001D0397">
        <w:rPr>
          <w:rFonts w:eastAsia="Malgun Gothic"/>
          <w:bCs/>
          <w:lang w:val="fr-FR"/>
        </w:rPr>
        <w:t>le dialogue interculturel et intergénérationnel.</w:t>
      </w:r>
    </w:p>
    <w:p w14:paraId="3324CB20" w14:textId="271248F9" w:rsidR="007B7802" w:rsidRDefault="007B780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B7802">
        <w:rPr>
          <w:rFonts w:eastAsia="Malgun Gothic"/>
          <w:bCs/>
          <w:lang w:val="fr-FR"/>
        </w:rPr>
        <w:t xml:space="preserve">La délégation du </w:t>
      </w:r>
      <w:r w:rsidRPr="00702497">
        <w:rPr>
          <w:rFonts w:eastAsia="Malgun Gothic"/>
          <w:b/>
          <w:lang w:val="fr-FR"/>
        </w:rPr>
        <w:t>Maroc</w:t>
      </w:r>
      <w:r w:rsidRPr="007B7802">
        <w:rPr>
          <w:rFonts w:eastAsia="Malgun Gothic"/>
          <w:bCs/>
          <w:lang w:val="fr-FR"/>
        </w:rPr>
        <w:t xml:space="preserve"> est revenue sur son intervention précédente lors de l</w:t>
      </w:r>
      <w:r w:rsidR="00923E72">
        <w:rPr>
          <w:rFonts w:eastAsia="Malgun Gothic"/>
          <w:bCs/>
          <w:lang w:val="fr-FR"/>
        </w:rPr>
        <w:t>’</w:t>
      </w:r>
      <w:r w:rsidRPr="007B7802">
        <w:rPr>
          <w:rFonts w:eastAsia="Malgun Gothic"/>
          <w:bCs/>
          <w:lang w:val="fr-FR"/>
        </w:rPr>
        <w:t>examen du rapport de l</w:t>
      </w:r>
      <w:r w:rsidR="00923E72">
        <w:rPr>
          <w:rFonts w:eastAsia="Malgun Gothic"/>
          <w:bCs/>
          <w:lang w:val="fr-FR"/>
        </w:rPr>
        <w:t>’</w:t>
      </w:r>
      <w:r w:rsidRPr="007B7802">
        <w:rPr>
          <w:rFonts w:eastAsia="Malgun Gothic"/>
          <w:bCs/>
          <w:lang w:val="fr-FR"/>
        </w:rPr>
        <w:t>Organe d</w:t>
      </w:r>
      <w:r w:rsidR="00923E72">
        <w:rPr>
          <w:rFonts w:eastAsia="Malgun Gothic"/>
          <w:bCs/>
          <w:lang w:val="fr-FR"/>
        </w:rPr>
        <w:t>’</w:t>
      </w:r>
      <w:r w:rsidRPr="007B7802">
        <w:rPr>
          <w:rFonts w:eastAsia="Malgun Gothic"/>
          <w:bCs/>
          <w:lang w:val="fr-FR"/>
        </w:rPr>
        <w:t>évaluation</w:t>
      </w:r>
      <w:r>
        <w:rPr>
          <w:rFonts w:eastAsia="Malgun Gothic"/>
          <w:bCs/>
          <w:lang w:val="fr-FR"/>
        </w:rPr>
        <w:t xml:space="preserve"> à propos de </w:t>
      </w:r>
      <w:r w:rsidRPr="007B7802">
        <w:rPr>
          <w:rFonts w:eastAsia="Malgun Gothic"/>
          <w:bCs/>
          <w:lang w:val="fr-FR"/>
        </w:rPr>
        <w:t>l</w:t>
      </w:r>
      <w:r w:rsidR="00923E72">
        <w:rPr>
          <w:rFonts w:eastAsia="Malgun Gothic"/>
          <w:bCs/>
          <w:lang w:val="fr-FR"/>
        </w:rPr>
        <w:t>’</w:t>
      </w:r>
      <w:r w:rsidRPr="007B7802">
        <w:rPr>
          <w:rFonts w:eastAsia="Malgun Gothic"/>
          <w:bCs/>
          <w:lang w:val="fr-FR"/>
        </w:rPr>
        <w:t xml:space="preserve">équilibre des inscriptions entre les différentes régions du monde et </w:t>
      </w:r>
      <w:r>
        <w:rPr>
          <w:rFonts w:eastAsia="Malgun Gothic"/>
          <w:bCs/>
          <w:lang w:val="fr-FR"/>
        </w:rPr>
        <w:t xml:space="preserve">de </w:t>
      </w:r>
      <w:r w:rsidRPr="007B7802">
        <w:rPr>
          <w:rFonts w:eastAsia="Malgun Gothic"/>
          <w:bCs/>
          <w:lang w:val="fr-FR"/>
        </w:rPr>
        <w:t>la visibilité de la culture immatérielle à l</w:t>
      </w:r>
      <w:r w:rsidR="00923E72">
        <w:rPr>
          <w:rFonts w:eastAsia="Malgun Gothic"/>
          <w:bCs/>
          <w:lang w:val="fr-FR"/>
        </w:rPr>
        <w:t>’</w:t>
      </w:r>
      <w:r w:rsidRPr="007B7802">
        <w:rPr>
          <w:rFonts w:eastAsia="Malgun Gothic"/>
          <w:bCs/>
          <w:lang w:val="fr-FR"/>
        </w:rPr>
        <w:t>échelle mondiale. Pour cet élément, relatif au savoir-faire des maîtres du rhum léger, la délégation estimait que Cuba avait donné suffisamment d</w:t>
      </w:r>
      <w:r w:rsidR="00923E72">
        <w:rPr>
          <w:rFonts w:eastAsia="Malgun Gothic"/>
          <w:bCs/>
          <w:lang w:val="fr-FR"/>
        </w:rPr>
        <w:t>’</w:t>
      </w:r>
      <w:r w:rsidRPr="007B7802">
        <w:rPr>
          <w:rFonts w:eastAsia="Malgun Gothic"/>
          <w:bCs/>
          <w:lang w:val="fr-FR"/>
        </w:rPr>
        <w:t>explications et d</w:t>
      </w:r>
      <w:r w:rsidR="00923E72">
        <w:rPr>
          <w:rFonts w:eastAsia="Malgun Gothic"/>
          <w:bCs/>
          <w:lang w:val="fr-FR"/>
        </w:rPr>
        <w:t>’</w:t>
      </w:r>
      <w:r w:rsidRPr="007B7802">
        <w:rPr>
          <w:rFonts w:eastAsia="Malgun Gothic"/>
          <w:bCs/>
          <w:lang w:val="fr-FR"/>
        </w:rPr>
        <w:t xml:space="preserve">arguments pour faciliter la discussion, et elle </w:t>
      </w:r>
      <w:r>
        <w:rPr>
          <w:rFonts w:eastAsia="Malgun Gothic"/>
          <w:bCs/>
          <w:lang w:val="fr-FR"/>
        </w:rPr>
        <w:t xml:space="preserve">adhérait </w:t>
      </w:r>
      <w:r w:rsidRPr="007B7802">
        <w:rPr>
          <w:rFonts w:eastAsia="Malgun Gothic"/>
          <w:bCs/>
          <w:lang w:val="fr-FR"/>
        </w:rPr>
        <w:t xml:space="preserve">aux avis favorables de plusieurs membres. Pour cette raison, elle </w:t>
      </w:r>
      <w:r w:rsidR="005C4A25">
        <w:rPr>
          <w:rFonts w:eastAsia="Malgun Gothic"/>
          <w:bCs/>
          <w:lang w:val="fr-FR"/>
        </w:rPr>
        <w:t>se</w:t>
      </w:r>
      <w:r w:rsidRPr="007B7802">
        <w:rPr>
          <w:rFonts w:eastAsia="Malgun Gothic"/>
          <w:bCs/>
          <w:lang w:val="fr-FR"/>
        </w:rPr>
        <w:t xml:space="preserve"> pronon</w:t>
      </w:r>
      <w:r w:rsidR="005C4A25">
        <w:rPr>
          <w:rFonts w:eastAsia="Malgun Gothic"/>
          <w:bCs/>
          <w:lang w:val="fr-FR"/>
        </w:rPr>
        <w:t>çait</w:t>
      </w:r>
      <w:r w:rsidRPr="007B7802">
        <w:rPr>
          <w:rFonts w:eastAsia="Malgun Gothic"/>
          <w:bCs/>
          <w:lang w:val="fr-FR"/>
        </w:rPr>
        <w:t xml:space="preserve"> en faveur de l</w:t>
      </w:r>
      <w:r w:rsidR="00923E72">
        <w:rPr>
          <w:rFonts w:eastAsia="Malgun Gothic"/>
          <w:bCs/>
          <w:lang w:val="fr-FR"/>
        </w:rPr>
        <w:t>’</w:t>
      </w:r>
      <w:r w:rsidRPr="007B7802">
        <w:rPr>
          <w:rFonts w:eastAsia="Malgun Gothic"/>
          <w:bCs/>
          <w:lang w:val="fr-FR"/>
        </w:rPr>
        <w:t>inscription de cet élément, qui revêt une importance sociale pour les communautés cubaines concernées. Le Maroc s</w:t>
      </w:r>
      <w:r w:rsidR="00923E72">
        <w:rPr>
          <w:rFonts w:eastAsia="Malgun Gothic"/>
          <w:bCs/>
          <w:lang w:val="fr-FR"/>
        </w:rPr>
        <w:t>’</w:t>
      </w:r>
      <w:r w:rsidRPr="007B7802">
        <w:rPr>
          <w:rFonts w:eastAsia="Malgun Gothic"/>
          <w:bCs/>
          <w:lang w:val="fr-FR"/>
        </w:rPr>
        <w:t>est également porté coauteur de l</w:t>
      </w:r>
      <w:r w:rsidR="00923E72">
        <w:rPr>
          <w:rFonts w:eastAsia="Malgun Gothic"/>
          <w:bCs/>
          <w:lang w:val="fr-FR"/>
        </w:rPr>
        <w:t>’</w:t>
      </w:r>
      <w:r w:rsidRPr="007B7802">
        <w:rPr>
          <w:rFonts w:eastAsia="Malgun Gothic"/>
          <w:bCs/>
          <w:lang w:val="fr-FR"/>
        </w:rPr>
        <w:t>amendement du Brésil.</w:t>
      </w:r>
    </w:p>
    <w:p w14:paraId="7DAA1D03" w14:textId="0A26ECA7" w:rsidR="007B7802" w:rsidRDefault="007B780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B7802">
        <w:rPr>
          <w:rFonts w:eastAsia="Malgun Gothic"/>
          <w:bCs/>
          <w:lang w:val="fr-FR"/>
        </w:rPr>
        <w:t xml:space="preserve">La délégation du </w:t>
      </w:r>
      <w:r w:rsidRPr="00702497">
        <w:rPr>
          <w:rFonts w:eastAsia="Malgun Gothic"/>
          <w:b/>
          <w:lang w:val="fr-FR"/>
        </w:rPr>
        <w:t>Pérou</w:t>
      </w:r>
      <w:r w:rsidRPr="007B7802">
        <w:rPr>
          <w:rFonts w:eastAsia="Malgun Gothic"/>
          <w:bCs/>
          <w:lang w:val="fr-FR"/>
        </w:rPr>
        <w:t xml:space="preserve"> estimait que les explications données par Cuba étaient suffisantes. Elle a souligné la grande complexité de l</w:t>
      </w:r>
      <w:r w:rsidR="00923E72">
        <w:rPr>
          <w:rFonts w:eastAsia="Malgun Gothic"/>
          <w:bCs/>
          <w:lang w:val="fr-FR"/>
        </w:rPr>
        <w:t>’</w:t>
      </w:r>
      <w:r w:rsidRPr="007B7802">
        <w:rPr>
          <w:rFonts w:eastAsia="Malgun Gothic"/>
          <w:bCs/>
          <w:lang w:val="fr-FR"/>
        </w:rPr>
        <w:t>évaluation des dossiers concernant les produits. C</w:t>
      </w:r>
      <w:r w:rsidR="00923E72">
        <w:rPr>
          <w:rFonts w:eastAsia="Malgun Gothic"/>
          <w:bCs/>
          <w:lang w:val="fr-FR"/>
        </w:rPr>
        <w:t>’</w:t>
      </w:r>
      <w:r w:rsidRPr="007B7802">
        <w:rPr>
          <w:rFonts w:eastAsia="Malgun Gothic"/>
          <w:bCs/>
          <w:lang w:val="fr-FR"/>
        </w:rPr>
        <w:t>était très différent des expressions telles que la danse et la musique, qui sont peut-être plus faciles à identifier dans l</w:t>
      </w:r>
      <w:r w:rsidR="00923E72">
        <w:rPr>
          <w:rFonts w:eastAsia="Malgun Gothic"/>
          <w:bCs/>
          <w:lang w:val="fr-FR"/>
        </w:rPr>
        <w:t>’</w:t>
      </w:r>
      <w:r w:rsidRPr="007B7802">
        <w:rPr>
          <w:rFonts w:eastAsia="Malgun Gothic"/>
          <w:bCs/>
          <w:lang w:val="fr-FR"/>
        </w:rPr>
        <w:t>univers du patrimoine culturel immatériel. Néanmoins, étant donné la complexité de ces éléments, la délégation pensait qu</w:t>
      </w:r>
      <w:r w:rsidR="00923E72">
        <w:rPr>
          <w:rFonts w:eastAsia="Malgun Gothic"/>
          <w:bCs/>
          <w:lang w:val="fr-FR"/>
        </w:rPr>
        <w:t>’</w:t>
      </w:r>
      <w:r w:rsidRPr="007B7802">
        <w:rPr>
          <w:rFonts w:eastAsia="Malgun Gothic"/>
          <w:bCs/>
          <w:lang w:val="fr-FR"/>
        </w:rPr>
        <w:t xml:space="preserve">il </w:t>
      </w:r>
      <w:r w:rsidR="005F051B">
        <w:rPr>
          <w:rFonts w:eastAsia="Malgun Gothic"/>
          <w:bCs/>
          <w:lang w:val="fr-FR"/>
        </w:rPr>
        <w:t>était</w:t>
      </w:r>
      <w:r w:rsidRPr="007B7802">
        <w:rPr>
          <w:rFonts w:eastAsia="Malgun Gothic"/>
          <w:bCs/>
          <w:lang w:val="fr-FR"/>
        </w:rPr>
        <w:t xml:space="preserve"> nécessaire de regarder au-delà du produit final pour voir ce qui soutient ces expressions et, dans le cas du rhum cubain, sa signification sociale et culturelle, dont la transmission au sein de la communauté détentrice est clairement évidente. Pour cette raison, elle considérait que le critère</w:t>
      </w:r>
      <w:r w:rsidR="008F5CA2">
        <w:rPr>
          <w:rFonts w:eastAsia="Malgun Gothic"/>
          <w:bCs/>
          <w:lang w:val="fr-FR"/>
        </w:rPr>
        <w:t> </w:t>
      </w:r>
      <w:r w:rsidRPr="007B7802">
        <w:rPr>
          <w:rFonts w:eastAsia="Malgun Gothic"/>
          <w:bCs/>
          <w:lang w:val="fr-FR"/>
        </w:rPr>
        <w:t>R.2 était satisfait</w:t>
      </w:r>
      <w:r w:rsidR="00006642">
        <w:rPr>
          <w:rFonts w:eastAsia="Malgun Gothic"/>
          <w:bCs/>
          <w:lang w:val="fr-FR"/>
        </w:rPr>
        <w:t>,</w:t>
      </w:r>
      <w:r w:rsidRPr="007B7802">
        <w:rPr>
          <w:rFonts w:eastAsia="Malgun Gothic"/>
          <w:bCs/>
          <w:lang w:val="fr-FR"/>
        </w:rPr>
        <w:t xml:space="preserve"> car l</w:t>
      </w:r>
      <w:r w:rsidR="00923E72">
        <w:rPr>
          <w:rFonts w:eastAsia="Malgun Gothic"/>
          <w:bCs/>
          <w:lang w:val="fr-FR"/>
        </w:rPr>
        <w:t>’</w:t>
      </w:r>
      <w:r w:rsidRPr="007B7802">
        <w:rPr>
          <w:rFonts w:eastAsia="Malgun Gothic"/>
          <w:bCs/>
          <w:lang w:val="fr-FR"/>
        </w:rPr>
        <w:t>élément approfondi</w:t>
      </w:r>
      <w:r w:rsidR="005F051B">
        <w:rPr>
          <w:rFonts w:eastAsia="Malgun Gothic"/>
          <w:bCs/>
          <w:lang w:val="fr-FR"/>
        </w:rPr>
        <w:t>t</w:t>
      </w:r>
      <w:r w:rsidRPr="007B7802">
        <w:rPr>
          <w:rFonts w:eastAsia="Malgun Gothic"/>
          <w:bCs/>
          <w:lang w:val="fr-FR"/>
        </w:rPr>
        <w:t xml:space="preserve"> les connaissances</w:t>
      </w:r>
      <w:r w:rsidR="005F051B">
        <w:rPr>
          <w:rFonts w:eastAsia="Malgun Gothic"/>
          <w:bCs/>
          <w:lang w:val="fr-FR"/>
        </w:rPr>
        <w:t xml:space="preserve"> et</w:t>
      </w:r>
      <w:r w:rsidRPr="007B7802">
        <w:rPr>
          <w:rFonts w:eastAsia="Malgun Gothic"/>
          <w:bCs/>
          <w:lang w:val="fr-FR"/>
        </w:rPr>
        <w:t xml:space="preserve"> les caractéristiques sociales et culturelles liées au patrimoine culturel immatériel, en particulier le fait que les produits artisanaux ne sont pas seulement des produits finis, mais qu</w:t>
      </w:r>
      <w:r w:rsidR="00923E72">
        <w:rPr>
          <w:rFonts w:eastAsia="Malgun Gothic"/>
          <w:bCs/>
          <w:lang w:val="fr-FR"/>
        </w:rPr>
        <w:t>’</w:t>
      </w:r>
      <w:r w:rsidRPr="007B7802">
        <w:rPr>
          <w:rFonts w:eastAsia="Malgun Gothic"/>
          <w:bCs/>
          <w:lang w:val="fr-FR"/>
        </w:rPr>
        <w:t>ils ont tout à voir avec l</w:t>
      </w:r>
      <w:r w:rsidR="00923E72">
        <w:rPr>
          <w:rFonts w:eastAsia="Malgun Gothic"/>
          <w:bCs/>
          <w:lang w:val="fr-FR"/>
        </w:rPr>
        <w:t>’</w:t>
      </w:r>
      <w:r w:rsidRPr="007B7802">
        <w:rPr>
          <w:rFonts w:eastAsia="Malgun Gothic"/>
          <w:bCs/>
          <w:lang w:val="fr-FR"/>
        </w:rPr>
        <w:t>identité du peuple.</w:t>
      </w:r>
    </w:p>
    <w:p w14:paraId="46646EB6" w14:textId="5CD49C97" w:rsidR="005F051B" w:rsidRDefault="005F051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5F051B">
        <w:rPr>
          <w:rFonts w:eastAsia="Malgun Gothic"/>
          <w:bCs/>
          <w:lang w:val="fr-FR"/>
        </w:rPr>
        <w:t>délégation</w:t>
      </w:r>
      <w:r>
        <w:rPr>
          <w:rFonts w:eastAsia="Malgun Gothic"/>
          <w:bCs/>
          <w:lang w:val="fr-FR"/>
        </w:rPr>
        <w:t xml:space="preserve"> de la </w:t>
      </w:r>
      <w:r w:rsidRPr="00702497">
        <w:rPr>
          <w:rFonts w:eastAsia="Malgun Gothic"/>
          <w:b/>
          <w:lang w:val="fr-FR"/>
        </w:rPr>
        <w:t>Côte d</w:t>
      </w:r>
      <w:r w:rsidR="00923E72">
        <w:rPr>
          <w:rFonts w:eastAsia="Malgun Gothic"/>
          <w:b/>
          <w:lang w:val="fr-FR"/>
        </w:rPr>
        <w:t>’</w:t>
      </w:r>
      <w:r w:rsidRPr="00702497">
        <w:rPr>
          <w:rFonts w:eastAsia="Malgun Gothic"/>
          <w:b/>
          <w:lang w:val="fr-FR"/>
        </w:rPr>
        <w:t>Ivoire</w:t>
      </w:r>
      <w:r>
        <w:rPr>
          <w:rFonts w:eastAsia="Malgun Gothic"/>
          <w:bCs/>
          <w:lang w:val="fr-FR"/>
        </w:rPr>
        <w:t xml:space="preserve"> a confirmé son soutien à l</w:t>
      </w:r>
      <w:r w:rsidR="00923E72">
        <w:rPr>
          <w:rFonts w:eastAsia="Malgun Gothic"/>
          <w:bCs/>
          <w:lang w:val="fr-FR"/>
        </w:rPr>
        <w:t>’</w:t>
      </w:r>
      <w:r w:rsidRPr="005F051B">
        <w:rPr>
          <w:rFonts w:eastAsia="Malgun Gothic"/>
          <w:bCs/>
          <w:lang w:val="fr-FR"/>
        </w:rPr>
        <w:t>amendement</w:t>
      </w:r>
      <w:r>
        <w:rPr>
          <w:rFonts w:eastAsia="Malgun Gothic"/>
          <w:bCs/>
          <w:lang w:val="fr-FR"/>
        </w:rPr>
        <w:t>.</w:t>
      </w:r>
    </w:p>
    <w:p w14:paraId="1B04C955" w14:textId="63883F1F" w:rsidR="005F051B" w:rsidRDefault="005F051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F051B">
        <w:rPr>
          <w:rFonts w:eastAsia="Malgun Gothic"/>
          <w:bCs/>
          <w:lang w:val="fr-FR"/>
        </w:rPr>
        <w:lastRenderedPageBreak/>
        <w:t xml:space="preserve">Le </w:t>
      </w:r>
      <w:r w:rsidRPr="00702497">
        <w:rPr>
          <w:rFonts w:eastAsia="Malgun Gothic"/>
          <w:b/>
          <w:lang w:val="fr-FR"/>
        </w:rPr>
        <w:t>Président</w:t>
      </w:r>
      <w:r w:rsidRPr="005F051B">
        <w:rPr>
          <w:rFonts w:eastAsia="Malgun Gothic"/>
          <w:bCs/>
          <w:lang w:val="fr-FR"/>
        </w:rPr>
        <w:t xml:space="preserve"> </w:t>
      </w:r>
      <w:r>
        <w:rPr>
          <w:rFonts w:eastAsia="Malgun Gothic"/>
          <w:bCs/>
          <w:lang w:val="fr-FR"/>
        </w:rPr>
        <w:t xml:space="preserve">a </w:t>
      </w:r>
      <w:r w:rsidRPr="005F051B">
        <w:rPr>
          <w:rFonts w:eastAsia="Malgun Gothic"/>
          <w:bCs/>
          <w:lang w:val="fr-FR"/>
        </w:rPr>
        <w:t>propos</w:t>
      </w:r>
      <w:r>
        <w:rPr>
          <w:rFonts w:eastAsia="Malgun Gothic"/>
          <w:bCs/>
          <w:lang w:val="fr-FR"/>
        </w:rPr>
        <w:t>é</w:t>
      </w:r>
      <w:r w:rsidRPr="005F051B">
        <w:rPr>
          <w:rFonts w:eastAsia="Malgun Gothic"/>
          <w:bCs/>
          <w:lang w:val="fr-FR"/>
        </w:rPr>
        <w:t xml:space="preserve"> de clore le débat pour </w:t>
      </w:r>
      <w:r>
        <w:rPr>
          <w:rFonts w:eastAsia="Malgun Gothic"/>
          <w:bCs/>
          <w:lang w:val="fr-FR"/>
        </w:rPr>
        <w:t>ce jour</w:t>
      </w:r>
      <w:r w:rsidRPr="005F051B">
        <w:rPr>
          <w:rFonts w:eastAsia="Malgun Gothic"/>
          <w:bCs/>
          <w:lang w:val="fr-FR"/>
        </w:rPr>
        <w:t>, en rappelant que la réunion du Bureau commencera</w:t>
      </w:r>
      <w:r>
        <w:rPr>
          <w:rFonts w:eastAsia="Malgun Gothic"/>
          <w:bCs/>
          <w:lang w:val="fr-FR"/>
        </w:rPr>
        <w:t>it</w:t>
      </w:r>
      <w:r w:rsidRPr="005F051B">
        <w:rPr>
          <w:rFonts w:eastAsia="Malgun Gothic"/>
          <w:bCs/>
          <w:lang w:val="fr-FR"/>
        </w:rPr>
        <w:t xml:space="preserve"> à</w:t>
      </w:r>
      <w:r w:rsidR="005C4A25">
        <w:rPr>
          <w:rFonts w:eastAsia="Malgun Gothic"/>
          <w:bCs/>
          <w:lang w:val="fr-FR"/>
        </w:rPr>
        <w:t> </w:t>
      </w:r>
      <w:r w:rsidRPr="005F051B">
        <w:rPr>
          <w:rFonts w:eastAsia="Malgun Gothic"/>
          <w:bCs/>
          <w:lang w:val="fr-FR"/>
        </w:rPr>
        <w:t>9 heures le lendemain matin et qu</w:t>
      </w:r>
      <w:r w:rsidR="00923E72">
        <w:rPr>
          <w:rFonts w:eastAsia="Malgun Gothic"/>
          <w:bCs/>
          <w:lang w:val="fr-FR"/>
        </w:rPr>
        <w:t>’</w:t>
      </w:r>
      <w:r w:rsidRPr="005F051B">
        <w:rPr>
          <w:rFonts w:eastAsia="Malgun Gothic"/>
          <w:bCs/>
          <w:lang w:val="fr-FR"/>
        </w:rPr>
        <w:t xml:space="preserve">elle </w:t>
      </w:r>
      <w:r>
        <w:rPr>
          <w:rFonts w:eastAsia="Malgun Gothic"/>
          <w:bCs/>
          <w:lang w:val="fr-FR"/>
        </w:rPr>
        <w:t>serait</w:t>
      </w:r>
      <w:r w:rsidRPr="005F051B">
        <w:rPr>
          <w:rFonts w:eastAsia="Malgun Gothic"/>
          <w:bCs/>
          <w:lang w:val="fr-FR"/>
        </w:rPr>
        <w:t xml:space="preserve"> ouverte aux observateurs.</w:t>
      </w:r>
    </w:p>
    <w:p w14:paraId="633DB421" w14:textId="15F52F42" w:rsidR="005F051B" w:rsidRDefault="005F051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F051B">
        <w:rPr>
          <w:rFonts w:eastAsia="Malgun Gothic"/>
          <w:bCs/>
          <w:lang w:val="fr-FR"/>
        </w:rPr>
        <w:t xml:space="preserve">Le </w:t>
      </w:r>
      <w:r w:rsidRPr="00702497">
        <w:rPr>
          <w:rFonts w:eastAsia="Malgun Gothic"/>
          <w:b/>
          <w:lang w:val="fr-FR"/>
        </w:rPr>
        <w:t>Secrétaire</w:t>
      </w:r>
      <w:r w:rsidRPr="005F051B">
        <w:rPr>
          <w:rFonts w:eastAsia="Malgun Gothic"/>
          <w:bCs/>
          <w:lang w:val="fr-FR"/>
        </w:rPr>
        <w:t xml:space="preserve"> a rappelé aux États qui souhaitaient organiser des spectacles ou présenter du matériel audiovisuel qu</w:t>
      </w:r>
      <w:r w:rsidR="00923E72">
        <w:rPr>
          <w:rFonts w:eastAsia="Malgun Gothic"/>
          <w:bCs/>
          <w:lang w:val="fr-FR"/>
        </w:rPr>
        <w:t>’</w:t>
      </w:r>
      <w:r w:rsidRPr="005F051B">
        <w:rPr>
          <w:rFonts w:eastAsia="Malgun Gothic"/>
          <w:bCs/>
          <w:lang w:val="fr-FR"/>
        </w:rPr>
        <w:t>ils devaient informer le Secrétariat afin d</w:t>
      </w:r>
      <w:r w:rsidR="00923E72">
        <w:rPr>
          <w:rFonts w:eastAsia="Malgun Gothic"/>
          <w:bCs/>
          <w:lang w:val="fr-FR"/>
        </w:rPr>
        <w:t>’</w:t>
      </w:r>
      <w:r w:rsidRPr="005F051B">
        <w:rPr>
          <w:rFonts w:eastAsia="Malgun Gothic"/>
          <w:bCs/>
          <w:lang w:val="fr-FR"/>
        </w:rPr>
        <w:t xml:space="preserve">en faciliter la préparation. Il a également </w:t>
      </w:r>
      <w:r>
        <w:rPr>
          <w:rFonts w:eastAsia="Malgun Gothic"/>
          <w:bCs/>
          <w:lang w:val="fr-FR"/>
        </w:rPr>
        <w:t xml:space="preserve">mentionné </w:t>
      </w:r>
      <w:r w:rsidRPr="005F051B">
        <w:rPr>
          <w:rFonts w:eastAsia="Malgun Gothic"/>
          <w:bCs/>
          <w:lang w:val="fr-FR"/>
        </w:rPr>
        <w:t>un certain nombre d</w:t>
      </w:r>
      <w:r w:rsidR="00923E72">
        <w:rPr>
          <w:rFonts w:eastAsia="Malgun Gothic"/>
          <w:bCs/>
          <w:lang w:val="fr-FR"/>
        </w:rPr>
        <w:t>’</w:t>
      </w:r>
      <w:r w:rsidRPr="005F051B">
        <w:rPr>
          <w:rFonts w:eastAsia="Malgun Gothic"/>
          <w:bCs/>
          <w:lang w:val="fr-FR"/>
        </w:rPr>
        <w:t xml:space="preserve">événements parallèles </w:t>
      </w:r>
      <w:r>
        <w:rPr>
          <w:rFonts w:eastAsia="Malgun Gothic"/>
          <w:bCs/>
          <w:lang w:val="fr-FR"/>
        </w:rPr>
        <w:t>prévus</w:t>
      </w:r>
      <w:r w:rsidR="005C4A25">
        <w:rPr>
          <w:rFonts w:eastAsia="Malgun Gothic"/>
          <w:bCs/>
          <w:lang w:val="fr-FR"/>
        </w:rPr>
        <w:t>.</w:t>
      </w:r>
    </w:p>
    <w:p w14:paraId="2FD53717" w14:textId="2CCAD724" w:rsidR="005F051B" w:rsidRDefault="005F051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levé la séance du jour</w:t>
      </w:r>
      <w:r w:rsidRPr="005F051B">
        <w:rPr>
          <w:rFonts w:eastAsia="Malgun Gothic"/>
          <w:bCs/>
          <w:lang w:val="fr-FR"/>
        </w:rPr>
        <w:t>.</w:t>
      </w:r>
    </w:p>
    <w:p w14:paraId="7CAC58B7" w14:textId="77777777" w:rsidR="005F051B" w:rsidRDefault="005F051B"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57BC51C3" w14:textId="5D32B12A" w:rsidR="005F051B" w:rsidRDefault="005F051B" w:rsidP="005F051B">
      <w:pPr>
        <w:pStyle w:val="Orateurengris"/>
        <w:tabs>
          <w:tab w:val="clear" w:pos="709"/>
          <w:tab w:val="clear" w:pos="1418"/>
          <w:tab w:val="clear" w:pos="2126"/>
          <w:tab w:val="clear" w:pos="2835"/>
          <w:tab w:val="left" w:pos="4962"/>
        </w:tabs>
        <w:spacing w:before="120" w:after="0"/>
        <w:ind w:left="720"/>
        <w:jc w:val="center"/>
        <w:rPr>
          <w:rFonts w:eastAsia="Malgun Gothic"/>
          <w:bCs/>
          <w:i/>
          <w:iCs/>
          <w:lang w:val="fr-FR"/>
        </w:rPr>
      </w:pPr>
      <w:r w:rsidRPr="00702497">
        <w:rPr>
          <w:rFonts w:eastAsia="Malgun Gothic"/>
          <w:bCs/>
          <w:i/>
          <w:iCs/>
          <w:lang w:val="fr-FR"/>
        </w:rPr>
        <w:t>[Mercredi</w:t>
      </w:r>
      <w:r w:rsidR="009114D8">
        <w:rPr>
          <w:rFonts w:eastAsia="Malgun Gothic"/>
          <w:bCs/>
          <w:i/>
          <w:iCs/>
          <w:lang w:val="fr-FR"/>
        </w:rPr>
        <w:t> </w:t>
      </w:r>
      <w:r w:rsidRPr="00702497">
        <w:rPr>
          <w:rFonts w:eastAsia="Malgun Gothic"/>
          <w:bCs/>
          <w:i/>
          <w:iCs/>
          <w:lang w:val="fr-FR"/>
        </w:rPr>
        <w:t>30</w:t>
      </w:r>
      <w:r w:rsidR="009114D8">
        <w:rPr>
          <w:rFonts w:eastAsia="Malgun Gothic"/>
          <w:bCs/>
          <w:i/>
          <w:iCs/>
          <w:lang w:val="fr-FR"/>
        </w:rPr>
        <w:t> </w:t>
      </w:r>
      <w:r w:rsidRPr="00702497">
        <w:rPr>
          <w:rFonts w:eastAsia="Malgun Gothic"/>
          <w:bCs/>
          <w:i/>
          <w:iCs/>
          <w:lang w:val="fr-FR"/>
        </w:rPr>
        <w:t>novembre</w:t>
      </w:r>
      <w:r w:rsidR="009114D8">
        <w:rPr>
          <w:rFonts w:eastAsia="Malgun Gothic"/>
          <w:bCs/>
          <w:i/>
          <w:iCs/>
          <w:lang w:val="fr-FR"/>
        </w:rPr>
        <w:t> </w:t>
      </w:r>
      <w:r w:rsidR="00FD22BF">
        <w:rPr>
          <w:rFonts w:eastAsia="Malgun Gothic"/>
          <w:bCs/>
          <w:i/>
          <w:iCs/>
          <w:lang w:val="fr-FR"/>
        </w:rPr>
        <w:t>2022</w:t>
      </w:r>
      <w:r w:rsidRPr="00702497">
        <w:rPr>
          <w:rFonts w:eastAsia="Malgun Gothic"/>
          <w:bCs/>
          <w:i/>
          <w:iCs/>
          <w:lang w:val="fr-FR"/>
        </w:rPr>
        <w:t>, séance du matin]</w:t>
      </w:r>
    </w:p>
    <w:p w14:paraId="42C880F7" w14:textId="77777777" w:rsidR="005F051B" w:rsidRDefault="005F051B" w:rsidP="00702497">
      <w:pPr>
        <w:pStyle w:val="Orateurengris"/>
        <w:tabs>
          <w:tab w:val="clear" w:pos="709"/>
          <w:tab w:val="clear" w:pos="1418"/>
          <w:tab w:val="clear" w:pos="2126"/>
          <w:tab w:val="clear" w:pos="2835"/>
          <w:tab w:val="left" w:pos="4962"/>
        </w:tabs>
        <w:spacing w:before="120" w:after="0"/>
        <w:rPr>
          <w:rFonts w:eastAsia="Malgun Gothic"/>
          <w:bCs/>
          <w:i/>
          <w:iCs/>
          <w:lang w:val="fr-FR"/>
        </w:rPr>
      </w:pPr>
    </w:p>
    <w:p w14:paraId="44F61216" w14:textId="7A22A62E" w:rsidR="005F051B" w:rsidRPr="00702497" w:rsidRDefault="005F051B" w:rsidP="00702497">
      <w:pPr>
        <w:pStyle w:val="Orateurengris"/>
        <w:tabs>
          <w:tab w:val="clear" w:pos="709"/>
          <w:tab w:val="clear" w:pos="1418"/>
          <w:tab w:val="clear" w:pos="2126"/>
          <w:tab w:val="clear" w:pos="2835"/>
          <w:tab w:val="left" w:pos="4962"/>
        </w:tabs>
        <w:spacing w:before="120" w:after="0"/>
        <w:jc w:val="left"/>
        <w:rPr>
          <w:rFonts w:eastAsia="Malgun Gothic"/>
          <w:bCs/>
          <w:i/>
          <w:iCs/>
          <w:lang w:val="fr-FR"/>
        </w:rPr>
      </w:pPr>
      <w:r w:rsidRPr="00702497">
        <w:rPr>
          <w:b/>
          <w:color w:val="000000" w:themeColor="text1"/>
          <w:u w:val="single"/>
          <w:lang w:val="fr-FR"/>
        </w:rPr>
        <w:t>POINT</w:t>
      </w:r>
      <w:r w:rsidR="002B668C">
        <w:rPr>
          <w:b/>
          <w:color w:val="000000" w:themeColor="text1"/>
          <w:u w:val="single"/>
          <w:lang w:val="fr-FR"/>
        </w:rPr>
        <w:t> </w:t>
      </w:r>
      <w:r w:rsidRPr="00702497">
        <w:rPr>
          <w:b/>
          <w:color w:val="000000" w:themeColor="text1"/>
          <w:u w:val="single"/>
          <w:lang w:val="fr-FR"/>
        </w:rPr>
        <w:t>7.</w:t>
      </w:r>
      <w:r>
        <w:rPr>
          <w:b/>
          <w:color w:val="000000" w:themeColor="text1"/>
          <w:u w:val="single"/>
          <w:lang w:val="fr-FR"/>
        </w:rPr>
        <w:t>b</w:t>
      </w:r>
      <w:r w:rsidRPr="00702497">
        <w:rPr>
          <w:b/>
          <w:color w:val="000000" w:themeColor="text1"/>
          <w:u w:val="single"/>
          <w:lang w:val="fr-FR"/>
        </w:rPr>
        <w:t xml:space="preserve"> DE L</w:t>
      </w:r>
      <w:r w:rsidR="00923E72">
        <w:rPr>
          <w:b/>
          <w:color w:val="000000" w:themeColor="text1"/>
          <w:u w:val="single"/>
          <w:lang w:val="fr-FR"/>
        </w:rPr>
        <w:t>’</w:t>
      </w:r>
      <w:r w:rsidRPr="00702497">
        <w:rPr>
          <w:b/>
          <w:color w:val="000000" w:themeColor="text1"/>
          <w:u w:val="single"/>
          <w:lang w:val="fr-FR"/>
        </w:rPr>
        <w:t>ORDRE DU JOUR [SUITE]</w:t>
      </w:r>
      <w:r>
        <w:rPr>
          <w:b/>
          <w:color w:val="000000" w:themeColor="text1"/>
          <w:lang w:val="fr-FR"/>
        </w:rPr>
        <w:t> :</w:t>
      </w:r>
    </w:p>
    <w:p w14:paraId="4C45166D" w14:textId="1E4E1D30" w:rsidR="00DB02AF" w:rsidRPr="005F051B" w:rsidRDefault="005F051B"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5F051B">
        <w:rPr>
          <w:rFonts w:eastAsiaTheme="minorHAnsi"/>
          <w:b/>
          <w:color w:val="000000" w:themeColor="text1"/>
        </w:rPr>
        <w:t>E</w:t>
      </w:r>
      <w:r>
        <w:rPr>
          <w:rFonts w:eastAsiaTheme="minorHAnsi"/>
          <w:b/>
          <w:color w:val="000000" w:themeColor="text1"/>
        </w:rPr>
        <w:t xml:space="preserve">XAMEN DES </w:t>
      </w:r>
      <w:r w:rsidRPr="005F051B">
        <w:rPr>
          <w:rFonts w:eastAsiaTheme="minorHAnsi"/>
          <w:b/>
          <w:color w:val="000000" w:themeColor="text1"/>
        </w:rPr>
        <w:t>CANDIDATUR</w:t>
      </w:r>
      <w:r>
        <w:rPr>
          <w:rFonts w:eastAsiaTheme="minorHAnsi"/>
          <w:b/>
          <w:color w:val="000000" w:themeColor="text1"/>
        </w:rPr>
        <w:t xml:space="preserve">ES POUR </w:t>
      </w:r>
      <w:r w:rsidRPr="005F051B">
        <w:rPr>
          <w:rFonts w:eastAsiaTheme="minorHAnsi"/>
          <w:b/>
          <w:color w:val="000000" w:themeColor="text1"/>
        </w:rPr>
        <w:t>INSCRIPTION</w:t>
      </w:r>
      <w:r>
        <w:rPr>
          <w:rFonts w:eastAsiaTheme="minorHAnsi"/>
          <w:b/>
          <w:color w:val="000000" w:themeColor="text1"/>
        </w:rPr>
        <w:t xml:space="preserve"> SUR LA LISTE REPRÉSENTATIVE DU PATRIMOINE CULTUREL IMMATÉRIEL DE L</w:t>
      </w:r>
      <w:r w:rsidR="00923E72">
        <w:rPr>
          <w:rFonts w:eastAsiaTheme="minorHAnsi"/>
          <w:b/>
          <w:color w:val="000000" w:themeColor="text1"/>
        </w:rPr>
        <w:t>’</w:t>
      </w:r>
      <w:r>
        <w:rPr>
          <w:rFonts w:eastAsiaTheme="minorHAnsi"/>
          <w:b/>
          <w:color w:val="000000" w:themeColor="text1"/>
        </w:rPr>
        <w:t>HUMANITÉ</w:t>
      </w:r>
    </w:p>
    <w:p w14:paraId="36430A7C" w14:textId="69C0EE64" w:rsidR="005F051B" w:rsidRPr="005F051B" w:rsidRDefault="00DB02A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B02AF">
        <w:rPr>
          <w:rFonts w:eastAsia="Malgun Gothic"/>
          <w:bCs/>
          <w:lang w:val="fr-FR"/>
        </w:rPr>
        <w:t xml:space="preserve">Le </w:t>
      </w:r>
      <w:r w:rsidRPr="00702497">
        <w:rPr>
          <w:rFonts w:eastAsia="Malgun Gothic"/>
          <w:b/>
          <w:lang w:val="fr-FR"/>
        </w:rPr>
        <w:t>Président</w:t>
      </w:r>
      <w:r w:rsidRPr="00DB02AF">
        <w:rPr>
          <w:rFonts w:eastAsia="Malgun Gothic"/>
          <w:bCs/>
          <w:lang w:val="fr-FR"/>
        </w:rPr>
        <w:t xml:space="preserve"> a souhaité la bienvenue aux délégations, rappelant que le Comité avait achevé avec succès les points</w:t>
      </w:r>
      <w:r>
        <w:rPr>
          <w:rFonts w:eastAsia="Malgun Gothic"/>
          <w:bCs/>
          <w:lang w:val="fr-FR"/>
        </w:rPr>
        <w:t> </w:t>
      </w:r>
      <w:r w:rsidRPr="00DB02AF">
        <w:rPr>
          <w:rFonts w:eastAsia="Malgun Gothic"/>
          <w:bCs/>
          <w:lang w:val="fr-FR"/>
        </w:rPr>
        <w:t>6.c et</w:t>
      </w:r>
      <w:r>
        <w:rPr>
          <w:rFonts w:eastAsia="Malgun Gothic"/>
          <w:bCs/>
          <w:lang w:val="fr-FR"/>
        </w:rPr>
        <w:t> </w:t>
      </w:r>
      <w:r w:rsidRPr="00DB02AF">
        <w:rPr>
          <w:rFonts w:eastAsia="Malgun Gothic"/>
          <w:bCs/>
          <w:lang w:val="fr-FR"/>
        </w:rPr>
        <w:t>6.d. Pour le point</w:t>
      </w:r>
      <w:r>
        <w:rPr>
          <w:rFonts w:eastAsia="Malgun Gothic"/>
          <w:bCs/>
          <w:lang w:val="fr-FR"/>
        </w:rPr>
        <w:t> </w:t>
      </w:r>
      <w:r w:rsidRPr="00DB02AF">
        <w:rPr>
          <w:rFonts w:eastAsia="Malgun Gothic"/>
          <w:bCs/>
          <w:lang w:val="fr-FR"/>
        </w:rPr>
        <w:t>7, il y avait eu un premier débat sur le rapport de l</w:t>
      </w:r>
      <w:r w:rsidR="00923E72">
        <w:rPr>
          <w:rFonts w:eastAsia="Malgun Gothic"/>
          <w:bCs/>
          <w:lang w:val="fr-FR"/>
        </w:rPr>
        <w:t>’</w:t>
      </w:r>
      <w:r w:rsidRPr="00DB02AF">
        <w:rPr>
          <w:rFonts w:eastAsia="Malgun Gothic"/>
          <w:bCs/>
          <w:lang w:val="fr-FR"/>
        </w:rPr>
        <w:t>Organe d</w:t>
      </w:r>
      <w:r w:rsidR="00923E72">
        <w:rPr>
          <w:rFonts w:eastAsia="Malgun Gothic"/>
          <w:bCs/>
          <w:lang w:val="fr-FR"/>
        </w:rPr>
        <w:t>’</w:t>
      </w:r>
      <w:r w:rsidRPr="00DB02AF">
        <w:rPr>
          <w:rFonts w:eastAsia="Malgun Gothic"/>
          <w:bCs/>
          <w:lang w:val="fr-FR"/>
        </w:rPr>
        <w:t>évaluation, à l</w:t>
      </w:r>
      <w:r w:rsidR="00923E72">
        <w:rPr>
          <w:rFonts w:eastAsia="Malgun Gothic"/>
          <w:bCs/>
          <w:lang w:val="fr-FR"/>
        </w:rPr>
        <w:t>’</w:t>
      </w:r>
      <w:r w:rsidRPr="00DB02AF">
        <w:rPr>
          <w:rFonts w:eastAsia="Malgun Gothic"/>
          <w:bCs/>
          <w:lang w:val="fr-FR"/>
        </w:rPr>
        <w:t>issue duquel les projets de décision du point</w:t>
      </w:r>
      <w:r>
        <w:rPr>
          <w:rFonts w:eastAsia="Malgun Gothic"/>
          <w:bCs/>
          <w:lang w:val="fr-FR"/>
        </w:rPr>
        <w:t> </w:t>
      </w:r>
      <w:r w:rsidRPr="00DB02AF">
        <w:rPr>
          <w:rFonts w:eastAsia="Malgun Gothic"/>
          <w:bCs/>
          <w:lang w:val="fr-FR"/>
        </w:rPr>
        <w:t>7.a avaient été adoptés. Le Comité avait mené à bien ses travaux jusqu</w:t>
      </w:r>
      <w:r w:rsidR="00923E72">
        <w:rPr>
          <w:rFonts w:eastAsia="Malgun Gothic"/>
          <w:bCs/>
          <w:lang w:val="fr-FR"/>
        </w:rPr>
        <w:t>’</w:t>
      </w:r>
      <w:r w:rsidRPr="00DB02AF">
        <w:rPr>
          <w:rFonts w:eastAsia="Malgun Gothic"/>
          <w:bCs/>
          <w:lang w:val="fr-FR"/>
        </w:rPr>
        <w:t>au point</w:t>
      </w:r>
      <w:r>
        <w:rPr>
          <w:rFonts w:eastAsia="Malgun Gothic"/>
          <w:bCs/>
          <w:lang w:val="fr-FR"/>
        </w:rPr>
        <w:t> </w:t>
      </w:r>
      <w:r w:rsidRPr="00DB02AF">
        <w:rPr>
          <w:rFonts w:eastAsia="Malgun Gothic"/>
          <w:bCs/>
          <w:lang w:val="fr-FR"/>
        </w:rPr>
        <w:t>7.b.5 et reprendrait l</w:t>
      </w:r>
      <w:r w:rsidR="00923E72">
        <w:rPr>
          <w:rFonts w:eastAsia="Malgun Gothic"/>
          <w:bCs/>
          <w:lang w:val="fr-FR"/>
        </w:rPr>
        <w:t>’</w:t>
      </w:r>
      <w:r w:rsidRPr="00DB02AF">
        <w:rPr>
          <w:rFonts w:eastAsia="Malgun Gothic"/>
          <w:bCs/>
          <w:lang w:val="fr-FR"/>
        </w:rPr>
        <w:t>examen du projet de décision</w:t>
      </w:r>
      <w:r>
        <w:rPr>
          <w:rFonts w:eastAsia="Malgun Gothic"/>
          <w:bCs/>
          <w:lang w:val="fr-FR"/>
        </w:rPr>
        <w:t> </w:t>
      </w:r>
      <w:r w:rsidRPr="00DB02AF">
        <w:rPr>
          <w:rFonts w:eastAsia="Malgun Gothic"/>
          <w:bCs/>
          <w:lang w:val="fr-FR"/>
        </w:rPr>
        <w:t>7.b.5. Un remaniement des dossiers à examiner avait été demandé par un certain nombre d</w:t>
      </w:r>
      <w:r w:rsidR="00923E72">
        <w:rPr>
          <w:rFonts w:eastAsia="Malgun Gothic"/>
          <w:bCs/>
          <w:lang w:val="fr-FR"/>
        </w:rPr>
        <w:t>’</w:t>
      </w:r>
      <w:r w:rsidRPr="00DB02AF">
        <w:rPr>
          <w:rFonts w:eastAsia="Malgun Gothic"/>
          <w:bCs/>
          <w:lang w:val="fr-FR"/>
        </w:rPr>
        <w:t>États parties, et le Président s</w:t>
      </w:r>
      <w:r w:rsidR="00923E72">
        <w:rPr>
          <w:rFonts w:eastAsia="Malgun Gothic"/>
          <w:bCs/>
          <w:lang w:val="fr-FR"/>
        </w:rPr>
        <w:t>’</w:t>
      </w:r>
      <w:r w:rsidRPr="00DB02AF">
        <w:rPr>
          <w:rFonts w:eastAsia="Malgun Gothic"/>
          <w:bCs/>
          <w:lang w:val="fr-FR"/>
        </w:rPr>
        <w:t>efforcerait d</w:t>
      </w:r>
      <w:r w:rsidR="00923E72">
        <w:rPr>
          <w:rFonts w:eastAsia="Malgun Gothic"/>
          <w:bCs/>
          <w:lang w:val="fr-FR"/>
        </w:rPr>
        <w:t>’</w:t>
      </w:r>
      <w:r w:rsidRPr="00DB02AF">
        <w:rPr>
          <w:rFonts w:eastAsia="Malgun Gothic"/>
          <w:bCs/>
          <w:lang w:val="fr-FR"/>
        </w:rPr>
        <w:t xml:space="preserve">en tenir compte. Le Président a rappelé au Comité que des amendements avaient été reçus pour </w:t>
      </w:r>
      <w:r>
        <w:rPr>
          <w:rFonts w:eastAsia="Malgun Gothic"/>
          <w:bCs/>
          <w:lang w:val="fr-FR"/>
        </w:rPr>
        <w:t>l</w:t>
      </w:r>
      <w:r w:rsidRPr="00DB02AF">
        <w:rPr>
          <w:rFonts w:eastAsia="Malgun Gothic"/>
          <w:bCs/>
          <w:lang w:val="fr-FR"/>
        </w:rPr>
        <w:t xml:space="preserve">es projets de décision concernant </w:t>
      </w:r>
      <w:r w:rsidR="00BB7DEF">
        <w:rPr>
          <w:rFonts w:eastAsia="Malgun Gothic"/>
          <w:bCs/>
          <w:lang w:val="fr-FR"/>
        </w:rPr>
        <w:t>l</w:t>
      </w:r>
      <w:r w:rsidRPr="00DB02AF">
        <w:rPr>
          <w:rFonts w:eastAsia="Malgun Gothic"/>
          <w:bCs/>
          <w:lang w:val="fr-FR"/>
        </w:rPr>
        <w:t>es candidatures soumises par l</w:t>
      </w:r>
      <w:r w:rsidR="00923E72">
        <w:rPr>
          <w:rFonts w:eastAsia="Malgun Gothic"/>
          <w:bCs/>
          <w:lang w:val="fr-FR"/>
        </w:rPr>
        <w:t>’</w:t>
      </w:r>
      <w:r w:rsidRPr="00DB02AF">
        <w:rPr>
          <w:rFonts w:eastAsia="Malgun Gothic"/>
          <w:bCs/>
          <w:lang w:val="fr-FR"/>
        </w:rPr>
        <w:t>Égypte, l</w:t>
      </w:r>
      <w:r w:rsidR="00923E72">
        <w:rPr>
          <w:rFonts w:eastAsia="Malgun Gothic"/>
          <w:bCs/>
          <w:lang w:val="fr-FR"/>
        </w:rPr>
        <w:t>’</w:t>
      </w:r>
      <w:r w:rsidRPr="00DB02AF">
        <w:rPr>
          <w:rFonts w:eastAsia="Malgun Gothic"/>
          <w:bCs/>
          <w:lang w:val="fr-FR"/>
        </w:rPr>
        <w:t>Allemagne, le Guatemala, la République islamique d</w:t>
      </w:r>
      <w:r w:rsidR="00923E72">
        <w:rPr>
          <w:rFonts w:eastAsia="Malgun Gothic"/>
          <w:bCs/>
          <w:lang w:val="fr-FR"/>
        </w:rPr>
        <w:t>’</w:t>
      </w:r>
      <w:r w:rsidRPr="00DB02AF">
        <w:rPr>
          <w:rFonts w:eastAsia="Malgun Gothic"/>
          <w:bCs/>
          <w:lang w:val="fr-FR"/>
        </w:rPr>
        <w:t>Iran et l</w:t>
      </w:r>
      <w:r w:rsidR="00923E72">
        <w:rPr>
          <w:rFonts w:eastAsia="Malgun Gothic"/>
          <w:bCs/>
          <w:lang w:val="fr-FR"/>
        </w:rPr>
        <w:t>’</w:t>
      </w:r>
      <w:r w:rsidRPr="00DB02AF">
        <w:rPr>
          <w:rFonts w:eastAsia="Malgun Gothic"/>
          <w:bCs/>
          <w:lang w:val="fr-FR"/>
        </w:rPr>
        <w:t>Afghanistan, le Kazakhstan</w:t>
      </w:r>
      <w:r w:rsidR="005C4A25">
        <w:rPr>
          <w:rFonts w:eastAsia="Malgun Gothic"/>
          <w:bCs/>
          <w:lang w:val="fr-FR"/>
        </w:rPr>
        <w:t>,</w:t>
      </w:r>
      <w:r w:rsidRPr="00DB02AF">
        <w:rPr>
          <w:rFonts w:eastAsia="Malgun Gothic"/>
          <w:bCs/>
          <w:lang w:val="fr-FR"/>
        </w:rPr>
        <w:t xml:space="preserve"> et la Roumanie et la République de Moldova. Il y avait également un amendement du Brésil pour l</w:t>
      </w:r>
      <w:r w:rsidR="00923E72">
        <w:rPr>
          <w:rFonts w:eastAsia="Malgun Gothic"/>
          <w:bCs/>
          <w:lang w:val="fr-FR"/>
        </w:rPr>
        <w:t>’</w:t>
      </w:r>
      <w:r w:rsidRPr="00DB02AF">
        <w:rPr>
          <w:rFonts w:eastAsia="Malgun Gothic"/>
          <w:bCs/>
          <w:lang w:val="fr-FR"/>
        </w:rPr>
        <w:t>ensemble du projet de décision</w:t>
      </w:r>
      <w:r w:rsidR="00BB7DEF">
        <w:rPr>
          <w:rFonts w:eastAsia="Malgun Gothic"/>
          <w:bCs/>
          <w:lang w:val="fr-FR"/>
        </w:rPr>
        <w:t> </w:t>
      </w:r>
      <w:r w:rsidRPr="00DB02AF">
        <w:rPr>
          <w:rFonts w:eastAsia="Malgun Gothic"/>
          <w:bCs/>
          <w:lang w:val="fr-FR"/>
        </w:rPr>
        <w:t>17.COM</w:t>
      </w:r>
      <w:r>
        <w:rPr>
          <w:rFonts w:eastAsia="Malgun Gothic"/>
          <w:bCs/>
          <w:lang w:val="fr-FR"/>
        </w:rPr>
        <w:t> </w:t>
      </w:r>
      <w:r w:rsidRPr="00DB02AF">
        <w:rPr>
          <w:rFonts w:eastAsia="Malgun Gothic"/>
          <w:bCs/>
          <w:lang w:val="fr-FR"/>
        </w:rPr>
        <w:t>7. Le Président a repris l</w:t>
      </w:r>
      <w:r w:rsidR="00923E72">
        <w:rPr>
          <w:rFonts w:eastAsia="Malgun Gothic"/>
          <w:bCs/>
          <w:lang w:val="fr-FR"/>
        </w:rPr>
        <w:t>’</w:t>
      </w:r>
      <w:r w:rsidRPr="00DB02AF">
        <w:rPr>
          <w:rFonts w:eastAsia="Malgun Gothic"/>
          <w:bCs/>
          <w:lang w:val="fr-FR"/>
        </w:rPr>
        <w:t>examen du projet de décision</w:t>
      </w:r>
      <w:r>
        <w:rPr>
          <w:rFonts w:eastAsia="Malgun Gothic"/>
          <w:bCs/>
          <w:lang w:val="fr-FR"/>
        </w:rPr>
        <w:t> </w:t>
      </w:r>
      <w:r w:rsidRPr="00DB02AF">
        <w:rPr>
          <w:rFonts w:eastAsia="Malgun Gothic"/>
          <w:bCs/>
          <w:lang w:val="fr-FR"/>
        </w:rPr>
        <w:t>7.b.5 et du dossier de candidature de Cuba.</w:t>
      </w:r>
    </w:p>
    <w:p w14:paraId="1D83AD1F" w14:textId="5B963E60" w:rsidR="005F051B" w:rsidRDefault="00DB02A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B02AF">
        <w:rPr>
          <w:rFonts w:eastAsia="Malgun Gothic"/>
          <w:bCs/>
          <w:lang w:val="fr-FR"/>
        </w:rPr>
        <w:t xml:space="preserve">La délégation de la </w:t>
      </w:r>
      <w:r w:rsidRPr="00702497">
        <w:rPr>
          <w:rFonts w:eastAsia="Malgun Gothic"/>
          <w:b/>
          <w:lang w:val="fr-FR"/>
        </w:rPr>
        <w:t>Côte d</w:t>
      </w:r>
      <w:r w:rsidR="00923E72">
        <w:rPr>
          <w:rFonts w:eastAsia="Malgun Gothic"/>
          <w:b/>
          <w:lang w:val="fr-FR"/>
        </w:rPr>
        <w:t>’</w:t>
      </w:r>
      <w:r w:rsidRPr="00702497">
        <w:rPr>
          <w:rFonts w:eastAsia="Malgun Gothic"/>
          <w:b/>
          <w:lang w:val="fr-FR"/>
        </w:rPr>
        <w:t>Ivoire</w:t>
      </w:r>
      <w:r w:rsidRPr="00DB02AF">
        <w:rPr>
          <w:rFonts w:eastAsia="Malgun Gothic"/>
          <w:bCs/>
          <w:lang w:val="fr-FR"/>
        </w:rPr>
        <w:t xml:space="preserve"> était satisfaite de l</w:t>
      </w:r>
      <w:r w:rsidR="00923E72">
        <w:rPr>
          <w:rFonts w:eastAsia="Malgun Gothic"/>
          <w:bCs/>
          <w:lang w:val="fr-FR"/>
        </w:rPr>
        <w:t>’</w:t>
      </w:r>
      <w:r w:rsidRPr="00DB02AF">
        <w:rPr>
          <w:rFonts w:eastAsia="Malgun Gothic"/>
          <w:bCs/>
          <w:lang w:val="fr-FR"/>
        </w:rPr>
        <w:t>intervention de Cuba. Cependant, elle s</w:t>
      </w:r>
      <w:r w:rsidR="00923E72">
        <w:rPr>
          <w:rFonts w:eastAsia="Malgun Gothic"/>
          <w:bCs/>
          <w:lang w:val="fr-FR"/>
        </w:rPr>
        <w:t>’</w:t>
      </w:r>
      <w:r w:rsidRPr="00DB02AF">
        <w:rPr>
          <w:rFonts w:eastAsia="Malgun Gothic"/>
          <w:bCs/>
          <w:lang w:val="fr-FR"/>
        </w:rPr>
        <w:t>interrogeait sur les facteurs d</w:t>
      </w:r>
      <w:r w:rsidR="00923E72">
        <w:rPr>
          <w:rFonts w:eastAsia="Malgun Gothic"/>
          <w:bCs/>
          <w:lang w:val="fr-FR"/>
        </w:rPr>
        <w:t>’</w:t>
      </w:r>
      <w:r w:rsidRPr="00DB02AF">
        <w:rPr>
          <w:rFonts w:eastAsia="Malgun Gothic"/>
          <w:bCs/>
          <w:lang w:val="fr-FR"/>
        </w:rPr>
        <w:t xml:space="preserve">engagement du processus de dialogue en amont. La délégation </w:t>
      </w:r>
      <w:r w:rsidR="006962E1">
        <w:rPr>
          <w:rFonts w:eastAsia="Malgun Gothic"/>
          <w:bCs/>
          <w:lang w:val="fr-FR"/>
        </w:rPr>
        <w:t xml:space="preserve">croyait </w:t>
      </w:r>
      <w:r w:rsidRPr="00DB02AF">
        <w:rPr>
          <w:rFonts w:eastAsia="Malgun Gothic"/>
          <w:bCs/>
          <w:lang w:val="fr-FR"/>
        </w:rPr>
        <w:t>comprendre que l</w:t>
      </w:r>
      <w:r w:rsidR="00923E72">
        <w:rPr>
          <w:rFonts w:eastAsia="Malgun Gothic"/>
          <w:bCs/>
          <w:lang w:val="fr-FR"/>
        </w:rPr>
        <w:t>’</w:t>
      </w:r>
      <w:r w:rsidRPr="00DB02AF">
        <w:rPr>
          <w:rFonts w:eastAsia="Malgun Gothic"/>
          <w:bCs/>
          <w:lang w:val="fr-FR"/>
        </w:rPr>
        <w:t>Organe d</w:t>
      </w:r>
      <w:r w:rsidR="00923E72">
        <w:rPr>
          <w:rFonts w:eastAsia="Malgun Gothic"/>
          <w:bCs/>
          <w:lang w:val="fr-FR"/>
        </w:rPr>
        <w:t>’</w:t>
      </w:r>
      <w:r w:rsidRPr="00DB02AF">
        <w:rPr>
          <w:rFonts w:eastAsia="Malgun Gothic"/>
          <w:bCs/>
          <w:lang w:val="fr-FR"/>
        </w:rPr>
        <w:t>évaluation travaill</w:t>
      </w:r>
      <w:r w:rsidR="006962E1">
        <w:rPr>
          <w:rFonts w:eastAsia="Malgun Gothic"/>
          <w:bCs/>
          <w:lang w:val="fr-FR"/>
        </w:rPr>
        <w:t>ait</w:t>
      </w:r>
      <w:r w:rsidRPr="00DB02AF">
        <w:rPr>
          <w:rFonts w:eastAsia="Malgun Gothic"/>
          <w:bCs/>
          <w:lang w:val="fr-FR"/>
        </w:rPr>
        <w:t xml:space="preserve"> dans le strict respect des instructions relatives au processus de dialogue. Dans le cas du dossier de Cuba, il avait été constaté que les informations qu</w:t>
      </w:r>
      <w:r w:rsidR="00923E72">
        <w:rPr>
          <w:rFonts w:eastAsia="Malgun Gothic"/>
          <w:bCs/>
          <w:lang w:val="fr-FR"/>
        </w:rPr>
        <w:t>’</w:t>
      </w:r>
      <w:r w:rsidRPr="00DB02AF">
        <w:rPr>
          <w:rFonts w:eastAsia="Malgun Gothic"/>
          <w:bCs/>
          <w:lang w:val="fr-FR"/>
        </w:rPr>
        <w:t>il contenait étaient suffisantes pour que l</w:t>
      </w:r>
      <w:r w:rsidR="00923E72">
        <w:rPr>
          <w:rFonts w:eastAsia="Malgun Gothic"/>
          <w:bCs/>
          <w:lang w:val="fr-FR"/>
        </w:rPr>
        <w:t>’</w:t>
      </w:r>
      <w:r w:rsidRPr="00DB02AF">
        <w:rPr>
          <w:rFonts w:eastAsia="Malgun Gothic"/>
          <w:bCs/>
          <w:lang w:val="fr-FR"/>
        </w:rPr>
        <w:t>Organe d</w:t>
      </w:r>
      <w:r w:rsidR="00923E72">
        <w:rPr>
          <w:rFonts w:eastAsia="Malgun Gothic"/>
          <w:bCs/>
          <w:lang w:val="fr-FR"/>
        </w:rPr>
        <w:t>’</w:t>
      </w:r>
      <w:r w:rsidRPr="00DB02AF">
        <w:rPr>
          <w:rFonts w:eastAsia="Malgun Gothic"/>
          <w:bCs/>
          <w:lang w:val="fr-FR"/>
        </w:rPr>
        <w:t>évaluation l</w:t>
      </w:r>
      <w:r w:rsidR="00923E72">
        <w:rPr>
          <w:rFonts w:eastAsia="Malgun Gothic"/>
          <w:bCs/>
          <w:lang w:val="fr-FR"/>
        </w:rPr>
        <w:t>’</w:t>
      </w:r>
      <w:r w:rsidRPr="00DB02AF">
        <w:rPr>
          <w:rFonts w:eastAsia="Malgun Gothic"/>
          <w:bCs/>
          <w:lang w:val="fr-FR"/>
        </w:rPr>
        <w:t>évalue [avec un renvoi] et estime donc inutile de dialoguer avec l</w:t>
      </w:r>
      <w:r w:rsidR="00923E72">
        <w:rPr>
          <w:rFonts w:eastAsia="Malgun Gothic"/>
          <w:bCs/>
          <w:lang w:val="fr-FR"/>
        </w:rPr>
        <w:t>’</w:t>
      </w:r>
      <w:r w:rsidRPr="00DB02AF">
        <w:rPr>
          <w:rFonts w:eastAsia="Malgun Gothic"/>
          <w:bCs/>
          <w:lang w:val="fr-FR"/>
        </w:rPr>
        <w:t>État soumissionnaire. Toutefois, les éclaircissements apportés par Cuba</w:t>
      </w:r>
      <w:r w:rsidR="006962E1">
        <w:rPr>
          <w:rFonts w:eastAsia="Malgun Gothic"/>
          <w:bCs/>
          <w:lang w:val="fr-FR"/>
        </w:rPr>
        <w:t xml:space="preserve">, </w:t>
      </w:r>
      <w:r w:rsidRPr="00DB02AF">
        <w:rPr>
          <w:rFonts w:eastAsia="Malgun Gothic"/>
          <w:bCs/>
          <w:lang w:val="fr-FR"/>
        </w:rPr>
        <w:t xml:space="preserve">suite </w:t>
      </w:r>
      <w:r w:rsidR="006962E1">
        <w:rPr>
          <w:rFonts w:eastAsia="Malgun Gothic"/>
          <w:bCs/>
          <w:lang w:val="fr-FR"/>
        </w:rPr>
        <w:t>à</w:t>
      </w:r>
      <w:r w:rsidRPr="00DB02AF">
        <w:rPr>
          <w:rFonts w:eastAsia="Malgun Gothic"/>
          <w:bCs/>
          <w:lang w:val="fr-FR"/>
        </w:rPr>
        <w:t xml:space="preserve"> la question posée par le Brésil</w:t>
      </w:r>
      <w:r w:rsidR="006962E1">
        <w:rPr>
          <w:rFonts w:eastAsia="Malgun Gothic"/>
          <w:bCs/>
          <w:lang w:val="fr-FR"/>
        </w:rPr>
        <w:t>,</w:t>
      </w:r>
      <w:r w:rsidRPr="00DB02AF">
        <w:rPr>
          <w:rFonts w:eastAsia="Malgun Gothic"/>
          <w:bCs/>
          <w:lang w:val="fr-FR"/>
        </w:rPr>
        <w:t xml:space="preserve"> avaient permis de clarifier le dossier. Contrairement aux apparences, ce dossier relevait plus de la transmission du savoir-faire des maîtres </w:t>
      </w:r>
      <w:proofErr w:type="spellStart"/>
      <w:r w:rsidRPr="00DB02AF">
        <w:rPr>
          <w:rFonts w:eastAsia="Malgun Gothic"/>
          <w:bCs/>
          <w:lang w:val="fr-FR"/>
        </w:rPr>
        <w:t>rhumiers</w:t>
      </w:r>
      <w:proofErr w:type="spellEnd"/>
      <w:r w:rsidRPr="00DB02AF">
        <w:rPr>
          <w:rFonts w:eastAsia="Malgun Gothic"/>
          <w:bCs/>
          <w:lang w:val="fr-FR"/>
        </w:rPr>
        <w:t xml:space="preserve"> que de la promotion du produit, dont le savoir-faire a un</w:t>
      </w:r>
      <w:r w:rsidR="006962E1">
        <w:rPr>
          <w:rFonts w:eastAsia="Malgun Gothic"/>
          <w:bCs/>
          <w:lang w:val="fr-FR"/>
        </w:rPr>
        <w:t xml:space="preserve">e incidence </w:t>
      </w:r>
      <w:r w:rsidRPr="00DB02AF">
        <w:rPr>
          <w:rFonts w:eastAsia="Malgun Gothic"/>
          <w:bCs/>
          <w:lang w:val="fr-FR"/>
        </w:rPr>
        <w:t>sur la vie quotidienne des Cubains. Le Comité devrait encourager le respect du patrimoine culturel immatériel de toutes les communautés. Tout en remerciant l</w:t>
      </w:r>
      <w:r w:rsidR="00923E72">
        <w:rPr>
          <w:rFonts w:eastAsia="Malgun Gothic"/>
          <w:bCs/>
          <w:lang w:val="fr-FR"/>
        </w:rPr>
        <w:t>’</w:t>
      </w:r>
      <w:r w:rsidRPr="00DB02AF">
        <w:rPr>
          <w:rFonts w:eastAsia="Malgun Gothic"/>
          <w:bCs/>
          <w:lang w:val="fr-FR"/>
        </w:rPr>
        <w:t>Organe d</w:t>
      </w:r>
      <w:r w:rsidR="00923E72">
        <w:rPr>
          <w:rFonts w:eastAsia="Malgun Gothic"/>
          <w:bCs/>
          <w:lang w:val="fr-FR"/>
        </w:rPr>
        <w:t>’</w:t>
      </w:r>
      <w:r w:rsidRPr="00DB02AF">
        <w:rPr>
          <w:rFonts w:eastAsia="Malgun Gothic"/>
          <w:bCs/>
          <w:lang w:val="fr-FR"/>
        </w:rPr>
        <w:t xml:space="preserve">évaluation pour son expertise, le Comité devait pouvoir prendre en </w:t>
      </w:r>
      <w:r w:rsidR="006962E1">
        <w:rPr>
          <w:rFonts w:eastAsia="Malgun Gothic"/>
          <w:bCs/>
          <w:lang w:val="fr-FR"/>
        </w:rPr>
        <w:t xml:space="preserve">considération </w:t>
      </w:r>
      <w:r w:rsidRPr="00DB02AF">
        <w:rPr>
          <w:rFonts w:eastAsia="Malgun Gothic"/>
          <w:bCs/>
          <w:lang w:val="fr-FR"/>
        </w:rPr>
        <w:t>de tels éclaircissements à l</w:t>
      </w:r>
      <w:r w:rsidR="00923E72">
        <w:rPr>
          <w:rFonts w:eastAsia="Malgun Gothic"/>
          <w:bCs/>
          <w:lang w:val="fr-FR"/>
        </w:rPr>
        <w:t>’</w:t>
      </w:r>
      <w:r w:rsidRPr="00DB02AF">
        <w:rPr>
          <w:rFonts w:eastAsia="Malgun Gothic"/>
          <w:bCs/>
          <w:lang w:val="fr-FR"/>
        </w:rPr>
        <w:t>avenir, tout en réfléchissant également à l</w:t>
      </w:r>
      <w:r w:rsidR="00923E72">
        <w:rPr>
          <w:rFonts w:eastAsia="Malgun Gothic"/>
          <w:bCs/>
          <w:lang w:val="fr-FR"/>
        </w:rPr>
        <w:t>’</w:t>
      </w:r>
      <w:r w:rsidRPr="00DB02AF">
        <w:rPr>
          <w:rFonts w:eastAsia="Malgun Gothic"/>
          <w:bCs/>
          <w:lang w:val="fr-FR"/>
        </w:rPr>
        <w:t>idée d</w:t>
      </w:r>
      <w:r w:rsidR="00923E72">
        <w:rPr>
          <w:rFonts w:eastAsia="Malgun Gothic"/>
          <w:bCs/>
          <w:lang w:val="fr-FR"/>
        </w:rPr>
        <w:t>’</w:t>
      </w:r>
      <w:r w:rsidRPr="00DB02AF">
        <w:rPr>
          <w:rFonts w:eastAsia="Malgun Gothic"/>
          <w:bCs/>
          <w:lang w:val="fr-FR"/>
        </w:rPr>
        <w:t>engager systématiquement le dialogue au moindre soupçon d</w:t>
      </w:r>
      <w:r w:rsidR="00923E72">
        <w:rPr>
          <w:rFonts w:eastAsia="Malgun Gothic"/>
          <w:bCs/>
          <w:lang w:val="fr-FR"/>
        </w:rPr>
        <w:t>’</w:t>
      </w:r>
      <w:r w:rsidRPr="00DB02AF">
        <w:rPr>
          <w:rFonts w:eastAsia="Malgun Gothic"/>
          <w:bCs/>
          <w:lang w:val="fr-FR"/>
        </w:rPr>
        <w:t>incompréhension d</w:t>
      </w:r>
      <w:r w:rsidR="00923E72">
        <w:rPr>
          <w:rFonts w:eastAsia="Malgun Gothic"/>
          <w:bCs/>
          <w:lang w:val="fr-FR"/>
        </w:rPr>
        <w:t>’</w:t>
      </w:r>
      <w:r w:rsidRPr="00DB02AF">
        <w:rPr>
          <w:rFonts w:eastAsia="Malgun Gothic"/>
          <w:bCs/>
          <w:lang w:val="fr-FR"/>
        </w:rPr>
        <w:t>un dossier</w:t>
      </w:r>
      <w:r>
        <w:rPr>
          <w:rFonts w:eastAsia="Malgun Gothic"/>
          <w:bCs/>
          <w:lang w:val="fr-FR"/>
        </w:rPr>
        <w:t xml:space="preserve">, </w:t>
      </w:r>
      <w:r w:rsidRPr="00DB02AF">
        <w:rPr>
          <w:rFonts w:eastAsia="Malgun Gothic"/>
          <w:bCs/>
          <w:lang w:val="fr-FR"/>
        </w:rPr>
        <w:t>qui conduit à son renvoi.</w:t>
      </w:r>
    </w:p>
    <w:p w14:paraId="317F861B" w14:textId="0C073A02" w:rsidR="006962E1" w:rsidRDefault="006962E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962E1">
        <w:rPr>
          <w:rFonts w:eastAsia="Malgun Gothic"/>
          <w:bCs/>
          <w:lang w:val="fr-FR"/>
        </w:rPr>
        <w:t>La délégation de l</w:t>
      </w:r>
      <w:r w:rsidR="00923E72">
        <w:rPr>
          <w:rFonts w:eastAsia="Malgun Gothic"/>
          <w:bCs/>
          <w:lang w:val="fr-FR"/>
        </w:rPr>
        <w:t>’</w:t>
      </w:r>
      <w:r w:rsidRPr="00702497">
        <w:rPr>
          <w:rFonts w:eastAsia="Malgun Gothic"/>
          <w:b/>
          <w:lang w:val="fr-FR"/>
        </w:rPr>
        <w:t>Ouzbékistan</w:t>
      </w:r>
      <w:r w:rsidRPr="006962E1">
        <w:rPr>
          <w:rFonts w:eastAsia="Malgun Gothic"/>
          <w:bCs/>
          <w:lang w:val="fr-FR"/>
        </w:rPr>
        <w:t xml:space="preserve"> s</w:t>
      </w:r>
      <w:r w:rsidR="00923E72">
        <w:rPr>
          <w:rFonts w:eastAsia="Malgun Gothic"/>
          <w:bCs/>
          <w:lang w:val="fr-FR"/>
        </w:rPr>
        <w:t>’</w:t>
      </w:r>
      <w:r w:rsidRPr="006962E1">
        <w:rPr>
          <w:rFonts w:eastAsia="Malgun Gothic"/>
          <w:bCs/>
          <w:lang w:val="fr-FR"/>
        </w:rPr>
        <w:t xml:space="preserve">est </w:t>
      </w:r>
      <w:r>
        <w:rPr>
          <w:rFonts w:eastAsia="Malgun Gothic"/>
          <w:bCs/>
          <w:lang w:val="fr-FR"/>
        </w:rPr>
        <w:t xml:space="preserve">réjouie </w:t>
      </w:r>
      <w:r w:rsidRPr="006962E1">
        <w:rPr>
          <w:rFonts w:eastAsia="Malgun Gothic"/>
          <w:bCs/>
          <w:lang w:val="fr-FR"/>
        </w:rPr>
        <w:t>de la soumission de Cuba et a remercié l</w:t>
      </w:r>
      <w:r w:rsidR="00923E72">
        <w:rPr>
          <w:rFonts w:eastAsia="Malgun Gothic"/>
          <w:bCs/>
          <w:lang w:val="fr-FR"/>
        </w:rPr>
        <w:t>’</w:t>
      </w:r>
      <w:r w:rsidRPr="006962E1">
        <w:rPr>
          <w:rFonts w:eastAsia="Malgun Gothic"/>
          <w:bCs/>
          <w:lang w:val="fr-FR"/>
        </w:rPr>
        <w:t>Organe d</w:t>
      </w:r>
      <w:r w:rsidR="00923E72">
        <w:rPr>
          <w:rFonts w:eastAsia="Malgun Gothic"/>
          <w:bCs/>
          <w:lang w:val="fr-FR"/>
        </w:rPr>
        <w:t>’</w:t>
      </w:r>
      <w:r w:rsidRPr="006962E1">
        <w:rPr>
          <w:rFonts w:eastAsia="Malgun Gothic"/>
          <w:bCs/>
          <w:lang w:val="fr-FR"/>
        </w:rPr>
        <w:t>évaluation pour son travail acharné. Les discussions menées par de nombreux membres du Comité démontraient clairement un intérêt pour le dossier</w:t>
      </w:r>
      <w:r w:rsidR="00F92345">
        <w:rPr>
          <w:rFonts w:eastAsia="Malgun Gothic"/>
          <w:bCs/>
          <w:lang w:val="fr-FR"/>
        </w:rPr>
        <w:t>,</w:t>
      </w:r>
      <w:r w:rsidRPr="006962E1">
        <w:rPr>
          <w:rFonts w:eastAsia="Malgun Gothic"/>
          <w:bCs/>
          <w:lang w:val="fr-FR"/>
        </w:rPr>
        <w:t xml:space="preserve"> qui mettait en évidence sa contribution au développement socio-économique des communautés impliquées dans la production, la diffusion et la transmission du savoir des maîtres du rhum léger. Il était également apparu que des problèmes de traduction, l</w:t>
      </w:r>
      <w:r w:rsidR="00923E72">
        <w:rPr>
          <w:rFonts w:eastAsia="Malgun Gothic"/>
          <w:bCs/>
          <w:lang w:val="fr-FR"/>
        </w:rPr>
        <w:t>’</w:t>
      </w:r>
      <w:r w:rsidRPr="006962E1">
        <w:rPr>
          <w:rFonts w:eastAsia="Malgun Gothic"/>
          <w:bCs/>
          <w:lang w:val="fr-FR"/>
        </w:rPr>
        <w:t>absence de processus de dialogue et d</w:t>
      </w:r>
      <w:r w:rsidR="00923E72">
        <w:rPr>
          <w:rFonts w:eastAsia="Malgun Gothic"/>
          <w:bCs/>
          <w:lang w:val="fr-FR"/>
        </w:rPr>
        <w:t>’</w:t>
      </w:r>
      <w:r w:rsidRPr="006962E1">
        <w:rPr>
          <w:rFonts w:eastAsia="Malgun Gothic"/>
          <w:bCs/>
          <w:lang w:val="fr-FR"/>
        </w:rPr>
        <w:t xml:space="preserve">autres facteurs </w:t>
      </w:r>
      <w:r>
        <w:rPr>
          <w:rFonts w:eastAsia="Malgun Gothic"/>
          <w:bCs/>
          <w:lang w:val="fr-FR"/>
        </w:rPr>
        <w:t xml:space="preserve">avaient fait </w:t>
      </w:r>
      <w:r w:rsidRPr="006962E1">
        <w:rPr>
          <w:rFonts w:eastAsia="Malgun Gothic"/>
          <w:bCs/>
          <w:lang w:val="fr-FR"/>
        </w:rPr>
        <w:t>obstacle à la compréhension de cet élément, auquel le peuple cubain s</w:t>
      </w:r>
      <w:r w:rsidR="00923E72">
        <w:rPr>
          <w:rFonts w:eastAsia="Malgun Gothic"/>
          <w:bCs/>
          <w:lang w:val="fr-FR"/>
        </w:rPr>
        <w:t>’</w:t>
      </w:r>
      <w:r w:rsidRPr="006962E1">
        <w:rPr>
          <w:rFonts w:eastAsia="Malgun Gothic"/>
          <w:bCs/>
          <w:lang w:val="fr-FR"/>
        </w:rPr>
        <w:t>identifie. Les discussions avaient également révélé que cette candidature servait à transférer les connaissances entre les générations. Compte tenu des arguments viables avancés par de nombreux membres du Comité ainsi que des réponses données par Cuba, l</w:t>
      </w:r>
      <w:r w:rsidR="00923E72">
        <w:rPr>
          <w:rFonts w:eastAsia="Malgun Gothic"/>
          <w:bCs/>
          <w:lang w:val="fr-FR"/>
        </w:rPr>
        <w:t>’</w:t>
      </w:r>
      <w:r w:rsidRPr="006962E1">
        <w:rPr>
          <w:rFonts w:eastAsia="Malgun Gothic"/>
          <w:bCs/>
          <w:lang w:val="fr-FR"/>
        </w:rPr>
        <w:t>Ouzbékistan s</w:t>
      </w:r>
      <w:r w:rsidR="00923E72">
        <w:rPr>
          <w:rFonts w:eastAsia="Malgun Gothic"/>
          <w:bCs/>
          <w:lang w:val="fr-FR"/>
        </w:rPr>
        <w:t>’</w:t>
      </w:r>
      <w:r w:rsidRPr="006962E1">
        <w:rPr>
          <w:rFonts w:eastAsia="Malgun Gothic"/>
          <w:bCs/>
          <w:lang w:val="fr-FR"/>
        </w:rPr>
        <w:t>est porté coauteur de l</w:t>
      </w:r>
      <w:r w:rsidR="00923E72">
        <w:rPr>
          <w:rFonts w:eastAsia="Malgun Gothic"/>
          <w:bCs/>
          <w:lang w:val="fr-FR"/>
        </w:rPr>
        <w:t>’</w:t>
      </w:r>
      <w:r w:rsidRPr="006962E1">
        <w:rPr>
          <w:rFonts w:eastAsia="Malgun Gothic"/>
          <w:bCs/>
          <w:lang w:val="fr-FR"/>
        </w:rPr>
        <w:t>amendement proposé par le Brésil et soutenait donc l</w:t>
      </w:r>
      <w:r w:rsidR="00923E72">
        <w:rPr>
          <w:rFonts w:eastAsia="Malgun Gothic"/>
          <w:bCs/>
          <w:lang w:val="fr-FR"/>
        </w:rPr>
        <w:t>’</w:t>
      </w:r>
      <w:r w:rsidRPr="006962E1">
        <w:rPr>
          <w:rFonts w:eastAsia="Malgun Gothic"/>
          <w:bCs/>
          <w:lang w:val="fr-FR"/>
        </w:rPr>
        <w:t>inscription de l</w:t>
      </w:r>
      <w:r w:rsidR="00923E72">
        <w:rPr>
          <w:rFonts w:eastAsia="Malgun Gothic"/>
          <w:bCs/>
          <w:lang w:val="fr-FR"/>
        </w:rPr>
        <w:t>’</w:t>
      </w:r>
      <w:r w:rsidRPr="006962E1">
        <w:rPr>
          <w:rFonts w:eastAsia="Malgun Gothic"/>
          <w:bCs/>
          <w:lang w:val="fr-FR"/>
        </w:rPr>
        <w:t>élément.</w:t>
      </w:r>
    </w:p>
    <w:p w14:paraId="23266C82" w14:textId="602C1E70" w:rsidR="006962E1" w:rsidRDefault="00195E0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95E07">
        <w:rPr>
          <w:rFonts w:eastAsia="Malgun Gothic"/>
          <w:bCs/>
          <w:lang w:val="fr-FR"/>
        </w:rPr>
        <w:lastRenderedPageBreak/>
        <w:t xml:space="preserve">La délégation du </w:t>
      </w:r>
      <w:r w:rsidRPr="00702497">
        <w:rPr>
          <w:rFonts w:eastAsia="Malgun Gothic"/>
          <w:b/>
          <w:lang w:val="fr-FR"/>
        </w:rPr>
        <w:t>Bangladesh</w:t>
      </w:r>
      <w:r w:rsidRPr="00195E07">
        <w:rPr>
          <w:rFonts w:eastAsia="Malgun Gothic"/>
          <w:bCs/>
          <w:lang w:val="fr-FR"/>
        </w:rPr>
        <w:t xml:space="preserve"> a félicité l</w:t>
      </w:r>
      <w:r w:rsidR="00923E72">
        <w:rPr>
          <w:rFonts w:eastAsia="Malgun Gothic"/>
          <w:bCs/>
          <w:lang w:val="fr-FR"/>
        </w:rPr>
        <w:t>’</w:t>
      </w:r>
      <w:r w:rsidRPr="00195E07">
        <w:rPr>
          <w:rFonts w:eastAsia="Malgun Gothic"/>
          <w:bCs/>
          <w:lang w:val="fr-FR"/>
        </w:rPr>
        <w:t>Organe d</w:t>
      </w:r>
      <w:r w:rsidR="00923E72">
        <w:rPr>
          <w:rFonts w:eastAsia="Malgun Gothic"/>
          <w:bCs/>
          <w:lang w:val="fr-FR"/>
        </w:rPr>
        <w:t>’</w:t>
      </w:r>
      <w:r w:rsidRPr="00195E07">
        <w:rPr>
          <w:rFonts w:eastAsia="Malgun Gothic"/>
          <w:bCs/>
          <w:lang w:val="fr-FR"/>
        </w:rPr>
        <w:t>évaluation pour le travail acharné qu</w:t>
      </w:r>
      <w:r w:rsidR="00923E72">
        <w:rPr>
          <w:rFonts w:eastAsia="Malgun Gothic"/>
          <w:bCs/>
          <w:lang w:val="fr-FR"/>
        </w:rPr>
        <w:t>’</w:t>
      </w:r>
      <w:r w:rsidRPr="00195E07">
        <w:rPr>
          <w:rFonts w:eastAsia="Malgun Gothic"/>
          <w:bCs/>
          <w:lang w:val="fr-FR"/>
        </w:rPr>
        <w:t xml:space="preserve">il avait </w:t>
      </w:r>
      <w:r>
        <w:rPr>
          <w:rFonts w:eastAsia="Malgun Gothic"/>
          <w:bCs/>
          <w:lang w:val="fr-FR"/>
        </w:rPr>
        <w:t xml:space="preserve">réalisé </w:t>
      </w:r>
      <w:r w:rsidRPr="00195E07">
        <w:rPr>
          <w:rFonts w:eastAsia="Malgun Gothic"/>
          <w:bCs/>
          <w:lang w:val="fr-FR"/>
        </w:rPr>
        <w:t>en analysant tous les dossiers. Toutefois, elle a encouragé l</w:t>
      </w:r>
      <w:r w:rsidR="00923E72">
        <w:rPr>
          <w:rFonts w:eastAsia="Malgun Gothic"/>
          <w:bCs/>
          <w:lang w:val="fr-FR"/>
        </w:rPr>
        <w:t>’</w:t>
      </w:r>
      <w:r w:rsidRPr="00195E07">
        <w:rPr>
          <w:rFonts w:eastAsia="Malgun Gothic"/>
          <w:bCs/>
          <w:lang w:val="fr-FR"/>
        </w:rPr>
        <w:t>Organe à</w:t>
      </w:r>
      <w:r>
        <w:rPr>
          <w:rFonts w:eastAsia="Malgun Gothic"/>
          <w:bCs/>
          <w:lang w:val="fr-FR"/>
        </w:rPr>
        <w:t xml:space="preserve"> se référer </w:t>
      </w:r>
      <w:r w:rsidRPr="00195E07">
        <w:rPr>
          <w:rFonts w:eastAsia="Malgun Gothic"/>
          <w:bCs/>
          <w:lang w:val="fr-FR"/>
        </w:rPr>
        <w:t>aux Directives opérationnelles aussi souvent que possible à des fins de clarification. Dans le cas de Cuba, la délégation estimait que l</w:t>
      </w:r>
      <w:r w:rsidR="00923E72">
        <w:rPr>
          <w:rFonts w:eastAsia="Malgun Gothic"/>
          <w:bCs/>
          <w:lang w:val="fr-FR"/>
        </w:rPr>
        <w:t>’</w:t>
      </w:r>
      <w:r w:rsidRPr="00195E07">
        <w:rPr>
          <w:rFonts w:eastAsia="Malgun Gothic"/>
          <w:bCs/>
          <w:lang w:val="fr-FR"/>
        </w:rPr>
        <w:t xml:space="preserve">élément </w:t>
      </w:r>
      <w:r>
        <w:rPr>
          <w:rFonts w:eastAsia="Malgun Gothic"/>
          <w:bCs/>
          <w:lang w:val="fr-FR"/>
        </w:rPr>
        <w:t xml:space="preserve">relevait du </w:t>
      </w:r>
      <w:r w:rsidRPr="00195E07">
        <w:rPr>
          <w:rFonts w:eastAsia="Malgun Gothic"/>
          <w:bCs/>
          <w:lang w:val="fr-FR"/>
        </w:rPr>
        <w:t xml:space="preserve">patrimoine culturel immatériel. </w:t>
      </w:r>
      <w:r>
        <w:rPr>
          <w:rFonts w:eastAsia="Malgun Gothic"/>
          <w:bCs/>
          <w:lang w:val="fr-FR"/>
        </w:rPr>
        <w:t>D</w:t>
      </w:r>
      <w:r w:rsidRPr="00195E07">
        <w:rPr>
          <w:rFonts w:eastAsia="Malgun Gothic"/>
          <w:bCs/>
          <w:lang w:val="fr-FR"/>
        </w:rPr>
        <w:t>es points techniques auraient pu justifier l</w:t>
      </w:r>
      <w:r w:rsidR="00923E72">
        <w:rPr>
          <w:rFonts w:eastAsia="Malgun Gothic"/>
          <w:bCs/>
          <w:lang w:val="fr-FR"/>
        </w:rPr>
        <w:t>’</w:t>
      </w:r>
      <w:r w:rsidRPr="00195E07">
        <w:rPr>
          <w:rFonts w:eastAsia="Malgun Gothic"/>
          <w:bCs/>
          <w:lang w:val="fr-FR"/>
        </w:rPr>
        <w:t>engagement du processus de dialogue par l</w:t>
      </w:r>
      <w:r w:rsidR="00923E72">
        <w:rPr>
          <w:rFonts w:eastAsia="Malgun Gothic"/>
          <w:bCs/>
          <w:lang w:val="fr-FR"/>
        </w:rPr>
        <w:t>’</w:t>
      </w:r>
      <w:r w:rsidRPr="00195E07">
        <w:rPr>
          <w:rFonts w:eastAsia="Malgun Gothic"/>
          <w:bCs/>
          <w:lang w:val="fr-FR"/>
        </w:rPr>
        <w:t>Organe d</w:t>
      </w:r>
      <w:r w:rsidR="00923E72">
        <w:rPr>
          <w:rFonts w:eastAsia="Malgun Gothic"/>
          <w:bCs/>
          <w:lang w:val="fr-FR"/>
        </w:rPr>
        <w:t>’</w:t>
      </w:r>
      <w:r w:rsidRPr="00195E07">
        <w:rPr>
          <w:rFonts w:eastAsia="Malgun Gothic"/>
          <w:bCs/>
          <w:lang w:val="fr-FR"/>
        </w:rPr>
        <w:t xml:space="preserve">évaluation. </w:t>
      </w:r>
      <w:r>
        <w:rPr>
          <w:rFonts w:eastAsia="Malgun Gothic"/>
          <w:bCs/>
          <w:lang w:val="fr-FR"/>
        </w:rPr>
        <w:t xml:space="preserve">Cependant, </w:t>
      </w:r>
      <w:r w:rsidRPr="00195E07">
        <w:rPr>
          <w:rFonts w:eastAsia="Malgun Gothic"/>
          <w:bCs/>
          <w:lang w:val="fr-FR"/>
        </w:rPr>
        <w:t>compte tenu des explications données par Cuba, la délégation était convaincue que ce dossier méritait d</w:t>
      </w:r>
      <w:r w:rsidR="00923E72">
        <w:rPr>
          <w:rFonts w:eastAsia="Malgun Gothic"/>
          <w:bCs/>
          <w:lang w:val="fr-FR"/>
        </w:rPr>
        <w:t>’</w:t>
      </w:r>
      <w:r w:rsidRPr="00195E07">
        <w:rPr>
          <w:rFonts w:eastAsia="Malgun Gothic"/>
          <w:bCs/>
          <w:lang w:val="fr-FR"/>
        </w:rPr>
        <w:t>être pris en considération et soutenu, et que le savoir des maîtres du rhum entrait dans la catégorie du patrimoine culturel immatériel et donc de l</w:t>
      </w:r>
      <w:r w:rsidR="00923E72">
        <w:rPr>
          <w:rFonts w:eastAsia="Malgun Gothic"/>
          <w:bCs/>
          <w:lang w:val="fr-FR"/>
        </w:rPr>
        <w:t>’</w:t>
      </w:r>
      <w:r w:rsidRPr="00195E07">
        <w:rPr>
          <w:rFonts w:eastAsia="Malgun Gothic"/>
          <w:bCs/>
          <w:lang w:val="fr-FR"/>
        </w:rPr>
        <w:t>inscription.</w:t>
      </w:r>
    </w:p>
    <w:p w14:paraId="255EF466" w14:textId="5CD65AD4" w:rsidR="00195E07" w:rsidRDefault="00195E0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95E07">
        <w:rPr>
          <w:rFonts w:eastAsia="Malgun Gothic"/>
          <w:bCs/>
          <w:lang w:val="fr-FR"/>
        </w:rPr>
        <w:t xml:space="preserve">La délégation </w:t>
      </w:r>
      <w:r>
        <w:rPr>
          <w:rFonts w:eastAsia="Malgun Gothic"/>
          <w:bCs/>
          <w:lang w:val="fr-FR"/>
        </w:rPr>
        <w:t xml:space="preserve">de la </w:t>
      </w:r>
      <w:r w:rsidRPr="00702497">
        <w:rPr>
          <w:rFonts w:eastAsia="Malgun Gothic"/>
          <w:b/>
          <w:lang w:val="fr-FR"/>
        </w:rPr>
        <w:t>Suisse</w:t>
      </w:r>
      <w:r w:rsidRPr="00195E07">
        <w:rPr>
          <w:rFonts w:eastAsia="Malgun Gothic"/>
          <w:bCs/>
          <w:lang w:val="fr-FR"/>
        </w:rPr>
        <w:t xml:space="preserve"> ne doutait pas de la valeur patrimoniale de cet élément ni de l</w:t>
      </w:r>
      <w:r w:rsidR="00923E72">
        <w:rPr>
          <w:rFonts w:eastAsia="Malgun Gothic"/>
          <w:bCs/>
          <w:lang w:val="fr-FR"/>
        </w:rPr>
        <w:t>’</w:t>
      </w:r>
      <w:r w:rsidRPr="00195E07">
        <w:rPr>
          <w:rFonts w:eastAsia="Malgun Gothic"/>
          <w:bCs/>
          <w:lang w:val="fr-FR"/>
        </w:rPr>
        <w:t>engagement manifeste de Cuba. Toutefois, il n</w:t>
      </w:r>
      <w:r w:rsidR="00923E72">
        <w:rPr>
          <w:rFonts w:eastAsia="Malgun Gothic"/>
          <w:bCs/>
          <w:lang w:val="fr-FR"/>
        </w:rPr>
        <w:t>’</w:t>
      </w:r>
      <w:r w:rsidRPr="00195E07">
        <w:rPr>
          <w:rFonts w:eastAsia="Malgun Gothic"/>
          <w:bCs/>
          <w:lang w:val="fr-FR"/>
        </w:rPr>
        <w:t>était pas demandé au Comité de se prononcer pour ou contre le rhum léger. Sa tâche était d</w:t>
      </w:r>
      <w:r w:rsidR="00923E72">
        <w:rPr>
          <w:rFonts w:eastAsia="Malgun Gothic"/>
          <w:bCs/>
          <w:lang w:val="fr-FR"/>
        </w:rPr>
        <w:t>’</w:t>
      </w:r>
      <w:r w:rsidRPr="00195E07">
        <w:rPr>
          <w:rFonts w:eastAsia="Malgun Gothic"/>
          <w:bCs/>
          <w:lang w:val="fr-FR"/>
        </w:rPr>
        <w:t>évaluer un dossier</w:t>
      </w:r>
      <w:r w:rsidR="004302A4">
        <w:rPr>
          <w:rFonts w:eastAsia="Malgun Gothic"/>
          <w:bCs/>
          <w:lang w:val="fr-FR"/>
        </w:rPr>
        <w:t>,</w:t>
      </w:r>
      <w:r w:rsidRPr="00195E07">
        <w:rPr>
          <w:rFonts w:eastAsia="Malgun Gothic"/>
          <w:bCs/>
          <w:lang w:val="fr-FR"/>
        </w:rPr>
        <w:t xml:space="preserve"> dont le rejet n</w:t>
      </w:r>
      <w:r w:rsidR="00923E72">
        <w:rPr>
          <w:rFonts w:eastAsia="Malgun Gothic"/>
          <w:bCs/>
          <w:lang w:val="fr-FR"/>
        </w:rPr>
        <w:t>’</w:t>
      </w:r>
      <w:r w:rsidRPr="00195E07">
        <w:rPr>
          <w:rFonts w:eastAsia="Malgun Gothic"/>
          <w:bCs/>
          <w:lang w:val="fr-FR"/>
        </w:rPr>
        <w:t xml:space="preserve">était </w:t>
      </w:r>
      <w:r w:rsidR="004302A4">
        <w:rPr>
          <w:rFonts w:eastAsia="Malgun Gothic"/>
          <w:bCs/>
          <w:lang w:val="fr-FR"/>
        </w:rPr>
        <w:t>d</w:t>
      </w:r>
      <w:r w:rsidR="00923E72">
        <w:rPr>
          <w:rFonts w:eastAsia="Malgun Gothic"/>
          <w:bCs/>
          <w:lang w:val="fr-FR"/>
        </w:rPr>
        <w:t>’</w:t>
      </w:r>
      <w:r w:rsidR="004302A4">
        <w:rPr>
          <w:rFonts w:eastAsia="Malgun Gothic"/>
          <w:bCs/>
          <w:lang w:val="fr-FR"/>
        </w:rPr>
        <w:t xml:space="preserve">ailleurs </w:t>
      </w:r>
      <w:r w:rsidRPr="00195E07">
        <w:rPr>
          <w:rFonts w:eastAsia="Malgun Gothic"/>
          <w:bCs/>
          <w:lang w:val="fr-FR"/>
        </w:rPr>
        <w:t>pas proposé, et d</w:t>
      </w:r>
      <w:r w:rsidR="00923E72">
        <w:rPr>
          <w:rFonts w:eastAsia="Malgun Gothic"/>
          <w:bCs/>
          <w:lang w:val="fr-FR"/>
        </w:rPr>
        <w:t>’</w:t>
      </w:r>
      <w:r w:rsidRPr="00195E07">
        <w:rPr>
          <w:rFonts w:eastAsia="Malgun Gothic"/>
          <w:bCs/>
          <w:lang w:val="fr-FR"/>
        </w:rPr>
        <w:t>en discuter les mérites. L</w:t>
      </w:r>
      <w:r w:rsidR="00923E72">
        <w:rPr>
          <w:rFonts w:eastAsia="Malgun Gothic"/>
          <w:bCs/>
          <w:lang w:val="fr-FR"/>
        </w:rPr>
        <w:t>’</w:t>
      </w:r>
      <w:r w:rsidRPr="00195E07">
        <w:rPr>
          <w:rFonts w:eastAsia="Malgun Gothic"/>
          <w:bCs/>
          <w:lang w:val="fr-FR"/>
        </w:rPr>
        <w:t xml:space="preserve">Organe avait rendu son évaluation, </w:t>
      </w:r>
      <w:r w:rsidR="004302A4">
        <w:rPr>
          <w:rFonts w:eastAsia="Malgun Gothic"/>
          <w:bCs/>
          <w:lang w:val="fr-FR"/>
        </w:rPr>
        <w:t>et s</w:t>
      </w:r>
      <w:r w:rsidRPr="00195E07">
        <w:rPr>
          <w:rFonts w:eastAsia="Malgun Gothic"/>
          <w:bCs/>
          <w:lang w:val="fr-FR"/>
        </w:rPr>
        <w:t>es membres étaient choisis et renouvelés par le Comité sur la base de critères et de règles que le Comité avait lui</w:t>
      </w:r>
      <w:r w:rsidR="00C904E6">
        <w:rPr>
          <w:rFonts w:eastAsia="Malgun Gothic"/>
          <w:bCs/>
          <w:lang w:val="fr-FR"/>
        </w:rPr>
        <w:noBreakHyphen/>
      </w:r>
      <w:r w:rsidRPr="00195E07">
        <w:rPr>
          <w:rFonts w:eastAsia="Malgun Gothic"/>
          <w:bCs/>
          <w:lang w:val="fr-FR"/>
        </w:rPr>
        <w:t>même établis. L</w:t>
      </w:r>
      <w:r w:rsidR="00923E72">
        <w:rPr>
          <w:rFonts w:eastAsia="Malgun Gothic"/>
          <w:bCs/>
          <w:lang w:val="fr-FR"/>
        </w:rPr>
        <w:t>’</w:t>
      </w:r>
      <w:r w:rsidRPr="00195E07">
        <w:rPr>
          <w:rFonts w:eastAsia="Malgun Gothic"/>
          <w:bCs/>
          <w:lang w:val="fr-FR"/>
        </w:rPr>
        <w:t>Organe d</w:t>
      </w:r>
      <w:r w:rsidR="00923E72">
        <w:rPr>
          <w:rFonts w:eastAsia="Malgun Gothic"/>
          <w:bCs/>
          <w:lang w:val="fr-FR"/>
        </w:rPr>
        <w:t>’</w:t>
      </w:r>
      <w:r w:rsidRPr="00195E07">
        <w:rPr>
          <w:rFonts w:eastAsia="Malgun Gothic"/>
          <w:bCs/>
          <w:lang w:val="fr-FR"/>
        </w:rPr>
        <w:t>évaluation avait conclu que seuls deux des cinq critères étaient satisfaits. En fait, l</w:t>
      </w:r>
      <w:r w:rsidR="00923E72">
        <w:rPr>
          <w:rFonts w:eastAsia="Malgun Gothic"/>
          <w:bCs/>
          <w:lang w:val="fr-FR"/>
        </w:rPr>
        <w:t>’</w:t>
      </w:r>
      <w:r w:rsidRPr="00195E07">
        <w:rPr>
          <w:rFonts w:eastAsia="Malgun Gothic"/>
          <w:bCs/>
          <w:lang w:val="fr-FR"/>
        </w:rPr>
        <w:t>Organe proposait à Cuba de revoir son dossier afin de mieux sauvegarder cet élément. Le mandat ultime du Comité était de veiller à ce que ce magnifique patrimoine cubain puisse être sauvegardé le mieux possible. La délégation se demandait où était le problème dans le fait de retravailler un dossier pour y parvenir</w:t>
      </w:r>
      <w:r w:rsidR="004302A4">
        <w:rPr>
          <w:rFonts w:eastAsia="Malgun Gothic"/>
          <w:bCs/>
          <w:lang w:val="fr-FR"/>
        </w:rPr>
        <w:t>.</w:t>
      </w:r>
      <w:r w:rsidRPr="00195E07">
        <w:rPr>
          <w:rFonts w:eastAsia="Malgun Gothic"/>
          <w:bCs/>
          <w:lang w:val="fr-FR"/>
        </w:rPr>
        <w:t xml:space="preserve"> Encore une fois, un renvoi n</w:t>
      </w:r>
      <w:r w:rsidR="00923E72">
        <w:rPr>
          <w:rFonts w:eastAsia="Malgun Gothic"/>
          <w:bCs/>
          <w:lang w:val="fr-FR"/>
        </w:rPr>
        <w:t>’</w:t>
      </w:r>
      <w:r w:rsidRPr="00195E07">
        <w:rPr>
          <w:rFonts w:eastAsia="Malgun Gothic"/>
          <w:bCs/>
          <w:lang w:val="fr-FR"/>
        </w:rPr>
        <w:t>était pas un échec. C</w:t>
      </w:r>
      <w:r w:rsidR="00923E72">
        <w:rPr>
          <w:rFonts w:eastAsia="Malgun Gothic"/>
          <w:bCs/>
          <w:lang w:val="fr-FR"/>
        </w:rPr>
        <w:t>’</w:t>
      </w:r>
      <w:r w:rsidRPr="00195E07">
        <w:rPr>
          <w:rFonts w:eastAsia="Malgun Gothic"/>
          <w:bCs/>
          <w:lang w:val="fr-FR"/>
        </w:rPr>
        <w:t>était une occasion d</w:t>
      </w:r>
      <w:r w:rsidR="00923E72">
        <w:rPr>
          <w:rFonts w:eastAsia="Malgun Gothic"/>
          <w:bCs/>
          <w:lang w:val="fr-FR"/>
        </w:rPr>
        <w:t>’</w:t>
      </w:r>
      <w:r w:rsidRPr="00195E07">
        <w:rPr>
          <w:rFonts w:eastAsia="Malgun Gothic"/>
          <w:bCs/>
          <w:lang w:val="fr-FR"/>
        </w:rPr>
        <w:t>améliorer le dossier. La délégation n</w:t>
      </w:r>
      <w:r w:rsidR="00923E72">
        <w:rPr>
          <w:rFonts w:eastAsia="Malgun Gothic"/>
          <w:bCs/>
          <w:lang w:val="fr-FR"/>
        </w:rPr>
        <w:t>’</w:t>
      </w:r>
      <w:r w:rsidRPr="00195E07">
        <w:rPr>
          <w:rFonts w:eastAsia="Malgun Gothic"/>
          <w:bCs/>
          <w:lang w:val="fr-FR"/>
        </w:rPr>
        <w:t>était pas favorable aux amendements proposés et soutenus suite à la recommandation de l</w:t>
      </w:r>
      <w:r w:rsidR="00923E72">
        <w:rPr>
          <w:rFonts w:eastAsia="Malgun Gothic"/>
          <w:bCs/>
          <w:lang w:val="fr-FR"/>
        </w:rPr>
        <w:t>’</w:t>
      </w:r>
      <w:r w:rsidRPr="00195E07">
        <w:rPr>
          <w:rFonts w:eastAsia="Malgun Gothic"/>
          <w:bCs/>
          <w:lang w:val="fr-FR"/>
        </w:rPr>
        <w:t>Organe d</w:t>
      </w:r>
      <w:r w:rsidR="00923E72">
        <w:rPr>
          <w:rFonts w:eastAsia="Malgun Gothic"/>
          <w:bCs/>
          <w:lang w:val="fr-FR"/>
        </w:rPr>
        <w:t>’</w:t>
      </w:r>
      <w:r w:rsidRPr="00195E07">
        <w:rPr>
          <w:rFonts w:eastAsia="Malgun Gothic"/>
          <w:bCs/>
          <w:lang w:val="fr-FR"/>
        </w:rPr>
        <w:t>évaluation.</w:t>
      </w:r>
    </w:p>
    <w:p w14:paraId="6C8E3D59" w14:textId="56EE54F8" w:rsidR="004302A4" w:rsidRDefault="004302A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302A4">
        <w:rPr>
          <w:rFonts w:eastAsia="Malgun Gothic"/>
          <w:bCs/>
          <w:lang w:val="fr-FR"/>
        </w:rPr>
        <w:t xml:space="preserve">La délégation du </w:t>
      </w:r>
      <w:r w:rsidRPr="00702497">
        <w:rPr>
          <w:rFonts w:eastAsia="Malgun Gothic"/>
          <w:b/>
          <w:lang w:val="fr-FR"/>
        </w:rPr>
        <w:t>Paraguay</w:t>
      </w:r>
      <w:r w:rsidRPr="004302A4">
        <w:rPr>
          <w:rFonts w:eastAsia="Malgun Gothic"/>
          <w:bCs/>
          <w:lang w:val="fr-FR"/>
        </w:rPr>
        <w:t xml:space="preserve"> était satisfaite de l</w:t>
      </w:r>
      <w:r w:rsidR="00923E72">
        <w:rPr>
          <w:rFonts w:eastAsia="Malgun Gothic"/>
          <w:bCs/>
          <w:lang w:val="fr-FR"/>
        </w:rPr>
        <w:t>’</w:t>
      </w:r>
      <w:r w:rsidRPr="004302A4">
        <w:rPr>
          <w:rFonts w:eastAsia="Malgun Gothic"/>
          <w:bCs/>
          <w:lang w:val="fr-FR"/>
        </w:rPr>
        <w:t>explication donnée par Cuba, qui clarifiait les doutes. Elle était très sensible à l</w:t>
      </w:r>
      <w:r w:rsidR="00923E72">
        <w:rPr>
          <w:rFonts w:eastAsia="Malgun Gothic"/>
          <w:bCs/>
          <w:lang w:val="fr-FR"/>
        </w:rPr>
        <w:t>’</w:t>
      </w:r>
      <w:r w:rsidRPr="004302A4">
        <w:rPr>
          <w:rFonts w:eastAsia="Malgun Gothic"/>
          <w:bCs/>
          <w:lang w:val="fr-FR"/>
        </w:rPr>
        <w:t>importance de la transmission orale. L</w:t>
      </w:r>
      <w:r w:rsidR="00923E72">
        <w:rPr>
          <w:rFonts w:eastAsia="Malgun Gothic"/>
          <w:bCs/>
          <w:lang w:val="fr-FR"/>
        </w:rPr>
        <w:t>’</w:t>
      </w:r>
      <w:r w:rsidRPr="004302A4">
        <w:rPr>
          <w:rFonts w:eastAsia="Malgun Gothic"/>
          <w:bCs/>
          <w:lang w:val="fr-FR"/>
        </w:rPr>
        <w:t>Organe d</w:t>
      </w:r>
      <w:r w:rsidR="00923E72">
        <w:rPr>
          <w:rFonts w:eastAsia="Malgun Gothic"/>
          <w:bCs/>
          <w:lang w:val="fr-FR"/>
        </w:rPr>
        <w:t>’</w:t>
      </w:r>
      <w:r w:rsidRPr="004302A4">
        <w:rPr>
          <w:rFonts w:eastAsia="Malgun Gothic"/>
          <w:bCs/>
          <w:lang w:val="fr-FR"/>
        </w:rPr>
        <w:t>évaluation examinait des documents, alors que les expressions culturelles sont des expressions vivantes qui transmettent des émotions, et ces émotions peuvent parfois être ressenties dans le matériel audiovisuel lorsqu</w:t>
      </w:r>
      <w:r w:rsidR="0004518F">
        <w:rPr>
          <w:rFonts w:eastAsia="Malgun Gothic"/>
          <w:bCs/>
          <w:lang w:val="fr-FR"/>
        </w:rPr>
        <w:t xml:space="preserve">e celui-ci est </w:t>
      </w:r>
      <w:r w:rsidRPr="004302A4">
        <w:rPr>
          <w:rFonts w:eastAsia="Malgun Gothic"/>
          <w:bCs/>
          <w:lang w:val="fr-FR"/>
        </w:rPr>
        <w:t>bien fait et</w:t>
      </w:r>
      <w:r w:rsidR="0004518F">
        <w:rPr>
          <w:rFonts w:eastAsia="Malgun Gothic"/>
          <w:bCs/>
          <w:lang w:val="fr-FR"/>
        </w:rPr>
        <w:t xml:space="preserve"> est</w:t>
      </w:r>
      <w:r w:rsidRPr="004302A4">
        <w:rPr>
          <w:rFonts w:eastAsia="Malgun Gothic"/>
          <w:bCs/>
          <w:lang w:val="fr-FR"/>
        </w:rPr>
        <w:t xml:space="preserve"> une reproduction fidèle de l</w:t>
      </w:r>
      <w:r w:rsidR="00923E72">
        <w:rPr>
          <w:rFonts w:eastAsia="Malgun Gothic"/>
          <w:bCs/>
          <w:lang w:val="fr-FR"/>
        </w:rPr>
        <w:t>’</w:t>
      </w:r>
      <w:r w:rsidRPr="004302A4">
        <w:rPr>
          <w:rFonts w:eastAsia="Malgun Gothic"/>
          <w:bCs/>
          <w:lang w:val="fr-FR"/>
        </w:rPr>
        <w:t>esprit de l</w:t>
      </w:r>
      <w:r w:rsidR="00923E72">
        <w:rPr>
          <w:rFonts w:eastAsia="Malgun Gothic"/>
          <w:bCs/>
          <w:lang w:val="fr-FR"/>
        </w:rPr>
        <w:t>’</w:t>
      </w:r>
      <w:r w:rsidRPr="004302A4">
        <w:rPr>
          <w:rFonts w:eastAsia="Malgun Gothic"/>
          <w:bCs/>
          <w:lang w:val="fr-FR"/>
        </w:rPr>
        <w:t xml:space="preserve">élément culturel proposé. La délégation </w:t>
      </w:r>
      <w:r w:rsidR="0004518F">
        <w:rPr>
          <w:rFonts w:eastAsia="Malgun Gothic"/>
          <w:bCs/>
          <w:lang w:val="fr-FR"/>
        </w:rPr>
        <w:t xml:space="preserve">estimait </w:t>
      </w:r>
      <w:r w:rsidRPr="004302A4">
        <w:rPr>
          <w:rFonts w:eastAsia="Malgun Gothic"/>
          <w:bCs/>
          <w:lang w:val="fr-FR"/>
        </w:rPr>
        <w:t>également qu</w:t>
      </w:r>
      <w:r w:rsidR="00923E72">
        <w:rPr>
          <w:rFonts w:eastAsia="Malgun Gothic"/>
          <w:bCs/>
          <w:lang w:val="fr-FR"/>
        </w:rPr>
        <w:t>’</w:t>
      </w:r>
      <w:r w:rsidRPr="004302A4">
        <w:rPr>
          <w:rFonts w:eastAsia="Malgun Gothic"/>
          <w:bCs/>
          <w:lang w:val="fr-FR"/>
        </w:rPr>
        <w:t xml:space="preserve">en examinant les documents et en demandant à un pays de les présenter, le Comité ne comprenait peut-être pas ce que signifie pour un pays de présenter un dossier de candidature, impliquant des communautés qui ne sont pas des experts et qui vivent simplement leur patrimoine. En effet, ces processus semblaient très froids. La délégation a rappelé que </w:t>
      </w:r>
      <w:r w:rsidR="0004518F">
        <w:rPr>
          <w:rFonts w:eastAsia="Malgun Gothic"/>
          <w:bCs/>
          <w:lang w:val="fr-FR"/>
        </w:rPr>
        <w:t>l</w:t>
      </w:r>
      <w:r w:rsidRPr="004302A4">
        <w:rPr>
          <w:rFonts w:eastAsia="Malgun Gothic"/>
          <w:bCs/>
          <w:lang w:val="fr-FR"/>
        </w:rPr>
        <w:t>e processus de candidature implique un énorme effort de la part de pays qui n</w:t>
      </w:r>
      <w:r w:rsidR="00923E72">
        <w:rPr>
          <w:rFonts w:eastAsia="Malgun Gothic"/>
          <w:bCs/>
          <w:lang w:val="fr-FR"/>
        </w:rPr>
        <w:t>’</w:t>
      </w:r>
      <w:r w:rsidRPr="004302A4">
        <w:rPr>
          <w:rFonts w:eastAsia="Malgun Gothic"/>
          <w:bCs/>
          <w:lang w:val="fr-FR"/>
        </w:rPr>
        <w:t xml:space="preserve">ont pas nécessairement les ressources nécessaires, dans une région </w:t>
      </w:r>
      <w:r w:rsidR="00265712">
        <w:rPr>
          <w:rFonts w:eastAsia="Malgun Gothic"/>
          <w:bCs/>
          <w:lang w:val="fr-FR"/>
        </w:rPr>
        <w:t xml:space="preserve">marquée par le </w:t>
      </w:r>
      <w:r w:rsidRPr="004302A4">
        <w:rPr>
          <w:rFonts w:eastAsia="Malgun Gothic"/>
          <w:bCs/>
          <w:lang w:val="fr-FR"/>
        </w:rPr>
        <w:t>sous</w:t>
      </w:r>
      <w:r w:rsidR="0004518F">
        <w:rPr>
          <w:rFonts w:eastAsia="Malgun Gothic"/>
          <w:bCs/>
          <w:lang w:val="fr-FR"/>
        </w:rPr>
        <w:noBreakHyphen/>
      </w:r>
      <w:r w:rsidRPr="004302A4">
        <w:rPr>
          <w:rFonts w:eastAsia="Malgun Gothic"/>
          <w:bCs/>
          <w:lang w:val="fr-FR"/>
        </w:rPr>
        <w:t>investissement. Pour la délégation, la présentation de Cuba était très claire. Elle reconnaissait la valeur du patrimoine culturel immatériel lié à ce savoir et à cet artisanat</w:t>
      </w:r>
      <w:r w:rsidR="00F92345">
        <w:rPr>
          <w:rFonts w:eastAsia="Malgun Gothic"/>
          <w:bCs/>
          <w:lang w:val="fr-FR"/>
        </w:rPr>
        <w:t>,</w:t>
      </w:r>
      <w:r w:rsidRPr="004302A4">
        <w:rPr>
          <w:rFonts w:eastAsia="Malgun Gothic"/>
          <w:bCs/>
          <w:lang w:val="fr-FR"/>
        </w:rPr>
        <w:t xml:space="preserve"> qui concerne la production d</w:t>
      </w:r>
      <w:r w:rsidR="00923E72">
        <w:rPr>
          <w:rFonts w:eastAsia="Malgun Gothic"/>
          <w:bCs/>
          <w:lang w:val="fr-FR"/>
        </w:rPr>
        <w:t>’</w:t>
      </w:r>
      <w:r w:rsidRPr="004302A4">
        <w:rPr>
          <w:rFonts w:eastAsia="Malgun Gothic"/>
          <w:bCs/>
          <w:lang w:val="fr-FR"/>
        </w:rPr>
        <w:t>un produit naturel avec toute sa valeur historique et symbolique et ses liens avec l</w:t>
      </w:r>
      <w:r w:rsidR="00923E72">
        <w:rPr>
          <w:rFonts w:eastAsia="Malgun Gothic"/>
          <w:bCs/>
          <w:lang w:val="fr-FR"/>
        </w:rPr>
        <w:t>’</w:t>
      </w:r>
      <w:r w:rsidRPr="004302A4">
        <w:rPr>
          <w:rFonts w:eastAsia="Malgun Gothic"/>
          <w:bCs/>
          <w:lang w:val="fr-FR"/>
        </w:rPr>
        <w:t>environnement.</w:t>
      </w:r>
    </w:p>
    <w:p w14:paraId="31A3EA0F" w14:textId="5682D953" w:rsidR="0004518F" w:rsidRDefault="0004518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4518F">
        <w:rPr>
          <w:rFonts w:eastAsia="Malgun Gothic"/>
          <w:bCs/>
          <w:lang w:val="fr-FR"/>
        </w:rPr>
        <w:t xml:space="preserve">La délégation de la </w:t>
      </w:r>
      <w:r w:rsidRPr="00702497">
        <w:rPr>
          <w:rFonts w:eastAsia="Malgun Gothic"/>
          <w:b/>
          <w:lang w:val="fr-FR"/>
        </w:rPr>
        <w:t>Suède</w:t>
      </w:r>
      <w:r w:rsidRPr="0004518F">
        <w:rPr>
          <w:rFonts w:eastAsia="Malgun Gothic"/>
          <w:bCs/>
          <w:lang w:val="fr-FR"/>
        </w:rPr>
        <w:t xml:space="preserve"> a remercié l</w:t>
      </w:r>
      <w:r w:rsidR="00923E72">
        <w:rPr>
          <w:rFonts w:eastAsia="Malgun Gothic"/>
          <w:bCs/>
          <w:lang w:val="fr-FR"/>
        </w:rPr>
        <w:t>’</w:t>
      </w:r>
      <w:r w:rsidRPr="0004518F">
        <w:rPr>
          <w:rFonts w:eastAsia="Malgun Gothic"/>
          <w:bCs/>
          <w:lang w:val="fr-FR"/>
        </w:rPr>
        <w:t>Organe d</w:t>
      </w:r>
      <w:r w:rsidR="00923E72">
        <w:rPr>
          <w:rFonts w:eastAsia="Malgun Gothic"/>
          <w:bCs/>
          <w:lang w:val="fr-FR"/>
        </w:rPr>
        <w:t>’</w:t>
      </w:r>
      <w:r w:rsidRPr="0004518F">
        <w:rPr>
          <w:rFonts w:eastAsia="Malgun Gothic"/>
          <w:bCs/>
          <w:lang w:val="fr-FR"/>
        </w:rPr>
        <w:t xml:space="preserve">évaluation pour sa présentation et les membres du Comité pour cette discussion intéressante. Elle partageait les préoccupations </w:t>
      </w:r>
      <w:r>
        <w:rPr>
          <w:rFonts w:eastAsia="Malgun Gothic"/>
          <w:bCs/>
          <w:lang w:val="fr-FR"/>
        </w:rPr>
        <w:t xml:space="preserve">exprimées </w:t>
      </w:r>
      <w:r w:rsidRPr="0004518F">
        <w:rPr>
          <w:rFonts w:eastAsia="Malgun Gothic"/>
          <w:bCs/>
          <w:lang w:val="fr-FR"/>
        </w:rPr>
        <w:t>par la Tchéquie et d</w:t>
      </w:r>
      <w:r w:rsidR="00923E72">
        <w:rPr>
          <w:rFonts w:eastAsia="Malgun Gothic"/>
          <w:bCs/>
          <w:lang w:val="fr-FR"/>
        </w:rPr>
        <w:t>’</w:t>
      </w:r>
      <w:r w:rsidRPr="0004518F">
        <w:rPr>
          <w:rFonts w:eastAsia="Malgun Gothic"/>
          <w:bCs/>
          <w:lang w:val="fr-FR"/>
        </w:rPr>
        <w:t>autres au sujet des amendements. Le Comité avait un accord de travail qu</w:t>
      </w:r>
      <w:r w:rsidR="00923E72">
        <w:rPr>
          <w:rFonts w:eastAsia="Malgun Gothic"/>
          <w:bCs/>
          <w:lang w:val="fr-FR"/>
        </w:rPr>
        <w:t>’</w:t>
      </w:r>
      <w:r w:rsidRPr="0004518F">
        <w:rPr>
          <w:rFonts w:eastAsia="Malgun Gothic"/>
          <w:bCs/>
          <w:lang w:val="fr-FR"/>
        </w:rPr>
        <w:t>il devrait honorer. L</w:t>
      </w:r>
      <w:r w:rsidR="00923E72">
        <w:rPr>
          <w:rFonts w:eastAsia="Malgun Gothic"/>
          <w:bCs/>
          <w:lang w:val="fr-FR"/>
        </w:rPr>
        <w:t>’</w:t>
      </w:r>
      <w:r w:rsidRPr="0004518F">
        <w:rPr>
          <w:rFonts w:eastAsia="Malgun Gothic"/>
          <w:bCs/>
          <w:lang w:val="fr-FR"/>
        </w:rPr>
        <w:t>Organe d</w:t>
      </w:r>
      <w:r w:rsidR="00923E72">
        <w:rPr>
          <w:rFonts w:eastAsia="Malgun Gothic"/>
          <w:bCs/>
          <w:lang w:val="fr-FR"/>
        </w:rPr>
        <w:t>’</w:t>
      </w:r>
      <w:r w:rsidRPr="0004518F">
        <w:rPr>
          <w:rFonts w:eastAsia="Malgun Gothic"/>
          <w:bCs/>
          <w:lang w:val="fr-FR"/>
        </w:rPr>
        <w:t>évaluation avait procédé à une évaluation approfondie du dossier et estimé que les informations étaient insuffisantes et que la candidature devrait donc être renvoyée. Il ne s</w:t>
      </w:r>
      <w:r w:rsidR="00923E72">
        <w:rPr>
          <w:rFonts w:eastAsia="Malgun Gothic"/>
          <w:bCs/>
          <w:lang w:val="fr-FR"/>
        </w:rPr>
        <w:t>’</w:t>
      </w:r>
      <w:r w:rsidRPr="0004518F">
        <w:rPr>
          <w:rFonts w:eastAsia="Malgun Gothic"/>
          <w:bCs/>
          <w:lang w:val="fr-FR"/>
        </w:rPr>
        <w:t>agissait pas d</w:t>
      </w:r>
      <w:r w:rsidR="00923E72">
        <w:rPr>
          <w:rFonts w:eastAsia="Malgun Gothic"/>
          <w:bCs/>
          <w:lang w:val="fr-FR"/>
        </w:rPr>
        <w:t>’</w:t>
      </w:r>
      <w:r w:rsidRPr="0004518F">
        <w:rPr>
          <w:rFonts w:eastAsia="Malgun Gothic"/>
          <w:bCs/>
          <w:lang w:val="fr-FR"/>
        </w:rPr>
        <w:t>une évaluation de l</w:t>
      </w:r>
      <w:r w:rsidR="00923E72">
        <w:rPr>
          <w:rFonts w:eastAsia="Malgun Gothic"/>
          <w:bCs/>
          <w:lang w:val="fr-FR"/>
        </w:rPr>
        <w:t>’</w:t>
      </w:r>
      <w:r w:rsidRPr="0004518F">
        <w:rPr>
          <w:rFonts w:eastAsia="Malgun Gothic"/>
          <w:bCs/>
          <w:lang w:val="fr-FR"/>
        </w:rPr>
        <w:t>élément lui-même. La délégation a remercié Cuba pour son excellente présentation et s</w:t>
      </w:r>
      <w:r w:rsidR="00923E72">
        <w:rPr>
          <w:rFonts w:eastAsia="Malgun Gothic"/>
          <w:bCs/>
          <w:lang w:val="fr-FR"/>
        </w:rPr>
        <w:t>’</w:t>
      </w:r>
      <w:r w:rsidRPr="0004518F">
        <w:rPr>
          <w:rFonts w:eastAsia="Malgun Gothic"/>
          <w:bCs/>
          <w:lang w:val="fr-FR"/>
        </w:rPr>
        <w:t>est réjouie d</w:t>
      </w:r>
      <w:r w:rsidR="00923E72">
        <w:rPr>
          <w:rFonts w:eastAsia="Malgun Gothic"/>
          <w:bCs/>
          <w:lang w:val="fr-FR"/>
        </w:rPr>
        <w:t>’</w:t>
      </w:r>
      <w:r w:rsidRPr="0004518F">
        <w:rPr>
          <w:rFonts w:eastAsia="Malgun Gothic"/>
          <w:bCs/>
          <w:lang w:val="fr-FR"/>
        </w:rPr>
        <w:t>examiner le dossier lors d</w:t>
      </w:r>
      <w:r w:rsidR="00923E72">
        <w:rPr>
          <w:rFonts w:eastAsia="Malgun Gothic"/>
          <w:bCs/>
          <w:lang w:val="fr-FR"/>
        </w:rPr>
        <w:t>’</w:t>
      </w:r>
      <w:r w:rsidRPr="0004518F">
        <w:rPr>
          <w:rFonts w:eastAsia="Malgun Gothic"/>
          <w:bCs/>
          <w:lang w:val="fr-FR"/>
        </w:rPr>
        <w:t>une prochaine session avec les informations manquantes.</w:t>
      </w:r>
    </w:p>
    <w:p w14:paraId="0F49F4EC" w14:textId="0837C993" w:rsidR="0004518F" w:rsidRDefault="0004518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4518F">
        <w:rPr>
          <w:rFonts w:eastAsia="Malgun Gothic"/>
          <w:bCs/>
          <w:lang w:val="fr-FR"/>
        </w:rPr>
        <w:t xml:space="preserve">La délégation du </w:t>
      </w:r>
      <w:r w:rsidRPr="00702497">
        <w:rPr>
          <w:rFonts w:eastAsia="Malgun Gothic"/>
          <w:b/>
          <w:lang w:val="fr-FR"/>
        </w:rPr>
        <w:t>Brésil</w:t>
      </w:r>
      <w:r w:rsidRPr="0004518F">
        <w:rPr>
          <w:rFonts w:eastAsia="Malgun Gothic"/>
          <w:bCs/>
          <w:lang w:val="fr-FR"/>
        </w:rPr>
        <w:t xml:space="preserve"> a précisé que les informations utilisées pour proposer l</w:t>
      </w:r>
      <w:r w:rsidR="00923E72">
        <w:rPr>
          <w:rFonts w:eastAsia="Malgun Gothic"/>
          <w:bCs/>
          <w:lang w:val="fr-FR"/>
        </w:rPr>
        <w:t>’</w:t>
      </w:r>
      <w:r w:rsidRPr="0004518F">
        <w:rPr>
          <w:rFonts w:eastAsia="Malgun Gothic"/>
          <w:bCs/>
          <w:lang w:val="fr-FR"/>
        </w:rPr>
        <w:t>amendement provenaient du dossier lui-même et qu</w:t>
      </w:r>
      <w:r w:rsidR="00923E72">
        <w:rPr>
          <w:rFonts w:eastAsia="Malgun Gothic"/>
          <w:bCs/>
          <w:lang w:val="fr-FR"/>
        </w:rPr>
        <w:t>’</w:t>
      </w:r>
      <w:r w:rsidRPr="0004518F">
        <w:rPr>
          <w:rFonts w:eastAsia="Malgun Gothic"/>
          <w:bCs/>
          <w:lang w:val="fr-FR"/>
        </w:rPr>
        <w:t>elle était heureuse de partager le rapport de ses experts avec l</w:t>
      </w:r>
      <w:r w:rsidR="00923E72">
        <w:rPr>
          <w:rFonts w:eastAsia="Malgun Gothic"/>
          <w:bCs/>
          <w:lang w:val="fr-FR"/>
        </w:rPr>
        <w:t>’</w:t>
      </w:r>
      <w:r w:rsidRPr="0004518F">
        <w:rPr>
          <w:rFonts w:eastAsia="Malgun Gothic"/>
          <w:bCs/>
          <w:lang w:val="fr-FR"/>
        </w:rPr>
        <w:t>Organe ou tout membre du Comité. Le Brésil s</w:t>
      </w:r>
      <w:r w:rsidR="00923E72">
        <w:rPr>
          <w:rFonts w:eastAsia="Malgun Gothic"/>
          <w:bCs/>
          <w:lang w:val="fr-FR"/>
        </w:rPr>
        <w:t>’</w:t>
      </w:r>
      <w:r w:rsidRPr="0004518F">
        <w:rPr>
          <w:rFonts w:eastAsia="Malgun Gothic"/>
          <w:bCs/>
          <w:lang w:val="fr-FR"/>
        </w:rPr>
        <w:t>est déclaré satisfait des informations communiquées par Cuba sur les critères</w:t>
      </w:r>
      <w:r w:rsidR="00B53519">
        <w:rPr>
          <w:rFonts w:eastAsia="Malgun Gothic"/>
          <w:bCs/>
          <w:lang w:val="fr-FR"/>
        </w:rPr>
        <w:t> </w:t>
      </w:r>
      <w:r w:rsidRPr="0004518F">
        <w:rPr>
          <w:rFonts w:eastAsia="Malgun Gothic"/>
          <w:bCs/>
          <w:lang w:val="fr-FR"/>
        </w:rPr>
        <w:t>R.1 et</w:t>
      </w:r>
      <w:r w:rsidR="00B53519">
        <w:rPr>
          <w:rFonts w:eastAsia="Malgun Gothic"/>
          <w:bCs/>
          <w:lang w:val="fr-FR"/>
        </w:rPr>
        <w:t> </w:t>
      </w:r>
      <w:r w:rsidRPr="0004518F">
        <w:rPr>
          <w:rFonts w:eastAsia="Malgun Gothic"/>
          <w:bCs/>
          <w:lang w:val="fr-FR"/>
        </w:rPr>
        <w:t>R.2. S</w:t>
      </w:r>
      <w:r w:rsidR="00923E72">
        <w:rPr>
          <w:rFonts w:eastAsia="Malgun Gothic"/>
          <w:bCs/>
          <w:lang w:val="fr-FR"/>
        </w:rPr>
        <w:t>’</w:t>
      </w:r>
      <w:r w:rsidRPr="0004518F">
        <w:rPr>
          <w:rFonts w:eastAsia="Malgun Gothic"/>
          <w:bCs/>
          <w:lang w:val="fr-FR"/>
        </w:rPr>
        <w:t>agissant du critère</w:t>
      </w:r>
      <w:r w:rsidR="00B53519">
        <w:rPr>
          <w:rFonts w:eastAsia="Malgun Gothic"/>
          <w:bCs/>
          <w:lang w:val="fr-FR"/>
        </w:rPr>
        <w:t> </w:t>
      </w:r>
      <w:r w:rsidRPr="0004518F">
        <w:rPr>
          <w:rFonts w:eastAsia="Malgun Gothic"/>
          <w:bCs/>
          <w:lang w:val="fr-FR"/>
        </w:rPr>
        <w:t>R.3, la délégation a</w:t>
      </w:r>
      <w:r w:rsidR="00B53519">
        <w:rPr>
          <w:rFonts w:eastAsia="Malgun Gothic"/>
          <w:bCs/>
          <w:lang w:val="fr-FR"/>
        </w:rPr>
        <w:t>vait</w:t>
      </w:r>
      <w:r w:rsidRPr="0004518F">
        <w:rPr>
          <w:rFonts w:eastAsia="Malgun Gothic"/>
          <w:bCs/>
          <w:lang w:val="fr-FR"/>
        </w:rPr>
        <w:t xml:space="preserve"> noté que le dossier présentait un certain nombre de propositions visant à mener des actions éducatives dans la société, ainsi qu</w:t>
      </w:r>
      <w:r w:rsidR="00923E72">
        <w:rPr>
          <w:rFonts w:eastAsia="Malgun Gothic"/>
          <w:bCs/>
          <w:lang w:val="fr-FR"/>
        </w:rPr>
        <w:t>’</w:t>
      </w:r>
      <w:r w:rsidRPr="0004518F">
        <w:rPr>
          <w:rFonts w:eastAsia="Malgun Gothic"/>
          <w:bCs/>
          <w:lang w:val="fr-FR"/>
        </w:rPr>
        <w:t>un système permettant de maintenir la participation systématique des maîtres à des événements et à des cours de formation afin de donner de la visibilité à la pratique culturelle, tout en diffusant les moyens associés au rhum cubain. Comme l</w:t>
      </w:r>
      <w:r w:rsidR="00923E72">
        <w:rPr>
          <w:rFonts w:eastAsia="Malgun Gothic"/>
          <w:bCs/>
          <w:lang w:val="fr-FR"/>
        </w:rPr>
        <w:t>’</w:t>
      </w:r>
      <w:r w:rsidRPr="0004518F">
        <w:rPr>
          <w:rFonts w:eastAsia="Malgun Gothic"/>
          <w:bCs/>
          <w:lang w:val="fr-FR"/>
        </w:rPr>
        <w:t>avait souligné l</w:t>
      </w:r>
      <w:r w:rsidR="00923E72">
        <w:rPr>
          <w:rFonts w:eastAsia="Malgun Gothic"/>
          <w:bCs/>
          <w:lang w:val="fr-FR"/>
        </w:rPr>
        <w:t>’</w:t>
      </w:r>
      <w:r w:rsidRPr="0004518F">
        <w:rPr>
          <w:rFonts w:eastAsia="Malgun Gothic"/>
          <w:bCs/>
          <w:lang w:val="fr-FR"/>
        </w:rPr>
        <w:t>Organe d</w:t>
      </w:r>
      <w:r w:rsidR="00923E72">
        <w:rPr>
          <w:rFonts w:eastAsia="Malgun Gothic"/>
          <w:bCs/>
          <w:lang w:val="fr-FR"/>
        </w:rPr>
        <w:t>’</w:t>
      </w:r>
      <w:r w:rsidRPr="0004518F">
        <w:rPr>
          <w:rFonts w:eastAsia="Malgun Gothic"/>
          <w:bCs/>
          <w:lang w:val="fr-FR"/>
        </w:rPr>
        <w:t xml:space="preserve">évaluation, de nombreuses mesures </w:t>
      </w:r>
      <w:r w:rsidRPr="0004518F">
        <w:rPr>
          <w:rFonts w:eastAsia="Malgun Gothic"/>
          <w:bCs/>
          <w:lang w:val="fr-FR"/>
        </w:rPr>
        <w:lastRenderedPageBreak/>
        <w:t>visaient à améliorer les réglementations commerciales. La délégation estimait que cela garantissait que les documents techniques int</w:t>
      </w:r>
      <w:r w:rsidR="00C904E6">
        <w:rPr>
          <w:rFonts w:eastAsia="Malgun Gothic"/>
          <w:bCs/>
          <w:lang w:val="fr-FR"/>
        </w:rPr>
        <w:t>é</w:t>
      </w:r>
      <w:r w:rsidRPr="0004518F">
        <w:rPr>
          <w:rFonts w:eastAsia="Malgun Gothic"/>
          <w:bCs/>
          <w:lang w:val="fr-FR"/>
        </w:rPr>
        <w:t>gr</w:t>
      </w:r>
      <w:r w:rsidR="00C904E6">
        <w:rPr>
          <w:rFonts w:eastAsia="Malgun Gothic"/>
          <w:bCs/>
          <w:lang w:val="fr-FR"/>
        </w:rPr>
        <w:t>ai</w:t>
      </w:r>
      <w:r w:rsidRPr="0004518F">
        <w:rPr>
          <w:rFonts w:eastAsia="Malgun Gothic"/>
          <w:bCs/>
          <w:lang w:val="fr-FR"/>
        </w:rPr>
        <w:t xml:space="preserve">ent </w:t>
      </w:r>
      <w:r w:rsidR="00C904E6">
        <w:rPr>
          <w:rFonts w:eastAsia="Malgun Gothic"/>
          <w:bCs/>
          <w:lang w:val="fr-FR"/>
        </w:rPr>
        <w:t xml:space="preserve">bien </w:t>
      </w:r>
      <w:r w:rsidRPr="0004518F">
        <w:rPr>
          <w:rFonts w:eastAsia="Malgun Gothic"/>
          <w:bCs/>
          <w:lang w:val="fr-FR"/>
        </w:rPr>
        <w:t xml:space="preserve">les connaissances traditionnelles des maîtres </w:t>
      </w:r>
      <w:proofErr w:type="spellStart"/>
      <w:r w:rsidRPr="0004518F">
        <w:rPr>
          <w:rFonts w:eastAsia="Malgun Gothic"/>
          <w:bCs/>
          <w:lang w:val="fr-FR"/>
        </w:rPr>
        <w:t>rhumiers</w:t>
      </w:r>
      <w:proofErr w:type="spellEnd"/>
      <w:r w:rsidRPr="0004518F">
        <w:rPr>
          <w:rFonts w:eastAsia="Malgun Gothic"/>
          <w:bCs/>
          <w:lang w:val="fr-FR"/>
        </w:rPr>
        <w:t>. Elle avait également pris note des préoccupations exprimées dans les mesures de sauvegarde concernant l</w:t>
      </w:r>
      <w:r w:rsidR="00923E72">
        <w:rPr>
          <w:rFonts w:eastAsia="Malgun Gothic"/>
          <w:bCs/>
          <w:lang w:val="fr-FR"/>
        </w:rPr>
        <w:t>’</w:t>
      </w:r>
      <w:r w:rsidRPr="0004518F">
        <w:rPr>
          <w:rFonts w:eastAsia="Malgun Gothic"/>
          <w:bCs/>
          <w:lang w:val="fr-FR"/>
        </w:rPr>
        <w:t xml:space="preserve">utilisation de </w:t>
      </w:r>
      <w:r w:rsidR="0064075E">
        <w:rPr>
          <w:rFonts w:eastAsia="Malgun Gothic"/>
          <w:bCs/>
          <w:lang w:val="fr-FR"/>
        </w:rPr>
        <w:t>l</w:t>
      </w:r>
      <w:r w:rsidR="00923E72">
        <w:rPr>
          <w:rFonts w:eastAsia="Malgun Gothic"/>
          <w:bCs/>
          <w:lang w:val="fr-FR"/>
        </w:rPr>
        <w:t>’</w:t>
      </w:r>
      <w:r w:rsidRPr="0004518F">
        <w:rPr>
          <w:rFonts w:eastAsia="Malgun Gothic"/>
          <w:bCs/>
          <w:lang w:val="fr-FR"/>
        </w:rPr>
        <w:t xml:space="preserve">image des maîtres ainsi que du souhait que les maîtres accompagnent les plans de développement des nouveaux produits en veillant </w:t>
      </w:r>
      <w:r w:rsidR="0064075E">
        <w:rPr>
          <w:rFonts w:eastAsia="Malgun Gothic"/>
          <w:bCs/>
          <w:lang w:val="fr-FR"/>
        </w:rPr>
        <w:t>« </w:t>
      </w:r>
      <w:r w:rsidRPr="0004518F">
        <w:rPr>
          <w:rFonts w:eastAsia="Malgun Gothic"/>
          <w:bCs/>
          <w:lang w:val="fr-FR"/>
        </w:rPr>
        <w:t xml:space="preserve">à ce que le développement des produits </w:t>
      </w:r>
      <w:r w:rsidR="0064075E">
        <w:rPr>
          <w:rFonts w:eastAsia="Malgun Gothic"/>
          <w:bCs/>
          <w:lang w:val="fr-FR"/>
        </w:rPr>
        <w:t>en vue de l</w:t>
      </w:r>
      <w:r w:rsidR="00923E72">
        <w:rPr>
          <w:rFonts w:eastAsia="Malgun Gothic"/>
          <w:bCs/>
          <w:lang w:val="fr-FR"/>
        </w:rPr>
        <w:t>’</w:t>
      </w:r>
      <w:r w:rsidR="0064075E">
        <w:rPr>
          <w:rFonts w:eastAsia="Malgun Gothic"/>
          <w:bCs/>
          <w:lang w:val="fr-FR"/>
        </w:rPr>
        <w:t>élargissement d</w:t>
      </w:r>
      <w:r w:rsidRPr="0004518F">
        <w:rPr>
          <w:rFonts w:eastAsia="Malgun Gothic"/>
          <w:bCs/>
          <w:lang w:val="fr-FR"/>
        </w:rPr>
        <w:t xml:space="preserve">es marchés ne se fasse pas </w:t>
      </w:r>
      <w:r w:rsidR="0064075E">
        <w:rPr>
          <w:rFonts w:eastAsia="Malgun Gothic"/>
          <w:bCs/>
          <w:lang w:val="fr-FR"/>
        </w:rPr>
        <w:t xml:space="preserve">sans en informer les </w:t>
      </w:r>
      <w:r w:rsidRPr="0004518F">
        <w:rPr>
          <w:rFonts w:eastAsia="Malgun Gothic"/>
          <w:bCs/>
          <w:lang w:val="fr-FR"/>
        </w:rPr>
        <w:t>membres de la communauté</w:t>
      </w:r>
      <w:r w:rsidR="0083033C">
        <w:rPr>
          <w:rFonts w:eastAsia="Malgun Gothic"/>
          <w:bCs/>
          <w:lang w:val="fr-FR"/>
        </w:rPr>
        <w:t>.</w:t>
      </w:r>
      <w:r w:rsidR="0064075E">
        <w:rPr>
          <w:rFonts w:eastAsia="Malgun Gothic"/>
          <w:bCs/>
          <w:lang w:val="fr-FR"/>
        </w:rPr>
        <w:t> »</w:t>
      </w:r>
      <w:r w:rsidRPr="0004518F">
        <w:rPr>
          <w:rFonts w:eastAsia="Malgun Gothic"/>
          <w:bCs/>
          <w:lang w:val="fr-FR"/>
        </w:rPr>
        <w:t xml:space="preserve"> Étant donné que le critère</w:t>
      </w:r>
      <w:r w:rsidR="0064075E">
        <w:rPr>
          <w:rFonts w:eastAsia="Malgun Gothic"/>
          <w:bCs/>
          <w:lang w:val="fr-FR"/>
        </w:rPr>
        <w:t> </w:t>
      </w:r>
      <w:r w:rsidRPr="0004518F">
        <w:rPr>
          <w:rFonts w:eastAsia="Malgun Gothic"/>
          <w:bCs/>
          <w:lang w:val="fr-FR"/>
        </w:rPr>
        <w:t>R.3 était de nature temporaire, la délégation a demandé à l</w:t>
      </w:r>
      <w:r w:rsidR="00923E72">
        <w:rPr>
          <w:rFonts w:eastAsia="Malgun Gothic"/>
          <w:bCs/>
          <w:lang w:val="fr-FR"/>
        </w:rPr>
        <w:t>’</w:t>
      </w:r>
      <w:r w:rsidRPr="0004518F">
        <w:rPr>
          <w:rFonts w:eastAsia="Malgun Gothic"/>
          <w:bCs/>
          <w:lang w:val="fr-FR"/>
        </w:rPr>
        <w:t xml:space="preserve">État soumissionnaire de fournir </w:t>
      </w:r>
      <w:r w:rsidR="0064075E">
        <w:rPr>
          <w:rFonts w:eastAsia="Malgun Gothic"/>
          <w:bCs/>
          <w:lang w:val="fr-FR"/>
        </w:rPr>
        <w:t xml:space="preserve">de </w:t>
      </w:r>
      <w:r w:rsidRPr="0004518F">
        <w:rPr>
          <w:rFonts w:eastAsia="Malgun Gothic"/>
          <w:bCs/>
          <w:lang w:val="fr-FR"/>
        </w:rPr>
        <w:t xml:space="preserve">plus </w:t>
      </w:r>
      <w:r w:rsidR="0064075E">
        <w:rPr>
          <w:rFonts w:eastAsia="Malgun Gothic"/>
          <w:bCs/>
          <w:lang w:val="fr-FR"/>
        </w:rPr>
        <w:t>amples</w:t>
      </w:r>
      <w:r w:rsidRPr="0004518F">
        <w:rPr>
          <w:rFonts w:eastAsia="Malgun Gothic"/>
          <w:bCs/>
          <w:lang w:val="fr-FR"/>
        </w:rPr>
        <w:t xml:space="preserve"> détails sur les mesures de sauvegarde visant à assurer la viabilité de l</w:t>
      </w:r>
      <w:r w:rsidR="00923E72">
        <w:rPr>
          <w:rFonts w:eastAsia="Malgun Gothic"/>
          <w:bCs/>
          <w:lang w:val="fr-FR"/>
        </w:rPr>
        <w:t>’</w:t>
      </w:r>
      <w:r w:rsidRPr="0004518F">
        <w:rPr>
          <w:rFonts w:eastAsia="Malgun Gothic"/>
          <w:bCs/>
          <w:lang w:val="fr-FR"/>
        </w:rPr>
        <w:t>élément.</w:t>
      </w:r>
    </w:p>
    <w:p w14:paraId="5F5F3D46" w14:textId="2A44922D" w:rsidR="0064075E" w:rsidRDefault="0064075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4075E">
        <w:rPr>
          <w:rFonts w:eastAsia="Malgun Gothic"/>
          <w:bCs/>
          <w:lang w:val="fr-FR"/>
        </w:rPr>
        <w:t xml:space="preserve">La délégation de </w:t>
      </w:r>
      <w:r w:rsidRPr="00702497">
        <w:rPr>
          <w:rFonts w:eastAsia="Malgun Gothic"/>
          <w:b/>
          <w:lang w:val="fr-FR"/>
        </w:rPr>
        <w:t>Cuba</w:t>
      </w:r>
      <w:r w:rsidRPr="0064075E">
        <w:rPr>
          <w:rFonts w:eastAsia="Malgun Gothic"/>
          <w:bCs/>
          <w:lang w:val="fr-FR"/>
        </w:rPr>
        <w:t xml:space="preserve"> a adressé ses remerciements </w:t>
      </w:r>
      <w:r w:rsidR="00BD653D">
        <w:rPr>
          <w:rFonts w:eastAsia="Malgun Gothic"/>
          <w:bCs/>
          <w:lang w:val="fr-FR"/>
        </w:rPr>
        <w:t xml:space="preserve">aux membres du Comité </w:t>
      </w:r>
      <w:r w:rsidRPr="0064075E">
        <w:rPr>
          <w:rFonts w:eastAsia="Malgun Gothic"/>
          <w:bCs/>
          <w:lang w:val="fr-FR"/>
        </w:rPr>
        <w:t>et pris note de toutes le</w:t>
      </w:r>
      <w:r w:rsidR="00BD653D">
        <w:rPr>
          <w:rFonts w:eastAsia="Malgun Gothic"/>
          <w:bCs/>
          <w:lang w:val="fr-FR"/>
        </w:rPr>
        <w:t>urs</w:t>
      </w:r>
      <w:r w:rsidRPr="0064075E">
        <w:rPr>
          <w:rFonts w:eastAsia="Malgun Gothic"/>
          <w:bCs/>
          <w:lang w:val="fr-FR"/>
        </w:rPr>
        <w:t xml:space="preserve"> recommandation</w:t>
      </w:r>
      <w:r w:rsidR="00BD653D">
        <w:rPr>
          <w:rFonts w:eastAsia="Malgun Gothic"/>
          <w:bCs/>
          <w:lang w:val="fr-FR"/>
        </w:rPr>
        <w:t xml:space="preserve">s. Elle a </w:t>
      </w:r>
      <w:r w:rsidR="00BD653D" w:rsidRPr="00BD653D">
        <w:rPr>
          <w:rFonts w:eastAsia="Malgun Gothic"/>
          <w:bCs/>
          <w:color w:val="000000" w:themeColor="text1"/>
          <w:lang w:val="fr-FR"/>
        </w:rPr>
        <w:t>également</w:t>
      </w:r>
      <w:r w:rsidRPr="0064075E">
        <w:rPr>
          <w:rFonts w:eastAsia="Malgun Gothic"/>
          <w:bCs/>
          <w:lang w:val="fr-FR"/>
        </w:rPr>
        <w:t xml:space="preserve"> remerci</w:t>
      </w:r>
      <w:r w:rsidR="00BD653D">
        <w:rPr>
          <w:rFonts w:eastAsia="Malgun Gothic"/>
          <w:bCs/>
          <w:lang w:val="fr-FR"/>
        </w:rPr>
        <w:t>é</w:t>
      </w:r>
      <w:r w:rsidRPr="0064075E">
        <w:rPr>
          <w:rFonts w:eastAsia="Malgun Gothic"/>
          <w:bCs/>
          <w:lang w:val="fr-FR"/>
        </w:rPr>
        <w:t xml:space="preserve"> le Brésil pour cette question. Il était évident que le critère</w:t>
      </w:r>
      <w:r w:rsidR="00C904E6">
        <w:rPr>
          <w:rFonts w:eastAsia="Malgun Gothic"/>
          <w:bCs/>
          <w:lang w:val="fr-FR"/>
        </w:rPr>
        <w:t> </w:t>
      </w:r>
      <w:r w:rsidRPr="0064075E">
        <w:rPr>
          <w:rFonts w:eastAsia="Malgun Gothic"/>
          <w:bCs/>
          <w:lang w:val="fr-FR"/>
        </w:rPr>
        <w:t xml:space="preserve">R.3 </w:t>
      </w:r>
      <w:r w:rsidR="00C904E6">
        <w:rPr>
          <w:rFonts w:eastAsia="Malgun Gothic"/>
          <w:bCs/>
          <w:lang w:val="fr-FR"/>
        </w:rPr>
        <w:t xml:space="preserve">était </w:t>
      </w:r>
      <w:r w:rsidRPr="0064075E">
        <w:rPr>
          <w:rFonts w:eastAsia="Malgun Gothic"/>
          <w:bCs/>
          <w:lang w:val="fr-FR"/>
        </w:rPr>
        <w:t>extrêmement important</w:t>
      </w:r>
      <w:r w:rsidR="00265712">
        <w:rPr>
          <w:rFonts w:eastAsia="Malgun Gothic"/>
          <w:bCs/>
          <w:lang w:val="fr-FR"/>
        </w:rPr>
        <w:t>,</w:t>
      </w:r>
      <w:r w:rsidRPr="0064075E">
        <w:rPr>
          <w:rFonts w:eastAsia="Malgun Gothic"/>
          <w:bCs/>
          <w:lang w:val="fr-FR"/>
        </w:rPr>
        <w:t xml:space="preserve"> non seulement pour l</w:t>
      </w:r>
      <w:r w:rsidR="00923E72">
        <w:rPr>
          <w:rFonts w:eastAsia="Malgun Gothic"/>
          <w:bCs/>
          <w:lang w:val="fr-FR"/>
        </w:rPr>
        <w:t>’</w:t>
      </w:r>
      <w:r w:rsidRPr="0064075E">
        <w:rPr>
          <w:rFonts w:eastAsia="Malgun Gothic"/>
          <w:bCs/>
          <w:lang w:val="fr-FR"/>
        </w:rPr>
        <w:t>élément mais également parce que la sauvegarde incarne l</w:t>
      </w:r>
      <w:r w:rsidR="00923E72">
        <w:rPr>
          <w:rFonts w:eastAsia="Malgun Gothic"/>
          <w:bCs/>
          <w:lang w:val="fr-FR"/>
        </w:rPr>
        <w:t>’</w:t>
      </w:r>
      <w:r w:rsidRPr="0064075E">
        <w:rPr>
          <w:rFonts w:eastAsia="Malgun Gothic"/>
          <w:bCs/>
          <w:lang w:val="fr-FR"/>
        </w:rPr>
        <w:t>essence même de la Convention. Dans le dossier, la section</w:t>
      </w:r>
      <w:r w:rsidR="00C904E6">
        <w:rPr>
          <w:rFonts w:eastAsia="Malgun Gothic"/>
          <w:bCs/>
          <w:lang w:val="fr-FR"/>
        </w:rPr>
        <w:t> </w:t>
      </w:r>
      <w:r w:rsidRPr="0064075E">
        <w:rPr>
          <w:rFonts w:eastAsia="Malgun Gothic"/>
          <w:bCs/>
          <w:lang w:val="fr-FR"/>
        </w:rPr>
        <w:t>3(i) comprenait les mesures établies par les détenteurs afin de protéger l</w:t>
      </w:r>
      <w:r w:rsidR="00923E72">
        <w:rPr>
          <w:rFonts w:eastAsia="Malgun Gothic"/>
          <w:bCs/>
          <w:lang w:val="fr-FR"/>
        </w:rPr>
        <w:t>’</w:t>
      </w:r>
      <w:r w:rsidRPr="0064075E">
        <w:rPr>
          <w:rFonts w:eastAsia="Malgun Gothic"/>
          <w:bCs/>
          <w:lang w:val="fr-FR"/>
        </w:rPr>
        <w:t>élément, considérées comme l</w:t>
      </w:r>
      <w:r w:rsidR="00923E72">
        <w:rPr>
          <w:rFonts w:eastAsia="Malgun Gothic"/>
          <w:bCs/>
          <w:lang w:val="fr-FR"/>
        </w:rPr>
        <w:t>’</w:t>
      </w:r>
      <w:r w:rsidRPr="0064075E">
        <w:rPr>
          <w:rFonts w:eastAsia="Malgun Gothic"/>
          <w:bCs/>
          <w:lang w:val="fr-FR"/>
        </w:rPr>
        <w:t>action de sauvegarde la plus importante. La section</w:t>
      </w:r>
      <w:r w:rsidR="00C904E6">
        <w:rPr>
          <w:rFonts w:eastAsia="Malgun Gothic"/>
          <w:bCs/>
          <w:lang w:val="fr-FR"/>
        </w:rPr>
        <w:t> </w:t>
      </w:r>
      <w:r w:rsidRPr="0064075E">
        <w:rPr>
          <w:rFonts w:eastAsia="Malgun Gothic"/>
          <w:bCs/>
          <w:lang w:val="fr-FR"/>
        </w:rPr>
        <w:t>3(i) démontrait que le dossier concern</w:t>
      </w:r>
      <w:r w:rsidR="00C904E6">
        <w:rPr>
          <w:rFonts w:eastAsia="Malgun Gothic"/>
          <w:bCs/>
          <w:lang w:val="fr-FR"/>
        </w:rPr>
        <w:t>ait</w:t>
      </w:r>
      <w:r w:rsidRPr="0064075E">
        <w:rPr>
          <w:rFonts w:eastAsia="Malgun Gothic"/>
          <w:bCs/>
          <w:lang w:val="fr-FR"/>
        </w:rPr>
        <w:t xml:space="preserve"> l</w:t>
      </w:r>
      <w:r w:rsidR="00923E72">
        <w:rPr>
          <w:rFonts w:eastAsia="Malgun Gothic"/>
          <w:bCs/>
          <w:lang w:val="fr-FR"/>
        </w:rPr>
        <w:t>’</w:t>
      </w:r>
      <w:r w:rsidRPr="0064075E">
        <w:rPr>
          <w:rFonts w:eastAsia="Malgun Gothic"/>
          <w:bCs/>
          <w:lang w:val="fr-FR"/>
        </w:rPr>
        <w:t>art de la transmission, car toutes les mesures qui y figur</w:t>
      </w:r>
      <w:r w:rsidR="00C904E6">
        <w:rPr>
          <w:rFonts w:eastAsia="Malgun Gothic"/>
          <w:bCs/>
          <w:lang w:val="fr-FR"/>
        </w:rPr>
        <w:t>ai</w:t>
      </w:r>
      <w:r w:rsidRPr="0064075E">
        <w:rPr>
          <w:rFonts w:eastAsia="Malgun Gothic"/>
          <w:bCs/>
          <w:lang w:val="fr-FR"/>
        </w:rPr>
        <w:t>ent f</w:t>
      </w:r>
      <w:r w:rsidR="00C904E6">
        <w:rPr>
          <w:rFonts w:eastAsia="Malgun Gothic"/>
          <w:bCs/>
          <w:lang w:val="fr-FR"/>
        </w:rPr>
        <w:t>aisaient</w:t>
      </w:r>
      <w:r w:rsidRPr="0064075E">
        <w:rPr>
          <w:rFonts w:eastAsia="Malgun Gothic"/>
          <w:bCs/>
          <w:lang w:val="fr-FR"/>
        </w:rPr>
        <w:t xml:space="preserve"> référence aux actions des maîtres et des communautés de détenteurs pour sauvegarder et transmettre l</w:t>
      </w:r>
      <w:r w:rsidR="00923E72">
        <w:rPr>
          <w:rFonts w:eastAsia="Malgun Gothic"/>
          <w:bCs/>
          <w:lang w:val="fr-FR"/>
        </w:rPr>
        <w:t>’</w:t>
      </w:r>
      <w:r w:rsidRPr="0064075E">
        <w:rPr>
          <w:rFonts w:eastAsia="Malgun Gothic"/>
          <w:bCs/>
          <w:lang w:val="fr-FR"/>
        </w:rPr>
        <w:t>élément. Les mesures prises à cet égard portaient sur la sélection des personnes, la formation des futurs maîtres et toutes les procédures relatives à leur formation. Les mesures prises par l</w:t>
      </w:r>
      <w:r w:rsidR="00923E72">
        <w:rPr>
          <w:rFonts w:eastAsia="Malgun Gothic"/>
          <w:bCs/>
          <w:lang w:val="fr-FR"/>
        </w:rPr>
        <w:t>’</w:t>
      </w:r>
      <w:r w:rsidRPr="0064075E">
        <w:rPr>
          <w:rFonts w:eastAsia="Malgun Gothic"/>
          <w:bCs/>
          <w:lang w:val="fr-FR"/>
        </w:rPr>
        <w:t>État étaient décrites dans la section</w:t>
      </w:r>
      <w:r w:rsidR="00C904E6">
        <w:rPr>
          <w:rFonts w:eastAsia="Malgun Gothic"/>
          <w:bCs/>
          <w:lang w:val="fr-FR"/>
        </w:rPr>
        <w:t> </w:t>
      </w:r>
      <w:r w:rsidRPr="0064075E">
        <w:rPr>
          <w:rFonts w:eastAsia="Malgun Gothic"/>
          <w:bCs/>
          <w:lang w:val="fr-FR"/>
        </w:rPr>
        <w:t>3(i), page</w:t>
      </w:r>
      <w:r w:rsidR="00C904E6">
        <w:rPr>
          <w:rFonts w:eastAsia="Malgun Gothic"/>
          <w:bCs/>
          <w:lang w:val="fr-FR"/>
        </w:rPr>
        <w:t> </w:t>
      </w:r>
      <w:r w:rsidRPr="0064075E">
        <w:rPr>
          <w:rFonts w:eastAsia="Malgun Gothic"/>
          <w:bCs/>
          <w:lang w:val="fr-FR"/>
        </w:rPr>
        <w:t>7, ainsi que dans la section</w:t>
      </w:r>
      <w:r w:rsidR="00C904E6">
        <w:rPr>
          <w:rFonts w:eastAsia="Malgun Gothic"/>
          <w:bCs/>
          <w:lang w:val="fr-FR"/>
        </w:rPr>
        <w:t> </w:t>
      </w:r>
      <w:r w:rsidRPr="0064075E">
        <w:rPr>
          <w:rFonts w:eastAsia="Malgun Gothic"/>
          <w:bCs/>
          <w:lang w:val="fr-FR"/>
        </w:rPr>
        <w:t>3(ii)</w:t>
      </w:r>
      <w:r w:rsidR="00BD653D">
        <w:rPr>
          <w:rFonts w:eastAsia="Malgun Gothic"/>
          <w:bCs/>
          <w:lang w:val="fr-FR"/>
        </w:rPr>
        <w:t>. L</w:t>
      </w:r>
      <w:r w:rsidRPr="0064075E">
        <w:rPr>
          <w:rFonts w:eastAsia="Malgun Gothic"/>
          <w:bCs/>
          <w:lang w:val="fr-FR"/>
        </w:rPr>
        <w:t xml:space="preserve">a délégation a </w:t>
      </w:r>
      <w:r w:rsidR="00BD653D">
        <w:rPr>
          <w:rFonts w:eastAsia="Malgun Gothic"/>
          <w:bCs/>
          <w:lang w:val="fr-FR"/>
        </w:rPr>
        <w:t xml:space="preserve">toutefois </w:t>
      </w:r>
      <w:r w:rsidRPr="0064075E">
        <w:rPr>
          <w:rFonts w:eastAsia="Malgun Gothic"/>
          <w:bCs/>
          <w:lang w:val="fr-FR"/>
        </w:rPr>
        <w:t>fait remarquer que le Comité devrait réfléchir à l</w:t>
      </w:r>
      <w:r w:rsidR="00923E72">
        <w:rPr>
          <w:rFonts w:eastAsia="Malgun Gothic"/>
          <w:bCs/>
          <w:lang w:val="fr-FR"/>
        </w:rPr>
        <w:t>’</w:t>
      </w:r>
      <w:r w:rsidRPr="0064075E">
        <w:rPr>
          <w:rFonts w:eastAsia="Malgun Gothic"/>
          <w:bCs/>
          <w:lang w:val="fr-FR"/>
        </w:rPr>
        <w:t>espace alloué dans le formulaire</w:t>
      </w:r>
      <w:r w:rsidR="00BD653D">
        <w:rPr>
          <w:rFonts w:eastAsia="Malgun Gothic"/>
          <w:bCs/>
          <w:lang w:val="fr-FR"/>
        </w:rPr>
        <w:t>,</w:t>
      </w:r>
      <w:r w:rsidRPr="0064075E">
        <w:rPr>
          <w:rFonts w:eastAsia="Malgun Gothic"/>
          <w:bCs/>
          <w:lang w:val="fr-FR"/>
        </w:rPr>
        <w:t xml:space="preserve"> car </w:t>
      </w:r>
      <w:r w:rsidR="00BD653D">
        <w:rPr>
          <w:rFonts w:eastAsia="Malgun Gothic"/>
          <w:bCs/>
          <w:lang w:val="fr-FR"/>
        </w:rPr>
        <w:t>elle</w:t>
      </w:r>
      <w:r w:rsidRPr="0064075E">
        <w:rPr>
          <w:rFonts w:eastAsia="Malgun Gothic"/>
          <w:bCs/>
          <w:lang w:val="fr-FR"/>
        </w:rPr>
        <w:t xml:space="preserve"> n</w:t>
      </w:r>
      <w:r w:rsidR="00923E72">
        <w:rPr>
          <w:rFonts w:eastAsia="Malgun Gothic"/>
          <w:bCs/>
          <w:lang w:val="fr-FR"/>
        </w:rPr>
        <w:t>’</w:t>
      </w:r>
      <w:r w:rsidRPr="0064075E">
        <w:rPr>
          <w:rFonts w:eastAsia="Malgun Gothic"/>
          <w:bCs/>
          <w:lang w:val="fr-FR"/>
        </w:rPr>
        <w:t>avait pas pu inclure toutes les mesures envisagées par l</w:t>
      </w:r>
      <w:r w:rsidR="00923E72">
        <w:rPr>
          <w:rFonts w:eastAsia="Malgun Gothic"/>
          <w:bCs/>
          <w:lang w:val="fr-FR"/>
        </w:rPr>
        <w:t>’</w:t>
      </w:r>
      <w:r w:rsidRPr="0064075E">
        <w:rPr>
          <w:rFonts w:eastAsia="Malgun Gothic"/>
          <w:bCs/>
          <w:lang w:val="fr-FR"/>
        </w:rPr>
        <w:t xml:space="preserve">État et les communautés de détenteurs. Dans la deuxième partie de ce critère, la délégation </w:t>
      </w:r>
      <w:r w:rsidR="00BD653D">
        <w:rPr>
          <w:rFonts w:eastAsia="Malgun Gothic"/>
          <w:bCs/>
          <w:lang w:val="fr-FR"/>
        </w:rPr>
        <w:t xml:space="preserve">faisait des commentaires sur </w:t>
      </w:r>
      <w:r w:rsidRPr="0064075E">
        <w:rPr>
          <w:rFonts w:eastAsia="Malgun Gothic"/>
          <w:bCs/>
          <w:lang w:val="fr-FR"/>
        </w:rPr>
        <w:t>les mesures prises par l</w:t>
      </w:r>
      <w:r w:rsidR="00923E72">
        <w:rPr>
          <w:rFonts w:eastAsia="Malgun Gothic"/>
          <w:bCs/>
          <w:lang w:val="fr-FR"/>
        </w:rPr>
        <w:t>’</w:t>
      </w:r>
      <w:r w:rsidR="00BD653D">
        <w:rPr>
          <w:rFonts w:eastAsia="Malgun Gothic"/>
          <w:bCs/>
          <w:lang w:val="fr-FR"/>
        </w:rPr>
        <w:t>É</w:t>
      </w:r>
      <w:r w:rsidRPr="0064075E">
        <w:rPr>
          <w:rFonts w:eastAsia="Malgun Gothic"/>
          <w:bCs/>
          <w:lang w:val="fr-FR"/>
        </w:rPr>
        <w:t>tat pour protéger cette forme extrêmement vulnérable de transmission orale, de génération en génération, d</w:t>
      </w:r>
      <w:r w:rsidR="00923E72">
        <w:rPr>
          <w:rFonts w:eastAsia="Malgun Gothic"/>
          <w:bCs/>
          <w:lang w:val="fr-FR"/>
        </w:rPr>
        <w:t>’</w:t>
      </w:r>
      <w:r w:rsidRPr="0064075E">
        <w:rPr>
          <w:rFonts w:eastAsia="Malgun Gothic"/>
          <w:bCs/>
          <w:lang w:val="fr-FR"/>
        </w:rPr>
        <w:t>un point de vue juridique et législatif, et parce qu</w:t>
      </w:r>
      <w:r w:rsidR="00923E72">
        <w:rPr>
          <w:rFonts w:eastAsia="Malgun Gothic"/>
          <w:bCs/>
          <w:lang w:val="fr-FR"/>
        </w:rPr>
        <w:t>’</w:t>
      </w:r>
      <w:r w:rsidRPr="0064075E">
        <w:rPr>
          <w:rFonts w:eastAsia="Malgun Gothic"/>
          <w:bCs/>
          <w:lang w:val="fr-FR"/>
        </w:rPr>
        <w:t>il n</w:t>
      </w:r>
      <w:r w:rsidR="00923E72">
        <w:rPr>
          <w:rFonts w:eastAsia="Malgun Gothic"/>
          <w:bCs/>
          <w:lang w:val="fr-FR"/>
        </w:rPr>
        <w:t>’</w:t>
      </w:r>
      <w:r w:rsidRPr="0064075E">
        <w:rPr>
          <w:rFonts w:eastAsia="Malgun Gothic"/>
          <w:bCs/>
          <w:lang w:val="fr-FR"/>
        </w:rPr>
        <w:t>y a rien d</w:t>
      </w:r>
      <w:r w:rsidR="00923E72">
        <w:rPr>
          <w:rFonts w:eastAsia="Malgun Gothic"/>
          <w:bCs/>
          <w:lang w:val="fr-FR"/>
        </w:rPr>
        <w:t>’</w:t>
      </w:r>
      <w:r w:rsidRPr="0064075E">
        <w:rPr>
          <w:rFonts w:eastAsia="Malgun Gothic"/>
          <w:bCs/>
          <w:lang w:val="fr-FR"/>
        </w:rPr>
        <w:t>écrit. Ces mesures étaient complétées par l</w:t>
      </w:r>
      <w:r w:rsidR="00923E72">
        <w:rPr>
          <w:rFonts w:eastAsia="Malgun Gothic"/>
          <w:bCs/>
          <w:lang w:val="fr-FR"/>
        </w:rPr>
        <w:t>’</w:t>
      </w:r>
      <w:r w:rsidRPr="0064075E">
        <w:rPr>
          <w:rFonts w:eastAsia="Malgun Gothic"/>
          <w:bCs/>
          <w:lang w:val="fr-FR"/>
        </w:rPr>
        <w:t>approbation d</w:t>
      </w:r>
      <w:r w:rsidR="00923E72">
        <w:rPr>
          <w:rFonts w:eastAsia="Malgun Gothic"/>
          <w:bCs/>
          <w:lang w:val="fr-FR"/>
        </w:rPr>
        <w:t>’</w:t>
      </w:r>
      <w:r w:rsidRPr="0064075E">
        <w:rPr>
          <w:rFonts w:eastAsia="Malgun Gothic"/>
          <w:bCs/>
          <w:lang w:val="fr-FR"/>
        </w:rPr>
        <w:t xml:space="preserve">une nouvelle loi nationale sur le </w:t>
      </w:r>
      <w:r w:rsidR="00EE1369">
        <w:rPr>
          <w:rFonts w:eastAsia="Malgun Gothic"/>
          <w:bCs/>
          <w:lang w:val="fr-FR"/>
        </w:rPr>
        <w:t>P</w:t>
      </w:r>
      <w:r w:rsidRPr="0064075E">
        <w:rPr>
          <w:rFonts w:eastAsia="Malgun Gothic"/>
          <w:bCs/>
          <w:lang w:val="fr-FR"/>
        </w:rPr>
        <w:t>atrimoine adoptée en mai</w:t>
      </w:r>
      <w:r w:rsidR="003A0260">
        <w:rPr>
          <w:rFonts w:eastAsia="Malgun Gothic"/>
          <w:bCs/>
          <w:lang w:val="fr-FR"/>
        </w:rPr>
        <w:t> </w:t>
      </w:r>
      <w:r w:rsidRPr="0064075E">
        <w:rPr>
          <w:rFonts w:eastAsia="Malgun Gothic"/>
          <w:bCs/>
          <w:lang w:val="fr-FR"/>
        </w:rPr>
        <w:t>2022</w:t>
      </w:r>
      <w:r w:rsidR="00384C07">
        <w:rPr>
          <w:rFonts w:eastAsia="Malgun Gothic"/>
          <w:bCs/>
          <w:lang w:val="fr-FR"/>
        </w:rPr>
        <w:t xml:space="preserve">, </w:t>
      </w:r>
      <w:r w:rsidRPr="0064075E">
        <w:rPr>
          <w:rFonts w:eastAsia="Malgun Gothic"/>
          <w:bCs/>
          <w:lang w:val="fr-FR"/>
        </w:rPr>
        <w:t>qui établit de nouveaux systèmes d</w:t>
      </w:r>
      <w:r w:rsidR="00923E72">
        <w:rPr>
          <w:rFonts w:eastAsia="Malgun Gothic"/>
          <w:bCs/>
          <w:lang w:val="fr-FR"/>
        </w:rPr>
        <w:t>’</w:t>
      </w:r>
      <w:r w:rsidRPr="0064075E">
        <w:rPr>
          <w:rFonts w:eastAsia="Malgun Gothic"/>
          <w:bCs/>
          <w:lang w:val="fr-FR"/>
        </w:rPr>
        <w:t>inventaires du patrimoine culturel immatériel et des mesures de sauvegarde concernant les nouveaux éléments. S</w:t>
      </w:r>
      <w:r w:rsidR="00923E72">
        <w:rPr>
          <w:rFonts w:eastAsia="Malgun Gothic"/>
          <w:bCs/>
          <w:lang w:val="fr-FR"/>
        </w:rPr>
        <w:t>’</w:t>
      </w:r>
      <w:r w:rsidRPr="0064075E">
        <w:rPr>
          <w:rFonts w:eastAsia="Malgun Gothic"/>
          <w:bCs/>
          <w:lang w:val="fr-FR"/>
        </w:rPr>
        <w:t>agissant de la section</w:t>
      </w:r>
      <w:r w:rsidR="00C904E6">
        <w:rPr>
          <w:rFonts w:eastAsia="Malgun Gothic"/>
          <w:bCs/>
          <w:lang w:val="fr-FR"/>
        </w:rPr>
        <w:t> </w:t>
      </w:r>
      <w:r w:rsidRPr="0064075E">
        <w:rPr>
          <w:rFonts w:eastAsia="Malgun Gothic"/>
          <w:bCs/>
          <w:lang w:val="fr-FR"/>
        </w:rPr>
        <w:t>3(iii), qui avait suscité des inquiétudes parmi les membres de l</w:t>
      </w:r>
      <w:r w:rsidR="00923E72">
        <w:rPr>
          <w:rFonts w:eastAsia="Malgun Gothic"/>
          <w:bCs/>
          <w:lang w:val="fr-FR"/>
        </w:rPr>
        <w:t>’</w:t>
      </w:r>
      <w:r w:rsidRPr="0064075E">
        <w:rPr>
          <w:rFonts w:eastAsia="Malgun Gothic"/>
          <w:bCs/>
          <w:lang w:val="fr-FR"/>
        </w:rPr>
        <w:t>Organe d</w:t>
      </w:r>
      <w:r w:rsidR="00923E72">
        <w:rPr>
          <w:rFonts w:eastAsia="Malgun Gothic"/>
          <w:bCs/>
          <w:lang w:val="fr-FR"/>
        </w:rPr>
        <w:t>’</w:t>
      </w:r>
      <w:r w:rsidRPr="0064075E">
        <w:rPr>
          <w:rFonts w:eastAsia="Malgun Gothic"/>
          <w:bCs/>
          <w:lang w:val="fr-FR"/>
        </w:rPr>
        <w:t>évaluation, les mesures ayant un impact commercial entendaient protéger les processus des maîtres. Ceux-ci devaient être en mesure de mener à bien le processus de transmission. Les maîtres du rhum léger ne possédaient aucune marque de rhum et ne commercialisaient pas</w:t>
      </w:r>
      <w:r w:rsidR="00BD653D">
        <w:rPr>
          <w:rFonts w:eastAsia="Malgun Gothic"/>
          <w:bCs/>
          <w:lang w:val="fr-FR"/>
        </w:rPr>
        <w:t xml:space="preserve"> non plus</w:t>
      </w:r>
      <w:r w:rsidRPr="0064075E">
        <w:rPr>
          <w:rFonts w:eastAsia="Malgun Gothic"/>
          <w:bCs/>
          <w:lang w:val="fr-FR"/>
        </w:rPr>
        <w:t xml:space="preserve"> leur produit. Certains éléments des conclusion</w:t>
      </w:r>
      <w:r w:rsidR="00BD653D">
        <w:rPr>
          <w:rFonts w:eastAsia="Malgun Gothic"/>
          <w:bCs/>
          <w:lang w:val="fr-FR"/>
        </w:rPr>
        <w:t>s</w:t>
      </w:r>
      <w:r w:rsidRPr="0064075E">
        <w:rPr>
          <w:rFonts w:eastAsia="Malgun Gothic"/>
          <w:bCs/>
          <w:lang w:val="fr-FR"/>
        </w:rPr>
        <w:t xml:space="preserve"> avaient peiné les détenteurs</w:t>
      </w:r>
      <w:r w:rsidR="00265712">
        <w:rPr>
          <w:rFonts w:eastAsia="Malgun Gothic"/>
          <w:bCs/>
          <w:lang w:val="fr-FR"/>
        </w:rPr>
        <w:t>,</w:t>
      </w:r>
      <w:r w:rsidRPr="0064075E">
        <w:rPr>
          <w:rFonts w:eastAsia="Malgun Gothic"/>
          <w:bCs/>
          <w:lang w:val="fr-FR"/>
        </w:rPr>
        <w:t xml:space="preserve"> car ils suggéraient que les communautés sont des consommateurs ou des producteurs. L</w:t>
      </w:r>
      <w:r w:rsidR="00923E72">
        <w:rPr>
          <w:rFonts w:eastAsia="Malgun Gothic"/>
          <w:bCs/>
          <w:lang w:val="fr-FR"/>
        </w:rPr>
        <w:t>’</w:t>
      </w:r>
      <w:r w:rsidRPr="0064075E">
        <w:rPr>
          <w:rFonts w:eastAsia="Malgun Gothic"/>
          <w:bCs/>
          <w:lang w:val="fr-FR"/>
        </w:rPr>
        <w:t>élément n</w:t>
      </w:r>
      <w:r w:rsidR="00923E72">
        <w:rPr>
          <w:rFonts w:eastAsia="Malgun Gothic"/>
          <w:bCs/>
          <w:lang w:val="fr-FR"/>
        </w:rPr>
        <w:t>’</w:t>
      </w:r>
      <w:r w:rsidRPr="0064075E">
        <w:rPr>
          <w:rFonts w:eastAsia="Malgun Gothic"/>
          <w:bCs/>
          <w:lang w:val="fr-FR"/>
        </w:rPr>
        <w:t>a</w:t>
      </w:r>
      <w:r w:rsidR="00BD653D">
        <w:rPr>
          <w:rFonts w:eastAsia="Malgun Gothic"/>
          <w:bCs/>
          <w:lang w:val="fr-FR"/>
        </w:rPr>
        <w:t>vait</w:t>
      </w:r>
      <w:r w:rsidRPr="0064075E">
        <w:rPr>
          <w:rFonts w:eastAsia="Malgun Gothic"/>
          <w:bCs/>
          <w:lang w:val="fr-FR"/>
        </w:rPr>
        <w:t xml:space="preserve"> rien à voir avec la commercialisation ou la fabrication, mais </w:t>
      </w:r>
      <w:r w:rsidR="00BD653D">
        <w:rPr>
          <w:rFonts w:eastAsia="Malgun Gothic"/>
          <w:bCs/>
          <w:lang w:val="fr-FR"/>
        </w:rPr>
        <w:t xml:space="preserve">concernait </w:t>
      </w:r>
      <w:r w:rsidRPr="0064075E">
        <w:rPr>
          <w:rFonts w:eastAsia="Malgun Gothic"/>
          <w:bCs/>
          <w:lang w:val="fr-FR"/>
        </w:rPr>
        <w:t xml:space="preserve">le savoir-faire. Il existait un système de lois </w:t>
      </w:r>
      <w:r w:rsidR="00BD653D">
        <w:rPr>
          <w:rFonts w:eastAsia="Malgun Gothic"/>
          <w:bCs/>
          <w:lang w:val="fr-FR"/>
        </w:rPr>
        <w:t xml:space="preserve">établies </w:t>
      </w:r>
      <w:r w:rsidRPr="0064075E">
        <w:rPr>
          <w:rFonts w:eastAsia="Malgun Gothic"/>
          <w:bCs/>
          <w:lang w:val="fr-FR"/>
        </w:rPr>
        <w:t>et de règles pour protéger et reconnaître le savoir-faire des maîtres du rhum léger en tant que partie intégrante de ce système, ce qui peut évidemment avoir un</w:t>
      </w:r>
      <w:r w:rsidR="00312CAA">
        <w:rPr>
          <w:rFonts w:eastAsia="Malgun Gothic"/>
          <w:bCs/>
          <w:lang w:val="fr-FR"/>
        </w:rPr>
        <w:t xml:space="preserve">e </w:t>
      </w:r>
      <w:r w:rsidR="00312CAA" w:rsidRPr="00312CAA">
        <w:rPr>
          <w:rFonts w:eastAsia="Malgun Gothic"/>
          <w:bCs/>
          <w:lang w:val="fr-FR"/>
        </w:rPr>
        <w:t>incidence</w:t>
      </w:r>
      <w:r w:rsidR="00312CAA">
        <w:rPr>
          <w:rFonts w:eastAsia="Malgun Gothic"/>
          <w:bCs/>
          <w:lang w:val="fr-FR"/>
        </w:rPr>
        <w:t xml:space="preserve"> </w:t>
      </w:r>
      <w:r w:rsidRPr="0064075E">
        <w:rPr>
          <w:rFonts w:eastAsia="Malgun Gothic"/>
          <w:bCs/>
          <w:lang w:val="fr-FR"/>
        </w:rPr>
        <w:t>sur la commercialisation, mais l</w:t>
      </w:r>
      <w:r w:rsidR="00923E72">
        <w:rPr>
          <w:rFonts w:eastAsia="Malgun Gothic"/>
          <w:bCs/>
          <w:lang w:val="fr-FR"/>
        </w:rPr>
        <w:t>’</w:t>
      </w:r>
      <w:r w:rsidRPr="0064075E">
        <w:rPr>
          <w:rFonts w:eastAsia="Malgun Gothic"/>
          <w:bCs/>
          <w:lang w:val="fr-FR"/>
        </w:rPr>
        <w:t>idée n</w:t>
      </w:r>
      <w:r w:rsidR="00923E72">
        <w:rPr>
          <w:rFonts w:eastAsia="Malgun Gothic"/>
          <w:bCs/>
          <w:lang w:val="fr-FR"/>
        </w:rPr>
        <w:t>’</w:t>
      </w:r>
      <w:r w:rsidRPr="0064075E">
        <w:rPr>
          <w:rFonts w:eastAsia="Malgun Gothic"/>
          <w:bCs/>
          <w:lang w:val="fr-FR"/>
        </w:rPr>
        <w:t>était pas de placer le maître comme une figure dans ce processus de commercialisation, même si ces défis existent lorsqu</w:t>
      </w:r>
      <w:r w:rsidR="00923E72">
        <w:rPr>
          <w:rFonts w:eastAsia="Malgun Gothic"/>
          <w:bCs/>
          <w:lang w:val="fr-FR"/>
        </w:rPr>
        <w:t>’</w:t>
      </w:r>
      <w:r w:rsidRPr="0064075E">
        <w:rPr>
          <w:rFonts w:eastAsia="Malgun Gothic"/>
          <w:bCs/>
          <w:lang w:val="fr-FR"/>
        </w:rPr>
        <w:t>il s</w:t>
      </w:r>
      <w:r w:rsidR="00923E72">
        <w:rPr>
          <w:rFonts w:eastAsia="Malgun Gothic"/>
          <w:bCs/>
          <w:lang w:val="fr-FR"/>
        </w:rPr>
        <w:t>’</w:t>
      </w:r>
      <w:r w:rsidRPr="0064075E">
        <w:rPr>
          <w:rFonts w:eastAsia="Malgun Gothic"/>
          <w:bCs/>
          <w:lang w:val="fr-FR"/>
        </w:rPr>
        <w:t>agit de sauvegarder le produit.</w:t>
      </w:r>
    </w:p>
    <w:p w14:paraId="5F28B749" w14:textId="0CDC037E" w:rsidR="00312CAA" w:rsidRDefault="00A6309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63095">
        <w:rPr>
          <w:rFonts w:eastAsia="Malgun Gothic"/>
          <w:bCs/>
          <w:lang w:val="fr-FR"/>
        </w:rPr>
        <w:t xml:space="preserve">La délégation du </w:t>
      </w:r>
      <w:r w:rsidRPr="00702497">
        <w:rPr>
          <w:rFonts w:eastAsia="Malgun Gothic"/>
          <w:b/>
          <w:lang w:val="fr-FR"/>
        </w:rPr>
        <w:t>Burkina Faso</w:t>
      </w:r>
      <w:r w:rsidRPr="00A63095">
        <w:rPr>
          <w:rFonts w:eastAsia="Malgun Gothic"/>
          <w:bCs/>
          <w:lang w:val="fr-FR"/>
        </w:rPr>
        <w:t xml:space="preserve"> a fait remarquer qu</w:t>
      </w:r>
      <w:r w:rsidR="00923E72">
        <w:rPr>
          <w:rFonts w:eastAsia="Malgun Gothic"/>
          <w:bCs/>
          <w:lang w:val="fr-FR"/>
        </w:rPr>
        <w:t>’</w:t>
      </w:r>
      <w:r w:rsidRPr="00A63095">
        <w:rPr>
          <w:rFonts w:eastAsia="Malgun Gothic"/>
          <w:bCs/>
          <w:lang w:val="fr-FR"/>
        </w:rPr>
        <w:t xml:space="preserve">elle avait examiné </w:t>
      </w:r>
      <w:r>
        <w:rPr>
          <w:rFonts w:eastAsia="Malgun Gothic"/>
          <w:bCs/>
          <w:lang w:val="fr-FR"/>
        </w:rPr>
        <w:t xml:space="preserve">à la fois </w:t>
      </w:r>
      <w:r w:rsidRPr="00A63095">
        <w:rPr>
          <w:rFonts w:eastAsia="Malgun Gothic"/>
          <w:bCs/>
          <w:lang w:val="fr-FR"/>
        </w:rPr>
        <w:t>les éléments présentés par l</w:t>
      </w:r>
      <w:r w:rsidR="00923E72">
        <w:rPr>
          <w:rFonts w:eastAsia="Malgun Gothic"/>
          <w:bCs/>
          <w:lang w:val="fr-FR"/>
        </w:rPr>
        <w:t>’</w:t>
      </w:r>
      <w:r w:rsidRPr="00A63095">
        <w:rPr>
          <w:rFonts w:eastAsia="Malgun Gothic"/>
          <w:bCs/>
          <w:lang w:val="fr-FR"/>
        </w:rPr>
        <w:t>Organe d</w:t>
      </w:r>
      <w:r w:rsidR="00923E72">
        <w:rPr>
          <w:rFonts w:eastAsia="Malgun Gothic"/>
          <w:bCs/>
          <w:lang w:val="fr-FR"/>
        </w:rPr>
        <w:t>’</w:t>
      </w:r>
      <w:r w:rsidRPr="00A63095">
        <w:rPr>
          <w:rFonts w:eastAsia="Malgun Gothic"/>
          <w:bCs/>
          <w:lang w:val="fr-FR"/>
        </w:rPr>
        <w:t>évaluation</w:t>
      </w:r>
      <w:r w:rsidR="00077272">
        <w:rPr>
          <w:rFonts w:eastAsia="Malgun Gothic"/>
          <w:bCs/>
          <w:lang w:val="fr-FR"/>
        </w:rPr>
        <w:t xml:space="preserve"> </w:t>
      </w:r>
      <w:r w:rsidRPr="00A63095">
        <w:rPr>
          <w:rFonts w:eastAsia="Malgun Gothic"/>
          <w:bCs/>
          <w:lang w:val="fr-FR"/>
        </w:rPr>
        <w:t xml:space="preserve">et les explications de Cuba, </w:t>
      </w:r>
      <w:r>
        <w:rPr>
          <w:rFonts w:eastAsia="Malgun Gothic"/>
          <w:bCs/>
          <w:lang w:val="fr-FR"/>
        </w:rPr>
        <w:t>tout en</w:t>
      </w:r>
      <w:r w:rsidRPr="00A63095">
        <w:rPr>
          <w:rFonts w:eastAsia="Malgun Gothic"/>
          <w:bCs/>
          <w:lang w:val="fr-FR"/>
        </w:rPr>
        <w:t xml:space="preserve"> </w:t>
      </w:r>
      <w:r>
        <w:rPr>
          <w:rFonts w:eastAsia="Malgun Gothic"/>
          <w:bCs/>
          <w:lang w:val="fr-FR"/>
        </w:rPr>
        <w:t xml:space="preserve">rappelant </w:t>
      </w:r>
      <w:r w:rsidRPr="00A63095">
        <w:rPr>
          <w:rFonts w:eastAsia="Malgun Gothic"/>
          <w:bCs/>
          <w:lang w:val="fr-FR"/>
        </w:rPr>
        <w:t>que le dossier n</w:t>
      </w:r>
      <w:r w:rsidR="00923E72">
        <w:rPr>
          <w:rFonts w:eastAsia="Malgun Gothic"/>
          <w:bCs/>
          <w:lang w:val="fr-FR"/>
        </w:rPr>
        <w:t>’</w:t>
      </w:r>
      <w:r w:rsidRPr="00A63095">
        <w:rPr>
          <w:rFonts w:eastAsia="Malgun Gothic"/>
          <w:bCs/>
          <w:lang w:val="fr-FR"/>
        </w:rPr>
        <w:t xml:space="preserve">avait pas </w:t>
      </w:r>
      <w:r>
        <w:rPr>
          <w:rFonts w:eastAsia="Malgun Gothic"/>
          <w:bCs/>
          <w:lang w:val="fr-FR"/>
        </w:rPr>
        <w:t>fait l</w:t>
      </w:r>
      <w:r w:rsidR="00923E72">
        <w:rPr>
          <w:rFonts w:eastAsia="Malgun Gothic"/>
          <w:bCs/>
          <w:lang w:val="fr-FR"/>
        </w:rPr>
        <w:t>’</w:t>
      </w:r>
      <w:r>
        <w:rPr>
          <w:rFonts w:eastAsia="Malgun Gothic"/>
          <w:bCs/>
          <w:lang w:val="fr-FR"/>
        </w:rPr>
        <w:t>objet</w:t>
      </w:r>
      <w:r w:rsidRPr="00A63095">
        <w:rPr>
          <w:rFonts w:eastAsia="Malgun Gothic"/>
          <w:bCs/>
          <w:lang w:val="fr-FR"/>
        </w:rPr>
        <w:t xml:space="preserve"> d</w:t>
      </w:r>
      <w:r w:rsidR="00923E72">
        <w:rPr>
          <w:rFonts w:eastAsia="Malgun Gothic"/>
          <w:bCs/>
          <w:lang w:val="fr-FR"/>
        </w:rPr>
        <w:t>’</w:t>
      </w:r>
      <w:r w:rsidRPr="00A63095">
        <w:rPr>
          <w:rFonts w:eastAsia="Malgun Gothic"/>
          <w:bCs/>
          <w:lang w:val="fr-FR"/>
        </w:rPr>
        <w:t>un dialogue. Le dossier avait également été examiné uniquement sur la base des éléments figurant dans le dossier. La délégation a en outre fait remarquer que l</w:t>
      </w:r>
      <w:r w:rsidR="00923E72">
        <w:rPr>
          <w:rFonts w:eastAsia="Malgun Gothic"/>
          <w:bCs/>
          <w:lang w:val="fr-FR"/>
        </w:rPr>
        <w:t>’</w:t>
      </w:r>
      <w:r w:rsidRPr="00A63095">
        <w:rPr>
          <w:rFonts w:eastAsia="Malgun Gothic"/>
          <w:bCs/>
          <w:lang w:val="fr-FR"/>
        </w:rPr>
        <w:t>Organe d</w:t>
      </w:r>
      <w:r w:rsidR="00923E72">
        <w:rPr>
          <w:rFonts w:eastAsia="Malgun Gothic"/>
          <w:bCs/>
          <w:lang w:val="fr-FR"/>
        </w:rPr>
        <w:t>’</w:t>
      </w:r>
      <w:r w:rsidRPr="00A63095">
        <w:rPr>
          <w:rFonts w:eastAsia="Malgun Gothic"/>
          <w:bCs/>
          <w:lang w:val="fr-FR"/>
        </w:rPr>
        <w:t>évaluation avait des limites compréhensibles et objectives dans la sélection des cas ouverts au dialogue, qui ne reposait pas sur la compétence de ses membres mais sur la définition des modalités du dialogue en fonction des critères eux-mêmes. Sur la base de cette observation, le Burkina</w:t>
      </w:r>
      <w:r w:rsidR="00077272">
        <w:rPr>
          <w:rFonts w:eastAsia="Malgun Gothic"/>
          <w:bCs/>
          <w:lang w:val="fr-FR"/>
        </w:rPr>
        <w:t> </w:t>
      </w:r>
      <w:r w:rsidRPr="00A63095">
        <w:rPr>
          <w:rFonts w:eastAsia="Malgun Gothic"/>
          <w:bCs/>
          <w:lang w:val="fr-FR"/>
        </w:rPr>
        <w:t>Faso a reconnu que Cuba avait donné les précisions demandées sur le critère</w:t>
      </w:r>
      <w:r w:rsidR="00077272">
        <w:rPr>
          <w:rFonts w:eastAsia="Malgun Gothic"/>
          <w:bCs/>
          <w:lang w:val="fr-FR"/>
        </w:rPr>
        <w:t> </w:t>
      </w:r>
      <w:r w:rsidRPr="00A63095">
        <w:rPr>
          <w:rFonts w:eastAsia="Malgun Gothic"/>
          <w:bCs/>
          <w:lang w:val="fr-FR"/>
        </w:rPr>
        <w:t>R.1</w:t>
      </w:r>
      <w:r w:rsidR="00077272">
        <w:rPr>
          <w:rFonts w:eastAsia="Malgun Gothic"/>
          <w:bCs/>
          <w:lang w:val="fr-FR"/>
        </w:rPr>
        <w:t>,</w:t>
      </w:r>
      <w:r w:rsidRPr="00A63095">
        <w:rPr>
          <w:rFonts w:eastAsia="Malgun Gothic"/>
          <w:bCs/>
          <w:lang w:val="fr-FR"/>
        </w:rPr>
        <w:t xml:space="preserve"> qui permettaient de lever tout doute </w:t>
      </w:r>
      <w:r w:rsidR="00711967">
        <w:rPr>
          <w:rFonts w:eastAsia="Malgun Gothic"/>
          <w:bCs/>
          <w:lang w:val="fr-FR"/>
        </w:rPr>
        <w:t xml:space="preserve">quant à </w:t>
      </w:r>
      <w:r w:rsidRPr="00A63095">
        <w:rPr>
          <w:rFonts w:eastAsia="Malgun Gothic"/>
          <w:bCs/>
          <w:lang w:val="fr-FR"/>
        </w:rPr>
        <w:t>la qualification de l</w:t>
      </w:r>
      <w:r w:rsidR="00923E72">
        <w:rPr>
          <w:rFonts w:eastAsia="Malgun Gothic"/>
          <w:bCs/>
          <w:lang w:val="fr-FR"/>
        </w:rPr>
        <w:t>’</w:t>
      </w:r>
      <w:r w:rsidRPr="00A63095">
        <w:rPr>
          <w:rFonts w:eastAsia="Malgun Gothic"/>
          <w:bCs/>
          <w:lang w:val="fr-FR"/>
        </w:rPr>
        <w:t>élément en tant que patrimoine culturel immatériel</w:t>
      </w:r>
      <w:r w:rsidR="00711967">
        <w:rPr>
          <w:rFonts w:eastAsia="Malgun Gothic"/>
          <w:bCs/>
          <w:lang w:val="fr-FR"/>
        </w:rPr>
        <w:t>,</w:t>
      </w:r>
      <w:r w:rsidRPr="00A63095">
        <w:rPr>
          <w:rFonts w:eastAsia="Malgun Gothic"/>
          <w:bCs/>
          <w:lang w:val="fr-FR"/>
        </w:rPr>
        <w:t xml:space="preserve"> </w:t>
      </w:r>
      <w:r w:rsidR="00711967">
        <w:rPr>
          <w:rFonts w:eastAsia="Malgun Gothic"/>
          <w:bCs/>
          <w:lang w:val="fr-FR"/>
        </w:rPr>
        <w:t xml:space="preserve">dont </w:t>
      </w:r>
      <w:r w:rsidRPr="00A63095">
        <w:rPr>
          <w:rFonts w:eastAsia="Malgun Gothic"/>
          <w:bCs/>
          <w:lang w:val="fr-FR"/>
        </w:rPr>
        <w:t>le savoir-faire des maîtres du rhum léger</w:t>
      </w:r>
      <w:r w:rsidR="00711967">
        <w:rPr>
          <w:rFonts w:eastAsia="Malgun Gothic"/>
          <w:bCs/>
          <w:lang w:val="fr-FR"/>
        </w:rPr>
        <w:t xml:space="preserve"> faisait effectivement partie</w:t>
      </w:r>
      <w:r w:rsidRPr="00A63095">
        <w:rPr>
          <w:rFonts w:eastAsia="Malgun Gothic"/>
          <w:bCs/>
          <w:lang w:val="fr-FR"/>
        </w:rPr>
        <w:t>. De plus, comme l</w:t>
      </w:r>
      <w:r w:rsidR="00923E72">
        <w:rPr>
          <w:rFonts w:eastAsia="Malgun Gothic"/>
          <w:bCs/>
          <w:lang w:val="fr-FR"/>
        </w:rPr>
        <w:t>’</w:t>
      </w:r>
      <w:r w:rsidRPr="00A63095">
        <w:rPr>
          <w:rFonts w:eastAsia="Malgun Gothic"/>
          <w:bCs/>
          <w:lang w:val="fr-FR"/>
        </w:rPr>
        <w:t>ava</w:t>
      </w:r>
      <w:r>
        <w:rPr>
          <w:rFonts w:eastAsia="Malgun Gothic"/>
          <w:bCs/>
          <w:lang w:val="fr-FR"/>
        </w:rPr>
        <w:t>i</w:t>
      </w:r>
      <w:r w:rsidRPr="00A63095">
        <w:rPr>
          <w:rFonts w:eastAsia="Malgun Gothic"/>
          <w:bCs/>
          <w:lang w:val="fr-FR"/>
        </w:rPr>
        <w:t>t souligné un État partie, on pouvait s</w:t>
      </w:r>
      <w:r w:rsidR="00923E72">
        <w:rPr>
          <w:rFonts w:eastAsia="Malgun Gothic"/>
          <w:bCs/>
          <w:lang w:val="fr-FR"/>
        </w:rPr>
        <w:t>’</w:t>
      </w:r>
      <w:r w:rsidRPr="00A63095">
        <w:rPr>
          <w:rFonts w:eastAsia="Malgun Gothic"/>
          <w:bCs/>
          <w:lang w:val="fr-FR"/>
        </w:rPr>
        <w:t xml:space="preserve">interroger sur le seuil à placer </w:t>
      </w:r>
      <w:r>
        <w:rPr>
          <w:rFonts w:eastAsia="Malgun Gothic"/>
          <w:bCs/>
          <w:lang w:val="fr-FR"/>
        </w:rPr>
        <w:t xml:space="preserve">en ce qui concerne </w:t>
      </w:r>
      <w:r w:rsidRPr="00A63095">
        <w:rPr>
          <w:rFonts w:eastAsia="Malgun Gothic"/>
          <w:bCs/>
          <w:lang w:val="fr-FR"/>
        </w:rPr>
        <w:t>les aspects matériels et immatériels d</w:t>
      </w:r>
      <w:r w:rsidR="00923E72">
        <w:rPr>
          <w:rFonts w:eastAsia="Malgun Gothic"/>
          <w:bCs/>
          <w:lang w:val="fr-FR"/>
        </w:rPr>
        <w:t>’</w:t>
      </w:r>
      <w:r w:rsidRPr="00A63095">
        <w:rPr>
          <w:rFonts w:eastAsia="Malgun Gothic"/>
          <w:bCs/>
          <w:lang w:val="fr-FR"/>
        </w:rPr>
        <w:t xml:space="preserve">un élément alors que les deux sont très souvent liés, en particulier dans le </w:t>
      </w:r>
      <w:r w:rsidRPr="00A63095">
        <w:rPr>
          <w:rFonts w:eastAsia="Malgun Gothic"/>
          <w:bCs/>
          <w:lang w:val="fr-FR"/>
        </w:rPr>
        <w:lastRenderedPageBreak/>
        <w:t>cas présent. L</w:t>
      </w:r>
      <w:r w:rsidR="00923E72">
        <w:rPr>
          <w:rFonts w:eastAsia="Malgun Gothic"/>
          <w:bCs/>
          <w:lang w:val="fr-FR"/>
        </w:rPr>
        <w:t>’</w:t>
      </w:r>
      <w:r w:rsidRPr="00A63095">
        <w:rPr>
          <w:rFonts w:eastAsia="Malgun Gothic"/>
          <w:bCs/>
          <w:lang w:val="fr-FR"/>
        </w:rPr>
        <w:t>amendement permettait donc de mieux comprendre l</w:t>
      </w:r>
      <w:r w:rsidR="00923E72">
        <w:rPr>
          <w:rFonts w:eastAsia="Malgun Gothic"/>
          <w:bCs/>
          <w:lang w:val="fr-FR"/>
        </w:rPr>
        <w:t>’</w:t>
      </w:r>
      <w:r w:rsidRPr="00A63095">
        <w:rPr>
          <w:rFonts w:eastAsia="Malgun Gothic"/>
          <w:bCs/>
          <w:lang w:val="fr-FR"/>
        </w:rPr>
        <w:t>engouement que l</w:t>
      </w:r>
      <w:r w:rsidR="00923E72">
        <w:rPr>
          <w:rFonts w:eastAsia="Malgun Gothic"/>
          <w:bCs/>
          <w:lang w:val="fr-FR"/>
        </w:rPr>
        <w:t>’</w:t>
      </w:r>
      <w:r w:rsidRPr="00A63095">
        <w:rPr>
          <w:rFonts w:eastAsia="Malgun Gothic"/>
          <w:bCs/>
          <w:lang w:val="fr-FR"/>
        </w:rPr>
        <w:t>inscription pouvait susciter autour des savoirs ancestraux</w:t>
      </w:r>
      <w:r>
        <w:rPr>
          <w:rFonts w:eastAsia="Malgun Gothic"/>
          <w:bCs/>
          <w:lang w:val="fr-FR"/>
        </w:rPr>
        <w:t>,</w:t>
      </w:r>
      <w:r w:rsidRPr="00A63095">
        <w:rPr>
          <w:rFonts w:eastAsia="Malgun Gothic"/>
          <w:bCs/>
          <w:lang w:val="fr-FR"/>
        </w:rPr>
        <w:t xml:space="preserve"> et donc la sensibilisation au patrimoine culturel immatériel en général. Enfin, l</w:t>
      </w:r>
      <w:r w:rsidR="00923E72">
        <w:rPr>
          <w:rFonts w:eastAsia="Malgun Gothic"/>
          <w:bCs/>
          <w:lang w:val="fr-FR"/>
        </w:rPr>
        <w:t>’</w:t>
      </w:r>
      <w:r w:rsidRPr="00A63095">
        <w:rPr>
          <w:rFonts w:eastAsia="Malgun Gothic"/>
          <w:bCs/>
          <w:lang w:val="fr-FR"/>
        </w:rPr>
        <w:t>organisation et le statut des maîtres du rhum, avec l</w:t>
      </w:r>
      <w:r w:rsidR="00923E72">
        <w:rPr>
          <w:rFonts w:eastAsia="Malgun Gothic"/>
          <w:bCs/>
          <w:lang w:val="fr-FR"/>
        </w:rPr>
        <w:t>’</w:t>
      </w:r>
      <w:r w:rsidRPr="00A63095">
        <w:rPr>
          <w:rFonts w:eastAsia="Malgun Gothic"/>
          <w:bCs/>
          <w:lang w:val="fr-FR"/>
        </w:rPr>
        <w:t>aide du Gouvernement, élevaient l</w:t>
      </w:r>
      <w:r w:rsidR="00923E72">
        <w:rPr>
          <w:rFonts w:eastAsia="Malgun Gothic"/>
          <w:bCs/>
          <w:lang w:val="fr-FR"/>
        </w:rPr>
        <w:t>’</w:t>
      </w:r>
      <w:r w:rsidRPr="00A63095">
        <w:rPr>
          <w:rFonts w:eastAsia="Malgun Gothic"/>
          <w:bCs/>
          <w:lang w:val="fr-FR"/>
        </w:rPr>
        <w:t>élément, ce qui explique la mise en œuvre des mesures de sauvegarde. En conséquence, la délégation soutenait</w:t>
      </w:r>
      <w:r>
        <w:rPr>
          <w:rFonts w:eastAsia="Malgun Gothic"/>
          <w:bCs/>
          <w:lang w:val="fr-FR"/>
        </w:rPr>
        <w:t xml:space="preserve"> </w:t>
      </w:r>
      <w:r w:rsidRPr="00A63095">
        <w:rPr>
          <w:rFonts w:eastAsia="Malgun Gothic"/>
          <w:bCs/>
          <w:lang w:val="fr-FR"/>
        </w:rPr>
        <w:t>l</w:t>
      </w:r>
      <w:r w:rsidR="00923E72">
        <w:rPr>
          <w:rFonts w:eastAsia="Malgun Gothic"/>
          <w:bCs/>
          <w:lang w:val="fr-FR"/>
        </w:rPr>
        <w:t>’</w:t>
      </w:r>
      <w:r w:rsidRPr="00A63095">
        <w:rPr>
          <w:rFonts w:eastAsia="Malgun Gothic"/>
          <w:bCs/>
          <w:lang w:val="fr-FR"/>
        </w:rPr>
        <w:t>inscription d</w:t>
      </w:r>
      <w:r>
        <w:rPr>
          <w:rFonts w:eastAsia="Malgun Gothic"/>
          <w:bCs/>
          <w:lang w:val="fr-FR"/>
        </w:rPr>
        <w:t xml:space="preserve">u </w:t>
      </w:r>
      <w:r w:rsidRPr="00A63095">
        <w:rPr>
          <w:rFonts w:eastAsia="Malgun Gothic"/>
          <w:bCs/>
          <w:lang w:val="fr-FR"/>
        </w:rPr>
        <w:t>savoir-faire des maîtres du rhum léger.</w:t>
      </w:r>
    </w:p>
    <w:p w14:paraId="2C80EFE6" w14:textId="3A9149EA" w:rsidR="00A63095" w:rsidRDefault="00A6309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A63095">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Inde</w:t>
      </w:r>
      <w:r>
        <w:rPr>
          <w:rFonts w:eastAsia="Malgun Gothic"/>
          <w:bCs/>
          <w:lang w:val="fr-FR"/>
        </w:rPr>
        <w:t xml:space="preserve"> a demandé au </w:t>
      </w:r>
      <w:r w:rsidRPr="00A63095">
        <w:rPr>
          <w:rFonts w:eastAsia="Malgun Gothic"/>
          <w:bCs/>
          <w:lang w:val="fr-FR"/>
        </w:rPr>
        <w:t>Secréta</w:t>
      </w:r>
      <w:r>
        <w:rPr>
          <w:rFonts w:eastAsia="Malgun Gothic"/>
          <w:bCs/>
          <w:lang w:val="fr-FR"/>
        </w:rPr>
        <w:t>riat de projeter les projets d</w:t>
      </w:r>
      <w:r w:rsidR="00923E72">
        <w:rPr>
          <w:rFonts w:eastAsia="Malgun Gothic"/>
          <w:bCs/>
          <w:lang w:val="fr-FR"/>
        </w:rPr>
        <w:t>’</w:t>
      </w:r>
      <w:r w:rsidRPr="00A63095">
        <w:rPr>
          <w:rFonts w:eastAsia="Malgun Gothic"/>
          <w:bCs/>
          <w:lang w:val="fr-FR"/>
        </w:rPr>
        <w:t>amendemen</w:t>
      </w:r>
      <w:r>
        <w:rPr>
          <w:rFonts w:eastAsia="Malgun Gothic"/>
          <w:bCs/>
          <w:lang w:val="fr-FR"/>
        </w:rPr>
        <w:t>t à l</w:t>
      </w:r>
      <w:r w:rsidR="00923E72">
        <w:rPr>
          <w:rFonts w:eastAsia="Malgun Gothic"/>
          <w:bCs/>
          <w:lang w:val="fr-FR"/>
        </w:rPr>
        <w:t>’</w:t>
      </w:r>
      <w:r>
        <w:rPr>
          <w:rFonts w:eastAsia="Malgun Gothic"/>
          <w:bCs/>
          <w:lang w:val="fr-FR"/>
        </w:rPr>
        <w:t>écran.</w:t>
      </w:r>
    </w:p>
    <w:p w14:paraId="521D4ED8" w14:textId="55B020C4" w:rsidR="00A63095" w:rsidRDefault="00A6309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63095">
        <w:rPr>
          <w:rFonts w:eastAsia="Malgun Gothic"/>
          <w:bCs/>
          <w:lang w:val="fr-FR"/>
        </w:rPr>
        <w:t xml:space="preserve">La délégation de la </w:t>
      </w:r>
      <w:r w:rsidRPr="00702497">
        <w:rPr>
          <w:rFonts w:eastAsia="Malgun Gothic"/>
          <w:b/>
          <w:lang w:val="fr-FR"/>
        </w:rPr>
        <w:t>Mauritanie</w:t>
      </w:r>
      <w:r w:rsidR="004C086C" w:rsidRPr="00702497">
        <w:rPr>
          <w:rFonts w:eastAsia="Malgun Gothic"/>
          <w:bCs/>
          <w:lang w:val="fr-FR"/>
        </w:rPr>
        <w:t>, qui</w:t>
      </w:r>
      <w:r w:rsidRPr="00A63095">
        <w:rPr>
          <w:rFonts w:eastAsia="Malgun Gothic"/>
          <w:bCs/>
          <w:lang w:val="fr-FR"/>
        </w:rPr>
        <w:t xml:space="preserve"> avait écouté les explications concises données par Cuba</w:t>
      </w:r>
      <w:r w:rsidR="004C086C">
        <w:rPr>
          <w:rFonts w:eastAsia="Malgun Gothic"/>
          <w:bCs/>
          <w:lang w:val="fr-FR"/>
        </w:rPr>
        <w:t>,</w:t>
      </w:r>
      <w:r w:rsidRPr="00A63095">
        <w:rPr>
          <w:rFonts w:eastAsia="Malgun Gothic"/>
          <w:bCs/>
          <w:lang w:val="fr-FR"/>
        </w:rPr>
        <w:t xml:space="preserve"> estimait que les arguments présentés clarifiaient les problèmes liés à la traduction de la version officielle du dossier de candidature ainsi qu</w:t>
      </w:r>
      <w:r w:rsidR="00923E72">
        <w:rPr>
          <w:rFonts w:eastAsia="Malgun Gothic"/>
          <w:bCs/>
          <w:lang w:val="fr-FR"/>
        </w:rPr>
        <w:t>’</w:t>
      </w:r>
      <w:r w:rsidRPr="00A63095">
        <w:rPr>
          <w:rFonts w:eastAsia="Malgun Gothic"/>
          <w:bCs/>
          <w:lang w:val="fr-FR"/>
        </w:rPr>
        <w:t>à l</w:t>
      </w:r>
      <w:r w:rsidR="00923E72">
        <w:rPr>
          <w:rFonts w:eastAsia="Malgun Gothic"/>
          <w:bCs/>
          <w:lang w:val="fr-FR"/>
        </w:rPr>
        <w:t>’</w:t>
      </w:r>
      <w:r w:rsidRPr="00A63095">
        <w:rPr>
          <w:rFonts w:eastAsia="Malgun Gothic"/>
          <w:bCs/>
          <w:lang w:val="fr-FR"/>
        </w:rPr>
        <w:t>identification et à la compréhension de l</w:t>
      </w:r>
      <w:r w:rsidR="00923E72">
        <w:rPr>
          <w:rFonts w:eastAsia="Malgun Gothic"/>
          <w:bCs/>
          <w:lang w:val="fr-FR"/>
        </w:rPr>
        <w:t>’</w:t>
      </w:r>
      <w:r w:rsidRPr="00A63095">
        <w:rPr>
          <w:rFonts w:eastAsia="Malgun Gothic"/>
          <w:bCs/>
          <w:lang w:val="fr-FR"/>
        </w:rPr>
        <w:t>élément en question. La Mauritanie soutenait donc l</w:t>
      </w:r>
      <w:r w:rsidR="00923E72">
        <w:rPr>
          <w:rFonts w:eastAsia="Malgun Gothic"/>
          <w:bCs/>
          <w:lang w:val="fr-FR"/>
        </w:rPr>
        <w:t>’</w:t>
      </w:r>
      <w:r w:rsidRPr="00A63095">
        <w:rPr>
          <w:rFonts w:eastAsia="Malgun Gothic"/>
          <w:bCs/>
          <w:lang w:val="fr-FR"/>
        </w:rPr>
        <w:t>amendement présenté par le Brési</w:t>
      </w:r>
      <w:r w:rsidR="004C086C">
        <w:rPr>
          <w:rFonts w:eastAsia="Malgun Gothic"/>
          <w:bCs/>
          <w:lang w:val="fr-FR"/>
        </w:rPr>
        <w:t>l</w:t>
      </w:r>
      <w:r w:rsidRPr="00A63095">
        <w:rPr>
          <w:rFonts w:eastAsia="Malgun Gothic"/>
          <w:bCs/>
          <w:lang w:val="fr-FR"/>
        </w:rPr>
        <w:t xml:space="preserve"> et s</w:t>
      </w:r>
      <w:r w:rsidR="00923E72">
        <w:rPr>
          <w:rFonts w:eastAsia="Malgun Gothic"/>
          <w:bCs/>
          <w:lang w:val="fr-FR"/>
        </w:rPr>
        <w:t>’</w:t>
      </w:r>
      <w:r w:rsidRPr="00A63095">
        <w:rPr>
          <w:rFonts w:eastAsia="Malgun Gothic"/>
          <w:bCs/>
          <w:lang w:val="fr-FR"/>
        </w:rPr>
        <w:t xml:space="preserve">en portait coauteur. </w:t>
      </w:r>
      <w:r w:rsidR="004C086C">
        <w:rPr>
          <w:rFonts w:eastAsia="Malgun Gothic"/>
          <w:bCs/>
          <w:lang w:val="fr-FR"/>
        </w:rPr>
        <w:t xml:space="preserve">La </w:t>
      </w:r>
      <w:r w:rsidR="004C086C" w:rsidRPr="004C086C">
        <w:rPr>
          <w:rFonts w:eastAsia="Malgun Gothic"/>
          <w:bCs/>
          <w:lang w:val="fr-FR"/>
        </w:rPr>
        <w:t>délégation</w:t>
      </w:r>
      <w:r w:rsidR="004C086C">
        <w:rPr>
          <w:rFonts w:eastAsia="Malgun Gothic"/>
          <w:bCs/>
          <w:lang w:val="fr-FR"/>
        </w:rPr>
        <w:t xml:space="preserve"> a ajouté que l</w:t>
      </w:r>
      <w:r w:rsidRPr="00A63095">
        <w:rPr>
          <w:rFonts w:eastAsia="Malgun Gothic"/>
          <w:bCs/>
          <w:lang w:val="fr-FR"/>
        </w:rPr>
        <w:t>a Mauritanie respect</w:t>
      </w:r>
      <w:r w:rsidR="004C086C">
        <w:rPr>
          <w:rFonts w:eastAsia="Malgun Gothic"/>
          <w:bCs/>
          <w:lang w:val="fr-FR"/>
        </w:rPr>
        <w:t>e</w:t>
      </w:r>
      <w:r w:rsidRPr="00A63095">
        <w:rPr>
          <w:rFonts w:eastAsia="Malgun Gothic"/>
          <w:bCs/>
          <w:lang w:val="fr-FR"/>
        </w:rPr>
        <w:t xml:space="preserve"> toujours la diversité culturelle, les coutumes et les traditions des peuples afin d</w:t>
      </w:r>
      <w:r w:rsidR="00923E72">
        <w:rPr>
          <w:rFonts w:eastAsia="Malgun Gothic"/>
          <w:bCs/>
          <w:lang w:val="fr-FR"/>
        </w:rPr>
        <w:t>’</w:t>
      </w:r>
      <w:r w:rsidRPr="00A63095">
        <w:rPr>
          <w:rFonts w:eastAsia="Malgun Gothic"/>
          <w:bCs/>
          <w:lang w:val="fr-FR"/>
        </w:rPr>
        <w:t>améliorer le dialogue sans frontières entre les civilisations et les cultures.</w:t>
      </w:r>
    </w:p>
    <w:p w14:paraId="22A06563" w14:textId="60E5D30C" w:rsidR="004C086C" w:rsidRDefault="004C086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ajouté la Mauritanie à la liste des coauteurs de l</w:t>
      </w:r>
      <w:r w:rsidR="00923E72">
        <w:rPr>
          <w:rFonts w:eastAsia="Malgun Gothic"/>
          <w:bCs/>
          <w:lang w:val="fr-FR"/>
        </w:rPr>
        <w:t>’</w:t>
      </w:r>
      <w:r w:rsidRPr="004C086C">
        <w:rPr>
          <w:rFonts w:eastAsia="Malgun Gothic"/>
          <w:bCs/>
          <w:lang w:val="fr-FR"/>
        </w:rPr>
        <w:t>amendement</w:t>
      </w:r>
      <w:r>
        <w:rPr>
          <w:rFonts w:eastAsia="Malgun Gothic"/>
          <w:bCs/>
          <w:lang w:val="fr-FR"/>
        </w:rPr>
        <w:t>.</w:t>
      </w:r>
    </w:p>
    <w:p w14:paraId="1BE34FD2" w14:textId="15002DFB" w:rsidR="004C086C" w:rsidRDefault="004C086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C086C">
        <w:rPr>
          <w:rFonts w:eastAsia="Malgun Gothic"/>
          <w:bCs/>
          <w:lang w:val="fr-FR"/>
        </w:rPr>
        <w:t xml:space="preserve">La délégation du </w:t>
      </w:r>
      <w:r w:rsidRPr="00702497">
        <w:rPr>
          <w:rFonts w:eastAsia="Malgun Gothic"/>
          <w:b/>
          <w:lang w:val="fr-FR"/>
        </w:rPr>
        <w:t>Rwanda</w:t>
      </w:r>
      <w:r w:rsidRPr="004C086C">
        <w:rPr>
          <w:rFonts w:eastAsia="Malgun Gothic"/>
          <w:bCs/>
          <w:lang w:val="fr-FR"/>
        </w:rPr>
        <w:t xml:space="preserve"> était satisfaite des informations communiquées par Cuba sur le critère</w:t>
      </w:r>
      <w:r>
        <w:rPr>
          <w:rFonts w:eastAsia="Malgun Gothic"/>
          <w:bCs/>
          <w:lang w:val="fr-FR"/>
        </w:rPr>
        <w:t> </w:t>
      </w:r>
      <w:r w:rsidRPr="004C086C">
        <w:rPr>
          <w:rFonts w:eastAsia="Malgun Gothic"/>
          <w:bCs/>
          <w:lang w:val="fr-FR"/>
        </w:rPr>
        <w:t>R.3 concernant les mesures de sauvegarde visant à assurer la viabilité de l</w:t>
      </w:r>
      <w:r w:rsidR="00923E72">
        <w:rPr>
          <w:rFonts w:eastAsia="Malgun Gothic"/>
          <w:bCs/>
          <w:lang w:val="fr-FR"/>
        </w:rPr>
        <w:t>’</w:t>
      </w:r>
      <w:r w:rsidRPr="004C086C">
        <w:rPr>
          <w:rFonts w:eastAsia="Malgun Gothic"/>
          <w:bCs/>
          <w:lang w:val="fr-FR"/>
        </w:rPr>
        <w:t xml:space="preserve">élément, sa fonction sociale et sa signification culturelle. Il </w:t>
      </w:r>
      <w:r>
        <w:rPr>
          <w:rFonts w:eastAsia="Malgun Gothic"/>
          <w:bCs/>
          <w:lang w:val="fr-FR"/>
        </w:rPr>
        <w:t xml:space="preserve">convenait de </w:t>
      </w:r>
      <w:r w:rsidRPr="004C086C">
        <w:rPr>
          <w:rFonts w:eastAsia="Malgun Gothic"/>
          <w:bCs/>
          <w:lang w:val="fr-FR"/>
        </w:rPr>
        <w:t xml:space="preserve">reconnaître que les détenteurs de cet élément avaient pu </w:t>
      </w:r>
      <w:r>
        <w:rPr>
          <w:rFonts w:eastAsia="Malgun Gothic"/>
          <w:bCs/>
          <w:lang w:val="fr-FR"/>
        </w:rPr>
        <w:t xml:space="preserve">le </w:t>
      </w:r>
      <w:r w:rsidRPr="004C086C">
        <w:rPr>
          <w:rFonts w:eastAsia="Malgun Gothic"/>
          <w:bCs/>
          <w:lang w:val="fr-FR"/>
        </w:rPr>
        <w:t>sauvegarder pendant des centaines d</w:t>
      </w:r>
      <w:r w:rsidR="00923E72">
        <w:rPr>
          <w:rFonts w:eastAsia="Malgun Gothic"/>
          <w:bCs/>
          <w:lang w:val="fr-FR"/>
        </w:rPr>
        <w:t>’</w:t>
      </w:r>
      <w:r w:rsidRPr="004C086C">
        <w:rPr>
          <w:rFonts w:eastAsia="Malgun Gothic"/>
          <w:bCs/>
          <w:lang w:val="fr-FR"/>
        </w:rPr>
        <w:t>années, garantissant la transmission de génération en génération. Les détenteurs avaient pris un ensemble de mesures au niveau communautaire pour protéger l</w:t>
      </w:r>
      <w:r w:rsidR="00923E72">
        <w:rPr>
          <w:rFonts w:eastAsia="Malgun Gothic"/>
          <w:bCs/>
          <w:lang w:val="fr-FR"/>
        </w:rPr>
        <w:t>’</w:t>
      </w:r>
      <w:r w:rsidRPr="004C086C">
        <w:rPr>
          <w:rFonts w:eastAsia="Malgun Gothic"/>
          <w:bCs/>
          <w:lang w:val="fr-FR"/>
        </w:rPr>
        <w:t xml:space="preserve">élément et sa transmission. Selon Cuba, dans le contexte de la loi générale sur le </w:t>
      </w:r>
      <w:r w:rsidR="00EE1369">
        <w:rPr>
          <w:rFonts w:eastAsia="Malgun Gothic"/>
          <w:bCs/>
          <w:lang w:val="fr-FR"/>
        </w:rPr>
        <w:t>P</w:t>
      </w:r>
      <w:r w:rsidRPr="004C086C">
        <w:rPr>
          <w:rFonts w:eastAsia="Malgun Gothic"/>
          <w:bCs/>
          <w:lang w:val="fr-FR"/>
        </w:rPr>
        <w:t xml:space="preserve">atrimoine récemment adoptée </w:t>
      </w:r>
      <w:r>
        <w:rPr>
          <w:rFonts w:eastAsia="Malgun Gothic"/>
          <w:bCs/>
          <w:lang w:val="fr-FR"/>
        </w:rPr>
        <w:t>au niveau national</w:t>
      </w:r>
      <w:r w:rsidRPr="004C086C">
        <w:rPr>
          <w:rFonts w:eastAsia="Malgun Gothic"/>
          <w:bCs/>
          <w:lang w:val="fr-FR"/>
        </w:rPr>
        <w:t>, les éléments inscrits dans ce cadre étaient couverts par de nouvelles mesures de sauvegarde qui inclu</w:t>
      </w:r>
      <w:r>
        <w:rPr>
          <w:rFonts w:eastAsia="Malgun Gothic"/>
          <w:bCs/>
          <w:lang w:val="fr-FR"/>
        </w:rPr>
        <w:t>ent</w:t>
      </w:r>
      <w:r w:rsidRPr="004C086C">
        <w:rPr>
          <w:rFonts w:eastAsia="Malgun Gothic"/>
          <w:bCs/>
          <w:lang w:val="fr-FR"/>
        </w:rPr>
        <w:t xml:space="preserve"> les détenteurs, l</w:t>
      </w:r>
      <w:r w:rsidR="00923E72">
        <w:rPr>
          <w:rFonts w:eastAsia="Malgun Gothic"/>
          <w:bCs/>
          <w:lang w:val="fr-FR"/>
        </w:rPr>
        <w:t>’</w:t>
      </w:r>
      <w:r w:rsidRPr="004C086C">
        <w:rPr>
          <w:rFonts w:eastAsia="Malgun Gothic"/>
          <w:bCs/>
          <w:lang w:val="fr-FR"/>
        </w:rPr>
        <w:t>État et d</w:t>
      </w:r>
      <w:r w:rsidR="00923E72">
        <w:rPr>
          <w:rFonts w:eastAsia="Malgun Gothic"/>
          <w:bCs/>
          <w:lang w:val="fr-FR"/>
        </w:rPr>
        <w:t>’</w:t>
      </w:r>
      <w:r w:rsidRPr="004C086C">
        <w:rPr>
          <w:rFonts w:eastAsia="Malgun Gothic"/>
          <w:bCs/>
          <w:lang w:val="fr-FR"/>
        </w:rPr>
        <w:t>autres acteurs liés à l</w:t>
      </w:r>
      <w:r w:rsidR="00923E72">
        <w:rPr>
          <w:rFonts w:eastAsia="Malgun Gothic"/>
          <w:bCs/>
          <w:lang w:val="fr-FR"/>
        </w:rPr>
        <w:t>’</w:t>
      </w:r>
      <w:r w:rsidRPr="004C086C">
        <w:rPr>
          <w:rFonts w:eastAsia="Malgun Gothic"/>
          <w:bCs/>
          <w:lang w:val="fr-FR"/>
        </w:rPr>
        <w:t>élément. La délégation recommand</w:t>
      </w:r>
      <w:r>
        <w:rPr>
          <w:rFonts w:eastAsia="Malgun Gothic"/>
          <w:bCs/>
          <w:lang w:val="fr-FR"/>
        </w:rPr>
        <w:t>ait donc</w:t>
      </w:r>
      <w:r w:rsidRPr="004C086C">
        <w:rPr>
          <w:rFonts w:eastAsia="Malgun Gothic"/>
          <w:bCs/>
          <w:lang w:val="fr-FR"/>
        </w:rPr>
        <w:t xml:space="preserve"> l</w:t>
      </w:r>
      <w:r w:rsidR="00923E72">
        <w:rPr>
          <w:rFonts w:eastAsia="Malgun Gothic"/>
          <w:bCs/>
          <w:lang w:val="fr-FR"/>
        </w:rPr>
        <w:t>’</w:t>
      </w:r>
      <w:r w:rsidRPr="004C086C">
        <w:rPr>
          <w:rFonts w:eastAsia="Malgun Gothic"/>
          <w:bCs/>
          <w:lang w:val="fr-FR"/>
        </w:rPr>
        <w:t>inscription.</w:t>
      </w:r>
    </w:p>
    <w:p w14:paraId="34D9574B" w14:textId="74C4FC87" w:rsidR="004C086C" w:rsidRPr="00702497" w:rsidRDefault="007A2CE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color w:val="000000" w:themeColor="text1"/>
          <w:lang w:val="fr-FR"/>
        </w:rPr>
      </w:pPr>
      <w:r w:rsidRPr="00702497">
        <w:rPr>
          <w:rFonts w:eastAsia="Malgun Gothic"/>
          <w:bCs/>
          <w:color w:val="000000" w:themeColor="text1"/>
          <w:lang w:val="fr-FR"/>
        </w:rPr>
        <w:t>En l</w:t>
      </w:r>
      <w:r w:rsidR="00923E72">
        <w:rPr>
          <w:rFonts w:eastAsia="Malgun Gothic"/>
          <w:bCs/>
          <w:color w:val="000000" w:themeColor="text1"/>
          <w:lang w:val="fr-FR"/>
        </w:rPr>
        <w:t>’</w:t>
      </w:r>
      <w:r w:rsidRPr="00702497">
        <w:rPr>
          <w:rFonts w:eastAsia="Malgun Gothic"/>
          <w:bCs/>
          <w:color w:val="000000" w:themeColor="text1"/>
          <w:lang w:val="fr-FR"/>
        </w:rPr>
        <w:t>absence d</w:t>
      </w:r>
      <w:r w:rsidR="00923E72">
        <w:rPr>
          <w:rFonts w:eastAsia="Malgun Gothic"/>
          <w:bCs/>
          <w:color w:val="000000" w:themeColor="text1"/>
          <w:lang w:val="fr-FR"/>
        </w:rPr>
        <w:t>’</w:t>
      </w:r>
      <w:r w:rsidRPr="00702497">
        <w:rPr>
          <w:rFonts w:eastAsia="Malgun Gothic"/>
          <w:bCs/>
          <w:color w:val="000000" w:themeColor="text1"/>
          <w:lang w:val="fr-FR"/>
        </w:rPr>
        <w:t xml:space="preserve">autres commentaires, le </w:t>
      </w:r>
      <w:r w:rsidRPr="00702497">
        <w:rPr>
          <w:rFonts w:eastAsia="Malgun Gothic"/>
          <w:b/>
          <w:color w:val="000000" w:themeColor="text1"/>
          <w:lang w:val="fr-FR"/>
        </w:rPr>
        <w:t>Président</w:t>
      </w:r>
      <w:r w:rsidRPr="00702497">
        <w:rPr>
          <w:rFonts w:eastAsia="Malgun Gothic"/>
          <w:bCs/>
          <w:color w:val="000000" w:themeColor="text1"/>
          <w:lang w:val="fr-FR"/>
        </w:rPr>
        <w:t xml:space="preserve"> est passé à l</w:t>
      </w:r>
      <w:r w:rsidR="00923E72">
        <w:rPr>
          <w:rFonts w:eastAsia="Malgun Gothic"/>
          <w:bCs/>
          <w:color w:val="000000" w:themeColor="text1"/>
          <w:lang w:val="fr-FR"/>
        </w:rPr>
        <w:t>’</w:t>
      </w:r>
      <w:r w:rsidRPr="00702497">
        <w:rPr>
          <w:rFonts w:eastAsia="Malgun Gothic"/>
          <w:bCs/>
          <w:color w:val="000000" w:themeColor="text1"/>
          <w:lang w:val="fr-FR"/>
        </w:rPr>
        <w:t>adoption du projet de décision</w:t>
      </w:r>
      <w:r w:rsidR="002E083D">
        <w:rPr>
          <w:rFonts w:eastAsia="Malgun Gothic"/>
          <w:bCs/>
          <w:color w:val="000000" w:themeColor="text1"/>
          <w:lang w:val="fr-FR"/>
        </w:rPr>
        <w:t xml:space="preserve"> et à l</w:t>
      </w:r>
      <w:r w:rsidR="00923E72">
        <w:rPr>
          <w:rFonts w:eastAsia="Malgun Gothic"/>
          <w:bCs/>
          <w:color w:val="000000" w:themeColor="text1"/>
          <w:lang w:val="fr-FR"/>
        </w:rPr>
        <w:t>’</w:t>
      </w:r>
      <w:r w:rsidR="002E083D">
        <w:rPr>
          <w:rFonts w:eastAsia="Malgun Gothic"/>
          <w:bCs/>
          <w:color w:val="000000" w:themeColor="text1"/>
          <w:lang w:val="fr-FR"/>
        </w:rPr>
        <w:t>examen de l</w:t>
      </w:r>
      <w:r w:rsidR="00923E72">
        <w:rPr>
          <w:rFonts w:eastAsia="Malgun Gothic"/>
          <w:bCs/>
          <w:color w:val="000000" w:themeColor="text1"/>
          <w:lang w:val="fr-FR"/>
        </w:rPr>
        <w:t>’</w:t>
      </w:r>
      <w:r w:rsidR="002E083D" w:rsidRPr="002E083D">
        <w:rPr>
          <w:rFonts w:eastAsia="Malgun Gothic"/>
          <w:bCs/>
          <w:color w:val="000000" w:themeColor="text1"/>
          <w:lang w:val="fr-FR"/>
        </w:rPr>
        <w:t>amendement</w:t>
      </w:r>
      <w:r w:rsidR="002E083D">
        <w:rPr>
          <w:rFonts w:eastAsia="Malgun Gothic"/>
          <w:bCs/>
          <w:color w:val="000000" w:themeColor="text1"/>
          <w:lang w:val="fr-FR"/>
        </w:rPr>
        <w:t xml:space="preserve"> au </w:t>
      </w:r>
      <w:r w:rsidR="002E083D" w:rsidRPr="002E083D">
        <w:rPr>
          <w:rFonts w:eastAsia="Malgun Gothic"/>
          <w:bCs/>
          <w:color w:val="000000" w:themeColor="text1"/>
          <w:lang w:val="fr-FR"/>
        </w:rPr>
        <w:t>paragraphe</w:t>
      </w:r>
      <w:r w:rsidR="002E083D">
        <w:rPr>
          <w:rFonts w:eastAsia="Malgun Gothic"/>
          <w:bCs/>
          <w:color w:val="000000" w:themeColor="text1"/>
          <w:lang w:val="fr-FR"/>
        </w:rPr>
        <w:t xml:space="preserve"> 1, </w:t>
      </w:r>
      <w:r w:rsidRPr="00702497">
        <w:rPr>
          <w:rFonts w:eastAsia="Malgun Gothic"/>
          <w:bCs/>
          <w:color w:val="000000" w:themeColor="text1"/>
          <w:lang w:val="fr-FR"/>
        </w:rPr>
        <w:t>notant qu</w:t>
      </w:r>
      <w:r w:rsidR="00923E72">
        <w:rPr>
          <w:rFonts w:eastAsia="Malgun Gothic"/>
          <w:bCs/>
          <w:color w:val="000000" w:themeColor="text1"/>
          <w:lang w:val="fr-FR"/>
        </w:rPr>
        <w:t>’</w:t>
      </w:r>
      <w:r w:rsidRPr="00702497">
        <w:rPr>
          <w:rFonts w:eastAsia="Malgun Gothic"/>
          <w:bCs/>
          <w:color w:val="000000" w:themeColor="text1"/>
          <w:lang w:val="fr-FR"/>
        </w:rPr>
        <w:t>il bénéficiait d</w:t>
      </w:r>
      <w:r w:rsidR="00923E72">
        <w:rPr>
          <w:rFonts w:eastAsia="Malgun Gothic"/>
          <w:bCs/>
          <w:color w:val="000000" w:themeColor="text1"/>
          <w:lang w:val="fr-FR"/>
        </w:rPr>
        <w:t>’</w:t>
      </w:r>
      <w:r w:rsidRPr="00702497">
        <w:rPr>
          <w:rFonts w:eastAsia="Malgun Gothic"/>
          <w:bCs/>
          <w:color w:val="000000" w:themeColor="text1"/>
          <w:lang w:val="fr-FR"/>
        </w:rPr>
        <w:t>un large soutien actif [du Brésil, de l</w:t>
      </w:r>
      <w:r w:rsidR="00923E72">
        <w:rPr>
          <w:rFonts w:eastAsia="Malgun Gothic"/>
          <w:bCs/>
          <w:color w:val="000000" w:themeColor="text1"/>
          <w:lang w:val="fr-FR"/>
        </w:rPr>
        <w:t>’</w:t>
      </w:r>
      <w:r w:rsidRPr="00702497">
        <w:rPr>
          <w:rFonts w:eastAsia="Malgun Gothic"/>
          <w:bCs/>
          <w:color w:val="000000" w:themeColor="text1"/>
          <w:lang w:val="fr-FR"/>
        </w:rPr>
        <w:t xml:space="preserve">Angola, </w:t>
      </w:r>
      <w:r w:rsidR="00622DCC" w:rsidRPr="00702497">
        <w:rPr>
          <w:rFonts w:eastAsia="Malgun Gothic"/>
          <w:bCs/>
          <w:color w:val="000000" w:themeColor="text1"/>
          <w:lang w:val="fr-FR"/>
        </w:rPr>
        <w:t>du Burkina</w:t>
      </w:r>
      <w:r w:rsidR="00077272" w:rsidRPr="002E083D">
        <w:rPr>
          <w:rFonts w:eastAsia="Malgun Gothic"/>
          <w:bCs/>
          <w:color w:val="000000" w:themeColor="text1"/>
          <w:lang w:val="fr-FR"/>
        </w:rPr>
        <w:t> </w:t>
      </w:r>
      <w:r w:rsidR="00622DCC" w:rsidRPr="00702497">
        <w:rPr>
          <w:rFonts w:eastAsia="Malgun Gothic"/>
          <w:bCs/>
          <w:color w:val="000000" w:themeColor="text1"/>
          <w:lang w:val="fr-FR"/>
        </w:rPr>
        <w:t xml:space="preserve">Faso, </w:t>
      </w:r>
      <w:r w:rsidRPr="00702497">
        <w:rPr>
          <w:rFonts w:eastAsia="Malgun Gothic"/>
          <w:bCs/>
          <w:color w:val="000000" w:themeColor="text1"/>
          <w:lang w:val="fr-FR"/>
        </w:rPr>
        <w:t>de l</w:t>
      </w:r>
      <w:r w:rsidR="00923E72">
        <w:rPr>
          <w:rFonts w:eastAsia="Malgun Gothic"/>
          <w:bCs/>
          <w:color w:val="000000" w:themeColor="text1"/>
          <w:lang w:val="fr-FR"/>
        </w:rPr>
        <w:t>’</w:t>
      </w:r>
      <w:r w:rsidRPr="00702497">
        <w:rPr>
          <w:rFonts w:eastAsia="Malgun Gothic"/>
          <w:bCs/>
          <w:color w:val="000000" w:themeColor="text1"/>
          <w:lang w:val="fr-FR"/>
        </w:rPr>
        <w:t>Éthiopie, du Panama, du Paraguay, du Pérou, du Rwanda, du Viêt</w:t>
      </w:r>
      <w:r w:rsidR="00077272" w:rsidRPr="002E083D">
        <w:rPr>
          <w:rFonts w:eastAsia="Malgun Gothic"/>
          <w:bCs/>
          <w:color w:val="000000" w:themeColor="text1"/>
          <w:lang w:val="fr-FR"/>
        </w:rPr>
        <w:t> </w:t>
      </w:r>
      <w:r w:rsidRPr="00702497">
        <w:rPr>
          <w:rFonts w:eastAsia="Malgun Gothic"/>
          <w:bCs/>
          <w:color w:val="000000" w:themeColor="text1"/>
          <w:lang w:val="fr-FR"/>
        </w:rPr>
        <w:t>Nam, du Botswana, du Maroc, de la Côte</w:t>
      </w:r>
      <w:r w:rsidR="00077272" w:rsidRPr="002E083D">
        <w:rPr>
          <w:rFonts w:eastAsia="Malgun Gothic"/>
          <w:bCs/>
          <w:color w:val="000000" w:themeColor="text1"/>
          <w:lang w:val="fr-FR"/>
        </w:rPr>
        <w:t> </w:t>
      </w:r>
      <w:r w:rsidRPr="00702497">
        <w:rPr>
          <w:rFonts w:eastAsia="Malgun Gothic"/>
          <w:bCs/>
          <w:color w:val="000000" w:themeColor="text1"/>
          <w:lang w:val="fr-FR"/>
        </w:rPr>
        <w:t>d</w:t>
      </w:r>
      <w:r w:rsidR="00923E72">
        <w:rPr>
          <w:rFonts w:eastAsia="Malgun Gothic"/>
          <w:bCs/>
          <w:color w:val="000000" w:themeColor="text1"/>
          <w:lang w:val="fr-FR"/>
        </w:rPr>
        <w:t>’</w:t>
      </w:r>
      <w:r w:rsidRPr="00702497">
        <w:rPr>
          <w:rFonts w:eastAsia="Malgun Gothic"/>
          <w:bCs/>
          <w:color w:val="000000" w:themeColor="text1"/>
          <w:lang w:val="fr-FR"/>
        </w:rPr>
        <w:t>Ivoire, de l</w:t>
      </w:r>
      <w:r w:rsidR="00923E72">
        <w:rPr>
          <w:rFonts w:eastAsia="Malgun Gothic"/>
          <w:bCs/>
          <w:color w:val="000000" w:themeColor="text1"/>
          <w:lang w:val="fr-FR"/>
        </w:rPr>
        <w:t>’</w:t>
      </w:r>
      <w:r w:rsidRPr="00702497">
        <w:rPr>
          <w:rFonts w:eastAsia="Malgun Gothic"/>
          <w:bCs/>
          <w:color w:val="000000" w:themeColor="text1"/>
          <w:lang w:val="fr-FR"/>
        </w:rPr>
        <w:t>Ouzbékistan, du Bangladesh</w:t>
      </w:r>
      <w:r w:rsidR="00103A36">
        <w:rPr>
          <w:rFonts w:eastAsia="Malgun Gothic"/>
          <w:bCs/>
          <w:color w:val="000000" w:themeColor="text1"/>
          <w:lang w:val="fr-FR"/>
        </w:rPr>
        <w:t xml:space="preserve"> et </w:t>
      </w:r>
      <w:r w:rsidRPr="00702497">
        <w:rPr>
          <w:rFonts w:eastAsia="Malgun Gothic"/>
          <w:bCs/>
          <w:color w:val="000000" w:themeColor="text1"/>
          <w:lang w:val="fr-FR"/>
        </w:rPr>
        <w:t>de la Mauritanie].</w:t>
      </w:r>
    </w:p>
    <w:p w14:paraId="5E5D0C3C" w14:textId="12AD76FE" w:rsidR="00622DCC" w:rsidRPr="00103A36" w:rsidRDefault="00622DC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03A36">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103A36">
        <w:rPr>
          <w:rFonts w:eastAsia="Malgun Gothic"/>
          <w:bCs/>
          <w:lang w:val="fr-FR"/>
        </w:rPr>
        <w:t xml:space="preserve"> a fait remarquer que l</w:t>
      </w:r>
      <w:r w:rsidR="00923E72">
        <w:rPr>
          <w:rFonts w:eastAsia="Malgun Gothic"/>
          <w:bCs/>
          <w:lang w:val="fr-FR"/>
        </w:rPr>
        <w:t>’</w:t>
      </w:r>
      <w:r w:rsidRPr="00103A36">
        <w:rPr>
          <w:rFonts w:eastAsia="Malgun Gothic"/>
          <w:bCs/>
          <w:lang w:val="fr-FR"/>
        </w:rPr>
        <w:t>amendement faisait l</w:t>
      </w:r>
      <w:r w:rsidR="00923E72">
        <w:rPr>
          <w:rFonts w:eastAsia="Malgun Gothic"/>
          <w:bCs/>
          <w:lang w:val="fr-FR"/>
        </w:rPr>
        <w:t>’</w:t>
      </w:r>
      <w:r w:rsidRPr="00103A36">
        <w:rPr>
          <w:rFonts w:eastAsia="Malgun Gothic"/>
          <w:bCs/>
          <w:lang w:val="fr-FR"/>
        </w:rPr>
        <w:t>objet d</w:t>
      </w:r>
      <w:r w:rsidR="00923E72">
        <w:rPr>
          <w:rFonts w:eastAsia="Malgun Gothic"/>
          <w:bCs/>
          <w:lang w:val="fr-FR"/>
        </w:rPr>
        <w:t>’</w:t>
      </w:r>
      <w:r w:rsidRPr="00103A36">
        <w:rPr>
          <w:rFonts w:eastAsia="Malgun Gothic"/>
          <w:bCs/>
          <w:lang w:val="fr-FR"/>
        </w:rPr>
        <w:t>un large consensus, rappelant que l</w:t>
      </w:r>
      <w:r w:rsidR="00923E72">
        <w:rPr>
          <w:rFonts w:eastAsia="Malgun Gothic"/>
          <w:bCs/>
          <w:lang w:val="fr-FR"/>
        </w:rPr>
        <w:t>’</w:t>
      </w:r>
      <w:r w:rsidRPr="00103A36">
        <w:rPr>
          <w:rFonts w:eastAsia="Malgun Gothic"/>
          <w:bCs/>
          <w:lang w:val="fr-FR"/>
        </w:rPr>
        <w:t>Inde avait été le premier orateur à s</w:t>
      </w:r>
      <w:r w:rsidR="00923E72">
        <w:rPr>
          <w:rFonts w:eastAsia="Malgun Gothic"/>
          <w:bCs/>
          <w:lang w:val="fr-FR"/>
        </w:rPr>
        <w:t>’</w:t>
      </w:r>
      <w:r w:rsidRPr="00103A36">
        <w:rPr>
          <w:rFonts w:eastAsia="Malgun Gothic"/>
          <w:bCs/>
          <w:lang w:val="fr-FR"/>
        </w:rPr>
        <w:t>exprimer sur cet amendement après la présentation du Brésil. Elle ne souhaitait pas influencer l</w:t>
      </w:r>
      <w:r w:rsidR="00923E72">
        <w:rPr>
          <w:rFonts w:eastAsia="Malgun Gothic"/>
          <w:bCs/>
          <w:lang w:val="fr-FR"/>
        </w:rPr>
        <w:t>’</w:t>
      </w:r>
      <w:r w:rsidRPr="00103A36">
        <w:rPr>
          <w:rFonts w:eastAsia="Malgun Gothic"/>
          <w:bCs/>
          <w:lang w:val="fr-FR"/>
        </w:rPr>
        <w:t>évolution du processus de décision mais s</w:t>
      </w:r>
      <w:r w:rsidR="00923E72">
        <w:rPr>
          <w:rFonts w:eastAsia="Malgun Gothic"/>
          <w:bCs/>
          <w:lang w:val="fr-FR"/>
        </w:rPr>
        <w:t>’</w:t>
      </w:r>
      <w:r w:rsidRPr="00103A36">
        <w:rPr>
          <w:rFonts w:eastAsia="Malgun Gothic"/>
          <w:bCs/>
          <w:lang w:val="fr-FR"/>
        </w:rPr>
        <w:t>en remettre à la sagesse collective du Comité. Le Comité s</w:t>
      </w:r>
      <w:r w:rsidR="00923E72">
        <w:rPr>
          <w:rFonts w:eastAsia="Malgun Gothic"/>
          <w:bCs/>
          <w:lang w:val="fr-FR"/>
        </w:rPr>
        <w:t>’</w:t>
      </w:r>
      <w:r w:rsidRPr="00103A36">
        <w:rPr>
          <w:rFonts w:eastAsia="Malgun Gothic"/>
          <w:bCs/>
          <w:lang w:val="fr-FR"/>
        </w:rPr>
        <w:t xml:space="preserve">était désormais exprimé, les membres soutenant </w:t>
      </w:r>
      <w:r w:rsidR="00103A36">
        <w:rPr>
          <w:rFonts w:eastAsia="Malgun Gothic"/>
          <w:bCs/>
          <w:lang w:val="fr-FR"/>
        </w:rPr>
        <w:t xml:space="preserve">fermement </w:t>
      </w:r>
      <w:r w:rsidRPr="00103A36">
        <w:rPr>
          <w:rFonts w:eastAsia="Malgun Gothic"/>
          <w:bCs/>
          <w:lang w:val="fr-FR"/>
        </w:rPr>
        <w:t>le dossier de Cuba. L</w:t>
      </w:r>
      <w:r w:rsidR="00923E72">
        <w:rPr>
          <w:rFonts w:eastAsia="Malgun Gothic"/>
          <w:bCs/>
          <w:lang w:val="fr-FR"/>
        </w:rPr>
        <w:t>’</w:t>
      </w:r>
      <w:r w:rsidRPr="00103A36">
        <w:rPr>
          <w:rFonts w:eastAsia="Malgun Gothic"/>
          <w:bCs/>
          <w:lang w:val="fr-FR"/>
        </w:rPr>
        <w:t xml:space="preserve">Inde souhaitait donc être incluse </w:t>
      </w:r>
      <w:r w:rsidR="00077272" w:rsidRPr="00103A36">
        <w:rPr>
          <w:rFonts w:eastAsia="Malgun Gothic"/>
          <w:bCs/>
          <w:lang w:val="fr-FR"/>
        </w:rPr>
        <w:t xml:space="preserve">dans </w:t>
      </w:r>
      <w:r w:rsidRPr="00103A36">
        <w:rPr>
          <w:rFonts w:eastAsia="Malgun Gothic"/>
          <w:bCs/>
          <w:lang w:val="fr-FR"/>
        </w:rPr>
        <w:t>la liste des coauteurs.</w:t>
      </w:r>
    </w:p>
    <w:p w14:paraId="381BEC80" w14:textId="4B7721EE" w:rsidR="00B145D9" w:rsidRPr="00702497" w:rsidRDefault="00B145D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02497">
        <w:rPr>
          <w:rFonts w:eastAsia="Malgun Gothic"/>
          <w:bCs/>
          <w:color w:val="000000" w:themeColor="text1"/>
          <w:lang w:val="fr-FR"/>
        </w:rPr>
        <w:t xml:space="preserve">Prenant note du consensus, le </w:t>
      </w:r>
      <w:r w:rsidRPr="00702497">
        <w:rPr>
          <w:rFonts w:eastAsia="Malgun Gothic"/>
          <w:b/>
          <w:color w:val="000000" w:themeColor="text1"/>
          <w:lang w:val="fr-FR"/>
        </w:rPr>
        <w:t>Président</w:t>
      </w:r>
      <w:r w:rsidRPr="00702497">
        <w:rPr>
          <w:rFonts w:eastAsia="Malgun Gothic"/>
          <w:bCs/>
          <w:color w:val="000000" w:themeColor="text1"/>
          <w:lang w:val="fr-FR"/>
        </w:rPr>
        <w:t xml:space="preserve"> a déclaré le paragraphe</w:t>
      </w:r>
      <w:r w:rsidR="008F5CA2" w:rsidRPr="00103A36">
        <w:rPr>
          <w:rFonts w:eastAsia="Malgun Gothic"/>
          <w:bCs/>
          <w:color w:val="000000" w:themeColor="text1"/>
          <w:lang w:val="fr-FR"/>
        </w:rPr>
        <w:t> </w:t>
      </w:r>
      <w:r w:rsidRPr="00702497">
        <w:rPr>
          <w:rFonts w:eastAsia="Malgun Gothic"/>
          <w:bCs/>
          <w:color w:val="000000" w:themeColor="text1"/>
          <w:lang w:val="fr-FR"/>
        </w:rPr>
        <w:t>1 adopté</w:t>
      </w:r>
      <w:r w:rsidRPr="00103A36">
        <w:rPr>
          <w:rFonts w:eastAsia="Malgun Gothic"/>
          <w:bCs/>
          <w:color w:val="000000" w:themeColor="text1"/>
          <w:lang w:val="fr-FR"/>
        </w:rPr>
        <w:t xml:space="preserve">. Il </w:t>
      </w:r>
      <w:r>
        <w:rPr>
          <w:rFonts w:eastAsia="Malgun Gothic"/>
          <w:bCs/>
          <w:lang w:val="fr-FR"/>
        </w:rPr>
        <w:t xml:space="preserve">y avait un </w:t>
      </w:r>
      <w:r w:rsidRPr="00B145D9">
        <w:rPr>
          <w:rFonts w:eastAsia="Malgun Gothic"/>
          <w:bCs/>
          <w:lang w:val="fr-FR"/>
        </w:rPr>
        <w:t>amendement</w:t>
      </w:r>
      <w:r>
        <w:rPr>
          <w:rFonts w:eastAsia="Malgun Gothic"/>
          <w:bCs/>
          <w:lang w:val="fr-FR"/>
        </w:rPr>
        <w:t xml:space="preserve"> au </w:t>
      </w:r>
      <w:r w:rsidRPr="00B145D9">
        <w:rPr>
          <w:rFonts w:eastAsia="Malgun Gothic"/>
          <w:bCs/>
          <w:lang w:val="fr-FR"/>
        </w:rPr>
        <w:t>paragraphe</w:t>
      </w:r>
      <w:r w:rsidR="009A30ED">
        <w:rPr>
          <w:rFonts w:eastAsia="Malgun Gothic"/>
          <w:bCs/>
          <w:lang w:val="fr-FR"/>
        </w:rPr>
        <w:t> </w:t>
      </w:r>
      <w:r>
        <w:rPr>
          <w:rFonts w:eastAsia="Malgun Gothic"/>
          <w:bCs/>
          <w:lang w:val="fr-FR"/>
        </w:rPr>
        <w:t xml:space="preserve">2, au titre du </w:t>
      </w:r>
      <w:r w:rsidRPr="00B145D9">
        <w:rPr>
          <w:rFonts w:eastAsia="Malgun Gothic"/>
          <w:bCs/>
          <w:lang w:val="fr-FR"/>
        </w:rPr>
        <w:t>critère</w:t>
      </w:r>
      <w:r>
        <w:rPr>
          <w:rFonts w:eastAsia="Malgun Gothic"/>
          <w:bCs/>
          <w:lang w:val="fr-FR"/>
        </w:rPr>
        <w:t> R.4, qui proposait de supprimer la phrase suivante : « </w:t>
      </w:r>
      <w:r w:rsidRPr="00702497">
        <w:rPr>
          <w:bCs/>
          <w:lang w:val="fr-FR"/>
        </w:rPr>
        <w:t>Cependant, il n</w:t>
      </w:r>
      <w:r w:rsidR="00923E72">
        <w:rPr>
          <w:bCs/>
          <w:lang w:val="fr-FR"/>
        </w:rPr>
        <w:t>’</w:t>
      </w:r>
      <w:r w:rsidRPr="00702497">
        <w:rPr>
          <w:bCs/>
          <w:lang w:val="fr-FR"/>
        </w:rPr>
        <w:t>aborde pas assez la participation de certaines communautés, comme les ouvriers qui travaillent à la production du rhum léger et l</w:t>
      </w:r>
      <w:r w:rsidR="00923E72">
        <w:rPr>
          <w:bCs/>
          <w:lang w:val="fr-FR"/>
        </w:rPr>
        <w:t>’</w:t>
      </w:r>
      <w:r w:rsidRPr="00702497">
        <w:rPr>
          <w:bCs/>
          <w:lang w:val="fr-FR"/>
        </w:rPr>
        <w:t>ensemble des consommateurs</w:t>
      </w:r>
      <w:r w:rsidR="0083033C">
        <w:rPr>
          <w:bCs/>
          <w:lang w:val="fr-FR"/>
        </w:rPr>
        <w:t>.</w:t>
      </w:r>
      <w:r>
        <w:rPr>
          <w:bCs/>
          <w:lang w:val="fr-FR"/>
        </w:rPr>
        <w:t> »</w:t>
      </w:r>
    </w:p>
    <w:p w14:paraId="665AA26E" w14:textId="0011315A" w:rsidR="00B145D9" w:rsidRDefault="00C7387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C7387D">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Inde</w:t>
      </w:r>
      <w:r>
        <w:rPr>
          <w:rFonts w:eastAsia="Malgun Gothic"/>
          <w:bCs/>
          <w:lang w:val="fr-FR"/>
        </w:rPr>
        <w:t xml:space="preserve"> a demandé que les pays soutenant l</w:t>
      </w:r>
      <w:r w:rsidR="00923E72">
        <w:rPr>
          <w:rFonts w:eastAsia="Malgun Gothic"/>
          <w:bCs/>
          <w:lang w:val="fr-FR"/>
        </w:rPr>
        <w:t>’</w:t>
      </w:r>
      <w:r w:rsidRPr="00C7387D">
        <w:rPr>
          <w:rFonts w:eastAsia="Malgun Gothic"/>
          <w:bCs/>
          <w:lang w:val="fr-FR"/>
        </w:rPr>
        <w:t>amendement</w:t>
      </w:r>
      <w:r>
        <w:rPr>
          <w:rFonts w:eastAsia="Malgun Gothic"/>
          <w:bCs/>
          <w:lang w:val="fr-FR"/>
        </w:rPr>
        <w:t xml:space="preserve"> soient </w:t>
      </w:r>
      <w:r w:rsidR="00627784">
        <w:rPr>
          <w:rFonts w:eastAsia="Malgun Gothic"/>
          <w:bCs/>
          <w:lang w:val="fr-FR"/>
        </w:rPr>
        <w:t>affichés.</w:t>
      </w:r>
    </w:p>
    <w:p w14:paraId="5B6910CC" w14:textId="29513172" w:rsidR="00744955" w:rsidRDefault="005109E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109EF">
        <w:rPr>
          <w:rFonts w:eastAsia="Malgun Gothic"/>
          <w:bCs/>
          <w:lang w:val="fr-FR"/>
        </w:rPr>
        <w:t xml:space="preserve">Le </w:t>
      </w:r>
      <w:r w:rsidRPr="00702497">
        <w:rPr>
          <w:rFonts w:eastAsia="Malgun Gothic"/>
          <w:b/>
          <w:lang w:val="fr-FR"/>
        </w:rPr>
        <w:t>Président</w:t>
      </w:r>
      <w:r w:rsidRPr="005109EF">
        <w:rPr>
          <w:rFonts w:eastAsia="Malgun Gothic"/>
          <w:bCs/>
          <w:lang w:val="fr-FR"/>
        </w:rPr>
        <w:t xml:space="preserve"> </w:t>
      </w:r>
      <w:r>
        <w:rPr>
          <w:rFonts w:eastAsia="Malgun Gothic"/>
          <w:bCs/>
          <w:lang w:val="fr-FR"/>
        </w:rPr>
        <w:t xml:space="preserve"> a </w:t>
      </w:r>
      <w:r w:rsidRPr="005109EF">
        <w:rPr>
          <w:rFonts w:eastAsia="Malgun Gothic"/>
          <w:bCs/>
          <w:lang w:val="fr-FR"/>
        </w:rPr>
        <w:t>annonc</w:t>
      </w:r>
      <w:r>
        <w:rPr>
          <w:rFonts w:eastAsia="Malgun Gothic"/>
          <w:bCs/>
          <w:lang w:val="fr-FR"/>
        </w:rPr>
        <w:t>é</w:t>
      </w:r>
      <w:r w:rsidRPr="005109EF">
        <w:rPr>
          <w:rFonts w:eastAsia="Malgun Gothic"/>
          <w:bCs/>
          <w:lang w:val="fr-FR"/>
        </w:rPr>
        <w:t xml:space="preserve"> </w:t>
      </w:r>
      <w:r>
        <w:rPr>
          <w:rFonts w:eastAsia="Malgun Gothic"/>
          <w:bCs/>
          <w:lang w:val="fr-FR"/>
        </w:rPr>
        <w:t>un</w:t>
      </w:r>
      <w:r w:rsidRPr="005109EF">
        <w:rPr>
          <w:rFonts w:eastAsia="Malgun Gothic"/>
          <w:bCs/>
          <w:lang w:val="fr-FR"/>
        </w:rPr>
        <w:t xml:space="preserve"> large soutien actif à l</w:t>
      </w:r>
      <w:r w:rsidR="00923E72">
        <w:rPr>
          <w:rFonts w:eastAsia="Malgun Gothic"/>
          <w:bCs/>
          <w:lang w:val="fr-FR"/>
        </w:rPr>
        <w:t>’</w:t>
      </w:r>
      <w:r w:rsidRPr="005109EF">
        <w:rPr>
          <w:rFonts w:eastAsia="Malgun Gothic"/>
          <w:bCs/>
          <w:lang w:val="fr-FR"/>
        </w:rPr>
        <w:t>amendement du paragraphe</w:t>
      </w:r>
      <w:r w:rsidR="00077272">
        <w:rPr>
          <w:rFonts w:eastAsia="Malgun Gothic"/>
          <w:bCs/>
          <w:lang w:val="fr-FR"/>
        </w:rPr>
        <w:t> </w:t>
      </w:r>
      <w:r w:rsidRPr="005109EF">
        <w:rPr>
          <w:rFonts w:eastAsia="Malgun Gothic"/>
          <w:bCs/>
          <w:lang w:val="fr-FR"/>
        </w:rPr>
        <w:t>2</w:t>
      </w:r>
      <w:r>
        <w:rPr>
          <w:rFonts w:eastAsia="Malgun Gothic"/>
          <w:bCs/>
          <w:lang w:val="fr-FR"/>
        </w:rPr>
        <w:t>,</w:t>
      </w:r>
      <w:r w:rsidRPr="005109EF">
        <w:rPr>
          <w:rFonts w:eastAsia="Malgun Gothic"/>
          <w:bCs/>
          <w:lang w:val="fr-FR"/>
        </w:rPr>
        <w:t xml:space="preserve"> </w:t>
      </w:r>
      <w:r>
        <w:rPr>
          <w:rFonts w:eastAsia="Malgun Gothic"/>
          <w:bCs/>
          <w:lang w:val="fr-FR"/>
        </w:rPr>
        <w:t xml:space="preserve">de la part du </w:t>
      </w:r>
      <w:r w:rsidRPr="005109EF">
        <w:rPr>
          <w:rFonts w:eastAsia="Malgun Gothic"/>
          <w:bCs/>
          <w:lang w:val="fr-FR"/>
        </w:rPr>
        <w:t xml:space="preserve">Brésil, </w:t>
      </w:r>
      <w:r>
        <w:rPr>
          <w:rFonts w:eastAsia="Malgun Gothic"/>
          <w:bCs/>
          <w:lang w:val="fr-FR"/>
        </w:rPr>
        <w:t xml:space="preserve">de </w:t>
      </w:r>
      <w:r w:rsidRPr="005109EF">
        <w:rPr>
          <w:rFonts w:eastAsia="Malgun Gothic"/>
          <w:bCs/>
          <w:lang w:val="fr-FR"/>
        </w:rPr>
        <w:t>l</w:t>
      </w:r>
      <w:r w:rsidR="00923E72">
        <w:rPr>
          <w:rFonts w:eastAsia="Malgun Gothic"/>
          <w:bCs/>
          <w:lang w:val="fr-FR"/>
        </w:rPr>
        <w:t>’</w:t>
      </w:r>
      <w:r w:rsidRPr="005109EF">
        <w:rPr>
          <w:rFonts w:eastAsia="Malgun Gothic"/>
          <w:bCs/>
          <w:lang w:val="fr-FR"/>
        </w:rPr>
        <w:t xml:space="preserve">Angola, </w:t>
      </w:r>
      <w:r>
        <w:rPr>
          <w:rFonts w:eastAsia="Malgun Gothic"/>
          <w:bCs/>
          <w:lang w:val="fr-FR"/>
        </w:rPr>
        <w:t>du</w:t>
      </w:r>
      <w:r w:rsidRPr="005109EF">
        <w:rPr>
          <w:rFonts w:eastAsia="Malgun Gothic"/>
          <w:bCs/>
          <w:lang w:val="fr-FR"/>
        </w:rPr>
        <w:t xml:space="preserve"> Burkina</w:t>
      </w:r>
      <w:r w:rsidR="00077272">
        <w:rPr>
          <w:rFonts w:eastAsia="Malgun Gothic"/>
          <w:bCs/>
          <w:lang w:val="fr-FR"/>
        </w:rPr>
        <w:t> </w:t>
      </w:r>
      <w:r w:rsidRPr="005109EF">
        <w:rPr>
          <w:rFonts w:eastAsia="Malgun Gothic"/>
          <w:bCs/>
          <w:lang w:val="fr-FR"/>
        </w:rPr>
        <w:t xml:space="preserve">Faso, </w:t>
      </w:r>
      <w:r>
        <w:rPr>
          <w:rFonts w:eastAsia="Malgun Gothic"/>
          <w:bCs/>
          <w:lang w:val="fr-FR"/>
        </w:rPr>
        <w:t xml:space="preserve">de </w:t>
      </w:r>
      <w:r w:rsidRPr="005109EF">
        <w:rPr>
          <w:rFonts w:eastAsia="Malgun Gothic"/>
          <w:bCs/>
          <w:lang w:val="fr-FR"/>
        </w:rPr>
        <w:t>l</w:t>
      </w:r>
      <w:r w:rsidR="00923E72">
        <w:rPr>
          <w:rFonts w:eastAsia="Malgun Gothic"/>
          <w:bCs/>
          <w:lang w:val="fr-FR"/>
        </w:rPr>
        <w:t>’</w:t>
      </w:r>
      <w:r w:rsidRPr="005109EF">
        <w:rPr>
          <w:rFonts w:eastAsia="Malgun Gothic"/>
          <w:bCs/>
          <w:lang w:val="fr-FR"/>
        </w:rPr>
        <w:t xml:space="preserve">Éthiopie, </w:t>
      </w:r>
      <w:r>
        <w:rPr>
          <w:rFonts w:eastAsia="Malgun Gothic"/>
          <w:bCs/>
          <w:lang w:val="fr-FR"/>
        </w:rPr>
        <w:t>du</w:t>
      </w:r>
      <w:r w:rsidRPr="005109EF">
        <w:rPr>
          <w:rFonts w:eastAsia="Malgun Gothic"/>
          <w:bCs/>
          <w:lang w:val="fr-FR"/>
        </w:rPr>
        <w:t xml:space="preserve"> Panama, </w:t>
      </w:r>
      <w:r>
        <w:rPr>
          <w:rFonts w:eastAsia="Malgun Gothic"/>
          <w:bCs/>
          <w:lang w:val="fr-FR"/>
        </w:rPr>
        <w:t>du</w:t>
      </w:r>
      <w:r w:rsidRPr="005109EF">
        <w:rPr>
          <w:rFonts w:eastAsia="Malgun Gothic"/>
          <w:bCs/>
          <w:lang w:val="fr-FR"/>
        </w:rPr>
        <w:t xml:space="preserve"> Paraguay, </w:t>
      </w:r>
      <w:r>
        <w:rPr>
          <w:rFonts w:eastAsia="Malgun Gothic"/>
          <w:bCs/>
          <w:lang w:val="fr-FR"/>
        </w:rPr>
        <w:t>du</w:t>
      </w:r>
      <w:r w:rsidRPr="005109EF">
        <w:rPr>
          <w:rFonts w:eastAsia="Malgun Gothic"/>
          <w:bCs/>
          <w:lang w:val="fr-FR"/>
        </w:rPr>
        <w:t xml:space="preserve"> Pérou, </w:t>
      </w:r>
      <w:r>
        <w:rPr>
          <w:rFonts w:eastAsia="Malgun Gothic"/>
          <w:bCs/>
          <w:lang w:val="fr-FR"/>
        </w:rPr>
        <w:t>du</w:t>
      </w:r>
      <w:r w:rsidRPr="005109EF">
        <w:rPr>
          <w:rFonts w:eastAsia="Malgun Gothic"/>
          <w:bCs/>
          <w:lang w:val="fr-FR"/>
        </w:rPr>
        <w:t xml:space="preserve"> Rwanda, </w:t>
      </w:r>
      <w:r>
        <w:rPr>
          <w:rFonts w:eastAsia="Malgun Gothic"/>
          <w:bCs/>
          <w:lang w:val="fr-FR"/>
        </w:rPr>
        <w:t>du</w:t>
      </w:r>
      <w:r w:rsidRPr="005109EF">
        <w:rPr>
          <w:rFonts w:eastAsia="Malgun Gothic"/>
          <w:bCs/>
          <w:lang w:val="fr-FR"/>
        </w:rPr>
        <w:t xml:space="preserve"> Viet</w:t>
      </w:r>
      <w:r w:rsidR="00077272">
        <w:rPr>
          <w:rFonts w:eastAsia="Malgun Gothic"/>
          <w:bCs/>
          <w:lang w:val="fr-FR"/>
        </w:rPr>
        <w:t> </w:t>
      </w:r>
      <w:r w:rsidRPr="005109EF">
        <w:rPr>
          <w:rFonts w:eastAsia="Malgun Gothic"/>
          <w:bCs/>
          <w:lang w:val="fr-FR"/>
        </w:rPr>
        <w:t xml:space="preserve">Nam, </w:t>
      </w:r>
      <w:r>
        <w:rPr>
          <w:rFonts w:eastAsia="Malgun Gothic"/>
          <w:bCs/>
          <w:lang w:val="fr-FR"/>
        </w:rPr>
        <w:t>du</w:t>
      </w:r>
      <w:r w:rsidRPr="005109EF">
        <w:rPr>
          <w:rFonts w:eastAsia="Malgun Gothic"/>
          <w:bCs/>
          <w:lang w:val="fr-FR"/>
        </w:rPr>
        <w:t xml:space="preserve"> Botswana, </w:t>
      </w:r>
      <w:r>
        <w:rPr>
          <w:rFonts w:eastAsia="Malgun Gothic"/>
          <w:bCs/>
          <w:lang w:val="fr-FR"/>
        </w:rPr>
        <w:t>du</w:t>
      </w:r>
      <w:r w:rsidRPr="005109EF">
        <w:rPr>
          <w:rFonts w:eastAsia="Malgun Gothic"/>
          <w:bCs/>
          <w:lang w:val="fr-FR"/>
        </w:rPr>
        <w:t xml:space="preserve"> Maroc, </w:t>
      </w:r>
      <w:r>
        <w:rPr>
          <w:rFonts w:eastAsia="Malgun Gothic"/>
          <w:bCs/>
          <w:lang w:val="fr-FR"/>
        </w:rPr>
        <w:t xml:space="preserve">de </w:t>
      </w:r>
      <w:r w:rsidRPr="005109EF">
        <w:rPr>
          <w:rFonts w:eastAsia="Malgun Gothic"/>
          <w:bCs/>
          <w:lang w:val="fr-FR"/>
        </w:rPr>
        <w:t>la Côte</w:t>
      </w:r>
      <w:r w:rsidR="00077272">
        <w:rPr>
          <w:rFonts w:eastAsia="Malgun Gothic"/>
          <w:bCs/>
          <w:lang w:val="fr-FR"/>
        </w:rPr>
        <w:t> </w:t>
      </w:r>
      <w:r w:rsidRPr="005109EF">
        <w:rPr>
          <w:rFonts w:eastAsia="Malgun Gothic"/>
          <w:bCs/>
          <w:lang w:val="fr-FR"/>
        </w:rPr>
        <w:t>d</w:t>
      </w:r>
      <w:r w:rsidR="00923E72">
        <w:rPr>
          <w:rFonts w:eastAsia="Malgun Gothic"/>
          <w:bCs/>
          <w:lang w:val="fr-FR"/>
        </w:rPr>
        <w:t>’</w:t>
      </w:r>
      <w:r w:rsidRPr="005109EF">
        <w:rPr>
          <w:rFonts w:eastAsia="Malgun Gothic"/>
          <w:bCs/>
          <w:lang w:val="fr-FR"/>
        </w:rPr>
        <w:t xml:space="preserve">Ivoire, </w:t>
      </w:r>
      <w:r>
        <w:rPr>
          <w:rFonts w:eastAsia="Malgun Gothic"/>
          <w:bCs/>
          <w:lang w:val="fr-FR"/>
        </w:rPr>
        <w:t xml:space="preserve">de </w:t>
      </w:r>
      <w:r w:rsidRPr="005109EF">
        <w:rPr>
          <w:rFonts w:eastAsia="Malgun Gothic"/>
          <w:bCs/>
          <w:lang w:val="fr-FR"/>
        </w:rPr>
        <w:t>l</w:t>
      </w:r>
      <w:r w:rsidR="00923E72">
        <w:rPr>
          <w:rFonts w:eastAsia="Malgun Gothic"/>
          <w:bCs/>
          <w:lang w:val="fr-FR"/>
        </w:rPr>
        <w:t>’</w:t>
      </w:r>
      <w:r w:rsidRPr="005109EF">
        <w:rPr>
          <w:rFonts w:eastAsia="Malgun Gothic"/>
          <w:bCs/>
          <w:lang w:val="fr-FR"/>
        </w:rPr>
        <w:t xml:space="preserve">Ouzbékistan, </w:t>
      </w:r>
      <w:r>
        <w:rPr>
          <w:rFonts w:eastAsia="Malgun Gothic"/>
          <w:bCs/>
          <w:lang w:val="fr-FR"/>
        </w:rPr>
        <w:t>du</w:t>
      </w:r>
      <w:r w:rsidRPr="005109EF">
        <w:rPr>
          <w:rFonts w:eastAsia="Malgun Gothic"/>
          <w:bCs/>
          <w:lang w:val="fr-FR"/>
        </w:rPr>
        <w:t xml:space="preserve"> Bangladesh, </w:t>
      </w:r>
      <w:r>
        <w:rPr>
          <w:rFonts w:eastAsia="Malgun Gothic"/>
          <w:bCs/>
          <w:lang w:val="fr-FR"/>
        </w:rPr>
        <w:t xml:space="preserve">de </w:t>
      </w:r>
      <w:r w:rsidRPr="005109EF">
        <w:rPr>
          <w:rFonts w:eastAsia="Malgun Gothic"/>
          <w:bCs/>
          <w:lang w:val="fr-FR"/>
        </w:rPr>
        <w:t xml:space="preserve">la Mauritanie et </w:t>
      </w:r>
      <w:r>
        <w:rPr>
          <w:rFonts w:eastAsia="Malgun Gothic"/>
          <w:bCs/>
          <w:lang w:val="fr-FR"/>
        </w:rPr>
        <w:t xml:space="preserve">de </w:t>
      </w:r>
      <w:r w:rsidRPr="005109EF">
        <w:rPr>
          <w:rFonts w:eastAsia="Malgun Gothic"/>
          <w:bCs/>
          <w:lang w:val="fr-FR"/>
        </w:rPr>
        <w:t>l</w:t>
      </w:r>
      <w:r w:rsidR="00923E72">
        <w:rPr>
          <w:rFonts w:eastAsia="Malgun Gothic"/>
          <w:bCs/>
          <w:lang w:val="fr-FR"/>
        </w:rPr>
        <w:t>’</w:t>
      </w:r>
      <w:r w:rsidRPr="005109EF">
        <w:rPr>
          <w:rFonts w:eastAsia="Malgun Gothic"/>
          <w:bCs/>
          <w:lang w:val="fr-FR"/>
        </w:rPr>
        <w:t xml:space="preserve">Inde. Le </w:t>
      </w:r>
      <w:r>
        <w:rPr>
          <w:rFonts w:eastAsia="Malgun Gothic"/>
          <w:bCs/>
          <w:lang w:val="fr-FR"/>
        </w:rPr>
        <w:t xml:space="preserve">paragraphe sur le </w:t>
      </w:r>
      <w:r w:rsidRPr="005109EF">
        <w:rPr>
          <w:rFonts w:eastAsia="Malgun Gothic"/>
          <w:bCs/>
          <w:lang w:val="fr-FR"/>
        </w:rPr>
        <w:t>critère</w:t>
      </w:r>
      <w:r>
        <w:rPr>
          <w:rFonts w:eastAsia="Malgun Gothic"/>
          <w:bCs/>
          <w:lang w:val="fr-FR"/>
        </w:rPr>
        <w:t> </w:t>
      </w:r>
      <w:r w:rsidRPr="005109EF">
        <w:rPr>
          <w:rFonts w:eastAsia="Malgun Gothic"/>
          <w:bCs/>
          <w:lang w:val="fr-FR"/>
        </w:rPr>
        <w:t xml:space="preserve">R.4 </w:t>
      </w:r>
      <w:r>
        <w:rPr>
          <w:rFonts w:eastAsia="Malgun Gothic"/>
          <w:bCs/>
          <w:lang w:val="fr-FR"/>
        </w:rPr>
        <w:t>a été</w:t>
      </w:r>
      <w:r w:rsidRPr="005109EF">
        <w:rPr>
          <w:rFonts w:eastAsia="Malgun Gothic"/>
          <w:bCs/>
          <w:lang w:val="fr-FR"/>
        </w:rPr>
        <w:t xml:space="preserve"> adopté tel q</w:t>
      </w:r>
      <w:r>
        <w:rPr>
          <w:rFonts w:eastAsia="Malgun Gothic"/>
          <w:bCs/>
          <w:lang w:val="fr-FR"/>
        </w:rPr>
        <w:t>u</w:t>
      </w:r>
      <w:r w:rsidR="00923E72">
        <w:rPr>
          <w:rFonts w:eastAsia="Malgun Gothic"/>
          <w:bCs/>
          <w:lang w:val="fr-FR"/>
        </w:rPr>
        <w:t>’</w:t>
      </w:r>
      <w:r>
        <w:rPr>
          <w:rFonts w:eastAsia="Malgun Gothic"/>
          <w:bCs/>
          <w:lang w:val="fr-FR"/>
        </w:rPr>
        <w:t>amendé</w:t>
      </w:r>
      <w:r w:rsidRPr="005109EF">
        <w:rPr>
          <w:rFonts w:eastAsia="Malgun Gothic"/>
          <w:bCs/>
          <w:lang w:val="fr-FR"/>
        </w:rPr>
        <w:t xml:space="preserve">. Sans amendement </w:t>
      </w:r>
      <w:r>
        <w:rPr>
          <w:rFonts w:eastAsia="Malgun Gothic"/>
          <w:bCs/>
          <w:lang w:val="fr-FR"/>
        </w:rPr>
        <w:t>au paragraphe sur le critère </w:t>
      </w:r>
      <w:r w:rsidRPr="005109EF">
        <w:rPr>
          <w:rFonts w:eastAsia="Malgun Gothic"/>
          <w:bCs/>
          <w:lang w:val="fr-FR"/>
        </w:rPr>
        <w:t>R.5, le paragraphe</w:t>
      </w:r>
      <w:r w:rsidR="009A30ED">
        <w:rPr>
          <w:rFonts w:eastAsia="Malgun Gothic"/>
          <w:bCs/>
          <w:lang w:val="fr-FR"/>
        </w:rPr>
        <w:t> </w:t>
      </w:r>
      <w:r w:rsidRPr="005109EF">
        <w:rPr>
          <w:rFonts w:eastAsia="Malgun Gothic"/>
          <w:bCs/>
          <w:lang w:val="fr-FR"/>
        </w:rPr>
        <w:t xml:space="preserve">2 </w:t>
      </w:r>
      <w:r>
        <w:rPr>
          <w:rFonts w:eastAsia="Malgun Gothic"/>
          <w:bCs/>
          <w:lang w:val="fr-FR"/>
        </w:rPr>
        <w:t xml:space="preserve">a été </w:t>
      </w:r>
      <w:r w:rsidRPr="005109EF">
        <w:rPr>
          <w:rFonts w:eastAsia="Malgun Gothic"/>
          <w:bCs/>
          <w:lang w:val="fr-FR"/>
        </w:rPr>
        <w:t xml:space="preserve">adopté. Le Président </w:t>
      </w:r>
      <w:r>
        <w:rPr>
          <w:rFonts w:eastAsia="Malgun Gothic"/>
          <w:bCs/>
          <w:lang w:val="fr-FR"/>
        </w:rPr>
        <w:t xml:space="preserve">est </w:t>
      </w:r>
      <w:r w:rsidRPr="005109EF">
        <w:rPr>
          <w:rFonts w:eastAsia="Malgun Gothic"/>
          <w:bCs/>
          <w:lang w:val="fr-FR"/>
        </w:rPr>
        <w:t>pass</w:t>
      </w:r>
      <w:r>
        <w:rPr>
          <w:rFonts w:eastAsia="Malgun Gothic"/>
          <w:bCs/>
          <w:lang w:val="fr-FR"/>
        </w:rPr>
        <w:t>é</w:t>
      </w:r>
      <w:r w:rsidRPr="005109EF">
        <w:rPr>
          <w:rFonts w:eastAsia="Malgun Gothic"/>
          <w:bCs/>
          <w:lang w:val="fr-FR"/>
        </w:rPr>
        <w:t xml:space="preserve"> au chapeau du paragraphe</w:t>
      </w:r>
      <w:r w:rsidR="009A30ED">
        <w:rPr>
          <w:rFonts w:eastAsia="Malgun Gothic"/>
          <w:bCs/>
          <w:lang w:val="fr-FR"/>
        </w:rPr>
        <w:t> </w:t>
      </w:r>
      <w:r w:rsidRPr="005109EF">
        <w:rPr>
          <w:rFonts w:eastAsia="Malgun Gothic"/>
          <w:bCs/>
          <w:lang w:val="fr-FR"/>
        </w:rPr>
        <w:t>3 avant l</w:t>
      </w:r>
      <w:r w:rsidR="00923E72">
        <w:rPr>
          <w:rFonts w:eastAsia="Malgun Gothic"/>
          <w:bCs/>
          <w:lang w:val="fr-FR"/>
        </w:rPr>
        <w:t>’</w:t>
      </w:r>
      <w:r w:rsidRPr="005109EF">
        <w:rPr>
          <w:rFonts w:eastAsia="Malgun Gothic"/>
          <w:bCs/>
          <w:lang w:val="fr-FR"/>
        </w:rPr>
        <w:t>adoption des</w:t>
      </w:r>
      <w:r>
        <w:rPr>
          <w:rFonts w:eastAsia="Malgun Gothic"/>
          <w:bCs/>
          <w:lang w:val="fr-FR"/>
        </w:rPr>
        <w:t xml:space="preserve"> </w:t>
      </w:r>
      <w:r w:rsidRPr="005109EF">
        <w:rPr>
          <w:rFonts w:eastAsia="Malgun Gothic"/>
          <w:bCs/>
          <w:lang w:val="fr-FR"/>
        </w:rPr>
        <w:t>paragraph</w:t>
      </w:r>
      <w:r>
        <w:rPr>
          <w:rFonts w:eastAsia="Malgun Gothic"/>
          <w:bCs/>
          <w:lang w:val="fr-FR"/>
        </w:rPr>
        <w:t>es sur les critères </w:t>
      </w:r>
      <w:r w:rsidRPr="005109EF">
        <w:rPr>
          <w:rFonts w:eastAsia="Malgun Gothic"/>
          <w:bCs/>
          <w:lang w:val="fr-FR"/>
        </w:rPr>
        <w:t>R.1,</w:t>
      </w:r>
      <w:r w:rsidR="008F5CA2">
        <w:rPr>
          <w:rFonts w:eastAsia="Malgun Gothic"/>
          <w:bCs/>
          <w:lang w:val="fr-FR"/>
        </w:rPr>
        <w:t> </w:t>
      </w:r>
      <w:r w:rsidRPr="005109EF">
        <w:rPr>
          <w:rFonts w:eastAsia="Malgun Gothic"/>
          <w:bCs/>
          <w:lang w:val="fr-FR"/>
        </w:rPr>
        <w:t>R.2 et</w:t>
      </w:r>
      <w:r w:rsidR="009A30ED">
        <w:rPr>
          <w:rFonts w:eastAsia="Malgun Gothic"/>
          <w:bCs/>
          <w:lang w:val="fr-FR"/>
        </w:rPr>
        <w:t> </w:t>
      </w:r>
      <w:r w:rsidRPr="005109EF">
        <w:rPr>
          <w:rFonts w:eastAsia="Malgun Gothic"/>
          <w:bCs/>
          <w:lang w:val="fr-FR"/>
        </w:rPr>
        <w:t>R.3.</w:t>
      </w:r>
    </w:p>
    <w:p w14:paraId="68C5C67B" w14:textId="68514E27" w:rsidR="005109EF" w:rsidRDefault="00CF042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F042C">
        <w:rPr>
          <w:rFonts w:eastAsia="Malgun Gothic"/>
          <w:bCs/>
          <w:lang w:val="fr-FR"/>
        </w:rPr>
        <w:lastRenderedPageBreak/>
        <w:t xml:space="preserve">La délégation de la </w:t>
      </w:r>
      <w:r w:rsidRPr="00702497">
        <w:rPr>
          <w:rFonts w:eastAsia="Malgun Gothic"/>
          <w:b/>
          <w:lang w:val="fr-FR"/>
        </w:rPr>
        <w:t>Tchéquie</w:t>
      </w:r>
      <w:r w:rsidRPr="00CF042C">
        <w:rPr>
          <w:rFonts w:eastAsia="Malgun Gothic"/>
          <w:bCs/>
          <w:lang w:val="fr-FR"/>
        </w:rPr>
        <w:t xml:space="preserve"> ne soutenait pas les amendements pour les raisons précédemment expliquées. En outre, il y avait une autre raison qui servirait de rappel au Comité pour les cycles futurs, à savoir lorsque les lacunes </w:t>
      </w:r>
      <w:r>
        <w:rPr>
          <w:rFonts w:eastAsia="Malgun Gothic"/>
          <w:bCs/>
          <w:lang w:val="fr-FR"/>
        </w:rPr>
        <w:t xml:space="preserve">étaient </w:t>
      </w:r>
      <w:r w:rsidRPr="00CF042C">
        <w:rPr>
          <w:rFonts w:eastAsia="Malgun Gothic"/>
          <w:bCs/>
          <w:lang w:val="fr-FR"/>
        </w:rPr>
        <w:t xml:space="preserve">bien expliquées et que le dossier </w:t>
      </w:r>
      <w:r>
        <w:rPr>
          <w:rFonts w:eastAsia="Malgun Gothic"/>
          <w:bCs/>
          <w:lang w:val="fr-FR"/>
        </w:rPr>
        <w:t xml:space="preserve">était </w:t>
      </w:r>
      <w:r w:rsidRPr="00CF042C">
        <w:rPr>
          <w:rFonts w:eastAsia="Malgun Gothic"/>
          <w:bCs/>
          <w:lang w:val="fr-FR"/>
        </w:rPr>
        <w:t xml:space="preserve">suffisamment bon, les explications supplémentaires </w:t>
      </w:r>
      <w:r>
        <w:rPr>
          <w:rFonts w:eastAsia="Malgun Gothic"/>
          <w:bCs/>
          <w:lang w:val="fr-FR"/>
        </w:rPr>
        <w:t xml:space="preserve">pouvaient </w:t>
      </w:r>
      <w:r w:rsidRPr="00CF042C">
        <w:rPr>
          <w:rFonts w:eastAsia="Malgun Gothic"/>
          <w:bCs/>
          <w:lang w:val="fr-FR"/>
        </w:rPr>
        <w:t>être acceptées et dûment reconnues dans la décision amendée lors de la session en cours</w:t>
      </w:r>
      <w:r>
        <w:rPr>
          <w:rFonts w:eastAsia="Malgun Gothic"/>
          <w:bCs/>
          <w:lang w:val="fr-FR"/>
        </w:rPr>
        <w:t xml:space="preserve"> du </w:t>
      </w:r>
      <w:r w:rsidRPr="00CF042C">
        <w:rPr>
          <w:rFonts w:eastAsia="Malgun Gothic"/>
          <w:bCs/>
          <w:color w:val="000000" w:themeColor="text1"/>
          <w:lang w:val="fr-FR"/>
        </w:rPr>
        <w:t>Comité</w:t>
      </w:r>
      <w:r w:rsidRPr="00CF042C">
        <w:rPr>
          <w:rFonts w:eastAsia="Malgun Gothic"/>
          <w:bCs/>
          <w:lang w:val="fr-FR"/>
        </w:rPr>
        <w:t>. Cependant, lorsque l</w:t>
      </w:r>
      <w:r w:rsidR="00923E72">
        <w:rPr>
          <w:rFonts w:eastAsia="Malgun Gothic"/>
          <w:bCs/>
          <w:lang w:val="fr-FR"/>
        </w:rPr>
        <w:t>’</w:t>
      </w:r>
      <w:r w:rsidRPr="00CF042C">
        <w:rPr>
          <w:rFonts w:eastAsia="Malgun Gothic"/>
          <w:bCs/>
          <w:lang w:val="fr-FR"/>
        </w:rPr>
        <w:t>amendement transformait une évaluation négative du rapport de l</w:t>
      </w:r>
      <w:r w:rsidR="00923E72">
        <w:rPr>
          <w:rFonts w:eastAsia="Malgun Gothic"/>
          <w:bCs/>
          <w:lang w:val="fr-FR"/>
        </w:rPr>
        <w:t>’</w:t>
      </w:r>
      <w:r w:rsidRPr="00CF042C">
        <w:rPr>
          <w:rFonts w:eastAsia="Malgun Gothic"/>
          <w:bCs/>
          <w:lang w:val="fr-FR"/>
        </w:rPr>
        <w:t>Organe d</w:t>
      </w:r>
      <w:r w:rsidR="00923E72">
        <w:rPr>
          <w:rFonts w:eastAsia="Malgun Gothic"/>
          <w:bCs/>
          <w:lang w:val="fr-FR"/>
        </w:rPr>
        <w:t>’</w:t>
      </w:r>
      <w:r w:rsidRPr="00CF042C">
        <w:rPr>
          <w:rFonts w:eastAsia="Malgun Gothic"/>
          <w:bCs/>
          <w:lang w:val="fr-FR"/>
        </w:rPr>
        <w:t>évaluation en une évaluation positive, par exemple, lorsqu</w:t>
      </w:r>
      <w:r w:rsidR="00923E72">
        <w:rPr>
          <w:rFonts w:eastAsia="Malgun Gothic"/>
          <w:bCs/>
          <w:lang w:val="fr-FR"/>
        </w:rPr>
        <w:t>’</w:t>
      </w:r>
      <w:r w:rsidRPr="00CF042C">
        <w:rPr>
          <w:rFonts w:eastAsia="Malgun Gothic"/>
          <w:bCs/>
          <w:lang w:val="fr-FR"/>
        </w:rPr>
        <w:t>il était dit qu</w:t>
      </w:r>
      <w:r>
        <w:rPr>
          <w:rFonts w:eastAsia="Malgun Gothic"/>
          <w:bCs/>
          <w:lang w:val="fr-FR"/>
        </w:rPr>
        <w:t>e</w:t>
      </w:r>
      <w:r w:rsidRPr="00CF042C">
        <w:rPr>
          <w:rFonts w:eastAsia="Malgun Gothic"/>
          <w:bCs/>
          <w:lang w:val="fr-FR"/>
        </w:rPr>
        <w:t xml:space="preserve"> </w:t>
      </w:r>
      <w:r>
        <w:rPr>
          <w:rFonts w:eastAsia="Malgun Gothic"/>
          <w:bCs/>
          <w:lang w:val="fr-FR"/>
        </w:rPr>
        <w:t xml:space="preserve">des éléments ne figuraient pas dans le </w:t>
      </w:r>
      <w:r w:rsidRPr="00CF042C">
        <w:rPr>
          <w:rFonts w:eastAsia="Malgun Gothic"/>
          <w:bCs/>
          <w:lang w:val="fr-FR"/>
        </w:rPr>
        <w:t>dossier</w:t>
      </w:r>
      <w:r>
        <w:rPr>
          <w:rFonts w:eastAsia="Malgun Gothic"/>
          <w:bCs/>
          <w:lang w:val="fr-FR"/>
        </w:rPr>
        <w:t>,</w:t>
      </w:r>
      <w:r w:rsidRPr="00CF042C">
        <w:rPr>
          <w:rFonts w:eastAsia="Malgun Gothic"/>
          <w:bCs/>
          <w:lang w:val="fr-FR"/>
        </w:rPr>
        <w:t xml:space="preserve"> puis qu</w:t>
      </w:r>
      <w:r w:rsidR="00923E72">
        <w:rPr>
          <w:rFonts w:eastAsia="Malgun Gothic"/>
          <w:bCs/>
          <w:lang w:val="fr-FR"/>
        </w:rPr>
        <w:t>’</w:t>
      </w:r>
      <w:r w:rsidRPr="00CF042C">
        <w:rPr>
          <w:rFonts w:eastAsia="Malgun Gothic"/>
          <w:bCs/>
          <w:lang w:val="fr-FR"/>
        </w:rPr>
        <w:t>il était dit q</w:t>
      </w:r>
      <w:r>
        <w:rPr>
          <w:rFonts w:eastAsia="Malgun Gothic"/>
          <w:bCs/>
          <w:lang w:val="fr-FR"/>
        </w:rPr>
        <w:t xml:space="preserve">ue </w:t>
      </w:r>
      <w:r w:rsidRPr="00CF042C">
        <w:rPr>
          <w:rFonts w:eastAsia="Malgun Gothic"/>
          <w:bCs/>
          <w:lang w:val="fr-FR"/>
        </w:rPr>
        <w:t>ces éléments</w:t>
      </w:r>
      <w:r>
        <w:rPr>
          <w:rFonts w:eastAsia="Malgun Gothic"/>
          <w:bCs/>
          <w:lang w:val="fr-FR"/>
        </w:rPr>
        <w:t xml:space="preserve"> y figuraient</w:t>
      </w:r>
      <w:r w:rsidRPr="00CF042C">
        <w:rPr>
          <w:rFonts w:eastAsia="Malgun Gothic"/>
          <w:bCs/>
          <w:lang w:val="fr-FR"/>
        </w:rPr>
        <w:t>, alors l</w:t>
      </w:r>
      <w:r w:rsidR="00923E72">
        <w:rPr>
          <w:rFonts w:eastAsia="Malgun Gothic"/>
          <w:bCs/>
          <w:lang w:val="fr-FR"/>
        </w:rPr>
        <w:t>’</w:t>
      </w:r>
      <w:r w:rsidRPr="00CF042C">
        <w:rPr>
          <w:rFonts w:eastAsia="Malgun Gothic"/>
          <w:bCs/>
          <w:lang w:val="fr-FR"/>
        </w:rPr>
        <w:t>objectif de la procédure d</w:t>
      </w:r>
      <w:r w:rsidR="00923E72">
        <w:rPr>
          <w:rFonts w:eastAsia="Malgun Gothic"/>
          <w:bCs/>
          <w:lang w:val="fr-FR"/>
        </w:rPr>
        <w:t>’</w:t>
      </w:r>
      <w:r w:rsidRPr="00CF042C">
        <w:rPr>
          <w:rFonts w:eastAsia="Malgun Gothic"/>
          <w:bCs/>
          <w:lang w:val="fr-FR"/>
        </w:rPr>
        <w:t xml:space="preserve">évaluation et du système de critères était </w:t>
      </w:r>
      <w:r>
        <w:rPr>
          <w:rFonts w:eastAsia="Malgun Gothic"/>
          <w:bCs/>
          <w:lang w:val="fr-FR"/>
        </w:rPr>
        <w:t xml:space="preserve">compromis </w:t>
      </w:r>
      <w:r w:rsidRPr="00CF042C">
        <w:rPr>
          <w:rFonts w:eastAsia="Malgun Gothic"/>
          <w:bCs/>
          <w:lang w:val="fr-FR"/>
        </w:rPr>
        <w:t>et dévalorisé. En</w:t>
      </w:r>
      <w:r w:rsidR="00AF6B98">
        <w:rPr>
          <w:rFonts w:eastAsia="Malgun Gothic"/>
          <w:bCs/>
          <w:lang w:val="fr-FR"/>
        </w:rPr>
        <w:t> </w:t>
      </w:r>
      <w:r w:rsidRPr="00CF042C">
        <w:rPr>
          <w:rFonts w:eastAsia="Malgun Gothic"/>
          <w:bCs/>
          <w:lang w:val="fr-FR"/>
        </w:rPr>
        <w:t>2021, le Comité avait e</w:t>
      </w:r>
      <w:r>
        <w:rPr>
          <w:rFonts w:eastAsia="Malgun Gothic"/>
          <w:bCs/>
          <w:lang w:val="fr-FR"/>
        </w:rPr>
        <w:t>u</w:t>
      </w:r>
      <w:r w:rsidRPr="00CF042C">
        <w:rPr>
          <w:rFonts w:eastAsia="Malgun Gothic"/>
          <w:bCs/>
          <w:lang w:val="fr-FR"/>
        </w:rPr>
        <w:t xml:space="preserve"> la grande chance de rendre la procédure d</w:t>
      </w:r>
      <w:r w:rsidR="00923E72">
        <w:rPr>
          <w:rFonts w:eastAsia="Malgun Gothic"/>
          <w:bCs/>
          <w:lang w:val="fr-FR"/>
        </w:rPr>
        <w:t>’</w:t>
      </w:r>
      <w:r w:rsidRPr="00CF042C">
        <w:rPr>
          <w:rFonts w:eastAsia="Malgun Gothic"/>
          <w:bCs/>
          <w:lang w:val="fr-FR"/>
        </w:rPr>
        <w:t>évaluation plus souple et la procédure de candidature plus légère, mais il avait décidé de conserver le système tel qu</w:t>
      </w:r>
      <w:r w:rsidR="00923E72">
        <w:rPr>
          <w:rFonts w:eastAsia="Malgun Gothic"/>
          <w:bCs/>
          <w:lang w:val="fr-FR"/>
        </w:rPr>
        <w:t>’</w:t>
      </w:r>
      <w:r w:rsidRPr="00CF042C">
        <w:rPr>
          <w:rFonts w:eastAsia="Malgun Gothic"/>
          <w:bCs/>
          <w:lang w:val="fr-FR"/>
        </w:rPr>
        <w:t>il était</w:t>
      </w:r>
      <w:r>
        <w:rPr>
          <w:rFonts w:eastAsia="Malgun Gothic"/>
          <w:bCs/>
          <w:lang w:val="fr-FR"/>
        </w:rPr>
        <w:t xml:space="preserve">, </w:t>
      </w:r>
      <w:r w:rsidRPr="00CF042C">
        <w:rPr>
          <w:rFonts w:eastAsia="Malgun Gothic"/>
          <w:bCs/>
          <w:lang w:val="fr-FR"/>
        </w:rPr>
        <w:t>dans le cadre actuel. Cela signifiait que les informations supplémentaires ne seraient pas reprises dans le dossier</w:t>
      </w:r>
      <w:r>
        <w:rPr>
          <w:rFonts w:eastAsia="Malgun Gothic"/>
          <w:bCs/>
          <w:lang w:val="fr-FR"/>
        </w:rPr>
        <w:t xml:space="preserve"> de </w:t>
      </w:r>
      <w:r w:rsidRPr="00CF042C">
        <w:rPr>
          <w:rFonts w:eastAsia="Malgun Gothic"/>
          <w:bCs/>
          <w:lang w:val="fr-FR"/>
        </w:rPr>
        <w:t>candidature, alors que celui-ci servirait de présentation publique de l</w:t>
      </w:r>
      <w:r w:rsidR="00923E72">
        <w:rPr>
          <w:rFonts w:eastAsia="Malgun Gothic"/>
          <w:bCs/>
          <w:lang w:val="fr-FR"/>
        </w:rPr>
        <w:t>’</w:t>
      </w:r>
      <w:r w:rsidRPr="00CF042C">
        <w:rPr>
          <w:rFonts w:eastAsia="Malgun Gothic"/>
          <w:bCs/>
          <w:lang w:val="fr-FR"/>
        </w:rPr>
        <w:t xml:space="preserve">élément, ainsi que </w:t>
      </w:r>
      <w:r w:rsidR="004670CC">
        <w:rPr>
          <w:rFonts w:eastAsia="Malgun Gothic"/>
          <w:bCs/>
          <w:lang w:val="fr-FR"/>
        </w:rPr>
        <w:t xml:space="preserve">dans </w:t>
      </w:r>
      <w:r w:rsidRPr="00CF042C">
        <w:rPr>
          <w:rFonts w:eastAsia="Malgun Gothic"/>
          <w:bCs/>
          <w:lang w:val="fr-FR"/>
        </w:rPr>
        <w:t>la décision. La délégation estimait que cela était préjudiciable à l</w:t>
      </w:r>
      <w:r w:rsidR="00923E72">
        <w:rPr>
          <w:rFonts w:eastAsia="Malgun Gothic"/>
          <w:bCs/>
          <w:lang w:val="fr-FR"/>
        </w:rPr>
        <w:t>’</w:t>
      </w:r>
      <w:r w:rsidRPr="00CF042C">
        <w:rPr>
          <w:rFonts w:eastAsia="Malgun Gothic"/>
          <w:bCs/>
          <w:lang w:val="fr-FR"/>
        </w:rPr>
        <w:t>élément et à la communauté, qui méritaient d</w:t>
      </w:r>
      <w:r w:rsidR="00923E72">
        <w:rPr>
          <w:rFonts w:eastAsia="Malgun Gothic"/>
          <w:bCs/>
          <w:lang w:val="fr-FR"/>
        </w:rPr>
        <w:t>’</w:t>
      </w:r>
      <w:r w:rsidRPr="00CF042C">
        <w:rPr>
          <w:rFonts w:eastAsia="Malgun Gothic"/>
          <w:bCs/>
          <w:lang w:val="fr-FR"/>
        </w:rPr>
        <w:t xml:space="preserve">être présentés de la meilleure façon possible. </w:t>
      </w:r>
      <w:r w:rsidR="00DA2E21">
        <w:rPr>
          <w:rFonts w:eastAsia="Malgun Gothic"/>
          <w:bCs/>
          <w:lang w:val="fr-FR"/>
        </w:rPr>
        <w:t xml:space="preserve">Pour cette raison, </w:t>
      </w:r>
      <w:r w:rsidRPr="00CF042C">
        <w:rPr>
          <w:rFonts w:eastAsia="Malgun Gothic"/>
          <w:bCs/>
          <w:lang w:val="fr-FR"/>
        </w:rPr>
        <w:t>elle ne soutenait pas cet amendement et espérait que le Comité en tiendrait compte lors de la rédaction des amendements.</w:t>
      </w:r>
    </w:p>
    <w:p w14:paraId="38684663" w14:textId="51574A89" w:rsidR="00CF042C" w:rsidRDefault="00CF042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F042C">
        <w:rPr>
          <w:rFonts w:eastAsia="Malgun Gothic"/>
          <w:bCs/>
          <w:lang w:val="fr-FR"/>
        </w:rPr>
        <w:t xml:space="preserve">La délégation de la </w:t>
      </w:r>
      <w:r w:rsidRPr="00702497">
        <w:rPr>
          <w:rFonts w:eastAsia="Malgun Gothic"/>
          <w:b/>
          <w:lang w:val="fr-FR"/>
        </w:rPr>
        <w:t>Suède</w:t>
      </w:r>
      <w:r w:rsidRPr="00CF042C">
        <w:rPr>
          <w:rFonts w:eastAsia="Malgun Gothic"/>
          <w:bCs/>
          <w:lang w:val="fr-FR"/>
        </w:rPr>
        <w:t xml:space="preserve"> souscri</w:t>
      </w:r>
      <w:r>
        <w:rPr>
          <w:rFonts w:eastAsia="Malgun Gothic"/>
          <w:bCs/>
          <w:lang w:val="fr-FR"/>
        </w:rPr>
        <w:t>vai</w:t>
      </w:r>
      <w:r w:rsidRPr="00CF042C">
        <w:rPr>
          <w:rFonts w:eastAsia="Malgun Gothic"/>
          <w:bCs/>
          <w:lang w:val="fr-FR"/>
        </w:rPr>
        <w:t>t au point de vue de la Tchéquie. Le Comité avait beaucoup entendu parler de ces merveilleuses traditions autour des maîtres du rhum léger, mais celles-ci qui ne figuraient pas dans le dossier. Le dossier se concentrait sur le produit. Après avoir entendu les explications de Cuba, la délégation était convaincue que l</w:t>
      </w:r>
      <w:r w:rsidR="00923E72">
        <w:rPr>
          <w:rFonts w:eastAsia="Malgun Gothic"/>
          <w:bCs/>
          <w:lang w:val="fr-FR"/>
        </w:rPr>
        <w:t>’</w:t>
      </w:r>
      <w:r w:rsidRPr="00CF042C">
        <w:rPr>
          <w:rFonts w:eastAsia="Malgun Gothic"/>
          <w:bCs/>
          <w:lang w:val="fr-FR"/>
        </w:rPr>
        <w:t>élément méritait un dossier qui reprenne toutes les informations et que l</w:t>
      </w:r>
      <w:r w:rsidR="00923E72">
        <w:rPr>
          <w:rFonts w:eastAsia="Malgun Gothic"/>
          <w:bCs/>
          <w:lang w:val="fr-FR"/>
        </w:rPr>
        <w:t>’</w:t>
      </w:r>
      <w:r w:rsidRPr="00CF042C">
        <w:rPr>
          <w:rFonts w:eastAsia="Malgun Gothic"/>
          <w:bCs/>
          <w:lang w:val="fr-FR"/>
        </w:rPr>
        <w:t>Organe pourrait examiner un dossier amélioré. Elle ne pouvait donc pas soutenir l</w:t>
      </w:r>
      <w:r w:rsidR="00923E72">
        <w:rPr>
          <w:rFonts w:eastAsia="Malgun Gothic"/>
          <w:bCs/>
          <w:lang w:val="fr-FR"/>
        </w:rPr>
        <w:t>’</w:t>
      </w:r>
      <w:r w:rsidRPr="00CF042C">
        <w:rPr>
          <w:rFonts w:eastAsia="Malgun Gothic"/>
          <w:bCs/>
          <w:lang w:val="fr-FR"/>
        </w:rPr>
        <w:t>amendement.</w:t>
      </w:r>
    </w:p>
    <w:p w14:paraId="4D406A7B" w14:textId="1CD34DA7" w:rsidR="002900F5" w:rsidRPr="00702497" w:rsidRDefault="002900F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2900F5">
        <w:rPr>
          <w:rFonts w:eastAsia="Malgun Gothic"/>
          <w:bCs/>
          <w:lang w:val="fr-FR"/>
        </w:rPr>
        <w:t>délégation</w:t>
      </w:r>
      <w:r>
        <w:rPr>
          <w:rFonts w:eastAsia="Malgun Gothic"/>
          <w:bCs/>
          <w:lang w:val="fr-FR"/>
        </w:rPr>
        <w:t xml:space="preserve"> de la </w:t>
      </w:r>
      <w:r w:rsidRPr="00702497">
        <w:rPr>
          <w:rFonts w:eastAsia="Malgun Gothic"/>
          <w:b/>
          <w:lang w:val="fr-FR"/>
        </w:rPr>
        <w:t>Suisse</w:t>
      </w:r>
      <w:r>
        <w:rPr>
          <w:rFonts w:eastAsia="Malgun Gothic"/>
          <w:bCs/>
          <w:lang w:val="fr-FR"/>
        </w:rPr>
        <w:t xml:space="preserve"> était </w:t>
      </w:r>
      <w:r w:rsidRPr="002900F5">
        <w:rPr>
          <w:rFonts w:eastAsia="Malgun Gothic"/>
          <w:bCs/>
          <w:color w:val="000000" w:themeColor="text1"/>
          <w:lang w:val="fr-FR"/>
        </w:rPr>
        <w:t>également</w:t>
      </w:r>
      <w:r>
        <w:rPr>
          <w:rFonts w:eastAsia="Malgun Gothic"/>
          <w:bCs/>
          <w:color w:val="000000" w:themeColor="text1"/>
          <w:lang w:val="fr-FR"/>
        </w:rPr>
        <w:t xml:space="preserve"> opposée à l</w:t>
      </w:r>
      <w:r w:rsidR="00923E72">
        <w:rPr>
          <w:rFonts w:eastAsia="Malgun Gothic"/>
          <w:bCs/>
          <w:color w:val="000000" w:themeColor="text1"/>
          <w:lang w:val="fr-FR"/>
        </w:rPr>
        <w:t>’</w:t>
      </w:r>
      <w:r w:rsidRPr="002900F5">
        <w:rPr>
          <w:rFonts w:eastAsia="Malgun Gothic"/>
          <w:bCs/>
          <w:color w:val="000000" w:themeColor="text1"/>
          <w:lang w:val="fr-FR"/>
        </w:rPr>
        <w:t>amendement</w:t>
      </w:r>
      <w:r>
        <w:rPr>
          <w:rFonts w:eastAsia="Malgun Gothic"/>
          <w:bCs/>
          <w:color w:val="000000" w:themeColor="text1"/>
          <w:lang w:val="fr-FR"/>
        </w:rPr>
        <w:t xml:space="preserve"> pour les raisons exprimées par les autres membres.</w:t>
      </w:r>
    </w:p>
    <w:p w14:paraId="1EEB2167" w14:textId="7156B803" w:rsidR="002900F5" w:rsidRDefault="002900F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2900F5">
        <w:rPr>
          <w:rFonts w:eastAsia="Malgun Gothic"/>
          <w:bCs/>
          <w:lang w:val="fr-FR"/>
        </w:rPr>
        <w:t>délégation</w:t>
      </w:r>
      <w:r>
        <w:rPr>
          <w:rFonts w:eastAsia="Malgun Gothic"/>
          <w:bCs/>
          <w:lang w:val="fr-FR"/>
        </w:rPr>
        <w:t xml:space="preserve"> du </w:t>
      </w:r>
      <w:r w:rsidRPr="00702497">
        <w:rPr>
          <w:rFonts w:eastAsia="Malgun Gothic"/>
          <w:b/>
          <w:lang w:val="fr-FR"/>
        </w:rPr>
        <w:t>Brésil</w:t>
      </w:r>
      <w:r>
        <w:rPr>
          <w:rFonts w:eastAsia="Malgun Gothic"/>
          <w:bCs/>
          <w:lang w:val="fr-FR"/>
        </w:rPr>
        <w:t xml:space="preserve"> a insisté sur le fait que toutes les </w:t>
      </w:r>
      <w:r w:rsidRPr="002900F5">
        <w:rPr>
          <w:rFonts w:eastAsia="Malgun Gothic"/>
          <w:bCs/>
          <w:lang w:val="fr-FR"/>
        </w:rPr>
        <w:t>informations</w:t>
      </w:r>
      <w:r>
        <w:rPr>
          <w:rFonts w:eastAsia="Malgun Gothic"/>
          <w:bCs/>
          <w:lang w:val="fr-FR"/>
        </w:rPr>
        <w:t xml:space="preserve"> utilisées pour mettre à jour le projet de décision pouvaient être trouvées dans le dossier lui-même. Elle n</w:t>
      </w:r>
      <w:r w:rsidR="00923E72">
        <w:rPr>
          <w:rFonts w:eastAsia="Malgun Gothic"/>
          <w:bCs/>
          <w:lang w:val="fr-FR"/>
        </w:rPr>
        <w:t>’</w:t>
      </w:r>
      <w:r>
        <w:rPr>
          <w:rFonts w:eastAsia="Malgun Gothic"/>
          <w:bCs/>
          <w:lang w:val="fr-FR"/>
        </w:rPr>
        <w:t>apportait aucune information nouvelle. Les questions auxquelles Cuba avait répondu clarifiaient certains points évoqués dans le dossier.</w:t>
      </w:r>
    </w:p>
    <w:p w14:paraId="54FE489F" w14:textId="02B5E061" w:rsidR="002900F5" w:rsidRDefault="002900F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2900F5">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Éthiopie</w:t>
      </w:r>
      <w:r>
        <w:rPr>
          <w:rFonts w:eastAsia="Malgun Gothic"/>
          <w:bCs/>
          <w:lang w:val="fr-FR"/>
        </w:rPr>
        <w:t xml:space="preserve"> respectait pleinement le travail de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 xml:space="preserve">évaluation, mais le Comité devait prendre en </w:t>
      </w:r>
      <w:r w:rsidRPr="002900F5">
        <w:rPr>
          <w:rFonts w:eastAsia="Malgun Gothic"/>
          <w:bCs/>
          <w:lang w:val="fr-FR"/>
        </w:rPr>
        <w:t>considération</w:t>
      </w:r>
      <w:r>
        <w:rPr>
          <w:rFonts w:eastAsia="Malgun Gothic"/>
          <w:bCs/>
          <w:lang w:val="fr-FR"/>
        </w:rPr>
        <w:t xml:space="preserve"> le débat. Cuba avait clairement déclaré que le dossier concernait le </w:t>
      </w:r>
      <w:r w:rsidRPr="002900F5">
        <w:rPr>
          <w:rFonts w:eastAsia="Malgun Gothic"/>
          <w:bCs/>
          <w:lang w:val="fr-FR"/>
        </w:rPr>
        <w:t>savoir-faire</w:t>
      </w:r>
      <w:r>
        <w:rPr>
          <w:rFonts w:eastAsia="Malgun Gothic"/>
          <w:bCs/>
          <w:lang w:val="fr-FR"/>
        </w:rPr>
        <w:t xml:space="preserve"> et pas le produit.</w:t>
      </w:r>
    </w:p>
    <w:p w14:paraId="3764EEED" w14:textId="41A8EDA5" w:rsidR="002900F5" w:rsidRDefault="002900F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2900F5">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2900F5">
        <w:rPr>
          <w:rFonts w:eastAsia="Malgun Gothic"/>
          <w:bCs/>
          <w:lang w:val="fr-FR"/>
        </w:rPr>
        <w:t xml:space="preserve"> a fait remarquer qu</w:t>
      </w:r>
      <w:r w:rsidR="00923E72">
        <w:rPr>
          <w:rFonts w:eastAsia="Malgun Gothic"/>
          <w:bCs/>
          <w:lang w:val="fr-FR"/>
        </w:rPr>
        <w:t>’</w:t>
      </w:r>
      <w:r w:rsidRPr="002900F5">
        <w:rPr>
          <w:rFonts w:eastAsia="Malgun Gothic"/>
          <w:bCs/>
          <w:lang w:val="fr-FR"/>
        </w:rPr>
        <w:t>elle avait fondé sa décision sur les amendements présentés par le Brésil, qui insistai</w:t>
      </w:r>
      <w:r w:rsidR="00585A2B">
        <w:rPr>
          <w:rFonts w:eastAsia="Malgun Gothic"/>
          <w:bCs/>
          <w:lang w:val="fr-FR"/>
        </w:rPr>
        <w:t>en</w:t>
      </w:r>
      <w:r w:rsidRPr="002900F5">
        <w:rPr>
          <w:rFonts w:eastAsia="Malgun Gothic"/>
          <w:bCs/>
          <w:lang w:val="fr-FR"/>
        </w:rPr>
        <w:t>t sur le fait que les conditions étaient remplies, telles qu</w:t>
      </w:r>
      <w:r w:rsidR="00923E72">
        <w:rPr>
          <w:rFonts w:eastAsia="Malgun Gothic"/>
          <w:bCs/>
          <w:lang w:val="fr-FR"/>
        </w:rPr>
        <w:t>’</w:t>
      </w:r>
      <w:r w:rsidRPr="002900F5">
        <w:rPr>
          <w:rFonts w:eastAsia="Malgun Gothic"/>
          <w:bCs/>
          <w:lang w:val="fr-FR"/>
        </w:rPr>
        <w:t>évaluées par ses experts. Elle a demandé au Secrétariat d</w:t>
      </w:r>
      <w:r w:rsidR="00923E72">
        <w:rPr>
          <w:rFonts w:eastAsia="Malgun Gothic"/>
          <w:bCs/>
          <w:lang w:val="fr-FR"/>
        </w:rPr>
        <w:t>’</w:t>
      </w:r>
      <w:r w:rsidRPr="002900F5">
        <w:rPr>
          <w:rFonts w:eastAsia="Malgun Gothic"/>
          <w:bCs/>
          <w:lang w:val="fr-FR"/>
        </w:rPr>
        <w:t xml:space="preserve">expliquer le </w:t>
      </w:r>
      <w:r>
        <w:rPr>
          <w:rFonts w:eastAsia="Malgun Gothic"/>
          <w:bCs/>
          <w:lang w:val="fr-FR"/>
        </w:rPr>
        <w:t>R</w:t>
      </w:r>
      <w:r w:rsidRPr="002900F5">
        <w:rPr>
          <w:rFonts w:eastAsia="Malgun Gothic"/>
          <w:bCs/>
          <w:lang w:val="fr-FR"/>
        </w:rPr>
        <w:t>èglement intérieur sur l</w:t>
      </w:r>
      <w:r>
        <w:rPr>
          <w:rFonts w:eastAsia="Malgun Gothic"/>
          <w:bCs/>
          <w:lang w:val="fr-FR"/>
        </w:rPr>
        <w:t>a notion de « </w:t>
      </w:r>
      <w:r w:rsidR="004655D0">
        <w:rPr>
          <w:rFonts w:eastAsia="Malgun Gothic"/>
          <w:bCs/>
          <w:lang w:val="fr-FR"/>
        </w:rPr>
        <w:t xml:space="preserve">vaste </w:t>
      </w:r>
      <w:r w:rsidRPr="002900F5">
        <w:rPr>
          <w:rFonts w:eastAsia="Malgun Gothic"/>
          <w:bCs/>
          <w:lang w:val="fr-FR"/>
        </w:rPr>
        <w:t>consensus</w:t>
      </w:r>
      <w:r>
        <w:rPr>
          <w:rFonts w:eastAsia="Malgun Gothic"/>
          <w:bCs/>
          <w:lang w:val="fr-FR"/>
        </w:rPr>
        <w:t> ».</w:t>
      </w:r>
    </w:p>
    <w:p w14:paraId="0FDC2082" w14:textId="027AE728" w:rsidR="002900F5" w:rsidRDefault="002900F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2900F5">
        <w:rPr>
          <w:rFonts w:eastAsia="Malgun Gothic"/>
          <w:bCs/>
          <w:lang w:val="fr-FR"/>
        </w:rPr>
        <w:t xml:space="preserve">Le </w:t>
      </w:r>
      <w:r w:rsidRPr="00702497">
        <w:rPr>
          <w:rFonts w:eastAsia="Malgun Gothic"/>
          <w:b/>
          <w:lang w:val="fr-FR"/>
        </w:rPr>
        <w:t>Secrétaire</w:t>
      </w:r>
      <w:r w:rsidRPr="002900F5">
        <w:rPr>
          <w:rFonts w:eastAsia="Malgun Gothic"/>
          <w:bCs/>
          <w:lang w:val="fr-FR"/>
        </w:rPr>
        <w:t xml:space="preserve"> a expliqué que le Règlement intérieur du Comité établit que c</w:t>
      </w:r>
      <w:r w:rsidR="00923E72">
        <w:rPr>
          <w:rFonts w:eastAsia="Malgun Gothic"/>
          <w:bCs/>
          <w:lang w:val="fr-FR"/>
        </w:rPr>
        <w:t>’</w:t>
      </w:r>
      <w:r w:rsidRPr="002900F5">
        <w:rPr>
          <w:rFonts w:eastAsia="Malgun Gothic"/>
          <w:bCs/>
          <w:lang w:val="fr-FR"/>
        </w:rPr>
        <w:t>est le Président qui détermine s</w:t>
      </w:r>
      <w:r w:rsidR="00923E72">
        <w:rPr>
          <w:rFonts w:eastAsia="Malgun Gothic"/>
          <w:bCs/>
          <w:lang w:val="fr-FR"/>
        </w:rPr>
        <w:t>’</w:t>
      </w:r>
      <w:r w:rsidRPr="002900F5">
        <w:rPr>
          <w:rFonts w:eastAsia="Malgun Gothic"/>
          <w:bCs/>
          <w:lang w:val="fr-FR"/>
        </w:rPr>
        <w:t>il y a consensus dans la salle sur la base d</w:t>
      </w:r>
      <w:r w:rsidR="00923E72">
        <w:rPr>
          <w:rFonts w:eastAsia="Malgun Gothic"/>
          <w:bCs/>
          <w:lang w:val="fr-FR"/>
        </w:rPr>
        <w:t>’</w:t>
      </w:r>
      <w:r w:rsidRPr="002900F5">
        <w:rPr>
          <w:rFonts w:eastAsia="Malgun Gothic"/>
          <w:bCs/>
          <w:lang w:val="fr-FR"/>
        </w:rPr>
        <w:t>un soutien actif relatif, c</w:t>
      </w:r>
      <w:r w:rsidR="00923E72">
        <w:rPr>
          <w:rFonts w:eastAsia="Malgun Gothic"/>
          <w:bCs/>
          <w:lang w:val="fr-FR"/>
        </w:rPr>
        <w:t>’</w:t>
      </w:r>
      <w:r w:rsidRPr="002900F5">
        <w:rPr>
          <w:rFonts w:eastAsia="Malgun Gothic"/>
          <w:bCs/>
          <w:lang w:val="fr-FR"/>
        </w:rPr>
        <w:t>est-à-dire un tiers des membres du Comité, à moins qu</w:t>
      </w:r>
      <w:r w:rsidR="00923E72">
        <w:rPr>
          <w:rFonts w:eastAsia="Malgun Gothic"/>
          <w:bCs/>
          <w:lang w:val="fr-FR"/>
        </w:rPr>
        <w:t>’</w:t>
      </w:r>
      <w:r w:rsidRPr="002900F5">
        <w:rPr>
          <w:rFonts w:eastAsia="Malgun Gothic"/>
          <w:bCs/>
          <w:lang w:val="fr-FR"/>
        </w:rPr>
        <w:t>il n</w:t>
      </w:r>
      <w:r w:rsidR="00923E72">
        <w:rPr>
          <w:rFonts w:eastAsia="Malgun Gothic"/>
          <w:bCs/>
          <w:lang w:val="fr-FR"/>
        </w:rPr>
        <w:t>’</w:t>
      </w:r>
      <w:r w:rsidRPr="002900F5">
        <w:rPr>
          <w:rFonts w:eastAsia="Malgun Gothic"/>
          <w:bCs/>
          <w:lang w:val="fr-FR"/>
        </w:rPr>
        <w:t>y ait une opposition à l</w:t>
      </w:r>
      <w:r w:rsidR="00923E72">
        <w:rPr>
          <w:rFonts w:eastAsia="Malgun Gothic"/>
          <w:bCs/>
          <w:lang w:val="fr-FR"/>
        </w:rPr>
        <w:t>’</w:t>
      </w:r>
      <w:r w:rsidRPr="002900F5">
        <w:rPr>
          <w:rFonts w:eastAsia="Malgun Gothic"/>
          <w:bCs/>
          <w:lang w:val="fr-FR"/>
        </w:rPr>
        <w:t>amendement, auquel cas le Président doit rechercher un large soutien actif, c</w:t>
      </w:r>
      <w:r w:rsidR="00923E72">
        <w:rPr>
          <w:rFonts w:eastAsia="Malgun Gothic"/>
          <w:bCs/>
          <w:lang w:val="fr-FR"/>
        </w:rPr>
        <w:t>’</w:t>
      </w:r>
      <w:r w:rsidRPr="002900F5">
        <w:rPr>
          <w:rFonts w:eastAsia="Malgun Gothic"/>
          <w:bCs/>
          <w:lang w:val="fr-FR"/>
        </w:rPr>
        <w:t>est-à-dire la majorité des membres du Comité. C</w:t>
      </w:r>
      <w:r w:rsidR="00923E72">
        <w:rPr>
          <w:rFonts w:eastAsia="Malgun Gothic"/>
          <w:bCs/>
          <w:lang w:val="fr-FR"/>
        </w:rPr>
        <w:t>’</w:t>
      </w:r>
      <w:r w:rsidRPr="002900F5">
        <w:rPr>
          <w:rFonts w:eastAsia="Malgun Gothic"/>
          <w:bCs/>
          <w:lang w:val="fr-FR"/>
        </w:rPr>
        <w:t>était dans ce cadre que la Convention travaill</w:t>
      </w:r>
      <w:r w:rsidR="004655D0">
        <w:rPr>
          <w:rFonts w:eastAsia="Malgun Gothic"/>
          <w:bCs/>
          <w:lang w:val="fr-FR"/>
        </w:rPr>
        <w:t>ait</w:t>
      </w:r>
      <w:r w:rsidRPr="002900F5">
        <w:rPr>
          <w:rFonts w:eastAsia="Malgun Gothic"/>
          <w:bCs/>
          <w:lang w:val="fr-FR"/>
        </w:rPr>
        <w:t xml:space="preserve"> sur la question de la prise de décision concernant le rapport de l</w:t>
      </w:r>
      <w:r w:rsidR="00923E72">
        <w:rPr>
          <w:rFonts w:eastAsia="Malgun Gothic"/>
          <w:bCs/>
          <w:lang w:val="fr-FR"/>
        </w:rPr>
        <w:t>’</w:t>
      </w:r>
      <w:r w:rsidRPr="002900F5">
        <w:rPr>
          <w:rFonts w:eastAsia="Malgun Gothic"/>
          <w:bCs/>
          <w:lang w:val="fr-FR"/>
        </w:rPr>
        <w:t>Organe d</w:t>
      </w:r>
      <w:r w:rsidR="00923E72">
        <w:rPr>
          <w:rFonts w:eastAsia="Malgun Gothic"/>
          <w:bCs/>
          <w:lang w:val="fr-FR"/>
        </w:rPr>
        <w:t>’</w:t>
      </w:r>
      <w:r w:rsidRPr="002900F5">
        <w:rPr>
          <w:rFonts w:eastAsia="Malgun Gothic"/>
          <w:bCs/>
          <w:lang w:val="fr-FR"/>
        </w:rPr>
        <w:t>évaluation.</w:t>
      </w:r>
    </w:p>
    <w:p w14:paraId="26627161" w14:textId="3EB8AE20" w:rsidR="004655D0" w:rsidRDefault="004655D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Compte tenu de </w:t>
      </w:r>
      <w:r w:rsidR="008F2010">
        <w:rPr>
          <w:rFonts w:eastAsia="Malgun Gothic"/>
          <w:bCs/>
          <w:lang w:val="fr-FR"/>
        </w:rPr>
        <w:t xml:space="preserve">ces </w:t>
      </w:r>
      <w:r w:rsidR="008F2010" w:rsidRPr="008F2010">
        <w:rPr>
          <w:rFonts w:eastAsia="Malgun Gothic"/>
          <w:bCs/>
          <w:lang w:val="fr-FR"/>
        </w:rPr>
        <w:t>éclaircissements</w:t>
      </w:r>
      <w:r w:rsidR="008F2010">
        <w:rPr>
          <w:rFonts w:eastAsia="Malgun Gothic"/>
          <w:bCs/>
          <w:lang w:val="fr-FR"/>
        </w:rPr>
        <w:t xml:space="preserve">, la </w:t>
      </w:r>
      <w:r w:rsidR="008F2010" w:rsidRPr="008F2010">
        <w:rPr>
          <w:rFonts w:eastAsia="Malgun Gothic"/>
          <w:bCs/>
          <w:lang w:val="fr-FR"/>
        </w:rPr>
        <w:t>délégation</w:t>
      </w:r>
      <w:r w:rsidR="008F2010">
        <w:rPr>
          <w:rFonts w:eastAsia="Malgun Gothic"/>
          <w:bCs/>
          <w:lang w:val="fr-FR"/>
        </w:rPr>
        <w:t xml:space="preserve"> de l</w:t>
      </w:r>
      <w:r w:rsidR="00923E72">
        <w:rPr>
          <w:rFonts w:eastAsia="Malgun Gothic"/>
          <w:bCs/>
          <w:lang w:val="fr-FR"/>
        </w:rPr>
        <w:t>’</w:t>
      </w:r>
      <w:r w:rsidR="008F2010" w:rsidRPr="00702497">
        <w:rPr>
          <w:rFonts w:eastAsia="Malgun Gothic"/>
          <w:b/>
          <w:lang w:val="fr-FR"/>
        </w:rPr>
        <w:t>Inde</w:t>
      </w:r>
      <w:r w:rsidR="008F2010">
        <w:rPr>
          <w:rFonts w:eastAsia="Malgun Gothic"/>
          <w:bCs/>
          <w:lang w:val="fr-FR"/>
        </w:rPr>
        <w:t xml:space="preserve"> a demandé au </w:t>
      </w:r>
      <w:r w:rsidR="008F2010" w:rsidRPr="008F2010">
        <w:rPr>
          <w:rFonts w:eastAsia="Malgun Gothic"/>
          <w:bCs/>
          <w:lang w:val="fr-FR"/>
        </w:rPr>
        <w:t>Président</w:t>
      </w:r>
      <w:r w:rsidR="008F2010">
        <w:rPr>
          <w:rFonts w:eastAsia="Malgun Gothic"/>
          <w:bCs/>
          <w:lang w:val="fr-FR"/>
        </w:rPr>
        <w:t xml:space="preserve"> de reconnaître le vaste consensus sur ce </w:t>
      </w:r>
      <w:r w:rsidR="008F2010" w:rsidRPr="008F2010">
        <w:rPr>
          <w:rFonts w:eastAsia="Malgun Gothic"/>
          <w:bCs/>
          <w:lang w:val="fr-FR"/>
        </w:rPr>
        <w:t>paragraphe</w:t>
      </w:r>
      <w:r w:rsidR="008F2010">
        <w:rPr>
          <w:rFonts w:eastAsia="Malgun Gothic"/>
          <w:bCs/>
          <w:lang w:val="fr-FR"/>
        </w:rPr>
        <w:t>, et ce, afin d</w:t>
      </w:r>
      <w:r w:rsidR="00923E72">
        <w:rPr>
          <w:rFonts w:eastAsia="Malgun Gothic"/>
          <w:bCs/>
          <w:lang w:val="fr-FR"/>
        </w:rPr>
        <w:t>’</w:t>
      </w:r>
      <w:r w:rsidR="008F2010">
        <w:rPr>
          <w:rFonts w:eastAsia="Malgun Gothic"/>
          <w:bCs/>
          <w:lang w:val="fr-FR"/>
        </w:rPr>
        <w:t>avancer.</w:t>
      </w:r>
    </w:p>
    <w:p w14:paraId="1EA83915" w14:textId="38184162" w:rsidR="008F2010" w:rsidRDefault="008F201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F2010">
        <w:rPr>
          <w:rFonts w:eastAsia="Malgun Gothic"/>
          <w:bCs/>
          <w:lang w:val="fr-FR"/>
        </w:rPr>
        <w:t xml:space="preserve">La délégation du </w:t>
      </w:r>
      <w:r w:rsidRPr="00702497">
        <w:rPr>
          <w:rFonts w:eastAsia="Malgun Gothic"/>
          <w:b/>
          <w:lang w:val="fr-FR"/>
        </w:rPr>
        <w:t>Paraguay</w:t>
      </w:r>
      <w:r w:rsidRPr="008F2010">
        <w:rPr>
          <w:rFonts w:eastAsia="Malgun Gothic"/>
          <w:bCs/>
          <w:lang w:val="fr-FR"/>
        </w:rPr>
        <w:t xml:space="preserve"> a expliqué qu</w:t>
      </w:r>
      <w:r w:rsidR="00923E72">
        <w:rPr>
          <w:rFonts w:eastAsia="Malgun Gothic"/>
          <w:bCs/>
          <w:lang w:val="fr-FR"/>
        </w:rPr>
        <w:t>’</w:t>
      </w:r>
      <w:r w:rsidRPr="008F2010">
        <w:rPr>
          <w:rFonts w:eastAsia="Malgun Gothic"/>
          <w:bCs/>
          <w:lang w:val="fr-FR"/>
        </w:rPr>
        <w:t xml:space="preserve">en </w:t>
      </w:r>
      <w:r w:rsidR="008C5A6E" w:rsidRPr="008C5A6E">
        <w:rPr>
          <w:rFonts w:eastAsia="Malgun Gothic"/>
          <w:bCs/>
          <w:lang w:val="fr-FR"/>
        </w:rPr>
        <w:t>établiss</w:t>
      </w:r>
      <w:r w:rsidR="008C5A6E">
        <w:rPr>
          <w:rFonts w:eastAsia="Malgun Gothic"/>
          <w:bCs/>
          <w:lang w:val="fr-FR"/>
        </w:rPr>
        <w:t>ant une comparaison entre, d</w:t>
      </w:r>
      <w:r w:rsidR="00923E72">
        <w:rPr>
          <w:rFonts w:eastAsia="Malgun Gothic"/>
          <w:bCs/>
          <w:lang w:val="fr-FR"/>
        </w:rPr>
        <w:t>’</w:t>
      </w:r>
      <w:r w:rsidR="008C5A6E">
        <w:rPr>
          <w:rFonts w:eastAsia="Malgun Gothic"/>
          <w:bCs/>
          <w:lang w:val="fr-FR"/>
        </w:rPr>
        <w:t xml:space="preserve">un côté, </w:t>
      </w:r>
      <w:r w:rsidRPr="008F2010">
        <w:rPr>
          <w:rFonts w:eastAsia="Malgun Gothic"/>
          <w:bCs/>
          <w:lang w:val="fr-FR"/>
        </w:rPr>
        <w:t xml:space="preserve">la valeur des documents </w:t>
      </w:r>
      <w:r w:rsidR="008C5A6E">
        <w:rPr>
          <w:rFonts w:eastAsia="Malgun Gothic"/>
          <w:bCs/>
          <w:lang w:val="fr-FR"/>
        </w:rPr>
        <w:t>et, de l</w:t>
      </w:r>
      <w:r w:rsidR="00923E72">
        <w:rPr>
          <w:rFonts w:eastAsia="Malgun Gothic"/>
          <w:bCs/>
          <w:lang w:val="fr-FR"/>
        </w:rPr>
        <w:t>’</w:t>
      </w:r>
      <w:r w:rsidR="008C5A6E">
        <w:rPr>
          <w:rFonts w:eastAsia="Malgun Gothic"/>
          <w:bCs/>
          <w:lang w:val="fr-FR"/>
        </w:rPr>
        <w:t xml:space="preserve">autre, </w:t>
      </w:r>
      <w:r w:rsidRPr="008F2010">
        <w:rPr>
          <w:rFonts w:eastAsia="Malgun Gothic"/>
          <w:bCs/>
          <w:lang w:val="fr-FR"/>
        </w:rPr>
        <w:t>la compréhension et l</w:t>
      </w:r>
      <w:r w:rsidR="00923E72">
        <w:rPr>
          <w:rFonts w:eastAsia="Malgun Gothic"/>
          <w:bCs/>
          <w:lang w:val="fr-FR"/>
        </w:rPr>
        <w:t>’</w:t>
      </w:r>
      <w:r w:rsidRPr="008F2010">
        <w:rPr>
          <w:rFonts w:eastAsia="Malgun Gothic"/>
          <w:bCs/>
          <w:lang w:val="fr-FR"/>
        </w:rPr>
        <w:t>expression de l</w:t>
      </w:r>
      <w:r w:rsidR="00923E72">
        <w:rPr>
          <w:rFonts w:eastAsia="Malgun Gothic"/>
          <w:bCs/>
          <w:lang w:val="fr-FR"/>
        </w:rPr>
        <w:t>’</w:t>
      </w:r>
      <w:r w:rsidRPr="008F2010">
        <w:rPr>
          <w:rFonts w:eastAsia="Malgun Gothic"/>
          <w:bCs/>
          <w:lang w:val="fr-FR"/>
        </w:rPr>
        <w:t>élément lui-même, on avait l</w:t>
      </w:r>
      <w:r w:rsidR="00923E72">
        <w:rPr>
          <w:rFonts w:eastAsia="Malgun Gothic"/>
          <w:bCs/>
          <w:lang w:val="fr-FR"/>
        </w:rPr>
        <w:t>’</w:t>
      </w:r>
      <w:r w:rsidRPr="008F2010">
        <w:rPr>
          <w:rFonts w:eastAsia="Malgun Gothic"/>
          <w:bCs/>
          <w:lang w:val="fr-FR"/>
        </w:rPr>
        <w:t>impression que les membres du Comité attachaient plus d</w:t>
      </w:r>
      <w:r w:rsidR="00923E72">
        <w:rPr>
          <w:rFonts w:eastAsia="Malgun Gothic"/>
          <w:bCs/>
          <w:lang w:val="fr-FR"/>
        </w:rPr>
        <w:t>’</w:t>
      </w:r>
      <w:r w:rsidRPr="008F2010">
        <w:rPr>
          <w:rFonts w:eastAsia="Malgun Gothic"/>
          <w:bCs/>
          <w:lang w:val="fr-FR"/>
        </w:rPr>
        <w:t>importance aux aspects techniques du dossier qu</w:t>
      </w:r>
      <w:r w:rsidR="00923E72">
        <w:rPr>
          <w:rFonts w:eastAsia="Malgun Gothic"/>
          <w:bCs/>
          <w:lang w:val="fr-FR"/>
        </w:rPr>
        <w:t>’</w:t>
      </w:r>
      <w:r w:rsidRPr="008F2010">
        <w:rPr>
          <w:rFonts w:eastAsia="Malgun Gothic"/>
          <w:bCs/>
          <w:lang w:val="fr-FR"/>
        </w:rPr>
        <w:t>à la valeur intrinsèque et évidente du patrimoine culturel immatériel. Il était plus important de soutenir la transmission de l</w:t>
      </w:r>
      <w:r w:rsidR="00923E72">
        <w:rPr>
          <w:rFonts w:eastAsia="Malgun Gothic"/>
          <w:bCs/>
          <w:lang w:val="fr-FR"/>
        </w:rPr>
        <w:t>’</w:t>
      </w:r>
      <w:r w:rsidRPr="008F2010">
        <w:rPr>
          <w:rFonts w:eastAsia="Malgun Gothic"/>
          <w:bCs/>
          <w:lang w:val="fr-FR"/>
        </w:rPr>
        <w:t>expertise des maîtres du rhum léger. La délégation a convenu qu</w:t>
      </w:r>
      <w:r w:rsidR="00923E72">
        <w:rPr>
          <w:rFonts w:eastAsia="Malgun Gothic"/>
          <w:bCs/>
          <w:lang w:val="fr-FR"/>
        </w:rPr>
        <w:t>’</w:t>
      </w:r>
      <w:r w:rsidRPr="008F2010">
        <w:rPr>
          <w:rFonts w:eastAsia="Malgun Gothic"/>
          <w:bCs/>
          <w:lang w:val="fr-FR"/>
        </w:rPr>
        <w:t xml:space="preserve">il </w:t>
      </w:r>
      <w:r w:rsidR="00585A2B">
        <w:rPr>
          <w:rFonts w:eastAsia="Malgun Gothic"/>
          <w:bCs/>
          <w:lang w:val="fr-FR"/>
        </w:rPr>
        <w:t>était</w:t>
      </w:r>
      <w:r w:rsidRPr="008F2010">
        <w:rPr>
          <w:rFonts w:eastAsia="Malgun Gothic"/>
          <w:bCs/>
          <w:lang w:val="fr-FR"/>
        </w:rPr>
        <w:t xml:space="preserve"> important de procéder à une analyse approfondie, mais il </w:t>
      </w:r>
      <w:r w:rsidR="00585A2B">
        <w:rPr>
          <w:rFonts w:eastAsia="Malgun Gothic"/>
          <w:bCs/>
          <w:lang w:val="fr-FR"/>
        </w:rPr>
        <w:t xml:space="preserve">était </w:t>
      </w:r>
      <w:r w:rsidRPr="008F2010">
        <w:rPr>
          <w:rFonts w:eastAsia="Malgun Gothic"/>
          <w:bCs/>
          <w:lang w:val="fr-FR"/>
        </w:rPr>
        <w:t>également évident que certains éléments exprim</w:t>
      </w:r>
      <w:r w:rsidR="00585A2B">
        <w:rPr>
          <w:rFonts w:eastAsia="Malgun Gothic"/>
          <w:bCs/>
          <w:lang w:val="fr-FR"/>
        </w:rPr>
        <w:t>ai</w:t>
      </w:r>
      <w:r w:rsidRPr="008F2010">
        <w:rPr>
          <w:rFonts w:eastAsia="Malgun Gothic"/>
          <w:bCs/>
          <w:lang w:val="fr-FR"/>
        </w:rPr>
        <w:t xml:space="preserve">ent clairement </w:t>
      </w:r>
      <w:r w:rsidRPr="008F2010">
        <w:rPr>
          <w:rFonts w:eastAsia="Malgun Gothic"/>
          <w:bCs/>
          <w:lang w:val="fr-FR"/>
        </w:rPr>
        <w:lastRenderedPageBreak/>
        <w:t>leur valeur en tant que patrimoine vivant, précieux pour leur communauté. Ce patrimoine immatériel particulier présentait toutes les qualités requises pour l</w:t>
      </w:r>
      <w:r w:rsidR="00923E72">
        <w:rPr>
          <w:rFonts w:eastAsia="Malgun Gothic"/>
          <w:bCs/>
          <w:lang w:val="fr-FR"/>
        </w:rPr>
        <w:t>’</w:t>
      </w:r>
      <w:r w:rsidRPr="008F2010">
        <w:rPr>
          <w:rFonts w:eastAsia="Malgun Gothic"/>
          <w:bCs/>
          <w:lang w:val="fr-FR"/>
        </w:rPr>
        <w:t>inscription. La délégation abondait dans le sens des remarques de l</w:t>
      </w:r>
      <w:r w:rsidR="00923E72">
        <w:rPr>
          <w:rFonts w:eastAsia="Malgun Gothic"/>
          <w:bCs/>
          <w:lang w:val="fr-FR"/>
        </w:rPr>
        <w:t>’</w:t>
      </w:r>
      <w:r w:rsidRPr="008F2010">
        <w:rPr>
          <w:rFonts w:eastAsia="Malgun Gothic"/>
          <w:bCs/>
          <w:lang w:val="fr-FR"/>
        </w:rPr>
        <w:t>Inde.</w:t>
      </w:r>
    </w:p>
    <w:p w14:paraId="39D1546E" w14:textId="159122D9" w:rsidR="008C5A6E" w:rsidRDefault="008C5A6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C5A6E">
        <w:rPr>
          <w:rFonts w:eastAsia="Malgun Gothic"/>
          <w:bCs/>
          <w:lang w:val="fr-FR"/>
        </w:rPr>
        <w:t xml:space="preserve">Le </w:t>
      </w:r>
      <w:r w:rsidRPr="00702497">
        <w:rPr>
          <w:rFonts w:eastAsia="Malgun Gothic"/>
          <w:b/>
          <w:lang w:val="fr-FR"/>
        </w:rPr>
        <w:t>Président</w:t>
      </w:r>
      <w:r w:rsidRPr="008C5A6E">
        <w:rPr>
          <w:rFonts w:eastAsia="Malgun Gothic"/>
          <w:bCs/>
          <w:lang w:val="fr-FR"/>
        </w:rPr>
        <w:t xml:space="preserve"> a convenu que l</w:t>
      </w:r>
      <w:r w:rsidR="00923E72">
        <w:rPr>
          <w:rFonts w:eastAsia="Malgun Gothic"/>
          <w:bCs/>
          <w:lang w:val="fr-FR"/>
        </w:rPr>
        <w:t>’</w:t>
      </w:r>
      <w:r w:rsidRPr="008C5A6E">
        <w:rPr>
          <w:rFonts w:eastAsia="Malgun Gothic"/>
          <w:bCs/>
          <w:lang w:val="fr-FR"/>
        </w:rPr>
        <w:t xml:space="preserve">amendement avait reçu un large soutien actif, ajoutant que les remarques formulées par la Suisse, la Suède, la Slovaquie et </w:t>
      </w:r>
      <w:r w:rsidRPr="00585A2B">
        <w:rPr>
          <w:rFonts w:eastAsia="Malgun Gothic"/>
          <w:bCs/>
          <w:lang w:val="fr-FR"/>
        </w:rPr>
        <w:t>la Tchéquie</w:t>
      </w:r>
      <w:r>
        <w:rPr>
          <w:rFonts w:eastAsia="Malgun Gothic"/>
          <w:bCs/>
          <w:lang w:val="fr-FR"/>
        </w:rPr>
        <w:t xml:space="preserve"> </w:t>
      </w:r>
      <w:r w:rsidRPr="008C5A6E">
        <w:rPr>
          <w:rFonts w:eastAsia="Malgun Gothic"/>
          <w:bCs/>
          <w:lang w:val="fr-FR"/>
        </w:rPr>
        <w:t xml:space="preserve">seraient consignées dans le </w:t>
      </w:r>
      <w:r w:rsidRPr="008C5A6E">
        <w:rPr>
          <w:rFonts w:eastAsia="Times New Roman"/>
          <w:bCs/>
          <w:lang w:val="fr-FR"/>
        </w:rPr>
        <w:t>compte-rendu</w:t>
      </w:r>
      <w:r w:rsidRPr="008C5A6E">
        <w:rPr>
          <w:rFonts w:eastAsia="Malgun Gothic"/>
          <w:bCs/>
          <w:lang w:val="fr-FR"/>
        </w:rPr>
        <w:t xml:space="preserve">. </w:t>
      </w:r>
      <w:r>
        <w:rPr>
          <w:rFonts w:eastAsia="Malgun Gothic"/>
          <w:bCs/>
          <w:lang w:val="fr-FR"/>
        </w:rPr>
        <w:t xml:space="preserve">Le </w:t>
      </w:r>
      <w:r w:rsidRPr="008C5A6E">
        <w:rPr>
          <w:rFonts w:eastAsia="Malgun Gothic"/>
          <w:bCs/>
          <w:lang w:val="fr-FR"/>
        </w:rPr>
        <w:t>Président est pass</w:t>
      </w:r>
      <w:r>
        <w:rPr>
          <w:rFonts w:eastAsia="Malgun Gothic"/>
          <w:bCs/>
          <w:lang w:val="fr-FR"/>
        </w:rPr>
        <w:t>é</w:t>
      </w:r>
      <w:r w:rsidRPr="008C5A6E">
        <w:rPr>
          <w:rFonts w:eastAsia="Malgun Gothic"/>
          <w:bCs/>
          <w:lang w:val="fr-FR"/>
        </w:rPr>
        <w:t xml:space="preserve"> </w:t>
      </w:r>
      <w:r>
        <w:rPr>
          <w:rFonts w:eastAsia="Malgun Gothic"/>
          <w:bCs/>
          <w:lang w:val="fr-FR"/>
        </w:rPr>
        <w:t xml:space="preserve">au </w:t>
      </w:r>
      <w:r w:rsidRPr="008C5A6E">
        <w:rPr>
          <w:rFonts w:eastAsia="Malgun Gothic"/>
          <w:bCs/>
          <w:lang w:val="fr-FR"/>
        </w:rPr>
        <w:t>paragraphe</w:t>
      </w:r>
      <w:r>
        <w:rPr>
          <w:rFonts w:eastAsia="Malgun Gothic"/>
          <w:bCs/>
          <w:lang w:val="fr-FR"/>
        </w:rPr>
        <w:t xml:space="preserve"> amendé concernant le </w:t>
      </w:r>
      <w:r w:rsidRPr="008C5A6E">
        <w:rPr>
          <w:rFonts w:eastAsia="Malgun Gothic"/>
          <w:bCs/>
          <w:lang w:val="fr-FR"/>
        </w:rPr>
        <w:t>critère</w:t>
      </w:r>
      <w:r>
        <w:rPr>
          <w:rFonts w:eastAsia="Malgun Gothic"/>
          <w:bCs/>
          <w:lang w:val="fr-FR"/>
        </w:rPr>
        <w:t> </w:t>
      </w:r>
      <w:r w:rsidRPr="008C5A6E">
        <w:rPr>
          <w:rFonts w:eastAsia="Malgun Gothic"/>
          <w:bCs/>
          <w:lang w:val="fr-FR"/>
        </w:rPr>
        <w:t>R.1 du paragraphe</w:t>
      </w:r>
      <w:r w:rsidR="009A30ED">
        <w:rPr>
          <w:rFonts w:eastAsia="Malgun Gothic"/>
          <w:bCs/>
          <w:lang w:val="fr-FR"/>
        </w:rPr>
        <w:t> </w:t>
      </w:r>
      <w:r w:rsidRPr="008C5A6E">
        <w:rPr>
          <w:rFonts w:eastAsia="Malgun Gothic"/>
          <w:bCs/>
          <w:lang w:val="fr-FR"/>
        </w:rPr>
        <w:t xml:space="preserve">3 </w:t>
      </w:r>
      <w:r>
        <w:rPr>
          <w:rFonts w:eastAsia="Malgun Gothic"/>
          <w:bCs/>
          <w:lang w:val="fr-FR"/>
        </w:rPr>
        <w:t xml:space="preserve">et aux </w:t>
      </w:r>
      <w:r w:rsidRPr="008C5A6E">
        <w:rPr>
          <w:rFonts w:eastAsia="Malgun Gothic"/>
          <w:bCs/>
          <w:lang w:val="fr-FR"/>
        </w:rPr>
        <w:t>paragraph</w:t>
      </w:r>
      <w:r>
        <w:rPr>
          <w:rFonts w:eastAsia="Malgun Gothic"/>
          <w:bCs/>
          <w:lang w:val="fr-FR"/>
        </w:rPr>
        <w:t xml:space="preserve">es concernant les </w:t>
      </w:r>
      <w:r w:rsidRPr="008C5A6E">
        <w:rPr>
          <w:rFonts w:eastAsia="Malgun Gothic"/>
          <w:bCs/>
          <w:lang w:val="fr-FR"/>
        </w:rPr>
        <w:t>critères</w:t>
      </w:r>
      <w:r>
        <w:rPr>
          <w:rFonts w:eastAsia="Malgun Gothic"/>
          <w:bCs/>
          <w:lang w:val="fr-FR"/>
        </w:rPr>
        <w:t> </w:t>
      </w:r>
      <w:r w:rsidRPr="008C5A6E">
        <w:rPr>
          <w:rFonts w:eastAsia="Malgun Gothic"/>
          <w:bCs/>
          <w:lang w:val="fr-FR"/>
        </w:rPr>
        <w:t>R.2 et</w:t>
      </w:r>
      <w:r>
        <w:rPr>
          <w:rFonts w:eastAsia="Malgun Gothic"/>
          <w:bCs/>
          <w:lang w:val="fr-FR"/>
        </w:rPr>
        <w:t> </w:t>
      </w:r>
      <w:r w:rsidRPr="008C5A6E">
        <w:rPr>
          <w:rFonts w:eastAsia="Malgun Gothic"/>
          <w:bCs/>
          <w:lang w:val="fr-FR"/>
        </w:rPr>
        <w:t xml:space="preserve">R.3 également amendés, et ils </w:t>
      </w:r>
      <w:r>
        <w:rPr>
          <w:rFonts w:eastAsia="Malgun Gothic"/>
          <w:bCs/>
          <w:lang w:val="fr-FR"/>
        </w:rPr>
        <w:t xml:space="preserve">ont été </w:t>
      </w:r>
      <w:r w:rsidRPr="008C5A6E">
        <w:rPr>
          <w:rFonts w:eastAsia="Malgun Gothic"/>
          <w:bCs/>
          <w:lang w:val="fr-FR"/>
        </w:rPr>
        <w:t>dûment adoptés. Le chapeau du paragraphe</w:t>
      </w:r>
      <w:r w:rsidR="009A30ED">
        <w:rPr>
          <w:rFonts w:eastAsia="Malgun Gothic"/>
          <w:bCs/>
          <w:lang w:val="fr-FR"/>
        </w:rPr>
        <w:t> </w:t>
      </w:r>
      <w:r w:rsidRPr="008C5A6E">
        <w:rPr>
          <w:rFonts w:eastAsia="Malgun Gothic"/>
          <w:bCs/>
          <w:lang w:val="fr-FR"/>
        </w:rPr>
        <w:t xml:space="preserve">3 </w:t>
      </w:r>
      <w:r>
        <w:rPr>
          <w:rFonts w:eastAsia="Malgun Gothic"/>
          <w:bCs/>
          <w:lang w:val="fr-FR"/>
        </w:rPr>
        <w:t xml:space="preserve">a </w:t>
      </w:r>
      <w:r w:rsidRPr="008C5A6E">
        <w:rPr>
          <w:rFonts w:eastAsia="Malgun Gothic"/>
          <w:bCs/>
          <w:lang w:val="fr-FR"/>
        </w:rPr>
        <w:t xml:space="preserve">également </w:t>
      </w:r>
      <w:r>
        <w:rPr>
          <w:rFonts w:eastAsia="Malgun Gothic"/>
          <w:bCs/>
          <w:lang w:val="fr-FR"/>
        </w:rPr>
        <w:t xml:space="preserve">été </w:t>
      </w:r>
      <w:r w:rsidRPr="008C5A6E">
        <w:rPr>
          <w:rFonts w:eastAsia="Malgun Gothic"/>
          <w:bCs/>
          <w:lang w:val="fr-FR"/>
        </w:rPr>
        <w:t xml:space="preserve">adopté dans son ensemble. Le Président </w:t>
      </w:r>
      <w:r>
        <w:rPr>
          <w:rFonts w:eastAsia="Malgun Gothic"/>
          <w:bCs/>
          <w:lang w:val="fr-FR"/>
        </w:rPr>
        <w:t xml:space="preserve">est ensuite </w:t>
      </w:r>
      <w:r w:rsidRPr="008C5A6E">
        <w:rPr>
          <w:rFonts w:eastAsia="Malgun Gothic"/>
          <w:bCs/>
          <w:lang w:val="fr-FR"/>
        </w:rPr>
        <w:t>pass</w:t>
      </w:r>
      <w:r>
        <w:rPr>
          <w:rFonts w:eastAsia="Malgun Gothic"/>
          <w:bCs/>
          <w:lang w:val="fr-FR"/>
        </w:rPr>
        <w:t>é</w:t>
      </w:r>
      <w:r w:rsidRPr="008C5A6E">
        <w:rPr>
          <w:rFonts w:eastAsia="Malgun Gothic"/>
          <w:bCs/>
          <w:lang w:val="fr-FR"/>
        </w:rPr>
        <w:t xml:space="preserve"> au paragraphe</w:t>
      </w:r>
      <w:r w:rsidR="009A30ED">
        <w:rPr>
          <w:rFonts w:eastAsia="Malgun Gothic"/>
          <w:bCs/>
          <w:lang w:val="fr-FR"/>
        </w:rPr>
        <w:t> </w:t>
      </w:r>
      <w:r w:rsidRPr="008C5A6E">
        <w:rPr>
          <w:rFonts w:eastAsia="Malgun Gothic"/>
          <w:bCs/>
          <w:lang w:val="fr-FR"/>
        </w:rPr>
        <w:t xml:space="preserve">4, notant que les mêmes membres </w:t>
      </w:r>
      <w:r>
        <w:rPr>
          <w:rFonts w:eastAsia="Malgun Gothic"/>
          <w:bCs/>
          <w:lang w:val="fr-FR"/>
        </w:rPr>
        <w:t xml:space="preserve">du Comité soutenaient </w:t>
      </w:r>
      <w:r w:rsidRPr="008C5A6E">
        <w:rPr>
          <w:rFonts w:eastAsia="Malgun Gothic"/>
          <w:bCs/>
          <w:lang w:val="fr-FR"/>
        </w:rPr>
        <w:t xml:space="preserve">les amendements </w:t>
      </w:r>
      <w:r>
        <w:rPr>
          <w:rFonts w:eastAsia="Malgun Gothic"/>
          <w:bCs/>
          <w:lang w:val="fr-FR"/>
        </w:rPr>
        <w:t>à</w:t>
      </w:r>
      <w:r w:rsidRPr="008C5A6E">
        <w:rPr>
          <w:rFonts w:eastAsia="Malgun Gothic"/>
          <w:bCs/>
          <w:lang w:val="fr-FR"/>
        </w:rPr>
        <w:t xml:space="preserve"> ce paragraphe.</w:t>
      </w:r>
    </w:p>
    <w:p w14:paraId="3B08FA84" w14:textId="04DF3A27" w:rsidR="00C75BE7" w:rsidRDefault="00C75BE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C75BE7">
        <w:rPr>
          <w:rFonts w:eastAsia="Malgun Gothic"/>
          <w:bCs/>
          <w:lang w:val="fr-FR"/>
        </w:rPr>
        <w:t>délégation</w:t>
      </w:r>
      <w:r>
        <w:rPr>
          <w:rFonts w:eastAsia="Malgun Gothic"/>
          <w:bCs/>
          <w:lang w:val="fr-FR"/>
        </w:rPr>
        <w:t xml:space="preserve"> de la </w:t>
      </w:r>
      <w:r w:rsidRPr="00702497">
        <w:rPr>
          <w:rFonts w:eastAsia="Malgun Gothic"/>
          <w:b/>
          <w:lang w:val="fr-FR"/>
        </w:rPr>
        <w:t>Suisse</w:t>
      </w:r>
      <w:r>
        <w:rPr>
          <w:rFonts w:eastAsia="Malgun Gothic"/>
          <w:bCs/>
          <w:lang w:val="fr-FR"/>
        </w:rPr>
        <w:t>, qui estimait que les critères précédemment mentionnés n</w:t>
      </w:r>
      <w:r w:rsidR="00923E72">
        <w:rPr>
          <w:rFonts w:eastAsia="Malgun Gothic"/>
          <w:bCs/>
          <w:lang w:val="fr-FR"/>
        </w:rPr>
        <w:t>’</w:t>
      </w:r>
      <w:r>
        <w:rPr>
          <w:rFonts w:eastAsia="Malgun Gothic"/>
          <w:bCs/>
          <w:lang w:val="fr-FR"/>
        </w:rPr>
        <w:t>étaient pas satisfaits, s</w:t>
      </w:r>
      <w:r w:rsidR="00923E72">
        <w:rPr>
          <w:rFonts w:eastAsia="Malgun Gothic"/>
          <w:bCs/>
          <w:lang w:val="fr-FR"/>
        </w:rPr>
        <w:t>’</w:t>
      </w:r>
      <w:r>
        <w:rPr>
          <w:rFonts w:eastAsia="Malgun Gothic"/>
          <w:bCs/>
          <w:lang w:val="fr-FR"/>
        </w:rPr>
        <w:t>est opposée à l</w:t>
      </w:r>
      <w:r w:rsidR="00923E72">
        <w:rPr>
          <w:rFonts w:eastAsia="Malgun Gothic"/>
          <w:bCs/>
          <w:lang w:val="fr-FR"/>
        </w:rPr>
        <w:t>’</w:t>
      </w:r>
      <w:r w:rsidRPr="00C75BE7">
        <w:rPr>
          <w:rFonts w:eastAsia="Malgun Gothic"/>
          <w:bCs/>
          <w:lang w:val="fr-FR"/>
        </w:rPr>
        <w:t>inscription</w:t>
      </w:r>
      <w:r>
        <w:rPr>
          <w:rFonts w:eastAsia="Malgun Gothic"/>
          <w:bCs/>
          <w:lang w:val="fr-FR"/>
        </w:rPr>
        <w:t>.</w:t>
      </w:r>
    </w:p>
    <w:p w14:paraId="39E491F2" w14:textId="2EE5B5BD" w:rsidR="00C75BE7" w:rsidRDefault="00C75BE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C75BE7">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Éthiopie</w:t>
      </w:r>
      <w:r>
        <w:rPr>
          <w:rFonts w:eastAsia="Malgun Gothic"/>
          <w:bCs/>
          <w:lang w:val="fr-FR"/>
        </w:rPr>
        <w:t xml:space="preserve"> a souligné que l</w:t>
      </w:r>
      <w:r w:rsidR="00923E72">
        <w:rPr>
          <w:rFonts w:eastAsia="Malgun Gothic"/>
          <w:bCs/>
          <w:lang w:val="fr-FR"/>
        </w:rPr>
        <w:t>’</w:t>
      </w:r>
      <w:r>
        <w:rPr>
          <w:rFonts w:eastAsia="Malgun Gothic"/>
          <w:bCs/>
          <w:lang w:val="fr-FR"/>
        </w:rPr>
        <w:t>écrasante majorité des membres du Comité avaient fondé leur opinion sur la base de l</w:t>
      </w:r>
      <w:r w:rsidR="00923E72">
        <w:rPr>
          <w:rFonts w:eastAsia="Malgun Gothic"/>
          <w:bCs/>
          <w:lang w:val="fr-FR"/>
        </w:rPr>
        <w:t>’</w:t>
      </w:r>
      <w:r>
        <w:rPr>
          <w:rFonts w:eastAsia="Malgun Gothic"/>
          <w:bCs/>
          <w:lang w:val="fr-FR"/>
        </w:rPr>
        <w:t xml:space="preserve">explication donnée par Cuba. Elle soutenait donc pleinement le </w:t>
      </w:r>
      <w:r w:rsidRPr="00C75BE7">
        <w:rPr>
          <w:rFonts w:eastAsia="Malgun Gothic"/>
          <w:bCs/>
          <w:lang w:val="fr-FR"/>
        </w:rPr>
        <w:t>paragraphe</w:t>
      </w:r>
      <w:r w:rsidR="009A30ED">
        <w:rPr>
          <w:rFonts w:eastAsia="Malgun Gothic"/>
          <w:bCs/>
          <w:lang w:val="fr-FR"/>
        </w:rPr>
        <w:t> </w:t>
      </w:r>
      <w:r>
        <w:rPr>
          <w:rFonts w:eastAsia="Malgun Gothic"/>
          <w:bCs/>
          <w:lang w:val="fr-FR"/>
        </w:rPr>
        <w:t>4 tel qu</w:t>
      </w:r>
      <w:r w:rsidR="00923E72">
        <w:rPr>
          <w:rFonts w:eastAsia="Malgun Gothic"/>
          <w:bCs/>
          <w:lang w:val="fr-FR"/>
        </w:rPr>
        <w:t>’</w:t>
      </w:r>
      <w:r>
        <w:rPr>
          <w:rFonts w:eastAsia="Malgun Gothic"/>
          <w:bCs/>
          <w:lang w:val="fr-FR"/>
        </w:rPr>
        <w:t>amendé.</w:t>
      </w:r>
    </w:p>
    <w:p w14:paraId="66F2C275" w14:textId="7CB47D0F" w:rsidR="00C75BE7" w:rsidRDefault="00C75BE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75BE7">
        <w:rPr>
          <w:rFonts w:eastAsia="Malgun Gothic"/>
          <w:bCs/>
          <w:lang w:val="fr-FR"/>
        </w:rPr>
        <w:t xml:space="preserve">La délégation de la </w:t>
      </w:r>
      <w:r w:rsidRPr="00702497">
        <w:rPr>
          <w:rFonts w:eastAsia="Malgun Gothic"/>
          <w:b/>
          <w:lang w:val="fr-FR"/>
        </w:rPr>
        <w:t>Tchéquie</w:t>
      </w:r>
      <w:r w:rsidRPr="00C75BE7">
        <w:rPr>
          <w:rFonts w:eastAsia="Malgun Gothic"/>
          <w:bCs/>
          <w:lang w:val="fr-FR"/>
        </w:rPr>
        <w:t xml:space="preserve"> souhait</w:t>
      </w:r>
      <w:r>
        <w:rPr>
          <w:rFonts w:eastAsia="Malgun Gothic"/>
          <w:bCs/>
          <w:lang w:val="fr-FR"/>
        </w:rPr>
        <w:t>ait</w:t>
      </w:r>
      <w:r w:rsidRPr="00C75BE7">
        <w:rPr>
          <w:rFonts w:eastAsia="Malgun Gothic"/>
          <w:bCs/>
          <w:lang w:val="fr-FR"/>
        </w:rPr>
        <w:t xml:space="preserve"> conserver le texte du paragraphe</w:t>
      </w:r>
      <w:r w:rsidR="009A30ED">
        <w:rPr>
          <w:rFonts w:eastAsia="Malgun Gothic"/>
          <w:bCs/>
          <w:lang w:val="fr-FR"/>
        </w:rPr>
        <w:t> </w:t>
      </w:r>
      <w:r w:rsidRPr="00C75BE7">
        <w:rPr>
          <w:rFonts w:eastAsia="Malgun Gothic"/>
          <w:bCs/>
          <w:lang w:val="fr-FR"/>
        </w:rPr>
        <w:t>5</w:t>
      </w:r>
      <w:r>
        <w:rPr>
          <w:rFonts w:eastAsia="Malgun Gothic"/>
          <w:bCs/>
          <w:lang w:val="fr-FR"/>
        </w:rPr>
        <w:t xml:space="preserve"> amendé, ainsi rédigé </w:t>
      </w:r>
      <w:r w:rsidRPr="00C75BE7">
        <w:rPr>
          <w:rFonts w:eastAsia="Malgun Gothic"/>
          <w:bCs/>
          <w:lang w:val="fr-FR"/>
        </w:rPr>
        <w:t xml:space="preserve">: </w:t>
      </w:r>
      <w:r>
        <w:rPr>
          <w:rFonts w:eastAsia="Malgun Gothic"/>
          <w:bCs/>
          <w:lang w:val="fr-FR"/>
        </w:rPr>
        <w:t>« </w:t>
      </w:r>
      <w:r w:rsidRPr="00C75BE7">
        <w:rPr>
          <w:rFonts w:eastAsia="Malgun Gothic"/>
          <w:bCs/>
          <w:lang w:val="fr-FR"/>
        </w:rPr>
        <w:t>Encourage l</w:t>
      </w:r>
      <w:r w:rsidR="00923E72">
        <w:rPr>
          <w:rFonts w:eastAsia="Malgun Gothic"/>
          <w:bCs/>
          <w:lang w:val="fr-FR"/>
        </w:rPr>
        <w:t>’</w:t>
      </w:r>
      <w:r w:rsidRPr="00C75BE7">
        <w:rPr>
          <w:rFonts w:eastAsia="Malgun Gothic"/>
          <w:bCs/>
          <w:lang w:val="fr-FR"/>
        </w:rPr>
        <w:t>État partie, lors</w:t>
      </w:r>
      <w:r>
        <w:rPr>
          <w:rFonts w:eastAsia="Malgun Gothic"/>
          <w:bCs/>
          <w:lang w:val="fr-FR"/>
        </w:rPr>
        <w:t>qu</w:t>
      </w:r>
      <w:r w:rsidR="00923E72">
        <w:rPr>
          <w:rFonts w:eastAsia="Malgun Gothic"/>
          <w:bCs/>
          <w:lang w:val="fr-FR"/>
        </w:rPr>
        <w:t>’</w:t>
      </w:r>
      <w:r>
        <w:rPr>
          <w:rFonts w:eastAsia="Malgun Gothic"/>
          <w:bCs/>
          <w:lang w:val="fr-FR"/>
        </w:rPr>
        <w:t>il</w:t>
      </w:r>
      <w:r w:rsidRPr="00C75BE7">
        <w:rPr>
          <w:rFonts w:eastAsia="Malgun Gothic"/>
          <w:bCs/>
          <w:lang w:val="fr-FR"/>
        </w:rPr>
        <w:t xml:space="preserve"> sauvegarde l</w:t>
      </w:r>
      <w:r w:rsidR="00923E72">
        <w:rPr>
          <w:rFonts w:eastAsia="Malgun Gothic"/>
          <w:bCs/>
          <w:lang w:val="fr-FR"/>
        </w:rPr>
        <w:t>’</w:t>
      </w:r>
      <w:r w:rsidRPr="00C75BE7">
        <w:rPr>
          <w:rFonts w:eastAsia="Malgun Gothic"/>
          <w:bCs/>
          <w:lang w:val="fr-FR"/>
        </w:rPr>
        <w:t xml:space="preserve">élément, à </w:t>
      </w:r>
      <w:r>
        <w:rPr>
          <w:rFonts w:eastAsia="Malgun Gothic"/>
          <w:bCs/>
          <w:lang w:val="fr-FR"/>
        </w:rPr>
        <w:t xml:space="preserve">se concentrer </w:t>
      </w:r>
      <w:r w:rsidRPr="00C75BE7">
        <w:rPr>
          <w:rFonts w:eastAsia="Malgun Gothic"/>
          <w:bCs/>
          <w:lang w:val="fr-FR"/>
        </w:rPr>
        <w:t xml:space="preserve">sur </w:t>
      </w:r>
      <w:r>
        <w:rPr>
          <w:rFonts w:eastAsia="Malgun Gothic"/>
          <w:bCs/>
          <w:lang w:val="fr-FR"/>
        </w:rPr>
        <w:t>s</w:t>
      </w:r>
      <w:r w:rsidRPr="00C75BE7">
        <w:rPr>
          <w:rFonts w:eastAsia="Malgun Gothic"/>
          <w:bCs/>
          <w:lang w:val="fr-FR"/>
        </w:rPr>
        <w:t>es fonctions sociales et culturelles</w:t>
      </w:r>
      <w:r>
        <w:rPr>
          <w:rFonts w:eastAsia="Malgun Gothic"/>
          <w:bCs/>
          <w:lang w:val="fr-FR"/>
        </w:rPr>
        <w:t> »</w:t>
      </w:r>
      <w:r w:rsidR="0008099E">
        <w:rPr>
          <w:rFonts w:eastAsia="Malgun Gothic"/>
          <w:bCs/>
          <w:lang w:val="fr-FR"/>
        </w:rPr>
        <w:t>.</w:t>
      </w:r>
    </w:p>
    <w:p w14:paraId="6C84C8B3" w14:textId="2B130C0F" w:rsidR="00C75BE7" w:rsidRDefault="00C75BE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Secrétaire</w:t>
      </w:r>
      <w:r>
        <w:rPr>
          <w:rFonts w:eastAsia="Malgun Gothic"/>
          <w:bCs/>
          <w:lang w:val="fr-FR"/>
        </w:rPr>
        <w:t xml:space="preserve"> a demandé à la Tchéquie si elle </w:t>
      </w:r>
      <w:r w:rsidR="003826F0">
        <w:rPr>
          <w:rFonts w:eastAsia="Malgun Gothic"/>
          <w:bCs/>
          <w:lang w:val="fr-FR"/>
        </w:rPr>
        <w:t xml:space="preserve">souhaitait conserver le </w:t>
      </w:r>
      <w:r w:rsidR="003826F0" w:rsidRPr="003826F0">
        <w:rPr>
          <w:rFonts w:eastAsia="Malgun Gothic"/>
          <w:bCs/>
          <w:lang w:val="fr-FR"/>
        </w:rPr>
        <w:t>paragraphe</w:t>
      </w:r>
      <w:r w:rsidR="009A30ED">
        <w:rPr>
          <w:rFonts w:eastAsia="Malgun Gothic"/>
          <w:bCs/>
          <w:lang w:val="fr-FR"/>
        </w:rPr>
        <w:t> </w:t>
      </w:r>
      <w:r w:rsidR="003826F0">
        <w:rPr>
          <w:rFonts w:eastAsia="Malgun Gothic"/>
          <w:bCs/>
          <w:lang w:val="fr-FR"/>
        </w:rPr>
        <w:t xml:space="preserve">5, car le Comité était en train de débattre du </w:t>
      </w:r>
      <w:r w:rsidR="003826F0" w:rsidRPr="003826F0">
        <w:rPr>
          <w:rFonts w:eastAsia="Malgun Gothic"/>
          <w:bCs/>
          <w:lang w:val="fr-FR"/>
        </w:rPr>
        <w:t>paragraphe</w:t>
      </w:r>
      <w:r w:rsidR="0008099E">
        <w:rPr>
          <w:rFonts w:eastAsia="Malgun Gothic"/>
          <w:bCs/>
          <w:lang w:val="fr-FR"/>
        </w:rPr>
        <w:t> </w:t>
      </w:r>
      <w:r w:rsidR="003826F0">
        <w:rPr>
          <w:rFonts w:eastAsia="Malgun Gothic"/>
          <w:bCs/>
          <w:lang w:val="fr-FR"/>
        </w:rPr>
        <w:t>4.</w:t>
      </w:r>
    </w:p>
    <w:p w14:paraId="10CC4C36" w14:textId="1A78E1E2" w:rsidR="003826F0" w:rsidRDefault="003826F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3826F0">
        <w:rPr>
          <w:rFonts w:eastAsia="Malgun Gothic"/>
          <w:bCs/>
          <w:lang w:val="fr-FR"/>
        </w:rPr>
        <w:t>délégation</w:t>
      </w:r>
      <w:r>
        <w:rPr>
          <w:rFonts w:eastAsia="Malgun Gothic"/>
          <w:bCs/>
          <w:lang w:val="fr-FR"/>
        </w:rPr>
        <w:t xml:space="preserve"> de la </w:t>
      </w:r>
      <w:r w:rsidRPr="00702497">
        <w:rPr>
          <w:rFonts w:eastAsia="Malgun Gothic"/>
          <w:b/>
          <w:lang w:val="fr-FR"/>
        </w:rPr>
        <w:t>Tchéquie</w:t>
      </w:r>
      <w:r>
        <w:rPr>
          <w:rFonts w:eastAsia="Malgun Gothic"/>
          <w:bCs/>
          <w:lang w:val="fr-FR"/>
        </w:rPr>
        <w:t xml:space="preserve"> a expliqué qu</w:t>
      </w:r>
      <w:r w:rsidR="00923E72">
        <w:rPr>
          <w:rFonts w:eastAsia="Malgun Gothic"/>
          <w:bCs/>
          <w:lang w:val="fr-FR"/>
        </w:rPr>
        <w:t>’</w:t>
      </w:r>
      <w:r>
        <w:rPr>
          <w:rFonts w:eastAsia="Malgun Gothic"/>
          <w:bCs/>
          <w:lang w:val="fr-FR"/>
        </w:rPr>
        <w:t xml:space="preserve">elle souhaitait conserver le </w:t>
      </w:r>
      <w:r w:rsidRPr="003826F0">
        <w:rPr>
          <w:rFonts w:eastAsia="Malgun Gothic"/>
          <w:bCs/>
          <w:lang w:val="fr-FR"/>
        </w:rPr>
        <w:t>paragraphe</w:t>
      </w:r>
      <w:r w:rsidR="0008099E">
        <w:rPr>
          <w:rFonts w:eastAsia="Malgun Gothic"/>
          <w:bCs/>
          <w:lang w:val="fr-FR"/>
        </w:rPr>
        <w:t> </w:t>
      </w:r>
      <w:r>
        <w:rPr>
          <w:rFonts w:eastAsia="Malgun Gothic"/>
          <w:bCs/>
          <w:lang w:val="fr-FR"/>
        </w:rPr>
        <w:t>5</w:t>
      </w:r>
      <w:r w:rsidR="00F92345">
        <w:rPr>
          <w:rFonts w:eastAsia="Malgun Gothic"/>
          <w:bCs/>
          <w:lang w:val="fr-FR"/>
        </w:rPr>
        <w:t>,</w:t>
      </w:r>
      <w:r>
        <w:rPr>
          <w:rFonts w:eastAsia="Malgun Gothic"/>
          <w:bCs/>
          <w:lang w:val="fr-FR"/>
        </w:rPr>
        <w:t xml:space="preserve"> qui commençait par : « Encourage l</w:t>
      </w:r>
      <w:r w:rsidR="00923E72">
        <w:rPr>
          <w:rFonts w:eastAsia="Malgun Gothic"/>
          <w:bCs/>
          <w:lang w:val="fr-FR"/>
        </w:rPr>
        <w:t>’</w:t>
      </w:r>
      <w:r>
        <w:rPr>
          <w:rFonts w:eastAsia="Malgun Gothic"/>
          <w:bCs/>
          <w:lang w:val="fr-FR"/>
        </w:rPr>
        <w:t>État partie, lorsqu</w:t>
      </w:r>
      <w:r w:rsidR="00923E72">
        <w:rPr>
          <w:rFonts w:eastAsia="Malgun Gothic"/>
          <w:bCs/>
          <w:lang w:val="fr-FR"/>
        </w:rPr>
        <w:t>’</w:t>
      </w:r>
      <w:r>
        <w:rPr>
          <w:rFonts w:eastAsia="Malgun Gothic"/>
          <w:bCs/>
          <w:lang w:val="fr-FR"/>
        </w:rPr>
        <w:t>il soumettra […] », la dernière partie étant supprimée</w:t>
      </w:r>
      <w:r w:rsidR="00A069FA">
        <w:rPr>
          <w:rFonts w:eastAsia="Malgun Gothic"/>
          <w:bCs/>
          <w:lang w:val="fr-FR"/>
        </w:rPr>
        <w:t>,</w:t>
      </w:r>
      <w:r>
        <w:rPr>
          <w:rFonts w:eastAsia="Malgun Gothic"/>
          <w:bCs/>
          <w:lang w:val="fr-FR"/>
        </w:rPr>
        <w:t xml:space="preserve"> puisque l</w:t>
      </w:r>
      <w:r w:rsidR="00923E72">
        <w:rPr>
          <w:rFonts w:eastAsia="Malgun Gothic"/>
          <w:bCs/>
          <w:lang w:val="fr-FR"/>
        </w:rPr>
        <w:t>’</w:t>
      </w:r>
      <w:r>
        <w:rPr>
          <w:rFonts w:eastAsia="Malgun Gothic"/>
          <w:bCs/>
          <w:lang w:val="fr-FR"/>
        </w:rPr>
        <w:t xml:space="preserve">élément serait inscrit. Le </w:t>
      </w:r>
      <w:r w:rsidRPr="003826F0">
        <w:rPr>
          <w:rFonts w:eastAsia="Malgun Gothic"/>
          <w:bCs/>
          <w:lang w:val="fr-FR"/>
        </w:rPr>
        <w:t>paragraphe</w:t>
      </w:r>
      <w:r>
        <w:rPr>
          <w:rFonts w:eastAsia="Malgun Gothic"/>
          <w:bCs/>
          <w:lang w:val="fr-FR"/>
        </w:rPr>
        <w:t xml:space="preserve"> serait donc ainsi rédigé : « </w:t>
      </w:r>
      <w:r w:rsidRPr="00C75BE7">
        <w:rPr>
          <w:rFonts w:eastAsia="Malgun Gothic"/>
          <w:bCs/>
          <w:lang w:val="fr-FR"/>
        </w:rPr>
        <w:t>Encourage l</w:t>
      </w:r>
      <w:r w:rsidR="00923E72">
        <w:rPr>
          <w:rFonts w:eastAsia="Malgun Gothic"/>
          <w:bCs/>
          <w:lang w:val="fr-FR"/>
        </w:rPr>
        <w:t>’</w:t>
      </w:r>
      <w:r w:rsidRPr="00C75BE7">
        <w:rPr>
          <w:rFonts w:eastAsia="Malgun Gothic"/>
          <w:bCs/>
          <w:lang w:val="fr-FR"/>
        </w:rPr>
        <w:t>État partie, lors</w:t>
      </w:r>
      <w:r>
        <w:rPr>
          <w:rFonts w:eastAsia="Malgun Gothic"/>
          <w:bCs/>
          <w:lang w:val="fr-FR"/>
        </w:rPr>
        <w:t>qu</w:t>
      </w:r>
      <w:r w:rsidR="00923E72">
        <w:rPr>
          <w:rFonts w:eastAsia="Malgun Gothic"/>
          <w:bCs/>
          <w:lang w:val="fr-FR"/>
        </w:rPr>
        <w:t>’</w:t>
      </w:r>
      <w:r>
        <w:rPr>
          <w:rFonts w:eastAsia="Malgun Gothic"/>
          <w:bCs/>
          <w:lang w:val="fr-FR"/>
        </w:rPr>
        <w:t>il</w:t>
      </w:r>
      <w:r w:rsidRPr="00C75BE7">
        <w:rPr>
          <w:rFonts w:eastAsia="Malgun Gothic"/>
          <w:bCs/>
          <w:lang w:val="fr-FR"/>
        </w:rPr>
        <w:t xml:space="preserve"> sauvegarde l</w:t>
      </w:r>
      <w:r w:rsidR="00923E72">
        <w:rPr>
          <w:rFonts w:eastAsia="Malgun Gothic"/>
          <w:bCs/>
          <w:lang w:val="fr-FR"/>
        </w:rPr>
        <w:t>’</w:t>
      </w:r>
      <w:r w:rsidRPr="00C75BE7">
        <w:rPr>
          <w:rFonts w:eastAsia="Malgun Gothic"/>
          <w:bCs/>
          <w:lang w:val="fr-FR"/>
        </w:rPr>
        <w:t xml:space="preserve">élément, à </w:t>
      </w:r>
      <w:r>
        <w:rPr>
          <w:rFonts w:eastAsia="Malgun Gothic"/>
          <w:bCs/>
          <w:lang w:val="fr-FR"/>
        </w:rPr>
        <w:t xml:space="preserve">se concentrer </w:t>
      </w:r>
      <w:r w:rsidRPr="00C75BE7">
        <w:rPr>
          <w:rFonts w:eastAsia="Malgun Gothic"/>
          <w:bCs/>
          <w:lang w:val="fr-FR"/>
        </w:rPr>
        <w:t xml:space="preserve">sur </w:t>
      </w:r>
      <w:r>
        <w:rPr>
          <w:rFonts w:eastAsia="Malgun Gothic"/>
          <w:bCs/>
          <w:lang w:val="fr-FR"/>
        </w:rPr>
        <w:t>s</w:t>
      </w:r>
      <w:r w:rsidRPr="00C75BE7">
        <w:rPr>
          <w:rFonts w:eastAsia="Malgun Gothic"/>
          <w:bCs/>
          <w:lang w:val="fr-FR"/>
        </w:rPr>
        <w:t>es fonctions sociales et culturelles</w:t>
      </w:r>
      <w:r w:rsidR="0083033C">
        <w:rPr>
          <w:rFonts w:eastAsia="Malgun Gothic"/>
          <w:bCs/>
          <w:lang w:val="fr-FR"/>
        </w:rPr>
        <w:t>.</w:t>
      </w:r>
      <w:r>
        <w:rPr>
          <w:rFonts w:eastAsia="Malgun Gothic"/>
          <w:bCs/>
          <w:lang w:val="fr-FR"/>
        </w:rPr>
        <w:t> »</w:t>
      </w:r>
    </w:p>
    <w:p w14:paraId="2C8E865A" w14:textId="1D9FA994" w:rsidR="003826F0" w:rsidRDefault="003826F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noté que la Suède souhaitait ajouter cette phrase supprimée du </w:t>
      </w:r>
      <w:r w:rsidRPr="003826F0">
        <w:rPr>
          <w:rFonts w:eastAsia="Malgun Gothic"/>
          <w:bCs/>
          <w:lang w:val="fr-FR"/>
        </w:rPr>
        <w:t>paragraphe</w:t>
      </w:r>
      <w:r>
        <w:rPr>
          <w:rFonts w:eastAsia="Malgun Gothic"/>
          <w:bCs/>
          <w:lang w:val="fr-FR"/>
        </w:rPr>
        <w:t xml:space="preserve"> 5 au texte du </w:t>
      </w:r>
      <w:r w:rsidRPr="003826F0">
        <w:rPr>
          <w:rFonts w:eastAsia="Malgun Gothic"/>
          <w:bCs/>
          <w:lang w:val="fr-FR"/>
        </w:rPr>
        <w:t>paragraphe</w:t>
      </w:r>
      <w:r>
        <w:rPr>
          <w:rFonts w:eastAsia="Malgun Gothic"/>
          <w:bCs/>
          <w:lang w:val="fr-FR"/>
        </w:rPr>
        <w:t> 4.</w:t>
      </w:r>
    </w:p>
    <w:p w14:paraId="078D4B48" w14:textId="7CE5F50D" w:rsidR="003826F0" w:rsidRPr="00702497" w:rsidRDefault="003826F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3826F0">
        <w:rPr>
          <w:rFonts w:eastAsia="Malgun Gothic"/>
          <w:bCs/>
          <w:lang w:val="fr-FR"/>
        </w:rPr>
        <w:t>délégation</w:t>
      </w:r>
      <w:r>
        <w:rPr>
          <w:rFonts w:eastAsia="Malgun Gothic"/>
          <w:bCs/>
          <w:lang w:val="fr-FR"/>
        </w:rPr>
        <w:t xml:space="preserve"> de la </w:t>
      </w:r>
      <w:r w:rsidRPr="00702497">
        <w:rPr>
          <w:rFonts w:eastAsia="Malgun Gothic"/>
          <w:b/>
          <w:lang w:val="fr-FR"/>
        </w:rPr>
        <w:t>Suède</w:t>
      </w:r>
      <w:r>
        <w:rPr>
          <w:rFonts w:eastAsia="Malgun Gothic"/>
          <w:bCs/>
          <w:lang w:val="fr-FR"/>
        </w:rPr>
        <w:t xml:space="preserve"> a </w:t>
      </w:r>
      <w:r w:rsidRPr="003826F0">
        <w:rPr>
          <w:rFonts w:eastAsia="Malgun Gothic"/>
          <w:bCs/>
          <w:color w:val="000000" w:themeColor="text1"/>
          <w:lang w:val="fr-FR"/>
        </w:rPr>
        <w:t>également</w:t>
      </w:r>
      <w:r>
        <w:rPr>
          <w:rFonts w:eastAsia="Malgun Gothic"/>
          <w:bCs/>
          <w:color w:val="000000" w:themeColor="text1"/>
          <w:lang w:val="fr-FR"/>
        </w:rPr>
        <w:t xml:space="preserve"> exprimé son opposition à l</w:t>
      </w:r>
      <w:r w:rsidR="00923E72">
        <w:rPr>
          <w:rFonts w:eastAsia="Malgun Gothic"/>
          <w:bCs/>
          <w:color w:val="000000" w:themeColor="text1"/>
          <w:lang w:val="fr-FR"/>
        </w:rPr>
        <w:t>’</w:t>
      </w:r>
      <w:r w:rsidRPr="003826F0">
        <w:rPr>
          <w:rFonts w:eastAsia="Malgun Gothic"/>
          <w:bCs/>
          <w:color w:val="000000" w:themeColor="text1"/>
          <w:lang w:val="fr-FR"/>
        </w:rPr>
        <w:t>inscription</w:t>
      </w:r>
      <w:r>
        <w:rPr>
          <w:rFonts w:eastAsia="Malgun Gothic"/>
          <w:bCs/>
          <w:color w:val="000000" w:themeColor="text1"/>
          <w:lang w:val="fr-FR"/>
        </w:rPr>
        <w:t xml:space="preserve"> de l</w:t>
      </w:r>
      <w:r w:rsidR="00923E72">
        <w:rPr>
          <w:rFonts w:eastAsia="Malgun Gothic"/>
          <w:bCs/>
          <w:color w:val="000000" w:themeColor="text1"/>
          <w:lang w:val="fr-FR"/>
        </w:rPr>
        <w:t>’</w:t>
      </w:r>
      <w:r>
        <w:rPr>
          <w:rFonts w:eastAsia="Malgun Gothic"/>
          <w:bCs/>
          <w:color w:val="000000" w:themeColor="text1"/>
          <w:lang w:val="fr-FR"/>
        </w:rPr>
        <w:t>élément, et son soutien à l</w:t>
      </w:r>
      <w:r w:rsidR="00923E72">
        <w:rPr>
          <w:rFonts w:eastAsia="Malgun Gothic"/>
          <w:bCs/>
          <w:color w:val="000000" w:themeColor="text1"/>
          <w:lang w:val="fr-FR"/>
        </w:rPr>
        <w:t>’</w:t>
      </w:r>
      <w:r w:rsidRPr="003826F0">
        <w:rPr>
          <w:rFonts w:eastAsia="Malgun Gothic"/>
          <w:bCs/>
          <w:color w:val="000000" w:themeColor="text1"/>
          <w:lang w:val="fr-FR"/>
        </w:rPr>
        <w:t>amendement</w:t>
      </w:r>
      <w:r>
        <w:rPr>
          <w:rFonts w:eastAsia="Malgun Gothic"/>
          <w:bCs/>
          <w:color w:val="000000" w:themeColor="text1"/>
          <w:lang w:val="fr-FR"/>
        </w:rPr>
        <w:t xml:space="preserve"> proposé par la Tchéquie.</w:t>
      </w:r>
    </w:p>
    <w:p w14:paraId="4B390329" w14:textId="7EBC6D3D" w:rsidR="003826F0" w:rsidRDefault="003826F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826F0">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8D3070">
        <w:rPr>
          <w:rFonts w:eastAsia="Malgun Gothic"/>
          <w:b/>
          <w:lang w:val="fr-FR"/>
        </w:rPr>
        <w:t> </w:t>
      </w:r>
      <w:r w:rsidRPr="00702497">
        <w:rPr>
          <w:rFonts w:eastAsia="Malgun Gothic"/>
          <w:b/>
          <w:lang w:val="fr-FR"/>
        </w:rPr>
        <w:t xml:space="preserve">saoudite </w:t>
      </w:r>
      <w:r w:rsidRPr="00702497">
        <w:rPr>
          <w:rFonts w:eastAsia="Malgun Gothic"/>
          <w:bCs/>
          <w:lang w:val="fr-FR"/>
        </w:rPr>
        <w:t xml:space="preserve">a </w:t>
      </w:r>
      <w:r w:rsidRPr="003826F0">
        <w:rPr>
          <w:rFonts w:eastAsia="Malgun Gothic"/>
          <w:bCs/>
          <w:lang w:val="fr-FR"/>
        </w:rPr>
        <w:t xml:space="preserve">fait remarquer que, puisque les critères </w:t>
      </w:r>
      <w:r>
        <w:rPr>
          <w:rFonts w:eastAsia="Malgun Gothic"/>
          <w:bCs/>
          <w:lang w:val="fr-FR"/>
        </w:rPr>
        <w:t xml:space="preserve">avaient déjà </w:t>
      </w:r>
      <w:r w:rsidRPr="003826F0">
        <w:rPr>
          <w:rFonts w:eastAsia="Malgun Gothic"/>
          <w:bCs/>
          <w:lang w:val="fr-FR"/>
        </w:rPr>
        <w:t>été adoptés, le paragraphe</w:t>
      </w:r>
      <w:r w:rsidR="009A30ED">
        <w:rPr>
          <w:rFonts w:eastAsia="Malgun Gothic"/>
          <w:bCs/>
          <w:lang w:val="fr-FR"/>
        </w:rPr>
        <w:t> </w:t>
      </w:r>
      <w:r w:rsidRPr="003826F0">
        <w:rPr>
          <w:rFonts w:eastAsia="Malgun Gothic"/>
          <w:bCs/>
          <w:lang w:val="fr-FR"/>
        </w:rPr>
        <w:t>4 se</w:t>
      </w:r>
      <w:r>
        <w:rPr>
          <w:rFonts w:eastAsia="Malgun Gothic"/>
          <w:bCs/>
          <w:lang w:val="fr-FR"/>
        </w:rPr>
        <w:t xml:space="preserve">rait </w:t>
      </w:r>
      <w:r w:rsidRPr="003826F0">
        <w:rPr>
          <w:rFonts w:eastAsia="Malgun Gothic"/>
          <w:bCs/>
          <w:lang w:val="fr-FR"/>
        </w:rPr>
        <w:t>évidemment</w:t>
      </w:r>
      <w:r>
        <w:rPr>
          <w:rFonts w:eastAsia="Malgun Gothic"/>
          <w:bCs/>
          <w:lang w:val="fr-FR"/>
        </w:rPr>
        <w:t xml:space="preserve"> ainsi rédigé </w:t>
      </w:r>
      <w:r w:rsidRPr="003826F0">
        <w:rPr>
          <w:rFonts w:eastAsia="Malgun Gothic"/>
          <w:bCs/>
          <w:lang w:val="fr-FR"/>
        </w:rPr>
        <w:t xml:space="preserve">: </w:t>
      </w:r>
      <w:r>
        <w:rPr>
          <w:rFonts w:eastAsia="Malgun Gothic"/>
          <w:bCs/>
          <w:lang w:val="fr-FR"/>
        </w:rPr>
        <w:t>« </w:t>
      </w:r>
      <w:r w:rsidRPr="003826F0">
        <w:rPr>
          <w:rFonts w:eastAsia="Malgun Gothic"/>
          <w:bCs/>
          <w:lang w:val="fr-FR"/>
        </w:rPr>
        <w:t>Décide d</w:t>
      </w:r>
      <w:r w:rsidR="00923E72">
        <w:rPr>
          <w:rFonts w:eastAsia="Malgun Gothic"/>
          <w:bCs/>
          <w:lang w:val="fr-FR"/>
        </w:rPr>
        <w:t>’</w:t>
      </w:r>
      <w:r w:rsidRPr="003826F0">
        <w:rPr>
          <w:rFonts w:eastAsia="Malgun Gothic"/>
          <w:bCs/>
          <w:lang w:val="fr-FR"/>
        </w:rPr>
        <w:t>inscrire</w:t>
      </w:r>
      <w:r w:rsidR="009A30ED">
        <w:rPr>
          <w:rFonts w:eastAsia="Malgun Gothic"/>
          <w:bCs/>
          <w:lang w:val="fr-FR"/>
        </w:rPr>
        <w:t>… »</w:t>
      </w:r>
      <w:r w:rsidRPr="003826F0">
        <w:rPr>
          <w:rFonts w:eastAsia="Malgun Gothic"/>
          <w:bCs/>
          <w:lang w:val="fr-FR"/>
        </w:rPr>
        <w:t>, ajoutant que l</w:t>
      </w:r>
      <w:r w:rsidR="00923E72">
        <w:rPr>
          <w:rFonts w:eastAsia="Malgun Gothic"/>
          <w:bCs/>
          <w:lang w:val="fr-FR"/>
        </w:rPr>
        <w:t>’</w:t>
      </w:r>
      <w:r w:rsidR="009A30ED">
        <w:rPr>
          <w:rFonts w:eastAsia="Malgun Gothic"/>
          <w:bCs/>
          <w:lang w:val="fr-FR"/>
        </w:rPr>
        <w:t>on pourrait débattre du</w:t>
      </w:r>
      <w:r w:rsidRPr="003826F0">
        <w:rPr>
          <w:rFonts w:eastAsia="Malgun Gothic"/>
          <w:bCs/>
          <w:lang w:val="fr-FR"/>
        </w:rPr>
        <w:t xml:space="preserve"> paragraphe supplémentaire proposé par la Tchéquie après l</w:t>
      </w:r>
      <w:r w:rsidR="00923E72">
        <w:rPr>
          <w:rFonts w:eastAsia="Malgun Gothic"/>
          <w:bCs/>
          <w:lang w:val="fr-FR"/>
        </w:rPr>
        <w:t>’</w:t>
      </w:r>
      <w:r w:rsidRPr="003826F0">
        <w:rPr>
          <w:rFonts w:eastAsia="Malgun Gothic"/>
          <w:bCs/>
          <w:lang w:val="fr-FR"/>
        </w:rPr>
        <w:t>adoption du paragraphe</w:t>
      </w:r>
      <w:r w:rsidR="009A30ED">
        <w:rPr>
          <w:rFonts w:eastAsia="Malgun Gothic"/>
          <w:bCs/>
          <w:lang w:val="fr-FR"/>
        </w:rPr>
        <w:t> </w:t>
      </w:r>
      <w:r w:rsidRPr="003826F0">
        <w:rPr>
          <w:rFonts w:eastAsia="Malgun Gothic"/>
          <w:bCs/>
          <w:lang w:val="fr-FR"/>
        </w:rPr>
        <w:t>4.</w:t>
      </w:r>
    </w:p>
    <w:p w14:paraId="3EFA95DC" w14:textId="1DB7AFA7" w:rsidR="009A30ED" w:rsidRDefault="009A30E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9A30ED">
        <w:rPr>
          <w:rFonts w:eastAsia="Malgun Gothic"/>
          <w:bCs/>
          <w:lang w:val="fr-FR"/>
        </w:rPr>
        <w:t>délégation</w:t>
      </w:r>
      <w:r>
        <w:rPr>
          <w:rFonts w:eastAsia="Malgun Gothic"/>
          <w:bCs/>
          <w:lang w:val="fr-FR"/>
        </w:rPr>
        <w:t xml:space="preserve"> de la </w:t>
      </w:r>
      <w:r w:rsidRPr="00702497">
        <w:rPr>
          <w:rFonts w:eastAsia="Malgun Gothic"/>
          <w:b/>
          <w:lang w:val="fr-FR"/>
        </w:rPr>
        <w:t>Slovaquie</w:t>
      </w:r>
      <w:r>
        <w:rPr>
          <w:rFonts w:eastAsia="Malgun Gothic"/>
          <w:bCs/>
          <w:lang w:val="fr-FR"/>
        </w:rPr>
        <w:t xml:space="preserve"> soutenait la </w:t>
      </w:r>
      <w:r w:rsidRPr="009A30ED">
        <w:rPr>
          <w:rFonts w:eastAsia="Malgun Gothic"/>
          <w:bCs/>
          <w:lang w:val="fr-FR"/>
        </w:rPr>
        <w:t>proposition</w:t>
      </w:r>
      <w:r>
        <w:rPr>
          <w:rFonts w:eastAsia="Malgun Gothic"/>
          <w:bCs/>
          <w:lang w:val="fr-FR"/>
        </w:rPr>
        <w:t xml:space="preserve"> de la Tchéquie, mais était flexible quant à l</w:t>
      </w:r>
      <w:r w:rsidR="00923E72">
        <w:rPr>
          <w:rFonts w:eastAsia="Malgun Gothic"/>
          <w:bCs/>
          <w:lang w:val="fr-FR"/>
        </w:rPr>
        <w:t>’</w:t>
      </w:r>
      <w:r>
        <w:rPr>
          <w:rFonts w:eastAsia="Malgun Gothic"/>
          <w:bCs/>
          <w:lang w:val="fr-FR"/>
        </w:rPr>
        <w:t>emplacement de la phrase.</w:t>
      </w:r>
    </w:p>
    <w:p w14:paraId="5F9C407C" w14:textId="16F331E8" w:rsidR="009A30ED" w:rsidRDefault="009A30E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demandé à la Tchéquie si elle consentirait à l</w:t>
      </w:r>
      <w:r w:rsidR="00923E72">
        <w:rPr>
          <w:rFonts w:eastAsia="Malgun Gothic"/>
          <w:bCs/>
          <w:lang w:val="fr-FR"/>
        </w:rPr>
        <w:t>’</w:t>
      </w:r>
      <w:r>
        <w:rPr>
          <w:rFonts w:eastAsia="Malgun Gothic"/>
          <w:bCs/>
          <w:lang w:val="fr-FR"/>
        </w:rPr>
        <w:t>insertion d</w:t>
      </w:r>
      <w:r w:rsidR="00923E72">
        <w:rPr>
          <w:rFonts w:eastAsia="Malgun Gothic"/>
          <w:bCs/>
          <w:lang w:val="fr-FR"/>
        </w:rPr>
        <w:t>’</w:t>
      </w:r>
      <w:r>
        <w:rPr>
          <w:rFonts w:eastAsia="Malgun Gothic"/>
          <w:bCs/>
          <w:lang w:val="fr-FR"/>
        </w:rPr>
        <w:t xml:space="preserve">un </w:t>
      </w:r>
      <w:r w:rsidRPr="009A30ED">
        <w:rPr>
          <w:rFonts w:eastAsia="Malgun Gothic"/>
          <w:bCs/>
          <w:lang w:val="fr-FR"/>
        </w:rPr>
        <w:t>paragraphe</w:t>
      </w:r>
      <w:r>
        <w:rPr>
          <w:rFonts w:eastAsia="Malgun Gothic"/>
          <w:bCs/>
          <w:lang w:val="fr-FR"/>
        </w:rPr>
        <w:t xml:space="preserve"> distinct.</w:t>
      </w:r>
    </w:p>
    <w:p w14:paraId="757AACEA" w14:textId="5E1BBA0F" w:rsidR="009A30ED" w:rsidRDefault="009A30E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A30ED">
        <w:rPr>
          <w:rFonts w:eastAsia="Malgun Gothic"/>
          <w:bCs/>
          <w:lang w:val="fr-FR"/>
        </w:rPr>
        <w:t xml:space="preserve">La délégation de la </w:t>
      </w:r>
      <w:r w:rsidRPr="00702497">
        <w:rPr>
          <w:rFonts w:eastAsia="Malgun Gothic"/>
          <w:b/>
          <w:lang w:val="fr-FR"/>
        </w:rPr>
        <w:t>Tchéquie</w:t>
      </w:r>
      <w:r w:rsidRPr="009A30ED">
        <w:rPr>
          <w:rFonts w:eastAsia="Malgun Gothic"/>
          <w:bCs/>
          <w:lang w:val="fr-FR"/>
        </w:rPr>
        <w:t xml:space="preserve"> </w:t>
      </w:r>
      <w:r>
        <w:rPr>
          <w:rFonts w:eastAsia="Malgun Gothic"/>
          <w:bCs/>
          <w:lang w:val="fr-FR"/>
        </w:rPr>
        <w:t>était</w:t>
      </w:r>
      <w:r w:rsidRPr="009A30ED">
        <w:rPr>
          <w:rFonts w:eastAsia="Malgun Gothic"/>
          <w:bCs/>
          <w:lang w:val="fr-FR"/>
        </w:rPr>
        <w:t xml:space="preserve"> d</w:t>
      </w:r>
      <w:r w:rsidR="00923E72">
        <w:rPr>
          <w:rFonts w:eastAsia="Malgun Gothic"/>
          <w:bCs/>
          <w:lang w:val="fr-FR"/>
        </w:rPr>
        <w:t>’</w:t>
      </w:r>
      <w:r w:rsidRPr="009A30ED">
        <w:rPr>
          <w:rFonts w:eastAsia="Malgun Gothic"/>
          <w:bCs/>
          <w:lang w:val="fr-FR"/>
        </w:rPr>
        <w:t xml:space="preserve">accord pour un paragraphe distinct et </w:t>
      </w:r>
      <w:r>
        <w:rPr>
          <w:rFonts w:eastAsia="Malgun Gothic"/>
          <w:bCs/>
          <w:lang w:val="fr-FR"/>
        </w:rPr>
        <w:t xml:space="preserve">a </w:t>
      </w:r>
      <w:r w:rsidRPr="009A30ED">
        <w:rPr>
          <w:rFonts w:eastAsia="Malgun Gothic"/>
          <w:bCs/>
          <w:lang w:val="fr-FR"/>
        </w:rPr>
        <w:t>confirm</w:t>
      </w:r>
      <w:r>
        <w:rPr>
          <w:rFonts w:eastAsia="Malgun Gothic"/>
          <w:bCs/>
          <w:lang w:val="fr-FR"/>
        </w:rPr>
        <w:t>é</w:t>
      </w:r>
      <w:r w:rsidRPr="009A30ED">
        <w:rPr>
          <w:rFonts w:eastAsia="Malgun Gothic"/>
          <w:bCs/>
          <w:lang w:val="fr-FR"/>
        </w:rPr>
        <w:t xml:space="preserve"> que le paragraphe</w:t>
      </w:r>
      <w:r>
        <w:rPr>
          <w:rFonts w:eastAsia="Malgun Gothic"/>
          <w:bCs/>
          <w:lang w:val="fr-FR"/>
        </w:rPr>
        <w:t xml:space="preserve"> devrait être ainsi rédigé </w:t>
      </w:r>
      <w:r w:rsidRPr="009A30ED">
        <w:rPr>
          <w:rFonts w:eastAsia="Malgun Gothic"/>
          <w:bCs/>
          <w:lang w:val="fr-FR"/>
        </w:rPr>
        <w:t xml:space="preserve">: </w:t>
      </w:r>
      <w:r>
        <w:rPr>
          <w:rFonts w:eastAsia="Malgun Gothic"/>
          <w:bCs/>
          <w:lang w:val="fr-FR"/>
        </w:rPr>
        <w:t>« </w:t>
      </w:r>
      <w:r w:rsidRPr="009A30ED">
        <w:rPr>
          <w:rFonts w:eastAsia="Malgun Gothic"/>
          <w:bCs/>
          <w:lang w:val="fr-FR"/>
        </w:rPr>
        <w:t>Encourage l</w:t>
      </w:r>
      <w:r w:rsidR="00923E72">
        <w:rPr>
          <w:rFonts w:eastAsia="Malgun Gothic"/>
          <w:bCs/>
          <w:lang w:val="fr-FR"/>
        </w:rPr>
        <w:t>’</w:t>
      </w:r>
      <w:r w:rsidRPr="009A30ED">
        <w:rPr>
          <w:rFonts w:eastAsia="Malgun Gothic"/>
          <w:bCs/>
          <w:lang w:val="fr-FR"/>
        </w:rPr>
        <w:t>État partie,</w:t>
      </w:r>
      <w:r>
        <w:rPr>
          <w:rFonts w:eastAsia="Malgun Gothic"/>
          <w:bCs/>
          <w:lang w:val="fr-FR"/>
        </w:rPr>
        <w:t xml:space="preserve"> </w:t>
      </w:r>
      <w:r w:rsidRPr="00C75BE7">
        <w:rPr>
          <w:rFonts w:eastAsia="Malgun Gothic"/>
          <w:bCs/>
          <w:lang w:val="fr-FR"/>
        </w:rPr>
        <w:t>lors</w:t>
      </w:r>
      <w:r>
        <w:rPr>
          <w:rFonts w:eastAsia="Malgun Gothic"/>
          <w:bCs/>
          <w:lang w:val="fr-FR"/>
        </w:rPr>
        <w:t>qu</w:t>
      </w:r>
      <w:r w:rsidR="00923E72">
        <w:rPr>
          <w:rFonts w:eastAsia="Malgun Gothic"/>
          <w:bCs/>
          <w:lang w:val="fr-FR"/>
        </w:rPr>
        <w:t>’</w:t>
      </w:r>
      <w:r>
        <w:rPr>
          <w:rFonts w:eastAsia="Malgun Gothic"/>
          <w:bCs/>
          <w:lang w:val="fr-FR"/>
        </w:rPr>
        <w:t>il</w:t>
      </w:r>
      <w:r w:rsidRPr="00C75BE7">
        <w:rPr>
          <w:rFonts w:eastAsia="Malgun Gothic"/>
          <w:bCs/>
          <w:lang w:val="fr-FR"/>
        </w:rPr>
        <w:t xml:space="preserve"> sauvegarde l</w:t>
      </w:r>
      <w:r w:rsidR="00923E72">
        <w:rPr>
          <w:rFonts w:eastAsia="Malgun Gothic"/>
          <w:bCs/>
          <w:lang w:val="fr-FR"/>
        </w:rPr>
        <w:t>’</w:t>
      </w:r>
      <w:r w:rsidRPr="00C75BE7">
        <w:rPr>
          <w:rFonts w:eastAsia="Malgun Gothic"/>
          <w:bCs/>
          <w:lang w:val="fr-FR"/>
        </w:rPr>
        <w:t xml:space="preserve">élément, à </w:t>
      </w:r>
      <w:r>
        <w:rPr>
          <w:rFonts w:eastAsia="Malgun Gothic"/>
          <w:bCs/>
          <w:lang w:val="fr-FR"/>
        </w:rPr>
        <w:t xml:space="preserve">se concentrer </w:t>
      </w:r>
      <w:r w:rsidRPr="00C75BE7">
        <w:rPr>
          <w:rFonts w:eastAsia="Malgun Gothic"/>
          <w:bCs/>
          <w:lang w:val="fr-FR"/>
        </w:rPr>
        <w:t xml:space="preserve">sur </w:t>
      </w:r>
      <w:r>
        <w:rPr>
          <w:rFonts w:eastAsia="Malgun Gothic"/>
          <w:bCs/>
          <w:lang w:val="fr-FR"/>
        </w:rPr>
        <w:t>s</w:t>
      </w:r>
      <w:r w:rsidRPr="00C75BE7">
        <w:rPr>
          <w:rFonts w:eastAsia="Malgun Gothic"/>
          <w:bCs/>
          <w:lang w:val="fr-FR"/>
        </w:rPr>
        <w:t>es fonctions sociales et culturelles</w:t>
      </w:r>
      <w:r w:rsidR="0083033C">
        <w:rPr>
          <w:rFonts w:eastAsia="Malgun Gothic"/>
          <w:bCs/>
          <w:lang w:val="fr-FR"/>
        </w:rPr>
        <w:t>.</w:t>
      </w:r>
      <w:r>
        <w:rPr>
          <w:rFonts w:eastAsia="Malgun Gothic"/>
          <w:bCs/>
          <w:lang w:val="fr-FR"/>
        </w:rPr>
        <w:t> »</w:t>
      </w:r>
    </w:p>
    <w:p w14:paraId="09301C4D" w14:textId="544C0EE9" w:rsidR="009A30ED" w:rsidRDefault="009A30E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A30ED">
        <w:rPr>
          <w:rFonts w:eastAsia="Malgun Gothic"/>
          <w:bCs/>
          <w:lang w:val="fr-FR"/>
        </w:rPr>
        <w:t>En l</w:t>
      </w:r>
      <w:r w:rsidR="00923E72">
        <w:rPr>
          <w:rFonts w:eastAsia="Malgun Gothic"/>
          <w:bCs/>
          <w:lang w:val="fr-FR"/>
        </w:rPr>
        <w:t>’</w:t>
      </w:r>
      <w:r w:rsidRPr="009A30ED">
        <w:rPr>
          <w:rFonts w:eastAsia="Malgun Gothic"/>
          <w:bCs/>
          <w:lang w:val="fr-FR"/>
        </w:rPr>
        <w:t>absence</w:t>
      </w:r>
      <w:r>
        <w:rPr>
          <w:rFonts w:eastAsia="Malgun Gothic"/>
          <w:bCs/>
          <w:lang w:val="fr-FR"/>
        </w:rPr>
        <w:t xml:space="preserve"> d</w:t>
      </w:r>
      <w:r w:rsidR="00923E72">
        <w:rPr>
          <w:rFonts w:eastAsia="Malgun Gothic"/>
          <w:bCs/>
          <w:lang w:val="fr-FR"/>
        </w:rPr>
        <w:t>’</w:t>
      </w:r>
      <w:r>
        <w:rPr>
          <w:rFonts w:eastAsia="Malgun Gothic"/>
          <w:bCs/>
          <w:lang w:val="fr-FR"/>
        </w:rPr>
        <w:t xml:space="preserve">autres </w:t>
      </w:r>
      <w:r w:rsidRPr="009A30ED">
        <w:rPr>
          <w:rFonts w:eastAsia="Malgun Gothic"/>
          <w:bCs/>
          <w:lang w:val="fr-FR"/>
        </w:rPr>
        <w:t>commentaires</w:t>
      </w:r>
      <w:r>
        <w:rPr>
          <w:rFonts w:eastAsia="Malgun Gothic"/>
          <w:bCs/>
          <w:lang w:val="fr-FR"/>
        </w:rPr>
        <w:t xml:space="preserve"> sur le </w:t>
      </w:r>
      <w:r w:rsidRPr="009A30ED">
        <w:rPr>
          <w:rFonts w:eastAsia="Malgun Gothic"/>
          <w:bCs/>
          <w:lang w:val="fr-FR"/>
        </w:rPr>
        <w:t>paragraphe</w:t>
      </w:r>
      <w:r w:rsidR="008F5CA2">
        <w:rPr>
          <w:rFonts w:eastAsia="Malgun Gothic"/>
          <w:bCs/>
          <w:lang w:val="fr-FR"/>
        </w:rPr>
        <w:t> </w:t>
      </w:r>
      <w:r>
        <w:rPr>
          <w:rFonts w:eastAsia="Malgun Gothic"/>
          <w:bCs/>
          <w:lang w:val="fr-FR"/>
        </w:rPr>
        <w:t xml:space="preserve">4, le </w:t>
      </w:r>
      <w:r w:rsidRPr="00702497">
        <w:rPr>
          <w:rFonts w:eastAsia="Malgun Gothic"/>
          <w:b/>
          <w:lang w:val="fr-FR"/>
        </w:rPr>
        <w:t>Président</w:t>
      </w:r>
      <w:r>
        <w:rPr>
          <w:rFonts w:eastAsia="Malgun Gothic"/>
          <w:bCs/>
          <w:lang w:val="fr-FR"/>
        </w:rPr>
        <w:t xml:space="preserve"> a déclaré le </w:t>
      </w:r>
      <w:r w:rsidRPr="009A30ED">
        <w:rPr>
          <w:rFonts w:eastAsia="Malgun Gothic"/>
          <w:bCs/>
          <w:lang w:val="fr-FR"/>
        </w:rPr>
        <w:t>paragraphe</w:t>
      </w:r>
      <w:r>
        <w:rPr>
          <w:rFonts w:eastAsia="Malgun Gothic"/>
          <w:bCs/>
          <w:lang w:val="fr-FR"/>
        </w:rPr>
        <w:t xml:space="preserve"> 4 adopté. Il est ensuite passé au </w:t>
      </w:r>
      <w:r w:rsidRPr="009A30ED">
        <w:rPr>
          <w:rFonts w:eastAsia="Malgun Gothic"/>
          <w:bCs/>
          <w:lang w:val="fr-FR"/>
        </w:rPr>
        <w:t>paragraphe</w:t>
      </w:r>
      <w:r w:rsidR="008F5CA2">
        <w:rPr>
          <w:rFonts w:eastAsia="Malgun Gothic"/>
          <w:bCs/>
          <w:lang w:val="fr-FR"/>
        </w:rPr>
        <w:t> </w:t>
      </w:r>
      <w:r>
        <w:rPr>
          <w:rFonts w:eastAsia="Malgun Gothic"/>
          <w:bCs/>
          <w:lang w:val="fr-FR"/>
        </w:rPr>
        <w:t xml:space="preserve">5 et la </w:t>
      </w:r>
      <w:r w:rsidRPr="009A30ED">
        <w:rPr>
          <w:rFonts w:eastAsia="Malgun Gothic"/>
          <w:bCs/>
          <w:lang w:val="fr-FR"/>
        </w:rPr>
        <w:t>proposition</w:t>
      </w:r>
      <w:r>
        <w:rPr>
          <w:rFonts w:eastAsia="Malgun Gothic"/>
          <w:bCs/>
          <w:lang w:val="fr-FR"/>
        </w:rPr>
        <w:t xml:space="preserve"> de la Tchéquie.</w:t>
      </w:r>
    </w:p>
    <w:p w14:paraId="41DA74A6" w14:textId="04E4D817" w:rsidR="009A30ED" w:rsidRDefault="009A30E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9A30ED">
        <w:rPr>
          <w:rFonts w:eastAsia="Malgun Gothic"/>
          <w:bCs/>
          <w:lang w:val="fr-FR"/>
        </w:rPr>
        <w:t>délégation</w:t>
      </w:r>
      <w:r>
        <w:rPr>
          <w:rFonts w:eastAsia="Malgun Gothic"/>
          <w:bCs/>
          <w:lang w:val="fr-FR"/>
        </w:rPr>
        <w:t xml:space="preserve"> du </w:t>
      </w:r>
      <w:r w:rsidRPr="00702497">
        <w:rPr>
          <w:rFonts w:eastAsia="Malgun Gothic"/>
          <w:b/>
          <w:lang w:val="fr-FR"/>
        </w:rPr>
        <w:t>Brésil</w:t>
      </w:r>
      <w:r>
        <w:rPr>
          <w:rFonts w:eastAsia="Malgun Gothic"/>
          <w:bCs/>
          <w:lang w:val="fr-FR"/>
        </w:rPr>
        <w:t xml:space="preserve"> était d</w:t>
      </w:r>
      <w:r w:rsidR="00923E72">
        <w:rPr>
          <w:rFonts w:eastAsia="Malgun Gothic"/>
          <w:bCs/>
          <w:lang w:val="fr-FR"/>
        </w:rPr>
        <w:t>’</w:t>
      </w:r>
      <w:r>
        <w:rPr>
          <w:rFonts w:eastAsia="Malgun Gothic"/>
          <w:bCs/>
          <w:lang w:val="fr-FR"/>
        </w:rPr>
        <w:t xml:space="preserve">accord pour insérer </w:t>
      </w:r>
      <w:r w:rsidR="00D67C72">
        <w:rPr>
          <w:rFonts w:eastAsia="Malgun Gothic"/>
          <w:bCs/>
          <w:lang w:val="fr-FR"/>
        </w:rPr>
        <w:t>un</w:t>
      </w:r>
      <w:r>
        <w:rPr>
          <w:rFonts w:eastAsia="Malgun Gothic"/>
          <w:bCs/>
          <w:lang w:val="fr-FR"/>
        </w:rPr>
        <w:t xml:space="preserve"> </w:t>
      </w:r>
      <w:r w:rsidRPr="009A30ED">
        <w:rPr>
          <w:rFonts w:eastAsia="Malgun Gothic"/>
          <w:bCs/>
          <w:lang w:val="fr-FR"/>
        </w:rPr>
        <w:t>paragraphe</w:t>
      </w:r>
      <w:r>
        <w:rPr>
          <w:rFonts w:eastAsia="Malgun Gothic"/>
          <w:bCs/>
          <w:lang w:val="fr-FR"/>
        </w:rPr>
        <w:t xml:space="preserve"> distinct</w:t>
      </w:r>
      <w:r w:rsidR="00F92345">
        <w:rPr>
          <w:rFonts w:eastAsia="Malgun Gothic"/>
          <w:bCs/>
          <w:lang w:val="fr-FR"/>
        </w:rPr>
        <w:t>,</w:t>
      </w:r>
      <w:r w:rsidR="00D67C72">
        <w:rPr>
          <w:rFonts w:eastAsia="Malgun Gothic"/>
          <w:bCs/>
          <w:lang w:val="fr-FR"/>
        </w:rPr>
        <w:t xml:space="preserve"> qui deviendrait le nouveau </w:t>
      </w:r>
      <w:r w:rsidR="00D67C72" w:rsidRPr="00D67C72">
        <w:rPr>
          <w:rFonts w:eastAsia="Malgun Gothic"/>
          <w:bCs/>
          <w:lang w:val="fr-FR"/>
        </w:rPr>
        <w:t>paragraphe</w:t>
      </w:r>
      <w:r w:rsidR="008F5CA2">
        <w:rPr>
          <w:rFonts w:eastAsia="Malgun Gothic"/>
          <w:bCs/>
          <w:lang w:val="fr-FR"/>
        </w:rPr>
        <w:t> </w:t>
      </w:r>
      <w:r w:rsidR="00D67C72">
        <w:rPr>
          <w:rFonts w:eastAsia="Malgun Gothic"/>
          <w:bCs/>
          <w:lang w:val="fr-FR"/>
        </w:rPr>
        <w:t>5.</w:t>
      </w:r>
    </w:p>
    <w:p w14:paraId="17B63CFE" w14:textId="5A429CDB" w:rsidR="00D67C72" w:rsidRDefault="00D67C7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D67C72">
        <w:rPr>
          <w:rFonts w:eastAsia="Malgun Gothic"/>
          <w:bCs/>
          <w:lang w:val="fr-FR"/>
        </w:rPr>
        <w:t>délégation</w:t>
      </w:r>
      <w:r>
        <w:rPr>
          <w:rFonts w:eastAsia="Malgun Gothic"/>
          <w:bCs/>
          <w:lang w:val="fr-FR"/>
        </w:rPr>
        <w:t xml:space="preserve"> de la </w:t>
      </w:r>
      <w:r w:rsidRPr="00702497">
        <w:rPr>
          <w:rFonts w:eastAsia="Malgun Gothic"/>
          <w:b/>
          <w:lang w:val="fr-FR"/>
        </w:rPr>
        <w:t>Suède</w:t>
      </w:r>
      <w:r>
        <w:rPr>
          <w:rFonts w:eastAsia="Malgun Gothic"/>
          <w:bCs/>
          <w:lang w:val="fr-FR"/>
        </w:rPr>
        <w:t xml:space="preserve"> soutenait l</w:t>
      </w:r>
      <w:r w:rsidR="00923E72">
        <w:rPr>
          <w:rFonts w:eastAsia="Malgun Gothic"/>
          <w:bCs/>
          <w:lang w:val="fr-FR"/>
        </w:rPr>
        <w:t>’</w:t>
      </w:r>
      <w:r w:rsidRPr="00D67C72">
        <w:rPr>
          <w:rFonts w:eastAsia="Malgun Gothic"/>
          <w:bCs/>
          <w:lang w:val="fr-FR"/>
        </w:rPr>
        <w:t>amendement</w:t>
      </w:r>
      <w:r>
        <w:rPr>
          <w:rFonts w:eastAsia="Malgun Gothic"/>
          <w:bCs/>
          <w:lang w:val="fr-FR"/>
        </w:rPr>
        <w:t xml:space="preserve"> de la Tchéquie.</w:t>
      </w:r>
    </w:p>
    <w:p w14:paraId="0A78111C" w14:textId="0C77A621" w:rsidR="00D67C72" w:rsidRDefault="00D67C7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67C72">
        <w:rPr>
          <w:rFonts w:eastAsia="Malgun Gothic"/>
          <w:bCs/>
          <w:lang w:val="fr-FR"/>
        </w:rPr>
        <w:t xml:space="preserve">La délégation du </w:t>
      </w:r>
      <w:r w:rsidRPr="00702497">
        <w:rPr>
          <w:rFonts w:eastAsia="Malgun Gothic"/>
          <w:b/>
          <w:lang w:val="fr-FR"/>
        </w:rPr>
        <w:t>Pérou</w:t>
      </w:r>
      <w:r w:rsidRPr="00D67C72">
        <w:rPr>
          <w:rFonts w:eastAsia="Malgun Gothic"/>
          <w:bCs/>
          <w:lang w:val="fr-FR"/>
        </w:rPr>
        <w:t xml:space="preserve"> estimait que, conformément à l</w:t>
      </w:r>
      <w:r w:rsidR="00923E72">
        <w:rPr>
          <w:rFonts w:eastAsia="Malgun Gothic"/>
          <w:bCs/>
          <w:lang w:val="fr-FR"/>
        </w:rPr>
        <w:t>’</w:t>
      </w:r>
      <w:r w:rsidRPr="00D67C72">
        <w:rPr>
          <w:rFonts w:eastAsia="Malgun Gothic"/>
          <w:bCs/>
          <w:lang w:val="fr-FR"/>
        </w:rPr>
        <w:t>explication fournie par Cuba, il était évident que l</w:t>
      </w:r>
      <w:r w:rsidR="00923E72">
        <w:rPr>
          <w:rFonts w:eastAsia="Malgun Gothic"/>
          <w:bCs/>
          <w:lang w:val="fr-FR"/>
        </w:rPr>
        <w:t>’</w:t>
      </w:r>
      <w:r w:rsidRPr="00D67C72">
        <w:rPr>
          <w:rFonts w:eastAsia="Malgun Gothic"/>
          <w:bCs/>
          <w:lang w:val="fr-FR"/>
        </w:rPr>
        <w:t xml:space="preserve">élément était axé sur la transmission des connaissances et non sur le produit. </w:t>
      </w:r>
      <w:r w:rsidRPr="00D67C72">
        <w:rPr>
          <w:rFonts w:eastAsia="Malgun Gothic"/>
          <w:bCs/>
          <w:lang w:val="fr-FR"/>
        </w:rPr>
        <w:lastRenderedPageBreak/>
        <w:t>Néanmoins, elle ne voyait pas de difficulté à ce que l</w:t>
      </w:r>
      <w:r w:rsidR="00923E72">
        <w:rPr>
          <w:rFonts w:eastAsia="Malgun Gothic"/>
          <w:bCs/>
          <w:lang w:val="fr-FR"/>
        </w:rPr>
        <w:t>’</w:t>
      </w:r>
      <w:r w:rsidRPr="00D67C72">
        <w:rPr>
          <w:rFonts w:eastAsia="Malgun Gothic"/>
          <w:bCs/>
          <w:lang w:val="fr-FR"/>
        </w:rPr>
        <w:t>amendement proposé par la Tchéquie mentionne explicitement ce fait.</w:t>
      </w:r>
    </w:p>
    <w:p w14:paraId="74562AC8" w14:textId="19A3B11F" w:rsidR="00D67C72" w:rsidRDefault="00D67C7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67C72">
        <w:rPr>
          <w:rFonts w:eastAsia="Malgun Gothic"/>
          <w:bCs/>
          <w:lang w:val="fr-FR"/>
        </w:rPr>
        <w:t xml:space="preserve">Le </w:t>
      </w:r>
      <w:r w:rsidRPr="00702497">
        <w:rPr>
          <w:rFonts w:eastAsia="Malgun Gothic"/>
          <w:b/>
          <w:lang w:val="fr-FR"/>
        </w:rPr>
        <w:t>Président</w:t>
      </w:r>
      <w:r w:rsidRPr="00D67C72">
        <w:rPr>
          <w:rFonts w:eastAsia="Malgun Gothic"/>
          <w:bCs/>
          <w:lang w:val="fr-FR"/>
        </w:rPr>
        <w:t xml:space="preserve"> a rappelé au Comité le </w:t>
      </w:r>
      <w:r>
        <w:rPr>
          <w:rFonts w:eastAsia="Malgun Gothic"/>
          <w:bCs/>
          <w:lang w:val="fr-FR"/>
        </w:rPr>
        <w:t>R</w:t>
      </w:r>
      <w:r w:rsidRPr="00D67C72">
        <w:rPr>
          <w:rFonts w:eastAsia="Malgun Gothic"/>
          <w:bCs/>
          <w:lang w:val="fr-FR"/>
        </w:rPr>
        <w:t>èglement intérieur selon lequel les membres qui ne s</w:t>
      </w:r>
      <w:r w:rsidR="00923E72">
        <w:rPr>
          <w:rFonts w:eastAsia="Malgun Gothic"/>
          <w:bCs/>
          <w:lang w:val="fr-FR"/>
        </w:rPr>
        <w:t>’</w:t>
      </w:r>
      <w:r w:rsidRPr="00D67C72">
        <w:rPr>
          <w:rFonts w:eastAsia="Malgun Gothic"/>
          <w:bCs/>
          <w:lang w:val="fr-FR"/>
        </w:rPr>
        <w:t>expriment pas sur un paragraphe sous-entendent qu</w:t>
      </w:r>
      <w:r w:rsidR="00923E72">
        <w:rPr>
          <w:rFonts w:eastAsia="Malgun Gothic"/>
          <w:bCs/>
          <w:lang w:val="fr-FR"/>
        </w:rPr>
        <w:t>’</w:t>
      </w:r>
      <w:r w:rsidRPr="00D67C72">
        <w:rPr>
          <w:rFonts w:eastAsia="Malgun Gothic"/>
          <w:bCs/>
          <w:lang w:val="fr-FR"/>
        </w:rPr>
        <w:t>ils le soutiennent. En l</w:t>
      </w:r>
      <w:r w:rsidR="00923E72">
        <w:rPr>
          <w:rFonts w:eastAsia="Malgun Gothic"/>
          <w:bCs/>
          <w:lang w:val="fr-FR"/>
        </w:rPr>
        <w:t>’</w:t>
      </w:r>
      <w:r w:rsidRPr="00D67C72">
        <w:rPr>
          <w:rFonts w:eastAsia="Malgun Gothic"/>
          <w:bCs/>
          <w:lang w:val="fr-FR"/>
        </w:rPr>
        <w:t>absence d</w:t>
      </w:r>
      <w:r w:rsidR="00923E72">
        <w:rPr>
          <w:rFonts w:eastAsia="Malgun Gothic"/>
          <w:bCs/>
          <w:lang w:val="fr-FR"/>
        </w:rPr>
        <w:t>’</w:t>
      </w:r>
      <w:r w:rsidRPr="00D67C72">
        <w:rPr>
          <w:rFonts w:eastAsia="Malgun Gothic"/>
          <w:bCs/>
          <w:lang w:val="fr-FR"/>
        </w:rPr>
        <w:t>autres commentaires ou objections, le paragraphe</w:t>
      </w:r>
      <w:r w:rsidR="0008099E">
        <w:rPr>
          <w:rFonts w:eastAsia="Malgun Gothic"/>
          <w:bCs/>
          <w:lang w:val="fr-FR"/>
        </w:rPr>
        <w:t> </w:t>
      </w:r>
      <w:r w:rsidRPr="00D67C72">
        <w:rPr>
          <w:rFonts w:eastAsia="Malgun Gothic"/>
          <w:bCs/>
          <w:lang w:val="fr-FR"/>
        </w:rPr>
        <w:t xml:space="preserve">5 </w:t>
      </w:r>
      <w:r>
        <w:rPr>
          <w:rFonts w:eastAsia="Malgun Gothic"/>
          <w:bCs/>
          <w:lang w:val="fr-FR"/>
        </w:rPr>
        <w:t xml:space="preserve">a été </w:t>
      </w:r>
      <w:r w:rsidRPr="00D67C72">
        <w:rPr>
          <w:rFonts w:eastAsia="Malgun Gothic"/>
          <w:bCs/>
          <w:lang w:val="fr-FR"/>
        </w:rPr>
        <w:t xml:space="preserve">dûment adopté. Il </w:t>
      </w:r>
      <w:r>
        <w:rPr>
          <w:rFonts w:eastAsia="Malgun Gothic"/>
          <w:bCs/>
          <w:lang w:val="fr-FR"/>
        </w:rPr>
        <w:t xml:space="preserve">a été </w:t>
      </w:r>
      <w:r w:rsidRPr="00D67C72">
        <w:rPr>
          <w:rFonts w:eastAsia="Malgun Gothic"/>
          <w:bCs/>
          <w:lang w:val="fr-FR"/>
        </w:rPr>
        <w:t>proposé de supprimer le paragraphe</w:t>
      </w:r>
      <w:r w:rsidR="0008099E">
        <w:rPr>
          <w:rFonts w:eastAsia="Malgun Gothic"/>
          <w:bCs/>
          <w:lang w:val="fr-FR"/>
        </w:rPr>
        <w:t> </w:t>
      </w:r>
      <w:r w:rsidRPr="00D67C72">
        <w:rPr>
          <w:rFonts w:eastAsia="Malgun Gothic"/>
          <w:bCs/>
          <w:lang w:val="fr-FR"/>
        </w:rPr>
        <w:t xml:space="preserve">6, </w:t>
      </w:r>
      <w:r>
        <w:rPr>
          <w:rFonts w:eastAsia="Malgun Gothic"/>
          <w:bCs/>
          <w:lang w:val="fr-FR"/>
        </w:rPr>
        <w:t xml:space="preserve">ce </w:t>
      </w:r>
      <w:r w:rsidRPr="00D67C72">
        <w:rPr>
          <w:rFonts w:eastAsia="Malgun Gothic"/>
          <w:bCs/>
          <w:lang w:val="fr-FR"/>
        </w:rPr>
        <w:t xml:space="preserve">qui </w:t>
      </w:r>
      <w:r>
        <w:rPr>
          <w:rFonts w:eastAsia="Malgun Gothic"/>
          <w:bCs/>
          <w:lang w:val="fr-FR"/>
        </w:rPr>
        <w:t>a été</w:t>
      </w:r>
      <w:r w:rsidRPr="00D67C72">
        <w:rPr>
          <w:rFonts w:eastAsia="Malgun Gothic"/>
          <w:bCs/>
          <w:lang w:val="fr-FR"/>
        </w:rPr>
        <w:t xml:space="preserve"> dûment adopté. En l</w:t>
      </w:r>
      <w:r w:rsidR="00923E72">
        <w:rPr>
          <w:rFonts w:eastAsia="Malgun Gothic"/>
          <w:bCs/>
          <w:lang w:val="fr-FR"/>
        </w:rPr>
        <w:t>’</w:t>
      </w:r>
      <w:r w:rsidRPr="00D67C72">
        <w:rPr>
          <w:rFonts w:eastAsia="Malgun Gothic"/>
          <w:bCs/>
          <w:lang w:val="fr-FR"/>
        </w:rPr>
        <w:t>absence d</w:t>
      </w:r>
      <w:r w:rsidR="00923E72">
        <w:rPr>
          <w:rFonts w:eastAsia="Malgun Gothic"/>
          <w:bCs/>
          <w:lang w:val="fr-FR"/>
        </w:rPr>
        <w:t>’</w:t>
      </w:r>
      <w:r w:rsidRPr="00D67C72">
        <w:rPr>
          <w:rFonts w:eastAsia="Malgun Gothic"/>
          <w:bCs/>
          <w:lang w:val="fr-FR"/>
        </w:rPr>
        <w:t xml:space="preserve">autres commentaires, le </w:t>
      </w:r>
      <w:r w:rsidRPr="00702497">
        <w:rPr>
          <w:rFonts w:eastAsia="Malgun Gothic"/>
          <w:b/>
          <w:lang w:val="fr-FR"/>
        </w:rPr>
        <w:t>Président a déclaré adoptée la décision</w:t>
      </w:r>
      <w:r w:rsidR="0008099E">
        <w:rPr>
          <w:rFonts w:eastAsia="Malgun Gothic"/>
          <w:b/>
          <w:lang w:val="fr-FR"/>
        </w:rPr>
        <w:t> </w:t>
      </w:r>
      <w:r w:rsidR="00751FB1">
        <w:fldChar w:fldCharType="begin"/>
      </w:r>
      <w:r w:rsidR="00751FB1" w:rsidRPr="00751FB1">
        <w:rPr>
          <w:lang w:val="fr-FR"/>
        </w:rPr>
        <w:instrText>HYPERLINK "https://ich.unesco.org/fr/Decisions/17.COM/7.b.5"</w:instrText>
      </w:r>
      <w:r w:rsidR="00751FB1">
        <w:fldChar w:fldCharType="separate"/>
      </w:r>
      <w:r w:rsidRPr="00702497">
        <w:rPr>
          <w:rStyle w:val="Hyperlink"/>
          <w:b/>
          <w:lang w:val="fr-FR"/>
        </w:rPr>
        <w:t>17.COM</w:t>
      </w:r>
      <w:r w:rsidR="00FF249E" w:rsidRPr="00702497">
        <w:rPr>
          <w:rStyle w:val="Hyperlink"/>
          <w:b/>
          <w:lang w:val="fr-FR"/>
        </w:rPr>
        <w:t> </w:t>
      </w:r>
      <w:r w:rsidRPr="00702497">
        <w:rPr>
          <w:rStyle w:val="Hyperlink"/>
          <w:b/>
          <w:lang w:val="fr-FR"/>
        </w:rPr>
        <w:t>7.b.5</w:t>
      </w:r>
      <w:r w:rsidR="00751FB1">
        <w:rPr>
          <w:rStyle w:val="Hyperlink"/>
          <w:b/>
          <w:lang w:val="fr-FR"/>
        </w:rPr>
        <w:fldChar w:fldCharType="end"/>
      </w:r>
      <w:r w:rsidRPr="00702497">
        <w:rPr>
          <w:rFonts w:eastAsia="Malgun Gothic"/>
          <w:b/>
          <w:lang w:val="fr-FR"/>
        </w:rPr>
        <w:t xml:space="preserve"> d</w:t>
      </w:r>
      <w:r w:rsidR="00923E72">
        <w:rPr>
          <w:rFonts w:eastAsia="Malgun Gothic"/>
          <w:b/>
          <w:lang w:val="fr-FR"/>
        </w:rPr>
        <w:t>’</w:t>
      </w:r>
      <w:r w:rsidRPr="00702497">
        <w:rPr>
          <w:rFonts w:eastAsia="Malgun Gothic"/>
          <w:b/>
          <w:lang w:val="fr-FR"/>
        </w:rPr>
        <w:t>inscrire le savoir-faire des maîtres du rhum léger sur la Liste représentative</w:t>
      </w:r>
      <w:r>
        <w:rPr>
          <w:rFonts w:eastAsia="Malgun Gothic"/>
          <w:bCs/>
          <w:lang w:val="fr-FR"/>
        </w:rPr>
        <w:t>.</w:t>
      </w:r>
    </w:p>
    <w:p w14:paraId="2CCAEE4D" w14:textId="37CEC103" w:rsidR="00D67C72" w:rsidRPr="00702497" w:rsidRDefault="00D67C72"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w:t>
      </w:r>
      <w:r>
        <w:rPr>
          <w:rFonts w:eastAsia="Malgun Gothic"/>
          <w:bCs/>
          <w:i/>
          <w:iCs/>
          <w:lang w:val="fr-FR"/>
        </w:rPr>
        <w:t xml:space="preserve"> diffusée</w:t>
      </w:r>
      <w:r w:rsidRPr="00702497">
        <w:rPr>
          <w:rFonts w:eastAsia="Malgun Gothic"/>
          <w:bCs/>
          <w:i/>
          <w:iCs/>
          <w:lang w:val="fr-FR"/>
        </w:rPr>
        <w:t>]</w:t>
      </w:r>
    </w:p>
    <w:p w14:paraId="5A574821" w14:textId="12BE9E28" w:rsidR="00D67C72" w:rsidRDefault="00817C8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17C88">
        <w:rPr>
          <w:rFonts w:eastAsia="Malgun Gothic"/>
          <w:bCs/>
          <w:lang w:val="fr-FR"/>
        </w:rPr>
        <w:t xml:space="preserve">La délégation de </w:t>
      </w:r>
      <w:r w:rsidRPr="00702497">
        <w:rPr>
          <w:rFonts w:eastAsia="Malgun Gothic"/>
          <w:b/>
          <w:lang w:val="fr-FR"/>
        </w:rPr>
        <w:t>Cuba</w:t>
      </w:r>
      <w:r w:rsidRPr="00817C88">
        <w:rPr>
          <w:rFonts w:eastAsia="Malgun Gothic"/>
          <w:bCs/>
          <w:lang w:val="fr-FR"/>
        </w:rPr>
        <w:t xml:space="preserve"> a évoqué ce moment </w:t>
      </w:r>
      <w:r>
        <w:rPr>
          <w:rFonts w:eastAsia="Malgun Gothic"/>
          <w:bCs/>
          <w:lang w:val="fr-FR"/>
        </w:rPr>
        <w:t xml:space="preserve">très particulier </w:t>
      </w:r>
      <w:r w:rsidRPr="00817C88">
        <w:rPr>
          <w:rFonts w:eastAsia="Malgun Gothic"/>
          <w:bCs/>
          <w:lang w:val="fr-FR"/>
        </w:rPr>
        <w:t xml:space="preserve">et </w:t>
      </w:r>
      <w:r>
        <w:rPr>
          <w:rFonts w:eastAsia="Malgun Gothic"/>
          <w:bCs/>
          <w:lang w:val="fr-FR"/>
        </w:rPr>
        <w:t xml:space="preserve">exaltant </w:t>
      </w:r>
      <w:r w:rsidRPr="00817C88">
        <w:rPr>
          <w:rFonts w:eastAsia="Malgun Gothic"/>
          <w:bCs/>
          <w:lang w:val="fr-FR"/>
        </w:rPr>
        <w:t>pour Cuba, remerciant l</w:t>
      </w:r>
      <w:r w:rsidR="00923E72">
        <w:rPr>
          <w:rFonts w:eastAsia="Malgun Gothic"/>
          <w:bCs/>
          <w:lang w:val="fr-FR"/>
        </w:rPr>
        <w:t>’</w:t>
      </w:r>
      <w:r w:rsidRPr="00817C88">
        <w:rPr>
          <w:rFonts w:eastAsia="Malgun Gothic"/>
          <w:bCs/>
          <w:lang w:val="fr-FR"/>
        </w:rPr>
        <w:t>Organe d</w:t>
      </w:r>
      <w:r w:rsidR="00923E72">
        <w:rPr>
          <w:rFonts w:eastAsia="Malgun Gothic"/>
          <w:bCs/>
          <w:lang w:val="fr-FR"/>
        </w:rPr>
        <w:t>’</w:t>
      </w:r>
      <w:r w:rsidRPr="00817C88">
        <w:rPr>
          <w:rFonts w:eastAsia="Malgun Gothic"/>
          <w:bCs/>
          <w:lang w:val="fr-FR"/>
        </w:rPr>
        <w:t>évaluation, le Secrétariat et les membres du Comité d</w:t>
      </w:r>
      <w:r w:rsidR="00923E72">
        <w:rPr>
          <w:rFonts w:eastAsia="Malgun Gothic"/>
          <w:bCs/>
          <w:lang w:val="fr-FR"/>
        </w:rPr>
        <w:t>’</w:t>
      </w:r>
      <w:r w:rsidRPr="00817C88">
        <w:rPr>
          <w:rFonts w:eastAsia="Malgun Gothic"/>
          <w:bCs/>
          <w:lang w:val="fr-FR"/>
        </w:rPr>
        <w:t>avoir inscrit cet élément</w:t>
      </w:r>
      <w:r w:rsidR="00FF249E">
        <w:rPr>
          <w:rFonts w:eastAsia="Malgun Gothic"/>
          <w:bCs/>
          <w:lang w:val="fr-FR"/>
        </w:rPr>
        <w:t xml:space="preserve"> </w:t>
      </w:r>
      <w:r w:rsidRPr="00817C88">
        <w:rPr>
          <w:rFonts w:eastAsia="Malgun Gothic"/>
          <w:bCs/>
          <w:lang w:val="fr-FR"/>
        </w:rPr>
        <w:t>qui revêt une grande importance pour Cuba, la nation et la communauté. Au nom du peuple cubain, du Gouvernement, du ministère de la Culture et de toutes les communautés de détenteurs de l</w:t>
      </w:r>
      <w:r w:rsidR="00923E72">
        <w:rPr>
          <w:rFonts w:eastAsia="Malgun Gothic"/>
          <w:bCs/>
          <w:lang w:val="fr-FR"/>
        </w:rPr>
        <w:t>’</w:t>
      </w:r>
      <w:r w:rsidRPr="00817C88">
        <w:rPr>
          <w:rFonts w:eastAsia="Malgun Gothic"/>
          <w:bCs/>
          <w:lang w:val="fr-FR"/>
        </w:rPr>
        <w:t>élément, la délégation a remercié le Comité pour l</w:t>
      </w:r>
      <w:r w:rsidR="00923E72">
        <w:rPr>
          <w:rFonts w:eastAsia="Malgun Gothic"/>
          <w:bCs/>
          <w:lang w:val="fr-FR"/>
        </w:rPr>
        <w:t>’</w:t>
      </w:r>
      <w:r w:rsidRPr="00817C88">
        <w:rPr>
          <w:rFonts w:eastAsia="Malgun Gothic"/>
          <w:bCs/>
          <w:lang w:val="fr-FR"/>
        </w:rPr>
        <w:t>inscription et pour le débat, qui serait important à l</w:t>
      </w:r>
      <w:r w:rsidR="00923E72">
        <w:rPr>
          <w:rFonts w:eastAsia="Malgun Gothic"/>
          <w:bCs/>
          <w:lang w:val="fr-FR"/>
        </w:rPr>
        <w:t>’</w:t>
      </w:r>
      <w:r w:rsidRPr="00817C88">
        <w:rPr>
          <w:rFonts w:eastAsia="Malgun Gothic"/>
          <w:bCs/>
          <w:lang w:val="fr-FR"/>
        </w:rPr>
        <w:t xml:space="preserve">avenir pour les maîtres. </w:t>
      </w:r>
      <w:r w:rsidRPr="00103A36">
        <w:rPr>
          <w:rFonts w:eastAsia="Malgun Gothic"/>
          <w:bCs/>
          <w:lang w:val="fr-FR"/>
        </w:rPr>
        <w:t>[</w:t>
      </w:r>
      <w:r w:rsidR="00422F6C" w:rsidRPr="00103A36">
        <w:rPr>
          <w:rFonts w:eastAsia="Malgun Gothic"/>
          <w:bCs/>
          <w:lang w:val="fr-FR"/>
        </w:rPr>
        <w:t>D</w:t>
      </w:r>
      <w:r w:rsidRPr="00103A36">
        <w:rPr>
          <w:rFonts w:eastAsia="Malgun Gothic"/>
          <w:bCs/>
          <w:lang w:val="fr-FR"/>
        </w:rPr>
        <w:t xml:space="preserve">euxième orateur] </w:t>
      </w:r>
      <w:r w:rsidR="00F16520" w:rsidRPr="00103A36">
        <w:rPr>
          <w:rFonts w:eastAsia="Malgun Gothic"/>
          <w:bCs/>
          <w:lang w:val="fr-FR"/>
        </w:rPr>
        <w:t xml:space="preserve">Pour le </w:t>
      </w:r>
      <w:r w:rsidRPr="00103A36">
        <w:rPr>
          <w:rFonts w:eastAsia="Malgun Gothic"/>
          <w:bCs/>
          <w:lang w:val="fr-FR"/>
        </w:rPr>
        <w:t xml:space="preserve">Mouvement des maîtres du rhum léger de Cuba, il a remercié le Comité au </w:t>
      </w:r>
      <w:r w:rsidR="00F16520" w:rsidRPr="00103A36">
        <w:rPr>
          <w:rFonts w:eastAsia="Malgun Gothic"/>
          <w:bCs/>
          <w:lang w:val="fr-FR"/>
        </w:rPr>
        <w:t xml:space="preserve">nom </w:t>
      </w:r>
      <w:r w:rsidRPr="00103A36">
        <w:rPr>
          <w:rFonts w:eastAsia="Malgun Gothic"/>
          <w:bCs/>
          <w:lang w:val="fr-FR"/>
        </w:rPr>
        <w:t>des générations de maîtres du rhum. La communauté et tous ceux qui avaient</w:t>
      </w:r>
      <w:r w:rsidRPr="00817C88">
        <w:rPr>
          <w:rFonts w:eastAsia="Malgun Gothic"/>
          <w:bCs/>
          <w:lang w:val="fr-FR"/>
        </w:rPr>
        <w:t xml:space="preserve"> contribué à cette inscription étaient extrêmement reconnaissants du travail réalisé par l</w:t>
      </w:r>
      <w:r w:rsidR="00923E72">
        <w:rPr>
          <w:rFonts w:eastAsia="Malgun Gothic"/>
          <w:bCs/>
          <w:lang w:val="fr-FR"/>
        </w:rPr>
        <w:t>’</w:t>
      </w:r>
      <w:r w:rsidRPr="00817C88">
        <w:rPr>
          <w:rFonts w:eastAsia="Malgun Gothic"/>
          <w:bCs/>
          <w:lang w:val="fr-FR"/>
        </w:rPr>
        <w:t>Organe d</w:t>
      </w:r>
      <w:r w:rsidR="00923E72">
        <w:rPr>
          <w:rFonts w:eastAsia="Malgun Gothic"/>
          <w:bCs/>
          <w:lang w:val="fr-FR"/>
        </w:rPr>
        <w:t>’</w:t>
      </w:r>
      <w:r w:rsidRPr="00817C88">
        <w:rPr>
          <w:rFonts w:eastAsia="Malgun Gothic"/>
          <w:bCs/>
          <w:lang w:val="fr-FR"/>
        </w:rPr>
        <w:t>évaluation et le Comité. [Troisième orateur] Pour les membres de la communauté, c</w:t>
      </w:r>
      <w:r w:rsidR="00923E72">
        <w:rPr>
          <w:rFonts w:eastAsia="Malgun Gothic"/>
          <w:bCs/>
          <w:lang w:val="fr-FR"/>
        </w:rPr>
        <w:t>’</w:t>
      </w:r>
      <w:r w:rsidRPr="00817C88">
        <w:rPr>
          <w:rFonts w:eastAsia="Malgun Gothic"/>
          <w:bCs/>
          <w:lang w:val="fr-FR"/>
        </w:rPr>
        <w:t xml:space="preserve">était merveilleux de se trouver dans un pays aussi </w:t>
      </w:r>
      <w:r w:rsidR="0008099E">
        <w:rPr>
          <w:rFonts w:eastAsia="Malgun Gothic"/>
          <w:bCs/>
          <w:lang w:val="fr-FR"/>
        </w:rPr>
        <w:t xml:space="preserve">magnifique </w:t>
      </w:r>
      <w:r w:rsidRPr="00817C88">
        <w:rPr>
          <w:rFonts w:eastAsia="Malgun Gothic"/>
          <w:bCs/>
          <w:lang w:val="fr-FR"/>
        </w:rPr>
        <w:t>et de pouvoir présenter la culture historique de Cuba. C</w:t>
      </w:r>
      <w:r w:rsidR="00923E72">
        <w:rPr>
          <w:rFonts w:eastAsia="Malgun Gothic"/>
          <w:bCs/>
          <w:lang w:val="fr-FR"/>
        </w:rPr>
        <w:t>’</w:t>
      </w:r>
      <w:r w:rsidRPr="00817C88">
        <w:rPr>
          <w:rFonts w:eastAsia="Malgun Gothic"/>
          <w:bCs/>
          <w:lang w:val="fr-FR"/>
        </w:rPr>
        <w:t xml:space="preserve">était un moment très émouvant pour Cuba de partager ces souvenirs des générations précédentes. </w:t>
      </w:r>
      <w:r w:rsidR="00103A36">
        <w:rPr>
          <w:rFonts w:eastAsia="Malgun Gothic"/>
          <w:bCs/>
          <w:lang w:val="fr-FR"/>
        </w:rPr>
        <w:t>Depuis le</w:t>
      </w:r>
      <w:r w:rsidRPr="00817C88">
        <w:rPr>
          <w:rFonts w:eastAsia="Malgun Gothic"/>
          <w:bCs/>
          <w:lang w:val="fr-FR"/>
        </w:rPr>
        <w:t xml:space="preserve"> </w:t>
      </w:r>
      <w:r w:rsidR="00F16520">
        <w:rPr>
          <w:rFonts w:eastAsia="Malgun Gothic"/>
          <w:bCs/>
          <w:lang w:val="fr-FR"/>
        </w:rPr>
        <w:t>XIX</w:t>
      </w:r>
      <w:r w:rsidR="00F16520" w:rsidRPr="00702497">
        <w:rPr>
          <w:rFonts w:eastAsia="Malgun Gothic"/>
          <w:bCs/>
          <w:vertAlign w:val="superscript"/>
          <w:lang w:val="fr-FR"/>
        </w:rPr>
        <w:t>e</w:t>
      </w:r>
      <w:r w:rsidR="00F16520">
        <w:rPr>
          <w:rFonts w:eastAsia="Malgun Gothic"/>
          <w:bCs/>
          <w:lang w:val="fr-FR"/>
        </w:rPr>
        <w:t xml:space="preserve"> </w:t>
      </w:r>
      <w:r w:rsidRPr="00817C88">
        <w:rPr>
          <w:rFonts w:eastAsia="Malgun Gothic"/>
          <w:bCs/>
          <w:lang w:val="fr-FR"/>
        </w:rPr>
        <w:t>siècle, elles avaient pu créer, enrichir, préserver et transmettre ce patrimoine culturel</w:t>
      </w:r>
      <w:r w:rsidR="00103A36">
        <w:rPr>
          <w:rFonts w:eastAsia="Malgun Gothic"/>
          <w:bCs/>
          <w:lang w:val="fr-FR"/>
        </w:rPr>
        <w:t xml:space="preserve"> aux </w:t>
      </w:r>
      <w:r w:rsidR="00D97C81">
        <w:rPr>
          <w:rFonts w:eastAsia="Malgun Gothic"/>
          <w:bCs/>
          <w:lang w:val="fr-FR"/>
        </w:rPr>
        <w:t xml:space="preserve">générations actuelles, les </w:t>
      </w:r>
      <w:r w:rsidRPr="00817C88">
        <w:rPr>
          <w:rFonts w:eastAsia="Malgun Gothic"/>
          <w:bCs/>
          <w:lang w:val="fr-FR"/>
        </w:rPr>
        <w:t>septième et huitième</w:t>
      </w:r>
      <w:r w:rsidR="00D97C81">
        <w:rPr>
          <w:rFonts w:eastAsia="Malgun Gothic"/>
          <w:bCs/>
          <w:lang w:val="fr-FR"/>
        </w:rPr>
        <w:t xml:space="preserve">, </w:t>
      </w:r>
      <w:r w:rsidRPr="00817C88">
        <w:rPr>
          <w:rFonts w:eastAsia="Malgun Gothic"/>
          <w:bCs/>
          <w:lang w:val="fr-FR"/>
        </w:rPr>
        <w:t>de ces maîtres cubains du rhum léger. Néanmoins, il restait des défis importants à relever pour être fidèle à cette culture et la transmettre afin que les maîtres du rhum cubain continuent à faire partie intégrante de la tradition, de la culture et de l</w:t>
      </w:r>
      <w:r w:rsidR="00923E72">
        <w:rPr>
          <w:rFonts w:eastAsia="Malgun Gothic"/>
          <w:bCs/>
          <w:lang w:val="fr-FR"/>
        </w:rPr>
        <w:t>’</w:t>
      </w:r>
      <w:r w:rsidRPr="00817C88">
        <w:rPr>
          <w:rFonts w:eastAsia="Malgun Gothic"/>
          <w:bCs/>
          <w:lang w:val="fr-FR"/>
        </w:rPr>
        <w:t>histoire de Cuba.</w:t>
      </w:r>
    </w:p>
    <w:p w14:paraId="26C7AC89" w14:textId="38029890" w:rsidR="00F16520" w:rsidRDefault="00F1652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félicité Cuba et est passé à la </w:t>
      </w:r>
      <w:r w:rsidRPr="00F16520">
        <w:rPr>
          <w:rFonts w:eastAsia="Malgun Gothic"/>
          <w:bCs/>
          <w:lang w:val="fr-FR"/>
        </w:rPr>
        <w:t>candidature</w:t>
      </w:r>
      <w:r>
        <w:rPr>
          <w:rFonts w:eastAsia="Malgun Gothic"/>
          <w:bCs/>
          <w:lang w:val="fr-FR"/>
        </w:rPr>
        <w:t xml:space="preserve"> suivante.</w:t>
      </w:r>
    </w:p>
    <w:p w14:paraId="56A3B00A" w14:textId="4BBA9C99" w:rsidR="00F16520" w:rsidRDefault="00DF582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F582E">
        <w:rPr>
          <w:rFonts w:eastAsia="Malgun Gothic"/>
          <w:bCs/>
          <w:lang w:val="fr-FR"/>
        </w:rPr>
        <w:t xml:space="preserve">La </w:t>
      </w:r>
      <w:r w:rsidRPr="00702497">
        <w:rPr>
          <w:rFonts w:eastAsia="Malgun Gothic"/>
          <w:b/>
          <w:lang w:val="fr-FR"/>
        </w:rPr>
        <w:t>Vice-Présidente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DF582E">
        <w:rPr>
          <w:rFonts w:eastAsia="Malgun Gothic"/>
          <w:bCs/>
          <w:lang w:val="fr-FR"/>
        </w:rPr>
        <w:t xml:space="preserve"> est passée au dossier de candidature suivant, </w:t>
      </w:r>
      <w:r w:rsidRPr="00702497">
        <w:rPr>
          <w:rFonts w:eastAsia="Malgun Gothic"/>
          <w:b/>
          <w:lang w:val="fr-FR"/>
        </w:rPr>
        <w:t>la coutume d</w:t>
      </w:r>
      <w:r w:rsidR="00FE23B8">
        <w:rPr>
          <w:rFonts w:eastAsia="Malgun Gothic"/>
          <w:b/>
          <w:lang w:val="fr-FR"/>
        </w:rPr>
        <w:t>u</w:t>
      </w:r>
      <w:r w:rsidRPr="00702497">
        <w:rPr>
          <w:rFonts w:eastAsia="Malgun Gothic"/>
          <w:b/>
          <w:lang w:val="fr-FR"/>
        </w:rPr>
        <w:t xml:space="preserve"> </w:t>
      </w:r>
      <w:proofErr w:type="spellStart"/>
      <w:r w:rsidR="00FE23B8">
        <w:rPr>
          <w:rFonts w:eastAsia="Malgun Gothic"/>
          <w:b/>
          <w:lang w:val="fr-FR"/>
        </w:rPr>
        <w:t>r</w:t>
      </w:r>
      <w:r w:rsidRPr="00702497">
        <w:rPr>
          <w:rFonts w:eastAsia="Malgun Gothic"/>
          <w:b/>
          <w:lang w:val="fr-FR"/>
        </w:rPr>
        <w:t>aengmyon</w:t>
      </w:r>
      <w:proofErr w:type="spellEnd"/>
      <w:r w:rsidR="00FE23B8">
        <w:rPr>
          <w:rFonts w:eastAsia="Malgun Gothic"/>
          <w:b/>
          <w:lang w:val="fr-FR"/>
        </w:rPr>
        <w:t xml:space="preserve"> de </w:t>
      </w:r>
      <w:r w:rsidR="00FE23B8" w:rsidRPr="000C4627">
        <w:rPr>
          <w:rFonts w:eastAsia="Malgun Gothic"/>
          <w:b/>
          <w:lang w:val="fr-FR"/>
        </w:rPr>
        <w:t>Pyongyang</w:t>
      </w:r>
      <w:r w:rsidRPr="00DF582E">
        <w:rPr>
          <w:rFonts w:eastAsia="Malgun Gothic"/>
          <w:bCs/>
          <w:lang w:val="fr-FR"/>
        </w:rPr>
        <w:t xml:space="preserve"> [projet de décision</w:t>
      </w:r>
      <w:r w:rsidR="0008099E">
        <w:rPr>
          <w:rFonts w:eastAsia="Malgun Gothic"/>
          <w:bCs/>
          <w:lang w:val="fr-FR"/>
        </w:rPr>
        <w:t> </w:t>
      </w:r>
      <w:r w:rsidRPr="00DF582E">
        <w:rPr>
          <w:rFonts w:eastAsia="Malgun Gothic"/>
          <w:bCs/>
          <w:lang w:val="fr-FR"/>
        </w:rPr>
        <w:t>7.b.6]</w:t>
      </w:r>
      <w:r w:rsidR="00CD654F">
        <w:rPr>
          <w:rFonts w:eastAsia="Malgun Gothic"/>
          <w:bCs/>
          <w:lang w:val="fr-FR"/>
        </w:rPr>
        <w:t xml:space="preserve">, </w:t>
      </w:r>
      <w:r w:rsidRPr="00DF582E">
        <w:rPr>
          <w:rFonts w:eastAsia="Malgun Gothic"/>
          <w:bCs/>
          <w:lang w:val="fr-FR"/>
        </w:rPr>
        <w:t xml:space="preserve">soumis par la </w:t>
      </w:r>
      <w:r w:rsidRPr="00702497">
        <w:rPr>
          <w:rFonts w:eastAsia="Malgun Gothic"/>
          <w:b/>
          <w:lang w:val="fr-FR"/>
        </w:rPr>
        <w:t>République populaire démocratique de Corée</w:t>
      </w:r>
      <w:r w:rsidR="00FE23B8">
        <w:rPr>
          <w:rFonts w:eastAsia="Malgun Gothic"/>
          <w:bCs/>
          <w:lang w:val="fr-FR"/>
        </w:rPr>
        <w:t>,</w:t>
      </w:r>
      <w:r w:rsidRPr="00DF582E">
        <w:rPr>
          <w:rFonts w:eastAsia="Malgun Gothic"/>
          <w:bCs/>
          <w:lang w:val="fr-FR"/>
        </w:rPr>
        <w:t xml:space="preserve"> expliquant que l</w:t>
      </w:r>
      <w:r w:rsidR="00923E72">
        <w:rPr>
          <w:rFonts w:eastAsia="Malgun Gothic"/>
          <w:bCs/>
          <w:lang w:val="fr-FR"/>
        </w:rPr>
        <w:t>’</w:t>
      </w:r>
      <w:r w:rsidRPr="00DF582E">
        <w:rPr>
          <w:rFonts w:eastAsia="Malgun Gothic"/>
          <w:bCs/>
          <w:lang w:val="fr-FR"/>
        </w:rPr>
        <w:t xml:space="preserve">élément est une pratique </w:t>
      </w:r>
      <w:r w:rsidR="00FE23B8">
        <w:rPr>
          <w:rFonts w:eastAsia="Malgun Gothic"/>
          <w:bCs/>
          <w:lang w:val="fr-FR"/>
        </w:rPr>
        <w:t xml:space="preserve">coutumière, </w:t>
      </w:r>
      <w:r w:rsidRPr="00DF582E">
        <w:rPr>
          <w:rFonts w:eastAsia="Malgun Gothic"/>
          <w:bCs/>
          <w:lang w:val="fr-FR"/>
        </w:rPr>
        <w:t xml:space="preserve">sociale et culturelle </w:t>
      </w:r>
      <w:r w:rsidR="00FE23B8">
        <w:rPr>
          <w:rFonts w:eastAsia="Malgun Gothic"/>
          <w:bCs/>
          <w:lang w:val="fr-FR"/>
        </w:rPr>
        <w:t>associée</w:t>
      </w:r>
      <w:r w:rsidRPr="00DF582E">
        <w:rPr>
          <w:rFonts w:eastAsia="Malgun Gothic"/>
          <w:bCs/>
          <w:lang w:val="fr-FR"/>
        </w:rPr>
        <w:t xml:space="preserve"> aux nouilles froides qui sont servies à </w:t>
      </w:r>
      <w:r w:rsidR="00FE23B8">
        <w:rPr>
          <w:rFonts w:eastAsia="Malgun Gothic"/>
          <w:bCs/>
          <w:lang w:val="fr-FR"/>
        </w:rPr>
        <w:t xml:space="preserve">de nombreuses </w:t>
      </w:r>
      <w:r w:rsidRPr="00FE23B8">
        <w:rPr>
          <w:rFonts w:eastAsia="Malgun Gothic"/>
          <w:bCs/>
          <w:lang w:val="fr-FR"/>
        </w:rPr>
        <w:t>occasions, et qu</w:t>
      </w:r>
      <w:r w:rsidR="00923E72">
        <w:rPr>
          <w:rFonts w:eastAsia="Malgun Gothic"/>
          <w:bCs/>
          <w:lang w:val="fr-FR"/>
        </w:rPr>
        <w:t>’</w:t>
      </w:r>
      <w:r w:rsidRPr="00FE23B8">
        <w:rPr>
          <w:rFonts w:eastAsia="Malgun Gothic"/>
          <w:bCs/>
          <w:lang w:val="fr-FR"/>
        </w:rPr>
        <w:t>il est associé à la longévité, au bonheur, à l</w:t>
      </w:r>
      <w:r w:rsidR="00923E72">
        <w:rPr>
          <w:rFonts w:eastAsia="Malgun Gothic"/>
          <w:bCs/>
          <w:lang w:val="fr-FR"/>
        </w:rPr>
        <w:t>’</w:t>
      </w:r>
      <w:r w:rsidRPr="00FE23B8">
        <w:rPr>
          <w:rFonts w:eastAsia="Malgun Gothic"/>
          <w:bCs/>
          <w:lang w:val="fr-FR"/>
        </w:rPr>
        <w:t>hospitalité, à la convivialité et à l</w:t>
      </w:r>
      <w:r w:rsidR="00923E72">
        <w:rPr>
          <w:rFonts w:eastAsia="Malgun Gothic"/>
          <w:bCs/>
          <w:lang w:val="fr-FR"/>
        </w:rPr>
        <w:t>’</w:t>
      </w:r>
      <w:r w:rsidRPr="00FE23B8">
        <w:rPr>
          <w:rFonts w:eastAsia="Malgun Gothic"/>
          <w:bCs/>
          <w:lang w:val="fr-FR"/>
        </w:rPr>
        <w:t xml:space="preserve">amitié, et est censé favoriser le respect, </w:t>
      </w:r>
      <w:r w:rsidR="00FE23B8">
        <w:rPr>
          <w:rFonts w:eastAsia="Malgun Gothic"/>
          <w:bCs/>
          <w:lang w:val="fr-FR"/>
        </w:rPr>
        <w:t xml:space="preserve">la proximité </w:t>
      </w:r>
      <w:r w:rsidRPr="00FE23B8">
        <w:rPr>
          <w:rFonts w:eastAsia="Malgun Gothic"/>
          <w:bCs/>
          <w:lang w:val="fr-FR"/>
        </w:rPr>
        <w:t>et l</w:t>
      </w:r>
      <w:r w:rsidR="00923E72">
        <w:rPr>
          <w:rFonts w:eastAsia="Malgun Gothic"/>
          <w:bCs/>
          <w:lang w:val="fr-FR"/>
        </w:rPr>
        <w:t>’</w:t>
      </w:r>
      <w:r w:rsidRPr="00FE23B8">
        <w:rPr>
          <w:rFonts w:eastAsia="Malgun Gothic"/>
          <w:bCs/>
          <w:lang w:val="fr-FR"/>
        </w:rPr>
        <w:t>unité. Après avoir engagé un processus de dialogue sur le critère</w:t>
      </w:r>
      <w:r w:rsidR="0008099E">
        <w:rPr>
          <w:rFonts w:eastAsia="Malgun Gothic"/>
          <w:bCs/>
          <w:lang w:val="fr-FR"/>
        </w:rPr>
        <w:t> </w:t>
      </w:r>
      <w:r w:rsidRPr="00FE23B8">
        <w:rPr>
          <w:rFonts w:eastAsia="Malgun Gothic"/>
          <w:bCs/>
          <w:lang w:val="fr-FR"/>
        </w:rPr>
        <w:t>R.3 relatif au risque de procédure</w:t>
      </w:r>
      <w:r w:rsidR="00FE23B8">
        <w:rPr>
          <w:rFonts w:eastAsia="Malgun Gothic"/>
          <w:bCs/>
          <w:lang w:val="fr-FR"/>
        </w:rPr>
        <w:t>s</w:t>
      </w:r>
      <w:r w:rsidRPr="00FE23B8">
        <w:rPr>
          <w:rFonts w:eastAsia="Malgun Gothic"/>
          <w:bCs/>
          <w:lang w:val="fr-FR"/>
        </w:rPr>
        <w:t xml:space="preserve"> </w:t>
      </w:r>
      <w:r w:rsidR="00FE23B8">
        <w:rPr>
          <w:rFonts w:eastAsia="Malgun Gothic"/>
          <w:bCs/>
          <w:lang w:val="fr-FR"/>
        </w:rPr>
        <w:t>standard</w:t>
      </w:r>
      <w:r w:rsidRPr="00FE23B8">
        <w:rPr>
          <w:rFonts w:eastAsia="Malgun Gothic"/>
          <w:bCs/>
          <w:lang w:val="fr-FR"/>
        </w:rPr>
        <w:t xml:space="preserve"> pour la créativité humaine, l</w:t>
      </w:r>
      <w:r w:rsidR="00923E72">
        <w:rPr>
          <w:rFonts w:eastAsia="Malgun Gothic"/>
          <w:bCs/>
          <w:lang w:val="fr-FR"/>
        </w:rPr>
        <w:t>’</w:t>
      </w:r>
      <w:r w:rsidRPr="00FE23B8">
        <w:rPr>
          <w:rFonts w:eastAsia="Malgun Gothic"/>
          <w:bCs/>
          <w:lang w:val="fr-FR"/>
        </w:rPr>
        <w:t>Organe d</w:t>
      </w:r>
      <w:r w:rsidR="00923E72">
        <w:rPr>
          <w:rFonts w:eastAsia="Malgun Gothic"/>
          <w:bCs/>
          <w:lang w:val="fr-FR"/>
        </w:rPr>
        <w:t>’</w:t>
      </w:r>
      <w:r w:rsidRPr="00FE23B8">
        <w:rPr>
          <w:rFonts w:eastAsia="Malgun Gothic"/>
          <w:bCs/>
          <w:lang w:val="fr-FR"/>
        </w:rPr>
        <w:t>évaluation avait estimé que la candidature satisfaisait à l</w:t>
      </w:r>
      <w:r w:rsidR="00923E72">
        <w:rPr>
          <w:rFonts w:eastAsia="Malgun Gothic"/>
          <w:bCs/>
          <w:lang w:val="fr-FR"/>
        </w:rPr>
        <w:t>’</w:t>
      </w:r>
      <w:r w:rsidRPr="00FE23B8">
        <w:rPr>
          <w:rFonts w:eastAsia="Malgun Gothic"/>
          <w:bCs/>
          <w:lang w:val="fr-FR"/>
        </w:rPr>
        <w:t>ensemble des cinq critères. Le dossier</w:t>
      </w:r>
      <w:r w:rsidR="00FF249E">
        <w:rPr>
          <w:rFonts w:eastAsia="Malgun Gothic"/>
          <w:bCs/>
          <w:lang w:val="fr-FR"/>
        </w:rPr>
        <w:t>, qui</w:t>
      </w:r>
      <w:r w:rsidRPr="00FE23B8">
        <w:rPr>
          <w:rFonts w:eastAsia="Malgun Gothic"/>
          <w:bCs/>
          <w:lang w:val="fr-FR"/>
        </w:rPr>
        <w:t xml:space="preserve"> expliquait que l</w:t>
      </w:r>
      <w:r w:rsidR="00923E72">
        <w:rPr>
          <w:rFonts w:eastAsia="Malgun Gothic"/>
          <w:bCs/>
          <w:lang w:val="fr-FR"/>
        </w:rPr>
        <w:t>’</w:t>
      </w:r>
      <w:r w:rsidRPr="00FE23B8">
        <w:rPr>
          <w:rFonts w:eastAsia="Malgun Gothic"/>
          <w:bCs/>
          <w:lang w:val="fr-FR"/>
        </w:rPr>
        <w:t>élément favorise un sentiment d</w:t>
      </w:r>
      <w:r w:rsidR="00923E72">
        <w:rPr>
          <w:rFonts w:eastAsia="Malgun Gothic"/>
          <w:bCs/>
          <w:lang w:val="fr-FR"/>
        </w:rPr>
        <w:t>’</w:t>
      </w:r>
      <w:r w:rsidRPr="00FE23B8">
        <w:rPr>
          <w:rFonts w:eastAsia="Malgun Gothic"/>
          <w:bCs/>
          <w:lang w:val="fr-FR"/>
        </w:rPr>
        <w:t xml:space="preserve">identité et de </w:t>
      </w:r>
      <w:r w:rsidR="00FE23B8">
        <w:rPr>
          <w:rFonts w:eastAsia="Malgun Gothic"/>
          <w:bCs/>
          <w:lang w:val="fr-FR"/>
        </w:rPr>
        <w:t xml:space="preserve">pérennité </w:t>
      </w:r>
      <w:r w:rsidRPr="00FE23B8">
        <w:rPr>
          <w:rFonts w:eastAsia="Malgun Gothic"/>
          <w:bCs/>
          <w:lang w:val="fr-FR"/>
        </w:rPr>
        <w:t xml:space="preserve">culturelles et </w:t>
      </w:r>
      <w:r w:rsidR="0008099E">
        <w:rPr>
          <w:rFonts w:eastAsia="Malgun Gothic"/>
          <w:bCs/>
          <w:lang w:val="fr-FR"/>
        </w:rPr>
        <w:t xml:space="preserve">contribue à </w:t>
      </w:r>
      <w:r w:rsidRPr="00FE23B8">
        <w:rPr>
          <w:rFonts w:eastAsia="Malgun Gothic"/>
          <w:bCs/>
          <w:lang w:val="fr-FR"/>
        </w:rPr>
        <w:t>l</w:t>
      </w:r>
      <w:r w:rsidR="00923E72">
        <w:rPr>
          <w:rFonts w:eastAsia="Malgun Gothic"/>
          <w:bCs/>
          <w:lang w:val="fr-FR"/>
        </w:rPr>
        <w:t>’</w:t>
      </w:r>
      <w:r w:rsidRPr="00FE23B8">
        <w:rPr>
          <w:rFonts w:eastAsia="Malgun Gothic"/>
          <w:bCs/>
          <w:lang w:val="fr-FR"/>
        </w:rPr>
        <w:t>harmonie et</w:t>
      </w:r>
      <w:r w:rsidR="00FE23B8">
        <w:rPr>
          <w:rFonts w:eastAsia="Malgun Gothic"/>
          <w:bCs/>
          <w:lang w:val="fr-FR"/>
        </w:rPr>
        <w:t xml:space="preserve"> </w:t>
      </w:r>
      <w:r w:rsidRPr="00FE23B8">
        <w:rPr>
          <w:rFonts w:eastAsia="Malgun Gothic"/>
          <w:bCs/>
          <w:lang w:val="fr-FR"/>
        </w:rPr>
        <w:t>la cohésion sociales,</w:t>
      </w:r>
      <w:r w:rsidR="00FF249E">
        <w:rPr>
          <w:rFonts w:eastAsia="Malgun Gothic"/>
          <w:bCs/>
          <w:lang w:val="fr-FR"/>
        </w:rPr>
        <w:t xml:space="preserve"> </w:t>
      </w:r>
      <w:r w:rsidRPr="00FE23B8">
        <w:rPr>
          <w:rFonts w:eastAsia="Malgun Gothic"/>
          <w:bCs/>
          <w:lang w:val="fr-FR"/>
        </w:rPr>
        <w:t>fournissait suffisamment d</w:t>
      </w:r>
      <w:r w:rsidR="00923E72">
        <w:rPr>
          <w:rFonts w:eastAsia="Malgun Gothic"/>
          <w:bCs/>
          <w:lang w:val="fr-FR"/>
        </w:rPr>
        <w:t>’</w:t>
      </w:r>
      <w:r w:rsidRPr="00FE23B8">
        <w:rPr>
          <w:rFonts w:eastAsia="Malgun Gothic"/>
          <w:bCs/>
          <w:lang w:val="fr-FR"/>
        </w:rPr>
        <w:t>informations sur les mesures de sauvegarde. En conclusion, l</w:t>
      </w:r>
      <w:r w:rsidR="00923E72">
        <w:rPr>
          <w:rFonts w:eastAsia="Malgun Gothic"/>
          <w:bCs/>
          <w:lang w:val="fr-FR"/>
        </w:rPr>
        <w:t>’</w:t>
      </w:r>
      <w:r w:rsidRPr="00FE23B8">
        <w:rPr>
          <w:rFonts w:eastAsia="Malgun Gothic"/>
          <w:bCs/>
          <w:lang w:val="fr-FR"/>
        </w:rPr>
        <w:t>Organe d</w:t>
      </w:r>
      <w:r w:rsidR="00923E72">
        <w:rPr>
          <w:rFonts w:eastAsia="Malgun Gothic"/>
          <w:bCs/>
          <w:lang w:val="fr-FR"/>
        </w:rPr>
        <w:t>’</w:t>
      </w:r>
      <w:r w:rsidRPr="00FE23B8">
        <w:rPr>
          <w:rFonts w:eastAsia="Malgun Gothic"/>
          <w:bCs/>
          <w:lang w:val="fr-FR"/>
        </w:rPr>
        <w:t>évaluation recommandait l</w:t>
      </w:r>
      <w:r w:rsidR="00923E72">
        <w:rPr>
          <w:rFonts w:eastAsia="Malgun Gothic"/>
          <w:bCs/>
          <w:lang w:val="fr-FR"/>
        </w:rPr>
        <w:t>’</w:t>
      </w:r>
      <w:r w:rsidRPr="00FE23B8">
        <w:rPr>
          <w:rFonts w:eastAsia="Malgun Gothic"/>
          <w:bCs/>
          <w:lang w:val="fr-FR"/>
        </w:rPr>
        <w:t>inscription de cet élément sur la Liste représentative.</w:t>
      </w:r>
    </w:p>
    <w:p w14:paraId="772579C5" w14:textId="7AE18B77" w:rsidR="00404014" w:rsidRDefault="0040401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08099E">
        <w:rPr>
          <w:rFonts w:eastAsia="Malgun Gothic"/>
          <w:b/>
          <w:lang w:val="fr-FR"/>
        </w:rPr>
        <w:t> </w:t>
      </w:r>
      <w:r w:rsidR="00751FB1">
        <w:fldChar w:fldCharType="begin"/>
      </w:r>
      <w:r w:rsidR="00751FB1" w:rsidRPr="00751FB1">
        <w:rPr>
          <w:lang w:val="fr-FR"/>
        </w:rPr>
        <w:instrText>HYPERLINK "https://ich.unesco.org/fr/Decisions/17.COM/7.b.6"</w:instrText>
      </w:r>
      <w:r w:rsidR="00751FB1">
        <w:fldChar w:fldCharType="separate"/>
      </w:r>
      <w:r w:rsidRPr="00702497">
        <w:rPr>
          <w:rStyle w:val="Hyperlink"/>
          <w:b/>
          <w:bCs/>
          <w:lang w:val="fr-FR"/>
        </w:rPr>
        <w:t>17.COM 7.b.6</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0C4627">
        <w:rPr>
          <w:rFonts w:eastAsia="Malgun Gothic"/>
          <w:b/>
          <w:lang w:val="fr-FR"/>
        </w:rPr>
        <w:t>la coutume d</w:t>
      </w:r>
      <w:r>
        <w:rPr>
          <w:rFonts w:eastAsia="Malgun Gothic"/>
          <w:b/>
          <w:lang w:val="fr-FR"/>
        </w:rPr>
        <w:t>u</w:t>
      </w:r>
      <w:r w:rsidRPr="000C4627">
        <w:rPr>
          <w:rFonts w:eastAsia="Malgun Gothic"/>
          <w:b/>
          <w:lang w:val="fr-FR"/>
        </w:rPr>
        <w:t xml:space="preserve"> </w:t>
      </w:r>
      <w:proofErr w:type="spellStart"/>
      <w:r>
        <w:rPr>
          <w:rFonts w:eastAsia="Malgun Gothic"/>
          <w:b/>
          <w:lang w:val="fr-FR"/>
        </w:rPr>
        <w:t>r</w:t>
      </w:r>
      <w:r w:rsidRPr="000C4627">
        <w:rPr>
          <w:rFonts w:eastAsia="Malgun Gothic"/>
          <w:b/>
          <w:lang w:val="fr-FR"/>
        </w:rPr>
        <w:t>aengmyon</w:t>
      </w:r>
      <w:proofErr w:type="spellEnd"/>
      <w:r>
        <w:rPr>
          <w:rFonts w:eastAsia="Malgun Gothic"/>
          <w:b/>
          <w:lang w:val="fr-FR"/>
        </w:rPr>
        <w:t xml:space="preserve"> de </w:t>
      </w:r>
      <w:r w:rsidRPr="000C4627">
        <w:rPr>
          <w:rFonts w:eastAsia="Malgun Gothic"/>
          <w:b/>
          <w:lang w:val="fr-FR"/>
        </w:rPr>
        <w:t>Pyongyang</w:t>
      </w:r>
      <w:r w:rsidRPr="00AE6A00">
        <w:rPr>
          <w:rFonts w:eastAsia="Malgun Gothic"/>
          <w:b/>
          <w:lang w:val="fr-FR"/>
        </w:rPr>
        <w:t xml:space="preserve"> </w:t>
      </w:r>
      <w:r>
        <w:rPr>
          <w:rFonts w:eastAsia="Malgun Gothic"/>
          <w:b/>
          <w:lang w:val="fr-FR"/>
        </w:rPr>
        <w:t>sur la Liste représentative</w:t>
      </w:r>
      <w:r>
        <w:rPr>
          <w:rFonts w:eastAsia="Malgun Gothic"/>
          <w:bCs/>
          <w:lang w:val="fr-FR"/>
        </w:rPr>
        <w:t>.</w:t>
      </w:r>
    </w:p>
    <w:p w14:paraId="12EA3B95" w14:textId="7C1B786A" w:rsidR="00404014" w:rsidRDefault="0040401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04014">
        <w:rPr>
          <w:rFonts w:eastAsia="Malgun Gothic"/>
          <w:bCs/>
          <w:lang w:val="fr-FR"/>
        </w:rPr>
        <w:t xml:space="preserve">La délégation de la </w:t>
      </w:r>
      <w:r w:rsidRPr="00702497">
        <w:rPr>
          <w:rFonts w:eastAsia="Malgun Gothic"/>
          <w:b/>
          <w:lang w:val="fr-FR"/>
        </w:rPr>
        <w:t>République populaire démocratique de Corée</w:t>
      </w:r>
      <w:r w:rsidR="00ED77D2">
        <w:rPr>
          <w:rFonts w:eastAsia="Malgun Gothic"/>
          <w:bCs/>
          <w:lang w:val="fr-FR"/>
        </w:rPr>
        <w:t xml:space="preserve">, qui </w:t>
      </w:r>
      <w:r w:rsidRPr="00404014">
        <w:rPr>
          <w:rFonts w:eastAsia="Malgun Gothic"/>
          <w:bCs/>
          <w:lang w:val="fr-FR"/>
        </w:rPr>
        <w:t>appréciait les efforts déployés par le Gouvernement du Maroc pour l</w:t>
      </w:r>
      <w:r w:rsidR="00923E72">
        <w:rPr>
          <w:rFonts w:eastAsia="Malgun Gothic"/>
          <w:bCs/>
          <w:lang w:val="fr-FR"/>
        </w:rPr>
        <w:t>’</w:t>
      </w:r>
      <w:r w:rsidRPr="00404014">
        <w:rPr>
          <w:rFonts w:eastAsia="Malgun Gothic"/>
          <w:bCs/>
          <w:lang w:val="fr-FR"/>
        </w:rPr>
        <w:t>organisation de la dix</w:t>
      </w:r>
      <w:r w:rsidR="0008099E">
        <w:rPr>
          <w:rFonts w:eastAsia="Malgun Gothic"/>
          <w:bCs/>
          <w:lang w:val="fr-FR"/>
        </w:rPr>
        <w:noBreakHyphen/>
      </w:r>
      <w:r w:rsidRPr="00404014">
        <w:rPr>
          <w:rFonts w:eastAsia="Malgun Gothic"/>
          <w:bCs/>
          <w:lang w:val="fr-FR"/>
        </w:rPr>
        <w:t xml:space="preserve">septième session du Comité, a expliqué que le </w:t>
      </w:r>
      <w:proofErr w:type="spellStart"/>
      <w:r w:rsidRPr="00404014">
        <w:rPr>
          <w:rFonts w:eastAsia="Malgun Gothic"/>
          <w:bCs/>
          <w:lang w:val="fr-FR"/>
        </w:rPr>
        <w:t>raengmyon</w:t>
      </w:r>
      <w:proofErr w:type="spellEnd"/>
      <w:r w:rsidRPr="00404014">
        <w:rPr>
          <w:rFonts w:eastAsia="Malgun Gothic"/>
          <w:bCs/>
          <w:lang w:val="fr-FR"/>
        </w:rPr>
        <w:t xml:space="preserve"> de Pyongyang est un plat traditionnel de Pyongyang,</w:t>
      </w:r>
      <w:r w:rsidR="007D12ED">
        <w:rPr>
          <w:rFonts w:eastAsia="Malgun Gothic"/>
          <w:bCs/>
          <w:lang w:val="fr-FR"/>
        </w:rPr>
        <w:t xml:space="preserve"> </w:t>
      </w:r>
      <w:r w:rsidRPr="00404014">
        <w:rPr>
          <w:rFonts w:eastAsia="Malgun Gothic"/>
          <w:bCs/>
          <w:lang w:val="fr-FR"/>
        </w:rPr>
        <w:t>très connu pour son arôme savoureux, son goût frais et délicieux ainsi que pour son association avec la longévité, le bonheur, l</w:t>
      </w:r>
      <w:r w:rsidR="00923E72">
        <w:rPr>
          <w:rFonts w:eastAsia="Malgun Gothic"/>
          <w:bCs/>
          <w:lang w:val="fr-FR"/>
        </w:rPr>
        <w:t>’</w:t>
      </w:r>
      <w:r w:rsidRPr="00404014">
        <w:rPr>
          <w:rFonts w:eastAsia="Malgun Gothic"/>
          <w:bCs/>
          <w:lang w:val="fr-FR"/>
        </w:rPr>
        <w:t>harmonie et l</w:t>
      </w:r>
      <w:r w:rsidR="00923E72">
        <w:rPr>
          <w:rFonts w:eastAsia="Malgun Gothic"/>
          <w:bCs/>
          <w:lang w:val="fr-FR"/>
        </w:rPr>
        <w:t>’</w:t>
      </w:r>
      <w:r w:rsidRPr="00404014">
        <w:rPr>
          <w:rFonts w:eastAsia="Malgun Gothic"/>
          <w:bCs/>
          <w:lang w:val="fr-FR"/>
        </w:rPr>
        <w:t>unité. L</w:t>
      </w:r>
      <w:r w:rsidR="00923E72">
        <w:rPr>
          <w:rFonts w:eastAsia="Malgun Gothic"/>
          <w:bCs/>
          <w:lang w:val="fr-FR"/>
        </w:rPr>
        <w:t>’</w:t>
      </w:r>
      <w:r w:rsidRPr="00404014">
        <w:rPr>
          <w:rFonts w:eastAsia="Malgun Gothic"/>
          <w:bCs/>
          <w:lang w:val="fr-FR"/>
        </w:rPr>
        <w:t xml:space="preserve">inscription de la coutume du </w:t>
      </w:r>
      <w:proofErr w:type="spellStart"/>
      <w:r w:rsidRPr="00404014">
        <w:rPr>
          <w:rFonts w:eastAsia="Malgun Gothic"/>
          <w:bCs/>
          <w:lang w:val="fr-FR"/>
        </w:rPr>
        <w:t>raengmyon</w:t>
      </w:r>
      <w:proofErr w:type="spellEnd"/>
      <w:r w:rsidRPr="00404014">
        <w:rPr>
          <w:rFonts w:eastAsia="Malgun Gothic"/>
          <w:bCs/>
          <w:lang w:val="fr-FR"/>
        </w:rPr>
        <w:t xml:space="preserve"> de Pyongyang sur la Liste représentative représentait la reconnaissance de sa fonction sociale et de son importance culturelle par la communauté internationale et </w:t>
      </w:r>
      <w:r w:rsidR="007D12ED">
        <w:rPr>
          <w:rFonts w:eastAsia="Malgun Gothic"/>
          <w:bCs/>
          <w:lang w:val="fr-FR"/>
        </w:rPr>
        <w:t>rendrait son peuple encore plus fier</w:t>
      </w:r>
      <w:r w:rsidRPr="00404014">
        <w:rPr>
          <w:rFonts w:eastAsia="Malgun Gothic"/>
          <w:bCs/>
          <w:lang w:val="fr-FR"/>
        </w:rPr>
        <w:t>. La délégation a exprimé sa profonde gratitude à l</w:t>
      </w:r>
      <w:r w:rsidR="00923E72">
        <w:rPr>
          <w:rFonts w:eastAsia="Malgun Gothic"/>
          <w:bCs/>
          <w:lang w:val="fr-FR"/>
        </w:rPr>
        <w:t>’</w:t>
      </w:r>
      <w:r w:rsidRPr="00404014">
        <w:rPr>
          <w:rFonts w:eastAsia="Malgun Gothic"/>
          <w:bCs/>
          <w:lang w:val="fr-FR"/>
        </w:rPr>
        <w:t>Organe d</w:t>
      </w:r>
      <w:r w:rsidR="00923E72">
        <w:rPr>
          <w:rFonts w:eastAsia="Malgun Gothic"/>
          <w:bCs/>
          <w:lang w:val="fr-FR"/>
        </w:rPr>
        <w:t>’</w:t>
      </w:r>
      <w:r w:rsidRPr="00404014">
        <w:rPr>
          <w:rFonts w:eastAsia="Malgun Gothic"/>
          <w:bCs/>
          <w:lang w:val="fr-FR"/>
        </w:rPr>
        <w:t>évaluation, au Secrétariat et au Comité pour leurs efforts</w:t>
      </w:r>
      <w:r w:rsidR="00F92345">
        <w:rPr>
          <w:rFonts w:eastAsia="Malgun Gothic"/>
          <w:bCs/>
          <w:lang w:val="fr-FR"/>
        </w:rPr>
        <w:t>,</w:t>
      </w:r>
      <w:r w:rsidRPr="00404014">
        <w:rPr>
          <w:rFonts w:eastAsia="Malgun Gothic"/>
          <w:bCs/>
          <w:lang w:val="fr-FR"/>
        </w:rPr>
        <w:t xml:space="preserve"> qui avaient abouti à l</w:t>
      </w:r>
      <w:r w:rsidR="00923E72">
        <w:rPr>
          <w:rFonts w:eastAsia="Malgun Gothic"/>
          <w:bCs/>
          <w:lang w:val="fr-FR"/>
        </w:rPr>
        <w:t>’</w:t>
      </w:r>
      <w:r w:rsidRPr="00404014">
        <w:rPr>
          <w:rFonts w:eastAsia="Malgun Gothic"/>
          <w:bCs/>
          <w:lang w:val="fr-FR"/>
        </w:rPr>
        <w:t xml:space="preserve">inscription, </w:t>
      </w:r>
      <w:r w:rsidRPr="00404014">
        <w:rPr>
          <w:rFonts w:eastAsia="Malgun Gothic"/>
          <w:bCs/>
          <w:lang w:val="fr-FR"/>
        </w:rPr>
        <w:lastRenderedPageBreak/>
        <w:t xml:space="preserve">tout en reconnaissant que le processus de dialogue avait procuré une aide technique en favorisant une compréhension </w:t>
      </w:r>
      <w:r w:rsidR="007D12ED">
        <w:rPr>
          <w:rFonts w:eastAsia="Malgun Gothic"/>
          <w:bCs/>
          <w:lang w:val="fr-FR"/>
        </w:rPr>
        <w:t xml:space="preserve">réelle </w:t>
      </w:r>
      <w:r w:rsidRPr="00404014">
        <w:rPr>
          <w:rFonts w:eastAsia="Malgun Gothic"/>
          <w:bCs/>
          <w:lang w:val="fr-FR"/>
        </w:rPr>
        <w:t>des mesures de protection. Elle a souligné l</w:t>
      </w:r>
      <w:r w:rsidR="00923E72">
        <w:rPr>
          <w:rFonts w:eastAsia="Malgun Gothic"/>
          <w:bCs/>
          <w:lang w:val="fr-FR"/>
        </w:rPr>
        <w:t>’</w:t>
      </w:r>
      <w:r w:rsidRPr="00404014">
        <w:rPr>
          <w:rFonts w:eastAsia="Malgun Gothic"/>
          <w:bCs/>
          <w:lang w:val="fr-FR"/>
        </w:rPr>
        <w:t>importance de l</w:t>
      </w:r>
      <w:r w:rsidR="00923E72">
        <w:rPr>
          <w:rFonts w:eastAsia="Malgun Gothic"/>
          <w:bCs/>
          <w:lang w:val="fr-FR"/>
        </w:rPr>
        <w:t>’</w:t>
      </w:r>
      <w:r w:rsidRPr="00404014">
        <w:rPr>
          <w:rFonts w:eastAsia="Malgun Gothic"/>
          <w:bCs/>
          <w:lang w:val="fr-FR"/>
        </w:rPr>
        <w:t>utilisation active de ce processus. L</w:t>
      </w:r>
      <w:r w:rsidR="00923E72">
        <w:rPr>
          <w:rFonts w:eastAsia="Malgun Gothic"/>
          <w:bCs/>
          <w:lang w:val="fr-FR"/>
        </w:rPr>
        <w:t>’</w:t>
      </w:r>
      <w:r w:rsidRPr="00404014">
        <w:rPr>
          <w:rFonts w:eastAsia="Malgun Gothic"/>
          <w:bCs/>
          <w:lang w:val="fr-FR"/>
        </w:rPr>
        <w:t xml:space="preserve">inscription de la coutume du </w:t>
      </w:r>
      <w:proofErr w:type="spellStart"/>
      <w:r w:rsidRPr="00404014">
        <w:rPr>
          <w:rFonts w:eastAsia="Malgun Gothic"/>
          <w:bCs/>
          <w:lang w:val="fr-FR"/>
        </w:rPr>
        <w:t>raengmyon</w:t>
      </w:r>
      <w:proofErr w:type="spellEnd"/>
      <w:r w:rsidR="007D12ED">
        <w:rPr>
          <w:rFonts w:eastAsia="Malgun Gothic"/>
          <w:bCs/>
          <w:lang w:val="fr-FR"/>
        </w:rPr>
        <w:t xml:space="preserve"> </w:t>
      </w:r>
      <w:r w:rsidRPr="00404014">
        <w:rPr>
          <w:rFonts w:eastAsia="Malgun Gothic"/>
          <w:bCs/>
          <w:lang w:val="fr-FR"/>
        </w:rPr>
        <w:t>de Pyongyang sur la Liste représentative n</w:t>
      </w:r>
      <w:r w:rsidR="00923E72">
        <w:rPr>
          <w:rFonts w:eastAsia="Malgun Gothic"/>
          <w:bCs/>
          <w:lang w:val="fr-FR"/>
        </w:rPr>
        <w:t>’</w:t>
      </w:r>
      <w:r w:rsidRPr="00404014">
        <w:rPr>
          <w:rFonts w:eastAsia="Malgun Gothic"/>
          <w:bCs/>
          <w:lang w:val="fr-FR"/>
        </w:rPr>
        <w:t>aurait pas été possible sans la politique de protection du patrimoine national mise en œuvre par le Gouvernement</w:t>
      </w:r>
      <w:r w:rsidR="007D12ED">
        <w:rPr>
          <w:rFonts w:eastAsia="Malgun Gothic"/>
          <w:bCs/>
          <w:lang w:val="fr-FR"/>
        </w:rPr>
        <w:t>,</w:t>
      </w:r>
      <w:r w:rsidRPr="00404014">
        <w:rPr>
          <w:rFonts w:eastAsia="Malgun Gothic"/>
          <w:bCs/>
          <w:lang w:val="fr-FR"/>
        </w:rPr>
        <w:t xml:space="preserve"> sous la supervision directe du camarade Kim </w:t>
      </w:r>
      <w:proofErr w:type="spellStart"/>
      <w:r w:rsidRPr="00404014">
        <w:rPr>
          <w:rFonts w:eastAsia="Malgun Gothic"/>
          <w:bCs/>
          <w:lang w:val="fr-FR"/>
        </w:rPr>
        <w:t>Jung</w:t>
      </w:r>
      <w:r w:rsidR="00ED77D2">
        <w:rPr>
          <w:rFonts w:eastAsia="Malgun Gothic"/>
          <w:bCs/>
          <w:lang w:val="fr-FR"/>
        </w:rPr>
        <w:noBreakHyphen/>
      </w:r>
      <w:r w:rsidRPr="00404014">
        <w:rPr>
          <w:rFonts w:eastAsia="Malgun Gothic"/>
          <w:bCs/>
          <w:lang w:val="fr-FR"/>
        </w:rPr>
        <w:t>un</w:t>
      </w:r>
      <w:proofErr w:type="spellEnd"/>
      <w:r w:rsidRPr="00404014">
        <w:rPr>
          <w:rFonts w:eastAsia="Malgun Gothic"/>
          <w:bCs/>
          <w:lang w:val="fr-FR"/>
        </w:rPr>
        <w:t>, président de la Commission des affaires d</w:t>
      </w:r>
      <w:r w:rsidR="007D12ED">
        <w:rPr>
          <w:rFonts w:eastAsia="Malgun Gothic"/>
          <w:bCs/>
          <w:lang w:val="fr-FR"/>
        </w:rPr>
        <w:t>e l</w:t>
      </w:r>
      <w:r w:rsidR="00923E72">
        <w:rPr>
          <w:rFonts w:eastAsia="Malgun Gothic"/>
          <w:bCs/>
          <w:lang w:val="fr-FR"/>
        </w:rPr>
        <w:t>’</w:t>
      </w:r>
      <w:r w:rsidRPr="00404014">
        <w:rPr>
          <w:rFonts w:eastAsia="Malgun Gothic"/>
          <w:bCs/>
          <w:lang w:val="fr-FR"/>
        </w:rPr>
        <w:t>État de la République populaire démocratique de Corée. Avec l</w:t>
      </w:r>
      <w:r w:rsidR="00923E72">
        <w:rPr>
          <w:rFonts w:eastAsia="Malgun Gothic"/>
          <w:bCs/>
          <w:lang w:val="fr-FR"/>
        </w:rPr>
        <w:t>’</w:t>
      </w:r>
      <w:r w:rsidRPr="00404014">
        <w:rPr>
          <w:rFonts w:eastAsia="Malgun Gothic"/>
          <w:bCs/>
          <w:lang w:val="fr-FR"/>
        </w:rPr>
        <w:t>inscription de la coutume d</w:t>
      </w:r>
      <w:r w:rsidR="007D12ED">
        <w:rPr>
          <w:rFonts w:eastAsia="Malgun Gothic"/>
          <w:bCs/>
          <w:lang w:val="fr-FR"/>
        </w:rPr>
        <w:t>u</w:t>
      </w:r>
      <w:r w:rsidRPr="00404014">
        <w:rPr>
          <w:rFonts w:eastAsia="Malgun Gothic"/>
          <w:bCs/>
          <w:lang w:val="fr-FR"/>
        </w:rPr>
        <w:t xml:space="preserve"> </w:t>
      </w:r>
      <w:proofErr w:type="spellStart"/>
      <w:r w:rsidR="007D12ED">
        <w:rPr>
          <w:rFonts w:eastAsia="Malgun Gothic"/>
          <w:bCs/>
          <w:lang w:val="fr-FR"/>
        </w:rPr>
        <w:t>r</w:t>
      </w:r>
      <w:r w:rsidRPr="00404014">
        <w:rPr>
          <w:rFonts w:eastAsia="Malgun Gothic"/>
          <w:bCs/>
          <w:lang w:val="fr-FR"/>
        </w:rPr>
        <w:t>aengmyon</w:t>
      </w:r>
      <w:proofErr w:type="spellEnd"/>
      <w:r w:rsidR="007D12ED">
        <w:rPr>
          <w:rFonts w:eastAsia="Malgun Gothic"/>
          <w:bCs/>
          <w:lang w:val="fr-FR"/>
        </w:rPr>
        <w:t xml:space="preserve"> de </w:t>
      </w:r>
      <w:r w:rsidR="007D12ED" w:rsidRPr="00404014">
        <w:rPr>
          <w:rFonts w:eastAsia="Malgun Gothic"/>
          <w:bCs/>
          <w:lang w:val="fr-FR"/>
        </w:rPr>
        <w:t>Pyongyang</w:t>
      </w:r>
      <w:r w:rsidRPr="00404014">
        <w:rPr>
          <w:rFonts w:eastAsia="Malgun Gothic"/>
          <w:bCs/>
          <w:lang w:val="fr-FR"/>
        </w:rPr>
        <w:t>, l</w:t>
      </w:r>
      <w:r w:rsidR="00923E72">
        <w:rPr>
          <w:rFonts w:eastAsia="Malgun Gothic"/>
          <w:bCs/>
          <w:lang w:val="fr-FR"/>
        </w:rPr>
        <w:t>’</w:t>
      </w:r>
      <w:r w:rsidRPr="00404014">
        <w:rPr>
          <w:rFonts w:eastAsia="Malgun Gothic"/>
          <w:bCs/>
          <w:lang w:val="fr-FR"/>
        </w:rPr>
        <w:t>importance et la diversité du patrimoine culturel immatériel seraient largement reconnues, non seulement dans le pays, mais également au niveau international, en tant que trésors de l</w:t>
      </w:r>
      <w:r w:rsidR="00923E72">
        <w:rPr>
          <w:rFonts w:eastAsia="Malgun Gothic"/>
          <w:bCs/>
          <w:lang w:val="fr-FR"/>
        </w:rPr>
        <w:t>’</w:t>
      </w:r>
      <w:r w:rsidRPr="00404014">
        <w:rPr>
          <w:rFonts w:eastAsia="Malgun Gothic"/>
          <w:bCs/>
          <w:lang w:val="fr-FR"/>
        </w:rPr>
        <w:t>humanité. Le Gouvernement encourag</w:t>
      </w:r>
      <w:r w:rsidR="007D12ED">
        <w:rPr>
          <w:rFonts w:eastAsia="Malgun Gothic"/>
          <w:bCs/>
          <w:lang w:val="fr-FR"/>
        </w:rPr>
        <w:t>eait</w:t>
      </w:r>
      <w:r w:rsidRPr="00404014">
        <w:rPr>
          <w:rFonts w:eastAsia="Malgun Gothic"/>
          <w:bCs/>
          <w:lang w:val="fr-FR"/>
        </w:rPr>
        <w:t xml:space="preserve"> davantage d</w:t>
      </w:r>
      <w:r w:rsidR="00923E72">
        <w:rPr>
          <w:rFonts w:eastAsia="Malgun Gothic"/>
          <w:bCs/>
          <w:lang w:val="fr-FR"/>
        </w:rPr>
        <w:t>’</w:t>
      </w:r>
      <w:r w:rsidRPr="00404014">
        <w:rPr>
          <w:rFonts w:eastAsia="Malgun Gothic"/>
          <w:bCs/>
          <w:lang w:val="fr-FR"/>
        </w:rPr>
        <w:t>organisations à participer à la protection du patrimoine et à stimuler les initiatives créatives dans les pratiques patrimoniales, en mettant l</w:t>
      </w:r>
      <w:r w:rsidR="00923E72">
        <w:rPr>
          <w:rFonts w:eastAsia="Malgun Gothic"/>
          <w:bCs/>
          <w:lang w:val="fr-FR"/>
        </w:rPr>
        <w:t>’</w:t>
      </w:r>
      <w:r w:rsidRPr="00404014">
        <w:rPr>
          <w:rFonts w:eastAsia="Malgun Gothic"/>
          <w:bCs/>
          <w:lang w:val="fr-FR"/>
        </w:rPr>
        <w:t>accent sur le renforcement de la diversité et de la vitalité du patrimoine. La délégation a réitéré ses remerciements à tous les États membres, aux experts et au Secrétariat.</w:t>
      </w:r>
    </w:p>
    <w:p w14:paraId="5AFAB35F" w14:textId="0DEC3251" w:rsidR="007D12ED" w:rsidRDefault="007D12E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D12ED">
        <w:rPr>
          <w:rFonts w:eastAsia="Malgun Gothic"/>
          <w:bCs/>
          <w:lang w:val="fr-FR"/>
        </w:rPr>
        <w:t xml:space="preserve">La </w:t>
      </w:r>
      <w:r w:rsidRPr="00702497">
        <w:rPr>
          <w:rFonts w:eastAsia="Malgun Gothic"/>
          <w:b/>
          <w:lang w:val="fr-FR"/>
        </w:rPr>
        <w:t>Vice-Présidente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7D12ED">
        <w:rPr>
          <w:rFonts w:eastAsia="Malgun Gothic"/>
          <w:bCs/>
          <w:lang w:val="fr-FR"/>
        </w:rPr>
        <w:t xml:space="preserve"> est passée au dossier de candidature suivant, </w:t>
      </w:r>
      <w:r w:rsidRPr="00702497">
        <w:rPr>
          <w:rFonts w:eastAsia="Malgun Gothic"/>
          <w:b/>
          <w:lang w:val="fr-FR"/>
        </w:rPr>
        <w:t xml:space="preserve">le </w:t>
      </w:r>
      <w:proofErr w:type="spellStart"/>
      <w:r w:rsidRPr="00702497">
        <w:rPr>
          <w:rFonts w:eastAsia="Malgun Gothic"/>
          <w:b/>
          <w:lang w:val="fr-FR"/>
        </w:rPr>
        <w:t>talchum</w:t>
      </w:r>
      <w:proofErr w:type="spellEnd"/>
      <w:r w:rsidRPr="00702497">
        <w:rPr>
          <w:rFonts w:eastAsia="Malgun Gothic"/>
          <w:b/>
          <w:lang w:val="fr-FR"/>
        </w:rPr>
        <w:t>, danse théâtrale</w:t>
      </w:r>
      <w:r w:rsidR="00CD654F" w:rsidRPr="00702497">
        <w:rPr>
          <w:rFonts w:eastAsia="Malgun Gothic"/>
          <w:b/>
          <w:lang w:val="fr-FR"/>
        </w:rPr>
        <w:t xml:space="preserve"> </w:t>
      </w:r>
      <w:r w:rsidRPr="00702497">
        <w:rPr>
          <w:rFonts w:eastAsia="Malgun Gothic"/>
          <w:b/>
          <w:lang w:val="fr-FR"/>
        </w:rPr>
        <w:t>masqu</w:t>
      </w:r>
      <w:r w:rsidR="00CD654F" w:rsidRPr="00702497">
        <w:rPr>
          <w:rFonts w:eastAsia="Malgun Gothic"/>
          <w:b/>
          <w:lang w:val="fr-FR"/>
        </w:rPr>
        <w:t>ée</w:t>
      </w:r>
      <w:r w:rsidR="00ED77D2">
        <w:rPr>
          <w:rFonts w:eastAsia="Malgun Gothic"/>
          <w:b/>
          <w:lang w:val="fr-FR"/>
        </w:rPr>
        <w:t xml:space="preserve"> en République de Corée</w:t>
      </w:r>
      <w:r w:rsidRPr="007D12ED">
        <w:rPr>
          <w:rFonts w:eastAsia="Malgun Gothic"/>
          <w:bCs/>
          <w:lang w:val="fr-FR"/>
        </w:rPr>
        <w:t xml:space="preserve"> [projet de décision</w:t>
      </w:r>
      <w:r w:rsidR="00ED77D2">
        <w:rPr>
          <w:rFonts w:eastAsia="Malgun Gothic"/>
          <w:bCs/>
          <w:lang w:val="fr-FR"/>
        </w:rPr>
        <w:t> </w:t>
      </w:r>
      <w:r w:rsidRPr="007D12ED">
        <w:rPr>
          <w:rFonts w:eastAsia="Malgun Gothic"/>
          <w:bCs/>
          <w:lang w:val="fr-FR"/>
        </w:rPr>
        <w:t xml:space="preserve">7.b.22], soumis par la </w:t>
      </w:r>
      <w:r w:rsidRPr="00702497">
        <w:rPr>
          <w:rFonts w:eastAsia="Malgun Gothic"/>
          <w:b/>
          <w:lang w:val="fr-FR"/>
        </w:rPr>
        <w:t>République de Corée</w:t>
      </w:r>
      <w:r w:rsidRPr="007D12ED">
        <w:rPr>
          <w:rFonts w:eastAsia="Malgun Gothic"/>
          <w:bCs/>
          <w:lang w:val="fr-FR"/>
        </w:rPr>
        <w:t xml:space="preserve">, expliquant que </w:t>
      </w:r>
      <w:r w:rsidR="00CD654F">
        <w:rPr>
          <w:rFonts w:eastAsia="Malgun Gothic"/>
          <w:bCs/>
          <w:lang w:val="fr-FR"/>
        </w:rPr>
        <w:t>le</w:t>
      </w:r>
      <w:r w:rsidRPr="007D12ED">
        <w:rPr>
          <w:rFonts w:eastAsia="Malgun Gothic"/>
          <w:bCs/>
          <w:lang w:val="fr-FR"/>
        </w:rPr>
        <w:t xml:space="preserve"> </w:t>
      </w:r>
      <w:proofErr w:type="spellStart"/>
      <w:r w:rsidR="00CD654F">
        <w:rPr>
          <w:rFonts w:eastAsia="Malgun Gothic"/>
          <w:bCs/>
          <w:lang w:val="fr-FR"/>
        </w:rPr>
        <w:t>t</w:t>
      </w:r>
      <w:r w:rsidRPr="007D12ED">
        <w:rPr>
          <w:rFonts w:eastAsia="Malgun Gothic"/>
          <w:bCs/>
          <w:lang w:val="fr-FR"/>
        </w:rPr>
        <w:t>alchum</w:t>
      </w:r>
      <w:proofErr w:type="spellEnd"/>
      <w:r w:rsidRPr="007D12ED">
        <w:rPr>
          <w:rFonts w:eastAsia="Malgun Gothic"/>
          <w:bCs/>
          <w:lang w:val="fr-FR"/>
        </w:rPr>
        <w:t xml:space="preserve"> est un art du spectacle </w:t>
      </w:r>
      <w:r w:rsidR="00CD654F">
        <w:rPr>
          <w:rFonts w:eastAsia="Malgun Gothic"/>
          <w:bCs/>
          <w:lang w:val="fr-FR"/>
        </w:rPr>
        <w:t xml:space="preserve">mêlant </w:t>
      </w:r>
      <w:r w:rsidRPr="007D12ED">
        <w:rPr>
          <w:rFonts w:eastAsia="Malgun Gothic"/>
          <w:bCs/>
          <w:lang w:val="fr-FR"/>
        </w:rPr>
        <w:t>danse, musique et</w:t>
      </w:r>
      <w:r w:rsidR="00CD654F">
        <w:rPr>
          <w:rFonts w:eastAsia="Malgun Gothic"/>
          <w:bCs/>
          <w:lang w:val="fr-FR"/>
        </w:rPr>
        <w:t xml:space="preserve"> </w:t>
      </w:r>
      <w:r w:rsidRPr="007D12ED">
        <w:rPr>
          <w:rFonts w:eastAsia="Malgun Gothic"/>
          <w:bCs/>
          <w:lang w:val="fr-FR"/>
        </w:rPr>
        <w:t>théâtre</w:t>
      </w:r>
      <w:r w:rsidR="004722A8">
        <w:rPr>
          <w:rFonts w:eastAsia="Malgun Gothic"/>
          <w:bCs/>
          <w:lang w:val="fr-FR"/>
        </w:rPr>
        <w:t xml:space="preserve"> dans lequel</w:t>
      </w:r>
      <w:r w:rsidRPr="007D12ED">
        <w:rPr>
          <w:rFonts w:eastAsia="Malgun Gothic"/>
          <w:bCs/>
          <w:lang w:val="fr-FR"/>
        </w:rPr>
        <w:t xml:space="preserve"> un ensemble de six à dix musiciens accompagne</w:t>
      </w:r>
      <w:r w:rsidR="00CD654F">
        <w:rPr>
          <w:rFonts w:eastAsia="Malgun Gothic"/>
          <w:bCs/>
          <w:lang w:val="fr-FR"/>
        </w:rPr>
        <w:t>nt</w:t>
      </w:r>
      <w:r w:rsidRPr="007D12ED">
        <w:rPr>
          <w:rFonts w:eastAsia="Malgun Gothic"/>
          <w:bCs/>
          <w:lang w:val="fr-FR"/>
        </w:rPr>
        <w:t xml:space="preserve"> des </w:t>
      </w:r>
      <w:r w:rsidR="00CD654F">
        <w:rPr>
          <w:rFonts w:eastAsia="Malgun Gothic"/>
          <w:bCs/>
          <w:lang w:val="fr-FR"/>
        </w:rPr>
        <w:t xml:space="preserve">danseurs </w:t>
      </w:r>
      <w:r w:rsidRPr="007D12ED">
        <w:rPr>
          <w:rFonts w:eastAsia="Malgun Gothic"/>
          <w:bCs/>
          <w:lang w:val="fr-FR"/>
        </w:rPr>
        <w:t xml:space="preserve">masqués qui explorent avec humour des </w:t>
      </w:r>
      <w:r w:rsidR="00CD654F">
        <w:rPr>
          <w:rFonts w:eastAsia="Malgun Gothic"/>
          <w:bCs/>
          <w:lang w:val="fr-FR"/>
        </w:rPr>
        <w:t xml:space="preserve">problématiques </w:t>
      </w:r>
      <w:r w:rsidRPr="007D12ED">
        <w:rPr>
          <w:rFonts w:eastAsia="Malgun Gothic"/>
          <w:bCs/>
          <w:lang w:val="fr-FR"/>
        </w:rPr>
        <w:t xml:space="preserve">sociales </w:t>
      </w:r>
      <w:r w:rsidR="00CD654F">
        <w:rPr>
          <w:rFonts w:eastAsia="Malgun Gothic"/>
          <w:bCs/>
          <w:lang w:val="fr-FR"/>
        </w:rPr>
        <w:t xml:space="preserve">lors de spectacles alliant </w:t>
      </w:r>
      <w:r w:rsidRPr="007D12ED">
        <w:rPr>
          <w:rFonts w:eastAsia="Malgun Gothic"/>
          <w:bCs/>
          <w:lang w:val="fr-FR"/>
        </w:rPr>
        <w:t>chansons, danses</w:t>
      </w:r>
      <w:r w:rsidR="00CD654F">
        <w:rPr>
          <w:rFonts w:eastAsia="Malgun Gothic"/>
          <w:bCs/>
          <w:lang w:val="fr-FR"/>
        </w:rPr>
        <w:t>, gestes et répliques</w:t>
      </w:r>
      <w:r w:rsidRPr="007D12ED">
        <w:rPr>
          <w:rFonts w:eastAsia="Malgun Gothic"/>
          <w:bCs/>
          <w:lang w:val="fr-FR"/>
        </w:rPr>
        <w:t>. Elle a précisé que l</w:t>
      </w:r>
      <w:r w:rsidR="00923E72">
        <w:rPr>
          <w:rFonts w:eastAsia="Malgun Gothic"/>
          <w:bCs/>
          <w:lang w:val="fr-FR"/>
        </w:rPr>
        <w:t>’</w:t>
      </w:r>
      <w:r w:rsidRPr="007D12ED">
        <w:rPr>
          <w:rFonts w:eastAsia="Malgun Gothic"/>
          <w:bCs/>
          <w:lang w:val="fr-FR"/>
        </w:rPr>
        <w:t xml:space="preserve">élément se manifeste </w:t>
      </w:r>
      <w:r w:rsidR="00CD654F">
        <w:rPr>
          <w:rFonts w:eastAsia="Malgun Gothic"/>
          <w:bCs/>
          <w:lang w:val="fr-FR"/>
        </w:rPr>
        <w:t xml:space="preserve">par le biais de </w:t>
      </w:r>
      <w:r w:rsidRPr="007D12ED">
        <w:rPr>
          <w:rFonts w:eastAsia="Malgun Gothic"/>
          <w:bCs/>
          <w:lang w:val="fr-FR"/>
        </w:rPr>
        <w:t xml:space="preserve">traditions orales, </w:t>
      </w:r>
      <w:r w:rsidR="00CD654F">
        <w:rPr>
          <w:rFonts w:eastAsia="Malgun Gothic"/>
          <w:bCs/>
          <w:lang w:val="fr-FR"/>
        </w:rPr>
        <w:t>d</w:t>
      </w:r>
      <w:r w:rsidR="00923E72">
        <w:rPr>
          <w:rFonts w:eastAsia="Malgun Gothic"/>
          <w:bCs/>
          <w:lang w:val="fr-FR"/>
        </w:rPr>
        <w:t>’</w:t>
      </w:r>
      <w:r w:rsidRPr="007D12ED">
        <w:rPr>
          <w:rFonts w:eastAsia="Malgun Gothic"/>
          <w:bCs/>
          <w:lang w:val="fr-FR"/>
        </w:rPr>
        <w:t xml:space="preserve">arts du spectacle, </w:t>
      </w:r>
      <w:r w:rsidR="00CD654F">
        <w:rPr>
          <w:rFonts w:eastAsia="Malgun Gothic"/>
          <w:bCs/>
          <w:lang w:val="fr-FR"/>
        </w:rPr>
        <w:t>de</w:t>
      </w:r>
      <w:r w:rsidRPr="007D12ED">
        <w:rPr>
          <w:rFonts w:eastAsia="Malgun Gothic"/>
          <w:bCs/>
          <w:lang w:val="fr-FR"/>
        </w:rPr>
        <w:t xml:space="preserve"> pratiques sociales et </w:t>
      </w:r>
      <w:r w:rsidR="00CD654F">
        <w:rPr>
          <w:rFonts w:eastAsia="Malgun Gothic"/>
          <w:bCs/>
          <w:lang w:val="fr-FR"/>
        </w:rPr>
        <w:t>de</w:t>
      </w:r>
      <w:r w:rsidRPr="007D12ED">
        <w:rPr>
          <w:rFonts w:eastAsia="Malgun Gothic"/>
          <w:bCs/>
          <w:lang w:val="fr-FR"/>
        </w:rPr>
        <w:t xml:space="preserve"> rituels </w:t>
      </w:r>
      <w:r w:rsidR="00CD654F">
        <w:rPr>
          <w:rFonts w:eastAsia="Malgun Gothic"/>
          <w:bCs/>
          <w:lang w:val="fr-FR"/>
        </w:rPr>
        <w:t>associés à ses</w:t>
      </w:r>
      <w:r w:rsidRPr="007D12ED">
        <w:rPr>
          <w:rFonts w:eastAsia="Malgun Gothic"/>
          <w:bCs/>
          <w:lang w:val="fr-FR"/>
        </w:rPr>
        <w:t xml:space="preserve"> danses, de musique et de théâtre ainsi que </w:t>
      </w:r>
      <w:r w:rsidR="00CD654F">
        <w:rPr>
          <w:rFonts w:eastAsia="Malgun Gothic"/>
          <w:bCs/>
          <w:lang w:val="fr-FR"/>
        </w:rPr>
        <w:t xml:space="preserve">de </w:t>
      </w:r>
      <w:r w:rsidR="00CD654F" w:rsidRPr="00CD654F">
        <w:rPr>
          <w:rFonts w:eastAsia="Malgun Gothic"/>
          <w:bCs/>
          <w:lang w:val="fr-FR"/>
        </w:rPr>
        <w:t>savoir-faire</w:t>
      </w:r>
      <w:r w:rsidR="00CD654F">
        <w:rPr>
          <w:rFonts w:eastAsia="Malgun Gothic"/>
          <w:bCs/>
          <w:lang w:val="fr-FR"/>
        </w:rPr>
        <w:t xml:space="preserve"> </w:t>
      </w:r>
      <w:r w:rsidRPr="007D12ED">
        <w:rPr>
          <w:rFonts w:eastAsia="Malgun Gothic"/>
          <w:bCs/>
          <w:lang w:val="fr-FR"/>
        </w:rPr>
        <w:t>traditionnel</w:t>
      </w:r>
      <w:r w:rsidR="00CD654F">
        <w:rPr>
          <w:rFonts w:eastAsia="Malgun Gothic"/>
          <w:bCs/>
          <w:lang w:val="fr-FR"/>
        </w:rPr>
        <w:t>s</w:t>
      </w:r>
      <w:r w:rsidRPr="007D12ED">
        <w:rPr>
          <w:rFonts w:eastAsia="Malgun Gothic"/>
          <w:bCs/>
          <w:lang w:val="fr-FR"/>
        </w:rPr>
        <w:t xml:space="preserve"> associé</w:t>
      </w:r>
      <w:r w:rsidR="00CD654F">
        <w:rPr>
          <w:rFonts w:eastAsia="Malgun Gothic"/>
          <w:bCs/>
          <w:lang w:val="fr-FR"/>
        </w:rPr>
        <w:t>s</w:t>
      </w:r>
      <w:r w:rsidRPr="007D12ED">
        <w:rPr>
          <w:rFonts w:eastAsia="Malgun Gothic"/>
          <w:bCs/>
          <w:lang w:val="fr-FR"/>
        </w:rPr>
        <w:t xml:space="preserve"> à la fabrication des masques. L</w:t>
      </w:r>
      <w:r w:rsidR="00923E72">
        <w:rPr>
          <w:rFonts w:eastAsia="Malgun Gothic"/>
          <w:bCs/>
          <w:lang w:val="fr-FR"/>
        </w:rPr>
        <w:t>’</w:t>
      </w:r>
      <w:r w:rsidRPr="007D12ED">
        <w:rPr>
          <w:rFonts w:eastAsia="Malgun Gothic"/>
          <w:bCs/>
          <w:lang w:val="fr-FR"/>
        </w:rPr>
        <w:t>Organe d</w:t>
      </w:r>
      <w:r w:rsidR="00923E72">
        <w:rPr>
          <w:rFonts w:eastAsia="Malgun Gothic"/>
          <w:bCs/>
          <w:lang w:val="fr-FR"/>
        </w:rPr>
        <w:t>’</w:t>
      </w:r>
      <w:r w:rsidRPr="007D12ED">
        <w:rPr>
          <w:rFonts w:eastAsia="Malgun Gothic"/>
          <w:bCs/>
          <w:lang w:val="fr-FR"/>
        </w:rPr>
        <w:t>évaluation avait estimé que la candidature satisfaisait aux cinq critères et il avait particulièrement apprécié un dossier bien préparé</w:t>
      </w:r>
      <w:r w:rsidR="00DF6EB2">
        <w:rPr>
          <w:rFonts w:eastAsia="Malgun Gothic"/>
          <w:bCs/>
          <w:lang w:val="fr-FR"/>
        </w:rPr>
        <w:t>,</w:t>
      </w:r>
      <w:r w:rsidRPr="007D12ED">
        <w:rPr>
          <w:rFonts w:eastAsia="Malgun Gothic"/>
          <w:bCs/>
          <w:lang w:val="fr-FR"/>
        </w:rPr>
        <w:t xml:space="preserve"> qui expliquait clairement les fonctions sociales et les significations culturelles de l</w:t>
      </w:r>
      <w:r w:rsidR="00923E72">
        <w:rPr>
          <w:rFonts w:eastAsia="Malgun Gothic"/>
          <w:bCs/>
          <w:lang w:val="fr-FR"/>
        </w:rPr>
        <w:t>’</w:t>
      </w:r>
      <w:r w:rsidRPr="007D12ED">
        <w:rPr>
          <w:rFonts w:eastAsia="Malgun Gothic"/>
          <w:bCs/>
          <w:lang w:val="fr-FR"/>
        </w:rPr>
        <w:t xml:space="preserve">élément et qui décrivait les efforts en cours </w:t>
      </w:r>
      <w:r w:rsidR="00CD654F">
        <w:rPr>
          <w:rFonts w:eastAsia="Malgun Gothic"/>
          <w:bCs/>
          <w:lang w:val="fr-FR"/>
        </w:rPr>
        <w:t xml:space="preserve">afin de limiter les </w:t>
      </w:r>
      <w:r w:rsidRPr="007D12ED">
        <w:rPr>
          <w:rFonts w:eastAsia="Malgun Gothic"/>
          <w:bCs/>
          <w:lang w:val="fr-FR"/>
        </w:rPr>
        <w:t>risques d</w:t>
      </w:r>
      <w:r w:rsidR="00923E72">
        <w:rPr>
          <w:rFonts w:eastAsia="Malgun Gothic"/>
          <w:bCs/>
          <w:lang w:val="fr-FR"/>
        </w:rPr>
        <w:t>’</w:t>
      </w:r>
      <w:r w:rsidRPr="007D12ED">
        <w:rPr>
          <w:rFonts w:eastAsia="Malgun Gothic"/>
          <w:bCs/>
          <w:lang w:val="fr-FR"/>
        </w:rPr>
        <w:t>une commercialisation excessive. Pour ces raisons, l</w:t>
      </w:r>
      <w:r w:rsidR="00923E72">
        <w:rPr>
          <w:rFonts w:eastAsia="Malgun Gothic"/>
          <w:bCs/>
          <w:lang w:val="fr-FR"/>
        </w:rPr>
        <w:t>’</w:t>
      </w:r>
      <w:r w:rsidRPr="007D12ED">
        <w:rPr>
          <w:rFonts w:eastAsia="Malgun Gothic"/>
          <w:bCs/>
          <w:lang w:val="fr-FR"/>
        </w:rPr>
        <w:t>Organe d</w:t>
      </w:r>
      <w:r w:rsidR="00923E72">
        <w:rPr>
          <w:rFonts w:eastAsia="Malgun Gothic"/>
          <w:bCs/>
          <w:lang w:val="fr-FR"/>
        </w:rPr>
        <w:t>’</w:t>
      </w:r>
      <w:r w:rsidRPr="007D12ED">
        <w:rPr>
          <w:rFonts w:eastAsia="Malgun Gothic"/>
          <w:bCs/>
          <w:lang w:val="fr-FR"/>
        </w:rPr>
        <w:t>évaluation recommandait l</w:t>
      </w:r>
      <w:r w:rsidR="00923E72">
        <w:rPr>
          <w:rFonts w:eastAsia="Malgun Gothic"/>
          <w:bCs/>
          <w:lang w:val="fr-FR"/>
        </w:rPr>
        <w:t>’</w:t>
      </w:r>
      <w:r w:rsidRPr="007D12ED">
        <w:rPr>
          <w:rFonts w:eastAsia="Malgun Gothic"/>
          <w:bCs/>
          <w:lang w:val="fr-FR"/>
        </w:rPr>
        <w:t>inscription de l</w:t>
      </w:r>
      <w:r w:rsidR="00923E72">
        <w:rPr>
          <w:rFonts w:eastAsia="Malgun Gothic"/>
          <w:bCs/>
          <w:lang w:val="fr-FR"/>
        </w:rPr>
        <w:t>’</w:t>
      </w:r>
      <w:r w:rsidRPr="007D12ED">
        <w:rPr>
          <w:rFonts w:eastAsia="Malgun Gothic"/>
          <w:bCs/>
          <w:lang w:val="fr-FR"/>
        </w:rPr>
        <w:t>élément sur la Liste représentative.</w:t>
      </w:r>
    </w:p>
    <w:p w14:paraId="4F7E8C1E" w14:textId="223CE2B0" w:rsidR="00066020" w:rsidRDefault="0006602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9F69DF">
        <w:rPr>
          <w:rFonts w:eastAsia="Malgun Gothic"/>
          <w:b/>
          <w:lang w:val="fr-FR"/>
        </w:rPr>
        <w:t> </w:t>
      </w:r>
      <w:r w:rsidR="00751FB1">
        <w:fldChar w:fldCharType="begin"/>
      </w:r>
      <w:r w:rsidR="00751FB1" w:rsidRPr="00751FB1">
        <w:rPr>
          <w:lang w:val="fr-FR"/>
        </w:rPr>
        <w:instrText>HYPERLINK "https://ich.unesco.org/fr/Decisions/17.COM/7.b.22"</w:instrText>
      </w:r>
      <w:r w:rsidR="00751FB1">
        <w:fldChar w:fldCharType="separate"/>
      </w:r>
      <w:r w:rsidRPr="00702497">
        <w:rPr>
          <w:rStyle w:val="Hyperlink"/>
          <w:b/>
          <w:bCs/>
          <w:lang w:val="fr-FR"/>
        </w:rPr>
        <w:t>17.COM 7.b.22</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0C4627">
        <w:rPr>
          <w:rFonts w:eastAsia="Malgun Gothic"/>
          <w:b/>
          <w:lang w:val="fr-FR"/>
        </w:rPr>
        <w:t xml:space="preserve">le </w:t>
      </w:r>
      <w:proofErr w:type="spellStart"/>
      <w:r w:rsidRPr="000C4627">
        <w:rPr>
          <w:rFonts w:eastAsia="Malgun Gothic"/>
          <w:b/>
          <w:lang w:val="fr-FR"/>
        </w:rPr>
        <w:t>talchum</w:t>
      </w:r>
      <w:proofErr w:type="spellEnd"/>
      <w:r w:rsidRPr="000C4627">
        <w:rPr>
          <w:rFonts w:eastAsia="Malgun Gothic"/>
          <w:b/>
          <w:lang w:val="fr-FR"/>
        </w:rPr>
        <w:t>, danse théâtrale masquée</w:t>
      </w:r>
      <w:r w:rsidR="00ED77D2">
        <w:rPr>
          <w:rFonts w:eastAsia="Malgun Gothic"/>
          <w:b/>
          <w:lang w:val="fr-FR"/>
        </w:rPr>
        <w:t xml:space="preserve"> en République de Corée</w:t>
      </w:r>
      <w:r>
        <w:rPr>
          <w:rFonts w:eastAsia="Malgun Gothic"/>
          <w:b/>
          <w:lang w:val="fr-FR"/>
        </w:rPr>
        <w:t xml:space="preserve"> sur la Liste représentative</w:t>
      </w:r>
      <w:r>
        <w:rPr>
          <w:rFonts w:eastAsia="Malgun Gothic"/>
          <w:bCs/>
          <w:lang w:val="fr-FR"/>
        </w:rPr>
        <w:t>.</w:t>
      </w:r>
    </w:p>
    <w:p w14:paraId="11DA436B" w14:textId="75FDEEF4" w:rsidR="00CD654F" w:rsidRDefault="0006602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66020">
        <w:rPr>
          <w:rFonts w:eastAsia="Malgun Gothic"/>
          <w:bCs/>
          <w:lang w:val="fr-FR"/>
        </w:rPr>
        <w:t xml:space="preserve">La délégation de la </w:t>
      </w:r>
      <w:r w:rsidRPr="00702497">
        <w:rPr>
          <w:rFonts w:eastAsia="Malgun Gothic"/>
          <w:b/>
          <w:lang w:val="fr-FR"/>
        </w:rPr>
        <w:t>République de Corée</w:t>
      </w:r>
      <w:r w:rsidRPr="00066020">
        <w:rPr>
          <w:rFonts w:eastAsia="Malgun Gothic"/>
          <w:bCs/>
          <w:lang w:val="fr-FR"/>
        </w:rPr>
        <w:t xml:space="preserve"> s</w:t>
      </w:r>
      <w:r w:rsidR="00923E72">
        <w:rPr>
          <w:rFonts w:eastAsia="Malgun Gothic"/>
          <w:bCs/>
          <w:lang w:val="fr-FR"/>
        </w:rPr>
        <w:t>’</w:t>
      </w:r>
      <w:r w:rsidRPr="00066020">
        <w:rPr>
          <w:rFonts w:eastAsia="Malgun Gothic"/>
          <w:bCs/>
          <w:lang w:val="fr-FR"/>
        </w:rPr>
        <w:t xml:space="preserve">est exprimée </w:t>
      </w:r>
      <w:r>
        <w:rPr>
          <w:rFonts w:eastAsia="Malgun Gothic"/>
          <w:bCs/>
          <w:lang w:val="fr-FR"/>
        </w:rPr>
        <w:t xml:space="preserve">par la voix du responsable </w:t>
      </w:r>
      <w:r w:rsidRPr="00066020">
        <w:rPr>
          <w:rFonts w:eastAsia="Malgun Gothic"/>
          <w:bCs/>
          <w:lang w:val="fr-FR"/>
        </w:rPr>
        <w:t>de l</w:t>
      </w:r>
      <w:r w:rsidR="00923E72">
        <w:rPr>
          <w:rFonts w:eastAsia="Malgun Gothic"/>
          <w:bCs/>
          <w:lang w:val="fr-FR"/>
        </w:rPr>
        <w:t>’</w:t>
      </w:r>
      <w:r w:rsidRPr="00066020">
        <w:rPr>
          <w:rFonts w:eastAsia="Malgun Gothic"/>
          <w:bCs/>
          <w:lang w:val="fr-FR"/>
        </w:rPr>
        <w:t>Administration du patrimoine culturel de la République de Corée pour se réjouir de l</w:t>
      </w:r>
      <w:r w:rsidR="00923E72">
        <w:rPr>
          <w:rFonts w:eastAsia="Malgun Gothic"/>
          <w:bCs/>
          <w:lang w:val="fr-FR"/>
        </w:rPr>
        <w:t>’</w:t>
      </w:r>
      <w:r w:rsidRPr="00066020">
        <w:rPr>
          <w:rFonts w:eastAsia="Malgun Gothic"/>
          <w:bCs/>
          <w:lang w:val="fr-FR"/>
        </w:rPr>
        <w:t xml:space="preserve">inscription sur la Liste représentative du </w:t>
      </w:r>
      <w:proofErr w:type="spellStart"/>
      <w:r w:rsidRPr="00066020">
        <w:rPr>
          <w:rFonts w:eastAsia="Malgun Gothic"/>
          <w:bCs/>
          <w:lang w:val="fr-FR"/>
        </w:rPr>
        <w:t>talchum</w:t>
      </w:r>
      <w:proofErr w:type="spellEnd"/>
      <w:r w:rsidRPr="00066020">
        <w:rPr>
          <w:rFonts w:eastAsia="Malgun Gothic"/>
          <w:bCs/>
          <w:lang w:val="fr-FR"/>
        </w:rPr>
        <w:t>, danse théâtrale masquée en République de Corée. La délégation a remercié le Comité pour son vif intérêt et le soutien apporté qui avaient abouti à ce résultat. En tant que chef de l</w:t>
      </w:r>
      <w:r w:rsidR="00923E72">
        <w:rPr>
          <w:rFonts w:eastAsia="Malgun Gothic"/>
          <w:bCs/>
          <w:lang w:val="fr-FR"/>
        </w:rPr>
        <w:t>’</w:t>
      </w:r>
      <w:r>
        <w:rPr>
          <w:rFonts w:eastAsia="Malgun Gothic"/>
          <w:bCs/>
          <w:lang w:val="fr-FR"/>
        </w:rPr>
        <w:t>agence</w:t>
      </w:r>
      <w:r w:rsidRPr="00066020">
        <w:rPr>
          <w:rFonts w:eastAsia="Malgun Gothic"/>
          <w:bCs/>
          <w:lang w:val="fr-FR"/>
        </w:rPr>
        <w:t xml:space="preserve"> gouvernementale chargée de la sauvegarde du patrimoine culturel de la Corée, il </w:t>
      </w:r>
      <w:r w:rsidR="00DF6EB2">
        <w:rPr>
          <w:rFonts w:eastAsia="Malgun Gothic"/>
          <w:bCs/>
          <w:lang w:val="fr-FR"/>
        </w:rPr>
        <w:t xml:space="preserve">ressentait un grand </w:t>
      </w:r>
      <w:r w:rsidRPr="00066020">
        <w:rPr>
          <w:rFonts w:eastAsia="Malgun Gothic"/>
          <w:bCs/>
          <w:lang w:val="fr-FR"/>
        </w:rPr>
        <w:t xml:space="preserve">sentiment de responsabilité </w:t>
      </w:r>
      <w:r w:rsidR="009F69DF">
        <w:rPr>
          <w:rFonts w:eastAsia="Malgun Gothic"/>
          <w:bCs/>
          <w:lang w:val="fr-FR"/>
        </w:rPr>
        <w:t>à l</w:t>
      </w:r>
      <w:r w:rsidR="00923E72">
        <w:rPr>
          <w:rFonts w:eastAsia="Malgun Gothic"/>
          <w:bCs/>
          <w:lang w:val="fr-FR"/>
        </w:rPr>
        <w:t>’</w:t>
      </w:r>
      <w:r w:rsidR="009F69DF">
        <w:rPr>
          <w:rFonts w:eastAsia="Malgun Gothic"/>
          <w:bCs/>
          <w:lang w:val="fr-FR"/>
        </w:rPr>
        <w:t>égard de</w:t>
      </w:r>
      <w:r w:rsidRPr="00066020">
        <w:rPr>
          <w:rFonts w:eastAsia="Malgun Gothic"/>
          <w:bCs/>
          <w:lang w:val="fr-FR"/>
        </w:rPr>
        <w:t xml:space="preserve"> la protection du patrimoine culturel immatériel du pays. La République de Corée continuerait à coopérer avec la communauté internationale et à mettre en œuvre la Convention. La délégation a remercié tout particulièrement les membres du Comité ainsi que le Sous-Directeur général </w:t>
      </w:r>
      <w:r w:rsidR="00EB5513">
        <w:rPr>
          <w:rFonts w:eastAsia="Malgun Gothic"/>
          <w:bCs/>
          <w:lang w:val="fr-FR"/>
        </w:rPr>
        <w:t>pour</w:t>
      </w:r>
      <w:r w:rsidRPr="00066020">
        <w:rPr>
          <w:rFonts w:eastAsia="Malgun Gothic"/>
          <w:bCs/>
          <w:lang w:val="fr-FR"/>
        </w:rPr>
        <w:t xml:space="preserve"> la culture et son équipe pour le soutien qu</w:t>
      </w:r>
      <w:r w:rsidR="00923E72">
        <w:rPr>
          <w:rFonts w:eastAsia="Malgun Gothic"/>
          <w:bCs/>
          <w:lang w:val="fr-FR"/>
        </w:rPr>
        <w:t>’</w:t>
      </w:r>
      <w:r w:rsidRPr="00066020">
        <w:rPr>
          <w:rFonts w:eastAsia="Malgun Gothic"/>
          <w:bCs/>
          <w:lang w:val="fr-FR"/>
        </w:rPr>
        <w:t>ils avaient apporté au cours de ce long processus. Enfin, elle a exprimé sa profonde gratitude pour la chaleureuse hospitalité marocaine.</w:t>
      </w:r>
    </w:p>
    <w:p w14:paraId="65F2EBEF" w14:textId="29C4F6CF" w:rsidR="009D457C" w:rsidRPr="00702497" w:rsidRDefault="009D457C"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4239F80A" w14:textId="36973469" w:rsidR="009D457C" w:rsidRDefault="009D457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D457C">
        <w:rPr>
          <w:rFonts w:eastAsia="Malgun Gothic"/>
          <w:bCs/>
          <w:lang w:val="fr-FR"/>
        </w:rPr>
        <w:t xml:space="preserve">La </w:t>
      </w:r>
      <w:r w:rsidRPr="00702497">
        <w:rPr>
          <w:rFonts w:eastAsia="Malgun Gothic"/>
          <w:b/>
          <w:lang w:val="fr-FR"/>
        </w:rPr>
        <w:t>Vice-Présidente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9D457C">
        <w:rPr>
          <w:rFonts w:eastAsia="Malgun Gothic"/>
          <w:bCs/>
          <w:lang w:val="fr-FR"/>
        </w:rPr>
        <w:t xml:space="preserve"> est passée au dossier de candidature suivant, </w:t>
      </w:r>
      <w:r w:rsidRPr="00702497">
        <w:rPr>
          <w:rFonts w:eastAsia="Malgun Gothic"/>
          <w:b/>
          <w:lang w:val="fr-FR"/>
        </w:rPr>
        <w:t xml:space="preserve">les </w:t>
      </w:r>
      <w:proofErr w:type="spellStart"/>
      <w:r w:rsidRPr="00702497">
        <w:rPr>
          <w:rFonts w:eastAsia="Malgun Gothic"/>
          <w:b/>
          <w:lang w:val="fr-FR"/>
        </w:rPr>
        <w:t>Furyu-odori</w:t>
      </w:r>
      <w:proofErr w:type="spellEnd"/>
      <w:r w:rsidRPr="00702497">
        <w:rPr>
          <w:rFonts w:eastAsia="Malgun Gothic"/>
          <w:b/>
          <w:lang w:val="fr-FR"/>
        </w:rPr>
        <w:t>, danses rituelles imprégnées des espoirs et prières de la population</w:t>
      </w:r>
      <w:r w:rsidRPr="009D457C">
        <w:rPr>
          <w:rFonts w:eastAsia="Malgun Gothic"/>
          <w:bCs/>
          <w:lang w:val="fr-FR"/>
        </w:rPr>
        <w:t xml:space="preserve"> [projet de décision</w:t>
      </w:r>
      <w:r w:rsidR="009F69DF">
        <w:rPr>
          <w:rFonts w:eastAsia="Malgun Gothic"/>
          <w:bCs/>
          <w:lang w:val="fr-FR"/>
        </w:rPr>
        <w:t> </w:t>
      </w:r>
      <w:r w:rsidRPr="009D457C">
        <w:rPr>
          <w:rFonts w:eastAsia="Malgun Gothic"/>
          <w:bCs/>
          <w:lang w:val="fr-FR"/>
        </w:rPr>
        <w:t xml:space="preserve">7.b.18], soumis par le </w:t>
      </w:r>
      <w:r w:rsidRPr="00702497">
        <w:rPr>
          <w:rFonts w:eastAsia="Malgun Gothic"/>
          <w:b/>
          <w:lang w:val="fr-FR"/>
        </w:rPr>
        <w:t>Japon</w:t>
      </w:r>
      <w:r w:rsidRPr="009D457C">
        <w:rPr>
          <w:rFonts w:eastAsia="Malgun Gothic"/>
          <w:bCs/>
          <w:lang w:val="fr-FR"/>
        </w:rPr>
        <w:t>, expliquan</w:t>
      </w:r>
      <w:r>
        <w:rPr>
          <w:rFonts w:eastAsia="Malgun Gothic"/>
          <w:bCs/>
          <w:lang w:val="fr-FR"/>
        </w:rPr>
        <w:t>t</w:t>
      </w:r>
      <w:r w:rsidRPr="009D457C">
        <w:rPr>
          <w:rFonts w:eastAsia="Malgun Gothic"/>
          <w:bCs/>
          <w:lang w:val="fr-FR"/>
        </w:rPr>
        <w:t xml:space="preserve"> qu</w:t>
      </w:r>
      <w:r>
        <w:rPr>
          <w:rFonts w:eastAsia="Malgun Gothic"/>
          <w:bCs/>
          <w:lang w:val="fr-FR"/>
        </w:rPr>
        <w:t>e dans ce pays</w:t>
      </w:r>
      <w:r w:rsidRPr="009D457C">
        <w:rPr>
          <w:rFonts w:eastAsia="Malgun Gothic"/>
          <w:bCs/>
          <w:lang w:val="fr-FR"/>
        </w:rPr>
        <w:t xml:space="preserve">, </w:t>
      </w:r>
      <w:r>
        <w:rPr>
          <w:rFonts w:eastAsia="Malgun Gothic"/>
          <w:bCs/>
          <w:lang w:val="fr-FR"/>
        </w:rPr>
        <w:t>le terme « </w:t>
      </w:r>
      <w:proofErr w:type="spellStart"/>
      <w:r>
        <w:rPr>
          <w:rFonts w:eastAsia="Malgun Gothic"/>
          <w:bCs/>
          <w:lang w:val="fr-FR"/>
        </w:rPr>
        <w:t>f</w:t>
      </w:r>
      <w:r w:rsidRPr="009D457C">
        <w:rPr>
          <w:rFonts w:eastAsia="Malgun Gothic"/>
          <w:bCs/>
          <w:lang w:val="fr-FR"/>
        </w:rPr>
        <w:t>uryu-odori</w:t>
      </w:r>
      <w:proofErr w:type="spellEnd"/>
      <w:r>
        <w:rPr>
          <w:rFonts w:eastAsia="Malgun Gothic"/>
          <w:bCs/>
          <w:lang w:val="fr-FR"/>
        </w:rPr>
        <w:t> »</w:t>
      </w:r>
      <w:r w:rsidRPr="009D457C">
        <w:rPr>
          <w:rFonts w:eastAsia="Malgun Gothic"/>
          <w:bCs/>
          <w:lang w:val="fr-FR"/>
        </w:rPr>
        <w:t xml:space="preserve"> fait référence à </w:t>
      </w:r>
      <w:r>
        <w:rPr>
          <w:rFonts w:eastAsia="Malgun Gothic"/>
          <w:bCs/>
          <w:lang w:val="fr-FR"/>
        </w:rPr>
        <w:t xml:space="preserve">plusieurs </w:t>
      </w:r>
      <w:r w:rsidRPr="009D457C">
        <w:rPr>
          <w:rFonts w:eastAsia="Malgun Gothic"/>
          <w:bCs/>
          <w:lang w:val="fr-FR"/>
        </w:rPr>
        <w:t>danses rituelles</w:t>
      </w:r>
      <w:r>
        <w:rPr>
          <w:rFonts w:eastAsia="Malgun Gothic"/>
          <w:bCs/>
          <w:lang w:val="fr-FR"/>
        </w:rPr>
        <w:t xml:space="preserve"> </w:t>
      </w:r>
      <w:r w:rsidRPr="009D457C">
        <w:rPr>
          <w:rFonts w:eastAsia="Malgun Gothic"/>
          <w:bCs/>
          <w:lang w:val="fr-FR"/>
        </w:rPr>
        <w:t>traditionne</w:t>
      </w:r>
      <w:r>
        <w:rPr>
          <w:rFonts w:eastAsia="Malgun Gothic"/>
          <w:bCs/>
          <w:lang w:val="fr-FR"/>
        </w:rPr>
        <w:t>lles</w:t>
      </w:r>
      <w:r w:rsidRPr="009D457C">
        <w:rPr>
          <w:rFonts w:eastAsia="Malgun Gothic"/>
          <w:bCs/>
          <w:lang w:val="fr-FR"/>
        </w:rPr>
        <w:t xml:space="preserve">, caractérisées par des costumes </w:t>
      </w:r>
      <w:r>
        <w:rPr>
          <w:rFonts w:eastAsia="Malgun Gothic"/>
          <w:bCs/>
          <w:lang w:val="fr-FR"/>
        </w:rPr>
        <w:t xml:space="preserve">sophistiqués, </w:t>
      </w:r>
      <w:r w:rsidRPr="009D457C">
        <w:rPr>
          <w:rFonts w:eastAsia="Malgun Gothic"/>
          <w:bCs/>
          <w:lang w:val="fr-FR"/>
        </w:rPr>
        <w:t>accompagné</w:t>
      </w:r>
      <w:r>
        <w:rPr>
          <w:rFonts w:eastAsia="Malgun Gothic"/>
          <w:bCs/>
          <w:lang w:val="fr-FR"/>
        </w:rPr>
        <w:t>e</w:t>
      </w:r>
      <w:r w:rsidRPr="009D457C">
        <w:rPr>
          <w:rFonts w:eastAsia="Malgun Gothic"/>
          <w:bCs/>
          <w:lang w:val="fr-FR"/>
        </w:rPr>
        <w:t xml:space="preserve">s </w:t>
      </w:r>
      <w:r>
        <w:rPr>
          <w:rFonts w:eastAsia="Malgun Gothic"/>
          <w:bCs/>
          <w:lang w:val="fr-FR"/>
        </w:rPr>
        <w:t xml:space="preserve">par </w:t>
      </w:r>
      <w:r w:rsidRPr="009D457C">
        <w:rPr>
          <w:rFonts w:eastAsia="Malgun Gothic"/>
          <w:bCs/>
          <w:lang w:val="fr-FR"/>
        </w:rPr>
        <w:t>de</w:t>
      </w:r>
      <w:r>
        <w:rPr>
          <w:rFonts w:eastAsia="Malgun Gothic"/>
          <w:bCs/>
          <w:lang w:val="fr-FR"/>
        </w:rPr>
        <w:t>s</w:t>
      </w:r>
      <w:r w:rsidRPr="009D457C">
        <w:rPr>
          <w:rFonts w:eastAsia="Malgun Gothic"/>
          <w:bCs/>
          <w:lang w:val="fr-FR"/>
        </w:rPr>
        <w:t xml:space="preserve"> chants, </w:t>
      </w:r>
      <w:r>
        <w:rPr>
          <w:rFonts w:eastAsia="Malgun Gothic"/>
          <w:bCs/>
          <w:lang w:val="fr-FR"/>
        </w:rPr>
        <w:t>le son du</w:t>
      </w:r>
      <w:r w:rsidRPr="009D457C">
        <w:rPr>
          <w:rFonts w:eastAsia="Malgun Gothic"/>
          <w:bCs/>
          <w:lang w:val="fr-FR"/>
        </w:rPr>
        <w:t xml:space="preserve"> gong et </w:t>
      </w:r>
      <w:r>
        <w:rPr>
          <w:rFonts w:eastAsia="Malgun Gothic"/>
          <w:bCs/>
          <w:lang w:val="fr-FR"/>
        </w:rPr>
        <w:t>le</w:t>
      </w:r>
      <w:r w:rsidRPr="009D457C">
        <w:rPr>
          <w:rFonts w:eastAsia="Malgun Gothic"/>
          <w:bCs/>
          <w:lang w:val="fr-FR"/>
        </w:rPr>
        <w:t xml:space="preserve"> battements de tambour, et que ces danses locales sont </w:t>
      </w:r>
      <w:r>
        <w:rPr>
          <w:rFonts w:eastAsia="Malgun Gothic"/>
          <w:bCs/>
          <w:lang w:val="fr-FR"/>
        </w:rPr>
        <w:t xml:space="preserve">interprétées </w:t>
      </w:r>
      <w:r w:rsidRPr="009D457C">
        <w:rPr>
          <w:rFonts w:eastAsia="Malgun Gothic"/>
          <w:bCs/>
          <w:lang w:val="fr-FR"/>
        </w:rPr>
        <w:t xml:space="preserve">depuis des siècles, principalement dans les zones rurales. La vie dans ces régions étant souvent </w:t>
      </w:r>
      <w:r>
        <w:rPr>
          <w:rFonts w:eastAsia="Malgun Gothic"/>
          <w:bCs/>
          <w:lang w:val="fr-FR"/>
        </w:rPr>
        <w:t xml:space="preserve">perturbée </w:t>
      </w:r>
      <w:r w:rsidRPr="009D457C">
        <w:rPr>
          <w:rFonts w:eastAsia="Malgun Gothic"/>
          <w:bCs/>
          <w:lang w:val="fr-FR"/>
        </w:rPr>
        <w:t xml:space="preserve">par des </w:t>
      </w:r>
      <w:r>
        <w:rPr>
          <w:rFonts w:eastAsia="Malgun Gothic"/>
          <w:bCs/>
          <w:lang w:val="fr-FR"/>
        </w:rPr>
        <w:t xml:space="preserve">phénomènes </w:t>
      </w:r>
      <w:r w:rsidRPr="009D457C">
        <w:rPr>
          <w:rFonts w:eastAsia="Malgun Gothic"/>
          <w:bCs/>
          <w:lang w:val="fr-FR"/>
        </w:rPr>
        <w:t>climatiques</w:t>
      </w:r>
      <w:r>
        <w:rPr>
          <w:rFonts w:eastAsia="Malgun Gothic"/>
          <w:bCs/>
          <w:lang w:val="fr-FR"/>
        </w:rPr>
        <w:t xml:space="preserve"> violents</w:t>
      </w:r>
      <w:r w:rsidRPr="009D457C">
        <w:rPr>
          <w:rFonts w:eastAsia="Malgun Gothic"/>
          <w:bCs/>
          <w:lang w:val="fr-FR"/>
        </w:rPr>
        <w:t xml:space="preserve">, les communautés locales avaient créé des </w:t>
      </w:r>
      <w:r>
        <w:rPr>
          <w:rFonts w:eastAsia="Malgun Gothic"/>
          <w:bCs/>
          <w:lang w:val="fr-FR"/>
        </w:rPr>
        <w:lastRenderedPageBreak/>
        <w:t xml:space="preserve">cérémonies </w:t>
      </w:r>
      <w:r w:rsidRPr="009D457C">
        <w:rPr>
          <w:rFonts w:eastAsia="Malgun Gothic"/>
          <w:bCs/>
          <w:lang w:val="fr-FR"/>
        </w:rPr>
        <w:t>rituel</w:t>
      </w:r>
      <w:r>
        <w:rPr>
          <w:rFonts w:eastAsia="Malgun Gothic"/>
          <w:bCs/>
          <w:lang w:val="fr-FR"/>
        </w:rPr>
        <w:t>le</w:t>
      </w:r>
      <w:r w:rsidRPr="009D457C">
        <w:rPr>
          <w:rFonts w:eastAsia="Malgun Gothic"/>
          <w:bCs/>
          <w:lang w:val="fr-FR"/>
        </w:rPr>
        <w:t>s pour exprimer leur espoir d</w:t>
      </w:r>
      <w:r w:rsidR="00923E72">
        <w:rPr>
          <w:rFonts w:eastAsia="Malgun Gothic"/>
          <w:bCs/>
          <w:lang w:val="fr-FR"/>
        </w:rPr>
        <w:t>’</w:t>
      </w:r>
      <w:r w:rsidRPr="009D457C">
        <w:rPr>
          <w:rFonts w:eastAsia="Malgun Gothic"/>
          <w:bCs/>
          <w:lang w:val="fr-FR"/>
        </w:rPr>
        <w:t>une vie tranquille. La présente candidature était l</w:t>
      </w:r>
      <w:r w:rsidR="00923E72">
        <w:rPr>
          <w:rFonts w:eastAsia="Malgun Gothic"/>
          <w:bCs/>
          <w:lang w:val="fr-FR"/>
        </w:rPr>
        <w:t>’</w:t>
      </w:r>
      <w:r w:rsidRPr="009D457C">
        <w:rPr>
          <w:rFonts w:eastAsia="Malgun Gothic"/>
          <w:bCs/>
          <w:lang w:val="fr-FR"/>
        </w:rPr>
        <w:t>inscription sur une base élargie</w:t>
      </w:r>
      <w:r w:rsidR="000D210B">
        <w:rPr>
          <w:rFonts w:eastAsia="Malgun Gothic"/>
          <w:bCs/>
          <w:lang w:val="fr-FR"/>
        </w:rPr>
        <w:t xml:space="preserve"> </w:t>
      </w:r>
      <w:r w:rsidRPr="009D457C">
        <w:rPr>
          <w:rFonts w:eastAsia="Malgun Gothic"/>
          <w:bCs/>
          <w:lang w:val="fr-FR"/>
        </w:rPr>
        <w:t>au niveau national</w:t>
      </w:r>
      <w:r w:rsidR="00F92345">
        <w:rPr>
          <w:rFonts w:eastAsia="Malgun Gothic"/>
          <w:bCs/>
          <w:lang w:val="fr-FR"/>
        </w:rPr>
        <w:t>,</w:t>
      </w:r>
      <w:r w:rsidRPr="009D457C">
        <w:rPr>
          <w:rFonts w:eastAsia="Malgun Gothic"/>
          <w:bCs/>
          <w:lang w:val="fr-FR"/>
        </w:rPr>
        <w:t xml:space="preserve"> qui </w:t>
      </w:r>
      <w:r w:rsidR="000D210B">
        <w:rPr>
          <w:rFonts w:eastAsia="Malgun Gothic"/>
          <w:bCs/>
          <w:lang w:val="fr-FR"/>
        </w:rPr>
        <w:t xml:space="preserve">incorpore </w:t>
      </w:r>
      <w:r w:rsidRPr="009D457C">
        <w:rPr>
          <w:rFonts w:eastAsia="Malgun Gothic"/>
          <w:bCs/>
          <w:lang w:val="fr-FR"/>
        </w:rPr>
        <w:t xml:space="preserve">et remplace le </w:t>
      </w:r>
      <w:proofErr w:type="spellStart"/>
      <w:r w:rsidRPr="009D457C">
        <w:rPr>
          <w:rFonts w:eastAsia="Malgun Gothic"/>
          <w:bCs/>
          <w:lang w:val="fr-FR"/>
        </w:rPr>
        <w:t>Chakkirako</w:t>
      </w:r>
      <w:proofErr w:type="spellEnd"/>
      <w:r w:rsidR="000D210B">
        <w:rPr>
          <w:rFonts w:eastAsia="Malgun Gothic"/>
          <w:bCs/>
          <w:lang w:val="fr-FR"/>
        </w:rPr>
        <w:t xml:space="preserve">, </w:t>
      </w:r>
      <w:r w:rsidRPr="009D457C">
        <w:rPr>
          <w:rFonts w:eastAsia="Malgun Gothic"/>
          <w:bCs/>
          <w:lang w:val="fr-FR"/>
        </w:rPr>
        <w:t>inscrit sur la Liste représentative en</w:t>
      </w:r>
      <w:r w:rsidR="00DF6EB2">
        <w:rPr>
          <w:rFonts w:eastAsia="Malgun Gothic"/>
          <w:bCs/>
          <w:lang w:val="fr-FR"/>
        </w:rPr>
        <w:t> </w:t>
      </w:r>
      <w:r w:rsidRPr="009D457C">
        <w:rPr>
          <w:rFonts w:eastAsia="Malgun Gothic"/>
          <w:bCs/>
          <w:lang w:val="fr-FR"/>
        </w:rPr>
        <w:t>2009. L</w:t>
      </w:r>
      <w:r w:rsidR="00923E72">
        <w:rPr>
          <w:rFonts w:eastAsia="Malgun Gothic"/>
          <w:bCs/>
          <w:lang w:val="fr-FR"/>
        </w:rPr>
        <w:t>’</w:t>
      </w:r>
      <w:r w:rsidRPr="009D457C">
        <w:rPr>
          <w:rFonts w:eastAsia="Malgun Gothic"/>
          <w:bCs/>
          <w:lang w:val="fr-FR"/>
        </w:rPr>
        <w:t>Organe avait estimé que la candidature satisfaisait aux cinq critères et avait beaucoup apprécié un dossier bien préparé</w:t>
      </w:r>
      <w:r w:rsidR="00DF6EB2">
        <w:rPr>
          <w:rFonts w:eastAsia="Malgun Gothic"/>
          <w:bCs/>
          <w:lang w:val="fr-FR"/>
        </w:rPr>
        <w:t>,</w:t>
      </w:r>
      <w:r w:rsidRPr="009D457C">
        <w:rPr>
          <w:rFonts w:eastAsia="Malgun Gothic"/>
          <w:bCs/>
          <w:lang w:val="fr-FR"/>
        </w:rPr>
        <w:t xml:space="preserve"> qui garantissait une large participation des communautés concernées à la sauvegarde de l</w:t>
      </w:r>
      <w:r w:rsidR="00923E72">
        <w:rPr>
          <w:rFonts w:eastAsia="Malgun Gothic"/>
          <w:bCs/>
          <w:lang w:val="fr-FR"/>
        </w:rPr>
        <w:t>’</w:t>
      </w:r>
      <w:r w:rsidRPr="009D457C">
        <w:rPr>
          <w:rFonts w:eastAsia="Malgun Gothic"/>
          <w:bCs/>
          <w:lang w:val="fr-FR"/>
        </w:rPr>
        <w:t>élément. En conclusion, l</w:t>
      </w:r>
      <w:r w:rsidR="00923E72">
        <w:rPr>
          <w:rFonts w:eastAsia="Malgun Gothic"/>
          <w:bCs/>
          <w:lang w:val="fr-FR"/>
        </w:rPr>
        <w:t>’</w:t>
      </w:r>
      <w:r w:rsidRPr="009D457C">
        <w:rPr>
          <w:rFonts w:eastAsia="Malgun Gothic"/>
          <w:bCs/>
          <w:lang w:val="fr-FR"/>
        </w:rPr>
        <w:t>Organe d</w:t>
      </w:r>
      <w:r w:rsidR="00923E72">
        <w:rPr>
          <w:rFonts w:eastAsia="Malgun Gothic"/>
          <w:bCs/>
          <w:lang w:val="fr-FR"/>
        </w:rPr>
        <w:t>’</w:t>
      </w:r>
      <w:r w:rsidRPr="009D457C">
        <w:rPr>
          <w:rFonts w:eastAsia="Malgun Gothic"/>
          <w:bCs/>
          <w:lang w:val="fr-FR"/>
        </w:rPr>
        <w:t>évaluation recommandait l</w:t>
      </w:r>
      <w:r w:rsidR="00923E72">
        <w:rPr>
          <w:rFonts w:eastAsia="Malgun Gothic"/>
          <w:bCs/>
          <w:lang w:val="fr-FR"/>
        </w:rPr>
        <w:t>’</w:t>
      </w:r>
      <w:r w:rsidRPr="009D457C">
        <w:rPr>
          <w:rFonts w:eastAsia="Malgun Gothic"/>
          <w:bCs/>
          <w:lang w:val="fr-FR"/>
        </w:rPr>
        <w:t>inscription de cet élément sur la Liste représentative.</w:t>
      </w:r>
    </w:p>
    <w:p w14:paraId="27466CEC" w14:textId="3E277E0E" w:rsidR="000D210B" w:rsidRDefault="000D210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9F69DF">
        <w:rPr>
          <w:rFonts w:eastAsia="Malgun Gothic"/>
          <w:b/>
          <w:lang w:val="fr-FR"/>
        </w:rPr>
        <w:t> </w:t>
      </w:r>
      <w:r w:rsidR="00751FB1">
        <w:fldChar w:fldCharType="begin"/>
      </w:r>
      <w:r w:rsidR="00751FB1" w:rsidRPr="00751FB1">
        <w:rPr>
          <w:lang w:val="fr-FR"/>
        </w:rPr>
        <w:instrText>HYPERLINK "https://ich.unesco.org/fr/Decisions/17.COM/7.b.18"</w:instrText>
      </w:r>
      <w:r w:rsidR="00751FB1">
        <w:fldChar w:fldCharType="separate"/>
      </w:r>
      <w:r w:rsidRPr="00702497">
        <w:rPr>
          <w:rStyle w:val="Hyperlink"/>
          <w:b/>
          <w:bCs/>
          <w:lang w:val="fr-FR"/>
        </w:rPr>
        <w:t>17.COM 7.b.18</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0C4627">
        <w:rPr>
          <w:rFonts w:eastAsia="Malgun Gothic"/>
          <w:b/>
          <w:lang w:val="fr-FR"/>
        </w:rPr>
        <w:t xml:space="preserve">les </w:t>
      </w:r>
      <w:proofErr w:type="spellStart"/>
      <w:r w:rsidRPr="000C4627">
        <w:rPr>
          <w:rFonts w:eastAsia="Malgun Gothic"/>
          <w:b/>
          <w:lang w:val="fr-FR"/>
        </w:rPr>
        <w:t>Furyu-odori</w:t>
      </w:r>
      <w:proofErr w:type="spellEnd"/>
      <w:r w:rsidRPr="000C4627">
        <w:rPr>
          <w:rFonts w:eastAsia="Malgun Gothic"/>
          <w:b/>
          <w:lang w:val="fr-FR"/>
        </w:rPr>
        <w:t>, danses rituelles imprégnées des espoirs et prières de la population</w:t>
      </w:r>
      <w:r w:rsidRPr="009D457C">
        <w:rPr>
          <w:rFonts w:eastAsia="Malgun Gothic"/>
          <w:bCs/>
          <w:lang w:val="fr-FR"/>
        </w:rPr>
        <w:t xml:space="preserve"> </w:t>
      </w:r>
      <w:r>
        <w:rPr>
          <w:rFonts w:eastAsia="Malgun Gothic"/>
          <w:b/>
          <w:lang w:val="fr-FR"/>
        </w:rPr>
        <w:t>sur la Liste représentative</w:t>
      </w:r>
      <w:r>
        <w:rPr>
          <w:rFonts w:eastAsia="Malgun Gothic"/>
          <w:bCs/>
          <w:lang w:val="fr-FR"/>
        </w:rPr>
        <w:t>.</w:t>
      </w:r>
    </w:p>
    <w:p w14:paraId="63E48AEC" w14:textId="58F6AED5" w:rsidR="000D210B" w:rsidRDefault="000738D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w:t>
      </w:r>
      <w:r w:rsidR="00923E72">
        <w:rPr>
          <w:rFonts w:eastAsia="Malgun Gothic"/>
          <w:bCs/>
          <w:lang w:val="fr-FR"/>
        </w:rPr>
        <w:t>’</w:t>
      </w:r>
      <w:r>
        <w:rPr>
          <w:rFonts w:eastAsia="Malgun Gothic"/>
          <w:bCs/>
          <w:lang w:val="fr-FR"/>
        </w:rPr>
        <w:t>était un grand honneur et un plaisir pour l</w:t>
      </w:r>
      <w:r w:rsidR="000D210B" w:rsidRPr="000D210B">
        <w:rPr>
          <w:rFonts w:eastAsia="Malgun Gothic"/>
          <w:bCs/>
          <w:lang w:val="fr-FR"/>
        </w:rPr>
        <w:t xml:space="preserve">a délégation du </w:t>
      </w:r>
      <w:r w:rsidR="000D210B" w:rsidRPr="00702497">
        <w:rPr>
          <w:rFonts w:eastAsia="Malgun Gothic"/>
          <w:b/>
          <w:lang w:val="fr-FR"/>
        </w:rPr>
        <w:t>Japon</w:t>
      </w:r>
      <w:r w:rsidR="000D210B" w:rsidRPr="000D210B">
        <w:rPr>
          <w:rFonts w:eastAsia="Malgun Gothic"/>
          <w:bCs/>
          <w:lang w:val="fr-FR"/>
        </w:rPr>
        <w:t xml:space="preserve"> d</w:t>
      </w:r>
      <w:r w:rsidR="00923E72">
        <w:rPr>
          <w:rFonts w:eastAsia="Malgun Gothic"/>
          <w:bCs/>
          <w:lang w:val="fr-FR"/>
        </w:rPr>
        <w:t>’</w:t>
      </w:r>
      <w:r w:rsidR="000D210B" w:rsidRPr="000D210B">
        <w:rPr>
          <w:rFonts w:eastAsia="Malgun Gothic"/>
          <w:bCs/>
          <w:lang w:val="fr-FR"/>
        </w:rPr>
        <w:t>exprimer sa gratitude pour l</w:t>
      </w:r>
      <w:r w:rsidR="00923E72">
        <w:rPr>
          <w:rFonts w:eastAsia="Malgun Gothic"/>
          <w:bCs/>
          <w:lang w:val="fr-FR"/>
        </w:rPr>
        <w:t>’</w:t>
      </w:r>
      <w:r w:rsidR="000D210B" w:rsidRPr="000D210B">
        <w:rPr>
          <w:rFonts w:eastAsia="Malgun Gothic"/>
          <w:bCs/>
          <w:lang w:val="fr-FR"/>
        </w:rPr>
        <w:t xml:space="preserve">inscription des </w:t>
      </w:r>
      <w:proofErr w:type="spellStart"/>
      <w:r w:rsidR="000D210B" w:rsidRPr="000D210B">
        <w:rPr>
          <w:rFonts w:eastAsia="Malgun Gothic"/>
          <w:bCs/>
          <w:lang w:val="fr-FR"/>
        </w:rPr>
        <w:t>Furyu-odori</w:t>
      </w:r>
      <w:proofErr w:type="spellEnd"/>
      <w:r w:rsidR="000D210B" w:rsidRPr="000D210B">
        <w:rPr>
          <w:rFonts w:eastAsia="Malgun Gothic"/>
          <w:bCs/>
          <w:lang w:val="fr-FR"/>
        </w:rPr>
        <w:t xml:space="preserve"> sur la Liste représentative au nom du Gouvernement du Japon et de toutes les communautés concernées</w:t>
      </w:r>
      <w:r>
        <w:rPr>
          <w:rFonts w:eastAsia="Malgun Gothic"/>
          <w:bCs/>
          <w:lang w:val="fr-FR"/>
        </w:rPr>
        <w:t>. Elle a r</w:t>
      </w:r>
      <w:r w:rsidR="000D210B" w:rsidRPr="000D210B">
        <w:rPr>
          <w:rFonts w:eastAsia="Malgun Gothic"/>
          <w:bCs/>
          <w:lang w:val="fr-FR"/>
        </w:rPr>
        <w:t>appel</w:t>
      </w:r>
      <w:r>
        <w:rPr>
          <w:rFonts w:eastAsia="Malgun Gothic"/>
          <w:bCs/>
          <w:lang w:val="fr-FR"/>
        </w:rPr>
        <w:t>é</w:t>
      </w:r>
      <w:r w:rsidR="000D210B" w:rsidRPr="000D210B">
        <w:rPr>
          <w:rFonts w:eastAsia="Malgun Gothic"/>
          <w:bCs/>
          <w:lang w:val="fr-FR"/>
        </w:rPr>
        <w:t xml:space="preserve"> que </w:t>
      </w:r>
      <w:r>
        <w:rPr>
          <w:rFonts w:eastAsia="Malgun Gothic"/>
          <w:bCs/>
          <w:lang w:val="fr-FR"/>
        </w:rPr>
        <w:t>l</w:t>
      </w:r>
      <w:r w:rsidR="000D210B" w:rsidRPr="000D210B">
        <w:rPr>
          <w:rFonts w:eastAsia="Malgun Gothic"/>
          <w:bCs/>
          <w:lang w:val="fr-FR"/>
        </w:rPr>
        <w:t xml:space="preserve">es </w:t>
      </w:r>
      <w:proofErr w:type="spellStart"/>
      <w:r w:rsidR="000D210B" w:rsidRPr="000D210B">
        <w:rPr>
          <w:rFonts w:eastAsia="Malgun Gothic"/>
          <w:bCs/>
          <w:lang w:val="fr-FR"/>
        </w:rPr>
        <w:t>Furyu-odori</w:t>
      </w:r>
      <w:proofErr w:type="spellEnd"/>
      <w:r w:rsidR="000D210B" w:rsidRPr="000D210B">
        <w:rPr>
          <w:rFonts w:eastAsia="Malgun Gothic"/>
          <w:bCs/>
          <w:lang w:val="fr-FR"/>
        </w:rPr>
        <w:t xml:space="preserve"> représentent quarante</w:t>
      </w:r>
      <w:r w:rsidR="009F69DF">
        <w:rPr>
          <w:rFonts w:eastAsia="Malgun Gothic"/>
          <w:bCs/>
          <w:lang w:val="fr-FR"/>
        </w:rPr>
        <w:noBreakHyphen/>
      </w:r>
      <w:r w:rsidR="000D210B" w:rsidRPr="000D210B">
        <w:rPr>
          <w:rFonts w:eastAsia="Malgun Gothic"/>
          <w:bCs/>
          <w:lang w:val="fr-FR"/>
        </w:rPr>
        <w:t>et</w:t>
      </w:r>
      <w:r w:rsidR="009F69DF">
        <w:rPr>
          <w:rFonts w:eastAsia="Malgun Gothic"/>
          <w:bCs/>
          <w:lang w:val="fr-FR"/>
        </w:rPr>
        <w:noBreakHyphen/>
      </w:r>
      <w:r w:rsidR="000D210B" w:rsidRPr="000D210B">
        <w:rPr>
          <w:rFonts w:eastAsia="Malgun Gothic"/>
          <w:bCs/>
          <w:lang w:val="fr-FR"/>
        </w:rPr>
        <w:t>une danses locales, chacune d</w:t>
      </w:r>
      <w:r w:rsidR="00923E72">
        <w:rPr>
          <w:rFonts w:eastAsia="Malgun Gothic"/>
          <w:bCs/>
          <w:lang w:val="fr-FR"/>
        </w:rPr>
        <w:t>’</w:t>
      </w:r>
      <w:r w:rsidR="000D210B" w:rsidRPr="000D210B">
        <w:rPr>
          <w:rFonts w:eastAsia="Malgun Gothic"/>
          <w:bCs/>
          <w:lang w:val="fr-FR"/>
        </w:rPr>
        <w:t>entre elles ayant une communauté de pratiquants propre, distincte des autres et très variée, et que la plupart de ces danses rituelles sont pratiquées par de très petites communautés à travers le Japon. Maintenant que ces danses étaient reconnues comme patrimoine d</w:t>
      </w:r>
      <w:r w:rsidR="00923E72">
        <w:rPr>
          <w:rFonts w:eastAsia="Malgun Gothic"/>
          <w:bCs/>
          <w:lang w:val="fr-FR"/>
        </w:rPr>
        <w:t>’</w:t>
      </w:r>
      <w:r w:rsidR="000D210B" w:rsidRPr="000D210B">
        <w:rPr>
          <w:rFonts w:eastAsia="Malgun Gothic"/>
          <w:bCs/>
          <w:lang w:val="fr-FR"/>
        </w:rPr>
        <w:t>importance mondiale, cela encouragerait les membres des communautés de chacune des quarante</w:t>
      </w:r>
      <w:r w:rsidR="009F69DF">
        <w:rPr>
          <w:rFonts w:eastAsia="Malgun Gothic"/>
          <w:bCs/>
          <w:lang w:val="fr-FR"/>
        </w:rPr>
        <w:noBreakHyphen/>
      </w:r>
      <w:r w:rsidR="000D210B" w:rsidRPr="000D210B">
        <w:rPr>
          <w:rFonts w:eastAsia="Malgun Gothic"/>
          <w:bCs/>
          <w:lang w:val="fr-FR"/>
        </w:rPr>
        <w:t>et</w:t>
      </w:r>
      <w:r w:rsidR="009F69DF">
        <w:rPr>
          <w:rFonts w:eastAsia="Malgun Gothic"/>
          <w:bCs/>
          <w:lang w:val="fr-FR"/>
        </w:rPr>
        <w:noBreakHyphen/>
      </w:r>
      <w:r w:rsidR="000D210B" w:rsidRPr="000D210B">
        <w:rPr>
          <w:rFonts w:eastAsia="Malgun Gothic"/>
          <w:bCs/>
          <w:lang w:val="fr-FR"/>
        </w:rPr>
        <w:t>une danses à préserver leur patrimoine culturel immatériel. Après tout, la véritable valeur de ce système de patrimoine culturel immatériel était d</w:t>
      </w:r>
      <w:r w:rsidR="00923E72">
        <w:rPr>
          <w:rFonts w:eastAsia="Malgun Gothic"/>
          <w:bCs/>
          <w:lang w:val="fr-FR"/>
        </w:rPr>
        <w:t>’</w:t>
      </w:r>
      <w:r w:rsidR="000D210B" w:rsidRPr="000D210B">
        <w:rPr>
          <w:rFonts w:eastAsia="Malgun Gothic"/>
          <w:bCs/>
          <w:lang w:val="fr-FR"/>
        </w:rPr>
        <w:t>encourager les communautés du patrimoine à transmettre leur patrimoine à la génération suivante.</w:t>
      </w:r>
    </w:p>
    <w:p w14:paraId="5D4C9F7B" w14:textId="0A9E197E" w:rsidR="000738D1" w:rsidRPr="00702497" w:rsidRDefault="000738D1"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0C4627">
        <w:rPr>
          <w:rFonts w:eastAsia="Malgun Gothic"/>
          <w:bCs/>
          <w:i/>
          <w:iCs/>
          <w:lang w:val="fr-FR"/>
        </w:rPr>
        <w:t>[Une vidéo présentant l</w:t>
      </w:r>
      <w:r w:rsidR="00923E72">
        <w:rPr>
          <w:rFonts w:eastAsia="Malgun Gothic"/>
          <w:bCs/>
          <w:i/>
          <w:iCs/>
          <w:lang w:val="fr-FR"/>
        </w:rPr>
        <w:t>’</w:t>
      </w:r>
      <w:r w:rsidRPr="000C4627">
        <w:rPr>
          <w:rFonts w:eastAsia="Malgun Gothic"/>
          <w:bCs/>
          <w:i/>
          <w:iCs/>
          <w:lang w:val="fr-FR"/>
        </w:rPr>
        <w:t>élément a été diffusée]</w:t>
      </w:r>
    </w:p>
    <w:p w14:paraId="01EC8C99" w14:textId="5C3E3FAB" w:rsidR="000738D1" w:rsidRDefault="000738D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félicité le Japon et est passé à la </w:t>
      </w:r>
      <w:r w:rsidRPr="000738D1">
        <w:rPr>
          <w:rFonts w:eastAsia="Malgun Gothic"/>
          <w:bCs/>
          <w:lang w:val="fr-FR"/>
        </w:rPr>
        <w:t>candidature</w:t>
      </w:r>
      <w:r>
        <w:rPr>
          <w:rFonts w:eastAsia="Malgun Gothic"/>
          <w:bCs/>
          <w:lang w:val="fr-FR"/>
        </w:rPr>
        <w:t xml:space="preserve"> suivante présentée par l</w:t>
      </w:r>
      <w:r w:rsidR="00923E72">
        <w:rPr>
          <w:rFonts w:eastAsia="Malgun Gothic"/>
          <w:bCs/>
          <w:lang w:val="fr-FR"/>
        </w:rPr>
        <w:t>’</w:t>
      </w:r>
      <w:r>
        <w:rPr>
          <w:rFonts w:eastAsia="Malgun Gothic"/>
          <w:bCs/>
          <w:lang w:val="fr-FR"/>
        </w:rPr>
        <w:t>Égypte, notant que l</w:t>
      </w:r>
      <w:r w:rsidR="00923E72">
        <w:rPr>
          <w:rFonts w:eastAsia="Malgun Gothic"/>
          <w:bCs/>
          <w:lang w:val="fr-FR"/>
        </w:rPr>
        <w:t>’</w:t>
      </w:r>
      <w:r>
        <w:rPr>
          <w:rFonts w:eastAsia="Malgun Gothic"/>
          <w:bCs/>
          <w:lang w:val="fr-FR"/>
        </w:rPr>
        <w:t>Arabie</w:t>
      </w:r>
      <w:r w:rsidR="008D3070">
        <w:rPr>
          <w:rFonts w:eastAsia="Malgun Gothic"/>
          <w:bCs/>
          <w:lang w:val="fr-FR"/>
        </w:rPr>
        <w:t> </w:t>
      </w:r>
      <w:r>
        <w:rPr>
          <w:rFonts w:eastAsia="Malgun Gothic"/>
          <w:bCs/>
          <w:lang w:val="fr-FR"/>
        </w:rPr>
        <w:t xml:space="preserve">saoudite avait soumis un </w:t>
      </w:r>
      <w:r w:rsidRPr="000738D1">
        <w:rPr>
          <w:rFonts w:eastAsia="Malgun Gothic"/>
          <w:bCs/>
          <w:lang w:val="fr-FR"/>
        </w:rPr>
        <w:t>amendement</w:t>
      </w:r>
      <w:r>
        <w:rPr>
          <w:rFonts w:eastAsia="Malgun Gothic"/>
          <w:bCs/>
          <w:lang w:val="fr-FR"/>
        </w:rPr>
        <w:t>.</w:t>
      </w:r>
    </w:p>
    <w:p w14:paraId="7EA3CEFA" w14:textId="286E57E7" w:rsidR="000738D1" w:rsidRDefault="000738D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738D1">
        <w:rPr>
          <w:rFonts w:eastAsia="Malgun Gothic"/>
          <w:bCs/>
          <w:lang w:val="fr-FR"/>
        </w:rPr>
        <w:t xml:space="preserve">La </w:t>
      </w:r>
      <w:r w:rsidRPr="00702497">
        <w:rPr>
          <w:rFonts w:eastAsia="Malgun Gothic"/>
          <w:b/>
          <w:lang w:val="fr-FR"/>
        </w:rPr>
        <w:t>Vice-Présidente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0738D1">
        <w:rPr>
          <w:rFonts w:eastAsia="Malgun Gothic"/>
          <w:bCs/>
          <w:lang w:val="fr-FR"/>
        </w:rPr>
        <w:t xml:space="preserve"> est passée au dossier de candidature suivant, </w:t>
      </w:r>
      <w:r w:rsidRPr="00702497">
        <w:rPr>
          <w:rFonts w:eastAsia="Malgun Gothic"/>
          <w:b/>
          <w:lang w:val="fr-FR"/>
        </w:rPr>
        <w:t>les festivités associées au voyage de la Sainte Famille en Égypte</w:t>
      </w:r>
      <w:r w:rsidRPr="000738D1">
        <w:rPr>
          <w:rFonts w:eastAsia="Malgun Gothic"/>
          <w:bCs/>
          <w:lang w:val="fr-FR"/>
        </w:rPr>
        <w:t xml:space="preserve"> [projet de décision</w:t>
      </w:r>
      <w:r w:rsidR="009F69DF">
        <w:rPr>
          <w:rFonts w:eastAsia="Malgun Gothic"/>
          <w:bCs/>
          <w:lang w:val="fr-FR"/>
        </w:rPr>
        <w:t> </w:t>
      </w:r>
      <w:r w:rsidRPr="000738D1">
        <w:rPr>
          <w:rFonts w:eastAsia="Malgun Gothic"/>
          <w:bCs/>
          <w:lang w:val="fr-FR"/>
        </w:rPr>
        <w:t>7.b.7], soumis par l</w:t>
      </w:r>
      <w:r w:rsidR="00923E72">
        <w:rPr>
          <w:rFonts w:eastAsia="Malgun Gothic"/>
          <w:bCs/>
          <w:lang w:val="fr-FR"/>
        </w:rPr>
        <w:t>’</w:t>
      </w:r>
      <w:r w:rsidRPr="00702497">
        <w:rPr>
          <w:rFonts w:eastAsia="Malgun Gothic"/>
          <w:b/>
          <w:lang w:val="fr-FR"/>
        </w:rPr>
        <w:t>Égypte</w:t>
      </w:r>
      <w:r w:rsidRPr="000738D1">
        <w:rPr>
          <w:rFonts w:eastAsia="Malgun Gothic"/>
          <w:bCs/>
          <w:lang w:val="fr-FR"/>
        </w:rPr>
        <w:t xml:space="preserve">, expliquant que </w:t>
      </w:r>
      <w:r>
        <w:rPr>
          <w:rFonts w:eastAsia="Malgun Gothic"/>
          <w:bCs/>
          <w:lang w:val="fr-FR"/>
        </w:rPr>
        <w:t>l</w:t>
      </w:r>
      <w:r w:rsidRPr="000738D1">
        <w:rPr>
          <w:rFonts w:eastAsia="Malgun Gothic"/>
          <w:bCs/>
          <w:lang w:val="fr-FR"/>
        </w:rPr>
        <w:t>es festiv</w:t>
      </w:r>
      <w:r>
        <w:rPr>
          <w:rFonts w:eastAsia="Malgun Gothic"/>
          <w:bCs/>
          <w:lang w:val="fr-FR"/>
        </w:rPr>
        <w:t>ités</w:t>
      </w:r>
      <w:r w:rsidRPr="000738D1">
        <w:rPr>
          <w:rFonts w:eastAsia="Malgun Gothic"/>
          <w:bCs/>
          <w:lang w:val="fr-FR"/>
        </w:rPr>
        <w:t xml:space="preserve"> </w:t>
      </w:r>
      <w:r w:rsidR="00430422">
        <w:rPr>
          <w:rFonts w:eastAsia="Malgun Gothic"/>
          <w:bCs/>
          <w:lang w:val="fr-FR"/>
        </w:rPr>
        <w:t xml:space="preserve">sont liées au voyage </w:t>
      </w:r>
      <w:r w:rsidRPr="000738D1">
        <w:rPr>
          <w:rFonts w:eastAsia="Malgun Gothic"/>
          <w:bCs/>
          <w:lang w:val="fr-FR"/>
        </w:rPr>
        <w:t>de la Sainte Famille en Égypte et commémorent l</w:t>
      </w:r>
      <w:r w:rsidR="00430422">
        <w:rPr>
          <w:rFonts w:eastAsia="Malgun Gothic"/>
          <w:bCs/>
          <w:lang w:val="fr-FR"/>
        </w:rPr>
        <w:t xml:space="preserve">a fuite </w:t>
      </w:r>
      <w:r w:rsidRPr="000738D1">
        <w:rPr>
          <w:rFonts w:eastAsia="Malgun Gothic"/>
          <w:bCs/>
          <w:lang w:val="fr-FR"/>
        </w:rPr>
        <w:t xml:space="preserve">de la Sainte Famille de Bethléem </w:t>
      </w:r>
      <w:r w:rsidR="00430422">
        <w:rPr>
          <w:rFonts w:eastAsia="Malgun Gothic"/>
          <w:bCs/>
          <w:lang w:val="fr-FR"/>
        </w:rPr>
        <w:t>jusqu</w:t>
      </w:r>
      <w:r w:rsidR="00923E72">
        <w:rPr>
          <w:rFonts w:eastAsia="Malgun Gothic"/>
          <w:bCs/>
          <w:lang w:val="fr-FR"/>
        </w:rPr>
        <w:t>’</w:t>
      </w:r>
      <w:r w:rsidRPr="000738D1">
        <w:rPr>
          <w:rFonts w:eastAsia="Malgun Gothic"/>
          <w:bCs/>
          <w:lang w:val="fr-FR"/>
        </w:rPr>
        <w:t xml:space="preserve">en Égypte </w:t>
      </w:r>
      <w:r w:rsidR="00430422">
        <w:rPr>
          <w:rFonts w:eastAsia="Malgun Gothic"/>
          <w:bCs/>
          <w:lang w:val="fr-FR"/>
        </w:rPr>
        <w:t>afin d</w:t>
      </w:r>
      <w:r w:rsidR="00923E72">
        <w:rPr>
          <w:rFonts w:eastAsia="Malgun Gothic"/>
          <w:bCs/>
          <w:lang w:val="fr-FR"/>
        </w:rPr>
        <w:t>’</w:t>
      </w:r>
      <w:r w:rsidRPr="000738D1">
        <w:rPr>
          <w:rFonts w:eastAsia="Malgun Gothic"/>
          <w:bCs/>
          <w:lang w:val="fr-FR"/>
        </w:rPr>
        <w:t>échapper à l</w:t>
      </w:r>
      <w:r w:rsidR="00923E72">
        <w:rPr>
          <w:rFonts w:eastAsia="Malgun Gothic"/>
          <w:bCs/>
          <w:lang w:val="fr-FR"/>
        </w:rPr>
        <w:t>’</w:t>
      </w:r>
      <w:r w:rsidRPr="000738D1">
        <w:rPr>
          <w:rFonts w:eastAsia="Malgun Gothic"/>
          <w:bCs/>
          <w:lang w:val="fr-FR"/>
        </w:rPr>
        <w:t>oppression du roi Hérod</w:t>
      </w:r>
      <w:r w:rsidR="00430422">
        <w:rPr>
          <w:rFonts w:eastAsia="Malgun Gothic"/>
          <w:bCs/>
          <w:lang w:val="fr-FR"/>
        </w:rPr>
        <w:t>e</w:t>
      </w:r>
      <w:r w:rsidRPr="000738D1">
        <w:rPr>
          <w:rFonts w:eastAsia="Malgun Gothic"/>
          <w:bCs/>
          <w:lang w:val="fr-FR"/>
        </w:rPr>
        <w:t xml:space="preserve"> et que</w:t>
      </w:r>
      <w:r w:rsidR="00430422">
        <w:rPr>
          <w:rFonts w:eastAsia="Malgun Gothic"/>
          <w:bCs/>
          <w:lang w:val="fr-FR"/>
        </w:rPr>
        <w:t>,</w:t>
      </w:r>
      <w:r w:rsidRPr="000738D1">
        <w:rPr>
          <w:rFonts w:eastAsia="Malgun Gothic"/>
          <w:bCs/>
          <w:lang w:val="fr-FR"/>
        </w:rPr>
        <w:t xml:space="preserve"> </w:t>
      </w:r>
      <w:r w:rsidR="00430422">
        <w:rPr>
          <w:rFonts w:eastAsia="Malgun Gothic"/>
          <w:bCs/>
          <w:lang w:val="fr-FR"/>
        </w:rPr>
        <w:t>c</w:t>
      </w:r>
      <w:r w:rsidRPr="000738D1">
        <w:rPr>
          <w:rFonts w:eastAsia="Malgun Gothic"/>
          <w:bCs/>
          <w:lang w:val="fr-FR"/>
        </w:rPr>
        <w:t>haque année,</w:t>
      </w:r>
      <w:r w:rsidR="00430422">
        <w:rPr>
          <w:rFonts w:eastAsia="Malgun Gothic"/>
          <w:bCs/>
          <w:lang w:val="fr-FR"/>
        </w:rPr>
        <w:t xml:space="preserve"> </w:t>
      </w:r>
      <w:r w:rsidRPr="000738D1">
        <w:rPr>
          <w:rFonts w:eastAsia="Malgun Gothic"/>
          <w:bCs/>
          <w:lang w:val="fr-FR"/>
        </w:rPr>
        <w:t xml:space="preserve">deux </w:t>
      </w:r>
      <w:r w:rsidR="00430422">
        <w:rPr>
          <w:rFonts w:eastAsia="Malgun Gothic"/>
          <w:bCs/>
          <w:lang w:val="fr-FR"/>
        </w:rPr>
        <w:t xml:space="preserve">festivités sont organisées </w:t>
      </w:r>
      <w:r w:rsidRPr="000738D1">
        <w:rPr>
          <w:rFonts w:eastAsia="Malgun Gothic"/>
          <w:bCs/>
          <w:lang w:val="fr-FR"/>
        </w:rPr>
        <w:t>auxquel</w:t>
      </w:r>
      <w:r w:rsidR="00430422">
        <w:rPr>
          <w:rFonts w:eastAsia="Malgun Gothic"/>
          <w:bCs/>
          <w:lang w:val="fr-FR"/>
        </w:rPr>
        <w:t>le</w:t>
      </w:r>
      <w:r w:rsidRPr="000738D1">
        <w:rPr>
          <w:rFonts w:eastAsia="Malgun Gothic"/>
          <w:bCs/>
          <w:lang w:val="fr-FR"/>
        </w:rPr>
        <w:t>s les Égyptiens, y compris les musulmans et les chrétiens coptes de tous âges et</w:t>
      </w:r>
      <w:r w:rsidR="00430422">
        <w:rPr>
          <w:rFonts w:eastAsia="Malgun Gothic"/>
          <w:bCs/>
          <w:lang w:val="fr-FR"/>
        </w:rPr>
        <w:t xml:space="preserve"> genres</w:t>
      </w:r>
      <w:r w:rsidRPr="000738D1">
        <w:rPr>
          <w:rFonts w:eastAsia="Malgun Gothic"/>
          <w:bCs/>
          <w:lang w:val="fr-FR"/>
        </w:rPr>
        <w:t>, participent en grand nombre. L</w:t>
      </w:r>
      <w:r w:rsidR="00923E72">
        <w:rPr>
          <w:rFonts w:eastAsia="Malgun Gothic"/>
          <w:bCs/>
          <w:lang w:val="fr-FR"/>
        </w:rPr>
        <w:t>’</w:t>
      </w:r>
      <w:r w:rsidRPr="000738D1">
        <w:rPr>
          <w:rFonts w:eastAsia="Malgun Gothic"/>
          <w:bCs/>
          <w:lang w:val="fr-FR"/>
        </w:rPr>
        <w:t>Organe d</w:t>
      </w:r>
      <w:r w:rsidR="00923E72">
        <w:rPr>
          <w:rFonts w:eastAsia="Malgun Gothic"/>
          <w:bCs/>
          <w:lang w:val="fr-FR"/>
        </w:rPr>
        <w:t>’</w:t>
      </w:r>
      <w:r w:rsidRPr="000738D1">
        <w:rPr>
          <w:rFonts w:eastAsia="Malgun Gothic"/>
          <w:bCs/>
          <w:lang w:val="fr-FR"/>
        </w:rPr>
        <w:t>évaluation avait estimé que les critères</w:t>
      </w:r>
      <w:r w:rsidR="00384FFF">
        <w:rPr>
          <w:rFonts w:eastAsia="Malgun Gothic"/>
          <w:bCs/>
          <w:lang w:val="fr-FR"/>
        </w:rPr>
        <w:t> </w:t>
      </w:r>
      <w:r w:rsidRPr="000738D1">
        <w:rPr>
          <w:rFonts w:eastAsia="Malgun Gothic"/>
          <w:bCs/>
          <w:lang w:val="fr-FR"/>
        </w:rPr>
        <w:t>R.1,</w:t>
      </w:r>
      <w:r w:rsidR="008F5CA2">
        <w:rPr>
          <w:rFonts w:eastAsia="Malgun Gothic"/>
          <w:bCs/>
          <w:lang w:val="fr-FR"/>
        </w:rPr>
        <w:t> </w:t>
      </w:r>
      <w:r w:rsidRPr="000738D1">
        <w:rPr>
          <w:rFonts w:eastAsia="Malgun Gothic"/>
          <w:bCs/>
          <w:lang w:val="fr-FR"/>
        </w:rPr>
        <w:t>R.2,</w:t>
      </w:r>
      <w:r w:rsidR="008F5CA2">
        <w:rPr>
          <w:rFonts w:eastAsia="Malgun Gothic"/>
          <w:bCs/>
          <w:lang w:val="fr-FR"/>
        </w:rPr>
        <w:t> </w:t>
      </w:r>
      <w:r w:rsidRPr="000738D1">
        <w:rPr>
          <w:rFonts w:eastAsia="Malgun Gothic"/>
          <w:bCs/>
          <w:lang w:val="fr-FR"/>
        </w:rPr>
        <w:t>R.4 et</w:t>
      </w:r>
      <w:r w:rsidR="00384FFF">
        <w:rPr>
          <w:rFonts w:eastAsia="Malgun Gothic"/>
          <w:bCs/>
          <w:lang w:val="fr-FR"/>
        </w:rPr>
        <w:t> </w:t>
      </w:r>
      <w:r w:rsidRPr="000738D1">
        <w:rPr>
          <w:rFonts w:eastAsia="Malgun Gothic"/>
          <w:bCs/>
          <w:lang w:val="fr-FR"/>
        </w:rPr>
        <w:t xml:space="preserve">R.5 étaient satisfaits. </w:t>
      </w:r>
      <w:r w:rsidR="00430422">
        <w:rPr>
          <w:rFonts w:eastAsia="Malgun Gothic"/>
          <w:bCs/>
          <w:lang w:val="fr-FR"/>
        </w:rPr>
        <w:t>Toutefois,</w:t>
      </w:r>
      <w:r w:rsidRPr="000738D1">
        <w:rPr>
          <w:rFonts w:eastAsia="Malgun Gothic"/>
          <w:bCs/>
          <w:lang w:val="fr-FR"/>
        </w:rPr>
        <w:t xml:space="preserve"> les informations </w:t>
      </w:r>
      <w:r w:rsidR="00430422">
        <w:rPr>
          <w:rFonts w:eastAsia="Malgun Gothic"/>
          <w:bCs/>
          <w:lang w:val="fr-FR"/>
        </w:rPr>
        <w:t xml:space="preserve">contenues dans les dossier </w:t>
      </w:r>
      <w:r w:rsidRPr="000738D1">
        <w:rPr>
          <w:rFonts w:eastAsia="Malgun Gothic"/>
          <w:bCs/>
          <w:lang w:val="fr-FR"/>
        </w:rPr>
        <w:t>n</w:t>
      </w:r>
      <w:r w:rsidR="00923E72">
        <w:rPr>
          <w:rFonts w:eastAsia="Malgun Gothic"/>
          <w:bCs/>
          <w:lang w:val="fr-FR"/>
        </w:rPr>
        <w:t>’</w:t>
      </w:r>
      <w:r w:rsidRPr="000738D1">
        <w:rPr>
          <w:rFonts w:eastAsia="Malgun Gothic"/>
          <w:bCs/>
          <w:lang w:val="fr-FR"/>
        </w:rPr>
        <w:t>étaient pas suffisantes pour déterminer si le critère</w:t>
      </w:r>
      <w:r w:rsidR="00384FFF">
        <w:rPr>
          <w:rFonts w:eastAsia="Malgun Gothic"/>
          <w:bCs/>
          <w:lang w:val="fr-FR"/>
        </w:rPr>
        <w:t> </w:t>
      </w:r>
      <w:r w:rsidRPr="000738D1">
        <w:rPr>
          <w:rFonts w:eastAsia="Malgun Gothic"/>
          <w:bCs/>
          <w:lang w:val="fr-FR"/>
        </w:rPr>
        <w:t>R.3 était satisfait. Le dossier expliquait les fonctions sociales et culturelles de l</w:t>
      </w:r>
      <w:r w:rsidR="00923E72">
        <w:rPr>
          <w:rFonts w:eastAsia="Malgun Gothic"/>
          <w:bCs/>
          <w:lang w:val="fr-FR"/>
        </w:rPr>
        <w:t>’</w:t>
      </w:r>
      <w:r w:rsidRPr="000738D1">
        <w:rPr>
          <w:rFonts w:eastAsia="Malgun Gothic"/>
          <w:bCs/>
          <w:lang w:val="fr-FR"/>
        </w:rPr>
        <w:t xml:space="preserve">élément et la manière dont il est transmis. Cependant, les mesures de sauvegarde proposées se concentraient </w:t>
      </w:r>
      <w:r w:rsidR="00430422">
        <w:rPr>
          <w:rFonts w:eastAsia="Malgun Gothic"/>
          <w:bCs/>
          <w:lang w:val="fr-FR"/>
        </w:rPr>
        <w:t xml:space="preserve">principalement </w:t>
      </w:r>
      <w:r w:rsidRPr="000738D1">
        <w:rPr>
          <w:rFonts w:eastAsia="Malgun Gothic"/>
          <w:bCs/>
          <w:lang w:val="fr-FR"/>
        </w:rPr>
        <w:t>sur l</w:t>
      </w:r>
      <w:r w:rsidR="00923E72">
        <w:rPr>
          <w:rFonts w:eastAsia="Malgun Gothic"/>
          <w:bCs/>
          <w:lang w:val="fr-FR"/>
        </w:rPr>
        <w:t>’</w:t>
      </w:r>
      <w:r w:rsidRPr="000738D1">
        <w:rPr>
          <w:rFonts w:eastAsia="Malgun Gothic"/>
          <w:bCs/>
          <w:lang w:val="fr-FR"/>
        </w:rPr>
        <w:t>augmentation du nombre de visiteurs et</w:t>
      </w:r>
      <w:r w:rsidR="00430422">
        <w:rPr>
          <w:rFonts w:eastAsia="Malgun Gothic"/>
          <w:bCs/>
          <w:lang w:val="fr-FR"/>
        </w:rPr>
        <w:t xml:space="preserve"> </w:t>
      </w:r>
      <w:r w:rsidRPr="000738D1">
        <w:rPr>
          <w:rFonts w:eastAsia="Malgun Gothic"/>
          <w:bCs/>
          <w:lang w:val="fr-FR"/>
        </w:rPr>
        <w:t xml:space="preserve">de prestataires de services, en particulier les restaurants et les </w:t>
      </w:r>
      <w:r w:rsidR="00430422">
        <w:rPr>
          <w:rFonts w:eastAsia="Malgun Gothic"/>
          <w:bCs/>
          <w:lang w:val="fr-FR"/>
        </w:rPr>
        <w:t xml:space="preserve">boutiques </w:t>
      </w:r>
      <w:r w:rsidRPr="000738D1">
        <w:rPr>
          <w:rFonts w:eastAsia="Malgun Gothic"/>
          <w:bCs/>
          <w:lang w:val="fr-FR"/>
        </w:rPr>
        <w:t xml:space="preserve">de souvenirs, et ne </w:t>
      </w:r>
      <w:r w:rsidR="00D0273A">
        <w:rPr>
          <w:rFonts w:eastAsia="Malgun Gothic"/>
          <w:bCs/>
          <w:lang w:val="fr-FR"/>
        </w:rPr>
        <w:t>mettaient pas l</w:t>
      </w:r>
      <w:r w:rsidR="00923E72">
        <w:rPr>
          <w:rFonts w:eastAsia="Malgun Gothic"/>
          <w:bCs/>
          <w:lang w:val="fr-FR"/>
        </w:rPr>
        <w:t>’</w:t>
      </w:r>
      <w:r w:rsidR="00D0273A">
        <w:rPr>
          <w:rFonts w:eastAsia="Malgun Gothic"/>
          <w:bCs/>
          <w:lang w:val="fr-FR"/>
        </w:rPr>
        <w:t xml:space="preserve">accent </w:t>
      </w:r>
      <w:r w:rsidRPr="000738D1">
        <w:rPr>
          <w:rFonts w:eastAsia="Malgun Gothic"/>
          <w:bCs/>
          <w:lang w:val="fr-FR"/>
        </w:rPr>
        <w:t>sur la viabilité et la transmission de l</w:t>
      </w:r>
      <w:r w:rsidR="00923E72">
        <w:rPr>
          <w:rFonts w:eastAsia="Malgun Gothic"/>
          <w:bCs/>
          <w:lang w:val="fr-FR"/>
        </w:rPr>
        <w:t>’</w:t>
      </w:r>
      <w:r w:rsidRPr="000738D1">
        <w:rPr>
          <w:rFonts w:eastAsia="Malgun Gothic"/>
          <w:bCs/>
          <w:lang w:val="fr-FR"/>
        </w:rPr>
        <w:t>élément. En conclusion, l</w:t>
      </w:r>
      <w:r w:rsidR="00923E72">
        <w:rPr>
          <w:rFonts w:eastAsia="Malgun Gothic"/>
          <w:bCs/>
          <w:lang w:val="fr-FR"/>
        </w:rPr>
        <w:t>’</w:t>
      </w:r>
      <w:r w:rsidRPr="000738D1">
        <w:rPr>
          <w:rFonts w:eastAsia="Malgun Gothic"/>
          <w:bCs/>
          <w:lang w:val="fr-FR"/>
        </w:rPr>
        <w:t>Organe d</w:t>
      </w:r>
      <w:r w:rsidR="00923E72">
        <w:rPr>
          <w:rFonts w:eastAsia="Malgun Gothic"/>
          <w:bCs/>
          <w:lang w:val="fr-FR"/>
        </w:rPr>
        <w:t>’</w:t>
      </w:r>
      <w:r w:rsidRPr="000738D1">
        <w:rPr>
          <w:rFonts w:eastAsia="Malgun Gothic"/>
          <w:bCs/>
          <w:lang w:val="fr-FR"/>
        </w:rPr>
        <w:t>évaluation recommandait que cette candidature soit renvoyée à l</w:t>
      </w:r>
      <w:r w:rsidR="00923E72">
        <w:rPr>
          <w:rFonts w:eastAsia="Malgun Gothic"/>
          <w:bCs/>
          <w:lang w:val="fr-FR"/>
        </w:rPr>
        <w:t>’</w:t>
      </w:r>
      <w:r w:rsidRPr="000738D1">
        <w:rPr>
          <w:rFonts w:eastAsia="Malgun Gothic"/>
          <w:bCs/>
          <w:lang w:val="fr-FR"/>
        </w:rPr>
        <w:t>État soumissionnaire.</w:t>
      </w:r>
    </w:p>
    <w:p w14:paraId="47879C6E" w14:textId="2C2F08B8" w:rsidR="00430422" w:rsidRDefault="0043042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invité l</w:t>
      </w:r>
      <w:r w:rsidR="00923E72">
        <w:rPr>
          <w:rFonts w:eastAsia="Malgun Gothic"/>
          <w:bCs/>
          <w:lang w:val="fr-FR"/>
        </w:rPr>
        <w:t>’</w:t>
      </w:r>
      <w:r>
        <w:rPr>
          <w:rFonts w:eastAsia="Malgun Gothic"/>
          <w:bCs/>
          <w:lang w:val="fr-FR"/>
        </w:rPr>
        <w:t>Arabie</w:t>
      </w:r>
      <w:r w:rsidR="008D3070">
        <w:rPr>
          <w:rFonts w:eastAsia="Malgun Gothic"/>
          <w:bCs/>
          <w:lang w:val="fr-FR"/>
        </w:rPr>
        <w:t> </w:t>
      </w:r>
      <w:r>
        <w:rPr>
          <w:rFonts w:eastAsia="Malgun Gothic"/>
          <w:bCs/>
          <w:lang w:val="fr-FR"/>
        </w:rPr>
        <w:t xml:space="preserve">saoudite à présenter son </w:t>
      </w:r>
      <w:r w:rsidRPr="00430422">
        <w:rPr>
          <w:rFonts w:eastAsia="Malgun Gothic"/>
          <w:bCs/>
          <w:lang w:val="fr-FR"/>
        </w:rPr>
        <w:t>amendement</w:t>
      </w:r>
      <w:r>
        <w:rPr>
          <w:rFonts w:eastAsia="Malgun Gothic"/>
          <w:bCs/>
          <w:lang w:val="fr-FR"/>
        </w:rPr>
        <w:t>.</w:t>
      </w:r>
    </w:p>
    <w:p w14:paraId="2ED72D98" w14:textId="13F29769" w:rsidR="00430422" w:rsidRDefault="006B234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B234C">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8D3070">
        <w:rPr>
          <w:rFonts w:eastAsia="Malgun Gothic"/>
          <w:b/>
          <w:lang w:val="fr-FR"/>
        </w:rPr>
        <w:t> </w:t>
      </w:r>
      <w:r w:rsidRPr="00702497">
        <w:rPr>
          <w:rFonts w:eastAsia="Malgun Gothic"/>
          <w:b/>
          <w:lang w:val="fr-FR"/>
        </w:rPr>
        <w:t xml:space="preserve">saoudite </w:t>
      </w:r>
      <w:r w:rsidRPr="006B234C">
        <w:rPr>
          <w:rFonts w:eastAsia="Malgun Gothic"/>
          <w:bCs/>
          <w:lang w:val="fr-FR"/>
        </w:rPr>
        <w:t xml:space="preserve">a expliqué que les festivités </w:t>
      </w:r>
      <w:r>
        <w:rPr>
          <w:rFonts w:eastAsia="Malgun Gothic"/>
          <w:bCs/>
          <w:lang w:val="fr-FR"/>
        </w:rPr>
        <w:t xml:space="preserve">associées </w:t>
      </w:r>
      <w:r w:rsidRPr="006B234C">
        <w:rPr>
          <w:rFonts w:eastAsia="Malgun Gothic"/>
          <w:bCs/>
          <w:lang w:val="fr-FR"/>
        </w:rPr>
        <w:t>au voyage de la Sainte Famille en Égypte sont un élément du patrimoine vivant pratiqué par des détenteurs sans distinction de genre, d</w:t>
      </w:r>
      <w:r w:rsidR="00923E72">
        <w:rPr>
          <w:rFonts w:eastAsia="Malgun Gothic"/>
          <w:bCs/>
          <w:lang w:val="fr-FR"/>
        </w:rPr>
        <w:t>’</w:t>
      </w:r>
      <w:r w:rsidRPr="006B234C">
        <w:rPr>
          <w:rFonts w:eastAsia="Malgun Gothic"/>
          <w:bCs/>
          <w:lang w:val="fr-FR"/>
        </w:rPr>
        <w:t>âge</w:t>
      </w:r>
      <w:r w:rsidR="00384FFF">
        <w:rPr>
          <w:rFonts w:eastAsia="Malgun Gothic"/>
          <w:bCs/>
          <w:lang w:val="fr-FR"/>
        </w:rPr>
        <w:t xml:space="preserve"> ou </w:t>
      </w:r>
      <w:r w:rsidRPr="006B234C">
        <w:rPr>
          <w:rFonts w:eastAsia="Malgun Gothic"/>
          <w:bCs/>
          <w:lang w:val="fr-FR"/>
        </w:rPr>
        <w:t>d</w:t>
      </w:r>
      <w:r w:rsidR="00923E72">
        <w:rPr>
          <w:rFonts w:eastAsia="Malgun Gothic"/>
          <w:bCs/>
          <w:lang w:val="fr-FR"/>
        </w:rPr>
        <w:t>’</w:t>
      </w:r>
      <w:r w:rsidRPr="006B234C">
        <w:rPr>
          <w:rFonts w:eastAsia="Malgun Gothic"/>
          <w:bCs/>
          <w:lang w:val="fr-FR"/>
        </w:rPr>
        <w:t>appartenance ethnique et, surtout, de confessions musulmane et chrétienne, et qu</w:t>
      </w:r>
      <w:r w:rsidR="00923E72">
        <w:rPr>
          <w:rFonts w:eastAsia="Malgun Gothic"/>
          <w:bCs/>
          <w:lang w:val="fr-FR"/>
        </w:rPr>
        <w:t>’</w:t>
      </w:r>
      <w:r w:rsidRPr="006B234C">
        <w:rPr>
          <w:rFonts w:eastAsia="Malgun Gothic"/>
          <w:bCs/>
          <w:lang w:val="fr-FR"/>
        </w:rPr>
        <w:t>elles mettent l</w:t>
      </w:r>
      <w:r w:rsidR="00923E72">
        <w:rPr>
          <w:rFonts w:eastAsia="Malgun Gothic"/>
          <w:bCs/>
          <w:lang w:val="fr-FR"/>
        </w:rPr>
        <w:t>’</w:t>
      </w:r>
      <w:r w:rsidRPr="006B234C">
        <w:rPr>
          <w:rFonts w:eastAsia="Malgun Gothic"/>
          <w:bCs/>
          <w:lang w:val="fr-FR"/>
        </w:rPr>
        <w:t>accent sur la cohésion sociale et renforcent le dialogue et l</w:t>
      </w:r>
      <w:r w:rsidR="00923E72">
        <w:rPr>
          <w:rFonts w:eastAsia="Malgun Gothic"/>
          <w:bCs/>
          <w:lang w:val="fr-FR"/>
        </w:rPr>
        <w:t>’</w:t>
      </w:r>
      <w:r w:rsidRPr="006B234C">
        <w:rPr>
          <w:rFonts w:eastAsia="Malgun Gothic"/>
          <w:bCs/>
          <w:lang w:val="fr-FR"/>
        </w:rPr>
        <w:t>harmonie au sein de la communauté. À une époque où le monde conna</w:t>
      </w:r>
      <w:r>
        <w:rPr>
          <w:rFonts w:eastAsia="Malgun Gothic"/>
          <w:bCs/>
          <w:lang w:val="fr-FR"/>
        </w:rPr>
        <w:t>issai</w:t>
      </w:r>
      <w:r w:rsidRPr="006B234C">
        <w:rPr>
          <w:rFonts w:eastAsia="Malgun Gothic"/>
          <w:bCs/>
          <w:lang w:val="fr-FR"/>
        </w:rPr>
        <w:t>t des tensions et des conflits croissants, cet élément était considéré comme un message de paix et d</w:t>
      </w:r>
      <w:r w:rsidR="00923E72">
        <w:rPr>
          <w:rFonts w:eastAsia="Malgun Gothic"/>
          <w:bCs/>
          <w:lang w:val="fr-FR"/>
        </w:rPr>
        <w:t>’</w:t>
      </w:r>
      <w:r w:rsidRPr="006B234C">
        <w:rPr>
          <w:rFonts w:eastAsia="Malgun Gothic"/>
          <w:bCs/>
          <w:lang w:val="fr-FR"/>
        </w:rPr>
        <w:t>harmonie sociale. La délégation a remercié l</w:t>
      </w:r>
      <w:r w:rsidR="00923E72">
        <w:rPr>
          <w:rFonts w:eastAsia="Malgun Gothic"/>
          <w:bCs/>
          <w:lang w:val="fr-FR"/>
        </w:rPr>
        <w:t>’</w:t>
      </w:r>
      <w:r w:rsidRPr="006B234C">
        <w:rPr>
          <w:rFonts w:eastAsia="Malgun Gothic"/>
          <w:bCs/>
          <w:lang w:val="fr-FR"/>
        </w:rPr>
        <w:t>Organe d</w:t>
      </w:r>
      <w:r w:rsidR="00923E72">
        <w:rPr>
          <w:rFonts w:eastAsia="Malgun Gothic"/>
          <w:bCs/>
          <w:lang w:val="fr-FR"/>
        </w:rPr>
        <w:t>’</w:t>
      </w:r>
      <w:r w:rsidRPr="006B234C">
        <w:rPr>
          <w:rFonts w:eastAsia="Malgun Gothic"/>
          <w:bCs/>
          <w:lang w:val="fr-FR"/>
        </w:rPr>
        <w:t>évaluation d</w:t>
      </w:r>
      <w:r w:rsidR="00923E72">
        <w:rPr>
          <w:rFonts w:eastAsia="Malgun Gothic"/>
          <w:bCs/>
          <w:lang w:val="fr-FR"/>
        </w:rPr>
        <w:t>’</w:t>
      </w:r>
      <w:r w:rsidRPr="006B234C">
        <w:rPr>
          <w:rFonts w:eastAsia="Malgun Gothic"/>
          <w:bCs/>
          <w:lang w:val="fr-FR"/>
        </w:rPr>
        <w:t>avoir indiqué dans son évaluation que cette candidature satisfaisait à quatre critères. Elle avait toutefois recommandé de renvoyer le dossier, estimant que les informations données pour le critère</w:t>
      </w:r>
      <w:r>
        <w:rPr>
          <w:rFonts w:eastAsia="Malgun Gothic"/>
          <w:bCs/>
          <w:lang w:val="fr-FR"/>
        </w:rPr>
        <w:t> </w:t>
      </w:r>
      <w:r w:rsidRPr="006B234C">
        <w:rPr>
          <w:rFonts w:eastAsia="Malgun Gothic"/>
          <w:bCs/>
          <w:lang w:val="fr-FR"/>
        </w:rPr>
        <w:t>R.3, concernant la sauvegarde de l</w:t>
      </w:r>
      <w:r w:rsidR="00923E72">
        <w:rPr>
          <w:rFonts w:eastAsia="Malgun Gothic"/>
          <w:bCs/>
          <w:lang w:val="fr-FR"/>
        </w:rPr>
        <w:t>’</w:t>
      </w:r>
      <w:r w:rsidRPr="006B234C">
        <w:rPr>
          <w:rFonts w:eastAsia="Malgun Gothic"/>
          <w:bCs/>
          <w:lang w:val="fr-FR"/>
        </w:rPr>
        <w:t>élément, n</w:t>
      </w:r>
      <w:r w:rsidR="00923E72">
        <w:rPr>
          <w:rFonts w:eastAsia="Malgun Gothic"/>
          <w:bCs/>
          <w:lang w:val="fr-FR"/>
        </w:rPr>
        <w:t>’</w:t>
      </w:r>
      <w:r w:rsidRPr="006B234C">
        <w:rPr>
          <w:rFonts w:eastAsia="Malgun Gothic"/>
          <w:bCs/>
          <w:lang w:val="fr-FR"/>
        </w:rPr>
        <w:t xml:space="preserve">étaient pas suffisantes pour permettre au Comité de déterminer si ce critère était satisfait. Il a été noté que ce dossier de candidature </w:t>
      </w:r>
      <w:r w:rsidRPr="006B234C">
        <w:rPr>
          <w:rFonts w:eastAsia="Malgun Gothic"/>
          <w:bCs/>
          <w:lang w:val="fr-FR"/>
        </w:rPr>
        <w:lastRenderedPageBreak/>
        <w:t>n</w:t>
      </w:r>
      <w:r w:rsidR="00923E72">
        <w:rPr>
          <w:rFonts w:eastAsia="Malgun Gothic"/>
          <w:bCs/>
          <w:lang w:val="fr-FR"/>
        </w:rPr>
        <w:t>’</w:t>
      </w:r>
      <w:r w:rsidRPr="006B234C">
        <w:rPr>
          <w:rFonts w:eastAsia="Malgun Gothic"/>
          <w:bCs/>
          <w:lang w:val="fr-FR"/>
        </w:rPr>
        <w:t>avait pas bénéficié du processus de dialogue, contrairement à onze autres dossiers au cours du même cycle d</w:t>
      </w:r>
      <w:r w:rsidR="00923E72">
        <w:rPr>
          <w:rFonts w:eastAsia="Malgun Gothic"/>
          <w:bCs/>
          <w:lang w:val="fr-FR"/>
        </w:rPr>
        <w:t>’</w:t>
      </w:r>
      <w:r w:rsidRPr="006B234C">
        <w:rPr>
          <w:rFonts w:eastAsia="Malgun Gothic"/>
          <w:bCs/>
          <w:lang w:val="fr-FR"/>
        </w:rPr>
        <w:t xml:space="preserve">évaluation, dossiers pour lesquels les informations fournies avaient </w:t>
      </w:r>
      <w:r>
        <w:rPr>
          <w:rFonts w:eastAsia="Malgun Gothic"/>
          <w:bCs/>
          <w:lang w:val="fr-FR"/>
        </w:rPr>
        <w:t xml:space="preserve">finalement </w:t>
      </w:r>
      <w:r w:rsidRPr="006B234C">
        <w:rPr>
          <w:rFonts w:eastAsia="Malgun Gothic"/>
          <w:bCs/>
          <w:lang w:val="fr-FR"/>
        </w:rPr>
        <w:t>permis</w:t>
      </w:r>
      <w:r>
        <w:rPr>
          <w:rFonts w:eastAsia="Malgun Gothic"/>
          <w:bCs/>
          <w:lang w:val="fr-FR"/>
        </w:rPr>
        <w:t xml:space="preserve"> à l</w:t>
      </w:r>
      <w:r w:rsidR="00923E72">
        <w:rPr>
          <w:rFonts w:eastAsia="Malgun Gothic"/>
          <w:bCs/>
          <w:lang w:val="fr-FR"/>
        </w:rPr>
        <w:t>’</w:t>
      </w:r>
      <w:r>
        <w:rPr>
          <w:rFonts w:eastAsia="Malgun Gothic"/>
          <w:bCs/>
          <w:lang w:val="fr-FR"/>
        </w:rPr>
        <w:t>Organe d</w:t>
      </w:r>
      <w:r w:rsidR="00923E72">
        <w:rPr>
          <w:rFonts w:eastAsia="Malgun Gothic"/>
          <w:bCs/>
          <w:lang w:val="fr-FR"/>
        </w:rPr>
        <w:t>’</w:t>
      </w:r>
      <w:r>
        <w:rPr>
          <w:rFonts w:eastAsia="Malgun Gothic"/>
          <w:bCs/>
          <w:lang w:val="fr-FR"/>
        </w:rPr>
        <w:t>évaluation de recommander</w:t>
      </w:r>
      <w:r w:rsidRPr="006B234C">
        <w:rPr>
          <w:rFonts w:eastAsia="Malgun Gothic"/>
          <w:bCs/>
          <w:lang w:val="fr-FR"/>
        </w:rPr>
        <w:t>, pour neuf d</w:t>
      </w:r>
      <w:r w:rsidR="00923E72">
        <w:rPr>
          <w:rFonts w:eastAsia="Malgun Gothic"/>
          <w:bCs/>
          <w:lang w:val="fr-FR"/>
        </w:rPr>
        <w:t>’</w:t>
      </w:r>
      <w:r w:rsidRPr="006B234C">
        <w:rPr>
          <w:rFonts w:eastAsia="Malgun Gothic"/>
          <w:bCs/>
          <w:lang w:val="fr-FR"/>
        </w:rPr>
        <w:t>entre eux, l</w:t>
      </w:r>
      <w:r w:rsidR="00923E72">
        <w:rPr>
          <w:rFonts w:eastAsia="Malgun Gothic"/>
          <w:bCs/>
          <w:lang w:val="fr-FR"/>
        </w:rPr>
        <w:t>’</w:t>
      </w:r>
      <w:r w:rsidRPr="006B234C">
        <w:rPr>
          <w:rFonts w:eastAsia="Malgun Gothic"/>
          <w:bCs/>
          <w:lang w:val="fr-FR"/>
        </w:rPr>
        <w:t>inscription de l</w:t>
      </w:r>
      <w:r w:rsidR="00923E72">
        <w:rPr>
          <w:rFonts w:eastAsia="Malgun Gothic"/>
          <w:bCs/>
          <w:lang w:val="fr-FR"/>
        </w:rPr>
        <w:t>’</w:t>
      </w:r>
      <w:r w:rsidRPr="006B234C">
        <w:rPr>
          <w:rFonts w:eastAsia="Malgun Gothic"/>
          <w:bCs/>
          <w:lang w:val="fr-FR"/>
        </w:rPr>
        <w:t xml:space="preserve">élément concerné. </w:t>
      </w:r>
      <w:r w:rsidR="00F602AA">
        <w:rPr>
          <w:rFonts w:eastAsia="Malgun Gothic"/>
          <w:bCs/>
          <w:lang w:val="fr-FR"/>
        </w:rPr>
        <w:t xml:space="preserve">Suite aux </w:t>
      </w:r>
      <w:r w:rsidRPr="006B234C">
        <w:rPr>
          <w:rFonts w:eastAsia="Malgun Gothic"/>
          <w:bCs/>
          <w:lang w:val="fr-FR"/>
        </w:rPr>
        <w:t>éclaircissements apportés par l</w:t>
      </w:r>
      <w:r w:rsidR="00923E72">
        <w:rPr>
          <w:rFonts w:eastAsia="Malgun Gothic"/>
          <w:bCs/>
          <w:lang w:val="fr-FR"/>
        </w:rPr>
        <w:t>’</w:t>
      </w:r>
      <w:r w:rsidRPr="006B234C">
        <w:rPr>
          <w:rFonts w:eastAsia="Malgun Gothic"/>
          <w:bCs/>
          <w:lang w:val="fr-FR"/>
        </w:rPr>
        <w:t>Égypte dans le cadre d</w:t>
      </w:r>
      <w:r w:rsidR="00923E72">
        <w:rPr>
          <w:rFonts w:eastAsia="Malgun Gothic"/>
          <w:bCs/>
          <w:lang w:val="fr-FR"/>
        </w:rPr>
        <w:t>’</w:t>
      </w:r>
      <w:r w:rsidRPr="006B234C">
        <w:rPr>
          <w:rFonts w:eastAsia="Malgun Gothic"/>
          <w:bCs/>
          <w:lang w:val="fr-FR"/>
        </w:rPr>
        <w:t>un dialogue avec l</w:t>
      </w:r>
      <w:r w:rsidR="00923E72">
        <w:rPr>
          <w:rFonts w:eastAsia="Malgun Gothic"/>
          <w:bCs/>
          <w:lang w:val="fr-FR"/>
        </w:rPr>
        <w:t>’</w:t>
      </w:r>
      <w:r w:rsidRPr="006B234C">
        <w:rPr>
          <w:rFonts w:eastAsia="Malgun Gothic"/>
          <w:bCs/>
          <w:lang w:val="fr-FR"/>
        </w:rPr>
        <w:t>Arabie</w:t>
      </w:r>
      <w:r w:rsidR="008D3070">
        <w:rPr>
          <w:rFonts w:eastAsia="Malgun Gothic"/>
          <w:bCs/>
          <w:lang w:val="fr-FR"/>
        </w:rPr>
        <w:t> </w:t>
      </w:r>
      <w:r w:rsidRPr="006B234C">
        <w:rPr>
          <w:rFonts w:eastAsia="Malgun Gothic"/>
          <w:bCs/>
          <w:lang w:val="fr-FR"/>
        </w:rPr>
        <w:t xml:space="preserve">saoudite, la délégation proposait un amendement au projet de décision, dont </w:t>
      </w:r>
      <w:r w:rsidR="00F57EA2">
        <w:rPr>
          <w:rFonts w:eastAsia="Malgun Gothic"/>
          <w:bCs/>
          <w:lang w:val="fr-FR"/>
        </w:rPr>
        <w:t>dix</w:t>
      </w:r>
      <w:r w:rsidR="00F602AA">
        <w:rPr>
          <w:rFonts w:eastAsia="Malgun Gothic"/>
          <w:bCs/>
          <w:lang w:val="fr-FR"/>
        </w:rPr>
        <w:noBreakHyphen/>
      </w:r>
      <w:r w:rsidR="00F57EA2">
        <w:rPr>
          <w:rFonts w:eastAsia="Malgun Gothic"/>
          <w:bCs/>
          <w:lang w:val="fr-FR"/>
        </w:rPr>
        <w:t xml:space="preserve">huit </w:t>
      </w:r>
      <w:r w:rsidRPr="006B234C">
        <w:rPr>
          <w:rFonts w:eastAsia="Malgun Gothic"/>
          <w:bCs/>
          <w:lang w:val="fr-FR"/>
        </w:rPr>
        <w:t>membres du Comité se portaient coauteurs. La délégation a demandé au Comité d</w:t>
      </w:r>
      <w:r w:rsidR="00923E72">
        <w:rPr>
          <w:rFonts w:eastAsia="Malgun Gothic"/>
          <w:bCs/>
          <w:lang w:val="fr-FR"/>
        </w:rPr>
        <w:t>’</w:t>
      </w:r>
      <w:r w:rsidRPr="006B234C">
        <w:rPr>
          <w:rFonts w:eastAsia="Malgun Gothic"/>
          <w:bCs/>
          <w:lang w:val="fr-FR"/>
        </w:rPr>
        <w:t>approuver l</w:t>
      </w:r>
      <w:r w:rsidR="00923E72">
        <w:rPr>
          <w:rFonts w:eastAsia="Malgun Gothic"/>
          <w:bCs/>
          <w:lang w:val="fr-FR"/>
        </w:rPr>
        <w:t>’</w:t>
      </w:r>
      <w:r w:rsidRPr="006B234C">
        <w:rPr>
          <w:rFonts w:eastAsia="Malgun Gothic"/>
          <w:bCs/>
          <w:lang w:val="fr-FR"/>
        </w:rPr>
        <w:t>amendement et d</w:t>
      </w:r>
      <w:r w:rsidR="00923E72">
        <w:rPr>
          <w:rFonts w:eastAsia="Malgun Gothic"/>
          <w:bCs/>
          <w:lang w:val="fr-FR"/>
        </w:rPr>
        <w:t>’</w:t>
      </w:r>
      <w:r w:rsidRPr="006B234C">
        <w:rPr>
          <w:rFonts w:eastAsia="Malgun Gothic"/>
          <w:bCs/>
          <w:lang w:val="fr-FR"/>
        </w:rPr>
        <w:t>inscrire l</w:t>
      </w:r>
      <w:r w:rsidR="00923E72">
        <w:rPr>
          <w:rFonts w:eastAsia="Malgun Gothic"/>
          <w:bCs/>
          <w:lang w:val="fr-FR"/>
        </w:rPr>
        <w:t>’</w:t>
      </w:r>
      <w:r w:rsidRPr="006B234C">
        <w:rPr>
          <w:rFonts w:eastAsia="Malgun Gothic"/>
          <w:bCs/>
          <w:lang w:val="fr-FR"/>
        </w:rPr>
        <w:t>élément.</w:t>
      </w:r>
    </w:p>
    <w:p w14:paraId="0B8B2373" w14:textId="099434D7" w:rsidR="00F57EA2" w:rsidRDefault="00F57EA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projeté le projet de décision à l</w:t>
      </w:r>
      <w:r w:rsidR="00923E72">
        <w:rPr>
          <w:rFonts w:eastAsia="Malgun Gothic"/>
          <w:bCs/>
          <w:lang w:val="fr-FR"/>
        </w:rPr>
        <w:t>’</w:t>
      </w:r>
      <w:r>
        <w:rPr>
          <w:rFonts w:eastAsia="Malgun Gothic"/>
          <w:bCs/>
          <w:lang w:val="fr-FR"/>
        </w:rPr>
        <w:t>écran et a proposé de l</w:t>
      </w:r>
      <w:r w:rsidR="00923E72">
        <w:rPr>
          <w:rFonts w:eastAsia="Malgun Gothic"/>
          <w:bCs/>
          <w:lang w:val="fr-FR"/>
        </w:rPr>
        <w:t>’</w:t>
      </w:r>
      <w:r>
        <w:rPr>
          <w:rFonts w:eastAsia="Malgun Gothic"/>
          <w:bCs/>
          <w:lang w:val="fr-FR"/>
        </w:rPr>
        <w:t xml:space="preserve">adopter </w:t>
      </w:r>
      <w:r w:rsidRPr="00F57EA2">
        <w:rPr>
          <w:rFonts w:eastAsia="Malgun Gothic"/>
          <w:bCs/>
          <w:lang w:val="fr-FR"/>
        </w:rPr>
        <w:t>paragraphe</w:t>
      </w:r>
      <w:r>
        <w:rPr>
          <w:rFonts w:eastAsia="Malgun Gothic"/>
          <w:bCs/>
          <w:lang w:val="fr-FR"/>
        </w:rPr>
        <w:t xml:space="preserve"> par </w:t>
      </w:r>
      <w:r w:rsidRPr="00F57EA2">
        <w:rPr>
          <w:rFonts w:eastAsia="Malgun Gothic"/>
          <w:bCs/>
          <w:lang w:val="fr-FR"/>
        </w:rPr>
        <w:t>paragraphe</w:t>
      </w:r>
      <w:r>
        <w:rPr>
          <w:rFonts w:eastAsia="Malgun Gothic"/>
          <w:bCs/>
          <w:lang w:val="fr-FR"/>
        </w:rPr>
        <w:t xml:space="preserve">. </w:t>
      </w:r>
      <w:r w:rsidRPr="00F57EA2">
        <w:rPr>
          <w:rFonts w:eastAsia="Malgun Gothic"/>
          <w:bCs/>
          <w:lang w:val="fr-FR"/>
        </w:rPr>
        <w:t>En l</w:t>
      </w:r>
      <w:r w:rsidR="00923E72">
        <w:rPr>
          <w:rFonts w:eastAsia="Malgun Gothic"/>
          <w:bCs/>
          <w:lang w:val="fr-FR"/>
        </w:rPr>
        <w:t>’</w:t>
      </w:r>
      <w:r w:rsidRPr="00F57EA2">
        <w:rPr>
          <w:rFonts w:eastAsia="Malgun Gothic"/>
          <w:bCs/>
          <w:lang w:val="fr-FR"/>
        </w:rPr>
        <w:t>absence</w:t>
      </w:r>
      <w:r>
        <w:rPr>
          <w:rFonts w:eastAsia="Malgun Gothic"/>
          <w:bCs/>
          <w:lang w:val="fr-FR"/>
        </w:rPr>
        <w:t xml:space="preserve"> d</w:t>
      </w:r>
      <w:r w:rsidR="00923E72">
        <w:rPr>
          <w:rFonts w:eastAsia="Malgun Gothic"/>
          <w:bCs/>
          <w:lang w:val="fr-FR"/>
        </w:rPr>
        <w:t>’</w:t>
      </w:r>
      <w:r w:rsidRPr="00F57EA2">
        <w:rPr>
          <w:rFonts w:eastAsia="Malgun Gothic"/>
          <w:bCs/>
          <w:lang w:val="fr-FR"/>
        </w:rPr>
        <w:t>amendement</w:t>
      </w:r>
      <w:r>
        <w:rPr>
          <w:rFonts w:eastAsia="Malgun Gothic"/>
          <w:bCs/>
          <w:lang w:val="fr-FR"/>
        </w:rPr>
        <w:t xml:space="preserve"> reçu, les </w:t>
      </w:r>
      <w:r w:rsidRPr="00F57EA2">
        <w:rPr>
          <w:rFonts w:eastAsia="Malgun Gothic"/>
          <w:bCs/>
          <w:lang w:val="fr-FR"/>
        </w:rPr>
        <w:t>paragraphe</w:t>
      </w:r>
      <w:r w:rsidR="00384FFF">
        <w:rPr>
          <w:rFonts w:eastAsia="Malgun Gothic"/>
          <w:bCs/>
          <w:lang w:val="fr-FR"/>
        </w:rPr>
        <w:t>s </w:t>
      </w:r>
      <w:r>
        <w:rPr>
          <w:rFonts w:eastAsia="Malgun Gothic"/>
          <w:bCs/>
          <w:lang w:val="fr-FR"/>
        </w:rPr>
        <w:t>1 et</w:t>
      </w:r>
      <w:r w:rsidR="008F5CA2">
        <w:rPr>
          <w:rFonts w:eastAsia="Malgun Gothic"/>
          <w:bCs/>
          <w:lang w:val="fr-FR"/>
        </w:rPr>
        <w:t> </w:t>
      </w:r>
      <w:r>
        <w:rPr>
          <w:rFonts w:eastAsia="Malgun Gothic"/>
          <w:bCs/>
          <w:lang w:val="fr-FR"/>
        </w:rPr>
        <w:t xml:space="preserve">2 ont </w:t>
      </w:r>
      <w:r w:rsidR="00384FFF">
        <w:rPr>
          <w:rFonts w:eastAsia="Malgun Gothic"/>
          <w:bCs/>
          <w:lang w:val="fr-FR"/>
        </w:rPr>
        <w:t xml:space="preserve">été </w:t>
      </w:r>
      <w:r>
        <w:rPr>
          <w:rFonts w:eastAsia="Malgun Gothic"/>
          <w:bCs/>
          <w:lang w:val="fr-FR"/>
        </w:rPr>
        <w:t>dûment adoptés.</w:t>
      </w:r>
    </w:p>
    <w:p w14:paraId="2D3B0A14" w14:textId="7B62943A" w:rsidR="00F57EA2" w:rsidRDefault="00F57EA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F57EA2">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8D3070">
        <w:rPr>
          <w:rFonts w:eastAsia="Malgun Gothic"/>
          <w:b/>
          <w:lang w:val="fr-FR"/>
        </w:rPr>
        <w:t> </w:t>
      </w:r>
      <w:r w:rsidRPr="00702497">
        <w:rPr>
          <w:rFonts w:eastAsia="Malgun Gothic"/>
          <w:b/>
          <w:lang w:val="fr-FR"/>
        </w:rPr>
        <w:t xml:space="preserve">saoudite </w:t>
      </w:r>
      <w:r>
        <w:rPr>
          <w:rFonts w:eastAsia="Malgun Gothic"/>
          <w:bCs/>
          <w:lang w:val="fr-FR"/>
        </w:rPr>
        <w:t xml:space="preserve">a </w:t>
      </w:r>
      <w:r w:rsidRPr="00F57EA2">
        <w:rPr>
          <w:rFonts w:eastAsia="Malgun Gothic"/>
          <w:bCs/>
          <w:lang w:val="fr-FR"/>
        </w:rPr>
        <w:t>donn</w:t>
      </w:r>
      <w:r>
        <w:rPr>
          <w:rFonts w:eastAsia="Malgun Gothic"/>
          <w:bCs/>
          <w:lang w:val="fr-FR"/>
        </w:rPr>
        <w:t>é</w:t>
      </w:r>
      <w:r w:rsidRPr="00F57EA2">
        <w:rPr>
          <w:rFonts w:eastAsia="Malgun Gothic"/>
          <w:bCs/>
          <w:lang w:val="fr-FR"/>
        </w:rPr>
        <w:t xml:space="preserve"> lecture des coauteurs de son amendement</w:t>
      </w:r>
      <w:r w:rsidR="00384FFF">
        <w:rPr>
          <w:rFonts w:eastAsia="Malgun Gothic"/>
          <w:bCs/>
          <w:lang w:val="fr-FR"/>
        </w:rPr>
        <w:t> </w:t>
      </w:r>
      <w:r w:rsidRPr="00F57EA2">
        <w:rPr>
          <w:rFonts w:eastAsia="Malgun Gothic"/>
          <w:bCs/>
          <w:lang w:val="fr-FR"/>
        </w:rPr>
        <w:t xml:space="preserve">: </w:t>
      </w:r>
      <w:r>
        <w:rPr>
          <w:rFonts w:eastAsia="Malgun Gothic"/>
          <w:bCs/>
          <w:lang w:val="fr-FR"/>
        </w:rPr>
        <w:t>l</w:t>
      </w:r>
      <w:r w:rsidR="00923E72">
        <w:rPr>
          <w:rFonts w:eastAsia="Malgun Gothic"/>
          <w:bCs/>
          <w:lang w:val="fr-FR"/>
        </w:rPr>
        <w:t>’</w:t>
      </w:r>
      <w:r w:rsidRPr="00F57EA2">
        <w:rPr>
          <w:rFonts w:eastAsia="Malgun Gothic"/>
          <w:bCs/>
          <w:lang w:val="fr-FR"/>
        </w:rPr>
        <w:t xml:space="preserve">Allemagne, </w:t>
      </w:r>
      <w:r>
        <w:rPr>
          <w:rFonts w:eastAsia="Malgun Gothic"/>
          <w:bCs/>
          <w:lang w:val="fr-FR"/>
        </w:rPr>
        <w:t>l</w:t>
      </w:r>
      <w:r w:rsidR="00923E72">
        <w:rPr>
          <w:rFonts w:eastAsia="Malgun Gothic"/>
          <w:bCs/>
          <w:lang w:val="fr-FR"/>
        </w:rPr>
        <w:t>’</w:t>
      </w:r>
      <w:r w:rsidRPr="00F57EA2">
        <w:rPr>
          <w:rFonts w:eastAsia="Malgun Gothic"/>
          <w:bCs/>
          <w:lang w:val="fr-FR"/>
        </w:rPr>
        <w:t xml:space="preserve">Angola, </w:t>
      </w:r>
      <w:r>
        <w:rPr>
          <w:rFonts w:eastAsia="Malgun Gothic"/>
          <w:bCs/>
          <w:lang w:val="fr-FR"/>
        </w:rPr>
        <w:t xml:space="preserve">le </w:t>
      </w:r>
      <w:r w:rsidRPr="00F57EA2">
        <w:rPr>
          <w:rFonts w:eastAsia="Malgun Gothic"/>
          <w:bCs/>
          <w:lang w:val="fr-FR"/>
        </w:rPr>
        <w:t xml:space="preserve">Bangladesh, </w:t>
      </w:r>
      <w:r>
        <w:rPr>
          <w:rFonts w:eastAsia="Malgun Gothic"/>
          <w:bCs/>
          <w:lang w:val="fr-FR"/>
        </w:rPr>
        <w:t xml:space="preserve">le </w:t>
      </w:r>
      <w:r w:rsidRPr="00F57EA2">
        <w:rPr>
          <w:rFonts w:eastAsia="Malgun Gothic"/>
          <w:bCs/>
          <w:lang w:val="fr-FR"/>
        </w:rPr>
        <w:t xml:space="preserve">Brésil, </w:t>
      </w:r>
      <w:r>
        <w:rPr>
          <w:rFonts w:eastAsia="Malgun Gothic"/>
          <w:bCs/>
          <w:lang w:val="fr-FR"/>
        </w:rPr>
        <w:t xml:space="preserve">la </w:t>
      </w:r>
      <w:r w:rsidRPr="00F57EA2">
        <w:rPr>
          <w:rFonts w:eastAsia="Malgun Gothic"/>
          <w:bCs/>
          <w:lang w:val="fr-FR"/>
        </w:rPr>
        <w:t>Côte</w:t>
      </w:r>
      <w:r w:rsidR="00384FFF">
        <w:rPr>
          <w:rFonts w:eastAsia="Malgun Gothic"/>
          <w:bCs/>
          <w:lang w:val="fr-FR"/>
        </w:rPr>
        <w:t> </w:t>
      </w:r>
      <w:r w:rsidRPr="00F57EA2">
        <w:rPr>
          <w:rFonts w:eastAsia="Malgun Gothic"/>
          <w:bCs/>
          <w:lang w:val="fr-FR"/>
        </w:rPr>
        <w:t>d</w:t>
      </w:r>
      <w:r w:rsidR="00923E72">
        <w:rPr>
          <w:rFonts w:eastAsia="Malgun Gothic"/>
          <w:bCs/>
          <w:lang w:val="fr-FR"/>
        </w:rPr>
        <w:t>’</w:t>
      </w:r>
      <w:r w:rsidRPr="00F57EA2">
        <w:rPr>
          <w:rFonts w:eastAsia="Malgun Gothic"/>
          <w:bCs/>
          <w:lang w:val="fr-FR"/>
        </w:rPr>
        <w:t xml:space="preserve">Ivoire, </w:t>
      </w:r>
      <w:r>
        <w:rPr>
          <w:rFonts w:eastAsia="Malgun Gothic"/>
          <w:bCs/>
          <w:lang w:val="fr-FR"/>
        </w:rPr>
        <w:t xml:space="preserve">la </w:t>
      </w:r>
      <w:r w:rsidRPr="00F57EA2">
        <w:rPr>
          <w:rFonts w:eastAsia="Malgun Gothic"/>
          <w:bCs/>
          <w:lang w:val="fr-FR"/>
        </w:rPr>
        <w:t xml:space="preserve">Tchéquie, </w:t>
      </w:r>
      <w:r>
        <w:rPr>
          <w:rFonts w:eastAsia="Malgun Gothic"/>
          <w:bCs/>
          <w:lang w:val="fr-FR"/>
        </w:rPr>
        <w:t>l</w:t>
      </w:r>
      <w:r w:rsidR="00923E72">
        <w:rPr>
          <w:rFonts w:eastAsia="Malgun Gothic"/>
          <w:bCs/>
          <w:lang w:val="fr-FR"/>
        </w:rPr>
        <w:t>’</w:t>
      </w:r>
      <w:r w:rsidRPr="00F57EA2">
        <w:rPr>
          <w:rFonts w:eastAsia="Malgun Gothic"/>
          <w:bCs/>
          <w:lang w:val="fr-FR"/>
        </w:rPr>
        <w:t xml:space="preserve">Éthiopie, </w:t>
      </w:r>
      <w:r>
        <w:rPr>
          <w:rFonts w:eastAsia="Malgun Gothic"/>
          <w:bCs/>
          <w:lang w:val="fr-FR"/>
        </w:rPr>
        <w:t>l</w:t>
      </w:r>
      <w:r w:rsidR="00923E72">
        <w:rPr>
          <w:rFonts w:eastAsia="Malgun Gothic"/>
          <w:bCs/>
          <w:lang w:val="fr-FR"/>
        </w:rPr>
        <w:t>’</w:t>
      </w:r>
      <w:r w:rsidRPr="00F57EA2">
        <w:rPr>
          <w:rFonts w:eastAsia="Malgun Gothic"/>
          <w:bCs/>
          <w:lang w:val="fr-FR"/>
        </w:rPr>
        <w:t xml:space="preserve">Inde, </w:t>
      </w:r>
      <w:r>
        <w:rPr>
          <w:rFonts w:eastAsia="Malgun Gothic"/>
          <w:bCs/>
          <w:lang w:val="fr-FR"/>
        </w:rPr>
        <w:t xml:space="preserve">la </w:t>
      </w:r>
      <w:r w:rsidRPr="00F57EA2">
        <w:rPr>
          <w:rFonts w:eastAsia="Malgun Gothic"/>
          <w:bCs/>
          <w:lang w:val="fr-FR"/>
        </w:rPr>
        <w:t xml:space="preserve">Malaisie, </w:t>
      </w:r>
      <w:r>
        <w:rPr>
          <w:rFonts w:eastAsia="Malgun Gothic"/>
          <w:bCs/>
          <w:lang w:val="fr-FR"/>
        </w:rPr>
        <w:t xml:space="preserve">le </w:t>
      </w:r>
      <w:r w:rsidRPr="00F57EA2">
        <w:rPr>
          <w:rFonts w:eastAsia="Malgun Gothic"/>
          <w:bCs/>
          <w:lang w:val="fr-FR"/>
        </w:rPr>
        <w:t xml:space="preserve">Maroc, </w:t>
      </w:r>
      <w:r>
        <w:rPr>
          <w:rFonts w:eastAsia="Malgun Gothic"/>
          <w:bCs/>
          <w:lang w:val="fr-FR"/>
        </w:rPr>
        <w:t xml:space="preserve">la </w:t>
      </w:r>
      <w:r w:rsidRPr="00F57EA2">
        <w:rPr>
          <w:rFonts w:eastAsia="Malgun Gothic"/>
          <w:bCs/>
          <w:lang w:val="fr-FR"/>
        </w:rPr>
        <w:t xml:space="preserve">Mauritanie, </w:t>
      </w:r>
      <w:r>
        <w:rPr>
          <w:rFonts w:eastAsia="Malgun Gothic"/>
          <w:bCs/>
          <w:lang w:val="fr-FR"/>
        </w:rPr>
        <w:t xml:space="preserve">le </w:t>
      </w:r>
      <w:r w:rsidRPr="00F57EA2">
        <w:rPr>
          <w:rFonts w:eastAsia="Malgun Gothic"/>
          <w:bCs/>
          <w:lang w:val="fr-FR"/>
        </w:rPr>
        <w:t xml:space="preserve">Paraguay, </w:t>
      </w:r>
      <w:r>
        <w:rPr>
          <w:rFonts w:eastAsia="Malgun Gothic"/>
          <w:bCs/>
          <w:lang w:val="fr-FR"/>
        </w:rPr>
        <w:t xml:space="preserve">le </w:t>
      </w:r>
      <w:r w:rsidRPr="00F57EA2">
        <w:rPr>
          <w:rFonts w:eastAsia="Malgun Gothic"/>
          <w:bCs/>
          <w:lang w:val="fr-FR"/>
        </w:rPr>
        <w:t xml:space="preserve">Pérou, </w:t>
      </w:r>
      <w:r>
        <w:rPr>
          <w:rFonts w:eastAsia="Malgun Gothic"/>
          <w:bCs/>
          <w:lang w:val="fr-FR"/>
        </w:rPr>
        <w:t xml:space="preserve">la </w:t>
      </w:r>
      <w:r w:rsidRPr="00F57EA2">
        <w:rPr>
          <w:rFonts w:eastAsia="Malgun Gothic"/>
          <w:bCs/>
          <w:lang w:val="fr-FR"/>
        </w:rPr>
        <w:t xml:space="preserve">République de Corée, </w:t>
      </w:r>
      <w:r>
        <w:rPr>
          <w:rFonts w:eastAsia="Malgun Gothic"/>
          <w:bCs/>
          <w:lang w:val="fr-FR"/>
        </w:rPr>
        <w:t xml:space="preserve">le </w:t>
      </w:r>
      <w:r w:rsidRPr="00F57EA2">
        <w:rPr>
          <w:rFonts w:eastAsia="Malgun Gothic"/>
          <w:bCs/>
          <w:lang w:val="fr-FR"/>
        </w:rPr>
        <w:t xml:space="preserve">Rwanda, </w:t>
      </w:r>
      <w:r>
        <w:rPr>
          <w:rFonts w:eastAsia="Malgun Gothic"/>
          <w:bCs/>
          <w:lang w:val="fr-FR"/>
        </w:rPr>
        <w:t xml:space="preserve">la </w:t>
      </w:r>
      <w:r w:rsidRPr="00F57EA2">
        <w:rPr>
          <w:rFonts w:eastAsia="Malgun Gothic"/>
          <w:bCs/>
          <w:lang w:val="fr-FR"/>
        </w:rPr>
        <w:t xml:space="preserve">Slovaquie, </w:t>
      </w:r>
      <w:r>
        <w:rPr>
          <w:rFonts w:eastAsia="Malgun Gothic"/>
          <w:bCs/>
          <w:lang w:val="fr-FR"/>
        </w:rPr>
        <w:t>l</w:t>
      </w:r>
      <w:r w:rsidR="00923E72">
        <w:rPr>
          <w:rFonts w:eastAsia="Malgun Gothic"/>
          <w:bCs/>
          <w:lang w:val="fr-FR"/>
        </w:rPr>
        <w:t>’</w:t>
      </w:r>
      <w:r w:rsidRPr="00F57EA2">
        <w:rPr>
          <w:rFonts w:eastAsia="Malgun Gothic"/>
          <w:bCs/>
          <w:lang w:val="fr-FR"/>
        </w:rPr>
        <w:t xml:space="preserve">Ouzbékistan et </w:t>
      </w:r>
      <w:r>
        <w:rPr>
          <w:rFonts w:eastAsia="Malgun Gothic"/>
          <w:bCs/>
          <w:lang w:val="fr-FR"/>
        </w:rPr>
        <w:t xml:space="preserve">le </w:t>
      </w:r>
      <w:r w:rsidRPr="00F57EA2">
        <w:rPr>
          <w:rFonts w:eastAsia="Malgun Gothic"/>
          <w:bCs/>
          <w:lang w:val="fr-FR"/>
        </w:rPr>
        <w:t>Viet</w:t>
      </w:r>
      <w:r>
        <w:rPr>
          <w:rFonts w:eastAsia="Malgun Gothic"/>
          <w:bCs/>
          <w:lang w:val="fr-FR"/>
        </w:rPr>
        <w:t> </w:t>
      </w:r>
      <w:r w:rsidRPr="00F57EA2">
        <w:rPr>
          <w:rFonts w:eastAsia="Malgun Gothic"/>
          <w:bCs/>
          <w:lang w:val="fr-FR"/>
        </w:rPr>
        <w:t>Nam.</w:t>
      </w:r>
    </w:p>
    <w:p w14:paraId="1A29263C" w14:textId="0FDD78A6" w:rsidR="00F57EA2" w:rsidRPr="00702497" w:rsidRDefault="00F57EA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Les </w:t>
      </w:r>
      <w:r w:rsidRPr="00F57EA2">
        <w:rPr>
          <w:rFonts w:eastAsia="Malgun Gothic"/>
          <w:bCs/>
          <w:lang w:val="fr-FR"/>
        </w:rPr>
        <w:t>délégatio</w:t>
      </w:r>
      <w:r>
        <w:rPr>
          <w:rFonts w:eastAsia="Malgun Gothic"/>
          <w:bCs/>
          <w:lang w:val="fr-FR"/>
        </w:rPr>
        <w:t xml:space="preserve">ns du </w:t>
      </w:r>
      <w:r w:rsidRPr="00702497">
        <w:rPr>
          <w:rFonts w:eastAsia="Malgun Gothic"/>
          <w:b/>
          <w:lang w:val="fr-FR"/>
        </w:rPr>
        <w:t>Botswana</w:t>
      </w:r>
      <w:r>
        <w:rPr>
          <w:rFonts w:eastAsia="Malgun Gothic"/>
          <w:bCs/>
          <w:lang w:val="fr-FR"/>
        </w:rPr>
        <w:t xml:space="preserve"> et du </w:t>
      </w:r>
      <w:r w:rsidRPr="00702497">
        <w:rPr>
          <w:rFonts w:eastAsia="Malgun Gothic"/>
          <w:b/>
          <w:lang w:val="fr-FR"/>
        </w:rPr>
        <w:t>Burkina Faso</w:t>
      </w:r>
      <w:r>
        <w:rPr>
          <w:rFonts w:eastAsia="Malgun Gothic"/>
          <w:bCs/>
          <w:lang w:val="fr-FR"/>
        </w:rPr>
        <w:t xml:space="preserve"> souhaitaient </w:t>
      </w:r>
      <w:r w:rsidRPr="00F57EA2">
        <w:rPr>
          <w:rFonts w:eastAsia="Malgun Gothic"/>
          <w:bCs/>
          <w:color w:val="000000" w:themeColor="text1"/>
          <w:lang w:val="fr-FR"/>
        </w:rPr>
        <w:t>également</w:t>
      </w:r>
      <w:r>
        <w:rPr>
          <w:rFonts w:eastAsia="Malgun Gothic"/>
          <w:bCs/>
          <w:color w:val="000000" w:themeColor="text1"/>
          <w:lang w:val="fr-FR"/>
        </w:rPr>
        <w:t xml:space="preserve"> se porter coauteurs de l</w:t>
      </w:r>
      <w:r w:rsidR="00923E72">
        <w:rPr>
          <w:rFonts w:eastAsia="Malgun Gothic"/>
          <w:bCs/>
          <w:color w:val="000000" w:themeColor="text1"/>
          <w:lang w:val="fr-FR"/>
        </w:rPr>
        <w:t>’</w:t>
      </w:r>
      <w:r w:rsidRPr="00F57EA2">
        <w:rPr>
          <w:rFonts w:eastAsia="Malgun Gothic"/>
          <w:bCs/>
          <w:color w:val="000000" w:themeColor="text1"/>
          <w:lang w:val="fr-FR"/>
        </w:rPr>
        <w:t>amendement</w:t>
      </w:r>
      <w:r>
        <w:rPr>
          <w:rFonts w:eastAsia="Malgun Gothic"/>
          <w:bCs/>
          <w:color w:val="000000" w:themeColor="text1"/>
          <w:lang w:val="fr-FR"/>
        </w:rPr>
        <w:t>.</w:t>
      </w:r>
    </w:p>
    <w:p w14:paraId="5D2F143F" w14:textId="650EB199" w:rsidR="00F57EA2" w:rsidRDefault="009F3B3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F3B3F">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9F3B3F">
        <w:rPr>
          <w:rFonts w:eastAsia="Malgun Gothic"/>
          <w:bCs/>
          <w:lang w:val="fr-FR"/>
        </w:rPr>
        <w:t xml:space="preserve"> a fait part de son grand plaisir à examiner le dossier de l</w:t>
      </w:r>
      <w:r w:rsidR="00923E72">
        <w:rPr>
          <w:rFonts w:eastAsia="Malgun Gothic"/>
          <w:bCs/>
          <w:lang w:val="fr-FR"/>
        </w:rPr>
        <w:t>’</w:t>
      </w:r>
      <w:r w:rsidRPr="009F3B3F">
        <w:rPr>
          <w:rFonts w:eastAsia="Malgun Gothic"/>
          <w:bCs/>
          <w:lang w:val="fr-FR"/>
        </w:rPr>
        <w:t>Égypte, ancienne terre des pharaons et des pyramides. Après avoir examiné le dossier et reçu des éclaircissements de la délégation égyptienne concernant le critère</w:t>
      </w:r>
      <w:r w:rsidR="004D113D">
        <w:rPr>
          <w:rFonts w:eastAsia="Malgun Gothic"/>
          <w:bCs/>
          <w:lang w:val="fr-FR"/>
        </w:rPr>
        <w:t> </w:t>
      </w:r>
      <w:r w:rsidRPr="009F3B3F">
        <w:rPr>
          <w:rFonts w:eastAsia="Malgun Gothic"/>
          <w:bCs/>
          <w:lang w:val="fr-FR"/>
        </w:rPr>
        <w:t>R.3, elle estimait que les mesures de sauvegarde proposées dans le dossier garantissaient la transmission, la sauvegarde et la promotion de l</w:t>
      </w:r>
      <w:r w:rsidR="00923E72">
        <w:rPr>
          <w:rFonts w:eastAsia="Malgun Gothic"/>
          <w:bCs/>
          <w:lang w:val="fr-FR"/>
        </w:rPr>
        <w:t>’</w:t>
      </w:r>
      <w:r w:rsidRPr="009F3B3F">
        <w:rPr>
          <w:rFonts w:eastAsia="Malgun Gothic"/>
          <w:bCs/>
          <w:lang w:val="fr-FR"/>
        </w:rPr>
        <w:t>élément. Toutefois, la délégation a invité l</w:t>
      </w:r>
      <w:r w:rsidR="00923E72">
        <w:rPr>
          <w:rFonts w:eastAsia="Malgun Gothic"/>
          <w:bCs/>
          <w:lang w:val="fr-FR"/>
        </w:rPr>
        <w:t>’</w:t>
      </w:r>
      <w:r w:rsidRPr="009F3B3F">
        <w:rPr>
          <w:rFonts w:eastAsia="Malgun Gothic"/>
          <w:bCs/>
          <w:lang w:val="fr-FR"/>
        </w:rPr>
        <w:t>État partie à préciser de quelle façon le développement d</w:t>
      </w:r>
      <w:r w:rsidR="004D113D">
        <w:rPr>
          <w:rFonts w:eastAsia="Malgun Gothic"/>
          <w:bCs/>
          <w:lang w:val="fr-FR"/>
        </w:rPr>
        <w:t xml:space="preserve">es </w:t>
      </w:r>
      <w:r w:rsidRPr="009F3B3F">
        <w:rPr>
          <w:rFonts w:eastAsia="Malgun Gothic"/>
          <w:bCs/>
          <w:lang w:val="fr-FR"/>
        </w:rPr>
        <w:t>infrastructure</w:t>
      </w:r>
      <w:r w:rsidR="004D113D">
        <w:rPr>
          <w:rFonts w:eastAsia="Malgun Gothic"/>
          <w:bCs/>
          <w:lang w:val="fr-FR"/>
        </w:rPr>
        <w:t>s</w:t>
      </w:r>
      <w:r w:rsidRPr="009F3B3F">
        <w:rPr>
          <w:rFonts w:eastAsia="Malgun Gothic"/>
          <w:bCs/>
          <w:lang w:val="fr-FR"/>
        </w:rPr>
        <w:t xml:space="preserve"> des </w:t>
      </w:r>
      <w:r w:rsidR="004D113D">
        <w:rPr>
          <w:rFonts w:eastAsia="Malgun Gothic"/>
          <w:bCs/>
          <w:lang w:val="fr-FR"/>
        </w:rPr>
        <w:t>sites</w:t>
      </w:r>
      <w:r w:rsidRPr="009F3B3F">
        <w:rPr>
          <w:rFonts w:eastAsia="Malgun Gothic"/>
          <w:bCs/>
          <w:lang w:val="fr-FR"/>
        </w:rPr>
        <w:t xml:space="preserve"> de célébration, prévu dans les mesures de sauvegarde proposées, permettrait de sauvegarder l</w:t>
      </w:r>
      <w:r w:rsidR="00923E72">
        <w:rPr>
          <w:rFonts w:eastAsia="Malgun Gothic"/>
          <w:bCs/>
          <w:lang w:val="fr-FR"/>
        </w:rPr>
        <w:t>’</w:t>
      </w:r>
      <w:r w:rsidRPr="009F3B3F">
        <w:rPr>
          <w:rFonts w:eastAsia="Malgun Gothic"/>
          <w:bCs/>
          <w:lang w:val="fr-FR"/>
        </w:rPr>
        <w:t>élément et ne conduirait pas à sa commercialisation excessive.</w:t>
      </w:r>
    </w:p>
    <w:p w14:paraId="37E5EF4C" w14:textId="05C82407" w:rsidR="004D113D" w:rsidRDefault="004D113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D113D">
        <w:rPr>
          <w:rFonts w:eastAsia="Malgun Gothic"/>
          <w:bCs/>
          <w:lang w:val="fr-FR"/>
        </w:rPr>
        <w:t>La délégation de l</w:t>
      </w:r>
      <w:r w:rsidR="00923E72">
        <w:rPr>
          <w:rFonts w:eastAsia="Malgun Gothic"/>
          <w:bCs/>
          <w:lang w:val="fr-FR"/>
        </w:rPr>
        <w:t>’</w:t>
      </w:r>
      <w:r w:rsidRPr="00702497">
        <w:rPr>
          <w:rFonts w:eastAsia="Malgun Gothic"/>
          <w:b/>
          <w:lang w:val="fr-FR"/>
        </w:rPr>
        <w:t>Égypte</w:t>
      </w:r>
      <w:r w:rsidRPr="004D113D">
        <w:rPr>
          <w:rFonts w:eastAsia="Malgun Gothic"/>
          <w:bCs/>
          <w:lang w:val="fr-FR"/>
        </w:rPr>
        <w:t xml:space="preserve"> a remercié l</w:t>
      </w:r>
      <w:r w:rsidR="00923E72">
        <w:rPr>
          <w:rFonts w:eastAsia="Malgun Gothic"/>
          <w:bCs/>
          <w:lang w:val="fr-FR"/>
        </w:rPr>
        <w:t>’</w:t>
      </w:r>
      <w:r w:rsidRPr="004D113D">
        <w:rPr>
          <w:rFonts w:eastAsia="Malgun Gothic"/>
          <w:bCs/>
          <w:lang w:val="fr-FR"/>
        </w:rPr>
        <w:t>Inde pour sa question et l</w:t>
      </w:r>
      <w:r w:rsidR="00923E72">
        <w:rPr>
          <w:rFonts w:eastAsia="Malgun Gothic"/>
          <w:bCs/>
          <w:lang w:val="fr-FR"/>
        </w:rPr>
        <w:t>’</w:t>
      </w:r>
      <w:r w:rsidRPr="004D113D">
        <w:rPr>
          <w:rFonts w:eastAsia="Malgun Gothic"/>
          <w:bCs/>
          <w:lang w:val="fr-FR"/>
        </w:rPr>
        <w:t>Organe d</w:t>
      </w:r>
      <w:r w:rsidR="00923E72">
        <w:rPr>
          <w:rFonts w:eastAsia="Malgun Gothic"/>
          <w:bCs/>
          <w:lang w:val="fr-FR"/>
        </w:rPr>
        <w:t>’</w:t>
      </w:r>
      <w:r w:rsidRPr="004D113D">
        <w:rPr>
          <w:rFonts w:eastAsia="Malgun Gothic"/>
          <w:bCs/>
          <w:lang w:val="fr-FR"/>
        </w:rPr>
        <w:t>évaluation pour les efforts qu</w:t>
      </w:r>
      <w:r w:rsidR="00923E72">
        <w:rPr>
          <w:rFonts w:eastAsia="Malgun Gothic"/>
          <w:bCs/>
          <w:lang w:val="fr-FR"/>
        </w:rPr>
        <w:t>’</w:t>
      </w:r>
      <w:r w:rsidRPr="004D113D">
        <w:rPr>
          <w:rFonts w:eastAsia="Malgun Gothic"/>
          <w:bCs/>
          <w:lang w:val="fr-FR"/>
        </w:rPr>
        <w:t xml:space="preserve">il avait déployés </w:t>
      </w:r>
      <w:r w:rsidR="00384FFF">
        <w:rPr>
          <w:rFonts w:eastAsia="Malgun Gothic"/>
          <w:bCs/>
          <w:lang w:val="fr-FR"/>
        </w:rPr>
        <w:t>afin d</w:t>
      </w:r>
      <w:r w:rsidR="00923E72">
        <w:rPr>
          <w:rFonts w:eastAsia="Malgun Gothic"/>
          <w:bCs/>
          <w:lang w:val="fr-FR"/>
        </w:rPr>
        <w:t>’</w:t>
      </w:r>
      <w:r w:rsidRPr="004D113D">
        <w:rPr>
          <w:rFonts w:eastAsia="Malgun Gothic"/>
          <w:bCs/>
          <w:lang w:val="fr-FR"/>
        </w:rPr>
        <w:t>examiner le dossier de candidature ainsi que le Comité</w:t>
      </w:r>
      <w:r w:rsidR="00E14854">
        <w:rPr>
          <w:rFonts w:eastAsia="Malgun Gothic"/>
          <w:bCs/>
          <w:lang w:val="fr-FR"/>
        </w:rPr>
        <w:t>,</w:t>
      </w:r>
      <w:r w:rsidRPr="004D113D">
        <w:rPr>
          <w:rFonts w:eastAsia="Malgun Gothic"/>
          <w:bCs/>
          <w:lang w:val="fr-FR"/>
        </w:rPr>
        <w:t xml:space="preserve"> </w:t>
      </w:r>
      <w:r w:rsidR="005A6A08">
        <w:rPr>
          <w:rFonts w:eastAsia="Malgun Gothic"/>
          <w:bCs/>
          <w:lang w:val="fr-FR"/>
        </w:rPr>
        <w:t>qui donnait</w:t>
      </w:r>
      <w:r w:rsidRPr="004D113D">
        <w:rPr>
          <w:rFonts w:eastAsia="Malgun Gothic"/>
          <w:bCs/>
          <w:lang w:val="fr-FR"/>
        </w:rPr>
        <w:t xml:space="preserve"> à l</w:t>
      </w:r>
      <w:r w:rsidR="00923E72">
        <w:rPr>
          <w:rFonts w:eastAsia="Malgun Gothic"/>
          <w:bCs/>
          <w:lang w:val="fr-FR"/>
        </w:rPr>
        <w:t>’</w:t>
      </w:r>
      <w:r w:rsidRPr="004D113D">
        <w:rPr>
          <w:rFonts w:eastAsia="Malgun Gothic"/>
          <w:bCs/>
          <w:lang w:val="fr-FR"/>
        </w:rPr>
        <w:t>Égypte l</w:t>
      </w:r>
      <w:r w:rsidR="00923E72">
        <w:rPr>
          <w:rFonts w:eastAsia="Malgun Gothic"/>
          <w:bCs/>
          <w:lang w:val="fr-FR"/>
        </w:rPr>
        <w:t>’</w:t>
      </w:r>
      <w:r w:rsidRPr="004D113D">
        <w:rPr>
          <w:rFonts w:eastAsia="Malgun Gothic"/>
          <w:bCs/>
          <w:lang w:val="fr-FR"/>
        </w:rPr>
        <w:t>occasion de clarifier la participation de la communauté à la conception et à la mise en œuvre du plan de sauvegarde de l</w:t>
      </w:r>
      <w:r w:rsidR="00923E72">
        <w:rPr>
          <w:rFonts w:eastAsia="Malgun Gothic"/>
          <w:bCs/>
          <w:lang w:val="fr-FR"/>
        </w:rPr>
        <w:t>’</w:t>
      </w:r>
      <w:r w:rsidRPr="004D113D">
        <w:rPr>
          <w:rFonts w:eastAsia="Malgun Gothic"/>
          <w:bCs/>
          <w:lang w:val="fr-FR"/>
        </w:rPr>
        <w:t>élément. La plupart des onze mesures de sauvegarde figurant dans le dossier de candidature avaient été recommandées par les communautés de praticiens et de détenteurs de l</w:t>
      </w:r>
      <w:r w:rsidR="00923E72">
        <w:rPr>
          <w:rFonts w:eastAsia="Malgun Gothic"/>
          <w:bCs/>
          <w:lang w:val="fr-FR"/>
        </w:rPr>
        <w:t>’</w:t>
      </w:r>
      <w:r w:rsidRPr="004D113D">
        <w:rPr>
          <w:rFonts w:eastAsia="Malgun Gothic"/>
          <w:bCs/>
          <w:lang w:val="fr-FR"/>
        </w:rPr>
        <w:t>élément. Le développement d</w:t>
      </w:r>
      <w:r w:rsidR="00923E72">
        <w:rPr>
          <w:rFonts w:eastAsia="Malgun Gothic"/>
          <w:bCs/>
          <w:lang w:val="fr-FR"/>
        </w:rPr>
        <w:t>’</w:t>
      </w:r>
      <w:r w:rsidRPr="004D113D">
        <w:rPr>
          <w:rFonts w:eastAsia="Malgun Gothic"/>
          <w:bCs/>
          <w:lang w:val="fr-FR"/>
        </w:rPr>
        <w:t xml:space="preserve">infrastructures et de services essentiels sur les sites des festivités associées au voyage de la Sainte Famille en </w:t>
      </w:r>
      <w:r w:rsidR="005A6A08">
        <w:rPr>
          <w:rFonts w:eastAsia="Malgun Gothic"/>
          <w:bCs/>
          <w:lang w:val="fr-FR"/>
        </w:rPr>
        <w:t>É</w:t>
      </w:r>
      <w:r w:rsidRPr="004D113D">
        <w:rPr>
          <w:rFonts w:eastAsia="Malgun Gothic"/>
          <w:bCs/>
          <w:lang w:val="fr-FR"/>
        </w:rPr>
        <w:t>gypte contribuait à la sauvegarde de l</w:t>
      </w:r>
      <w:r w:rsidR="00923E72">
        <w:rPr>
          <w:rFonts w:eastAsia="Malgun Gothic"/>
          <w:bCs/>
          <w:lang w:val="fr-FR"/>
        </w:rPr>
        <w:t>’</w:t>
      </w:r>
      <w:r w:rsidRPr="004D113D">
        <w:rPr>
          <w:rFonts w:eastAsia="Malgun Gothic"/>
          <w:bCs/>
          <w:lang w:val="fr-FR"/>
        </w:rPr>
        <w:t>élément. Ces mesures prévoyaient notamment la fourniture d</w:t>
      </w:r>
      <w:r w:rsidR="00923E72">
        <w:rPr>
          <w:rFonts w:eastAsia="Malgun Gothic"/>
          <w:bCs/>
          <w:lang w:val="fr-FR"/>
        </w:rPr>
        <w:t>’</w:t>
      </w:r>
      <w:r w:rsidRPr="004D113D">
        <w:rPr>
          <w:rFonts w:eastAsia="Malgun Gothic"/>
          <w:bCs/>
          <w:lang w:val="fr-FR"/>
        </w:rPr>
        <w:t>eau potable et de nourriture, permettant aux participants de pratiquer l</w:t>
      </w:r>
      <w:r w:rsidR="00923E72">
        <w:rPr>
          <w:rFonts w:eastAsia="Malgun Gothic"/>
          <w:bCs/>
          <w:lang w:val="fr-FR"/>
        </w:rPr>
        <w:t>’</w:t>
      </w:r>
      <w:r w:rsidRPr="004D113D">
        <w:rPr>
          <w:rFonts w:eastAsia="Malgun Gothic"/>
          <w:bCs/>
          <w:lang w:val="fr-FR"/>
        </w:rPr>
        <w:t>élément dans un environnement sûr, adapté et sécurisé</w:t>
      </w:r>
      <w:r w:rsidR="005A6A08">
        <w:rPr>
          <w:rFonts w:eastAsia="Malgun Gothic"/>
          <w:bCs/>
          <w:lang w:val="fr-FR"/>
        </w:rPr>
        <w:t>,</w:t>
      </w:r>
      <w:r w:rsidRPr="004D113D">
        <w:rPr>
          <w:rFonts w:eastAsia="Malgun Gothic"/>
          <w:bCs/>
          <w:lang w:val="fr-FR"/>
        </w:rPr>
        <w:t xml:space="preserve"> sans entrave, compte tenu du nombre croissant de praticiens et de l</w:t>
      </w:r>
      <w:r w:rsidR="00923E72">
        <w:rPr>
          <w:rFonts w:eastAsia="Malgun Gothic"/>
          <w:bCs/>
          <w:lang w:val="fr-FR"/>
        </w:rPr>
        <w:t>’</w:t>
      </w:r>
      <w:r w:rsidRPr="004D113D">
        <w:rPr>
          <w:rFonts w:eastAsia="Malgun Gothic"/>
          <w:bCs/>
          <w:lang w:val="fr-FR"/>
        </w:rPr>
        <w:t>engagement de l</w:t>
      </w:r>
      <w:r w:rsidR="00923E72">
        <w:rPr>
          <w:rFonts w:eastAsia="Malgun Gothic"/>
          <w:bCs/>
          <w:lang w:val="fr-FR"/>
        </w:rPr>
        <w:t>’</w:t>
      </w:r>
      <w:r w:rsidRPr="004D113D">
        <w:rPr>
          <w:rFonts w:eastAsia="Malgun Gothic"/>
          <w:bCs/>
          <w:lang w:val="fr-FR"/>
        </w:rPr>
        <w:t>Égypte à garantir leur sécurité et leur bien-être. Par ailleurs, la vente d</w:t>
      </w:r>
      <w:r w:rsidR="00923E72">
        <w:rPr>
          <w:rFonts w:eastAsia="Malgun Gothic"/>
          <w:bCs/>
          <w:lang w:val="fr-FR"/>
        </w:rPr>
        <w:t>’</w:t>
      </w:r>
      <w:r w:rsidRPr="004D113D">
        <w:rPr>
          <w:rFonts w:eastAsia="Malgun Gothic"/>
          <w:bCs/>
          <w:lang w:val="fr-FR"/>
        </w:rPr>
        <w:t>objets en guise de souvenirs était considérée par les praticiens comme une bénédiction de la Vierge Marie, à rapporter chez eux comme une</w:t>
      </w:r>
      <w:r w:rsidR="005A6A08">
        <w:rPr>
          <w:rFonts w:eastAsia="Malgun Gothic"/>
          <w:bCs/>
          <w:lang w:val="fr-FR"/>
        </w:rPr>
        <w:t xml:space="preserve"> aubaine</w:t>
      </w:r>
      <w:r w:rsidRPr="004D113D">
        <w:rPr>
          <w:rFonts w:eastAsia="Malgun Gothic"/>
          <w:bCs/>
          <w:lang w:val="fr-FR"/>
        </w:rPr>
        <w:t>. Ces mesures n</w:t>
      </w:r>
      <w:r w:rsidR="00923E72">
        <w:rPr>
          <w:rFonts w:eastAsia="Malgun Gothic"/>
          <w:bCs/>
          <w:lang w:val="fr-FR"/>
        </w:rPr>
        <w:t>’</w:t>
      </w:r>
      <w:r w:rsidRPr="004D113D">
        <w:rPr>
          <w:rFonts w:eastAsia="Malgun Gothic"/>
          <w:bCs/>
          <w:lang w:val="fr-FR"/>
        </w:rPr>
        <w:t>impliquaient pas une commercialisation excessive. Elles contribuaient en fait à atteindre les objectifs de la Convention et de ses Directives opérationnelles, en particulier</w:t>
      </w:r>
      <w:r w:rsidR="00E14854">
        <w:rPr>
          <w:rFonts w:eastAsia="Malgun Gothic"/>
          <w:bCs/>
          <w:lang w:val="fr-FR"/>
        </w:rPr>
        <w:t>,</w:t>
      </w:r>
      <w:r w:rsidRPr="004D113D">
        <w:rPr>
          <w:rFonts w:eastAsia="Malgun Gothic"/>
          <w:bCs/>
          <w:lang w:val="fr-FR"/>
        </w:rPr>
        <w:t xml:space="preserve"> le paragraphe</w:t>
      </w:r>
      <w:r w:rsidR="00384FFF">
        <w:rPr>
          <w:rFonts w:eastAsia="Malgun Gothic"/>
          <w:bCs/>
          <w:lang w:val="fr-FR"/>
        </w:rPr>
        <w:t> </w:t>
      </w:r>
      <w:r w:rsidRPr="004D113D">
        <w:rPr>
          <w:rFonts w:eastAsia="Malgun Gothic"/>
          <w:bCs/>
          <w:lang w:val="fr-FR"/>
        </w:rPr>
        <w:t>183</w:t>
      </w:r>
      <w:r w:rsidR="005A6A08">
        <w:rPr>
          <w:rFonts w:eastAsia="Malgun Gothic"/>
          <w:bCs/>
          <w:lang w:val="fr-FR"/>
        </w:rPr>
        <w:t>,</w:t>
      </w:r>
      <w:r w:rsidRPr="004D113D">
        <w:rPr>
          <w:rFonts w:eastAsia="Malgun Gothic"/>
          <w:bCs/>
          <w:lang w:val="fr-FR"/>
        </w:rPr>
        <w:t xml:space="preserve"> </w:t>
      </w:r>
      <w:r w:rsidR="00E14854">
        <w:rPr>
          <w:rFonts w:eastAsia="Malgun Gothic"/>
          <w:bCs/>
          <w:lang w:val="fr-FR"/>
        </w:rPr>
        <w:t xml:space="preserve">au chapitre 6 </w:t>
      </w:r>
      <w:r w:rsidRPr="004D113D">
        <w:rPr>
          <w:rFonts w:eastAsia="Malgun Gothic"/>
          <w:bCs/>
          <w:lang w:val="fr-FR"/>
        </w:rPr>
        <w:t>des Directives opérationnelles</w:t>
      </w:r>
      <w:r w:rsidR="00E14854">
        <w:rPr>
          <w:rFonts w:eastAsia="Malgun Gothic"/>
          <w:bCs/>
          <w:lang w:val="fr-FR"/>
        </w:rPr>
        <w:t>,</w:t>
      </w:r>
      <w:r w:rsidRPr="004D113D">
        <w:rPr>
          <w:rFonts w:eastAsia="Malgun Gothic"/>
          <w:bCs/>
          <w:lang w:val="fr-FR"/>
        </w:rPr>
        <w:t xml:space="preserve"> qui encourage les États parties à reconnaître que la sauvegarde du patrimoine culturel immatériel contribue au développement économique durable et inclusif, ainsi que le paragraphe</w:t>
      </w:r>
      <w:r w:rsidR="00384FFF">
        <w:rPr>
          <w:rFonts w:eastAsia="Malgun Gothic"/>
          <w:bCs/>
          <w:lang w:val="fr-FR"/>
        </w:rPr>
        <w:t> </w:t>
      </w:r>
      <w:r w:rsidRPr="004D113D">
        <w:rPr>
          <w:rFonts w:eastAsia="Malgun Gothic"/>
          <w:bCs/>
          <w:lang w:val="fr-FR"/>
        </w:rPr>
        <w:t>185</w:t>
      </w:r>
      <w:r w:rsidR="00E14854">
        <w:rPr>
          <w:rFonts w:eastAsia="Malgun Gothic"/>
          <w:bCs/>
          <w:lang w:val="fr-FR"/>
        </w:rPr>
        <w:t>,</w:t>
      </w:r>
      <w:r w:rsidRPr="004D113D">
        <w:rPr>
          <w:rFonts w:eastAsia="Malgun Gothic"/>
          <w:bCs/>
          <w:lang w:val="fr-FR"/>
        </w:rPr>
        <w:t xml:space="preserve"> qui demande aux États parties de reconnaître, promouvoir et renforcer la contribution du patrimoine culturel immatériel à la génération de revenus et de moyens de subsistance durables pour les communautés, les groupes et les individus. Ainsi, les mesures proposées contribuaient à améliorer les conditions sociales et économiques des communautés locales dans les sites de célébration.</w:t>
      </w:r>
    </w:p>
    <w:p w14:paraId="4D64812C" w14:textId="0180338F" w:rsidR="005A6A08" w:rsidRDefault="008901C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901CF">
        <w:rPr>
          <w:rFonts w:eastAsia="Malgun Gothic"/>
          <w:bCs/>
          <w:lang w:val="fr-FR"/>
        </w:rPr>
        <w:t xml:space="preserve">La délégation du </w:t>
      </w:r>
      <w:r w:rsidRPr="00702497">
        <w:rPr>
          <w:rFonts w:eastAsia="Malgun Gothic"/>
          <w:b/>
          <w:lang w:val="fr-FR"/>
        </w:rPr>
        <w:t>Brésil</w:t>
      </w:r>
      <w:r w:rsidRPr="008901CF">
        <w:rPr>
          <w:rFonts w:eastAsia="Malgun Gothic"/>
          <w:bCs/>
          <w:lang w:val="fr-FR"/>
        </w:rPr>
        <w:t xml:space="preserve"> s</w:t>
      </w:r>
      <w:r w:rsidR="00923E72">
        <w:rPr>
          <w:rFonts w:eastAsia="Malgun Gothic"/>
          <w:bCs/>
          <w:lang w:val="fr-FR"/>
        </w:rPr>
        <w:t>’</w:t>
      </w:r>
      <w:r w:rsidRPr="008901CF">
        <w:rPr>
          <w:rFonts w:eastAsia="Malgun Gothic"/>
          <w:bCs/>
          <w:lang w:val="fr-FR"/>
        </w:rPr>
        <w:t xml:space="preserve">est déclarée satisfaite des informations </w:t>
      </w:r>
      <w:r>
        <w:rPr>
          <w:rFonts w:eastAsia="Malgun Gothic"/>
          <w:bCs/>
          <w:lang w:val="fr-FR"/>
        </w:rPr>
        <w:t xml:space="preserve">données </w:t>
      </w:r>
      <w:r w:rsidRPr="008901CF">
        <w:rPr>
          <w:rFonts w:eastAsia="Malgun Gothic"/>
          <w:bCs/>
          <w:lang w:val="fr-FR"/>
        </w:rPr>
        <w:t>par l</w:t>
      </w:r>
      <w:r w:rsidR="00923E72">
        <w:rPr>
          <w:rFonts w:eastAsia="Malgun Gothic"/>
          <w:bCs/>
          <w:lang w:val="fr-FR"/>
        </w:rPr>
        <w:t>’</w:t>
      </w:r>
      <w:r w:rsidRPr="008901CF">
        <w:rPr>
          <w:rFonts w:eastAsia="Malgun Gothic"/>
          <w:bCs/>
          <w:lang w:val="fr-FR"/>
        </w:rPr>
        <w:t xml:space="preserve">Égypte. Selon elle, le dossier </w:t>
      </w:r>
      <w:r>
        <w:rPr>
          <w:rFonts w:eastAsia="Malgun Gothic"/>
          <w:bCs/>
          <w:lang w:val="fr-FR"/>
        </w:rPr>
        <w:t xml:space="preserve">contenait </w:t>
      </w:r>
      <w:r w:rsidRPr="008901CF">
        <w:rPr>
          <w:rFonts w:eastAsia="Malgun Gothic"/>
          <w:bCs/>
          <w:lang w:val="fr-FR"/>
        </w:rPr>
        <w:t>des informations très cohérentes pour satisfaire au critère</w:t>
      </w:r>
      <w:r>
        <w:rPr>
          <w:rFonts w:eastAsia="Malgun Gothic"/>
          <w:bCs/>
          <w:lang w:val="fr-FR"/>
        </w:rPr>
        <w:t> </w:t>
      </w:r>
      <w:r w:rsidRPr="008901CF">
        <w:rPr>
          <w:rFonts w:eastAsia="Malgun Gothic"/>
          <w:bCs/>
          <w:lang w:val="fr-FR"/>
        </w:rPr>
        <w:t>R.3 et elle a regretté que l</w:t>
      </w:r>
      <w:r w:rsidR="00923E72">
        <w:rPr>
          <w:rFonts w:eastAsia="Malgun Gothic"/>
          <w:bCs/>
          <w:lang w:val="fr-FR"/>
        </w:rPr>
        <w:t>’</w:t>
      </w:r>
      <w:r w:rsidRPr="008901CF">
        <w:rPr>
          <w:rFonts w:eastAsia="Malgun Gothic"/>
          <w:bCs/>
          <w:lang w:val="fr-FR"/>
        </w:rPr>
        <w:t>Organe d</w:t>
      </w:r>
      <w:r w:rsidR="00923E72">
        <w:rPr>
          <w:rFonts w:eastAsia="Malgun Gothic"/>
          <w:bCs/>
          <w:lang w:val="fr-FR"/>
        </w:rPr>
        <w:t>’</w:t>
      </w:r>
      <w:r w:rsidRPr="008901CF">
        <w:rPr>
          <w:rFonts w:eastAsia="Malgun Gothic"/>
          <w:bCs/>
          <w:lang w:val="fr-FR"/>
        </w:rPr>
        <w:t>évaluation n</w:t>
      </w:r>
      <w:r w:rsidR="00923E72">
        <w:rPr>
          <w:rFonts w:eastAsia="Malgun Gothic"/>
          <w:bCs/>
          <w:lang w:val="fr-FR"/>
        </w:rPr>
        <w:t>’</w:t>
      </w:r>
      <w:r w:rsidRPr="008901CF">
        <w:rPr>
          <w:rFonts w:eastAsia="Malgun Gothic"/>
          <w:bCs/>
          <w:lang w:val="fr-FR"/>
        </w:rPr>
        <w:t>ait pas donné à l</w:t>
      </w:r>
      <w:r w:rsidR="00923E72">
        <w:rPr>
          <w:rFonts w:eastAsia="Malgun Gothic"/>
          <w:bCs/>
          <w:lang w:val="fr-FR"/>
        </w:rPr>
        <w:t>’</w:t>
      </w:r>
      <w:r w:rsidRPr="008901CF">
        <w:rPr>
          <w:rFonts w:eastAsia="Malgun Gothic"/>
          <w:bCs/>
          <w:lang w:val="fr-FR"/>
        </w:rPr>
        <w:t>Égypte l</w:t>
      </w:r>
      <w:r w:rsidR="00923E72">
        <w:rPr>
          <w:rFonts w:eastAsia="Malgun Gothic"/>
          <w:bCs/>
          <w:lang w:val="fr-FR"/>
        </w:rPr>
        <w:t>’</w:t>
      </w:r>
      <w:r w:rsidRPr="008901CF">
        <w:rPr>
          <w:rFonts w:eastAsia="Malgun Gothic"/>
          <w:bCs/>
          <w:lang w:val="fr-FR"/>
        </w:rPr>
        <w:t>occasion de dialoguer et ne l</w:t>
      </w:r>
      <w:r w:rsidR="00923E72">
        <w:rPr>
          <w:rFonts w:eastAsia="Malgun Gothic"/>
          <w:bCs/>
          <w:lang w:val="fr-FR"/>
        </w:rPr>
        <w:t>’</w:t>
      </w:r>
      <w:r w:rsidRPr="008901CF">
        <w:rPr>
          <w:rFonts w:eastAsia="Malgun Gothic"/>
          <w:bCs/>
          <w:lang w:val="fr-FR"/>
        </w:rPr>
        <w:t xml:space="preserve">ait pas invitée à </w:t>
      </w:r>
      <w:r>
        <w:rPr>
          <w:rFonts w:eastAsia="Malgun Gothic"/>
          <w:bCs/>
          <w:lang w:val="fr-FR"/>
        </w:rPr>
        <w:t>apporter</w:t>
      </w:r>
      <w:r w:rsidRPr="008901CF">
        <w:rPr>
          <w:rFonts w:eastAsia="Malgun Gothic"/>
          <w:bCs/>
          <w:lang w:val="fr-FR"/>
        </w:rPr>
        <w:t xml:space="preserve"> des éclaircissements supplémentaires sur les éventuelles conséquences </w:t>
      </w:r>
      <w:r>
        <w:rPr>
          <w:rFonts w:eastAsia="Malgun Gothic"/>
          <w:bCs/>
          <w:lang w:val="fr-FR"/>
        </w:rPr>
        <w:t xml:space="preserve">inattendues </w:t>
      </w:r>
      <w:r w:rsidRPr="008901CF">
        <w:rPr>
          <w:rFonts w:eastAsia="Malgun Gothic"/>
          <w:bCs/>
          <w:lang w:val="fr-FR"/>
        </w:rPr>
        <w:t>d</w:t>
      </w:r>
      <w:r w:rsidR="00923E72">
        <w:rPr>
          <w:rFonts w:eastAsia="Malgun Gothic"/>
          <w:bCs/>
          <w:lang w:val="fr-FR"/>
        </w:rPr>
        <w:t>’</w:t>
      </w:r>
      <w:r w:rsidRPr="008901CF">
        <w:rPr>
          <w:rFonts w:eastAsia="Malgun Gothic"/>
          <w:bCs/>
          <w:lang w:val="fr-FR"/>
        </w:rPr>
        <w:t>un tourisme excessif et d</w:t>
      </w:r>
      <w:r w:rsidR="00923E72">
        <w:rPr>
          <w:rFonts w:eastAsia="Malgun Gothic"/>
          <w:bCs/>
          <w:lang w:val="fr-FR"/>
        </w:rPr>
        <w:t>’</w:t>
      </w:r>
      <w:r w:rsidRPr="008901CF">
        <w:rPr>
          <w:rFonts w:eastAsia="Malgun Gothic"/>
          <w:bCs/>
          <w:lang w:val="fr-FR"/>
        </w:rPr>
        <w:t>un nombre croissant de visiteurs.</w:t>
      </w:r>
    </w:p>
    <w:p w14:paraId="51BF43C7" w14:textId="64963FB7" w:rsidR="008901CF" w:rsidRDefault="008901C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901CF">
        <w:rPr>
          <w:rFonts w:eastAsia="Malgun Gothic"/>
          <w:bCs/>
          <w:lang w:val="fr-FR"/>
        </w:rPr>
        <w:lastRenderedPageBreak/>
        <w:t>La délégation de l</w:t>
      </w:r>
      <w:r w:rsidR="00923E72">
        <w:rPr>
          <w:rFonts w:eastAsia="Malgun Gothic"/>
          <w:bCs/>
          <w:lang w:val="fr-FR"/>
        </w:rPr>
        <w:t>’</w:t>
      </w:r>
      <w:r w:rsidRPr="00702497">
        <w:rPr>
          <w:rFonts w:eastAsia="Malgun Gothic"/>
          <w:b/>
          <w:lang w:val="fr-FR"/>
        </w:rPr>
        <w:t>Égypte</w:t>
      </w:r>
      <w:r w:rsidRPr="008901CF">
        <w:rPr>
          <w:rFonts w:eastAsia="Malgun Gothic"/>
          <w:bCs/>
          <w:lang w:val="fr-FR"/>
        </w:rPr>
        <w:t xml:space="preserve"> a précisé que les </w:t>
      </w:r>
      <w:r>
        <w:rPr>
          <w:rFonts w:eastAsia="Malgun Gothic"/>
          <w:bCs/>
          <w:lang w:val="fr-FR"/>
        </w:rPr>
        <w:t xml:space="preserve">gens qui se rendent aux </w:t>
      </w:r>
      <w:r w:rsidRPr="008901CF">
        <w:rPr>
          <w:rFonts w:eastAsia="Malgun Gothic"/>
          <w:bCs/>
          <w:lang w:val="fr-FR"/>
        </w:rPr>
        <w:t>festivités de la Vierge Marie, qu</w:t>
      </w:r>
      <w:r w:rsidR="00923E72">
        <w:rPr>
          <w:rFonts w:eastAsia="Malgun Gothic"/>
          <w:bCs/>
          <w:lang w:val="fr-FR"/>
        </w:rPr>
        <w:t>’</w:t>
      </w:r>
      <w:r w:rsidRPr="008901CF">
        <w:rPr>
          <w:rFonts w:eastAsia="Malgun Gothic"/>
          <w:bCs/>
          <w:lang w:val="fr-FR"/>
        </w:rPr>
        <w:t>ils soient locaux ou étrangers, ne sont pas des touristes mais des croyants qui viennent chercher la bénédiction de la Vierge et espèrent des miracles. En ce qui concerne le suivi de l</w:t>
      </w:r>
      <w:r w:rsidR="00923E72">
        <w:rPr>
          <w:rFonts w:eastAsia="Malgun Gothic"/>
          <w:bCs/>
          <w:lang w:val="fr-FR"/>
        </w:rPr>
        <w:t>’</w:t>
      </w:r>
      <w:r w:rsidRPr="008901CF">
        <w:rPr>
          <w:rFonts w:eastAsia="Malgun Gothic"/>
          <w:bCs/>
          <w:lang w:val="fr-FR"/>
        </w:rPr>
        <w:t>impact de l</w:t>
      </w:r>
      <w:r w:rsidR="00923E72">
        <w:rPr>
          <w:rFonts w:eastAsia="Malgun Gothic"/>
          <w:bCs/>
          <w:lang w:val="fr-FR"/>
        </w:rPr>
        <w:t>’</w:t>
      </w:r>
      <w:r w:rsidRPr="008901CF">
        <w:rPr>
          <w:rFonts w:eastAsia="Malgun Gothic"/>
          <w:bCs/>
          <w:lang w:val="fr-FR"/>
        </w:rPr>
        <w:t>augmentation du tourisme ou, dans ce cas</w:t>
      </w:r>
      <w:r w:rsidR="00384FFF">
        <w:rPr>
          <w:rFonts w:eastAsia="Malgun Gothic"/>
          <w:bCs/>
          <w:lang w:val="fr-FR"/>
        </w:rPr>
        <w:t xml:space="preserve"> précis</w:t>
      </w:r>
      <w:r w:rsidRPr="008901CF">
        <w:rPr>
          <w:rFonts w:eastAsia="Malgun Gothic"/>
          <w:bCs/>
          <w:lang w:val="fr-FR"/>
        </w:rPr>
        <w:t xml:space="preserve">, du nombre </w:t>
      </w:r>
      <w:r>
        <w:rPr>
          <w:rFonts w:eastAsia="Malgun Gothic"/>
          <w:bCs/>
          <w:lang w:val="fr-FR"/>
        </w:rPr>
        <w:t xml:space="preserve">accru </w:t>
      </w:r>
      <w:r w:rsidRPr="008901CF">
        <w:rPr>
          <w:rFonts w:eastAsia="Malgun Gothic"/>
          <w:bCs/>
          <w:lang w:val="fr-FR"/>
        </w:rPr>
        <w:t xml:space="preserve">de visiteurs, la sauvegarde du patrimoine culturel immatériel </w:t>
      </w:r>
      <w:r>
        <w:rPr>
          <w:rFonts w:eastAsia="Malgun Gothic"/>
          <w:bCs/>
          <w:lang w:val="fr-FR"/>
        </w:rPr>
        <w:t>face aux</w:t>
      </w:r>
      <w:r w:rsidRPr="008901CF">
        <w:rPr>
          <w:rFonts w:eastAsia="Malgun Gothic"/>
          <w:bCs/>
          <w:lang w:val="fr-FR"/>
        </w:rPr>
        <w:t xml:space="preserve"> risques relevait de la seule responsabilité de l</w:t>
      </w:r>
      <w:r w:rsidR="00923E72">
        <w:rPr>
          <w:rFonts w:eastAsia="Malgun Gothic"/>
          <w:bCs/>
          <w:lang w:val="fr-FR"/>
        </w:rPr>
        <w:t>’</w:t>
      </w:r>
      <w:r w:rsidRPr="008901CF">
        <w:rPr>
          <w:rFonts w:eastAsia="Malgun Gothic"/>
          <w:bCs/>
          <w:lang w:val="fr-FR"/>
        </w:rPr>
        <w:t>État en vertu de la Constitution égyptienne, comme le stipule expressément l</w:t>
      </w:r>
      <w:r w:rsidR="00923E72">
        <w:rPr>
          <w:rFonts w:eastAsia="Malgun Gothic"/>
          <w:bCs/>
          <w:lang w:val="fr-FR"/>
        </w:rPr>
        <w:t>’</w:t>
      </w:r>
      <w:r w:rsidRPr="008901CF">
        <w:rPr>
          <w:rFonts w:eastAsia="Malgun Gothic"/>
          <w:bCs/>
          <w:lang w:val="fr-FR"/>
        </w:rPr>
        <w:t>article</w:t>
      </w:r>
      <w:r>
        <w:rPr>
          <w:rFonts w:eastAsia="Malgun Gothic"/>
          <w:bCs/>
          <w:lang w:val="fr-FR"/>
        </w:rPr>
        <w:t> </w:t>
      </w:r>
      <w:r w:rsidRPr="008901CF">
        <w:rPr>
          <w:rFonts w:eastAsia="Malgun Gothic"/>
          <w:bCs/>
          <w:lang w:val="fr-FR"/>
        </w:rPr>
        <w:t>50 de la Constitution. À cet égard, l</w:t>
      </w:r>
      <w:r w:rsidR="00923E72">
        <w:rPr>
          <w:rFonts w:eastAsia="Malgun Gothic"/>
          <w:bCs/>
          <w:lang w:val="fr-FR"/>
        </w:rPr>
        <w:t>’</w:t>
      </w:r>
      <w:r w:rsidRPr="008901CF">
        <w:rPr>
          <w:rFonts w:eastAsia="Malgun Gothic"/>
          <w:bCs/>
          <w:lang w:val="fr-FR"/>
        </w:rPr>
        <w:t>État</w:t>
      </w:r>
      <w:r w:rsidR="00EF75EC">
        <w:rPr>
          <w:rFonts w:eastAsia="Malgun Gothic"/>
          <w:bCs/>
          <w:lang w:val="fr-FR"/>
        </w:rPr>
        <w:t xml:space="preserve">, </w:t>
      </w:r>
      <w:r w:rsidRPr="008901CF">
        <w:rPr>
          <w:rFonts w:eastAsia="Malgun Gothic"/>
          <w:bCs/>
          <w:lang w:val="fr-FR"/>
        </w:rPr>
        <w:t>par l</w:t>
      </w:r>
      <w:r w:rsidR="00923E72">
        <w:rPr>
          <w:rFonts w:eastAsia="Malgun Gothic"/>
          <w:bCs/>
          <w:lang w:val="fr-FR"/>
        </w:rPr>
        <w:t>’</w:t>
      </w:r>
      <w:r w:rsidRPr="008901CF">
        <w:rPr>
          <w:rFonts w:eastAsia="Malgun Gothic"/>
          <w:bCs/>
          <w:lang w:val="fr-FR"/>
        </w:rPr>
        <w:t>intermédiaire d</w:t>
      </w:r>
      <w:r w:rsidR="00923E72">
        <w:rPr>
          <w:rFonts w:eastAsia="Malgun Gothic"/>
          <w:bCs/>
          <w:lang w:val="fr-FR"/>
        </w:rPr>
        <w:t>’</w:t>
      </w:r>
      <w:r w:rsidRPr="008901CF">
        <w:rPr>
          <w:rFonts w:eastAsia="Malgun Gothic"/>
          <w:bCs/>
          <w:lang w:val="fr-FR"/>
        </w:rPr>
        <w:t>un certain nombre d</w:t>
      </w:r>
      <w:r w:rsidR="00923E72">
        <w:rPr>
          <w:rFonts w:eastAsia="Malgun Gothic"/>
          <w:bCs/>
          <w:lang w:val="fr-FR"/>
        </w:rPr>
        <w:t>’</w:t>
      </w:r>
      <w:r w:rsidRPr="008901CF">
        <w:rPr>
          <w:rFonts w:eastAsia="Malgun Gothic"/>
          <w:bCs/>
          <w:lang w:val="fr-FR"/>
        </w:rPr>
        <w:t xml:space="preserve">entités, chacune dans son domaine de spécialité </w:t>
      </w:r>
      <w:r>
        <w:rPr>
          <w:rFonts w:eastAsia="Malgun Gothic"/>
          <w:bCs/>
          <w:lang w:val="fr-FR"/>
        </w:rPr>
        <w:t xml:space="preserve">suivait </w:t>
      </w:r>
      <w:r w:rsidRPr="008901CF">
        <w:rPr>
          <w:rFonts w:eastAsia="Malgun Gothic"/>
          <w:bCs/>
          <w:lang w:val="fr-FR"/>
        </w:rPr>
        <w:t>la mise en œuvre des outils de sauvegarde du patrimoine et protégeait les droits de ses détenteurs. Au sein du ministère de la Culture, par exemple, le Comité du patrimoine culturel immatériel était chargé de la sauvegarde du patrimoine culturel immatériel en coordination avec les communautés locales et les détenteurs. En outre, la Chambre de l</w:t>
      </w:r>
      <w:r w:rsidR="00923E72">
        <w:rPr>
          <w:rFonts w:eastAsia="Malgun Gothic"/>
          <w:bCs/>
          <w:lang w:val="fr-FR"/>
        </w:rPr>
        <w:t>’</w:t>
      </w:r>
      <w:r w:rsidRPr="008901CF">
        <w:rPr>
          <w:rFonts w:eastAsia="Malgun Gothic"/>
          <w:bCs/>
          <w:lang w:val="fr-FR"/>
        </w:rPr>
        <w:t>artisanat traditionnel suivait la sauvegarde de l</w:t>
      </w:r>
      <w:r w:rsidR="00923E72">
        <w:rPr>
          <w:rFonts w:eastAsia="Malgun Gothic"/>
          <w:bCs/>
          <w:lang w:val="fr-FR"/>
        </w:rPr>
        <w:t>’</w:t>
      </w:r>
      <w:r w:rsidRPr="008901CF">
        <w:rPr>
          <w:rFonts w:eastAsia="Malgun Gothic"/>
          <w:bCs/>
          <w:lang w:val="fr-FR"/>
        </w:rPr>
        <w:t>artisanat et veillait à ce que la pratique soit préservée de toute dénaturation et de tout détournement de l</w:t>
      </w:r>
      <w:r w:rsidR="00923E72">
        <w:rPr>
          <w:rFonts w:eastAsia="Malgun Gothic"/>
          <w:bCs/>
          <w:lang w:val="fr-FR"/>
        </w:rPr>
        <w:t>’</w:t>
      </w:r>
      <w:r w:rsidRPr="008901CF">
        <w:rPr>
          <w:rFonts w:eastAsia="Malgun Gothic"/>
          <w:bCs/>
          <w:lang w:val="fr-FR"/>
        </w:rPr>
        <w:t>élément.</w:t>
      </w:r>
    </w:p>
    <w:p w14:paraId="25A30627" w14:textId="17BE10E8" w:rsidR="008901CF" w:rsidRDefault="008901C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901CF">
        <w:rPr>
          <w:rFonts w:eastAsia="Malgun Gothic"/>
          <w:bCs/>
          <w:lang w:val="fr-FR"/>
        </w:rPr>
        <w:t xml:space="preserve">La délégation du </w:t>
      </w:r>
      <w:r w:rsidRPr="00702497">
        <w:rPr>
          <w:rFonts w:eastAsia="Malgun Gothic"/>
          <w:b/>
          <w:lang w:val="fr-FR"/>
        </w:rPr>
        <w:t>Panama</w:t>
      </w:r>
      <w:r w:rsidRPr="008901CF">
        <w:rPr>
          <w:rFonts w:eastAsia="Malgun Gothic"/>
          <w:bCs/>
          <w:lang w:val="fr-FR"/>
        </w:rPr>
        <w:t xml:space="preserve"> soutenait cette candidature et </w:t>
      </w:r>
      <w:r w:rsidR="00EF75EC">
        <w:rPr>
          <w:rFonts w:eastAsia="Malgun Gothic"/>
          <w:bCs/>
          <w:lang w:val="fr-FR"/>
        </w:rPr>
        <w:t>approuvait</w:t>
      </w:r>
      <w:r w:rsidRPr="008901CF">
        <w:rPr>
          <w:rFonts w:eastAsia="Malgun Gothic"/>
          <w:bCs/>
          <w:lang w:val="fr-FR"/>
        </w:rPr>
        <w:t xml:space="preserve"> l</w:t>
      </w:r>
      <w:r w:rsidR="00923E72">
        <w:rPr>
          <w:rFonts w:eastAsia="Malgun Gothic"/>
          <w:bCs/>
          <w:lang w:val="fr-FR"/>
        </w:rPr>
        <w:t>’</w:t>
      </w:r>
      <w:r w:rsidRPr="008901CF">
        <w:rPr>
          <w:rFonts w:eastAsia="Malgun Gothic"/>
          <w:bCs/>
          <w:lang w:val="fr-FR"/>
        </w:rPr>
        <w:t>explication</w:t>
      </w:r>
      <w:r w:rsidR="003827D5">
        <w:rPr>
          <w:rFonts w:eastAsia="Malgun Gothic"/>
          <w:bCs/>
          <w:lang w:val="fr-FR"/>
        </w:rPr>
        <w:t xml:space="preserve"> donnée</w:t>
      </w:r>
      <w:r w:rsidRPr="008901CF">
        <w:rPr>
          <w:rFonts w:eastAsia="Malgun Gothic"/>
          <w:bCs/>
          <w:lang w:val="fr-FR"/>
        </w:rPr>
        <w:t>. Il s</w:t>
      </w:r>
      <w:r w:rsidR="00923E72">
        <w:rPr>
          <w:rFonts w:eastAsia="Malgun Gothic"/>
          <w:bCs/>
          <w:lang w:val="fr-FR"/>
        </w:rPr>
        <w:t>’</w:t>
      </w:r>
      <w:r w:rsidRPr="008901CF">
        <w:rPr>
          <w:rFonts w:eastAsia="Malgun Gothic"/>
          <w:bCs/>
          <w:lang w:val="fr-FR"/>
        </w:rPr>
        <w:t>agissait d</w:t>
      </w:r>
      <w:r w:rsidR="00923E72">
        <w:rPr>
          <w:rFonts w:eastAsia="Malgun Gothic"/>
          <w:bCs/>
          <w:lang w:val="fr-FR"/>
        </w:rPr>
        <w:t>’</w:t>
      </w:r>
      <w:r w:rsidRPr="008901CF">
        <w:rPr>
          <w:rFonts w:eastAsia="Malgun Gothic"/>
          <w:bCs/>
          <w:lang w:val="fr-FR"/>
        </w:rPr>
        <w:t>expressions importantes et, selon le pays, il était important de voir comment les visiteurs participaient à cette manifestation. Le Comité devrait chercher à s</w:t>
      </w:r>
      <w:r w:rsidR="00923E72">
        <w:rPr>
          <w:rFonts w:eastAsia="Malgun Gothic"/>
          <w:bCs/>
          <w:lang w:val="fr-FR"/>
        </w:rPr>
        <w:t>’</w:t>
      </w:r>
      <w:r w:rsidRPr="008901CF">
        <w:rPr>
          <w:rFonts w:eastAsia="Malgun Gothic"/>
          <w:bCs/>
          <w:lang w:val="fr-FR"/>
        </w:rPr>
        <w:t>assurer qu</w:t>
      </w:r>
      <w:r w:rsidR="00923E72">
        <w:rPr>
          <w:rFonts w:eastAsia="Malgun Gothic"/>
          <w:bCs/>
          <w:lang w:val="fr-FR"/>
        </w:rPr>
        <w:t>’</w:t>
      </w:r>
      <w:r w:rsidRPr="008901CF">
        <w:rPr>
          <w:rFonts w:eastAsia="Malgun Gothic"/>
          <w:bCs/>
          <w:lang w:val="fr-FR"/>
        </w:rPr>
        <w:t>il existe des espaces où la diversité culturelle peut s</w:t>
      </w:r>
      <w:r w:rsidR="00923E72">
        <w:rPr>
          <w:rFonts w:eastAsia="Malgun Gothic"/>
          <w:bCs/>
          <w:lang w:val="fr-FR"/>
        </w:rPr>
        <w:t>’</w:t>
      </w:r>
      <w:r w:rsidRPr="008901CF">
        <w:rPr>
          <w:rFonts w:eastAsia="Malgun Gothic"/>
          <w:bCs/>
          <w:lang w:val="fr-FR"/>
        </w:rPr>
        <w:t>exprimer, pourtant il était chargé d</w:t>
      </w:r>
      <w:r w:rsidR="00923E72">
        <w:rPr>
          <w:rFonts w:eastAsia="Malgun Gothic"/>
          <w:bCs/>
          <w:lang w:val="fr-FR"/>
        </w:rPr>
        <w:t>’</w:t>
      </w:r>
      <w:r w:rsidRPr="008901CF">
        <w:rPr>
          <w:rFonts w:eastAsia="Malgun Gothic"/>
          <w:bCs/>
          <w:lang w:val="fr-FR"/>
        </w:rPr>
        <w:t>évaluer une candidature</w:t>
      </w:r>
      <w:r w:rsidR="003827D5">
        <w:rPr>
          <w:rFonts w:eastAsia="Malgun Gothic"/>
          <w:bCs/>
          <w:lang w:val="fr-FR"/>
        </w:rPr>
        <w:t xml:space="preserve"> </w:t>
      </w:r>
      <w:r w:rsidRPr="008901CF">
        <w:rPr>
          <w:rFonts w:eastAsia="Malgun Gothic"/>
          <w:bCs/>
          <w:lang w:val="fr-FR"/>
        </w:rPr>
        <w:t>qui aurait pu bénéficier du dialogue</w:t>
      </w:r>
      <w:r w:rsidR="003827D5">
        <w:rPr>
          <w:rFonts w:eastAsia="Malgun Gothic"/>
          <w:bCs/>
          <w:lang w:val="fr-FR"/>
        </w:rPr>
        <w:t>,</w:t>
      </w:r>
      <w:r w:rsidRPr="008901CF">
        <w:rPr>
          <w:rFonts w:eastAsia="Malgun Gothic"/>
          <w:bCs/>
          <w:lang w:val="fr-FR"/>
        </w:rPr>
        <w:t xml:space="preserve"> car les aspects techniques étaient clairement présentés dans le dossier.</w:t>
      </w:r>
    </w:p>
    <w:p w14:paraId="54A45199" w14:textId="3BC9A28C" w:rsidR="003827D5" w:rsidRPr="00702497" w:rsidRDefault="003827D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constaté que l</w:t>
      </w:r>
      <w:r w:rsidR="00923E72">
        <w:rPr>
          <w:rFonts w:eastAsia="Malgun Gothic"/>
          <w:bCs/>
          <w:lang w:val="fr-FR"/>
        </w:rPr>
        <w:t>’</w:t>
      </w:r>
      <w:r w:rsidRPr="003827D5">
        <w:rPr>
          <w:rFonts w:eastAsia="Malgun Gothic"/>
          <w:bCs/>
          <w:lang w:val="fr-FR"/>
        </w:rPr>
        <w:t>amendement</w:t>
      </w:r>
      <w:r>
        <w:rPr>
          <w:rFonts w:eastAsia="Malgun Gothic"/>
          <w:bCs/>
          <w:lang w:val="fr-FR"/>
        </w:rPr>
        <w:t xml:space="preserve"> proposé par l</w:t>
      </w:r>
      <w:r w:rsidR="00923E72">
        <w:rPr>
          <w:rFonts w:eastAsia="Malgun Gothic"/>
          <w:bCs/>
          <w:lang w:val="fr-FR"/>
        </w:rPr>
        <w:t>’</w:t>
      </w:r>
      <w:r>
        <w:rPr>
          <w:rFonts w:eastAsia="Malgun Gothic"/>
          <w:bCs/>
          <w:lang w:val="fr-FR"/>
        </w:rPr>
        <w:t>Arabie</w:t>
      </w:r>
      <w:r w:rsidR="008D3070">
        <w:rPr>
          <w:rFonts w:eastAsia="Malgun Gothic"/>
          <w:bCs/>
          <w:lang w:val="fr-FR"/>
        </w:rPr>
        <w:t> </w:t>
      </w:r>
      <w:r>
        <w:rPr>
          <w:rFonts w:eastAsia="Malgun Gothic"/>
          <w:bCs/>
          <w:lang w:val="fr-FR"/>
        </w:rPr>
        <w:t>saoudite bénéficiait d</w:t>
      </w:r>
      <w:r w:rsidR="00923E72">
        <w:rPr>
          <w:rFonts w:eastAsia="Malgun Gothic"/>
          <w:bCs/>
          <w:lang w:val="fr-FR"/>
        </w:rPr>
        <w:t>’</w:t>
      </w:r>
      <w:r>
        <w:rPr>
          <w:rFonts w:eastAsia="Malgun Gothic"/>
          <w:bCs/>
          <w:lang w:val="fr-FR"/>
        </w:rPr>
        <w:t xml:space="preserve">un large soutien, et le </w:t>
      </w:r>
      <w:r w:rsidRPr="003827D5">
        <w:rPr>
          <w:rFonts w:eastAsia="Malgun Gothic"/>
          <w:bCs/>
          <w:lang w:val="fr-FR"/>
        </w:rPr>
        <w:t>paragraphe</w:t>
      </w:r>
      <w:r>
        <w:rPr>
          <w:rFonts w:eastAsia="Malgun Gothic"/>
          <w:bCs/>
          <w:lang w:val="fr-FR"/>
        </w:rPr>
        <w:t xml:space="preserve"> sur le </w:t>
      </w:r>
      <w:r w:rsidRPr="003827D5">
        <w:rPr>
          <w:rFonts w:eastAsia="Malgun Gothic"/>
          <w:bCs/>
          <w:lang w:val="fr-FR"/>
        </w:rPr>
        <w:t>critère</w:t>
      </w:r>
      <w:r>
        <w:rPr>
          <w:rFonts w:eastAsia="Malgun Gothic"/>
          <w:bCs/>
          <w:lang w:val="fr-FR"/>
        </w:rPr>
        <w:t> R.3 a été dûment adopté tel qu</w:t>
      </w:r>
      <w:r w:rsidR="00923E72">
        <w:rPr>
          <w:rFonts w:eastAsia="Malgun Gothic"/>
          <w:bCs/>
          <w:lang w:val="fr-FR"/>
        </w:rPr>
        <w:t>’</w:t>
      </w:r>
      <w:r>
        <w:rPr>
          <w:rFonts w:eastAsia="Malgun Gothic"/>
          <w:bCs/>
          <w:lang w:val="fr-FR"/>
        </w:rPr>
        <w:t xml:space="preserve">amendé. Le chapeau du </w:t>
      </w:r>
      <w:r w:rsidRPr="003827D5">
        <w:rPr>
          <w:rFonts w:eastAsia="Malgun Gothic"/>
          <w:bCs/>
          <w:lang w:val="fr-FR"/>
        </w:rPr>
        <w:t>paragraphe</w:t>
      </w:r>
      <w:r>
        <w:rPr>
          <w:rFonts w:eastAsia="Malgun Gothic"/>
          <w:bCs/>
          <w:lang w:val="fr-FR"/>
        </w:rPr>
        <w:t xml:space="preserve"> 3 a </w:t>
      </w:r>
      <w:r w:rsidRPr="003827D5">
        <w:rPr>
          <w:rFonts w:eastAsia="Malgun Gothic"/>
          <w:bCs/>
          <w:color w:val="000000" w:themeColor="text1"/>
          <w:lang w:val="fr-FR"/>
        </w:rPr>
        <w:t>également</w:t>
      </w:r>
      <w:r>
        <w:rPr>
          <w:rFonts w:eastAsia="Malgun Gothic"/>
          <w:bCs/>
          <w:color w:val="000000" w:themeColor="text1"/>
          <w:lang w:val="fr-FR"/>
        </w:rPr>
        <w:t xml:space="preserve"> été adopté. Le </w:t>
      </w:r>
      <w:r w:rsidRPr="003827D5">
        <w:rPr>
          <w:rFonts w:eastAsia="Malgun Gothic"/>
          <w:bCs/>
          <w:color w:val="000000" w:themeColor="text1"/>
          <w:lang w:val="fr-FR"/>
        </w:rPr>
        <w:t>paragraphe</w:t>
      </w:r>
      <w:r>
        <w:rPr>
          <w:rFonts w:eastAsia="Malgun Gothic"/>
          <w:bCs/>
          <w:color w:val="000000" w:themeColor="text1"/>
          <w:lang w:val="fr-FR"/>
        </w:rPr>
        <w:t> 4 a été adopté tel qu</w:t>
      </w:r>
      <w:r w:rsidR="00923E72">
        <w:rPr>
          <w:rFonts w:eastAsia="Malgun Gothic"/>
          <w:bCs/>
          <w:color w:val="000000" w:themeColor="text1"/>
          <w:lang w:val="fr-FR"/>
        </w:rPr>
        <w:t>’</w:t>
      </w:r>
      <w:r>
        <w:rPr>
          <w:rFonts w:eastAsia="Malgun Gothic"/>
          <w:bCs/>
          <w:color w:val="000000" w:themeColor="text1"/>
          <w:lang w:val="fr-FR"/>
        </w:rPr>
        <w:t xml:space="preserve">amendé. </w:t>
      </w:r>
      <w:r w:rsidR="00384FFF">
        <w:rPr>
          <w:rFonts w:eastAsia="Malgun Gothic"/>
          <w:bCs/>
          <w:color w:val="000000" w:themeColor="text1"/>
          <w:lang w:val="fr-FR"/>
        </w:rPr>
        <w:t>En l</w:t>
      </w:r>
      <w:r w:rsidR="00923E72">
        <w:rPr>
          <w:rFonts w:eastAsia="Malgun Gothic"/>
          <w:bCs/>
          <w:color w:val="000000" w:themeColor="text1"/>
          <w:lang w:val="fr-FR"/>
        </w:rPr>
        <w:t>’</w:t>
      </w:r>
      <w:r w:rsidR="00384FFF">
        <w:rPr>
          <w:rFonts w:eastAsia="Malgun Gothic"/>
          <w:bCs/>
          <w:color w:val="000000" w:themeColor="text1"/>
          <w:lang w:val="fr-FR"/>
        </w:rPr>
        <w:t>absence d</w:t>
      </w:r>
      <w:r w:rsidR="00923E72">
        <w:rPr>
          <w:rFonts w:eastAsia="Malgun Gothic"/>
          <w:bCs/>
          <w:color w:val="000000" w:themeColor="text1"/>
          <w:lang w:val="fr-FR"/>
        </w:rPr>
        <w:t>’</w:t>
      </w:r>
      <w:r w:rsidR="00384FFF">
        <w:rPr>
          <w:rFonts w:eastAsia="Malgun Gothic"/>
          <w:bCs/>
          <w:color w:val="000000" w:themeColor="text1"/>
          <w:lang w:val="fr-FR"/>
        </w:rPr>
        <w:t>objections, l</w:t>
      </w:r>
      <w:r>
        <w:rPr>
          <w:rFonts w:eastAsia="Malgun Gothic"/>
          <w:bCs/>
          <w:color w:val="000000" w:themeColor="text1"/>
          <w:lang w:val="fr-FR"/>
        </w:rPr>
        <w:t xml:space="preserve">es </w:t>
      </w:r>
      <w:r w:rsidRPr="003827D5">
        <w:rPr>
          <w:rFonts w:eastAsia="Malgun Gothic"/>
          <w:bCs/>
          <w:color w:val="000000" w:themeColor="text1"/>
          <w:lang w:val="fr-FR"/>
        </w:rPr>
        <w:t>paragraph</w:t>
      </w:r>
      <w:r>
        <w:rPr>
          <w:rFonts w:eastAsia="Malgun Gothic"/>
          <w:bCs/>
          <w:color w:val="000000" w:themeColor="text1"/>
          <w:lang w:val="fr-FR"/>
        </w:rPr>
        <w:t xml:space="preserve">es 5, 6 et 7 ont été adoptés. </w:t>
      </w:r>
      <w:r w:rsidRPr="003827D5">
        <w:rPr>
          <w:rFonts w:eastAsia="Malgun Gothic"/>
          <w:bCs/>
          <w:color w:val="000000" w:themeColor="text1"/>
          <w:lang w:val="fr-FR"/>
        </w:rPr>
        <w:t>En l</w:t>
      </w:r>
      <w:r w:rsidR="00923E72">
        <w:rPr>
          <w:rFonts w:eastAsia="Malgun Gothic"/>
          <w:bCs/>
          <w:color w:val="000000" w:themeColor="text1"/>
          <w:lang w:val="fr-FR"/>
        </w:rPr>
        <w:t>’</w:t>
      </w:r>
      <w:r w:rsidRPr="003827D5">
        <w:rPr>
          <w:rFonts w:eastAsia="Malgun Gothic"/>
          <w:bCs/>
          <w:color w:val="000000" w:themeColor="text1"/>
          <w:lang w:val="fr-FR"/>
        </w:rPr>
        <w:t>absence</w:t>
      </w:r>
      <w:r>
        <w:rPr>
          <w:rFonts w:eastAsia="Malgun Gothic"/>
          <w:bCs/>
          <w:color w:val="000000" w:themeColor="text1"/>
          <w:lang w:val="fr-FR"/>
        </w:rPr>
        <w:t xml:space="preserve"> d</w:t>
      </w:r>
      <w:r w:rsidR="00923E72">
        <w:rPr>
          <w:rFonts w:eastAsia="Malgun Gothic"/>
          <w:bCs/>
          <w:color w:val="000000" w:themeColor="text1"/>
          <w:lang w:val="fr-FR"/>
        </w:rPr>
        <w:t>’</w:t>
      </w:r>
      <w:r>
        <w:rPr>
          <w:rFonts w:eastAsia="Malgun Gothic"/>
          <w:bCs/>
          <w:color w:val="000000" w:themeColor="text1"/>
          <w:lang w:val="fr-FR"/>
        </w:rPr>
        <w:t xml:space="preserve">autres commentaires, le </w:t>
      </w:r>
      <w:r w:rsidRPr="00702497">
        <w:rPr>
          <w:rFonts w:eastAsia="Malgun Gothic"/>
          <w:b/>
          <w:color w:val="000000" w:themeColor="text1"/>
          <w:lang w:val="fr-FR"/>
        </w:rPr>
        <w:t>Président a déclaré adoptée la décision</w:t>
      </w:r>
      <w:r w:rsidR="00384FFF">
        <w:rPr>
          <w:rFonts w:eastAsia="Malgun Gothic"/>
          <w:b/>
          <w:color w:val="000000" w:themeColor="text1"/>
          <w:lang w:val="fr-FR"/>
        </w:rPr>
        <w:t> </w:t>
      </w:r>
      <w:r w:rsidR="00751FB1">
        <w:fldChar w:fldCharType="begin"/>
      </w:r>
      <w:r w:rsidR="00751FB1" w:rsidRPr="00751FB1">
        <w:rPr>
          <w:lang w:val="fr-FR"/>
        </w:rPr>
        <w:instrText>HYPERLINK "https://ich.unesco.org/fr/Decisions/17.COM/7.b.7"</w:instrText>
      </w:r>
      <w:r w:rsidR="00751FB1">
        <w:fldChar w:fldCharType="separate"/>
      </w:r>
      <w:r w:rsidRPr="00702497">
        <w:rPr>
          <w:rStyle w:val="Hyperlink"/>
          <w:b/>
          <w:lang w:val="fr-FR"/>
        </w:rPr>
        <w:t>17.COM 7.b.7</w:t>
      </w:r>
      <w:r w:rsidR="00751FB1">
        <w:rPr>
          <w:rStyle w:val="Hyperlink"/>
          <w:b/>
          <w:lang w:val="fr-FR"/>
        </w:rPr>
        <w:fldChar w:fldCharType="end"/>
      </w:r>
      <w:r w:rsidRPr="00702497">
        <w:rPr>
          <w:rFonts w:eastAsia="Malgun Gothic"/>
          <w:b/>
          <w:color w:val="000000" w:themeColor="text1"/>
          <w:lang w:val="fr-FR"/>
        </w:rPr>
        <w:t xml:space="preserve"> d</w:t>
      </w:r>
      <w:r w:rsidR="00923E72">
        <w:rPr>
          <w:rFonts w:eastAsia="Malgun Gothic"/>
          <w:b/>
          <w:color w:val="000000" w:themeColor="text1"/>
          <w:lang w:val="fr-FR"/>
        </w:rPr>
        <w:t>’</w:t>
      </w:r>
      <w:r w:rsidRPr="00702497">
        <w:rPr>
          <w:rFonts w:eastAsia="Malgun Gothic"/>
          <w:b/>
          <w:color w:val="000000" w:themeColor="text1"/>
          <w:lang w:val="fr-FR"/>
        </w:rPr>
        <w:t>inscrire</w:t>
      </w:r>
      <w:r>
        <w:rPr>
          <w:rFonts w:eastAsia="Malgun Gothic"/>
          <w:bCs/>
          <w:color w:val="000000" w:themeColor="text1"/>
          <w:lang w:val="fr-FR"/>
        </w:rPr>
        <w:t xml:space="preserve"> </w:t>
      </w:r>
      <w:r w:rsidRPr="000C4627">
        <w:rPr>
          <w:rFonts w:eastAsia="Malgun Gothic"/>
          <w:b/>
          <w:lang w:val="fr-FR"/>
        </w:rPr>
        <w:t>les festivités associées au voyage de la Sainte Famille en Égypte</w:t>
      </w:r>
      <w:r>
        <w:rPr>
          <w:rFonts w:eastAsia="Malgun Gothic"/>
          <w:b/>
          <w:lang w:val="fr-FR"/>
        </w:rPr>
        <w:t xml:space="preserve"> sur la Liste représentative.</w:t>
      </w:r>
    </w:p>
    <w:p w14:paraId="51378DF1" w14:textId="30B43A5F" w:rsidR="003827D5" w:rsidRDefault="007B3DB3"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B3DB3">
        <w:rPr>
          <w:rFonts w:eastAsia="Malgun Gothic"/>
          <w:bCs/>
          <w:lang w:val="fr-FR"/>
        </w:rPr>
        <w:t>La délégation de l</w:t>
      </w:r>
      <w:r w:rsidR="00923E72">
        <w:rPr>
          <w:rFonts w:eastAsia="Malgun Gothic"/>
          <w:bCs/>
          <w:lang w:val="fr-FR"/>
        </w:rPr>
        <w:t>’</w:t>
      </w:r>
      <w:r w:rsidRPr="00702497">
        <w:rPr>
          <w:rFonts w:eastAsia="Malgun Gothic"/>
          <w:b/>
          <w:lang w:val="fr-FR"/>
        </w:rPr>
        <w:t>Égypte</w:t>
      </w:r>
      <w:r w:rsidRPr="007B3DB3">
        <w:rPr>
          <w:rFonts w:eastAsia="Malgun Gothic"/>
          <w:bCs/>
          <w:lang w:val="fr-FR"/>
        </w:rPr>
        <w:t xml:space="preserve"> a exprimé sa sincère gratitude au Comité pour sa décision d</w:t>
      </w:r>
      <w:r w:rsidR="00923E72">
        <w:rPr>
          <w:rFonts w:eastAsia="Malgun Gothic"/>
          <w:bCs/>
          <w:lang w:val="fr-FR"/>
        </w:rPr>
        <w:t>’</w:t>
      </w:r>
      <w:r w:rsidRPr="007B3DB3">
        <w:rPr>
          <w:rFonts w:eastAsia="Malgun Gothic"/>
          <w:bCs/>
          <w:lang w:val="fr-FR"/>
        </w:rPr>
        <w:t>inscrire les festivités associées au voyage de la Sainte Famille en Égypte sur la Liste représentative. Elle a remercié l</w:t>
      </w:r>
      <w:r w:rsidR="00923E72">
        <w:rPr>
          <w:rFonts w:eastAsia="Malgun Gothic"/>
          <w:bCs/>
          <w:lang w:val="fr-FR"/>
        </w:rPr>
        <w:t>’</w:t>
      </w:r>
      <w:r w:rsidRPr="007B3DB3">
        <w:rPr>
          <w:rFonts w:eastAsia="Malgun Gothic"/>
          <w:bCs/>
          <w:lang w:val="fr-FR"/>
        </w:rPr>
        <w:t>Organe d</w:t>
      </w:r>
      <w:r w:rsidR="00923E72">
        <w:rPr>
          <w:rFonts w:eastAsia="Malgun Gothic"/>
          <w:bCs/>
          <w:lang w:val="fr-FR"/>
        </w:rPr>
        <w:t>’</w:t>
      </w:r>
      <w:r w:rsidRPr="007B3DB3">
        <w:rPr>
          <w:rFonts w:eastAsia="Malgun Gothic"/>
          <w:bCs/>
          <w:lang w:val="fr-FR"/>
        </w:rPr>
        <w:t>évaluation pour l</w:t>
      </w:r>
      <w:r w:rsidR="00923E72">
        <w:rPr>
          <w:rFonts w:eastAsia="Malgun Gothic"/>
          <w:bCs/>
          <w:lang w:val="fr-FR"/>
        </w:rPr>
        <w:t>’</w:t>
      </w:r>
      <w:r w:rsidRPr="007B3DB3">
        <w:rPr>
          <w:rFonts w:eastAsia="Malgun Gothic"/>
          <w:bCs/>
          <w:lang w:val="fr-FR"/>
        </w:rPr>
        <w:t xml:space="preserve">examen de ce dossier de candidature, le Secrétariat pour les efforts </w:t>
      </w:r>
      <w:r>
        <w:rPr>
          <w:rFonts w:eastAsia="Malgun Gothic"/>
          <w:bCs/>
          <w:lang w:val="fr-FR"/>
        </w:rPr>
        <w:t>qu</w:t>
      </w:r>
      <w:r w:rsidR="00923E72">
        <w:rPr>
          <w:rFonts w:eastAsia="Malgun Gothic"/>
          <w:bCs/>
          <w:lang w:val="fr-FR"/>
        </w:rPr>
        <w:t>’</w:t>
      </w:r>
      <w:r>
        <w:rPr>
          <w:rFonts w:eastAsia="Malgun Gothic"/>
          <w:bCs/>
          <w:lang w:val="fr-FR"/>
        </w:rPr>
        <w:t xml:space="preserve">il avait </w:t>
      </w:r>
      <w:r w:rsidRPr="007B3DB3">
        <w:rPr>
          <w:rFonts w:eastAsia="Malgun Gothic"/>
          <w:bCs/>
          <w:lang w:val="fr-FR"/>
        </w:rPr>
        <w:t>déployés et le Maroc pour l</w:t>
      </w:r>
      <w:r w:rsidR="00923E72">
        <w:rPr>
          <w:rFonts w:eastAsia="Malgun Gothic"/>
          <w:bCs/>
          <w:lang w:val="fr-FR"/>
        </w:rPr>
        <w:t>’</w:t>
      </w:r>
      <w:r w:rsidRPr="007B3DB3">
        <w:rPr>
          <w:rFonts w:eastAsia="Malgun Gothic"/>
          <w:bCs/>
          <w:lang w:val="fr-FR"/>
        </w:rPr>
        <w:t>accueil de cette session et pour la générosité de son peuple et de son Gouvernement. Elle a rappelé que ces f</w:t>
      </w:r>
      <w:r>
        <w:rPr>
          <w:rFonts w:eastAsia="Malgun Gothic"/>
          <w:bCs/>
          <w:lang w:val="fr-FR"/>
        </w:rPr>
        <w:t>estivités</w:t>
      </w:r>
      <w:r w:rsidRPr="007B3DB3">
        <w:rPr>
          <w:rFonts w:eastAsia="Malgun Gothic"/>
          <w:bCs/>
          <w:lang w:val="fr-FR"/>
        </w:rPr>
        <w:t xml:space="preserve"> célèbrent le voyage de la Sainte Famille lorsqu</w:t>
      </w:r>
      <w:r w:rsidR="00923E72">
        <w:rPr>
          <w:rFonts w:eastAsia="Malgun Gothic"/>
          <w:bCs/>
          <w:lang w:val="fr-FR"/>
        </w:rPr>
        <w:t>’</w:t>
      </w:r>
      <w:r w:rsidRPr="007B3DB3">
        <w:rPr>
          <w:rFonts w:eastAsia="Malgun Gothic"/>
          <w:bCs/>
          <w:lang w:val="fr-FR"/>
        </w:rPr>
        <w:t>elle s</w:t>
      </w:r>
      <w:r w:rsidR="00923E72">
        <w:rPr>
          <w:rFonts w:eastAsia="Malgun Gothic"/>
          <w:bCs/>
          <w:lang w:val="fr-FR"/>
        </w:rPr>
        <w:t>’</w:t>
      </w:r>
      <w:r w:rsidR="00EF75EC">
        <w:rPr>
          <w:rFonts w:eastAsia="Malgun Gothic"/>
          <w:bCs/>
          <w:lang w:val="fr-FR"/>
        </w:rPr>
        <w:t>était</w:t>
      </w:r>
      <w:r w:rsidRPr="007B3DB3">
        <w:rPr>
          <w:rFonts w:eastAsia="Malgun Gothic"/>
          <w:bCs/>
          <w:lang w:val="fr-FR"/>
        </w:rPr>
        <w:t xml:space="preserve"> réfugiée en Égypte à la recherche de la paix et qu</w:t>
      </w:r>
      <w:r w:rsidR="00923E72">
        <w:rPr>
          <w:rFonts w:eastAsia="Malgun Gothic"/>
          <w:bCs/>
          <w:lang w:val="fr-FR"/>
        </w:rPr>
        <w:t>’</w:t>
      </w:r>
      <w:r w:rsidRPr="007B3DB3">
        <w:rPr>
          <w:rFonts w:eastAsia="Malgun Gothic"/>
          <w:bCs/>
          <w:lang w:val="fr-FR"/>
        </w:rPr>
        <w:t>il s</w:t>
      </w:r>
      <w:r w:rsidR="00923E72">
        <w:rPr>
          <w:rFonts w:eastAsia="Malgun Gothic"/>
          <w:bCs/>
          <w:lang w:val="fr-FR"/>
        </w:rPr>
        <w:t>’</w:t>
      </w:r>
      <w:r w:rsidRPr="007B3DB3">
        <w:rPr>
          <w:rFonts w:eastAsia="Malgun Gothic"/>
          <w:bCs/>
          <w:lang w:val="fr-FR"/>
        </w:rPr>
        <w:t>agit d</w:t>
      </w:r>
      <w:r w:rsidR="00923E72">
        <w:rPr>
          <w:rFonts w:eastAsia="Malgun Gothic"/>
          <w:bCs/>
          <w:lang w:val="fr-FR"/>
        </w:rPr>
        <w:t>’</w:t>
      </w:r>
      <w:r w:rsidRPr="007B3DB3">
        <w:rPr>
          <w:rFonts w:eastAsia="Malgun Gothic"/>
          <w:bCs/>
          <w:lang w:val="fr-FR"/>
        </w:rPr>
        <w:t>un patrimoine vivant pratiqué par toutes les communautés, transcendant les barrières entre ses détenteurs, quels que soient leur âge, leur sexe, leur appartenance ethnique et, plus important encore, leurs confessions</w:t>
      </w:r>
      <w:r w:rsidR="000278CB">
        <w:rPr>
          <w:rFonts w:eastAsia="Malgun Gothic"/>
          <w:bCs/>
          <w:lang w:val="fr-FR"/>
        </w:rPr>
        <w:t>,</w:t>
      </w:r>
      <w:r w:rsidRPr="007B3DB3">
        <w:rPr>
          <w:rFonts w:eastAsia="Malgun Gothic"/>
          <w:bCs/>
          <w:lang w:val="fr-FR"/>
        </w:rPr>
        <w:t xml:space="preserve"> musulmanes et chrétiennes. Cet élément était non seulement important pour l</w:t>
      </w:r>
      <w:r w:rsidR="00923E72">
        <w:rPr>
          <w:rFonts w:eastAsia="Malgun Gothic"/>
          <w:bCs/>
          <w:lang w:val="fr-FR"/>
        </w:rPr>
        <w:t>’</w:t>
      </w:r>
      <w:r w:rsidRPr="007B3DB3">
        <w:rPr>
          <w:rFonts w:eastAsia="Malgun Gothic"/>
          <w:bCs/>
          <w:lang w:val="fr-FR"/>
        </w:rPr>
        <w:t>Égypte, mais également pour la Convention elle</w:t>
      </w:r>
      <w:r w:rsidR="000278CB">
        <w:rPr>
          <w:rFonts w:eastAsia="Malgun Gothic"/>
          <w:bCs/>
          <w:lang w:val="fr-FR"/>
        </w:rPr>
        <w:noBreakHyphen/>
      </w:r>
      <w:r w:rsidRPr="007B3DB3">
        <w:rPr>
          <w:rFonts w:eastAsia="Malgun Gothic"/>
          <w:bCs/>
          <w:lang w:val="fr-FR"/>
        </w:rPr>
        <w:t>même, car il s</w:t>
      </w:r>
      <w:r w:rsidR="00923E72">
        <w:rPr>
          <w:rFonts w:eastAsia="Malgun Gothic"/>
          <w:bCs/>
          <w:lang w:val="fr-FR"/>
        </w:rPr>
        <w:t>’</w:t>
      </w:r>
      <w:r w:rsidRPr="007B3DB3">
        <w:rPr>
          <w:rFonts w:eastAsia="Malgun Gothic"/>
          <w:bCs/>
          <w:lang w:val="fr-FR"/>
        </w:rPr>
        <w:t>agissait d</w:t>
      </w:r>
      <w:r w:rsidR="00923E72">
        <w:rPr>
          <w:rFonts w:eastAsia="Malgun Gothic"/>
          <w:bCs/>
          <w:lang w:val="fr-FR"/>
        </w:rPr>
        <w:t>’</w:t>
      </w:r>
      <w:r w:rsidRPr="007B3DB3">
        <w:rPr>
          <w:rFonts w:eastAsia="Malgun Gothic"/>
          <w:bCs/>
          <w:lang w:val="fr-FR"/>
        </w:rPr>
        <w:t>un message de paix fondé sur un patrimoine immatériel qui met l</w:t>
      </w:r>
      <w:r w:rsidR="00923E72">
        <w:rPr>
          <w:rFonts w:eastAsia="Malgun Gothic"/>
          <w:bCs/>
          <w:lang w:val="fr-FR"/>
        </w:rPr>
        <w:t>’</w:t>
      </w:r>
      <w:r w:rsidRPr="007B3DB3">
        <w:rPr>
          <w:rFonts w:eastAsia="Malgun Gothic"/>
          <w:bCs/>
          <w:lang w:val="fr-FR"/>
        </w:rPr>
        <w:t>accent sur la cohésion sociale et l</w:t>
      </w:r>
      <w:r w:rsidR="00923E72">
        <w:rPr>
          <w:rFonts w:eastAsia="Malgun Gothic"/>
          <w:bCs/>
          <w:lang w:val="fr-FR"/>
        </w:rPr>
        <w:t>’</w:t>
      </w:r>
      <w:r w:rsidRPr="007B3DB3">
        <w:rPr>
          <w:rFonts w:eastAsia="Malgun Gothic"/>
          <w:bCs/>
          <w:lang w:val="fr-FR"/>
        </w:rPr>
        <w:t>harmonie au sein de la communauté et qui favorise la paix et le dialogue entre les religions. Cette inscription était dédiée à tous les détenteurs qui entretiennent l</w:t>
      </w:r>
      <w:r w:rsidR="00923E72">
        <w:rPr>
          <w:rFonts w:eastAsia="Malgun Gothic"/>
          <w:bCs/>
          <w:lang w:val="fr-FR"/>
        </w:rPr>
        <w:t>’</w:t>
      </w:r>
      <w:r w:rsidRPr="007B3DB3">
        <w:rPr>
          <w:rFonts w:eastAsia="Malgun Gothic"/>
          <w:bCs/>
          <w:lang w:val="fr-FR"/>
        </w:rPr>
        <w:t>élément et avaient confié à l</w:t>
      </w:r>
      <w:r w:rsidR="00923E72">
        <w:rPr>
          <w:rFonts w:eastAsia="Malgun Gothic"/>
          <w:bCs/>
          <w:lang w:val="fr-FR"/>
        </w:rPr>
        <w:t>’</w:t>
      </w:r>
      <w:r w:rsidRPr="007B3DB3">
        <w:rPr>
          <w:rFonts w:eastAsia="Malgun Gothic"/>
          <w:bCs/>
          <w:lang w:val="fr-FR"/>
        </w:rPr>
        <w:t>équipe de candidature le soin de transmettre leur message de paix à ce Comité.</w:t>
      </w:r>
    </w:p>
    <w:p w14:paraId="7FA69A46" w14:textId="5446CE8E" w:rsidR="007B3DB3" w:rsidRDefault="0065506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5506B">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 xml:space="preserve">évaluation </w:t>
      </w:r>
      <w:r w:rsidRPr="0065506B">
        <w:rPr>
          <w:rFonts w:eastAsia="Malgun Gothic"/>
          <w:bCs/>
          <w:lang w:val="fr-FR"/>
        </w:rPr>
        <w:t xml:space="preserve">est passé au dossier de candidature suivant, </w:t>
      </w:r>
      <w:r w:rsidRPr="00702497">
        <w:rPr>
          <w:rFonts w:eastAsia="Malgun Gothic"/>
          <w:b/>
          <w:lang w:val="fr-FR"/>
        </w:rPr>
        <w:t xml:space="preserve">les savoir-faire artisanaux et la culture </w:t>
      </w:r>
      <w:r>
        <w:rPr>
          <w:rFonts w:eastAsia="Malgun Gothic"/>
          <w:b/>
          <w:lang w:val="fr-FR"/>
        </w:rPr>
        <w:t xml:space="preserve">de la </w:t>
      </w:r>
      <w:r w:rsidRPr="00702497">
        <w:rPr>
          <w:rFonts w:eastAsia="Malgun Gothic"/>
          <w:b/>
          <w:lang w:val="fr-FR"/>
        </w:rPr>
        <w:t>baguette</w:t>
      </w:r>
      <w:r>
        <w:rPr>
          <w:rFonts w:eastAsia="Malgun Gothic"/>
          <w:b/>
          <w:lang w:val="fr-FR"/>
        </w:rPr>
        <w:t xml:space="preserve"> de pain</w:t>
      </w:r>
      <w:r w:rsidRPr="0065506B">
        <w:rPr>
          <w:rFonts w:eastAsia="Malgun Gothic"/>
          <w:bCs/>
          <w:lang w:val="fr-FR"/>
        </w:rPr>
        <w:t xml:space="preserve"> [projet de décision</w:t>
      </w:r>
      <w:r w:rsidR="000278CB">
        <w:rPr>
          <w:rFonts w:eastAsia="Malgun Gothic"/>
          <w:bCs/>
          <w:lang w:val="fr-FR"/>
        </w:rPr>
        <w:t> </w:t>
      </w:r>
      <w:r w:rsidRPr="0065506B">
        <w:rPr>
          <w:rFonts w:eastAsia="Malgun Gothic"/>
          <w:bCs/>
          <w:lang w:val="fr-FR"/>
        </w:rPr>
        <w:t>7.b.8]</w:t>
      </w:r>
      <w:r>
        <w:rPr>
          <w:rFonts w:eastAsia="Malgun Gothic"/>
          <w:bCs/>
          <w:lang w:val="fr-FR"/>
        </w:rPr>
        <w:t>,</w:t>
      </w:r>
      <w:r w:rsidRPr="0065506B">
        <w:rPr>
          <w:rFonts w:eastAsia="Malgun Gothic"/>
          <w:bCs/>
          <w:lang w:val="fr-FR"/>
        </w:rPr>
        <w:t xml:space="preserve"> soumis par la </w:t>
      </w:r>
      <w:r w:rsidRPr="00702497">
        <w:rPr>
          <w:rFonts w:eastAsia="Malgun Gothic"/>
          <w:b/>
          <w:lang w:val="fr-FR"/>
        </w:rPr>
        <w:t>France</w:t>
      </w:r>
      <w:r w:rsidRPr="0065506B">
        <w:rPr>
          <w:rFonts w:eastAsia="Malgun Gothic"/>
          <w:bCs/>
          <w:lang w:val="fr-FR"/>
        </w:rPr>
        <w:t>, expliquant que le savoir-faire traditionnel associé à la baguette implique un proc</w:t>
      </w:r>
      <w:r>
        <w:rPr>
          <w:rFonts w:eastAsia="Malgun Gothic"/>
          <w:bCs/>
          <w:lang w:val="fr-FR"/>
        </w:rPr>
        <w:t xml:space="preserve">édé </w:t>
      </w:r>
      <w:r w:rsidRPr="0065506B">
        <w:rPr>
          <w:rFonts w:eastAsia="Malgun Gothic"/>
          <w:bCs/>
          <w:lang w:val="fr-FR"/>
        </w:rPr>
        <w:t xml:space="preserve">de fabrication traditionnel qui comprend </w:t>
      </w:r>
      <w:r>
        <w:rPr>
          <w:rFonts w:eastAsia="Malgun Gothic"/>
          <w:bCs/>
          <w:lang w:val="fr-FR"/>
        </w:rPr>
        <w:t xml:space="preserve">une succession </w:t>
      </w:r>
      <w:r w:rsidR="00E14854">
        <w:rPr>
          <w:rFonts w:eastAsia="Malgun Gothic"/>
          <w:bCs/>
          <w:lang w:val="fr-FR"/>
        </w:rPr>
        <w:t>d</w:t>
      </w:r>
      <w:r w:rsidR="00923E72">
        <w:rPr>
          <w:rFonts w:eastAsia="Malgun Gothic"/>
          <w:bCs/>
          <w:lang w:val="fr-FR"/>
        </w:rPr>
        <w:t>’</w:t>
      </w:r>
      <w:r w:rsidRPr="0065506B">
        <w:rPr>
          <w:rFonts w:eastAsia="Malgun Gothic"/>
          <w:bCs/>
          <w:lang w:val="fr-FR"/>
        </w:rPr>
        <w:t>étapes</w:t>
      </w:r>
      <w:r>
        <w:rPr>
          <w:rFonts w:eastAsia="Malgun Gothic"/>
          <w:bCs/>
          <w:lang w:val="fr-FR"/>
        </w:rPr>
        <w:t xml:space="preserve"> : </w:t>
      </w:r>
      <w:r w:rsidRPr="0065506B">
        <w:rPr>
          <w:rFonts w:eastAsia="Malgun Gothic"/>
          <w:bCs/>
          <w:lang w:val="fr-FR"/>
        </w:rPr>
        <w:t>dosage et pes</w:t>
      </w:r>
      <w:r>
        <w:rPr>
          <w:rFonts w:eastAsia="Malgun Gothic"/>
          <w:bCs/>
          <w:lang w:val="fr-FR"/>
        </w:rPr>
        <w:t>age</w:t>
      </w:r>
      <w:r w:rsidRPr="0065506B">
        <w:rPr>
          <w:rFonts w:eastAsia="Malgun Gothic"/>
          <w:bCs/>
          <w:lang w:val="fr-FR"/>
        </w:rPr>
        <w:t xml:space="preserve"> des ingrédients</w:t>
      </w:r>
      <w:r w:rsidR="00BD44CB">
        <w:rPr>
          <w:rFonts w:eastAsia="Malgun Gothic"/>
          <w:bCs/>
          <w:lang w:val="fr-FR"/>
        </w:rPr>
        <w:t>,</w:t>
      </w:r>
      <w:r w:rsidRPr="0065506B">
        <w:rPr>
          <w:rFonts w:eastAsia="Malgun Gothic"/>
          <w:bCs/>
          <w:lang w:val="fr-FR"/>
        </w:rPr>
        <w:t xml:space="preserve"> pétrissage</w:t>
      </w:r>
      <w:r w:rsidR="00BD44CB">
        <w:rPr>
          <w:rFonts w:eastAsia="Malgun Gothic"/>
          <w:bCs/>
          <w:lang w:val="fr-FR"/>
        </w:rPr>
        <w:t>,</w:t>
      </w:r>
      <w:r w:rsidRPr="0065506B">
        <w:rPr>
          <w:rFonts w:eastAsia="Malgun Gothic"/>
          <w:bCs/>
          <w:lang w:val="fr-FR"/>
        </w:rPr>
        <w:t xml:space="preserve"> fermentation</w:t>
      </w:r>
      <w:r w:rsidR="00BD44CB">
        <w:rPr>
          <w:rFonts w:eastAsia="Malgun Gothic"/>
          <w:bCs/>
          <w:lang w:val="fr-FR"/>
        </w:rPr>
        <w:t>,</w:t>
      </w:r>
      <w:r>
        <w:rPr>
          <w:rFonts w:eastAsia="Malgun Gothic"/>
          <w:bCs/>
          <w:lang w:val="fr-FR"/>
        </w:rPr>
        <w:t xml:space="preserve"> </w:t>
      </w:r>
      <w:r w:rsidRPr="0065506B">
        <w:rPr>
          <w:rFonts w:eastAsia="Malgun Gothic"/>
          <w:bCs/>
          <w:lang w:val="fr-FR"/>
        </w:rPr>
        <w:t xml:space="preserve">assouplissement et façonnage manuel de la pâte, </w:t>
      </w:r>
      <w:r>
        <w:rPr>
          <w:rFonts w:eastAsia="Malgun Gothic"/>
          <w:bCs/>
          <w:lang w:val="fr-FR"/>
        </w:rPr>
        <w:t>apprêt</w:t>
      </w:r>
      <w:r w:rsidR="00BD44CB">
        <w:rPr>
          <w:rFonts w:eastAsia="Malgun Gothic"/>
          <w:bCs/>
          <w:lang w:val="fr-FR"/>
        </w:rPr>
        <w:t xml:space="preserve">, </w:t>
      </w:r>
      <w:r w:rsidRPr="0065506B">
        <w:rPr>
          <w:rFonts w:eastAsia="Malgun Gothic"/>
          <w:bCs/>
          <w:lang w:val="fr-FR"/>
        </w:rPr>
        <w:t>scarification (la signature du boulanger)</w:t>
      </w:r>
      <w:r>
        <w:rPr>
          <w:rFonts w:eastAsia="Malgun Gothic"/>
          <w:bCs/>
          <w:lang w:val="fr-FR"/>
        </w:rPr>
        <w:t xml:space="preserve"> </w:t>
      </w:r>
      <w:r w:rsidRPr="0065506B">
        <w:rPr>
          <w:rFonts w:eastAsia="Malgun Gothic"/>
          <w:bCs/>
          <w:lang w:val="fr-FR"/>
        </w:rPr>
        <w:t>et cuisson. Après avoir entamé un dialogue sur le critère</w:t>
      </w:r>
      <w:r>
        <w:rPr>
          <w:rFonts w:eastAsia="Malgun Gothic"/>
          <w:bCs/>
          <w:lang w:val="fr-FR"/>
        </w:rPr>
        <w:t> </w:t>
      </w:r>
      <w:r w:rsidRPr="0065506B">
        <w:rPr>
          <w:rFonts w:eastAsia="Malgun Gothic"/>
          <w:bCs/>
          <w:lang w:val="fr-FR"/>
        </w:rPr>
        <w:t>R.3 afin de mieux comprendre si les procédures de production standard de la baguette pouvaient limiter la créativité humaine, l</w:t>
      </w:r>
      <w:r w:rsidR="00923E72">
        <w:rPr>
          <w:rFonts w:eastAsia="Malgun Gothic"/>
          <w:bCs/>
          <w:lang w:val="fr-FR"/>
        </w:rPr>
        <w:t>’</w:t>
      </w:r>
      <w:r w:rsidRPr="0065506B">
        <w:rPr>
          <w:rFonts w:eastAsia="Malgun Gothic"/>
          <w:bCs/>
          <w:lang w:val="fr-FR"/>
        </w:rPr>
        <w:t>Organe d</w:t>
      </w:r>
      <w:r w:rsidR="00923E72">
        <w:rPr>
          <w:rFonts w:eastAsia="Malgun Gothic"/>
          <w:bCs/>
          <w:lang w:val="fr-FR"/>
        </w:rPr>
        <w:t>’</w:t>
      </w:r>
      <w:r w:rsidRPr="0065506B">
        <w:rPr>
          <w:rFonts w:eastAsia="Malgun Gothic"/>
          <w:bCs/>
          <w:lang w:val="fr-FR"/>
        </w:rPr>
        <w:t>évaluation avait estimé que la candidature satisfaisait à l</w:t>
      </w:r>
      <w:r w:rsidR="00923E72">
        <w:rPr>
          <w:rFonts w:eastAsia="Malgun Gothic"/>
          <w:bCs/>
          <w:lang w:val="fr-FR"/>
        </w:rPr>
        <w:t>’</w:t>
      </w:r>
      <w:r w:rsidRPr="0065506B">
        <w:rPr>
          <w:rFonts w:eastAsia="Malgun Gothic"/>
          <w:bCs/>
          <w:lang w:val="fr-FR"/>
        </w:rPr>
        <w:t>ensemble des cinq critères. Le dossier soulignait la manière dont l</w:t>
      </w:r>
      <w:r w:rsidR="00923E72">
        <w:rPr>
          <w:rFonts w:eastAsia="Malgun Gothic"/>
          <w:bCs/>
          <w:lang w:val="fr-FR"/>
        </w:rPr>
        <w:t>’</w:t>
      </w:r>
      <w:r w:rsidRPr="0065506B">
        <w:rPr>
          <w:rFonts w:eastAsia="Malgun Gothic"/>
          <w:bCs/>
          <w:lang w:val="fr-FR"/>
        </w:rPr>
        <w:t>élément génère des modes de consommation et des pratiques sociales qui le différencient des autres pains. Le dossier décrivait la participation des communautés au processus de candidature et la création de trois comités</w:t>
      </w:r>
      <w:r w:rsidR="00446E23">
        <w:rPr>
          <w:rFonts w:eastAsia="Malgun Gothic"/>
          <w:bCs/>
          <w:lang w:val="fr-FR"/>
        </w:rPr>
        <w:t xml:space="preserve">, un comité </w:t>
      </w:r>
      <w:r w:rsidRPr="0065506B">
        <w:rPr>
          <w:rFonts w:eastAsia="Malgun Gothic"/>
          <w:bCs/>
          <w:lang w:val="fr-FR"/>
        </w:rPr>
        <w:t xml:space="preserve">de </w:t>
      </w:r>
      <w:r w:rsidRPr="0065506B">
        <w:rPr>
          <w:rFonts w:eastAsia="Malgun Gothic"/>
          <w:bCs/>
          <w:lang w:val="fr-FR"/>
        </w:rPr>
        <w:lastRenderedPageBreak/>
        <w:t>pilotage</w:t>
      </w:r>
      <w:r w:rsidR="00446E23">
        <w:rPr>
          <w:rFonts w:eastAsia="Malgun Gothic"/>
          <w:bCs/>
          <w:lang w:val="fr-FR"/>
        </w:rPr>
        <w:t>,</w:t>
      </w:r>
      <w:r w:rsidRPr="0065506B">
        <w:rPr>
          <w:rFonts w:eastAsia="Malgun Gothic"/>
          <w:bCs/>
          <w:lang w:val="fr-FR"/>
        </w:rPr>
        <w:t xml:space="preserve"> </w:t>
      </w:r>
      <w:r w:rsidR="00446E23">
        <w:rPr>
          <w:rFonts w:eastAsia="Malgun Gothic"/>
          <w:bCs/>
          <w:lang w:val="fr-FR"/>
        </w:rPr>
        <w:t xml:space="preserve">un comité </w:t>
      </w:r>
      <w:r w:rsidRPr="0065506B">
        <w:rPr>
          <w:rFonts w:eastAsia="Malgun Gothic"/>
          <w:bCs/>
          <w:lang w:val="fr-FR"/>
        </w:rPr>
        <w:t xml:space="preserve">scientifique et </w:t>
      </w:r>
      <w:r w:rsidR="00446E23">
        <w:rPr>
          <w:rFonts w:eastAsia="Malgun Gothic"/>
          <w:bCs/>
          <w:lang w:val="fr-FR"/>
        </w:rPr>
        <w:t xml:space="preserve">un comité </w:t>
      </w:r>
      <w:r w:rsidRPr="0065506B">
        <w:rPr>
          <w:rFonts w:eastAsia="Malgun Gothic"/>
          <w:bCs/>
          <w:lang w:val="fr-FR"/>
        </w:rPr>
        <w:t>de soutien</w:t>
      </w:r>
      <w:r w:rsidR="00446E23">
        <w:rPr>
          <w:rFonts w:eastAsia="Malgun Gothic"/>
          <w:bCs/>
          <w:lang w:val="fr-FR"/>
        </w:rPr>
        <w:t>,</w:t>
      </w:r>
      <w:r w:rsidRPr="0065506B">
        <w:rPr>
          <w:rFonts w:eastAsia="Malgun Gothic"/>
          <w:bCs/>
          <w:lang w:val="fr-FR"/>
        </w:rPr>
        <w:t xml:space="preserve"> afin d</w:t>
      </w:r>
      <w:r w:rsidR="00DB169C">
        <w:rPr>
          <w:rFonts w:eastAsia="Malgun Gothic"/>
          <w:bCs/>
          <w:lang w:val="fr-FR"/>
        </w:rPr>
        <w:t xml:space="preserve">e faire </w:t>
      </w:r>
      <w:r w:rsidRPr="0065506B">
        <w:rPr>
          <w:rFonts w:eastAsia="Malgun Gothic"/>
          <w:bCs/>
          <w:lang w:val="fr-FR"/>
        </w:rPr>
        <w:t>avancer la candidature en démontrant une large participation de la communauté. L</w:t>
      </w:r>
      <w:r w:rsidR="00923E72">
        <w:rPr>
          <w:rFonts w:eastAsia="Malgun Gothic"/>
          <w:bCs/>
          <w:lang w:val="fr-FR"/>
        </w:rPr>
        <w:t>’</w:t>
      </w:r>
      <w:r w:rsidRPr="0065506B">
        <w:rPr>
          <w:rFonts w:eastAsia="Malgun Gothic"/>
          <w:bCs/>
          <w:lang w:val="fr-FR"/>
        </w:rPr>
        <w:t>Organe recommandait l</w:t>
      </w:r>
      <w:r w:rsidR="00923E72">
        <w:rPr>
          <w:rFonts w:eastAsia="Malgun Gothic"/>
          <w:bCs/>
          <w:lang w:val="fr-FR"/>
        </w:rPr>
        <w:t>’</w:t>
      </w:r>
      <w:r w:rsidRPr="0065506B">
        <w:rPr>
          <w:rFonts w:eastAsia="Malgun Gothic"/>
          <w:bCs/>
          <w:lang w:val="fr-FR"/>
        </w:rPr>
        <w:t>inscription d</w:t>
      </w:r>
      <w:r w:rsidR="00DB169C">
        <w:rPr>
          <w:rFonts w:eastAsia="Malgun Gothic"/>
          <w:bCs/>
          <w:lang w:val="fr-FR"/>
        </w:rPr>
        <w:t>es</w:t>
      </w:r>
      <w:r w:rsidRPr="0065506B">
        <w:rPr>
          <w:rFonts w:eastAsia="Malgun Gothic"/>
          <w:bCs/>
          <w:lang w:val="fr-FR"/>
        </w:rPr>
        <w:t xml:space="preserve"> savoir</w:t>
      </w:r>
      <w:r w:rsidR="00DB169C">
        <w:rPr>
          <w:rFonts w:eastAsia="Malgun Gothic"/>
          <w:bCs/>
          <w:lang w:val="fr-FR"/>
        </w:rPr>
        <w:noBreakHyphen/>
      </w:r>
      <w:r w:rsidRPr="0065506B">
        <w:rPr>
          <w:rFonts w:eastAsia="Malgun Gothic"/>
          <w:bCs/>
          <w:lang w:val="fr-FR"/>
        </w:rPr>
        <w:t>faire artisana</w:t>
      </w:r>
      <w:r w:rsidR="00DB169C">
        <w:rPr>
          <w:rFonts w:eastAsia="Malgun Gothic"/>
          <w:bCs/>
          <w:lang w:val="fr-FR"/>
        </w:rPr>
        <w:t>ux</w:t>
      </w:r>
      <w:r w:rsidRPr="0065506B">
        <w:rPr>
          <w:rFonts w:eastAsia="Malgun Gothic"/>
          <w:bCs/>
          <w:lang w:val="fr-FR"/>
        </w:rPr>
        <w:t xml:space="preserve"> et de la culture de la baguette sur la Liste représentative.</w:t>
      </w:r>
    </w:p>
    <w:p w14:paraId="37F67DE2" w14:textId="295F2D4C" w:rsidR="00DB169C" w:rsidRDefault="00DB169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0278CB">
        <w:rPr>
          <w:rFonts w:eastAsia="Malgun Gothic"/>
          <w:b/>
          <w:lang w:val="fr-FR"/>
        </w:rPr>
        <w:t> </w:t>
      </w:r>
      <w:r w:rsidR="00751FB1">
        <w:fldChar w:fldCharType="begin"/>
      </w:r>
      <w:r w:rsidR="00751FB1" w:rsidRPr="00751FB1">
        <w:rPr>
          <w:lang w:val="fr-FR"/>
        </w:rPr>
        <w:instrText>HYPERLINK "https://ich.unesco.org/fr/Decisions/17.COM/7.b.8"</w:instrText>
      </w:r>
      <w:r w:rsidR="00751FB1">
        <w:fldChar w:fldCharType="separate"/>
      </w:r>
      <w:r w:rsidRPr="00702497">
        <w:rPr>
          <w:rStyle w:val="Hyperlink"/>
          <w:b/>
          <w:bCs/>
          <w:lang w:val="fr-FR"/>
        </w:rPr>
        <w:t>17.COM 7.b.8</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0C4627">
        <w:rPr>
          <w:rFonts w:eastAsia="Malgun Gothic"/>
          <w:b/>
          <w:lang w:val="fr-FR"/>
        </w:rPr>
        <w:t xml:space="preserve">les savoir-faire artisanaux et la culture </w:t>
      </w:r>
      <w:r>
        <w:rPr>
          <w:rFonts w:eastAsia="Malgun Gothic"/>
          <w:b/>
          <w:lang w:val="fr-FR"/>
        </w:rPr>
        <w:t xml:space="preserve">de la </w:t>
      </w:r>
      <w:r w:rsidRPr="000C4627">
        <w:rPr>
          <w:rFonts w:eastAsia="Malgun Gothic"/>
          <w:b/>
          <w:lang w:val="fr-FR"/>
        </w:rPr>
        <w:t>baguette</w:t>
      </w:r>
      <w:r>
        <w:rPr>
          <w:rFonts w:eastAsia="Malgun Gothic"/>
          <w:b/>
          <w:lang w:val="fr-FR"/>
        </w:rPr>
        <w:t xml:space="preserve"> de pain sur la Liste représentative</w:t>
      </w:r>
      <w:r>
        <w:rPr>
          <w:rFonts w:eastAsia="Malgun Gothic"/>
          <w:bCs/>
          <w:lang w:val="fr-FR"/>
        </w:rPr>
        <w:t>.</w:t>
      </w:r>
    </w:p>
    <w:p w14:paraId="13B31807" w14:textId="54D2ABCA" w:rsidR="00DB169C" w:rsidRDefault="00DB169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B169C">
        <w:rPr>
          <w:rFonts w:eastAsia="Malgun Gothic"/>
          <w:bCs/>
          <w:lang w:val="fr-FR"/>
        </w:rPr>
        <w:t xml:space="preserve">La délégation de la </w:t>
      </w:r>
      <w:r w:rsidRPr="00702497">
        <w:rPr>
          <w:rFonts w:eastAsia="Malgun Gothic"/>
          <w:b/>
          <w:lang w:val="fr-FR"/>
        </w:rPr>
        <w:t>France</w:t>
      </w:r>
      <w:r w:rsidRPr="00DB169C">
        <w:rPr>
          <w:rFonts w:eastAsia="Malgun Gothic"/>
          <w:bCs/>
          <w:lang w:val="fr-FR"/>
        </w:rPr>
        <w:t xml:space="preserve"> a évoqué les deux années de campagne en faveur de la baguette et a remercié le Comité de soutenir la valeur immatérielle universelle de la baguette.</w:t>
      </w:r>
    </w:p>
    <w:p w14:paraId="31153754" w14:textId="6805EF88" w:rsidR="00DB169C" w:rsidRDefault="00DB169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B169C">
        <w:rPr>
          <w:rFonts w:eastAsia="Malgun Gothic"/>
          <w:bCs/>
          <w:lang w:val="fr-FR"/>
        </w:rPr>
        <w:t xml:space="preserve">Le </w:t>
      </w:r>
      <w:r w:rsidRPr="00702497">
        <w:rPr>
          <w:rFonts w:eastAsia="Malgun Gothic"/>
          <w:b/>
          <w:lang w:val="fr-FR"/>
        </w:rPr>
        <w:t>président de la Confédération nationale des boulangers</w:t>
      </w:r>
      <w:r w:rsidRPr="00DB169C">
        <w:rPr>
          <w:rFonts w:eastAsia="Malgun Gothic"/>
          <w:bCs/>
          <w:lang w:val="fr-FR"/>
        </w:rPr>
        <w:t xml:space="preserve">, M. Dominique </w:t>
      </w:r>
      <w:proofErr w:type="spellStart"/>
      <w:r w:rsidRPr="00DB169C">
        <w:rPr>
          <w:rFonts w:eastAsia="Malgun Gothic"/>
          <w:bCs/>
          <w:lang w:val="fr-FR"/>
        </w:rPr>
        <w:t>Anract</w:t>
      </w:r>
      <w:proofErr w:type="spellEnd"/>
      <w:r w:rsidRPr="00DB169C">
        <w:rPr>
          <w:rFonts w:eastAsia="Malgun Gothic"/>
          <w:bCs/>
          <w:lang w:val="fr-FR"/>
        </w:rPr>
        <w:t>, a évoqué son honneur de représenter la communauté des artisans boulangers et de défendre la candidature des savoir-faire artisanaux et de la culture de la baguette. Ce processus de candidature avait été lancé en</w:t>
      </w:r>
      <w:r w:rsidR="001A7AF7">
        <w:rPr>
          <w:rFonts w:eastAsia="Malgun Gothic"/>
          <w:bCs/>
          <w:lang w:val="fr-FR"/>
        </w:rPr>
        <w:t> </w:t>
      </w:r>
      <w:r w:rsidRPr="00DB169C">
        <w:rPr>
          <w:rFonts w:eastAsia="Malgun Gothic"/>
          <w:bCs/>
          <w:lang w:val="fr-FR"/>
        </w:rPr>
        <w:t>2017 pour préserver le patrimoine des boulangers, mais également pour les amoureux de la baguette à travers le monde. Deux idées clés structuraient ce dossier. Tout d</w:t>
      </w:r>
      <w:r w:rsidR="00923E72">
        <w:rPr>
          <w:rFonts w:eastAsia="Malgun Gothic"/>
          <w:bCs/>
          <w:lang w:val="fr-FR"/>
        </w:rPr>
        <w:t>’</w:t>
      </w:r>
      <w:r w:rsidRPr="00DB169C">
        <w:rPr>
          <w:rFonts w:eastAsia="Malgun Gothic"/>
          <w:bCs/>
          <w:lang w:val="fr-FR"/>
        </w:rPr>
        <w:t>abord, le métier artisanal. Une baguette comport</w:t>
      </w:r>
      <w:r w:rsidR="00BD44CB">
        <w:rPr>
          <w:rFonts w:eastAsia="Malgun Gothic"/>
          <w:bCs/>
          <w:lang w:val="fr-FR"/>
        </w:rPr>
        <w:t>ait</w:t>
      </w:r>
      <w:r w:rsidRPr="00DB169C">
        <w:rPr>
          <w:rFonts w:eastAsia="Malgun Gothic"/>
          <w:bCs/>
          <w:lang w:val="fr-FR"/>
        </w:rPr>
        <w:t xml:space="preserve"> très peu d</w:t>
      </w:r>
      <w:r w:rsidR="00923E72">
        <w:rPr>
          <w:rFonts w:eastAsia="Malgun Gothic"/>
          <w:bCs/>
          <w:lang w:val="fr-FR"/>
        </w:rPr>
        <w:t>’</w:t>
      </w:r>
      <w:r w:rsidRPr="00DB169C">
        <w:rPr>
          <w:rFonts w:eastAsia="Malgun Gothic"/>
          <w:bCs/>
          <w:lang w:val="fr-FR"/>
        </w:rPr>
        <w:t>ingrédients</w:t>
      </w:r>
      <w:r w:rsidR="000278CB">
        <w:rPr>
          <w:rFonts w:eastAsia="Malgun Gothic"/>
          <w:bCs/>
          <w:lang w:val="fr-FR"/>
        </w:rPr>
        <w:t> </w:t>
      </w:r>
      <w:r w:rsidRPr="00DB169C">
        <w:rPr>
          <w:rFonts w:eastAsia="Malgun Gothic"/>
          <w:bCs/>
          <w:lang w:val="fr-FR"/>
        </w:rPr>
        <w:t>: farine, eau, sel, levure ou levain. Cependant, chaque baguette était unique car l</w:t>
      </w:r>
      <w:r w:rsidR="00923E72">
        <w:rPr>
          <w:rFonts w:eastAsia="Malgun Gothic"/>
          <w:bCs/>
          <w:lang w:val="fr-FR"/>
        </w:rPr>
        <w:t>’</w:t>
      </w:r>
      <w:r w:rsidRPr="00DB169C">
        <w:rPr>
          <w:rFonts w:eastAsia="Malgun Gothic"/>
          <w:bCs/>
          <w:lang w:val="fr-FR"/>
        </w:rPr>
        <w:t xml:space="preserve">ingrédient essentiel, le plus important, était le savoir-faire du boulanger. Il a rappelé que </w:t>
      </w:r>
      <w:r w:rsidR="00BD44CB">
        <w:rPr>
          <w:rFonts w:eastAsia="Malgun Gothic"/>
          <w:bCs/>
          <w:lang w:val="fr-FR"/>
        </w:rPr>
        <w:t>l</w:t>
      </w:r>
      <w:r w:rsidRPr="00DB169C">
        <w:rPr>
          <w:rFonts w:eastAsia="Malgun Gothic"/>
          <w:bCs/>
          <w:lang w:val="fr-FR"/>
        </w:rPr>
        <w:t>a baguette est un pain que l</w:t>
      </w:r>
      <w:r w:rsidR="00923E72">
        <w:rPr>
          <w:rFonts w:eastAsia="Malgun Gothic"/>
          <w:bCs/>
          <w:lang w:val="fr-FR"/>
        </w:rPr>
        <w:t>’</w:t>
      </w:r>
      <w:r w:rsidRPr="00DB169C">
        <w:rPr>
          <w:rFonts w:eastAsia="Malgun Gothic"/>
          <w:bCs/>
          <w:lang w:val="fr-FR"/>
        </w:rPr>
        <w:t>on consomme frais et que l</w:t>
      </w:r>
      <w:r w:rsidR="00923E72">
        <w:rPr>
          <w:rFonts w:eastAsia="Malgun Gothic"/>
          <w:bCs/>
          <w:lang w:val="fr-FR"/>
        </w:rPr>
        <w:t>’</w:t>
      </w:r>
      <w:r w:rsidRPr="00DB169C">
        <w:rPr>
          <w:rFonts w:eastAsia="Malgun Gothic"/>
          <w:bCs/>
          <w:lang w:val="fr-FR"/>
        </w:rPr>
        <w:t>on achète tous les jours</w:t>
      </w:r>
      <w:r w:rsidR="00BD44CB">
        <w:rPr>
          <w:rFonts w:eastAsia="Malgun Gothic"/>
          <w:bCs/>
          <w:lang w:val="fr-FR"/>
        </w:rPr>
        <w:t>,</w:t>
      </w:r>
      <w:r w:rsidRPr="00DB169C">
        <w:rPr>
          <w:rFonts w:eastAsia="Malgun Gothic"/>
          <w:bCs/>
          <w:lang w:val="fr-FR"/>
        </w:rPr>
        <w:t xml:space="preserve"> et que </w:t>
      </w:r>
      <w:r w:rsidR="00BD44CB">
        <w:rPr>
          <w:rFonts w:eastAsia="Malgun Gothic"/>
          <w:bCs/>
          <w:lang w:val="fr-FR"/>
        </w:rPr>
        <w:t>l</w:t>
      </w:r>
      <w:r w:rsidRPr="00DB169C">
        <w:rPr>
          <w:rFonts w:eastAsia="Malgun Gothic"/>
          <w:bCs/>
          <w:lang w:val="fr-FR"/>
        </w:rPr>
        <w:t>es boulangers sont souvent le seul commerce ouvert dans les zones rurales. La baguette était un patrimoine vivant</w:t>
      </w:r>
      <w:r w:rsidR="00E14854">
        <w:rPr>
          <w:rFonts w:eastAsia="Malgun Gothic"/>
          <w:bCs/>
          <w:lang w:val="fr-FR"/>
        </w:rPr>
        <w:t>,</w:t>
      </w:r>
      <w:r w:rsidRPr="00DB169C">
        <w:rPr>
          <w:rFonts w:eastAsia="Malgun Gothic"/>
          <w:bCs/>
          <w:lang w:val="fr-FR"/>
        </w:rPr>
        <w:t xml:space="preserve"> qui nous accompagne tout au long de notre vie. Lorsqu</w:t>
      </w:r>
      <w:r w:rsidR="00923E72">
        <w:rPr>
          <w:rFonts w:eastAsia="Malgun Gothic"/>
          <w:bCs/>
          <w:lang w:val="fr-FR"/>
        </w:rPr>
        <w:t>’</w:t>
      </w:r>
      <w:r w:rsidRPr="00DB169C">
        <w:rPr>
          <w:rFonts w:eastAsia="Malgun Gothic"/>
          <w:bCs/>
          <w:lang w:val="fr-FR"/>
        </w:rPr>
        <w:t>un bébé faisait ses dents, ses parents lui donnaient un morceau de baguette à mâcher. Quand l</w:t>
      </w:r>
      <w:r w:rsidR="00923E72">
        <w:rPr>
          <w:rFonts w:eastAsia="Malgun Gothic"/>
          <w:bCs/>
          <w:lang w:val="fr-FR"/>
        </w:rPr>
        <w:t>’</w:t>
      </w:r>
      <w:r w:rsidRPr="00DB169C">
        <w:rPr>
          <w:rFonts w:eastAsia="Malgun Gothic"/>
          <w:bCs/>
          <w:lang w:val="fr-FR"/>
        </w:rPr>
        <w:t>enfant grandissait, sa première course était d</w:t>
      </w:r>
      <w:r w:rsidR="00923E72">
        <w:rPr>
          <w:rFonts w:eastAsia="Malgun Gothic"/>
          <w:bCs/>
          <w:lang w:val="fr-FR"/>
        </w:rPr>
        <w:t>’</w:t>
      </w:r>
      <w:r w:rsidR="00BD44CB">
        <w:rPr>
          <w:rFonts w:eastAsia="Malgun Gothic"/>
          <w:bCs/>
          <w:lang w:val="fr-FR"/>
        </w:rPr>
        <w:t xml:space="preserve">aller </w:t>
      </w:r>
      <w:r w:rsidRPr="00DB169C">
        <w:rPr>
          <w:rFonts w:eastAsia="Malgun Gothic"/>
          <w:bCs/>
          <w:lang w:val="fr-FR"/>
        </w:rPr>
        <w:t>acheter une baguette à la boulangerie. Pour nos aînés, l</w:t>
      </w:r>
      <w:r w:rsidR="00923E72">
        <w:rPr>
          <w:rFonts w:eastAsia="Malgun Gothic"/>
          <w:bCs/>
          <w:lang w:val="fr-FR"/>
        </w:rPr>
        <w:t>’</w:t>
      </w:r>
      <w:r w:rsidRPr="00DB169C">
        <w:rPr>
          <w:rFonts w:eastAsia="Malgun Gothic"/>
          <w:bCs/>
          <w:lang w:val="fr-FR"/>
        </w:rPr>
        <w:t>achat de la demi-baguette à la boulangerie était parfois le seul contact quotidien. En</w:t>
      </w:r>
      <w:r w:rsidR="00F30D2B">
        <w:rPr>
          <w:rFonts w:eastAsia="Malgun Gothic"/>
          <w:bCs/>
          <w:lang w:val="fr-FR"/>
        </w:rPr>
        <w:t> </w:t>
      </w:r>
      <w:r w:rsidRPr="00DB169C">
        <w:rPr>
          <w:rFonts w:eastAsia="Malgun Gothic"/>
          <w:bCs/>
          <w:lang w:val="fr-FR"/>
        </w:rPr>
        <w:t>1970, la France comptait 55</w:t>
      </w:r>
      <w:r w:rsidR="00BD44CB">
        <w:rPr>
          <w:rFonts w:eastAsia="Malgun Gothic"/>
          <w:bCs/>
          <w:lang w:val="fr-FR"/>
        </w:rPr>
        <w:t> </w:t>
      </w:r>
      <w:r w:rsidRPr="00DB169C">
        <w:rPr>
          <w:rFonts w:eastAsia="Malgun Gothic"/>
          <w:bCs/>
          <w:lang w:val="fr-FR"/>
        </w:rPr>
        <w:t>000 boulangeries artisanales.</w:t>
      </w:r>
      <w:r w:rsidR="00F30D2B">
        <w:rPr>
          <w:rFonts w:eastAsia="Malgun Gothic"/>
          <w:bCs/>
          <w:lang w:val="fr-FR"/>
        </w:rPr>
        <w:t xml:space="preserve"> Désormais</w:t>
      </w:r>
      <w:r w:rsidRPr="00DB169C">
        <w:rPr>
          <w:rFonts w:eastAsia="Malgun Gothic"/>
          <w:bCs/>
          <w:lang w:val="fr-FR"/>
        </w:rPr>
        <w:t>, il en restait</w:t>
      </w:r>
      <w:r w:rsidR="00F30D2B">
        <w:rPr>
          <w:rFonts w:eastAsia="Malgun Gothic"/>
          <w:bCs/>
          <w:lang w:val="fr-FR"/>
        </w:rPr>
        <w:t xml:space="preserve"> </w:t>
      </w:r>
      <w:r w:rsidRPr="00DB169C">
        <w:rPr>
          <w:rFonts w:eastAsia="Malgun Gothic"/>
          <w:bCs/>
          <w:lang w:val="fr-FR"/>
        </w:rPr>
        <w:t>35</w:t>
      </w:r>
      <w:r w:rsidR="00BD44CB">
        <w:rPr>
          <w:rFonts w:eastAsia="Malgun Gothic"/>
          <w:bCs/>
          <w:lang w:val="fr-FR"/>
        </w:rPr>
        <w:t> </w:t>
      </w:r>
      <w:r w:rsidRPr="00DB169C">
        <w:rPr>
          <w:rFonts w:eastAsia="Malgun Gothic"/>
          <w:bCs/>
          <w:lang w:val="fr-FR"/>
        </w:rPr>
        <w:t xml:space="preserve">000. Depuis cinquante ans, la profession avait perdu en moyenne 400 boulangeries par an. </w:t>
      </w:r>
      <w:r w:rsidR="00DA2E21">
        <w:rPr>
          <w:rFonts w:eastAsia="Malgun Gothic"/>
          <w:bCs/>
          <w:lang w:val="fr-FR"/>
        </w:rPr>
        <w:t>Pour cette raison,</w:t>
      </w:r>
      <w:r w:rsidRPr="00DB169C">
        <w:rPr>
          <w:rFonts w:eastAsia="Malgun Gothic"/>
          <w:bCs/>
          <w:lang w:val="fr-FR"/>
        </w:rPr>
        <w:t xml:space="preserve"> la confédération a</w:t>
      </w:r>
      <w:r w:rsidR="00BD44CB">
        <w:rPr>
          <w:rFonts w:eastAsia="Malgun Gothic"/>
          <w:bCs/>
          <w:lang w:val="fr-FR"/>
        </w:rPr>
        <w:t>vait</w:t>
      </w:r>
      <w:r w:rsidRPr="00DB169C">
        <w:rPr>
          <w:rFonts w:eastAsia="Malgun Gothic"/>
          <w:bCs/>
          <w:lang w:val="fr-FR"/>
        </w:rPr>
        <w:t xml:space="preserve"> travaillé sur un ensemble de mesures de sauvegarde présentées dans le dossier. La préparation de la candidature avait représenté un véritable parcours collectif, impliquant tous les membres de la famille</w:t>
      </w:r>
      <w:r w:rsidR="000278CB">
        <w:rPr>
          <w:rFonts w:eastAsia="Malgun Gothic"/>
          <w:bCs/>
          <w:lang w:val="fr-FR"/>
        </w:rPr>
        <w:t> </w:t>
      </w:r>
      <w:r w:rsidRPr="00DB169C">
        <w:rPr>
          <w:rFonts w:eastAsia="Malgun Gothic"/>
          <w:bCs/>
          <w:lang w:val="fr-FR"/>
        </w:rPr>
        <w:t>: le blé, la farine, la levure, le pain et au</w:t>
      </w:r>
      <w:r w:rsidR="000278CB">
        <w:rPr>
          <w:rFonts w:eastAsia="Malgun Gothic"/>
          <w:bCs/>
          <w:lang w:val="fr-FR"/>
        </w:rPr>
        <w:noBreakHyphen/>
      </w:r>
      <w:r w:rsidRPr="00DB169C">
        <w:rPr>
          <w:rFonts w:eastAsia="Malgun Gothic"/>
          <w:bCs/>
          <w:lang w:val="fr-FR"/>
        </w:rPr>
        <w:t>delà. C</w:t>
      </w:r>
      <w:r w:rsidR="00923E72">
        <w:rPr>
          <w:rFonts w:eastAsia="Malgun Gothic"/>
          <w:bCs/>
          <w:lang w:val="fr-FR"/>
        </w:rPr>
        <w:t>’</w:t>
      </w:r>
      <w:r w:rsidRPr="00DB169C">
        <w:rPr>
          <w:rFonts w:eastAsia="Malgun Gothic"/>
          <w:bCs/>
          <w:lang w:val="fr-FR"/>
        </w:rPr>
        <w:t xml:space="preserve">était une immense fierté pour les artisans boulangers. </w:t>
      </w:r>
      <w:r w:rsidR="00F30D2B">
        <w:rPr>
          <w:rFonts w:eastAsia="Malgun Gothic"/>
          <w:bCs/>
          <w:lang w:val="fr-FR"/>
        </w:rPr>
        <w:t>Enfin, i</w:t>
      </w:r>
      <w:r w:rsidRPr="00DB169C">
        <w:rPr>
          <w:rFonts w:eastAsia="Malgun Gothic"/>
          <w:bCs/>
          <w:lang w:val="fr-FR"/>
        </w:rPr>
        <w:t>l a cité l</w:t>
      </w:r>
      <w:r w:rsidR="00923E72">
        <w:rPr>
          <w:rFonts w:eastAsia="Malgun Gothic"/>
          <w:bCs/>
          <w:lang w:val="fr-FR"/>
        </w:rPr>
        <w:t>’</w:t>
      </w:r>
      <w:r w:rsidRPr="00DB169C">
        <w:rPr>
          <w:rFonts w:eastAsia="Malgun Gothic"/>
          <w:bCs/>
          <w:lang w:val="fr-FR"/>
        </w:rPr>
        <w:t xml:space="preserve">abbé Pierre : </w:t>
      </w:r>
      <w:r w:rsidR="00BD44CB">
        <w:rPr>
          <w:rFonts w:eastAsia="Malgun Gothic"/>
          <w:bCs/>
          <w:lang w:val="fr-FR"/>
        </w:rPr>
        <w:t>« </w:t>
      </w:r>
      <w:r w:rsidRPr="00DB169C">
        <w:rPr>
          <w:rFonts w:eastAsia="Malgun Gothic"/>
          <w:bCs/>
          <w:lang w:val="fr-FR"/>
        </w:rPr>
        <w:t>Que ceux qui ont faim aient du pain, et que tous ceux qui ont du pain aient faim de justice et d</w:t>
      </w:r>
      <w:r w:rsidR="00923E72">
        <w:rPr>
          <w:rFonts w:eastAsia="Malgun Gothic"/>
          <w:bCs/>
          <w:lang w:val="fr-FR"/>
        </w:rPr>
        <w:t>’</w:t>
      </w:r>
      <w:r w:rsidRPr="00DB169C">
        <w:rPr>
          <w:rFonts w:eastAsia="Malgun Gothic"/>
          <w:bCs/>
          <w:lang w:val="fr-FR"/>
        </w:rPr>
        <w:t>amour</w:t>
      </w:r>
      <w:r w:rsidR="0083033C">
        <w:rPr>
          <w:rFonts w:eastAsia="Malgun Gothic"/>
          <w:bCs/>
          <w:lang w:val="fr-FR"/>
        </w:rPr>
        <w:t>.</w:t>
      </w:r>
      <w:r w:rsidR="00BD44CB">
        <w:rPr>
          <w:rFonts w:eastAsia="Malgun Gothic"/>
          <w:bCs/>
          <w:lang w:val="fr-FR"/>
        </w:rPr>
        <w:t> »</w:t>
      </w:r>
    </w:p>
    <w:p w14:paraId="03D219E2" w14:textId="5AE6A339" w:rsidR="00BD44CB" w:rsidRDefault="00BD44C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D44CB">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BD44CB">
        <w:rPr>
          <w:rFonts w:eastAsia="Malgun Gothic"/>
          <w:bCs/>
          <w:lang w:val="fr-FR"/>
        </w:rPr>
        <w:t xml:space="preserve"> est passé au dossier de candidature suivant, </w:t>
      </w:r>
      <w:r w:rsidRPr="00702497">
        <w:rPr>
          <w:rFonts w:eastAsia="Malgun Gothic"/>
          <w:b/>
          <w:lang w:val="fr-FR"/>
        </w:rPr>
        <w:t>les jeux équestres traditionnels en Géorgie (</w:t>
      </w:r>
      <w:proofErr w:type="spellStart"/>
      <w:r w:rsidRPr="00702497">
        <w:rPr>
          <w:rFonts w:eastAsia="Malgun Gothic"/>
          <w:b/>
          <w:lang w:val="fr-FR"/>
        </w:rPr>
        <w:t>tskhenburti</w:t>
      </w:r>
      <w:proofErr w:type="spellEnd"/>
      <w:r w:rsidRPr="00702497">
        <w:rPr>
          <w:rFonts w:eastAsia="Malgun Gothic"/>
          <w:b/>
          <w:lang w:val="fr-FR"/>
        </w:rPr>
        <w:t xml:space="preserve">, </w:t>
      </w:r>
      <w:proofErr w:type="spellStart"/>
      <w:r w:rsidRPr="00702497">
        <w:rPr>
          <w:rFonts w:eastAsia="Malgun Gothic"/>
          <w:b/>
          <w:lang w:val="fr-FR"/>
        </w:rPr>
        <w:t>isindi</w:t>
      </w:r>
      <w:proofErr w:type="spellEnd"/>
      <w:r w:rsidRPr="00702497">
        <w:rPr>
          <w:rFonts w:eastAsia="Malgun Gothic"/>
          <w:b/>
          <w:lang w:val="fr-FR"/>
        </w:rPr>
        <w:t xml:space="preserve">, </w:t>
      </w:r>
      <w:proofErr w:type="spellStart"/>
      <w:r w:rsidRPr="00702497">
        <w:rPr>
          <w:rFonts w:eastAsia="Malgun Gothic"/>
          <w:b/>
          <w:lang w:val="fr-FR"/>
        </w:rPr>
        <w:t>kabakhi</w:t>
      </w:r>
      <w:proofErr w:type="spellEnd"/>
      <w:r w:rsidRPr="00702497">
        <w:rPr>
          <w:rFonts w:eastAsia="Malgun Gothic"/>
          <w:b/>
          <w:lang w:val="fr-FR"/>
        </w:rPr>
        <w:t>, marula)</w:t>
      </w:r>
      <w:r w:rsidRPr="00BD44CB">
        <w:rPr>
          <w:rFonts w:eastAsia="Malgun Gothic"/>
          <w:bCs/>
          <w:lang w:val="fr-FR"/>
        </w:rPr>
        <w:t xml:space="preserve"> [projet de décision</w:t>
      </w:r>
      <w:r w:rsidR="000278CB">
        <w:rPr>
          <w:rFonts w:eastAsia="Malgun Gothic"/>
          <w:bCs/>
          <w:lang w:val="fr-FR"/>
        </w:rPr>
        <w:t> </w:t>
      </w:r>
      <w:r w:rsidRPr="00BD44CB">
        <w:rPr>
          <w:rFonts w:eastAsia="Malgun Gothic"/>
          <w:bCs/>
          <w:lang w:val="fr-FR"/>
        </w:rPr>
        <w:t>7.b.9]</w:t>
      </w:r>
      <w:r w:rsidR="005C2997">
        <w:rPr>
          <w:rFonts w:eastAsia="Malgun Gothic"/>
          <w:bCs/>
          <w:lang w:val="fr-FR"/>
        </w:rPr>
        <w:t xml:space="preserve">, </w:t>
      </w:r>
      <w:r w:rsidRPr="00BD44CB">
        <w:rPr>
          <w:rFonts w:eastAsia="Malgun Gothic"/>
          <w:bCs/>
          <w:lang w:val="fr-FR"/>
        </w:rPr>
        <w:t xml:space="preserve">soumis par la </w:t>
      </w:r>
      <w:r w:rsidRPr="00702497">
        <w:rPr>
          <w:rFonts w:eastAsia="Malgun Gothic"/>
          <w:b/>
          <w:lang w:val="fr-FR"/>
        </w:rPr>
        <w:t>Géorgie</w:t>
      </w:r>
      <w:r w:rsidRPr="00BD44CB">
        <w:rPr>
          <w:rFonts w:eastAsia="Malgun Gothic"/>
          <w:bCs/>
          <w:lang w:val="fr-FR"/>
        </w:rPr>
        <w:t>, expliquant que l</w:t>
      </w:r>
      <w:r w:rsidR="00923E72">
        <w:rPr>
          <w:rFonts w:eastAsia="Malgun Gothic"/>
          <w:bCs/>
          <w:lang w:val="fr-FR"/>
        </w:rPr>
        <w:t>’</w:t>
      </w:r>
      <w:r w:rsidRPr="00BD44CB">
        <w:rPr>
          <w:rFonts w:eastAsia="Malgun Gothic"/>
          <w:bCs/>
          <w:lang w:val="fr-FR"/>
        </w:rPr>
        <w:t xml:space="preserve">élément </w:t>
      </w:r>
      <w:r w:rsidR="005C2997">
        <w:rPr>
          <w:rFonts w:eastAsia="Malgun Gothic"/>
          <w:bCs/>
          <w:lang w:val="fr-FR"/>
        </w:rPr>
        <w:t xml:space="preserve">comprend quatre variantes des </w:t>
      </w:r>
      <w:r w:rsidRPr="00BD44CB">
        <w:rPr>
          <w:rFonts w:eastAsia="Malgun Gothic"/>
          <w:bCs/>
          <w:lang w:val="fr-FR"/>
        </w:rPr>
        <w:t>jeux équestres</w:t>
      </w:r>
      <w:r w:rsidR="00E14854">
        <w:rPr>
          <w:rFonts w:eastAsia="Malgun Gothic"/>
          <w:bCs/>
          <w:lang w:val="fr-FR"/>
        </w:rPr>
        <w:t>,</w:t>
      </w:r>
      <w:r w:rsidRPr="00BD44CB">
        <w:rPr>
          <w:rFonts w:eastAsia="Malgun Gothic"/>
          <w:bCs/>
          <w:lang w:val="fr-FR"/>
        </w:rPr>
        <w:t xml:space="preserve"> qui renforcent les relations </w:t>
      </w:r>
      <w:r w:rsidR="005C2997">
        <w:rPr>
          <w:rFonts w:eastAsia="Malgun Gothic"/>
          <w:bCs/>
          <w:lang w:val="fr-FR"/>
        </w:rPr>
        <w:t xml:space="preserve">entre les </w:t>
      </w:r>
      <w:r w:rsidRPr="00BD44CB">
        <w:rPr>
          <w:rFonts w:eastAsia="Malgun Gothic"/>
          <w:bCs/>
          <w:lang w:val="fr-FR"/>
        </w:rPr>
        <w:t xml:space="preserve">générations, </w:t>
      </w:r>
      <w:r w:rsidR="005C2997">
        <w:rPr>
          <w:rFonts w:eastAsia="Malgun Gothic"/>
          <w:bCs/>
          <w:lang w:val="fr-FR"/>
        </w:rPr>
        <w:t>favorisent un</w:t>
      </w:r>
      <w:r w:rsidRPr="00BD44CB">
        <w:rPr>
          <w:rFonts w:eastAsia="Malgun Gothic"/>
          <w:bCs/>
          <w:lang w:val="fr-FR"/>
        </w:rPr>
        <w:t xml:space="preserve"> mode de vie sain et </w:t>
      </w:r>
      <w:r w:rsidR="005C2997">
        <w:rPr>
          <w:rFonts w:eastAsia="Malgun Gothic"/>
          <w:bCs/>
          <w:lang w:val="fr-FR"/>
        </w:rPr>
        <w:t xml:space="preserve">facilitent </w:t>
      </w:r>
      <w:r w:rsidRPr="00BD44CB">
        <w:rPr>
          <w:rFonts w:eastAsia="Malgun Gothic"/>
          <w:bCs/>
          <w:lang w:val="fr-FR"/>
        </w:rPr>
        <w:t>l</w:t>
      </w:r>
      <w:r w:rsidR="00923E72">
        <w:rPr>
          <w:rFonts w:eastAsia="Malgun Gothic"/>
          <w:bCs/>
          <w:lang w:val="fr-FR"/>
        </w:rPr>
        <w:t>’</w:t>
      </w:r>
      <w:r w:rsidRPr="00BD44CB">
        <w:rPr>
          <w:rFonts w:eastAsia="Malgun Gothic"/>
          <w:bCs/>
          <w:lang w:val="fr-FR"/>
        </w:rPr>
        <w:t>intégration et la socialisation des jeunes. L</w:t>
      </w:r>
      <w:r w:rsidR="00923E72">
        <w:rPr>
          <w:rFonts w:eastAsia="Malgun Gothic"/>
          <w:bCs/>
          <w:lang w:val="fr-FR"/>
        </w:rPr>
        <w:t>’</w:t>
      </w:r>
      <w:r w:rsidRPr="00BD44CB">
        <w:rPr>
          <w:rFonts w:eastAsia="Malgun Gothic"/>
          <w:bCs/>
          <w:lang w:val="fr-FR"/>
        </w:rPr>
        <w:t>Organe d</w:t>
      </w:r>
      <w:r w:rsidR="00923E72">
        <w:rPr>
          <w:rFonts w:eastAsia="Malgun Gothic"/>
          <w:bCs/>
          <w:lang w:val="fr-FR"/>
        </w:rPr>
        <w:t>’</w:t>
      </w:r>
      <w:r w:rsidRPr="00BD44CB">
        <w:rPr>
          <w:rFonts w:eastAsia="Malgun Gothic"/>
          <w:bCs/>
          <w:lang w:val="fr-FR"/>
        </w:rPr>
        <w:t>évaluation avait estimé que les critères</w:t>
      </w:r>
      <w:r w:rsidR="005C2997">
        <w:rPr>
          <w:rFonts w:eastAsia="Malgun Gothic"/>
          <w:bCs/>
          <w:lang w:val="fr-FR"/>
        </w:rPr>
        <w:t> </w:t>
      </w:r>
      <w:r w:rsidRPr="00BD44CB">
        <w:rPr>
          <w:rFonts w:eastAsia="Malgun Gothic"/>
          <w:bCs/>
          <w:lang w:val="fr-FR"/>
        </w:rPr>
        <w:t>R.1,</w:t>
      </w:r>
      <w:r w:rsidR="005C2997">
        <w:rPr>
          <w:rFonts w:eastAsia="Malgun Gothic"/>
          <w:bCs/>
          <w:lang w:val="fr-FR"/>
        </w:rPr>
        <w:t> </w:t>
      </w:r>
      <w:r w:rsidRPr="00BD44CB">
        <w:rPr>
          <w:rFonts w:eastAsia="Malgun Gothic"/>
          <w:bCs/>
          <w:lang w:val="fr-FR"/>
        </w:rPr>
        <w:t>R.4 et</w:t>
      </w:r>
      <w:r w:rsidR="005C2997">
        <w:rPr>
          <w:rFonts w:eastAsia="Malgun Gothic"/>
          <w:bCs/>
          <w:lang w:val="fr-FR"/>
        </w:rPr>
        <w:t> </w:t>
      </w:r>
      <w:r w:rsidRPr="00BD44CB">
        <w:rPr>
          <w:rFonts w:eastAsia="Malgun Gothic"/>
          <w:bCs/>
          <w:lang w:val="fr-FR"/>
        </w:rPr>
        <w:t>R.5 étaient satisfaits</w:t>
      </w:r>
      <w:r w:rsidR="00006642">
        <w:rPr>
          <w:rFonts w:eastAsia="Malgun Gothic"/>
          <w:bCs/>
          <w:lang w:val="fr-FR"/>
        </w:rPr>
        <w:t>,</w:t>
      </w:r>
      <w:r w:rsidRPr="00BD44CB">
        <w:rPr>
          <w:rFonts w:eastAsia="Malgun Gothic"/>
          <w:bCs/>
          <w:lang w:val="fr-FR"/>
        </w:rPr>
        <w:t xml:space="preserve"> mais que les informations contenues dans le dossier n</w:t>
      </w:r>
      <w:r w:rsidR="00923E72">
        <w:rPr>
          <w:rFonts w:eastAsia="Malgun Gothic"/>
          <w:bCs/>
          <w:lang w:val="fr-FR"/>
        </w:rPr>
        <w:t>’</w:t>
      </w:r>
      <w:r w:rsidRPr="00BD44CB">
        <w:rPr>
          <w:rFonts w:eastAsia="Malgun Gothic"/>
          <w:bCs/>
          <w:lang w:val="fr-FR"/>
        </w:rPr>
        <w:t>étaient pas suffisantes pour déterminer si les critères</w:t>
      </w:r>
      <w:r w:rsidR="005C2997">
        <w:rPr>
          <w:rFonts w:eastAsia="Malgun Gothic"/>
          <w:bCs/>
          <w:lang w:val="fr-FR"/>
        </w:rPr>
        <w:t> </w:t>
      </w:r>
      <w:r w:rsidRPr="00BD44CB">
        <w:rPr>
          <w:rFonts w:eastAsia="Malgun Gothic"/>
          <w:bCs/>
          <w:lang w:val="fr-FR"/>
        </w:rPr>
        <w:t>R.2 et</w:t>
      </w:r>
      <w:r w:rsidR="000278CB">
        <w:rPr>
          <w:rFonts w:eastAsia="Malgun Gothic"/>
          <w:bCs/>
          <w:lang w:val="fr-FR"/>
        </w:rPr>
        <w:t> </w:t>
      </w:r>
      <w:r w:rsidRPr="00BD44CB">
        <w:rPr>
          <w:rFonts w:eastAsia="Malgun Gothic"/>
          <w:bCs/>
          <w:lang w:val="fr-FR"/>
        </w:rPr>
        <w:t>R.3 étaient satisfaits. Le dossier expliquait les fonctions culturelles et sociales et démontrait la participation des communautés concernées au processus de candidature. Cependant, le dossier ne fournissait pas d</w:t>
      </w:r>
      <w:r w:rsidR="00923E72">
        <w:rPr>
          <w:rFonts w:eastAsia="Malgun Gothic"/>
          <w:bCs/>
          <w:lang w:val="fr-FR"/>
        </w:rPr>
        <w:t>’</w:t>
      </w:r>
      <w:r w:rsidRPr="00BD44CB">
        <w:rPr>
          <w:rFonts w:eastAsia="Malgun Gothic"/>
          <w:bCs/>
          <w:lang w:val="fr-FR"/>
        </w:rPr>
        <w:t>informations sur les efforts passés et actuels entrepris pour sauvegarder l</w:t>
      </w:r>
      <w:r w:rsidR="00923E72">
        <w:rPr>
          <w:rFonts w:eastAsia="Malgun Gothic"/>
          <w:bCs/>
          <w:lang w:val="fr-FR"/>
        </w:rPr>
        <w:t>’</w:t>
      </w:r>
      <w:r w:rsidRPr="00BD44CB">
        <w:rPr>
          <w:rFonts w:eastAsia="Malgun Gothic"/>
          <w:bCs/>
          <w:lang w:val="fr-FR"/>
        </w:rPr>
        <w:t>élément</w:t>
      </w:r>
      <w:r w:rsidR="000278CB">
        <w:rPr>
          <w:rFonts w:eastAsia="Malgun Gothic"/>
          <w:bCs/>
          <w:lang w:val="fr-FR"/>
        </w:rPr>
        <w:t>.</w:t>
      </w:r>
      <w:r w:rsidRPr="00BD44CB">
        <w:rPr>
          <w:rFonts w:eastAsia="Malgun Gothic"/>
          <w:bCs/>
          <w:lang w:val="fr-FR"/>
        </w:rPr>
        <w:t xml:space="preserve"> </w:t>
      </w:r>
      <w:r w:rsidR="000278CB">
        <w:rPr>
          <w:rFonts w:eastAsia="Malgun Gothic"/>
          <w:bCs/>
          <w:lang w:val="fr-FR"/>
        </w:rPr>
        <w:t>En outre,</w:t>
      </w:r>
      <w:r w:rsidRPr="00BD44CB">
        <w:rPr>
          <w:rFonts w:eastAsia="Malgun Gothic"/>
          <w:bCs/>
          <w:lang w:val="fr-FR"/>
        </w:rPr>
        <w:t xml:space="preserve"> la participation des communautés à la planification des mesures proposées et le rôle qu</w:t>
      </w:r>
      <w:r w:rsidR="00923E72">
        <w:rPr>
          <w:rFonts w:eastAsia="Malgun Gothic"/>
          <w:bCs/>
          <w:lang w:val="fr-FR"/>
        </w:rPr>
        <w:t>’</w:t>
      </w:r>
      <w:r w:rsidRPr="00BD44CB">
        <w:rPr>
          <w:rFonts w:eastAsia="Malgun Gothic"/>
          <w:bCs/>
          <w:lang w:val="fr-FR"/>
        </w:rPr>
        <w:t>elles joueraient dans leur mise en œuvre n</w:t>
      </w:r>
      <w:r w:rsidR="00923E72">
        <w:rPr>
          <w:rFonts w:eastAsia="Malgun Gothic"/>
          <w:bCs/>
          <w:lang w:val="fr-FR"/>
        </w:rPr>
        <w:t>’</w:t>
      </w:r>
      <w:r w:rsidRPr="00BD44CB">
        <w:rPr>
          <w:rFonts w:eastAsia="Malgun Gothic"/>
          <w:bCs/>
          <w:lang w:val="fr-FR"/>
        </w:rPr>
        <w:t>étaient pas clairement établis. En conclusion, l</w:t>
      </w:r>
      <w:r w:rsidR="00923E72">
        <w:rPr>
          <w:rFonts w:eastAsia="Malgun Gothic"/>
          <w:bCs/>
          <w:lang w:val="fr-FR"/>
        </w:rPr>
        <w:t>’</w:t>
      </w:r>
      <w:r w:rsidRPr="00BD44CB">
        <w:rPr>
          <w:rFonts w:eastAsia="Malgun Gothic"/>
          <w:bCs/>
          <w:lang w:val="fr-FR"/>
        </w:rPr>
        <w:t>Organe d</w:t>
      </w:r>
      <w:r w:rsidR="00923E72">
        <w:rPr>
          <w:rFonts w:eastAsia="Malgun Gothic"/>
          <w:bCs/>
          <w:lang w:val="fr-FR"/>
        </w:rPr>
        <w:t>’</w:t>
      </w:r>
      <w:r w:rsidRPr="00BD44CB">
        <w:rPr>
          <w:rFonts w:eastAsia="Malgun Gothic"/>
          <w:bCs/>
          <w:lang w:val="fr-FR"/>
        </w:rPr>
        <w:t>évaluation recommandait que la candidature soit renvoyée à l</w:t>
      </w:r>
      <w:r w:rsidR="00923E72">
        <w:rPr>
          <w:rFonts w:eastAsia="Malgun Gothic"/>
          <w:bCs/>
          <w:lang w:val="fr-FR"/>
        </w:rPr>
        <w:t>’</w:t>
      </w:r>
      <w:r w:rsidRPr="00BD44CB">
        <w:rPr>
          <w:rFonts w:eastAsia="Malgun Gothic"/>
          <w:bCs/>
          <w:lang w:val="fr-FR"/>
        </w:rPr>
        <w:t>État soumissionnaire.</w:t>
      </w:r>
    </w:p>
    <w:p w14:paraId="3ABEF852" w14:textId="596D769D" w:rsidR="005C2997" w:rsidRDefault="005C299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0278CB">
        <w:rPr>
          <w:rFonts w:eastAsia="Malgun Gothic"/>
          <w:b/>
          <w:lang w:val="fr-FR"/>
        </w:rPr>
        <w:t> </w:t>
      </w:r>
      <w:r w:rsidR="00751FB1">
        <w:fldChar w:fldCharType="begin"/>
      </w:r>
      <w:r w:rsidR="00751FB1" w:rsidRPr="00751FB1">
        <w:rPr>
          <w:lang w:val="fr-FR"/>
        </w:rPr>
        <w:instrText>HYPERLINK "https://ich.unesco.org/fr/Decisions/17.COM/7.b.9"</w:instrText>
      </w:r>
      <w:r w:rsidR="00751FB1">
        <w:fldChar w:fldCharType="separate"/>
      </w:r>
      <w:r w:rsidRPr="00702497">
        <w:rPr>
          <w:rStyle w:val="Hyperlink"/>
          <w:b/>
          <w:bCs/>
          <w:lang w:val="fr-FR"/>
        </w:rPr>
        <w:t>17.COM 7.b.9</w:t>
      </w:r>
      <w:r w:rsidR="00751FB1">
        <w:rPr>
          <w:rStyle w:val="Hyperlink"/>
          <w:b/>
          <w:bCs/>
          <w:lang w:val="fr-FR"/>
        </w:rPr>
        <w:fldChar w:fldCharType="end"/>
      </w:r>
      <w:r w:rsidRPr="00702497">
        <w:rPr>
          <w:rStyle w:val="Hyperlink"/>
          <w:b/>
          <w:bCs/>
          <w:color w:val="auto"/>
          <w:u w:val="none"/>
          <w:lang w:val="fr-FR"/>
        </w:rPr>
        <w:t xml:space="preserve"> </w:t>
      </w:r>
      <w:r w:rsidRPr="00AE6A00">
        <w:rPr>
          <w:rStyle w:val="Hyperlink"/>
          <w:b/>
          <w:bCs/>
          <w:color w:val="auto"/>
          <w:u w:val="none"/>
          <w:lang w:val="fr-FR"/>
        </w:rPr>
        <w:t>d</w:t>
      </w:r>
      <w:r>
        <w:rPr>
          <w:rStyle w:val="Hyperlink"/>
          <w:b/>
          <w:bCs/>
          <w:color w:val="auto"/>
          <w:u w:val="none"/>
          <w:lang w:val="fr-FR"/>
        </w:rPr>
        <w:t>e renvoyer</w:t>
      </w:r>
      <w:r>
        <w:rPr>
          <w:rFonts w:eastAsia="Malgun Gothic"/>
          <w:b/>
          <w:lang w:val="fr-FR"/>
        </w:rPr>
        <w:t xml:space="preserve"> </w:t>
      </w:r>
      <w:r w:rsidRPr="000C4627">
        <w:rPr>
          <w:rFonts w:eastAsia="Malgun Gothic"/>
          <w:b/>
          <w:lang w:val="fr-FR"/>
        </w:rPr>
        <w:t>les jeux équestres traditionnels en Géorgie (</w:t>
      </w:r>
      <w:proofErr w:type="spellStart"/>
      <w:r w:rsidRPr="000C4627">
        <w:rPr>
          <w:rFonts w:eastAsia="Malgun Gothic"/>
          <w:b/>
          <w:lang w:val="fr-FR"/>
        </w:rPr>
        <w:t>tskhenburti</w:t>
      </w:r>
      <w:proofErr w:type="spellEnd"/>
      <w:r w:rsidRPr="000C4627">
        <w:rPr>
          <w:rFonts w:eastAsia="Malgun Gothic"/>
          <w:b/>
          <w:lang w:val="fr-FR"/>
        </w:rPr>
        <w:t xml:space="preserve">, </w:t>
      </w:r>
      <w:proofErr w:type="spellStart"/>
      <w:r w:rsidRPr="000C4627">
        <w:rPr>
          <w:rFonts w:eastAsia="Malgun Gothic"/>
          <w:b/>
          <w:lang w:val="fr-FR"/>
        </w:rPr>
        <w:t>isindi</w:t>
      </w:r>
      <w:proofErr w:type="spellEnd"/>
      <w:r w:rsidRPr="000C4627">
        <w:rPr>
          <w:rFonts w:eastAsia="Malgun Gothic"/>
          <w:b/>
          <w:lang w:val="fr-FR"/>
        </w:rPr>
        <w:t xml:space="preserve">, </w:t>
      </w:r>
      <w:proofErr w:type="spellStart"/>
      <w:r w:rsidRPr="000C4627">
        <w:rPr>
          <w:rFonts w:eastAsia="Malgun Gothic"/>
          <w:b/>
          <w:lang w:val="fr-FR"/>
        </w:rPr>
        <w:t>kabakhi</w:t>
      </w:r>
      <w:proofErr w:type="spellEnd"/>
      <w:r w:rsidRPr="000C4627">
        <w:rPr>
          <w:rFonts w:eastAsia="Malgun Gothic"/>
          <w:b/>
          <w:lang w:val="fr-FR"/>
        </w:rPr>
        <w:t>, marula)</w:t>
      </w:r>
      <w:r>
        <w:rPr>
          <w:rFonts w:eastAsia="Malgun Gothic"/>
          <w:b/>
          <w:lang w:val="fr-FR"/>
        </w:rPr>
        <w:t xml:space="preserve"> à l</w:t>
      </w:r>
      <w:r w:rsidR="00923E72">
        <w:rPr>
          <w:rFonts w:eastAsia="Malgun Gothic"/>
          <w:b/>
          <w:lang w:val="fr-FR"/>
        </w:rPr>
        <w:t>’</w:t>
      </w:r>
      <w:r>
        <w:rPr>
          <w:rFonts w:eastAsia="Malgun Gothic"/>
          <w:b/>
          <w:lang w:val="fr-FR"/>
        </w:rPr>
        <w:t>État soumissionnaire</w:t>
      </w:r>
      <w:r>
        <w:rPr>
          <w:rFonts w:eastAsia="Malgun Gothic"/>
          <w:bCs/>
          <w:lang w:val="fr-FR"/>
        </w:rPr>
        <w:t>.</w:t>
      </w:r>
    </w:p>
    <w:p w14:paraId="11CC7B69" w14:textId="08D09FD2" w:rsidR="005C2997" w:rsidRDefault="005C299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C2997">
        <w:rPr>
          <w:rFonts w:eastAsia="Malgun Gothic"/>
          <w:bCs/>
          <w:lang w:val="fr-FR"/>
        </w:rPr>
        <w:lastRenderedPageBreak/>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5C2997">
        <w:rPr>
          <w:rFonts w:eastAsia="Malgun Gothic"/>
          <w:bCs/>
          <w:lang w:val="fr-FR"/>
        </w:rPr>
        <w:t xml:space="preserve"> est passé au dossier de candidature suivant,</w:t>
      </w:r>
      <w:r w:rsidR="00AB00F9">
        <w:rPr>
          <w:rFonts w:eastAsia="Malgun Gothic"/>
          <w:bCs/>
          <w:lang w:val="fr-FR"/>
        </w:rPr>
        <w:t xml:space="preserve"> </w:t>
      </w:r>
      <w:r w:rsidRPr="00702497">
        <w:rPr>
          <w:rFonts w:eastAsia="Malgun Gothic"/>
          <w:b/>
          <w:lang w:val="fr-FR"/>
        </w:rPr>
        <w:t xml:space="preserve">la danse moderne en Allemagne </w:t>
      </w:r>
      <w:r w:rsidRPr="005C2997">
        <w:rPr>
          <w:rFonts w:eastAsia="Malgun Gothic"/>
          <w:bCs/>
          <w:lang w:val="fr-FR"/>
        </w:rPr>
        <w:t>[projet de décision</w:t>
      </w:r>
      <w:r w:rsidR="00C9663B">
        <w:rPr>
          <w:rFonts w:eastAsia="Malgun Gothic"/>
          <w:bCs/>
          <w:lang w:val="fr-FR"/>
        </w:rPr>
        <w:t> </w:t>
      </w:r>
      <w:r w:rsidRPr="005C2997">
        <w:rPr>
          <w:rFonts w:eastAsia="Malgun Gothic"/>
          <w:bCs/>
          <w:lang w:val="fr-FR"/>
        </w:rPr>
        <w:t>7.b.</w:t>
      </w:r>
      <w:r>
        <w:rPr>
          <w:rFonts w:eastAsia="Malgun Gothic"/>
          <w:bCs/>
          <w:lang w:val="fr-FR"/>
        </w:rPr>
        <w:t>10</w:t>
      </w:r>
      <w:r w:rsidRPr="005C2997">
        <w:rPr>
          <w:rFonts w:eastAsia="Malgun Gothic"/>
          <w:bCs/>
          <w:lang w:val="fr-FR"/>
        </w:rPr>
        <w:t>]</w:t>
      </w:r>
      <w:r w:rsidR="00C9663B">
        <w:rPr>
          <w:rFonts w:eastAsia="Malgun Gothic"/>
          <w:bCs/>
          <w:lang w:val="fr-FR"/>
        </w:rPr>
        <w:t>,</w:t>
      </w:r>
      <w:r w:rsidRPr="005C2997">
        <w:rPr>
          <w:rFonts w:eastAsia="Malgun Gothic"/>
          <w:bCs/>
          <w:lang w:val="fr-FR"/>
        </w:rPr>
        <w:t xml:space="preserve"> soumis par </w:t>
      </w:r>
      <w:r w:rsidRPr="00F15FCD">
        <w:rPr>
          <w:rFonts w:eastAsia="Malgun Gothic"/>
          <w:bCs/>
          <w:lang w:val="fr-FR"/>
        </w:rPr>
        <w:t>l</w:t>
      </w:r>
      <w:r w:rsidR="00923E72">
        <w:rPr>
          <w:rFonts w:eastAsia="Malgun Gothic"/>
          <w:bCs/>
          <w:lang w:val="fr-FR"/>
        </w:rPr>
        <w:t>’</w:t>
      </w:r>
      <w:r w:rsidRPr="00702497">
        <w:rPr>
          <w:rFonts w:eastAsia="Malgun Gothic"/>
          <w:b/>
          <w:lang w:val="fr-FR"/>
        </w:rPr>
        <w:t>Allemagne</w:t>
      </w:r>
      <w:r w:rsidRPr="005C2997">
        <w:rPr>
          <w:rFonts w:eastAsia="Malgun Gothic"/>
          <w:bCs/>
          <w:lang w:val="fr-FR"/>
        </w:rPr>
        <w:t xml:space="preserve">, expliquant que </w:t>
      </w:r>
      <w:r>
        <w:rPr>
          <w:rFonts w:eastAsia="Malgun Gothic"/>
          <w:bCs/>
          <w:lang w:val="fr-FR"/>
        </w:rPr>
        <w:t>l</w:t>
      </w:r>
      <w:r w:rsidRPr="005C2997">
        <w:rPr>
          <w:rFonts w:eastAsia="Malgun Gothic"/>
          <w:bCs/>
          <w:lang w:val="fr-FR"/>
        </w:rPr>
        <w:t>a danse moderne est une forme d</w:t>
      </w:r>
      <w:r w:rsidR="00923E72">
        <w:rPr>
          <w:rFonts w:eastAsia="Malgun Gothic"/>
          <w:bCs/>
          <w:lang w:val="fr-FR"/>
        </w:rPr>
        <w:t>’</w:t>
      </w:r>
      <w:r w:rsidRPr="005C2997">
        <w:rPr>
          <w:rFonts w:eastAsia="Malgun Gothic"/>
          <w:bCs/>
          <w:lang w:val="fr-FR"/>
        </w:rPr>
        <w:t xml:space="preserve">expression physique </w:t>
      </w:r>
      <w:r w:rsidR="00AB00F9">
        <w:rPr>
          <w:rFonts w:eastAsia="Malgun Gothic"/>
          <w:bCs/>
          <w:lang w:val="fr-FR"/>
        </w:rPr>
        <w:t xml:space="preserve">différente de celle </w:t>
      </w:r>
      <w:r w:rsidRPr="005C2997">
        <w:rPr>
          <w:rFonts w:eastAsia="Malgun Gothic"/>
          <w:bCs/>
          <w:lang w:val="fr-FR"/>
        </w:rPr>
        <w:t xml:space="preserve">du ballet classique, dans laquelle, plutôt que de reproduire des positions de danse prédéterminées, les danseurs </w:t>
      </w:r>
      <w:r w:rsidR="00AB00F9">
        <w:rPr>
          <w:rFonts w:eastAsia="Malgun Gothic"/>
          <w:bCs/>
          <w:lang w:val="fr-FR"/>
        </w:rPr>
        <w:t>sont à la recherche d</w:t>
      </w:r>
      <w:r w:rsidR="00923E72">
        <w:rPr>
          <w:rFonts w:eastAsia="Malgun Gothic"/>
          <w:bCs/>
          <w:lang w:val="fr-FR"/>
        </w:rPr>
        <w:t>’</w:t>
      </w:r>
      <w:r w:rsidRPr="005C2997">
        <w:rPr>
          <w:rFonts w:eastAsia="Malgun Gothic"/>
          <w:bCs/>
          <w:lang w:val="fr-FR"/>
        </w:rPr>
        <w:t xml:space="preserve">une expression </w:t>
      </w:r>
      <w:r w:rsidR="00AB00F9">
        <w:rPr>
          <w:rFonts w:eastAsia="Malgun Gothic"/>
          <w:bCs/>
          <w:lang w:val="fr-FR"/>
        </w:rPr>
        <w:t xml:space="preserve">réaliste </w:t>
      </w:r>
      <w:r w:rsidRPr="005C2997">
        <w:rPr>
          <w:rFonts w:eastAsia="Malgun Gothic"/>
          <w:bCs/>
          <w:lang w:val="fr-FR"/>
        </w:rPr>
        <w:t>qui reflète les émotions et les expériences de la vie. L</w:t>
      </w:r>
      <w:r w:rsidR="00923E72">
        <w:rPr>
          <w:rFonts w:eastAsia="Malgun Gothic"/>
          <w:bCs/>
          <w:lang w:val="fr-FR"/>
        </w:rPr>
        <w:t>’</w:t>
      </w:r>
      <w:r w:rsidRPr="005C2997">
        <w:rPr>
          <w:rFonts w:eastAsia="Malgun Gothic"/>
          <w:bCs/>
          <w:lang w:val="fr-FR"/>
        </w:rPr>
        <w:t>évaluation de ce dossier avait fait l</w:t>
      </w:r>
      <w:r w:rsidR="00923E72">
        <w:rPr>
          <w:rFonts w:eastAsia="Malgun Gothic"/>
          <w:bCs/>
          <w:lang w:val="fr-FR"/>
        </w:rPr>
        <w:t>’</w:t>
      </w:r>
      <w:r w:rsidRPr="005C2997">
        <w:rPr>
          <w:rFonts w:eastAsia="Malgun Gothic"/>
          <w:bCs/>
          <w:lang w:val="fr-FR"/>
        </w:rPr>
        <w:t>objet de nombreux débats. L</w:t>
      </w:r>
      <w:r w:rsidR="00923E72">
        <w:rPr>
          <w:rFonts w:eastAsia="Malgun Gothic"/>
          <w:bCs/>
          <w:lang w:val="fr-FR"/>
        </w:rPr>
        <w:t>’</w:t>
      </w:r>
      <w:r w:rsidRPr="005C2997">
        <w:rPr>
          <w:rFonts w:eastAsia="Malgun Gothic"/>
          <w:bCs/>
          <w:lang w:val="fr-FR"/>
        </w:rPr>
        <w:t>Organe d</w:t>
      </w:r>
      <w:r w:rsidR="00923E72">
        <w:rPr>
          <w:rFonts w:eastAsia="Malgun Gothic"/>
          <w:bCs/>
          <w:lang w:val="fr-FR"/>
        </w:rPr>
        <w:t>’</w:t>
      </w:r>
      <w:r w:rsidRPr="005C2997">
        <w:rPr>
          <w:rFonts w:eastAsia="Malgun Gothic"/>
          <w:bCs/>
          <w:lang w:val="fr-FR"/>
        </w:rPr>
        <w:t>évaluation avait débattu à plusieurs reprises pendant sept jours</w:t>
      </w:r>
      <w:r w:rsidR="00F30D2B">
        <w:rPr>
          <w:rFonts w:eastAsia="Malgun Gothic"/>
          <w:bCs/>
          <w:lang w:val="fr-FR"/>
        </w:rPr>
        <w:t>, d</w:t>
      </w:r>
      <w:r w:rsidR="00923E72">
        <w:rPr>
          <w:rFonts w:eastAsia="Malgun Gothic"/>
          <w:bCs/>
          <w:lang w:val="fr-FR"/>
        </w:rPr>
        <w:t>’</w:t>
      </w:r>
      <w:r w:rsidR="00F30D2B">
        <w:rPr>
          <w:rFonts w:eastAsia="Malgun Gothic"/>
          <w:bCs/>
          <w:lang w:val="fr-FR"/>
        </w:rPr>
        <w:t>une part,</w:t>
      </w:r>
      <w:r w:rsidRPr="005C2997">
        <w:rPr>
          <w:rFonts w:eastAsia="Malgun Gothic"/>
          <w:bCs/>
          <w:lang w:val="fr-FR"/>
        </w:rPr>
        <w:t xml:space="preserve"> pour déterminer si l</w:t>
      </w:r>
      <w:r w:rsidR="00923E72">
        <w:rPr>
          <w:rFonts w:eastAsia="Malgun Gothic"/>
          <w:bCs/>
          <w:lang w:val="fr-FR"/>
        </w:rPr>
        <w:t>’</w:t>
      </w:r>
      <w:r w:rsidRPr="005C2997">
        <w:rPr>
          <w:rFonts w:eastAsia="Malgun Gothic"/>
          <w:bCs/>
          <w:lang w:val="fr-FR"/>
        </w:rPr>
        <w:t>expression culturelle et artistique proposée pour inscription sur la Liste représentative correspond</w:t>
      </w:r>
      <w:r w:rsidR="00AB00F9">
        <w:rPr>
          <w:rFonts w:eastAsia="Malgun Gothic"/>
          <w:bCs/>
          <w:lang w:val="fr-FR"/>
        </w:rPr>
        <w:t>ait</w:t>
      </w:r>
      <w:r w:rsidRPr="005C2997">
        <w:rPr>
          <w:rFonts w:eastAsia="Malgun Gothic"/>
          <w:bCs/>
          <w:lang w:val="fr-FR"/>
        </w:rPr>
        <w:t xml:space="preserve"> à la définition du patrimoine culturel immatériel telle qu</w:t>
      </w:r>
      <w:r w:rsidR="00923E72">
        <w:rPr>
          <w:rFonts w:eastAsia="Malgun Gothic"/>
          <w:bCs/>
          <w:lang w:val="fr-FR"/>
        </w:rPr>
        <w:t>’</w:t>
      </w:r>
      <w:r w:rsidRPr="005C2997">
        <w:rPr>
          <w:rFonts w:eastAsia="Malgun Gothic"/>
          <w:bCs/>
          <w:lang w:val="fr-FR"/>
        </w:rPr>
        <w:t>elle figure à l</w:t>
      </w:r>
      <w:r w:rsidR="00923E72">
        <w:rPr>
          <w:rFonts w:eastAsia="Malgun Gothic"/>
          <w:bCs/>
          <w:lang w:val="fr-FR"/>
        </w:rPr>
        <w:t>’</w:t>
      </w:r>
      <w:r w:rsidRPr="005C2997">
        <w:rPr>
          <w:rFonts w:eastAsia="Malgun Gothic"/>
          <w:bCs/>
          <w:lang w:val="fr-FR"/>
        </w:rPr>
        <w:t>article</w:t>
      </w:r>
      <w:r w:rsidR="00AB00F9">
        <w:rPr>
          <w:rFonts w:eastAsia="Malgun Gothic"/>
          <w:bCs/>
          <w:lang w:val="fr-FR"/>
        </w:rPr>
        <w:t> </w:t>
      </w:r>
      <w:r w:rsidRPr="005C2997">
        <w:rPr>
          <w:rFonts w:eastAsia="Malgun Gothic"/>
          <w:bCs/>
          <w:lang w:val="fr-FR"/>
        </w:rPr>
        <w:t xml:space="preserve">2 de la Convention et, </w:t>
      </w:r>
      <w:r w:rsidR="004F18A4">
        <w:rPr>
          <w:rFonts w:eastAsia="Malgun Gothic"/>
          <w:bCs/>
          <w:lang w:val="fr-FR"/>
        </w:rPr>
        <w:t>d</w:t>
      </w:r>
      <w:r w:rsidR="00923E72">
        <w:rPr>
          <w:rFonts w:eastAsia="Malgun Gothic"/>
          <w:bCs/>
          <w:lang w:val="fr-FR"/>
        </w:rPr>
        <w:t>’</w:t>
      </w:r>
      <w:r w:rsidR="004F18A4">
        <w:rPr>
          <w:rFonts w:eastAsia="Malgun Gothic"/>
          <w:bCs/>
          <w:lang w:val="fr-FR"/>
        </w:rPr>
        <w:t xml:space="preserve">autre part, </w:t>
      </w:r>
      <w:r w:rsidRPr="005C2997">
        <w:rPr>
          <w:rFonts w:eastAsia="Malgun Gothic"/>
          <w:bCs/>
          <w:lang w:val="fr-FR"/>
        </w:rPr>
        <w:t>concernant l</w:t>
      </w:r>
      <w:r w:rsidR="00923E72">
        <w:rPr>
          <w:rFonts w:eastAsia="Malgun Gothic"/>
          <w:bCs/>
          <w:lang w:val="fr-FR"/>
        </w:rPr>
        <w:t>’</w:t>
      </w:r>
      <w:r w:rsidRPr="005C2997">
        <w:rPr>
          <w:rFonts w:eastAsia="Malgun Gothic"/>
          <w:bCs/>
          <w:lang w:val="fr-FR"/>
        </w:rPr>
        <w:t>existence d</w:t>
      </w:r>
      <w:r w:rsidR="00923E72">
        <w:rPr>
          <w:rFonts w:eastAsia="Malgun Gothic"/>
          <w:bCs/>
          <w:lang w:val="fr-FR"/>
        </w:rPr>
        <w:t>’</w:t>
      </w:r>
      <w:r w:rsidRPr="005C2997">
        <w:rPr>
          <w:rFonts w:eastAsia="Malgun Gothic"/>
          <w:bCs/>
          <w:lang w:val="fr-FR"/>
        </w:rPr>
        <w:t>une communauté spécifique à laquelle l</w:t>
      </w:r>
      <w:r w:rsidR="00923E72">
        <w:rPr>
          <w:rFonts w:eastAsia="Malgun Gothic"/>
          <w:bCs/>
          <w:lang w:val="fr-FR"/>
        </w:rPr>
        <w:t>’</w:t>
      </w:r>
      <w:r w:rsidRPr="005C2997">
        <w:rPr>
          <w:rFonts w:eastAsia="Malgun Gothic"/>
          <w:bCs/>
          <w:lang w:val="fr-FR"/>
        </w:rPr>
        <w:t>élément proposé procure un sentiment d</w:t>
      </w:r>
      <w:r w:rsidR="00923E72">
        <w:rPr>
          <w:rFonts w:eastAsia="Malgun Gothic"/>
          <w:bCs/>
          <w:lang w:val="fr-FR"/>
        </w:rPr>
        <w:t>’</w:t>
      </w:r>
      <w:r w:rsidRPr="005C2997">
        <w:rPr>
          <w:rFonts w:eastAsia="Malgun Gothic"/>
          <w:bCs/>
          <w:lang w:val="fr-FR"/>
        </w:rPr>
        <w:t>appartenance. À la fin du débat, l</w:t>
      </w:r>
      <w:r w:rsidR="00923E72">
        <w:rPr>
          <w:rFonts w:eastAsia="Malgun Gothic"/>
          <w:bCs/>
          <w:lang w:val="fr-FR"/>
        </w:rPr>
        <w:t>’</w:t>
      </w:r>
      <w:r w:rsidRPr="005C2997">
        <w:rPr>
          <w:rFonts w:eastAsia="Malgun Gothic"/>
          <w:bCs/>
          <w:lang w:val="fr-FR"/>
        </w:rPr>
        <w:t>Organe n</w:t>
      </w:r>
      <w:r w:rsidR="00923E72">
        <w:rPr>
          <w:rFonts w:eastAsia="Malgun Gothic"/>
          <w:bCs/>
          <w:lang w:val="fr-FR"/>
        </w:rPr>
        <w:t>’</w:t>
      </w:r>
      <w:r w:rsidRPr="005C2997">
        <w:rPr>
          <w:rFonts w:eastAsia="Malgun Gothic"/>
          <w:bCs/>
          <w:lang w:val="fr-FR"/>
        </w:rPr>
        <w:t>avait pas dégagé de position commune et demeurait divisé entre six membres qui considéraient que l</w:t>
      </w:r>
      <w:r w:rsidR="00923E72">
        <w:rPr>
          <w:rFonts w:eastAsia="Malgun Gothic"/>
          <w:bCs/>
          <w:lang w:val="fr-FR"/>
        </w:rPr>
        <w:t>’</w:t>
      </w:r>
      <w:r w:rsidRPr="005C2997">
        <w:rPr>
          <w:rFonts w:eastAsia="Malgun Gothic"/>
          <w:bCs/>
          <w:lang w:val="fr-FR"/>
        </w:rPr>
        <w:t>élément tel que présenté dans le dossier ne rel</w:t>
      </w:r>
      <w:r w:rsidR="00AB00F9">
        <w:rPr>
          <w:rFonts w:eastAsia="Malgun Gothic"/>
          <w:bCs/>
          <w:lang w:val="fr-FR"/>
        </w:rPr>
        <w:t>e</w:t>
      </w:r>
      <w:r w:rsidRPr="005C2997">
        <w:rPr>
          <w:rFonts w:eastAsia="Malgun Gothic"/>
          <w:bCs/>
          <w:lang w:val="fr-FR"/>
        </w:rPr>
        <w:t>v</w:t>
      </w:r>
      <w:r w:rsidR="00AB00F9">
        <w:rPr>
          <w:rFonts w:eastAsia="Malgun Gothic"/>
          <w:bCs/>
          <w:lang w:val="fr-FR"/>
        </w:rPr>
        <w:t>ait</w:t>
      </w:r>
      <w:r w:rsidRPr="005C2997">
        <w:rPr>
          <w:rFonts w:eastAsia="Malgun Gothic"/>
          <w:bCs/>
          <w:lang w:val="fr-FR"/>
        </w:rPr>
        <w:t xml:space="preserve"> pas du patrimoine culturel immatériel et six membres qui considéraient que le dossier satisfaisait aux cinq critères. Tous les membres de l</w:t>
      </w:r>
      <w:r w:rsidR="00923E72">
        <w:rPr>
          <w:rFonts w:eastAsia="Malgun Gothic"/>
          <w:bCs/>
          <w:lang w:val="fr-FR"/>
        </w:rPr>
        <w:t>’</w:t>
      </w:r>
      <w:r w:rsidRPr="005C2997">
        <w:rPr>
          <w:rFonts w:eastAsia="Malgun Gothic"/>
          <w:bCs/>
          <w:lang w:val="fr-FR"/>
        </w:rPr>
        <w:t>Organe avaient estimé qu</w:t>
      </w:r>
      <w:r w:rsidR="00923E72">
        <w:rPr>
          <w:rFonts w:eastAsia="Malgun Gothic"/>
          <w:bCs/>
          <w:lang w:val="fr-FR"/>
        </w:rPr>
        <w:t>’</w:t>
      </w:r>
      <w:r w:rsidRPr="005C2997">
        <w:rPr>
          <w:rFonts w:eastAsia="Malgun Gothic"/>
          <w:bCs/>
          <w:lang w:val="fr-FR"/>
        </w:rPr>
        <w:t>une évaluation positive du dossier pourrait donner une autre interprétation du concept de patrimoine culturel immatériel tel que prévu par la Convention à l</w:t>
      </w:r>
      <w:r w:rsidR="00923E72">
        <w:rPr>
          <w:rFonts w:eastAsia="Malgun Gothic"/>
          <w:bCs/>
          <w:lang w:val="fr-FR"/>
        </w:rPr>
        <w:t>’</w:t>
      </w:r>
      <w:r w:rsidRPr="005C2997">
        <w:rPr>
          <w:rFonts w:eastAsia="Malgun Gothic"/>
          <w:bCs/>
          <w:lang w:val="fr-FR"/>
        </w:rPr>
        <w:t>article</w:t>
      </w:r>
      <w:r w:rsidR="00AB00F9">
        <w:rPr>
          <w:rFonts w:eastAsia="Malgun Gothic"/>
          <w:bCs/>
          <w:lang w:val="fr-FR"/>
        </w:rPr>
        <w:t> </w:t>
      </w:r>
      <w:r w:rsidRPr="005C2997">
        <w:rPr>
          <w:rFonts w:eastAsia="Malgun Gothic"/>
          <w:bCs/>
          <w:lang w:val="fr-FR"/>
        </w:rPr>
        <w:t>2. Pour cette raison, l</w:t>
      </w:r>
      <w:r w:rsidR="00923E72">
        <w:rPr>
          <w:rFonts w:eastAsia="Malgun Gothic"/>
          <w:bCs/>
          <w:lang w:val="fr-FR"/>
        </w:rPr>
        <w:t>’</w:t>
      </w:r>
      <w:r w:rsidRPr="005C2997">
        <w:rPr>
          <w:rFonts w:eastAsia="Malgun Gothic"/>
          <w:bCs/>
          <w:lang w:val="fr-FR"/>
        </w:rPr>
        <w:t>Organe avait jugé nécessaire de transmettre au Comité deux options de décision</w:t>
      </w:r>
      <w:r w:rsidR="004F18A4">
        <w:rPr>
          <w:rFonts w:eastAsia="Malgun Gothic"/>
          <w:bCs/>
          <w:lang w:val="fr-FR"/>
        </w:rPr>
        <w:t>,</w:t>
      </w:r>
      <w:r w:rsidRPr="005C2997">
        <w:rPr>
          <w:rFonts w:eastAsia="Malgun Gothic"/>
          <w:bCs/>
          <w:lang w:val="fr-FR"/>
        </w:rPr>
        <w:t xml:space="preserve"> </w:t>
      </w:r>
      <w:r w:rsidR="004F18A4">
        <w:rPr>
          <w:rFonts w:eastAsia="Malgun Gothic"/>
          <w:bCs/>
          <w:lang w:val="fr-FR"/>
        </w:rPr>
        <w:t>l</w:t>
      </w:r>
      <w:r w:rsidR="00923E72">
        <w:rPr>
          <w:rFonts w:eastAsia="Malgun Gothic"/>
          <w:bCs/>
          <w:lang w:val="fr-FR"/>
        </w:rPr>
        <w:t>’</w:t>
      </w:r>
      <w:r w:rsidRPr="005C2997">
        <w:rPr>
          <w:rFonts w:eastAsia="Malgun Gothic"/>
          <w:bCs/>
          <w:lang w:val="fr-FR"/>
        </w:rPr>
        <w:t>une en faveur de l</w:t>
      </w:r>
      <w:r w:rsidR="00923E72">
        <w:rPr>
          <w:rFonts w:eastAsia="Malgun Gothic"/>
          <w:bCs/>
          <w:lang w:val="fr-FR"/>
        </w:rPr>
        <w:t>’</w:t>
      </w:r>
      <w:r w:rsidRPr="005C2997">
        <w:rPr>
          <w:rFonts w:eastAsia="Malgun Gothic"/>
          <w:bCs/>
          <w:lang w:val="fr-FR"/>
        </w:rPr>
        <w:t>inscription et l</w:t>
      </w:r>
      <w:r w:rsidR="00923E72">
        <w:rPr>
          <w:rFonts w:eastAsia="Malgun Gothic"/>
          <w:bCs/>
          <w:lang w:val="fr-FR"/>
        </w:rPr>
        <w:t>’</w:t>
      </w:r>
      <w:r w:rsidRPr="005C2997">
        <w:rPr>
          <w:rFonts w:eastAsia="Malgun Gothic"/>
          <w:bCs/>
          <w:lang w:val="fr-FR"/>
        </w:rPr>
        <w:t>autre en faveur de la non</w:t>
      </w:r>
      <w:r w:rsidR="004D4983">
        <w:rPr>
          <w:rFonts w:eastAsia="Malgun Gothic"/>
          <w:bCs/>
          <w:lang w:val="fr-FR"/>
        </w:rPr>
        <w:t xml:space="preserve"> i</w:t>
      </w:r>
      <w:r w:rsidRPr="005C2997">
        <w:rPr>
          <w:rFonts w:eastAsia="Malgun Gothic"/>
          <w:bCs/>
          <w:lang w:val="fr-FR"/>
        </w:rPr>
        <w:t>nscription.</w:t>
      </w:r>
    </w:p>
    <w:p w14:paraId="3F6D6E98" w14:textId="468FF236" w:rsidR="00AB00F9" w:rsidRDefault="00AB00F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B00F9">
        <w:rPr>
          <w:rFonts w:eastAsia="Malgun Gothic"/>
          <w:bCs/>
          <w:lang w:val="fr-FR"/>
        </w:rPr>
        <w:t xml:space="preserve">Le </w:t>
      </w:r>
      <w:r w:rsidRPr="00702497">
        <w:rPr>
          <w:rFonts w:eastAsia="Malgun Gothic"/>
          <w:b/>
          <w:lang w:val="fr-FR"/>
        </w:rPr>
        <w:t>Président</w:t>
      </w:r>
      <w:r w:rsidRPr="00AB00F9">
        <w:rPr>
          <w:rFonts w:eastAsia="Malgun Gothic"/>
          <w:bCs/>
          <w:lang w:val="fr-FR"/>
        </w:rPr>
        <w:t xml:space="preserve"> a fait remarquer le caractère unique de ce dossier, avec deux options présentées au Comité, et nécessitant donc une attention particulière. Il </w:t>
      </w:r>
      <w:r>
        <w:rPr>
          <w:rFonts w:eastAsia="Malgun Gothic"/>
          <w:bCs/>
          <w:lang w:val="fr-FR"/>
        </w:rPr>
        <w:t>a indiqué</w:t>
      </w:r>
      <w:r w:rsidRPr="00AB00F9">
        <w:rPr>
          <w:rFonts w:eastAsia="Malgun Gothic"/>
          <w:bCs/>
          <w:lang w:val="fr-FR"/>
        </w:rPr>
        <w:t xml:space="preserve"> que l</w:t>
      </w:r>
      <w:r w:rsidR="00923E72">
        <w:rPr>
          <w:rFonts w:eastAsia="Malgun Gothic"/>
          <w:bCs/>
          <w:lang w:val="fr-FR"/>
        </w:rPr>
        <w:t>’</w:t>
      </w:r>
      <w:r w:rsidRPr="00AB00F9">
        <w:rPr>
          <w:rFonts w:eastAsia="Malgun Gothic"/>
          <w:bCs/>
          <w:lang w:val="fr-FR"/>
        </w:rPr>
        <w:t>Arabie</w:t>
      </w:r>
      <w:r>
        <w:rPr>
          <w:rFonts w:eastAsia="Malgun Gothic"/>
          <w:bCs/>
          <w:lang w:val="fr-FR"/>
        </w:rPr>
        <w:t> </w:t>
      </w:r>
      <w:r w:rsidRPr="00AB00F9">
        <w:rPr>
          <w:rFonts w:eastAsia="Malgun Gothic"/>
          <w:bCs/>
          <w:lang w:val="fr-FR"/>
        </w:rPr>
        <w:t>saoudite a</w:t>
      </w:r>
      <w:r>
        <w:rPr>
          <w:rFonts w:eastAsia="Malgun Gothic"/>
          <w:bCs/>
          <w:lang w:val="fr-FR"/>
        </w:rPr>
        <w:t xml:space="preserve">vait soumis </w:t>
      </w:r>
      <w:r w:rsidRPr="00AB00F9">
        <w:rPr>
          <w:rFonts w:eastAsia="Malgun Gothic"/>
          <w:bCs/>
          <w:lang w:val="fr-FR"/>
        </w:rPr>
        <w:t>un amendement.</w:t>
      </w:r>
    </w:p>
    <w:p w14:paraId="0BEECE2F" w14:textId="2DFCAE21" w:rsidR="00AB00F9" w:rsidRDefault="008D307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D3070">
        <w:rPr>
          <w:rFonts w:eastAsia="Malgun Gothic"/>
          <w:bCs/>
          <w:lang w:val="fr-FR"/>
        </w:rPr>
        <w:t>La délégation de l</w:t>
      </w:r>
      <w:r w:rsidR="00923E72">
        <w:rPr>
          <w:rFonts w:eastAsia="Malgun Gothic"/>
          <w:bCs/>
          <w:lang w:val="fr-FR"/>
        </w:rPr>
        <w:t>’</w:t>
      </w:r>
      <w:r w:rsidRPr="00702497">
        <w:rPr>
          <w:rFonts w:eastAsia="Malgun Gothic"/>
          <w:b/>
          <w:lang w:val="fr-FR"/>
        </w:rPr>
        <w:t>Arabie</w:t>
      </w:r>
      <w:r>
        <w:rPr>
          <w:rFonts w:eastAsia="Malgun Gothic"/>
          <w:b/>
          <w:lang w:val="fr-FR"/>
        </w:rPr>
        <w:t> </w:t>
      </w:r>
      <w:r w:rsidRPr="00702497">
        <w:rPr>
          <w:rFonts w:eastAsia="Malgun Gothic"/>
          <w:b/>
          <w:lang w:val="fr-FR"/>
        </w:rPr>
        <w:t xml:space="preserve">saoudite </w:t>
      </w:r>
      <w:r w:rsidRPr="008D3070">
        <w:rPr>
          <w:rFonts w:eastAsia="Malgun Gothic"/>
          <w:bCs/>
          <w:lang w:val="fr-FR"/>
        </w:rPr>
        <w:t xml:space="preserve">proposait de changer le nom du dossier de </w:t>
      </w:r>
      <w:r w:rsidR="0066393B">
        <w:rPr>
          <w:rFonts w:eastAsia="Malgun Gothic"/>
          <w:bCs/>
          <w:lang w:val="fr-FR"/>
        </w:rPr>
        <w:t>« </w:t>
      </w:r>
      <w:r w:rsidRPr="008D3070">
        <w:rPr>
          <w:rFonts w:eastAsia="Malgun Gothic"/>
          <w:bCs/>
          <w:lang w:val="fr-FR"/>
        </w:rPr>
        <w:t xml:space="preserve">la danse moderne en </w:t>
      </w:r>
      <w:r w:rsidR="0066393B">
        <w:rPr>
          <w:rFonts w:eastAsia="Malgun Gothic"/>
          <w:bCs/>
          <w:lang w:val="fr-FR"/>
        </w:rPr>
        <w:t>Allemagne »</w:t>
      </w:r>
      <w:r w:rsidRPr="008D3070">
        <w:rPr>
          <w:rFonts w:eastAsia="Malgun Gothic"/>
          <w:bCs/>
          <w:lang w:val="fr-FR"/>
        </w:rPr>
        <w:t xml:space="preserve"> à </w:t>
      </w:r>
      <w:r w:rsidR="0066393B">
        <w:rPr>
          <w:rFonts w:eastAsia="Malgun Gothic"/>
          <w:bCs/>
          <w:lang w:val="fr-FR"/>
        </w:rPr>
        <w:t>« </w:t>
      </w:r>
      <w:r w:rsidRPr="008D3070">
        <w:rPr>
          <w:rFonts w:eastAsia="Malgun Gothic"/>
          <w:bCs/>
          <w:lang w:val="fr-FR"/>
        </w:rPr>
        <w:t xml:space="preserve">la pratique de la danse moderne en </w:t>
      </w:r>
      <w:r w:rsidR="0066393B">
        <w:rPr>
          <w:rFonts w:eastAsia="Malgun Gothic"/>
          <w:bCs/>
          <w:lang w:val="fr-FR"/>
        </w:rPr>
        <w:t>Allemagne »</w:t>
      </w:r>
      <w:r w:rsidRPr="008D3070">
        <w:rPr>
          <w:rFonts w:eastAsia="Malgun Gothic"/>
          <w:bCs/>
          <w:lang w:val="fr-FR"/>
        </w:rPr>
        <w:t xml:space="preserve"> pour éviter tout malentendu sur la nature de l</w:t>
      </w:r>
      <w:r w:rsidR="00923E72">
        <w:rPr>
          <w:rFonts w:eastAsia="Malgun Gothic"/>
          <w:bCs/>
          <w:lang w:val="fr-FR"/>
        </w:rPr>
        <w:t>’</w:t>
      </w:r>
      <w:r w:rsidRPr="008D3070">
        <w:rPr>
          <w:rFonts w:eastAsia="Malgun Gothic"/>
          <w:bCs/>
          <w:lang w:val="fr-FR"/>
        </w:rPr>
        <w:t>élément</w:t>
      </w:r>
      <w:r w:rsidR="00E14854">
        <w:rPr>
          <w:rFonts w:eastAsia="Malgun Gothic"/>
          <w:bCs/>
          <w:lang w:val="fr-FR"/>
        </w:rPr>
        <w:t>,</w:t>
      </w:r>
      <w:r w:rsidRPr="008D3070">
        <w:rPr>
          <w:rFonts w:eastAsia="Malgun Gothic"/>
          <w:bCs/>
          <w:lang w:val="fr-FR"/>
        </w:rPr>
        <w:t xml:space="preserve"> qui est exprimé</w:t>
      </w:r>
      <w:r w:rsidR="00E14854">
        <w:rPr>
          <w:rFonts w:eastAsia="Malgun Gothic"/>
          <w:bCs/>
          <w:lang w:val="fr-FR"/>
        </w:rPr>
        <w:t>e</w:t>
      </w:r>
      <w:r w:rsidRPr="008D3070">
        <w:rPr>
          <w:rFonts w:eastAsia="Malgun Gothic"/>
          <w:bCs/>
          <w:lang w:val="fr-FR"/>
        </w:rPr>
        <w:t xml:space="preserve"> dans l</w:t>
      </w:r>
      <w:r w:rsidR="00923E72">
        <w:rPr>
          <w:rFonts w:eastAsia="Malgun Gothic"/>
          <w:bCs/>
          <w:lang w:val="fr-FR"/>
        </w:rPr>
        <w:t>’</w:t>
      </w:r>
      <w:r w:rsidRPr="008D3070">
        <w:rPr>
          <w:rFonts w:eastAsia="Malgun Gothic"/>
          <w:bCs/>
          <w:lang w:val="fr-FR"/>
        </w:rPr>
        <w:t xml:space="preserve">élément comme une pratique et non comme un genre. </w:t>
      </w:r>
      <w:r w:rsidR="0066393B">
        <w:rPr>
          <w:rFonts w:eastAsia="Malgun Gothic"/>
          <w:bCs/>
          <w:lang w:val="fr-FR"/>
        </w:rPr>
        <w:t>Elle a rappelé qu</w:t>
      </w:r>
      <w:r w:rsidR="00923E72">
        <w:rPr>
          <w:rFonts w:eastAsia="Malgun Gothic"/>
          <w:bCs/>
          <w:lang w:val="fr-FR"/>
        </w:rPr>
        <w:t>’</w:t>
      </w:r>
      <w:r w:rsidR="0066393B">
        <w:rPr>
          <w:rFonts w:eastAsia="Malgun Gothic"/>
          <w:bCs/>
          <w:lang w:val="fr-FR"/>
        </w:rPr>
        <w:t>u</w:t>
      </w:r>
      <w:r w:rsidRPr="008D3070">
        <w:rPr>
          <w:rFonts w:eastAsia="Malgun Gothic"/>
          <w:bCs/>
          <w:lang w:val="fr-FR"/>
        </w:rPr>
        <w:t>ne section de l</w:t>
      </w:r>
      <w:r w:rsidR="00923E72">
        <w:rPr>
          <w:rFonts w:eastAsia="Malgun Gothic"/>
          <w:bCs/>
          <w:lang w:val="fr-FR"/>
        </w:rPr>
        <w:t>’</w:t>
      </w:r>
      <w:r w:rsidRPr="008D3070">
        <w:rPr>
          <w:rFonts w:eastAsia="Malgun Gothic"/>
          <w:bCs/>
          <w:lang w:val="fr-FR"/>
        </w:rPr>
        <w:t>article</w:t>
      </w:r>
      <w:r w:rsidR="005877E6">
        <w:rPr>
          <w:rFonts w:eastAsia="Malgun Gothic"/>
          <w:bCs/>
          <w:lang w:val="fr-FR"/>
        </w:rPr>
        <w:t> </w:t>
      </w:r>
      <w:r w:rsidRPr="008D3070">
        <w:rPr>
          <w:rFonts w:eastAsia="Malgun Gothic"/>
          <w:bCs/>
          <w:lang w:val="fr-FR"/>
        </w:rPr>
        <w:t>2 du texte de la Convention stipule qu</w:t>
      </w:r>
      <w:r w:rsidR="00923E72">
        <w:rPr>
          <w:rFonts w:eastAsia="Malgun Gothic"/>
          <w:bCs/>
          <w:lang w:val="fr-FR"/>
        </w:rPr>
        <w:t>’</w:t>
      </w:r>
      <w:r w:rsidR="0066393B">
        <w:rPr>
          <w:rFonts w:eastAsia="Malgun Gothic"/>
          <w:bCs/>
          <w:lang w:val="fr-FR"/>
        </w:rPr>
        <w:t>« On entend par</w:t>
      </w:r>
      <w:r w:rsidRPr="008D3070">
        <w:rPr>
          <w:rFonts w:eastAsia="Malgun Gothic"/>
          <w:bCs/>
          <w:lang w:val="fr-FR"/>
        </w:rPr>
        <w:t xml:space="preserve"> </w:t>
      </w:r>
      <w:r w:rsidR="005877E6">
        <w:rPr>
          <w:rFonts w:eastAsia="Malgun Gothic"/>
          <w:bCs/>
          <w:lang w:val="fr-FR"/>
        </w:rPr>
        <w:t>" p</w:t>
      </w:r>
      <w:r w:rsidRPr="008D3070">
        <w:rPr>
          <w:rFonts w:eastAsia="Malgun Gothic"/>
          <w:bCs/>
          <w:lang w:val="fr-FR"/>
        </w:rPr>
        <w:t>atrimoine culturel immatériel</w:t>
      </w:r>
      <w:r w:rsidR="005877E6">
        <w:rPr>
          <w:rFonts w:eastAsia="Malgun Gothic"/>
          <w:bCs/>
          <w:lang w:val="fr-FR"/>
        </w:rPr>
        <w:t> "</w:t>
      </w:r>
      <w:r w:rsidRPr="008D3070">
        <w:rPr>
          <w:rFonts w:eastAsia="Malgun Gothic"/>
          <w:bCs/>
          <w:lang w:val="fr-FR"/>
        </w:rPr>
        <w:t xml:space="preserve"> les pratiques, représentations, expressions, connaissances, savoir-faire [...] que les communautés, les groupes et, </w:t>
      </w:r>
      <w:r w:rsidR="0066393B">
        <w:rPr>
          <w:rFonts w:eastAsia="Malgun Gothic"/>
          <w:bCs/>
          <w:lang w:val="fr-FR"/>
        </w:rPr>
        <w:t>le cas échéant</w:t>
      </w:r>
      <w:r w:rsidRPr="008D3070">
        <w:rPr>
          <w:rFonts w:eastAsia="Malgun Gothic"/>
          <w:bCs/>
          <w:lang w:val="fr-FR"/>
        </w:rPr>
        <w:t>, les individus reconnaissent comme faisant partie de leur patrimoine culturel. Ce patrimoine culturel immatériel transmis de génération en génération</w:t>
      </w:r>
      <w:r w:rsidR="0066393B">
        <w:rPr>
          <w:rFonts w:eastAsia="Malgun Gothic"/>
          <w:bCs/>
          <w:lang w:val="fr-FR"/>
        </w:rPr>
        <w:t>,</w:t>
      </w:r>
      <w:r w:rsidRPr="008D3070">
        <w:rPr>
          <w:rFonts w:eastAsia="Malgun Gothic"/>
          <w:bCs/>
          <w:lang w:val="fr-FR"/>
        </w:rPr>
        <w:t xml:space="preserve"> est recréé en permanence par les communautés</w:t>
      </w:r>
      <w:r w:rsidR="0066393B">
        <w:rPr>
          <w:rFonts w:eastAsia="Malgun Gothic"/>
          <w:bCs/>
          <w:lang w:val="fr-FR"/>
        </w:rPr>
        <w:t xml:space="preserve"> et groupes </w:t>
      </w:r>
      <w:r w:rsidRPr="008D3070">
        <w:rPr>
          <w:rFonts w:eastAsia="Malgun Gothic"/>
          <w:bCs/>
          <w:lang w:val="fr-FR"/>
        </w:rPr>
        <w:t>en fonction de leur</w:t>
      </w:r>
      <w:r w:rsidR="0066393B">
        <w:rPr>
          <w:rFonts w:eastAsia="Malgun Gothic"/>
          <w:bCs/>
          <w:lang w:val="fr-FR"/>
        </w:rPr>
        <w:t xml:space="preserve"> milieu</w:t>
      </w:r>
      <w:r w:rsidRPr="008D3070">
        <w:rPr>
          <w:rFonts w:eastAsia="Malgun Gothic"/>
          <w:bCs/>
          <w:lang w:val="fr-FR"/>
        </w:rPr>
        <w:t>, de leur interaction avec la nature et de leur histoire, et leur procure un sentiment d</w:t>
      </w:r>
      <w:r w:rsidR="00923E72">
        <w:rPr>
          <w:rFonts w:eastAsia="Malgun Gothic"/>
          <w:bCs/>
          <w:lang w:val="fr-FR"/>
        </w:rPr>
        <w:t>’</w:t>
      </w:r>
      <w:r w:rsidRPr="008D3070">
        <w:rPr>
          <w:rFonts w:eastAsia="Malgun Gothic"/>
          <w:bCs/>
          <w:lang w:val="fr-FR"/>
        </w:rPr>
        <w:t xml:space="preserve">identité et de continuité, </w:t>
      </w:r>
      <w:r w:rsidR="0066393B">
        <w:rPr>
          <w:rFonts w:eastAsia="Malgun Gothic"/>
          <w:bCs/>
          <w:lang w:val="fr-FR"/>
        </w:rPr>
        <w:t xml:space="preserve">contribuant </w:t>
      </w:r>
      <w:r w:rsidRPr="008D3070">
        <w:rPr>
          <w:rFonts w:eastAsia="Malgun Gothic"/>
          <w:bCs/>
          <w:lang w:val="fr-FR"/>
        </w:rPr>
        <w:t xml:space="preserve">ainsi </w:t>
      </w:r>
      <w:r w:rsidR="0066393B">
        <w:rPr>
          <w:rFonts w:eastAsia="Malgun Gothic"/>
          <w:bCs/>
          <w:lang w:val="fr-FR"/>
        </w:rPr>
        <w:t xml:space="preserve">à promouvoir </w:t>
      </w:r>
      <w:r w:rsidRPr="008D3070">
        <w:rPr>
          <w:rFonts w:eastAsia="Malgun Gothic"/>
          <w:bCs/>
          <w:lang w:val="fr-FR"/>
        </w:rPr>
        <w:t>le respect de la diversité culturelle et la créativité humaine</w:t>
      </w:r>
      <w:r w:rsidR="0083033C">
        <w:rPr>
          <w:rFonts w:eastAsia="Malgun Gothic"/>
          <w:bCs/>
          <w:lang w:val="fr-FR"/>
        </w:rPr>
        <w:t>.</w:t>
      </w:r>
      <w:r w:rsidR="0066393B">
        <w:rPr>
          <w:rFonts w:eastAsia="Malgun Gothic"/>
          <w:bCs/>
          <w:lang w:val="fr-FR"/>
        </w:rPr>
        <w:t> »</w:t>
      </w:r>
      <w:r w:rsidRPr="008D3070">
        <w:rPr>
          <w:rFonts w:eastAsia="Malgun Gothic"/>
          <w:bCs/>
          <w:lang w:val="fr-FR"/>
        </w:rPr>
        <w:t xml:space="preserve"> Cet élément était donc en </w:t>
      </w:r>
      <w:r w:rsidR="0066393B">
        <w:rPr>
          <w:rFonts w:eastAsia="Malgun Gothic"/>
          <w:bCs/>
          <w:lang w:val="fr-FR"/>
        </w:rPr>
        <w:t xml:space="preserve">accord </w:t>
      </w:r>
      <w:r w:rsidRPr="008D3070">
        <w:rPr>
          <w:rFonts w:eastAsia="Malgun Gothic"/>
          <w:bCs/>
          <w:lang w:val="fr-FR"/>
        </w:rPr>
        <w:t>avec la définition du patrimoine culturel immatériel dans la Convention</w:t>
      </w:r>
      <w:r w:rsidR="0066393B">
        <w:rPr>
          <w:rFonts w:eastAsia="Malgun Gothic"/>
          <w:bCs/>
          <w:lang w:val="fr-FR"/>
        </w:rPr>
        <w:t xml:space="preserve">, </w:t>
      </w:r>
      <w:r w:rsidRPr="008D3070">
        <w:rPr>
          <w:rFonts w:eastAsia="Malgun Gothic"/>
          <w:bCs/>
          <w:lang w:val="fr-FR"/>
        </w:rPr>
        <w:t>puisqu</w:t>
      </w:r>
      <w:r w:rsidR="00923E72">
        <w:rPr>
          <w:rFonts w:eastAsia="Malgun Gothic"/>
          <w:bCs/>
          <w:lang w:val="fr-FR"/>
        </w:rPr>
        <w:t>’</w:t>
      </w:r>
      <w:r w:rsidRPr="008D3070">
        <w:rPr>
          <w:rFonts w:eastAsia="Malgun Gothic"/>
          <w:bCs/>
          <w:lang w:val="fr-FR"/>
        </w:rPr>
        <w:t>il s</w:t>
      </w:r>
      <w:r w:rsidR="00923E72">
        <w:rPr>
          <w:rFonts w:eastAsia="Malgun Gothic"/>
          <w:bCs/>
          <w:lang w:val="fr-FR"/>
        </w:rPr>
        <w:t>’</w:t>
      </w:r>
      <w:r w:rsidRPr="008D3070">
        <w:rPr>
          <w:rFonts w:eastAsia="Malgun Gothic"/>
          <w:bCs/>
          <w:lang w:val="fr-FR"/>
        </w:rPr>
        <w:t>agit d</w:t>
      </w:r>
      <w:r w:rsidR="00923E72">
        <w:rPr>
          <w:rFonts w:eastAsia="Malgun Gothic"/>
          <w:bCs/>
          <w:lang w:val="fr-FR"/>
        </w:rPr>
        <w:t>’</w:t>
      </w:r>
      <w:r w:rsidRPr="008D3070">
        <w:rPr>
          <w:rFonts w:eastAsia="Malgun Gothic"/>
          <w:bCs/>
          <w:lang w:val="fr-FR"/>
        </w:rPr>
        <w:t>une pratique dans le domaine des arts du spectacle. L</w:t>
      </w:r>
      <w:r w:rsidR="00923E72">
        <w:rPr>
          <w:rFonts w:eastAsia="Malgun Gothic"/>
          <w:bCs/>
          <w:lang w:val="fr-FR"/>
        </w:rPr>
        <w:t>’</w:t>
      </w:r>
      <w:r w:rsidRPr="008D3070">
        <w:rPr>
          <w:rFonts w:eastAsia="Malgun Gothic"/>
          <w:bCs/>
          <w:lang w:val="fr-FR"/>
        </w:rPr>
        <w:t>Arabie</w:t>
      </w:r>
      <w:r>
        <w:rPr>
          <w:rFonts w:eastAsia="Malgun Gothic"/>
          <w:bCs/>
          <w:lang w:val="fr-FR"/>
        </w:rPr>
        <w:t> </w:t>
      </w:r>
      <w:r w:rsidRPr="008D3070">
        <w:rPr>
          <w:rFonts w:eastAsia="Malgun Gothic"/>
          <w:bCs/>
          <w:lang w:val="fr-FR"/>
        </w:rPr>
        <w:t>saoudite soutenait donc l</w:t>
      </w:r>
      <w:r w:rsidR="00923E72">
        <w:rPr>
          <w:rFonts w:eastAsia="Malgun Gothic"/>
          <w:bCs/>
          <w:lang w:val="fr-FR"/>
        </w:rPr>
        <w:t>’</w:t>
      </w:r>
      <w:r w:rsidRPr="008D3070">
        <w:rPr>
          <w:rFonts w:eastAsia="Malgun Gothic"/>
          <w:bCs/>
          <w:lang w:val="fr-FR"/>
        </w:rPr>
        <w:t xml:space="preserve">option A, visant à inscrire la </w:t>
      </w:r>
      <w:r w:rsidR="0066393B">
        <w:rPr>
          <w:rFonts w:eastAsia="Malgun Gothic"/>
          <w:bCs/>
          <w:lang w:val="fr-FR"/>
        </w:rPr>
        <w:t>p</w:t>
      </w:r>
      <w:r w:rsidRPr="008D3070">
        <w:rPr>
          <w:rFonts w:eastAsia="Malgun Gothic"/>
          <w:bCs/>
          <w:lang w:val="fr-FR"/>
        </w:rPr>
        <w:t xml:space="preserve">ratique de la danse moderne en </w:t>
      </w:r>
      <w:r w:rsidR="0066393B">
        <w:rPr>
          <w:rFonts w:eastAsia="Malgun Gothic"/>
          <w:bCs/>
          <w:lang w:val="fr-FR"/>
        </w:rPr>
        <w:t>Allemagne.</w:t>
      </w:r>
      <w:r w:rsidRPr="008D3070">
        <w:rPr>
          <w:rFonts w:eastAsia="Malgun Gothic"/>
          <w:bCs/>
          <w:lang w:val="fr-FR"/>
        </w:rPr>
        <w:t xml:space="preserve"> Elle a demandé à l</w:t>
      </w:r>
      <w:r w:rsidR="00923E72">
        <w:rPr>
          <w:rFonts w:eastAsia="Malgun Gothic"/>
          <w:bCs/>
          <w:lang w:val="fr-FR"/>
        </w:rPr>
        <w:t>’</w:t>
      </w:r>
      <w:r w:rsidRPr="008D3070">
        <w:rPr>
          <w:rFonts w:eastAsia="Malgun Gothic"/>
          <w:bCs/>
          <w:lang w:val="fr-FR"/>
        </w:rPr>
        <w:t>Allemagne de donner des précisions sur la communauté pratiquant l</w:t>
      </w:r>
      <w:r w:rsidR="00923E72">
        <w:rPr>
          <w:rFonts w:eastAsia="Malgun Gothic"/>
          <w:bCs/>
          <w:lang w:val="fr-FR"/>
        </w:rPr>
        <w:t>’</w:t>
      </w:r>
      <w:r w:rsidRPr="008D3070">
        <w:rPr>
          <w:rFonts w:eastAsia="Malgun Gothic"/>
          <w:bCs/>
          <w:lang w:val="fr-FR"/>
        </w:rPr>
        <w:t>élément et sur sa relation avec cet élément.</w:t>
      </w:r>
    </w:p>
    <w:p w14:paraId="1FCCBCD0" w14:textId="6C14107D" w:rsidR="0066393B" w:rsidRDefault="0066393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6393B">
        <w:rPr>
          <w:rFonts w:eastAsia="Malgun Gothic"/>
          <w:bCs/>
          <w:lang w:val="fr-FR"/>
        </w:rPr>
        <w:t>La délégation de l</w:t>
      </w:r>
      <w:r w:rsidR="00923E72">
        <w:rPr>
          <w:rFonts w:eastAsia="Malgun Gothic"/>
          <w:bCs/>
          <w:lang w:val="fr-FR"/>
        </w:rPr>
        <w:t>’</w:t>
      </w:r>
      <w:r w:rsidRPr="00702497">
        <w:rPr>
          <w:rFonts w:eastAsia="Malgun Gothic"/>
          <w:b/>
          <w:lang w:val="fr-FR"/>
        </w:rPr>
        <w:t>Allemagne</w:t>
      </w:r>
      <w:r w:rsidRPr="0066393B">
        <w:rPr>
          <w:rFonts w:eastAsia="Malgun Gothic"/>
          <w:bCs/>
          <w:lang w:val="fr-FR"/>
        </w:rPr>
        <w:t xml:space="preserve"> a remercié l</w:t>
      </w:r>
      <w:r w:rsidR="00923E72">
        <w:rPr>
          <w:rFonts w:eastAsia="Malgun Gothic"/>
          <w:bCs/>
          <w:lang w:val="fr-FR"/>
        </w:rPr>
        <w:t>’</w:t>
      </w:r>
      <w:r w:rsidRPr="0066393B">
        <w:rPr>
          <w:rFonts w:eastAsia="Malgun Gothic"/>
          <w:bCs/>
          <w:lang w:val="fr-FR"/>
        </w:rPr>
        <w:t>Arabie saoudite pour son amendement. Elle appréciait le travail de l</w:t>
      </w:r>
      <w:r w:rsidR="00923E72">
        <w:rPr>
          <w:rFonts w:eastAsia="Malgun Gothic"/>
          <w:bCs/>
          <w:lang w:val="fr-FR"/>
        </w:rPr>
        <w:t>’</w:t>
      </w:r>
      <w:r w:rsidRPr="0066393B">
        <w:rPr>
          <w:rFonts w:eastAsia="Malgun Gothic"/>
          <w:bCs/>
          <w:lang w:val="fr-FR"/>
        </w:rPr>
        <w:t>Organe d</w:t>
      </w:r>
      <w:r w:rsidR="00923E72">
        <w:rPr>
          <w:rFonts w:eastAsia="Malgun Gothic"/>
          <w:bCs/>
          <w:lang w:val="fr-FR"/>
        </w:rPr>
        <w:t>’</w:t>
      </w:r>
      <w:r w:rsidRPr="0066393B">
        <w:rPr>
          <w:rFonts w:eastAsia="Malgun Gothic"/>
          <w:bCs/>
          <w:lang w:val="fr-FR"/>
        </w:rPr>
        <w:t>évaluation et son honnêteté à admettre qu</w:t>
      </w:r>
      <w:r w:rsidR="00923E72">
        <w:rPr>
          <w:rFonts w:eastAsia="Malgun Gothic"/>
          <w:bCs/>
          <w:lang w:val="fr-FR"/>
        </w:rPr>
        <w:t>’</w:t>
      </w:r>
      <w:r w:rsidRPr="0066393B">
        <w:rPr>
          <w:rFonts w:eastAsia="Malgun Gothic"/>
          <w:bCs/>
          <w:lang w:val="fr-FR"/>
        </w:rPr>
        <w:t>il n</w:t>
      </w:r>
      <w:r w:rsidR="00923E72">
        <w:rPr>
          <w:rFonts w:eastAsia="Malgun Gothic"/>
          <w:bCs/>
          <w:lang w:val="fr-FR"/>
        </w:rPr>
        <w:t>’</w:t>
      </w:r>
      <w:r w:rsidRPr="0066393B">
        <w:rPr>
          <w:rFonts w:eastAsia="Malgun Gothic"/>
          <w:bCs/>
          <w:lang w:val="fr-FR"/>
        </w:rPr>
        <w:t xml:space="preserve">était pas parvenu à un consensus. </w:t>
      </w:r>
      <w:r w:rsidR="00227E8F">
        <w:rPr>
          <w:rFonts w:eastAsia="Malgun Gothic"/>
          <w:bCs/>
          <w:lang w:val="fr-FR"/>
        </w:rPr>
        <w:t>S</w:t>
      </w:r>
      <w:r w:rsidR="00923E72">
        <w:rPr>
          <w:rFonts w:eastAsia="Malgun Gothic"/>
          <w:bCs/>
          <w:lang w:val="fr-FR"/>
        </w:rPr>
        <w:t>’</w:t>
      </w:r>
      <w:r w:rsidR="00227E8F">
        <w:rPr>
          <w:rFonts w:eastAsia="Malgun Gothic"/>
          <w:bCs/>
          <w:lang w:val="fr-FR"/>
        </w:rPr>
        <w:t xml:space="preserve">agissant de </w:t>
      </w:r>
      <w:r w:rsidRPr="0066393B">
        <w:rPr>
          <w:rFonts w:eastAsia="Malgun Gothic"/>
          <w:bCs/>
          <w:lang w:val="fr-FR"/>
        </w:rPr>
        <w:t>l</w:t>
      </w:r>
      <w:r w:rsidR="00923E72">
        <w:rPr>
          <w:rFonts w:eastAsia="Malgun Gothic"/>
          <w:bCs/>
          <w:lang w:val="fr-FR"/>
        </w:rPr>
        <w:t>’</w:t>
      </w:r>
      <w:r w:rsidRPr="0066393B">
        <w:rPr>
          <w:rFonts w:eastAsia="Malgun Gothic"/>
          <w:bCs/>
          <w:lang w:val="fr-FR"/>
        </w:rPr>
        <w:t>élément lui-même, la délégation s</w:t>
      </w:r>
      <w:r w:rsidR="00923E72">
        <w:rPr>
          <w:rFonts w:eastAsia="Malgun Gothic"/>
          <w:bCs/>
          <w:lang w:val="fr-FR"/>
        </w:rPr>
        <w:t>’</w:t>
      </w:r>
      <w:r w:rsidRPr="0066393B">
        <w:rPr>
          <w:rFonts w:eastAsia="Malgun Gothic"/>
          <w:bCs/>
          <w:lang w:val="fr-FR"/>
        </w:rPr>
        <w:t>est ralliée aux remarques formulées par l</w:t>
      </w:r>
      <w:r w:rsidR="00923E72">
        <w:rPr>
          <w:rFonts w:eastAsia="Malgun Gothic"/>
          <w:bCs/>
          <w:lang w:val="fr-FR"/>
        </w:rPr>
        <w:t>’</w:t>
      </w:r>
      <w:r w:rsidRPr="0066393B">
        <w:rPr>
          <w:rFonts w:eastAsia="Malgun Gothic"/>
          <w:bCs/>
          <w:lang w:val="fr-FR"/>
        </w:rPr>
        <w:t>Arabie saoudite, à savoir que le dossier exprime l</w:t>
      </w:r>
      <w:r w:rsidR="00923E72">
        <w:rPr>
          <w:rFonts w:eastAsia="Malgun Gothic"/>
          <w:bCs/>
          <w:lang w:val="fr-FR"/>
        </w:rPr>
        <w:t>’</w:t>
      </w:r>
      <w:r w:rsidRPr="0066393B">
        <w:rPr>
          <w:rFonts w:eastAsia="Malgun Gothic"/>
          <w:bCs/>
          <w:lang w:val="fr-FR"/>
        </w:rPr>
        <w:t xml:space="preserve">élément en tant que pratique et non en tant que genre. Le changement de nom du dossier en </w:t>
      </w:r>
      <w:r w:rsidR="00227E8F">
        <w:rPr>
          <w:rFonts w:eastAsia="Malgun Gothic"/>
          <w:bCs/>
          <w:lang w:val="fr-FR"/>
        </w:rPr>
        <w:t>« </w:t>
      </w:r>
      <w:r w:rsidR="004F18A4">
        <w:rPr>
          <w:rFonts w:eastAsia="Malgun Gothic"/>
          <w:bCs/>
          <w:lang w:val="fr-FR"/>
        </w:rPr>
        <w:t>p</w:t>
      </w:r>
      <w:r w:rsidRPr="0066393B">
        <w:rPr>
          <w:rFonts w:eastAsia="Malgun Gothic"/>
          <w:bCs/>
          <w:lang w:val="fr-FR"/>
        </w:rPr>
        <w:t xml:space="preserve">ratique de la danse moderne en </w:t>
      </w:r>
      <w:r w:rsidR="00227E8F">
        <w:rPr>
          <w:rFonts w:eastAsia="Malgun Gothic"/>
          <w:bCs/>
          <w:lang w:val="fr-FR"/>
        </w:rPr>
        <w:t>Allemagne »</w:t>
      </w:r>
      <w:r w:rsidRPr="0066393B">
        <w:rPr>
          <w:rFonts w:eastAsia="Malgun Gothic"/>
          <w:bCs/>
          <w:lang w:val="fr-FR"/>
        </w:rPr>
        <w:t xml:space="preserve"> permettait de mieux comprendre le dossier et d</w:t>
      </w:r>
      <w:r w:rsidR="00923E72">
        <w:rPr>
          <w:rFonts w:eastAsia="Malgun Gothic"/>
          <w:bCs/>
          <w:lang w:val="fr-FR"/>
        </w:rPr>
        <w:t>’</w:t>
      </w:r>
      <w:r w:rsidRPr="0066393B">
        <w:rPr>
          <w:rFonts w:eastAsia="Malgun Gothic"/>
          <w:bCs/>
          <w:lang w:val="fr-FR"/>
        </w:rPr>
        <w:t>éviter les malentendus. En réponse à la question de l</w:t>
      </w:r>
      <w:r w:rsidR="00923E72">
        <w:rPr>
          <w:rFonts w:eastAsia="Malgun Gothic"/>
          <w:bCs/>
          <w:lang w:val="fr-FR"/>
        </w:rPr>
        <w:t>’</w:t>
      </w:r>
      <w:r w:rsidRPr="0066393B">
        <w:rPr>
          <w:rFonts w:eastAsia="Malgun Gothic"/>
          <w:bCs/>
          <w:lang w:val="fr-FR"/>
        </w:rPr>
        <w:t>Arabie Saoudite, la délégation a expliqué que la communauté en Allemagne est clairement définie et pas trop étendue, puisqu</w:t>
      </w:r>
      <w:r w:rsidR="00923E72">
        <w:rPr>
          <w:rFonts w:eastAsia="Malgun Gothic"/>
          <w:bCs/>
          <w:lang w:val="fr-FR"/>
        </w:rPr>
        <w:t>’</w:t>
      </w:r>
      <w:r w:rsidRPr="0066393B">
        <w:rPr>
          <w:rFonts w:eastAsia="Malgun Gothic"/>
          <w:bCs/>
          <w:lang w:val="fr-FR"/>
        </w:rPr>
        <w:t>elle comprend environ</w:t>
      </w:r>
      <w:r w:rsidR="004F18A4">
        <w:rPr>
          <w:rFonts w:eastAsia="Malgun Gothic"/>
          <w:bCs/>
          <w:lang w:val="fr-FR"/>
        </w:rPr>
        <w:t> </w:t>
      </w:r>
      <w:r w:rsidRPr="0066393B">
        <w:rPr>
          <w:rFonts w:eastAsia="Malgun Gothic"/>
          <w:bCs/>
          <w:lang w:val="fr-FR"/>
        </w:rPr>
        <w:t>1</w:t>
      </w:r>
      <w:r w:rsidR="00227E8F">
        <w:rPr>
          <w:rFonts w:eastAsia="Malgun Gothic"/>
          <w:bCs/>
          <w:lang w:val="fr-FR"/>
        </w:rPr>
        <w:t> </w:t>
      </w:r>
      <w:r w:rsidRPr="0066393B">
        <w:rPr>
          <w:rFonts w:eastAsia="Malgun Gothic"/>
          <w:bCs/>
          <w:lang w:val="fr-FR"/>
        </w:rPr>
        <w:t>000 danseurs, chorégraphes et éducateurs organisés en plusieurs groupes et associations, parmi lesquel</w:t>
      </w:r>
      <w:r w:rsidR="00227E8F">
        <w:rPr>
          <w:rFonts w:eastAsia="Malgun Gothic"/>
          <w:bCs/>
          <w:lang w:val="fr-FR"/>
        </w:rPr>
        <w:t>s</w:t>
      </w:r>
      <w:r w:rsidRPr="0066393B">
        <w:rPr>
          <w:rFonts w:eastAsia="Malgun Gothic"/>
          <w:bCs/>
          <w:lang w:val="fr-FR"/>
        </w:rPr>
        <w:t>, entre autres, l</w:t>
      </w:r>
      <w:r w:rsidR="00923E72">
        <w:rPr>
          <w:rFonts w:eastAsia="Malgun Gothic"/>
          <w:bCs/>
          <w:lang w:val="fr-FR"/>
        </w:rPr>
        <w:t>’</w:t>
      </w:r>
      <w:r w:rsidRPr="0066393B">
        <w:rPr>
          <w:rFonts w:eastAsia="Malgun Gothic"/>
          <w:bCs/>
          <w:lang w:val="fr-FR"/>
        </w:rPr>
        <w:t xml:space="preserve">Association Rosalia </w:t>
      </w:r>
      <w:proofErr w:type="spellStart"/>
      <w:r w:rsidRPr="0066393B">
        <w:rPr>
          <w:rFonts w:eastAsia="Malgun Gothic"/>
          <w:bCs/>
          <w:lang w:val="fr-FR"/>
        </w:rPr>
        <w:t>Chladek</w:t>
      </w:r>
      <w:proofErr w:type="spellEnd"/>
      <w:r w:rsidRPr="0066393B">
        <w:rPr>
          <w:rFonts w:eastAsia="Malgun Gothic"/>
          <w:bCs/>
          <w:lang w:val="fr-FR"/>
        </w:rPr>
        <w:t xml:space="preserve"> Allemagne, qui compte environ 100 membres, l</w:t>
      </w:r>
      <w:r w:rsidR="00923E72">
        <w:rPr>
          <w:rFonts w:eastAsia="Malgun Gothic"/>
          <w:bCs/>
          <w:lang w:val="fr-FR"/>
        </w:rPr>
        <w:t>’</w:t>
      </w:r>
      <w:r w:rsidRPr="0066393B">
        <w:rPr>
          <w:rFonts w:eastAsia="Malgun Gothic"/>
          <w:bCs/>
          <w:lang w:val="fr-FR"/>
        </w:rPr>
        <w:t>Association européenne pour l</w:t>
      </w:r>
      <w:r w:rsidR="00923E72">
        <w:rPr>
          <w:rFonts w:eastAsia="Malgun Gothic"/>
          <w:bCs/>
          <w:lang w:val="fr-FR"/>
        </w:rPr>
        <w:t>’</w:t>
      </w:r>
      <w:r w:rsidRPr="0066393B">
        <w:rPr>
          <w:rFonts w:eastAsia="Malgun Gothic"/>
          <w:bCs/>
          <w:lang w:val="fr-FR"/>
        </w:rPr>
        <w:t>étude du mouvement Laban/</w:t>
      </w:r>
      <w:proofErr w:type="spellStart"/>
      <w:r w:rsidRPr="0066393B">
        <w:rPr>
          <w:rFonts w:eastAsia="Malgun Gothic"/>
          <w:bCs/>
          <w:lang w:val="fr-FR"/>
        </w:rPr>
        <w:t>Bartenieff</w:t>
      </w:r>
      <w:proofErr w:type="spellEnd"/>
      <w:r w:rsidRPr="0066393B">
        <w:rPr>
          <w:rFonts w:eastAsia="Malgun Gothic"/>
          <w:bCs/>
          <w:lang w:val="fr-FR"/>
        </w:rPr>
        <w:t>, qui compte environ 200 membres, l</w:t>
      </w:r>
      <w:r w:rsidR="00923E72">
        <w:rPr>
          <w:rFonts w:eastAsia="Malgun Gothic"/>
          <w:bCs/>
          <w:lang w:val="fr-FR"/>
        </w:rPr>
        <w:t>’</w:t>
      </w:r>
      <w:r w:rsidRPr="0066393B">
        <w:rPr>
          <w:rFonts w:eastAsia="Malgun Gothic"/>
          <w:bCs/>
          <w:lang w:val="fr-FR"/>
        </w:rPr>
        <w:t>Association de danse élémentaire, qui compte environ 80 membres, et des studios de danse</w:t>
      </w:r>
      <w:r w:rsidR="004670CC">
        <w:rPr>
          <w:rFonts w:eastAsia="Malgun Gothic"/>
          <w:bCs/>
          <w:lang w:val="fr-FR"/>
        </w:rPr>
        <w:t>,</w:t>
      </w:r>
      <w:r w:rsidRPr="0066393B">
        <w:rPr>
          <w:rFonts w:eastAsia="Malgun Gothic"/>
          <w:bCs/>
          <w:lang w:val="fr-FR"/>
        </w:rPr>
        <w:t xml:space="preserve"> tels que le </w:t>
      </w:r>
      <w:proofErr w:type="spellStart"/>
      <w:r w:rsidRPr="0066393B">
        <w:rPr>
          <w:rFonts w:eastAsia="Malgun Gothic"/>
          <w:bCs/>
          <w:lang w:val="fr-FR"/>
        </w:rPr>
        <w:t>Tanzraum</w:t>
      </w:r>
      <w:proofErr w:type="spellEnd"/>
      <w:r w:rsidRPr="0066393B">
        <w:rPr>
          <w:rFonts w:eastAsia="Malgun Gothic"/>
          <w:bCs/>
          <w:lang w:val="fr-FR"/>
        </w:rPr>
        <w:t xml:space="preserve"> à Wiesbaden, le </w:t>
      </w:r>
      <w:proofErr w:type="spellStart"/>
      <w:r w:rsidRPr="0066393B">
        <w:rPr>
          <w:rFonts w:eastAsia="Malgun Gothic"/>
          <w:bCs/>
          <w:lang w:val="fr-FR"/>
        </w:rPr>
        <w:t>Tanzstudio</w:t>
      </w:r>
      <w:proofErr w:type="spellEnd"/>
      <w:r w:rsidRPr="0066393B">
        <w:rPr>
          <w:rFonts w:eastAsia="Malgun Gothic"/>
          <w:bCs/>
          <w:lang w:val="fr-FR"/>
        </w:rPr>
        <w:t xml:space="preserve"> </w:t>
      </w:r>
      <w:proofErr w:type="spellStart"/>
      <w:r w:rsidRPr="0066393B">
        <w:rPr>
          <w:rFonts w:eastAsia="Malgun Gothic"/>
          <w:bCs/>
          <w:lang w:val="fr-FR"/>
        </w:rPr>
        <w:t>Odenthal</w:t>
      </w:r>
      <w:proofErr w:type="spellEnd"/>
      <w:r w:rsidRPr="0066393B">
        <w:rPr>
          <w:rFonts w:eastAsia="Malgun Gothic"/>
          <w:bCs/>
          <w:lang w:val="fr-FR"/>
        </w:rPr>
        <w:t xml:space="preserve"> à Cologne ou le </w:t>
      </w:r>
      <w:proofErr w:type="spellStart"/>
      <w:r w:rsidRPr="0066393B">
        <w:rPr>
          <w:rFonts w:eastAsia="Malgun Gothic"/>
          <w:bCs/>
          <w:lang w:val="fr-FR"/>
        </w:rPr>
        <w:t>Tanzwerkstatt</w:t>
      </w:r>
      <w:proofErr w:type="spellEnd"/>
      <w:r w:rsidRPr="0066393B">
        <w:rPr>
          <w:rFonts w:eastAsia="Malgun Gothic"/>
          <w:bCs/>
          <w:lang w:val="fr-FR"/>
        </w:rPr>
        <w:t xml:space="preserve"> à Fribourg</w:t>
      </w:r>
      <w:r w:rsidR="004670CC">
        <w:rPr>
          <w:rFonts w:eastAsia="Malgun Gothic"/>
          <w:bCs/>
          <w:lang w:val="fr-FR"/>
        </w:rPr>
        <w:t>,</w:t>
      </w:r>
      <w:r w:rsidRPr="0066393B">
        <w:rPr>
          <w:rFonts w:eastAsia="Malgun Gothic"/>
          <w:bCs/>
          <w:lang w:val="fr-FR"/>
        </w:rPr>
        <w:t xml:space="preserve"> ainsi que des groupes de danse</w:t>
      </w:r>
      <w:r w:rsidR="004670CC">
        <w:rPr>
          <w:rFonts w:eastAsia="Malgun Gothic"/>
          <w:bCs/>
          <w:lang w:val="fr-FR"/>
        </w:rPr>
        <w:t>,</w:t>
      </w:r>
      <w:r w:rsidRPr="0066393B">
        <w:rPr>
          <w:rFonts w:eastAsia="Malgun Gothic"/>
          <w:bCs/>
          <w:lang w:val="fr-FR"/>
        </w:rPr>
        <w:t xml:space="preserve"> tels qu</w:t>
      </w:r>
      <w:r w:rsidR="00923E72">
        <w:rPr>
          <w:rFonts w:eastAsia="Malgun Gothic"/>
          <w:bCs/>
          <w:lang w:val="fr-FR"/>
        </w:rPr>
        <w:t>’</w:t>
      </w:r>
      <w:proofErr w:type="spellStart"/>
      <w:r w:rsidRPr="0066393B">
        <w:rPr>
          <w:rFonts w:eastAsia="Malgun Gothic"/>
          <w:bCs/>
          <w:lang w:val="fr-FR"/>
        </w:rPr>
        <w:t>ArtRose</w:t>
      </w:r>
      <w:proofErr w:type="spellEnd"/>
      <w:r w:rsidRPr="0066393B">
        <w:rPr>
          <w:rFonts w:eastAsia="Malgun Gothic"/>
          <w:bCs/>
          <w:lang w:val="fr-FR"/>
        </w:rPr>
        <w:t xml:space="preserve"> et plusieurs particuliers</w:t>
      </w:r>
      <w:r w:rsidR="004670CC">
        <w:rPr>
          <w:rFonts w:eastAsia="Malgun Gothic"/>
          <w:bCs/>
          <w:lang w:val="fr-FR"/>
        </w:rPr>
        <w:t>,</w:t>
      </w:r>
      <w:r w:rsidRPr="0066393B">
        <w:rPr>
          <w:rFonts w:eastAsia="Malgun Gothic"/>
          <w:bCs/>
          <w:lang w:val="fr-FR"/>
        </w:rPr>
        <w:t xml:space="preserve"> qui transmettent leurs connaissances et leurs compétences à</w:t>
      </w:r>
      <w:r w:rsidR="005877E6">
        <w:rPr>
          <w:rFonts w:eastAsia="Malgun Gothic"/>
          <w:bCs/>
          <w:lang w:val="fr-FR"/>
        </w:rPr>
        <w:t>,</w:t>
      </w:r>
      <w:r w:rsidRPr="0066393B">
        <w:rPr>
          <w:rFonts w:eastAsia="Malgun Gothic"/>
          <w:bCs/>
          <w:lang w:val="fr-FR"/>
        </w:rPr>
        <w:t xml:space="preserve"> généralement</w:t>
      </w:r>
      <w:r w:rsidR="005877E6">
        <w:rPr>
          <w:rFonts w:eastAsia="Malgun Gothic"/>
          <w:bCs/>
          <w:lang w:val="fr-FR"/>
        </w:rPr>
        <w:t>,</w:t>
      </w:r>
      <w:r w:rsidRPr="0066393B">
        <w:rPr>
          <w:rFonts w:eastAsia="Malgun Gothic"/>
          <w:bCs/>
          <w:lang w:val="fr-FR"/>
        </w:rPr>
        <w:t xml:space="preserve"> entre vingt et cinquante élèves par établissement. L</w:t>
      </w:r>
      <w:r w:rsidR="00923E72">
        <w:rPr>
          <w:rFonts w:eastAsia="Malgun Gothic"/>
          <w:bCs/>
          <w:lang w:val="fr-FR"/>
        </w:rPr>
        <w:t>’</w:t>
      </w:r>
      <w:r w:rsidRPr="0066393B">
        <w:rPr>
          <w:rFonts w:eastAsia="Malgun Gothic"/>
          <w:bCs/>
          <w:lang w:val="fr-FR"/>
        </w:rPr>
        <w:t>accent était mis non seulement sur le travail individuel mais également sur l</w:t>
      </w:r>
      <w:r w:rsidR="00923E72">
        <w:rPr>
          <w:rFonts w:eastAsia="Malgun Gothic"/>
          <w:bCs/>
          <w:lang w:val="fr-FR"/>
        </w:rPr>
        <w:t>’</w:t>
      </w:r>
      <w:r w:rsidRPr="0066393B">
        <w:rPr>
          <w:rFonts w:eastAsia="Malgun Gothic"/>
          <w:bCs/>
          <w:lang w:val="fr-FR"/>
        </w:rPr>
        <w:t xml:space="preserve">aspect </w:t>
      </w:r>
      <w:proofErr w:type="spellStart"/>
      <w:r w:rsidRPr="0066393B">
        <w:rPr>
          <w:rFonts w:eastAsia="Malgun Gothic"/>
          <w:bCs/>
          <w:lang w:val="fr-FR"/>
        </w:rPr>
        <w:t>co</w:t>
      </w:r>
      <w:proofErr w:type="spellEnd"/>
      <w:r w:rsidR="00227E8F">
        <w:rPr>
          <w:rFonts w:eastAsia="Malgun Gothic"/>
          <w:bCs/>
          <w:lang w:val="fr-FR"/>
        </w:rPr>
        <w:t>-</w:t>
      </w:r>
      <w:r w:rsidRPr="0066393B">
        <w:rPr>
          <w:rFonts w:eastAsia="Malgun Gothic"/>
          <w:bCs/>
          <w:lang w:val="fr-FR"/>
        </w:rPr>
        <w:t xml:space="preserve">créatif de la </w:t>
      </w:r>
      <w:r w:rsidRPr="0066393B">
        <w:rPr>
          <w:rFonts w:eastAsia="Malgun Gothic"/>
          <w:bCs/>
          <w:lang w:val="fr-FR"/>
        </w:rPr>
        <w:lastRenderedPageBreak/>
        <w:t xml:space="preserve">créativité humaine. La délégation a </w:t>
      </w:r>
      <w:r w:rsidR="00227E8F">
        <w:rPr>
          <w:rFonts w:eastAsia="Malgun Gothic"/>
          <w:bCs/>
          <w:lang w:val="fr-FR"/>
        </w:rPr>
        <w:t xml:space="preserve">rappelé </w:t>
      </w:r>
      <w:r w:rsidRPr="0066393B">
        <w:rPr>
          <w:rFonts w:eastAsia="Malgun Gothic"/>
          <w:bCs/>
          <w:lang w:val="fr-FR"/>
        </w:rPr>
        <w:t>que les douze membres de l</w:t>
      </w:r>
      <w:r w:rsidR="00923E72">
        <w:rPr>
          <w:rFonts w:eastAsia="Malgun Gothic"/>
          <w:bCs/>
          <w:lang w:val="fr-FR"/>
        </w:rPr>
        <w:t>’</w:t>
      </w:r>
      <w:r w:rsidRPr="0066393B">
        <w:rPr>
          <w:rFonts w:eastAsia="Malgun Gothic"/>
          <w:bCs/>
          <w:lang w:val="fr-FR"/>
        </w:rPr>
        <w:t>Organe d</w:t>
      </w:r>
      <w:r w:rsidR="00923E72">
        <w:rPr>
          <w:rFonts w:eastAsia="Malgun Gothic"/>
          <w:bCs/>
          <w:lang w:val="fr-FR"/>
        </w:rPr>
        <w:t>’</w:t>
      </w:r>
      <w:r w:rsidRPr="0066393B">
        <w:rPr>
          <w:rFonts w:eastAsia="Malgun Gothic"/>
          <w:bCs/>
          <w:lang w:val="fr-FR"/>
        </w:rPr>
        <w:t>évaluation avaient convenu que les critères</w:t>
      </w:r>
      <w:r w:rsidR="00227E8F">
        <w:rPr>
          <w:rFonts w:eastAsia="Malgun Gothic"/>
          <w:bCs/>
          <w:lang w:val="fr-FR"/>
        </w:rPr>
        <w:t> </w:t>
      </w:r>
      <w:r w:rsidRPr="0066393B">
        <w:rPr>
          <w:rFonts w:eastAsia="Malgun Gothic"/>
          <w:bCs/>
          <w:lang w:val="fr-FR"/>
        </w:rPr>
        <w:t>R.3,</w:t>
      </w:r>
      <w:r w:rsidR="00227E8F">
        <w:rPr>
          <w:rFonts w:eastAsia="Malgun Gothic"/>
          <w:bCs/>
          <w:lang w:val="fr-FR"/>
        </w:rPr>
        <w:t> </w:t>
      </w:r>
      <w:r w:rsidRPr="0066393B">
        <w:rPr>
          <w:rFonts w:eastAsia="Malgun Gothic"/>
          <w:bCs/>
          <w:lang w:val="fr-FR"/>
        </w:rPr>
        <w:t>R.4 et</w:t>
      </w:r>
      <w:r w:rsidR="00227E8F">
        <w:rPr>
          <w:rFonts w:eastAsia="Malgun Gothic"/>
          <w:bCs/>
          <w:lang w:val="fr-FR"/>
        </w:rPr>
        <w:t> </w:t>
      </w:r>
      <w:r w:rsidRPr="0066393B">
        <w:rPr>
          <w:rFonts w:eastAsia="Malgun Gothic"/>
          <w:bCs/>
          <w:lang w:val="fr-FR"/>
        </w:rPr>
        <w:t>R.5 étaient satisfaits. Cela signifiait que les communautés concernées avaient participé à la fois aux mesures de sauvegarde et à la préparation du dossier. Cela impliquait également qu</w:t>
      </w:r>
      <w:r w:rsidR="00923E72">
        <w:rPr>
          <w:rFonts w:eastAsia="Malgun Gothic"/>
          <w:bCs/>
          <w:lang w:val="fr-FR"/>
        </w:rPr>
        <w:t>’</w:t>
      </w:r>
      <w:r w:rsidRPr="0066393B">
        <w:rPr>
          <w:rFonts w:eastAsia="Malgun Gothic"/>
          <w:bCs/>
          <w:lang w:val="fr-FR"/>
        </w:rPr>
        <w:t>il exist</w:t>
      </w:r>
      <w:r w:rsidR="00227E8F">
        <w:rPr>
          <w:rFonts w:eastAsia="Malgun Gothic"/>
          <w:bCs/>
          <w:lang w:val="fr-FR"/>
        </w:rPr>
        <w:t>ait</w:t>
      </w:r>
      <w:r w:rsidRPr="0066393B">
        <w:rPr>
          <w:rFonts w:eastAsia="Malgun Gothic"/>
          <w:bCs/>
          <w:lang w:val="fr-FR"/>
        </w:rPr>
        <w:t xml:space="preserve"> une communauté du patrimoine culturel immatériel spécifique.</w:t>
      </w:r>
    </w:p>
    <w:p w14:paraId="01F03B87" w14:textId="18779A98" w:rsidR="00227E8F" w:rsidRDefault="00AE27A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E27AB">
        <w:rPr>
          <w:rFonts w:eastAsia="Malgun Gothic"/>
          <w:bCs/>
          <w:lang w:val="fr-FR"/>
        </w:rPr>
        <w:t xml:space="preserve">La délégation de la </w:t>
      </w:r>
      <w:r w:rsidRPr="00702497">
        <w:rPr>
          <w:rFonts w:eastAsia="Malgun Gothic"/>
          <w:b/>
          <w:lang w:val="fr-FR"/>
        </w:rPr>
        <w:t>Tchéquie</w:t>
      </w:r>
      <w:r w:rsidRPr="00AE27AB">
        <w:rPr>
          <w:rFonts w:eastAsia="Malgun Gothic"/>
          <w:bCs/>
          <w:lang w:val="fr-FR"/>
        </w:rPr>
        <w:t xml:space="preserve"> a fait remarquer que cette recommandation de l</w:t>
      </w:r>
      <w:r w:rsidR="00923E72">
        <w:rPr>
          <w:rFonts w:eastAsia="Malgun Gothic"/>
          <w:bCs/>
          <w:lang w:val="fr-FR"/>
        </w:rPr>
        <w:t>’</w:t>
      </w:r>
      <w:r w:rsidRPr="00AE27AB">
        <w:rPr>
          <w:rFonts w:eastAsia="Malgun Gothic"/>
          <w:bCs/>
          <w:lang w:val="fr-FR"/>
        </w:rPr>
        <w:t>Organe d</w:t>
      </w:r>
      <w:r w:rsidR="00923E72">
        <w:rPr>
          <w:rFonts w:eastAsia="Malgun Gothic"/>
          <w:bCs/>
          <w:lang w:val="fr-FR"/>
        </w:rPr>
        <w:t>’</w:t>
      </w:r>
      <w:r w:rsidRPr="00AE27AB">
        <w:rPr>
          <w:rFonts w:eastAsia="Malgun Gothic"/>
          <w:bCs/>
          <w:lang w:val="fr-FR"/>
        </w:rPr>
        <w:t>évaluation et la décision du Comité ne concernaient pas seulement cette seule candidature</w:t>
      </w:r>
      <w:r>
        <w:rPr>
          <w:rFonts w:eastAsia="Malgun Gothic"/>
          <w:bCs/>
          <w:lang w:val="fr-FR"/>
        </w:rPr>
        <w:t>,</w:t>
      </w:r>
      <w:r w:rsidRPr="00AE27AB">
        <w:rPr>
          <w:rFonts w:eastAsia="Malgun Gothic"/>
          <w:bCs/>
          <w:lang w:val="fr-FR"/>
        </w:rPr>
        <w:t xml:space="preserve"> mais également le concept de patrimoine culturel immatériel en général. Même parmi ses propres experts, lors de la préparation de cette réunion du Comité, l</w:t>
      </w:r>
      <w:r w:rsidR="00923E72">
        <w:rPr>
          <w:rFonts w:eastAsia="Malgun Gothic"/>
          <w:bCs/>
          <w:lang w:val="fr-FR"/>
        </w:rPr>
        <w:t>’</w:t>
      </w:r>
      <w:r w:rsidRPr="00AE27AB">
        <w:rPr>
          <w:rFonts w:eastAsia="Malgun Gothic"/>
          <w:bCs/>
          <w:lang w:val="fr-FR"/>
        </w:rPr>
        <w:t>opinion sur cette inscription était également mitigée. Pour résumer la discussion, certains experts tchèques considéraient l</w:t>
      </w:r>
      <w:r w:rsidR="00923E72">
        <w:rPr>
          <w:rFonts w:eastAsia="Malgun Gothic"/>
          <w:bCs/>
          <w:lang w:val="fr-FR"/>
        </w:rPr>
        <w:t>’</w:t>
      </w:r>
      <w:r w:rsidRPr="00AE27AB">
        <w:rPr>
          <w:rFonts w:eastAsia="Malgun Gothic"/>
          <w:bCs/>
          <w:lang w:val="fr-FR"/>
        </w:rPr>
        <w:t>élément comme une expression chorégraphique basée sur une histoire commune, dans laquelle une communauté concrète, bien qu</w:t>
      </w:r>
      <w:r w:rsidR="00923E72">
        <w:rPr>
          <w:rFonts w:eastAsia="Malgun Gothic"/>
          <w:bCs/>
          <w:lang w:val="fr-FR"/>
        </w:rPr>
        <w:t>’</w:t>
      </w:r>
      <w:r w:rsidRPr="00AE27AB">
        <w:rPr>
          <w:rFonts w:eastAsia="Malgun Gothic"/>
          <w:bCs/>
          <w:lang w:val="fr-FR"/>
        </w:rPr>
        <w:t>hétérogène, s</w:t>
      </w:r>
      <w:r w:rsidR="00923E72">
        <w:rPr>
          <w:rFonts w:eastAsia="Malgun Gothic"/>
          <w:bCs/>
          <w:lang w:val="fr-FR"/>
        </w:rPr>
        <w:t>’</w:t>
      </w:r>
      <w:r w:rsidRPr="00AE27AB">
        <w:rPr>
          <w:rFonts w:eastAsia="Malgun Gothic"/>
          <w:bCs/>
          <w:lang w:val="fr-FR"/>
        </w:rPr>
        <w:t>identifie. D</w:t>
      </w:r>
      <w:r w:rsidR="00923E72">
        <w:rPr>
          <w:rFonts w:eastAsia="Malgun Gothic"/>
          <w:bCs/>
          <w:lang w:val="fr-FR"/>
        </w:rPr>
        <w:t>’</w:t>
      </w:r>
      <w:r w:rsidRPr="00AE27AB">
        <w:rPr>
          <w:rFonts w:eastAsia="Malgun Gothic"/>
          <w:bCs/>
          <w:lang w:val="fr-FR"/>
        </w:rPr>
        <w:t>autres experts estimaient que, bien que les éléments inscrits sur la Liste représentative couvrent toutes sortes de traditions (vernaculaires, urbaines, royales ou professionnelles), ils étaient généralement fondés sur une tradition transmise de génération en génération et reflétaient un contexte culturel concret de groupes ethniques et de nations</w:t>
      </w:r>
      <w:r>
        <w:rPr>
          <w:rFonts w:eastAsia="Malgun Gothic"/>
          <w:bCs/>
          <w:lang w:val="fr-FR"/>
        </w:rPr>
        <w:t xml:space="preserve"> spécifiques</w:t>
      </w:r>
      <w:r w:rsidRPr="00AE27AB">
        <w:rPr>
          <w:rFonts w:eastAsia="Malgun Gothic"/>
          <w:bCs/>
          <w:lang w:val="fr-FR"/>
        </w:rPr>
        <w:t>, alors que cet élément était partagé par différentes personnes dans un même pays, apparemment reliées uniquement par les principes de l</w:t>
      </w:r>
      <w:r w:rsidR="00923E72">
        <w:rPr>
          <w:rFonts w:eastAsia="Malgun Gothic"/>
          <w:bCs/>
          <w:lang w:val="fr-FR"/>
        </w:rPr>
        <w:t>’</w:t>
      </w:r>
      <w:r w:rsidRPr="00AE27AB">
        <w:rPr>
          <w:rFonts w:eastAsia="Malgun Gothic"/>
          <w:bCs/>
          <w:lang w:val="fr-FR"/>
        </w:rPr>
        <w:t>expression artistique. En d</w:t>
      </w:r>
      <w:r w:rsidR="00923E72">
        <w:rPr>
          <w:rFonts w:eastAsia="Malgun Gothic"/>
          <w:bCs/>
          <w:lang w:val="fr-FR"/>
        </w:rPr>
        <w:t>’</w:t>
      </w:r>
      <w:r w:rsidRPr="00AE27AB">
        <w:rPr>
          <w:rFonts w:eastAsia="Malgun Gothic"/>
          <w:bCs/>
          <w:lang w:val="fr-FR"/>
        </w:rPr>
        <w:t>autres termes, ils n</w:t>
      </w:r>
      <w:r w:rsidR="00923E72">
        <w:rPr>
          <w:rFonts w:eastAsia="Malgun Gothic"/>
          <w:bCs/>
          <w:lang w:val="fr-FR"/>
        </w:rPr>
        <w:t>’</w:t>
      </w:r>
      <w:r w:rsidRPr="00AE27AB">
        <w:rPr>
          <w:rFonts w:eastAsia="Malgun Gothic"/>
          <w:bCs/>
          <w:lang w:val="fr-FR"/>
        </w:rPr>
        <w:t>étaient pas unis par des connaissances communes ou un ensemble de savoir-faire, mais plutôt par leur expérience commune, qui consiste en une approche très individuelle du travail avec leur corps et en des créativités individuelles. Telles étaient les deux opinions en Tchéquie. En d</w:t>
      </w:r>
      <w:r w:rsidR="00923E72">
        <w:rPr>
          <w:rFonts w:eastAsia="Malgun Gothic"/>
          <w:bCs/>
          <w:lang w:val="fr-FR"/>
        </w:rPr>
        <w:t>’</w:t>
      </w:r>
      <w:r w:rsidRPr="00AE27AB">
        <w:rPr>
          <w:rFonts w:eastAsia="Malgun Gothic"/>
          <w:bCs/>
          <w:lang w:val="fr-FR"/>
        </w:rPr>
        <w:t xml:space="preserve">autres termes, ses experts se demandaient si </w:t>
      </w:r>
      <w:r>
        <w:rPr>
          <w:rFonts w:eastAsia="Malgun Gothic"/>
          <w:bCs/>
          <w:lang w:val="fr-FR"/>
        </w:rPr>
        <w:t>l</w:t>
      </w:r>
      <w:r w:rsidR="00923E72">
        <w:rPr>
          <w:rFonts w:eastAsia="Malgun Gothic"/>
          <w:bCs/>
          <w:lang w:val="fr-FR"/>
        </w:rPr>
        <w:t>’</w:t>
      </w:r>
      <w:r>
        <w:rPr>
          <w:rFonts w:eastAsia="Malgun Gothic"/>
          <w:bCs/>
          <w:lang w:val="fr-FR"/>
        </w:rPr>
        <w:t xml:space="preserve">élément </w:t>
      </w:r>
      <w:r w:rsidRPr="00AE27AB">
        <w:rPr>
          <w:rFonts w:eastAsia="Malgun Gothic"/>
          <w:bCs/>
          <w:lang w:val="fr-FR"/>
        </w:rPr>
        <w:t>relevait bien de la catégorie du patrimoine culturel immatériel de la Convention de</w:t>
      </w:r>
      <w:r w:rsidR="006773EF">
        <w:rPr>
          <w:rFonts w:eastAsia="Malgun Gothic"/>
          <w:bCs/>
          <w:lang w:val="fr-FR"/>
        </w:rPr>
        <w:t> </w:t>
      </w:r>
      <w:r w:rsidRPr="00AE27AB">
        <w:rPr>
          <w:rFonts w:eastAsia="Malgun Gothic"/>
          <w:bCs/>
          <w:lang w:val="fr-FR"/>
        </w:rPr>
        <w:t>2003 ou plutôt d</w:t>
      </w:r>
      <w:r w:rsidR="00923E72">
        <w:rPr>
          <w:rFonts w:eastAsia="Malgun Gothic"/>
          <w:bCs/>
          <w:lang w:val="fr-FR"/>
        </w:rPr>
        <w:t>’</w:t>
      </w:r>
      <w:r w:rsidRPr="00AE27AB">
        <w:rPr>
          <w:rFonts w:eastAsia="Malgun Gothic"/>
          <w:bCs/>
          <w:lang w:val="fr-FR"/>
        </w:rPr>
        <w:t>une expression culturelle correspondant aux principes de la Convention de</w:t>
      </w:r>
      <w:r w:rsidR="006773EF">
        <w:rPr>
          <w:rFonts w:eastAsia="Malgun Gothic"/>
          <w:bCs/>
          <w:lang w:val="fr-FR"/>
        </w:rPr>
        <w:t> </w:t>
      </w:r>
      <w:r w:rsidRPr="00AE27AB">
        <w:rPr>
          <w:rFonts w:eastAsia="Malgun Gothic"/>
          <w:bCs/>
          <w:lang w:val="fr-FR"/>
        </w:rPr>
        <w:t>2005 sur la diversité des expressions culturelles. Pour cette raison, la délégation souhaitait entendre l</w:t>
      </w:r>
      <w:r w:rsidR="00923E72">
        <w:rPr>
          <w:rFonts w:eastAsia="Malgun Gothic"/>
          <w:bCs/>
          <w:lang w:val="fr-FR"/>
        </w:rPr>
        <w:t>’</w:t>
      </w:r>
      <w:r w:rsidRPr="00AE27AB">
        <w:rPr>
          <w:rFonts w:eastAsia="Malgun Gothic"/>
          <w:bCs/>
          <w:lang w:val="fr-FR"/>
        </w:rPr>
        <w:t>avis d</w:t>
      </w:r>
      <w:r w:rsidR="00923E72">
        <w:rPr>
          <w:rFonts w:eastAsia="Malgun Gothic"/>
          <w:bCs/>
          <w:lang w:val="fr-FR"/>
        </w:rPr>
        <w:t>’</w:t>
      </w:r>
      <w:r w:rsidRPr="00AE27AB">
        <w:rPr>
          <w:rFonts w:eastAsia="Malgun Gothic"/>
          <w:bCs/>
          <w:lang w:val="fr-FR"/>
        </w:rPr>
        <w:t>autres membres du Comité et a demandé à l</w:t>
      </w:r>
      <w:r w:rsidR="00923E72">
        <w:rPr>
          <w:rFonts w:eastAsia="Malgun Gothic"/>
          <w:bCs/>
          <w:lang w:val="fr-FR"/>
        </w:rPr>
        <w:t>’</w:t>
      </w:r>
      <w:r w:rsidRPr="00AE27AB">
        <w:rPr>
          <w:rFonts w:eastAsia="Malgun Gothic"/>
          <w:bCs/>
          <w:lang w:val="fr-FR"/>
        </w:rPr>
        <w:t>Allemagne d</w:t>
      </w:r>
      <w:r w:rsidR="00923E72">
        <w:rPr>
          <w:rFonts w:eastAsia="Malgun Gothic"/>
          <w:bCs/>
          <w:lang w:val="fr-FR"/>
        </w:rPr>
        <w:t>’</w:t>
      </w:r>
      <w:r w:rsidRPr="00AE27AB">
        <w:rPr>
          <w:rFonts w:eastAsia="Malgun Gothic"/>
          <w:bCs/>
          <w:lang w:val="fr-FR"/>
        </w:rPr>
        <w:t xml:space="preserve">expliquer plus en détail en quoi la communauté était culturellement et socialement interconnectée. Par ailleurs, elle se </w:t>
      </w:r>
      <w:r w:rsidR="004F18A4">
        <w:rPr>
          <w:rFonts w:eastAsia="Malgun Gothic"/>
          <w:bCs/>
          <w:lang w:val="fr-FR"/>
        </w:rPr>
        <w:t>demandait c</w:t>
      </w:r>
      <w:r w:rsidRPr="00AE27AB">
        <w:rPr>
          <w:rFonts w:eastAsia="Malgun Gothic"/>
          <w:bCs/>
          <w:lang w:val="fr-FR"/>
        </w:rPr>
        <w:t>omment les praticiens s</w:t>
      </w:r>
      <w:r w:rsidR="00923E72">
        <w:rPr>
          <w:rFonts w:eastAsia="Malgun Gothic"/>
          <w:bCs/>
          <w:lang w:val="fr-FR"/>
        </w:rPr>
        <w:t>’</w:t>
      </w:r>
      <w:r w:rsidRPr="00AE27AB">
        <w:rPr>
          <w:rFonts w:eastAsia="Malgun Gothic"/>
          <w:bCs/>
          <w:lang w:val="fr-FR"/>
        </w:rPr>
        <w:t>identifient exactement aux fonctions sociales et culturelles de l</w:t>
      </w:r>
      <w:r w:rsidR="00923E72">
        <w:rPr>
          <w:rFonts w:eastAsia="Malgun Gothic"/>
          <w:bCs/>
          <w:lang w:val="fr-FR"/>
        </w:rPr>
        <w:t>’</w:t>
      </w:r>
      <w:r w:rsidRPr="00AE27AB">
        <w:rPr>
          <w:rFonts w:eastAsia="Malgun Gothic"/>
          <w:bCs/>
          <w:lang w:val="fr-FR"/>
        </w:rPr>
        <w:t>élément</w:t>
      </w:r>
      <w:r w:rsidR="004F18A4">
        <w:rPr>
          <w:rFonts w:eastAsia="Malgun Gothic"/>
          <w:bCs/>
          <w:lang w:val="fr-FR"/>
        </w:rPr>
        <w:t xml:space="preserve">, </w:t>
      </w:r>
      <w:r w:rsidR="00547769">
        <w:rPr>
          <w:rFonts w:eastAsia="Malgun Gothic"/>
          <w:bCs/>
          <w:lang w:val="fr-FR"/>
        </w:rPr>
        <w:t>q</w:t>
      </w:r>
      <w:r w:rsidRPr="00AE27AB">
        <w:rPr>
          <w:rFonts w:eastAsia="Malgun Gothic"/>
          <w:bCs/>
          <w:lang w:val="fr-FR"/>
        </w:rPr>
        <w:t xml:space="preserve">uelle </w:t>
      </w:r>
      <w:r w:rsidR="00547769">
        <w:rPr>
          <w:rFonts w:eastAsia="Malgun Gothic"/>
          <w:bCs/>
          <w:lang w:val="fr-FR"/>
        </w:rPr>
        <w:t xml:space="preserve">est </w:t>
      </w:r>
      <w:r w:rsidRPr="00AE27AB">
        <w:rPr>
          <w:rFonts w:eastAsia="Malgun Gothic"/>
          <w:bCs/>
          <w:lang w:val="fr-FR"/>
        </w:rPr>
        <w:t>l</w:t>
      </w:r>
      <w:r w:rsidR="00923E72">
        <w:rPr>
          <w:rFonts w:eastAsia="Malgun Gothic"/>
          <w:bCs/>
          <w:lang w:val="fr-FR"/>
        </w:rPr>
        <w:t>’</w:t>
      </w:r>
      <w:r w:rsidRPr="00AE27AB">
        <w:rPr>
          <w:rFonts w:eastAsia="Malgun Gothic"/>
          <w:bCs/>
          <w:lang w:val="fr-FR"/>
        </w:rPr>
        <w:t>essence du patrimoine culturel à laquelle ils s</w:t>
      </w:r>
      <w:r w:rsidR="00923E72">
        <w:rPr>
          <w:rFonts w:eastAsia="Malgun Gothic"/>
          <w:bCs/>
          <w:lang w:val="fr-FR"/>
        </w:rPr>
        <w:t>’</w:t>
      </w:r>
      <w:r w:rsidRPr="00AE27AB">
        <w:rPr>
          <w:rFonts w:eastAsia="Malgun Gothic"/>
          <w:bCs/>
          <w:lang w:val="fr-FR"/>
        </w:rPr>
        <w:t>identifient exactement</w:t>
      </w:r>
      <w:r w:rsidR="00547769">
        <w:rPr>
          <w:rFonts w:eastAsia="Malgun Gothic"/>
          <w:bCs/>
          <w:lang w:val="fr-FR"/>
        </w:rPr>
        <w:t>,</w:t>
      </w:r>
      <w:r w:rsidRPr="00AE27AB">
        <w:rPr>
          <w:rFonts w:eastAsia="Malgun Gothic"/>
          <w:bCs/>
          <w:lang w:val="fr-FR"/>
        </w:rPr>
        <w:t xml:space="preserve"> </w:t>
      </w:r>
      <w:r w:rsidR="00547769">
        <w:rPr>
          <w:rFonts w:eastAsia="Malgun Gothic"/>
          <w:bCs/>
          <w:lang w:val="fr-FR"/>
        </w:rPr>
        <w:t>c</w:t>
      </w:r>
      <w:r w:rsidRPr="00AE27AB">
        <w:rPr>
          <w:rFonts w:eastAsia="Malgun Gothic"/>
          <w:bCs/>
          <w:lang w:val="fr-FR"/>
        </w:rPr>
        <w:t>omment l</w:t>
      </w:r>
      <w:r w:rsidR="00923E72">
        <w:rPr>
          <w:rFonts w:eastAsia="Malgun Gothic"/>
          <w:bCs/>
          <w:lang w:val="fr-FR"/>
        </w:rPr>
        <w:t>’</w:t>
      </w:r>
      <w:r w:rsidRPr="00AE27AB">
        <w:rPr>
          <w:rFonts w:eastAsia="Malgun Gothic"/>
          <w:bCs/>
          <w:lang w:val="fr-FR"/>
        </w:rPr>
        <w:t xml:space="preserve">élément </w:t>
      </w:r>
      <w:r w:rsidR="00547769">
        <w:rPr>
          <w:rFonts w:eastAsia="Malgun Gothic"/>
          <w:bCs/>
          <w:lang w:val="fr-FR"/>
        </w:rPr>
        <w:t xml:space="preserve">est </w:t>
      </w:r>
      <w:r w:rsidRPr="00AE27AB">
        <w:rPr>
          <w:rFonts w:eastAsia="Malgun Gothic"/>
          <w:bCs/>
          <w:lang w:val="fr-FR"/>
        </w:rPr>
        <w:t>perçu par la société allemande en général</w:t>
      </w:r>
      <w:r w:rsidR="00547769">
        <w:rPr>
          <w:rFonts w:eastAsia="Malgun Gothic"/>
          <w:bCs/>
          <w:lang w:val="fr-FR"/>
        </w:rPr>
        <w:t xml:space="preserve"> </w:t>
      </w:r>
      <w:r w:rsidRPr="00AE27AB">
        <w:rPr>
          <w:rFonts w:eastAsia="Malgun Gothic"/>
          <w:bCs/>
          <w:lang w:val="fr-FR"/>
        </w:rPr>
        <w:t xml:space="preserve">et </w:t>
      </w:r>
      <w:r w:rsidR="00547769">
        <w:rPr>
          <w:rFonts w:eastAsia="Malgun Gothic"/>
          <w:bCs/>
          <w:lang w:val="fr-FR"/>
        </w:rPr>
        <w:t>q</w:t>
      </w:r>
      <w:r w:rsidRPr="00AE27AB">
        <w:rPr>
          <w:rFonts w:eastAsia="Malgun Gothic"/>
          <w:bCs/>
          <w:lang w:val="fr-FR"/>
        </w:rPr>
        <w:t>uel rôle social et culturel jou</w:t>
      </w:r>
      <w:r w:rsidR="00547769">
        <w:rPr>
          <w:rFonts w:eastAsia="Malgun Gothic"/>
          <w:bCs/>
          <w:lang w:val="fr-FR"/>
        </w:rPr>
        <w:t>e</w:t>
      </w:r>
      <w:r>
        <w:rPr>
          <w:rFonts w:eastAsia="Malgun Gothic"/>
          <w:bCs/>
          <w:lang w:val="fr-FR"/>
        </w:rPr>
        <w:t xml:space="preserve"> l</w:t>
      </w:r>
      <w:r w:rsidR="00923E72">
        <w:rPr>
          <w:rFonts w:eastAsia="Malgun Gothic"/>
          <w:bCs/>
          <w:lang w:val="fr-FR"/>
        </w:rPr>
        <w:t>’</w:t>
      </w:r>
      <w:r>
        <w:rPr>
          <w:rFonts w:eastAsia="Malgun Gothic"/>
          <w:bCs/>
          <w:lang w:val="fr-FR"/>
        </w:rPr>
        <w:t xml:space="preserve">élément </w:t>
      </w:r>
      <w:r w:rsidRPr="00AE27AB">
        <w:rPr>
          <w:rFonts w:eastAsia="Malgun Gothic"/>
          <w:bCs/>
          <w:lang w:val="fr-FR"/>
        </w:rPr>
        <w:t>du point de vue de la société</w:t>
      </w:r>
      <w:r w:rsidR="00547769">
        <w:rPr>
          <w:rFonts w:eastAsia="Malgun Gothic"/>
          <w:bCs/>
          <w:lang w:val="fr-FR"/>
        </w:rPr>
        <w:t>.</w:t>
      </w:r>
    </w:p>
    <w:p w14:paraId="547F2C58" w14:textId="4152E9DA" w:rsidR="00AE27AB" w:rsidRDefault="009E01F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E01F1">
        <w:rPr>
          <w:rFonts w:eastAsia="Malgun Gothic"/>
          <w:bCs/>
          <w:lang w:val="fr-FR"/>
        </w:rPr>
        <w:t>La délégation de l</w:t>
      </w:r>
      <w:r w:rsidR="00923E72">
        <w:rPr>
          <w:rFonts w:eastAsia="Malgun Gothic"/>
          <w:bCs/>
          <w:lang w:val="fr-FR"/>
        </w:rPr>
        <w:t>’</w:t>
      </w:r>
      <w:r w:rsidRPr="00702497">
        <w:rPr>
          <w:rFonts w:eastAsia="Malgun Gothic"/>
          <w:b/>
          <w:lang w:val="fr-FR"/>
        </w:rPr>
        <w:t>Allemagne</w:t>
      </w:r>
      <w:r w:rsidRPr="009E01F1">
        <w:rPr>
          <w:rFonts w:eastAsia="Malgun Gothic"/>
          <w:bCs/>
          <w:lang w:val="fr-FR"/>
        </w:rPr>
        <w:t xml:space="preserve"> a remercié la Tchéquie pour ses questions très pertinentes et a précisé que, s</w:t>
      </w:r>
      <w:r w:rsidR="00923E72">
        <w:rPr>
          <w:rFonts w:eastAsia="Malgun Gothic"/>
          <w:bCs/>
          <w:lang w:val="fr-FR"/>
        </w:rPr>
        <w:t>’</w:t>
      </w:r>
      <w:r w:rsidRPr="009E01F1">
        <w:rPr>
          <w:rFonts w:eastAsia="Malgun Gothic"/>
          <w:bCs/>
          <w:lang w:val="fr-FR"/>
        </w:rPr>
        <w:t>agissant des fonctions culturelles de la danse moderne en Allemagne, l</w:t>
      </w:r>
      <w:r w:rsidR="00923E72">
        <w:rPr>
          <w:rFonts w:eastAsia="Malgun Gothic"/>
          <w:bCs/>
          <w:lang w:val="fr-FR"/>
        </w:rPr>
        <w:t>’</w:t>
      </w:r>
      <w:r w:rsidRPr="009E01F1">
        <w:rPr>
          <w:rFonts w:eastAsia="Malgun Gothic"/>
          <w:bCs/>
          <w:lang w:val="fr-FR"/>
        </w:rPr>
        <w:t>expression des valeurs culturelles est, entre autres, la libération d</w:t>
      </w:r>
      <w:r w:rsidR="00923E72">
        <w:rPr>
          <w:rFonts w:eastAsia="Malgun Gothic"/>
          <w:bCs/>
          <w:lang w:val="fr-FR"/>
        </w:rPr>
        <w:t>’</w:t>
      </w:r>
      <w:r w:rsidRPr="009E01F1">
        <w:rPr>
          <w:rFonts w:eastAsia="Malgun Gothic"/>
          <w:bCs/>
          <w:lang w:val="fr-FR"/>
        </w:rPr>
        <w:t>une norme stricte et des règles du ballet classique</w:t>
      </w:r>
      <w:r w:rsidR="00A87C7E">
        <w:rPr>
          <w:rFonts w:eastAsia="Malgun Gothic"/>
          <w:bCs/>
          <w:lang w:val="fr-FR"/>
        </w:rPr>
        <w:t xml:space="preserve">, qui est lui-même </w:t>
      </w:r>
      <w:r w:rsidRPr="009E01F1">
        <w:rPr>
          <w:rFonts w:eastAsia="Malgun Gothic"/>
          <w:bCs/>
          <w:lang w:val="fr-FR"/>
        </w:rPr>
        <w:t>également influencé par la danse moderne, mais</w:t>
      </w:r>
      <w:r w:rsidR="00A87C7E">
        <w:rPr>
          <w:rFonts w:eastAsia="Malgun Gothic"/>
          <w:bCs/>
          <w:lang w:val="fr-FR"/>
        </w:rPr>
        <w:t xml:space="preserve"> qui </w:t>
      </w:r>
      <w:r w:rsidRPr="009E01F1">
        <w:rPr>
          <w:rFonts w:eastAsia="Malgun Gothic"/>
          <w:bCs/>
          <w:lang w:val="fr-FR"/>
        </w:rPr>
        <w:t>sui</w:t>
      </w:r>
      <w:r w:rsidR="00A87C7E">
        <w:rPr>
          <w:rFonts w:eastAsia="Malgun Gothic"/>
          <w:bCs/>
          <w:lang w:val="fr-FR"/>
        </w:rPr>
        <w:t>t</w:t>
      </w:r>
      <w:r w:rsidRPr="009E01F1">
        <w:rPr>
          <w:rFonts w:eastAsia="Malgun Gothic"/>
          <w:bCs/>
          <w:lang w:val="fr-FR"/>
        </w:rPr>
        <w:t xml:space="preserve"> strictement certaines règles qui n</w:t>
      </w:r>
      <w:r w:rsidR="00923E72">
        <w:rPr>
          <w:rFonts w:eastAsia="Malgun Gothic"/>
          <w:bCs/>
          <w:lang w:val="fr-FR"/>
        </w:rPr>
        <w:t>’</w:t>
      </w:r>
      <w:r w:rsidRPr="009E01F1">
        <w:rPr>
          <w:rFonts w:eastAsia="Malgun Gothic"/>
          <w:bCs/>
          <w:lang w:val="fr-FR"/>
        </w:rPr>
        <w:t>exist</w:t>
      </w:r>
      <w:r w:rsidR="00A87C7E">
        <w:rPr>
          <w:rFonts w:eastAsia="Malgun Gothic"/>
          <w:bCs/>
          <w:lang w:val="fr-FR"/>
        </w:rPr>
        <w:t>ent</w:t>
      </w:r>
      <w:r w:rsidRPr="009E01F1">
        <w:rPr>
          <w:rFonts w:eastAsia="Malgun Gothic"/>
          <w:bCs/>
          <w:lang w:val="fr-FR"/>
        </w:rPr>
        <w:t xml:space="preserve"> pas pour la danse moderne. Le deuxième élément serait l</w:t>
      </w:r>
      <w:r w:rsidR="00923E72">
        <w:rPr>
          <w:rFonts w:eastAsia="Malgun Gothic"/>
          <w:bCs/>
          <w:lang w:val="fr-FR"/>
        </w:rPr>
        <w:t>’</w:t>
      </w:r>
      <w:r w:rsidRPr="009E01F1">
        <w:rPr>
          <w:rFonts w:eastAsia="Malgun Gothic"/>
          <w:bCs/>
          <w:lang w:val="fr-FR"/>
        </w:rPr>
        <w:t>émancipation du corps. Un troisième élément serait une grande liberté d</w:t>
      </w:r>
      <w:r w:rsidR="00923E72">
        <w:rPr>
          <w:rFonts w:eastAsia="Malgun Gothic"/>
          <w:bCs/>
          <w:lang w:val="fr-FR"/>
        </w:rPr>
        <w:t>’</w:t>
      </w:r>
      <w:r w:rsidRPr="009E01F1">
        <w:rPr>
          <w:rFonts w:eastAsia="Malgun Gothic"/>
          <w:bCs/>
          <w:lang w:val="fr-FR"/>
        </w:rPr>
        <w:t>impression artistique en respectant certaines règles</w:t>
      </w:r>
      <w:r w:rsidR="00A87C7E">
        <w:rPr>
          <w:rFonts w:eastAsia="Malgun Gothic"/>
          <w:bCs/>
          <w:lang w:val="fr-FR"/>
        </w:rPr>
        <w:t>, l</w:t>
      </w:r>
      <w:r w:rsidRPr="009E01F1">
        <w:rPr>
          <w:rFonts w:eastAsia="Malgun Gothic"/>
          <w:bCs/>
          <w:lang w:val="fr-FR"/>
        </w:rPr>
        <w:t>e danseur éta</w:t>
      </w:r>
      <w:r w:rsidR="00A87C7E">
        <w:rPr>
          <w:rFonts w:eastAsia="Malgun Gothic"/>
          <w:bCs/>
          <w:lang w:val="fr-FR"/>
        </w:rPr>
        <w:t>n</w:t>
      </w:r>
      <w:r w:rsidRPr="009E01F1">
        <w:rPr>
          <w:rFonts w:eastAsia="Malgun Gothic"/>
          <w:bCs/>
          <w:lang w:val="fr-FR"/>
        </w:rPr>
        <w:t>t à la fois chorégraphe et danseur. En ce qui concerne les fonctions sociales de la danse moderne, la délégation a précisé que les groupes de danseurs modernes en Allemagne ont un grand sentiment de non exclusion, indépendamment de leur condition physique ou mentale, de leur âge ou de leur genre</w:t>
      </w:r>
      <w:r w:rsidR="00221D63">
        <w:rPr>
          <w:rFonts w:eastAsia="Malgun Gothic"/>
          <w:bCs/>
          <w:lang w:val="fr-FR"/>
        </w:rPr>
        <w:t> ;</w:t>
      </w:r>
      <w:r w:rsidRPr="009E01F1">
        <w:rPr>
          <w:rFonts w:eastAsia="Malgun Gothic"/>
          <w:bCs/>
          <w:lang w:val="fr-FR"/>
        </w:rPr>
        <w:t xml:space="preserve"> n</w:t>
      </w:r>
      <w:r w:rsidR="00923E72">
        <w:rPr>
          <w:rFonts w:eastAsia="Malgun Gothic"/>
          <w:bCs/>
          <w:lang w:val="fr-FR"/>
        </w:rPr>
        <w:t>’</w:t>
      </w:r>
      <w:r w:rsidRPr="009E01F1">
        <w:rPr>
          <w:rFonts w:eastAsia="Malgun Gothic"/>
          <w:bCs/>
          <w:lang w:val="fr-FR"/>
        </w:rPr>
        <w:t>importe qui peut rejoindre ce groupe de danseurs car il n</w:t>
      </w:r>
      <w:r w:rsidR="00923E72">
        <w:rPr>
          <w:rFonts w:eastAsia="Malgun Gothic"/>
          <w:bCs/>
          <w:lang w:val="fr-FR"/>
        </w:rPr>
        <w:t>’</w:t>
      </w:r>
      <w:r w:rsidRPr="009E01F1">
        <w:rPr>
          <w:rFonts w:eastAsia="Malgun Gothic"/>
          <w:bCs/>
          <w:lang w:val="fr-FR"/>
        </w:rPr>
        <w:t>y a pas de langue et même si le professeur impose certaines règles, le groupe est très ouvert aux nouveaux arrivants, aux immigrés, aux personnes handicapées et à tous les types de personnes. L</w:t>
      </w:r>
      <w:r w:rsidR="00923E72">
        <w:rPr>
          <w:rFonts w:eastAsia="Malgun Gothic"/>
          <w:bCs/>
          <w:lang w:val="fr-FR"/>
        </w:rPr>
        <w:t>’</w:t>
      </w:r>
      <w:r w:rsidRPr="009E01F1">
        <w:rPr>
          <w:rFonts w:eastAsia="Malgun Gothic"/>
          <w:bCs/>
          <w:lang w:val="fr-FR"/>
        </w:rPr>
        <w:t>élément renforçait le respect mutuel entre les praticiens parce qu</w:t>
      </w:r>
      <w:r w:rsidR="00923E72">
        <w:rPr>
          <w:rFonts w:eastAsia="Malgun Gothic"/>
          <w:bCs/>
          <w:lang w:val="fr-FR"/>
        </w:rPr>
        <w:t>’</w:t>
      </w:r>
      <w:r w:rsidRPr="009E01F1">
        <w:rPr>
          <w:rFonts w:eastAsia="Malgun Gothic"/>
          <w:bCs/>
          <w:lang w:val="fr-FR"/>
        </w:rPr>
        <w:t>ils développent leur pratique de la danse ensemble. Il s</w:t>
      </w:r>
      <w:r w:rsidR="00923E72">
        <w:rPr>
          <w:rFonts w:eastAsia="Malgun Gothic"/>
          <w:bCs/>
          <w:lang w:val="fr-FR"/>
        </w:rPr>
        <w:t>’</w:t>
      </w:r>
      <w:r w:rsidRPr="009E01F1">
        <w:rPr>
          <w:rFonts w:eastAsia="Malgun Gothic"/>
          <w:bCs/>
          <w:lang w:val="fr-FR"/>
        </w:rPr>
        <w:t>agissait d</w:t>
      </w:r>
      <w:r w:rsidR="00923E72">
        <w:rPr>
          <w:rFonts w:eastAsia="Malgun Gothic"/>
          <w:bCs/>
          <w:lang w:val="fr-FR"/>
        </w:rPr>
        <w:t>’</w:t>
      </w:r>
      <w:r w:rsidRPr="009E01F1">
        <w:rPr>
          <w:rFonts w:eastAsia="Malgun Gothic"/>
          <w:bCs/>
          <w:lang w:val="fr-FR"/>
        </w:rPr>
        <w:t>une forme de dialogue et d</w:t>
      </w:r>
      <w:r w:rsidR="00923E72">
        <w:rPr>
          <w:rFonts w:eastAsia="Malgun Gothic"/>
          <w:bCs/>
          <w:lang w:val="fr-FR"/>
        </w:rPr>
        <w:t>’</w:t>
      </w:r>
      <w:r w:rsidRPr="009E01F1">
        <w:rPr>
          <w:rFonts w:eastAsia="Malgun Gothic"/>
          <w:bCs/>
          <w:lang w:val="fr-FR"/>
        </w:rPr>
        <w:t>un processus de communication démocratique entre le professeur et l</w:t>
      </w:r>
      <w:r w:rsidR="00923E72">
        <w:rPr>
          <w:rFonts w:eastAsia="Malgun Gothic"/>
          <w:bCs/>
          <w:lang w:val="fr-FR"/>
        </w:rPr>
        <w:t>’</w:t>
      </w:r>
      <w:r w:rsidRPr="009E01F1">
        <w:rPr>
          <w:rFonts w:eastAsia="Malgun Gothic"/>
          <w:bCs/>
          <w:lang w:val="fr-FR"/>
        </w:rPr>
        <w:t>élève</w:t>
      </w:r>
      <w:r w:rsidR="00547769">
        <w:rPr>
          <w:rFonts w:eastAsia="Malgun Gothic"/>
          <w:bCs/>
          <w:lang w:val="fr-FR"/>
        </w:rPr>
        <w:t xml:space="preserve"> </w:t>
      </w:r>
      <w:r w:rsidRPr="009E01F1">
        <w:rPr>
          <w:rFonts w:eastAsia="Malgun Gothic"/>
          <w:bCs/>
          <w:lang w:val="fr-FR"/>
        </w:rPr>
        <w:t>ainsi qu</w:t>
      </w:r>
      <w:r w:rsidR="00923E72">
        <w:rPr>
          <w:rFonts w:eastAsia="Malgun Gothic"/>
          <w:bCs/>
          <w:lang w:val="fr-FR"/>
        </w:rPr>
        <w:t>’</w:t>
      </w:r>
      <w:r w:rsidRPr="009E01F1">
        <w:rPr>
          <w:rFonts w:eastAsia="Malgun Gothic"/>
          <w:bCs/>
          <w:lang w:val="fr-FR"/>
        </w:rPr>
        <w:t>entre les danseurs eux-mêmes. Une autre fonction sociale pourrait être le mouvement de promotion de la santé de cette danse. Les programmes de danse étaient un moyen pour les communautés locales d</w:t>
      </w:r>
      <w:r w:rsidR="00923E72">
        <w:rPr>
          <w:rFonts w:eastAsia="Malgun Gothic"/>
          <w:bCs/>
          <w:lang w:val="fr-FR"/>
        </w:rPr>
        <w:t>’</w:t>
      </w:r>
      <w:r w:rsidRPr="009E01F1">
        <w:rPr>
          <w:rFonts w:eastAsia="Malgun Gothic"/>
          <w:bCs/>
          <w:lang w:val="fr-FR"/>
        </w:rPr>
        <w:t>inclure tous les niveaux de la société, par exemple dans les zones socialement défavorisées.</w:t>
      </w:r>
    </w:p>
    <w:p w14:paraId="0CBB92CE" w14:textId="2FC29CC2" w:rsidR="00A87C7E" w:rsidRDefault="00A87C7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87C7E">
        <w:rPr>
          <w:rFonts w:eastAsia="Malgun Gothic"/>
          <w:bCs/>
          <w:lang w:val="fr-FR"/>
        </w:rPr>
        <w:t xml:space="preserve">La délégation de la </w:t>
      </w:r>
      <w:r w:rsidRPr="00702497">
        <w:rPr>
          <w:rFonts w:eastAsia="Malgun Gothic"/>
          <w:b/>
          <w:lang w:val="fr-FR"/>
        </w:rPr>
        <w:t>Suède</w:t>
      </w:r>
      <w:r w:rsidRPr="00A87C7E">
        <w:rPr>
          <w:rFonts w:eastAsia="Malgun Gothic"/>
          <w:bCs/>
          <w:lang w:val="fr-FR"/>
        </w:rPr>
        <w:t xml:space="preserve"> a remercié l</w:t>
      </w:r>
      <w:r w:rsidR="00923E72">
        <w:rPr>
          <w:rFonts w:eastAsia="Malgun Gothic"/>
          <w:bCs/>
          <w:lang w:val="fr-FR"/>
        </w:rPr>
        <w:t>’</w:t>
      </w:r>
      <w:r w:rsidRPr="00A87C7E">
        <w:rPr>
          <w:rFonts w:eastAsia="Malgun Gothic"/>
          <w:bCs/>
          <w:lang w:val="fr-FR"/>
        </w:rPr>
        <w:t>Organe d</w:t>
      </w:r>
      <w:r w:rsidR="00923E72">
        <w:rPr>
          <w:rFonts w:eastAsia="Malgun Gothic"/>
          <w:bCs/>
          <w:lang w:val="fr-FR"/>
        </w:rPr>
        <w:t>’</w:t>
      </w:r>
      <w:r w:rsidRPr="00A87C7E">
        <w:rPr>
          <w:rFonts w:eastAsia="Malgun Gothic"/>
          <w:bCs/>
          <w:lang w:val="fr-FR"/>
        </w:rPr>
        <w:t xml:space="preserve">évaluation </w:t>
      </w:r>
      <w:r w:rsidR="00547769">
        <w:rPr>
          <w:rFonts w:eastAsia="Malgun Gothic"/>
          <w:bCs/>
          <w:lang w:val="fr-FR"/>
        </w:rPr>
        <w:t>d</w:t>
      </w:r>
      <w:r w:rsidR="00923E72">
        <w:rPr>
          <w:rFonts w:eastAsia="Malgun Gothic"/>
          <w:bCs/>
          <w:lang w:val="fr-FR"/>
        </w:rPr>
        <w:t>’</w:t>
      </w:r>
      <w:r w:rsidR="00547769">
        <w:rPr>
          <w:rFonts w:eastAsia="Malgun Gothic"/>
          <w:bCs/>
          <w:lang w:val="fr-FR"/>
        </w:rPr>
        <w:t>avoir examiné le</w:t>
      </w:r>
      <w:r w:rsidRPr="00A87C7E">
        <w:rPr>
          <w:rFonts w:eastAsia="Malgun Gothic"/>
          <w:bCs/>
          <w:lang w:val="fr-FR"/>
        </w:rPr>
        <w:t xml:space="preserve"> dossier de candidature</w:t>
      </w:r>
      <w:r w:rsidR="00547769">
        <w:rPr>
          <w:rFonts w:eastAsia="Malgun Gothic"/>
          <w:bCs/>
          <w:lang w:val="fr-FR"/>
        </w:rPr>
        <w:t>,</w:t>
      </w:r>
      <w:r w:rsidRPr="00A87C7E">
        <w:rPr>
          <w:rFonts w:eastAsia="Malgun Gothic"/>
          <w:bCs/>
          <w:lang w:val="fr-FR"/>
        </w:rPr>
        <w:t xml:space="preserve"> et l</w:t>
      </w:r>
      <w:r w:rsidR="00923E72">
        <w:rPr>
          <w:rFonts w:eastAsia="Malgun Gothic"/>
          <w:bCs/>
          <w:lang w:val="fr-FR"/>
        </w:rPr>
        <w:t>’</w:t>
      </w:r>
      <w:r w:rsidRPr="00A87C7E">
        <w:rPr>
          <w:rFonts w:eastAsia="Malgun Gothic"/>
          <w:bCs/>
          <w:lang w:val="fr-FR"/>
        </w:rPr>
        <w:t xml:space="preserve">Allemagne </w:t>
      </w:r>
      <w:r w:rsidR="00547769">
        <w:rPr>
          <w:rFonts w:eastAsia="Malgun Gothic"/>
          <w:bCs/>
          <w:lang w:val="fr-FR"/>
        </w:rPr>
        <w:t>d</w:t>
      </w:r>
      <w:r w:rsidR="00923E72">
        <w:rPr>
          <w:rFonts w:eastAsia="Malgun Gothic"/>
          <w:bCs/>
          <w:lang w:val="fr-FR"/>
        </w:rPr>
        <w:t>’</w:t>
      </w:r>
      <w:r w:rsidRPr="00A87C7E">
        <w:rPr>
          <w:rFonts w:eastAsia="Malgun Gothic"/>
          <w:bCs/>
          <w:lang w:val="fr-FR"/>
        </w:rPr>
        <w:t xml:space="preserve">avoir abordé les thèmes intéressants présentés par cette candidature et </w:t>
      </w:r>
      <w:r w:rsidR="00547769">
        <w:rPr>
          <w:rFonts w:eastAsia="Malgun Gothic"/>
          <w:bCs/>
          <w:lang w:val="fr-FR"/>
        </w:rPr>
        <w:t>d</w:t>
      </w:r>
      <w:r w:rsidR="00923E72">
        <w:rPr>
          <w:rFonts w:eastAsia="Malgun Gothic"/>
          <w:bCs/>
          <w:lang w:val="fr-FR"/>
        </w:rPr>
        <w:t>’</w:t>
      </w:r>
      <w:r w:rsidR="00547769">
        <w:rPr>
          <w:rFonts w:eastAsia="Malgun Gothic"/>
          <w:bCs/>
          <w:lang w:val="fr-FR"/>
        </w:rPr>
        <w:t xml:space="preserve">avoir répondu </w:t>
      </w:r>
      <w:r w:rsidRPr="00A87C7E">
        <w:rPr>
          <w:rFonts w:eastAsia="Malgun Gothic"/>
          <w:bCs/>
          <w:lang w:val="fr-FR"/>
        </w:rPr>
        <w:t xml:space="preserve">aux questions posées. La délégation avait eu une discussion approfondie avec ses experts et ses réseaux. Sans aucun doute, la danse moderne était un </w:t>
      </w:r>
      <w:r w:rsidRPr="00A87C7E">
        <w:rPr>
          <w:rFonts w:eastAsia="Malgun Gothic"/>
          <w:bCs/>
          <w:lang w:val="fr-FR"/>
        </w:rPr>
        <w:lastRenderedPageBreak/>
        <w:t>ajout important à la richesse et à la variété du patrimoine culturel immatériel. Cependant, le dossier de candidature, dans sa forme actuelle, présentait une définition assez large de l</w:t>
      </w:r>
      <w:r w:rsidR="00923E72">
        <w:rPr>
          <w:rFonts w:eastAsia="Malgun Gothic"/>
          <w:bCs/>
          <w:lang w:val="fr-FR"/>
        </w:rPr>
        <w:t>’</w:t>
      </w:r>
      <w:r w:rsidRPr="00A87C7E">
        <w:rPr>
          <w:rFonts w:eastAsia="Malgun Gothic"/>
          <w:bCs/>
          <w:lang w:val="fr-FR"/>
        </w:rPr>
        <w:t>élément. La Suède a demandé à l</w:t>
      </w:r>
      <w:r w:rsidR="00923E72">
        <w:rPr>
          <w:rFonts w:eastAsia="Malgun Gothic"/>
          <w:bCs/>
          <w:lang w:val="fr-FR"/>
        </w:rPr>
        <w:t>’</w:t>
      </w:r>
      <w:r w:rsidRPr="00A87C7E">
        <w:rPr>
          <w:rFonts w:eastAsia="Malgun Gothic"/>
          <w:bCs/>
          <w:lang w:val="fr-FR"/>
        </w:rPr>
        <w:t>Organe d</w:t>
      </w:r>
      <w:r w:rsidR="00923E72">
        <w:rPr>
          <w:rFonts w:eastAsia="Malgun Gothic"/>
          <w:bCs/>
          <w:lang w:val="fr-FR"/>
        </w:rPr>
        <w:t>’</w:t>
      </w:r>
      <w:r w:rsidRPr="00A87C7E">
        <w:rPr>
          <w:rFonts w:eastAsia="Malgun Gothic"/>
          <w:bCs/>
          <w:lang w:val="fr-FR"/>
        </w:rPr>
        <w:t>évaluation et au Secrétariat si un renvoi de la candidature pourrait être une option supplémentaire. La délégation estimait que le dossier méritait un examen plus approfondi afin de mieux définir et délimiter l</w:t>
      </w:r>
      <w:r w:rsidR="00923E72">
        <w:rPr>
          <w:rFonts w:eastAsia="Malgun Gothic"/>
          <w:bCs/>
          <w:lang w:val="fr-FR"/>
        </w:rPr>
        <w:t>’</w:t>
      </w:r>
      <w:r w:rsidRPr="00A87C7E">
        <w:rPr>
          <w:rFonts w:eastAsia="Malgun Gothic"/>
          <w:bCs/>
          <w:lang w:val="fr-FR"/>
        </w:rPr>
        <w:t>élément. Elle soutenait le changement de nom et a remercié l</w:t>
      </w:r>
      <w:r w:rsidR="00923E72">
        <w:rPr>
          <w:rFonts w:eastAsia="Malgun Gothic"/>
          <w:bCs/>
          <w:lang w:val="fr-FR"/>
        </w:rPr>
        <w:t>’</w:t>
      </w:r>
      <w:r w:rsidRPr="00A87C7E">
        <w:rPr>
          <w:rFonts w:eastAsia="Malgun Gothic"/>
          <w:bCs/>
          <w:lang w:val="fr-FR"/>
        </w:rPr>
        <w:t>Arabie saoudite pour sa suggestion.</w:t>
      </w:r>
    </w:p>
    <w:p w14:paraId="0B0CBEF0" w14:textId="53DD37C2" w:rsidR="00A87C7E" w:rsidRDefault="00B47BB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47BB0">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B47BB0">
        <w:rPr>
          <w:rFonts w:eastAsia="Malgun Gothic"/>
          <w:bCs/>
          <w:lang w:val="fr-FR"/>
        </w:rPr>
        <w:t xml:space="preserve"> a remercié la Suède de lui donner l</w:t>
      </w:r>
      <w:r w:rsidR="00923E72">
        <w:rPr>
          <w:rFonts w:eastAsia="Malgun Gothic"/>
          <w:bCs/>
          <w:lang w:val="fr-FR"/>
        </w:rPr>
        <w:t>’</w:t>
      </w:r>
      <w:r w:rsidRPr="00B47BB0">
        <w:rPr>
          <w:rFonts w:eastAsia="Malgun Gothic"/>
          <w:bCs/>
          <w:lang w:val="fr-FR"/>
        </w:rPr>
        <w:t>occasion de clarifier la position de l</w:t>
      </w:r>
      <w:r w:rsidR="00923E72">
        <w:rPr>
          <w:rFonts w:eastAsia="Malgun Gothic"/>
          <w:bCs/>
          <w:lang w:val="fr-FR"/>
        </w:rPr>
        <w:t>’</w:t>
      </w:r>
      <w:r w:rsidRPr="00B47BB0">
        <w:rPr>
          <w:rFonts w:eastAsia="Malgun Gothic"/>
          <w:bCs/>
          <w:lang w:val="fr-FR"/>
        </w:rPr>
        <w:t xml:space="preserve">Organe. Normalement, </w:t>
      </w:r>
      <w:r w:rsidR="00B96432">
        <w:rPr>
          <w:rFonts w:eastAsia="Malgun Gothic"/>
          <w:bCs/>
          <w:lang w:val="fr-FR"/>
        </w:rPr>
        <w:t xml:space="preserve">en cas de </w:t>
      </w:r>
      <w:r w:rsidRPr="00B47BB0">
        <w:rPr>
          <w:rFonts w:eastAsia="Malgun Gothic"/>
          <w:bCs/>
          <w:lang w:val="fr-FR"/>
        </w:rPr>
        <w:t>position forte, il était du devoir du Président d</w:t>
      </w:r>
      <w:r w:rsidR="00923E72">
        <w:rPr>
          <w:rFonts w:eastAsia="Malgun Gothic"/>
          <w:bCs/>
          <w:lang w:val="fr-FR"/>
        </w:rPr>
        <w:t>’</w:t>
      </w:r>
      <w:r w:rsidRPr="00B47BB0">
        <w:rPr>
          <w:rFonts w:eastAsia="Malgun Gothic"/>
          <w:bCs/>
          <w:lang w:val="fr-FR"/>
        </w:rPr>
        <w:t>essayer de trouver un compromis entre les différents membres de l</w:t>
      </w:r>
      <w:r w:rsidR="00923E72">
        <w:rPr>
          <w:rFonts w:eastAsia="Malgun Gothic"/>
          <w:bCs/>
          <w:lang w:val="fr-FR"/>
        </w:rPr>
        <w:t>’</w:t>
      </w:r>
      <w:r w:rsidRPr="00B47BB0">
        <w:rPr>
          <w:rFonts w:eastAsia="Malgun Gothic"/>
          <w:bCs/>
          <w:lang w:val="fr-FR"/>
        </w:rPr>
        <w:t>Organe. En fait, les membres avaient travaillé plusieurs jours sur ce dossier et, à la fin, l</w:t>
      </w:r>
      <w:r w:rsidR="00923E72">
        <w:rPr>
          <w:rFonts w:eastAsia="Malgun Gothic"/>
          <w:bCs/>
          <w:lang w:val="fr-FR"/>
        </w:rPr>
        <w:t>’</w:t>
      </w:r>
      <w:r w:rsidRPr="00B47BB0">
        <w:rPr>
          <w:rFonts w:eastAsia="Malgun Gothic"/>
          <w:bCs/>
          <w:lang w:val="fr-FR"/>
        </w:rPr>
        <w:t>Organe avait essayé de trouver un compromis avec l</w:t>
      </w:r>
      <w:r w:rsidR="00923E72">
        <w:rPr>
          <w:rFonts w:eastAsia="Malgun Gothic"/>
          <w:bCs/>
          <w:lang w:val="fr-FR"/>
        </w:rPr>
        <w:t>’</w:t>
      </w:r>
      <w:r w:rsidRPr="00B47BB0">
        <w:rPr>
          <w:rFonts w:eastAsia="Malgun Gothic"/>
          <w:bCs/>
          <w:lang w:val="fr-FR"/>
        </w:rPr>
        <w:t>option du renvoi. Cependant, en essayant de rédiger un projet de décision pour un renvoi, la discussion avait repris sur la définition de l</w:t>
      </w:r>
      <w:r w:rsidR="00923E72">
        <w:rPr>
          <w:rFonts w:eastAsia="Malgun Gothic"/>
          <w:bCs/>
          <w:lang w:val="fr-FR"/>
        </w:rPr>
        <w:t>’</w:t>
      </w:r>
      <w:r w:rsidRPr="00B47BB0">
        <w:rPr>
          <w:rFonts w:eastAsia="Malgun Gothic"/>
          <w:bCs/>
          <w:lang w:val="fr-FR"/>
        </w:rPr>
        <w:t>élément et le rôle de la communauté. Au terme de la discussion, il s</w:t>
      </w:r>
      <w:r w:rsidR="00923E72">
        <w:rPr>
          <w:rFonts w:eastAsia="Malgun Gothic"/>
          <w:bCs/>
          <w:lang w:val="fr-FR"/>
        </w:rPr>
        <w:t>’</w:t>
      </w:r>
      <w:r w:rsidRPr="00B47BB0">
        <w:rPr>
          <w:rFonts w:eastAsia="Malgun Gothic"/>
          <w:bCs/>
          <w:lang w:val="fr-FR"/>
        </w:rPr>
        <w:t>était avéré impossible pour l</w:t>
      </w:r>
      <w:r w:rsidR="00923E72">
        <w:rPr>
          <w:rFonts w:eastAsia="Malgun Gothic"/>
          <w:bCs/>
          <w:lang w:val="fr-FR"/>
        </w:rPr>
        <w:t>’</w:t>
      </w:r>
      <w:r w:rsidRPr="00B47BB0">
        <w:rPr>
          <w:rFonts w:eastAsia="Malgun Gothic"/>
          <w:bCs/>
          <w:lang w:val="fr-FR"/>
        </w:rPr>
        <w:t>Organe de rédiger un projet de décision de renvoi. Cela aurait été un renvoi technique, mais l</w:t>
      </w:r>
      <w:r w:rsidR="00923E72">
        <w:rPr>
          <w:rFonts w:eastAsia="Malgun Gothic"/>
          <w:bCs/>
          <w:lang w:val="fr-FR"/>
        </w:rPr>
        <w:t>’</w:t>
      </w:r>
      <w:r w:rsidRPr="00B47BB0">
        <w:rPr>
          <w:rFonts w:eastAsia="Malgun Gothic"/>
          <w:bCs/>
          <w:lang w:val="fr-FR"/>
        </w:rPr>
        <w:t>Organe ne peut pas proposer un renvoi technique au Comité. Il avait donc été décidé qu</w:t>
      </w:r>
      <w:r w:rsidR="00923E72">
        <w:rPr>
          <w:rFonts w:eastAsia="Malgun Gothic"/>
          <w:bCs/>
          <w:lang w:val="fr-FR"/>
        </w:rPr>
        <w:t>’</w:t>
      </w:r>
      <w:r w:rsidRPr="00B47BB0">
        <w:rPr>
          <w:rFonts w:eastAsia="Malgun Gothic"/>
          <w:bCs/>
          <w:lang w:val="fr-FR"/>
        </w:rPr>
        <w:t>il ne pouvait pas proposer de compromis</w:t>
      </w:r>
      <w:r w:rsidR="00547769">
        <w:rPr>
          <w:rFonts w:eastAsia="Malgun Gothic"/>
          <w:bCs/>
          <w:lang w:val="fr-FR"/>
        </w:rPr>
        <w:t>,</w:t>
      </w:r>
      <w:r w:rsidRPr="00B47BB0">
        <w:rPr>
          <w:rFonts w:eastAsia="Malgun Gothic"/>
          <w:bCs/>
          <w:lang w:val="fr-FR"/>
        </w:rPr>
        <w:t xml:space="preserve"> car son devoir était d</w:t>
      </w:r>
      <w:r w:rsidR="00923E72">
        <w:rPr>
          <w:rFonts w:eastAsia="Malgun Gothic"/>
          <w:bCs/>
          <w:lang w:val="fr-FR"/>
        </w:rPr>
        <w:t>’</w:t>
      </w:r>
      <w:r w:rsidRPr="00B47BB0">
        <w:rPr>
          <w:rFonts w:eastAsia="Malgun Gothic"/>
          <w:bCs/>
          <w:lang w:val="fr-FR"/>
        </w:rPr>
        <w:t>évaluer le dossier</w:t>
      </w:r>
      <w:r>
        <w:rPr>
          <w:rFonts w:eastAsia="Malgun Gothic"/>
          <w:bCs/>
          <w:lang w:val="fr-FR"/>
        </w:rPr>
        <w:t xml:space="preserve"> selon le</w:t>
      </w:r>
      <w:r w:rsidR="00B96432">
        <w:rPr>
          <w:rFonts w:eastAsia="Malgun Gothic"/>
          <w:bCs/>
          <w:lang w:val="fr-FR"/>
        </w:rPr>
        <w:t xml:space="preserve">s termes de référence </w:t>
      </w:r>
      <w:r w:rsidR="007032A7">
        <w:rPr>
          <w:rFonts w:eastAsia="Malgun Gothic"/>
          <w:bCs/>
          <w:lang w:val="fr-FR"/>
        </w:rPr>
        <w:t xml:space="preserve">établis </w:t>
      </w:r>
      <w:r>
        <w:rPr>
          <w:rFonts w:eastAsia="Malgun Gothic"/>
          <w:bCs/>
          <w:lang w:val="fr-FR"/>
        </w:rPr>
        <w:t>par l</w:t>
      </w:r>
      <w:r w:rsidRPr="00B47BB0">
        <w:rPr>
          <w:rFonts w:eastAsia="Malgun Gothic"/>
          <w:bCs/>
          <w:lang w:val="fr-FR"/>
        </w:rPr>
        <w:t xml:space="preserve">e Comité </w:t>
      </w:r>
      <w:r w:rsidR="007032A7">
        <w:rPr>
          <w:rFonts w:eastAsia="Malgun Gothic"/>
          <w:bCs/>
          <w:lang w:val="fr-FR"/>
        </w:rPr>
        <w:t xml:space="preserve">pour </w:t>
      </w:r>
      <w:r w:rsidRPr="00B47BB0">
        <w:rPr>
          <w:rFonts w:eastAsia="Malgun Gothic"/>
          <w:bCs/>
          <w:lang w:val="fr-FR"/>
        </w:rPr>
        <w:t>l</w:t>
      </w:r>
      <w:r w:rsidR="00923E72">
        <w:rPr>
          <w:rFonts w:eastAsia="Malgun Gothic"/>
          <w:bCs/>
          <w:lang w:val="fr-FR"/>
        </w:rPr>
        <w:t>’</w:t>
      </w:r>
      <w:r w:rsidRPr="00B47BB0">
        <w:rPr>
          <w:rFonts w:eastAsia="Malgun Gothic"/>
          <w:bCs/>
          <w:lang w:val="fr-FR"/>
        </w:rPr>
        <w:t>Organe</w:t>
      </w:r>
      <w:r w:rsidR="007032A7">
        <w:rPr>
          <w:rFonts w:eastAsia="Malgun Gothic"/>
          <w:bCs/>
          <w:lang w:val="fr-FR"/>
        </w:rPr>
        <w:t xml:space="preserve">, </w:t>
      </w:r>
      <w:r>
        <w:rPr>
          <w:rFonts w:eastAsia="Malgun Gothic"/>
          <w:bCs/>
          <w:lang w:val="fr-FR"/>
        </w:rPr>
        <w:t>composé de</w:t>
      </w:r>
      <w:r w:rsidRPr="00B47BB0">
        <w:rPr>
          <w:rFonts w:eastAsia="Malgun Gothic"/>
          <w:bCs/>
          <w:lang w:val="fr-FR"/>
        </w:rPr>
        <w:t xml:space="preserve"> membres élus</w:t>
      </w:r>
      <w:r w:rsidR="00547769">
        <w:rPr>
          <w:rFonts w:eastAsia="Malgun Gothic"/>
          <w:bCs/>
          <w:lang w:val="fr-FR"/>
        </w:rPr>
        <w:t>,</w:t>
      </w:r>
      <w:r w:rsidRPr="00B47BB0">
        <w:rPr>
          <w:rFonts w:eastAsia="Malgun Gothic"/>
          <w:bCs/>
          <w:lang w:val="fr-FR"/>
        </w:rPr>
        <w:t xml:space="preserve"> contrairement à l</w:t>
      </w:r>
      <w:r w:rsidR="00923E72">
        <w:rPr>
          <w:rFonts w:eastAsia="Malgun Gothic"/>
          <w:bCs/>
          <w:lang w:val="fr-FR"/>
        </w:rPr>
        <w:t>’</w:t>
      </w:r>
      <w:r w:rsidRPr="00B47BB0">
        <w:rPr>
          <w:rFonts w:eastAsia="Malgun Gothic"/>
          <w:bCs/>
          <w:lang w:val="fr-FR"/>
        </w:rPr>
        <w:t>ICOMOS ou à l</w:t>
      </w:r>
      <w:r w:rsidR="00923E72">
        <w:rPr>
          <w:rFonts w:eastAsia="Malgun Gothic"/>
          <w:bCs/>
          <w:lang w:val="fr-FR"/>
        </w:rPr>
        <w:t>’</w:t>
      </w:r>
      <w:r w:rsidRPr="00B47BB0">
        <w:rPr>
          <w:rFonts w:eastAsia="Malgun Gothic"/>
          <w:bCs/>
          <w:lang w:val="fr-FR"/>
        </w:rPr>
        <w:t>UICN [dans la Convention de</w:t>
      </w:r>
      <w:r w:rsidR="006773EF">
        <w:rPr>
          <w:rFonts w:eastAsia="Malgun Gothic"/>
          <w:bCs/>
          <w:lang w:val="fr-FR"/>
        </w:rPr>
        <w:t> </w:t>
      </w:r>
      <w:r w:rsidRPr="00B47BB0">
        <w:rPr>
          <w:rFonts w:eastAsia="Malgun Gothic"/>
          <w:bCs/>
          <w:lang w:val="fr-FR"/>
        </w:rPr>
        <w:t xml:space="preserve">1972]. </w:t>
      </w:r>
      <w:r>
        <w:rPr>
          <w:rFonts w:eastAsia="Malgun Gothic"/>
          <w:bCs/>
          <w:lang w:val="fr-FR"/>
        </w:rPr>
        <w:t>L</w:t>
      </w:r>
      <w:r w:rsidR="00923E72">
        <w:rPr>
          <w:rFonts w:eastAsia="Malgun Gothic"/>
          <w:bCs/>
          <w:lang w:val="fr-FR"/>
        </w:rPr>
        <w:t>’</w:t>
      </w:r>
      <w:r w:rsidRPr="00B47BB0">
        <w:rPr>
          <w:rFonts w:eastAsia="Malgun Gothic"/>
          <w:bCs/>
          <w:lang w:val="fr-FR"/>
        </w:rPr>
        <w:t xml:space="preserve">Organe avait </w:t>
      </w:r>
      <w:r>
        <w:rPr>
          <w:rFonts w:eastAsia="Malgun Gothic"/>
          <w:bCs/>
          <w:lang w:val="fr-FR"/>
        </w:rPr>
        <w:t xml:space="preserve">donc </w:t>
      </w:r>
      <w:r w:rsidRPr="00B47BB0">
        <w:rPr>
          <w:rFonts w:eastAsia="Malgun Gothic"/>
          <w:bCs/>
          <w:lang w:val="fr-FR"/>
        </w:rPr>
        <w:t>décidé que proposer les deux options étai</w:t>
      </w:r>
      <w:r w:rsidR="00547769">
        <w:rPr>
          <w:rFonts w:eastAsia="Malgun Gothic"/>
          <w:bCs/>
          <w:lang w:val="fr-FR"/>
        </w:rPr>
        <w:t>t</w:t>
      </w:r>
      <w:r w:rsidRPr="00B47BB0">
        <w:rPr>
          <w:rFonts w:eastAsia="Malgun Gothic"/>
          <w:bCs/>
          <w:lang w:val="fr-FR"/>
        </w:rPr>
        <w:t xml:space="preserve"> la meilleure solution.</w:t>
      </w:r>
    </w:p>
    <w:p w14:paraId="2791DDE2" w14:textId="1BA5C7F6" w:rsidR="00B47BB0" w:rsidRDefault="00B47BB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47BB0">
        <w:rPr>
          <w:rFonts w:eastAsia="Malgun Gothic"/>
          <w:bCs/>
          <w:lang w:val="fr-FR"/>
        </w:rPr>
        <w:t xml:space="preserve">La délégation de la </w:t>
      </w:r>
      <w:r w:rsidRPr="00702497">
        <w:rPr>
          <w:rFonts w:eastAsia="Malgun Gothic"/>
          <w:b/>
          <w:lang w:val="fr-FR"/>
        </w:rPr>
        <w:t>République de Corée</w:t>
      </w:r>
      <w:r w:rsidRPr="00B47BB0">
        <w:rPr>
          <w:rFonts w:eastAsia="Malgun Gothic"/>
          <w:bCs/>
          <w:lang w:val="fr-FR"/>
        </w:rPr>
        <w:t xml:space="preserve"> appréciait l</w:t>
      </w:r>
      <w:r w:rsidR="00923E72">
        <w:rPr>
          <w:rFonts w:eastAsia="Malgun Gothic"/>
          <w:bCs/>
          <w:lang w:val="fr-FR"/>
        </w:rPr>
        <w:t>’</w:t>
      </w:r>
      <w:r w:rsidRPr="00B47BB0">
        <w:rPr>
          <w:rFonts w:eastAsia="Malgun Gothic"/>
          <w:bCs/>
          <w:lang w:val="fr-FR"/>
        </w:rPr>
        <w:t>effort extraordinaire de l</w:t>
      </w:r>
      <w:r w:rsidR="00923E72">
        <w:rPr>
          <w:rFonts w:eastAsia="Malgun Gothic"/>
          <w:bCs/>
          <w:lang w:val="fr-FR"/>
        </w:rPr>
        <w:t>’</w:t>
      </w:r>
      <w:r w:rsidRPr="00B47BB0">
        <w:rPr>
          <w:rFonts w:eastAsia="Malgun Gothic"/>
          <w:bCs/>
          <w:lang w:val="fr-FR"/>
        </w:rPr>
        <w:t>Organe d</w:t>
      </w:r>
      <w:r w:rsidR="00923E72">
        <w:rPr>
          <w:rFonts w:eastAsia="Malgun Gothic"/>
          <w:bCs/>
          <w:lang w:val="fr-FR"/>
        </w:rPr>
        <w:t>’</w:t>
      </w:r>
      <w:r w:rsidRPr="00B47BB0">
        <w:rPr>
          <w:rFonts w:eastAsia="Malgun Gothic"/>
          <w:bCs/>
          <w:lang w:val="fr-FR"/>
        </w:rPr>
        <w:t>évaluation pour examiner comme il se doit la candidature de l</w:t>
      </w:r>
      <w:r w:rsidR="00923E72">
        <w:rPr>
          <w:rFonts w:eastAsia="Malgun Gothic"/>
          <w:bCs/>
          <w:lang w:val="fr-FR"/>
        </w:rPr>
        <w:t>’</w:t>
      </w:r>
      <w:r w:rsidRPr="00B47BB0">
        <w:rPr>
          <w:rFonts w:eastAsia="Malgun Gothic"/>
          <w:bCs/>
          <w:lang w:val="fr-FR"/>
        </w:rPr>
        <w:t>Allemagne en rédigeant deux options de recommandation. Elle a convenu avec la Tchéquie et d</w:t>
      </w:r>
      <w:r w:rsidR="00923E72">
        <w:rPr>
          <w:rFonts w:eastAsia="Malgun Gothic"/>
          <w:bCs/>
          <w:lang w:val="fr-FR"/>
        </w:rPr>
        <w:t>’</w:t>
      </w:r>
      <w:r w:rsidRPr="00B47BB0">
        <w:rPr>
          <w:rFonts w:eastAsia="Malgun Gothic"/>
          <w:bCs/>
          <w:lang w:val="fr-FR"/>
        </w:rPr>
        <w:t>autres pays que cette candidature mettait à l</w:t>
      </w:r>
      <w:r w:rsidR="00923E72">
        <w:rPr>
          <w:rFonts w:eastAsia="Malgun Gothic"/>
          <w:bCs/>
          <w:lang w:val="fr-FR"/>
        </w:rPr>
        <w:t>’</w:t>
      </w:r>
      <w:r w:rsidRPr="00B47BB0">
        <w:rPr>
          <w:rFonts w:eastAsia="Malgun Gothic"/>
          <w:bCs/>
          <w:lang w:val="fr-FR"/>
        </w:rPr>
        <w:t>épreuve la définition et les limites du patrimoine culturel immatériel. Elle était impatiente d</w:t>
      </w:r>
      <w:r w:rsidR="00923E72">
        <w:rPr>
          <w:rFonts w:eastAsia="Malgun Gothic"/>
          <w:bCs/>
          <w:lang w:val="fr-FR"/>
        </w:rPr>
        <w:t>’</w:t>
      </w:r>
      <w:r w:rsidRPr="00B47BB0">
        <w:rPr>
          <w:rFonts w:eastAsia="Malgun Gothic"/>
          <w:bCs/>
          <w:lang w:val="fr-FR"/>
        </w:rPr>
        <w:t>écouter les autres membres du Comité sur ce qu</w:t>
      </w:r>
      <w:r w:rsidR="00923E72">
        <w:rPr>
          <w:rFonts w:eastAsia="Malgun Gothic"/>
          <w:bCs/>
          <w:lang w:val="fr-FR"/>
        </w:rPr>
        <w:t>’</w:t>
      </w:r>
      <w:r w:rsidRPr="00B47BB0">
        <w:rPr>
          <w:rFonts w:eastAsia="Malgun Gothic"/>
          <w:bCs/>
          <w:lang w:val="fr-FR"/>
        </w:rPr>
        <w:t>est le patrimoine culturel immatériel au XXI</w:t>
      </w:r>
      <w:r w:rsidR="00FC4A68" w:rsidRPr="00702497">
        <w:rPr>
          <w:rFonts w:eastAsia="Malgun Gothic"/>
          <w:bCs/>
          <w:vertAlign w:val="superscript"/>
          <w:lang w:val="fr-FR"/>
        </w:rPr>
        <w:t>e</w:t>
      </w:r>
      <w:r w:rsidR="00FC4A68">
        <w:rPr>
          <w:rFonts w:eastAsia="Malgun Gothic"/>
          <w:bCs/>
          <w:lang w:val="fr-FR"/>
        </w:rPr>
        <w:t xml:space="preserve"> </w:t>
      </w:r>
      <w:r w:rsidRPr="00B47BB0">
        <w:rPr>
          <w:rFonts w:eastAsia="Malgun Gothic"/>
          <w:bCs/>
          <w:lang w:val="fr-FR"/>
        </w:rPr>
        <w:t>siècle dans la communauté mondiale. En ce qui concerne la notion de communauté, la délégation était satisfaite des informations données par l</w:t>
      </w:r>
      <w:r w:rsidR="00923E72">
        <w:rPr>
          <w:rFonts w:eastAsia="Malgun Gothic"/>
          <w:bCs/>
          <w:lang w:val="fr-FR"/>
        </w:rPr>
        <w:t>’</w:t>
      </w:r>
      <w:r w:rsidRPr="00B47BB0">
        <w:rPr>
          <w:rFonts w:eastAsia="Malgun Gothic"/>
          <w:bCs/>
          <w:lang w:val="fr-FR"/>
        </w:rPr>
        <w:t xml:space="preserve">Allemagne. Même pour la notion de communauté, une définition plus large et nouvelle de la communauté du patrimoine au </w:t>
      </w:r>
      <w:r w:rsidR="00FC4A68" w:rsidRPr="00B47BB0">
        <w:rPr>
          <w:rFonts w:eastAsia="Malgun Gothic"/>
          <w:bCs/>
          <w:lang w:val="fr-FR"/>
        </w:rPr>
        <w:t>XXI</w:t>
      </w:r>
      <w:r w:rsidR="00FC4A68" w:rsidRPr="007011DE">
        <w:rPr>
          <w:rFonts w:eastAsia="Malgun Gothic"/>
          <w:bCs/>
          <w:vertAlign w:val="superscript"/>
          <w:lang w:val="fr-FR"/>
        </w:rPr>
        <w:t>e</w:t>
      </w:r>
      <w:r w:rsidR="00FC4A68" w:rsidRPr="00B47BB0">
        <w:rPr>
          <w:rFonts w:eastAsia="Malgun Gothic"/>
          <w:bCs/>
          <w:lang w:val="fr-FR"/>
        </w:rPr>
        <w:t xml:space="preserve"> </w:t>
      </w:r>
      <w:r w:rsidRPr="00B47BB0">
        <w:rPr>
          <w:rFonts w:eastAsia="Malgun Gothic"/>
          <w:bCs/>
          <w:lang w:val="fr-FR"/>
        </w:rPr>
        <w:t>siècle pourrait être nécessaire. Elle estimait que cet élément est une expression de la créativité humaine et de la diversité culturelle, et qu</w:t>
      </w:r>
      <w:r w:rsidR="00923E72">
        <w:rPr>
          <w:rFonts w:eastAsia="Malgun Gothic"/>
          <w:bCs/>
          <w:lang w:val="fr-FR"/>
        </w:rPr>
        <w:t>’</w:t>
      </w:r>
      <w:r w:rsidRPr="00B47BB0">
        <w:rPr>
          <w:rFonts w:eastAsia="Malgun Gothic"/>
          <w:bCs/>
          <w:lang w:val="fr-FR"/>
        </w:rPr>
        <w:t xml:space="preserve">il célèbre le patrimoine culturel immatériel de la société mondiale au </w:t>
      </w:r>
      <w:r w:rsidR="00FC4A68" w:rsidRPr="00B47BB0">
        <w:rPr>
          <w:rFonts w:eastAsia="Malgun Gothic"/>
          <w:bCs/>
          <w:lang w:val="fr-FR"/>
        </w:rPr>
        <w:t>XXI</w:t>
      </w:r>
      <w:r w:rsidR="00FC4A68" w:rsidRPr="007011DE">
        <w:rPr>
          <w:rFonts w:eastAsia="Malgun Gothic"/>
          <w:bCs/>
          <w:vertAlign w:val="superscript"/>
          <w:lang w:val="fr-FR"/>
        </w:rPr>
        <w:t>e</w:t>
      </w:r>
      <w:r w:rsidR="00FC4A68" w:rsidRPr="00B47BB0">
        <w:rPr>
          <w:rFonts w:eastAsia="Malgun Gothic"/>
          <w:bCs/>
          <w:lang w:val="fr-FR"/>
        </w:rPr>
        <w:t xml:space="preserve"> </w:t>
      </w:r>
      <w:r w:rsidRPr="00B47BB0">
        <w:rPr>
          <w:rFonts w:eastAsia="Malgun Gothic"/>
          <w:bCs/>
          <w:lang w:val="fr-FR"/>
        </w:rPr>
        <w:t>siècle. En ce qui concerne l</w:t>
      </w:r>
      <w:r w:rsidR="00923E72">
        <w:rPr>
          <w:rFonts w:eastAsia="Malgun Gothic"/>
          <w:bCs/>
          <w:lang w:val="fr-FR"/>
        </w:rPr>
        <w:t>’</w:t>
      </w:r>
      <w:r w:rsidRPr="00B47BB0">
        <w:rPr>
          <w:rFonts w:eastAsia="Malgun Gothic"/>
          <w:bCs/>
          <w:lang w:val="fr-FR"/>
        </w:rPr>
        <w:t>histoire et la question de savoir si l</w:t>
      </w:r>
      <w:r w:rsidR="00923E72">
        <w:rPr>
          <w:rFonts w:eastAsia="Malgun Gothic"/>
          <w:bCs/>
          <w:lang w:val="fr-FR"/>
        </w:rPr>
        <w:t>’</w:t>
      </w:r>
      <w:r w:rsidRPr="00B47BB0">
        <w:rPr>
          <w:rFonts w:eastAsia="Malgun Gothic"/>
          <w:bCs/>
          <w:lang w:val="fr-FR"/>
        </w:rPr>
        <w:t>élément est transmis de génération en génération, la délégation a rappelé que des éléments encore plus jeunes avaient été inscrits sur les listes de l</w:t>
      </w:r>
      <w:r w:rsidR="00923E72">
        <w:rPr>
          <w:rFonts w:eastAsia="Malgun Gothic"/>
          <w:bCs/>
          <w:lang w:val="fr-FR"/>
        </w:rPr>
        <w:t>’</w:t>
      </w:r>
      <w:r w:rsidRPr="00B47BB0">
        <w:rPr>
          <w:rFonts w:eastAsia="Malgun Gothic"/>
          <w:bCs/>
          <w:lang w:val="fr-FR"/>
        </w:rPr>
        <w:t>UNESCO.</w:t>
      </w:r>
    </w:p>
    <w:p w14:paraId="546547F3" w14:textId="5F665898" w:rsidR="00FC4A68" w:rsidRDefault="00FC4A6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FC4A68">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FC4A68">
        <w:rPr>
          <w:rFonts w:eastAsia="Malgun Gothic"/>
          <w:bCs/>
          <w:lang w:val="fr-FR"/>
        </w:rPr>
        <w:t xml:space="preserve"> a expliqué qu</w:t>
      </w:r>
      <w:r w:rsidR="00923E72">
        <w:rPr>
          <w:rFonts w:eastAsia="Malgun Gothic"/>
          <w:bCs/>
          <w:lang w:val="fr-FR"/>
        </w:rPr>
        <w:t>’</w:t>
      </w:r>
      <w:r w:rsidRPr="00FC4A68">
        <w:rPr>
          <w:rFonts w:eastAsia="Malgun Gothic"/>
          <w:bCs/>
          <w:lang w:val="fr-FR"/>
        </w:rPr>
        <w:t xml:space="preserve">elle souhaitait voir la discussion évoluer sur ce dossier de la même manière </w:t>
      </w:r>
      <w:r>
        <w:rPr>
          <w:rFonts w:eastAsia="Malgun Gothic"/>
          <w:bCs/>
          <w:lang w:val="fr-FR"/>
        </w:rPr>
        <w:t>que ce qui s</w:t>
      </w:r>
      <w:r w:rsidR="00923E72">
        <w:rPr>
          <w:rFonts w:eastAsia="Malgun Gothic"/>
          <w:bCs/>
          <w:lang w:val="fr-FR"/>
        </w:rPr>
        <w:t>’</w:t>
      </w:r>
      <w:r>
        <w:rPr>
          <w:rFonts w:eastAsia="Malgun Gothic"/>
          <w:bCs/>
          <w:lang w:val="fr-FR"/>
        </w:rPr>
        <w:t xml:space="preserve">était passé lors </w:t>
      </w:r>
      <w:r w:rsidRPr="00FC4A68">
        <w:rPr>
          <w:rFonts w:eastAsia="Malgun Gothic"/>
          <w:bCs/>
          <w:lang w:val="fr-FR"/>
        </w:rPr>
        <w:t>de l</w:t>
      </w:r>
      <w:r w:rsidR="00923E72">
        <w:rPr>
          <w:rFonts w:eastAsia="Malgun Gothic"/>
          <w:bCs/>
          <w:lang w:val="fr-FR"/>
        </w:rPr>
        <w:t>’</w:t>
      </w:r>
      <w:r w:rsidRPr="00FC4A68">
        <w:rPr>
          <w:rFonts w:eastAsia="Malgun Gothic"/>
          <w:bCs/>
          <w:lang w:val="fr-FR"/>
        </w:rPr>
        <w:t>évaluation du dossier de Cuba. Elle a</w:t>
      </w:r>
      <w:r>
        <w:rPr>
          <w:rFonts w:eastAsia="Malgun Gothic"/>
          <w:bCs/>
          <w:lang w:val="fr-FR"/>
        </w:rPr>
        <w:t>vait</w:t>
      </w:r>
      <w:r w:rsidRPr="00FC4A68">
        <w:rPr>
          <w:rFonts w:eastAsia="Malgun Gothic"/>
          <w:bCs/>
          <w:lang w:val="fr-FR"/>
        </w:rPr>
        <w:t xml:space="preserve"> été impressionnée par les points pertinents </w:t>
      </w:r>
      <w:r w:rsidR="00524833">
        <w:rPr>
          <w:rFonts w:eastAsia="Malgun Gothic"/>
          <w:bCs/>
          <w:lang w:val="fr-FR"/>
        </w:rPr>
        <w:t xml:space="preserve">abordés </w:t>
      </w:r>
      <w:r w:rsidRPr="00FC4A68">
        <w:rPr>
          <w:rFonts w:eastAsia="Malgun Gothic"/>
          <w:bCs/>
          <w:lang w:val="fr-FR"/>
        </w:rPr>
        <w:t>par la Tchéquie et a demandé que la parole soit à nouveau donnée à la Tchéquie afin qu</w:t>
      </w:r>
      <w:r w:rsidR="00923E72">
        <w:rPr>
          <w:rFonts w:eastAsia="Malgun Gothic"/>
          <w:bCs/>
          <w:lang w:val="fr-FR"/>
        </w:rPr>
        <w:t>’</w:t>
      </w:r>
      <w:r w:rsidRPr="00FC4A68">
        <w:rPr>
          <w:rFonts w:eastAsia="Malgun Gothic"/>
          <w:bCs/>
          <w:lang w:val="fr-FR"/>
        </w:rPr>
        <w:t>elle puisse s</w:t>
      </w:r>
      <w:r w:rsidR="00923E72">
        <w:rPr>
          <w:rFonts w:eastAsia="Malgun Gothic"/>
          <w:bCs/>
          <w:lang w:val="fr-FR"/>
        </w:rPr>
        <w:t>’</w:t>
      </w:r>
      <w:r w:rsidRPr="00FC4A68">
        <w:rPr>
          <w:rFonts w:eastAsia="Malgun Gothic"/>
          <w:bCs/>
          <w:lang w:val="fr-FR"/>
        </w:rPr>
        <w:t>exprimer davantage sur l</w:t>
      </w:r>
      <w:r w:rsidR="00923E72">
        <w:rPr>
          <w:rFonts w:eastAsia="Malgun Gothic"/>
          <w:bCs/>
          <w:lang w:val="fr-FR"/>
        </w:rPr>
        <w:t>’</w:t>
      </w:r>
      <w:r w:rsidRPr="00FC4A68">
        <w:rPr>
          <w:rFonts w:eastAsia="Malgun Gothic"/>
          <w:bCs/>
          <w:lang w:val="fr-FR"/>
        </w:rPr>
        <w:t>avenir de la Convention de</w:t>
      </w:r>
      <w:r w:rsidR="006773EF">
        <w:rPr>
          <w:rFonts w:eastAsia="Malgun Gothic"/>
          <w:bCs/>
          <w:lang w:val="fr-FR"/>
        </w:rPr>
        <w:t> </w:t>
      </w:r>
      <w:r w:rsidRPr="00FC4A68">
        <w:rPr>
          <w:rFonts w:eastAsia="Malgun Gothic"/>
          <w:bCs/>
          <w:lang w:val="fr-FR"/>
        </w:rPr>
        <w:t xml:space="preserve">2003 et sur la question de savoir si la Convention de 2005 serait plus appropriée pour ce dossier. </w:t>
      </w:r>
      <w:r>
        <w:rPr>
          <w:rFonts w:eastAsia="Malgun Gothic"/>
          <w:bCs/>
          <w:lang w:val="fr-FR"/>
        </w:rPr>
        <w:t>Elle</w:t>
      </w:r>
      <w:r w:rsidRPr="00FC4A68">
        <w:rPr>
          <w:rFonts w:eastAsia="Malgun Gothic"/>
          <w:bCs/>
          <w:lang w:val="fr-FR"/>
        </w:rPr>
        <w:t xml:space="preserve"> </w:t>
      </w:r>
      <w:r>
        <w:rPr>
          <w:rFonts w:eastAsia="Malgun Gothic"/>
          <w:bCs/>
          <w:lang w:val="fr-FR"/>
        </w:rPr>
        <w:t>avait</w:t>
      </w:r>
      <w:r w:rsidRPr="00FC4A68">
        <w:rPr>
          <w:rFonts w:eastAsia="Malgun Gothic"/>
          <w:bCs/>
          <w:lang w:val="fr-FR"/>
        </w:rPr>
        <w:t xml:space="preserve"> également apprécié la suggestion </w:t>
      </w:r>
      <w:r>
        <w:rPr>
          <w:rFonts w:eastAsia="Malgun Gothic"/>
          <w:bCs/>
          <w:lang w:val="fr-FR"/>
        </w:rPr>
        <w:t xml:space="preserve">fort </w:t>
      </w:r>
      <w:r w:rsidRPr="00FC4A68">
        <w:rPr>
          <w:rFonts w:eastAsia="Malgun Gothic"/>
          <w:bCs/>
          <w:lang w:val="fr-FR"/>
        </w:rPr>
        <w:t>utile de l</w:t>
      </w:r>
      <w:r w:rsidR="00923E72">
        <w:rPr>
          <w:rFonts w:eastAsia="Malgun Gothic"/>
          <w:bCs/>
          <w:lang w:val="fr-FR"/>
        </w:rPr>
        <w:t>’</w:t>
      </w:r>
      <w:r w:rsidRPr="00FC4A68">
        <w:rPr>
          <w:rFonts w:eastAsia="Malgun Gothic"/>
          <w:bCs/>
          <w:lang w:val="fr-FR"/>
        </w:rPr>
        <w:t xml:space="preserve">Arabie Saoudite de changer le </w:t>
      </w:r>
      <w:r>
        <w:rPr>
          <w:rFonts w:eastAsia="Malgun Gothic"/>
          <w:bCs/>
          <w:lang w:val="fr-FR"/>
        </w:rPr>
        <w:t xml:space="preserve">nom </w:t>
      </w:r>
      <w:r w:rsidRPr="00FC4A68">
        <w:rPr>
          <w:rFonts w:eastAsia="Malgun Gothic"/>
          <w:bCs/>
          <w:lang w:val="fr-FR"/>
        </w:rPr>
        <w:t>de la candidature.</w:t>
      </w:r>
    </w:p>
    <w:p w14:paraId="6E65C261" w14:textId="6E62329F" w:rsidR="00FC4A68" w:rsidRDefault="00FC4A6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FC4A68">
        <w:rPr>
          <w:rFonts w:eastAsia="Malgun Gothic"/>
          <w:bCs/>
          <w:lang w:val="fr-FR"/>
        </w:rPr>
        <w:t xml:space="preserve">La délégation de la </w:t>
      </w:r>
      <w:r w:rsidRPr="00702497">
        <w:rPr>
          <w:rFonts w:eastAsia="Malgun Gothic"/>
          <w:b/>
          <w:lang w:val="fr-FR"/>
        </w:rPr>
        <w:t>Tchéquie</w:t>
      </w:r>
      <w:r w:rsidRPr="00FC4A68">
        <w:rPr>
          <w:rFonts w:eastAsia="Malgun Gothic"/>
          <w:bCs/>
          <w:lang w:val="fr-FR"/>
        </w:rPr>
        <w:t xml:space="preserve"> a remercié l</w:t>
      </w:r>
      <w:r w:rsidR="00923E72">
        <w:rPr>
          <w:rFonts w:eastAsia="Malgun Gothic"/>
          <w:bCs/>
          <w:lang w:val="fr-FR"/>
        </w:rPr>
        <w:t>’</w:t>
      </w:r>
      <w:r w:rsidRPr="00FC4A68">
        <w:rPr>
          <w:rFonts w:eastAsia="Malgun Gothic"/>
          <w:bCs/>
          <w:lang w:val="fr-FR"/>
        </w:rPr>
        <w:t>Inde pour sa question. En effet, elle avait longuement débattu</w:t>
      </w:r>
      <w:r w:rsidR="00A10FA6">
        <w:rPr>
          <w:rFonts w:eastAsia="Malgun Gothic"/>
          <w:bCs/>
          <w:lang w:val="fr-FR"/>
        </w:rPr>
        <w:t xml:space="preserve">, </w:t>
      </w:r>
      <w:r w:rsidRPr="00FC4A68">
        <w:rPr>
          <w:rFonts w:eastAsia="Malgun Gothic"/>
          <w:bCs/>
          <w:lang w:val="fr-FR"/>
        </w:rPr>
        <w:t>au sein de son cercle d</w:t>
      </w:r>
      <w:r w:rsidR="00923E72">
        <w:rPr>
          <w:rFonts w:eastAsia="Malgun Gothic"/>
          <w:bCs/>
          <w:lang w:val="fr-FR"/>
        </w:rPr>
        <w:t>’</w:t>
      </w:r>
      <w:r w:rsidRPr="00FC4A68">
        <w:rPr>
          <w:rFonts w:eastAsia="Malgun Gothic"/>
          <w:bCs/>
          <w:lang w:val="fr-FR"/>
        </w:rPr>
        <w:t xml:space="preserve">experts, </w:t>
      </w:r>
      <w:r w:rsidR="00A10FA6" w:rsidRPr="00FC4A68">
        <w:rPr>
          <w:rFonts w:eastAsia="Malgun Gothic"/>
          <w:bCs/>
          <w:lang w:val="fr-FR"/>
        </w:rPr>
        <w:t>de ce dossier</w:t>
      </w:r>
      <w:r w:rsidR="00E14854">
        <w:rPr>
          <w:rFonts w:eastAsia="Malgun Gothic"/>
          <w:bCs/>
          <w:lang w:val="fr-FR"/>
        </w:rPr>
        <w:t>,</w:t>
      </w:r>
      <w:r w:rsidR="00A10FA6">
        <w:rPr>
          <w:rFonts w:eastAsia="Malgun Gothic"/>
          <w:bCs/>
          <w:lang w:val="fr-FR"/>
        </w:rPr>
        <w:t xml:space="preserve"> </w:t>
      </w:r>
      <w:r w:rsidRPr="00FC4A68">
        <w:rPr>
          <w:rFonts w:eastAsia="Malgun Gothic"/>
          <w:bCs/>
          <w:lang w:val="fr-FR"/>
        </w:rPr>
        <w:t>qui était extrêmement intéressant en ce qu</w:t>
      </w:r>
      <w:r w:rsidR="00923E72">
        <w:rPr>
          <w:rFonts w:eastAsia="Malgun Gothic"/>
          <w:bCs/>
          <w:lang w:val="fr-FR"/>
        </w:rPr>
        <w:t>’</w:t>
      </w:r>
      <w:r w:rsidRPr="00FC4A68">
        <w:rPr>
          <w:rFonts w:eastAsia="Malgun Gothic"/>
          <w:bCs/>
          <w:lang w:val="fr-FR"/>
        </w:rPr>
        <w:t>il ouvrait un éventail plus large d</w:t>
      </w:r>
      <w:r w:rsidR="00923E72">
        <w:rPr>
          <w:rFonts w:eastAsia="Malgun Gothic"/>
          <w:bCs/>
          <w:lang w:val="fr-FR"/>
        </w:rPr>
        <w:t>’</w:t>
      </w:r>
      <w:r w:rsidRPr="00FC4A68">
        <w:rPr>
          <w:rFonts w:eastAsia="Malgun Gothic"/>
          <w:bCs/>
          <w:lang w:val="fr-FR"/>
        </w:rPr>
        <w:t xml:space="preserve">expressions du patrimoine culturel immatériel. </w:t>
      </w:r>
      <w:r w:rsidR="00A10FA6">
        <w:rPr>
          <w:rFonts w:eastAsia="Malgun Gothic"/>
          <w:bCs/>
          <w:lang w:val="fr-FR"/>
        </w:rPr>
        <w:t>Toutefois, c</w:t>
      </w:r>
      <w:r w:rsidRPr="00FC4A68">
        <w:rPr>
          <w:rFonts w:eastAsia="Malgun Gothic"/>
          <w:bCs/>
          <w:lang w:val="fr-FR"/>
        </w:rPr>
        <w:t>ertains experts estimaient qu</w:t>
      </w:r>
      <w:r w:rsidR="00923E72">
        <w:rPr>
          <w:rFonts w:eastAsia="Malgun Gothic"/>
          <w:bCs/>
          <w:lang w:val="fr-FR"/>
        </w:rPr>
        <w:t>’</w:t>
      </w:r>
      <w:r w:rsidRPr="00FC4A68">
        <w:rPr>
          <w:rFonts w:eastAsia="Malgun Gothic"/>
          <w:bCs/>
          <w:lang w:val="fr-FR"/>
        </w:rPr>
        <w:t>il s</w:t>
      </w:r>
      <w:r w:rsidR="00923E72">
        <w:rPr>
          <w:rFonts w:eastAsia="Malgun Gothic"/>
          <w:bCs/>
          <w:lang w:val="fr-FR"/>
        </w:rPr>
        <w:t>’</w:t>
      </w:r>
      <w:r w:rsidRPr="00FC4A68">
        <w:rPr>
          <w:rFonts w:eastAsia="Malgun Gothic"/>
          <w:bCs/>
          <w:lang w:val="fr-FR"/>
        </w:rPr>
        <w:t>agissait d</w:t>
      </w:r>
      <w:r w:rsidR="00923E72">
        <w:rPr>
          <w:rFonts w:eastAsia="Malgun Gothic"/>
          <w:bCs/>
          <w:lang w:val="fr-FR"/>
        </w:rPr>
        <w:t>’</w:t>
      </w:r>
      <w:r w:rsidRPr="00FC4A68">
        <w:rPr>
          <w:rFonts w:eastAsia="Malgun Gothic"/>
          <w:bCs/>
          <w:lang w:val="fr-FR"/>
        </w:rPr>
        <w:t>une expression artistique appartenant au champ exploré par la Convention de 2005 sur la diversité des expressions culturelles, d</w:t>
      </w:r>
      <w:r w:rsidR="00923E72">
        <w:rPr>
          <w:rFonts w:eastAsia="Malgun Gothic"/>
          <w:bCs/>
          <w:lang w:val="fr-FR"/>
        </w:rPr>
        <w:t>’</w:t>
      </w:r>
      <w:r w:rsidRPr="00FC4A68">
        <w:rPr>
          <w:rFonts w:eastAsia="Malgun Gothic"/>
          <w:bCs/>
          <w:lang w:val="fr-FR"/>
        </w:rPr>
        <w:t>où la raison pour laquelle elle avait mentionné ce point.</w:t>
      </w:r>
    </w:p>
    <w:p w14:paraId="2D1FAA97" w14:textId="375C7F3B" w:rsidR="00A10FA6" w:rsidRDefault="00A10FA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10FA6">
        <w:rPr>
          <w:rFonts w:eastAsia="Malgun Gothic"/>
          <w:bCs/>
          <w:lang w:val="fr-FR"/>
        </w:rPr>
        <w:t xml:space="preserve">La délégation de la </w:t>
      </w:r>
      <w:r w:rsidRPr="00702497">
        <w:rPr>
          <w:rFonts w:eastAsia="Malgun Gothic"/>
          <w:b/>
          <w:lang w:val="fr-FR"/>
        </w:rPr>
        <w:t>Suisse</w:t>
      </w:r>
      <w:r w:rsidRPr="00A10FA6">
        <w:rPr>
          <w:rFonts w:eastAsia="Malgun Gothic"/>
          <w:bCs/>
          <w:lang w:val="fr-FR"/>
        </w:rPr>
        <w:t xml:space="preserve"> avait examiné avec beaucoup d</w:t>
      </w:r>
      <w:r w:rsidR="00923E72">
        <w:rPr>
          <w:rFonts w:eastAsia="Malgun Gothic"/>
          <w:bCs/>
          <w:lang w:val="fr-FR"/>
        </w:rPr>
        <w:t>’</w:t>
      </w:r>
      <w:r w:rsidRPr="00A10FA6">
        <w:rPr>
          <w:rFonts w:eastAsia="Malgun Gothic"/>
          <w:bCs/>
          <w:lang w:val="fr-FR"/>
        </w:rPr>
        <w:t>intérêt ce dossier de candidature, qui était techniquement très au point</w:t>
      </w:r>
      <w:r w:rsidR="002F1676">
        <w:rPr>
          <w:rFonts w:eastAsia="Malgun Gothic"/>
          <w:bCs/>
          <w:lang w:val="fr-FR"/>
        </w:rPr>
        <w:t xml:space="preserve">. </w:t>
      </w:r>
      <w:r w:rsidRPr="00A10FA6">
        <w:rPr>
          <w:rFonts w:eastAsia="Malgun Gothic"/>
          <w:bCs/>
          <w:lang w:val="fr-FR"/>
        </w:rPr>
        <w:t>Ce qui semblait important par rapport au critère</w:t>
      </w:r>
      <w:r>
        <w:rPr>
          <w:rFonts w:eastAsia="Malgun Gothic"/>
          <w:bCs/>
          <w:lang w:val="fr-FR"/>
        </w:rPr>
        <w:t> </w:t>
      </w:r>
      <w:r w:rsidRPr="00A10FA6">
        <w:rPr>
          <w:rFonts w:eastAsia="Malgun Gothic"/>
          <w:bCs/>
          <w:lang w:val="fr-FR"/>
        </w:rPr>
        <w:t>R.1, c</w:t>
      </w:r>
      <w:r w:rsidR="00923E72">
        <w:rPr>
          <w:rFonts w:eastAsia="Malgun Gothic"/>
          <w:bCs/>
          <w:lang w:val="fr-FR"/>
        </w:rPr>
        <w:t>’</w:t>
      </w:r>
      <w:r w:rsidRPr="00A10FA6">
        <w:rPr>
          <w:rFonts w:eastAsia="Malgun Gothic"/>
          <w:bCs/>
          <w:lang w:val="fr-FR"/>
        </w:rPr>
        <w:t>était le niveau d</w:t>
      </w:r>
      <w:r w:rsidR="00AD7D1A">
        <w:rPr>
          <w:rFonts w:eastAsia="Malgun Gothic"/>
          <w:bCs/>
          <w:lang w:val="fr-FR"/>
        </w:rPr>
        <w:t>e participation</w:t>
      </w:r>
      <w:r w:rsidRPr="00A10FA6">
        <w:rPr>
          <w:rFonts w:eastAsia="Malgun Gothic"/>
          <w:bCs/>
          <w:lang w:val="fr-FR"/>
        </w:rPr>
        <w:t xml:space="preserve"> de</w:t>
      </w:r>
      <w:r>
        <w:rPr>
          <w:rFonts w:eastAsia="Malgun Gothic"/>
          <w:bCs/>
          <w:lang w:val="fr-FR"/>
        </w:rPr>
        <w:t xml:space="preserve">s </w:t>
      </w:r>
      <w:r w:rsidRPr="00A10FA6">
        <w:rPr>
          <w:rFonts w:eastAsia="Malgun Gothic"/>
          <w:bCs/>
          <w:lang w:val="fr-FR"/>
        </w:rPr>
        <w:t>communauté</w:t>
      </w:r>
      <w:r>
        <w:rPr>
          <w:rFonts w:eastAsia="Malgun Gothic"/>
          <w:bCs/>
          <w:lang w:val="fr-FR"/>
        </w:rPr>
        <w:t>s</w:t>
      </w:r>
      <w:r w:rsidRPr="00A10FA6">
        <w:rPr>
          <w:rFonts w:eastAsia="Malgun Gothic"/>
          <w:bCs/>
          <w:lang w:val="fr-FR"/>
        </w:rPr>
        <w:t>. Elle estimait que la communauté était définie de manière très explicite, mais plus encore que le langage et la perspective utilisés étaient ceux d</w:t>
      </w:r>
      <w:r w:rsidR="00303021">
        <w:rPr>
          <w:rFonts w:eastAsia="Malgun Gothic"/>
          <w:bCs/>
          <w:lang w:val="fr-FR"/>
        </w:rPr>
        <w:t>e la</w:t>
      </w:r>
      <w:r w:rsidRPr="00A10FA6">
        <w:rPr>
          <w:rFonts w:eastAsia="Malgun Gothic"/>
          <w:bCs/>
          <w:lang w:val="fr-FR"/>
        </w:rPr>
        <w:t xml:space="preserve"> communauté. Pour la communauté des danseurs, qui est une communauté de pratique, l</w:t>
      </w:r>
      <w:r w:rsidR="00923E72">
        <w:rPr>
          <w:rFonts w:eastAsia="Malgun Gothic"/>
          <w:bCs/>
          <w:lang w:val="fr-FR"/>
        </w:rPr>
        <w:t>’</w:t>
      </w:r>
      <w:r w:rsidRPr="00A10FA6">
        <w:rPr>
          <w:rFonts w:eastAsia="Malgun Gothic"/>
          <w:bCs/>
          <w:lang w:val="fr-FR"/>
        </w:rPr>
        <w:t xml:space="preserve">élément </w:t>
      </w:r>
      <w:r w:rsidR="00303021">
        <w:rPr>
          <w:rFonts w:eastAsia="Malgun Gothic"/>
          <w:bCs/>
          <w:lang w:val="fr-FR"/>
        </w:rPr>
        <w:t xml:space="preserve">se décrivait </w:t>
      </w:r>
      <w:r w:rsidRPr="00A10FA6">
        <w:rPr>
          <w:rFonts w:eastAsia="Malgun Gothic"/>
          <w:bCs/>
          <w:lang w:val="fr-FR"/>
        </w:rPr>
        <w:t>par la liberté d</w:t>
      </w:r>
      <w:r w:rsidR="00303021">
        <w:rPr>
          <w:rFonts w:eastAsia="Malgun Gothic"/>
          <w:bCs/>
          <w:lang w:val="fr-FR"/>
        </w:rPr>
        <w:t>u</w:t>
      </w:r>
      <w:r w:rsidRPr="00A10FA6">
        <w:rPr>
          <w:rFonts w:eastAsia="Malgun Gothic"/>
          <w:bCs/>
          <w:lang w:val="fr-FR"/>
        </w:rPr>
        <w:t xml:space="preserve"> mouvement</w:t>
      </w:r>
      <w:r w:rsidR="00303021">
        <w:rPr>
          <w:rFonts w:eastAsia="Malgun Gothic"/>
          <w:bCs/>
          <w:lang w:val="fr-FR"/>
        </w:rPr>
        <w:t xml:space="preserve"> et</w:t>
      </w:r>
      <w:r w:rsidRPr="00A10FA6">
        <w:rPr>
          <w:rFonts w:eastAsia="Malgun Gothic"/>
          <w:bCs/>
          <w:lang w:val="fr-FR"/>
        </w:rPr>
        <w:t xml:space="preserve"> par </w:t>
      </w:r>
      <w:r w:rsidR="00303021">
        <w:rPr>
          <w:rFonts w:eastAsia="Malgun Gothic"/>
          <w:bCs/>
          <w:lang w:val="fr-FR"/>
        </w:rPr>
        <w:t>cette</w:t>
      </w:r>
      <w:r w:rsidRPr="00A10FA6">
        <w:rPr>
          <w:rFonts w:eastAsia="Malgun Gothic"/>
          <w:bCs/>
          <w:lang w:val="fr-FR"/>
        </w:rPr>
        <w:t xml:space="preserve"> forme </w:t>
      </w:r>
      <w:r w:rsidR="00303021">
        <w:rPr>
          <w:rFonts w:eastAsia="Malgun Gothic"/>
          <w:bCs/>
          <w:lang w:val="fr-FR"/>
        </w:rPr>
        <w:t xml:space="preserve">établie </w:t>
      </w:r>
      <w:r w:rsidRPr="00A10FA6">
        <w:rPr>
          <w:rFonts w:eastAsia="Malgun Gothic"/>
          <w:bCs/>
          <w:lang w:val="fr-FR"/>
        </w:rPr>
        <w:t>d</w:t>
      </w:r>
      <w:r w:rsidR="00303021">
        <w:rPr>
          <w:rFonts w:eastAsia="Malgun Gothic"/>
          <w:bCs/>
          <w:lang w:val="fr-FR"/>
        </w:rPr>
        <w:t>e formation et</w:t>
      </w:r>
      <w:r w:rsidRPr="00A10FA6">
        <w:rPr>
          <w:rFonts w:eastAsia="Malgun Gothic"/>
          <w:bCs/>
          <w:lang w:val="fr-FR"/>
        </w:rPr>
        <w:t xml:space="preserve"> de transmission. L</w:t>
      </w:r>
      <w:r w:rsidR="00923E72">
        <w:rPr>
          <w:rFonts w:eastAsia="Malgun Gothic"/>
          <w:bCs/>
          <w:lang w:val="fr-FR"/>
        </w:rPr>
        <w:t>’</w:t>
      </w:r>
      <w:r w:rsidRPr="00A10FA6">
        <w:rPr>
          <w:rFonts w:eastAsia="Malgun Gothic"/>
          <w:bCs/>
          <w:lang w:val="fr-FR"/>
        </w:rPr>
        <w:t>élément était transmis de génération en génération. En ce sens, il satisfaisait au critère</w:t>
      </w:r>
      <w:r w:rsidR="00090AF9">
        <w:rPr>
          <w:rFonts w:eastAsia="Malgun Gothic"/>
          <w:bCs/>
          <w:lang w:val="fr-FR"/>
        </w:rPr>
        <w:t> </w:t>
      </w:r>
      <w:r w:rsidRPr="00A10FA6">
        <w:rPr>
          <w:rFonts w:eastAsia="Malgun Gothic"/>
          <w:bCs/>
          <w:lang w:val="fr-FR"/>
        </w:rPr>
        <w:t xml:space="preserve">R.1, mais surtout au critère de participation étroite des </w:t>
      </w:r>
      <w:r w:rsidRPr="00A10FA6">
        <w:rPr>
          <w:rFonts w:eastAsia="Malgun Gothic"/>
          <w:bCs/>
          <w:lang w:val="fr-FR"/>
        </w:rPr>
        <w:lastRenderedPageBreak/>
        <w:t>communautés. Dans ce cas, c</w:t>
      </w:r>
      <w:r w:rsidR="00923E72">
        <w:rPr>
          <w:rFonts w:eastAsia="Malgun Gothic"/>
          <w:bCs/>
          <w:lang w:val="fr-FR"/>
        </w:rPr>
        <w:t>’</w:t>
      </w:r>
      <w:r w:rsidRPr="00A10FA6">
        <w:rPr>
          <w:rFonts w:eastAsia="Malgun Gothic"/>
          <w:bCs/>
          <w:lang w:val="fr-FR"/>
        </w:rPr>
        <w:t>était même la communauté qui avait défini cet élément en tant que patrimoine culturel immatériel. De plus, l</w:t>
      </w:r>
      <w:r w:rsidR="00923E72">
        <w:rPr>
          <w:rFonts w:eastAsia="Malgun Gothic"/>
          <w:bCs/>
          <w:lang w:val="fr-FR"/>
        </w:rPr>
        <w:t>’</w:t>
      </w:r>
      <w:r w:rsidRPr="00A10FA6">
        <w:rPr>
          <w:rFonts w:eastAsia="Malgun Gothic"/>
          <w:bCs/>
          <w:lang w:val="fr-FR"/>
        </w:rPr>
        <w:t>Organe d</w:t>
      </w:r>
      <w:r w:rsidR="00923E72">
        <w:rPr>
          <w:rFonts w:eastAsia="Malgun Gothic"/>
          <w:bCs/>
          <w:lang w:val="fr-FR"/>
        </w:rPr>
        <w:t>’</w:t>
      </w:r>
      <w:r w:rsidRPr="00A10FA6">
        <w:rPr>
          <w:rFonts w:eastAsia="Malgun Gothic"/>
          <w:bCs/>
          <w:lang w:val="fr-FR"/>
        </w:rPr>
        <w:t>évaluation avait estimé que les critères</w:t>
      </w:r>
      <w:r w:rsidR="00303021">
        <w:rPr>
          <w:rFonts w:eastAsia="Malgun Gothic"/>
          <w:bCs/>
          <w:lang w:val="fr-FR"/>
        </w:rPr>
        <w:t> </w:t>
      </w:r>
      <w:r w:rsidRPr="00A10FA6">
        <w:rPr>
          <w:rFonts w:eastAsia="Malgun Gothic"/>
          <w:bCs/>
          <w:lang w:val="fr-FR"/>
        </w:rPr>
        <w:t>R.2,</w:t>
      </w:r>
      <w:r w:rsidR="00303021">
        <w:rPr>
          <w:rFonts w:eastAsia="Malgun Gothic"/>
          <w:bCs/>
          <w:lang w:val="fr-FR"/>
        </w:rPr>
        <w:t> </w:t>
      </w:r>
      <w:r w:rsidRPr="00A10FA6">
        <w:rPr>
          <w:rFonts w:eastAsia="Malgun Gothic"/>
          <w:bCs/>
          <w:lang w:val="fr-FR"/>
        </w:rPr>
        <w:t>R.3 et</w:t>
      </w:r>
      <w:r w:rsidR="00303021">
        <w:rPr>
          <w:rFonts w:eastAsia="Malgun Gothic"/>
          <w:bCs/>
          <w:lang w:val="fr-FR"/>
        </w:rPr>
        <w:t> </w:t>
      </w:r>
      <w:r w:rsidRPr="00A10FA6">
        <w:rPr>
          <w:rFonts w:eastAsia="Malgun Gothic"/>
          <w:bCs/>
          <w:lang w:val="fr-FR"/>
        </w:rPr>
        <w:t>R.4,</w:t>
      </w:r>
      <w:r w:rsidR="00303021">
        <w:rPr>
          <w:rFonts w:eastAsia="Malgun Gothic"/>
          <w:bCs/>
          <w:lang w:val="fr-FR"/>
        </w:rPr>
        <w:t xml:space="preserve"> </w:t>
      </w:r>
      <w:r w:rsidRPr="00A10FA6">
        <w:rPr>
          <w:rFonts w:eastAsia="Malgun Gothic"/>
          <w:bCs/>
          <w:lang w:val="fr-FR"/>
        </w:rPr>
        <w:t xml:space="preserve">qui reposent sur </w:t>
      </w:r>
      <w:r w:rsidR="00AD7D1A">
        <w:rPr>
          <w:rFonts w:eastAsia="Malgun Gothic"/>
          <w:bCs/>
          <w:lang w:val="fr-FR"/>
        </w:rPr>
        <w:t>la participation</w:t>
      </w:r>
      <w:r w:rsidRPr="00A10FA6">
        <w:rPr>
          <w:rFonts w:eastAsia="Malgun Gothic"/>
          <w:bCs/>
          <w:lang w:val="fr-FR"/>
        </w:rPr>
        <w:t xml:space="preserve"> des communautés, étaient satisfaits. Cela semblait prouver qu</w:t>
      </w:r>
      <w:r w:rsidR="00923E72">
        <w:rPr>
          <w:rFonts w:eastAsia="Malgun Gothic"/>
          <w:bCs/>
          <w:lang w:val="fr-FR"/>
        </w:rPr>
        <w:t>’</w:t>
      </w:r>
      <w:r w:rsidRPr="00A10FA6">
        <w:rPr>
          <w:rFonts w:eastAsia="Malgun Gothic"/>
          <w:bCs/>
          <w:lang w:val="fr-FR"/>
        </w:rPr>
        <w:t>il existe une communauté et qu</w:t>
      </w:r>
      <w:r w:rsidR="00923E72">
        <w:rPr>
          <w:rFonts w:eastAsia="Malgun Gothic"/>
          <w:bCs/>
          <w:lang w:val="fr-FR"/>
        </w:rPr>
        <w:t>’</w:t>
      </w:r>
      <w:r w:rsidRPr="00A10FA6">
        <w:rPr>
          <w:rFonts w:eastAsia="Malgun Gothic"/>
          <w:bCs/>
          <w:lang w:val="fr-FR"/>
        </w:rPr>
        <w:t>il s</w:t>
      </w:r>
      <w:r w:rsidR="00923E72">
        <w:rPr>
          <w:rFonts w:eastAsia="Malgun Gothic"/>
          <w:bCs/>
          <w:lang w:val="fr-FR"/>
        </w:rPr>
        <w:t>’</w:t>
      </w:r>
      <w:r w:rsidRPr="00A10FA6">
        <w:rPr>
          <w:rFonts w:eastAsia="Malgun Gothic"/>
          <w:bCs/>
          <w:lang w:val="fr-FR"/>
        </w:rPr>
        <w:t>agit d</w:t>
      </w:r>
      <w:r w:rsidR="00923E72">
        <w:rPr>
          <w:rFonts w:eastAsia="Malgun Gothic"/>
          <w:bCs/>
          <w:lang w:val="fr-FR"/>
        </w:rPr>
        <w:t>’</w:t>
      </w:r>
      <w:r w:rsidRPr="00A10FA6">
        <w:rPr>
          <w:rFonts w:eastAsia="Malgun Gothic"/>
          <w:bCs/>
          <w:lang w:val="fr-FR"/>
        </w:rPr>
        <w:t xml:space="preserve">un élément du patrimoine culturel immatériel. </w:t>
      </w:r>
      <w:r w:rsidR="00303021">
        <w:rPr>
          <w:rFonts w:eastAsia="Malgun Gothic"/>
          <w:bCs/>
          <w:lang w:val="fr-FR"/>
        </w:rPr>
        <w:t>À</w:t>
      </w:r>
      <w:r w:rsidRPr="00A10FA6">
        <w:rPr>
          <w:rFonts w:eastAsia="Malgun Gothic"/>
          <w:bCs/>
          <w:lang w:val="fr-FR"/>
        </w:rPr>
        <w:t xml:space="preserve"> ce titre, la Suisse soutenait l</w:t>
      </w:r>
      <w:r w:rsidR="00923E72">
        <w:rPr>
          <w:rFonts w:eastAsia="Malgun Gothic"/>
          <w:bCs/>
          <w:lang w:val="fr-FR"/>
        </w:rPr>
        <w:t>’</w:t>
      </w:r>
      <w:r w:rsidRPr="00A10FA6">
        <w:rPr>
          <w:rFonts w:eastAsia="Malgun Gothic"/>
          <w:bCs/>
          <w:lang w:val="fr-FR"/>
        </w:rPr>
        <w:t>amendement de l</w:t>
      </w:r>
      <w:r w:rsidR="00923E72">
        <w:rPr>
          <w:rFonts w:eastAsia="Malgun Gothic"/>
          <w:bCs/>
          <w:lang w:val="fr-FR"/>
        </w:rPr>
        <w:t>’</w:t>
      </w:r>
      <w:r w:rsidRPr="00A10FA6">
        <w:rPr>
          <w:rFonts w:eastAsia="Malgun Gothic"/>
          <w:bCs/>
          <w:lang w:val="fr-FR"/>
        </w:rPr>
        <w:t xml:space="preserve">Arabie Saoudite et </w:t>
      </w:r>
      <w:r w:rsidR="00303021">
        <w:rPr>
          <w:rFonts w:eastAsia="Malgun Gothic"/>
          <w:bCs/>
          <w:lang w:val="fr-FR"/>
        </w:rPr>
        <w:t xml:space="preserve">souhaitait </w:t>
      </w:r>
      <w:r w:rsidRPr="00A10FA6">
        <w:rPr>
          <w:rFonts w:eastAsia="Malgun Gothic"/>
          <w:bCs/>
          <w:lang w:val="fr-FR"/>
        </w:rPr>
        <w:t>l</w:t>
      </w:r>
      <w:r w:rsidR="00923E72">
        <w:rPr>
          <w:rFonts w:eastAsia="Malgun Gothic"/>
          <w:bCs/>
          <w:lang w:val="fr-FR"/>
        </w:rPr>
        <w:t>’</w:t>
      </w:r>
      <w:r w:rsidRPr="00A10FA6">
        <w:rPr>
          <w:rFonts w:eastAsia="Malgun Gothic"/>
          <w:bCs/>
          <w:lang w:val="fr-FR"/>
        </w:rPr>
        <w:t>inscription de l</w:t>
      </w:r>
      <w:r w:rsidR="00923E72">
        <w:rPr>
          <w:rFonts w:eastAsia="Malgun Gothic"/>
          <w:bCs/>
          <w:lang w:val="fr-FR"/>
        </w:rPr>
        <w:t>’</w:t>
      </w:r>
      <w:r w:rsidRPr="00A10FA6">
        <w:rPr>
          <w:rFonts w:eastAsia="Malgun Gothic"/>
          <w:bCs/>
          <w:lang w:val="fr-FR"/>
        </w:rPr>
        <w:t>élément. Sur cette question fondamentale des communautés, et donc sur la question de la définition, la délégation a invité les différents membres du Comité à s</w:t>
      </w:r>
      <w:r w:rsidR="00923E72">
        <w:rPr>
          <w:rFonts w:eastAsia="Malgun Gothic"/>
          <w:bCs/>
          <w:lang w:val="fr-FR"/>
        </w:rPr>
        <w:t>’</w:t>
      </w:r>
      <w:r w:rsidRPr="00A10FA6">
        <w:rPr>
          <w:rFonts w:eastAsia="Malgun Gothic"/>
          <w:bCs/>
          <w:lang w:val="fr-FR"/>
        </w:rPr>
        <w:t>exprimer sur ce sujet, comme ils l</w:t>
      </w:r>
      <w:r w:rsidR="00923E72">
        <w:rPr>
          <w:rFonts w:eastAsia="Malgun Gothic"/>
          <w:bCs/>
          <w:lang w:val="fr-FR"/>
        </w:rPr>
        <w:t>’</w:t>
      </w:r>
      <w:r w:rsidRPr="00A10FA6">
        <w:rPr>
          <w:rFonts w:eastAsia="Malgun Gothic"/>
          <w:bCs/>
          <w:lang w:val="fr-FR"/>
        </w:rPr>
        <w:t>avaient fait sur d</w:t>
      </w:r>
      <w:r w:rsidR="00923E72">
        <w:rPr>
          <w:rFonts w:eastAsia="Malgun Gothic"/>
          <w:bCs/>
          <w:lang w:val="fr-FR"/>
        </w:rPr>
        <w:t>’</w:t>
      </w:r>
      <w:r w:rsidRPr="00A10FA6">
        <w:rPr>
          <w:rFonts w:eastAsia="Malgun Gothic"/>
          <w:bCs/>
          <w:lang w:val="fr-FR"/>
        </w:rPr>
        <w:t>autres questions, avec la même passion et le même intérêt.</w:t>
      </w:r>
    </w:p>
    <w:p w14:paraId="0B3632A1" w14:textId="216E0ADD" w:rsidR="00303021" w:rsidRDefault="007C256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C2561">
        <w:rPr>
          <w:rFonts w:eastAsia="Malgun Gothic"/>
          <w:bCs/>
          <w:lang w:val="fr-FR"/>
        </w:rPr>
        <w:t xml:space="preserve">Le </w:t>
      </w:r>
      <w:r w:rsidRPr="00702497">
        <w:rPr>
          <w:rFonts w:eastAsia="Malgun Gothic"/>
          <w:b/>
          <w:lang w:val="fr-FR"/>
        </w:rPr>
        <w:t>Sous-Directeur général pour la culture</w:t>
      </w:r>
      <w:r w:rsidRPr="007C2561">
        <w:rPr>
          <w:rFonts w:eastAsia="Malgun Gothic"/>
          <w:bCs/>
          <w:lang w:val="fr-FR"/>
        </w:rPr>
        <w:t xml:space="preserve"> a remercié le Comité pour ce débat intéressant et a précisé que la Convention de</w:t>
      </w:r>
      <w:r w:rsidR="000D19B1">
        <w:rPr>
          <w:rFonts w:eastAsia="Malgun Gothic"/>
          <w:bCs/>
          <w:lang w:val="fr-FR"/>
        </w:rPr>
        <w:t> </w:t>
      </w:r>
      <w:r w:rsidRPr="007C2561">
        <w:rPr>
          <w:rFonts w:eastAsia="Malgun Gothic"/>
          <w:bCs/>
          <w:lang w:val="fr-FR"/>
        </w:rPr>
        <w:t>2005 n</w:t>
      </w:r>
      <w:r w:rsidR="00923E72">
        <w:rPr>
          <w:rFonts w:eastAsia="Malgun Gothic"/>
          <w:bCs/>
          <w:lang w:val="fr-FR"/>
        </w:rPr>
        <w:t>’</w:t>
      </w:r>
      <w:r>
        <w:rPr>
          <w:rFonts w:eastAsia="Malgun Gothic"/>
          <w:bCs/>
          <w:lang w:val="fr-FR"/>
        </w:rPr>
        <w:t xml:space="preserve">a </w:t>
      </w:r>
      <w:r w:rsidRPr="007C2561">
        <w:rPr>
          <w:rFonts w:eastAsia="Malgun Gothic"/>
          <w:bCs/>
          <w:lang w:val="fr-FR"/>
        </w:rPr>
        <w:t>pas de mécanisme d</w:t>
      </w:r>
      <w:r w:rsidR="00923E72">
        <w:rPr>
          <w:rFonts w:eastAsia="Malgun Gothic"/>
          <w:bCs/>
          <w:lang w:val="fr-FR"/>
        </w:rPr>
        <w:t>’</w:t>
      </w:r>
      <w:r w:rsidRPr="007C2561">
        <w:rPr>
          <w:rFonts w:eastAsia="Malgun Gothic"/>
          <w:bCs/>
          <w:lang w:val="fr-FR"/>
        </w:rPr>
        <w:t>inscription, et que les trois quarts des éléments inscrits au titre du patrimoine immatériel sont liés à la diversité des expressions culturelles, voire la totalité. Dans les listes de la Convention de</w:t>
      </w:r>
      <w:r w:rsidR="006773EF">
        <w:rPr>
          <w:rFonts w:eastAsia="Malgun Gothic"/>
          <w:bCs/>
          <w:lang w:val="fr-FR"/>
        </w:rPr>
        <w:t> </w:t>
      </w:r>
      <w:r w:rsidRPr="007C2561">
        <w:rPr>
          <w:rFonts w:eastAsia="Malgun Gothic"/>
          <w:bCs/>
          <w:lang w:val="fr-FR"/>
        </w:rPr>
        <w:t>2003, parmi les 600 éléments inscrits, quatre</w:t>
      </w:r>
      <w:r w:rsidR="00860471">
        <w:rPr>
          <w:rFonts w:eastAsia="Malgun Gothic"/>
          <w:bCs/>
          <w:lang w:val="fr-FR"/>
        </w:rPr>
        <w:noBreakHyphen/>
      </w:r>
      <w:r w:rsidRPr="007C2561">
        <w:rPr>
          <w:rFonts w:eastAsia="Malgun Gothic"/>
          <w:bCs/>
          <w:lang w:val="fr-FR"/>
        </w:rPr>
        <w:t>vingts éléments étaient liés à la danse en général. L</w:t>
      </w:r>
      <w:r w:rsidR="00923E72">
        <w:rPr>
          <w:rFonts w:eastAsia="Malgun Gothic"/>
          <w:bCs/>
          <w:lang w:val="fr-FR"/>
        </w:rPr>
        <w:t>’</w:t>
      </w:r>
      <w:r w:rsidRPr="007C2561">
        <w:rPr>
          <w:rFonts w:eastAsia="Malgun Gothic"/>
          <w:bCs/>
          <w:lang w:val="fr-FR"/>
        </w:rPr>
        <w:t>expression artistique de la danse était donc présente dans près de</w:t>
      </w:r>
      <w:r w:rsidR="009A34A8">
        <w:rPr>
          <w:rFonts w:eastAsia="Malgun Gothic"/>
          <w:bCs/>
          <w:lang w:val="fr-FR"/>
        </w:rPr>
        <w:t> </w:t>
      </w:r>
      <w:r w:rsidRPr="007C2561">
        <w:rPr>
          <w:rFonts w:eastAsia="Malgun Gothic"/>
          <w:bCs/>
          <w:lang w:val="fr-FR"/>
        </w:rPr>
        <w:t>8</w:t>
      </w:r>
      <w:r>
        <w:rPr>
          <w:rFonts w:eastAsia="Malgun Gothic"/>
          <w:bCs/>
          <w:lang w:val="fr-FR"/>
        </w:rPr>
        <w:t> </w:t>
      </w:r>
      <w:r w:rsidRPr="007C2561">
        <w:rPr>
          <w:rFonts w:eastAsia="Malgun Gothic"/>
          <w:bCs/>
          <w:lang w:val="fr-FR"/>
        </w:rPr>
        <w:t>% de toutes les inscriptions d</w:t>
      </w:r>
      <w:r w:rsidR="00923E72">
        <w:rPr>
          <w:rFonts w:eastAsia="Malgun Gothic"/>
          <w:bCs/>
          <w:lang w:val="fr-FR"/>
        </w:rPr>
        <w:t>’</w:t>
      </w:r>
      <w:r w:rsidRPr="007C2561">
        <w:rPr>
          <w:rFonts w:eastAsia="Malgun Gothic"/>
          <w:bCs/>
          <w:lang w:val="fr-FR"/>
        </w:rPr>
        <w:t>éléments du patrimoine immatériel. Le fond de la discussion n</w:t>
      </w:r>
      <w:r w:rsidR="00923E72">
        <w:rPr>
          <w:rFonts w:eastAsia="Malgun Gothic"/>
          <w:bCs/>
          <w:lang w:val="fr-FR"/>
        </w:rPr>
        <w:t>’</w:t>
      </w:r>
      <w:r w:rsidRPr="007C2561">
        <w:rPr>
          <w:rFonts w:eastAsia="Malgun Gothic"/>
          <w:bCs/>
          <w:lang w:val="fr-FR"/>
        </w:rPr>
        <w:t>était donc pas au niveau des expressions artistiques, car tous les éléments inscrits contribuent au maintien de cette diversité d</w:t>
      </w:r>
      <w:r w:rsidR="00923E72">
        <w:rPr>
          <w:rFonts w:eastAsia="Malgun Gothic"/>
          <w:bCs/>
          <w:lang w:val="fr-FR"/>
        </w:rPr>
        <w:t>’</w:t>
      </w:r>
      <w:r w:rsidRPr="007C2561">
        <w:rPr>
          <w:rFonts w:eastAsia="Malgun Gothic"/>
          <w:bCs/>
          <w:lang w:val="fr-FR"/>
        </w:rPr>
        <w:t>expressions culturelles. La discussion, comme l</w:t>
      </w:r>
      <w:r w:rsidR="00923E72">
        <w:rPr>
          <w:rFonts w:eastAsia="Malgun Gothic"/>
          <w:bCs/>
          <w:lang w:val="fr-FR"/>
        </w:rPr>
        <w:t>’</w:t>
      </w:r>
      <w:r w:rsidRPr="007C2561">
        <w:rPr>
          <w:rFonts w:eastAsia="Malgun Gothic"/>
          <w:bCs/>
          <w:lang w:val="fr-FR"/>
        </w:rPr>
        <w:t>avait souligné notamment la Suisse, portrait sur l</w:t>
      </w:r>
      <w:r w:rsidR="00923E72">
        <w:rPr>
          <w:rFonts w:eastAsia="Malgun Gothic"/>
          <w:bCs/>
          <w:lang w:val="fr-FR"/>
        </w:rPr>
        <w:t>’</w:t>
      </w:r>
      <w:r w:rsidRPr="007C2561">
        <w:rPr>
          <w:rFonts w:eastAsia="Malgun Gothic"/>
          <w:bCs/>
          <w:lang w:val="fr-FR"/>
        </w:rPr>
        <w:t>analyse de l</w:t>
      </w:r>
      <w:r w:rsidR="00923E72">
        <w:rPr>
          <w:rFonts w:eastAsia="Malgun Gothic"/>
          <w:bCs/>
          <w:lang w:val="fr-FR"/>
        </w:rPr>
        <w:t>’</w:t>
      </w:r>
      <w:r w:rsidRPr="007C2561">
        <w:rPr>
          <w:rFonts w:eastAsia="Malgun Gothic"/>
          <w:bCs/>
          <w:lang w:val="fr-FR"/>
        </w:rPr>
        <w:t>Organe</w:t>
      </w:r>
      <w:r w:rsidR="00E14854">
        <w:rPr>
          <w:rFonts w:eastAsia="Malgun Gothic"/>
          <w:bCs/>
          <w:lang w:val="fr-FR"/>
        </w:rPr>
        <w:t>,</w:t>
      </w:r>
      <w:r w:rsidRPr="007C2561">
        <w:rPr>
          <w:rFonts w:eastAsia="Malgun Gothic"/>
          <w:bCs/>
          <w:lang w:val="fr-FR"/>
        </w:rPr>
        <w:t xml:space="preserve"> qui déterminait si ces éléments étaient destinés à l</w:t>
      </w:r>
      <w:r w:rsidR="00923E72">
        <w:rPr>
          <w:rFonts w:eastAsia="Malgun Gothic"/>
          <w:bCs/>
          <w:lang w:val="fr-FR"/>
        </w:rPr>
        <w:t>’</w:t>
      </w:r>
      <w:r w:rsidRPr="007C2561">
        <w:rPr>
          <w:rFonts w:eastAsia="Malgun Gothic"/>
          <w:bCs/>
          <w:lang w:val="fr-FR"/>
        </w:rPr>
        <w:t>inscription, au renvoi ou à la non</w:t>
      </w:r>
      <w:r w:rsidR="004D4983">
        <w:rPr>
          <w:rFonts w:eastAsia="Malgun Gothic"/>
          <w:bCs/>
          <w:lang w:val="fr-FR"/>
        </w:rPr>
        <w:t xml:space="preserve"> </w:t>
      </w:r>
      <w:r w:rsidRPr="007C2561">
        <w:rPr>
          <w:rFonts w:eastAsia="Malgun Gothic"/>
          <w:bCs/>
          <w:lang w:val="fr-FR"/>
        </w:rPr>
        <w:t>inscription. Il a été rappelé que, sur la base de l</w:t>
      </w:r>
      <w:r w:rsidR="00923E72">
        <w:rPr>
          <w:rFonts w:eastAsia="Malgun Gothic"/>
          <w:bCs/>
          <w:lang w:val="fr-FR"/>
        </w:rPr>
        <w:t>’</w:t>
      </w:r>
      <w:r w:rsidRPr="007C2561">
        <w:rPr>
          <w:rFonts w:eastAsia="Malgun Gothic"/>
          <w:bCs/>
          <w:lang w:val="fr-FR"/>
        </w:rPr>
        <w:t>avis partagé de l</w:t>
      </w:r>
      <w:r w:rsidR="00923E72">
        <w:rPr>
          <w:rFonts w:eastAsia="Malgun Gothic"/>
          <w:bCs/>
          <w:lang w:val="fr-FR"/>
        </w:rPr>
        <w:t>’</w:t>
      </w:r>
      <w:r w:rsidRPr="007C2561">
        <w:rPr>
          <w:rFonts w:eastAsia="Malgun Gothic"/>
          <w:bCs/>
          <w:lang w:val="fr-FR"/>
        </w:rPr>
        <w:t>Organe d</w:t>
      </w:r>
      <w:r w:rsidR="00923E72">
        <w:rPr>
          <w:rFonts w:eastAsia="Malgun Gothic"/>
          <w:bCs/>
          <w:lang w:val="fr-FR"/>
        </w:rPr>
        <w:t>’</w:t>
      </w:r>
      <w:r w:rsidRPr="007C2561">
        <w:rPr>
          <w:rFonts w:eastAsia="Malgun Gothic"/>
          <w:bCs/>
          <w:lang w:val="fr-FR"/>
        </w:rPr>
        <w:t xml:space="preserve">évaluation, deux options étaient proposées. Il </w:t>
      </w:r>
      <w:r>
        <w:rPr>
          <w:rFonts w:eastAsia="Malgun Gothic"/>
          <w:bCs/>
          <w:lang w:val="fr-FR"/>
        </w:rPr>
        <w:t xml:space="preserve">semblait </w:t>
      </w:r>
      <w:r w:rsidRPr="007C2561">
        <w:rPr>
          <w:rFonts w:eastAsia="Malgun Gothic"/>
          <w:bCs/>
          <w:lang w:val="fr-FR"/>
        </w:rPr>
        <w:t>ressort</w:t>
      </w:r>
      <w:r>
        <w:rPr>
          <w:rFonts w:eastAsia="Malgun Gothic"/>
          <w:bCs/>
          <w:lang w:val="fr-FR"/>
        </w:rPr>
        <w:t>ir</w:t>
      </w:r>
      <w:r w:rsidRPr="007C2561">
        <w:rPr>
          <w:rFonts w:eastAsia="Malgun Gothic"/>
          <w:bCs/>
          <w:lang w:val="fr-FR"/>
        </w:rPr>
        <w:t xml:space="preserve"> du débat que personne ne s</w:t>
      </w:r>
      <w:r w:rsidR="00923E72">
        <w:rPr>
          <w:rFonts w:eastAsia="Malgun Gothic"/>
          <w:bCs/>
          <w:lang w:val="fr-FR"/>
        </w:rPr>
        <w:t>’</w:t>
      </w:r>
      <w:r w:rsidRPr="007C2561">
        <w:rPr>
          <w:rFonts w:eastAsia="Malgun Gothic"/>
          <w:bCs/>
          <w:lang w:val="fr-FR"/>
        </w:rPr>
        <w:t>opposait à l</w:t>
      </w:r>
      <w:r w:rsidR="00923E72">
        <w:rPr>
          <w:rFonts w:eastAsia="Malgun Gothic"/>
          <w:bCs/>
          <w:lang w:val="fr-FR"/>
        </w:rPr>
        <w:t>’</w:t>
      </w:r>
      <w:r w:rsidRPr="007C2561">
        <w:rPr>
          <w:rFonts w:eastAsia="Malgun Gothic"/>
          <w:bCs/>
          <w:lang w:val="fr-FR"/>
        </w:rPr>
        <w:t>inclusion de la danse. M.</w:t>
      </w:r>
      <w:r>
        <w:rPr>
          <w:rFonts w:eastAsia="Malgun Gothic"/>
          <w:bCs/>
          <w:lang w:val="fr-FR"/>
        </w:rPr>
        <w:t> </w:t>
      </w:r>
      <w:r w:rsidRPr="007C2561">
        <w:rPr>
          <w:rFonts w:eastAsia="Malgun Gothic"/>
          <w:bCs/>
          <w:lang w:val="fr-FR"/>
        </w:rPr>
        <w:t xml:space="preserve">Ottone </w:t>
      </w:r>
      <w:r>
        <w:rPr>
          <w:rFonts w:eastAsia="Malgun Gothic"/>
          <w:bCs/>
          <w:lang w:val="fr-FR"/>
        </w:rPr>
        <w:t xml:space="preserve">estimait </w:t>
      </w:r>
      <w:r w:rsidRPr="007C2561">
        <w:rPr>
          <w:rFonts w:eastAsia="Malgun Gothic"/>
          <w:bCs/>
          <w:lang w:val="fr-FR"/>
        </w:rPr>
        <w:t>que le changement de nom était essentiel dans la mesure où il recentrait l</w:t>
      </w:r>
      <w:r w:rsidR="00923E72">
        <w:rPr>
          <w:rFonts w:eastAsia="Malgun Gothic"/>
          <w:bCs/>
          <w:lang w:val="fr-FR"/>
        </w:rPr>
        <w:t>’</w:t>
      </w:r>
      <w:r w:rsidRPr="007C2561">
        <w:rPr>
          <w:rFonts w:eastAsia="Malgun Gothic"/>
          <w:bCs/>
          <w:lang w:val="fr-FR"/>
        </w:rPr>
        <w:t>élément présenté. Toutefois, il importait de ne pas confondre la Convention de</w:t>
      </w:r>
      <w:r w:rsidR="006773EF">
        <w:rPr>
          <w:rFonts w:eastAsia="Malgun Gothic"/>
          <w:bCs/>
          <w:lang w:val="fr-FR"/>
        </w:rPr>
        <w:t> </w:t>
      </w:r>
      <w:r w:rsidRPr="007C2561">
        <w:rPr>
          <w:rFonts w:eastAsia="Malgun Gothic"/>
          <w:bCs/>
          <w:lang w:val="fr-FR"/>
        </w:rPr>
        <w:t>2003 et la Convention de</w:t>
      </w:r>
      <w:r w:rsidR="006773EF">
        <w:rPr>
          <w:rFonts w:eastAsia="Malgun Gothic"/>
          <w:bCs/>
          <w:lang w:val="fr-FR"/>
        </w:rPr>
        <w:t> </w:t>
      </w:r>
      <w:r w:rsidRPr="007C2561">
        <w:rPr>
          <w:rFonts w:eastAsia="Malgun Gothic"/>
          <w:bCs/>
          <w:lang w:val="fr-FR"/>
        </w:rPr>
        <w:t xml:space="preserve">2005, même si elles étaient effectivement liées. Cuba avait utilisé plus tôt le mot </w:t>
      </w:r>
      <w:r>
        <w:rPr>
          <w:rFonts w:eastAsia="Malgun Gothic"/>
          <w:bCs/>
          <w:lang w:val="fr-FR"/>
        </w:rPr>
        <w:t>« </w:t>
      </w:r>
      <w:r w:rsidRPr="007C2561">
        <w:rPr>
          <w:rFonts w:eastAsia="Malgun Gothic"/>
          <w:bCs/>
          <w:lang w:val="fr-FR"/>
        </w:rPr>
        <w:t>harmonisation</w:t>
      </w:r>
      <w:r>
        <w:rPr>
          <w:rFonts w:eastAsia="Malgun Gothic"/>
          <w:bCs/>
          <w:lang w:val="fr-FR"/>
        </w:rPr>
        <w:t> »</w:t>
      </w:r>
      <w:r w:rsidRPr="007C2561">
        <w:rPr>
          <w:rFonts w:eastAsia="Malgun Gothic"/>
          <w:bCs/>
          <w:lang w:val="fr-FR"/>
        </w:rPr>
        <w:t xml:space="preserve"> et, bien sûr, les deux conventions communiqu</w:t>
      </w:r>
      <w:r w:rsidR="00860471">
        <w:rPr>
          <w:rFonts w:eastAsia="Malgun Gothic"/>
          <w:bCs/>
          <w:lang w:val="fr-FR"/>
        </w:rPr>
        <w:t>ai</w:t>
      </w:r>
      <w:r w:rsidRPr="007C2561">
        <w:rPr>
          <w:rFonts w:eastAsia="Malgun Gothic"/>
          <w:bCs/>
          <w:lang w:val="fr-FR"/>
        </w:rPr>
        <w:t>ent entre elles. Quoi qu</w:t>
      </w:r>
      <w:r w:rsidR="00923E72">
        <w:rPr>
          <w:rFonts w:eastAsia="Malgun Gothic"/>
          <w:bCs/>
          <w:lang w:val="fr-FR"/>
        </w:rPr>
        <w:t>’</w:t>
      </w:r>
      <w:r w:rsidRPr="007C2561">
        <w:rPr>
          <w:rFonts w:eastAsia="Malgun Gothic"/>
          <w:bCs/>
          <w:lang w:val="fr-FR"/>
        </w:rPr>
        <w:t>il en soit, la discussion entre les Conventions de</w:t>
      </w:r>
      <w:r w:rsidR="000D19B1">
        <w:rPr>
          <w:rFonts w:eastAsia="Malgun Gothic"/>
          <w:bCs/>
          <w:lang w:val="fr-FR"/>
        </w:rPr>
        <w:t> </w:t>
      </w:r>
      <w:r w:rsidRPr="007C2561">
        <w:rPr>
          <w:rFonts w:eastAsia="Malgun Gothic"/>
          <w:bCs/>
          <w:lang w:val="fr-FR"/>
        </w:rPr>
        <w:t>2003 et de</w:t>
      </w:r>
      <w:r w:rsidR="000D19B1">
        <w:rPr>
          <w:rFonts w:eastAsia="Malgun Gothic"/>
          <w:bCs/>
          <w:lang w:val="fr-FR"/>
        </w:rPr>
        <w:t> </w:t>
      </w:r>
      <w:r w:rsidRPr="007C2561">
        <w:rPr>
          <w:rFonts w:eastAsia="Malgun Gothic"/>
          <w:bCs/>
          <w:lang w:val="fr-FR"/>
        </w:rPr>
        <w:t>2005 n</w:t>
      </w:r>
      <w:r w:rsidR="00923E72">
        <w:rPr>
          <w:rFonts w:eastAsia="Malgun Gothic"/>
          <w:bCs/>
          <w:lang w:val="fr-FR"/>
        </w:rPr>
        <w:t>’</w:t>
      </w:r>
      <w:r w:rsidRPr="007C2561">
        <w:rPr>
          <w:rFonts w:eastAsia="Malgun Gothic"/>
          <w:bCs/>
          <w:lang w:val="fr-FR"/>
        </w:rPr>
        <w:t>était pas nécessaire</w:t>
      </w:r>
      <w:r>
        <w:rPr>
          <w:rFonts w:eastAsia="Malgun Gothic"/>
          <w:bCs/>
          <w:lang w:val="fr-FR"/>
        </w:rPr>
        <w:t>,</w:t>
      </w:r>
      <w:r w:rsidRPr="007C2561">
        <w:rPr>
          <w:rFonts w:eastAsia="Malgun Gothic"/>
          <w:bCs/>
          <w:lang w:val="fr-FR"/>
        </w:rPr>
        <w:t xml:space="preserve"> car la notion de diversité des expressions culturelles </w:t>
      </w:r>
      <w:r w:rsidR="00860471">
        <w:rPr>
          <w:rFonts w:eastAsia="Malgun Gothic"/>
          <w:bCs/>
          <w:lang w:val="fr-FR"/>
        </w:rPr>
        <w:t>était</w:t>
      </w:r>
      <w:r w:rsidRPr="007C2561">
        <w:rPr>
          <w:rFonts w:eastAsia="Malgun Gothic"/>
          <w:bCs/>
          <w:lang w:val="fr-FR"/>
        </w:rPr>
        <w:t xml:space="preserve"> présente dans presque tous les éléments inscrits sur les </w:t>
      </w:r>
      <w:r w:rsidR="000D19B1">
        <w:rPr>
          <w:rFonts w:eastAsia="Malgun Gothic"/>
          <w:bCs/>
          <w:lang w:val="fr-FR"/>
        </w:rPr>
        <w:t>l</w:t>
      </w:r>
      <w:r w:rsidRPr="007C2561">
        <w:rPr>
          <w:rFonts w:eastAsia="Malgun Gothic"/>
          <w:bCs/>
          <w:lang w:val="fr-FR"/>
        </w:rPr>
        <w:t>istes. Il appartenait donc au Comité d</w:t>
      </w:r>
      <w:r w:rsidR="00923E72">
        <w:rPr>
          <w:rFonts w:eastAsia="Malgun Gothic"/>
          <w:bCs/>
          <w:lang w:val="fr-FR"/>
        </w:rPr>
        <w:t>’</w:t>
      </w:r>
      <w:r w:rsidRPr="007C2561">
        <w:rPr>
          <w:rFonts w:eastAsia="Malgun Gothic"/>
          <w:bCs/>
          <w:lang w:val="fr-FR"/>
        </w:rPr>
        <w:t>examiner les deux options très claires qui lui étaient présentées.</w:t>
      </w:r>
    </w:p>
    <w:p w14:paraId="2CAD6291" w14:textId="5500EBAA" w:rsidR="007C2561" w:rsidRDefault="007C256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C2561">
        <w:rPr>
          <w:rFonts w:eastAsia="Malgun Gothic"/>
          <w:bCs/>
          <w:lang w:val="fr-FR"/>
        </w:rPr>
        <w:t xml:space="preserve">Le </w:t>
      </w:r>
      <w:r w:rsidRPr="00702497">
        <w:rPr>
          <w:rFonts w:eastAsia="Malgun Gothic"/>
          <w:b/>
          <w:lang w:val="fr-FR"/>
        </w:rPr>
        <w:t>Président</w:t>
      </w:r>
      <w:r w:rsidRPr="007C2561">
        <w:rPr>
          <w:rFonts w:eastAsia="Malgun Gothic"/>
          <w:bCs/>
          <w:lang w:val="fr-FR"/>
        </w:rPr>
        <w:t xml:space="preserve"> a remercié le Sous-Directeur général pour ses éléments de réflexion, souscrivant à son interprétation selon laquelle les Conventions de</w:t>
      </w:r>
      <w:r w:rsidR="000D19B1">
        <w:rPr>
          <w:rFonts w:eastAsia="Malgun Gothic"/>
          <w:bCs/>
          <w:lang w:val="fr-FR"/>
        </w:rPr>
        <w:t> </w:t>
      </w:r>
      <w:r w:rsidRPr="007C2561">
        <w:rPr>
          <w:rFonts w:eastAsia="Malgun Gothic"/>
          <w:bCs/>
          <w:lang w:val="fr-FR"/>
        </w:rPr>
        <w:t xml:space="preserve">2003 et </w:t>
      </w:r>
      <w:r w:rsidR="000D19B1">
        <w:rPr>
          <w:rFonts w:eastAsia="Malgun Gothic"/>
          <w:bCs/>
          <w:lang w:val="fr-FR"/>
        </w:rPr>
        <w:t>de </w:t>
      </w:r>
      <w:r w:rsidRPr="007C2561">
        <w:rPr>
          <w:rFonts w:eastAsia="Malgun Gothic"/>
          <w:bCs/>
          <w:lang w:val="fr-FR"/>
        </w:rPr>
        <w:t>2005 sont inextricablement liées. Après l</w:t>
      </w:r>
      <w:r w:rsidR="00923E72">
        <w:rPr>
          <w:rFonts w:eastAsia="Malgun Gothic"/>
          <w:bCs/>
          <w:lang w:val="fr-FR"/>
        </w:rPr>
        <w:t>’</w:t>
      </w:r>
      <w:r w:rsidRPr="007C2561">
        <w:rPr>
          <w:rFonts w:eastAsia="Malgun Gothic"/>
          <w:bCs/>
          <w:lang w:val="fr-FR"/>
        </w:rPr>
        <w:t>intervention du Brésil, le Président demande</w:t>
      </w:r>
      <w:r>
        <w:rPr>
          <w:rFonts w:eastAsia="Malgun Gothic"/>
          <w:bCs/>
          <w:lang w:val="fr-FR"/>
        </w:rPr>
        <w:t>rait</w:t>
      </w:r>
      <w:r w:rsidRPr="007C2561">
        <w:rPr>
          <w:rFonts w:eastAsia="Malgun Gothic"/>
          <w:bCs/>
          <w:lang w:val="fr-FR"/>
        </w:rPr>
        <w:t xml:space="preserve"> au Comité si l</w:t>
      </w:r>
      <w:r w:rsidR="00923E72">
        <w:rPr>
          <w:rFonts w:eastAsia="Malgun Gothic"/>
          <w:bCs/>
          <w:lang w:val="fr-FR"/>
        </w:rPr>
        <w:t>’</w:t>
      </w:r>
      <w:r w:rsidRPr="007C2561">
        <w:rPr>
          <w:rFonts w:eastAsia="Malgun Gothic"/>
          <w:bCs/>
          <w:lang w:val="fr-FR"/>
        </w:rPr>
        <w:t>un de ses membres s</w:t>
      </w:r>
      <w:r w:rsidR="00923E72">
        <w:rPr>
          <w:rFonts w:eastAsia="Malgun Gothic"/>
          <w:bCs/>
          <w:lang w:val="fr-FR"/>
        </w:rPr>
        <w:t>’</w:t>
      </w:r>
      <w:r w:rsidRPr="007C2561">
        <w:rPr>
          <w:rFonts w:eastAsia="Malgun Gothic"/>
          <w:bCs/>
          <w:lang w:val="fr-FR"/>
        </w:rPr>
        <w:t>oppos</w:t>
      </w:r>
      <w:r>
        <w:rPr>
          <w:rFonts w:eastAsia="Malgun Gothic"/>
          <w:bCs/>
          <w:lang w:val="fr-FR"/>
        </w:rPr>
        <w:t>ait</w:t>
      </w:r>
      <w:r w:rsidRPr="007C2561">
        <w:rPr>
          <w:rFonts w:eastAsia="Malgun Gothic"/>
          <w:bCs/>
          <w:lang w:val="fr-FR"/>
        </w:rPr>
        <w:t xml:space="preserve"> à l</w:t>
      </w:r>
      <w:r w:rsidR="00923E72">
        <w:rPr>
          <w:rFonts w:eastAsia="Malgun Gothic"/>
          <w:bCs/>
          <w:lang w:val="fr-FR"/>
        </w:rPr>
        <w:t>’</w:t>
      </w:r>
      <w:r w:rsidRPr="007C2561">
        <w:rPr>
          <w:rFonts w:eastAsia="Malgun Gothic"/>
          <w:bCs/>
          <w:lang w:val="fr-FR"/>
        </w:rPr>
        <w:t>inscription de l</w:t>
      </w:r>
      <w:r w:rsidR="00923E72">
        <w:rPr>
          <w:rFonts w:eastAsia="Malgun Gothic"/>
          <w:bCs/>
          <w:lang w:val="fr-FR"/>
        </w:rPr>
        <w:t>’</w:t>
      </w:r>
      <w:r w:rsidRPr="007C2561">
        <w:rPr>
          <w:rFonts w:eastAsia="Malgun Gothic"/>
          <w:bCs/>
          <w:lang w:val="fr-FR"/>
        </w:rPr>
        <w:t xml:space="preserve">élément, </w:t>
      </w:r>
      <w:r>
        <w:rPr>
          <w:rFonts w:eastAsia="Malgun Gothic"/>
          <w:bCs/>
          <w:lang w:val="fr-FR"/>
        </w:rPr>
        <w:t xml:space="preserve">notant </w:t>
      </w:r>
      <w:r w:rsidRPr="007C2561">
        <w:rPr>
          <w:rFonts w:eastAsia="Malgun Gothic"/>
          <w:bCs/>
          <w:lang w:val="fr-FR"/>
        </w:rPr>
        <w:t xml:space="preserve">la tendance générale </w:t>
      </w:r>
      <w:r>
        <w:rPr>
          <w:rFonts w:eastAsia="Malgun Gothic"/>
          <w:bCs/>
          <w:lang w:val="fr-FR"/>
        </w:rPr>
        <w:t>en faveur de</w:t>
      </w:r>
      <w:r w:rsidRPr="007C2561">
        <w:rPr>
          <w:rFonts w:eastAsia="Malgun Gothic"/>
          <w:bCs/>
          <w:lang w:val="fr-FR"/>
        </w:rPr>
        <w:t xml:space="preserve"> l</w:t>
      </w:r>
      <w:r w:rsidR="00923E72">
        <w:rPr>
          <w:rFonts w:eastAsia="Malgun Gothic"/>
          <w:bCs/>
          <w:lang w:val="fr-FR"/>
        </w:rPr>
        <w:t>’</w:t>
      </w:r>
      <w:r w:rsidRPr="007C2561">
        <w:rPr>
          <w:rFonts w:eastAsia="Malgun Gothic"/>
          <w:bCs/>
          <w:lang w:val="fr-FR"/>
        </w:rPr>
        <w:t>inscription.</w:t>
      </w:r>
    </w:p>
    <w:p w14:paraId="67AE5AEE" w14:textId="456A50C4" w:rsidR="007C2561" w:rsidRDefault="00E969A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969A2">
        <w:rPr>
          <w:rFonts w:eastAsia="Malgun Gothic"/>
          <w:bCs/>
          <w:lang w:val="fr-FR"/>
        </w:rPr>
        <w:t xml:space="preserve">La délégation du </w:t>
      </w:r>
      <w:r w:rsidRPr="00702497">
        <w:rPr>
          <w:rFonts w:eastAsia="Malgun Gothic"/>
          <w:b/>
          <w:lang w:val="fr-FR"/>
        </w:rPr>
        <w:t>Brésil</w:t>
      </w:r>
      <w:r w:rsidRPr="00E969A2">
        <w:rPr>
          <w:rFonts w:eastAsia="Malgun Gothic"/>
          <w:bCs/>
          <w:lang w:val="fr-FR"/>
        </w:rPr>
        <w:t xml:space="preserve"> a remercié l</w:t>
      </w:r>
      <w:r w:rsidR="00923E72">
        <w:rPr>
          <w:rFonts w:eastAsia="Malgun Gothic"/>
          <w:bCs/>
          <w:lang w:val="fr-FR"/>
        </w:rPr>
        <w:t>’</w:t>
      </w:r>
      <w:r w:rsidRPr="00E969A2">
        <w:rPr>
          <w:rFonts w:eastAsia="Malgun Gothic"/>
          <w:bCs/>
          <w:lang w:val="fr-FR"/>
        </w:rPr>
        <w:t>Organe d</w:t>
      </w:r>
      <w:r w:rsidR="00923E72">
        <w:rPr>
          <w:rFonts w:eastAsia="Malgun Gothic"/>
          <w:bCs/>
          <w:lang w:val="fr-FR"/>
        </w:rPr>
        <w:t>’</w:t>
      </w:r>
      <w:r w:rsidRPr="00E969A2">
        <w:rPr>
          <w:rFonts w:eastAsia="Malgun Gothic"/>
          <w:bCs/>
          <w:lang w:val="fr-FR"/>
        </w:rPr>
        <w:t>évaluation pour ses commentaires. Ce dossier soulignait l</w:t>
      </w:r>
      <w:r w:rsidR="00923E72">
        <w:rPr>
          <w:rFonts w:eastAsia="Malgun Gothic"/>
          <w:bCs/>
          <w:lang w:val="fr-FR"/>
        </w:rPr>
        <w:t>’</w:t>
      </w:r>
      <w:r w:rsidRPr="00E969A2">
        <w:rPr>
          <w:rFonts w:eastAsia="Malgun Gothic"/>
          <w:bCs/>
          <w:lang w:val="fr-FR"/>
        </w:rPr>
        <w:t>importance et le respect du dialogue entre l</w:t>
      </w:r>
      <w:r w:rsidR="00923E72">
        <w:rPr>
          <w:rFonts w:eastAsia="Malgun Gothic"/>
          <w:bCs/>
          <w:lang w:val="fr-FR"/>
        </w:rPr>
        <w:t>’</w:t>
      </w:r>
      <w:r w:rsidRPr="00E969A2">
        <w:rPr>
          <w:rFonts w:eastAsia="Malgun Gothic"/>
          <w:bCs/>
          <w:lang w:val="fr-FR"/>
        </w:rPr>
        <w:t>Organe d</w:t>
      </w:r>
      <w:r w:rsidR="00923E72">
        <w:rPr>
          <w:rFonts w:eastAsia="Malgun Gothic"/>
          <w:bCs/>
          <w:lang w:val="fr-FR"/>
        </w:rPr>
        <w:t>’</w:t>
      </w:r>
      <w:r w:rsidRPr="00E969A2">
        <w:rPr>
          <w:rFonts w:eastAsia="Malgun Gothic"/>
          <w:bCs/>
          <w:lang w:val="fr-FR"/>
        </w:rPr>
        <w:t>évaluation et le Comité. Le Brésil a remercié l</w:t>
      </w:r>
      <w:r w:rsidR="00923E72">
        <w:rPr>
          <w:rFonts w:eastAsia="Malgun Gothic"/>
          <w:bCs/>
          <w:lang w:val="fr-FR"/>
        </w:rPr>
        <w:t>’</w:t>
      </w:r>
      <w:r w:rsidRPr="00E969A2">
        <w:rPr>
          <w:rFonts w:eastAsia="Malgun Gothic"/>
          <w:bCs/>
          <w:lang w:val="fr-FR"/>
        </w:rPr>
        <w:t>Allemagne d</w:t>
      </w:r>
      <w:r w:rsidR="00923E72">
        <w:rPr>
          <w:rFonts w:eastAsia="Malgun Gothic"/>
          <w:bCs/>
          <w:lang w:val="fr-FR"/>
        </w:rPr>
        <w:t>’</w:t>
      </w:r>
      <w:r w:rsidRPr="00E969A2">
        <w:rPr>
          <w:rFonts w:eastAsia="Malgun Gothic"/>
          <w:bCs/>
          <w:lang w:val="fr-FR"/>
        </w:rPr>
        <w:t xml:space="preserve">avoir présenté le dossier et </w:t>
      </w:r>
      <w:r w:rsidR="00D37ACC">
        <w:rPr>
          <w:rFonts w:eastAsia="Malgun Gothic"/>
          <w:bCs/>
          <w:lang w:val="fr-FR"/>
        </w:rPr>
        <w:t xml:space="preserve">soumis </w:t>
      </w:r>
      <w:r w:rsidRPr="00E969A2">
        <w:rPr>
          <w:rFonts w:eastAsia="Malgun Gothic"/>
          <w:bCs/>
          <w:lang w:val="fr-FR"/>
        </w:rPr>
        <w:t xml:space="preserve">au débat un sujet de réflexion très intéressant. La candidature allemande avait suscité de nombreuses discussions parmi les experts brésiliens, dans la même veine que les points </w:t>
      </w:r>
      <w:r w:rsidR="00524833">
        <w:rPr>
          <w:rFonts w:eastAsia="Malgun Gothic"/>
          <w:bCs/>
          <w:lang w:val="fr-FR"/>
        </w:rPr>
        <w:t xml:space="preserve">abordés </w:t>
      </w:r>
      <w:r w:rsidRPr="00E969A2">
        <w:rPr>
          <w:rFonts w:eastAsia="Malgun Gothic"/>
          <w:bCs/>
          <w:lang w:val="fr-FR"/>
        </w:rPr>
        <w:t>par la Tchéquie. Les experts avaient émis quelques doutes. Tout d</w:t>
      </w:r>
      <w:r w:rsidR="00923E72">
        <w:rPr>
          <w:rFonts w:eastAsia="Malgun Gothic"/>
          <w:bCs/>
          <w:lang w:val="fr-FR"/>
        </w:rPr>
        <w:t>’</w:t>
      </w:r>
      <w:r w:rsidRPr="00E969A2">
        <w:rPr>
          <w:rFonts w:eastAsia="Malgun Gothic"/>
          <w:bCs/>
          <w:lang w:val="fr-FR"/>
        </w:rPr>
        <w:t>abord, le dossier n</w:t>
      </w:r>
      <w:r w:rsidR="00923E72">
        <w:rPr>
          <w:rFonts w:eastAsia="Malgun Gothic"/>
          <w:bCs/>
          <w:lang w:val="fr-FR"/>
        </w:rPr>
        <w:t>’</w:t>
      </w:r>
      <w:r w:rsidRPr="00E969A2">
        <w:rPr>
          <w:rFonts w:eastAsia="Malgun Gothic"/>
          <w:bCs/>
          <w:lang w:val="fr-FR"/>
        </w:rPr>
        <w:t xml:space="preserve">offrait pas la visibilité nécessaire à la communauté ni une description détaillée de la manière dont la transmission de génération en génération se réalisait </w:t>
      </w:r>
      <w:r w:rsidR="00D37ACC">
        <w:rPr>
          <w:rFonts w:eastAsia="Malgun Gothic"/>
          <w:bCs/>
          <w:lang w:val="fr-FR"/>
        </w:rPr>
        <w:t>en lien avec</w:t>
      </w:r>
      <w:r w:rsidRPr="00E969A2">
        <w:rPr>
          <w:rFonts w:eastAsia="Malgun Gothic"/>
          <w:bCs/>
          <w:lang w:val="fr-FR"/>
        </w:rPr>
        <w:t xml:space="preserve"> un sentiment d</w:t>
      </w:r>
      <w:r w:rsidR="00923E72">
        <w:rPr>
          <w:rFonts w:eastAsia="Malgun Gothic"/>
          <w:bCs/>
          <w:lang w:val="fr-FR"/>
        </w:rPr>
        <w:t>’</w:t>
      </w:r>
      <w:r w:rsidRPr="00E969A2">
        <w:rPr>
          <w:rFonts w:eastAsia="Malgun Gothic"/>
          <w:bCs/>
          <w:lang w:val="fr-FR"/>
        </w:rPr>
        <w:t>appartenance collective. Selon</w:t>
      </w:r>
      <w:r w:rsidR="00D37ACC">
        <w:rPr>
          <w:rFonts w:eastAsia="Malgun Gothic"/>
          <w:bCs/>
          <w:lang w:val="fr-FR"/>
        </w:rPr>
        <w:t xml:space="preserve"> les experts brésiliens</w:t>
      </w:r>
      <w:r w:rsidRPr="00E969A2">
        <w:rPr>
          <w:rFonts w:eastAsia="Malgun Gothic"/>
          <w:bCs/>
          <w:lang w:val="fr-FR"/>
        </w:rPr>
        <w:t xml:space="preserve">, une </w:t>
      </w:r>
      <w:r w:rsidR="00D37ACC" w:rsidRPr="00D37ACC">
        <w:rPr>
          <w:rFonts w:eastAsia="Malgun Gothic"/>
          <w:bCs/>
          <w:lang w:val="fr-FR"/>
        </w:rPr>
        <w:t>représentation</w:t>
      </w:r>
      <w:r w:rsidR="00D37ACC">
        <w:rPr>
          <w:rFonts w:eastAsia="Malgun Gothic"/>
          <w:bCs/>
          <w:lang w:val="fr-FR"/>
        </w:rPr>
        <w:t xml:space="preserve"> </w:t>
      </w:r>
      <w:r w:rsidRPr="00E969A2">
        <w:rPr>
          <w:rFonts w:eastAsia="Malgun Gothic"/>
          <w:bCs/>
          <w:lang w:val="fr-FR"/>
        </w:rPr>
        <w:t>artistique n</w:t>
      </w:r>
      <w:r w:rsidR="00923E72">
        <w:rPr>
          <w:rFonts w:eastAsia="Malgun Gothic"/>
          <w:bCs/>
          <w:lang w:val="fr-FR"/>
        </w:rPr>
        <w:t>’</w:t>
      </w:r>
      <w:r w:rsidRPr="00E969A2">
        <w:rPr>
          <w:rFonts w:eastAsia="Malgun Gothic"/>
          <w:bCs/>
          <w:lang w:val="fr-FR"/>
        </w:rPr>
        <w:t xml:space="preserve">avait pas de fonction culturelle au-delà de la fonction sociale généralement liée à la </w:t>
      </w:r>
      <w:r w:rsidR="00D37ACC">
        <w:rPr>
          <w:rFonts w:eastAsia="Malgun Gothic"/>
          <w:bCs/>
          <w:lang w:val="fr-FR"/>
        </w:rPr>
        <w:t xml:space="preserve">production </w:t>
      </w:r>
      <w:r w:rsidRPr="00E969A2">
        <w:rPr>
          <w:rFonts w:eastAsia="Malgun Gothic"/>
          <w:bCs/>
          <w:lang w:val="fr-FR"/>
        </w:rPr>
        <w:t>artistique, telle que le divertissement, le développement de la personne ou l</w:t>
      </w:r>
      <w:r w:rsidR="00923E72">
        <w:rPr>
          <w:rFonts w:eastAsia="Malgun Gothic"/>
          <w:bCs/>
          <w:lang w:val="fr-FR"/>
        </w:rPr>
        <w:t>’</w:t>
      </w:r>
      <w:r w:rsidRPr="00E969A2">
        <w:rPr>
          <w:rFonts w:eastAsia="Malgun Gothic"/>
          <w:bCs/>
          <w:lang w:val="fr-FR"/>
        </w:rPr>
        <w:t>activisme politique, et ne devrait pas être classée dans le patrimoine culturel. À leur avis, il ne suffisait pas qu</w:t>
      </w:r>
      <w:r w:rsidR="00923E72">
        <w:rPr>
          <w:rFonts w:eastAsia="Malgun Gothic"/>
          <w:bCs/>
          <w:lang w:val="fr-FR"/>
        </w:rPr>
        <w:t>’</w:t>
      </w:r>
      <w:r w:rsidRPr="00E969A2">
        <w:rPr>
          <w:rFonts w:eastAsia="Malgun Gothic"/>
          <w:bCs/>
          <w:lang w:val="fr-FR"/>
        </w:rPr>
        <w:t>une activité soit pratiquée par des générations de personnes, il fallait aussi qu</w:t>
      </w:r>
      <w:r w:rsidR="00923E72">
        <w:rPr>
          <w:rFonts w:eastAsia="Malgun Gothic"/>
          <w:bCs/>
          <w:lang w:val="fr-FR"/>
        </w:rPr>
        <w:t>’</w:t>
      </w:r>
      <w:r w:rsidRPr="00E969A2">
        <w:rPr>
          <w:rFonts w:eastAsia="Malgun Gothic"/>
          <w:bCs/>
          <w:lang w:val="fr-FR"/>
        </w:rPr>
        <w:t>une telle pratique sociale, présente dans la vie quotidienne de la communauté, puisse servir d</w:t>
      </w:r>
      <w:r w:rsidR="00923E72">
        <w:rPr>
          <w:rFonts w:eastAsia="Malgun Gothic"/>
          <w:bCs/>
          <w:lang w:val="fr-FR"/>
        </w:rPr>
        <w:t>’</w:t>
      </w:r>
      <w:r w:rsidRPr="00E969A2">
        <w:rPr>
          <w:rFonts w:eastAsia="Malgun Gothic"/>
          <w:bCs/>
          <w:lang w:val="fr-FR"/>
        </w:rPr>
        <w:t>instrument de réaffirmation de l</w:t>
      </w:r>
      <w:r w:rsidR="00923E72">
        <w:rPr>
          <w:rFonts w:eastAsia="Malgun Gothic"/>
          <w:bCs/>
          <w:lang w:val="fr-FR"/>
        </w:rPr>
        <w:t>’</w:t>
      </w:r>
      <w:r w:rsidRPr="00E969A2">
        <w:rPr>
          <w:rFonts w:eastAsia="Malgun Gothic"/>
          <w:bCs/>
          <w:lang w:val="fr-FR"/>
        </w:rPr>
        <w:t>identité collective. Pour ces raisons, le patrimoine culturel brésilien était souvent associé à des festivités, des rituels ou à la transmission de traditions orales associées à des visions cosmiques collectives. La délégation était également préoccupée par la reconnaissance de mouvements associés au genre artistique en tant que tel, sans plus de détails sur leurs fonctions sociales ou culturelles. Elle comprenait qu</w:t>
      </w:r>
      <w:r w:rsidR="00923E72">
        <w:rPr>
          <w:rFonts w:eastAsia="Malgun Gothic"/>
          <w:bCs/>
          <w:lang w:val="fr-FR"/>
        </w:rPr>
        <w:t>’</w:t>
      </w:r>
      <w:r w:rsidRPr="00E969A2">
        <w:rPr>
          <w:rFonts w:eastAsia="Malgun Gothic"/>
          <w:bCs/>
          <w:lang w:val="fr-FR"/>
        </w:rPr>
        <w:t>il puisse exister une perception de l</w:t>
      </w:r>
      <w:r w:rsidR="00923E72">
        <w:rPr>
          <w:rFonts w:eastAsia="Malgun Gothic"/>
          <w:bCs/>
          <w:lang w:val="fr-FR"/>
        </w:rPr>
        <w:t>’</w:t>
      </w:r>
      <w:r w:rsidRPr="00E969A2">
        <w:rPr>
          <w:rFonts w:eastAsia="Malgun Gothic"/>
          <w:bCs/>
          <w:lang w:val="fr-FR"/>
        </w:rPr>
        <w:t>histoire et de la mémoire collectives d</w:t>
      </w:r>
      <w:r w:rsidR="00923E72">
        <w:rPr>
          <w:rFonts w:eastAsia="Malgun Gothic"/>
          <w:bCs/>
          <w:lang w:val="fr-FR"/>
        </w:rPr>
        <w:t>’</w:t>
      </w:r>
      <w:r w:rsidRPr="00E969A2">
        <w:rPr>
          <w:rFonts w:eastAsia="Malgun Gothic"/>
          <w:bCs/>
          <w:lang w:val="fr-FR"/>
        </w:rPr>
        <w:t xml:space="preserve">une communauté très </w:t>
      </w:r>
      <w:r w:rsidRPr="00E969A2">
        <w:rPr>
          <w:rFonts w:eastAsia="Malgun Gothic"/>
          <w:bCs/>
          <w:lang w:val="fr-FR"/>
        </w:rPr>
        <w:lastRenderedPageBreak/>
        <w:t>spécifique, mais cela n</w:t>
      </w:r>
      <w:r w:rsidR="00923E72">
        <w:rPr>
          <w:rFonts w:eastAsia="Malgun Gothic"/>
          <w:bCs/>
          <w:lang w:val="fr-FR"/>
        </w:rPr>
        <w:t>’</w:t>
      </w:r>
      <w:r w:rsidRPr="00E969A2">
        <w:rPr>
          <w:rFonts w:eastAsia="Malgun Gothic"/>
          <w:bCs/>
          <w:lang w:val="fr-FR"/>
        </w:rPr>
        <w:t>était pas totalement évident dans le dossier. Toutefois, l</w:t>
      </w:r>
      <w:r w:rsidR="00923E72">
        <w:rPr>
          <w:rFonts w:eastAsia="Malgun Gothic"/>
          <w:bCs/>
          <w:lang w:val="fr-FR"/>
        </w:rPr>
        <w:t>’</w:t>
      </w:r>
      <w:r w:rsidRPr="00E969A2">
        <w:rPr>
          <w:rFonts w:eastAsia="Malgun Gothic"/>
          <w:bCs/>
          <w:lang w:val="fr-FR"/>
        </w:rPr>
        <w:t>Allemagne avait clarifié certains de ses doutes, notamment en ce qui concerne les fonctions sociales et culturelles de l</w:t>
      </w:r>
      <w:r w:rsidR="00923E72">
        <w:rPr>
          <w:rFonts w:eastAsia="Malgun Gothic"/>
          <w:bCs/>
          <w:lang w:val="fr-FR"/>
        </w:rPr>
        <w:t>’</w:t>
      </w:r>
      <w:r w:rsidRPr="00E969A2">
        <w:rPr>
          <w:rFonts w:eastAsia="Malgun Gothic"/>
          <w:bCs/>
          <w:lang w:val="fr-FR"/>
        </w:rPr>
        <w:t>élément, et elle pouvait donc soutenir la candidature. Étant donné que les informations n</w:t>
      </w:r>
      <w:r w:rsidR="00923E72">
        <w:rPr>
          <w:rFonts w:eastAsia="Malgun Gothic"/>
          <w:bCs/>
          <w:lang w:val="fr-FR"/>
        </w:rPr>
        <w:t>’</w:t>
      </w:r>
      <w:r w:rsidRPr="00E969A2">
        <w:rPr>
          <w:rFonts w:eastAsia="Malgun Gothic"/>
          <w:bCs/>
          <w:lang w:val="fr-FR"/>
        </w:rPr>
        <w:t xml:space="preserve">étaient pas clairement exposées dans le dossier, la délégation a proposé un petit amendement pour clarifier ce point. </w:t>
      </w:r>
      <w:r w:rsidR="00D37ACC">
        <w:rPr>
          <w:rFonts w:eastAsia="Malgun Gothic"/>
          <w:bCs/>
          <w:lang w:val="fr-FR"/>
        </w:rPr>
        <w:t>S</w:t>
      </w:r>
      <w:r w:rsidR="00923E72">
        <w:rPr>
          <w:rFonts w:eastAsia="Malgun Gothic"/>
          <w:bCs/>
          <w:lang w:val="fr-FR"/>
        </w:rPr>
        <w:t>’</w:t>
      </w:r>
      <w:r w:rsidR="00D37ACC">
        <w:rPr>
          <w:rFonts w:eastAsia="Malgun Gothic"/>
          <w:bCs/>
          <w:lang w:val="fr-FR"/>
        </w:rPr>
        <w:t xml:space="preserve">agissant de </w:t>
      </w:r>
      <w:r w:rsidRPr="00E969A2">
        <w:rPr>
          <w:rFonts w:eastAsia="Malgun Gothic"/>
          <w:bCs/>
          <w:lang w:val="fr-FR"/>
        </w:rPr>
        <w:t>la fonction sociale, la délégation a souligné que le patrimoine culturel immatériel se réfère à des expressions que les communautés reconnaissent comme faisant partie intégrante de leur patrimoine culturel. L</w:t>
      </w:r>
      <w:r w:rsidR="00923E72">
        <w:rPr>
          <w:rFonts w:eastAsia="Malgun Gothic"/>
          <w:bCs/>
          <w:lang w:val="fr-FR"/>
        </w:rPr>
        <w:t>’</w:t>
      </w:r>
      <w:r w:rsidRPr="00E969A2">
        <w:rPr>
          <w:rFonts w:eastAsia="Malgun Gothic"/>
          <w:bCs/>
          <w:lang w:val="fr-FR"/>
        </w:rPr>
        <w:t>élément étant déjà reconnu comme patrimoine culturel immatériel en Allemagne dans ses inventaires, il restait au Comité à comprendre les caractéristiques prises en compte par la communauté dans l</w:t>
      </w:r>
      <w:r w:rsidR="00923E72">
        <w:rPr>
          <w:rFonts w:eastAsia="Malgun Gothic"/>
          <w:bCs/>
          <w:lang w:val="fr-FR"/>
        </w:rPr>
        <w:t>’</w:t>
      </w:r>
      <w:r w:rsidRPr="00E969A2">
        <w:rPr>
          <w:rFonts w:eastAsia="Malgun Gothic"/>
          <w:bCs/>
          <w:lang w:val="fr-FR"/>
        </w:rPr>
        <w:t>élaboration du dossier. Elle soutenait l</w:t>
      </w:r>
      <w:r w:rsidR="00923E72">
        <w:rPr>
          <w:rFonts w:eastAsia="Malgun Gothic"/>
          <w:bCs/>
          <w:lang w:val="fr-FR"/>
        </w:rPr>
        <w:t>’</w:t>
      </w:r>
      <w:r w:rsidRPr="00E969A2">
        <w:rPr>
          <w:rFonts w:eastAsia="Malgun Gothic"/>
          <w:bCs/>
          <w:lang w:val="fr-FR"/>
        </w:rPr>
        <w:t>option de l</w:t>
      </w:r>
      <w:r w:rsidR="00923E72">
        <w:rPr>
          <w:rFonts w:eastAsia="Malgun Gothic"/>
          <w:bCs/>
          <w:lang w:val="fr-FR"/>
        </w:rPr>
        <w:t>’</w:t>
      </w:r>
      <w:r w:rsidRPr="00E969A2">
        <w:rPr>
          <w:rFonts w:eastAsia="Malgun Gothic"/>
          <w:bCs/>
          <w:lang w:val="fr-FR"/>
        </w:rPr>
        <w:t>inscription.</w:t>
      </w:r>
    </w:p>
    <w:p w14:paraId="055A5BDE" w14:textId="1AA9362A" w:rsidR="00D37ACC" w:rsidRDefault="00D37AC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37ACC">
        <w:rPr>
          <w:rFonts w:eastAsia="Malgun Gothic"/>
          <w:bCs/>
          <w:lang w:val="fr-FR"/>
        </w:rPr>
        <w:t xml:space="preserve">La délégation du </w:t>
      </w:r>
      <w:r w:rsidRPr="00702497">
        <w:rPr>
          <w:rFonts w:eastAsia="Malgun Gothic"/>
          <w:b/>
          <w:lang w:val="fr-FR"/>
        </w:rPr>
        <w:t>Burkina</w:t>
      </w:r>
      <w:r>
        <w:rPr>
          <w:rFonts w:eastAsia="Malgun Gothic"/>
          <w:b/>
          <w:lang w:val="fr-FR"/>
        </w:rPr>
        <w:t> </w:t>
      </w:r>
      <w:r w:rsidRPr="00702497">
        <w:rPr>
          <w:rFonts w:eastAsia="Malgun Gothic"/>
          <w:b/>
          <w:lang w:val="fr-FR"/>
        </w:rPr>
        <w:t>Faso</w:t>
      </w:r>
      <w:r w:rsidRPr="00D37ACC">
        <w:rPr>
          <w:rFonts w:eastAsia="Malgun Gothic"/>
          <w:bCs/>
          <w:lang w:val="fr-FR"/>
        </w:rPr>
        <w:t xml:space="preserve"> partageait les mêmes préoccupations que celles exprimées notamment par le Brésil et la Tchéquie. Elle souhaitait disposer de plus de détails sur le caractère de la transmission </w:t>
      </w:r>
      <w:r w:rsidR="007420EA">
        <w:rPr>
          <w:rFonts w:eastAsia="Malgun Gothic"/>
          <w:bCs/>
          <w:lang w:val="fr-FR"/>
        </w:rPr>
        <w:t>inter</w:t>
      </w:r>
      <w:r w:rsidRPr="00D37ACC">
        <w:rPr>
          <w:rFonts w:eastAsia="Malgun Gothic"/>
          <w:bCs/>
          <w:lang w:val="fr-FR"/>
        </w:rPr>
        <w:t>génération</w:t>
      </w:r>
      <w:r w:rsidR="007420EA">
        <w:rPr>
          <w:rFonts w:eastAsia="Malgun Gothic"/>
          <w:bCs/>
          <w:lang w:val="fr-FR"/>
        </w:rPr>
        <w:t>nelle</w:t>
      </w:r>
      <w:r w:rsidRPr="00D37ACC">
        <w:rPr>
          <w:rFonts w:eastAsia="Malgun Gothic"/>
          <w:bCs/>
          <w:lang w:val="fr-FR"/>
        </w:rPr>
        <w:t xml:space="preserve"> ainsi que d</w:t>
      </w:r>
      <w:r w:rsidR="00923E72">
        <w:rPr>
          <w:rFonts w:eastAsia="Malgun Gothic"/>
          <w:bCs/>
          <w:lang w:val="fr-FR"/>
        </w:rPr>
        <w:t>’</w:t>
      </w:r>
      <w:r w:rsidRPr="00D37ACC">
        <w:rPr>
          <w:rFonts w:eastAsia="Malgun Gothic"/>
          <w:bCs/>
          <w:lang w:val="fr-FR"/>
        </w:rPr>
        <w:t>une explication sur la communauté spécifique qui pratique cette danse en Allemagne, à savoir dans quelle mesure elle était bien définie et dans quelle mesure elle était différente de celle de la danse moderne pratiquée ailleurs.</w:t>
      </w:r>
    </w:p>
    <w:p w14:paraId="6D4F1F6C" w14:textId="406063E1" w:rsidR="007420EA" w:rsidRDefault="007420E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420EA">
        <w:rPr>
          <w:rFonts w:eastAsia="Malgun Gothic"/>
          <w:bCs/>
          <w:lang w:val="fr-FR"/>
        </w:rPr>
        <w:t xml:space="preserve">La délégation de la </w:t>
      </w:r>
      <w:r w:rsidRPr="00702497">
        <w:rPr>
          <w:rFonts w:eastAsia="Malgun Gothic"/>
          <w:b/>
          <w:lang w:val="fr-FR"/>
        </w:rPr>
        <w:t>Slovaquie</w:t>
      </w:r>
      <w:r w:rsidRPr="007420EA">
        <w:rPr>
          <w:rFonts w:eastAsia="Malgun Gothic"/>
          <w:bCs/>
          <w:lang w:val="fr-FR"/>
        </w:rPr>
        <w:t xml:space="preserve"> avait également discuté de cet élément avec des experts du patrimoine culturel immatériel et des experts de la danse moderne, concédant qu</w:t>
      </w:r>
      <w:r w:rsidR="00923E72">
        <w:rPr>
          <w:rFonts w:eastAsia="Malgun Gothic"/>
          <w:bCs/>
          <w:lang w:val="fr-FR"/>
        </w:rPr>
        <w:t>’</w:t>
      </w:r>
      <w:r w:rsidRPr="007420EA">
        <w:rPr>
          <w:rFonts w:eastAsia="Malgun Gothic"/>
          <w:bCs/>
          <w:lang w:val="fr-FR"/>
        </w:rPr>
        <w:t>elle n</w:t>
      </w:r>
      <w:r w:rsidR="00923E72">
        <w:rPr>
          <w:rFonts w:eastAsia="Malgun Gothic"/>
          <w:bCs/>
          <w:lang w:val="fr-FR"/>
        </w:rPr>
        <w:t>’</w:t>
      </w:r>
      <w:r w:rsidRPr="007420EA">
        <w:rPr>
          <w:rFonts w:eastAsia="Malgun Gothic"/>
          <w:bCs/>
          <w:lang w:val="fr-FR"/>
        </w:rPr>
        <w:t>avait pas de réponse claire quant à savoir s</w:t>
      </w:r>
      <w:r w:rsidR="00923E72">
        <w:rPr>
          <w:rFonts w:eastAsia="Malgun Gothic"/>
          <w:bCs/>
          <w:lang w:val="fr-FR"/>
        </w:rPr>
        <w:t>’</w:t>
      </w:r>
      <w:r w:rsidRPr="007420EA">
        <w:rPr>
          <w:rFonts w:eastAsia="Malgun Gothic"/>
          <w:bCs/>
          <w:lang w:val="fr-FR"/>
        </w:rPr>
        <w:t>il s</w:t>
      </w:r>
      <w:r w:rsidR="00923E72">
        <w:rPr>
          <w:rFonts w:eastAsia="Malgun Gothic"/>
          <w:bCs/>
          <w:lang w:val="fr-FR"/>
        </w:rPr>
        <w:t>’</w:t>
      </w:r>
      <w:r w:rsidRPr="007420EA">
        <w:rPr>
          <w:rFonts w:eastAsia="Malgun Gothic"/>
          <w:bCs/>
          <w:lang w:val="fr-FR"/>
        </w:rPr>
        <w:t>agissait ou non d</w:t>
      </w:r>
      <w:r w:rsidR="00923E72">
        <w:rPr>
          <w:rFonts w:eastAsia="Malgun Gothic"/>
          <w:bCs/>
          <w:lang w:val="fr-FR"/>
        </w:rPr>
        <w:t>’</w:t>
      </w:r>
      <w:r w:rsidRPr="007420EA">
        <w:rPr>
          <w:rFonts w:eastAsia="Malgun Gothic"/>
          <w:bCs/>
          <w:lang w:val="fr-FR"/>
        </w:rPr>
        <w:t>un élément du patrimoine culturel immatériel. La question principale était de savoir s</w:t>
      </w:r>
      <w:r w:rsidR="00923E72">
        <w:rPr>
          <w:rFonts w:eastAsia="Malgun Gothic"/>
          <w:bCs/>
          <w:lang w:val="fr-FR"/>
        </w:rPr>
        <w:t>’</w:t>
      </w:r>
      <w:r w:rsidRPr="007420EA">
        <w:rPr>
          <w:rFonts w:eastAsia="Malgun Gothic"/>
          <w:bCs/>
          <w:lang w:val="fr-FR"/>
        </w:rPr>
        <w:t>il y avait une communication claire lors de la transmission de cet élément, car la danse a également une fonction symbolique avec ses propres significations pour les praticiens</w:t>
      </w:r>
      <w:r>
        <w:rPr>
          <w:rFonts w:eastAsia="Malgun Gothic"/>
          <w:bCs/>
          <w:lang w:val="fr-FR"/>
        </w:rPr>
        <w:t>,</w:t>
      </w:r>
      <w:r w:rsidRPr="007420EA">
        <w:rPr>
          <w:rFonts w:eastAsia="Malgun Gothic"/>
          <w:bCs/>
          <w:lang w:val="fr-FR"/>
        </w:rPr>
        <w:t xml:space="preserve"> qui sont compréhensibles pour une communauté concrète. Elle a demandé à l</w:t>
      </w:r>
      <w:r w:rsidR="00923E72">
        <w:rPr>
          <w:rFonts w:eastAsia="Malgun Gothic"/>
          <w:bCs/>
          <w:lang w:val="fr-FR"/>
        </w:rPr>
        <w:t>’</w:t>
      </w:r>
      <w:r w:rsidRPr="007420EA">
        <w:rPr>
          <w:rFonts w:eastAsia="Malgun Gothic"/>
          <w:bCs/>
          <w:lang w:val="fr-FR"/>
        </w:rPr>
        <w:t>Allemagne de développer cet aspect. La Slovaquie soutenait également le changement de nom et a remercié l</w:t>
      </w:r>
      <w:r w:rsidR="00923E72">
        <w:rPr>
          <w:rFonts w:eastAsia="Malgun Gothic"/>
          <w:bCs/>
          <w:lang w:val="fr-FR"/>
        </w:rPr>
        <w:t>’</w:t>
      </w:r>
      <w:r w:rsidRPr="007420EA">
        <w:rPr>
          <w:rFonts w:eastAsia="Malgun Gothic"/>
          <w:bCs/>
          <w:lang w:val="fr-FR"/>
        </w:rPr>
        <w:t>Arabie saoudite pour cette initiative. La délégation a également souligné la valeur ajoutée et la fonctionnalité de la méthodologie, l</w:t>
      </w:r>
      <w:r w:rsidR="00923E72">
        <w:rPr>
          <w:rFonts w:eastAsia="Malgun Gothic"/>
          <w:bCs/>
          <w:lang w:val="fr-FR"/>
        </w:rPr>
        <w:t>’</w:t>
      </w:r>
      <w:r w:rsidRPr="007420EA">
        <w:rPr>
          <w:rFonts w:eastAsia="Malgun Gothic"/>
          <w:bCs/>
          <w:lang w:val="fr-FR"/>
        </w:rPr>
        <w:t>un des points forts de cette candidature. En effet, elle pouvait être la garantie d</w:t>
      </w:r>
      <w:r w:rsidR="00923E72">
        <w:rPr>
          <w:rFonts w:eastAsia="Malgun Gothic"/>
          <w:bCs/>
          <w:lang w:val="fr-FR"/>
        </w:rPr>
        <w:t>’</w:t>
      </w:r>
      <w:r w:rsidRPr="007420EA">
        <w:rPr>
          <w:rFonts w:eastAsia="Malgun Gothic"/>
          <w:bCs/>
          <w:lang w:val="fr-FR"/>
        </w:rPr>
        <w:t>assurer la transmission pour les générations futures et également servir d</w:t>
      </w:r>
      <w:r w:rsidR="00923E72">
        <w:rPr>
          <w:rFonts w:eastAsia="Malgun Gothic"/>
          <w:bCs/>
          <w:lang w:val="fr-FR"/>
        </w:rPr>
        <w:t>’</w:t>
      </w:r>
      <w:r w:rsidRPr="007420EA">
        <w:rPr>
          <w:rFonts w:eastAsia="Malgun Gothic"/>
          <w:bCs/>
          <w:lang w:val="fr-FR"/>
        </w:rPr>
        <w:t>exemple de bonne pratique dans un contexte international. Le caractère inclusif et l</w:t>
      </w:r>
      <w:r w:rsidR="00923E72">
        <w:rPr>
          <w:rFonts w:eastAsia="Malgun Gothic"/>
          <w:bCs/>
          <w:lang w:val="fr-FR"/>
        </w:rPr>
        <w:t>’</w:t>
      </w:r>
      <w:r w:rsidRPr="007420EA">
        <w:rPr>
          <w:rFonts w:eastAsia="Malgun Gothic"/>
          <w:bCs/>
          <w:lang w:val="fr-FR"/>
        </w:rPr>
        <w:t>accessibilité de l</w:t>
      </w:r>
      <w:r w:rsidR="00923E72">
        <w:rPr>
          <w:rFonts w:eastAsia="Malgun Gothic"/>
          <w:bCs/>
          <w:lang w:val="fr-FR"/>
        </w:rPr>
        <w:t>’</w:t>
      </w:r>
      <w:r w:rsidRPr="007420EA">
        <w:rPr>
          <w:rFonts w:eastAsia="Malgun Gothic"/>
          <w:bCs/>
          <w:lang w:val="fr-FR"/>
        </w:rPr>
        <w:t>élément à un large éventail de praticiens, différents par l</w:t>
      </w:r>
      <w:r w:rsidR="00923E72">
        <w:rPr>
          <w:rFonts w:eastAsia="Malgun Gothic"/>
          <w:bCs/>
          <w:lang w:val="fr-FR"/>
        </w:rPr>
        <w:t>’</w:t>
      </w:r>
      <w:r w:rsidRPr="007420EA">
        <w:rPr>
          <w:rFonts w:eastAsia="Malgun Gothic"/>
          <w:bCs/>
          <w:lang w:val="fr-FR"/>
        </w:rPr>
        <w:t>âge, le genre, le groupe ethnique, la sexualité ou la compétence, indépendamment de leur niveau de qualification, étaient très appréciés.</w:t>
      </w:r>
    </w:p>
    <w:p w14:paraId="23F32041" w14:textId="6250A2B2" w:rsidR="00DE6E20" w:rsidRDefault="00DE6E2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E6E20">
        <w:rPr>
          <w:rFonts w:eastAsia="Malgun Gothic"/>
          <w:bCs/>
          <w:lang w:val="fr-FR"/>
        </w:rPr>
        <w:t>La délégation de l</w:t>
      </w:r>
      <w:r w:rsidR="00923E72">
        <w:rPr>
          <w:rFonts w:eastAsia="Malgun Gothic"/>
          <w:bCs/>
          <w:lang w:val="fr-FR"/>
        </w:rPr>
        <w:t>’</w:t>
      </w:r>
      <w:r w:rsidRPr="00702497">
        <w:rPr>
          <w:rFonts w:eastAsia="Malgun Gothic"/>
          <w:b/>
          <w:lang w:val="fr-FR"/>
        </w:rPr>
        <w:t>Éthiopie</w:t>
      </w:r>
      <w:r w:rsidRPr="00DE6E20">
        <w:rPr>
          <w:rFonts w:eastAsia="Malgun Gothic"/>
          <w:bCs/>
          <w:lang w:val="fr-FR"/>
        </w:rPr>
        <w:t xml:space="preserve"> a noté que ce dossier avait soulevé la question de savoir s</w:t>
      </w:r>
      <w:r w:rsidR="00923E72">
        <w:rPr>
          <w:rFonts w:eastAsia="Malgun Gothic"/>
          <w:bCs/>
          <w:lang w:val="fr-FR"/>
        </w:rPr>
        <w:t>’</w:t>
      </w:r>
      <w:r w:rsidRPr="00DE6E20">
        <w:rPr>
          <w:rFonts w:eastAsia="Malgun Gothic"/>
          <w:bCs/>
          <w:lang w:val="fr-FR"/>
        </w:rPr>
        <w:t>il existait ou non une communauté définie. Il serait donc bon d</w:t>
      </w:r>
      <w:r w:rsidR="00923E72">
        <w:rPr>
          <w:rFonts w:eastAsia="Malgun Gothic"/>
          <w:bCs/>
          <w:lang w:val="fr-FR"/>
        </w:rPr>
        <w:t>’</w:t>
      </w:r>
      <w:r w:rsidRPr="00DE6E20">
        <w:rPr>
          <w:rFonts w:eastAsia="Malgun Gothic"/>
          <w:bCs/>
          <w:lang w:val="fr-FR"/>
        </w:rPr>
        <w:t>adopter un sens plus large du terme communauté, en ce sens qu</w:t>
      </w:r>
      <w:r w:rsidR="00923E72">
        <w:rPr>
          <w:rFonts w:eastAsia="Malgun Gothic"/>
          <w:bCs/>
          <w:lang w:val="fr-FR"/>
        </w:rPr>
        <w:t>’</w:t>
      </w:r>
      <w:r w:rsidRPr="00DE6E20">
        <w:rPr>
          <w:rFonts w:eastAsia="Malgun Gothic"/>
          <w:bCs/>
          <w:lang w:val="fr-FR"/>
        </w:rPr>
        <w:t>il ne s</w:t>
      </w:r>
      <w:r w:rsidR="00923E72">
        <w:rPr>
          <w:rFonts w:eastAsia="Malgun Gothic"/>
          <w:bCs/>
          <w:lang w:val="fr-FR"/>
        </w:rPr>
        <w:t>’</w:t>
      </w:r>
      <w:r w:rsidRPr="00DE6E20">
        <w:rPr>
          <w:rFonts w:eastAsia="Malgun Gothic"/>
          <w:bCs/>
          <w:lang w:val="fr-FR"/>
        </w:rPr>
        <w:t>agit pas toujours ou nécessairement d</w:t>
      </w:r>
      <w:r w:rsidR="00923E72">
        <w:rPr>
          <w:rFonts w:eastAsia="Malgun Gothic"/>
          <w:bCs/>
          <w:lang w:val="fr-FR"/>
        </w:rPr>
        <w:t>’</w:t>
      </w:r>
      <w:r w:rsidRPr="00DE6E20">
        <w:rPr>
          <w:rFonts w:eastAsia="Malgun Gothic"/>
          <w:bCs/>
          <w:lang w:val="fr-FR"/>
        </w:rPr>
        <w:t>un groupe de personnes vivant au même endroit ou ayant une caractéristique particulière en commun. Il pourrait plutôt s</w:t>
      </w:r>
      <w:r w:rsidR="00923E72">
        <w:rPr>
          <w:rFonts w:eastAsia="Malgun Gothic"/>
          <w:bCs/>
          <w:lang w:val="fr-FR"/>
        </w:rPr>
        <w:t>’</w:t>
      </w:r>
      <w:r w:rsidRPr="00DE6E20">
        <w:rPr>
          <w:rFonts w:eastAsia="Malgun Gothic"/>
          <w:bCs/>
          <w:lang w:val="fr-FR"/>
        </w:rPr>
        <w:t>agir de personnes partageant certaines attitudes et pratiques, comme indiqué dans le dossier, dont la compréhension était importante pour parvenir à un consensus. La délégation a remercié l</w:t>
      </w:r>
      <w:r w:rsidR="00923E72">
        <w:rPr>
          <w:rFonts w:eastAsia="Malgun Gothic"/>
          <w:bCs/>
          <w:lang w:val="fr-FR"/>
        </w:rPr>
        <w:t>’</w:t>
      </w:r>
      <w:r w:rsidRPr="00DE6E20">
        <w:rPr>
          <w:rFonts w:eastAsia="Malgun Gothic"/>
          <w:bCs/>
          <w:lang w:val="fr-FR"/>
        </w:rPr>
        <w:t>Arabie saoudite d</w:t>
      </w:r>
      <w:r w:rsidR="00923E72">
        <w:rPr>
          <w:rFonts w:eastAsia="Malgun Gothic"/>
          <w:bCs/>
          <w:lang w:val="fr-FR"/>
        </w:rPr>
        <w:t>’</w:t>
      </w:r>
      <w:r w:rsidRPr="00DE6E20">
        <w:rPr>
          <w:rFonts w:eastAsia="Malgun Gothic"/>
          <w:bCs/>
          <w:lang w:val="fr-FR"/>
        </w:rPr>
        <w:t>avoir présenté l</w:t>
      </w:r>
      <w:r w:rsidR="00923E72">
        <w:rPr>
          <w:rFonts w:eastAsia="Malgun Gothic"/>
          <w:bCs/>
          <w:lang w:val="fr-FR"/>
        </w:rPr>
        <w:t>’</w:t>
      </w:r>
      <w:r w:rsidRPr="00DE6E20">
        <w:rPr>
          <w:rFonts w:eastAsia="Malgun Gothic"/>
          <w:bCs/>
          <w:lang w:val="fr-FR"/>
        </w:rPr>
        <w:t>amendement, et l</w:t>
      </w:r>
      <w:r w:rsidR="00923E72">
        <w:rPr>
          <w:rFonts w:eastAsia="Malgun Gothic"/>
          <w:bCs/>
          <w:lang w:val="fr-FR"/>
        </w:rPr>
        <w:t>’</w:t>
      </w:r>
      <w:r w:rsidRPr="00DE6E20">
        <w:rPr>
          <w:rFonts w:eastAsia="Malgun Gothic"/>
          <w:bCs/>
          <w:lang w:val="fr-FR"/>
        </w:rPr>
        <w:t>Allemagne pour les explications concernant la communauté, qui suffisaient à l</w:t>
      </w:r>
      <w:r w:rsidR="00923E72">
        <w:rPr>
          <w:rFonts w:eastAsia="Malgun Gothic"/>
          <w:bCs/>
          <w:lang w:val="fr-FR"/>
        </w:rPr>
        <w:t>’</w:t>
      </w:r>
      <w:r w:rsidRPr="00DE6E20">
        <w:rPr>
          <w:rFonts w:eastAsia="Malgun Gothic"/>
          <w:bCs/>
          <w:lang w:val="fr-FR"/>
        </w:rPr>
        <w:t>Éthiopie pour soutenir l</w:t>
      </w:r>
      <w:r w:rsidR="00923E72">
        <w:rPr>
          <w:rFonts w:eastAsia="Malgun Gothic"/>
          <w:bCs/>
          <w:lang w:val="fr-FR"/>
        </w:rPr>
        <w:t>’</w:t>
      </w:r>
      <w:r w:rsidRPr="00DE6E20">
        <w:rPr>
          <w:rFonts w:eastAsia="Malgun Gothic"/>
          <w:bCs/>
          <w:lang w:val="fr-FR"/>
        </w:rPr>
        <w:t>inscription.</w:t>
      </w:r>
    </w:p>
    <w:p w14:paraId="5103ECD7" w14:textId="3DD0229F" w:rsidR="00DE6E20" w:rsidRDefault="00DE6E2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E6E20">
        <w:rPr>
          <w:rFonts w:eastAsia="Malgun Gothic"/>
          <w:bCs/>
          <w:lang w:val="fr-FR"/>
        </w:rPr>
        <w:t xml:space="preserve">La </w:t>
      </w:r>
      <w:r w:rsidRPr="006E3034">
        <w:rPr>
          <w:rFonts w:eastAsia="Malgun Gothic"/>
          <w:bCs/>
          <w:lang w:val="fr-FR"/>
        </w:rPr>
        <w:t>délégation du</w:t>
      </w:r>
      <w:r w:rsidRPr="00702497">
        <w:rPr>
          <w:rFonts w:eastAsia="Malgun Gothic"/>
          <w:b/>
          <w:lang w:val="fr-FR"/>
        </w:rPr>
        <w:t xml:space="preserve"> Panama</w:t>
      </w:r>
      <w:r w:rsidRPr="00DE6E20">
        <w:rPr>
          <w:rFonts w:eastAsia="Malgun Gothic"/>
          <w:bCs/>
          <w:lang w:val="fr-FR"/>
        </w:rPr>
        <w:t xml:space="preserve"> souhaitait interroger l</w:t>
      </w:r>
      <w:r w:rsidR="00923E72">
        <w:rPr>
          <w:rFonts w:eastAsia="Malgun Gothic"/>
          <w:bCs/>
          <w:lang w:val="fr-FR"/>
        </w:rPr>
        <w:t>’</w:t>
      </w:r>
      <w:r w:rsidRPr="00DE6E20">
        <w:rPr>
          <w:rFonts w:eastAsia="Malgun Gothic"/>
          <w:bCs/>
          <w:lang w:val="fr-FR"/>
        </w:rPr>
        <w:t>Organe d</w:t>
      </w:r>
      <w:r w:rsidR="00923E72">
        <w:rPr>
          <w:rFonts w:eastAsia="Malgun Gothic"/>
          <w:bCs/>
          <w:lang w:val="fr-FR"/>
        </w:rPr>
        <w:t>’</w:t>
      </w:r>
      <w:r w:rsidRPr="00DE6E20">
        <w:rPr>
          <w:rFonts w:eastAsia="Malgun Gothic"/>
          <w:bCs/>
          <w:lang w:val="fr-FR"/>
        </w:rPr>
        <w:t>évaluation sur les communautés, ajoutant qu</w:t>
      </w:r>
      <w:r w:rsidR="00923E72">
        <w:rPr>
          <w:rFonts w:eastAsia="Malgun Gothic"/>
          <w:bCs/>
          <w:lang w:val="fr-FR"/>
        </w:rPr>
        <w:t>’</w:t>
      </w:r>
      <w:r w:rsidRPr="00DE6E20">
        <w:rPr>
          <w:rFonts w:eastAsia="Malgun Gothic"/>
          <w:bCs/>
          <w:lang w:val="fr-FR"/>
        </w:rPr>
        <w:t>il ne s</w:t>
      </w:r>
      <w:r w:rsidR="00923E72">
        <w:rPr>
          <w:rFonts w:eastAsia="Malgun Gothic"/>
          <w:bCs/>
          <w:lang w:val="fr-FR"/>
        </w:rPr>
        <w:t>’</w:t>
      </w:r>
      <w:r w:rsidRPr="00DE6E20">
        <w:rPr>
          <w:rFonts w:eastAsia="Malgun Gothic"/>
          <w:bCs/>
          <w:lang w:val="fr-FR"/>
        </w:rPr>
        <w:t>agissait pas seulement de ce que contenait le dossier</w:t>
      </w:r>
      <w:r w:rsidR="00AB3881">
        <w:rPr>
          <w:rFonts w:eastAsia="Malgun Gothic"/>
          <w:bCs/>
          <w:lang w:val="fr-FR"/>
        </w:rPr>
        <w:t>,</w:t>
      </w:r>
      <w:r w:rsidRPr="00DE6E20">
        <w:rPr>
          <w:rFonts w:eastAsia="Malgun Gothic"/>
          <w:bCs/>
          <w:lang w:val="fr-FR"/>
        </w:rPr>
        <w:t xml:space="preserve"> mais plutôt des doutes exprimés quant à savoir si cet élément pouvait être considéré comme patrimoine culturel immatériel. Un certain nombre de membres de l</w:t>
      </w:r>
      <w:r w:rsidR="00923E72">
        <w:rPr>
          <w:rFonts w:eastAsia="Malgun Gothic"/>
          <w:bCs/>
          <w:lang w:val="fr-FR"/>
        </w:rPr>
        <w:t>’</w:t>
      </w:r>
      <w:r w:rsidRPr="00DE6E20">
        <w:rPr>
          <w:rFonts w:eastAsia="Malgun Gothic"/>
          <w:bCs/>
          <w:lang w:val="fr-FR"/>
        </w:rPr>
        <w:t>Organe d</w:t>
      </w:r>
      <w:r w:rsidR="00923E72">
        <w:rPr>
          <w:rFonts w:eastAsia="Malgun Gothic"/>
          <w:bCs/>
          <w:lang w:val="fr-FR"/>
        </w:rPr>
        <w:t>’</w:t>
      </w:r>
      <w:r w:rsidRPr="00DE6E20">
        <w:rPr>
          <w:rFonts w:eastAsia="Malgun Gothic"/>
          <w:bCs/>
          <w:lang w:val="fr-FR"/>
        </w:rPr>
        <w:t>évaluation s</w:t>
      </w:r>
      <w:r w:rsidR="00923E72">
        <w:rPr>
          <w:rFonts w:eastAsia="Malgun Gothic"/>
          <w:bCs/>
          <w:lang w:val="fr-FR"/>
        </w:rPr>
        <w:t>’</w:t>
      </w:r>
      <w:r w:rsidRPr="00DE6E20">
        <w:rPr>
          <w:rFonts w:eastAsia="Malgun Gothic"/>
          <w:bCs/>
          <w:lang w:val="fr-FR"/>
        </w:rPr>
        <w:t>étaient prononcés contre l</w:t>
      </w:r>
      <w:r w:rsidR="00923E72">
        <w:rPr>
          <w:rFonts w:eastAsia="Malgun Gothic"/>
          <w:bCs/>
          <w:lang w:val="fr-FR"/>
        </w:rPr>
        <w:t>’</w:t>
      </w:r>
      <w:r w:rsidRPr="00DE6E20">
        <w:rPr>
          <w:rFonts w:eastAsia="Malgun Gothic"/>
          <w:bCs/>
          <w:lang w:val="fr-FR"/>
        </w:rPr>
        <w:t>inscription, et la délégation s</w:t>
      </w:r>
      <w:r w:rsidR="00923E72">
        <w:rPr>
          <w:rFonts w:eastAsia="Malgun Gothic"/>
          <w:bCs/>
          <w:lang w:val="fr-FR"/>
        </w:rPr>
        <w:t>’</w:t>
      </w:r>
      <w:r w:rsidRPr="00DE6E20">
        <w:rPr>
          <w:rFonts w:eastAsia="Malgun Gothic"/>
          <w:bCs/>
          <w:lang w:val="fr-FR"/>
        </w:rPr>
        <w:t xml:space="preserve">interrogeait sur les raisons </w:t>
      </w:r>
      <w:r w:rsidR="00C43EA2">
        <w:rPr>
          <w:rFonts w:eastAsia="Malgun Gothic"/>
          <w:bCs/>
          <w:lang w:val="fr-FR"/>
        </w:rPr>
        <w:t>justifiant</w:t>
      </w:r>
      <w:r w:rsidRPr="00DE6E20">
        <w:rPr>
          <w:rFonts w:eastAsia="Malgun Gothic"/>
          <w:bCs/>
          <w:lang w:val="fr-FR"/>
        </w:rPr>
        <w:t xml:space="preserve"> cette position. Cela aiderait à comprendre d</w:t>
      </w:r>
      <w:r w:rsidR="00923E72">
        <w:rPr>
          <w:rFonts w:eastAsia="Malgun Gothic"/>
          <w:bCs/>
          <w:lang w:val="fr-FR"/>
        </w:rPr>
        <w:t>’</w:t>
      </w:r>
      <w:r w:rsidRPr="00DE6E20">
        <w:rPr>
          <w:rFonts w:eastAsia="Malgun Gothic"/>
          <w:bCs/>
          <w:lang w:val="fr-FR"/>
        </w:rPr>
        <w:t>autres cas dans lesquels les États pourraient proposer la candidature d</w:t>
      </w:r>
      <w:r w:rsidR="00923E72">
        <w:rPr>
          <w:rFonts w:eastAsia="Malgun Gothic"/>
          <w:bCs/>
          <w:lang w:val="fr-FR"/>
        </w:rPr>
        <w:t>’</w:t>
      </w:r>
      <w:r w:rsidRPr="00DE6E20">
        <w:rPr>
          <w:rFonts w:eastAsia="Malgun Gothic"/>
          <w:bCs/>
          <w:lang w:val="fr-FR"/>
        </w:rPr>
        <w:t>un tel dossier, étant donné qu</w:t>
      </w:r>
      <w:r w:rsidR="00923E72">
        <w:rPr>
          <w:rFonts w:eastAsia="Malgun Gothic"/>
          <w:bCs/>
          <w:lang w:val="fr-FR"/>
        </w:rPr>
        <w:t>’</w:t>
      </w:r>
      <w:r w:rsidRPr="00DE6E20">
        <w:rPr>
          <w:rFonts w:eastAsia="Malgun Gothic"/>
          <w:bCs/>
          <w:lang w:val="fr-FR"/>
        </w:rPr>
        <w:t>il existe des groupes et des communautés de danseurs modernes qui pratiquent cette expression artistique. La délégation n</w:t>
      </w:r>
      <w:r w:rsidR="00923E72">
        <w:rPr>
          <w:rFonts w:eastAsia="Malgun Gothic"/>
          <w:bCs/>
          <w:lang w:val="fr-FR"/>
        </w:rPr>
        <w:t>’</w:t>
      </w:r>
      <w:r w:rsidRPr="00DE6E20">
        <w:rPr>
          <w:rFonts w:eastAsia="Malgun Gothic"/>
          <w:bCs/>
          <w:lang w:val="fr-FR"/>
        </w:rPr>
        <w:t>avait jamais considéré la danse moderne comme un patrimoine culturel immatériel en soi, car elle considérait qu</w:t>
      </w:r>
      <w:r w:rsidR="00923E72">
        <w:rPr>
          <w:rFonts w:eastAsia="Malgun Gothic"/>
          <w:bCs/>
          <w:lang w:val="fr-FR"/>
        </w:rPr>
        <w:t>’</w:t>
      </w:r>
      <w:r w:rsidRPr="00DE6E20">
        <w:rPr>
          <w:rFonts w:eastAsia="Malgun Gothic"/>
          <w:bCs/>
          <w:lang w:val="fr-FR"/>
        </w:rPr>
        <w:t>il s</w:t>
      </w:r>
      <w:r w:rsidR="00923E72">
        <w:rPr>
          <w:rFonts w:eastAsia="Malgun Gothic"/>
          <w:bCs/>
          <w:lang w:val="fr-FR"/>
        </w:rPr>
        <w:t>’</w:t>
      </w:r>
      <w:r w:rsidRPr="00DE6E20">
        <w:rPr>
          <w:rFonts w:eastAsia="Malgun Gothic"/>
          <w:bCs/>
          <w:lang w:val="fr-FR"/>
        </w:rPr>
        <w:t>agissait d</w:t>
      </w:r>
      <w:r w:rsidR="00923E72">
        <w:rPr>
          <w:rFonts w:eastAsia="Malgun Gothic"/>
          <w:bCs/>
          <w:lang w:val="fr-FR"/>
        </w:rPr>
        <w:t>’</w:t>
      </w:r>
      <w:r w:rsidRPr="00DE6E20">
        <w:rPr>
          <w:rFonts w:eastAsia="Malgun Gothic"/>
          <w:bCs/>
          <w:lang w:val="fr-FR"/>
        </w:rPr>
        <w:t>une motivation individuelle. Elle souhaitait entendre l</w:t>
      </w:r>
      <w:r w:rsidR="00923E72">
        <w:rPr>
          <w:rFonts w:eastAsia="Malgun Gothic"/>
          <w:bCs/>
          <w:lang w:val="fr-FR"/>
        </w:rPr>
        <w:t>’</w:t>
      </w:r>
      <w:r w:rsidRPr="00DE6E20">
        <w:rPr>
          <w:rFonts w:eastAsia="Malgun Gothic"/>
          <w:bCs/>
          <w:lang w:val="fr-FR"/>
        </w:rPr>
        <w:t>Organe d</w:t>
      </w:r>
      <w:r w:rsidR="00923E72">
        <w:rPr>
          <w:rFonts w:eastAsia="Malgun Gothic"/>
          <w:bCs/>
          <w:lang w:val="fr-FR"/>
        </w:rPr>
        <w:t>’</w:t>
      </w:r>
      <w:r w:rsidRPr="00DE6E20">
        <w:rPr>
          <w:rFonts w:eastAsia="Malgun Gothic"/>
          <w:bCs/>
          <w:lang w:val="fr-FR"/>
        </w:rPr>
        <w:t>évaluation à ce sujet avant de prendre une décision</w:t>
      </w:r>
      <w:r w:rsidR="00C43EA2">
        <w:rPr>
          <w:rFonts w:eastAsia="Malgun Gothic"/>
          <w:bCs/>
          <w:lang w:val="fr-FR"/>
        </w:rPr>
        <w:t>.</w:t>
      </w:r>
    </w:p>
    <w:p w14:paraId="54F89B9C" w14:textId="041FBD3F" w:rsidR="00C43EA2" w:rsidRDefault="00C43EA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43EA2">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C43EA2">
        <w:rPr>
          <w:rFonts w:eastAsia="Malgun Gothic"/>
          <w:bCs/>
          <w:lang w:val="fr-FR"/>
        </w:rPr>
        <w:t xml:space="preserve"> a remercié le Panama de lui donner l</w:t>
      </w:r>
      <w:r w:rsidR="00923E72">
        <w:rPr>
          <w:rFonts w:eastAsia="Malgun Gothic"/>
          <w:bCs/>
          <w:lang w:val="fr-FR"/>
        </w:rPr>
        <w:t>’</w:t>
      </w:r>
      <w:r w:rsidRPr="00C43EA2">
        <w:rPr>
          <w:rFonts w:eastAsia="Malgun Gothic"/>
          <w:bCs/>
          <w:lang w:val="fr-FR"/>
        </w:rPr>
        <w:t>occasion de clarifier la position de l</w:t>
      </w:r>
      <w:r w:rsidR="00923E72">
        <w:rPr>
          <w:rFonts w:eastAsia="Malgun Gothic"/>
          <w:bCs/>
          <w:lang w:val="fr-FR"/>
        </w:rPr>
        <w:t>’</w:t>
      </w:r>
      <w:r w:rsidRPr="00C43EA2">
        <w:rPr>
          <w:rFonts w:eastAsia="Malgun Gothic"/>
          <w:bCs/>
          <w:lang w:val="fr-FR"/>
        </w:rPr>
        <w:t>Organe. Il a été rappelé que la moitié des membres de l</w:t>
      </w:r>
      <w:r w:rsidR="00923E72">
        <w:rPr>
          <w:rFonts w:eastAsia="Malgun Gothic"/>
          <w:bCs/>
          <w:lang w:val="fr-FR"/>
        </w:rPr>
        <w:t>’</w:t>
      </w:r>
      <w:r w:rsidRPr="00C43EA2">
        <w:rPr>
          <w:rFonts w:eastAsia="Malgun Gothic"/>
          <w:bCs/>
          <w:lang w:val="fr-FR"/>
        </w:rPr>
        <w:t>Organe d</w:t>
      </w:r>
      <w:r w:rsidR="00923E72">
        <w:rPr>
          <w:rFonts w:eastAsia="Malgun Gothic"/>
          <w:bCs/>
          <w:lang w:val="fr-FR"/>
        </w:rPr>
        <w:t>’</w:t>
      </w:r>
      <w:r w:rsidRPr="00C43EA2">
        <w:rPr>
          <w:rFonts w:eastAsia="Malgun Gothic"/>
          <w:bCs/>
          <w:lang w:val="fr-FR"/>
        </w:rPr>
        <w:t>évaluation avai</w:t>
      </w:r>
      <w:r w:rsidR="00DF55B8">
        <w:rPr>
          <w:rFonts w:eastAsia="Malgun Gothic"/>
          <w:bCs/>
          <w:lang w:val="fr-FR"/>
        </w:rPr>
        <w:t>t</w:t>
      </w:r>
      <w:r w:rsidRPr="00C43EA2">
        <w:rPr>
          <w:rFonts w:eastAsia="Malgun Gothic"/>
          <w:bCs/>
          <w:lang w:val="fr-FR"/>
        </w:rPr>
        <w:t xml:space="preserve"> estimé que les critères n</w:t>
      </w:r>
      <w:r w:rsidR="00923E72">
        <w:rPr>
          <w:rFonts w:eastAsia="Malgun Gothic"/>
          <w:bCs/>
          <w:lang w:val="fr-FR"/>
        </w:rPr>
        <w:t>’</w:t>
      </w:r>
      <w:r w:rsidRPr="00C43EA2">
        <w:rPr>
          <w:rFonts w:eastAsia="Malgun Gothic"/>
          <w:bCs/>
          <w:lang w:val="fr-FR"/>
        </w:rPr>
        <w:t>étaient pas satisfaits. La motivation était expliquée dans le projet de décision. L</w:t>
      </w:r>
      <w:r w:rsidR="00923E72">
        <w:rPr>
          <w:rFonts w:eastAsia="Malgun Gothic"/>
          <w:bCs/>
          <w:lang w:val="fr-FR"/>
        </w:rPr>
        <w:t>’</w:t>
      </w:r>
      <w:r w:rsidRPr="00C43EA2">
        <w:rPr>
          <w:rFonts w:eastAsia="Malgun Gothic"/>
          <w:bCs/>
          <w:lang w:val="fr-FR"/>
        </w:rPr>
        <w:t>Organe d</w:t>
      </w:r>
      <w:r w:rsidR="00923E72">
        <w:rPr>
          <w:rFonts w:eastAsia="Malgun Gothic"/>
          <w:bCs/>
          <w:lang w:val="fr-FR"/>
        </w:rPr>
        <w:t>’</w:t>
      </w:r>
      <w:r w:rsidRPr="00C43EA2">
        <w:rPr>
          <w:rFonts w:eastAsia="Malgun Gothic"/>
          <w:bCs/>
          <w:lang w:val="fr-FR"/>
        </w:rPr>
        <w:t xml:space="preserve">évaluation avait été créé et était élu par le Comité, </w:t>
      </w:r>
      <w:r w:rsidR="00DF55B8">
        <w:rPr>
          <w:rFonts w:eastAsia="Malgun Gothic"/>
          <w:bCs/>
          <w:lang w:val="fr-FR"/>
        </w:rPr>
        <w:t xml:space="preserve">et </w:t>
      </w:r>
      <w:r w:rsidRPr="00C43EA2">
        <w:rPr>
          <w:rFonts w:eastAsia="Malgun Gothic"/>
          <w:bCs/>
          <w:lang w:val="fr-FR"/>
        </w:rPr>
        <w:lastRenderedPageBreak/>
        <w:t>six membres représent</w:t>
      </w:r>
      <w:r w:rsidR="002C47A0">
        <w:rPr>
          <w:rFonts w:eastAsia="Malgun Gothic"/>
          <w:bCs/>
          <w:lang w:val="fr-FR"/>
        </w:rPr>
        <w:t>ai</w:t>
      </w:r>
      <w:r w:rsidRPr="00C43EA2">
        <w:rPr>
          <w:rFonts w:eastAsia="Malgun Gothic"/>
          <w:bCs/>
          <w:lang w:val="fr-FR"/>
        </w:rPr>
        <w:t xml:space="preserve">ent les États parties et six autres membres des </w:t>
      </w:r>
      <w:r w:rsidR="00EE012D">
        <w:rPr>
          <w:rFonts w:eastAsia="Malgun Gothic"/>
          <w:bCs/>
          <w:lang w:val="fr-FR"/>
        </w:rPr>
        <w:t>organisations non gouvernementales</w:t>
      </w:r>
      <w:r w:rsidRPr="00C43EA2">
        <w:rPr>
          <w:rFonts w:eastAsia="Malgun Gothic"/>
          <w:bCs/>
          <w:lang w:val="fr-FR"/>
        </w:rPr>
        <w:t>. D</w:t>
      </w:r>
      <w:r w:rsidR="00923E72">
        <w:rPr>
          <w:rFonts w:eastAsia="Malgun Gothic"/>
          <w:bCs/>
          <w:lang w:val="fr-FR"/>
        </w:rPr>
        <w:t>’</w:t>
      </w:r>
      <w:r w:rsidRPr="00C43EA2">
        <w:rPr>
          <w:rFonts w:eastAsia="Malgun Gothic"/>
          <w:bCs/>
          <w:lang w:val="fr-FR"/>
        </w:rPr>
        <w:t>une manière générale, l</w:t>
      </w:r>
      <w:r w:rsidR="00923E72">
        <w:rPr>
          <w:rFonts w:eastAsia="Malgun Gothic"/>
          <w:bCs/>
          <w:lang w:val="fr-FR"/>
        </w:rPr>
        <w:t>’</w:t>
      </w:r>
      <w:r w:rsidRPr="00C43EA2">
        <w:rPr>
          <w:rFonts w:eastAsia="Malgun Gothic"/>
          <w:bCs/>
          <w:lang w:val="fr-FR"/>
        </w:rPr>
        <w:t>Organe d</w:t>
      </w:r>
      <w:r w:rsidR="00923E72">
        <w:rPr>
          <w:rFonts w:eastAsia="Malgun Gothic"/>
          <w:bCs/>
          <w:lang w:val="fr-FR"/>
        </w:rPr>
        <w:t>’</w:t>
      </w:r>
      <w:r w:rsidRPr="00C43EA2">
        <w:rPr>
          <w:rFonts w:eastAsia="Malgun Gothic"/>
          <w:bCs/>
          <w:lang w:val="fr-FR"/>
        </w:rPr>
        <w:t>évaluation n</w:t>
      </w:r>
      <w:r w:rsidR="00923E72">
        <w:rPr>
          <w:rFonts w:eastAsia="Malgun Gothic"/>
          <w:bCs/>
          <w:lang w:val="fr-FR"/>
        </w:rPr>
        <w:t>’</w:t>
      </w:r>
      <w:r w:rsidRPr="00C43EA2">
        <w:rPr>
          <w:rFonts w:eastAsia="Malgun Gothic"/>
          <w:bCs/>
          <w:lang w:val="fr-FR"/>
        </w:rPr>
        <w:t>avait pas le pouvoir de vérifier ou de déterminer si un élément de la candidature relève ou non du patrimoine culturel immatériel. En théorie, l</w:t>
      </w:r>
      <w:r w:rsidR="00923E72">
        <w:rPr>
          <w:rFonts w:eastAsia="Malgun Gothic"/>
          <w:bCs/>
          <w:lang w:val="fr-FR"/>
        </w:rPr>
        <w:t>’</w:t>
      </w:r>
      <w:r w:rsidRPr="00C43EA2">
        <w:rPr>
          <w:rFonts w:eastAsia="Malgun Gothic"/>
          <w:bCs/>
          <w:lang w:val="fr-FR"/>
        </w:rPr>
        <w:t xml:space="preserve">Organe aimerait recommander </w:t>
      </w:r>
      <w:r w:rsidR="006907B2">
        <w:rPr>
          <w:rFonts w:eastAsia="Malgun Gothic"/>
          <w:bCs/>
          <w:lang w:val="fr-FR"/>
        </w:rPr>
        <w:t>l</w:t>
      </w:r>
      <w:r w:rsidR="00923E72">
        <w:rPr>
          <w:rFonts w:eastAsia="Malgun Gothic"/>
          <w:bCs/>
          <w:lang w:val="fr-FR"/>
        </w:rPr>
        <w:t>’</w:t>
      </w:r>
      <w:r w:rsidR="006907B2" w:rsidRPr="006907B2">
        <w:rPr>
          <w:rFonts w:eastAsia="Malgun Gothic"/>
          <w:bCs/>
          <w:lang w:val="fr-FR"/>
        </w:rPr>
        <w:t>inscription</w:t>
      </w:r>
      <w:r w:rsidR="006907B2">
        <w:rPr>
          <w:rFonts w:eastAsia="Malgun Gothic"/>
          <w:bCs/>
          <w:lang w:val="fr-FR"/>
        </w:rPr>
        <w:t xml:space="preserve"> de </w:t>
      </w:r>
      <w:r w:rsidRPr="00C43EA2">
        <w:rPr>
          <w:rFonts w:eastAsia="Malgun Gothic"/>
          <w:bCs/>
          <w:lang w:val="fr-FR"/>
        </w:rPr>
        <w:t>tous les dossiers, mais il avait pour mission d</w:t>
      </w:r>
      <w:r w:rsidR="00923E72">
        <w:rPr>
          <w:rFonts w:eastAsia="Malgun Gothic"/>
          <w:bCs/>
          <w:lang w:val="fr-FR"/>
        </w:rPr>
        <w:t>’</w:t>
      </w:r>
      <w:r w:rsidRPr="00C43EA2">
        <w:rPr>
          <w:rFonts w:eastAsia="Malgun Gothic"/>
          <w:bCs/>
          <w:lang w:val="fr-FR"/>
        </w:rPr>
        <w:t>évaluer les dossiers, ce qui est son devoir selon les Directives opérationnelles</w:t>
      </w:r>
      <w:r w:rsidR="00AF3A35">
        <w:rPr>
          <w:rFonts w:eastAsia="Malgun Gothic"/>
          <w:bCs/>
          <w:lang w:val="fr-FR"/>
        </w:rPr>
        <w:t xml:space="preserve"> </w:t>
      </w:r>
      <w:r w:rsidRPr="00C43EA2">
        <w:rPr>
          <w:rFonts w:eastAsia="Malgun Gothic"/>
          <w:bCs/>
          <w:lang w:val="fr-FR"/>
        </w:rPr>
        <w:t xml:space="preserve">et </w:t>
      </w:r>
      <w:r w:rsidR="007032A7">
        <w:rPr>
          <w:rFonts w:eastAsia="Malgun Gothic"/>
          <w:bCs/>
          <w:lang w:val="fr-FR"/>
        </w:rPr>
        <w:t>l</w:t>
      </w:r>
      <w:r w:rsidR="00AF3A35">
        <w:rPr>
          <w:rFonts w:eastAsia="Malgun Gothic"/>
          <w:bCs/>
          <w:lang w:val="fr-FR"/>
        </w:rPr>
        <w:t xml:space="preserve">es </w:t>
      </w:r>
      <w:r w:rsidR="00AF3A35">
        <w:rPr>
          <w:bCs/>
          <w:lang w:val="fr-FR"/>
        </w:rPr>
        <w:t>termes de référence</w:t>
      </w:r>
      <w:r w:rsidR="00AF3A35" w:rsidRPr="00C43EA2">
        <w:rPr>
          <w:rFonts w:eastAsia="Malgun Gothic"/>
          <w:bCs/>
          <w:lang w:val="fr-FR"/>
        </w:rPr>
        <w:t xml:space="preserve"> </w:t>
      </w:r>
      <w:r w:rsidR="007032A7">
        <w:rPr>
          <w:rFonts w:eastAsia="Malgun Gothic"/>
          <w:bCs/>
          <w:lang w:val="fr-FR"/>
        </w:rPr>
        <w:t xml:space="preserve">établis </w:t>
      </w:r>
      <w:r w:rsidRPr="00C43EA2">
        <w:rPr>
          <w:rFonts w:eastAsia="Malgun Gothic"/>
          <w:bCs/>
          <w:lang w:val="fr-FR"/>
        </w:rPr>
        <w:t>par le Comité. Il ne pouvait pas évaluer l</w:t>
      </w:r>
      <w:r w:rsidR="00923E72">
        <w:rPr>
          <w:rFonts w:eastAsia="Malgun Gothic"/>
          <w:bCs/>
          <w:lang w:val="fr-FR"/>
        </w:rPr>
        <w:t>’</w:t>
      </w:r>
      <w:r w:rsidRPr="00C43EA2">
        <w:rPr>
          <w:rFonts w:eastAsia="Malgun Gothic"/>
          <w:bCs/>
          <w:lang w:val="fr-FR"/>
        </w:rPr>
        <w:t>émotion. L</w:t>
      </w:r>
      <w:r w:rsidR="00923E72">
        <w:rPr>
          <w:rFonts w:eastAsia="Malgun Gothic"/>
          <w:bCs/>
          <w:lang w:val="fr-FR"/>
        </w:rPr>
        <w:t>’</w:t>
      </w:r>
      <w:r w:rsidRPr="00C43EA2">
        <w:rPr>
          <w:rFonts w:eastAsia="Malgun Gothic"/>
          <w:bCs/>
          <w:lang w:val="fr-FR"/>
        </w:rPr>
        <w:t>Organe vérifiait le dossier et la description de l</w:t>
      </w:r>
      <w:r w:rsidR="00923E72">
        <w:rPr>
          <w:rFonts w:eastAsia="Malgun Gothic"/>
          <w:bCs/>
          <w:lang w:val="fr-FR"/>
        </w:rPr>
        <w:t>’</w:t>
      </w:r>
      <w:r w:rsidRPr="00C43EA2">
        <w:rPr>
          <w:rFonts w:eastAsia="Malgun Gothic"/>
          <w:bCs/>
          <w:lang w:val="fr-FR"/>
        </w:rPr>
        <w:t>élément et si le dossier correspondait à la définition donnée par la Convention. Dans ce cas précis, six membres avaient dit oui et six avaient dit non. La moitié des membres de l</w:t>
      </w:r>
      <w:r w:rsidR="00923E72">
        <w:rPr>
          <w:rFonts w:eastAsia="Malgun Gothic"/>
          <w:bCs/>
          <w:lang w:val="fr-FR"/>
        </w:rPr>
        <w:t>’</w:t>
      </w:r>
      <w:r w:rsidRPr="00C43EA2">
        <w:rPr>
          <w:rFonts w:eastAsia="Malgun Gothic"/>
          <w:bCs/>
          <w:lang w:val="fr-FR"/>
        </w:rPr>
        <w:t>Organe avaient noté que la définition de l</w:t>
      </w:r>
      <w:r w:rsidR="00923E72">
        <w:rPr>
          <w:rFonts w:eastAsia="Malgun Gothic"/>
          <w:bCs/>
          <w:lang w:val="fr-FR"/>
        </w:rPr>
        <w:t>’</w:t>
      </w:r>
      <w:r w:rsidRPr="00C43EA2">
        <w:rPr>
          <w:rFonts w:eastAsia="Malgun Gothic"/>
          <w:bCs/>
          <w:lang w:val="fr-FR"/>
        </w:rPr>
        <w:t>élément donnée dans le dossier était très large et générique. Tous les membres de l</w:t>
      </w:r>
      <w:r w:rsidR="00923E72">
        <w:rPr>
          <w:rFonts w:eastAsia="Malgun Gothic"/>
          <w:bCs/>
          <w:lang w:val="fr-FR"/>
        </w:rPr>
        <w:t>’</w:t>
      </w:r>
      <w:r w:rsidRPr="00C43EA2">
        <w:rPr>
          <w:rFonts w:eastAsia="Malgun Gothic"/>
          <w:bCs/>
          <w:lang w:val="fr-FR"/>
        </w:rPr>
        <w:t xml:space="preserve">Organe avaient convenu que le dossier était très bien rédigé, mais dans plusieurs cas, les phrases utilisées dans le dossier </w:t>
      </w:r>
      <w:r w:rsidR="00DF55B8">
        <w:rPr>
          <w:rFonts w:eastAsia="Malgun Gothic"/>
          <w:bCs/>
          <w:lang w:val="fr-FR"/>
        </w:rPr>
        <w:t>auraient pu l</w:t>
      </w:r>
      <w:r w:rsidR="00923E72">
        <w:rPr>
          <w:rFonts w:eastAsia="Malgun Gothic"/>
          <w:bCs/>
          <w:lang w:val="fr-FR"/>
        </w:rPr>
        <w:t>’</w:t>
      </w:r>
      <w:r w:rsidR="00DF55B8">
        <w:rPr>
          <w:rFonts w:eastAsia="Malgun Gothic"/>
          <w:bCs/>
          <w:lang w:val="fr-FR"/>
        </w:rPr>
        <w:t xml:space="preserve">être </w:t>
      </w:r>
      <w:r w:rsidRPr="00C43EA2">
        <w:rPr>
          <w:rFonts w:eastAsia="Malgun Gothic"/>
          <w:bCs/>
          <w:lang w:val="fr-FR"/>
        </w:rPr>
        <w:t>pour d</w:t>
      </w:r>
      <w:r w:rsidR="00923E72">
        <w:rPr>
          <w:rFonts w:eastAsia="Malgun Gothic"/>
          <w:bCs/>
          <w:lang w:val="fr-FR"/>
        </w:rPr>
        <w:t>’</w:t>
      </w:r>
      <w:r w:rsidRPr="00C43EA2">
        <w:rPr>
          <w:rFonts w:eastAsia="Malgun Gothic"/>
          <w:bCs/>
          <w:lang w:val="fr-FR"/>
        </w:rPr>
        <w:t>autres éléments, ce qui pos</w:t>
      </w:r>
      <w:r w:rsidR="00DF55B8">
        <w:rPr>
          <w:rFonts w:eastAsia="Malgun Gothic"/>
          <w:bCs/>
          <w:lang w:val="fr-FR"/>
        </w:rPr>
        <w:t>ait</w:t>
      </w:r>
      <w:r w:rsidRPr="00C43EA2">
        <w:rPr>
          <w:rFonts w:eastAsia="Malgun Gothic"/>
          <w:bCs/>
          <w:lang w:val="fr-FR"/>
        </w:rPr>
        <w:t xml:space="preserve"> un problème d</w:t>
      </w:r>
      <w:r w:rsidR="00923E72">
        <w:rPr>
          <w:rFonts w:eastAsia="Malgun Gothic"/>
          <w:bCs/>
          <w:lang w:val="fr-FR"/>
        </w:rPr>
        <w:t>’</w:t>
      </w:r>
      <w:r w:rsidRPr="00C43EA2">
        <w:rPr>
          <w:rFonts w:eastAsia="Malgun Gothic"/>
          <w:bCs/>
          <w:lang w:val="fr-FR"/>
        </w:rPr>
        <w:t>un point de vue technique. La communauté était très large et n</w:t>
      </w:r>
      <w:r w:rsidR="00923E72">
        <w:rPr>
          <w:rFonts w:eastAsia="Malgun Gothic"/>
          <w:bCs/>
          <w:lang w:val="fr-FR"/>
        </w:rPr>
        <w:t>’</w:t>
      </w:r>
      <w:r w:rsidRPr="00C43EA2">
        <w:rPr>
          <w:rFonts w:eastAsia="Malgun Gothic"/>
          <w:bCs/>
          <w:lang w:val="fr-FR"/>
        </w:rPr>
        <w:t>était pas très clairement définie pour six membres de l</w:t>
      </w:r>
      <w:r w:rsidR="00923E72">
        <w:rPr>
          <w:rFonts w:eastAsia="Malgun Gothic"/>
          <w:bCs/>
          <w:lang w:val="fr-FR"/>
        </w:rPr>
        <w:t>’</w:t>
      </w:r>
      <w:r w:rsidRPr="00C43EA2">
        <w:rPr>
          <w:rFonts w:eastAsia="Malgun Gothic"/>
          <w:bCs/>
          <w:lang w:val="fr-FR"/>
        </w:rPr>
        <w:t>Organe qui s</w:t>
      </w:r>
      <w:r w:rsidR="00923E72">
        <w:rPr>
          <w:rFonts w:eastAsia="Malgun Gothic"/>
          <w:bCs/>
          <w:lang w:val="fr-FR"/>
        </w:rPr>
        <w:t>’</w:t>
      </w:r>
      <w:r w:rsidRPr="00C43EA2">
        <w:rPr>
          <w:rFonts w:eastAsia="Malgun Gothic"/>
          <w:bCs/>
          <w:lang w:val="fr-FR"/>
        </w:rPr>
        <w:t>étaient demandé comment et sous quelle forme l</w:t>
      </w:r>
      <w:r w:rsidR="00923E72">
        <w:rPr>
          <w:rFonts w:eastAsia="Malgun Gothic"/>
          <w:bCs/>
          <w:lang w:val="fr-FR"/>
        </w:rPr>
        <w:t>’</w:t>
      </w:r>
      <w:r w:rsidRPr="00C43EA2">
        <w:rPr>
          <w:rFonts w:eastAsia="Malgun Gothic"/>
          <w:bCs/>
          <w:lang w:val="fr-FR"/>
        </w:rPr>
        <w:t>élément était transmis de génération en génération, et si la danse moderne relevait du patrimoine culturel immatériel</w:t>
      </w:r>
      <w:r w:rsidR="002C47A0">
        <w:rPr>
          <w:rFonts w:eastAsia="Malgun Gothic"/>
          <w:bCs/>
          <w:lang w:val="fr-FR"/>
        </w:rPr>
        <w:t>.</w:t>
      </w:r>
      <w:r w:rsidRPr="00C43EA2">
        <w:rPr>
          <w:rFonts w:eastAsia="Malgun Gothic"/>
          <w:bCs/>
          <w:lang w:val="fr-FR"/>
        </w:rPr>
        <w:t xml:space="preserve"> Le Président a rappelé que le rôle de l</w:t>
      </w:r>
      <w:r w:rsidR="00923E72">
        <w:rPr>
          <w:rFonts w:eastAsia="Malgun Gothic"/>
          <w:bCs/>
          <w:lang w:val="fr-FR"/>
        </w:rPr>
        <w:t>’</w:t>
      </w:r>
      <w:r w:rsidRPr="00C43EA2">
        <w:rPr>
          <w:rFonts w:eastAsia="Malgun Gothic"/>
          <w:bCs/>
          <w:lang w:val="fr-FR"/>
        </w:rPr>
        <w:t>Organe n</w:t>
      </w:r>
      <w:r w:rsidR="00923E72">
        <w:rPr>
          <w:rFonts w:eastAsia="Malgun Gothic"/>
          <w:bCs/>
          <w:lang w:val="fr-FR"/>
        </w:rPr>
        <w:t>’</w:t>
      </w:r>
      <w:r w:rsidRPr="00C43EA2">
        <w:rPr>
          <w:rFonts w:eastAsia="Malgun Gothic"/>
          <w:bCs/>
          <w:lang w:val="fr-FR"/>
        </w:rPr>
        <w:t>était pas d</w:t>
      </w:r>
      <w:r w:rsidR="00923E72">
        <w:rPr>
          <w:rFonts w:eastAsia="Malgun Gothic"/>
          <w:bCs/>
          <w:lang w:val="fr-FR"/>
        </w:rPr>
        <w:t>’</w:t>
      </w:r>
      <w:r w:rsidRPr="00C43EA2">
        <w:rPr>
          <w:rFonts w:eastAsia="Malgun Gothic"/>
          <w:bCs/>
          <w:lang w:val="fr-FR"/>
        </w:rPr>
        <w:t>évaluer l</w:t>
      </w:r>
      <w:r w:rsidR="00923E72">
        <w:rPr>
          <w:rFonts w:eastAsia="Malgun Gothic"/>
          <w:bCs/>
          <w:lang w:val="fr-FR"/>
        </w:rPr>
        <w:t>’</w:t>
      </w:r>
      <w:r w:rsidRPr="00C43EA2">
        <w:rPr>
          <w:rFonts w:eastAsia="Malgun Gothic"/>
          <w:bCs/>
          <w:lang w:val="fr-FR"/>
        </w:rPr>
        <w:t>élément lui-même mais plutôt de déterminer si les informations communiquées étaient cohérentes avec la définition du patrimoine immatériel donnée par la Convention.</w:t>
      </w:r>
    </w:p>
    <w:p w14:paraId="1F061D2D" w14:textId="193A31D0" w:rsidR="00DF55B8" w:rsidRDefault="00DF55B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F55B8">
        <w:rPr>
          <w:rFonts w:eastAsia="Malgun Gothic"/>
          <w:bCs/>
          <w:lang w:val="fr-FR"/>
        </w:rPr>
        <w:t xml:space="preserve">Le </w:t>
      </w:r>
      <w:r w:rsidRPr="00702497">
        <w:rPr>
          <w:rFonts w:eastAsia="Malgun Gothic"/>
          <w:b/>
          <w:lang w:val="fr-FR"/>
        </w:rPr>
        <w:t>Président</w:t>
      </w:r>
      <w:r w:rsidRPr="00DF55B8">
        <w:rPr>
          <w:rFonts w:eastAsia="Malgun Gothic"/>
          <w:bCs/>
          <w:lang w:val="fr-FR"/>
        </w:rPr>
        <w:t xml:space="preserve"> a remercié le Président de l</w:t>
      </w:r>
      <w:r w:rsidR="00923E72">
        <w:rPr>
          <w:rFonts w:eastAsia="Malgun Gothic"/>
          <w:bCs/>
          <w:lang w:val="fr-FR"/>
        </w:rPr>
        <w:t>’</w:t>
      </w:r>
      <w:r w:rsidRPr="00DF55B8">
        <w:rPr>
          <w:rFonts w:eastAsia="Malgun Gothic"/>
          <w:bCs/>
          <w:lang w:val="fr-FR"/>
        </w:rPr>
        <w:t>Organe d</w:t>
      </w:r>
      <w:r w:rsidR="00923E72">
        <w:rPr>
          <w:rFonts w:eastAsia="Malgun Gothic"/>
          <w:bCs/>
          <w:lang w:val="fr-FR"/>
        </w:rPr>
        <w:t>’</w:t>
      </w:r>
      <w:r w:rsidRPr="00DF55B8">
        <w:rPr>
          <w:rFonts w:eastAsia="Malgun Gothic"/>
          <w:bCs/>
          <w:lang w:val="fr-FR"/>
        </w:rPr>
        <w:t>évaluation. Pour des raisons de temps, le Président a demandé au Comité s</w:t>
      </w:r>
      <w:r w:rsidR="00923E72">
        <w:rPr>
          <w:rFonts w:eastAsia="Malgun Gothic"/>
          <w:bCs/>
          <w:lang w:val="fr-FR"/>
        </w:rPr>
        <w:t>’</w:t>
      </w:r>
      <w:r w:rsidRPr="00DF55B8">
        <w:rPr>
          <w:rFonts w:eastAsia="Malgun Gothic"/>
          <w:bCs/>
          <w:lang w:val="fr-FR"/>
        </w:rPr>
        <w:t xml:space="preserve">il y avait des membres qui </w:t>
      </w:r>
      <w:r>
        <w:rPr>
          <w:rFonts w:eastAsia="Malgun Gothic"/>
          <w:bCs/>
          <w:lang w:val="fr-FR"/>
        </w:rPr>
        <w:t xml:space="preserve">étaient résolument opposés </w:t>
      </w:r>
      <w:r w:rsidRPr="00DF55B8">
        <w:rPr>
          <w:rFonts w:eastAsia="Malgun Gothic"/>
          <w:bCs/>
          <w:lang w:val="fr-FR"/>
        </w:rPr>
        <w:t>à l</w:t>
      </w:r>
      <w:r w:rsidR="00923E72">
        <w:rPr>
          <w:rFonts w:eastAsia="Malgun Gothic"/>
          <w:bCs/>
          <w:lang w:val="fr-FR"/>
        </w:rPr>
        <w:t>’</w:t>
      </w:r>
      <w:r w:rsidRPr="00DF55B8">
        <w:rPr>
          <w:rFonts w:eastAsia="Malgun Gothic"/>
          <w:bCs/>
          <w:lang w:val="fr-FR"/>
        </w:rPr>
        <w:t>inscription. En l</w:t>
      </w:r>
      <w:r w:rsidR="00923E72">
        <w:rPr>
          <w:rFonts w:eastAsia="Malgun Gothic"/>
          <w:bCs/>
          <w:lang w:val="fr-FR"/>
        </w:rPr>
        <w:t>’</w:t>
      </w:r>
      <w:r w:rsidRPr="00DF55B8">
        <w:rPr>
          <w:rFonts w:eastAsia="Malgun Gothic"/>
          <w:bCs/>
          <w:lang w:val="fr-FR"/>
        </w:rPr>
        <w:t>absence d</w:t>
      </w:r>
      <w:r w:rsidR="00923E72">
        <w:rPr>
          <w:rFonts w:eastAsia="Malgun Gothic"/>
          <w:bCs/>
          <w:lang w:val="fr-FR"/>
        </w:rPr>
        <w:t>’</w:t>
      </w:r>
      <w:r w:rsidRPr="00DF55B8">
        <w:rPr>
          <w:rFonts w:eastAsia="Malgun Gothic"/>
          <w:bCs/>
          <w:lang w:val="fr-FR"/>
        </w:rPr>
        <w:t>objection</w:t>
      </w:r>
      <w:r>
        <w:rPr>
          <w:rFonts w:eastAsia="Malgun Gothic"/>
          <w:bCs/>
          <w:lang w:val="fr-FR"/>
        </w:rPr>
        <w:t>s</w:t>
      </w:r>
      <w:r w:rsidRPr="00DF55B8">
        <w:rPr>
          <w:rFonts w:eastAsia="Malgun Gothic"/>
          <w:bCs/>
          <w:lang w:val="fr-FR"/>
        </w:rPr>
        <w:t>, le Président a procédé à l</w:t>
      </w:r>
      <w:r w:rsidR="00923E72">
        <w:rPr>
          <w:rFonts w:eastAsia="Malgun Gothic"/>
          <w:bCs/>
          <w:lang w:val="fr-FR"/>
        </w:rPr>
        <w:t>’</w:t>
      </w:r>
      <w:r w:rsidRPr="00DF55B8">
        <w:rPr>
          <w:rFonts w:eastAsia="Malgun Gothic"/>
          <w:bCs/>
          <w:lang w:val="fr-FR"/>
        </w:rPr>
        <w:t>adoption du projet de décision, y compris l</w:t>
      </w:r>
      <w:r w:rsidR="00923E72">
        <w:rPr>
          <w:rFonts w:eastAsia="Malgun Gothic"/>
          <w:bCs/>
          <w:lang w:val="fr-FR"/>
        </w:rPr>
        <w:t>’</w:t>
      </w:r>
      <w:r w:rsidRPr="00DF55B8">
        <w:rPr>
          <w:rFonts w:eastAsia="Malgun Gothic"/>
          <w:bCs/>
          <w:lang w:val="fr-FR"/>
        </w:rPr>
        <w:t>amendement proposé par l</w:t>
      </w:r>
      <w:r w:rsidR="00923E72">
        <w:rPr>
          <w:rFonts w:eastAsia="Malgun Gothic"/>
          <w:bCs/>
          <w:lang w:val="fr-FR"/>
        </w:rPr>
        <w:t>’</w:t>
      </w:r>
      <w:r w:rsidRPr="00DF55B8">
        <w:rPr>
          <w:rFonts w:eastAsia="Malgun Gothic"/>
          <w:bCs/>
          <w:lang w:val="fr-FR"/>
        </w:rPr>
        <w:t>Arabie saoudite visant à modifier le nom de l</w:t>
      </w:r>
      <w:r w:rsidR="00923E72">
        <w:rPr>
          <w:rFonts w:eastAsia="Malgun Gothic"/>
          <w:bCs/>
          <w:lang w:val="fr-FR"/>
        </w:rPr>
        <w:t>’</w:t>
      </w:r>
      <w:r w:rsidRPr="00DF55B8">
        <w:rPr>
          <w:rFonts w:eastAsia="Malgun Gothic"/>
          <w:bCs/>
          <w:lang w:val="fr-FR"/>
        </w:rPr>
        <w:t xml:space="preserve">élément en </w:t>
      </w:r>
      <w:r>
        <w:rPr>
          <w:rFonts w:eastAsia="Malgun Gothic"/>
          <w:bCs/>
          <w:lang w:val="fr-FR"/>
        </w:rPr>
        <w:t>« </w:t>
      </w:r>
      <w:r w:rsidRPr="00DF55B8">
        <w:rPr>
          <w:rFonts w:eastAsia="Malgun Gothic"/>
          <w:bCs/>
          <w:lang w:val="fr-FR"/>
        </w:rPr>
        <w:t xml:space="preserve">La pratique de la danse moderne en </w:t>
      </w:r>
      <w:r>
        <w:rPr>
          <w:rFonts w:eastAsia="Malgun Gothic"/>
          <w:bCs/>
          <w:lang w:val="fr-FR"/>
        </w:rPr>
        <w:t>Allemagne »</w:t>
      </w:r>
      <w:r w:rsidRPr="00DF55B8">
        <w:rPr>
          <w:rFonts w:eastAsia="Malgun Gothic"/>
          <w:bCs/>
          <w:lang w:val="fr-FR"/>
        </w:rPr>
        <w:t>. En l</w:t>
      </w:r>
      <w:r w:rsidR="00923E72">
        <w:rPr>
          <w:rFonts w:eastAsia="Malgun Gothic"/>
          <w:bCs/>
          <w:lang w:val="fr-FR"/>
        </w:rPr>
        <w:t>’</w:t>
      </w:r>
      <w:r w:rsidRPr="00DF55B8">
        <w:rPr>
          <w:rFonts w:eastAsia="Malgun Gothic"/>
          <w:bCs/>
          <w:lang w:val="fr-FR"/>
        </w:rPr>
        <w:t>absence de commentaires ou d</w:t>
      </w:r>
      <w:r w:rsidR="00923E72">
        <w:rPr>
          <w:rFonts w:eastAsia="Malgun Gothic"/>
          <w:bCs/>
          <w:lang w:val="fr-FR"/>
        </w:rPr>
        <w:t>’</w:t>
      </w:r>
      <w:r w:rsidRPr="00DF55B8">
        <w:rPr>
          <w:rFonts w:eastAsia="Malgun Gothic"/>
          <w:bCs/>
          <w:lang w:val="fr-FR"/>
        </w:rPr>
        <w:t>objections, les paragraphes</w:t>
      </w:r>
      <w:r w:rsidR="008F5CA2">
        <w:rPr>
          <w:rFonts w:eastAsia="Malgun Gothic"/>
          <w:bCs/>
          <w:lang w:val="fr-FR"/>
        </w:rPr>
        <w:t> </w:t>
      </w:r>
      <w:r w:rsidRPr="00DF55B8">
        <w:rPr>
          <w:rFonts w:eastAsia="Malgun Gothic"/>
          <w:bCs/>
          <w:lang w:val="fr-FR"/>
        </w:rPr>
        <w:t>1 à</w:t>
      </w:r>
      <w:r w:rsidR="008F5CA2">
        <w:rPr>
          <w:rFonts w:eastAsia="Malgun Gothic"/>
          <w:bCs/>
          <w:lang w:val="fr-FR"/>
        </w:rPr>
        <w:t> </w:t>
      </w:r>
      <w:r w:rsidRPr="00DF55B8">
        <w:rPr>
          <w:rFonts w:eastAsia="Malgun Gothic"/>
          <w:bCs/>
          <w:lang w:val="fr-FR"/>
        </w:rPr>
        <w:t>4 ont été dûment adoptés. L</w:t>
      </w:r>
      <w:r w:rsidR="00923E72">
        <w:rPr>
          <w:rFonts w:eastAsia="Malgun Gothic"/>
          <w:bCs/>
          <w:lang w:val="fr-FR"/>
        </w:rPr>
        <w:t>’</w:t>
      </w:r>
      <w:r w:rsidRPr="00DF55B8">
        <w:rPr>
          <w:rFonts w:eastAsia="Malgun Gothic"/>
          <w:bCs/>
          <w:lang w:val="fr-FR"/>
        </w:rPr>
        <w:t>option</w:t>
      </w:r>
      <w:r w:rsidR="008F5CA2">
        <w:rPr>
          <w:rFonts w:eastAsia="Malgun Gothic"/>
          <w:bCs/>
          <w:lang w:val="fr-FR"/>
        </w:rPr>
        <w:t> </w:t>
      </w:r>
      <w:r w:rsidRPr="00DF55B8">
        <w:rPr>
          <w:rFonts w:eastAsia="Malgun Gothic"/>
          <w:bCs/>
          <w:lang w:val="fr-FR"/>
        </w:rPr>
        <w:t>B (non) était supprimée. Les paragraphes</w:t>
      </w:r>
      <w:r w:rsidR="008F5CA2">
        <w:rPr>
          <w:rFonts w:eastAsia="Malgun Gothic"/>
          <w:bCs/>
          <w:lang w:val="fr-FR"/>
        </w:rPr>
        <w:t> </w:t>
      </w:r>
      <w:r w:rsidRPr="00DF55B8">
        <w:rPr>
          <w:rFonts w:eastAsia="Malgun Gothic"/>
          <w:bCs/>
          <w:lang w:val="fr-FR"/>
        </w:rPr>
        <w:t>5 et</w:t>
      </w:r>
      <w:r w:rsidR="008F5CA2">
        <w:rPr>
          <w:rFonts w:eastAsia="Malgun Gothic"/>
          <w:bCs/>
          <w:lang w:val="fr-FR"/>
        </w:rPr>
        <w:t> </w:t>
      </w:r>
      <w:r w:rsidRPr="00DF55B8">
        <w:rPr>
          <w:rFonts w:eastAsia="Malgun Gothic"/>
          <w:bCs/>
          <w:lang w:val="fr-FR"/>
        </w:rPr>
        <w:t>6 ont également été adoptés.</w:t>
      </w:r>
    </w:p>
    <w:p w14:paraId="727DAA8D" w14:textId="2CB640F1" w:rsidR="00DF55B8" w:rsidRDefault="00DF55B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F55B8">
        <w:rPr>
          <w:rFonts w:eastAsia="Malgun Gothic"/>
          <w:bCs/>
          <w:lang w:val="fr-FR"/>
        </w:rPr>
        <w:t xml:space="preserve">La délégation du </w:t>
      </w:r>
      <w:r w:rsidRPr="00702497">
        <w:rPr>
          <w:rFonts w:eastAsia="Malgun Gothic"/>
          <w:b/>
          <w:lang w:val="fr-FR"/>
        </w:rPr>
        <w:t>Brésil</w:t>
      </w:r>
      <w:r w:rsidRPr="00DF55B8">
        <w:rPr>
          <w:rFonts w:eastAsia="Malgun Gothic"/>
          <w:bCs/>
          <w:lang w:val="fr-FR"/>
        </w:rPr>
        <w:t xml:space="preserve"> souhaitait ajouter un nouveau paragraphe</w:t>
      </w:r>
      <w:r w:rsidR="008F5CA2">
        <w:rPr>
          <w:rFonts w:eastAsia="Malgun Gothic"/>
          <w:bCs/>
          <w:lang w:val="fr-FR"/>
        </w:rPr>
        <w:t> </w:t>
      </w:r>
      <w:r w:rsidRPr="00DF55B8">
        <w:rPr>
          <w:rFonts w:eastAsia="Malgun Gothic"/>
          <w:bCs/>
          <w:lang w:val="fr-FR"/>
        </w:rPr>
        <w:t xml:space="preserve">7, qui serait ainsi rédigé : </w:t>
      </w:r>
      <w:r>
        <w:rPr>
          <w:rFonts w:eastAsia="Malgun Gothic"/>
          <w:bCs/>
          <w:lang w:val="fr-FR"/>
        </w:rPr>
        <w:t>« </w:t>
      </w:r>
      <w:r w:rsidRPr="00DF55B8">
        <w:rPr>
          <w:rFonts w:eastAsia="Malgun Gothic"/>
          <w:bCs/>
          <w:lang w:val="fr-FR"/>
        </w:rPr>
        <w:t>Recommande à l</w:t>
      </w:r>
      <w:r w:rsidR="00923E72">
        <w:rPr>
          <w:rFonts w:eastAsia="Malgun Gothic"/>
          <w:bCs/>
          <w:lang w:val="fr-FR"/>
        </w:rPr>
        <w:t>’</w:t>
      </w:r>
      <w:r w:rsidRPr="00DF55B8">
        <w:rPr>
          <w:rFonts w:eastAsia="Malgun Gothic"/>
          <w:bCs/>
          <w:lang w:val="fr-FR"/>
        </w:rPr>
        <w:t>État partie de mettre l</w:t>
      </w:r>
      <w:r w:rsidR="00923E72">
        <w:rPr>
          <w:rFonts w:eastAsia="Malgun Gothic"/>
          <w:bCs/>
          <w:lang w:val="fr-FR"/>
        </w:rPr>
        <w:t>’</w:t>
      </w:r>
      <w:r w:rsidRPr="00DF55B8">
        <w:rPr>
          <w:rFonts w:eastAsia="Malgun Gothic"/>
          <w:bCs/>
          <w:lang w:val="fr-FR"/>
        </w:rPr>
        <w:t>accent sur la fonction sociale de l</w:t>
      </w:r>
      <w:r w:rsidR="00923E72">
        <w:rPr>
          <w:rFonts w:eastAsia="Malgun Gothic"/>
          <w:bCs/>
          <w:lang w:val="fr-FR"/>
        </w:rPr>
        <w:t>’</w:t>
      </w:r>
      <w:r w:rsidRPr="00DF55B8">
        <w:rPr>
          <w:rFonts w:eastAsia="Malgun Gothic"/>
          <w:bCs/>
          <w:lang w:val="fr-FR"/>
        </w:rPr>
        <w:t xml:space="preserve">élément </w:t>
      </w:r>
      <w:r>
        <w:rPr>
          <w:rFonts w:eastAsia="Malgun Gothic"/>
          <w:bCs/>
          <w:lang w:val="fr-FR"/>
        </w:rPr>
        <w:t xml:space="preserve">dans </w:t>
      </w:r>
      <w:r w:rsidRPr="00DF55B8">
        <w:rPr>
          <w:rFonts w:eastAsia="Malgun Gothic"/>
          <w:bCs/>
          <w:lang w:val="fr-FR"/>
        </w:rPr>
        <w:t>la mise à jour des plans de sauvegarde afin d</w:t>
      </w:r>
      <w:r w:rsidR="00923E72">
        <w:rPr>
          <w:rFonts w:eastAsia="Malgun Gothic"/>
          <w:bCs/>
          <w:lang w:val="fr-FR"/>
        </w:rPr>
        <w:t>’</w:t>
      </w:r>
      <w:r w:rsidRPr="00DF55B8">
        <w:rPr>
          <w:rFonts w:eastAsia="Malgun Gothic"/>
          <w:bCs/>
          <w:lang w:val="fr-FR"/>
        </w:rPr>
        <w:t xml:space="preserve">éviter </w:t>
      </w:r>
      <w:r w:rsidR="002C61F6">
        <w:rPr>
          <w:rFonts w:eastAsia="Malgun Gothic"/>
          <w:bCs/>
          <w:lang w:val="fr-FR"/>
        </w:rPr>
        <w:t>une</w:t>
      </w:r>
      <w:r w:rsidRPr="00DF55B8">
        <w:rPr>
          <w:rFonts w:eastAsia="Malgun Gothic"/>
          <w:bCs/>
          <w:lang w:val="fr-FR"/>
        </w:rPr>
        <w:t xml:space="preserve"> décontextualisation de la pratique</w:t>
      </w:r>
      <w:r w:rsidR="002C61F6">
        <w:rPr>
          <w:rFonts w:eastAsia="Malgun Gothic"/>
          <w:bCs/>
          <w:lang w:val="fr-FR"/>
        </w:rPr>
        <w:t>,</w:t>
      </w:r>
      <w:r w:rsidRPr="00DF55B8">
        <w:rPr>
          <w:rFonts w:eastAsia="Malgun Gothic"/>
          <w:bCs/>
          <w:lang w:val="fr-FR"/>
        </w:rPr>
        <w:t xml:space="preserve"> et </w:t>
      </w:r>
      <w:r w:rsidR="002C61F6">
        <w:rPr>
          <w:rFonts w:eastAsia="Malgun Gothic"/>
          <w:bCs/>
          <w:lang w:val="fr-FR"/>
        </w:rPr>
        <w:t xml:space="preserve">afin de garantir </w:t>
      </w:r>
      <w:r w:rsidRPr="00DF55B8">
        <w:rPr>
          <w:rFonts w:eastAsia="Malgun Gothic"/>
          <w:bCs/>
          <w:lang w:val="fr-FR"/>
        </w:rPr>
        <w:t>la transmission de la mémoire collective de la communauté</w:t>
      </w:r>
      <w:r w:rsidR="002C61F6">
        <w:rPr>
          <w:rFonts w:eastAsia="Malgun Gothic"/>
          <w:bCs/>
          <w:lang w:val="fr-FR"/>
        </w:rPr>
        <w:t> »</w:t>
      </w:r>
      <w:r w:rsidRPr="00DF55B8">
        <w:rPr>
          <w:rFonts w:eastAsia="Malgun Gothic"/>
          <w:bCs/>
          <w:lang w:val="fr-FR"/>
        </w:rPr>
        <w:t>.</w:t>
      </w:r>
    </w:p>
    <w:p w14:paraId="78E8136B" w14:textId="7578085F" w:rsidR="002C61F6" w:rsidRPr="00702497" w:rsidRDefault="002C61F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2C61F6">
        <w:rPr>
          <w:rFonts w:eastAsia="Malgun Gothic"/>
          <w:bCs/>
          <w:lang w:val="fr-FR"/>
        </w:rPr>
        <w:t>En l</w:t>
      </w:r>
      <w:r w:rsidR="00923E72">
        <w:rPr>
          <w:rFonts w:eastAsia="Malgun Gothic"/>
          <w:bCs/>
          <w:lang w:val="fr-FR"/>
        </w:rPr>
        <w:t>’</w:t>
      </w:r>
      <w:r w:rsidRPr="002C61F6">
        <w:rPr>
          <w:rFonts w:eastAsia="Malgun Gothic"/>
          <w:bCs/>
          <w:lang w:val="fr-FR"/>
        </w:rPr>
        <w:t>absence</w:t>
      </w:r>
      <w:r>
        <w:rPr>
          <w:rFonts w:eastAsia="Malgun Gothic"/>
          <w:bCs/>
          <w:lang w:val="fr-FR"/>
        </w:rPr>
        <w:t xml:space="preserve"> d</w:t>
      </w:r>
      <w:r w:rsidR="00923E72">
        <w:rPr>
          <w:rFonts w:eastAsia="Malgun Gothic"/>
          <w:bCs/>
          <w:lang w:val="fr-FR"/>
        </w:rPr>
        <w:t>’</w:t>
      </w:r>
      <w:r>
        <w:rPr>
          <w:rFonts w:eastAsia="Malgun Gothic"/>
          <w:bCs/>
          <w:lang w:val="fr-FR"/>
        </w:rPr>
        <w:t xml:space="preserve">objections, le </w:t>
      </w:r>
      <w:r w:rsidRPr="002C61F6">
        <w:rPr>
          <w:rFonts w:eastAsia="Malgun Gothic"/>
          <w:bCs/>
          <w:lang w:val="fr-FR"/>
        </w:rPr>
        <w:t>paragraphe</w:t>
      </w:r>
      <w:r>
        <w:rPr>
          <w:rFonts w:eastAsia="Malgun Gothic"/>
          <w:bCs/>
          <w:lang w:val="fr-FR"/>
        </w:rPr>
        <w:t xml:space="preserve"> 7 a été déclaré adopté. Le </w:t>
      </w:r>
      <w:r w:rsidRPr="002C61F6">
        <w:rPr>
          <w:rFonts w:eastAsia="Malgun Gothic"/>
          <w:bCs/>
          <w:lang w:val="fr-FR"/>
        </w:rPr>
        <w:t>paragraphe</w:t>
      </w:r>
      <w:r>
        <w:rPr>
          <w:rFonts w:eastAsia="Malgun Gothic"/>
          <w:bCs/>
          <w:lang w:val="fr-FR"/>
        </w:rPr>
        <w:t xml:space="preserve"> 8 a </w:t>
      </w:r>
      <w:r w:rsidRPr="002C61F6">
        <w:rPr>
          <w:rFonts w:eastAsia="Malgun Gothic"/>
          <w:bCs/>
          <w:color w:val="000000" w:themeColor="text1"/>
          <w:lang w:val="fr-FR"/>
        </w:rPr>
        <w:t>également</w:t>
      </w:r>
      <w:r>
        <w:rPr>
          <w:rFonts w:eastAsia="Malgun Gothic"/>
          <w:bCs/>
          <w:color w:val="000000" w:themeColor="text1"/>
          <w:lang w:val="fr-FR"/>
        </w:rPr>
        <w:t xml:space="preserve"> été adopté. Le </w:t>
      </w:r>
      <w:r w:rsidRPr="00702497">
        <w:rPr>
          <w:rFonts w:eastAsia="Malgun Gothic"/>
          <w:b/>
          <w:color w:val="000000" w:themeColor="text1"/>
          <w:lang w:val="fr-FR"/>
        </w:rPr>
        <w:t>Président a déclaré adoptée la décision</w:t>
      </w:r>
      <w:r w:rsidR="002C47A0">
        <w:rPr>
          <w:rFonts w:eastAsia="Malgun Gothic"/>
          <w:b/>
          <w:color w:val="000000" w:themeColor="text1"/>
          <w:lang w:val="fr-FR"/>
        </w:rPr>
        <w:t> </w:t>
      </w:r>
      <w:r w:rsidR="00751FB1">
        <w:fldChar w:fldCharType="begin"/>
      </w:r>
      <w:r w:rsidR="00751FB1" w:rsidRPr="00751FB1">
        <w:rPr>
          <w:lang w:val="fr-FR"/>
        </w:rPr>
        <w:instrText>HYPERLINK "https://ich.unesco.org/fr/Decisions/17.COM/7.b.10"</w:instrText>
      </w:r>
      <w:r w:rsidR="00751FB1">
        <w:fldChar w:fldCharType="separate"/>
      </w:r>
      <w:r w:rsidRPr="00702497">
        <w:rPr>
          <w:rStyle w:val="Hyperlink"/>
          <w:b/>
          <w:lang w:val="fr-FR"/>
        </w:rPr>
        <w:t>17.COM 7.b.10</w:t>
      </w:r>
      <w:r w:rsidR="00751FB1">
        <w:rPr>
          <w:rStyle w:val="Hyperlink"/>
          <w:b/>
          <w:lang w:val="fr-FR"/>
        </w:rPr>
        <w:fldChar w:fldCharType="end"/>
      </w:r>
      <w:r w:rsidRPr="00702497">
        <w:rPr>
          <w:rFonts w:eastAsia="Malgun Gothic"/>
          <w:b/>
          <w:color w:val="000000" w:themeColor="text1"/>
          <w:lang w:val="fr-FR"/>
        </w:rPr>
        <w:t xml:space="preserve"> d</w:t>
      </w:r>
      <w:r w:rsidR="00923E72">
        <w:rPr>
          <w:rFonts w:eastAsia="Malgun Gothic"/>
          <w:b/>
          <w:color w:val="000000" w:themeColor="text1"/>
          <w:lang w:val="fr-FR"/>
        </w:rPr>
        <w:t>’</w:t>
      </w:r>
      <w:r w:rsidRPr="00702497">
        <w:rPr>
          <w:rFonts w:eastAsia="Malgun Gothic"/>
          <w:b/>
          <w:color w:val="000000" w:themeColor="text1"/>
          <w:lang w:val="fr-FR"/>
        </w:rPr>
        <w:t>inscri</w:t>
      </w:r>
      <w:r>
        <w:rPr>
          <w:rFonts w:eastAsia="Malgun Gothic"/>
          <w:b/>
          <w:color w:val="000000" w:themeColor="text1"/>
          <w:lang w:val="fr-FR"/>
        </w:rPr>
        <w:t>re</w:t>
      </w:r>
      <w:r w:rsidRPr="00702497">
        <w:rPr>
          <w:rFonts w:eastAsia="Malgun Gothic"/>
          <w:b/>
          <w:color w:val="000000" w:themeColor="text1"/>
          <w:lang w:val="fr-FR"/>
        </w:rPr>
        <w:t xml:space="preserve"> la pratique de la danse moderne en Allemagne sur la Liste représentative</w:t>
      </w:r>
      <w:r>
        <w:rPr>
          <w:rFonts w:eastAsia="Malgun Gothic"/>
          <w:bCs/>
          <w:color w:val="000000" w:themeColor="text1"/>
          <w:lang w:val="fr-FR"/>
        </w:rPr>
        <w:t>.</w:t>
      </w:r>
    </w:p>
    <w:p w14:paraId="650CCD2C" w14:textId="1C023C09" w:rsidR="002C61F6" w:rsidRPr="00702497" w:rsidRDefault="002C61F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color w:val="000000" w:themeColor="text1"/>
          <w:lang w:val="fr-FR"/>
        </w:rPr>
        <w:t xml:space="preserve"> </w:t>
      </w:r>
      <w:r w:rsidR="003B573F" w:rsidRPr="003B573F">
        <w:rPr>
          <w:rFonts w:eastAsia="Malgun Gothic"/>
          <w:bCs/>
          <w:color w:val="000000" w:themeColor="text1"/>
          <w:lang w:val="fr-FR"/>
        </w:rPr>
        <w:t>La délégation de l</w:t>
      </w:r>
      <w:r w:rsidR="00923E72">
        <w:rPr>
          <w:rFonts w:eastAsia="Malgun Gothic"/>
          <w:bCs/>
          <w:color w:val="000000" w:themeColor="text1"/>
          <w:lang w:val="fr-FR"/>
        </w:rPr>
        <w:t>’</w:t>
      </w:r>
      <w:r w:rsidR="003B573F" w:rsidRPr="00702497">
        <w:rPr>
          <w:rFonts w:eastAsia="Malgun Gothic"/>
          <w:b/>
          <w:color w:val="000000" w:themeColor="text1"/>
          <w:lang w:val="fr-FR"/>
        </w:rPr>
        <w:t>Allemagne</w:t>
      </w:r>
      <w:r w:rsidR="003B573F" w:rsidRPr="003B573F">
        <w:rPr>
          <w:rFonts w:eastAsia="Malgun Gothic"/>
          <w:bCs/>
          <w:color w:val="000000" w:themeColor="text1"/>
          <w:lang w:val="fr-FR"/>
        </w:rPr>
        <w:t xml:space="preserve"> s</w:t>
      </w:r>
      <w:r w:rsidR="00923E72">
        <w:rPr>
          <w:rFonts w:eastAsia="Malgun Gothic"/>
          <w:bCs/>
          <w:color w:val="000000" w:themeColor="text1"/>
          <w:lang w:val="fr-FR"/>
        </w:rPr>
        <w:t>’</w:t>
      </w:r>
      <w:r w:rsidR="003B573F" w:rsidRPr="003B573F">
        <w:rPr>
          <w:rFonts w:eastAsia="Malgun Gothic"/>
          <w:bCs/>
          <w:color w:val="000000" w:themeColor="text1"/>
          <w:lang w:val="fr-FR"/>
        </w:rPr>
        <w:t>est déclarée soulagée et heureuse, remerciant le Comité pour l</w:t>
      </w:r>
      <w:r w:rsidR="00923E72">
        <w:rPr>
          <w:rFonts w:eastAsia="Malgun Gothic"/>
          <w:bCs/>
          <w:color w:val="000000" w:themeColor="text1"/>
          <w:lang w:val="fr-FR"/>
        </w:rPr>
        <w:t>’</w:t>
      </w:r>
      <w:r w:rsidR="003B573F" w:rsidRPr="003B573F">
        <w:rPr>
          <w:rFonts w:eastAsia="Malgun Gothic"/>
          <w:bCs/>
          <w:color w:val="000000" w:themeColor="text1"/>
          <w:lang w:val="fr-FR"/>
        </w:rPr>
        <w:t>esprit constructif de la discussion, qui était également nouvelle pour la délégation dans la mesure où l</w:t>
      </w:r>
      <w:r w:rsidR="00923E72">
        <w:rPr>
          <w:rFonts w:eastAsia="Malgun Gothic"/>
          <w:bCs/>
          <w:color w:val="000000" w:themeColor="text1"/>
          <w:lang w:val="fr-FR"/>
        </w:rPr>
        <w:t>’</w:t>
      </w:r>
      <w:r w:rsidR="003B573F" w:rsidRPr="003B573F">
        <w:rPr>
          <w:rFonts w:eastAsia="Malgun Gothic"/>
          <w:bCs/>
          <w:color w:val="000000" w:themeColor="text1"/>
          <w:lang w:val="fr-FR"/>
        </w:rPr>
        <w:t>Organe d</w:t>
      </w:r>
      <w:r w:rsidR="00923E72">
        <w:rPr>
          <w:rFonts w:eastAsia="Malgun Gothic"/>
          <w:bCs/>
          <w:color w:val="000000" w:themeColor="text1"/>
          <w:lang w:val="fr-FR"/>
        </w:rPr>
        <w:t>’</w:t>
      </w:r>
      <w:r w:rsidR="003B573F" w:rsidRPr="003B573F">
        <w:rPr>
          <w:rFonts w:eastAsia="Malgun Gothic"/>
          <w:bCs/>
          <w:color w:val="000000" w:themeColor="text1"/>
          <w:lang w:val="fr-FR"/>
        </w:rPr>
        <w:t>évaluation n</w:t>
      </w:r>
      <w:r w:rsidR="00923E72">
        <w:rPr>
          <w:rFonts w:eastAsia="Malgun Gothic"/>
          <w:bCs/>
          <w:color w:val="000000" w:themeColor="text1"/>
          <w:lang w:val="fr-FR"/>
        </w:rPr>
        <w:t>’</w:t>
      </w:r>
      <w:r w:rsidR="003B573F" w:rsidRPr="003B573F">
        <w:rPr>
          <w:rFonts w:eastAsia="Malgun Gothic"/>
          <w:bCs/>
          <w:color w:val="000000" w:themeColor="text1"/>
          <w:lang w:val="fr-FR"/>
        </w:rPr>
        <w:t xml:space="preserve">avait pas </w:t>
      </w:r>
      <w:r w:rsidR="00876ED6">
        <w:rPr>
          <w:rFonts w:eastAsia="Malgun Gothic"/>
          <w:bCs/>
          <w:color w:val="000000" w:themeColor="text1"/>
          <w:lang w:val="fr-FR"/>
        </w:rPr>
        <w:t xml:space="preserve">eu </w:t>
      </w:r>
      <w:r w:rsidR="003B573F" w:rsidRPr="003B573F">
        <w:rPr>
          <w:rFonts w:eastAsia="Malgun Gothic"/>
          <w:bCs/>
          <w:color w:val="000000" w:themeColor="text1"/>
          <w:lang w:val="fr-FR"/>
        </w:rPr>
        <w:t>de solution à proposer. La délégation avait tiré des enseignements de la discussion et était satisfaite de la solution trouvée qui avait conduit à l</w:t>
      </w:r>
      <w:r w:rsidR="00923E72">
        <w:rPr>
          <w:rFonts w:eastAsia="Malgun Gothic"/>
          <w:bCs/>
          <w:color w:val="000000" w:themeColor="text1"/>
          <w:lang w:val="fr-FR"/>
        </w:rPr>
        <w:t>’</w:t>
      </w:r>
      <w:r w:rsidR="003B573F" w:rsidRPr="003B573F">
        <w:rPr>
          <w:rFonts w:eastAsia="Malgun Gothic"/>
          <w:bCs/>
          <w:color w:val="000000" w:themeColor="text1"/>
          <w:lang w:val="fr-FR"/>
        </w:rPr>
        <w:t>inscription. Elle a particulièrement remercié l</w:t>
      </w:r>
      <w:r w:rsidR="00923E72">
        <w:rPr>
          <w:rFonts w:eastAsia="Malgun Gothic"/>
          <w:bCs/>
          <w:color w:val="000000" w:themeColor="text1"/>
          <w:lang w:val="fr-FR"/>
        </w:rPr>
        <w:t>’</w:t>
      </w:r>
      <w:r w:rsidR="003B573F" w:rsidRPr="003B573F">
        <w:rPr>
          <w:rFonts w:eastAsia="Malgun Gothic"/>
          <w:bCs/>
          <w:color w:val="000000" w:themeColor="text1"/>
          <w:lang w:val="fr-FR"/>
        </w:rPr>
        <w:t>Arabie saoudite pour ses conseils constructifs, assurant le Comité que la communauté des danseurs de danse moderne en Allemagne trouvait cela extrêmement important. La petite communauté existait et l</w:t>
      </w:r>
      <w:r w:rsidR="00923E72">
        <w:rPr>
          <w:rFonts w:eastAsia="Malgun Gothic"/>
          <w:bCs/>
          <w:color w:val="000000" w:themeColor="text1"/>
          <w:lang w:val="fr-FR"/>
        </w:rPr>
        <w:t>’</w:t>
      </w:r>
      <w:r w:rsidR="003B573F" w:rsidRPr="003B573F">
        <w:rPr>
          <w:rFonts w:eastAsia="Malgun Gothic"/>
          <w:bCs/>
          <w:color w:val="000000" w:themeColor="text1"/>
          <w:lang w:val="fr-FR"/>
        </w:rPr>
        <w:t>inscription donnerait une plus grande visibilité à cette communauté de danseurs en Allemagne. Pour répondre à la question posée par le Burkina</w:t>
      </w:r>
      <w:r w:rsidR="002C47A0">
        <w:rPr>
          <w:rFonts w:eastAsia="Malgun Gothic"/>
          <w:bCs/>
          <w:color w:val="000000" w:themeColor="text1"/>
          <w:lang w:val="fr-FR"/>
        </w:rPr>
        <w:t> </w:t>
      </w:r>
      <w:r w:rsidR="003B573F" w:rsidRPr="003B573F">
        <w:rPr>
          <w:rFonts w:eastAsia="Malgun Gothic"/>
          <w:bCs/>
          <w:color w:val="000000" w:themeColor="text1"/>
          <w:lang w:val="fr-FR"/>
        </w:rPr>
        <w:t>Faso, il ne s</w:t>
      </w:r>
      <w:r w:rsidR="00923E72">
        <w:rPr>
          <w:rFonts w:eastAsia="Malgun Gothic"/>
          <w:bCs/>
          <w:color w:val="000000" w:themeColor="text1"/>
          <w:lang w:val="fr-FR"/>
        </w:rPr>
        <w:t>’</w:t>
      </w:r>
      <w:r w:rsidR="003B573F" w:rsidRPr="003B573F">
        <w:rPr>
          <w:rFonts w:eastAsia="Malgun Gothic"/>
          <w:bCs/>
          <w:color w:val="000000" w:themeColor="text1"/>
          <w:lang w:val="fr-FR"/>
        </w:rPr>
        <w:t>agissait évidemment pas d</w:t>
      </w:r>
      <w:r w:rsidR="00923E72">
        <w:rPr>
          <w:rFonts w:eastAsia="Malgun Gothic"/>
          <w:bCs/>
          <w:color w:val="000000" w:themeColor="text1"/>
          <w:lang w:val="fr-FR"/>
        </w:rPr>
        <w:t>’</w:t>
      </w:r>
      <w:r w:rsidR="003B573F" w:rsidRPr="003B573F">
        <w:rPr>
          <w:rFonts w:eastAsia="Malgun Gothic"/>
          <w:bCs/>
          <w:color w:val="000000" w:themeColor="text1"/>
          <w:lang w:val="fr-FR"/>
        </w:rPr>
        <w:t xml:space="preserve">un élément exclusivement allemand. La délégation a cité les écoles de danse expressive des années 1920, et même avant la Première Guerre mondiale, et Monte </w:t>
      </w:r>
      <w:proofErr w:type="spellStart"/>
      <w:r w:rsidR="003B573F" w:rsidRPr="003B573F">
        <w:rPr>
          <w:rFonts w:eastAsia="Malgun Gothic"/>
          <w:bCs/>
          <w:color w:val="000000" w:themeColor="text1"/>
          <w:lang w:val="fr-FR"/>
        </w:rPr>
        <w:t>Verità</w:t>
      </w:r>
      <w:proofErr w:type="spellEnd"/>
      <w:r w:rsidR="003B573F" w:rsidRPr="003B573F">
        <w:rPr>
          <w:rFonts w:eastAsia="Malgun Gothic"/>
          <w:bCs/>
          <w:color w:val="000000" w:themeColor="text1"/>
          <w:lang w:val="fr-FR"/>
        </w:rPr>
        <w:t xml:space="preserve"> en Suisse, ou le professeur Laban de Slovaquie, et le professeur </w:t>
      </w:r>
      <w:proofErr w:type="spellStart"/>
      <w:r w:rsidR="003B573F" w:rsidRPr="003B573F">
        <w:rPr>
          <w:rFonts w:eastAsia="Malgun Gothic"/>
          <w:bCs/>
          <w:color w:val="000000" w:themeColor="text1"/>
          <w:lang w:val="fr-FR"/>
        </w:rPr>
        <w:t>Chladek</w:t>
      </w:r>
      <w:proofErr w:type="spellEnd"/>
      <w:r w:rsidR="003B573F" w:rsidRPr="003B573F">
        <w:rPr>
          <w:rFonts w:eastAsia="Malgun Gothic"/>
          <w:bCs/>
          <w:color w:val="000000" w:themeColor="text1"/>
          <w:lang w:val="fr-FR"/>
        </w:rPr>
        <w:t xml:space="preserve"> qui était né en République tchèque. Elle a précisé que la danse moderne se compose d</w:t>
      </w:r>
      <w:r w:rsidR="00923E72">
        <w:rPr>
          <w:rFonts w:eastAsia="Malgun Gothic"/>
          <w:bCs/>
          <w:color w:val="000000" w:themeColor="text1"/>
          <w:lang w:val="fr-FR"/>
        </w:rPr>
        <w:t>’</w:t>
      </w:r>
      <w:r w:rsidR="003B573F" w:rsidRPr="003B573F">
        <w:rPr>
          <w:rFonts w:eastAsia="Malgun Gothic"/>
          <w:bCs/>
          <w:color w:val="000000" w:themeColor="text1"/>
          <w:lang w:val="fr-FR"/>
        </w:rPr>
        <w:t xml:space="preserve">un </w:t>
      </w:r>
      <w:r w:rsidR="00876ED6">
        <w:rPr>
          <w:rFonts w:eastAsia="Malgun Gothic"/>
          <w:bCs/>
          <w:color w:val="000000" w:themeColor="text1"/>
          <w:lang w:val="fr-FR"/>
        </w:rPr>
        <w:t xml:space="preserve">pêle-mêle </w:t>
      </w:r>
      <w:r w:rsidR="003B573F" w:rsidRPr="003B573F">
        <w:rPr>
          <w:rFonts w:eastAsia="Malgun Gothic"/>
          <w:bCs/>
          <w:color w:val="000000" w:themeColor="text1"/>
          <w:lang w:val="fr-FR"/>
        </w:rPr>
        <w:t>d</w:t>
      </w:r>
      <w:r w:rsidR="00923E72">
        <w:rPr>
          <w:rFonts w:eastAsia="Malgun Gothic"/>
          <w:bCs/>
          <w:color w:val="000000" w:themeColor="text1"/>
          <w:lang w:val="fr-FR"/>
        </w:rPr>
        <w:t>’</w:t>
      </w:r>
      <w:r w:rsidR="003B573F" w:rsidRPr="003B573F">
        <w:rPr>
          <w:rFonts w:eastAsia="Malgun Gothic"/>
          <w:bCs/>
          <w:color w:val="000000" w:themeColor="text1"/>
          <w:lang w:val="fr-FR"/>
        </w:rPr>
        <w:t>expressions, en l</w:t>
      </w:r>
      <w:r w:rsidR="00923E72">
        <w:rPr>
          <w:rFonts w:eastAsia="Malgun Gothic"/>
          <w:bCs/>
          <w:color w:val="000000" w:themeColor="text1"/>
          <w:lang w:val="fr-FR"/>
        </w:rPr>
        <w:t>’</w:t>
      </w:r>
      <w:r w:rsidR="003B573F" w:rsidRPr="003B573F">
        <w:rPr>
          <w:rFonts w:eastAsia="Malgun Gothic"/>
          <w:bCs/>
          <w:color w:val="000000" w:themeColor="text1"/>
          <w:lang w:val="fr-FR"/>
        </w:rPr>
        <w:t>occurrence d</w:t>
      </w:r>
      <w:r w:rsidR="00923E72">
        <w:rPr>
          <w:rFonts w:eastAsia="Malgun Gothic"/>
          <w:bCs/>
          <w:color w:val="000000" w:themeColor="text1"/>
          <w:lang w:val="fr-FR"/>
        </w:rPr>
        <w:t>’</w:t>
      </w:r>
      <w:r w:rsidR="003B573F" w:rsidRPr="003B573F">
        <w:rPr>
          <w:rFonts w:eastAsia="Malgun Gothic"/>
          <w:bCs/>
          <w:color w:val="000000" w:themeColor="text1"/>
          <w:lang w:val="fr-FR"/>
        </w:rPr>
        <w:t>Europe centrale, car certains danseurs avaient été contraints de quitter l</w:t>
      </w:r>
      <w:r w:rsidR="00923E72">
        <w:rPr>
          <w:rFonts w:eastAsia="Malgun Gothic"/>
          <w:bCs/>
          <w:color w:val="000000" w:themeColor="text1"/>
          <w:lang w:val="fr-FR"/>
        </w:rPr>
        <w:t>’</w:t>
      </w:r>
      <w:r w:rsidR="003B573F" w:rsidRPr="003B573F">
        <w:rPr>
          <w:rFonts w:eastAsia="Malgun Gothic"/>
          <w:bCs/>
          <w:color w:val="000000" w:themeColor="text1"/>
          <w:lang w:val="fr-FR"/>
        </w:rPr>
        <w:t xml:space="preserve">Allemagne </w:t>
      </w:r>
      <w:r w:rsidR="002C47A0">
        <w:rPr>
          <w:rFonts w:eastAsia="Malgun Gothic"/>
          <w:bCs/>
          <w:color w:val="000000" w:themeColor="text1"/>
          <w:lang w:val="fr-FR"/>
        </w:rPr>
        <w:t xml:space="preserve">à cause </w:t>
      </w:r>
      <w:r w:rsidR="003B573F" w:rsidRPr="003B573F">
        <w:rPr>
          <w:rFonts w:eastAsia="Malgun Gothic"/>
          <w:bCs/>
          <w:color w:val="000000" w:themeColor="text1"/>
          <w:lang w:val="fr-FR"/>
        </w:rPr>
        <w:t>du nazisme. La danse moderne était devenue un mouvement qui ne se limit</w:t>
      </w:r>
      <w:r w:rsidR="00876ED6">
        <w:rPr>
          <w:rFonts w:eastAsia="Malgun Gothic"/>
          <w:bCs/>
          <w:color w:val="000000" w:themeColor="text1"/>
          <w:lang w:val="fr-FR"/>
        </w:rPr>
        <w:t>ait</w:t>
      </w:r>
      <w:r w:rsidR="003B573F" w:rsidRPr="003B573F">
        <w:rPr>
          <w:rFonts w:eastAsia="Malgun Gothic"/>
          <w:bCs/>
          <w:color w:val="000000" w:themeColor="text1"/>
          <w:lang w:val="fr-FR"/>
        </w:rPr>
        <w:t xml:space="preserve"> pas à l</w:t>
      </w:r>
      <w:r w:rsidR="00923E72">
        <w:rPr>
          <w:rFonts w:eastAsia="Malgun Gothic"/>
          <w:bCs/>
          <w:color w:val="000000" w:themeColor="text1"/>
          <w:lang w:val="fr-FR"/>
        </w:rPr>
        <w:t>’</w:t>
      </w:r>
      <w:r w:rsidR="003B573F" w:rsidRPr="003B573F">
        <w:rPr>
          <w:rFonts w:eastAsia="Malgun Gothic"/>
          <w:bCs/>
          <w:color w:val="000000" w:themeColor="text1"/>
          <w:lang w:val="fr-FR"/>
        </w:rPr>
        <w:t xml:space="preserve">Allemagne. Mais pour la communauté en Allemagne, il était très important de gagner en visibilité. La délégation a remercié le Comité pour son </w:t>
      </w:r>
      <w:r w:rsidR="00876ED6">
        <w:rPr>
          <w:rFonts w:eastAsia="Malgun Gothic"/>
          <w:bCs/>
          <w:color w:val="000000" w:themeColor="text1"/>
          <w:lang w:val="fr-FR"/>
        </w:rPr>
        <w:t xml:space="preserve">ouverture et son </w:t>
      </w:r>
      <w:r w:rsidR="003B573F" w:rsidRPr="003B573F">
        <w:rPr>
          <w:rFonts w:eastAsia="Malgun Gothic"/>
          <w:bCs/>
          <w:color w:val="000000" w:themeColor="text1"/>
          <w:lang w:val="fr-FR"/>
        </w:rPr>
        <w:t xml:space="preserve">aptitude à </w:t>
      </w:r>
      <w:r w:rsidR="00876ED6">
        <w:rPr>
          <w:rFonts w:eastAsia="Malgun Gothic"/>
          <w:bCs/>
          <w:color w:val="000000" w:themeColor="text1"/>
          <w:lang w:val="fr-FR"/>
        </w:rPr>
        <w:t xml:space="preserve">penser </w:t>
      </w:r>
      <w:r w:rsidR="003B573F" w:rsidRPr="003B573F">
        <w:rPr>
          <w:rFonts w:eastAsia="Malgun Gothic"/>
          <w:bCs/>
          <w:color w:val="000000" w:themeColor="text1"/>
          <w:lang w:val="fr-FR"/>
        </w:rPr>
        <w:t>au</w:t>
      </w:r>
      <w:r w:rsidR="002C47A0">
        <w:rPr>
          <w:rFonts w:eastAsia="Malgun Gothic"/>
          <w:bCs/>
          <w:color w:val="000000" w:themeColor="text1"/>
          <w:lang w:val="fr-FR"/>
        </w:rPr>
        <w:noBreakHyphen/>
      </w:r>
      <w:r w:rsidR="003B573F" w:rsidRPr="003B573F">
        <w:rPr>
          <w:rFonts w:eastAsia="Malgun Gothic"/>
          <w:bCs/>
          <w:color w:val="000000" w:themeColor="text1"/>
          <w:lang w:val="fr-FR"/>
        </w:rPr>
        <w:t>delà de la Convention et à la manière dont il était possible d</w:t>
      </w:r>
      <w:r w:rsidR="00923E72">
        <w:rPr>
          <w:rFonts w:eastAsia="Malgun Gothic"/>
          <w:bCs/>
          <w:color w:val="000000" w:themeColor="text1"/>
          <w:lang w:val="fr-FR"/>
        </w:rPr>
        <w:t>’</w:t>
      </w:r>
      <w:r w:rsidR="003B573F" w:rsidRPr="003B573F">
        <w:rPr>
          <w:rFonts w:eastAsia="Malgun Gothic"/>
          <w:bCs/>
          <w:color w:val="000000" w:themeColor="text1"/>
          <w:lang w:val="fr-FR"/>
        </w:rPr>
        <w:t xml:space="preserve">élargir cette Convention. Elle </w:t>
      </w:r>
      <w:r w:rsidR="00876ED6">
        <w:rPr>
          <w:rFonts w:eastAsia="Malgun Gothic"/>
          <w:bCs/>
          <w:color w:val="000000" w:themeColor="text1"/>
          <w:lang w:val="fr-FR"/>
        </w:rPr>
        <w:t xml:space="preserve">pensait </w:t>
      </w:r>
      <w:r w:rsidR="003B573F" w:rsidRPr="003B573F">
        <w:rPr>
          <w:rFonts w:eastAsia="Malgun Gothic"/>
          <w:bCs/>
          <w:color w:val="000000" w:themeColor="text1"/>
          <w:lang w:val="fr-FR"/>
        </w:rPr>
        <w:t>qu</w:t>
      </w:r>
      <w:r w:rsidR="00923E72">
        <w:rPr>
          <w:rFonts w:eastAsia="Malgun Gothic"/>
          <w:bCs/>
          <w:color w:val="000000" w:themeColor="text1"/>
          <w:lang w:val="fr-FR"/>
        </w:rPr>
        <w:t>’</w:t>
      </w:r>
      <w:r w:rsidR="003B573F" w:rsidRPr="003B573F">
        <w:rPr>
          <w:rFonts w:eastAsia="Malgun Gothic"/>
          <w:bCs/>
          <w:color w:val="000000" w:themeColor="text1"/>
          <w:lang w:val="fr-FR"/>
        </w:rPr>
        <w:t>il s</w:t>
      </w:r>
      <w:r w:rsidR="00923E72">
        <w:rPr>
          <w:rFonts w:eastAsia="Malgun Gothic"/>
          <w:bCs/>
          <w:color w:val="000000" w:themeColor="text1"/>
          <w:lang w:val="fr-FR"/>
        </w:rPr>
        <w:t>’</w:t>
      </w:r>
      <w:r w:rsidR="003B573F" w:rsidRPr="003B573F">
        <w:rPr>
          <w:rFonts w:eastAsia="Malgun Gothic"/>
          <w:bCs/>
          <w:color w:val="000000" w:themeColor="text1"/>
          <w:lang w:val="fr-FR"/>
        </w:rPr>
        <w:t>agissait là d</w:t>
      </w:r>
      <w:r w:rsidR="00923E72">
        <w:rPr>
          <w:rFonts w:eastAsia="Malgun Gothic"/>
          <w:bCs/>
          <w:color w:val="000000" w:themeColor="text1"/>
          <w:lang w:val="fr-FR"/>
        </w:rPr>
        <w:t>’</w:t>
      </w:r>
      <w:r w:rsidR="003B573F" w:rsidRPr="003B573F">
        <w:rPr>
          <w:rFonts w:eastAsia="Malgun Gothic"/>
          <w:bCs/>
          <w:color w:val="000000" w:themeColor="text1"/>
          <w:lang w:val="fr-FR"/>
        </w:rPr>
        <w:t>un premier pas dans cette direction et que c</w:t>
      </w:r>
      <w:r w:rsidR="00923E72">
        <w:rPr>
          <w:rFonts w:eastAsia="Malgun Gothic"/>
          <w:bCs/>
          <w:color w:val="000000" w:themeColor="text1"/>
          <w:lang w:val="fr-FR"/>
        </w:rPr>
        <w:t>’</w:t>
      </w:r>
      <w:r w:rsidR="003B573F" w:rsidRPr="003B573F">
        <w:rPr>
          <w:rFonts w:eastAsia="Malgun Gothic"/>
          <w:bCs/>
          <w:color w:val="000000" w:themeColor="text1"/>
          <w:lang w:val="fr-FR"/>
        </w:rPr>
        <w:t>est le patrimoine qui vit et qui est vivant, et que la Convention devait tenir compte de cette évolution et de ce développement.</w:t>
      </w:r>
    </w:p>
    <w:p w14:paraId="5E8E381E" w14:textId="1CC5F200" w:rsidR="00876ED6" w:rsidRPr="00702497" w:rsidRDefault="00876ED6"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color w:val="000000" w:themeColor="text1"/>
          <w:lang w:val="fr-FR"/>
        </w:rPr>
        <w:lastRenderedPageBreak/>
        <w:t>[Une vidéo présentant l</w:t>
      </w:r>
      <w:r w:rsidR="00923E72">
        <w:rPr>
          <w:rFonts w:eastAsia="Malgun Gothic"/>
          <w:bCs/>
          <w:i/>
          <w:iCs/>
          <w:color w:val="000000" w:themeColor="text1"/>
          <w:lang w:val="fr-FR"/>
        </w:rPr>
        <w:t>’</w:t>
      </w:r>
      <w:r w:rsidRPr="00702497">
        <w:rPr>
          <w:rFonts w:eastAsia="Malgun Gothic"/>
          <w:bCs/>
          <w:i/>
          <w:iCs/>
          <w:color w:val="000000" w:themeColor="text1"/>
          <w:lang w:val="fr-FR"/>
        </w:rPr>
        <w:t>élément a été diffusée]</w:t>
      </w:r>
    </w:p>
    <w:p w14:paraId="56A2E4CE" w14:textId="5A5CB666" w:rsidR="00876ED6" w:rsidRDefault="00876ED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76ED6">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876ED6">
        <w:rPr>
          <w:rFonts w:eastAsia="Malgun Gothic"/>
          <w:bCs/>
          <w:lang w:val="fr-FR"/>
        </w:rPr>
        <w:t xml:space="preserve"> </w:t>
      </w:r>
      <w:r>
        <w:rPr>
          <w:rFonts w:eastAsia="Malgun Gothic"/>
          <w:bCs/>
          <w:lang w:val="fr-FR"/>
        </w:rPr>
        <w:t xml:space="preserve">a </w:t>
      </w:r>
      <w:r w:rsidRPr="00876ED6">
        <w:rPr>
          <w:rFonts w:eastAsia="Malgun Gothic"/>
          <w:bCs/>
          <w:lang w:val="fr-FR"/>
        </w:rPr>
        <w:t>présent</w:t>
      </w:r>
      <w:r>
        <w:rPr>
          <w:rFonts w:eastAsia="Malgun Gothic"/>
          <w:bCs/>
          <w:lang w:val="fr-FR"/>
        </w:rPr>
        <w:t>é</w:t>
      </w:r>
      <w:r w:rsidRPr="00876ED6">
        <w:rPr>
          <w:rFonts w:eastAsia="Malgun Gothic"/>
          <w:bCs/>
          <w:lang w:val="fr-FR"/>
        </w:rPr>
        <w:t xml:space="preserve"> le dossier de candidature suivant, </w:t>
      </w:r>
      <w:r w:rsidRPr="00702497">
        <w:rPr>
          <w:rFonts w:eastAsia="Malgun Gothic"/>
          <w:b/>
          <w:lang w:val="fr-FR"/>
        </w:rPr>
        <w:t>les fêtes du</w:t>
      </w:r>
      <w:r w:rsidR="00982AFF">
        <w:rPr>
          <w:rFonts w:eastAsia="Malgun Gothic"/>
          <w:b/>
          <w:lang w:val="fr-FR"/>
        </w:rPr>
        <w:t> </w:t>
      </w:r>
      <w:r w:rsidRPr="00702497">
        <w:rPr>
          <w:rFonts w:eastAsia="Malgun Gothic"/>
          <w:b/>
          <w:lang w:val="fr-FR"/>
        </w:rPr>
        <w:t>15</w:t>
      </w:r>
      <w:r w:rsidR="003A0260">
        <w:rPr>
          <w:rFonts w:eastAsia="Malgun Gothic"/>
          <w:b/>
          <w:lang w:val="fr-FR"/>
        </w:rPr>
        <w:t> </w:t>
      </w:r>
      <w:r w:rsidRPr="00702497">
        <w:rPr>
          <w:rFonts w:eastAsia="Malgun Gothic"/>
          <w:b/>
          <w:lang w:val="fr-FR"/>
        </w:rPr>
        <w:t>août (</w:t>
      </w:r>
      <w:proofErr w:type="spellStart"/>
      <w:r w:rsidRPr="00702497">
        <w:rPr>
          <w:rFonts w:eastAsia="Malgun Gothic"/>
          <w:b/>
          <w:lang w:val="fr-FR"/>
        </w:rPr>
        <w:t>Dekapentavgoustos</w:t>
      </w:r>
      <w:proofErr w:type="spellEnd"/>
      <w:r w:rsidRPr="00702497">
        <w:rPr>
          <w:rFonts w:eastAsia="Malgun Gothic"/>
          <w:b/>
          <w:lang w:val="fr-FR"/>
        </w:rPr>
        <w:t>) dans deux communautés montagnardes du nord de la Grèce</w:t>
      </w:r>
      <w:r w:rsidR="00582687">
        <w:rPr>
          <w:rFonts w:eastAsia="Malgun Gothic"/>
          <w:b/>
          <w:lang w:val="fr-FR"/>
        </w:rPr>
        <w:t> </w:t>
      </w:r>
      <w:r w:rsidRPr="00702497">
        <w:rPr>
          <w:rFonts w:eastAsia="Malgun Gothic"/>
          <w:b/>
          <w:lang w:val="fr-FR"/>
        </w:rPr>
        <w:t xml:space="preserve">: </w:t>
      </w:r>
      <w:proofErr w:type="spellStart"/>
      <w:r w:rsidRPr="00702497">
        <w:rPr>
          <w:rFonts w:eastAsia="Malgun Gothic"/>
          <w:b/>
          <w:lang w:val="fr-FR"/>
        </w:rPr>
        <w:t>Tranos</w:t>
      </w:r>
      <w:proofErr w:type="spellEnd"/>
      <w:r w:rsidRPr="00702497">
        <w:rPr>
          <w:rFonts w:eastAsia="Malgun Gothic"/>
          <w:b/>
          <w:lang w:val="fr-FR"/>
        </w:rPr>
        <w:t xml:space="preserve"> </w:t>
      </w:r>
      <w:proofErr w:type="spellStart"/>
      <w:r w:rsidRPr="00702497">
        <w:rPr>
          <w:rFonts w:eastAsia="Malgun Gothic"/>
          <w:b/>
          <w:lang w:val="fr-FR"/>
        </w:rPr>
        <w:t>Choros</w:t>
      </w:r>
      <w:proofErr w:type="spellEnd"/>
      <w:r w:rsidRPr="00702497">
        <w:rPr>
          <w:rFonts w:eastAsia="Malgun Gothic"/>
          <w:b/>
          <w:lang w:val="fr-FR"/>
        </w:rPr>
        <w:t xml:space="preserve"> (grande danse) à </w:t>
      </w:r>
      <w:proofErr w:type="spellStart"/>
      <w:r w:rsidRPr="00702497">
        <w:rPr>
          <w:rFonts w:eastAsia="Malgun Gothic"/>
          <w:b/>
          <w:lang w:val="fr-FR"/>
        </w:rPr>
        <w:t>Vl</w:t>
      </w:r>
      <w:r w:rsidR="003B3E4B" w:rsidRPr="00702497">
        <w:rPr>
          <w:rFonts w:eastAsia="Malgun Gothic"/>
          <w:b/>
          <w:lang w:val="fr-FR"/>
        </w:rPr>
        <w:t>á</w:t>
      </w:r>
      <w:r w:rsidRPr="00702497">
        <w:rPr>
          <w:rFonts w:eastAsia="Malgun Gothic"/>
          <w:b/>
          <w:lang w:val="fr-FR"/>
        </w:rPr>
        <w:t>sti</w:t>
      </w:r>
      <w:proofErr w:type="spellEnd"/>
      <w:r w:rsidRPr="00702497">
        <w:rPr>
          <w:rFonts w:eastAsia="Malgun Gothic"/>
          <w:b/>
          <w:lang w:val="fr-FR"/>
        </w:rPr>
        <w:t xml:space="preserve"> et le </w:t>
      </w:r>
      <w:r w:rsidR="00582687">
        <w:rPr>
          <w:rFonts w:eastAsia="Malgun Gothic"/>
          <w:b/>
          <w:lang w:val="fr-FR"/>
        </w:rPr>
        <w:t>F</w:t>
      </w:r>
      <w:r w:rsidRPr="00702497">
        <w:rPr>
          <w:rFonts w:eastAsia="Malgun Gothic"/>
          <w:b/>
          <w:lang w:val="fr-FR"/>
        </w:rPr>
        <w:t xml:space="preserve">estival de </w:t>
      </w:r>
      <w:proofErr w:type="spellStart"/>
      <w:r w:rsidRPr="00702497">
        <w:rPr>
          <w:rFonts w:eastAsia="Malgun Gothic"/>
          <w:b/>
          <w:lang w:val="fr-FR"/>
        </w:rPr>
        <w:t>Syrr</w:t>
      </w:r>
      <w:r w:rsidR="003B3E4B" w:rsidRPr="00702497">
        <w:rPr>
          <w:rFonts w:eastAsia="Malgun Gothic"/>
          <w:b/>
          <w:lang w:val="fr-FR"/>
        </w:rPr>
        <w:t>á</w:t>
      </w:r>
      <w:r w:rsidRPr="00702497">
        <w:rPr>
          <w:rFonts w:eastAsia="Malgun Gothic"/>
          <w:b/>
          <w:lang w:val="fr-FR"/>
        </w:rPr>
        <w:t>ko</w:t>
      </w:r>
      <w:proofErr w:type="spellEnd"/>
      <w:r w:rsidRPr="00876ED6">
        <w:rPr>
          <w:rFonts w:eastAsia="Malgun Gothic"/>
          <w:bCs/>
          <w:lang w:val="fr-FR"/>
        </w:rPr>
        <w:t xml:space="preserve"> [projet de décision</w:t>
      </w:r>
      <w:r w:rsidR="002C47A0">
        <w:rPr>
          <w:rFonts w:eastAsia="Malgun Gothic"/>
          <w:bCs/>
          <w:lang w:val="fr-FR"/>
        </w:rPr>
        <w:t> </w:t>
      </w:r>
      <w:r w:rsidRPr="00876ED6">
        <w:rPr>
          <w:rFonts w:eastAsia="Malgun Gothic"/>
          <w:bCs/>
          <w:lang w:val="fr-FR"/>
        </w:rPr>
        <w:t xml:space="preserve">7.b.11], soumis par </w:t>
      </w:r>
      <w:r w:rsidRPr="00F15FCD">
        <w:rPr>
          <w:rFonts w:eastAsia="Malgun Gothic"/>
          <w:bCs/>
          <w:lang w:val="fr-FR"/>
        </w:rPr>
        <w:t>la</w:t>
      </w:r>
      <w:r w:rsidRPr="00876ED6">
        <w:rPr>
          <w:rFonts w:eastAsia="Malgun Gothic"/>
          <w:bCs/>
          <w:lang w:val="fr-FR"/>
        </w:rPr>
        <w:t xml:space="preserve"> </w:t>
      </w:r>
      <w:r w:rsidRPr="00702497">
        <w:rPr>
          <w:rFonts w:eastAsia="Malgun Gothic"/>
          <w:b/>
          <w:lang w:val="fr-FR"/>
        </w:rPr>
        <w:t>Grèce</w:t>
      </w:r>
      <w:r w:rsidRPr="00876ED6">
        <w:rPr>
          <w:rFonts w:eastAsia="Malgun Gothic"/>
          <w:bCs/>
          <w:lang w:val="fr-FR"/>
        </w:rPr>
        <w:t xml:space="preserve">, expliquant </w:t>
      </w:r>
      <w:r w:rsidR="00D93E4A">
        <w:rPr>
          <w:rFonts w:eastAsia="Malgun Gothic"/>
          <w:bCs/>
          <w:lang w:val="fr-FR"/>
        </w:rPr>
        <w:t xml:space="preserve">que </w:t>
      </w:r>
      <w:r w:rsidR="003B3E4B">
        <w:rPr>
          <w:rFonts w:eastAsia="Malgun Gothic"/>
          <w:bCs/>
          <w:lang w:val="fr-FR"/>
        </w:rPr>
        <w:t xml:space="preserve">des fêtes </w:t>
      </w:r>
      <w:r w:rsidRPr="00876ED6">
        <w:rPr>
          <w:rFonts w:eastAsia="Malgun Gothic"/>
          <w:bCs/>
          <w:lang w:val="fr-FR"/>
        </w:rPr>
        <w:t>sont célébré</w:t>
      </w:r>
      <w:r w:rsidR="003B3E4B">
        <w:rPr>
          <w:rFonts w:eastAsia="Malgun Gothic"/>
          <w:bCs/>
          <w:lang w:val="fr-FR"/>
        </w:rPr>
        <w:t>e</w:t>
      </w:r>
      <w:r w:rsidRPr="00876ED6">
        <w:rPr>
          <w:rFonts w:eastAsia="Malgun Gothic"/>
          <w:bCs/>
          <w:lang w:val="fr-FR"/>
        </w:rPr>
        <w:t xml:space="preserve">s dans toute la Grèce pour commémorer la Dormition de la Vierge Marie et que les danses </w:t>
      </w:r>
      <w:r w:rsidR="003B3E4B">
        <w:rPr>
          <w:rFonts w:eastAsia="Malgun Gothic"/>
          <w:bCs/>
          <w:lang w:val="fr-FR"/>
        </w:rPr>
        <w:t xml:space="preserve">et </w:t>
      </w:r>
      <w:r w:rsidRPr="00876ED6">
        <w:rPr>
          <w:rFonts w:eastAsia="Malgun Gothic"/>
          <w:bCs/>
          <w:lang w:val="fr-FR"/>
        </w:rPr>
        <w:t>rituel</w:t>
      </w:r>
      <w:r w:rsidR="003B3E4B">
        <w:rPr>
          <w:rFonts w:eastAsia="Malgun Gothic"/>
          <w:bCs/>
          <w:lang w:val="fr-FR"/>
        </w:rPr>
        <w:t>s</w:t>
      </w:r>
      <w:r w:rsidRPr="00876ED6">
        <w:rPr>
          <w:rFonts w:eastAsia="Malgun Gothic"/>
          <w:bCs/>
          <w:lang w:val="fr-FR"/>
        </w:rPr>
        <w:t xml:space="preserve"> constituent la principale caractéristique de ces deux </w:t>
      </w:r>
      <w:r w:rsidR="003B3E4B">
        <w:rPr>
          <w:rFonts w:eastAsia="Malgun Gothic"/>
          <w:bCs/>
          <w:lang w:val="fr-FR"/>
        </w:rPr>
        <w:t>fêtes</w:t>
      </w:r>
      <w:r w:rsidR="00CC1380">
        <w:rPr>
          <w:rFonts w:eastAsia="Malgun Gothic"/>
          <w:bCs/>
          <w:lang w:val="fr-FR"/>
        </w:rPr>
        <w:t>,</w:t>
      </w:r>
      <w:r w:rsidR="003B3E4B">
        <w:rPr>
          <w:rFonts w:eastAsia="Malgun Gothic"/>
          <w:bCs/>
          <w:lang w:val="fr-FR"/>
        </w:rPr>
        <w:t xml:space="preserve"> </w:t>
      </w:r>
      <w:r w:rsidRPr="00876ED6">
        <w:rPr>
          <w:rFonts w:eastAsia="Malgun Gothic"/>
          <w:bCs/>
          <w:lang w:val="fr-FR"/>
        </w:rPr>
        <w:t>qui sont un symbole d</w:t>
      </w:r>
      <w:r w:rsidR="00923E72">
        <w:rPr>
          <w:rFonts w:eastAsia="Malgun Gothic"/>
          <w:bCs/>
          <w:lang w:val="fr-FR"/>
        </w:rPr>
        <w:t>’</w:t>
      </w:r>
      <w:r w:rsidRPr="00876ED6">
        <w:rPr>
          <w:rFonts w:eastAsia="Malgun Gothic"/>
          <w:bCs/>
          <w:lang w:val="fr-FR"/>
        </w:rPr>
        <w:t>identité qui permet aux prati</w:t>
      </w:r>
      <w:r w:rsidR="003B3E4B">
        <w:rPr>
          <w:rFonts w:eastAsia="Malgun Gothic"/>
          <w:bCs/>
          <w:lang w:val="fr-FR"/>
        </w:rPr>
        <w:t>ciens</w:t>
      </w:r>
      <w:r w:rsidRPr="00876ED6">
        <w:rPr>
          <w:rFonts w:eastAsia="Malgun Gothic"/>
          <w:bCs/>
          <w:lang w:val="fr-FR"/>
        </w:rPr>
        <w:t xml:space="preserve"> de </w:t>
      </w:r>
      <w:r w:rsidR="003B3E4B">
        <w:rPr>
          <w:rFonts w:eastAsia="Malgun Gothic"/>
          <w:bCs/>
          <w:lang w:val="fr-FR"/>
        </w:rPr>
        <w:t xml:space="preserve">garder </w:t>
      </w:r>
      <w:r w:rsidRPr="00876ED6">
        <w:rPr>
          <w:rFonts w:eastAsia="Malgun Gothic"/>
          <w:bCs/>
          <w:lang w:val="fr-FR"/>
        </w:rPr>
        <w:t>des liens avec leur terre d</w:t>
      </w:r>
      <w:r w:rsidR="00923E72">
        <w:rPr>
          <w:rFonts w:eastAsia="Malgun Gothic"/>
          <w:bCs/>
          <w:lang w:val="fr-FR"/>
        </w:rPr>
        <w:t>’</w:t>
      </w:r>
      <w:r w:rsidRPr="00876ED6">
        <w:rPr>
          <w:rFonts w:eastAsia="Malgun Gothic"/>
          <w:bCs/>
          <w:lang w:val="fr-FR"/>
        </w:rPr>
        <w:t>origine. C</w:t>
      </w:r>
      <w:r w:rsidR="00923E72">
        <w:rPr>
          <w:rFonts w:eastAsia="Malgun Gothic"/>
          <w:bCs/>
          <w:lang w:val="fr-FR"/>
        </w:rPr>
        <w:t>’</w:t>
      </w:r>
      <w:r w:rsidRPr="00876ED6">
        <w:rPr>
          <w:rFonts w:eastAsia="Malgun Gothic"/>
          <w:bCs/>
          <w:lang w:val="fr-FR"/>
        </w:rPr>
        <w:t>était l</w:t>
      </w:r>
      <w:r w:rsidR="00923E72">
        <w:rPr>
          <w:rFonts w:eastAsia="Malgun Gothic"/>
          <w:bCs/>
          <w:lang w:val="fr-FR"/>
        </w:rPr>
        <w:t>’</w:t>
      </w:r>
      <w:r w:rsidRPr="00876ED6">
        <w:rPr>
          <w:rFonts w:eastAsia="Malgun Gothic"/>
          <w:bCs/>
          <w:lang w:val="fr-FR"/>
        </w:rPr>
        <w:t>occasion pour les jeunes générations de se rencontrer, d</w:t>
      </w:r>
      <w:r w:rsidR="00923E72">
        <w:rPr>
          <w:rFonts w:eastAsia="Malgun Gothic"/>
          <w:bCs/>
          <w:lang w:val="fr-FR"/>
        </w:rPr>
        <w:t>’</w:t>
      </w:r>
      <w:r w:rsidR="003B3E4B">
        <w:rPr>
          <w:rFonts w:eastAsia="Malgun Gothic"/>
          <w:bCs/>
          <w:lang w:val="fr-FR"/>
        </w:rPr>
        <w:t>échanger</w:t>
      </w:r>
      <w:r w:rsidRPr="00876ED6">
        <w:rPr>
          <w:rFonts w:eastAsia="Malgun Gothic"/>
          <w:bCs/>
          <w:lang w:val="fr-FR"/>
        </w:rPr>
        <w:t xml:space="preserve"> et d</w:t>
      </w:r>
      <w:r w:rsidR="003B3E4B">
        <w:rPr>
          <w:rFonts w:eastAsia="Malgun Gothic"/>
          <w:bCs/>
          <w:lang w:val="fr-FR"/>
        </w:rPr>
        <w:t>e créer des liens d</w:t>
      </w:r>
      <w:r w:rsidR="00923E72">
        <w:rPr>
          <w:rFonts w:eastAsia="Malgun Gothic"/>
          <w:bCs/>
          <w:lang w:val="fr-FR"/>
        </w:rPr>
        <w:t>’</w:t>
      </w:r>
      <w:r w:rsidR="003B3E4B">
        <w:rPr>
          <w:rFonts w:eastAsia="Malgun Gothic"/>
          <w:bCs/>
          <w:lang w:val="fr-FR"/>
        </w:rPr>
        <w:t>amitié</w:t>
      </w:r>
      <w:r w:rsidRPr="00876ED6">
        <w:rPr>
          <w:rFonts w:eastAsia="Malgun Gothic"/>
          <w:bCs/>
          <w:lang w:val="fr-FR"/>
        </w:rPr>
        <w:t xml:space="preserve">, </w:t>
      </w:r>
      <w:r w:rsidR="003B3E4B">
        <w:rPr>
          <w:rFonts w:eastAsia="Malgun Gothic"/>
          <w:bCs/>
          <w:lang w:val="fr-FR"/>
        </w:rPr>
        <w:t xml:space="preserve">mais </w:t>
      </w:r>
      <w:r w:rsidR="003B3E4B" w:rsidRPr="003B3E4B">
        <w:rPr>
          <w:rFonts w:eastAsia="Malgun Gothic"/>
          <w:bCs/>
          <w:color w:val="000000" w:themeColor="text1"/>
          <w:lang w:val="fr-FR"/>
        </w:rPr>
        <w:t>également</w:t>
      </w:r>
      <w:r w:rsidR="003B3E4B">
        <w:rPr>
          <w:rFonts w:eastAsia="Malgun Gothic"/>
          <w:bCs/>
          <w:color w:val="000000" w:themeColor="text1"/>
          <w:lang w:val="fr-FR"/>
        </w:rPr>
        <w:t xml:space="preserve"> </w:t>
      </w:r>
      <w:r w:rsidRPr="00876ED6">
        <w:rPr>
          <w:rFonts w:eastAsia="Malgun Gothic"/>
          <w:bCs/>
          <w:lang w:val="fr-FR"/>
        </w:rPr>
        <w:t>d</w:t>
      </w:r>
      <w:r w:rsidR="00923E72">
        <w:rPr>
          <w:rFonts w:eastAsia="Malgun Gothic"/>
          <w:bCs/>
          <w:lang w:val="fr-FR"/>
        </w:rPr>
        <w:t>’</w:t>
      </w:r>
      <w:r w:rsidRPr="00876ED6">
        <w:rPr>
          <w:rFonts w:eastAsia="Malgun Gothic"/>
          <w:bCs/>
          <w:lang w:val="fr-FR"/>
        </w:rPr>
        <w:t>écouter la langue de leurs ancêtres (</w:t>
      </w:r>
      <w:r w:rsidR="003B3E4B">
        <w:rPr>
          <w:rFonts w:eastAsia="Malgun Gothic"/>
          <w:bCs/>
          <w:lang w:val="fr-FR"/>
        </w:rPr>
        <w:t>l</w:t>
      </w:r>
      <w:r w:rsidR="00923E72">
        <w:rPr>
          <w:rFonts w:eastAsia="Malgun Gothic"/>
          <w:bCs/>
          <w:lang w:val="fr-FR"/>
        </w:rPr>
        <w:t>’</w:t>
      </w:r>
      <w:proofErr w:type="spellStart"/>
      <w:r w:rsidR="003B3E4B">
        <w:rPr>
          <w:rFonts w:eastAsia="Malgun Gothic"/>
          <w:bCs/>
          <w:lang w:val="fr-FR"/>
        </w:rPr>
        <w:t>aroumain</w:t>
      </w:r>
      <w:proofErr w:type="spellEnd"/>
      <w:r w:rsidRPr="00876ED6">
        <w:rPr>
          <w:rFonts w:eastAsia="Malgun Gothic"/>
          <w:bCs/>
          <w:lang w:val="fr-FR"/>
        </w:rPr>
        <w:t>)</w:t>
      </w:r>
      <w:r w:rsidR="003B3E4B">
        <w:rPr>
          <w:rFonts w:eastAsia="Malgun Gothic"/>
          <w:bCs/>
          <w:lang w:val="fr-FR"/>
        </w:rPr>
        <w:t xml:space="preserve"> </w:t>
      </w:r>
      <w:r w:rsidR="003B3E4B" w:rsidRPr="00876ED6">
        <w:rPr>
          <w:rFonts w:eastAsia="Malgun Gothic"/>
          <w:bCs/>
          <w:lang w:val="fr-FR"/>
        </w:rPr>
        <w:t>et de se familiariser avec</w:t>
      </w:r>
      <w:r w:rsidR="003B3E4B">
        <w:rPr>
          <w:rFonts w:eastAsia="Malgun Gothic"/>
          <w:bCs/>
          <w:lang w:val="fr-FR"/>
        </w:rPr>
        <w:t xml:space="preserve"> celle</w:t>
      </w:r>
      <w:r w:rsidR="003B3E4B">
        <w:rPr>
          <w:rFonts w:eastAsia="Malgun Gothic"/>
          <w:bCs/>
          <w:lang w:val="fr-FR"/>
        </w:rPr>
        <w:noBreakHyphen/>
        <w:t>ci</w:t>
      </w:r>
      <w:r w:rsidRPr="00876ED6">
        <w:rPr>
          <w:rFonts w:eastAsia="Malgun Gothic"/>
          <w:bCs/>
          <w:lang w:val="fr-FR"/>
        </w:rPr>
        <w:t>. L</w:t>
      </w:r>
      <w:r w:rsidR="00923E72">
        <w:rPr>
          <w:rFonts w:eastAsia="Malgun Gothic"/>
          <w:bCs/>
          <w:lang w:val="fr-FR"/>
        </w:rPr>
        <w:t>’</w:t>
      </w:r>
      <w:r w:rsidRPr="00876ED6">
        <w:rPr>
          <w:rFonts w:eastAsia="Malgun Gothic"/>
          <w:bCs/>
          <w:lang w:val="fr-FR"/>
        </w:rPr>
        <w:t>Organe d</w:t>
      </w:r>
      <w:r w:rsidR="00923E72">
        <w:rPr>
          <w:rFonts w:eastAsia="Malgun Gothic"/>
          <w:bCs/>
          <w:lang w:val="fr-FR"/>
        </w:rPr>
        <w:t>’</w:t>
      </w:r>
      <w:r w:rsidRPr="00876ED6">
        <w:rPr>
          <w:rFonts w:eastAsia="Malgun Gothic"/>
          <w:bCs/>
          <w:lang w:val="fr-FR"/>
        </w:rPr>
        <w:t>évaluation avait estimé que la candidature satisfaisait à l</w:t>
      </w:r>
      <w:r w:rsidR="00923E72">
        <w:rPr>
          <w:rFonts w:eastAsia="Malgun Gothic"/>
          <w:bCs/>
          <w:lang w:val="fr-FR"/>
        </w:rPr>
        <w:t>’</w:t>
      </w:r>
      <w:r w:rsidRPr="00876ED6">
        <w:rPr>
          <w:rFonts w:eastAsia="Malgun Gothic"/>
          <w:bCs/>
          <w:lang w:val="fr-FR"/>
        </w:rPr>
        <w:t>ensemble des cinq critères. L</w:t>
      </w:r>
      <w:r w:rsidR="00923E72">
        <w:rPr>
          <w:rFonts w:eastAsia="Malgun Gothic"/>
          <w:bCs/>
          <w:lang w:val="fr-FR"/>
        </w:rPr>
        <w:t>’</w:t>
      </w:r>
      <w:r w:rsidRPr="00876ED6">
        <w:rPr>
          <w:rFonts w:eastAsia="Malgun Gothic"/>
          <w:bCs/>
          <w:lang w:val="fr-FR"/>
        </w:rPr>
        <w:t>Organe d</w:t>
      </w:r>
      <w:r w:rsidR="00923E72">
        <w:rPr>
          <w:rFonts w:eastAsia="Malgun Gothic"/>
          <w:bCs/>
          <w:lang w:val="fr-FR"/>
        </w:rPr>
        <w:t>’</w:t>
      </w:r>
      <w:r w:rsidRPr="00876ED6">
        <w:rPr>
          <w:rFonts w:eastAsia="Malgun Gothic"/>
          <w:bCs/>
          <w:lang w:val="fr-FR"/>
        </w:rPr>
        <w:t>évaluation avait également beaucoup apprécié un dossier bien préparé et bien rédigé qui mettait en évidence le rôle du patrimoine culturel immatériel dans l</w:t>
      </w:r>
      <w:r w:rsidR="003B3E4B">
        <w:rPr>
          <w:rFonts w:eastAsia="Malgun Gothic"/>
          <w:bCs/>
          <w:lang w:val="fr-FR"/>
        </w:rPr>
        <w:t xml:space="preserve">e </w:t>
      </w:r>
      <w:r w:rsidR="003B3E4B" w:rsidRPr="003B3E4B">
        <w:rPr>
          <w:rFonts w:eastAsia="Malgun Gothic"/>
          <w:bCs/>
          <w:lang w:val="fr-FR"/>
        </w:rPr>
        <w:t>renforcement</w:t>
      </w:r>
      <w:r w:rsidR="003B3E4B">
        <w:rPr>
          <w:rFonts w:eastAsia="Malgun Gothic"/>
          <w:bCs/>
          <w:lang w:val="fr-FR"/>
        </w:rPr>
        <w:t xml:space="preserve"> </w:t>
      </w:r>
      <w:r w:rsidRPr="00876ED6">
        <w:rPr>
          <w:rFonts w:eastAsia="Malgun Gothic"/>
          <w:bCs/>
          <w:lang w:val="fr-FR"/>
        </w:rPr>
        <w:t xml:space="preserve">de la cohésion sociale au sein de petites communautés rurales </w:t>
      </w:r>
      <w:r w:rsidR="003B3E4B">
        <w:rPr>
          <w:rFonts w:eastAsia="Malgun Gothic"/>
          <w:bCs/>
          <w:lang w:val="fr-FR"/>
        </w:rPr>
        <w:t xml:space="preserve">menacées par </w:t>
      </w:r>
      <w:r w:rsidRPr="00876ED6">
        <w:rPr>
          <w:rFonts w:eastAsia="Malgun Gothic"/>
          <w:bCs/>
          <w:lang w:val="fr-FR"/>
        </w:rPr>
        <w:t>l</w:t>
      </w:r>
      <w:r w:rsidR="00923E72">
        <w:rPr>
          <w:rFonts w:eastAsia="Malgun Gothic"/>
          <w:bCs/>
          <w:lang w:val="fr-FR"/>
        </w:rPr>
        <w:t>’</w:t>
      </w:r>
      <w:r w:rsidRPr="00876ED6">
        <w:rPr>
          <w:rFonts w:eastAsia="Malgun Gothic"/>
          <w:bCs/>
          <w:lang w:val="fr-FR"/>
        </w:rPr>
        <w:t>urbanisation</w:t>
      </w:r>
      <w:r w:rsidR="003B3E4B">
        <w:rPr>
          <w:rFonts w:eastAsia="Malgun Gothic"/>
          <w:bCs/>
          <w:lang w:val="fr-FR"/>
        </w:rPr>
        <w:t xml:space="preserve"> et l</w:t>
      </w:r>
      <w:r w:rsidR="00923E72">
        <w:rPr>
          <w:rFonts w:eastAsia="Malgun Gothic"/>
          <w:bCs/>
          <w:lang w:val="fr-FR"/>
        </w:rPr>
        <w:t>’</w:t>
      </w:r>
      <w:r w:rsidR="003B3E4B">
        <w:rPr>
          <w:rFonts w:eastAsia="Malgun Gothic"/>
          <w:bCs/>
          <w:lang w:val="fr-FR"/>
        </w:rPr>
        <w:t>exode rural</w:t>
      </w:r>
      <w:r w:rsidRPr="00876ED6">
        <w:rPr>
          <w:rFonts w:eastAsia="Malgun Gothic"/>
          <w:bCs/>
          <w:lang w:val="fr-FR"/>
        </w:rPr>
        <w:t>. En conclusion, l</w:t>
      </w:r>
      <w:r w:rsidR="00923E72">
        <w:rPr>
          <w:rFonts w:eastAsia="Malgun Gothic"/>
          <w:bCs/>
          <w:lang w:val="fr-FR"/>
        </w:rPr>
        <w:t>’</w:t>
      </w:r>
      <w:r w:rsidRPr="00876ED6">
        <w:rPr>
          <w:rFonts w:eastAsia="Malgun Gothic"/>
          <w:bCs/>
          <w:lang w:val="fr-FR"/>
        </w:rPr>
        <w:t>Organe d</w:t>
      </w:r>
      <w:r w:rsidR="00923E72">
        <w:rPr>
          <w:rFonts w:eastAsia="Malgun Gothic"/>
          <w:bCs/>
          <w:lang w:val="fr-FR"/>
        </w:rPr>
        <w:t>’</w:t>
      </w:r>
      <w:r w:rsidRPr="00876ED6">
        <w:rPr>
          <w:rFonts w:eastAsia="Malgun Gothic"/>
          <w:bCs/>
          <w:lang w:val="fr-FR"/>
        </w:rPr>
        <w:t>évaluation recommandait l</w:t>
      </w:r>
      <w:r w:rsidR="00923E72">
        <w:rPr>
          <w:rFonts w:eastAsia="Malgun Gothic"/>
          <w:bCs/>
          <w:lang w:val="fr-FR"/>
        </w:rPr>
        <w:t>’</w:t>
      </w:r>
      <w:r w:rsidRPr="00876ED6">
        <w:rPr>
          <w:rFonts w:eastAsia="Malgun Gothic"/>
          <w:bCs/>
          <w:lang w:val="fr-FR"/>
        </w:rPr>
        <w:t>inscription de cet élément sur la Liste représentative.</w:t>
      </w:r>
    </w:p>
    <w:p w14:paraId="0FB85310" w14:textId="0DEAE603" w:rsidR="003B3E4B" w:rsidRDefault="003B3E4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82599B">
        <w:rPr>
          <w:rFonts w:eastAsia="Malgun Gothic"/>
          <w:b/>
          <w:lang w:val="fr-FR"/>
        </w:rPr>
        <w:t> </w:t>
      </w:r>
      <w:r w:rsidR="00751FB1">
        <w:fldChar w:fldCharType="begin"/>
      </w:r>
      <w:r w:rsidR="00751FB1" w:rsidRPr="00751FB1">
        <w:rPr>
          <w:lang w:val="fr-FR"/>
        </w:rPr>
        <w:instrText>HYPERLINK "https://ich.unesco.org/fr/Decisions/17.COM/7.b.11"</w:instrText>
      </w:r>
      <w:r w:rsidR="00751FB1">
        <w:fldChar w:fldCharType="separate"/>
      </w:r>
      <w:r w:rsidRPr="006E3034">
        <w:rPr>
          <w:rStyle w:val="Hyperlink"/>
          <w:b/>
          <w:bCs/>
          <w:lang w:val="fr-FR"/>
        </w:rPr>
        <w:t>17.COM 7.b.11</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7011DE">
        <w:rPr>
          <w:rFonts w:eastAsia="Malgun Gothic"/>
          <w:b/>
          <w:lang w:val="fr-FR"/>
        </w:rPr>
        <w:t>les fêtes du</w:t>
      </w:r>
      <w:r w:rsidR="00982AFF">
        <w:rPr>
          <w:rFonts w:eastAsia="Malgun Gothic"/>
          <w:b/>
          <w:lang w:val="fr-FR"/>
        </w:rPr>
        <w:t> </w:t>
      </w:r>
      <w:r w:rsidRPr="007011DE">
        <w:rPr>
          <w:rFonts w:eastAsia="Malgun Gothic"/>
          <w:b/>
          <w:lang w:val="fr-FR"/>
        </w:rPr>
        <w:t>15</w:t>
      </w:r>
      <w:r w:rsidR="003A0260">
        <w:rPr>
          <w:rFonts w:eastAsia="Malgun Gothic"/>
          <w:b/>
          <w:lang w:val="fr-FR"/>
        </w:rPr>
        <w:t> </w:t>
      </w:r>
      <w:r w:rsidRPr="007011DE">
        <w:rPr>
          <w:rFonts w:eastAsia="Malgun Gothic"/>
          <w:b/>
          <w:lang w:val="fr-FR"/>
        </w:rPr>
        <w:t>août (</w:t>
      </w:r>
      <w:proofErr w:type="spellStart"/>
      <w:r w:rsidRPr="007011DE">
        <w:rPr>
          <w:rFonts w:eastAsia="Malgun Gothic"/>
          <w:b/>
          <w:lang w:val="fr-FR"/>
        </w:rPr>
        <w:t>Dekapentavgoustos</w:t>
      </w:r>
      <w:proofErr w:type="spellEnd"/>
      <w:r w:rsidRPr="007011DE">
        <w:rPr>
          <w:rFonts w:eastAsia="Malgun Gothic"/>
          <w:b/>
          <w:lang w:val="fr-FR"/>
        </w:rPr>
        <w:t>) dans deux communautés montagnardes du nord de la Grèce</w:t>
      </w:r>
      <w:r w:rsidR="00582687">
        <w:rPr>
          <w:rFonts w:eastAsia="Malgun Gothic"/>
          <w:b/>
          <w:lang w:val="fr-FR"/>
        </w:rPr>
        <w:t> </w:t>
      </w:r>
      <w:r w:rsidRPr="007011DE">
        <w:rPr>
          <w:rFonts w:eastAsia="Malgun Gothic"/>
          <w:b/>
          <w:lang w:val="fr-FR"/>
        </w:rPr>
        <w:t xml:space="preserve">: </w:t>
      </w:r>
      <w:proofErr w:type="spellStart"/>
      <w:r w:rsidRPr="007011DE">
        <w:rPr>
          <w:rFonts w:eastAsia="Malgun Gothic"/>
          <w:b/>
          <w:lang w:val="fr-FR"/>
        </w:rPr>
        <w:t>Tranos</w:t>
      </w:r>
      <w:proofErr w:type="spellEnd"/>
      <w:r w:rsidRPr="007011DE">
        <w:rPr>
          <w:rFonts w:eastAsia="Malgun Gothic"/>
          <w:b/>
          <w:lang w:val="fr-FR"/>
        </w:rPr>
        <w:t xml:space="preserve"> </w:t>
      </w:r>
      <w:proofErr w:type="spellStart"/>
      <w:r w:rsidRPr="007011DE">
        <w:rPr>
          <w:rFonts w:eastAsia="Malgun Gothic"/>
          <w:b/>
          <w:lang w:val="fr-FR"/>
        </w:rPr>
        <w:t>Choros</w:t>
      </w:r>
      <w:proofErr w:type="spellEnd"/>
      <w:r w:rsidRPr="007011DE">
        <w:rPr>
          <w:rFonts w:eastAsia="Malgun Gothic"/>
          <w:b/>
          <w:lang w:val="fr-FR"/>
        </w:rPr>
        <w:t xml:space="preserve"> (grande danse) à </w:t>
      </w:r>
      <w:proofErr w:type="spellStart"/>
      <w:r w:rsidRPr="007011DE">
        <w:rPr>
          <w:rFonts w:eastAsia="Malgun Gothic"/>
          <w:b/>
          <w:lang w:val="fr-FR"/>
        </w:rPr>
        <w:t>Vlásti</w:t>
      </w:r>
      <w:proofErr w:type="spellEnd"/>
      <w:r w:rsidRPr="007011DE">
        <w:rPr>
          <w:rFonts w:eastAsia="Malgun Gothic"/>
          <w:b/>
          <w:lang w:val="fr-FR"/>
        </w:rPr>
        <w:t xml:space="preserve"> et le </w:t>
      </w:r>
      <w:r w:rsidR="00582687">
        <w:rPr>
          <w:rFonts w:eastAsia="Malgun Gothic"/>
          <w:b/>
          <w:lang w:val="fr-FR"/>
        </w:rPr>
        <w:t>F</w:t>
      </w:r>
      <w:r w:rsidRPr="007011DE">
        <w:rPr>
          <w:rFonts w:eastAsia="Malgun Gothic"/>
          <w:b/>
          <w:lang w:val="fr-FR"/>
        </w:rPr>
        <w:t xml:space="preserve">estival de </w:t>
      </w:r>
      <w:proofErr w:type="spellStart"/>
      <w:r w:rsidRPr="007011DE">
        <w:rPr>
          <w:rFonts w:eastAsia="Malgun Gothic"/>
          <w:b/>
          <w:lang w:val="fr-FR"/>
        </w:rPr>
        <w:t>Syrráko</w:t>
      </w:r>
      <w:proofErr w:type="spellEnd"/>
      <w:r w:rsidRPr="00876ED6">
        <w:rPr>
          <w:rFonts w:eastAsia="Malgun Gothic"/>
          <w:bCs/>
          <w:lang w:val="fr-FR"/>
        </w:rPr>
        <w:t xml:space="preserve"> </w:t>
      </w:r>
      <w:r>
        <w:rPr>
          <w:rFonts w:eastAsia="Malgun Gothic"/>
          <w:b/>
          <w:lang w:val="fr-FR"/>
        </w:rPr>
        <w:t>sur la Liste représentative</w:t>
      </w:r>
      <w:r>
        <w:rPr>
          <w:rFonts w:eastAsia="Malgun Gothic"/>
          <w:bCs/>
          <w:lang w:val="fr-FR"/>
        </w:rPr>
        <w:t>.</w:t>
      </w:r>
    </w:p>
    <w:p w14:paraId="42535F2E" w14:textId="5DB25BBA" w:rsidR="003B3E4B" w:rsidRDefault="0058268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82687">
        <w:rPr>
          <w:rFonts w:eastAsia="Malgun Gothic"/>
          <w:bCs/>
          <w:lang w:val="fr-FR"/>
        </w:rPr>
        <w:t xml:space="preserve">La délégation de la </w:t>
      </w:r>
      <w:r w:rsidRPr="00702497">
        <w:rPr>
          <w:rFonts w:eastAsia="Malgun Gothic"/>
          <w:b/>
          <w:lang w:val="fr-FR"/>
        </w:rPr>
        <w:t>Grèce</w:t>
      </w:r>
      <w:r w:rsidRPr="00582687">
        <w:rPr>
          <w:rFonts w:eastAsia="Malgun Gothic"/>
          <w:bCs/>
          <w:lang w:val="fr-FR"/>
        </w:rPr>
        <w:t xml:space="preserve"> s</w:t>
      </w:r>
      <w:r w:rsidR="00923E72">
        <w:rPr>
          <w:rFonts w:eastAsia="Malgun Gothic"/>
          <w:bCs/>
          <w:lang w:val="fr-FR"/>
        </w:rPr>
        <w:t>’</w:t>
      </w:r>
      <w:r w:rsidRPr="00582687">
        <w:rPr>
          <w:rFonts w:eastAsia="Malgun Gothic"/>
          <w:bCs/>
          <w:lang w:val="fr-FR"/>
        </w:rPr>
        <w:t>est exprimée au nom des communautés de détenteurs pour remercier l</w:t>
      </w:r>
      <w:r w:rsidR="00923E72">
        <w:rPr>
          <w:rFonts w:eastAsia="Malgun Gothic"/>
          <w:bCs/>
          <w:lang w:val="fr-FR"/>
        </w:rPr>
        <w:t>’</w:t>
      </w:r>
      <w:r w:rsidRPr="00582687">
        <w:rPr>
          <w:rFonts w:eastAsia="Malgun Gothic"/>
          <w:bCs/>
          <w:lang w:val="fr-FR"/>
        </w:rPr>
        <w:t>Organe d</w:t>
      </w:r>
      <w:r w:rsidR="00923E72">
        <w:rPr>
          <w:rFonts w:eastAsia="Malgun Gothic"/>
          <w:bCs/>
          <w:lang w:val="fr-FR"/>
        </w:rPr>
        <w:t>’</w:t>
      </w:r>
      <w:r w:rsidRPr="00582687">
        <w:rPr>
          <w:rFonts w:eastAsia="Malgun Gothic"/>
          <w:bCs/>
          <w:lang w:val="fr-FR"/>
        </w:rPr>
        <w:t xml:space="preserve">évaluation et le Secrétariat </w:t>
      </w:r>
      <w:r w:rsidR="00982AFF">
        <w:rPr>
          <w:rFonts w:eastAsia="Malgun Gothic"/>
          <w:bCs/>
          <w:lang w:val="fr-FR"/>
        </w:rPr>
        <w:t xml:space="preserve">de </w:t>
      </w:r>
      <w:r w:rsidRPr="00582687">
        <w:rPr>
          <w:rFonts w:eastAsia="Malgun Gothic"/>
          <w:bCs/>
          <w:lang w:val="fr-FR"/>
        </w:rPr>
        <w:t xml:space="preserve">leurs efforts constants </w:t>
      </w:r>
      <w:r>
        <w:rPr>
          <w:rFonts w:eastAsia="Malgun Gothic"/>
          <w:bCs/>
          <w:lang w:val="fr-FR"/>
        </w:rPr>
        <w:t xml:space="preserve">de </w:t>
      </w:r>
      <w:r w:rsidRPr="00582687">
        <w:rPr>
          <w:rFonts w:eastAsia="Malgun Gothic"/>
          <w:bCs/>
          <w:lang w:val="fr-FR"/>
        </w:rPr>
        <w:t>mise en œuvre de la Convention et pour l</w:t>
      </w:r>
      <w:r w:rsidR="00923E72">
        <w:rPr>
          <w:rFonts w:eastAsia="Malgun Gothic"/>
          <w:bCs/>
          <w:lang w:val="fr-FR"/>
        </w:rPr>
        <w:t>’</w:t>
      </w:r>
      <w:r w:rsidRPr="00582687">
        <w:rPr>
          <w:rFonts w:eastAsia="Malgun Gothic"/>
          <w:bCs/>
          <w:lang w:val="fr-FR"/>
        </w:rPr>
        <w:t>inscription d</w:t>
      </w:r>
      <w:r w:rsidR="00923E72">
        <w:rPr>
          <w:rFonts w:eastAsia="Malgun Gothic"/>
          <w:bCs/>
          <w:lang w:val="fr-FR"/>
        </w:rPr>
        <w:t>’</w:t>
      </w:r>
      <w:r w:rsidRPr="00582687">
        <w:rPr>
          <w:rFonts w:eastAsia="Malgun Gothic"/>
          <w:bCs/>
          <w:lang w:val="fr-FR"/>
        </w:rPr>
        <w:t>un élément précieux du patrimoine culturel immatériel en Grèce. Elle a précisé que les festivités du</w:t>
      </w:r>
      <w:r w:rsidR="00982AFF">
        <w:rPr>
          <w:rFonts w:eastAsia="Malgun Gothic"/>
          <w:bCs/>
          <w:lang w:val="fr-FR"/>
        </w:rPr>
        <w:t> </w:t>
      </w:r>
      <w:r w:rsidRPr="00582687">
        <w:rPr>
          <w:rFonts w:eastAsia="Malgun Gothic"/>
          <w:bCs/>
          <w:lang w:val="fr-FR"/>
        </w:rPr>
        <w:t>15</w:t>
      </w:r>
      <w:r w:rsidR="003A0260">
        <w:rPr>
          <w:rFonts w:eastAsia="Malgun Gothic"/>
          <w:bCs/>
          <w:lang w:val="fr-FR"/>
        </w:rPr>
        <w:t> </w:t>
      </w:r>
      <w:r w:rsidRPr="00582687">
        <w:rPr>
          <w:rFonts w:eastAsia="Malgun Gothic"/>
          <w:bCs/>
          <w:lang w:val="fr-FR"/>
        </w:rPr>
        <w:t>août (</w:t>
      </w:r>
      <w:proofErr w:type="spellStart"/>
      <w:r w:rsidRPr="00582687">
        <w:rPr>
          <w:rFonts w:eastAsia="Malgun Gothic"/>
          <w:bCs/>
          <w:lang w:val="fr-FR"/>
        </w:rPr>
        <w:t>Dekapentavgoustos</w:t>
      </w:r>
      <w:proofErr w:type="spellEnd"/>
      <w:r w:rsidRPr="00582687">
        <w:rPr>
          <w:rFonts w:eastAsia="Malgun Gothic"/>
          <w:bCs/>
          <w:lang w:val="fr-FR"/>
        </w:rPr>
        <w:t xml:space="preserve">) à </w:t>
      </w:r>
      <w:proofErr w:type="spellStart"/>
      <w:r w:rsidRPr="00582687">
        <w:rPr>
          <w:rFonts w:eastAsia="Malgun Gothic"/>
          <w:bCs/>
          <w:lang w:val="fr-FR"/>
        </w:rPr>
        <w:t>Syrrako</w:t>
      </w:r>
      <w:proofErr w:type="spellEnd"/>
      <w:r w:rsidRPr="00582687">
        <w:rPr>
          <w:rFonts w:eastAsia="Malgun Gothic"/>
          <w:bCs/>
          <w:lang w:val="fr-FR"/>
        </w:rPr>
        <w:t xml:space="preserve"> et </w:t>
      </w:r>
      <w:proofErr w:type="spellStart"/>
      <w:r w:rsidRPr="00582687">
        <w:rPr>
          <w:rFonts w:eastAsia="Malgun Gothic"/>
          <w:bCs/>
          <w:lang w:val="fr-FR"/>
        </w:rPr>
        <w:t>Vlasti</w:t>
      </w:r>
      <w:proofErr w:type="spellEnd"/>
      <w:r w:rsidRPr="00582687">
        <w:rPr>
          <w:rFonts w:eastAsia="Malgun Gothic"/>
          <w:bCs/>
          <w:lang w:val="fr-FR"/>
        </w:rPr>
        <w:t xml:space="preserve"> sont un élément essentiel de l</w:t>
      </w:r>
      <w:r w:rsidR="00923E72">
        <w:rPr>
          <w:rFonts w:eastAsia="Malgun Gothic"/>
          <w:bCs/>
          <w:lang w:val="fr-FR"/>
        </w:rPr>
        <w:t>’</w:t>
      </w:r>
      <w:r w:rsidRPr="00582687">
        <w:rPr>
          <w:rFonts w:eastAsia="Malgun Gothic"/>
          <w:bCs/>
          <w:lang w:val="fr-FR"/>
        </w:rPr>
        <w:t>identité des personnes qui vivent dans ces deux villages de montagne ou qui en sont originaires et que les fêtes rassemblent toutes les personnes originaires de ces villages</w:t>
      </w:r>
      <w:r w:rsidR="00CD4452">
        <w:rPr>
          <w:rFonts w:eastAsia="Malgun Gothic"/>
          <w:bCs/>
          <w:lang w:val="fr-FR"/>
        </w:rPr>
        <w:t>,</w:t>
      </w:r>
      <w:r w:rsidRPr="00582687">
        <w:rPr>
          <w:rFonts w:eastAsia="Malgun Gothic"/>
          <w:bCs/>
          <w:lang w:val="fr-FR"/>
        </w:rPr>
        <w:t xml:space="preserve"> revenues sur leur terre natale, ne serait-ce que pour une semaine au mois d</w:t>
      </w:r>
      <w:r w:rsidR="00923E72">
        <w:rPr>
          <w:rFonts w:eastAsia="Malgun Gothic"/>
          <w:bCs/>
          <w:lang w:val="fr-FR"/>
        </w:rPr>
        <w:t>’</w:t>
      </w:r>
      <w:r w:rsidRPr="00582687">
        <w:rPr>
          <w:rFonts w:eastAsia="Malgun Gothic"/>
          <w:bCs/>
          <w:lang w:val="fr-FR"/>
        </w:rPr>
        <w:t xml:space="preserve">août. Cet événement était primordial, en particulier pour </w:t>
      </w:r>
      <w:proofErr w:type="spellStart"/>
      <w:r w:rsidRPr="00582687">
        <w:rPr>
          <w:rFonts w:eastAsia="Malgun Gothic"/>
          <w:bCs/>
          <w:lang w:val="fr-FR"/>
        </w:rPr>
        <w:t>Syrrako</w:t>
      </w:r>
      <w:proofErr w:type="spellEnd"/>
      <w:r w:rsidR="00CC1380">
        <w:rPr>
          <w:rFonts w:eastAsia="Malgun Gothic"/>
          <w:bCs/>
          <w:lang w:val="fr-FR"/>
        </w:rPr>
        <w:t>,</w:t>
      </w:r>
      <w:r w:rsidRPr="00582687">
        <w:rPr>
          <w:rFonts w:eastAsia="Malgun Gothic"/>
          <w:bCs/>
          <w:lang w:val="fr-FR"/>
        </w:rPr>
        <w:t xml:space="preserve"> qui est confronté à un grave problème de dépeuplement. L</w:t>
      </w:r>
      <w:r w:rsidR="00923E72">
        <w:rPr>
          <w:rFonts w:eastAsia="Malgun Gothic"/>
          <w:bCs/>
          <w:lang w:val="fr-FR"/>
        </w:rPr>
        <w:t>’</w:t>
      </w:r>
      <w:r w:rsidRPr="00582687">
        <w:rPr>
          <w:rFonts w:eastAsia="Malgun Gothic"/>
          <w:bCs/>
          <w:lang w:val="fr-FR"/>
        </w:rPr>
        <w:t>inscription soulignait l</w:t>
      </w:r>
      <w:r w:rsidR="00923E72">
        <w:rPr>
          <w:rFonts w:eastAsia="Malgun Gothic"/>
          <w:bCs/>
          <w:lang w:val="fr-FR"/>
        </w:rPr>
        <w:t>’</w:t>
      </w:r>
      <w:r w:rsidRPr="00582687">
        <w:rPr>
          <w:rFonts w:eastAsia="Malgun Gothic"/>
          <w:bCs/>
          <w:lang w:val="fr-FR"/>
        </w:rPr>
        <w:t>importance de préserver un sentiment d</w:t>
      </w:r>
      <w:r w:rsidR="00923E72">
        <w:rPr>
          <w:rFonts w:eastAsia="Malgun Gothic"/>
          <w:bCs/>
          <w:lang w:val="fr-FR"/>
        </w:rPr>
        <w:t>’</w:t>
      </w:r>
      <w:r w:rsidRPr="00582687">
        <w:rPr>
          <w:rFonts w:eastAsia="Malgun Gothic"/>
          <w:bCs/>
          <w:lang w:val="fr-FR"/>
        </w:rPr>
        <w:t xml:space="preserve">appartenance dans des situations difficiles, ce qui est particulièrement précieux pour les migrants et les communautés déplacées. Elle a souligné que la ténacité avec laquelle les </w:t>
      </w:r>
      <w:proofErr w:type="spellStart"/>
      <w:r w:rsidRPr="00582687">
        <w:rPr>
          <w:rFonts w:eastAsia="Malgun Gothic"/>
          <w:bCs/>
          <w:lang w:val="fr-FR"/>
        </w:rPr>
        <w:t>Vlatsiotes</w:t>
      </w:r>
      <w:proofErr w:type="spellEnd"/>
      <w:r w:rsidRPr="00582687">
        <w:rPr>
          <w:rFonts w:eastAsia="Malgun Gothic"/>
          <w:bCs/>
          <w:lang w:val="fr-FR"/>
        </w:rPr>
        <w:t xml:space="preserve"> et les </w:t>
      </w:r>
      <w:proofErr w:type="spellStart"/>
      <w:r w:rsidRPr="00582687">
        <w:rPr>
          <w:rFonts w:eastAsia="Malgun Gothic"/>
          <w:bCs/>
          <w:lang w:val="fr-FR"/>
        </w:rPr>
        <w:t>Syrrakiotes</w:t>
      </w:r>
      <w:proofErr w:type="spellEnd"/>
      <w:r w:rsidRPr="00582687">
        <w:rPr>
          <w:rFonts w:eastAsia="Malgun Gothic"/>
          <w:bCs/>
          <w:lang w:val="fr-FR"/>
        </w:rPr>
        <w:t xml:space="preserve"> célèbrent leurs fêtes annuelles dans leur lieu d</w:t>
      </w:r>
      <w:r w:rsidR="00923E72">
        <w:rPr>
          <w:rFonts w:eastAsia="Malgun Gothic"/>
          <w:bCs/>
          <w:lang w:val="fr-FR"/>
        </w:rPr>
        <w:t>’</w:t>
      </w:r>
      <w:r w:rsidRPr="00582687">
        <w:rPr>
          <w:rFonts w:eastAsia="Malgun Gothic"/>
          <w:bCs/>
          <w:lang w:val="fr-FR"/>
        </w:rPr>
        <w:t>origine, quelle que soit la distance qui les sépare de celui-ci, peut être une source d</w:t>
      </w:r>
      <w:r w:rsidR="00923E72">
        <w:rPr>
          <w:rFonts w:eastAsia="Malgun Gothic"/>
          <w:bCs/>
          <w:lang w:val="fr-FR"/>
        </w:rPr>
        <w:t>’</w:t>
      </w:r>
      <w:r w:rsidRPr="00582687">
        <w:rPr>
          <w:rFonts w:eastAsia="Malgun Gothic"/>
          <w:bCs/>
          <w:lang w:val="fr-FR"/>
        </w:rPr>
        <w:t>inspiration pour tous les migrants, car ces deux fêtes renouent chaque année des liens communautaires qui, autrement, auraient été perdus. Ce renouvellement des liens communautaires et de l</w:t>
      </w:r>
      <w:r w:rsidR="00923E72">
        <w:rPr>
          <w:rFonts w:eastAsia="Malgun Gothic"/>
          <w:bCs/>
          <w:lang w:val="fr-FR"/>
        </w:rPr>
        <w:t>’</w:t>
      </w:r>
      <w:r w:rsidRPr="00582687">
        <w:rPr>
          <w:rFonts w:eastAsia="Malgun Gothic"/>
          <w:bCs/>
          <w:lang w:val="fr-FR"/>
        </w:rPr>
        <w:t>identité au cours des fêtes annuelles était une expérience partagée dans les villages de toute la Grèce et probablement dans tout le sud-est de l</w:t>
      </w:r>
      <w:r w:rsidR="00923E72">
        <w:rPr>
          <w:rFonts w:eastAsia="Malgun Gothic"/>
          <w:bCs/>
          <w:lang w:val="fr-FR"/>
        </w:rPr>
        <w:t>’</w:t>
      </w:r>
      <w:r w:rsidRPr="00582687">
        <w:rPr>
          <w:rFonts w:eastAsia="Malgun Gothic"/>
          <w:bCs/>
          <w:lang w:val="fr-FR"/>
        </w:rPr>
        <w:t xml:space="preserve">Europe où </w:t>
      </w:r>
      <w:r w:rsidR="00CD4452">
        <w:rPr>
          <w:rFonts w:eastAsia="Malgun Gothic"/>
          <w:bCs/>
          <w:lang w:val="fr-FR"/>
        </w:rPr>
        <w:t>l</w:t>
      </w:r>
      <w:r w:rsidR="00923E72">
        <w:rPr>
          <w:rFonts w:eastAsia="Malgun Gothic"/>
          <w:bCs/>
          <w:lang w:val="fr-FR"/>
        </w:rPr>
        <w:t>’</w:t>
      </w:r>
      <w:r w:rsidR="00CD4452">
        <w:rPr>
          <w:rFonts w:eastAsia="Malgun Gothic"/>
          <w:bCs/>
          <w:lang w:val="fr-FR"/>
        </w:rPr>
        <w:t xml:space="preserve">on pouvait observer </w:t>
      </w:r>
      <w:r w:rsidRPr="00582687">
        <w:rPr>
          <w:rFonts w:eastAsia="Malgun Gothic"/>
          <w:bCs/>
          <w:lang w:val="fr-FR"/>
        </w:rPr>
        <w:t>des tendances similaires de dépeuplement des communautés montagnardes. L</w:t>
      </w:r>
      <w:r w:rsidR="00923E72">
        <w:rPr>
          <w:rFonts w:eastAsia="Malgun Gothic"/>
          <w:bCs/>
          <w:lang w:val="fr-FR"/>
        </w:rPr>
        <w:t>’</w:t>
      </w:r>
      <w:r w:rsidRPr="00582687">
        <w:rPr>
          <w:rFonts w:eastAsia="Malgun Gothic"/>
          <w:bCs/>
          <w:lang w:val="fr-FR"/>
        </w:rPr>
        <w:t>inscription de l</w:t>
      </w:r>
      <w:r w:rsidR="00923E72">
        <w:rPr>
          <w:rFonts w:eastAsia="Malgun Gothic"/>
          <w:bCs/>
          <w:lang w:val="fr-FR"/>
        </w:rPr>
        <w:t>’</w:t>
      </w:r>
      <w:r w:rsidRPr="00582687">
        <w:rPr>
          <w:rFonts w:eastAsia="Malgun Gothic"/>
          <w:bCs/>
          <w:lang w:val="fr-FR"/>
        </w:rPr>
        <w:t>élément soulignait le pouvoir de la mémoire collective et des identités locales, qui semblent particulièrement attrayantes pour les jeunes générations. La créativité humaine sous forme de musique, de danse et de chant, en tant qu</w:t>
      </w:r>
      <w:r w:rsidR="00923E72">
        <w:rPr>
          <w:rFonts w:eastAsia="Malgun Gothic"/>
          <w:bCs/>
          <w:lang w:val="fr-FR"/>
        </w:rPr>
        <w:t>’</w:t>
      </w:r>
      <w:r w:rsidRPr="00582687">
        <w:rPr>
          <w:rFonts w:eastAsia="Malgun Gothic"/>
          <w:bCs/>
          <w:lang w:val="fr-FR"/>
        </w:rPr>
        <w:t>expérience de groupe et mémoire collective consciente, contribuait au remodelage dynamique des identités locales. Sur leur lieu de résidence permanente, les jeunes comprenaient le monde et s</w:t>
      </w:r>
      <w:r w:rsidR="00923E72">
        <w:rPr>
          <w:rFonts w:eastAsia="Malgun Gothic"/>
          <w:bCs/>
          <w:lang w:val="fr-FR"/>
        </w:rPr>
        <w:t>’</w:t>
      </w:r>
      <w:r w:rsidRPr="00582687">
        <w:rPr>
          <w:rFonts w:eastAsia="Malgun Gothic"/>
          <w:bCs/>
          <w:lang w:val="fr-FR"/>
        </w:rPr>
        <w:t>exprimaient en utilisant de manière innovante des modèles de musique et de danse séculaires. Cette inscription valorisait les éléments du patrimoine culturel immatériel en tant que moteurs et facilitateurs de la cohésion sociale et de la durabilité. Le patrimoine culturel immatériel s</w:t>
      </w:r>
      <w:r w:rsidR="00923E72">
        <w:rPr>
          <w:rFonts w:eastAsia="Malgun Gothic"/>
          <w:bCs/>
          <w:lang w:val="fr-FR"/>
        </w:rPr>
        <w:t>’</w:t>
      </w:r>
      <w:r w:rsidRPr="00582687">
        <w:rPr>
          <w:rFonts w:eastAsia="Malgun Gothic"/>
          <w:bCs/>
          <w:lang w:val="fr-FR"/>
        </w:rPr>
        <w:t>épanouissait dans ces communautés et se perpétuait aujourd</w:t>
      </w:r>
      <w:r w:rsidR="00923E72">
        <w:rPr>
          <w:rFonts w:eastAsia="Malgun Gothic"/>
          <w:bCs/>
          <w:lang w:val="fr-FR"/>
        </w:rPr>
        <w:t>’</w:t>
      </w:r>
      <w:r w:rsidRPr="00582687">
        <w:rPr>
          <w:rFonts w:eastAsia="Malgun Gothic"/>
          <w:bCs/>
          <w:lang w:val="fr-FR"/>
        </w:rPr>
        <w:t xml:space="preserve">hui à travers la reconstruction symbolique </w:t>
      </w:r>
      <w:r w:rsidR="00CD4452">
        <w:rPr>
          <w:rFonts w:eastAsia="Malgun Gothic"/>
          <w:bCs/>
          <w:lang w:val="fr-FR"/>
        </w:rPr>
        <w:t xml:space="preserve">performative </w:t>
      </w:r>
      <w:r w:rsidRPr="00582687">
        <w:rPr>
          <w:rFonts w:eastAsia="Malgun Gothic"/>
          <w:bCs/>
          <w:lang w:val="fr-FR"/>
        </w:rPr>
        <w:t>de ces deux communautés montagnardes.</w:t>
      </w:r>
    </w:p>
    <w:p w14:paraId="4542ED59" w14:textId="44FFBBC0" w:rsidR="00CD4452" w:rsidRDefault="00CD445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félicité tous les États soumissionnaires et a levé la séance.</w:t>
      </w:r>
    </w:p>
    <w:p w14:paraId="21D29D6D" w14:textId="77777777" w:rsidR="00FD22BF" w:rsidRDefault="00FD22BF"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7F5666B1" w14:textId="77777777" w:rsidR="00CA5A46" w:rsidRDefault="00CA5A46"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1613FF13" w14:textId="1E75DE97" w:rsidR="00CD4452" w:rsidRDefault="00CD4452" w:rsidP="00CD4452">
      <w:pPr>
        <w:pStyle w:val="Orateurengris"/>
        <w:tabs>
          <w:tab w:val="clear" w:pos="709"/>
          <w:tab w:val="clear" w:pos="1418"/>
          <w:tab w:val="clear" w:pos="2126"/>
          <w:tab w:val="clear" w:pos="2835"/>
          <w:tab w:val="left" w:pos="4962"/>
        </w:tabs>
        <w:spacing w:before="120" w:after="0"/>
        <w:ind w:left="720"/>
        <w:jc w:val="center"/>
        <w:rPr>
          <w:rFonts w:eastAsia="Malgun Gothic"/>
          <w:bCs/>
          <w:i/>
          <w:iCs/>
          <w:lang w:val="fr-FR"/>
        </w:rPr>
      </w:pPr>
      <w:r w:rsidRPr="00702497">
        <w:rPr>
          <w:rFonts w:eastAsia="Malgun Gothic"/>
          <w:bCs/>
          <w:i/>
          <w:iCs/>
          <w:lang w:val="fr-FR"/>
        </w:rPr>
        <w:lastRenderedPageBreak/>
        <w:t>[Mercredi 30</w:t>
      </w:r>
      <w:r w:rsidR="001A7AF7">
        <w:rPr>
          <w:rFonts w:eastAsia="Malgun Gothic"/>
          <w:bCs/>
          <w:i/>
          <w:iCs/>
          <w:lang w:val="fr-FR"/>
        </w:rPr>
        <w:t> </w:t>
      </w:r>
      <w:r w:rsidRPr="00702497">
        <w:rPr>
          <w:rFonts w:eastAsia="Malgun Gothic"/>
          <w:bCs/>
          <w:i/>
          <w:iCs/>
          <w:lang w:val="fr-FR"/>
        </w:rPr>
        <w:t>novembre</w:t>
      </w:r>
      <w:r w:rsidR="001A7AF7">
        <w:rPr>
          <w:rFonts w:eastAsia="Malgun Gothic"/>
          <w:bCs/>
          <w:i/>
          <w:iCs/>
          <w:lang w:val="fr-FR"/>
        </w:rPr>
        <w:t> </w:t>
      </w:r>
      <w:r w:rsidRPr="00702497">
        <w:rPr>
          <w:rFonts w:eastAsia="Malgun Gothic"/>
          <w:bCs/>
          <w:i/>
          <w:iCs/>
          <w:lang w:val="fr-FR"/>
        </w:rPr>
        <w:t>2022, séance de l</w:t>
      </w:r>
      <w:r w:rsidR="00923E72">
        <w:rPr>
          <w:rFonts w:eastAsia="Malgun Gothic"/>
          <w:bCs/>
          <w:i/>
          <w:iCs/>
          <w:lang w:val="fr-FR"/>
        </w:rPr>
        <w:t>’</w:t>
      </w:r>
      <w:r w:rsidRPr="00702497">
        <w:rPr>
          <w:rFonts w:eastAsia="Malgun Gothic"/>
          <w:bCs/>
          <w:i/>
          <w:iCs/>
          <w:lang w:val="fr-FR"/>
        </w:rPr>
        <w:t>après-midi]</w:t>
      </w:r>
    </w:p>
    <w:p w14:paraId="778AE2C8" w14:textId="77777777" w:rsidR="00FD22BF" w:rsidRPr="00702497" w:rsidRDefault="00FD22BF" w:rsidP="00702497">
      <w:pPr>
        <w:pStyle w:val="Orateurengris"/>
        <w:tabs>
          <w:tab w:val="clear" w:pos="709"/>
          <w:tab w:val="clear" w:pos="1418"/>
          <w:tab w:val="clear" w:pos="2126"/>
          <w:tab w:val="clear" w:pos="2835"/>
          <w:tab w:val="left" w:pos="4962"/>
        </w:tabs>
        <w:spacing w:before="120" w:after="0"/>
        <w:ind w:left="720"/>
        <w:jc w:val="center"/>
        <w:rPr>
          <w:rFonts w:eastAsia="Malgun Gothic"/>
          <w:bCs/>
          <w:i/>
          <w:iCs/>
          <w:lang w:val="fr-FR"/>
        </w:rPr>
      </w:pPr>
    </w:p>
    <w:p w14:paraId="170D0D0A" w14:textId="2AE90F8A" w:rsidR="00FD22BF" w:rsidRPr="006E3034" w:rsidRDefault="00FD22BF" w:rsidP="00FD22BF">
      <w:pPr>
        <w:pStyle w:val="Orateurengris"/>
        <w:tabs>
          <w:tab w:val="clear" w:pos="709"/>
          <w:tab w:val="clear" w:pos="1418"/>
          <w:tab w:val="clear" w:pos="2126"/>
          <w:tab w:val="clear" w:pos="2835"/>
          <w:tab w:val="left" w:pos="4962"/>
        </w:tabs>
        <w:spacing w:before="120" w:after="0"/>
        <w:jc w:val="left"/>
        <w:rPr>
          <w:rFonts w:eastAsia="Malgun Gothic"/>
          <w:bCs/>
          <w:i/>
          <w:iCs/>
          <w:lang w:val="fr-FR"/>
        </w:rPr>
      </w:pPr>
      <w:r w:rsidRPr="007011DE">
        <w:rPr>
          <w:b/>
          <w:color w:val="000000" w:themeColor="text1"/>
          <w:u w:val="single"/>
          <w:lang w:val="fr-FR"/>
        </w:rPr>
        <w:t>POINT</w:t>
      </w:r>
      <w:r w:rsidR="002B668C">
        <w:rPr>
          <w:b/>
          <w:color w:val="000000" w:themeColor="text1"/>
          <w:u w:val="single"/>
          <w:lang w:val="fr-FR"/>
        </w:rPr>
        <w:t> </w:t>
      </w:r>
      <w:r w:rsidRPr="007011DE">
        <w:rPr>
          <w:b/>
          <w:color w:val="000000" w:themeColor="text1"/>
          <w:u w:val="single"/>
          <w:lang w:val="fr-FR"/>
        </w:rPr>
        <w:t>7.</w:t>
      </w:r>
      <w:r>
        <w:rPr>
          <w:b/>
          <w:color w:val="000000" w:themeColor="text1"/>
          <w:u w:val="single"/>
          <w:lang w:val="fr-FR"/>
        </w:rPr>
        <w:t>b</w:t>
      </w:r>
      <w:r w:rsidRPr="007011DE">
        <w:rPr>
          <w:b/>
          <w:color w:val="000000" w:themeColor="text1"/>
          <w:u w:val="single"/>
          <w:lang w:val="fr-FR"/>
        </w:rPr>
        <w:t xml:space="preserve"> DE L</w:t>
      </w:r>
      <w:r w:rsidR="00923E72">
        <w:rPr>
          <w:b/>
          <w:color w:val="000000" w:themeColor="text1"/>
          <w:u w:val="single"/>
          <w:lang w:val="fr-FR"/>
        </w:rPr>
        <w:t>’</w:t>
      </w:r>
      <w:r w:rsidRPr="007011DE">
        <w:rPr>
          <w:b/>
          <w:color w:val="000000" w:themeColor="text1"/>
          <w:u w:val="single"/>
          <w:lang w:val="fr-FR"/>
        </w:rPr>
        <w:t>ORDRE DU JOUR [SUITE]</w:t>
      </w:r>
      <w:r>
        <w:rPr>
          <w:b/>
          <w:color w:val="000000" w:themeColor="text1"/>
          <w:lang w:val="fr-FR"/>
        </w:rPr>
        <w:t> :</w:t>
      </w:r>
    </w:p>
    <w:p w14:paraId="53355BCC" w14:textId="4A05DBF4" w:rsidR="0082599B" w:rsidRPr="005F051B" w:rsidRDefault="00FD22BF"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5F051B">
        <w:rPr>
          <w:rFonts w:eastAsiaTheme="minorHAnsi"/>
          <w:b/>
          <w:color w:val="000000" w:themeColor="text1"/>
        </w:rPr>
        <w:t>E</w:t>
      </w:r>
      <w:r>
        <w:rPr>
          <w:rFonts w:eastAsiaTheme="minorHAnsi"/>
          <w:b/>
          <w:color w:val="000000" w:themeColor="text1"/>
        </w:rPr>
        <w:t xml:space="preserve">XAMEN DES </w:t>
      </w:r>
      <w:r w:rsidRPr="005F051B">
        <w:rPr>
          <w:rFonts w:eastAsiaTheme="minorHAnsi"/>
          <w:b/>
          <w:color w:val="000000" w:themeColor="text1"/>
        </w:rPr>
        <w:t>CANDIDATUR</w:t>
      </w:r>
      <w:r>
        <w:rPr>
          <w:rFonts w:eastAsiaTheme="minorHAnsi"/>
          <w:b/>
          <w:color w:val="000000" w:themeColor="text1"/>
        </w:rPr>
        <w:t xml:space="preserve">ES POUR </w:t>
      </w:r>
      <w:r w:rsidRPr="005F051B">
        <w:rPr>
          <w:rFonts w:eastAsiaTheme="minorHAnsi"/>
          <w:b/>
          <w:color w:val="000000" w:themeColor="text1"/>
        </w:rPr>
        <w:t>INSCRIPTION</w:t>
      </w:r>
      <w:r>
        <w:rPr>
          <w:rFonts w:eastAsiaTheme="minorHAnsi"/>
          <w:b/>
          <w:color w:val="000000" w:themeColor="text1"/>
        </w:rPr>
        <w:t xml:space="preserve"> SUR LA LISTE REPRÉSENTATIVE DU PATRIMOINE CULTUREL IMMATÉRIEL DE L</w:t>
      </w:r>
      <w:r w:rsidR="00923E72">
        <w:rPr>
          <w:rFonts w:eastAsiaTheme="minorHAnsi"/>
          <w:b/>
          <w:color w:val="000000" w:themeColor="text1"/>
        </w:rPr>
        <w:t>’</w:t>
      </w:r>
      <w:r>
        <w:rPr>
          <w:rFonts w:eastAsiaTheme="minorHAnsi"/>
          <w:b/>
          <w:color w:val="000000" w:themeColor="text1"/>
        </w:rPr>
        <w:t>HUMANITÉ</w:t>
      </w:r>
    </w:p>
    <w:p w14:paraId="7CA61659" w14:textId="5DD3E9AB" w:rsidR="00CD4452" w:rsidRDefault="00FD22BF"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repris l</w:t>
      </w:r>
      <w:r w:rsidR="00923E72">
        <w:rPr>
          <w:rFonts w:eastAsia="Malgun Gothic"/>
          <w:bCs/>
          <w:lang w:val="fr-FR"/>
        </w:rPr>
        <w:t>’</w:t>
      </w:r>
      <w:r w:rsidRPr="00FD22BF">
        <w:rPr>
          <w:rFonts w:eastAsia="Malgun Gothic"/>
          <w:bCs/>
          <w:lang w:val="fr-FR"/>
        </w:rPr>
        <w:t>évaluation</w:t>
      </w:r>
      <w:r>
        <w:rPr>
          <w:rFonts w:eastAsia="Malgun Gothic"/>
          <w:bCs/>
          <w:lang w:val="fr-FR"/>
        </w:rPr>
        <w:t xml:space="preserve"> des dossiers de </w:t>
      </w:r>
      <w:r w:rsidRPr="00FD22BF">
        <w:rPr>
          <w:rFonts w:eastAsia="Malgun Gothic"/>
          <w:bCs/>
          <w:lang w:val="fr-FR"/>
        </w:rPr>
        <w:t>candidature</w:t>
      </w:r>
      <w:r>
        <w:rPr>
          <w:rFonts w:eastAsia="Malgun Gothic"/>
          <w:bCs/>
          <w:lang w:val="fr-FR"/>
        </w:rPr>
        <w:t xml:space="preserve"> pour </w:t>
      </w:r>
      <w:r w:rsidRPr="00FD22BF">
        <w:rPr>
          <w:rFonts w:eastAsia="Malgun Gothic"/>
          <w:bCs/>
          <w:lang w:val="fr-FR"/>
        </w:rPr>
        <w:t>inscription</w:t>
      </w:r>
      <w:r>
        <w:rPr>
          <w:rFonts w:eastAsia="Malgun Gothic"/>
          <w:bCs/>
          <w:lang w:val="fr-FR"/>
        </w:rPr>
        <w:t xml:space="preserve"> sur la Liste représentative.</w:t>
      </w:r>
    </w:p>
    <w:p w14:paraId="2E0EF198" w14:textId="14DFD78A" w:rsidR="00FD22BF" w:rsidRDefault="0059411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94116">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594116">
        <w:rPr>
          <w:rFonts w:eastAsia="Malgun Gothic"/>
          <w:bCs/>
          <w:lang w:val="fr-FR"/>
        </w:rPr>
        <w:t xml:space="preserve"> a présenté le dossier de candidature suivant, </w:t>
      </w:r>
      <w:r w:rsidRPr="00702497">
        <w:rPr>
          <w:rFonts w:eastAsia="Malgun Gothic"/>
          <w:b/>
          <w:lang w:val="fr-FR"/>
        </w:rPr>
        <w:t>la Semaine sainte au Guatemala</w:t>
      </w:r>
      <w:r w:rsidRPr="00594116">
        <w:rPr>
          <w:rFonts w:eastAsia="Malgun Gothic"/>
          <w:bCs/>
          <w:lang w:val="fr-FR"/>
        </w:rPr>
        <w:t xml:space="preserve"> [projet de décision</w:t>
      </w:r>
      <w:r w:rsidR="0082599B">
        <w:rPr>
          <w:rFonts w:eastAsia="Malgun Gothic"/>
          <w:bCs/>
          <w:lang w:val="fr-FR"/>
        </w:rPr>
        <w:t> </w:t>
      </w:r>
      <w:r w:rsidRPr="00594116">
        <w:rPr>
          <w:rFonts w:eastAsia="Malgun Gothic"/>
          <w:bCs/>
          <w:lang w:val="fr-FR"/>
        </w:rPr>
        <w:t xml:space="preserve">7.b.13], soumis par </w:t>
      </w:r>
      <w:r w:rsidRPr="00F15FCD">
        <w:rPr>
          <w:rFonts w:eastAsia="Malgun Gothic"/>
          <w:bCs/>
          <w:lang w:val="fr-FR"/>
        </w:rPr>
        <w:t>le</w:t>
      </w:r>
      <w:r w:rsidRPr="00594116">
        <w:rPr>
          <w:rFonts w:eastAsia="Malgun Gothic"/>
          <w:bCs/>
          <w:lang w:val="fr-FR"/>
        </w:rPr>
        <w:t xml:space="preserve"> </w:t>
      </w:r>
      <w:r w:rsidRPr="00702497">
        <w:rPr>
          <w:rFonts w:eastAsia="Malgun Gothic"/>
          <w:b/>
          <w:lang w:val="fr-FR"/>
        </w:rPr>
        <w:t>Guatemala</w:t>
      </w:r>
      <w:r w:rsidRPr="00594116">
        <w:rPr>
          <w:rFonts w:eastAsia="Malgun Gothic"/>
          <w:bCs/>
          <w:lang w:val="fr-FR"/>
        </w:rPr>
        <w:t xml:space="preserve">, </w:t>
      </w:r>
      <w:r>
        <w:rPr>
          <w:rFonts w:eastAsia="Malgun Gothic"/>
          <w:bCs/>
          <w:lang w:val="fr-FR"/>
        </w:rPr>
        <w:t xml:space="preserve">expliquant </w:t>
      </w:r>
      <w:r w:rsidRPr="00594116">
        <w:rPr>
          <w:rFonts w:eastAsia="Malgun Gothic"/>
          <w:bCs/>
          <w:lang w:val="fr-FR"/>
        </w:rPr>
        <w:t>que l</w:t>
      </w:r>
      <w:r w:rsidR="00923E72">
        <w:rPr>
          <w:rFonts w:eastAsia="Malgun Gothic"/>
          <w:bCs/>
          <w:lang w:val="fr-FR"/>
        </w:rPr>
        <w:t>’</w:t>
      </w:r>
      <w:r w:rsidRPr="00594116">
        <w:rPr>
          <w:rFonts w:eastAsia="Malgun Gothic"/>
          <w:bCs/>
          <w:lang w:val="fr-FR"/>
        </w:rPr>
        <w:t>élément est un</w:t>
      </w:r>
      <w:r>
        <w:rPr>
          <w:rFonts w:eastAsia="Malgun Gothic"/>
          <w:bCs/>
          <w:lang w:val="fr-FR"/>
        </w:rPr>
        <w:t xml:space="preserve"> événement </w:t>
      </w:r>
      <w:r w:rsidRPr="00594116">
        <w:rPr>
          <w:rFonts w:eastAsia="Malgun Gothic"/>
          <w:bCs/>
          <w:lang w:val="fr-FR"/>
        </w:rPr>
        <w:t>religieu</w:t>
      </w:r>
      <w:r>
        <w:rPr>
          <w:rFonts w:eastAsia="Malgun Gothic"/>
          <w:bCs/>
          <w:lang w:val="fr-FR"/>
        </w:rPr>
        <w:t>x</w:t>
      </w:r>
      <w:r w:rsidRPr="00594116">
        <w:rPr>
          <w:rFonts w:eastAsia="Malgun Gothic"/>
          <w:bCs/>
          <w:lang w:val="fr-FR"/>
        </w:rPr>
        <w:t xml:space="preserve"> et culture</w:t>
      </w:r>
      <w:r w:rsidR="00982AFF">
        <w:rPr>
          <w:rFonts w:eastAsia="Malgun Gothic"/>
          <w:bCs/>
          <w:lang w:val="fr-FR"/>
        </w:rPr>
        <w:t xml:space="preserve">l </w:t>
      </w:r>
      <w:r w:rsidRPr="00594116">
        <w:rPr>
          <w:rFonts w:eastAsia="Malgun Gothic"/>
          <w:bCs/>
          <w:lang w:val="fr-FR"/>
        </w:rPr>
        <w:t xml:space="preserve">qui </w:t>
      </w:r>
      <w:r>
        <w:rPr>
          <w:rFonts w:eastAsia="Malgun Gothic"/>
          <w:bCs/>
          <w:lang w:val="fr-FR"/>
        </w:rPr>
        <w:t xml:space="preserve">comprend </w:t>
      </w:r>
      <w:r w:rsidRPr="00594116">
        <w:rPr>
          <w:rFonts w:eastAsia="Malgun Gothic"/>
          <w:bCs/>
          <w:lang w:val="fr-FR"/>
        </w:rPr>
        <w:t xml:space="preserve">des processions, des veillées, la </w:t>
      </w:r>
      <w:r>
        <w:rPr>
          <w:rFonts w:eastAsia="Malgun Gothic"/>
          <w:bCs/>
          <w:lang w:val="fr-FR"/>
        </w:rPr>
        <w:t>fabrication de tapis de fleurs et de fruits et</w:t>
      </w:r>
      <w:r w:rsidRPr="00594116">
        <w:rPr>
          <w:rFonts w:eastAsia="Malgun Gothic"/>
          <w:bCs/>
          <w:lang w:val="fr-FR"/>
        </w:rPr>
        <w:t xml:space="preserve"> d</w:t>
      </w:r>
      <w:r w:rsidR="00923E72">
        <w:rPr>
          <w:rFonts w:eastAsia="Malgun Gothic"/>
          <w:bCs/>
          <w:lang w:val="fr-FR"/>
        </w:rPr>
        <w:t>’</w:t>
      </w:r>
      <w:r w:rsidRPr="00594116">
        <w:rPr>
          <w:rFonts w:eastAsia="Malgun Gothic"/>
          <w:bCs/>
          <w:lang w:val="fr-FR"/>
        </w:rPr>
        <w:t>autels, la composition et l</w:t>
      </w:r>
      <w:r w:rsidR="00923E72">
        <w:rPr>
          <w:rFonts w:eastAsia="Malgun Gothic"/>
          <w:bCs/>
          <w:lang w:val="fr-FR"/>
        </w:rPr>
        <w:t>’</w:t>
      </w:r>
      <w:r w:rsidRPr="00594116">
        <w:rPr>
          <w:rFonts w:eastAsia="Malgun Gothic"/>
          <w:bCs/>
          <w:lang w:val="fr-FR"/>
        </w:rPr>
        <w:t xml:space="preserve">interprétation de marches funèbres, </w:t>
      </w:r>
      <w:r>
        <w:rPr>
          <w:rFonts w:eastAsia="Malgun Gothic"/>
          <w:bCs/>
          <w:lang w:val="fr-FR"/>
        </w:rPr>
        <w:t xml:space="preserve">la préparation de spécialités culinaires de saison </w:t>
      </w:r>
      <w:r w:rsidRPr="00594116">
        <w:rPr>
          <w:rFonts w:eastAsia="Malgun Gothic"/>
          <w:bCs/>
          <w:lang w:val="fr-FR"/>
        </w:rPr>
        <w:t>et l</w:t>
      </w:r>
      <w:r w:rsidR="00923E72">
        <w:rPr>
          <w:rFonts w:eastAsia="Malgun Gothic"/>
          <w:bCs/>
          <w:lang w:val="fr-FR"/>
        </w:rPr>
        <w:t>’</w:t>
      </w:r>
      <w:r>
        <w:rPr>
          <w:rFonts w:eastAsia="Malgun Gothic"/>
          <w:bCs/>
          <w:lang w:val="fr-FR"/>
        </w:rPr>
        <w:t>exploitation</w:t>
      </w:r>
      <w:r w:rsidRPr="00594116">
        <w:rPr>
          <w:rFonts w:eastAsia="Malgun Gothic"/>
          <w:bCs/>
          <w:lang w:val="fr-FR"/>
        </w:rPr>
        <w:t xml:space="preserve"> d</w:t>
      </w:r>
      <w:r w:rsidR="00923E72">
        <w:rPr>
          <w:rFonts w:eastAsia="Malgun Gothic"/>
          <w:bCs/>
          <w:lang w:val="fr-FR"/>
        </w:rPr>
        <w:t>’</w:t>
      </w:r>
      <w:r w:rsidRPr="00594116">
        <w:rPr>
          <w:rFonts w:eastAsia="Malgun Gothic"/>
          <w:bCs/>
          <w:lang w:val="fr-FR"/>
        </w:rPr>
        <w:t>espaces publics au sein des communautés</w:t>
      </w:r>
      <w:r>
        <w:rPr>
          <w:rFonts w:eastAsia="Malgun Gothic"/>
          <w:bCs/>
          <w:lang w:val="fr-FR"/>
        </w:rPr>
        <w:t>,</w:t>
      </w:r>
      <w:r w:rsidRPr="00594116">
        <w:rPr>
          <w:rFonts w:eastAsia="Malgun Gothic"/>
          <w:bCs/>
          <w:lang w:val="fr-FR"/>
        </w:rPr>
        <w:t xml:space="preserve"> et qu</w:t>
      </w:r>
      <w:r w:rsidR="00923E72">
        <w:rPr>
          <w:rFonts w:eastAsia="Malgun Gothic"/>
          <w:bCs/>
          <w:lang w:val="fr-FR"/>
        </w:rPr>
        <w:t>’</w:t>
      </w:r>
      <w:r w:rsidRPr="00594116">
        <w:rPr>
          <w:rFonts w:eastAsia="Malgun Gothic"/>
          <w:bCs/>
          <w:lang w:val="fr-FR"/>
        </w:rPr>
        <w:t xml:space="preserve">il </w:t>
      </w:r>
      <w:r w:rsidR="002F4BEB">
        <w:rPr>
          <w:rFonts w:eastAsia="Malgun Gothic"/>
          <w:bCs/>
          <w:lang w:val="fr-FR"/>
        </w:rPr>
        <w:t xml:space="preserve">encourage </w:t>
      </w:r>
      <w:r w:rsidRPr="00594116">
        <w:rPr>
          <w:rFonts w:eastAsia="Malgun Gothic"/>
          <w:bCs/>
          <w:lang w:val="fr-FR"/>
        </w:rPr>
        <w:t>la tolérance et le respect grâce à la participation ouverte et diversifiée de personnes issues de différents groupes sociaux. L</w:t>
      </w:r>
      <w:r w:rsidR="00923E72">
        <w:rPr>
          <w:rFonts w:eastAsia="Malgun Gothic"/>
          <w:bCs/>
          <w:lang w:val="fr-FR"/>
        </w:rPr>
        <w:t>’</w:t>
      </w:r>
      <w:r w:rsidRPr="00594116">
        <w:rPr>
          <w:rFonts w:eastAsia="Malgun Gothic"/>
          <w:bCs/>
          <w:lang w:val="fr-FR"/>
        </w:rPr>
        <w:t>Organe d</w:t>
      </w:r>
      <w:r w:rsidR="00923E72">
        <w:rPr>
          <w:rFonts w:eastAsia="Malgun Gothic"/>
          <w:bCs/>
          <w:lang w:val="fr-FR"/>
        </w:rPr>
        <w:t>’</w:t>
      </w:r>
      <w:r w:rsidRPr="00594116">
        <w:rPr>
          <w:rFonts w:eastAsia="Malgun Gothic"/>
          <w:bCs/>
          <w:lang w:val="fr-FR"/>
        </w:rPr>
        <w:t>évaluation avait estimé que les critères</w:t>
      </w:r>
      <w:r w:rsidR="0082599B">
        <w:rPr>
          <w:rFonts w:eastAsia="Malgun Gothic"/>
          <w:bCs/>
          <w:lang w:val="fr-FR"/>
        </w:rPr>
        <w:t> </w:t>
      </w:r>
      <w:r w:rsidRPr="00594116">
        <w:rPr>
          <w:rFonts w:eastAsia="Malgun Gothic"/>
          <w:bCs/>
          <w:lang w:val="fr-FR"/>
        </w:rPr>
        <w:t>R.1 et</w:t>
      </w:r>
      <w:r w:rsidR="0082599B">
        <w:rPr>
          <w:rFonts w:eastAsia="Malgun Gothic"/>
          <w:bCs/>
          <w:lang w:val="fr-FR"/>
        </w:rPr>
        <w:t> </w:t>
      </w:r>
      <w:r w:rsidRPr="00594116">
        <w:rPr>
          <w:rFonts w:eastAsia="Malgun Gothic"/>
          <w:bCs/>
          <w:lang w:val="fr-FR"/>
        </w:rPr>
        <w:t>R.4 étaient</w:t>
      </w:r>
      <w:r w:rsidR="002F4BEB">
        <w:rPr>
          <w:rFonts w:eastAsia="Malgun Gothic"/>
          <w:bCs/>
          <w:lang w:val="fr-FR"/>
        </w:rPr>
        <w:t xml:space="preserve"> satisfaits</w:t>
      </w:r>
      <w:r w:rsidRPr="00594116">
        <w:rPr>
          <w:rFonts w:eastAsia="Malgun Gothic"/>
          <w:bCs/>
          <w:lang w:val="fr-FR"/>
        </w:rPr>
        <w:t xml:space="preserve">, mais que les informations </w:t>
      </w:r>
      <w:r w:rsidR="002F4BEB">
        <w:rPr>
          <w:rFonts w:eastAsia="Malgun Gothic"/>
          <w:bCs/>
          <w:lang w:val="fr-FR"/>
        </w:rPr>
        <w:t xml:space="preserve">communiquées </w:t>
      </w:r>
      <w:r w:rsidRPr="00594116">
        <w:rPr>
          <w:rFonts w:eastAsia="Malgun Gothic"/>
          <w:bCs/>
          <w:lang w:val="fr-FR"/>
        </w:rPr>
        <w:t>n</w:t>
      </w:r>
      <w:r w:rsidR="00923E72">
        <w:rPr>
          <w:rFonts w:eastAsia="Malgun Gothic"/>
          <w:bCs/>
          <w:lang w:val="fr-FR"/>
        </w:rPr>
        <w:t>’</w:t>
      </w:r>
      <w:r w:rsidRPr="00594116">
        <w:rPr>
          <w:rFonts w:eastAsia="Malgun Gothic"/>
          <w:bCs/>
          <w:lang w:val="fr-FR"/>
        </w:rPr>
        <w:t>étaient pas suffisantes pour déterminer si les critères</w:t>
      </w:r>
      <w:r w:rsidR="0082599B">
        <w:rPr>
          <w:rFonts w:eastAsia="Malgun Gothic"/>
          <w:bCs/>
          <w:lang w:val="fr-FR"/>
        </w:rPr>
        <w:t> </w:t>
      </w:r>
      <w:r w:rsidRPr="00594116">
        <w:rPr>
          <w:rFonts w:eastAsia="Malgun Gothic"/>
          <w:bCs/>
          <w:lang w:val="fr-FR"/>
        </w:rPr>
        <w:t>R.2,</w:t>
      </w:r>
      <w:r w:rsidR="0082599B">
        <w:rPr>
          <w:rFonts w:eastAsia="Malgun Gothic"/>
          <w:bCs/>
          <w:lang w:val="fr-FR"/>
        </w:rPr>
        <w:t> </w:t>
      </w:r>
      <w:r w:rsidRPr="00594116">
        <w:rPr>
          <w:rFonts w:eastAsia="Malgun Gothic"/>
          <w:bCs/>
          <w:lang w:val="fr-FR"/>
        </w:rPr>
        <w:t>R.3 et</w:t>
      </w:r>
      <w:r w:rsidR="0082599B">
        <w:rPr>
          <w:rFonts w:eastAsia="Malgun Gothic"/>
          <w:bCs/>
          <w:lang w:val="fr-FR"/>
        </w:rPr>
        <w:t> </w:t>
      </w:r>
      <w:r w:rsidRPr="00594116">
        <w:rPr>
          <w:rFonts w:eastAsia="Malgun Gothic"/>
          <w:bCs/>
          <w:lang w:val="fr-FR"/>
        </w:rPr>
        <w:t xml:space="preserve">R.5 étaient satisfaits. Le dossier expliquait que les communautés, groupes et individus concernés avaient été contactés et informés de la candidature, mais il ne fournissait pas de détails sur la manière dont la communauté avait </w:t>
      </w:r>
      <w:r w:rsidR="002F4BEB">
        <w:rPr>
          <w:rFonts w:eastAsia="Malgun Gothic"/>
          <w:bCs/>
          <w:lang w:val="fr-FR"/>
        </w:rPr>
        <w:t xml:space="preserve">pris part à </w:t>
      </w:r>
      <w:r w:rsidRPr="00594116">
        <w:rPr>
          <w:rFonts w:eastAsia="Malgun Gothic"/>
          <w:bCs/>
          <w:lang w:val="fr-FR"/>
        </w:rPr>
        <w:t>l</w:t>
      </w:r>
      <w:r w:rsidR="00923E72">
        <w:rPr>
          <w:rFonts w:eastAsia="Malgun Gothic"/>
          <w:bCs/>
          <w:lang w:val="fr-FR"/>
        </w:rPr>
        <w:t>’</w:t>
      </w:r>
      <w:r w:rsidRPr="00594116">
        <w:rPr>
          <w:rFonts w:eastAsia="Malgun Gothic"/>
          <w:bCs/>
          <w:lang w:val="fr-FR"/>
        </w:rPr>
        <w:t xml:space="preserve">élaboration des mesures de sauvegarde, ni </w:t>
      </w:r>
      <w:r w:rsidR="002F4BEB">
        <w:rPr>
          <w:rFonts w:eastAsia="Malgun Gothic"/>
          <w:bCs/>
          <w:lang w:val="fr-FR"/>
        </w:rPr>
        <w:t xml:space="preserve">comment </w:t>
      </w:r>
      <w:r w:rsidRPr="00594116">
        <w:rPr>
          <w:rFonts w:eastAsia="Malgun Gothic"/>
          <w:bCs/>
          <w:lang w:val="fr-FR"/>
        </w:rPr>
        <w:t>elle serait impliquée dans leur mise en œuvre. Il semblait s</w:t>
      </w:r>
      <w:r w:rsidR="00923E72">
        <w:rPr>
          <w:rFonts w:eastAsia="Malgun Gothic"/>
          <w:bCs/>
          <w:lang w:val="fr-FR"/>
        </w:rPr>
        <w:t>’</w:t>
      </w:r>
      <w:r w:rsidRPr="00594116">
        <w:rPr>
          <w:rFonts w:eastAsia="Malgun Gothic"/>
          <w:bCs/>
          <w:lang w:val="fr-FR"/>
        </w:rPr>
        <w:t>agir d</w:t>
      </w:r>
      <w:r w:rsidR="00923E72">
        <w:rPr>
          <w:rFonts w:eastAsia="Malgun Gothic"/>
          <w:bCs/>
          <w:lang w:val="fr-FR"/>
        </w:rPr>
        <w:t>’</w:t>
      </w:r>
      <w:r w:rsidRPr="00594116">
        <w:rPr>
          <w:rFonts w:eastAsia="Malgun Gothic"/>
          <w:bCs/>
          <w:lang w:val="fr-FR"/>
        </w:rPr>
        <w:t xml:space="preserve">un processus descendant. En outre, </w:t>
      </w:r>
      <w:r w:rsidR="002F4BEB" w:rsidRPr="002F4BEB">
        <w:rPr>
          <w:rFonts w:eastAsia="Malgun Gothic"/>
          <w:bCs/>
          <w:lang w:val="fr-FR"/>
        </w:rPr>
        <w:t>en ce qui concerne</w:t>
      </w:r>
      <w:r w:rsidR="002F4BEB">
        <w:rPr>
          <w:rFonts w:eastAsia="Malgun Gothic"/>
          <w:bCs/>
          <w:lang w:val="fr-FR"/>
        </w:rPr>
        <w:t xml:space="preserve"> le</w:t>
      </w:r>
      <w:r w:rsidRPr="00594116">
        <w:rPr>
          <w:rFonts w:eastAsia="Malgun Gothic"/>
          <w:bCs/>
          <w:lang w:val="fr-FR"/>
        </w:rPr>
        <w:t xml:space="preserve"> processus d</w:t>
      </w:r>
      <w:r w:rsidR="00923E72">
        <w:rPr>
          <w:rFonts w:eastAsia="Malgun Gothic"/>
          <w:bCs/>
          <w:lang w:val="fr-FR"/>
        </w:rPr>
        <w:t>’</w:t>
      </w:r>
      <w:r w:rsidRPr="00594116">
        <w:rPr>
          <w:rFonts w:eastAsia="Malgun Gothic"/>
          <w:bCs/>
          <w:lang w:val="fr-FR"/>
        </w:rPr>
        <w:t>inventaire, le dossier n</w:t>
      </w:r>
      <w:r w:rsidR="00923E72">
        <w:rPr>
          <w:rFonts w:eastAsia="Malgun Gothic"/>
          <w:bCs/>
          <w:lang w:val="fr-FR"/>
        </w:rPr>
        <w:t>’</w:t>
      </w:r>
      <w:r w:rsidRPr="00594116">
        <w:rPr>
          <w:rFonts w:eastAsia="Malgun Gothic"/>
          <w:bCs/>
          <w:lang w:val="fr-FR"/>
        </w:rPr>
        <w:t xml:space="preserve">expliquait pas comment, quand et de quelle manière la communauté concernée </w:t>
      </w:r>
      <w:r w:rsidR="005A16F4">
        <w:rPr>
          <w:rFonts w:eastAsia="Malgun Gothic"/>
          <w:bCs/>
          <w:lang w:val="fr-FR"/>
        </w:rPr>
        <w:t xml:space="preserve">y </w:t>
      </w:r>
      <w:r w:rsidRPr="00594116">
        <w:rPr>
          <w:rFonts w:eastAsia="Malgun Gothic"/>
          <w:bCs/>
          <w:lang w:val="fr-FR"/>
        </w:rPr>
        <w:t>avait</w:t>
      </w:r>
      <w:r w:rsidR="005A16F4">
        <w:rPr>
          <w:rFonts w:eastAsia="Malgun Gothic"/>
          <w:bCs/>
          <w:lang w:val="fr-FR"/>
        </w:rPr>
        <w:t xml:space="preserve"> participé</w:t>
      </w:r>
      <w:r w:rsidRPr="00594116">
        <w:rPr>
          <w:rFonts w:eastAsia="Malgun Gothic"/>
          <w:bCs/>
          <w:lang w:val="fr-FR"/>
        </w:rPr>
        <w:t>. Enfin, le dossier soulignait que l</w:t>
      </w:r>
      <w:r w:rsidR="00923E72">
        <w:rPr>
          <w:rFonts w:eastAsia="Malgun Gothic"/>
          <w:bCs/>
          <w:lang w:val="fr-FR"/>
        </w:rPr>
        <w:t>’</w:t>
      </w:r>
      <w:r w:rsidRPr="00594116">
        <w:rPr>
          <w:rFonts w:eastAsia="Malgun Gothic"/>
          <w:bCs/>
          <w:lang w:val="fr-FR"/>
        </w:rPr>
        <w:t xml:space="preserve">inscription </w:t>
      </w:r>
      <w:r w:rsidR="002F4BEB">
        <w:rPr>
          <w:rFonts w:eastAsia="Malgun Gothic"/>
          <w:bCs/>
          <w:lang w:val="fr-FR"/>
        </w:rPr>
        <w:t>« </w:t>
      </w:r>
      <w:r w:rsidRPr="00594116">
        <w:rPr>
          <w:rFonts w:eastAsia="Malgun Gothic"/>
          <w:bCs/>
          <w:lang w:val="fr-FR"/>
        </w:rPr>
        <w:t xml:space="preserve">contribuera à </w:t>
      </w:r>
      <w:r w:rsidR="00693BDC">
        <w:rPr>
          <w:rFonts w:eastAsia="Malgun Gothic"/>
          <w:bCs/>
          <w:lang w:val="fr-FR"/>
        </w:rPr>
        <w:t xml:space="preserve">faire du pays une </w:t>
      </w:r>
      <w:r w:rsidRPr="00594116">
        <w:rPr>
          <w:rFonts w:eastAsia="Malgun Gothic"/>
          <w:bCs/>
          <w:lang w:val="fr-FR"/>
        </w:rPr>
        <w:t>destination</w:t>
      </w:r>
      <w:r w:rsidR="00693BDC">
        <w:rPr>
          <w:rFonts w:eastAsia="Malgun Gothic"/>
          <w:bCs/>
          <w:lang w:val="fr-FR"/>
        </w:rPr>
        <w:t xml:space="preserve"> de choix</w:t>
      </w:r>
      <w:r w:rsidRPr="00594116">
        <w:rPr>
          <w:rFonts w:eastAsia="Malgun Gothic"/>
          <w:bCs/>
          <w:lang w:val="fr-FR"/>
        </w:rPr>
        <w:t xml:space="preserve"> pour le tourisme culturel</w:t>
      </w:r>
      <w:r w:rsidR="00693BDC">
        <w:rPr>
          <w:rFonts w:eastAsia="Malgun Gothic"/>
          <w:bCs/>
          <w:lang w:val="fr-FR"/>
        </w:rPr>
        <w:t> »</w:t>
      </w:r>
      <w:r w:rsidR="002B3ECA">
        <w:rPr>
          <w:rFonts w:eastAsia="Malgun Gothic"/>
          <w:bCs/>
          <w:lang w:val="fr-FR"/>
        </w:rPr>
        <w:t xml:space="preserve"> </w:t>
      </w:r>
      <w:r w:rsidRPr="00594116">
        <w:rPr>
          <w:rFonts w:eastAsia="Malgun Gothic"/>
          <w:bCs/>
          <w:lang w:val="fr-FR"/>
        </w:rPr>
        <w:t>et il semblait que le processus de candidature ait été lancé non pas pour sauvegarder l</w:t>
      </w:r>
      <w:r w:rsidR="00923E72">
        <w:rPr>
          <w:rFonts w:eastAsia="Malgun Gothic"/>
          <w:bCs/>
          <w:lang w:val="fr-FR"/>
        </w:rPr>
        <w:t>’</w:t>
      </w:r>
      <w:r w:rsidRPr="00594116">
        <w:rPr>
          <w:rFonts w:eastAsia="Malgun Gothic"/>
          <w:bCs/>
          <w:lang w:val="fr-FR"/>
        </w:rPr>
        <w:t>élément lui-même, mais pour promouvoir le tourisme dans le pays. En conclusion, l</w:t>
      </w:r>
      <w:r w:rsidR="00923E72">
        <w:rPr>
          <w:rFonts w:eastAsia="Malgun Gothic"/>
          <w:bCs/>
          <w:lang w:val="fr-FR"/>
        </w:rPr>
        <w:t>’</w:t>
      </w:r>
      <w:r w:rsidRPr="00594116">
        <w:rPr>
          <w:rFonts w:eastAsia="Malgun Gothic"/>
          <w:bCs/>
          <w:lang w:val="fr-FR"/>
        </w:rPr>
        <w:t>Organe d</w:t>
      </w:r>
      <w:r w:rsidR="00923E72">
        <w:rPr>
          <w:rFonts w:eastAsia="Malgun Gothic"/>
          <w:bCs/>
          <w:lang w:val="fr-FR"/>
        </w:rPr>
        <w:t>’</w:t>
      </w:r>
      <w:r w:rsidRPr="00594116">
        <w:rPr>
          <w:rFonts w:eastAsia="Malgun Gothic"/>
          <w:bCs/>
          <w:lang w:val="fr-FR"/>
        </w:rPr>
        <w:t>évaluation recommandait que cette candidature soit renvoyée à l</w:t>
      </w:r>
      <w:r w:rsidR="00923E72">
        <w:rPr>
          <w:rFonts w:eastAsia="Malgun Gothic"/>
          <w:bCs/>
          <w:lang w:val="fr-FR"/>
        </w:rPr>
        <w:t>’</w:t>
      </w:r>
      <w:r w:rsidRPr="00594116">
        <w:rPr>
          <w:rFonts w:eastAsia="Malgun Gothic"/>
          <w:bCs/>
          <w:lang w:val="fr-FR"/>
        </w:rPr>
        <w:t>État soumissionnaire.</w:t>
      </w:r>
    </w:p>
    <w:p w14:paraId="194F7E13" w14:textId="39E0792B" w:rsidR="00693BDC" w:rsidRDefault="00693BD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indiqué qu</w:t>
      </w:r>
      <w:r w:rsidR="00923E72">
        <w:rPr>
          <w:rFonts w:eastAsia="Malgun Gothic"/>
          <w:bCs/>
          <w:lang w:val="fr-FR"/>
        </w:rPr>
        <w:t>’</w:t>
      </w:r>
      <w:r>
        <w:rPr>
          <w:rFonts w:eastAsia="Malgun Gothic"/>
          <w:bCs/>
          <w:lang w:val="fr-FR"/>
        </w:rPr>
        <w:t xml:space="preserve">un </w:t>
      </w:r>
      <w:r w:rsidRPr="00693BDC">
        <w:rPr>
          <w:rFonts w:eastAsia="Malgun Gothic"/>
          <w:bCs/>
          <w:lang w:val="fr-FR"/>
        </w:rPr>
        <w:t>amendement</w:t>
      </w:r>
      <w:r>
        <w:rPr>
          <w:rFonts w:eastAsia="Malgun Gothic"/>
          <w:bCs/>
          <w:lang w:val="fr-FR"/>
        </w:rPr>
        <w:t xml:space="preserve"> avait été reçu du Pa</w:t>
      </w:r>
      <w:r w:rsidR="00560484">
        <w:rPr>
          <w:rFonts w:eastAsia="Malgun Gothic"/>
          <w:bCs/>
          <w:lang w:val="fr-FR"/>
        </w:rPr>
        <w:t>raguay</w:t>
      </w:r>
      <w:r>
        <w:rPr>
          <w:rFonts w:eastAsia="Malgun Gothic"/>
          <w:bCs/>
          <w:lang w:val="fr-FR"/>
        </w:rPr>
        <w:t xml:space="preserve"> en vue de l</w:t>
      </w:r>
      <w:r w:rsidR="00923E72">
        <w:rPr>
          <w:rFonts w:eastAsia="Malgun Gothic"/>
          <w:bCs/>
          <w:lang w:val="fr-FR"/>
        </w:rPr>
        <w:t>’</w:t>
      </w:r>
      <w:r w:rsidRPr="00693BDC">
        <w:rPr>
          <w:rFonts w:eastAsia="Malgun Gothic"/>
          <w:bCs/>
          <w:lang w:val="fr-FR"/>
        </w:rPr>
        <w:t>inscription</w:t>
      </w:r>
      <w:r>
        <w:rPr>
          <w:rFonts w:eastAsia="Malgun Gothic"/>
          <w:bCs/>
          <w:lang w:val="fr-FR"/>
        </w:rPr>
        <w:t xml:space="preserve"> de l</w:t>
      </w:r>
      <w:r w:rsidR="00923E72">
        <w:rPr>
          <w:rFonts w:eastAsia="Malgun Gothic"/>
          <w:bCs/>
          <w:lang w:val="fr-FR"/>
        </w:rPr>
        <w:t>’</w:t>
      </w:r>
      <w:r w:rsidRPr="00693BDC">
        <w:rPr>
          <w:rFonts w:eastAsia="Malgun Gothic"/>
          <w:bCs/>
          <w:lang w:val="fr-FR"/>
        </w:rPr>
        <w:t>élément</w:t>
      </w:r>
      <w:r>
        <w:rPr>
          <w:rFonts w:eastAsia="Malgun Gothic"/>
          <w:bCs/>
          <w:lang w:val="fr-FR"/>
        </w:rPr>
        <w:t xml:space="preserve"> sur la Liste représentative.</w:t>
      </w:r>
    </w:p>
    <w:p w14:paraId="4AA7ECCC" w14:textId="25B57B1A" w:rsidR="00693BDC" w:rsidRDefault="00693BD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93BDC">
        <w:rPr>
          <w:rFonts w:eastAsia="Malgun Gothic"/>
          <w:bCs/>
          <w:lang w:val="fr-FR"/>
        </w:rPr>
        <w:t xml:space="preserve">La délégation du </w:t>
      </w:r>
      <w:r w:rsidRPr="00702497">
        <w:rPr>
          <w:rFonts w:eastAsia="Malgun Gothic"/>
          <w:b/>
          <w:lang w:val="fr-FR"/>
        </w:rPr>
        <w:t>Paraguay</w:t>
      </w:r>
      <w:r w:rsidRPr="00693BDC">
        <w:rPr>
          <w:rFonts w:eastAsia="Malgun Gothic"/>
          <w:bCs/>
          <w:lang w:val="fr-FR"/>
        </w:rPr>
        <w:t xml:space="preserve"> a rappelé que la Convention stipule que l</w:t>
      </w:r>
      <w:r w:rsidR="00923E72">
        <w:rPr>
          <w:rFonts w:eastAsia="Malgun Gothic"/>
          <w:bCs/>
          <w:lang w:val="fr-FR"/>
        </w:rPr>
        <w:t>’</w:t>
      </w:r>
      <w:r w:rsidRPr="00693BDC">
        <w:rPr>
          <w:rFonts w:eastAsia="Malgun Gothic"/>
          <w:bCs/>
          <w:lang w:val="fr-FR"/>
        </w:rPr>
        <w:t>importance du patrimoine culturel immatériel ne réside pas dans le patrimoine lui</w:t>
      </w:r>
      <w:r w:rsidR="0082599B">
        <w:rPr>
          <w:rFonts w:eastAsia="Malgun Gothic"/>
          <w:bCs/>
          <w:lang w:val="fr-FR"/>
        </w:rPr>
        <w:noBreakHyphen/>
      </w:r>
      <w:r w:rsidRPr="00693BDC">
        <w:rPr>
          <w:rFonts w:eastAsia="Malgun Gothic"/>
          <w:bCs/>
          <w:lang w:val="fr-FR"/>
        </w:rPr>
        <w:t>même</w:t>
      </w:r>
      <w:r w:rsidR="00AB3881">
        <w:rPr>
          <w:rFonts w:eastAsia="Malgun Gothic"/>
          <w:bCs/>
          <w:lang w:val="fr-FR"/>
        </w:rPr>
        <w:t>,</w:t>
      </w:r>
      <w:r w:rsidRPr="00693BDC">
        <w:rPr>
          <w:rFonts w:eastAsia="Malgun Gothic"/>
          <w:bCs/>
          <w:lang w:val="fr-FR"/>
        </w:rPr>
        <w:t xml:space="preserve"> mais plutôt dans les techniques et la richesse des traditions</w:t>
      </w:r>
      <w:r w:rsidR="005A16F4">
        <w:rPr>
          <w:rFonts w:eastAsia="Malgun Gothic"/>
          <w:bCs/>
          <w:lang w:val="fr-FR"/>
        </w:rPr>
        <w:t xml:space="preserve"> </w:t>
      </w:r>
      <w:r w:rsidRPr="00693BDC">
        <w:rPr>
          <w:rFonts w:eastAsia="Malgun Gothic"/>
          <w:bCs/>
          <w:lang w:val="fr-FR"/>
        </w:rPr>
        <w:t>qui sont générées de génération en génération. La valeur économique et commerciale était pertinente pour les communautés minoritaires et majoritaires dans les États, et avait la même valeur pour les pays en développement et les pays développés. MONDIACULT avait rappelé à tous l</w:t>
      </w:r>
      <w:r w:rsidR="00923E72">
        <w:rPr>
          <w:rFonts w:eastAsia="Malgun Gothic"/>
          <w:bCs/>
          <w:lang w:val="fr-FR"/>
        </w:rPr>
        <w:t>’</w:t>
      </w:r>
      <w:r w:rsidRPr="00693BDC">
        <w:rPr>
          <w:rFonts w:eastAsia="Malgun Gothic"/>
          <w:bCs/>
          <w:lang w:val="fr-FR"/>
        </w:rPr>
        <w:t>importance du rôle de la culture dans le développement durable, la paix, la stabilité, et en tant que moteur de résilience, d</w:t>
      </w:r>
      <w:r w:rsidR="00923E72">
        <w:rPr>
          <w:rFonts w:eastAsia="Malgun Gothic"/>
          <w:bCs/>
          <w:lang w:val="fr-FR"/>
        </w:rPr>
        <w:t>’</w:t>
      </w:r>
      <w:r w:rsidRPr="00693BDC">
        <w:rPr>
          <w:rFonts w:eastAsia="Malgun Gothic"/>
          <w:bCs/>
          <w:lang w:val="fr-FR"/>
        </w:rPr>
        <w:t>inclusion et de cohésion sociale et de développement, qui est basé sur l</w:t>
      </w:r>
      <w:r w:rsidR="00923E72">
        <w:rPr>
          <w:rFonts w:eastAsia="Malgun Gothic"/>
          <w:bCs/>
          <w:lang w:val="fr-FR"/>
        </w:rPr>
        <w:t>’</w:t>
      </w:r>
      <w:r w:rsidRPr="00693BDC">
        <w:rPr>
          <w:rFonts w:eastAsia="Malgun Gothic"/>
          <w:bCs/>
          <w:lang w:val="fr-FR"/>
        </w:rPr>
        <w:t>humain</w:t>
      </w:r>
      <w:r w:rsidR="00560484">
        <w:rPr>
          <w:rFonts w:eastAsia="Malgun Gothic"/>
          <w:bCs/>
          <w:lang w:val="fr-FR"/>
        </w:rPr>
        <w:t xml:space="preserve">, est </w:t>
      </w:r>
      <w:r w:rsidRPr="00693BDC">
        <w:rPr>
          <w:rFonts w:eastAsia="Malgun Gothic"/>
          <w:bCs/>
          <w:lang w:val="fr-FR"/>
        </w:rPr>
        <w:t xml:space="preserve">spécifique au contexte et forme la base du multiculturalisme. Le patrimoine culturel immatériel </w:t>
      </w:r>
      <w:r w:rsidR="0082599B">
        <w:rPr>
          <w:rFonts w:eastAsia="Malgun Gothic"/>
          <w:bCs/>
          <w:lang w:val="fr-FR"/>
        </w:rPr>
        <w:t>était</w:t>
      </w:r>
      <w:r w:rsidRPr="00693BDC">
        <w:rPr>
          <w:rFonts w:eastAsia="Malgun Gothic"/>
          <w:bCs/>
          <w:lang w:val="fr-FR"/>
        </w:rPr>
        <w:t xml:space="preserve"> représentatif des communautés. Nos ancêtres nous enseignaient que lorsque nous nous perdions, lorsque nous étions égarés, quelle que soit la situation, il était toujours bon de revenir au commencement, à l</w:t>
      </w:r>
      <w:r w:rsidR="00923E72">
        <w:rPr>
          <w:rFonts w:eastAsia="Malgun Gothic"/>
          <w:bCs/>
          <w:lang w:val="fr-FR"/>
        </w:rPr>
        <w:t>’</w:t>
      </w:r>
      <w:r w:rsidRPr="00693BDC">
        <w:rPr>
          <w:rFonts w:eastAsia="Malgun Gothic"/>
          <w:bCs/>
          <w:lang w:val="fr-FR"/>
        </w:rPr>
        <w:t>origine. Afin de soutenir le Guatemala et de présenter cet amendement, la délégation était retournée au texte de la Convention. Elle avait examiné attentivement les différents domaines du patrimoine culturel immatériel ainsi que les observations formulées par l</w:t>
      </w:r>
      <w:r w:rsidR="00923E72">
        <w:rPr>
          <w:rFonts w:eastAsia="Malgun Gothic"/>
          <w:bCs/>
          <w:lang w:val="fr-FR"/>
        </w:rPr>
        <w:t>’</w:t>
      </w:r>
      <w:r w:rsidRPr="00693BDC">
        <w:rPr>
          <w:rFonts w:eastAsia="Malgun Gothic"/>
          <w:bCs/>
          <w:lang w:val="fr-FR"/>
        </w:rPr>
        <w:t>Organe d</w:t>
      </w:r>
      <w:r w:rsidR="00923E72">
        <w:rPr>
          <w:rFonts w:eastAsia="Malgun Gothic"/>
          <w:bCs/>
          <w:lang w:val="fr-FR"/>
        </w:rPr>
        <w:t>’</w:t>
      </w:r>
      <w:r w:rsidRPr="00693BDC">
        <w:rPr>
          <w:rFonts w:eastAsia="Malgun Gothic"/>
          <w:bCs/>
          <w:lang w:val="fr-FR"/>
        </w:rPr>
        <w:t>évaluation. Elle avait compris que le manque d</w:t>
      </w:r>
      <w:r w:rsidR="00923E72">
        <w:rPr>
          <w:rFonts w:eastAsia="Malgun Gothic"/>
          <w:bCs/>
          <w:lang w:val="fr-FR"/>
        </w:rPr>
        <w:t>’</w:t>
      </w:r>
      <w:r w:rsidRPr="00693BDC">
        <w:rPr>
          <w:rFonts w:eastAsia="Malgun Gothic"/>
          <w:bCs/>
          <w:lang w:val="fr-FR"/>
        </w:rPr>
        <w:t>information mis en évidence aurait pu être résolu par le dialogue. Elle avait analysé la définition de la Semaine sainte au Guatemala</w:t>
      </w:r>
      <w:r w:rsidR="00560484">
        <w:rPr>
          <w:rFonts w:eastAsia="Malgun Gothic"/>
          <w:bCs/>
          <w:lang w:val="fr-FR"/>
        </w:rPr>
        <w:t>,</w:t>
      </w:r>
      <w:r w:rsidRPr="00693BDC">
        <w:rPr>
          <w:rFonts w:eastAsia="Malgun Gothic"/>
          <w:bCs/>
          <w:lang w:val="fr-FR"/>
        </w:rPr>
        <w:t xml:space="preserve"> et certaines caractéristiques de cet élément correspondaient parfaitement à ce qui est énoncé dans la Convention, et la vidéo qui l</w:t>
      </w:r>
      <w:r w:rsidR="00923E72">
        <w:rPr>
          <w:rFonts w:eastAsia="Malgun Gothic"/>
          <w:bCs/>
          <w:lang w:val="fr-FR"/>
        </w:rPr>
        <w:t>’</w:t>
      </w:r>
      <w:r w:rsidRPr="00693BDC">
        <w:rPr>
          <w:rFonts w:eastAsia="Malgun Gothic"/>
          <w:bCs/>
          <w:lang w:val="fr-FR"/>
        </w:rPr>
        <w:t>accompagnait avait convaincu la délégation qu</w:t>
      </w:r>
      <w:r w:rsidR="00923E72">
        <w:rPr>
          <w:rFonts w:eastAsia="Malgun Gothic"/>
          <w:bCs/>
          <w:lang w:val="fr-FR"/>
        </w:rPr>
        <w:t>’</w:t>
      </w:r>
      <w:r w:rsidRPr="00693BDC">
        <w:rPr>
          <w:rFonts w:eastAsia="Malgun Gothic"/>
          <w:bCs/>
          <w:lang w:val="fr-FR"/>
        </w:rPr>
        <w:t>il était important de réexaminer cet élément. En effet, il s</w:t>
      </w:r>
      <w:r w:rsidR="00923E72">
        <w:rPr>
          <w:rFonts w:eastAsia="Malgun Gothic"/>
          <w:bCs/>
          <w:lang w:val="fr-FR"/>
        </w:rPr>
        <w:t>’</w:t>
      </w:r>
      <w:r w:rsidRPr="00693BDC">
        <w:rPr>
          <w:rFonts w:eastAsia="Malgun Gothic"/>
          <w:bCs/>
          <w:lang w:val="fr-FR"/>
        </w:rPr>
        <w:t>agissait de l</w:t>
      </w:r>
      <w:r w:rsidR="00923E72">
        <w:rPr>
          <w:rFonts w:eastAsia="Malgun Gothic"/>
          <w:bCs/>
          <w:lang w:val="fr-FR"/>
        </w:rPr>
        <w:t>’</w:t>
      </w:r>
      <w:r w:rsidRPr="00693BDC">
        <w:rPr>
          <w:rFonts w:eastAsia="Malgun Gothic"/>
          <w:bCs/>
          <w:lang w:val="fr-FR"/>
        </w:rPr>
        <w:t>expression de la spiritualité du peuple guatémaltèque. Le rôle de l</w:t>
      </w:r>
      <w:r w:rsidR="00923E72">
        <w:rPr>
          <w:rFonts w:eastAsia="Malgun Gothic"/>
          <w:bCs/>
          <w:lang w:val="fr-FR"/>
        </w:rPr>
        <w:t>’</w:t>
      </w:r>
      <w:r w:rsidRPr="00693BDC">
        <w:rPr>
          <w:rFonts w:eastAsia="Malgun Gothic"/>
          <w:bCs/>
          <w:lang w:val="fr-FR"/>
        </w:rPr>
        <w:t>Organe d</w:t>
      </w:r>
      <w:r w:rsidR="00923E72">
        <w:rPr>
          <w:rFonts w:eastAsia="Malgun Gothic"/>
          <w:bCs/>
          <w:lang w:val="fr-FR"/>
        </w:rPr>
        <w:t>’</w:t>
      </w:r>
      <w:r w:rsidRPr="00693BDC">
        <w:rPr>
          <w:rFonts w:eastAsia="Malgun Gothic"/>
          <w:bCs/>
          <w:lang w:val="fr-FR"/>
        </w:rPr>
        <w:t>évaluation était d</w:t>
      </w:r>
      <w:r w:rsidR="00923E72">
        <w:rPr>
          <w:rFonts w:eastAsia="Malgun Gothic"/>
          <w:bCs/>
          <w:lang w:val="fr-FR"/>
        </w:rPr>
        <w:t>’</w:t>
      </w:r>
      <w:r w:rsidRPr="00693BDC">
        <w:rPr>
          <w:rFonts w:eastAsia="Malgun Gothic"/>
          <w:bCs/>
          <w:lang w:val="fr-FR"/>
        </w:rPr>
        <w:t>aider à obtenir une analyse approfondie du dossier, ce qui ne signifiait pas que sa décision ne pouvait pas être contestée, en particulier lorsque l</w:t>
      </w:r>
      <w:r w:rsidR="00923E72">
        <w:rPr>
          <w:rFonts w:eastAsia="Malgun Gothic"/>
          <w:bCs/>
          <w:lang w:val="fr-FR"/>
        </w:rPr>
        <w:t>’</w:t>
      </w:r>
      <w:r w:rsidRPr="00693BDC">
        <w:rPr>
          <w:rFonts w:eastAsia="Malgun Gothic"/>
          <w:bCs/>
          <w:lang w:val="fr-FR"/>
        </w:rPr>
        <w:t xml:space="preserve">Organe reconnaissait lui-même ses limites à évaluer pleinement les éléments du </w:t>
      </w:r>
      <w:r w:rsidRPr="00693BDC">
        <w:rPr>
          <w:rFonts w:eastAsia="Malgun Gothic"/>
          <w:bCs/>
          <w:lang w:val="fr-FR"/>
        </w:rPr>
        <w:lastRenderedPageBreak/>
        <w:t>patrimoine culturel immatériel à travers des documents qui ne représentaient pas toujours fidèlement chaque expression culturelle. Le rôle du Comité était de veiller à ce que ces éléments soient intégralement évalués. La délégation a donc demandé à l</w:t>
      </w:r>
      <w:r w:rsidR="00923E72">
        <w:rPr>
          <w:rFonts w:eastAsia="Malgun Gothic"/>
          <w:bCs/>
          <w:lang w:val="fr-FR"/>
        </w:rPr>
        <w:t>’</w:t>
      </w:r>
      <w:r w:rsidRPr="00693BDC">
        <w:rPr>
          <w:rFonts w:eastAsia="Malgun Gothic"/>
          <w:bCs/>
          <w:lang w:val="fr-FR"/>
        </w:rPr>
        <w:t xml:space="preserve">État soumissionnaire de développer le </w:t>
      </w:r>
      <w:r w:rsidR="00560484">
        <w:rPr>
          <w:rFonts w:eastAsia="Malgun Gothic"/>
          <w:bCs/>
          <w:lang w:val="fr-FR"/>
        </w:rPr>
        <w:t>critère </w:t>
      </w:r>
      <w:r w:rsidRPr="00693BDC">
        <w:rPr>
          <w:rFonts w:eastAsia="Malgun Gothic"/>
          <w:bCs/>
          <w:lang w:val="fr-FR"/>
        </w:rPr>
        <w:t>R.3 concernant la participation de la communauté et le plan de sauvegarde.</w:t>
      </w:r>
    </w:p>
    <w:p w14:paraId="4EA7C8A4" w14:textId="3E405EED" w:rsidR="00560484" w:rsidRPr="00D97C81" w:rsidRDefault="00560484"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D97C81">
        <w:rPr>
          <w:rFonts w:eastAsia="Malgun Gothic"/>
          <w:bCs/>
          <w:lang w:val="fr-FR"/>
        </w:rPr>
        <w:t xml:space="preserve">Le </w:t>
      </w:r>
      <w:r w:rsidRPr="00702497">
        <w:rPr>
          <w:rFonts w:eastAsia="Malgun Gothic"/>
          <w:b/>
          <w:lang w:val="fr-FR"/>
        </w:rPr>
        <w:t>Président</w:t>
      </w:r>
      <w:r w:rsidRPr="00D97C81">
        <w:rPr>
          <w:rFonts w:eastAsia="Malgun Gothic"/>
          <w:bCs/>
          <w:lang w:val="fr-FR"/>
        </w:rPr>
        <w:t xml:space="preserve"> a remercié le Paraguay et a saisi l</w:t>
      </w:r>
      <w:r w:rsidR="00923E72">
        <w:rPr>
          <w:rFonts w:eastAsia="Malgun Gothic"/>
          <w:bCs/>
          <w:lang w:val="fr-FR"/>
        </w:rPr>
        <w:t>’</w:t>
      </w:r>
      <w:r w:rsidRPr="00D97C81">
        <w:rPr>
          <w:rFonts w:eastAsia="Malgun Gothic"/>
          <w:bCs/>
          <w:lang w:val="fr-FR"/>
        </w:rPr>
        <w:t xml:space="preserve">occasion pour saluer la présence du ministre des Affaires étrangères et du vice-ministre </w:t>
      </w:r>
      <w:r w:rsidR="00E46EB5" w:rsidRPr="00D97C81">
        <w:rPr>
          <w:rFonts w:eastAsia="Malgun Gothic"/>
          <w:bCs/>
          <w:lang w:val="fr-FR"/>
        </w:rPr>
        <w:t xml:space="preserve">de la Culture </w:t>
      </w:r>
      <w:r w:rsidRPr="00D97C81">
        <w:rPr>
          <w:rFonts w:eastAsia="Malgun Gothic"/>
          <w:bCs/>
          <w:lang w:val="fr-FR"/>
        </w:rPr>
        <w:t>du Guatemala.</w:t>
      </w:r>
    </w:p>
    <w:p w14:paraId="0EDDDA88" w14:textId="576C03D1" w:rsidR="00560484" w:rsidRDefault="00560484"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60484">
        <w:rPr>
          <w:rFonts w:eastAsia="Malgun Gothic"/>
          <w:bCs/>
          <w:lang w:val="fr-FR"/>
        </w:rPr>
        <w:t xml:space="preserve">La délégation du </w:t>
      </w:r>
      <w:r w:rsidRPr="00702497">
        <w:rPr>
          <w:rFonts w:eastAsia="Malgun Gothic"/>
          <w:b/>
          <w:lang w:val="fr-FR"/>
        </w:rPr>
        <w:t>Guatemala</w:t>
      </w:r>
      <w:r w:rsidRPr="00560484">
        <w:rPr>
          <w:rFonts w:eastAsia="Malgun Gothic"/>
          <w:bCs/>
          <w:lang w:val="fr-FR"/>
        </w:rPr>
        <w:t xml:space="preserve"> a </w:t>
      </w:r>
      <w:r w:rsidR="00E7641F">
        <w:rPr>
          <w:rFonts w:eastAsia="Malgun Gothic"/>
          <w:bCs/>
          <w:lang w:val="fr-FR"/>
        </w:rPr>
        <w:t>tenu à préciser qu</w:t>
      </w:r>
      <w:r w:rsidR="00923E72">
        <w:rPr>
          <w:rFonts w:eastAsia="Malgun Gothic"/>
          <w:bCs/>
          <w:lang w:val="fr-FR"/>
        </w:rPr>
        <w:t>’</w:t>
      </w:r>
      <w:r w:rsidR="00E7641F">
        <w:rPr>
          <w:rFonts w:eastAsia="Malgun Gothic"/>
          <w:bCs/>
          <w:lang w:val="fr-FR"/>
        </w:rPr>
        <w:t xml:space="preserve">elle élaborait </w:t>
      </w:r>
      <w:r w:rsidRPr="00560484">
        <w:rPr>
          <w:rFonts w:eastAsia="Malgun Gothic"/>
          <w:bCs/>
          <w:lang w:val="fr-FR"/>
        </w:rPr>
        <w:t xml:space="preserve">sa </w:t>
      </w:r>
      <w:r w:rsidR="00E7641F">
        <w:rPr>
          <w:rFonts w:eastAsia="Malgun Gothic"/>
          <w:bCs/>
          <w:lang w:val="fr-FR"/>
        </w:rPr>
        <w:t xml:space="preserve">réponse en se fondant </w:t>
      </w:r>
      <w:r w:rsidRPr="00560484">
        <w:rPr>
          <w:rFonts w:eastAsia="Malgun Gothic"/>
          <w:bCs/>
          <w:lang w:val="fr-FR"/>
        </w:rPr>
        <w:t>sur le texte figurant dans le dossier, expliquant que les communautés, les groupes et les individus s</w:t>
      </w:r>
      <w:r w:rsidR="00923E72">
        <w:rPr>
          <w:rFonts w:eastAsia="Malgun Gothic"/>
          <w:bCs/>
          <w:lang w:val="fr-FR"/>
        </w:rPr>
        <w:t>’</w:t>
      </w:r>
      <w:r w:rsidRPr="00560484">
        <w:rPr>
          <w:rFonts w:eastAsia="Malgun Gothic"/>
          <w:bCs/>
          <w:lang w:val="fr-FR"/>
        </w:rPr>
        <w:t xml:space="preserve">organisent dans différents contextes afin de garantir que ce processus </w:t>
      </w:r>
      <w:r w:rsidR="0026174F">
        <w:rPr>
          <w:rFonts w:eastAsia="Malgun Gothic"/>
          <w:bCs/>
          <w:lang w:val="fr-FR"/>
        </w:rPr>
        <w:t xml:space="preserve">est </w:t>
      </w:r>
      <w:r w:rsidRPr="00560484">
        <w:rPr>
          <w:rFonts w:eastAsia="Malgun Gothic"/>
          <w:bCs/>
          <w:lang w:val="fr-FR"/>
        </w:rPr>
        <w:t>inclusif. Les femmes, les enfants et les adultes, qui sont les détenteurs et des représentants importants de la Semaine Sainte au Guatemala, avaient pris part à ce processus. La candidature était soutenue techniquement et financièrement par le ministère de la Culture et des Sports. S</w:t>
      </w:r>
      <w:r w:rsidR="00923E72">
        <w:rPr>
          <w:rFonts w:eastAsia="Malgun Gothic"/>
          <w:bCs/>
          <w:lang w:val="fr-FR"/>
        </w:rPr>
        <w:t>’</w:t>
      </w:r>
      <w:r w:rsidRPr="00560484">
        <w:rPr>
          <w:rFonts w:eastAsia="Malgun Gothic"/>
          <w:bCs/>
          <w:lang w:val="fr-FR"/>
        </w:rPr>
        <w:t>agissant du critère</w:t>
      </w:r>
      <w:r w:rsidR="0026174F">
        <w:rPr>
          <w:rFonts w:eastAsia="Malgun Gothic"/>
          <w:bCs/>
          <w:lang w:val="fr-FR"/>
        </w:rPr>
        <w:t> </w:t>
      </w:r>
      <w:r w:rsidRPr="00560484">
        <w:rPr>
          <w:rFonts w:eastAsia="Malgun Gothic"/>
          <w:bCs/>
          <w:lang w:val="fr-FR"/>
        </w:rPr>
        <w:t>R.3, la section</w:t>
      </w:r>
      <w:r w:rsidR="0026174F">
        <w:rPr>
          <w:rFonts w:eastAsia="Malgun Gothic"/>
          <w:bCs/>
          <w:lang w:val="fr-FR"/>
        </w:rPr>
        <w:t> </w:t>
      </w:r>
      <w:r w:rsidRPr="00560484">
        <w:rPr>
          <w:rFonts w:eastAsia="Malgun Gothic"/>
          <w:bCs/>
          <w:lang w:val="fr-FR"/>
        </w:rPr>
        <w:t xml:space="preserve">3 du formulaire de candidature décrivait les efforts déployés pour promouvoir et transmettre les arts, et les différents rôles de toutes les personnes impliquées, telles que les sculpteurs, les décorateurs, les compositeurs et les danseurs ainsi que toutes les personnes </w:t>
      </w:r>
      <w:r w:rsidR="000E063C">
        <w:rPr>
          <w:rFonts w:eastAsia="Malgun Gothic"/>
          <w:bCs/>
          <w:lang w:val="fr-FR"/>
        </w:rPr>
        <w:t xml:space="preserve">concernées par </w:t>
      </w:r>
      <w:r w:rsidRPr="00560484">
        <w:rPr>
          <w:rFonts w:eastAsia="Malgun Gothic"/>
          <w:bCs/>
          <w:lang w:val="fr-FR"/>
        </w:rPr>
        <w:t>la gastronomie traditionnelle. Tous avaient été associés à l</w:t>
      </w:r>
      <w:r w:rsidR="00923E72">
        <w:rPr>
          <w:rFonts w:eastAsia="Malgun Gothic"/>
          <w:bCs/>
          <w:lang w:val="fr-FR"/>
        </w:rPr>
        <w:t>’</w:t>
      </w:r>
      <w:r w:rsidRPr="00560484">
        <w:rPr>
          <w:rFonts w:eastAsia="Malgun Gothic"/>
          <w:bCs/>
          <w:lang w:val="fr-FR"/>
        </w:rPr>
        <w:t xml:space="preserve">élaboration de ce dossier. Les facteurs techniques et économiques avaient également été pris en considération. De nouvelles </w:t>
      </w:r>
      <w:r w:rsidR="00E7641F">
        <w:rPr>
          <w:rFonts w:eastAsia="Malgun Gothic"/>
          <w:bCs/>
          <w:lang w:val="fr-FR"/>
        </w:rPr>
        <w:t xml:space="preserve">modalités de transmission </w:t>
      </w:r>
      <w:r w:rsidRPr="00560484">
        <w:rPr>
          <w:rFonts w:eastAsia="Malgun Gothic"/>
          <w:bCs/>
          <w:lang w:val="fr-FR"/>
        </w:rPr>
        <w:t xml:space="preserve">de ces connaissances avaient été envisagées, de nouveaux matériaux et de nouvelles technologies avaient également été utilisés, ce qui était décrit dans le dossier. Ce processus avait donc été mené par les communautés, qui avaient également proposé leurs propres idées en matière de mesures de sauvegarde. Le Gouvernement encourageait ces mesures et soutenait leur mise en œuvre. Chaque communauté était impliquée dans la conception des pratiques qui lui </w:t>
      </w:r>
      <w:r w:rsidR="00E7641F">
        <w:rPr>
          <w:rFonts w:eastAsia="Malgun Gothic"/>
          <w:bCs/>
          <w:lang w:val="fr-FR"/>
        </w:rPr>
        <w:t xml:space="preserve">convenaient </w:t>
      </w:r>
      <w:r w:rsidRPr="00560484">
        <w:rPr>
          <w:rFonts w:eastAsia="Malgun Gothic"/>
          <w:bCs/>
          <w:lang w:val="fr-FR"/>
        </w:rPr>
        <w:t>le mieux. La transmission de cet élément se faisait des aînés aux jeunes et des jeunes aux aînés dans le cadre d</w:t>
      </w:r>
      <w:r w:rsidR="00923E72">
        <w:rPr>
          <w:rFonts w:eastAsia="Malgun Gothic"/>
          <w:bCs/>
          <w:lang w:val="fr-FR"/>
        </w:rPr>
        <w:t>’</w:t>
      </w:r>
      <w:r w:rsidRPr="00560484">
        <w:rPr>
          <w:rFonts w:eastAsia="Malgun Gothic"/>
          <w:bCs/>
          <w:lang w:val="fr-FR"/>
        </w:rPr>
        <w:t xml:space="preserve">un processus inclusif. </w:t>
      </w:r>
      <w:r w:rsidR="00881F2C">
        <w:rPr>
          <w:rFonts w:eastAsia="Malgun Gothic"/>
          <w:bCs/>
          <w:lang w:val="fr-FR"/>
        </w:rPr>
        <w:t>C</w:t>
      </w:r>
      <w:r w:rsidR="00923E72">
        <w:rPr>
          <w:rFonts w:eastAsia="Malgun Gothic"/>
          <w:bCs/>
          <w:lang w:val="fr-FR"/>
        </w:rPr>
        <w:t>’</w:t>
      </w:r>
      <w:r w:rsidR="00881F2C">
        <w:rPr>
          <w:rFonts w:eastAsia="Malgun Gothic"/>
          <w:bCs/>
          <w:lang w:val="fr-FR"/>
        </w:rPr>
        <w:t>était</w:t>
      </w:r>
      <w:r w:rsidRPr="00560484">
        <w:rPr>
          <w:rFonts w:eastAsia="Malgun Gothic"/>
          <w:bCs/>
          <w:lang w:val="fr-FR"/>
        </w:rPr>
        <w:t xml:space="preserve"> à la fois un dialogue interculturel et un dialogue intergénérationnel. En ce qui concerne l</w:t>
      </w:r>
      <w:r w:rsidR="00923E72">
        <w:rPr>
          <w:rFonts w:eastAsia="Malgun Gothic"/>
          <w:bCs/>
          <w:lang w:val="fr-FR"/>
        </w:rPr>
        <w:t>’</w:t>
      </w:r>
      <w:r w:rsidRPr="00560484">
        <w:rPr>
          <w:rFonts w:eastAsia="Malgun Gothic"/>
          <w:bCs/>
          <w:lang w:val="fr-FR"/>
        </w:rPr>
        <w:t>extension du plan de sauvegarde, les critères et les orientations pour les plans de sauvegarde allaient de la définition d</w:t>
      </w:r>
      <w:r w:rsidR="00923E72">
        <w:rPr>
          <w:rFonts w:eastAsia="Malgun Gothic"/>
          <w:bCs/>
          <w:lang w:val="fr-FR"/>
        </w:rPr>
        <w:t>’</w:t>
      </w:r>
      <w:r w:rsidRPr="00560484">
        <w:rPr>
          <w:rFonts w:eastAsia="Malgun Gothic"/>
          <w:bCs/>
          <w:lang w:val="fr-FR"/>
        </w:rPr>
        <w:t>actions à la promotion de la documentation et à l</w:t>
      </w:r>
      <w:r w:rsidR="00923E72">
        <w:rPr>
          <w:rFonts w:eastAsia="Malgun Gothic"/>
          <w:bCs/>
          <w:lang w:val="fr-FR"/>
        </w:rPr>
        <w:t>’</w:t>
      </w:r>
      <w:r w:rsidRPr="00560484">
        <w:rPr>
          <w:rFonts w:eastAsia="Malgun Gothic"/>
          <w:bCs/>
          <w:lang w:val="fr-FR"/>
        </w:rPr>
        <w:t>analyse des expressions et des pratiques menacées afin de mieux concevoir des mesures pour leur sauvegarde. Une grande partie de la diffusion des connaissances, du renforcement des capacités et de la formation était réalisée afin que les communautés soient impliquées dans ces mesures, comme cela était le cas dans l</w:t>
      </w:r>
      <w:r w:rsidR="00923E72">
        <w:rPr>
          <w:rFonts w:eastAsia="Malgun Gothic"/>
          <w:bCs/>
          <w:lang w:val="fr-FR"/>
        </w:rPr>
        <w:t>’</w:t>
      </w:r>
      <w:r w:rsidRPr="00560484">
        <w:rPr>
          <w:rFonts w:eastAsia="Malgun Gothic"/>
          <w:bCs/>
          <w:lang w:val="fr-FR"/>
        </w:rPr>
        <w:t>ensemble du pays.</w:t>
      </w:r>
    </w:p>
    <w:p w14:paraId="077AE473" w14:textId="65DB3D4B" w:rsidR="00980001" w:rsidRDefault="0098000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980001">
        <w:rPr>
          <w:rFonts w:eastAsia="Malgun Gothic"/>
          <w:bCs/>
          <w:lang w:val="fr-FR"/>
        </w:rPr>
        <w:t>délégation</w:t>
      </w:r>
      <w:r>
        <w:rPr>
          <w:rFonts w:eastAsia="Malgun Gothic"/>
          <w:bCs/>
          <w:lang w:val="fr-FR"/>
        </w:rPr>
        <w:t xml:space="preserve"> du </w:t>
      </w:r>
      <w:r w:rsidRPr="00702497">
        <w:rPr>
          <w:rFonts w:eastAsia="Malgun Gothic"/>
          <w:b/>
          <w:lang w:val="fr-FR"/>
        </w:rPr>
        <w:t>Paraguay</w:t>
      </w:r>
      <w:r>
        <w:rPr>
          <w:rFonts w:eastAsia="Malgun Gothic"/>
          <w:bCs/>
          <w:lang w:val="fr-FR"/>
        </w:rPr>
        <w:t xml:space="preserve"> a remercié le vice-ministre de la Culture et des Sports du Guatemala, ajoutant qu</w:t>
      </w:r>
      <w:r w:rsidR="00923E72">
        <w:rPr>
          <w:rFonts w:eastAsia="Malgun Gothic"/>
          <w:bCs/>
          <w:lang w:val="fr-FR"/>
        </w:rPr>
        <w:t>’</w:t>
      </w:r>
      <w:r>
        <w:rPr>
          <w:rFonts w:eastAsia="Malgun Gothic"/>
          <w:bCs/>
          <w:lang w:val="fr-FR"/>
        </w:rPr>
        <w:t>elle était satisfaite de la réponse</w:t>
      </w:r>
      <w:r w:rsidR="00881F2C">
        <w:rPr>
          <w:rFonts w:eastAsia="Malgun Gothic"/>
          <w:bCs/>
          <w:lang w:val="fr-FR"/>
        </w:rPr>
        <w:t xml:space="preserve"> donnée</w:t>
      </w:r>
      <w:r>
        <w:rPr>
          <w:rFonts w:eastAsia="Malgun Gothic"/>
          <w:bCs/>
          <w:lang w:val="fr-FR"/>
        </w:rPr>
        <w:t>.</w:t>
      </w:r>
    </w:p>
    <w:p w14:paraId="2B15FC5B" w14:textId="7CEB9A72" w:rsidR="00980001" w:rsidRDefault="00E46EB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E46EB5">
        <w:rPr>
          <w:rFonts w:eastAsia="Malgun Gothic"/>
          <w:bCs/>
          <w:lang w:val="fr-FR"/>
        </w:rPr>
        <w:t>La délégation de l</w:t>
      </w:r>
      <w:r w:rsidR="00923E72">
        <w:rPr>
          <w:rFonts w:eastAsia="Malgun Gothic"/>
          <w:bCs/>
          <w:lang w:val="fr-FR"/>
        </w:rPr>
        <w:t>’</w:t>
      </w:r>
      <w:r w:rsidRPr="00702497">
        <w:rPr>
          <w:rFonts w:eastAsia="Malgun Gothic"/>
          <w:b/>
          <w:lang w:val="fr-FR"/>
        </w:rPr>
        <w:t>Angola</w:t>
      </w:r>
      <w:r w:rsidRPr="00E46EB5">
        <w:rPr>
          <w:rFonts w:eastAsia="Malgun Gothic"/>
          <w:bCs/>
          <w:lang w:val="fr-FR"/>
        </w:rPr>
        <w:t xml:space="preserve"> a remercié l</w:t>
      </w:r>
      <w:r w:rsidR="00923E72">
        <w:rPr>
          <w:rFonts w:eastAsia="Malgun Gothic"/>
          <w:bCs/>
          <w:lang w:val="fr-FR"/>
        </w:rPr>
        <w:t>’</w:t>
      </w:r>
      <w:r w:rsidRPr="00E46EB5">
        <w:rPr>
          <w:rFonts w:eastAsia="Malgun Gothic"/>
          <w:bCs/>
          <w:lang w:val="fr-FR"/>
        </w:rPr>
        <w:t>Organe d</w:t>
      </w:r>
      <w:r w:rsidR="00923E72">
        <w:rPr>
          <w:rFonts w:eastAsia="Malgun Gothic"/>
          <w:bCs/>
          <w:lang w:val="fr-FR"/>
        </w:rPr>
        <w:t>’</w:t>
      </w:r>
      <w:r w:rsidRPr="00E46EB5">
        <w:rPr>
          <w:rFonts w:eastAsia="Malgun Gothic"/>
          <w:bCs/>
          <w:lang w:val="fr-FR"/>
        </w:rPr>
        <w:t>évaluation pour ses commentaires. Elle s</w:t>
      </w:r>
      <w:r w:rsidR="00923E72">
        <w:rPr>
          <w:rFonts w:eastAsia="Malgun Gothic"/>
          <w:bCs/>
          <w:lang w:val="fr-FR"/>
        </w:rPr>
        <w:t>’</w:t>
      </w:r>
      <w:r w:rsidRPr="00E46EB5">
        <w:rPr>
          <w:rFonts w:eastAsia="Malgun Gothic"/>
          <w:bCs/>
          <w:lang w:val="fr-FR"/>
        </w:rPr>
        <w:t>est également déclarée satisfaite des éclaircissements apportés par le Guatemala, ajoutant qu</w:t>
      </w:r>
      <w:r w:rsidR="00923E72">
        <w:rPr>
          <w:rFonts w:eastAsia="Malgun Gothic"/>
          <w:bCs/>
          <w:lang w:val="fr-FR"/>
        </w:rPr>
        <w:t>’</w:t>
      </w:r>
      <w:r w:rsidRPr="00E46EB5">
        <w:rPr>
          <w:rFonts w:eastAsia="Malgun Gothic"/>
          <w:bCs/>
          <w:lang w:val="fr-FR"/>
        </w:rPr>
        <w:t>il était toujours bon d</w:t>
      </w:r>
      <w:r w:rsidR="00923E72">
        <w:rPr>
          <w:rFonts w:eastAsia="Malgun Gothic"/>
          <w:bCs/>
          <w:lang w:val="fr-FR"/>
        </w:rPr>
        <w:t>’</w:t>
      </w:r>
      <w:r w:rsidRPr="00E46EB5">
        <w:rPr>
          <w:rFonts w:eastAsia="Malgun Gothic"/>
          <w:bCs/>
          <w:lang w:val="fr-FR"/>
        </w:rPr>
        <w:t>entendre toutes les parties concernées, y compris la délégation de l</w:t>
      </w:r>
      <w:r w:rsidR="00923E72">
        <w:rPr>
          <w:rFonts w:eastAsia="Malgun Gothic"/>
          <w:bCs/>
          <w:lang w:val="fr-FR"/>
        </w:rPr>
        <w:t>’</w:t>
      </w:r>
      <w:r w:rsidRPr="00E46EB5">
        <w:rPr>
          <w:rFonts w:eastAsia="Malgun Gothic"/>
          <w:bCs/>
          <w:lang w:val="fr-FR"/>
        </w:rPr>
        <w:t xml:space="preserve">État soumissionnaire. </w:t>
      </w:r>
      <w:r w:rsidR="00881F2C">
        <w:rPr>
          <w:rFonts w:eastAsia="Malgun Gothic"/>
          <w:bCs/>
          <w:lang w:val="fr-FR"/>
        </w:rPr>
        <w:t>Concernant le critère R.2, e</w:t>
      </w:r>
      <w:r w:rsidRPr="00E46EB5">
        <w:rPr>
          <w:rFonts w:eastAsia="Malgun Gothic"/>
          <w:bCs/>
          <w:lang w:val="fr-FR"/>
        </w:rPr>
        <w:t>lle souhaitait</w:t>
      </w:r>
      <w:r w:rsidR="00881F2C">
        <w:rPr>
          <w:rFonts w:eastAsia="Malgun Gothic"/>
          <w:bCs/>
          <w:lang w:val="fr-FR"/>
        </w:rPr>
        <w:t xml:space="preserve"> demander</w:t>
      </w:r>
      <w:r w:rsidRPr="00E46EB5">
        <w:rPr>
          <w:rFonts w:eastAsia="Malgun Gothic"/>
          <w:bCs/>
          <w:lang w:val="fr-FR"/>
        </w:rPr>
        <w:t xml:space="preserve"> au Guatemala </w:t>
      </w:r>
      <w:r w:rsidR="00AE15DD">
        <w:rPr>
          <w:rFonts w:eastAsia="Malgun Gothic"/>
          <w:bCs/>
          <w:lang w:val="fr-FR"/>
        </w:rPr>
        <w:t xml:space="preserve">de quelle façon </w:t>
      </w:r>
      <w:r w:rsidRPr="00E46EB5">
        <w:rPr>
          <w:rFonts w:eastAsia="Malgun Gothic"/>
          <w:bCs/>
          <w:lang w:val="fr-FR"/>
        </w:rPr>
        <w:t>l</w:t>
      </w:r>
      <w:r w:rsidR="00923E72">
        <w:rPr>
          <w:rFonts w:eastAsia="Malgun Gothic"/>
          <w:bCs/>
          <w:lang w:val="fr-FR"/>
        </w:rPr>
        <w:t>’</w:t>
      </w:r>
      <w:r w:rsidRPr="00E46EB5">
        <w:rPr>
          <w:rFonts w:eastAsia="Malgun Gothic"/>
          <w:bCs/>
          <w:lang w:val="fr-FR"/>
        </w:rPr>
        <w:t>inscription augmenterait</w:t>
      </w:r>
      <w:r w:rsidR="00881F2C">
        <w:rPr>
          <w:rFonts w:eastAsia="Malgun Gothic"/>
          <w:bCs/>
          <w:lang w:val="fr-FR"/>
        </w:rPr>
        <w:t xml:space="preserve"> </w:t>
      </w:r>
      <w:r w:rsidRPr="00E46EB5">
        <w:rPr>
          <w:rFonts w:eastAsia="Malgun Gothic"/>
          <w:bCs/>
          <w:lang w:val="fr-FR"/>
        </w:rPr>
        <w:t>la visibilité et la prise de conscience du patrimoine culturel immatériel en général</w:t>
      </w:r>
      <w:r w:rsidR="00881F2C">
        <w:rPr>
          <w:rFonts w:eastAsia="Malgun Gothic"/>
          <w:bCs/>
          <w:lang w:val="fr-FR"/>
        </w:rPr>
        <w:t>.</w:t>
      </w:r>
    </w:p>
    <w:p w14:paraId="0756889F" w14:textId="0C2CF895" w:rsidR="00BD60B1" w:rsidRDefault="0066655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66550">
        <w:rPr>
          <w:rFonts w:eastAsia="Malgun Gothic"/>
          <w:bCs/>
          <w:lang w:val="fr-FR"/>
        </w:rPr>
        <w:t xml:space="preserve">La délégation du </w:t>
      </w:r>
      <w:r w:rsidRPr="00702497">
        <w:rPr>
          <w:rFonts w:eastAsia="Malgun Gothic"/>
          <w:b/>
          <w:lang w:val="fr-FR"/>
        </w:rPr>
        <w:t>Guatemala</w:t>
      </w:r>
      <w:r w:rsidRPr="00666550">
        <w:rPr>
          <w:rFonts w:eastAsia="Malgun Gothic"/>
          <w:bCs/>
          <w:lang w:val="fr-FR"/>
        </w:rPr>
        <w:t xml:space="preserve"> a expliqué que la Semaine Sainte au Guatemala est une manifestation de la diversité culturelle, puisqu</w:t>
      </w:r>
      <w:r w:rsidR="00923E72">
        <w:rPr>
          <w:rFonts w:eastAsia="Malgun Gothic"/>
          <w:bCs/>
          <w:lang w:val="fr-FR"/>
        </w:rPr>
        <w:t>’</w:t>
      </w:r>
      <w:r w:rsidRPr="00666550">
        <w:rPr>
          <w:rFonts w:eastAsia="Malgun Gothic"/>
          <w:bCs/>
          <w:lang w:val="fr-FR"/>
        </w:rPr>
        <w:t>elle est présente dans les vingt</w:t>
      </w:r>
      <w:r>
        <w:rPr>
          <w:rFonts w:eastAsia="Malgun Gothic"/>
          <w:bCs/>
          <w:lang w:val="fr-FR"/>
        </w:rPr>
        <w:noBreakHyphen/>
      </w:r>
      <w:r w:rsidRPr="00666550">
        <w:rPr>
          <w:rFonts w:eastAsia="Malgun Gothic"/>
          <w:bCs/>
          <w:lang w:val="fr-FR"/>
        </w:rPr>
        <w:t xml:space="preserve">deux </w:t>
      </w:r>
      <w:r>
        <w:rPr>
          <w:rFonts w:eastAsia="Malgun Gothic"/>
          <w:bCs/>
          <w:lang w:val="fr-FR"/>
        </w:rPr>
        <w:t xml:space="preserve">départements </w:t>
      </w:r>
      <w:r w:rsidRPr="00666550">
        <w:rPr>
          <w:rFonts w:eastAsia="Malgun Gothic"/>
          <w:bCs/>
          <w:lang w:val="fr-FR"/>
        </w:rPr>
        <w:t>du pays et que les vingt</w:t>
      </w:r>
      <w:r>
        <w:rPr>
          <w:rFonts w:eastAsia="Malgun Gothic"/>
          <w:bCs/>
          <w:lang w:val="fr-FR"/>
        </w:rPr>
        <w:noBreakHyphen/>
      </w:r>
      <w:r w:rsidRPr="00666550">
        <w:rPr>
          <w:rFonts w:eastAsia="Malgun Gothic"/>
          <w:bCs/>
          <w:lang w:val="fr-FR"/>
        </w:rPr>
        <w:t>cinq cultures différentes du Guatemala y participent</w:t>
      </w:r>
      <w:r>
        <w:rPr>
          <w:rFonts w:eastAsia="Malgun Gothic"/>
          <w:bCs/>
          <w:lang w:val="fr-FR"/>
        </w:rPr>
        <w:t>,</w:t>
      </w:r>
      <w:r w:rsidRPr="00666550">
        <w:rPr>
          <w:rFonts w:eastAsia="Malgun Gothic"/>
          <w:bCs/>
          <w:lang w:val="fr-FR"/>
        </w:rPr>
        <w:t xml:space="preserve"> impliqu</w:t>
      </w:r>
      <w:r>
        <w:rPr>
          <w:rFonts w:eastAsia="Malgun Gothic"/>
          <w:bCs/>
          <w:lang w:val="fr-FR"/>
        </w:rPr>
        <w:t>a</w:t>
      </w:r>
      <w:r w:rsidRPr="00666550">
        <w:rPr>
          <w:rFonts w:eastAsia="Malgun Gothic"/>
          <w:bCs/>
          <w:lang w:val="fr-FR"/>
        </w:rPr>
        <w:t>nt tous les secteurs de la société et plus de</w:t>
      </w:r>
      <w:r w:rsidR="009A34A8">
        <w:rPr>
          <w:rFonts w:eastAsia="Malgun Gothic"/>
          <w:bCs/>
          <w:lang w:val="fr-FR"/>
        </w:rPr>
        <w:t> </w:t>
      </w:r>
      <w:r w:rsidRPr="00666550">
        <w:rPr>
          <w:rFonts w:eastAsia="Malgun Gothic"/>
          <w:bCs/>
          <w:lang w:val="fr-FR"/>
        </w:rPr>
        <w:t>50</w:t>
      </w:r>
      <w:r>
        <w:rPr>
          <w:rFonts w:eastAsia="Malgun Gothic"/>
          <w:bCs/>
          <w:lang w:val="fr-FR"/>
        </w:rPr>
        <w:t> </w:t>
      </w:r>
      <w:r w:rsidRPr="00666550">
        <w:rPr>
          <w:rFonts w:eastAsia="Malgun Gothic"/>
          <w:bCs/>
          <w:lang w:val="fr-FR"/>
        </w:rPr>
        <w:t>% de la population. C</w:t>
      </w:r>
      <w:r w:rsidR="00923E72">
        <w:rPr>
          <w:rFonts w:eastAsia="Malgun Gothic"/>
          <w:bCs/>
          <w:lang w:val="fr-FR"/>
        </w:rPr>
        <w:t>’</w:t>
      </w:r>
      <w:r w:rsidRPr="00666550">
        <w:rPr>
          <w:rFonts w:eastAsia="Malgun Gothic"/>
          <w:bCs/>
          <w:lang w:val="fr-FR"/>
        </w:rPr>
        <w:t>était une manifestation qui renforce l</w:t>
      </w:r>
      <w:r w:rsidR="00923E72">
        <w:rPr>
          <w:rFonts w:eastAsia="Malgun Gothic"/>
          <w:bCs/>
          <w:lang w:val="fr-FR"/>
        </w:rPr>
        <w:t>’</w:t>
      </w:r>
      <w:r w:rsidRPr="00666550">
        <w:rPr>
          <w:rFonts w:eastAsia="Malgun Gothic"/>
          <w:bCs/>
          <w:lang w:val="fr-FR"/>
        </w:rPr>
        <w:t>identité nationale, locale et régionale et le sentiment d</w:t>
      </w:r>
      <w:r w:rsidR="00923E72">
        <w:rPr>
          <w:rFonts w:eastAsia="Malgun Gothic"/>
          <w:bCs/>
          <w:lang w:val="fr-FR"/>
        </w:rPr>
        <w:t>’</w:t>
      </w:r>
      <w:r w:rsidRPr="00666550">
        <w:rPr>
          <w:rFonts w:eastAsia="Malgun Gothic"/>
          <w:bCs/>
          <w:lang w:val="fr-FR"/>
        </w:rPr>
        <w:t xml:space="preserve">appartenance et de fierté. Sa reconnaissance en tant que patrimoine culturel immatériel renforcerait la visibilité de ces manifestations qui ont un lien avec les peuples </w:t>
      </w:r>
      <w:r w:rsidR="00AE15DD">
        <w:rPr>
          <w:rFonts w:eastAsia="Malgun Gothic"/>
          <w:bCs/>
          <w:lang w:val="fr-FR"/>
        </w:rPr>
        <w:t xml:space="preserve">autochtones </w:t>
      </w:r>
      <w:r w:rsidRPr="00666550">
        <w:rPr>
          <w:rFonts w:eastAsia="Malgun Gothic"/>
          <w:bCs/>
          <w:lang w:val="fr-FR"/>
        </w:rPr>
        <w:t xml:space="preserve">du Guatemala. La richesse du syncrétisme présent, avec la langue </w:t>
      </w:r>
      <w:r w:rsidRPr="00EC02E6">
        <w:rPr>
          <w:rFonts w:eastAsia="Malgun Gothic"/>
          <w:bCs/>
          <w:lang w:val="fr-FR"/>
        </w:rPr>
        <w:t>comme véhicule de transmission, l</w:t>
      </w:r>
      <w:r w:rsidR="00923E72">
        <w:rPr>
          <w:rFonts w:eastAsia="Malgun Gothic"/>
          <w:bCs/>
          <w:lang w:val="fr-FR"/>
        </w:rPr>
        <w:t>’</w:t>
      </w:r>
      <w:r w:rsidRPr="00EC02E6">
        <w:rPr>
          <w:rFonts w:eastAsia="Malgun Gothic"/>
          <w:bCs/>
          <w:lang w:val="fr-FR"/>
        </w:rPr>
        <w:t>utilisation de l</w:t>
      </w:r>
      <w:r w:rsidR="00923E72">
        <w:rPr>
          <w:rFonts w:eastAsia="Malgun Gothic"/>
          <w:bCs/>
          <w:lang w:val="fr-FR"/>
        </w:rPr>
        <w:t>’</w:t>
      </w:r>
      <w:r w:rsidRPr="00EC02E6">
        <w:rPr>
          <w:rFonts w:eastAsia="Malgun Gothic"/>
          <w:bCs/>
          <w:lang w:val="fr-FR"/>
        </w:rPr>
        <w:t>art, les rituels et toutes les techniques art</w:t>
      </w:r>
      <w:r w:rsidRPr="00666550">
        <w:rPr>
          <w:rFonts w:eastAsia="Malgun Gothic"/>
          <w:bCs/>
          <w:lang w:val="fr-FR"/>
        </w:rPr>
        <w:t>isanales, la musique</w:t>
      </w:r>
      <w:r w:rsidR="00EC02E6">
        <w:rPr>
          <w:rFonts w:eastAsia="Malgun Gothic"/>
          <w:bCs/>
          <w:lang w:val="fr-FR"/>
        </w:rPr>
        <w:t>, et ainsi de suite,</w:t>
      </w:r>
      <w:r w:rsidRPr="00666550">
        <w:rPr>
          <w:rFonts w:eastAsia="Malgun Gothic"/>
          <w:bCs/>
          <w:lang w:val="fr-FR"/>
        </w:rPr>
        <w:t xml:space="preserve"> faisaient tous partie de cette expression. La reconnaissance en tant que patrimoine culturel immatériel permettrait, au niveau international, de donner l</w:t>
      </w:r>
      <w:r w:rsidR="00923E72">
        <w:rPr>
          <w:rFonts w:eastAsia="Malgun Gothic"/>
          <w:bCs/>
          <w:lang w:val="fr-FR"/>
        </w:rPr>
        <w:t>’</w:t>
      </w:r>
      <w:r w:rsidRPr="00666550">
        <w:rPr>
          <w:rFonts w:eastAsia="Malgun Gothic"/>
          <w:bCs/>
          <w:lang w:val="fr-FR"/>
        </w:rPr>
        <w:t>occasion à d</w:t>
      </w:r>
      <w:r w:rsidR="00923E72">
        <w:rPr>
          <w:rFonts w:eastAsia="Malgun Gothic"/>
          <w:bCs/>
          <w:lang w:val="fr-FR"/>
        </w:rPr>
        <w:t>’</w:t>
      </w:r>
      <w:r w:rsidRPr="00666550">
        <w:rPr>
          <w:rFonts w:eastAsia="Malgun Gothic"/>
          <w:bCs/>
          <w:lang w:val="fr-FR"/>
        </w:rPr>
        <w:t>autres États de mettre en avant diverses manifestations culturelles. Cela favoriserait un dialogue positif et un échange</w:t>
      </w:r>
      <w:r w:rsidR="00CC1380">
        <w:rPr>
          <w:rFonts w:eastAsia="Malgun Gothic"/>
          <w:bCs/>
          <w:lang w:val="fr-FR"/>
        </w:rPr>
        <w:t>,</w:t>
      </w:r>
      <w:r w:rsidRPr="00666550">
        <w:rPr>
          <w:rFonts w:eastAsia="Malgun Gothic"/>
          <w:bCs/>
          <w:lang w:val="fr-FR"/>
        </w:rPr>
        <w:t xml:space="preserve"> qui, à leur tour, encourageraient la diversité culturelle et le </w:t>
      </w:r>
      <w:r w:rsidRPr="00666550">
        <w:rPr>
          <w:rFonts w:eastAsia="Malgun Gothic"/>
          <w:bCs/>
          <w:lang w:val="fr-FR"/>
        </w:rPr>
        <w:lastRenderedPageBreak/>
        <w:t xml:space="preserve">dialogue entre les groupes culturels. </w:t>
      </w:r>
      <w:r>
        <w:rPr>
          <w:rFonts w:eastAsia="Malgun Gothic"/>
          <w:bCs/>
          <w:lang w:val="fr-FR"/>
        </w:rPr>
        <w:t>En outre, l</w:t>
      </w:r>
      <w:r w:rsidRPr="00666550">
        <w:rPr>
          <w:rFonts w:eastAsia="Malgun Gothic"/>
          <w:bCs/>
          <w:lang w:val="fr-FR"/>
        </w:rPr>
        <w:t xml:space="preserve">e Guatemala a évoqué le plan volontaire intitulé </w:t>
      </w:r>
      <w:r>
        <w:rPr>
          <w:rFonts w:eastAsia="Malgun Gothic"/>
          <w:bCs/>
          <w:lang w:val="fr-FR"/>
        </w:rPr>
        <w:t>« </w:t>
      </w:r>
      <w:r w:rsidRPr="00666550">
        <w:rPr>
          <w:rFonts w:eastAsia="Malgun Gothic"/>
          <w:bCs/>
          <w:lang w:val="fr-FR"/>
        </w:rPr>
        <w:t>Gardiens du patrimoine</w:t>
      </w:r>
      <w:r>
        <w:rPr>
          <w:rFonts w:eastAsia="Malgun Gothic"/>
          <w:bCs/>
          <w:lang w:val="fr-FR"/>
        </w:rPr>
        <w:t> »</w:t>
      </w:r>
      <w:r w:rsidRPr="00666550">
        <w:rPr>
          <w:rFonts w:eastAsia="Malgun Gothic"/>
          <w:bCs/>
          <w:lang w:val="fr-FR"/>
        </w:rPr>
        <w:t>. Ce programme visait à renforcer les capacités des communautés de détenteurs participant à la Semaine sainte.</w:t>
      </w:r>
    </w:p>
    <w:p w14:paraId="16B23699" w14:textId="36D65256" w:rsidR="00666550" w:rsidRDefault="000E544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0E544B">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0E544B">
        <w:rPr>
          <w:rFonts w:eastAsia="Malgun Gothic"/>
          <w:bCs/>
          <w:lang w:val="fr-FR"/>
        </w:rPr>
        <w:t xml:space="preserve"> a salué la présence du ministre des Affaires étrangères, du vice</w:t>
      </w:r>
      <w:r>
        <w:rPr>
          <w:rFonts w:eastAsia="Malgun Gothic"/>
          <w:bCs/>
          <w:lang w:val="fr-FR"/>
        </w:rPr>
        <w:noBreakHyphen/>
      </w:r>
      <w:r w:rsidRPr="000E544B">
        <w:rPr>
          <w:rFonts w:eastAsia="Malgun Gothic"/>
          <w:bCs/>
          <w:lang w:val="fr-FR"/>
        </w:rPr>
        <w:t>ministre des Affaires étrangères du Guatemala et du vice</w:t>
      </w:r>
      <w:r>
        <w:rPr>
          <w:rFonts w:eastAsia="Malgun Gothic"/>
          <w:bCs/>
          <w:lang w:val="fr-FR"/>
        </w:rPr>
        <w:noBreakHyphen/>
      </w:r>
      <w:r w:rsidRPr="000E544B">
        <w:rPr>
          <w:rFonts w:eastAsia="Malgun Gothic"/>
          <w:bCs/>
          <w:lang w:val="fr-FR"/>
        </w:rPr>
        <w:t>ministre de la Culture et des Sports. Elle a félicité le peuple guatémaltèque et le Gouvernement du Guatemala d</w:t>
      </w:r>
      <w:r w:rsidR="00923E72">
        <w:rPr>
          <w:rFonts w:eastAsia="Malgun Gothic"/>
          <w:bCs/>
          <w:lang w:val="fr-FR"/>
        </w:rPr>
        <w:t>’</w:t>
      </w:r>
      <w:r w:rsidRPr="000E544B">
        <w:rPr>
          <w:rFonts w:eastAsia="Malgun Gothic"/>
          <w:bCs/>
          <w:lang w:val="fr-FR"/>
        </w:rPr>
        <w:t>avoir soumis cette candidature à évaluation. La délégation souhaitait poser une question sur le critère</w:t>
      </w:r>
      <w:r w:rsidR="0051482E">
        <w:rPr>
          <w:rFonts w:eastAsia="Malgun Gothic"/>
          <w:bCs/>
          <w:lang w:val="fr-FR"/>
        </w:rPr>
        <w:t> </w:t>
      </w:r>
      <w:r w:rsidRPr="000E544B">
        <w:rPr>
          <w:rFonts w:eastAsia="Malgun Gothic"/>
          <w:bCs/>
          <w:lang w:val="fr-FR"/>
        </w:rPr>
        <w:t>R.5. Il a été indiqué que l</w:t>
      </w:r>
      <w:r w:rsidR="00923E72">
        <w:rPr>
          <w:rFonts w:eastAsia="Malgun Gothic"/>
          <w:bCs/>
          <w:lang w:val="fr-FR"/>
        </w:rPr>
        <w:t>’</w:t>
      </w:r>
      <w:r w:rsidRPr="000E544B">
        <w:rPr>
          <w:rFonts w:eastAsia="Malgun Gothic"/>
          <w:bCs/>
          <w:lang w:val="fr-FR"/>
        </w:rPr>
        <w:t xml:space="preserve">élément </w:t>
      </w:r>
      <w:r w:rsidR="0051482E">
        <w:rPr>
          <w:rFonts w:eastAsia="Malgun Gothic"/>
          <w:bCs/>
          <w:lang w:val="fr-FR"/>
        </w:rPr>
        <w:t xml:space="preserve">était </w:t>
      </w:r>
      <w:r w:rsidRPr="000E544B">
        <w:rPr>
          <w:rFonts w:eastAsia="Malgun Gothic"/>
          <w:bCs/>
          <w:lang w:val="fr-FR"/>
        </w:rPr>
        <w:t>inscrit à l</w:t>
      </w:r>
      <w:r w:rsidR="00923E72">
        <w:rPr>
          <w:rFonts w:eastAsia="Malgun Gothic"/>
          <w:bCs/>
          <w:lang w:val="fr-FR"/>
        </w:rPr>
        <w:t>’</w:t>
      </w:r>
      <w:r w:rsidRPr="000E544B">
        <w:rPr>
          <w:rFonts w:eastAsia="Malgun Gothic"/>
          <w:bCs/>
          <w:lang w:val="fr-FR"/>
        </w:rPr>
        <w:t>Inventaire national du patrimoine culturel immatériel et à l</w:t>
      </w:r>
      <w:r w:rsidR="00923E72">
        <w:rPr>
          <w:rFonts w:eastAsia="Malgun Gothic"/>
          <w:bCs/>
          <w:lang w:val="fr-FR"/>
        </w:rPr>
        <w:t>’</w:t>
      </w:r>
      <w:r w:rsidRPr="000E544B">
        <w:rPr>
          <w:rFonts w:eastAsia="Malgun Gothic"/>
          <w:bCs/>
          <w:lang w:val="fr-FR"/>
        </w:rPr>
        <w:t>Inventaire descriptif du patrimoine culturel immatériel, qui sont administrés par la Direction technique du patrimoine immatériel du ministère de la Culture et des Sports du Guatemala. De même, le dossier expliquait que l</w:t>
      </w:r>
      <w:r w:rsidR="00923E72">
        <w:rPr>
          <w:rFonts w:eastAsia="Malgun Gothic"/>
          <w:bCs/>
          <w:lang w:val="fr-FR"/>
        </w:rPr>
        <w:t>’</w:t>
      </w:r>
      <w:r w:rsidRPr="000E544B">
        <w:rPr>
          <w:rFonts w:eastAsia="Malgun Gothic"/>
          <w:bCs/>
          <w:lang w:val="fr-FR"/>
        </w:rPr>
        <w:t>inventaire est en constante évolution et qu</w:t>
      </w:r>
      <w:r w:rsidR="00923E72">
        <w:rPr>
          <w:rFonts w:eastAsia="Malgun Gothic"/>
          <w:bCs/>
          <w:lang w:val="fr-FR"/>
        </w:rPr>
        <w:t>’</w:t>
      </w:r>
      <w:r w:rsidRPr="000E544B">
        <w:rPr>
          <w:rFonts w:eastAsia="Malgun Gothic"/>
          <w:bCs/>
          <w:lang w:val="fr-FR"/>
        </w:rPr>
        <w:t xml:space="preserve">il est mis à jour régulièrement. Cependant, il ne précisait pas la fréquence des mises à jour. </w:t>
      </w:r>
      <w:r w:rsidR="00DA2E21">
        <w:rPr>
          <w:rFonts w:eastAsia="Malgun Gothic"/>
          <w:bCs/>
          <w:lang w:val="fr-FR"/>
        </w:rPr>
        <w:t xml:space="preserve">Pour cette raison, </w:t>
      </w:r>
      <w:r w:rsidRPr="000E544B">
        <w:rPr>
          <w:rFonts w:eastAsia="Malgun Gothic"/>
          <w:bCs/>
          <w:lang w:val="fr-FR"/>
        </w:rPr>
        <w:t xml:space="preserve">la délégation souhaitait entendre le Guatemala sur ce point. </w:t>
      </w:r>
      <w:r w:rsidR="00AE15DD">
        <w:rPr>
          <w:rFonts w:eastAsia="Malgun Gothic"/>
          <w:bCs/>
          <w:lang w:val="fr-FR"/>
        </w:rPr>
        <w:t xml:space="preserve">Elle souhaitait savoir </w:t>
      </w:r>
      <w:r w:rsidRPr="000E544B">
        <w:rPr>
          <w:rFonts w:eastAsia="Malgun Gothic"/>
          <w:bCs/>
          <w:lang w:val="fr-FR"/>
        </w:rPr>
        <w:t xml:space="preserve">quelle </w:t>
      </w:r>
      <w:r w:rsidR="00AE15DD">
        <w:rPr>
          <w:rFonts w:eastAsia="Malgun Gothic"/>
          <w:bCs/>
          <w:lang w:val="fr-FR"/>
        </w:rPr>
        <w:t xml:space="preserve">est la </w:t>
      </w:r>
      <w:r w:rsidRPr="000E544B">
        <w:rPr>
          <w:rFonts w:eastAsia="Malgun Gothic"/>
          <w:bCs/>
          <w:lang w:val="fr-FR"/>
        </w:rPr>
        <w:t>fréquence</w:t>
      </w:r>
      <w:r w:rsidR="00AE15DD">
        <w:rPr>
          <w:rFonts w:eastAsia="Malgun Gothic"/>
          <w:bCs/>
          <w:lang w:val="fr-FR"/>
        </w:rPr>
        <w:t xml:space="preserve"> de mise à jour de</w:t>
      </w:r>
      <w:r w:rsidRPr="000E544B">
        <w:rPr>
          <w:rFonts w:eastAsia="Malgun Gothic"/>
          <w:bCs/>
          <w:lang w:val="fr-FR"/>
        </w:rPr>
        <w:t xml:space="preserve"> l</w:t>
      </w:r>
      <w:r w:rsidR="00923E72">
        <w:rPr>
          <w:rFonts w:eastAsia="Malgun Gothic"/>
          <w:bCs/>
          <w:lang w:val="fr-FR"/>
        </w:rPr>
        <w:t>’</w:t>
      </w:r>
      <w:r w:rsidRPr="000E544B">
        <w:rPr>
          <w:rFonts w:eastAsia="Malgun Gothic"/>
          <w:bCs/>
          <w:lang w:val="fr-FR"/>
        </w:rPr>
        <w:t>inventaire du patrimoine culturel immatériel du Guatemala</w:t>
      </w:r>
      <w:r w:rsidR="00AE15DD">
        <w:rPr>
          <w:rFonts w:eastAsia="Malgun Gothic"/>
          <w:bCs/>
          <w:lang w:val="fr-FR"/>
        </w:rPr>
        <w:t>, q</w:t>
      </w:r>
      <w:r w:rsidRPr="000E544B">
        <w:rPr>
          <w:rFonts w:eastAsia="Malgun Gothic"/>
          <w:bCs/>
          <w:lang w:val="fr-FR"/>
        </w:rPr>
        <w:t>uel est le processus de mise à jour de l</w:t>
      </w:r>
      <w:r w:rsidR="00923E72">
        <w:rPr>
          <w:rFonts w:eastAsia="Malgun Gothic"/>
          <w:bCs/>
          <w:lang w:val="fr-FR"/>
        </w:rPr>
        <w:t>’</w:t>
      </w:r>
      <w:r w:rsidRPr="000E544B">
        <w:rPr>
          <w:rFonts w:eastAsia="Malgun Gothic"/>
          <w:bCs/>
          <w:lang w:val="fr-FR"/>
        </w:rPr>
        <w:t>inventaire</w:t>
      </w:r>
      <w:r w:rsidR="00AE15DD">
        <w:rPr>
          <w:rFonts w:eastAsia="Malgun Gothic"/>
          <w:bCs/>
          <w:lang w:val="fr-FR"/>
        </w:rPr>
        <w:t xml:space="preserve"> et quelles sont les modalités de participation d</w:t>
      </w:r>
      <w:r w:rsidRPr="000E544B">
        <w:rPr>
          <w:rFonts w:eastAsia="Malgun Gothic"/>
          <w:bCs/>
          <w:lang w:val="fr-FR"/>
        </w:rPr>
        <w:t>es communautés du Guatemala</w:t>
      </w:r>
      <w:r w:rsidR="00AE15DD">
        <w:rPr>
          <w:rFonts w:eastAsia="Malgun Gothic"/>
          <w:bCs/>
          <w:lang w:val="fr-FR"/>
        </w:rPr>
        <w:t>.</w:t>
      </w:r>
    </w:p>
    <w:p w14:paraId="7FF8971F" w14:textId="74E1D5B7" w:rsidR="000E544B" w:rsidRDefault="000E544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0E544B">
        <w:rPr>
          <w:rFonts w:eastAsia="Malgun Gothic"/>
          <w:bCs/>
          <w:lang w:val="fr-FR"/>
        </w:rPr>
        <w:t xml:space="preserve">La délégation du </w:t>
      </w:r>
      <w:r w:rsidRPr="00702497">
        <w:rPr>
          <w:rFonts w:eastAsia="Malgun Gothic"/>
          <w:b/>
          <w:lang w:val="fr-FR"/>
        </w:rPr>
        <w:t>Guatemala</w:t>
      </w:r>
      <w:r w:rsidRPr="000E544B">
        <w:rPr>
          <w:rFonts w:eastAsia="Malgun Gothic"/>
          <w:bCs/>
          <w:lang w:val="fr-FR"/>
        </w:rPr>
        <w:t xml:space="preserve"> a expliqué que l</w:t>
      </w:r>
      <w:r w:rsidR="00923E72">
        <w:rPr>
          <w:rFonts w:eastAsia="Malgun Gothic"/>
          <w:bCs/>
          <w:lang w:val="fr-FR"/>
        </w:rPr>
        <w:t>’</w:t>
      </w:r>
      <w:r w:rsidRPr="000E544B">
        <w:rPr>
          <w:rFonts w:eastAsia="Malgun Gothic"/>
          <w:bCs/>
          <w:lang w:val="fr-FR"/>
        </w:rPr>
        <w:t>inventaire du patrimoine culturel immatériel au Guatemala est mis à jour fréquemment et sous forme périodique, comme indiqué dans le dossier, plus précisément tous les deux ans</w:t>
      </w:r>
      <w:r w:rsidR="00AE15DD">
        <w:rPr>
          <w:rFonts w:eastAsia="Malgun Gothic"/>
          <w:bCs/>
          <w:lang w:val="fr-FR"/>
        </w:rPr>
        <w:t>,</w:t>
      </w:r>
      <w:r w:rsidRPr="000E544B">
        <w:rPr>
          <w:rFonts w:eastAsia="Malgun Gothic"/>
          <w:bCs/>
          <w:lang w:val="fr-FR"/>
        </w:rPr>
        <w:t xml:space="preserve"> et qu</w:t>
      </w:r>
      <w:r w:rsidR="00923E72">
        <w:rPr>
          <w:rFonts w:eastAsia="Malgun Gothic"/>
          <w:bCs/>
          <w:lang w:val="fr-FR"/>
        </w:rPr>
        <w:t>’</w:t>
      </w:r>
      <w:r w:rsidRPr="000E544B">
        <w:rPr>
          <w:rFonts w:eastAsia="Malgun Gothic"/>
          <w:bCs/>
          <w:lang w:val="fr-FR"/>
        </w:rPr>
        <w:t>il s</w:t>
      </w:r>
      <w:r w:rsidR="00923E72">
        <w:rPr>
          <w:rFonts w:eastAsia="Malgun Gothic"/>
          <w:bCs/>
          <w:lang w:val="fr-FR"/>
        </w:rPr>
        <w:t>’</w:t>
      </w:r>
      <w:r w:rsidRPr="000E544B">
        <w:rPr>
          <w:rFonts w:eastAsia="Malgun Gothic"/>
          <w:bCs/>
          <w:lang w:val="fr-FR"/>
        </w:rPr>
        <w:t>agit d</w:t>
      </w:r>
      <w:r w:rsidR="00923E72">
        <w:rPr>
          <w:rFonts w:eastAsia="Malgun Gothic"/>
          <w:bCs/>
          <w:lang w:val="fr-FR"/>
        </w:rPr>
        <w:t>’</w:t>
      </w:r>
      <w:r w:rsidRPr="000E544B">
        <w:rPr>
          <w:rFonts w:eastAsia="Malgun Gothic"/>
          <w:bCs/>
          <w:lang w:val="fr-FR"/>
        </w:rPr>
        <w:t xml:space="preserve">un processus mis en </w:t>
      </w:r>
      <w:r w:rsidR="0055267E" w:rsidRPr="000E544B">
        <w:rPr>
          <w:rFonts w:eastAsia="Malgun Gothic"/>
          <w:bCs/>
          <w:lang w:val="fr-FR"/>
        </w:rPr>
        <w:t>œuvre</w:t>
      </w:r>
      <w:r w:rsidRPr="000E544B">
        <w:rPr>
          <w:rFonts w:eastAsia="Malgun Gothic"/>
          <w:bCs/>
          <w:lang w:val="fr-FR"/>
        </w:rPr>
        <w:t xml:space="preserve"> avec la participation des communautés, avec le soutien technique et financier du ministère de la Culture et des Sports </w:t>
      </w:r>
      <w:r w:rsidR="0055267E">
        <w:rPr>
          <w:rFonts w:eastAsia="Malgun Gothic"/>
          <w:bCs/>
          <w:lang w:val="fr-FR"/>
        </w:rPr>
        <w:t xml:space="preserve">aux </w:t>
      </w:r>
      <w:r w:rsidRPr="000E544B">
        <w:rPr>
          <w:rFonts w:eastAsia="Malgun Gothic"/>
          <w:bCs/>
          <w:lang w:val="fr-FR"/>
        </w:rPr>
        <w:t>communautés, groupes et individus qui prennent part au processus. Il s</w:t>
      </w:r>
      <w:r w:rsidR="00923E72">
        <w:rPr>
          <w:rFonts w:eastAsia="Malgun Gothic"/>
          <w:bCs/>
          <w:lang w:val="fr-FR"/>
        </w:rPr>
        <w:t>’</w:t>
      </w:r>
      <w:r w:rsidRPr="000E544B">
        <w:rPr>
          <w:rFonts w:eastAsia="Malgun Gothic"/>
          <w:bCs/>
          <w:lang w:val="fr-FR"/>
        </w:rPr>
        <w:t>agissait d</w:t>
      </w:r>
      <w:r w:rsidR="00923E72">
        <w:rPr>
          <w:rFonts w:eastAsia="Malgun Gothic"/>
          <w:bCs/>
          <w:lang w:val="fr-FR"/>
        </w:rPr>
        <w:t>’</w:t>
      </w:r>
      <w:r w:rsidRPr="000E544B">
        <w:rPr>
          <w:rFonts w:eastAsia="Malgun Gothic"/>
          <w:bCs/>
          <w:lang w:val="fr-FR"/>
        </w:rPr>
        <w:t xml:space="preserve">un aspect important de leur participation. Comme cela était également indiqué dans le dossier, </w:t>
      </w:r>
      <w:r w:rsidR="0051482E">
        <w:rPr>
          <w:rFonts w:eastAsia="Malgun Gothic"/>
          <w:bCs/>
          <w:lang w:val="fr-FR"/>
        </w:rPr>
        <w:t xml:space="preserve">à la </w:t>
      </w:r>
      <w:r w:rsidRPr="000E544B">
        <w:rPr>
          <w:rFonts w:eastAsia="Malgun Gothic"/>
          <w:bCs/>
          <w:lang w:val="fr-FR"/>
        </w:rPr>
        <w:t>section</w:t>
      </w:r>
      <w:r w:rsidR="0051482E">
        <w:rPr>
          <w:rFonts w:eastAsia="Malgun Gothic"/>
          <w:bCs/>
          <w:lang w:val="fr-FR"/>
        </w:rPr>
        <w:t> </w:t>
      </w:r>
      <w:r w:rsidRPr="000E544B">
        <w:rPr>
          <w:rFonts w:eastAsia="Malgun Gothic"/>
          <w:bCs/>
          <w:lang w:val="fr-FR"/>
        </w:rPr>
        <w:t xml:space="preserve">5, les femmes participaient aussi bien que les hommes, et elles jouaient un rôle proactif. Les </w:t>
      </w:r>
      <w:r w:rsidR="0055267E">
        <w:rPr>
          <w:rFonts w:eastAsia="Malgun Gothic"/>
          <w:bCs/>
          <w:lang w:val="fr-FR"/>
        </w:rPr>
        <w:t>« </w:t>
      </w:r>
      <w:r w:rsidRPr="000E544B">
        <w:rPr>
          <w:rFonts w:eastAsia="Malgun Gothic"/>
          <w:bCs/>
          <w:lang w:val="fr-FR"/>
        </w:rPr>
        <w:t>pénitents</w:t>
      </w:r>
      <w:r w:rsidR="0055267E">
        <w:rPr>
          <w:rFonts w:eastAsia="Malgun Gothic"/>
          <w:bCs/>
          <w:lang w:val="fr-FR"/>
        </w:rPr>
        <w:t> »</w:t>
      </w:r>
      <w:r w:rsidRPr="000E544B">
        <w:rPr>
          <w:rFonts w:eastAsia="Malgun Gothic"/>
          <w:bCs/>
          <w:lang w:val="fr-FR"/>
        </w:rPr>
        <w:t>, les artisans et les autres membres des processions étaient dûment consultés. Ils contribuaient donc directement au plan de sauvegarde, ce qui signifie que leur participation par le biais de représentants ainsi que le soutien financier et technique les impliquaient clairement dans le processus de mise à jour. La mise à jour de l</w:t>
      </w:r>
      <w:r w:rsidR="00923E72">
        <w:rPr>
          <w:rFonts w:eastAsia="Malgun Gothic"/>
          <w:bCs/>
          <w:lang w:val="fr-FR"/>
        </w:rPr>
        <w:t>’</w:t>
      </w:r>
      <w:r w:rsidRPr="000E544B">
        <w:rPr>
          <w:rFonts w:eastAsia="Malgun Gothic"/>
          <w:bCs/>
          <w:lang w:val="fr-FR"/>
        </w:rPr>
        <w:t xml:space="preserve">inventaire national </w:t>
      </w:r>
      <w:r w:rsidR="0055267E">
        <w:rPr>
          <w:rFonts w:eastAsia="Malgun Gothic"/>
          <w:bCs/>
          <w:lang w:val="fr-FR"/>
        </w:rPr>
        <w:t xml:space="preserve">était </w:t>
      </w:r>
      <w:r w:rsidR="0055267E" w:rsidRPr="0055267E">
        <w:rPr>
          <w:rFonts w:eastAsia="Malgun Gothic"/>
          <w:bCs/>
          <w:color w:val="000000" w:themeColor="text1"/>
          <w:lang w:val="fr-FR"/>
        </w:rPr>
        <w:t>également</w:t>
      </w:r>
      <w:r w:rsidR="0055267E">
        <w:rPr>
          <w:rFonts w:eastAsia="Malgun Gothic"/>
          <w:bCs/>
          <w:color w:val="000000" w:themeColor="text1"/>
          <w:lang w:val="fr-FR"/>
        </w:rPr>
        <w:t xml:space="preserve"> réalisée</w:t>
      </w:r>
      <w:r w:rsidRPr="000E544B">
        <w:rPr>
          <w:rFonts w:eastAsia="Malgun Gothic"/>
          <w:bCs/>
          <w:lang w:val="fr-FR"/>
        </w:rPr>
        <w:t xml:space="preserve"> sur la base du programme de bénévolat guatémaltèque, et elle était en train d</w:t>
      </w:r>
      <w:r w:rsidR="00923E72">
        <w:rPr>
          <w:rFonts w:eastAsia="Malgun Gothic"/>
          <w:bCs/>
          <w:lang w:val="fr-FR"/>
        </w:rPr>
        <w:t>’</w:t>
      </w:r>
      <w:r w:rsidRPr="000E544B">
        <w:rPr>
          <w:rFonts w:eastAsia="Malgun Gothic"/>
          <w:bCs/>
          <w:lang w:val="fr-FR"/>
        </w:rPr>
        <w:t>être élargie à d</w:t>
      </w:r>
      <w:r w:rsidR="00923E72">
        <w:rPr>
          <w:rFonts w:eastAsia="Malgun Gothic"/>
          <w:bCs/>
          <w:lang w:val="fr-FR"/>
        </w:rPr>
        <w:t>’</w:t>
      </w:r>
      <w:r w:rsidRPr="000E544B">
        <w:rPr>
          <w:rFonts w:eastAsia="Malgun Gothic"/>
          <w:bCs/>
          <w:lang w:val="fr-FR"/>
        </w:rPr>
        <w:t>autres aspects du patrimoine culturel immatériel de l</w:t>
      </w:r>
      <w:r w:rsidR="00923E72">
        <w:rPr>
          <w:rFonts w:eastAsia="Malgun Gothic"/>
          <w:bCs/>
          <w:lang w:val="fr-FR"/>
        </w:rPr>
        <w:t>’</w:t>
      </w:r>
      <w:r w:rsidRPr="000E544B">
        <w:rPr>
          <w:rFonts w:eastAsia="Malgun Gothic"/>
          <w:bCs/>
          <w:lang w:val="fr-FR"/>
        </w:rPr>
        <w:t>ensemble du pays. Le pays disposait d</w:t>
      </w:r>
      <w:r w:rsidR="00923E72">
        <w:rPr>
          <w:rFonts w:eastAsia="Malgun Gothic"/>
          <w:bCs/>
          <w:lang w:val="fr-FR"/>
        </w:rPr>
        <w:t>’</w:t>
      </w:r>
      <w:r w:rsidRPr="000E544B">
        <w:rPr>
          <w:rFonts w:eastAsia="Malgun Gothic"/>
          <w:bCs/>
          <w:lang w:val="fr-FR"/>
        </w:rPr>
        <w:t>un réseau de centres culturels communautaires sous l</w:t>
      </w:r>
      <w:r w:rsidR="00923E72">
        <w:rPr>
          <w:rFonts w:eastAsia="Malgun Gothic"/>
          <w:bCs/>
          <w:lang w:val="fr-FR"/>
        </w:rPr>
        <w:t>’</w:t>
      </w:r>
      <w:r w:rsidRPr="000E544B">
        <w:rPr>
          <w:rFonts w:eastAsia="Malgun Gothic"/>
          <w:bCs/>
          <w:lang w:val="fr-FR"/>
        </w:rPr>
        <w:t xml:space="preserve">égide du ministère, et il en existait un dans </w:t>
      </w:r>
      <w:r w:rsidR="0055267E">
        <w:rPr>
          <w:rFonts w:eastAsia="Malgun Gothic"/>
          <w:bCs/>
          <w:lang w:val="fr-FR"/>
        </w:rPr>
        <w:t xml:space="preserve">chaque </w:t>
      </w:r>
      <w:r w:rsidRPr="000E544B">
        <w:rPr>
          <w:rFonts w:eastAsia="Malgun Gothic"/>
          <w:bCs/>
          <w:lang w:val="fr-FR"/>
        </w:rPr>
        <w:t>département du pays. Les aspects techniques de l</w:t>
      </w:r>
      <w:r w:rsidR="00923E72">
        <w:rPr>
          <w:rFonts w:eastAsia="Malgun Gothic"/>
          <w:bCs/>
          <w:lang w:val="fr-FR"/>
        </w:rPr>
        <w:t>’</w:t>
      </w:r>
      <w:r w:rsidRPr="000E544B">
        <w:rPr>
          <w:rFonts w:eastAsia="Malgun Gothic"/>
          <w:bCs/>
          <w:lang w:val="fr-FR"/>
        </w:rPr>
        <w:t>évaluation, de la mise à jour et de l</w:t>
      </w:r>
      <w:r w:rsidR="00923E72">
        <w:rPr>
          <w:rFonts w:eastAsia="Malgun Gothic"/>
          <w:bCs/>
          <w:lang w:val="fr-FR"/>
        </w:rPr>
        <w:t>’</w:t>
      </w:r>
      <w:r w:rsidRPr="000E544B">
        <w:rPr>
          <w:rFonts w:eastAsia="Malgun Gothic"/>
          <w:bCs/>
          <w:lang w:val="fr-FR"/>
        </w:rPr>
        <w:t>inventaire du patrimoine culturel immatériel dans chaque communauté étaient donc assurés du haut vers le bas, mais mis en œuvre au niveau local. Les évaluations techniques étaient également utiles lorsqu</w:t>
      </w:r>
      <w:r w:rsidR="00923E72">
        <w:rPr>
          <w:rFonts w:eastAsia="Malgun Gothic"/>
          <w:bCs/>
          <w:lang w:val="fr-FR"/>
        </w:rPr>
        <w:t>’</w:t>
      </w:r>
      <w:r w:rsidRPr="000E544B">
        <w:rPr>
          <w:rFonts w:eastAsia="Malgun Gothic"/>
          <w:bCs/>
          <w:lang w:val="fr-FR"/>
        </w:rPr>
        <w:t>il s</w:t>
      </w:r>
      <w:r w:rsidR="00923E72">
        <w:rPr>
          <w:rFonts w:eastAsia="Malgun Gothic"/>
          <w:bCs/>
          <w:lang w:val="fr-FR"/>
        </w:rPr>
        <w:t>’</w:t>
      </w:r>
      <w:r w:rsidRPr="000E544B">
        <w:rPr>
          <w:rFonts w:eastAsia="Malgun Gothic"/>
          <w:bCs/>
          <w:lang w:val="fr-FR"/>
        </w:rPr>
        <w:t>agissait d</w:t>
      </w:r>
      <w:r w:rsidR="00923E72">
        <w:rPr>
          <w:rFonts w:eastAsia="Malgun Gothic"/>
          <w:bCs/>
          <w:lang w:val="fr-FR"/>
        </w:rPr>
        <w:t>’</w:t>
      </w:r>
      <w:r w:rsidRPr="000E544B">
        <w:rPr>
          <w:rFonts w:eastAsia="Malgun Gothic"/>
          <w:bCs/>
          <w:lang w:val="fr-FR"/>
        </w:rPr>
        <w:t>accorder une accréditation aux différents centres susceptibles de mettre en œuvre ce type d</w:t>
      </w:r>
      <w:r w:rsidR="00923E72">
        <w:rPr>
          <w:rFonts w:eastAsia="Malgun Gothic"/>
          <w:bCs/>
          <w:lang w:val="fr-FR"/>
        </w:rPr>
        <w:t>’</w:t>
      </w:r>
      <w:r w:rsidRPr="000E544B">
        <w:rPr>
          <w:rFonts w:eastAsia="Malgun Gothic"/>
          <w:bCs/>
          <w:lang w:val="fr-FR"/>
        </w:rPr>
        <w:t>assistance. Celle-ci était également élargie à de nouveaux éléments du patrimoine culturel immatériel. Avec l</w:t>
      </w:r>
      <w:r w:rsidR="00923E72">
        <w:rPr>
          <w:rFonts w:eastAsia="Malgun Gothic"/>
          <w:bCs/>
          <w:lang w:val="fr-FR"/>
        </w:rPr>
        <w:t>’</w:t>
      </w:r>
      <w:r w:rsidRPr="000E544B">
        <w:rPr>
          <w:rFonts w:eastAsia="Malgun Gothic"/>
          <w:bCs/>
          <w:lang w:val="fr-FR"/>
        </w:rPr>
        <w:t xml:space="preserve">autorisation </w:t>
      </w:r>
      <w:r w:rsidR="00AE15DD">
        <w:rPr>
          <w:rFonts w:eastAsia="Malgun Gothic"/>
          <w:bCs/>
          <w:lang w:val="fr-FR"/>
        </w:rPr>
        <w:t xml:space="preserve">du </w:t>
      </w:r>
      <w:proofErr w:type="spellStart"/>
      <w:r w:rsidRPr="000E544B">
        <w:rPr>
          <w:rFonts w:eastAsia="Malgun Gothic"/>
          <w:bCs/>
          <w:lang w:val="fr-FR"/>
        </w:rPr>
        <w:t>ministér</w:t>
      </w:r>
      <w:r w:rsidR="00AE15DD">
        <w:rPr>
          <w:rFonts w:eastAsia="Malgun Gothic"/>
          <w:bCs/>
          <w:lang w:val="fr-FR"/>
        </w:rPr>
        <w:t>e</w:t>
      </w:r>
      <w:proofErr w:type="spellEnd"/>
      <w:r w:rsidRPr="000E544B">
        <w:rPr>
          <w:rFonts w:eastAsia="Malgun Gothic"/>
          <w:bCs/>
          <w:lang w:val="fr-FR"/>
        </w:rPr>
        <w:t>, une fois qu</w:t>
      </w:r>
      <w:r w:rsidR="00923E72">
        <w:rPr>
          <w:rFonts w:eastAsia="Malgun Gothic"/>
          <w:bCs/>
          <w:lang w:val="fr-FR"/>
        </w:rPr>
        <w:t>’</w:t>
      </w:r>
      <w:r w:rsidRPr="000E544B">
        <w:rPr>
          <w:rFonts w:eastAsia="Malgun Gothic"/>
          <w:bCs/>
          <w:lang w:val="fr-FR"/>
        </w:rPr>
        <w:t>un nouvel élément était identifié et que les nouvelles communautés de détenteurs et les aspects techniques locaux étaient également identifiés, il pouvait alors être inclus.</w:t>
      </w:r>
    </w:p>
    <w:p w14:paraId="139986F7" w14:textId="3DCAE507" w:rsidR="0055267E" w:rsidRDefault="0055267E"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5267E">
        <w:rPr>
          <w:rFonts w:eastAsia="Malgun Gothic"/>
          <w:bCs/>
          <w:lang w:val="fr-FR"/>
        </w:rPr>
        <w:t xml:space="preserve">La délégation du </w:t>
      </w:r>
      <w:r w:rsidRPr="00702497">
        <w:rPr>
          <w:rFonts w:eastAsia="Malgun Gothic"/>
          <w:b/>
          <w:lang w:val="fr-FR"/>
        </w:rPr>
        <w:t>Viet Nam</w:t>
      </w:r>
      <w:r w:rsidRPr="0055267E">
        <w:rPr>
          <w:rFonts w:eastAsia="Malgun Gothic"/>
          <w:bCs/>
          <w:lang w:val="fr-FR"/>
        </w:rPr>
        <w:t xml:space="preserve"> s</w:t>
      </w:r>
      <w:r w:rsidR="00923E72">
        <w:rPr>
          <w:rFonts w:eastAsia="Malgun Gothic"/>
          <w:bCs/>
          <w:lang w:val="fr-FR"/>
        </w:rPr>
        <w:t>’</w:t>
      </w:r>
      <w:r w:rsidRPr="0055267E">
        <w:rPr>
          <w:rFonts w:eastAsia="Malgun Gothic"/>
          <w:bCs/>
          <w:lang w:val="fr-FR"/>
        </w:rPr>
        <w:t>est dit reconnaissante à l</w:t>
      </w:r>
      <w:r w:rsidR="00923E72">
        <w:rPr>
          <w:rFonts w:eastAsia="Malgun Gothic"/>
          <w:bCs/>
          <w:lang w:val="fr-FR"/>
        </w:rPr>
        <w:t>’</w:t>
      </w:r>
      <w:r w:rsidRPr="0055267E">
        <w:rPr>
          <w:rFonts w:eastAsia="Malgun Gothic"/>
          <w:bCs/>
          <w:lang w:val="fr-FR"/>
        </w:rPr>
        <w:t>Organe d</w:t>
      </w:r>
      <w:r w:rsidR="00923E72">
        <w:rPr>
          <w:rFonts w:eastAsia="Malgun Gothic"/>
          <w:bCs/>
          <w:lang w:val="fr-FR"/>
        </w:rPr>
        <w:t>’</w:t>
      </w:r>
      <w:r w:rsidRPr="0055267E">
        <w:rPr>
          <w:rFonts w:eastAsia="Malgun Gothic"/>
          <w:bCs/>
          <w:lang w:val="fr-FR"/>
        </w:rPr>
        <w:t xml:space="preserve">évaluation </w:t>
      </w:r>
      <w:r w:rsidR="00E22370">
        <w:rPr>
          <w:rFonts w:eastAsia="Malgun Gothic"/>
          <w:bCs/>
          <w:lang w:val="fr-FR"/>
        </w:rPr>
        <w:t xml:space="preserve">du </w:t>
      </w:r>
      <w:r w:rsidRPr="0055267E">
        <w:rPr>
          <w:rFonts w:eastAsia="Malgun Gothic"/>
          <w:bCs/>
          <w:lang w:val="fr-FR"/>
        </w:rPr>
        <w:t>travail considérable qu</w:t>
      </w:r>
      <w:r w:rsidR="00923E72">
        <w:rPr>
          <w:rFonts w:eastAsia="Malgun Gothic"/>
          <w:bCs/>
          <w:lang w:val="fr-FR"/>
        </w:rPr>
        <w:t>’</w:t>
      </w:r>
      <w:r w:rsidRPr="0055267E">
        <w:rPr>
          <w:rFonts w:eastAsia="Malgun Gothic"/>
          <w:bCs/>
          <w:lang w:val="fr-FR"/>
        </w:rPr>
        <w:t>il avait accompli. Elle s</w:t>
      </w:r>
      <w:r w:rsidR="00923E72">
        <w:rPr>
          <w:rFonts w:eastAsia="Malgun Gothic"/>
          <w:bCs/>
          <w:lang w:val="fr-FR"/>
        </w:rPr>
        <w:t>’</w:t>
      </w:r>
      <w:r w:rsidRPr="0055267E">
        <w:rPr>
          <w:rFonts w:eastAsia="Malgun Gothic"/>
          <w:bCs/>
          <w:lang w:val="fr-FR"/>
        </w:rPr>
        <w:t>est félicitée de la soumission du dossier du Guatemala et a remercié le vice-ministre de la Culture et des Sports pour ses explications détaillées sur la manière dont le dossier contribuerait à renforcer la diversité des expressions locales autour de cette manifestation culturelle. Concernant le critère</w:t>
      </w:r>
      <w:r>
        <w:rPr>
          <w:rFonts w:eastAsia="Malgun Gothic"/>
          <w:bCs/>
          <w:lang w:val="fr-FR"/>
        </w:rPr>
        <w:t> </w:t>
      </w:r>
      <w:r w:rsidRPr="0055267E">
        <w:rPr>
          <w:rFonts w:eastAsia="Malgun Gothic"/>
          <w:bCs/>
          <w:lang w:val="fr-FR"/>
        </w:rPr>
        <w:t xml:space="preserve">R.2, elle </w:t>
      </w:r>
      <w:r w:rsidR="00E22370">
        <w:rPr>
          <w:rFonts w:eastAsia="Malgun Gothic"/>
          <w:bCs/>
          <w:lang w:val="fr-FR"/>
        </w:rPr>
        <w:t xml:space="preserve">souhaitait savoir </w:t>
      </w:r>
      <w:r w:rsidRPr="0055267E">
        <w:rPr>
          <w:rFonts w:eastAsia="Malgun Gothic"/>
          <w:bCs/>
          <w:lang w:val="fr-FR"/>
        </w:rPr>
        <w:t>de quelle manière l</w:t>
      </w:r>
      <w:r w:rsidR="00923E72">
        <w:rPr>
          <w:rFonts w:eastAsia="Malgun Gothic"/>
          <w:bCs/>
          <w:lang w:val="fr-FR"/>
        </w:rPr>
        <w:t>’</w:t>
      </w:r>
      <w:r w:rsidRPr="0055267E">
        <w:rPr>
          <w:rFonts w:eastAsia="Malgun Gothic"/>
          <w:bCs/>
          <w:lang w:val="fr-FR"/>
        </w:rPr>
        <w:t>État partie prendrait en considération</w:t>
      </w:r>
      <w:r>
        <w:rPr>
          <w:rFonts w:eastAsia="Malgun Gothic"/>
          <w:bCs/>
          <w:lang w:val="fr-FR"/>
        </w:rPr>
        <w:t xml:space="preserve"> </w:t>
      </w:r>
      <w:r w:rsidRPr="0055267E">
        <w:rPr>
          <w:rFonts w:eastAsia="Malgun Gothic"/>
          <w:bCs/>
          <w:lang w:val="fr-FR"/>
        </w:rPr>
        <w:t xml:space="preserve">les effets non intentionnels </w:t>
      </w:r>
      <w:r>
        <w:rPr>
          <w:rFonts w:eastAsia="Malgun Gothic"/>
          <w:bCs/>
          <w:lang w:val="fr-FR"/>
        </w:rPr>
        <w:t>du</w:t>
      </w:r>
      <w:r w:rsidRPr="0055267E">
        <w:rPr>
          <w:rFonts w:eastAsia="Malgun Gothic"/>
          <w:bCs/>
          <w:lang w:val="fr-FR"/>
        </w:rPr>
        <w:t xml:space="preserve"> tourisme qu</w:t>
      </w:r>
      <w:r w:rsidR="00923E72">
        <w:rPr>
          <w:rFonts w:eastAsia="Malgun Gothic"/>
          <w:bCs/>
          <w:lang w:val="fr-FR"/>
        </w:rPr>
        <w:t>’</w:t>
      </w:r>
      <w:r w:rsidRPr="0055267E">
        <w:rPr>
          <w:rFonts w:eastAsia="Malgun Gothic"/>
          <w:bCs/>
          <w:lang w:val="fr-FR"/>
        </w:rPr>
        <w:t>aurait l</w:t>
      </w:r>
      <w:r w:rsidR="00923E72">
        <w:rPr>
          <w:rFonts w:eastAsia="Malgun Gothic"/>
          <w:bCs/>
          <w:lang w:val="fr-FR"/>
        </w:rPr>
        <w:t>’</w:t>
      </w:r>
      <w:r w:rsidRPr="0055267E">
        <w:rPr>
          <w:rFonts w:eastAsia="Malgun Gothic"/>
          <w:bCs/>
          <w:lang w:val="fr-FR"/>
        </w:rPr>
        <w:t>inscription éventuelle de l</w:t>
      </w:r>
      <w:r w:rsidR="00923E72">
        <w:rPr>
          <w:rFonts w:eastAsia="Malgun Gothic"/>
          <w:bCs/>
          <w:lang w:val="fr-FR"/>
        </w:rPr>
        <w:t>’</w:t>
      </w:r>
      <w:r w:rsidRPr="0055267E">
        <w:rPr>
          <w:rFonts w:eastAsia="Malgun Gothic"/>
          <w:bCs/>
          <w:lang w:val="fr-FR"/>
        </w:rPr>
        <w:t>élément.</w:t>
      </w:r>
    </w:p>
    <w:p w14:paraId="756DF04F" w14:textId="325BBA3A" w:rsidR="0055267E" w:rsidRDefault="0055267E"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5267E">
        <w:rPr>
          <w:rFonts w:eastAsia="Malgun Gothic"/>
          <w:bCs/>
          <w:lang w:val="fr-FR"/>
        </w:rPr>
        <w:t xml:space="preserve">La délégation du </w:t>
      </w:r>
      <w:r w:rsidRPr="00702497">
        <w:rPr>
          <w:rFonts w:eastAsia="Malgun Gothic"/>
          <w:b/>
          <w:lang w:val="fr-FR"/>
        </w:rPr>
        <w:t>Guatemala</w:t>
      </w:r>
      <w:r w:rsidRPr="0055267E">
        <w:rPr>
          <w:rFonts w:eastAsia="Malgun Gothic"/>
          <w:bCs/>
          <w:lang w:val="fr-FR"/>
        </w:rPr>
        <w:t xml:space="preserve"> a expliqué que le dossier de la Semaine sainte au Guatemala avait été élaboré par les communautés elles-mêmes, y compris les détenteurs et les participants à cet événement culturel</w:t>
      </w:r>
      <w:r w:rsidR="00CC1380">
        <w:rPr>
          <w:rFonts w:eastAsia="Malgun Gothic"/>
          <w:bCs/>
          <w:lang w:val="fr-FR"/>
        </w:rPr>
        <w:t>,</w:t>
      </w:r>
      <w:r w:rsidRPr="0055267E">
        <w:rPr>
          <w:rFonts w:eastAsia="Malgun Gothic"/>
          <w:bCs/>
          <w:lang w:val="fr-FR"/>
        </w:rPr>
        <w:t xml:space="preserve"> qui est important pour le pays. Elle a rappelé que le Guatemala est un État membre de l</w:t>
      </w:r>
      <w:r w:rsidR="00923E72">
        <w:rPr>
          <w:rFonts w:eastAsia="Malgun Gothic"/>
          <w:bCs/>
          <w:lang w:val="fr-FR"/>
        </w:rPr>
        <w:t>’</w:t>
      </w:r>
      <w:r w:rsidRPr="0055267E">
        <w:rPr>
          <w:rFonts w:eastAsia="Malgun Gothic"/>
          <w:bCs/>
          <w:lang w:val="fr-FR"/>
        </w:rPr>
        <w:t>UNESCO, qu</w:t>
      </w:r>
      <w:r w:rsidR="00923E72">
        <w:rPr>
          <w:rFonts w:eastAsia="Malgun Gothic"/>
          <w:bCs/>
          <w:lang w:val="fr-FR"/>
        </w:rPr>
        <w:t>’</w:t>
      </w:r>
      <w:r w:rsidRPr="0055267E">
        <w:rPr>
          <w:rFonts w:eastAsia="Malgun Gothic"/>
          <w:bCs/>
          <w:lang w:val="fr-FR"/>
        </w:rPr>
        <w:t xml:space="preserve">il se conforme </w:t>
      </w:r>
      <w:r w:rsidR="00174B1C">
        <w:rPr>
          <w:rFonts w:eastAsia="Malgun Gothic"/>
          <w:bCs/>
          <w:lang w:val="fr-FR"/>
        </w:rPr>
        <w:t xml:space="preserve">pleinement </w:t>
      </w:r>
      <w:r w:rsidRPr="0055267E">
        <w:rPr>
          <w:rFonts w:eastAsia="Malgun Gothic"/>
          <w:bCs/>
          <w:lang w:val="fr-FR"/>
        </w:rPr>
        <w:t>à tous les instruments internationaux et qu</w:t>
      </w:r>
      <w:r w:rsidR="00923E72">
        <w:rPr>
          <w:rFonts w:eastAsia="Malgun Gothic"/>
          <w:bCs/>
          <w:lang w:val="fr-FR"/>
        </w:rPr>
        <w:t>’</w:t>
      </w:r>
      <w:r w:rsidRPr="0055267E">
        <w:rPr>
          <w:rFonts w:eastAsia="Malgun Gothic"/>
          <w:bCs/>
          <w:lang w:val="fr-FR"/>
        </w:rPr>
        <w:t>il a</w:t>
      </w:r>
      <w:r w:rsidR="00E22370">
        <w:rPr>
          <w:rFonts w:eastAsia="Malgun Gothic"/>
          <w:bCs/>
          <w:lang w:val="fr-FR"/>
        </w:rPr>
        <w:t>vait</w:t>
      </w:r>
      <w:r w:rsidRPr="0055267E">
        <w:rPr>
          <w:rFonts w:eastAsia="Malgun Gothic"/>
          <w:bCs/>
          <w:lang w:val="fr-FR"/>
        </w:rPr>
        <w:t xml:space="preserve"> donc compris que demander l</w:t>
      </w:r>
      <w:r w:rsidR="00923E72">
        <w:rPr>
          <w:rFonts w:eastAsia="Malgun Gothic"/>
          <w:bCs/>
          <w:lang w:val="fr-FR"/>
        </w:rPr>
        <w:t>’</w:t>
      </w:r>
      <w:r w:rsidRPr="0055267E">
        <w:rPr>
          <w:rFonts w:eastAsia="Malgun Gothic"/>
          <w:bCs/>
          <w:lang w:val="fr-FR"/>
        </w:rPr>
        <w:t xml:space="preserve">inscription de cet élément particulier sur la Liste signifiait le protéger contre toute surexploitation. Le </w:t>
      </w:r>
      <w:r w:rsidRPr="0055267E">
        <w:rPr>
          <w:rFonts w:eastAsia="Malgun Gothic"/>
          <w:bCs/>
          <w:lang w:val="fr-FR"/>
        </w:rPr>
        <w:lastRenderedPageBreak/>
        <w:t>Guatemala prendrait des mesures pour s</w:t>
      </w:r>
      <w:r w:rsidR="00923E72">
        <w:rPr>
          <w:rFonts w:eastAsia="Malgun Gothic"/>
          <w:bCs/>
          <w:lang w:val="fr-FR"/>
        </w:rPr>
        <w:t>’</w:t>
      </w:r>
      <w:r w:rsidRPr="0055267E">
        <w:rPr>
          <w:rFonts w:eastAsia="Malgun Gothic"/>
          <w:bCs/>
          <w:lang w:val="fr-FR"/>
        </w:rPr>
        <w:t>assurer que les individus, les groupes ou les communautés sont les premiers bénéficiaires de tout intérêt accru pour cet événement du fait de la promotion des événements eux-mêmes. Pour garantir la viabilité de ce type d</w:t>
      </w:r>
      <w:r w:rsidR="00923E72">
        <w:rPr>
          <w:rFonts w:eastAsia="Malgun Gothic"/>
          <w:bCs/>
          <w:lang w:val="fr-FR"/>
        </w:rPr>
        <w:t>’</w:t>
      </w:r>
      <w:r w:rsidRPr="0055267E">
        <w:rPr>
          <w:rFonts w:eastAsia="Malgun Gothic"/>
          <w:bCs/>
          <w:lang w:val="fr-FR"/>
        </w:rPr>
        <w:t>élément du patrimoine culturel immatériel, il conviendrait de détecter toute menace. Le Guatemala s</w:t>
      </w:r>
      <w:r w:rsidR="00923E72">
        <w:rPr>
          <w:rFonts w:eastAsia="Malgun Gothic"/>
          <w:bCs/>
          <w:lang w:val="fr-FR"/>
        </w:rPr>
        <w:t>’</w:t>
      </w:r>
      <w:r w:rsidRPr="0055267E">
        <w:rPr>
          <w:rFonts w:eastAsia="Malgun Gothic"/>
          <w:bCs/>
          <w:lang w:val="fr-FR"/>
        </w:rPr>
        <w:t xml:space="preserve">engageait à faire en sorte que tous les acteurs du secteur touristique ainsi que les acteurs commerciaux </w:t>
      </w:r>
      <w:r w:rsidR="00174B1C">
        <w:rPr>
          <w:rFonts w:eastAsia="Malgun Gothic"/>
          <w:bCs/>
          <w:lang w:val="fr-FR"/>
        </w:rPr>
        <w:t xml:space="preserve">agissent dans le respect </w:t>
      </w:r>
      <w:r w:rsidRPr="0055267E">
        <w:rPr>
          <w:rFonts w:eastAsia="Malgun Gothic"/>
          <w:bCs/>
          <w:lang w:val="fr-FR"/>
        </w:rPr>
        <w:t>de l</w:t>
      </w:r>
      <w:r w:rsidR="00923E72">
        <w:rPr>
          <w:rFonts w:eastAsia="Malgun Gothic"/>
          <w:bCs/>
          <w:lang w:val="fr-FR"/>
        </w:rPr>
        <w:t>’</w:t>
      </w:r>
      <w:r w:rsidRPr="0055267E">
        <w:rPr>
          <w:rFonts w:eastAsia="Malgun Gothic"/>
          <w:bCs/>
          <w:lang w:val="fr-FR"/>
        </w:rPr>
        <w:t xml:space="preserve">élément lui-même. Le Guatemala avait toujours garanti et continuerait à garantir la sauvegarde de son patrimoine culturel immatériel </w:t>
      </w:r>
      <w:r w:rsidR="00480988">
        <w:rPr>
          <w:rFonts w:eastAsia="Malgun Gothic"/>
          <w:bCs/>
          <w:lang w:val="fr-FR"/>
        </w:rPr>
        <w:t xml:space="preserve">en adaptant </w:t>
      </w:r>
      <w:r w:rsidRPr="0055267E">
        <w:rPr>
          <w:rFonts w:eastAsia="Malgun Gothic"/>
          <w:bCs/>
          <w:lang w:val="fr-FR"/>
        </w:rPr>
        <w:t>tous ces différents aspects pour s</w:t>
      </w:r>
      <w:r w:rsidR="00923E72">
        <w:rPr>
          <w:rFonts w:eastAsia="Malgun Gothic"/>
          <w:bCs/>
          <w:lang w:val="fr-FR"/>
        </w:rPr>
        <w:t>’</w:t>
      </w:r>
      <w:r w:rsidRPr="0055267E">
        <w:rPr>
          <w:rFonts w:eastAsia="Malgun Gothic"/>
          <w:bCs/>
          <w:lang w:val="fr-FR"/>
        </w:rPr>
        <w:t>assurer que les festivités se poursuiv</w:t>
      </w:r>
      <w:r w:rsidR="0051482E">
        <w:rPr>
          <w:rFonts w:eastAsia="Malgun Gothic"/>
          <w:bCs/>
          <w:lang w:val="fr-FR"/>
        </w:rPr>
        <w:t>ent</w:t>
      </w:r>
      <w:r w:rsidRPr="0055267E">
        <w:rPr>
          <w:rFonts w:eastAsia="Malgun Gothic"/>
          <w:bCs/>
          <w:lang w:val="fr-FR"/>
        </w:rPr>
        <w:t xml:space="preserve"> de la même manière que depuis des siècles, sans aucune menace de surexploitation à des fins touristiques.</w:t>
      </w:r>
    </w:p>
    <w:p w14:paraId="7E68DD11" w14:textId="18F4279A" w:rsidR="00480988" w:rsidRDefault="00480988"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480988">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E22370">
        <w:rPr>
          <w:rFonts w:eastAsia="Malgun Gothic"/>
          <w:b/>
          <w:lang w:val="fr-FR"/>
        </w:rPr>
        <w:t> </w:t>
      </w:r>
      <w:r w:rsidRPr="00702497">
        <w:rPr>
          <w:rFonts w:eastAsia="Malgun Gothic"/>
          <w:b/>
          <w:lang w:val="fr-FR"/>
        </w:rPr>
        <w:t xml:space="preserve">saoudite </w:t>
      </w:r>
      <w:r w:rsidRPr="00480988">
        <w:rPr>
          <w:rFonts w:eastAsia="Malgun Gothic"/>
          <w:bCs/>
          <w:lang w:val="fr-FR"/>
        </w:rPr>
        <w:t>a remercié le Guatemala pour son ouverture et son dialogue</w:t>
      </w:r>
      <w:r w:rsidR="00CC1380">
        <w:rPr>
          <w:rFonts w:eastAsia="Malgun Gothic"/>
          <w:bCs/>
          <w:lang w:val="fr-FR"/>
        </w:rPr>
        <w:t>,</w:t>
      </w:r>
      <w:r w:rsidRPr="00480988">
        <w:rPr>
          <w:rFonts w:eastAsia="Malgun Gothic"/>
          <w:bCs/>
          <w:lang w:val="fr-FR"/>
        </w:rPr>
        <w:t xml:space="preserve"> qui permettaient de clarifier les questions relatives au critère</w:t>
      </w:r>
      <w:r>
        <w:rPr>
          <w:rFonts w:eastAsia="Malgun Gothic"/>
          <w:bCs/>
          <w:lang w:val="fr-FR"/>
        </w:rPr>
        <w:t> </w:t>
      </w:r>
      <w:r w:rsidRPr="00480988">
        <w:rPr>
          <w:rFonts w:eastAsia="Malgun Gothic"/>
          <w:bCs/>
          <w:lang w:val="fr-FR"/>
        </w:rPr>
        <w:t>R.2. Elle a reconnu que les objectifs de la Convention doivent être appliqués à l</w:t>
      </w:r>
      <w:r w:rsidR="00923E72">
        <w:rPr>
          <w:rFonts w:eastAsia="Malgun Gothic"/>
          <w:bCs/>
          <w:lang w:val="fr-FR"/>
        </w:rPr>
        <w:t>’</w:t>
      </w:r>
      <w:r w:rsidRPr="00480988">
        <w:rPr>
          <w:rFonts w:eastAsia="Malgun Gothic"/>
          <w:bCs/>
          <w:lang w:val="fr-FR"/>
        </w:rPr>
        <w:t>inscription de l</w:t>
      </w:r>
      <w:r w:rsidR="00923E72">
        <w:rPr>
          <w:rFonts w:eastAsia="Malgun Gothic"/>
          <w:bCs/>
          <w:lang w:val="fr-FR"/>
        </w:rPr>
        <w:t>’</w:t>
      </w:r>
      <w:r w:rsidRPr="00480988">
        <w:rPr>
          <w:rFonts w:eastAsia="Malgun Gothic"/>
          <w:bCs/>
          <w:lang w:val="fr-FR"/>
        </w:rPr>
        <w:t>élément et que ce critère est satisfait dans le dossier. Cependant, elle a demandé à la délégation en quoi l</w:t>
      </w:r>
      <w:r w:rsidR="00923E72">
        <w:rPr>
          <w:rFonts w:eastAsia="Malgun Gothic"/>
          <w:bCs/>
          <w:lang w:val="fr-FR"/>
        </w:rPr>
        <w:t>’</w:t>
      </w:r>
      <w:r w:rsidRPr="00480988">
        <w:rPr>
          <w:rFonts w:eastAsia="Malgun Gothic"/>
          <w:bCs/>
          <w:lang w:val="fr-FR"/>
        </w:rPr>
        <w:t>inscription de cet élément contribuerait aux objectifs de la Convention.</w:t>
      </w:r>
    </w:p>
    <w:p w14:paraId="19158063" w14:textId="7F508818" w:rsidR="00480988" w:rsidRDefault="00480988"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480988">
        <w:rPr>
          <w:rFonts w:eastAsia="Malgun Gothic"/>
          <w:bCs/>
          <w:lang w:val="fr-FR"/>
        </w:rPr>
        <w:t xml:space="preserve">La délégation du </w:t>
      </w:r>
      <w:r w:rsidRPr="00702497">
        <w:rPr>
          <w:rFonts w:eastAsia="Malgun Gothic"/>
          <w:b/>
          <w:lang w:val="fr-FR"/>
        </w:rPr>
        <w:t>Guatemala</w:t>
      </w:r>
      <w:r w:rsidRPr="00480988">
        <w:rPr>
          <w:rFonts w:eastAsia="Malgun Gothic"/>
          <w:bCs/>
          <w:lang w:val="fr-FR"/>
        </w:rPr>
        <w:t xml:space="preserve"> était convaincue que l</w:t>
      </w:r>
      <w:r w:rsidR="00923E72">
        <w:rPr>
          <w:rFonts w:eastAsia="Malgun Gothic"/>
          <w:bCs/>
          <w:lang w:val="fr-FR"/>
        </w:rPr>
        <w:t>’</w:t>
      </w:r>
      <w:r w:rsidRPr="00480988">
        <w:rPr>
          <w:rFonts w:eastAsia="Malgun Gothic"/>
          <w:bCs/>
          <w:lang w:val="fr-FR"/>
        </w:rPr>
        <w:t xml:space="preserve">inscription de la Semaine </w:t>
      </w:r>
      <w:r>
        <w:rPr>
          <w:rFonts w:eastAsia="Malgun Gothic"/>
          <w:bCs/>
          <w:lang w:val="fr-FR"/>
        </w:rPr>
        <w:t>s</w:t>
      </w:r>
      <w:r w:rsidRPr="00480988">
        <w:rPr>
          <w:rFonts w:eastAsia="Malgun Gothic"/>
          <w:bCs/>
          <w:lang w:val="fr-FR"/>
        </w:rPr>
        <w:t>ainte au Guatemala mettrait en évidence non seulement la créativité humaine, nécessaire à la préservation de ces activités, mais soulignerait également ses aspects interculturels, en raison du dialogue et du respect mutuel entre les communautés, qui sont particulièrement représentatifs</w:t>
      </w:r>
      <w:r w:rsidR="00E22370">
        <w:rPr>
          <w:rFonts w:eastAsia="Malgun Gothic"/>
          <w:bCs/>
          <w:lang w:val="fr-FR"/>
        </w:rPr>
        <w:t xml:space="preserve"> de l</w:t>
      </w:r>
      <w:r w:rsidR="00923E72">
        <w:rPr>
          <w:rFonts w:eastAsia="Malgun Gothic"/>
          <w:bCs/>
          <w:lang w:val="fr-FR"/>
        </w:rPr>
        <w:t>’</w:t>
      </w:r>
      <w:r w:rsidR="00E22370">
        <w:rPr>
          <w:rFonts w:eastAsia="Malgun Gothic"/>
          <w:bCs/>
          <w:lang w:val="fr-FR"/>
        </w:rPr>
        <w:t>élément</w:t>
      </w:r>
      <w:r w:rsidRPr="00480988">
        <w:rPr>
          <w:rFonts w:eastAsia="Malgun Gothic"/>
          <w:bCs/>
          <w:lang w:val="fr-FR"/>
        </w:rPr>
        <w:t xml:space="preserve">. Comme </w:t>
      </w:r>
      <w:r>
        <w:rPr>
          <w:rFonts w:eastAsia="Malgun Gothic"/>
          <w:bCs/>
          <w:lang w:val="fr-FR"/>
        </w:rPr>
        <w:t>l</w:t>
      </w:r>
      <w:r w:rsidR="00923E72">
        <w:rPr>
          <w:rFonts w:eastAsia="Malgun Gothic"/>
          <w:bCs/>
          <w:lang w:val="fr-FR"/>
        </w:rPr>
        <w:t>’</w:t>
      </w:r>
      <w:r>
        <w:rPr>
          <w:rFonts w:eastAsia="Malgun Gothic"/>
          <w:bCs/>
          <w:lang w:val="fr-FR"/>
        </w:rPr>
        <w:t xml:space="preserve">exposent </w:t>
      </w:r>
      <w:r w:rsidRPr="00480988">
        <w:rPr>
          <w:rFonts w:eastAsia="Malgun Gothic"/>
          <w:bCs/>
          <w:lang w:val="fr-FR"/>
        </w:rPr>
        <w:t>les Directives opérationnelles, l</w:t>
      </w:r>
      <w:r w:rsidR="00923E72">
        <w:rPr>
          <w:rFonts w:eastAsia="Malgun Gothic"/>
          <w:bCs/>
          <w:lang w:val="fr-FR"/>
        </w:rPr>
        <w:t>’</w:t>
      </w:r>
      <w:r w:rsidRPr="00480988">
        <w:rPr>
          <w:rFonts w:eastAsia="Malgun Gothic"/>
          <w:bCs/>
          <w:lang w:val="fr-FR"/>
        </w:rPr>
        <w:t>inscription d</w:t>
      </w:r>
      <w:r w:rsidR="00923E72">
        <w:rPr>
          <w:rFonts w:eastAsia="Malgun Gothic"/>
          <w:bCs/>
          <w:lang w:val="fr-FR"/>
        </w:rPr>
        <w:t>’</w:t>
      </w:r>
      <w:r w:rsidRPr="00480988">
        <w:rPr>
          <w:rFonts w:eastAsia="Malgun Gothic"/>
          <w:bCs/>
          <w:lang w:val="fr-FR"/>
        </w:rPr>
        <w:t xml:space="preserve">un élément (dans </w:t>
      </w:r>
      <w:r>
        <w:rPr>
          <w:rFonts w:eastAsia="Malgun Gothic"/>
          <w:bCs/>
          <w:lang w:val="fr-FR"/>
        </w:rPr>
        <w:t>l</w:t>
      </w:r>
      <w:r w:rsidRPr="00480988">
        <w:rPr>
          <w:rFonts w:eastAsia="Malgun Gothic"/>
          <w:bCs/>
          <w:lang w:val="fr-FR"/>
        </w:rPr>
        <w:t>e cas pr</w:t>
      </w:r>
      <w:r>
        <w:rPr>
          <w:rFonts w:eastAsia="Malgun Gothic"/>
          <w:bCs/>
          <w:lang w:val="fr-FR"/>
        </w:rPr>
        <w:t>é</w:t>
      </w:r>
      <w:r w:rsidRPr="00480988">
        <w:rPr>
          <w:rFonts w:eastAsia="Malgun Gothic"/>
          <w:bCs/>
          <w:lang w:val="fr-FR"/>
        </w:rPr>
        <w:t>sent, la Semaine sainte au Guatemala) renforcerait les capacités des communautés détentrices, contribuerait à la gestion de tous les aspects qui l</w:t>
      </w:r>
      <w:r w:rsidR="00923E72">
        <w:rPr>
          <w:rFonts w:eastAsia="Malgun Gothic"/>
          <w:bCs/>
          <w:lang w:val="fr-FR"/>
        </w:rPr>
        <w:t>’</w:t>
      </w:r>
      <w:r w:rsidRPr="00480988">
        <w:rPr>
          <w:rFonts w:eastAsia="Malgun Gothic"/>
          <w:bCs/>
          <w:lang w:val="fr-FR"/>
        </w:rPr>
        <w:t xml:space="preserve">entourent et, en fin de compte, </w:t>
      </w:r>
      <w:r>
        <w:rPr>
          <w:rFonts w:eastAsia="Malgun Gothic"/>
          <w:bCs/>
          <w:lang w:val="fr-FR"/>
        </w:rPr>
        <w:t xml:space="preserve">consoliderait </w:t>
      </w:r>
      <w:r w:rsidRPr="00480988">
        <w:rPr>
          <w:rFonts w:eastAsia="Malgun Gothic"/>
          <w:bCs/>
          <w:lang w:val="fr-FR"/>
        </w:rPr>
        <w:t>le sentiment d</w:t>
      </w:r>
      <w:r w:rsidR="00923E72">
        <w:rPr>
          <w:rFonts w:eastAsia="Malgun Gothic"/>
          <w:bCs/>
          <w:lang w:val="fr-FR"/>
        </w:rPr>
        <w:t>’</w:t>
      </w:r>
      <w:r w:rsidRPr="00480988">
        <w:rPr>
          <w:rFonts w:eastAsia="Malgun Gothic"/>
          <w:bCs/>
          <w:lang w:val="fr-FR"/>
        </w:rPr>
        <w:t>appartenance aux niveaux local, régional et national. Il s</w:t>
      </w:r>
      <w:r w:rsidR="00923E72">
        <w:rPr>
          <w:rFonts w:eastAsia="Malgun Gothic"/>
          <w:bCs/>
          <w:lang w:val="fr-FR"/>
        </w:rPr>
        <w:t>’</w:t>
      </w:r>
      <w:r w:rsidRPr="00480988">
        <w:rPr>
          <w:rFonts w:eastAsia="Malgun Gothic"/>
          <w:bCs/>
          <w:lang w:val="fr-FR"/>
        </w:rPr>
        <w:t>agissait d</w:t>
      </w:r>
      <w:r w:rsidR="00923E72">
        <w:rPr>
          <w:rFonts w:eastAsia="Malgun Gothic"/>
          <w:bCs/>
          <w:lang w:val="fr-FR"/>
        </w:rPr>
        <w:t>’</w:t>
      </w:r>
      <w:r w:rsidRPr="00480988">
        <w:rPr>
          <w:rFonts w:eastAsia="Malgun Gothic"/>
          <w:bCs/>
          <w:lang w:val="fr-FR"/>
        </w:rPr>
        <w:t>un ensemble vivant et très représentatif de fêtes, et l</w:t>
      </w:r>
      <w:r w:rsidR="00923E72">
        <w:rPr>
          <w:rFonts w:eastAsia="Malgun Gothic"/>
          <w:bCs/>
          <w:lang w:val="fr-FR"/>
        </w:rPr>
        <w:t>’</w:t>
      </w:r>
      <w:r w:rsidRPr="00480988">
        <w:rPr>
          <w:rFonts w:eastAsia="Malgun Gothic"/>
          <w:bCs/>
          <w:lang w:val="fr-FR"/>
        </w:rPr>
        <w:t>inscription pourrait servir d</w:t>
      </w:r>
      <w:r w:rsidR="00923E72">
        <w:rPr>
          <w:rFonts w:eastAsia="Malgun Gothic"/>
          <w:bCs/>
          <w:lang w:val="fr-FR"/>
        </w:rPr>
        <w:t>’</w:t>
      </w:r>
      <w:r w:rsidRPr="00480988">
        <w:rPr>
          <w:rFonts w:eastAsia="Malgun Gothic"/>
          <w:bCs/>
          <w:lang w:val="fr-FR"/>
        </w:rPr>
        <w:t>inspiration et d</w:t>
      </w:r>
      <w:r w:rsidR="00923E72">
        <w:rPr>
          <w:rFonts w:eastAsia="Malgun Gothic"/>
          <w:bCs/>
          <w:lang w:val="fr-FR"/>
        </w:rPr>
        <w:t>’</w:t>
      </w:r>
      <w:r w:rsidRPr="00480988">
        <w:rPr>
          <w:rFonts w:eastAsia="Malgun Gothic"/>
          <w:bCs/>
          <w:lang w:val="fr-FR"/>
        </w:rPr>
        <w:t>exemple pour d</w:t>
      </w:r>
      <w:r w:rsidR="00923E72">
        <w:rPr>
          <w:rFonts w:eastAsia="Malgun Gothic"/>
          <w:bCs/>
          <w:lang w:val="fr-FR"/>
        </w:rPr>
        <w:t>’</w:t>
      </w:r>
      <w:r w:rsidRPr="00480988">
        <w:rPr>
          <w:rFonts w:eastAsia="Malgun Gothic"/>
          <w:bCs/>
          <w:lang w:val="fr-FR"/>
        </w:rPr>
        <w:t>autres</w:t>
      </w:r>
      <w:r w:rsidR="00F859A4">
        <w:rPr>
          <w:rFonts w:eastAsia="Malgun Gothic"/>
          <w:bCs/>
          <w:lang w:val="fr-FR"/>
        </w:rPr>
        <w:t xml:space="preserve"> </w:t>
      </w:r>
      <w:r w:rsidR="00F859A4" w:rsidRPr="00F859A4">
        <w:rPr>
          <w:rFonts w:eastAsia="Malgun Gothic"/>
          <w:bCs/>
          <w:lang w:val="fr-FR"/>
        </w:rPr>
        <w:t>candidatur</w:t>
      </w:r>
      <w:r w:rsidR="00F859A4">
        <w:rPr>
          <w:rFonts w:eastAsia="Malgun Gothic"/>
          <w:bCs/>
          <w:lang w:val="fr-FR"/>
        </w:rPr>
        <w:t xml:space="preserve">es au regard de </w:t>
      </w:r>
      <w:r w:rsidRPr="00480988">
        <w:rPr>
          <w:rFonts w:eastAsia="Malgun Gothic"/>
          <w:bCs/>
          <w:lang w:val="fr-FR"/>
        </w:rPr>
        <w:t>tous les types d</w:t>
      </w:r>
      <w:r w:rsidR="00923E72">
        <w:rPr>
          <w:rFonts w:eastAsia="Malgun Gothic"/>
          <w:bCs/>
          <w:lang w:val="fr-FR"/>
        </w:rPr>
        <w:t>’</w:t>
      </w:r>
      <w:r w:rsidRPr="00480988">
        <w:rPr>
          <w:rFonts w:eastAsia="Malgun Gothic"/>
          <w:bCs/>
          <w:lang w:val="fr-FR"/>
        </w:rPr>
        <w:t>expertise et de connaissances impliqués. L</w:t>
      </w:r>
      <w:r w:rsidR="00923E72">
        <w:rPr>
          <w:rFonts w:eastAsia="Malgun Gothic"/>
          <w:bCs/>
          <w:lang w:val="fr-FR"/>
        </w:rPr>
        <w:t>’</w:t>
      </w:r>
      <w:r w:rsidRPr="00480988">
        <w:rPr>
          <w:rFonts w:eastAsia="Malgun Gothic"/>
          <w:bCs/>
          <w:lang w:val="fr-FR"/>
        </w:rPr>
        <w:t>inscription de l</w:t>
      </w:r>
      <w:r w:rsidR="00923E72">
        <w:rPr>
          <w:rFonts w:eastAsia="Malgun Gothic"/>
          <w:bCs/>
          <w:lang w:val="fr-FR"/>
        </w:rPr>
        <w:t>’</w:t>
      </w:r>
      <w:r w:rsidRPr="00480988">
        <w:rPr>
          <w:rFonts w:eastAsia="Malgun Gothic"/>
          <w:bCs/>
          <w:lang w:val="fr-FR"/>
        </w:rPr>
        <w:t>élément renforcerait en fait les mesures de sauvegarde vis-à-vis des communautés de détenteurs</w:t>
      </w:r>
      <w:r w:rsidR="00F859A4">
        <w:rPr>
          <w:rFonts w:eastAsia="Malgun Gothic"/>
          <w:bCs/>
          <w:lang w:val="fr-FR"/>
        </w:rPr>
        <w:t xml:space="preserve"> et </w:t>
      </w:r>
      <w:r w:rsidRPr="00480988">
        <w:rPr>
          <w:rFonts w:eastAsia="Malgun Gothic"/>
          <w:bCs/>
          <w:lang w:val="fr-FR"/>
        </w:rPr>
        <w:t xml:space="preserve">sensibiliserait </w:t>
      </w:r>
      <w:r w:rsidR="00E22370">
        <w:rPr>
          <w:rFonts w:eastAsia="Malgun Gothic"/>
          <w:bCs/>
          <w:lang w:val="fr-FR"/>
        </w:rPr>
        <w:t xml:space="preserve">le plus grand nombre </w:t>
      </w:r>
      <w:r w:rsidRPr="00480988">
        <w:rPr>
          <w:rFonts w:eastAsia="Malgun Gothic"/>
          <w:bCs/>
          <w:lang w:val="fr-FR"/>
        </w:rPr>
        <w:t>à cet élément particulier, non seulement au niveau local, mais également aux niveaux national et international.</w:t>
      </w:r>
    </w:p>
    <w:p w14:paraId="452B1850" w14:textId="23CB9F5D" w:rsidR="00F859A4" w:rsidRDefault="006A02B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A02B0">
        <w:rPr>
          <w:rFonts w:eastAsia="Malgun Gothic"/>
          <w:bCs/>
          <w:lang w:val="fr-FR"/>
        </w:rPr>
        <w:t xml:space="preserve">La délégation </w:t>
      </w:r>
      <w:r>
        <w:rPr>
          <w:rFonts w:eastAsia="Malgun Gothic"/>
          <w:bCs/>
          <w:lang w:val="fr-FR"/>
        </w:rPr>
        <w:t xml:space="preserve">du </w:t>
      </w:r>
      <w:r w:rsidRPr="00702497">
        <w:rPr>
          <w:rFonts w:eastAsia="Malgun Gothic"/>
          <w:b/>
          <w:lang w:val="fr-FR"/>
        </w:rPr>
        <w:t>Pérou</w:t>
      </w:r>
      <w:r>
        <w:rPr>
          <w:rFonts w:eastAsia="Malgun Gothic"/>
          <w:bCs/>
          <w:lang w:val="fr-FR"/>
        </w:rPr>
        <w:t xml:space="preserve"> </w:t>
      </w:r>
      <w:r w:rsidRPr="006A02B0">
        <w:rPr>
          <w:rFonts w:eastAsia="Malgun Gothic"/>
          <w:bCs/>
          <w:lang w:val="fr-FR"/>
        </w:rPr>
        <w:t>a remercié le ministre et le vice-ministre des Affaires étrangères du Guatemala pour leur présence ainsi que le vice-ministre de la Culture et des Sports pour les informations communiquées jusqu</w:t>
      </w:r>
      <w:r w:rsidR="00923E72">
        <w:rPr>
          <w:rFonts w:eastAsia="Malgun Gothic"/>
          <w:bCs/>
          <w:lang w:val="fr-FR"/>
        </w:rPr>
        <w:t>’</w:t>
      </w:r>
      <w:r w:rsidRPr="006A02B0">
        <w:rPr>
          <w:rFonts w:eastAsia="Malgun Gothic"/>
          <w:bCs/>
          <w:lang w:val="fr-FR"/>
        </w:rPr>
        <w:t>à présent. Elle a regretté que le dossier n</w:t>
      </w:r>
      <w:r w:rsidR="00923E72">
        <w:rPr>
          <w:rFonts w:eastAsia="Malgun Gothic"/>
          <w:bCs/>
          <w:lang w:val="fr-FR"/>
        </w:rPr>
        <w:t>’</w:t>
      </w:r>
      <w:r w:rsidRPr="006A02B0">
        <w:rPr>
          <w:rFonts w:eastAsia="Malgun Gothic"/>
          <w:bCs/>
          <w:lang w:val="fr-FR"/>
        </w:rPr>
        <w:t>ait pas bénéficié du processus de dialogue</w:t>
      </w:r>
      <w:r w:rsidR="00CC1380">
        <w:rPr>
          <w:rFonts w:eastAsia="Malgun Gothic"/>
          <w:bCs/>
          <w:lang w:val="fr-FR"/>
        </w:rPr>
        <w:t>,</w:t>
      </w:r>
      <w:r w:rsidRPr="006A02B0">
        <w:rPr>
          <w:rFonts w:eastAsia="Malgun Gothic"/>
          <w:bCs/>
          <w:lang w:val="fr-FR"/>
        </w:rPr>
        <w:t xml:space="preserve"> qui aurait pu aider ce dossier. Il était donc important de poser les questions nécessaires afin d</w:t>
      </w:r>
      <w:r w:rsidR="00923E72">
        <w:rPr>
          <w:rFonts w:eastAsia="Malgun Gothic"/>
          <w:bCs/>
          <w:lang w:val="fr-FR"/>
        </w:rPr>
        <w:t>’</w:t>
      </w:r>
      <w:r>
        <w:rPr>
          <w:rFonts w:eastAsia="Malgun Gothic"/>
          <w:bCs/>
          <w:lang w:val="fr-FR"/>
        </w:rPr>
        <w:t xml:space="preserve">en </w:t>
      </w:r>
      <w:r w:rsidRPr="006A02B0">
        <w:rPr>
          <w:rFonts w:eastAsia="Malgun Gothic"/>
          <w:bCs/>
          <w:lang w:val="fr-FR"/>
        </w:rPr>
        <w:t>avoir une bonne compréhension et d</w:t>
      </w:r>
      <w:r w:rsidR="00923E72">
        <w:rPr>
          <w:rFonts w:eastAsia="Malgun Gothic"/>
          <w:bCs/>
          <w:lang w:val="fr-FR"/>
        </w:rPr>
        <w:t>’</w:t>
      </w:r>
      <w:r w:rsidRPr="006A02B0">
        <w:rPr>
          <w:rFonts w:eastAsia="Malgun Gothic"/>
          <w:bCs/>
          <w:lang w:val="fr-FR"/>
        </w:rPr>
        <w:t>aller de l</w:t>
      </w:r>
      <w:r w:rsidR="00923E72">
        <w:rPr>
          <w:rFonts w:eastAsia="Malgun Gothic"/>
          <w:bCs/>
          <w:lang w:val="fr-FR"/>
        </w:rPr>
        <w:t>’</w:t>
      </w:r>
      <w:r w:rsidRPr="006A02B0">
        <w:rPr>
          <w:rFonts w:eastAsia="Malgun Gothic"/>
          <w:bCs/>
          <w:lang w:val="fr-FR"/>
        </w:rPr>
        <w:t>avant. La délégation estimait que tous les différents aspects requis par les critères étaient satisfaits. En particulier, il s</w:t>
      </w:r>
      <w:r w:rsidR="00923E72">
        <w:rPr>
          <w:rFonts w:eastAsia="Malgun Gothic"/>
          <w:bCs/>
          <w:lang w:val="fr-FR"/>
        </w:rPr>
        <w:t>’</w:t>
      </w:r>
      <w:r w:rsidRPr="006A02B0">
        <w:rPr>
          <w:rFonts w:eastAsia="Malgun Gothic"/>
          <w:bCs/>
          <w:lang w:val="fr-FR"/>
        </w:rPr>
        <w:t>agissait d</w:t>
      </w:r>
      <w:r w:rsidR="00923E72">
        <w:rPr>
          <w:rFonts w:eastAsia="Malgun Gothic"/>
          <w:bCs/>
          <w:lang w:val="fr-FR"/>
        </w:rPr>
        <w:t>’</w:t>
      </w:r>
      <w:r w:rsidRPr="006A02B0">
        <w:rPr>
          <w:rFonts w:eastAsia="Malgun Gothic"/>
          <w:bCs/>
          <w:lang w:val="fr-FR"/>
        </w:rPr>
        <w:t xml:space="preserve">un festival </w:t>
      </w:r>
      <w:r w:rsidR="00343866">
        <w:rPr>
          <w:rFonts w:eastAsia="Malgun Gothic"/>
          <w:bCs/>
          <w:lang w:val="fr-FR"/>
        </w:rPr>
        <w:t xml:space="preserve">inclusif, </w:t>
      </w:r>
      <w:r w:rsidRPr="006A02B0">
        <w:rPr>
          <w:rFonts w:eastAsia="Malgun Gothic"/>
          <w:bCs/>
          <w:lang w:val="fr-FR"/>
        </w:rPr>
        <w:t>très grand public auquel participait la majeure partie de la population guatémaltèque. Ainsi, l</w:t>
      </w:r>
      <w:r w:rsidR="00923E72">
        <w:rPr>
          <w:rFonts w:eastAsia="Malgun Gothic"/>
          <w:bCs/>
          <w:lang w:val="fr-FR"/>
        </w:rPr>
        <w:t>’</w:t>
      </w:r>
      <w:r w:rsidRPr="006A02B0">
        <w:rPr>
          <w:rFonts w:eastAsia="Malgun Gothic"/>
          <w:bCs/>
          <w:lang w:val="fr-FR"/>
        </w:rPr>
        <w:t>inscription renforcerait la visibilité des communautés autochtones, mais servirait également de très bon exemple du type d</w:t>
      </w:r>
      <w:r w:rsidR="00923E72">
        <w:rPr>
          <w:rFonts w:eastAsia="Malgun Gothic"/>
          <w:bCs/>
          <w:lang w:val="fr-FR"/>
        </w:rPr>
        <w:t>’</w:t>
      </w:r>
      <w:r w:rsidRPr="006A02B0">
        <w:rPr>
          <w:rFonts w:eastAsia="Malgun Gothic"/>
          <w:bCs/>
          <w:lang w:val="fr-FR"/>
        </w:rPr>
        <w:t>inclusivité et de participation très large</w:t>
      </w:r>
      <w:r>
        <w:rPr>
          <w:rFonts w:eastAsia="Malgun Gothic"/>
          <w:bCs/>
          <w:lang w:val="fr-FR"/>
        </w:rPr>
        <w:t xml:space="preserve">, </w:t>
      </w:r>
      <w:r w:rsidRPr="006A02B0">
        <w:rPr>
          <w:rFonts w:eastAsia="Malgun Gothic"/>
          <w:bCs/>
          <w:lang w:val="fr-FR"/>
        </w:rPr>
        <w:t xml:space="preserve">si représentatif </w:t>
      </w:r>
      <w:r>
        <w:rPr>
          <w:rFonts w:eastAsia="Malgun Gothic"/>
          <w:bCs/>
          <w:lang w:val="fr-FR"/>
        </w:rPr>
        <w:t xml:space="preserve">de </w:t>
      </w:r>
      <w:r w:rsidRPr="006A02B0">
        <w:rPr>
          <w:rFonts w:eastAsia="Malgun Gothic"/>
          <w:bCs/>
          <w:lang w:val="fr-FR"/>
        </w:rPr>
        <w:t>l</w:t>
      </w:r>
      <w:r w:rsidR="00923E72">
        <w:rPr>
          <w:rFonts w:eastAsia="Malgun Gothic"/>
          <w:bCs/>
          <w:lang w:val="fr-FR"/>
        </w:rPr>
        <w:t>’</w:t>
      </w:r>
      <w:r w:rsidRPr="006A02B0">
        <w:rPr>
          <w:rFonts w:eastAsia="Malgun Gothic"/>
          <w:bCs/>
          <w:lang w:val="fr-FR"/>
        </w:rPr>
        <w:t>ensemble du pays. La délégation était bien consciente de l</w:t>
      </w:r>
      <w:r w:rsidR="00923E72">
        <w:rPr>
          <w:rFonts w:eastAsia="Malgun Gothic"/>
          <w:bCs/>
          <w:lang w:val="fr-FR"/>
        </w:rPr>
        <w:t>’</w:t>
      </w:r>
      <w:r w:rsidRPr="006A02B0">
        <w:rPr>
          <w:rFonts w:eastAsia="Malgun Gothic"/>
          <w:bCs/>
          <w:lang w:val="fr-FR"/>
        </w:rPr>
        <w:t>importance des éléments qui favorisent le dialogue interculturel</w:t>
      </w:r>
      <w:r>
        <w:rPr>
          <w:rFonts w:eastAsia="Malgun Gothic"/>
          <w:bCs/>
          <w:lang w:val="fr-FR"/>
        </w:rPr>
        <w:t>,</w:t>
      </w:r>
      <w:r w:rsidRPr="006A02B0">
        <w:rPr>
          <w:rFonts w:eastAsia="Malgun Gothic"/>
          <w:bCs/>
          <w:lang w:val="fr-FR"/>
        </w:rPr>
        <w:t xml:space="preserve"> et </w:t>
      </w:r>
      <w:r>
        <w:rPr>
          <w:rFonts w:eastAsia="Malgun Gothic"/>
          <w:bCs/>
          <w:lang w:val="fr-FR"/>
        </w:rPr>
        <w:t xml:space="preserve">que </w:t>
      </w:r>
      <w:r w:rsidRPr="006A02B0">
        <w:rPr>
          <w:rFonts w:eastAsia="Malgun Gothic"/>
          <w:bCs/>
          <w:lang w:val="fr-FR"/>
        </w:rPr>
        <w:t>cet élément particulier incarne nombre</w:t>
      </w:r>
      <w:r>
        <w:rPr>
          <w:rFonts w:eastAsia="Malgun Gothic"/>
          <w:bCs/>
          <w:lang w:val="fr-FR"/>
        </w:rPr>
        <w:t xml:space="preserve"> des </w:t>
      </w:r>
      <w:r w:rsidRPr="006A02B0">
        <w:rPr>
          <w:rFonts w:eastAsia="Malgun Gothic"/>
          <w:bCs/>
          <w:lang w:val="fr-FR"/>
        </w:rPr>
        <w:t>valeurs de la Convention.</w:t>
      </w:r>
    </w:p>
    <w:p w14:paraId="1C5AB468" w14:textId="5A25E0D8" w:rsidR="006A02B0" w:rsidRDefault="006A02B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6A02B0">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Allemagne</w:t>
      </w:r>
      <w:r>
        <w:rPr>
          <w:rFonts w:eastAsia="Malgun Gothic"/>
          <w:bCs/>
          <w:lang w:val="fr-FR"/>
        </w:rPr>
        <w:t xml:space="preserve"> a remercié le Guatemala pour ses explications</w:t>
      </w:r>
      <w:r w:rsidR="00CC1380">
        <w:rPr>
          <w:rFonts w:eastAsia="Malgun Gothic"/>
          <w:bCs/>
          <w:lang w:val="fr-FR"/>
        </w:rPr>
        <w:t>,</w:t>
      </w:r>
      <w:r>
        <w:rPr>
          <w:rFonts w:eastAsia="Malgun Gothic"/>
          <w:bCs/>
          <w:lang w:val="fr-FR"/>
        </w:rPr>
        <w:t xml:space="preserve"> qui remplaçaient le dialogue qui n</w:t>
      </w:r>
      <w:r w:rsidR="00923E72">
        <w:rPr>
          <w:rFonts w:eastAsia="Malgun Gothic"/>
          <w:bCs/>
          <w:lang w:val="fr-FR"/>
        </w:rPr>
        <w:t>’</w:t>
      </w:r>
      <w:r>
        <w:rPr>
          <w:rFonts w:eastAsia="Malgun Gothic"/>
          <w:bCs/>
          <w:lang w:val="fr-FR"/>
        </w:rPr>
        <w:t xml:space="preserve">avait malheureusement pas pu avoir lieu. La </w:t>
      </w:r>
      <w:r w:rsidRPr="006A02B0">
        <w:rPr>
          <w:rFonts w:eastAsia="Malgun Gothic"/>
          <w:bCs/>
          <w:lang w:val="fr-FR"/>
        </w:rPr>
        <w:t>délégation</w:t>
      </w:r>
      <w:r>
        <w:rPr>
          <w:rFonts w:eastAsia="Malgun Gothic"/>
          <w:bCs/>
          <w:lang w:val="fr-FR"/>
        </w:rPr>
        <w:t xml:space="preserve"> estimait que des réponses </w:t>
      </w:r>
      <w:r w:rsidRPr="006A02B0">
        <w:rPr>
          <w:rFonts w:eastAsia="Malgun Gothic"/>
          <w:bCs/>
          <w:lang w:val="fr-FR"/>
        </w:rPr>
        <w:t>satisfa</w:t>
      </w:r>
      <w:r>
        <w:rPr>
          <w:rFonts w:eastAsia="Malgun Gothic"/>
          <w:bCs/>
          <w:lang w:val="fr-FR"/>
        </w:rPr>
        <w:t>isantes avaient été données à toutes les questions. Elle soutenait donc l</w:t>
      </w:r>
      <w:r w:rsidR="00923E72">
        <w:rPr>
          <w:rFonts w:eastAsia="Malgun Gothic"/>
          <w:bCs/>
          <w:lang w:val="fr-FR"/>
        </w:rPr>
        <w:t>’</w:t>
      </w:r>
      <w:r w:rsidRPr="006A02B0">
        <w:rPr>
          <w:rFonts w:eastAsia="Malgun Gothic"/>
          <w:bCs/>
          <w:lang w:val="fr-FR"/>
        </w:rPr>
        <w:t>inscription</w:t>
      </w:r>
      <w:r>
        <w:rPr>
          <w:rFonts w:eastAsia="Malgun Gothic"/>
          <w:bCs/>
          <w:lang w:val="fr-FR"/>
        </w:rPr>
        <w:t xml:space="preserve"> de l</w:t>
      </w:r>
      <w:r w:rsidR="00923E72">
        <w:rPr>
          <w:rFonts w:eastAsia="Malgun Gothic"/>
          <w:bCs/>
          <w:lang w:val="fr-FR"/>
        </w:rPr>
        <w:t>’</w:t>
      </w:r>
      <w:r>
        <w:rPr>
          <w:rFonts w:eastAsia="Malgun Gothic"/>
          <w:bCs/>
          <w:lang w:val="fr-FR"/>
        </w:rPr>
        <w:t xml:space="preserve">élément. </w:t>
      </w:r>
    </w:p>
    <w:p w14:paraId="6EA97E70" w14:textId="3DA11D91" w:rsidR="006A1292" w:rsidRDefault="006A1292"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A1292">
        <w:rPr>
          <w:rFonts w:eastAsia="Malgun Gothic"/>
          <w:bCs/>
          <w:lang w:val="fr-FR"/>
        </w:rPr>
        <w:t xml:space="preserve">La délégation du </w:t>
      </w:r>
      <w:r w:rsidRPr="00702497">
        <w:rPr>
          <w:rFonts w:eastAsia="Malgun Gothic"/>
          <w:b/>
          <w:lang w:val="fr-FR"/>
        </w:rPr>
        <w:t>Maroc</w:t>
      </w:r>
      <w:r w:rsidRPr="006A1292">
        <w:rPr>
          <w:rFonts w:eastAsia="Malgun Gothic"/>
          <w:bCs/>
          <w:lang w:val="fr-FR"/>
        </w:rPr>
        <w:t xml:space="preserve"> souscrivait pleinement aux arguments présentés par le Paraguay et soutenait résolument son amendement. Le Guatemala avait présenté un dossier de candidature d</w:t>
      </w:r>
      <w:r w:rsidR="00923E72">
        <w:rPr>
          <w:rFonts w:eastAsia="Malgun Gothic"/>
          <w:bCs/>
          <w:lang w:val="fr-FR"/>
        </w:rPr>
        <w:t>’</w:t>
      </w:r>
      <w:r w:rsidRPr="006A1292">
        <w:rPr>
          <w:rFonts w:eastAsia="Malgun Gothic"/>
          <w:bCs/>
          <w:lang w:val="fr-FR"/>
        </w:rPr>
        <w:t>un élément considéré comme un marqueur de son identité culturelle, la Semaine sainte au Guatemala étant</w:t>
      </w:r>
      <w:r>
        <w:rPr>
          <w:rFonts w:eastAsia="Malgun Gothic"/>
          <w:bCs/>
          <w:lang w:val="fr-FR"/>
        </w:rPr>
        <w:t xml:space="preserve"> </w:t>
      </w:r>
      <w:r w:rsidRPr="006A1292">
        <w:rPr>
          <w:rFonts w:eastAsia="Malgun Gothic"/>
          <w:bCs/>
          <w:lang w:val="fr-FR"/>
        </w:rPr>
        <w:t>un événement religieux et culturel séculaire</w:t>
      </w:r>
      <w:r>
        <w:rPr>
          <w:rFonts w:eastAsia="Malgun Gothic"/>
          <w:bCs/>
          <w:lang w:val="fr-FR"/>
        </w:rPr>
        <w:t>,</w:t>
      </w:r>
      <w:r w:rsidRPr="006A1292">
        <w:rPr>
          <w:rFonts w:eastAsia="Malgun Gothic"/>
          <w:bCs/>
          <w:lang w:val="fr-FR"/>
        </w:rPr>
        <w:t xml:space="preserve"> représent</w:t>
      </w:r>
      <w:r>
        <w:rPr>
          <w:rFonts w:eastAsia="Malgun Gothic"/>
          <w:bCs/>
          <w:lang w:val="fr-FR"/>
        </w:rPr>
        <w:t>atif de</w:t>
      </w:r>
      <w:r w:rsidRPr="006A1292">
        <w:rPr>
          <w:rFonts w:eastAsia="Malgun Gothic"/>
          <w:bCs/>
          <w:lang w:val="fr-FR"/>
        </w:rPr>
        <w:t xml:space="preserve"> la diversité du pays. Le Guatemala avait soumis un dossier techniquement bien présenté. Les informations transmises au Comité par l</w:t>
      </w:r>
      <w:r w:rsidR="00923E72">
        <w:rPr>
          <w:rFonts w:eastAsia="Malgun Gothic"/>
          <w:bCs/>
          <w:lang w:val="fr-FR"/>
        </w:rPr>
        <w:t>’</w:t>
      </w:r>
      <w:r w:rsidRPr="006A1292">
        <w:rPr>
          <w:rFonts w:eastAsia="Malgun Gothic"/>
          <w:bCs/>
          <w:lang w:val="fr-FR"/>
        </w:rPr>
        <w:t>État soumissionnaire satisfaisaient suffisamment aux critères</w:t>
      </w:r>
      <w:r>
        <w:rPr>
          <w:rFonts w:eastAsia="Malgun Gothic"/>
          <w:bCs/>
          <w:lang w:val="fr-FR"/>
        </w:rPr>
        <w:t> </w:t>
      </w:r>
      <w:r w:rsidRPr="006A1292">
        <w:rPr>
          <w:rFonts w:eastAsia="Malgun Gothic"/>
          <w:bCs/>
          <w:lang w:val="fr-FR"/>
        </w:rPr>
        <w:t>R.1,</w:t>
      </w:r>
      <w:r>
        <w:rPr>
          <w:rFonts w:eastAsia="Malgun Gothic"/>
          <w:bCs/>
          <w:lang w:val="fr-FR"/>
        </w:rPr>
        <w:t> </w:t>
      </w:r>
      <w:r w:rsidRPr="006A1292">
        <w:rPr>
          <w:rFonts w:eastAsia="Malgun Gothic"/>
          <w:bCs/>
          <w:lang w:val="fr-FR"/>
        </w:rPr>
        <w:t>R.3 et</w:t>
      </w:r>
      <w:r>
        <w:rPr>
          <w:rFonts w:eastAsia="Malgun Gothic"/>
          <w:bCs/>
          <w:lang w:val="fr-FR"/>
        </w:rPr>
        <w:t> </w:t>
      </w:r>
      <w:r w:rsidRPr="006A1292">
        <w:rPr>
          <w:rFonts w:eastAsia="Malgun Gothic"/>
          <w:bCs/>
          <w:lang w:val="fr-FR"/>
        </w:rPr>
        <w:t xml:space="preserve">R.5. Le dossier </w:t>
      </w:r>
      <w:r w:rsidR="00343866">
        <w:rPr>
          <w:rFonts w:eastAsia="Malgun Gothic"/>
          <w:bCs/>
          <w:lang w:val="fr-FR"/>
        </w:rPr>
        <w:t xml:space="preserve">présentait </w:t>
      </w:r>
      <w:r w:rsidRPr="006A1292">
        <w:rPr>
          <w:rFonts w:eastAsia="Malgun Gothic"/>
          <w:bCs/>
          <w:lang w:val="fr-FR"/>
        </w:rPr>
        <w:t>des informations sur la manière dont l</w:t>
      </w:r>
      <w:r w:rsidR="00923E72">
        <w:rPr>
          <w:rFonts w:eastAsia="Malgun Gothic"/>
          <w:bCs/>
          <w:lang w:val="fr-FR"/>
        </w:rPr>
        <w:t>’</w:t>
      </w:r>
      <w:r w:rsidRPr="006A1292">
        <w:rPr>
          <w:rFonts w:eastAsia="Malgun Gothic"/>
          <w:bCs/>
          <w:lang w:val="fr-FR"/>
        </w:rPr>
        <w:t>inscription améliorerait la visibilité</w:t>
      </w:r>
      <w:r w:rsidR="00343866">
        <w:rPr>
          <w:rFonts w:eastAsia="Malgun Gothic"/>
          <w:bCs/>
          <w:lang w:val="fr-FR"/>
        </w:rPr>
        <w:t xml:space="preserve"> </w:t>
      </w:r>
      <w:r w:rsidR="0051482E">
        <w:rPr>
          <w:rFonts w:eastAsia="Malgun Gothic"/>
          <w:bCs/>
          <w:lang w:val="fr-FR"/>
        </w:rPr>
        <w:t xml:space="preserve">et la </w:t>
      </w:r>
      <w:r w:rsidR="00343866">
        <w:rPr>
          <w:rFonts w:eastAsia="Malgun Gothic"/>
          <w:bCs/>
          <w:iCs/>
          <w:lang w:val="fr-FR"/>
        </w:rPr>
        <w:t xml:space="preserve">prise de </w:t>
      </w:r>
      <w:r w:rsidR="00343866" w:rsidRPr="00343866">
        <w:rPr>
          <w:rFonts w:eastAsia="Malgun Gothic"/>
          <w:bCs/>
          <w:iCs/>
          <w:lang w:val="fr-FR"/>
        </w:rPr>
        <w:t>conscience</w:t>
      </w:r>
      <w:r w:rsidR="00343866">
        <w:rPr>
          <w:rFonts w:eastAsia="Malgun Gothic"/>
          <w:bCs/>
          <w:iCs/>
          <w:lang w:val="fr-FR"/>
        </w:rPr>
        <w:t xml:space="preserve"> du patrimoine culturel immatériel</w:t>
      </w:r>
      <w:r w:rsidRPr="006A1292">
        <w:rPr>
          <w:rFonts w:eastAsia="Malgun Gothic"/>
          <w:bCs/>
          <w:lang w:val="fr-FR"/>
        </w:rPr>
        <w:t xml:space="preserve">. En outre, le dossier expliquait de façon </w:t>
      </w:r>
      <w:r w:rsidRPr="006A1292">
        <w:rPr>
          <w:rFonts w:eastAsia="Malgun Gothic"/>
          <w:bCs/>
          <w:lang w:val="fr-FR"/>
        </w:rPr>
        <w:lastRenderedPageBreak/>
        <w:t>détaillée comment les communautés avaient participé à l</w:t>
      </w:r>
      <w:r w:rsidR="00923E72">
        <w:rPr>
          <w:rFonts w:eastAsia="Malgun Gothic"/>
          <w:bCs/>
          <w:lang w:val="fr-FR"/>
        </w:rPr>
        <w:t>’</w:t>
      </w:r>
      <w:r w:rsidRPr="006A1292">
        <w:rPr>
          <w:rFonts w:eastAsia="Malgun Gothic"/>
          <w:bCs/>
          <w:lang w:val="fr-FR"/>
        </w:rPr>
        <w:t>élaboration des mesures proposées. Le dossier expliquait également que l</w:t>
      </w:r>
      <w:r w:rsidR="00923E72">
        <w:rPr>
          <w:rFonts w:eastAsia="Malgun Gothic"/>
          <w:bCs/>
          <w:lang w:val="fr-FR"/>
        </w:rPr>
        <w:t>’</w:t>
      </w:r>
      <w:r w:rsidRPr="006A1292">
        <w:rPr>
          <w:rFonts w:eastAsia="Malgun Gothic"/>
          <w:bCs/>
          <w:lang w:val="fr-FR"/>
        </w:rPr>
        <w:t>élément est inclus dans l</w:t>
      </w:r>
      <w:r w:rsidR="00923E72">
        <w:rPr>
          <w:rFonts w:eastAsia="Malgun Gothic"/>
          <w:bCs/>
          <w:lang w:val="fr-FR"/>
        </w:rPr>
        <w:t>’</w:t>
      </w:r>
      <w:r w:rsidRPr="006A1292">
        <w:rPr>
          <w:rFonts w:eastAsia="Malgun Gothic"/>
          <w:bCs/>
          <w:lang w:val="fr-FR"/>
        </w:rPr>
        <w:t>inventaire national du patrimoine culturel immatériel</w:t>
      </w:r>
      <w:r>
        <w:rPr>
          <w:rFonts w:eastAsia="Malgun Gothic"/>
          <w:bCs/>
          <w:lang w:val="fr-FR"/>
        </w:rPr>
        <w:t>,</w:t>
      </w:r>
      <w:r w:rsidRPr="006A1292">
        <w:rPr>
          <w:rFonts w:eastAsia="Malgun Gothic"/>
          <w:bCs/>
          <w:lang w:val="fr-FR"/>
        </w:rPr>
        <w:t xml:space="preserve"> administré par le ministère de la Culture du Guatemala. La délégation a rappelé au Comité que les débats autour de ce dossier étaient suivis avec beaucoup d</w:t>
      </w:r>
      <w:r w:rsidR="00923E72">
        <w:rPr>
          <w:rFonts w:eastAsia="Malgun Gothic"/>
          <w:bCs/>
          <w:lang w:val="fr-FR"/>
        </w:rPr>
        <w:t>’</w:t>
      </w:r>
      <w:r w:rsidRPr="006A1292">
        <w:rPr>
          <w:rFonts w:eastAsia="Malgun Gothic"/>
          <w:bCs/>
          <w:lang w:val="fr-FR"/>
        </w:rPr>
        <w:t>intérêt par les communautés concernées, les détenteurs et les praticiens au Guatemala. Pour ces raisons, et suite aux éclaircissements apportés par l</w:t>
      </w:r>
      <w:r w:rsidR="00923E72">
        <w:rPr>
          <w:rFonts w:eastAsia="Malgun Gothic"/>
          <w:bCs/>
          <w:lang w:val="fr-FR"/>
        </w:rPr>
        <w:t>’</w:t>
      </w:r>
      <w:r w:rsidRPr="006A1292">
        <w:rPr>
          <w:rFonts w:eastAsia="Malgun Gothic"/>
          <w:bCs/>
          <w:lang w:val="fr-FR"/>
        </w:rPr>
        <w:t>État partie, la délégation soutenait l</w:t>
      </w:r>
      <w:r w:rsidR="00923E72">
        <w:rPr>
          <w:rFonts w:eastAsia="Malgun Gothic"/>
          <w:bCs/>
          <w:lang w:val="fr-FR"/>
        </w:rPr>
        <w:t>’</w:t>
      </w:r>
      <w:r w:rsidRPr="006A1292">
        <w:rPr>
          <w:rFonts w:eastAsia="Malgun Gothic"/>
          <w:bCs/>
          <w:lang w:val="fr-FR"/>
        </w:rPr>
        <w:t>inscription de l</w:t>
      </w:r>
      <w:r w:rsidR="00923E72">
        <w:rPr>
          <w:rFonts w:eastAsia="Malgun Gothic"/>
          <w:bCs/>
          <w:lang w:val="fr-FR"/>
        </w:rPr>
        <w:t>’</w:t>
      </w:r>
      <w:r w:rsidRPr="006A1292">
        <w:rPr>
          <w:rFonts w:eastAsia="Malgun Gothic"/>
          <w:bCs/>
          <w:lang w:val="fr-FR"/>
        </w:rPr>
        <w:t>élément.</w:t>
      </w:r>
    </w:p>
    <w:p w14:paraId="004C2E35" w14:textId="1CE987B4" w:rsidR="006A1292" w:rsidRDefault="006A1292"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A1292">
        <w:rPr>
          <w:rFonts w:eastAsia="Malgun Gothic"/>
          <w:bCs/>
          <w:lang w:val="fr-FR"/>
        </w:rPr>
        <w:t>La délégation de l</w:t>
      </w:r>
      <w:r w:rsidR="00923E72">
        <w:rPr>
          <w:rFonts w:eastAsia="Malgun Gothic"/>
          <w:bCs/>
          <w:lang w:val="fr-FR"/>
        </w:rPr>
        <w:t>’</w:t>
      </w:r>
      <w:r w:rsidRPr="00702497">
        <w:rPr>
          <w:rFonts w:eastAsia="Malgun Gothic"/>
          <w:b/>
          <w:lang w:val="fr-FR"/>
        </w:rPr>
        <w:t>Éthiopie</w:t>
      </w:r>
      <w:r w:rsidRPr="006A1292">
        <w:rPr>
          <w:rFonts w:eastAsia="Malgun Gothic"/>
          <w:bCs/>
          <w:lang w:val="fr-FR"/>
        </w:rPr>
        <w:t xml:space="preserve"> a expliqué </w:t>
      </w:r>
      <w:r>
        <w:rPr>
          <w:rFonts w:eastAsia="Malgun Gothic"/>
          <w:bCs/>
          <w:lang w:val="fr-FR"/>
        </w:rPr>
        <w:t xml:space="preserve">que </w:t>
      </w:r>
      <w:r w:rsidRPr="006A1292">
        <w:rPr>
          <w:rFonts w:eastAsia="Malgun Gothic"/>
          <w:bCs/>
          <w:lang w:val="fr-FR"/>
        </w:rPr>
        <w:t xml:space="preserve">certains points du dossier </w:t>
      </w:r>
      <w:r w:rsidR="00524833">
        <w:rPr>
          <w:rFonts w:eastAsia="Malgun Gothic"/>
          <w:bCs/>
          <w:lang w:val="fr-FR"/>
        </w:rPr>
        <w:t xml:space="preserve">abordés </w:t>
      </w:r>
      <w:r w:rsidRPr="006A1292">
        <w:rPr>
          <w:rFonts w:eastAsia="Malgun Gothic"/>
          <w:bCs/>
          <w:lang w:val="fr-FR"/>
        </w:rPr>
        <w:t xml:space="preserve">par le Comité et </w:t>
      </w:r>
      <w:r>
        <w:rPr>
          <w:rFonts w:eastAsia="Malgun Gothic"/>
          <w:bCs/>
          <w:lang w:val="fr-FR"/>
        </w:rPr>
        <w:t>l</w:t>
      </w:r>
      <w:r w:rsidRPr="006A1292">
        <w:rPr>
          <w:rFonts w:eastAsia="Malgun Gothic"/>
          <w:bCs/>
          <w:lang w:val="fr-FR"/>
        </w:rPr>
        <w:t>eur lien avec la Convention</w:t>
      </w:r>
      <w:r>
        <w:rPr>
          <w:rFonts w:eastAsia="Malgun Gothic"/>
          <w:bCs/>
          <w:lang w:val="fr-FR"/>
        </w:rPr>
        <w:t xml:space="preserve"> avaient suscité des inquiétudes</w:t>
      </w:r>
      <w:r w:rsidRPr="006A1292">
        <w:rPr>
          <w:rFonts w:eastAsia="Malgun Gothic"/>
          <w:bCs/>
          <w:lang w:val="fr-FR"/>
        </w:rPr>
        <w:t>. Les questions du tourisme, de la fréquence du processus d</w:t>
      </w:r>
      <w:r w:rsidR="00923E72">
        <w:rPr>
          <w:rFonts w:eastAsia="Malgun Gothic"/>
          <w:bCs/>
          <w:lang w:val="fr-FR"/>
        </w:rPr>
        <w:t>’</w:t>
      </w:r>
      <w:r w:rsidRPr="006A1292">
        <w:rPr>
          <w:rFonts w:eastAsia="Malgun Gothic"/>
          <w:bCs/>
          <w:lang w:val="fr-FR"/>
        </w:rPr>
        <w:t>inventaire et de la participation des communautés (</w:t>
      </w:r>
      <w:r w:rsidR="00343866">
        <w:rPr>
          <w:rFonts w:eastAsia="Malgun Gothic"/>
          <w:bCs/>
          <w:lang w:val="fr-FR"/>
        </w:rPr>
        <w:t xml:space="preserve">pour </w:t>
      </w:r>
      <w:r w:rsidRPr="006A1292">
        <w:rPr>
          <w:rFonts w:eastAsia="Malgun Gothic"/>
          <w:bCs/>
          <w:lang w:val="fr-FR"/>
        </w:rPr>
        <w:t>les critères</w:t>
      </w:r>
      <w:r w:rsidR="00C47E36">
        <w:rPr>
          <w:rFonts w:eastAsia="Malgun Gothic"/>
          <w:bCs/>
          <w:lang w:val="fr-FR"/>
        </w:rPr>
        <w:t> </w:t>
      </w:r>
      <w:r w:rsidRPr="006A1292">
        <w:rPr>
          <w:rFonts w:eastAsia="Malgun Gothic"/>
          <w:bCs/>
          <w:lang w:val="fr-FR"/>
        </w:rPr>
        <w:t>R.2</w:t>
      </w:r>
      <w:r w:rsidR="00343866">
        <w:rPr>
          <w:rFonts w:eastAsia="Malgun Gothic"/>
          <w:bCs/>
          <w:lang w:val="fr-FR"/>
        </w:rPr>
        <w:t xml:space="preserve"> </w:t>
      </w:r>
      <w:r w:rsidRPr="006A1292">
        <w:rPr>
          <w:rFonts w:eastAsia="Malgun Gothic"/>
          <w:bCs/>
          <w:lang w:val="fr-FR"/>
        </w:rPr>
        <w:t>et</w:t>
      </w:r>
      <w:r w:rsidR="00C47E36">
        <w:rPr>
          <w:rFonts w:eastAsia="Malgun Gothic"/>
          <w:bCs/>
          <w:lang w:val="fr-FR"/>
        </w:rPr>
        <w:t> </w:t>
      </w:r>
      <w:r w:rsidRPr="006A1292">
        <w:rPr>
          <w:rFonts w:eastAsia="Malgun Gothic"/>
          <w:bCs/>
          <w:lang w:val="fr-FR"/>
        </w:rPr>
        <w:t>R.5) étaient préoccupantes. Toutefois, l</w:t>
      </w:r>
      <w:r w:rsidR="00923E72">
        <w:rPr>
          <w:rFonts w:eastAsia="Malgun Gothic"/>
          <w:bCs/>
          <w:lang w:val="fr-FR"/>
        </w:rPr>
        <w:t>’</w:t>
      </w:r>
      <w:r w:rsidRPr="006A1292">
        <w:rPr>
          <w:rFonts w:eastAsia="Malgun Gothic"/>
          <w:bCs/>
          <w:lang w:val="fr-FR"/>
        </w:rPr>
        <w:t>Éthiopie était satisfaite des explications détaillées fournies. L</w:t>
      </w:r>
      <w:r w:rsidR="00923E72">
        <w:rPr>
          <w:rFonts w:eastAsia="Malgun Gothic"/>
          <w:bCs/>
          <w:lang w:val="fr-FR"/>
        </w:rPr>
        <w:t>’</w:t>
      </w:r>
      <w:r w:rsidRPr="006A1292">
        <w:rPr>
          <w:rFonts w:eastAsia="Malgun Gothic"/>
          <w:bCs/>
          <w:lang w:val="fr-FR"/>
        </w:rPr>
        <w:t>Éthiopie soutenait donc l</w:t>
      </w:r>
      <w:r w:rsidR="00923E72">
        <w:rPr>
          <w:rFonts w:eastAsia="Malgun Gothic"/>
          <w:bCs/>
          <w:lang w:val="fr-FR"/>
        </w:rPr>
        <w:t>’</w:t>
      </w:r>
      <w:r w:rsidRPr="006A1292">
        <w:rPr>
          <w:rFonts w:eastAsia="Malgun Gothic"/>
          <w:bCs/>
          <w:lang w:val="fr-FR"/>
        </w:rPr>
        <w:t>amendement du Paraguay.</w:t>
      </w:r>
    </w:p>
    <w:p w14:paraId="0E177CC3" w14:textId="4D476BD7" w:rsidR="00C47E36" w:rsidRDefault="00C47E3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47E36">
        <w:rPr>
          <w:rFonts w:eastAsia="Malgun Gothic"/>
          <w:bCs/>
          <w:lang w:val="fr-FR"/>
        </w:rPr>
        <w:t xml:space="preserve">La délégation du </w:t>
      </w:r>
      <w:r w:rsidRPr="00702497">
        <w:rPr>
          <w:rFonts w:eastAsia="Malgun Gothic"/>
          <w:b/>
          <w:lang w:val="fr-FR"/>
        </w:rPr>
        <w:t>Burkina</w:t>
      </w:r>
      <w:r>
        <w:rPr>
          <w:rFonts w:eastAsia="Malgun Gothic"/>
          <w:b/>
          <w:lang w:val="fr-FR"/>
        </w:rPr>
        <w:t> </w:t>
      </w:r>
      <w:r w:rsidRPr="00702497">
        <w:rPr>
          <w:rFonts w:eastAsia="Malgun Gothic"/>
          <w:b/>
          <w:lang w:val="fr-FR"/>
        </w:rPr>
        <w:t>Faso</w:t>
      </w:r>
      <w:r w:rsidRPr="00C47E36">
        <w:rPr>
          <w:rFonts w:eastAsia="Malgun Gothic"/>
          <w:bCs/>
          <w:lang w:val="fr-FR"/>
        </w:rPr>
        <w:t xml:space="preserve"> a noté que l</w:t>
      </w:r>
      <w:r w:rsidR="00923E72">
        <w:rPr>
          <w:rFonts w:eastAsia="Malgun Gothic"/>
          <w:bCs/>
          <w:lang w:val="fr-FR"/>
        </w:rPr>
        <w:t>’</w:t>
      </w:r>
      <w:r w:rsidRPr="00C47E36">
        <w:rPr>
          <w:rFonts w:eastAsia="Malgun Gothic"/>
          <w:bCs/>
          <w:lang w:val="fr-FR"/>
        </w:rPr>
        <w:t>amendement prévoyait que l</w:t>
      </w:r>
      <w:r w:rsidR="00923E72">
        <w:rPr>
          <w:rFonts w:eastAsia="Malgun Gothic"/>
          <w:bCs/>
          <w:lang w:val="fr-FR"/>
        </w:rPr>
        <w:t>’</w:t>
      </w:r>
      <w:r w:rsidRPr="00C47E36">
        <w:rPr>
          <w:rFonts w:eastAsia="Malgun Gothic"/>
          <w:bCs/>
          <w:lang w:val="fr-FR"/>
        </w:rPr>
        <w:t>inscription de l</w:t>
      </w:r>
      <w:r w:rsidR="00923E72">
        <w:rPr>
          <w:rFonts w:eastAsia="Malgun Gothic"/>
          <w:bCs/>
          <w:lang w:val="fr-FR"/>
        </w:rPr>
        <w:t>’</w:t>
      </w:r>
      <w:r w:rsidRPr="00C47E36">
        <w:rPr>
          <w:rFonts w:eastAsia="Malgun Gothic"/>
          <w:bCs/>
          <w:lang w:val="fr-FR"/>
        </w:rPr>
        <w:t>élément serait l</w:t>
      </w:r>
      <w:r w:rsidR="00923E72">
        <w:rPr>
          <w:rFonts w:eastAsia="Malgun Gothic"/>
          <w:bCs/>
          <w:lang w:val="fr-FR"/>
        </w:rPr>
        <w:t>’</w:t>
      </w:r>
      <w:r w:rsidRPr="00C47E36">
        <w:rPr>
          <w:rFonts w:eastAsia="Malgun Gothic"/>
          <w:bCs/>
          <w:lang w:val="fr-FR"/>
        </w:rPr>
        <w:t xml:space="preserve">occasion de réunir </w:t>
      </w:r>
      <w:r>
        <w:rPr>
          <w:rFonts w:eastAsia="Malgun Gothic"/>
          <w:bCs/>
          <w:lang w:val="fr-FR"/>
        </w:rPr>
        <w:t xml:space="preserve">les </w:t>
      </w:r>
      <w:r w:rsidRPr="00C47E36">
        <w:rPr>
          <w:rFonts w:eastAsia="Malgun Gothic"/>
          <w:bCs/>
          <w:lang w:val="fr-FR"/>
        </w:rPr>
        <w:t>vingt</w:t>
      </w:r>
      <w:r w:rsidR="007032A7">
        <w:rPr>
          <w:rFonts w:eastAsia="Malgun Gothic"/>
          <w:bCs/>
          <w:lang w:val="fr-FR"/>
        </w:rPr>
        <w:noBreakHyphen/>
      </w:r>
      <w:r w:rsidRPr="00C47E36">
        <w:rPr>
          <w:rFonts w:eastAsia="Malgun Gothic"/>
          <w:bCs/>
          <w:lang w:val="fr-FR"/>
        </w:rPr>
        <w:t xml:space="preserve">deux </w:t>
      </w:r>
      <w:r>
        <w:rPr>
          <w:rFonts w:eastAsia="Malgun Gothic"/>
          <w:bCs/>
          <w:lang w:val="fr-FR"/>
        </w:rPr>
        <w:t xml:space="preserve">départements </w:t>
      </w:r>
      <w:r w:rsidRPr="00C47E36">
        <w:rPr>
          <w:rFonts w:eastAsia="Malgun Gothic"/>
          <w:bCs/>
          <w:lang w:val="fr-FR"/>
        </w:rPr>
        <w:t>et d</w:t>
      </w:r>
      <w:r w:rsidR="00923E72">
        <w:rPr>
          <w:rFonts w:eastAsia="Malgun Gothic"/>
          <w:bCs/>
          <w:lang w:val="fr-FR"/>
        </w:rPr>
        <w:t>’</w:t>
      </w:r>
      <w:r w:rsidRPr="00C47E36">
        <w:rPr>
          <w:rFonts w:eastAsia="Malgun Gothic"/>
          <w:bCs/>
          <w:lang w:val="fr-FR"/>
        </w:rPr>
        <w:t>entamer une discussion sur le patrimoine culturel immatériel au niveau local. Ceci était important car l</w:t>
      </w:r>
      <w:r w:rsidR="00923E72">
        <w:rPr>
          <w:rFonts w:eastAsia="Malgun Gothic"/>
          <w:bCs/>
          <w:lang w:val="fr-FR"/>
        </w:rPr>
        <w:t>’</w:t>
      </w:r>
      <w:r w:rsidRPr="00C47E36">
        <w:rPr>
          <w:rFonts w:eastAsia="Malgun Gothic"/>
          <w:bCs/>
          <w:lang w:val="fr-FR"/>
        </w:rPr>
        <w:t>inscription pouvait faciliter et accélérer le dialogue entre les différentes communautés, les encourageant à s</w:t>
      </w:r>
      <w:r w:rsidR="00923E72">
        <w:rPr>
          <w:rFonts w:eastAsia="Malgun Gothic"/>
          <w:bCs/>
          <w:lang w:val="fr-FR"/>
        </w:rPr>
        <w:t>’</w:t>
      </w:r>
      <w:r w:rsidRPr="00C47E36">
        <w:rPr>
          <w:rFonts w:eastAsia="Malgun Gothic"/>
          <w:bCs/>
          <w:lang w:val="fr-FR"/>
        </w:rPr>
        <w:t>engager dans la sauvegarde de leur patrimoine vivant, y compris les mesures prises aux niveaux national et international, comme décrit par le vice</w:t>
      </w:r>
      <w:r>
        <w:rPr>
          <w:rFonts w:eastAsia="Malgun Gothic"/>
          <w:bCs/>
          <w:lang w:val="fr-FR"/>
        </w:rPr>
        <w:noBreakHyphen/>
      </w:r>
      <w:r w:rsidRPr="00C47E36">
        <w:rPr>
          <w:rFonts w:eastAsia="Malgun Gothic"/>
          <w:bCs/>
          <w:lang w:val="fr-FR"/>
        </w:rPr>
        <w:t>ministre de la Culture et des Sports. L</w:t>
      </w:r>
      <w:r w:rsidR="00923E72">
        <w:rPr>
          <w:rFonts w:eastAsia="Malgun Gothic"/>
          <w:bCs/>
          <w:lang w:val="fr-FR"/>
        </w:rPr>
        <w:t>’</w:t>
      </w:r>
      <w:r w:rsidRPr="00C47E36">
        <w:rPr>
          <w:rFonts w:eastAsia="Malgun Gothic"/>
          <w:bCs/>
          <w:lang w:val="fr-FR"/>
        </w:rPr>
        <w:t>une des mesures de sauvegarde introduites par le nouvel amendement concernait la promotion du savoir-faire par l</w:t>
      </w:r>
      <w:r w:rsidR="00923E72">
        <w:rPr>
          <w:rFonts w:eastAsia="Malgun Gothic"/>
          <w:bCs/>
          <w:lang w:val="fr-FR"/>
        </w:rPr>
        <w:t>’</w:t>
      </w:r>
      <w:r w:rsidRPr="00C47E36">
        <w:rPr>
          <w:rFonts w:eastAsia="Malgun Gothic"/>
          <w:bCs/>
          <w:lang w:val="fr-FR"/>
        </w:rPr>
        <w:t>artisanat. Il était également prévu d</w:t>
      </w:r>
      <w:r w:rsidR="00923E72">
        <w:rPr>
          <w:rFonts w:eastAsia="Malgun Gothic"/>
          <w:bCs/>
          <w:lang w:val="fr-FR"/>
        </w:rPr>
        <w:t>’</w:t>
      </w:r>
      <w:r w:rsidRPr="00C47E36">
        <w:rPr>
          <w:rFonts w:eastAsia="Malgun Gothic"/>
          <w:bCs/>
          <w:lang w:val="fr-FR"/>
        </w:rPr>
        <w:t>associer cet élément à d</w:t>
      </w:r>
      <w:r w:rsidR="00923E72">
        <w:rPr>
          <w:rFonts w:eastAsia="Malgun Gothic"/>
          <w:bCs/>
          <w:lang w:val="fr-FR"/>
        </w:rPr>
        <w:t>’</w:t>
      </w:r>
      <w:r w:rsidRPr="00C47E36">
        <w:rPr>
          <w:rFonts w:eastAsia="Malgun Gothic"/>
          <w:bCs/>
          <w:lang w:val="fr-FR"/>
        </w:rPr>
        <w:t xml:space="preserve">autres manifestations du patrimoine vivant. </w:t>
      </w:r>
      <w:r w:rsidR="007032A7">
        <w:rPr>
          <w:rFonts w:eastAsia="Malgun Gothic"/>
          <w:bCs/>
          <w:lang w:val="fr-FR"/>
        </w:rPr>
        <w:t>L</w:t>
      </w:r>
      <w:r w:rsidRPr="00C47E36">
        <w:rPr>
          <w:rFonts w:eastAsia="Malgun Gothic"/>
          <w:bCs/>
          <w:lang w:val="fr-FR"/>
        </w:rPr>
        <w:t>a création de disciplines au niveau académique pour la restauration du patrimoine culturel mobilier, évidemment associé à la mise en œuvre de l</w:t>
      </w:r>
      <w:r w:rsidR="00923E72">
        <w:rPr>
          <w:rFonts w:eastAsia="Malgun Gothic"/>
          <w:bCs/>
          <w:lang w:val="fr-FR"/>
        </w:rPr>
        <w:t>’</w:t>
      </w:r>
      <w:r w:rsidRPr="00C47E36">
        <w:rPr>
          <w:rFonts w:eastAsia="Malgun Gothic"/>
          <w:bCs/>
          <w:lang w:val="fr-FR"/>
        </w:rPr>
        <w:t>élément</w:t>
      </w:r>
      <w:r w:rsidR="007032A7">
        <w:rPr>
          <w:rFonts w:eastAsia="Malgun Gothic"/>
          <w:bCs/>
          <w:lang w:val="fr-FR"/>
        </w:rPr>
        <w:t>, semblait très intéressante.</w:t>
      </w:r>
      <w:r w:rsidRPr="00C47E36">
        <w:rPr>
          <w:rFonts w:eastAsia="Malgun Gothic"/>
          <w:bCs/>
          <w:lang w:val="fr-FR"/>
        </w:rPr>
        <w:t xml:space="preserve"> L</w:t>
      </w:r>
      <w:r w:rsidR="00923E72">
        <w:rPr>
          <w:rFonts w:eastAsia="Malgun Gothic"/>
          <w:bCs/>
          <w:lang w:val="fr-FR"/>
        </w:rPr>
        <w:t>’</w:t>
      </w:r>
      <w:r w:rsidRPr="00C47E36">
        <w:rPr>
          <w:rFonts w:eastAsia="Malgun Gothic"/>
          <w:bCs/>
          <w:lang w:val="fr-FR"/>
        </w:rPr>
        <w:t>inscription de l</w:t>
      </w:r>
      <w:r w:rsidR="00923E72">
        <w:rPr>
          <w:rFonts w:eastAsia="Malgun Gothic"/>
          <w:bCs/>
          <w:lang w:val="fr-FR"/>
        </w:rPr>
        <w:t>’</w:t>
      </w:r>
      <w:r w:rsidRPr="00C47E36">
        <w:rPr>
          <w:rFonts w:eastAsia="Malgun Gothic"/>
          <w:bCs/>
          <w:lang w:val="fr-FR"/>
        </w:rPr>
        <w:t>élément dans un inventaire national ainsi que la périodicité de la mise à jour seraient également reprises dans le dossier par le biais de cet amendement. La délégation a donc demandé au Comité de reconsidérer les critères d</w:t>
      </w:r>
      <w:r w:rsidR="00923E72">
        <w:rPr>
          <w:rFonts w:eastAsia="Malgun Gothic"/>
          <w:bCs/>
          <w:lang w:val="fr-FR"/>
        </w:rPr>
        <w:t>’</w:t>
      </w:r>
      <w:r w:rsidRPr="00C47E36">
        <w:rPr>
          <w:rFonts w:eastAsia="Malgun Gothic"/>
          <w:bCs/>
          <w:lang w:val="fr-FR"/>
        </w:rPr>
        <w:t>inscription de l</w:t>
      </w:r>
      <w:r w:rsidR="00923E72">
        <w:rPr>
          <w:rFonts w:eastAsia="Malgun Gothic"/>
          <w:bCs/>
          <w:lang w:val="fr-FR"/>
        </w:rPr>
        <w:t>’</w:t>
      </w:r>
      <w:r w:rsidRPr="00C47E36">
        <w:rPr>
          <w:rFonts w:eastAsia="Malgun Gothic"/>
          <w:bCs/>
          <w:lang w:val="fr-FR"/>
        </w:rPr>
        <w:t>élément.</w:t>
      </w:r>
    </w:p>
    <w:p w14:paraId="79449CB2" w14:textId="7B536C55" w:rsidR="00F10E4D" w:rsidRDefault="00F10E4D"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F10E4D">
        <w:rPr>
          <w:rFonts w:eastAsia="Malgun Gothic"/>
          <w:bCs/>
          <w:lang w:val="fr-FR"/>
        </w:rPr>
        <w:t xml:space="preserve">La délégation de la </w:t>
      </w:r>
      <w:r w:rsidRPr="00702497">
        <w:rPr>
          <w:rFonts w:eastAsia="Malgun Gothic"/>
          <w:b/>
          <w:lang w:val="fr-FR"/>
        </w:rPr>
        <w:t>Slovaquie</w:t>
      </w:r>
      <w:r w:rsidRPr="00F10E4D">
        <w:rPr>
          <w:rFonts w:eastAsia="Malgun Gothic"/>
          <w:bCs/>
          <w:lang w:val="fr-FR"/>
        </w:rPr>
        <w:t xml:space="preserve"> respectait et reconnaissait au plus haut titre la valeur culturelle et l</w:t>
      </w:r>
      <w:r w:rsidR="00923E72">
        <w:rPr>
          <w:rFonts w:eastAsia="Malgun Gothic"/>
          <w:bCs/>
          <w:lang w:val="fr-FR"/>
        </w:rPr>
        <w:t>’</w:t>
      </w:r>
      <w:r w:rsidRPr="00F10E4D">
        <w:rPr>
          <w:rFonts w:eastAsia="Malgun Gothic"/>
          <w:bCs/>
          <w:lang w:val="fr-FR"/>
        </w:rPr>
        <w:t>importance de l</w:t>
      </w:r>
      <w:r w:rsidR="00923E72">
        <w:rPr>
          <w:rFonts w:eastAsia="Malgun Gothic"/>
          <w:bCs/>
          <w:lang w:val="fr-FR"/>
        </w:rPr>
        <w:t>’</w:t>
      </w:r>
      <w:r w:rsidRPr="00F10E4D">
        <w:rPr>
          <w:rFonts w:eastAsia="Malgun Gothic"/>
          <w:bCs/>
          <w:lang w:val="fr-FR"/>
        </w:rPr>
        <w:t>élément pour le Guatemala, ses communautés ainsi que pour l</w:t>
      </w:r>
      <w:r w:rsidR="00923E72">
        <w:rPr>
          <w:rFonts w:eastAsia="Malgun Gothic"/>
          <w:bCs/>
          <w:lang w:val="fr-FR"/>
        </w:rPr>
        <w:t>’</w:t>
      </w:r>
      <w:r w:rsidRPr="00F10E4D">
        <w:rPr>
          <w:rFonts w:eastAsia="Malgun Gothic"/>
          <w:bCs/>
          <w:lang w:val="fr-FR"/>
        </w:rPr>
        <w:t>ensemble de l</w:t>
      </w:r>
      <w:r w:rsidR="00923E72">
        <w:rPr>
          <w:rFonts w:eastAsia="Malgun Gothic"/>
          <w:bCs/>
          <w:lang w:val="fr-FR"/>
        </w:rPr>
        <w:t>’</w:t>
      </w:r>
      <w:r w:rsidRPr="00F10E4D">
        <w:rPr>
          <w:rFonts w:eastAsia="Malgun Gothic"/>
          <w:bCs/>
          <w:lang w:val="fr-FR"/>
        </w:rPr>
        <w:t>humanité au sens de la Convention. Elle a remercié le Guatemala pour les éclaircissements apportés. Le dossier ne satisfaisait pas à trois des cinq critères, et l</w:t>
      </w:r>
      <w:r w:rsidR="00923E72">
        <w:rPr>
          <w:rFonts w:eastAsia="Malgun Gothic"/>
          <w:bCs/>
          <w:lang w:val="fr-FR"/>
        </w:rPr>
        <w:t>’</w:t>
      </w:r>
      <w:r w:rsidRPr="00F10E4D">
        <w:rPr>
          <w:rFonts w:eastAsia="Malgun Gothic"/>
          <w:bCs/>
          <w:lang w:val="fr-FR"/>
        </w:rPr>
        <w:t>accord de travail avait déjà été évoqué. Le Comité devait désormais aller de l</w:t>
      </w:r>
      <w:r w:rsidR="00923E72">
        <w:rPr>
          <w:rFonts w:eastAsia="Malgun Gothic"/>
          <w:bCs/>
          <w:lang w:val="fr-FR"/>
        </w:rPr>
        <w:t>’</w:t>
      </w:r>
      <w:r w:rsidRPr="00F10E4D">
        <w:rPr>
          <w:rFonts w:eastAsia="Malgun Gothic"/>
          <w:bCs/>
          <w:lang w:val="fr-FR"/>
        </w:rPr>
        <w:t>avant afin d</w:t>
      </w:r>
      <w:r w:rsidR="00923E72">
        <w:rPr>
          <w:rFonts w:eastAsia="Malgun Gothic"/>
          <w:bCs/>
          <w:lang w:val="fr-FR"/>
        </w:rPr>
        <w:t>’</w:t>
      </w:r>
      <w:r w:rsidRPr="00F10E4D">
        <w:rPr>
          <w:rFonts w:eastAsia="Malgun Gothic"/>
          <w:bCs/>
          <w:lang w:val="fr-FR"/>
        </w:rPr>
        <w:t>améliorer ses méthodes de travail. Une fois de plus, la question de l</w:t>
      </w:r>
      <w:r w:rsidR="00923E72">
        <w:rPr>
          <w:rFonts w:eastAsia="Malgun Gothic"/>
          <w:bCs/>
          <w:lang w:val="fr-FR"/>
        </w:rPr>
        <w:t>’</w:t>
      </w:r>
      <w:r w:rsidRPr="00F10E4D">
        <w:rPr>
          <w:rFonts w:eastAsia="Malgun Gothic"/>
          <w:bCs/>
          <w:lang w:val="fr-FR"/>
        </w:rPr>
        <w:t>utilisation du processus de dialogue était soulevée. La délégation comprenait que le processus de dialogue, par exemple sur le critère</w:t>
      </w:r>
      <w:r w:rsidR="007032A7">
        <w:rPr>
          <w:rFonts w:eastAsia="Malgun Gothic"/>
          <w:bCs/>
          <w:lang w:val="fr-FR"/>
        </w:rPr>
        <w:t> </w:t>
      </w:r>
      <w:r w:rsidRPr="00F10E4D">
        <w:rPr>
          <w:rFonts w:eastAsia="Malgun Gothic"/>
          <w:bCs/>
          <w:lang w:val="fr-FR"/>
        </w:rPr>
        <w:t>R.5, aurait pu clarifier la question de la mise à jour de l</w:t>
      </w:r>
      <w:r w:rsidR="00923E72">
        <w:rPr>
          <w:rFonts w:eastAsia="Malgun Gothic"/>
          <w:bCs/>
          <w:lang w:val="fr-FR"/>
        </w:rPr>
        <w:t>’</w:t>
      </w:r>
      <w:r w:rsidRPr="00F10E4D">
        <w:rPr>
          <w:rFonts w:eastAsia="Malgun Gothic"/>
          <w:bCs/>
          <w:lang w:val="fr-FR"/>
        </w:rPr>
        <w:t>inventaire. Elle estimait qu</w:t>
      </w:r>
      <w:r w:rsidR="00923E72">
        <w:rPr>
          <w:rFonts w:eastAsia="Malgun Gothic"/>
          <w:bCs/>
          <w:lang w:val="fr-FR"/>
        </w:rPr>
        <w:t>’</w:t>
      </w:r>
      <w:r w:rsidRPr="00F10E4D">
        <w:rPr>
          <w:rFonts w:eastAsia="Malgun Gothic"/>
          <w:bCs/>
          <w:lang w:val="fr-FR"/>
        </w:rPr>
        <w:t>une discussion plus approfondie sur l</w:t>
      </w:r>
      <w:r w:rsidR="00923E72">
        <w:rPr>
          <w:rFonts w:eastAsia="Malgun Gothic"/>
          <w:bCs/>
          <w:lang w:val="fr-FR"/>
        </w:rPr>
        <w:t>’</w:t>
      </w:r>
      <w:r w:rsidRPr="00F10E4D">
        <w:rPr>
          <w:rFonts w:eastAsia="Malgun Gothic"/>
          <w:bCs/>
          <w:lang w:val="fr-FR"/>
        </w:rPr>
        <w:t>utilisation du processus de dialogue, peut-être en élargissant les conditions dans lesquelles il pouvait être utilisé, rendrait le processus encore plus inclusif. Le Comité pourrait également envisager d</w:t>
      </w:r>
      <w:r w:rsidR="00923E72">
        <w:rPr>
          <w:rFonts w:eastAsia="Malgun Gothic"/>
          <w:bCs/>
          <w:lang w:val="fr-FR"/>
        </w:rPr>
        <w:t>’</w:t>
      </w:r>
      <w:r w:rsidRPr="00F10E4D">
        <w:rPr>
          <w:rFonts w:eastAsia="Malgun Gothic"/>
          <w:bCs/>
          <w:lang w:val="fr-FR"/>
        </w:rPr>
        <w:t>autres mesures pour améliorer la soumission des informations, tout en tenant compte des capacités de l</w:t>
      </w:r>
      <w:r w:rsidR="00923E72">
        <w:rPr>
          <w:rFonts w:eastAsia="Malgun Gothic"/>
          <w:bCs/>
          <w:lang w:val="fr-FR"/>
        </w:rPr>
        <w:t>’</w:t>
      </w:r>
      <w:r w:rsidRPr="00F10E4D">
        <w:rPr>
          <w:rFonts w:eastAsia="Malgun Gothic"/>
          <w:bCs/>
          <w:lang w:val="fr-FR"/>
        </w:rPr>
        <w:t>Organe d</w:t>
      </w:r>
      <w:r w:rsidR="00923E72">
        <w:rPr>
          <w:rFonts w:eastAsia="Malgun Gothic"/>
          <w:bCs/>
          <w:lang w:val="fr-FR"/>
        </w:rPr>
        <w:t>’</w:t>
      </w:r>
      <w:r w:rsidRPr="00F10E4D">
        <w:rPr>
          <w:rFonts w:eastAsia="Malgun Gothic"/>
          <w:bCs/>
          <w:lang w:val="fr-FR"/>
        </w:rPr>
        <w:t>évaluation et du Secrétariat. La délégation a demandé à l</w:t>
      </w:r>
      <w:r w:rsidR="00923E72">
        <w:rPr>
          <w:rFonts w:eastAsia="Malgun Gothic"/>
          <w:bCs/>
          <w:lang w:val="fr-FR"/>
        </w:rPr>
        <w:t>’</w:t>
      </w:r>
      <w:r w:rsidRPr="00F10E4D">
        <w:rPr>
          <w:rFonts w:eastAsia="Malgun Gothic"/>
          <w:bCs/>
          <w:lang w:val="fr-FR"/>
        </w:rPr>
        <w:t>Organe d</w:t>
      </w:r>
      <w:r w:rsidR="00923E72">
        <w:rPr>
          <w:rFonts w:eastAsia="Malgun Gothic"/>
          <w:bCs/>
          <w:lang w:val="fr-FR"/>
        </w:rPr>
        <w:t>’</w:t>
      </w:r>
      <w:r w:rsidRPr="00F10E4D">
        <w:rPr>
          <w:rFonts w:eastAsia="Malgun Gothic"/>
          <w:bCs/>
          <w:lang w:val="fr-FR"/>
        </w:rPr>
        <w:t xml:space="preserve">évaluation de préciser </w:t>
      </w:r>
      <w:r w:rsidR="00343866">
        <w:rPr>
          <w:rFonts w:eastAsia="Malgun Gothic"/>
          <w:bCs/>
          <w:lang w:val="fr-FR"/>
        </w:rPr>
        <w:t xml:space="preserve">les raisons pour lesquelles </w:t>
      </w:r>
      <w:r w:rsidRPr="00F10E4D">
        <w:rPr>
          <w:rFonts w:eastAsia="Malgun Gothic"/>
          <w:bCs/>
          <w:lang w:val="fr-FR"/>
        </w:rPr>
        <w:t>le processus de dialogue n</w:t>
      </w:r>
      <w:r w:rsidR="00923E72">
        <w:rPr>
          <w:rFonts w:eastAsia="Malgun Gothic"/>
          <w:bCs/>
          <w:lang w:val="fr-FR"/>
        </w:rPr>
        <w:t>’</w:t>
      </w:r>
      <w:r w:rsidRPr="00F10E4D">
        <w:rPr>
          <w:rFonts w:eastAsia="Malgun Gothic"/>
          <w:bCs/>
          <w:lang w:val="fr-FR"/>
        </w:rPr>
        <w:t>avait pas été utilisé dans ce cas particulier.</w:t>
      </w:r>
    </w:p>
    <w:p w14:paraId="6F7F834A" w14:textId="3E3CB974" w:rsidR="00F10E4D" w:rsidRDefault="00F10E4D"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F10E4D">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F10E4D">
        <w:rPr>
          <w:rFonts w:eastAsia="Malgun Gothic"/>
          <w:bCs/>
          <w:lang w:val="fr-FR"/>
        </w:rPr>
        <w:t xml:space="preserve"> a expliqué qu</w:t>
      </w:r>
      <w:r w:rsidR="00923E72">
        <w:rPr>
          <w:rFonts w:eastAsia="Malgun Gothic"/>
          <w:bCs/>
          <w:lang w:val="fr-FR"/>
        </w:rPr>
        <w:t>’</w:t>
      </w:r>
      <w:r w:rsidRPr="00F10E4D">
        <w:rPr>
          <w:rFonts w:eastAsia="Malgun Gothic"/>
          <w:bCs/>
          <w:lang w:val="fr-FR"/>
        </w:rPr>
        <w:t>il avait lu le compte rendu du Comité précédent et noté que les mêmes questions concernant le processus de dialogue s</w:t>
      </w:r>
      <w:r w:rsidR="00923E72">
        <w:rPr>
          <w:rFonts w:eastAsia="Malgun Gothic"/>
          <w:bCs/>
          <w:lang w:val="fr-FR"/>
        </w:rPr>
        <w:t>’</w:t>
      </w:r>
      <w:r w:rsidRPr="00F10E4D">
        <w:rPr>
          <w:rFonts w:eastAsia="Malgun Gothic"/>
          <w:bCs/>
          <w:lang w:val="fr-FR"/>
        </w:rPr>
        <w:t>étaient posées. L</w:t>
      </w:r>
      <w:r w:rsidR="00923E72">
        <w:rPr>
          <w:rFonts w:eastAsia="Malgun Gothic"/>
          <w:bCs/>
          <w:lang w:val="fr-FR"/>
        </w:rPr>
        <w:t>’</w:t>
      </w:r>
      <w:r w:rsidRPr="00F10E4D">
        <w:rPr>
          <w:rFonts w:eastAsia="Malgun Gothic"/>
          <w:bCs/>
          <w:lang w:val="fr-FR"/>
        </w:rPr>
        <w:t>Organe d</w:t>
      </w:r>
      <w:r w:rsidR="00923E72">
        <w:rPr>
          <w:rFonts w:eastAsia="Malgun Gothic"/>
          <w:bCs/>
          <w:lang w:val="fr-FR"/>
        </w:rPr>
        <w:t>’</w:t>
      </w:r>
      <w:r w:rsidRPr="00F10E4D">
        <w:rPr>
          <w:rFonts w:eastAsia="Malgun Gothic"/>
          <w:bCs/>
          <w:lang w:val="fr-FR"/>
        </w:rPr>
        <w:t>évaluation ne pouvait utiliser le processus de dialogue que lorsqu</w:t>
      </w:r>
      <w:r w:rsidR="00923E72">
        <w:rPr>
          <w:rFonts w:eastAsia="Malgun Gothic"/>
          <w:bCs/>
          <w:lang w:val="fr-FR"/>
        </w:rPr>
        <w:t>’</w:t>
      </w:r>
      <w:r w:rsidRPr="00F10E4D">
        <w:rPr>
          <w:rFonts w:eastAsia="Malgun Gothic"/>
          <w:bCs/>
          <w:lang w:val="fr-FR"/>
        </w:rPr>
        <w:t>une question brève et spécifique permettait de clarifier une évaluation. Il ne pouvait être utilisé pour donner à l</w:t>
      </w:r>
      <w:r w:rsidR="00923E72">
        <w:rPr>
          <w:rFonts w:eastAsia="Malgun Gothic"/>
          <w:bCs/>
          <w:lang w:val="fr-FR"/>
        </w:rPr>
        <w:t>’</w:t>
      </w:r>
      <w:r w:rsidRPr="00F10E4D">
        <w:rPr>
          <w:rFonts w:eastAsia="Malgun Gothic"/>
          <w:bCs/>
          <w:lang w:val="fr-FR"/>
        </w:rPr>
        <w:t>État la possibilité de réécrire le dossier. Cela correspondait au</w:t>
      </w:r>
      <w:r w:rsidR="00AF3A35">
        <w:rPr>
          <w:rFonts w:eastAsia="Malgun Gothic"/>
          <w:bCs/>
          <w:lang w:val="fr-FR"/>
        </w:rPr>
        <w:t xml:space="preserve">x </w:t>
      </w:r>
      <w:r w:rsidR="00AF3A35">
        <w:rPr>
          <w:bCs/>
          <w:lang w:val="fr-FR"/>
        </w:rPr>
        <w:t>termes de référence</w:t>
      </w:r>
      <w:r w:rsidR="00AF3A35" w:rsidRPr="00F10E4D">
        <w:rPr>
          <w:rFonts w:eastAsia="Malgun Gothic"/>
          <w:bCs/>
          <w:lang w:val="fr-FR"/>
        </w:rPr>
        <w:t xml:space="preserve"> </w:t>
      </w:r>
      <w:r w:rsidRPr="00F10E4D">
        <w:rPr>
          <w:rFonts w:eastAsia="Malgun Gothic"/>
          <w:bCs/>
          <w:lang w:val="fr-FR"/>
        </w:rPr>
        <w:t>établi</w:t>
      </w:r>
      <w:r w:rsidR="00AF3A35">
        <w:rPr>
          <w:rFonts w:eastAsia="Malgun Gothic"/>
          <w:bCs/>
          <w:lang w:val="fr-FR"/>
        </w:rPr>
        <w:t>s</w:t>
      </w:r>
      <w:r w:rsidRPr="00F10E4D">
        <w:rPr>
          <w:rFonts w:eastAsia="Malgun Gothic"/>
          <w:bCs/>
          <w:lang w:val="fr-FR"/>
        </w:rPr>
        <w:t xml:space="preserve"> par le Comité, conformément aux Directives opérationnelles. Il semblait que le Comité veuille éventuellement le modifier, et l</w:t>
      </w:r>
      <w:r w:rsidR="00923E72">
        <w:rPr>
          <w:rFonts w:eastAsia="Malgun Gothic"/>
          <w:bCs/>
          <w:lang w:val="fr-FR"/>
        </w:rPr>
        <w:t>’</w:t>
      </w:r>
      <w:r w:rsidRPr="00F10E4D">
        <w:rPr>
          <w:rFonts w:eastAsia="Malgun Gothic"/>
          <w:bCs/>
          <w:lang w:val="fr-FR"/>
        </w:rPr>
        <w:t>Organe suivrait tout changement introduit par le Comité. Toutefois, à l</w:t>
      </w:r>
      <w:r w:rsidR="00923E72">
        <w:rPr>
          <w:rFonts w:eastAsia="Malgun Gothic"/>
          <w:bCs/>
          <w:lang w:val="fr-FR"/>
        </w:rPr>
        <w:t>’</w:t>
      </w:r>
      <w:r w:rsidRPr="00F10E4D">
        <w:rPr>
          <w:rFonts w:eastAsia="Malgun Gothic"/>
          <w:bCs/>
          <w:lang w:val="fr-FR"/>
        </w:rPr>
        <w:t>heure actuelle, l</w:t>
      </w:r>
      <w:r w:rsidR="00923E72">
        <w:rPr>
          <w:rFonts w:eastAsia="Malgun Gothic"/>
          <w:bCs/>
          <w:lang w:val="fr-FR"/>
        </w:rPr>
        <w:t>’</w:t>
      </w:r>
      <w:r w:rsidRPr="00F10E4D">
        <w:rPr>
          <w:rFonts w:eastAsia="Malgun Gothic"/>
          <w:bCs/>
          <w:lang w:val="fr-FR"/>
        </w:rPr>
        <w:t>Organe devait respecter la décision antérieure du Comité, qui était de n</w:t>
      </w:r>
      <w:r w:rsidR="00923E72">
        <w:rPr>
          <w:rFonts w:eastAsia="Malgun Gothic"/>
          <w:bCs/>
          <w:lang w:val="fr-FR"/>
        </w:rPr>
        <w:t>’</w:t>
      </w:r>
      <w:r w:rsidRPr="00F10E4D">
        <w:rPr>
          <w:rFonts w:eastAsia="Malgun Gothic"/>
          <w:bCs/>
          <w:lang w:val="fr-FR"/>
        </w:rPr>
        <w:t>utiliser le processus de dialogue que si une courte question pouvait résoudre un problème. Dans ce dossier, au titre du critère</w:t>
      </w:r>
      <w:r w:rsidR="007032A7">
        <w:rPr>
          <w:rFonts w:eastAsia="Malgun Gothic"/>
          <w:bCs/>
          <w:lang w:val="fr-FR"/>
        </w:rPr>
        <w:t> </w:t>
      </w:r>
      <w:r w:rsidRPr="00F10E4D">
        <w:rPr>
          <w:rFonts w:eastAsia="Malgun Gothic"/>
          <w:bCs/>
          <w:lang w:val="fr-FR"/>
        </w:rPr>
        <w:t>R.5, il y avait au moins trois questions, ce qui était également le cas pour les critères</w:t>
      </w:r>
      <w:r w:rsidR="00A164AE">
        <w:rPr>
          <w:rFonts w:eastAsia="Malgun Gothic"/>
          <w:bCs/>
          <w:lang w:val="fr-FR"/>
        </w:rPr>
        <w:t> </w:t>
      </w:r>
      <w:r w:rsidRPr="00F10E4D">
        <w:rPr>
          <w:rFonts w:eastAsia="Malgun Gothic"/>
          <w:bCs/>
          <w:lang w:val="fr-FR"/>
        </w:rPr>
        <w:t>R.2 et</w:t>
      </w:r>
      <w:r w:rsidR="00A164AE">
        <w:rPr>
          <w:rFonts w:eastAsia="Malgun Gothic"/>
          <w:bCs/>
          <w:lang w:val="fr-FR"/>
        </w:rPr>
        <w:t> </w:t>
      </w:r>
      <w:r w:rsidRPr="00F10E4D">
        <w:rPr>
          <w:rFonts w:eastAsia="Malgun Gothic"/>
          <w:bCs/>
          <w:lang w:val="fr-FR"/>
        </w:rPr>
        <w:t xml:space="preserve">R.3. Dans </w:t>
      </w:r>
      <w:r w:rsidRPr="00F10E4D">
        <w:rPr>
          <w:rFonts w:eastAsia="Malgun Gothic"/>
          <w:bCs/>
          <w:lang w:val="fr-FR"/>
        </w:rPr>
        <w:lastRenderedPageBreak/>
        <w:t>ce cas, le processus de dialogue aurait nécessité plus de dix questions, ce qui n</w:t>
      </w:r>
      <w:r w:rsidR="00923E72">
        <w:rPr>
          <w:rFonts w:eastAsia="Malgun Gothic"/>
          <w:bCs/>
          <w:lang w:val="fr-FR"/>
        </w:rPr>
        <w:t>’</w:t>
      </w:r>
      <w:r w:rsidRPr="00F10E4D">
        <w:rPr>
          <w:rFonts w:eastAsia="Malgun Gothic"/>
          <w:bCs/>
          <w:lang w:val="fr-FR"/>
        </w:rPr>
        <w:t>était pas conforme au</w:t>
      </w:r>
      <w:r w:rsidR="00AF3A35">
        <w:rPr>
          <w:rFonts w:eastAsia="Malgun Gothic"/>
          <w:bCs/>
          <w:lang w:val="fr-FR"/>
        </w:rPr>
        <w:t xml:space="preserve">x </w:t>
      </w:r>
      <w:r w:rsidR="00AF3A35">
        <w:rPr>
          <w:bCs/>
          <w:lang w:val="fr-FR"/>
        </w:rPr>
        <w:t>termes de référence</w:t>
      </w:r>
      <w:r w:rsidRPr="00F10E4D">
        <w:rPr>
          <w:rFonts w:eastAsia="Malgun Gothic"/>
          <w:bCs/>
          <w:lang w:val="fr-FR"/>
        </w:rPr>
        <w:t xml:space="preserve"> de l</w:t>
      </w:r>
      <w:r w:rsidR="00923E72">
        <w:rPr>
          <w:rFonts w:eastAsia="Malgun Gothic"/>
          <w:bCs/>
          <w:lang w:val="fr-FR"/>
        </w:rPr>
        <w:t>’</w:t>
      </w:r>
      <w:r w:rsidR="00A164AE">
        <w:rPr>
          <w:rFonts w:eastAsia="Malgun Gothic"/>
          <w:bCs/>
          <w:lang w:val="fr-FR"/>
        </w:rPr>
        <w:t>Organe d</w:t>
      </w:r>
      <w:r w:rsidR="00923E72">
        <w:rPr>
          <w:rFonts w:eastAsia="Malgun Gothic"/>
          <w:bCs/>
          <w:lang w:val="fr-FR"/>
        </w:rPr>
        <w:t>’</w:t>
      </w:r>
      <w:r w:rsidR="00A164AE">
        <w:rPr>
          <w:rFonts w:eastAsia="Malgun Gothic"/>
          <w:bCs/>
          <w:lang w:val="fr-FR"/>
        </w:rPr>
        <w:t>évaluation.</w:t>
      </w:r>
    </w:p>
    <w:p w14:paraId="6622F37C" w14:textId="14D8BF45" w:rsidR="00A164AE" w:rsidRDefault="00A164AE"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A164AE">
        <w:rPr>
          <w:rFonts w:eastAsia="Malgun Gothic"/>
          <w:bCs/>
          <w:lang w:val="fr-FR"/>
        </w:rPr>
        <w:t xml:space="preserve">La délégation du </w:t>
      </w:r>
      <w:r w:rsidRPr="00702497">
        <w:rPr>
          <w:rFonts w:eastAsia="Malgun Gothic"/>
          <w:b/>
          <w:lang w:val="fr-FR"/>
        </w:rPr>
        <w:t>Panama</w:t>
      </w:r>
      <w:r w:rsidRPr="00A164AE">
        <w:rPr>
          <w:rFonts w:eastAsia="Malgun Gothic"/>
          <w:bCs/>
          <w:lang w:val="fr-FR"/>
        </w:rPr>
        <w:t xml:space="preserve"> soutenait l</w:t>
      </w:r>
      <w:r w:rsidR="00923E72">
        <w:rPr>
          <w:rFonts w:eastAsia="Malgun Gothic"/>
          <w:bCs/>
          <w:lang w:val="fr-FR"/>
        </w:rPr>
        <w:t>’</w:t>
      </w:r>
      <w:r w:rsidRPr="00A164AE">
        <w:rPr>
          <w:rFonts w:eastAsia="Malgun Gothic"/>
          <w:bCs/>
          <w:lang w:val="fr-FR"/>
        </w:rPr>
        <w:t>inscription de la Semaine sainte au Guatemala. Elle a fait remarquer que, lors de différentes sessions du Comité, des préoccupations similaires avaient également été exprimées à propos de différents dossiers de candidature en ce qui concerne les aspects touristiques d</w:t>
      </w:r>
      <w:r w:rsidR="00923E72">
        <w:rPr>
          <w:rFonts w:eastAsia="Malgun Gothic"/>
          <w:bCs/>
          <w:lang w:val="fr-FR"/>
        </w:rPr>
        <w:t>’</w:t>
      </w:r>
      <w:r w:rsidRPr="00A164AE">
        <w:rPr>
          <w:rFonts w:eastAsia="Malgun Gothic"/>
          <w:bCs/>
          <w:lang w:val="fr-FR"/>
        </w:rPr>
        <w:t>un élément. Toutefois, le CRESPIAL et d</w:t>
      </w:r>
      <w:r w:rsidR="00923E72">
        <w:rPr>
          <w:rFonts w:eastAsia="Malgun Gothic"/>
          <w:bCs/>
          <w:lang w:val="fr-FR"/>
        </w:rPr>
        <w:t>’</w:t>
      </w:r>
      <w:r w:rsidRPr="00A164AE">
        <w:rPr>
          <w:rFonts w:eastAsia="Malgun Gothic"/>
          <w:bCs/>
          <w:lang w:val="fr-FR"/>
        </w:rPr>
        <w:t>autres organisations de ce type étaient très vigilants quant aux effets potentiels de la surexploitation. C</w:t>
      </w:r>
      <w:r w:rsidR="00923E72">
        <w:rPr>
          <w:rFonts w:eastAsia="Malgun Gothic"/>
          <w:bCs/>
          <w:lang w:val="fr-FR"/>
        </w:rPr>
        <w:t>’</w:t>
      </w:r>
      <w:r w:rsidRPr="00A164AE">
        <w:rPr>
          <w:rFonts w:eastAsia="Malgun Gothic"/>
          <w:bCs/>
          <w:lang w:val="fr-FR"/>
        </w:rPr>
        <w:t>était également le cas du ministère du Tourisme du Panama, par exemple, chaque fois que des problèmes de tourisme de masse se posaient. La délégation a noté que certaines activités étaient supervisées par le ministère de la Culture, tandis que d</w:t>
      </w:r>
      <w:r w:rsidR="00923E72">
        <w:rPr>
          <w:rFonts w:eastAsia="Malgun Gothic"/>
          <w:bCs/>
          <w:lang w:val="fr-FR"/>
        </w:rPr>
        <w:t>’</w:t>
      </w:r>
      <w:r w:rsidRPr="00A164AE">
        <w:rPr>
          <w:rFonts w:eastAsia="Malgun Gothic"/>
          <w:bCs/>
          <w:lang w:val="fr-FR"/>
        </w:rPr>
        <w:t>autres activités l</w:t>
      </w:r>
      <w:r w:rsidR="00923E72">
        <w:rPr>
          <w:rFonts w:eastAsia="Malgun Gothic"/>
          <w:bCs/>
          <w:lang w:val="fr-FR"/>
        </w:rPr>
        <w:t>’</w:t>
      </w:r>
      <w:r w:rsidRPr="00A164AE">
        <w:rPr>
          <w:rFonts w:eastAsia="Malgun Gothic"/>
          <w:bCs/>
          <w:lang w:val="fr-FR"/>
        </w:rPr>
        <w:t>étaient par d</w:t>
      </w:r>
      <w:r w:rsidR="00923E72">
        <w:rPr>
          <w:rFonts w:eastAsia="Malgun Gothic"/>
          <w:bCs/>
          <w:lang w:val="fr-FR"/>
        </w:rPr>
        <w:t>’</w:t>
      </w:r>
      <w:r w:rsidRPr="00A164AE">
        <w:rPr>
          <w:rFonts w:eastAsia="Malgun Gothic"/>
          <w:bCs/>
          <w:lang w:val="fr-FR"/>
        </w:rPr>
        <w:t>autres organisations. En effet, le Comité devrait examiner (dans les Textes fondamentaux) comment atténuer le niveau d</w:t>
      </w:r>
      <w:r w:rsidR="00923E72">
        <w:rPr>
          <w:rFonts w:eastAsia="Malgun Gothic"/>
          <w:bCs/>
          <w:lang w:val="fr-FR"/>
        </w:rPr>
        <w:t>’</w:t>
      </w:r>
      <w:r w:rsidRPr="00A164AE">
        <w:rPr>
          <w:rFonts w:eastAsia="Malgun Gothic"/>
          <w:bCs/>
          <w:lang w:val="fr-FR"/>
        </w:rPr>
        <w:t>exploitation du tourisme. À l</w:t>
      </w:r>
      <w:r w:rsidR="00923E72">
        <w:rPr>
          <w:rFonts w:eastAsia="Malgun Gothic"/>
          <w:bCs/>
          <w:lang w:val="fr-FR"/>
        </w:rPr>
        <w:t>’</w:t>
      </w:r>
      <w:r w:rsidRPr="00A164AE">
        <w:rPr>
          <w:rFonts w:eastAsia="Malgun Gothic"/>
          <w:bCs/>
          <w:lang w:val="fr-FR"/>
        </w:rPr>
        <w:t>avenir, pour mieux préparer l</w:t>
      </w:r>
      <w:r w:rsidR="00923E72">
        <w:rPr>
          <w:rFonts w:eastAsia="Malgun Gothic"/>
          <w:bCs/>
          <w:lang w:val="fr-FR"/>
        </w:rPr>
        <w:t>’</w:t>
      </w:r>
      <w:r w:rsidRPr="00A164AE">
        <w:rPr>
          <w:rFonts w:eastAsia="Malgun Gothic"/>
          <w:bCs/>
          <w:lang w:val="fr-FR"/>
        </w:rPr>
        <w:t>Organe d</w:t>
      </w:r>
      <w:r w:rsidR="00923E72">
        <w:rPr>
          <w:rFonts w:eastAsia="Malgun Gothic"/>
          <w:bCs/>
          <w:lang w:val="fr-FR"/>
        </w:rPr>
        <w:t>’</w:t>
      </w:r>
      <w:r w:rsidRPr="00A164AE">
        <w:rPr>
          <w:rFonts w:eastAsia="Malgun Gothic"/>
          <w:bCs/>
          <w:lang w:val="fr-FR"/>
        </w:rPr>
        <w:t>évaluation, il serait peut-être plus judicieux de définir les types et le nombre de questions p</w:t>
      </w:r>
      <w:r w:rsidR="007032A7">
        <w:rPr>
          <w:rFonts w:eastAsia="Malgun Gothic"/>
          <w:bCs/>
          <w:lang w:val="fr-FR"/>
        </w:rPr>
        <w:t>ouvant</w:t>
      </w:r>
      <w:r w:rsidRPr="00A164AE">
        <w:rPr>
          <w:rFonts w:eastAsia="Malgun Gothic"/>
          <w:bCs/>
          <w:lang w:val="fr-FR"/>
        </w:rPr>
        <w:t xml:space="preserve"> être envisagés dans le cadre du processus de dialogue. En effet, il serait important de clarifier l</w:t>
      </w:r>
      <w:r w:rsidR="00923E72">
        <w:rPr>
          <w:rFonts w:eastAsia="Malgun Gothic"/>
          <w:bCs/>
          <w:lang w:val="fr-FR"/>
        </w:rPr>
        <w:t>’</w:t>
      </w:r>
      <w:r w:rsidRPr="00A164AE">
        <w:rPr>
          <w:rFonts w:eastAsia="Malgun Gothic"/>
          <w:bCs/>
          <w:lang w:val="fr-FR"/>
        </w:rPr>
        <w:t>article</w:t>
      </w:r>
      <w:r>
        <w:rPr>
          <w:rFonts w:eastAsia="Malgun Gothic"/>
          <w:bCs/>
          <w:lang w:val="fr-FR"/>
        </w:rPr>
        <w:t> </w:t>
      </w:r>
      <w:r w:rsidRPr="00A164AE">
        <w:rPr>
          <w:rFonts w:eastAsia="Malgun Gothic"/>
          <w:bCs/>
          <w:lang w:val="fr-FR"/>
        </w:rPr>
        <w:t>55 des Directives opérationnelles [sur le processus de dialogue]. Si le Comité décidait d</w:t>
      </w:r>
      <w:r w:rsidR="00923E72">
        <w:rPr>
          <w:rFonts w:eastAsia="Malgun Gothic"/>
          <w:bCs/>
          <w:lang w:val="fr-FR"/>
        </w:rPr>
        <w:t>’</w:t>
      </w:r>
      <w:r w:rsidRPr="00A164AE">
        <w:rPr>
          <w:rFonts w:eastAsia="Malgun Gothic"/>
          <w:bCs/>
          <w:lang w:val="fr-FR"/>
        </w:rPr>
        <w:t>inscrire la Semaine sainte, ce serait un grand pas en avant</w:t>
      </w:r>
      <w:r w:rsidR="00D52C51">
        <w:rPr>
          <w:rFonts w:eastAsia="Malgun Gothic"/>
          <w:bCs/>
          <w:lang w:val="fr-FR"/>
        </w:rPr>
        <w:t>,</w:t>
      </w:r>
      <w:r w:rsidRPr="00A164AE">
        <w:rPr>
          <w:rFonts w:eastAsia="Malgun Gothic"/>
          <w:bCs/>
          <w:lang w:val="fr-FR"/>
        </w:rPr>
        <w:t xml:space="preserve"> et la délégation soutenait cette inscription. Les explications du vice-ministre avaient pleinement répondu aux questions posées.</w:t>
      </w:r>
    </w:p>
    <w:p w14:paraId="3844AA8D" w14:textId="5995BD30" w:rsidR="00A164AE" w:rsidRDefault="00667BA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67BA5">
        <w:rPr>
          <w:rFonts w:eastAsia="Malgun Gothic"/>
          <w:bCs/>
          <w:lang w:val="fr-FR"/>
        </w:rPr>
        <w:t xml:space="preserve">La délégation du </w:t>
      </w:r>
      <w:r w:rsidRPr="00702497">
        <w:rPr>
          <w:rFonts w:eastAsia="Malgun Gothic"/>
          <w:b/>
          <w:lang w:val="fr-FR"/>
        </w:rPr>
        <w:t>Brésil</w:t>
      </w:r>
      <w:r w:rsidRPr="00667BA5">
        <w:rPr>
          <w:rFonts w:eastAsia="Malgun Gothic"/>
          <w:bCs/>
          <w:lang w:val="fr-FR"/>
        </w:rPr>
        <w:t xml:space="preserve"> </w:t>
      </w:r>
      <w:r>
        <w:rPr>
          <w:rFonts w:eastAsia="Malgun Gothic"/>
          <w:bCs/>
          <w:lang w:val="fr-FR"/>
        </w:rPr>
        <w:t xml:space="preserve">a salué </w:t>
      </w:r>
      <w:r w:rsidRPr="00667BA5">
        <w:rPr>
          <w:rFonts w:eastAsia="Malgun Gothic"/>
          <w:bCs/>
          <w:lang w:val="fr-FR"/>
        </w:rPr>
        <w:t xml:space="preserve">la présentation de ce dossier complexe et </w:t>
      </w:r>
      <w:r>
        <w:rPr>
          <w:rFonts w:eastAsia="Malgun Gothic"/>
          <w:bCs/>
          <w:lang w:val="fr-FR"/>
        </w:rPr>
        <w:t xml:space="preserve">très complet </w:t>
      </w:r>
      <w:r w:rsidRPr="00667BA5">
        <w:rPr>
          <w:rFonts w:eastAsia="Malgun Gothic"/>
          <w:bCs/>
          <w:lang w:val="fr-FR"/>
        </w:rPr>
        <w:t xml:space="preserve">par le Guatemala, qui </w:t>
      </w:r>
      <w:r>
        <w:rPr>
          <w:rFonts w:eastAsia="Malgun Gothic"/>
          <w:bCs/>
          <w:lang w:val="fr-FR"/>
        </w:rPr>
        <w:t>témoign</w:t>
      </w:r>
      <w:r w:rsidR="00D52C51">
        <w:rPr>
          <w:rFonts w:eastAsia="Malgun Gothic"/>
          <w:bCs/>
          <w:lang w:val="fr-FR"/>
        </w:rPr>
        <w:t>ait</w:t>
      </w:r>
      <w:r>
        <w:rPr>
          <w:rFonts w:eastAsia="Malgun Gothic"/>
          <w:bCs/>
          <w:lang w:val="fr-FR"/>
        </w:rPr>
        <w:t xml:space="preserve"> du </w:t>
      </w:r>
      <w:r w:rsidRPr="00667BA5">
        <w:rPr>
          <w:rFonts w:eastAsia="Malgun Gothic"/>
          <w:bCs/>
          <w:lang w:val="fr-FR"/>
        </w:rPr>
        <w:t xml:space="preserve">mélange des cultures autochtones et locales. </w:t>
      </w:r>
      <w:r>
        <w:rPr>
          <w:rFonts w:eastAsia="Malgun Gothic"/>
          <w:bCs/>
          <w:lang w:val="fr-FR"/>
        </w:rPr>
        <w:t xml:space="preserve">À propos des </w:t>
      </w:r>
      <w:r w:rsidRPr="00667BA5">
        <w:rPr>
          <w:rFonts w:eastAsia="Malgun Gothic"/>
          <w:bCs/>
          <w:lang w:val="fr-FR"/>
        </w:rPr>
        <w:t xml:space="preserve">points </w:t>
      </w:r>
      <w:r w:rsidR="00524833">
        <w:rPr>
          <w:rFonts w:eastAsia="Malgun Gothic"/>
          <w:bCs/>
          <w:lang w:val="fr-FR"/>
        </w:rPr>
        <w:t>abordés</w:t>
      </w:r>
      <w:r w:rsidRPr="00667BA5">
        <w:rPr>
          <w:rFonts w:eastAsia="Malgun Gothic"/>
          <w:bCs/>
          <w:lang w:val="fr-FR"/>
        </w:rPr>
        <w:t xml:space="preserve"> par l</w:t>
      </w:r>
      <w:r w:rsidR="00923E72">
        <w:rPr>
          <w:rFonts w:eastAsia="Malgun Gothic"/>
          <w:bCs/>
          <w:lang w:val="fr-FR"/>
        </w:rPr>
        <w:t>’</w:t>
      </w:r>
      <w:r w:rsidRPr="00667BA5">
        <w:rPr>
          <w:rFonts w:eastAsia="Malgun Gothic"/>
          <w:bCs/>
          <w:lang w:val="fr-FR"/>
        </w:rPr>
        <w:t>Organe d</w:t>
      </w:r>
      <w:r w:rsidR="00923E72">
        <w:rPr>
          <w:rFonts w:eastAsia="Malgun Gothic"/>
          <w:bCs/>
          <w:lang w:val="fr-FR"/>
        </w:rPr>
        <w:t>’</w:t>
      </w:r>
      <w:r w:rsidRPr="00667BA5">
        <w:rPr>
          <w:rFonts w:eastAsia="Malgun Gothic"/>
          <w:bCs/>
          <w:lang w:val="fr-FR"/>
        </w:rPr>
        <w:t>évaluation concernant certains termes du dossier qui ne correspondent pas à l</w:t>
      </w:r>
      <w:r w:rsidR="00923E72">
        <w:rPr>
          <w:rFonts w:eastAsia="Malgun Gothic"/>
          <w:bCs/>
          <w:lang w:val="fr-FR"/>
        </w:rPr>
        <w:t>’</w:t>
      </w:r>
      <w:r w:rsidRPr="00667BA5">
        <w:rPr>
          <w:rFonts w:eastAsia="Malgun Gothic"/>
          <w:bCs/>
          <w:lang w:val="fr-FR"/>
        </w:rPr>
        <w:t xml:space="preserve">esprit de la Convention, par exemple </w:t>
      </w:r>
      <w:r>
        <w:rPr>
          <w:rFonts w:eastAsia="Malgun Gothic"/>
          <w:bCs/>
          <w:lang w:val="fr-FR"/>
        </w:rPr>
        <w:t>« </w:t>
      </w:r>
      <w:r w:rsidRPr="00667BA5">
        <w:rPr>
          <w:rFonts w:eastAsia="Malgun Gothic"/>
          <w:bCs/>
          <w:lang w:val="fr-FR"/>
        </w:rPr>
        <w:t>l</w:t>
      </w:r>
      <w:r w:rsidR="00923E72">
        <w:rPr>
          <w:rFonts w:eastAsia="Malgun Gothic"/>
          <w:bCs/>
          <w:lang w:val="fr-FR"/>
        </w:rPr>
        <w:t>’</w:t>
      </w:r>
      <w:r w:rsidRPr="00667BA5">
        <w:rPr>
          <w:rFonts w:eastAsia="Malgun Gothic"/>
          <w:bCs/>
          <w:lang w:val="fr-FR"/>
        </w:rPr>
        <w:t>exceptionnalité</w:t>
      </w:r>
      <w:r>
        <w:rPr>
          <w:rFonts w:eastAsia="Malgun Gothic"/>
          <w:bCs/>
          <w:lang w:val="fr-FR"/>
        </w:rPr>
        <w:t> »</w:t>
      </w:r>
      <w:r w:rsidRPr="00667BA5">
        <w:rPr>
          <w:rFonts w:eastAsia="Malgun Gothic"/>
          <w:bCs/>
          <w:lang w:val="fr-FR"/>
        </w:rPr>
        <w:t xml:space="preserve"> et même </w:t>
      </w:r>
      <w:r>
        <w:rPr>
          <w:rFonts w:eastAsia="Malgun Gothic"/>
          <w:bCs/>
          <w:lang w:val="fr-FR"/>
        </w:rPr>
        <w:t>« </w:t>
      </w:r>
      <w:r w:rsidRPr="00667BA5">
        <w:rPr>
          <w:rFonts w:eastAsia="Malgun Gothic"/>
          <w:bCs/>
          <w:lang w:val="fr-FR"/>
        </w:rPr>
        <w:t>l</w:t>
      </w:r>
      <w:r w:rsidR="00923E72">
        <w:rPr>
          <w:rFonts w:eastAsia="Malgun Gothic"/>
          <w:bCs/>
          <w:lang w:val="fr-FR"/>
        </w:rPr>
        <w:t>’</w:t>
      </w:r>
      <w:r w:rsidRPr="00667BA5">
        <w:rPr>
          <w:rFonts w:eastAsia="Malgun Gothic"/>
          <w:bCs/>
          <w:lang w:val="fr-FR"/>
        </w:rPr>
        <w:t>universalité</w:t>
      </w:r>
      <w:r>
        <w:rPr>
          <w:rFonts w:eastAsia="Malgun Gothic"/>
          <w:bCs/>
          <w:lang w:val="fr-FR"/>
        </w:rPr>
        <w:t xml:space="preserve"> » </w:t>
      </w:r>
      <w:r w:rsidRPr="00667BA5">
        <w:rPr>
          <w:rFonts w:eastAsia="Malgun Gothic"/>
          <w:bCs/>
          <w:lang w:val="fr-FR"/>
        </w:rPr>
        <w:t>de cette célébration, le Brésil a reconnu que le dossier expliqu</w:t>
      </w:r>
      <w:r>
        <w:rPr>
          <w:rFonts w:eastAsia="Malgun Gothic"/>
          <w:bCs/>
          <w:lang w:val="fr-FR"/>
        </w:rPr>
        <w:t>ait</w:t>
      </w:r>
      <w:r w:rsidRPr="00667BA5">
        <w:rPr>
          <w:rFonts w:eastAsia="Malgun Gothic"/>
          <w:bCs/>
          <w:lang w:val="fr-FR"/>
        </w:rPr>
        <w:t xml:space="preserve"> la pertinence de l</w:t>
      </w:r>
      <w:r w:rsidR="00923E72">
        <w:rPr>
          <w:rFonts w:eastAsia="Malgun Gothic"/>
          <w:bCs/>
          <w:lang w:val="fr-FR"/>
        </w:rPr>
        <w:t>’</w:t>
      </w:r>
      <w:r w:rsidRPr="00667BA5">
        <w:rPr>
          <w:rFonts w:eastAsia="Malgun Gothic"/>
          <w:bCs/>
          <w:lang w:val="fr-FR"/>
        </w:rPr>
        <w:t xml:space="preserve">élément </w:t>
      </w:r>
      <w:r w:rsidR="00D52C51">
        <w:rPr>
          <w:rFonts w:eastAsia="Malgun Gothic"/>
          <w:bCs/>
          <w:lang w:val="fr-FR"/>
        </w:rPr>
        <w:t>au regard</w:t>
      </w:r>
      <w:r w:rsidRPr="00667BA5">
        <w:rPr>
          <w:rFonts w:eastAsia="Malgun Gothic"/>
          <w:bCs/>
          <w:lang w:val="fr-FR"/>
        </w:rPr>
        <w:t xml:space="preserve"> de l</w:t>
      </w:r>
      <w:r w:rsidR="00923E72">
        <w:rPr>
          <w:rFonts w:eastAsia="Malgun Gothic"/>
          <w:bCs/>
          <w:lang w:val="fr-FR"/>
        </w:rPr>
        <w:t>’</w:t>
      </w:r>
      <w:r w:rsidRPr="00667BA5">
        <w:rPr>
          <w:rFonts w:eastAsia="Malgun Gothic"/>
          <w:bCs/>
          <w:lang w:val="fr-FR"/>
        </w:rPr>
        <w:t>histoire et de l</w:t>
      </w:r>
      <w:r w:rsidR="00923E72">
        <w:rPr>
          <w:rFonts w:eastAsia="Malgun Gothic"/>
          <w:bCs/>
          <w:lang w:val="fr-FR"/>
        </w:rPr>
        <w:t>’</w:t>
      </w:r>
      <w:r w:rsidRPr="00667BA5">
        <w:rPr>
          <w:rFonts w:eastAsia="Malgun Gothic"/>
          <w:bCs/>
          <w:lang w:val="fr-FR"/>
        </w:rPr>
        <w:t>identité des communautés détentrices. Celles-ci étaient en effet diverses, comme c</w:t>
      </w:r>
      <w:r w:rsidR="00923E72">
        <w:rPr>
          <w:rFonts w:eastAsia="Malgun Gothic"/>
          <w:bCs/>
          <w:lang w:val="fr-FR"/>
        </w:rPr>
        <w:t>’</w:t>
      </w:r>
      <w:r w:rsidRPr="00667BA5">
        <w:rPr>
          <w:rFonts w:eastAsia="Malgun Gothic"/>
          <w:bCs/>
          <w:lang w:val="fr-FR"/>
        </w:rPr>
        <w:t>est souvent le cas pour les grandes célébrations telles que celle-ci, mais cela n</w:t>
      </w:r>
      <w:r w:rsidR="00923E72">
        <w:rPr>
          <w:rFonts w:eastAsia="Malgun Gothic"/>
          <w:bCs/>
          <w:lang w:val="fr-FR"/>
        </w:rPr>
        <w:t>’</w:t>
      </w:r>
      <w:r w:rsidRPr="00667BA5">
        <w:rPr>
          <w:rFonts w:eastAsia="Malgun Gothic"/>
          <w:bCs/>
          <w:lang w:val="fr-FR"/>
        </w:rPr>
        <w:t>a</w:t>
      </w:r>
      <w:r>
        <w:rPr>
          <w:rFonts w:eastAsia="Malgun Gothic"/>
          <w:bCs/>
          <w:lang w:val="fr-FR"/>
        </w:rPr>
        <w:t>vait</w:t>
      </w:r>
      <w:r w:rsidRPr="00667BA5">
        <w:rPr>
          <w:rFonts w:eastAsia="Malgun Gothic"/>
          <w:bCs/>
          <w:lang w:val="fr-FR"/>
        </w:rPr>
        <w:t xml:space="preserve"> peut-être pas été mentionné explicitement en raison du nombre limité de mots du formulaire. Une fois de plus, un court dialogue aurait pu résoudre ce problème. Néanmoins, la pertinence de l</w:t>
      </w:r>
      <w:r w:rsidR="00923E72">
        <w:rPr>
          <w:rFonts w:eastAsia="Malgun Gothic"/>
          <w:bCs/>
          <w:lang w:val="fr-FR"/>
        </w:rPr>
        <w:t>’</w:t>
      </w:r>
      <w:r w:rsidRPr="00667BA5">
        <w:rPr>
          <w:rFonts w:eastAsia="Malgun Gothic"/>
          <w:bCs/>
          <w:lang w:val="fr-FR"/>
        </w:rPr>
        <w:t xml:space="preserve">élément du point de vue des communautés était claire. Il </w:t>
      </w:r>
      <w:r>
        <w:rPr>
          <w:rFonts w:eastAsia="Malgun Gothic"/>
          <w:bCs/>
          <w:lang w:val="fr-FR"/>
        </w:rPr>
        <w:t>était</w:t>
      </w:r>
      <w:r w:rsidRPr="00667BA5">
        <w:rPr>
          <w:rFonts w:eastAsia="Malgun Gothic"/>
          <w:bCs/>
          <w:lang w:val="fr-FR"/>
        </w:rPr>
        <w:t xml:space="preserve"> vrai que la reconnaissance de la Semaine </w:t>
      </w:r>
      <w:r>
        <w:rPr>
          <w:rFonts w:eastAsia="Malgun Gothic"/>
          <w:bCs/>
          <w:lang w:val="fr-FR"/>
        </w:rPr>
        <w:t>s</w:t>
      </w:r>
      <w:r w:rsidRPr="00667BA5">
        <w:rPr>
          <w:rFonts w:eastAsia="Malgun Gothic"/>
          <w:bCs/>
          <w:lang w:val="fr-FR"/>
        </w:rPr>
        <w:t xml:space="preserve">ainte augmenterait sa visibilité et favoriserait le dialogue </w:t>
      </w:r>
      <w:r>
        <w:rPr>
          <w:rFonts w:eastAsia="Malgun Gothic"/>
          <w:bCs/>
          <w:lang w:val="fr-FR"/>
        </w:rPr>
        <w:t>à propos du</w:t>
      </w:r>
      <w:r w:rsidRPr="00667BA5">
        <w:rPr>
          <w:rFonts w:eastAsia="Malgun Gothic"/>
          <w:bCs/>
          <w:lang w:val="fr-FR"/>
        </w:rPr>
        <w:t xml:space="preserve"> tourisme. La délégation partageait l</w:t>
      </w:r>
      <w:r w:rsidR="00923E72">
        <w:rPr>
          <w:rFonts w:eastAsia="Malgun Gothic"/>
          <w:bCs/>
          <w:lang w:val="fr-FR"/>
        </w:rPr>
        <w:t>’</w:t>
      </w:r>
      <w:r w:rsidRPr="00667BA5">
        <w:rPr>
          <w:rFonts w:eastAsia="Malgun Gothic"/>
          <w:bCs/>
          <w:lang w:val="fr-FR"/>
        </w:rPr>
        <w:t>avis de l</w:t>
      </w:r>
      <w:r w:rsidR="00923E72">
        <w:rPr>
          <w:rFonts w:eastAsia="Malgun Gothic"/>
          <w:bCs/>
          <w:lang w:val="fr-FR"/>
        </w:rPr>
        <w:t>’</w:t>
      </w:r>
      <w:r w:rsidRPr="00667BA5">
        <w:rPr>
          <w:rFonts w:eastAsia="Malgun Gothic"/>
          <w:bCs/>
          <w:lang w:val="fr-FR"/>
        </w:rPr>
        <w:t>Organe d</w:t>
      </w:r>
      <w:r w:rsidR="00923E72">
        <w:rPr>
          <w:rFonts w:eastAsia="Malgun Gothic"/>
          <w:bCs/>
          <w:lang w:val="fr-FR"/>
        </w:rPr>
        <w:t>’</w:t>
      </w:r>
      <w:r w:rsidRPr="00667BA5">
        <w:rPr>
          <w:rFonts w:eastAsia="Malgun Gothic"/>
          <w:bCs/>
          <w:lang w:val="fr-FR"/>
        </w:rPr>
        <w:t>évaluation lorsqu</w:t>
      </w:r>
      <w:r w:rsidR="00923E72">
        <w:rPr>
          <w:rFonts w:eastAsia="Malgun Gothic"/>
          <w:bCs/>
          <w:lang w:val="fr-FR"/>
        </w:rPr>
        <w:t>’</w:t>
      </w:r>
      <w:r w:rsidRPr="00667BA5">
        <w:rPr>
          <w:rFonts w:eastAsia="Malgun Gothic"/>
          <w:bCs/>
          <w:lang w:val="fr-FR"/>
        </w:rPr>
        <w:t>il avait souligné l</w:t>
      </w:r>
      <w:r w:rsidR="00923E72">
        <w:rPr>
          <w:rFonts w:eastAsia="Malgun Gothic"/>
          <w:bCs/>
          <w:lang w:val="fr-FR"/>
        </w:rPr>
        <w:t>’</w:t>
      </w:r>
      <w:r w:rsidRPr="00667BA5">
        <w:rPr>
          <w:rFonts w:eastAsia="Malgun Gothic"/>
          <w:bCs/>
          <w:lang w:val="fr-FR"/>
        </w:rPr>
        <w:t>importance de l</w:t>
      </w:r>
      <w:r w:rsidR="00923E72">
        <w:rPr>
          <w:rFonts w:eastAsia="Malgun Gothic"/>
          <w:bCs/>
          <w:lang w:val="fr-FR"/>
        </w:rPr>
        <w:t>’</w:t>
      </w:r>
      <w:r w:rsidRPr="00667BA5">
        <w:rPr>
          <w:rFonts w:eastAsia="Malgun Gothic"/>
          <w:bCs/>
          <w:lang w:val="fr-FR"/>
        </w:rPr>
        <w:t xml:space="preserve">élaboration de mesures de précaution, </w:t>
      </w:r>
      <w:r>
        <w:rPr>
          <w:rFonts w:eastAsia="Malgun Gothic"/>
          <w:bCs/>
          <w:lang w:val="fr-FR"/>
        </w:rPr>
        <w:t xml:space="preserve">que </w:t>
      </w:r>
      <w:r w:rsidRPr="00667BA5">
        <w:rPr>
          <w:rFonts w:eastAsia="Malgun Gothic"/>
          <w:bCs/>
          <w:lang w:val="fr-FR"/>
        </w:rPr>
        <w:t xml:space="preserve">le Guatemala avait déjà </w:t>
      </w:r>
      <w:r>
        <w:rPr>
          <w:rFonts w:eastAsia="Malgun Gothic"/>
          <w:bCs/>
          <w:lang w:val="fr-FR"/>
        </w:rPr>
        <w:t xml:space="preserve">évoquées </w:t>
      </w:r>
      <w:r w:rsidRPr="00667BA5">
        <w:rPr>
          <w:rFonts w:eastAsia="Malgun Gothic"/>
          <w:bCs/>
          <w:lang w:val="fr-FR"/>
        </w:rPr>
        <w:t xml:space="preserve">dans </w:t>
      </w:r>
      <w:r>
        <w:rPr>
          <w:rFonts w:eastAsia="Malgun Gothic"/>
          <w:bCs/>
          <w:lang w:val="fr-FR"/>
        </w:rPr>
        <w:t>son</w:t>
      </w:r>
      <w:r w:rsidRPr="00667BA5">
        <w:rPr>
          <w:rFonts w:eastAsia="Malgun Gothic"/>
          <w:bCs/>
          <w:lang w:val="fr-FR"/>
        </w:rPr>
        <w:t xml:space="preserve"> dossier. Le Brésil estimait donc que les informations fournies étaient suffisantes pour répondre aux critères. S</w:t>
      </w:r>
      <w:r w:rsidR="00923E72">
        <w:rPr>
          <w:rFonts w:eastAsia="Malgun Gothic"/>
          <w:bCs/>
          <w:lang w:val="fr-FR"/>
        </w:rPr>
        <w:t>’</w:t>
      </w:r>
      <w:r w:rsidRPr="00667BA5">
        <w:rPr>
          <w:rFonts w:eastAsia="Malgun Gothic"/>
          <w:bCs/>
          <w:lang w:val="fr-FR"/>
        </w:rPr>
        <w:t>agissant du critère</w:t>
      </w:r>
      <w:r w:rsidR="007032A7">
        <w:rPr>
          <w:rFonts w:eastAsia="Malgun Gothic"/>
          <w:bCs/>
          <w:lang w:val="fr-FR"/>
        </w:rPr>
        <w:t> </w:t>
      </w:r>
      <w:r w:rsidRPr="00667BA5">
        <w:rPr>
          <w:rFonts w:eastAsia="Malgun Gothic"/>
          <w:bCs/>
          <w:lang w:val="fr-FR"/>
        </w:rPr>
        <w:t>R.3, les experts brésiliens avaient entrepris une évaluation technique</w:t>
      </w:r>
      <w:r w:rsidR="00CC1380">
        <w:rPr>
          <w:rFonts w:eastAsia="Malgun Gothic"/>
          <w:bCs/>
          <w:lang w:val="fr-FR"/>
        </w:rPr>
        <w:t>,</w:t>
      </w:r>
      <w:r w:rsidRPr="00667BA5">
        <w:rPr>
          <w:rFonts w:eastAsia="Malgun Gothic"/>
          <w:bCs/>
          <w:lang w:val="fr-FR"/>
        </w:rPr>
        <w:t xml:space="preserve"> qui pouvait contribuer à expliquer certaines incohérences de l</w:t>
      </w:r>
      <w:r w:rsidR="00923E72">
        <w:rPr>
          <w:rFonts w:eastAsia="Malgun Gothic"/>
          <w:bCs/>
          <w:lang w:val="fr-FR"/>
        </w:rPr>
        <w:t>’</w:t>
      </w:r>
      <w:r w:rsidRPr="00667BA5">
        <w:rPr>
          <w:rFonts w:eastAsia="Malgun Gothic"/>
          <w:bCs/>
          <w:lang w:val="fr-FR"/>
        </w:rPr>
        <w:t>Organe d</w:t>
      </w:r>
      <w:r w:rsidR="00923E72">
        <w:rPr>
          <w:rFonts w:eastAsia="Malgun Gothic"/>
          <w:bCs/>
          <w:lang w:val="fr-FR"/>
        </w:rPr>
        <w:t>’</w:t>
      </w:r>
      <w:r w:rsidRPr="00667BA5">
        <w:rPr>
          <w:rFonts w:eastAsia="Malgun Gothic"/>
          <w:bCs/>
          <w:lang w:val="fr-FR"/>
        </w:rPr>
        <w:t>évaluation sur ce point. Par exemple, ils avaient constaté que le dossier détaillait les actions de sauvegarde par groupes de détenteurs, ce qui était un point fort du dossier. L</w:t>
      </w:r>
      <w:r w:rsidR="00923E72">
        <w:rPr>
          <w:rFonts w:eastAsia="Malgun Gothic"/>
          <w:bCs/>
          <w:lang w:val="fr-FR"/>
        </w:rPr>
        <w:t>’</w:t>
      </w:r>
      <w:r w:rsidRPr="00667BA5">
        <w:rPr>
          <w:rFonts w:eastAsia="Malgun Gothic"/>
          <w:bCs/>
          <w:lang w:val="fr-FR"/>
        </w:rPr>
        <w:t>évaluation de l</w:t>
      </w:r>
      <w:r w:rsidR="00923E72">
        <w:rPr>
          <w:rFonts w:eastAsia="Malgun Gothic"/>
          <w:bCs/>
          <w:lang w:val="fr-FR"/>
        </w:rPr>
        <w:t>’</w:t>
      </w:r>
      <w:r w:rsidRPr="00667BA5">
        <w:rPr>
          <w:rFonts w:eastAsia="Malgun Gothic"/>
          <w:bCs/>
          <w:lang w:val="fr-FR"/>
        </w:rPr>
        <w:t>Organe indiquait qu</w:t>
      </w:r>
      <w:r w:rsidR="00923E72">
        <w:rPr>
          <w:rFonts w:eastAsia="Malgun Gothic"/>
          <w:bCs/>
          <w:lang w:val="fr-FR"/>
        </w:rPr>
        <w:t>’</w:t>
      </w:r>
      <w:r w:rsidRPr="00667BA5">
        <w:rPr>
          <w:rFonts w:eastAsia="Malgun Gothic"/>
          <w:bCs/>
          <w:lang w:val="fr-FR"/>
        </w:rPr>
        <w:t>il n</w:t>
      </w:r>
      <w:r w:rsidR="00923E72">
        <w:rPr>
          <w:rFonts w:eastAsia="Malgun Gothic"/>
          <w:bCs/>
          <w:lang w:val="fr-FR"/>
        </w:rPr>
        <w:t>’</w:t>
      </w:r>
      <w:r w:rsidRPr="00667BA5">
        <w:rPr>
          <w:rFonts w:eastAsia="Malgun Gothic"/>
          <w:bCs/>
          <w:lang w:val="fr-FR"/>
        </w:rPr>
        <w:t xml:space="preserve">y avait pas de preuve de la participation des protagonistes ou des détenteurs à ces actions, ce qui est exigé par le projet de décision. À première vue, il pouvait être difficile de percevoir </w:t>
      </w:r>
      <w:r>
        <w:rPr>
          <w:rFonts w:eastAsia="Malgun Gothic"/>
          <w:bCs/>
          <w:lang w:val="fr-FR"/>
        </w:rPr>
        <w:t>l</w:t>
      </w:r>
      <w:r w:rsidRPr="00667BA5">
        <w:rPr>
          <w:rFonts w:eastAsia="Malgun Gothic"/>
          <w:bCs/>
          <w:lang w:val="fr-FR"/>
        </w:rPr>
        <w:t>es protagonistes dans les actions proposées, d</w:t>
      </w:r>
      <w:r w:rsidR="00923E72">
        <w:rPr>
          <w:rFonts w:eastAsia="Malgun Gothic"/>
          <w:bCs/>
          <w:lang w:val="fr-FR"/>
        </w:rPr>
        <w:t>’</w:t>
      </w:r>
      <w:r w:rsidRPr="00667BA5">
        <w:rPr>
          <w:rFonts w:eastAsia="Malgun Gothic"/>
          <w:bCs/>
          <w:lang w:val="fr-FR"/>
        </w:rPr>
        <w:t xml:space="preserve">autant plus que la célébration réunit en réalité des groupes très distincts. Mais une lecture plus approfondie du dossier permettait de confirmer que le critère était satisfait. Le dossier détaillait les actions par secteur, comme dans le cas de la recherche universitaire, de la promotion des cours techniques et des actions </w:t>
      </w:r>
      <w:r>
        <w:rPr>
          <w:rFonts w:eastAsia="Malgun Gothic"/>
          <w:bCs/>
          <w:lang w:val="fr-FR"/>
        </w:rPr>
        <w:t>en lien avec</w:t>
      </w:r>
      <w:r w:rsidRPr="00667BA5">
        <w:rPr>
          <w:rFonts w:eastAsia="Malgun Gothic"/>
          <w:bCs/>
          <w:lang w:val="fr-FR"/>
        </w:rPr>
        <w:t xml:space="preserve"> le commerce et la gastronomie. Bien que la délégation estime que le critère était satisfait, elle suggérait de maintenir la recommandation en faveur d</w:t>
      </w:r>
      <w:r w:rsidR="00923E72">
        <w:rPr>
          <w:rFonts w:eastAsia="Malgun Gothic"/>
          <w:bCs/>
          <w:lang w:val="fr-FR"/>
        </w:rPr>
        <w:t>’</w:t>
      </w:r>
      <w:r w:rsidRPr="00667BA5">
        <w:rPr>
          <w:rFonts w:eastAsia="Malgun Gothic"/>
          <w:bCs/>
          <w:lang w:val="fr-FR"/>
        </w:rPr>
        <w:t>une large participation, au stade de l</w:t>
      </w:r>
      <w:r w:rsidR="00923E72">
        <w:rPr>
          <w:rFonts w:eastAsia="Malgun Gothic"/>
          <w:bCs/>
          <w:lang w:val="fr-FR"/>
        </w:rPr>
        <w:t>’</w:t>
      </w:r>
      <w:r w:rsidRPr="00667BA5">
        <w:rPr>
          <w:rFonts w:eastAsia="Malgun Gothic"/>
          <w:bCs/>
          <w:lang w:val="fr-FR"/>
        </w:rPr>
        <w:t>inventaire, aux actions de sauvegarde. Ainsi, selon le point de vue de ses experts, le Brésil considérait que le Guatemala avait satisfait à ce critère sur la base de toutes les informations contenues dans le dossier, sans qu</w:t>
      </w:r>
      <w:r w:rsidR="00923E72">
        <w:rPr>
          <w:rFonts w:eastAsia="Malgun Gothic"/>
          <w:bCs/>
          <w:lang w:val="fr-FR"/>
        </w:rPr>
        <w:t>’</w:t>
      </w:r>
      <w:r w:rsidRPr="00667BA5">
        <w:rPr>
          <w:rFonts w:eastAsia="Malgun Gothic"/>
          <w:bCs/>
          <w:lang w:val="fr-FR"/>
        </w:rPr>
        <w:t>il soit nécessaire de demander des informations supplémentaires à l</w:t>
      </w:r>
      <w:r w:rsidR="00923E72">
        <w:rPr>
          <w:rFonts w:eastAsia="Malgun Gothic"/>
          <w:bCs/>
          <w:lang w:val="fr-FR"/>
        </w:rPr>
        <w:t>’</w:t>
      </w:r>
      <w:r w:rsidRPr="00667BA5">
        <w:rPr>
          <w:rFonts w:eastAsia="Malgun Gothic"/>
          <w:bCs/>
          <w:lang w:val="fr-FR"/>
        </w:rPr>
        <w:t>État partie. Là encore, un bref dialogue aurait pu être utilisé dans ce cas.</w:t>
      </w:r>
    </w:p>
    <w:p w14:paraId="37988E6C" w14:textId="3C06CDD7" w:rsidR="00667BA5" w:rsidRDefault="00667BA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67BA5">
        <w:rPr>
          <w:rFonts w:eastAsia="Malgun Gothic"/>
          <w:bCs/>
          <w:lang w:val="fr-FR"/>
        </w:rPr>
        <w:t xml:space="preserve">La délégation de la </w:t>
      </w:r>
      <w:r w:rsidRPr="00702497">
        <w:rPr>
          <w:rFonts w:eastAsia="Malgun Gothic"/>
          <w:b/>
          <w:lang w:val="fr-FR"/>
        </w:rPr>
        <w:t>République de Corée</w:t>
      </w:r>
      <w:r w:rsidRPr="00667BA5">
        <w:rPr>
          <w:rFonts w:eastAsia="Malgun Gothic"/>
          <w:bCs/>
          <w:lang w:val="fr-FR"/>
        </w:rPr>
        <w:t xml:space="preserve"> appréciait le travail méticuleux et diligent de l</w:t>
      </w:r>
      <w:r w:rsidR="00923E72">
        <w:rPr>
          <w:rFonts w:eastAsia="Malgun Gothic"/>
          <w:bCs/>
          <w:lang w:val="fr-FR"/>
        </w:rPr>
        <w:t>’</w:t>
      </w:r>
      <w:r w:rsidRPr="00667BA5">
        <w:rPr>
          <w:rFonts w:eastAsia="Malgun Gothic"/>
          <w:bCs/>
          <w:lang w:val="fr-FR"/>
        </w:rPr>
        <w:t>Organe d</w:t>
      </w:r>
      <w:r w:rsidR="00923E72">
        <w:rPr>
          <w:rFonts w:eastAsia="Malgun Gothic"/>
          <w:bCs/>
          <w:lang w:val="fr-FR"/>
        </w:rPr>
        <w:t>’</w:t>
      </w:r>
      <w:r w:rsidRPr="00667BA5">
        <w:rPr>
          <w:rFonts w:eastAsia="Malgun Gothic"/>
          <w:bCs/>
          <w:lang w:val="fr-FR"/>
        </w:rPr>
        <w:t>évaluation. Après avoir écouté les questions des membres du Comité et les réponses détaillées fournies par le Guatemala, la délégation soutenait l</w:t>
      </w:r>
      <w:r w:rsidR="00923E72">
        <w:rPr>
          <w:rFonts w:eastAsia="Malgun Gothic"/>
          <w:bCs/>
          <w:lang w:val="fr-FR"/>
        </w:rPr>
        <w:t>’</w:t>
      </w:r>
      <w:r w:rsidRPr="00667BA5">
        <w:rPr>
          <w:rFonts w:eastAsia="Malgun Gothic"/>
          <w:bCs/>
          <w:lang w:val="fr-FR"/>
        </w:rPr>
        <w:t>amendement du Paraguay et l</w:t>
      </w:r>
      <w:r w:rsidR="00923E72">
        <w:rPr>
          <w:rFonts w:eastAsia="Malgun Gothic"/>
          <w:bCs/>
          <w:lang w:val="fr-FR"/>
        </w:rPr>
        <w:t>’</w:t>
      </w:r>
      <w:r w:rsidRPr="00667BA5">
        <w:rPr>
          <w:rFonts w:eastAsia="Malgun Gothic"/>
          <w:bCs/>
          <w:lang w:val="fr-FR"/>
        </w:rPr>
        <w:t>inscription de la Semaine sainte au Guatemala. En outre, elle a également convenu avec la Slovaquie et d</w:t>
      </w:r>
      <w:r w:rsidR="00923E72">
        <w:rPr>
          <w:rFonts w:eastAsia="Malgun Gothic"/>
          <w:bCs/>
          <w:lang w:val="fr-FR"/>
        </w:rPr>
        <w:t>’</w:t>
      </w:r>
      <w:r w:rsidRPr="00667BA5">
        <w:rPr>
          <w:rFonts w:eastAsia="Malgun Gothic"/>
          <w:bCs/>
          <w:lang w:val="fr-FR"/>
        </w:rPr>
        <w:t xml:space="preserve">autres délégations que bon nombre de ces questions </w:t>
      </w:r>
      <w:r w:rsidRPr="00667BA5">
        <w:rPr>
          <w:rFonts w:eastAsia="Malgun Gothic"/>
          <w:bCs/>
          <w:lang w:val="fr-FR"/>
        </w:rPr>
        <w:lastRenderedPageBreak/>
        <w:t>auraient pu être posées dans le cadre du processus de dialogue. Le Comité devait effectivement peaufiner le mécanisme de dialogue.</w:t>
      </w:r>
    </w:p>
    <w:p w14:paraId="70CA179D" w14:textId="5C792BA0" w:rsidR="00C82DD5" w:rsidRDefault="00C82DD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82DD5">
        <w:rPr>
          <w:rFonts w:eastAsia="Malgun Gothic"/>
          <w:bCs/>
          <w:lang w:val="fr-FR"/>
        </w:rPr>
        <w:t xml:space="preserve">Le </w:t>
      </w:r>
      <w:r w:rsidRPr="00702497">
        <w:rPr>
          <w:rFonts w:eastAsia="Malgun Gothic"/>
          <w:b/>
          <w:lang w:val="fr-FR"/>
        </w:rPr>
        <w:t>Sous-Directeur général pour la culture</w:t>
      </w:r>
      <w:r w:rsidRPr="00C82DD5">
        <w:rPr>
          <w:rFonts w:eastAsia="Malgun Gothic"/>
          <w:bCs/>
          <w:lang w:val="fr-FR"/>
        </w:rPr>
        <w:t>, M.</w:t>
      </w:r>
      <w:r>
        <w:rPr>
          <w:rFonts w:eastAsia="Malgun Gothic"/>
          <w:bCs/>
          <w:lang w:val="fr-FR"/>
        </w:rPr>
        <w:t> </w:t>
      </w:r>
      <w:r w:rsidRPr="00C82DD5">
        <w:rPr>
          <w:rFonts w:eastAsia="Malgun Gothic"/>
          <w:bCs/>
          <w:lang w:val="fr-FR"/>
        </w:rPr>
        <w:t>Ernesto Ottone, a convenu avec le Président de l</w:t>
      </w:r>
      <w:r w:rsidR="00923E72">
        <w:rPr>
          <w:rFonts w:eastAsia="Malgun Gothic"/>
          <w:bCs/>
          <w:lang w:val="fr-FR"/>
        </w:rPr>
        <w:t>’</w:t>
      </w:r>
      <w:r w:rsidRPr="00C82DD5">
        <w:rPr>
          <w:rFonts w:eastAsia="Malgun Gothic"/>
          <w:bCs/>
          <w:lang w:val="fr-FR"/>
        </w:rPr>
        <w:t>Organe d</w:t>
      </w:r>
      <w:r w:rsidR="00923E72">
        <w:rPr>
          <w:rFonts w:eastAsia="Malgun Gothic"/>
          <w:bCs/>
          <w:lang w:val="fr-FR"/>
        </w:rPr>
        <w:t>’</w:t>
      </w:r>
      <w:r w:rsidRPr="00C82DD5">
        <w:rPr>
          <w:rFonts w:eastAsia="Malgun Gothic"/>
          <w:bCs/>
          <w:lang w:val="fr-FR"/>
        </w:rPr>
        <w:t>évaluation que l</w:t>
      </w:r>
      <w:r w:rsidR="00923E72">
        <w:rPr>
          <w:rFonts w:eastAsia="Malgun Gothic"/>
          <w:bCs/>
          <w:lang w:val="fr-FR"/>
        </w:rPr>
        <w:t>’</w:t>
      </w:r>
      <w:r w:rsidRPr="00C82DD5">
        <w:rPr>
          <w:rFonts w:eastAsia="Malgun Gothic"/>
          <w:bCs/>
          <w:lang w:val="fr-FR"/>
        </w:rPr>
        <w:t>Organe est régi par le</w:t>
      </w:r>
      <w:r w:rsidR="00AF3A35">
        <w:rPr>
          <w:rFonts w:eastAsia="Malgun Gothic"/>
          <w:bCs/>
          <w:lang w:val="fr-FR"/>
        </w:rPr>
        <w:t xml:space="preserve">s </w:t>
      </w:r>
      <w:r w:rsidR="00AF3A35">
        <w:rPr>
          <w:bCs/>
          <w:lang w:val="fr-FR"/>
        </w:rPr>
        <w:t>termes de référence</w:t>
      </w:r>
      <w:r w:rsidRPr="00C82DD5">
        <w:rPr>
          <w:rFonts w:eastAsia="Malgun Gothic"/>
          <w:bCs/>
          <w:lang w:val="fr-FR"/>
        </w:rPr>
        <w:t xml:space="preserve"> </w:t>
      </w:r>
      <w:r w:rsidR="00AF3A35">
        <w:rPr>
          <w:rFonts w:eastAsia="Malgun Gothic"/>
          <w:bCs/>
          <w:lang w:val="fr-FR"/>
        </w:rPr>
        <w:t>établis par le</w:t>
      </w:r>
      <w:r w:rsidRPr="00C82DD5">
        <w:rPr>
          <w:rFonts w:eastAsia="Malgun Gothic"/>
          <w:bCs/>
          <w:lang w:val="fr-FR"/>
        </w:rPr>
        <w:t xml:space="preserve"> Comité. En d</w:t>
      </w:r>
      <w:r w:rsidR="00923E72">
        <w:rPr>
          <w:rFonts w:eastAsia="Malgun Gothic"/>
          <w:bCs/>
          <w:lang w:val="fr-FR"/>
        </w:rPr>
        <w:t>’</w:t>
      </w:r>
      <w:r w:rsidRPr="00C82DD5">
        <w:rPr>
          <w:rFonts w:eastAsia="Malgun Gothic"/>
          <w:bCs/>
          <w:lang w:val="fr-FR"/>
        </w:rPr>
        <w:t xml:space="preserve">autres </w:t>
      </w:r>
      <w:r w:rsidR="00D52C51">
        <w:rPr>
          <w:rFonts w:eastAsia="Malgun Gothic"/>
          <w:bCs/>
          <w:lang w:val="fr-FR"/>
        </w:rPr>
        <w:t>mots</w:t>
      </w:r>
      <w:r w:rsidRPr="00C82DD5">
        <w:rPr>
          <w:rFonts w:eastAsia="Malgun Gothic"/>
          <w:bCs/>
          <w:lang w:val="fr-FR"/>
        </w:rPr>
        <w:t>, il s</w:t>
      </w:r>
      <w:r w:rsidR="00923E72">
        <w:rPr>
          <w:rFonts w:eastAsia="Malgun Gothic"/>
          <w:bCs/>
          <w:lang w:val="fr-FR"/>
        </w:rPr>
        <w:t>’</w:t>
      </w:r>
      <w:r w:rsidRPr="00C82DD5">
        <w:rPr>
          <w:rFonts w:eastAsia="Malgun Gothic"/>
          <w:bCs/>
          <w:lang w:val="fr-FR"/>
        </w:rPr>
        <w:t>agissait de comprendre le rôle précis de l</w:t>
      </w:r>
      <w:r w:rsidR="00923E72">
        <w:rPr>
          <w:rFonts w:eastAsia="Malgun Gothic"/>
          <w:bCs/>
          <w:lang w:val="fr-FR"/>
        </w:rPr>
        <w:t>’</w:t>
      </w:r>
      <w:r w:rsidRPr="00C82DD5">
        <w:rPr>
          <w:rFonts w:eastAsia="Malgun Gothic"/>
          <w:bCs/>
          <w:lang w:val="fr-FR"/>
        </w:rPr>
        <w:t>Organe. Il était hors de question d</w:t>
      </w:r>
      <w:r w:rsidR="00923E72">
        <w:rPr>
          <w:rFonts w:eastAsia="Malgun Gothic"/>
          <w:bCs/>
          <w:lang w:val="fr-FR"/>
        </w:rPr>
        <w:t>’</w:t>
      </w:r>
      <w:r>
        <w:rPr>
          <w:rFonts w:eastAsia="Malgun Gothic"/>
          <w:bCs/>
          <w:lang w:val="fr-FR"/>
        </w:rPr>
        <w:t>agir</w:t>
      </w:r>
      <w:r w:rsidRPr="00C82DD5">
        <w:rPr>
          <w:rFonts w:eastAsia="Malgun Gothic"/>
          <w:bCs/>
          <w:lang w:val="fr-FR"/>
        </w:rPr>
        <w:t xml:space="preserve"> de mauvaise foi. S</w:t>
      </w:r>
      <w:r w:rsidR="00923E72">
        <w:rPr>
          <w:rFonts w:eastAsia="Malgun Gothic"/>
          <w:bCs/>
          <w:lang w:val="fr-FR"/>
        </w:rPr>
        <w:t>’</w:t>
      </w:r>
      <w:r w:rsidRPr="00C82DD5">
        <w:rPr>
          <w:rFonts w:eastAsia="Malgun Gothic"/>
          <w:bCs/>
          <w:lang w:val="fr-FR"/>
        </w:rPr>
        <w:t>agissant du processus de dialogue, l</w:t>
      </w:r>
      <w:r w:rsidR="00923E72">
        <w:rPr>
          <w:rFonts w:eastAsia="Malgun Gothic"/>
          <w:bCs/>
          <w:lang w:val="fr-FR"/>
        </w:rPr>
        <w:t>’</w:t>
      </w:r>
      <w:r w:rsidRPr="00C82DD5">
        <w:rPr>
          <w:rFonts w:eastAsia="Malgun Gothic"/>
          <w:bCs/>
          <w:lang w:val="fr-FR"/>
        </w:rPr>
        <w:t>Organe devait agir conformément à ce qui était demandé par le Comité. Après trois années d</w:t>
      </w:r>
      <w:r w:rsidR="00923E72">
        <w:rPr>
          <w:rFonts w:eastAsia="Malgun Gothic"/>
          <w:bCs/>
          <w:lang w:val="fr-FR"/>
        </w:rPr>
        <w:t>’</w:t>
      </w:r>
      <w:r w:rsidRPr="00C82DD5">
        <w:rPr>
          <w:rFonts w:eastAsia="Malgun Gothic"/>
          <w:bCs/>
          <w:lang w:val="fr-FR"/>
        </w:rPr>
        <w:t xml:space="preserve">expérimentation du processus de dialogue, il était clair que les résultats avaient montré que ce processus apportait une clarification à certains égards. Mais comme on avait pu le voir il y a </w:t>
      </w:r>
      <w:r w:rsidR="009734EE">
        <w:rPr>
          <w:rFonts w:eastAsia="Malgun Gothic"/>
          <w:bCs/>
          <w:lang w:val="fr-FR"/>
        </w:rPr>
        <w:t xml:space="preserve">deux ou trois </w:t>
      </w:r>
      <w:r w:rsidRPr="00C82DD5">
        <w:rPr>
          <w:rFonts w:eastAsia="Malgun Gothic"/>
          <w:bCs/>
          <w:lang w:val="fr-FR"/>
        </w:rPr>
        <w:t>an</w:t>
      </w:r>
      <w:r w:rsidR="009734EE">
        <w:rPr>
          <w:rFonts w:eastAsia="Malgun Gothic"/>
          <w:bCs/>
          <w:lang w:val="fr-FR"/>
        </w:rPr>
        <w:t>s</w:t>
      </w:r>
      <w:r w:rsidRPr="00C82DD5">
        <w:rPr>
          <w:rFonts w:eastAsia="Malgun Gothic"/>
          <w:bCs/>
          <w:lang w:val="fr-FR"/>
        </w:rPr>
        <w:t>, ce processus ne pouvait pas répondre à toutes les questions. Le Comité devrait donc clarifier ce que ce processus implique réellement. S</w:t>
      </w:r>
      <w:r w:rsidR="00923E72">
        <w:rPr>
          <w:rFonts w:eastAsia="Malgun Gothic"/>
          <w:bCs/>
          <w:lang w:val="fr-FR"/>
        </w:rPr>
        <w:t>’</w:t>
      </w:r>
      <w:r w:rsidRPr="00C82DD5">
        <w:rPr>
          <w:rFonts w:eastAsia="Malgun Gothic"/>
          <w:bCs/>
          <w:lang w:val="fr-FR"/>
        </w:rPr>
        <w:t>il était censé obtenir des réponses semblables à celles qui avaient été données par certains des États soumissionnaires, le Comité devrait alors préciser exactement ce qu</w:t>
      </w:r>
      <w:r w:rsidR="00923E72">
        <w:rPr>
          <w:rFonts w:eastAsia="Malgun Gothic"/>
          <w:bCs/>
          <w:lang w:val="fr-FR"/>
        </w:rPr>
        <w:t>’</w:t>
      </w:r>
      <w:r w:rsidRPr="00C82DD5">
        <w:rPr>
          <w:rFonts w:eastAsia="Malgun Gothic"/>
          <w:bCs/>
          <w:lang w:val="fr-FR"/>
        </w:rPr>
        <w:t>il souhaiterait voir se produire. Ce processus avait été mis en place depuis</w:t>
      </w:r>
      <w:r w:rsidR="001A7AF7">
        <w:rPr>
          <w:rFonts w:eastAsia="Malgun Gothic"/>
          <w:bCs/>
          <w:lang w:val="fr-FR"/>
        </w:rPr>
        <w:t> </w:t>
      </w:r>
      <w:r w:rsidRPr="00C82DD5">
        <w:rPr>
          <w:rFonts w:eastAsia="Malgun Gothic"/>
          <w:bCs/>
          <w:lang w:val="fr-FR"/>
        </w:rPr>
        <w:t>2017, mais c</w:t>
      </w:r>
      <w:r w:rsidR="00923E72">
        <w:rPr>
          <w:rFonts w:eastAsia="Malgun Gothic"/>
          <w:bCs/>
          <w:lang w:val="fr-FR"/>
        </w:rPr>
        <w:t>’</w:t>
      </w:r>
      <w:r w:rsidRPr="00C82DD5">
        <w:rPr>
          <w:rFonts w:eastAsia="Malgun Gothic"/>
          <w:bCs/>
          <w:lang w:val="fr-FR"/>
        </w:rPr>
        <w:t>était un processus en</w:t>
      </w:r>
      <w:r w:rsidR="00096548">
        <w:rPr>
          <w:rFonts w:eastAsia="Malgun Gothic"/>
          <w:bCs/>
          <w:lang w:val="fr-FR"/>
        </w:rPr>
        <w:t xml:space="preserve"> évolution</w:t>
      </w:r>
      <w:r w:rsidRPr="00C82DD5">
        <w:rPr>
          <w:rFonts w:eastAsia="Malgun Gothic"/>
          <w:bCs/>
          <w:lang w:val="fr-FR"/>
        </w:rPr>
        <w:t>. La validité de l</w:t>
      </w:r>
      <w:r w:rsidR="00923E72">
        <w:rPr>
          <w:rFonts w:eastAsia="Malgun Gothic"/>
          <w:bCs/>
          <w:lang w:val="fr-FR"/>
        </w:rPr>
        <w:t>’</w:t>
      </w:r>
      <w:r w:rsidRPr="00C82DD5">
        <w:rPr>
          <w:rFonts w:eastAsia="Malgun Gothic"/>
          <w:bCs/>
          <w:lang w:val="fr-FR"/>
        </w:rPr>
        <w:t>élément était reconnue, mais il nécessitait un peu d</w:t>
      </w:r>
      <w:r w:rsidR="00923E72">
        <w:rPr>
          <w:rFonts w:eastAsia="Malgun Gothic"/>
          <w:bCs/>
          <w:lang w:val="fr-FR"/>
        </w:rPr>
        <w:t>’</w:t>
      </w:r>
      <w:r w:rsidRPr="00C82DD5">
        <w:rPr>
          <w:rFonts w:eastAsia="Malgun Gothic"/>
          <w:bCs/>
          <w:lang w:val="fr-FR"/>
        </w:rPr>
        <w:t>aide</w:t>
      </w:r>
      <w:r w:rsidR="009734EE">
        <w:rPr>
          <w:rFonts w:eastAsia="Malgun Gothic"/>
          <w:bCs/>
          <w:lang w:val="fr-FR"/>
        </w:rPr>
        <w:t xml:space="preserve"> </w:t>
      </w:r>
      <w:r w:rsidR="009734EE" w:rsidRPr="009734EE">
        <w:rPr>
          <w:rFonts w:eastAsia="Malgun Gothic"/>
          <w:bCs/>
          <w:lang w:val="fr-FR"/>
        </w:rPr>
        <w:t>supplémentaire</w:t>
      </w:r>
      <w:r w:rsidRPr="00C82DD5">
        <w:rPr>
          <w:rFonts w:eastAsia="Malgun Gothic"/>
          <w:bCs/>
          <w:lang w:val="fr-FR"/>
        </w:rPr>
        <w:t>. C</w:t>
      </w:r>
      <w:r w:rsidR="00923E72">
        <w:rPr>
          <w:rFonts w:eastAsia="Malgun Gothic"/>
          <w:bCs/>
          <w:lang w:val="fr-FR"/>
        </w:rPr>
        <w:t>’</w:t>
      </w:r>
      <w:r w:rsidRPr="00C82DD5">
        <w:rPr>
          <w:rFonts w:eastAsia="Malgun Gothic"/>
          <w:bCs/>
          <w:lang w:val="fr-FR"/>
        </w:rPr>
        <w:t>est pourquoi M.</w:t>
      </w:r>
      <w:r w:rsidR="009734EE">
        <w:rPr>
          <w:rFonts w:eastAsia="Malgun Gothic"/>
          <w:bCs/>
          <w:lang w:val="fr-FR"/>
        </w:rPr>
        <w:t> </w:t>
      </w:r>
      <w:r w:rsidRPr="00C82DD5">
        <w:rPr>
          <w:rFonts w:eastAsia="Malgun Gothic"/>
          <w:bCs/>
          <w:lang w:val="fr-FR"/>
        </w:rPr>
        <w:t>Ottone a suggéré que le Comité examine cette question. Il a expliqué que toutes les interventions des États soumissionnaires, en répon</w:t>
      </w:r>
      <w:r w:rsidR="009734EE">
        <w:rPr>
          <w:rFonts w:eastAsia="Malgun Gothic"/>
          <w:bCs/>
          <w:lang w:val="fr-FR"/>
        </w:rPr>
        <w:t xml:space="preserve">se </w:t>
      </w:r>
      <w:r w:rsidRPr="00C82DD5">
        <w:rPr>
          <w:rFonts w:eastAsia="Malgun Gothic"/>
          <w:bCs/>
          <w:lang w:val="fr-FR"/>
        </w:rPr>
        <w:t>aux questions</w:t>
      </w:r>
      <w:r w:rsidR="009734EE">
        <w:rPr>
          <w:rFonts w:eastAsia="Malgun Gothic"/>
          <w:bCs/>
          <w:lang w:val="fr-FR"/>
        </w:rPr>
        <w:t xml:space="preserve"> posées</w:t>
      </w:r>
      <w:r w:rsidRPr="00C82DD5">
        <w:rPr>
          <w:rFonts w:eastAsia="Malgun Gothic"/>
          <w:bCs/>
          <w:lang w:val="fr-FR"/>
        </w:rPr>
        <w:t>, n</w:t>
      </w:r>
      <w:r w:rsidR="00923E72">
        <w:rPr>
          <w:rFonts w:eastAsia="Malgun Gothic"/>
          <w:bCs/>
          <w:lang w:val="fr-FR"/>
        </w:rPr>
        <w:t>’</w:t>
      </w:r>
      <w:r w:rsidRPr="00C82DD5">
        <w:rPr>
          <w:rFonts w:eastAsia="Malgun Gothic"/>
          <w:bCs/>
          <w:lang w:val="fr-FR"/>
        </w:rPr>
        <w:t>avaient pas fourni des informations clairement écrites dans les dossiers soumis examinés par l</w:t>
      </w:r>
      <w:r w:rsidR="00923E72">
        <w:rPr>
          <w:rFonts w:eastAsia="Malgun Gothic"/>
          <w:bCs/>
          <w:lang w:val="fr-FR"/>
        </w:rPr>
        <w:t>’</w:t>
      </w:r>
      <w:r w:rsidRPr="00C82DD5">
        <w:rPr>
          <w:rFonts w:eastAsia="Malgun Gothic"/>
          <w:bCs/>
          <w:lang w:val="fr-FR"/>
        </w:rPr>
        <w:t>Organe d</w:t>
      </w:r>
      <w:r w:rsidR="00923E72">
        <w:rPr>
          <w:rFonts w:eastAsia="Malgun Gothic"/>
          <w:bCs/>
          <w:lang w:val="fr-FR"/>
        </w:rPr>
        <w:t>’</w:t>
      </w:r>
      <w:r w:rsidRPr="00C82DD5">
        <w:rPr>
          <w:rFonts w:eastAsia="Malgun Gothic"/>
          <w:bCs/>
          <w:lang w:val="fr-FR"/>
        </w:rPr>
        <w:t>évaluation. Certaines de ces informations manquantes ne figuraient pas dans les dossiers ou n</w:t>
      </w:r>
      <w:r w:rsidR="00923E72">
        <w:rPr>
          <w:rFonts w:eastAsia="Malgun Gothic"/>
          <w:bCs/>
          <w:lang w:val="fr-FR"/>
        </w:rPr>
        <w:t>’</w:t>
      </w:r>
      <w:r w:rsidRPr="00C82DD5">
        <w:rPr>
          <w:rFonts w:eastAsia="Malgun Gothic"/>
          <w:bCs/>
          <w:lang w:val="fr-FR"/>
        </w:rPr>
        <w:t>y étaient mentionnées que de manière indirecte. En rendant ce processus clair, cela faciliterait le travail de l</w:t>
      </w:r>
      <w:r w:rsidR="00923E72">
        <w:rPr>
          <w:rFonts w:eastAsia="Malgun Gothic"/>
          <w:bCs/>
          <w:lang w:val="fr-FR"/>
        </w:rPr>
        <w:t>’</w:t>
      </w:r>
      <w:r w:rsidRPr="00C82DD5">
        <w:rPr>
          <w:rFonts w:eastAsia="Malgun Gothic"/>
          <w:bCs/>
          <w:lang w:val="fr-FR"/>
        </w:rPr>
        <w:t>Organe d</w:t>
      </w:r>
      <w:r w:rsidR="00923E72">
        <w:rPr>
          <w:rFonts w:eastAsia="Malgun Gothic"/>
          <w:bCs/>
          <w:lang w:val="fr-FR"/>
        </w:rPr>
        <w:t>’</w:t>
      </w:r>
      <w:r w:rsidRPr="00C82DD5">
        <w:rPr>
          <w:rFonts w:eastAsia="Malgun Gothic"/>
          <w:bCs/>
          <w:lang w:val="fr-FR"/>
        </w:rPr>
        <w:t>évaluation pour décider quand il peut utiliser le processus de dialogue, ce qui renforcerait encore plus la Convention.</w:t>
      </w:r>
    </w:p>
    <w:p w14:paraId="0199A317" w14:textId="0D778241" w:rsidR="009734EE" w:rsidRDefault="00D6196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D61963">
        <w:rPr>
          <w:rFonts w:eastAsia="Malgun Gothic"/>
          <w:bCs/>
          <w:lang w:val="fr-FR"/>
        </w:rPr>
        <w:t xml:space="preserve">Le </w:t>
      </w:r>
      <w:r w:rsidRPr="00702497">
        <w:rPr>
          <w:rFonts w:eastAsia="Malgun Gothic"/>
          <w:b/>
          <w:lang w:val="fr-FR"/>
        </w:rPr>
        <w:t>Président</w:t>
      </w:r>
      <w:r w:rsidRPr="00D61963">
        <w:rPr>
          <w:rFonts w:eastAsia="Malgun Gothic"/>
          <w:bCs/>
          <w:lang w:val="fr-FR"/>
        </w:rPr>
        <w:t xml:space="preserve"> a souscrit aux remarques du Sous-Directeur général sur les raisons pour lesquelles le Comité tenait ce débat. </w:t>
      </w:r>
      <w:r w:rsidR="004F7D3B">
        <w:rPr>
          <w:rFonts w:eastAsia="Malgun Gothic"/>
          <w:bCs/>
          <w:lang w:val="fr-FR"/>
        </w:rPr>
        <w:t>Cela</w:t>
      </w:r>
      <w:r w:rsidRPr="00D61963">
        <w:rPr>
          <w:rFonts w:eastAsia="Malgun Gothic"/>
          <w:bCs/>
          <w:lang w:val="fr-FR"/>
        </w:rPr>
        <w:t xml:space="preserve"> lui permettait d</w:t>
      </w:r>
      <w:r w:rsidR="00923E72">
        <w:rPr>
          <w:rFonts w:eastAsia="Malgun Gothic"/>
          <w:bCs/>
          <w:lang w:val="fr-FR"/>
        </w:rPr>
        <w:t>’</w:t>
      </w:r>
      <w:r w:rsidRPr="00D61963">
        <w:rPr>
          <w:rFonts w:eastAsia="Malgun Gothic"/>
          <w:bCs/>
          <w:lang w:val="fr-FR"/>
        </w:rPr>
        <w:t xml:space="preserve">essayer de nouvelles idées, tout en </w:t>
      </w:r>
      <w:r w:rsidR="004F7D3B">
        <w:rPr>
          <w:rFonts w:eastAsia="Malgun Gothic"/>
          <w:bCs/>
          <w:lang w:val="fr-FR"/>
        </w:rPr>
        <w:t xml:space="preserve">étant </w:t>
      </w:r>
      <w:r w:rsidRPr="00D61963">
        <w:rPr>
          <w:rFonts w:eastAsia="Malgun Gothic"/>
          <w:bCs/>
          <w:lang w:val="fr-FR"/>
        </w:rPr>
        <w:t xml:space="preserve">également </w:t>
      </w:r>
      <w:r w:rsidR="004F7D3B">
        <w:rPr>
          <w:rFonts w:eastAsia="Malgun Gothic"/>
          <w:bCs/>
          <w:lang w:val="fr-FR"/>
        </w:rPr>
        <w:t>conscient d</w:t>
      </w:r>
      <w:r w:rsidRPr="00D61963">
        <w:rPr>
          <w:rFonts w:eastAsia="Malgun Gothic"/>
          <w:bCs/>
          <w:lang w:val="fr-FR"/>
        </w:rPr>
        <w:t xml:space="preserve">es difficultés du dialogue et </w:t>
      </w:r>
      <w:r w:rsidR="004F7D3B">
        <w:rPr>
          <w:rFonts w:eastAsia="Malgun Gothic"/>
          <w:bCs/>
          <w:lang w:val="fr-FR"/>
        </w:rPr>
        <w:t xml:space="preserve">de </w:t>
      </w:r>
      <w:r w:rsidRPr="00D61963">
        <w:rPr>
          <w:rFonts w:eastAsia="Malgun Gothic"/>
          <w:bCs/>
          <w:lang w:val="fr-FR"/>
        </w:rPr>
        <w:t>la nécessité de faire avancer les choses pour qu</w:t>
      </w:r>
      <w:r w:rsidR="00923E72">
        <w:rPr>
          <w:rFonts w:eastAsia="Malgun Gothic"/>
          <w:bCs/>
          <w:lang w:val="fr-FR"/>
        </w:rPr>
        <w:t>’</w:t>
      </w:r>
      <w:r w:rsidRPr="00D61963">
        <w:rPr>
          <w:rFonts w:eastAsia="Malgun Gothic"/>
          <w:bCs/>
          <w:lang w:val="fr-FR"/>
        </w:rPr>
        <w:t>elles évoluent. Cette remarque était formulée, bien entendu, avec tout le respect dû au travail de l</w:t>
      </w:r>
      <w:r w:rsidR="00923E72">
        <w:rPr>
          <w:rFonts w:eastAsia="Malgun Gothic"/>
          <w:bCs/>
          <w:lang w:val="fr-FR"/>
        </w:rPr>
        <w:t>’</w:t>
      </w:r>
      <w:r w:rsidRPr="00D61963">
        <w:rPr>
          <w:rFonts w:eastAsia="Malgun Gothic"/>
          <w:bCs/>
          <w:lang w:val="fr-FR"/>
        </w:rPr>
        <w:t>Organe d</w:t>
      </w:r>
      <w:r w:rsidR="00923E72">
        <w:rPr>
          <w:rFonts w:eastAsia="Malgun Gothic"/>
          <w:bCs/>
          <w:lang w:val="fr-FR"/>
        </w:rPr>
        <w:t>’</w:t>
      </w:r>
      <w:r w:rsidRPr="00D61963">
        <w:rPr>
          <w:rFonts w:eastAsia="Malgun Gothic"/>
          <w:bCs/>
          <w:lang w:val="fr-FR"/>
        </w:rPr>
        <w:t>évaluation</w:t>
      </w:r>
      <w:r w:rsidR="00CC1380">
        <w:rPr>
          <w:rFonts w:eastAsia="Malgun Gothic"/>
          <w:bCs/>
          <w:lang w:val="fr-FR"/>
        </w:rPr>
        <w:t>,</w:t>
      </w:r>
      <w:r w:rsidRPr="00D61963">
        <w:rPr>
          <w:rFonts w:eastAsia="Malgun Gothic"/>
          <w:bCs/>
          <w:lang w:val="fr-FR"/>
        </w:rPr>
        <w:t xml:space="preserve"> qui s</w:t>
      </w:r>
      <w:r w:rsidR="00923E72">
        <w:rPr>
          <w:rFonts w:eastAsia="Malgun Gothic"/>
          <w:bCs/>
          <w:lang w:val="fr-FR"/>
        </w:rPr>
        <w:t>’</w:t>
      </w:r>
      <w:r w:rsidRPr="00D61963">
        <w:rPr>
          <w:rFonts w:eastAsia="Malgun Gothic"/>
          <w:bCs/>
          <w:lang w:val="fr-FR"/>
        </w:rPr>
        <w:t>était conformé au cadre qui lui avait été fourni. Le Président est passé à l</w:t>
      </w:r>
      <w:r w:rsidR="00923E72">
        <w:rPr>
          <w:rFonts w:eastAsia="Malgun Gothic"/>
          <w:bCs/>
          <w:lang w:val="fr-FR"/>
        </w:rPr>
        <w:t>’</w:t>
      </w:r>
      <w:r w:rsidRPr="00D61963">
        <w:rPr>
          <w:rFonts w:eastAsia="Malgun Gothic"/>
          <w:bCs/>
          <w:lang w:val="fr-FR"/>
        </w:rPr>
        <w:t>adoption du projet de décision, notant le large soutien actif au projet d</w:t>
      </w:r>
      <w:r w:rsidR="00923E72">
        <w:rPr>
          <w:rFonts w:eastAsia="Malgun Gothic"/>
          <w:bCs/>
          <w:lang w:val="fr-FR"/>
        </w:rPr>
        <w:t>’</w:t>
      </w:r>
      <w:r w:rsidRPr="00D61963">
        <w:rPr>
          <w:rFonts w:eastAsia="Malgun Gothic"/>
          <w:bCs/>
          <w:lang w:val="fr-FR"/>
        </w:rPr>
        <w:t>amendement soumis par le Paraguay pour le dossier présenté par le Guatemala. Il est passé au paragraphe</w:t>
      </w:r>
      <w:r w:rsidR="004F7D3B">
        <w:rPr>
          <w:rFonts w:eastAsia="Malgun Gothic"/>
          <w:bCs/>
          <w:lang w:val="fr-FR"/>
        </w:rPr>
        <w:t> </w:t>
      </w:r>
      <w:r w:rsidRPr="00D61963">
        <w:rPr>
          <w:rFonts w:eastAsia="Malgun Gothic"/>
          <w:bCs/>
          <w:lang w:val="fr-FR"/>
        </w:rPr>
        <w:t>1</w:t>
      </w:r>
      <w:r w:rsidR="003E3A17">
        <w:rPr>
          <w:rFonts w:eastAsia="Malgun Gothic"/>
          <w:bCs/>
          <w:lang w:val="fr-FR"/>
        </w:rPr>
        <w:t>,</w:t>
      </w:r>
      <w:r w:rsidRPr="00D61963">
        <w:rPr>
          <w:rFonts w:eastAsia="Malgun Gothic"/>
          <w:bCs/>
          <w:lang w:val="fr-FR"/>
        </w:rPr>
        <w:t xml:space="preserve"> qui a été dûment adopté. Le paragraphe</w:t>
      </w:r>
      <w:r w:rsidR="004F7D3B">
        <w:rPr>
          <w:rFonts w:eastAsia="Malgun Gothic"/>
          <w:bCs/>
          <w:lang w:val="fr-FR"/>
        </w:rPr>
        <w:t> </w:t>
      </w:r>
      <w:r w:rsidRPr="00D61963">
        <w:rPr>
          <w:rFonts w:eastAsia="Malgun Gothic"/>
          <w:bCs/>
          <w:lang w:val="fr-FR"/>
        </w:rPr>
        <w:t>2 et le critère</w:t>
      </w:r>
      <w:r w:rsidR="004F7D3B">
        <w:rPr>
          <w:rFonts w:eastAsia="Malgun Gothic"/>
          <w:bCs/>
          <w:lang w:val="fr-FR"/>
        </w:rPr>
        <w:t> </w:t>
      </w:r>
      <w:r w:rsidRPr="00D61963">
        <w:rPr>
          <w:rFonts w:eastAsia="Malgun Gothic"/>
          <w:bCs/>
          <w:lang w:val="fr-FR"/>
        </w:rPr>
        <w:t xml:space="preserve">R.1 ont été adoptés. Il </w:t>
      </w:r>
      <w:r w:rsidR="004F7D3B">
        <w:rPr>
          <w:rFonts w:eastAsia="Malgun Gothic"/>
          <w:bCs/>
          <w:lang w:val="fr-FR"/>
        </w:rPr>
        <w:t xml:space="preserve">est </w:t>
      </w:r>
      <w:r w:rsidRPr="00D61963">
        <w:rPr>
          <w:rFonts w:eastAsia="Malgun Gothic"/>
          <w:bCs/>
          <w:lang w:val="fr-FR"/>
        </w:rPr>
        <w:t>pass</w:t>
      </w:r>
      <w:r w:rsidR="004F7D3B">
        <w:rPr>
          <w:rFonts w:eastAsia="Malgun Gothic"/>
          <w:bCs/>
          <w:lang w:val="fr-FR"/>
        </w:rPr>
        <w:t>é</w:t>
      </w:r>
      <w:r w:rsidRPr="00D61963">
        <w:rPr>
          <w:rFonts w:eastAsia="Malgun Gothic"/>
          <w:bCs/>
          <w:lang w:val="fr-FR"/>
        </w:rPr>
        <w:t xml:space="preserve"> au critère</w:t>
      </w:r>
      <w:r w:rsidR="004F7D3B">
        <w:rPr>
          <w:rFonts w:eastAsia="Malgun Gothic"/>
          <w:bCs/>
          <w:lang w:val="fr-FR"/>
        </w:rPr>
        <w:t> </w:t>
      </w:r>
      <w:r w:rsidRPr="00D61963">
        <w:rPr>
          <w:rFonts w:eastAsia="Malgun Gothic"/>
          <w:bCs/>
          <w:lang w:val="fr-FR"/>
        </w:rPr>
        <w:t>R.3 et à la proposition d</w:t>
      </w:r>
      <w:r w:rsidR="00923E72">
        <w:rPr>
          <w:rFonts w:eastAsia="Malgun Gothic"/>
          <w:bCs/>
          <w:lang w:val="fr-FR"/>
        </w:rPr>
        <w:t>’</w:t>
      </w:r>
      <w:r w:rsidRPr="00D61963">
        <w:rPr>
          <w:rFonts w:eastAsia="Malgun Gothic"/>
          <w:bCs/>
          <w:lang w:val="fr-FR"/>
        </w:rPr>
        <w:t>amendement.</w:t>
      </w:r>
    </w:p>
    <w:p w14:paraId="3AB2F663" w14:textId="37C51DB9" w:rsidR="004F7D3B" w:rsidRDefault="004F7D3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4F7D3B">
        <w:rPr>
          <w:rFonts w:eastAsia="Malgun Gothic"/>
          <w:bCs/>
          <w:lang w:val="fr-FR"/>
        </w:rPr>
        <w:t>délégation</w:t>
      </w:r>
      <w:r>
        <w:rPr>
          <w:rFonts w:eastAsia="Malgun Gothic"/>
          <w:bCs/>
          <w:lang w:val="fr-FR"/>
        </w:rPr>
        <w:t xml:space="preserve"> du </w:t>
      </w:r>
      <w:r w:rsidRPr="00702497">
        <w:rPr>
          <w:rFonts w:eastAsia="Malgun Gothic"/>
          <w:b/>
          <w:lang w:val="fr-FR"/>
        </w:rPr>
        <w:t>Maroc</w:t>
      </w:r>
      <w:r>
        <w:rPr>
          <w:rFonts w:eastAsia="Malgun Gothic"/>
          <w:bCs/>
          <w:lang w:val="fr-FR"/>
        </w:rPr>
        <w:t xml:space="preserve"> souhaitait que son nom soit ajouté à la lis</w:t>
      </w:r>
      <w:r w:rsidRPr="004F7D3B">
        <w:rPr>
          <w:rFonts w:eastAsia="Malgun Gothic"/>
          <w:bCs/>
          <w:lang w:val="fr-FR"/>
        </w:rPr>
        <w:t>te des coauteurs, qui incluaient l</w:t>
      </w:r>
      <w:r w:rsidR="00923E72">
        <w:rPr>
          <w:rFonts w:eastAsia="Malgun Gothic"/>
          <w:bCs/>
          <w:lang w:val="fr-FR"/>
        </w:rPr>
        <w:t>’</w:t>
      </w:r>
      <w:r w:rsidRPr="004F7D3B">
        <w:rPr>
          <w:rFonts w:eastAsia="Malgun Gothic"/>
          <w:bCs/>
          <w:lang w:val="fr-FR"/>
        </w:rPr>
        <w:t>Angola, le Bangladesh, le Brésil, la Côte</w:t>
      </w:r>
      <w:r w:rsidR="003E3A17">
        <w:rPr>
          <w:rFonts w:eastAsia="Malgun Gothic"/>
          <w:bCs/>
          <w:lang w:val="fr-FR"/>
        </w:rPr>
        <w:t> </w:t>
      </w:r>
      <w:r w:rsidRPr="004F7D3B">
        <w:rPr>
          <w:rFonts w:eastAsia="Malgun Gothic"/>
          <w:bCs/>
          <w:lang w:val="fr-FR"/>
        </w:rPr>
        <w:t>d</w:t>
      </w:r>
      <w:r w:rsidR="00923E72">
        <w:rPr>
          <w:rFonts w:eastAsia="Malgun Gothic"/>
          <w:bCs/>
          <w:lang w:val="fr-FR"/>
        </w:rPr>
        <w:t>’</w:t>
      </w:r>
      <w:r w:rsidRPr="004F7D3B">
        <w:rPr>
          <w:rFonts w:eastAsia="Malgun Gothic"/>
          <w:bCs/>
          <w:lang w:val="fr-FR"/>
        </w:rPr>
        <w:t>Ivoire, l</w:t>
      </w:r>
      <w:r w:rsidR="00923E72">
        <w:rPr>
          <w:rFonts w:eastAsia="Malgun Gothic"/>
          <w:bCs/>
          <w:lang w:val="fr-FR"/>
        </w:rPr>
        <w:t>’</w:t>
      </w:r>
      <w:r w:rsidRPr="004F7D3B">
        <w:rPr>
          <w:rFonts w:eastAsia="Malgun Gothic"/>
          <w:bCs/>
          <w:lang w:val="fr-FR"/>
        </w:rPr>
        <w:t>Éthiopie, l</w:t>
      </w:r>
      <w:r w:rsidR="00923E72">
        <w:rPr>
          <w:rFonts w:eastAsia="Malgun Gothic"/>
          <w:bCs/>
          <w:lang w:val="fr-FR"/>
        </w:rPr>
        <w:t>’</w:t>
      </w:r>
      <w:r w:rsidRPr="004F7D3B">
        <w:rPr>
          <w:rFonts w:eastAsia="Malgun Gothic"/>
          <w:bCs/>
          <w:lang w:val="fr-FR"/>
        </w:rPr>
        <w:t>Inde, le Panama, le Pérou, le Rwanda et le Viet Nam.</w:t>
      </w:r>
    </w:p>
    <w:p w14:paraId="6748DE86" w14:textId="716ECE2B" w:rsidR="004F7D3B" w:rsidRPr="00702497" w:rsidRDefault="004F7D3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4F7D3B">
        <w:rPr>
          <w:rFonts w:eastAsia="Malgun Gothic"/>
          <w:bCs/>
          <w:lang w:val="fr-FR"/>
        </w:rPr>
        <w:t>délégation</w:t>
      </w:r>
      <w:r>
        <w:rPr>
          <w:rFonts w:eastAsia="Malgun Gothic"/>
          <w:bCs/>
          <w:lang w:val="fr-FR"/>
        </w:rPr>
        <w:t xml:space="preserve"> du </w:t>
      </w:r>
      <w:r w:rsidRPr="00702497">
        <w:rPr>
          <w:rFonts w:eastAsia="Malgun Gothic"/>
          <w:b/>
          <w:lang w:val="fr-FR"/>
        </w:rPr>
        <w:t>Burkina Faso</w:t>
      </w:r>
      <w:r>
        <w:rPr>
          <w:rFonts w:eastAsia="Malgun Gothic"/>
          <w:bCs/>
          <w:lang w:val="fr-FR"/>
        </w:rPr>
        <w:t xml:space="preserve"> s</w:t>
      </w:r>
      <w:r w:rsidR="00923E72">
        <w:rPr>
          <w:rFonts w:eastAsia="Malgun Gothic"/>
          <w:bCs/>
          <w:lang w:val="fr-FR"/>
        </w:rPr>
        <w:t>’</w:t>
      </w:r>
      <w:r>
        <w:rPr>
          <w:rFonts w:eastAsia="Malgun Gothic"/>
          <w:bCs/>
          <w:lang w:val="fr-FR"/>
        </w:rPr>
        <w:t xml:space="preserve">est </w:t>
      </w:r>
      <w:r w:rsidRPr="004F7D3B">
        <w:rPr>
          <w:rFonts w:eastAsia="Malgun Gothic"/>
          <w:bCs/>
          <w:color w:val="000000" w:themeColor="text1"/>
          <w:lang w:val="fr-FR"/>
        </w:rPr>
        <w:t>également</w:t>
      </w:r>
      <w:r>
        <w:rPr>
          <w:rFonts w:eastAsia="Malgun Gothic"/>
          <w:bCs/>
          <w:color w:val="000000" w:themeColor="text1"/>
          <w:lang w:val="fr-FR"/>
        </w:rPr>
        <w:t xml:space="preserve"> portée coauteur de l</w:t>
      </w:r>
      <w:r w:rsidR="00923E72">
        <w:rPr>
          <w:rFonts w:eastAsia="Malgun Gothic"/>
          <w:bCs/>
          <w:color w:val="000000" w:themeColor="text1"/>
          <w:lang w:val="fr-FR"/>
        </w:rPr>
        <w:t>’</w:t>
      </w:r>
      <w:r w:rsidRPr="004F7D3B">
        <w:rPr>
          <w:rFonts w:eastAsia="Malgun Gothic"/>
          <w:bCs/>
          <w:color w:val="000000" w:themeColor="text1"/>
          <w:lang w:val="fr-FR"/>
        </w:rPr>
        <w:t>amendement</w:t>
      </w:r>
      <w:r>
        <w:rPr>
          <w:rFonts w:eastAsia="Malgun Gothic"/>
          <w:bCs/>
          <w:color w:val="000000" w:themeColor="text1"/>
          <w:lang w:val="fr-FR"/>
        </w:rPr>
        <w:t xml:space="preserve"> au </w:t>
      </w:r>
      <w:r w:rsidRPr="004F7D3B">
        <w:rPr>
          <w:rFonts w:eastAsia="Malgun Gothic"/>
          <w:bCs/>
          <w:color w:val="000000" w:themeColor="text1"/>
          <w:lang w:val="fr-FR"/>
        </w:rPr>
        <w:t>paragraphe</w:t>
      </w:r>
      <w:r>
        <w:rPr>
          <w:rFonts w:eastAsia="Malgun Gothic"/>
          <w:bCs/>
          <w:color w:val="000000" w:themeColor="text1"/>
          <w:lang w:val="fr-FR"/>
        </w:rPr>
        <w:t xml:space="preserve"> sur le </w:t>
      </w:r>
      <w:r w:rsidRPr="004F7D3B">
        <w:rPr>
          <w:rFonts w:eastAsia="Malgun Gothic"/>
          <w:bCs/>
          <w:color w:val="000000" w:themeColor="text1"/>
          <w:lang w:val="fr-FR"/>
        </w:rPr>
        <w:t>critère</w:t>
      </w:r>
      <w:r>
        <w:rPr>
          <w:rFonts w:eastAsia="Malgun Gothic"/>
          <w:bCs/>
          <w:color w:val="000000" w:themeColor="text1"/>
          <w:lang w:val="fr-FR"/>
        </w:rPr>
        <w:t> R.3.</w:t>
      </w:r>
    </w:p>
    <w:p w14:paraId="2F99E12B" w14:textId="3268D080" w:rsidR="004F7D3B" w:rsidRPr="00EC02E6" w:rsidRDefault="004F7D3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4F7D3B">
        <w:rPr>
          <w:rFonts w:eastAsia="Malgun Gothic"/>
          <w:bCs/>
          <w:lang w:val="fr-FR"/>
        </w:rPr>
        <w:t xml:space="preserve">Le </w:t>
      </w:r>
      <w:r w:rsidRPr="00702497">
        <w:rPr>
          <w:rFonts w:eastAsia="Malgun Gothic"/>
          <w:b/>
          <w:lang w:val="fr-FR"/>
        </w:rPr>
        <w:t>Président</w:t>
      </w:r>
      <w:r w:rsidRPr="004F7D3B">
        <w:rPr>
          <w:rFonts w:eastAsia="Malgun Gothic"/>
          <w:bCs/>
          <w:lang w:val="fr-FR"/>
        </w:rPr>
        <w:t xml:space="preserve"> a également </w:t>
      </w:r>
      <w:r>
        <w:rPr>
          <w:rFonts w:eastAsia="Malgun Gothic"/>
          <w:bCs/>
          <w:lang w:val="fr-FR"/>
        </w:rPr>
        <w:t xml:space="preserve">signalé </w:t>
      </w:r>
      <w:r w:rsidRPr="004F7D3B">
        <w:rPr>
          <w:rFonts w:eastAsia="Malgun Gothic"/>
          <w:bCs/>
          <w:lang w:val="fr-FR"/>
        </w:rPr>
        <w:t>le soutien du Botswana, de l</w:t>
      </w:r>
      <w:r w:rsidR="00923E72">
        <w:rPr>
          <w:rFonts w:eastAsia="Malgun Gothic"/>
          <w:bCs/>
          <w:lang w:val="fr-FR"/>
        </w:rPr>
        <w:t>’</w:t>
      </w:r>
      <w:r w:rsidRPr="004F7D3B">
        <w:rPr>
          <w:rFonts w:eastAsia="Malgun Gothic"/>
          <w:bCs/>
          <w:lang w:val="fr-FR"/>
        </w:rPr>
        <w:t>Ouzbékistan, de la République de Corée et de la Mauritanie. En l</w:t>
      </w:r>
      <w:r w:rsidR="00923E72">
        <w:rPr>
          <w:rFonts w:eastAsia="Malgun Gothic"/>
          <w:bCs/>
          <w:lang w:val="fr-FR"/>
        </w:rPr>
        <w:t>’</w:t>
      </w:r>
      <w:r w:rsidRPr="004F7D3B">
        <w:rPr>
          <w:rFonts w:eastAsia="Malgun Gothic"/>
          <w:bCs/>
          <w:lang w:val="fr-FR"/>
        </w:rPr>
        <w:t>absence d</w:t>
      </w:r>
      <w:r w:rsidR="00923E72">
        <w:rPr>
          <w:rFonts w:eastAsia="Malgun Gothic"/>
          <w:bCs/>
          <w:lang w:val="fr-FR"/>
        </w:rPr>
        <w:t>’</w:t>
      </w:r>
      <w:r w:rsidRPr="004F7D3B">
        <w:rPr>
          <w:rFonts w:eastAsia="Malgun Gothic"/>
          <w:bCs/>
          <w:lang w:val="fr-FR"/>
        </w:rPr>
        <w:t>objections, l</w:t>
      </w:r>
      <w:r>
        <w:rPr>
          <w:rFonts w:eastAsia="Malgun Gothic"/>
          <w:bCs/>
          <w:lang w:val="fr-FR"/>
        </w:rPr>
        <w:t xml:space="preserve">e </w:t>
      </w:r>
      <w:r w:rsidRPr="004F7D3B">
        <w:rPr>
          <w:rFonts w:eastAsia="Malgun Gothic"/>
          <w:bCs/>
          <w:lang w:val="fr-FR"/>
        </w:rPr>
        <w:t>paragraphe</w:t>
      </w:r>
      <w:r>
        <w:rPr>
          <w:rFonts w:eastAsia="Malgun Gothic"/>
          <w:bCs/>
          <w:lang w:val="fr-FR"/>
        </w:rPr>
        <w:t xml:space="preserve"> sur le </w:t>
      </w:r>
      <w:r w:rsidRPr="004F7D3B">
        <w:rPr>
          <w:rFonts w:eastAsia="Malgun Gothic"/>
          <w:bCs/>
          <w:lang w:val="fr-FR"/>
        </w:rPr>
        <w:t>critère</w:t>
      </w:r>
      <w:r>
        <w:rPr>
          <w:rFonts w:eastAsia="Malgun Gothic"/>
          <w:bCs/>
          <w:lang w:val="fr-FR"/>
        </w:rPr>
        <w:t> </w:t>
      </w:r>
      <w:r w:rsidRPr="004F7D3B">
        <w:rPr>
          <w:rFonts w:eastAsia="Malgun Gothic"/>
          <w:bCs/>
          <w:lang w:val="fr-FR"/>
        </w:rPr>
        <w:t xml:space="preserve">R.3 </w:t>
      </w:r>
      <w:r>
        <w:rPr>
          <w:rFonts w:eastAsia="Malgun Gothic"/>
          <w:bCs/>
          <w:lang w:val="fr-FR"/>
        </w:rPr>
        <w:t>dans le</w:t>
      </w:r>
      <w:r w:rsidRPr="004F7D3B">
        <w:rPr>
          <w:rFonts w:eastAsia="Malgun Gothic"/>
          <w:bCs/>
          <w:lang w:val="fr-FR"/>
        </w:rPr>
        <w:t xml:space="preserve"> paragraphe</w:t>
      </w:r>
      <w:r w:rsidR="008F5CA2">
        <w:rPr>
          <w:rFonts w:eastAsia="Malgun Gothic"/>
          <w:bCs/>
          <w:lang w:val="fr-FR"/>
        </w:rPr>
        <w:t> </w:t>
      </w:r>
      <w:r w:rsidRPr="004F7D3B">
        <w:rPr>
          <w:rFonts w:eastAsia="Malgun Gothic"/>
          <w:bCs/>
          <w:lang w:val="fr-FR"/>
        </w:rPr>
        <w:t xml:space="preserve">2 </w:t>
      </w:r>
      <w:r>
        <w:rPr>
          <w:rFonts w:eastAsia="Malgun Gothic"/>
          <w:bCs/>
          <w:lang w:val="fr-FR"/>
        </w:rPr>
        <w:t xml:space="preserve">a été </w:t>
      </w:r>
      <w:r w:rsidRPr="004F7D3B">
        <w:rPr>
          <w:rFonts w:eastAsia="Malgun Gothic"/>
          <w:bCs/>
          <w:lang w:val="fr-FR"/>
        </w:rPr>
        <w:t>dûment adopté tel qu</w:t>
      </w:r>
      <w:r w:rsidR="00923E72">
        <w:rPr>
          <w:rFonts w:eastAsia="Malgun Gothic"/>
          <w:bCs/>
          <w:lang w:val="fr-FR"/>
        </w:rPr>
        <w:t>’</w:t>
      </w:r>
      <w:r w:rsidRPr="004F7D3B">
        <w:rPr>
          <w:rFonts w:eastAsia="Malgun Gothic"/>
          <w:bCs/>
          <w:lang w:val="fr-FR"/>
        </w:rPr>
        <w:t>amendé.</w:t>
      </w:r>
      <w:r>
        <w:rPr>
          <w:rFonts w:eastAsia="Malgun Gothic"/>
          <w:bCs/>
          <w:lang w:val="fr-FR"/>
        </w:rPr>
        <w:t xml:space="preserve"> L</w:t>
      </w:r>
      <w:r w:rsidRPr="004F7D3B">
        <w:rPr>
          <w:rFonts w:eastAsia="Malgun Gothic"/>
          <w:bCs/>
          <w:lang w:val="fr-FR"/>
        </w:rPr>
        <w:t>e</w:t>
      </w:r>
      <w:r>
        <w:rPr>
          <w:rFonts w:eastAsia="Malgun Gothic"/>
          <w:bCs/>
          <w:lang w:val="fr-FR"/>
        </w:rPr>
        <w:t xml:space="preserve"> </w:t>
      </w:r>
      <w:r w:rsidRPr="004F7D3B">
        <w:rPr>
          <w:rFonts w:eastAsia="Malgun Gothic"/>
          <w:bCs/>
          <w:lang w:val="fr-FR"/>
        </w:rPr>
        <w:t>paragraphe</w:t>
      </w:r>
      <w:r>
        <w:rPr>
          <w:rFonts w:eastAsia="Malgun Gothic"/>
          <w:bCs/>
          <w:lang w:val="fr-FR"/>
        </w:rPr>
        <w:t xml:space="preserve"> sur le critère </w:t>
      </w:r>
      <w:r w:rsidRPr="004F7D3B">
        <w:rPr>
          <w:rFonts w:eastAsia="Malgun Gothic"/>
          <w:bCs/>
          <w:lang w:val="fr-FR"/>
        </w:rPr>
        <w:t xml:space="preserve">R.4, sans amendement, </w:t>
      </w:r>
      <w:r>
        <w:rPr>
          <w:rFonts w:eastAsia="Malgun Gothic"/>
          <w:bCs/>
          <w:lang w:val="fr-FR"/>
        </w:rPr>
        <w:t xml:space="preserve">a </w:t>
      </w:r>
      <w:r w:rsidRPr="004F7D3B">
        <w:rPr>
          <w:rFonts w:eastAsia="Malgun Gothic"/>
          <w:bCs/>
          <w:lang w:val="fr-FR"/>
        </w:rPr>
        <w:t xml:space="preserve">également </w:t>
      </w:r>
      <w:r>
        <w:rPr>
          <w:rFonts w:eastAsia="Malgun Gothic"/>
          <w:bCs/>
          <w:lang w:val="fr-FR"/>
        </w:rPr>
        <w:t xml:space="preserve">été </w:t>
      </w:r>
      <w:r w:rsidRPr="004F7D3B">
        <w:rPr>
          <w:rFonts w:eastAsia="Malgun Gothic"/>
          <w:bCs/>
          <w:lang w:val="fr-FR"/>
        </w:rPr>
        <w:t>adopté. En l</w:t>
      </w:r>
      <w:r w:rsidR="00923E72">
        <w:rPr>
          <w:rFonts w:eastAsia="Malgun Gothic"/>
          <w:bCs/>
          <w:lang w:val="fr-FR"/>
        </w:rPr>
        <w:t>’</w:t>
      </w:r>
      <w:r w:rsidRPr="004F7D3B">
        <w:rPr>
          <w:rFonts w:eastAsia="Malgun Gothic"/>
          <w:bCs/>
          <w:lang w:val="fr-FR"/>
        </w:rPr>
        <w:t>absence de commentaires ou d</w:t>
      </w:r>
      <w:r w:rsidR="00923E72">
        <w:rPr>
          <w:rFonts w:eastAsia="Malgun Gothic"/>
          <w:bCs/>
          <w:lang w:val="fr-FR"/>
        </w:rPr>
        <w:t>’</w:t>
      </w:r>
      <w:r w:rsidRPr="004F7D3B">
        <w:rPr>
          <w:rFonts w:eastAsia="Malgun Gothic"/>
          <w:bCs/>
          <w:lang w:val="fr-FR"/>
        </w:rPr>
        <w:t>objections sur le chapeau du paragraphe</w:t>
      </w:r>
      <w:r w:rsidR="008F5CA2">
        <w:rPr>
          <w:rFonts w:eastAsia="Malgun Gothic"/>
          <w:bCs/>
          <w:lang w:val="fr-FR"/>
        </w:rPr>
        <w:t> </w:t>
      </w:r>
      <w:r w:rsidRPr="004F7D3B">
        <w:rPr>
          <w:rFonts w:eastAsia="Malgun Gothic"/>
          <w:bCs/>
          <w:lang w:val="fr-FR"/>
        </w:rPr>
        <w:t xml:space="preserve">2, celui-ci </w:t>
      </w:r>
      <w:r>
        <w:rPr>
          <w:rFonts w:eastAsia="Malgun Gothic"/>
          <w:bCs/>
          <w:lang w:val="fr-FR"/>
        </w:rPr>
        <w:t xml:space="preserve">a été </w:t>
      </w:r>
      <w:r w:rsidRPr="004F7D3B">
        <w:rPr>
          <w:rFonts w:eastAsia="Malgun Gothic"/>
          <w:bCs/>
          <w:lang w:val="fr-FR"/>
        </w:rPr>
        <w:t xml:space="preserve">dûment adopté. </w:t>
      </w:r>
      <w:r>
        <w:rPr>
          <w:rFonts w:eastAsia="Malgun Gothic"/>
          <w:bCs/>
          <w:lang w:val="fr-FR"/>
        </w:rPr>
        <w:t xml:space="preserve">Le </w:t>
      </w:r>
      <w:r w:rsidRPr="004F7D3B">
        <w:rPr>
          <w:rFonts w:eastAsia="Malgun Gothic"/>
          <w:bCs/>
          <w:lang w:val="fr-FR"/>
        </w:rPr>
        <w:t xml:space="preserve">Président </w:t>
      </w:r>
      <w:r>
        <w:rPr>
          <w:rFonts w:eastAsia="Malgun Gothic"/>
          <w:bCs/>
          <w:lang w:val="fr-FR"/>
        </w:rPr>
        <w:t xml:space="preserve">est ensuite </w:t>
      </w:r>
      <w:r w:rsidRPr="004F7D3B">
        <w:rPr>
          <w:rFonts w:eastAsia="Malgun Gothic"/>
          <w:bCs/>
          <w:lang w:val="fr-FR"/>
        </w:rPr>
        <w:t>pass</w:t>
      </w:r>
      <w:r>
        <w:rPr>
          <w:rFonts w:eastAsia="Malgun Gothic"/>
          <w:bCs/>
          <w:lang w:val="fr-FR"/>
        </w:rPr>
        <w:t>é</w:t>
      </w:r>
      <w:r w:rsidRPr="004F7D3B">
        <w:rPr>
          <w:rFonts w:eastAsia="Malgun Gothic"/>
          <w:bCs/>
          <w:lang w:val="fr-FR"/>
        </w:rPr>
        <w:t xml:space="preserve"> au paragraphe</w:t>
      </w:r>
      <w:r>
        <w:rPr>
          <w:rFonts w:eastAsia="Malgun Gothic"/>
          <w:bCs/>
          <w:lang w:val="fr-FR"/>
        </w:rPr>
        <w:t> </w:t>
      </w:r>
      <w:r w:rsidRPr="004F7D3B">
        <w:rPr>
          <w:rFonts w:eastAsia="Malgun Gothic"/>
          <w:bCs/>
          <w:lang w:val="fr-FR"/>
        </w:rPr>
        <w:t>3 et à l</w:t>
      </w:r>
      <w:r w:rsidR="00923E72">
        <w:rPr>
          <w:rFonts w:eastAsia="Malgun Gothic"/>
          <w:bCs/>
          <w:lang w:val="fr-FR"/>
        </w:rPr>
        <w:t>’</w:t>
      </w:r>
      <w:r w:rsidRPr="004F7D3B">
        <w:rPr>
          <w:rFonts w:eastAsia="Malgun Gothic"/>
          <w:bCs/>
          <w:lang w:val="fr-FR"/>
        </w:rPr>
        <w:t xml:space="preserve">amendement </w:t>
      </w:r>
      <w:r>
        <w:rPr>
          <w:rFonts w:eastAsia="Malgun Gothic"/>
          <w:bCs/>
          <w:lang w:val="fr-FR"/>
        </w:rPr>
        <w:t>sur le critère </w:t>
      </w:r>
      <w:r w:rsidRPr="004F7D3B">
        <w:rPr>
          <w:rFonts w:eastAsia="Malgun Gothic"/>
          <w:bCs/>
          <w:lang w:val="fr-FR"/>
        </w:rPr>
        <w:t xml:space="preserve">R.2, qui </w:t>
      </w:r>
      <w:r>
        <w:rPr>
          <w:rFonts w:eastAsia="Malgun Gothic"/>
          <w:bCs/>
          <w:lang w:val="fr-FR"/>
        </w:rPr>
        <w:t xml:space="preserve">a été </w:t>
      </w:r>
      <w:r w:rsidRPr="004F7D3B">
        <w:rPr>
          <w:rFonts w:eastAsia="Malgun Gothic"/>
          <w:bCs/>
          <w:lang w:val="fr-FR"/>
        </w:rPr>
        <w:t>adopté tel qu</w:t>
      </w:r>
      <w:r w:rsidR="00923E72">
        <w:rPr>
          <w:rFonts w:eastAsia="Malgun Gothic"/>
          <w:bCs/>
          <w:lang w:val="fr-FR"/>
        </w:rPr>
        <w:t>’</w:t>
      </w:r>
      <w:r>
        <w:rPr>
          <w:rFonts w:eastAsia="Malgun Gothic"/>
          <w:bCs/>
          <w:lang w:val="fr-FR"/>
        </w:rPr>
        <w:t>amendé</w:t>
      </w:r>
      <w:r w:rsidRPr="004F7D3B">
        <w:rPr>
          <w:rFonts w:eastAsia="Malgun Gothic"/>
          <w:bCs/>
          <w:lang w:val="fr-FR"/>
        </w:rPr>
        <w:t>. L</w:t>
      </w:r>
      <w:r>
        <w:rPr>
          <w:rFonts w:eastAsia="Malgun Gothic"/>
          <w:bCs/>
          <w:lang w:val="fr-FR"/>
        </w:rPr>
        <w:t xml:space="preserve">e </w:t>
      </w:r>
      <w:r w:rsidRPr="004F7D3B">
        <w:rPr>
          <w:rFonts w:eastAsia="Malgun Gothic"/>
          <w:bCs/>
          <w:lang w:val="fr-FR"/>
        </w:rPr>
        <w:t>paragraphe</w:t>
      </w:r>
      <w:r>
        <w:rPr>
          <w:rFonts w:eastAsia="Malgun Gothic"/>
          <w:bCs/>
          <w:lang w:val="fr-FR"/>
        </w:rPr>
        <w:t xml:space="preserve"> sur le </w:t>
      </w:r>
      <w:r w:rsidRPr="004F7D3B">
        <w:rPr>
          <w:rFonts w:eastAsia="Malgun Gothic"/>
          <w:bCs/>
          <w:lang w:val="fr-FR"/>
        </w:rPr>
        <w:t>critère</w:t>
      </w:r>
      <w:r>
        <w:rPr>
          <w:rFonts w:eastAsia="Malgun Gothic"/>
          <w:bCs/>
          <w:lang w:val="fr-FR"/>
        </w:rPr>
        <w:t> </w:t>
      </w:r>
      <w:r w:rsidRPr="004F7D3B">
        <w:rPr>
          <w:rFonts w:eastAsia="Malgun Gothic"/>
          <w:bCs/>
          <w:lang w:val="fr-FR"/>
        </w:rPr>
        <w:t xml:space="preserve">R.5 </w:t>
      </w:r>
      <w:r>
        <w:rPr>
          <w:rFonts w:eastAsia="Malgun Gothic"/>
          <w:bCs/>
          <w:lang w:val="fr-FR"/>
        </w:rPr>
        <w:t xml:space="preserve">a </w:t>
      </w:r>
      <w:r w:rsidRPr="004F7D3B">
        <w:rPr>
          <w:rFonts w:eastAsia="Malgun Gothic"/>
          <w:bCs/>
          <w:lang w:val="fr-FR"/>
        </w:rPr>
        <w:t xml:space="preserve">également </w:t>
      </w:r>
      <w:r>
        <w:rPr>
          <w:rFonts w:eastAsia="Malgun Gothic"/>
          <w:bCs/>
          <w:lang w:val="fr-FR"/>
        </w:rPr>
        <w:t xml:space="preserve">été </w:t>
      </w:r>
      <w:r w:rsidRPr="004F7D3B">
        <w:rPr>
          <w:rFonts w:eastAsia="Malgun Gothic"/>
          <w:bCs/>
          <w:lang w:val="fr-FR"/>
        </w:rPr>
        <w:t>adopté avec un amendement. Le chapeau du paragraphe</w:t>
      </w:r>
      <w:r w:rsidR="008F5CA2">
        <w:rPr>
          <w:rFonts w:eastAsia="Malgun Gothic"/>
          <w:bCs/>
          <w:lang w:val="fr-FR"/>
        </w:rPr>
        <w:t> </w:t>
      </w:r>
      <w:r w:rsidRPr="004F7D3B">
        <w:rPr>
          <w:rFonts w:eastAsia="Malgun Gothic"/>
          <w:bCs/>
          <w:lang w:val="fr-FR"/>
        </w:rPr>
        <w:t xml:space="preserve">3 </w:t>
      </w:r>
      <w:r>
        <w:rPr>
          <w:rFonts w:eastAsia="Malgun Gothic"/>
          <w:bCs/>
          <w:lang w:val="fr-FR"/>
        </w:rPr>
        <w:t xml:space="preserve">a été </w:t>
      </w:r>
      <w:r w:rsidRPr="004F7D3B">
        <w:rPr>
          <w:rFonts w:eastAsia="Malgun Gothic"/>
          <w:bCs/>
          <w:lang w:val="fr-FR"/>
        </w:rPr>
        <w:t>adopté. Les paragraphes</w:t>
      </w:r>
      <w:r w:rsidR="008F5CA2">
        <w:rPr>
          <w:rFonts w:eastAsia="Malgun Gothic"/>
          <w:bCs/>
          <w:lang w:val="fr-FR"/>
        </w:rPr>
        <w:t> </w:t>
      </w:r>
      <w:r w:rsidRPr="004F7D3B">
        <w:rPr>
          <w:rFonts w:eastAsia="Malgun Gothic"/>
          <w:bCs/>
          <w:lang w:val="fr-FR"/>
        </w:rPr>
        <w:t>4 et</w:t>
      </w:r>
      <w:r w:rsidR="008F5CA2">
        <w:rPr>
          <w:rFonts w:eastAsia="Malgun Gothic"/>
          <w:bCs/>
          <w:lang w:val="fr-FR"/>
        </w:rPr>
        <w:t> </w:t>
      </w:r>
      <w:r w:rsidRPr="004F7D3B">
        <w:rPr>
          <w:rFonts w:eastAsia="Malgun Gothic"/>
          <w:bCs/>
          <w:lang w:val="fr-FR"/>
        </w:rPr>
        <w:t xml:space="preserve">5 </w:t>
      </w:r>
      <w:r>
        <w:rPr>
          <w:rFonts w:eastAsia="Malgun Gothic"/>
          <w:bCs/>
          <w:lang w:val="fr-FR"/>
        </w:rPr>
        <w:t xml:space="preserve">ont été </w:t>
      </w:r>
      <w:r w:rsidRPr="004F7D3B">
        <w:rPr>
          <w:rFonts w:eastAsia="Malgun Gothic"/>
          <w:bCs/>
          <w:lang w:val="fr-FR"/>
        </w:rPr>
        <w:t>adoptés. Le paragraphe</w:t>
      </w:r>
      <w:r w:rsidR="008F5CA2">
        <w:rPr>
          <w:rFonts w:eastAsia="Malgun Gothic"/>
          <w:bCs/>
          <w:lang w:val="fr-FR"/>
        </w:rPr>
        <w:t> </w:t>
      </w:r>
      <w:r w:rsidRPr="004F7D3B">
        <w:rPr>
          <w:rFonts w:eastAsia="Malgun Gothic"/>
          <w:bCs/>
          <w:lang w:val="fr-FR"/>
        </w:rPr>
        <w:t>6</w:t>
      </w:r>
      <w:r w:rsidR="000B21A1">
        <w:rPr>
          <w:rFonts w:eastAsia="Malgun Gothic"/>
          <w:bCs/>
          <w:lang w:val="fr-FR"/>
        </w:rPr>
        <w:t xml:space="preserve"> ainsi rédigé </w:t>
      </w:r>
      <w:r w:rsidRPr="004F7D3B">
        <w:rPr>
          <w:rFonts w:eastAsia="Malgun Gothic"/>
          <w:bCs/>
          <w:lang w:val="fr-FR"/>
        </w:rPr>
        <w:t xml:space="preserve">: </w:t>
      </w:r>
      <w:r w:rsidR="000B21A1">
        <w:rPr>
          <w:rFonts w:eastAsia="Malgun Gothic"/>
          <w:bCs/>
          <w:lang w:val="fr-FR"/>
        </w:rPr>
        <w:t>« </w:t>
      </w:r>
      <w:r w:rsidRPr="004F7D3B">
        <w:rPr>
          <w:rFonts w:eastAsia="Malgun Gothic"/>
          <w:bCs/>
          <w:lang w:val="fr-FR"/>
        </w:rPr>
        <w:t xml:space="preserve">Rappelle </w:t>
      </w:r>
      <w:r w:rsidR="00096548" w:rsidRPr="00096548">
        <w:rPr>
          <w:rFonts w:eastAsia="Malgun Gothic"/>
          <w:bCs/>
          <w:color w:val="000000" w:themeColor="text1"/>
          <w:lang w:val="fr-FR"/>
        </w:rPr>
        <w:t>également</w:t>
      </w:r>
      <w:r w:rsidR="00DC28F0">
        <w:rPr>
          <w:rFonts w:eastAsia="Malgun Gothic"/>
          <w:bCs/>
          <w:lang w:val="fr-FR"/>
        </w:rPr>
        <w:t xml:space="preserve"> </w:t>
      </w:r>
      <w:r w:rsidRPr="004F7D3B">
        <w:rPr>
          <w:rFonts w:eastAsia="Malgun Gothic"/>
          <w:bCs/>
          <w:lang w:val="fr-FR"/>
        </w:rPr>
        <w:t>à l</w:t>
      </w:r>
      <w:r w:rsidR="00923E72">
        <w:rPr>
          <w:rFonts w:eastAsia="Malgun Gothic"/>
          <w:bCs/>
          <w:lang w:val="fr-FR"/>
        </w:rPr>
        <w:t>’</w:t>
      </w:r>
      <w:r w:rsidRPr="004F7D3B">
        <w:rPr>
          <w:rFonts w:eastAsia="Malgun Gothic"/>
          <w:bCs/>
          <w:lang w:val="fr-FR"/>
        </w:rPr>
        <w:t xml:space="preserve">État partie de prendre en </w:t>
      </w:r>
      <w:r w:rsidR="000B21A1">
        <w:rPr>
          <w:rFonts w:eastAsia="Malgun Gothic"/>
          <w:bCs/>
          <w:lang w:val="fr-FR"/>
        </w:rPr>
        <w:t xml:space="preserve">compte </w:t>
      </w:r>
      <w:r w:rsidRPr="004F7D3B">
        <w:rPr>
          <w:rFonts w:eastAsia="Malgun Gothic"/>
          <w:bCs/>
          <w:lang w:val="fr-FR"/>
        </w:rPr>
        <w:t>les effets d</w:t>
      </w:r>
      <w:r w:rsidR="00923E72">
        <w:rPr>
          <w:rFonts w:eastAsia="Malgun Gothic"/>
          <w:bCs/>
          <w:lang w:val="fr-FR"/>
        </w:rPr>
        <w:t>’</w:t>
      </w:r>
      <w:r w:rsidR="000B21A1">
        <w:rPr>
          <w:rFonts w:eastAsia="Malgun Gothic"/>
          <w:bCs/>
          <w:lang w:val="fr-FR"/>
        </w:rPr>
        <w:t>une possible</w:t>
      </w:r>
      <w:r w:rsidR="00096548">
        <w:rPr>
          <w:rFonts w:eastAsia="Malgun Gothic"/>
          <w:bCs/>
          <w:lang w:val="fr-FR"/>
        </w:rPr>
        <w:t xml:space="preserve"> </w:t>
      </w:r>
      <w:r w:rsidRPr="004F7D3B">
        <w:rPr>
          <w:rFonts w:eastAsia="Malgun Gothic"/>
          <w:bCs/>
          <w:lang w:val="fr-FR"/>
        </w:rPr>
        <w:t>inscription de l</w:t>
      </w:r>
      <w:r w:rsidR="00923E72">
        <w:rPr>
          <w:rFonts w:eastAsia="Malgun Gothic"/>
          <w:bCs/>
          <w:lang w:val="fr-FR"/>
        </w:rPr>
        <w:t>’</w:t>
      </w:r>
      <w:r w:rsidRPr="004F7D3B">
        <w:rPr>
          <w:rFonts w:eastAsia="Malgun Gothic"/>
          <w:bCs/>
          <w:lang w:val="fr-FR"/>
        </w:rPr>
        <w:t>élément, y compris les conséquences involontaires d</w:t>
      </w:r>
      <w:r w:rsidR="00923E72">
        <w:rPr>
          <w:rFonts w:eastAsia="Malgun Gothic"/>
          <w:bCs/>
          <w:lang w:val="fr-FR"/>
        </w:rPr>
        <w:t>’</w:t>
      </w:r>
      <w:r w:rsidR="000B21A1">
        <w:rPr>
          <w:rFonts w:eastAsia="Malgun Gothic"/>
          <w:bCs/>
          <w:lang w:val="fr-FR"/>
        </w:rPr>
        <w:t xml:space="preserve">une forte fréquentation </w:t>
      </w:r>
      <w:r w:rsidRPr="004F7D3B">
        <w:rPr>
          <w:rFonts w:eastAsia="Malgun Gothic"/>
          <w:bCs/>
          <w:lang w:val="fr-FR"/>
        </w:rPr>
        <w:t>touris</w:t>
      </w:r>
      <w:r w:rsidR="000B21A1">
        <w:rPr>
          <w:rFonts w:eastAsia="Malgun Gothic"/>
          <w:bCs/>
          <w:lang w:val="fr-FR"/>
        </w:rPr>
        <w:t>tique »</w:t>
      </w:r>
      <w:r w:rsidRPr="004F7D3B">
        <w:rPr>
          <w:rFonts w:eastAsia="Malgun Gothic"/>
          <w:bCs/>
          <w:lang w:val="fr-FR"/>
        </w:rPr>
        <w:t xml:space="preserve"> </w:t>
      </w:r>
      <w:r w:rsidR="000B21A1">
        <w:rPr>
          <w:rFonts w:eastAsia="Malgun Gothic"/>
          <w:bCs/>
          <w:lang w:val="fr-FR"/>
        </w:rPr>
        <w:t xml:space="preserve">a été </w:t>
      </w:r>
      <w:r w:rsidRPr="004F7D3B">
        <w:rPr>
          <w:rFonts w:eastAsia="Malgun Gothic"/>
          <w:bCs/>
          <w:lang w:val="fr-FR"/>
        </w:rPr>
        <w:t xml:space="preserve">supprimé </w:t>
      </w:r>
      <w:r w:rsidRPr="00EC02E6">
        <w:rPr>
          <w:rFonts w:eastAsia="Malgun Gothic"/>
          <w:bCs/>
          <w:lang w:val="fr-FR"/>
        </w:rPr>
        <w:t>et</w:t>
      </w:r>
      <w:r w:rsidR="000B21A1" w:rsidRPr="00EC02E6">
        <w:rPr>
          <w:rFonts w:eastAsia="Malgun Gothic"/>
          <w:bCs/>
          <w:lang w:val="fr-FR"/>
        </w:rPr>
        <w:t xml:space="preserve"> sa suppression a été</w:t>
      </w:r>
      <w:r w:rsidRPr="00EC02E6">
        <w:rPr>
          <w:rFonts w:eastAsia="Malgun Gothic"/>
          <w:bCs/>
          <w:lang w:val="fr-FR"/>
        </w:rPr>
        <w:t xml:space="preserve"> dûment adopté</w:t>
      </w:r>
      <w:r w:rsidR="000B21A1" w:rsidRPr="00EC02E6">
        <w:rPr>
          <w:rFonts w:eastAsia="Malgun Gothic"/>
          <w:bCs/>
          <w:lang w:val="fr-FR"/>
        </w:rPr>
        <w:t>e</w:t>
      </w:r>
      <w:r w:rsidRPr="00EC02E6">
        <w:rPr>
          <w:rFonts w:eastAsia="Malgun Gothic"/>
          <w:bCs/>
          <w:lang w:val="fr-FR"/>
        </w:rPr>
        <w:t>.</w:t>
      </w:r>
    </w:p>
    <w:p w14:paraId="336C3426" w14:textId="5B7AA247" w:rsidR="000B21A1" w:rsidRDefault="000B21A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0B21A1">
        <w:rPr>
          <w:rFonts w:eastAsia="Malgun Gothic"/>
          <w:bCs/>
          <w:lang w:val="fr-FR"/>
        </w:rPr>
        <w:t>délégation</w:t>
      </w:r>
      <w:r>
        <w:rPr>
          <w:rFonts w:eastAsia="Malgun Gothic"/>
          <w:bCs/>
          <w:lang w:val="fr-FR"/>
        </w:rPr>
        <w:t xml:space="preserve"> de la </w:t>
      </w:r>
      <w:r w:rsidRPr="00702497">
        <w:rPr>
          <w:rFonts w:eastAsia="Malgun Gothic"/>
          <w:b/>
          <w:lang w:val="fr-FR"/>
        </w:rPr>
        <w:t>Suède</w:t>
      </w:r>
      <w:r>
        <w:rPr>
          <w:rFonts w:eastAsia="Malgun Gothic"/>
          <w:bCs/>
          <w:lang w:val="fr-FR"/>
        </w:rPr>
        <w:t xml:space="preserve"> avait levé </w:t>
      </w:r>
      <w:r w:rsidRPr="00EC02E6">
        <w:rPr>
          <w:rFonts w:eastAsia="Malgun Gothic"/>
          <w:bCs/>
          <w:lang w:val="fr-FR"/>
        </w:rPr>
        <w:t>son panneau avant que la suppression du paragraphe 6 ne soit adoptée</w:t>
      </w:r>
      <w:r w:rsidR="00B002BB" w:rsidRPr="00EC02E6">
        <w:rPr>
          <w:rFonts w:eastAsia="Malgun Gothic"/>
          <w:bCs/>
          <w:lang w:val="fr-FR"/>
        </w:rPr>
        <w:t>.</w:t>
      </w:r>
      <w:r w:rsidR="00B002BB">
        <w:rPr>
          <w:rFonts w:eastAsia="Malgun Gothic"/>
          <w:bCs/>
          <w:lang w:val="fr-FR"/>
        </w:rPr>
        <w:t xml:space="preserve"> Elle a demandé que le </w:t>
      </w:r>
      <w:r w:rsidR="00B002BB" w:rsidRPr="00B002BB">
        <w:rPr>
          <w:rFonts w:eastAsia="Malgun Gothic"/>
          <w:bCs/>
          <w:lang w:val="fr-FR"/>
        </w:rPr>
        <w:t>paragraphe</w:t>
      </w:r>
      <w:r w:rsidR="00B002BB">
        <w:rPr>
          <w:rFonts w:eastAsia="Malgun Gothic"/>
          <w:bCs/>
          <w:lang w:val="fr-FR"/>
        </w:rPr>
        <w:t xml:space="preserve"> soit conservé dans la </w:t>
      </w:r>
      <w:r w:rsidR="00B002BB" w:rsidRPr="00B002BB">
        <w:rPr>
          <w:rFonts w:eastAsia="Malgun Gothic"/>
          <w:bCs/>
          <w:lang w:val="fr-FR"/>
        </w:rPr>
        <w:t>décision</w:t>
      </w:r>
      <w:r w:rsidR="00B002BB">
        <w:rPr>
          <w:rFonts w:eastAsia="Malgun Gothic"/>
          <w:bCs/>
          <w:lang w:val="fr-FR"/>
        </w:rPr>
        <w:t xml:space="preserve">, car il reprenait une </w:t>
      </w:r>
      <w:r w:rsidR="00B002BB" w:rsidRPr="00B002BB">
        <w:rPr>
          <w:rFonts w:eastAsia="Malgun Gothic"/>
          <w:bCs/>
          <w:lang w:val="fr-FR"/>
        </w:rPr>
        <w:t>recommandation</w:t>
      </w:r>
      <w:r w:rsidR="00B002BB">
        <w:rPr>
          <w:rFonts w:eastAsia="Malgun Gothic"/>
          <w:bCs/>
          <w:lang w:val="fr-FR"/>
        </w:rPr>
        <w:t xml:space="preserve"> importante de l</w:t>
      </w:r>
      <w:r w:rsidR="00923E72">
        <w:rPr>
          <w:rFonts w:eastAsia="Malgun Gothic"/>
          <w:bCs/>
          <w:lang w:val="fr-FR"/>
        </w:rPr>
        <w:t>’</w:t>
      </w:r>
      <w:r w:rsidR="00B002BB">
        <w:rPr>
          <w:rFonts w:eastAsia="Malgun Gothic"/>
          <w:bCs/>
          <w:lang w:val="fr-FR"/>
        </w:rPr>
        <w:t>Organe d</w:t>
      </w:r>
      <w:r w:rsidR="00923E72">
        <w:rPr>
          <w:rFonts w:eastAsia="Malgun Gothic"/>
          <w:bCs/>
          <w:lang w:val="fr-FR"/>
        </w:rPr>
        <w:t>’</w:t>
      </w:r>
      <w:r w:rsidR="00B002BB">
        <w:rPr>
          <w:rFonts w:eastAsia="Malgun Gothic"/>
          <w:bCs/>
          <w:lang w:val="fr-FR"/>
        </w:rPr>
        <w:t>évaluation.</w:t>
      </w:r>
    </w:p>
    <w:p w14:paraId="613CAA41" w14:textId="65F85B41" w:rsidR="00B002BB" w:rsidRDefault="00B002B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lastRenderedPageBreak/>
        <w:t xml:space="preserve">Le </w:t>
      </w:r>
      <w:r w:rsidRPr="00702497">
        <w:rPr>
          <w:rFonts w:eastAsia="Malgun Gothic"/>
          <w:b/>
          <w:lang w:val="fr-FR"/>
        </w:rPr>
        <w:t>Président</w:t>
      </w:r>
      <w:r>
        <w:rPr>
          <w:rFonts w:eastAsia="Malgun Gothic"/>
          <w:bCs/>
          <w:lang w:val="fr-FR"/>
        </w:rPr>
        <w:t xml:space="preserve"> a noté que la Slovaquie, la Suisse et la Tchéquie étaient favorables au rétablissement du paragraphe</w:t>
      </w:r>
      <w:r w:rsidR="008F5CA2">
        <w:rPr>
          <w:rFonts w:eastAsia="Malgun Gothic"/>
          <w:bCs/>
          <w:lang w:val="fr-FR"/>
        </w:rPr>
        <w:t> </w:t>
      </w:r>
      <w:r>
        <w:rPr>
          <w:rFonts w:eastAsia="Malgun Gothic"/>
          <w:bCs/>
          <w:lang w:val="fr-FR"/>
        </w:rPr>
        <w:t>6.</w:t>
      </w:r>
    </w:p>
    <w:p w14:paraId="31CD979B" w14:textId="2CB99585" w:rsidR="00B002BB" w:rsidRDefault="00B002B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B002BB">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B002BB">
        <w:rPr>
          <w:rFonts w:eastAsia="Malgun Gothic"/>
          <w:bCs/>
          <w:lang w:val="fr-FR"/>
        </w:rPr>
        <w:t xml:space="preserve"> a demandé de</w:t>
      </w:r>
      <w:r>
        <w:rPr>
          <w:rFonts w:eastAsia="Malgun Gothic"/>
          <w:bCs/>
          <w:lang w:val="fr-FR"/>
        </w:rPr>
        <w:t xml:space="preserve">s </w:t>
      </w:r>
      <w:r w:rsidRPr="00B002BB">
        <w:rPr>
          <w:rFonts w:eastAsia="Malgun Gothic"/>
          <w:bCs/>
          <w:lang w:val="fr-FR"/>
        </w:rPr>
        <w:t>éclaircissements</w:t>
      </w:r>
      <w:r>
        <w:rPr>
          <w:rFonts w:eastAsia="Malgun Gothic"/>
          <w:bCs/>
          <w:lang w:val="fr-FR"/>
        </w:rPr>
        <w:t xml:space="preserve"> sur</w:t>
      </w:r>
      <w:r w:rsidRPr="00B002BB">
        <w:rPr>
          <w:rFonts w:eastAsia="Malgun Gothic"/>
          <w:bCs/>
          <w:lang w:val="fr-FR"/>
        </w:rPr>
        <w:t xml:space="preserve"> le Règlement intérieur, notant qu</w:t>
      </w:r>
      <w:r w:rsidR="00923E72">
        <w:rPr>
          <w:rFonts w:eastAsia="Malgun Gothic"/>
          <w:bCs/>
          <w:lang w:val="fr-FR"/>
        </w:rPr>
        <w:t>’</w:t>
      </w:r>
      <w:r w:rsidRPr="00B002BB">
        <w:rPr>
          <w:rFonts w:eastAsia="Malgun Gothic"/>
          <w:bCs/>
          <w:lang w:val="fr-FR"/>
        </w:rPr>
        <w:t xml:space="preserve">une fois le </w:t>
      </w:r>
      <w:r>
        <w:rPr>
          <w:rFonts w:eastAsia="Malgun Gothic"/>
          <w:bCs/>
          <w:lang w:val="fr-FR"/>
        </w:rPr>
        <w:t xml:space="preserve">marteau frappé par le </w:t>
      </w:r>
      <w:r w:rsidRPr="00B002BB">
        <w:rPr>
          <w:rFonts w:eastAsia="Malgun Gothic"/>
          <w:bCs/>
          <w:lang w:val="fr-FR"/>
        </w:rPr>
        <w:t xml:space="preserve">Président, la décision </w:t>
      </w:r>
      <w:r>
        <w:rPr>
          <w:rFonts w:eastAsia="Malgun Gothic"/>
          <w:bCs/>
          <w:lang w:val="fr-FR"/>
        </w:rPr>
        <w:t xml:space="preserve">était </w:t>
      </w:r>
      <w:r w:rsidRPr="00B002BB">
        <w:rPr>
          <w:rFonts w:eastAsia="Malgun Gothic"/>
          <w:bCs/>
          <w:lang w:val="fr-FR"/>
        </w:rPr>
        <w:t>close. Elle a donc demandé au Secrétariat de clarifier le Règlement intérieur qui permettrait de revenir sur une décision.</w:t>
      </w:r>
    </w:p>
    <w:p w14:paraId="4EE9930A" w14:textId="44913590" w:rsidR="00B002BB" w:rsidRDefault="00B002B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B002BB">
        <w:rPr>
          <w:rFonts w:eastAsia="Malgun Gothic"/>
          <w:bCs/>
          <w:lang w:val="fr-FR"/>
        </w:rPr>
        <w:t xml:space="preserve">Le </w:t>
      </w:r>
      <w:r w:rsidRPr="00702497">
        <w:rPr>
          <w:rFonts w:eastAsia="Malgun Gothic"/>
          <w:b/>
          <w:lang w:val="fr-FR"/>
        </w:rPr>
        <w:t>Président</w:t>
      </w:r>
      <w:r w:rsidRPr="00B002BB">
        <w:rPr>
          <w:rFonts w:eastAsia="Malgun Gothic"/>
          <w:bCs/>
          <w:lang w:val="fr-FR"/>
        </w:rPr>
        <w:t xml:space="preserve"> </w:t>
      </w:r>
      <w:r>
        <w:rPr>
          <w:rFonts w:eastAsia="Malgun Gothic"/>
          <w:bCs/>
          <w:lang w:val="fr-FR"/>
        </w:rPr>
        <w:t xml:space="preserve">a </w:t>
      </w:r>
      <w:r w:rsidRPr="00B002BB">
        <w:rPr>
          <w:rFonts w:eastAsia="Malgun Gothic"/>
          <w:bCs/>
          <w:lang w:val="fr-FR"/>
        </w:rPr>
        <w:t>précis</w:t>
      </w:r>
      <w:r>
        <w:rPr>
          <w:rFonts w:eastAsia="Malgun Gothic"/>
          <w:bCs/>
          <w:lang w:val="fr-FR"/>
        </w:rPr>
        <w:t>é</w:t>
      </w:r>
      <w:r w:rsidRPr="00B002BB">
        <w:rPr>
          <w:rFonts w:eastAsia="Malgun Gothic"/>
          <w:bCs/>
          <w:lang w:val="fr-FR"/>
        </w:rPr>
        <w:t xml:space="preserve"> que tant que le Comité n</w:t>
      </w:r>
      <w:r w:rsidR="00923E72">
        <w:rPr>
          <w:rFonts w:eastAsia="Malgun Gothic"/>
          <w:bCs/>
          <w:lang w:val="fr-FR"/>
        </w:rPr>
        <w:t>’</w:t>
      </w:r>
      <w:r w:rsidRPr="00B002BB">
        <w:rPr>
          <w:rFonts w:eastAsia="Malgun Gothic"/>
          <w:bCs/>
          <w:lang w:val="fr-FR"/>
        </w:rPr>
        <w:t>a</w:t>
      </w:r>
      <w:r>
        <w:rPr>
          <w:rFonts w:eastAsia="Malgun Gothic"/>
          <w:bCs/>
          <w:lang w:val="fr-FR"/>
        </w:rPr>
        <w:t>vait</w:t>
      </w:r>
      <w:r w:rsidRPr="00B002BB">
        <w:rPr>
          <w:rFonts w:eastAsia="Malgun Gothic"/>
          <w:bCs/>
          <w:lang w:val="fr-FR"/>
        </w:rPr>
        <w:t xml:space="preserve"> pas adopté la décision dans son intégralité, il </w:t>
      </w:r>
      <w:r>
        <w:rPr>
          <w:rFonts w:eastAsia="Malgun Gothic"/>
          <w:bCs/>
          <w:lang w:val="fr-FR"/>
        </w:rPr>
        <w:t>pouvait</w:t>
      </w:r>
      <w:r w:rsidRPr="00B002BB">
        <w:rPr>
          <w:rFonts w:eastAsia="Malgun Gothic"/>
          <w:bCs/>
          <w:lang w:val="fr-FR"/>
        </w:rPr>
        <w:t xml:space="preserve"> revenir sur un paragraphe</w:t>
      </w:r>
      <w:r w:rsidR="00DC28F0">
        <w:rPr>
          <w:rFonts w:eastAsia="Malgun Gothic"/>
          <w:bCs/>
          <w:lang w:val="fr-FR"/>
        </w:rPr>
        <w:t>, avec le soutien de</w:t>
      </w:r>
      <w:r w:rsidRPr="00B002BB">
        <w:rPr>
          <w:rFonts w:eastAsia="Malgun Gothic"/>
          <w:bCs/>
          <w:lang w:val="fr-FR"/>
        </w:rPr>
        <w:t xml:space="preserve"> la majorité des membres du Comit</w:t>
      </w:r>
      <w:r w:rsidR="00DC28F0">
        <w:rPr>
          <w:rFonts w:eastAsia="Malgun Gothic"/>
          <w:bCs/>
          <w:lang w:val="fr-FR"/>
        </w:rPr>
        <w:t>é,</w:t>
      </w:r>
      <w:r w:rsidRPr="00B002BB">
        <w:rPr>
          <w:rFonts w:eastAsia="Malgun Gothic"/>
          <w:bCs/>
          <w:lang w:val="fr-FR"/>
        </w:rPr>
        <w:t xml:space="preserve"> même s</w:t>
      </w:r>
      <w:r w:rsidR="00DC28F0">
        <w:rPr>
          <w:rFonts w:eastAsia="Malgun Gothic"/>
          <w:bCs/>
          <w:lang w:val="fr-FR"/>
        </w:rPr>
        <w:t xml:space="preserve">i le </w:t>
      </w:r>
      <w:r w:rsidR="00DC28F0" w:rsidRPr="00DC28F0">
        <w:rPr>
          <w:rFonts w:eastAsia="Malgun Gothic"/>
          <w:bCs/>
          <w:lang w:val="fr-FR"/>
        </w:rPr>
        <w:t>paragraphe</w:t>
      </w:r>
      <w:r w:rsidRPr="00B002BB">
        <w:rPr>
          <w:rFonts w:eastAsia="Malgun Gothic"/>
          <w:bCs/>
          <w:lang w:val="fr-FR"/>
        </w:rPr>
        <w:t xml:space="preserve"> a</w:t>
      </w:r>
      <w:r w:rsidR="00DC28F0">
        <w:rPr>
          <w:rFonts w:eastAsia="Malgun Gothic"/>
          <w:bCs/>
          <w:lang w:val="fr-FR"/>
        </w:rPr>
        <w:t>vait</w:t>
      </w:r>
      <w:r w:rsidRPr="00B002BB">
        <w:rPr>
          <w:rFonts w:eastAsia="Malgun Gothic"/>
          <w:bCs/>
          <w:lang w:val="fr-FR"/>
        </w:rPr>
        <w:t xml:space="preserve"> été adopté. </w:t>
      </w:r>
      <w:r w:rsidR="00DA2E21">
        <w:rPr>
          <w:rFonts w:eastAsia="Malgun Gothic"/>
          <w:bCs/>
          <w:lang w:val="fr-FR"/>
        </w:rPr>
        <w:t xml:space="preserve">Pour cette raison, </w:t>
      </w:r>
      <w:r w:rsidRPr="00B002BB">
        <w:rPr>
          <w:rFonts w:eastAsia="Malgun Gothic"/>
          <w:bCs/>
          <w:lang w:val="fr-FR"/>
        </w:rPr>
        <w:t>il donn</w:t>
      </w:r>
      <w:r w:rsidR="00DC28F0">
        <w:rPr>
          <w:rFonts w:eastAsia="Malgun Gothic"/>
          <w:bCs/>
          <w:lang w:val="fr-FR"/>
        </w:rPr>
        <w:t xml:space="preserve">ait </w:t>
      </w:r>
      <w:r w:rsidRPr="00B002BB">
        <w:rPr>
          <w:rFonts w:eastAsia="Malgun Gothic"/>
          <w:bCs/>
          <w:lang w:val="fr-FR"/>
        </w:rPr>
        <w:t>aux membres du Comité la possibilité de s</w:t>
      </w:r>
      <w:r w:rsidR="00923E72">
        <w:rPr>
          <w:rFonts w:eastAsia="Malgun Gothic"/>
          <w:bCs/>
          <w:lang w:val="fr-FR"/>
        </w:rPr>
        <w:t>’</w:t>
      </w:r>
      <w:r w:rsidRPr="00B002BB">
        <w:rPr>
          <w:rFonts w:eastAsia="Malgun Gothic"/>
          <w:bCs/>
          <w:lang w:val="fr-FR"/>
        </w:rPr>
        <w:t>exprimer sur la demande de la Suède. En l</w:t>
      </w:r>
      <w:r w:rsidR="00923E72">
        <w:rPr>
          <w:rFonts w:eastAsia="Malgun Gothic"/>
          <w:bCs/>
          <w:lang w:val="fr-FR"/>
        </w:rPr>
        <w:t>’</w:t>
      </w:r>
      <w:r w:rsidRPr="00B002BB">
        <w:rPr>
          <w:rFonts w:eastAsia="Malgun Gothic"/>
          <w:bCs/>
          <w:lang w:val="fr-FR"/>
        </w:rPr>
        <w:t xml:space="preserve">absence de tout autre soutien, le Président </w:t>
      </w:r>
      <w:r w:rsidR="00DC28F0">
        <w:rPr>
          <w:rFonts w:eastAsia="Malgun Gothic"/>
          <w:bCs/>
          <w:lang w:val="fr-FR"/>
        </w:rPr>
        <w:t xml:space="preserve">maintenait </w:t>
      </w:r>
      <w:r w:rsidRPr="00B002BB">
        <w:rPr>
          <w:rFonts w:eastAsia="Malgun Gothic"/>
          <w:bCs/>
          <w:lang w:val="fr-FR"/>
        </w:rPr>
        <w:t>la suppression du paragraphe</w:t>
      </w:r>
      <w:r w:rsidR="008F5CA2">
        <w:rPr>
          <w:rFonts w:eastAsia="Malgun Gothic"/>
          <w:bCs/>
          <w:lang w:val="fr-FR"/>
        </w:rPr>
        <w:t> </w:t>
      </w:r>
      <w:r w:rsidRPr="00B002BB">
        <w:rPr>
          <w:rFonts w:eastAsia="Malgun Gothic"/>
          <w:bCs/>
          <w:lang w:val="fr-FR"/>
        </w:rPr>
        <w:t>6.</w:t>
      </w:r>
    </w:p>
    <w:p w14:paraId="1DB92E3D" w14:textId="28E89D26" w:rsidR="00DC28F0" w:rsidRDefault="00DC28F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DC28F0">
        <w:rPr>
          <w:rFonts w:eastAsia="Malgun Gothic"/>
          <w:bCs/>
          <w:lang w:val="fr-FR"/>
        </w:rPr>
        <w:t xml:space="preserve">La délégation du </w:t>
      </w:r>
      <w:r w:rsidRPr="00702497">
        <w:rPr>
          <w:rFonts w:eastAsia="Malgun Gothic"/>
          <w:b/>
          <w:lang w:val="fr-FR"/>
        </w:rPr>
        <w:t>Bangladesh</w:t>
      </w:r>
      <w:r w:rsidRPr="00DC28F0">
        <w:rPr>
          <w:rFonts w:eastAsia="Malgun Gothic"/>
          <w:bCs/>
          <w:lang w:val="fr-FR"/>
        </w:rPr>
        <w:t xml:space="preserve"> a répondu à la question soulevée par l</w:t>
      </w:r>
      <w:r w:rsidR="00923E72">
        <w:rPr>
          <w:rFonts w:eastAsia="Malgun Gothic"/>
          <w:bCs/>
          <w:lang w:val="fr-FR"/>
        </w:rPr>
        <w:t>’</w:t>
      </w:r>
      <w:r w:rsidRPr="00DC28F0">
        <w:rPr>
          <w:rFonts w:eastAsia="Malgun Gothic"/>
          <w:bCs/>
          <w:lang w:val="fr-FR"/>
        </w:rPr>
        <w:t>Inde concernant le Règlement intérieur et a suggéré de rédiger un paragraphe reprenant des éléments du paragraphe</w:t>
      </w:r>
      <w:r w:rsidR="008F5CA2">
        <w:rPr>
          <w:rFonts w:eastAsia="Malgun Gothic"/>
          <w:bCs/>
          <w:lang w:val="fr-FR"/>
        </w:rPr>
        <w:t> </w:t>
      </w:r>
      <w:r w:rsidRPr="00DC28F0">
        <w:rPr>
          <w:rFonts w:eastAsia="Malgun Gothic"/>
          <w:bCs/>
          <w:lang w:val="fr-FR"/>
        </w:rPr>
        <w:t>6</w:t>
      </w:r>
      <w:r>
        <w:rPr>
          <w:rFonts w:eastAsia="Malgun Gothic"/>
          <w:bCs/>
          <w:lang w:val="fr-FR"/>
        </w:rPr>
        <w:t xml:space="preserve"> initial</w:t>
      </w:r>
      <w:r w:rsidRPr="00DC28F0">
        <w:rPr>
          <w:rFonts w:eastAsia="Malgun Gothic"/>
          <w:bCs/>
          <w:lang w:val="fr-FR"/>
        </w:rPr>
        <w:t>, notant qu</w:t>
      </w:r>
      <w:r w:rsidR="00923E72">
        <w:rPr>
          <w:rFonts w:eastAsia="Malgun Gothic"/>
          <w:bCs/>
          <w:lang w:val="fr-FR"/>
        </w:rPr>
        <w:t>’</w:t>
      </w:r>
      <w:r w:rsidRPr="00DC28F0">
        <w:rPr>
          <w:rFonts w:eastAsia="Malgun Gothic"/>
          <w:bCs/>
          <w:lang w:val="fr-FR"/>
        </w:rPr>
        <w:t>il avait un certain mérite</w:t>
      </w:r>
      <w:r>
        <w:rPr>
          <w:rFonts w:eastAsia="Malgun Gothic"/>
          <w:bCs/>
          <w:lang w:val="fr-FR"/>
        </w:rPr>
        <w:t xml:space="preserve"> en </w:t>
      </w:r>
      <w:r w:rsidRPr="00DC28F0">
        <w:rPr>
          <w:rFonts w:eastAsia="Malgun Gothic"/>
          <w:bCs/>
          <w:lang w:val="fr-FR"/>
        </w:rPr>
        <w:t>rappel</w:t>
      </w:r>
      <w:r>
        <w:rPr>
          <w:rFonts w:eastAsia="Malgun Gothic"/>
          <w:bCs/>
          <w:lang w:val="fr-FR"/>
        </w:rPr>
        <w:t>ant</w:t>
      </w:r>
      <w:r w:rsidRPr="00DC28F0">
        <w:rPr>
          <w:rFonts w:eastAsia="Malgun Gothic"/>
          <w:bCs/>
          <w:lang w:val="fr-FR"/>
        </w:rPr>
        <w:t xml:space="preserve"> à l</w:t>
      </w:r>
      <w:r w:rsidR="00923E72">
        <w:rPr>
          <w:rFonts w:eastAsia="Malgun Gothic"/>
          <w:bCs/>
          <w:lang w:val="fr-FR"/>
        </w:rPr>
        <w:t>’</w:t>
      </w:r>
      <w:r w:rsidRPr="00DC28F0">
        <w:rPr>
          <w:rFonts w:eastAsia="Malgun Gothic"/>
          <w:bCs/>
          <w:lang w:val="fr-FR"/>
        </w:rPr>
        <w:t xml:space="preserve">État partie </w:t>
      </w:r>
      <w:r>
        <w:rPr>
          <w:rFonts w:eastAsia="Malgun Gothic"/>
          <w:bCs/>
          <w:lang w:val="fr-FR"/>
        </w:rPr>
        <w:t xml:space="preserve">de prendre en compte </w:t>
      </w:r>
      <w:r w:rsidRPr="00DC28F0">
        <w:rPr>
          <w:rFonts w:eastAsia="Malgun Gothic"/>
          <w:bCs/>
          <w:lang w:val="fr-FR"/>
        </w:rPr>
        <w:t xml:space="preserve">les possibles </w:t>
      </w:r>
      <w:r>
        <w:rPr>
          <w:rFonts w:eastAsia="Malgun Gothic"/>
          <w:bCs/>
          <w:lang w:val="fr-FR"/>
        </w:rPr>
        <w:t xml:space="preserve">effets </w:t>
      </w:r>
      <w:r w:rsidRPr="00DC28F0">
        <w:rPr>
          <w:rFonts w:eastAsia="Malgun Gothic"/>
          <w:bCs/>
          <w:lang w:val="fr-FR"/>
        </w:rPr>
        <w:t>de l</w:t>
      </w:r>
      <w:r w:rsidR="00923E72">
        <w:rPr>
          <w:rFonts w:eastAsia="Malgun Gothic"/>
          <w:bCs/>
          <w:lang w:val="fr-FR"/>
        </w:rPr>
        <w:t>’</w:t>
      </w:r>
      <w:r w:rsidRPr="00DC28F0">
        <w:rPr>
          <w:rFonts w:eastAsia="Malgun Gothic"/>
          <w:bCs/>
          <w:lang w:val="fr-FR"/>
        </w:rPr>
        <w:t xml:space="preserve">inscription de </w:t>
      </w:r>
      <w:r>
        <w:rPr>
          <w:rFonts w:eastAsia="Malgun Gothic"/>
          <w:bCs/>
          <w:lang w:val="fr-FR"/>
        </w:rPr>
        <w:t>l</w:t>
      </w:r>
      <w:r w:rsidR="00923E72">
        <w:rPr>
          <w:rFonts w:eastAsia="Malgun Gothic"/>
          <w:bCs/>
          <w:lang w:val="fr-FR"/>
        </w:rPr>
        <w:t>’</w:t>
      </w:r>
      <w:r w:rsidRPr="00DC28F0">
        <w:rPr>
          <w:rFonts w:eastAsia="Malgun Gothic"/>
          <w:bCs/>
          <w:lang w:val="fr-FR"/>
        </w:rPr>
        <w:t>élément.</w:t>
      </w:r>
    </w:p>
    <w:p w14:paraId="33E466D1" w14:textId="2570CEA3" w:rsidR="00DC28F0" w:rsidRDefault="00DC28F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DC28F0">
        <w:rPr>
          <w:rFonts w:eastAsia="Malgun Gothic"/>
          <w:bCs/>
          <w:lang w:val="fr-FR"/>
        </w:rPr>
        <w:t xml:space="preserve">Le </w:t>
      </w:r>
      <w:r w:rsidRPr="00702497">
        <w:rPr>
          <w:rFonts w:eastAsia="Malgun Gothic"/>
          <w:b/>
          <w:lang w:val="fr-FR"/>
        </w:rPr>
        <w:t>Président</w:t>
      </w:r>
      <w:r w:rsidRPr="00DC28F0">
        <w:rPr>
          <w:rFonts w:eastAsia="Malgun Gothic"/>
          <w:bCs/>
          <w:lang w:val="fr-FR"/>
        </w:rPr>
        <w:t xml:space="preserve"> </w:t>
      </w:r>
      <w:r>
        <w:rPr>
          <w:rFonts w:eastAsia="Malgun Gothic"/>
          <w:bCs/>
          <w:lang w:val="fr-FR"/>
        </w:rPr>
        <w:t xml:space="preserve">a </w:t>
      </w:r>
      <w:r w:rsidRPr="00DC28F0">
        <w:rPr>
          <w:rFonts w:eastAsia="Malgun Gothic"/>
          <w:bCs/>
          <w:lang w:val="fr-FR"/>
        </w:rPr>
        <w:t>approuv</w:t>
      </w:r>
      <w:r>
        <w:rPr>
          <w:rFonts w:eastAsia="Malgun Gothic"/>
          <w:bCs/>
          <w:lang w:val="fr-FR"/>
        </w:rPr>
        <w:t>é</w:t>
      </w:r>
      <w:r w:rsidRPr="00DC28F0">
        <w:rPr>
          <w:rFonts w:eastAsia="Malgun Gothic"/>
          <w:bCs/>
          <w:lang w:val="fr-FR"/>
        </w:rPr>
        <w:t xml:space="preserve"> cette très bonne proposition, car tout le monde </w:t>
      </w:r>
      <w:r>
        <w:rPr>
          <w:rFonts w:eastAsia="Malgun Gothic"/>
          <w:bCs/>
          <w:lang w:val="fr-FR"/>
        </w:rPr>
        <w:t xml:space="preserve">pouvait </w:t>
      </w:r>
      <w:r w:rsidRPr="00DC28F0">
        <w:rPr>
          <w:rFonts w:eastAsia="Malgun Gothic"/>
          <w:bCs/>
          <w:lang w:val="fr-FR"/>
        </w:rPr>
        <w:t>reconnaître le bien-fondé du paragraphe, qui refléterait le souhait de la Suède et des autres membres du Comité.</w:t>
      </w:r>
    </w:p>
    <w:p w14:paraId="73B40AEB" w14:textId="24ADAAA6" w:rsidR="00DC28F0" w:rsidRDefault="00DC28F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DC28F0">
        <w:rPr>
          <w:rFonts w:eastAsia="Malgun Gothic"/>
          <w:bCs/>
          <w:lang w:val="fr-FR"/>
        </w:rPr>
        <w:t xml:space="preserve">La délégation du </w:t>
      </w:r>
      <w:r w:rsidRPr="00702497">
        <w:rPr>
          <w:rFonts w:eastAsia="Malgun Gothic"/>
          <w:b/>
          <w:lang w:val="fr-FR"/>
        </w:rPr>
        <w:t>Bangladesh</w:t>
      </w:r>
      <w:r w:rsidRPr="00DC28F0">
        <w:rPr>
          <w:rFonts w:eastAsia="Malgun Gothic"/>
          <w:bCs/>
          <w:lang w:val="fr-FR"/>
        </w:rPr>
        <w:t xml:space="preserve"> a proposé de supprimer </w:t>
      </w:r>
      <w:r>
        <w:rPr>
          <w:rFonts w:eastAsia="Malgun Gothic"/>
          <w:bCs/>
          <w:lang w:val="fr-FR"/>
        </w:rPr>
        <w:t>« </w:t>
      </w:r>
      <w:r w:rsidR="007F07C1" w:rsidRPr="007F07C1">
        <w:rPr>
          <w:rFonts w:eastAsia="Malgun Gothic"/>
          <w:bCs/>
          <w:color w:val="000000" w:themeColor="text1"/>
          <w:lang w:val="fr-FR"/>
        </w:rPr>
        <w:t>également</w:t>
      </w:r>
      <w:r>
        <w:rPr>
          <w:rFonts w:eastAsia="Malgun Gothic"/>
          <w:bCs/>
          <w:lang w:val="fr-FR"/>
        </w:rPr>
        <w:t xml:space="preserve"> ». Le </w:t>
      </w:r>
      <w:r w:rsidRPr="00DC28F0">
        <w:rPr>
          <w:rFonts w:eastAsia="Malgun Gothic"/>
          <w:bCs/>
          <w:lang w:val="fr-FR"/>
        </w:rPr>
        <w:t>paragraphe</w:t>
      </w:r>
      <w:r>
        <w:rPr>
          <w:rFonts w:eastAsia="Malgun Gothic"/>
          <w:bCs/>
          <w:lang w:val="fr-FR"/>
        </w:rPr>
        <w:t xml:space="preserve"> serait ainsi rédigé :</w:t>
      </w:r>
      <w:r w:rsidRPr="00DC28F0">
        <w:rPr>
          <w:rFonts w:eastAsia="Malgun Gothic"/>
          <w:bCs/>
          <w:lang w:val="fr-FR"/>
        </w:rPr>
        <w:t xml:space="preserve"> </w:t>
      </w:r>
      <w:r>
        <w:rPr>
          <w:rFonts w:eastAsia="Malgun Gothic"/>
          <w:bCs/>
          <w:lang w:val="fr-FR"/>
        </w:rPr>
        <w:t>« </w:t>
      </w:r>
      <w:r w:rsidRPr="00DC28F0">
        <w:rPr>
          <w:rFonts w:eastAsia="Malgun Gothic"/>
          <w:bCs/>
          <w:lang w:val="fr-FR"/>
        </w:rPr>
        <w:t>Rappelle à l</w:t>
      </w:r>
      <w:r w:rsidR="00923E72">
        <w:rPr>
          <w:rFonts w:eastAsia="Malgun Gothic"/>
          <w:bCs/>
          <w:lang w:val="fr-FR"/>
        </w:rPr>
        <w:t>’</w:t>
      </w:r>
      <w:r w:rsidRPr="00DC28F0">
        <w:rPr>
          <w:rFonts w:eastAsia="Malgun Gothic"/>
          <w:bCs/>
          <w:lang w:val="fr-FR"/>
        </w:rPr>
        <w:t xml:space="preserve">État partie </w:t>
      </w:r>
      <w:r>
        <w:rPr>
          <w:rFonts w:eastAsia="Malgun Gothic"/>
          <w:bCs/>
          <w:lang w:val="fr-FR"/>
        </w:rPr>
        <w:t xml:space="preserve">de prendre en compte </w:t>
      </w:r>
      <w:r w:rsidRPr="00DC28F0">
        <w:rPr>
          <w:rFonts w:eastAsia="Malgun Gothic"/>
          <w:bCs/>
          <w:lang w:val="fr-FR"/>
        </w:rPr>
        <w:t xml:space="preserve">les possibles </w:t>
      </w:r>
      <w:r w:rsidR="00F05951">
        <w:rPr>
          <w:rFonts w:eastAsia="Malgun Gothic"/>
          <w:bCs/>
          <w:lang w:val="fr-FR"/>
        </w:rPr>
        <w:t xml:space="preserve">effets </w:t>
      </w:r>
      <w:r w:rsidRPr="00DC28F0">
        <w:rPr>
          <w:rFonts w:eastAsia="Malgun Gothic"/>
          <w:bCs/>
          <w:lang w:val="fr-FR"/>
        </w:rPr>
        <w:t>de l</w:t>
      </w:r>
      <w:r w:rsidR="00923E72">
        <w:rPr>
          <w:rFonts w:eastAsia="Malgun Gothic"/>
          <w:bCs/>
          <w:lang w:val="fr-FR"/>
        </w:rPr>
        <w:t>’</w:t>
      </w:r>
      <w:r w:rsidRPr="00DC28F0">
        <w:rPr>
          <w:rFonts w:eastAsia="Malgun Gothic"/>
          <w:bCs/>
          <w:lang w:val="fr-FR"/>
        </w:rPr>
        <w:t>inscription de l</w:t>
      </w:r>
      <w:r w:rsidR="00923E72">
        <w:rPr>
          <w:rFonts w:eastAsia="Malgun Gothic"/>
          <w:bCs/>
          <w:lang w:val="fr-FR"/>
        </w:rPr>
        <w:t>’</w:t>
      </w:r>
      <w:r w:rsidRPr="00DC28F0">
        <w:rPr>
          <w:rFonts w:eastAsia="Malgun Gothic"/>
          <w:bCs/>
          <w:lang w:val="fr-FR"/>
        </w:rPr>
        <w:t>élément, y compris les conséquences involontaires de l</w:t>
      </w:r>
      <w:r w:rsidR="00923E72">
        <w:rPr>
          <w:rFonts w:eastAsia="Malgun Gothic"/>
          <w:bCs/>
          <w:lang w:val="fr-FR"/>
        </w:rPr>
        <w:t>’</w:t>
      </w:r>
      <w:r w:rsidRPr="00DC28F0">
        <w:rPr>
          <w:rFonts w:eastAsia="Malgun Gothic"/>
          <w:bCs/>
          <w:lang w:val="fr-FR"/>
        </w:rPr>
        <w:t xml:space="preserve">augmentation du tourisme, </w:t>
      </w:r>
      <w:r w:rsidRPr="00F05951">
        <w:rPr>
          <w:rFonts w:eastAsia="Malgun Gothic"/>
          <w:bCs/>
          <w:lang w:val="fr-FR"/>
        </w:rPr>
        <w:t xml:space="preserve">et </w:t>
      </w:r>
      <w:r w:rsidR="00234846">
        <w:rPr>
          <w:rFonts w:eastAsia="Malgun Gothic"/>
          <w:bCs/>
          <w:lang w:val="fr-FR"/>
        </w:rPr>
        <w:t>d</w:t>
      </w:r>
      <w:r w:rsidR="00923E72">
        <w:rPr>
          <w:rFonts w:eastAsia="Malgun Gothic"/>
          <w:bCs/>
          <w:lang w:val="fr-FR"/>
        </w:rPr>
        <w:t>’</w:t>
      </w:r>
      <w:r w:rsidR="00234846">
        <w:rPr>
          <w:rFonts w:eastAsia="Malgun Gothic"/>
          <w:bCs/>
          <w:lang w:val="fr-FR"/>
        </w:rPr>
        <w:t xml:space="preserve">assurer </w:t>
      </w:r>
      <w:r w:rsidR="00F05951" w:rsidRPr="00702497">
        <w:rPr>
          <w:rFonts w:eastAsia="Malgun Gothic"/>
          <w:bCs/>
          <w:color w:val="000000" w:themeColor="text1"/>
          <w:lang w:val="fr-FR"/>
        </w:rPr>
        <w:t xml:space="preserve">également </w:t>
      </w:r>
      <w:r w:rsidR="00234846">
        <w:rPr>
          <w:rFonts w:eastAsia="Malgun Gothic"/>
          <w:bCs/>
          <w:color w:val="000000" w:themeColor="text1"/>
          <w:lang w:val="fr-FR"/>
        </w:rPr>
        <w:t>la</w:t>
      </w:r>
      <w:r w:rsidRPr="00F05951">
        <w:rPr>
          <w:rFonts w:eastAsia="Malgun Gothic"/>
          <w:bCs/>
          <w:lang w:val="fr-FR"/>
        </w:rPr>
        <w:t xml:space="preserve"> participation </w:t>
      </w:r>
      <w:r w:rsidR="00234846">
        <w:rPr>
          <w:rFonts w:eastAsia="Malgun Gothic"/>
          <w:bCs/>
          <w:lang w:val="fr-FR"/>
        </w:rPr>
        <w:t xml:space="preserve">la </w:t>
      </w:r>
      <w:r w:rsidR="00F05951">
        <w:rPr>
          <w:rFonts w:eastAsia="Malgun Gothic"/>
          <w:bCs/>
          <w:lang w:val="fr-FR"/>
        </w:rPr>
        <w:t xml:space="preserve">plus large </w:t>
      </w:r>
      <w:r w:rsidR="00234846">
        <w:rPr>
          <w:rFonts w:eastAsia="Malgun Gothic"/>
          <w:bCs/>
          <w:lang w:val="fr-FR"/>
        </w:rPr>
        <w:t xml:space="preserve">possible </w:t>
      </w:r>
      <w:r w:rsidRPr="00DC28F0">
        <w:rPr>
          <w:rFonts w:eastAsia="Malgun Gothic"/>
          <w:bCs/>
          <w:lang w:val="fr-FR"/>
        </w:rPr>
        <w:t>des communautés concernées lors de la mise en œuvre des mesures de sauvegarde</w:t>
      </w:r>
      <w:r>
        <w:rPr>
          <w:rFonts w:eastAsia="Malgun Gothic"/>
          <w:bCs/>
          <w:lang w:val="fr-FR"/>
        </w:rPr>
        <w:t> »</w:t>
      </w:r>
      <w:r w:rsidRPr="00DC28F0">
        <w:rPr>
          <w:rFonts w:eastAsia="Malgun Gothic"/>
          <w:bCs/>
          <w:lang w:val="fr-FR"/>
        </w:rPr>
        <w:t>. Il a été noté que le paragraphe reprenait des éléments du paragraphe</w:t>
      </w:r>
      <w:r w:rsidR="008F5CA2">
        <w:rPr>
          <w:rFonts w:eastAsia="Malgun Gothic"/>
          <w:bCs/>
          <w:lang w:val="fr-FR"/>
        </w:rPr>
        <w:t> </w:t>
      </w:r>
      <w:r w:rsidRPr="00DC28F0">
        <w:rPr>
          <w:rFonts w:eastAsia="Malgun Gothic"/>
          <w:bCs/>
          <w:lang w:val="fr-FR"/>
        </w:rPr>
        <w:t>7.</w:t>
      </w:r>
    </w:p>
    <w:p w14:paraId="19860FA1" w14:textId="7C32DE44" w:rsidR="00F05951" w:rsidRDefault="00F0595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F05951">
        <w:rPr>
          <w:rFonts w:eastAsia="Malgun Gothic"/>
          <w:bCs/>
          <w:lang w:val="fr-FR"/>
        </w:rPr>
        <w:t>délégation</w:t>
      </w:r>
      <w:r>
        <w:rPr>
          <w:rFonts w:eastAsia="Malgun Gothic"/>
          <w:bCs/>
          <w:lang w:val="fr-FR"/>
        </w:rPr>
        <w:t xml:space="preserve"> du </w:t>
      </w:r>
      <w:r w:rsidRPr="00702497">
        <w:rPr>
          <w:rFonts w:eastAsia="Malgun Gothic"/>
          <w:b/>
          <w:lang w:val="fr-FR"/>
        </w:rPr>
        <w:t>Paraguay</w:t>
      </w:r>
      <w:r>
        <w:rPr>
          <w:rFonts w:eastAsia="Malgun Gothic"/>
          <w:bCs/>
          <w:lang w:val="fr-FR"/>
        </w:rPr>
        <w:t xml:space="preserve"> a fait remarquer que cela avait déjà été dit dans le </w:t>
      </w:r>
      <w:r w:rsidRPr="00F05951">
        <w:rPr>
          <w:rFonts w:eastAsia="Malgun Gothic"/>
          <w:bCs/>
          <w:lang w:val="fr-FR"/>
        </w:rPr>
        <w:t>paragraphe</w:t>
      </w:r>
      <w:r>
        <w:rPr>
          <w:rFonts w:eastAsia="Malgun Gothic"/>
          <w:bCs/>
          <w:lang w:val="fr-FR"/>
        </w:rPr>
        <w:t xml:space="preserve"> sur le </w:t>
      </w:r>
      <w:r w:rsidRPr="00F05951">
        <w:rPr>
          <w:rFonts w:eastAsia="Malgun Gothic"/>
          <w:bCs/>
          <w:lang w:val="fr-FR"/>
        </w:rPr>
        <w:t>critère</w:t>
      </w:r>
      <w:r>
        <w:rPr>
          <w:rFonts w:eastAsia="Malgun Gothic"/>
          <w:bCs/>
          <w:lang w:val="fr-FR"/>
        </w:rPr>
        <w:t> R.3 et que cela était donc redondant.</w:t>
      </w:r>
    </w:p>
    <w:p w14:paraId="236C4F71" w14:textId="357879BF" w:rsidR="00F05951" w:rsidRDefault="00F0595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fait remarquer que le </w:t>
      </w:r>
      <w:r w:rsidRPr="00F05951">
        <w:rPr>
          <w:rFonts w:eastAsia="Malgun Gothic"/>
          <w:bCs/>
          <w:lang w:val="fr-FR"/>
        </w:rPr>
        <w:t>paragraphe</w:t>
      </w:r>
      <w:r>
        <w:rPr>
          <w:rFonts w:eastAsia="Malgun Gothic"/>
          <w:bCs/>
          <w:lang w:val="fr-FR"/>
        </w:rPr>
        <w:t xml:space="preserve"> sur le </w:t>
      </w:r>
      <w:r w:rsidRPr="00F05951">
        <w:rPr>
          <w:rFonts w:eastAsia="Malgun Gothic"/>
          <w:bCs/>
          <w:lang w:val="fr-FR"/>
        </w:rPr>
        <w:t>critère</w:t>
      </w:r>
      <w:r>
        <w:rPr>
          <w:rFonts w:eastAsia="Malgun Gothic"/>
          <w:bCs/>
          <w:lang w:val="fr-FR"/>
        </w:rPr>
        <w:t> R.3 ne reprenait pas les éléments proposés par le Bangladesh, et a donc suggéré de conserver l</w:t>
      </w:r>
      <w:r w:rsidR="00923E72">
        <w:rPr>
          <w:rFonts w:eastAsia="Malgun Gothic"/>
          <w:bCs/>
          <w:lang w:val="fr-FR"/>
        </w:rPr>
        <w:t>’</w:t>
      </w:r>
      <w:r w:rsidRPr="00F05951">
        <w:rPr>
          <w:rFonts w:eastAsia="Malgun Gothic"/>
          <w:bCs/>
          <w:lang w:val="fr-FR"/>
        </w:rPr>
        <w:t>amendement</w:t>
      </w:r>
      <w:r>
        <w:rPr>
          <w:rFonts w:eastAsia="Malgun Gothic"/>
          <w:bCs/>
          <w:lang w:val="fr-FR"/>
        </w:rPr>
        <w:t xml:space="preserve"> au nouveau </w:t>
      </w:r>
      <w:r w:rsidRPr="00F05951">
        <w:rPr>
          <w:rFonts w:eastAsia="Malgun Gothic"/>
          <w:bCs/>
          <w:lang w:val="fr-FR"/>
        </w:rPr>
        <w:t>paragraphe</w:t>
      </w:r>
      <w:r>
        <w:rPr>
          <w:rFonts w:eastAsia="Malgun Gothic"/>
          <w:bCs/>
          <w:lang w:val="fr-FR"/>
        </w:rPr>
        <w:t> 6.</w:t>
      </w:r>
    </w:p>
    <w:p w14:paraId="4A8A6309" w14:textId="69E36D40" w:rsidR="00F05951" w:rsidRDefault="00F0595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F05951">
        <w:rPr>
          <w:rFonts w:eastAsia="Malgun Gothic"/>
          <w:bCs/>
          <w:lang w:val="fr-FR"/>
        </w:rPr>
        <w:t>délégation</w:t>
      </w:r>
      <w:r>
        <w:rPr>
          <w:rFonts w:eastAsia="Malgun Gothic"/>
          <w:bCs/>
          <w:lang w:val="fr-FR"/>
        </w:rPr>
        <w:t xml:space="preserve"> du </w:t>
      </w:r>
      <w:r w:rsidRPr="00702497">
        <w:rPr>
          <w:rFonts w:eastAsia="Malgun Gothic"/>
          <w:b/>
          <w:lang w:val="fr-FR"/>
        </w:rPr>
        <w:t>Paraguay</w:t>
      </w:r>
      <w:r>
        <w:rPr>
          <w:rFonts w:eastAsia="Malgun Gothic"/>
          <w:bCs/>
          <w:lang w:val="fr-FR"/>
        </w:rPr>
        <w:t xml:space="preserve"> pouvait accepter la </w:t>
      </w:r>
      <w:r w:rsidRPr="00F05951">
        <w:rPr>
          <w:rFonts w:eastAsia="Malgun Gothic"/>
          <w:bCs/>
          <w:lang w:val="fr-FR"/>
        </w:rPr>
        <w:t>proposition</w:t>
      </w:r>
      <w:r>
        <w:rPr>
          <w:rFonts w:eastAsia="Malgun Gothic"/>
          <w:bCs/>
          <w:lang w:val="fr-FR"/>
        </w:rPr>
        <w:t xml:space="preserve"> afin d</w:t>
      </w:r>
      <w:r w:rsidR="00923E72">
        <w:rPr>
          <w:rFonts w:eastAsia="Malgun Gothic"/>
          <w:bCs/>
          <w:lang w:val="fr-FR"/>
        </w:rPr>
        <w:t>’</w:t>
      </w:r>
      <w:r>
        <w:rPr>
          <w:rFonts w:eastAsia="Malgun Gothic"/>
          <w:bCs/>
          <w:lang w:val="fr-FR"/>
        </w:rPr>
        <w:t>avancer.</w:t>
      </w:r>
    </w:p>
    <w:p w14:paraId="448DA15A" w14:textId="6FF9099D" w:rsidR="00F05951" w:rsidRDefault="00F0595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le Paraguay pour sa flexibilité et est revenu sur le libellé proposé par le Bangladesh, qui a été dûment adopté. Le </w:t>
      </w:r>
      <w:r w:rsidRPr="00F05951">
        <w:rPr>
          <w:rFonts w:eastAsia="Malgun Gothic"/>
          <w:bCs/>
          <w:lang w:val="fr-FR"/>
        </w:rPr>
        <w:t>paragraphe</w:t>
      </w:r>
      <w:r w:rsidR="008F5CA2">
        <w:rPr>
          <w:rFonts w:eastAsia="Malgun Gothic"/>
          <w:bCs/>
          <w:lang w:val="fr-FR"/>
        </w:rPr>
        <w:t> </w:t>
      </w:r>
      <w:r>
        <w:rPr>
          <w:rFonts w:eastAsia="Malgun Gothic"/>
          <w:bCs/>
          <w:lang w:val="fr-FR"/>
        </w:rPr>
        <w:t>7 initial a donc été supprimé.</w:t>
      </w:r>
    </w:p>
    <w:p w14:paraId="294E3386" w14:textId="62163310" w:rsidR="00F05951" w:rsidRDefault="00F0595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F05951">
        <w:rPr>
          <w:rFonts w:eastAsia="Malgun Gothic"/>
          <w:bCs/>
          <w:lang w:val="fr-FR"/>
        </w:rPr>
        <w:t xml:space="preserve">La délégation du </w:t>
      </w:r>
      <w:r w:rsidRPr="00702497">
        <w:rPr>
          <w:rFonts w:eastAsia="Malgun Gothic"/>
          <w:b/>
          <w:lang w:val="fr-FR"/>
        </w:rPr>
        <w:t>Panama</w:t>
      </w:r>
      <w:r w:rsidRPr="00F05951">
        <w:rPr>
          <w:rFonts w:eastAsia="Malgun Gothic"/>
          <w:bCs/>
          <w:lang w:val="fr-FR"/>
        </w:rPr>
        <w:t xml:space="preserve"> a expliqué que l</w:t>
      </w:r>
      <w:r w:rsidR="00923E72">
        <w:rPr>
          <w:rFonts w:eastAsia="Malgun Gothic"/>
          <w:bCs/>
          <w:lang w:val="fr-FR"/>
        </w:rPr>
        <w:t>’</w:t>
      </w:r>
      <w:r w:rsidRPr="00F05951">
        <w:rPr>
          <w:rFonts w:eastAsia="Malgun Gothic"/>
          <w:bCs/>
          <w:lang w:val="fr-FR"/>
        </w:rPr>
        <w:t xml:space="preserve">un des points les plus importants de la Convention est la mise en œuvre de mesures de sauvegarde. Il était donc contradictoire de répéter la recommandation dans le paragraphe alors que le texte initial du paragraphe </w:t>
      </w:r>
      <w:r w:rsidR="00234846">
        <w:rPr>
          <w:rFonts w:eastAsia="Malgun Gothic"/>
          <w:bCs/>
          <w:lang w:val="fr-FR"/>
        </w:rPr>
        <w:t xml:space="preserve">concernant le </w:t>
      </w:r>
      <w:r w:rsidR="00234846" w:rsidRPr="00234846">
        <w:rPr>
          <w:rFonts w:eastAsia="Malgun Gothic"/>
          <w:bCs/>
          <w:lang w:val="fr-FR"/>
        </w:rPr>
        <w:t>critère</w:t>
      </w:r>
      <w:r w:rsidR="00234846">
        <w:rPr>
          <w:rFonts w:eastAsia="Malgun Gothic"/>
          <w:bCs/>
          <w:lang w:val="fr-FR"/>
        </w:rPr>
        <w:t> </w:t>
      </w:r>
      <w:r w:rsidRPr="00F05951">
        <w:rPr>
          <w:rFonts w:eastAsia="Malgun Gothic"/>
          <w:bCs/>
          <w:lang w:val="fr-FR"/>
        </w:rPr>
        <w:t>R.3 indiquait que l</w:t>
      </w:r>
      <w:r w:rsidR="007F07C1">
        <w:rPr>
          <w:rFonts w:eastAsia="Malgun Gothic"/>
          <w:bCs/>
          <w:lang w:val="fr-FR"/>
        </w:rPr>
        <w:t xml:space="preserve">es </w:t>
      </w:r>
      <w:r w:rsidRPr="00F05951">
        <w:rPr>
          <w:rFonts w:eastAsia="Malgun Gothic"/>
          <w:bCs/>
          <w:lang w:val="fr-FR"/>
        </w:rPr>
        <w:t>mesures de sauvegarde étai</w:t>
      </w:r>
      <w:r w:rsidR="007F07C1">
        <w:rPr>
          <w:rFonts w:eastAsia="Malgun Gothic"/>
          <w:bCs/>
          <w:lang w:val="fr-FR"/>
        </w:rPr>
        <w:t xml:space="preserve">ent mises en œuvre </w:t>
      </w:r>
      <w:r w:rsidRPr="00F05951">
        <w:rPr>
          <w:rFonts w:eastAsia="Malgun Gothic"/>
          <w:bCs/>
          <w:lang w:val="fr-FR"/>
        </w:rPr>
        <w:t>avec les communautés. Dans ce cas, il n</w:t>
      </w:r>
      <w:r w:rsidR="00923E72">
        <w:rPr>
          <w:rFonts w:eastAsia="Malgun Gothic"/>
          <w:bCs/>
          <w:lang w:val="fr-FR"/>
        </w:rPr>
        <w:t>’</w:t>
      </w:r>
      <w:r w:rsidRPr="00F05951">
        <w:rPr>
          <w:rFonts w:eastAsia="Malgun Gothic"/>
          <w:bCs/>
          <w:lang w:val="fr-FR"/>
        </w:rPr>
        <w:t>était pas nécessaire de la répéter dans ce paragraphe</w:t>
      </w:r>
      <w:r w:rsidR="00234846">
        <w:rPr>
          <w:rFonts w:eastAsia="Malgun Gothic"/>
          <w:bCs/>
          <w:lang w:val="fr-FR"/>
        </w:rPr>
        <w:t> </w:t>
      </w:r>
      <w:r w:rsidRPr="00F05951">
        <w:rPr>
          <w:rFonts w:eastAsia="Malgun Gothic"/>
          <w:bCs/>
          <w:lang w:val="fr-FR"/>
        </w:rPr>
        <w:t xml:space="preserve">6, comme </w:t>
      </w:r>
      <w:r w:rsidR="00234846">
        <w:rPr>
          <w:rFonts w:eastAsia="Malgun Gothic"/>
          <w:bCs/>
          <w:lang w:val="fr-FR"/>
        </w:rPr>
        <w:t>l</w:t>
      </w:r>
      <w:r w:rsidR="00923E72">
        <w:rPr>
          <w:rFonts w:eastAsia="Malgun Gothic"/>
          <w:bCs/>
          <w:lang w:val="fr-FR"/>
        </w:rPr>
        <w:t>’</w:t>
      </w:r>
      <w:r w:rsidR="00234846">
        <w:rPr>
          <w:rFonts w:eastAsia="Malgun Gothic"/>
          <w:bCs/>
          <w:lang w:val="fr-FR"/>
        </w:rPr>
        <w:t xml:space="preserve">avait </w:t>
      </w:r>
      <w:r w:rsidRPr="00F05951">
        <w:rPr>
          <w:rFonts w:eastAsia="Malgun Gothic"/>
          <w:bCs/>
          <w:lang w:val="fr-FR"/>
        </w:rPr>
        <w:t>mentionné le Paraguay. Si le paragraphe recommandait le respect des mesures de sauvegarde, il insinuerait que ce n</w:t>
      </w:r>
      <w:r w:rsidR="00923E72">
        <w:rPr>
          <w:rFonts w:eastAsia="Malgun Gothic"/>
          <w:bCs/>
          <w:lang w:val="fr-FR"/>
        </w:rPr>
        <w:t>’</w:t>
      </w:r>
      <w:r w:rsidRPr="00F05951">
        <w:rPr>
          <w:rFonts w:eastAsia="Malgun Gothic"/>
          <w:bCs/>
          <w:lang w:val="fr-FR"/>
        </w:rPr>
        <w:t>était pas le cas actuellement, d</w:t>
      </w:r>
      <w:r w:rsidR="00923E72">
        <w:rPr>
          <w:rFonts w:eastAsia="Malgun Gothic"/>
          <w:bCs/>
          <w:lang w:val="fr-FR"/>
        </w:rPr>
        <w:t>’</w:t>
      </w:r>
      <w:r w:rsidRPr="00F05951">
        <w:rPr>
          <w:rFonts w:eastAsia="Malgun Gothic"/>
          <w:bCs/>
          <w:lang w:val="fr-FR"/>
        </w:rPr>
        <w:t>où la contradiction.</w:t>
      </w:r>
    </w:p>
    <w:p w14:paraId="5D119337" w14:textId="282D8F5C" w:rsidR="00234846" w:rsidRDefault="0023484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234846">
        <w:rPr>
          <w:rFonts w:eastAsia="Malgun Gothic"/>
          <w:bCs/>
          <w:lang w:val="fr-FR"/>
        </w:rPr>
        <w:t xml:space="preserve">Le </w:t>
      </w:r>
      <w:r w:rsidRPr="00702497">
        <w:rPr>
          <w:rFonts w:eastAsia="Malgun Gothic"/>
          <w:b/>
          <w:lang w:val="fr-FR"/>
        </w:rPr>
        <w:t>Président</w:t>
      </w:r>
      <w:r w:rsidRPr="00234846">
        <w:rPr>
          <w:rFonts w:eastAsia="Malgun Gothic"/>
          <w:bCs/>
          <w:lang w:val="fr-FR"/>
        </w:rPr>
        <w:t xml:space="preserve"> </w:t>
      </w:r>
      <w:r>
        <w:rPr>
          <w:rFonts w:eastAsia="Malgun Gothic"/>
          <w:bCs/>
          <w:lang w:val="fr-FR"/>
        </w:rPr>
        <w:t xml:space="preserve">a </w:t>
      </w:r>
      <w:r w:rsidRPr="00234846">
        <w:rPr>
          <w:rFonts w:eastAsia="Malgun Gothic"/>
          <w:bCs/>
          <w:lang w:val="fr-FR"/>
        </w:rPr>
        <w:t>expliqu</w:t>
      </w:r>
      <w:r>
        <w:rPr>
          <w:rFonts w:eastAsia="Malgun Gothic"/>
          <w:bCs/>
          <w:lang w:val="fr-FR"/>
        </w:rPr>
        <w:t xml:space="preserve">é </w:t>
      </w:r>
      <w:r w:rsidRPr="00234846">
        <w:rPr>
          <w:rFonts w:eastAsia="Malgun Gothic"/>
          <w:bCs/>
          <w:lang w:val="fr-FR"/>
        </w:rPr>
        <w:t>qu</w:t>
      </w:r>
      <w:r w:rsidR="00923E72">
        <w:rPr>
          <w:rFonts w:eastAsia="Malgun Gothic"/>
          <w:bCs/>
          <w:lang w:val="fr-FR"/>
        </w:rPr>
        <w:t>’</w:t>
      </w:r>
      <w:r w:rsidRPr="00234846">
        <w:rPr>
          <w:rFonts w:eastAsia="Malgun Gothic"/>
          <w:bCs/>
          <w:lang w:val="fr-FR"/>
        </w:rPr>
        <w:t>il n</w:t>
      </w:r>
      <w:r w:rsidR="00923E72">
        <w:rPr>
          <w:rFonts w:eastAsia="Malgun Gothic"/>
          <w:bCs/>
          <w:lang w:val="fr-FR"/>
        </w:rPr>
        <w:t>’</w:t>
      </w:r>
      <w:r w:rsidRPr="00234846">
        <w:rPr>
          <w:rFonts w:eastAsia="Malgun Gothic"/>
          <w:bCs/>
          <w:lang w:val="fr-FR"/>
        </w:rPr>
        <w:t>y a</w:t>
      </w:r>
      <w:r>
        <w:rPr>
          <w:rFonts w:eastAsia="Malgun Gothic"/>
          <w:bCs/>
          <w:lang w:val="fr-FR"/>
        </w:rPr>
        <w:t>vait</w:t>
      </w:r>
      <w:r w:rsidRPr="00234846">
        <w:rPr>
          <w:rFonts w:eastAsia="Malgun Gothic"/>
          <w:bCs/>
          <w:lang w:val="fr-FR"/>
        </w:rPr>
        <w:t xml:space="preserve"> pas de contradiction</w:t>
      </w:r>
      <w:r w:rsidR="002F1676">
        <w:rPr>
          <w:rFonts w:eastAsia="Malgun Gothic"/>
          <w:bCs/>
          <w:lang w:val="fr-FR"/>
        </w:rPr>
        <w:t>,</w:t>
      </w:r>
      <w:r w:rsidRPr="00234846">
        <w:rPr>
          <w:rFonts w:eastAsia="Malgun Gothic"/>
          <w:bCs/>
          <w:lang w:val="fr-FR"/>
        </w:rPr>
        <w:t xml:space="preserve"> car le Comité n</w:t>
      </w:r>
      <w:r w:rsidR="00923E72">
        <w:rPr>
          <w:rFonts w:eastAsia="Malgun Gothic"/>
          <w:bCs/>
          <w:lang w:val="fr-FR"/>
        </w:rPr>
        <w:t>’</w:t>
      </w:r>
      <w:r w:rsidRPr="00234846">
        <w:rPr>
          <w:rFonts w:eastAsia="Malgun Gothic"/>
          <w:bCs/>
          <w:lang w:val="fr-FR"/>
        </w:rPr>
        <w:t>affirm</w:t>
      </w:r>
      <w:r>
        <w:rPr>
          <w:rFonts w:eastAsia="Malgun Gothic"/>
          <w:bCs/>
          <w:lang w:val="fr-FR"/>
        </w:rPr>
        <w:t>ait</w:t>
      </w:r>
      <w:r w:rsidRPr="00234846">
        <w:rPr>
          <w:rFonts w:eastAsia="Malgun Gothic"/>
          <w:bCs/>
          <w:lang w:val="fr-FR"/>
        </w:rPr>
        <w:t xml:space="preserve"> pas qu</w:t>
      </w:r>
      <w:r w:rsidR="00923E72">
        <w:rPr>
          <w:rFonts w:eastAsia="Malgun Gothic"/>
          <w:bCs/>
          <w:lang w:val="fr-FR"/>
        </w:rPr>
        <w:t>’</w:t>
      </w:r>
      <w:r w:rsidRPr="00234846">
        <w:rPr>
          <w:rFonts w:eastAsia="Malgun Gothic"/>
          <w:bCs/>
          <w:lang w:val="fr-FR"/>
        </w:rPr>
        <w:t>il n</w:t>
      </w:r>
      <w:r w:rsidR="00923E72">
        <w:rPr>
          <w:rFonts w:eastAsia="Malgun Gothic"/>
          <w:bCs/>
          <w:lang w:val="fr-FR"/>
        </w:rPr>
        <w:t>’</w:t>
      </w:r>
      <w:r w:rsidRPr="00234846">
        <w:rPr>
          <w:rFonts w:eastAsia="Malgun Gothic"/>
          <w:bCs/>
          <w:lang w:val="fr-FR"/>
        </w:rPr>
        <w:t>y a</w:t>
      </w:r>
      <w:r>
        <w:rPr>
          <w:rFonts w:eastAsia="Malgun Gothic"/>
          <w:bCs/>
          <w:lang w:val="fr-FR"/>
        </w:rPr>
        <w:t>vait</w:t>
      </w:r>
      <w:r w:rsidRPr="00234846">
        <w:rPr>
          <w:rFonts w:eastAsia="Malgun Gothic"/>
          <w:bCs/>
          <w:lang w:val="fr-FR"/>
        </w:rPr>
        <w:t xml:space="preserve"> pas de participation communautaire. Il </w:t>
      </w:r>
      <w:r>
        <w:rPr>
          <w:rFonts w:eastAsia="Malgun Gothic"/>
          <w:bCs/>
          <w:lang w:val="fr-FR"/>
        </w:rPr>
        <w:t xml:space="preserve">déclarait </w:t>
      </w:r>
      <w:r w:rsidRPr="00234846">
        <w:rPr>
          <w:rFonts w:eastAsia="Malgun Gothic"/>
          <w:bCs/>
          <w:lang w:val="fr-FR"/>
        </w:rPr>
        <w:t>simplement</w:t>
      </w:r>
      <w:r>
        <w:rPr>
          <w:rFonts w:eastAsia="Malgun Gothic"/>
          <w:bCs/>
          <w:lang w:val="fr-FR"/>
        </w:rPr>
        <w:t xml:space="preserve"> </w:t>
      </w:r>
      <w:r w:rsidRPr="00234846">
        <w:rPr>
          <w:rFonts w:eastAsia="Malgun Gothic"/>
          <w:bCs/>
          <w:lang w:val="fr-FR"/>
        </w:rPr>
        <w:t>que la participation devrait être renforcée et élargie. La décision reconna</w:t>
      </w:r>
      <w:r>
        <w:rPr>
          <w:rFonts w:eastAsia="Malgun Gothic"/>
          <w:bCs/>
          <w:lang w:val="fr-FR"/>
        </w:rPr>
        <w:t>issai</w:t>
      </w:r>
      <w:r w:rsidRPr="00234846">
        <w:rPr>
          <w:rFonts w:eastAsia="Malgun Gothic"/>
          <w:bCs/>
          <w:lang w:val="fr-FR"/>
        </w:rPr>
        <w:t>t évidemment la participation des communautés.</w:t>
      </w:r>
    </w:p>
    <w:p w14:paraId="6A1DA00A" w14:textId="1656B9EC" w:rsidR="00234846" w:rsidRDefault="0023484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234846">
        <w:rPr>
          <w:rFonts w:eastAsia="Malgun Gothic"/>
          <w:bCs/>
          <w:lang w:val="fr-FR"/>
        </w:rPr>
        <w:t xml:space="preserve">La délégation du </w:t>
      </w:r>
      <w:r w:rsidRPr="00702497">
        <w:rPr>
          <w:rFonts w:eastAsia="Malgun Gothic"/>
          <w:b/>
          <w:lang w:val="fr-FR"/>
        </w:rPr>
        <w:t>Panama</w:t>
      </w:r>
      <w:r w:rsidRPr="00234846">
        <w:rPr>
          <w:rFonts w:eastAsia="Malgun Gothic"/>
          <w:bCs/>
          <w:lang w:val="fr-FR"/>
        </w:rPr>
        <w:t xml:space="preserve"> a demandé que la parole soit donnée au Guatemala</w:t>
      </w:r>
      <w:r>
        <w:rPr>
          <w:rFonts w:eastAsia="Malgun Gothic"/>
          <w:bCs/>
          <w:lang w:val="fr-FR"/>
        </w:rPr>
        <w:t>,</w:t>
      </w:r>
      <w:r w:rsidRPr="00234846">
        <w:rPr>
          <w:rFonts w:eastAsia="Malgun Gothic"/>
          <w:bCs/>
          <w:lang w:val="fr-FR"/>
        </w:rPr>
        <w:t xml:space="preserve"> puisque ce paragraphe réfutait essentiellement le plan de sauvegarde, qui avait été bien expliqué par le ministre.</w:t>
      </w:r>
    </w:p>
    <w:p w14:paraId="79B8EB24" w14:textId="76E18F11" w:rsidR="00234846" w:rsidRPr="00702497" w:rsidRDefault="0023484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regretté que le Guatemala ne puisse pas s</w:t>
      </w:r>
      <w:r w:rsidR="00923E72">
        <w:rPr>
          <w:rFonts w:eastAsia="Malgun Gothic"/>
          <w:bCs/>
          <w:lang w:val="fr-FR"/>
        </w:rPr>
        <w:t>’</w:t>
      </w:r>
      <w:r>
        <w:rPr>
          <w:rFonts w:eastAsia="Malgun Gothic"/>
          <w:bCs/>
          <w:lang w:val="fr-FR"/>
        </w:rPr>
        <w:t xml:space="preserve">exprimer à ce stade du processus de prise de décision, mais le </w:t>
      </w:r>
      <w:r w:rsidRPr="00234846">
        <w:rPr>
          <w:rFonts w:eastAsia="Malgun Gothic"/>
          <w:bCs/>
          <w:color w:val="000000" w:themeColor="text1"/>
          <w:lang w:val="fr-FR"/>
        </w:rPr>
        <w:t>Comité</w:t>
      </w:r>
      <w:r>
        <w:rPr>
          <w:rFonts w:eastAsia="Malgun Gothic"/>
          <w:bCs/>
          <w:color w:val="000000" w:themeColor="text1"/>
          <w:lang w:val="fr-FR"/>
        </w:rPr>
        <w:t xml:space="preserve"> essaierait de parvenir à un consensus car le débat sur texte restait ouvert.</w:t>
      </w:r>
    </w:p>
    <w:p w14:paraId="182762E9" w14:textId="49784920" w:rsidR="00234846" w:rsidRPr="00702497" w:rsidRDefault="0023484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color w:val="000000" w:themeColor="text1"/>
          <w:lang w:val="fr-FR"/>
        </w:rPr>
        <w:lastRenderedPageBreak/>
        <w:t xml:space="preserve"> La </w:t>
      </w:r>
      <w:r w:rsidRPr="00234846">
        <w:rPr>
          <w:rFonts w:eastAsia="Malgun Gothic"/>
          <w:bCs/>
          <w:color w:val="000000" w:themeColor="text1"/>
          <w:lang w:val="fr-FR"/>
        </w:rPr>
        <w:t>délégation</w:t>
      </w:r>
      <w:r>
        <w:rPr>
          <w:rFonts w:eastAsia="Malgun Gothic"/>
          <w:bCs/>
          <w:color w:val="000000" w:themeColor="text1"/>
          <w:lang w:val="fr-FR"/>
        </w:rPr>
        <w:t xml:space="preserve"> de l</w:t>
      </w:r>
      <w:r w:rsidR="00923E72">
        <w:rPr>
          <w:rFonts w:eastAsia="Malgun Gothic"/>
          <w:bCs/>
          <w:color w:val="000000" w:themeColor="text1"/>
          <w:lang w:val="fr-FR"/>
        </w:rPr>
        <w:t>’</w:t>
      </w:r>
      <w:r w:rsidRPr="00702497">
        <w:rPr>
          <w:rFonts w:eastAsia="Malgun Gothic"/>
          <w:b/>
          <w:color w:val="000000" w:themeColor="text1"/>
          <w:lang w:val="fr-FR"/>
        </w:rPr>
        <w:t>Inde</w:t>
      </w:r>
      <w:r>
        <w:rPr>
          <w:rFonts w:eastAsia="Malgun Gothic"/>
          <w:bCs/>
          <w:color w:val="000000" w:themeColor="text1"/>
          <w:lang w:val="fr-FR"/>
        </w:rPr>
        <w:t xml:space="preserve"> a demandé qu</w:t>
      </w:r>
      <w:r w:rsidR="00923E72">
        <w:rPr>
          <w:rFonts w:eastAsia="Malgun Gothic"/>
          <w:bCs/>
          <w:color w:val="000000" w:themeColor="text1"/>
          <w:lang w:val="fr-FR"/>
        </w:rPr>
        <w:t>’</w:t>
      </w:r>
      <w:r>
        <w:rPr>
          <w:rFonts w:eastAsia="Malgun Gothic"/>
          <w:bCs/>
          <w:color w:val="000000" w:themeColor="text1"/>
          <w:lang w:val="fr-FR"/>
        </w:rPr>
        <w:t>une recherche sur le mot « </w:t>
      </w:r>
      <w:r w:rsidRPr="00234846">
        <w:rPr>
          <w:rFonts w:eastAsia="Malgun Gothic"/>
          <w:bCs/>
          <w:color w:val="000000" w:themeColor="text1"/>
          <w:lang w:val="fr-FR"/>
        </w:rPr>
        <w:t>sauvegarde</w:t>
      </w:r>
      <w:r>
        <w:rPr>
          <w:rFonts w:eastAsia="Malgun Gothic"/>
          <w:bCs/>
          <w:color w:val="000000" w:themeColor="text1"/>
          <w:lang w:val="fr-FR"/>
        </w:rPr>
        <w:t xml:space="preserve"> » soit faite afin de voir combien de </w:t>
      </w:r>
      <w:r w:rsidR="00545A5C">
        <w:rPr>
          <w:rFonts w:eastAsia="Malgun Gothic"/>
          <w:bCs/>
          <w:color w:val="000000" w:themeColor="text1"/>
          <w:lang w:val="fr-FR"/>
        </w:rPr>
        <w:t xml:space="preserve">fois </w:t>
      </w:r>
      <w:r>
        <w:rPr>
          <w:rFonts w:eastAsia="Malgun Gothic"/>
          <w:bCs/>
          <w:color w:val="000000" w:themeColor="text1"/>
          <w:lang w:val="fr-FR"/>
        </w:rPr>
        <w:t>il était cité dans la décision.</w:t>
      </w:r>
    </w:p>
    <w:p w14:paraId="1FF74434" w14:textId="6C39C4B2" w:rsidR="00234846" w:rsidRDefault="00545A5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45A5C">
        <w:rPr>
          <w:rFonts w:eastAsia="Malgun Gothic"/>
          <w:bCs/>
          <w:lang w:val="fr-FR"/>
        </w:rPr>
        <w:t xml:space="preserve">La délégation du </w:t>
      </w:r>
      <w:r w:rsidRPr="00702497">
        <w:rPr>
          <w:rFonts w:eastAsia="Malgun Gothic"/>
          <w:b/>
          <w:lang w:val="fr-FR"/>
        </w:rPr>
        <w:t>Pérou</w:t>
      </w:r>
      <w:r w:rsidRPr="00545A5C">
        <w:rPr>
          <w:rFonts w:eastAsia="Malgun Gothic"/>
          <w:bCs/>
          <w:lang w:val="fr-FR"/>
        </w:rPr>
        <w:t xml:space="preserve"> </w:t>
      </w:r>
      <w:r>
        <w:rPr>
          <w:rFonts w:eastAsia="Malgun Gothic"/>
          <w:bCs/>
          <w:lang w:val="fr-FR"/>
        </w:rPr>
        <w:t xml:space="preserve">était </w:t>
      </w:r>
      <w:r w:rsidRPr="00545A5C">
        <w:rPr>
          <w:rFonts w:eastAsia="Malgun Gothic"/>
          <w:bCs/>
          <w:lang w:val="fr-FR"/>
        </w:rPr>
        <w:t>d</w:t>
      </w:r>
      <w:r w:rsidR="00923E72">
        <w:rPr>
          <w:rFonts w:eastAsia="Malgun Gothic"/>
          <w:bCs/>
          <w:lang w:val="fr-FR"/>
        </w:rPr>
        <w:t>’</w:t>
      </w:r>
      <w:r w:rsidRPr="00545A5C">
        <w:rPr>
          <w:rFonts w:eastAsia="Malgun Gothic"/>
          <w:bCs/>
          <w:lang w:val="fr-FR"/>
        </w:rPr>
        <w:t xml:space="preserve">accord avec le Panama. En effet, le sous-paragraphe </w:t>
      </w:r>
      <w:r>
        <w:rPr>
          <w:rFonts w:eastAsia="Malgun Gothic"/>
          <w:bCs/>
          <w:lang w:val="fr-FR"/>
        </w:rPr>
        <w:t xml:space="preserve">sur le </w:t>
      </w:r>
      <w:r w:rsidRPr="00545A5C">
        <w:rPr>
          <w:rFonts w:eastAsia="Malgun Gothic"/>
          <w:bCs/>
          <w:lang w:val="fr-FR"/>
        </w:rPr>
        <w:t>critère</w:t>
      </w:r>
      <w:r>
        <w:rPr>
          <w:rFonts w:eastAsia="Malgun Gothic"/>
          <w:bCs/>
          <w:lang w:val="fr-FR"/>
        </w:rPr>
        <w:t> </w:t>
      </w:r>
      <w:r w:rsidRPr="00545A5C">
        <w:rPr>
          <w:rFonts w:eastAsia="Malgun Gothic"/>
          <w:bCs/>
          <w:lang w:val="fr-FR"/>
        </w:rPr>
        <w:t>R.3 cont</w:t>
      </w:r>
      <w:r>
        <w:rPr>
          <w:rFonts w:eastAsia="Malgun Gothic"/>
          <w:bCs/>
          <w:lang w:val="fr-FR"/>
        </w:rPr>
        <w:t>enait</w:t>
      </w:r>
      <w:r w:rsidRPr="00545A5C">
        <w:rPr>
          <w:rFonts w:eastAsia="Malgun Gothic"/>
          <w:bCs/>
          <w:lang w:val="fr-FR"/>
        </w:rPr>
        <w:t xml:space="preserve"> déjà des informations sur les mesures de sauvegarde mises en œuvre par le Guatemala, comme l</w:t>
      </w:r>
      <w:r w:rsidR="00923E72">
        <w:rPr>
          <w:rFonts w:eastAsia="Malgun Gothic"/>
          <w:bCs/>
          <w:lang w:val="fr-FR"/>
        </w:rPr>
        <w:t>’</w:t>
      </w:r>
      <w:r w:rsidRPr="00545A5C">
        <w:rPr>
          <w:rFonts w:eastAsia="Malgun Gothic"/>
          <w:bCs/>
          <w:lang w:val="fr-FR"/>
        </w:rPr>
        <w:t>a</w:t>
      </w:r>
      <w:r>
        <w:rPr>
          <w:rFonts w:eastAsia="Malgun Gothic"/>
          <w:bCs/>
          <w:lang w:val="fr-FR"/>
        </w:rPr>
        <w:t>vait</w:t>
      </w:r>
      <w:r w:rsidRPr="00545A5C">
        <w:rPr>
          <w:rFonts w:eastAsia="Malgun Gothic"/>
          <w:bCs/>
          <w:lang w:val="fr-FR"/>
        </w:rPr>
        <w:t xml:space="preserve"> expliqué le </w:t>
      </w:r>
      <w:r>
        <w:rPr>
          <w:rFonts w:eastAsia="Malgun Gothic"/>
          <w:bCs/>
          <w:lang w:val="fr-FR"/>
        </w:rPr>
        <w:t>v</w:t>
      </w:r>
      <w:r w:rsidRPr="00545A5C">
        <w:rPr>
          <w:rFonts w:eastAsia="Malgun Gothic"/>
          <w:bCs/>
          <w:lang w:val="fr-FR"/>
        </w:rPr>
        <w:t>ice-ministre de la Culture. Il n</w:t>
      </w:r>
      <w:r w:rsidR="00923E72">
        <w:rPr>
          <w:rFonts w:eastAsia="Malgun Gothic"/>
          <w:bCs/>
          <w:lang w:val="fr-FR"/>
        </w:rPr>
        <w:t>’</w:t>
      </w:r>
      <w:r>
        <w:rPr>
          <w:rFonts w:eastAsia="Malgun Gothic"/>
          <w:bCs/>
          <w:lang w:val="fr-FR"/>
        </w:rPr>
        <w:t>était</w:t>
      </w:r>
      <w:r w:rsidRPr="00545A5C">
        <w:rPr>
          <w:rFonts w:eastAsia="Malgun Gothic"/>
          <w:bCs/>
          <w:lang w:val="fr-FR"/>
        </w:rPr>
        <w:t xml:space="preserve"> donc pas nécessaire de plaider en faveur d</w:t>
      </w:r>
      <w:r w:rsidR="00923E72">
        <w:rPr>
          <w:rFonts w:eastAsia="Malgun Gothic"/>
          <w:bCs/>
          <w:lang w:val="fr-FR"/>
        </w:rPr>
        <w:t>’</w:t>
      </w:r>
      <w:r w:rsidRPr="00545A5C">
        <w:rPr>
          <w:rFonts w:eastAsia="Malgun Gothic"/>
          <w:bCs/>
          <w:lang w:val="fr-FR"/>
        </w:rPr>
        <w:t>un élargissement des mesures de sauvegarde.</w:t>
      </w:r>
    </w:p>
    <w:p w14:paraId="5A0594EF" w14:textId="3651206E" w:rsidR="00545A5C" w:rsidRDefault="00545A5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45A5C">
        <w:rPr>
          <w:rFonts w:eastAsia="Malgun Gothic"/>
          <w:bCs/>
          <w:lang w:val="fr-FR"/>
        </w:rPr>
        <w:t xml:space="preserve">Le </w:t>
      </w:r>
      <w:r w:rsidRPr="00702497">
        <w:rPr>
          <w:rFonts w:eastAsia="Malgun Gothic"/>
          <w:b/>
          <w:lang w:val="fr-FR"/>
        </w:rPr>
        <w:t>Président</w:t>
      </w:r>
      <w:r w:rsidRPr="00545A5C">
        <w:rPr>
          <w:rFonts w:eastAsia="Malgun Gothic"/>
          <w:bCs/>
          <w:lang w:val="fr-FR"/>
        </w:rPr>
        <w:t xml:space="preserve"> </w:t>
      </w:r>
      <w:r>
        <w:rPr>
          <w:rFonts w:eastAsia="Malgun Gothic"/>
          <w:bCs/>
          <w:lang w:val="fr-FR"/>
        </w:rPr>
        <w:t xml:space="preserve">a </w:t>
      </w:r>
      <w:r w:rsidRPr="00545A5C">
        <w:rPr>
          <w:rFonts w:eastAsia="Malgun Gothic"/>
          <w:bCs/>
          <w:lang w:val="fr-FR"/>
        </w:rPr>
        <w:t xml:space="preserve">fait </w:t>
      </w:r>
      <w:r>
        <w:rPr>
          <w:rFonts w:eastAsia="Malgun Gothic"/>
          <w:bCs/>
          <w:lang w:val="fr-FR"/>
        </w:rPr>
        <w:t xml:space="preserve">observer </w:t>
      </w:r>
      <w:r w:rsidRPr="00545A5C">
        <w:rPr>
          <w:rFonts w:eastAsia="Malgun Gothic"/>
          <w:bCs/>
          <w:lang w:val="fr-FR"/>
        </w:rPr>
        <w:t xml:space="preserve">que le Comité </w:t>
      </w:r>
      <w:r>
        <w:rPr>
          <w:rFonts w:eastAsia="Malgun Gothic"/>
          <w:bCs/>
          <w:lang w:val="fr-FR"/>
        </w:rPr>
        <w:t xml:space="preserve">était </w:t>
      </w:r>
      <w:r w:rsidRPr="00545A5C">
        <w:rPr>
          <w:rFonts w:eastAsia="Malgun Gothic"/>
          <w:bCs/>
          <w:lang w:val="fr-FR"/>
        </w:rPr>
        <w:t>d</w:t>
      </w:r>
      <w:r w:rsidR="00923E72">
        <w:rPr>
          <w:rFonts w:eastAsia="Malgun Gothic"/>
          <w:bCs/>
          <w:lang w:val="fr-FR"/>
        </w:rPr>
        <w:t>’</w:t>
      </w:r>
      <w:r w:rsidRPr="00545A5C">
        <w:rPr>
          <w:rFonts w:eastAsia="Malgun Gothic"/>
          <w:bCs/>
          <w:lang w:val="fr-FR"/>
        </w:rPr>
        <w:t>accord pour inscrire l</w:t>
      </w:r>
      <w:r w:rsidR="00923E72">
        <w:rPr>
          <w:rFonts w:eastAsia="Malgun Gothic"/>
          <w:bCs/>
          <w:lang w:val="fr-FR"/>
        </w:rPr>
        <w:t>’</w:t>
      </w:r>
      <w:r w:rsidRPr="00545A5C">
        <w:rPr>
          <w:rFonts w:eastAsia="Malgun Gothic"/>
          <w:bCs/>
          <w:lang w:val="fr-FR"/>
        </w:rPr>
        <w:t>élément. Il essa</w:t>
      </w:r>
      <w:r>
        <w:rPr>
          <w:rFonts w:eastAsia="Malgun Gothic"/>
          <w:bCs/>
          <w:lang w:val="fr-FR"/>
        </w:rPr>
        <w:t>yait</w:t>
      </w:r>
      <w:r w:rsidRPr="00545A5C">
        <w:rPr>
          <w:rFonts w:eastAsia="Malgun Gothic"/>
          <w:bCs/>
          <w:lang w:val="fr-FR"/>
        </w:rPr>
        <w:t xml:space="preserve"> simplement de </w:t>
      </w:r>
      <w:r>
        <w:rPr>
          <w:rFonts w:eastAsia="Malgun Gothic"/>
          <w:bCs/>
          <w:lang w:val="fr-FR"/>
        </w:rPr>
        <w:t xml:space="preserve">parvenir à </w:t>
      </w:r>
      <w:r w:rsidRPr="00545A5C">
        <w:rPr>
          <w:rFonts w:eastAsia="Malgun Gothic"/>
          <w:bCs/>
          <w:lang w:val="fr-FR"/>
        </w:rPr>
        <w:t xml:space="preserve">un consensus sur la manière de rédiger la décision. Il </w:t>
      </w:r>
      <w:r>
        <w:rPr>
          <w:rFonts w:eastAsia="Malgun Gothic"/>
          <w:bCs/>
          <w:lang w:val="fr-FR"/>
        </w:rPr>
        <w:t xml:space="preserve">a </w:t>
      </w:r>
      <w:r w:rsidRPr="00545A5C">
        <w:rPr>
          <w:rFonts w:eastAsia="Malgun Gothic"/>
          <w:bCs/>
          <w:lang w:val="fr-FR"/>
        </w:rPr>
        <w:t>not</w:t>
      </w:r>
      <w:r>
        <w:rPr>
          <w:rFonts w:eastAsia="Malgun Gothic"/>
          <w:bCs/>
          <w:lang w:val="fr-FR"/>
        </w:rPr>
        <w:t>é</w:t>
      </w:r>
      <w:r w:rsidRPr="00545A5C">
        <w:rPr>
          <w:rFonts w:eastAsia="Malgun Gothic"/>
          <w:bCs/>
          <w:lang w:val="fr-FR"/>
        </w:rPr>
        <w:t xml:space="preserve"> que le Panama a</w:t>
      </w:r>
      <w:r>
        <w:rPr>
          <w:rFonts w:eastAsia="Malgun Gothic"/>
          <w:bCs/>
          <w:lang w:val="fr-FR"/>
        </w:rPr>
        <w:t>vait</w:t>
      </w:r>
      <w:r w:rsidRPr="00545A5C">
        <w:rPr>
          <w:rFonts w:eastAsia="Malgun Gothic"/>
          <w:bCs/>
          <w:lang w:val="fr-FR"/>
        </w:rPr>
        <w:t xml:space="preserve"> retiré sa demande concernant ce paragraphe.</w:t>
      </w:r>
    </w:p>
    <w:p w14:paraId="568F9120" w14:textId="0CE5EF38" w:rsidR="00545A5C" w:rsidRDefault="00545A5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45A5C">
        <w:rPr>
          <w:rFonts w:eastAsia="Malgun Gothic"/>
          <w:bCs/>
          <w:lang w:val="fr-FR"/>
        </w:rPr>
        <w:t xml:space="preserve">La délégation de la </w:t>
      </w:r>
      <w:r w:rsidRPr="00702497">
        <w:rPr>
          <w:rFonts w:eastAsia="Malgun Gothic"/>
          <w:b/>
          <w:lang w:val="fr-FR"/>
        </w:rPr>
        <w:t>Slovaquie</w:t>
      </w:r>
      <w:r w:rsidRPr="00545A5C">
        <w:rPr>
          <w:rFonts w:eastAsia="Malgun Gothic"/>
          <w:bCs/>
          <w:lang w:val="fr-FR"/>
        </w:rPr>
        <w:t xml:space="preserve"> a remercié le Bangladesh d</w:t>
      </w:r>
      <w:r w:rsidR="00923E72">
        <w:rPr>
          <w:rFonts w:eastAsia="Malgun Gothic"/>
          <w:bCs/>
          <w:lang w:val="fr-FR"/>
        </w:rPr>
        <w:t>’</w:t>
      </w:r>
      <w:r w:rsidRPr="00545A5C">
        <w:rPr>
          <w:rFonts w:eastAsia="Malgun Gothic"/>
          <w:bCs/>
          <w:lang w:val="fr-FR"/>
        </w:rPr>
        <w:t>avoir proposé ce consensus. Après avoir entendu les remarques du Panama, la délégation a expliqué que l</w:t>
      </w:r>
      <w:r w:rsidR="00923E72">
        <w:rPr>
          <w:rFonts w:eastAsia="Malgun Gothic"/>
          <w:bCs/>
          <w:lang w:val="fr-FR"/>
        </w:rPr>
        <w:t>’</w:t>
      </w:r>
      <w:r w:rsidRPr="00545A5C">
        <w:rPr>
          <w:rFonts w:eastAsia="Malgun Gothic"/>
          <w:bCs/>
          <w:lang w:val="fr-FR"/>
        </w:rPr>
        <w:t>idée était d</w:t>
      </w:r>
      <w:r w:rsidR="00923E72">
        <w:rPr>
          <w:rFonts w:eastAsia="Malgun Gothic"/>
          <w:bCs/>
          <w:lang w:val="fr-FR"/>
        </w:rPr>
        <w:t>’</w:t>
      </w:r>
      <w:r w:rsidRPr="00545A5C">
        <w:rPr>
          <w:rFonts w:eastAsia="Malgun Gothic"/>
          <w:bCs/>
          <w:lang w:val="fr-FR"/>
        </w:rPr>
        <w:t>encourager une participation encore plus large</w:t>
      </w:r>
      <w:r w:rsidR="00E525F1">
        <w:rPr>
          <w:rFonts w:eastAsia="Malgun Gothic"/>
          <w:bCs/>
          <w:lang w:val="fr-FR"/>
        </w:rPr>
        <w:t xml:space="preserve"> </w:t>
      </w:r>
      <w:r w:rsidRPr="00545A5C">
        <w:rPr>
          <w:rFonts w:eastAsia="Malgun Gothic"/>
          <w:bCs/>
          <w:lang w:val="fr-FR"/>
        </w:rPr>
        <w:t>des communautés, même s</w:t>
      </w:r>
      <w:r w:rsidR="00923E72">
        <w:rPr>
          <w:rFonts w:eastAsia="Malgun Gothic"/>
          <w:bCs/>
          <w:lang w:val="fr-FR"/>
        </w:rPr>
        <w:t>’</w:t>
      </w:r>
      <w:r w:rsidRPr="00545A5C">
        <w:rPr>
          <w:rFonts w:eastAsia="Malgun Gothic"/>
          <w:bCs/>
          <w:lang w:val="fr-FR"/>
        </w:rPr>
        <w:t>il était entendu qu</w:t>
      </w:r>
      <w:r w:rsidR="00923E72">
        <w:rPr>
          <w:rFonts w:eastAsia="Malgun Gothic"/>
          <w:bCs/>
          <w:lang w:val="fr-FR"/>
        </w:rPr>
        <w:t>’</w:t>
      </w:r>
      <w:r w:rsidRPr="00545A5C">
        <w:rPr>
          <w:rFonts w:eastAsia="Malgun Gothic"/>
          <w:bCs/>
          <w:lang w:val="fr-FR"/>
        </w:rPr>
        <w:t>il y a</w:t>
      </w:r>
      <w:r w:rsidR="00E6702A">
        <w:rPr>
          <w:rFonts w:eastAsia="Malgun Gothic"/>
          <w:bCs/>
          <w:lang w:val="fr-FR"/>
        </w:rPr>
        <w:t>vait</w:t>
      </w:r>
      <w:r w:rsidRPr="00545A5C">
        <w:rPr>
          <w:rFonts w:eastAsia="Malgun Gothic"/>
          <w:bCs/>
          <w:lang w:val="fr-FR"/>
        </w:rPr>
        <w:t xml:space="preserve"> une participation des communautés.</w:t>
      </w:r>
    </w:p>
    <w:p w14:paraId="6692C6DE" w14:textId="2302551A" w:rsidR="00545A5C" w:rsidRDefault="00545A5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demandé si le Comité pourrait approuver le libellé proposé par la Slovaquie.</w:t>
      </w:r>
    </w:p>
    <w:p w14:paraId="2B8797D2" w14:textId="6C16E1C0" w:rsidR="00545A5C" w:rsidRDefault="00545A5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545A5C">
        <w:rPr>
          <w:rFonts w:eastAsia="Malgun Gothic"/>
          <w:bCs/>
          <w:lang w:val="fr-FR"/>
        </w:rPr>
        <w:t>délégation</w:t>
      </w:r>
      <w:r>
        <w:rPr>
          <w:rFonts w:eastAsia="Malgun Gothic"/>
          <w:bCs/>
          <w:lang w:val="fr-FR"/>
        </w:rPr>
        <w:t xml:space="preserve"> de l</w:t>
      </w:r>
      <w:r w:rsidR="00923E72">
        <w:rPr>
          <w:rFonts w:eastAsia="Malgun Gothic"/>
          <w:bCs/>
          <w:lang w:val="fr-FR"/>
        </w:rPr>
        <w:t>’</w:t>
      </w:r>
      <w:r w:rsidRPr="00702497">
        <w:rPr>
          <w:rFonts w:eastAsia="Malgun Gothic"/>
          <w:b/>
          <w:lang w:val="fr-FR"/>
        </w:rPr>
        <w:t>Arabie</w:t>
      </w:r>
      <w:r w:rsidR="007060D5">
        <w:rPr>
          <w:rFonts w:eastAsia="Malgun Gothic"/>
          <w:b/>
          <w:lang w:val="fr-FR"/>
        </w:rPr>
        <w:t> </w:t>
      </w:r>
      <w:r w:rsidRPr="00702497">
        <w:rPr>
          <w:rFonts w:eastAsia="Malgun Gothic"/>
          <w:b/>
          <w:lang w:val="fr-FR"/>
        </w:rPr>
        <w:t xml:space="preserve">saoudite </w:t>
      </w:r>
      <w:r>
        <w:rPr>
          <w:rFonts w:eastAsia="Malgun Gothic"/>
          <w:bCs/>
          <w:lang w:val="fr-FR"/>
        </w:rPr>
        <w:t xml:space="preserve">a remercié le </w:t>
      </w:r>
      <w:r w:rsidRPr="00545A5C">
        <w:rPr>
          <w:rFonts w:eastAsia="Malgun Gothic"/>
          <w:bCs/>
          <w:lang w:val="fr-FR"/>
        </w:rPr>
        <w:t>Président</w:t>
      </w:r>
      <w:r>
        <w:rPr>
          <w:rFonts w:eastAsia="Malgun Gothic"/>
          <w:bCs/>
          <w:lang w:val="fr-FR"/>
        </w:rPr>
        <w:t xml:space="preserve"> de soutenir le consensus et a suggéré « envisager » une participation plus large, plutôt que « assurer », évitant ainsi un libellé ambigu.</w:t>
      </w:r>
    </w:p>
    <w:p w14:paraId="0A6EC039" w14:textId="5BE104E8" w:rsidR="00106073" w:rsidRDefault="0010607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convenu que </w:t>
      </w:r>
      <w:r w:rsidR="00E525F1">
        <w:rPr>
          <w:rFonts w:eastAsia="Malgun Gothic"/>
          <w:bCs/>
          <w:lang w:val="fr-FR"/>
        </w:rPr>
        <w:t>c</w:t>
      </w:r>
      <w:r>
        <w:rPr>
          <w:rFonts w:eastAsia="Malgun Gothic"/>
          <w:bCs/>
          <w:lang w:val="fr-FR"/>
        </w:rPr>
        <w:t>e libellé était plus consensuel.</w:t>
      </w:r>
    </w:p>
    <w:p w14:paraId="1F2DB26C" w14:textId="2F70836D" w:rsidR="00545A5C" w:rsidRPr="00702497" w:rsidRDefault="00545A5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La </w:t>
      </w:r>
      <w:r w:rsidRPr="00545A5C">
        <w:rPr>
          <w:rFonts w:eastAsia="Malgun Gothic"/>
          <w:bCs/>
          <w:lang w:val="fr-FR"/>
        </w:rPr>
        <w:t>délégation</w:t>
      </w:r>
      <w:r>
        <w:rPr>
          <w:rFonts w:eastAsia="Malgun Gothic"/>
          <w:bCs/>
          <w:lang w:val="fr-FR"/>
        </w:rPr>
        <w:t xml:space="preserve"> de la </w:t>
      </w:r>
      <w:r w:rsidRPr="00702497">
        <w:rPr>
          <w:rFonts w:eastAsia="Malgun Gothic"/>
          <w:b/>
          <w:lang w:val="fr-FR"/>
        </w:rPr>
        <w:t>Suisse</w:t>
      </w:r>
      <w:r>
        <w:rPr>
          <w:rFonts w:eastAsia="Malgun Gothic"/>
          <w:bCs/>
          <w:lang w:val="fr-FR"/>
        </w:rPr>
        <w:t xml:space="preserve"> a fait remarquer que « assurer » la satisfaisait, car</w:t>
      </w:r>
      <w:r w:rsidR="00F12BC8">
        <w:rPr>
          <w:rFonts w:eastAsia="Malgun Gothic"/>
          <w:bCs/>
          <w:lang w:val="fr-FR"/>
        </w:rPr>
        <w:t xml:space="preserve">, </w:t>
      </w:r>
      <w:r>
        <w:rPr>
          <w:rFonts w:eastAsia="Malgun Gothic"/>
          <w:bCs/>
          <w:lang w:val="fr-FR"/>
        </w:rPr>
        <w:t xml:space="preserve">le contexte de la participation des </w:t>
      </w:r>
      <w:r w:rsidRPr="00545A5C">
        <w:rPr>
          <w:rFonts w:eastAsia="Malgun Gothic"/>
          <w:bCs/>
          <w:color w:val="000000" w:themeColor="text1"/>
          <w:lang w:val="fr-FR"/>
        </w:rPr>
        <w:t>communautés</w:t>
      </w:r>
      <w:r w:rsidR="00F12BC8">
        <w:rPr>
          <w:rFonts w:eastAsia="Malgun Gothic"/>
          <w:bCs/>
          <w:color w:val="000000" w:themeColor="text1"/>
          <w:lang w:val="fr-FR"/>
        </w:rPr>
        <w:t xml:space="preserve"> étant au cœur même de la Convention, « envisager » était trop faible.</w:t>
      </w:r>
    </w:p>
    <w:p w14:paraId="362DECA2" w14:textId="2E1AD90A" w:rsidR="00F12BC8" w:rsidRDefault="0010607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106073">
        <w:rPr>
          <w:rFonts w:eastAsia="Malgun Gothic"/>
          <w:bCs/>
          <w:lang w:val="fr-FR"/>
        </w:rPr>
        <w:t xml:space="preserve">Le </w:t>
      </w:r>
      <w:r w:rsidRPr="00702497">
        <w:rPr>
          <w:rFonts w:eastAsia="Malgun Gothic"/>
          <w:b/>
          <w:lang w:val="fr-FR"/>
        </w:rPr>
        <w:t>Président</w:t>
      </w:r>
      <w:r w:rsidRPr="00106073">
        <w:rPr>
          <w:rFonts w:eastAsia="Malgun Gothic"/>
          <w:bCs/>
          <w:lang w:val="fr-FR"/>
        </w:rPr>
        <w:t xml:space="preserve"> estim</w:t>
      </w:r>
      <w:r>
        <w:rPr>
          <w:rFonts w:eastAsia="Malgun Gothic"/>
          <w:bCs/>
          <w:lang w:val="fr-FR"/>
        </w:rPr>
        <w:t>ait</w:t>
      </w:r>
      <w:r w:rsidRPr="00106073">
        <w:rPr>
          <w:rFonts w:eastAsia="Malgun Gothic"/>
          <w:bCs/>
          <w:lang w:val="fr-FR"/>
        </w:rPr>
        <w:t xml:space="preserve"> que les explications données par le vice-ministre démontraient amplement que les communautés étaient fortement impliquées, faisant remarquer que cet élément concernait plus de</w:t>
      </w:r>
      <w:r w:rsidR="009A34A8">
        <w:rPr>
          <w:rFonts w:eastAsia="Malgun Gothic"/>
          <w:bCs/>
          <w:lang w:val="fr-FR"/>
        </w:rPr>
        <w:t> </w:t>
      </w:r>
      <w:r w:rsidRPr="00106073">
        <w:rPr>
          <w:rFonts w:eastAsia="Malgun Gothic"/>
          <w:bCs/>
          <w:lang w:val="fr-FR"/>
        </w:rPr>
        <w:t>50</w:t>
      </w:r>
      <w:r>
        <w:rPr>
          <w:rFonts w:eastAsia="Malgun Gothic"/>
          <w:bCs/>
          <w:lang w:val="fr-FR"/>
        </w:rPr>
        <w:t> </w:t>
      </w:r>
      <w:r w:rsidRPr="00106073">
        <w:rPr>
          <w:rFonts w:eastAsia="Malgun Gothic"/>
          <w:bCs/>
          <w:lang w:val="fr-FR"/>
        </w:rPr>
        <w:t>% de l</w:t>
      </w:r>
      <w:r w:rsidR="00923E72">
        <w:rPr>
          <w:rFonts w:eastAsia="Malgun Gothic"/>
          <w:bCs/>
          <w:lang w:val="fr-FR"/>
        </w:rPr>
        <w:t>’</w:t>
      </w:r>
      <w:r w:rsidRPr="00106073">
        <w:rPr>
          <w:rFonts w:eastAsia="Malgun Gothic"/>
          <w:bCs/>
          <w:lang w:val="fr-FR"/>
        </w:rPr>
        <w:t xml:space="preserve">ensemble de la population guatémaltèque. Il serait donc indélicat de continuer </w:t>
      </w:r>
      <w:r>
        <w:rPr>
          <w:rFonts w:eastAsia="Malgun Gothic"/>
          <w:bCs/>
          <w:lang w:val="fr-FR"/>
        </w:rPr>
        <w:t>dans cette voie</w:t>
      </w:r>
      <w:r w:rsidRPr="00106073">
        <w:rPr>
          <w:rFonts w:eastAsia="Malgun Gothic"/>
          <w:bCs/>
          <w:lang w:val="fr-FR"/>
        </w:rPr>
        <w:t xml:space="preserve"> en ce qui concerne la spécificité de cet élément. La proposition de l</w:t>
      </w:r>
      <w:r w:rsidR="00923E72">
        <w:rPr>
          <w:rFonts w:eastAsia="Malgun Gothic"/>
          <w:bCs/>
          <w:lang w:val="fr-FR"/>
        </w:rPr>
        <w:t>’</w:t>
      </w:r>
      <w:r w:rsidRPr="00106073">
        <w:rPr>
          <w:rFonts w:eastAsia="Malgun Gothic"/>
          <w:bCs/>
          <w:lang w:val="fr-FR"/>
        </w:rPr>
        <w:t>Arabie</w:t>
      </w:r>
      <w:r w:rsidR="007060D5">
        <w:rPr>
          <w:rFonts w:eastAsia="Malgun Gothic"/>
          <w:bCs/>
          <w:lang w:val="fr-FR"/>
        </w:rPr>
        <w:t> </w:t>
      </w:r>
      <w:r w:rsidRPr="00106073">
        <w:rPr>
          <w:rFonts w:eastAsia="Malgun Gothic"/>
          <w:bCs/>
          <w:lang w:val="fr-FR"/>
        </w:rPr>
        <w:t xml:space="preserve">saoudite </w:t>
      </w:r>
      <w:r>
        <w:rPr>
          <w:rFonts w:eastAsia="Malgun Gothic"/>
          <w:bCs/>
          <w:lang w:val="fr-FR"/>
        </w:rPr>
        <w:t>était</w:t>
      </w:r>
      <w:r w:rsidRPr="00106073">
        <w:rPr>
          <w:rFonts w:eastAsia="Malgun Gothic"/>
          <w:bCs/>
          <w:lang w:val="fr-FR"/>
        </w:rPr>
        <w:t xml:space="preserve"> conforme à l</w:t>
      </w:r>
      <w:r w:rsidR="00923E72">
        <w:rPr>
          <w:rFonts w:eastAsia="Malgun Gothic"/>
          <w:bCs/>
          <w:lang w:val="fr-FR"/>
        </w:rPr>
        <w:t>’</w:t>
      </w:r>
      <w:r w:rsidRPr="00106073">
        <w:rPr>
          <w:rFonts w:eastAsia="Malgun Gothic"/>
          <w:bCs/>
          <w:lang w:val="fr-FR"/>
        </w:rPr>
        <w:t>esprit de cet élément et à celui exprimé dans la salle. Il a remercié le Guatemala pour ses interventions</w:t>
      </w:r>
      <w:r w:rsidR="004F553B">
        <w:rPr>
          <w:rFonts w:eastAsia="Malgun Gothic"/>
          <w:bCs/>
          <w:lang w:val="fr-FR"/>
        </w:rPr>
        <w:t>,</w:t>
      </w:r>
      <w:r w:rsidRPr="00106073">
        <w:rPr>
          <w:rFonts w:eastAsia="Malgun Gothic"/>
          <w:bCs/>
          <w:lang w:val="fr-FR"/>
        </w:rPr>
        <w:t xml:space="preserve"> qui </w:t>
      </w:r>
      <w:r>
        <w:rPr>
          <w:rFonts w:eastAsia="Malgun Gothic"/>
          <w:bCs/>
          <w:lang w:val="fr-FR"/>
        </w:rPr>
        <w:t xml:space="preserve">avaient </w:t>
      </w:r>
      <w:r w:rsidRPr="00106073">
        <w:rPr>
          <w:rFonts w:eastAsia="Malgun Gothic"/>
          <w:bCs/>
          <w:lang w:val="fr-FR"/>
        </w:rPr>
        <w:t>apporté les éclaircissements nécessaires.</w:t>
      </w:r>
    </w:p>
    <w:p w14:paraId="004E6043" w14:textId="2345C5EC" w:rsidR="00106073" w:rsidRDefault="0010607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106073">
        <w:rPr>
          <w:rFonts w:eastAsia="Malgun Gothic"/>
          <w:bCs/>
          <w:lang w:val="fr-FR"/>
        </w:rPr>
        <w:t xml:space="preserve">La délégation du </w:t>
      </w:r>
      <w:r w:rsidRPr="00702497">
        <w:rPr>
          <w:rFonts w:eastAsia="Malgun Gothic"/>
          <w:b/>
          <w:lang w:val="fr-FR"/>
        </w:rPr>
        <w:t>Paraguay</w:t>
      </w:r>
      <w:r w:rsidRPr="00106073">
        <w:rPr>
          <w:rFonts w:eastAsia="Malgun Gothic"/>
          <w:bCs/>
          <w:lang w:val="fr-FR"/>
        </w:rPr>
        <w:t xml:space="preserve"> a convenu qu</w:t>
      </w:r>
      <w:r w:rsidR="00923E72">
        <w:rPr>
          <w:rFonts w:eastAsia="Malgun Gothic"/>
          <w:bCs/>
          <w:lang w:val="fr-FR"/>
        </w:rPr>
        <w:t>’</w:t>
      </w:r>
      <w:r w:rsidRPr="00106073">
        <w:rPr>
          <w:rFonts w:eastAsia="Malgun Gothic"/>
          <w:bCs/>
          <w:lang w:val="fr-FR"/>
        </w:rPr>
        <w:t>il n</w:t>
      </w:r>
      <w:r w:rsidR="00923E72">
        <w:rPr>
          <w:rFonts w:eastAsia="Malgun Gothic"/>
          <w:bCs/>
          <w:lang w:val="fr-FR"/>
        </w:rPr>
        <w:t>’</w:t>
      </w:r>
      <w:r w:rsidRPr="00106073">
        <w:rPr>
          <w:rFonts w:eastAsia="Malgun Gothic"/>
          <w:bCs/>
          <w:lang w:val="fr-FR"/>
        </w:rPr>
        <w:t>y avait pas lieu de poursuivre la discussion sur ce sujet. Le vice-ministre a</w:t>
      </w:r>
      <w:r>
        <w:rPr>
          <w:rFonts w:eastAsia="Malgun Gothic"/>
          <w:bCs/>
          <w:lang w:val="fr-FR"/>
        </w:rPr>
        <w:t>vait</w:t>
      </w:r>
      <w:r w:rsidRPr="00106073">
        <w:rPr>
          <w:rFonts w:eastAsia="Malgun Gothic"/>
          <w:bCs/>
          <w:lang w:val="fr-FR"/>
        </w:rPr>
        <w:t xml:space="preserve"> indiqué très clairement que cette expression culturelle </w:t>
      </w:r>
      <w:r>
        <w:rPr>
          <w:rFonts w:eastAsia="Malgun Gothic"/>
          <w:bCs/>
          <w:lang w:val="fr-FR"/>
        </w:rPr>
        <w:t xml:space="preserve">est </w:t>
      </w:r>
      <w:r w:rsidRPr="00106073">
        <w:rPr>
          <w:rFonts w:eastAsia="Malgun Gothic"/>
          <w:bCs/>
          <w:lang w:val="fr-FR"/>
        </w:rPr>
        <w:t>pratiquée dans tout le Guatemala et qu</w:t>
      </w:r>
      <w:r>
        <w:rPr>
          <w:rFonts w:eastAsia="Malgun Gothic"/>
          <w:bCs/>
          <w:lang w:val="fr-FR"/>
        </w:rPr>
        <w:t xml:space="preserve">e </w:t>
      </w:r>
      <w:r w:rsidRPr="00106073">
        <w:rPr>
          <w:rFonts w:eastAsia="Malgun Gothic"/>
          <w:bCs/>
          <w:lang w:val="fr-FR"/>
        </w:rPr>
        <w:t>l</w:t>
      </w:r>
      <w:r w:rsidR="00923E72">
        <w:rPr>
          <w:rFonts w:eastAsia="Malgun Gothic"/>
          <w:bCs/>
          <w:lang w:val="fr-FR"/>
        </w:rPr>
        <w:t>’</w:t>
      </w:r>
      <w:r w:rsidRPr="00106073">
        <w:rPr>
          <w:rFonts w:eastAsia="Malgun Gothic"/>
          <w:bCs/>
          <w:lang w:val="fr-FR"/>
        </w:rPr>
        <w:t>ensemble de la communauté</w:t>
      </w:r>
      <w:r>
        <w:rPr>
          <w:rFonts w:eastAsia="Malgun Gothic"/>
          <w:bCs/>
          <w:lang w:val="fr-FR"/>
        </w:rPr>
        <w:t xml:space="preserve"> y partici</w:t>
      </w:r>
      <w:r w:rsidR="00E525F1">
        <w:rPr>
          <w:rFonts w:eastAsia="Malgun Gothic"/>
          <w:bCs/>
          <w:lang w:val="fr-FR"/>
        </w:rPr>
        <w:t>pe</w:t>
      </w:r>
      <w:r w:rsidRPr="00106073">
        <w:rPr>
          <w:rFonts w:eastAsia="Malgun Gothic"/>
          <w:bCs/>
          <w:lang w:val="fr-FR"/>
        </w:rPr>
        <w:t>. La proposition de l</w:t>
      </w:r>
      <w:r w:rsidR="00923E72">
        <w:rPr>
          <w:rFonts w:eastAsia="Malgun Gothic"/>
          <w:bCs/>
          <w:lang w:val="fr-FR"/>
        </w:rPr>
        <w:t>’</w:t>
      </w:r>
      <w:r w:rsidRPr="00106073">
        <w:rPr>
          <w:rFonts w:eastAsia="Malgun Gothic"/>
          <w:bCs/>
          <w:lang w:val="fr-FR"/>
        </w:rPr>
        <w:t>Arabie</w:t>
      </w:r>
      <w:r w:rsidR="007060D5">
        <w:rPr>
          <w:rFonts w:eastAsia="Malgun Gothic"/>
          <w:bCs/>
          <w:lang w:val="fr-FR"/>
        </w:rPr>
        <w:t> </w:t>
      </w:r>
      <w:r w:rsidRPr="00106073">
        <w:rPr>
          <w:rFonts w:eastAsia="Malgun Gothic"/>
          <w:bCs/>
          <w:lang w:val="fr-FR"/>
        </w:rPr>
        <w:t xml:space="preserve">saoudite </w:t>
      </w:r>
      <w:r w:rsidR="00E525F1">
        <w:rPr>
          <w:rFonts w:eastAsia="Malgun Gothic"/>
          <w:bCs/>
          <w:lang w:val="fr-FR"/>
        </w:rPr>
        <w:t>était</w:t>
      </w:r>
      <w:r w:rsidRPr="00106073">
        <w:rPr>
          <w:rFonts w:eastAsia="Malgun Gothic"/>
          <w:bCs/>
          <w:lang w:val="fr-FR"/>
        </w:rPr>
        <w:t xml:space="preserve"> donc acceptable.</w:t>
      </w:r>
    </w:p>
    <w:p w14:paraId="472349E6" w14:textId="2FDB7489" w:rsidR="00E525F1" w:rsidRDefault="00844B6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844B66">
        <w:rPr>
          <w:rFonts w:eastAsia="Malgun Gothic"/>
          <w:bCs/>
          <w:lang w:val="fr-FR"/>
        </w:rPr>
        <w:t xml:space="preserve">La délégation du </w:t>
      </w:r>
      <w:r w:rsidRPr="00702497">
        <w:rPr>
          <w:rFonts w:eastAsia="Malgun Gothic"/>
          <w:b/>
          <w:lang w:val="fr-FR"/>
        </w:rPr>
        <w:t>Bangladesh</w:t>
      </w:r>
      <w:r w:rsidRPr="00844B66">
        <w:rPr>
          <w:rFonts w:eastAsia="Malgun Gothic"/>
          <w:bCs/>
          <w:lang w:val="fr-FR"/>
        </w:rPr>
        <w:t xml:space="preserve"> a remercié l</w:t>
      </w:r>
      <w:r w:rsidR="00923E72">
        <w:rPr>
          <w:rFonts w:eastAsia="Malgun Gothic"/>
          <w:bCs/>
          <w:lang w:val="fr-FR"/>
        </w:rPr>
        <w:t>’</w:t>
      </w:r>
      <w:r w:rsidRPr="00844B66">
        <w:rPr>
          <w:rFonts w:eastAsia="Malgun Gothic"/>
          <w:bCs/>
          <w:lang w:val="fr-FR"/>
        </w:rPr>
        <w:t>Arabie Saoudite, la Slovaquie et la Suisse d</w:t>
      </w:r>
      <w:r w:rsidR="00923E72">
        <w:rPr>
          <w:rFonts w:eastAsia="Malgun Gothic"/>
          <w:bCs/>
          <w:lang w:val="fr-FR"/>
        </w:rPr>
        <w:t>’</w:t>
      </w:r>
      <w:r>
        <w:rPr>
          <w:rFonts w:eastAsia="Malgun Gothic"/>
          <w:bCs/>
          <w:lang w:val="fr-FR"/>
        </w:rPr>
        <w:t xml:space="preserve">avoir </w:t>
      </w:r>
      <w:r w:rsidRPr="00844B66">
        <w:rPr>
          <w:rFonts w:eastAsia="Malgun Gothic"/>
          <w:bCs/>
          <w:lang w:val="fr-FR"/>
        </w:rPr>
        <w:t>essay</w:t>
      </w:r>
      <w:r>
        <w:rPr>
          <w:rFonts w:eastAsia="Malgun Gothic"/>
          <w:bCs/>
          <w:lang w:val="fr-FR"/>
        </w:rPr>
        <w:t>é</w:t>
      </w:r>
      <w:r w:rsidRPr="00844B66">
        <w:rPr>
          <w:rFonts w:eastAsia="Malgun Gothic"/>
          <w:bCs/>
          <w:lang w:val="fr-FR"/>
        </w:rPr>
        <w:t xml:space="preserve"> d</w:t>
      </w:r>
      <w:r w:rsidR="00923E72">
        <w:rPr>
          <w:rFonts w:eastAsia="Malgun Gothic"/>
          <w:bCs/>
          <w:lang w:val="fr-FR"/>
        </w:rPr>
        <w:t>’</w:t>
      </w:r>
      <w:r w:rsidRPr="00844B66">
        <w:rPr>
          <w:rFonts w:eastAsia="Malgun Gothic"/>
          <w:bCs/>
          <w:lang w:val="fr-FR"/>
        </w:rPr>
        <w:t>enrichir ce paragraphe. Elle a expliqué que l</w:t>
      </w:r>
      <w:r w:rsidR="00923E72">
        <w:rPr>
          <w:rFonts w:eastAsia="Malgun Gothic"/>
          <w:bCs/>
          <w:lang w:val="fr-FR"/>
        </w:rPr>
        <w:t>’</w:t>
      </w:r>
      <w:r w:rsidRPr="00844B66">
        <w:rPr>
          <w:rFonts w:eastAsia="Malgun Gothic"/>
          <w:bCs/>
          <w:lang w:val="fr-FR"/>
        </w:rPr>
        <w:t xml:space="preserve">intention initiale était de respecter le Règlement intérieur et les valeurs de la Convention. Le Comité avait déjà accepté de supprimer </w:t>
      </w:r>
      <w:r>
        <w:rPr>
          <w:rFonts w:eastAsia="Malgun Gothic"/>
          <w:bCs/>
          <w:lang w:val="fr-FR"/>
        </w:rPr>
        <w:t>« </w:t>
      </w:r>
      <w:r w:rsidRPr="00844B66">
        <w:rPr>
          <w:rFonts w:eastAsia="Malgun Gothic"/>
          <w:bCs/>
          <w:lang w:val="fr-FR"/>
        </w:rPr>
        <w:t>assurer</w:t>
      </w:r>
      <w:r>
        <w:rPr>
          <w:rFonts w:eastAsia="Malgun Gothic"/>
          <w:bCs/>
          <w:lang w:val="fr-FR"/>
        </w:rPr>
        <w:t> »</w:t>
      </w:r>
      <w:r w:rsidRPr="00844B66">
        <w:rPr>
          <w:rFonts w:eastAsia="Malgun Gothic"/>
          <w:bCs/>
          <w:lang w:val="fr-FR"/>
        </w:rPr>
        <w:t xml:space="preserve"> et de le remplacer par </w:t>
      </w:r>
      <w:r>
        <w:rPr>
          <w:rFonts w:eastAsia="Malgun Gothic"/>
          <w:bCs/>
          <w:lang w:val="fr-FR"/>
        </w:rPr>
        <w:t>« </w:t>
      </w:r>
      <w:r w:rsidRPr="00844B66">
        <w:rPr>
          <w:rFonts w:eastAsia="Malgun Gothic"/>
          <w:bCs/>
          <w:lang w:val="fr-FR"/>
        </w:rPr>
        <w:t>envisager</w:t>
      </w:r>
      <w:r>
        <w:rPr>
          <w:rFonts w:eastAsia="Malgun Gothic"/>
          <w:bCs/>
          <w:lang w:val="fr-FR"/>
        </w:rPr>
        <w:t> »</w:t>
      </w:r>
      <w:r w:rsidRPr="00844B66">
        <w:rPr>
          <w:rFonts w:eastAsia="Malgun Gothic"/>
          <w:bCs/>
          <w:lang w:val="fr-FR"/>
        </w:rPr>
        <w:t>, car cela permettait au Comité de respecter l</w:t>
      </w:r>
      <w:r w:rsidR="00923E72">
        <w:rPr>
          <w:rFonts w:eastAsia="Malgun Gothic"/>
          <w:bCs/>
          <w:lang w:val="fr-FR"/>
        </w:rPr>
        <w:t>’</w:t>
      </w:r>
      <w:r w:rsidRPr="00844B66">
        <w:rPr>
          <w:rFonts w:eastAsia="Malgun Gothic"/>
          <w:bCs/>
          <w:lang w:val="fr-FR"/>
        </w:rPr>
        <w:t>explication donnée par le vice-ministre du Guatemala, qui avait clairement expliqué les mesures de sauvegarde. C</w:t>
      </w:r>
      <w:r w:rsidR="00923E72">
        <w:rPr>
          <w:rFonts w:eastAsia="Malgun Gothic"/>
          <w:bCs/>
          <w:lang w:val="fr-FR"/>
        </w:rPr>
        <w:t>’</w:t>
      </w:r>
      <w:r w:rsidRPr="00844B66">
        <w:rPr>
          <w:rFonts w:eastAsia="Malgun Gothic"/>
          <w:bCs/>
          <w:lang w:val="fr-FR"/>
        </w:rPr>
        <w:t>était la beauté de ce forum, le sens du respect mutuel, et du respect de la Convention et du Règlement intérieur.</w:t>
      </w:r>
    </w:p>
    <w:p w14:paraId="3ED71E16" w14:textId="47ABC7C4" w:rsidR="00844B66" w:rsidRPr="00702497" w:rsidRDefault="00844B6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Style w:val="Hyperlink"/>
          <w:rFonts w:eastAsia="Malgun Gothic"/>
          <w:bCs/>
          <w:color w:val="auto"/>
          <w:u w:val="none"/>
          <w:lang w:val="fr-FR"/>
        </w:rPr>
      </w:pPr>
      <w:r w:rsidRPr="00702497">
        <w:rPr>
          <w:rFonts w:eastAsia="Malgun Gothic"/>
          <w:bCs/>
          <w:lang w:val="fr-FR"/>
        </w:rPr>
        <w:t xml:space="preserve">Le </w:t>
      </w:r>
      <w:r w:rsidRPr="00702497">
        <w:rPr>
          <w:rFonts w:eastAsia="Malgun Gothic"/>
          <w:b/>
          <w:lang w:val="fr-FR"/>
        </w:rPr>
        <w:t>Président</w:t>
      </w:r>
      <w:r w:rsidRPr="00844B66">
        <w:rPr>
          <w:rFonts w:eastAsia="Malgun Gothic"/>
          <w:bCs/>
          <w:lang w:val="fr-FR"/>
        </w:rPr>
        <w:t xml:space="preserve"> a noté qu</w:t>
      </w:r>
      <w:r w:rsidR="00923E72">
        <w:rPr>
          <w:rFonts w:eastAsia="Malgun Gothic"/>
          <w:bCs/>
          <w:lang w:val="fr-FR"/>
        </w:rPr>
        <w:t>’</w:t>
      </w:r>
      <w:r w:rsidRPr="00844B66">
        <w:rPr>
          <w:rFonts w:eastAsia="Malgun Gothic"/>
          <w:bCs/>
          <w:lang w:val="fr-FR"/>
        </w:rPr>
        <w:t>il n</w:t>
      </w:r>
      <w:r w:rsidR="00923E72">
        <w:rPr>
          <w:rFonts w:eastAsia="Malgun Gothic"/>
          <w:bCs/>
          <w:lang w:val="fr-FR"/>
        </w:rPr>
        <w:t>’</w:t>
      </w:r>
      <w:r w:rsidRPr="00844B66">
        <w:rPr>
          <w:rFonts w:eastAsia="Malgun Gothic"/>
          <w:bCs/>
          <w:lang w:val="fr-FR"/>
        </w:rPr>
        <w:t>y avait pas d</w:t>
      </w:r>
      <w:r w:rsidR="00923E72">
        <w:rPr>
          <w:rFonts w:eastAsia="Malgun Gothic"/>
          <w:bCs/>
          <w:lang w:val="fr-FR"/>
        </w:rPr>
        <w:t>’</w:t>
      </w:r>
      <w:r w:rsidRPr="00844B66">
        <w:rPr>
          <w:rFonts w:eastAsia="Malgun Gothic"/>
          <w:bCs/>
          <w:lang w:val="fr-FR"/>
        </w:rPr>
        <w:t>objections au paragraphe 7 tel qu</w:t>
      </w:r>
      <w:r w:rsidR="00923E72">
        <w:rPr>
          <w:rFonts w:eastAsia="Malgun Gothic"/>
          <w:bCs/>
          <w:lang w:val="fr-FR"/>
        </w:rPr>
        <w:t>’</w:t>
      </w:r>
      <w:r w:rsidRPr="00844B66">
        <w:rPr>
          <w:rFonts w:eastAsia="Malgun Gothic"/>
          <w:bCs/>
          <w:lang w:val="fr-FR"/>
        </w:rPr>
        <w:t>amendé par l</w:t>
      </w:r>
      <w:r w:rsidR="00923E72">
        <w:rPr>
          <w:rFonts w:eastAsia="Malgun Gothic"/>
          <w:bCs/>
          <w:lang w:val="fr-FR"/>
        </w:rPr>
        <w:t>’</w:t>
      </w:r>
      <w:r w:rsidRPr="00844B66">
        <w:rPr>
          <w:rFonts w:eastAsia="Malgun Gothic"/>
          <w:bCs/>
          <w:lang w:val="fr-FR"/>
        </w:rPr>
        <w:t xml:space="preserve">Arabie saoudite, qui a été dûment adopté. Le </w:t>
      </w:r>
      <w:r w:rsidRPr="00702497">
        <w:rPr>
          <w:rFonts w:eastAsia="Malgun Gothic"/>
          <w:b/>
          <w:lang w:val="fr-FR"/>
        </w:rPr>
        <w:t>Président a déclaré adoptée la décisio</w:t>
      </w:r>
      <w:r w:rsidR="003E3A17">
        <w:rPr>
          <w:rFonts w:eastAsia="Malgun Gothic"/>
          <w:b/>
          <w:lang w:val="fr-FR"/>
        </w:rPr>
        <w:t>n</w:t>
      </w:r>
      <w:r w:rsidR="003E3A17">
        <w:rPr>
          <w:rFonts w:eastAsia="Malgun Gothic"/>
          <w:bCs/>
          <w:lang w:val="fr-FR"/>
        </w:rPr>
        <w:t> </w:t>
      </w:r>
      <w:r w:rsidR="00751FB1">
        <w:fldChar w:fldCharType="begin"/>
      </w:r>
      <w:r w:rsidR="00751FB1" w:rsidRPr="00751FB1">
        <w:rPr>
          <w:lang w:val="fr-FR"/>
        </w:rPr>
        <w:instrText>HYPERLINK "https://ich.unesco.org/fr/Decisions/17.COM/7.b.13"</w:instrText>
      </w:r>
      <w:r w:rsidR="00751FB1">
        <w:fldChar w:fldCharType="separate"/>
      </w:r>
      <w:r w:rsidRPr="00702497">
        <w:rPr>
          <w:rStyle w:val="Hyperlink"/>
          <w:b/>
          <w:bCs/>
          <w:lang w:val="fr-FR"/>
        </w:rPr>
        <w:t>17.COM</w:t>
      </w:r>
      <w:r>
        <w:rPr>
          <w:rStyle w:val="Hyperlink"/>
          <w:b/>
          <w:bCs/>
          <w:lang w:val="fr-FR"/>
        </w:rPr>
        <w:t> </w:t>
      </w:r>
      <w:r w:rsidRPr="00702497">
        <w:rPr>
          <w:rStyle w:val="Hyperlink"/>
          <w:b/>
          <w:bCs/>
          <w:lang w:val="fr-FR"/>
        </w:rPr>
        <w:t>7.b.13</w:t>
      </w:r>
      <w:r w:rsidR="00751FB1">
        <w:rPr>
          <w:rStyle w:val="Hyperlink"/>
          <w:b/>
          <w:bCs/>
          <w:lang w:val="fr-FR"/>
        </w:rPr>
        <w:fldChar w:fldCharType="end"/>
      </w:r>
      <w:r w:rsidRPr="00702497">
        <w:rPr>
          <w:rStyle w:val="Hyperlink"/>
          <w:b/>
          <w:bCs/>
          <w:u w:val="none"/>
          <w:lang w:val="fr-FR"/>
        </w:rPr>
        <w:t xml:space="preserve"> </w:t>
      </w:r>
      <w:r w:rsidRPr="00702497">
        <w:rPr>
          <w:rStyle w:val="Hyperlink"/>
          <w:b/>
          <w:bCs/>
          <w:color w:val="auto"/>
          <w:u w:val="none"/>
          <w:lang w:val="fr-FR"/>
        </w:rPr>
        <w:t>d</w:t>
      </w:r>
      <w:r w:rsidR="00923E72">
        <w:rPr>
          <w:rStyle w:val="Hyperlink"/>
          <w:b/>
          <w:bCs/>
          <w:color w:val="auto"/>
          <w:u w:val="none"/>
          <w:lang w:val="fr-FR"/>
        </w:rPr>
        <w:t>’</w:t>
      </w:r>
      <w:r w:rsidRPr="00702497">
        <w:rPr>
          <w:rStyle w:val="Hyperlink"/>
          <w:b/>
          <w:bCs/>
          <w:color w:val="auto"/>
          <w:u w:val="none"/>
          <w:lang w:val="fr-FR"/>
        </w:rPr>
        <w:t xml:space="preserve">inscrire la Semaine sainte au Guatemala sur la </w:t>
      </w:r>
      <w:r w:rsidRPr="00EE6846">
        <w:rPr>
          <w:rStyle w:val="Hyperlink"/>
          <w:b/>
          <w:bCs/>
          <w:color w:val="auto"/>
          <w:u w:val="none"/>
          <w:lang w:val="fr-FR"/>
        </w:rPr>
        <w:t>Liste représentative.</w:t>
      </w:r>
    </w:p>
    <w:p w14:paraId="4EDF1E29" w14:textId="57412E15" w:rsidR="00AA63AB" w:rsidRDefault="00AA63A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AA63AB">
        <w:rPr>
          <w:rFonts w:eastAsia="Malgun Gothic"/>
          <w:bCs/>
          <w:lang w:val="fr-FR"/>
        </w:rPr>
        <w:t xml:space="preserve">La délégation du </w:t>
      </w:r>
      <w:r w:rsidRPr="00702497">
        <w:rPr>
          <w:rFonts w:eastAsia="Malgun Gothic"/>
          <w:b/>
          <w:lang w:val="fr-FR"/>
        </w:rPr>
        <w:t>Guatemala</w:t>
      </w:r>
      <w:r w:rsidRPr="00AA63AB">
        <w:rPr>
          <w:rFonts w:eastAsia="Malgun Gothic"/>
          <w:bCs/>
          <w:lang w:val="fr-FR"/>
        </w:rPr>
        <w:t xml:space="preserve"> a évoqué ce jour historique pour le monde, mais surtout pour le Guatemala. Désormais, la Semaine Sainte au Guatemala serait reconnue par l</w:t>
      </w:r>
      <w:r w:rsidR="00923E72">
        <w:rPr>
          <w:rFonts w:eastAsia="Malgun Gothic"/>
          <w:bCs/>
          <w:lang w:val="fr-FR"/>
        </w:rPr>
        <w:t>’</w:t>
      </w:r>
      <w:r w:rsidRPr="00AA63AB">
        <w:rPr>
          <w:rFonts w:eastAsia="Malgun Gothic"/>
          <w:bCs/>
          <w:lang w:val="fr-FR"/>
        </w:rPr>
        <w:t>humanité comme faisant partie de son patrimoine culturel immatériel commun. Elle représentait plus de vingt</w:t>
      </w:r>
      <w:r>
        <w:rPr>
          <w:rFonts w:eastAsia="Malgun Gothic"/>
          <w:bCs/>
          <w:lang w:val="fr-FR"/>
        </w:rPr>
        <w:noBreakHyphen/>
      </w:r>
      <w:r w:rsidRPr="00AA63AB">
        <w:rPr>
          <w:rFonts w:eastAsia="Malgun Gothic"/>
          <w:bCs/>
          <w:lang w:val="fr-FR"/>
        </w:rPr>
        <w:t>cinq cultures au Guatemala et, à partir</w:t>
      </w:r>
      <w:r w:rsidR="0087109D">
        <w:rPr>
          <w:rFonts w:eastAsia="Malgun Gothic"/>
          <w:bCs/>
          <w:lang w:val="fr-FR"/>
        </w:rPr>
        <w:t xml:space="preserve"> de ce jour</w:t>
      </w:r>
      <w:r w:rsidRPr="00AA63AB">
        <w:rPr>
          <w:rFonts w:eastAsia="Malgun Gothic"/>
          <w:bCs/>
          <w:lang w:val="fr-FR"/>
        </w:rPr>
        <w:t xml:space="preserve">, elle bénéficierait de toutes les mesures de sauvegarde nécessaires. La Semaine sainte au Guatemala était profondément ancrée dans le cœur de chaque Guatémaltèque. Le multilatéralisme dans le monde reconnaissait que cet élément appartient non seulement aux Guatémaltèques, mais au </w:t>
      </w:r>
      <w:r w:rsidRPr="00AA63AB">
        <w:rPr>
          <w:rFonts w:eastAsia="Malgun Gothic"/>
          <w:bCs/>
          <w:lang w:val="fr-FR"/>
        </w:rPr>
        <w:lastRenderedPageBreak/>
        <w:t>monde en général. Cette reconnaissance permettrait à l</w:t>
      </w:r>
      <w:r w:rsidR="00923E72">
        <w:rPr>
          <w:rFonts w:eastAsia="Malgun Gothic"/>
          <w:bCs/>
          <w:lang w:val="fr-FR"/>
        </w:rPr>
        <w:t>’</w:t>
      </w:r>
      <w:r w:rsidRPr="00AA63AB">
        <w:rPr>
          <w:rFonts w:eastAsia="Malgun Gothic"/>
          <w:bCs/>
          <w:lang w:val="fr-FR"/>
        </w:rPr>
        <w:t>élément d</w:t>
      </w:r>
      <w:r w:rsidR="00923E72">
        <w:rPr>
          <w:rFonts w:eastAsia="Malgun Gothic"/>
          <w:bCs/>
          <w:lang w:val="fr-FR"/>
        </w:rPr>
        <w:t>’</w:t>
      </w:r>
      <w:r w:rsidRPr="00AA63AB">
        <w:rPr>
          <w:rFonts w:eastAsia="Malgun Gothic"/>
          <w:bCs/>
          <w:lang w:val="fr-FR"/>
        </w:rPr>
        <w:t>être encore plus apprécié et de bénéficier d</w:t>
      </w:r>
      <w:r w:rsidR="00923E72">
        <w:rPr>
          <w:rFonts w:eastAsia="Malgun Gothic"/>
          <w:bCs/>
          <w:lang w:val="fr-FR"/>
        </w:rPr>
        <w:t>’</w:t>
      </w:r>
      <w:r w:rsidRPr="00AA63AB">
        <w:rPr>
          <w:rFonts w:eastAsia="Malgun Gothic"/>
          <w:bCs/>
          <w:lang w:val="fr-FR"/>
        </w:rPr>
        <w:t>une protection totale dans le pays. La délégation a rappelé que le Guatemala est riche d</w:t>
      </w:r>
      <w:r w:rsidR="00923E72">
        <w:rPr>
          <w:rFonts w:eastAsia="Malgun Gothic"/>
          <w:bCs/>
          <w:lang w:val="fr-FR"/>
        </w:rPr>
        <w:t>’</w:t>
      </w:r>
      <w:r w:rsidRPr="00AA63AB">
        <w:rPr>
          <w:rFonts w:eastAsia="Malgun Gothic"/>
          <w:bCs/>
          <w:lang w:val="fr-FR"/>
        </w:rPr>
        <w:t>une culture vieille de plus de</w:t>
      </w:r>
      <w:r w:rsidR="007060D5">
        <w:rPr>
          <w:rFonts w:eastAsia="Malgun Gothic"/>
          <w:bCs/>
          <w:lang w:val="fr-FR"/>
        </w:rPr>
        <w:t> </w:t>
      </w:r>
      <w:r w:rsidRPr="00AA63AB">
        <w:rPr>
          <w:rFonts w:eastAsia="Malgun Gothic"/>
          <w:bCs/>
          <w:lang w:val="fr-FR"/>
        </w:rPr>
        <w:t>3</w:t>
      </w:r>
      <w:r>
        <w:rPr>
          <w:rFonts w:eastAsia="Malgun Gothic"/>
          <w:bCs/>
          <w:lang w:val="fr-FR"/>
        </w:rPr>
        <w:t> </w:t>
      </w:r>
      <w:r w:rsidRPr="00AA63AB">
        <w:rPr>
          <w:rFonts w:eastAsia="Malgun Gothic"/>
          <w:bCs/>
          <w:lang w:val="fr-FR"/>
        </w:rPr>
        <w:t>000 ans et que la culture est un moteur de développement, d</w:t>
      </w:r>
      <w:r w:rsidR="00923E72">
        <w:rPr>
          <w:rFonts w:eastAsia="Malgun Gothic"/>
          <w:bCs/>
          <w:lang w:val="fr-FR"/>
        </w:rPr>
        <w:t>’</w:t>
      </w:r>
      <w:r w:rsidRPr="00AA63AB">
        <w:rPr>
          <w:rFonts w:eastAsia="Malgun Gothic"/>
          <w:bCs/>
          <w:lang w:val="fr-FR"/>
        </w:rPr>
        <w:t>inclusion et de participation, tout en reconnaissant évidemment l</w:t>
      </w:r>
      <w:r w:rsidR="00923E72">
        <w:rPr>
          <w:rFonts w:eastAsia="Malgun Gothic"/>
          <w:bCs/>
          <w:lang w:val="fr-FR"/>
        </w:rPr>
        <w:t>’</w:t>
      </w:r>
      <w:r w:rsidRPr="00AA63AB">
        <w:rPr>
          <w:rFonts w:eastAsia="Malgun Gothic"/>
          <w:bCs/>
          <w:lang w:val="fr-FR"/>
        </w:rPr>
        <w:t>importance de cet élément pour chaque personne. Au nom de tous les Guatémaltèques, la délégation a remercié le Sous-Directeur général, l</w:t>
      </w:r>
      <w:r w:rsidR="00923E72">
        <w:rPr>
          <w:rFonts w:eastAsia="Malgun Gothic"/>
          <w:bCs/>
          <w:lang w:val="fr-FR"/>
        </w:rPr>
        <w:t>’</w:t>
      </w:r>
      <w:r w:rsidRPr="00AA63AB">
        <w:rPr>
          <w:rFonts w:eastAsia="Malgun Gothic"/>
          <w:bCs/>
          <w:lang w:val="fr-FR"/>
        </w:rPr>
        <w:t>Organe d</w:t>
      </w:r>
      <w:r w:rsidR="00923E72">
        <w:rPr>
          <w:rFonts w:eastAsia="Malgun Gothic"/>
          <w:bCs/>
          <w:lang w:val="fr-FR"/>
        </w:rPr>
        <w:t>’</w:t>
      </w:r>
      <w:r w:rsidRPr="00AA63AB">
        <w:rPr>
          <w:rFonts w:eastAsia="Malgun Gothic"/>
          <w:bCs/>
          <w:lang w:val="fr-FR"/>
        </w:rPr>
        <w:t>évaluation et le Maroc pour son hospitalité exceptionnelle ainsi que tous les membres de l</w:t>
      </w:r>
      <w:r w:rsidR="00923E72">
        <w:rPr>
          <w:rFonts w:eastAsia="Malgun Gothic"/>
          <w:bCs/>
          <w:lang w:val="fr-FR"/>
        </w:rPr>
        <w:t>’</w:t>
      </w:r>
      <w:r w:rsidRPr="00AA63AB">
        <w:rPr>
          <w:rFonts w:eastAsia="Malgun Gothic"/>
          <w:bCs/>
          <w:lang w:val="fr-FR"/>
        </w:rPr>
        <w:t>équipe travaillant dans les ministères. La délégation s</w:t>
      </w:r>
      <w:r w:rsidR="00923E72">
        <w:rPr>
          <w:rFonts w:eastAsia="Malgun Gothic"/>
          <w:bCs/>
          <w:lang w:val="fr-FR"/>
        </w:rPr>
        <w:t>’</w:t>
      </w:r>
      <w:r w:rsidRPr="00AA63AB">
        <w:rPr>
          <w:rFonts w:eastAsia="Malgun Gothic"/>
          <w:bCs/>
          <w:lang w:val="fr-FR"/>
        </w:rPr>
        <w:t>est adressée à ses communautés, à ses détenteurs, à ses artisans, à ses cuisiniers, à ses chapeliers, à ses brodeurs et à toutes les familles à l</w:t>
      </w:r>
      <w:r w:rsidR="00923E72">
        <w:rPr>
          <w:rFonts w:eastAsia="Malgun Gothic"/>
          <w:bCs/>
          <w:lang w:val="fr-FR"/>
        </w:rPr>
        <w:t>’</w:t>
      </w:r>
      <w:r w:rsidRPr="00AA63AB">
        <w:rPr>
          <w:rFonts w:eastAsia="Malgun Gothic"/>
          <w:bCs/>
          <w:lang w:val="fr-FR"/>
        </w:rPr>
        <w:t>origine de la célébration</w:t>
      </w:r>
      <w:r w:rsidR="004F553B">
        <w:rPr>
          <w:rFonts w:eastAsia="Malgun Gothic"/>
          <w:bCs/>
          <w:lang w:val="fr-FR"/>
        </w:rPr>
        <w:t xml:space="preserve">, </w:t>
      </w:r>
      <w:r w:rsidRPr="00AA63AB">
        <w:rPr>
          <w:rFonts w:eastAsia="Malgun Gothic"/>
          <w:bCs/>
          <w:lang w:val="fr-FR"/>
        </w:rPr>
        <w:t>qui font de cette tradition ce qu</w:t>
      </w:r>
      <w:r w:rsidR="00923E72">
        <w:rPr>
          <w:rFonts w:eastAsia="Malgun Gothic"/>
          <w:bCs/>
          <w:lang w:val="fr-FR"/>
        </w:rPr>
        <w:t>’</w:t>
      </w:r>
      <w:r w:rsidRPr="00AA63AB">
        <w:rPr>
          <w:rFonts w:eastAsia="Malgun Gothic"/>
          <w:bCs/>
          <w:lang w:val="fr-FR"/>
        </w:rPr>
        <w:t>elle est aujourd</w:t>
      </w:r>
      <w:r w:rsidR="00923E72">
        <w:rPr>
          <w:rFonts w:eastAsia="Malgun Gothic"/>
          <w:bCs/>
          <w:lang w:val="fr-FR"/>
        </w:rPr>
        <w:t>’</w:t>
      </w:r>
      <w:r w:rsidRPr="00AA63AB">
        <w:rPr>
          <w:rFonts w:eastAsia="Malgun Gothic"/>
          <w:bCs/>
          <w:lang w:val="fr-FR"/>
        </w:rPr>
        <w:t>hui</w:t>
      </w:r>
      <w:r>
        <w:rPr>
          <w:rFonts w:eastAsia="Malgun Gothic"/>
          <w:bCs/>
          <w:lang w:val="fr-FR"/>
        </w:rPr>
        <w:t>, rappelant que l</w:t>
      </w:r>
      <w:r w:rsidRPr="00AA63AB">
        <w:rPr>
          <w:rFonts w:eastAsia="Malgun Gothic"/>
          <w:bCs/>
          <w:lang w:val="fr-FR"/>
        </w:rPr>
        <w:t>a Semaine Sainte est le patrimoine culturel immatériel de toute l</w:t>
      </w:r>
      <w:r w:rsidR="00923E72">
        <w:rPr>
          <w:rFonts w:eastAsia="Malgun Gothic"/>
          <w:bCs/>
          <w:lang w:val="fr-FR"/>
        </w:rPr>
        <w:t>’</w:t>
      </w:r>
      <w:r w:rsidRPr="00AA63AB">
        <w:rPr>
          <w:rFonts w:eastAsia="Malgun Gothic"/>
          <w:bCs/>
          <w:lang w:val="fr-FR"/>
        </w:rPr>
        <w:t>humanité</w:t>
      </w:r>
      <w:r>
        <w:rPr>
          <w:rFonts w:eastAsia="Malgun Gothic"/>
          <w:bCs/>
          <w:lang w:val="fr-FR"/>
        </w:rPr>
        <w:t> </w:t>
      </w:r>
      <w:r w:rsidRPr="00AA63AB">
        <w:rPr>
          <w:rFonts w:eastAsia="Malgun Gothic"/>
          <w:bCs/>
          <w:lang w:val="fr-FR"/>
        </w:rPr>
        <w:t>!</w:t>
      </w:r>
    </w:p>
    <w:p w14:paraId="6F218567" w14:textId="72F3E500" w:rsidR="00AA63AB" w:rsidRDefault="00AA63A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AA63AB">
        <w:rPr>
          <w:rFonts w:eastAsia="Malgun Gothic"/>
          <w:bCs/>
          <w:lang w:val="fr-FR"/>
        </w:rPr>
        <w:t xml:space="preserve">Dans une allocution vidéo, le </w:t>
      </w:r>
      <w:r w:rsidRPr="00702497">
        <w:rPr>
          <w:rFonts w:eastAsia="Malgun Gothic"/>
          <w:b/>
          <w:lang w:val="fr-FR"/>
        </w:rPr>
        <w:t>Président du Guatemala</w:t>
      </w:r>
      <w:r w:rsidRPr="00AA63AB">
        <w:rPr>
          <w:rFonts w:eastAsia="Malgun Gothic"/>
          <w:bCs/>
          <w:lang w:val="fr-FR"/>
        </w:rPr>
        <w:t xml:space="preserve">, </w:t>
      </w:r>
      <w:r w:rsidR="009F3FAA" w:rsidRPr="006E3034">
        <w:rPr>
          <w:rFonts w:eastAsia="Malgun Gothic"/>
          <w:lang w:val="fr-FR"/>
        </w:rPr>
        <w:t>S. Exc.</w:t>
      </w:r>
      <w:r w:rsidR="009F3FAA" w:rsidRPr="00602064">
        <w:rPr>
          <w:rFonts w:eastAsia="Malgun Gothic"/>
          <w:b/>
          <w:bCs/>
          <w:lang w:val="fr-FR"/>
        </w:rPr>
        <w:t xml:space="preserve"> </w:t>
      </w:r>
      <w:r w:rsidRPr="00AA63AB">
        <w:rPr>
          <w:rFonts w:eastAsia="Malgun Gothic"/>
          <w:bCs/>
          <w:lang w:val="fr-FR"/>
        </w:rPr>
        <w:t>M.</w:t>
      </w:r>
      <w:r>
        <w:rPr>
          <w:rFonts w:eastAsia="Malgun Gothic"/>
          <w:bCs/>
          <w:lang w:val="fr-FR"/>
        </w:rPr>
        <w:t> </w:t>
      </w:r>
      <w:r w:rsidRPr="00AA63AB">
        <w:rPr>
          <w:rFonts w:eastAsia="Malgun Gothic"/>
          <w:bCs/>
          <w:lang w:val="fr-FR"/>
        </w:rPr>
        <w:t xml:space="preserve">Alejandro </w:t>
      </w:r>
      <w:proofErr w:type="spellStart"/>
      <w:r w:rsidRPr="00AA63AB">
        <w:rPr>
          <w:rFonts w:eastAsia="Malgun Gothic"/>
          <w:bCs/>
          <w:lang w:val="fr-FR"/>
        </w:rPr>
        <w:t>Giammattei</w:t>
      </w:r>
      <w:proofErr w:type="spellEnd"/>
      <w:r w:rsidRPr="00AA63AB">
        <w:rPr>
          <w:rFonts w:eastAsia="Malgun Gothic"/>
          <w:bCs/>
          <w:lang w:val="fr-FR"/>
        </w:rPr>
        <w:t>, a déclaré qu</w:t>
      </w:r>
      <w:r w:rsidR="00923E72">
        <w:rPr>
          <w:rFonts w:eastAsia="Malgun Gothic"/>
          <w:bCs/>
          <w:lang w:val="fr-FR"/>
        </w:rPr>
        <w:t>’</w:t>
      </w:r>
      <w:r w:rsidRPr="00AA63AB">
        <w:rPr>
          <w:rFonts w:eastAsia="Malgun Gothic"/>
          <w:bCs/>
          <w:lang w:val="fr-FR"/>
        </w:rPr>
        <w:t>il se sentait chanceux d</w:t>
      </w:r>
      <w:r w:rsidR="00923E72">
        <w:rPr>
          <w:rFonts w:eastAsia="Malgun Gothic"/>
          <w:bCs/>
          <w:lang w:val="fr-FR"/>
        </w:rPr>
        <w:t>’</w:t>
      </w:r>
      <w:r w:rsidRPr="00AA63AB">
        <w:rPr>
          <w:rFonts w:eastAsia="Malgun Gothic"/>
          <w:bCs/>
          <w:lang w:val="fr-FR"/>
        </w:rPr>
        <w:t xml:space="preserve">être guatémaltèque, </w:t>
      </w:r>
      <w:r w:rsidR="0087109D">
        <w:rPr>
          <w:rFonts w:eastAsia="Malgun Gothic"/>
          <w:bCs/>
          <w:lang w:val="fr-FR"/>
        </w:rPr>
        <w:t xml:space="preserve">en ce jour </w:t>
      </w:r>
      <w:r w:rsidRPr="00AA63AB">
        <w:rPr>
          <w:rFonts w:eastAsia="Malgun Gothic"/>
          <w:bCs/>
          <w:lang w:val="fr-FR"/>
        </w:rPr>
        <w:t>plus que jamais, et de participer à cette journée</w:t>
      </w:r>
      <w:r w:rsidR="004F553B">
        <w:rPr>
          <w:rFonts w:eastAsia="Malgun Gothic"/>
          <w:bCs/>
          <w:lang w:val="fr-FR"/>
        </w:rPr>
        <w:t>,</w:t>
      </w:r>
      <w:r w:rsidRPr="00AA63AB">
        <w:rPr>
          <w:rFonts w:eastAsia="Malgun Gothic"/>
          <w:bCs/>
          <w:lang w:val="fr-FR"/>
        </w:rPr>
        <w:t xml:space="preserve"> qui resterait dans l</w:t>
      </w:r>
      <w:r w:rsidR="00923E72">
        <w:rPr>
          <w:rFonts w:eastAsia="Malgun Gothic"/>
          <w:bCs/>
          <w:lang w:val="fr-FR"/>
        </w:rPr>
        <w:t>’</w:t>
      </w:r>
      <w:r w:rsidRPr="00AA63AB">
        <w:rPr>
          <w:rFonts w:eastAsia="Malgun Gothic"/>
          <w:bCs/>
          <w:lang w:val="fr-FR"/>
        </w:rPr>
        <w:t>histoire, une journée au cours de laquelle son patrimoine culturel, vieux de plus de 3</w:t>
      </w:r>
      <w:r w:rsidR="00A2490B">
        <w:rPr>
          <w:rFonts w:eastAsia="Malgun Gothic"/>
          <w:bCs/>
          <w:lang w:val="fr-FR"/>
        </w:rPr>
        <w:t> </w:t>
      </w:r>
      <w:r w:rsidRPr="00AA63AB">
        <w:rPr>
          <w:rFonts w:eastAsia="Malgun Gothic"/>
          <w:bCs/>
          <w:lang w:val="fr-FR"/>
        </w:rPr>
        <w:t>000 ans, était reconnu par le monde entier, la Semaine sainte guatémaltèque ayant été déclarée patrimoine culturel immatériel de l</w:t>
      </w:r>
      <w:r w:rsidR="00923E72">
        <w:rPr>
          <w:rFonts w:eastAsia="Malgun Gothic"/>
          <w:bCs/>
          <w:lang w:val="fr-FR"/>
        </w:rPr>
        <w:t>’</w:t>
      </w:r>
      <w:r w:rsidRPr="00AA63AB">
        <w:rPr>
          <w:rFonts w:eastAsia="Malgun Gothic"/>
          <w:bCs/>
          <w:lang w:val="fr-FR"/>
        </w:rPr>
        <w:t>humanité. Pour connaître l</w:t>
      </w:r>
      <w:r w:rsidR="00923E72">
        <w:rPr>
          <w:rFonts w:eastAsia="Malgun Gothic"/>
          <w:bCs/>
          <w:lang w:val="fr-FR"/>
        </w:rPr>
        <w:t>’</w:t>
      </w:r>
      <w:r w:rsidRPr="00AA63AB">
        <w:rPr>
          <w:rFonts w:eastAsia="Malgun Gothic"/>
          <w:bCs/>
          <w:lang w:val="fr-FR"/>
        </w:rPr>
        <w:t>esprit et la vie intérieure d</w:t>
      </w:r>
      <w:r w:rsidR="00923E72">
        <w:rPr>
          <w:rFonts w:eastAsia="Malgun Gothic"/>
          <w:bCs/>
          <w:lang w:val="fr-FR"/>
        </w:rPr>
        <w:t>’</w:t>
      </w:r>
      <w:r w:rsidRPr="00AA63AB">
        <w:rPr>
          <w:rFonts w:eastAsia="Malgun Gothic"/>
          <w:bCs/>
          <w:lang w:val="fr-FR"/>
        </w:rPr>
        <w:t>un peuple, il fallait se plonger dans son architecture, sa littérature, sa sculpture, sa peinture, sa musique, sa danse et son art culinaire, en démontant chacune des pièces du grand puzzle qui construit l</w:t>
      </w:r>
      <w:r w:rsidR="00923E72">
        <w:rPr>
          <w:rFonts w:eastAsia="Malgun Gothic"/>
          <w:bCs/>
          <w:lang w:val="fr-FR"/>
        </w:rPr>
        <w:t>’</w:t>
      </w:r>
      <w:r w:rsidRPr="00AA63AB">
        <w:rPr>
          <w:rFonts w:eastAsia="Malgun Gothic"/>
          <w:bCs/>
          <w:lang w:val="fr-FR"/>
        </w:rPr>
        <w:t>identité et le syncrétisme d</w:t>
      </w:r>
      <w:r w:rsidR="00923E72">
        <w:rPr>
          <w:rFonts w:eastAsia="Malgun Gothic"/>
          <w:bCs/>
          <w:lang w:val="fr-FR"/>
        </w:rPr>
        <w:t>’</w:t>
      </w:r>
      <w:r w:rsidRPr="00AA63AB">
        <w:rPr>
          <w:rFonts w:eastAsia="Malgun Gothic"/>
          <w:bCs/>
          <w:lang w:val="fr-FR"/>
        </w:rPr>
        <w:t>une culture. Le peuple guatémaltèque avait une vie formidable parce que son histoire avait été construite jour après jour par ses différents peuples, ce qui, par essence, le rendait multicolore et reflétait ses différentes ethnies, langues, expressions artistiques et cultures. La Semaine sainte au Guatemala intégrait la diversité spirituelle et culturelle, et répondait à une expression populaire de la foi, devenant un élément d</w:t>
      </w:r>
      <w:r w:rsidR="00923E72">
        <w:rPr>
          <w:rFonts w:eastAsia="Malgun Gothic"/>
          <w:bCs/>
          <w:lang w:val="fr-FR"/>
        </w:rPr>
        <w:t>’</w:t>
      </w:r>
      <w:r w:rsidRPr="00AA63AB">
        <w:rPr>
          <w:rFonts w:eastAsia="Malgun Gothic"/>
          <w:bCs/>
          <w:lang w:val="fr-FR"/>
        </w:rPr>
        <w:t>unité entre les peuples et l</w:t>
      </w:r>
      <w:r w:rsidR="00923E72">
        <w:rPr>
          <w:rFonts w:eastAsia="Malgun Gothic"/>
          <w:bCs/>
          <w:lang w:val="fr-FR"/>
        </w:rPr>
        <w:t>’</w:t>
      </w:r>
      <w:r w:rsidRPr="00AA63AB">
        <w:rPr>
          <w:rFonts w:eastAsia="Malgun Gothic"/>
          <w:bCs/>
          <w:lang w:val="fr-FR"/>
        </w:rPr>
        <w:t>expression d</w:t>
      </w:r>
      <w:r w:rsidR="00923E72">
        <w:rPr>
          <w:rFonts w:eastAsia="Malgun Gothic"/>
          <w:bCs/>
          <w:lang w:val="fr-FR"/>
        </w:rPr>
        <w:t>’</w:t>
      </w:r>
      <w:r w:rsidRPr="00AA63AB">
        <w:rPr>
          <w:rFonts w:eastAsia="Malgun Gothic"/>
          <w:bCs/>
          <w:lang w:val="fr-FR"/>
        </w:rPr>
        <w:t>une culture vivante où les souvenirs des traditions inondent la mémoire pour faire revivre des moments qui remplissent les yeux de larmes. La Semaine sainte guatémaltèque était une symbiose de</w:t>
      </w:r>
      <w:r w:rsidR="00A2490B">
        <w:rPr>
          <w:rFonts w:eastAsia="Malgun Gothic"/>
          <w:bCs/>
          <w:lang w:val="fr-FR"/>
        </w:rPr>
        <w:t>s</w:t>
      </w:r>
      <w:r w:rsidRPr="00AA63AB">
        <w:rPr>
          <w:rFonts w:eastAsia="Malgun Gothic"/>
          <w:bCs/>
          <w:lang w:val="fr-FR"/>
        </w:rPr>
        <w:t xml:space="preserve"> cultures nationales qui fusionne</w:t>
      </w:r>
      <w:r w:rsidR="004F553B">
        <w:rPr>
          <w:rFonts w:eastAsia="Malgun Gothic"/>
          <w:bCs/>
          <w:lang w:val="fr-FR"/>
        </w:rPr>
        <w:t>nt</w:t>
      </w:r>
      <w:r w:rsidRPr="00AA63AB">
        <w:rPr>
          <w:rFonts w:eastAsia="Malgun Gothic"/>
          <w:bCs/>
          <w:lang w:val="fr-FR"/>
        </w:rPr>
        <w:t xml:space="preserve"> des traditions héritées d</w:t>
      </w:r>
      <w:r w:rsidR="00923E72">
        <w:rPr>
          <w:rFonts w:eastAsia="Malgun Gothic"/>
          <w:bCs/>
          <w:lang w:val="fr-FR"/>
        </w:rPr>
        <w:t>’</w:t>
      </w:r>
      <w:r w:rsidRPr="00AA63AB">
        <w:rPr>
          <w:rFonts w:eastAsia="Malgun Gothic"/>
          <w:bCs/>
          <w:lang w:val="fr-FR"/>
        </w:rPr>
        <w:t>un monde précolombien et, par conséquent, des expressions du temps reflétées par une histoire riche, unique et profonde</w:t>
      </w:r>
      <w:r w:rsidR="004F553B">
        <w:rPr>
          <w:rFonts w:eastAsia="Malgun Gothic"/>
          <w:bCs/>
          <w:lang w:val="fr-FR"/>
        </w:rPr>
        <w:t>,</w:t>
      </w:r>
      <w:r w:rsidRPr="00AA63AB">
        <w:rPr>
          <w:rFonts w:eastAsia="Malgun Gothic"/>
          <w:bCs/>
          <w:lang w:val="fr-FR"/>
        </w:rPr>
        <w:t xml:space="preserve"> qui, sans aucun doute, enchante les habitants et les étrangers qui en sont témoins et la vivent avec foi, dévotion ou admiration. Il a rappelé que les Guatémaltèques sont un peuple à l</w:t>
      </w:r>
      <w:r w:rsidR="00923E72">
        <w:rPr>
          <w:rFonts w:eastAsia="Malgun Gothic"/>
          <w:bCs/>
          <w:lang w:val="fr-FR"/>
        </w:rPr>
        <w:t>’</w:t>
      </w:r>
      <w:r w:rsidRPr="00AA63AB">
        <w:rPr>
          <w:rFonts w:eastAsia="Malgun Gothic"/>
          <w:bCs/>
          <w:lang w:val="fr-FR"/>
        </w:rPr>
        <w:t>esprit inébranlable</w:t>
      </w:r>
      <w:r w:rsidR="004F553B">
        <w:rPr>
          <w:rFonts w:eastAsia="Malgun Gothic"/>
          <w:bCs/>
          <w:lang w:val="fr-FR"/>
        </w:rPr>
        <w:t>,</w:t>
      </w:r>
      <w:r w:rsidRPr="00AA63AB">
        <w:rPr>
          <w:rFonts w:eastAsia="Malgun Gothic"/>
          <w:bCs/>
          <w:lang w:val="fr-FR"/>
        </w:rPr>
        <w:t xml:space="preserve"> qui a appris de son passé, l</w:t>
      </w:r>
      <w:r w:rsidR="00923E72">
        <w:rPr>
          <w:rFonts w:eastAsia="Malgun Gothic"/>
          <w:bCs/>
          <w:lang w:val="fr-FR"/>
        </w:rPr>
        <w:t>’</w:t>
      </w:r>
      <w:r w:rsidRPr="00AA63AB">
        <w:rPr>
          <w:rFonts w:eastAsia="Malgun Gothic"/>
          <w:bCs/>
          <w:lang w:val="fr-FR"/>
        </w:rPr>
        <w:t>a transformé en un présent merveilleux et a projeté un avenir plein d</w:t>
      </w:r>
      <w:r w:rsidR="00923E72">
        <w:rPr>
          <w:rFonts w:eastAsia="Malgun Gothic"/>
          <w:bCs/>
          <w:lang w:val="fr-FR"/>
        </w:rPr>
        <w:t>’</w:t>
      </w:r>
      <w:r w:rsidRPr="00AA63AB">
        <w:rPr>
          <w:rFonts w:eastAsia="Malgun Gothic"/>
          <w:bCs/>
          <w:lang w:val="fr-FR"/>
        </w:rPr>
        <w:t>espoir. Au nom de plus de dix</w:t>
      </w:r>
      <w:r w:rsidR="00A2490B">
        <w:rPr>
          <w:rFonts w:eastAsia="Malgun Gothic"/>
          <w:bCs/>
          <w:lang w:val="fr-FR"/>
        </w:rPr>
        <w:noBreakHyphen/>
      </w:r>
      <w:r w:rsidRPr="00AA63AB">
        <w:rPr>
          <w:rFonts w:eastAsia="Malgun Gothic"/>
          <w:bCs/>
          <w:lang w:val="fr-FR"/>
        </w:rPr>
        <w:t>sept millions de Guatémaltèques, le Président a remercié l</w:t>
      </w:r>
      <w:r w:rsidR="00923E72">
        <w:rPr>
          <w:rFonts w:eastAsia="Malgun Gothic"/>
          <w:bCs/>
          <w:lang w:val="fr-FR"/>
        </w:rPr>
        <w:t>’</w:t>
      </w:r>
      <w:r w:rsidRPr="00AA63AB">
        <w:rPr>
          <w:rFonts w:eastAsia="Malgun Gothic"/>
          <w:bCs/>
          <w:lang w:val="fr-FR"/>
        </w:rPr>
        <w:t>UNESCO pour ce cadeau, qui n</w:t>
      </w:r>
      <w:r w:rsidR="00923E72">
        <w:rPr>
          <w:rFonts w:eastAsia="Malgun Gothic"/>
          <w:bCs/>
          <w:lang w:val="fr-FR"/>
        </w:rPr>
        <w:t>’</w:t>
      </w:r>
      <w:r w:rsidRPr="00AA63AB">
        <w:rPr>
          <w:rFonts w:eastAsia="Malgun Gothic"/>
          <w:bCs/>
          <w:lang w:val="fr-FR"/>
        </w:rPr>
        <w:t>était pas seulement destiné aux Guatémaltèques, mais au monde entier.</w:t>
      </w:r>
    </w:p>
    <w:p w14:paraId="42A1FCB0" w14:textId="11A51D0D" w:rsidR="00A2490B" w:rsidRDefault="00A2490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Secrétaire</w:t>
      </w:r>
      <w:r>
        <w:rPr>
          <w:rFonts w:eastAsia="Malgun Gothic"/>
          <w:bCs/>
          <w:lang w:val="fr-FR"/>
        </w:rPr>
        <w:t xml:space="preserve"> a annoncé un changement dans l</w:t>
      </w:r>
      <w:r w:rsidR="00923E72">
        <w:rPr>
          <w:rFonts w:eastAsia="Malgun Gothic"/>
          <w:bCs/>
          <w:lang w:val="fr-FR"/>
        </w:rPr>
        <w:t>’</w:t>
      </w:r>
      <w:r>
        <w:rPr>
          <w:rFonts w:eastAsia="Malgun Gothic"/>
          <w:bCs/>
          <w:lang w:val="fr-FR"/>
        </w:rPr>
        <w:t>ordre des dossiers, approuvé par le Bureau.</w:t>
      </w:r>
    </w:p>
    <w:p w14:paraId="4001AC72" w14:textId="683D5CC4" w:rsidR="00A2490B" w:rsidRDefault="00371C2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371C25">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371C25">
        <w:rPr>
          <w:rFonts w:eastAsia="Malgun Gothic"/>
          <w:bCs/>
          <w:lang w:val="fr-FR"/>
        </w:rPr>
        <w:t xml:space="preserve"> a présenté le dossier de candidature suivant, </w:t>
      </w:r>
      <w:r w:rsidRPr="00702497">
        <w:rPr>
          <w:rFonts w:eastAsia="Malgun Gothic"/>
          <w:b/>
          <w:lang w:val="fr-FR"/>
        </w:rPr>
        <w:t>la tradition de l</w:t>
      </w:r>
      <w:r w:rsidR="00923E72">
        <w:rPr>
          <w:rFonts w:eastAsia="Malgun Gothic"/>
          <w:b/>
          <w:lang w:val="fr-FR"/>
        </w:rPr>
        <w:t>’</w:t>
      </w:r>
      <w:r w:rsidRPr="00702497">
        <w:rPr>
          <w:rFonts w:eastAsia="Malgun Gothic"/>
          <w:b/>
          <w:lang w:val="fr-FR"/>
        </w:rPr>
        <w:t xml:space="preserve">ensemble à cordes hongrois </w:t>
      </w:r>
      <w:r w:rsidRPr="00371C25">
        <w:rPr>
          <w:rFonts w:eastAsia="Malgun Gothic"/>
          <w:bCs/>
          <w:lang w:val="fr-FR"/>
        </w:rPr>
        <w:t>[projet de décision</w:t>
      </w:r>
      <w:r w:rsidR="0087109D">
        <w:rPr>
          <w:rFonts w:eastAsia="Malgun Gothic"/>
          <w:bCs/>
          <w:lang w:val="fr-FR"/>
        </w:rPr>
        <w:t> </w:t>
      </w:r>
      <w:r w:rsidRPr="00371C25">
        <w:rPr>
          <w:rFonts w:eastAsia="Malgun Gothic"/>
          <w:bCs/>
          <w:lang w:val="fr-FR"/>
        </w:rPr>
        <w:t xml:space="preserve">7.b.14], soumis par </w:t>
      </w:r>
      <w:r w:rsidRPr="00F15FCD">
        <w:rPr>
          <w:rFonts w:eastAsia="Malgun Gothic"/>
          <w:bCs/>
          <w:lang w:val="fr-FR"/>
        </w:rPr>
        <w:t>la</w:t>
      </w:r>
      <w:r w:rsidRPr="00371C25">
        <w:rPr>
          <w:rFonts w:eastAsia="Malgun Gothic"/>
          <w:bCs/>
          <w:lang w:val="fr-FR"/>
        </w:rPr>
        <w:t xml:space="preserve"> </w:t>
      </w:r>
      <w:r w:rsidRPr="00702497">
        <w:rPr>
          <w:rFonts w:eastAsia="Malgun Gothic"/>
          <w:b/>
          <w:lang w:val="fr-FR"/>
        </w:rPr>
        <w:t>Hongrie</w:t>
      </w:r>
      <w:r w:rsidRPr="00371C25">
        <w:rPr>
          <w:rFonts w:eastAsia="Malgun Gothic"/>
          <w:bCs/>
          <w:lang w:val="fr-FR"/>
        </w:rPr>
        <w:t>, expliquant que l</w:t>
      </w:r>
      <w:r w:rsidR="00923E72">
        <w:rPr>
          <w:rFonts w:eastAsia="Malgun Gothic"/>
          <w:bCs/>
          <w:lang w:val="fr-FR"/>
        </w:rPr>
        <w:t>’</w:t>
      </w:r>
      <w:r w:rsidRPr="00371C25">
        <w:rPr>
          <w:rFonts w:eastAsia="Malgun Gothic"/>
          <w:bCs/>
          <w:lang w:val="fr-FR"/>
        </w:rPr>
        <w:t>élément est l</w:t>
      </w:r>
      <w:r w:rsidR="00923E72">
        <w:rPr>
          <w:rFonts w:eastAsia="Malgun Gothic"/>
          <w:bCs/>
          <w:lang w:val="fr-FR"/>
        </w:rPr>
        <w:t>’</w:t>
      </w:r>
      <w:r w:rsidRPr="00371C25">
        <w:rPr>
          <w:rFonts w:eastAsia="Malgun Gothic"/>
          <w:bCs/>
          <w:lang w:val="fr-FR"/>
        </w:rPr>
        <w:t>un des ensembles caractéristiques du pays et l</w:t>
      </w:r>
      <w:r w:rsidR="00923E72">
        <w:rPr>
          <w:rFonts w:eastAsia="Malgun Gothic"/>
          <w:bCs/>
          <w:lang w:val="fr-FR"/>
        </w:rPr>
        <w:t>’</w:t>
      </w:r>
      <w:r w:rsidRPr="00371C25">
        <w:rPr>
          <w:rFonts w:eastAsia="Malgun Gothic"/>
          <w:bCs/>
          <w:lang w:val="fr-FR"/>
        </w:rPr>
        <w:t>un</w:t>
      </w:r>
      <w:r>
        <w:rPr>
          <w:rFonts w:eastAsia="Malgun Gothic"/>
          <w:bCs/>
          <w:lang w:val="fr-FR"/>
        </w:rPr>
        <w:t>e</w:t>
      </w:r>
      <w:r w:rsidRPr="00371C25">
        <w:rPr>
          <w:rFonts w:eastAsia="Malgun Gothic"/>
          <w:bCs/>
          <w:lang w:val="fr-FR"/>
        </w:rPr>
        <w:t xml:space="preserve"> des représenta</w:t>
      </w:r>
      <w:r>
        <w:rPr>
          <w:rFonts w:eastAsia="Malgun Gothic"/>
          <w:bCs/>
          <w:lang w:val="fr-FR"/>
        </w:rPr>
        <w:t>tions</w:t>
      </w:r>
      <w:r w:rsidRPr="00371C25">
        <w:rPr>
          <w:rFonts w:eastAsia="Malgun Gothic"/>
          <w:bCs/>
          <w:lang w:val="fr-FR"/>
        </w:rPr>
        <w:t xml:space="preserve"> les plus courant</w:t>
      </w:r>
      <w:r w:rsidR="0087109D">
        <w:rPr>
          <w:rFonts w:eastAsia="Malgun Gothic"/>
          <w:bCs/>
          <w:lang w:val="fr-FR"/>
        </w:rPr>
        <w:t>e</w:t>
      </w:r>
      <w:r w:rsidRPr="00371C25">
        <w:rPr>
          <w:rFonts w:eastAsia="Malgun Gothic"/>
          <w:bCs/>
          <w:lang w:val="fr-FR"/>
        </w:rPr>
        <w:t>s de la culture musicale folklorique</w:t>
      </w:r>
      <w:r w:rsidR="007060D5">
        <w:rPr>
          <w:rFonts w:eastAsia="Malgun Gothic"/>
          <w:bCs/>
          <w:lang w:val="fr-FR"/>
        </w:rPr>
        <w:t>,</w:t>
      </w:r>
      <w:r>
        <w:rPr>
          <w:rFonts w:eastAsia="Malgun Gothic"/>
          <w:bCs/>
          <w:lang w:val="fr-FR"/>
        </w:rPr>
        <w:t xml:space="preserve"> et </w:t>
      </w:r>
      <w:r w:rsidRPr="00371C25">
        <w:rPr>
          <w:rFonts w:eastAsia="Malgun Gothic"/>
          <w:bCs/>
          <w:lang w:val="fr-FR"/>
        </w:rPr>
        <w:t>que l</w:t>
      </w:r>
      <w:r w:rsidR="00923E72">
        <w:rPr>
          <w:rFonts w:eastAsia="Malgun Gothic"/>
          <w:bCs/>
          <w:lang w:val="fr-FR"/>
        </w:rPr>
        <w:t>’</w:t>
      </w:r>
      <w:r>
        <w:rPr>
          <w:rFonts w:eastAsia="Malgun Gothic"/>
          <w:bCs/>
          <w:lang w:val="fr-FR"/>
        </w:rPr>
        <w:t xml:space="preserve">ensemble </w:t>
      </w:r>
      <w:r w:rsidRPr="00371C25">
        <w:rPr>
          <w:rFonts w:eastAsia="Malgun Gothic"/>
          <w:bCs/>
          <w:lang w:val="fr-FR"/>
        </w:rPr>
        <w:t>de base violon-</w:t>
      </w:r>
      <w:r>
        <w:rPr>
          <w:rFonts w:eastAsia="Malgun Gothic"/>
          <w:bCs/>
          <w:lang w:val="fr-FR"/>
        </w:rPr>
        <w:t>alto-contrebasse</w:t>
      </w:r>
      <w:r w:rsidRPr="00371C25">
        <w:rPr>
          <w:rFonts w:eastAsia="Malgun Gothic"/>
          <w:bCs/>
          <w:lang w:val="fr-FR"/>
        </w:rPr>
        <w:t xml:space="preserve"> prend de nombreuses formes</w:t>
      </w:r>
      <w:r>
        <w:rPr>
          <w:rFonts w:eastAsia="Malgun Gothic"/>
          <w:bCs/>
          <w:lang w:val="fr-FR"/>
        </w:rPr>
        <w:t xml:space="preserve"> selon</w:t>
      </w:r>
      <w:r w:rsidRPr="00371C25">
        <w:rPr>
          <w:rFonts w:eastAsia="Malgun Gothic"/>
          <w:bCs/>
          <w:lang w:val="fr-FR"/>
        </w:rPr>
        <w:t xml:space="preserve"> les régions et les époques et peut être élargi à d</w:t>
      </w:r>
      <w:r w:rsidR="00923E72">
        <w:rPr>
          <w:rFonts w:eastAsia="Malgun Gothic"/>
          <w:bCs/>
          <w:lang w:val="fr-FR"/>
        </w:rPr>
        <w:t>’</w:t>
      </w:r>
      <w:r w:rsidRPr="00371C25">
        <w:rPr>
          <w:rFonts w:eastAsia="Malgun Gothic"/>
          <w:bCs/>
          <w:lang w:val="fr-FR"/>
        </w:rPr>
        <w:t xml:space="preserve">autres </w:t>
      </w:r>
      <w:r>
        <w:rPr>
          <w:rFonts w:eastAsia="Malgun Gothic"/>
          <w:bCs/>
          <w:lang w:val="fr-FR"/>
        </w:rPr>
        <w:t>joueurs d</w:t>
      </w:r>
      <w:r w:rsidR="00923E72">
        <w:rPr>
          <w:rFonts w:eastAsia="Malgun Gothic"/>
          <w:bCs/>
          <w:lang w:val="fr-FR"/>
        </w:rPr>
        <w:t>’</w:t>
      </w:r>
      <w:r>
        <w:rPr>
          <w:rFonts w:eastAsia="Malgun Gothic"/>
          <w:bCs/>
          <w:lang w:val="fr-FR"/>
        </w:rPr>
        <w:t xml:space="preserve">instruments </w:t>
      </w:r>
      <w:r w:rsidRPr="00371C25">
        <w:rPr>
          <w:rFonts w:eastAsia="Malgun Gothic"/>
          <w:bCs/>
          <w:lang w:val="fr-FR"/>
        </w:rPr>
        <w:t xml:space="preserve">à cordes </w:t>
      </w:r>
      <w:r>
        <w:rPr>
          <w:rFonts w:eastAsia="Malgun Gothic"/>
          <w:bCs/>
          <w:lang w:val="fr-FR"/>
        </w:rPr>
        <w:t>et</w:t>
      </w:r>
      <w:r w:rsidRPr="00371C25">
        <w:rPr>
          <w:rFonts w:eastAsia="Malgun Gothic"/>
          <w:bCs/>
          <w:lang w:val="fr-FR"/>
        </w:rPr>
        <w:t xml:space="preserve"> </w:t>
      </w:r>
      <w:r>
        <w:rPr>
          <w:rFonts w:eastAsia="Malgun Gothic"/>
          <w:bCs/>
          <w:lang w:val="fr-FR"/>
        </w:rPr>
        <w:t>d</w:t>
      </w:r>
      <w:r w:rsidR="00923E72">
        <w:rPr>
          <w:rFonts w:eastAsia="Malgun Gothic"/>
          <w:bCs/>
          <w:lang w:val="fr-FR"/>
        </w:rPr>
        <w:t>’</w:t>
      </w:r>
      <w:r w:rsidRPr="00371C25">
        <w:rPr>
          <w:rFonts w:eastAsia="Malgun Gothic"/>
          <w:bCs/>
          <w:lang w:val="fr-FR"/>
        </w:rPr>
        <w:t>instruments à anche. Après avoir entamé un processus de dialogue sur le critère</w:t>
      </w:r>
      <w:r>
        <w:rPr>
          <w:rFonts w:eastAsia="Malgun Gothic"/>
          <w:bCs/>
          <w:lang w:val="fr-FR"/>
        </w:rPr>
        <w:t> </w:t>
      </w:r>
      <w:r w:rsidRPr="00371C25">
        <w:rPr>
          <w:rFonts w:eastAsia="Malgun Gothic"/>
          <w:bCs/>
          <w:lang w:val="fr-FR"/>
        </w:rPr>
        <w:t>R.3 relatif à la participation de la communauté à la planification et à la mise en œuvre des mesures de sauvegarde, l</w:t>
      </w:r>
      <w:r w:rsidR="00923E72">
        <w:rPr>
          <w:rFonts w:eastAsia="Malgun Gothic"/>
          <w:bCs/>
          <w:lang w:val="fr-FR"/>
        </w:rPr>
        <w:t>’</w:t>
      </w:r>
      <w:r w:rsidRPr="00371C25">
        <w:rPr>
          <w:rFonts w:eastAsia="Malgun Gothic"/>
          <w:bCs/>
          <w:lang w:val="fr-FR"/>
        </w:rPr>
        <w:t>Organe d</w:t>
      </w:r>
      <w:r w:rsidR="00923E72">
        <w:rPr>
          <w:rFonts w:eastAsia="Malgun Gothic"/>
          <w:bCs/>
          <w:lang w:val="fr-FR"/>
        </w:rPr>
        <w:t>’</w:t>
      </w:r>
      <w:r w:rsidRPr="00371C25">
        <w:rPr>
          <w:rFonts w:eastAsia="Malgun Gothic"/>
          <w:bCs/>
          <w:lang w:val="fr-FR"/>
        </w:rPr>
        <w:t>évaluation avait estimé que la candidature satisfaisait aux cinq critères</w:t>
      </w:r>
      <w:r>
        <w:rPr>
          <w:rFonts w:eastAsia="Malgun Gothic"/>
          <w:bCs/>
          <w:lang w:val="fr-FR"/>
        </w:rPr>
        <w:t>,</w:t>
      </w:r>
      <w:r w:rsidRPr="00371C25">
        <w:rPr>
          <w:rFonts w:eastAsia="Malgun Gothic"/>
          <w:bCs/>
          <w:lang w:val="fr-FR"/>
        </w:rPr>
        <w:t xml:space="preserve"> et recommandait l</w:t>
      </w:r>
      <w:r w:rsidR="00923E72">
        <w:rPr>
          <w:rFonts w:eastAsia="Malgun Gothic"/>
          <w:bCs/>
          <w:lang w:val="fr-FR"/>
        </w:rPr>
        <w:t>’</w:t>
      </w:r>
      <w:r w:rsidRPr="00371C25">
        <w:rPr>
          <w:rFonts w:eastAsia="Malgun Gothic"/>
          <w:bCs/>
          <w:lang w:val="fr-FR"/>
        </w:rPr>
        <w:t>inscription sur la Liste représentative.</w:t>
      </w:r>
    </w:p>
    <w:p w14:paraId="739F5C58" w14:textId="35C77302" w:rsidR="00371C25" w:rsidRDefault="00371C2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371C25">
        <w:rPr>
          <w:rFonts w:eastAsia="Malgun Gothic"/>
          <w:bCs/>
          <w:lang w:val="fr-FR"/>
        </w:rPr>
        <w:t xml:space="preserve">Le </w:t>
      </w:r>
      <w:r w:rsidRPr="00702497">
        <w:rPr>
          <w:rFonts w:eastAsia="Malgun Gothic"/>
          <w:b/>
          <w:lang w:val="fr-FR"/>
        </w:rPr>
        <w:t>Secrétaire</w:t>
      </w:r>
      <w:r w:rsidRPr="00371C25">
        <w:rPr>
          <w:rFonts w:eastAsia="Malgun Gothic"/>
          <w:bCs/>
          <w:lang w:val="fr-FR"/>
        </w:rPr>
        <w:t xml:space="preserve"> a informé le Comité que le Secrétariat avait été prié par l</w:t>
      </w:r>
      <w:r w:rsidR="00923E72">
        <w:rPr>
          <w:rFonts w:eastAsia="Malgun Gothic"/>
          <w:bCs/>
          <w:lang w:val="fr-FR"/>
        </w:rPr>
        <w:t>’</w:t>
      </w:r>
      <w:r w:rsidRPr="00371C25">
        <w:rPr>
          <w:rFonts w:eastAsia="Malgun Gothic"/>
          <w:bCs/>
          <w:lang w:val="fr-FR"/>
        </w:rPr>
        <w:t xml:space="preserve">État soumissionnaire de modifier le projet de décision. Le premier changement concernait le </w:t>
      </w:r>
      <w:r>
        <w:rPr>
          <w:rFonts w:eastAsia="Malgun Gothic"/>
          <w:bCs/>
          <w:lang w:val="fr-FR"/>
        </w:rPr>
        <w:t>m</w:t>
      </w:r>
      <w:r w:rsidRPr="00371C25">
        <w:rPr>
          <w:rFonts w:eastAsia="Malgun Gothic"/>
          <w:bCs/>
          <w:lang w:val="fr-FR"/>
        </w:rPr>
        <w:t xml:space="preserve">inistère des </w:t>
      </w:r>
      <w:r>
        <w:rPr>
          <w:rFonts w:eastAsia="Malgun Gothic"/>
          <w:bCs/>
          <w:lang w:val="fr-FR"/>
        </w:rPr>
        <w:t>Ressources h</w:t>
      </w:r>
      <w:r w:rsidRPr="00371C25">
        <w:rPr>
          <w:rFonts w:eastAsia="Malgun Gothic"/>
          <w:bCs/>
          <w:lang w:val="fr-FR"/>
        </w:rPr>
        <w:t>umaines</w:t>
      </w:r>
      <w:r w:rsidR="00787740">
        <w:rPr>
          <w:rFonts w:eastAsia="Malgun Gothic"/>
          <w:bCs/>
          <w:lang w:val="fr-FR"/>
        </w:rPr>
        <w:t xml:space="preserve">, </w:t>
      </w:r>
      <w:r w:rsidRPr="00371C25">
        <w:rPr>
          <w:rFonts w:eastAsia="Malgun Gothic"/>
          <w:bCs/>
          <w:lang w:val="fr-FR"/>
        </w:rPr>
        <w:t>mentionné dans le projet de décision</w:t>
      </w:r>
      <w:r w:rsidR="00787740">
        <w:rPr>
          <w:rFonts w:eastAsia="Malgun Gothic"/>
          <w:bCs/>
          <w:lang w:val="fr-FR"/>
        </w:rPr>
        <w:t>,</w:t>
      </w:r>
      <w:r w:rsidRPr="00371C25">
        <w:rPr>
          <w:rFonts w:eastAsia="Malgun Gothic"/>
          <w:bCs/>
          <w:lang w:val="fr-FR"/>
        </w:rPr>
        <w:t xml:space="preserve"> </w:t>
      </w:r>
      <w:r w:rsidR="00787740">
        <w:rPr>
          <w:rFonts w:eastAsia="Malgun Gothic"/>
          <w:bCs/>
          <w:lang w:val="fr-FR"/>
        </w:rPr>
        <w:t>devenu</w:t>
      </w:r>
      <w:r w:rsidRPr="00371C25">
        <w:rPr>
          <w:rFonts w:eastAsia="Malgun Gothic"/>
          <w:bCs/>
          <w:lang w:val="fr-FR"/>
        </w:rPr>
        <w:t xml:space="preserve"> </w:t>
      </w:r>
      <w:r w:rsidR="00787740">
        <w:rPr>
          <w:rFonts w:eastAsia="Malgun Gothic"/>
          <w:bCs/>
          <w:lang w:val="fr-FR"/>
        </w:rPr>
        <w:t>m</w:t>
      </w:r>
      <w:r w:rsidRPr="00371C25">
        <w:rPr>
          <w:rFonts w:eastAsia="Malgun Gothic"/>
          <w:bCs/>
          <w:lang w:val="fr-FR"/>
        </w:rPr>
        <w:t>inistère de la Culture et de l</w:t>
      </w:r>
      <w:r w:rsidR="00923E72">
        <w:rPr>
          <w:rFonts w:eastAsia="Malgun Gothic"/>
          <w:bCs/>
          <w:lang w:val="fr-FR"/>
        </w:rPr>
        <w:t>’</w:t>
      </w:r>
      <w:r w:rsidRPr="00371C25">
        <w:rPr>
          <w:rFonts w:eastAsia="Malgun Gothic"/>
          <w:bCs/>
          <w:lang w:val="fr-FR"/>
        </w:rPr>
        <w:t>Innovation, et le second changement concernait le Comité d</w:t>
      </w:r>
      <w:r w:rsidR="00923E72">
        <w:rPr>
          <w:rFonts w:eastAsia="Malgun Gothic"/>
          <w:bCs/>
          <w:lang w:val="fr-FR"/>
        </w:rPr>
        <w:t>’</w:t>
      </w:r>
      <w:r w:rsidRPr="00371C25">
        <w:rPr>
          <w:rFonts w:eastAsia="Malgun Gothic"/>
          <w:bCs/>
          <w:lang w:val="fr-FR"/>
        </w:rPr>
        <w:t>experts du patrimoine culturel immatériel de la Commission nationale hongroise pour l</w:t>
      </w:r>
      <w:r w:rsidR="00923E72">
        <w:rPr>
          <w:rFonts w:eastAsia="Malgun Gothic"/>
          <w:bCs/>
          <w:lang w:val="fr-FR"/>
        </w:rPr>
        <w:t>’</w:t>
      </w:r>
      <w:r w:rsidRPr="00371C25">
        <w:rPr>
          <w:rFonts w:eastAsia="Malgun Gothic"/>
          <w:bCs/>
          <w:lang w:val="fr-FR"/>
        </w:rPr>
        <w:t xml:space="preserve">UNESCO devenu Comité national hongrois </w:t>
      </w:r>
      <w:r w:rsidR="00787740">
        <w:rPr>
          <w:rFonts w:eastAsia="Malgun Gothic"/>
          <w:bCs/>
          <w:lang w:val="fr-FR"/>
        </w:rPr>
        <w:t>du</w:t>
      </w:r>
      <w:r w:rsidRPr="00371C25">
        <w:rPr>
          <w:rFonts w:eastAsia="Malgun Gothic"/>
          <w:bCs/>
          <w:lang w:val="fr-FR"/>
        </w:rPr>
        <w:t xml:space="preserve"> patrimoine culturel immatériel de la Commission nationale hongroise pour l</w:t>
      </w:r>
      <w:r w:rsidR="00923E72">
        <w:rPr>
          <w:rFonts w:eastAsia="Malgun Gothic"/>
          <w:bCs/>
          <w:lang w:val="fr-FR"/>
        </w:rPr>
        <w:t>’</w:t>
      </w:r>
      <w:r w:rsidRPr="00371C25">
        <w:rPr>
          <w:rFonts w:eastAsia="Malgun Gothic"/>
          <w:bCs/>
          <w:lang w:val="fr-FR"/>
        </w:rPr>
        <w:t>UNESCO.</w:t>
      </w:r>
    </w:p>
    <w:p w14:paraId="3EEAB0E1" w14:textId="5EC8DCDC" w:rsidR="00787740" w:rsidRDefault="0078774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lastRenderedPageBreak/>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656E30">
        <w:rPr>
          <w:rFonts w:eastAsia="Malgun Gothic"/>
          <w:b/>
          <w:lang w:val="fr-FR"/>
        </w:rPr>
        <w:t> </w:t>
      </w:r>
      <w:r w:rsidR="00751FB1">
        <w:fldChar w:fldCharType="begin"/>
      </w:r>
      <w:r w:rsidR="00751FB1" w:rsidRPr="00751FB1">
        <w:rPr>
          <w:lang w:val="fr-FR"/>
        </w:rPr>
        <w:instrText>HYPERLINK "https://ich.unesco.org/fr/Decisions/17.COM/7.b.14"</w:instrText>
      </w:r>
      <w:r w:rsidR="00751FB1">
        <w:fldChar w:fldCharType="separate"/>
      </w:r>
      <w:r w:rsidRPr="006E3034">
        <w:rPr>
          <w:rStyle w:val="Hyperlink"/>
          <w:b/>
          <w:bCs/>
          <w:lang w:val="fr-FR"/>
        </w:rPr>
        <w:t>17.COM 7.b.14</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C90815">
        <w:rPr>
          <w:rFonts w:eastAsia="Malgun Gothic"/>
          <w:b/>
          <w:lang w:val="fr-FR"/>
        </w:rPr>
        <w:t>la tradition de l</w:t>
      </w:r>
      <w:r w:rsidR="00923E72">
        <w:rPr>
          <w:rFonts w:eastAsia="Malgun Gothic"/>
          <w:b/>
          <w:lang w:val="fr-FR"/>
        </w:rPr>
        <w:t>’</w:t>
      </w:r>
      <w:r w:rsidRPr="00C90815">
        <w:rPr>
          <w:rFonts w:eastAsia="Malgun Gothic"/>
          <w:b/>
          <w:lang w:val="fr-FR"/>
        </w:rPr>
        <w:t>ensemble à cordes hongrois</w:t>
      </w:r>
      <w:r>
        <w:rPr>
          <w:rFonts w:eastAsia="Malgun Gothic"/>
          <w:b/>
          <w:lang w:val="fr-FR"/>
        </w:rPr>
        <w:t xml:space="preserve"> sur la Liste représentative</w:t>
      </w:r>
      <w:r>
        <w:rPr>
          <w:rFonts w:eastAsia="Malgun Gothic"/>
          <w:bCs/>
          <w:lang w:val="fr-FR"/>
        </w:rPr>
        <w:t>.</w:t>
      </w:r>
    </w:p>
    <w:p w14:paraId="5CCDDA6E" w14:textId="78EC3E44" w:rsidR="00787740" w:rsidRDefault="008E6BD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8E6BD6">
        <w:rPr>
          <w:rFonts w:eastAsia="Malgun Gothic"/>
          <w:bCs/>
          <w:lang w:val="fr-FR"/>
        </w:rPr>
        <w:t xml:space="preserve">La délégation de la </w:t>
      </w:r>
      <w:r w:rsidRPr="00702497">
        <w:rPr>
          <w:rFonts w:eastAsia="Malgun Gothic"/>
          <w:b/>
          <w:lang w:val="fr-FR"/>
        </w:rPr>
        <w:t>Hongrie</w:t>
      </w:r>
      <w:r w:rsidRPr="008E6BD6">
        <w:rPr>
          <w:rFonts w:eastAsia="Malgun Gothic"/>
          <w:bCs/>
          <w:lang w:val="fr-FR"/>
        </w:rPr>
        <w:t xml:space="preserve"> a remercié le Maroc pour sa remarquable hospitalité dans ce merveilleux pays. Au nom de la Maison du patrimoine hongrois, des détenteurs de l</w:t>
      </w:r>
      <w:r w:rsidR="00923E72">
        <w:rPr>
          <w:rFonts w:eastAsia="Malgun Gothic"/>
          <w:bCs/>
          <w:lang w:val="fr-FR"/>
        </w:rPr>
        <w:t>’</w:t>
      </w:r>
      <w:r w:rsidRPr="008E6BD6">
        <w:rPr>
          <w:rFonts w:eastAsia="Malgun Gothic"/>
          <w:bCs/>
          <w:lang w:val="fr-FR"/>
        </w:rPr>
        <w:t>élément et des musiciens des ensembles à cordes, la délégation, représentée par le président du Comité national hongrois du patrimoine culturel immatériel, a remercié le Secrétariat et l</w:t>
      </w:r>
      <w:r w:rsidR="00923E72">
        <w:rPr>
          <w:rFonts w:eastAsia="Malgun Gothic"/>
          <w:bCs/>
          <w:lang w:val="fr-FR"/>
        </w:rPr>
        <w:t>’</w:t>
      </w:r>
      <w:r w:rsidRPr="008E6BD6">
        <w:rPr>
          <w:rFonts w:eastAsia="Malgun Gothic"/>
          <w:bCs/>
          <w:lang w:val="fr-FR"/>
        </w:rPr>
        <w:t>Organe d</w:t>
      </w:r>
      <w:r w:rsidR="00923E72">
        <w:rPr>
          <w:rFonts w:eastAsia="Malgun Gothic"/>
          <w:bCs/>
          <w:lang w:val="fr-FR"/>
        </w:rPr>
        <w:t>’</w:t>
      </w:r>
      <w:r w:rsidRPr="008E6BD6">
        <w:rPr>
          <w:rFonts w:eastAsia="Malgun Gothic"/>
          <w:bCs/>
          <w:lang w:val="fr-FR"/>
        </w:rPr>
        <w:t>évaluation pour leur travail ainsi que le Comité pour leur soutien et leur décision d</w:t>
      </w:r>
      <w:r w:rsidR="00923E72">
        <w:rPr>
          <w:rFonts w:eastAsia="Malgun Gothic"/>
          <w:bCs/>
          <w:lang w:val="fr-FR"/>
        </w:rPr>
        <w:t>’</w:t>
      </w:r>
      <w:r w:rsidRPr="008E6BD6">
        <w:rPr>
          <w:rFonts w:eastAsia="Malgun Gothic"/>
          <w:bCs/>
          <w:lang w:val="fr-FR"/>
        </w:rPr>
        <w:t>inscrire l</w:t>
      </w:r>
      <w:r w:rsidR="00923E72">
        <w:rPr>
          <w:rFonts w:eastAsia="Malgun Gothic"/>
          <w:bCs/>
          <w:lang w:val="fr-FR"/>
        </w:rPr>
        <w:t>’</w:t>
      </w:r>
      <w:r w:rsidRPr="008E6BD6">
        <w:rPr>
          <w:rFonts w:eastAsia="Malgun Gothic"/>
          <w:bCs/>
          <w:lang w:val="fr-FR"/>
        </w:rPr>
        <w:t>un de ses éléments sur la Liste représentative. Cette reconnaissance internationale était un grand honneur pour la Hongrie et renforçait son engagement envers la communauté des musiciens d</w:t>
      </w:r>
      <w:r w:rsidR="00923E72">
        <w:rPr>
          <w:rFonts w:eastAsia="Malgun Gothic"/>
          <w:bCs/>
          <w:lang w:val="fr-FR"/>
        </w:rPr>
        <w:t>’</w:t>
      </w:r>
      <w:r w:rsidRPr="008E6BD6">
        <w:rPr>
          <w:rFonts w:eastAsia="Malgun Gothic"/>
          <w:bCs/>
          <w:lang w:val="fr-FR"/>
        </w:rPr>
        <w:t>ensembles à cordes afin qu</w:t>
      </w:r>
      <w:r w:rsidR="00923E72">
        <w:rPr>
          <w:rFonts w:eastAsia="Malgun Gothic"/>
          <w:bCs/>
          <w:lang w:val="fr-FR"/>
        </w:rPr>
        <w:t>’</w:t>
      </w:r>
      <w:r w:rsidRPr="008E6BD6">
        <w:rPr>
          <w:rFonts w:eastAsia="Malgun Gothic"/>
          <w:bCs/>
          <w:lang w:val="fr-FR"/>
        </w:rPr>
        <w:t>ils continuent à pratiquer leur tradition d</w:t>
      </w:r>
      <w:r w:rsidR="00923E72">
        <w:rPr>
          <w:rFonts w:eastAsia="Malgun Gothic"/>
          <w:bCs/>
          <w:lang w:val="fr-FR"/>
        </w:rPr>
        <w:t>’</w:t>
      </w:r>
      <w:r w:rsidRPr="008E6BD6">
        <w:rPr>
          <w:rFonts w:eastAsia="Malgun Gothic"/>
          <w:bCs/>
          <w:lang w:val="fr-FR"/>
        </w:rPr>
        <w:t>art folklorique et à la transmettre de génération en génération. Avec l</w:t>
      </w:r>
      <w:r w:rsidR="00923E72">
        <w:rPr>
          <w:rFonts w:eastAsia="Malgun Gothic"/>
          <w:bCs/>
          <w:lang w:val="fr-FR"/>
        </w:rPr>
        <w:t>’</w:t>
      </w:r>
      <w:r w:rsidRPr="008E6BD6">
        <w:rPr>
          <w:rFonts w:eastAsia="Malgun Gothic"/>
          <w:bCs/>
          <w:lang w:val="fr-FR"/>
        </w:rPr>
        <w:t>inscription de l</w:t>
      </w:r>
      <w:r w:rsidR="00923E72">
        <w:rPr>
          <w:rFonts w:eastAsia="Malgun Gothic"/>
          <w:bCs/>
          <w:lang w:val="fr-FR"/>
        </w:rPr>
        <w:t>’</w:t>
      </w:r>
      <w:r w:rsidRPr="008E6BD6">
        <w:rPr>
          <w:rFonts w:eastAsia="Malgun Gothic"/>
          <w:bCs/>
          <w:lang w:val="fr-FR"/>
        </w:rPr>
        <w:t xml:space="preserve">élément, elle renforçait également la diffusion de la méthode des </w:t>
      </w:r>
      <w:r>
        <w:rPr>
          <w:rFonts w:eastAsia="Malgun Gothic"/>
          <w:bCs/>
          <w:lang w:val="fr-FR"/>
        </w:rPr>
        <w:t>« </w:t>
      </w:r>
      <w:r w:rsidRPr="008E6BD6">
        <w:rPr>
          <w:rFonts w:eastAsia="Malgun Gothic"/>
          <w:bCs/>
          <w:lang w:val="fr-FR"/>
        </w:rPr>
        <w:t>maisons de danse</w:t>
      </w:r>
      <w:r>
        <w:rPr>
          <w:rFonts w:eastAsia="Malgun Gothic"/>
          <w:bCs/>
          <w:lang w:val="fr-FR"/>
        </w:rPr>
        <w:t> »</w:t>
      </w:r>
      <w:r w:rsidRPr="008E6BD6">
        <w:rPr>
          <w:rFonts w:eastAsia="Malgun Gothic"/>
          <w:bCs/>
          <w:lang w:val="fr-FR"/>
        </w:rPr>
        <w:t>, qui figur</w:t>
      </w:r>
      <w:r>
        <w:rPr>
          <w:rFonts w:eastAsia="Malgun Gothic"/>
          <w:bCs/>
          <w:lang w:val="fr-FR"/>
        </w:rPr>
        <w:t>ait</w:t>
      </w:r>
      <w:r w:rsidRPr="008E6BD6">
        <w:rPr>
          <w:rFonts w:eastAsia="Malgun Gothic"/>
          <w:bCs/>
          <w:lang w:val="fr-FR"/>
        </w:rPr>
        <w:t xml:space="preserve"> déjà sur le Registre des bonnes pratiques de sauvegarde de l</w:t>
      </w:r>
      <w:r w:rsidR="00923E72">
        <w:rPr>
          <w:rFonts w:eastAsia="Malgun Gothic"/>
          <w:bCs/>
          <w:lang w:val="fr-FR"/>
        </w:rPr>
        <w:t>’</w:t>
      </w:r>
      <w:r w:rsidRPr="008E6BD6">
        <w:rPr>
          <w:rFonts w:eastAsia="Malgun Gothic"/>
          <w:bCs/>
          <w:lang w:val="fr-FR"/>
        </w:rPr>
        <w:t>UNESCO et dans laquelle la musique des ensembles à cordes joue un rôle prépondérant. Elle a remercié le mouvement des traditions de musique et de danse folkloriques en Hongrie, qui sont aujourd</w:t>
      </w:r>
      <w:r w:rsidR="00923E72">
        <w:rPr>
          <w:rFonts w:eastAsia="Malgun Gothic"/>
          <w:bCs/>
          <w:lang w:val="fr-FR"/>
        </w:rPr>
        <w:t>’</w:t>
      </w:r>
      <w:r w:rsidRPr="008E6BD6">
        <w:rPr>
          <w:rFonts w:eastAsia="Malgun Gothic"/>
          <w:bCs/>
          <w:lang w:val="fr-FR"/>
        </w:rPr>
        <w:t>hui des patrimoines vivants.</w:t>
      </w:r>
    </w:p>
    <w:p w14:paraId="47CFF53B" w14:textId="1A1DAF0A" w:rsidR="008E6BD6" w:rsidRPr="00702497" w:rsidRDefault="008E6BD6" w:rsidP="00702497">
      <w:pPr>
        <w:pStyle w:val="Orateurengris"/>
        <w:tabs>
          <w:tab w:val="clear" w:pos="709"/>
          <w:tab w:val="clear" w:pos="1418"/>
          <w:tab w:val="clear" w:pos="2126"/>
          <w:tab w:val="clear" w:pos="2835"/>
          <w:tab w:val="num" w:pos="851"/>
          <w:tab w:val="left" w:pos="4962"/>
        </w:tabs>
        <w:spacing w:before="120" w:after="0"/>
        <w:ind w:left="851" w:hanging="851"/>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1937D143" w14:textId="70117C94" w:rsidR="008E6BD6" w:rsidRDefault="00F46139"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F46139">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F46139">
        <w:rPr>
          <w:rFonts w:eastAsia="Malgun Gothic"/>
          <w:bCs/>
          <w:lang w:val="fr-FR"/>
        </w:rPr>
        <w:t xml:space="preserve"> a présenté le dossier de candidature suivant, </w:t>
      </w:r>
      <w:r w:rsidRPr="00702497">
        <w:rPr>
          <w:rFonts w:eastAsia="Malgun Gothic"/>
          <w:b/>
          <w:lang w:val="fr-FR"/>
        </w:rPr>
        <w:t>les connaissances et les pratiques liées à la culture du café Khawlani</w:t>
      </w:r>
      <w:r w:rsidRPr="00F46139">
        <w:rPr>
          <w:rFonts w:eastAsia="Malgun Gothic"/>
          <w:bCs/>
          <w:lang w:val="fr-FR"/>
        </w:rPr>
        <w:t xml:space="preserve"> [projet de décision</w:t>
      </w:r>
      <w:r w:rsidR="00A01BFA">
        <w:rPr>
          <w:rFonts w:eastAsia="Malgun Gothic"/>
          <w:bCs/>
          <w:lang w:val="fr-FR"/>
        </w:rPr>
        <w:t> </w:t>
      </w:r>
      <w:r w:rsidRPr="00F46139">
        <w:rPr>
          <w:rFonts w:eastAsia="Malgun Gothic"/>
          <w:bCs/>
          <w:lang w:val="fr-FR"/>
        </w:rPr>
        <w:t>7.b.24], soumis par l</w:t>
      </w:r>
      <w:r w:rsidR="00923E72">
        <w:rPr>
          <w:rFonts w:eastAsia="Malgun Gothic"/>
          <w:bCs/>
          <w:lang w:val="fr-FR"/>
        </w:rPr>
        <w:t>’</w:t>
      </w:r>
      <w:r w:rsidRPr="00702497">
        <w:rPr>
          <w:rFonts w:eastAsia="Malgun Gothic"/>
          <w:b/>
          <w:lang w:val="fr-FR"/>
        </w:rPr>
        <w:t>Arabie</w:t>
      </w:r>
      <w:r w:rsidR="00A01BFA">
        <w:rPr>
          <w:rFonts w:eastAsia="Malgun Gothic"/>
          <w:b/>
          <w:lang w:val="fr-FR"/>
        </w:rPr>
        <w:t> </w:t>
      </w:r>
      <w:r w:rsidRPr="00702497">
        <w:rPr>
          <w:rFonts w:eastAsia="Malgun Gothic"/>
          <w:b/>
          <w:lang w:val="fr-FR"/>
        </w:rPr>
        <w:t>saoudite</w:t>
      </w:r>
      <w:r w:rsidRPr="00F46139">
        <w:rPr>
          <w:rFonts w:eastAsia="Malgun Gothic"/>
          <w:bCs/>
          <w:lang w:val="fr-FR"/>
        </w:rPr>
        <w:t xml:space="preserve">, expliquant que la culture </w:t>
      </w:r>
      <w:r>
        <w:rPr>
          <w:rFonts w:eastAsia="Malgun Gothic"/>
          <w:bCs/>
          <w:lang w:val="fr-FR"/>
        </w:rPr>
        <w:t xml:space="preserve">du </w:t>
      </w:r>
      <w:r w:rsidRPr="00F46139">
        <w:rPr>
          <w:rFonts w:eastAsia="Malgun Gothic"/>
          <w:bCs/>
          <w:lang w:val="fr-FR"/>
        </w:rPr>
        <w:t xml:space="preserve">café Khawlani commence par la plantation des graines dans des sacs en </w:t>
      </w:r>
      <w:r>
        <w:rPr>
          <w:rFonts w:eastAsia="Malgun Gothic"/>
          <w:bCs/>
          <w:lang w:val="fr-FR"/>
        </w:rPr>
        <w:t xml:space="preserve">toile </w:t>
      </w:r>
      <w:r w:rsidRPr="00F46139">
        <w:rPr>
          <w:rFonts w:eastAsia="Malgun Gothic"/>
          <w:bCs/>
          <w:lang w:val="fr-FR"/>
        </w:rPr>
        <w:t xml:space="preserve">remplis de terre et </w:t>
      </w:r>
      <w:r>
        <w:rPr>
          <w:rFonts w:eastAsia="Malgun Gothic"/>
          <w:bCs/>
          <w:lang w:val="fr-FR"/>
        </w:rPr>
        <w:t>entreposés à l</w:t>
      </w:r>
      <w:r w:rsidR="00923E72">
        <w:rPr>
          <w:rFonts w:eastAsia="Malgun Gothic"/>
          <w:bCs/>
          <w:lang w:val="fr-FR"/>
        </w:rPr>
        <w:t>’</w:t>
      </w:r>
      <w:r>
        <w:rPr>
          <w:rFonts w:eastAsia="Malgun Gothic"/>
          <w:bCs/>
          <w:lang w:val="fr-FR"/>
        </w:rPr>
        <w:t xml:space="preserve">ombre </w:t>
      </w:r>
      <w:r w:rsidRPr="00F46139">
        <w:rPr>
          <w:rFonts w:eastAsia="Malgun Gothic"/>
          <w:bCs/>
          <w:lang w:val="fr-FR"/>
        </w:rPr>
        <w:t>pendant trois à quatre mois</w:t>
      </w:r>
      <w:r w:rsidR="00A01BFA">
        <w:rPr>
          <w:rFonts w:eastAsia="Malgun Gothic"/>
          <w:bCs/>
          <w:lang w:val="fr-FR"/>
        </w:rPr>
        <w:t>, qui s</w:t>
      </w:r>
      <w:r w:rsidRPr="00F46139">
        <w:rPr>
          <w:rFonts w:eastAsia="Malgun Gothic"/>
          <w:bCs/>
          <w:lang w:val="fr-FR"/>
        </w:rPr>
        <w:t>ont ensuite transférés sur des terrasses agricoles qui conservent l</w:t>
      </w:r>
      <w:r w:rsidR="00923E72">
        <w:rPr>
          <w:rFonts w:eastAsia="Malgun Gothic"/>
          <w:bCs/>
          <w:lang w:val="fr-FR"/>
        </w:rPr>
        <w:t>’</w:t>
      </w:r>
      <w:r w:rsidRPr="00F46139">
        <w:rPr>
          <w:rFonts w:eastAsia="Malgun Gothic"/>
          <w:bCs/>
          <w:lang w:val="fr-FR"/>
        </w:rPr>
        <w:t>eau et l</w:t>
      </w:r>
      <w:r w:rsidR="00181127">
        <w:rPr>
          <w:rFonts w:eastAsia="Malgun Gothic"/>
          <w:bCs/>
          <w:lang w:val="fr-FR"/>
        </w:rPr>
        <w:t xml:space="preserve">a qualité du </w:t>
      </w:r>
      <w:r w:rsidRPr="00F46139">
        <w:rPr>
          <w:rFonts w:eastAsia="Malgun Gothic"/>
          <w:bCs/>
          <w:lang w:val="fr-FR"/>
        </w:rPr>
        <w:t>sol. Il a précisé que les tribus Khawlani cultivent les grains de café depuis plus de 300 ans, qu</w:t>
      </w:r>
      <w:r w:rsidR="00923E72">
        <w:rPr>
          <w:rFonts w:eastAsia="Malgun Gothic"/>
          <w:bCs/>
          <w:lang w:val="fr-FR"/>
        </w:rPr>
        <w:t>’</w:t>
      </w:r>
      <w:r w:rsidRPr="00F46139">
        <w:rPr>
          <w:rFonts w:eastAsia="Malgun Gothic"/>
          <w:bCs/>
          <w:lang w:val="fr-FR"/>
        </w:rPr>
        <w:t>elles transmettent le</w:t>
      </w:r>
      <w:r w:rsidR="00181127">
        <w:rPr>
          <w:rFonts w:eastAsia="Malgun Gothic"/>
          <w:bCs/>
          <w:lang w:val="fr-FR"/>
        </w:rPr>
        <w:t>ur</w:t>
      </w:r>
      <w:r w:rsidRPr="00F46139">
        <w:rPr>
          <w:rFonts w:eastAsia="Malgun Gothic"/>
          <w:bCs/>
          <w:lang w:val="fr-FR"/>
        </w:rPr>
        <w:t xml:space="preserve"> savoir-faire et le</w:t>
      </w:r>
      <w:r w:rsidR="00181127">
        <w:rPr>
          <w:rFonts w:eastAsia="Malgun Gothic"/>
          <w:bCs/>
          <w:lang w:val="fr-FR"/>
        </w:rPr>
        <w:t>s</w:t>
      </w:r>
      <w:r w:rsidRPr="00F46139">
        <w:rPr>
          <w:rFonts w:eastAsia="Malgun Gothic"/>
          <w:bCs/>
          <w:lang w:val="fr-FR"/>
        </w:rPr>
        <w:t xml:space="preserve"> techniques </w:t>
      </w:r>
      <w:r w:rsidR="00181127">
        <w:rPr>
          <w:rFonts w:eastAsia="Malgun Gothic"/>
          <w:bCs/>
          <w:lang w:val="fr-FR"/>
        </w:rPr>
        <w:t xml:space="preserve">associées </w:t>
      </w:r>
      <w:r w:rsidRPr="00F46139">
        <w:rPr>
          <w:rFonts w:eastAsia="Malgun Gothic"/>
          <w:bCs/>
          <w:lang w:val="fr-FR"/>
        </w:rPr>
        <w:t xml:space="preserve">aux jeunes générations et que le café est </w:t>
      </w:r>
      <w:r w:rsidR="00181127">
        <w:rPr>
          <w:rFonts w:eastAsia="Malgun Gothic"/>
          <w:bCs/>
          <w:lang w:val="fr-FR"/>
        </w:rPr>
        <w:t xml:space="preserve">considéré </w:t>
      </w:r>
      <w:r w:rsidRPr="00F46139">
        <w:rPr>
          <w:rFonts w:eastAsia="Malgun Gothic"/>
          <w:bCs/>
          <w:lang w:val="fr-FR"/>
        </w:rPr>
        <w:t xml:space="preserve">comme un symbole de générosité en Arabie saoudite, où servir à ses invités </w:t>
      </w:r>
      <w:r w:rsidR="00181127">
        <w:rPr>
          <w:rFonts w:eastAsia="Malgun Gothic"/>
          <w:bCs/>
          <w:lang w:val="fr-FR"/>
        </w:rPr>
        <w:t xml:space="preserve">du </w:t>
      </w:r>
      <w:r w:rsidRPr="00F46139">
        <w:rPr>
          <w:rFonts w:eastAsia="Malgun Gothic"/>
          <w:bCs/>
          <w:lang w:val="fr-FR"/>
        </w:rPr>
        <w:t xml:space="preserve">café récolté </w:t>
      </w:r>
      <w:r w:rsidR="00181127">
        <w:rPr>
          <w:rFonts w:eastAsia="Malgun Gothic"/>
          <w:bCs/>
          <w:lang w:val="fr-FR"/>
        </w:rPr>
        <w:t xml:space="preserve">sur sa propre plantation </w:t>
      </w:r>
      <w:r w:rsidRPr="00F46139">
        <w:rPr>
          <w:rFonts w:eastAsia="Malgun Gothic"/>
          <w:bCs/>
          <w:lang w:val="fr-FR"/>
        </w:rPr>
        <w:t>est considéré comme un</w:t>
      </w:r>
      <w:r w:rsidR="00181127">
        <w:rPr>
          <w:rFonts w:eastAsia="Malgun Gothic"/>
          <w:bCs/>
          <w:lang w:val="fr-FR"/>
        </w:rPr>
        <w:t xml:space="preserve">e marque </w:t>
      </w:r>
      <w:r w:rsidRPr="00F46139">
        <w:rPr>
          <w:rFonts w:eastAsia="Malgun Gothic"/>
          <w:bCs/>
          <w:lang w:val="fr-FR"/>
        </w:rPr>
        <w:t>d</w:t>
      </w:r>
      <w:r w:rsidR="00923E72">
        <w:rPr>
          <w:rFonts w:eastAsia="Malgun Gothic"/>
          <w:bCs/>
          <w:lang w:val="fr-FR"/>
        </w:rPr>
        <w:t>’</w:t>
      </w:r>
      <w:r w:rsidRPr="00F46139">
        <w:rPr>
          <w:rFonts w:eastAsia="Malgun Gothic"/>
          <w:bCs/>
          <w:lang w:val="fr-FR"/>
        </w:rPr>
        <w:t>honneur et de respect. L</w:t>
      </w:r>
      <w:r w:rsidR="00923E72">
        <w:rPr>
          <w:rFonts w:eastAsia="Malgun Gothic"/>
          <w:bCs/>
          <w:lang w:val="fr-FR"/>
        </w:rPr>
        <w:t>’</w:t>
      </w:r>
      <w:r w:rsidRPr="00F46139">
        <w:rPr>
          <w:rFonts w:eastAsia="Malgun Gothic"/>
          <w:bCs/>
          <w:lang w:val="fr-FR"/>
        </w:rPr>
        <w:t>Organe d</w:t>
      </w:r>
      <w:r w:rsidR="00923E72">
        <w:rPr>
          <w:rFonts w:eastAsia="Malgun Gothic"/>
          <w:bCs/>
          <w:lang w:val="fr-FR"/>
        </w:rPr>
        <w:t>’</w:t>
      </w:r>
      <w:r w:rsidRPr="00F46139">
        <w:rPr>
          <w:rFonts w:eastAsia="Malgun Gothic"/>
          <w:bCs/>
          <w:lang w:val="fr-FR"/>
        </w:rPr>
        <w:t>évaluation a indiqué que l</w:t>
      </w:r>
      <w:r w:rsidR="00923E72">
        <w:rPr>
          <w:rFonts w:eastAsia="Malgun Gothic"/>
          <w:bCs/>
          <w:lang w:val="fr-FR"/>
        </w:rPr>
        <w:t>’</w:t>
      </w:r>
      <w:r w:rsidRPr="00F46139">
        <w:rPr>
          <w:rFonts w:eastAsia="Malgun Gothic"/>
          <w:bCs/>
          <w:lang w:val="fr-FR"/>
        </w:rPr>
        <w:t>État partie avait présenté un précédent dossier en</w:t>
      </w:r>
      <w:r w:rsidR="00AF6B98">
        <w:rPr>
          <w:rFonts w:eastAsia="Malgun Gothic"/>
          <w:bCs/>
          <w:lang w:val="fr-FR"/>
        </w:rPr>
        <w:t> </w:t>
      </w:r>
      <w:r w:rsidRPr="00F46139">
        <w:rPr>
          <w:rFonts w:eastAsia="Malgun Gothic"/>
          <w:bCs/>
          <w:lang w:val="fr-FR"/>
        </w:rPr>
        <w:t>2019 qui avait été renvoyé par le Comité en</w:t>
      </w:r>
      <w:r w:rsidR="00AF6B98">
        <w:rPr>
          <w:rFonts w:eastAsia="Malgun Gothic"/>
          <w:bCs/>
          <w:lang w:val="fr-FR"/>
        </w:rPr>
        <w:t> </w:t>
      </w:r>
      <w:r w:rsidRPr="00F46139">
        <w:rPr>
          <w:rFonts w:eastAsia="Malgun Gothic"/>
          <w:bCs/>
          <w:lang w:val="fr-FR"/>
        </w:rPr>
        <w:t>2020 à la suite de sa recommandation. Après ce renvoi, l</w:t>
      </w:r>
      <w:r w:rsidR="00923E72">
        <w:rPr>
          <w:rFonts w:eastAsia="Malgun Gothic"/>
          <w:bCs/>
          <w:lang w:val="fr-FR"/>
        </w:rPr>
        <w:t>’</w:t>
      </w:r>
      <w:r w:rsidRPr="00F46139">
        <w:rPr>
          <w:rFonts w:eastAsia="Malgun Gothic"/>
          <w:bCs/>
          <w:lang w:val="fr-FR"/>
        </w:rPr>
        <w:t>État partie avait présenté une nouvelle version du dossier de candidature qui était très bien rédigée et comprenait des plans pour l</w:t>
      </w:r>
      <w:r w:rsidR="00923E72">
        <w:rPr>
          <w:rFonts w:eastAsia="Malgun Gothic"/>
          <w:bCs/>
          <w:lang w:val="fr-FR"/>
        </w:rPr>
        <w:t>’</w:t>
      </w:r>
      <w:r w:rsidRPr="00F46139">
        <w:rPr>
          <w:rFonts w:eastAsia="Malgun Gothic"/>
          <w:bCs/>
          <w:lang w:val="fr-FR"/>
        </w:rPr>
        <w:t xml:space="preserve">utilisation de formes </w:t>
      </w:r>
      <w:r w:rsidR="00181127">
        <w:rPr>
          <w:rFonts w:eastAsia="Malgun Gothic"/>
          <w:bCs/>
          <w:lang w:val="fr-FR"/>
        </w:rPr>
        <w:t xml:space="preserve">durables </w:t>
      </w:r>
      <w:r w:rsidRPr="00F46139">
        <w:rPr>
          <w:rFonts w:eastAsia="Malgun Gothic"/>
          <w:bCs/>
          <w:lang w:val="fr-FR"/>
        </w:rPr>
        <w:t xml:space="preserve">de tourisme impliquant les communautés locales et le suivi des éventuelles </w:t>
      </w:r>
      <w:r w:rsidR="00181127">
        <w:rPr>
          <w:rFonts w:eastAsia="Malgun Gothic"/>
          <w:bCs/>
          <w:lang w:val="fr-FR"/>
        </w:rPr>
        <w:t xml:space="preserve">répercussions </w:t>
      </w:r>
      <w:r w:rsidRPr="00F46139">
        <w:rPr>
          <w:rFonts w:eastAsia="Malgun Gothic"/>
          <w:bCs/>
          <w:lang w:val="fr-FR"/>
        </w:rPr>
        <w:t>involontaires de l</w:t>
      </w:r>
      <w:r w:rsidR="00923E72">
        <w:rPr>
          <w:rFonts w:eastAsia="Malgun Gothic"/>
          <w:bCs/>
          <w:lang w:val="fr-FR"/>
        </w:rPr>
        <w:t>’</w:t>
      </w:r>
      <w:r w:rsidRPr="00F46139">
        <w:rPr>
          <w:rFonts w:eastAsia="Malgun Gothic"/>
          <w:bCs/>
          <w:lang w:val="fr-FR"/>
        </w:rPr>
        <w:t>inscription liées au tourisme et à la commercialisation excessive. Ce dossier démontrait l</w:t>
      </w:r>
      <w:r w:rsidR="00923E72">
        <w:rPr>
          <w:rFonts w:eastAsia="Malgun Gothic"/>
          <w:bCs/>
          <w:lang w:val="fr-FR"/>
        </w:rPr>
        <w:t>’</w:t>
      </w:r>
      <w:r w:rsidRPr="00F46139">
        <w:rPr>
          <w:rFonts w:eastAsia="Malgun Gothic"/>
          <w:bCs/>
          <w:lang w:val="fr-FR"/>
        </w:rPr>
        <w:t>importance de l</w:t>
      </w:r>
      <w:r w:rsidR="00923E72">
        <w:rPr>
          <w:rFonts w:eastAsia="Malgun Gothic"/>
          <w:bCs/>
          <w:lang w:val="fr-FR"/>
        </w:rPr>
        <w:t>’</w:t>
      </w:r>
      <w:r w:rsidRPr="00F46139">
        <w:rPr>
          <w:rFonts w:eastAsia="Malgun Gothic"/>
          <w:bCs/>
          <w:lang w:val="fr-FR"/>
        </w:rPr>
        <w:t>option de renvoi pour donner à un État partie la possibilité d</w:t>
      </w:r>
      <w:r w:rsidR="00923E72">
        <w:rPr>
          <w:rFonts w:eastAsia="Malgun Gothic"/>
          <w:bCs/>
          <w:lang w:val="fr-FR"/>
        </w:rPr>
        <w:t>’</w:t>
      </w:r>
      <w:r w:rsidRPr="00F46139">
        <w:rPr>
          <w:rFonts w:eastAsia="Malgun Gothic"/>
          <w:bCs/>
          <w:lang w:val="fr-FR"/>
        </w:rPr>
        <w:t>améliorer son dossier de candidature et de renforcer les relations avec les communautés. Cela pourrait être un exemple positif pour d</w:t>
      </w:r>
      <w:r w:rsidR="00923E72">
        <w:rPr>
          <w:rFonts w:eastAsia="Malgun Gothic"/>
          <w:bCs/>
          <w:lang w:val="fr-FR"/>
        </w:rPr>
        <w:t>’</w:t>
      </w:r>
      <w:r w:rsidRPr="00F46139">
        <w:rPr>
          <w:rFonts w:eastAsia="Malgun Gothic"/>
          <w:bCs/>
          <w:lang w:val="fr-FR"/>
        </w:rPr>
        <w:t>autres États soumissionnaires. Pour toutes ces raisons, l</w:t>
      </w:r>
      <w:r w:rsidR="00923E72">
        <w:rPr>
          <w:rFonts w:eastAsia="Malgun Gothic"/>
          <w:bCs/>
          <w:lang w:val="fr-FR"/>
        </w:rPr>
        <w:t>’</w:t>
      </w:r>
      <w:r w:rsidRPr="00F46139">
        <w:rPr>
          <w:rFonts w:eastAsia="Malgun Gothic"/>
          <w:bCs/>
          <w:lang w:val="fr-FR"/>
        </w:rPr>
        <w:t>Organe d</w:t>
      </w:r>
      <w:r w:rsidR="00923E72">
        <w:rPr>
          <w:rFonts w:eastAsia="Malgun Gothic"/>
          <w:bCs/>
          <w:lang w:val="fr-FR"/>
        </w:rPr>
        <w:t>’</w:t>
      </w:r>
      <w:r w:rsidRPr="00F46139">
        <w:rPr>
          <w:rFonts w:eastAsia="Malgun Gothic"/>
          <w:bCs/>
          <w:lang w:val="fr-FR"/>
        </w:rPr>
        <w:t>évaluation avait considéré que la candidature répondait aux cinq critères et recommandait l</w:t>
      </w:r>
      <w:r w:rsidR="00923E72">
        <w:rPr>
          <w:rFonts w:eastAsia="Malgun Gothic"/>
          <w:bCs/>
          <w:lang w:val="fr-FR"/>
        </w:rPr>
        <w:t>’</w:t>
      </w:r>
      <w:r w:rsidRPr="00F46139">
        <w:rPr>
          <w:rFonts w:eastAsia="Malgun Gothic"/>
          <w:bCs/>
          <w:lang w:val="fr-FR"/>
        </w:rPr>
        <w:t>inscription de cet élément sur la Liste représentative.</w:t>
      </w:r>
    </w:p>
    <w:p w14:paraId="429FB643" w14:textId="5CC37A05" w:rsidR="006B3518" w:rsidRDefault="006B3518"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A01BFA">
        <w:rPr>
          <w:rFonts w:eastAsia="Malgun Gothic"/>
          <w:b/>
          <w:lang w:val="fr-FR"/>
        </w:rPr>
        <w:t> </w:t>
      </w:r>
      <w:r w:rsidR="00751FB1">
        <w:fldChar w:fldCharType="begin"/>
      </w:r>
      <w:r w:rsidR="00751FB1" w:rsidRPr="00751FB1">
        <w:rPr>
          <w:lang w:val="fr-FR"/>
        </w:rPr>
        <w:instrText>HYPERLINK "https://ich.unesco.org/fr/Decisions/17.COM/7.b.24"</w:instrText>
      </w:r>
      <w:r w:rsidR="00751FB1">
        <w:fldChar w:fldCharType="separate"/>
      </w:r>
      <w:r w:rsidR="00235F16" w:rsidRPr="006E3034">
        <w:rPr>
          <w:rStyle w:val="Hyperlink"/>
          <w:b/>
          <w:bCs/>
          <w:lang w:val="fr-FR"/>
        </w:rPr>
        <w:t>17.COM 7.b.24</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00235F16" w:rsidRPr="00C90815">
        <w:rPr>
          <w:rFonts w:eastAsia="Malgun Gothic"/>
          <w:b/>
          <w:lang w:val="fr-FR"/>
        </w:rPr>
        <w:t>les connaissances et les pratiques liées à la culture du café Khawlani</w:t>
      </w:r>
      <w:r w:rsidR="00235F16">
        <w:rPr>
          <w:rFonts w:eastAsia="Malgun Gothic"/>
          <w:b/>
          <w:lang w:val="fr-FR"/>
        </w:rPr>
        <w:t xml:space="preserve"> </w:t>
      </w:r>
      <w:r>
        <w:rPr>
          <w:rFonts w:eastAsia="Malgun Gothic"/>
          <w:b/>
          <w:lang w:val="fr-FR"/>
        </w:rPr>
        <w:t>sur la Liste représentative</w:t>
      </w:r>
      <w:r>
        <w:rPr>
          <w:rFonts w:eastAsia="Malgun Gothic"/>
          <w:bCs/>
          <w:lang w:val="fr-FR"/>
        </w:rPr>
        <w:t>.</w:t>
      </w:r>
    </w:p>
    <w:p w14:paraId="5743E979" w14:textId="735D6EAC" w:rsidR="00235F16" w:rsidRDefault="00235F1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235F16">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A01BFA">
        <w:rPr>
          <w:rFonts w:eastAsia="Malgun Gothic"/>
          <w:b/>
          <w:lang w:val="fr-FR"/>
        </w:rPr>
        <w:t> </w:t>
      </w:r>
      <w:r w:rsidRPr="00702497">
        <w:rPr>
          <w:rFonts w:eastAsia="Malgun Gothic"/>
          <w:b/>
          <w:lang w:val="fr-FR"/>
        </w:rPr>
        <w:t xml:space="preserve">saoudite </w:t>
      </w:r>
      <w:r w:rsidRPr="00235F16">
        <w:rPr>
          <w:rFonts w:eastAsia="Malgun Gothic"/>
          <w:bCs/>
          <w:lang w:val="fr-FR"/>
        </w:rPr>
        <w:t>a fait remarquer que l</w:t>
      </w:r>
      <w:r w:rsidR="00923E72">
        <w:rPr>
          <w:rFonts w:eastAsia="Malgun Gothic"/>
          <w:bCs/>
          <w:lang w:val="fr-FR"/>
        </w:rPr>
        <w:t>’</w:t>
      </w:r>
      <w:r w:rsidRPr="00235F16">
        <w:rPr>
          <w:rFonts w:eastAsia="Malgun Gothic"/>
          <w:bCs/>
          <w:lang w:val="fr-FR"/>
        </w:rPr>
        <w:t>inscription des connaissances et des pratiques liées à la culture du café Khawlani était un moment précieux pour le Royaume d</w:t>
      </w:r>
      <w:r w:rsidR="00923E72">
        <w:rPr>
          <w:rFonts w:eastAsia="Malgun Gothic"/>
          <w:bCs/>
          <w:lang w:val="fr-FR"/>
        </w:rPr>
        <w:t>’</w:t>
      </w:r>
      <w:r w:rsidRPr="00235F16">
        <w:rPr>
          <w:rFonts w:eastAsia="Malgun Gothic"/>
          <w:bCs/>
          <w:lang w:val="fr-FR"/>
        </w:rPr>
        <w:t>Arabie</w:t>
      </w:r>
      <w:r w:rsidR="00A01BFA">
        <w:rPr>
          <w:rFonts w:eastAsia="Malgun Gothic"/>
          <w:bCs/>
          <w:lang w:val="fr-FR"/>
        </w:rPr>
        <w:t> </w:t>
      </w:r>
      <w:r w:rsidRPr="00235F16">
        <w:rPr>
          <w:rFonts w:eastAsia="Malgun Gothic"/>
          <w:bCs/>
          <w:lang w:val="fr-FR"/>
        </w:rPr>
        <w:t>saoudite, puisqu</w:t>
      </w:r>
      <w:r w:rsidR="00923E72">
        <w:rPr>
          <w:rFonts w:eastAsia="Malgun Gothic"/>
          <w:bCs/>
          <w:lang w:val="fr-FR"/>
        </w:rPr>
        <w:t>’</w:t>
      </w:r>
      <w:r w:rsidRPr="00235F16">
        <w:rPr>
          <w:rFonts w:eastAsia="Malgun Gothic"/>
          <w:bCs/>
          <w:lang w:val="fr-FR"/>
        </w:rPr>
        <w:t>il s</w:t>
      </w:r>
      <w:r w:rsidR="00923E72">
        <w:rPr>
          <w:rFonts w:eastAsia="Malgun Gothic"/>
          <w:bCs/>
          <w:lang w:val="fr-FR"/>
        </w:rPr>
        <w:t>’</w:t>
      </w:r>
      <w:r w:rsidRPr="00235F16">
        <w:rPr>
          <w:rFonts w:eastAsia="Malgun Gothic"/>
          <w:bCs/>
          <w:lang w:val="fr-FR"/>
        </w:rPr>
        <w:t>agit d</w:t>
      </w:r>
      <w:r w:rsidR="00923E72">
        <w:rPr>
          <w:rFonts w:eastAsia="Malgun Gothic"/>
          <w:bCs/>
          <w:lang w:val="fr-FR"/>
        </w:rPr>
        <w:t>’</w:t>
      </w:r>
      <w:r w:rsidRPr="00235F16">
        <w:rPr>
          <w:rFonts w:eastAsia="Malgun Gothic"/>
          <w:bCs/>
          <w:lang w:val="fr-FR"/>
        </w:rPr>
        <w:t xml:space="preserve">une pratique vivante depuis plus de 300 ans, transmise par les tribus des montagnes </w:t>
      </w:r>
      <w:proofErr w:type="spellStart"/>
      <w:r w:rsidRPr="00235F16">
        <w:rPr>
          <w:rFonts w:eastAsia="Malgun Gothic"/>
          <w:bCs/>
          <w:lang w:val="fr-FR"/>
        </w:rPr>
        <w:t>Khawlan</w:t>
      </w:r>
      <w:proofErr w:type="spellEnd"/>
      <w:r w:rsidRPr="00235F16">
        <w:rPr>
          <w:rFonts w:eastAsia="Malgun Gothic"/>
          <w:bCs/>
          <w:lang w:val="fr-FR"/>
        </w:rPr>
        <w:t xml:space="preserve"> de </w:t>
      </w:r>
      <w:proofErr w:type="spellStart"/>
      <w:r w:rsidRPr="00235F16">
        <w:rPr>
          <w:rFonts w:eastAsia="Malgun Gothic"/>
          <w:bCs/>
          <w:lang w:val="fr-FR"/>
        </w:rPr>
        <w:t>Jazan</w:t>
      </w:r>
      <w:proofErr w:type="spellEnd"/>
      <w:r w:rsidRPr="00235F16">
        <w:rPr>
          <w:rFonts w:eastAsia="Malgun Gothic"/>
          <w:bCs/>
          <w:lang w:val="fr-FR"/>
        </w:rPr>
        <w:t>, dans le sud-ouest de l</w:t>
      </w:r>
      <w:r w:rsidR="00923E72">
        <w:rPr>
          <w:rFonts w:eastAsia="Malgun Gothic"/>
          <w:bCs/>
          <w:lang w:val="fr-FR"/>
        </w:rPr>
        <w:t>’</w:t>
      </w:r>
      <w:r w:rsidRPr="00235F16">
        <w:rPr>
          <w:rFonts w:eastAsia="Malgun Gothic"/>
          <w:bCs/>
          <w:lang w:val="fr-FR"/>
        </w:rPr>
        <w:t>Arabie</w:t>
      </w:r>
      <w:r w:rsidR="00A01BFA">
        <w:rPr>
          <w:rFonts w:eastAsia="Malgun Gothic"/>
          <w:bCs/>
          <w:lang w:val="fr-FR"/>
        </w:rPr>
        <w:t> </w:t>
      </w:r>
      <w:r w:rsidRPr="00235F16">
        <w:rPr>
          <w:rFonts w:eastAsia="Malgun Gothic"/>
          <w:bCs/>
          <w:lang w:val="fr-FR"/>
        </w:rPr>
        <w:t>saoudite. La culture d</w:t>
      </w:r>
      <w:r>
        <w:rPr>
          <w:rFonts w:eastAsia="Malgun Gothic"/>
          <w:bCs/>
          <w:lang w:val="fr-FR"/>
        </w:rPr>
        <w:t>u</w:t>
      </w:r>
      <w:r w:rsidRPr="00235F16">
        <w:rPr>
          <w:rFonts w:eastAsia="Malgun Gothic"/>
          <w:bCs/>
          <w:lang w:val="fr-FR"/>
        </w:rPr>
        <w:t xml:space="preserve"> café Khawlani témoignait de l</w:t>
      </w:r>
      <w:r w:rsidR="00923E72">
        <w:rPr>
          <w:rFonts w:eastAsia="Malgun Gothic"/>
          <w:bCs/>
          <w:lang w:val="fr-FR"/>
        </w:rPr>
        <w:t>’</w:t>
      </w:r>
      <w:r w:rsidRPr="00235F16">
        <w:rPr>
          <w:rFonts w:eastAsia="Malgun Gothic"/>
          <w:bCs/>
          <w:lang w:val="fr-FR"/>
        </w:rPr>
        <w:t>interaction entre les agriculteurs et leur environnement, ce qui a un impact positif sur l</w:t>
      </w:r>
      <w:r w:rsidR="00923E72">
        <w:rPr>
          <w:rFonts w:eastAsia="Malgun Gothic"/>
          <w:bCs/>
          <w:lang w:val="fr-FR"/>
        </w:rPr>
        <w:t>’</w:t>
      </w:r>
      <w:r w:rsidRPr="00235F16">
        <w:rPr>
          <w:rFonts w:eastAsia="Malgun Gothic"/>
          <w:bCs/>
          <w:lang w:val="fr-FR"/>
        </w:rPr>
        <w:t>environnement dans le monde entier. L</w:t>
      </w:r>
      <w:r w:rsidR="00923E72">
        <w:rPr>
          <w:rFonts w:eastAsia="Malgun Gothic"/>
          <w:bCs/>
          <w:lang w:val="fr-FR"/>
        </w:rPr>
        <w:t>’</w:t>
      </w:r>
      <w:r w:rsidRPr="00235F16">
        <w:rPr>
          <w:rFonts w:eastAsia="Malgun Gothic"/>
          <w:bCs/>
          <w:lang w:val="fr-FR"/>
        </w:rPr>
        <w:t>inscription de l</w:t>
      </w:r>
      <w:r w:rsidR="00923E72">
        <w:rPr>
          <w:rFonts w:eastAsia="Malgun Gothic"/>
          <w:bCs/>
          <w:lang w:val="fr-FR"/>
        </w:rPr>
        <w:t>’</w:t>
      </w:r>
      <w:r w:rsidRPr="00235F16">
        <w:rPr>
          <w:rFonts w:eastAsia="Malgun Gothic"/>
          <w:bCs/>
          <w:lang w:val="fr-FR"/>
        </w:rPr>
        <w:t xml:space="preserve">élément réjouissait la communauté locale de </w:t>
      </w:r>
      <w:proofErr w:type="spellStart"/>
      <w:r w:rsidRPr="00235F16">
        <w:rPr>
          <w:rFonts w:eastAsia="Malgun Gothic"/>
          <w:bCs/>
          <w:lang w:val="fr-FR"/>
        </w:rPr>
        <w:t>Jazan</w:t>
      </w:r>
      <w:proofErr w:type="spellEnd"/>
      <w:r w:rsidRPr="00235F16">
        <w:rPr>
          <w:rFonts w:eastAsia="Malgun Gothic"/>
          <w:bCs/>
          <w:lang w:val="fr-FR"/>
        </w:rPr>
        <w:t>, en particulier les</w:t>
      </w:r>
      <w:r w:rsidR="005813B7">
        <w:rPr>
          <w:rFonts w:eastAsia="Malgun Gothic"/>
          <w:bCs/>
          <w:lang w:val="fr-FR"/>
        </w:rPr>
        <w:t> </w:t>
      </w:r>
      <w:r w:rsidRPr="00235F16">
        <w:rPr>
          <w:rFonts w:eastAsia="Malgun Gothic"/>
          <w:bCs/>
          <w:lang w:val="fr-FR"/>
        </w:rPr>
        <w:t xml:space="preserve">320 agriculteurs qui avaient participé à la candidature de ce processus. La délégation a </w:t>
      </w:r>
      <w:r w:rsidRPr="00235F16">
        <w:rPr>
          <w:rFonts w:eastAsia="Malgun Gothic"/>
          <w:bCs/>
          <w:lang w:val="fr-FR"/>
        </w:rPr>
        <w:lastRenderedPageBreak/>
        <w:t>remercié chacun d</w:t>
      </w:r>
      <w:r w:rsidR="00923E72">
        <w:rPr>
          <w:rFonts w:eastAsia="Malgun Gothic"/>
          <w:bCs/>
          <w:lang w:val="fr-FR"/>
        </w:rPr>
        <w:t>’</w:t>
      </w:r>
      <w:r w:rsidRPr="00235F16">
        <w:rPr>
          <w:rFonts w:eastAsia="Malgun Gothic"/>
          <w:bCs/>
          <w:lang w:val="fr-FR"/>
        </w:rPr>
        <w:t xml:space="preserve">entre eux ainsi que les autorités locales de </w:t>
      </w:r>
      <w:proofErr w:type="spellStart"/>
      <w:r w:rsidRPr="00235F16">
        <w:rPr>
          <w:rFonts w:eastAsia="Malgun Gothic"/>
          <w:bCs/>
          <w:lang w:val="fr-FR"/>
        </w:rPr>
        <w:t>Jazan</w:t>
      </w:r>
      <w:proofErr w:type="spellEnd"/>
      <w:r w:rsidRPr="00235F16">
        <w:rPr>
          <w:rFonts w:eastAsia="Malgun Gothic"/>
          <w:bCs/>
          <w:lang w:val="fr-FR"/>
        </w:rPr>
        <w:t>. L</w:t>
      </w:r>
      <w:r w:rsidR="00923E72">
        <w:rPr>
          <w:rFonts w:eastAsia="Malgun Gothic"/>
          <w:bCs/>
          <w:lang w:val="fr-FR"/>
        </w:rPr>
        <w:t>’</w:t>
      </w:r>
      <w:r w:rsidRPr="00235F16">
        <w:rPr>
          <w:rFonts w:eastAsia="Malgun Gothic"/>
          <w:bCs/>
          <w:lang w:val="fr-FR"/>
        </w:rPr>
        <w:t>Arabie saoudite s</w:t>
      </w:r>
      <w:r w:rsidR="00923E72">
        <w:rPr>
          <w:rFonts w:eastAsia="Malgun Gothic"/>
          <w:bCs/>
          <w:lang w:val="fr-FR"/>
        </w:rPr>
        <w:t>’</w:t>
      </w:r>
      <w:r w:rsidRPr="00235F16">
        <w:rPr>
          <w:rFonts w:eastAsia="Malgun Gothic"/>
          <w:bCs/>
          <w:lang w:val="fr-FR"/>
        </w:rPr>
        <w:t>est engagée à mettre en place des mesures pour soutenir la communauté et pour sauvegarder et protéger l</w:t>
      </w:r>
      <w:r w:rsidR="00923E72">
        <w:rPr>
          <w:rFonts w:eastAsia="Malgun Gothic"/>
          <w:bCs/>
          <w:lang w:val="fr-FR"/>
        </w:rPr>
        <w:t>’</w:t>
      </w:r>
      <w:r w:rsidRPr="00235F16">
        <w:rPr>
          <w:rFonts w:eastAsia="Malgun Gothic"/>
          <w:bCs/>
          <w:lang w:val="fr-FR"/>
        </w:rPr>
        <w:t>élément. La délégation a invité les délégués à profiter de l</w:t>
      </w:r>
      <w:r w:rsidR="00923E72">
        <w:rPr>
          <w:rFonts w:eastAsia="Malgun Gothic"/>
          <w:bCs/>
          <w:lang w:val="fr-FR"/>
        </w:rPr>
        <w:t>’</w:t>
      </w:r>
      <w:r w:rsidRPr="00235F16">
        <w:rPr>
          <w:rFonts w:eastAsia="Malgun Gothic"/>
          <w:bCs/>
          <w:lang w:val="fr-FR"/>
        </w:rPr>
        <w:t>expérience sensorielle du café saoudien préparé avec le grain de café Khawlani ainsi que d</w:t>
      </w:r>
      <w:r w:rsidR="00923E72">
        <w:rPr>
          <w:rFonts w:eastAsia="Malgun Gothic"/>
          <w:bCs/>
          <w:lang w:val="fr-FR"/>
        </w:rPr>
        <w:t>’</w:t>
      </w:r>
      <w:r w:rsidRPr="00235F16">
        <w:rPr>
          <w:rFonts w:eastAsia="Malgun Gothic"/>
          <w:bCs/>
          <w:lang w:val="fr-FR"/>
        </w:rPr>
        <w:t>autres éléments du patrimoine culturel immatériel présentés à l</w:t>
      </w:r>
      <w:r w:rsidR="00923E72">
        <w:rPr>
          <w:rFonts w:eastAsia="Malgun Gothic"/>
          <w:bCs/>
          <w:lang w:val="fr-FR"/>
        </w:rPr>
        <w:t>’</w:t>
      </w:r>
      <w:r w:rsidRPr="00235F16">
        <w:rPr>
          <w:rFonts w:eastAsia="Malgun Gothic"/>
          <w:bCs/>
          <w:lang w:val="fr-FR"/>
        </w:rPr>
        <w:t>exposition de l</w:t>
      </w:r>
      <w:r w:rsidR="00923E72">
        <w:rPr>
          <w:rFonts w:eastAsia="Malgun Gothic"/>
          <w:bCs/>
          <w:lang w:val="fr-FR"/>
        </w:rPr>
        <w:t>’</w:t>
      </w:r>
      <w:r w:rsidRPr="00235F16">
        <w:rPr>
          <w:rFonts w:eastAsia="Malgun Gothic"/>
          <w:bCs/>
          <w:lang w:val="fr-FR"/>
        </w:rPr>
        <w:t>Arabie saoudite, dans le hall d</w:t>
      </w:r>
      <w:r w:rsidR="00923E72">
        <w:rPr>
          <w:rFonts w:eastAsia="Malgun Gothic"/>
          <w:bCs/>
          <w:lang w:val="fr-FR"/>
        </w:rPr>
        <w:t>’</w:t>
      </w:r>
      <w:r w:rsidRPr="00235F16">
        <w:rPr>
          <w:rFonts w:eastAsia="Malgun Gothic"/>
          <w:bCs/>
          <w:lang w:val="fr-FR"/>
        </w:rPr>
        <w:t>exposition.</w:t>
      </w:r>
    </w:p>
    <w:p w14:paraId="578E9D8C" w14:textId="626BB2CB" w:rsidR="00235F16" w:rsidRPr="00C90815" w:rsidRDefault="00235F16" w:rsidP="00702497">
      <w:pPr>
        <w:pStyle w:val="Orateurengris"/>
        <w:tabs>
          <w:tab w:val="clear" w:pos="709"/>
          <w:tab w:val="clear" w:pos="1418"/>
          <w:tab w:val="clear" w:pos="2126"/>
          <w:tab w:val="clear" w:pos="2835"/>
          <w:tab w:val="num" w:pos="851"/>
          <w:tab w:val="left" w:pos="4962"/>
        </w:tabs>
        <w:spacing w:before="120" w:after="0"/>
        <w:ind w:left="851" w:hanging="851"/>
        <w:jc w:val="center"/>
        <w:rPr>
          <w:rFonts w:eastAsia="Malgun Gothic"/>
          <w:bCs/>
          <w:i/>
          <w:iCs/>
          <w:lang w:val="fr-FR"/>
        </w:rPr>
      </w:pPr>
      <w:r w:rsidRPr="00C90815">
        <w:rPr>
          <w:rFonts w:eastAsia="Malgun Gothic"/>
          <w:bCs/>
          <w:i/>
          <w:iCs/>
          <w:lang w:val="fr-FR"/>
        </w:rPr>
        <w:t>[Une vidéo présentant l</w:t>
      </w:r>
      <w:r w:rsidR="00923E72">
        <w:rPr>
          <w:rFonts w:eastAsia="Malgun Gothic"/>
          <w:bCs/>
          <w:i/>
          <w:iCs/>
          <w:lang w:val="fr-FR"/>
        </w:rPr>
        <w:t>’</w:t>
      </w:r>
      <w:r w:rsidRPr="00C90815">
        <w:rPr>
          <w:rFonts w:eastAsia="Malgun Gothic"/>
          <w:bCs/>
          <w:i/>
          <w:iCs/>
          <w:lang w:val="fr-FR"/>
        </w:rPr>
        <w:t>élément a été diffusée]</w:t>
      </w:r>
    </w:p>
    <w:p w14:paraId="69B4C8F7" w14:textId="4E1F8FC3" w:rsidR="00235F16" w:rsidRDefault="00C715E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715EC">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C715EC">
        <w:rPr>
          <w:rFonts w:eastAsia="Malgun Gothic"/>
          <w:bCs/>
          <w:lang w:val="fr-FR"/>
        </w:rPr>
        <w:t xml:space="preserve"> a présenté le dossier de candidature suivant, </w:t>
      </w:r>
      <w:proofErr w:type="spellStart"/>
      <w:r w:rsidRPr="00702497">
        <w:rPr>
          <w:rFonts w:eastAsia="Malgun Gothic"/>
          <w:b/>
          <w:lang w:val="fr-FR"/>
        </w:rPr>
        <w:t>Alheda</w:t>
      </w:r>
      <w:r w:rsidR="00923E72">
        <w:rPr>
          <w:rFonts w:eastAsia="Malgun Gothic"/>
          <w:b/>
          <w:lang w:val="fr-FR"/>
        </w:rPr>
        <w:t>’</w:t>
      </w:r>
      <w:r w:rsidRPr="00702497">
        <w:rPr>
          <w:rFonts w:eastAsia="Malgun Gothic"/>
          <w:b/>
          <w:lang w:val="fr-FR"/>
        </w:rPr>
        <w:t>a</w:t>
      </w:r>
      <w:proofErr w:type="spellEnd"/>
      <w:r w:rsidRPr="00702497">
        <w:rPr>
          <w:rFonts w:eastAsia="Malgun Gothic"/>
          <w:b/>
          <w:lang w:val="fr-FR"/>
        </w:rPr>
        <w:t>, traditions orales de l</w:t>
      </w:r>
      <w:r w:rsidR="00923E72">
        <w:rPr>
          <w:rFonts w:eastAsia="Malgun Gothic"/>
          <w:b/>
          <w:lang w:val="fr-FR"/>
        </w:rPr>
        <w:t>’</w:t>
      </w:r>
      <w:r w:rsidRPr="00702497">
        <w:rPr>
          <w:rFonts w:eastAsia="Malgun Gothic"/>
          <w:b/>
          <w:lang w:val="fr-FR"/>
        </w:rPr>
        <w:t>appel des troupeaux de dromadaires</w:t>
      </w:r>
      <w:r>
        <w:rPr>
          <w:rFonts w:eastAsia="Malgun Gothic"/>
          <w:bCs/>
          <w:lang w:val="fr-FR"/>
        </w:rPr>
        <w:t xml:space="preserve"> </w:t>
      </w:r>
      <w:r w:rsidRPr="00C715EC">
        <w:rPr>
          <w:rFonts w:eastAsia="Malgun Gothic"/>
          <w:bCs/>
          <w:lang w:val="fr-FR"/>
        </w:rPr>
        <w:t>[projet de décision</w:t>
      </w:r>
      <w:r w:rsidR="00A01BFA">
        <w:rPr>
          <w:rFonts w:eastAsia="Malgun Gothic"/>
          <w:bCs/>
          <w:lang w:val="fr-FR"/>
        </w:rPr>
        <w:t> </w:t>
      </w:r>
      <w:r w:rsidRPr="00C715EC">
        <w:rPr>
          <w:rFonts w:eastAsia="Malgun Gothic"/>
          <w:bCs/>
          <w:lang w:val="fr-FR"/>
        </w:rPr>
        <w:t>7.b.25], soumis par l</w:t>
      </w:r>
      <w:r w:rsidR="00923E72">
        <w:rPr>
          <w:rFonts w:eastAsia="Malgun Gothic"/>
          <w:bCs/>
          <w:lang w:val="fr-FR"/>
        </w:rPr>
        <w:t>’</w:t>
      </w:r>
      <w:r w:rsidRPr="00702497">
        <w:rPr>
          <w:rFonts w:eastAsia="Malgun Gothic"/>
          <w:b/>
          <w:lang w:val="fr-FR"/>
        </w:rPr>
        <w:t>Arabie</w:t>
      </w:r>
      <w:r w:rsidR="00A01BFA">
        <w:rPr>
          <w:rFonts w:eastAsia="Malgun Gothic"/>
          <w:b/>
          <w:lang w:val="fr-FR"/>
        </w:rPr>
        <w:t> </w:t>
      </w:r>
      <w:r w:rsidRPr="00702497">
        <w:rPr>
          <w:rFonts w:eastAsia="Malgun Gothic"/>
          <w:b/>
          <w:lang w:val="fr-FR"/>
        </w:rPr>
        <w:t xml:space="preserve">saoudite, Oman </w:t>
      </w:r>
      <w:r w:rsidRPr="00F15FCD">
        <w:rPr>
          <w:rFonts w:eastAsia="Malgun Gothic"/>
          <w:bCs/>
          <w:lang w:val="fr-FR"/>
        </w:rPr>
        <w:t>et</w:t>
      </w:r>
      <w:r w:rsidRPr="00702497">
        <w:rPr>
          <w:rFonts w:eastAsia="Malgun Gothic"/>
          <w:b/>
          <w:lang w:val="fr-FR"/>
        </w:rPr>
        <w:t xml:space="preserve"> </w:t>
      </w:r>
      <w:r w:rsidRPr="00F15FCD">
        <w:rPr>
          <w:rFonts w:eastAsia="Malgun Gothic"/>
          <w:bCs/>
          <w:lang w:val="fr-FR"/>
        </w:rPr>
        <w:t>les</w:t>
      </w:r>
      <w:r w:rsidRPr="00702497">
        <w:rPr>
          <w:rFonts w:eastAsia="Malgun Gothic"/>
          <w:b/>
          <w:lang w:val="fr-FR"/>
        </w:rPr>
        <w:t xml:space="preserve"> Émirats arabes unis</w:t>
      </w:r>
      <w:r w:rsidRPr="00C715EC">
        <w:rPr>
          <w:rFonts w:eastAsia="Malgun Gothic"/>
          <w:bCs/>
          <w:lang w:val="fr-FR"/>
        </w:rPr>
        <w:t>, expliquant qu</w:t>
      </w:r>
      <w:r w:rsidR="00923E72">
        <w:rPr>
          <w:rFonts w:eastAsia="Malgun Gothic"/>
          <w:bCs/>
          <w:lang w:val="fr-FR"/>
        </w:rPr>
        <w:t>’</w:t>
      </w:r>
      <w:proofErr w:type="spellStart"/>
      <w:r w:rsidRPr="00C715EC">
        <w:rPr>
          <w:rFonts w:eastAsia="Malgun Gothic"/>
          <w:bCs/>
          <w:lang w:val="fr-FR"/>
        </w:rPr>
        <w:t>Alheda</w:t>
      </w:r>
      <w:r w:rsidR="00923E72">
        <w:rPr>
          <w:rFonts w:eastAsia="Malgun Gothic"/>
          <w:bCs/>
          <w:lang w:val="fr-FR"/>
        </w:rPr>
        <w:t>’</w:t>
      </w:r>
      <w:r w:rsidR="005813B7">
        <w:rPr>
          <w:rFonts w:eastAsia="Malgun Gothic"/>
          <w:bCs/>
          <w:lang w:val="fr-FR"/>
        </w:rPr>
        <w:t>a</w:t>
      </w:r>
      <w:proofErr w:type="spellEnd"/>
      <w:r w:rsidRPr="00C715EC">
        <w:rPr>
          <w:rFonts w:eastAsia="Malgun Gothic"/>
          <w:bCs/>
          <w:lang w:val="fr-FR"/>
        </w:rPr>
        <w:t xml:space="preserve"> est une </w:t>
      </w:r>
      <w:r>
        <w:rPr>
          <w:rFonts w:eastAsia="Malgun Gothic"/>
          <w:bCs/>
          <w:lang w:val="fr-FR"/>
        </w:rPr>
        <w:t xml:space="preserve">forme orale et traditionnelle </w:t>
      </w:r>
      <w:r w:rsidRPr="00C715EC">
        <w:rPr>
          <w:rFonts w:eastAsia="Malgun Gothic"/>
          <w:bCs/>
          <w:lang w:val="fr-FR"/>
        </w:rPr>
        <w:t>de communication avec un troupeau de</w:t>
      </w:r>
      <w:r>
        <w:rPr>
          <w:rFonts w:eastAsia="Malgun Gothic"/>
          <w:bCs/>
          <w:lang w:val="fr-FR"/>
        </w:rPr>
        <w:t xml:space="preserve"> dromadaires</w:t>
      </w:r>
      <w:r w:rsidRPr="00C715EC">
        <w:rPr>
          <w:rFonts w:eastAsia="Malgun Gothic"/>
          <w:bCs/>
          <w:lang w:val="fr-FR"/>
        </w:rPr>
        <w:t xml:space="preserve">, transmise de génération en génération, et que cet élément est </w:t>
      </w:r>
      <w:r>
        <w:rPr>
          <w:rFonts w:eastAsia="Malgun Gothic"/>
          <w:bCs/>
          <w:lang w:val="fr-FR"/>
        </w:rPr>
        <w:t xml:space="preserve">désormais </w:t>
      </w:r>
      <w:r w:rsidRPr="00C715EC">
        <w:rPr>
          <w:rFonts w:eastAsia="Malgun Gothic"/>
          <w:bCs/>
          <w:lang w:val="fr-FR"/>
        </w:rPr>
        <w:t xml:space="preserve">utilisé par les praticiens pour </w:t>
      </w:r>
      <w:r>
        <w:rPr>
          <w:rFonts w:eastAsia="Malgun Gothic"/>
          <w:bCs/>
          <w:lang w:val="fr-FR"/>
        </w:rPr>
        <w:t xml:space="preserve">rassembler </w:t>
      </w:r>
      <w:r w:rsidRPr="00C715EC">
        <w:rPr>
          <w:rFonts w:eastAsia="Malgun Gothic"/>
          <w:bCs/>
          <w:lang w:val="fr-FR"/>
        </w:rPr>
        <w:t xml:space="preserve">et calmer le troupeau de </w:t>
      </w:r>
      <w:r>
        <w:rPr>
          <w:rFonts w:eastAsia="Malgun Gothic"/>
          <w:bCs/>
          <w:lang w:val="fr-FR"/>
        </w:rPr>
        <w:t xml:space="preserve">dromadaires </w:t>
      </w:r>
      <w:r w:rsidRPr="00C715EC">
        <w:rPr>
          <w:rFonts w:eastAsia="Malgun Gothic"/>
          <w:bCs/>
          <w:lang w:val="fr-FR"/>
        </w:rPr>
        <w:t xml:space="preserve">en utilisant des sons </w:t>
      </w:r>
      <w:r>
        <w:rPr>
          <w:rFonts w:eastAsia="Malgun Gothic"/>
          <w:bCs/>
          <w:lang w:val="fr-FR"/>
        </w:rPr>
        <w:t xml:space="preserve">émis par la voix, </w:t>
      </w:r>
      <w:r w:rsidRPr="00C715EC">
        <w:rPr>
          <w:rFonts w:eastAsia="Malgun Gothic"/>
          <w:bCs/>
          <w:lang w:val="fr-FR"/>
        </w:rPr>
        <w:t>des gestes et des instruments</w:t>
      </w:r>
      <w:r>
        <w:rPr>
          <w:rFonts w:eastAsia="Malgun Gothic"/>
          <w:bCs/>
          <w:lang w:val="fr-FR"/>
        </w:rPr>
        <w:t xml:space="preserve"> tout en les dirigeant</w:t>
      </w:r>
      <w:r w:rsidRPr="00C715EC">
        <w:rPr>
          <w:rFonts w:eastAsia="Malgun Gothic"/>
          <w:bCs/>
          <w:lang w:val="fr-FR"/>
        </w:rPr>
        <w:t>. Après avoir entamé un processus de dialogue sur le critère</w:t>
      </w:r>
      <w:r>
        <w:rPr>
          <w:rFonts w:eastAsia="Malgun Gothic"/>
          <w:bCs/>
          <w:lang w:val="fr-FR"/>
        </w:rPr>
        <w:t> </w:t>
      </w:r>
      <w:r w:rsidRPr="00C715EC">
        <w:rPr>
          <w:rFonts w:eastAsia="Malgun Gothic"/>
          <w:bCs/>
          <w:lang w:val="fr-FR"/>
        </w:rPr>
        <w:t>R.3 relatif à la participation des communautés à la planification et à la mise en œuvre des mesures de sauvegarde, l</w:t>
      </w:r>
      <w:r w:rsidR="00923E72">
        <w:rPr>
          <w:rFonts w:eastAsia="Malgun Gothic"/>
          <w:bCs/>
          <w:lang w:val="fr-FR"/>
        </w:rPr>
        <w:t>’</w:t>
      </w:r>
      <w:r w:rsidRPr="00C715EC">
        <w:rPr>
          <w:rFonts w:eastAsia="Malgun Gothic"/>
          <w:bCs/>
          <w:lang w:val="fr-FR"/>
        </w:rPr>
        <w:t>Organe d</w:t>
      </w:r>
      <w:r w:rsidR="00923E72">
        <w:rPr>
          <w:rFonts w:eastAsia="Malgun Gothic"/>
          <w:bCs/>
          <w:lang w:val="fr-FR"/>
        </w:rPr>
        <w:t>’</w:t>
      </w:r>
      <w:r w:rsidRPr="00C715EC">
        <w:rPr>
          <w:rFonts w:eastAsia="Malgun Gothic"/>
          <w:bCs/>
          <w:lang w:val="fr-FR"/>
        </w:rPr>
        <w:t xml:space="preserve">évaluation avait estimé que les cinq critères étaient </w:t>
      </w:r>
      <w:r w:rsidR="00BA3629">
        <w:rPr>
          <w:rFonts w:eastAsia="Malgun Gothic"/>
          <w:bCs/>
          <w:lang w:val="fr-FR"/>
        </w:rPr>
        <w:t xml:space="preserve">satisfaits </w:t>
      </w:r>
      <w:r w:rsidRPr="00C715EC">
        <w:rPr>
          <w:rFonts w:eastAsia="Malgun Gothic"/>
          <w:bCs/>
          <w:lang w:val="fr-FR"/>
        </w:rPr>
        <w:t>et recommandait l</w:t>
      </w:r>
      <w:r w:rsidR="00923E72">
        <w:rPr>
          <w:rFonts w:eastAsia="Malgun Gothic"/>
          <w:bCs/>
          <w:lang w:val="fr-FR"/>
        </w:rPr>
        <w:t>’</w:t>
      </w:r>
      <w:r w:rsidRPr="00C715EC">
        <w:rPr>
          <w:rFonts w:eastAsia="Malgun Gothic"/>
          <w:bCs/>
          <w:lang w:val="fr-FR"/>
        </w:rPr>
        <w:t>inscription de cet élément.</w:t>
      </w:r>
    </w:p>
    <w:p w14:paraId="0D097A03" w14:textId="131BA74D" w:rsidR="00C715EC" w:rsidRDefault="00C715E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A01BFA">
        <w:rPr>
          <w:rFonts w:eastAsia="Malgun Gothic"/>
          <w:b/>
          <w:lang w:val="fr-FR"/>
        </w:rPr>
        <w:t> </w:t>
      </w:r>
      <w:r w:rsidR="00751FB1">
        <w:fldChar w:fldCharType="begin"/>
      </w:r>
      <w:r w:rsidR="00751FB1" w:rsidRPr="00751FB1">
        <w:rPr>
          <w:lang w:val="fr-FR"/>
        </w:rPr>
        <w:instrText>HYPERLINK "https://ich.unesco.org/fr/Decisions/17.COM/7.b.25"</w:instrText>
      </w:r>
      <w:r w:rsidR="00751FB1">
        <w:fldChar w:fldCharType="separate"/>
      </w:r>
      <w:r w:rsidRPr="006E3034">
        <w:rPr>
          <w:rStyle w:val="Hyperlink"/>
          <w:b/>
          <w:bCs/>
          <w:lang w:val="fr-FR"/>
        </w:rPr>
        <w:t>17.COM 7.b.25</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proofErr w:type="spellStart"/>
      <w:r w:rsidRPr="00C90815">
        <w:rPr>
          <w:rFonts w:eastAsia="Malgun Gothic"/>
          <w:b/>
          <w:lang w:val="fr-FR"/>
        </w:rPr>
        <w:t>Alheda</w:t>
      </w:r>
      <w:r w:rsidR="00923E72">
        <w:rPr>
          <w:rFonts w:eastAsia="Malgun Gothic"/>
          <w:b/>
          <w:lang w:val="fr-FR"/>
        </w:rPr>
        <w:t>’</w:t>
      </w:r>
      <w:r w:rsidRPr="00C90815">
        <w:rPr>
          <w:rFonts w:eastAsia="Malgun Gothic"/>
          <w:b/>
          <w:lang w:val="fr-FR"/>
        </w:rPr>
        <w:t>a</w:t>
      </w:r>
      <w:proofErr w:type="spellEnd"/>
      <w:r w:rsidRPr="00C90815">
        <w:rPr>
          <w:rFonts w:eastAsia="Malgun Gothic"/>
          <w:b/>
          <w:lang w:val="fr-FR"/>
        </w:rPr>
        <w:t>, traditions orales de l</w:t>
      </w:r>
      <w:r w:rsidR="00923E72">
        <w:rPr>
          <w:rFonts w:eastAsia="Malgun Gothic"/>
          <w:b/>
          <w:lang w:val="fr-FR"/>
        </w:rPr>
        <w:t>’</w:t>
      </w:r>
      <w:r w:rsidRPr="00C90815">
        <w:rPr>
          <w:rFonts w:eastAsia="Malgun Gothic"/>
          <w:b/>
          <w:lang w:val="fr-FR"/>
        </w:rPr>
        <w:t>appel des troupeaux de dromadaires</w:t>
      </w:r>
      <w:r>
        <w:rPr>
          <w:rFonts w:eastAsia="Malgun Gothic"/>
          <w:bCs/>
          <w:lang w:val="fr-FR"/>
        </w:rPr>
        <w:t xml:space="preserve"> </w:t>
      </w:r>
      <w:r>
        <w:rPr>
          <w:rFonts w:eastAsia="Malgun Gothic"/>
          <w:b/>
          <w:lang w:val="fr-FR"/>
        </w:rPr>
        <w:t>sur la Liste représentative</w:t>
      </w:r>
      <w:r>
        <w:rPr>
          <w:rFonts w:eastAsia="Malgun Gothic"/>
          <w:bCs/>
          <w:lang w:val="fr-FR"/>
        </w:rPr>
        <w:t>.</w:t>
      </w:r>
    </w:p>
    <w:p w14:paraId="3DB7B296" w14:textId="5FC90502" w:rsidR="00C715EC" w:rsidRDefault="0021190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211903">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A01BFA">
        <w:rPr>
          <w:rFonts w:eastAsia="Malgun Gothic"/>
          <w:b/>
          <w:lang w:val="fr-FR"/>
        </w:rPr>
        <w:t> </w:t>
      </w:r>
      <w:r w:rsidRPr="00702497">
        <w:rPr>
          <w:rFonts w:eastAsia="Malgun Gothic"/>
          <w:b/>
          <w:lang w:val="fr-FR"/>
        </w:rPr>
        <w:t xml:space="preserve">saoudite </w:t>
      </w:r>
      <w:r w:rsidRPr="00211903">
        <w:rPr>
          <w:rFonts w:eastAsia="Malgun Gothic"/>
          <w:bCs/>
          <w:lang w:val="fr-FR"/>
        </w:rPr>
        <w:t xml:space="preserve">était au comble du bonheur </w:t>
      </w:r>
      <w:r w:rsidR="00EA7E93">
        <w:rPr>
          <w:rFonts w:eastAsia="Malgun Gothic"/>
          <w:bCs/>
          <w:lang w:val="fr-FR"/>
        </w:rPr>
        <w:t xml:space="preserve">et a adressé </w:t>
      </w:r>
      <w:r w:rsidRPr="00211903">
        <w:rPr>
          <w:rFonts w:eastAsia="Malgun Gothic"/>
          <w:bCs/>
          <w:lang w:val="fr-FR"/>
        </w:rPr>
        <w:t xml:space="preserve">de </w:t>
      </w:r>
      <w:r w:rsidR="00EA7E93">
        <w:rPr>
          <w:rFonts w:eastAsia="Malgun Gothic"/>
          <w:bCs/>
          <w:lang w:val="fr-FR"/>
        </w:rPr>
        <w:t xml:space="preserve">sincères </w:t>
      </w:r>
      <w:r w:rsidRPr="00211903">
        <w:rPr>
          <w:rFonts w:eastAsia="Malgun Gothic"/>
          <w:bCs/>
          <w:lang w:val="fr-FR"/>
        </w:rPr>
        <w:t>paroles de félicitations. Au nom de ses collègues du Sultanat d</w:t>
      </w:r>
      <w:r w:rsidR="00923E72">
        <w:rPr>
          <w:rFonts w:eastAsia="Malgun Gothic"/>
          <w:bCs/>
          <w:lang w:val="fr-FR"/>
        </w:rPr>
        <w:t>’</w:t>
      </w:r>
      <w:r w:rsidRPr="00211903">
        <w:rPr>
          <w:rFonts w:eastAsia="Malgun Gothic"/>
          <w:bCs/>
          <w:lang w:val="fr-FR"/>
        </w:rPr>
        <w:t>Oman et des Émirats arabes unis, la délégation était ravie qu</w:t>
      </w:r>
      <w:r w:rsidR="00923E72">
        <w:rPr>
          <w:rFonts w:eastAsia="Malgun Gothic"/>
          <w:bCs/>
          <w:lang w:val="fr-FR"/>
        </w:rPr>
        <w:t>’</w:t>
      </w:r>
      <w:proofErr w:type="spellStart"/>
      <w:r w:rsidRPr="00211903">
        <w:rPr>
          <w:rFonts w:eastAsia="Malgun Gothic"/>
          <w:bCs/>
          <w:lang w:val="fr-FR"/>
        </w:rPr>
        <w:t>Alheda</w:t>
      </w:r>
      <w:r w:rsidR="00923E72">
        <w:rPr>
          <w:rFonts w:eastAsia="Malgun Gothic"/>
          <w:bCs/>
          <w:lang w:val="fr-FR"/>
        </w:rPr>
        <w:t>’</w:t>
      </w:r>
      <w:r w:rsidRPr="00211903">
        <w:rPr>
          <w:rFonts w:eastAsia="Malgun Gothic"/>
          <w:bCs/>
          <w:lang w:val="fr-FR"/>
        </w:rPr>
        <w:t>a</w:t>
      </w:r>
      <w:proofErr w:type="spellEnd"/>
      <w:r w:rsidRPr="00211903">
        <w:rPr>
          <w:rFonts w:eastAsia="Malgun Gothic"/>
          <w:bCs/>
          <w:lang w:val="fr-FR"/>
        </w:rPr>
        <w:t>, tradition</w:t>
      </w:r>
      <w:r w:rsidR="00EA7E93">
        <w:rPr>
          <w:rFonts w:eastAsia="Malgun Gothic"/>
          <w:bCs/>
          <w:lang w:val="fr-FR"/>
        </w:rPr>
        <w:t>s</w:t>
      </w:r>
      <w:r w:rsidRPr="00211903">
        <w:rPr>
          <w:rFonts w:eastAsia="Malgun Gothic"/>
          <w:bCs/>
          <w:lang w:val="fr-FR"/>
        </w:rPr>
        <w:t xml:space="preserve"> orale</w:t>
      </w:r>
      <w:r w:rsidR="00EA7E93">
        <w:rPr>
          <w:rFonts w:eastAsia="Malgun Gothic"/>
          <w:bCs/>
          <w:lang w:val="fr-FR"/>
        </w:rPr>
        <w:t>s</w:t>
      </w:r>
      <w:r w:rsidRPr="00211903">
        <w:rPr>
          <w:rFonts w:eastAsia="Malgun Gothic"/>
          <w:bCs/>
          <w:lang w:val="fr-FR"/>
        </w:rPr>
        <w:t xml:space="preserve"> d</w:t>
      </w:r>
      <w:r w:rsidR="00EA7E93">
        <w:rPr>
          <w:rFonts w:eastAsia="Malgun Gothic"/>
          <w:bCs/>
          <w:lang w:val="fr-FR"/>
        </w:rPr>
        <w:t>e l</w:t>
      </w:r>
      <w:r w:rsidR="00923E72">
        <w:rPr>
          <w:rFonts w:eastAsia="Malgun Gothic"/>
          <w:bCs/>
          <w:lang w:val="fr-FR"/>
        </w:rPr>
        <w:t>’</w:t>
      </w:r>
      <w:r w:rsidRPr="00211903">
        <w:rPr>
          <w:rFonts w:eastAsia="Malgun Gothic"/>
          <w:bCs/>
          <w:lang w:val="fr-FR"/>
        </w:rPr>
        <w:t>appel des troupeaux de</w:t>
      </w:r>
      <w:r w:rsidR="00EA7E93">
        <w:rPr>
          <w:rFonts w:eastAsia="Malgun Gothic"/>
          <w:bCs/>
          <w:lang w:val="fr-FR"/>
        </w:rPr>
        <w:t xml:space="preserve"> dromadaires</w:t>
      </w:r>
      <w:r w:rsidRPr="00211903">
        <w:rPr>
          <w:rFonts w:eastAsia="Malgun Gothic"/>
          <w:bCs/>
          <w:lang w:val="fr-FR"/>
        </w:rPr>
        <w:t>, soit inscrit aujourd</w:t>
      </w:r>
      <w:r w:rsidR="00923E72">
        <w:rPr>
          <w:rFonts w:eastAsia="Malgun Gothic"/>
          <w:bCs/>
          <w:lang w:val="fr-FR"/>
        </w:rPr>
        <w:t>’</w:t>
      </w:r>
      <w:r w:rsidRPr="00211903">
        <w:rPr>
          <w:rFonts w:eastAsia="Malgun Gothic"/>
          <w:bCs/>
          <w:lang w:val="fr-FR"/>
        </w:rPr>
        <w:t xml:space="preserve">hui sur la Liste représentative. </w:t>
      </w:r>
      <w:r w:rsidR="00A01BFA">
        <w:rPr>
          <w:rFonts w:eastAsia="Malgun Gothic"/>
          <w:bCs/>
          <w:lang w:val="fr-FR"/>
        </w:rPr>
        <w:t>Elle</w:t>
      </w:r>
      <w:r w:rsidRPr="00211903">
        <w:rPr>
          <w:rFonts w:eastAsia="Malgun Gothic"/>
          <w:bCs/>
          <w:lang w:val="fr-FR"/>
        </w:rPr>
        <w:t xml:space="preserve"> a rappelé que cet élément multinational est un patrimoine commun à l</w:t>
      </w:r>
      <w:r w:rsidR="00923E72">
        <w:rPr>
          <w:rFonts w:eastAsia="Malgun Gothic"/>
          <w:bCs/>
          <w:lang w:val="fr-FR"/>
        </w:rPr>
        <w:t>’</w:t>
      </w:r>
      <w:r w:rsidRPr="00211903">
        <w:rPr>
          <w:rFonts w:eastAsia="Malgun Gothic"/>
          <w:bCs/>
          <w:lang w:val="fr-FR"/>
        </w:rPr>
        <w:t xml:space="preserve">ensemble de la péninsule arabique, pratiqué par les communautés de propriétaires de </w:t>
      </w:r>
      <w:r w:rsidR="00EA7E93">
        <w:rPr>
          <w:rFonts w:eastAsia="Malgun Gothic"/>
          <w:bCs/>
          <w:lang w:val="fr-FR"/>
        </w:rPr>
        <w:t xml:space="preserve">dromadaires </w:t>
      </w:r>
      <w:r w:rsidRPr="00211903">
        <w:rPr>
          <w:rFonts w:eastAsia="Malgun Gothic"/>
          <w:bCs/>
          <w:lang w:val="fr-FR"/>
        </w:rPr>
        <w:t>et d</w:t>
      </w:r>
      <w:r w:rsidR="00923E72">
        <w:rPr>
          <w:rFonts w:eastAsia="Malgun Gothic"/>
          <w:bCs/>
          <w:lang w:val="fr-FR"/>
        </w:rPr>
        <w:t>’</w:t>
      </w:r>
      <w:r w:rsidRPr="00211903">
        <w:rPr>
          <w:rFonts w:eastAsia="Malgun Gothic"/>
          <w:bCs/>
          <w:lang w:val="fr-FR"/>
        </w:rPr>
        <w:t>éleveurs dans les États soumissionnaires, et qu</w:t>
      </w:r>
      <w:r w:rsidR="00923E72">
        <w:rPr>
          <w:rFonts w:eastAsia="Malgun Gothic"/>
          <w:bCs/>
          <w:lang w:val="fr-FR"/>
        </w:rPr>
        <w:t>’</w:t>
      </w:r>
      <w:proofErr w:type="spellStart"/>
      <w:r w:rsidRPr="00211903">
        <w:rPr>
          <w:rFonts w:eastAsia="Malgun Gothic"/>
          <w:bCs/>
          <w:lang w:val="fr-FR"/>
        </w:rPr>
        <w:t>Alheda</w:t>
      </w:r>
      <w:r w:rsidR="00923E72">
        <w:rPr>
          <w:rFonts w:eastAsia="Malgun Gothic"/>
          <w:bCs/>
          <w:lang w:val="fr-FR"/>
        </w:rPr>
        <w:t>’</w:t>
      </w:r>
      <w:r w:rsidRPr="00211903">
        <w:rPr>
          <w:rFonts w:eastAsia="Malgun Gothic"/>
          <w:bCs/>
          <w:lang w:val="fr-FR"/>
        </w:rPr>
        <w:t>a</w:t>
      </w:r>
      <w:proofErr w:type="spellEnd"/>
      <w:r w:rsidR="00EA7E93">
        <w:rPr>
          <w:rFonts w:eastAsia="Malgun Gothic"/>
          <w:bCs/>
          <w:lang w:val="fr-FR"/>
        </w:rPr>
        <w:t xml:space="preserve"> </w:t>
      </w:r>
      <w:r w:rsidRPr="00211903">
        <w:rPr>
          <w:rFonts w:eastAsia="Malgun Gothic"/>
          <w:bCs/>
          <w:lang w:val="fr-FR"/>
        </w:rPr>
        <w:t>est une expression orale, un langage de compréhension utilisé par les praticiens pour communiquer et guider leur troupe</w:t>
      </w:r>
      <w:r w:rsidR="00EA7E93">
        <w:rPr>
          <w:rFonts w:eastAsia="Malgun Gothic"/>
          <w:bCs/>
          <w:lang w:val="fr-FR"/>
        </w:rPr>
        <w:t>a</w:t>
      </w:r>
      <w:r w:rsidRPr="00211903">
        <w:rPr>
          <w:rFonts w:eastAsia="Malgun Gothic"/>
          <w:bCs/>
          <w:lang w:val="fr-FR"/>
        </w:rPr>
        <w:t>u et être en lien avec celui</w:t>
      </w:r>
      <w:r w:rsidR="00EA7E93">
        <w:rPr>
          <w:rFonts w:eastAsia="Malgun Gothic"/>
          <w:bCs/>
          <w:lang w:val="fr-FR"/>
        </w:rPr>
        <w:noBreakHyphen/>
      </w:r>
      <w:r w:rsidRPr="00211903">
        <w:rPr>
          <w:rFonts w:eastAsia="Malgun Gothic"/>
          <w:bCs/>
          <w:lang w:val="fr-FR"/>
        </w:rPr>
        <w:t>ci. Ce patrimoine oral témoignait d</w:t>
      </w:r>
      <w:r w:rsidR="00923E72">
        <w:rPr>
          <w:rFonts w:eastAsia="Malgun Gothic"/>
          <w:bCs/>
          <w:lang w:val="fr-FR"/>
        </w:rPr>
        <w:t>’</w:t>
      </w:r>
      <w:r w:rsidRPr="00211903">
        <w:rPr>
          <w:rFonts w:eastAsia="Malgun Gothic"/>
          <w:bCs/>
          <w:lang w:val="fr-FR"/>
        </w:rPr>
        <w:t>une relation forte et innée entre les hommes et leur environnement. L</w:t>
      </w:r>
      <w:r w:rsidR="00923E72">
        <w:rPr>
          <w:rFonts w:eastAsia="Malgun Gothic"/>
          <w:bCs/>
          <w:lang w:val="fr-FR"/>
        </w:rPr>
        <w:t>’</w:t>
      </w:r>
      <w:r w:rsidRPr="00211903">
        <w:rPr>
          <w:rFonts w:eastAsia="Malgun Gothic"/>
          <w:bCs/>
          <w:lang w:val="fr-FR"/>
        </w:rPr>
        <w:t>inscription d</w:t>
      </w:r>
      <w:r w:rsidR="00923E72">
        <w:rPr>
          <w:rFonts w:eastAsia="Malgun Gothic"/>
          <w:bCs/>
          <w:lang w:val="fr-FR"/>
        </w:rPr>
        <w:t>’</w:t>
      </w:r>
      <w:proofErr w:type="spellStart"/>
      <w:r w:rsidRPr="00211903">
        <w:rPr>
          <w:rFonts w:eastAsia="Malgun Gothic"/>
          <w:bCs/>
          <w:lang w:val="fr-FR"/>
        </w:rPr>
        <w:t>Alheda</w:t>
      </w:r>
      <w:r w:rsidR="00923E72">
        <w:rPr>
          <w:rFonts w:eastAsia="Malgun Gothic"/>
          <w:bCs/>
          <w:lang w:val="fr-FR"/>
        </w:rPr>
        <w:t>’</w:t>
      </w:r>
      <w:r w:rsidRPr="00211903">
        <w:rPr>
          <w:rFonts w:eastAsia="Malgun Gothic"/>
          <w:bCs/>
          <w:lang w:val="fr-FR"/>
        </w:rPr>
        <w:t>a</w:t>
      </w:r>
      <w:proofErr w:type="spellEnd"/>
      <w:r w:rsidRPr="00211903">
        <w:rPr>
          <w:rFonts w:eastAsia="Malgun Gothic"/>
          <w:bCs/>
          <w:lang w:val="fr-FR"/>
        </w:rPr>
        <w:t xml:space="preserve"> permettrait de sensibiliser les communautés locales, régionales et internationales et d</w:t>
      </w:r>
      <w:r w:rsidR="00923E72">
        <w:rPr>
          <w:rFonts w:eastAsia="Malgun Gothic"/>
          <w:bCs/>
          <w:lang w:val="fr-FR"/>
        </w:rPr>
        <w:t>’</w:t>
      </w:r>
      <w:r w:rsidRPr="00211903">
        <w:rPr>
          <w:rFonts w:eastAsia="Malgun Gothic"/>
          <w:bCs/>
          <w:lang w:val="fr-FR"/>
        </w:rPr>
        <w:t>insuffler un sentiment de fierté à ses praticiens. Elle mettrait également l</w:t>
      </w:r>
      <w:r w:rsidR="00923E72">
        <w:rPr>
          <w:rFonts w:eastAsia="Malgun Gothic"/>
          <w:bCs/>
          <w:lang w:val="fr-FR"/>
        </w:rPr>
        <w:t>’</w:t>
      </w:r>
      <w:r w:rsidRPr="00211903">
        <w:rPr>
          <w:rFonts w:eastAsia="Malgun Gothic"/>
          <w:bCs/>
          <w:lang w:val="fr-FR"/>
        </w:rPr>
        <w:t>accent sur l</w:t>
      </w:r>
      <w:r w:rsidR="00923E72">
        <w:rPr>
          <w:rFonts w:eastAsia="Malgun Gothic"/>
          <w:bCs/>
          <w:lang w:val="fr-FR"/>
        </w:rPr>
        <w:t>’</w:t>
      </w:r>
      <w:r w:rsidRPr="00211903">
        <w:rPr>
          <w:rFonts w:eastAsia="Malgun Gothic"/>
          <w:bCs/>
          <w:lang w:val="fr-FR"/>
        </w:rPr>
        <w:t>ancienne relation symbiotique et le lien psychologique entre l</w:t>
      </w:r>
      <w:r w:rsidR="00923E72">
        <w:rPr>
          <w:rFonts w:eastAsia="Malgun Gothic"/>
          <w:bCs/>
          <w:lang w:val="fr-FR"/>
        </w:rPr>
        <w:t>’</w:t>
      </w:r>
      <w:r w:rsidRPr="00211903">
        <w:rPr>
          <w:rFonts w:eastAsia="Malgun Gothic"/>
          <w:bCs/>
          <w:lang w:val="fr-FR"/>
        </w:rPr>
        <w:t>homme et le dromadaire. Ce lien, qui remonte à des milliers d</w:t>
      </w:r>
      <w:r w:rsidR="00923E72">
        <w:rPr>
          <w:rFonts w:eastAsia="Malgun Gothic"/>
          <w:bCs/>
          <w:lang w:val="fr-FR"/>
        </w:rPr>
        <w:t>’</w:t>
      </w:r>
      <w:r w:rsidRPr="00211903">
        <w:rPr>
          <w:rFonts w:eastAsia="Malgun Gothic"/>
          <w:bCs/>
          <w:lang w:val="fr-FR"/>
        </w:rPr>
        <w:t>années, n</w:t>
      </w:r>
      <w:r w:rsidR="00923E72">
        <w:rPr>
          <w:rFonts w:eastAsia="Malgun Gothic"/>
          <w:bCs/>
          <w:lang w:val="fr-FR"/>
        </w:rPr>
        <w:t>’</w:t>
      </w:r>
      <w:r w:rsidRPr="00211903">
        <w:rPr>
          <w:rFonts w:eastAsia="Malgun Gothic"/>
          <w:bCs/>
          <w:lang w:val="fr-FR"/>
        </w:rPr>
        <w:t>était pas seulement fondé sur le besoin de transport de l</w:t>
      </w:r>
      <w:r w:rsidR="00923E72">
        <w:rPr>
          <w:rFonts w:eastAsia="Malgun Gothic"/>
          <w:bCs/>
          <w:lang w:val="fr-FR"/>
        </w:rPr>
        <w:t>’</w:t>
      </w:r>
      <w:r w:rsidRPr="00211903">
        <w:rPr>
          <w:rFonts w:eastAsia="Malgun Gothic"/>
          <w:bCs/>
          <w:lang w:val="fr-FR"/>
        </w:rPr>
        <w:t>homme ou sur une source de ressources naturelles, mais également sur le besoin de compagnie dans un paysage désertique</w:t>
      </w:r>
      <w:r w:rsidR="00EA7E93">
        <w:rPr>
          <w:rFonts w:eastAsia="Malgun Gothic"/>
          <w:bCs/>
          <w:lang w:val="fr-FR"/>
        </w:rPr>
        <w:t>,</w:t>
      </w:r>
      <w:r w:rsidRPr="00211903">
        <w:rPr>
          <w:rFonts w:eastAsia="Malgun Gothic"/>
          <w:bCs/>
          <w:lang w:val="fr-FR"/>
        </w:rPr>
        <w:t xml:space="preserve"> austère mais immaculé. Le dromadaire était un compagnon pour son propriétaire, dont il comprend la voix, le ton, l</w:t>
      </w:r>
      <w:r w:rsidR="00923E72">
        <w:rPr>
          <w:rFonts w:eastAsia="Malgun Gothic"/>
          <w:bCs/>
          <w:lang w:val="fr-FR"/>
        </w:rPr>
        <w:t>’</w:t>
      </w:r>
      <w:r w:rsidRPr="00211903">
        <w:rPr>
          <w:rFonts w:eastAsia="Malgun Gothic"/>
          <w:bCs/>
          <w:lang w:val="fr-FR"/>
        </w:rPr>
        <w:t>odeur et le bien-être. La délégation a exprimé sa sincère gratitude au Sultanat d</w:t>
      </w:r>
      <w:r w:rsidR="00923E72">
        <w:rPr>
          <w:rFonts w:eastAsia="Malgun Gothic"/>
          <w:bCs/>
          <w:lang w:val="fr-FR"/>
        </w:rPr>
        <w:t>’</w:t>
      </w:r>
      <w:r w:rsidRPr="00211903">
        <w:rPr>
          <w:rFonts w:eastAsia="Malgun Gothic"/>
          <w:bCs/>
          <w:lang w:val="fr-FR"/>
        </w:rPr>
        <w:t xml:space="preserve">Oman et aux Émirats arabes unis pour cet effort conjoint, qui continuerait à produire des résultats en sauvegardant </w:t>
      </w:r>
      <w:proofErr w:type="spellStart"/>
      <w:r w:rsidRPr="00211903">
        <w:rPr>
          <w:rFonts w:eastAsia="Malgun Gothic"/>
          <w:bCs/>
          <w:lang w:val="fr-FR"/>
        </w:rPr>
        <w:t>Alheda</w:t>
      </w:r>
      <w:r w:rsidR="00923E72">
        <w:rPr>
          <w:rFonts w:eastAsia="Malgun Gothic"/>
          <w:bCs/>
          <w:lang w:val="fr-FR"/>
        </w:rPr>
        <w:t>’</w:t>
      </w:r>
      <w:r w:rsidRPr="00211903">
        <w:rPr>
          <w:rFonts w:eastAsia="Malgun Gothic"/>
          <w:bCs/>
          <w:lang w:val="fr-FR"/>
        </w:rPr>
        <w:t>a</w:t>
      </w:r>
      <w:proofErr w:type="spellEnd"/>
      <w:r w:rsidRPr="00211903">
        <w:rPr>
          <w:rFonts w:eastAsia="Malgun Gothic"/>
          <w:bCs/>
          <w:lang w:val="fr-FR"/>
        </w:rPr>
        <w:t xml:space="preserve"> pour les générations futures, et a félicité les communautés locales engagées dans cette tradition.</w:t>
      </w:r>
    </w:p>
    <w:p w14:paraId="5E848304" w14:textId="3DD1F9AA" w:rsidR="00BA3629" w:rsidRPr="00702497" w:rsidRDefault="00BA3629" w:rsidP="00702497">
      <w:pPr>
        <w:pStyle w:val="Orateurengris"/>
        <w:tabs>
          <w:tab w:val="clear" w:pos="709"/>
          <w:tab w:val="clear" w:pos="1418"/>
          <w:tab w:val="clear" w:pos="2126"/>
          <w:tab w:val="clear" w:pos="2835"/>
          <w:tab w:val="num" w:pos="851"/>
          <w:tab w:val="left" w:pos="4962"/>
        </w:tabs>
        <w:spacing w:before="120" w:after="0"/>
        <w:ind w:left="851" w:hanging="851"/>
        <w:jc w:val="center"/>
        <w:rPr>
          <w:rFonts w:eastAsia="Malgun Gothic"/>
          <w:bCs/>
          <w:i/>
          <w:iCs/>
          <w:lang w:val="fr-FR"/>
        </w:rPr>
      </w:pPr>
      <w:r w:rsidRPr="00C90815">
        <w:rPr>
          <w:rFonts w:eastAsia="Malgun Gothic"/>
          <w:bCs/>
          <w:i/>
          <w:iCs/>
          <w:lang w:val="fr-FR"/>
        </w:rPr>
        <w:t>[Une vidéo présentant l</w:t>
      </w:r>
      <w:r w:rsidR="00923E72">
        <w:rPr>
          <w:rFonts w:eastAsia="Malgun Gothic"/>
          <w:bCs/>
          <w:i/>
          <w:iCs/>
          <w:lang w:val="fr-FR"/>
        </w:rPr>
        <w:t>’</w:t>
      </w:r>
      <w:r w:rsidRPr="00C90815">
        <w:rPr>
          <w:rFonts w:eastAsia="Malgun Gothic"/>
          <w:bCs/>
          <w:i/>
          <w:iCs/>
          <w:lang w:val="fr-FR"/>
        </w:rPr>
        <w:t>élément a été diffusée]</w:t>
      </w:r>
    </w:p>
    <w:p w14:paraId="5AB2EED8" w14:textId="02B6824C" w:rsidR="00EA7E93" w:rsidRDefault="00EA7E9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EA7E93">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EA7E93">
        <w:rPr>
          <w:rFonts w:eastAsia="Malgun Gothic"/>
          <w:bCs/>
          <w:lang w:val="fr-FR"/>
        </w:rPr>
        <w:t xml:space="preserve"> a présenté le dossier de candidature suivant, </w:t>
      </w:r>
      <w:r w:rsidRPr="00702497">
        <w:rPr>
          <w:rFonts w:eastAsia="Malgun Gothic"/>
          <w:b/>
          <w:lang w:val="fr-FR"/>
        </w:rPr>
        <w:t>la sonnerie manuelle des cloches</w:t>
      </w:r>
      <w:r w:rsidRPr="00EA7E93">
        <w:rPr>
          <w:rFonts w:eastAsia="Malgun Gothic"/>
          <w:bCs/>
          <w:lang w:val="fr-FR"/>
        </w:rPr>
        <w:t xml:space="preserve"> [projet de décision</w:t>
      </w:r>
      <w:r w:rsidR="00A01BFA">
        <w:rPr>
          <w:rFonts w:eastAsia="Malgun Gothic"/>
          <w:bCs/>
          <w:lang w:val="fr-FR"/>
        </w:rPr>
        <w:t> </w:t>
      </w:r>
      <w:r w:rsidRPr="00EA7E93">
        <w:rPr>
          <w:rFonts w:eastAsia="Malgun Gothic"/>
          <w:bCs/>
          <w:lang w:val="fr-FR"/>
        </w:rPr>
        <w:t xml:space="preserve">7.b.28], soumis par </w:t>
      </w:r>
      <w:r w:rsidRPr="00F15FCD">
        <w:rPr>
          <w:rFonts w:eastAsia="Malgun Gothic"/>
          <w:bCs/>
          <w:lang w:val="fr-FR"/>
        </w:rPr>
        <w:t>l</w:t>
      </w:r>
      <w:r w:rsidR="00923E72">
        <w:rPr>
          <w:rFonts w:eastAsia="Malgun Gothic"/>
          <w:bCs/>
          <w:lang w:val="fr-FR"/>
        </w:rPr>
        <w:t>’</w:t>
      </w:r>
      <w:r w:rsidRPr="00702497">
        <w:rPr>
          <w:rFonts w:eastAsia="Malgun Gothic"/>
          <w:b/>
          <w:lang w:val="fr-FR"/>
        </w:rPr>
        <w:t>Espagne</w:t>
      </w:r>
      <w:r w:rsidRPr="00EA7E93">
        <w:rPr>
          <w:rFonts w:eastAsia="Malgun Gothic"/>
          <w:bCs/>
          <w:lang w:val="fr-FR"/>
        </w:rPr>
        <w:t>, expliquant qu</w:t>
      </w:r>
      <w:r w:rsidR="00BA3629">
        <w:rPr>
          <w:rFonts w:eastAsia="Malgun Gothic"/>
          <w:bCs/>
          <w:lang w:val="fr-FR"/>
        </w:rPr>
        <w:t>e, dans ce pays</w:t>
      </w:r>
      <w:r w:rsidRPr="00EA7E93">
        <w:rPr>
          <w:rFonts w:eastAsia="Malgun Gothic"/>
          <w:bCs/>
          <w:lang w:val="fr-FR"/>
        </w:rPr>
        <w:t>, l</w:t>
      </w:r>
      <w:r w:rsidR="00BA3629">
        <w:rPr>
          <w:rFonts w:eastAsia="Malgun Gothic"/>
          <w:bCs/>
          <w:lang w:val="fr-FR"/>
        </w:rPr>
        <w:t>a</w:t>
      </w:r>
      <w:r w:rsidRPr="00EA7E93">
        <w:rPr>
          <w:rFonts w:eastAsia="Malgun Gothic"/>
          <w:bCs/>
          <w:lang w:val="fr-FR"/>
        </w:rPr>
        <w:t xml:space="preserve"> sonnerie de</w:t>
      </w:r>
      <w:r>
        <w:rPr>
          <w:rFonts w:eastAsia="Malgun Gothic"/>
          <w:bCs/>
          <w:lang w:val="fr-FR"/>
        </w:rPr>
        <w:t>s</w:t>
      </w:r>
      <w:r w:rsidRPr="00EA7E93">
        <w:rPr>
          <w:rFonts w:eastAsia="Malgun Gothic"/>
          <w:bCs/>
          <w:lang w:val="fr-FR"/>
        </w:rPr>
        <w:t xml:space="preserve"> cloches </w:t>
      </w:r>
      <w:r w:rsidR="00BA3629">
        <w:rPr>
          <w:rFonts w:eastAsia="Malgun Gothic"/>
          <w:bCs/>
          <w:lang w:val="fr-FR"/>
        </w:rPr>
        <w:t xml:space="preserve">est utilisée comme </w:t>
      </w:r>
      <w:r w:rsidRPr="00EA7E93">
        <w:rPr>
          <w:rFonts w:eastAsia="Malgun Gothic"/>
          <w:bCs/>
          <w:lang w:val="fr-FR"/>
        </w:rPr>
        <w:t>moyen d</w:t>
      </w:r>
      <w:r w:rsidR="00923E72">
        <w:rPr>
          <w:rFonts w:eastAsia="Malgun Gothic"/>
          <w:bCs/>
          <w:lang w:val="fr-FR"/>
        </w:rPr>
        <w:t>’</w:t>
      </w:r>
      <w:r w:rsidRPr="00EA7E93">
        <w:rPr>
          <w:rFonts w:eastAsia="Malgun Gothic"/>
          <w:bCs/>
          <w:lang w:val="fr-FR"/>
        </w:rPr>
        <w:t xml:space="preserve">expression et de communication, remplissant un certain nombre de fonctions sociales, </w:t>
      </w:r>
      <w:r w:rsidR="00BA3629">
        <w:rPr>
          <w:rFonts w:eastAsia="Malgun Gothic"/>
          <w:bCs/>
          <w:lang w:val="fr-FR"/>
        </w:rPr>
        <w:t xml:space="preserve">qui vont </w:t>
      </w:r>
      <w:r w:rsidRPr="00EA7E93">
        <w:rPr>
          <w:rFonts w:eastAsia="Malgun Gothic"/>
          <w:bCs/>
          <w:lang w:val="fr-FR"/>
        </w:rPr>
        <w:t>de l</w:t>
      </w:r>
      <w:r w:rsidR="00BA3629">
        <w:rPr>
          <w:rFonts w:eastAsia="Malgun Gothic"/>
          <w:bCs/>
          <w:lang w:val="fr-FR"/>
        </w:rPr>
        <w:t>a transmission</w:t>
      </w:r>
      <w:r w:rsidRPr="00EA7E93">
        <w:rPr>
          <w:rFonts w:eastAsia="Malgun Gothic"/>
          <w:bCs/>
          <w:lang w:val="fr-FR"/>
        </w:rPr>
        <w:t xml:space="preserve"> d</w:t>
      </w:r>
      <w:r w:rsidR="00923E72">
        <w:rPr>
          <w:rFonts w:eastAsia="Malgun Gothic"/>
          <w:bCs/>
          <w:lang w:val="fr-FR"/>
        </w:rPr>
        <w:t>’</w:t>
      </w:r>
      <w:r w:rsidRPr="00EA7E93">
        <w:rPr>
          <w:rFonts w:eastAsia="Malgun Gothic"/>
          <w:bCs/>
          <w:lang w:val="fr-FR"/>
        </w:rPr>
        <w:t>informations à la coordination, la protection et la cohésion</w:t>
      </w:r>
      <w:r w:rsidR="00BA3629">
        <w:rPr>
          <w:rFonts w:eastAsia="Malgun Gothic"/>
          <w:bCs/>
          <w:lang w:val="fr-FR"/>
        </w:rPr>
        <w:t>,</w:t>
      </w:r>
      <w:r w:rsidRPr="00EA7E93">
        <w:rPr>
          <w:rFonts w:eastAsia="Malgun Gothic"/>
          <w:bCs/>
          <w:lang w:val="fr-FR"/>
        </w:rPr>
        <w:t xml:space="preserve"> et qu</w:t>
      </w:r>
      <w:r w:rsidR="00923E72">
        <w:rPr>
          <w:rFonts w:eastAsia="Malgun Gothic"/>
          <w:bCs/>
          <w:lang w:val="fr-FR"/>
        </w:rPr>
        <w:t>’</w:t>
      </w:r>
      <w:r w:rsidRPr="00EA7E93">
        <w:rPr>
          <w:rFonts w:eastAsia="Malgun Gothic"/>
          <w:bCs/>
          <w:lang w:val="fr-FR"/>
        </w:rPr>
        <w:t>il existe une grande variété de sons déterminés par le</w:t>
      </w:r>
      <w:r w:rsidR="00BA3629">
        <w:rPr>
          <w:rFonts w:eastAsia="Malgun Gothic"/>
          <w:bCs/>
          <w:lang w:val="fr-FR"/>
        </w:rPr>
        <w:t xml:space="preserve"> type de cloche </w:t>
      </w:r>
      <w:r w:rsidRPr="00EA7E93">
        <w:rPr>
          <w:rFonts w:eastAsia="Malgun Gothic"/>
          <w:bCs/>
          <w:lang w:val="fr-FR"/>
        </w:rPr>
        <w:t xml:space="preserve">(carillon, </w:t>
      </w:r>
      <w:r w:rsidR="00BA3629">
        <w:rPr>
          <w:rFonts w:eastAsia="Malgun Gothic"/>
          <w:bCs/>
          <w:lang w:val="fr-FR"/>
        </w:rPr>
        <w:t>cloche demi</w:t>
      </w:r>
      <w:r w:rsidR="00BA3629">
        <w:rPr>
          <w:rFonts w:eastAsia="Malgun Gothic"/>
          <w:bCs/>
          <w:lang w:val="fr-FR"/>
        </w:rPr>
        <w:noBreakHyphen/>
        <w:t>tournante, cloche tournante</w:t>
      </w:r>
      <w:r w:rsidRPr="00EA7E93">
        <w:rPr>
          <w:rFonts w:eastAsia="Malgun Gothic"/>
          <w:bCs/>
          <w:lang w:val="fr-FR"/>
        </w:rPr>
        <w:t xml:space="preserve">) </w:t>
      </w:r>
      <w:r w:rsidR="00BA3629">
        <w:rPr>
          <w:rFonts w:eastAsia="Malgun Gothic"/>
          <w:bCs/>
          <w:lang w:val="fr-FR"/>
        </w:rPr>
        <w:t xml:space="preserve">et par le </w:t>
      </w:r>
      <w:r w:rsidR="00BA3629" w:rsidRPr="00BA3629">
        <w:rPr>
          <w:rFonts w:eastAsia="Malgun Gothic"/>
          <w:bCs/>
          <w:lang w:val="fr-FR"/>
        </w:rPr>
        <w:t>savoir-faire</w:t>
      </w:r>
      <w:r w:rsidR="00BA3629">
        <w:rPr>
          <w:rFonts w:eastAsia="Malgun Gothic"/>
          <w:bCs/>
          <w:lang w:val="fr-FR"/>
        </w:rPr>
        <w:t xml:space="preserve"> </w:t>
      </w:r>
      <w:r w:rsidRPr="00EA7E93">
        <w:rPr>
          <w:rFonts w:eastAsia="Malgun Gothic"/>
          <w:bCs/>
          <w:lang w:val="fr-FR"/>
        </w:rPr>
        <w:t xml:space="preserve">des sonneurs </w:t>
      </w:r>
      <w:r w:rsidR="00BA3629">
        <w:rPr>
          <w:rFonts w:eastAsia="Malgun Gothic"/>
          <w:bCs/>
          <w:lang w:val="fr-FR"/>
        </w:rPr>
        <w:t>ainsi que les</w:t>
      </w:r>
      <w:r w:rsidRPr="00EA7E93">
        <w:rPr>
          <w:rFonts w:eastAsia="Malgun Gothic"/>
          <w:bCs/>
          <w:lang w:val="fr-FR"/>
        </w:rPr>
        <w:t xml:space="preserve"> caractéristiques physiques et </w:t>
      </w:r>
      <w:r w:rsidR="00BA3629">
        <w:rPr>
          <w:rFonts w:eastAsia="Malgun Gothic"/>
          <w:bCs/>
          <w:lang w:val="fr-FR"/>
        </w:rPr>
        <w:t xml:space="preserve">les propriétés </w:t>
      </w:r>
      <w:r w:rsidRPr="00EA7E93">
        <w:rPr>
          <w:rFonts w:eastAsia="Malgun Gothic"/>
          <w:bCs/>
          <w:lang w:val="fr-FR"/>
        </w:rPr>
        <w:t>acoustiques des cloches, tours et</w:t>
      </w:r>
      <w:r w:rsidR="00BA3629">
        <w:rPr>
          <w:rFonts w:eastAsia="Malgun Gothic"/>
          <w:bCs/>
          <w:lang w:val="fr-FR"/>
        </w:rPr>
        <w:t xml:space="preserve"> </w:t>
      </w:r>
      <w:r w:rsidRPr="00EA7E93">
        <w:rPr>
          <w:rFonts w:eastAsia="Malgun Gothic"/>
          <w:bCs/>
          <w:lang w:val="fr-FR"/>
        </w:rPr>
        <w:t>beffrois. L</w:t>
      </w:r>
      <w:r w:rsidR="00923E72">
        <w:rPr>
          <w:rFonts w:eastAsia="Malgun Gothic"/>
          <w:bCs/>
          <w:lang w:val="fr-FR"/>
        </w:rPr>
        <w:t>’</w:t>
      </w:r>
      <w:r w:rsidRPr="00EA7E93">
        <w:rPr>
          <w:rFonts w:eastAsia="Malgun Gothic"/>
          <w:bCs/>
          <w:lang w:val="fr-FR"/>
        </w:rPr>
        <w:t>Organe d</w:t>
      </w:r>
      <w:r w:rsidR="00923E72">
        <w:rPr>
          <w:rFonts w:eastAsia="Malgun Gothic"/>
          <w:bCs/>
          <w:lang w:val="fr-FR"/>
        </w:rPr>
        <w:t>’</w:t>
      </w:r>
      <w:r w:rsidRPr="00EA7E93">
        <w:rPr>
          <w:rFonts w:eastAsia="Malgun Gothic"/>
          <w:bCs/>
          <w:lang w:val="fr-FR"/>
        </w:rPr>
        <w:t>évaluation avait estimé que la candidature satisfaisait à l</w:t>
      </w:r>
      <w:r w:rsidR="00923E72">
        <w:rPr>
          <w:rFonts w:eastAsia="Malgun Gothic"/>
          <w:bCs/>
          <w:lang w:val="fr-FR"/>
        </w:rPr>
        <w:t>’</w:t>
      </w:r>
      <w:r w:rsidRPr="00EA7E93">
        <w:rPr>
          <w:rFonts w:eastAsia="Malgun Gothic"/>
          <w:bCs/>
          <w:lang w:val="fr-FR"/>
        </w:rPr>
        <w:t xml:space="preserve">ensemble des cinq </w:t>
      </w:r>
      <w:r w:rsidRPr="00EA7E93">
        <w:rPr>
          <w:rFonts w:eastAsia="Malgun Gothic"/>
          <w:bCs/>
          <w:lang w:val="fr-FR"/>
        </w:rPr>
        <w:lastRenderedPageBreak/>
        <w:t>critères. Les mesures de sauvegarde proposées mettaient l</w:t>
      </w:r>
      <w:r w:rsidR="00923E72">
        <w:rPr>
          <w:rFonts w:eastAsia="Malgun Gothic"/>
          <w:bCs/>
          <w:lang w:val="fr-FR"/>
        </w:rPr>
        <w:t>’</w:t>
      </w:r>
      <w:r w:rsidRPr="00EA7E93">
        <w:rPr>
          <w:rFonts w:eastAsia="Malgun Gothic"/>
          <w:bCs/>
          <w:lang w:val="fr-FR"/>
        </w:rPr>
        <w:t>accent sur la transmission de la pratique et de sa signification aux jeunes générations. En outre, le dossier attestait d</w:t>
      </w:r>
      <w:r w:rsidR="00923E72">
        <w:rPr>
          <w:rFonts w:eastAsia="Malgun Gothic"/>
          <w:bCs/>
          <w:lang w:val="fr-FR"/>
        </w:rPr>
        <w:t>’</w:t>
      </w:r>
      <w:r w:rsidRPr="00EA7E93">
        <w:rPr>
          <w:rFonts w:eastAsia="Malgun Gothic"/>
          <w:bCs/>
          <w:lang w:val="fr-FR"/>
        </w:rPr>
        <w:t>une forte participation de la communauté à l</w:t>
      </w:r>
      <w:r w:rsidR="00923E72">
        <w:rPr>
          <w:rFonts w:eastAsia="Malgun Gothic"/>
          <w:bCs/>
          <w:lang w:val="fr-FR"/>
        </w:rPr>
        <w:t>’</w:t>
      </w:r>
      <w:r w:rsidRPr="00EA7E93">
        <w:rPr>
          <w:rFonts w:eastAsia="Malgun Gothic"/>
          <w:bCs/>
          <w:lang w:val="fr-FR"/>
        </w:rPr>
        <w:t>élaboration et à la mise en œuvre des mesures de sauvegarde proposées. En conclusion, l</w:t>
      </w:r>
      <w:r w:rsidR="00923E72">
        <w:rPr>
          <w:rFonts w:eastAsia="Malgun Gothic"/>
          <w:bCs/>
          <w:lang w:val="fr-FR"/>
        </w:rPr>
        <w:t>’</w:t>
      </w:r>
      <w:r w:rsidRPr="00EA7E93">
        <w:rPr>
          <w:rFonts w:eastAsia="Malgun Gothic"/>
          <w:bCs/>
          <w:lang w:val="fr-FR"/>
        </w:rPr>
        <w:t>Organe d</w:t>
      </w:r>
      <w:r w:rsidR="00923E72">
        <w:rPr>
          <w:rFonts w:eastAsia="Malgun Gothic"/>
          <w:bCs/>
          <w:lang w:val="fr-FR"/>
        </w:rPr>
        <w:t>’</w:t>
      </w:r>
      <w:r w:rsidRPr="00EA7E93">
        <w:rPr>
          <w:rFonts w:eastAsia="Malgun Gothic"/>
          <w:bCs/>
          <w:lang w:val="fr-FR"/>
        </w:rPr>
        <w:t>évaluation recommandait l</w:t>
      </w:r>
      <w:r w:rsidR="00923E72">
        <w:rPr>
          <w:rFonts w:eastAsia="Malgun Gothic"/>
          <w:bCs/>
          <w:lang w:val="fr-FR"/>
        </w:rPr>
        <w:t>’</w:t>
      </w:r>
      <w:r w:rsidRPr="00EA7E93">
        <w:rPr>
          <w:rFonts w:eastAsia="Malgun Gothic"/>
          <w:bCs/>
          <w:lang w:val="fr-FR"/>
        </w:rPr>
        <w:t>inscription de cet élément.</w:t>
      </w:r>
    </w:p>
    <w:p w14:paraId="08FE7854" w14:textId="40DA84F6" w:rsidR="00BA3629" w:rsidRDefault="00BA3629"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AA3831">
        <w:rPr>
          <w:rFonts w:eastAsia="Malgun Gothic"/>
          <w:b/>
          <w:lang w:val="fr-FR"/>
        </w:rPr>
        <w:t> </w:t>
      </w:r>
      <w:r w:rsidR="00751FB1">
        <w:fldChar w:fldCharType="begin"/>
      </w:r>
      <w:r w:rsidR="00751FB1" w:rsidRPr="00751FB1">
        <w:rPr>
          <w:lang w:val="fr-FR"/>
        </w:rPr>
        <w:instrText>HYPERLINK "https://ich.unesco.org/fr/Decisions/17.COM/7.b.28"</w:instrText>
      </w:r>
      <w:r w:rsidR="00751FB1">
        <w:fldChar w:fldCharType="separate"/>
      </w:r>
      <w:r w:rsidRPr="006E3034">
        <w:rPr>
          <w:rStyle w:val="Hyperlink"/>
          <w:b/>
          <w:bCs/>
          <w:lang w:val="fr-FR"/>
        </w:rPr>
        <w:t>17.COM 7.b.28</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C90815">
        <w:rPr>
          <w:rFonts w:eastAsia="Malgun Gothic"/>
          <w:b/>
          <w:lang w:val="fr-FR"/>
        </w:rPr>
        <w:t>la sonnerie manuelle des cloches</w:t>
      </w:r>
      <w:r>
        <w:rPr>
          <w:rFonts w:eastAsia="Malgun Gothic"/>
          <w:b/>
          <w:lang w:val="fr-FR"/>
        </w:rPr>
        <w:t xml:space="preserve"> sur la Liste représentative</w:t>
      </w:r>
      <w:r>
        <w:rPr>
          <w:rFonts w:eastAsia="Malgun Gothic"/>
          <w:bCs/>
          <w:lang w:val="fr-FR"/>
        </w:rPr>
        <w:t>.</w:t>
      </w:r>
    </w:p>
    <w:p w14:paraId="20231DCB" w14:textId="0B817CB9" w:rsidR="00BA3629" w:rsidRDefault="00BA3629"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BA3629">
        <w:rPr>
          <w:rFonts w:eastAsia="Malgun Gothic"/>
          <w:bCs/>
          <w:lang w:val="fr-FR"/>
        </w:rPr>
        <w:t>La délégation de l</w:t>
      </w:r>
      <w:r w:rsidR="00923E72">
        <w:rPr>
          <w:rFonts w:eastAsia="Malgun Gothic"/>
          <w:bCs/>
          <w:lang w:val="fr-FR"/>
        </w:rPr>
        <w:t>’</w:t>
      </w:r>
      <w:r w:rsidRPr="00702497">
        <w:rPr>
          <w:rFonts w:eastAsia="Malgun Gothic"/>
          <w:b/>
          <w:lang w:val="fr-FR"/>
        </w:rPr>
        <w:t>Espagne</w:t>
      </w:r>
      <w:r w:rsidRPr="00BA3629">
        <w:rPr>
          <w:rFonts w:eastAsia="Malgun Gothic"/>
          <w:bCs/>
          <w:lang w:val="fr-FR"/>
        </w:rPr>
        <w:t xml:space="preserve"> a présenté les personnes </w:t>
      </w:r>
      <w:r w:rsidR="00AA3831">
        <w:rPr>
          <w:rFonts w:eastAsia="Malgun Gothic"/>
          <w:bCs/>
          <w:lang w:val="fr-FR"/>
        </w:rPr>
        <w:t xml:space="preserve">réunies </w:t>
      </w:r>
      <w:r w:rsidRPr="00BA3629">
        <w:rPr>
          <w:rFonts w:eastAsia="Malgun Gothic"/>
          <w:bCs/>
          <w:lang w:val="fr-FR"/>
        </w:rPr>
        <w:t>sur scène, issues d</w:t>
      </w:r>
      <w:r w:rsidR="00923E72">
        <w:rPr>
          <w:rFonts w:eastAsia="Malgun Gothic"/>
          <w:bCs/>
          <w:lang w:val="fr-FR"/>
        </w:rPr>
        <w:t>’</w:t>
      </w:r>
      <w:r w:rsidRPr="00BA3629">
        <w:rPr>
          <w:rFonts w:eastAsia="Malgun Gothic"/>
          <w:bCs/>
          <w:lang w:val="fr-FR"/>
        </w:rPr>
        <w:t>associations de toute l</w:t>
      </w:r>
      <w:r w:rsidR="00923E72">
        <w:rPr>
          <w:rFonts w:eastAsia="Malgun Gothic"/>
          <w:bCs/>
          <w:lang w:val="fr-FR"/>
        </w:rPr>
        <w:t>’</w:t>
      </w:r>
      <w:r w:rsidRPr="00BA3629">
        <w:rPr>
          <w:rFonts w:eastAsia="Malgun Gothic"/>
          <w:bCs/>
          <w:lang w:val="fr-FR"/>
        </w:rPr>
        <w:t>Espagne, représentant cet héritage historique qu</w:t>
      </w:r>
      <w:r w:rsidR="00923E72">
        <w:rPr>
          <w:rFonts w:eastAsia="Malgun Gothic"/>
          <w:bCs/>
          <w:lang w:val="fr-FR"/>
        </w:rPr>
        <w:t>’</w:t>
      </w:r>
      <w:r w:rsidR="004D4A0F">
        <w:rPr>
          <w:rFonts w:eastAsia="Malgun Gothic"/>
          <w:bCs/>
          <w:lang w:val="fr-FR"/>
        </w:rPr>
        <w:t xml:space="preserve">est </w:t>
      </w:r>
      <w:r w:rsidRPr="00BA3629">
        <w:rPr>
          <w:rFonts w:eastAsia="Malgun Gothic"/>
          <w:bCs/>
          <w:lang w:val="fr-FR"/>
        </w:rPr>
        <w:t>l</w:t>
      </w:r>
      <w:r w:rsidR="004D4A0F">
        <w:rPr>
          <w:rFonts w:eastAsia="Malgun Gothic"/>
          <w:bCs/>
          <w:lang w:val="fr-FR"/>
        </w:rPr>
        <w:t>a</w:t>
      </w:r>
      <w:r w:rsidRPr="00BA3629">
        <w:rPr>
          <w:rFonts w:eastAsia="Malgun Gothic"/>
          <w:bCs/>
          <w:lang w:val="fr-FR"/>
        </w:rPr>
        <w:t xml:space="preserve"> sonnerie</w:t>
      </w:r>
      <w:r w:rsidR="004D4A0F">
        <w:rPr>
          <w:rFonts w:eastAsia="Malgun Gothic"/>
          <w:bCs/>
          <w:lang w:val="fr-FR"/>
        </w:rPr>
        <w:t xml:space="preserve"> manuelle</w:t>
      </w:r>
      <w:r w:rsidRPr="00BA3629">
        <w:rPr>
          <w:rFonts w:eastAsia="Malgun Gothic"/>
          <w:bCs/>
          <w:lang w:val="fr-FR"/>
        </w:rPr>
        <w:t xml:space="preserve"> de</w:t>
      </w:r>
      <w:r w:rsidR="004D4A0F">
        <w:rPr>
          <w:rFonts w:eastAsia="Malgun Gothic"/>
          <w:bCs/>
          <w:lang w:val="fr-FR"/>
        </w:rPr>
        <w:t>s</w:t>
      </w:r>
      <w:r w:rsidRPr="00BA3629">
        <w:rPr>
          <w:rFonts w:eastAsia="Malgun Gothic"/>
          <w:bCs/>
          <w:lang w:val="fr-FR"/>
        </w:rPr>
        <w:t xml:space="preserve"> cloches, qui </w:t>
      </w:r>
      <w:r w:rsidR="004D4A0F">
        <w:rPr>
          <w:rFonts w:eastAsia="Malgun Gothic"/>
          <w:bCs/>
          <w:lang w:val="fr-FR"/>
        </w:rPr>
        <w:t xml:space="preserve">a </w:t>
      </w:r>
      <w:r w:rsidRPr="00BA3629">
        <w:rPr>
          <w:rFonts w:eastAsia="Malgun Gothic"/>
          <w:bCs/>
          <w:lang w:val="fr-FR"/>
        </w:rPr>
        <w:t xml:space="preserve">survécu au fil du temps et </w:t>
      </w:r>
      <w:r w:rsidR="004D4A0F">
        <w:rPr>
          <w:rFonts w:eastAsia="Malgun Gothic"/>
          <w:bCs/>
          <w:lang w:val="fr-FR"/>
        </w:rPr>
        <w:t xml:space="preserve">est </w:t>
      </w:r>
      <w:r w:rsidRPr="00BA3629">
        <w:rPr>
          <w:rFonts w:eastAsia="Malgun Gothic"/>
          <w:bCs/>
          <w:lang w:val="fr-FR"/>
        </w:rPr>
        <w:t>transmise aux jeunes. Elle a précisé qu</w:t>
      </w:r>
      <w:r w:rsidR="00923E72">
        <w:rPr>
          <w:rFonts w:eastAsia="Malgun Gothic"/>
          <w:bCs/>
          <w:lang w:val="fr-FR"/>
        </w:rPr>
        <w:t>’</w:t>
      </w:r>
      <w:r w:rsidRPr="00BA3629">
        <w:rPr>
          <w:rFonts w:eastAsia="Malgun Gothic"/>
          <w:bCs/>
          <w:lang w:val="fr-FR"/>
        </w:rPr>
        <w:t>il s</w:t>
      </w:r>
      <w:r w:rsidR="00923E72">
        <w:rPr>
          <w:rFonts w:eastAsia="Malgun Gothic"/>
          <w:bCs/>
          <w:lang w:val="fr-FR"/>
        </w:rPr>
        <w:t>’</w:t>
      </w:r>
      <w:r w:rsidRPr="00BA3629">
        <w:rPr>
          <w:rFonts w:eastAsia="Malgun Gothic"/>
          <w:bCs/>
          <w:lang w:val="fr-FR"/>
        </w:rPr>
        <w:t>agit d</w:t>
      </w:r>
      <w:r w:rsidR="00923E72">
        <w:rPr>
          <w:rFonts w:eastAsia="Malgun Gothic"/>
          <w:bCs/>
          <w:lang w:val="fr-FR"/>
        </w:rPr>
        <w:t>’</w:t>
      </w:r>
      <w:r w:rsidRPr="00BA3629">
        <w:rPr>
          <w:rFonts w:eastAsia="Malgun Gothic"/>
          <w:bCs/>
          <w:lang w:val="fr-FR"/>
        </w:rPr>
        <w:t>un exemple de mémoire, d</w:t>
      </w:r>
      <w:r w:rsidR="00923E72">
        <w:rPr>
          <w:rFonts w:eastAsia="Malgun Gothic"/>
          <w:bCs/>
          <w:lang w:val="fr-FR"/>
        </w:rPr>
        <w:t>’</w:t>
      </w:r>
      <w:r w:rsidRPr="00BA3629">
        <w:rPr>
          <w:rFonts w:eastAsia="Malgun Gothic"/>
          <w:bCs/>
          <w:lang w:val="fr-FR"/>
        </w:rPr>
        <w:t>histoire, de tradition et de communication. La délégation a remercié le Comité, mais également ceux qui avaient été au cœur de ce dossier et pour qui des années avaient été nécessaires pour mener à bien cette inscription. [Deuxième orateur] M.</w:t>
      </w:r>
      <w:r w:rsidR="004D4A0F">
        <w:rPr>
          <w:rFonts w:eastAsia="Malgun Gothic"/>
          <w:bCs/>
          <w:lang w:val="fr-FR"/>
        </w:rPr>
        <w:t> </w:t>
      </w:r>
      <w:r w:rsidRPr="00BA3629">
        <w:rPr>
          <w:rFonts w:eastAsia="Malgun Gothic"/>
          <w:bCs/>
          <w:lang w:val="fr-FR"/>
        </w:rPr>
        <w:t>Javier García Fernández, représentant d</w:t>
      </w:r>
      <w:r w:rsidR="00923E72">
        <w:rPr>
          <w:rFonts w:eastAsia="Malgun Gothic"/>
          <w:bCs/>
          <w:lang w:val="fr-FR"/>
        </w:rPr>
        <w:t>’</w:t>
      </w:r>
      <w:proofErr w:type="spellStart"/>
      <w:r w:rsidRPr="00D40861">
        <w:rPr>
          <w:rFonts w:eastAsia="Malgun Gothic"/>
          <w:bCs/>
          <w:lang w:val="fr-FR"/>
        </w:rPr>
        <w:t>Hispania</w:t>
      </w:r>
      <w:proofErr w:type="spellEnd"/>
      <w:r w:rsidRPr="00D40861">
        <w:rPr>
          <w:rFonts w:eastAsia="Malgun Gothic"/>
          <w:bCs/>
          <w:lang w:val="fr-FR"/>
        </w:rPr>
        <w:t xml:space="preserve"> Nostra</w:t>
      </w:r>
      <w:r w:rsidRPr="00BA3629">
        <w:rPr>
          <w:rFonts w:eastAsia="Malgun Gothic"/>
          <w:bCs/>
          <w:lang w:val="fr-FR"/>
        </w:rPr>
        <w:t>, une association espagnole qui soutient le patrimoine et sa sauvegarde, a rappelé que, depuis</w:t>
      </w:r>
      <w:r w:rsidR="001A7AF7">
        <w:rPr>
          <w:rFonts w:eastAsia="Malgun Gothic"/>
          <w:bCs/>
          <w:lang w:val="fr-FR"/>
        </w:rPr>
        <w:t> </w:t>
      </w:r>
      <w:r w:rsidRPr="00BA3629">
        <w:rPr>
          <w:rFonts w:eastAsia="Malgun Gothic"/>
          <w:bCs/>
          <w:lang w:val="fr-FR"/>
        </w:rPr>
        <w:t>2017, son association s</w:t>
      </w:r>
      <w:r w:rsidR="00923E72">
        <w:rPr>
          <w:rFonts w:eastAsia="Malgun Gothic"/>
          <w:bCs/>
          <w:lang w:val="fr-FR"/>
        </w:rPr>
        <w:t>’</w:t>
      </w:r>
      <w:r w:rsidRPr="00BA3629">
        <w:rPr>
          <w:rFonts w:eastAsia="Malgun Gothic"/>
          <w:bCs/>
          <w:lang w:val="fr-FR"/>
        </w:rPr>
        <w:t>engageait à assurer la protection juridique et administrative de la sonnerie manuelle des cloches. C</w:t>
      </w:r>
      <w:r w:rsidR="00923E72">
        <w:rPr>
          <w:rFonts w:eastAsia="Malgun Gothic"/>
          <w:bCs/>
          <w:lang w:val="fr-FR"/>
        </w:rPr>
        <w:t>’</w:t>
      </w:r>
      <w:r w:rsidR="004D4A0F">
        <w:rPr>
          <w:rFonts w:eastAsia="Malgun Gothic"/>
          <w:bCs/>
          <w:lang w:val="fr-FR"/>
        </w:rPr>
        <w:t>était</w:t>
      </w:r>
      <w:r w:rsidRPr="00BA3629">
        <w:rPr>
          <w:rFonts w:eastAsia="Malgun Gothic"/>
          <w:bCs/>
          <w:lang w:val="fr-FR"/>
        </w:rPr>
        <w:t xml:space="preserve"> un exemple de la manière dont la société civile espagnole peut être impliquée dans la sauvegarde. [Troisième intervenant] Un représentant de la communauté des détenteurs a remercié le Comité pour cette inscription, et déclaré que s</w:t>
      </w:r>
      <w:r w:rsidR="00923E72">
        <w:rPr>
          <w:rFonts w:eastAsia="Malgun Gothic"/>
          <w:bCs/>
          <w:lang w:val="fr-FR"/>
        </w:rPr>
        <w:t>’</w:t>
      </w:r>
      <w:r w:rsidRPr="00BA3629">
        <w:rPr>
          <w:rFonts w:eastAsia="Malgun Gothic"/>
          <w:bCs/>
          <w:lang w:val="fr-FR"/>
        </w:rPr>
        <w:t>il existe une très grande diversité de langues en Espagne, la sonnerie manuelle de</w:t>
      </w:r>
      <w:r w:rsidR="004D4A0F">
        <w:rPr>
          <w:rFonts w:eastAsia="Malgun Gothic"/>
          <w:bCs/>
          <w:lang w:val="fr-FR"/>
        </w:rPr>
        <w:t>s</w:t>
      </w:r>
      <w:r w:rsidRPr="00BA3629">
        <w:rPr>
          <w:rFonts w:eastAsia="Malgun Gothic"/>
          <w:bCs/>
          <w:lang w:val="fr-FR"/>
        </w:rPr>
        <w:t xml:space="preserve"> cloches est également une langue riche et diversifiée en elle-même</w:t>
      </w:r>
      <w:r w:rsidR="004D4A0F">
        <w:rPr>
          <w:rFonts w:eastAsia="Malgun Gothic"/>
          <w:bCs/>
          <w:lang w:val="fr-FR"/>
        </w:rPr>
        <w:t xml:space="preserve">, rappelant </w:t>
      </w:r>
      <w:r w:rsidRPr="00BA3629">
        <w:rPr>
          <w:rFonts w:eastAsia="Malgun Gothic"/>
          <w:bCs/>
          <w:lang w:val="fr-FR"/>
        </w:rPr>
        <w:t>qu</w:t>
      </w:r>
      <w:r w:rsidR="00923E72">
        <w:rPr>
          <w:rFonts w:eastAsia="Malgun Gothic"/>
          <w:bCs/>
          <w:lang w:val="fr-FR"/>
        </w:rPr>
        <w:t>’</w:t>
      </w:r>
      <w:r w:rsidRPr="00BA3629">
        <w:rPr>
          <w:rFonts w:eastAsia="Malgun Gothic"/>
          <w:bCs/>
          <w:lang w:val="fr-FR"/>
        </w:rPr>
        <w:t>elle présente des caractéristiques spécifiques à chaque région et que c</w:t>
      </w:r>
      <w:r w:rsidR="00923E72">
        <w:rPr>
          <w:rFonts w:eastAsia="Malgun Gothic"/>
          <w:bCs/>
          <w:lang w:val="fr-FR"/>
        </w:rPr>
        <w:t>’</w:t>
      </w:r>
      <w:r w:rsidRPr="00BA3629">
        <w:rPr>
          <w:rFonts w:eastAsia="Malgun Gothic"/>
          <w:bCs/>
          <w:lang w:val="fr-FR"/>
        </w:rPr>
        <w:t>est un héritage transmis au fil du temps par les anciens aux jeunes sonneurs. Les cloches avaient également un message et s</w:t>
      </w:r>
      <w:r w:rsidR="00923E72">
        <w:rPr>
          <w:rFonts w:eastAsia="Malgun Gothic"/>
          <w:bCs/>
          <w:lang w:val="fr-FR"/>
        </w:rPr>
        <w:t>’</w:t>
      </w:r>
      <w:r w:rsidRPr="00BA3629">
        <w:rPr>
          <w:rFonts w:eastAsia="Malgun Gothic"/>
          <w:bCs/>
          <w:lang w:val="fr-FR"/>
        </w:rPr>
        <w:t>étaient toujours adaptées à l</w:t>
      </w:r>
      <w:r w:rsidR="00923E72">
        <w:rPr>
          <w:rFonts w:eastAsia="Malgun Gothic"/>
          <w:bCs/>
          <w:lang w:val="fr-FR"/>
        </w:rPr>
        <w:t>’</w:t>
      </w:r>
      <w:r w:rsidRPr="00BA3629">
        <w:rPr>
          <w:rFonts w:eastAsia="Malgun Gothic"/>
          <w:bCs/>
          <w:lang w:val="fr-FR"/>
        </w:rPr>
        <w:t>époque historique. Elles étaient aussi variées que les communautés qui reçoivent les messages d</w:t>
      </w:r>
      <w:r w:rsidR="00923E72">
        <w:rPr>
          <w:rFonts w:eastAsia="Malgun Gothic"/>
          <w:bCs/>
          <w:lang w:val="fr-FR"/>
        </w:rPr>
        <w:t>’</w:t>
      </w:r>
      <w:r w:rsidRPr="00BA3629">
        <w:rPr>
          <w:rFonts w:eastAsia="Malgun Gothic"/>
          <w:bCs/>
          <w:lang w:val="fr-FR"/>
        </w:rPr>
        <w:t>avertissement, de fête, de dévotion, de deuil, d</w:t>
      </w:r>
      <w:r w:rsidR="00923E72">
        <w:rPr>
          <w:rFonts w:eastAsia="Malgun Gothic"/>
          <w:bCs/>
          <w:lang w:val="fr-FR"/>
        </w:rPr>
        <w:t>’</w:t>
      </w:r>
      <w:r w:rsidRPr="00BA3629">
        <w:rPr>
          <w:rFonts w:eastAsia="Malgun Gothic"/>
          <w:bCs/>
          <w:lang w:val="fr-FR"/>
        </w:rPr>
        <w:t>adieu</w:t>
      </w:r>
      <w:r w:rsidR="004F553B">
        <w:rPr>
          <w:rFonts w:eastAsia="Malgun Gothic"/>
          <w:bCs/>
          <w:lang w:val="fr-FR"/>
        </w:rPr>
        <w:t> </w:t>
      </w:r>
      <w:r w:rsidRPr="00BA3629">
        <w:rPr>
          <w:rFonts w:eastAsia="Malgun Gothic"/>
          <w:bCs/>
          <w:lang w:val="fr-FR"/>
        </w:rPr>
        <w:t>; des messages qui peuvent être transmis par le son des cloches. C</w:t>
      </w:r>
      <w:r w:rsidR="00923E72">
        <w:rPr>
          <w:rFonts w:eastAsia="Malgun Gothic"/>
          <w:bCs/>
          <w:lang w:val="fr-FR"/>
        </w:rPr>
        <w:t>’</w:t>
      </w:r>
      <w:r w:rsidRPr="00BA3629">
        <w:rPr>
          <w:rFonts w:eastAsia="Malgun Gothic"/>
          <w:bCs/>
          <w:lang w:val="fr-FR"/>
        </w:rPr>
        <w:t>était un langage universel dans les villages, les villes, les pays, une identité spécifique liée à des territoires spécifiques</w:t>
      </w:r>
      <w:r w:rsidR="004D4A0F">
        <w:rPr>
          <w:rFonts w:eastAsia="Malgun Gothic"/>
          <w:bCs/>
          <w:lang w:val="fr-FR"/>
        </w:rPr>
        <w:t>, l</w:t>
      </w:r>
      <w:r w:rsidRPr="00BA3629">
        <w:rPr>
          <w:rFonts w:eastAsia="Malgun Gothic"/>
          <w:bCs/>
          <w:lang w:val="fr-FR"/>
        </w:rPr>
        <w:t>es sonneurs interprétant les messages avec beaucoup d</w:t>
      </w:r>
      <w:r w:rsidR="00923E72">
        <w:rPr>
          <w:rFonts w:eastAsia="Malgun Gothic"/>
          <w:bCs/>
          <w:lang w:val="fr-FR"/>
        </w:rPr>
        <w:t>’</w:t>
      </w:r>
      <w:r w:rsidRPr="00BA3629">
        <w:rPr>
          <w:rFonts w:eastAsia="Malgun Gothic"/>
          <w:bCs/>
          <w:lang w:val="fr-FR"/>
        </w:rPr>
        <w:t>émotion. Il a remercié le Comité au nom de toutes les associations de sonneurs de cloches.</w:t>
      </w:r>
    </w:p>
    <w:p w14:paraId="49D4722E" w14:textId="05654152" w:rsidR="004D4A0F" w:rsidRDefault="004D4A0F"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4D4A0F">
        <w:rPr>
          <w:rFonts w:eastAsia="Malgun Gothic"/>
          <w:bCs/>
          <w:lang w:val="fr-FR"/>
        </w:rPr>
        <w:t xml:space="preserve">Le </w:t>
      </w:r>
      <w:r w:rsidRPr="00702497">
        <w:rPr>
          <w:rFonts w:eastAsia="Malgun Gothic"/>
          <w:b/>
          <w:lang w:val="fr-FR"/>
        </w:rPr>
        <w:t>Secrétaire</w:t>
      </w:r>
      <w:r w:rsidRPr="004D4A0F">
        <w:rPr>
          <w:rFonts w:eastAsia="Malgun Gothic"/>
          <w:bCs/>
          <w:lang w:val="fr-FR"/>
        </w:rPr>
        <w:t xml:space="preserve"> a informé le Comité que l</w:t>
      </w:r>
      <w:r w:rsidR="00923E72">
        <w:rPr>
          <w:rFonts w:eastAsia="Malgun Gothic"/>
          <w:bCs/>
          <w:lang w:val="fr-FR"/>
        </w:rPr>
        <w:t>’</w:t>
      </w:r>
      <w:r w:rsidRPr="004D4A0F">
        <w:rPr>
          <w:rFonts w:eastAsia="Malgun Gothic"/>
          <w:bCs/>
          <w:lang w:val="fr-FR"/>
        </w:rPr>
        <w:t>examen du dossier de candidature soumis par l</w:t>
      </w:r>
      <w:r w:rsidR="00923E72">
        <w:rPr>
          <w:rFonts w:eastAsia="Malgun Gothic"/>
          <w:bCs/>
          <w:lang w:val="fr-FR"/>
        </w:rPr>
        <w:t>’</w:t>
      </w:r>
      <w:r w:rsidRPr="004D4A0F">
        <w:rPr>
          <w:rFonts w:eastAsia="Malgun Gothic"/>
          <w:bCs/>
          <w:lang w:val="fr-FR"/>
        </w:rPr>
        <w:t>Afghanistan et la République islamique d</w:t>
      </w:r>
      <w:r w:rsidR="00923E72">
        <w:rPr>
          <w:rFonts w:eastAsia="Malgun Gothic"/>
          <w:bCs/>
          <w:lang w:val="fr-FR"/>
        </w:rPr>
        <w:t>’</w:t>
      </w:r>
      <w:r w:rsidRPr="004D4A0F">
        <w:rPr>
          <w:rFonts w:eastAsia="Malgun Gothic"/>
          <w:bCs/>
          <w:lang w:val="fr-FR"/>
        </w:rPr>
        <w:t xml:space="preserve">Iran serait temporairement </w:t>
      </w:r>
      <w:r w:rsidR="0073323E">
        <w:rPr>
          <w:rFonts w:eastAsia="Malgun Gothic"/>
          <w:bCs/>
          <w:lang w:val="fr-FR"/>
        </w:rPr>
        <w:t xml:space="preserve">mis en attente </w:t>
      </w:r>
      <w:r w:rsidRPr="004D4A0F">
        <w:rPr>
          <w:rFonts w:eastAsia="Malgun Gothic"/>
          <w:bCs/>
          <w:lang w:val="fr-FR"/>
        </w:rPr>
        <w:t>afin que le Comité puisse examiner l</w:t>
      </w:r>
      <w:r w:rsidR="0073323E">
        <w:rPr>
          <w:rFonts w:eastAsia="Malgun Gothic"/>
          <w:bCs/>
          <w:lang w:val="fr-FR"/>
        </w:rPr>
        <w:t>es</w:t>
      </w:r>
      <w:r w:rsidRPr="004D4A0F">
        <w:rPr>
          <w:rFonts w:eastAsia="Malgun Gothic"/>
          <w:bCs/>
          <w:lang w:val="fr-FR"/>
        </w:rPr>
        <w:t xml:space="preserve"> candidature</w:t>
      </w:r>
      <w:r w:rsidR="0073323E">
        <w:rPr>
          <w:rFonts w:eastAsia="Malgun Gothic"/>
          <w:bCs/>
          <w:lang w:val="fr-FR"/>
        </w:rPr>
        <w:t>s</w:t>
      </w:r>
      <w:r w:rsidRPr="004D4A0F">
        <w:rPr>
          <w:rFonts w:eastAsia="Malgun Gothic"/>
          <w:bCs/>
          <w:lang w:val="fr-FR"/>
        </w:rPr>
        <w:t xml:space="preserve"> suivante</w:t>
      </w:r>
      <w:r w:rsidR="0073323E">
        <w:rPr>
          <w:rFonts w:eastAsia="Malgun Gothic"/>
          <w:bCs/>
          <w:lang w:val="fr-FR"/>
        </w:rPr>
        <w:t>s, correspondant aux projets de décision </w:t>
      </w:r>
      <w:r w:rsidRPr="004D4A0F">
        <w:rPr>
          <w:rFonts w:eastAsia="Malgun Gothic"/>
          <w:bCs/>
          <w:lang w:val="fr-FR"/>
        </w:rPr>
        <w:t>7.b</w:t>
      </w:r>
      <w:r w:rsidR="0073323E">
        <w:rPr>
          <w:rFonts w:eastAsia="Malgun Gothic"/>
          <w:bCs/>
          <w:lang w:val="fr-FR"/>
        </w:rPr>
        <w:t> </w:t>
      </w:r>
      <w:r w:rsidRPr="004D4A0F">
        <w:rPr>
          <w:rFonts w:eastAsia="Malgun Gothic"/>
          <w:bCs/>
          <w:lang w:val="fr-FR"/>
        </w:rPr>
        <w:t>16 et</w:t>
      </w:r>
      <w:r w:rsidR="0073323E">
        <w:rPr>
          <w:rFonts w:eastAsia="Malgun Gothic"/>
          <w:bCs/>
          <w:lang w:val="fr-FR"/>
        </w:rPr>
        <w:t> </w:t>
      </w:r>
      <w:r>
        <w:rPr>
          <w:rFonts w:eastAsia="Malgun Gothic"/>
          <w:bCs/>
          <w:lang w:val="fr-FR"/>
        </w:rPr>
        <w:t>7</w:t>
      </w:r>
      <w:r w:rsidRPr="004D4A0F">
        <w:rPr>
          <w:rFonts w:eastAsia="Malgun Gothic"/>
          <w:bCs/>
          <w:lang w:val="fr-FR"/>
        </w:rPr>
        <w:t>.b.19.</w:t>
      </w:r>
    </w:p>
    <w:p w14:paraId="4F1A0EB1" w14:textId="75648A08" w:rsidR="00713723" w:rsidRDefault="0071372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713723">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713723">
        <w:rPr>
          <w:rFonts w:eastAsia="Malgun Gothic"/>
          <w:bCs/>
          <w:lang w:val="fr-FR"/>
        </w:rPr>
        <w:t xml:space="preserve"> a présenté le dossier de candidature suivant, </w:t>
      </w:r>
      <w:r w:rsidRPr="00702497">
        <w:rPr>
          <w:rFonts w:eastAsia="Malgun Gothic"/>
          <w:b/>
          <w:lang w:val="fr-FR"/>
        </w:rPr>
        <w:t>la fabrication et la pratique de l</w:t>
      </w:r>
      <w:r w:rsidR="00923E72">
        <w:rPr>
          <w:rFonts w:eastAsia="Malgun Gothic"/>
          <w:b/>
          <w:lang w:val="fr-FR"/>
        </w:rPr>
        <w:t>’</w:t>
      </w:r>
      <w:r w:rsidRPr="00702497">
        <w:rPr>
          <w:rFonts w:eastAsia="Malgun Gothic"/>
          <w:b/>
          <w:lang w:val="fr-FR"/>
        </w:rPr>
        <w:t>oud</w:t>
      </w:r>
      <w:r w:rsidRPr="00713723">
        <w:rPr>
          <w:rFonts w:eastAsia="Malgun Gothic"/>
          <w:bCs/>
          <w:lang w:val="fr-FR"/>
        </w:rPr>
        <w:t xml:space="preserve"> [projet de décision</w:t>
      </w:r>
      <w:r w:rsidR="00AA3831">
        <w:rPr>
          <w:rFonts w:eastAsia="Malgun Gothic"/>
          <w:bCs/>
          <w:lang w:val="fr-FR"/>
        </w:rPr>
        <w:t> </w:t>
      </w:r>
      <w:r w:rsidRPr="00713723">
        <w:rPr>
          <w:rFonts w:eastAsia="Malgun Gothic"/>
          <w:bCs/>
          <w:lang w:val="fr-FR"/>
        </w:rPr>
        <w:t xml:space="preserve">7.b.16], soumis par </w:t>
      </w:r>
      <w:r w:rsidRPr="00F15FCD">
        <w:rPr>
          <w:rFonts w:eastAsia="Malgun Gothic"/>
          <w:bCs/>
          <w:lang w:val="fr-FR"/>
        </w:rPr>
        <w:t>la</w:t>
      </w:r>
      <w:r w:rsidRPr="00713723">
        <w:rPr>
          <w:rFonts w:eastAsia="Malgun Gothic"/>
          <w:bCs/>
          <w:lang w:val="fr-FR"/>
        </w:rPr>
        <w:t xml:space="preserve">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 xml:space="preserve">Iran </w:t>
      </w:r>
      <w:r w:rsidRPr="00F15FCD">
        <w:rPr>
          <w:rFonts w:eastAsia="Malgun Gothic"/>
          <w:bCs/>
          <w:lang w:val="fr-FR"/>
        </w:rPr>
        <w:t>et</w:t>
      </w:r>
      <w:r w:rsidRPr="00702497">
        <w:rPr>
          <w:rFonts w:eastAsia="Malgun Gothic"/>
          <w:b/>
          <w:lang w:val="fr-FR"/>
        </w:rPr>
        <w:t xml:space="preserve"> </w:t>
      </w:r>
      <w:r w:rsidRPr="00F15FCD">
        <w:rPr>
          <w:rFonts w:eastAsia="Malgun Gothic"/>
          <w:bCs/>
          <w:lang w:val="fr-FR"/>
        </w:rPr>
        <w:t>la</w:t>
      </w:r>
      <w:r w:rsidRPr="00702497">
        <w:rPr>
          <w:rFonts w:eastAsia="Malgun Gothic"/>
          <w:b/>
          <w:lang w:val="fr-FR"/>
        </w:rPr>
        <w:t xml:space="preserve"> République arabe syrienne</w:t>
      </w:r>
      <w:r w:rsidR="006C2256">
        <w:rPr>
          <w:rFonts w:eastAsia="Malgun Gothic"/>
          <w:bCs/>
          <w:lang w:val="fr-FR"/>
        </w:rPr>
        <w:t xml:space="preserve">, </w:t>
      </w:r>
      <w:r w:rsidRPr="00713723">
        <w:rPr>
          <w:rFonts w:eastAsia="Malgun Gothic"/>
          <w:bCs/>
          <w:lang w:val="fr-FR"/>
        </w:rPr>
        <w:t>expliquant que l</w:t>
      </w:r>
      <w:r w:rsidR="00923E72">
        <w:rPr>
          <w:rFonts w:eastAsia="Malgun Gothic"/>
          <w:bCs/>
          <w:lang w:val="fr-FR"/>
        </w:rPr>
        <w:t>’</w:t>
      </w:r>
      <w:r w:rsidRPr="00713723">
        <w:rPr>
          <w:rFonts w:eastAsia="Malgun Gothic"/>
          <w:bCs/>
          <w:lang w:val="fr-FR"/>
        </w:rPr>
        <w:t>oud est un instrument traditionnel</w:t>
      </w:r>
      <w:r>
        <w:rPr>
          <w:rFonts w:eastAsia="Malgun Gothic"/>
          <w:bCs/>
          <w:lang w:val="fr-FR"/>
        </w:rPr>
        <w:t xml:space="preserve"> voisin du</w:t>
      </w:r>
      <w:r w:rsidRPr="00713723">
        <w:rPr>
          <w:rFonts w:eastAsia="Malgun Gothic"/>
          <w:bCs/>
          <w:lang w:val="fr-FR"/>
        </w:rPr>
        <w:t xml:space="preserve"> luth</w:t>
      </w:r>
      <w:r>
        <w:rPr>
          <w:rFonts w:eastAsia="Malgun Gothic"/>
          <w:bCs/>
          <w:lang w:val="fr-FR"/>
        </w:rPr>
        <w:t>,</w:t>
      </w:r>
      <w:r w:rsidRPr="00713723">
        <w:rPr>
          <w:rFonts w:eastAsia="Malgun Gothic"/>
          <w:bCs/>
          <w:lang w:val="fr-FR"/>
        </w:rPr>
        <w:t xml:space="preserve"> joué en Iran et en Syrie, et qu</w:t>
      </w:r>
      <w:r w:rsidR="00923E72">
        <w:rPr>
          <w:rFonts w:eastAsia="Malgun Gothic"/>
          <w:bCs/>
          <w:lang w:val="fr-FR"/>
        </w:rPr>
        <w:t>’</w:t>
      </w:r>
      <w:r w:rsidRPr="00713723">
        <w:rPr>
          <w:rFonts w:eastAsia="Malgun Gothic"/>
          <w:bCs/>
          <w:lang w:val="fr-FR"/>
        </w:rPr>
        <w:t>afin d</w:t>
      </w:r>
      <w:r w:rsidR="00923E72">
        <w:rPr>
          <w:rFonts w:eastAsia="Malgun Gothic"/>
          <w:bCs/>
          <w:lang w:val="fr-FR"/>
        </w:rPr>
        <w:t>’</w:t>
      </w:r>
      <w:r w:rsidRPr="00713723">
        <w:rPr>
          <w:rFonts w:eastAsia="Malgun Gothic"/>
          <w:bCs/>
          <w:lang w:val="fr-FR"/>
        </w:rPr>
        <w:t>en jouer, le musicien place l</w:t>
      </w:r>
      <w:r w:rsidR="00923E72">
        <w:rPr>
          <w:rFonts w:eastAsia="Malgun Gothic"/>
          <w:bCs/>
          <w:lang w:val="fr-FR"/>
        </w:rPr>
        <w:t>’</w:t>
      </w:r>
      <w:r w:rsidRPr="00713723">
        <w:rPr>
          <w:rFonts w:eastAsia="Malgun Gothic"/>
          <w:bCs/>
          <w:lang w:val="fr-FR"/>
        </w:rPr>
        <w:t xml:space="preserve">instrument à manche court sur sa jambe, en </w:t>
      </w:r>
      <w:r>
        <w:rPr>
          <w:rFonts w:eastAsia="Malgun Gothic"/>
          <w:bCs/>
          <w:lang w:val="fr-FR"/>
        </w:rPr>
        <w:t>bloquant les</w:t>
      </w:r>
      <w:r w:rsidRPr="00713723">
        <w:rPr>
          <w:rFonts w:eastAsia="Malgun Gothic"/>
          <w:bCs/>
          <w:lang w:val="fr-FR"/>
        </w:rPr>
        <w:t xml:space="preserve"> frette</w:t>
      </w:r>
      <w:r>
        <w:rPr>
          <w:rFonts w:eastAsia="Malgun Gothic"/>
          <w:bCs/>
          <w:lang w:val="fr-FR"/>
        </w:rPr>
        <w:t>s</w:t>
      </w:r>
      <w:r w:rsidRPr="00713723">
        <w:rPr>
          <w:rFonts w:eastAsia="Malgun Gothic"/>
          <w:bCs/>
          <w:lang w:val="fr-FR"/>
        </w:rPr>
        <w:t xml:space="preserve"> d</w:t>
      </w:r>
      <w:r w:rsidR="00923E72">
        <w:rPr>
          <w:rFonts w:eastAsia="Malgun Gothic"/>
          <w:bCs/>
          <w:lang w:val="fr-FR"/>
        </w:rPr>
        <w:t>’</w:t>
      </w:r>
      <w:r w:rsidRPr="00713723">
        <w:rPr>
          <w:rFonts w:eastAsia="Malgun Gothic"/>
          <w:bCs/>
          <w:lang w:val="fr-FR"/>
        </w:rPr>
        <w:t xml:space="preserve">une main et en pinçant les </w:t>
      </w:r>
      <w:r>
        <w:rPr>
          <w:rFonts w:eastAsia="Malgun Gothic"/>
          <w:bCs/>
          <w:lang w:val="fr-FR"/>
        </w:rPr>
        <w:t xml:space="preserve">cordes </w:t>
      </w:r>
      <w:r w:rsidRPr="00713723">
        <w:rPr>
          <w:rFonts w:eastAsia="Malgun Gothic"/>
          <w:bCs/>
          <w:lang w:val="fr-FR"/>
        </w:rPr>
        <w:t>de l</w:t>
      </w:r>
      <w:r w:rsidR="00923E72">
        <w:rPr>
          <w:rFonts w:eastAsia="Malgun Gothic"/>
          <w:bCs/>
          <w:lang w:val="fr-FR"/>
        </w:rPr>
        <w:t>’</w:t>
      </w:r>
      <w:r w:rsidRPr="00713723">
        <w:rPr>
          <w:rFonts w:eastAsia="Malgun Gothic"/>
          <w:bCs/>
          <w:lang w:val="fr-FR"/>
        </w:rPr>
        <w:t xml:space="preserve">autre. </w:t>
      </w:r>
      <w:r>
        <w:rPr>
          <w:rFonts w:eastAsia="Malgun Gothic"/>
          <w:bCs/>
          <w:lang w:val="fr-FR"/>
        </w:rPr>
        <w:t>Il a précisé que d</w:t>
      </w:r>
      <w:r w:rsidRPr="00713723">
        <w:rPr>
          <w:rFonts w:eastAsia="Malgun Gothic"/>
          <w:bCs/>
          <w:lang w:val="fr-FR"/>
        </w:rPr>
        <w:t>ans les deux pays, l</w:t>
      </w:r>
      <w:r w:rsidR="00923E72">
        <w:rPr>
          <w:rFonts w:eastAsia="Malgun Gothic"/>
          <w:bCs/>
          <w:lang w:val="fr-FR"/>
        </w:rPr>
        <w:t>’</w:t>
      </w:r>
      <w:r w:rsidRPr="00713723">
        <w:rPr>
          <w:rFonts w:eastAsia="Malgun Gothic"/>
          <w:bCs/>
          <w:lang w:val="fr-FR"/>
        </w:rPr>
        <w:t xml:space="preserve">oud </w:t>
      </w:r>
      <w:r>
        <w:rPr>
          <w:rFonts w:eastAsia="Malgun Gothic"/>
          <w:bCs/>
          <w:lang w:val="fr-FR"/>
        </w:rPr>
        <w:t xml:space="preserve">comprend </w:t>
      </w:r>
      <w:r w:rsidRPr="00713723">
        <w:rPr>
          <w:rFonts w:eastAsia="Malgun Gothic"/>
          <w:bCs/>
          <w:lang w:val="fr-FR"/>
        </w:rPr>
        <w:t xml:space="preserve">une caisse de résonance </w:t>
      </w:r>
      <w:r>
        <w:rPr>
          <w:rFonts w:eastAsia="Malgun Gothic"/>
          <w:bCs/>
          <w:lang w:val="fr-FR"/>
        </w:rPr>
        <w:t xml:space="preserve">piriforme </w:t>
      </w:r>
      <w:r w:rsidRPr="00713723">
        <w:rPr>
          <w:rFonts w:eastAsia="Malgun Gothic"/>
          <w:bCs/>
          <w:lang w:val="fr-FR"/>
        </w:rPr>
        <w:t>en bois de noyer, de rose, de peuplier, d</w:t>
      </w:r>
      <w:r w:rsidR="00923E72">
        <w:rPr>
          <w:rFonts w:eastAsia="Malgun Gothic"/>
          <w:bCs/>
          <w:lang w:val="fr-FR"/>
        </w:rPr>
        <w:t>’</w:t>
      </w:r>
      <w:r w:rsidRPr="00713723">
        <w:rPr>
          <w:rFonts w:eastAsia="Malgun Gothic"/>
          <w:bCs/>
          <w:lang w:val="fr-FR"/>
        </w:rPr>
        <w:t>ébène ou d</w:t>
      </w:r>
      <w:r w:rsidR="00923E72">
        <w:rPr>
          <w:rFonts w:eastAsia="Malgun Gothic"/>
          <w:bCs/>
          <w:lang w:val="fr-FR"/>
        </w:rPr>
        <w:t>’</w:t>
      </w:r>
      <w:r w:rsidRPr="00713723">
        <w:rPr>
          <w:rFonts w:eastAsia="Malgun Gothic"/>
          <w:bCs/>
          <w:lang w:val="fr-FR"/>
        </w:rPr>
        <w:t>abricot</w:t>
      </w:r>
      <w:r>
        <w:rPr>
          <w:rFonts w:eastAsia="Malgun Gothic"/>
          <w:bCs/>
          <w:lang w:val="fr-FR"/>
        </w:rPr>
        <w:t>ier</w:t>
      </w:r>
      <w:r w:rsidRPr="00713723">
        <w:rPr>
          <w:rFonts w:eastAsia="Malgun Gothic"/>
          <w:bCs/>
          <w:lang w:val="fr-FR"/>
        </w:rPr>
        <w:t>. Après avoir entamé un processus de dialogue sur les critères</w:t>
      </w:r>
      <w:r>
        <w:rPr>
          <w:rFonts w:eastAsia="Malgun Gothic"/>
          <w:bCs/>
          <w:lang w:val="fr-FR"/>
        </w:rPr>
        <w:t> </w:t>
      </w:r>
      <w:r w:rsidRPr="00713723">
        <w:rPr>
          <w:rFonts w:eastAsia="Malgun Gothic"/>
          <w:bCs/>
          <w:lang w:val="fr-FR"/>
        </w:rPr>
        <w:t>R.3 et</w:t>
      </w:r>
      <w:r>
        <w:rPr>
          <w:rFonts w:eastAsia="Malgun Gothic"/>
          <w:bCs/>
          <w:lang w:val="fr-FR"/>
        </w:rPr>
        <w:t> </w:t>
      </w:r>
      <w:r w:rsidRPr="00713723">
        <w:rPr>
          <w:rFonts w:eastAsia="Malgun Gothic"/>
          <w:bCs/>
          <w:lang w:val="fr-FR"/>
        </w:rPr>
        <w:t>R.4 relatifs à la participation des communautés à la planification et à la mise en œuvre des mesures de sauvegarde</w:t>
      </w:r>
      <w:r>
        <w:rPr>
          <w:rFonts w:eastAsia="Malgun Gothic"/>
          <w:bCs/>
          <w:lang w:val="fr-FR"/>
        </w:rPr>
        <w:t>,</w:t>
      </w:r>
      <w:r w:rsidRPr="00713723">
        <w:rPr>
          <w:rFonts w:eastAsia="Malgun Gothic"/>
          <w:bCs/>
          <w:lang w:val="fr-FR"/>
        </w:rPr>
        <w:t xml:space="preserve"> et au processus de candidature, l</w:t>
      </w:r>
      <w:r w:rsidR="00923E72">
        <w:rPr>
          <w:rFonts w:eastAsia="Malgun Gothic"/>
          <w:bCs/>
          <w:lang w:val="fr-FR"/>
        </w:rPr>
        <w:t>’</w:t>
      </w:r>
      <w:r w:rsidRPr="00713723">
        <w:rPr>
          <w:rFonts w:eastAsia="Malgun Gothic"/>
          <w:bCs/>
          <w:lang w:val="fr-FR"/>
        </w:rPr>
        <w:t>Organe d</w:t>
      </w:r>
      <w:r w:rsidR="00923E72">
        <w:rPr>
          <w:rFonts w:eastAsia="Malgun Gothic"/>
          <w:bCs/>
          <w:lang w:val="fr-FR"/>
        </w:rPr>
        <w:t>’</w:t>
      </w:r>
      <w:r w:rsidRPr="00713723">
        <w:rPr>
          <w:rFonts w:eastAsia="Malgun Gothic"/>
          <w:bCs/>
          <w:lang w:val="fr-FR"/>
        </w:rPr>
        <w:t>évaluation avait estimé que la candidature satisfaisait à l</w:t>
      </w:r>
      <w:r w:rsidR="00923E72">
        <w:rPr>
          <w:rFonts w:eastAsia="Malgun Gothic"/>
          <w:bCs/>
          <w:lang w:val="fr-FR"/>
        </w:rPr>
        <w:t>’</w:t>
      </w:r>
      <w:r w:rsidRPr="00713723">
        <w:rPr>
          <w:rFonts w:eastAsia="Malgun Gothic"/>
          <w:bCs/>
          <w:lang w:val="fr-FR"/>
        </w:rPr>
        <w:t>ensemble des cinq critères et recommandait son inscription.</w:t>
      </w:r>
    </w:p>
    <w:p w14:paraId="5BD36358" w14:textId="453C0B59" w:rsidR="00713723" w:rsidRDefault="0071372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AA3831">
        <w:rPr>
          <w:rFonts w:eastAsia="Malgun Gothic"/>
          <w:b/>
          <w:lang w:val="fr-FR"/>
        </w:rPr>
        <w:t> </w:t>
      </w:r>
      <w:r w:rsidR="00751FB1">
        <w:fldChar w:fldCharType="begin"/>
      </w:r>
      <w:r w:rsidR="00751FB1" w:rsidRPr="00751FB1">
        <w:rPr>
          <w:lang w:val="fr-FR"/>
        </w:rPr>
        <w:instrText>HYPERLINK "https://ich.unesco.org/fr/Decisions/17.COM/7.b.16"</w:instrText>
      </w:r>
      <w:r w:rsidR="00751FB1">
        <w:fldChar w:fldCharType="separate"/>
      </w:r>
      <w:r w:rsidRPr="006E3034">
        <w:rPr>
          <w:rStyle w:val="Hyperlink"/>
          <w:b/>
          <w:bCs/>
          <w:lang w:val="fr-FR"/>
        </w:rPr>
        <w:t>17.COM 7.b.16</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C90815">
        <w:rPr>
          <w:rFonts w:eastAsia="Malgun Gothic"/>
          <w:b/>
          <w:lang w:val="fr-FR"/>
        </w:rPr>
        <w:t>la fabrication et la pratique de l</w:t>
      </w:r>
      <w:r w:rsidR="00923E72">
        <w:rPr>
          <w:rFonts w:eastAsia="Malgun Gothic"/>
          <w:b/>
          <w:lang w:val="fr-FR"/>
        </w:rPr>
        <w:t>’</w:t>
      </w:r>
      <w:r w:rsidRPr="00C90815">
        <w:rPr>
          <w:rFonts w:eastAsia="Malgun Gothic"/>
          <w:b/>
          <w:lang w:val="fr-FR"/>
        </w:rPr>
        <w:t>oud</w:t>
      </w:r>
      <w:r w:rsidRPr="00713723">
        <w:rPr>
          <w:rFonts w:eastAsia="Malgun Gothic"/>
          <w:bCs/>
          <w:lang w:val="fr-FR"/>
        </w:rPr>
        <w:t xml:space="preserve"> </w:t>
      </w:r>
      <w:r>
        <w:rPr>
          <w:rFonts w:eastAsia="Malgun Gothic"/>
          <w:b/>
          <w:lang w:val="fr-FR"/>
        </w:rPr>
        <w:t>sur la Liste représentative</w:t>
      </w:r>
      <w:r>
        <w:rPr>
          <w:rFonts w:eastAsia="Malgun Gothic"/>
          <w:bCs/>
          <w:lang w:val="fr-FR"/>
        </w:rPr>
        <w:t>.</w:t>
      </w:r>
    </w:p>
    <w:p w14:paraId="2208909A" w14:textId="40DC77E2" w:rsidR="00713723" w:rsidRDefault="0071372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713723">
        <w:rPr>
          <w:rFonts w:eastAsia="Malgun Gothic"/>
          <w:bCs/>
          <w:lang w:val="fr-FR"/>
        </w:rPr>
        <w:lastRenderedPageBreak/>
        <w:t xml:space="preserve">La délégation de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Iran</w:t>
      </w:r>
      <w:r w:rsidRPr="00713723">
        <w:rPr>
          <w:rFonts w:eastAsia="Malgun Gothic"/>
          <w:bCs/>
          <w:lang w:val="fr-FR"/>
        </w:rPr>
        <w:t xml:space="preserve"> a expliqué que l</w:t>
      </w:r>
      <w:r w:rsidR="00923E72">
        <w:rPr>
          <w:rFonts w:eastAsia="Malgun Gothic"/>
          <w:bCs/>
          <w:lang w:val="fr-FR"/>
        </w:rPr>
        <w:t>’</w:t>
      </w:r>
      <w:r w:rsidRPr="00713723">
        <w:rPr>
          <w:rFonts w:eastAsia="Malgun Gothic"/>
          <w:bCs/>
          <w:lang w:val="fr-FR"/>
        </w:rPr>
        <w:t xml:space="preserve">oud ou </w:t>
      </w:r>
      <w:proofErr w:type="spellStart"/>
      <w:r w:rsidRPr="00713723">
        <w:rPr>
          <w:rFonts w:eastAsia="Malgun Gothic"/>
          <w:bCs/>
          <w:lang w:val="fr-FR"/>
        </w:rPr>
        <w:t>barbat</w:t>
      </w:r>
      <w:proofErr w:type="spellEnd"/>
      <w:r w:rsidRPr="00713723">
        <w:rPr>
          <w:rFonts w:eastAsia="Malgun Gothic"/>
          <w:bCs/>
          <w:lang w:val="fr-FR"/>
        </w:rPr>
        <w:t xml:space="preserve"> est le symbole des instruments de musique historiques iraniens et syriens</w:t>
      </w:r>
      <w:r w:rsidR="004F553B">
        <w:rPr>
          <w:rFonts w:eastAsia="Malgun Gothic"/>
          <w:bCs/>
          <w:lang w:val="fr-FR"/>
        </w:rPr>
        <w:t>,</w:t>
      </w:r>
      <w:r w:rsidRPr="00713723">
        <w:rPr>
          <w:rFonts w:eastAsia="Malgun Gothic"/>
          <w:bCs/>
          <w:lang w:val="fr-FR"/>
        </w:rPr>
        <w:t xml:space="preserve"> qui sont également fabriqués et joués dans d</w:t>
      </w:r>
      <w:r w:rsidR="00923E72">
        <w:rPr>
          <w:rFonts w:eastAsia="Malgun Gothic"/>
          <w:bCs/>
          <w:lang w:val="fr-FR"/>
        </w:rPr>
        <w:t>’</w:t>
      </w:r>
      <w:r w:rsidRPr="00713723">
        <w:rPr>
          <w:rFonts w:eastAsia="Malgun Gothic"/>
          <w:bCs/>
          <w:lang w:val="fr-FR"/>
        </w:rPr>
        <w:t>autres parties du monde. Il était de la plus haute importance que cet élément soit inscrit sur la Liste représentative. La délégation a remercié les collègues syriens d</w:t>
      </w:r>
      <w:r w:rsidR="00923E72">
        <w:rPr>
          <w:rFonts w:eastAsia="Malgun Gothic"/>
          <w:bCs/>
          <w:lang w:val="fr-FR"/>
        </w:rPr>
        <w:t>’</w:t>
      </w:r>
      <w:r w:rsidRPr="00713723">
        <w:rPr>
          <w:rFonts w:eastAsia="Malgun Gothic"/>
          <w:bCs/>
          <w:lang w:val="fr-FR"/>
        </w:rPr>
        <w:t xml:space="preserve">avoir préparé conjointement cette candidature et a </w:t>
      </w:r>
      <w:r w:rsidR="00536889">
        <w:rPr>
          <w:rFonts w:eastAsia="Malgun Gothic"/>
          <w:bCs/>
          <w:lang w:val="fr-FR"/>
        </w:rPr>
        <w:t xml:space="preserve">adressé ses remerciements au </w:t>
      </w:r>
      <w:r w:rsidRPr="00713723">
        <w:rPr>
          <w:rFonts w:eastAsia="Malgun Gothic"/>
          <w:bCs/>
          <w:lang w:val="fr-FR"/>
        </w:rPr>
        <w:t xml:space="preserve">Comité, </w:t>
      </w:r>
      <w:r w:rsidR="00536889">
        <w:rPr>
          <w:rFonts w:eastAsia="Malgun Gothic"/>
          <w:bCs/>
          <w:lang w:val="fr-FR"/>
        </w:rPr>
        <w:t xml:space="preserve">à </w:t>
      </w:r>
      <w:r w:rsidRPr="00713723">
        <w:rPr>
          <w:rFonts w:eastAsia="Malgun Gothic"/>
          <w:bCs/>
          <w:lang w:val="fr-FR"/>
        </w:rPr>
        <w:t>l</w:t>
      </w:r>
      <w:r w:rsidR="00923E72">
        <w:rPr>
          <w:rFonts w:eastAsia="Malgun Gothic"/>
          <w:bCs/>
          <w:lang w:val="fr-FR"/>
        </w:rPr>
        <w:t>’</w:t>
      </w:r>
      <w:r w:rsidRPr="00713723">
        <w:rPr>
          <w:rFonts w:eastAsia="Malgun Gothic"/>
          <w:bCs/>
          <w:lang w:val="fr-FR"/>
        </w:rPr>
        <w:t>Organe d</w:t>
      </w:r>
      <w:r w:rsidR="00923E72">
        <w:rPr>
          <w:rFonts w:eastAsia="Malgun Gothic"/>
          <w:bCs/>
          <w:lang w:val="fr-FR"/>
        </w:rPr>
        <w:t>’</w:t>
      </w:r>
      <w:r w:rsidRPr="00713723">
        <w:rPr>
          <w:rFonts w:eastAsia="Malgun Gothic"/>
          <w:bCs/>
          <w:lang w:val="fr-FR"/>
        </w:rPr>
        <w:t xml:space="preserve">évaluation et </w:t>
      </w:r>
      <w:r w:rsidR="00536889">
        <w:rPr>
          <w:rFonts w:eastAsia="Malgun Gothic"/>
          <w:bCs/>
          <w:lang w:val="fr-FR"/>
        </w:rPr>
        <w:t>au</w:t>
      </w:r>
      <w:r w:rsidRPr="00713723">
        <w:rPr>
          <w:rFonts w:eastAsia="Malgun Gothic"/>
          <w:bCs/>
          <w:lang w:val="fr-FR"/>
        </w:rPr>
        <w:t xml:space="preserve"> Secrétariat. Elle a exprimé sa gratitude au Gouvernement du Maroc pour son excellente hospitalité et pour l</w:t>
      </w:r>
      <w:r w:rsidR="00923E72">
        <w:rPr>
          <w:rFonts w:eastAsia="Malgun Gothic"/>
          <w:bCs/>
          <w:lang w:val="fr-FR"/>
        </w:rPr>
        <w:t>’</w:t>
      </w:r>
      <w:r w:rsidRPr="00713723">
        <w:rPr>
          <w:rFonts w:eastAsia="Malgun Gothic"/>
          <w:bCs/>
          <w:lang w:val="fr-FR"/>
        </w:rPr>
        <w:t>organisation et la direction de cette session. La délégation a lu un vers d</w:t>
      </w:r>
      <w:r w:rsidR="00923E72">
        <w:rPr>
          <w:rFonts w:eastAsia="Malgun Gothic"/>
          <w:bCs/>
          <w:lang w:val="fr-FR"/>
        </w:rPr>
        <w:t>’</w:t>
      </w:r>
      <w:r w:rsidRPr="00713723">
        <w:rPr>
          <w:rFonts w:eastAsia="Malgun Gothic"/>
          <w:bCs/>
          <w:lang w:val="fr-FR"/>
        </w:rPr>
        <w:t xml:space="preserve">un poème persan de </w:t>
      </w:r>
      <w:proofErr w:type="spellStart"/>
      <w:r w:rsidRPr="00713723">
        <w:rPr>
          <w:rFonts w:eastAsia="Malgun Gothic"/>
          <w:bCs/>
          <w:lang w:val="fr-FR"/>
        </w:rPr>
        <w:t>Jalāl</w:t>
      </w:r>
      <w:proofErr w:type="spellEnd"/>
      <w:r w:rsidRPr="00713723">
        <w:rPr>
          <w:rFonts w:eastAsia="Malgun Gothic"/>
          <w:bCs/>
          <w:lang w:val="fr-FR"/>
        </w:rPr>
        <w:t xml:space="preserve"> </w:t>
      </w:r>
      <w:proofErr w:type="spellStart"/>
      <w:r w:rsidRPr="00713723">
        <w:rPr>
          <w:rFonts w:eastAsia="Malgun Gothic"/>
          <w:bCs/>
          <w:lang w:val="fr-FR"/>
        </w:rPr>
        <w:t>al-Dīn</w:t>
      </w:r>
      <w:proofErr w:type="spellEnd"/>
      <w:r w:rsidRPr="00713723">
        <w:rPr>
          <w:rFonts w:eastAsia="Malgun Gothic"/>
          <w:bCs/>
          <w:lang w:val="fr-FR"/>
        </w:rPr>
        <w:t xml:space="preserve"> </w:t>
      </w:r>
      <w:proofErr w:type="spellStart"/>
      <w:r w:rsidRPr="00713723">
        <w:rPr>
          <w:rFonts w:eastAsia="Malgun Gothic"/>
          <w:bCs/>
          <w:lang w:val="fr-FR"/>
        </w:rPr>
        <w:t>Muḥammad</w:t>
      </w:r>
      <w:proofErr w:type="spellEnd"/>
      <w:r w:rsidRPr="00713723">
        <w:rPr>
          <w:rFonts w:eastAsia="Malgun Gothic"/>
          <w:bCs/>
          <w:lang w:val="fr-FR"/>
        </w:rPr>
        <w:t xml:space="preserve"> </w:t>
      </w:r>
      <w:proofErr w:type="spellStart"/>
      <w:r w:rsidRPr="00713723">
        <w:rPr>
          <w:rFonts w:eastAsia="Malgun Gothic"/>
          <w:bCs/>
          <w:lang w:val="fr-FR"/>
        </w:rPr>
        <w:t>Mawlawī</w:t>
      </w:r>
      <w:proofErr w:type="spellEnd"/>
      <w:r w:rsidRPr="00713723">
        <w:rPr>
          <w:rFonts w:eastAsia="Malgun Gothic"/>
          <w:bCs/>
          <w:lang w:val="fr-FR"/>
        </w:rPr>
        <w:t xml:space="preserve"> sur l</w:t>
      </w:r>
      <w:r w:rsidR="00923E72">
        <w:rPr>
          <w:rFonts w:eastAsia="Malgun Gothic"/>
          <w:bCs/>
          <w:lang w:val="fr-FR"/>
        </w:rPr>
        <w:t>’</w:t>
      </w:r>
      <w:r w:rsidRPr="00713723">
        <w:rPr>
          <w:rFonts w:eastAsia="Malgun Gothic"/>
          <w:bCs/>
          <w:lang w:val="fr-FR"/>
        </w:rPr>
        <w:t>oud</w:t>
      </w:r>
      <w:r w:rsidR="00536889">
        <w:rPr>
          <w:rFonts w:eastAsia="Malgun Gothic"/>
          <w:bCs/>
          <w:lang w:val="fr-FR"/>
        </w:rPr>
        <w:t> : « </w:t>
      </w:r>
      <w:r w:rsidRPr="00713723">
        <w:rPr>
          <w:rFonts w:eastAsia="Malgun Gothic"/>
          <w:bCs/>
          <w:lang w:val="fr-FR"/>
        </w:rPr>
        <w:t xml:space="preserve">Apportez de la joie au </w:t>
      </w:r>
      <w:proofErr w:type="spellStart"/>
      <w:r w:rsidRPr="00713723">
        <w:rPr>
          <w:rFonts w:eastAsia="Malgun Gothic"/>
          <w:bCs/>
          <w:lang w:val="fr-FR"/>
        </w:rPr>
        <w:t>magis</w:t>
      </w:r>
      <w:proofErr w:type="spellEnd"/>
      <w:r w:rsidRPr="00713723">
        <w:rPr>
          <w:rFonts w:eastAsia="Malgun Gothic"/>
          <w:bCs/>
          <w:lang w:val="fr-FR"/>
        </w:rPr>
        <w:t>, avec ces deux morceaux de bois, appréciez le parfum d</w:t>
      </w:r>
      <w:r w:rsidR="00AA3831">
        <w:rPr>
          <w:rFonts w:eastAsia="Malgun Gothic"/>
          <w:bCs/>
          <w:lang w:val="fr-FR"/>
        </w:rPr>
        <w:t>e</w:t>
      </w:r>
      <w:r w:rsidRPr="00713723">
        <w:rPr>
          <w:rFonts w:eastAsia="Malgun Gothic"/>
          <w:bCs/>
          <w:lang w:val="fr-FR"/>
        </w:rPr>
        <w:t xml:space="preserve"> </w:t>
      </w:r>
      <w:r w:rsidR="00AA3831">
        <w:rPr>
          <w:rFonts w:eastAsia="Malgun Gothic"/>
          <w:bCs/>
          <w:lang w:val="fr-FR"/>
        </w:rPr>
        <w:t>l</w:t>
      </w:r>
      <w:r w:rsidR="00923E72">
        <w:rPr>
          <w:rFonts w:eastAsia="Malgun Gothic"/>
          <w:bCs/>
          <w:lang w:val="fr-FR"/>
        </w:rPr>
        <w:t>’</w:t>
      </w:r>
      <w:r w:rsidRPr="00713723">
        <w:rPr>
          <w:rFonts w:eastAsia="Malgun Gothic"/>
          <w:bCs/>
          <w:lang w:val="fr-FR"/>
        </w:rPr>
        <w:t xml:space="preserve">oud, jouez du </w:t>
      </w:r>
      <w:proofErr w:type="spellStart"/>
      <w:r w:rsidRPr="00713723">
        <w:rPr>
          <w:rFonts w:eastAsia="Malgun Gothic"/>
          <w:bCs/>
          <w:lang w:val="fr-FR"/>
        </w:rPr>
        <w:t>barbat</w:t>
      </w:r>
      <w:proofErr w:type="spellEnd"/>
      <w:r w:rsidR="002B3ECA">
        <w:rPr>
          <w:rFonts w:eastAsia="Malgun Gothic"/>
          <w:bCs/>
          <w:lang w:val="fr-FR"/>
        </w:rPr>
        <w:t>.</w:t>
      </w:r>
      <w:r w:rsidR="00536889">
        <w:rPr>
          <w:rFonts w:eastAsia="Malgun Gothic"/>
          <w:bCs/>
          <w:lang w:val="fr-FR"/>
        </w:rPr>
        <w:t> »</w:t>
      </w:r>
    </w:p>
    <w:p w14:paraId="0B1FE571" w14:textId="5723B902" w:rsidR="00536889" w:rsidRDefault="00536889"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36889">
        <w:rPr>
          <w:rFonts w:eastAsia="Malgun Gothic"/>
          <w:bCs/>
          <w:lang w:val="fr-FR"/>
        </w:rPr>
        <w:t xml:space="preserve">La </w:t>
      </w:r>
      <w:r w:rsidRPr="00702497">
        <w:rPr>
          <w:rFonts w:eastAsia="Malgun Gothic"/>
          <w:b/>
          <w:lang w:val="fr-FR"/>
        </w:rPr>
        <w:t>République arabe syrienne</w:t>
      </w:r>
      <w:r w:rsidRPr="00536889">
        <w:rPr>
          <w:rFonts w:eastAsia="Malgun Gothic"/>
          <w:bCs/>
          <w:lang w:val="fr-FR"/>
        </w:rPr>
        <w:t xml:space="preserve"> s</w:t>
      </w:r>
      <w:r w:rsidR="00923E72">
        <w:rPr>
          <w:rFonts w:eastAsia="Malgun Gothic"/>
          <w:bCs/>
          <w:lang w:val="fr-FR"/>
        </w:rPr>
        <w:t>’</w:t>
      </w:r>
      <w:r w:rsidRPr="00536889">
        <w:rPr>
          <w:rFonts w:eastAsia="Malgun Gothic"/>
          <w:bCs/>
          <w:lang w:val="fr-FR"/>
        </w:rPr>
        <w:t xml:space="preserve">est exprimée au nom des artisans </w:t>
      </w:r>
      <w:r w:rsidR="00BD1C56">
        <w:rPr>
          <w:rFonts w:eastAsia="Malgun Gothic"/>
          <w:bCs/>
          <w:lang w:val="fr-FR"/>
        </w:rPr>
        <w:t>de l</w:t>
      </w:r>
      <w:r w:rsidR="00923E72">
        <w:rPr>
          <w:rFonts w:eastAsia="Malgun Gothic"/>
          <w:bCs/>
          <w:lang w:val="fr-FR"/>
        </w:rPr>
        <w:t>’</w:t>
      </w:r>
      <w:r w:rsidR="00BD1C56">
        <w:rPr>
          <w:rFonts w:eastAsia="Malgun Gothic"/>
          <w:bCs/>
          <w:lang w:val="fr-FR"/>
        </w:rPr>
        <w:t xml:space="preserve">oud </w:t>
      </w:r>
      <w:r w:rsidRPr="00536889">
        <w:rPr>
          <w:rFonts w:eastAsia="Malgun Gothic"/>
          <w:bCs/>
          <w:lang w:val="fr-FR"/>
        </w:rPr>
        <w:t xml:space="preserve">et des musiciens </w:t>
      </w:r>
      <w:r w:rsidR="00BD1C56">
        <w:rPr>
          <w:rFonts w:eastAsia="Malgun Gothic"/>
          <w:bCs/>
          <w:lang w:val="fr-FR"/>
        </w:rPr>
        <w:t xml:space="preserve">qui le pratiquent </w:t>
      </w:r>
      <w:r w:rsidRPr="00536889">
        <w:rPr>
          <w:rFonts w:eastAsia="Malgun Gothic"/>
          <w:bCs/>
          <w:lang w:val="fr-FR"/>
        </w:rPr>
        <w:t>en Syrie pour remercier le Comité d</w:t>
      </w:r>
      <w:r w:rsidR="00923E72">
        <w:rPr>
          <w:rFonts w:eastAsia="Malgun Gothic"/>
          <w:bCs/>
          <w:lang w:val="fr-FR"/>
        </w:rPr>
        <w:t>’</w:t>
      </w:r>
      <w:r w:rsidRPr="00536889">
        <w:rPr>
          <w:rFonts w:eastAsia="Malgun Gothic"/>
          <w:bCs/>
          <w:lang w:val="fr-FR"/>
        </w:rPr>
        <w:t>avoir adopté l</w:t>
      </w:r>
      <w:r w:rsidR="00923E72">
        <w:rPr>
          <w:rFonts w:eastAsia="Malgun Gothic"/>
          <w:bCs/>
          <w:lang w:val="fr-FR"/>
        </w:rPr>
        <w:t>’</w:t>
      </w:r>
      <w:r w:rsidRPr="00536889">
        <w:rPr>
          <w:rFonts w:eastAsia="Malgun Gothic"/>
          <w:bCs/>
          <w:lang w:val="fr-FR"/>
        </w:rPr>
        <w:t>inscription de ce patrimoine culturel immatériel commun sur la Liste représentative</w:t>
      </w:r>
      <w:r>
        <w:rPr>
          <w:rFonts w:eastAsia="Malgun Gothic"/>
          <w:bCs/>
          <w:lang w:val="fr-FR"/>
        </w:rPr>
        <w:t>, précisant que c</w:t>
      </w:r>
      <w:r w:rsidR="00923E72">
        <w:rPr>
          <w:rFonts w:eastAsia="Malgun Gothic"/>
          <w:bCs/>
          <w:lang w:val="fr-FR"/>
        </w:rPr>
        <w:t>’</w:t>
      </w:r>
      <w:r>
        <w:rPr>
          <w:rFonts w:eastAsia="Malgun Gothic"/>
          <w:bCs/>
          <w:lang w:val="fr-FR"/>
        </w:rPr>
        <w:t>était</w:t>
      </w:r>
      <w:r w:rsidRPr="00536889">
        <w:rPr>
          <w:rFonts w:eastAsia="Malgun Gothic"/>
          <w:bCs/>
          <w:lang w:val="fr-FR"/>
        </w:rPr>
        <w:t xml:space="preserve"> une occasion </w:t>
      </w:r>
      <w:r>
        <w:rPr>
          <w:rFonts w:eastAsia="Malgun Gothic"/>
          <w:bCs/>
          <w:lang w:val="fr-FR"/>
        </w:rPr>
        <w:t xml:space="preserve">de se réjouir </w:t>
      </w:r>
      <w:r w:rsidRPr="00536889">
        <w:rPr>
          <w:rFonts w:eastAsia="Malgun Gothic"/>
          <w:bCs/>
          <w:lang w:val="fr-FR"/>
        </w:rPr>
        <w:t>pour les communautés, mais également une occasion précieuse de promouvoir la diversité culturelle, la créativité et les valeurs positives de nos nations. La délégation a reconnu avec satisfaction qu</w:t>
      </w:r>
      <w:r w:rsidR="00923E72">
        <w:rPr>
          <w:rFonts w:eastAsia="Malgun Gothic"/>
          <w:bCs/>
          <w:lang w:val="fr-FR"/>
        </w:rPr>
        <w:t>’</w:t>
      </w:r>
      <w:r w:rsidRPr="00536889">
        <w:rPr>
          <w:rFonts w:eastAsia="Malgun Gothic"/>
          <w:bCs/>
          <w:lang w:val="fr-FR"/>
        </w:rPr>
        <w:t>il s</w:t>
      </w:r>
      <w:r w:rsidR="00923E72">
        <w:rPr>
          <w:rFonts w:eastAsia="Malgun Gothic"/>
          <w:bCs/>
          <w:lang w:val="fr-FR"/>
        </w:rPr>
        <w:t>’</w:t>
      </w:r>
      <w:r w:rsidRPr="00536889">
        <w:rPr>
          <w:rFonts w:eastAsia="Malgun Gothic"/>
          <w:bCs/>
          <w:lang w:val="fr-FR"/>
        </w:rPr>
        <w:t>agissait d</w:t>
      </w:r>
      <w:r w:rsidR="00923E72">
        <w:rPr>
          <w:rFonts w:eastAsia="Malgun Gothic"/>
          <w:bCs/>
          <w:lang w:val="fr-FR"/>
        </w:rPr>
        <w:t>’</w:t>
      </w:r>
      <w:r w:rsidRPr="00536889">
        <w:rPr>
          <w:rFonts w:eastAsia="Malgun Gothic"/>
          <w:bCs/>
          <w:lang w:val="fr-FR"/>
        </w:rPr>
        <w:t>une nouvelle fenêtre</w:t>
      </w:r>
      <w:r w:rsidR="004F553B">
        <w:rPr>
          <w:rFonts w:eastAsia="Malgun Gothic"/>
          <w:bCs/>
          <w:lang w:val="fr-FR"/>
        </w:rPr>
        <w:t>,</w:t>
      </w:r>
      <w:r w:rsidRPr="00536889">
        <w:rPr>
          <w:rFonts w:eastAsia="Malgun Gothic"/>
          <w:bCs/>
          <w:lang w:val="fr-FR"/>
        </w:rPr>
        <w:t xml:space="preserve"> </w:t>
      </w:r>
      <w:r>
        <w:rPr>
          <w:rFonts w:eastAsia="Malgun Gothic"/>
          <w:bCs/>
          <w:lang w:val="fr-FR"/>
        </w:rPr>
        <w:t xml:space="preserve">qui permettait </w:t>
      </w:r>
      <w:r w:rsidRPr="00536889">
        <w:rPr>
          <w:rFonts w:eastAsia="Malgun Gothic"/>
          <w:bCs/>
          <w:lang w:val="fr-FR"/>
        </w:rPr>
        <w:t>aux communautés syrienne et iranienne de mieux communiquer, de créer et d</w:t>
      </w:r>
      <w:r w:rsidR="00923E72">
        <w:rPr>
          <w:rFonts w:eastAsia="Malgun Gothic"/>
          <w:bCs/>
          <w:lang w:val="fr-FR"/>
        </w:rPr>
        <w:t>’</w:t>
      </w:r>
      <w:r w:rsidRPr="00536889">
        <w:rPr>
          <w:rFonts w:eastAsia="Malgun Gothic"/>
          <w:bCs/>
          <w:lang w:val="fr-FR"/>
        </w:rPr>
        <w:t>exprimer leurs identités culturelles. Il était vrai qu</w:t>
      </w:r>
      <w:r w:rsidR="00923E72">
        <w:rPr>
          <w:rFonts w:eastAsia="Malgun Gothic"/>
          <w:bCs/>
          <w:lang w:val="fr-FR"/>
        </w:rPr>
        <w:t>’</w:t>
      </w:r>
      <w:r w:rsidRPr="00536889">
        <w:rPr>
          <w:rFonts w:eastAsia="Malgun Gothic"/>
          <w:bCs/>
          <w:lang w:val="fr-FR"/>
        </w:rPr>
        <w:t>en ces temps d</w:t>
      </w:r>
      <w:r w:rsidR="00923E72">
        <w:rPr>
          <w:rFonts w:eastAsia="Malgun Gothic"/>
          <w:bCs/>
          <w:lang w:val="fr-FR"/>
        </w:rPr>
        <w:t>’</w:t>
      </w:r>
      <w:r w:rsidRPr="00536889">
        <w:rPr>
          <w:rFonts w:eastAsia="Malgun Gothic"/>
          <w:bCs/>
          <w:lang w:val="fr-FR"/>
        </w:rPr>
        <w:t>incertitude et d</w:t>
      </w:r>
      <w:r w:rsidR="00923E72">
        <w:rPr>
          <w:rFonts w:eastAsia="Malgun Gothic"/>
          <w:bCs/>
          <w:lang w:val="fr-FR"/>
        </w:rPr>
        <w:t>’</w:t>
      </w:r>
      <w:r w:rsidRPr="00536889">
        <w:rPr>
          <w:rFonts w:eastAsia="Malgun Gothic"/>
          <w:bCs/>
          <w:lang w:val="fr-FR"/>
        </w:rPr>
        <w:t xml:space="preserve">instabilité sans précédent causés par la guerre, les catastrophes naturelles et les pandémies, le bien-être des communautés du monde entier </w:t>
      </w:r>
      <w:r w:rsidR="00741294">
        <w:rPr>
          <w:rFonts w:eastAsia="Malgun Gothic"/>
          <w:bCs/>
          <w:lang w:val="fr-FR"/>
        </w:rPr>
        <w:t>connaissait un</w:t>
      </w:r>
      <w:r w:rsidRPr="00536889">
        <w:rPr>
          <w:rFonts w:eastAsia="Malgun Gothic"/>
          <w:bCs/>
          <w:lang w:val="fr-FR"/>
        </w:rPr>
        <w:t xml:space="preserve"> déclin</w:t>
      </w:r>
      <w:r w:rsidR="00BD1C56">
        <w:rPr>
          <w:rFonts w:eastAsia="Malgun Gothic"/>
          <w:bCs/>
          <w:lang w:val="fr-FR"/>
        </w:rPr>
        <w:t xml:space="preserve"> </w:t>
      </w:r>
      <w:r w:rsidRPr="00536889">
        <w:rPr>
          <w:rFonts w:eastAsia="Malgun Gothic"/>
          <w:bCs/>
          <w:lang w:val="fr-FR"/>
        </w:rPr>
        <w:t>et que le patrimoine culturel était généralement la première composante de nos sociétés à en souffrir.</w:t>
      </w:r>
      <w:r w:rsidR="00DA2E21">
        <w:rPr>
          <w:rFonts w:eastAsia="Malgun Gothic"/>
          <w:bCs/>
          <w:lang w:val="fr-FR"/>
        </w:rPr>
        <w:t xml:space="preserve"> Pour cette raison,</w:t>
      </w:r>
      <w:r w:rsidRPr="00536889">
        <w:rPr>
          <w:rFonts w:eastAsia="Malgun Gothic"/>
          <w:bCs/>
          <w:lang w:val="fr-FR"/>
        </w:rPr>
        <w:t xml:space="preserve"> elle s</w:t>
      </w:r>
      <w:r w:rsidR="00923E72">
        <w:rPr>
          <w:rFonts w:eastAsia="Malgun Gothic"/>
          <w:bCs/>
          <w:lang w:val="fr-FR"/>
        </w:rPr>
        <w:t>’</w:t>
      </w:r>
      <w:r w:rsidRPr="00536889">
        <w:rPr>
          <w:rFonts w:eastAsia="Malgun Gothic"/>
          <w:bCs/>
          <w:lang w:val="fr-FR"/>
        </w:rPr>
        <w:t>est vivement félicitée de cette inscription ainsi que des autres voies et possibilités qui encouragent l</w:t>
      </w:r>
      <w:r w:rsidR="00923E72">
        <w:rPr>
          <w:rFonts w:eastAsia="Malgun Gothic"/>
          <w:bCs/>
          <w:lang w:val="fr-FR"/>
        </w:rPr>
        <w:t>’</w:t>
      </w:r>
      <w:r w:rsidRPr="00536889">
        <w:rPr>
          <w:rFonts w:eastAsia="Malgun Gothic"/>
          <w:bCs/>
          <w:lang w:val="fr-FR"/>
        </w:rPr>
        <w:t>engagement culturel libre, significatif et soutenu des populations du monde entier. La délégation a souligné la nécessité de faire tomber les barrières qui restreignent et isolent les communautés du monde entier, affaiblissent leur diversité culturelle et font reculer le développement durable. Dans l</w:t>
      </w:r>
      <w:r w:rsidR="00923E72">
        <w:rPr>
          <w:rFonts w:eastAsia="Malgun Gothic"/>
          <w:bCs/>
          <w:lang w:val="fr-FR"/>
        </w:rPr>
        <w:t>’</w:t>
      </w:r>
      <w:r w:rsidRPr="00536889">
        <w:rPr>
          <w:rFonts w:eastAsia="Malgun Gothic"/>
          <w:bCs/>
          <w:lang w:val="fr-FR"/>
        </w:rPr>
        <w:t>esprit de la Convention, il incombait aux dirigeants et aux experts de nos domaines de continuer à améliorer les conditions qui favorisent l</w:t>
      </w:r>
      <w:r w:rsidR="00923E72">
        <w:rPr>
          <w:rFonts w:eastAsia="Malgun Gothic"/>
          <w:bCs/>
          <w:lang w:val="fr-FR"/>
        </w:rPr>
        <w:t>’</w:t>
      </w:r>
      <w:r w:rsidRPr="00536889">
        <w:rPr>
          <w:rFonts w:eastAsia="Malgun Gothic"/>
          <w:bCs/>
          <w:lang w:val="fr-FR"/>
        </w:rPr>
        <w:t>égalité des chances, la créativité et le respect mutuel. Elle a remercié les artisans et musiciens iraniens qui avaient collaboré avec leurs homologues syriens de manière si enthousiasmante, les félicitant pour cette reconnaissance bien méritée de leurs efforts en faveur de la sauvegarde et de la promotion du patrimoine culturel immatériel commun de la région.</w:t>
      </w:r>
    </w:p>
    <w:p w14:paraId="0A511862" w14:textId="107D5A5F" w:rsidR="00741294" w:rsidRPr="00702497" w:rsidRDefault="00741294" w:rsidP="00702497">
      <w:pPr>
        <w:pStyle w:val="Orateurengris"/>
        <w:tabs>
          <w:tab w:val="clear" w:pos="709"/>
          <w:tab w:val="clear" w:pos="1418"/>
          <w:tab w:val="clear" w:pos="2126"/>
          <w:tab w:val="clear" w:pos="2835"/>
          <w:tab w:val="num" w:pos="851"/>
          <w:tab w:val="left" w:pos="4962"/>
        </w:tabs>
        <w:spacing w:before="120" w:after="0"/>
        <w:ind w:left="851" w:hanging="851"/>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18761E29" w14:textId="4AC013DF" w:rsidR="00741294" w:rsidRDefault="00741294"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741294">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741294">
        <w:rPr>
          <w:rFonts w:eastAsia="Malgun Gothic"/>
          <w:bCs/>
          <w:lang w:val="fr-FR"/>
        </w:rPr>
        <w:t xml:space="preserve"> a présenté le dossier de candidature suivant, </w:t>
      </w:r>
      <w:r w:rsidRPr="00702497">
        <w:rPr>
          <w:rFonts w:eastAsia="Malgun Gothic"/>
          <w:b/>
          <w:lang w:val="fr-FR"/>
        </w:rPr>
        <w:t>l</w:t>
      </w:r>
      <w:r w:rsidR="00923E72">
        <w:rPr>
          <w:rFonts w:eastAsia="Malgun Gothic"/>
          <w:b/>
          <w:lang w:val="fr-FR"/>
        </w:rPr>
        <w:t>’</w:t>
      </w:r>
      <w:r w:rsidRPr="00702497">
        <w:rPr>
          <w:rFonts w:eastAsia="Malgun Gothic"/>
          <w:b/>
          <w:lang w:val="fr-FR"/>
        </w:rPr>
        <w:t>Al</w:t>
      </w:r>
      <w:r>
        <w:rPr>
          <w:rFonts w:eastAsia="Malgun Gothic"/>
          <w:b/>
          <w:lang w:val="fr-FR"/>
        </w:rPr>
        <w:noBreakHyphen/>
      </w:r>
      <w:proofErr w:type="spellStart"/>
      <w:r w:rsidRPr="00702497">
        <w:rPr>
          <w:rFonts w:eastAsia="Malgun Gothic"/>
          <w:b/>
          <w:lang w:val="fr-FR"/>
        </w:rPr>
        <w:t>Mansaf</w:t>
      </w:r>
      <w:proofErr w:type="spellEnd"/>
      <w:r w:rsidRPr="00702497">
        <w:rPr>
          <w:rFonts w:eastAsia="Malgun Gothic"/>
          <w:b/>
          <w:lang w:val="fr-FR"/>
        </w:rPr>
        <w:t xml:space="preserve"> en Jordanie, un banquet festif et ses significations sociales et culturelles</w:t>
      </w:r>
      <w:r w:rsidRPr="00741294">
        <w:rPr>
          <w:rFonts w:eastAsia="Malgun Gothic"/>
          <w:bCs/>
          <w:lang w:val="fr-FR"/>
        </w:rPr>
        <w:t xml:space="preserve"> [projet de décision</w:t>
      </w:r>
      <w:r w:rsidR="00D40861">
        <w:rPr>
          <w:rFonts w:eastAsia="Malgun Gothic"/>
          <w:bCs/>
          <w:lang w:val="fr-FR"/>
        </w:rPr>
        <w:t> </w:t>
      </w:r>
      <w:r w:rsidRPr="00741294">
        <w:rPr>
          <w:rFonts w:eastAsia="Malgun Gothic"/>
          <w:bCs/>
          <w:lang w:val="fr-FR"/>
        </w:rPr>
        <w:t xml:space="preserve">7.b.19], soumis par la </w:t>
      </w:r>
      <w:r w:rsidRPr="00702497">
        <w:rPr>
          <w:rFonts w:eastAsia="Malgun Gothic"/>
          <w:b/>
          <w:lang w:val="fr-FR"/>
        </w:rPr>
        <w:t>Jordanie</w:t>
      </w:r>
      <w:r w:rsidRPr="00741294">
        <w:rPr>
          <w:rFonts w:eastAsia="Malgun Gothic"/>
          <w:bCs/>
          <w:lang w:val="fr-FR"/>
        </w:rPr>
        <w:t>, expliquant que l</w:t>
      </w:r>
      <w:r w:rsidR="00923E72">
        <w:rPr>
          <w:rFonts w:eastAsia="Malgun Gothic"/>
          <w:bCs/>
          <w:lang w:val="fr-FR"/>
        </w:rPr>
        <w:t>’</w:t>
      </w:r>
      <w:r w:rsidRPr="00741294">
        <w:rPr>
          <w:rFonts w:eastAsia="Malgun Gothic"/>
          <w:bCs/>
          <w:lang w:val="fr-FR"/>
        </w:rPr>
        <w:t>Al</w:t>
      </w:r>
      <w:r>
        <w:rPr>
          <w:rFonts w:eastAsia="Malgun Gothic"/>
          <w:bCs/>
          <w:lang w:val="fr-FR"/>
        </w:rPr>
        <w:noBreakHyphen/>
      </w:r>
      <w:proofErr w:type="spellStart"/>
      <w:r w:rsidRPr="00741294">
        <w:rPr>
          <w:rFonts w:eastAsia="Malgun Gothic"/>
          <w:bCs/>
          <w:lang w:val="fr-FR"/>
        </w:rPr>
        <w:t>Mansaf</w:t>
      </w:r>
      <w:proofErr w:type="spellEnd"/>
      <w:r w:rsidRPr="00741294">
        <w:rPr>
          <w:rFonts w:eastAsia="Malgun Gothic"/>
          <w:bCs/>
          <w:lang w:val="fr-FR"/>
        </w:rPr>
        <w:t xml:space="preserve">, avec les pratiques et les significations qui lui sont associées, est un </w:t>
      </w:r>
      <w:r>
        <w:rPr>
          <w:rFonts w:eastAsia="Malgun Gothic"/>
          <w:bCs/>
          <w:lang w:val="fr-FR"/>
        </w:rPr>
        <w:t xml:space="preserve">repas de </w:t>
      </w:r>
      <w:r w:rsidRPr="00741294">
        <w:rPr>
          <w:rFonts w:eastAsia="Malgun Gothic"/>
          <w:bCs/>
          <w:lang w:val="fr-FR"/>
        </w:rPr>
        <w:t>cérémonie</w:t>
      </w:r>
      <w:r w:rsidR="004F553B">
        <w:rPr>
          <w:rFonts w:eastAsia="Malgun Gothic"/>
          <w:bCs/>
          <w:lang w:val="fr-FR"/>
        </w:rPr>
        <w:t xml:space="preserve"> </w:t>
      </w:r>
      <w:r w:rsidRPr="00741294">
        <w:rPr>
          <w:rFonts w:eastAsia="Malgun Gothic"/>
          <w:bCs/>
          <w:lang w:val="fr-FR"/>
        </w:rPr>
        <w:t xml:space="preserve">préparé la plupart </w:t>
      </w:r>
      <w:r>
        <w:rPr>
          <w:rFonts w:eastAsia="Malgun Gothic"/>
          <w:bCs/>
          <w:lang w:val="fr-FR"/>
        </w:rPr>
        <w:t xml:space="preserve">du temps </w:t>
      </w:r>
      <w:r w:rsidRPr="00741294">
        <w:rPr>
          <w:rFonts w:eastAsia="Malgun Gothic"/>
          <w:bCs/>
          <w:lang w:val="fr-FR"/>
        </w:rPr>
        <w:t>dans une atmosphère de coopération entre les individus qui le pratiquent</w:t>
      </w:r>
      <w:r w:rsidR="005325AC">
        <w:rPr>
          <w:rFonts w:eastAsia="Malgun Gothic"/>
          <w:bCs/>
          <w:lang w:val="fr-FR"/>
        </w:rPr>
        <w:t>,</w:t>
      </w:r>
      <w:r w:rsidRPr="00741294">
        <w:rPr>
          <w:rFonts w:eastAsia="Malgun Gothic"/>
          <w:bCs/>
          <w:lang w:val="fr-FR"/>
        </w:rPr>
        <w:t xml:space="preserve"> que</w:t>
      </w:r>
      <w:r w:rsidR="005325AC">
        <w:rPr>
          <w:rFonts w:eastAsia="Malgun Gothic"/>
          <w:bCs/>
          <w:lang w:val="fr-FR"/>
        </w:rPr>
        <w:t xml:space="preserve"> l</w:t>
      </w:r>
      <w:r w:rsidR="00923E72">
        <w:rPr>
          <w:rFonts w:eastAsia="Malgun Gothic"/>
          <w:bCs/>
          <w:lang w:val="fr-FR"/>
        </w:rPr>
        <w:t>’</w:t>
      </w:r>
      <w:r w:rsidRPr="00741294">
        <w:rPr>
          <w:rFonts w:eastAsia="Malgun Gothic"/>
          <w:bCs/>
          <w:lang w:val="fr-FR"/>
        </w:rPr>
        <w:t xml:space="preserve">élément </w:t>
      </w:r>
      <w:r w:rsidR="00BD1C56">
        <w:rPr>
          <w:rFonts w:eastAsia="Malgun Gothic"/>
          <w:bCs/>
          <w:lang w:val="fr-FR"/>
        </w:rPr>
        <w:t xml:space="preserve">suscite </w:t>
      </w:r>
      <w:r w:rsidRPr="00741294">
        <w:rPr>
          <w:rFonts w:eastAsia="Malgun Gothic"/>
          <w:bCs/>
          <w:lang w:val="fr-FR"/>
        </w:rPr>
        <w:t>un profond sentiment d</w:t>
      </w:r>
      <w:r w:rsidR="00923E72">
        <w:rPr>
          <w:rFonts w:eastAsia="Malgun Gothic"/>
          <w:bCs/>
          <w:lang w:val="fr-FR"/>
        </w:rPr>
        <w:t>’</w:t>
      </w:r>
      <w:r w:rsidRPr="00741294">
        <w:rPr>
          <w:rFonts w:eastAsia="Malgun Gothic"/>
          <w:bCs/>
          <w:lang w:val="fr-FR"/>
        </w:rPr>
        <w:t>identité, de cohésion sociale et d</w:t>
      </w:r>
      <w:r w:rsidR="00923E72">
        <w:rPr>
          <w:rFonts w:eastAsia="Malgun Gothic"/>
          <w:bCs/>
          <w:lang w:val="fr-FR"/>
        </w:rPr>
        <w:t>’</w:t>
      </w:r>
      <w:r w:rsidRPr="00741294">
        <w:rPr>
          <w:rFonts w:eastAsia="Malgun Gothic"/>
          <w:bCs/>
          <w:lang w:val="fr-FR"/>
        </w:rPr>
        <w:t xml:space="preserve">attachement, </w:t>
      </w:r>
      <w:r w:rsidR="005325AC">
        <w:rPr>
          <w:rFonts w:eastAsia="Malgun Gothic"/>
          <w:bCs/>
          <w:lang w:val="fr-FR"/>
        </w:rPr>
        <w:t>et qu</w:t>
      </w:r>
      <w:r w:rsidR="00923E72">
        <w:rPr>
          <w:rFonts w:eastAsia="Malgun Gothic"/>
          <w:bCs/>
          <w:lang w:val="fr-FR"/>
        </w:rPr>
        <w:t>’</w:t>
      </w:r>
      <w:r w:rsidR="005325AC">
        <w:rPr>
          <w:rFonts w:eastAsia="Malgun Gothic"/>
          <w:bCs/>
          <w:lang w:val="fr-FR"/>
        </w:rPr>
        <w:t xml:space="preserve">il est </w:t>
      </w:r>
      <w:r w:rsidRPr="00741294">
        <w:rPr>
          <w:rFonts w:eastAsia="Malgun Gothic"/>
          <w:bCs/>
          <w:lang w:val="fr-FR"/>
        </w:rPr>
        <w:t>associé au mode de vie agro-pastoral dans lequel la viande et les produits laitiers sont faciles à obtenir. L</w:t>
      </w:r>
      <w:r w:rsidR="00923E72">
        <w:rPr>
          <w:rFonts w:eastAsia="Malgun Gothic"/>
          <w:bCs/>
          <w:lang w:val="fr-FR"/>
        </w:rPr>
        <w:t>’</w:t>
      </w:r>
      <w:r w:rsidRPr="00741294">
        <w:rPr>
          <w:rFonts w:eastAsia="Malgun Gothic"/>
          <w:bCs/>
          <w:lang w:val="fr-FR"/>
        </w:rPr>
        <w:t>Organe d</w:t>
      </w:r>
      <w:r w:rsidR="00923E72">
        <w:rPr>
          <w:rFonts w:eastAsia="Malgun Gothic"/>
          <w:bCs/>
          <w:lang w:val="fr-FR"/>
        </w:rPr>
        <w:t>’</w:t>
      </w:r>
      <w:r w:rsidRPr="00741294">
        <w:rPr>
          <w:rFonts w:eastAsia="Malgun Gothic"/>
          <w:bCs/>
          <w:lang w:val="fr-FR"/>
        </w:rPr>
        <w:t>évaluation avait estimé que la candidature satisfaisait à l</w:t>
      </w:r>
      <w:r w:rsidR="00923E72">
        <w:rPr>
          <w:rFonts w:eastAsia="Malgun Gothic"/>
          <w:bCs/>
          <w:lang w:val="fr-FR"/>
        </w:rPr>
        <w:t>’</w:t>
      </w:r>
      <w:r w:rsidRPr="00741294">
        <w:rPr>
          <w:rFonts w:eastAsia="Malgun Gothic"/>
          <w:bCs/>
          <w:lang w:val="fr-FR"/>
        </w:rPr>
        <w:t>ensemble des cinq critères et recommandait l</w:t>
      </w:r>
      <w:r w:rsidR="00923E72">
        <w:rPr>
          <w:rFonts w:eastAsia="Malgun Gothic"/>
          <w:bCs/>
          <w:lang w:val="fr-FR"/>
        </w:rPr>
        <w:t>’</w:t>
      </w:r>
      <w:r w:rsidRPr="00741294">
        <w:rPr>
          <w:rFonts w:eastAsia="Malgun Gothic"/>
          <w:bCs/>
          <w:lang w:val="fr-FR"/>
        </w:rPr>
        <w:t>inscription de cet élément sur la Liste représentative.</w:t>
      </w:r>
    </w:p>
    <w:p w14:paraId="3A251D83" w14:textId="73744F94" w:rsidR="005325AC" w:rsidRDefault="005325A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D40861">
        <w:rPr>
          <w:rFonts w:eastAsia="Malgun Gothic"/>
          <w:b/>
          <w:lang w:val="fr-FR"/>
        </w:rPr>
        <w:t> </w:t>
      </w:r>
      <w:r w:rsidR="00751FB1">
        <w:fldChar w:fldCharType="begin"/>
      </w:r>
      <w:r w:rsidR="00751FB1" w:rsidRPr="00751FB1">
        <w:rPr>
          <w:lang w:val="fr-FR"/>
        </w:rPr>
        <w:instrText>HYPERLINK "https://ich.unesco.org/fr/Decisions/17.COM/7.b.19"</w:instrText>
      </w:r>
      <w:r w:rsidR="00751FB1">
        <w:fldChar w:fldCharType="separate"/>
      </w:r>
      <w:r w:rsidRPr="006E3034">
        <w:rPr>
          <w:rStyle w:val="Hyperlink"/>
          <w:b/>
          <w:bCs/>
          <w:lang w:val="fr-FR"/>
        </w:rPr>
        <w:t>17.COM 7.b.19</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C90815">
        <w:rPr>
          <w:rFonts w:eastAsia="Malgun Gothic"/>
          <w:b/>
          <w:lang w:val="fr-FR"/>
        </w:rPr>
        <w:t>l</w:t>
      </w:r>
      <w:r w:rsidR="00923E72">
        <w:rPr>
          <w:rFonts w:eastAsia="Malgun Gothic"/>
          <w:b/>
          <w:lang w:val="fr-FR"/>
        </w:rPr>
        <w:t>’</w:t>
      </w:r>
      <w:r w:rsidRPr="00C90815">
        <w:rPr>
          <w:rFonts w:eastAsia="Malgun Gothic"/>
          <w:b/>
          <w:lang w:val="fr-FR"/>
        </w:rPr>
        <w:t>Al</w:t>
      </w:r>
      <w:r>
        <w:rPr>
          <w:rFonts w:eastAsia="Malgun Gothic"/>
          <w:b/>
          <w:lang w:val="fr-FR"/>
        </w:rPr>
        <w:noBreakHyphen/>
      </w:r>
      <w:proofErr w:type="spellStart"/>
      <w:r w:rsidRPr="00C90815">
        <w:rPr>
          <w:rFonts w:eastAsia="Malgun Gothic"/>
          <w:b/>
          <w:lang w:val="fr-FR"/>
        </w:rPr>
        <w:t>Mansaf</w:t>
      </w:r>
      <w:proofErr w:type="spellEnd"/>
      <w:r w:rsidRPr="00C90815">
        <w:rPr>
          <w:rFonts w:eastAsia="Malgun Gothic"/>
          <w:b/>
          <w:lang w:val="fr-FR"/>
        </w:rPr>
        <w:t xml:space="preserve"> en Jordanie, un banquet festif et ses significations sociales et culturelles</w:t>
      </w:r>
      <w:r w:rsidRPr="00741294">
        <w:rPr>
          <w:rFonts w:eastAsia="Malgun Gothic"/>
          <w:bCs/>
          <w:lang w:val="fr-FR"/>
        </w:rPr>
        <w:t xml:space="preserve"> </w:t>
      </w:r>
      <w:r>
        <w:rPr>
          <w:rFonts w:eastAsia="Malgun Gothic"/>
          <w:b/>
          <w:lang w:val="fr-FR"/>
        </w:rPr>
        <w:t>sur la Liste représentative</w:t>
      </w:r>
      <w:r>
        <w:rPr>
          <w:rFonts w:eastAsia="Malgun Gothic"/>
          <w:bCs/>
          <w:lang w:val="fr-FR"/>
        </w:rPr>
        <w:t>.</w:t>
      </w:r>
    </w:p>
    <w:p w14:paraId="3C4A4E78" w14:textId="5D41B186" w:rsidR="005325AC" w:rsidRDefault="005325A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5325AC">
        <w:rPr>
          <w:rFonts w:eastAsia="Malgun Gothic"/>
          <w:bCs/>
          <w:lang w:val="fr-FR"/>
        </w:rPr>
        <w:t xml:space="preserve">La </w:t>
      </w:r>
      <w:r w:rsidRPr="00702497">
        <w:rPr>
          <w:rFonts w:eastAsia="Malgun Gothic"/>
          <w:b/>
          <w:lang w:val="fr-FR"/>
        </w:rPr>
        <w:t>délégation de la Jordanie</w:t>
      </w:r>
      <w:r w:rsidRPr="005325AC">
        <w:rPr>
          <w:rFonts w:eastAsia="Malgun Gothic"/>
          <w:bCs/>
          <w:lang w:val="fr-FR"/>
        </w:rPr>
        <w:t xml:space="preserve"> a remercié le Maroc d</w:t>
      </w:r>
      <w:r w:rsidR="00923E72">
        <w:rPr>
          <w:rFonts w:eastAsia="Malgun Gothic"/>
          <w:bCs/>
          <w:lang w:val="fr-FR"/>
        </w:rPr>
        <w:t>’</w:t>
      </w:r>
      <w:r w:rsidRPr="005325AC">
        <w:rPr>
          <w:rFonts w:eastAsia="Malgun Gothic"/>
          <w:bCs/>
          <w:lang w:val="fr-FR"/>
        </w:rPr>
        <w:t>accueillir la réunion et, en particulier, le Président. Elle a remercié tous ceux qui avaient apporté leur précieux soutien et permis à la Jordanie d</w:t>
      </w:r>
      <w:r w:rsidR="00923E72">
        <w:rPr>
          <w:rFonts w:eastAsia="Malgun Gothic"/>
          <w:bCs/>
          <w:lang w:val="fr-FR"/>
        </w:rPr>
        <w:t>’</w:t>
      </w:r>
      <w:r w:rsidRPr="005325AC">
        <w:rPr>
          <w:rFonts w:eastAsia="Malgun Gothic"/>
          <w:bCs/>
          <w:lang w:val="fr-FR"/>
        </w:rPr>
        <w:t>inscrire l</w:t>
      </w:r>
      <w:r w:rsidR="00923E72">
        <w:rPr>
          <w:rFonts w:eastAsia="Malgun Gothic"/>
          <w:bCs/>
          <w:lang w:val="fr-FR"/>
        </w:rPr>
        <w:t>’</w:t>
      </w:r>
      <w:r w:rsidRPr="005325AC">
        <w:rPr>
          <w:rFonts w:eastAsia="Malgun Gothic"/>
          <w:bCs/>
          <w:lang w:val="fr-FR"/>
        </w:rPr>
        <w:t>Al-</w:t>
      </w:r>
      <w:proofErr w:type="spellStart"/>
      <w:r w:rsidRPr="005325AC">
        <w:rPr>
          <w:rFonts w:eastAsia="Malgun Gothic"/>
          <w:bCs/>
          <w:lang w:val="fr-FR"/>
        </w:rPr>
        <w:t>Mansaf</w:t>
      </w:r>
      <w:proofErr w:type="spellEnd"/>
      <w:r w:rsidRPr="005325AC">
        <w:rPr>
          <w:rFonts w:eastAsia="Malgun Gothic"/>
          <w:bCs/>
          <w:lang w:val="fr-FR"/>
        </w:rPr>
        <w:t xml:space="preserve"> en Jordanie, un banquet festif et ses significations sociales et culturelles sur la Liste représentative. La délégation a remercié son équipe et ses collègues qui avaient contribué à la préparation de cette candidature, à savoir le </w:t>
      </w:r>
      <w:r>
        <w:rPr>
          <w:rFonts w:eastAsia="Malgun Gothic"/>
          <w:bCs/>
          <w:lang w:val="fr-FR"/>
        </w:rPr>
        <w:t>P</w:t>
      </w:r>
      <w:r w:rsidRPr="00702497">
        <w:rPr>
          <w:rFonts w:eastAsia="Malgun Gothic"/>
          <w:bCs/>
          <w:vertAlign w:val="superscript"/>
          <w:lang w:val="fr-FR"/>
        </w:rPr>
        <w:t>r</w:t>
      </w:r>
      <w:r>
        <w:rPr>
          <w:rFonts w:eastAsia="Malgun Gothic"/>
          <w:bCs/>
          <w:vertAlign w:val="superscript"/>
          <w:lang w:val="fr-FR"/>
        </w:rPr>
        <w:t> </w:t>
      </w:r>
      <w:r w:rsidRPr="005325AC">
        <w:rPr>
          <w:rFonts w:eastAsia="Malgun Gothic"/>
          <w:bCs/>
          <w:lang w:val="fr-FR"/>
        </w:rPr>
        <w:t xml:space="preserve">Hani </w:t>
      </w:r>
      <w:proofErr w:type="spellStart"/>
      <w:r w:rsidRPr="005325AC">
        <w:rPr>
          <w:rFonts w:eastAsia="Malgun Gothic"/>
          <w:bCs/>
          <w:lang w:val="fr-FR"/>
        </w:rPr>
        <w:t>Hayajneh</w:t>
      </w:r>
      <w:proofErr w:type="spellEnd"/>
      <w:r w:rsidRPr="005325AC">
        <w:rPr>
          <w:rFonts w:eastAsia="Malgun Gothic"/>
          <w:bCs/>
          <w:lang w:val="fr-FR"/>
        </w:rPr>
        <w:t>, dont les efforts incessants avaient été déterminants pour l</w:t>
      </w:r>
      <w:r w:rsidR="00D40861">
        <w:rPr>
          <w:rFonts w:eastAsia="Malgun Gothic"/>
          <w:bCs/>
          <w:lang w:val="fr-FR"/>
        </w:rPr>
        <w:t>a réussite</w:t>
      </w:r>
      <w:r w:rsidRPr="005325AC">
        <w:rPr>
          <w:rFonts w:eastAsia="Malgun Gothic"/>
          <w:bCs/>
          <w:lang w:val="fr-FR"/>
        </w:rPr>
        <w:t xml:space="preserve"> de cette </w:t>
      </w:r>
      <w:r w:rsidRPr="005325AC">
        <w:rPr>
          <w:rFonts w:eastAsia="Malgun Gothic"/>
          <w:bCs/>
          <w:lang w:val="fr-FR"/>
        </w:rPr>
        <w:lastRenderedPageBreak/>
        <w:t xml:space="preserve">inscription. Par sa transmission </w:t>
      </w:r>
      <w:r w:rsidR="00DD6935">
        <w:rPr>
          <w:rFonts w:eastAsia="Malgun Gothic"/>
          <w:bCs/>
          <w:lang w:val="fr-FR"/>
        </w:rPr>
        <w:t xml:space="preserve">de </w:t>
      </w:r>
      <w:r w:rsidRPr="005325AC">
        <w:rPr>
          <w:rFonts w:eastAsia="Malgun Gothic"/>
          <w:bCs/>
          <w:lang w:val="fr-FR"/>
        </w:rPr>
        <w:t>génération</w:t>
      </w:r>
      <w:r w:rsidR="00DD6935">
        <w:rPr>
          <w:rFonts w:eastAsia="Malgun Gothic"/>
          <w:bCs/>
          <w:lang w:val="fr-FR"/>
        </w:rPr>
        <w:t xml:space="preserve"> en génération</w:t>
      </w:r>
      <w:r w:rsidRPr="005325AC">
        <w:rPr>
          <w:rFonts w:eastAsia="Malgun Gothic"/>
          <w:bCs/>
          <w:lang w:val="fr-FR"/>
        </w:rPr>
        <w:t>, l</w:t>
      </w:r>
      <w:r w:rsidR="00923E72">
        <w:rPr>
          <w:rFonts w:eastAsia="Malgun Gothic"/>
          <w:bCs/>
          <w:lang w:val="fr-FR"/>
        </w:rPr>
        <w:t>’</w:t>
      </w:r>
      <w:r w:rsidRPr="005325AC">
        <w:rPr>
          <w:rFonts w:eastAsia="Malgun Gothic"/>
          <w:bCs/>
          <w:lang w:val="fr-FR"/>
        </w:rPr>
        <w:t>Al-</w:t>
      </w:r>
      <w:proofErr w:type="spellStart"/>
      <w:r w:rsidRPr="005325AC">
        <w:rPr>
          <w:rFonts w:eastAsia="Malgun Gothic"/>
          <w:bCs/>
          <w:lang w:val="fr-FR"/>
        </w:rPr>
        <w:t>Mansaf</w:t>
      </w:r>
      <w:proofErr w:type="spellEnd"/>
      <w:r w:rsidRPr="005325AC">
        <w:rPr>
          <w:rFonts w:eastAsia="Malgun Gothic"/>
          <w:bCs/>
          <w:lang w:val="fr-FR"/>
        </w:rPr>
        <w:t xml:space="preserve"> avait toujours été soumis</w:t>
      </w:r>
      <w:r w:rsidR="0088720D">
        <w:rPr>
          <w:rFonts w:eastAsia="Malgun Gothic"/>
          <w:bCs/>
          <w:lang w:val="fr-FR"/>
        </w:rPr>
        <w:t xml:space="preserve"> aux </w:t>
      </w:r>
      <w:r w:rsidRPr="005325AC">
        <w:rPr>
          <w:rFonts w:eastAsia="Malgun Gothic"/>
          <w:bCs/>
          <w:lang w:val="fr-FR"/>
        </w:rPr>
        <w:t>évolution</w:t>
      </w:r>
      <w:r w:rsidR="0088720D">
        <w:rPr>
          <w:rFonts w:eastAsia="Malgun Gothic"/>
          <w:bCs/>
          <w:lang w:val="fr-FR"/>
        </w:rPr>
        <w:t>s</w:t>
      </w:r>
      <w:r w:rsidRPr="005325AC">
        <w:rPr>
          <w:rFonts w:eastAsia="Malgun Gothic"/>
          <w:bCs/>
          <w:lang w:val="fr-FR"/>
        </w:rPr>
        <w:t xml:space="preserve"> socio-économique</w:t>
      </w:r>
      <w:r w:rsidR="0088720D">
        <w:rPr>
          <w:rFonts w:eastAsia="Malgun Gothic"/>
          <w:bCs/>
          <w:lang w:val="fr-FR"/>
        </w:rPr>
        <w:t>s</w:t>
      </w:r>
      <w:r w:rsidRPr="005325AC">
        <w:rPr>
          <w:rFonts w:eastAsia="Malgun Gothic"/>
          <w:bCs/>
          <w:lang w:val="fr-FR"/>
        </w:rPr>
        <w:t xml:space="preserve">, </w:t>
      </w:r>
      <w:r w:rsidR="0088720D">
        <w:rPr>
          <w:rFonts w:eastAsia="Malgun Gothic"/>
          <w:bCs/>
          <w:lang w:val="fr-FR"/>
        </w:rPr>
        <w:t xml:space="preserve">ce qui était </w:t>
      </w:r>
      <w:r w:rsidR="0088720D" w:rsidRPr="0088720D">
        <w:rPr>
          <w:rFonts w:eastAsia="Malgun Gothic"/>
          <w:bCs/>
          <w:lang w:val="fr-FR"/>
        </w:rPr>
        <w:t>représentati</w:t>
      </w:r>
      <w:r w:rsidR="0088720D">
        <w:rPr>
          <w:rFonts w:eastAsia="Malgun Gothic"/>
          <w:bCs/>
          <w:lang w:val="fr-FR"/>
        </w:rPr>
        <w:t>f de</w:t>
      </w:r>
      <w:r w:rsidRPr="005325AC">
        <w:rPr>
          <w:rFonts w:eastAsia="Malgun Gothic"/>
          <w:bCs/>
          <w:lang w:val="fr-FR"/>
        </w:rPr>
        <w:t xml:space="preserve"> la nature dynamique du patrimoine culturel matériel et immatériel et refléta</w:t>
      </w:r>
      <w:r w:rsidR="0088720D">
        <w:rPr>
          <w:rFonts w:eastAsia="Malgun Gothic"/>
          <w:bCs/>
          <w:lang w:val="fr-FR"/>
        </w:rPr>
        <w:t>i</w:t>
      </w:r>
      <w:r w:rsidRPr="005325AC">
        <w:rPr>
          <w:rFonts w:eastAsia="Malgun Gothic"/>
          <w:bCs/>
          <w:lang w:val="fr-FR"/>
        </w:rPr>
        <w:t>t la vitalité des groupes et communautés concernés. Il possédait également ses propres coutumes, compétences, rituels, significations et savoir-faire transmis au sein et entre les communautés et les groupes depuis des centaines d</w:t>
      </w:r>
      <w:r w:rsidR="00923E72">
        <w:rPr>
          <w:rFonts w:eastAsia="Malgun Gothic"/>
          <w:bCs/>
          <w:lang w:val="fr-FR"/>
        </w:rPr>
        <w:t>’</w:t>
      </w:r>
      <w:r w:rsidRPr="005325AC">
        <w:rPr>
          <w:rFonts w:eastAsia="Malgun Gothic"/>
          <w:bCs/>
          <w:lang w:val="fr-FR"/>
        </w:rPr>
        <w:t>années, gagnant sa signification en s</w:t>
      </w:r>
      <w:r w:rsidR="00923E72">
        <w:rPr>
          <w:rFonts w:eastAsia="Malgun Gothic"/>
          <w:bCs/>
          <w:lang w:val="fr-FR"/>
        </w:rPr>
        <w:t>’</w:t>
      </w:r>
      <w:r w:rsidRPr="005325AC">
        <w:rPr>
          <w:rFonts w:eastAsia="Malgun Gothic"/>
          <w:bCs/>
          <w:lang w:val="fr-FR"/>
        </w:rPr>
        <w:t>imprégnant de ses pratiques depuis les premières étapes de la préparation jusqu</w:t>
      </w:r>
      <w:r w:rsidR="00923E72">
        <w:rPr>
          <w:rFonts w:eastAsia="Malgun Gothic"/>
          <w:bCs/>
          <w:lang w:val="fr-FR"/>
        </w:rPr>
        <w:t>’</w:t>
      </w:r>
      <w:r w:rsidRPr="005325AC">
        <w:rPr>
          <w:rFonts w:eastAsia="Malgun Gothic"/>
          <w:bCs/>
          <w:lang w:val="fr-FR"/>
        </w:rPr>
        <w:t>aux activités communautaires, festives ou cérémonielles qui s</w:t>
      </w:r>
      <w:r w:rsidR="00923E72">
        <w:rPr>
          <w:rFonts w:eastAsia="Malgun Gothic"/>
          <w:bCs/>
          <w:lang w:val="fr-FR"/>
        </w:rPr>
        <w:t>’</w:t>
      </w:r>
      <w:r w:rsidRPr="005325AC">
        <w:rPr>
          <w:rFonts w:eastAsia="Malgun Gothic"/>
          <w:bCs/>
          <w:lang w:val="fr-FR"/>
        </w:rPr>
        <w:t>y rapportent. Ce plat permettait aux hommes, aux femmes et aux enfants de se rapprocher de leur communauté d</w:t>
      </w:r>
      <w:r w:rsidR="00923E72">
        <w:rPr>
          <w:rFonts w:eastAsia="Malgun Gothic"/>
          <w:bCs/>
          <w:lang w:val="fr-FR"/>
        </w:rPr>
        <w:t>’</w:t>
      </w:r>
      <w:r w:rsidRPr="005325AC">
        <w:rPr>
          <w:rFonts w:eastAsia="Malgun Gothic"/>
          <w:bCs/>
          <w:lang w:val="fr-FR"/>
        </w:rPr>
        <w:t>une manière unique et continuerait à le faire pour les générations à venir.</w:t>
      </w:r>
    </w:p>
    <w:p w14:paraId="04C5E318" w14:textId="50AB62DA" w:rsidR="00DD6935" w:rsidRDefault="00DD693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DD6935">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DD6935">
        <w:rPr>
          <w:rFonts w:eastAsia="Malgun Gothic"/>
          <w:bCs/>
          <w:lang w:val="fr-FR"/>
        </w:rPr>
        <w:t xml:space="preserve"> a présenté le dossier de candidature suivante, </w:t>
      </w:r>
      <w:proofErr w:type="spellStart"/>
      <w:r w:rsidRPr="00702497">
        <w:rPr>
          <w:rFonts w:eastAsia="Malgun Gothic"/>
          <w:b/>
          <w:lang w:val="fr-FR"/>
        </w:rPr>
        <w:t>Yaldā</w:t>
      </w:r>
      <w:proofErr w:type="spellEnd"/>
      <w:r w:rsidRPr="00702497">
        <w:rPr>
          <w:rFonts w:eastAsia="Malgun Gothic"/>
          <w:b/>
          <w:lang w:val="fr-FR"/>
        </w:rPr>
        <w:t>/</w:t>
      </w:r>
      <w:proofErr w:type="spellStart"/>
      <w:r w:rsidRPr="00702497">
        <w:rPr>
          <w:rFonts w:eastAsia="Malgun Gothic"/>
          <w:b/>
          <w:lang w:val="fr-FR"/>
        </w:rPr>
        <w:t>Chella</w:t>
      </w:r>
      <w:proofErr w:type="spellEnd"/>
      <w:r w:rsidRPr="00DD6935">
        <w:rPr>
          <w:rFonts w:eastAsia="Malgun Gothic"/>
          <w:bCs/>
          <w:lang w:val="fr-FR"/>
        </w:rPr>
        <w:t xml:space="preserve"> [projet de décision</w:t>
      </w:r>
      <w:r w:rsidR="00D40861">
        <w:rPr>
          <w:rFonts w:eastAsia="Malgun Gothic"/>
          <w:bCs/>
          <w:lang w:val="fr-FR"/>
        </w:rPr>
        <w:t> </w:t>
      </w:r>
      <w:r w:rsidRPr="00DD6935">
        <w:rPr>
          <w:rFonts w:eastAsia="Malgun Gothic"/>
          <w:bCs/>
          <w:lang w:val="fr-FR"/>
        </w:rPr>
        <w:t>7.b.15]</w:t>
      </w:r>
      <w:r>
        <w:rPr>
          <w:rFonts w:eastAsia="Malgun Gothic"/>
          <w:bCs/>
          <w:lang w:val="fr-FR"/>
        </w:rPr>
        <w:t>,</w:t>
      </w:r>
      <w:r w:rsidRPr="00DD6935">
        <w:rPr>
          <w:rFonts w:eastAsia="Malgun Gothic"/>
          <w:bCs/>
          <w:lang w:val="fr-FR"/>
        </w:rPr>
        <w:t xml:space="preserve"> soumis par </w:t>
      </w:r>
      <w:r w:rsidRPr="00F15FCD">
        <w:rPr>
          <w:rFonts w:eastAsia="Malgun Gothic"/>
          <w:bCs/>
          <w:lang w:val="fr-FR"/>
        </w:rPr>
        <w:t>la</w:t>
      </w:r>
      <w:r w:rsidRPr="00DD6935">
        <w:rPr>
          <w:rFonts w:eastAsia="Malgun Gothic"/>
          <w:bCs/>
          <w:lang w:val="fr-FR"/>
        </w:rPr>
        <w:t xml:space="preserve">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 xml:space="preserve">Iran </w:t>
      </w:r>
      <w:r w:rsidRPr="00F15FCD">
        <w:rPr>
          <w:rFonts w:eastAsia="Malgun Gothic"/>
          <w:bCs/>
          <w:lang w:val="fr-FR"/>
        </w:rPr>
        <w:t>et</w:t>
      </w:r>
      <w:r w:rsidRPr="00702497">
        <w:rPr>
          <w:rFonts w:eastAsia="Malgun Gothic"/>
          <w:b/>
          <w:lang w:val="fr-FR"/>
        </w:rPr>
        <w:t xml:space="preserve"> </w:t>
      </w:r>
      <w:r w:rsidRPr="00F15FCD">
        <w:rPr>
          <w:rFonts w:eastAsia="Malgun Gothic"/>
          <w:bCs/>
          <w:lang w:val="fr-FR"/>
        </w:rPr>
        <w:t>l</w:t>
      </w:r>
      <w:r w:rsidR="00923E72">
        <w:rPr>
          <w:rFonts w:eastAsia="Malgun Gothic"/>
          <w:bCs/>
          <w:lang w:val="fr-FR"/>
        </w:rPr>
        <w:t>’</w:t>
      </w:r>
      <w:r w:rsidRPr="00702497">
        <w:rPr>
          <w:rFonts w:eastAsia="Malgun Gothic"/>
          <w:b/>
          <w:lang w:val="fr-FR"/>
        </w:rPr>
        <w:t>Afghanistan</w:t>
      </w:r>
      <w:r w:rsidR="00F15FCD">
        <w:rPr>
          <w:rFonts w:eastAsia="Malgun Gothic"/>
          <w:bCs/>
          <w:lang w:val="fr-FR"/>
        </w:rPr>
        <w:t xml:space="preserve">, </w:t>
      </w:r>
      <w:r w:rsidRPr="00DD6935">
        <w:rPr>
          <w:rFonts w:eastAsia="Malgun Gothic"/>
          <w:bCs/>
          <w:lang w:val="fr-FR"/>
        </w:rPr>
        <w:t xml:space="preserve">expliquant que </w:t>
      </w:r>
      <w:proofErr w:type="spellStart"/>
      <w:r w:rsidRPr="00DD6935">
        <w:rPr>
          <w:rFonts w:eastAsia="Malgun Gothic"/>
          <w:bCs/>
          <w:lang w:val="fr-FR"/>
        </w:rPr>
        <w:t>Yaldā</w:t>
      </w:r>
      <w:proofErr w:type="spellEnd"/>
      <w:r w:rsidRPr="00DD6935">
        <w:rPr>
          <w:rFonts w:eastAsia="Malgun Gothic"/>
          <w:bCs/>
          <w:lang w:val="fr-FR"/>
        </w:rPr>
        <w:t>/</w:t>
      </w:r>
      <w:proofErr w:type="spellStart"/>
      <w:r w:rsidRPr="00DD6935">
        <w:rPr>
          <w:rFonts w:eastAsia="Malgun Gothic"/>
          <w:bCs/>
          <w:lang w:val="fr-FR"/>
        </w:rPr>
        <w:t>Chella</w:t>
      </w:r>
      <w:proofErr w:type="spellEnd"/>
      <w:r>
        <w:rPr>
          <w:rFonts w:eastAsia="Malgun Gothic"/>
          <w:bCs/>
          <w:lang w:val="fr-FR"/>
        </w:rPr>
        <w:t xml:space="preserve">, une fête </w:t>
      </w:r>
      <w:r w:rsidRPr="00DD6935">
        <w:rPr>
          <w:rFonts w:eastAsia="Malgun Gothic"/>
          <w:bCs/>
          <w:lang w:val="fr-FR"/>
        </w:rPr>
        <w:t xml:space="preserve">traditionnelle </w:t>
      </w:r>
      <w:r>
        <w:rPr>
          <w:rFonts w:eastAsia="Malgun Gothic"/>
          <w:bCs/>
          <w:lang w:val="fr-FR"/>
        </w:rPr>
        <w:t>qui célèbre le</w:t>
      </w:r>
      <w:r w:rsidRPr="00DD6935">
        <w:rPr>
          <w:rFonts w:eastAsia="Malgun Gothic"/>
          <w:bCs/>
          <w:lang w:val="fr-FR"/>
        </w:rPr>
        <w:t xml:space="preserve"> soleil et la chaleur de la vie</w:t>
      </w:r>
      <w:r>
        <w:rPr>
          <w:rFonts w:eastAsia="Malgun Gothic"/>
          <w:bCs/>
          <w:lang w:val="fr-FR"/>
        </w:rPr>
        <w:t>,</w:t>
      </w:r>
      <w:r w:rsidRPr="00DD6935">
        <w:rPr>
          <w:rFonts w:eastAsia="Malgun Gothic"/>
          <w:bCs/>
          <w:lang w:val="fr-FR"/>
        </w:rPr>
        <w:t xml:space="preserve"> </w:t>
      </w:r>
      <w:r>
        <w:rPr>
          <w:rFonts w:eastAsia="Malgun Gothic"/>
          <w:bCs/>
          <w:lang w:val="fr-FR"/>
        </w:rPr>
        <w:t xml:space="preserve">se déroule </w:t>
      </w:r>
      <w:r w:rsidRPr="00DD6935">
        <w:rPr>
          <w:rFonts w:eastAsia="Malgun Gothic"/>
          <w:bCs/>
          <w:lang w:val="fr-FR"/>
        </w:rPr>
        <w:t>en Iran et en Afghanistan</w:t>
      </w:r>
      <w:r>
        <w:rPr>
          <w:rFonts w:eastAsia="Malgun Gothic"/>
          <w:bCs/>
          <w:lang w:val="fr-FR"/>
        </w:rPr>
        <w:t xml:space="preserve"> </w:t>
      </w:r>
      <w:r w:rsidRPr="00DD6935">
        <w:rPr>
          <w:rFonts w:eastAsia="Malgun Gothic"/>
          <w:bCs/>
          <w:lang w:val="fr-FR"/>
        </w:rPr>
        <w:t>la dernière nuit de l</w:t>
      </w:r>
      <w:r w:rsidR="00923E72">
        <w:rPr>
          <w:rFonts w:eastAsia="Malgun Gothic"/>
          <w:bCs/>
          <w:lang w:val="fr-FR"/>
        </w:rPr>
        <w:t>’</w:t>
      </w:r>
      <w:r w:rsidRPr="00DD6935">
        <w:rPr>
          <w:rFonts w:eastAsia="Malgun Gothic"/>
          <w:bCs/>
          <w:lang w:val="fr-FR"/>
        </w:rPr>
        <w:t xml:space="preserve">automne lorsque les familles se </w:t>
      </w:r>
      <w:r>
        <w:rPr>
          <w:rFonts w:eastAsia="Malgun Gothic"/>
          <w:bCs/>
          <w:lang w:val="fr-FR"/>
        </w:rPr>
        <w:t xml:space="preserve">rassemblent </w:t>
      </w:r>
      <w:r w:rsidRPr="00DD6935">
        <w:rPr>
          <w:rFonts w:eastAsia="Malgun Gothic"/>
          <w:bCs/>
          <w:lang w:val="fr-FR"/>
        </w:rPr>
        <w:t xml:space="preserve">dans les maisons des </w:t>
      </w:r>
      <w:r>
        <w:rPr>
          <w:rFonts w:eastAsia="Malgun Gothic"/>
          <w:bCs/>
          <w:lang w:val="fr-FR"/>
        </w:rPr>
        <w:t xml:space="preserve">aînés </w:t>
      </w:r>
      <w:r w:rsidRPr="00DD6935">
        <w:rPr>
          <w:rFonts w:eastAsia="Malgun Gothic"/>
          <w:bCs/>
          <w:lang w:val="fr-FR"/>
        </w:rPr>
        <w:t>autour d</w:t>
      </w:r>
      <w:r w:rsidR="00923E72">
        <w:rPr>
          <w:rFonts w:eastAsia="Malgun Gothic"/>
          <w:bCs/>
          <w:lang w:val="fr-FR"/>
        </w:rPr>
        <w:t>’</w:t>
      </w:r>
      <w:r w:rsidRPr="00DD6935">
        <w:rPr>
          <w:rFonts w:eastAsia="Malgun Gothic"/>
          <w:bCs/>
          <w:lang w:val="fr-FR"/>
        </w:rPr>
        <w:t xml:space="preserve">une table </w:t>
      </w:r>
      <w:r>
        <w:rPr>
          <w:rFonts w:eastAsia="Malgun Gothic"/>
          <w:bCs/>
          <w:lang w:val="fr-FR"/>
        </w:rPr>
        <w:t xml:space="preserve">sur laquelle se trouvent plusieurs </w:t>
      </w:r>
      <w:r w:rsidRPr="00DD6935">
        <w:rPr>
          <w:rFonts w:eastAsia="Malgun Gothic"/>
          <w:bCs/>
          <w:lang w:val="fr-FR"/>
        </w:rPr>
        <w:t>objets et aliments symboliques. L</w:t>
      </w:r>
      <w:r w:rsidR="00923E72">
        <w:rPr>
          <w:rFonts w:eastAsia="Malgun Gothic"/>
          <w:bCs/>
          <w:lang w:val="fr-FR"/>
        </w:rPr>
        <w:t>’</w:t>
      </w:r>
      <w:r w:rsidRPr="00DD6935">
        <w:rPr>
          <w:rFonts w:eastAsia="Malgun Gothic"/>
          <w:bCs/>
          <w:lang w:val="fr-FR"/>
        </w:rPr>
        <w:t>Organe d</w:t>
      </w:r>
      <w:r w:rsidR="00923E72">
        <w:rPr>
          <w:rFonts w:eastAsia="Malgun Gothic"/>
          <w:bCs/>
          <w:lang w:val="fr-FR"/>
        </w:rPr>
        <w:t>’</w:t>
      </w:r>
      <w:r w:rsidRPr="00DD6935">
        <w:rPr>
          <w:rFonts w:eastAsia="Malgun Gothic"/>
          <w:bCs/>
          <w:lang w:val="fr-FR"/>
        </w:rPr>
        <w:t>évaluation avait estimé que les critères</w:t>
      </w:r>
      <w:r>
        <w:rPr>
          <w:rFonts w:eastAsia="Malgun Gothic"/>
          <w:bCs/>
          <w:lang w:val="fr-FR"/>
        </w:rPr>
        <w:t> </w:t>
      </w:r>
      <w:r w:rsidRPr="00DD6935">
        <w:rPr>
          <w:rFonts w:eastAsia="Malgun Gothic"/>
          <w:bCs/>
          <w:lang w:val="fr-FR"/>
        </w:rPr>
        <w:t>R.1,</w:t>
      </w:r>
      <w:r>
        <w:rPr>
          <w:rFonts w:eastAsia="Malgun Gothic"/>
          <w:bCs/>
          <w:lang w:val="fr-FR"/>
        </w:rPr>
        <w:t> </w:t>
      </w:r>
      <w:r w:rsidRPr="00DD6935">
        <w:rPr>
          <w:rFonts w:eastAsia="Malgun Gothic"/>
          <w:bCs/>
          <w:lang w:val="fr-FR"/>
        </w:rPr>
        <w:t>R.2 et</w:t>
      </w:r>
      <w:r>
        <w:rPr>
          <w:rFonts w:eastAsia="Malgun Gothic"/>
          <w:bCs/>
          <w:lang w:val="fr-FR"/>
        </w:rPr>
        <w:t> </w:t>
      </w:r>
      <w:r w:rsidRPr="00DD6935">
        <w:rPr>
          <w:rFonts w:eastAsia="Malgun Gothic"/>
          <w:bCs/>
          <w:lang w:val="fr-FR"/>
        </w:rPr>
        <w:t>R.5 étaient satisfaits, mais que les informations communiquées n</w:t>
      </w:r>
      <w:r w:rsidR="00923E72">
        <w:rPr>
          <w:rFonts w:eastAsia="Malgun Gothic"/>
          <w:bCs/>
          <w:lang w:val="fr-FR"/>
        </w:rPr>
        <w:t>’</w:t>
      </w:r>
      <w:r w:rsidRPr="00DD6935">
        <w:rPr>
          <w:rFonts w:eastAsia="Malgun Gothic"/>
          <w:bCs/>
          <w:lang w:val="fr-FR"/>
        </w:rPr>
        <w:t>étaient pas suffisantes pour déterminer si les critères</w:t>
      </w:r>
      <w:r>
        <w:rPr>
          <w:rFonts w:eastAsia="Malgun Gothic"/>
          <w:bCs/>
          <w:lang w:val="fr-FR"/>
        </w:rPr>
        <w:t> </w:t>
      </w:r>
      <w:r w:rsidRPr="00DD6935">
        <w:rPr>
          <w:rFonts w:eastAsia="Malgun Gothic"/>
          <w:bCs/>
          <w:lang w:val="fr-FR"/>
        </w:rPr>
        <w:t>R.3 et</w:t>
      </w:r>
      <w:r>
        <w:rPr>
          <w:rFonts w:eastAsia="Malgun Gothic"/>
          <w:bCs/>
          <w:lang w:val="fr-FR"/>
        </w:rPr>
        <w:t> </w:t>
      </w:r>
      <w:r w:rsidRPr="00DD6935">
        <w:rPr>
          <w:rFonts w:eastAsia="Malgun Gothic"/>
          <w:bCs/>
          <w:lang w:val="fr-FR"/>
        </w:rPr>
        <w:t>R.4 étaient satisfaits. Le dossier décrivait les rôles des communautés et des praticiens dans leur pratique de l</w:t>
      </w:r>
      <w:r w:rsidR="00923E72">
        <w:rPr>
          <w:rFonts w:eastAsia="Malgun Gothic"/>
          <w:bCs/>
          <w:lang w:val="fr-FR"/>
        </w:rPr>
        <w:t>’</w:t>
      </w:r>
      <w:r w:rsidRPr="00DD6935">
        <w:rPr>
          <w:rFonts w:eastAsia="Malgun Gothic"/>
          <w:bCs/>
          <w:lang w:val="fr-FR"/>
        </w:rPr>
        <w:t>élément. Toutefois, il ne d</w:t>
      </w:r>
      <w:r>
        <w:rPr>
          <w:rFonts w:eastAsia="Malgun Gothic"/>
          <w:bCs/>
          <w:lang w:val="fr-FR"/>
        </w:rPr>
        <w:t xml:space="preserve">étaillait </w:t>
      </w:r>
      <w:r w:rsidRPr="00DD6935">
        <w:rPr>
          <w:rFonts w:eastAsia="Malgun Gothic"/>
          <w:bCs/>
          <w:lang w:val="fr-FR"/>
        </w:rPr>
        <w:t>pas suffisamment les mesures de sauvegarde passées et actuelles, ni le rôle des communautés dans la planification et la mise en œuvre de ces mesures, ni la manière dont les communautés avaient participé au dossier de candidature. L</w:t>
      </w:r>
      <w:r w:rsidR="00923E72">
        <w:rPr>
          <w:rFonts w:eastAsia="Malgun Gothic"/>
          <w:bCs/>
          <w:lang w:val="fr-FR"/>
        </w:rPr>
        <w:t>’</w:t>
      </w:r>
      <w:r w:rsidRPr="00DD6935">
        <w:rPr>
          <w:rFonts w:eastAsia="Malgun Gothic"/>
          <w:bCs/>
          <w:lang w:val="fr-FR"/>
        </w:rPr>
        <w:t>Organe d</w:t>
      </w:r>
      <w:r w:rsidR="00923E72">
        <w:rPr>
          <w:rFonts w:eastAsia="Malgun Gothic"/>
          <w:bCs/>
          <w:lang w:val="fr-FR"/>
        </w:rPr>
        <w:t>’</w:t>
      </w:r>
      <w:r w:rsidRPr="00DD6935">
        <w:rPr>
          <w:rFonts w:eastAsia="Malgun Gothic"/>
          <w:bCs/>
          <w:lang w:val="fr-FR"/>
        </w:rPr>
        <w:t>évaluation recommandait que cette candidature soit renvoyée aux États parties soumissionnaires.</w:t>
      </w:r>
    </w:p>
    <w:p w14:paraId="444D99D4" w14:textId="59FC2F84" w:rsidR="00E815DE" w:rsidRDefault="00E815DE"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signalé qu</w:t>
      </w:r>
      <w:r w:rsidR="00923E72">
        <w:rPr>
          <w:rFonts w:eastAsia="Malgun Gothic"/>
          <w:bCs/>
          <w:lang w:val="fr-FR"/>
        </w:rPr>
        <w:t>’</w:t>
      </w:r>
      <w:r>
        <w:rPr>
          <w:rFonts w:eastAsia="Malgun Gothic"/>
          <w:bCs/>
          <w:lang w:val="fr-FR"/>
        </w:rPr>
        <w:t xml:space="preserve">un </w:t>
      </w:r>
      <w:r w:rsidRPr="00E815DE">
        <w:rPr>
          <w:rFonts w:eastAsia="Malgun Gothic"/>
          <w:bCs/>
          <w:lang w:val="fr-FR"/>
        </w:rPr>
        <w:t>amendement</w:t>
      </w:r>
      <w:r>
        <w:rPr>
          <w:rFonts w:eastAsia="Malgun Gothic"/>
          <w:bCs/>
          <w:lang w:val="fr-FR"/>
        </w:rPr>
        <w:t xml:space="preserve"> avait été reçu et a ouvert le débat.</w:t>
      </w:r>
    </w:p>
    <w:p w14:paraId="4F5C25E1" w14:textId="2A047043" w:rsidR="00E815DE" w:rsidRDefault="00706A96"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706A96">
        <w:rPr>
          <w:rFonts w:eastAsia="Malgun Gothic"/>
          <w:bCs/>
          <w:lang w:val="fr-FR"/>
        </w:rPr>
        <w:t xml:space="preserve">La délégation du </w:t>
      </w:r>
      <w:r w:rsidRPr="00702497">
        <w:rPr>
          <w:rFonts w:eastAsia="Malgun Gothic"/>
          <w:b/>
          <w:lang w:val="fr-FR"/>
        </w:rPr>
        <w:t>Bangladesh</w:t>
      </w:r>
      <w:r w:rsidRPr="00706A96">
        <w:rPr>
          <w:rFonts w:eastAsia="Malgun Gothic"/>
          <w:bCs/>
          <w:lang w:val="fr-FR"/>
        </w:rPr>
        <w:t xml:space="preserve"> a remercié l</w:t>
      </w:r>
      <w:r w:rsidR="00923E72">
        <w:rPr>
          <w:rFonts w:eastAsia="Malgun Gothic"/>
          <w:bCs/>
          <w:lang w:val="fr-FR"/>
        </w:rPr>
        <w:t>’</w:t>
      </w:r>
      <w:r w:rsidRPr="00706A96">
        <w:rPr>
          <w:rFonts w:eastAsia="Malgun Gothic"/>
          <w:bCs/>
          <w:lang w:val="fr-FR"/>
        </w:rPr>
        <w:t>Organe d</w:t>
      </w:r>
      <w:r w:rsidR="00923E72">
        <w:rPr>
          <w:rFonts w:eastAsia="Malgun Gothic"/>
          <w:bCs/>
          <w:lang w:val="fr-FR"/>
        </w:rPr>
        <w:t>’</w:t>
      </w:r>
      <w:r w:rsidRPr="00706A96">
        <w:rPr>
          <w:rFonts w:eastAsia="Malgun Gothic"/>
          <w:bCs/>
          <w:lang w:val="fr-FR"/>
        </w:rPr>
        <w:t xml:space="preserve">évaluation pour ses avis et recommandations </w:t>
      </w:r>
      <w:r w:rsidR="00DD694E">
        <w:rPr>
          <w:rFonts w:eastAsia="Malgun Gothic"/>
          <w:bCs/>
          <w:lang w:val="fr-FR"/>
        </w:rPr>
        <w:t>éclairés</w:t>
      </w:r>
      <w:r w:rsidRPr="00706A96">
        <w:rPr>
          <w:rFonts w:eastAsia="Malgun Gothic"/>
          <w:bCs/>
          <w:lang w:val="fr-FR"/>
        </w:rPr>
        <w:t xml:space="preserve"> et a rappelé que </w:t>
      </w:r>
      <w:proofErr w:type="spellStart"/>
      <w:r w:rsidRPr="00706A96">
        <w:rPr>
          <w:rFonts w:eastAsia="Malgun Gothic"/>
          <w:bCs/>
          <w:lang w:val="fr-FR"/>
        </w:rPr>
        <w:t>Yaldā</w:t>
      </w:r>
      <w:proofErr w:type="spellEnd"/>
      <w:r w:rsidRPr="00706A96">
        <w:rPr>
          <w:rFonts w:eastAsia="Malgun Gothic"/>
          <w:bCs/>
          <w:lang w:val="fr-FR"/>
        </w:rPr>
        <w:t>/</w:t>
      </w:r>
      <w:proofErr w:type="spellStart"/>
      <w:r w:rsidRPr="00706A96">
        <w:rPr>
          <w:rFonts w:eastAsia="Malgun Gothic"/>
          <w:bCs/>
          <w:lang w:val="fr-FR"/>
        </w:rPr>
        <w:t>Chella</w:t>
      </w:r>
      <w:proofErr w:type="spellEnd"/>
      <w:r w:rsidRPr="00706A96">
        <w:rPr>
          <w:rFonts w:eastAsia="Malgun Gothic"/>
          <w:bCs/>
          <w:lang w:val="fr-FR"/>
        </w:rPr>
        <w:t xml:space="preserve"> est une pratique sociale ou un rituel observé par les populations de l</w:t>
      </w:r>
      <w:r w:rsidR="00923E72">
        <w:rPr>
          <w:rFonts w:eastAsia="Malgun Gothic"/>
          <w:bCs/>
          <w:lang w:val="fr-FR"/>
        </w:rPr>
        <w:t>’</w:t>
      </w:r>
      <w:r w:rsidRPr="00706A96">
        <w:rPr>
          <w:rFonts w:eastAsia="Malgun Gothic"/>
          <w:bCs/>
          <w:lang w:val="fr-FR"/>
        </w:rPr>
        <w:t>Afghanistan et de l</w:t>
      </w:r>
      <w:r w:rsidR="00923E72">
        <w:rPr>
          <w:rFonts w:eastAsia="Malgun Gothic"/>
          <w:bCs/>
          <w:lang w:val="fr-FR"/>
        </w:rPr>
        <w:t>’</w:t>
      </w:r>
      <w:r w:rsidRPr="00706A96">
        <w:rPr>
          <w:rFonts w:eastAsia="Malgun Gothic"/>
          <w:bCs/>
          <w:lang w:val="fr-FR"/>
        </w:rPr>
        <w:t>Iran au cours d</w:t>
      </w:r>
      <w:r w:rsidR="00DD694E">
        <w:rPr>
          <w:rFonts w:eastAsia="Malgun Gothic"/>
          <w:bCs/>
          <w:lang w:val="fr-FR"/>
        </w:rPr>
        <w:t xml:space="preserve">uquel </w:t>
      </w:r>
      <w:r w:rsidRPr="00706A96">
        <w:rPr>
          <w:rFonts w:eastAsia="Malgun Gothic"/>
          <w:bCs/>
          <w:lang w:val="fr-FR"/>
        </w:rPr>
        <w:t>les familles célèbrent de manière spontanée l</w:t>
      </w:r>
      <w:r w:rsidR="00923E72">
        <w:rPr>
          <w:rFonts w:eastAsia="Malgun Gothic"/>
          <w:bCs/>
          <w:lang w:val="fr-FR"/>
        </w:rPr>
        <w:t>’</w:t>
      </w:r>
      <w:r w:rsidRPr="00706A96">
        <w:rPr>
          <w:rFonts w:eastAsia="Malgun Gothic"/>
          <w:bCs/>
          <w:lang w:val="fr-FR"/>
        </w:rPr>
        <w:t>éclat du soleil et la chaleur de la vie à l</w:t>
      </w:r>
      <w:r w:rsidR="00923E72">
        <w:rPr>
          <w:rFonts w:eastAsia="Malgun Gothic"/>
          <w:bCs/>
          <w:lang w:val="fr-FR"/>
        </w:rPr>
        <w:t>’</w:t>
      </w:r>
      <w:r w:rsidRPr="00706A96">
        <w:rPr>
          <w:rFonts w:eastAsia="Malgun Gothic"/>
          <w:bCs/>
          <w:lang w:val="fr-FR"/>
        </w:rPr>
        <w:t>occasion du solstice d</w:t>
      </w:r>
      <w:r w:rsidR="00923E72">
        <w:rPr>
          <w:rFonts w:eastAsia="Malgun Gothic"/>
          <w:bCs/>
          <w:lang w:val="fr-FR"/>
        </w:rPr>
        <w:t>’</w:t>
      </w:r>
      <w:r w:rsidRPr="00706A96">
        <w:rPr>
          <w:rFonts w:eastAsia="Malgun Gothic"/>
          <w:bCs/>
          <w:lang w:val="fr-FR"/>
        </w:rPr>
        <w:t>hiver. Chacun était bien conscient qu</w:t>
      </w:r>
      <w:r w:rsidR="007A36D0">
        <w:rPr>
          <w:rFonts w:eastAsia="Malgun Gothic"/>
          <w:bCs/>
          <w:lang w:val="fr-FR"/>
        </w:rPr>
        <w:t>e l</w:t>
      </w:r>
      <w:r w:rsidR="00923E72">
        <w:rPr>
          <w:rFonts w:eastAsia="Malgun Gothic"/>
          <w:bCs/>
          <w:lang w:val="fr-FR"/>
        </w:rPr>
        <w:t>’</w:t>
      </w:r>
      <w:r w:rsidR="007A36D0">
        <w:rPr>
          <w:rFonts w:eastAsia="Malgun Gothic"/>
          <w:bCs/>
          <w:lang w:val="fr-FR"/>
        </w:rPr>
        <w:t>élément se pratique</w:t>
      </w:r>
      <w:r w:rsidRPr="00706A96">
        <w:rPr>
          <w:rFonts w:eastAsia="Malgun Gothic"/>
          <w:bCs/>
          <w:lang w:val="fr-FR"/>
        </w:rPr>
        <w:t xml:space="preserve"> d</w:t>
      </w:r>
      <w:r w:rsidR="00923E72">
        <w:rPr>
          <w:rFonts w:eastAsia="Malgun Gothic"/>
          <w:bCs/>
          <w:lang w:val="fr-FR"/>
        </w:rPr>
        <w:t>’</w:t>
      </w:r>
      <w:r w:rsidRPr="00706A96">
        <w:rPr>
          <w:rFonts w:eastAsia="Malgun Gothic"/>
          <w:bCs/>
          <w:lang w:val="fr-FR"/>
        </w:rPr>
        <w:t>une région où la violence sévit malheureusement depuis des décennies. Les critères</w:t>
      </w:r>
      <w:r w:rsidR="007A36D0">
        <w:rPr>
          <w:rFonts w:eastAsia="Malgun Gothic"/>
          <w:bCs/>
          <w:lang w:val="fr-FR"/>
        </w:rPr>
        <w:t> </w:t>
      </w:r>
      <w:r w:rsidRPr="00706A96">
        <w:rPr>
          <w:rFonts w:eastAsia="Malgun Gothic"/>
          <w:bCs/>
          <w:lang w:val="fr-FR"/>
        </w:rPr>
        <w:t>R.1,</w:t>
      </w:r>
      <w:r w:rsidR="00D40861">
        <w:rPr>
          <w:rFonts w:eastAsia="Malgun Gothic"/>
          <w:bCs/>
          <w:lang w:val="fr-FR"/>
        </w:rPr>
        <w:t> </w:t>
      </w:r>
      <w:r w:rsidRPr="00706A96">
        <w:rPr>
          <w:rFonts w:eastAsia="Malgun Gothic"/>
          <w:bCs/>
          <w:lang w:val="fr-FR"/>
        </w:rPr>
        <w:t>R.2 et</w:t>
      </w:r>
      <w:r w:rsidR="007A36D0">
        <w:rPr>
          <w:rFonts w:eastAsia="Malgun Gothic"/>
          <w:bCs/>
          <w:lang w:val="fr-FR"/>
        </w:rPr>
        <w:t> </w:t>
      </w:r>
      <w:r w:rsidRPr="00706A96">
        <w:rPr>
          <w:rFonts w:eastAsia="Malgun Gothic"/>
          <w:bCs/>
          <w:lang w:val="fr-FR"/>
        </w:rPr>
        <w:t xml:space="preserve">R.5 </w:t>
      </w:r>
      <w:r w:rsidR="00DD694E">
        <w:rPr>
          <w:rFonts w:eastAsia="Malgun Gothic"/>
          <w:bCs/>
          <w:lang w:val="fr-FR"/>
        </w:rPr>
        <w:t xml:space="preserve">étaient </w:t>
      </w:r>
      <w:r w:rsidRPr="00706A96">
        <w:rPr>
          <w:rFonts w:eastAsia="Malgun Gothic"/>
          <w:bCs/>
          <w:lang w:val="fr-FR"/>
        </w:rPr>
        <w:t>déjà satisfait</w:t>
      </w:r>
      <w:r w:rsidR="00DD694E">
        <w:rPr>
          <w:rFonts w:eastAsia="Malgun Gothic"/>
          <w:bCs/>
          <w:lang w:val="fr-FR"/>
        </w:rPr>
        <w:t>s selon</w:t>
      </w:r>
      <w:r w:rsidRPr="00706A96">
        <w:rPr>
          <w:rFonts w:eastAsia="Malgun Gothic"/>
          <w:bCs/>
          <w:lang w:val="fr-FR"/>
        </w:rPr>
        <w:t xml:space="preserve"> l</w:t>
      </w:r>
      <w:r w:rsidR="00923E72">
        <w:rPr>
          <w:rFonts w:eastAsia="Malgun Gothic"/>
          <w:bCs/>
          <w:lang w:val="fr-FR"/>
        </w:rPr>
        <w:t>’</w:t>
      </w:r>
      <w:r w:rsidRPr="00706A96">
        <w:rPr>
          <w:rFonts w:eastAsia="Malgun Gothic"/>
          <w:bCs/>
          <w:lang w:val="fr-FR"/>
        </w:rPr>
        <w:t>Organe d</w:t>
      </w:r>
      <w:r w:rsidR="00923E72">
        <w:rPr>
          <w:rFonts w:eastAsia="Malgun Gothic"/>
          <w:bCs/>
          <w:lang w:val="fr-FR"/>
        </w:rPr>
        <w:t>’</w:t>
      </w:r>
      <w:r w:rsidRPr="00706A96">
        <w:rPr>
          <w:rFonts w:eastAsia="Malgun Gothic"/>
          <w:bCs/>
          <w:lang w:val="fr-FR"/>
        </w:rPr>
        <w:t>évaluation, prouvant que cet élément constitue un bien culturel commun très important</w:t>
      </w:r>
      <w:r w:rsidR="005050EC">
        <w:rPr>
          <w:rFonts w:eastAsia="Malgun Gothic"/>
          <w:bCs/>
          <w:lang w:val="fr-FR"/>
        </w:rPr>
        <w:t>,</w:t>
      </w:r>
      <w:r w:rsidR="007A36D0">
        <w:rPr>
          <w:rFonts w:eastAsia="Malgun Gothic"/>
          <w:bCs/>
          <w:lang w:val="fr-FR"/>
        </w:rPr>
        <w:t xml:space="preserve"> </w:t>
      </w:r>
      <w:r w:rsidRPr="00706A96">
        <w:rPr>
          <w:rFonts w:eastAsia="Malgun Gothic"/>
          <w:bCs/>
          <w:lang w:val="fr-FR"/>
        </w:rPr>
        <w:t>qui non seulement apporte la paix de l</w:t>
      </w:r>
      <w:r w:rsidR="00923E72">
        <w:rPr>
          <w:rFonts w:eastAsia="Malgun Gothic"/>
          <w:bCs/>
          <w:lang w:val="fr-FR"/>
        </w:rPr>
        <w:t>’</w:t>
      </w:r>
      <w:r w:rsidRPr="00706A96">
        <w:rPr>
          <w:rFonts w:eastAsia="Malgun Gothic"/>
          <w:bCs/>
          <w:lang w:val="fr-FR"/>
        </w:rPr>
        <w:t>esprit, des liens et de l</w:t>
      </w:r>
      <w:r w:rsidR="00923E72">
        <w:rPr>
          <w:rFonts w:eastAsia="Malgun Gothic"/>
          <w:bCs/>
          <w:lang w:val="fr-FR"/>
        </w:rPr>
        <w:t>’</w:t>
      </w:r>
      <w:r w:rsidRPr="00706A96">
        <w:rPr>
          <w:rFonts w:eastAsia="Malgun Gothic"/>
          <w:bCs/>
          <w:lang w:val="fr-FR"/>
        </w:rPr>
        <w:t xml:space="preserve">amitié </w:t>
      </w:r>
      <w:r w:rsidR="00DD694E">
        <w:rPr>
          <w:rFonts w:eastAsia="Malgun Gothic"/>
          <w:bCs/>
          <w:lang w:val="fr-FR"/>
        </w:rPr>
        <w:t xml:space="preserve">parmi </w:t>
      </w:r>
      <w:r w:rsidRPr="00706A96">
        <w:rPr>
          <w:rFonts w:eastAsia="Malgun Gothic"/>
          <w:bCs/>
          <w:lang w:val="fr-FR"/>
        </w:rPr>
        <w:t>ses détenteurs et ses praticiens, mais peut également promouvoir la paix dans des régions frappées par la violence. Toutefois, la candidature n</w:t>
      </w:r>
      <w:r w:rsidR="00923E72">
        <w:rPr>
          <w:rFonts w:eastAsia="Malgun Gothic"/>
          <w:bCs/>
          <w:lang w:val="fr-FR"/>
        </w:rPr>
        <w:t>’</w:t>
      </w:r>
      <w:r w:rsidRPr="00706A96">
        <w:rPr>
          <w:rFonts w:eastAsia="Malgun Gothic"/>
          <w:bCs/>
          <w:lang w:val="fr-FR"/>
        </w:rPr>
        <w:t>avait pas pu satisfaire pleinement l</w:t>
      </w:r>
      <w:r w:rsidR="00923E72">
        <w:rPr>
          <w:rFonts w:eastAsia="Malgun Gothic"/>
          <w:bCs/>
          <w:lang w:val="fr-FR"/>
        </w:rPr>
        <w:t>’</w:t>
      </w:r>
      <w:r w:rsidRPr="00706A96">
        <w:rPr>
          <w:rFonts w:eastAsia="Malgun Gothic"/>
          <w:bCs/>
          <w:lang w:val="fr-FR"/>
        </w:rPr>
        <w:t>Organe d</w:t>
      </w:r>
      <w:r w:rsidR="00923E72">
        <w:rPr>
          <w:rFonts w:eastAsia="Malgun Gothic"/>
          <w:bCs/>
          <w:lang w:val="fr-FR"/>
        </w:rPr>
        <w:t>’</w:t>
      </w:r>
      <w:r w:rsidRPr="00706A96">
        <w:rPr>
          <w:rFonts w:eastAsia="Malgun Gothic"/>
          <w:bCs/>
          <w:lang w:val="fr-FR"/>
        </w:rPr>
        <w:t>évaluation. La délégation s</w:t>
      </w:r>
      <w:r w:rsidR="00923E72">
        <w:rPr>
          <w:rFonts w:eastAsia="Malgun Gothic"/>
          <w:bCs/>
          <w:lang w:val="fr-FR"/>
        </w:rPr>
        <w:t>’</w:t>
      </w:r>
      <w:r w:rsidRPr="00706A96">
        <w:rPr>
          <w:rFonts w:eastAsia="Malgun Gothic"/>
          <w:bCs/>
          <w:lang w:val="fr-FR"/>
        </w:rPr>
        <w:t>est inquiétée du fait que l</w:t>
      </w:r>
      <w:r w:rsidR="00923E72">
        <w:rPr>
          <w:rFonts w:eastAsia="Malgun Gothic"/>
          <w:bCs/>
          <w:lang w:val="fr-FR"/>
        </w:rPr>
        <w:t>’</w:t>
      </w:r>
      <w:r w:rsidRPr="00706A96">
        <w:rPr>
          <w:rFonts w:eastAsia="Malgun Gothic"/>
          <w:bCs/>
          <w:lang w:val="fr-FR"/>
        </w:rPr>
        <w:t>un des États candidats, l</w:t>
      </w:r>
      <w:r w:rsidR="00923E72">
        <w:rPr>
          <w:rFonts w:eastAsia="Malgun Gothic"/>
          <w:bCs/>
          <w:lang w:val="fr-FR"/>
        </w:rPr>
        <w:t>’</w:t>
      </w:r>
      <w:r w:rsidRPr="00706A96">
        <w:rPr>
          <w:rFonts w:eastAsia="Malgun Gothic"/>
          <w:bCs/>
          <w:lang w:val="fr-FR"/>
        </w:rPr>
        <w:t xml:space="preserve">Afghanistan, </w:t>
      </w:r>
      <w:r w:rsidR="007A36D0">
        <w:rPr>
          <w:rFonts w:eastAsia="Malgun Gothic"/>
          <w:bCs/>
          <w:lang w:val="fr-FR"/>
        </w:rPr>
        <w:t>était</w:t>
      </w:r>
      <w:r w:rsidRPr="00706A96">
        <w:rPr>
          <w:rFonts w:eastAsia="Malgun Gothic"/>
          <w:bCs/>
          <w:lang w:val="fr-FR"/>
        </w:rPr>
        <w:t xml:space="preserve"> en guerre depuis près de vingt ans. L</w:t>
      </w:r>
      <w:r w:rsidR="00923E72">
        <w:rPr>
          <w:rFonts w:eastAsia="Malgun Gothic"/>
          <w:bCs/>
          <w:lang w:val="fr-FR"/>
        </w:rPr>
        <w:t>’</w:t>
      </w:r>
      <w:r w:rsidRPr="00706A96">
        <w:rPr>
          <w:rFonts w:eastAsia="Malgun Gothic"/>
          <w:bCs/>
          <w:lang w:val="fr-FR"/>
        </w:rPr>
        <w:t>inscription de l</w:t>
      </w:r>
      <w:r w:rsidR="00923E72">
        <w:rPr>
          <w:rFonts w:eastAsia="Malgun Gothic"/>
          <w:bCs/>
          <w:lang w:val="fr-FR"/>
        </w:rPr>
        <w:t>’</w:t>
      </w:r>
      <w:r w:rsidRPr="00706A96">
        <w:rPr>
          <w:rFonts w:eastAsia="Malgun Gothic"/>
          <w:bCs/>
          <w:lang w:val="fr-FR"/>
        </w:rPr>
        <w:t>un de ses éléments culturels donnerait au peuple afghan une rare occasion de célébrer la vie. Pour le critère</w:t>
      </w:r>
      <w:r w:rsidR="007A36D0">
        <w:rPr>
          <w:rFonts w:eastAsia="Malgun Gothic"/>
          <w:bCs/>
          <w:lang w:val="fr-FR"/>
        </w:rPr>
        <w:t> </w:t>
      </w:r>
      <w:r w:rsidRPr="00706A96">
        <w:rPr>
          <w:rFonts w:eastAsia="Malgun Gothic"/>
          <w:bCs/>
          <w:lang w:val="fr-FR"/>
        </w:rPr>
        <w:t>R.3, l</w:t>
      </w:r>
      <w:r w:rsidR="00923E72">
        <w:rPr>
          <w:rFonts w:eastAsia="Malgun Gothic"/>
          <w:bCs/>
          <w:lang w:val="fr-FR"/>
        </w:rPr>
        <w:t>’</w:t>
      </w:r>
      <w:r w:rsidRPr="00706A96">
        <w:rPr>
          <w:rFonts w:eastAsia="Malgun Gothic"/>
          <w:bCs/>
          <w:lang w:val="fr-FR"/>
        </w:rPr>
        <w:t>Organe avait estimé que le dossier décri</w:t>
      </w:r>
      <w:r w:rsidR="007A36D0">
        <w:rPr>
          <w:rFonts w:eastAsia="Malgun Gothic"/>
          <w:bCs/>
          <w:lang w:val="fr-FR"/>
        </w:rPr>
        <w:t>vai</w:t>
      </w:r>
      <w:r w:rsidRPr="00706A96">
        <w:rPr>
          <w:rFonts w:eastAsia="Malgun Gothic"/>
          <w:bCs/>
          <w:lang w:val="fr-FR"/>
        </w:rPr>
        <w:t>t les rôles des communautés et des praticiens dans leur pratique de l</w:t>
      </w:r>
      <w:r w:rsidR="00923E72">
        <w:rPr>
          <w:rFonts w:eastAsia="Malgun Gothic"/>
          <w:bCs/>
          <w:lang w:val="fr-FR"/>
        </w:rPr>
        <w:t>’</w:t>
      </w:r>
      <w:r w:rsidRPr="00706A96">
        <w:rPr>
          <w:rFonts w:eastAsia="Malgun Gothic"/>
          <w:bCs/>
          <w:lang w:val="fr-FR"/>
        </w:rPr>
        <w:t>élément, mais ne donn</w:t>
      </w:r>
      <w:r w:rsidR="007A36D0">
        <w:rPr>
          <w:rFonts w:eastAsia="Malgun Gothic"/>
          <w:bCs/>
          <w:lang w:val="fr-FR"/>
        </w:rPr>
        <w:t>ait</w:t>
      </w:r>
      <w:r w:rsidRPr="00706A96">
        <w:rPr>
          <w:rFonts w:eastAsia="Malgun Gothic"/>
          <w:bCs/>
          <w:lang w:val="fr-FR"/>
        </w:rPr>
        <w:t xml:space="preserve"> pas suffisamment de détails sur les mesures de sauvegarde passées et présentes adoptées ou mises en œuvre par les communautés. La délégation se demandait comment un pays en guerre p</w:t>
      </w:r>
      <w:r w:rsidR="007A36D0">
        <w:rPr>
          <w:rFonts w:eastAsia="Malgun Gothic"/>
          <w:bCs/>
          <w:lang w:val="fr-FR"/>
        </w:rPr>
        <w:t>ouvait</w:t>
      </w:r>
      <w:r w:rsidRPr="00706A96">
        <w:rPr>
          <w:rFonts w:eastAsia="Malgun Gothic"/>
          <w:bCs/>
          <w:lang w:val="fr-FR"/>
        </w:rPr>
        <w:t xml:space="preserve"> prendre des mesures de sauvegarde suffisantes alors que tout l</w:t>
      </w:r>
      <w:r w:rsidR="00923E72">
        <w:rPr>
          <w:rFonts w:eastAsia="Malgun Gothic"/>
          <w:bCs/>
          <w:lang w:val="fr-FR"/>
        </w:rPr>
        <w:t>’</w:t>
      </w:r>
      <w:r w:rsidRPr="00706A96">
        <w:rPr>
          <w:rFonts w:eastAsia="Malgun Gothic"/>
          <w:bCs/>
          <w:lang w:val="fr-FR"/>
        </w:rPr>
        <w:t xml:space="preserve">effort national </w:t>
      </w:r>
      <w:r w:rsidR="007A36D0">
        <w:rPr>
          <w:rFonts w:eastAsia="Malgun Gothic"/>
          <w:bCs/>
          <w:lang w:val="fr-FR"/>
        </w:rPr>
        <w:t xml:space="preserve">était </w:t>
      </w:r>
      <w:r w:rsidRPr="00706A96">
        <w:rPr>
          <w:rFonts w:eastAsia="Malgun Gothic"/>
          <w:bCs/>
          <w:lang w:val="fr-FR"/>
        </w:rPr>
        <w:t>consacré à la sauvegarde de la vie de son peuple. La délégation était convaincue que les efforts de l</w:t>
      </w:r>
      <w:r w:rsidR="00923E72">
        <w:rPr>
          <w:rFonts w:eastAsia="Malgun Gothic"/>
          <w:bCs/>
          <w:lang w:val="fr-FR"/>
        </w:rPr>
        <w:t>’</w:t>
      </w:r>
      <w:r w:rsidRPr="00706A96">
        <w:rPr>
          <w:rFonts w:eastAsia="Malgun Gothic"/>
          <w:bCs/>
          <w:lang w:val="fr-FR"/>
        </w:rPr>
        <w:t>Afghanistan s</w:t>
      </w:r>
      <w:r w:rsidR="00923E72">
        <w:rPr>
          <w:rFonts w:eastAsia="Malgun Gothic"/>
          <w:bCs/>
          <w:lang w:val="fr-FR"/>
        </w:rPr>
        <w:t>’</w:t>
      </w:r>
      <w:r w:rsidRPr="00706A96">
        <w:rPr>
          <w:rFonts w:eastAsia="Malgun Gothic"/>
          <w:bCs/>
          <w:lang w:val="fr-FR"/>
        </w:rPr>
        <w:t>étendaient à la sauvegarde de ses éléments. Elle a demandé à l</w:t>
      </w:r>
      <w:r w:rsidR="00923E72">
        <w:rPr>
          <w:rFonts w:eastAsia="Malgun Gothic"/>
          <w:bCs/>
          <w:lang w:val="fr-FR"/>
        </w:rPr>
        <w:t>’</w:t>
      </w:r>
      <w:r w:rsidRPr="00706A96">
        <w:rPr>
          <w:rFonts w:eastAsia="Malgun Gothic"/>
          <w:bCs/>
          <w:lang w:val="fr-FR"/>
        </w:rPr>
        <w:t xml:space="preserve">expert iranien de </w:t>
      </w:r>
      <w:r w:rsidR="00DD694E">
        <w:rPr>
          <w:rFonts w:eastAsia="Malgun Gothic"/>
          <w:bCs/>
          <w:lang w:val="fr-FR"/>
        </w:rPr>
        <w:t xml:space="preserve">communiquer </w:t>
      </w:r>
      <w:r w:rsidRPr="00706A96">
        <w:rPr>
          <w:rFonts w:eastAsia="Malgun Gothic"/>
          <w:bCs/>
          <w:lang w:val="fr-FR"/>
        </w:rPr>
        <w:t xml:space="preserve">des informations sur les mesures de sauvegarde, le rôle et la participation de la communauté ainsi que sur les difficultés rencontrées </w:t>
      </w:r>
      <w:r w:rsidR="007A36D0">
        <w:rPr>
          <w:rFonts w:eastAsia="Malgun Gothic"/>
          <w:bCs/>
          <w:lang w:val="fr-FR"/>
        </w:rPr>
        <w:t xml:space="preserve">lors </w:t>
      </w:r>
      <w:r w:rsidRPr="00706A96">
        <w:rPr>
          <w:rFonts w:eastAsia="Malgun Gothic"/>
          <w:bCs/>
          <w:lang w:val="fr-FR"/>
        </w:rPr>
        <w:t>la collecte des données.</w:t>
      </w:r>
    </w:p>
    <w:p w14:paraId="6022437A" w14:textId="414323EB" w:rsidR="007A36D0" w:rsidRDefault="007A36D0"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7A36D0">
        <w:rPr>
          <w:rFonts w:eastAsia="Malgun Gothic"/>
          <w:bCs/>
          <w:lang w:val="fr-FR"/>
        </w:rPr>
        <w:t xml:space="preserve">La délégation de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Iran</w:t>
      </w:r>
      <w:r w:rsidRPr="007A36D0">
        <w:rPr>
          <w:rFonts w:eastAsia="Malgun Gothic"/>
          <w:bCs/>
          <w:lang w:val="fr-FR"/>
        </w:rPr>
        <w:t xml:space="preserve"> a remercié l</w:t>
      </w:r>
      <w:r w:rsidR="00923E72">
        <w:rPr>
          <w:rFonts w:eastAsia="Malgun Gothic"/>
          <w:bCs/>
          <w:lang w:val="fr-FR"/>
        </w:rPr>
        <w:t>’</w:t>
      </w:r>
      <w:r w:rsidRPr="007A36D0">
        <w:rPr>
          <w:rFonts w:eastAsia="Malgun Gothic"/>
          <w:bCs/>
          <w:lang w:val="fr-FR"/>
        </w:rPr>
        <w:t>Organe d</w:t>
      </w:r>
      <w:r w:rsidR="00923E72">
        <w:rPr>
          <w:rFonts w:eastAsia="Malgun Gothic"/>
          <w:bCs/>
          <w:lang w:val="fr-FR"/>
        </w:rPr>
        <w:t>’</w:t>
      </w:r>
      <w:r w:rsidRPr="007A36D0">
        <w:rPr>
          <w:rFonts w:eastAsia="Malgun Gothic"/>
          <w:bCs/>
          <w:lang w:val="fr-FR"/>
        </w:rPr>
        <w:t>évaluation pour ses efforts, et le Bangladesh pour avoir soulevé ces questions très importantes. En ce qui concerne les défis et les difficultés rencontrés lors de la préparation du dossier de candidature, la délégation a fait part de son expérience [à titre personnel] en tant qu</w:t>
      </w:r>
      <w:r w:rsidR="00923E72">
        <w:rPr>
          <w:rFonts w:eastAsia="Malgun Gothic"/>
          <w:bCs/>
          <w:lang w:val="fr-FR"/>
        </w:rPr>
        <w:t>’</w:t>
      </w:r>
      <w:r w:rsidRPr="007A36D0">
        <w:rPr>
          <w:rFonts w:eastAsia="Malgun Gothic"/>
          <w:bCs/>
          <w:lang w:val="fr-FR"/>
        </w:rPr>
        <w:t>expert ayant collaboré avec le groupe de travail sur le dossier de candidature. Lorsqu</w:t>
      </w:r>
      <w:r w:rsidR="00923E72">
        <w:rPr>
          <w:rFonts w:eastAsia="Malgun Gothic"/>
          <w:bCs/>
          <w:lang w:val="fr-FR"/>
        </w:rPr>
        <w:t>’</w:t>
      </w:r>
      <w:r w:rsidRPr="007A36D0">
        <w:rPr>
          <w:rFonts w:eastAsia="Malgun Gothic"/>
          <w:bCs/>
          <w:lang w:val="fr-FR"/>
        </w:rPr>
        <w:t xml:space="preserve">il était en Afghanistan pour </w:t>
      </w:r>
      <w:r w:rsidR="00CD30AE">
        <w:rPr>
          <w:rFonts w:eastAsia="Malgun Gothic"/>
          <w:bCs/>
          <w:lang w:val="fr-FR"/>
        </w:rPr>
        <w:t xml:space="preserve">échanger </w:t>
      </w:r>
      <w:r w:rsidRPr="007A36D0">
        <w:rPr>
          <w:rFonts w:eastAsia="Malgun Gothic"/>
          <w:bCs/>
          <w:lang w:val="fr-FR"/>
        </w:rPr>
        <w:t xml:space="preserve">et travailler avec les communautés locales, la sécurité était </w:t>
      </w:r>
      <w:r w:rsidRPr="007A36D0">
        <w:rPr>
          <w:rFonts w:eastAsia="Malgun Gothic"/>
          <w:bCs/>
          <w:lang w:val="fr-FR"/>
        </w:rPr>
        <w:lastRenderedPageBreak/>
        <w:t>l</w:t>
      </w:r>
      <w:r w:rsidR="00923E72">
        <w:rPr>
          <w:rFonts w:eastAsia="Malgun Gothic"/>
          <w:bCs/>
          <w:lang w:val="fr-FR"/>
        </w:rPr>
        <w:t>’</w:t>
      </w:r>
      <w:r w:rsidRPr="007A36D0">
        <w:rPr>
          <w:rFonts w:eastAsia="Malgun Gothic"/>
          <w:bCs/>
          <w:lang w:val="fr-FR"/>
        </w:rPr>
        <w:t>obstacle le plus important à la communication avec la population locale, de sorte qu</w:t>
      </w:r>
      <w:r w:rsidR="00923E72">
        <w:rPr>
          <w:rFonts w:eastAsia="Malgun Gothic"/>
          <w:bCs/>
          <w:lang w:val="fr-FR"/>
        </w:rPr>
        <w:t>’</w:t>
      </w:r>
      <w:r w:rsidRPr="007A36D0">
        <w:rPr>
          <w:rFonts w:eastAsia="Malgun Gothic"/>
          <w:bCs/>
          <w:lang w:val="fr-FR"/>
        </w:rPr>
        <w:t>il n</w:t>
      </w:r>
      <w:r w:rsidR="00923E72">
        <w:rPr>
          <w:rFonts w:eastAsia="Malgun Gothic"/>
          <w:bCs/>
          <w:lang w:val="fr-FR"/>
        </w:rPr>
        <w:t>’</w:t>
      </w:r>
      <w:r w:rsidRPr="007A36D0">
        <w:rPr>
          <w:rFonts w:eastAsia="Malgun Gothic"/>
          <w:bCs/>
          <w:lang w:val="fr-FR"/>
        </w:rPr>
        <w:t>avait pas pu faire tout ce qu</w:t>
      </w:r>
      <w:r w:rsidR="00923E72">
        <w:rPr>
          <w:rFonts w:eastAsia="Malgun Gothic"/>
          <w:bCs/>
          <w:lang w:val="fr-FR"/>
        </w:rPr>
        <w:t>’</w:t>
      </w:r>
      <w:r w:rsidRPr="007A36D0">
        <w:rPr>
          <w:rFonts w:eastAsia="Malgun Gothic"/>
          <w:bCs/>
          <w:lang w:val="fr-FR"/>
        </w:rPr>
        <w:t>il aurait voulu pour enquêter sur l</w:t>
      </w:r>
      <w:r w:rsidR="00AD7D1A">
        <w:rPr>
          <w:rFonts w:eastAsia="Malgun Gothic"/>
          <w:bCs/>
          <w:lang w:val="fr-FR"/>
        </w:rPr>
        <w:t>a participation</w:t>
      </w:r>
      <w:r w:rsidRPr="007A36D0">
        <w:rPr>
          <w:rFonts w:eastAsia="Malgun Gothic"/>
          <w:bCs/>
          <w:lang w:val="fr-FR"/>
        </w:rPr>
        <w:t xml:space="preserve"> des communautés et obtenir leurs lettres de consentement et d</w:t>
      </w:r>
      <w:r w:rsidR="00923E72">
        <w:rPr>
          <w:rFonts w:eastAsia="Malgun Gothic"/>
          <w:bCs/>
          <w:lang w:val="fr-FR"/>
        </w:rPr>
        <w:t>’</w:t>
      </w:r>
      <w:r w:rsidRPr="007A36D0">
        <w:rPr>
          <w:rFonts w:eastAsia="Malgun Gothic"/>
          <w:bCs/>
          <w:lang w:val="fr-FR"/>
        </w:rPr>
        <w:t>autres documents complémentaires. Les personnes avec lesquelles il s</w:t>
      </w:r>
      <w:r w:rsidR="00923E72">
        <w:rPr>
          <w:rFonts w:eastAsia="Malgun Gothic"/>
          <w:bCs/>
          <w:lang w:val="fr-FR"/>
        </w:rPr>
        <w:t>’</w:t>
      </w:r>
      <w:r w:rsidRPr="007A36D0">
        <w:rPr>
          <w:rFonts w:eastAsia="Malgun Gothic"/>
          <w:bCs/>
          <w:lang w:val="fr-FR"/>
        </w:rPr>
        <w:t>était entretenu étaient mentalement, socialement et culturellement traumatisées par la violence qu</w:t>
      </w:r>
      <w:r w:rsidR="00923E72">
        <w:rPr>
          <w:rFonts w:eastAsia="Malgun Gothic"/>
          <w:bCs/>
          <w:lang w:val="fr-FR"/>
        </w:rPr>
        <w:t>’</w:t>
      </w:r>
      <w:r w:rsidRPr="007A36D0">
        <w:rPr>
          <w:rFonts w:eastAsia="Malgun Gothic"/>
          <w:bCs/>
          <w:lang w:val="fr-FR"/>
        </w:rPr>
        <w:t xml:space="preserve">elles </w:t>
      </w:r>
      <w:r w:rsidR="00CD30AE">
        <w:rPr>
          <w:rFonts w:eastAsia="Malgun Gothic"/>
          <w:bCs/>
          <w:lang w:val="fr-FR"/>
        </w:rPr>
        <w:t xml:space="preserve">avaient subie </w:t>
      </w:r>
      <w:r w:rsidR="00510A51">
        <w:rPr>
          <w:rFonts w:eastAsia="Malgun Gothic"/>
          <w:bCs/>
          <w:lang w:val="fr-FR"/>
        </w:rPr>
        <w:t xml:space="preserve">depuis </w:t>
      </w:r>
      <w:r w:rsidRPr="007A36D0">
        <w:rPr>
          <w:rFonts w:eastAsia="Malgun Gothic"/>
          <w:bCs/>
          <w:lang w:val="fr-FR"/>
        </w:rPr>
        <w:t>deux décennies. Elles étaient d</w:t>
      </w:r>
      <w:r w:rsidR="00923E72">
        <w:rPr>
          <w:rFonts w:eastAsia="Malgun Gothic"/>
          <w:bCs/>
          <w:lang w:val="fr-FR"/>
        </w:rPr>
        <w:t>’</w:t>
      </w:r>
      <w:r w:rsidRPr="007A36D0">
        <w:rPr>
          <w:rFonts w:eastAsia="Malgun Gothic"/>
          <w:bCs/>
          <w:lang w:val="fr-FR"/>
        </w:rPr>
        <w:t xml:space="preserve">abord préoccupées par leur existence matérielle, puis par leur existence immatérielle, ce qui est compréhensible pour tous. Cependant, </w:t>
      </w:r>
      <w:r w:rsidR="00CD30AE">
        <w:rPr>
          <w:rFonts w:eastAsia="Malgun Gothic"/>
          <w:bCs/>
          <w:lang w:val="fr-FR"/>
        </w:rPr>
        <w:t>elles</w:t>
      </w:r>
      <w:r w:rsidRPr="007A36D0">
        <w:rPr>
          <w:rFonts w:eastAsia="Malgun Gothic"/>
          <w:bCs/>
          <w:lang w:val="fr-FR"/>
        </w:rPr>
        <w:t xml:space="preserve"> aimaient beaucoup </w:t>
      </w:r>
      <w:proofErr w:type="spellStart"/>
      <w:r w:rsidRPr="007A36D0">
        <w:rPr>
          <w:rFonts w:eastAsia="Malgun Gothic"/>
          <w:bCs/>
          <w:lang w:val="fr-FR"/>
        </w:rPr>
        <w:t>Yaldā</w:t>
      </w:r>
      <w:proofErr w:type="spellEnd"/>
      <w:r w:rsidRPr="007A36D0">
        <w:rPr>
          <w:rFonts w:eastAsia="Malgun Gothic"/>
          <w:bCs/>
          <w:lang w:val="fr-FR"/>
        </w:rPr>
        <w:t>/</w:t>
      </w:r>
      <w:proofErr w:type="spellStart"/>
      <w:r w:rsidRPr="007A36D0">
        <w:rPr>
          <w:rFonts w:eastAsia="Malgun Gothic"/>
          <w:bCs/>
          <w:lang w:val="fr-FR"/>
        </w:rPr>
        <w:t>Chella</w:t>
      </w:r>
      <w:proofErr w:type="spellEnd"/>
      <w:r w:rsidRPr="007A36D0">
        <w:rPr>
          <w:rFonts w:eastAsia="Malgun Gothic"/>
          <w:bCs/>
          <w:lang w:val="fr-FR"/>
        </w:rPr>
        <w:t xml:space="preserve"> lorsqu</w:t>
      </w:r>
      <w:r w:rsidR="00923E72">
        <w:rPr>
          <w:rFonts w:eastAsia="Malgun Gothic"/>
          <w:bCs/>
          <w:lang w:val="fr-FR"/>
        </w:rPr>
        <w:t>’</w:t>
      </w:r>
      <w:r w:rsidR="00CD30AE">
        <w:rPr>
          <w:rFonts w:eastAsia="Malgun Gothic"/>
          <w:bCs/>
          <w:lang w:val="fr-FR"/>
        </w:rPr>
        <w:t>elles</w:t>
      </w:r>
      <w:r w:rsidRPr="007A36D0">
        <w:rPr>
          <w:rFonts w:eastAsia="Malgun Gothic"/>
          <w:bCs/>
          <w:lang w:val="fr-FR"/>
        </w:rPr>
        <w:t xml:space="preserve"> pouvaient le célébrer, et en gardaient de bons souvenirs. Pour la même raison, seules quelques lettres de consentement et documents de référence avaient été remis par certaines des organisations afghanes impliquées dans la préparation du dossier de candidature. Les mêmes lettres de consentement avaient été soumises au Secrétariat. Il a été rappel</w:t>
      </w:r>
      <w:r w:rsidR="00CD30AE">
        <w:rPr>
          <w:rFonts w:eastAsia="Malgun Gothic"/>
          <w:bCs/>
          <w:lang w:val="fr-FR"/>
        </w:rPr>
        <w:t>é</w:t>
      </w:r>
      <w:r w:rsidRPr="007A36D0">
        <w:rPr>
          <w:rFonts w:eastAsia="Malgun Gothic"/>
          <w:bCs/>
          <w:lang w:val="fr-FR"/>
        </w:rPr>
        <w:t xml:space="preserve"> qu</w:t>
      </w:r>
      <w:r w:rsidR="00923E72">
        <w:rPr>
          <w:rFonts w:eastAsia="Malgun Gothic"/>
          <w:bCs/>
          <w:lang w:val="fr-FR"/>
        </w:rPr>
        <w:t>’</w:t>
      </w:r>
      <w:r w:rsidR="00510A51">
        <w:rPr>
          <w:rFonts w:eastAsia="Malgun Gothic"/>
          <w:bCs/>
          <w:lang w:val="fr-FR"/>
        </w:rPr>
        <w:t xml:space="preserve">en </w:t>
      </w:r>
      <w:r w:rsidRPr="007A36D0">
        <w:rPr>
          <w:rFonts w:eastAsia="Malgun Gothic"/>
          <w:bCs/>
          <w:lang w:val="fr-FR"/>
        </w:rPr>
        <w:t>raison</w:t>
      </w:r>
      <w:r w:rsidR="00510A51">
        <w:rPr>
          <w:rFonts w:eastAsia="Malgun Gothic"/>
          <w:bCs/>
          <w:lang w:val="fr-FR"/>
        </w:rPr>
        <w:t xml:space="preserve"> de</w:t>
      </w:r>
      <w:r w:rsidRPr="007A36D0">
        <w:rPr>
          <w:rFonts w:eastAsia="Malgun Gothic"/>
          <w:bCs/>
          <w:lang w:val="fr-FR"/>
        </w:rPr>
        <w:t xml:space="preserve"> </w:t>
      </w:r>
      <w:r w:rsidR="00510A51">
        <w:rPr>
          <w:rFonts w:eastAsia="Malgun Gothic"/>
          <w:bCs/>
          <w:lang w:val="fr-FR"/>
        </w:rPr>
        <w:t>l</w:t>
      </w:r>
      <w:r w:rsidR="00923E72">
        <w:rPr>
          <w:rFonts w:eastAsia="Malgun Gothic"/>
          <w:bCs/>
          <w:lang w:val="fr-FR"/>
        </w:rPr>
        <w:t>’</w:t>
      </w:r>
      <w:r w:rsidRPr="007A36D0">
        <w:rPr>
          <w:rFonts w:eastAsia="Malgun Gothic"/>
          <w:bCs/>
          <w:lang w:val="fr-FR"/>
        </w:rPr>
        <w:t>insécurité, les experts du ministère afghan de l</w:t>
      </w:r>
      <w:r w:rsidR="00923E72">
        <w:rPr>
          <w:rFonts w:eastAsia="Malgun Gothic"/>
          <w:bCs/>
          <w:lang w:val="fr-FR"/>
        </w:rPr>
        <w:t>’</w:t>
      </w:r>
      <w:r w:rsidRPr="007A36D0">
        <w:rPr>
          <w:rFonts w:eastAsia="Malgun Gothic"/>
          <w:bCs/>
          <w:lang w:val="fr-FR"/>
        </w:rPr>
        <w:t>Information et de la Culture n</w:t>
      </w:r>
      <w:r w:rsidR="00923E72">
        <w:rPr>
          <w:rFonts w:eastAsia="Malgun Gothic"/>
          <w:bCs/>
          <w:lang w:val="fr-FR"/>
        </w:rPr>
        <w:t>’</w:t>
      </w:r>
      <w:r w:rsidRPr="007A36D0">
        <w:rPr>
          <w:rFonts w:eastAsia="Malgun Gothic"/>
          <w:bCs/>
          <w:lang w:val="fr-FR"/>
        </w:rPr>
        <w:t>avaient pas pu se rendre dans toutes les localités d</w:t>
      </w:r>
      <w:r w:rsidR="00923E72">
        <w:rPr>
          <w:rFonts w:eastAsia="Malgun Gothic"/>
          <w:bCs/>
          <w:lang w:val="fr-FR"/>
        </w:rPr>
        <w:t>’</w:t>
      </w:r>
      <w:r w:rsidRPr="007A36D0">
        <w:rPr>
          <w:rFonts w:eastAsia="Malgun Gothic"/>
          <w:bCs/>
          <w:lang w:val="fr-FR"/>
        </w:rPr>
        <w:t xml:space="preserve">Afghanistan nécessaires à la collecte des lettres de consentement et autres documents, compte tenu de la présence de groupes extrémistes armés sur les routes dans les zones rurales. Malgré les difficultés rencontrées, les Afghans tenaient à préserver la continuité de la célébration de </w:t>
      </w:r>
      <w:proofErr w:type="spellStart"/>
      <w:r w:rsidRPr="007A36D0">
        <w:rPr>
          <w:rFonts w:eastAsia="Malgun Gothic"/>
          <w:bCs/>
          <w:lang w:val="fr-FR"/>
        </w:rPr>
        <w:t>Yaldā</w:t>
      </w:r>
      <w:proofErr w:type="spellEnd"/>
      <w:r w:rsidRPr="007A36D0">
        <w:rPr>
          <w:rFonts w:eastAsia="Malgun Gothic"/>
          <w:bCs/>
          <w:lang w:val="fr-FR"/>
        </w:rPr>
        <w:t>/</w:t>
      </w:r>
      <w:proofErr w:type="spellStart"/>
      <w:r w:rsidRPr="007A36D0">
        <w:rPr>
          <w:rFonts w:eastAsia="Malgun Gothic"/>
          <w:bCs/>
          <w:lang w:val="fr-FR"/>
        </w:rPr>
        <w:t>Chella</w:t>
      </w:r>
      <w:proofErr w:type="spellEnd"/>
      <w:r w:rsidRPr="007A36D0">
        <w:rPr>
          <w:rFonts w:eastAsia="Malgun Gothic"/>
          <w:bCs/>
          <w:lang w:val="fr-FR"/>
        </w:rPr>
        <w:t xml:space="preserve"> en dépit de la situation et de l</w:t>
      </w:r>
      <w:r w:rsidR="00923E72">
        <w:rPr>
          <w:rFonts w:eastAsia="Malgun Gothic"/>
          <w:bCs/>
          <w:lang w:val="fr-FR"/>
        </w:rPr>
        <w:t>’</w:t>
      </w:r>
      <w:r w:rsidRPr="007A36D0">
        <w:rPr>
          <w:rFonts w:eastAsia="Malgun Gothic"/>
          <w:bCs/>
          <w:lang w:val="fr-FR"/>
        </w:rPr>
        <w:t>insécurité. Ils avaient délégué les représentants des délégations permanentes de l</w:t>
      </w:r>
      <w:r w:rsidR="00923E72">
        <w:rPr>
          <w:rFonts w:eastAsia="Malgun Gothic"/>
          <w:bCs/>
          <w:lang w:val="fr-FR"/>
        </w:rPr>
        <w:t>’</w:t>
      </w:r>
      <w:r w:rsidRPr="007A36D0">
        <w:rPr>
          <w:rFonts w:eastAsia="Malgun Gothic"/>
          <w:bCs/>
          <w:lang w:val="fr-FR"/>
        </w:rPr>
        <w:t>Afghanistan et de l</w:t>
      </w:r>
      <w:r w:rsidR="00923E72">
        <w:rPr>
          <w:rFonts w:eastAsia="Malgun Gothic"/>
          <w:bCs/>
          <w:lang w:val="fr-FR"/>
        </w:rPr>
        <w:t>’</w:t>
      </w:r>
      <w:r w:rsidRPr="007A36D0">
        <w:rPr>
          <w:rFonts w:eastAsia="Malgun Gothic"/>
          <w:bCs/>
          <w:lang w:val="fr-FR"/>
        </w:rPr>
        <w:t>Iran pour transmettre le message que l</w:t>
      </w:r>
      <w:r w:rsidR="00923E72">
        <w:rPr>
          <w:rFonts w:eastAsia="Malgun Gothic"/>
          <w:bCs/>
          <w:lang w:val="fr-FR"/>
        </w:rPr>
        <w:t>’</w:t>
      </w:r>
      <w:r w:rsidRPr="007A36D0">
        <w:rPr>
          <w:rFonts w:eastAsia="Malgun Gothic"/>
          <w:bCs/>
          <w:lang w:val="fr-FR"/>
        </w:rPr>
        <w:t>inscription de cet élément pourrait sauver l</w:t>
      </w:r>
      <w:r w:rsidR="00923E72">
        <w:rPr>
          <w:rFonts w:eastAsia="Malgun Gothic"/>
          <w:bCs/>
          <w:lang w:val="fr-FR"/>
        </w:rPr>
        <w:t>’</w:t>
      </w:r>
      <w:r w:rsidRPr="007A36D0">
        <w:rPr>
          <w:rFonts w:eastAsia="Malgun Gothic"/>
          <w:bCs/>
          <w:lang w:val="fr-FR"/>
        </w:rPr>
        <w:t>un de leurs éléments tant appréciés célébrant la vie et la culture.</w:t>
      </w:r>
    </w:p>
    <w:p w14:paraId="791B0391" w14:textId="640F61BD" w:rsidR="00CD30AE" w:rsidRDefault="00CD30AE"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D30AE">
        <w:rPr>
          <w:rFonts w:eastAsia="Malgun Gothic"/>
          <w:bCs/>
          <w:lang w:val="fr-FR"/>
        </w:rPr>
        <w:t>La délégation de l</w:t>
      </w:r>
      <w:r w:rsidR="00923E72">
        <w:rPr>
          <w:rFonts w:eastAsia="Malgun Gothic"/>
          <w:bCs/>
          <w:lang w:val="fr-FR"/>
        </w:rPr>
        <w:t>’</w:t>
      </w:r>
      <w:r w:rsidRPr="00702497">
        <w:rPr>
          <w:rFonts w:eastAsia="Malgun Gothic"/>
          <w:b/>
          <w:lang w:val="fr-FR"/>
        </w:rPr>
        <w:t>Ouzbékistan</w:t>
      </w:r>
      <w:r w:rsidRPr="00CD30AE">
        <w:rPr>
          <w:rFonts w:eastAsia="Malgun Gothic"/>
          <w:bCs/>
          <w:lang w:val="fr-FR"/>
        </w:rPr>
        <w:t xml:space="preserve"> a </w:t>
      </w:r>
      <w:r w:rsidR="00A642EC">
        <w:rPr>
          <w:rFonts w:eastAsia="Malgun Gothic"/>
          <w:bCs/>
          <w:lang w:val="fr-FR"/>
        </w:rPr>
        <w:t xml:space="preserve">souligné </w:t>
      </w:r>
      <w:r w:rsidRPr="00CD30AE">
        <w:rPr>
          <w:rFonts w:eastAsia="Malgun Gothic"/>
          <w:bCs/>
          <w:lang w:val="fr-FR"/>
        </w:rPr>
        <w:t xml:space="preserve">que </w:t>
      </w:r>
      <w:proofErr w:type="spellStart"/>
      <w:r w:rsidRPr="00CD30AE">
        <w:rPr>
          <w:rFonts w:eastAsia="Malgun Gothic"/>
          <w:bCs/>
          <w:lang w:val="fr-FR"/>
        </w:rPr>
        <w:t>Yaldā</w:t>
      </w:r>
      <w:proofErr w:type="spellEnd"/>
      <w:r w:rsidRPr="00CD30AE">
        <w:rPr>
          <w:rFonts w:eastAsia="Malgun Gothic"/>
          <w:bCs/>
          <w:lang w:val="fr-FR"/>
        </w:rPr>
        <w:t>/</w:t>
      </w:r>
      <w:proofErr w:type="spellStart"/>
      <w:r w:rsidRPr="00CD30AE">
        <w:rPr>
          <w:rFonts w:eastAsia="Malgun Gothic"/>
          <w:bCs/>
          <w:lang w:val="fr-FR"/>
        </w:rPr>
        <w:t>Chella</w:t>
      </w:r>
      <w:proofErr w:type="spellEnd"/>
      <w:r w:rsidRPr="00CD30AE">
        <w:rPr>
          <w:rFonts w:eastAsia="Malgun Gothic"/>
          <w:bCs/>
          <w:lang w:val="fr-FR"/>
        </w:rPr>
        <w:t xml:space="preserve"> est une pratique très divertissante, colorée et joyeuse</w:t>
      </w:r>
      <w:r w:rsidR="005050EC">
        <w:rPr>
          <w:rFonts w:eastAsia="Malgun Gothic"/>
          <w:bCs/>
          <w:lang w:val="fr-FR"/>
        </w:rPr>
        <w:t>,</w:t>
      </w:r>
      <w:r w:rsidRPr="00CD30AE">
        <w:rPr>
          <w:rFonts w:eastAsia="Malgun Gothic"/>
          <w:bCs/>
          <w:lang w:val="fr-FR"/>
        </w:rPr>
        <w:t xml:space="preserve"> qui avait contribué à la promotion de la compréhension mutuelle, de la cohésion sociale et de la paix</w:t>
      </w:r>
      <w:r w:rsidR="00DD694E">
        <w:rPr>
          <w:rFonts w:eastAsia="Malgun Gothic"/>
          <w:bCs/>
          <w:lang w:val="fr-FR"/>
        </w:rPr>
        <w:t xml:space="preserve"> parmi </w:t>
      </w:r>
      <w:r w:rsidRPr="00CD30AE">
        <w:rPr>
          <w:rFonts w:eastAsia="Malgun Gothic"/>
          <w:bCs/>
          <w:lang w:val="fr-FR"/>
        </w:rPr>
        <w:t>les communautés locales et les peuples pendant des siècles. Comme l</w:t>
      </w:r>
      <w:r w:rsidR="00923E72">
        <w:rPr>
          <w:rFonts w:eastAsia="Malgun Gothic"/>
          <w:bCs/>
          <w:lang w:val="fr-FR"/>
        </w:rPr>
        <w:t>’</w:t>
      </w:r>
      <w:r w:rsidRPr="00CD30AE">
        <w:rPr>
          <w:rFonts w:eastAsia="Malgun Gothic"/>
          <w:bCs/>
          <w:lang w:val="fr-FR"/>
        </w:rPr>
        <w:t>avait signalé le Bangladesh, les critères</w:t>
      </w:r>
      <w:r w:rsidR="00C53021">
        <w:rPr>
          <w:rFonts w:eastAsia="Malgun Gothic"/>
          <w:bCs/>
          <w:lang w:val="fr-FR"/>
        </w:rPr>
        <w:t> </w:t>
      </w:r>
      <w:r w:rsidRPr="00CD30AE">
        <w:rPr>
          <w:rFonts w:eastAsia="Malgun Gothic"/>
          <w:bCs/>
          <w:lang w:val="fr-FR"/>
        </w:rPr>
        <w:t>R.1,</w:t>
      </w:r>
      <w:r w:rsidR="00510A51">
        <w:rPr>
          <w:rFonts w:eastAsia="Malgun Gothic"/>
          <w:bCs/>
          <w:lang w:val="fr-FR"/>
        </w:rPr>
        <w:t> </w:t>
      </w:r>
      <w:r w:rsidRPr="00CD30AE">
        <w:rPr>
          <w:rFonts w:eastAsia="Malgun Gothic"/>
          <w:bCs/>
          <w:lang w:val="fr-FR"/>
        </w:rPr>
        <w:t>R.2 et</w:t>
      </w:r>
      <w:r w:rsidR="00C53021">
        <w:rPr>
          <w:rFonts w:eastAsia="Malgun Gothic"/>
          <w:bCs/>
          <w:lang w:val="fr-FR"/>
        </w:rPr>
        <w:t> </w:t>
      </w:r>
      <w:r w:rsidRPr="00CD30AE">
        <w:rPr>
          <w:rFonts w:eastAsia="Malgun Gothic"/>
          <w:bCs/>
          <w:lang w:val="fr-FR"/>
        </w:rPr>
        <w:t xml:space="preserve">R.5 étaient déjà satisfaits </w:t>
      </w:r>
      <w:r w:rsidR="00DD694E">
        <w:rPr>
          <w:rFonts w:eastAsia="Malgun Gothic"/>
          <w:bCs/>
          <w:lang w:val="fr-FR"/>
        </w:rPr>
        <w:t xml:space="preserve">selon </w:t>
      </w:r>
      <w:r w:rsidRPr="00CD30AE">
        <w:rPr>
          <w:rFonts w:eastAsia="Malgun Gothic"/>
          <w:bCs/>
          <w:lang w:val="fr-FR"/>
        </w:rPr>
        <w:t>l</w:t>
      </w:r>
      <w:r w:rsidR="00923E72">
        <w:rPr>
          <w:rFonts w:eastAsia="Malgun Gothic"/>
          <w:bCs/>
          <w:lang w:val="fr-FR"/>
        </w:rPr>
        <w:t>’</w:t>
      </w:r>
      <w:r w:rsidRPr="00CD30AE">
        <w:rPr>
          <w:rFonts w:eastAsia="Malgun Gothic"/>
          <w:bCs/>
          <w:lang w:val="fr-FR"/>
        </w:rPr>
        <w:t>Organe d</w:t>
      </w:r>
      <w:r w:rsidR="00923E72">
        <w:rPr>
          <w:rFonts w:eastAsia="Malgun Gothic"/>
          <w:bCs/>
          <w:lang w:val="fr-FR"/>
        </w:rPr>
        <w:t>’</w:t>
      </w:r>
      <w:r w:rsidRPr="00CD30AE">
        <w:rPr>
          <w:rFonts w:eastAsia="Malgun Gothic"/>
          <w:bCs/>
          <w:lang w:val="fr-FR"/>
        </w:rPr>
        <w:t>évaluation. Cela confirmait que l</w:t>
      </w:r>
      <w:r w:rsidR="00923E72">
        <w:rPr>
          <w:rFonts w:eastAsia="Malgun Gothic"/>
          <w:bCs/>
          <w:lang w:val="fr-FR"/>
        </w:rPr>
        <w:t>’</w:t>
      </w:r>
      <w:r w:rsidRPr="00CD30AE">
        <w:rPr>
          <w:rFonts w:eastAsia="Malgun Gothic"/>
          <w:bCs/>
          <w:lang w:val="fr-FR"/>
        </w:rPr>
        <w:t>élément constitue un bien culturel partagé très important</w:t>
      </w:r>
      <w:r w:rsidR="00A642EC">
        <w:rPr>
          <w:rFonts w:eastAsia="Malgun Gothic"/>
          <w:bCs/>
          <w:lang w:val="fr-FR"/>
        </w:rPr>
        <w:t>,</w:t>
      </w:r>
      <w:r w:rsidRPr="00CD30AE">
        <w:rPr>
          <w:rFonts w:eastAsia="Malgun Gothic"/>
          <w:bCs/>
          <w:lang w:val="fr-FR"/>
        </w:rPr>
        <w:t xml:space="preserve"> qui apporte la paix de l</w:t>
      </w:r>
      <w:r w:rsidR="00923E72">
        <w:rPr>
          <w:rFonts w:eastAsia="Malgun Gothic"/>
          <w:bCs/>
          <w:lang w:val="fr-FR"/>
        </w:rPr>
        <w:t>’</w:t>
      </w:r>
      <w:r w:rsidRPr="00CD30AE">
        <w:rPr>
          <w:rFonts w:eastAsia="Malgun Gothic"/>
          <w:bCs/>
          <w:lang w:val="fr-FR"/>
        </w:rPr>
        <w:t>esprit, des liens et de l</w:t>
      </w:r>
      <w:r w:rsidR="00923E72">
        <w:rPr>
          <w:rFonts w:eastAsia="Malgun Gothic"/>
          <w:bCs/>
          <w:lang w:val="fr-FR"/>
        </w:rPr>
        <w:t>’</w:t>
      </w:r>
      <w:r w:rsidRPr="00CD30AE">
        <w:rPr>
          <w:rFonts w:eastAsia="Malgun Gothic"/>
          <w:bCs/>
          <w:lang w:val="fr-FR"/>
        </w:rPr>
        <w:t xml:space="preserve">amitié parmi tous ses détenteurs et praticiens. Cependant, les documents </w:t>
      </w:r>
      <w:r w:rsidR="00A642EC">
        <w:rPr>
          <w:rFonts w:eastAsia="Malgun Gothic"/>
          <w:bCs/>
          <w:lang w:val="fr-FR"/>
        </w:rPr>
        <w:t>soumis</w:t>
      </w:r>
      <w:r w:rsidRPr="00CD30AE">
        <w:rPr>
          <w:rFonts w:eastAsia="Malgun Gothic"/>
          <w:bCs/>
          <w:lang w:val="fr-FR"/>
        </w:rPr>
        <w:t xml:space="preserve"> n</w:t>
      </w:r>
      <w:r w:rsidR="00923E72">
        <w:rPr>
          <w:rFonts w:eastAsia="Malgun Gothic"/>
          <w:bCs/>
          <w:lang w:val="fr-FR"/>
        </w:rPr>
        <w:t>’</w:t>
      </w:r>
      <w:r w:rsidRPr="00CD30AE">
        <w:rPr>
          <w:rFonts w:eastAsia="Malgun Gothic"/>
          <w:bCs/>
          <w:lang w:val="fr-FR"/>
        </w:rPr>
        <w:t>avaient pas convaincu l</w:t>
      </w:r>
      <w:r w:rsidR="00923E72">
        <w:rPr>
          <w:rFonts w:eastAsia="Malgun Gothic"/>
          <w:bCs/>
          <w:lang w:val="fr-FR"/>
        </w:rPr>
        <w:t>’</w:t>
      </w:r>
      <w:r w:rsidRPr="00CD30AE">
        <w:rPr>
          <w:rFonts w:eastAsia="Malgun Gothic"/>
          <w:bCs/>
          <w:lang w:val="fr-FR"/>
        </w:rPr>
        <w:t>Organe d</w:t>
      </w:r>
      <w:r w:rsidR="00923E72">
        <w:rPr>
          <w:rFonts w:eastAsia="Malgun Gothic"/>
          <w:bCs/>
          <w:lang w:val="fr-FR"/>
        </w:rPr>
        <w:t>’</w:t>
      </w:r>
      <w:r w:rsidRPr="00CD30AE">
        <w:rPr>
          <w:rFonts w:eastAsia="Malgun Gothic"/>
          <w:bCs/>
          <w:lang w:val="fr-FR"/>
        </w:rPr>
        <w:t>évaluation. L</w:t>
      </w:r>
      <w:r w:rsidR="00923E72">
        <w:rPr>
          <w:rFonts w:eastAsia="Malgun Gothic"/>
          <w:bCs/>
          <w:lang w:val="fr-FR"/>
        </w:rPr>
        <w:t>’</w:t>
      </w:r>
      <w:r w:rsidRPr="00CD30AE">
        <w:rPr>
          <w:rFonts w:eastAsia="Malgun Gothic"/>
          <w:bCs/>
          <w:lang w:val="fr-FR"/>
        </w:rPr>
        <w:t>élément jouissait toutefois d</w:t>
      </w:r>
      <w:r w:rsidR="00923E72">
        <w:rPr>
          <w:rFonts w:eastAsia="Malgun Gothic"/>
          <w:bCs/>
          <w:lang w:val="fr-FR"/>
        </w:rPr>
        <w:t>’</w:t>
      </w:r>
      <w:r w:rsidRPr="00CD30AE">
        <w:rPr>
          <w:rFonts w:eastAsia="Malgun Gothic"/>
          <w:bCs/>
          <w:lang w:val="fr-FR"/>
        </w:rPr>
        <w:t>un fort potentiel pour renforcer la paix dans la région, et la délégation a demandé aux États soumissionnaires respectifs de donner plus de détails sur les mesures de sauvegarde impliquant les communautés. Diverses institutions et organisations étaient mentionnées dans le dossier de candidature</w:t>
      </w:r>
      <w:r w:rsidR="00A642EC">
        <w:rPr>
          <w:rFonts w:eastAsia="Malgun Gothic"/>
          <w:bCs/>
          <w:lang w:val="fr-FR"/>
        </w:rPr>
        <w:t xml:space="preserve">, et la </w:t>
      </w:r>
      <w:r w:rsidR="00A642EC" w:rsidRPr="00A642EC">
        <w:rPr>
          <w:rFonts w:eastAsia="Malgun Gothic"/>
          <w:bCs/>
          <w:lang w:val="fr-FR"/>
        </w:rPr>
        <w:t>délégation</w:t>
      </w:r>
      <w:r w:rsidR="00A642EC">
        <w:rPr>
          <w:rFonts w:eastAsia="Malgun Gothic"/>
          <w:bCs/>
          <w:lang w:val="fr-FR"/>
        </w:rPr>
        <w:t xml:space="preserve"> a demandé c</w:t>
      </w:r>
      <w:r w:rsidRPr="00CD30AE">
        <w:rPr>
          <w:rFonts w:eastAsia="Malgun Gothic"/>
          <w:bCs/>
          <w:lang w:val="fr-FR"/>
        </w:rPr>
        <w:t xml:space="preserve">omment </w:t>
      </w:r>
      <w:r w:rsidR="00A642EC">
        <w:rPr>
          <w:rFonts w:eastAsia="Malgun Gothic"/>
          <w:bCs/>
          <w:lang w:val="fr-FR"/>
        </w:rPr>
        <w:t xml:space="preserve">celles-ci avaient participé </w:t>
      </w:r>
      <w:r w:rsidRPr="00CD30AE">
        <w:rPr>
          <w:rFonts w:eastAsia="Malgun Gothic"/>
          <w:bCs/>
          <w:lang w:val="fr-FR"/>
        </w:rPr>
        <w:t>à la planification des mesures de sauvegarde</w:t>
      </w:r>
      <w:r w:rsidR="00A642EC">
        <w:rPr>
          <w:rFonts w:eastAsia="Malgun Gothic"/>
          <w:bCs/>
          <w:lang w:val="fr-FR"/>
        </w:rPr>
        <w:t xml:space="preserve"> et comment elles participeraient à leur mise en œuvre.</w:t>
      </w:r>
    </w:p>
    <w:p w14:paraId="2F03802D" w14:textId="2ACDAFCD" w:rsidR="00C53021" w:rsidRDefault="00C5302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53021">
        <w:rPr>
          <w:rFonts w:eastAsia="Malgun Gothic"/>
          <w:bCs/>
          <w:lang w:val="fr-FR"/>
        </w:rPr>
        <w:t xml:space="preserve">La délégation de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Iran</w:t>
      </w:r>
      <w:r w:rsidRPr="00C53021">
        <w:rPr>
          <w:rFonts w:eastAsia="Malgun Gothic"/>
          <w:bCs/>
          <w:lang w:val="fr-FR"/>
        </w:rPr>
        <w:t xml:space="preserve"> a expliqué que de nombreuses organisations et personnes en Iran avaient fourni plus de soixante lettres de consentement, mais qu</w:t>
      </w:r>
      <w:r w:rsidR="00923E72">
        <w:rPr>
          <w:rFonts w:eastAsia="Malgun Gothic"/>
          <w:bCs/>
          <w:lang w:val="fr-FR"/>
        </w:rPr>
        <w:t>’</w:t>
      </w:r>
      <w:r w:rsidRPr="00C53021">
        <w:rPr>
          <w:rFonts w:eastAsia="Malgun Gothic"/>
          <w:bCs/>
          <w:lang w:val="fr-FR"/>
        </w:rPr>
        <w:t>il y avait moins de lettres de consentement provena</w:t>
      </w:r>
      <w:r w:rsidR="00A642EC">
        <w:rPr>
          <w:rFonts w:eastAsia="Malgun Gothic"/>
          <w:bCs/>
          <w:lang w:val="fr-FR"/>
        </w:rPr>
        <w:t>nt</w:t>
      </w:r>
      <w:r w:rsidRPr="00C53021">
        <w:rPr>
          <w:rFonts w:eastAsia="Malgun Gothic"/>
          <w:bCs/>
          <w:lang w:val="fr-FR"/>
        </w:rPr>
        <w:t xml:space="preserve"> d</w:t>
      </w:r>
      <w:r w:rsidR="00923E72">
        <w:rPr>
          <w:rFonts w:eastAsia="Malgun Gothic"/>
          <w:bCs/>
          <w:lang w:val="fr-FR"/>
        </w:rPr>
        <w:t>’</w:t>
      </w:r>
      <w:r w:rsidRPr="00C53021">
        <w:rPr>
          <w:rFonts w:eastAsia="Malgun Gothic"/>
          <w:bCs/>
          <w:lang w:val="fr-FR"/>
        </w:rPr>
        <w:t>Afghanistan. Ce</w:t>
      </w:r>
      <w:r w:rsidR="00A642EC">
        <w:rPr>
          <w:rFonts w:eastAsia="Malgun Gothic"/>
          <w:bCs/>
          <w:lang w:val="fr-FR"/>
        </w:rPr>
        <w:t>ci</w:t>
      </w:r>
      <w:r w:rsidRPr="00C53021">
        <w:rPr>
          <w:rFonts w:eastAsia="Malgun Gothic"/>
          <w:bCs/>
          <w:lang w:val="fr-FR"/>
        </w:rPr>
        <w:t xml:space="preserve"> était dû aux difficultés et aux défis rencontrés en raison de la guerre en Afghanistan, et il n</w:t>
      </w:r>
      <w:r w:rsidR="00923E72">
        <w:rPr>
          <w:rFonts w:eastAsia="Malgun Gothic"/>
          <w:bCs/>
          <w:lang w:val="fr-FR"/>
        </w:rPr>
        <w:t>’</w:t>
      </w:r>
      <w:r w:rsidRPr="00C53021">
        <w:rPr>
          <w:rFonts w:eastAsia="Malgun Gothic"/>
          <w:bCs/>
          <w:lang w:val="fr-FR"/>
        </w:rPr>
        <w:t>avait donc pas été possible d</w:t>
      </w:r>
      <w:r w:rsidR="00923E72">
        <w:rPr>
          <w:rFonts w:eastAsia="Malgun Gothic"/>
          <w:bCs/>
          <w:lang w:val="fr-FR"/>
        </w:rPr>
        <w:t>’</w:t>
      </w:r>
      <w:r w:rsidRPr="00C53021">
        <w:rPr>
          <w:rFonts w:eastAsia="Malgun Gothic"/>
          <w:bCs/>
          <w:lang w:val="fr-FR"/>
        </w:rPr>
        <w:t>obtenir tous les documents nécessaires pour satisfaire aux exigences du formulaire de candidature. Néanmoins, la délégation a décrit certains des efforts passés et actuels entrepris pour impliquer les organisations et les personnes, pour la plupart iraniennes, présentes dans la région. Bien qu</w:t>
      </w:r>
      <w:r w:rsidR="00923E72">
        <w:rPr>
          <w:rFonts w:eastAsia="Malgun Gothic"/>
          <w:bCs/>
          <w:lang w:val="fr-FR"/>
        </w:rPr>
        <w:t>’</w:t>
      </w:r>
      <w:r w:rsidRPr="00C53021">
        <w:rPr>
          <w:rFonts w:eastAsia="Malgun Gothic"/>
          <w:bCs/>
          <w:lang w:val="fr-FR"/>
        </w:rPr>
        <w:t>un compte rendu détaillé de la contribution des communautés locales n</w:t>
      </w:r>
      <w:r w:rsidR="00923E72">
        <w:rPr>
          <w:rFonts w:eastAsia="Malgun Gothic"/>
          <w:bCs/>
          <w:lang w:val="fr-FR"/>
        </w:rPr>
        <w:t>’</w:t>
      </w:r>
      <w:r w:rsidRPr="00C53021">
        <w:rPr>
          <w:rFonts w:eastAsia="Malgun Gothic"/>
          <w:bCs/>
          <w:lang w:val="fr-FR"/>
        </w:rPr>
        <w:t>ait pas été fourni, en raison des contraintes liées au nombre de mots dans le dossier de candidature, certains étudiants en doctorat de mathématiques avaient contribué de manière significative à l</w:t>
      </w:r>
      <w:r w:rsidR="00923E72">
        <w:rPr>
          <w:rFonts w:eastAsia="Malgun Gothic"/>
          <w:bCs/>
          <w:lang w:val="fr-FR"/>
        </w:rPr>
        <w:t>’</w:t>
      </w:r>
      <w:r w:rsidRPr="00C53021">
        <w:rPr>
          <w:rFonts w:eastAsia="Malgun Gothic"/>
          <w:bCs/>
          <w:lang w:val="fr-FR"/>
        </w:rPr>
        <w:t>identification théorique de l</w:t>
      </w:r>
      <w:r w:rsidR="00923E72">
        <w:rPr>
          <w:rFonts w:eastAsia="Malgun Gothic"/>
          <w:bCs/>
          <w:lang w:val="fr-FR"/>
        </w:rPr>
        <w:t>’</w:t>
      </w:r>
      <w:r w:rsidRPr="00C53021">
        <w:rPr>
          <w:rFonts w:eastAsia="Malgun Gothic"/>
          <w:bCs/>
          <w:lang w:val="fr-FR"/>
        </w:rPr>
        <w:t xml:space="preserve">époque exacte de </w:t>
      </w:r>
      <w:proofErr w:type="spellStart"/>
      <w:r w:rsidRPr="00C53021">
        <w:rPr>
          <w:rFonts w:eastAsia="Malgun Gothic"/>
          <w:bCs/>
          <w:lang w:val="fr-FR"/>
        </w:rPr>
        <w:t>Yaldā</w:t>
      </w:r>
      <w:proofErr w:type="spellEnd"/>
      <w:r w:rsidRPr="00C53021">
        <w:rPr>
          <w:rFonts w:eastAsia="Malgun Gothic"/>
          <w:bCs/>
          <w:lang w:val="fr-FR"/>
        </w:rPr>
        <w:t>/</w:t>
      </w:r>
      <w:proofErr w:type="spellStart"/>
      <w:r w:rsidRPr="00C53021">
        <w:rPr>
          <w:rFonts w:eastAsia="Malgun Gothic"/>
          <w:bCs/>
          <w:lang w:val="fr-FR"/>
        </w:rPr>
        <w:t>Chella</w:t>
      </w:r>
      <w:proofErr w:type="spellEnd"/>
      <w:r w:rsidRPr="00C53021">
        <w:rPr>
          <w:rFonts w:eastAsia="Malgun Gothic"/>
          <w:bCs/>
          <w:lang w:val="fr-FR"/>
        </w:rPr>
        <w:t xml:space="preserve"> d</w:t>
      </w:r>
      <w:r w:rsidR="00923E72">
        <w:rPr>
          <w:rFonts w:eastAsia="Malgun Gothic"/>
          <w:bCs/>
          <w:lang w:val="fr-FR"/>
        </w:rPr>
        <w:t>’</w:t>
      </w:r>
      <w:r w:rsidRPr="00C53021">
        <w:rPr>
          <w:rFonts w:eastAsia="Malgun Gothic"/>
          <w:bCs/>
          <w:lang w:val="fr-FR"/>
        </w:rPr>
        <w:t>un point de vue astrologique. L</w:t>
      </w:r>
      <w:r w:rsidR="00923E72">
        <w:rPr>
          <w:rFonts w:eastAsia="Malgun Gothic"/>
          <w:bCs/>
          <w:lang w:val="fr-FR"/>
        </w:rPr>
        <w:t>’</w:t>
      </w:r>
      <w:r w:rsidRPr="00C53021">
        <w:rPr>
          <w:rFonts w:eastAsia="Malgun Gothic"/>
          <w:bCs/>
          <w:lang w:val="fr-FR"/>
        </w:rPr>
        <w:t>Association du patrimoine culturel du golfe Persique avait assumé une partie de la responsabilité et des dépenses liées à la préparation des images du dossier de candidature. Certains membres du groupe anthropologique de l</w:t>
      </w:r>
      <w:r w:rsidR="00923E72">
        <w:rPr>
          <w:rFonts w:eastAsia="Malgun Gothic"/>
          <w:bCs/>
          <w:lang w:val="fr-FR"/>
        </w:rPr>
        <w:t>’</w:t>
      </w:r>
      <w:r w:rsidR="00717573">
        <w:rPr>
          <w:rFonts w:eastAsia="Malgun Gothic"/>
          <w:bCs/>
          <w:lang w:val="fr-FR"/>
        </w:rPr>
        <w:t>u</w:t>
      </w:r>
      <w:r w:rsidRPr="00C53021">
        <w:rPr>
          <w:rFonts w:eastAsia="Malgun Gothic"/>
          <w:bCs/>
          <w:lang w:val="fr-FR"/>
        </w:rPr>
        <w:t>niversité islamique d</w:t>
      </w:r>
      <w:r w:rsidR="00923E72">
        <w:rPr>
          <w:rFonts w:eastAsia="Malgun Gothic"/>
          <w:bCs/>
          <w:lang w:val="fr-FR"/>
        </w:rPr>
        <w:t>’</w:t>
      </w:r>
      <w:r w:rsidRPr="00C53021">
        <w:rPr>
          <w:rFonts w:eastAsia="Malgun Gothic"/>
          <w:bCs/>
          <w:lang w:val="fr-FR"/>
        </w:rPr>
        <w:t>Azad avaient participé à l</w:t>
      </w:r>
      <w:r w:rsidR="00923E72">
        <w:rPr>
          <w:rFonts w:eastAsia="Malgun Gothic"/>
          <w:bCs/>
          <w:lang w:val="fr-FR"/>
        </w:rPr>
        <w:t>’</w:t>
      </w:r>
      <w:r w:rsidRPr="00C53021">
        <w:rPr>
          <w:rFonts w:eastAsia="Malgun Gothic"/>
          <w:bCs/>
          <w:lang w:val="fr-FR"/>
        </w:rPr>
        <w:t xml:space="preserve">identification des points communs entre les célébrations de </w:t>
      </w:r>
      <w:proofErr w:type="spellStart"/>
      <w:r w:rsidRPr="00C53021">
        <w:rPr>
          <w:rFonts w:eastAsia="Malgun Gothic"/>
          <w:bCs/>
          <w:lang w:val="fr-FR"/>
        </w:rPr>
        <w:t>Yaldā</w:t>
      </w:r>
      <w:proofErr w:type="spellEnd"/>
      <w:r w:rsidRPr="00C53021">
        <w:rPr>
          <w:rFonts w:eastAsia="Malgun Gothic"/>
          <w:bCs/>
          <w:lang w:val="fr-FR"/>
        </w:rPr>
        <w:t>/</w:t>
      </w:r>
      <w:proofErr w:type="spellStart"/>
      <w:r w:rsidRPr="00C53021">
        <w:rPr>
          <w:rFonts w:eastAsia="Malgun Gothic"/>
          <w:bCs/>
          <w:lang w:val="fr-FR"/>
        </w:rPr>
        <w:t>Chella</w:t>
      </w:r>
      <w:proofErr w:type="spellEnd"/>
      <w:r w:rsidRPr="00C53021">
        <w:rPr>
          <w:rFonts w:eastAsia="Malgun Gothic"/>
          <w:bCs/>
          <w:lang w:val="fr-FR"/>
        </w:rPr>
        <w:t xml:space="preserve"> en Afghanistan et en Iran. Un certain nombre de personnes iraniennes et un journal avaient travaillé en Afghanistan et en Iran pour contribuer à sensibiliser les communautés locales afghanes et iraniennes à l</w:t>
      </w:r>
      <w:r w:rsidR="00923E72">
        <w:rPr>
          <w:rFonts w:eastAsia="Malgun Gothic"/>
          <w:bCs/>
          <w:lang w:val="fr-FR"/>
        </w:rPr>
        <w:t>’</w:t>
      </w:r>
      <w:r w:rsidRPr="00C53021">
        <w:rPr>
          <w:rFonts w:eastAsia="Malgun Gothic"/>
          <w:bCs/>
          <w:lang w:val="fr-FR"/>
        </w:rPr>
        <w:t xml:space="preserve">inscription conjointe de </w:t>
      </w:r>
      <w:proofErr w:type="spellStart"/>
      <w:r w:rsidRPr="00C53021">
        <w:rPr>
          <w:rFonts w:eastAsia="Malgun Gothic"/>
          <w:bCs/>
          <w:lang w:val="fr-FR"/>
        </w:rPr>
        <w:t>Yaldā</w:t>
      </w:r>
      <w:proofErr w:type="spellEnd"/>
      <w:r w:rsidRPr="00C53021">
        <w:rPr>
          <w:rFonts w:eastAsia="Malgun Gothic"/>
          <w:bCs/>
          <w:lang w:val="fr-FR"/>
        </w:rPr>
        <w:t>/</w:t>
      </w:r>
      <w:proofErr w:type="spellStart"/>
      <w:r w:rsidRPr="00C53021">
        <w:rPr>
          <w:rFonts w:eastAsia="Malgun Gothic"/>
          <w:bCs/>
          <w:lang w:val="fr-FR"/>
        </w:rPr>
        <w:t>Chella</w:t>
      </w:r>
      <w:proofErr w:type="spellEnd"/>
      <w:r w:rsidRPr="00C53021">
        <w:rPr>
          <w:rFonts w:eastAsia="Malgun Gothic"/>
          <w:bCs/>
          <w:lang w:val="fr-FR"/>
        </w:rPr>
        <w:t>. Un grand nombre de personnes issues des différents groupes ethniques afghans avaient suivi le processus de la candidature conjointe de l</w:t>
      </w:r>
      <w:r w:rsidR="00923E72">
        <w:rPr>
          <w:rFonts w:eastAsia="Malgun Gothic"/>
          <w:bCs/>
          <w:lang w:val="fr-FR"/>
        </w:rPr>
        <w:t>’</w:t>
      </w:r>
      <w:r w:rsidRPr="00C53021">
        <w:rPr>
          <w:rFonts w:eastAsia="Malgun Gothic"/>
          <w:bCs/>
          <w:lang w:val="fr-FR"/>
        </w:rPr>
        <w:t>Afghanistan et de l</w:t>
      </w:r>
      <w:r w:rsidR="00923E72">
        <w:rPr>
          <w:rFonts w:eastAsia="Malgun Gothic"/>
          <w:bCs/>
          <w:lang w:val="fr-FR"/>
        </w:rPr>
        <w:t>’</w:t>
      </w:r>
      <w:r w:rsidRPr="00C53021">
        <w:rPr>
          <w:rFonts w:eastAsia="Malgun Gothic"/>
          <w:bCs/>
          <w:lang w:val="fr-FR"/>
        </w:rPr>
        <w:t xml:space="preserve">Iran. Une association du patrimoine culturel et une </w:t>
      </w:r>
      <w:r w:rsidRPr="00C53021">
        <w:rPr>
          <w:rFonts w:eastAsia="Malgun Gothic"/>
          <w:bCs/>
          <w:lang w:val="fr-FR"/>
        </w:rPr>
        <w:lastRenderedPageBreak/>
        <w:t>association afghane avaient fait part de leur intérêt pour toute activité visant à faciliter l</w:t>
      </w:r>
      <w:r w:rsidR="00923E72">
        <w:rPr>
          <w:rFonts w:eastAsia="Malgun Gothic"/>
          <w:bCs/>
          <w:lang w:val="fr-FR"/>
        </w:rPr>
        <w:t>’</w:t>
      </w:r>
      <w:r w:rsidRPr="00C53021">
        <w:rPr>
          <w:rFonts w:eastAsia="Malgun Gothic"/>
          <w:bCs/>
          <w:lang w:val="fr-FR"/>
        </w:rPr>
        <w:t xml:space="preserve">inscription conjointe de </w:t>
      </w:r>
      <w:proofErr w:type="spellStart"/>
      <w:r w:rsidRPr="00C53021">
        <w:rPr>
          <w:rFonts w:eastAsia="Malgun Gothic"/>
          <w:bCs/>
          <w:lang w:val="fr-FR"/>
        </w:rPr>
        <w:t>Yaldā</w:t>
      </w:r>
      <w:proofErr w:type="spellEnd"/>
      <w:r w:rsidRPr="00C53021">
        <w:rPr>
          <w:rFonts w:eastAsia="Malgun Gothic"/>
          <w:bCs/>
          <w:lang w:val="fr-FR"/>
        </w:rPr>
        <w:t>/</w:t>
      </w:r>
      <w:proofErr w:type="spellStart"/>
      <w:r w:rsidRPr="00C53021">
        <w:rPr>
          <w:rFonts w:eastAsia="Malgun Gothic"/>
          <w:bCs/>
          <w:lang w:val="fr-FR"/>
        </w:rPr>
        <w:t>Chella</w:t>
      </w:r>
      <w:proofErr w:type="spellEnd"/>
      <w:r w:rsidRPr="00C53021">
        <w:rPr>
          <w:rFonts w:eastAsia="Malgun Gothic"/>
          <w:bCs/>
          <w:lang w:val="fr-FR"/>
        </w:rPr>
        <w:t>.</w:t>
      </w:r>
    </w:p>
    <w:p w14:paraId="03455E7C" w14:textId="61A0C391" w:rsidR="0016266B" w:rsidRDefault="0016266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16266B">
        <w:rPr>
          <w:rFonts w:eastAsia="Malgun Gothic"/>
          <w:bCs/>
          <w:lang w:val="fr-FR"/>
        </w:rPr>
        <w:t xml:space="preserve">La délégation de </w:t>
      </w:r>
      <w:r w:rsidRPr="00702497">
        <w:rPr>
          <w:rFonts w:eastAsia="Malgun Gothic"/>
          <w:b/>
          <w:lang w:val="fr-FR"/>
        </w:rPr>
        <w:t>l</w:t>
      </w:r>
      <w:r w:rsidR="00923E72">
        <w:rPr>
          <w:rFonts w:eastAsia="Malgun Gothic"/>
          <w:b/>
          <w:lang w:val="fr-FR"/>
        </w:rPr>
        <w:t>’</w:t>
      </w:r>
      <w:r w:rsidRPr="00702497">
        <w:rPr>
          <w:rFonts w:eastAsia="Malgun Gothic"/>
          <w:b/>
          <w:lang w:val="fr-FR"/>
        </w:rPr>
        <w:t>Arabie</w:t>
      </w:r>
      <w:r w:rsidR="00510A51">
        <w:rPr>
          <w:rFonts w:eastAsia="Malgun Gothic"/>
          <w:b/>
          <w:lang w:val="fr-FR"/>
        </w:rPr>
        <w:t> </w:t>
      </w:r>
      <w:r w:rsidRPr="00702497">
        <w:rPr>
          <w:rFonts w:eastAsia="Malgun Gothic"/>
          <w:b/>
          <w:lang w:val="fr-FR"/>
        </w:rPr>
        <w:t>saoudite</w:t>
      </w:r>
      <w:r w:rsidRPr="0016266B">
        <w:rPr>
          <w:rFonts w:eastAsia="Malgun Gothic"/>
          <w:bCs/>
          <w:lang w:val="fr-FR"/>
        </w:rPr>
        <w:t xml:space="preserve"> avait eu plusieurs dialogues fructueux avec l</w:t>
      </w:r>
      <w:r w:rsidR="00923E72">
        <w:rPr>
          <w:rFonts w:eastAsia="Malgun Gothic"/>
          <w:bCs/>
          <w:lang w:val="fr-FR"/>
        </w:rPr>
        <w:t>’</w:t>
      </w:r>
      <w:r w:rsidRPr="0016266B">
        <w:rPr>
          <w:rFonts w:eastAsia="Malgun Gothic"/>
          <w:bCs/>
          <w:lang w:val="fr-FR"/>
        </w:rPr>
        <w:t>ambassadeur d</w:t>
      </w:r>
      <w:r w:rsidR="00923E72">
        <w:rPr>
          <w:rFonts w:eastAsia="Malgun Gothic"/>
          <w:bCs/>
          <w:lang w:val="fr-FR"/>
        </w:rPr>
        <w:t>’</w:t>
      </w:r>
      <w:r w:rsidRPr="0016266B">
        <w:rPr>
          <w:rFonts w:eastAsia="Malgun Gothic"/>
          <w:bCs/>
          <w:lang w:val="fr-FR"/>
        </w:rPr>
        <w:t>Afghanistan sur le dossier de candidature. Ce</w:t>
      </w:r>
      <w:r>
        <w:rPr>
          <w:rFonts w:eastAsia="Malgun Gothic"/>
          <w:bCs/>
          <w:lang w:val="fr-FR"/>
        </w:rPr>
        <w:t xml:space="preserve"> dossier</w:t>
      </w:r>
      <w:r w:rsidRPr="0016266B">
        <w:rPr>
          <w:rFonts w:eastAsia="Malgun Gothic"/>
          <w:bCs/>
          <w:lang w:val="fr-FR"/>
        </w:rPr>
        <w:t xml:space="preserve"> </w:t>
      </w:r>
      <w:r w:rsidR="006E4E03">
        <w:rPr>
          <w:rFonts w:eastAsia="Malgun Gothic"/>
          <w:bCs/>
          <w:lang w:val="fr-FR"/>
        </w:rPr>
        <w:t xml:space="preserve">symbolisait </w:t>
      </w:r>
      <w:r w:rsidRPr="0016266B">
        <w:rPr>
          <w:rFonts w:eastAsia="Malgun Gothic"/>
          <w:bCs/>
          <w:lang w:val="fr-FR"/>
        </w:rPr>
        <w:t>la joie et la paix, en particulier dans une région où la violence se répandait malheureusement depuis des années. Les critères</w:t>
      </w:r>
      <w:r w:rsidR="006E4E03">
        <w:rPr>
          <w:rFonts w:eastAsia="Malgun Gothic"/>
          <w:bCs/>
          <w:lang w:val="fr-FR"/>
        </w:rPr>
        <w:t> </w:t>
      </w:r>
      <w:r w:rsidRPr="0016266B">
        <w:rPr>
          <w:rFonts w:eastAsia="Malgun Gothic"/>
          <w:bCs/>
          <w:lang w:val="fr-FR"/>
        </w:rPr>
        <w:t>R.1,</w:t>
      </w:r>
      <w:r w:rsidR="00510A51">
        <w:rPr>
          <w:rFonts w:eastAsia="Malgun Gothic"/>
          <w:bCs/>
          <w:lang w:val="fr-FR"/>
        </w:rPr>
        <w:t> </w:t>
      </w:r>
      <w:r w:rsidRPr="0016266B">
        <w:rPr>
          <w:rFonts w:eastAsia="Malgun Gothic"/>
          <w:bCs/>
          <w:lang w:val="fr-FR"/>
        </w:rPr>
        <w:t>R.2 et</w:t>
      </w:r>
      <w:r w:rsidR="006E4E03">
        <w:rPr>
          <w:rFonts w:eastAsia="Malgun Gothic"/>
          <w:bCs/>
          <w:lang w:val="fr-FR"/>
        </w:rPr>
        <w:t> </w:t>
      </w:r>
      <w:r w:rsidRPr="0016266B">
        <w:rPr>
          <w:rFonts w:eastAsia="Malgun Gothic"/>
          <w:bCs/>
          <w:lang w:val="fr-FR"/>
        </w:rPr>
        <w:t>R.5 étaient déjà satisfaits selon l</w:t>
      </w:r>
      <w:r w:rsidR="00923E72">
        <w:rPr>
          <w:rFonts w:eastAsia="Malgun Gothic"/>
          <w:bCs/>
          <w:lang w:val="fr-FR"/>
        </w:rPr>
        <w:t>’</w:t>
      </w:r>
      <w:r w:rsidRPr="0016266B">
        <w:rPr>
          <w:rFonts w:eastAsia="Malgun Gothic"/>
          <w:bCs/>
          <w:lang w:val="fr-FR"/>
        </w:rPr>
        <w:t>Organe d</w:t>
      </w:r>
      <w:r w:rsidR="00923E72">
        <w:rPr>
          <w:rFonts w:eastAsia="Malgun Gothic"/>
          <w:bCs/>
          <w:lang w:val="fr-FR"/>
        </w:rPr>
        <w:t>’</w:t>
      </w:r>
      <w:r w:rsidRPr="0016266B">
        <w:rPr>
          <w:rFonts w:eastAsia="Malgun Gothic"/>
          <w:bCs/>
          <w:lang w:val="fr-FR"/>
        </w:rPr>
        <w:t>évaluation, ce qui prouvait que cet élément constitue un bien culturel partagé très important, qui non seulement apporte la paix et l</w:t>
      </w:r>
      <w:r w:rsidR="00923E72">
        <w:rPr>
          <w:rFonts w:eastAsia="Malgun Gothic"/>
          <w:bCs/>
          <w:lang w:val="fr-FR"/>
        </w:rPr>
        <w:t>’</w:t>
      </w:r>
      <w:r w:rsidRPr="0016266B">
        <w:rPr>
          <w:rFonts w:eastAsia="Malgun Gothic"/>
          <w:bCs/>
          <w:lang w:val="fr-FR"/>
        </w:rPr>
        <w:t xml:space="preserve">amitié </w:t>
      </w:r>
      <w:r w:rsidR="00A642EC">
        <w:rPr>
          <w:rFonts w:eastAsia="Malgun Gothic"/>
          <w:bCs/>
          <w:lang w:val="fr-FR"/>
        </w:rPr>
        <w:t xml:space="preserve">parmi </w:t>
      </w:r>
      <w:r w:rsidRPr="0016266B">
        <w:rPr>
          <w:rFonts w:eastAsia="Malgun Gothic"/>
          <w:bCs/>
          <w:lang w:val="fr-FR"/>
        </w:rPr>
        <w:t>ses détenteurs et ses praticiens, mais peut également promouvoir la paix dans les régions violentes. Cet élément avait un fort potentiel pour renforcer la paix dans la région. L</w:t>
      </w:r>
      <w:r w:rsidR="00923E72">
        <w:rPr>
          <w:rFonts w:eastAsia="Malgun Gothic"/>
          <w:bCs/>
          <w:lang w:val="fr-FR"/>
        </w:rPr>
        <w:t>’</w:t>
      </w:r>
      <w:r w:rsidRPr="0016266B">
        <w:rPr>
          <w:rFonts w:eastAsia="Malgun Gothic"/>
          <w:bCs/>
          <w:lang w:val="fr-FR"/>
        </w:rPr>
        <w:t>Organe d</w:t>
      </w:r>
      <w:r w:rsidR="00923E72">
        <w:rPr>
          <w:rFonts w:eastAsia="Malgun Gothic"/>
          <w:bCs/>
          <w:lang w:val="fr-FR"/>
        </w:rPr>
        <w:t>’</w:t>
      </w:r>
      <w:r w:rsidRPr="0016266B">
        <w:rPr>
          <w:rFonts w:eastAsia="Malgun Gothic"/>
          <w:bCs/>
          <w:lang w:val="fr-FR"/>
        </w:rPr>
        <w:t>évaluation avait toutefois soulevé la question de la brièveté de la préparation de la candidature, et la délégation souhaitait obtenir davantage d</w:t>
      </w:r>
      <w:r w:rsidR="00923E72">
        <w:rPr>
          <w:rFonts w:eastAsia="Malgun Gothic"/>
          <w:bCs/>
          <w:lang w:val="fr-FR"/>
        </w:rPr>
        <w:t>’</w:t>
      </w:r>
      <w:r w:rsidRPr="0016266B">
        <w:rPr>
          <w:rFonts w:eastAsia="Malgun Gothic"/>
          <w:bCs/>
          <w:lang w:val="fr-FR"/>
        </w:rPr>
        <w:t>informations sur ce point.</w:t>
      </w:r>
    </w:p>
    <w:p w14:paraId="760CA091" w14:textId="1436D1AE" w:rsidR="006E4E03" w:rsidRDefault="006E4E0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E4E03">
        <w:rPr>
          <w:rFonts w:eastAsia="Malgun Gothic"/>
          <w:bCs/>
          <w:lang w:val="fr-FR"/>
        </w:rPr>
        <w:t xml:space="preserve">La délégation du </w:t>
      </w:r>
      <w:r w:rsidRPr="00702497">
        <w:rPr>
          <w:rFonts w:eastAsia="Malgun Gothic"/>
          <w:b/>
          <w:lang w:val="fr-FR"/>
        </w:rPr>
        <w:t>Viet Nam</w:t>
      </w:r>
      <w:r w:rsidRPr="006E4E03">
        <w:rPr>
          <w:rFonts w:eastAsia="Malgun Gothic"/>
          <w:bCs/>
          <w:lang w:val="fr-FR"/>
        </w:rPr>
        <w:t xml:space="preserve"> appréci</w:t>
      </w:r>
      <w:r>
        <w:rPr>
          <w:rFonts w:eastAsia="Malgun Gothic"/>
          <w:bCs/>
          <w:lang w:val="fr-FR"/>
        </w:rPr>
        <w:t>ait</w:t>
      </w:r>
      <w:r w:rsidRPr="006E4E03">
        <w:rPr>
          <w:rFonts w:eastAsia="Malgun Gothic"/>
          <w:bCs/>
          <w:lang w:val="fr-FR"/>
        </w:rPr>
        <w:t xml:space="preserve"> la soumission d</w:t>
      </w:r>
      <w:r w:rsidR="00923E72">
        <w:rPr>
          <w:rFonts w:eastAsia="Malgun Gothic"/>
          <w:bCs/>
          <w:lang w:val="fr-FR"/>
        </w:rPr>
        <w:t>’</w:t>
      </w:r>
      <w:r w:rsidRPr="006E4E03">
        <w:rPr>
          <w:rFonts w:eastAsia="Malgun Gothic"/>
          <w:bCs/>
          <w:lang w:val="fr-FR"/>
        </w:rPr>
        <w:t>un dossier multinational de l</w:t>
      </w:r>
      <w:r w:rsidR="00923E72">
        <w:rPr>
          <w:rFonts w:eastAsia="Malgun Gothic"/>
          <w:bCs/>
          <w:lang w:val="fr-FR"/>
        </w:rPr>
        <w:t>’</w:t>
      </w:r>
      <w:r w:rsidRPr="006E4E03">
        <w:rPr>
          <w:rFonts w:eastAsia="Malgun Gothic"/>
          <w:bCs/>
          <w:lang w:val="fr-FR"/>
        </w:rPr>
        <w:t>Iran et de l</w:t>
      </w:r>
      <w:r w:rsidR="00923E72">
        <w:rPr>
          <w:rFonts w:eastAsia="Malgun Gothic"/>
          <w:bCs/>
          <w:lang w:val="fr-FR"/>
        </w:rPr>
        <w:t>’</w:t>
      </w:r>
      <w:r w:rsidRPr="006E4E03">
        <w:rPr>
          <w:rFonts w:eastAsia="Malgun Gothic"/>
          <w:bCs/>
          <w:lang w:val="fr-FR"/>
        </w:rPr>
        <w:t xml:space="preserve">Afghanistan. Elle </w:t>
      </w:r>
      <w:r>
        <w:rPr>
          <w:rFonts w:eastAsia="Malgun Gothic"/>
          <w:bCs/>
          <w:lang w:val="fr-FR"/>
        </w:rPr>
        <w:t>était</w:t>
      </w:r>
      <w:r w:rsidRPr="006E4E03">
        <w:rPr>
          <w:rFonts w:eastAsia="Malgun Gothic"/>
          <w:bCs/>
          <w:lang w:val="fr-FR"/>
        </w:rPr>
        <w:t xml:space="preserve"> satisfaite des explications très claires</w:t>
      </w:r>
      <w:r>
        <w:rPr>
          <w:rFonts w:eastAsia="Malgun Gothic"/>
          <w:bCs/>
          <w:lang w:val="fr-FR"/>
        </w:rPr>
        <w:t>,</w:t>
      </w:r>
      <w:r w:rsidRPr="006E4E03">
        <w:rPr>
          <w:rFonts w:eastAsia="Malgun Gothic"/>
          <w:bCs/>
          <w:lang w:val="fr-FR"/>
        </w:rPr>
        <w:t xml:space="preserve"> et le Viet</w:t>
      </w:r>
      <w:r>
        <w:rPr>
          <w:rFonts w:eastAsia="Malgun Gothic"/>
          <w:bCs/>
          <w:lang w:val="fr-FR"/>
        </w:rPr>
        <w:t> </w:t>
      </w:r>
      <w:r w:rsidRPr="006E4E03">
        <w:rPr>
          <w:rFonts w:eastAsia="Malgun Gothic"/>
          <w:bCs/>
          <w:lang w:val="fr-FR"/>
        </w:rPr>
        <w:t>Nam souten</w:t>
      </w:r>
      <w:r>
        <w:rPr>
          <w:rFonts w:eastAsia="Malgun Gothic"/>
          <w:bCs/>
          <w:lang w:val="fr-FR"/>
        </w:rPr>
        <w:t>ait</w:t>
      </w:r>
      <w:r w:rsidRPr="006E4E03">
        <w:rPr>
          <w:rFonts w:eastAsia="Malgun Gothic"/>
          <w:bCs/>
          <w:lang w:val="fr-FR"/>
        </w:rPr>
        <w:t xml:space="preserve"> l</w:t>
      </w:r>
      <w:r w:rsidR="00923E72">
        <w:rPr>
          <w:rFonts w:eastAsia="Malgun Gothic"/>
          <w:bCs/>
          <w:lang w:val="fr-FR"/>
        </w:rPr>
        <w:t>’</w:t>
      </w:r>
      <w:r w:rsidRPr="006E4E03">
        <w:rPr>
          <w:rFonts w:eastAsia="Malgun Gothic"/>
          <w:bCs/>
          <w:lang w:val="fr-FR"/>
        </w:rPr>
        <w:t>inscription de cet élément sur la Liste représentative.</w:t>
      </w:r>
    </w:p>
    <w:p w14:paraId="175F62F8" w14:textId="5719533E" w:rsidR="006E4E03" w:rsidRDefault="006E4E0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6E4E03">
        <w:rPr>
          <w:rFonts w:eastAsia="Malgun Gothic"/>
          <w:bCs/>
          <w:lang w:val="fr-FR"/>
        </w:rPr>
        <w:t xml:space="preserve">La délégation de la </w:t>
      </w:r>
      <w:r w:rsidRPr="00702497">
        <w:rPr>
          <w:rFonts w:eastAsia="Malgun Gothic"/>
          <w:b/>
          <w:lang w:val="fr-FR"/>
        </w:rPr>
        <w:t>Slovaquie</w:t>
      </w:r>
      <w:r w:rsidRPr="006E4E03">
        <w:rPr>
          <w:rFonts w:eastAsia="Malgun Gothic"/>
          <w:bCs/>
          <w:lang w:val="fr-FR"/>
        </w:rPr>
        <w:t xml:space="preserve"> a remercié les deux États soumissionnaires pour ce dossier et a précisé que les personnes et les communautés locales concernées en Afghanistan et en Iran jouent un rôle clé dans la sauvegarde de l</w:t>
      </w:r>
      <w:r w:rsidR="00923E72">
        <w:rPr>
          <w:rFonts w:eastAsia="Malgun Gothic"/>
          <w:bCs/>
          <w:lang w:val="fr-FR"/>
        </w:rPr>
        <w:t>’</w:t>
      </w:r>
      <w:r w:rsidRPr="006E4E03">
        <w:rPr>
          <w:rFonts w:eastAsia="Malgun Gothic"/>
          <w:bCs/>
          <w:lang w:val="fr-FR"/>
        </w:rPr>
        <w:t>élément en le pratiquant activement</w:t>
      </w:r>
      <w:r>
        <w:rPr>
          <w:rFonts w:eastAsia="Malgun Gothic"/>
          <w:bCs/>
          <w:lang w:val="fr-FR"/>
        </w:rPr>
        <w:t>,</w:t>
      </w:r>
      <w:r w:rsidRPr="006E4E03">
        <w:rPr>
          <w:rFonts w:eastAsia="Malgun Gothic"/>
          <w:bCs/>
          <w:lang w:val="fr-FR"/>
        </w:rPr>
        <w:t xml:space="preserve"> et que l</w:t>
      </w:r>
      <w:r w:rsidR="00923E72">
        <w:rPr>
          <w:rFonts w:eastAsia="Malgun Gothic"/>
          <w:bCs/>
          <w:lang w:val="fr-FR"/>
        </w:rPr>
        <w:t>’</w:t>
      </w:r>
      <w:r w:rsidRPr="006E4E03">
        <w:rPr>
          <w:rFonts w:eastAsia="Malgun Gothic"/>
          <w:bCs/>
          <w:lang w:val="fr-FR"/>
        </w:rPr>
        <w:t xml:space="preserve">élément est sauvegardé par les familles dans la sphère domestique. Suite aux changements politiques en Afghanistan, les Afghans se retrouvaient dans une situation désespérée. </w:t>
      </w:r>
      <w:r w:rsidR="005C0E86">
        <w:rPr>
          <w:rFonts w:eastAsia="Malgun Gothic"/>
          <w:bCs/>
          <w:lang w:val="fr-FR"/>
        </w:rPr>
        <w:t>D</w:t>
      </w:r>
      <w:r w:rsidRPr="006E4E03">
        <w:rPr>
          <w:rFonts w:eastAsia="Malgun Gothic"/>
          <w:bCs/>
          <w:lang w:val="fr-FR"/>
        </w:rPr>
        <w:t>ans ces moments</w:t>
      </w:r>
      <w:r>
        <w:rPr>
          <w:rFonts w:eastAsia="Malgun Gothic"/>
          <w:bCs/>
          <w:lang w:val="fr-FR"/>
        </w:rPr>
        <w:t>-</w:t>
      </w:r>
      <w:r w:rsidRPr="006E4E03">
        <w:rPr>
          <w:rFonts w:eastAsia="Malgun Gothic"/>
          <w:bCs/>
          <w:lang w:val="fr-FR"/>
        </w:rPr>
        <w:t>là</w:t>
      </w:r>
      <w:r w:rsidR="005C0E86">
        <w:rPr>
          <w:rFonts w:eastAsia="Malgun Gothic"/>
          <w:bCs/>
          <w:lang w:val="fr-FR"/>
        </w:rPr>
        <w:t xml:space="preserve">, </w:t>
      </w:r>
      <w:r w:rsidRPr="006E4E03">
        <w:rPr>
          <w:rFonts w:eastAsia="Malgun Gothic"/>
          <w:bCs/>
          <w:lang w:val="fr-FR"/>
        </w:rPr>
        <w:t xml:space="preserve">les gens se </w:t>
      </w:r>
      <w:r w:rsidR="005C0E86" w:rsidRPr="006E4E03">
        <w:rPr>
          <w:rFonts w:eastAsia="Malgun Gothic"/>
          <w:bCs/>
          <w:lang w:val="fr-FR"/>
        </w:rPr>
        <w:t>réfugia</w:t>
      </w:r>
      <w:r w:rsidR="005C0E86">
        <w:rPr>
          <w:rFonts w:eastAsia="Malgun Gothic"/>
          <w:bCs/>
          <w:lang w:val="fr-FR"/>
        </w:rPr>
        <w:t>ien</w:t>
      </w:r>
      <w:r w:rsidR="005C0E86" w:rsidRPr="006E4E03">
        <w:rPr>
          <w:rFonts w:eastAsia="Malgun Gothic"/>
          <w:bCs/>
          <w:lang w:val="fr-FR"/>
        </w:rPr>
        <w:t>t</w:t>
      </w:r>
      <w:r w:rsidRPr="006E4E03">
        <w:rPr>
          <w:rFonts w:eastAsia="Malgun Gothic"/>
          <w:bCs/>
          <w:lang w:val="fr-FR"/>
        </w:rPr>
        <w:t xml:space="preserve"> auprès de leurs familles et de leurs proches et cherch</w:t>
      </w:r>
      <w:r w:rsidR="005C0E86">
        <w:rPr>
          <w:rFonts w:eastAsia="Malgun Gothic"/>
          <w:bCs/>
          <w:lang w:val="fr-FR"/>
        </w:rPr>
        <w:t>ai</w:t>
      </w:r>
      <w:r w:rsidRPr="006E4E03">
        <w:rPr>
          <w:rFonts w:eastAsia="Malgun Gothic"/>
          <w:bCs/>
          <w:lang w:val="fr-FR"/>
        </w:rPr>
        <w:t>ent la sécurité dans les traditions. La délégation comprenait que l</w:t>
      </w:r>
      <w:r w:rsidR="00923E72">
        <w:rPr>
          <w:rFonts w:eastAsia="Malgun Gothic"/>
          <w:bCs/>
          <w:lang w:val="fr-FR"/>
        </w:rPr>
        <w:t>’</w:t>
      </w:r>
      <w:r w:rsidRPr="006E4E03">
        <w:rPr>
          <w:rFonts w:eastAsia="Malgun Gothic"/>
          <w:bCs/>
          <w:lang w:val="fr-FR"/>
        </w:rPr>
        <w:t>Organe d</w:t>
      </w:r>
      <w:r w:rsidR="00923E72">
        <w:rPr>
          <w:rFonts w:eastAsia="Malgun Gothic"/>
          <w:bCs/>
          <w:lang w:val="fr-FR"/>
        </w:rPr>
        <w:t>’</w:t>
      </w:r>
      <w:r w:rsidRPr="006E4E03">
        <w:rPr>
          <w:rFonts w:eastAsia="Malgun Gothic"/>
          <w:bCs/>
          <w:lang w:val="fr-FR"/>
        </w:rPr>
        <w:t>évaluation ait proposé de renvoyer le dossier aux États parties qui avaient soumis le dossier. Toutefois, elle comprenait également que la situation en Afghanistan était celle d</w:t>
      </w:r>
      <w:r w:rsidR="00923E72">
        <w:rPr>
          <w:rFonts w:eastAsia="Malgun Gothic"/>
          <w:bCs/>
          <w:lang w:val="fr-FR"/>
        </w:rPr>
        <w:t>’</w:t>
      </w:r>
      <w:r w:rsidRPr="006E4E03">
        <w:rPr>
          <w:rFonts w:eastAsia="Malgun Gothic"/>
          <w:bCs/>
          <w:lang w:val="fr-FR"/>
        </w:rPr>
        <w:t>un État en déliquescence. Ce pourrait être la seule occasion d</w:t>
      </w:r>
      <w:r w:rsidR="00923E72">
        <w:rPr>
          <w:rFonts w:eastAsia="Malgun Gothic"/>
          <w:bCs/>
          <w:lang w:val="fr-FR"/>
        </w:rPr>
        <w:t>’</w:t>
      </w:r>
      <w:r w:rsidRPr="006E4E03">
        <w:rPr>
          <w:rFonts w:eastAsia="Malgun Gothic"/>
          <w:bCs/>
          <w:lang w:val="fr-FR"/>
        </w:rPr>
        <w:t>inscrire le dossier dans ces circonstances exceptionnelles et d</w:t>
      </w:r>
      <w:r w:rsidR="00923E72">
        <w:rPr>
          <w:rFonts w:eastAsia="Malgun Gothic"/>
          <w:bCs/>
          <w:lang w:val="fr-FR"/>
        </w:rPr>
        <w:t>’</w:t>
      </w:r>
      <w:r w:rsidRPr="006E4E03">
        <w:rPr>
          <w:rFonts w:eastAsia="Malgun Gothic"/>
          <w:bCs/>
          <w:lang w:val="fr-FR"/>
        </w:rPr>
        <w:t>envoyer un signal encourageant aux peuples d</w:t>
      </w:r>
      <w:r w:rsidR="00923E72">
        <w:rPr>
          <w:rFonts w:eastAsia="Malgun Gothic"/>
          <w:bCs/>
          <w:lang w:val="fr-FR"/>
        </w:rPr>
        <w:t>’</w:t>
      </w:r>
      <w:r w:rsidRPr="006E4E03">
        <w:rPr>
          <w:rFonts w:eastAsia="Malgun Gothic"/>
          <w:bCs/>
          <w:lang w:val="fr-FR"/>
        </w:rPr>
        <w:t>Afghanistan et d</w:t>
      </w:r>
      <w:r w:rsidR="00923E72">
        <w:rPr>
          <w:rFonts w:eastAsia="Malgun Gothic"/>
          <w:bCs/>
          <w:lang w:val="fr-FR"/>
        </w:rPr>
        <w:t>’</w:t>
      </w:r>
      <w:r w:rsidRPr="006E4E03">
        <w:rPr>
          <w:rFonts w:eastAsia="Malgun Gothic"/>
          <w:bCs/>
          <w:lang w:val="fr-FR"/>
        </w:rPr>
        <w:t>Iran. La délégation a remercié le Secrétariat d</w:t>
      </w:r>
      <w:r w:rsidR="00923E72">
        <w:rPr>
          <w:rFonts w:eastAsia="Malgun Gothic"/>
          <w:bCs/>
          <w:lang w:val="fr-FR"/>
        </w:rPr>
        <w:t>’</w:t>
      </w:r>
      <w:r w:rsidRPr="006E4E03">
        <w:rPr>
          <w:rFonts w:eastAsia="Malgun Gothic"/>
          <w:bCs/>
          <w:lang w:val="fr-FR"/>
        </w:rPr>
        <w:t>avoir pris des mesures pour garantir l</w:t>
      </w:r>
      <w:r w:rsidR="00923E72">
        <w:rPr>
          <w:rFonts w:eastAsia="Malgun Gothic"/>
          <w:bCs/>
          <w:lang w:val="fr-FR"/>
        </w:rPr>
        <w:t>’</w:t>
      </w:r>
      <w:r w:rsidRPr="006E4E03">
        <w:rPr>
          <w:rFonts w:eastAsia="Malgun Gothic"/>
          <w:bCs/>
          <w:lang w:val="fr-FR"/>
        </w:rPr>
        <w:t>anonymat des personnes et des organisations associées à la soumission du dossier de candidature. En ce qui concerne l</w:t>
      </w:r>
      <w:r w:rsidR="00923E72">
        <w:rPr>
          <w:rFonts w:eastAsia="Malgun Gothic"/>
          <w:bCs/>
          <w:lang w:val="fr-FR"/>
        </w:rPr>
        <w:t>’</w:t>
      </w:r>
      <w:r w:rsidRPr="006E4E03">
        <w:rPr>
          <w:rFonts w:eastAsia="Malgun Gothic"/>
          <w:bCs/>
          <w:lang w:val="fr-FR"/>
        </w:rPr>
        <w:t>inscription éventuelle, la délégation se demandait si les mesures de sécurité devaient être maintenues, ou si d</w:t>
      </w:r>
      <w:r w:rsidR="00923E72">
        <w:rPr>
          <w:rFonts w:eastAsia="Malgun Gothic"/>
          <w:bCs/>
          <w:lang w:val="fr-FR"/>
        </w:rPr>
        <w:t>’</w:t>
      </w:r>
      <w:r w:rsidRPr="006E4E03">
        <w:rPr>
          <w:rFonts w:eastAsia="Malgun Gothic"/>
          <w:bCs/>
          <w:lang w:val="fr-FR"/>
        </w:rPr>
        <w:t>autres devaient être prises, pour éviter tout risque pour les détenteurs et les praticiens, et souhaitait entendre le Secrétariat à cet égard.</w:t>
      </w:r>
    </w:p>
    <w:p w14:paraId="4BC9DC51" w14:textId="2CC96230" w:rsidR="0004627C" w:rsidRDefault="0004627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04627C">
        <w:rPr>
          <w:rFonts w:eastAsia="Malgun Gothic"/>
          <w:bCs/>
          <w:lang w:val="fr-FR"/>
        </w:rPr>
        <w:t xml:space="preserve">Le </w:t>
      </w:r>
      <w:r w:rsidRPr="00702497">
        <w:rPr>
          <w:rFonts w:eastAsia="Malgun Gothic"/>
          <w:b/>
          <w:lang w:val="fr-FR"/>
        </w:rPr>
        <w:t>Secrétaire</w:t>
      </w:r>
      <w:r w:rsidRPr="0004627C">
        <w:rPr>
          <w:rFonts w:eastAsia="Malgun Gothic"/>
          <w:bCs/>
          <w:lang w:val="fr-FR"/>
        </w:rPr>
        <w:t xml:space="preserve"> a informé le Comité que le dossier avait été déposé avant</w:t>
      </w:r>
      <w:r w:rsidR="005C0E86">
        <w:rPr>
          <w:rFonts w:eastAsia="Malgun Gothic"/>
          <w:bCs/>
          <w:lang w:val="fr-FR"/>
        </w:rPr>
        <w:t> </w:t>
      </w:r>
      <w:r w:rsidRPr="0004627C">
        <w:rPr>
          <w:rFonts w:eastAsia="Malgun Gothic"/>
          <w:bCs/>
          <w:lang w:val="fr-FR"/>
        </w:rPr>
        <w:t>août</w:t>
      </w:r>
      <w:r w:rsidR="003A0260">
        <w:rPr>
          <w:rFonts w:eastAsia="Malgun Gothic"/>
          <w:bCs/>
          <w:lang w:val="fr-FR"/>
        </w:rPr>
        <w:t> </w:t>
      </w:r>
      <w:r w:rsidRPr="0004627C">
        <w:rPr>
          <w:rFonts w:eastAsia="Malgun Gothic"/>
          <w:bCs/>
          <w:lang w:val="fr-FR"/>
        </w:rPr>
        <w:t>2021. À l</w:t>
      </w:r>
      <w:r w:rsidR="00923E72">
        <w:rPr>
          <w:rFonts w:eastAsia="Malgun Gothic"/>
          <w:bCs/>
          <w:lang w:val="fr-FR"/>
        </w:rPr>
        <w:t>’</w:t>
      </w:r>
      <w:r w:rsidRPr="0004627C">
        <w:rPr>
          <w:rFonts w:eastAsia="Malgun Gothic"/>
          <w:bCs/>
          <w:lang w:val="fr-FR"/>
        </w:rPr>
        <w:t>époque</w:t>
      </w:r>
      <w:r w:rsidR="005C0E86">
        <w:rPr>
          <w:rFonts w:eastAsia="Malgun Gothic"/>
          <w:bCs/>
          <w:lang w:val="fr-FR"/>
        </w:rPr>
        <w:t xml:space="preserve">, </w:t>
      </w:r>
      <w:r w:rsidRPr="0004627C">
        <w:rPr>
          <w:rFonts w:eastAsia="Malgun Gothic"/>
          <w:bCs/>
          <w:lang w:val="fr-FR"/>
        </w:rPr>
        <w:t>les noms de nombreuses personnes, leurs adresses et les lettres de consentement des praticiens et des détenteurs</w:t>
      </w:r>
      <w:r w:rsidR="005C0E86">
        <w:rPr>
          <w:rFonts w:eastAsia="Malgun Gothic"/>
          <w:bCs/>
          <w:lang w:val="fr-FR"/>
        </w:rPr>
        <w:t xml:space="preserve"> y figuraient</w:t>
      </w:r>
      <w:r w:rsidRPr="0004627C">
        <w:rPr>
          <w:rFonts w:eastAsia="Malgun Gothic"/>
          <w:bCs/>
          <w:lang w:val="fr-FR"/>
        </w:rPr>
        <w:t>. Le Secrétariat avait pris la décision de retirer les noms du dossier</w:t>
      </w:r>
      <w:r w:rsidR="005C0E86">
        <w:rPr>
          <w:rFonts w:eastAsia="Malgun Gothic"/>
          <w:bCs/>
          <w:lang w:val="fr-FR"/>
        </w:rPr>
        <w:t>,</w:t>
      </w:r>
      <w:r w:rsidRPr="0004627C">
        <w:rPr>
          <w:rFonts w:eastAsia="Malgun Gothic"/>
          <w:bCs/>
          <w:lang w:val="fr-FR"/>
        </w:rPr>
        <w:t xml:space="preserve"> mais avait néanmoins pris des mesures pour que l</w:t>
      </w:r>
      <w:r w:rsidR="00923E72">
        <w:rPr>
          <w:rFonts w:eastAsia="Malgun Gothic"/>
          <w:bCs/>
          <w:lang w:val="fr-FR"/>
        </w:rPr>
        <w:t>’</w:t>
      </w:r>
      <w:r w:rsidRPr="0004627C">
        <w:rPr>
          <w:rFonts w:eastAsia="Malgun Gothic"/>
          <w:bCs/>
          <w:lang w:val="fr-FR"/>
        </w:rPr>
        <w:t>Organe d</w:t>
      </w:r>
      <w:r w:rsidR="00923E72">
        <w:rPr>
          <w:rFonts w:eastAsia="Malgun Gothic"/>
          <w:bCs/>
          <w:lang w:val="fr-FR"/>
        </w:rPr>
        <w:t>’</w:t>
      </w:r>
      <w:r w:rsidRPr="0004627C">
        <w:rPr>
          <w:rFonts w:eastAsia="Malgun Gothic"/>
          <w:bCs/>
          <w:lang w:val="fr-FR"/>
        </w:rPr>
        <w:t>évaluation ait accès à toutes les informations contenues dans les dossiers afin qu</w:t>
      </w:r>
      <w:r w:rsidR="00923E72">
        <w:rPr>
          <w:rFonts w:eastAsia="Malgun Gothic"/>
          <w:bCs/>
          <w:lang w:val="fr-FR"/>
        </w:rPr>
        <w:t>’</w:t>
      </w:r>
      <w:r w:rsidRPr="0004627C">
        <w:rPr>
          <w:rFonts w:eastAsia="Malgun Gothic"/>
          <w:bCs/>
          <w:lang w:val="fr-FR"/>
        </w:rPr>
        <w:t>il puisse procéder à l</w:t>
      </w:r>
      <w:r w:rsidR="00923E72">
        <w:rPr>
          <w:rFonts w:eastAsia="Malgun Gothic"/>
          <w:bCs/>
          <w:lang w:val="fr-FR"/>
        </w:rPr>
        <w:t>’</w:t>
      </w:r>
      <w:r w:rsidRPr="0004627C">
        <w:rPr>
          <w:rFonts w:eastAsia="Malgun Gothic"/>
          <w:bCs/>
          <w:lang w:val="fr-FR"/>
        </w:rPr>
        <w:t>évaluation. Les informations personnelles et les identités n</w:t>
      </w:r>
      <w:r w:rsidR="00923E72">
        <w:rPr>
          <w:rFonts w:eastAsia="Malgun Gothic"/>
          <w:bCs/>
          <w:lang w:val="fr-FR"/>
        </w:rPr>
        <w:t>’</w:t>
      </w:r>
      <w:r w:rsidRPr="0004627C">
        <w:rPr>
          <w:rFonts w:eastAsia="Malgun Gothic"/>
          <w:bCs/>
          <w:lang w:val="fr-FR"/>
        </w:rPr>
        <w:t>avaient pas été rendues publiques. Les dossiers étaient en ligne sans identification de personnes ou informations personnelles, et le Secrétariat n</w:t>
      </w:r>
      <w:r w:rsidR="00923E72">
        <w:rPr>
          <w:rFonts w:eastAsia="Malgun Gothic"/>
          <w:bCs/>
          <w:lang w:val="fr-FR"/>
        </w:rPr>
        <w:t>’</w:t>
      </w:r>
      <w:r w:rsidRPr="0004627C">
        <w:rPr>
          <w:rFonts w:eastAsia="Malgun Gothic"/>
          <w:bCs/>
          <w:lang w:val="fr-FR"/>
        </w:rPr>
        <w:t>avait pas l</w:t>
      </w:r>
      <w:r w:rsidR="00923E72">
        <w:rPr>
          <w:rFonts w:eastAsia="Malgun Gothic"/>
          <w:bCs/>
          <w:lang w:val="fr-FR"/>
        </w:rPr>
        <w:t>’</w:t>
      </w:r>
      <w:r w:rsidRPr="0004627C">
        <w:rPr>
          <w:rFonts w:eastAsia="Malgun Gothic"/>
          <w:bCs/>
          <w:lang w:val="fr-FR"/>
        </w:rPr>
        <w:t xml:space="preserve">intention de </w:t>
      </w:r>
      <w:r w:rsidR="005C0E86">
        <w:rPr>
          <w:rFonts w:eastAsia="Malgun Gothic"/>
          <w:bCs/>
          <w:lang w:val="fr-FR"/>
        </w:rPr>
        <w:t xml:space="preserve">modifier </w:t>
      </w:r>
      <w:r w:rsidRPr="0004627C">
        <w:rPr>
          <w:rFonts w:eastAsia="Malgun Gothic"/>
          <w:bCs/>
          <w:lang w:val="fr-FR"/>
        </w:rPr>
        <w:t>la situation à ce stade.</w:t>
      </w:r>
    </w:p>
    <w:p w14:paraId="771896B0" w14:textId="44C88EA6" w:rsidR="0004627C" w:rsidRDefault="0004627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le </w:t>
      </w:r>
      <w:r w:rsidRPr="0004627C">
        <w:rPr>
          <w:rFonts w:eastAsia="Malgun Gothic"/>
          <w:bCs/>
          <w:lang w:val="fr-FR"/>
        </w:rPr>
        <w:t>Secréta</w:t>
      </w:r>
      <w:r>
        <w:rPr>
          <w:rFonts w:eastAsia="Malgun Gothic"/>
          <w:bCs/>
          <w:lang w:val="fr-FR"/>
        </w:rPr>
        <w:t>riat pour les mesures prises afin de préserver l</w:t>
      </w:r>
      <w:r w:rsidR="00923E72">
        <w:rPr>
          <w:rFonts w:eastAsia="Malgun Gothic"/>
          <w:bCs/>
          <w:lang w:val="fr-FR"/>
        </w:rPr>
        <w:t>’</w:t>
      </w:r>
      <w:r>
        <w:rPr>
          <w:rFonts w:eastAsia="Malgun Gothic"/>
          <w:bCs/>
          <w:lang w:val="fr-FR"/>
        </w:rPr>
        <w:t>anonymat des détenteurs de cet élément, ce qui était extrêmement important.</w:t>
      </w:r>
    </w:p>
    <w:p w14:paraId="60F8F8C7" w14:textId="5F68A674" w:rsidR="0004627C" w:rsidRDefault="0004627C"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04627C">
        <w:rPr>
          <w:rFonts w:eastAsia="Malgun Gothic"/>
          <w:bCs/>
          <w:lang w:val="fr-FR"/>
        </w:rPr>
        <w:t>La délégation de l</w:t>
      </w:r>
      <w:r w:rsidR="00923E72">
        <w:rPr>
          <w:rFonts w:eastAsia="Malgun Gothic"/>
          <w:bCs/>
          <w:lang w:val="fr-FR"/>
        </w:rPr>
        <w:t>’</w:t>
      </w:r>
      <w:r w:rsidRPr="00702497">
        <w:rPr>
          <w:rFonts w:eastAsia="Malgun Gothic"/>
          <w:b/>
          <w:lang w:val="fr-FR"/>
        </w:rPr>
        <w:t>Afghanistan</w:t>
      </w:r>
      <w:r w:rsidRPr="0004627C">
        <w:rPr>
          <w:rFonts w:eastAsia="Malgun Gothic"/>
          <w:bCs/>
          <w:lang w:val="fr-FR"/>
        </w:rPr>
        <w:t xml:space="preserve"> a fait référence à la section</w:t>
      </w:r>
      <w:r w:rsidR="00153FA2">
        <w:rPr>
          <w:rFonts w:eastAsia="Malgun Gothic"/>
          <w:bCs/>
          <w:lang w:val="fr-FR"/>
        </w:rPr>
        <w:t> </w:t>
      </w:r>
      <w:r w:rsidRPr="0004627C">
        <w:rPr>
          <w:rFonts w:eastAsia="Malgun Gothic"/>
          <w:bCs/>
          <w:lang w:val="fr-FR"/>
        </w:rPr>
        <w:t>3 du dossier de candidature, qui présent</w:t>
      </w:r>
      <w:r w:rsidR="005C0E86">
        <w:rPr>
          <w:rFonts w:eastAsia="Malgun Gothic"/>
          <w:bCs/>
          <w:lang w:val="fr-FR"/>
        </w:rPr>
        <w:t>ait</w:t>
      </w:r>
      <w:r w:rsidRPr="0004627C">
        <w:rPr>
          <w:rFonts w:eastAsia="Malgun Gothic"/>
          <w:bCs/>
          <w:lang w:val="fr-FR"/>
        </w:rPr>
        <w:t xml:space="preserve"> un certain nombre de mesures de sauvegarde conjointes passées et actuelles, organisées par les détenteurs et les praticiens des deux pays. Ce dossier de candidature conjoint était le fruit d</w:t>
      </w:r>
      <w:r w:rsidR="00923E72">
        <w:rPr>
          <w:rFonts w:eastAsia="Malgun Gothic"/>
          <w:bCs/>
          <w:lang w:val="fr-FR"/>
        </w:rPr>
        <w:t>’</w:t>
      </w:r>
      <w:r w:rsidRPr="0004627C">
        <w:rPr>
          <w:rFonts w:eastAsia="Malgun Gothic"/>
          <w:bCs/>
          <w:lang w:val="fr-FR"/>
        </w:rPr>
        <w:t>une collaboration passée. Le Centre de recherche archéologique d</w:t>
      </w:r>
      <w:r w:rsidR="00923E72">
        <w:rPr>
          <w:rFonts w:eastAsia="Malgun Gothic"/>
          <w:bCs/>
          <w:lang w:val="fr-FR"/>
        </w:rPr>
        <w:t>’</w:t>
      </w:r>
      <w:r w:rsidRPr="0004627C">
        <w:rPr>
          <w:rFonts w:eastAsia="Malgun Gothic"/>
          <w:bCs/>
          <w:lang w:val="fr-FR"/>
        </w:rPr>
        <w:t>Iran avait aidé les deux États soumissionnaires à gérer la coopération, depuis l</w:t>
      </w:r>
      <w:r w:rsidR="00923E72">
        <w:rPr>
          <w:rFonts w:eastAsia="Malgun Gothic"/>
          <w:bCs/>
          <w:lang w:val="fr-FR"/>
        </w:rPr>
        <w:t>’</w:t>
      </w:r>
      <w:r w:rsidRPr="0004627C">
        <w:rPr>
          <w:rFonts w:eastAsia="Malgun Gothic"/>
          <w:bCs/>
          <w:lang w:val="fr-FR"/>
        </w:rPr>
        <w:t xml:space="preserve">idée </w:t>
      </w:r>
      <w:r w:rsidR="001F70B4">
        <w:rPr>
          <w:rFonts w:eastAsia="Malgun Gothic"/>
          <w:bCs/>
          <w:lang w:val="fr-FR"/>
        </w:rPr>
        <w:t xml:space="preserve">initiale </w:t>
      </w:r>
      <w:r w:rsidRPr="0004627C">
        <w:rPr>
          <w:rFonts w:eastAsia="Malgun Gothic"/>
          <w:bCs/>
          <w:lang w:val="fr-FR"/>
        </w:rPr>
        <w:t>de proposer l</w:t>
      </w:r>
      <w:r w:rsidR="00923E72">
        <w:rPr>
          <w:rFonts w:eastAsia="Malgun Gothic"/>
          <w:bCs/>
          <w:lang w:val="fr-FR"/>
        </w:rPr>
        <w:t>’</w:t>
      </w:r>
      <w:r w:rsidRPr="0004627C">
        <w:rPr>
          <w:rFonts w:eastAsia="Malgun Gothic"/>
          <w:bCs/>
          <w:lang w:val="fr-FR"/>
        </w:rPr>
        <w:t>élément jusqu</w:t>
      </w:r>
      <w:r w:rsidR="00923E72">
        <w:rPr>
          <w:rFonts w:eastAsia="Malgun Gothic"/>
          <w:bCs/>
          <w:lang w:val="fr-FR"/>
        </w:rPr>
        <w:t>’</w:t>
      </w:r>
      <w:r w:rsidRPr="0004627C">
        <w:rPr>
          <w:rFonts w:eastAsia="Malgun Gothic"/>
          <w:bCs/>
          <w:lang w:val="fr-FR"/>
        </w:rPr>
        <w:t>à la soumission du dossier de candidature, ce qui avait pris environ deux ans. Le travail et les contacts avaient bien sûr commencé bien avant la soumission officielle. En</w:t>
      </w:r>
      <w:r w:rsidR="00246428">
        <w:rPr>
          <w:rFonts w:eastAsia="Malgun Gothic"/>
          <w:bCs/>
          <w:lang w:val="fr-FR"/>
        </w:rPr>
        <w:t> </w:t>
      </w:r>
      <w:r w:rsidRPr="0004627C">
        <w:rPr>
          <w:rFonts w:eastAsia="Malgun Gothic"/>
          <w:bCs/>
          <w:lang w:val="fr-FR"/>
        </w:rPr>
        <w:t xml:space="preserve">2022, avant la chute du pouvoir au profit des Talibans, le dossier préparé avait été mis à jour et soumis au Secrétariat. Concernant les </w:t>
      </w:r>
      <w:r w:rsidRPr="0004627C">
        <w:rPr>
          <w:rFonts w:eastAsia="Malgun Gothic"/>
          <w:bCs/>
          <w:lang w:val="fr-FR"/>
        </w:rPr>
        <w:lastRenderedPageBreak/>
        <w:t>praticiens, comme l</w:t>
      </w:r>
      <w:r w:rsidR="00923E72">
        <w:rPr>
          <w:rFonts w:eastAsia="Malgun Gothic"/>
          <w:bCs/>
          <w:lang w:val="fr-FR"/>
        </w:rPr>
        <w:t>’</w:t>
      </w:r>
      <w:r w:rsidRPr="0004627C">
        <w:rPr>
          <w:rFonts w:eastAsia="Malgun Gothic"/>
          <w:bCs/>
          <w:lang w:val="fr-FR"/>
        </w:rPr>
        <w:t>avait mentionné le Secrétaire, il avait été convenu de supprimer les informations personnelles des experts et praticiens qui avaient aidé à compléter ce dossier.</w:t>
      </w:r>
    </w:p>
    <w:p w14:paraId="15E997EA" w14:textId="07A2B93A" w:rsidR="001F70B4" w:rsidRDefault="001F70B4"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1F70B4">
        <w:rPr>
          <w:rFonts w:eastAsia="Malgun Gothic"/>
          <w:bCs/>
          <w:lang w:val="fr-FR"/>
        </w:rPr>
        <w:t xml:space="preserve">La délégation de la </w:t>
      </w:r>
      <w:r w:rsidRPr="00702497">
        <w:rPr>
          <w:rFonts w:eastAsia="Malgun Gothic"/>
          <w:b/>
          <w:lang w:val="fr-FR"/>
        </w:rPr>
        <w:t>Tchéquie</w:t>
      </w:r>
      <w:r w:rsidRPr="001F70B4">
        <w:rPr>
          <w:rFonts w:eastAsia="Malgun Gothic"/>
          <w:bCs/>
          <w:lang w:val="fr-FR"/>
        </w:rPr>
        <w:t xml:space="preserve"> a remercié les États soumissionnaires pour cette candidature et pour les informations complémentaires. En ce qui concerne la sécurité des communautés, elle se demandait si, dans la situation politique actuelle en Afghanistan, les communautés, y compris de nombreuses femmes, ne seraient pas mises en danger par la visibilité donnée à son éventuelle inscription.</w:t>
      </w:r>
    </w:p>
    <w:p w14:paraId="08A89341" w14:textId="2B83B1C1" w:rsidR="001F70B4" w:rsidRDefault="001F70B4"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1F70B4">
        <w:rPr>
          <w:rFonts w:eastAsia="Malgun Gothic"/>
          <w:bCs/>
          <w:lang w:val="fr-FR"/>
        </w:rPr>
        <w:t xml:space="preserve">La délégation de la </w:t>
      </w:r>
      <w:r w:rsidRPr="00702497">
        <w:rPr>
          <w:rFonts w:eastAsia="Malgun Gothic"/>
          <w:b/>
          <w:lang w:val="fr-FR"/>
        </w:rPr>
        <w:t>Malaisie</w:t>
      </w:r>
      <w:r w:rsidRPr="001F70B4">
        <w:rPr>
          <w:rFonts w:eastAsia="Malgun Gothic"/>
          <w:bCs/>
          <w:lang w:val="fr-FR"/>
        </w:rPr>
        <w:t xml:space="preserve"> a félicité l</w:t>
      </w:r>
      <w:r w:rsidR="00923E72">
        <w:rPr>
          <w:rFonts w:eastAsia="Malgun Gothic"/>
          <w:bCs/>
          <w:lang w:val="fr-FR"/>
        </w:rPr>
        <w:t>’</w:t>
      </w:r>
      <w:r w:rsidRPr="001F70B4">
        <w:rPr>
          <w:rFonts w:eastAsia="Malgun Gothic"/>
          <w:bCs/>
          <w:lang w:val="fr-FR"/>
        </w:rPr>
        <w:t>Organe d</w:t>
      </w:r>
      <w:r w:rsidR="00923E72">
        <w:rPr>
          <w:rFonts w:eastAsia="Malgun Gothic"/>
          <w:bCs/>
          <w:lang w:val="fr-FR"/>
        </w:rPr>
        <w:t>’</w:t>
      </w:r>
      <w:r w:rsidRPr="001F70B4">
        <w:rPr>
          <w:rFonts w:eastAsia="Malgun Gothic"/>
          <w:bCs/>
          <w:lang w:val="fr-FR"/>
        </w:rPr>
        <w:t xml:space="preserve">évaluation pour son évaluation du dossier. Après avoir étudié le dossier de candidature de </w:t>
      </w:r>
      <w:proofErr w:type="spellStart"/>
      <w:r w:rsidRPr="001F70B4">
        <w:rPr>
          <w:rFonts w:eastAsia="Malgun Gothic"/>
          <w:bCs/>
          <w:lang w:val="fr-FR"/>
        </w:rPr>
        <w:t>Yaldā</w:t>
      </w:r>
      <w:proofErr w:type="spellEnd"/>
      <w:r w:rsidRPr="001F70B4">
        <w:rPr>
          <w:rFonts w:eastAsia="Malgun Gothic"/>
          <w:bCs/>
          <w:lang w:val="fr-FR"/>
        </w:rPr>
        <w:t>/</w:t>
      </w:r>
      <w:proofErr w:type="spellStart"/>
      <w:r w:rsidRPr="001F70B4">
        <w:rPr>
          <w:rFonts w:eastAsia="Malgun Gothic"/>
          <w:bCs/>
          <w:lang w:val="fr-FR"/>
        </w:rPr>
        <w:t>Chella</w:t>
      </w:r>
      <w:proofErr w:type="spellEnd"/>
      <w:r w:rsidRPr="001F70B4">
        <w:rPr>
          <w:rFonts w:eastAsia="Malgun Gothic"/>
          <w:bCs/>
          <w:lang w:val="fr-FR"/>
        </w:rPr>
        <w:t xml:space="preserve"> et les commentaires</w:t>
      </w:r>
      <w:r>
        <w:rPr>
          <w:rFonts w:eastAsia="Malgun Gothic"/>
          <w:bCs/>
          <w:lang w:val="fr-FR"/>
        </w:rPr>
        <w:t xml:space="preserve"> formulés</w:t>
      </w:r>
      <w:r w:rsidRPr="001F70B4">
        <w:rPr>
          <w:rFonts w:eastAsia="Malgun Gothic"/>
          <w:bCs/>
          <w:lang w:val="fr-FR"/>
        </w:rPr>
        <w:t>, la Malaisie était convaincue que cet élément, pratiqué depuis l</w:t>
      </w:r>
      <w:r w:rsidR="00923E72">
        <w:rPr>
          <w:rFonts w:eastAsia="Malgun Gothic"/>
          <w:bCs/>
          <w:lang w:val="fr-FR"/>
        </w:rPr>
        <w:t>’</w:t>
      </w:r>
      <w:r w:rsidRPr="001F70B4">
        <w:rPr>
          <w:rFonts w:eastAsia="Malgun Gothic"/>
          <w:bCs/>
          <w:lang w:val="fr-FR"/>
        </w:rPr>
        <w:t>Antiquité, revêt une grande importance dans les cultures des États soumissionnaires. En ce qui concerne la solidarité et les liens d</w:t>
      </w:r>
      <w:r w:rsidR="00923E72">
        <w:rPr>
          <w:rFonts w:eastAsia="Malgun Gothic"/>
          <w:bCs/>
          <w:lang w:val="fr-FR"/>
        </w:rPr>
        <w:t>’</w:t>
      </w:r>
      <w:r w:rsidRPr="001F70B4">
        <w:rPr>
          <w:rFonts w:eastAsia="Malgun Gothic"/>
          <w:bCs/>
          <w:lang w:val="fr-FR"/>
        </w:rPr>
        <w:t>amitié qui unissent les peuples de la région, elle estimait que l</w:t>
      </w:r>
      <w:r w:rsidR="00923E72">
        <w:rPr>
          <w:rFonts w:eastAsia="Malgun Gothic"/>
          <w:bCs/>
          <w:lang w:val="fr-FR"/>
        </w:rPr>
        <w:t>’</w:t>
      </w:r>
      <w:r w:rsidRPr="001F70B4">
        <w:rPr>
          <w:rFonts w:eastAsia="Malgun Gothic"/>
          <w:bCs/>
          <w:lang w:val="fr-FR"/>
        </w:rPr>
        <w:t>inscription de l</w:t>
      </w:r>
      <w:r w:rsidR="00923E72">
        <w:rPr>
          <w:rFonts w:eastAsia="Malgun Gothic"/>
          <w:bCs/>
          <w:lang w:val="fr-FR"/>
        </w:rPr>
        <w:t>’</w:t>
      </w:r>
      <w:r w:rsidRPr="001F70B4">
        <w:rPr>
          <w:rFonts w:eastAsia="Malgun Gothic"/>
          <w:bCs/>
          <w:lang w:val="fr-FR"/>
        </w:rPr>
        <w:t>élément contribuerait à la paix et à la fraternité dans la région. L</w:t>
      </w:r>
      <w:r w:rsidR="00923E72">
        <w:rPr>
          <w:rFonts w:eastAsia="Malgun Gothic"/>
          <w:bCs/>
          <w:lang w:val="fr-FR"/>
        </w:rPr>
        <w:t>’</w:t>
      </w:r>
      <w:r w:rsidRPr="001F70B4">
        <w:rPr>
          <w:rFonts w:eastAsia="Malgun Gothic"/>
          <w:bCs/>
          <w:lang w:val="fr-FR"/>
        </w:rPr>
        <w:t>explication donnée par l</w:t>
      </w:r>
      <w:r w:rsidR="00923E72">
        <w:rPr>
          <w:rFonts w:eastAsia="Malgun Gothic"/>
          <w:bCs/>
          <w:lang w:val="fr-FR"/>
        </w:rPr>
        <w:t>’</w:t>
      </w:r>
      <w:r w:rsidRPr="001F70B4">
        <w:rPr>
          <w:rFonts w:eastAsia="Malgun Gothic"/>
          <w:bCs/>
          <w:lang w:val="fr-FR"/>
        </w:rPr>
        <w:t>Iran avait permis de mieux comprendre la préoccupation de l</w:t>
      </w:r>
      <w:r w:rsidR="00923E72">
        <w:rPr>
          <w:rFonts w:eastAsia="Malgun Gothic"/>
          <w:bCs/>
          <w:lang w:val="fr-FR"/>
        </w:rPr>
        <w:t>’</w:t>
      </w:r>
      <w:r w:rsidRPr="001F70B4">
        <w:rPr>
          <w:rFonts w:eastAsia="Malgun Gothic"/>
          <w:bCs/>
          <w:lang w:val="fr-FR"/>
        </w:rPr>
        <w:t>Organe d</w:t>
      </w:r>
      <w:r w:rsidR="00923E72">
        <w:rPr>
          <w:rFonts w:eastAsia="Malgun Gothic"/>
          <w:bCs/>
          <w:lang w:val="fr-FR"/>
        </w:rPr>
        <w:t>’</w:t>
      </w:r>
      <w:r w:rsidRPr="001F70B4">
        <w:rPr>
          <w:rFonts w:eastAsia="Malgun Gothic"/>
          <w:bCs/>
          <w:lang w:val="fr-FR"/>
        </w:rPr>
        <w:t>évaluation concernant les critères</w:t>
      </w:r>
      <w:r w:rsidR="007A755B">
        <w:rPr>
          <w:rFonts w:eastAsia="Malgun Gothic"/>
          <w:bCs/>
          <w:lang w:val="fr-FR"/>
        </w:rPr>
        <w:t> </w:t>
      </w:r>
      <w:r w:rsidRPr="001F70B4">
        <w:rPr>
          <w:rFonts w:eastAsia="Malgun Gothic"/>
          <w:bCs/>
          <w:lang w:val="fr-FR"/>
        </w:rPr>
        <w:t>R.3 et</w:t>
      </w:r>
      <w:r w:rsidR="007A755B">
        <w:rPr>
          <w:rFonts w:eastAsia="Malgun Gothic"/>
          <w:bCs/>
          <w:lang w:val="fr-FR"/>
        </w:rPr>
        <w:t> </w:t>
      </w:r>
      <w:r w:rsidRPr="001F70B4">
        <w:rPr>
          <w:rFonts w:eastAsia="Malgun Gothic"/>
          <w:bCs/>
          <w:lang w:val="fr-FR"/>
        </w:rPr>
        <w:t>R.4. La Malaisie soutenait donc l</w:t>
      </w:r>
      <w:r w:rsidR="00923E72">
        <w:rPr>
          <w:rFonts w:eastAsia="Malgun Gothic"/>
          <w:bCs/>
          <w:lang w:val="fr-FR"/>
        </w:rPr>
        <w:t>’</w:t>
      </w:r>
      <w:r w:rsidRPr="001F70B4">
        <w:rPr>
          <w:rFonts w:eastAsia="Malgun Gothic"/>
          <w:bCs/>
          <w:lang w:val="fr-FR"/>
        </w:rPr>
        <w:t>inscription de cette candidature multinationale.</w:t>
      </w:r>
    </w:p>
    <w:p w14:paraId="2216DCC9" w14:textId="3CECE534" w:rsidR="001F70B4" w:rsidRDefault="001F70B4"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1F70B4">
        <w:rPr>
          <w:rFonts w:eastAsia="Malgun Gothic"/>
          <w:bCs/>
          <w:lang w:val="fr-FR"/>
        </w:rPr>
        <w:t xml:space="preserve">La délégation de la </w:t>
      </w:r>
      <w:r w:rsidRPr="00702497">
        <w:rPr>
          <w:rFonts w:eastAsia="Malgun Gothic"/>
          <w:b/>
          <w:lang w:val="fr-FR"/>
        </w:rPr>
        <w:t>République de Corée</w:t>
      </w:r>
      <w:r w:rsidRPr="001F70B4">
        <w:rPr>
          <w:rFonts w:eastAsia="Malgun Gothic"/>
          <w:bCs/>
          <w:lang w:val="fr-FR"/>
        </w:rPr>
        <w:t xml:space="preserve"> croyait au pouvoir du patrimoine culturel immatériel en temps de crise et souhaitait se concentrer sur les aspects positifs du dossier et donner aux communautés concernées des deux États soumissionnaires la joie d</w:t>
      </w:r>
      <w:r w:rsidR="00923E72">
        <w:rPr>
          <w:rFonts w:eastAsia="Malgun Gothic"/>
          <w:bCs/>
          <w:lang w:val="fr-FR"/>
        </w:rPr>
        <w:t>’</w:t>
      </w:r>
      <w:r w:rsidRPr="001F70B4">
        <w:rPr>
          <w:rFonts w:eastAsia="Malgun Gothic"/>
          <w:bCs/>
          <w:lang w:val="fr-FR"/>
        </w:rPr>
        <w:t xml:space="preserve">être reconnues pour la richesse du patrimoine de </w:t>
      </w:r>
      <w:proofErr w:type="spellStart"/>
      <w:r w:rsidRPr="001F70B4">
        <w:rPr>
          <w:rFonts w:eastAsia="Malgun Gothic"/>
          <w:bCs/>
          <w:lang w:val="fr-FR"/>
        </w:rPr>
        <w:t>Yaldā</w:t>
      </w:r>
      <w:proofErr w:type="spellEnd"/>
      <w:r w:rsidRPr="001F70B4">
        <w:rPr>
          <w:rFonts w:eastAsia="Malgun Gothic"/>
          <w:bCs/>
          <w:lang w:val="fr-FR"/>
        </w:rPr>
        <w:t>/</w:t>
      </w:r>
      <w:proofErr w:type="spellStart"/>
      <w:r w:rsidRPr="001F70B4">
        <w:rPr>
          <w:rFonts w:eastAsia="Malgun Gothic"/>
          <w:bCs/>
          <w:lang w:val="fr-FR"/>
        </w:rPr>
        <w:t>Chella</w:t>
      </w:r>
      <w:proofErr w:type="spellEnd"/>
      <w:r w:rsidRPr="001F70B4">
        <w:rPr>
          <w:rFonts w:eastAsia="Malgun Gothic"/>
          <w:bCs/>
          <w:lang w:val="fr-FR"/>
        </w:rPr>
        <w:t>. Elle comprenait la raison de la disparité des informations entre les deux pays, notamment s</w:t>
      </w:r>
      <w:r w:rsidR="00923E72">
        <w:rPr>
          <w:rFonts w:eastAsia="Malgun Gothic"/>
          <w:bCs/>
          <w:lang w:val="fr-FR"/>
        </w:rPr>
        <w:t>’</w:t>
      </w:r>
      <w:r w:rsidRPr="001F70B4">
        <w:rPr>
          <w:rFonts w:eastAsia="Malgun Gothic"/>
          <w:bCs/>
          <w:lang w:val="fr-FR"/>
        </w:rPr>
        <w:t>agissant de la participation des communautés au processus de candidature et à la planification du plan de sauvegarde. L</w:t>
      </w:r>
      <w:r w:rsidR="00923E72">
        <w:rPr>
          <w:rFonts w:eastAsia="Malgun Gothic"/>
          <w:bCs/>
          <w:lang w:val="fr-FR"/>
        </w:rPr>
        <w:t>’</w:t>
      </w:r>
      <w:r w:rsidRPr="001F70B4">
        <w:rPr>
          <w:rFonts w:eastAsia="Malgun Gothic"/>
          <w:bCs/>
          <w:lang w:val="fr-FR"/>
        </w:rPr>
        <w:t xml:space="preserve">Afghanistan avait déjà répondu en partie à cette question, mais la délégation </w:t>
      </w:r>
      <w:r w:rsidR="00EE6846">
        <w:rPr>
          <w:rFonts w:eastAsia="Malgun Gothic"/>
          <w:bCs/>
          <w:lang w:val="fr-FR"/>
        </w:rPr>
        <w:t>l</w:t>
      </w:r>
      <w:r w:rsidR="00923E72">
        <w:rPr>
          <w:rFonts w:eastAsia="Malgun Gothic"/>
          <w:bCs/>
          <w:lang w:val="fr-FR"/>
        </w:rPr>
        <w:t>’</w:t>
      </w:r>
      <w:r w:rsidRPr="001F70B4">
        <w:rPr>
          <w:rFonts w:eastAsia="Malgun Gothic"/>
          <w:bCs/>
          <w:lang w:val="fr-FR"/>
        </w:rPr>
        <w:t>a encouragé</w:t>
      </w:r>
      <w:r w:rsidR="00EE6846">
        <w:rPr>
          <w:rFonts w:eastAsia="Malgun Gothic"/>
          <w:bCs/>
          <w:lang w:val="fr-FR"/>
        </w:rPr>
        <w:t xml:space="preserve"> </w:t>
      </w:r>
      <w:r w:rsidR="00EE6846" w:rsidRPr="00EE6846">
        <w:rPr>
          <w:rFonts w:eastAsia="Malgun Gothic"/>
          <w:bCs/>
          <w:lang w:val="fr-FR"/>
        </w:rPr>
        <w:t>à</w:t>
      </w:r>
      <w:r w:rsidRPr="00EE6846">
        <w:rPr>
          <w:rFonts w:eastAsia="Malgun Gothic"/>
          <w:bCs/>
          <w:lang w:val="fr-FR"/>
        </w:rPr>
        <w:t xml:space="preserve"> communiquer </w:t>
      </w:r>
      <w:r w:rsidR="007A755B" w:rsidRPr="00EE6846">
        <w:rPr>
          <w:rFonts w:eastAsia="Malgun Gothic"/>
          <w:bCs/>
          <w:lang w:val="fr-FR"/>
        </w:rPr>
        <w:t xml:space="preserve">à </w:t>
      </w:r>
      <w:r w:rsidRPr="00EE6846">
        <w:rPr>
          <w:rFonts w:eastAsia="Malgun Gothic"/>
          <w:bCs/>
          <w:lang w:val="fr-FR"/>
        </w:rPr>
        <w:t>ce forum toute information qui n</w:t>
      </w:r>
      <w:r w:rsidR="00923E72">
        <w:rPr>
          <w:rFonts w:eastAsia="Malgun Gothic"/>
          <w:bCs/>
          <w:lang w:val="fr-FR"/>
        </w:rPr>
        <w:t>’</w:t>
      </w:r>
      <w:r w:rsidRPr="00EE6846">
        <w:rPr>
          <w:rFonts w:eastAsia="Malgun Gothic"/>
          <w:bCs/>
          <w:lang w:val="fr-FR"/>
        </w:rPr>
        <w:t>aurait pas pu être mentionnée dans la candidature.</w:t>
      </w:r>
    </w:p>
    <w:p w14:paraId="5890C9F1" w14:textId="09500FEF" w:rsidR="007A755B" w:rsidRDefault="00304C5A"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304C5A">
        <w:rPr>
          <w:rFonts w:eastAsia="Malgun Gothic"/>
          <w:bCs/>
          <w:lang w:val="fr-FR"/>
        </w:rPr>
        <w:t xml:space="preserve">La délégation du </w:t>
      </w:r>
      <w:r w:rsidRPr="00702497">
        <w:rPr>
          <w:rFonts w:eastAsia="Malgun Gothic"/>
          <w:b/>
          <w:lang w:val="fr-FR"/>
        </w:rPr>
        <w:t>Brésil</w:t>
      </w:r>
      <w:r w:rsidRPr="00304C5A">
        <w:rPr>
          <w:rFonts w:eastAsia="Malgun Gothic"/>
          <w:bCs/>
          <w:lang w:val="fr-FR"/>
        </w:rPr>
        <w:t xml:space="preserve"> s</w:t>
      </w:r>
      <w:r w:rsidR="00923E72">
        <w:rPr>
          <w:rFonts w:eastAsia="Malgun Gothic"/>
          <w:bCs/>
          <w:lang w:val="fr-FR"/>
        </w:rPr>
        <w:t>’</w:t>
      </w:r>
      <w:r w:rsidRPr="00304C5A">
        <w:rPr>
          <w:rFonts w:eastAsia="Malgun Gothic"/>
          <w:bCs/>
          <w:lang w:val="fr-FR"/>
        </w:rPr>
        <w:t xml:space="preserve">est déclarée satisfaite des informations </w:t>
      </w:r>
      <w:r w:rsidR="005C0E86">
        <w:rPr>
          <w:rFonts w:eastAsia="Malgun Gothic"/>
          <w:bCs/>
          <w:lang w:val="fr-FR"/>
        </w:rPr>
        <w:t xml:space="preserve">communiquées </w:t>
      </w:r>
      <w:r w:rsidRPr="00304C5A">
        <w:rPr>
          <w:rFonts w:eastAsia="Malgun Gothic"/>
          <w:bCs/>
          <w:lang w:val="fr-FR"/>
        </w:rPr>
        <w:t>par les États soumissionnaires. Elle estimait que la Convention est davantage liée aux communautés qu</w:t>
      </w:r>
      <w:r w:rsidR="00923E72">
        <w:rPr>
          <w:rFonts w:eastAsia="Malgun Gothic"/>
          <w:bCs/>
          <w:lang w:val="fr-FR"/>
        </w:rPr>
        <w:t>’</w:t>
      </w:r>
      <w:r w:rsidRPr="00304C5A">
        <w:rPr>
          <w:rFonts w:eastAsia="Malgun Gothic"/>
          <w:bCs/>
          <w:lang w:val="fr-FR"/>
        </w:rPr>
        <w:t>aux États</w:t>
      </w:r>
      <w:r w:rsidR="005C0E86">
        <w:rPr>
          <w:rFonts w:eastAsia="Malgun Gothic"/>
          <w:bCs/>
          <w:lang w:val="fr-FR"/>
        </w:rPr>
        <w:t xml:space="preserve"> et, pour cette </w:t>
      </w:r>
      <w:r w:rsidR="00CA756D">
        <w:rPr>
          <w:rFonts w:eastAsia="Malgun Gothic"/>
          <w:bCs/>
          <w:lang w:val="fr-FR"/>
        </w:rPr>
        <w:t>raison</w:t>
      </w:r>
      <w:r w:rsidR="005C0E86">
        <w:rPr>
          <w:rFonts w:eastAsia="Malgun Gothic"/>
          <w:bCs/>
          <w:lang w:val="fr-FR"/>
        </w:rPr>
        <w:t xml:space="preserve">, </w:t>
      </w:r>
      <w:r w:rsidRPr="00304C5A">
        <w:rPr>
          <w:rFonts w:eastAsia="Malgun Gothic"/>
          <w:bCs/>
          <w:lang w:val="fr-FR"/>
        </w:rPr>
        <w:t>elle défendait l</w:t>
      </w:r>
      <w:r w:rsidR="00923E72">
        <w:rPr>
          <w:rFonts w:eastAsia="Malgun Gothic"/>
          <w:bCs/>
          <w:lang w:val="fr-FR"/>
        </w:rPr>
        <w:t>’</w:t>
      </w:r>
      <w:r w:rsidRPr="00304C5A">
        <w:rPr>
          <w:rFonts w:eastAsia="Malgun Gothic"/>
          <w:bCs/>
          <w:lang w:val="fr-FR"/>
        </w:rPr>
        <w:t xml:space="preserve">accent </w:t>
      </w:r>
      <w:r w:rsidR="00CA756D">
        <w:rPr>
          <w:rFonts w:eastAsia="Malgun Gothic"/>
          <w:bCs/>
          <w:lang w:val="fr-FR"/>
        </w:rPr>
        <w:t xml:space="preserve">technique et artistique mis </w:t>
      </w:r>
      <w:r w:rsidRPr="00304C5A">
        <w:rPr>
          <w:rFonts w:eastAsia="Malgun Gothic"/>
          <w:bCs/>
          <w:lang w:val="fr-FR"/>
        </w:rPr>
        <w:t>sur les communautés. Les États parties avaient présenté des preuves de</w:t>
      </w:r>
      <w:r w:rsidR="00CA756D">
        <w:rPr>
          <w:rFonts w:eastAsia="Malgun Gothic"/>
          <w:bCs/>
          <w:lang w:val="fr-FR"/>
        </w:rPr>
        <w:t>s</w:t>
      </w:r>
      <w:r w:rsidRPr="00304C5A">
        <w:rPr>
          <w:rFonts w:eastAsia="Malgun Gothic"/>
          <w:bCs/>
          <w:lang w:val="fr-FR"/>
        </w:rPr>
        <w:t xml:space="preserve"> mesures de sauvegarde visant à atteindre différents niveaux de la société et à promouvoir un leadership important en matière d</w:t>
      </w:r>
      <w:r w:rsidR="00923E72">
        <w:rPr>
          <w:rFonts w:eastAsia="Malgun Gothic"/>
          <w:bCs/>
          <w:lang w:val="fr-FR"/>
        </w:rPr>
        <w:t>’</w:t>
      </w:r>
      <w:r w:rsidRPr="00304C5A">
        <w:rPr>
          <w:rFonts w:eastAsia="Malgun Gothic"/>
          <w:bCs/>
          <w:lang w:val="fr-FR"/>
        </w:rPr>
        <w:t>éducation au patrimoine, qui est un élément d</w:t>
      </w:r>
      <w:r w:rsidR="00923E72">
        <w:rPr>
          <w:rFonts w:eastAsia="Malgun Gothic"/>
          <w:bCs/>
          <w:lang w:val="fr-FR"/>
        </w:rPr>
        <w:t>’</w:t>
      </w:r>
      <w:r w:rsidRPr="00304C5A">
        <w:rPr>
          <w:rFonts w:eastAsia="Malgun Gothic"/>
          <w:bCs/>
          <w:lang w:val="fr-FR"/>
        </w:rPr>
        <w:t xml:space="preserve">une importance essentielle. En ce sens, le Brésil considérait que le dossier </w:t>
      </w:r>
      <w:r w:rsidR="005C0E86">
        <w:rPr>
          <w:rFonts w:eastAsia="Malgun Gothic"/>
          <w:bCs/>
          <w:lang w:val="fr-FR"/>
        </w:rPr>
        <w:t xml:space="preserve">décrivait correctement les </w:t>
      </w:r>
      <w:r w:rsidRPr="00304C5A">
        <w:rPr>
          <w:rFonts w:eastAsia="Malgun Gothic"/>
          <w:bCs/>
          <w:lang w:val="fr-FR"/>
        </w:rPr>
        <w:t>éléments de sauvegarde et que l</w:t>
      </w:r>
      <w:r w:rsidR="00923E72">
        <w:rPr>
          <w:rFonts w:eastAsia="Malgun Gothic"/>
          <w:bCs/>
          <w:lang w:val="fr-FR"/>
        </w:rPr>
        <w:t>’</w:t>
      </w:r>
      <w:r w:rsidRPr="00304C5A">
        <w:rPr>
          <w:rFonts w:eastAsia="Malgun Gothic"/>
          <w:bCs/>
          <w:lang w:val="fr-FR"/>
        </w:rPr>
        <w:t>inclusion possible de l</w:t>
      </w:r>
      <w:r w:rsidR="00923E72">
        <w:rPr>
          <w:rFonts w:eastAsia="Malgun Gothic"/>
          <w:bCs/>
          <w:lang w:val="fr-FR"/>
        </w:rPr>
        <w:t>’</w:t>
      </w:r>
      <w:r w:rsidRPr="00304C5A">
        <w:rPr>
          <w:rFonts w:eastAsia="Malgun Gothic"/>
          <w:bCs/>
          <w:lang w:val="fr-FR"/>
        </w:rPr>
        <w:t>élément sur la Liste renforcerait les activités de sauvegarde existantes. En ce qui concerne le critère</w:t>
      </w:r>
      <w:r w:rsidR="00153FA2">
        <w:rPr>
          <w:rFonts w:eastAsia="Malgun Gothic"/>
          <w:bCs/>
          <w:lang w:val="fr-FR"/>
        </w:rPr>
        <w:t> </w:t>
      </w:r>
      <w:r w:rsidRPr="00304C5A">
        <w:rPr>
          <w:rFonts w:eastAsia="Malgun Gothic"/>
          <w:bCs/>
          <w:lang w:val="fr-FR"/>
        </w:rPr>
        <w:t>R.4, la délégation estimait que l</w:t>
      </w:r>
      <w:r w:rsidR="00923E72">
        <w:rPr>
          <w:rFonts w:eastAsia="Malgun Gothic"/>
          <w:bCs/>
          <w:lang w:val="fr-FR"/>
        </w:rPr>
        <w:t>’</w:t>
      </w:r>
      <w:r w:rsidRPr="00304C5A">
        <w:rPr>
          <w:rFonts w:eastAsia="Malgun Gothic"/>
          <w:bCs/>
          <w:lang w:val="fr-FR"/>
        </w:rPr>
        <w:t xml:space="preserve">élément assure une cohésion sociale importante à ces groupes, une considération primordiale et une priorité pour les objectifs culturels du </w:t>
      </w:r>
      <w:r w:rsidRPr="00EE6846">
        <w:rPr>
          <w:rFonts w:eastAsia="Malgun Gothic"/>
          <w:bCs/>
          <w:lang w:val="fr-FR"/>
        </w:rPr>
        <w:t>Programme</w:t>
      </w:r>
      <w:r w:rsidR="00153FA2" w:rsidRPr="00EE6846">
        <w:rPr>
          <w:rFonts w:eastAsia="Malgun Gothic"/>
          <w:bCs/>
          <w:lang w:val="fr-FR"/>
        </w:rPr>
        <w:t> </w:t>
      </w:r>
      <w:r w:rsidRPr="00EE6846">
        <w:rPr>
          <w:rFonts w:eastAsia="Malgun Gothic"/>
          <w:bCs/>
          <w:lang w:val="fr-FR"/>
        </w:rPr>
        <w:t>2030</w:t>
      </w:r>
      <w:r w:rsidRPr="00304C5A">
        <w:rPr>
          <w:rFonts w:eastAsia="Malgun Gothic"/>
          <w:bCs/>
          <w:lang w:val="fr-FR"/>
        </w:rPr>
        <w:t>. Le dossier soulignait une relation forte entre les communautés iraniennes et afghanes et insistait clairement sur les fonctions sociales de l</w:t>
      </w:r>
      <w:r w:rsidR="00923E72">
        <w:rPr>
          <w:rFonts w:eastAsia="Malgun Gothic"/>
          <w:bCs/>
          <w:lang w:val="fr-FR"/>
        </w:rPr>
        <w:t>’</w:t>
      </w:r>
      <w:r w:rsidRPr="00304C5A">
        <w:rPr>
          <w:rFonts w:eastAsia="Malgun Gothic"/>
          <w:bCs/>
          <w:lang w:val="fr-FR"/>
        </w:rPr>
        <w:t>élément en tant que lien patrimonial avec les collectivit</w:t>
      </w:r>
      <w:r w:rsidR="00CA756D">
        <w:rPr>
          <w:rFonts w:eastAsia="Malgun Gothic"/>
          <w:bCs/>
          <w:lang w:val="fr-FR"/>
        </w:rPr>
        <w:t>é</w:t>
      </w:r>
      <w:r w:rsidRPr="00304C5A">
        <w:rPr>
          <w:rFonts w:eastAsia="Malgun Gothic"/>
          <w:bCs/>
          <w:lang w:val="fr-FR"/>
        </w:rPr>
        <w:t xml:space="preserve">s. Malgré les défis et les capacités </w:t>
      </w:r>
      <w:r w:rsidR="00FF74AA">
        <w:rPr>
          <w:rFonts w:eastAsia="Malgun Gothic"/>
          <w:bCs/>
          <w:lang w:val="fr-FR"/>
        </w:rPr>
        <w:t>des</w:t>
      </w:r>
      <w:r w:rsidRPr="00304C5A">
        <w:rPr>
          <w:rFonts w:eastAsia="Malgun Gothic"/>
          <w:bCs/>
          <w:lang w:val="fr-FR"/>
        </w:rPr>
        <w:t xml:space="preserve"> nations, les États avaient présenté des arguments suffisants pour justifier l</w:t>
      </w:r>
      <w:r w:rsidR="00923E72">
        <w:rPr>
          <w:rFonts w:eastAsia="Malgun Gothic"/>
          <w:bCs/>
          <w:lang w:val="fr-FR"/>
        </w:rPr>
        <w:t>’</w:t>
      </w:r>
      <w:r w:rsidRPr="00304C5A">
        <w:rPr>
          <w:rFonts w:eastAsia="Malgun Gothic"/>
          <w:bCs/>
          <w:lang w:val="fr-FR"/>
        </w:rPr>
        <w:t>inscription de l</w:t>
      </w:r>
      <w:r w:rsidR="00923E72">
        <w:rPr>
          <w:rFonts w:eastAsia="Malgun Gothic"/>
          <w:bCs/>
          <w:lang w:val="fr-FR"/>
        </w:rPr>
        <w:t>’</w:t>
      </w:r>
      <w:r w:rsidRPr="00304C5A">
        <w:rPr>
          <w:rFonts w:eastAsia="Malgun Gothic"/>
          <w:bCs/>
          <w:lang w:val="fr-FR"/>
        </w:rPr>
        <w:t>élément.</w:t>
      </w:r>
    </w:p>
    <w:p w14:paraId="4C4B24B5" w14:textId="35D1F157" w:rsidR="00CA756D" w:rsidRDefault="00CA756D"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A756D">
        <w:rPr>
          <w:rFonts w:eastAsia="Malgun Gothic"/>
          <w:bCs/>
          <w:lang w:val="fr-FR"/>
        </w:rPr>
        <w:t xml:space="preserve">La délégation du </w:t>
      </w:r>
      <w:r w:rsidRPr="00702497">
        <w:rPr>
          <w:rFonts w:eastAsia="Malgun Gothic"/>
          <w:b/>
          <w:lang w:val="fr-FR"/>
        </w:rPr>
        <w:t>Pérou</w:t>
      </w:r>
      <w:r w:rsidRPr="00CA756D">
        <w:rPr>
          <w:rFonts w:eastAsia="Malgun Gothic"/>
          <w:bCs/>
          <w:lang w:val="fr-FR"/>
        </w:rPr>
        <w:t xml:space="preserve"> a remercié les États parties pour ces informations, tout en soulignant les difficultés que ce type de dossier pourrait effectivement poser dans un avenir immédiat. D</w:t>
      </w:r>
      <w:r w:rsidR="00923E72">
        <w:rPr>
          <w:rFonts w:eastAsia="Malgun Gothic"/>
          <w:bCs/>
          <w:lang w:val="fr-FR"/>
        </w:rPr>
        <w:t>’</w:t>
      </w:r>
      <w:r w:rsidRPr="00CA756D">
        <w:rPr>
          <w:rFonts w:eastAsia="Malgun Gothic"/>
          <w:bCs/>
          <w:lang w:val="fr-FR"/>
        </w:rPr>
        <w:t>un point de vue technique, la participation s</w:t>
      </w:r>
      <w:r w:rsidR="00923E72">
        <w:rPr>
          <w:rFonts w:eastAsia="Malgun Gothic"/>
          <w:bCs/>
          <w:lang w:val="fr-FR"/>
        </w:rPr>
        <w:t>’</w:t>
      </w:r>
      <w:r w:rsidRPr="00CA756D">
        <w:rPr>
          <w:rFonts w:eastAsia="Malgun Gothic"/>
          <w:bCs/>
          <w:lang w:val="fr-FR"/>
        </w:rPr>
        <w:t>était avérée aussi large que possible, ce qu</w:t>
      </w:r>
      <w:r w:rsidR="00923E72">
        <w:rPr>
          <w:rFonts w:eastAsia="Malgun Gothic"/>
          <w:bCs/>
          <w:lang w:val="fr-FR"/>
        </w:rPr>
        <w:t>’</w:t>
      </w:r>
      <w:r w:rsidRPr="00CA756D">
        <w:rPr>
          <w:rFonts w:eastAsia="Malgun Gothic"/>
          <w:bCs/>
          <w:lang w:val="fr-FR"/>
        </w:rPr>
        <w:t>il convenait de garder à l</w:t>
      </w:r>
      <w:r w:rsidR="00923E72">
        <w:rPr>
          <w:rFonts w:eastAsia="Malgun Gothic"/>
          <w:bCs/>
          <w:lang w:val="fr-FR"/>
        </w:rPr>
        <w:t>’</w:t>
      </w:r>
      <w:r w:rsidRPr="00CA756D">
        <w:rPr>
          <w:rFonts w:eastAsia="Malgun Gothic"/>
          <w:bCs/>
          <w:lang w:val="fr-FR"/>
        </w:rPr>
        <w:t>esprit. Le Comité était conscient qu</w:t>
      </w:r>
      <w:r w:rsidR="00923E72">
        <w:rPr>
          <w:rFonts w:eastAsia="Malgun Gothic"/>
          <w:bCs/>
          <w:lang w:val="fr-FR"/>
        </w:rPr>
        <w:t>’</w:t>
      </w:r>
      <w:r w:rsidRPr="00CA756D">
        <w:rPr>
          <w:rFonts w:eastAsia="Malgun Gothic"/>
          <w:bCs/>
          <w:lang w:val="fr-FR"/>
        </w:rPr>
        <w:t>il y avait des limites compte tenu de la situation et que la participation ne pouvait pas être plus large. C</w:t>
      </w:r>
      <w:r w:rsidR="00923E72">
        <w:rPr>
          <w:rFonts w:eastAsia="Malgun Gothic"/>
          <w:bCs/>
          <w:lang w:val="fr-FR"/>
        </w:rPr>
        <w:t>’</w:t>
      </w:r>
      <w:r w:rsidRPr="00CA756D">
        <w:rPr>
          <w:rFonts w:eastAsia="Malgun Gothic"/>
          <w:bCs/>
          <w:lang w:val="fr-FR"/>
        </w:rPr>
        <w:t>était également l</w:t>
      </w:r>
      <w:r w:rsidR="00923E72">
        <w:rPr>
          <w:rFonts w:eastAsia="Malgun Gothic"/>
          <w:bCs/>
          <w:lang w:val="fr-FR"/>
        </w:rPr>
        <w:t>’</w:t>
      </w:r>
      <w:r w:rsidRPr="00CA756D">
        <w:rPr>
          <w:rFonts w:eastAsia="Malgun Gothic"/>
          <w:bCs/>
          <w:lang w:val="fr-FR"/>
        </w:rPr>
        <w:t>occasion pour le Comité de prendre conscience de l</w:t>
      </w:r>
      <w:r w:rsidR="00923E72">
        <w:rPr>
          <w:rFonts w:eastAsia="Malgun Gothic"/>
          <w:bCs/>
          <w:lang w:val="fr-FR"/>
        </w:rPr>
        <w:t>’</w:t>
      </w:r>
      <w:r w:rsidRPr="00CA756D">
        <w:rPr>
          <w:rFonts w:eastAsia="Malgun Gothic"/>
          <w:bCs/>
          <w:lang w:val="fr-FR"/>
        </w:rPr>
        <w:t>importance du patrimoine culturel immatériel dans les situations d</w:t>
      </w:r>
      <w:r w:rsidR="00923E72">
        <w:rPr>
          <w:rFonts w:eastAsia="Malgun Gothic"/>
          <w:bCs/>
          <w:lang w:val="fr-FR"/>
        </w:rPr>
        <w:t>’</w:t>
      </w:r>
      <w:r w:rsidRPr="00CA756D">
        <w:rPr>
          <w:rFonts w:eastAsia="Malgun Gothic"/>
          <w:bCs/>
          <w:lang w:val="fr-FR"/>
        </w:rPr>
        <w:t>urgence, car cela devait vraiment être souligné dans le contexte actuel.</w:t>
      </w:r>
    </w:p>
    <w:p w14:paraId="1A158107" w14:textId="500322E7" w:rsidR="00CA756D" w:rsidRDefault="00CA756D"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A756D">
        <w:rPr>
          <w:rFonts w:eastAsia="Malgun Gothic"/>
          <w:bCs/>
          <w:lang w:val="fr-FR"/>
        </w:rPr>
        <w:t>La délégation de l</w:t>
      </w:r>
      <w:r w:rsidR="00923E72">
        <w:rPr>
          <w:rFonts w:eastAsia="Malgun Gothic"/>
          <w:bCs/>
          <w:lang w:val="fr-FR"/>
        </w:rPr>
        <w:t>’</w:t>
      </w:r>
      <w:r w:rsidRPr="00702497">
        <w:rPr>
          <w:rFonts w:eastAsia="Malgun Gothic"/>
          <w:b/>
          <w:lang w:val="fr-FR"/>
        </w:rPr>
        <w:t>Éthiopie</w:t>
      </w:r>
      <w:r w:rsidRPr="00CA756D">
        <w:rPr>
          <w:rFonts w:eastAsia="Malgun Gothic"/>
          <w:bCs/>
          <w:lang w:val="fr-FR"/>
        </w:rPr>
        <w:t xml:space="preserve"> a fait observer que le dossier présenté par l</w:t>
      </w:r>
      <w:r w:rsidR="00923E72">
        <w:rPr>
          <w:rFonts w:eastAsia="Malgun Gothic"/>
          <w:bCs/>
          <w:lang w:val="fr-FR"/>
        </w:rPr>
        <w:t>’</w:t>
      </w:r>
      <w:r w:rsidRPr="00CA756D">
        <w:rPr>
          <w:rFonts w:eastAsia="Malgun Gothic"/>
          <w:bCs/>
          <w:lang w:val="fr-FR"/>
        </w:rPr>
        <w:t>Afghanistan et l</w:t>
      </w:r>
      <w:r w:rsidR="00923E72">
        <w:rPr>
          <w:rFonts w:eastAsia="Malgun Gothic"/>
          <w:bCs/>
          <w:lang w:val="fr-FR"/>
        </w:rPr>
        <w:t>’</w:t>
      </w:r>
      <w:r w:rsidRPr="00CA756D">
        <w:rPr>
          <w:rFonts w:eastAsia="Malgun Gothic"/>
          <w:bCs/>
          <w:lang w:val="fr-FR"/>
        </w:rPr>
        <w:t>Iran sur</w:t>
      </w:r>
      <w:r>
        <w:rPr>
          <w:rFonts w:eastAsia="Malgun Gothic"/>
          <w:bCs/>
          <w:lang w:val="fr-FR"/>
        </w:rPr>
        <w:t xml:space="preserve"> </w:t>
      </w:r>
      <w:proofErr w:type="spellStart"/>
      <w:r w:rsidRPr="00CA756D">
        <w:rPr>
          <w:rFonts w:eastAsia="Malgun Gothic"/>
          <w:bCs/>
          <w:lang w:val="fr-FR"/>
        </w:rPr>
        <w:t>Yaldā</w:t>
      </w:r>
      <w:proofErr w:type="spellEnd"/>
      <w:r w:rsidRPr="00CA756D">
        <w:rPr>
          <w:rFonts w:eastAsia="Malgun Gothic"/>
          <w:bCs/>
          <w:lang w:val="fr-FR"/>
        </w:rPr>
        <w:t>/</w:t>
      </w:r>
      <w:proofErr w:type="spellStart"/>
      <w:r w:rsidRPr="00CA756D">
        <w:rPr>
          <w:rFonts w:eastAsia="Malgun Gothic"/>
          <w:bCs/>
          <w:lang w:val="fr-FR"/>
        </w:rPr>
        <w:t>Chella</w:t>
      </w:r>
      <w:proofErr w:type="spellEnd"/>
      <w:r w:rsidRPr="00CA756D">
        <w:rPr>
          <w:rFonts w:eastAsia="Malgun Gothic"/>
          <w:bCs/>
          <w:lang w:val="fr-FR"/>
        </w:rPr>
        <w:t xml:space="preserve"> </w:t>
      </w:r>
      <w:r w:rsidR="00FF74AA">
        <w:rPr>
          <w:rFonts w:eastAsia="Malgun Gothic"/>
          <w:bCs/>
          <w:lang w:val="fr-FR"/>
        </w:rPr>
        <w:t xml:space="preserve">concerne </w:t>
      </w:r>
      <w:r w:rsidRPr="00CA756D">
        <w:rPr>
          <w:rFonts w:eastAsia="Malgun Gothic"/>
          <w:bCs/>
          <w:lang w:val="fr-FR"/>
        </w:rPr>
        <w:t>une célébration traditionnelle centrée sur le rassemblement des personnes et des familles dans les maisons des aînés. C</w:t>
      </w:r>
      <w:r w:rsidR="00923E72">
        <w:rPr>
          <w:rFonts w:eastAsia="Malgun Gothic"/>
          <w:bCs/>
          <w:lang w:val="fr-FR"/>
        </w:rPr>
        <w:t>’</w:t>
      </w:r>
      <w:r w:rsidRPr="00CA756D">
        <w:rPr>
          <w:rFonts w:eastAsia="Malgun Gothic"/>
          <w:bCs/>
          <w:lang w:val="fr-FR"/>
        </w:rPr>
        <w:t>était le fondement même de la paix. L</w:t>
      </w:r>
      <w:r w:rsidR="00923E72">
        <w:rPr>
          <w:rFonts w:eastAsia="Malgun Gothic"/>
          <w:bCs/>
          <w:lang w:val="fr-FR"/>
        </w:rPr>
        <w:t>’</w:t>
      </w:r>
      <w:r w:rsidRPr="00CA756D">
        <w:rPr>
          <w:rFonts w:eastAsia="Malgun Gothic"/>
          <w:bCs/>
          <w:lang w:val="fr-FR"/>
        </w:rPr>
        <w:t>inscription de cet élément constituait donc un pas en avant vers l</w:t>
      </w:r>
      <w:r w:rsidR="00923E72">
        <w:rPr>
          <w:rFonts w:eastAsia="Malgun Gothic"/>
          <w:bCs/>
          <w:lang w:val="fr-FR"/>
        </w:rPr>
        <w:t>’</w:t>
      </w:r>
      <w:r w:rsidRPr="00CA756D">
        <w:rPr>
          <w:rFonts w:eastAsia="Malgun Gothic"/>
          <w:bCs/>
          <w:lang w:val="fr-FR"/>
        </w:rPr>
        <w:t xml:space="preserve">instauration de la </w:t>
      </w:r>
      <w:r w:rsidRPr="00CA756D">
        <w:rPr>
          <w:rFonts w:eastAsia="Malgun Gothic"/>
          <w:bCs/>
          <w:lang w:val="fr-FR"/>
        </w:rPr>
        <w:lastRenderedPageBreak/>
        <w:t>paix dans la région. L</w:t>
      </w:r>
      <w:r w:rsidR="00923E72">
        <w:rPr>
          <w:rFonts w:eastAsia="Malgun Gothic"/>
          <w:bCs/>
          <w:lang w:val="fr-FR"/>
        </w:rPr>
        <w:t>’</w:t>
      </w:r>
      <w:r w:rsidRPr="00CA756D">
        <w:rPr>
          <w:rFonts w:eastAsia="Malgun Gothic"/>
          <w:bCs/>
          <w:lang w:val="fr-FR"/>
        </w:rPr>
        <w:t>Éthiopie soutenait donc l</w:t>
      </w:r>
      <w:r w:rsidR="00923E72">
        <w:rPr>
          <w:rFonts w:eastAsia="Malgun Gothic"/>
          <w:bCs/>
          <w:lang w:val="fr-FR"/>
        </w:rPr>
        <w:t>’</w:t>
      </w:r>
      <w:r w:rsidRPr="00CA756D">
        <w:rPr>
          <w:rFonts w:eastAsia="Malgun Gothic"/>
          <w:bCs/>
          <w:lang w:val="fr-FR"/>
        </w:rPr>
        <w:t>amendement présenté par le Bangladesh visant à inscrire cet élément.</w:t>
      </w:r>
    </w:p>
    <w:p w14:paraId="0143751A" w14:textId="7692A80B" w:rsidR="00CA756D" w:rsidRDefault="00CA756D"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CA756D">
        <w:rPr>
          <w:rFonts w:eastAsia="Malgun Gothic"/>
          <w:bCs/>
          <w:lang w:val="fr-FR"/>
        </w:rPr>
        <w:t xml:space="preserve">La délégation de la </w:t>
      </w:r>
      <w:r w:rsidRPr="00702497">
        <w:rPr>
          <w:rFonts w:eastAsia="Malgun Gothic"/>
          <w:b/>
          <w:lang w:val="fr-FR"/>
        </w:rPr>
        <w:t>Suisse</w:t>
      </w:r>
      <w:r w:rsidRPr="00CA756D">
        <w:rPr>
          <w:rFonts w:eastAsia="Malgun Gothic"/>
          <w:bCs/>
          <w:lang w:val="fr-FR"/>
        </w:rPr>
        <w:t xml:space="preserve"> avait pris bonne note des recommandations de l</w:t>
      </w:r>
      <w:r w:rsidR="00923E72">
        <w:rPr>
          <w:rFonts w:eastAsia="Malgun Gothic"/>
          <w:bCs/>
          <w:lang w:val="fr-FR"/>
        </w:rPr>
        <w:t>’</w:t>
      </w:r>
      <w:r w:rsidRPr="00CA756D">
        <w:rPr>
          <w:rFonts w:eastAsia="Malgun Gothic"/>
          <w:bCs/>
          <w:lang w:val="fr-FR"/>
        </w:rPr>
        <w:t>Organe d</w:t>
      </w:r>
      <w:r w:rsidR="00923E72">
        <w:rPr>
          <w:rFonts w:eastAsia="Malgun Gothic"/>
          <w:bCs/>
          <w:lang w:val="fr-FR"/>
        </w:rPr>
        <w:t>’</w:t>
      </w:r>
      <w:r w:rsidRPr="00CA756D">
        <w:rPr>
          <w:rFonts w:eastAsia="Malgun Gothic"/>
          <w:bCs/>
          <w:lang w:val="fr-FR"/>
        </w:rPr>
        <w:t>évaluation et était donc consciente que ce dossier pourrait ne pas comprendre tous les éléments qu</w:t>
      </w:r>
      <w:r w:rsidR="00923E72">
        <w:rPr>
          <w:rFonts w:eastAsia="Malgun Gothic"/>
          <w:bCs/>
          <w:lang w:val="fr-FR"/>
        </w:rPr>
        <w:t>’</w:t>
      </w:r>
      <w:r w:rsidRPr="00CA756D">
        <w:rPr>
          <w:rFonts w:eastAsia="Malgun Gothic"/>
          <w:bCs/>
          <w:lang w:val="fr-FR"/>
        </w:rPr>
        <w:t>il pourrait inclure en temps de paix. Malheureusement, la paix ne régnait pas en Afghanistan, et elle était tout à fait consciente des circonstances extrêmes particulières de cet élément, qui devaient être prises en compte. Néanmoins, la délégation a demandé si l</w:t>
      </w:r>
      <w:r w:rsidR="00923E72">
        <w:rPr>
          <w:rFonts w:eastAsia="Malgun Gothic"/>
          <w:bCs/>
          <w:lang w:val="fr-FR"/>
        </w:rPr>
        <w:t>’</w:t>
      </w:r>
      <w:r w:rsidRPr="00CA756D">
        <w:rPr>
          <w:rFonts w:eastAsia="Malgun Gothic"/>
          <w:bCs/>
          <w:lang w:val="fr-FR"/>
        </w:rPr>
        <w:t>Iran ou l</w:t>
      </w:r>
      <w:r w:rsidR="00923E72">
        <w:rPr>
          <w:rFonts w:eastAsia="Malgun Gothic"/>
          <w:bCs/>
          <w:lang w:val="fr-FR"/>
        </w:rPr>
        <w:t>’</w:t>
      </w:r>
      <w:r w:rsidRPr="00CA756D">
        <w:rPr>
          <w:rFonts w:eastAsia="Malgun Gothic"/>
          <w:bCs/>
          <w:lang w:val="fr-FR"/>
        </w:rPr>
        <w:t>Afghanistan pouvaient donner des informations supplémentaires sur la question de la sauvegarde dans les circonstances actuelles.</w:t>
      </w:r>
    </w:p>
    <w:p w14:paraId="2FF0B5FA" w14:textId="6E3B6EB8" w:rsidR="00227CF5" w:rsidRDefault="00227CF5"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227CF5">
        <w:rPr>
          <w:rFonts w:eastAsia="Malgun Gothic"/>
          <w:bCs/>
          <w:lang w:val="fr-FR"/>
        </w:rPr>
        <w:t xml:space="preserve">La délégation </w:t>
      </w:r>
      <w:r>
        <w:rPr>
          <w:rFonts w:eastAsia="Malgun Gothic"/>
          <w:bCs/>
          <w:lang w:val="fr-FR"/>
        </w:rPr>
        <w:t>de l</w:t>
      </w:r>
      <w:r w:rsidR="00923E72">
        <w:rPr>
          <w:rFonts w:eastAsia="Malgun Gothic"/>
          <w:bCs/>
          <w:lang w:val="fr-FR"/>
        </w:rPr>
        <w:t>’</w:t>
      </w:r>
      <w:r w:rsidRPr="00702497">
        <w:rPr>
          <w:rFonts w:eastAsia="Malgun Gothic"/>
          <w:b/>
          <w:lang w:val="fr-FR"/>
        </w:rPr>
        <w:t>Afghanistan</w:t>
      </w:r>
      <w:r>
        <w:rPr>
          <w:rFonts w:eastAsia="Malgun Gothic"/>
          <w:bCs/>
          <w:lang w:val="fr-FR"/>
        </w:rPr>
        <w:t xml:space="preserve"> </w:t>
      </w:r>
      <w:r w:rsidRPr="00227CF5">
        <w:rPr>
          <w:rFonts w:eastAsia="Malgun Gothic"/>
          <w:bCs/>
          <w:lang w:val="fr-FR"/>
        </w:rPr>
        <w:t xml:space="preserve">a fait remarquer que </w:t>
      </w:r>
      <w:r>
        <w:rPr>
          <w:rFonts w:eastAsia="Malgun Gothic"/>
          <w:bCs/>
          <w:lang w:val="fr-FR"/>
        </w:rPr>
        <w:t xml:space="preserve">tout le monde comprenait </w:t>
      </w:r>
      <w:r w:rsidRPr="00227CF5">
        <w:rPr>
          <w:rFonts w:eastAsia="Malgun Gothic"/>
          <w:bCs/>
          <w:lang w:val="fr-FR"/>
        </w:rPr>
        <w:t xml:space="preserve">la situation </w:t>
      </w:r>
      <w:r>
        <w:rPr>
          <w:rFonts w:eastAsia="Malgun Gothic"/>
          <w:bCs/>
          <w:lang w:val="fr-FR"/>
        </w:rPr>
        <w:t xml:space="preserve">dans le pays </w:t>
      </w:r>
      <w:r w:rsidRPr="00227CF5">
        <w:rPr>
          <w:rFonts w:eastAsia="Malgun Gothic"/>
          <w:bCs/>
          <w:lang w:val="fr-FR"/>
        </w:rPr>
        <w:t>depuis plus d</w:t>
      </w:r>
      <w:r w:rsidR="00923E72">
        <w:rPr>
          <w:rFonts w:eastAsia="Malgun Gothic"/>
          <w:bCs/>
          <w:lang w:val="fr-FR"/>
        </w:rPr>
        <w:t>’</w:t>
      </w:r>
      <w:r w:rsidRPr="00227CF5">
        <w:rPr>
          <w:rFonts w:eastAsia="Malgun Gothic"/>
          <w:bCs/>
          <w:lang w:val="fr-FR"/>
        </w:rPr>
        <w:t>un an</w:t>
      </w:r>
      <w:r>
        <w:rPr>
          <w:rFonts w:eastAsia="Malgun Gothic"/>
          <w:bCs/>
          <w:lang w:val="fr-FR"/>
        </w:rPr>
        <w:t>.</w:t>
      </w:r>
      <w:r w:rsidRPr="00227CF5">
        <w:rPr>
          <w:rFonts w:eastAsia="Malgun Gothic"/>
          <w:bCs/>
          <w:lang w:val="fr-FR"/>
        </w:rPr>
        <w:t xml:space="preserve"> Les conditions d</w:t>
      </w:r>
      <w:r w:rsidR="00923E72">
        <w:rPr>
          <w:rFonts w:eastAsia="Malgun Gothic"/>
          <w:bCs/>
          <w:lang w:val="fr-FR"/>
        </w:rPr>
        <w:t>’</w:t>
      </w:r>
      <w:r w:rsidRPr="00227CF5">
        <w:rPr>
          <w:rFonts w:eastAsia="Malgun Gothic"/>
          <w:bCs/>
          <w:lang w:val="fr-FR"/>
        </w:rPr>
        <w:t>insécurité</w:t>
      </w:r>
      <w:r w:rsidR="005050EC">
        <w:rPr>
          <w:rFonts w:eastAsia="Malgun Gothic"/>
          <w:bCs/>
          <w:lang w:val="fr-FR"/>
        </w:rPr>
        <w:t>,</w:t>
      </w:r>
      <w:r w:rsidRPr="00227CF5">
        <w:rPr>
          <w:rFonts w:eastAsia="Malgun Gothic"/>
          <w:bCs/>
          <w:lang w:val="fr-FR"/>
        </w:rPr>
        <w:t xml:space="preserve"> qui </w:t>
      </w:r>
      <w:r>
        <w:rPr>
          <w:rFonts w:eastAsia="Malgun Gothic"/>
          <w:bCs/>
          <w:lang w:val="fr-FR"/>
        </w:rPr>
        <w:t xml:space="preserve">prévalaient </w:t>
      </w:r>
      <w:r w:rsidRPr="00227CF5">
        <w:rPr>
          <w:rFonts w:eastAsia="Malgun Gothic"/>
          <w:bCs/>
          <w:lang w:val="fr-FR"/>
        </w:rPr>
        <w:t>en Afghanistan avant la chute du pays aux mains des Talibans</w:t>
      </w:r>
      <w:r w:rsidR="005050EC">
        <w:rPr>
          <w:rFonts w:eastAsia="Malgun Gothic"/>
          <w:bCs/>
          <w:lang w:val="fr-FR"/>
        </w:rPr>
        <w:t>,</w:t>
      </w:r>
      <w:r w:rsidRPr="00227CF5">
        <w:rPr>
          <w:rFonts w:eastAsia="Malgun Gothic"/>
          <w:bCs/>
          <w:lang w:val="fr-FR"/>
        </w:rPr>
        <w:t xml:space="preserve"> avaient sans aucun doute eu une incidence sur la nécessité de finaliser le dossier commun. Au moment de la préparation du dossier, les Talibans contrôlaient les voies d</w:t>
      </w:r>
      <w:r w:rsidR="00923E72">
        <w:rPr>
          <w:rFonts w:eastAsia="Malgun Gothic"/>
          <w:bCs/>
          <w:lang w:val="fr-FR"/>
        </w:rPr>
        <w:t>’</w:t>
      </w:r>
      <w:r w:rsidRPr="00227CF5">
        <w:rPr>
          <w:rFonts w:eastAsia="Malgun Gothic"/>
          <w:bCs/>
          <w:lang w:val="fr-FR"/>
        </w:rPr>
        <w:t>accès, en particulier dans les zones rurales. Les attaques kamikazes, les bombardements et l</w:t>
      </w:r>
      <w:r w:rsidR="00923E72">
        <w:rPr>
          <w:rFonts w:eastAsia="Malgun Gothic"/>
          <w:bCs/>
          <w:lang w:val="fr-FR"/>
        </w:rPr>
        <w:t>’</w:t>
      </w:r>
      <w:r w:rsidRPr="00227CF5">
        <w:rPr>
          <w:rFonts w:eastAsia="Malgun Gothic"/>
          <w:bCs/>
          <w:lang w:val="fr-FR"/>
        </w:rPr>
        <w:t>insécurité rendaient impossible l</w:t>
      </w:r>
      <w:r w:rsidR="00923E72">
        <w:rPr>
          <w:rFonts w:eastAsia="Malgun Gothic"/>
          <w:bCs/>
          <w:lang w:val="fr-FR"/>
        </w:rPr>
        <w:t>’</w:t>
      </w:r>
      <w:r w:rsidRPr="00227CF5">
        <w:rPr>
          <w:rFonts w:eastAsia="Malgun Gothic"/>
          <w:bCs/>
          <w:lang w:val="fr-FR"/>
        </w:rPr>
        <w:t>obtention des lettres de consentement de toutes les communautés. En ce qui concerne la protection et la sauvegarde de ce patrimoine significatif</w:t>
      </w:r>
      <w:r w:rsidR="00FF74AA">
        <w:rPr>
          <w:rFonts w:eastAsia="Malgun Gothic"/>
          <w:bCs/>
          <w:lang w:val="fr-FR"/>
        </w:rPr>
        <w:t>,</w:t>
      </w:r>
      <w:r w:rsidRPr="00227CF5">
        <w:rPr>
          <w:rFonts w:eastAsia="Malgun Gothic"/>
          <w:bCs/>
          <w:lang w:val="fr-FR"/>
        </w:rPr>
        <w:t xml:space="preserve"> qui avait été légué aux communautés par les ancêtres depuis la nuit des temps, l</w:t>
      </w:r>
      <w:r w:rsidR="00923E72">
        <w:rPr>
          <w:rFonts w:eastAsia="Malgun Gothic"/>
          <w:bCs/>
          <w:lang w:val="fr-FR"/>
        </w:rPr>
        <w:t>’</w:t>
      </w:r>
      <w:r w:rsidRPr="00227CF5">
        <w:rPr>
          <w:rFonts w:eastAsia="Malgun Gothic"/>
          <w:bCs/>
          <w:lang w:val="fr-FR"/>
        </w:rPr>
        <w:t>Afghanistan, comme d</w:t>
      </w:r>
      <w:r w:rsidR="00923E72">
        <w:rPr>
          <w:rFonts w:eastAsia="Malgun Gothic"/>
          <w:bCs/>
          <w:lang w:val="fr-FR"/>
        </w:rPr>
        <w:t>’</w:t>
      </w:r>
      <w:r w:rsidRPr="00227CF5">
        <w:rPr>
          <w:rFonts w:eastAsia="Malgun Gothic"/>
          <w:bCs/>
          <w:lang w:val="fr-FR"/>
        </w:rPr>
        <w:t>autres nations du monde, réglait sa vie sur la nature et célébrait la nuit la plus longue de l</w:t>
      </w:r>
      <w:r w:rsidR="00923E72">
        <w:rPr>
          <w:rFonts w:eastAsia="Malgun Gothic"/>
          <w:bCs/>
          <w:lang w:val="fr-FR"/>
        </w:rPr>
        <w:t>’</w:t>
      </w:r>
      <w:r w:rsidRPr="00227CF5">
        <w:rPr>
          <w:rFonts w:eastAsia="Malgun Gothic"/>
          <w:bCs/>
          <w:lang w:val="fr-FR"/>
        </w:rPr>
        <w:t>année dans l</w:t>
      </w:r>
      <w:r w:rsidR="00923E72">
        <w:rPr>
          <w:rFonts w:eastAsia="Malgun Gothic"/>
          <w:bCs/>
          <w:lang w:val="fr-FR"/>
        </w:rPr>
        <w:t>’</w:t>
      </w:r>
      <w:r w:rsidRPr="00227CF5">
        <w:rPr>
          <w:rFonts w:eastAsia="Malgun Gothic"/>
          <w:bCs/>
          <w:lang w:val="fr-FR"/>
        </w:rPr>
        <w:t>espoir d</w:t>
      </w:r>
      <w:r w:rsidR="00923E72">
        <w:rPr>
          <w:rFonts w:eastAsia="Malgun Gothic"/>
          <w:bCs/>
          <w:lang w:val="fr-FR"/>
        </w:rPr>
        <w:t>’</w:t>
      </w:r>
      <w:r w:rsidRPr="00227CF5">
        <w:rPr>
          <w:rFonts w:eastAsia="Malgun Gothic"/>
          <w:bCs/>
          <w:lang w:val="fr-FR"/>
        </w:rPr>
        <w:t>un nouveau départ à mesure que les jours s</w:t>
      </w:r>
      <w:r w:rsidR="00923E72">
        <w:rPr>
          <w:rFonts w:eastAsia="Malgun Gothic"/>
          <w:bCs/>
          <w:lang w:val="fr-FR"/>
        </w:rPr>
        <w:t>’</w:t>
      </w:r>
      <w:r w:rsidRPr="00227CF5">
        <w:rPr>
          <w:rFonts w:eastAsia="Malgun Gothic"/>
          <w:bCs/>
          <w:lang w:val="fr-FR"/>
        </w:rPr>
        <w:t>allongeaient. Cela symbolisait l</w:t>
      </w:r>
      <w:r w:rsidR="00923E72">
        <w:rPr>
          <w:rFonts w:eastAsia="Malgun Gothic"/>
          <w:bCs/>
          <w:lang w:val="fr-FR"/>
        </w:rPr>
        <w:t>’</w:t>
      </w:r>
      <w:r w:rsidRPr="00227CF5">
        <w:rPr>
          <w:rFonts w:eastAsia="Malgun Gothic"/>
          <w:bCs/>
          <w:lang w:val="fr-FR"/>
        </w:rPr>
        <w:t>importance et la signification de la célébration de cet héritage, transmis de génération en génération par les familles afghanes et iraniennes depuis des siècles et pratiqué par tous les peuples. Les communautés avaient donc la capacité de sauvegarder cet élément, ce n</w:t>
      </w:r>
      <w:r w:rsidR="00923E72">
        <w:rPr>
          <w:rFonts w:eastAsia="Malgun Gothic"/>
          <w:bCs/>
          <w:lang w:val="fr-FR"/>
        </w:rPr>
        <w:t>’</w:t>
      </w:r>
      <w:r w:rsidRPr="00227CF5">
        <w:rPr>
          <w:rFonts w:eastAsia="Malgun Gothic"/>
          <w:bCs/>
          <w:lang w:val="fr-FR"/>
        </w:rPr>
        <w:t>était pas un problème. Le but des États soumissionnaires en proposant la candidature de ce rituel était d</w:t>
      </w:r>
      <w:r w:rsidR="00923E72">
        <w:rPr>
          <w:rFonts w:eastAsia="Malgun Gothic"/>
          <w:bCs/>
          <w:lang w:val="fr-FR"/>
        </w:rPr>
        <w:t>’</w:t>
      </w:r>
      <w:r w:rsidRPr="00227CF5">
        <w:rPr>
          <w:rFonts w:eastAsia="Malgun Gothic"/>
          <w:bCs/>
          <w:lang w:val="fr-FR"/>
        </w:rPr>
        <w:t>assurer sa visibilité au niveau universel. Heureusement</w:t>
      </w:r>
      <w:r w:rsidR="008D207B">
        <w:rPr>
          <w:rFonts w:eastAsia="Malgun Gothic"/>
          <w:bCs/>
          <w:lang w:val="fr-FR"/>
        </w:rPr>
        <w:t xml:space="preserve">, </w:t>
      </w:r>
      <w:r w:rsidRPr="00227CF5">
        <w:rPr>
          <w:rFonts w:eastAsia="Malgun Gothic"/>
          <w:bCs/>
          <w:lang w:val="fr-FR"/>
        </w:rPr>
        <w:t>et sans aucun doute, l</w:t>
      </w:r>
      <w:r w:rsidR="00923E72">
        <w:rPr>
          <w:rFonts w:eastAsia="Malgun Gothic"/>
          <w:bCs/>
          <w:lang w:val="fr-FR"/>
        </w:rPr>
        <w:t>’</w:t>
      </w:r>
      <w:r w:rsidRPr="00227CF5">
        <w:rPr>
          <w:rFonts w:eastAsia="Malgun Gothic"/>
          <w:bCs/>
          <w:lang w:val="fr-FR"/>
        </w:rPr>
        <w:t>inscription de ce patrimoine culturel serait un véritable symbole de solidarité des nations du monde avec le peuple d</w:t>
      </w:r>
      <w:r w:rsidR="00923E72">
        <w:rPr>
          <w:rFonts w:eastAsia="Malgun Gothic"/>
          <w:bCs/>
          <w:lang w:val="fr-FR"/>
        </w:rPr>
        <w:t>’</w:t>
      </w:r>
      <w:r w:rsidRPr="00227CF5">
        <w:rPr>
          <w:rFonts w:eastAsia="Malgun Gothic"/>
          <w:bCs/>
          <w:lang w:val="fr-FR"/>
        </w:rPr>
        <w:t>Afghanistan</w:t>
      </w:r>
      <w:r w:rsidR="005050EC">
        <w:rPr>
          <w:rFonts w:eastAsia="Malgun Gothic"/>
          <w:bCs/>
          <w:lang w:val="fr-FR"/>
        </w:rPr>
        <w:t>,</w:t>
      </w:r>
      <w:r w:rsidRPr="00227CF5">
        <w:rPr>
          <w:rFonts w:eastAsia="Malgun Gothic"/>
          <w:bCs/>
          <w:lang w:val="fr-FR"/>
        </w:rPr>
        <w:t xml:space="preserve"> qui vivait les jours les plus difficiles de son histoire.</w:t>
      </w:r>
    </w:p>
    <w:p w14:paraId="59B7B445" w14:textId="791377BA" w:rsidR="008D207B" w:rsidRDefault="008D207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Prenant note pris du vaste consensus, le </w:t>
      </w:r>
      <w:r w:rsidRPr="00702497">
        <w:rPr>
          <w:rFonts w:eastAsia="Malgun Gothic"/>
          <w:b/>
          <w:lang w:val="fr-FR"/>
        </w:rPr>
        <w:t>Président</w:t>
      </w:r>
      <w:r>
        <w:rPr>
          <w:rFonts w:eastAsia="Malgun Gothic"/>
          <w:bCs/>
          <w:lang w:val="fr-FR"/>
        </w:rPr>
        <w:t xml:space="preserve"> a suggéré de passer directement à l</w:t>
      </w:r>
      <w:r w:rsidR="00923E72">
        <w:rPr>
          <w:rFonts w:eastAsia="Malgun Gothic"/>
          <w:bCs/>
          <w:lang w:val="fr-FR"/>
        </w:rPr>
        <w:t>’</w:t>
      </w:r>
      <w:r>
        <w:rPr>
          <w:rFonts w:eastAsia="Malgun Gothic"/>
          <w:bCs/>
          <w:lang w:val="fr-FR"/>
        </w:rPr>
        <w:t>adoption du projet de décision. Il a souligné les circonstances exceptionnelles de ce dossier et a souhaité adresser un message de solidarité depuis Rabat et d</w:t>
      </w:r>
      <w:r w:rsidR="00471896">
        <w:rPr>
          <w:rFonts w:eastAsia="Malgun Gothic"/>
          <w:bCs/>
          <w:lang w:val="fr-FR"/>
        </w:rPr>
        <w:t xml:space="preserve">e la part du </w:t>
      </w:r>
      <w:r>
        <w:rPr>
          <w:rFonts w:eastAsia="Malgun Gothic"/>
          <w:bCs/>
          <w:lang w:val="fr-FR"/>
        </w:rPr>
        <w:t>Comité au peuple afghan.</w:t>
      </w:r>
    </w:p>
    <w:p w14:paraId="2C55AB68" w14:textId="341903C9" w:rsidR="008D207B" w:rsidRDefault="008D207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8D207B">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8D207B">
        <w:rPr>
          <w:rFonts w:eastAsia="Malgun Gothic"/>
          <w:bCs/>
          <w:lang w:val="fr-FR"/>
        </w:rPr>
        <w:t xml:space="preserve"> a rappelé l</w:t>
      </w:r>
      <w:r w:rsidR="00923E72">
        <w:rPr>
          <w:rFonts w:eastAsia="Malgun Gothic"/>
          <w:bCs/>
          <w:lang w:val="fr-FR"/>
        </w:rPr>
        <w:t>’</w:t>
      </w:r>
      <w:r w:rsidRPr="008D207B">
        <w:rPr>
          <w:rFonts w:eastAsia="Malgun Gothic"/>
          <w:bCs/>
          <w:lang w:val="fr-FR"/>
        </w:rPr>
        <w:t>importance de ce dossier étant donné qu</w:t>
      </w:r>
      <w:r w:rsidR="00923E72">
        <w:rPr>
          <w:rFonts w:eastAsia="Malgun Gothic"/>
          <w:bCs/>
          <w:lang w:val="fr-FR"/>
        </w:rPr>
        <w:t>’</w:t>
      </w:r>
      <w:r w:rsidRPr="008D207B">
        <w:rPr>
          <w:rFonts w:eastAsia="Malgun Gothic"/>
          <w:bCs/>
          <w:lang w:val="fr-FR"/>
        </w:rPr>
        <w:t>il touchait une partie du monde à laquelle elle appartient. Le peuple iranien et son voisin, l</w:t>
      </w:r>
      <w:r w:rsidR="00923E72">
        <w:rPr>
          <w:rFonts w:eastAsia="Malgun Gothic"/>
          <w:bCs/>
          <w:lang w:val="fr-FR"/>
        </w:rPr>
        <w:t>’</w:t>
      </w:r>
      <w:r w:rsidRPr="008D207B">
        <w:rPr>
          <w:rFonts w:eastAsia="Malgun Gothic"/>
          <w:bCs/>
          <w:lang w:val="fr-FR"/>
        </w:rPr>
        <w:t>Afghanistan, vivaient bien sûr des moments difficiles. La délégation a assuré l</w:t>
      </w:r>
      <w:r w:rsidR="00923E72">
        <w:rPr>
          <w:rFonts w:eastAsia="Malgun Gothic"/>
          <w:bCs/>
          <w:lang w:val="fr-FR"/>
        </w:rPr>
        <w:t>’</w:t>
      </w:r>
      <w:r w:rsidRPr="008D207B">
        <w:rPr>
          <w:rFonts w:eastAsia="Malgun Gothic"/>
          <w:bCs/>
          <w:lang w:val="fr-FR"/>
        </w:rPr>
        <w:t>Iran et l</w:t>
      </w:r>
      <w:r w:rsidR="00923E72">
        <w:rPr>
          <w:rFonts w:eastAsia="Malgun Gothic"/>
          <w:bCs/>
          <w:lang w:val="fr-FR"/>
        </w:rPr>
        <w:t>’</w:t>
      </w:r>
      <w:r w:rsidRPr="008D207B">
        <w:rPr>
          <w:rFonts w:eastAsia="Malgun Gothic"/>
          <w:bCs/>
          <w:lang w:val="fr-FR"/>
        </w:rPr>
        <w:t>Afghanistan que les 1,4</w:t>
      </w:r>
      <w:r>
        <w:rPr>
          <w:rFonts w:eastAsia="Malgun Gothic"/>
          <w:bCs/>
          <w:lang w:val="fr-FR"/>
        </w:rPr>
        <w:t> </w:t>
      </w:r>
      <w:r w:rsidRPr="008D207B">
        <w:rPr>
          <w:rFonts w:eastAsia="Malgun Gothic"/>
          <w:bCs/>
          <w:lang w:val="fr-FR"/>
        </w:rPr>
        <w:t>milliard d</w:t>
      </w:r>
      <w:r w:rsidR="00923E72">
        <w:rPr>
          <w:rFonts w:eastAsia="Malgun Gothic"/>
          <w:bCs/>
          <w:lang w:val="fr-FR"/>
        </w:rPr>
        <w:t>’</w:t>
      </w:r>
      <w:r w:rsidRPr="008D207B">
        <w:rPr>
          <w:rFonts w:eastAsia="Malgun Gothic"/>
          <w:bCs/>
          <w:lang w:val="fr-FR"/>
        </w:rPr>
        <w:t>habitants de l</w:t>
      </w:r>
      <w:r w:rsidR="00923E72">
        <w:rPr>
          <w:rFonts w:eastAsia="Malgun Gothic"/>
          <w:bCs/>
          <w:lang w:val="fr-FR"/>
        </w:rPr>
        <w:t>’</w:t>
      </w:r>
      <w:r w:rsidRPr="008D207B">
        <w:rPr>
          <w:rFonts w:eastAsia="Malgun Gothic"/>
          <w:bCs/>
          <w:lang w:val="fr-FR"/>
        </w:rPr>
        <w:t xml:space="preserve">Inde partageaient avec eux ce bonheur de </w:t>
      </w:r>
      <w:proofErr w:type="spellStart"/>
      <w:r w:rsidRPr="008D207B">
        <w:rPr>
          <w:rFonts w:eastAsia="Malgun Gothic"/>
          <w:bCs/>
          <w:lang w:val="fr-FR"/>
        </w:rPr>
        <w:t>Yaldā</w:t>
      </w:r>
      <w:proofErr w:type="spellEnd"/>
      <w:r w:rsidRPr="008D207B">
        <w:rPr>
          <w:rFonts w:eastAsia="Malgun Gothic"/>
          <w:bCs/>
          <w:lang w:val="fr-FR"/>
        </w:rPr>
        <w:t>/</w:t>
      </w:r>
      <w:proofErr w:type="spellStart"/>
      <w:r w:rsidRPr="008D207B">
        <w:rPr>
          <w:rFonts w:eastAsia="Malgun Gothic"/>
          <w:bCs/>
          <w:lang w:val="fr-FR"/>
        </w:rPr>
        <w:t>Chella</w:t>
      </w:r>
      <w:proofErr w:type="spellEnd"/>
      <w:r w:rsidRPr="008D207B">
        <w:rPr>
          <w:rFonts w:eastAsia="Malgun Gothic"/>
          <w:bCs/>
          <w:lang w:val="fr-FR"/>
        </w:rPr>
        <w:t>. L</w:t>
      </w:r>
      <w:r w:rsidR="00923E72">
        <w:rPr>
          <w:rFonts w:eastAsia="Malgun Gothic"/>
          <w:bCs/>
          <w:lang w:val="fr-FR"/>
        </w:rPr>
        <w:t>’</w:t>
      </w:r>
      <w:r w:rsidRPr="008D207B">
        <w:rPr>
          <w:rFonts w:eastAsia="Malgun Gothic"/>
          <w:bCs/>
          <w:lang w:val="fr-FR"/>
        </w:rPr>
        <w:t>Inde appréciait la Convention de</w:t>
      </w:r>
      <w:r w:rsidR="006773EF">
        <w:rPr>
          <w:rFonts w:eastAsia="Malgun Gothic"/>
          <w:bCs/>
          <w:lang w:val="fr-FR"/>
        </w:rPr>
        <w:t> </w:t>
      </w:r>
      <w:r w:rsidRPr="008D207B">
        <w:rPr>
          <w:rFonts w:eastAsia="Malgun Gothic"/>
          <w:bCs/>
          <w:lang w:val="fr-FR"/>
        </w:rPr>
        <w:t>2003 et le patrimoine culturel immatériel du beau peuple d</w:t>
      </w:r>
      <w:r w:rsidR="00923E72">
        <w:rPr>
          <w:rFonts w:eastAsia="Malgun Gothic"/>
          <w:bCs/>
          <w:lang w:val="fr-FR"/>
        </w:rPr>
        <w:t>’</w:t>
      </w:r>
      <w:r w:rsidRPr="008D207B">
        <w:rPr>
          <w:rFonts w:eastAsia="Malgun Gothic"/>
          <w:bCs/>
          <w:lang w:val="fr-FR"/>
        </w:rPr>
        <w:t>Iran [</w:t>
      </w:r>
      <w:r>
        <w:rPr>
          <w:rFonts w:eastAsia="Malgun Gothic"/>
          <w:bCs/>
          <w:lang w:val="fr-FR"/>
        </w:rPr>
        <w:t>Déclaration</w:t>
      </w:r>
      <w:r w:rsidRPr="008D207B">
        <w:rPr>
          <w:rFonts w:eastAsia="Malgun Gothic"/>
          <w:bCs/>
          <w:lang w:val="fr-FR"/>
        </w:rPr>
        <w:t xml:space="preserve"> en farsi]. L</w:t>
      </w:r>
      <w:r w:rsidR="00923E72">
        <w:rPr>
          <w:rFonts w:eastAsia="Malgun Gothic"/>
          <w:bCs/>
          <w:lang w:val="fr-FR"/>
        </w:rPr>
        <w:t>’</w:t>
      </w:r>
      <w:r w:rsidRPr="008D207B">
        <w:rPr>
          <w:rFonts w:eastAsia="Malgun Gothic"/>
          <w:bCs/>
          <w:lang w:val="fr-FR"/>
        </w:rPr>
        <w:t>Inde s</w:t>
      </w:r>
      <w:r w:rsidR="00923E72">
        <w:rPr>
          <w:rFonts w:eastAsia="Malgun Gothic"/>
          <w:bCs/>
          <w:lang w:val="fr-FR"/>
        </w:rPr>
        <w:t>’</w:t>
      </w:r>
      <w:r w:rsidRPr="008D207B">
        <w:rPr>
          <w:rFonts w:eastAsia="Malgun Gothic"/>
          <w:bCs/>
          <w:lang w:val="fr-FR"/>
        </w:rPr>
        <w:t>est portée coauteur de l</w:t>
      </w:r>
      <w:r w:rsidR="00923E72">
        <w:rPr>
          <w:rFonts w:eastAsia="Malgun Gothic"/>
          <w:bCs/>
          <w:lang w:val="fr-FR"/>
        </w:rPr>
        <w:t>’</w:t>
      </w:r>
      <w:r w:rsidRPr="008D207B">
        <w:rPr>
          <w:rFonts w:eastAsia="Malgun Gothic"/>
          <w:bCs/>
          <w:lang w:val="fr-FR"/>
        </w:rPr>
        <w:t>amendement.</w:t>
      </w:r>
    </w:p>
    <w:p w14:paraId="5E9252A4" w14:textId="01D811A1" w:rsidR="008D207B" w:rsidRDefault="008D207B"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Le </w:t>
      </w:r>
      <w:r w:rsidRPr="00AE6A00">
        <w:rPr>
          <w:rFonts w:eastAsia="Malgun Gothic"/>
          <w:b/>
          <w:lang w:val="fr-FR"/>
        </w:rPr>
        <w:t>Président</w:t>
      </w:r>
      <w:r>
        <w:rPr>
          <w:rFonts w:eastAsia="Malgun Gothic"/>
          <w:bCs/>
          <w:lang w:val="fr-FR"/>
        </w:rPr>
        <w:t xml:space="preserve"> est passé à l</w:t>
      </w:r>
      <w:r w:rsidR="00923E72">
        <w:rPr>
          <w:rFonts w:eastAsia="Malgun Gothic"/>
          <w:bCs/>
          <w:lang w:val="fr-FR"/>
        </w:rPr>
        <w:t>’</w:t>
      </w:r>
      <w:r>
        <w:rPr>
          <w:rFonts w:eastAsia="Malgun Gothic"/>
          <w:bCs/>
          <w:lang w:val="fr-FR"/>
        </w:rPr>
        <w:t xml:space="preserve">adoption du projet de décision avec les </w:t>
      </w:r>
      <w:r w:rsidRPr="008D207B">
        <w:rPr>
          <w:rFonts w:eastAsia="Malgun Gothic"/>
          <w:bCs/>
          <w:lang w:val="fr-FR"/>
        </w:rPr>
        <w:t>amendemen</w:t>
      </w:r>
      <w:r>
        <w:rPr>
          <w:rFonts w:eastAsia="Malgun Gothic"/>
          <w:bCs/>
          <w:lang w:val="fr-FR"/>
        </w:rPr>
        <w:t>ts visant à inscrire l</w:t>
      </w:r>
      <w:r w:rsidR="00923E72">
        <w:rPr>
          <w:rFonts w:eastAsia="Malgun Gothic"/>
          <w:bCs/>
          <w:lang w:val="fr-FR"/>
        </w:rPr>
        <w:t>’</w:t>
      </w:r>
      <w:r w:rsidRPr="008D207B">
        <w:rPr>
          <w:rFonts w:eastAsia="Malgun Gothic"/>
          <w:bCs/>
          <w:lang w:val="fr-FR"/>
        </w:rPr>
        <w:t>élément</w:t>
      </w:r>
      <w:r>
        <w:rPr>
          <w:rFonts w:eastAsia="Malgun Gothic"/>
          <w:bCs/>
          <w:lang w:val="fr-FR"/>
        </w:rPr>
        <w:t xml:space="preserv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471896">
        <w:rPr>
          <w:rFonts w:eastAsia="Malgun Gothic"/>
          <w:b/>
          <w:lang w:val="fr-FR"/>
        </w:rPr>
        <w:t> </w:t>
      </w:r>
      <w:r w:rsidR="00751FB1">
        <w:fldChar w:fldCharType="begin"/>
      </w:r>
      <w:r w:rsidR="00751FB1" w:rsidRPr="00751FB1">
        <w:rPr>
          <w:lang w:val="fr-FR"/>
        </w:rPr>
        <w:instrText>HYPERLINK "https://ich.unesco.org/fr/Decisions/17.COM/7.b.15"</w:instrText>
      </w:r>
      <w:r w:rsidR="00751FB1">
        <w:fldChar w:fldCharType="separate"/>
      </w:r>
      <w:r w:rsidRPr="006E3034">
        <w:rPr>
          <w:rStyle w:val="Hyperlink"/>
          <w:b/>
          <w:bCs/>
          <w:lang w:val="fr-FR"/>
        </w:rPr>
        <w:t>17.COM 7.b.15</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proofErr w:type="spellStart"/>
      <w:r>
        <w:rPr>
          <w:rFonts w:eastAsia="Malgun Gothic"/>
          <w:b/>
          <w:lang w:val="fr-FR"/>
        </w:rPr>
        <w:t>Yaldā</w:t>
      </w:r>
      <w:proofErr w:type="spellEnd"/>
      <w:r>
        <w:rPr>
          <w:rFonts w:eastAsia="Malgun Gothic"/>
          <w:b/>
          <w:lang w:val="fr-FR"/>
        </w:rPr>
        <w:t>/</w:t>
      </w:r>
      <w:proofErr w:type="spellStart"/>
      <w:r>
        <w:rPr>
          <w:rFonts w:eastAsia="Malgun Gothic"/>
          <w:b/>
          <w:lang w:val="fr-FR"/>
        </w:rPr>
        <w:t>Chella</w:t>
      </w:r>
      <w:proofErr w:type="spellEnd"/>
      <w:r>
        <w:rPr>
          <w:rFonts w:eastAsia="Malgun Gothic"/>
          <w:b/>
          <w:lang w:val="fr-FR"/>
        </w:rPr>
        <w:t xml:space="preserve"> sur la Liste représentative</w:t>
      </w:r>
      <w:r>
        <w:rPr>
          <w:rFonts w:eastAsia="Malgun Gothic"/>
          <w:bCs/>
          <w:lang w:val="fr-FR"/>
        </w:rPr>
        <w:t>.</w:t>
      </w:r>
    </w:p>
    <w:p w14:paraId="44A19F57" w14:textId="539619EE" w:rsidR="008D207B" w:rsidRDefault="0096006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960063">
        <w:rPr>
          <w:rFonts w:eastAsia="Malgun Gothic"/>
          <w:bCs/>
          <w:lang w:val="fr-FR"/>
        </w:rPr>
        <w:t>La délégation de l</w:t>
      </w:r>
      <w:r w:rsidR="00923E72">
        <w:rPr>
          <w:rFonts w:eastAsia="Malgun Gothic"/>
          <w:bCs/>
          <w:lang w:val="fr-FR"/>
        </w:rPr>
        <w:t>’</w:t>
      </w:r>
      <w:r w:rsidRPr="00702497">
        <w:rPr>
          <w:rFonts w:eastAsia="Malgun Gothic"/>
          <w:b/>
          <w:lang w:val="fr-FR"/>
        </w:rPr>
        <w:t>Afghanistan</w:t>
      </w:r>
      <w:r w:rsidRPr="00960063">
        <w:rPr>
          <w:rFonts w:eastAsia="Malgun Gothic"/>
          <w:bCs/>
          <w:lang w:val="fr-FR"/>
        </w:rPr>
        <w:t xml:space="preserve"> s</w:t>
      </w:r>
      <w:r w:rsidR="00923E72">
        <w:rPr>
          <w:rFonts w:eastAsia="Malgun Gothic"/>
          <w:bCs/>
          <w:lang w:val="fr-FR"/>
        </w:rPr>
        <w:t>’</w:t>
      </w:r>
      <w:r w:rsidRPr="00960063">
        <w:rPr>
          <w:rFonts w:eastAsia="Malgun Gothic"/>
          <w:bCs/>
          <w:lang w:val="fr-FR"/>
        </w:rPr>
        <w:t>est exprimée au nom de toutes les villes d</w:t>
      </w:r>
      <w:r w:rsidR="00923E72">
        <w:rPr>
          <w:rFonts w:eastAsia="Malgun Gothic"/>
          <w:bCs/>
          <w:lang w:val="fr-FR"/>
        </w:rPr>
        <w:t>’</w:t>
      </w:r>
      <w:r w:rsidRPr="00960063">
        <w:rPr>
          <w:rFonts w:eastAsia="Malgun Gothic"/>
          <w:bCs/>
          <w:lang w:val="fr-FR"/>
        </w:rPr>
        <w:t>Afghanistan pour remercier sincèrement le Comité, le Secrétariat et l</w:t>
      </w:r>
      <w:r w:rsidR="00923E72">
        <w:rPr>
          <w:rFonts w:eastAsia="Malgun Gothic"/>
          <w:bCs/>
          <w:lang w:val="fr-FR"/>
        </w:rPr>
        <w:t>’</w:t>
      </w:r>
      <w:r w:rsidRPr="00960063">
        <w:rPr>
          <w:rFonts w:eastAsia="Malgun Gothic"/>
          <w:bCs/>
          <w:lang w:val="fr-FR"/>
        </w:rPr>
        <w:t>Organe d</w:t>
      </w:r>
      <w:r w:rsidR="00923E72">
        <w:rPr>
          <w:rFonts w:eastAsia="Malgun Gothic"/>
          <w:bCs/>
          <w:lang w:val="fr-FR"/>
        </w:rPr>
        <w:t>’</w:t>
      </w:r>
      <w:r w:rsidRPr="00960063">
        <w:rPr>
          <w:rFonts w:eastAsia="Malgun Gothic"/>
          <w:bCs/>
          <w:lang w:val="fr-FR"/>
        </w:rPr>
        <w:t>évaluation d</w:t>
      </w:r>
      <w:r w:rsidR="00923E72">
        <w:rPr>
          <w:rFonts w:eastAsia="Malgun Gothic"/>
          <w:bCs/>
          <w:lang w:val="fr-FR"/>
        </w:rPr>
        <w:t>’</w:t>
      </w:r>
      <w:r w:rsidRPr="00960063">
        <w:rPr>
          <w:rFonts w:eastAsia="Malgun Gothic"/>
          <w:bCs/>
          <w:lang w:val="fr-FR"/>
        </w:rPr>
        <w:t>avoir rendu possible l</w:t>
      </w:r>
      <w:r w:rsidR="00923E72">
        <w:rPr>
          <w:rFonts w:eastAsia="Malgun Gothic"/>
          <w:bCs/>
          <w:lang w:val="fr-FR"/>
        </w:rPr>
        <w:t>’</w:t>
      </w:r>
      <w:r w:rsidRPr="00960063">
        <w:rPr>
          <w:rFonts w:eastAsia="Malgun Gothic"/>
          <w:bCs/>
          <w:lang w:val="fr-FR"/>
        </w:rPr>
        <w:t xml:space="preserve">inscription dans les circonstances inédites et particulières que connaissait </w:t>
      </w:r>
      <w:r>
        <w:rPr>
          <w:rFonts w:eastAsia="Malgun Gothic"/>
          <w:bCs/>
          <w:lang w:val="fr-FR"/>
        </w:rPr>
        <w:t xml:space="preserve">alors </w:t>
      </w:r>
      <w:r w:rsidRPr="00960063">
        <w:rPr>
          <w:rFonts w:eastAsia="Malgun Gothic"/>
          <w:bCs/>
          <w:lang w:val="fr-FR"/>
        </w:rPr>
        <w:t>l</w:t>
      </w:r>
      <w:r w:rsidR="00923E72">
        <w:rPr>
          <w:rFonts w:eastAsia="Malgun Gothic"/>
          <w:bCs/>
          <w:lang w:val="fr-FR"/>
        </w:rPr>
        <w:t>’</w:t>
      </w:r>
      <w:r w:rsidRPr="00960063">
        <w:rPr>
          <w:rFonts w:eastAsia="Malgun Gothic"/>
          <w:bCs/>
          <w:lang w:val="fr-FR"/>
        </w:rPr>
        <w:t xml:space="preserve">Afghanistan. </w:t>
      </w:r>
      <w:r>
        <w:rPr>
          <w:rFonts w:eastAsia="Malgun Gothic"/>
          <w:bCs/>
          <w:lang w:val="fr-FR"/>
        </w:rPr>
        <w:t>Elle a rappelé que l</w:t>
      </w:r>
      <w:r w:rsidRPr="00960063">
        <w:rPr>
          <w:rFonts w:eastAsia="Malgun Gothic"/>
          <w:bCs/>
          <w:lang w:val="fr-FR"/>
        </w:rPr>
        <w:t xml:space="preserve">es cris profonds du peuple </w:t>
      </w:r>
      <w:r>
        <w:rPr>
          <w:rFonts w:eastAsia="Malgun Gothic"/>
          <w:bCs/>
          <w:lang w:val="fr-FR"/>
        </w:rPr>
        <w:t xml:space="preserve">sont </w:t>
      </w:r>
      <w:r w:rsidRPr="00960063">
        <w:rPr>
          <w:rFonts w:eastAsia="Malgun Gothic"/>
          <w:bCs/>
          <w:lang w:val="fr-FR"/>
        </w:rPr>
        <w:t>liés, entre autres, à la terreur, à la misère</w:t>
      </w:r>
      <w:r w:rsidR="005050EC">
        <w:rPr>
          <w:rFonts w:eastAsia="Malgun Gothic"/>
          <w:bCs/>
          <w:lang w:val="fr-FR"/>
        </w:rPr>
        <w:t xml:space="preserve"> et </w:t>
      </w:r>
      <w:r w:rsidRPr="00960063">
        <w:rPr>
          <w:rFonts w:eastAsia="Malgun Gothic"/>
          <w:bCs/>
          <w:lang w:val="fr-FR"/>
        </w:rPr>
        <w:t>à la peur du monde qui dominent la vie quotidienne. L</w:t>
      </w:r>
      <w:r w:rsidR="00923E72">
        <w:rPr>
          <w:rFonts w:eastAsia="Malgun Gothic"/>
          <w:bCs/>
          <w:lang w:val="fr-FR"/>
        </w:rPr>
        <w:t>’</w:t>
      </w:r>
      <w:r w:rsidRPr="00960063">
        <w:rPr>
          <w:rFonts w:eastAsia="Malgun Gothic"/>
          <w:bCs/>
          <w:lang w:val="fr-FR"/>
        </w:rPr>
        <w:t xml:space="preserve">inscription de cet élément traditionnel et ancestral, </w:t>
      </w:r>
      <w:proofErr w:type="spellStart"/>
      <w:r w:rsidRPr="00960063">
        <w:rPr>
          <w:rFonts w:eastAsia="Malgun Gothic"/>
          <w:bCs/>
          <w:lang w:val="fr-FR"/>
        </w:rPr>
        <w:t>Yaldā</w:t>
      </w:r>
      <w:proofErr w:type="spellEnd"/>
      <w:r w:rsidRPr="00960063">
        <w:rPr>
          <w:rFonts w:eastAsia="Malgun Gothic"/>
          <w:bCs/>
          <w:lang w:val="fr-FR"/>
        </w:rPr>
        <w:t>/</w:t>
      </w:r>
      <w:proofErr w:type="spellStart"/>
      <w:r w:rsidRPr="00960063">
        <w:rPr>
          <w:rFonts w:eastAsia="Malgun Gothic"/>
          <w:bCs/>
          <w:lang w:val="fr-FR"/>
        </w:rPr>
        <w:t>Chella</w:t>
      </w:r>
      <w:proofErr w:type="spellEnd"/>
      <w:r w:rsidRPr="00960063">
        <w:rPr>
          <w:rFonts w:eastAsia="Malgun Gothic"/>
          <w:bCs/>
          <w:lang w:val="fr-FR"/>
        </w:rPr>
        <w:t>, en commun avec la République islamique d</w:t>
      </w:r>
      <w:r w:rsidR="00923E72">
        <w:rPr>
          <w:rFonts w:eastAsia="Malgun Gothic"/>
          <w:bCs/>
          <w:lang w:val="fr-FR"/>
        </w:rPr>
        <w:t>’</w:t>
      </w:r>
      <w:r w:rsidRPr="00960063">
        <w:rPr>
          <w:rFonts w:eastAsia="Malgun Gothic"/>
          <w:bCs/>
          <w:lang w:val="fr-FR"/>
        </w:rPr>
        <w:t>Iran, sur la Liste représentative représentait un rassemblement amical et pacifique où la poésie, les contes et la musique accompagnent la nuit la plus longue de l</w:t>
      </w:r>
      <w:r w:rsidR="00923E72">
        <w:rPr>
          <w:rFonts w:eastAsia="Malgun Gothic"/>
          <w:bCs/>
          <w:lang w:val="fr-FR"/>
        </w:rPr>
        <w:t>’</w:t>
      </w:r>
      <w:r w:rsidRPr="00960063">
        <w:rPr>
          <w:rFonts w:eastAsia="Malgun Gothic"/>
          <w:bCs/>
          <w:lang w:val="fr-FR"/>
        </w:rPr>
        <w:t>année autour de la table familiale. Symbole d</w:t>
      </w:r>
      <w:r w:rsidR="00923E72">
        <w:rPr>
          <w:rFonts w:eastAsia="Malgun Gothic"/>
          <w:bCs/>
          <w:lang w:val="fr-FR"/>
        </w:rPr>
        <w:t>’</w:t>
      </w:r>
      <w:r w:rsidRPr="00960063">
        <w:rPr>
          <w:rFonts w:eastAsia="Malgun Gothic"/>
          <w:bCs/>
          <w:lang w:val="fr-FR"/>
        </w:rPr>
        <w:t>un soutien fort aux nations qui vivent les jours les plus difficiles de leur histoire, cette célébration historique était un événement amical et pacifique</w:t>
      </w:r>
      <w:r w:rsidR="005050EC">
        <w:rPr>
          <w:rFonts w:eastAsia="Malgun Gothic"/>
          <w:bCs/>
          <w:lang w:val="fr-FR"/>
        </w:rPr>
        <w:t>,</w:t>
      </w:r>
      <w:r w:rsidRPr="00960063">
        <w:rPr>
          <w:rFonts w:eastAsia="Malgun Gothic"/>
          <w:bCs/>
          <w:lang w:val="fr-FR"/>
        </w:rPr>
        <w:t xml:space="preserve"> qui procurait du réconfort face aux conflits actuels et aux problèmes quotidiens. Au nom du peuple afghan, la délégation a remercié tous les pays qui s</w:t>
      </w:r>
      <w:r w:rsidR="00923E72">
        <w:rPr>
          <w:rFonts w:eastAsia="Malgun Gothic"/>
          <w:bCs/>
          <w:lang w:val="fr-FR"/>
        </w:rPr>
        <w:t>’</w:t>
      </w:r>
      <w:r w:rsidRPr="00960063">
        <w:rPr>
          <w:rFonts w:eastAsia="Malgun Gothic"/>
          <w:bCs/>
          <w:lang w:val="fr-FR"/>
        </w:rPr>
        <w:t>étaient portés coauteurs de l</w:t>
      </w:r>
      <w:r w:rsidR="00923E72">
        <w:rPr>
          <w:rFonts w:eastAsia="Malgun Gothic"/>
          <w:bCs/>
          <w:lang w:val="fr-FR"/>
        </w:rPr>
        <w:t>’</w:t>
      </w:r>
      <w:r w:rsidRPr="00960063">
        <w:rPr>
          <w:rFonts w:eastAsia="Malgun Gothic"/>
          <w:bCs/>
          <w:lang w:val="fr-FR"/>
        </w:rPr>
        <w:t>inscription ainsi que la République islamique d</w:t>
      </w:r>
      <w:r w:rsidR="00923E72">
        <w:rPr>
          <w:rFonts w:eastAsia="Malgun Gothic"/>
          <w:bCs/>
          <w:lang w:val="fr-FR"/>
        </w:rPr>
        <w:t>’</w:t>
      </w:r>
      <w:r w:rsidRPr="00960063">
        <w:rPr>
          <w:rFonts w:eastAsia="Malgun Gothic"/>
          <w:bCs/>
          <w:lang w:val="fr-FR"/>
        </w:rPr>
        <w:t xml:space="preserve">Iran. La délégation a </w:t>
      </w:r>
      <w:r w:rsidRPr="00960063">
        <w:rPr>
          <w:rFonts w:eastAsia="Malgun Gothic"/>
          <w:bCs/>
          <w:lang w:val="fr-FR"/>
        </w:rPr>
        <w:lastRenderedPageBreak/>
        <w:t>souhaité célébrer le bonheur de cette inscription en envoyant un message à son peuple qui souffre.</w:t>
      </w:r>
    </w:p>
    <w:p w14:paraId="5B53768B" w14:textId="2745A42B" w:rsidR="00960063" w:rsidRDefault="00960063"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960063">
        <w:rPr>
          <w:rFonts w:eastAsia="Malgun Gothic"/>
          <w:bCs/>
          <w:lang w:val="fr-FR"/>
        </w:rPr>
        <w:t xml:space="preserve">La délégation de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Iran</w:t>
      </w:r>
      <w:r w:rsidRPr="00960063">
        <w:rPr>
          <w:rFonts w:eastAsia="Malgun Gothic"/>
          <w:bCs/>
          <w:lang w:val="fr-FR"/>
        </w:rPr>
        <w:t xml:space="preserve"> a exprimé sa gratitude au Maroc pour s</w:t>
      </w:r>
      <w:r w:rsidR="00A201E1">
        <w:rPr>
          <w:rFonts w:eastAsia="Malgun Gothic"/>
          <w:bCs/>
          <w:lang w:val="fr-FR"/>
        </w:rPr>
        <w:t>a chaleureuse</w:t>
      </w:r>
      <w:r w:rsidRPr="00960063">
        <w:rPr>
          <w:rFonts w:eastAsia="Malgun Gothic"/>
          <w:bCs/>
          <w:lang w:val="fr-FR"/>
        </w:rPr>
        <w:t xml:space="preserve"> hospitalité et a félicité le Président pour sa conduite avisée de cette session. Elle a remercié le Secrétariat et l</w:t>
      </w:r>
      <w:r w:rsidR="00923E72">
        <w:rPr>
          <w:rFonts w:eastAsia="Malgun Gothic"/>
          <w:bCs/>
          <w:lang w:val="fr-FR"/>
        </w:rPr>
        <w:t>’</w:t>
      </w:r>
      <w:r w:rsidRPr="00960063">
        <w:rPr>
          <w:rFonts w:eastAsia="Malgun Gothic"/>
          <w:bCs/>
          <w:lang w:val="fr-FR"/>
        </w:rPr>
        <w:t>Organe d</w:t>
      </w:r>
      <w:r w:rsidR="00923E72">
        <w:rPr>
          <w:rFonts w:eastAsia="Malgun Gothic"/>
          <w:bCs/>
          <w:lang w:val="fr-FR"/>
        </w:rPr>
        <w:t>’</w:t>
      </w:r>
      <w:r w:rsidRPr="00960063">
        <w:rPr>
          <w:rFonts w:eastAsia="Malgun Gothic"/>
          <w:bCs/>
          <w:lang w:val="fr-FR"/>
        </w:rPr>
        <w:t>évaluation pour tous leurs efforts. Cette session était d</w:t>
      </w:r>
      <w:r w:rsidR="00923E72">
        <w:rPr>
          <w:rFonts w:eastAsia="Malgun Gothic"/>
          <w:bCs/>
          <w:lang w:val="fr-FR"/>
        </w:rPr>
        <w:t>’</w:t>
      </w:r>
      <w:r w:rsidRPr="00960063">
        <w:rPr>
          <w:rFonts w:eastAsia="Malgun Gothic"/>
          <w:bCs/>
          <w:lang w:val="fr-FR"/>
        </w:rPr>
        <w:t xml:space="preserve">une grande valeur pour le monde sur le plan de la revitalisation du patrimoine culturel immatériel. La délégation était honorée que </w:t>
      </w:r>
      <w:proofErr w:type="spellStart"/>
      <w:r w:rsidRPr="00960063">
        <w:rPr>
          <w:rFonts w:eastAsia="Malgun Gothic"/>
          <w:bCs/>
          <w:lang w:val="fr-FR"/>
        </w:rPr>
        <w:t>Yaldā</w:t>
      </w:r>
      <w:proofErr w:type="spellEnd"/>
      <w:r w:rsidRPr="00960063">
        <w:rPr>
          <w:rFonts w:eastAsia="Malgun Gothic"/>
          <w:bCs/>
          <w:lang w:val="fr-FR"/>
        </w:rPr>
        <w:t>/</w:t>
      </w:r>
      <w:proofErr w:type="spellStart"/>
      <w:r w:rsidRPr="00960063">
        <w:rPr>
          <w:rFonts w:eastAsia="Malgun Gothic"/>
          <w:bCs/>
          <w:lang w:val="fr-FR"/>
        </w:rPr>
        <w:t>Chella</w:t>
      </w:r>
      <w:proofErr w:type="spellEnd"/>
      <w:r w:rsidRPr="00960063">
        <w:rPr>
          <w:rFonts w:eastAsia="Malgun Gothic"/>
          <w:bCs/>
          <w:lang w:val="fr-FR"/>
        </w:rPr>
        <w:t>, soumis conjointement par l</w:t>
      </w:r>
      <w:r w:rsidR="00923E72">
        <w:rPr>
          <w:rFonts w:eastAsia="Malgun Gothic"/>
          <w:bCs/>
          <w:lang w:val="fr-FR"/>
        </w:rPr>
        <w:t>’</w:t>
      </w:r>
      <w:r w:rsidRPr="00960063">
        <w:rPr>
          <w:rFonts w:eastAsia="Malgun Gothic"/>
          <w:bCs/>
          <w:lang w:val="fr-FR"/>
        </w:rPr>
        <w:t>Afghanistan et la République islamique d</w:t>
      </w:r>
      <w:r w:rsidR="00923E72">
        <w:rPr>
          <w:rFonts w:eastAsia="Malgun Gothic"/>
          <w:bCs/>
          <w:lang w:val="fr-FR"/>
        </w:rPr>
        <w:t>’</w:t>
      </w:r>
      <w:r w:rsidRPr="00960063">
        <w:rPr>
          <w:rFonts w:eastAsia="Malgun Gothic"/>
          <w:bCs/>
          <w:lang w:val="fr-FR"/>
        </w:rPr>
        <w:t>Iran, ait été approuvé par le Comité, et a rappelé que la célébration ancestrale du solstice d</w:t>
      </w:r>
      <w:r w:rsidR="00923E72">
        <w:rPr>
          <w:rFonts w:eastAsia="Malgun Gothic"/>
          <w:bCs/>
          <w:lang w:val="fr-FR"/>
        </w:rPr>
        <w:t>’</w:t>
      </w:r>
      <w:r w:rsidRPr="00960063">
        <w:rPr>
          <w:rFonts w:eastAsia="Malgun Gothic"/>
          <w:bCs/>
          <w:lang w:val="fr-FR"/>
        </w:rPr>
        <w:t>hiver revêt une grande importance pour les peuples d</w:t>
      </w:r>
      <w:r w:rsidR="00923E72">
        <w:rPr>
          <w:rFonts w:eastAsia="Malgun Gothic"/>
          <w:bCs/>
          <w:lang w:val="fr-FR"/>
        </w:rPr>
        <w:t>’</w:t>
      </w:r>
      <w:r w:rsidRPr="00960063">
        <w:rPr>
          <w:rFonts w:eastAsia="Malgun Gothic"/>
          <w:bCs/>
          <w:lang w:val="fr-FR"/>
        </w:rPr>
        <w:t>Afghanistan et d</w:t>
      </w:r>
      <w:r w:rsidR="00923E72">
        <w:rPr>
          <w:rFonts w:eastAsia="Malgun Gothic"/>
          <w:bCs/>
          <w:lang w:val="fr-FR"/>
        </w:rPr>
        <w:t>’</w:t>
      </w:r>
      <w:r w:rsidRPr="00960063">
        <w:rPr>
          <w:rFonts w:eastAsia="Malgun Gothic"/>
          <w:bCs/>
          <w:lang w:val="fr-FR"/>
        </w:rPr>
        <w:t>Iran et qu</w:t>
      </w:r>
      <w:r w:rsidR="00923E72">
        <w:rPr>
          <w:rFonts w:eastAsia="Malgun Gothic"/>
          <w:bCs/>
          <w:lang w:val="fr-FR"/>
        </w:rPr>
        <w:t>’</w:t>
      </w:r>
      <w:r w:rsidRPr="00960063">
        <w:rPr>
          <w:rFonts w:eastAsia="Malgun Gothic"/>
          <w:bCs/>
          <w:lang w:val="fr-FR"/>
        </w:rPr>
        <w:t>elle représente le patrimoine culturel immatériel commun de la région. La délégation a adressé ses remerciements les plus sincères au Bangladesh, auteur du projet d</w:t>
      </w:r>
      <w:r w:rsidR="00923E72">
        <w:rPr>
          <w:rFonts w:eastAsia="Malgun Gothic"/>
          <w:bCs/>
          <w:lang w:val="fr-FR"/>
        </w:rPr>
        <w:t>’</w:t>
      </w:r>
      <w:r w:rsidRPr="00960063">
        <w:rPr>
          <w:rFonts w:eastAsia="Malgun Gothic"/>
          <w:bCs/>
          <w:lang w:val="fr-FR"/>
        </w:rPr>
        <w:t>amendement, ainsi qu</w:t>
      </w:r>
      <w:r w:rsidR="00923E72">
        <w:rPr>
          <w:rFonts w:eastAsia="Malgun Gothic"/>
          <w:bCs/>
          <w:lang w:val="fr-FR"/>
        </w:rPr>
        <w:t>’</w:t>
      </w:r>
      <w:r w:rsidRPr="00960063">
        <w:rPr>
          <w:rFonts w:eastAsia="Malgun Gothic"/>
          <w:bCs/>
          <w:lang w:val="fr-FR"/>
        </w:rPr>
        <w:t>à tous les coauteurs et aux membres du Comité. Cette inscription aurait son propre rôle à jouer dans l</w:t>
      </w:r>
      <w:r w:rsidR="00923E72">
        <w:rPr>
          <w:rFonts w:eastAsia="Malgun Gothic"/>
          <w:bCs/>
          <w:lang w:val="fr-FR"/>
        </w:rPr>
        <w:t>’</w:t>
      </w:r>
      <w:r w:rsidRPr="00960063">
        <w:rPr>
          <w:rFonts w:eastAsia="Malgun Gothic"/>
          <w:bCs/>
          <w:lang w:val="fr-FR"/>
        </w:rPr>
        <w:t>action collective en faveur de la promotion de la culture sur la scène régionale et internationale et contribuerait ainsi à ouvrir la voie à une paix et à un développement durables dans la région et dans le monde entier.</w:t>
      </w:r>
    </w:p>
    <w:p w14:paraId="2CF918C1" w14:textId="042EDC3D" w:rsidR="00A201E1" w:rsidRDefault="00A201E1"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709"/>
        <w:rPr>
          <w:rFonts w:eastAsia="Malgun Gothic"/>
          <w:bCs/>
          <w:lang w:val="fr-FR"/>
        </w:rPr>
      </w:pPr>
      <w:r w:rsidRPr="00A201E1">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A201E1">
        <w:rPr>
          <w:rFonts w:eastAsia="Malgun Gothic"/>
          <w:bCs/>
          <w:lang w:val="fr-FR"/>
        </w:rPr>
        <w:t xml:space="preserve"> a présenté le dossier de candidature suivant, </w:t>
      </w:r>
      <w:r w:rsidRPr="00702497">
        <w:rPr>
          <w:rFonts w:eastAsia="Malgun Gothic"/>
          <w:b/>
          <w:lang w:val="fr-FR"/>
        </w:rPr>
        <w:t>Al</w:t>
      </w:r>
      <w:r w:rsidR="009D5E18" w:rsidRPr="00702497">
        <w:rPr>
          <w:rFonts w:eastAsia="Malgun Gothic"/>
          <w:b/>
          <w:lang w:val="fr-FR"/>
        </w:rPr>
        <w:noBreakHyphen/>
      </w:r>
      <w:r w:rsidRPr="00702497">
        <w:rPr>
          <w:rFonts w:eastAsia="Malgun Gothic"/>
          <w:b/>
          <w:lang w:val="fr-FR"/>
        </w:rPr>
        <w:t>Khanjar, compétences artisanales et pratiques sociales</w:t>
      </w:r>
      <w:r w:rsidRPr="00A201E1">
        <w:rPr>
          <w:rFonts w:eastAsia="Malgun Gothic"/>
          <w:bCs/>
          <w:lang w:val="fr-FR"/>
        </w:rPr>
        <w:t xml:space="preserve"> [projet de décision</w:t>
      </w:r>
      <w:r w:rsidR="00471896">
        <w:rPr>
          <w:rFonts w:eastAsia="Malgun Gothic"/>
          <w:bCs/>
          <w:lang w:val="fr-FR"/>
        </w:rPr>
        <w:t> </w:t>
      </w:r>
      <w:r w:rsidRPr="00A201E1">
        <w:rPr>
          <w:rFonts w:eastAsia="Malgun Gothic"/>
          <w:bCs/>
          <w:lang w:val="fr-FR"/>
        </w:rPr>
        <w:t xml:space="preserve">7.b.21], soumis par </w:t>
      </w:r>
      <w:r w:rsidRPr="00702497">
        <w:rPr>
          <w:rFonts w:eastAsia="Malgun Gothic"/>
          <w:b/>
          <w:lang w:val="fr-FR"/>
        </w:rPr>
        <w:t>Oman</w:t>
      </w:r>
      <w:r w:rsidRPr="00A201E1">
        <w:rPr>
          <w:rFonts w:eastAsia="Malgun Gothic"/>
          <w:bCs/>
          <w:lang w:val="fr-FR"/>
        </w:rPr>
        <w:t>, expliquant qu</w:t>
      </w:r>
      <w:r w:rsidR="00923E72">
        <w:rPr>
          <w:rFonts w:eastAsia="Malgun Gothic"/>
          <w:bCs/>
          <w:lang w:val="fr-FR"/>
        </w:rPr>
        <w:t>’</w:t>
      </w:r>
      <w:r w:rsidRPr="00A201E1">
        <w:rPr>
          <w:rFonts w:eastAsia="Malgun Gothic"/>
          <w:bCs/>
          <w:lang w:val="fr-FR"/>
        </w:rPr>
        <w:t>Al-Khanjar est un élément de la culture omanaise</w:t>
      </w:r>
      <w:r w:rsidR="009D5E18">
        <w:rPr>
          <w:rFonts w:eastAsia="Malgun Gothic"/>
          <w:bCs/>
          <w:lang w:val="fr-FR"/>
        </w:rPr>
        <w:t xml:space="preserve">, porté par les </w:t>
      </w:r>
      <w:r w:rsidRPr="00A201E1">
        <w:rPr>
          <w:rFonts w:eastAsia="Malgun Gothic"/>
          <w:bCs/>
          <w:lang w:val="fr-FR"/>
        </w:rPr>
        <w:t xml:space="preserve">hommes </w:t>
      </w:r>
      <w:r w:rsidR="009D5E18">
        <w:rPr>
          <w:rFonts w:eastAsia="Malgun Gothic"/>
          <w:bCs/>
          <w:lang w:val="fr-FR"/>
        </w:rPr>
        <w:t>d</w:t>
      </w:r>
      <w:r w:rsidR="00923E72">
        <w:rPr>
          <w:rFonts w:eastAsia="Malgun Gothic"/>
          <w:bCs/>
          <w:lang w:val="fr-FR"/>
        </w:rPr>
        <w:t>’</w:t>
      </w:r>
      <w:r w:rsidR="009D5E18">
        <w:rPr>
          <w:rFonts w:eastAsia="Malgun Gothic"/>
          <w:bCs/>
          <w:lang w:val="fr-FR"/>
        </w:rPr>
        <w:t>Oman</w:t>
      </w:r>
      <w:r w:rsidR="00D60830">
        <w:rPr>
          <w:rFonts w:eastAsia="Malgun Gothic"/>
          <w:bCs/>
          <w:lang w:val="fr-FR"/>
        </w:rPr>
        <w:t>,</w:t>
      </w:r>
      <w:r w:rsidR="009D5E18">
        <w:rPr>
          <w:rFonts w:eastAsia="Malgun Gothic"/>
          <w:bCs/>
          <w:lang w:val="fr-FR"/>
        </w:rPr>
        <w:t xml:space="preserve"> qui l</w:t>
      </w:r>
      <w:r w:rsidR="00923E72">
        <w:rPr>
          <w:rFonts w:eastAsia="Malgun Gothic"/>
          <w:bCs/>
          <w:lang w:val="fr-FR"/>
        </w:rPr>
        <w:t>’</w:t>
      </w:r>
      <w:r w:rsidR="009D5E18">
        <w:rPr>
          <w:rFonts w:eastAsia="Malgun Gothic"/>
          <w:bCs/>
          <w:lang w:val="fr-FR"/>
        </w:rPr>
        <w:t>enveloppent avec une ceinture ornée</w:t>
      </w:r>
      <w:r w:rsidRPr="00A201E1">
        <w:rPr>
          <w:rFonts w:eastAsia="Malgun Gothic"/>
          <w:bCs/>
          <w:lang w:val="fr-FR"/>
        </w:rPr>
        <w:t>, qu</w:t>
      </w:r>
      <w:r w:rsidR="00923E72">
        <w:rPr>
          <w:rFonts w:eastAsia="Malgun Gothic"/>
          <w:bCs/>
          <w:lang w:val="fr-FR"/>
        </w:rPr>
        <w:t>’</w:t>
      </w:r>
      <w:r w:rsidRPr="00A201E1">
        <w:rPr>
          <w:rFonts w:eastAsia="Malgun Gothic"/>
          <w:bCs/>
          <w:lang w:val="fr-FR"/>
        </w:rPr>
        <w:t>il est associé au savoir</w:t>
      </w:r>
      <w:r w:rsidR="00244308">
        <w:rPr>
          <w:rFonts w:eastAsia="Malgun Gothic"/>
          <w:bCs/>
          <w:lang w:val="fr-FR"/>
        </w:rPr>
        <w:noBreakHyphen/>
      </w:r>
      <w:r w:rsidRPr="00A201E1">
        <w:rPr>
          <w:rFonts w:eastAsia="Malgun Gothic"/>
          <w:bCs/>
          <w:lang w:val="fr-FR"/>
        </w:rPr>
        <w:t xml:space="preserve">faire artisanal de la </w:t>
      </w:r>
      <w:r w:rsidR="009D5E18">
        <w:rPr>
          <w:rFonts w:eastAsia="Malgun Gothic"/>
          <w:bCs/>
          <w:lang w:val="fr-FR"/>
        </w:rPr>
        <w:t xml:space="preserve">fabrication </w:t>
      </w:r>
      <w:r w:rsidRPr="00A201E1">
        <w:rPr>
          <w:rFonts w:eastAsia="Malgun Gothic"/>
          <w:bCs/>
          <w:lang w:val="fr-FR"/>
        </w:rPr>
        <w:t>et de l</w:t>
      </w:r>
      <w:r w:rsidR="00923E72">
        <w:rPr>
          <w:rFonts w:eastAsia="Malgun Gothic"/>
          <w:bCs/>
          <w:lang w:val="fr-FR"/>
        </w:rPr>
        <w:t>’</w:t>
      </w:r>
      <w:r w:rsidRPr="00A201E1">
        <w:rPr>
          <w:rFonts w:eastAsia="Malgun Gothic"/>
          <w:bCs/>
          <w:lang w:val="fr-FR"/>
        </w:rPr>
        <w:t xml:space="preserve">installation de </w:t>
      </w:r>
      <w:r w:rsidR="009D5E18">
        <w:rPr>
          <w:rFonts w:eastAsia="Malgun Gothic"/>
          <w:bCs/>
          <w:lang w:val="fr-FR"/>
        </w:rPr>
        <w:t xml:space="preserve">différentes </w:t>
      </w:r>
      <w:r w:rsidRPr="00A201E1">
        <w:rPr>
          <w:rFonts w:eastAsia="Malgun Gothic"/>
          <w:bCs/>
          <w:lang w:val="fr-FR"/>
        </w:rPr>
        <w:t xml:space="preserve">pièces et </w:t>
      </w:r>
      <w:r w:rsidR="009D5E18">
        <w:rPr>
          <w:rFonts w:eastAsia="Malgun Gothic"/>
          <w:bCs/>
          <w:lang w:val="fr-FR"/>
        </w:rPr>
        <w:t xml:space="preserve">de </w:t>
      </w:r>
      <w:r w:rsidRPr="00A201E1">
        <w:rPr>
          <w:rFonts w:eastAsia="Malgun Gothic"/>
          <w:bCs/>
          <w:lang w:val="fr-FR"/>
        </w:rPr>
        <w:t>matériaux tels que le bois, le cuir, le tissu et l</w:t>
      </w:r>
      <w:r w:rsidR="00923E72">
        <w:rPr>
          <w:rFonts w:eastAsia="Malgun Gothic"/>
          <w:bCs/>
          <w:lang w:val="fr-FR"/>
        </w:rPr>
        <w:t>’</w:t>
      </w:r>
      <w:r w:rsidRPr="00A201E1">
        <w:rPr>
          <w:rFonts w:eastAsia="Malgun Gothic"/>
          <w:bCs/>
          <w:lang w:val="fr-FR"/>
        </w:rPr>
        <w:t>argent</w:t>
      </w:r>
      <w:r w:rsidR="00471896">
        <w:rPr>
          <w:rFonts w:eastAsia="Malgun Gothic"/>
          <w:bCs/>
          <w:lang w:val="fr-FR"/>
        </w:rPr>
        <w:t>,</w:t>
      </w:r>
      <w:r w:rsidRPr="00A201E1">
        <w:rPr>
          <w:rFonts w:eastAsia="Malgun Gothic"/>
          <w:bCs/>
          <w:lang w:val="fr-FR"/>
        </w:rPr>
        <w:t xml:space="preserve"> et que l</w:t>
      </w:r>
      <w:r w:rsidR="00923E72">
        <w:rPr>
          <w:rFonts w:eastAsia="Malgun Gothic"/>
          <w:bCs/>
          <w:lang w:val="fr-FR"/>
        </w:rPr>
        <w:t>’</w:t>
      </w:r>
      <w:r w:rsidRPr="00A201E1">
        <w:rPr>
          <w:rFonts w:eastAsia="Malgun Gothic"/>
          <w:bCs/>
          <w:lang w:val="fr-FR"/>
        </w:rPr>
        <w:t xml:space="preserve">élément est </w:t>
      </w:r>
      <w:r w:rsidR="009D5E18">
        <w:rPr>
          <w:rFonts w:eastAsia="Malgun Gothic"/>
          <w:bCs/>
          <w:lang w:val="fr-FR"/>
        </w:rPr>
        <w:t>associé</w:t>
      </w:r>
      <w:r w:rsidRPr="00A201E1">
        <w:rPr>
          <w:rFonts w:eastAsia="Malgun Gothic"/>
          <w:bCs/>
          <w:lang w:val="fr-FR"/>
        </w:rPr>
        <w:t xml:space="preserve"> à de nombreu</w:t>
      </w:r>
      <w:r w:rsidR="00244308">
        <w:rPr>
          <w:rFonts w:eastAsia="Malgun Gothic"/>
          <w:bCs/>
          <w:lang w:val="fr-FR"/>
        </w:rPr>
        <w:t>ses</w:t>
      </w:r>
      <w:r w:rsidRPr="00A201E1">
        <w:rPr>
          <w:rFonts w:eastAsia="Malgun Gothic"/>
          <w:bCs/>
          <w:lang w:val="fr-FR"/>
        </w:rPr>
        <w:t xml:space="preserve"> </w:t>
      </w:r>
      <w:r w:rsidR="00244308">
        <w:rPr>
          <w:rFonts w:eastAsia="Malgun Gothic"/>
          <w:bCs/>
          <w:lang w:val="fr-FR"/>
        </w:rPr>
        <w:t>composantes</w:t>
      </w:r>
      <w:r w:rsidRPr="00A201E1">
        <w:rPr>
          <w:rFonts w:eastAsia="Malgun Gothic"/>
          <w:bCs/>
          <w:lang w:val="fr-FR"/>
        </w:rPr>
        <w:t xml:space="preserve"> et significations culturel</w:t>
      </w:r>
      <w:r w:rsidR="00244308">
        <w:rPr>
          <w:rFonts w:eastAsia="Malgun Gothic"/>
          <w:bCs/>
          <w:lang w:val="fr-FR"/>
        </w:rPr>
        <w:t>le</w:t>
      </w:r>
      <w:r w:rsidRPr="00A201E1">
        <w:rPr>
          <w:rFonts w:eastAsia="Malgun Gothic"/>
          <w:bCs/>
          <w:lang w:val="fr-FR"/>
        </w:rPr>
        <w:t>s et socia</w:t>
      </w:r>
      <w:r w:rsidR="00244308">
        <w:rPr>
          <w:rFonts w:eastAsia="Malgun Gothic"/>
          <w:bCs/>
          <w:lang w:val="fr-FR"/>
        </w:rPr>
        <w:t xml:space="preserve">les </w:t>
      </w:r>
      <w:r w:rsidRPr="00A201E1">
        <w:rPr>
          <w:rFonts w:eastAsia="Malgun Gothic"/>
          <w:bCs/>
          <w:lang w:val="fr-FR"/>
        </w:rPr>
        <w:t>à Oman, puisqu</w:t>
      </w:r>
      <w:r w:rsidR="00923E72">
        <w:rPr>
          <w:rFonts w:eastAsia="Malgun Gothic"/>
          <w:bCs/>
          <w:lang w:val="fr-FR"/>
        </w:rPr>
        <w:t>’</w:t>
      </w:r>
      <w:r w:rsidR="00244308">
        <w:rPr>
          <w:rFonts w:eastAsia="Malgun Gothic"/>
          <w:bCs/>
          <w:lang w:val="fr-FR"/>
        </w:rPr>
        <w:t>on le retrouve sur</w:t>
      </w:r>
      <w:r w:rsidRPr="00A201E1">
        <w:rPr>
          <w:rFonts w:eastAsia="Malgun Gothic"/>
          <w:bCs/>
          <w:lang w:val="fr-FR"/>
        </w:rPr>
        <w:t xml:space="preserve"> l</w:t>
      </w:r>
      <w:r w:rsidR="00923E72">
        <w:rPr>
          <w:rFonts w:eastAsia="Malgun Gothic"/>
          <w:bCs/>
          <w:lang w:val="fr-FR"/>
        </w:rPr>
        <w:t>’</w:t>
      </w:r>
      <w:r w:rsidRPr="00A201E1">
        <w:rPr>
          <w:rFonts w:eastAsia="Malgun Gothic"/>
          <w:bCs/>
          <w:lang w:val="fr-FR"/>
        </w:rPr>
        <w:t>emblème de l</w:t>
      </w:r>
      <w:r w:rsidR="00923E72">
        <w:rPr>
          <w:rFonts w:eastAsia="Malgun Gothic"/>
          <w:bCs/>
          <w:lang w:val="fr-FR"/>
        </w:rPr>
        <w:t>’</w:t>
      </w:r>
      <w:r w:rsidRPr="00A201E1">
        <w:rPr>
          <w:rFonts w:eastAsia="Malgun Gothic"/>
          <w:bCs/>
          <w:lang w:val="fr-FR"/>
        </w:rPr>
        <w:t>État</w:t>
      </w:r>
      <w:r w:rsidR="00244308">
        <w:rPr>
          <w:rFonts w:eastAsia="Malgun Gothic"/>
          <w:bCs/>
          <w:lang w:val="fr-FR"/>
        </w:rPr>
        <w:t xml:space="preserve"> et qu</w:t>
      </w:r>
      <w:r w:rsidR="00923E72">
        <w:rPr>
          <w:rFonts w:eastAsia="Malgun Gothic"/>
          <w:bCs/>
          <w:lang w:val="fr-FR"/>
        </w:rPr>
        <w:t>’</w:t>
      </w:r>
      <w:r w:rsidR="00244308">
        <w:rPr>
          <w:rFonts w:eastAsia="Malgun Gothic"/>
          <w:bCs/>
          <w:lang w:val="fr-FR"/>
        </w:rPr>
        <w:t xml:space="preserve">il est présent dans </w:t>
      </w:r>
      <w:r w:rsidRPr="00A201E1">
        <w:rPr>
          <w:rFonts w:eastAsia="Malgun Gothic"/>
          <w:bCs/>
          <w:lang w:val="fr-FR"/>
        </w:rPr>
        <w:t>de</w:t>
      </w:r>
      <w:r w:rsidR="00244308">
        <w:rPr>
          <w:rFonts w:eastAsia="Malgun Gothic"/>
          <w:bCs/>
          <w:lang w:val="fr-FR"/>
        </w:rPr>
        <w:t xml:space="preserve"> nombreuses</w:t>
      </w:r>
      <w:r w:rsidRPr="00A201E1">
        <w:rPr>
          <w:rFonts w:eastAsia="Malgun Gothic"/>
          <w:bCs/>
          <w:lang w:val="fr-FR"/>
        </w:rPr>
        <w:t xml:space="preserve"> coutumes et traditions. Après avoir entamé un processus de dialogue sur le critère</w:t>
      </w:r>
      <w:r w:rsidR="00471896">
        <w:rPr>
          <w:rFonts w:eastAsia="Malgun Gothic"/>
          <w:bCs/>
          <w:lang w:val="fr-FR"/>
        </w:rPr>
        <w:t> </w:t>
      </w:r>
      <w:r w:rsidRPr="00A201E1">
        <w:rPr>
          <w:rFonts w:eastAsia="Malgun Gothic"/>
          <w:bCs/>
          <w:lang w:val="fr-FR"/>
        </w:rPr>
        <w:t>R.3 relatif à la participation de la communauté à la planification et à la mise en œuvre des mesures de sauvegarde, l</w:t>
      </w:r>
      <w:r w:rsidR="00923E72">
        <w:rPr>
          <w:rFonts w:eastAsia="Malgun Gothic"/>
          <w:bCs/>
          <w:lang w:val="fr-FR"/>
        </w:rPr>
        <w:t>’</w:t>
      </w:r>
      <w:r w:rsidRPr="00A201E1">
        <w:rPr>
          <w:rFonts w:eastAsia="Malgun Gothic"/>
          <w:bCs/>
          <w:lang w:val="fr-FR"/>
        </w:rPr>
        <w:t>Organe d</w:t>
      </w:r>
      <w:r w:rsidR="00923E72">
        <w:rPr>
          <w:rFonts w:eastAsia="Malgun Gothic"/>
          <w:bCs/>
          <w:lang w:val="fr-FR"/>
        </w:rPr>
        <w:t>’</w:t>
      </w:r>
      <w:r w:rsidRPr="00A201E1">
        <w:rPr>
          <w:rFonts w:eastAsia="Malgun Gothic"/>
          <w:bCs/>
          <w:lang w:val="fr-FR"/>
        </w:rPr>
        <w:t>évaluation avait estimé que les cinq critères étaient satisfaits et recommandait l</w:t>
      </w:r>
      <w:r w:rsidR="00923E72">
        <w:rPr>
          <w:rFonts w:eastAsia="Malgun Gothic"/>
          <w:bCs/>
          <w:lang w:val="fr-FR"/>
        </w:rPr>
        <w:t>’</w:t>
      </w:r>
      <w:r w:rsidRPr="00A201E1">
        <w:rPr>
          <w:rFonts w:eastAsia="Malgun Gothic"/>
          <w:bCs/>
          <w:lang w:val="fr-FR"/>
        </w:rPr>
        <w:t>inscription de cet élément sur la Liste représentative.</w:t>
      </w:r>
    </w:p>
    <w:p w14:paraId="019C2400" w14:textId="6F22290A" w:rsidR="000660A9" w:rsidRDefault="000660A9"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471896">
        <w:rPr>
          <w:rFonts w:eastAsia="Malgun Gothic"/>
          <w:b/>
          <w:lang w:val="fr-FR"/>
        </w:rPr>
        <w:t> </w:t>
      </w:r>
      <w:r w:rsidR="00751FB1">
        <w:fldChar w:fldCharType="begin"/>
      </w:r>
      <w:r w:rsidR="00751FB1" w:rsidRPr="00751FB1">
        <w:rPr>
          <w:lang w:val="fr-FR"/>
        </w:rPr>
        <w:instrText>HYPERLINK "https://ich.unesco.org/fr/Decisions/17.COM/7.b.21"</w:instrText>
      </w:r>
      <w:r w:rsidR="00751FB1">
        <w:fldChar w:fldCharType="separate"/>
      </w:r>
      <w:r w:rsidRPr="006E3034">
        <w:rPr>
          <w:rStyle w:val="Hyperlink"/>
          <w:b/>
          <w:bCs/>
          <w:lang w:val="fr-FR"/>
        </w:rPr>
        <w:t>17.COM 7.b.21</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7C2168">
        <w:rPr>
          <w:rFonts w:eastAsia="Malgun Gothic"/>
          <w:b/>
          <w:lang w:val="fr-FR"/>
        </w:rPr>
        <w:t>Al</w:t>
      </w:r>
      <w:r w:rsidRPr="007C2168">
        <w:rPr>
          <w:rFonts w:eastAsia="Malgun Gothic"/>
          <w:b/>
          <w:lang w:val="fr-FR"/>
        </w:rPr>
        <w:noBreakHyphen/>
        <w:t>Khanjar, compétences artisanales et pratiques sociales</w:t>
      </w:r>
      <w:r w:rsidRPr="00A201E1">
        <w:rPr>
          <w:rFonts w:eastAsia="Malgun Gothic"/>
          <w:bCs/>
          <w:lang w:val="fr-FR"/>
        </w:rPr>
        <w:t xml:space="preserve"> </w:t>
      </w:r>
      <w:r>
        <w:rPr>
          <w:rFonts w:eastAsia="Malgun Gothic"/>
          <w:b/>
          <w:lang w:val="fr-FR"/>
        </w:rPr>
        <w:t>sur la Liste représentative</w:t>
      </w:r>
      <w:r>
        <w:rPr>
          <w:rFonts w:eastAsia="Malgun Gothic"/>
          <w:bCs/>
          <w:lang w:val="fr-FR"/>
        </w:rPr>
        <w:t>.</w:t>
      </w:r>
    </w:p>
    <w:p w14:paraId="0236AAE0" w14:textId="7BB209D6" w:rsidR="00244308" w:rsidRDefault="00F73FE2"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sidRPr="00F73FE2">
        <w:rPr>
          <w:rFonts w:eastAsia="Malgun Gothic"/>
          <w:bCs/>
          <w:lang w:val="fr-FR"/>
        </w:rPr>
        <w:t>La délégation d</w:t>
      </w:r>
      <w:r w:rsidR="00923E72">
        <w:rPr>
          <w:rFonts w:eastAsia="Malgun Gothic"/>
          <w:bCs/>
          <w:lang w:val="fr-FR"/>
        </w:rPr>
        <w:t>’</w:t>
      </w:r>
      <w:r w:rsidRPr="00702497">
        <w:rPr>
          <w:rFonts w:eastAsia="Malgun Gothic"/>
          <w:b/>
          <w:lang w:val="fr-FR"/>
        </w:rPr>
        <w:t>Oman</w:t>
      </w:r>
      <w:r w:rsidRPr="00F73FE2">
        <w:rPr>
          <w:rFonts w:eastAsia="Malgun Gothic"/>
          <w:bCs/>
          <w:lang w:val="fr-FR"/>
        </w:rPr>
        <w:t xml:space="preserve"> a remercié le Président et le Maroc pour leur générosité et l</w:t>
      </w:r>
      <w:r w:rsidR="00923E72">
        <w:rPr>
          <w:rFonts w:eastAsia="Malgun Gothic"/>
          <w:bCs/>
          <w:lang w:val="fr-FR"/>
        </w:rPr>
        <w:t>’</w:t>
      </w:r>
      <w:r w:rsidRPr="00F73FE2">
        <w:rPr>
          <w:rFonts w:eastAsia="Malgun Gothic"/>
          <w:bCs/>
          <w:lang w:val="fr-FR"/>
        </w:rPr>
        <w:t>organisation réussie de cette dix</w:t>
      </w:r>
      <w:r>
        <w:rPr>
          <w:rFonts w:eastAsia="Malgun Gothic"/>
          <w:bCs/>
          <w:lang w:val="fr-FR"/>
        </w:rPr>
        <w:noBreakHyphen/>
      </w:r>
      <w:r w:rsidRPr="00F73FE2">
        <w:rPr>
          <w:rFonts w:eastAsia="Malgun Gothic"/>
          <w:bCs/>
          <w:lang w:val="fr-FR"/>
        </w:rPr>
        <w:t>septième session. Elle a remercié le Secrétariat et l</w:t>
      </w:r>
      <w:r w:rsidR="00923E72">
        <w:rPr>
          <w:rFonts w:eastAsia="Malgun Gothic"/>
          <w:bCs/>
          <w:lang w:val="fr-FR"/>
        </w:rPr>
        <w:t>’</w:t>
      </w:r>
      <w:r w:rsidRPr="00F73FE2">
        <w:rPr>
          <w:rFonts w:eastAsia="Malgun Gothic"/>
          <w:bCs/>
          <w:lang w:val="fr-FR"/>
        </w:rPr>
        <w:t>Organe d</w:t>
      </w:r>
      <w:r w:rsidR="00923E72">
        <w:rPr>
          <w:rFonts w:eastAsia="Malgun Gothic"/>
          <w:bCs/>
          <w:lang w:val="fr-FR"/>
        </w:rPr>
        <w:t>’</w:t>
      </w:r>
      <w:r w:rsidRPr="00F73FE2">
        <w:rPr>
          <w:rFonts w:eastAsia="Malgun Gothic"/>
          <w:bCs/>
          <w:lang w:val="fr-FR"/>
        </w:rPr>
        <w:t>évaluation pour leur travail concret et cohérent. Le Sultanat d</w:t>
      </w:r>
      <w:r w:rsidR="00923E72">
        <w:rPr>
          <w:rFonts w:eastAsia="Malgun Gothic"/>
          <w:bCs/>
          <w:lang w:val="fr-FR"/>
        </w:rPr>
        <w:t>’</w:t>
      </w:r>
      <w:r w:rsidRPr="00F73FE2">
        <w:rPr>
          <w:rFonts w:eastAsia="Malgun Gothic"/>
          <w:bCs/>
          <w:lang w:val="fr-FR"/>
        </w:rPr>
        <w:t>Oman</w:t>
      </w:r>
      <w:r>
        <w:rPr>
          <w:rFonts w:eastAsia="Malgun Gothic"/>
          <w:bCs/>
          <w:lang w:val="fr-FR"/>
        </w:rPr>
        <w:t xml:space="preserve">, qui </w:t>
      </w:r>
      <w:r w:rsidRPr="00F73FE2">
        <w:rPr>
          <w:rFonts w:eastAsia="Malgun Gothic"/>
          <w:bCs/>
          <w:lang w:val="fr-FR"/>
        </w:rPr>
        <w:t>s</w:t>
      </w:r>
      <w:r>
        <w:rPr>
          <w:rFonts w:eastAsia="Malgun Gothic"/>
          <w:bCs/>
          <w:lang w:val="fr-FR"/>
        </w:rPr>
        <w:t xml:space="preserve">e </w:t>
      </w:r>
      <w:r w:rsidRPr="00F73FE2">
        <w:rPr>
          <w:rFonts w:eastAsia="Malgun Gothic"/>
          <w:bCs/>
          <w:lang w:val="fr-FR"/>
        </w:rPr>
        <w:t>réjoui</w:t>
      </w:r>
      <w:r>
        <w:rPr>
          <w:rFonts w:eastAsia="Malgun Gothic"/>
          <w:bCs/>
          <w:lang w:val="fr-FR"/>
        </w:rPr>
        <w:t>ssait</w:t>
      </w:r>
      <w:r w:rsidRPr="00F73FE2">
        <w:rPr>
          <w:rFonts w:eastAsia="Malgun Gothic"/>
          <w:bCs/>
          <w:lang w:val="fr-FR"/>
        </w:rPr>
        <w:t xml:space="preserve"> de cette candidature et de l</w:t>
      </w:r>
      <w:r w:rsidR="00923E72">
        <w:rPr>
          <w:rFonts w:eastAsia="Malgun Gothic"/>
          <w:bCs/>
          <w:lang w:val="fr-FR"/>
        </w:rPr>
        <w:t>’</w:t>
      </w:r>
      <w:r w:rsidRPr="00F73FE2">
        <w:rPr>
          <w:rFonts w:eastAsia="Malgun Gothic"/>
          <w:bCs/>
          <w:lang w:val="fr-FR"/>
        </w:rPr>
        <w:t>inscription d</w:t>
      </w:r>
      <w:r w:rsidR="00923E72">
        <w:rPr>
          <w:rFonts w:eastAsia="Malgun Gothic"/>
          <w:bCs/>
          <w:lang w:val="fr-FR"/>
        </w:rPr>
        <w:t>’</w:t>
      </w:r>
      <w:r w:rsidRPr="00F73FE2">
        <w:rPr>
          <w:rFonts w:eastAsia="Malgun Gothic"/>
          <w:bCs/>
          <w:lang w:val="fr-FR"/>
        </w:rPr>
        <w:t>Al-Khanjar en tant que patrimoine vivant</w:t>
      </w:r>
      <w:r>
        <w:rPr>
          <w:rFonts w:eastAsia="Malgun Gothic"/>
          <w:bCs/>
          <w:lang w:val="fr-FR"/>
        </w:rPr>
        <w:t>, a</w:t>
      </w:r>
      <w:r w:rsidRPr="00F73FE2">
        <w:rPr>
          <w:rFonts w:eastAsia="Malgun Gothic"/>
          <w:bCs/>
          <w:lang w:val="fr-FR"/>
        </w:rPr>
        <w:t xml:space="preserve"> précis</w:t>
      </w:r>
      <w:r>
        <w:rPr>
          <w:rFonts w:eastAsia="Malgun Gothic"/>
          <w:bCs/>
          <w:lang w:val="fr-FR"/>
        </w:rPr>
        <w:t>é</w:t>
      </w:r>
      <w:r w:rsidRPr="00F73FE2">
        <w:rPr>
          <w:rFonts w:eastAsia="Malgun Gothic"/>
          <w:bCs/>
          <w:lang w:val="fr-FR"/>
        </w:rPr>
        <w:t xml:space="preserve"> qu</w:t>
      </w:r>
      <w:r w:rsidR="00923E72">
        <w:rPr>
          <w:rFonts w:eastAsia="Malgun Gothic"/>
          <w:bCs/>
          <w:lang w:val="fr-FR"/>
        </w:rPr>
        <w:t>’</w:t>
      </w:r>
      <w:r w:rsidRPr="00F73FE2">
        <w:rPr>
          <w:rFonts w:eastAsia="Malgun Gothic"/>
          <w:bCs/>
          <w:lang w:val="fr-FR"/>
        </w:rPr>
        <w:t>Al-Khanjar est un élément important de nombreuses pratiques sociales, de l</w:t>
      </w:r>
      <w:r w:rsidR="00923E72">
        <w:rPr>
          <w:rFonts w:eastAsia="Malgun Gothic"/>
          <w:bCs/>
          <w:lang w:val="fr-FR"/>
        </w:rPr>
        <w:t>’</w:t>
      </w:r>
      <w:r w:rsidRPr="00F73FE2">
        <w:rPr>
          <w:rFonts w:eastAsia="Malgun Gothic"/>
          <w:bCs/>
          <w:lang w:val="fr-FR"/>
        </w:rPr>
        <w:t>artisanat et des compétences pour la plupart des communautés et des personnes d</w:t>
      </w:r>
      <w:r w:rsidR="00923E72">
        <w:rPr>
          <w:rFonts w:eastAsia="Malgun Gothic"/>
          <w:bCs/>
          <w:lang w:val="fr-FR"/>
        </w:rPr>
        <w:t>’</w:t>
      </w:r>
      <w:r w:rsidRPr="00F73FE2">
        <w:rPr>
          <w:rFonts w:eastAsia="Malgun Gothic"/>
          <w:bCs/>
          <w:lang w:val="fr-FR"/>
        </w:rPr>
        <w:t>Oman,</w:t>
      </w:r>
      <w:r>
        <w:rPr>
          <w:rFonts w:eastAsia="Malgun Gothic"/>
          <w:bCs/>
          <w:lang w:val="fr-FR"/>
        </w:rPr>
        <w:t xml:space="preserve"> des </w:t>
      </w:r>
      <w:r w:rsidRPr="00F73FE2">
        <w:rPr>
          <w:rFonts w:eastAsia="Malgun Gothic"/>
          <w:bCs/>
          <w:lang w:val="fr-FR"/>
        </w:rPr>
        <w:t>deux genres et de différentes générations. Le Sultanat d</w:t>
      </w:r>
      <w:r w:rsidR="00923E72">
        <w:rPr>
          <w:rFonts w:eastAsia="Malgun Gothic"/>
          <w:bCs/>
          <w:lang w:val="fr-FR"/>
        </w:rPr>
        <w:t>’</w:t>
      </w:r>
      <w:r w:rsidRPr="00F73FE2">
        <w:rPr>
          <w:rFonts w:eastAsia="Malgun Gothic"/>
          <w:bCs/>
          <w:lang w:val="fr-FR"/>
        </w:rPr>
        <w:t>Oman était ravi de célébrer l</w:t>
      </w:r>
      <w:r w:rsidR="00923E72">
        <w:rPr>
          <w:rFonts w:eastAsia="Malgun Gothic"/>
          <w:bCs/>
          <w:lang w:val="fr-FR"/>
        </w:rPr>
        <w:t>’</w:t>
      </w:r>
      <w:r w:rsidRPr="00F73FE2">
        <w:rPr>
          <w:rFonts w:eastAsia="Malgun Gothic"/>
          <w:bCs/>
          <w:lang w:val="fr-FR"/>
        </w:rPr>
        <w:t>inscription d</w:t>
      </w:r>
      <w:r w:rsidR="00923E72">
        <w:rPr>
          <w:rFonts w:eastAsia="Malgun Gothic"/>
          <w:bCs/>
          <w:lang w:val="fr-FR"/>
        </w:rPr>
        <w:t>’</w:t>
      </w:r>
      <w:r w:rsidRPr="00F73FE2">
        <w:rPr>
          <w:rFonts w:eastAsia="Malgun Gothic"/>
          <w:bCs/>
          <w:lang w:val="fr-FR"/>
        </w:rPr>
        <w:t xml:space="preserve">Al-Khanjar sur la Liste représentative, </w:t>
      </w:r>
      <w:r>
        <w:rPr>
          <w:rFonts w:eastAsia="Malgun Gothic"/>
          <w:bCs/>
          <w:lang w:val="fr-FR"/>
        </w:rPr>
        <w:t xml:space="preserve">son </w:t>
      </w:r>
      <w:r w:rsidRPr="00F73FE2">
        <w:rPr>
          <w:rFonts w:eastAsia="Malgun Gothic"/>
          <w:bCs/>
          <w:lang w:val="fr-FR"/>
        </w:rPr>
        <w:t>quatrième élément. Oman comptait également neuf autres candidatures conjointes, ce qui reflétait le niveau de sensibilisation au patrimoine immatériel parmi les communautés et le Sultanat.</w:t>
      </w:r>
    </w:p>
    <w:p w14:paraId="5969F9D9" w14:textId="0835EF1E" w:rsidR="00F73FE2" w:rsidRDefault="00550049" w:rsidP="00702497">
      <w:pPr>
        <w:pStyle w:val="Orateurengris"/>
        <w:numPr>
          <w:ilvl w:val="0"/>
          <w:numId w:val="21"/>
        </w:numPr>
        <w:tabs>
          <w:tab w:val="clear" w:pos="567"/>
          <w:tab w:val="clear" w:pos="709"/>
          <w:tab w:val="clear" w:pos="1418"/>
          <w:tab w:val="clear" w:pos="2126"/>
          <w:tab w:val="clear" w:pos="2835"/>
          <w:tab w:val="num" w:pos="851"/>
          <w:tab w:val="left" w:pos="4962"/>
        </w:tabs>
        <w:spacing w:before="120" w:after="0"/>
        <w:ind w:left="851" w:hanging="851"/>
        <w:rPr>
          <w:rFonts w:eastAsia="Malgun Gothic"/>
          <w:bCs/>
          <w:lang w:val="fr-FR"/>
        </w:rPr>
      </w:pPr>
      <w:r>
        <w:rPr>
          <w:rFonts w:eastAsia="Malgun Gothic"/>
          <w:bCs/>
          <w:lang w:val="fr-FR"/>
        </w:rPr>
        <w:t xml:space="preserve">Après avoir </w:t>
      </w:r>
      <w:r w:rsidR="00F73FE2">
        <w:rPr>
          <w:rFonts w:eastAsia="Malgun Gothic"/>
          <w:bCs/>
          <w:lang w:val="fr-FR"/>
        </w:rPr>
        <w:t xml:space="preserve">félicité Oman et tous les États soumissionnaires pour leurs </w:t>
      </w:r>
      <w:r w:rsidR="00F73FE2" w:rsidRPr="00F73FE2">
        <w:rPr>
          <w:rFonts w:eastAsia="Malgun Gothic"/>
          <w:bCs/>
          <w:lang w:val="fr-FR"/>
        </w:rPr>
        <w:t>inscriptio</w:t>
      </w:r>
      <w:r w:rsidR="00F73FE2">
        <w:rPr>
          <w:rFonts w:eastAsia="Malgun Gothic"/>
          <w:bCs/>
          <w:lang w:val="fr-FR"/>
        </w:rPr>
        <w:t>ns</w:t>
      </w:r>
      <w:r>
        <w:rPr>
          <w:rFonts w:eastAsia="Malgun Gothic"/>
          <w:bCs/>
          <w:lang w:val="fr-FR"/>
        </w:rPr>
        <w:t xml:space="preserve">, le </w:t>
      </w:r>
      <w:r w:rsidRPr="00702497">
        <w:rPr>
          <w:rFonts w:eastAsia="Malgun Gothic"/>
          <w:b/>
          <w:lang w:val="fr-FR"/>
        </w:rPr>
        <w:t>Président</w:t>
      </w:r>
      <w:r w:rsidR="00F73FE2">
        <w:rPr>
          <w:rFonts w:eastAsia="Malgun Gothic"/>
          <w:bCs/>
          <w:lang w:val="fr-FR"/>
        </w:rPr>
        <w:t xml:space="preserve"> a levé la séance du jour.</w:t>
      </w:r>
    </w:p>
    <w:p w14:paraId="0FDA4E92" w14:textId="77777777" w:rsidR="00550049" w:rsidRDefault="00550049"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7BC5F96F" w14:textId="77777777" w:rsidR="00CA5A46" w:rsidRDefault="00CA5A46"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07EF07D2" w14:textId="77777777" w:rsidR="00CA5A46" w:rsidRDefault="00CA5A46"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44EFF4D2" w14:textId="77777777" w:rsidR="00CA5A46" w:rsidRDefault="00CA5A46"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0B1F156A" w14:textId="77777777" w:rsidR="00CA5A46" w:rsidRDefault="00CA5A46"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2AE61482" w14:textId="77777777" w:rsidR="00CA5A46" w:rsidRDefault="00CA5A46" w:rsidP="00702497">
      <w:pPr>
        <w:pStyle w:val="Orateurengris"/>
        <w:tabs>
          <w:tab w:val="clear" w:pos="709"/>
          <w:tab w:val="clear" w:pos="1418"/>
          <w:tab w:val="clear" w:pos="2126"/>
          <w:tab w:val="clear" w:pos="2835"/>
          <w:tab w:val="left" w:pos="4962"/>
        </w:tabs>
        <w:spacing w:before="120" w:after="0"/>
        <w:ind w:left="720"/>
        <w:rPr>
          <w:rFonts w:eastAsia="Malgun Gothic"/>
          <w:bCs/>
          <w:lang w:val="fr-FR"/>
        </w:rPr>
      </w:pPr>
    </w:p>
    <w:p w14:paraId="6D434D07" w14:textId="7AE779BA" w:rsidR="00550049" w:rsidRDefault="00550049" w:rsidP="00702497">
      <w:pPr>
        <w:pStyle w:val="Orateurengris"/>
        <w:tabs>
          <w:tab w:val="clear" w:pos="709"/>
          <w:tab w:val="clear" w:pos="1418"/>
          <w:tab w:val="clear" w:pos="2126"/>
          <w:tab w:val="clear" w:pos="2835"/>
          <w:tab w:val="left" w:pos="4962"/>
        </w:tabs>
        <w:spacing w:before="120" w:after="0"/>
        <w:ind w:left="567"/>
        <w:jc w:val="center"/>
        <w:rPr>
          <w:rFonts w:eastAsia="Malgun Gothic"/>
          <w:bCs/>
          <w:i/>
          <w:iCs/>
          <w:lang w:val="fr-FR"/>
        </w:rPr>
      </w:pPr>
      <w:r w:rsidRPr="007C2168">
        <w:rPr>
          <w:rFonts w:eastAsia="Malgun Gothic"/>
          <w:bCs/>
          <w:i/>
          <w:iCs/>
          <w:lang w:val="fr-FR"/>
        </w:rPr>
        <w:lastRenderedPageBreak/>
        <w:t>[</w:t>
      </w:r>
      <w:r>
        <w:rPr>
          <w:rFonts w:eastAsia="Malgun Gothic"/>
          <w:bCs/>
          <w:i/>
          <w:iCs/>
          <w:lang w:val="fr-FR"/>
        </w:rPr>
        <w:t>Jeudi</w:t>
      </w:r>
      <w:r w:rsidR="001A6B5D">
        <w:rPr>
          <w:rFonts w:eastAsia="Malgun Gothic"/>
          <w:bCs/>
          <w:i/>
          <w:iCs/>
          <w:lang w:val="fr-FR"/>
        </w:rPr>
        <w:t> </w:t>
      </w:r>
      <w:r>
        <w:rPr>
          <w:rFonts w:eastAsia="Malgun Gothic"/>
          <w:bCs/>
          <w:i/>
          <w:iCs/>
          <w:lang w:val="fr-FR"/>
        </w:rPr>
        <w:t>1</w:t>
      </w:r>
      <w:r w:rsidRPr="00702497">
        <w:rPr>
          <w:rFonts w:eastAsia="Malgun Gothic"/>
          <w:bCs/>
          <w:i/>
          <w:iCs/>
          <w:vertAlign w:val="superscript"/>
          <w:lang w:val="fr-FR"/>
        </w:rPr>
        <w:t>er</w:t>
      </w:r>
      <w:r w:rsidR="001A6B5D">
        <w:rPr>
          <w:rFonts w:eastAsia="Malgun Gothic"/>
          <w:bCs/>
          <w:i/>
          <w:iCs/>
          <w:lang w:val="fr-FR"/>
        </w:rPr>
        <w:t> </w:t>
      </w:r>
      <w:r>
        <w:rPr>
          <w:rFonts w:eastAsia="Malgun Gothic"/>
          <w:bCs/>
          <w:i/>
          <w:iCs/>
          <w:lang w:val="fr-FR"/>
        </w:rPr>
        <w:t>déc</w:t>
      </w:r>
      <w:r w:rsidRPr="007C2168">
        <w:rPr>
          <w:rFonts w:eastAsia="Malgun Gothic"/>
          <w:bCs/>
          <w:i/>
          <w:iCs/>
          <w:lang w:val="fr-FR"/>
        </w:rPr>
        <w:t>embre</w:t>
      </w:r>
      <w:r w:rsidR="001A6B5D">
        <w:rPr>
          <w:rFonts w:eastAsia="Malgun Gothic"/>
          <w:bCs/>
          <w:i/>
          <w:iCs/>
          <w:lang w:val="fr-FR"/>
        </w:rPr>
        <w:t> </w:t>
      </w:r>
      <w:r w:rsidRPr="007C2168">
        <w:rPr>
          <w:rFonts w:eastAsia="Malgun Gothic"/>
          <w:bCs/>
          <w:i/>
          <w:iCs/>
          <w:lang w:val="fr-FR"/>
        </w:rPr>
        <w:t>2022, séance d</w:t>
      </w:r>
      <w:r>
        <w:rPr>
          <w:rFonts w:eastAsia="Malgun Gothic"/>
          <w:bCs/>
          <w:i/>
          <w:iCs/>
          <w:lang w:val="fr-FR"/>
        </w:rPr>
        <w:t>u matin</w:t>
      </w:r>
      <w:r w:rsidRPr="007C2168">
        <w:rPr>
          <w:rFonts w:eastAsia="Malgun Gothic"/>
          <w:bCs/>
          <w:i/>
          <w:iCs/>
          <w:lang w:val="fr-FR"/>
        </w:rPr>
        <w:t>]</w:t>
      </w:r>
    </w:p>
    <w:p w14:paraId="49EEE886" w14:textId="77777777" w:rsidR="00550049" w:rsidRPr="007C2168" w:rsidRDefault="00550049" w:rsidP="00702497">
      <w:pPr>
        <w:pStyle w:val="Orateurengris"/>
        <w:tabs>
          <w:tab w:val="clear" w:pos="709"/>
          <w:tab w:val="clear" w:pos="1418"/>
          <w:tab w:val="clear" w:pos="2126"/>
          <w:tab w:val="clear" w:pos="2835"/>
          <w:tab w:val="left" w:pos="4962"/>
        </w:tabs>
        <w:spacing w:before="120" w:after="0"/>
        <w:ind w:left="567"/>
        <w:rPr>
          <w:rFonts w:eastAsia="Malgun Gothic"/>
          <w:bCs/>
          <w:i/>
          <w:iCs/>
          <w:lang w:val="fr-FR"/>
        </w:rPr>
      </w:pPr>
    </w:p>
    <w:p w14:paraId="6D5B3491" w14:textId="78305DAF" w:rsidR="00550049" w:rsidRPr="006E3034" w:rsidRDefault="00550049" w:rsidP="00702497">
      <w:pPr>
        <w:pStyle w:val="Orateurengris"/>
        <w:tabs>
          <w:tab w:val="clear" w:pos="709"/>
          <w:tab w:val="clear" w:pos="1418"/>
          <w:tab w:val="clear" w:pos="2126"/>
          <w:tab w:val="clear" w:pos="2835"/>
          <w:tab w:val="left" w:pos="4962"/>
        </w:tabs>
        <w:spacing w:before="120" w:after="0"/>
        <w:jc w:val="left"/>
        <w:rPr>
          <w:rFonts w:eastAsia="Malgun Gothic"/>
          <w:bCs/>
          <w:i/>
          <w:iCs/>
          <w:lang w:val="fr-FR"/>
        </w:rPr>
      </w:pPr>
      <w:r w:rsidRPr="007011DE">
        <w:rPr>
          <w:b/>
          <w:color w:val="000000" w:themeColor="text1"/>
          <w:u w:val="single"/>
          <w:lang w:val="fr-FR"/>
        </w:rPr>
        <w:t>POINT</w:t>
      </w:r>
      <w:r w:rsidR="0073323E">
        <w:rPr>
          <w:b/>
          <w:color w:val="000000" w:themeColor="text1"/>
          <w:u w:val="single"/>
          <w:lang w:val="fr-FR"/>
        </w:rPr>
        <w:t> </w:t>
      </w:r>
      <w:r w:rsidRPr="007011DE">
        <w:rPr>
          <w:b/>
          <w:color w:val="000000" w:themeColor="text1"/>
          <w:u w:val="single"/>
          <w:lang w:val="fr-FR"/>
        </w:rPr>
        <w:t>7.</w:t>
      </w:r>
      <w:r>
        <w:rPr>
          <w:b/>
          <w:color w:val="000000" w:themeColor="text1"/>
          <w:u w:val="single"/>
          <w:lang w:val="fr-FR"/>
        </w:rPr>
        <w:t>b</w:t>
      </w:r>
      <w:r w:rsidRPr="007011DE">
        <w:rPr>
          <w:b/>
          <w:color w:val="000000" w:themeColor="text1"/>
          <w:u w:val="single"/>
          <w:lang w:val="fr-FR"/>
        </w:rPr>
        <w:t xml:space="preserve"> DE L</w:t>
      </w:r>
      <w:r w:rsidR="00923E72">
        <w:rPr>
          <w:b/>
          <w:color w:val="000000" w:themeColor="text1"/>
          <w:u w:val="single"/>
          <w:lang w:val="fr-FR"/>
        </w:rPr>
        <w:t>’</w:t>
      </w:r>
      <w:r w:rsidRPr="007011DE">
        <w:rPr>
          <w:b/>
          <w:color w:val="000000" w:themeColor="text1"/>
          <w:u w:val="single"/>
          <w:lang w:val="fr-FR"/>
        </w:rPr>
        <w:t>ORDRE DU JOUR [SUITE]</w:t>
      </w:r>
      <w:r>
        <w:rPr>
          <w:b/>
          <w:color w:val="000000" w:themeColor="text1"/>
          <w:lang w:val="fr-FR"/>
        </w:rPr>
        <w:t> :</w:t>
      </w:r>
    </w:p>
    <w:p w14:paraId="5EFCA159" w14:textId="72870805" w:rsidR="00550049" w:rsidRPr="005F051B" w:rsidRDefault="00550049"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5F051B">
        <w:rPr>
          <w:rFonts w:eastAsiaTheme="minorHAnsi"/>
          <w:b/>
          <w:color w:val="000000" w:themeColor="text1"/>
        </w:rPr>
        <w:t>E</w:t>
      </w:r>
      <w:r>
        <w:rPr>
          <w:rFonts w:eastAsiaTheme="minorHAnsi"/>
          <w:b/>
          <w:color w:val="000000" w:themeColor="text1"/>
        </w:rPr>
        <w:t xml:space="preserve">XAMEN DES </w:t>
      </w:r>
      <w:r w:rsidRPr="005F051B">
        <w:rPr>
          <w:rFonts w:eastAsiaTheme="minorHAnsi"/>
          <w:b/>
          <w:color w:val="000000" w:themeColor="text1"/>
        </w:rPr>
        <w:t>CANDIDATUR</w:t>
      </w:r>
      <w:r>
        <w:rPr>
          <w:rFonts w:eastAsiaTheme="minorHAnsi"/>
          <w:b/>
          <w:color w:val="000000" w:themeColor="text1"/>
        </w:rPr>
        <w:t xml:space="preserve">ES POUR </w:t>
      </w:r>
      <w:r w:rsidRPr="005F051B">
        <w:rPr>
          <w:rFonts w:eastAsiaTheme="minorHAnsi"/>
          <w:b/>
          <w:color w:val="000000" w:themeColor="text1"/>
        </w:rPr>
        <w:t>INSCRIPTION</w:t>
      </w:r>
      <w:r>
        <w:rPr>
          <w:rFonts w:eastAsiaTheme="minorHAnsi"/>
          <w:b/>
          <w:color w:val="000000" w:themeColor="text1"/>
        </w:rPr>
        <w:t xml:space="preserve"> SUR LA LISTE REPRÉSENTATIVE DU PATRIMOINE CULTUREL IMMATÉRIEL DE L</w:t>
      </w:r>
      <w:r w:rsidR="00923E72">
        <w:rPr>
          <w:rFonts w:eastAsiaTheme="minorHAnsi"/>
          <w:b/>
          <w:color w:val="000000" w:themeColor="text1"/>
        </w:rPr>
        <w:t>’</w:t>
      </w:r>
      <w:r>
        <w:rPr>
          <w:rFonts w:eastAsiaTheme="minorHAnsi"/>
          <w:b/>
          <w:color w:val="000000" w:themeColor="text1"/>
        </w:rPr>
        <w:t>HUMANITÉ</w:t>
      </w:r>
    </w:p>
    <w:p w14:paraId="37951494" w14:textId="414B94FD" w:rsidR="00550049" w:rsidRDefault="0055004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de nouveau souhaité la bienvenue aux </w:t>
      </w:r>
      <w:r w:rsidRPr="00550049">
        <w:rPr>
          <w:rFonts w:eastAsia="Malgun Gothic"/>
          <w:bCs/>
          <w:lang w:val="fr-FR"/>
        </w:rPr>
        <w:t>délégatio</w:t>
      </w:r>
      <w:r>
        <w:rPr>
          <w:rFonts w:eastAsia="Malgun Gothic"/>
          <w:bCs/>
          <w:lang w:val="fr-FR"/>
        </w:rPr>
        <w:t>ns et a invité l</w:t>
      </w:r>
      <w:r w:rsidR="00923E72">
        <w:rPr>
          <w:rFonts w:eastAsia="Malgun Gothic"/>
          <w:bCs/>
          <w:lang w:val="fr-FR"/>
        </w:rPr>
        <w:t>’</w:t>
      </w:r>
      <w:r>
        <w:rPr>
          <w:rFonts w:eastAsia="Malgun Gothic"/>
          <w:bCs/>
          <w:lang w:val="fr-FR"/>
        </w:rPr>
        <w:t>ambassad</w:t>
      </w:r>
      <w:r w:rsidR="00063A4B">
        <w:rPr>
          <w:rFonts w:eastAsia="Malgun Gothic"/>
          <w:bCs/>
          <w:lang w:val="fr-FR"/>
        </w:rPr>
        <w:t>rice</w:t>
      </w:r>
      <w:r>
        <w:rPr>
          <w:rFonts w:eastAsia="Malgun Gothic"/>
          <w:bCs/>
          <w:lang w:val="fr-FR"/>
        </w:rPr>
        <w:t xml:space="preserve"> de France à faire une annonce.</w:t>
      </w:r>
    </w:p>
    <w:p w14:paraId="7C2AB84C" w14:textId="095AB123" w:rsidR="00550049" w:rsidRDefault="0055004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La </w:t>
      </w:r>
      <w:r w:rsidRPr="00550049">
        <w:rPr>
          <w:rFonts w:eastAsia="Malgun Gothic"/>
          <w:bCs/>
          <w:lang w:val="fr-FR"/>
        </w:rPr>
        <w:t>délégation</w:t>
      </w:r>
      <w:r>
        <w:rPr>
          <w:rFonts w:eastAsia="Malgun Gothic"/>
          <w:bCs/>
          <w:lang w:val="fr-FR"/>
        </w:rPr>
        <w:t xml:space="preserve"> de la </w:t>
      </w:r>
      <w:r w:rsidRPr="00702497">
        <w:rPr>
          <w:rFonts w:eastAsia="Malgun Gothic"/>
          <w:b/>
          <w:lang w:val="fr-FR"/>
        </w:rPr>
        <w:t>France</w:t>
      </w:r>
      <w:r>
        <w:rPr>
          <w:rFonts w:eastAsia="Malgun Gothic"/>
          <w:bCs/>
          <w:lang w:val="fr-FR"/>
        </w:rPr>
        <w:t xml:space="preserve"> a annoncé </w:t>
      </w:r>
      <w:r w:rsidR="009F3FAA">
        <w:rPr>
          <w:rFonts w:eastAsia="Malgun Gothic"/>
          <w:bCs/>
          <w:lang w:val="fr-FR"/>
        </w:rPr>
        <w:t>qu</w:t>
      </w:r>
      <w:r w:rsidR="00923E72">
        <w:rPr>
          <w:rFonts w:eastAsia="Malgun Gothic"/>
          <w:bCs/>
          <w:lang w:val="fr-FR"/>
        </w:rPr>
        <w:t>’</w:t>
      </w:r>
      <w:r w:rsidR="009F3FAA">
        <w:rPr>
          <w:rFonts w:eastAsia="Malgun Gothic"/>
          <w:bCs/>
          <w:lang w:val="fr-FR"/>
        </w:rPr>
        <w:t xml:space="preserve">une </w:t>
      </w:r>
      <w:r>
        <w:rPr>
          <w:rFonts w:eastAsia="Malgun Gothic"/>
          <w:bCs/>
          <w:lang w:val="fr-FR"/>
        </w:rPr>
        <w:t xml:space="preserve">boulangerie </w:t>
      </w:r>
      <w:r w:rsidR="009F3FAA">
        <w:rPr>
          <w:rFonts w:eastAsia="Malgun Gothic"/>
          <w:bCs/>
          <w:lang w:val="fr-FR"/>
        </w:rPr>
        <w:t>partenaire</w:t>
      </w:r>
      <w:r>
        <w:rPr>
          <w:rFonts w:eastAsia="Malgun Gothic"/>
          <w:bCs/>
          <w:lang w:val="fr-FR"/>
        </w:rPr>
        <w:t xml:space="preserve"> avait distribué une baguette à chacun</w:t>
      </w:r>
      <w:r w:rsidR="00D60830">
        <w:rPr>
          <w:rFonts w:eastAsia="Malgun Gothic"/>
          <w:bCs/>
          <w:lang w:val="fr-FR"/>
        </w:rPr>
        <w:t xml:space="preserve">, </w:t>
      </w:r>
      <w:r>
        <w:rPr>
          <w:rFonts w:eastAsia="Malgun Gothic"/>
          <w:bCs/>
          <w:lang w:val="fr-FR"/>
        </w:rPr>
        <w:t>félicitant les boulangers pour l</w:t>
      </w:r>
      <w:r w:rsidR="00923E72">
        <w:rPr>
          <w:rFonts w:eastAsia="Malgun Gothic"/>
          <w:bCs/>
          <w:lang w:val="fr-FR"/>
        </w:rPr>
        <w:t>’</w:t>
      </w:r>
      <w:r>
        <w:rPr>
          <w:rFonts w:eastAsia="Malgun Gothic"/>
          <w:bCs/>
          <w:lang w:val="fr-FR"/>
        </w:rPr>
        <w:t>inscription de la culture de la baguette.</w:t>
      </w:r>
    </w:p>
    <w:p w14:paraId="04B4B7E5" w14:textId="1B5AF6F5" w:rsidR="00550049" w:rsidRDefault="00063A4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63A4B">
        <w:rPr>
          <w:rFonts w:eastAsia="Malgun Gothic"/>
          <w:bCs/>
          <w:lang w:val="fr-FR"/>
        </w:rPr>
        <w:t xml:space="preserve">Le </w:t>
      </w:r>
      <w:r w:rsidRPr="00702497">
        <w:rPr>
          <w:rFonts w:eastAsia="Malgun Gothic"/>
          <w:b/>
          <w:lang w:val="fr-FR"/>
        </w:rPr>
        <w:t>Président</w:t>
      </w:r>
      <w:r w:rsidRPr="00063A4B">
        <w:rPr>
          <w:rFonts w:eastAsia="Malgun Gothic"/>
          <w:bCs/>
          <w:lang w:val="fr-FR"/>
        </w:rPr>
        <w:t xml:space="preserve"> a indiqué que plus de 1</w:t>
      </w:r>
      <w:r>
        <w:rPr>
          <w:rFonts w:eastAsia="Malgun Gothic"/>
          <w:bCs/>
          <w:lang w:val="fr-FR"/>
        </w:rPr>
        <w:t> </w:t>
      </w:r>
      <w:r w:rsidRPr="00063A4B">
        <w:rPr>
          <w:rFonts w:eastAsia="Malgun Gothic"/>
          <w:bCs/>
          <w:lang w:val="fr-FR"/>
        </w:rPr>
        <w:t>000 personnes s</w:t>
      </w:r>
      <w:r w:rsidR="00923E72">
        <w:rPr>
          <w:rFonts w:eastAsia="Malgun Gothic"/>
          <w:bCs/>
          <w:lang w:val="fr-FR"/>
        </w:rPr>
        <w:t>’</w:t>
      </w:r>
      <w:r w:rsidRPr="00063A4B">
        <w:rPr>
          <w:rFonts w:eastAsia="Malgun Gothic"/>
          <w:bCs/>
          <w:lang w:val="fr-FR"/>
        </w:rPr>
        <w:t>étaient inscrites pour participer à cette session, représentant 132 pays et témoignant de l</w:t>
      </w:r>
      <w:r w:rsidR="00923E72">
        <w:rPr>
          <w:rFonts w:eastAsia="Malgun Gothic"/>
          <w:bCs/>
          <w:lang w:val="fr-FR"/>
        </w:rPr>
        <w:t>’</w:t>
      </w:r>
      <w:r w:rsidRPr="00063A4B">
        <w:rPr>
          <w:rFonts w:eastAsia="Malgun Gothic"/>
          <w:bCs/>
          <w:lang w:val="fr-FR"/>
        </w:rPr>
        <w:t>intérêt mondial pour le patrimoine vivant. Il a noté les progrès réalisés quant au point</w:t>
      </w:r>
      <w:r w:rsidR="0073323E">
        <w:rPr>
          <w:rFonts w:eastAsia="Malgun Gothic"/>
          <w:bCs/>
          <w:lang w:val="fr-FR"/>
        </w:rPr>
        <w:t> </w:t>
      </w:r>
      <w:r w:rsidRPr="00063A4B">
        <w:rPr>
          <w:rFonts w:eastAsia="Malgun Gothic"/>
          <w:bCs/>
          <w:lang w:val="fr-FR"/>
        </w:rPr>
        <w:t>7.b de l</w:t>
      </w:r>
      <w:r w:rsidR="00923E72">
        <w:rPr>
          <w:rFonts w:eastAsia="Malgun Gothic"/>
          <w:bCs/>
          <w:lang w:val="fr-FR"/>
        </w:rPr>
        <w:t>’</w:t>
      </w:r>
      <w:r w:rsidRPr="00063A4B">
        <w:rPr>
          <w:rFonts w:eastAsia="Malgun Gothic"/>
          <w:bCs/>
          <w:lang w:val="fr-FR"/>
        </w:rPr>
        <w:t>ordre du jour et a félicité tous les États dont les éléments avaient été inscrits. C</w:t>
      </w:r>
      <w:r w:rsidR="00923E72">
        <w:rPr>
          <w:rFonts w:eastAsia="Malgun Gothic"/>
          <w:bCs/>
          <w:lang w:val="fr-FR"/>
        </w:rPr>
        <w:t>’</w:t>
      </w:r>
      <w:r w:rsidRPr="00063A4B">
        <w:rPr>
          <w:rFonts w:eastAsia="Malgun Gothic"/>
          <w:bCs/>
          <w:lang w:val="fr-FR"/>
        </w:rPr>
        <w:t>était merveilleux de voir les communautés et les détenteurs manifester leur joie dans cette salle. Le Président a informé le Comité que le Bureau avait révisé le calendrier des travaux du Comité dans l</w:t>
      </w:r>
      <w:r w:rsidR="00923E72">
        <w:rPr>
          <w:rFonts w:eastAsia="Malgun Gothic"/>
          <w:bCs/>
          <w:lang w:val="fr-FR"/>
        </w:rPr>
        <w:t>’</w:t>
      </w:r>
      <w:r w:rsidRPr="00063A4B">
        <w:rPr>
          <w:rFonts w:eastAsia="Malgun Gothic"/>
          <w:bCs/>
          <w:lang w:val="fr-FR"/>
        </w:rPr>
        <w:t>espoir d</w:t>
      </w:r>
      <w:r w:rsidR="00923E72">
        <w:rPr>
          <w:rFonts w:eastAsia="Malgun Gothic"/>
          <w:bCs/>
          <w:lang w:val="fr-FR"/>
        </w:rPr>
        <w:t>’</w:t>
      </w:r>
      <w:r w:rsidRPr="00063A4B">
        <w:rPr>
          <w:rFonts w:eastAsia="Malgun Gothic"/>
          <w:bCs/>
          <w:lang w:val="fr-FR"/>
        </w:rPr>
        <w:t>achever l</w:t>
      </w:r>
      <w:r w:rsidR="00923E72">
        <w:rPr>
          <w:rFonts w:eastAsia="Malgun Gothic"/>
          <w:bCs/>
          <w:lang w:val="fr-FR"/>
        </w:rPr>
        <w:t>’</w:t>
      </w:r>
      <w:r w:rsidRPr="00063A4B">
        <w:rPr>
          <w:rFonts w:eastAsia="Malgun Gothic"/>
          <w:bCs/>
          <w:lang w:val="fr-FR"/>
        </w:rPr>
        <w:t>examen de tous les points de l</w:t>
      </w:r>
      <w:r w:rsidR="00923E72">
        <w:rPr>
          <w:rFonts w:eastAsia="Malgun Gothic"/>
          <w:bCs/>
          <w:lang w:val="fr-FR"/>
        </w:rPr>
        <w:t>’</w:t>
      </w:r>
      <w:r w:rsidRPr="00063A4B">
        <w:rPr>
          <w:rFonts w:eastAsia="Malgun Gothic"/>
          <w:bCs/>
          <w:lang w:val="fr-FR"/>
        </w:rPr>
        <w:t>ordre du jour avant la clôture de la réunion. Il comptait donc sur le soutien du Comité pour limiter la durée de chaque intervention, tout en tenant compte des nombreuses demandes visant à faciliter la présence des membres de</w:t>
      </w:r>
      <w:r w:rsidR="00471896">
        <w:rPr>
          <w:rFonts w:eastAsia="Malgun Gothic"/>
          <w:bCs/>
          <w:lang w:val="fr-FR"/>
        </w:rPr>
        <w:t>s</w:t>
      </w:r>
      <w:r w:rsidRPr="00063A4B">
        <w:rPr>
          <w:rFonts w:eastAsia="Malgun Gothic"/>
          <w:bCs/>
          <w:lang w:val="fr-FR"/>
        </w:rPr>
        <w:t xml:space="preserve"> communauté</w:t>
      </w:r>
      <w:r w:rsidR="00471896">
        <w:rPr>
          <w:rFonts w:eastAsia="Malgun Gothic"/>
          <w:bCs/>
          <w:lang w:val="fr-FR"/>
        </w:rPr>
        <w:t>s</w:t>
      </w:r>
      <w:r w:rsidRPr="00063A4B">
        <w:rPr>
          <w:rFonts w:eastAsia="Malgun Gothic"/>
          <w:bCs/>
          <w:lang w:val="fr-FR"/>
        </w:rPr>
        <w:t xml:space="preserve"> et des détenteurs du patrimoine. </w:t>
      </w:r>
      <w:r>
        <w:rPr>
          <w:rFonts w:eastAsia="Malgun Gothic"/>
          <w:bCs/>
          <w:lang w:val="fr-FR"/>
        </w:rPr>
        <w:t>À</w:t>
      </w:r>
      <w:r w:rsidRPr="00063A4B">
        <w:rPr>
          <w:rFonts w:eastAsia="Malgun Gothic"/>
          <w:bCs/>
          <w:lang w:val="fr-FR"/>
        </w:rPr>
        <w:t xml:space="preserve"> cet égard, le Comité commencerait par l</w:t>
      </w:r>
      <w:r w:rsidR="00923E72">
        <w:rPr>
          <w:rFonts w:eastAsia="Malgun Gothic"/>
          <w:bCs/>
          <w:lang w:val="fr-FR"/>
        </w:rPr>
        <w:t>’</w:t>
      </w:r>
      <w:r w:rsidRPr="00063A4B">
        <w:rPr>
          <w:rFonts w:eastAsia="Malgun Gothic"/>
          <w:bCs/>
          <w:lang w:val="fr-FR"/>
        </w:rPr>
        <w:t xml:space="preserve">examen du dossier soumis par les </w:t>
      </w:r>
      <w:r>
        <w:rPr>
          <w:rFonts w:eastAsia="Malgun Gothic"/>
          <w:bCs/>
          <w:lang w:val="fr-FR"/>
        </w:rPr>
        <w:t>É</w:t>
      </w:r>
      <w:r w:rsidRPr="00063A4B">
        <w:rPr>
          <w:rFonts w:eastAsia="Malgun Gothic"/>
          <w:bCs/>
          <w:lang w:val="fr-FR"/>
        </w:rPr>
        <w:t>mirats Arabes Unis.</w:t>
      </w:r>
    </w:p>
    <w:p w14:paraId="46EA3AAE" w14:textId="42453727" w:rsidR="00063A4B" w:rsidRDefault="00063A4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63A4B">
        <w:rPr>
          <w:rFonts w:eastAsia="Malgun Gothic"/>
          <w:bCs/>
          <w:lang w:val="fr-FR"/>
        </w:rPr>
        <w:t xml:space="preserve">La </w:t>
      </w:r>
      <w:r w:rsidRPr="00702497">
        <w:rPr>
          <w:rFonts w:eastAsia="Malgun Gothic"/>
          <w:b/>
          <w:lang w:val="fr-FR"/>
        </w:rPr>
        <w:t>Vice-Présidente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063A4B">
        <w:rPr>
          <w:rFonts w:eastAsia="Malgun Gothic"/>
          <w:bCs/>
          <w:lang w:val="fr-FR"/>
        </w:rPr>
        <w:t xml:space="preserve"> a présenté le dossier de candidature suivant, </w:t>
      </w:r>
      <w:r w:rsidRPr="00702497">
        <w:rPr>
          <w:rFonts w:eastAsia="Malgun Gothic"/>
          <w:b/>
          <w:lang w:val="fr-FR"/>
        </w:rPr>
        <w:t xml:space="preserve">Al </w:t>
      </w:r>
      <w:proofErr w:type="spellStart"/>
      <w:r w:rsidRPr="00702497">
        <w:rPr>
          <w:rFonts w:eastAsia="Malgun Gothic"/>
          <w:b/>
          <w:lang w:val="fr-FR"/>
        </w:rPr>
        <w:t>Talli</w:t>
      </w:r>
      <w:proofErr w:type="spellEnd"/>
      <w:r w:rsidRPr="00702497">
        <w:rPr>
          <w:rFonts w:eastAsia="Malgun Gothic"/>
          <w:b/>
          <w:lang w:val="fr-FR"/>
        </w:rPr>
        <w:t>, savoir-faire traditionn</w:t>
      </w:r>
      <w:r w:rsidR="00C05636">
        <w:rPr>
          <w:rFonts w:eastAsia="Malgun Gothic"/>
          <w:b/>
          <w:lang w:val="fr-FR"/>
        </w:rPr>
        <w:t>els</w:t>
      </w:r>
      <w:r w:rsidRPr="00702497">
        <w:rPr>
          <w:rFonts w:eastAsia="Malgun Gothic"/>
          <w:b/>
          <w:lang w:val="fr-FR"/>
        </w:rPr>
        <w:t xml:space="preserve"> de la broderie </w:t>
      </w:r>
      <w:r w:rsidR="00AD1951" w:rsidRPr="00702497">
        <w:rPr>
          <w:rFonts w:eastAsia="Malgun Gothic"/>
          <w:b/>
          <w:lang w:val="fr-FR"/>
        </w:rPr>
        <w:t xml:space="preserve">aux </w:t>
      </w:r>
      <w:r w:rsidRPr="00702497">
        <w:rPr>
          <w:rFonts w:eastAsia="Malgun Gothic"/>
          <w:b/>
          <w:lang w:val="fr-FR"/>
        </w:rPr>
        <w:t>Émirats arabes unis</w:t>
      </w:r>
      <w:r w:rsidRPr="00063A4B">
        <w:rPr>
          <w:rFonts w:eastAsia="Malgun Gothic"/>
          <w:bCs/>
          <w:lang w:val="fr-FR"/>
        </w:rPr>
        <w:t xml:space="preserve"> [projet de décision</w:t>
      </w:r>
      <w:r w:rsidR="00471896">
        <w:rPr>
          <w:rFonts w:eastAsia="Malgun Gothic"/>
          <w:bCs/>
          <w:lang w:val="fr-FR"/>
        </w:rPr>
        <w:t> </w:t>
      </w:r>
      <w:r w:rsidRPr="00063A4B">
        <w:rPr>
          <w:rFonts w:eastAsia="Malgun Gothic"/>
          <w:bCs/>
          <w:lang w:val="fr-FR"/>
        </w:rPr>
        <w:t xml:space="preserve">7.b.32], soumis par les </w:t>
      </w:r>
      <w:r w:rsidRPr="00702497">
        <w:rPr>
          <w:rFonts w:eastAsia="Malgun Gothic"/>
          <w:b/>
          <w:lang w:val="fr-FR"/>
        </w:rPr>
        <w:t>Émirats arabes unis</w:t>
      </w:r>
      <w:r w:rsidRPr="00063A4B">
        <w:rPr>
          <w:rFonts w:eastAsia="Malgun Gothic"/>
          <w:bCs/>
          <w:lang w:val="fr-FR"/>
        </w:rPr>
        <w:t>, expliquant qu</w:t>
      </w:r>
      <w:r w:rsidR="00923E72">
        <w:rPr>
          <w:rFonts w:eastAsia="Malgun Gothic"/>
          <w:bCs/>
          <w:lang w:val="fr-FR"/>
        </w:rPr>
        <w:t>’</w:t>
      </w:r>
      <w:r w:rsidR="005036DD">
        <w:rPr>
          <w:rFonts w:eastAsia="Malgun Gothic"/>
          <w:bCs/>
          <w:lang w:val="fr-FR"/>
        </w:rPr>
        <w:t xml:space="preserve">Al </w:t>
      </w:r>
      <w:proofErr w:type="spellStart"/>
      <w:r w:rsidR="005036DD">
        <w:rPr>
          <w:rFonts w:eastAsia="Malgun Gothic"/>
          <w:bCs/>
          <w:lang w:val="fr-FR"/>
        </w:rPr>
        <w:t>T</w:t>
      </w:r>
      <w:r w:rsidRPr="00063A4B">
        <w:rPr>
          <w:rFonts w:eastAsia="Malgun Gothic"/>
          <w:bCs/>
          <w:lang w:val="fr-FR"/>
        </w:rPr>
        <w:t>alli</w:t>
      </w:r>
      <w:proofErr w:type="spellEnd"/>
      <w:r w:rsidRPr="00063A4B">
        <w:rPr>
          <w:rFonts w:eastAsia="Malgun Gothic"/>
          <w:bCs/>
          <w:lang w:val="fr-FR"/>
        </w:rPr>
        <w:t xml:space="preserve"> est un artisanat traditionnel pratiqué dans diverses régions des Émirats arabes unis</w:t>
      </w:r>
      <w:r w:rsidR="005036DD">
        <w:rPr>
          <w:rFonts w:eastAsia="Malgun Gothic"/>
          <w:bCs/>
          <w:lang w:val="fr-FR"/>
        </w:rPr>
        <w:t xml:space="preserve"> qui </w:t>
      </w:r>
      <w:r w:rsidRPr="00063A4B">
        <w:rPr>
          <w:rFonts w:eastAsia="Malgun Gothic"/>
          <w:bCs/>
          <w:lang w:val="fr-FR"/>
        </w:rPr>
        <w:t>consist</w:t>
      </w:r>
      <w:r w:rsidR="005036DD">
        <w:rPr>
          <w:rFonts w:eastAsia="Malgun Gothic"/>
          <w:bCs/>
          <w:lang w:val="fr-FR"/>
        </w:rPr>
        <w:t>e</w:t>
      </w:r>
      <w:r w:rsidR="00AD1951">
        <w:rPr>
          <w:rFonts w:eastAsia="Malgun Gothic"/>
          <w:bCs/>
          <w:lang w:val="fr-FR"/>
        </w:rPr>
        <w:t xml:space="preserve"> à orner </w:t>
      </w:r>
      <w:r w:rsidRPr="00063A4B">
        <w:rPr>
          <w:rFonts w:eastAsia="Malgun Gothic"/>
          <w:bCs/>
          <w:lang w:val="fr-FR"/>
        </w:rPr>
        <w:t xml:space="preserve">les vêtements </w:t>
      </w:r>
      <w:r w:rsidR="00AD1951">
        <w:rPr>
          <w:rFonts w:eastAsia="Malgun Gothic"/>
          <w:bCs/>
          <w:lang w:val="fr-FR"/>
        </w:rPr>
        <w:t xml:space="preserve">des femmes </w:t>
      </w:r>
      <w:r w:rsidRPr="00063A4B">
        <w:rPr>
          <w:rFonts w:eastAsia="Malgun Gothic"/>
          <w:bCs/>
          <w:lang w:val="fr-FR"/>
        </w:rPr>
        <w:t xml:space="preserve">de fils de couleurs vives soigneusement </w:t>
      </w:r>
      <w:r w:rsidR="00AD1951">
        <w:rPr>
          <w:rFonts w:eastAsia="Malgun Gothic"/>
          <w:bCs/>
          <w:lang w:val="fr-FR"/>
        </w:rPr>
        <w:t xml:space="preserve">appliqués </w:t>
      </w:r>
      <w:r w:rsidRPr="00063A4B">
        <w:rPr>
          <w:rFonts w:eastAsia="Malgun Gothic"/>
          <w:bCs/>
          <w:lang w:val="fr-FR"/>
        </w:rPr>
        <w:t>sur les manches et d</w:t>
      </w:r>
      <w:r w:rsidR="00923E72">
        <w:rPr>
          <w:rFonts w:eastAsia="Malgun Gothic"/>
          <w:bCs/>
          <w:lang w:val="fr-FR"/>
        </w:rPr>
        <w:t>’</w:t>
      </w:r>
      <w:r w:rsidRPr="00063A4B">
        <w:rPr>
          <w:rFonts w:eastAsia="Malgun Gothic"/>
          <w:bCs/>
          <w:lang w:val="fr-FR"/>
        </w:rPr>
        <w:t>autres parties des robes</w:t>
      </w:r>
      <w:r w:rsidR="00AD1951">
        <w:rPr>
          <w:rFonts w:eastAsia="Malgun Gothic"/>
          <w:bCs/>
          <w:lang w:val="fr-FR"/>
        </w:rPr>
        <w:t>,</w:t>
      </w:r>
      <w:r w:rsidRPr="00063A4B">
        <w:rPr>
          <w:rFonts w:eastAsia="Malgun Gothic"/>
          <w:bCs/>
          <w:lang w:val="fr-FR"/>
        </w:rPr>
        <w:t xml:space="preserve"> que cet élément contribue à lutter contre le chômage en procurant un revenu aux praticien</w:t>
      </w:r>
      <w:r w:rsidR="00AD1951">
        <w:rPr>
          <w:rFonts w:eastAsia="Malgun Gothic"/>
          <w:bCs/>
          <w:lang w:val="fr-FR"/>
        </w:rPr>
        <w:t>nes</w:t>
      </w:r>
      <w:r w:rsidRPr="00063A4B">
        <w:rPr>
          <w:rFonts w:eastAsia="Malgun Gothic"/>
          <w:bCs/>
          <w:lang w:val="fr-FR"/>
        </w:rPr>
        <w:t xml:space="preserve"> et des emplois dans des domaines connexes, tels que la vente de fils d</w:t>
      </w:r>
      <w:r w:rsidR="00923E72">
        <w:rPr>
          <w:rFonts w:eastAsia="Malgun Gothic"/>
          <w:bCs/>
          <w:lang w:val="fr-FR"/>
        </w:rPr>
        <w:t>’</w:t>
      </w:r>
      <w:r w:rsidR="005036DD">
        <w:rPr>
          <w:rFonts w:eastAsia="Malgun Gothic"/>
          <w:bCs/>
          <w:lang w:val="fr-FR"/>
        </w:rPr>
        <w:t xml:space="preserve">Al </w:t>
      </w:r>
      <w:proofErr w:type="spellStart"/>
      <w:r w:rsidR="005036DD">
        <w:rPr>
          <w:rFonts w:eastAsia="Malgun Gothic"/>
          <w:bCs/>
          <w:lang w:val="fr-FR"/>
        </w:rPr>
        <w:t>T</w:t>
      </w:r>
      <w:r w:rsidRPr="00063A4B">
        <w:rPr>
          <w:rFonts w:eastAsia="Malgun Gothic"/>
          <w:bCs/>
          <w:lang w:val="fr-FR"/>
        </w:rPr>
        <w:t>alli</w:t>
      </w:r>
      <w:proofErr w:type="spellEnd"/>
      <w:r w:rsidRPr="00063A4B">
        <w:rPr>
          <w:rFonts w:eastAsia="Malgun Gothic"/>
          <w:bCs/>
          <w:lang w:val="fr-FR"/>
        </w:rPr>
        <w:t xml:space="preserve"> à des maisons de </w:t>
      </w:r>
      <w:r w:rsidR="00AD1951">
        <w:rPr>
          <w:rFonts w:eastAsia="Malgun Gothic"/>
          <w:bCs/>
          <w:lang w:val="fr-FR"/>
        </w:rPr>
        <w:t>couture et des ateliers de confection.</w:t>
      </w:r>
      <w:r w:rsidRPr="00063A4B">
        <w:rPr>
          <w:rFonts w:eastAsia="Malgun Gothic"/>
          <w:bCs/>
          <w:lang w:val="fr-FR"/>
        </w:rPr>
        <w:t xml:space="preserve"> Elle a préc</w:t>
      </w:r>
      <w:r w:rsidR="00AD1951">
        <w:rPr>
          <w:rFonts w:eastAsia="Malgun Gothic"/>
          <w:bCs/>
          <w:lang w:val="fr-FR"/>
        </w:rPr>
        <w:t>i</w:t>
      </w:r>
      <w:r w:rsidRPr="00063A4B">
        <w:rPr>
          <w:rFonts w:eastAsia="Malgun Gothic"/>
          <w:bCs/>
          <w:lang w:val="fr-FR"/>
        </w:rPr>
        <w:t>sé que l</w:t>
      </w:r>
      <w:r w:rsidR="00923E72">
        <w:rPr>
          <w:rFonts w:eastAsia="Malgun Gothic"/>
          <w:bCs/>
          <w:lang w:val="fr-FR"/>
        </w:rPr>
        <w:t>’</w:t>
      </w:r>
      <w:r w:rsidRPr="00063A4B">
        <w:rPr>
          <w:rFonts w:eastAsia="Malgun Gothic"/>
          <w:bCs/>
          <w:lang w:val="fr-FR"/>
        </w:rPr>
        <w:t>artisanat d</w:t>
      </w:r>
      <w:r w:rsidR="00923E72">
        <w:rPr>
          <w:rFonts w:eastAsia="Malgun Gothic"/>
          <w:bCs/>
          <w:lang w:val="fr-FR"/>
        </w:rPr>
        <w:t>’</w:t>
      </w:r>
      <w:r w:rsidR="005036DD">
        <w:rPr>
          <w:rFonts w:eastAsia="Malgun Gothic"/>
          <w:bCs/>
          <w:lang w:val="fr-FR"/>
        </w:rPr>
        <w:t>Al</w:t>
      </w:r>
      <w:r w:rsidRPr="00063A4B">
        <w:rPr>
          <w:rFonts w:eastAsia="Malgun Gothic"/>
          <w:bCs/>
          <w:lang w:val="fr-FR"/>
        </w:rPr>
        <w:t xml:space="preserve"> </w:t>
      </w:r>
      <w:proofErr w:type="spellStart"/>
      <w:r w:rsidR="005036DD">
        <w:rPr>
          <w:rFonts w:eastAsia="Malgun Gothic"/>
          <w:bCs/>
          <w:lang w:val="fr-FR"/>
        </w:rPr>
        <w:t>T</w:t>
      </w:r>
      <w:r w:rsidRPr="00063A4B">
        <w:rPr>
          <w:rFonts w:eastAsia="Malgun Gothic"/>
          <w:bCs/>
          <w:lang w:val="fr-FR"/>
        </w:rPr>
        <w:t>alli</w:t>
      </w:r>
      <w:proofErr w:type="spellEnd"/>
      <w:r w:rsidRPr="00063A4B">
        <w:rPr>
          <w:rFonts w:eastAsia="Malgun Gothic"/>
          <w:bCs/>
          <w:lang w:val="fr-FR"/>
        </w:rPr>
        <w:t xml:space="preserve"> </w:t>
      </w:r>
      <w:r w:rsidR="00AD1951">
        <w:rPr>
          <w:rFonts w:eastAsia="Malgun Gothic"/>
          <w:bCs/>
          <w:lang w:val="fr-FR"/>
        </w:rPr>
        <w:t xml:space="preserve">a </w:t>
      </w:r>
      <w:r w:rsidR="00AD1951" w:rsidRPr="00AD1951">
        <w:rPr>
          <w:rFonts w:eastAsia="Malgun Gothic"/>
          <w:bCs/>
          <w:color w:val="000000" w:themeColor="text1"/>
          <w:lang w:val="fr-FR"/>
        </w:rPr>
        <w:t>également</w:t>
      </w:r>
      <w:r w:rsidR="00AD1951">
        <w:rPr>
          <w:rFonts w:eastAsia="Malgun Gothic"/>
          <w:bCs/>
          <w:color w:val="000000" w:themeColor="text1"/>
          <w:lang w:val="fr-FR"/>
        </w:rPr>
        <w:t xml:space="preserve"> </w:t>
      </w:r>
      <w:r w:rsidRPr="00063A4B">
        <w:rPr>
          <w:rFonts w:eastAsia="Malgun Gothic"/>
          <w:bCs/>
          <w:lang w:val="fr-FR"/>
        </w:rPr>
        <w:t xml:space="preserve">une dimension culturelle </w:t>
      </w:r>
      <w:r w:rsidR="00AD1951">
        <w:rPr>
          <w:rFonts w:eastAsia="Malgun Gothic"/>
          <w:bCs/>
          <w:lang w:val="fr-FR"/>
        </w:rPr>
        <w:t xml:space="preserve">liée aux </w:t>
      </w:r>
      <w:r w:rsidRPr="00063A4B">
        <w:rPr>
          <w:rFonts w:eastAsia="Malgun Gothic"/>
          <w:bCs/>
          <w:lang w:val="fr-FR"/>
        </w:rPr>
        <w:t xml:space="preserve">inscriptions, </w:t>
      </w:r>
      <w:r w:rsidR="00AD1951">
        <w:rPr>
          <w:rFonts w:eastAsia="Malgun Gothic"/>
          <w:bCs/>
          <w:lang w:val="fr-FR"/>
        </w:rPr>
        <w:t xml:space="preserve">aux motifs </w:t>
      </w:r>
      <w:r w:rsidRPr="00063A4B">
        <w:rPr>
          <w:rFonts w:eastAsia="Malgun Gothic"/>
          <w:bCs/>
          <w:lang w:val="fr-FR"/>
        </w:rPr>
        <w:t xml:space="preserve">et </w:t>
      </w:r>
      <w:r w:rsidR="00AD1951">
        <w:rPr>
          <w:rFonts w:eastAsia="Malgun Gothic"/>
          <w:bCs/>
          <w:lang w:val="fr-FR"/>
        </w:rPr>
        <w:t xml:space="preserve">aux </w:t>
      </w:r>
      <w:r w:rsidRPr="00063A4B">
        <w:rPr>
          <w:rFonts w:eastAsia="Malgun Gothic"/>
          <w:bCs/>
          <w:lang w:val="fr-FR"/>
        </w:rPr>
        <w:t>couleurs. L</w:t>
      </w:r>
      <w:r w:rsidR="00923E72">
        <w:rPr>
          <w:rFonts w:eastAsia="Malgun Gothic"/>
          <w:bCs/>
          <w:lang w:val="fr-FR"/>
        </w:rPr>
        <w:t>’</w:t>
      </w:r>
      <w:r w:rsidRPr="00063A4B">
        <w:rPr>
          <w:rFonts w:eastAsia="Malgun Gothic"/>
          <w:bCs/>
          <w:lang w:val="fr-FR"/>
        </w:rPr>
        <w:t>Organe d</w:t>
      </w:r>
      <w:r w:rsidR="00923E72">
        <w:rPr>
          <w:rFonts w:eastAsia="Malgun Gothic"/>
          <w:bCs/>
          <w:lang w:val="fr-FR"/>
        </w:rPr>
        <w:t>’</w:t>
      </w:r>
      <w:r w:rsidRPr="00063A4B">
        <w:rPr>
          <w:rFonts w:eastAsia="Malgun Gothic"/>
          <w:bCs/>
          <w:lang w:val="fr-FR"/>
        </w:rPr>
        <w:t>évaluation avait estimé que la candidature satisfaisait à l</w:t>
      </w:r>
      <w:r w:rsidR="00923E72">
        <w:rPr>
          <w:rFonts w:eastAsia="Malgun Gothic"/>
          <w:bCs/>
          <w:lang w:val="fr-FR"/>
        </w:rPr>
        <w:t>’</w:t>
      </w:r>
      <w:r w:rsidRPr="00063A4B">
        <w:rPr>
          <w:rFonts w:eastAsia="Malgun Gothic"/>
          <w:bCs/>
          <w:lang w:val="fr-FR"/>
        </w:rPr>
        <w:t>ensemble des cinq critères. Toutefois, l</w:t>
      </w:r>
      <w:r w:rsidR="00923E72">
        <w:rPr>
          <w:rFonts w:eastAsia="Malgun Gothic"/>
          <w:bCs/>
          <w:lang w:val="fr-FR"/>
        </w:rPr>
        <w:t>’</w:t>
      </w:r>
      <w:r w:rsidRPr="00063A4B">
        <w:rPr>
          <w:rFonts w:eastAsia="Malgun Gothic"/>
          <w:bCs/>
          <w:lang w:val="fr-FR"/>
        </w:rPr>
        <w:t>Organe a</w:t>
      </w:r>
      <w:r w:rsidR="006014DE">
        <w:rPr>
          <w:rFonts w:eastAsia="Malgun Gothic"/>
          <w:bCs/>
          <w:lang w:val="fr-FR"/>
        </w:rPr>
        <w:t>vait</w:t>
      </w:r>
      <w:r w:rsidRPr="00063A4B">
        <w:rPr>
          <w:rFonts w:eastAsia="Malgun Gothic"/>
          <w:bCs/>
          <w:lang w:val="fr-FR"/>
        </w:rPr>
        <w:t xml:space="preserve"> </w:t>
      </w:r>
      <w:r w:rsidR="006014DE">
        <w:rPr>
          <w:rFonts w:eastAsia="Malgun Gothic"/>
          <w:bCs/>
          <w:lang w:val="fr-FR"/>
        </w:rPr>
        <w:t xml:space="preserve">indiqué </w:t>
      </w:r>
      <w:r w:rsidRPr="00063A4B">
        <w:rPr>
          <w:rFonts w:eastAsia="Malgun Gothic"/>
          <w:bCs/>
          <w:lang w:val="fr-FR"/>
        </w:rPr>
        <w:t>qu</w:t>
      </w:r>
      <w:r w:rsidR="00923E72">
        <w:rPr>
          <w:rFonts w:eastAsia="Malgun Gothic"/>
          <w:bCs/>
          <w:lang w:val="fr-FR"/>
        </w:rPr>
        <w:t>’</w:t>
      </w:r>
      <w:r w:rsidRPr="00063A4B">
        <w:rPr>
          <w:rFonts w:eastAsia="Malgun Gothic"/>
          <w:bCs/>
          <w:lang w:val="fr-FR"/>
        </w:rPr>
        <w:t>il serai</w:t>
      </w:r>
      <w:r w:rsidR="00AD1951">
        <w:rPr>
          <w:rFonts w:eastAsia="Malgun Gothic"/>
          <w:bCs/>
          <w:lang w:val="fr-FR"/>
        </w:rPr>
        <w:t>t</w:t>
      </w:r>
      <w:r w:rsidRPr="00063A4B">
        <w:rPr>
          <w:rFonts w:eastAsia="Malgun Gothic"/>
          <w:bCs/>
          <w:lang w:val="fr-FR"/>
        </w:rPr>
        <w:t xml:space="preserve"> important pour l</w:t>
      </w:r>
      <w:r w:rsidR="00923E72">
        <w:rPr>
          <w:rFonts w:eastAsia="Malgun Gothic"/>
          <w:bCs/>
          <w:lang w:val="fr-FR"/>
        </w:rPr>
        <w:t>’</w:t>
      </w:r>
      <w:r w:rsidRPr="00063A4B">
        <w:rPr>
          <w:rFonts w:eastAsia="Malgun Gothic"/>
          <w:bCs/>
          <w:lang w:val="fr-FR"/>
        </w:rPr>
        <w:t xml:space="preserve">État partie de </w:t>
      </w:r>
      <w:r w:rsidR="00AD1951">
        <w:rPr>
          <w:rFonts w:eastAsia="Malgun Gothic"/>
          <w:bCs/>
          <w:lang w:val="fr-FR"/>
        </w:rPr>
        <w:t xml:space="preserve">suivre </w:t>
      </w:r>
      <w:r w:rsidRPr="00063A4B">
        <w:rPr>
          <w:rFonts w:eastAsia="Malgun Gothic"/>
          <w:bCs/>
          <w:lang w:val="fr-FR"/>
        </w:rPr>
        <w:t xml:space="preserve">les </w:t>
      </w:r>
      <w:r w:rsidR="00AD1951">
        <w:rPr>
          <w:rFonts w:eastAsia="Malgun Gothic"/>
          <w:bCs/>
          <w:lang w:val="fr-FR"/>
        </w:rPr>
        <w:t>répercussions</w:t>
      </w:r>
      <w:r w:rsidRPr="00063A4B">
        <w:rPr>
          <w:rFonts w:eastAsia="Malgun Gothic"/>
          <w:bCs/>
          <w:lang w:val="fr-FR"/>
        </w:rPr>
        <w:t xml:space="preserve"> involontaires de l</w:t>
      </w:r>
      <w:r w:rsidR="00923E72">
        <w:rPr>
          <w:rFonts w:eastAsia="Malgun Gothic"/>
          <w:bCs/>
          <w:lang w:val="fr-FR"/>
        </w:rPr>
        <w:t>’</w:t>
      </w:r>
      <w:r w:rsidRPr="00063A4B">
        <w:rPr>
          <w:rFonts w:eastAsia="Malgun Gothic"/>
          <w:bCs/>
          <w:lang w:val="fr-FR"/>
        </w:rPr>
        <w:t>inscription de l</w:t>
      </w:r>
      <w:r w:rsidR="00923E72">
        <w:rPr>
          <w:rFonts w:eastAsia="Malgun Gothic"/>
          <w:bCs/>
          <w:lang w:val="fr-FR"/>
        </w:rPr>
        <w:t>’</w:t>
      </w:r>
      <w:r w:rsidRPr="00063A4B">
        <w:rPr>
          <w:rFonts w:eastAsia="Malgun Gothic"/>
          <w:bCs/>
          <w:lang w:val="fr-FR"/>
        </w:rPr>
        <w:t>élément et, en particulier, le risque d</w:t>
      </w:r>
      <w:r w:rsidR="00923E72">
        <w:rPr>
          <w:rFonts w:eastAsia="Malgun Gothic"/>
          <w:bCs/>
          <w:lang w:val="fr-FR"/>
        </w:rPr>
        <w:t>’</w:t>
      </w:r>
      <w:r w:rsidR="006014DE">
        <w:rPr>
          <w:rFonts w:eastAsia="Malgun Gothic"/>
          <w:bCs/>
          <w:lang w:val="fr-FR"/>
        </w:rPr>
        <w:t>une</w:t>
      </w:r>
      <w:r w:rsidRPr="00063A4B">
        <w:rPr>
          <w:rFonts w:eastAsia="Malgun Gothic"/>
          <w:bCs/>
          <w:lang w:val="fr-FR"/>
        </w:rPr>
        <w:t xml:space="preserve"> commercialisation excessive et de </w:t>
      </w:r>
      <w:r w:rsidR="006014DE">
        <w:rPr>
          <w:rFonts w:eastAsia="Malgun Gothic"/>
          <w:bCs/>
          <w:lang w:val="fr-FR"/>
        </w:rPr>
        <w:t xml:space="preserve">garantir </w:t>
      </w:r>
      <w:r w:rsidRPr="00063A4B">
        <w:rPr>
          <w:rFonts w:eastAsia="Malgun Gothic"/>
          <w:bCs/>
          <w:lang w:val="fr-FR"/>
        </w:rPr>
        <w:t xml:space="preserve">que les communautés concernées comprennent </w:t>
      </w:r>
      <w:r w:rsidR="006014DE">
        <w:rPr>
          <w:rFonts w:eastAsia="Malgun Gothic"/>
          <w:bCs/>
          <w:lang w:val="fr-FR"/>
        </w:rPr>
        <w:t>bien l</w:t>
      </w:r>
      <w:r w:rsidRPr="00063A4B">
        <w:rPr>
          <w:rFonts w:eastAsia="Malgun Gothic"/>
          <w:bCs/>
          <w:lang w:val="fr-FR"/>
        </w:rPr>
        <w:t>es objectifs de la Liste représentative. En conclusion, l</w:t>
      </w:r>
      <w:r w:rsidR="00923E72">
        <w:rPr>
          <w:rFonts w:eastAsia="Malgun Gothic"/>
          <w:bCs/>
          <w:lang w:val="fr-FR"/>
        </w:rPr>
        <w:t>’</w:t>
      </w:r>
      <w:r w:rsidRPr="00063A4B">
        <w:rPr>
          <w:rFonts w:eastAsia="Malgun Gothic"/>
          <w:bCs/>
          <w:lang w:val="fr-FR"/>
        </w:rPr>
        <w:t>Organe d</w:t>
      </w:r>
      <w:r w:rsidR="00923E72">
        <w:rPr>
          <w:rFonts w:eastAsia="Malgun Gothic"/>
          <w:bCs/>
          <w:lang w:val="fr-FR"/>
        </w:rPr>
        <w:t>’</w:t>
      </w:r>
      <w:r w:rsidRPr="00063A4B">
        <w:rPr>
          <w:rFonts w:eastAsia="Malgun Gothic"/>
          <w:bCs/>
          <w:lang w:val="fr-FR"/>
        </w:rPr>
        <w:t>évaluation recommandait l</w:t>
      </w:r>
      <w:r w:rsidR="00923E72">
        <w:rPr>
          <w:rFonts w:eastAsia="Malgun Gothic"/>
          <w:bCs/>
          <w:lang w:val="fr-FR"/>
        </w:rPr>
        <w:t>’</w:t>
      </w:r>
      <w:r w:rsidRPr="00063A4B">
        <w:rPr>
          <w:rFonts w:eastAsia="Malgun Gothic"/>
          <w:bCs/>
          <w:lang w:val="fr-FR"/>
        </w:rPr>
        <w:t>inscription de l</w:t>
      </w:r>
      <w:r w:rsidR="00923E72">
        <w:rPr>
          <w:rFonts w:eastAsia="Malgun Gothic"/>
          <w:bCs/>
          <w:lang w:val="fr-FR"/>
        </w:rPr>
        <w:t>’</w:t>
      </w:r>
      <w:r w:rsidRPr="00063A4B">
        <w:rPr>
          <w:rFonts w:eastAsia="Malgun Gothic"/>
          <w:bCs/>
          <w:lang w:val="fr-FR"/>
        </w:rPr>
        <w:t>élément sur la Liste représentative.</w:t>
      </w:r>
    </w:p>
    <w:p w14:paraId="4DBE702A" w14:textId="2A190A3A" w:rsidR="006014DE" w:rsidRDefault="006014D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C05636">
        <w:rPr>
          <w:rFonts w:eastAsia="Malgun Gothic"/>
          <w:b/>
          <w:lang w:val="fr-FR"/>
        </w:rPr>
        <w:t> </w:t>
      </w:r>
      <w:r w:rsidR="00751FB1">
        <w:fldChar w:fldCharType="begin"/>
      </w:r>
      <w:r w:rsidR="00751FB1" w:rsidRPr="00751FB1">
        <w:rPr>
          <w:lang w:val="fr-FR"/>
        </w:rPr>
        <w:instrText>HYPERLINK "https://ich.unesco.org/fr/Decisions/17.COM/7.b.32"</w:instrText>
      </w:r>
      <w:r w:rsidR="00751FB1">
        <w:fldChar w:fldCharType="separate"/>
      </w:r>
      <w:r w:rsidRPr="006E3034">
        <w:rPr>
          <w:rStyle w:val="Hyperlink"/>
          <w:b/>
          <w:bCs/>
          <w:lang w:val="fr-FR"/>
        </w:rPr>
        <w:t>17.COM 7.b.32</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sidRPr="00AE6A00">
        <w:rPr>
          <w:rStyle w:val="Hyperlink"/>
          <w:b/>
          <w:bCs/>
          <w:color w:val="auto"/>
          <w:u w:val="none"/>
          <w:lang w:val="fr-FR"/>
        </w:rPr>
        <w:t>inscrire</w:t>
      </w:r>
      <w:r>
        <w:rPr>
          <w:rStyle w:val="Hyperlink"/>
          <w:b/>
          <w:bCs/>
          <w:color w:val="auto"/>
          <w:u w:val="none"/>
          <w:lang w:val="fr-FR"/>
        </w:rPr>
        <w:t xml:space="preserve"> </w:t>
      </w:r>
      <w:r w:rsidRPr="007C2168">
        <w:rPr>
          <w:rFonts w:eastAsia="Malgun Gothic"/>
          <w:b/>
          <w:lang w:val="fr-FR"/>
        </w:rPr>
        <w:t xml:space="preserve">Al </w:t>
      </w:r>
      <w:proofErr w:type="spellStart"/>
      <w:r w:rsidRPr="007C2168">
        <w:rPr>
          <w:rFonts w:eastAsia="Malgun Gothic"/>
          <w:b/>
          <w:lang w:val="fr-FR"/>
        </w:rPr>
        <w:t>Talli</w:t>
      </w:r>
      <w:proofErr w:type="spellEnd"/>
      <w:r w:rsidRPr="007C2168">
        <w:rPr>
          <w:rFonts w:eastAsia="Malgun Gothic"/>
          <w:b/>
          <w:lang w:val="fr-FR"/>
        </w:rPr>
        <w:t>, savoir-faire traditionnel</w:t>
      </w:r>
      <w:r w:rsidR="00C05636">
        <w:rPr>
          <w:rFonts w:eastAsia="Malgun Gothic"/>
          <w:b/>
          <w:lang w:val="fr-FR"/>
        </w:rPr>
        <w:t>s</w:t>
      </w:r>
      <w:r w:rsidRPr="007C2168">
        <w:rPr>
          <w:rFonts w:eastAsia="Malgun Gothic"/>
          <w:b/>
          <w:lang w:val="fr-FR"/>
        </w:rPr>
        <w:t xml:space="preserve"> de la broderie aux Émirats arabes unis</w:t>
      </w:r>
      <w:r w:rsidRPr="00063A4B">
        <w:rPr>
          <w:rFonts w:eastAsia="Malgun Gothic"/>
          <w:bCs/>
          <w:lang w:val="fr-FR"/>
        </w:rPr>
        <w:t xml:space="preserve"> </w:t>
      </w:r>
      <w:r>
        <w:rPr>
          <w:rFonts w:eastAsia="Malgun Gothic"/>
          <w:b/>
          <w:lang w:val="fr-FR"/>
        </w:rPr>
        <w:t>sur la Liste représentative</w:t>
      </w:r>
      <w:r>
        <w:rPr>
          <w:rFonts w:eastAsia="Malgun Gothic"/>
          <w:bCs/>
          <w:lang w:val="fr-FR"/>
        </w:rPr>
        <w:t>.</w:t>
      </w:r>
    </w:p>
    <w:p w14:paraId="0365338E" w14:textId="2B2A2956" w:rsidR="006014DE" w:rsidRDefault="006014D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014DE">
        <w:rPr>
          <w:rFonts w:eastAsia="Malgun Gothic"/>
          <w:bCs/>
          <w:lang w:val="fr-FR"/>
        </w:rPr>
        <w:t xml:space="preserve">La délégation des </w:t>
      </w:r>
      <w:r w:rsidRPr="00702497">
        <w:rPr>
          <w:rFonts w:eastAsia="Malgun Gothic"/>
          <w:b/>
          <w:lang w:val="fr-FR"/>
        </w:rPr>
        <w:t>Émirats arabes unis</w:t>
      </w:r>
      <w:r w:rsidRPr="006014DE">
        <w:rPr>
          <w:rFonts w:eastAsia="Malgun Gothic"/>
          <w:bCs/>
          <w:lang w:val="fr-FR"/>
        </w:rPr>
        <w:t xml:space="preserve"> a exprimé sa gratitude au Comité pour les efforts concertés </w:t>
      </w:r>
      <w:r w:rsidR="000B2884">
        <w:rPr>
          <w:rFonts w:eastAsia="Malgun Gothic"/>
          <w:bCs/>
          <w:lang w:val="fr-FR"/>
        </w:rPr>
        <w:t>qu</w:t>
      </w:r>
      <w:r w:rsidR="00923E72">
        <w:rPr>
          <w:rFonts w:eastAsia="Malgun Gothic"/>
          <w:bCs/>
          <w:lang w:val="fr-FR"/>
        </w:rPr>
        <w:t>’</w:t>
      </w:r>
      <w:r w:rsidR="000B2884">
        <w:rPr>
          <w:rFonts w:eastAsia="Malgun Gothic"/>
          <w:bCs/>
          <w:lang w:val="fr-FR"/>
        </w:rPr>
        <w:t xml:space="preserve">il </w:t>
      </w:r>
      <w:r w:rsidRPr="006014DE">
        <w:rPr>
          <w:rFonts w:eastAsia="Malgun Gothic"/>
          <w:bCs/>
          <w:lang w:val="fr-FR"/>
        </w:rPr>
        <w:t>déplo</w:t>
      </w:r>
      <w:r w:rsidR="000B2884">
        <w:rPr>
          <w:rFonts w:eastAsia="Malgun Gothic"/>
          <w:bCs/>
          <w:lang w:val="fr-FR"/>
        </w:rPr>
        <w:t>i</w:t>
      </w:r>
      <w:r w:rsidR="00B3032C">
        <w:rPr>
          <w:rFonts w:eastAsia="Malgun Gothic"/>
          <w:bCs/>
          <w:lang w:val="fr-FR"/>
        </w:rPr>
        <w:t>e</w:t>
      </w:r>
      <w:r w:rsidRPr="006014DE">
        <w:rPr>
          <w:rFonts w:eastAsia="Malgun Gothic"/>
          <w:bCs/>
          <w:lang w:val="fr-FR"/>
        </w:rPr>
        <w:t xml:space="preserve"> afin de mieux faire connaître le patrimoine culturel immatériel à l</w:t>
      </w:r>
      <w:r w:rsidR="00923E72">
        <w:rPr>
          <w:rFonts w:eastAsia="Malgun Gothic"/>
          <w:bCs/>
          <w:lang w:val="fr-FR"/>
        </w:rPr>
        <w:t>’</w:t>
      </w:r>
      <w:r w:rsidRPr="006014DE">
        <w:rPr>
          <w:rFonts w:eastAsia="Malgun Gothic"/>
          <w:bCs/>
          <w:lang w:val="fr-FR"/>
        </w:rPr>
        <w:t>échelle mondiale ainsi que pour le rôle indispensable qu</w:t>
      </w:r>
      <w:r w:rsidR="00923E72">
        <w:rPr>
          <w:rFonts w:eastAsia="Malgun Gothic"/>
          <w:bCs/>
          <w:lang w:val="fr-FR"/>
        </w:rPr>
        <w:t>’</w:t>
      </w:r>
      <w:r w:rsidRPr="006014DE">
        <w:rPr>
          <w:rFonts w:eastAsia="Malgun Gothic"/>
          <w:bCs/>
          <w:lang w:val="fr-FR"/>
        </w:rPr>
        <w:t>il joue dans le renforcement de la coopération internationale grâce à l</w:t>
      </w:r>
      <w:r w:rsidR="00923E72">
        <w:rPr>
          <w:rFonts w:eastAsia="Malgun Gothic"/>
          <w:bCs/>
          <w:lang w:val="fr-FR"/>
        </w:rPr>
        <w:t>’</w:t>
      </w:r>
      <w:r w:rsidRPr="006014DE">
        <w:rPr>
          <w:rFonts w:eastAsia="Malgun Gothic"/>
          <w:bCs/>
          <w:lang w:val="fr-FR"/>
        </w:rPr>
        <w:t>évaluation des dossiers de candidature et à l</w:t>
      </w:r>
      <w:r w:rsidR="00923E72">
        <w:rPr>
          <w:rFonts w:eastAsia="Malgun Gothic"/>
          <w:bCs/>
          <w:lang w:val="fr-FR"/>
        </w:rPr>
        <w:t>’</w:t>
      </w:r>
      <w:r w:rsidRPr="006014DE">
        <w:rPr>
          <w:rFonts w:eastAsia="Malgun Gothic"/>
          <w:bCs/>
          <w:lang w:val="fr-FR"/>
        </w:rPr>
        <w:t>établissement des listes du patrimoine culturel immatériel de l</w:t>
      </w:r>
      <w:r w:rsidR="00923E72">
        <w:rPr>
          <w:rFonts w:eastAsia="Malgun Gothic"/>
          <w:bCs/>
          <w:lang w:val="fr-FR"/>
        </w:rPr>
        <w:t>’</w:t>
      </w:r>
      <w:r w:rsidRPr="006014DE">
        <w:rPr>
          <w:rFonts w:eastAsia="Malgun Gothic"/>
          <w:bCs/>
          <w:lang w:val="fr-FR"/>
        </w:rPr>
        <w:t>UNESCO. Son travail était un exemple éloquent de la façon dont il est possible de mettre en valeur un patrimoine culturel commun dans le cadre de dossiers conjoints, tout en célébrant des diversités uniques avec des dossiers nationaux. La préservation de ces éléments mettait en lumière notre humanité. Elle était également fondamentale pour progresser vers un développement durable à l</w:t>
      </w:r>
      <w:r w:rsidR="00923E72">
        <w:rPr>
          <w:rFonts w:eastAsia="Malgun Gothic"/>
          <w:bCs/>
          <w:lang w:val="fr-FR"/>
        </w:rPr>
        <w:t>’</w:t>
      </w:r>
      <w:r w:rsidRPr="006014DE">
        <w:rPr>
          <w:rFonts w:eastAsia="Malgun Gothic"/>
          <w:bCs/>
          <w:lang w:val="fr-FR"/>
        </w:rPr>
        <w:t>échelle mondiale, et favoriser la paix et une meilleure compréhension, car le patrimoine de nos nations s</w:t>
      </w:r>
      <w:r w:rsidR="00923E72">
        <w:rPr>
          <w:rFonts w:eastAsia="Malgun Gothic"/>
          <w:bCs/>
          <w:lang w:val="fr-FR"/>
        </w:rPr>
        <w:t>’</w:t>
      </w:r>
      <w:r w:rsidRPr="006014DE">
        <w:rPr>
          <w:rFonts w:eastAsia="Malgun Gothic"/>
          <w:bCs/>
          <w:lang w:val="fr-FR"/>
        </w:rPr>
        <w:t xml:space="preserve">enrichit à chaque inscription. Les Émirats arabes unis ont remercié le Comité et les États parties pour leur soutien. Al </w:t>
      </w:r>
      <w:proofErr w:type="spellStart"/>
      <w:r w:rsidRPr="006014DE">
        <w:rPr>
          <w:rFonts w:eastAsia="Malgun Gothic"/>
          <w:bCs/>
          <w:lang w:val="fr-FR"/>
        </w:rPr>
        <w:t>Talli</w:t>
      </w:r>
      <w:proofErr w:type="spellEnd"/>
      <w:r w:rsidRPr="006014DE">
        <w:rPr>
          <w:rFonts w:eastAsia="Malgun Gothic"/>
          <w:bCs/>
          <w:lang w:val="fr-FR"/>
        </w:rPr>
        <w:t xml:space="preserve"> était désormais le quatorzième élément des </w:t>
      </w:r>
      <w:r w:rsidRPr="006014DE">
        <w:rPr>
          <w:rFonts w:eastAsia="Malgun Gothic"/>
          <w:bCs/>
          <w:lang w:val="fr-FR"/>
        </w:rPr>
        <w:lastRenderedPageBreak/>
        <w:t>Émirats arabes unis inscrit sur la Liste du patrimoine culturel immatériel et son quatrième dossier national. La délégation a rappelé qu</w:t>
      </w:r>
      <w:r w:rsidR="00923E72">
        <w:rPr>
          <w:rFonts w:eastAsia="Malgun Gothic"/>
          <w:bCs/>
          <w:lang w:val="fr-FR"/>
        </w:rPr>
        <w:t>’</w:t>
      </w:r>
      <w:r w:rsidRPr="006014DE">
        <w:rPr>
          <w:rFonts w:eastAsia="Malgun Gothic"/>
          <w:bCs/>
          <w:lang w:val="fr-FR"/>
        </w:rPr>
        <w:t xml:space="preserve">Al </w:t>
      </w:r>
      <w:proofErr w:type="spellStart"/>
      <w:r w:rsidRPr="006014DE">
        <w:rPr>
          <w:rFonts w:eastAsia="Malgun Gothic"/>
          <w:bCs/>
          <w:lang w:val="fr-FR"/>
        </w:rPr>
        <w:t>Talli</w:t>
      </w:r>
      <w:proofErr w:type="spellEnd"/>
      <w:r w:rsidRPr="006014DE">
        <w:rPr>
          <w:rFonts w:eastAsia="Malgun Gothic"/>
          <w:bCs/>
          <w:lang w:val="fr-FR"/>
        </w:rPr>
        <w:t xml:space="preserve"> est un artisanat décoratif traditionnel des Émirats arabes unis, qui produit d</w:t>
      </w:r>
      <w:r w:rsidR="00923E72">
        <w:rPr>
          <w:rFonts w:eastAsia="Malgun Gothic"/>
          <w:bCs/>
          <w:lang w:val="fr-FR"/>
        </w:rPr>
        <w:t>’</w:t>
      </w:r>
      <w:r w:rsidRPr="006014DE">
        <w:rPr>
          <w:rFonts w:eastAsia="Malgun Gothic"/>
          <w:bCs/>
          <w:lang w:val="fr-FR"/>
        </w:rPr>
        <w:t>exquis textiles brodés utilisés pour embellir différents types de vêtements traditionnels pour les femmes, que cet artisanat fait appel à des compétences artistiques et techniques complexes et qu</w:t>
      </w:r>
      <w:r w:rsidR="00923E72">
        <w:rPr>
          <w:rFonts w:eastAsia="Malgun Gothic"/>
          <w:bCs/>
          <w:lang w:val="fr-FR"/>
        </w:rPr>
        <w:t>’</w:t>
      </w:r>
      <w:r w:rsidRPr="006014DE">
        <w:rPr>
          <w:rFonts w:eastAsia="Malgun Gothic"/>
          <w:bCs/>
          <w:lang w:val="fr-FR"/>
        </w:rPr>
        <w:t>il repose également sur des connaissances transmises de génération en génération par les femmes émiraties dans tout le pays. On pouvait espérer que l</w:t>
      </w:r>
      <w:r w:rsidR="00923E72">
        <w:rPr>
          <w:rFonts w:eastAsia="Malgun Gothic"/>
          <w:bCs/>
          <w:lang w:val="fr-FR"/>
        </w:rPr>
        <w:t>’</w:t>
      </w:r>
      <w:r w:rsidRPr="006014DE">
        <w:rPr>
          <w:rFonts w:eastAsia="Malgun Gothic"/>
          <w:bCs/>
          <w:lang w:val="fr-FR"/>
        </w:rPr>
        <w:t>inscription d</w:t>
      </w:r>
      <w:r w:rsidR="00923E72">
        <w:rPr>
          <w:rFonts w:eastAsia="Malgun Gothic"/>
          <w:bCs/>
          <w:lang w:val="fr-FR"/>
        </w:rPr>
        <w:t>’</w:t>
      </w:r>
      <w:r w:rsidRPr="006014DE">
        <w:rPr>
          <w:rFonts w:eastAsia="Malgun Gothic"/>
          <w:bCs/>
          <w:lang w:val="fr-FR"/>
        </w:rPr>
        <w:t xml:space="preserve">Al </w:t>
      </w:r>
      <w:proofErr w:type="spellStart"/>
      <w:r w:rsidRPr="006014DE">
        <w:rPr>
          <w:rFonts w:eastAsia="Malgun Gothic"/>
          <w:bCs/>
          <w:lang w:val="fr-FR"/>
        </w:rPr>
        <w:t>Talli</w:t>
      </w:r>
      <w:proofErr w:type="spellEnd"/>
      <w:r w:rsidRPr="006014DE">
        <w:rPr>
          <w:rFonts w:eastAsia="Malgun Gothic"/>
          <w:bCs/>
          <w:lang w:val="fr-FR"/>
        </w:rPr>
        <w:t xml:space="preserve"> mettrait davantage en lumière la richesse du patrimoine culturel émirati. L</w:t>
      </w:r>
      <w:r w:rsidR="00923E72">
        <w:rPr>
          <w:rFonts w:eastAsia="Malgun Gothic"/>
          <w:bCs/>
          <w:lang w:val="fr-FR"/>
        </w:rPr>
        <w:t>’</w:t>
      </w:r>
      <w:r w:rsidRPr="006014DE">
        <w:rPr>
          <w:rFonts w:eastAsia="Malgun Gothic"/>
          <w:bCs/>
          <w:lang w:val="fr-FR"/>
        </w:rPr>
        <w:t>année</w:t>
      </w:r>
      <w:r w:rsidR="00C05636">
        <w:rPr>
          <w:rFonts w:eastAsia="Malgun Gothic"/>
          <w:bCs/>
          <w:lang w:val="fr-FR"/>
        </w:rPr>
        <w:t> </w:t>
      </w:r>
      <w:r w:rsidRPr="006014DE">
        <w:rPr>
          <w:rFonts w:eastAsia="Malgun Gothic"/>
          <w:bCs/>
          <w:lang w:val="fr-FR"/>
        </w:rPr>
        <w:t>2022 était un symbole important</w:t>
      </w:r>
      <w:r w:rsidR="00A069FA">
        <w:rPr>
          <w:rFonts w:eastAsia="Malgun Gothic"/>
          <w:bCs/>
          <w:lang w:val="fr-FR"/>
        </w:rPr>
        <w:t>,</w:t>
      </w:r>
      <w:r w:rsidRPr="006014DE">
        <w:rPr>
          <w:rFonts w:eastAsia="Malgun Gothic"/>
          <w:bCs/>
          <w:lang w:val="fr-FR"/>
        </w:rPr>
        <w:t xml:space="preserve"> puisque les Émirats arabes unis cé</w:t>
      </w:r>
      <w:r w:rsidR="000B2884">
        <w:rPr>
          <w:rFonts w:eastAsia="Malgun Gothic"/>
          <w:bCs/>
          <w:lang w:val="fr-FR"/>
        </w:rPr>
        <w:t>lé</w:t>
      </w:r>
      <w:r w:rsidRPr="006014DE">
        <w:rPr>
          <w:rFonts w:eastAsia="Malgun Gothic"/>
          <w:bCs/>
          <w:lang w:val="fr-FR"/>
        </w:rPr>
        <w:t>braient le cinquantième anniversaire de leur adhésion à l</w:t>
      </w:r>
      <w:r w:rsidR="00923E72">
        <w:rPr>
          <w:rFonts w:eastAsia="Malgun Gothic"/>
          <w:bCs/>
          <w:lang w:val="fr-FR"/>
        </w:rPr>
        <w:t>’</w:t>
      </w:r>
      <w:r w:rsidRPr="006014DE">
        <w:rPr>
          <w:rFonts w:eastAsia="Malgun Gothic"/>
          <w:bCs/>
          <w:lang w:val="fr-FR"/>
        </w:rPr>
        <w:t>UNESCO. Le pays s</w:t>
      </w:r>
      <w:r w:rsidR="00923E72">
        <w:rPr>
          <w:rFonts w:eastAsia="Malgun Gothic"/>
          <w:bCs/>
          <w:lang w:val="fr-FR"/>
        </w:rPr>
        <w:t>’</w:t>
      </w:r>
      <w:r w:rsidRPr="006014DE">
        <w:rPr>
          <w:rFonts w:eastAsia="Malgun Gothic"/>
          <w:bCs/>
          <w:lang w:val="fr-FR"/>
        </w:rPr>
        <w:t>était toujours engagé à contribuer à la mission de l</w:t>
      </w:r>
      <w:r w:rsidR="00923E72">
        <w:rPr>
          <w:rFonts w:eastAsia="Malgun Gothic"/>
          <w:bCs/>
          <w:lang w:val="fr-FR"/>
        </w:rPr>
        <w:t>’</w:t>
      </w:r>
      <w:r w:rsidRPr="006014DE">
        <w:rPr>
          <w:rFonts w:eastAsia="Malgun Gothic"/>
          <w:bCs/>
          <w:lang w:val="fr-FR"/>
        </w:rPr>
        <w:t>Organisation et à faire progresser les domaines de la culture, de l</w:t>
      </w:r>
      <w:r w:rsidR="00923E72">
        <w:rPr>
          <w:rFonts w:eastAsia="Malgun Gothic"/>
          <w:bCs/>
          <w:lang w:val="fr-FR"/>
        </w:rPr>
        <w:t>’</w:t>
      </w:r>
      <w:r w:rsidRPr="006014DE">
        <w:rPr>
          <w:rFonts w:eastAsia="Malgun Gothic"/>
          <w:bCs/>
          <w:lang w:val="fr-FR"/>
        </w:rPr>
        <w:t>éducation et de la science. Il continuerait à soutenir le travail du Comité par le biais d</w:t>
      </w:r>
      <w:r w:rsidR="00923E72">
        <w:rPr>
          <w:rFonts w:eastAsia="Malgun Gothic"/>
          <w:bCs/>
          <w:lang w:val="fr-FR"/>
        </w:rPr>
        <w:t>’</w:t>
      </w:r>
      <w:r w:rsidRPr="006014DE">
        <w:rPr>
          <w:rFonts w:eastAsia="Malgun Gothic"/>
          <w:bCs/>
          <w:lang w:val="fr-FR"/>
        </w:rPr>
        <w:t>une coopération mutuelle avec les États membres, fondée sur les principes de la connaissance, de l</w:t>
      </w:r>
      <w:r w:rsidR="00923E72">
        <w:rPr>
          <w:rFonts w:eastAsia="Malgun Gothic"/>
          <w:bCs/>
          <w:lang w:val="fr-FR"/>
        </w:rPr>
        <w:t>’</w:t>
      </w:r>
      <w:r w:rsidRPr="006014DE">
        <w:rPr>
          <w:rFonts w:eastAsia="Malgun Gothic"/>
          <w:bCs/>
          <w:lang w:val="fr-FR"/>
        </w:rPr>
        <w:t>échange et du bien commun.</w:t>
      </w:r>
    </w:p>
    <w:p w14:paraId="1D437FE9" w14:textId="0B808EFA" w:rsidR="000B2884" w:rsidRPr="00702497" w:rsidRDefault="000B2884"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29425D58" w14:textId="14FBF18F" w:rsidR="000B2884" w:rsidRDefault="000B288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0B2884">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0B2884">
        <w:rPr>
          <w:rFonts w:eastAsia="Malgun Gothic"/>
          <w:bCs/>
          <w:lang w:val="fr-FR"/>
        </w:rPr>
        <w:t xml:space="preserve"> a présenté le dossier de candidature suivant, </w:t>
      </w:r>
      <w:r w:rsidR="00177AC6" w:rsidRPr="00702497">
        <w:rPr>
          <w:rFonts w:eastAsia="Malgun Gothic"/>
          <w:b/>
          <w:lang w:val="fr-FR"/>
        </w:rPr>
        <w:t>l</w:t>
      </w:r>
      <w:r w:rsidR="00923E72">
        <w:rPr>
          <w:rFonts w:eastAsia="Malgun Gothic"/>
          <w:b/>
          <w:lang w:val="fr-FR"/>
        </w:rPr>
        <w:t>’</w:t>
      </w:r>
      <w:proofErr w:type="spellStart"/>
      <w:r w:rsidR="00177AC6" w:rsidRPr="00702497">
        <w:rPr>
          <w:rFonts w:eastAsia="Malgun Gothic"/>
          <w:b/>
          <w:lang w:val="fr-FR"/>
        </w:rPr>
        <w:t>o</w:t>
      </w:r>
      <w:r w:rsidRPr="00702497">
        <w:rPr>
          <w:rFonts w:eastAsia="Malgun Gothic"/>
          <w:b/>
          <w:lang w:val="fr-FR"/>
        </w:rPr>
        <w:t>rt</w:t>
      </w:r>
      <w:r w:rsidR="00177AC6" w:rsidRPr="00702497">
        <w:rPr>
          <w:rFonts w:eastAsia="Malgun Gothic"/>
          <w:b/>
          <w:lang w:val="fr-FR"/>
        </w:rPr>
        <w:t>é</w:t>
      </w:r>
      <w:r w:rsidRPr="00702497">
        <w:rPr>
          <w:rFonts w:eastAsia="Malgun Gothic"/>
          <w:b/>
          <w:lang w:val="fr-FR"/>
        </w:rPr>
        <w:t>k</w:t>
      </w:r>
      <w:r w:rsidR="00177AC6" w:rsidRPr="00702497">
        <w:rPr>
          <w:rFonts w:eastAsia="Malgun Gothic"/>
          <w:b/>
          <w:lang w:val="fr-FR"/>
        </w:rPr>
        <w:t>é</w:t>
      </w:r>
      <w:proofErr w:type="spellEnd"/>
      <w:r w:rsidRPr="00702497">
        <w:rPr>
          <w:rFonts w:eastAsia="Malgun Gothic"/>
          <w:b/>
          <w:lang w:val="fr-FR"/>
        </w:rPr>
        <w:t xml:space="preserve">, </w:t>
      </w:r>
      <w:r w:rsidR="00177AC6" w:rsidRPr="00702497">
        <w:rPr>
          <w:rFonts w:eastAsia="Malgun Gothic"/>
          <w:b/>
          <w:lang w:val="fr-FR"/>
        </w:rPr>
        <w:t xml:space="preserve">un </w:t>
      </w:r>
      <w:r w:rsidRPr="00702497">
        <w:rPr>
          <w:rFonts w:eastAsia="Malgun Gothic"/>
          <w:b/>
          <w:lang w:val="fr-FR"/>
        </w:rPr>
        <w:t>art du spectacle traditionnel au Kazakhstan</w:t>
      </w:r>
      <w:r w:rsidR="00177AC6">
        <w:rPr>
          <w:rFonts w:eastAsia="Malgun Gothic"/>
          <w:b/>
          <w:lang w:val="fr-FR"/>
        </w:rPr>
        <w:t> </w:t>
      </w:r>
      <w:r w:rsidRPr="00702497">
        <w:rPr>
          <w:rFonts w:eastAsia="Malgun Gothic"/>
          <w:b/>
          <w:lang w:val="fr-FR"/>
        </w:rPr>
        <w:t>: danse, marionnettes et musique</w:t>
      </w:r>
      <w:r w:rsidRPr="000B2884">
        <w:rPr>
          <w:rFonts w:eastAsia="Malgun Gothic"/>
          <w:bCs/>
          <w:lang w:val="fr-FR"/>
        </w:rPr>
        <w:t xml:space="preserve"> [projet de décision</w:t>
      </w:r>
      <w:r w:rsidR="00C05636">
        <w:rPr>
          <w:rFonts w:eastAsia="Malgun Gothic"/>
          <w:bCs/>
          <w:lang w:val="fr-FR"/>
        </w:rPr>
        <w:t> </w:t>
      </w:r>
      <w:r w:rsidRPr="000B2884">
        <w:rPr>
          <w:rFonts w:eastAsia="Malgun Gothic"/>
          <w:bCs/>
          <w:lang w:val="fr-FR"/>
        </w:rPr>
        <w:t xml:space="preserve">7.b.20], soumis par le </w:t>
      </w:r>
      <w:r w:rsidRPr="00702497">
        <w:rPr>
          <w:rFonts w:eastAsia="Malgun Gothic"/>
          <w:b/>
          <w:lang w:val="fr-FR"/>
        </w:rPr>
        <w:t>Kazakhstan</w:t>
      </w:r>
      <w:r w:rsidRPr="000B2884">
        <w:rPr>
          <w:rFonts w:eastAsia="Malgun Gothic"/>
          <w:bCs/>
          <w:lang w:val="fr-FR"/>
        </w:rPr>
        <w:t>, expliquant que l</w:t>
      </w:r>
      <w:r w:rsidR="00923E72">
        <w:rPr>
          <w:rFonts w:eastAsia="Malgun Gothic"/>
          <w:bCs/>
          <w:lang w:val="fr-FR"/>
        </w:rPr>
        <w:t>’</w:t>
      </w:r>
      <w:proofErr w:type="spellStart"/>
      <w:r w:rsidR="00177AC6">
        <w:rPr>
          <w:rFonts w:eastAsia="Malgun Gothic"/>
          <w:bCs/>
          <w:lang w:val="fr-FR"/>
        </w:rPr>
        <w:t>o</w:t>
      </w:r>
      <w:r w:rsidRPr="000B2884">
        <w:rPr>
          <w:rFonts w:eastAsia="Malgun Gothic"/>
          <w:bCs/>
          <w:lang w:val="fr-FR"/>
        </w:rPr>
        <w:t>rt</w:t>
      </w:r>
      <w:r w:rsidR="00177AC6">
        <w:rPr>
          <w:rFonts w:eastAsia="Malgun Gothic"/>
          <w:bCs/>
          <w:lang w:val="fr-FR"/>
        </w:rPr>
        <w:t>é</w:t>
      </w:r>
      <w:r w:rsidRPr="000B2884">
        <w:rPr>
          <w:rFonts w:eastAsia="Malgun Gothic"/>
          <w:bCs/>
          <w:lang w:val="fr-FR"/>
        </w:rPr>
        <w:t>k</w:t>
      </w:r>
      <w:r w:rsidR="00177AC6">
        <w:rPr>
          <w:rFonts w:eastAsia="Malgun Gothic"/>
          <w:bCs/>
          <w:lang w:val="fr-FR"/>
        </w:rPr>
        <w:t>é</w:t>
      </w:r>
      <w:proofErr w:type="spellEnd"/>
      <w:r w:rsidRPr="000B2884">
        <w:rPr>
          <w:rFonts w:eastAsia="Malgun Gothic"/>
          <w:bCs/>
          <w:lang w:val="fr-FR"/>
        </w:rPr>
        <w:t xml:space="preserve"> est un art du spectacle autochtone kazakh</w:t>
      </w:r>
      <w:r w:rsidR="005036DD">
        <w:rPr>
          <w:rFonts w:eastAsia="Malgun Gothic"/>
          <w:bCs/>
          <w:lang w:val="fr-FR"/>
        </w:rPr>
        <w:t xml:space="preserve"> qui </w:t>
      </w:r>
      <w:r w:rsidRPr="000B2884">
        <w:rPr>
          <w:rFonts w:eastAsia="Malgun Gothic"/>
          <w:bCs/>
          <w:lang w:val="fr-FR"/>
        </w:rPr>
        <w:t>associ</w:t>
      </w:r>
      <w:r w:rsidR="005036DD">
        <w:rPr>
          <w:rFonts w:eastAsia="Malgun Gothic"/>
          <w:bCs/>
          <w:lang w:val="fr-FR"/>
        </w:rPr>
        <w:t>e</w:t>
      </w:r>
      <w:r w:rsidRPr="000B2884">
        <w:rPr>
          <w:rFonts w:eastAsia="Malgun Gothic"/>
          <w:bCs/>
          <w:lang w:val="fr-FR"/>
        </w:rPr>
        <w:t xml:space="preserve"> </w:t>
      </w:r>
      <w:r w:rsidR="00177AC6">
        <w:rPr>
          <w:rFonts w:eastAsia="Malgun Gothic"/>
          <w:bCs/>
          <w:lang w:val="fr-FR"/>
        </w:rPr>
        <w:t>t</w:t>
      </w:r>
      <w:r w:rsidRPr="000B2884">
        <w:rPr>
          <w:rFonts w:eastAsia="Malgun Gothic"/>
          <w:bCs/>
          <w:lang w:val="fr-FR"/>
        </w:rPr>
        <w:t xml:space="preserve">héâtre, musique et marionnettes, et que cet art </w:t>
      </w:r>
      <w:r w:rsidR="00177AC6">
        <w:rPr>
          <w:rFonts w:eastAsia="Malgun Gothic"/>
          <w:bCs/>
          <w:lang w:val="fr-FR"/>
        </w:rPr>
        <w:t xml:space="preserve">populaire combine </w:t>
      </w:r>
      <w:r w:rsidRPr="000B2884">
        <w:rPr>
          <w:rFonts w:eastAsia="Malgun Gothic"/>
          <w:bCs/>
          <w:lang w:val="fr-FR"/>
        </w:rPr>
        <w:t>un spectacle musical</w:t>
      </w:r>
      <w:r w:rsidR="00177AC6">
        <w:rPr>
          <w:rFonts w:eastAsia="Malgun Gothic"/>
          <w:bCs/>
          <w:lang w:val="fr-FR"/>
        </w:rPr>
        <w:t xml:space="preserve"> interprété sur une dombra</w:t>
      </w:r>
      <w:r w:rsidRPr="000B2884">
        <w:rPr>
          <w:rFonts w:eastAsia="Malgun Gothic"/>
          <w:bCs/>
          <w:lang w:val="fr-FR"/>
        </w:rPr>
        <w:t>, un instrument traditionnel à deux cordes, et une danse exécutée par une marionnette en bois. Après avoir entamé un processus de dialogue sur le critère</w:t>
      </w:r>
      <w:r w:rsidR="00C05636">
        <w:rPr>
          <w:rFonts w:eastAsia="Malgun Gothic"/>
          <w:bCs/>
          <w:lang w:val="fr-FR"/>
        </w:rPr>
        <w:t> </w:t>
      </w:r>
      <w:r w:rsidRPr="000B2884">
        <w:rPr>
          <w:rFonts w:eastAsia="Malgun Gothic"/>
          <w:bCs/>
          <w:lang w:val="fr-FR"/>
        </w:rPr>
        <w:t>R.3 relatif à la participation de la communauté à la planification et à la mise en œuvre des mesures de sauvegarde, l</w:t>
      </w:r>
      <w:r w:rsidR="00923E72">
        <w:rPr>
          <w:rFonts w:eastAsia="Malgun Gothic"/>
          <w:bCs/>
          <w:lang w:val="fr-FR"/>
        </w:rPr>
        <w:t>’</w:t>
      </w:r>
      <w:r w:rsidRPr="000B2884">
        <w:rPr>
          <w:rFonts w:eastAsia="Malgun Gothic"/>
          <w:bCs/>
          <w:lang w:val="fr-FR"/>
        </w:rPr>
        <w:t>Organe d</w:t>
      </w:r>
      <w:r w:rsidR="00923E72">
        <w:rPr>
          <w:rFonts w:eastAsia="Malgun Gothic"/>
          <w:bCs/>
          <w:lang w:val="fr-FR"/>
        </w:rPr>
        <w:t>’</w:t>
      </w:r>
      <w:r w:rsidRPr="000B2884">
        <w:rPr>
          <w:rFonts w:eastAsia="Malgun Gothic"/>
          <w:bCs/>
          <w:lang w:val="fr-FR"/>
        </w:rPr>
        <w:t>évaluation avait estimé que les critères</w:t>
      </w:r>
      <w:r w:rsidR="00177AC6">
        <w:rPr>
          <w:rFonts w:eastAsia="Malgun Gothic"/>
          <w:bCs/>
          <w:lang w:val="fr-FR"/>
        </w:rPr>
        <w:t> </w:t>
      </w:r>
      <w:r w:rsidRPr="000B2884">
        <w:rPr>
          <w:rFonts w:eastAsia="Malgun Gothic"/>
          <w:bCs/>
          <w:lang w:val="fr-FR"/>
        </w:rPr>
        <w:t>R.1,</w:t>
      </w:r>
      <w:r w:rsidR="00C05636">
        <w:rPr>
          <w:rFonts w:eastAsia="Malgun Gothic"/>
          <w:bCs/>
          <w:lang w:val="fr-FR"/>
        </w:rPr>
        <w:t> </w:t>
      </w:r>
      <w:r w:rsidRPr="000B2884">
        <w:rPr>
          <w:rFonts w:eastAsia="Malgun Gothic"/>
          <w:bCs/>
          <w:lang w:val="fr-FR"/>
        </w:rPr>
        <w:t>R.2,</w:t>
      </w:r>
      <w:r w:rsidR="00C05636">
        <w:rPr>
          <w:rFonts w:eastAsia="Malgun Gothic"/>
          <w:bCs/>
          <w:lang w:val="fr-FR"/>
        </w:rPr>
        <w:t> </w:t>
      </w:r>
      <w:r w:rsidRPr="000B2884">
        <w:rPr>
          <w:rFonts w:eastAsia="Malgun Gothic"/>
          <w:bCs/>
          <w:lang w:val="fr-FR"/>
        </w:rPr>
        <w:t>R.4 et</w:t>
      </w:r>
      <w:r w:rsidR="00C05636">
        <w:rPr>
          <w:rFonts w:eastAsia="Malgun Gothic"/>
          <w:bCs/>
          <w:lang w:val="fr-FR"/>
        </w:rPr>
        <w:t> </w:t>
      </w:r>
      <w:r w:rsidRPr="000B2884">
        <w:rPr>
          <w:rFonts w:eastAsia="Malgun Gothic"/>
          <w:bCs/>
          <w:lang w:val="fr-FR"/>
        </w:rPr>
        <w:t>R.5 étaient satisfaits, mais que les informations transmises à l</w:t>
      </w:r>
      <w:r w:rsidR="00923E72">
        <w:rPr>
          <w:rFonts w:eastAsia="Malgun Gothic"/>
          <w:bCs/>
          <w:lang w:val="fr-FR"/>
        </w:rPr>
        <w:t>’</w:t>
      </w:r>
      <w:r w:rsidRPr="000B2884">
        <w:rPr>
          <w:rFonts w:eastAsia="Malgun Gothic"/>
          <w:bCs/>
          <w:lang w:val="fr-FR"/>
        </w:rPr>
        <w:t>issue du dialogue n</w:t>
      </w:r>
      <w:r w:rsidR="00923E72">
        <w:rPr>
          <w:rFonts w:eastAsia="Malgun Gothic"/>
          <w:bCs/>
          <w:lang w:val="fr-FR"/>
        </w:rPr>
        <w:t>’</w:t>
      </w:r>
      <w:r w:rsidRPr="000B2884">
        <w:rPr>
          <w:rFonts w:eastAsia="Malgun Gothic"/>
          <w:bCs/>
          <w:lang w:val="fr-FR"/>
        </w:rPr>
        <w:t>étaient pas suffisantes pour déterminer si le critère</w:t>
      </w:r>
      <w:r w:rsidR="00177AC6">
        <w:rPr>
          <w:rFonts w:eastAsia="Malgun Gothic"/>
          <w:bCs/>
          <w:lang w:val="fr-FR"/>
        </w:rPr>
        <w:t> </w:t>
      </w:r>
      <w:r w:rsidRPr="000B2884">
        <w:rPr>
          <w:rFonts w:eastAsia="Malgun Gothic"/>
          <w:bCs/>
          <w:lang w:val="fr-FR"/>
        </w:rPr>
        <w:t>R.3 était</w:t>
      </w:r>
      <w:r w:rsidR="00177AC6">
        <w:rPr>
          <w:rFonts w:eastAsia="Malgun Gothic"/>
          <w:bCs/>
          <w:lang w:val="fr-FR"/>
        </w:rPr>
        <w:t xml:space="preserve"> satisfait</w:t>
      </w:r>
      <w:r w:rsidRPr="000B2884">
        <w:rPr>
          <w:rFonts w:eastAsia="Malgun Gothic"/>
          <w:bCs/>
          <w:lang w:val="fr-FR"/>
        </w:rPr>
        <w:t>. En particulier, l</w:t>
      </w:r>
      <w:r w:rsidR="00923E72">
        <w:rPr>
          <w:rFonts w:eastAsia="Malgun Gothic"/>
          <w:bCs/>
          <w:lang w:val="fr-FR"/>
        </w:rPr>
        <w:t>’</w:t>
      </w:r>
      <w:r w:rsidRPr="000B2884">
        <w:rPr>
          <w:rFonts w:eastAsia="Malgun Gothic"/>
          <w:bCs/>
          <w:lang w:val="fr-FR"/>
        </w:rPr>
        <w:t>Organe avait noté que le dossier ne détaillait pas suffisamment la participation et le</w:t>
      </w:r>
      <w:r w:rsidR="00177AC6">
        <w:rPr>
          <w:rFonts w:eastAsia="Malgun Gothic"/>
          <w:bCs/>
          <w:lang w:val="fr-FR"/>
        </w:rPr>
        <w:t>s</w:t>
      </w:r>
      <w:r w:rsidRPr="000B2884">
        <w:rPr>
          <w:rFonts w:eastAsia="Malgun Gothic"/>
          <w:bCs/>
          <w:lang w:val="fr-FR"/>
        </w:rPr>
        <w:t xml:space="preserve"> rôle</w:t>
      </w:r>
      <w:r w:rsidR="00177AC6">
        <w:rPr>
          <w:rFonts w:eastAsia="Malgun Gothic"/>
          <w:bCs/>
          <w:lang w:val="fr-FR"/>
        </w:rPr>
        <w:t>s</w:t>
      </w:r>
      <w:r w:rsidRPr="000B2884">
        <w:rPr>
          <w:rFonts w:eastAsia="Malgun Gothic"/>
          <w:bCs/>
          <w:lang w:val="fr-FR"/>
        </w:rPr>
        <w:t xml:space="preserve"> de la communauté </w:t>
      </w:r>
      <w:r w:rsidR="002F1676">
        <w:rPr>
          <w:rFonts w:eastAsia="Malgun Gothic"/>
          <w:bCs/>
          <w:lang w:val="fr-FR"/>
        </w:rPr>
        <w:t xml:space="preserve">dans </w:t>
      </w:r>
      <w:r w:rsidRPr="000B2884">
        <w:rPr>
          <w:rFonts w:eastAsia="Malgun Gothic"/>
          <w:bCs/>
          <w:lang w:val="fr-FR"/>
        </w:rPr>
        <w:t>la planification et la mise en œuvre des mesures de sauvegarde proposées. L</w:t>
      </w:r>
      <w:r w:rsidR="00923E72">
        <w:rPr>
          <w:rFonts w:eastAsia="Malgun Gothic"/>
          <w:bCs/>
          <w:lang w:val="fr-FR"/>
        </w:rPr>
        <w:t>’</w:t>
      </w:r>
      <w:r w:rsidRPr="000B2884">
        <w:rPr>
          <w:rFonts w:eastAsia="Malgun Gothic"/>
          <w:bCs/>
          <w:lang w:val="fr-FR"/>
        </w:rPr>
        <w:t>État partie n</w:t>
      </w:r>
      <w:r w:rsidR="00923E72">
        <w:rPr>
          <w:rFonts w:eastAsia="Malgun Gothic"/>
          <w:bCs/>
          <w:lang w:val="fr-FR"/>
        </w:rPr>
        <w:t>’</w:t>
      </w:r>
      <w:r w:rsidRPr="000B2884">
        <w:rPr>
          <w:rFonts w:eastAsia="Malgun Gothic"/>
          <w:bCs/>
          <w:lang w:val="fr-FR"/>
        </w:rPr>
        <w:t>avait pas fourni les éclaircissements demandés au cours du processus de dialogue. En conclusion, l</w:t>
      </w:r>
      <w:r w:rsidR="00923E72">
        <w:rPr>
          <w:rFonts w:eastAsia="Malgun Gothic"/>
          <w:bCs/>
          <w:lang w:val="fr-FR"/>
        </w:rPr>
        <w:t>’</w:t>
      </w:r>
      <w:r w:rsidRPr="000B2884">
        <w:rPr>
          <w:rFonts w:eastAsia="Malgun Gothic"/>
          <w:bCs/>
          <w:lang w:val="fr-FR"/>
        </w:rPr>
        <w:t>Organe recommandait que cette candidature soit renvoyée à l</w:t>
      </w:r>
      <w:r w:rsidR="00923E72">
        <w:rPr>
          <w:rFonts w:eastAsia="Malgun Gothic"/>
          <w:bCs/>
          <w:lang w:val="fr-FR"/>
        </w:rPr>
        <w:t>’</w:t>
      </w:r>
      <w:r w:rsidRPr="000B2884">
        <w:rPr>
          <w:rFonts w:eastAsia="Malgun Gothic"/>
          <w:bCs/>
          <w:lang w:val="fr-FR"/>
        </w:rPr>
        <w:t>État soumissionnaire.</w:t>
      </w:r>
    </w:p>
    <w:p w14:paraId="65BCC7D1" w14:textId="0A17FDA5" w:rsidR="00177AC6" w:rsidRDefault="00177AC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annoncé qu</w:t>
      </w:r>
      <w:r w:rsidR="00923E72">
        <w:rPr>
          <w:rFonts w:eastAsia="Malgun Gothic"/>
          <w:bCs/>
          <w:lang w:val="fr-FR"/>
        </w:rPr>
        <w:t>’</w:t>
      </w:r>
      <w:r>
        <w:rPr>
          <w:rFonts w:eastAsia="Malgun Gothic"/>
          <w:bCs/>
          <w:lang w:val="fr-FR"/>
        </w:rPr>
        <w:t xml:space="preserve">un </w:t>
      </w:r>
      <w:r w:rsidRPr="00177AC6">
        <w:rPr>
          <w:rFonts w:eastAsia="Malgun Gothic"/>
          <w:bCs/>
          <w:lang w:val="fr-FR"/>
        </w:rPr>
        <w:t>amendement</w:t>
      </w:r>
      <w:r>
        <w:rPr>
          <w:rFonts w:eastAsia="Malgun Gothic"/>
          <w:bCs/>
          <w:lang w:val="fr-FR"/>
        </w:rPr>
        <w:t xml:space="preserve"> au projet de décision avait été reçu de l</w:t>
      </w:r>
      <w:r w:rsidR="00923E72">
        <w:rPr>
          <w:rFonts w:eastAsia="Malgun Gothic"/>
          <w:bCs/>
          <w:lang w:val="fr-FR"/>
        </w:rPr>
        <w:t>’</w:t>
      </w:r>
      <w:r>
        <w:rPr>
          <w:rFonts w:eastAsia="Malgun Gothic"/>
          <w:bCs/>
          <w:lang w:val="fr-FR"/>
        </w:rPr>
        <w:t>Inde, et il a invité l</w:t>
      </w:r>
      <w:r w:rsidR="00923E72">
        <w:rPr>
          <w:rFonts w:eastAsia="Malgun Gothic"/>
          <w:bCs/>
          <w:lang w:val="fr-FR"/>
        </w:rPr>
        <w:t>’</w:t>
      </w:r>
      <w:r>
        <w:rPr>
          <w:rFonts w:eastAsia="Malgun Gothic"/>
          <w:bCs/>
          <w:lang w:val="fr-FR"/>
        </w:rPr>
        <w:t xml:space="preserve">Inde à présenter cet </w:t>
      </w:r>
      <w:r w:rsidRPr="00177AC6">
        <w:rPr>
          <w:rFonts w:eastAsia="Malgun Gothic"/>
          <w:bCs/>
          <w:lang w:val="fr-FR"/>
        </w:rPr>
        <w:t>amendement</w:t>
      </w:r>
      <w:r>
        <w:rPr>
          <w:rFonts w:eastAsia="Malgun Gothic"/>
          <w:bCs/>
          <w:lang w:val="fr-FR"/>
        </w:rPr>
        <w:t>.</w:t>
      </w:r>
    </w:p>
    <w:p w14:paraId="38928DEC" w14:textId="123D28C4" w:rsidR="00177AC6" w:rsidRDefault="00177AC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77AC6">
        <w:rPr>
          <w:rFonts w:eastAsia="Malgun Gothic"/>
          <w:bCs/>
          <w:lang w:val="fr-FR"/>
        </w:rPr>
        <w:t>La délégation de l</w:t>
      </w:r>
      <w:r w:rsidR="00923E72">
        <w:rPr>
          <w:rFonts w:eastAsia="Malgun Gothic"/>
          <w:bCs/>
          <w:lang w:val="fr-FR"/>
        </w:rPr>
        <w:t>’</w:t>
      </w:r>
      <w:r w:rsidRPr="00702497">
        <w:rPr>
          <w:rFonts w:eastAsia="Malgun Gothic"/>
          <w:b/>
          <w:lang w:val="fr-FR"/>
        </w:rPr>
        <w:t>Inde</w:t>
      </w:r>
      <w:r w:rsidRPr="00177AC6">
        <w:rPr>
          <w:rFonts w:eastAsia="Malgun Gothic"/>
          <w:bCs/>
          <w:lang w:val="fr-FR"/>
        </w:rPr>
        <w:t xml:space="preserve"> a fait observer que cet élément est très important pour la culture et le peuple du Kazakhstan, ajoutant que les républiques d</w:t>
      </w:r>
      <w:r w:rsidR="00923E72">
        <w:rPr>
          <w:rFonts w:eastAsia="Malgun Gothic"/>
          <w:bCs/>
          <w:lang w:val="fr-FR"/>
        </w:rPr>
        <w:t>’</w:t>
      </w:r>
      <w:r w:rsidRPr="00177AC6">
        <w:rPr>
          <w:rFonts w:eastAsia="Malgun Gothic"/>
          <w:bCs/>
          <w:lang w:val="fr-FR"/>
        </w:rPr>
        <w:t>Asie centrale sont très proches de l</w:t>
      </w:r>
      <w:r w:rsidR="00923E72">
        <w:rPr>
          <w:rFonts w:eastAsia="Malgun Gothic"/>
          <w:bCs/>
          <w:lang w:val="fr-FR"/>
        </w:rPr>
        <w:t>’</w:t>
      </w:r>
      <w:r w:rsidRPr="00177AC6">
        <w:rPr>
          <w:rFonts w:eastAsia="Malgun Gothic"/>
          <w:bCs/>
          <w:lang w:val="fr-FR"/>
        </w:rPr>
        <w:t>Inde. Elle a remercié l</w:t>
      </w:r>
      <w:r w:rsidR="00923E72">
        <w:rPr>
          <w:rFonts w:eastAsia="Malgun Gothic"/>
          <w:bCs/>
          <w:lang w:val="fr-FR"/>
        </w:rPr>
        <w:t>’</w:t>
      </w:r>
      <w:r w:rsidRPr="00177AC6">
        <w:rPr>
          <w:rFonts w:eastAsia="Malgun Gothic"/>
          <w:bCs/>
          <w:lang w:val="fr-FR"/>
        </w:rPr>
        <w:t>Organe d</w:t>
      </w:r>
      <w:r w:rsidR="00923E72">
        <w:rPr>
          <w:rFonts w:eastAsia="Malgun Gothic"/>
          <w:bCs/>
          <w:lang w:val="fr-FR"/>
        </w:rPr>
        <w:t>’</w:t>
      </w:r>
      <w:r w:rsidRPr="00177AC6">
        <w:rPr>
          <w:rFonts w:eastAsia="Malgun Gothic"/>
          <w:bCs/>
          <w:lang w:val="fr-FR"/>
        </w:rPr>
        <w:t xml:space="preserve">évaluation pour son travail </w:t>
      </w:r>
      <w:r w:rsidR="00307C17">
        <w:rPr>
          <w:rFonts w:eastAsia="Malgun Gothic"/>
          <w:bCs/>
          <w:lang w:val="fr-FR"/>
        </w:rPr>
        <w:t xml:space="preserve">acharné </w:t>
      </w:r>
      <w:r w:rsidRPr="00177AC6">
        <w:rPr>
          <w:rFonts w:eastAsia="Malgun Gothic"/>
          <w:bCs/>
          <w:lang w:val="fr-FR"/>
        </w:rPr>
        <w:t xml:space="preserve">et les précieuses informations fournies </w:t>
      </w:r>
      <w:r w:rsidR="008721B6">
        <w:rPr>
          <w:rFonts w:eastAsia="Malgun Gothic"/>
          <w:bCs/>
          <w:lang w:val="fr-FR"/>
        </w:rPr>
        <w:t>à propos de</w:t>
      </w:r>
      <w:r w:rsidRPr="00177AC6">
        <w:rPr>
          <w:rFonts w:eastAsia="Malgun Gothic"/>
          <w:bCs/>
          <w:lang w:val="fr-FR"/>
        </w:rPr>
        <w:t xml:space="preserve"> ce dossier. Comme l</w:t>
      </w:r>
      <w:r w:rsidR="00923E72">
        <w:rPr>
          <w:rFonts w:eastAsia="Malgun Gothic"/>
          <w:bCs/>
          <w:lang w:val="fr-FR"/>
        </w:rPr>
        <w:t>’</w:t>
      </w:r>
      <w:r w:rsidRPr="00177AC6">
        <w:rPr>
          <w:rFonts w:eastAsia="Malgun Gothic"/>
          <w:bCs/>
          <w:lang w:val="fr-FR"/>
        </w:rPr>
        <w:t>avait expliqué l</w:t>
      </w:r>
      <w:r w:rsidR="00923E72">
        <w:rPr>
          <w:rFonts w:eastAsia="Malgun Gothic"/>
          <w:bCs/>
          <w:lang w:val="fr-FR"/>
        </w:rPr>
        <w:t>’</w:t>
      </w:r>
      <w:r w:rsidRPr="00177AC6">
        <w:rPr>
          <w:rFonts w:eastAsia="Malgun Gothic"/>
          <w:bCs/>
          <w:lang w:val="fr-FR"/>
        </w:rPr>
        <w:t>Organe, le dossier satisfaisait à quatre critères,</w:t>
      </w:r>
      <w:r w:rsidR="00C05636">
        <w:rPr>
          <w:rFonts w:eastAsia="Malgun Gothic"/>
          <w:bCs/>
          <w:lang w:val="fr-FR"/>
        </w:rPr>
        <w:t> </w:t>
      </w:r>
      <w:r w:rsidRPr="00177AC6">
        <w:rPr>
          <w:rFonts w:eastAsia="Malgun Gothic"/>
          <w:bCs/>
          <w:lang w:val="fr-FR"/>
        </w:rPr>
        <w:t>R.1,</w:t>
      </w:r>
      <w:r w:rsidR="00C05636">
        <w:rPr>
          <w:rFonts w:eastAsia="Malgun Gothic"/>
          <w:bCs/>
          <w:lang w:val="fr-FR"/>
        </w:rPr>
        <w:t> </w:t>
      </w:r>
      <w:r w:rsidRPr="00177AC6">
        <w:rPr>
          <w:rFonts w:eastAsia="Malgun Gothic"/>
          <w:bCs/>
          <w:lang w:val="fr-FR"/>
        </w:rPr>
        <w:t>R.2,</w:t>
      </w:r>
      <w:r w:rsidR="00C05636">
        <w:rPr>
          <w:rFonts w:eastAsia="Malgun Gothic"/>
          <w:bCs/>
          <w:lang w:val="fr-FR"/>
        </w:rPr>
        <w:t> </w:t>
      </w:r>
      <w:r w:rsidRPr="00177AC6">
        <w:rPr>
          <w:rFonts w:eastAsia="Malgun Gothic"/>
          <w:bCs/>
          <w:lang w:val="fr-FR"/>
        </w:rPr>
        <w:t>R.4 et</w:t>
      </w:r>
      <w:r w:rsidR="00C05636">
        <w:rPr>
          <w:rFonts w:eastAsia="Malgun Gothic"/>
          <w:bCs/>
          <w:lang w:val="fr-FR"/>
        </w:rPr>
        <w:t> </w:t>
      </w:r>
      <w:r w:rsidRPr="00177AC6">
        <w:rPr>
          <w:rFonts w:eastAsia="Malgun Gothic"/>
          <w:bCs/>
          <w:lang w:val="fr-FR"/>
        </w:rPr>
        <w:t>R.5. Le problème concernait le critère</w:t>
      </w:r>
      <w:r w:rsidR="00307C17">
        <w:rPr>
          <w:rFonts w:eastAsia="Malgun Gothic"/>
          <w:bCs/>
          <w:lang w:val="fr-FR"/>
        </w:rPr>
        <w:t> </w:t>
      </w:r>
      <w:r w:rsidRPr="00177AC6">
        <w:rPr>
          <w:rFonts w:eastAsia="Malgun Gothic"/>
          <w:bCs/>
          <w:lang w:val="fr-FR"/>
        </w:rPr>
        <w:t>R.3 et était lié à l</w:t>
      </w:r>
      <w:r w:rsidR="00923E72">
        <w:rPr>
          <w:rFonts w:eastAsia="Malgun Gothic"/>
          <w:bCs/>
          <w:lang w:val="fr-FR"/>
        </w:rPr>
        <w:t>’</w:t>
      </w:r>
      <w:r w:rsidRPr="00177AC6">
        <w:rPr>
          <w:rFonts w:eastAsia="Malgun Gothic"/>
          <w:bCs/>
          <w:lang w:val="fr-FR"/>
        </w:rPr>
        <w:t xml:space="preserve">insuffisance de détails fournis sur la participation des communautés </w:t>
      </w:r>
      <w:r w:rsidR="008F6EAF">
        <w:rPr>
          <w:rFonts w:eastAsia="Malgun Gothic"/>
          <w:bCs/>
          <w:lang w:val="fr-FR"/>
        </w:rPr>
        <w:t xml:space="preserve">à </w:t>
      </w:r>
      <w:r w:rsidRPr="00177AC6">
        <w:rPr>
          <w:rFonts w:eastAsia="Malgun Gothic"/>
          <w:bCs/>
          <w:lang w:val="fr-FR"/>
        </w:rPr>
        <w:t>la planification et la mise en œuvre des mesures de sauvegarde</w:t>
      </w:r>
      <w:r w:rsidR="008F6EAF">
        <w:rPr>
          <w:rFonts w:eastAsia="Malgun Gothic"/>
          <w:bCs/>
          <w:lang w:val="fr-FR"/>
        </w:rPr>
        <w:t>, ainsi que sur leur rôle dans ces activités</w:t>
      </w:r>
      <w:r w:rsidRPr="00177AC6">
        <w:rPr>
          <w:rFonts w:eastAsia="Malgun Gothic"/>
          <w:bCs/>
          <w:lang w:val="fr-FR"/>
        </w:rPr>
        <w:t>. À cet égard, le Kazakhstan avait transmis à l</w:t>
      </w:r>
      <w:r w:rsidR="00923E72">
        <w:rPr>
          <w:rFonts w:eastAsia="Malgun Gothic"/>
          <w:bCs/>
          <w:lang w:val="fr-FR"/>
        </w:rPr>
        <w:t>’</w:t>
      </w:r>
      <w:r w:rsidRPr="00177AC6">
        <w:rPr>
          <w:rFonts w:eastAsia="Malgun Gothic"/>
          <w:bCs/>
          <w:lang w:val="fr-FR"/>
        </w:rPr>
        <w:t>Inde les informations pertinentes et nécessaires visant à garantir la viabilité de l</w:t>
      </w:r>
      <w:r w:rsidR="00923E72">
        <w:rPr>
          <w:rFonts w:eastAsia="Malgun Gothic"/>
          <w:bCs/>
          <w:lang w:val="fr-FR"/>
        </w:rPr>
        <w:t>’</w:t>
      </w:r>
      <w:r w:rsidRPr="00177AC6">
        <w:rPr>
          <w:rFonts w:eastAsia="Malgun Gothic"/>
          <w:bCs/>
          <w:lang w:val="fr-FR"/>
        </w:rPr>
        <w:t>élément, ce qui, selon l</w:t>
      </w:r>
      <w:r w:rsidR="00923E72">
        <w:rPr>
          <w:rFonts w:eastAsia="Malgun Gothic"/>
          <w:bCs/>
          <w:lang w:val="fr-FR"/>
        </w:rPr>
        <w:t>’</w:t>
      </w:r>
      <w:r w:rsidRPr="00177AC6">
        <w:rPr>
          <w:rFonts w:eastAsia="Malgun Gothic"/>
          <w:bCs/>
          <w:lang w:val="fr-FR"/>
        </w:rPr>
        <w:t>orateur, permettait de satisfaire au critère</w:t>
      </w:r>
      <w:r w:rsidR="00C05636">
        <w:rPr>
          <w:rFonts w:eastAsia="Malgun Gothic"/>
          <w:bCs/>
          <w:lang w:val="fr-FR"/>
        </w:rPr>
        <w:t> </w:t>
      </w:r>
      <w:r w:rsidRPr="00177AC6">
        <w:rPr>
          <w:rFonts w:eastAsia="Malgun Gothic"/>
          <w:bCs/>
          <w:lang w:val="fr-FR"/>
        </w:rPr>
        <w:t>R.3. Elle a également noté que des mesures suffisantes avaient été prises et étaient prévues à l</w:t>
      </w:r>
      <w:r w:rsidR="00923E72">
        <w:rPr>
          <w:rFonts w:eastAsia="Malgun Gothic"/>
          <w:bCs/>
          <w:lang w:val="fr-FR"/>
        </w:rPr>
        <w:t>’</w:t>
      </w:r>
      <w:r w:rsidRPr="00177AC6">
        <w:rPr>
          <w:rFonts w:eastAsia="Malgun Gothic"/>
          <w:bCs/>
          <w:lang w:val="fr-FR"/>
        </w:rPr>
        <w:t>avenir pour assurer la participation la plus large possible de la communauté à l</w:t>
      </w:r>
      <w:r w:rsidR="00923E72">
        <w:rPr>
          <w:rFonts w:eastAsia="Malgun Gothic"/>
          <w:bCs/>
          <w:lang w:val="fr-FR"/>
        </w:rPr>
        <w:t>’</w:t>
      </w:r>
      <w:r w:rsidRPr="00177AC6">
        <w:rPr>
          <w:rFonts w:eastAsia="Malgun Gothic"/>
          <w:bCs/>
          <w:lang w:val="fr-FR"/>
        </w:rPr>
        <w:t>élaboration et à la mise en œuvre des mesures et des plans de sauvegarde proposés. Le dossier de candidature soulignait en outre la manière dont l</w:t>
      </w:r>
      <w:r w:rsidR="00923E72">
        <w:rPr>
          <w:rFonts w:eastAsia="Malgun Gothic"/>
          <w:bCs/>
          <w:lang w:val="fr-FR"/>
        </w:rPr>
        <w:t>’</w:t>
      </w:r>
      <w:r w:rsidRPr="00177AC6">
        <w:rPr>
          <w:rFonts w:eastAsia="Malgun Gothic"/>
          <w:bCs/>
          <w:lang w:val="fr-FR"/>
        </w:rPr>
        <w:t>État partie soumissionnaire utilise l</w:t>
      </w:r>
      <w:r w:rsidR="00923E72">
        <w:rPr>
          <w:rFonts w:eastAsia="Malgun Gothic"/>
          <w:bCs/>
          <w:lang w:val="fr-FR"/>
        </w:rPr>
        <w:t>’</w:t>
      </w:r>
      <w:r w:rsidRPr="00177AC6">
        <w:rPr>
          <w:rFonts w:eastAsia="Malgun Gothic"/>
          <w:bCs/>
          <w:lang w:val="fr-FR"/>
        </w:rPr>
        <w:t xml:space="preserve">éducation formelle et non formelle comme mesure de sauvegarde pour </w:t>
      </w:r>
      <w:r w:rsidR="00307C17">
        <w:rPr>
          <w:rFonts w:eastAsia="Malgun Gothic"/>
          <w:bCs/>
          <w:lang w:val="fr-FR"/>
        </w:rPr>
        <w:t xml:space="preserve">garantir </w:t>
      </w:r>
      <w:r w:rsidRPr="00177AC6">
        <w:rPr>
          <w:rFonts w:eastAsia="Malgun Gothic"/>
          <w:bCs/>
          <w:lang w:val="fr-FR"/>
        </w:rPr>
        <w:t>la viabilité de l</w:t>
      </w:r>
      <w:r w:rsidR="00923E72">
        <w:rPr>
          <w:rFonts w:eastAsia="Malgun Gothic"/>
          <w:bCs/>
          <w:lang w:val="fr-FR"/>
        </w:rPr>
        <w:t>’</w:t>
      </w:r>
      <w:r w:rsidRPr="00177AC6">
        <w:rPr>
          <w:rFonts w:eastAsia="Malgun Gothic"/>
          <w:bCs/>
          <w:lang w:val="fr-FR"/>
        </w:rPr>
        <w:t>élément, notamment sur le plan traditionnel, où l</w:t>
      </w:r>
      <w:r w:rsidR="00923E72">
        <w:rPr>
          <w:rFonts w:eastAsia="Malgun Gothic"/>
          <w:bCs/>
          <w:lang w:val="fr-FR"/>
        </w:rPr>
        <w:t>’</w:t>
      </w:r>
      <w:r w:rsidRPr="00177AC6">
        <w:rPr>
          <w:rFonts w:eastAsia="Malgun Gothic"/>
          <w:bCs/>
          <w:lang w:val="fr-FR"/>
        </w:rPr>
        <w:t>enseignement et la transmission ont lieu dans le cadre d</w:t>
      </w:r>
      <w:r w:rsidR="00923E72">
        <w:rPr>
          <w:rFonts w:eastAsia="Malgun Gothic"/>
          <w:bCs/>
          <w:lang w:val="fr-FR"/>
        </w:rPr>
        <w:t>’</w:t>
      </w:r>
      <w:r w:rsidRPr="00177AC6">
        <w:rPr>
          <w:rFonts w:eastAsia="Malgun Gothic"/>
          <w:bCs/>
          <w:lang w:val="fr-FR"/>
        </w:rPr>
        <w:t>un système basé sur le maître et l</w:t>
      </w:r>
      <w:r w:rsidR="00923E72">
        <w:rPr>
          <w:rFonts w:eastAsia="Malgun Gothic"/>
          <w:bCs/>
          <w:lang w:val="fr-FR"/>
        </w:rPr>
        <w:t>’</w:t>
      </w:r>
      <w:r w:rsidRPr="00177AC6">
        <w:rPr>
          <w:rFonts w:eastAsia="Malgun Gothic"/>
          <w:bCs/>
          <w:lang w:val="fr-FR"/>
        </w:rPr>
        <w:t>apprenti, connu localement sous le nom d</w:t>
      </w:r>
      <w:r w:rsidR="00923E72">
        <w:rPr>
          <w:rFonts w:eastAsia="Malgun Gothic"/>
          <w:bCs/>
          <w:lang w:val="fr-FR"/>
        </w:rPr>
        <w:t>’</w:t>
      </w:r>
      <w:proofErr w:type="spellStart"/>
      <w:r w:rsidRPr="00177AC6">
        <w:rPr>
          <w:rFonts w:eastAsia="Malgun Gothic"/>
          <w:bCs/>
          <w:lang w:val="fr-FR"/>
        </w:rPr>
        <w:t>Ustaz-Shakird</w:t>
      </w:r>
      <w:proofErr w:type="spellEnd"/>
      <w:r w:rsidRPr="00177AC6">
        <w:rPr>
          <w:rFonts w:eastAsia="Malgun Gothic"/>
          <w:bCs/>
          <w:lang w:val="fr-FR"/>
        </w:rPr>
        <w:t>. Sur le plan formel, l</w:t>
      </w:r>
      <w:r w:rsidR="00923E72">
        <w:rPr>
          <w:rFonts w:eastAsia="Malgun Gothic"/>
          <w:bCs/>
          <w:lang w:val="fr-FR"/>
        </w:rPr>
        <w:t>’</w:t>
      </w:r>
      <w:proofErr w:type="spellStart"/>
      <w:r w:rsidRPr="00177AC6">
        <w:rPr>
          <w:rFonts w:eastAsia="Malgun Gothic"/>
          <w:bCs/>
          <w:lang w:val="fr-FR"/>
        </w:rPr>
        <w:t>ortéké</w:t>
      </w:r>
      <w:proofErr w:type="spellEnd"/>
      <w:r w:rsidRPr="00177AC6">
        <w:rPr>
          <w:rFonts w:eastAsia="Malgun Gothic"/>
          <w:bCs/>
          <w:lang w:val="fr-FR"/>
        </w:rPr>
        <w:t xml:space="preserve"> avait été introduit dans le programme d</w:t>
      </w:r>
      <w:r w:rsidR="00923E72">
        <w:rPr>
          <w:rFonts w:eastAsia="Malgun Gothic"/>
          <w:bCs/>
          <w:lang w:val="fr-FR"/>
        </w:rPr>
        <w:t>’</w:t>
      </w:r>
      <w:r w:rsidRPr="00177AC6">
        <w:rPr>
          <w:rFonts w:eastAsia="Malgun Gothic"/>
          <w:bCs/>
          <w:lang w:val="fr-FR"/>
        </w:rPr>
        <w:t>études d</w:t>
      </w:r>
      <w:r w:rsidR="00307C17">
        <w:rPr>
          <w:rFonts w:eastAsia="Malgun Gothic"/>
          <w:bCs/>
          <w:lang w:val="fr-FR"/>
        </w:rPr>
        <w:t>e l</w:t>
      </w:r>
      <w:r w:rsidR="00923E72">
        <w:rPr>
          <w:rFonts w:eastAsia="Malgun Gothic"/>
          <w:bCs/>
          <w:lang w:val="fr-FR"/>
        </w:rPr>
        <w:t>’</w:t>
      </w:r>
      <w:r w:rsidR="00307C17">
        <w:rPr>
          <w:rFonts w:eastAsia="Malgun Gothic"/>
          <w:bCs/>
          <w:lang w:val="fr-FR"/>
        </w:rPr>
        <w:t>école de musique</w:t>
      </w:r>
      <w:r w:rsidRPr="00177AC6">
        <w:rPr>
          <w:rFonts w:eastAsia="Malgun Gothic"/>
          <w:bCs/>
          <w:lang w:val="fr-FR"/>
        </w:rPr>
        <w:t xml:space="preserve"> </w:t>
      </w:r>
      <w:proofErr w:type="spellStart"/>
      <w:r w:rsidRPr="00177AC6">
        <w:rPr>
          <w:rFonts w:eastAsia="Malgun Gothic"/>
          <w:bCs/>
          <w:lang w:val="fr-FR"/>
        </w:rPr>
        <w:t>Kokil</w:t>
      </w:r>
      <w:proofErr w:type="spellEnd"/>
      <w:r w:rsidRPr="00177AC6">
        <w:rPr>
          <w:rFonts w:eastAsia="Malgun Gothic"/>
          <w:bCs/>
          <w:lang w:val="fr-FR"/>
        </w:rPr>
        <w:t>. La délégation a demandé au Kazakhstan d</w:t>
      </w:r>
      <w:r w:rsidR="00923E72">
        <w:rPr>
          <w:rFonts w:eastAsia="Malgun Gothic"/>
          <w:bCs/>
          <w:lang w:val="fr-FR"/>
        </w:rPr>
        <w:t>’</w:t>
      </w:r>
      <w:r w:rsidRPr="00177AC6">
        <w:rPr>
          <w:rFonts w:eastAsia="Malgun Gothic"/>
          <w:bCs/>
          <w:lang w:val="fr-FR"/>
        </w:rPr>
        <w:t>expliquer plus en détail les mesures prises et celles qu</w:t>
      </w:r>
      <w:r w:rsidR="00923E72">
        <w:rPr>
          <w:rFonts w:eastAsia="Malgun Gothic"/>
          <w:bCs/>
          <w:lang w:val="fr-FR"/>
        </w:rPr>
        <w:t>’</w:t>
      </w:r>
      <w:r w:rsidRPr="00177AC6">
        <w:rPr>
          <w:rFonts w:eastAsia="Malgun Gothic"/>
          <w:bCs/>
          <w:lang w:val="fr-FR"/>
        </w:rPr>
        <w:t>il comptait prendre à l</w:t>
      </w:r>
      <w:r w:rsidR="00923E72">
        <w:rPr>
          <w:rFonts w:eastAsia="Malgun Gothic"/>
          <w:bCs/>
          <w:lang w:val="fr-FR"/>
        </w:rPr>
        <w:t>’</w:t>
      </w:r>
      <w:r w:rsidRPr="00177AC6">
        <w:rPr>
          <w:rFonts w:eastAsia="Malgun Gothic"/>
          <w:bCs/>
          <w:lang w:val="fr-FR"/>
        </w:rPr>
        <w:t>avenir pour assurer la participation la plus large possible des communautés à la planification et à la mise en œuvre des mesures de sauvegarde de l</w:t>
      </w:r>
      <w:r w:rsidR="00923E72">
        <w:rPr>
          <w:rFonts w:eastAsia="Malgun Gothic"/>
          <w:bCs/>
          <w:lang w:val="fr-FR"/>
        </w:rPr>
        <w:t>’</w:t>
      </w:r>
      <w:proofErr w:type="spellStart"/>
      <w:r w:rsidRPr="00177AC6">
        <w:rPr>
          <w:rFonts w:eastAsia="Malgun Gothic"/>
          <w:bCs/>
          <w:lang w:val="fr-FR"/>
        </w:rPr>
        <w:t>ortéké</w:t>
      </w:r>
      <w:proofErr w:type="spellEnd"/>
      <w:r w:rsidRPr="00177AC6">
        <w:rPr>
          <w:rFonts w:eastAsia="Malgun Gothic"/>
          <w:bCs/>
          <w:lang w:val="fr-FR"/>
        </w:rPr>
        <w:t xml:space="preserve">. Il a été </w:t>
      </w:r>
      <w:r w:rsidR="00307C17">
        <w:rPr>
          <w:rFonts w:eastAsia="Malgun Gothic"/>
          <w:bCs/>
          <w:lang w:val="fr-FR"/>
        </w:rPr>
        <w:t>signalé</w:t>
      </w:r>
      <w:r w:rsidRPr="00177AC6">
        <w:rPr>
          <w:rFonts w:eastAsia="Malgun Gothic"/>
          <w:bCs/>
          <w:lang w:val="fr-FR"/>
        </w:rPr>
        <w:t xml:space="preserve"> que la Slovaquie se portait coauteur de l</w:t>
      </w:r>
      <w:r w:rsidR="00923E72">
        <w:rPr>
          <w:rFonts w:eastAsia="Malgun Gothic"/>
          <w:bCs/>
          <w:lang w:val="fr-FR"/>
        </w:rPr>
        <w:t>’</w:t>
      </w:r>
      <w:r w:rsidRPr="00177AC6">
        <w:rPr>
          <w:rFonts w:eastAsia="Malgun Gothic"/>
          <w:bCs/>
          <w:lang w:val="fr-FR"/>
        </w:rPr>
        <w:t>amendement.</w:t>
      </w:r>
    </w:p>
    <w:p w14:paraId="1D130F31" w14:textId="314AA8BA" w:rsidR="00307C17" w:rsidRDefault="00307C1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07C17">
        <w:rPr>
          <w:rFonts w:eastAsia="Malgun Gothic"/>
          <w:bCs/>
          <w:lang w:val="fr-FR"/>
        </w:rPr>
        <w:lastRenderedPageBreak/>
        <w:t xml:space="preserve">La délégation du </w:t>
      </w:r>
      <w:r w:rsidRPr="00702497">
        <w:rPr>
          <w:rFonts w:eastAsia="Malgun Gothic"/>
          <w:b/>
          <w:lang w:val="fr-FR"/>
        </w:rPr>
        <w:t>Kazakhstan</w:t>
      </w:r>
      <w:r w:rsidRPr="00307C17">
        <w:rPr>
          <w:rFonts w:eastAsia="Malgun Gothic"/>
          <w:bCs/>
          <w:lang w:val="fr-FR"/>
        </w:rPr>
        <w:t xml:space="preserve"> a remercié le Maroc pour son hospitalité au cours de cette session</w:t>
      </w:r>
      <w:r w:rsidR="00FC57E6">
        <w:rPr>
          <w:rFonts w:eastAsia="Malgun Gothic"/>
          <w:bCs/>
          <w:lang w:val="fr-FR"/>
        </w:rPr>
        <w:t xml:space="preserve"> ainsi que </w:t>
      </w:r>
      <w:r w:rsidRPr="00307C17">
        <w:rPr>
          <w:rFonts w:eastAsia="Malgun Gothic"/>
          <w:bCs/>
          <w:lang w:val="fr-FR"/>
        </w:rPr>
        <w:t>l</w:t>
      </w:r>
      <w:r w:rsidR="00923E72">
        <w:rPr>
          <w:rFonts w:eastAsia="Malgun Gothic"/>
          <w:bCs/>
          <w:lang w:val="fr-FR"/>
        </w:rPr>
        <w:t>’</w:t>
      </w:r>
      <w:r w:rsidRPr="00307C17">
        <w:rPr>
          <w:rFonts w:eastAsia="Malgun Gothic"/>
          <w:bCs/>
          <w:lang w:val="fr-FR"/>
        </w:rPr>
        <w:t xml:space="preserve">Inde pour son amendement </w:t>
      </w:r>
      <w:r w:rsidR="00FC57E6">
        <w:rPr>
          <w:rFonts w:eastAsia="Malgun Gothic"/>
          <w:bCs/>
          <w:lang w:val="fr-FR"/>
        </w:rPr>
        <w:t xml:space="preserve">et </w:t>
      </w:r>
      <w:r w:rsidRPr="00307C17">
        <w:rPr>
          <w:rFonts w:eastAsia="Malgun Gothic"/>
          <w:bCs/>
          <w:lang w:val="fr-FR"/>
        </w:rPr>
        <w:t>les pays coauteurs pour leur soutien à l</w:t>
      </w:r>
      <w:r w:rsidR="00923E72">
        <w:rPr>
          <w:rFonts w:eastAsia="Malgun Gothic"/>
          <w:bCs/>
          <w:lang w:val="fr-FR"/>
        </w:rPr>
        <w:t>’</w:t>
      </w:r>
      <w:r w:rsidRPr="00307C17">
        <w:rPr>
          <w:rFonts w:eastAsia="Malgun Gothic"/>
          <w:bCs/>
          <w:lang w:val="fr-FR"/>
        </w:rPr>
        <w:t>un des éléments culturels essentiels de la culture kazakhe, qui avait failli disparaître à la fin du siècle dernier. Elle avait pris note des précieux commentaires formulés par l</w:t>
      </w:r>
      <w:r w:rsidR="00923E72">
        <w:rPr>
          <w:rFonts w:eastAsia="Malgun Gothic"/>
          <w:bCs/>
          <w:lang w:val="fr-FR"/>
        </w:rPr>
        <w:t>’</w:t>
      </w:r>
      <w:r w:rsidRPr="00307C17">
        <w:rPr>
          <w:rFonts w:eastAsia="Malgun Gothic"/>
          <w:bCs/>
          <w:lang w:val="fr-FR"/>
        </w:rPr>
        <w:t>Organe d</w:t>
      </w:r>
      <w:r w:rsidR="00923E72">
        <w:rPr>
          <w:rFonts w:eastAsia="Malgun Gothic"/>
          <w:bCs/>
          <w:lang w:val="fr-FR"/>
        </w:rPr>
        <w:t>’</w:t>
      </w:r>
      <w:r w:rsidRPr="00307C17">
        <w:rPr>
          <w:rFonts w:eastAsia="Malgun Gothic"/>
          <w:bCs/>
          <w:lang w:val="fr-FR"/>
        </w:rPr>
        <w:t>évaluation, qui suit de près et avec attention les principes fondamentaux de la Convention. Ce n</w:t>
      </w:r>
      <w:r w:rsidR="00923E72">
        <w:rPr>
          <w:rFonts w:eastAsia="Malgun Gothic"/>
          <w:bCs/>
          <w:lang w:val="fr-FR"/>
        </w:rPr>
        <w:t>’</w:t>
      </w:r>
      <w:r w:rsidRPr="00307C17">
        <w:rPr>
          <w:rFonts w:eastAsia="Malgun Gothic"/>
          <w:bCs/>
          <w:lang w:val="fr-FR"/>
        </w:rPr>
        <w:t xml:space="preserve">était pas une tâche </w:t>
      </w:r>
      <w:r w:rsidR="00A85E44">
        <w:rPr>
          <w:rFonts w:eastAsia="Malgun Gothic"/>
          <w:bCs/>
          <w:lang w:val="fr-FR"/>
        </w:rPr>
        <w:t xml:space="preserve">aisée, </w:t>
      </w:r>
      <w:r w:rsidRPr="00307C17">
        <w:rPr>
          <w:rFonts w:eastAsia="Malgun Gothic"/>
          <w:bCs/>
          <w:lang w:val="fr-FR"/>
        </w:rPr>
        <w:t>et la délégation appréciait vivement la capacité de l</w:t>
      </w:r>
      <w:r w:rsidR="00923E72">
        <w:rPr>
          <w:rFonts w:eastAsia="Malgun Gothic"/>
          <w:bCs/>
          <w:lang w:val="fr-FR"/>
        </w:rPr>
        <w:t>’</w:t>
      </w:r>
      <w:r w:rsidRPr="00307C17">
        <w:rPr>
          <w:rFonts w:eastAsia="Malgun Gothic"/>
          <w:bCs/>
          <w:lang w:val="fr-FR"/>
        </w:rPr>
        <w:t>Organe, qui avait été visiblement renforcée depuis sa création, et ses commentaires utiles pour guider les acteurs du patrimoine immatériel et les États parties dans la mise en œuvre de la Convention. Comme l</w:t>
      </w:r>
      <w:r w:rsidR="00923E72">
        <w:rPr>
          <w:rFonts w:eastAsia="Malgun Gothic"/>
          <w:bCs/>
          <w:lang w:val="fr-FR"/>
        </w:rPr>
        <w:t>’</w:t>
      </w:r>
      <w:r w:rsidRPr="00307C17">
        <w:rPr>
          <w:rFonts w:eastAsia="Malgun Gothic"/>
          <w:bCs/>
          <w:lang w:val="fr-FR"/>
        </w:rPr>
        <w:t>avait mentionné l</w:t>
      </w:r>
      <w:r w:rsidR="00923E72">
        <w:rPr>
          <w:rFonts w:eastAsia="Malgun Gothic"/>
          <w:bCs/>
          <w:lang w:val="fr-FR"/>
        </w:rPr>
        <w:t>’</w:t>
      </w:r>
      <w:r w:rsidRPr="00307C17">
        <w:rPr>
          <w:rFonts w:eastAsia="Malgun Gothic"/>
          <w:bCs/>
          <w:lang w:val="fr-FR"/>
        </w:rPr>
        <w:t>Inde, c</w:t>
      </w:r>
      <w:r w:rsidR="00923E72">
        <w:rPr>
          <w:rFonts w:eastAsia="Malgun Gothic"/>
          <w:bCs/>
          <w:lang w:val="fr-FR"/>
        </w:rPr>
        <w:t>’</w:t>
      </w:r>
      <w:r w:rsidRPr="00307C17">
        <w:rPr>
          <w:rFonts w:eastAsia="Malgun Gothic"/>
          <w:bCs/>
          <w:lang w:val="fr-FR"/>
        </w:rPr>
        <w:t xml:space="preserve">étaient les communautés, à savoir les artistes et artisans traditionnels, qui avaient </w:t>
      </w:r>
      <w:r w:rsidR="00B410F0">
        <w:rPr>
          <w:rFonts w:eastAsia="Malgun Gothic"/>
          <w:bCs/>
          <w:lang w:val="fr-FR"/>
        </w:rPr>
        <w:t xml:space="preserve">signalé </w:t>
      </w:r>
      <w:r w:rsidRPr="00307C17">
        <w:rPr>
          <w:rFonts w:eastAsia="Malgun Gothic"/>
          <w:bCs/>
          <w:lang w:val="fr-FR"/>
        </w:rPr>
        <w:t>au Comité national, au ministère de la Culture</w:t>
      </w:r>
      <w:r w:rsidR="00B410F0">
        <w:rPr>
          <w:rFonts w:eastAsia="Malgun Gothic"/>
          <w:bCs/>
          <w:lang w:val="fr-FR"/>
        </w:rPr>
        <w:t>,</w:t>
      </w:r>
      <w:r w:rsidRPr="00307C17">
        <w:rPr>
          <w:rFonts w:eastAsia="Malgun Gothic"/>
          <w:bCs/>
          <w:lang w:val="fr-FR"/>
        </w:rPr>
        <w:t xml:space="preserve"> à la Commission nationale pour l</w:t>
      </w:r>
      <w:r w:rsidR="00923E72">
        <w:rPr>
          <w:rFonts w:eastAsia="Malgun Gothic"/>
          <w:bCs/>
          <w:lang w:val="fr-FR"/>
        </w:rPr>
        <w:t>’</w:t>
      </w:r>
      <w:r w:rsidRPr="00307C17">
        <w:rPr>
          <w:rFonts w:eastAsia="Malgun Gothic"/>
          <w:bCs/>
          <w:lang w:val="fr-FR"/>
        </w:rPr>
        <w:t xml:space="preserve">UNESCO et </w:t>
      </w:r>
      <w:r w:rsidR="00B410F0">
        <w:rPr>
          <w:rFonts w:eastAsia="Malgun Gothic"/>
          <w:bCs/>
          <w:lang w:val="fr-FR"/>
        </w:rPr>
        <w:t xml:space="preserve">à </w:t>
      </w:r>
      <w:r w:rsidRPr="00307C17">
        <w:rPr>
          <w:rFonts w:eastAsia="Malgun Gothic"/>
          <w:bCs/>
          <w:lang w:val="fr-FR"/>
        </w:rPr>
        <w:t>l</w:t>
      </w:r>
      <w:r w:rsidR="00923E72">
        <w:rPr>
          <w:rFonts w:eastAsia="Malgun Gothic"/>
          <w:bCs/>
          <w:lang w:val="fr-FR"/>
        </w:rPr>
        <w:t>’</w:t>
      </w:r>
      <w:r w:rsidRPr="00307C17">
        <w:rPr>
          <w:rFonts w:eastAsia="Malgun Gothic"/>
          <w:bCs/>
          <w:lang w:val="fr-FR"/>
        </w:rPr>
        <w:t>ISESCO l</w:t>
      </w:r>
      <w:r w:rsidR="00923E72">
        <w:rPr>
          <w:rFonts w:eastAsia="Malgun Gothic"/>
          <w:bCs/>
          <w:lang w:val="fr-FR"/>
        </w:rPr>
        <w:t>’</w:t>
      </w:r>
      <w:r w:rsidRPr="00307C17">
        <w:rPr>
          <w:rFonts w:eastAsia="Malgun Gothic"/>
          <w:bCs/>
          <w:lang w:val="fr-FR"/>
        </w:rPr>
        <w:t>importance de la sauvegarde de l</w:t>
      </w:r>
      <w:r w:rsidR="00923E72">
        <w:rPr>
          <w:rFonts w:eastAsia="Malgun Gothic"/>
          <w:bCs/>
          <w:lang w:val="fr-FR"/>
        </w:rPr>
        <w:t>’</w:t>
      </w:r>
      <w:proofErr w:type="spellStart"/>
      <w:r w:rsidRPr="00307C17">
        <w:rPr>
          <w:rFonts w:eastAsia="Malgun Gothic"/>
          <w:bCs/>
          <w:lang w:val="fr-FR"/>
        </w:rPr>
        <w:t>ortéké</w:t>
      </w:r>
      <w:proofErr w:type="spellEnd"/>
      <w:r w:rsidRPr="00307C17">
        <w:rPr>
          <w:rFonts w:eastAsia="Malgun Gothic"/>
          <w:bCs/>
          <w:lang w:val="fr-FR"/>
        </w:rPr>
        <w:t>. Les savoir-faire et les compétences étaient transmis dans le cadre du système d</w:t>
      </w:r>
      <w:r w:rsidR="00923E72">
        <w:rPr>
          <w:rFonts w:eastAsia="Malgun Gothic"/>
          <w:bCs/>
          <w:lang w:val="fr-FR"/>
        </w:rPr>
        <w:t>’</w:t>
      </w:r>
      <w:r w:rsidRPr="00307C17">
        <w:rPr>
          <w:rFonts w:eastAsia="Malgun Gothic"/>
          <w:bCs/>
          <w:lang w:val="fr-FR"/>
        </w:rPr>
        <w:t xml:space="preserve">apprentissage local, </w:t>
      </w:r>
      <w:proofErr w:type="spellStart"/>
      <w:r w:rsidRPr="00307C17">
        <w:rPr>
          <w:rFonts w:eastAsia="Malgun Gothic"/>
          <w:bCs/>
          <w:lang w:val="fr-FR"/>
        </w:rPr>
        <w:t>Ustaz-Shakird</w:t>
      </w:r>
      <w:proofErr w:type="spellEnd"/>
      <w:r w:rsidRPr="00307C17">
        <w:rPr>
          <w:rFonts w:eastAsia="Malgun Gothic"/>
          <w:bCs/>
          <w:lang w:val="fr-FR"/>
        </w:rPr>
        <w:t xml:space="preserve"> (maître-apprenti), qui </w:t>
      </w:r>
      <w:r w:rsidR="00B410F0">
        <w:rPr>
          <w:rFonts w:eastAsia="Malgun Gothic"/>
          <w:bCs/>
          <w:lang w:val="fr-FR"/>
        </w:rPr>
        <w:t xml:space="preserve">attestait </w:t>
      </w:r>
      <w:r w:rsidRPr="00307C17">
        <w:rPr>
          <w:rFonts w:eastAsia="Malgun Gothic"/>
          <w:bCs/>
          <w:lang w:val="fr-FR"/>
        </w:rPr>
        <w:t>de la participation directe des communautés à la sauvegarde et à la diffusion de l</w:t>
      </w:r>
      <w:r w:rsidR="00923E72">
        <w:rPr>
          <w:rFonts w:eastAsia="Malgun Gothic"/>
          <w:bCs/>
          <w:lang w:val="fr-FR"/>
        </w:rPr>
        <w:t>’</w:t>
      </w:r>
      <w:r w:rsidRPr="00307C17">
        <w:rPr>
          <w:rFonts w:eastAsia="Malgun Gothic"/>
          <w:bCs/>
          <w:lang w:val="fr-FR"/>
        </w:rPr>
        <w:t>élément. Cependant, il ne faisait pas encore partie des programmes nationaux d</w:t>
      </w:r>
      <w:r w:rsidR="00923E72">
        <w:rPr>
          <w:rFonts w:eastAsia="Malgun Gothic"/>
          <w:bCs/>
          <w:lang w:val="fr-FR"/>
        </w:rPr>
        <w:t>’</w:t>
      </w:r>
      <w:r w:rsidRPr="00307C17">
        <w:rPr>
          <w:rFonts w:eastAsia="Malgun Gothic"/>
          <w:bCs/>
          <w:lang w:val="fr-FR"/>
        </w:rPr>
        <w:t>enseignement des arts et de l</w:t>
      </w:r>
      <w:r w:rsidR="00923E72">
        <w:rPr>
          <w:rFonts w:eastAsia="Malgun Gothic"/>
          <w:bCs/>
          <w:lang w:val="fr-FR"/>
        </w:rPr>
        <w:t>’</w:t>
      </w:r>
      <w:r w:rsidRPr="00307C17">
        <w:rPr>
          <w:rFonts w:eastAsia="Malgun Gothic"/>
          <w:bCs/>
          <w:lang w:val="fr-FR"/>
        </w:rPr>
        <w:t>artisanat. Par conséquent, au cours des dernières années, depuis que la candidature avait été soumise, l</w:t>
      </w:r>
      <w:r w:rsidR="00923E72">
        <w:rPr>
          <w:rFonts w:eastAsia="Malgun Gothic"/>
          <w:bCs/>
          <w:lang w:val="fr-FR"/>
        </w:rPr>
        <w:t>’</w:t>
      </w:r>
      <w:r w:rsidRPr="00307C17">
        <w:rPr>
          <w:rFonts w:eastAsia="Malgun Gothic"/>
          <w:bCs/>
          <w:lang w:val="fr-FR"/>
        </w:rPr>
        <w:t xml:space="preserve">école de musique </w:t>
      </w:r>
      <w:proofErr w:type="spellStart"/>
      <w:r w:rsidRPr="00307C17">
        <w:rPr>
          <w:rFonts w:eastAsia="Malgun Gothic"/>
          <w:bCs/>
          <w:lang w:val="fr-FR"/>
        </w:rPr>
        <w:t>Kokil</w:t>
      </w:r>
      <w:proofErr w:type="spellEnd"/>
      <w:r w:rsidRPr="00307C17">
        <w:rPr>
          <w:rFonts w:eastAsia="Malgun Gothic"/>
          <w:bCs/>
          <w:lang w:val="fr-FR"/>
        </w:rPr>
        <w:t xml:space="preserve"> et l</w:t>
      </w:r>
      <w:r w:rsidR="00923E72">
        <w:rPr>
          <w:rFonts w:eastAsia="Malgun Gothic"/>
          <w:bCs/>
          <w:lang w:val="fr-FR"/>
        </w:rPr>
        <w:t>’</w:t>
      </w:r>
      <w:r w:rsidRPr="00307C17">
        <w:rPr>
          <w:rFonts w:eastAsia="Malgun Gothic"/>
          <w:bCs/>
          <w:lang w:val="fr-FR"/>
        </w:rPr>
        <w:t>Acad</w:t>
      </w:r>
      <w:r w:rsidR="00B410F0">
        <w:rPr>
          <w:rFonts w:eastAsia="Malgun Gothic"/>
          <w:bCs/>
          <w:lang w:val="fr-FR"/>
        </w:rPr>
        <w:t>é</w:t>
      </w:r>
      <w:r w:rsidRPr="00307C17">
        <w:rPr>
          <w:rFonts w:eastAsia="Malgun Gothic"/>
          <w:bCs/>
          <w:lang w:val="fr-FR"/>
        </w:rPr>
        <w:t>mie des arts avaient intégré l</w:t>
      </w:r>
      <w:r w:rsidR="00923E72">
        <w:rPr>
          <w:rFonts w:eastAsia="Malgun Gothic"/>
          <w:bCs/>
          <w:lang w:val="fr-FR"/>
        </w:rPr>
        <w:t>’</w:t>
      </w:r>
      <w:proofErr w:type="spellStart"/>
      <w:r w:rsidRPr="00307C17">
        <w:rPr>
          <w:rFonts w:eastAsia="Malgun Gothic"/>
          <w:bCs/>
          <w:lang w:val="fr-FR"/>
        </w:rPr>
        <w:t>ortéké</w:t>
      </w:r>
      <w:proofErr w:type="spellEnd"/>
      <w:r w:rsidR="00220DC2">
        <w:rPr>
          <w:rFonts w:eastAsia="Malgun Gothic"/>
          <w:bCs/>
          <w:lang w:val="fr-FR"/>
        </w:rPr>
        <w:t xml:space="preserve"> ainsi que </w:t>
      </w:r>
      <w:r w:rsidRPr="00307C17">
        <w:rPr>
          <w:rFonts w:eastAsia="Malgun Gothic"/>
          <w:bCs/>
          <w:lang w:val="fr-FR"/>
        </w:rPr>
        <w:t>les compétences en matière de fabrication de marionnettes dans les programmes de ces deux établissements d</w:t>
      </w:r>
      <w:r w:rsidR="00923E72">
        <w:rPr>
          <w:rFonts w:eastAsia="Malgun Gothic"/>
          <w:bCs/>
          <w:lang w:val="fr-FR"/>
        </w:rPr>
        <w:t>’</w:t>
      </w:r>
      <w:r w:rsidRPr="00307C17">
        <w:rPr>
          <w:rFonts w:eastAsia="Malgun Gothic"/>
          <w:bCs/>
          <w:lang w:val="fr-FR"/>
        </w:rPr>
        <w:t>enseignement en tant que disciplines éducatives supplémentaires. La prochaine étape consisterait à intégrer ces deux disciplines dans les programmes d</w:t>
      </w:r>
      <w:r w:rsidR="00923E72">
        <w:rPr>
          <w:rFonts w:eastAsia="Malgun Gothic"/>
          <w:bCs/>
          <w:lang w:val="fr-FR"/>
        </w:rPr>
        <w:t>’</w:t>
      </w:r>
      <w:r w:rsidRPr="00307C17">
        <w:rPr>
          <w:rFonts w:eastAsia="Malgun Gothic"/>
          <w:bCs/>
          <w:lang w:val="fr-FR"/>
        </w:rPr>
        <w:t>enseignement de base des arts traditionnels du ministère de l</w:t>
      </w:r>
      <w:r w:rsidR="00923E72">
        <w:rPr>
          <w:rFonts w:eastAsia="Malgun Gothic"/>
          <w:bCs/>
          <w:lang w:val="fr-FR"/>
        </w:rPr>
        <w:t>’</w:t>
      </w:r>
      <w:r w:rsidRPr="00307C17">
        <w:rPr>
          <w:rFonts w:eastAsia="Malgun Gothic"/>
          <w:bCs/>
          <w:lang w:val="fr-FR"/>
        </w:rPr>
        <w:t>Éducation scolaire et du ministère des Sciences et de l</w:t>
      </w:r>
      <w:r w:rsidR="00923E72">
        <w:rPr>
          <w:rFonts w:eastAsia="Malgun Gothic"/>
          <w:bCs/>
          <w:lang w:val="fr-FR"/>
        </w:rPr>
        <w:t>’</w:t>
      </w:r>
      <w:r w:rsidRPr="00307C17">
        <w:rPr>
          <w:rFonts w:eastAsia="Malgun Gothic"/>
          <w:bCs/>
          <w:lang w:val="fr-FR"/>
        </w:rPr>
        <w:t>Enseignement supérieur. Les communautés artistiques et artisanales élaboreraient des programmes appropriés et les soumettraient à l</w:t>
      </w:r>
      <w:r w:rsidR="00923E72">
        <w:rPr>
          <w:rFonts w:eastAsia="Malgun Gothic"/>
          <w:bCs/>
          <w:lang w:val="fr-FR"/>
        </w:rPr>
        <w:t>’</w:t>
      </w:r>
      <w:r w:rsidRPr="00307C17">
        <w:rPr>
          <w:rFonts w:eastAsia="Malgun Gothic"/>
          <w:bCs/>
          <w:lang w:val="fr-FR"/>
        </w:rPr>
        <w:t>approbation du Gouvernement par l</w:t>
      </w:r>
      <w:r w:rsidR="00923E72">
        <w:rPr>
          <w:rFonts w:eastAsia="Malgun Gothic"/>
          <w:bCs/>
          <w:lang w:val="fr-FR"/>
        </w:rPr>
        <w:t>’</w:t>
      </w:r>
      <w:r w:rsidRPr="00307C17">
        <w:rPr>
          <w:rFonts w:eastAsia="Malgun Gothic"/>
          <w:bCs/>
          <w:lang w:val="fr-FR"/>
        </w:rPr>
        <w:t>intermédiaire des établissements d</w:t>
      </w:r>
      <w:r w:rsidR="00923E72">
        <w:rPr>
          <w:rFonts w:eastAsia="Malgun Gothic"/>
          <w:bCs/>
          <w:lang w:val="fr-FR"/>
        </w:rPr>
        <w:t>’</w:t>
      </w:r>
      <w:r w:rsidRPr="00307C17">
        <w:rPr>
          <w:rFonts w:eastAsia="Malgun Gothic"/>
          <w:bCs/>
          <w:lang w:val="fr-FR"/>
        </w:rPr>
        <w:t>enseignement concernés. La prochaine étape importante pour l</w:t>
      </w:r>
      <w:r w:rsidR="00AD7D1A">
        <w:rPr>
          <w:rFonts w:eastAsia="Malgun Gothic"/>
          <w:bCs/>
          <w:lang w:val="fr-FR"/>
        </w:rPr>
        <w:t xml:space="preserve">a participation </w:t>
      </w:r>
      <w:r w:rsidRPr="00307C17">
        <w:rPr>
          <w:rFonts w:eastAsia="Malgun Gothic"/>
          <w:bCs/>
          <w:lang w:val="fr-FR"/>
        </w:rPr>
        <w:t>des communautés, également mentionnée par l</w:t>
      </w:r>
      <w:r w:rsidR="00923E72">
        <w:rPr>
          <w:rFonts w:eastAsia="Malgun Gothic"/>
          <w:bCs/>
          <w:lang w:val="fr-FR"/>
        </w:rPr>
        <w:t>’</w:t>
      </w:r>
      <w:r w:rsidRPr="00307C17">
        <w:rPr>
          <w:rFonts w:eastAsia="Malgun Gothic"/>
          <w:bCs/>
          <w:lang w:val="fr-FR"/>
        </w:rPr>
        <w:t>Organe, serait leur contribution permanente à la visibilité et à la transmission de l</w:t>
      </w:r>
      <w:r w:rsidR="00923E72">
        <w:rPr>
          <w:rFonts w:eastAsia="Malgun Gothic"/>
          <w:bCs/>
          <w:lang w:val="fr-FR"/>
        </w:rPr>
        <w:t>’</w:t>
      </w:r>
      <w:r w:rsidRPr="00307C17">
        <w:rPr>
          <w:rFonts w:eastAsia="Malgun Gothic"/>
          <w:bCs/>
          <w:lang w:val="fr-FR"/>
        </w:rPr>
        <w:t>élément. Comme indiqué en réponse au processus de dialogue, le Kazakhstan organisait des festivals biennaux d</w:t>
      </w:r>
      <w:r w:rsidR="00923E72">
        <w:rPr>
          <w:rFonts w:eastAsia="Malgun Gothic"/>
          <w:bCs/>
          <w:lang w:val="fr-FR"/>
        </w:rPr>
        <w:t>’</w:t>
      </w:r>
      <w:proofErr w:type="spellStart"/>
      <w:r w:rsidR="00B410F0">
        <w:rPr>
          <w:rFonts w:eastAsia="Malgun Gothic"/>
          <w:bCs/>
          <w:lang w:val="fr-FR"/>
        </w:rPr>
        <w:t>o</w:t>
      </w:r>
      <w:r w:rsidRPr="00307C17">
        <w:rPr>
          <w:rFonts w:eastAsia="Malgun Gothic"/>
          <w:bCs/>
          <w:lang w:val="fr-FR"/>
        </w:rPr>
        <w:t>rt</w:t>
      </w:r>
      <w:r w:rsidR="00B410F0">
        <w:rPr>
          <w:rFonts w:eastAsia="Malgun Gothic"/>
          <w:bCs/>
          <w:lang w:val="fr-FR"/>
        </w:rPr>
        <w:t>é</w:t>
      </w:r>
      <w:r w:rsidRPr="00307C17">
        <w:rPr>
          <w:rFonts w:eastAsia="Malgun Gothic"/>
          <w:bCs/>
          <w:lang w:val="fr-FR"/>
        </w:rPr>
        <w:t>k</w:t>
      </w:r>
      <w:r w:rsidR="00B410F0">
        <w:rPr>
          <w:rFonts w:eastAsia="Malgun Gothic"/>
          <w:bCs/>
          <w:lang w:val="fr-FR"/>
        </w:rPr>
        <w:t>é</w:t>
      </w:r>
      <w:proofErr w:type="spellEnd"/>
      <w:r w:rsidRPr="00307C17">
        <w:rPr>
          <w:rFonts w:eastAsia="Malgun Gothic"/>
          <w:bCs/>
          <w:lang w:val="fr-FR"/>
        </w:rPr>
        <w:t xml:space="preserve"> au cours desquels étaient invités des théâtres populaires, des groupes musicaux ethniques et</w:t>
      </w:r>
      <w:r w:rsidR="00B410F0">
        <w:rPr>
          <w:rFonts w:eastAsia="Malgun Gothic"/>
          <w:bCs/>
          <w:lang w:val="fr-FR"/>
        </w:rPr>
        <w:t>, à titre individuel,</w:t>
      </w:r>
      <w:r w:rsidRPr="00307C17">
        <w:rPr>
          <w:rFonts w:eastAsia="Malgun Gothic"/>
          <w:bCs/>
          <w:lang w:val="fr-FR"/>
        </w:rPr>
        <w:t xml:space="preserve"> des détenteurs du patrimoine immatériel de quatorze pays. En</w:t>
      </w:r>
      <w:r w:rsidR="00246428">
        <w:rPr>
          <w:rFonts w:eastAsia="Malgun Gothic"/>
          <w:bCs/>
          <w:lang w:val="fr-FR"/>
        </w:rPr>
        <w:t> </w:t>
      </w:r>
      <w:r w:rsidRPr="00307C17">
        <w:rPr>
          <w:rFonts w:eastAsia="Malgun Gothic"/>
          <w:bCs/>
          <w:lang w:val="fr-FR"/>
        </w:rPr>
        <w:t>2022, plusieurs groupes de musique ethnique populaires au Kazakhstan avaient créé des vidéos spéciales sur différentes représentations d</w:t>
      </w:r>
      <w:r w:rsidR="00923E72">
        <w:rPr>
          <w:rFonts w:eastAsia="Malgun Gothic"/>
          <w:bCs/>
          <w:lang w:val="fr-FR"/>
        </w:rPr>
        <w:t>’</w:t>
      </w:r>
      <w:proofErr w:type="spellStart"/>
      <w:r w:rsidR="00B410F0">
        <w:rPr>
          <w:rFonts w:eastAsia="Malgun Gothic"/>
          <w:bCs/>
          <w:lang w:val="fr-FR"/>
        </w:rPr>
        <w:t>ortéké</w:t>
      </w:r>
      <w:proofErr w:type="spellEnd"/>
      <w:r w:rsidRPr="00307C17">
        <w:rPr>
          <w:rFonts w:eastAsia="Malgun Gothic"/>
          <w:bCs/>
          <w:lang w:val="fr-FR"/>
        </w:rPr>
        <w:t>, qui avaient été diffusées sur les chaînes de télévision nationales. Les clips avaient également été diffusés sur des panneaux vidéo dans les aéroports et les gares du Kazakhstan. Les principaux artistes du patrimoine immatériel et les ensembles d</w:t>
      </w:r>
      <w:r w:rsidR="00923E72">
        <w:rPr>
          <w:rFonts w:eastAsia="Malgun Gothic"/>
          <w:bCs/>
          <w:lang w:val="fr-FR"/>
        </w:rPr>
        <w:t>’</w:t>
      </w:r>
      <w:r w:rsidRPr="00307C17">
        <w:rPr>
          <w:rFonts w:eastAsia="Malgun Gothic"/>
          <w:bCs/>
          <w:lang w:val="fr-FR"/>
        </w:rPr>
        <w:t>art populaire avaient appelé divers groupes artistiques et artistes individuels à enregistrer leurs spectacles d</w:t>
      </w:r>
      <w:r w:rsidR="00923E72">
        <w:rPr>
          <w:rFonts w:eastAsia="Malgun Gothic"/>
          <w:bCs/>
          <w:lang w:val="fr-FR"/>
        </w:rPr>
        <w:t>’</w:t>
      </w:r>
      <w:proofErr w:type="spellStart"/>
      <w:r w:rsidR="00B410F0">
        <w:rPr>
          <w:rFonts w:eastAsia="Malgun Gothic"/>
          <w:bCs/>
          <w:lang w:val="fr-FR"/>
        </w:rPr>
        <w:t>ortéké</w:t>
      </w:r>
      <w:proofErr w:type="spellEnd"/>
      <w:r w:rsidRPr="00307C17">
        <w:rPr>
          <w:rFonts w:eastAsia="Malgun Gothic"/>
          <w:bCs/>
          <w:lang w:val="fr-FR"/>
        </w:rPr>
        <w:t xml:space="preserve"> et à les partager sur les réseaux sociaux facilement trouvables sur les médias sociaux.</w:t>
      </w:r>
    </w:p>
    <w:p w14:paraId="3AAF63C3" w14:textId="433A4280" w:rsidR="00B410F0" w:rsidRDefault="00B410F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410F0">
        <w:rPr>
          <w:rFonts w:eastAsia="Malgun Gothic"/>
          <w:bCs/>
          <w:lang w:val="fr-FR"/>
        </w:rPr>
        <w:t xml:space="preserve">La délégation du </w:t>
      </w:r>
      <w:r w:rsidRPr="00702497">
        <w:rPr>
          <w:rFonts w:eastAsia="Malgun Gothic"/>
          <w:b/>
          <w:lang w:val="fr-FR"/>
        </w:rPr>
        <w:t>Kazakhstan</w:t>
      </w:r>
      <w:r w:rsidRPr="00B410F0">
        <w:rPr>
          <w:rFonts w:eastAsia="Malgun Gothic"/>
          <w:bCs/>
          <w:lang w:val="fr-FR"/>
        </w:rPr>
        <w:t xml:space="preserve"> a en outre expliqué que les détenteurs d</w:t>
      </w:r>
      <w:r>
        <w:rPr>
          <w:rFonts w:eastAsia="Malgun Gothic"/>
          <w:bCs/>
          <w:lang w:val="fr-FR"/>
        </w:rPr>
        <w:t>e l</w:t>
      </w:r>
      <w:r w:rsidR="00923E72">
        <w:rPr>
          <w:rFonts w:eastAsia="Malgun Gothic"/>
          <w:bCs/>
          <w:lang w:val="fr-FR"/>
        </w:rPr>
        <w:t>’</w:t>
      </w:r>
      <w:proofErr w:type="spellStart"/>
      <w:r>
        <w:rPr>
          <w:rFonts w:eastAsia="Malgun Gothic"/>
          <w:bCs/>
          <w:lang w:val="fr-FR"/>
        </w:rPr>
        <w:t>ortéké</w:t>
      </w:r>
      <w:proofErr w:type="spellEnd"/>
      <w:r w:rsidRPr="00B410F0">
        <w:rPr>
          <w:rFonts w:eastAsia="Malgun Gothic"/>
          <w:bCs/>
          <w:lang w:val="fr-FR"/>
        </w:rPr>
        <w:t xml:space="preserve">, avec le soutien du Comité national du patrimoine culturel immatériel et en coopération avec le ministère de la Culture et des Sports, encourageraient les activités des musées ethnographiques et historiques locaux </w:t>
      </w:r>
      <w:r w:rsidR="000C2813">
        <w:rPr>
          <w:rFonts w:eastAsia="Malgun Gothic"/>
          <w:bCs/>
          <w:lang w:val="fr-FR"/>
        </w:rPr>
        <w:t>en matière de</w:t>
      </w:r>
      <w:r w:rsidRPr="00B410F0">
        <w:rPr>
          <w:rFonts w:eastAsia="Malgun Gothic"/>
          <w:bCs/>
          <w:lang w:val="fr-FR"/>
        </w:rPr>
        <w:t xml:space="preserve"> réalisation d</w:t>
      </w:r>
      <w:r w:rsidR="00923E72">
        <w:rPr>
          <w:rFonts w:eastAsia="Malgun Gothic"/>
          <w:bCs/>
          <w:lang w:val="fr-FR"/>
        </w:rPr>
        <w:t>’</w:t>
      </w:r>
      <w:r w:rsidRPr="00B410F0">
        <w:rPr>
          <w:rFonts w:eastAsia="Malgun Gothic"/>
          <w:bCs/>
          <w:lang w:val="fr-FR"/>
        </w:rPr>
        <w:t xml:space="preserve">inventaires sur les </w:t>
      </w:r>
      <w:r w:rsidR="00D139AE">
        <w:rPr>
          <w:rFonts w:eastAsia="Malgun Gothic"/>
          <w:bCs/>
          <w:lang w:val="fr-FR"/>
        </w:rPr>
        <w:t xml:space="preserve">spectacles </w:t>
      </w:r>
      <w:r w:rsidRPr="00B410F0">
        <w:rPr>
          <w:rFonts w:eastAsia="Malgun Gothic"/>
          <w:bCs/>
          <w:lang w:val="fr-FR"/>
        </w:rPr>
        <w:t>d</w:t>
      </w:r>
      <w:r w:rsidR="00923E72">
        <w:rPr>
          <w:rFonts w:eastAsia="Malgun Gothic"/>
          <w:bCs/>
          <w:lang w:val="fr-FR"/>
        </w:rPr>
        <w:t>’</w:t>
      </w:r>
      <w:proofErr w:type="spellStart"/>
      <w:r w:rsidR="00D139AE">
        <w:rPr>
          <w:rFonts w:eastAsia="Malgun Gothic"/>
          <w:bCs/>
          <w:lang w:val="fr-FR"/>
        </w:rPr>
        <w:t>orték</w:t>
      </w:r>
      <w:r w:rsidR="00395D7E">
        <w:rPr>
          <w:rFonts w:eastAsia="Malgun Gothic"/>
          <w:bCs/>
          <w:lang w:val="fr-FR"/>
        </w:rPr>
        <w:t>é</w:t>
      </w:r>
      <w:proofErr w:type="spellEnd"/>
      <w:r w:rsidRPr="00B410F0">
        <w:rPr>
          <w:rFonts w:eastAsia="Malgun Gothic"/>
          <w:bCs/>
          <w:lang w:val="fr-FR"/>
        </w:rPr>
        <w:t xml:space="preserve"> et </w:t>
      </w:r>
      <w:r w:rsidR="00395D7E">
        <w:rPr>
          <w:rFonts w:eastAsia="Malgun Gothic"/>
          <w:bCs/>
          <w:lang w:val="fr-FR"/>
        </w:rPr>
        <w:t>de</w:t>
      </w:r>
      <w:r w:rsidRPr="00B410F0">
        <w:rPr>
          <w:rFonts w:eastAsia="Malgun Gothic"/>
          <w:bCs/>
          <w:lang w:val="fr-FR"/>
        </w:rPr>
        <w:t xml:space="preserve"> transfert de</w:t>
      </w:r>
      <w:r w:rsidR="00395D7E">
        <w:rPr>
          <w:rFonts w:eastAsia="Malgun Gothic"/>
          <w:bCs/>
          <w:lang w:val="fr-FR"/>
        </w:rPr>
        <w:t>s</w:t>
      </w:r>
      <w:r w:rsidRPr="00B410F0">
        <w:rPr>
          <w:rFonts w:eastAsia="Malgun Gothic"/>
          <w:bCs/>
          <w:lang w:val="fr-FR"/>
        </w:rPr>
        <w:t xml:space="preserve"> compétences au niveau local. À partir d</w:t>
      </w:r>
      <w:r w:rsidR="00923E72">
        <w:rPr>
          <w:rFonts w:eastAsia="Malgun Gothic"/>
          <w:bCs/>
          <w:lang w:val="fr-FR"/>
        </w:rPr>
        <w:t>’</w:t>
      </w:r>
      <w:r w:rsidRPr="00B410F0">
        <w:rPr>
          <w:rFonts w:eastAsia="Malgun Gothic"/>
          <w:bCs/>
          <w:lang w:val="fr-FR"/>
        </w:rPr>
        <w:t>octobre</w:t>
      </w:r>
      <w:r w:rsidR="003A0260">
        <w:rPr>
          <w:rFonts w:eastAsia="Malgun Gothic"/>
          <w:bCs/>
          <w:lang w:val="fr-FR"/>
        </w:rPr>
        <w:t> </w:t>
      </w:r>
      <w:r w:rsidRPr="00B410F0">
        <w:rPr>
          <w:rFonts w:eastAsia="Malgun Gothic"/>
          <w:bCs/>
          <w:lang w:val="fr-FR"/>
        </w:rPr>
        <w:t xml:space="preserve">2022, le concours national des enfants </w:t>
      </w:r>
      <w:r w:rsidR="00D139AE">
        <w:rPr>
          <w:rFonts w:eastAsia="Malgun Gothic"/>
          <w:bCs/>
          <w:lang w:val="fr-FR"/>
        </w:rPr>
        <w:t>sur les arts de l</w:t>
      </w:r>
      <w:r w:rsidR="00923E72">
        <w:rPr>
          <w:rFonts w:eastAsia="Malgun Gothic"/>
          <w:bCs/>
          <w:lang w:val="fr-FR"/>
        </w:rPr>
        <w:t>’</w:t>
      </w:r>
      <w:r w:rsidR="00D139AE" w:rsidRPr="00D139AE">
        <w:rPr>
          <w:rFonts w:eastAsia="Malgun Gothic"/>
          <w:bCs/>
          <w:lang w:val="fr-FR"/>
        </w:rPr>
        <w:t>interprétation</w:t>
      </w:r>
      <w:r w:rsidR="00D139AE">
        <w:rPr>
          <w:rFonts w:eastAsia="Malgun Gothic"/>
          <w:bCs/>
          <w:lang w:val="fr-FR"/>
        </w:rPr>
        <w:t xml:space="preserve"> de l</w:t>
      </w:r>
      <w:r w:rsidR="00923E72">
        <w:rPr>
          <w:rFonts w:eastAsia="Malgun Gothic"/>
          <w:bCs/>
          <w:lang w:val="fr-FR"/>
        </w:rPr>
        <w:t>’</w:t>
      </w:r>
      <w:proofErr w:type="spellStart"/>
      <w:r w:rsidR="00D139AE">
        <w:rPr>
          <w:rFonts w:eastAsia="Malgun Gothic"/>
          <w:bCs/>
          <w:lang w:val="fr-FR"/>
        </w:rPr>
        <w:t>ortéké</w:t>
      </w:r>
      <w:proofErr w:type="spellEnd"/>
      <w:r w:rsidRPr="00B410F0">
        <w:rPr>
          <w:rFonts w:eastAsia="Malgun Gothic"/>
          <w:bCs/>
          <w:lang w:val="fr-FR"/>
        </w:rPr>
        <w:t xml:space="preserve">, parrainé par </w:t>
      </w:r>
      <w:proofErr w:type="spellStart"/>
      <w:r w:rsidRPr="00B410F0">
        <w:rPr>
          <w:rFonts w:eastAsia="Malgun Gothic"/>
          <w:bCs/>
          <w:lang w:val="fr-FR"/>
        </w:rPr>
        <w:t>Metropolitan</w:t>
      </w:r>
      <w:proofErr w:type="spellEnd"/>
      <w:r w:rsidRPr="00B410F0">
        <w:rPr>
          <w:rFonts w:eastAsia="Malgun Gothic"/>
          <w:bCs/>
          <w:lang w:val="fr-FR"/>
        </w:rPr>
        <w:t xml:space="preserve"> </w:t>
      </w:r>
      <w:proofErr w:type="spellStart"/>
      <w:r w:rsidRPr="00B410F0">
        <w:rPr>
          <w:rFonts w:eastAsia="Malgun Gothic"/>
          <w:bCs/>
          <w:lang w:val="fr-FR"/>
        </w:rPr>
        <w:t>Company</w:t>
      </w:r>
      <w:proofErr w:type="spellEnd"/>
      <w:r w:rsidRPr="00B410F0">
        <w:rPr>
          <w:rFonts w:eastAsia="Malgun Gothic"/>
          <w:bCs/>
          <w:lang w:val="fr-FR"/>
        </w:rPr>
        <w:t xml:space="preserve">, </w:t>
      </w:r>
      <w:r w:rsidR="000C2813">
        <w:rPr>
          <w:rFonts w:eastAsia="Malgun Gothic"/>
          <w:bCs/>
          <w:lang w:val="fr-FR"/>
        </w:rPr>
        <w:t xml:space="preserve">avait été </w:t>
      </w:r>
      <w:r w:rsidRPr="00B410F0">
        <w:rPr>
          <w:rFonts w:eastAsia="Malgun Gothic"/>
          <w:bCs/>
          <w:lang w:val="fr-FR"/>
        </w:rPr>
        <w:t xml:space="preserve">organisé pour identifier les meilleures œuvres des enfants </w:t>
      </w:r>
      <w:r w:rsidR="00D139AE">
        <w:rPr>
          <w:rFonts w:eastAsia="Malgun Gothic"/>
          <w:bCs/>
          <w:lang w:val="fr-FR"/>
        </w:rPr>
        <w:t xml:space="preserve">sur </w:t>
      </w:r>
      <w:r w:rsidRPr="00B410F0">
        <w:rPr>
          <w:rFonts w:eastAsia="Malgun Gothic"/>
          <w:bCs/>
          <w:lang w:val="fr-FR"/>
        </w:rPr>
        <w:t>l</w:t>
      </w:r>
      <w:r w:rsidR="00923E72">
        <w:rPr>
          <w:rFonts w:eastAsia="Malgun Gothic"/>
          <w:bCs/>
          <w:lang w:val="fr-FR"/>
        </w:rPr>
        <w:t>’</w:t>
      </w:r>
      <w:proofErr w:type="spellStart"/>
      <w:r w:rsidR="00D139AE">
        <w:rPr>
          <w:rFonts w:eastAsia="Malgun Gothic"/>
          <w:bCs/>
          <w:lang w:val="fr-FR"/>
        </w:rPr>
        <w:t>o</w:t>
      </w:r>
      <w:r w:rsidRPr="00B410F0">
        <w:rPr>
          <w:rFonts w:eastAsia="Malgun Gothic"/>
          <w:bCs/>
          <w:lang w:val="fr-FR"/>
        </w:rPr>
        <w:t>rt</w:t>
      </w:r>
      <w:r w:rsidR="00D139AE">
        <w:rPr>
          <w:rFonts w:eastAsia="Malgun Gothic"/>
          <w:bCs/>
          <w:lang w:val="fr-FR"/>
        </w:rPr>
        <w:t>é</w:t>
      </w:r>
      <w:r w:rsidRPr="00B410F0">
        <w:rPr>
          <w:rFonts w:eastAsia="Malgun Gothic"/>
          <w:bCs/>
          <w:lang w:val="fr-FR"/>
        </w:rPr>
        <w:t>k</w:t>
      </w:r>
      <w:r w:rsidR="00D139AE">
        <w:rPr>
          <w:rFonts w:eastAsia="Malgun Gothic"/>
          <w:bCs/>
          <w:lang w:val="fr-FR"/>
        </w:rPr>
        <w:t>é</w:t>
      </w:r>
      <w:proofErr w:type="spellEnd"/>
      <w:r w:rsidRPr="00B410F0">
        <w:rPr>
          <w:rFonts w:eastAsia="Malgun Gothic"/>
          <w:bCs/>
          <w:lang w:val="fr-FR"/>
        </w:rPr>
        <w:t>. Les détenteurs de l</w:t>
      </w:r>
      <w:r w:rsidR="00923E72">
        <w:rPr>
          <w:rFonts w:eastAsia="Malgun Gothic"/>
          <w:bCs/>
          <w:lang w:val="fr-FR"/>
        </w:rPr>
        <w:t>’</w:t>
      </w:r>
      <w:r w:rsidRPr="00B410F0">
        <w:rPr>
          <w:rFonts w:eastAsia="Malgun Gothic"/>
          <w:bCs/>
          <w:lang w:val="fr-FR"/>
        </w:rPr>
        <w:t xml:space="preserve">élément et les communautés </w:t>
      </w:r>
      <w:r w:rsidR="00D139AE">
        <w:rPr>
          <w:rFonts w:eastAsia="Malgun Gothic"/>
          <w:bCs/>
          <w:lang w:val="fr-FR"/>
        </w:rPr>
        <w:t xml:space="preserve">rassembleraient les travaux </w:t>
      </w:r>
      <w:r w:rsidRPr="00B410F0">
        <w:rPr>
          <w:rFonts w:eastAsia="Malgun Gothic"/>
          <w:bCs/>
          <w:lang w:val="fr-FR"/>
        </w:rPr>
        <w:t>et dirigeraient le jury du concours, et les œuvres d</w:t>
      </w:r>
      <w:r w:rsidR="00923E72">
        <w:rPr>
          <w:rFonts w:eastAsia="Malgun Gothic"/>
          <w:bCs/>
          <w:lang w:val="fr-FR"/>
        </w:rPr>
        <w:t>’</w:t>
      </w:r>
      <w:r w:rsidRPr="00B410F0">
        <w:rPr>
          <w:rFonts w:eastAsia="Malgun Gothic"/>
          <w:bCs/>
          <w:lang w:val="fr-FR"/>
        </w:rPr>
        <w:t xml:space="preserve">art seraient largement </w:t>
      </w:r>
      <w:r w:rsidR="00395D7E">
        <w:rPr>
          <w:rFonts w:eastAsia="Malgun Gothic"/>
          <w:bCs/>
          <w:lang w:val="fr-FR"/>
        </w:rPr>
        <w:t xml:space="preserve">diffusées </w:t>
      </w:r>
      <w:r w:rsidRPr="00B410F0">
        <w:rPr>
          <w:rFonts w:eastAsia="Malgun Gothic"/>
          <w:bCs/>
          <w:lang w:val="fr-FR"/>
        </w:rPr>
        <w:t xml:space="preserve">dans </w:t>
      </w:r>
      <w:r w:rsidR="00395D7E">
        <w:rPr>
          <w:rFonts w:eastAsia="Malgun Gothic"/>
          <w:bCs/>
          <w:lang w:val="fr-FR"/>
        </w:rPr>
        <w:t xml:space="preserve">la communication </w:t>
      </w:r>
      <w:r w:rsidR="005D45EC">
        <w:rPr>
          <w:rFonts w:eastAsia="Malgun Gothic"/>
          <w:bCs/>
          <w:lang w:val="fr-FR"/>
        </w:rPr>
        <w:t xml:space="preserve">des municipalités </w:t>
      </w:r>
      <w:r w:rsidRPr="00B410F0">
        <w:rPr>
          <w:rFonts w:eastAsia="Malgun Gothic"/>
          <w:bCs/>
          <w:lang w:val="fr-FR"/>
        </w:rPr>
        <w:t>d</w:t>
      </w:r>
      <w:r w:rsidR="00923E72">
        <w:rPr>
          <w:rFonts w:eastAsia="Malgun Gothic"/>
          <w:bCs/>
          <w:lang w:val="fr-FR"/>
        </w:rPr>
        <w:t>’</w:t>
      </w:r>
      <w:r w:rsidRPr="00B410F0">
        <w:rPr>
          <w:rFonts w:eastAsia="Malgun Gothic"/>
          <w:bCs/>
          <w:lang w:val="fr-FR"/>
        </w:rPr>
        <w:t>Astana et d</w:t>
      </w:r>
      <w:r w:rsidR="00923E72">
        <w:rPr>
          <w:rFonts w:eastAsia="Malgun Gothic"/>
          <w:bCs/>
          <w:lang w:val="fr-FR"/>
        </w:rPr>
        <w:t>’</w:t>
      </w:r>
      <w:r w:rsidRPr="00B410F0">
        <w:rPr>
          <w:rFonts w:eastAsia="Malgun Gothic"/>
          <w:bCs/>
          <w:lang w:val="fr-FR"/>
        </w:rPr>
        <w:t>Almaty</w:t>
      </w:r>
      <w:r w:rsidR="005D45EC">
        <w:rPr>
          <w:rFonts w:eastAsia="Malgun Gothic"/>
          <w:bCs/>
          <w:lang w:val="fr-FR"/>
        </w:rPr>
        <w:t xml:space="preserve"> sur les médias sociaux</w:t>
      </w:r>
      <w:r w:rsidRPr="00B410F0">
        <w:rPr>
          <w:rFonts w:eastAsia="Malgun Gothic"/>
          <w:bCs/>
          <w:lang w:val="fr-FR"/>
        </w:rPr>
        <w:t>. La Fédération kazakhe des clubs UNESCO avait récemment informé le Comité national du patrimoine culturel immatériel de son intention d</w:t>
      </w:r>
      <w:r w:rsidR="00923E72">
        <w:rPr>
          <w:rFonts w:eastAsia="Malgun Gothic"/>
          <w:bCs/>
          <w:lang w:val="fr-FR"/>
        </w:rPr>
        <w:t>’</w:t>
      </w:r>
      <w:r w:rsidRPr="00B410F0">
        <w:rPr>
          <w:rFonts w:eastAsia="Malgun Gothic"/>
          <w:bCs/>
          <w:lang w:val="fr-FR"/>
        </w:rPr>
        <w:t xml:space="preserve">organiser le Festival de la jeunesse </w:t>
      </w:r>
      <w:r w:rsidR="00D139AE">
        <w:rPr>
          <w:rFonts w:eastAsia="Malgun Gothic"/>
          <w:bCs/>
          <w:lang w:val="fr-FR"/>
        </w:rPr>
        <w:t>de l</w:t>
      </w:r>
      <w:r w:rsidR="00923E72">
        <w:rPr>
          <w:rFonts w:eastAsia="Malgun Gothic"/>
          <w:bCs/>
          <w:lang w:val="fr-FR"/>
        </w:rPr>
        <w:t>’</w:t>
      </w:r>
      <w:proofErr w:type="spellStart"/>
      <w:r w:rsidR="00D139AE">
        <w:rPr>
          <w:rFonts w:eastAsia="Malgun Gothic"/>
          <w:bCs/>
          <w:lang w:val="fr-FR"/>
        </w:rPr>
        <w:t>o</w:t>
      </w:r>
      <w:r w:rsidRPr="00B410F0">
        <w:rPr>
          <w:rFonts w:eastAsia="Malgun Gothic"/>
          <w:bCs/>
          <w:lang w:val="fr-FR"/>
        </w:rPr>
        <w:t>rt</w:t>
      </w:r>
      <w:r w:rsidR="00D139AE">
        <w:rPr>
          <w:rFonts w:eastAsia="Malgun Gothic"/>
          <w:bCs/>
          <w:lang w:val="fr-FR"/>
        </w:rPr>
        <w:t>é</w:t>
      </w:r>
      <w:r w:rsidRPr="00B410F0">
        <w:rPr>
          <w:rFonts w:eastAsia="Malgun Gothic"/>
          <w:bCs/>
          <w:lang w:val="fr-FR"/>
        </w:rPr>
        <w:t>k</w:t>
      </w:r>
      <w:r w:rsidR="00D139AE">
        <w:rPr>
          <w:rFonts w:eastAsia="Malgun Gothic"/>
          <w:bCs/>
          <w:lang w:val="fr-FR"/>
        </w:rPr>
        <w:t>é</w:t>
      </w:r>
      <w:proofErr w:type="spellEnd"/>
      <w:r w:rsidRPr="00B410F0">
        <w:rPr>
          <w:rFonts w:eastAsia="Malgun Gothic"/>
          <w:bCs/>
          <w:lang w:val="fr-FR"/>
        </w:rPr>
        <w:t xml:space="preserve"> en</w:t>
      </w:r>
      <w:r w:rsidR="00CB5654">
        <w:rPr>
          <w:rFonts w:eastAsia="Malgun Gothic"/>
          <w:bCs/>
          <w:lang w:val="fr-FR"/>
        </w:rPr>
        <w:t> </w:t>
      </w:r>
      <w:r w:rsidRPr="00B410F0">
        <w:rPr>
          <w:rFonts w:eastAsia="Malgun Gothic"/>
          <w:bCs/>
          <w:lang w:val="fr-FR"/>
        </w:rPr>
        <w:t>2023 afin de promouvoir l</w:t>
      </w:r>
      <w:r w:rsidR="00923E72">
        <w:rPr>
          <w:rFonts w:eastAsia="Malgun Gothic"/>
          <w:bCs/>
          <w:lang w:val="fr-FR"/>
        </w:rPr>
        <w:t>’</w:t>
      </w:r>
      <w:r w:rsidRPr="00B410F0">
        <w:rPr>
          <w:rFonts w:eastAsia="Malgun Gothic"/>
          <w:bCs/>
          <w:lang w:val="fr-FR"/>
        </w:rPr>
        <w:t>élément et de diffuser l</w:t>
      </w:r>
      <w:r w:rsidR="00395D7E">
        <w:rPr>
          <w:rFonts w:eastAsia="Malgun Gothic"/>
          <w:bCs/>
          <w:lang w:val="fr-FR"/>
        </w:rPr>
        <w:t>es</w:t>
      </w:r>
      <w:r w:rsidRPr="00B410F0">
        <w:rPr>
          <w:rFonts w:eastAsia="Malgun Gothic"/>
          <w:bCs/>
          <w:lang w:val="fr-FR"/>
        </w:rPr>
        <w:t xml:space="preserve"> connaissances concernant son origine, son histoire et ses spectacles. Enfin, le Comité national du patrimoine culturel immatériel, en partenariat avec l</w:t>
      </w:r>
      <w:r w:rsidR="00923E72">
        <w:rPr>
          <w:rFonts w:eastAsia="Malgun Gothic"/>
          <w:bCs/>
          <w:lang w:val="fr-FR"/>
        </w:rPr>
        <w:t>’</w:t>
      </w:r>
      <w:r w:rsidRPr="00B410F0">
        <w:rPr>
          <w:rFonts w:eastAsia="Malgun Gothic"/>
          <w:bCs/>
          <w:lang w:val="fr-FR"/>
        </w:rPr>
        <w:t xml:space="preserve">Académie nationale des sciences, coordonnerait des </w:t>
      </w:r>
      <w:r w:rsidR="00D139AE">
        <w:rPr>
          <w:rFonts w:eastAsia="Malgun Gothic"/>
          <w:bCs/>
          <w:lang w:val="fr-FR"/>
        </w:rPr>
        <w:t xml:space="preserve">travaux de </w:t>
      </w:r>
      <w:r w:rsidRPr="00B410F0">
        <w:rPr>
          <w:rFonts w:eastAsia="Malgun Gothic"/>
          <w:bCs/>
          <w:lang w:val="fr-FR"/>
        </w:rPr>
        <w:t>recherche supplémentaires sur les origines et le développement de l</w:t>
      </w:r>
      <w:r w:rsidR="00923E72">
        <w:rPr>
          <w:rFonts w:eastAsia="Malgun Gothic"/>
          <w:bCs/>
          <w:lang w:val="fr-FR"/>
        </w:rPr>
        <w:t>’</w:t>
      </w:r>
      <w:proofErr w:type="spellStart"/>
      <w:r w:rsidR="00D139AE">
        <w:rPr>
          <w:rFonts w:eastAsia="Malgun Gothic"/>
          <w:bCs/>
          <w:lang w:val="fr-FR"/>
        </w:rPr>
        <w:t>ortéké</w:t>
      </w:r>
      <w:proofErr w:type="spellEnd"/>
      <w:r w:rsidRPr="00B410F0">
        <w:rPr>
          <w:rFonts w:eastAsia="Malgun Gothic"/>
          <w:bCs/>
          <w:lang w:val="fr-FR"/>
        </w:rPr>
        <w:t>. Ces activités seraient menées par des communautés d</w:t>
      </w:r>
      <w:r w:rsidR="00923E72">
        <w:rPr>
          <w:rFonts w:eastAsia="Malgun Gothic"/>
          <w:bCs/>
          <w:lang w:val="fr-FR"/>
        </w:rPr>
        <w:t>’</w:t>
      </w:r>
      <w:r w:rsidRPr="00B410F0">
        <w:rPr>
          <w:rFonts w:eastAsia="Malgun Gothic"/>
          <w:bCs/>
          <w:lang w:val="fr-FR"/>
        </w:rPr>
        <w:t xml:space="preserve">experts universitaires, en </w:t>
      </w:r>
      <w:r w:rsidR="005D45EC">
        <w:rPr>
          <w:rFonts w:eastAsia="Malgun Gothic"/>
          <w:bCs/>
          <w:lang w:val="fr-FR"/>
        </w:rPr>
        <w:t xml:space="preserve">concertation </w:t>
      </w:r>
      <w:r w:rsidRPr="00B410F0">
        <w:rPr>
          <w:rFonts w:eastAsia="Malgun Gothic"/>
          <w:bCs/>
          <w:lang w:val="fr-FR"/>
        </w:rPr>
        <w:t>avec des détenteurs individuels reconnus de l</w:t>
      </w:r>
      <w:r w:rsidR="00923E72">
        <w:rPr>
          <w:rFonts w:eastAsia="Malgun Gothic"/>
          <w:bCs/>
          <w:lang w:val="fr-FR"/>
        </w:rPr>
        <w:t>’</w:t>
      </w:r>
      <w:proofErr w:type="spellStart"/>
      <w:r w:rsidR="00D139AE">
        <w:rPr>
          <w:rFonts w:eastAsia="Malgun Gothic"/>
          <w:bCs/>
          <w:lang w:val="fr-FR"/>
        </w:rPr>
        <w:t>ortéké</w:t>
      </w:r>
      <w:proofErr w:type="spellEnd"/>
      <w:r w:rsidRPr="00B410F0">
        <w:rPr>
          <w:rFonts w:eastAsia="Malgun Gothic"/>
          <w:bCs/>
          <w:lang w:val="fr-FR"/>
        </w:rPr>
        <w:t>, qu</w:t>
      </w:r>
      <w:r w:rsidR="00923E72">
        <w:rPr>
          <w:rFonts w:eastAsia="Malgun Gothic"/>
          <w:bCs/>
          <w:lang w:val="fr-FR"/>
        </w:rPr>
        <w:t>’</w:t>
      </w:r>
      <w:r w:rsidRPr="00B410F0">
        <w:rPr>
          <w:rFonts w:eastAsia="Malgun Gothic"/>
          <w:bCs/>
          <w:lang w:val="fr-FR"/>
        </w:rPr>
        <w:t>il s</w:t>
      </w:r>
      <w:r w:rsidR="00923E72">
        <w:rPr>
          <w:rFonts w:eastAsia="Malgun Gothic"/>
          <w:bCs/>
          <w:lang w:val="fr-FR"/>
        </w:rPr>
        <w:t>’</w:t>
      </w:r>
      <w:r w:rsidRPr="00B410F0">
        <w:rPr>
          <w:rFonts w:eastAsia="Malgun Gothic"/>
          <w:bCs/>
          <w:lang w:val="fr-FR"/>
        </w:rPr>
        <w:t>agisse d</w:t>
      </w:r>
      <w:r w:rsidR="00923E72">
        <w:rPr>
          <w:rFonts w:eastAsia="Malgun Gothic"/>
          <w:bCs/>
          <w:lang w:val="fr-FR"/>
        </w:rPr>
        <w:t>’</w:t>
      </w:r>
      <w:r w:rsidRPr="00B410F0">
        <w:rPr>
          <w:rFonts w:eastAsia="Malgun Gothic"/>
          <w:bCs/>
          <w:lang w:val="fr-FR"/>
        </w:rPr>
        <w:t>artistes ou d</w:t>
      </w:r>
      <w:r w:rsidR="00923E72">
        <w:rPr>
          <w:rFonts w:eastAsia="Malgun Gothic"/>
          <w:bCs/>
          <w:lang w:val="fr-FR"/>
        </w:rPr>
        <w:t>’</w:t>
      </w:r>
      <w:r w:rsidRPr="00B410F0">
        <w:rPr>
          <w:rFonts w:eastAsia="Malgun Gothic"/>
          <w:bCs/>
          <w:lang w:val="fr-FR"/>
        </w:rPr>
        <w:t xml:space="preserve">artisans. Les résultats </w:t>
      </w:r>
      <w:r w:rsidRPr="00B410F0">
        <w:rPr>
          <w:rFonts w:eastAsia="Malgun Gothic"/>
          <w:bCs/>
          <w:lang w:val="fr-FR"/>
        </w:rPr>
        <w:lastRenderedPageBreak/>
        <w:t>contribueraient à susciter l</w:t>
      </w:r>
      <w:r w:rsidR="00923E72">
        <w:rPr>
          <w:rFonts w:eastAsia="Malgun Gothic"/>
          <w:bCs/>
          <w:lang w:val="fr-FR"/>
        </w:rPr>
        <w:t>’</w:t>
      </w:r>
      <w:r w:rsidRPr="00B410F0">
        <w:rPr>
          <w:rFonts w:eastAsia="Malgun Gothic"/>
          <w:bCs/>
          <w:lang w:val="fr-FR"/>
        </w:rPr>
        <w:t>intérêt du public pour cet élément culturel important et feraient partie d</w:t>
      </w:r>
      <w:r w:rsidR="00923E72">
        <w:rPr>
          <w:rFonts w:eastAsia="Malgun Gothic"/>
          <w:bCs/>
          <w:lang w:val="fr-FR"/>
        </w:rPr>
        <w:t>’</w:t>
      </w:r>
      <w:r w:rsidRPr="00B410F0">
        <w:rPr>
          <w:rFonts w:eastAsia="Malgun Gothic"/>
          <w:bCs/>
          <w:lang w:val="fr-FR"/>
        </w:rPr>
        <w:t>un plan de sauvegarde complet et continu.</w:t>
      </w:r>
    </w:p>
    <w:p w14:paraId="2F51FBDD" w14:textId="54886BC1" w:rsidR="000C2813" w:rsidRDefault="005D45E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le Kazakhstan pour ces </w:t>
      </w:r>
      <w:r w:rsidRPr="005D45EC">
        <w:rPr>
          <w:rFonts w:eastAsia="Malgun Gothic"/>
          <w:bCs/>
          <w:lang w:val="fr-FR"/>
        </w:rPr>
        <w:t>éclaircissements</w:t>
      </w:r>
      <w:r>
        <w:rPr>
          <w:rFonts w:eastAsia="Malgun Gothic"/>
          <w:bCs/>
          <w:lang w:val="fr-FR"/>
        </w:rPr>
        <w:t xml:space="preserve">, </w:t>
      </w:r>
      <w:r w:rsidRPr="005D45EC">
        <w:rPr>
          <w:rFonts w:eastAsia="Malgun Gothic"/>
          <w:bCs/>
          <w:lang w:val="fr-FR"/>
        </w:rPr>
        <w:t>tout particulièrement</w:t>
      </w:r>
      <w:r>
        <w:rPr>
          <w:rFonts w:eastAsia="Malgun Gothic"/>
          <w:bCs/>
          <w:lang w:val="fr-FR"/>
        </w:rPr>
        <w:t xml:space="preserve"> en ce qui concerne le </w:t>
      </w:r>
      <w:r w:rsidRPr="005D45EC">
        <w:rPr>
          <w:rFonts w:eastAsia="Malgun Gothic"/>
          <w:bCs/>
          <w:lang w:val="fr-FR"/>
        </w:rPr>
        <w:t>critère</w:t>
      </w:r>
      <w:r>
        <w:rPr>
          <w:rFonts w:eastAsia="Malgun Gothic"/>
          <w:bCs/>
          <w:lang w:val="fr-FR"/>
        </w:rPr>
        <w:t> R.3 et les mesures de sauvegarde.</w:t>
      </w:r>
    </w:p>
    <w:p w14:paraId="109AB3A4" w14:textId="3FB98590" w:rsidR="005D45EC" w:rsidRDefault="005D45E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D45EC">
        <w:rPr>
          <w:rFonts w:eastAsia="Malgun Gothic"/>
          <w:bCs/>
          <w:lang w:val="fr-FR"/>
        </w:rPr>
        <w:t>La délégation de l</w:t>
      </w:r>
      <w:r w:rsidR="00923E72">
        <w:rPr>
          <w:rFonts w:eastAsia="Malgun Gothic"/>
          <w:bCs/>
          <w:lang w:val="fr-FR"/>
        </w:rPr>
        <w:t>’</w:t>
      </w:r>
      <w:r w:rsidRPr="00702497">
        <w:rPr>
          <w:rFonts w:eastAsia="Malgun Gothic"/>
          <w:b/>
          <w:lang w:val="fr-FR"/>
        </w:rPr>
        <w:t>Ouzbékistan</w:t>
      </w:r>
      <w:r w:rsidRPr="005D45EC">
        <w:rPr>
          <w:rFonts w:eastAsia="Malgun Gothic"/>
          <w:bCs/>
          <w:lang w:val="fr-FR"/>
        </w:rPr>
        <w:t xml:space="preserve"> a salué la soumission du dossier de candidature du Kazakhstan </w:t>
      </w:r>
      <w:r w:rsidR="003C263B">
        <w:rPr>
          <w:rFonts w:eastAsia="Malgun Gothic"/>
          <w:bCs/>
          <w:lang w:val="fr-FR"/>
        </w:rPr>
        <w:t xml:space="preserve">concernant </w:t>
      </w:r>
      <w:r w:rsidRPr="005D45EC">
        <w:rPr>
          <w:rFonts w:eastAsia="Malgun Gothic"/>
          <w:bCs/>
          <w:lang w:val="fr-FR"/>
        </w:rPr>
        <w:t>l</w:t>
      </w:r>
      <w:r w:rsidR="00923E72">
        <w:rPr>
          <w:rFonts w:eastAsia="Malgun Gothic"/>
          <w:bCs/>
          <w:lang w:val="fr-FR"/>
        </w:rPr>
        <w:t>’</w:t>
      </w:r>
      <w:proofErr w:type="spellStart"/>
      <w:r w:rsidRPr="005D45EC">
        <w:rPr>
          <w:rFonts w:eastAsia="Malgun Gothic"/>
          <w:bCs/>
          <w:lang w:val="fr-FR"/>
        </w:rPr>
        <w:t>ortéké</w:t>
      </w:r>
      <w:proofErr w:type="spellEnd"/>
      <w:r w:rsidRPr="005D45EC">
        <w:rPr>
          <w:rFonts w:eastAsia="Malgun Gothic"/>
          <w:bCs/>
          <w:lang w:val="fr-FR"/>
        </w:rPr>
        <w:t>. Elle avait examiné les préoccupations exprimées par l</w:t>
      </w:r>
      <w:r w:rsidR="00923E72">
        <w:rPr>
          <w:rFonts w:eastAsia="Malgun Gothic"/>
          <w:bCs/>
          <w:lang w:val="fr-FR"/>
        </w:rPr>
        <w:t>’</w:t>
      </w:r>
      <w:r w:rsidRPr="005D45EC">
        <w:rPr>
          <w:rFonts w:eastAsia="Malgun Gothic"/>
          <w:bCs/>
          <w:lang w:val="fr-FR"/>
        </w:rPr>
        <w:t>Organe d</w:t>
      </w:r>
      <w:r w:rsidR="00923E72">
        <w:rPr>
          <w:rFonts w:eastAsia="Malgun Gothic"/>
          <w:bCs/>
          <w:lang w:val="fr-FR"/>
        </w:rPr>
        <w:t>’</w:t>
      </w:r>
      <w:r w:rsidRPr="005D45EC">
        <w:rPr>
          <w:rFonts w:eastAsia="Malgun Gothic"/>
          <w:bCs/>
          <w:lang w:val="fr-FR"/>
        </w:rPr>
        <w:t xml:space="preserve">évaluation </w:t>
      </w:r>
      <w:r w:rsidR="003C263B">
        <w:rPr>
          <w:rFonts w:eastAsia="Malgun Gothic"/>
          <w:bCs/>
          <w:lang w:val="fr-FR"/>
        </w:rPr>
        <w:t xml:space="preserve">à propos de </w:t>
      </w:r>
      <w:r w:rsidRPr="005D45EC">
        <w:rPr>
          <w:rFonts w:eastAsia="Malgun Gothic"/>
          <w:bCs/>
          <w:lang w:val="fr-FR"/>
        </w:rPr>
        <w:t>l</w:t>
      </w:r>
      <w:r w:rsidR="00923E72">
        <w:rPr>
          <w:rFonts w:eastAsia="Malgun Gothic"/>
          <w:bCs/>
          <w:lang w:val="fr-FR"/>
        </w:rPr>
        <w:t>’</w:t>
      </w:r>
      <w:r w:rsidRPr="005D45EC">
        <w:rPr>
          <w:rFonts w:eastAsia="Malgun Gothic"/>
          <w:bCs/>
          <w:lang w:val="fr-FR"/>
        </w:rPr>
        <w:t>engagement des communautés dans la mise en œuvre des mesures de sauvegarde</w:t>
      </w:r>
      <w:r w:rsidR="003C263B">
        <w:rPr>
          <w:rFonts w:eastAsia="Malgun Gothic"/>
          <w:bCs/>
          <w:lang w:val="fr-FR"/>
        </w:rPr>
        <w:t xml:space="preserve"> </w:t>
      </w:r>
      <w:r w:rsidRPr="005D45EC">
        <w:rPr>
          <w:rFonts w:eastAsia="Malgun Gothic"/>
          <w:bCs/>
          <w:lang w:val="fr-FR"/>
        </w:rPr>
        <w:t>et avait pris note des éclaircissements apportés par l</w:t>
      </w:r>
      <w:r w:rsidR="00923E72">
        <w:rPr>
          <w:rFonts w:eastAsia="Malgun Gothic"/>
          <w:bCs/>
          <w:lang w:val="fr-FR"/>
        </w:rPr>
        <w:t>’</w:t>
      </w:r>
      <w:r w:rsidRPr="005D45EC">
        <w:rPr>
          <w:rFonts w:eastAsia="Malgun Gothic"/>
          <w:bCs/>
          <w:lang w:val="fr-FR"/>
        </w:rPr>
        <w:t>État soumissionnaire dans le cadre du processus de dialogue. La délégation a reconnu que l</w:t>
      </w:r>
      <w:r w:rsidR="00923E72">
        <w:rPr>
          <w:rFonts w:eastAsia="Malgun Gothic"/>
          <w:bCs/>
          <w:lang w:val="fr-FR"/>
        </w:rPr>
        <w:t>’</w:t>
      </w:r>
      <w:r w:rsidRPr="005D45EC">
        <w:rPr>
          <w:rFonts w:eastAsia="Malgun Gothic"/>
          <w:bCs/>
          <w:lang w:val="fr-FR"/>
        </w:rPr>
        <w:t xml:space="preserve">État partie avait bien mis en évidence la participation des parties prenantes, y compris les communautés locales, à la planification et à la </w:t>
      </w:r>
      <w:r w:rsidR="003C263B">
        <w:rPr>
          <w:rFonts w:eastAsia="Malgun Gothic"/>
          <w:bCs/>
          <w:lang w:val="fr-FR"/>
        </w:rPr>
        <w:t xml:space="preserve">mise en œuvre </w:t>
      </w:r>
      <w:r w:rsidRPr="005D45EC">
        <w:rPr>
          <w:rFonts w:eastAsia="Malgun Gothic"/>
          <w:bCs/>
          <w:lang w:val="fr-FR"/>
        </w:rPr>
        <w:t>des mesures de sauvegarde dans le dossier de candidature et les documents</w:t>
      </w:r>
      <w:r w:rsidR="00274447">
        <w:rPr>
          <w:rFonts w:eastAsia="Malgun Gothic"/>
          <w:bCs/>
          <w:lang w:val="fr-FR"/>
        </w:rPr>
        <w:t xml:space="preserve"> soumis</w:t>
      </w:r>
      <w:r w:rsidRPr="005D45EC">
        <w:rPr>
          <w:rFonts w:eastAsia="Malgun Gothic"/>
          <w:bCs/>
          <w:lang w:val="fr-FR"/>
        </w:rPr>
        <w:t>.</w:t>
      </w:r>
      <w:r w:rsidR="003C263B">
        <w:rPr>
          <w:rFonts w:eastAsia="Malgun Gothic"/>
          <w:bCs/>
          <w:lang w:val="fr-FR"/>
        </w:rPr>
        <w:t xml:space="preserve"> Parallèlement</w:t>
      </w:r>
      <w:r w:rsidRPr="005D45EC">
        <w:rPr>
          <w:rFonts w:eastAsia="Malgun Gothic"/>
          <w:bCs/>
          <w:lang w:val="fr-FR"/>
        </w:rPr>
        <w:t>, elle a attiré l</w:t>
      </w:r>
      <w:r w:rsidR="00923E72">
        <w:rPr>
          <w:rFonts w:eastAsia="Malgun Gothic"/>
          <w:bCs/>
          <w:lang w:val="fr-FR"/>
        </w:rPr>
        <w:t>’</w:t>
      </w:r>
      <w:r w:rsidRPr="005D45EC">
        <w:rPr>
          <w:rFonts w:eastAsia="Malgun Gothic"/>
          <w:bCs/>
          <w:lang w:val="fr-FR"/>
        </w:rPr>
        <w:t xml:space="preserve">attention </w:t>
      </w:r>
      <w:r w:rsidR="003C263B">
        <w:rPr>
          <w:rFonts w:eastAsia="Malgun Gothic"/>
          <w:bCs/>
          <w:lang w:val="fr-FR"/>
        </w:rPr>
        <w:t xml:space="preserve">du Comité </w:t>
      </w:r>
      <w:r w:rsidRPr="005D45EC">
        <w:rPr>
          <w:rFonts w:eastAsia="Malgun Gothic"/>
          <w:bCs/>
          <w:lang w:val="fr-FR"/>
        </w:rPr>
        <w:t>sur le</w:t>
      </w:r>
      <w:r w:rsidR="00395D7E">
        <w:rPr>
          <w:rFonts w:eastAsia="Malgun Gothic"/>
          <w:bCs/>
          <w:lang w:val="fr-FR"/>
        </w:rPr>
        <w:t>s</w:t>
      </w:r>
      <w:r w:rsidRPr="005D45EC">
        <w:rPr>
          <w:rFonts w:eastAsia="Malgun Gothic"/>
          <w:bCs/>
          <w:lang w:val="fr-FR"/>
        </w:rPr>
        <w:t xml:space="preserve"> trava</w:t>
      </w:r>
      <w:r w:rsidR="00395D7E">
        <w:rPr>
          <w:rFonts w:eastAsia="Malgun Gothic"/>
          <w:bCs/>
          <w:lang w:val="fr-FR"/>
        </w:rPr>
        <w:t>ux</w:t>
      </w:r>
      <w:r w:rsidRPr="005D45EC">
        <w:rPr>
          <w:rFonts w:eastAsia="Malgun Gothic"/>
          <w:bCs/>
          <w:lang w:val="fr-FR"/>
        </w:rPr>
        <w:t xml:space="preserve"> d</w:t>
      </w:r>
      <w:r w:rsidR="00923E72">
        <w:rPr>
          <w:rFonts w:eastAsia="Malgun Gothic"/>
          <w:bCs/>
          <w:lang w:val="fr-FR"/>
        </w:rPr>
        <w:t>’</w:t>
      </w:r>
      <w:r w:rsidRPr="005D45EC">
        <w:rPr>
          <w:rFonts w:eastAsia="Malgun Gothic"/>
          <w:bCs/>
          <w:lang w:val="fr-FR"/>
        </w:rPr>
        <w:t>un groupe de recherche spécialement créé pour étudier et transmettre cet élément. Ce</w:t>
      </w:r>
      <w:r w:rsidR="00395D7E">
        <w:rPr>
          <w:rFonts w:eastAsia="Malgun Gothic"/>
          <w:bCs/>
          <w:lang w:val="fr-FR"/>
        </w:rPr>
        <w:t>s</w:t>
      </w:r>
      <w:r w:rsidRPr="005D45EC">
        <w:rPr>
          <w:rFonts w:eastAsia="Malgun Gothic"/>
          <w:bCs/>
          <w:lang w:val="fr-FR"/>
        </w:rPr>
        <w:t xml:space="preserve"> trava</w:t>
      </w:r>
      <w:r w:rsidR="00395D7E">
        <w:rPr>
          <w:rFonts w:eastAsia="Malgun Gothic"/>
          <w:bCs/>
          <w:lang w:val="fr-FR"/>
        </w:rPr>
        <w:t>ux</w:t>
      </w:r>
      <w:r w:rsidRPr="005D45EC">
        <w:rPr>
          <w:rFonts w:eastAsia="Malgun Gothic"/>
          <w:bCs/>
          <w:lang w:val="fr-FR"/>
        </w:rPr>
        <w:t xml:space="preserve"> permettai</w:t>
      </w:r>
      <w:r w:rsidR="00395D7E">
        <w:rPr>
          <w:rFonts w:eastAsia="Malgun Gothic"/>
          <w:bCs/>
          <w:lang w:val="fr-FR"/>
        </w:rPr>
        <w:t>en</w:t>
      </w:r>
      <w:r w:rsidRPr="005D45EC">
        <w:rPr>
          <w:rFonts w:eastAsia="Malgun Gothic"/>
          <w:bCs/>
          <w:lang w:val="fr-FR"/>
        </w:rPr>
        <w:t xml:space="preserve">t de voir que le groupe de recherche réunissait des universitaires, des chercheurs indépendants, des détenteurs et des praticiens ainsi que des participants </w:t>
      </w:r>
      <w:r w:rsidR="003C263B">
        <w:rPr>
          <w:rFonts w:eastAsia="Malgun Gothic"/>
          <w:bCs/>
          <w:lang w:val="fr-FR"/>
        </w:rPr>
        <w:t xml:space="preserve">compétents </w:t>
      </w:r>
      <w:r w:rsidRPr="005D45EC">
        <w:rPr>
          <w:rFonts w:eastAsia="Malgun Gothic"/>
          <w:bCs/>
          <w:lang w:val="fr-FR"/>
        </w:rPr>
        <w:t>qui se consacrent à la préservation d</w:t>
      </w:r>
      <w:r w:rsidR="003C263B">
        <w:rPr>
          <w:rFonts w:eastAsia="Malgun Gothic"/>
          <w:bCs/>
          <w:lang w:val="fr-FR"/>
        </w:rPr>
        <w:t>e l</w:t>
      </w:r>
      <w:r w:rsidR="00923E72">
        <w:rPr>
          <w:rFonts w:eastAsia="Malgun Gothic"/>
          <w:bCs/>
          <w:lang w:val="fr-FR"/>
        </w:rPr>
        <w:t>’</w:t>
      </w:r>
      <w:proofErr w:type="spellStart"/>
      <w:r w:rsidR="003C263B">
        <w:rPr>
          <w:rFonts w:eastAsia="Malgun Gothic"/>
          <w:bCs/>
          <w:lang w:val="fr-FR"/>
        </w:rPr>
        <w:t>ortéké</w:t>
      </w:r>
      <w:proofErr w:type="spellEnd"/>
      <w:r w:rsidR="003C263B">
        <w:rPr>
          <w:rFonts w:eastAsia="Malgun Gothic"/>
          <w:bCs/>
          <w:lang w:val="fr-FR"/>
        </w:rPr>
        <w:t>.</w:t>
      </w:r>
      <w:r w:rsidRPr="005D45EC">
        <w:rPr>
          <w:rFonts w:eastAsia="Malgun Gothic"/>
          <w:bCs/>
          <w:lang w:val="fr-FR"/>
        </w:rPr>
        <w:t xml:space="preserve"> Ce qui était essentiel, c</w:t>
      </w:r>
      <w:r w:rsidR="00923E72">
        <w:rPr>
          <w:rFonts w:eastAsia="Malgun Gothic"/>
          <w:bCs/>
          <w:lang w:val="fr-FR"/>
        </w:rPr>
        <w:t>’</w:t>
      </w:r>
      <w:r w:rsidRPr="005D45EC">
        <w:rPr>
          <w:rFonts w:eastAsia="Malgun Gothic"/>
          <w:bCs/>
          <w:lang w:val="fr-FR"/>
        </w:rPr>
        <w:t>était l</w:t>
      </w:r>
      <w:r w:rsidR="00923E72">
        <w:rPr>
          <w:rFonts w:eastAsia="Malgun Gothic"/>
          <w:bCs/>
          <w:lang w:val="fr-FR"/>
        </w:rPr>
        <w:t>’</w:t>
      </w:r>
      <w:r w:rsidRPr="005D45EC">
        <w:rPr>
          <w:rFonts w:eastAsia="Malgun Gothic"/>
          <w:bCs/>
          <w:lang w:val="fr-FR"/>
        </w:rPr>
        <w:t>introduction par l</w:t>
      </w:r>
      <w:r w:rsidR="00923E72">
        <w:rPr>
          <w:rFonts w:eastAsia="Malgun Gothic"/>
          <w:bCs/>
          <w:lang w:val="fr-FR"/>
        </w:rPr>
        <w:t>’</w:t>
      </w:r>
      <w:r w:rsidRPr="005D45EC">
        <w:rPr>
          <w:rFonts w:eastAsia="Malgun Gothic"/>
          <w:bCs/>
          <w:lang w:val="fr-FR"/>
        </w:rPr>
        <w:t>État partie de</w:t>
      </w:r>
      <w:r w:rsidR="003C263B">
        <w:rPr>
          <w:rFonts w:eastAsia="Malgun Gothic"/>
          <w:bCs/>
          <w:lang w:val="fr-FR"/>
        </w:rPr>
        <w:t>s</w:t>
      </w:r>
      <w:r w:rsidRPr="005D45EC">
        <w:rPr>
          <w:rFonts w:eastAsia="Malgun Gothic"/>
          <w:bCs/>
          <w:lang w:val="fr-FR"/>
        </w:rPr>
        <w:t xml:space="preserve"> méthodes d</w:t>
      </w:r>
      <w:r w:rsidR="00923E72">
        <w:rPr>
          <w:rFonts w:eastAsia="Malgun Gothic"/>
          <w:bCs/>
          <w:lang w:val="fr-FR"/>
        </w:rPr>
        <w:t>’</w:t>
      </w:r>
      <w:r w:rsidRPr="005D45EC">
        <w:rPr>
          <w:rFonts w:eastAsia="Malgun Gothic"/>
          <w:bCs/>
          <w:lang w:val="fr-FR"/>
        </w:rPr>
        <w:t>enseignement traditionnelles basées sur un système maître-apprenti, connu sous le nom d</w:t>
      </w:r>
      <w:r w:rsidR="00923E72">
        <w:rPr>
          <w:rFonts w:eastAsia="Malgun Gothic"/>
          <w:bCs/>
          <w:lang w:val="fr-FR"/>
        </w:rPr>
        <w:t>’</w:t>
      </w:r>
      <w:proofErr w:type="spellStart"/>
      <w:r w:rsidRPr="005D45EC">
        <w:rPr>
          <w:rFonts w:eastAsia="Malgun Gothic"/>
          <w:bCs/>
          <w:lang w:val="fr-FR"/>
        </w:rPr>
        <w:t>Ustaz-Shakird</w:t>
      </w:r>
      <w:proofErr w:type="spellEnd"/>
      <w:r w:rsidRPr="005D45EC">
        <w:rPr>
          <w:rFonts w:eastAsia="Malgun Gothic"/>
          <w:bCs/>
          <w:lang w:val="fr-FR"/>
        </w:rPr>
        <w:t>. L</w:t>
      </w:r>
      <w:r w:rsidR="00923E72">
        <w:rPr>
          <w:rFonts w:eastAsia="Malgun Gothic"/>
          <w:bCs/>
          <w:lang w:val="fr-FR"/>
        </w:rPr>
        <w:t>’</w:t>
      </w:r>
      <w:r w:rsidRPr="005D45EC">
        <w:rPr>
          <w:rFonts w:eastAsia="Malgun Gothic"/>
          <w:bCs/>
          <w:lang w:val="fr-FR"/>
        </w:rPr>
        <w:t xml:space="preserve">Ouzbékistan </w:t>
      </w:r>
      <w:r w:rsidR="003C263B">
        <w:rPr>
          <w:rFonts w:eastAsia="Malgun Gothic"/>
          <w:bCs/>
          <w:lang w:val="fr-FR"/>
        </w:rPr>
        <w:t xml:space="preserve">utilisait </w:t>
      </w:r>
      <w:r w:rsidRPr="005D45EC">
        <w:rPr>
          <w:rFonts w:eastAsia="Malgun Gothic"/>
          <w:bCs/>
          <w:lang w:val="fr-FR"/>
        </w:rPr>
        <w:t xml:space="preserve">lui aussi largement cette méthode. Au fil </w:t>
      </w:r>
      <w:r w:rsidR="003C263B">
        <w:rPr>
          <w:rFonts w:eastAsia="Malgun Gothic"/>
          <w:bCs/>
          <w:lang w:val="fr-FR"/>
        </w:rPr>
        <w:t>du temps</w:t>
      </w:r>
      <w:r w:rsidRPr="005D45EC">
        <w:rPr>
          <w:rFonts w:eastAsia="Malgun Gothic"/>
          <w:bCs/>
          <w:lang w:val="fr-FR"/>
        </w:rPr>
        <w:t>, elle s</w:t>
      </w:r>
      <w:r w:rsidR="00923E72">
        <w:rPr>
          <w:rFonts w:eastAsia="Malgun Gothic"/>
          <w:bCs/>
          <w:lang w:val="fr-FR"/>
        </w:rPr>
        <w:t>’</w:t>
      </w:r>
      <w:r w:rsidRPr="005D45EC">
        <w:rPr>
          <w:rFonts w:eastAsia="Malgun Gothic"/>
          <w:bCs/>
          <w:lang w:val="fr-FR"/>
        </w:rPr>
        <w:t>était révélée être l</w:t>
      </w:r>
      <w:r w:rsidR="00923E72">
        <w:rPr>
          <w:rFonts w:eastAsia="Malgun Gothic"/>
          <w:bCs/>
          <w:lang w:val="fr-FR"/>
        </w:rPr>
        <w:t>’</w:t>
      </w:r>
      <w:r w:rsidRPr="005D45EC">
        <w:rPr>
          <w:rFonts w:eastAsia="Malgun Gothic"/>
          <w:bCs/>
          <w:lang w:val="fr-FR"/>
        </w:rPr>
        <w:t>un des meilleurs outils de transmission des connaissances de l</w:t>
      </w:r>
      <w:r w:rsidR="00923E72">
        <w:rPr>
          <w:rFonts w:eastAsia="Malgun Gothic"/>
          <w:bCs/>
          <w:lang w:val="fr-FR"/>
        </w:rPr>
        <w:t>’</w:t>
      </w:r>
      <w:r w:rsidRPr="005D45EC">
        <w:rPr>
          <w:rFonts w:eastAsia="Malgun Gothic"/>
          <w:bCs/>
          <w:lang w:val="fr-FR"/>
        </w:rPr>
        <w:t>ancienne à la jeune génération, quel que soit le patrimoine culturel immatériel. La délégation a fait part de son intention de se porter coauteur de cet amendement proposé par l</w:t>
      </w:r>
      <w:r w:rsidR="00923E72">
        <w:rPr>
          <w:rFonts w:eastAsia="Malgun Gothic"/>
          <w:bCs/>
          <w:lang w:val="fr-FR"/>
        </w:rPr>
        <w:t>’</w:t>
      </w:r>
      <w:r w:rsidRPr="005D45EC">
        <w:rPr>
          <w:rFonts w:eastAsia="Malgun Gothic"/>
          <w:bCs/>
          <w:lang w:val="fr-FR"/>
        </w:rPr>
        <w:t>Inde et soutenu par de nombreux membres du Comité.</w:t>
      </w:r>
    </w:p>
    <w:p w14:paraId="3D480CD3" w14:textId="2F8D242A" w:rsidR="003C263B" w:rsidRDefault="003C263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C263B">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395D7E">
        <w:rPr>
          <w:rFonts w:eastAsia="Malgun Gothic"/>
          <w:b/>
          <w:lang w:val="fr-FR"/>
        </w:rPr>
        <w:t> </w:t>
      </w:r>
      <w:r w:rsidRPr="00702497">
        <w:rPr>
          <w:rFonts w:eastAsia="Malgun Gothic"/>
          <w:b/>
          <w:lang w:val="fr-FR"/>
        </w:rPr>
        <w:t xml:space="preserve">saoudite </w:t>
      </w:r>
      <w:r w:rsidRPr="003C263B">
        <w:rPr>
          <w:rFonts w:eastAsia="Malgun Gothic"/>
          <w:bCs/>
          <w:lang w:val="fr-FR"/>
        </w:rPr>
        <w:t>a remercié le Kazakhstan pour les éclaircissements apportés aux questions soulevées par le critère</w:t>
      </w:r>
      <w:r w:rsidR="00395D7E">
        <w:rPr>
          <w:rFonts w:eastAsia="Malgun Gothic"/>
          <w:bCs/>
          <w:lang w:val="fr-FR"/>
        </w:rPr>
        <w:t> </w:t>
      </w:r>
      <w:r w:rsidRPr="003C263B">
        <w:rPr>
          <w:rFonts w:eastAsia="Malgun Gothic"/>
          <w:bCs/>
          <w:lang w:val="fr-FR"/>
        </w:rPr>
        <w:t>R.3, qui donnaient des informations sur la manière dont les communautés participaient à la planification et à la mise en œuvre des mesures de sauvegarde. L</w:t>
      </w:r>
      <w:r w:rsidR="00923E72">
        <w:rPr>
          <w:rFonts w:eastAsia="Malgun Gothic"/>
          <w:bCs/>
          <w:lang w:val="fr-FR"/>
        </w:rPr>
        <w:t>’</w:t>
      </w:r>
      <w:r w:rsidRPr="003C263B">
        <w:rPr>
          <w:rFonts w:eastAsia="Malgun Gothic"/>
          <w:bCs/>
          <w:lang w:val="fr-FR"/>
        </w:rPr>
        <w:t>Arabie</w:t>
      </w:r>
      <w:r w:rsidR="00395D7E">
        <w:rPr>
          <w:rFonts w:eastAsia="Malgun Gothic"/>
          <w:bCs/>
          <w:lang w:val="fr-FR"/>
        </w:rPr>
        <w:t> </w:t>
      </w:r>
      <w:r w:rsidRPr="003C263B">
        <w:rPr>
          <w:rFonts w:eastAsia="Malgun Gothic"/>
          <w:bCs/>
          <w:lang w:val="fr-FR"/>
        </w:rPr>
        <w:t>saoudite s</w:t>
      </w:r>
      <w:r w:rsidR="00923E72">
        <w:rPr>
          <w:rFonts w:eastAsia="Malgun Gothic"/>
          <w:bCs/>
          <w:lang w:val="fr-FR"/>
        </w:rPr>
        <w:t>’</w:t>
      </w:r>
      <w:r w:rsidRPr="003C263B">
        <w:rPr>
          <w:rFonts w:eastAsia="Malgun Gothic"/>
          <w:bCs/>
          <w:lang w:val="fr-FR"/>
        </w:rPr>
        <w:t>était déjà portée coauteur de l</w:t>
      </w:r>
      <w:r w:rsidR="00923E72">
        <w:rPr>
          <w:rFonts w:eastAsia="Malgun Gothic"/>
          <w:bCs/>
          <w:lang w:val="fr-FR"/>
        </w:rPr>
        <w:t>’</w:t>
      </w:r>
      <w:r w:rsidRPr="003C263B">
        <w:rPr>
          <w:rFonts w:eastAsia="Malgun Gothic"/>
          <w:bCs/>
          <w:lang w:val="fr-FR"/>
        </w:rPr>
        <w:t>amendement présenté par l</w:t>
      </w:r>
      <w:r w:rsidR="00923E72">
        <w:rPr>
          <w:rFonts w:eastAsia="Malgun Gothic"/>
          <w:bCs/>
          <w:lang w:val="fr-FR"/>
        </w:rPr>
        <w:t>’</w:t>
      </w:r>
      <w:r w:rsidRPr="003C263B">
        <w:rPr>
          <w:rFonts w:eastAsia="Malgun Gothic"/>
          <w:bCs/>
          <w:lang w:val="fr-FR"/>
        </w:rPr>
        <w:t>Inde, et a suggéré, pour gagner du temps, de passer directement à la décision, étant donné le large soutien dont bénéficiait l</w:t>
      </w:r>
      <w:r w:rsidR="00923E72">
        <w:rPr>
          <w:rFonts w:eastAsia="Malgun Gothic"/>
          <w:bCs/>
          <w:lang w:val="fr-FR"/>
        </w:rPr>
        <w:t>’</w:t>
      </w:r>
      <w:r w:rsidRPr="003C263B">
        <w:rPr>
          <w:rFonts w:eastAsia="Malgun Gothic"/>
          <w:bCs/>
          <w:lang w:val="fr-FR"/>
        </w:rPr>
        <w:t>inscription.</w:t>
      </w:r>
    </w:p>
    <w:p w14:paraId="592060B6" w14:textId="3B5064A0" w:rsidR="003C263B" w:rsidRDefault="003C263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C263B">
        <w:rPr>
          <w:rFonts w:eastAsia="Malgun Gothic"/>
          <w:bCs/>
          <w:lang w:val="fr-FR"/>
        </w:rPr>
        <w:t xml:space="preserve">La délégation du </w:t>
      </w:r>
      <w:r w:rsidRPr="00702497">
        <w:rPr>
          <w:rFonts w:eastAsia="Malgun Gothic"/>
          <w:b/>
          <w:lang w:val="fr-FR"/>
        </w:rPr>
        <w:t>Maroc</w:t>
      </w:r>
      <w:r w:rsidRPr="003C263B">
        <w:rPr>
          <w:rFonts w:eastAsia="Malgun Gothic"/>
          <w:bCs/>
          <w:lang w:val="fr-FR"/>
        </w:rPr>
        <w:t xml:space="preserve"> a remercié l</w:t>
      </w:r>
      <w:r w:rsidR="00923E72">
        <w:rPr>
          <w:rFonts w:eastAsia="Malgun Gothic"/>
          <w:bCs/>
          <w:lang w:val="fr-FR"/>
        </w:rPr>
        <w:t>’</w:t>
      </w:r>
      <w:r w:rsidRPr="003C263B">
        <w:rPr>
          <w:rFonts w:eastAsia="Malgun Gothic"/>
          <w:bCs/>
          <w:lang w:val="fr-FR"/>
        </w:rPr>
        <w:t>Inde pour son amendement</w:t>
      </w:r>
      <w:r w:rsidR="009F464A">
        <w:rPr>
          <w:rFonts w:eastAsia="Malgun Gothic"/>
          <w:bCs/>
          <w:lang w:val="fr-FR"/>
        </w:rPr>
        <w:t>,</w:t>
      </w:r>
      <w:r w:rsidRPr="003C263B">
        <w:rPr>
          <w:rFonts w:eastAsia="Malgun Gothic"/>
          <w:bCs/>
          <w:lang w:val="fr-FR"/>
        </w:rPr>
        <w:t xml:space="preserve"> qui bénéficiait d</w:t>
      </w:r>
      <w:r w:rsidR="00923E72">
        <w:rPr>
          <w:rFonts w:eastAsia="Malgun Gothic"/>
          <w:bCs/>
          <w:lang w:val="fr-FR"/>
        </w:rPr>
        <w:t>’</w:t>
      </w:r>
      <w:r w:rsidRPr="003C263B">
        <w:rPr>
          <w:rFonts w:eastAsia="Malgun Gothic"/>
          <w:bCs/>
          <w:lang w:val="fr-FR"/>
        </w:rPr>
        <w:t>un large soutien. Elle s</w:t>
      </w:r>
      <w:r w:rsidR="00923E72">
        <w:rPr>
          <w:rFonts w:eastAsia="Malgun Gothic"/>
          <w:bCs/>
          <w:lang w:val="fr-FR"/>
        </w:rPr>
        <w:t>’</w:t>
      </w:r>
      <w:r w:rsidRPr="003C263B">
        <w:rPr>
          <w:rFonts w:eastAsia="Malgun Gothic"/>
          <w:bCs/>
          <w:lang w:val="fr-FR"/>
        </w:rPr>
        <w:t>est déclarée convaincue par les arguments avancés par le Kazakhstan en ce qui concerne le critère</w:t>
      </w:r>
      <w:r w:rsidR="00395D7E">
        <w:rPr>
          <w:rFonts w:eastAsia="Malgun Gothic"/>
          <w:bCs/>
          <w:lang w:val="fr-FR"/>
        </w:rPr>
        <w:t> </w:t>
      </w:r>
      <w:r w:rsidRPr="003C263B">
        <w:rPr>
          <w:rFonts w:eastAsia="Malgun Gothic"/>
          <w:bCs/>
          <w:lang w:val="fr-FR"/>
        </w:rPr>
        <w:t>R.3 et les mesures de sauvegarde envisagées. La délégation</w:t>
      </w:r>
      <w:r w:rsidR="00274447">
        <w:rPr>
          <w:rFonts w:eastAsia="Malgun Gothic"/>
          <w:bCs/>
          <w:lang w:val="fr-FR"/>
        </w:rPr>
        <w:t>, qui</w:t>
      </w:r>
      <w:r w:rsidRPr="003C263B">
        <w:rPr>
          <w:rFonts w:eastAsia="Malgun Gothic"/>
          <w:bCs/>
          <w:lang w:val="fr-FR"/>
        </w:rPr>
        <w:t xml:space="preserve"> était donc favorable à l</w:t>
      </w:r>
      <w:r w:rsidR="00923E72">
        <w:rPr>
          <w:rFonts w:eastAsia="Malgun Gothic"/>
          <w:bCs/>
          <w:lang w:val="fr-FR"/>
        </w:rPr>
        <w:t>’</w:t>
      </w:r>
      <w:r w:rsidRPr="003C263B">
        <w:rPr>
          <w:rFonts w:eastAsia="Malgun Gothic"/>
          <w:bCs/>
          <w:lang w:val="fr-FR"/>
        </w:rPr>
        <w:t>inscription de cet élément sur la Liste représentative</w:t>
      </w:r>
      <w:r w:rsidR="00274447">
        <w:rPr>
          <w:rFonts w:eastAsia="Malgun Gothic"/>
          <w:bCs/>
          <w:lang w:val="fr-FR"/>
        </w:rPr>
        <w:t xml:space="preserve">, </w:t>
      </w:r>
      <w:r w:rsidRPr="003C263B">
        <w:rPr>
          <w:rFonts w:eastAsia="Malgun Gothic"/>
          <w:bCs/>
          <w:lang w:val="fr-FR"/>
        </w:rPr>
        <w:t>s</w:t>
      </w:r>
      <w:r w:rsidR="00923E72">
        <w:rPr>
          <w:rFonts w:eastAsia="Malgun Gothic"/>
          <w:bCs/>
          <w:lang w:val="fr-FR"/>
        </w:rPr>
        <w:t>’</w:t>
      </w:r>
      <w:r w:rsidRPr="003C263B">
        <w:rPr>
          <w:rFonts w:eastAsia="Malgun Gothic"/>
          <w:bCs/>
          <w:lang w:val="fr-FR"/>
        </w:rPr>
        <w:t>est portée coauteur du projet de décision.</w:t>
      </w:r>
    </w:p>
    <w:p w14:paraId="31AABBF2" w14:textId="77FD7051" w:rsidR="003C263B" w:rsidRDefault="003C263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C263B">
        <w:rPr>
          <w:rFonts w:eastAsia="Malgun Gothic"/>
          <w:bCs/>
          <w:lang w:val="fr-FR"/>
        </w:rPr>
        <w:t xml:space="preserve">Le </w:t>
      </w:r>
      <w:r w:rsidRPr="00702497">
        <w:rPr>
          <w:rFonts w:eastAsia="Malgun Gothic"/>
          <w:b/>
          <w:lang w:val="fr-FR"/>
        </w:rPr>
        <w:t>Président</w:t>
      </w:r>
      <w:r w:rsidRPr="003C263B">
        <w:rPr>
          <w:rFonts w:eastAsia="Malgun Gothic"/>
          <w:bCs/>
          <w:lang w:val="fr-FR"/>
        </w:rPr>
        <w:t xml:space="preserve"> est passé à l</w:t>
      </w:r>
      <w:r w:rsidR="00923E72">
        <w:rPr>
          <w:rFonts w:eastAsia="Malgun Gothic"/>
          <w:bCs/>
          <w:lang w:val="fr-FR"/>
        </w:rPr>
        <w:t>’</w:t>
      </w:r>
      <w:r w:rsidRPr="003C263B">
        <w:rPr>
          <w:rFonts w:eastAsia="Malgun Gothic"/>
          <w:bCs/>
          <w:lang w:val="fr-FR"/>
        </w:rPr>
        <w:t>adoption de la décision, proposant de l</w:t>
      </w:r>
      <w:r w:rsidR="00923E72">
        <w:rPr>
          <w:rFonts w:eastAsia="Malgun Gothic"/>
          <w:bCs/>
          <w:lang w:val="fr-FR"/>
        </w:rPr>
        <w:t>’</w:t>
      </w:r>
      <w:r w:rsidRPr="003C263B">
        <w:rPr>
          <w:rFonts w:eastAsia="Malgun Gothic"/>
          <w:bCs/>
          <w:lang w:val="fr-FR"/>
        </w:rPr>
        <w:t>adopter dans son ensemble. Les membres du Comité soutenant le projet de décision étaient les suivants</w:t>
      </w:r>
      <w:r w:rsidR="00EC1FA6">
        <w:rPr>
          <w:rFonts w:eastAsia="Malgun Gothic"/>
          <w:bCs/>
          <w:lang w:val="fr-FR"/>
        </w:rPr>
        <w:t> </w:t>
      </w:r>
      <w:r w:rsidRPr="003C263B">
        <w:rPr>
          <w:rFonts w:eastAsia="Malgun Gothic"/>
          <w:bCs/>
          <w:lang w:val="fr-FR"/>
        </w:rPr>
        <w:t>: l</w:t>
      </w:r>
      <w:r w:rsidR="00923E72">
        <w:rPr>
          <w:rFonts w:eastAsia="Malgun Gothic"/>
          <w:bCs/>
          <w:lang w:val="fr-FR"/>
        </w:rPr>
        <w:t>’</w:t>
      </w:r>
      <w:r w:rsidRPr="003C263B">
        <w:rPr>
          <w:rFonts w:eastAsia="Malgun Gothic"/>
          <w:bCs/>
          <w:lang w:val="fr-FR"/>
        </w:rPr>
        <w:t>Inde, le</w:t>
      </w:r>
      <w:r w:rsidR="00395D7E">
        <w:rPr>
          <w:rFonts w:eastAsia="Malgun Gothic"/>
          <w:bCs/>
          <w:lang w:val="fr-FR"/>
        </w:rPr>
        <w:t xml:space="preserve"> </w:t>
      </w:r>
      <w:r w:rsidRPr="003C263B">
        <w:rPr>
          <w:rFonts w:eastAsia="Malgun Gothic"/>
          <w:bCs/>
          <w:lang w:val="fr-FR"/>
        </w:rPr>
        <w:t>Bangladesh, le</w:t>
      </w:r>
      <w:r w:rsidR="00395D7E">
        <w:rPr>
          <w:rFonts w:eastAsia="Malgun Gothic"/>
          <w:bCs/>
          <w:lang w:val="fr-FR"/>
        </w:rPr>
        <w:t xml:space="preserve"> </w:t>
      </w:r>
      <w:r w:rsidRPr="003C263B">
        <w:rPr>
          <w:rFonts w:eastAsia="Malgun Gothic"/>
          <w:bCs/>
          <w:lang w:val="fr-FR"/>
        </w:rPr>
        <w:t>Botswana, le</w:t>
      </w:r>
      <w:r w:rsidR="00395D7E">
        <w:rPr>
          <w:rFonts w:eastAsia="Malgun Gothic"/>
          <w:bCs/>
          <w:lang w:val="fr-FR"/>
        </w:rPr>
        <w:t xml:space="preserve"> </w:t>
      </w:r>
      <w:r w:rsidRPr="003C263B">
        <w:rPr>
          <w:rFonts w:eastAsia="Malgun Gothic"/>
          <w:bCs/>
          <w:lang w:val="fr-FR"/>
        </w:rPr>
        <w:t>Brésil, le</w:t>
      </w:r>
      <w:r w:rsidR="00395D7E">
        <w:rPr>
          <w:rFonts w:eastAsia="Malgun Gothic"/>
          <w:bCs/>
          <w:lang w:val="fr-FR"/>
        </w:rPr>
        <w:t xml:space="preserve"> </w:t>
      </w:r>
      <w:r w:rsidRPr="003C263B">
        <w:rPr>
          <w:rFonts w:eastAsia="Malgun Gothic"/>
          <w:bCs/>
          <w:lang w:val="fr-FR"/>
        </w:rPr>
        <w:t>Burkina</w:t>
      </w:r>
      <w:r w:rsidR="00EC1FA6">
        <w:rPr>
          <w:rFonts w:eastAsia="Malgun Gothic"/>
          <w:bCs/>
          <w:lang w:val="fr-FR"/>
        </w:rPr>
        <w:t> </w:t>
      </w:r>
      <w:r w:rsidRPr="003C263B">
        <w:rPr>
          <w:rFonts w:eastAsia="Malgun Gothic"/>
          <w:bCs/>
          <w:lang w:val="fr-FR"/>
        </w:rPr>
        <w:t>Faso, la</w:t>
      </w:r>
      <w:r w:rsidR="00395D7E">
        <w:rPr>
          <w:rFonts w:eastAsia="Malgun Gothic"/>
          <w:bCs/>
          <w:lang w:val="fr-FR"/>
        </w:rPr>
        <w:t xml:space="preserve"> </w:t>
      </w:r>
      <w:r w:rsidRPr="003C263B">
        <w:rPr>
          <w:rFonts w:eastAsia="Malgun Gothic"/>
          <w:bCs/>
          <w:lang w:val="fr-FR"/>
        </w:rPr>
        <w:t>Côte</w:t>
      </w:r>
      <w:r w:rsidR="00EC1FA6">
        <w:rPr>
          <w:rFonts w:eastAsia="Malgun Gothic"/>
          <w:bCs/>
          <w:lang w:val="fr-FR"/>
        </w:rPr>
        <w:t> </w:t>
      </w:r>
      <w:r w:rsidRPr="003C263B">
        <w:rPr>
          <w:rFonts w:eastAsia="Malgun Gothic"/>
          <w:bCs/>
          <w:lang w:val="fr-FR"/>
        </w:rPr>
        <w:t>d</w:t>
      </w:r>
      <w:r w:rsidR="00923E72">
        <w:rPr>
          <w:rFonts w:eastAsia="Malgun Gothic"/>
          <w:bCs/>
          <w:lang w:val="fr-FR"/>
        </w:rPr>
        <w:t>’</w:t>
      </w:r>
      <w:r w:rsidRPr="003C263B">
        <w:rPr>
          <w:rFonts w:eastAsia="Malgun Gothic"/>
          <w:bCs/>
          <w:lang w:val="fr-FR"/>
        </w:rPr>
        <w:t>Ivoire, la</w:t>
      </w:r>
      <w:r w:rsidR="00395D7E">
        <w:rPr>
          <w:rFonts w:eastAsia="Malgun Gothic"/>
          <w:bCs/>
          <w:lang w:val="fr-FR"/>
        </w:rPr>
        <w:t xml:space="preserve"> </w:t>
      </w:r>
      <w:r w:rsidRPr="003C263B">
        <w:rPr>
          <w:rFonts w:eastAsia="Malgun Gothic"/>
          <w:bCs/>
          <w:lang w:val="fr-FR"/>
        </w:rPr>
        <w:t>Tchéquie, l</w:t>
      </w:r>
      <w:r w:rsidR="00923E72">
        <w:rPr>
          <w:rFonts w:eastAsia="Malgun Gothic"/>
          <w:bCs/>
          <w:lang w:val="fr-FR"/>
        </w:rPr>
        <w:t>’</w:t>
      </w:r>
      <w:r w:rsidRPr="003C263B">
        <w:rPr>
          <w:rFonts w:eastAsia="Malgun Gothic"/>
          <w:bCs/>
          <w:lang w:val="fr-FR"/>
        </w:rPr>
        <w:t>Éthiopie,</w:t>
      </w:r>
      <w:r w:rsidR="00EC1FA6">
        <w:rPr>
          <w:rFonts w:eastAsia="Malgun Gothic"/>
          <w:bCs/>
          <w:lang w:val="fr-FR"/>
        </w:rPr>
        <w:t xml:space="preserve"> </w:t>
      </w:r>
      <w:r w:rsidRPr="003C263B">
        <w:rPr>
          <w:rFonts w:eastAsia="Malgun Gothic"/>
          <w:bCs/>
          <w:lang w:val="fr-FR"/>
        </w:rPr>
        <w:t>la</w:t>
      </w:r>
      <w:r w:rsidR="00395D7E">
        <w:rPr>
          <w:rFonts w:eastAsia="Malgun Gothic"/>
          <w:bCs/>
          <w:lang w:val="fr-FR"/>
        </w:rPr>
        <w:t xml:space="preserve"> </w:t>
      </w:r>
      <w:r w:rsidRPr="003C263B">
        <w:rPr>
          <w:rFonts w:eastAsia="Malgun Gothic"/>
          <w:bCs/>
          <w:lang w:val="fr-FR"/>
        </w:rPr>
        <w:t>Malaisie,</w:t>
      </w:r>
      <w:r>
        <w:rPr>
          <w:rFonts w:eastAsia="Malgun Gothic"/>
          <w:bCs/>
          <w:lang w:val="fr-FR"/>
        </w:rPr>
        <w:t xml:space="preserve"> </w:t>
      </w:r>
      <w:r w:rsidRPr="003C263B">
        <w:rPr>
          <w:rFonts w:eastAsia="Malgun Gothic"/>
          <w:bCs/>
          <w:lang w:val="fr-FR"/>
        </w:rPr>
        <w:t>la</w:t>
      </w:r>
      <w:r w:rsidR="00395D7E">
        <w:rPr>
          <w:rFonts w:eastAsia="Malgun Gothic"/>
          <w:bCs/>
          <w:lang w:val="fr-FR"/>
        </w:rPr>
        <w:t xml:space="preserve"> </w:t>
      </w:r>
      <w:r w:rsidRPr="003C263B">
        <w:rPr>
          <w:rFonts w:eastAsia="Malgun Gothic"/>
          <w:bCs/>
          <w:lang w:val="fr-FR"/>
        </w:rPr>
        <w:t>Mauritanie, le</w:t>
      </w:r>
      <w:r w:rsidR="00395D7E">
        <w:rPr>
          <w:rFonts w:eastAsia="Malgun Gothic"/>
          <w:bCs/>
          <w:lang w:val="fr-FR"/>
        </w:rPr>
        <w:t xml:space="preserve"> </w:t>
      </w:r>
      <w:r w:rsidRPr="003C263B">
        <w:rPr>
          <w:rFonts w:eastAsia="Malgun Gothic"/>
          <w:bCs/>
          <w:lang w:val="fr-FR"/>
        </w:rPr>
        <w:t>Maroc, le</w:t>
      </w:r>
      <w:r w:rsidR="00395D7E">
        <w:rPr>
          <w:rFonts w:eastAsia="Malgun Gothic"/>
          <w:bCs/>
          <w:lang w:val="fr-FR"/>
        </w:rPr>
        <w:t xml:space="preserve"> </w:t>
      </w:r>
      <w:r w:rsidRPr="003C263B">
        <w:rPr>
          <w:rFonts w:eastAsia="Malgun Gothic"/>
          <w:bCs/>
          <w:lang w:val="fr-FR"/>
        </w:rPr>
        <w:t>Panama, le</w:t>
      </w:r>
      <w:r w:rsidR="00395D7E">
        <w:rPr>
          <w:rFonts w:eastAsia="Malgun Gothic"/>
          <w:bCs/>
          <w:lang w:val="fr-FR"/>
        </w:rPr>
        <w:t xml:space="preserve"> </w:t>
      </w:r>
      <w:r w:rsidRPr="003C263B">
        <w:rPr>
          <w:rFonts w:eastAsia="Malgun Gothic"/>
          <w:bCs/>
          <w:lang w:val="fr-FR"/>
        </w:rPr>
        <w:t>Paraguay, le</w:t>
      </w:r>
      <w:r w:rsidR="00395D7E">
        <w:rPr>
          <w:rFonts w:eastAsia="Malgun Gothic"/>
          <w:bCs/>
          <w:lang w:val="fr-FR"/>
        </w:rPr>
        <w:t xml:space="preserve"> </w:t>
      </w:r>
      <w:r w:rsidRPr="003C263B">
        <w:rPr>
          <w:rFonts w:eastAsia="Malgun Gothic"/>
          <w:bCs/>
          <w:lang w:val="fr-FR"/>
        </w:rPr>
        <w:t>Pérou, la</w:t>
      </w:r>
      <w:r w:rsidR="00395D7E">
        <w:rPr>
          <w:rFonts w:eastAsia="Malgun Gothic"/>
          <w:bCs/>
          <w:lang w:val="fr-FR"/>
        </w:rPr>
        <w:t xml:space="preserve"> </w:t>
      </w:r>
      <w:r w:rsidRPr="003C263B">
        <w:rPr>
          <w:rFonts w:eastAsia="Malgun Gothic"/>
          <w:bCs/>
          <w:lang w:val="fr-FR"/>
        </w:rPr>
        <w:t>République</w:t>
      </w:r>
      <w:r w:rsidR="00395D7E">
        <w:rPr>
          <w:rFonts w:eastAsia="Malgun Gothic"/>
          <w:bCs/>
          <w:lang w:val="fr-FR"/>
        </w:rPr>
        <w:t xml:space="preserve"> </w:t>
      </w:r>
      <w:r w:rsidRPr="003C263B">
        <w:rPr>
          <w:rFonts w:eastAsia="Malgun Gothic"/>
          <w:bCs/>
          <w:lang w:val="fr-FR"/>
        </w:rPr>
        <w:t>de</w:t>
      </w:r>
      <w:r w:rsidR="00395D7E">
        <w:rPr>
          <w:rFonts w:eastAsia="Malgun Gothic"/>
          <w:bCs/>
          <w:lang w:val="fr-FR"/>
        </w:rPr>
        <w:t xml:space="preserve"> </w:t>
      </w:r>
      <w:r w:rsidRPr="003C263B">
        <w:rPr>
          <w:rFonts w:eastAsia="Malgun Gothic"/>
          <w:bCs/>
          <w:lang w:val="fr-FR"/>
        </w:rPr>
        <w:t>Corée, l</w:t>
      </w:r>
      <w:r w:rsidR="00923E72">
        <w:rPr>
          <w:rFonts w:eastAsia="Malgun Gothic"/>
          <w:bCs/>
          <w:lang w:val="fr-FR"/>
        </w:rPr>
        <w:t>’</w:t>
      </w:r>
      <w:r w:rsidRPr="003C263B">
        <w:rPr>
          <w:rFonts w:eastAsia="Malgun Gothic"/>
          <w:bCs/>
          <w:lang w:val="fr-FR"/>
        </w:rPr>
        <w:t>Arabie</w:t>
      </w:r>
      <w:r w:rsidR="00EC1FA6">
        <w:rPr>
          <w:rFonts w:eastAsia="Malgun Gothic"/>
          <w:bCs/>
          <w:lang w:val="fr-FR"/>
        </w:rPr>
        <w:t> s</w:t>
      </w:r>
      <w:r w:rsidRPr="003C263B">
        <w:rPr>
          <w:rFonts w:eastAsia="Malgun Gothic"/>
          <w:bCs/>
          <w:lang w:val="fr-FR"/>
        </w:rPr>
        <w:t>aoudite, la</w:t>
      </w:r>
      <w:r w:rsidR="00395D7E">
        <w:rPr>
          <w:rFonts w:eastAsia="Malgun Gothic"/>
          <w:bCs/>
          <w:lang w:val="fr-FR"/>
        </w:rPr>
        <w:t xml:space="preserve"> </w:t>
      </w:r>
      <w:r w:rsidRPr="003C263B">
        <w:rPr>
          <w:rFonts w:eastAsia="Malgun Gothic"/>
          <w:bCs/>
          <w:lang w:val="fr-FR"/>
        </w:rPr>
        <w:t>Slovaquie, la</w:t>
      </w:r>
      <w:r w:rsidR="00395D7E">
        <w:rPr>
          <w:rFonts w:eastAsia="Malgun Gothic"/>
          <w:bCs/>
          <w:lang w:val="fr-FR"/>
        </w:rPr>
        <w:t xml:space="preserve"> </w:t>
      </w:r>
      <w:r w:rsidRPr="003C263B">
        <w:rPr>
          <w:rFonts w:eastAsia="Malgun Gothic"/>
          <w:bCs/>
          <w:lang w:val="fr-FR"/>
        </w:rPr>
        <w:t>Suède, la</w:t>
      </w:r>
      <w:r w:rsidR="00395D7E">
        <w:rPr>
          <w:rFonts w:eastAsia="Malgun Gothic"/>
          <w:bCs/>
          <w:lang w:val="fr-FR"/>
        </w:rPr>
        <w:t xml:space="preserve"> </w:t>
      </w:r>
      <w:r w:rsidRPr="003C263B">
        <w:rPr>
          <w:rFonts w:eastAsia="Malgun Gothic"/>
          <w:bCs/>
          <w:lang w:val="fr-FR"/>
        </w:rPr>
        <w:t>Suisse, l</w:t>
      </w:r>
      <w:r w:rsidR="00923E72">
        <w:rPr>
          <w:rFonts w:eastAsia="Malgun Gothic"/>
          <w:bCs/>
          <w:lang w:val="fr-FR"/>
        </w:rPr>
        <w:t>’</w:t>
      </w:r>
      <w:r w:rsidRPr="003C263B">
        <w:rPr>
          <w:rFonts w:eastAsia="Malgun Gothic"/>
          <w:bCs/>
          <w:lang w:val="fr-FR"/>
        </w:rPr>
        <w:t>Ouzbékistan et le</w:t>
      </w:r>
      <w:r w:rsidR="00395D7E">
        <w:rPr>
          <w:rFonts w:eastAsia="Malgun Gothic"/>
          <w:bCs/>
          <w:lang w:val="fr-FR"/>
        </w:rPr>
        <w:t xml:space="preserve"> </w:t>
      </w:r>
      <w:r w:rsidRPr="003C263B">
        <w:rPr>
          <w:rFonts w:eastAsia="Malgun Gothic"/>
          <w:bCs/>
          <w:lang w:val="fr-FR"/>
        </w:rPr>
        <w:t>Viet</w:t>
      </w:r>
      <w:r w:rsidR="00EC1FA6">
        <w:rPr>
          <w:rFonts w:eastAsia="Malgun Gothic"/>
          <w:bCs/>
          <w:lang w:val="fr-FR"/>
        </w:rPr>
        <w:t> </w:t>
      </w:r>
      <w:r w:rsidRPr="003C263B">
        <w:rPr>
          <w:rFonts w:eastAsia="Malgun Gothic"/>
          <w:bCs/>
          <w:lang w:val="fr-FR"/>
        </w:rPr>
        <w:t>Nam</w:t>
      </w:r>
      <w:r w:rsidR="00EC1FA6">
        <w:rPr>
          <w:rFonts w:eastAsia="Malgun Gothic"/>
          <w:bCs/>
          <w:lang w:val="fr-FR"/>
        </w:rPr>
        <w:t>.</w:t>
      </w:r>
    </w:p>
    <w:p w14:paraId="601B631F" w14:textId="37C4D9EA" w:rsidR="00EC1FA6" w:rsidRDefault="00EC1FA6"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C1FA6">
        <w:rPr>
          <w:rFonts w:eastAsia="Malgun Gothic"/>
          <w:bCs/>
          <w:lang w:val="fr-FR"/>
        </w:rPr>
        <w:t>En l</w:t>
      </w:r>
      <w:r w:rsidR="00923E72">
        <w:rPr>
          <w:rFonts w:eastAsia="Malgun Gothic"/>
          <w:bCs/>
          <w:lang w:val="fr-FR"/>
        </w:rPr>
        <w:t>’</w:t>
      </w:r>
      <w:r w:rsidRPr="00EC1FA6">
        <w:rPr>
          <w:rFonts w:eastAsia="Malgun Gothic"/>
          <w:bCs/>
          <w:lang w:val="fr-FR"/>
        </w:rPr>
        <w:t>absence</w:t>
      </w:r>
      <w:r>
        <w:rPr>
          <w:rFonts w:eastAsia="Malgun Gothic"/>
          <w:bCs/>
          <w:lang w:val="fr-FR"/>
        </w:rPr>
        <w:t xml:space="preserve"> d</w:t>
      </w:r>
      <w:r w:rsidR="00923E72">
        <w:rPr>
          <w:rFonts w:eastAsia="Malgun Gothic"/>
          <w:bCs/>
          <w:lang w:val="fr-FR"/>
        </w:rPr>
        <w:t>’</w:t>
      </w:r>
      <w:r>
        <w:rPr>
          <w:rFonts w:eastAsia="Malgun Gothic"/>
          <w:bCs/>
          <w:lang w:val="fr-FR"/>
        </w:rPr>
        <w:t xml:space="preserve">autres </w:t>
      </w:r>
      <w:r w:rsidRPr="00EC1FA6">
        <w:rPr>
          <w:rFonts w:eastAsia="Malgun Gothic"/>
          <w:bCs/>
          <w:lang w:val="fr-FR"/>
        </w:rPr>
        <w:t>commentaires</w:t>
      </w:r>
      <w:r>
        <w:rPr>
          <w:rFonts w:eastAsia="Malgun Gothic"/>
          <w:bCs/>
          <w:lang w:val="fr-FR"/>
        </w:rPr>
        <w:t xml:space="preserve"> ou </w:t>
      </w:r>
      <w:r w:rsidRPr="00EC1FA6">
        <w:rPr>
          <w:rFonts w:eastAsia="Malgun Gothic"/>
          <w:bCs/>
          <w:lang w:val="fr-FR"/>
        </w:rPr>
        <w:t>objections</w:t>
      </w:r>
      <w:r>
        <w:rPr>
          <w:rFonts w:eastAsia="Malgun Gothic"/>
          <w:bCs/>
          <w:lang w:val="fr-FR"/>
        </w:rPr>
        <w:t xml:space="preserve">, le </w:t>
      </w:r>
      <w:r w:rsidRPr="00702497">
        <w:rPr>
          <w:rFonts w:eastAsia="Malgun Gothic"/>
          <w:b/>
          <w:lang w:val="fr-FR"/>
        </w:rPr>
        <w:t>Président a déclaré adoptée la décision</w:t>
      </w:r>
      <w:r w:rsidR="00395D7E">
        <w:rPr>
          <w:rFonts w:eastAsia="Malgun Gothic"/>
          <w:b/>
          <w:lang w:val="fr-FR"/>
        </w:rPr>
        <w:t> </w:t>
      </w:r>
      <w:r w:rsidR="00751FB1">
        <w:fldChar w:fldCharType="begin"/>
      </w:r>
      <w:r w:rsidR="00751FB1" w:rsidRPr="00751FB1">
        <w:rPr>
          <w:lang w:val="fr-FR"/>
        </w:rPr>
        <w:instrText>HYPERLINK "https://ich.unesco.org/fr/Decisions/17.COM/7.b.20"</w:instrText>
      </w:r>
      <w:r w:rsidR="00751FB1">
        <w:fldChar w:fldCharType="separate"/>
      </w:r>
      <w:r w:rsidRPr="006E3034">
        <w:rPr>
          <w:rStyle w:val="Hyperlink"/>
          <w:b/>
          <w:lang w:val="fr-FR"/>
        </w:rPr>
        <w:t>17.COM 7.b.20</w:t>
      </w:r>
      <w:r w:rsidR="00751FB1">
        <w:rPr>
          <w:rStyle w:val="Hyperlink"/>
          <w:b/>
          <w:lang w:val="fr-FR"/>
        </w:rPr>
        <w:fldChar w:fldCharType="end"/>
      </w:r>
      <w:r w:rsidRPr="006E3034">
        <w:rPr>
          <w:rStyle w:val="Hyperlink"/>
          <w:b/>
          <w:u w:val="none"/>
          <w:lang w:val="fr-FR"/>
        </w:rPr>
        <w:t xml:space="preserve"> </w:t>
      </w:r>
      <w:r w:rsidRPr="00702497">
        <w:rPr>
          <w:rFonts w:eastAsia="Malgun Gothic"/>
          <w:b/>
          <w:lang w:val="fr-FR"/>
        </w:rPr>
        <w:t>d</w:t>
      </w:r>
      <w:r w:rsidR="00923E72">
        <w:rPr>
          <w:rFonts w:eastAsia="Malgun Gothic"/>
          <w:b/>
          <w:lang w:val="fr-FR"/>
        </w:rPr>
        <w:t>’</w:t>
      </w:r>
      <w:r w:rsidRPr="00702497">
        <w:rPr>
          <w:rFonts w:eastAsia="Malgun Gothic"/>
          <w:b/>
          <w:lang w:val="fr-FR"/>
        </w:rPr>
        <w:t xml:space="preserve">inscrire </w:t>
      </w:r>
      <w:r w:rsidRPr="00497B98">
        <w:rPr>
          <w:rFonts w:eastAsia="Malgun Gothic"/>
          <w:b/>
          <w:lang w:val="fr-FR"/>
        </w:rPr>
        <w:t>l</w:t>
      </w:r>
      <w:r w:rsidR="00923E72">
        <w:rPr>
          <w:rFonts w:eastAsia="Malgun Gothic"/>
          <w:b/>
          <w:lang w:val="fr-FR"/>
        </w:rPr>
        <w:t>’</w:t>
      </w:r>
      <w:proofErr w:type="spellStart"/>
      <w:r w:rsidRPr="00497B98">
        <w:rPr>
          <w:rFonts w:eastAsia="Malgun Gothic"/>
          <w:b/>
          <w:lang w:val="fr-FR"/>
        </w:rPr>
        <w:t>ortéké</w:t>
      </w:r>
      <w:proofErr w:type="spellEnd"/>
      <w:r w:rsidRPr="00497B98">
        <w:rPr>
          <w:rFonts w:eastAsia="Malgun Gothic"/>
          <w:b/>
          <w:lang w:val="fr-FR"/>
        </w:rPr>
        <w:t>, un art du spectacle traditionnel au Kazakhstan</w:t>
      </w:r>
      <w:r>
        <w:rPr>
          <w:rFonts w:eastAsia="Malgun Gothic"/>
          <w:b/>
          <w:lang w:val="fr-FR"/>
        </w:rPr>
        <w:t> </w:t>
      </w:r>
      <w:r w:rsidRPr="00497B98">
        <w:rPr>
          <w:rFonts w:eastAsia="Malgun Gothic"/>
          <w:b/>
          <w:lang w:val="fr-FR"/>
        </w:rPr>
        <w:t>: danse, marionnettes et musique</w:t>
      </w:r>
      <w:r>
        <w:rPr>
          <w:rFonts w:eastAsia="Malgun Gothic"/>
          <w:b/>
          <w:lang w:val="fr-FR"/>
        </w:rPr>
        <w:t xml:space="preserve"> sur la Liste représentative</w:t>
      </w:r>
      <w:r w:rsidRPr="00702497">
        <w:rPr>
          <w:rFonts w:eastAsia="Malgun Gothic"/>
          <w:bCs/>
          <w:lang w:val="fr-FR"/>
        </w:rPr>
        <w:t>.</w:t>
      </w:r>
    </w:p>
    <w:p w14:paraId="62919464" w14:textId="040039B2" w:rsidR="005C6964" w:rsidRDefault="005C696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C6964">
        <w:rPr>
          <w:rFonts w:eastAsia="Malgun Gothic"/>
          <w:bCs/>
          <w:lang w:val="fr-FR"/>
        </w:rPr>
        <w:t xml:space="preserve">La délégation du </w:t>
      </w:r>
      <w:r w:rsidRPr="00702497">
        <w:rPr>
          <w:rFonts w:eastAsia="Malgun Gothic"/>
          <w:b/>
          <w:lang w:val="fr-FR"/>
        </w:rPr>
        <w:t>Kazakhstan</w:t>
      </w:r>
      <w:r w:rsidRPr="005C6964">
        <w:rPr>
          <w:rFonts w:eastAsia="Malgun Gothic"/>
          <w:bCs/>
          <w:lang w:val="fr-FR"/>
        </w:rPr>
        <w:t xml:space="preserve"> a </w:t>
      </w:r>
      <w:r w:rsidR="004E525F">
        <w:rPr>
          <w:rFonts w:eastAsia="Malgun Gothic"/>
          <w:bCs/>
          <w:lang w:val="fr-FR"/>
        </w:rPr>
        <w:t xml:space="preserve">exprimé </w:t>
      </w:r>
      <w:r w:rsidRPr="005C6964">
        <w:rPr>
          <w:rFonts w:eastAsia="Malgun Gothic"/>
          <w:bCs/>
          <w:lang w:val="fr-FR"/>
        </w:rPr>
        <w:t>sa profonde gratitude aux membres du Comité pour avoir soutenu la candidature, ainsi qu</w:t>
      </w:r>
      <w:r w:rsidR="00923E72">
        <w:rPr>
          <w:rFonts w:eastAsia="Malgun Gothic"/>
          <w:bCs/>
          <w:lang w:val="fr-FR"/>
        </w:rPr>
        <w:t>’</w:t>
      </w:r>
      <w:r w:rsidRPr="005C6964">
        <w:rPr>
          <w:rFonts w:eastAsia="Malgun Gothic"/>
          <w:bCs/>
          <w:lang w:val="fr-FR"/>
        </w:rPr>
        <w:t>à l</w:t>
      </w:r>
      <w:r w:rsidR="00923E72">
        <w:rPr>
          <w:rFonts w:eastAsia="Malgun Gothic"/>
          <w:bCs/>
          <w:lang w:val="fr-FR"/>
        </w:rPr>
        <w:t>’</w:t>
      </w:r>
      <w:r w:rsidRPr="005C6964">
        <w:rPr>
          <w:rFonts w:eastAsia="Malgun Gothic"/>
          <w:bCs/>
          <w:lang w:val="fr-FR"/>
        </w:rPr>
        <w:t>Organe d</w:t>
      </w:r>
      <w:r w:rsidR="00923E72">
        <w:rPr>
          <w:rFonts w:eastAsia="Malgun Gothic"/>
          <w:bCs/>
          <w:lang w:val="fr-FR"/>
        </w:rPr>
        <w:t>’</w:t>
      </w:r>
      <w:r w:rsidRPr="005C6964">
        <w:rPr>
          <w:rFonts w:eastAsia="Malgun Gothic"/>
          <w:bCs/>
          <w:lang w:val="fr-FR"/>
        </w:rPr>
        <w:t>évaluation pour son examen approfondi</w:t>
      </w:r>
      <w:r w:rsidR="007D5321">
        <w:rPr>
          <w:rFonts w:eastAsia="Malgun Gothic"/>
          <w:bCs/>
          <w:lang w:val="fr-FR"/>
        </w:rPr>
        <w:t xml:space="preserve"> d</w:t>
      </w:r>
      <w:r w:rsidR="004E525F">
        <w:rPr>
          <w:rFonts w:eastAsia="Malgun Gothic"/>
          <w:bCs/>
          <w:lang w:val="fr-FR"/>
        </w:rPr>
        <w:t>u</w:t>
      </w:r>
      <w:r w:rsidR="007D5321">
        <w:rPr>
          <w:rFonts w:eastAsia="Malgun Gothic"/>
          <w:bCs/>
          <w:lang w:val="fr-FR"/>
        </w:rPr>
        <w:t xml:space="preserve"> dossier</w:t>
      </w:r>
      <w:r w:rsidRPr="005C6964">
        <w:rPr>
          <w:rFonts w:eastAsia="Malgun Gothic"/>
          <w:bCs/>
          <w:lang w:val="fr-FR"/>
        </w:rPr>
        <w:t>. Elle a remercié tout particulièrement l</w:t>
      </w:r>
      <w:r w:rsidR="00923E72">
        <w:rPr>
          <w:rFonts w:eastAsia="Malgun Gothic"/>
          <w:bCs/>
          <w:lang w:val="fr-FR"/>
        </w:rPr>
        <w:t>’</w:t>
      </w:r>
      <w:r w:rsidRPr="005C6964">
        <w:rPr>
          <w:rFonts w:eastAsia="Malgun Gothic"/>
          <w:bCs/>
          <w:lang w:val="fr-FR"/>
        </w:rPr>
        <w:t>Inde d</w:t>
      </w:r>
      <w:r w:rsidR="00923E72">
        <w:rPr>
          <w:rFonts w:eastAsia="Malgun Gothic"/>
          <w:bCs/>
          <w:lang w:val="fr-FR"/>
        </w:rPr>
        <w:t>’</w:t>
      </w:r>
      <w:r w:rsidRPr="005C6964">
        <w:rPr>
          <w:rFonts w:eastAsia="Malgun Gothic"/>
          <w:bCs/>
          <w:lang w:val="fr-FR"/>
        </w:rPr>
        <w:t>avoir soumis l</w:t>
      </w:r>
      <w:r w:rsidR="00923E72">
        <w:rPr>
          <w:rFonts w:eastAsia="Malgun Gothic"/>
          <w:bCs/>
          <w:lang w:val="fr-FR"/>
        </w:rPr>
        <w:t>’</w:t>
      </w:r>
      <w:r w:rsidRPr="005C6964">
        <w:rPr>
          <w:rFonts w:eastAsia="Malgun Gothic"/>
          <w:bCs/>
          <w:lang w:val="fr-FR"/>
        </w:rPr>
        <w:t>amendement et tous les collègues, partenaires et amis de s</w:t>
      </w:r>
      <w:r w:rsidR="00923E72">
        <w:rPr>
          <w:rFonts w:eastAsia="Malgun Gothic"/>
          <w:bCs/>
          <w:lang w:val="fr-FR"/>
        </w:rPr>
        <w:t>’</w:t>
      </w:r>
      <w:r w:rsidRPr="005C6964">
        <w:rPr>
          <w:rFonts w:eastAsia="Malgun Gothic"/>
          <w:bCs/>
          <w:lang w:val="fr-FR"/>
        </w:rPr>
        <w:t>être portés coauteurs. Elle a rappelé que l</w:t>
      </w:r>
      <w:r w:rsidR="00923E72">
        <w:rPr>
          <w:rFonts w:eastAsia="Malgun Gothic"/>
          <w:bCs/>
          <w:lang w:val="fr-FR"/>
        </w:rPr>
        <w:t>’</w:t>
      </w:r>
      <w:proofErr w:type="spellStart"/>
      <w:r w:rsidRPr="005C6964">
        <w:rPr>
          <w:rFonts w:eastAsia="Malgun Gothic"/>
          <w:bCs/>
          <w:lang w:val="fr-FR"/>
        </w:rPr>
        <w:t>ort</w:t>
      </w:r>
      <w:r w:rsidR="007D5321">
        <w:rPr>
          <w:rFonts w:eastAsia="Malgun Gothic"/>
          <w:bCs/>
          <w:lang w:val="fr-FR"/>
        </w:rPr>
        <w:t>é</w:t>
      </w:r>
      <w:r w:rsidRPr="005C6964">
        <w:rPr>
          <w:rFonts w:eastAsia="Malgun Gothic"/>
          <w:bCs/>
          <w:lang w:val="fr-FR"/>
        </w:rPr>
        <w:t>k</w:t>
      </w:r>
      <w:r w:rsidR="007D5321">
        <w:rPr>
          <w:rFonts w:eastAsia="Malgun Gothic"/>
          <w:bCs/>
          <w:lang w:val="fr-FR"/>
        </w:rPr>
        <w:t>é</w:t>
      </w:r>
      <w:proofErr w:type="spellEnd"/>
      <w:r w:rsidRPr="005C6964">
        <w:rPr>
          <w:rFonts w:eastAsia="Malgun Gothic"/>
          <w:bCs/>
          <w:lang w:val="fr-FR"/>
        </w:rPr>
        <w:t xml:space="preserve"> est un art du spectacle kazakh autochtone</w:t>
      </w:r>
      <w:r w:rsidR="007D5321">
        <w:rPr>
          <w:rFonts w:eastAsia="Malgun Gothic"/>
          <w:bCs/>
          <w:lang w:val="fr-FR"/>
        </w:rPr>
        <w:t xml:space="preserve">, né </w:t>
      </w:r>
      <w:r w:rsidRPr="005C6964">
        <w:rPr>
          <w:rFonts w:eastAsia="Malgun Gothic"/>
          <w:bCs/>
          <w:lang w:val="fr-FR"/>
        </w:rPr>
        <w:t>il y a plusieurs siècles dans les steppes nomades d</w:t>
      </w:r>
      <w:r w:rsidR="00923E72">
        <w:rPr>
          <w:rFonts w:eastAsia="Malgun Gothic"/>
          <w:bCs/>
          <w:lang w:val="fr-FR"/>
        </w:rPr>
        <w:t>’</w:t>
      </w:r>
      <w:r w:rsidRPr="005C6964">
        <w:rPr>
          <w:rFonts w:eastAsia="Malgun Gothic"/>
          <w:bCs/>
          <w:lang w:val="fr-FR"/>
        </w:rPr>
        <w:t>Asie centrale et qu</w:t>
      </w:r>
      <w:r w:rsidR="00923E72">
        <w:rPr>
          <w:rFonts w:eastAsia="Malgun Gothic"/>
          <w:bCs/>
          <w:lang w:val="fr-FR"/>
        </w:rPr>
        <w:t>’</w:t>
      </w:r>
      <w:r w:rsidRPr="005C6964">
        <w:rPr>
          <w:rFonts w:eastAsia="Malgun Gothic"/>
          <w:bCs/>
          <w:lang w:val="fr-FR"/>
        </w:rPr>
        <w:t>il constitue un élément important du patrimoine folklorique et de l</w:t>
      </w:r>
      <w:r w:rsidR="00923E72">
        <w:rPr>
          <w:rFonts w:eastAsia="Malgun Gothic"/>
          <w:bCs/>
          <w:lang w:val="fr-FR"/>
        </w:rPr>
        <w:t>’</w:t>
      </w:r>
      <w:r w:rsidRPr="005C6964">
        <w:rPr>
          <w:rFonts w:eastAsia="Malgun Gothic"/>
          <w:bCs/>
          <w:lang w:val="fr-FR"/>
        </w:rPr>
        <w:t>identité nationale de la région. L</w:t>
      </w:r>
      <w:r w:rsidR="00923E72">
        <w:rPr>
          <w:rFonts w:eastAsia="Malgun Gothic"/>
          <w:bCs/>
          <w:lang w:val="fr-FR"/>
        </w:rPr>
        <w:t>’</w:t>
      </w:r>
      <w:proofErr w:type="spellStart"/>
      <w:r w:rsidR="007D5321">
        <w:rPr>
          <w:rFonts w:eastAsia="Malgun Gothic"/>
          <w:bCs/>
          <w:lang w:val="fr-FR"/>
        </w:rPr>
        <w:t>ortéké</w:t>
      </w:r>
      <w:proofErr w:type="spellEnd"/>
      <w:r w:rsidRPr="005C6964">
        <w:rPr>
          <w:rFonts w:eastAsia="Malgun Gothic"/>
          <w:bCs/>
          <w:lang w:val="fr-FR"/>
        </w:rPr>
        <w:t xml:space="preserve"> avait </w:t>
      </w:r>
      <w:r w:rsidR="007D5321">
        <w:rPr>
          <w:rFonts w:eastAsia="Malgun Gothic"/>
          <w:bCs/>
          <w:lang w:val="fr-FR"/>
        </w:rPr>
        <w:t xml:space="preserve">failli être </w:t>
      </w:r>
      <w:r w:rsidRPr="005C6964">
        <w:rPr>
          <w:rFonts w:eastAsia="Malgun Gothic"/>
          <w:bCs/>
          <w:lang w:val="fr-FR"/>
        </w:rPr>
        <w:t>oublié et n</w:t>
      </w:r>
      <w:r w:rsidR="00923E72">
        <w:rPr>
          <w:rFonts w:eastAsia="Malgun Gothic"/>
          <w:bCs/>
          <w:lang w:val="fr-FR"/>
        </w:rPr>
        <w:t>’</w:t>
      </w:r>
      <w:r w:rsidRPr="005C6964">
        <w:rPr>
          <w:rFonts w:eastAsia="Malgun Gothic"/>
          <w:bCs/>
          <w:lang w:val="fr-FR"/>
        </w:rPr>
        <w:t>avait pu survivre que grâce à un certain nombre de maîtres artisans et de marionnettistes qui avaient préservé et transmis la tradition. Désormais, on observait la renaissance de l</w:t>
      </w:r>
      <w:r w:rsidR="00923E72">
        <w:rPr>
          <w:rFonts w:eastAsia="Malgun Gothic"/>
          <w:bCs/>
          <w:lang w:val="fr-FR"/>
        </w:rPr>
        <w:t>’</w:t>
      </w:r>
      <w:r w:rsidRPr="005C6964">
        <w:rPr>
          <w:rFonts w:eastAsia="Malgun Gothic"/>
          <w:bCs/>
          <w:lang w:val="fr-FR"/>
        </w:rPr>
        <w:t>art de l</w:t>
      </w:r>
      <w:r w:rsidR="00923E72">
        <w:rPr>
          <w:rFonts w:eastAsia="Malgun Gothic"/>
          <w:bCs/>
          <w:lang w:val="fr-FR"/>
        </w:rPr>
        <w:t>’</w:t>
      </w:r>
      <w:proofErr w:type="spellStart"/>
      <w:r w:rsidRPr="005C6964">
        <w:rPr>
          <w:rFonts w:eastAsia="Malgun Gothic"/>
          <w:bCs/>
          <w:lang w:val="fr-FR"/>
        </w:rPr>
        <w:t>ortéké</w:t>
      </w:r>
      <w:proofErr w:type="spellEnd"/>
      <w:r w:rsidRPr="005C6964">
        <w:rPr>
          <w:rFonts w:eastAsia="Malgun Gothic"/>
          <w:bCs/>
          <w:lang w:val="fr-FR"/>
        </w:rPr>
        <w:t>, et son inscription sur la Liste représentative contribuerait certainement à sa promotion. L</w:t>
      </w:r>
      <w:r w:rsidR="00923E72">
        <w:rPr>
          <w:rFonts w:eastAsia="Malgun Gothic"/>
          <w:bCs/>
          <w:lang w:val="fr-FR"/>
        </w:rPr>
        <w:t>’</w:t>
      </w:r>
      <w:proofErr w:type="spellStart"/>
      <w:r w:rsidRPr="005C6964">
        <w:rPr>
          <w:rFonts w:eastAsia="Malgun Gothic"/>
          <w:bCs/>
          <w:lang w:val="fr-FR"/>
        </w:rPr>
        <w:t>ortéké</w:t>
      </w:r>
      <w:proofErr w:type="spellEnd"/>
      <w:r w:rsidRPr="005C6964">
        <w:rPr>
          <w:rFonts w:eastAsia="Malgun Gothic"/>
          <w:bCs/>
          <w:lang w:val="fr-FR"/>
        </w:rPr>
        <w:t xml:space="preserve"> était considéré </w:t>
      </w:r>
      <w:r w:rsidRPr="005C6964">
        <w:rPr>
          <w:rFonts w:eastAsia="Malgun Gothic"/>
          <w:bCs/>
          <w:lang w:val="fr-FR"/>
        </w:rPr>
        <w:lastRenderedPageBreak/>
        <w:t>comme l</w:t>
      </w:r>
      <w:r w:rsidR="00923E72">
        <w:rPr>
          <w:rFonts w:eastAsia="Malgun Gothic"/>
          <w:bCs/>
          <w:lang w:val="fr-FR"/>
        </w:rPr>
        <w:t>’</w:t>
      </w:r>
      <w:r w:rsidRPr="005C6964">
        <w:rPr>
          <w:rFonts w:eastAsia="Malgun Gothic"/>
          <w:bCs/>
          <w:lang w:val="fr-FR"/>
        </w:rPr>
        <w:t>une des premières cultures de marionnettes des tribus nomades d</w:t>
      </w:r>
      <w:r w:rsidR="00923E72">
        <w:rPr>
          <w:rFonts w:eastAsia="Malgun Gothic"/>
          <w:bCs/>
          <w:lang w:val="fr-FR"/>
        </w:rPr>
        <w:t>’</w:t>
      </w:r>
      <w:r w:rsidRPr="005C6964">
        <w:rPr>
          <w:rFonts w:eastAsia="Malgun Gothic"/>
          <w:bCs/>
          <w:lang w:val="fr-FR"/>
        </w:rPr>
        <w:t>Asie centrale, symbolisant également la façon dont la vie des êtres humains est inextricablement liée à la nature, contribuant ainsi à la protection de la nature et aux moyens de subsistance durables. L</w:t>
      </w:r>
      <w:r w:rsidR="00923E72">
        <w:rPr>
          <w:rFonts w:eastAsia="Malgun Gothic"/>
          <w:bCs/>
          <w:lang w:val="fr-FR"/>
        </w:rPr>
        <w:t>’</w:t>
      </w:r>
      <w:proofErr w:type="spellStart"/>
      <w:r w:rsidRPr="005C6964">
        <w:rPr>
          <w:rFonts w:eastAsia="Malgun Gothic"/>
          <w:bCs/>
          <w:lang w:val="fr-FR"/>
        </w:rPr>
        <w:t>ortéké</w:t>
      </w:r>
      <w:proofErr w:type="spellEnd"/>
      <w:r w:rsidRPr="005C6964">
        <w:rPr>
          <w:rFonts w:eastAsia="Malgun Gothic"/>
          <w:bCs/>
          <w:lang w:val="fr-FR"/>
        </w:rPr>
        <w:t xml:space="preserve"> facilitait la communication intergénérationnelle, éveillait l</w:t>
      </w:r>
      <w:r w:rsidR="00923E72">
        <w:rPr>
          <w:rFonts w:eastAsia="Malgun Gothic"/>
          <w:bCs/>
          <w:lang w:val="fr-FR"/>
        </w:rPr>
        <w:t>’</w:t>
      </w:r>
      <w:r w:rsidRPr="005C6964">
        <w:rPr>
          <w:rFonts w:eastAsia="Malgun Gothic"/>
          <w:bCs/>
          <w:lang w:val="fr-FR"/>
        </w:rPr>
        <w:t>intérêt des enfants pour la musique et les instruments de musique, et avait une signification éducative</w:t>
      </w:r>
      <w:r w:rsidR="004E525F">
        <w:rPr>
          <w:rFonts w:eastAsia="Malgun Gothic"/>
          <w:bCs/>
          <w:lang w:val="fr-FR"/>
        </w:rPr>
        <w:t> :</w:t>
      </w:r>
      <w:r w:rsidRPr="005C6964">
        <w:rPr>
          <w:rFonts w:eastAsia="Malgun Gothic"/>
          <w:bCs/>
          <w:lang w:val="fr-FR"/>
        </w:rPr>
        <w:t xml:space="preserve"> les adultes </w:t>
      </w:r>
      <w:r w:rsidR="004E525F">
        <w:rPr>
          <w:rFonts w:eastAsia="Malgun Gothic"/>
          <w:bCs/>
          <w:lang w:val="fr-FR"/>
        </w:rPr>
        <w:t xml:space="preserve">apprenaient </w:t>
      </w:r>
      <w:r w:rsidRPr="005C6964">
        <w:rPr>
          <w:rFonts w:eastAsia="Malgun Gothic"/>
          <w:bCs/>
          <w:lang w:val="fr-FR"/>
        </w:rPr>
        <w:t>aux jeunes à jouer des instruments à cordes et à créer l</w:t>
      </w:r>
      <w:r w:rsidR="00923E72">
        <w:rPr>
          <w:rFonts w:eastAsia="Malgun Gothic"/>
          <w:bCs/>
          <w:lang w:val="fr-FR"/>
        </w:rPr>
        <w:t>’</w:t>
      </w:r>
      <w:proofErr w:type="spellStart"/>
      <w:r w:rsidRPr="005C6964">
        <w:rPr>
          <w:rFonts w:eastAsia="Malgun Gothic"/>
          <w:bCs/>
          <w:lang w:val="fr-FR"/>
        </w:rPr>
        <w:t>ortéké</w:t>
      </w:r>
      <w:proofErr w:type="spellEnd"/>
      <w:r w:rsidRPr="005C6964">
        <w:rPr>
          <w:rFonts w:eastAsia="Malgun Gothic"/>
          <w:bCs/>
          <w:lang w:val="fr-FR"/>
        </w:rPr>
        <w:t>. Ce n</w:t>
      </w:r>
      <w:r w:rsidR="00923E72">
        <w:rPr>
          <w:rFonts w:eastAsia="Malgun Gothic"/>
          <w:bCs/>
          <w:lang w:val="fr-FR"/>
        </w:rPr>
        <w:t>’</w:t>
      </w:r>
      <w:r w:rsidRPr="005C6964">
        <w:rPr>
          <w:rFonts w:eastAsia="Malgun Gothic"/>
          <w:bCs/>
          <w:lang w:val="fr-FR"/>
        </w:rPr>
        <w:t>était pas seulement un spectacle musical, c</w:t>
      </w:r>
      <w:r w:rsidR="00923E72">
        <w:rPr>
          <w:rFonts w:eastAsia="Malgun Gothic"/>
          <w:bCs/>
          <w:lang w:val="fr-FR"/>
        </w:rPr>
        <w:t>’</w:t>
      </w:r>
      <w:r w:rsidRPr="005C6964">
        <w:rPr>
          <w:rFonts w:eastAsia="Malgun Gothic"/>
          <w:bCs/>
          <w:lang w:val="fr-FR"/>
        </w:rPr>
        <w:t>était un art et une éducation.</w:t>
      </w:r>
    </w:p>
    <w:p w14:paraId="2A12777D" w14:textId="17B226AD" w:rsidR="007D5321" w:rsidRPr="00702497" w:rsidRDefault="007D5321"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1FFE995E" w14:textId="7207525F" w:rsidR="007D5321" w:rsidRDefault="007D532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D5321">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7D5321">
        <w:rPr>
          <w:rFonts w:eastAsia="Malgun Gothic"/>
          <w:bCs/>
          <w:lang w:val="fr-FR"/>
        </w:rPr>
        <w:t xml:space="preserve"> a présenté le dossier de candidature suivant, </w:t>
      </w:r>
      <w:r w:rsidRPr="00702497">
        <w:rPr>
          <w:rFonts w:eastAsia="Malgun Gothic"/>
          <w:b/>
          <w:lang w:val="fr-FR"/>
        </w:rPr>
        <w:t>l</w:t>
      </w:r>
      <w:r w:rsidR="00923E72">
        <w:rPr>
          <w:rFonts w:eastAsia="Malgun Gothic"/>
          <w:b/>
          <w:lang w:val="fr-FR"/>
        </w:rPr>
        <w:t>’</w:t>
      </w:r>
      <w:r w:rsidRPr="00702497">
        <w:rPr>
          <w:rFonts w:eastAsia="Malgun Gothic"/>
          <w:b/>
          <w:lang w:val="fr-FR"/>
        </w:rPr>
        <w:t xml:space="preserve">art de la fabrication et de la pratique du </w:t>
      </w:r>
      <w:proofErr w:type="spellStart"/>
      <w:r w:rsidRPr="00702497">
        <w:rPr>
          <w:rFonts w:eastAsia="Malgun Gothic"/>
          <w:b/>
          <w:lang w:val="fr-FR"/>
        </w:rPr>
        <w:t>robāb</w:t>
      </w:r>
      <w:proofErr w:type="spellEnd"/>
      <w:r w:rsidRPr="00702497">
        <w:rPr>
          <w:rFonts w:eastAsia="Malgun Gothic"/>
          <w:b/>
          <w:lang w:val="fr-FR"/>
        </w:rPr>
        <w:t>/</w:t>
      </w:r>
      <w:proofErr w:type="spellStart"/>
      <w:r w:rsidRPr="00702497">
        <w:rPr>
          <w:rFonts w:eastAsia="Malgun Gothic"/>
          <w:b/>
          <w:lang w:val="fr-FR"/>
        </w:rPr>
        <w:t>rubāb</w:t>
      </w:r>
      <w:proofErr w:type="spellEnd"/>
      <w:r w:rsidRPr="00702497">
        <w:rPr>
          <w:rFonts w:eastAsia="Malgun Gothic"/>
          <w:b/>
          <w:lang w:val="fr-FR"/>
        </w:rPr>
        <w:t>/rubob</w:t>
      </w:r>
      <w:r w:rsidRPr="007D5321">
        <w:rPr>
          <w:rFonts w:eastAsia="Malgun Gothic"/>
          <w:bCs/>
          <w:lang w:val="fr-FR"/>
        </w:rPr>
        <w:t xml:space="preserve"> [projet de décision</w:t>
      </w:r>
      <w:r w:rsidR="009A127E">
        <w:rPr>
          <w:rFonts w:eastAsia="Malgun Gothic"/>
          <w:bCs/>
          <w:lang w:val="fr-FR"/>
        </w:rPr>
        <w:t> </w:t>
      </w:r>
      <w:r w:rsidRPr="007D5321">
        <w:rPr>
          <w:rFonts w:eastAsia="Malgun Gothic"/>
          <w:bCs/>
          <w:lang w:val="fr-FR"/>
        </w:rPr>
        <w:t xml:space="preserve">7.b.17], soumis par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 xml:space="preserve">Iran, </w:t>
      </w:r>
      <w:r w:rsidRPr="00CB0741">
        <w:rPr>
          <w:rFonts w:eastAsia="Malgun Gothic"/>
          <w:bCs/>
          <w:lang w:val="fr-FR"/>
        </w:rPr>
        <w:t>le</w:t>
      </w:r>
      <w:r w:rsidRPr="00702497">
        <w:rPr>
          <w:rFonts w:eastAsia="Malgun Gothic"/>
          <w:b/>
          <w:lang w:val="fr-FR"/>
        </w:rPr>
        <w:t xml:space="preserve"> Tadjikistan </w:t>
      </w:r>
      <w:r w:rsidRPr="00CB0741">
        <w:rPr>
          <w:rFonts w:eastAsia="Malgun Gothic"/>
          <w:bCs/>
          <w:lang w:val="fr-FR"/>
        </w:rPr>
        <w:t>et</w:t>
      </w:r>
      <w:r w:rsidRPr="00702497">
        <w:rPr>
          <w:rFonts w:eastAsia="Malgun Gothic"/>
          <w:b/>
          <w:lang w:val="fr-FR"/>
        </w:rPr>
        <w:t xml:space="preserve"> </w:t>
      </w:r>
      <w:r w:rsidRPr="00CB0741">
        <w:rPr>
          <w:rFonts w:eastAsia="Malgun Gothic"/>
          <w:bCs/>
          <w:lang w:val="fr-FR"/>
        </w:rPr>
        <w:t>l</w:t>
      </w:r>
      <w:r w:rsidR="00923E72">
        <w:rPr>
          <w:rFonts w:eastAsia="Malgun Gothic"/>
          <w:bCs/>
          <w:lang w:val="fr-FR"/>
        </w:rPr>
        <w:t>’</w:t>
      </w:r>
      <w:r w:rsidRPr="00702497">
        <w:rPr>
          <w:rFonts w:eastAsia="Malgun Gothic"/>
          <w:b/>
          <w:lang w:val="fr-FR"/>
        </w:rPr>
        <w:t>Ouzbékistan</w:t>
      </w:r>
      <w:r w:rsidRPr="007D5321">
        <w:rPr>
          <w:rFonts w:eastAsia="Malgun Gothic"/>
          <w:bCs/>
          <w:lang w:val="fr-FR"/>
        </w:rPr>
        <w:t>, expliquant que l</w:t>
      </w:r>
      <w:r w:rsidR="00923E72">
        <w:rPr>
          <w:rFonts w:eastAsia="Malgun Gothic"/>
          <w:bCs/>
          <w:lang w:val="fr-FR"/>
        </w:rPr>
        <w:t>’</w:t>
      </w:r>
      <w:r w:rsidRPr="007D5321">
        <w:rPr>
          <w:rFonts w:eastAsia="Malgun Gothic"/>
          <w:bCs/>
          <w:lang w:val="fr-FR"/>
        </w:rPr>
        <w:t xml:space="preserve">élément est un instrument </w:t>
      </w:r>
      <w:r w:rsidR="00B26441" w:rsidRPr="00B26441">
        <w:rPr>
          <w:rFonts w:eastAsia="Malgun Gothic"/>
          <w:bCs/>
          <w:lang w:val="fr-FR"/>
        </w:rPr>
        <w:t>traditionnel</w:t>
      </w:r>
      <w:r w:rsidR="00B26441">
        <w:rPr>
          <w:rFonts w:eastAsia="Malgun Gothic"/>
          <w:bCs/>
          <w:lang w:val="fr-FR"/>
        </w:rPr>
        <w:t xml:space="preserve"> </w:t>
      </w:r>
      <w:r w:rsidRPr="007D5321">
        <w:rPr>
          <w:rFonts w:eastAsia="Malgun Gothic"/>
          <w:bCs/>
          <w:lang w:val="fr-FR"/>
        </w:rPr>
        <w:t xml:space="preserve">à cordes </w:t>
      </w:r>
      <w:r w:rsidR="00B26441">
        <w:rPr>
          <w:rFonts w:eastAsia="Malgun Gothic"/>
          <w:bCs/>
          <w:lang w:val="fr-FR"/>
        </w:rPr>
        <w:t xml:space="preserve">et </w:t>
      </w:r>
      <w:r w:rsidRPr="007D5321">
        <w:rPr>
          <w:rFonts w:eastAsia="Malgun Gothic"/>
          <w:bCs/>
          <w:lang w:val="fr-FR"/>
        </w:rPr>
        <w:t>à manche court</w:t>
      </w:r>
      <w:r w:rsidR="00B26441">
        <w:rPr>
          <w:rFonts w:eastAsia="Malgun Gothic"/>
          <w:bCs/>
          <w:lang w:val="fr-FR"/>
        </w:rPr>
        <w:t>,</w:t>
      </w:r>
      <w:r w:rsidRPr="007D5321">
        <w:rPr>
          <w:rFonts w:eastAsia="Malgun Gothic"/>
          <w:bCs/>
          <w:lang w:val="fr-FR"/>
        </w:rPr>
        <w:t xml:space="preserve"> </w:t>
      </w:r>
      <w:r w:rsidR="00B26441">
        <w:rPr>
          <w:rFonts w:eastAsia="Malgun Gothic"/>
          <w:bCs/>
          <w:lang w:val="fr-FR"/>
        </w:rPr>
        <w:t xml:space="preserve">joué </w:t>
      </w:r>
      <w:r w:rsidRPr="007D5321">
        <w:rPr>
          <w:rFonts w:eastAsia="Malgun Gothic"/>
          <w:bCs/>
          <w:lang w:val="fr-FR"/>
        </w:rPr>
        <w:t>en Asie centrale depuis des milliers d</w:t>
      </w:r>
      <w:r w:rsidR="00923E72">
        <w:rPr>
          <w:rFonts w:eastAsia="Malgun Gothic"/>
          <w:bCs/>
          <w:lang w:val="fr-FR"/>
        </w:rPr>
        <w:t>’</w:t>
      </w:r>
      <w:r w:rsidRPr="007D5321">
        <w:rPr>
          <w:rFonts w:eastAsia="Malgun Gothic"/>
          <w:bCs/>
          <w:lang w:val="fr-FR"/>
        </w:rPr>
        <w:t>années, qu</w:t>
      </w:r>
      <w:r w:rsidR="00923E72">
        <w:rPr>
          <w:rFonts w:eastAsia="Malgun Gothic"/>
          <w:bCs/>
          <w:lang w:val="fr-FR"/>
        </w:rPr>
        <w:t>’</w:t>
      </w:r>
      <w:r w:rsidRPr="007D5321">
        <w:rPr>
          <w:rFonts w:eastAsia="Malgun Gothic"/>
          <w:bCs/>
          <w:lang w:val="fr-FR"/>
        </w:rPr>
        <w:t>il est fabriqué à partir d</w:t>
      </w:r>
      <w:r w:rsidR="00B26441">
        <w:rPr>
          <w:rFonts w:eastAsia="Malgun Gothic"/>
          <w:bCs/>
          <w:lang w:val="fr-FR"/>
        </w:rPr>
        <w:t>e bois d</w:t>
      </w:r>
      <w:r w:rsidR="00923E72">
        <w:rPr>
          <w:rFonts w:eastAsia="Malgun Gothic"/>
          <w:bCs/>
          <w:lang w:val="fr-FR"/>
        </w:rPr>
        <w:t>’</w:t>
      </w:r>
      <w:r w:rsidRPr="007D5321">
        <w:rPr>
          <w:rFonts w:eastAsia="Malgun Gothic"/>
          <w:bCs/>
          <w:lang w:val="fr-FR"/>
        </w:rPr>
        <w:t>abricotier, de mûrier ou d</w:t>
      </w:r>
      <w:r w:rsidR="00923E72">
        <w:rPr>
          <w:rFonts w:eastAsia="Malgun Gothic"/>
          <w:bCs/>
          <w:lang w:val="fr-FR"/>
        </w:rPr>
        <w:t>’</w:t>
      </w:r>
      <w:r w:rsidRPr="007D5321">
        <w:rPr>
          <w:rFonts w:eastAsia="Malgun Gothic"/>
          <w:bCs/>
          <w:lang w:val="fr-FR"/>
        </w:rPr>
        <w:t>autres bois, sa taille et sa forme pouvant varier d</w:t>
      </w:r>
      <w:r w:rsidR="00923E72">
        <w:rPr>
          <w:rFonts w:eastAsia="Malgun Gothic"/>
          <w:bCs/>
          <w:lang w:val="fr-FR"/>
        </w:rPr>
        <w:t>’</w:t>
      </w:r>
      <w:r w:rsidRPr="007D5321">
        <w:rPr>
          <w:rFonts w:eastAsia="Malgun Gothic"/>
          <w:bCs/>
          <w:lang w:val="fr-FR"/>
        </w:rPr>
        <w:t>un pays à l</w:t>
      </w:r>
      <w:r w:rsidR="00923E72">
        <w:rPr>
          <w:rFonts w:eastAsia="Malgun Gothic"/>
          <w:bCs/>
          <w:lang w:val="fr-FR"/>
        </w:rPr>
        <w:t>’</w:t>
      </w:r>
      <w:r w:rsidRPr="007D5321">
        <w:rPr>
          <w:rFonts w:eastAsia="Malgun Gothic"/>
          <w:bCs/>
          <w:lang w:val="fr-FR"/>
        </w:rPr>
        <w:t>autre et à l</w:t>
      </w:r>
      <w:r w:rsidR="00923E72">
        <w:rPr>
          <w:rFonts w:eastAsia="Malgun Gothic"/>
          <w:bCs/>
          <w:lang w:val="fr-FR"/>
        </w:rPr>
        <w:t>’</w:t>
      </w:r>
      <w:r w:rsidRPr="007D5321">
        <w:rPr>
          <w:rFonts w:eastAsia="Malgun Gothic"/>
          <w:bCs/>
          <w:lang w:val="fr-FR"/>
        </w:rPr>
        <w:t>intérieur d</w:t>
      </w:r>
      <w:r w:rsidR="00923E72">
        <w:rPr>
          <w:rFonts w:eastAsia="Malgun Gothic"/>
          <w:bCs/>
          <w:lang w:val="fr-FR"/>
        </w:rPr>
        <w:t>’</w:t>
      </w:r>
      <w:r w:rsidRPr="007D5321">
        <w:rPr>
          <w:rFonts w:eastAsia="Malgun Gothic"/>
          <w:bCs/>
          <w:lang w:val="fr-FR"/>
        </w:rPr>
        <w:t xml:space="preserve">un même pays, et que les ensembles et les groupes folkloriques jouent de cet instrument </w:t>
      </w:r>
      <w:r w:rsidR="00B26441">
        <w:rPr>
          <w:rFonts w:eastAsia="Malgun Gothic"/>
          <w:bCs/>
          <w:lang w:val="fr-FR"/>
        </w:rPr>
        <w:t>à l</w:t>
      </w:r>
      <w:r w:rsidR="00923E72">
        <w:rPr>
          <w:rFonts w:eastAsia="Malgun Gothic"/>
          <w:bCs/>
          <w:lang w:val="fr-FR"/>
        </w:rPr>
        <w:t>’</w:t>
      </w:r>
      <w:r w:rsidR="00B26441">
        <w:rPr>
          <w:rFonts w:eastAsia="Malgun Gothic"/>
          <w:bCs/>
          <w:lang w:val="fr-FR"/>
        </w:rPr>
        <w:t>occasion de</w:t>
      </w:r>
      <w:r w:rsidRPr="007D5321">
        <w:rPr>
          <w:rFonts w:eastAsia="Malgun Gothic"/>
          <w:bCs/>
          <w:lang w:val="fr-FR"/>
        </w:rPr>
        <w:t xml:space="preserve"> fêtes, </w:t>
      </w:r>
      <w:r w:rsidR="00B26441">
        <w:rPr>
          <w:rFonts w:eastAsia="Malgun Gothic"/>
          <w:bCs/>
          <w:lang w:val="fr-FR"/>
        </w:rPr>
        <w:t>de</w:t>
      </w:r>
      <w:r w:rsidRPr="007D5321">
        <w:rPr>
          <w:rFonts w:eastAsia="Malgun Gothic"/>
          <w:bCs/>
          <w:lang w:val="fr-FR"/>
        </w:rPr>
        <w:t xml:space="preserve"> célébrations,</w:t>
      </w:r>
      <w:r w:rsidR="00B26441">
        <w:rPr>
          <w:rFonts w:eastAsia="Malgun Gothic"/>
          <w:bCs/>
          <w:lang w:val="fr-FR"/>
        </w:rPr>
        <w:t xml:space="preserve"> d</w:t>
      </w:r>
      <w:r w:rsidR="00923E72">
        <w:rPr>
          <w:rFonts w:eastAsia="Malgun Gothic"/>
          <w:bCs/>
          <w:lang w:val="fr-FR"/>
        </w:rPr>
        <w:t>’</w:t>
      </w:r>
      <w:r w:rsidRPr="007D5321">
        <w:rPr>
          <w:rFonts w:eastAsia="Malgun Gothic"/>
          <w:bCs/>
          <w:lang w:val="fr-FR"/>
        </w:rPr>
        <w:t xml:space="preserve">événements </w:t>
      </w:r>
      <w:r w:rsidR="00B26441">
        <w:rPr>
          <w:rFonts w:eastAsia="Malgun Gothic"/>
          <w:bCs/>
          <w:lang w:val="fr-FR"/>
        </w:rPr>
        <w:t xml:space="preserve">de la vie sociale </w:t>
      </w:r>
      <w:r w:rsidRPr="007D5321">
        <w:rPr>
          <w:rFonts w:eastAsia="Malgun Gothic"/>
          <w:bCs/>
          <w:lang w:val="fr-FR"/>
        </w:rPr>
        <w:t xml:space="preserve">et </w:t>
      </w:r>
      <w:r w:rsidR="00B26441">
        <w:rPr>
          <w:rFonts w:eastAsia="Malgun Gothic"/>
          <w:bCs/>
          <w:lang w:val="fr-FR"/>
        </w:rPr>
        <w:t>de</w:t>
      </w:r>
      <w:r w:rsidRPr="007D5321">
        <w:rPr>
          <w:rFonts w:eastAsia="Malgun Gothic"/>
          <w:bCs/>
          <w:lang w:val="fr-FR"/>
        </w:rPr>
        <w:t xml:space="preserve"> rituels familiaux. L</w:t>
      </w:r>
      <w:r w:rsidR="00923E72">
        <w:rPr>
          <w:rFonts w:eastAsia="Malgun Gothic"/>
          <w:bCs/>
          <w:lang w:val="fr-FR"/>
        </w:rPr>
        <w:t>’</w:t>
      </w:r>
      <w:r w:rsidRPr="007D5321">
        <w:rPr>
          <w:rFonts w:eastAsia="Malgun Gothic"/>
          <w:bCs/>
          <w:lang w:val="fr-FR"/>
        </w:rPr>
        <w:t>Organe d</w:t>
      </w:r>
      <w:r w:rsidR="00923E72">
        <w:rPr>
          <w:rFonts w:eastAsia="Malgun Gothic"/>
          <w:bCs/>
          <w:lang w:val="fr-FR"/>
        </w:rPr>
        <w:t>’</w:t>
      </w:r>
      <w:r w:rsidRPr="007D5321">
        <w:rPr>
          <w:rFonts w:eastAsia="Malgun Gothic"/>
          <w:bCs/>
          <w:lang w:val="fr-FR"/>
        </w:rPr>
        <w:t>évaluation avait estimé que seul le critère</w:t>
      </w:r>
      <w:r w:rsidR="00B26441">
        <w:rPr>
          <w:rFonts w:eastAsia="Malgun Gothic"/>
          <w:bCs/>
          <w:lang w:val="fr-FR"/>
        </w:rPr>
        <w:t> </w:t>
      </w:r>
      <w:r w:rsidRPr="007D5321">
        <w:rPr>
          <w:rFonts w:eastAsia="Malgun Gothic"/>
          <w:bCs/>
          <w:lang w:val="fr-FR"/>
        </w:rPr>
        <w:t>R.5 était satisfait et que les informations fournies n</w:t>
      </w:r>
      <w:r w:rsidR="00923E72">
        <w:rPr>
          <w:rFonts w:eastAsia="Malgun Gothic"/>
          <w:bCs/>
          <w:lang w:val="fr-FR"/>
        </w:rPr>
        <w:t>’</w:t>
      </w:r>
      <w:r w:rsidRPr="007D5321">
        <w:rPr>
          <w:rFonts w:eastAsia="Malgun Gothic"/>
          <w:bCs/>
          <w:lang w:val="fr-FR"/>
        </w:rPr>
        <w:t>étaient pas suffisantes pour déterminer si les critères</w:t>
      </w:r>
      <w:r w:rsidR="00B26441">
        <w:rPr>
          <w:rFonts w:eastAsia="Malgun Gothic"/>
          <w:bCs/>
          <w:lang w:val="fr-FR"/>
        </w:rPr>
        <w:t> </w:t>
      </w:r>
      <w:r w:rsidRPr="007D5321">
        <w:rPr>
          <w:rFonts w:eastAsia="Malgun Gothic"/>
          <w:bCs/>
          <w:lang w:val="fr-FR"/>
        </w:rPr>
        <w:t>R.1,</w:t>
      </w:r>
      <w:r w:rsidR="00B26441">
        <w:rPr>
          <w:rFonts w:eastAsia="Malgun Gothic"/>
          <w:bCs/>
          <w:lang w:val="fr-FR"/>
        </w:rPr>
        <w:t> </w:t>
      </w:r>
      <w:r w:rsidRPr="007D5321">
        <w:rPr>
          <w:rFonts w:eastAsia="Malgun Gothic"/>
          <w:bCs/>
          <w:lang w:val="fr-FR"/>
        </w:rPr>
        <w:t>R.2,</w:t>
      </w:r>
      <w:r w:rsidR="00B26441">
        <w:rPr>
          <w:rFonts w:eastAsia="Malgun Gothic"/>
          <w:bCs/>
          <w:lang w:val="fr-FR"/>
        </w:rPr>
        <w:t> </w:t>
      </w:r>
      <w:r w:rsidRPr="007D5321">
        <w:rPr>
          <w:rFonts w:eastAsia="Malgun Gothic"/>
          <w:bCs/>
          <w:lang w:val="fr-FR"/>
        </w:rPr>
        <w:t>R.3 et</w:t>
      </w:r>
      <w:r w:rsidR="00B26441">
        <w:rPr>
          <w:rFonts w:eastAsia="Malgun Gothic"/>
          <w:bCs/>
          <w:lang w:val="fr-FR"/>
        </w:rPr>
        <w:t> </w:t>
      </w:r>
      <w:r w:rsidRPr="007D5321">
        <w:rPr>
          <w:rFonts w:eastAsia="Malgun Gothic"/>
          <w:bCs/>
          <w:lang w:val="fr-FR"/>
        </w:rPr>
        <w:t xml:space="preserve">R.4 étaient satisfaits. Le dossier </w:t>
      </w:r>
      <w:r w:rsidR="00FC57E6">
        <w:rPr>
          <w:rFonts w:eastAsia="Malgun Gothic"/>
          <w:bCs/>
          <w:lang w:val="fr-FR"/>
        </w:rPr>
        <w:t xml:space="preserve">proposait </w:t>
      </w:r>
      <w:r w:rsidRPr="007D5321">
        <w:rPr>
          <w:rFonts w:eastAsia="Malgun Gothic"/>
          <w:bCs/>
          <w:lang w:val="fr-FR"/>
        </w:rPr>
        <w:t>trois descriptions différentes et distinctes de l</w:t>
      </w:r>
      <w:r w:rsidR="00923E72">
        <w:rPr>
          <w:rFonts w:eastAsia="Malgun Gothic"/>
          <w:bCs/>
          <w:lang w:val="fr-FR"/>
        </w:rPr>
        <w:t>’</w:t>
      </w:r>
      <w:r w:rsidRPr="007D5321">
        <w:rPr>
          <w:rFonts w:eastAsia="Malgun Gothic"/>
          <w:bCs/>
          <w:lang w:val="fr-FR"/>
        </w:rPr>
        <w:t xml:space="preserve">élément </w:t>
      </w:r>
      <w:r w:rsidR="00B26441">
        <w:rPr>
          <w:rFonts w:eastAsia="Malgun Gothic"/>
          <w:bCs/>
          <w:lang w:val="fr-FR"/>
        </w:rPr>
        <w:t xml:space="preserve">et </w:t>
      </w:r>
      <w:r w:rsidRPr="007D5321">
        <w:rPr>
          <w:rFonts w:eastAsia="Malgun Gothic"/>
          <w:bCs/>
          <w:lang w:val="fr-FR"/>
        </w:rPr>
        <w:t>des connaissances et compétences associées</w:t>
      </w:r>
      <w:r w:rsidR="00FC57E6">
        <w:rPr>
          <w:rFonts w:eastAsia="Malgun Gothic"/>
          <w:bCs/>
          <w:lang w:val="fr-FR"/>
        </w:rPr>
        <w:t>,</w:t>
      </w:r>
      <w:r w:rsidRPr="007D5321">
        <w:rPr>
          <w:rFonts w:eastAsia="Malgun Gothic"/>
          <w:bCs/>
          <w:lang w:val="fr-FR"/>
        </w:rPr>
        <w:t xml:space="preserve"> ainsi que des descriptions distinctes de la fonction sociale et de la signification culturelle. Les descriptions</w:t>
      </w:r>
      <w:r w:rsidR="00B26441">
        <w:rPr>
          <w:rFonts w:eastAsia="Malgun Gothic"/>
          <w:bCs/>
          <w:lang w:val="fr-FR"/>
        </w:rPr>
        <w:t>, différentes pour</w:t>
      </w:r>
      <w:r w:rsidRPr="007D5321">
        <w:rPr>
          <w:rFonts w:eastAsia="Malgun Gothic"/>
          <w:bCs/>
          <w:lang w:val="fr-FR"/>
        </w:rPr>
        <w:t xml:space="preserve"> chaque pays</w:t>
      </w:r>
      <w:r w:rsidR="00B26441">
        <w:rPr>
          <w:rFonts w:eastAsia="Malgun Gothic"/>
          <w:bCs/>
          <w:lang w:val="fr-FR"/>
        </w:rPr>
        <w:t>,</w:t>
      </w:r>
      <w:r w:rsidRPr="007D5321">
        <w:rPr>
          <w:rFonts w:eastAsia="Malgun Gothic"/>
          <w:bCs/>
          <w:lang w:val="fr-FR"/>
        </w:rPr>
        <w:t xml:space="preserve"> </w:t>
      </w:r>
      <w:r w:rsidR="00B26441">
        <w:rPr>
          <w:rFonts w:eastAsia="Malgun Gothic"/>
          <w:bCs/>
          <w:lang w:val="fr-FR"/>
        </w:rPr>
        <w:t>des</w:t>
      </w:r>
      <w:r w:rsidRPr="007D5321">
        <w:rPr>
          <w:rFonts w:eastAsia="Malgun Gothic"/>
          <w:bCs/>
          <w:lang w:val="fr-FR"/>
        </w:rPr>
        <w:t xml:space="preserve"> mesures de sauvegarde avaient également rendu difficile l</w:t>
      </w:r>
      <w:r w:rsidR="00923E72">
        <w:rPr>
          <w:rFonts w:eastAsia="Malgun Gothic"/>
          <w:bCs/>
          <w:lang w:val="fr-FR"/>
        </w:rPr>
        <w:t>’</w:t>
      </w:r>
      <w:r w:rsidRPr="007D5321">
        <w:rPr>
          <w:rFonts w:eastAsia="Malgun Gothic"/>
          <w:bCs/>
          <w:lang w:val="fr-FR"/>
        </w:rPr>
        <w:t>évaluation du dossier et la caractérisation de l</w:t>
      </w:r>
      <w:r w:rsidR="00923E72">
        <w:rPr>
          <w:rFonts w:eastAsia="Malgun Gothic"/>
          <w:bCs/>
          <w:lang w:val="fr-FR"/>
        </w:rPr>
        <w:t>’</w:t>
      </w:r>
      <w:r w:rsidRPr="007D5321">
        <w:rPr>
          <w:rFonts w:eastAsia="Malgun Gothic"/>
          <w:bCs/>
          <w:lang w:val="fr-FR"/>
        </w:rPr>
        <w:t>aspect multinational de la candidature et de l</w:t>
      </w:r>
      <w:r w:rsidR="00923E72">
        <w:rPr>
          <w:rFonts w:eastAsia="Malgun Gothic"/>
          <w:bCs/>
          <w:lang w:val="fr-FR"/>
        </w:rPr>
        <w:t>’</w:t>
      </w:r>
      <w:r w:rsidRPr="007D5321">
        <w:rPr>
          <w:rFonts w:eastAsia="Malgun Gothic"/>
          <w:bCs/>
          <w:lang w:val="fr-FR"/>
        </w:rPr>
        <w:t>élément. L</w:t>
      </w:r>
      <w:r w:rsidR="00923E72">
        <w:rPr>
          <w:rFonts w:eastAsia="Malgun Gothic"/>
          <w:bCs/>
          <w:lang w:val="fr-FR"/>
        </w:rPr>
        <w:t>’</w:t>
      </w:r>
      <w:r w:rsidRPr="007D5321">
        <w:rPr>
          <w:rFonts w:eastAsia="Malgun Gothic"/>
          <w:bCs/>
          <w:lang w:val="fr-FR"/>
        </w:rPr>
        <w:t>Organe rappelait aux États parties qu</w:t>
      </w:r>
      <w:r w:rsidR="00923E72">
        <w:rPr>
          <w:rFonts w:eastAsia="Malgun Gothic"/>
          <w:bCs/>
          <w:lang w:val="fr-FR"/>
        </w:rPr>
        <w:t>’</w:t>
      </w:r>
      <w:r w:rsidRPr="007D5321">
        <w:rPr>
          <w:rFonts w:eastAsia="Malgun Gothic"/>
          <w:bCs/>
          <w:lang w:val="fr-FR"/>
        </w:rPr>
        <w:t>un dossier multinational doit être la conséquence d</w:t>
      </w:r>
      <w:r w:rsidR="00923E72">
        <w:rPr>
          <w:rFonts w:eastAsia="Malgun Gothic"/>
          <w:bCs/>
          <w:lang w:val="fr-FR"/>
        </w:rPr>
        <w:t>’</w:t>
      </w:r>
      <w:r w:rsidRPr="007D5321">
        <w:rPr>
          <w:rFonts w:eastAsia="Malgun Gothic"/>
          <w:bCs/>
          <w:lang w:val="fr-FR"/>
        </w:rPr>
        <w:t>un travail multinational. Au cours de cette session, plusieurs bons exemples de dossiers multinationaux avaient été inscrits et seraient inscrits. En conclusion, l</w:t>
      </w:r>
      <w:r w:rsidR="00923E72">
        <w:rPr>
          <w:rFonts w:eastAsia="Malgun Gothic"/>
          <w:bCs/>
          <w:lang w:val="fr-FR"/>
        </w:rPr>
        <w:t>’</w:t>
      </w:r>
      <w:r w:rsidRPr="007D5321">
        <w:rPr>
          <w:rFonts w:eastAsia="Malgun Gothic"/>
          <w:bCs/>
          <w:lang w:val="fr-FR"/>
        </w:rPr>
        <w:t>Organe d</w:t>
      </w:r>
      <w:r w:rsidR="00923E72">
        <w:rPr>
          <w:rFonts w:eastAsia="Malgun Gothic"/>
          <w:bCs/>
          <w:lang w:val="fr-FR"/>
        </w:rPr>
        <w:t>’</w:t>
      </w:r>
      <w:r w:rsidRPr="007D5321">
        <w:rPr>
          <w:rFonts w:eastAsia="Malgun Gothic"/>
          <w:bCs/>
          <w:lang w:val="fr-FR"/>
        </w:rPr>
        <w:t>évaluation recommandait que cette candidature soit renvoyée aux États soumissionnaires.</w:t>
      </w:r>
    </w:p>
    <w:p w14:paraId="1856188F" w14:textId="18713436" w:rsidR="00B26441" w:rsidRDefault="00B2644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9A127E">
        <w:rPr>
          <w:rFonts w:eastAsia="Malgun Gothic"/>
          <w:b/>
          <w:lang w:val="fr-FR"/>
        </w:rPr>
        <w:t> </w:t>
      </w:r>
      <w:r w:rsidR="00751FB1">
        <w:fldChar w:fldCharType="begin"/>
      </w:r>
      <w:r w:rsidR="00751FB1" w:rsidRPr="00751FB1">
        <w:rPr>
          <w:lang w:val="fr-FR"/>
        </w:rPr>
        <w:instrText>HYPERLINK "https://ich.unesco.org/fr/Decisions/17.COM/7.b.17"</w:instrText>
      </w:r>
      <w:r w:rsidR="00751FB1">
        <w:fldChar w:fldCharType="separate"/>
      </w:r>
      <w:r w:rsidRPr="006E3034">
        <w:rPr>
          <w:rStyle w:val="Hyperlink"/>
          <w:b/>
          <w:bCs/>
          <w:lang w:val="fr-FR"/>
        </w:rPr>
        <w:t>17.COM 7.b.17</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Pr>
          <w:rStyle w:val="Hyperlink"/>
          <w:b/>
          <w:bCs/>
          <w:color w:val="auto"/>
          <w:u w:val="none"/>
          <w:lang w:val="fr-FR"/>
        </w:rPr>
        <w:t>e renvoyer</w:t>
      </w:r>
      <w:r>
        <w:rPr>
          <w:rFonts w:eastAsia="Malgun Gothic"/>
          <w:bCs/>
          <w:lang w:val="fr-FR"/>
        </w:rPr>
        <w:t xml:space="preserve"> </w:t>
      </w:r>
      <w:r w:rsidRPr="00497B98">
        <w:rPr>
          <w:rFonts w:eastAsia="Malgun Gothic"/>
          <w:b/>
          <w:lang w:val="fr-FR"/>
        </w:rPr>
        <w:t>l</w:t>
      </w:r>
      <w:r w:rsidR="00923E72">
        <w:rPr>
          <w:rFonts w:eastAsia="Malgun Gothic"/>
          <w:b/>
          <w:lang w:val="fr-FR"/>
        </w:rPr>
        <w:t>’</w:t>
      </w:r>
      <w:r w:rsidRPr="00497B98">
        <w:rPr>
          <w:rFonts w:eastAsia="Malgun Gothic"/>
          <w:b/>
          <w:lang w:val="fr-FR"/>
        </w:rPr>
        <w:t xml:space="preserve">art de la fabrication et de la pratique du </w:t>
      </w:r>
      <w:proofErr w:type="spellStart"/>
      <w:r w:rsidRPr="00497B98">
        <w:rPr>
          <w:rFonts w:eastAsia="Malgun Gothic"/>
          <w:b/>
          <w:lang w:val="fr-FR"/>
        </w:rPr>
        <w:t>robāb</w:t>
      </w:r>
      <w:proofErr w:type="spellEnd"/>
      <w:r w:rsidRPr="00497B98">
        <w:rPr>
          <w:rFonts w:eastAsia="Malgun Gothic"/>
          <w:b/>
          <w:lang w:val="fr-FR"/>
        </w:rPr>
        <w:t>/</w:t>
      </w:r>
      <w:proofErr w:type="spellStart"/>
      <w:r w:rsidRPr="00497B98">
        <w:rPr>
          <w:rFonts w:eastAsia="Malgun Gothic"/>
          <w:b/>
          <w:lang w:val="fr-FR"/>
        </w:rPr>
        <w:t>rubāb</w:t>
      </w:r>
      <w:proofErr w:type="spellEnd"/>
      <w:r w:rsidRPr="00497B98">
        <w:rPr>
          <w:rFonts w:eastAsia="Malgun Gothic"/>
          <w:b/>
          <w:lang w:val="fr-FR"/>
        </w:rPr>
        <w:t>/rubob</w:t>
      </w:r>
      <w:r>
        <w:rPr>
          <w:rFonts w:eastAsia="Malgun Gothic"/>
          <w:b/>
          <w:lang w:val="fr-FR"/>
        </w:rPr>
        <w:t xml:space="preserve"> aux États soumissionnaires.</w:t>
      </w:r>
    </w:p>
    <w:p w14:paraId="7C590779" w14:textId="30DD37F2" w:rsidR="00B26441" w:rsidRDefault="00B2644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26441">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B26441">
        <w:rPr>
          <w:rFonts w:eastAsia="Malgun Gothic"/>
          <w:bCs/>
          <w:lang w:val="fr-FR"/>
        </w:rPr>
        <w:t xml:space="preserve"> a présenté le dossier de candidature suivante, </w:t>
      </w:r>
      <w:r w:rsidRPr="00702497">
        <w:rPr>
          <w:rFonts w:eastAsia="Malgun Gothic"/>
          <w:b/>
          <w:lang w:val="fr-FR"/>
        </w:rPr>
        <w:t>l</w:t>
      </w:r>
      <w:r w:rsidR="00923E72">
        <w:rPr>
          <w:rFonts w:eastAsia="Malgun Gothic"/>
          <w:b/>
          <w:lang w:val="fr-FR"/>
        </w:rPr>
        <w:t>’</w:t>
      </w:r>
      <w:r w:rsidRPr="00702497">
        <w:rPr>
          <w:rFonts w:eastAsia="Malgun Gothic"/>
          <w:b/>
          <w:lang w:val="fr-FR"/>
        </w:rPr>
        <w:t>art de la blouse traditionnelle avec broderie sur l</w:t>
      </w:r>
      <w:r w:rsidR="00923E72">
        <w:rPr>
          <w:rFonts w:eastAsia="Malgun Gothic"/>
          <w:b/>
          <w:lang w:val="fr-FR"/>
        </w:rPr>
        <w:t>’</w:t>
      </w:r>
      <w:r w:rsidRPr="00702497">
        <w:rPr>
          <w:rFonts w:eastAsia="Malgun Gothic"/>
          <w:b/>
          <w:lang w:val="fr-FR"/>
        </w:rPr>
        <w:t>épaule (</w:t>
      </w:r>
      <w:proofErr w:type="spellStart"/>
      <w:r w:rsidRPr="00702497">
        <w:rPr>
          <w:rFonts w:eastAsia="Malgun Gothic"/>
          <w:b/>
          <w:i/>
          <w:iCs/>
          <w:lang w:val="fr-FR"/>
        </w:rPr>
        <w:t>altiţă</w:t>
      </w:r>
      <w:proofErr w:type="spellEnd"/>
      <w:r w:rsidRPr="00702497">
        <w:rPr>
          <w:rFonts w:eastAsia="Malgun Gothic"/>
          <w:b/>
          <w:lang w:val="fr-FR"/>
        </w:rPr>
        <w:t>)</w:t>
      </w:r>
      <w:r w:rsidR="00CB0741" w:rsidRPr="00702497">
        <w:rPr>
          <w:rFonts w:eastAsia="Malgun Gothic"/>
          <w:b/>
          <w:lang w:val="fr-FR"/>
        </w:rPr>
        <w:t xml:space="preserve">, </w:t>
      </w:r>
      <w:r w:rsidRPr="00702497">
        <w:rPr>
          <w:rFonts w:eastAsia="Malgun Gothic"/>
          <w:b/>
          <w:lang w:val="fr-FR"/>
        </w:rPr>
        <w:t>élément de l</w:t>
      </w:r>
      <w:r w:rsidR="00923E72">
        <w:rPr>
          <w:rFonts w:eastAsia="Malgun Gothic"/>
          <w:b/>
          <w:lang w:val="fr-FR"/>
        </w:rPr>
        <w:t>’</w:t>
      </w:r>
      <w:r w:rsidRPr="00702497">
        <w:rPr>
          <w:rFonts w:eastAsia="Malgun Gothic"/>
          <w:b/>
          <w:lang w:val="fr-FR"/>
        </w:rPr>
        <w:t>identité culturelle en Roumanie et en République de Moldova</w:t>
      </w:r>
      <w:r w:rsidRPr="00B26441">
        <w:rPr>
          <w:rFonts w:eastAsia="Malgun Gothic"/>
          <w:bCs/>
          <w:lang w:val="fr-FR"/>
        </w:rPr>
        <w:t xml:space="preserve"> [projet de décision</w:t>
      </w:r>
      <w:r w:rsidR="009A127E">
        <w:rPr>
          <w:rFonts w:eastAsia="Malgun Gothic"/>
          <w:bCs/>
          <w:lang w:val="fr-FR"/>
        </w:rPr>
        <w:t> </w:t>
      </w:r>
      <w:r w:rsidRPr="00B26441">
        <w:rPr>
          <w:rFonts w:eastAsia="Malgun Gothic"/>
          <w:bCs/>
          <w:lang w:val="fr-FR"/>
        </w:rPr>
        <w:t>7.b.23]</w:t>
      </w:r>
      <w:r w:rsidR="00136090">
        <w:rPr>
          <w:rFonts w:eastAsia="Malgun Gothic"/>
          <w:bCs/>
          <w:lang w:val="fr-FR"/>
        </w:rPr>
        <w:t>,</w:t>
      </w:r>
      <w:r w:rsidRPr="00B26441">
        <w:rPr>
          <w:rFonts w:eastAsia="Malgun Gothic"/>
          <w:bCs/>
          <w:lang w:val="fr-FR"/>
        </w:rPr>
        <w:t xml:space="preserve"> soumis par la </w:t>
      </w:r>
      <w:r w:rsidRPr="00702497">
        <w:rPr>
          <w:rFonts w:eastAsia="Malgun Gothic"/>
          <w:b/>
          <w:lang w:val="fr-FR"/>
        </w:rPr>
        <w:t xml:space="preserve">Roumanie </w:t>
      </w:r>
      <w:r w:rsidRPr="00CB0741">
        <w:rPr>
          <w:rFonts w:eastAsia="Malgun Gothic"/>
          <w:bCs/>
          <w:lang w:val="fr-FR"/>
        </w:rPr>
        <w:t>et la</w:t>
      </w:r>
      <w:r w:rsidRPr="00702497">
        <w:rPr>
          <w:rFonts w:eastAsia="Malgun Gothic"/>
          <w:b/>
          <w:lang w:val="fr-FR"/>
        </w:rPr>
        <w:t xml:space="preserve"> République de Moldova</w:t>
      </w:r>
      <w:r w:rsidR="00136090">
        <w:rPr>
          <w:rFonts w:eastAsia="Malgun Gothic"/>
          <w:bCs/>
          <w:lang w:val="fr-FR"/>
        </w:rPr>
        <w:t xml:space="preserve">, </w:t>
      </w:r>
      <w:r w:rsidRPr="00B26441">
        <w:rPr>
          <w:rFonts w:eastAsia="Malgun Gothic"/>
          <w:bCs/>
          <w:lang w:val="fr-FR"/>
        </w:rPr>
        <w:t>expliquant que l</w:t>
      </w:r>
      <w:r w:rsidR="00923E72">
        <w:rPr>
          <w:rFonts w:eastAsia="Malgun Gothic"/>
          <w:bCs/>
          <w:lang w:val="fr-FR"/>
        </w:rPr>
        <w:t>’</w:t>
      </w:r>
      <w:r w:rsidRPr="00B26441">
        <w:rPr>
          <w:rFonts w:eastAsia="Malgun Gothic"/>
          <w:bCs/>
          <w:lang w:val="fr-FR"/>
        </w:rPr>
        <w:t>art de la blouse traditionnelle avec broderie sur l</w:t>
      </w:r>
      <w:r w:rsidR="00923E72">
        <w:rPr>
          <w:rFonts w:eastAsia="Malgun Gothic"/>
          <w:bCs/>
          <w:lang w:val="fr-FR"/>
        </w:rPr>
        <w:t>’</w:t>
      </w:r>
      <w:r w:rsidRPr="00B26441">
        <w:rPr>
          <w:rFonts w:eastAsia="Malgun Gothic"/>
          <w:bCs/>
          <w:lang w:val="fr-FR"/>
        </w:rPr>
        <w:t xml:space="preserve">épaule (appelée </w:t>
      </w:r>
      <w:proofErr w:type="spellStart"/>
      <w:r w:rsidRPr="00702497">
        <w:rPr>
          <w:rFonts w:eastAsia="Malgun Gothic"/>
          <w:bCs/>
          <w:i/>
          <w:iCs/>
          <w:lang w:val="fr-FR"/>
        </w:rPr>
        <w:t>altiță</w:t>
      </w:r>
      <w:proofErr w:type="spellEnd"/>
      <w:r w:rsidRPr="00B26441">
        <w:rPr>
          <w:rFonts w:eastAsia="Malgun Gothic"/>
          <w:bCs/>
          <w:lang w:val="fr-FR"/>
        </w:rPr>
        <w:t>) est un élément essentiel d</w:t>
      </w:r>
      <w:r w:rsidR="00CB0741">
        <w:rPr>
          <w:rFonts w:eastAsia="Malgun Gothic"/>
          <w:bCs/>
          <w:lang w:val="fr-FR"/>
        </w:rPr>
        <w:t>es</w:t>
      </w:r>
      <w:r w:rsidRPr="00CB0741">
        <w:rPr>
          <w:rFonts w:eastAsia="Malgun Gothic"/>
          <w:bCs/>
          <w:lang w:val="fr-FR"/>
        </w:rPr>
        <w:t xml:space="preserve"> costume</w:t>
      </w:r>
      <w:r w:rsidR="00CB0741">
        <w:rPr>
          <w:rFonts w:eastAsia="Malgun Gothic"/>
          <w:bCs/>
          <w:lang w:val="fr-FR"/>
        </w:rPr>
        <w:t xml:space="preserve">s populaires </w:t>
      </w:r>
      <w:r w:rsidRPr="00CB0741">
        <w:rPr>
          <w:rFonts w:eastAsia="Malgun Gothic"/>
          <w:bCs/>
          <w:lang w:val="fr-FR"/>
        </w:rPr>
        <w:t>roumain</w:t>
      </w:r>
      <w:r w:rsidR="00CB0741">
        <w:rPr>
          <w:rFonts w:eastAsia="Malgun Gothic"/>
          <w:bCs/>
          <w:lang w:val="fr-FR"/>
        </w:rPr>
        <w:t>s</w:t>
      </w:r>
      <w:r w:rsidRPr="00CB0741">
        <w:rPr>
          <w:rFonts w:eastAsia="Malgun Gothic"/>
          <w:bCs/>
          <w:lang w:val="fr-FR"/>
        </w:rPr>
        <w:t xml:space="preserve"> et moldave</w:t>
      </w:r>
      <w:r w:rsidR="00CB0741">
        <w:rPr>
          <w:rFonts w:eastAsia="Malgun Gothic"/>
          <w:bCs/>
          <w:lang w:val="fr-FR"/>
        </w:rPr>
        <w:t>s</w:t>
      </w:r>
      <w:r w:rsidRPr="00CB0741">
        <w:rPr>
          <w:rFonts w:eastAsia="Malgun Gothic"/>
          <w:bCs/>
          <w:lang w:val="fr-FR"/>
        </w:rPr>
        <w:t xml:space="preserve"> pour les hommes et les femmes, qui </w:t>
      </w:r>
      <w:r w:rsidR="00CB0741">
        <w:rPr>
          <w:rFonts w:eastAsia="Malgun Gothic"/>
          <w:bCs/>
          <w:lang w:val="fr-FR"/>
        </w:rPr>
        <w:t xml:space="preserve">allie </w:t>
      </w:r>
      <w:r w:rsidRPr="00CB0741">
        <w:rPr>
          <w:rFonts w:eastAsia="Malgun Gothic"/>
          <w:bCs/>
          <w:lang w:val="fr-FR"/>
        </w:rPr>
        <w:t xml:space="preserve">une coupe simple à de </w:t>
      </w:r>
      <w:r w:rsidR="00CB0741">
        <w:rPr>
          <w:rFonts w:eastAsia="Malgun Gothic"/>
          <w:bCs/>
          <w:lang w:val="fr-FR"/>
        </w:rPr>
        <w:t xml:space="preserve">riches </w:t>
      </w:r>
      <w:r w:rsidRPr="00CB0741">
        <w:rPr>
          <w:rFonts w:eastAsia="Malgun Gothic"/>
          <w:bCs/>
          <w:lang w:val="fr-FR"/>
        </w:rPr>
        <w:t>ornements colorés</w:t>
      </w:r>
      <w:r w:rsidR="009F464A">
        <w:rPr>
          <w:rFonts w:eastAsia="Malgun Gothic"/>
          <w:bCs/>
          <w:lang w:val="fr-FR"/>
        </w:rPr>
        <w:t xml:space="preserve"> et</w:t>
      </w:r>
      <w:r w:rsidRPr="00CB0741">
        <w:rPr>
          <w:rFonts w:eastAsia="Malgun Gothic"/>
          <w:bCs/>
          <w:lang w:val="fr-FR"/>
        </w:rPr>
        <w:t xml:space="preserve"> </w:t>
      </w:r>
      <w:r w:rsidR="00CB0741">
        <w:rPr>
          <w:rFonts w:eastAsia="Malgun Gothic"/>
          <w:bCs/>
          <w:lang w:val="fr-FR"/>
        </w:rPr>
        <w:t xml:space="preserve">brodés selon des </w:t>
      </w:r>
      <w:r w:rsidRPr="00CB0741">
        <w:rPr>
          <w:rFonts w:eastAsia="Malgun Gothic"/>
          <w:bCs/>
          <w:lang w:val="fr-FR"/>
        </w:rPr>
        <w:t>techniques</w:t>
      </w:r>
      <w:r w:rsidR="00CB0741">
        <w:rPr>
          <w:rFonts w:eastAsia="Malgun Gothic"/>
          <w:bCs/>
          <w:lang w:val="fr-FR"/>
        </w:rPr>
        <w:t xml:space="preserve"> </w:t>
      </w:r>
      <w:r w:rsidRPr="00CB0741">
        <w:rPr>
          <w:rFonts w:eastAsia="Malgun Gothic"/>
          <w:bCs/>
          <w:lang w:val="fr-FR"/>
        </w:rPr>
        <w:t>complexes. L</w:t>
      </w:r>
      <w:r w:rsidR="00923E72">
        <w:rPr>
          <w:rFonts w:eastAsia="Malgun Gothic"/>
          <w:bCs/>
          <w:lang w:val="fr-FR"/>
        </w:rPr>
        <w:t>’</w:t>
      </w:r>
      <w:r w:rsidRPr="00CB0741">
        <w:rPr>
          <w:rFonts w:eastAsia="Malgun Gothic"/>
          <w:bCs/>
          <w:lang w:val="fr-FR"/>
        </w:rPr>
        <w:t>Organe d</w:t>
      </w:r>
      <w:r w:rsidR="00923E72">
        <w:rPr>
          <w:rFonts w:eastAsia="Malgun Gothic"/>
          <w:bCs/>
          <w:lang w:val="fr-FR"/>
        </w:rPr>
        <w:t>’</w:t>
      </w:r>
      <w:r w:rsidRPr="00CB0741">
        <w:rPr>
          <w:rFonts w:eastAsia="Malgun Gothic"/>
          <w:bCs/>
          <w:lang w:val="fr-FR"/>
        </w:rPr>
        <w:t>évaluation avait estimé que les critères</w:t>
      </w:r>
      <w:r w:rsidR="00CB0741">
        <w:rPr>
          <w:rFonts w:eastAsia="Malgun Gothic"/>
          <w:bCs/>
          <w:lang w:val="fr-FR"/>
        </w:rPr>
        <w:t> </w:t>
      </w:r>
      <w:r w:rsidRPr="00CB0741">
        <w:rPr>
          <w:rFonts w:eastAsia="Malgun Gothic"/>
          <w:bCs/>
          <w:lang w:val="fr-FR"/>
        </w:rPr>
        <w:t>R.1,</w:t>
      </w:r>
      <w:r w:rsidR="00CB0741">
        <w:rPr>
          <w:rFonts w:eastAsia="Malgun Gothic"/>
          <w:bCs/>
          <w:lang w:val="fr-FR"/>
        </w:rPr>
        <w:t> </w:t>
      </w:r>
      <w:r w:rsidRPr="00CB0741">
        <w:rPr>
          <w:rFonts w:eastAsia="Malgun Gothic"/>
          <w:bCs/>
          <w:lang w:val="fr-FR"/>
        </w:rPr>
        <w:t>R.4 et</w:t>
      </w:r>
      <w:r w:rsidR="00CB0741">
        <w:rPr>
          <w:rFonts w:eastAsia="Malgun Gothic"/>
          <w:bCs/>
          <w:lang w:val="fr-FR"/>
        </w:rPr>
        <w:t> </w:t>
      </w:r>
      <w:r w:rsidRPr="00CB0741">
        <w:rPr>
          <w:rFonts w:eastAsia="Malgun Gothic"/>
          <w:bCs/>
          <w:lang w:val="fr-FR"/>
        </w:rPr>
        <w:t>R.5 étaient satisfaits, mais que les informations fournies n</w:t>
      </w:r>
      <w:r w:rsidR="00923E72">
        <w:rPr>
          <w:rFonts w:eastAsia="Malgun Gothic"/>
          <w:bCs/>
          <w:lang w:val="fr-FR"/>
        </w:rPr>
        <w:t>’</w:t>
      </w:r>
      <w:r w:rsidRPr="00CB0741">
        <w:rPr>
          <w:rFonts w:eastAsia="Malgun Gothic"/>
          <w:bCs/>
          <w:lang w:val="fr-FR"/>
        </w:rPr>
        <w:t>étaient pas suffisantes pour déterminer si les critères</w:t>
      </w:r>
      <w:r w:rsidR="00CB0741">
        <w:rPr>
          <w:rFonts w:eastAsia="Malgun Gothic"/>
          <w:bCs/>
          <w:lang w:val="fr-FR"/>
        </w:rPr>
        <w:t> </w:t>
      </w:r>
      <w:r w:rsidRPr="00CB0741">
        <w:rPr>
          <w:rFonts w:eastAsia="Malgun Gothic"/>
          <w:bCs/>
          <w:lang w:val="fr-FR"/>
        </w:rPr>
        <w:t>R.2 et</w:t>
      </w:r>
      <w:r w:rsidR="00CB0741">
        <w:rPr>
          <w:rFonts w:eastAsia="Malgun Gothic"/>
          <w:bCs/>
          <w:lang w:val="fr-FR"/>
        </w:rPr>
        <w:t> </w:t>
      </w:r>
      <w:r w:rsidRPr="00CB0741">
        <w:rPr>
          <w:rFonts w:eastAsia="Malgun Gothic"/>
          <w:bCs/>
          <w:lang w:val="fr-FR"/>
        </w:rPr>
        <w:t xml:space="preserve">R.3 étaient satisfaits. Le dossier expliquait que les communautés </w:t>
      </w:r>
      <w:r w:rsidR="00CB0741">
        <w:rPr>
          <w:rFonts w:eastAsia="Malgun Gothic"/>
          <w:bCs/>
          <w:lang w:val="fr-FR"/>
        </w:rPr>
        <w:t xml:space="preserve">avaient été et étaient toujours </w:t>
      </w:r>
      <w:r w:rsidRPr="00CB0741">
        <w:rPr>
          <w:rFonts w:eastAsia="Malgun Gothic"/>
          <w:bCs/>
          <w:lang w:val="fr-FR"/>
        </w:rPr>
        <w:t xml:space="preserve">impliquées dans les efforts passés et </w:t>
      </w:r>
      <w:r w:rsidR="00CB0741">
        <w:rPr>
          <w:rFonts w:eastAsia="Malgun Gothic"/>
          <w:bCs/>
          <w:lang w:val="fr-FR"/>
        </w:rPr>
        <w:t xml:space="preserve">en cours </w:t>
      </w:r>
      <w:r w:rsidRPr="00CB0741">
        <w:rPr>
          <w:rFonts w:eastAsia="Malgun Gothic"/>
          <w:bCs/>
          <w:lang w:val="fr-FR"/>
        </w:rPr>
        <w:t>de sauvegarde de l</w:t>
      </w:r>
      <w:r w:rsidR="00923E72">
        <w:rPr>
          <w:rFonts w:eastAsia="Malgun Gothic"/>
          <w:bCs/>
          <w:lang w:val="fr-FR"/>
        </w:rPr>
        <w:t>’</w:t>
      </w:r>
      <w:r w:rsidRPr="00CB0741">
        <w:rPr>
          <w:rFonts w:eastAsia="Malgun Gothic"/>
          <w:bCs/>
          <w:lang w:val="fr-FR"/>
        </w:rPr>
        <w:t>élément. Toutefois, le dossier n</w:t>
      </w:r>
      <w:r w:rsidR="00923E72">
        <w:rPr>
          <w:rFonts w:eastAsia="Malgun Gothic"/>
          <w:bCs/>
          <w:lang w:val="fr-FR"/>
        </w:rPr>
        <w:t>’</w:t>
      </w:r>
      <w:r w:rsidRPr="00CB0741">
        <w:rPr>
          <w:rFonts w:eastAsia="Malgun Gothic"/>
          <w:bCs/>
          <w:lang w:val="fr-FR"/>
        </w:rPr>
        <w:t>expliquait pas de manière adéquate le rôle des communautés concernées dans les deux États soumissionnaires en ce qui concerne la planification et la mise en œuvre des mesures de sauvegarde proposées. En conclusion, l</w:t>
      </w:r>
      <w:r w:rsidR="00923E72">
        <w:rPr>
          <w:rFonts w:eastAsia="Malgun Gothic"/>
          <w:bCs/>
          <w:lang w:val="fr-FR"/>
        </w:rPr>
        <w:t>’</w:t>
      </w:r>
      <w:r w:rsidRPr="00CB0741">
        <w:rPr>
          <w:rFonts w:eastAsia="Malgun Gothic"/>
          <w:bCs/>
          <w:lang w:val="fr-FR"/>
        </w:rPr>
        <w:t>Organe d</w:t>
      </w:r>
      <w:r w:rsidR="00923E72">
        <w:rPr>
          <w:rFonts w:eastAsia="Malgun Gothic"/>
          <w:bCs/>
          <w:lang w:val="fr-FR"/>
        </w:rPr>
        <w:t>’</w:t>
      </w:r>
      <w:r w:rsidRPr="00CB0741">
        <w:rPr>
          <w:rFonts w:eastAsia="Malgun Gothic"/>
          <w:bCs/>
          <w:lang w:val="fr-FR"/>
        </w:rPr>
        <w:t>évaluation recommandait que la candidature soit renvoyée aux États soumissionnaires.</w:t>
      </w:r>
    </w:p>
    <w:p w14:paraId="40AD5F30" w14:textId="44095D7B" w:rsidR="00CB0741" w:rsidRDefault="00CB074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B0741">
        <w:rPr>
          <w:rFonts w:eastAsia="Malgun Gothic"/>
          <w:bCs/>
          <w:lang w:val="fr-FR"/>
        </w:rPr>
        <w:t>La délégation de l</w:t>
      </w:r>
      <w:r w:rsidR="00923E72">
        <w:rPr>
          <w:rFonts w:eastAsia="Malgun Gothic"/>
          <w:bCs/>
          <w:lang w:val="fr-FR"/>
        </w:rPr>
        <w:t>’</w:t>
      </w:r>
      <w:r w:rsidRPr="00702497">
        <w:rPr>
          <w:rFonts w:eastAsia="Malgun Gothic"/>
          <w:b/>
          <w:lang w:val="fr-FR"/>
        </w:rPr>
        <w:t>Arabie</w:t>
      </w:r>
      <w:r w:rsidR="00306C1F">
        <w:rPr>
          <w:rFonts w:eastAsia="Malgun Gothic"/>
          <w:b/>
          <w:lang w:val="fr-FR"/>
        </w:rPr>
        <w:t> </w:t>
      </w:r>
      <w:r w:rsidRPr="00702497">
        <w:rPr>
          <w:rFonts w:eastAsia="Malgun Gothic"/>
          <w:b/>
          <w:lang w:val="fr-FR"/>
        </w:rPr>
        <w:t xml:space="preserve">saoudite </w:t>
      </w:r>
      <w:r w:rsidRPr="00CB0741">
        <w:rPr>
          <w:rFonts w:eastAsia="Malgun Gothic"/>
          <w:bCs/>
          <w:lang w:val="fr-FR"/>
        </w:rPr>
        <w:t>a expliqué qu</w:t>
      </w:r>
      <w:r w:rsidR="00923E72">
        <w:rPr>
          <w:rFonts w:eastAsia="Malgun Gothic"/>
          <w:bCs/>
          <w:lang w:val="fr-FR"/>
        </w:rPr>
        <w:t>’</w:t>
      </w:r>
      <w:r w:rsidRPr="00CB0741">
        <w:rPr>
          <w:rFonts w:eastAsia="Malgun Gothic"/>
          <w:bCs/>
          <w:lang w:val="fr-FR"/>
        </w:rPr>
        <w:t>à la suite d</w:t>
      </w:r>
      <w:r w:rsidR="00923E72">
        <w:rPr>
          <w:rFonts w:eastAsia="Malgun Gothic"/>
          <w:bCs/>
          <w:lang w:val="fr-FR"/>
        </w:rPr>
        <w:t>’</w:t>
      </w:r>
      <w:r w:rsidRPr="00CB0741">
        <w:rPr>
          <w:rFonts w:eastAsia="Malgun Gothic"/>
          <w:bCs/>
          <w:lang w:val="fr-FR"/>
        </w:rPr>
        <w:t>un dialogue fructueux avec les États soumissionnaires et de précisions supplémentaires sur les critères mentionnés, il était apparu clairement qu</w:t>
      </w:r>
      <w:r w:rsidR="00923E72">
        <w:rPr>
          <w:rFonts w:eastAsia="Malgun Gothic"/>
          <w:bCs/>
          <w:lang w:val="fr-FR"/>
        </w:rPr>
        <w:t>’</w:t>
      </w:r>
      <w:r w:rsidR="00306C1F" w:rsidRPr="00CB0741">
        <w:rPr>
          <w:rFonts w:eastAsia="Malgun Gothic"/>
          <w:bCs/>
          <w:lang w:val="fr-FR"/>
        </w:rPr>
        <w:t>en contribuant à la créativité culturelle</w:t>
      </w:r>
      <w:r w:rsidR="00306C1F">
        <w:rPr>
          <w:rFonts w:eastAsia="Malgun Gothic"/>
          <w:bCs/>
          <w:lang w:val="fr-FR"/>
        </w:rPr>
        <w:t>,</w:t>
      </w:r>
      <w:r w:rsidR="00306C1F" w:rsidRPr="00CB0741">
        <w:rPr>
          <w:rFonts w:eastAsia="Malgun Gothic"/>
          <w:bCs/>
          <w:lang w:val="fr-FR"/>
        </w:rPr>
        <w:t xml:space="preserve"> </w:t>
      </w:r>
      <w:r w:rsidRPr="00CB0741">
        <w:rPr>
          <w:rFonts w:eastAsia="Malgun Gothic"/>
          <w:bCs/>
          <w:lang w:val="fr-FR"/>
        </w:rPr>
        <w:t>l</w:t>
      </w:r>
      <w:r w:rsidR="00923E72">
        <w:rPr>
          <w:rFonts w:eastAsia="Malgun Gothic"/>
          <w:bCs/>
          <w:lang w:val="fr-FR"/>
        </w:rPr>
        <w:t>’</w:t>
      </w:r>
      <w:r w:rsidRPr="00CB0741">
        <w:rPr>
          <w:rFonts w:eastAsia="Malgun Gothic"/>
          <w:bCs/>
          <w:lang w:val="fr-FR"/>
        </w:rPr>
        <w:t>art de la blouse traditionnelle avec broderie sur l</w:t>
      </w:r>
      <w:r w:rsidR="00923E72">
        <w:rPr>
          <w:rFonts w:eastAsia="Malgun Gothic"/>
          <w:bCs/>
          <w:lang w:val="fr-FR"/>
        </w:rPr>
        <w:t>’</w:t>
      </w:r>
      <w:r w:rsidRPr="00CB0741">
        <w:rPr>
          <w:rFonts w:eastAsia="Malgun Gothic"/>
          <w:bCs/>
          <w:lang w:val="fr-FR"/>
        </w:rPr>
        <w:t xml:space="preserve">épaule (appelée </w:t>
      </w:r>
      <w:proofErr w:type="spellStart"/>
      <w:r w:rsidRPr="00702497">
        <w:rPr>
          <w:rFonts w:eastAsia="Malgun Gothic"/>
          <w:bCs/>
          <w:i/>
          <w:iCs/>
          <w:lang w:val="fr-FR"/>
        </w:rPr>
        <w:t>altiță</w:t>
      </w:r>
      <w:proofErr w:type="spellEnd"/>
      <w:r w:rsidRPr="00CB0741">
        <w:rPr>
          <w:rFonts w:eastAsia="Malgun Gothic"/>
          <w:bCs/>
          <w:lang w:val="fr-FR"/>
        </w:rPr>
        <w:t>) joue un rôle culturel et social</w:t>
      </w:r>
      <w:r w:rsidR="00F86ECE">
        <w:rPr>
          <w:rFonts w:eastAsia="Malgun Gothic"/>
          <w:bCs/>
          <w:lang w:val="fr-FR"/>
        </w:rPr>
        <w:t>,</w:t>
      </w:r>
      <w:r w:rsidR="00306C1F">
        <w:rPr>
          <w:rFonts w:eastAsia="Malgun Gothic"/>
          <w:bCs/>
          <w:lang w:val="fr-FR"/>
        </w:rPr>
        <w:t xml:space="preserve"> semblable à celui</w:t>
      </w:r>
      <w:r w:rsidRPr="00CB0741">
        <w:rPr>
          <w:rFonts w:eastAsia="Malgun Gothic"/>
          <w:bCs/>
          <w:lang w:val="fr-FR"/>
        </w:rPr>
        <w:t xml:space="preserve"> d</w:t>
      </w:r>
      <w:r w:rsidR="00923E72">
        <w:rPr>
          <w:rFonts w:eastAsia="Malgun Gothic"/>
          <w:bCs/>
          <w:lang w:val="fr-FR"/>
        </w:rPr>
        <w:t>’</w:t>
      </w:r>
      <w:r w:rsidRPr="00CB0741">
        <w:rPr>
          <w:rFonts w:eastAsia="Malgun Gothic"/>
          <w:bCs/>
          <w:lang w:val="fr-FR"/>
        </w:rPr>
        <w:t>autres éléments du patrimoine vivant</w:t>
      </w:r>
      <w:r w:rsidR="00306C1F">
        <w:rPr>
          <w:rFonts w:eastAsia="Malgun Gothic"/>
          <w:bCs/>
          <w:lang w:val="fr-FR"/>
        </w:rPr>
        <w:t xml:space="preserve">, </w:t>
      </w:r>
      <w:r w:rsidRPr="00CB0741">
        <w:rPr>
          <w:rFonts w:eastAsia="Malgun Gothic"/>
          <w:bCs/>
          <w:lang w:val="fr-FR"/>
        </w:rPr>
        <w:t>précieux pour les communautés locales. En tant que dossier multinational, les deux États soumissionnaires s</w:t>
      </w:r>
      <w:r w:rsidR="00923E72">
        <w:rPr>
          <w:rFonts w:eastAsia="Malgun Gothic"/>
          <w:bCs/>
          <w:lang w:val="fr-FR"/>
        </w:rPr>
        <w:t>’</w:t>
      </w:r>
      <w:r w:rsidRPr="00CB0741">
        <w:rPr>
          <w:rFonts w:eastAsia="Malgun Gothic"/>
          <w:bCs/>
          <w:lang w:val="fr-FR"/>
        </w:rPr>
        <w:t>étaient engagés à travailler ensemble sur des mesures de sauvegarde de l</w:t>
      </w:r>
      <w:r w:rsidR="00923E72">
        <w:rPr>
          <w:rFonts w:eastAsia="Malgun Gothic"/>
          <w:bCs/>
          <w:lang w:val="fr-FR"/>
        </w:rPr>
        <w:t>’</w:t>
      </w:r>
      <w:r w:rsidRPr="00CB0741">
        <w:rPr>
          <w:rFonts w:eastAsia="Malgun Gothic"/>
          <w:bCs/>
          <w:lang w:val="fr-FR"/>
        </w:rPr>
        <w:t xml:space="preserve">élément </w:t>
      </w:r>
      <w:r w:rsidR="00F86ECE">
        <w:rPr>
          <w:rFonts w:eastAsia="Malgun Gothic"/>
          <w:bCs/>
          <w:lang w:val="fr-FR"/>
        </w:rPr>
        <w:t>au moyen</w:t>
      </w:r>
      <w:r w:rsidRPr="00CB0741">
        <w:rPr>
          <w:rFonts w:eastAsia="Malgun Gothic"/>
          <w:bCs/>
          <w:lang w:val="fr-FR"/>
        </w:rPr>
        <w:t xml:space="preserve"> d</w:t>
      </w:r>
      <w:r w:rsidR="00923E72">
        <w:rPr>
          <w:rFonts w:eastAsia="Malgun Gothic"/>
          <w:bCs/>
          <w:lang w:val="fr-FR"/>
        </w:rPr>
        <w:t>’</w:t>
      </w:r>
      <w:r w:rsidRPr="00CB0741">
        <w:rPr>
          <w:rFonts w:eastAsia="Malgun Gothic"/>
          <w:bCs/>
          <w:lang w:val="fr-FR"/>
        </w:rPr>
        <w:t xml:space="preserve">activités et de </w:t>
      </w:r>
      <w:r w:rsidRPr="00CB0741">
        <w:rPr>
          <w:rFonts w:eastAsia="Malgun Gothic"/>
          <w:bCs/>
          <w:lang w:val="fr-FR"/>
        </w:rPr>
        <w:lastRenderedPageBreak/>
        <w:t>programmes, et à gérer les menaces postérieures à l</w:t>
      </w:r>
      <w:r w:rsidR="00923E72">
        <w:rPr>
          <w:rFonts w:eastAsia="Malgun Gothic"/>
          <w:bCs/>
          <w:lang w:val="fr-FR"/>
        </w:rPr>
        <w:t>’</w:t>
      </w:r>
      <w:r w:rsidRPr="00CB0741">
        <w:rPr>
          <w:rFonts w:eastAsia="Malgun Gothic"/>
          <w:bCs/>
          <w:lang w:val="fr-FR"/>
        </w:rPr>
        <w:t>inscription en impliquant les communautés pour assurer la viabilité de l</w:t>
      </w:r>
      <w:r w:rsidR="00923E72">
        <w:rPr>
          <w:rFonts w:eastAsia="Malgun Gothic"/>
          <w:bCs/>
          <w:lang w:val="fr-FR"/>
        </w:rPr>
        <w:t>’</w:t>
      </w:r>
      <w:r w:rsidRPr="00CB0741">
        <w:rPr>
          <w:rFonts w:eastAsia="Malgun Gothic"/>
          <w:bCs/>
          <w:lang w:val="fr-FR"/>
        </w:rPr>
        <w:t>artisanat dans l</w:t>
      </w:r>
      <w:r w:rsidR="00923E72">
        <w:rPr>
          <w:rFonts w:eastAsia="Malgun Gothic"/>
          <w:bCs/>
          <w:lang w:val="fr-FR"/>
        </w:rPr>
        <w:t>’</w:t>
      </w:r>
      <w:r w:rsidRPr="00CB0741">
        <w:rPr>
          <w:rFonts w:eastAsia="Malgun Gothic"/>
          <w:bCs/>
          <w:lang w:val="fr-FR"/>
        </w:rPr>
        <w:t>intérêt de tous les citoyens qui portent ou admirent la blouse. En ce qui concerne le genre, la forme actuelle de l</w:t>
      </w:r>
      <w:r w:rsidR="00F86ECE">
        <w:rPr>
          <w:rFonts w:eastAsia="Malgun Gothic"/>
          <w:bCs/>
          <w:lang w:val="fr-FR"/>
        </w:rPr>
        <w:t xml:space="preserve">a fabrication </w:t>
      </w:r>
      <w:r w:rsidRPr="00CB0741">
        <w:rPr>
          <w:rFonts w:eastAsia="Malgun Gothic"/>
          <w:bCs/>
          <w:lang w:val="fr-FR"/>
        </w:rPr>
        <w:t>artisana</w:t>
      </w:r>
      <w:r w:rsidR="00F86ECE">
        <w:rPr>
          <w:rFonts w:eastAsia="Malgun Gothic"/>
          <w:bCs/>
          <w:lang w:val="fr-FR"/>
        </w:rPr>
        <w:t>le</w:t>
      </w:r>
      <w:r w:rsidRPr="00CB0741">
        <w:rPr>
          <w:rFonts w:eastAsia="Malgun Gothic"/>
          <w:bCs/>
          <w:lang w:val="fr-FR"/>
        </w:rPr>
        <w:t xml:space="preserve"> impliquait à la fois des femmes et des hommes dans les différentes phases de la fabrication et de la vente des blouses, révélant </w:t>
      </w:r>
      <w:r w:rsidR="00F86ECE">
        <w:rPr>
          <w:rFonts w:eastAsia="Malgun Gothic"/>
          <w:bCs/>
          <w:lang w:val="fr-FR"/>
        </w:rPr>
        <w:t xml:space="preserve">leurs </w:t>
      </w:r>
      <w:r w:rsidRPr="00CB0741">
        <w:rPr>
          <w:rFonts w:eastAsia="Malgun Gothic"/>
          <w:bCs/>
          <w:lang w:val="fr-FR"/>
        </w:rPr>
        <w:t>messages culturels. La délégation était convaincue que ce dossier satisfaisait à tous les critères, mais souhaitait demander aux États parties d</w:t>
      </w:r>
      <w:r w:rsidR="00923E72">
        <w:rPr>
          <w:rFonts w:eastAsia="Malgun Gothic"/>
          <w:bCs/>
          <w:lang w:val="fr-FR"/>
        </w:rPr>
        <w:t>’</w:t>
      </w:r>
      <w:r w:rsidRPr="00CB0741">
        <w:rPr>
          <w:rFonts w:eastAsia="Malgun Gothic"/>
          <w:bCs/>
          <w:lang w:val="fr-FR"/>
        </w:rPr>
        <w:t xml:space="preserve">apporter des éclaircissements supplémentaires </w:t>
      </w:r>
      <w:r w:rsidR="00306C1F">
        <w:rPr>
          <w:rFonts w:eastAsia="Malgun Gothic"/>
          <w:bCs/>
          <w:lang w:val="fr-FR"/>
        </w:rPr>
        <w:t xml:space="preserve">quant à </w:t>
      </w:r>
      <w:r w:rsidRPr="00CB0741">
        <w:rPr>
          <w:rFonts w:eastAsia="Malgun Gothic"/>
          <w:bCs/>
          <w:lang w:val="fr-FR"/>
        </w:rPr>
        <w:t>l</w:t>
      </w:r>
      <w:r w:rsidR="00AD7D1A">
        <w:rPr>
          <w:rFonts w:eastAsia="Malgun Gothic"/>
          <w:bCs/>
          <w:lang w:val="fr-FR"/>
        </w:rPr>
        <w:t>a participation</w:t>
      </w:r>
      <w:r w:rsidRPr="00CB0741">
        <w:rPr>
          <w:rFonts w:eastAsia="Malgun Gothic"/>
          <w:bCs/>
          <w:lang w:val="fr-FR"/>
        </w:rPr>
        <w:t xml:space="preserve"> directe des communautés </w:t>
      </w:r>
      <w:r w:rsidR="00AD7D1A">
        <w:rPr>
          <w:rFonts w:eastAsia="Malgun Gothic"/>
          <w:bCs/>
          <w:lang w:val="fr-FR"/>
        </w:rPr>
        <w:t xml:space="preserve">à </w:t>
      </w:r>
      <w:r w:rsidRPr="00CB0741">
        <w:rPr>
          <w:rFonts w:eastAsia="Malgun Gothic"/>
          <w:bCs/>
          <w:lang w:val="fr-FR"/>
        </w:rPr>
        <w:t>la planification et la mise en œuvre des mesures destinées à sauvegarder l</w:t>
      </w:r>
      <w:r w:rsidR="00923E72">
        <w:rPr>
          <w:rFonts w:eastAsia="Malgun Gothic"/>
          <w:bCs/>
          <w:lang w:val="fr-FR"/>
        </w:rPr>
        <w:t>’</w:t>
      </w:r>
      <w:r w:rsidRPr="00CB0741">
        <w:rPr>
          <w:rFonts w:eastAsia="Malgun Gothic"/>
          <w:bCs/>
          <w:lang w:val="fr-FR"/>
        </w:rPr>
        <w:t>élément. La délégation a expliqué qu</w:t>
      </w:r>
      <w:r w:rsidR="00923E72">
        <w:rPr>
          <w:rFonts w:eastAsia="Malgun Gothic"/>
          <w:bCs/>
          <w:lang w:val="fr-FR"/>
        </w:rPr>
        <w:t>’</w:t>
      </w:r>
      <w:r w:rsidRPr="00CB0741">
        <w:rPr>
          <w:rFonts w:eastAsia="Malgun Gothic"/>
          <w:bCs/>
          <w:lang w:val="fr-FR"/>
        </w:rPr>
        <w:t>elle avait demandé à une personne chargée du patrimoine en Roumanie ce que cette broderie signifiait pour les peuples des deux nations. Elle avait répondu que cette broderie est porteuse d</w:t>
      </w:r>
      <w:r w:rsidR="00923E72">
        <w:rPr>
          <w:rFonts w:eastAsia="Malgun Gothic"/>
          <w:bCs/>
          <w:lang w:val="fr-FR"/>
        </w:rPr>
        <w:t>’</w:t>
      </w:r>
      <w:r w:rsidRPr="00CB0741">
        <w:rPr>
          <w:rFonts w:eastAsia="Malgun Gothic"/>
          <w:bCs/>
          <w:lang w:val="fr-FR"/>
        </w:rPr>
        <w:t>une histoire de vie, car elle est utilisée pour la protection, la fertilité, la prospérité, c</w:t>
      </w:r>
      <w:r w:rsidR="00923E72">
        <w:rPr>
          <w:rFonts w:eastAsia="Malgun Gothic"/>
          <w:bCs/>
          <w:lang w:val="fr-FR"/>
        </w:rPr>
        <w:t>’</w:t>
      </w:r>
      <w:r w:rsidRPr="00CB0741">
        <w:rPr>
          <w:rFonts w:eastAsia="Malgun Gothic"/>
          <w:bCs/>
          <w:lang w:val="fr-FR"/>
        </w:rPr>
        <w:t>est un temple porté par son propre détenteur. De nos jours, cette tradition était transmise comme un véritable patrimoine vivant. Traditionnellement, ces blouses étaient brûlées après usage. Elles existaient aujourd</w:t>
      </w:r>
      <w:r w:rsidR="00923E72">
        <w:rPr>
          <w:rFonts w:eastAsia="Malgun Gothic"/>
          <w:bCs/>
          <w:lang w:val="fr-FR"/>
        </w:rPr>
        <w:t>’</w:t>
      </w:r>
      <w:r w:rsidRPr="00CB0741">
        <w:rPr>
          <w:rFonts w:eastAsia="Malgun Gothic"/>
          <w:bCs/>
          <w:lang w:val="fr-FR"/>
        </w:rPr>
        <w:t>hui parce qu</w:t>
      </w:r>
      <w:r w:rsidR="00923E72">
        <w:rPr>
          <w:rFonts w:eastAsia="Malgun Gothic"/>
          <w:bCs/>
          <w:lang w:val="fr-FR"/>
        </w:rPr>
        <w:t>’</w:t>
      </w:r>
      <w:r w:rsidRPr="00CB0741">
        <w:rPr>
          <w:rFonts w:eastAsia="Malgun Gothic"/>
          <w:bCs/>
          <w:lang w:val="fr-FR"/>
        </w:rPr>
        <w:t>elles sont un héritage vivant, transmis de génération en génération, passant ce grand savoir à d</w:t>
      </w:r>
      <w:r w:rsidR="00923E72">
        <w:rPr>
          <w:rFonts w:eastAsia="Malgun Gothic"/>
          <w:bCs/>
          <w:lang w:val="fr-FR"/>
        </w:rPr>
        <w:t>’</w:t>
      </w:r>
      <w:r w:rsidRPr="00CB0741">
        <w:rPr>
          <w:rFonts w:eastAsia="Malgun Gothic"/>
          <w:bCs/>
          <w:lang w:val="fr-FR"/>
        </w:rPr>
        <w:t>autres, comme en témoignaient les deux représentantes des deux délégations qui la portaient magnifiquement.</w:t>
      </w:r>
    </w:p>
    <w:p w14:paraId="4ED4550E" w14:textId="1E3D7B18" w:rsidR="00F86ECE" w:rsidRDefault="00F86EC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F86ECE">
        <w:rPr>
          <w:rFonts w:eastAsia="Malgun Gothic"/>
          <w:bCs/>
          <w:lang w:val="fr-FR"/>
        </w:rPr>
        <w:t xml:space="preserve">La délégation de la </w:t>
      </w:r>
      <w:r w:rsidRPr="00702497">
        <w:rPr>
          <w:rFonts w:eastAsia="Malgun Gothic"/>
          <w:b/>
          <w:lang w:val="fr-FR"/>
        </w:rPr>
        <w:t>Roumanie</w:t>
      </w:r>
      <w:r w:rsidRPr="00F86ECE">
        <w:rPr>
          <w:rFonts w:eastAsia="Malgun Gothic"/>
          <w:bCs/>
          <w:lang w:val="fr-FR"/>
        </w:rPr>
        <w:t xml:space="preserve"> a invité son expert,</w:t>
      </w:r>
      <w:r>
        <w:rPr>
          <w:rFonts w:eastAsia="Malgun Gothic"/>
          <w:bCs/>
          <w:lang w:val="fr-FR"/>
        </w:rPr>
        <w:t xml:space="preserve"> M</w:t>
      </w:r>
      <w:r w:rsidRPr="00702497">
        <w:rPr>
          <w:rFonts w:eastAsia="Malgun Gothic"/>
          <w:bCs/>
          <w:vertAlign w:val="superscript"/>
          <w:lang w:val="fr-FR"/>
        </w:rPr>
        <w:t>me</w:t>
      </w:r>
      <w:r>
        <w:rPr>
          <w:rFonts w:eastAsia="Malgun Gothic"/>
          <w:bCs/>
          <w:lang w:val="fr-FR"/>
        </w:rPr>
        <w:t> </w:t>
      </w:r>
      <w:r w:rsidRPr="00F86ECE">
        <w:rPr>
          <w:rFonts w:eastAsia="Malgun Gothic"/>
          <w:bCs/>
          <w:lang w:val="fr-FR"/>
        </w:rPr>
        <w:t>Ioana-Otilia Baskerville, à expliquer le dossier. [Deuxième orat</w:t>
      </w:r>
      <w:r w:rsidR="00DC2A42">
        <w:rPr>
          <w:rFonts w:eastAsia="Malgun Gothic"/>
          <w:bCs/>
          <w:lang w:val="fr-FR"/>
        </w:rPr>
        <w:t>rice</w:t>
      </w:r>
      <w:r w:rsidRPr="00F86ECE">
        <w:rPr>
          <w:rFonts w:eastAsia="Malgun Gothic"/>
          <w:bCs/>
          <w:lang w:val="fr-FR"/>
        </w:rPr>
        <w:t>] Elle a remercié l</w:t>
      </w:r>
      <w:r w:rsidR="00923E72">
        <w:rPr>
          <w:rFonts w:eastAsia="Malgun Gothic"/>
          <w:bCs/>
          <w:lang w:val="fr-FR"/>
        </w:rPr>
        <w:t>’</w:t>
      </w:r>
      <w:r w:rsidRPr="00F86ECE">
        <w:rPr>
          <w:rFonts w:eastAsia="Malgun Gothic"/>
          <w:bCs/>
          <w:lang w:val="fr-FR"/>
        </w:rPr>
        <w:t>Arabie</w:t>
      </w:r>
      <w:r w:rsidR="00306C1F">
        <w:rPr>
          <w:rFonts w:eastAsia="Malgun Gothic"/>
          <w:bCs/>
          <w:lang w:val="fr-FR"/>
        </w:rPr>
        <w:t> </w:t>
      </w:r>
      <w:r w:rsidRPr="00F86ECE">
        <w:rPr>
          <w:rFonts w:eastAsia="Malgun Gothic"/>
          <w:bCs/>
          <w:lang w:val="fr-FR"/>
        </w:rPr>
        <w:t>saoudite pour l</w:t>
      </w:r>
      <w:r w:rsidR="00923E72">
        <w:rPr>
          <w:rFonts w:eastAsia="Malgun Gothic"/>
          <w:bCs/>
          <w:lang w:val="fr-FR"/>
        </w:rPr>
        <w:t>’</w:t>
      </w:r>
      <w:r w:rsidRPr="00F86ECE">
        <w:rPr>
          <w:rFonts w:eastAsia="Malgun Gothic"/>
          <w:bCs/>
          <w:lang w:val="fr-FR"/>
        </w:rPr>
        <w:t>attention portée à la compréhension de l</w:t>
      </w:r>
      <w:r w:rsidR="00923E72">
        <w:rPr>
          <w:rFonts w:eastAsia="Malgun Gothic"/>
          <w:bCs/>
          <w:lang w:val="fr-FR"/>
        </w:rPr>
        <w:t>’</w:t>
      </w:r>
      <w:r w:rsidRPr="00F86ECE">
        <w:rPr>
          <w:rFonts w:eastAsia="Malgun Gothic"/>
          <w:bCs/>
          <w:lang w:val="fr-FR"/>
        </w:rPr>
        <w:t>élément et a expliqué que l</w:t>
      </w:r>
      <w:r w:rsidR="00923E72">
        <w:rPr>
          <w:rFonts w:eastAsia="Malgun Gothic"/>
          <w:bCs/>
          <w:lang w:val="fr-FR"/>
        </w:rPr>
        <w:t>’</w:t>
      </w:r>
      <w:r w:rsidRPr="00F86ECE">
        <w:rPr>
          <w:rFonts w:eastAsia="Malgun Gothic"/>
          <w:bCs/>
          <w:lang w:val="fr-FR"/>
        </w:rPr>
        <w:t xml:space="preserve">idée de la candidature de cet élément avait été lancée cinq ans </w:t>
      </w:r>
      <w:r w:rsidR="00DC2A42">
        <w:rPr>
          <w:rFonts w:eastAsia="Malgun Gothic"/>
          <w:bCs/>
          <w:lang w:val="fr-FR"/>
        </w:rPr>
        <w:t xml:space="preserve">plus tôt </w:t>
      </w:r>
      <w:r w:rsidRPr="00F86ECE">
        <w:rPr>
          <w:rFonts w:eastAsia="Malgun Gothic"/>
          <w:bCs/>
          <w:lang w:val="fr-FR"/>
        </w:rPr>
        <w:t>par les groupes et les associations de praticiens et d</w:t>
      </w:r>
      <w:r w:rsidR="00923E72">
        <w:rPr>
          <w:rFonts w:eastAsia="Malgun Gothic"/>
          <w:bCs/>
          <w:lang w:val="fr-FR"/>
        </w:rPr>
        <w:t>’</w:t>
      </w:r>
      <w:r w:rsidRPr="00F86ECE">
        <w:rPr>
          <w:rFonts w:eastAsia="Malgun Gothic"/>
          <w:bCs/>
          <w:lang w:val="fr-FR"/>
        </w:rPr>
        <w:t xml:space="preserve">admirateurs de cet artisanat dans les deux pays. </w:t>
      </w:r>
      <w:r w:rsidR="00F1131A">
        <w:rPr>
          <w:rFonts w:eastAsia="Malgun Gothic"/>
          <w:bCs/>
          <w:lang w:val="fr-FR"/>
        </w:rPr>
        <w:t>Pour ces derniers, c</w:t>
      </w:r>
      <w:r w:rsidR="00923E72">
        <w:rPr>
          <w:rFonts w:eastAsia="Malgun Gothic"/>
          <w:bCs/>
          <w:lang w:val="fr-FR"/>
        </w:rPr>
        <w:t>’</w:t>
      </w:r>
      <w:r w:rsidRPr="00F86ECE">
        <w:rPr>
          <w:rFonts w:eastAsia="Malgun Gothic"/>
          <w:bCs/>
          <w:lang w:val="fr-FR"/>
        </w:rPr>
        <w:t xml:space="preserve">était </w:t>
      </w:r>
      <w:r w:rsidR="00DC2A42">
        <w:rPr>
          <w:rFonts w:eastAsia="Malgun Gothic"/>
          <w:bCs/>
          <w:lang w:val="fr-FR"/>
        </w:rPr>
        <w:t xml:space="preserve">un </w:t>
      </w:r>
      <w:r w:rsidRPr="00F86ECE">
        <w:rPr>
          <w:rFonts w:eastAsia="Malgun Gothic"/>
          <w:bCs/>
          <w:lang w:val="fr-FR"/>
        </w:rPr>
        <w:t xml:space="preserve">besoin et </w:t>
      </w:r>
      <w:r w:rsidR="00DC2A42">
        <w:rPr>
          <w:rFonts w:eastAsia="Malgun Gothic"/>
          <w:bCs/>
          <w:lang w:val="fr-FR"/>
        </w:rPr>
        <w:t xml:space="preserve">un </w:t>
      </w:r>
      <w:r w:rsidRPr="00F86ECE">
        <w:rPr>
          <w:rFonts w:eastAsia="Malgun Gothic"/>
          <w:bCs/>
          <w:lang w:val="fr-FR"/>
        </w:rPr>
        <w:t>souhait de voir cet artisanat reconnu par l</w:t>
      </w:r>
      <w:r w:rsidR="00923E72">
        <w:rPr>
          <w:rFonts w:eastAsia="Malgun Gothic"/>
          <w:bCs/>
          <w:lang w:val="fr-FR"/>
        </w:rPr>
        <w:t>’</w:t>
      </w:r>
      <w:r w:rsidRPr="00F86ECE">
        <w:rPr>
          <w:rFonts w:eastAsia="Malgun Gothic"/>
          <w:bCs/>
          <w:lang w:val="fr-FR"/>
        </w:rPr>
        <w:t xml:space="preserve">UNESCO comme un message fort de leur identité culturelle et de leur pratique quotidienne, </w:t>
      </w:r>
      <w:r w:rsidR="00DC2A42">
        <w:rPr>
          <w:rFonts w:eastAsia="Malgun Gothic"/>
          <w:bCs/>
          <w:lang w:val="fr-FR"/>
        </w:rPr>
        <w:t>témoin de</w:t>
      </w:r>
      <w:r w:rsidRPr="00F86ECE">
        <w:rPr>
          <w:rFonts w:eastAsia="Malgun Gothic"/>
          <w:bCs/>
          <w:lang w:val="fr-FR"/>
        </w:rPr>
        <w:t xml:space="preserve"> leur croyance constante en la capacité de l</w:t>
      </w:r>
      <w:r w:rsidR="00923E72">
        <w:rPr>
          <w:rFonts w:eastAsia="Malgun Gothic"/>
          <w:bCs/>
          <w:lang w:val="fr-FR"/>
        </w:rPr>
        <w:t>’</w:t>
      </w:r>
      <w:r w:rsidRPr="00F86ECE">
        <w:rPr>
          <w:rFonts w:eastAsia="Malgun Gothic"/>
          <w:bCs/>
          <w:lang w:val="fr-FR"/>
        </w:rPr>
        <w:t>élément à représenter le patrimoine vivant de la Roumanie et de la République de Moldova. La délégation n</w:t>
      </w:r>
      <w:r w:rsidR="00923E72">
        <w:rPr>
          <w:rFonts w:eastAsia="Malgun Gothic"/>
          <w:bCs/>
          <w:lang w:val="fr-FR"/>
        </w:rPr>
        <w:t>’</w:t>
      </w:r>
      <w:r w:rsidRPr="00F86ECE">
        <w:rPr>
          <w:rFonts w:eastAsia="Malgun Gothic"/>
          <w:bCs/>
          <w:lang w:val="fr-FR"/>
        </w:rPr>
        <w:t>était qu</w:t>
      </w:r>
      <w:r w:rsidR="00923E72">
        <w:rPr>
          <w:rFonts w:eastAsia="Malgun Gothic"/>
          <w:bCs/>
          <w:lang w:val="fr-FR"/>
        </w:rPr>
        <w:t>’</w:t>
      </w:r>
      <w:r w:rsidRPr="00F86ECE">
        <w:rPr>
          <w:rFonts w:eastAsia="Malgun Gothic"/>
          <w:bCs/>
          <w:lang w:val="fr-FR"/>
        </w:rPr>
        <w:t>un messager des détenteurs et des praticiens de la société civile. Comme l</w:t>
      </w:r>
      <w:r w:rsidR="00923E72">
        <w:rPr>
          <w:rFonts w:eastAsia="Malgun Gothic"/>
          <w:bCs/>
          <w:lang w:val="fr-FR"/>
        </w:rPr>
        <w:t>’</w:t>
      </w:r>
      <w:r w:rsidRPr="00F86ECE">
        <w:rPr>
          <w:rFonts w:eastAsia="Malgun Gothic"/>
          <w:bCs/>
          <w:lang w:val="fr-FR"/>
        </w:rPr>
        <w:t>avait souligné le dossier de candidature, les communautés jouent un rôle important dans la préservation et le développement de la tradition de la couture et de la broderie, puisqu</w:t>
      </w:r>
      <w:r w:rsidR="00923E72">
        <w:rPr>
          <w:rFonts w:eastAsia="Malgun Gothic"/>
          <w:bCs/>
          <w:lang w:val="fr-FR"/>
        </w:rPr>
        <w:t>’</w:t>
      </w:r>
      <w:r w:rsidRPr="00F86ECE">
        <w:rPr>
          <w:rFonts w:eastAsia="Malgun Gothic"/>
          <w:bCs/>
          <w:lang w:val="fr-FR"/>
        </w:rPr>
        <w:t xml:space="preserve">elles créent et innovent constamment grâce à leur connaissance approfondie des techniques et à leur propre talent. </w:t>
      </w:r>
      <w:r w:rsidR="003E7982">
        <w:rPr>
          <w:rFonts w:eastAsia="Malgun Gothic"/>
          <w:bCs/>
          <w:lang w:val="fr-FR"/>
        </w:rPr>
        <w:t xml:space="preserve">Notant </w:t>
      </w:r>
      <w:r w:rsidRPr="00F86ECE">
        <w:rPr>
          <w:rFonts w:eastAsia="Malgun Gothic"/>
          <w:bCs/>
          <w:lang w:val="fr-FR"/>
        </w:rPr>
        <w:t>que l</w:t>
      </w:r>
      <w:r w:rsidR="00923E72">
        <w:rPr>
          <w:rFonts w:eastAsia="Malgun Gothic"/>
          <w:bCs/>
          <w:lang w:val="fr-FR"/>
        </w:rPr>
        <w:t>’</w:t>
      </w:r>
      <w:r w:rsidRPr="00F86ECE">
        <w:rPr>
          <w:rFonts w:eastAsia="Malgun Gothic"/>
          <w:bCs/>
          <w:lang w:val="fr-FR"/>
        </w:rPr>
        <w:t>Organe d</w:t>
      </w:r>
      <w:r w:rsidR="00923E72">
        <w:rPr>
          <w:rFonts w:eastAsia="Malgun Gothic"/>
          <w:bCs/>
          <w:lang w:val="fr-FR"/>
        </w:rPr>
        <w:t>’</w:t>
      </w:r>
      <w:r w:rsidRPr="00F86ECE">
        <w:rPr>
          <w:rFonts w:eastAsia="Malgun Gothic"/>
          <w:bCs/>
          <w:lang w:val="fr-FR"/>
        </w:rPr>
        <w:t>évaluation n</w:t>
      </w:r>
      <w:r w:rsidR="00923E72">
        <w:rPr>
          <w:rFonts w:eastAsia="Malgun Gothic"/>
          <w:bCs/>
          <w:lang w:val="fr-FR"/>
        </w:rPr>
        <w:t>’</w:t>
      </w:r>
      <w:r w:rsidRPr="00F86ECE">
        <w:rPr>
          <w:rFonts w:eastAsia="Malgun Gothic"/>
          <w:bCs/>
          <w:lang w:val="fr-FR"/>
        </w:rPr>
        <w:t xml:space="preserve">utilisait que les informations contenues dans le dossier de candidature pour </w:t>
      </w:r>
      <w:r w:rsidR="003E7982">
        <w:rPr>
          <w:rFonts w:eastAsia="Malgun Gothic"/>
          <w:bCs/>
          <w:lang w:val="fr-FR"/>
        </w:rPr>
        <w:t xml:space="preserve">prendre sa </w:t>
      </w:r>
      <w:r w:rsidRPr="00F86ECE">
        <w:rPr>
          <w:rFonts w:eastAsia="Malgun Gothic"/>
          <w:bCs/>
          <w:lang w:val="fr-FR"/>
        </w:rPr>
        <w:t xml:space="preserve">décision, </w:t>
      </w:r>
      <w:r w:rsidR="00DC2A42">
        <w:rPr>
          <w:rFonts w:eastAsia="Malgun Gothic"/>
          <w:bCs/>
          <w:lang w:val="fr-FR"/>
        </w:rPr>
        <w:t>M</w:t>
      </w:r>
      <w:r w:rsidR="00DC2A42" w:rsidRPr="00497B98">
        <w:rPr>
          <w:rFonts w:eastAsia="Malgun Gothic"/>
          <w:bCs/>
          <w:vertAlign w:val="superscript"/>
          <w:lang w:val="fr-FR"/>
        </w:rPr>
        <w:t>me</w:t>
      </w:r>
      <w:r w:rsidR="00DC2A42">
        <w:rPr>
          <w:rFonts w:eastAsia="Malgun Gothic"/>
          <w:bCs/>
          <w:lang w:val="fr-FR"/>
        </w:rPr>
        <w:t> </w:t>
      </w:r>
      <w:r w:rsidRPr="00F86ECE">
        <w:rPr>
          <w:rFonts w:eastAsia="Malgun Gothic"/>
          <w:bCs/>
          <w:lang w:val="fr-FR"/>
        </w:rPr>
        <w:t xml:space="preserve">Baskerville a lu ce qui suit : </w:t>
      </w:r>
      <w:r w:rsidR="00DC2A42">
        <w:rPr>
          <w:rFonts w:eastAsia="Malgun Gothic"/>
          <w:bCs/>
          <w:lang w:val="fr-FR"/>
        </w:rPr>
        <w:t>« L</w:t>
      </w:r>
      <w:r w:rsidRPr="00F86ECE">
        <w:rPr>
          <w:rFonts w:eastAsia="Malgun Gothic"/>
          <w:bCs/>
          <w:lang w:val="fr-FR"/>
        </w:rPr>
        <w:t xml:space="preserve">es artisanes ont </w:t>
      </w:r>
      <w:r w:rsidR="00DC2A42">
        <w:rPr>
          <w:rFonts w:eastAsia="Malgun Gothic"/>
          <w:bCs/>
          <w:lang w:val="fr-FR"/>
        </w:rPr>
        <w:t xml:space="preserve">suggéré plusieurs </w:t>
      </w:r>
      <w:r w:rsidRPr="00F86ECE">
        <w:rPr>
          <w:rFonts w:eastAsia="Malgun Gothic"/>
          <w:bCs/>
          <w:lang w:val="fr-FR"/>
        </w:rPr>
        <w:t xml:space="preserve">mesures et activités locales et régionales pour le plan de sauvegarde (collaborations avec </w:t>
      </w:r>
      <w:r w:rsidR="00DC2A42">
        <w:rPr>
          <w:rFonts w:eastAsia="Malgun Gothic"/>
          <w:bCs/>
          <w:lang w:val="fr-FR"/>
        </w:rPr>
        <w:t>d</w:t>
      </w:r>
      <w:r w:rsidRPr="00F86ECE">
        <w:rPr>
          <w:rFonts w:eastAsia="Malgun Gothic"/>
          <w:bCs/>
          <w:lang w:val="fr-FR"/>
        </w:rPr>
        <w:t xml:space="preserve">es musées locaux et </w:t>
      </w:r>
      <w:r w:rsidR="00DC2A42">
        <w:rPr>
          <w:rFonts w:eastAsia="Malgun Gothic"/>
          <w:bCs/>
          <w:lang w:val="fr-FR"/>
        </w:rPr>
        <w:t>d</w:t>
      </w:r>
      <w:r w:rsidRPr="00F86ECE">
        <w:rPr>
          <w:rFonts w:eastAsia="Malgun Gothic"/>
          <w:bCs/>
          <w:lang w:val="fr-FR"/>
        </w:rPr>
        <w:t>es établissements d</w:t>
      </w:r>
      <w:r w:rsidR="00DC2A42">
        <w:rPr>
          <w:rFonts w:eastAsia="Malgun Gothic"/>
          <w:bCs/>
          <w:lang w:val="fr-FR"/>
        </w:rPr>
        <w:t>e formation</w:t>
      </w:r>
      <w:r w:rsidRPr="00F86ECE">
        <w:rPr>
          <w:rFonts w:eastAsia="Malgun Gothic"/>
          <w:bCs/>
          <w:lang w:val="fr-FR"/>
        </w:rPr>
        <w:t>, édition de matériel promotionnel, particip</w:t>
      </w:r>
      <w:r w:rsidR="00DC2A42">
        <w:rPr>
          <w:rFonts w:eastAsia="Malgun Gothic"/>
          <w:bCs/>
          <w:lang w:val="fr-FR"/>
        </w:rPr>
        <w:t xml:space="preserve">ation </w:t>
      </w:r>
      <w:r w:rsidR="003E7982">
        <w:rPr>
          <w:rFonts w:eastAsia="Malgun Gothic"/>
          <w:bCs/>
          <w:lang w:val="fr-FR"/>
        </w:rPr>
        <w:t xml:space="preserve">encouragée, </w:t>
      </w:r>
      <w:r w:rsidR="00DC2A42">
        <w:rPr>
          <w:rFonts w:eastAsia="Malgun Gothic"/>
          <w:bCs/>
          <w:lang w:val="fr-FR"/>
        </w:rPr>
        <w:t>avec leurs apprentis</w:t>
      </w:r>
      <w:r w:rsidR="003E7982">
        <w:rPr>
          <w:rFonts w:eastAsia="Malgun Gothic"/>
          <w:bCs/>
          <w:lang w:val="fr-FR"/>
        </w:rPr>
        <w:t>,</w:t>
      </w:r>
      <w:r w:rsidRPr="00F86ECE">
        <w:rPr>
          <w:rFonts w:eastAsia="Malgun Gothic"/>
          <w:bCs/>
          <w:lang w:val="fr-FR"/>
        </w:rPr>
        <w:t xml:space="preserve"> à des foires et autres expositions</w:t>
      </w:r>
      <w:r w:rsidR="00DC2A42">
        <w:rPr>
          <w:rFonts w:eastAsia="Malgun Gothic"/>
          <w:bCs/>
          <w:lang w:val="fr-FR"/>
        </w:rPr>
        <w:t>)</w:t>
      </w:r>
      <w:r w:rsidR="002B3ECA">
        <w:rPr>
          <w:rFonts w:eastAsia="Malgun Gothic"/>
          <w:bCs/>
          <w:lang w:val="fr-FR"/>
        </w:rPr>
        <w:t>.</w:t>
      </w:r>
      <w:r w:rsidR="00DC2A42">
        <w:rPr>
          <w:rFonts w:eastAsia="Malgun Gothic"/>
          <w:bCs/>
          <w:lang w:val="fr-FR"/>
        </w:rPr>
        <w:t> »</w:t>
      </w:r>
      <w:r w:rsidRPr="00F86ECE">
        <w:rPr>
          <w:rFonts w:eastAsia="Malgun Gothic"/>
          <w:bCs/>
          <w:lang w:val="fr-FR"/>
        </w:rPr>
        <w:t xml:space="preserve"> Le plan de sauvegarde</w:t>
      </w:r>
      <w:r w:rsidR="00DC2A42">
        <w:rPr>
          <w:rFonts w:eastAsia="Malgun Gothic"/>
          <w:bCs/>
          <w:lang w:val="fr-FR"/>
        </w:rPr>
        <w:t xml:space="preserve">, </w:t>
      </w:r>
      <w:r w:rsidRPr="00F86ECE">
        <w:rPr>
          <w:rFonts w:eastAsia="Malgun Gothic"/>
          <w:bCs/>
          <w:lang w:val="fr-FR"/>
        </w:rPr>
        <w:t>pleinement soutenu par l</w:t>
      </w:r>
      <w:r w:rsidR="00923E72">
        <w:rPr>
          <w:rFonts w:eastAsia="Malgun Gothic"/>
          <w:bCs/>
          <w:lang w:val="fr-FR"/>
        </w:rPr>
        <w:t>’</w:t>
      </w:r>
      <w:r w:rsidRPr="00F86ECE">
        <w:rPr>
          <w:rFonts w:eastAsia="Malgun Gothic"/>
          <w:bCs/>
          <w:lang w:val="fr-FR"/>
        </w:rPr>
        <w:t>État et mentionné dans la proposition d</w:t>
      </w:r>
      <w:r w:rsidR="00923E72">
        <w:rPr>
          <w:rFonts w:eastAsia="Malgun Gothic"/>
          <w:bCs/>
          <w:lang w:val="fr-FR"/>
        </w:rPr>
        <w:t>’</w:t>
      </w:r>
      <w:r w:rsidRPr="00F86ECE">
        <w:rPr>
          <w:rFonts w:eastAsia="Malgun Gothic"/>
          <w:bCs/>
          <w:lang w:val="fr-FR"/>
        </w:rPr>
        <w:t>amendement</w:t>
      </w:r>
      <w:r w:rsidR="00DC2A42">
        <w:rPr>
          <w:rFonts w:eastAsia="Malgun Gothic"/>
          <w:bCs/>
          <w:lang w:val="fr-FR"/>
        </w:rPr>
        <w:t xml:space="preserve">, </w:t>
      </w:r>
      <w:r w:rsidRPr="00F86ECE">
        <w:rPr>
          <w:rFonts w:eastAsia="Malgun Gothic"/>
          <w:bCs/>
          <w:lang w:val="fr-FR"/>
        </w:rPr>
        <w:t>était le résultat de cette vaste approche ascendante et d</w:t>
      </w:r>
      <w:r w:rsidR="00923E72">
        <w:rPr>
          <w:rFonts w:eastAsia="Malgun Gothic"/>
          <w:bCs/>
          <w:lang w:val="fr-FR"/>
        </w:rPr>
        <w:t>’</w:t>
      </w:r>
      <w:r w:rsidRPr="00F86ECE">
        <w:rPr>
          <w:rFonts w:eastAsia="Malgun Gothic"/>
          <w:bCs/>
          <w:lang w:val="fr-FR"/>
        </w:rPr>
        <w:t>un mouvement mené par la communauté, qu</w:t>
      </w:r>
      <w:r w:rsidR="00DC2A42">
        <w:rPr>
          <w:rFonts w:eastAsia="Malgun Gothic"/>
          <w:bCs/>
          <w:lang w:val="fr-FR"/>
        </w:rPr>
        <w:t>e celle-ci</w:t>
      </w:r>
      <w:r w:rsidRPr="00F86ECE">
        <w:rPr>
          <w:rFonts w:eastAsia="Malgun Gothic"/>
          <w:bCs/>
          <w:lang w:val="fr-FR"/>
        </w:rPr>
        <w:t xml:space="preserve"> a</w:t>
      </w:r>
      <w:r w:rsidR="00DC2A42">
        <w:rPr>
          <w:rFonts w:eastAsia="Malgun Gothic"/>
          <w:bCs/>
          <w:lang w:val="fr-FR"/>
        </w:rPr>
        <w:t>vait</w:t>
      </w:r>
      <w:r w:rsidRPr="00F86ECE">
        <w:rPr>
          <w:rFonts w:eastAsia="Malgun Gothic"/>
          <w:bCs/>
          <w:lang w:val="fr-FR"/>
        </w:rPr>
        <w:t xml:space="preserve"> activement encouragé à chaque étape du processus de candidature.</w:t>
      </w:r>
    </w:p>
    <w:p w14:paraId="39A9E601" w14:textId="424E1F7C" w:rsidR="00DC2A42" w:rsidRDefault="00E37F9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remercié l</w:t>
      </w:r>
      <w:r w:rsidR="00923E72">
        <w:rPr>
          <w:rFonts w:eastAsia="Malgun Gothic"/>
          <w:bCs/>
          <w:lang w:val="fr-FR"/>
        </w:rPr>
        <w:t>’</w:t>
      </w:r>
      <w:r>
        <w:rPr>
          <w:rFonts w:eastAsia="Malgun Gothic"/>
          <w:bCs/>
          <w:lang w:val="fr-FR"/>
        </w:rPr>
        <w:t>Arabie</w:t>
      </w:r>
      <w:r w:rsidR="00F1131A">
        <w:rPr>
          <w:rFonts w:eastAsia="Malgun Gothic"/>
          <w:bCs/>
          <w:lang w:val="fr-FR"/>
        </w:rPr>
        <w:t> </w:t>
      </w:r>
      <w:r>
        <w:rPr>
          <w:rFonts w:eastAsia="Malgun Gothic"/>
          <w:bCs/>
          <w:lang w:val="fr-FR"/>
        </w:rPr>
        <w:t>saoudite pour sa présentation de l</w:t>
      </w:r>
      <w:r w:rsidR="00923E72">
        <w:rPr>
          <w:rFonts w:eastAsia="Malgun Gothic"/>
          <w:bCs/>
          <w:lang w:val="fr-FR"/>
        </w:rPr>
        <w:t>’</w:t>
      </w:r>
      <w:r>
        <w:rPr>
          <w:rFonts w:eastAsia="Malgun Gothic"/>
          <w:bCs/>
          <w:lang w:val="fr-FR"/>
        </w:rPr>
        <w:t>élément, qui venait du fond du cœur.</w:t>
      </w:r>
    </w:p>
    <w:p w14:paraId="5ACABC3F" w14:textId="417AA9AC" w:rsidR="00E37F9A" w:rsidRDefault="00E37F9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37F9A">
        <w:rPr>
          <w:rFonts w:eastAsia="Malgun Gothic"/>
          <w:bCs/>
          <w:lang w:val="fr-FR"/>
        </w:rPr>
        <w:t xml:space="preserve">La délégation du </w:t>
      </w:r>
      <w:r w:rsidRPr="00702497">
        <w:rPr>
          <w:rFonts w:eastAsia="Malgun Gothic"/>
          <w:b/>
          <w:lang w:val="fr-FR"/>
        </w:rPr>
        <w:t>Viet Nam</w:t>
      </w:r>
      <w:r w:rsidR="00EE749F" w:rsidRPr="00702497">
        <w:rPr>
          <w:rFonts w:eastAsia="Malgun Gothic"/>
          <w:bCs/>
          <w:lang w:val="fr-FR"/>
        </w:rPr>
        <w:t>, qui</w:t>
      </w:r>
      <w:r w:rsidRPr="00E37F9A">
        <w:rPr>
          <w:rFonts w:eastAsia="Malgun Gothic"/>
          <w:bCs/>
          <w:lang w:val="fr-FR"/>
        </w:rPr>
        <w:t xml:space="preserve"> appréci</w:t>
      </w:r>
      <w:r>
        <w:rPr>
          <w:rFonts w:eastAsia="Malgun Gothic"/>
          <w:bCs/>
          <w:lang w:val="fr-FR"/>
        </w:rPr>
        <w:t>ait</w:t>
      </w:r>
      <w:r w:rsidRPr="00E37F9A">
        <w:rPr>
          <w:rFonts w:eastAsia="Malgun Gothic"/>
          <w:bCs/>
          <w:lang w:val="fr-FR"/>
        </w:rPr>
        <w:t xml:space="preserve"> le travail de l</w:t>
      </w:r>
      <w:r w:rsidR="00923E72">
        <w:rPr>
          <w:rFonts w:eastAsia="Malgun Gothic"/>
          <w:bCs/>
          <w:lang w:val="fr-FR"/>
        </w:rPr>
        <w:t>’</w:t>
      </w:r>
      <w:r w:rsidRPr="00E37F9A">
        <w:rPr>
          <w:rFonts w:eastAsia="Malgun Gothic"/>
          <w:bCs/>
          <w:lang w:val="fr-FR"/>
        </w:rPr>
        <w:t>Organe d</w:t>
      </w:r>
      <w:r w:rsidR="00923E72">
        <w:rPr>
          <w:rFonts w:eastAsia="Malgun Gothic"/>
          <w:bCs/>
          <w:lang w:val="fr-FR"/>
        </w:rPr>
        <w:t>’</w:t>
      </w:r>
      <w:r w:rsidRPr="00E37F9A">
        <w:rPr>
          <w:rFonts w:eastAsia="Malgun Gothic"/>
          <w:bCs/>
          <w:lang w:val="fr-FR"/>
        </w:rPr>
        <w:t>évaluation</w:t>
      </w:r>
      <w:r w:rsidR="00EE749F">
        <w:rPr>
          <w:rFonts w:eastAsia="Malgun Gothic"/>
          <w:bCs/>
          <w:lang w:val="fr-FR"/>
        </w:rPr>
        <w:t xml:space="preserve">, </w:t>
      </w:r>
      <w:r w:rsidRPr="00E37F9A">
        <w:rPr>
          <w:rFonts w:eastAsia="Malgun Gothic"/>
          <w:bCs/>
          <w:lang w:val="fr-FR"/>
        </w:rPr>
        <w:t>s</w:t>
      </w:r>
      <w:r w:rsidR="00923E72">
        <w:rPr>
          <w:rFonts w:eastAsia="Malgun Gothic"/>
          <w:bCs/>
          <w:lang w:val="fr-FR"/>
        </w:rPr>
        <w:t>’</w:t>
      </w:r>
      <w:r w:rsidRPr="00E37F9A">
        <w:rPr>
          <w:rFonts w:eastAsia="Malgun Gothic"/>
          <w:bCs/>
          <w:lang w:val="fr-FR"/>
        </w:rPr>
        <w:t>est déclarée entièrement d</w:t>
      </w:r>
      <w:r w:rsidR="00923E72">
        <w:rPr>
          <w:rFonts w:eastAsia="Malgun Gothic"/>
          <w:bCs/>
          <w:lang w:val="fr-FR"/>
        </w:rPr>
        <w:t>’</w:t>
      </w:r>
      <w:r w:rsidRPr="00E37F9A">
        <w:rPr>
          <w:rFonts w:eastAsia="Malgun Gothic"/>
          <w:bCs/>
          <w:lang w:val="fr-FR"/>
        </w:rPr>
        <w:t>accord avec l</w:t>
      </w:r>
      <w:r w:rsidR="00923E72">
        <w:rPr>
          <w:rFonts w:eastAsia="Malgun Gothic"/>
          <w:bCs/>
          <w:lang w:val="fr-FR"/>
        </w:rPr>
        <w:t>’</w:t>
      </w:r>
      <w:r w:rsidRPr="00E37F9A">
        <w:rPr>
          <w:rFonts w:eastAsia="Malgun Gothic"/>
          <w:bCs/>
          <w:lang w:val="fr-FR"/>
        </w:rPr>
        <w:t xml:space="preserve">Arabie saoudite. Elle </w:t>
      </w:r>
      <w:r>
        <w:rPr>
          <w:rFonts w:eastAsia="Malgun Gothic"/>
          <w:bCs/>
          <w:lang w:val="fr-FR"/>
        </w:rPr>
        <w:t xml:space="preserve">soutenait </w:t>
      </w:r>
      <w:r w:rsidRPr="00E37F9A">
        <w:rPr>
          <w:rFonts w:eastAsia="Malgun Gothic"/>
          <w:bCs/>
          <w:lang w:val="fr-FR"/>
        </w:rPr>
        <w:t>donc</w:t>
      </w:r>
      <w:r>
        <w:rPr>
          <w:rFonts w:eastAsia="Malgun Gothic"/>
          <w:bCs/>
          <w:lang w:val="fr-FR"/>
        </w:rPr>
        <w:t xml:space="preserve"> </w:t>
      </w:r>
      <w:r w:rsidRPr="00E37F9A">
        <w:rPr>
          <w:rFonts w:eastAsia="Malgun Gothic"/>
          <w:bCs/>
          <w:lang w:val="fr-FR"/>
        </w:rPr>
        <w:t>l</w:t>
      </w:r>
      <w:r w:rsidR="00923E72">
        <w:rPr>
          <w:rFonts w:eastAsia="Malgun Gothic"/>
          <w:bCs/>
          <w:lang w:val="fr-FR"/>
        </w:rPr>
        <w:t>’</w:t>
      </w:r>
      <w:r w:rsidRPr="00E37F9A">
        <w:rPr>
          <w:rFonts w:eastAsia="Malgun Gothic"/>
          <w:bCs/>
          <w:lang w:val="fr-FR"/>
        </w:rPr>
        <w:t>inscription de cet élément sur la Liste représentative et estim</w:t>
      </w:r>
      <w:r>
        <w:rPr>
          <w:rFonts w:eastAsia="Malgun Gothic"/>
          <w:bCs/>
          <w:lang w:val="fr-FR"/>
        </w:rPr>
        <w:t>ait</w:t>
      </w:r>
      <w:r w:rsidRPr="00E37F9A">
        <w:rPr>
          <w:rFonts w:eastAsia="Malgun Gothic"/>
          <w:bCs/>
          <w:lang w:val="fr-FR"/>
        </w:rPr>
        <w:t xml:space="preserve"> que le dossier satisfaisait aux cinq critères.</w:t>
      </w:r>
    </w:p>
    <w:p w14:paraId="4404043B" w14:textId="297A70A6" w:rsidR="00E37F9A" w:rsidRDefault="00E37F9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37F9A">
        <w:rPr>
          <w:rFonts w:eastAsia="Malgun Gothic"/>
          <w:bCs/>
          <w:lang w:val="fr-FR"/>
        </w:rPr>
        <w:t xml:space="preserve">La délégation de la </w:t>
      </w:r>
      <w:r w:rsidRPr="00702497">
        <w:rPr>
          <w:rFonts w:eastAsia="Malgun Gothic"/>
          <w:b/>
          <w:lang w:val="fr-FR"/>
        </w:rPr>
        <w:t>République de Corée</w:t>
      </w:r>
      <w:r w:rsidRPr="00E37F9A">
        <w:rPr>
          <w:rFonts w:eastAsia="Malgun Gothic"/>
          <w:bCs/>
          <w:lang w:val="fr-FR"/>
        </w:rPr>
        <w:t xml:space="preserve"> a mentionné l</w:t>
      </w:r>
      <w:r w:rsidR="00923E72">
        <w:rPr>
          <w:rFonts w:eastAsia="Malgun Gothic"/>
          <w:bCs/>
          <w:lang w:val="fr-FR"/>
        </w:rPr>
        <w:t>’</w:t>
      </w:r>
      <w:r w:rsidRPr="00E37F9A">
        <w:rPr>
          <w:rFonts w:eastAsia="Malgun Gothic"/>
          <w:bCs/>
          <w:lang w:val="fr-FR"/>
        </w:rPr>
        <w:t>anecdote émouvante racontée par l</w:t>
      </w:r>
      <w:r w:rsidR="00923E72">
        <w:rPr>
          <w:rFonts w:eastAsia="Malgun Gothic"/>
          <w:bCs/>
          <w:lang w:val="fr-FR"/>
        </w:rPr>
        <w:t>’</w:t>
      </w:r>
      <w:r w:rsidRPr="00E37F9A">
        <w:rPr>
          <w:rFonts w:eastAsia="Malgun Gothic"/>
          <w:bCs/>
          <w:lang w:val="fr-FR"/>
        </w:rPr>
        <w:t>Arabie saoudite, ajoutant qu</w:t>
      </w:r>
      <w:r w:rsidR="00923E72">
        <w:rPr>
          <w:rFonts w:eastAsia="Malgun Gothic"/>
          <w:bCs/>
          <w:lang w:val="fr-FR"/>
        </w:rPr>
        <w:t>’</w:t>
      </w:r>
      <w:r w:rsidRPr="00E37F9A">
        <w:rPr>
          <w:rFonts w:eastAsia="Malgun Gothic"/>
          <w:bCs/>
          <w:lang w:val="fr-FR"/>
        </w:rPr>
        <w:t>elle était convaincue de l</w:t>
      </w:r>
      <w:r w:rsidR="00923E72">
        <w:rPr>
          <w:rFonts w:eastAsia="Malgun Gothic"/>
          <w:bCs/>
          <w:lang w:val="fr-FR"/>
        </w:rPr>
        <w:t>’</w:t>
      </w:r>
      <w:r w:rsidRPr="00E37F9A">
        <w:rPr>
          <w:rFonts w:eastAsia="Malgun Gothic"/>
          <w:bCs/>
          <w:lang w:val="fr-FR"/>
        </w:rPr>
        <w:t>enthousiasme manifesté par les communautés concernées, chérissant l</w:t>
      </w:r>
      <w:r w:rsidR="00923E72">
        <w:rPr>
          <w:rFonts w:eastAsia="Malgun Gothic"/>
          <w:bCs/>
          <w:lang w:val="fr-FR"/>
        </w:rPr>
        <w:t>’</w:t>
      </w:r>
      <w:r w:rsidRPr="00E37F9A">
        <w:rPr>
          <w:rFonts w:eastAsia="Malgun Gothic"/>
          <w:bCs/>
          <w:lang w:val="fr-FR"/>
        </w:rPr>
        <w:t>élément comme l</w:t>
      </w:r>
      <w:r w:rsidR="00923E72">
        <w:rPr>
          <w:rFonts w:eastAsia="Malgun Gothic"/>
          <w:bCs/>
          <w:lang w:val="fr-FR"/>
        </w:rPr>
        <w:t>’</w:t>
      </w:r>
      <w:r w:rsidRPr="00E37F9A">
        <w:rPr>
          <w:rFonts w:eastAsia="Malgun Gothic"/>
          <w:bCs/>
          <w:lang w:val="fr-FR"/>
        </w:rPr>
        <w:t>essence même de leur identité culturelle. Elle s</w:t>
      </w:r>
      <w:r w:rsidR="00923E72">
        <w:rPr>
          <w:rFonts w:eastAsia="Malgun Gothic"/>
          <w:bCs/>
          <w:lang w:val="fr-FR"/>
        </w:rPr>
        <w:t>’</w:t>
      </w:r>
      <w:r w:rsidRPr="00E37F9A">
        <w:rPr>
          <w:rFonts w:eastAsia="Malgun Gothic"/>
          <w:bCs/>
          <w:lang w:val="fr-FR"/>
        </w:rPr>
        <w:t>est donc portée coauteur de l</w:t>
      </w:r>
      <w:r w:rsidR="00923E72">
        <w:rPr>
          <w:rFonts w:eastAsia="Malgun Gothic"/>
          <w:bCs/>
          <w:lang w:val="fr-FR"/>
        </w:rPr>
        <w:t>’</w:t>
      </w:r>
      <w:r w:rsidRPr="00E37F9A">
        <w:rPr>
          <w:rFonts w:eastAsia="Malgun Gothic"/>
          <w:bCs/>
          <w:lang w:val="fr-FR"/>
        </w:rPr>
        <w:t xml:space="preserve">amendement. La délégation souhaitait néanmoins en savoir plus sur le rôle des communautés dans la planification de leurs mesures de sauvegarde, </w:t>
      </w:r>
      <w:r>
        <w:rPr>
          <w:rFonts w:eastAsia="Malgun Gothic"/>
          <w:bCs/>
          <w:lang w:val="fr-FR"/>
        </w:rPr>
        <w:t xml:space="preserve">un aspect </w:t>
      </w:r>
      <w:r w:rsidRPr="00E37F9A">
        <w:rPr>
          <w:rFonts w:eastAsia="Malgun Gothic"/>
          <w:bCs/>
          <w:lang w:val="fr-FR"/>
        </w:rPr>
        <w:t>qui n</w:t>
      </w:r>
      <w:r w:rsidR="00923E72">
        <w:rPr>
          <w:rFonts w:eastAsia="Malgun Gothic"/>
          <w:bCs/>
          <w:lang w:val="fr-FR"/>
        </w:rPr>
        <w:t>’</w:t>
      </w:r>
      <w:r w:rsidRPr="00E37F9A">
        <w:rPr>
          <w:rFonts w:eastAsia="Malgun Gothic"/>
          <w:bCs/>
          <w:lang w:val="fr-FR"/>
        </w:rPr>
        <w:t>avait peut-être pas été intégré dans le dossier.</w:t>
      </w:r>
    </w:p>
    <w:p w14:paraId="7E996BC0" w14:textId="3FFFE9DD" w:rsidR="00E37F9A" w:rsidRDefault="00E37F9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37F9A">
        <w:rPr>
          <w:rFonts w:eastAsia="Malgun Gothic"/>
          <w:bCs/>
          <w:lang w:val="fr-FR"/>
        </w:rPr>
        <w:t xml:space="preserve">La délégation de la </w:t>
      </w:r>
      <w:r w:rsidRPr="00702497">
        <w:rPr>
          <w:rFonts w:eastAsia="Malgun Gothic"/>
          <w:b/>
          <w:lang w:val="fr-FR"/>
        </w:rPr>
        <w:t>Roumanie</w:t>
      </w:r>
      <w:r w:rsidRPr="00E37F9A">
        <w:rPr>
          <w:rFonts w:eastAsia="Malgun Gothic"/>
          <w:bCs/>
          <w:lang w:val="fr-FR"/>
        </w:rPr>
        <w:t xml:space="preserve"> souhait</w:t>
      </w:r>
      <w:r w:rsidR="009E0B10">
        <w:rPr>
          <w:rFonts w:eastAsia="Malgun Gothic"/>
          <w:bCs/>
          <w:lang w:val="fr-FR"/>
        </w:rPr>
        <w:t>ait</w:t>
      </w:r>
      <w:r w:rsidRPr="00E37F9A">
        <w:rPr>
          <w:rFonts w:eastAsia="Malgun Gothic"/>
          <w:bCs/>
          <w:lang w:val="fr-FR"/>
        </w:rPr>
        <w:t xml:space="preserve"> souligner l</w:t>
      </w:r>
      <w:r w:rsidR="00923E72">
        <w:rPr>
          <w:rFonts w:eastAsia="Malgun Gothic"/>
          <w:bCs/>
          <w:lang w:val="fr-FR"/>
        </w:rPr>
        <w:t>’</w:t>
      </w:r>
      <w:r w:rsidRPr="00E37F9A">
        <w:rPr>
          <w:rFonts w:eastAsia="Malgun Gothic"/>
          <w:bCs/>
          <w:lang w:val="fr-FR"/>
        </w:rPr>
        <w:t>importance accordée</w:t>
      </w:r>
      <w:r w:rsidR="009E0B10">
        <w:rPr>
          <w:rFonts w:eastAsia="Malgun Gothic"/>
          <w:bCs/>
          <w:lang w:val="fr-FR"/>
        </w:rPr>
        <w:t xml:space="preserve">, </w:t>
      </w:r>
      <w:r w:rsidR="009E0B10" w:rsidRPr="002604BA">
        <w:rPr>
          <w:rFonts w:eastAsia="Malgun Gothic"/>
          <w:bCs/>
          <w:lang w:val="fr-FR"/>
        </w:rPr>
        <w:t xml:space="preserve">dans le </w:t>
      </w:r>
      <w:r w:rsidRPr="002604BA">
        <w:rPr>
          <w:rFonts w:eastAsia="Malgun Gothic"/>
          <w:bCs/>
          <w:lang w:val="fr-FR"/>
        </w:rPr>
        <w:t>dossier de candidature</w:t>
      </w:r>
      <w:r w:rsidR="009E0B10" w:rsidRPr="002604BA">
        <w:rPr>
          <w:rFonts w:eastAsia="Malgun Gothic"/>
          <w:bCs/>
          <w:lang w:val="fr-FR"/>
        </w:rPr>
        <w:t xml:space="preserve">, à la mise </w:t>
      </w:r>
      <w:r w:rsidRPr="002604BA">
        <w:rPr>
          <w:rFonts w:eastAsia="Malgun Gothic"/>
          <w:bCs/>
          <w:lang w:val="fr-FR"/>
        </w:rPr>
        <w:t xml:space="preserve">en évidence </w:t>
      </w:r>
      <w:r w:rsidR="009E0B10" w:rsidRPr="002604BA">
        <w:rPr>
          <w:rFonts w:eastAsia="Malgun Gothic"/>
          <w:bCs/>
          <w:lang w:val="fr-FR"/>
        </w:rPr>
        <w:t xml:space="preserve">de </w:t>
      </w:r>
      <w:r w:rsidRPr="002604BA">
        <w:rPr>
          <w:rFonts w:eastAsia="Malgun Gothic"/>
          <w:bCs/>
          <w:lang w:val="fr-FR"/>
        </w:rPr>
        <w:t xml:space="preserve">la passion des communautés, des groupes et des individus </w:t>
      </w:r>
      <w:r w:rsidR="009E0B10" w:rsidRPr="002604BA">
        <w:rPr>
          <w:rFonts w:eastAsia="Malgun Gothic"/>
          <w:bCs/>
          <w:lang w:val="fr-FR"/>
        </w:rPr>
        <w:t xml:space="preserve">pour </w:t>
      </w:r>
      <w:r w:rsidRPr="002604BA">
        <w:rPr>
          <w:rFonts w:eastAsia="Malgun Gothic"/>
          <w:bCs/>
          <w:lang w:val="fr-FR"/>
        </w:rPr>
        <w:t>la création de cette blouse. Le processus initi</w:t>
      </w:r>
      <w:r w:rsidRPr="00E37F9A">
        <w:rPr>
          <w:rFonts w:eastAsia="Malgun Gothic"/>
          <w:bCs/>
          <w:lang w:val="fr-FR"/>
        </w:rPr>
        <w:t>al avait débuté en</w:t>
      </w:r>
      <w:r w:rsidR="00F1131A">
        <w:rPr>
          <w:rFonts w:eastAsia="Malgun Gothic"/>
          <w:bCs/>
          <w:lang w:val="fr-FR"/>
        </w:rPr>
        <w:t> </w:t>
      </w:r>
      <w:r w:rsidRPr="00E37F9A">
        <w:rPr>
          <w:rFonts w:eastAsia="Malgun Gothic"/>
          <w:bCs/>
          <w:lang w:val="fr-FR"/>
        </w:rPr>
        <w:t>2003 par un mouvement lancé par des ONG et des associations culturelles, qui s</w:t>
      </w:r>
      <w:r w:rsidR="00923E72">
        <w:rPr>
          <w:rFonts w:eastAsia="Malgun Gothic"/>
          <w:bCs/>
          <w:lang w:val="fr-FR"/>
        </w:rPr>
        <w:t>’</w:t>
      </w:r>
      <w:r w:rsidRPr="00E37F9A">
        <w:rPr>
          <w:rFonts w:eastAsia="Malgun Gothic"/>
          <w:bCs/>
          <w:lang w:val="fr-FR"/>
        </w:rPr>
        <w:t>était ensuite poursuivi avec l</w:t>
      </w:r>
      <w:r w:rsidR="00AD7D1A">
        <w:rPr>
          <w:rFonts w:eastAsia="Malgun Gothic"/>
          <w:bCs/>
          <w:lang w:val="fr-FR"/>
        </w:rPr>
        <w:t>a participation</w:t>
      </w:r>
      <w:r w:rsidRPr="00E37F9A">
        <w:rPr>
          <w:rFonts w:eastAsia="Malgun Gothic"/>
          <w:bCs/>
          <w:lang w:val="fr-FR"/>
        </w:rPr>
        <w:t xml:space="preserve"> d</w:t>
      </w:r>
      <w:r w:rsidR="00923E72">
        <w:rPr>
          <w:rFonts w:eastAsia="Malgun Gothic"/>
          <w:bCs/>
          <w:lang w:val="fr-FR"/>
        </w:rPr>
        <w:t>’</w:t>
      </w:r>
      <w:r w:rsidRPr="00E37F9A">
        <w:rPr>
          <w:rFonts w:eastAsia="Malgun Gothic"/>
          <w:bCs/>
          <w:lang w:val="fr-FR"/>
        </w:rPr>
        <w:t xml:space="preserve">artisans des deux pays. Dans les deux pays, les praticiens étaient </w:t>
      </w:r>
      <w:r w:rsidRPr="00E37F9A">
        <w:rPr>
          <w:rFonts w:eastAsia="Malgun Gothic"/>
          <w:bCs/>
          <w:lang w:val="fr-FR"/>
        </w:rPr>
        <w:lastRenderedPageBreak/>
        <w:t>regroupés en deux grandes catégories</w:t>
      </w:r>
      <w:r w:rsidR="00EE749F">
        <w:rPr>
          <w:rFonts w:eastAsia="Malgun Gothic"/>
          <w:bCs/>
          <w:lang w:val="fr-FR"/>
        </w:rPr>
        <w:t> </w:t>
      </w:r>
      <w:r w:rsidRPr="00E37F9A">
        <w:rPr>
          <w:rFonts w:eastAsia="Malgun Gothic"/>
          <w:bCs/>
          <w:lang w:val="fr-FR"/>
        </w:rPr>
        <w:t>: ceux qui font de la blouse leur principal moyen de subsistance, c</w:t>
      </w:r>
      <w:r w:rsidR="00923E72">
        <w:rPr>
          <w:rFonts w:eastAsia="Malgun Gothic"/>
          <w:bCs/>
          <w:lang w:val="fr-FR"/>
        </w:rPr>
        <w:t>’</w:t>
      </w:r>
      <w:r w:rsidRPr="00E37F9A">
        <w:rPr>
          <w:rFonts w:eastAsia="Malgun Gothic"/>
          <w:bCs/>
          <w:lang w:val="fr-FR"/>
        </w:rPr>
        <w:t>est-à-dire la catégorie des artisans et des principaux détenteurs de l</w:t>
      </w:r>
      <w:r w:rsidR="00923E72">
        <w:rPr>
          <w:rFonts w:eastAsia="Malgun Gothic"/>
          <w:bCs/>
          <w:lang w:val="fr-FR"/>
        </w:rPr>
        <w:t>’</w:t>
      </w:r>
      <w:r w:rsidRPr="00E37F9A">
        <w:rPr>
          <w:rFonts w:eastAsia="Malgun Gothic"/>
          <w:bCs/>
          <w:lang w:val="fr-FR"/>
        </w:rPr>
        <w:t>élément</w:t>
      </w:r>
      <w:r w:rsidR="000F4129">
        <w:rPr>
          <w:rFonts w:eastAsia="Malgun Gothic"/>
          <w:bCs/>
          <w:lang w:val="fr-FR"/>
        </w:rPr>
        <w:t>,</w:t>
      </w:r>
      <w:r w:rsidRPr="00E37F9A">
        <w:rPr>
          <w:rFonts w:eastAsia="Malgun Gothic"/>
          <w:bCs/>
          <w:lang w:val="fr-FR"/>
        </w:rPr>
        <w:t xml:space="preserve"> qui avaient été très impliqués dans le dossier de candidature</w:t>
      </w:r>
      <w:r w:rsidR="00221D63">
        <w:rPr>
          <w:rFonts w:eastAsia="Malgun Gothic"/>
          <w:bCs/>
          <w:lang w:val="fr-FR"/>
        </w:rPr>
        <w:t> ;</w:t>
      </w:r>
      <w:r w:rsidRPr="00E37F9A">
        <w:rPr>
          <w:rFonts w:eastAsia="Malgun Gothic"/>
          <w:bCs/>
          <w:lang w:val="fr-FR"/>
        </w:rPr>
        <w:t xml:space="preserve"> et les individus non professionnels qui créent la blouse, la cousent et la portent eux-mêmes </w:t>
      </w:r>
      <w:r w:rsidR="00CD6A1D">
        <w:rPr>
          <w:rFonts w:eastAsia="Malgun Gothic"/>
          <w:bCs/>
          <w:lang w:val="fr-FR"/>
        </w:rPr>
        <w:t>ou le font pour</w:t>
      </w:r>
      <w:r w:rsidRPr="00E37F9A">
        <w:rPr>
          <w:rFonts w:eastAsia="Malgun Gothic"/>
          <w:bCs/>
          <w:lang w:val="fr-FR"/>
        </w:rPr>
        <w:t xml:space="preserve"> les membres de leur famille. </w:t>
      </w:r>
      <w:r w:rsidR="00BD6B81">
        <w:rPr>
          <w:rFonts w:eastAsia="Malgun Gothic"/>
          <w:bCs/>
          <w:lang w:val="fr-FR"/>
        </w:rPr>
        <w:t>Au sein de ces deux catégories, l</w:t>
      </w:r>
      <w:r w:rsidRPr="00E37F9A">
        <w:rPr>
          <w:rFonts w:eastAsia="Malgun Gothic"/>
          <w:bCs/>
          <w:lang w:val="fr-FR"/>
        </w:rPr>
        <w:t xml:space="preserve">es personnes qui fabriquent et aiment les blouses étaient les principaux acteurs </w:t>
      </w:r>
      <w:r w:rsidR="00EE749F">
        <w:rPr>
          <w:rFonts w:eastAsia="Malgun Gothic"/>
          <w:bCs/>
          <w:lang w:val="fr-FR"/>
        </w:rPr>
        <w:t>du</w:t>
      </w:r>
      <w:r w:rsidRPr="00E37F9A">
        <w:rPr>
          <w:rFonts w:eastAsia="Malgun Gothic"/>
          <w:bCs/>
          <w:lang w:val="fr-FR"/>
        </w:rPr>
        <w:t xml:space="preserve"> processus de mise en œuvre des mesures de sauvegarde.</w:t>
      </w:r>
    </w:p>
    <w:p w14:paraId="62AEC3C7" w14:textId="20FB7597" w:rsidR="00CD6A1D" w:rsidRDefault="00CD6A1D"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D6A1D">
        <w:rPr>
          <w:rFonts w:eastAsia="Malgun Gothic"/>
          <w:bCs/>
          <w:lang w:val="fr-FR"/>
        </w:rPr>
        <w:t>La délégation de l</w:t>
      </w:r>
      <w:r w:rsidR="00923E72">
        <w:rPr>
          <w:rFonts w:eastAsia="Malgun Gothic"/>
          <w:bCs/>
          <w:lang w:val="fr-FR"/>
        </w:rPr>
        <w:t>’</w:t>
      </w:r>
      <w:r w:rsidRPr="00702497">
        <w:rPr>
          <w:rFonts w:eastAsia="Malgun Gothic"/>
          <w:b/>
          <w:lang w:val="fr-FR"/>
        </w:rPr>
        <w:t>Éthiopie</w:t>
      </w:r>
      <w:r w:rsidRPr="00CD6A1D">
        <w:rPr>
          <w:rFonts w:eastAsia="Malgun Gothic"/>
          <w:bCs/>
          <w:lang w:val="fr-FR"/>
        </w:rPr>
        <w:t xml:space="preserve"> a remercié les États soumissionnaires d</w:t>
      </w:r>
      <w:r w:rsidR="00923E72">
        <w:rPr>
          <w:rFonts w:eastAsia="Malgun Gothic"/>
          <w:bCs/>
          <w:lang w:val="fr-FR"/>
        </w:rPr>
        <w:t>’</w:t>
      </w:r>
      <w:r w:rsidRPr="00CD6A1D">
        <w:rPr>
          <w:rFonts w:eastAsia="Malgun Gothic"/>
          <w:bCs/>
          <w:lang w:val="fr-FR"/>
        </w:rPr>
        <w:t>avoir attiré l</w:t>
      </w:r>
      <w:r w:rsidR="00923E72">
        <w:rPr>
          <w:rFonts w:eastAsia="Malgun Gothic"/>
          <w:bCs/>
          <w:lang w:val="fr-FR"/>
        </w:rPr>
        <w:t>’</w:t>
      </w:r>
      <w:r w:rsidRPr="00CD6A1D">
        <w:rPr>
          <w:rFonts w:eastAsia="Malgun Gothic"/>
          <w:bCs/>
          <w:lang w:val="fr-FR"/>
        </w:rPr>
        <w:t>attention du Comité sur ce patrimoine culturel immatériel, répandu sous différentes formes et présent dans différentes parties du monde, mais auquel on accorde en général peu d</w:t>
      </w:r>
      <w:r w:rsidR="00923E72">
        <w:rPr>
          <w:rFonts w:eastAsia="Malgun Gothic"/>
          <w:bCs/>
          <w:lang w:val="fr-FR"/>
        </w:rPr>
        <w:t>’</w:t>
      </w:r>
      <w:r w:rsidRPr="00CD6A1D">
        <w:rPr>
          <w:rFonts w:eastAsia="Malgun Gothic"/>
          <w:bCs/>
          <w:lang w:val="fr-FR"/>
        </w:rPr>
        <w:t>attention. Elle approuvait l</w:t>
      </w:r>
      <w:r w:rsidR="00923E72">
        <w:rPr>
          <w:rFonts w:eastAsia="Malgun Gothic"/>
          <w:bCs/>
          <w:lang w:val="fr-FR"/>
        </w:rPr>
        <w:t>’</w:t>
      </w:r>
      <w:r w:rsidRPr="00CD6A1D">
        <w:rPr>
          <w:rFonts w:eastAsia="Malgun Gothic"/>
          <w:bCs/>
          <w:lang w:val="fr-FR"/>
        </w:rPr>
        <w:t>amendement de l</w:t>
      </w:r>
      <w:r w:rsidR="00923E72">
        <w:rPr>
          <w:rFonts w:eastAsia="Malgun Gothic"/>
          <w:bCs/>
          <w:lang w:val="fr-FR"/>
        </w:rPr>
        <w:t>’</w:t>
      </w:r>
      <w:r w:rsidRPr="00CD6A1D">
        <w:rPr>
          <w:rFonts w:eastAsia="Malgun Gothic"/>
          <w:bCs/>
          <w:lang w:val="fr-FR"/>
        </w:rPr>
        <w:t>Arabie saoudite. La délégation a demandé aux États soumissionnaires de réfléchir brièvement à la capacité des détenteurs et promoteurs de l</w:t>
      </w:r>
      <w:r w:rsidR="00923E72">
        <w:rPr>
          <w:rFonts w:eastAsia="Malgun Gothic"/>
          <w:bCs/>
          <w:lang w:val="fr-FR"/>
        </w:rPr>
        <w:t>’</w:t>
      </w:r>
      <w:r w:rsidRPr="00CD6A1D">
        <w:rPr>
          <w:rFonts w:eastAsia="Malgun Gothic"/>
          <w:bCs/>
          <w:lang w:val="fr-FR"/>
        </w:rPr>
        <w:t>élément à faire face aux risques possibles suite à son inscription sur la Liste représentative dans chacun des pays.</w:t>
      </w:r>
    </w:p>
    <w:p w14:paraId="7CD3BC38" w14:textId="2663E0B3" w:rsidR="00CD6A1D" w:rsidRDefault="00BE38E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L</w:t>
      </w:r>
      <w:r w:rsidR="00CD6A1D" w:rsidRPr="00CD6A1D">
        <w:rPr>
          <w:rFonts w:eastAsia="Malgun Gothic"/>
          <w:bCs/>
          <w:lang w:val="fr-FR"/>
        </w:rPr>
        <w:t xml:space="preserve">a délégation de la </w:t>
      </w:r>
      <w:r w:rsidR="00CD6A1D" w:rsidRPr="00702497">
        <w:rPr>
          <w:rFonts w:eastAsia="Malgun Gothic"/>
          <w:b/>
          <w:lang w:val="fr-FR"/>
        </w:rPr>
        <w:t>Roumanie</w:t>
      </w:r>
      <w:r w:rsidR="00CD6A1D" w:rsidRPr="00CD6A1D">
        <w:rPr>
          <w:rFonts w:eastAsia="Malgun Gothic"/>
          <w:bCs/>
          <w:lang w:val="fr-FR"/>
        </w:rPr>
        <w:t xml:space="preserve"> a expliqué que des </w:t>
      </w:r>
      <w:r>
        <w:rPr>
          <w:rFonts w:eastAsia="Malgun Gothic"/>
          <w:bCs/>
          <w:lang w:val="fr-FR"/>
        </w:rPr>
        <w:t xml:space="preserve">activités éducatives et </w:t>
      </w:r>
      <w:r w:rsidR="00CD6A1D" w:rsidRPr="00CD6A1D">
        <w:rPr>
          <w:rFonts w:eastAsia="Malgun Gothic"/>
          <w:bCs/>
          <w:lang w:val="fr-FR"/>
        </w:rPr>
        <w:t>de sensibilisation seraient organisé</w:t>
      </w:r>
      <w:r>
        <w:rPr>
          <w:rFonts w:eastAsia="Malgun Gothic"/>
          <w:bCs/>
          <w:lang w:val="fr-FR"/>
        </w:rPr>
        <w:t>e</w:t>
      </w:r>
      <w:r w:rsidR="00CD6A1D" w:rsidRPr="00CD6A1D">
        <w:rPr>
          <w:rFonts w:eastAsia="Malgun Gothic"/>
          <w:bCs/>
          <w:lang w:val="fr-FR"/>
        </w:rPr>
        <w:t>s après l</w:t>
      </w:r>
      <w:r w:rsidR="00923E72">
        <w:rPr>
          <w:rFonts w:eastAsia="Malgun Gothic"/>
          <w:bCs/>
          <w:lang w:val="fr-FR"/>
        </w:rPr>
        <w:t>’</w:t>
      </w:r>
      <w:r w:rsidR="00CD6A1D" w:rsidRPr="00CD6A1D">
        <w:rPr>
          <w:rFonts w:eastAsia="Malgun Gothic"/>
          <w:bCs/>
          <w:lang w:val="fr-FR"/>
        </w:rPr>
        <w:t>inscription</w:t>
      </w:r>
      <w:r>
        <w:rPr>
          <w:rFonts w:eastAsia="Malgun Gothic"/>
          <w:bCs/>
          <w:lang w:val="fr-FR"/>
        </w:rPr>
        <w:t>,</w:t>
      </w:r>
      <w:r w:rsidR="00CD6A1D" w:rsidRPr="00CD6A1D">
        <w:rPr>
          <w:rFonts w:eastAsia="Malgun Gothic"/>
          <w:bCs/>
          <w:lang w:val="fr-FR"/>
        </w:rPr>
        <w:t xml:space="preserve"> aux niveaux national et international. Ils seraient </w:t>
      </w:r>
      <w:r w:rsidR="00C75D4C">
        <w:rPr>
          <w:rFonts w:eastAsia="Malgun Gothic"/>
          <w:bCs/>
          <w:lang w:val="fr-FR"/>
        </w:rPr>
        <w:t xml:space="preserve">dirigés </w:t>
      </w:r>
      <w:r w:rsidR="00CD6A1D" w:rsidRPr="00CD6A1D">
        <w:rPr>
          <w:rFonts w:eastAsia="Malgun Gothic"/>
          <w:bCs/>
          <w:lang w:val="fr-FR"/>
        </w:rPr>
        <w:t xml:space="preserve">par des détenteurs afin de mettre en </w:t>
      </w:r>
      <w:r w:rsidR="00C75D4C">
        <w:rPr>
          <w:rFonts w:eastAsia="Malgun Gothic"/>
          <w:bCs/>
          <w:lang w:val="fr-FR"/>
        </w:rPr>
        <w:t xml:space="preserve">évidence </w:t>
      </w:r>
      <w:r w:rsidR="00CD6A1D" w:rsidRPr="00CD6A1D">
        <w:rPr>
          <w:rFonts w:eastAsia="Malgun Gothic"/>
          <w:bCs/>
          <w:lang w:val="fr-FR"/>
        </w:rPr>
        <w:t>le mécanisme complexe de fabrication et de couture de la broderie</w:t>
      </w:r>
      <w:r w:rsidR="000F4129">
        <w:rPr>
          <w:rFonts w:eastAsia="Malgun Gothic"/>
          <w:bCs/>
          <w:lang w:val="fr-FR"/>
        </w:rPr>
        <w:t>,</w:t>
      </w:r>
      <w:r w:rsidR="00CD6A1D" w:rsidRPr="00CD6A1D">
        <w:rPr>
          <w:rFonts w:eastAsia="Malgun Gothic"/>
          <w:bCs/>
          <w:lang w:val="fr-FR"/>
        </w:rPr>
        <w:t xml:space="preserve"> et de le transmettre aux nouveaux apprentis ainsi qu</w:t>
      </w:r>
      <w:r w:rsidR="00923E72">
        <w:rPr>
          <w:rFonts w:eastAsia="Malgun Gothic"/>
          <w:bCs/>
          <w:lang w:val="fr-FR"/>
        </w:rPr>
        <w:t>’</w:t>
      </w:r>
      <w:r w:rsidR="00CD6A1D" w:rsidRPr="00CD6A1D">
        <w:rPr>
          <w:rFonts w:eastAsia="Malgun Gothic"/>
          <w:bCs/>
          <w:lang w:val="fr-FR"/>
        </w:rPr>
        <w:t xml:space="preserve">au grand public de Roumanie et de </w:t>
      </w:r>
      <w:r>
        <w:rPr>
          <w:rFonts w:eastAsia="Malgun Gothic"/>
          <w:bCs/>
          <w:lang w:val="fr-FR"/>
        </w:rPr>
        <w:t xml:space="preserve">la République </w:t>
      </w:r>
      <w:r w:rsidR="00CD6A1D" w:rsidRPr="00CD6A1D">
        <w:rPr>
          <w:rFonts w:eastAsia="Malgun Gothic"/>
          <w:bCs/>
          <w:lang w:val="fr-FR"/>
        </w:rPr>
        <w:t>Mold</w:t>
      </w:r>
      <w:r w:rsidR="00C75D4C">
        <w:rPr>
          <w:rFonts w:eastAsia="Malgun Gothic"/>
          <w:bCs/>
          <w:lang w:val="fr-FR"/>
        </w:rPr>
        <w:t>ova</w:t>
      </w:r>
      <w:r w:rsidR="00CD6A1D" w:rsidRPr="00CD6A1D">
        <w:rPr>
          <w:rFonts w:eastAsia="Malgun Gothic"/>
          <w:bCs/>
          <w:lang w:val="fr-FR"/>
        </w:rPr>
        <w:t xml:space="preserve"> désireux d</w:t>
      </w:r>
      <w:r w:rsidR="00923E72">
        <w:rPr>
          <w:rFonts w:eastAsia="Malgun Gothic"/>
          <w:bCs/>
          <w:lang w:val="fr-FR"/>
        </w:rPr>
        <w:t>’</w:t>
      </w:r>
      <w:r w:rsidR="00CD6A1D" w:rsidRPr="00CD6A1D">
        <w:rPr>
          <w:rFonts w:eastAsia="Malgun Gothic"/>
          <w:bCs/>
          <w:lang w:val="fr-FR"/>
        </w:rPr>
        <w:t xml:space="preserve">en savoir plus sur cet élément. Au cours des consultations et des discussions </w:t>
      </w:r>
      <w:r w:rsidR="000F4129">
        <w:rPr>
          <w:rFonts w:eastAsia="Malgun Gothic"/>
          <w:bCs/>
          <w:lang w:val="fr-FR"/>
        </w:rPr>
        <w:t xml:space="preserve">organisées </w:t>
      </w:r>
      <w:r w:rsidR="00CD6A1D" w:rsidRPr="00CD6A1D">
        <w:rPr>
          <w:rFonts w:eastAsia="Malgun Gothic"/>
          <w:bCs/>
          <w:lang w:val="fr-FR"/>
        </w:rPr>
        <w:t>pendant le processus de candidature, les détenteurs avaient souligné leur volonté de soutenir la nature dynamique de cet élément et d</w:t>
      </w:r>
      <w:r w:rsidR="00923E72">
        <w:rPr>
          <w:rFonts w:eastAsia="Malgun Gothic"/>
          <w:bCs/>
          <w:lang w:val="fr-FR"/>
        </w:rPr>
        <w:t>’</w:t>
      </w:r>
      <w:r w:rsidR="00C75D4C">
        <w:rPr>
          <w:rFonts w:eastAsia="Malgun Gothic"/>
          <w:bCs/>
          <w:lang w:val="fr-FR"/>
        </w:rPr>
        <w:t xml:space="preserve">être pleinement impliqués </w:t>
      </w:r>
      <w:r w:rsidR="00CD6A1D" w:rsidRPr="00CD6A1D">
        <w:rPr>
          <w:rFonts w:eastAsia="Malgun Gothic"/>
          <w:bCs/>
          <w:lang w:val="fr-FR"/>
        </w:rPr>
        <w:t xml:space="preserve">dans le processus de conception </w:t>
      </w:r>
      <w:r w:rsidR="00C75D4C">
        <w:rPr>
          <w:rFonts w:eastAsia="Malgun Gothic"/>
          <w:bCs/>
          <w:lang w:val="fr-FR"/>
        </w:rPr>
        <w:t>respectueuse du</w:t>
      </w:r>
      <w:r w:rsidR="00CD6A1D" w:rsidRPr="00CD6A1D">
        <w:rPr>
          <w:rFonts w:eastAsia="Malgun Gothic"/>
          <w:bCs/>
          <w:lang w:val="fr-FR"/>
        </w:rPr>
        <w:t xml:space="preserve"> patrimoine, à condition que cela se fasse dans le respect des caractéristiques de l</w:t>
      </w:r>
      <w:r w:rsidR="00923E72">
        <w:rPr>
          <w:rFonts w:eastAsia="Malgun Gothic"/>
          <w:bCs/>
          <w:lang w:val="fr-FR"/>
        </w:rPr>
        <w:t>’</w:t>
      </w:r>
      <w:r w:rsidR="00CD6A1D" w:rsidRPr="00CD6A1D">
        <w:rPr>
          <w:rFonts w:eastAsia="Malgun Gothic"/>
          <w:bCs/>
          <w:lang w:val="fr-FR"/>
        </w:rPr>
        <w:t>élément telles qu</w:t>
      </w:r>
      <w:r w:rsidR="00923E72">
        <w:rPr>
          <w:rFonts w:eastAsia="Malgun Gothic"/>
          <w:bCs/>
          <w:lang w:val="fr-FR"/>
        </w:rPr>
        <w:t>’</w:t>
      </w:r>
      <w:r w:rsidR="00CD6A1D" w:rsidRPr="00CD6A1D">
        <w:rPr>
          <w:rFonts w:eastAsia="Malgun Gothic"/>
          <w:bCs/>
          <w:lang w:val="fr-FR"/>
        </w:rPr>
        <w:t xml:space="preserve">elles </w:t>
      </w:r>
      <w:r w:rsidR="00C75D4C">
        <w:rPr>
          <w:rFonts w:eastAsia="Malgun Gothic"/>
          <w:bCs/>
          <w:lang w:val="fr-FR"/>
        </w:rPr>
        <w:t xml:space="preserve">avaient </w:t>
      </w:r>
      <w:r w:rsidR="00CD6A1D" w:rsidRPr="00CD6A1D">
        <w:rPr>
          <w:rFonts w:eastAsia="Malgun Gothic"/>
          <w:bCs/>
          <w:lang w:val="fr-FR"/>
        </w:rPr>
        <w:t>été héritées au sein des communautés.</w:t>
      </w:r>
    </w:p>
    <w:p w14:paraId="1AE74D0D" w14:textId="00DE8E5B" w:rsidR="00C75D4C" w:rsidRDefault="007B29B3"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B29B3">
        <w:rPr>
          <w:rFonts w:eastAsia="Malgun Gothic"/>
          <w:bCs/>
          <w:lang w:val="fr-FR"/>
        </w:rPr>
        <w:t xml:space="preserve">La délégation de la </w:t>
      </w:r>
      <w:r w:rsidRPr="00702497">
        <w:rPr>
          <w:rFonts w:eastAsia="Malgun Gothic"/>
          <w:b/>
          <w:lang w:val="fr-FR"/>
        </w:rPr>
        <w:t>Tchéquie</w:t>
      </w:r>
      <w:r w:rsidRPr="007B29B3">
        <w:rPr>
          <w:rFonts w:eastAsia="Malgun Gothic"/>
          <w:bCs/>
          <w:lang w:val="fr-FR"/>
        </w:rPr>
        <w:t xml:space="preserve"> a remercié la Roumanie pour ses explications </w:t>
      </w:r>
      <w:r>
        <w:rPr>
          <w:rFonts w:eastAsia="Malgun Gothic"/>
          <w:bCs/>
          <w:lang w:val="fr-FR"/>
        </w:rPr>
        <w:t>très importantes</w:t>
      </w:r>
      <w:r w:rsidR="009F464A">
        <w:rPr>
          <w:rFonts w:eastAsia="Malgun Gothic"/>
          <w:bCs/>
          <w:lang w:val="fr-FR"/>
        </w:rPr>
        <w:t>,</w:t>
      </w:r>
      <w:r>
        <w:rPr>
          <w:rFonts w:eastAsia="Malgun Gothic"/>
          <w:bCs/>
          <w:lang w:val="fr-FR"/>
        </w:rPr>
        <w:t xml:space="preserve"> </w:t>
      </w:r>
      <w:r w:rsidRPr="007B29B3">
        <w:rPr>
          <w:rFonts w:eastAsia="Malgun Gothic"/>
          <w:bCs/>
          <w:lang w:val="fr-FR"/>
        </w:rPr>
        <w:t>qui aidaient à comprendre le mécanisme participatif mis en place pour planifier les mesures de sauvegarde et la manière dont elles seraient mises en œuvre à l</w:t>
      </w:r>
      <w:r w:rsidR="00923E72">
        <w:rPr>
          <w:rFonts w:eastAsia="Malgun Gothic"/>
          <w:bCs/>
          <w:lang w:val="fr-FR"/>
        </w:rPr>
        <w:t>’</w:t>
      </w:r>
      <w:r w:rsidRPr="007B29B3">
        <w:rPr>
          <w:rFonts w:eastAsia="Malgun Gothic"/>
          <w:bCs/>
          <w:lang w:val="fr-FR"/>
        </w:rPr>
        <w:t>avenir. Elle aurait souhaité avoir quelques éclaircissements</w:t>
      </w:r>
      <w:r>
        <w:rPr>
          <w:rFonts w:eastAsia="Malgun Gothic"/>
          <w:bCs/>
          <w:lang w:val="fr-FR"/>
        </w:rPr>
        <w:t>,</w:t>
      </w:r>
      <w:r w:rsidRPr="007B29B3">
        <w:rPr>
          <w:rFonts w:eastAsia="Malgun Gothic"/>
          <w:bCs/>
          <w:lang w:val="fr-FR"/>
        </w:rPr>
        <w:t xml:space="preserve"> car elle ne savait pas si la situation de l</w:t>
      </w:r>
      <w:r w:rsidR="00923E72">
        <w:rPr>
          <w:rFonts w:eastAsia="Malgun Gothic"/>
          <w:bCs/>
          <w:lang w:val="fr-FR"/>
        </w:rPr>
        <w:t>’</w:t>
      </w:r>
      <w:r w:rsidRPr="007B29B3">
        <w:rPr>
          <w:rFonts w:eastAsia="Malgun Gothic"/>
          <w:bCs/>
          <w:lang w:val="fr-FR"/>
        </w:rPr>
        <w:t>élément était identique dans les deux pays, c</w:t>
      </w:r>
      <w:r w:rsidR="00923E72">
        <w:rPr>
          <w:rFonts w:eastAsia="Malgun Gothic"/>
          <w:bCs/>
          <w:lang w:val="fr-FR"/>
        </w:rPr>
        <w:t>’</w:t>
      </w:r>
      <w:r w:rsidRPr="007B29B3">
        <w:rPr>
          <w:rFonts w:eastAsia="Malgun Gothic"/>
          <w:bCs/>
          <w:lang w:val="fr-FR"/>
        </w:rPr>
        <w:t xml:space="preserve">est-à-dire si chaque État soumissionnaire avait sa propre stratégie de sauvegarde ou si les mesures de sauvegarde étaient communes aux deux pays. La délégation </w:t>
      </w:r>
      <w:r>
        <w:rPr>
          <w:rFonts w:eastAsia="Malgun Gothic"/>
          <w:bCs/>
          <w:lang w:val="fr-FR"/>
        </w:rPr>
        <w:t xml:space="preserve">cherchait à </w:t>
      </w:r>
      <w:r w:rsidRPr="007B29B3">
        <w:rPr>
          <w:rFonts w:eastAsia="Malgun Gothic"/>
          <w:bCs/>
          <w:lang w:val="fr-FR"/>
        </w:rPr>
        <w:t>mieux comprendre le processus de collaboration et la philosophie qui sous-tend</w:t>
      </w:r>
      <w:r>
        <w:rPr>
          <w:rFonts w:eastAsia="Malgun Gothic"/>
          <w:bCs/>
          <w:lang w:val="fr-FR"/>
        </w:rPr>
        <w:t>ait</w:t>
      </w:r>
      <w:r w:rsidRPr="007B29B3">
        <w:rPr>
          <w:rFonts w:eastAsia="Malgun Gothic"/>
          <w:bCs/>
          <w:lang w:val="fr-FR"/>
        </w:rPr>
        <w:t xml:space="preserve"> la stratégie de sauvegarde. Elle voulait savoir, dans le cas où les mesures de sauvegarde seraient communes aux deux pays, si les activités seraient coordonnées et mises en œuvre conjointement par la Roumanie et la Moldova. S</w:t>
      </w:r>
      <w:r w:rsidR="00923E72">
        <w:rPr>
          <w:rFonts w:eastAsia="Malgun Gothic"/>
          <w:bCs/>
          <w:lang w:val="fr-FR"/>
        </w:rPr>
        <w:t>’</w:t>
      </w:r>
      <w:r w:rsidRPr="007B29B3">
        <w:rPr>
          <w:rFonts w:eastAsia="Malgun Gothic"/>
          <w:bCs/>
          <w:lang w:val="fr-FR"/>
        </w:rPr>
        <w:t>agissant d</w:t>
      </w:r>
      <w:r>
        <w:rPr>
          <w:rFonts w:eastAsia="Malgun Gothic"/>
          <w:bCs/>
          <w:lang w:val="fr-FR"/>
        </w:rPr>
        <w:t xml:space="preserve">u </w:t>
      </w:r>
      <w:r w:rsidRPr="007B29B3">
        <w:rPr>
          <w:rFonts w:eastAsia="Malgun Gothic"/>
          <w:bCs/>
          <w:lang w:val="fr-FR"/>
        </w:rPr>
        <w:t>critère</w:t>
      </w:r>
      <w:r>
        <w:rPr>
          <w:rFonts w:eastAsia="Malgun Gothic"/>
          <w:bCs/>
          <w:lang w:val="fr-FR"/>
        </w:rPr>
        <w:t> </w:t>
      </w:r>
      <w:r w:rsidRPr="007B29B3">
        <w:rPr>
          <w:rFonts w:eastAsia="Malgun Gothic"/>
          <w:bCs/>
          <w:lang w:val="fr-FR"/>
        </w:rPr>
        <w:t>R.2, le dossier expliquait en termes assez généraux que l</w:t>
      </w:r>
      <w:r w:rsidR="00923E72">
        <w:rPr>
          <w:rFonts w:eastAsia="Malgun Gothic"/>
          <w:bCs/>
          <w:lang w:val="fr-FR"/>
        </w:rPr>
        <w:t>’</w:t>
      </w:r>
      <w:r w:rsidRPr="007B29B3">
        <w:rPr>
          <w:rFonts w:eastAsia="Malgun Gothic"/>
          <w:bCs/>
          <w:lang w:val="fr-FR"/>
        </w:rPr>
        <w:t>inscription encouragerait les communautés à sauvegarder l</w:t>
      </w:r>
      <w:r w:rsidR="00923E72">
        <w:rPr>
          <w:rFonts w:eastAsia="Malgun Gothic"/>
          <w:bCs/>
          <w:lang w:val="fr-FR"/>
        </w:rPr>
        <w:t>’</w:t>
      </w:r>
      <w:r w:rsidRPr="007B29B3">
        <w:rPr>
          <w:rFonts w:eastAsia="Malgun Gothic"/>
          <w:bCs/>
          <w:lang w:val="fr-FR"/>
        </w:rPr>
        <w:t>élément aux niveaux local et national et favoriserait une meilleure appréciation du savoir-faire artisanal qui lui est associé, y compris en attirant l</w:t>
      </w:r>
      <w:r w:rsidR="00923E72">
        <w:rPr>
          <w:rFonts w:eastAsia="Malgun Gothic"/>
          <w:bCs/>
          <w:lang w:val="fr-FR"/>
        </w:rPr>
        <w:t>’</w:t>
      </w:r>
      <w:r w:rsidRPr="007B29B3">
        <w:rPr>
          <w:rFonts w:eastAsia="Malgun Gothic"/>
          <w:bCs/>
          <w:lang w:val="fr-FR"/>
        </w:rPr>
        <w:t>attention de la jeune génération. La délégation a demandé comment l</w:t>
      </w:r>
      <w:r w:rsidR="00923E72">
        <w:rPr>
          <w:rFonts w:eastAsia="Malgun Gothic"/>
          <w:bCs/>
          <w:lang w:val="fr-FR"/>
        </w:rPr>
        <w:t>’</w:t>
      </w:r>
      <w:r w:rsidRPr="007B29B3">
        <w:rPr>
          <w:rFonts w:eastAsia="Malgun Gothic"/>
          <w:bCs/>
          <w:lang w:val="fr-FR"/>
        </w:rPr>
        <w:t xml:space="preserve">inscription permettrait de </w:t>
      </w:r>
      <w:r w:rsidR="000F4129">
        <w:rPr>
          <w:rFonts w:eastAsia="Malgun Gothic"/>
          <w:bCs/>
          <w:lang w:val="fr-FR"/>
        </w:rPr>
        <w:t xml:space="preserve">sensibiliser au </w:t>
      </w:r>
      <w:r w:rsidRPr="007B29B3">
        <w:rPr>
          <w:rFonts w:eastAsia="Malgun Gothic"/>
          <w:bCs/>
          <w:lang w:val="fr-FR"/>
        </w:rPr>
        <w:t>patrimoine culturel immatériel en général</w:t>
      </w:r>
      <w:r>
        <w:rPr>
          <w:rFonts w:eastAsia="Malgun Gothic"/>
          <w:bCs/>
          <w:lang w:val="fr-FR"/>
        </w:rPr>
        <w:t>,</w:t>
      </w:r>
      <w:r w:rsidRPr="007B29B3">
        <w:rPr>
          <w:rFonts w:eastAsia="Malgun Gothic"/>
          <w:bCs/>
          <w:lang w:val="fr-FR"/>
        </w:rPr>
        <w:t xml:space="preserve"> comme demandé par l</w:t>
      </w:r>
      <w:r w:rsidR="00923E72">
        <w:rPr>
          <w:rFonts w:eastAsia="Malgun Gothic"/>
          <w:bCs/>
          <w:lang w:val="fr-FR"/>
        </w:rPr>
        <w:t>’</w:t>
      </w:r>
      <w:r w:rsidRPr="007B29B3">
        <w:rPr>
          <w:rFonts w:eastAsia="Malgun Gothic"/>
          <w:bCs/>
          <w:lang w:val="fr-FR"/>
        </w:rPr>
        <w:t>Organe d</w:t>
      </w:r>
      <w:r w:rsidR="00923E72">
        <w:rPr>
          <w:rFonts w:eastAsia="Malgun Gothic"/>
          <w:bCs/>
          <w:lang w:val="fr-FR"/>
        </w:rPr>
        <w:t>’</w:t>
      </w:r>
      <w:r w:rsidRPr="007B29B3">
        <w:rPr>
          <w:rFonts w:eastAsia="Malgun Gothic"/>
          <w:bCs/>
          <w:lang w:val="fr-FR"/>
        </w:rPr>
        <w:t>évaluation.</w:t>
      </w:r>
    </w:p>
    <w:p w14:paraId="7C60CCF2" w14:textId="516316B1" w:rsidR="007B29B3" w:rsidRDefault="00BE38E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L</w:t>
      </w:r>
      <w:r w:rsidR="007B29B3" w:rsidRPr="00CD6A1D">
        <w:rPr>
          <w:rFonts w:eastAsia="Malgun Gothic"/>
          <w:bCs/>
          <w:lang w:val="fr-FR"/>
        </w:rPr>
        <w:t xml:space="preserve">a délégation de la </w:t>
      </w:r>
      <w:r w:rsidR="007B29B3" w:rsidRPr="00497B98">
        <w:rPr>
          <w:rFonts w:eastAsia="Malgun Gothic"/>
          <w:b/>
          <w:lang w:val="fr-FR"/>
        </w:rPr>
        <w:t>Roumanie</w:t>
      </w:r>
      <w:r w:rsidR="007B29B3" w:rsidRPr="007B29B3">
        <w:rPr>
          <w:rFonts w:eastAsia="Malgun Gothic"/>
          <w:bCs/>
          <w:lang w:val="fr-FR"/>
        </w:rPr>
        <w:t xml:space="preserve"> a expliqué que le dossier présentait un élément du patrimoine vivant qui, dans de nombreuses candidatures multinationales, transcende les frontières administratives et politiques. Elle a précisé que cet artisanat est présent et vivant dans cinq régions différentes de la Roumanie et de la République de Moldova et que les similarités de ce patrimoine dans ces régions sont si fortes que, de leur propre initiative, des groupes et des associations d</w:t>
      </w:r>
      <w:r w:rsidR="00923E72">
        <w:rPr>
          <w:rFonts w:eastAsia="Malgun Gothic"/>
          <w:bCs/>
          <w:lang w:val="fr-FR"/>
        </w:rPr>
        <w:t>’</w:t>
      </w:r>
      <w:r w:rsidR="007B29B3" w:rsidRPr="007B29B3">
        <w:rPr>
          <w:rFonts w:eastAsia="Malgun Gothic"/>
          <w:bCs/>
          <w:lang w:val="fr-FR"/>
        </w:rPr>
        <w:t xml:space="preserve">artisanes, parlant la même langue et séparées uniquement par des frontières administratives, </w:t>
      </w:r>
      <w:r w:rsidR="000F4129">
        <w:rPr>
          <w:rFonts w:eastAsia="Malgun Gothic"/>
          <w:bCs/>
          <w:lang w:val="fr-FR"/>
        </w:rPr>
        <w:t xml:space="preserve">ont </w:t>
      </w:r>
      <w:r w:rsidR="007B29B3" w:rsidRPr="007B29B3">
        <w:rPr>
          <w:rFonts w:eastAsia="Malgun Gothic"/>
          <w:bCs/>
          <w:lang w:val="fr-FR"/>
        </w:rPr>
        <w:t xml:space="preserve">constamment </w:t>
      </w:r>
      <w:r w:rsidR="000F4129">
        <w:rPr>
          <w:rFonts w:eastAsia="Malgun Gothic"/>
          <w:bCs/>
          <w:lang w:val="fr-FR"/>
        </w:rPr>
        <w:t xml:space="preserve">travaillé </w:t>
      </w:r>
      <w:r w:rsidR="007B29B3" w:rsidRPr="007B29B3">
        <w:rPr>
          <w:rFonts w:eastAsia="Malgun Gothic"/>
          <w:bCs/>
          <w:lang w:val="fr-FR"/>
        </w:rPr>
        <w:t>à un échange fructueux d</w:t>
      </w:r>
      <w:r w:rsidR="00923E72">
        <w:rPr>
          <w:rFonts w:eastAsia="Malgun Gothic"/>
          <w:bCs/>
          <w:lang w:val="fr-FR"/>
        </w:rPr>
        <w:t>’</w:t>
      </w:r>
      <w:r w:rsidR="007B29B3" w:rsidRPr="007B29B3">
        <w:rPr>
          <w:rFonts w:eastAsia="Malgun Gothic"/>
          <w:bCs/>
          <w:lang w:val="fr-FR"/>
        </w:rPr>
        <w:t>opinions et de connaissances. Elles particip</w:t>
      </w:r>
      <w:r w:rsidR="009219E2">
        <w:rPr>
          <w:rFonts w:eastAsia="Malgun Gothic"/>
          <w:bCs/>
          <w:lang w:val="fr-FR"/>
        </w:rPr>
        <w:t>aient</w:t>
      </w:r>
      <w:r w:rsidR="007B29B3" w:rsidRPr="007B29B3">
        <w:rPr>
          <w:rFonts w:eastAsia="Malgun Gothic"/>
          <w:bCs/>
          <w:lang w:val="fr-FR"/>
        </w:rPr>
        <w:t xml:space="preserve"> à des formations et à des séminaires dans leurs pays respectifs. Même les enfants qui apprennent à coudre l</w:t>
      </w:r>
      <w:r w:rsidR="009219E2">
        <w:rPr>
          <w:rFonts w:eastAsia="Malgun Gothic"/>
          <w:bCs/>
          <w:lang w:val="fr-FR"/>
        </w:rPr>
        <w:t>a</w:t>
      </w:r>
      <w:r w:rsidR="007B29B3" w:rsidRPr="007B29B3">
        <w:rPr>
          <w:rFonts w:eastAsia="Malgun Gothic"/>
          <w:bCs/>
          <w:lang w:val="fr-FR"/>
        </w:rPr>
        <w:t xml:space="preserve"> </w:t>
      </w:r>
      <w:r w:rsidR="009219E2">
        <w:rPr>
          <w:rFonts w:eastAsia="Malgun Gothic"/>
          <w:bCs/>
          <w:lang w:val="fr-FR"/>
        </w:rPr>
        <w:t xml:space="preserve">blouse </w:t>
      </w:r>
      <w:r w:rsidR="000F4129">
        <w:rPr>
          <w:rFonts w:eastAsia="Malgun Gothic"/>
          <w:bCs/>
          <w:lang w:val="fr-FR"/>
        </w:rPr>
        <w:t xml:space="preserve">au sein du cercle familial et </w:t>
      </w:r>
      <w:r w:rsidR="000F4129" w:rsidRPr="000F4129">
        <w:rPr>
          <w:rFonts w:eastAsia="Malgun Gothic"/>
          <w:bCs/>
          <w:color w:val="000000" w:themeColor="text1"/>
          <w:lang w:val="fr-FR"/>
        </w:rPr>
        <w:t>communaut</w:t>
      </w:r>
      <w:r w:rsidR="000F4129">
        <w:rPr>
          <w:rFonts w:eastAsia="Malgun Gothic"/>
          <w:bCs/>
          <w:color w:val="000000" w:themeColor="text1"/>
          <w:lang w:val="fr-FR"/>
        </w:rPr>
        <w:t>aire</w:t>
      </w:r>
      <w:r w:rsidR="007B29B3" w:rsidRPr="007B29B3">
        <w:rPr>
          <w:rFonts w:eastAsia="Malgun Gothic"/>
          <w:bCs/>
          <w:lang w:val="fr-FR"/>
        </w:rPr>
        <w:t xml:space="preserve"> participaient à des événements transnationaux. Le terrain d</w:t>
      </w:r>
      <w:r w:rsidR="00923E72">
        <w:rPr>
          <w:rFonts w:eastAsia="Malgun Gothic"/>
          <w:bCs/>
          <w:lang w:val="fr-FR"/>
        </w:rPr>
        <w:t>’</w:t>
      </w:r>
      <w:r w:rsidR="007B29B3" w:rsidRPr="007B29B3">
        <w:rPr>
          <w:rFonts w:eastAsia="Malgun Gothic"/>
          <w:bCs/>
          <w:lang w:val="fr-FR"/>
        </w:rPr>
        <w:t xml:space="preserve">entente majeur, établi de manière informelle par les communautés, les groupes et les individus, impliquait que les deux États </w:t>
      </w:r>
      <w:r w:rsidR="009219E2" w:rsidRPr="007B29B3">
        <w:rPr>
          <w:rFonts w:eastAsia="Malgun Gothic"/>
          <w:bCs/>
          <w:lang w:val="fr-FR"/>
        </w:rPr>
        <w:t>œuvrent</w:t>
      </w:r>
      <w:r w:rsidR="007B29B3" w:rsidRPr="007B29B3">
        <w:rPr>
          <w:rFonts w:eastAsia="Malgun Gothic"/>
          <w:bCs/>
          <w:lang w:val="fr-FR"/>
        </w:rPr>
        <w:t xml:space="preserve"> ensemble à la proposition d</w:t>
      </w:r>
      <w:r w:rsidR="00923E72">
        <w:rPr>
          <w:rFonts w:eastAsia="Malgun Gothic"/>
          <w:bCs/>
          <w:lang w:val="fr-FR"/>
        </w:rPr>
        <w:t>’</w:t>
      </w:r>
      <w:r w:rsidR="007B29B3" w:rsidRPr="007B29B3">
        <w:rPr>
          <w:rFonts w:eastAsia="Malgun Gothic"/>
          <w:bCs/>
          <w:lang w:val="fr-FR"/>
        </w:rPr>
        <w:t>un plan de sauvegarde commun, assorti d</w:t>
      </w:r>
      <w:r w:rsidR="00923E72">
        <w:rPr>
          <w:rFonts w:eastAsia="Malgun Gothic"/>
          <w:bCs/>
          <w:lang w:val="fr-FR"/>
        </w:rPr>
        <w:t>’</w:t>
      </w:r>
      <w:r w:rsidR="007B29B3" w:rsidRPr="007B29B3">
        <w:rPr>
          <w:rFonts w:eastAsia="Malgun Gothic"/>
          <w:bCs/>
          <w:lang w:val="fr-FR"/>
        </w:rPr>
        <w:t xml:space="preserve">adaptations nationales pertinentes. Ce plan serait coordonné par les </w:t>
      </w:r>
      <w:r w:rsidR="009F3FAA">
        <w:rPr>
          <w:rFonts w:eastAsia="Malgun Gothic"/>
          <w:bCs/>
          <w:lang w:val="fr-FR"/>
        </w:rPr>
        <w:t>organisation</w:t>
      </w:r>
      <w:r w:rsidR="00847D9F">
        <w:rPr>
          <w:rFonts w:eastAsia="Malgun Gothic"/>
          <w:bCs/>
          <w:lang w:val="fr-FR"/>
        </w:rPr>
        <w:t>s</w:t>
      </w:r>
      <w:r w:rsidR="009F3FAA">
        <w:rPr>
          <w:rFonts w:eastAsia="Malgun Gothic"/>
          <w:bCs/>
          <w:lang w:val="fr-FR"/>
        </w:rPr>
        <w:t xml:space="preserve"> </w:t>
      </w:r>
      <w:r w:rsidR="009F3FAA">
        <w:rPr>
          <w:rFonts w:eastAsia="Malgun Gothic"/>
          <w:bCs/>
          <w:lang w:val="fr-FR"/>
        </w:rPr>
        <w:lastRenderedPageBreak/>
        <w:t>non-gouvernementales</w:t>
      </w:r>
      <w:r w:rsidR="007B29B3" w:rsidRPr="007B29B3">
        <w:rPr>
          <w:rFonts w:eastAsia="Malgun Gothic"/>
          <w:bCs/>
          <w:lang w:val="fr-FR"/>
        </w:rPr>
        <w:t xml:space="preserve"> et les associations d</w:t>
      </w:r>
      <w:r w:rsidR="00923E72">
        <w:rPr>
          <w:rFonts w:eastAsia="Malgun Gothic"/>
          <w:bCs/>
          <w:lang w:val="fr-FR"/>
        </w:rPr>
        <w:t>’</w:t>
      </w:r>
      <w:r w:rsidR="007B29B3" w:rsidRPr="007B29B3">
        <w:rPr>
          <w:rFonts w:eastAsia="Malgun Gothic"/>
          <w:bCs/>
          <w:lang w:val="fr-FR"/>
        </w:rPr>
        <w:t>artisans des deux pays, avec le concours des deux gouvernements.</w:t>
      </w:r>
    </w:p>
    <w:p w14:paraId="73D83CB5" w14:textId="48F7F942" w:rsidR="009219E2" w:rsidRDefault="009219E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9219E2">
        <w:rPr>
          <w:rFonts w:eastAsia="Malgun Gothic"/>
          <w:bCs/>
          <w:lang w:val="fr-FR"/>
        </w:rPr>
        <w:t xml:space="preserve">La délégation de la </w:t>
      </w:r>
      <w:r w:rsidRPr="00702497">
        <w:rPr>
          <w:rFonts w:eastAsia="Malgun Gothic"/>
          <w:b/>
          <w:lang w:val="fr-FR"/>
        </w:rPr>
        <w:t>République de Moldova</w:t>
      </w:r>
      <w:r w:rsidRPr="009219E2">
        <w:rPr>
          <w:rFonts w:eastAsia="Malgun Gothic"/>
          <w:bCs/>
          <w:lang w:val="fr-FR"/>
        </w:rPr>
        <w:t xml:space="preserve"> a confirmé que la force motrice</w:t>
      </w:r>
      <w:r w:rsidR="006B257A">
        <w:rPr>
          <w:rFonts w:eastAsia="Malgun Gothic"/>
          <w:bCs/>
          <w:lang w:val="fr-FR"/>
        </w:rPr>
        <w:t xml:space="preserve">, dans son pays, </w:t>
      </w:r>
      <w:r w:rsidRPr="009219E2">
        <w:rPr>
          <w:rFonts w:eastAsia="Malgun Gothic"/>
          <w:bCs/>
          <w:lang w:val="fr-FR"/>
        </w:rPr>
        <w:t>prov</w:t>
      </w:r>
      <w:r w:rsidR="00186A4B">
        <w:rPr>
          <w:rFonts w:eastAsia="Malgun Gothic"/>
          <w:bCs/>
          <w:lang w:val="fr-FR"/>
        </w:rPr>
        <w:t>enait</w:t>
      </w:r>
      <w:r w:rsidRPr="009219E2">
        <w:rPr>
          <w:rFonts w:eastAsia="Malgun Gothic"/>
          <w:bCs/>
          <w:lang w:val="fr-FR"/>
        </w:rPr>
        <w:t xml:space="preserve"> des associations et des personnes qui, dans la société moldave, préparent et brodent les </w:t>
      </w:r>
      <w:proofErr w:type="spellStart"/>
      <w:r w:rsidRPr="00702497">
        <w:rPr>
          <w:rFonts w:eastAsia="Malgun Gothic"/>
          <w:bCs/>
          <w:i/>
          <w:iCs/>
          <w:lang w:val="fr-FR"/>
        </w:rPr>
        <w:t>altiță</w:t>
      </w:r>
      <w:proofErr w:type="spellEnd"/>
      <w:r w:rsidRPr="009219E2">
        <w:rPr>
          <w:rFonts w:eastAsia="Malgun Gothic"/>
          <w:bCs/>
          <w:lang w:val="fr-FR"/>
        </w:rPr>
        <w:t>. En fait, les deux gouvernements avaient travaillé d</w:t>
      </w:r>
      <w:r w:rsidR="00923E72">
        <w:rPr>
          <w:rFonts w:eastAsia="Malgun Gothic"/>
          <w:bCs/>
          <w:lang w:val="fr-FR"/>
        </w:rPr>
        <w:t>’</w:t>
      </w:r>
      <w:r w:rsidRPr="009219E2">
        <w:rPr>
          <w:rFonts w:eastAsia="Malgun Gothic"/>
          <w:bCs/>
          <w:lang w:val="fr-FR"/>
        </w:rPr>
        <w:t>arrache-pied sur ce dossier au cours des deux dernières années, notamment pour é</w:t>
      </w:r>
      <w:r w:rsidR="008C598F">
        <w:rPr>
          <w:rFonts w:eastAsia="Malgun Gothic"/>
          <w:bCs/>
          <w:lang w:val="fr-FR"/>
        </w:rPr>
        <w:t>laborer</w:t>
      </w:r>
      <w:r w:rsidRPr="009219E2">
        <w:rPr>
          <w:rFonts w:eastAsia="Malgun Gothic"/>
          <w:bCs/>
          <w:lang w:val="fr-FR"/>
        </w:rPr>
        <w:t xml:space="preserve"> un plan d</w:t>
      </w:r>
      <w:r w:rsidR="00923E72">
        <w:rPr>
          <w:rFonts w:eastAsia="Malgun Gothic"/>
          <w:bCs/>
          <w:lang w:val="fr-FR"/>
        </w:rPr>
        <w:t>’</w:t>
      </w:r>
      <w:r w:rsidRPr="009219E2">
        <w:rPr>
          <w:rFonts w:eastAsia="Malgun Gothic"/>
          <w:bCs/>
          <w:lang w:val="fr-FR"/>
        </w:rPr>
        <w:t xml:space="preserve">action sur la manière de promouvoir la tradition de la blouse, </w:t>
      </w:r>
      <w:r w:rsidR="008C598F">
        <w:rPr>
          <w:rFonts w:eastAsia="Malgun Gothic"/>
          <w:bCs/>
          <w:lang w:val="fr-FR"/>
        </w:rPr>
        <w:t xml:space="preserve">y compris </w:t>
      </w:r>
      <w:r w:rsidRPr="009219E2">
        <w:rPr>
          <w:rFonts w:eastAsia="Malgun Gothic"/>
          <w:bCs/>
          <w:lang w:val="fr-FR"/>
        </w:rPr>
        <w:t>son histoire et ses traditions. Ce travail serait poursuivi non seulement au niveau gouvernemental, mais également par les membres de la société dans les deux pays, et il y avait une forte détermination à poursuivre la mise en œuvre de ce plan.</w:t>
      </w:r>
    </w:p>
    <w:p w14:paraId="1BC5C6B7" w14:textId="3815EE52" w:rsidR="008C598F" w:rsidRDefault="008C598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8C598F">
        <w:rPr>
          <w:rFonts w:eastAsia="Malgun Gothic"/>
          <w:bCs/>
          <w:lang w:val="fr-FR"/>
        </w:rPr>
        <w:t xml:space="preserve">Le </w:t>
      </w:r>
      <w:r w:rsidRPr="00702497">
        <w:rPr>
          <w:rFonts w:eastAsia="Malgun Gothic"/>
          <w:b/>
          <w:lang w:val="fr-FR"/>
        </w:rPr>
        <w:t>Président</w:t>
      </w:r>
      <w:r w:rsidRPr="008C598F">
        <w:rPr>
          <w:rFonts w:eastAsia="Malgun Gothic"/>
          <w:bCs/>
          <w:lang w:val="fr-FR"/>
        </w:rPr>
        <w:t xml:space="preserve"> a remercié </w:t>
      </w:r>
      <w:r w:rsidRPr="002604BA">
        <w:rPr>
          <w:rFonts w:eastAsia="Malgun Gothic"/>
          <w:bCs/>
          <w:lang w:val="fr-FR"/>
        </w:rPr>
        <w:t xml:space="preserve">la Roumanie et la </w:t>
      </w:r>
      <w:r w:rsidR="002C0359" w:rsidRPr="002604BA">
        <w:rPr>
          <w:rFonts w:eastAsia="Malgun Gothic"/>
          <w:bCs/>
          <w:lang w:val="fr-FR"/>
        </w:rPr>
        <w:t xml:space="preserve">République de </w:t>
      </w:r>
      <w:r w:rsidRPr="002604BA">
        <w:rPr>
          <w:rFonts w:eastAsia="Malgun Gothic"/>
          <w:bCs/>
          <w:lang w:val="fr-FR"/>
        </w:rPr>
        <w:t>Mold</w:t>
      </w:r>
      <w:r w:rsidR="002C0359" w:rsidRPr="002604BA">
        <w:rPr>
          <w:rFonts w:eastAsia="Malgun Gothic"/>
          <w:bCs/>
          <w:lang w:val="fr-FR"/>
        </w:rPr>
        <w:t>ova</w:t>
      </w:r>
      <w:r w:rsidRPr="008C598F">
        <w:rPr>
          <w:rFonts w:eastAsia="Malgun Gothic"/>
          <w:bCs/>
          <w:lang w:val="fr-FR"/>
        </w:rPr>
        <w:t>, et a noté que l</w:t>
      </w:r>
      <w:r w:rsidR="00923E72">
        <w:rPr>
          <w:rFonts w:eastAsia="Malgun Gothic"/>
          <w:bCs/>
          <w:lang w:val="fr-FR"/>
        </w:rPr>
        <w:t>’</w:t>
      </w:r>
      <w:r w:rsidRPr="008C598F">
        <w:rPr>
          <w:rFonts w:eastAsia="Malgun Gothic"/>
          <w:bCs/>
          <w:lang w:val="fr-FR"/>
        </w:rPr>
        <w:t>Ouzbékistan, la Malaisie et le Maroc se portaient également coauteurs de l</w:t>
      </w:r>
      <w:r w:rsidR="00923E72">
        <w:rPr>
          <w:rFonts w:eastAsia="Malgun Gothic"/>
          <w:bCs/>
          <w:lang w:val="fr-FR"/>
        </w:rPr>
        <w:t>’</w:t>
      </w:r>
      <w:r w:rsidRPr="008C598F">
        <w:rPr>
          <w:rFonts w:eastAsia="Malgun Gothic"/>
          <w:bCs/>
          <w:lang w:val="fr-FR"/>
        </w:rPr>
        <w:t>amendement. Il a donc proposé de procéder directement à l</w:t>
      </w:r>
      <w:r w:rsidR="00923E72">
        <w:rPr>
          <w:rFonts w:eastAsia="Malgun Gothic"/>
          <w:bCs/>
          <w:lang w:val="fr-FR"/>
        </w:rPr>
        <w:t>’</w:t>
      </w:r>
      <w:r w:rsidRPr="008C598F">
        <w:rPr>
          <w:rFonts w:eastAsia="Malgun Gothic"/>
          <w:bCs/>
          <w:lang w:val="fr-FR"/>
        </w:rPr>
        <w:t>adoption de la décision avec l</w:t>
      </w:r>
      <w:r w:rsidR="00923E72">
        <w:rPr>
          <w:rFonts w:eastAsia="Malgun Gothic"/>
          <w:bCs/>
          <w:lang w:val="fr-FR"/>
        </w:rPr>
        <w:t>’</w:t>
      </w:r>
      <w:r w:rsidRPr="008C598F">
        <w:rPr>
          <w:rFonts w:eastAsia="Malgun Gothic"/>
          <w:bCs/>
          <w:lang w:val="fr-FR"/>
        </w:rPr>
        <w:t>amendement proposé par l</w:t>
      </w:r>
      <w:r w:rsidR="00923E72">
        <w:rPr>
          <w:rFonts w:eastAsia="Malgun Gothic"/>
          <w:bCs/>
          <w:lang w:val="fr-FR"/>
        </w:rPr>
        <w:t>’</w:t>
      </w:r>
      <w:r w:rsidRPr="008C598F">
        <w:rPr>
          <w:rFonts w:eastAsia="Malgun Gothic"/>
          <w:bCs/>
          <w:lang w:val="fr-FR"/>
        </w:rPr>
        <w:t>Arabie saoudite. Les membres du Comité qui soutenaient l</w:t>
      </w:r>
      <w:r w:rsidR="00923E72">
        <w:rPr>
          <w:rFonts w:eastAsia="Malgun Gothic"/>
          <w:bCs/>
          <w:lang w:val="fr-FR"/>
        </w:rPr>
        <w:t>’</w:t>
      </w:r>
      <w:r w:rsidRPr="008C598F">
        <w:rPr>
          <w:rFonts w:eastAsia="Malgun Gothic"/>
          <w:bCs/>
          <w:lang w:val="fr-FR"/>
        </w:rPr>
        <w:t>amendement étaient les suivants : l</w:t>
      </w:r>
      <w:r w:rsidR="00923E72">
        <w:rPr>
          <w:rFonts w:eastAsia="Malgun Gothic"/>
          <w:bCs/>
          <w:lang w:val="fr-FR"/>
        </w:rPr>
        <w:t>’</w:t>
      </w:r>
      <w:r w:rsidRPr="008C598F">
        <w:rPr>
          <w:rFonts w:eastAsia="Malgun Gothic"/>
          <w:bCs/>
          <w:lang w:val="fr-FR"/>
        </w:rPr>
        <w:t>Arabie</w:t>
      </w:r>
      <w:r w:rsidR="00186A4B">
        <w:rPr>
          <w:rFonts w:eastAsia="Malgun Gothic"/>
          <w:bCs/>
          <w:lang w:val="fr-FR"/>
        </w:rPr>
        <w:t> </w:t>
      </w:r>
      <w:r w:rsidRPr="008C598F">
        <w:rPr>
          <w:rFonts w:eastAsia="Malgun Gothic"/>
          <w:bCs/>
          <w:lang w:val="fr-FR"/>
        </w:rPr>
        <w:t>saoudite, l</w:t>
      </w:r>
      <w:r w:rsidR="00923E72">
        <w:rPr>
          <w:rFonts w:eastAsia="Malgun Gothic"/>
          <w:bCs/>
          <w:lang w:val="fr-FR"/>
        </w:rPr>
        <w:t>’</w:t>
      </w:r>
      <w:r w:rsidRPr="008C598F">
        <w:rPr>
          <w:rFonts w:eastAsia="Malgun Gothic"/>
          <w:bCs/>
          <w:lang w:val="fr-FR"/>
        </w:rPr>
        <w:t>Angola, le</w:t>
      </w:r>
      <w:r w:rsidR="006B257A">
        <w:rPr>
          <w:rFonts w:eastAsia="Malgun Gothic"/>
          <w:bCs/>
          <w:lang w:val="fr-FR"/>
        </w:rPr>
        <w:t xml:space="preserve"> </w:t>
      </w:r>
      <w:r w:rsidRPr="008C598F">
        <w:rPr>
          <w:rFonts w:eastAsia="Malgun Gothic"/>
          <w:bCs/>
          <w:lang w:val="fr-FR"/>
        </w:rPr>
        <w:t>Bangladesh, le</w:t>
      </w:r>
      <w:r w:rsidR="006B257A">
        <w:rPr>
          <w:rFonts w:eastAsia="Malgun Gothic"/>
          <w:bCs/>
          <w:lang w:val="fr-FR"/>
        </w:rPr>
        <w:t xml:space="preserve"> </w:t>
      </w:r>
      <w:r w:rsidRPr="008C598F">
        <w:rPr>
          <w:rFonts w:eastAsia="Malgun Gothic"/>
          <w:bCs/>
          <w:lang w:val="fr-FR"/>
        </w:rPr>
        <w:t>Botswana, le</w:t>
      </w:r>
      <w:r w:rsidR="006B257A">
        <w:rPr>
          <w:rFonts w:eastAsia="Malgun Gothic"/>
          <w:bCs/>
          <w:lang w:val="fr-FR"/>
        </w:rPr>
        <w:t xml:space="preserve"> </w:t>
      </w:r>
      <w:r w:rsidRPr="008C598F">
        <w:rPr>
          <w:rFonts w:eastAsia="Malgun Gothic"/>
          <w:bCs/>
          <w:lang w:val="fr-FR"/>
        </w:rPr>
        <w:t>Brésil, le</w:t>
      </w:r>
      <w:r w:rsidR="006B257A">
        <w:rPr>
          <w:rFonts w:eastAsia="Malgun Gothic"/>
          <w:bCs/>
          <w:lang w:val="fr-FR"/>
        </w:rPr>
        <w:t xml:space="preserve"> </w:t>
      </w:r>
      <w:r w:rsidRPr="008C598F">
        <w:rPr>
          <w:rFonts w:eastAsia="Malgun Gothic"/>
          <w:bCs/>
          <w:lang w:val="fr-FR"/>
        </w:rPr>
        <w:t>Burkina</w:t>
      </w:r>
      <w:r>
        <w:rPr>
          <w:rFonts w:eastAsia="Malgun Gothic"/>
          <w:bCs/>
          <w:lang w:val="fr-FR"/>
        </w:rPr>
        <w:t> </w:t>
      </w:r>
      <w:r w:rsidRPr="008C598F">
        <w:rPr>
          <w:rFonts w:eastAsia="Malgun Gothic"/>
          <w:bCs/>
          <w:lang w:val="fr-FR"/>
        </w:rPr>
        <w:t>Faso, la</w:t>
      </w:r>
      <w:r w:rsidR="006B257A">
        <w:rPr>
          <w:rFonts w:eastAsia="Malgun Gothic"/>
          <w:bCs/>
          <w:lang w:val="fr-FR"/>
        </w:rPr>
        <w:t xml:space="preserve"> </w:t>
      </w:r>
      <w:r w:rsidRPr="008C598F">
        <w:rPr>
          <w:rFonts w:eastAsia="Malgun Gothic"/>
          <w:bCs/>
          <w:lang w:val="fr-FR"/>
        </w:rPr>
        <w:t>Côte</w:t>
      </w:r>
      <w:r>
        <w:rPr>
          <w:rFonts w:eastAsia="Malgun Gothic"/>
          <w:bCs/>
          <w:lang w:val="fr-FR"/>
        </w:rPr>
        <w:t> </w:t>
      </w:r>
      <w:r w:rsidRPr="008C598F">
        <w:rPr>
          <w:rFonts w:eastAsia="Malgun Gothic"/>
          <w:bCs/>
          <w:lang w:val="fr-FR"/>
        </w:rPr>
        <w:t>d</w:t>
      </w:r>
      <w:r w:rsidR="00923E72">
        <w:rPr>
          <w:rFonts w:eastAsia="Malgun Gothic"/>
          <w:bCs/>
          <w:lang w:val="fr-FR"/>
        </w:rPr>
        <w:t>’</w:t>
      </w:r>
      <w:r w:rsidRPr="008C598F">
        <w:rPr>
          <w:rFonts w:eastAsia="Malgun Gothic"/>
          <w:bCs/>
          <w:lang w:val="fr-FR"/>
        </w:rPr>
        <w:t>Ivoire,</w:t>
      </w:r>
      <w:r>
        <w:rPr>
          <w:rFonts w:eastAsia="Malgun Gothic"/>
          <w:bCs/>
          <w:lang w:val="fr-FR"/>
        </w:rPr>
        <w:t xml:space="preserve"> </w:t>
      </w:r>
      <w:r w:rsidRPr="008C598F">
        <w:rPr>
          <w:rFonts w:eastAsia="Malgun Gothic"/>
          <w:bCs/>
          <w:lang w:val="fr-FR"/>
        </w:rPr>
        <w:t>l</w:t>
      </w:r>
      <w:r>
        <w:rPr>
          <w:rFonts w:eastAsia="Malgun Gothic"/>
          <w:bCs/>
          <w:lang w:val="fr-FR"/>
        </w:rPr>
        <w:t>a</w:t>
      </w:r>
      <w:r w:rsidR="006B257A">
        <w:rPr>
          <w:rFonts w:eastAsia="Malgun Gothic"/>
          <w:bCs/>
          <w:lang w:val="fr-FR"/>
        </w:rPr>
        <w:t xml:space="preserve"> </w:t>
      </w:r>
      <w:r w:rsidRPr="008C598F">
        <w:rPr>
          <w:rFonts w:eastAsia="Malgun Gothic"/>
          <w:bCs/>
          <w:lang w:val="fr-FR"/>
        </w:rPr>
        <w:t>Tchéquie,</w:t>
      </w:r>
      <w:r>
        <w:rPr>
          <w:rFonts w:eastAsia="Malgun Gothic"/>
          <w:bCs/>
          <w:lang w:val="fr-FR"/>
        </w:rPr>
        <w:t xml:space="preserve"> </w:t>
      </w:r>
      <w:r w:rsidRPr="008C598F">
        <w:rPr>
          <w:rFonts w:eastAsia="Malgun Gothic"/>
          <w:bCs/>
          <w:lang w:val="fr-FR"/>
        </w:rPr>
        <w:t>l</w:t>
      </w:r>
      <w:r w:rsidR="00923E72">
        <w:rPr>
          <w:rFonts w:eastAsia="Malgun Gothic"/>
          <w:bCs/>
          <w:lang w:val="fr-FR"/>
        </w:rPr>
        <w:t>’</w:t>
      </w:r>
      <w:r w:rsidRPr="008C598F">
        <w:rPr>
          <w:rFonts w:eastAsia="Malgun Gothic"/>
          <w:bCs/>
          <w:lang w:val="fr-FR"/>
        </w:rPr>
        <w:t xml:space="preserve">Éthiopie, </w:t>
      </w:r>
      <w:r>
        <w:rPr>
          <w:rFonts w:eastAsia="Malgun Gothic"/>
          <w:bCs/>
          <w:lang w:val="fr-FR"/>
        </w:rPr>
        <w:t>l</w:t>
      </w:r>
      <w:r w:rsidR="00923E72">
        <w:rPr>
          <w:rFonts w:eastAsia="Malgun Gothic"/>
          <w:bCs/>
          <w:lang w:val="fr-FR"/>
        </w:rPr>
        <w:t>’</w:t>
      </w:r>
      <w:r>
        <w:rPr>
          <w:rFonts w:eastAsia="Malgun Gothic"/>
          <w:bCs/>
          <w:lang w:val="fr-FR"/>
        </w:rPr>
        <w:t xml:space="preserve">Allemagne, </w:t>
      </w:r>
      <w:r w:rsidRPr="008C598F">
        <w:rPr>
          <w:rFonts w:eastAsia="Malgun Gothic"/>
          <w:bCs/>
          <w:lang w:val="fr-FR"/>
        </w:rPr>
        <w:t>l</w:t>
      </w:r>
      <w:r w:rsidR="00923E72">
        <w:rPr>
          <w:rFonts w:eastAsia="Malgun Gothic"/>
          <w:bCs/>
          <w:lang w:val="fr-FR"/>
        </w:rPr>
        <w:t>’</w:t>
      </w:r>
      <w:r w:rsidRPr="008C598F">
        <w:rPr>
          <w:rFonts w:eastAsia="Malgun Gothic"/>
          <w:bCs/>
          <w:lang w:val="fr-FR"/>
        </w:rPr>
        <w:t>Inde, la</w:t>
      </w:r>
      <w:r w:rsidR="006B257A">
        <w:rPr>
          <w:rFonts w:eastAsia="Malgun Gothic"/>
          <w:bCs/>
          <w:lang w:val="fr-FR"/>
        </w:rPr>
        <w:t xml:space="preserve"> </w:t>
      </w:r>
      <w:r w:rsidRPr="008C598F">
        <w:rPr>
          <w:rFonts w:eastAsia="Malgun Gothic"/>
          <w:bCs/>
          <w:lang w:val="fr-FR"/>
        </w:rPr>
        <w:t>Malaisie, la</w:t>
      </w:r>
      <w:r w:rsidR="006B257A">
        <w:rPr>
          <w:rFonts w:eastAsia="Malgun Gothic"/>
          <w:bCs/>
          <w:lang w:val="fr-FR"/>
        </w:rPr>
        <w:t xml:space="preserve"> </w:t>
      </w:r>
      <w:r w:rsidRPr="008C598F">
        <w:rPr>
          <w:rFonts w:eastAsia="Malgun Gothic"/>
          <w:bCs/>
          <w:lang w:val="fr-FR"/>
        </w:rPr>
        <w:t xml:space="preserve">Mauritanie, </w:t>
      </w:r>
      <w:r>
        <w:rPr>
          <w:rFonts w:eastAsia="Malgun Gothic"/>
          <w:bCs/>
          <w:lang w:val="fr-FR"/>
        </w:rPr>
        <w:t>le</w:t>
      </w:r>
      <w:r w:rsidR="006B257A">
        <w:rPr>
          <w:rFonts w:eastAsia="Malgun Gothic"/>
          <w:bCs/>
          <w:lang w:val="fr-FR"/>
        </w:rPr>
        <w:t xml:space="preserve"> </w:t>
      </w:r>
      <w:r>
        <w:rPr>
          <w:rFonts w:eastAsia="Malgun Gothic"/>
          <w:bCs/>
          <w:lang w:val="fr-FR"/>
        </w:rPr>
        <w:t xml:space="preserve">Maroc, </w:t>
      </w:r>
      <w:r w:rsidRPr="008C598F">
        <w:rPr>
          <w:rFonts w:eastAsia="Malgun Gothic"/>
          <w:bCs/>
          <w:lang w:val="fr-FR"/>
        </w:rPr>
        <w:t>le</w:t>
      </w:r>
      <w:r w:rsidR="006B257A">
        <w:rPr>
          <w:rFonts w:eastAsia="Malgun Gothic"/>
          <w:bCs/>
          <w:lang w:val="fr-FR"/>
        </w:rPr>
        <w:t xml:space="preserve"> </w:t>
      </w:r>
      <w:r w:rsidRPr="008C598F">
        <w:rPr>
          <w:rFonts w:eastAsia="Malgun Gothic"/>
          <w:bCs/>
          <w:lang w:val="fr-FR"/>
        </w:rPr>
        <w:t>Panama, le</w:t>
      </w:r>
      <w:r w:rsidR="006B257A">
        <w:rPr>
          <w:rFonts w:eastAsia="Malgun Gothic"/>
          <w:bCs/>
          <w:lang w:val="fr-FR"/>
        </w:rPr>
        <w:t xml:space="preserve"> </w:t>
      </w:r>
      <w:r w:rsidRPr="008C598F">
        <w:rPr>
          <w:rFonts w:eastAsia="Malgun Gothic"/>
          <w:bCs/>
          <w:lang w:val="fr-FR"/>
        </w:rPr>
        <w:t>Paraguay, le</w:t>
      </w:r>
      <w:r w:rsidR="006B257A">
        <w:rPr>
          <w:rFonts w:eastAsia="Malgun Gothic"/>
          <w:bCs/>
          <w:lang w:val="fr-FR"/>
        </w:rPr>
        <w:t xml:space="preserve"> </w:t>
      </w:r>
      <w:r w:rsidRPr="008C598F">
        <w:rPr>
          <w:rFonts w:eastAsia="Malgun Gothic"/>
          <w:bCs/>
          <w:lang w:val="fr-FR"/>
        </w:rPr>
        <w:t>Pérou, le</w:t>
      </w:r>
      <w:r w:rsidR="006B257A">
        <w:rPr>
          <w:rFonts w:eastAsia="Malgun Gothic"/>
          <w:bCs/>
          <w:lang w:val="fr-FR"/>
        </w:rPr>
        <w:t xml:space="preserve"> </w:t>
      </w:r>
      <w:r w:rsidRPr="008C598F">
        <w:rPr>
          <w:rFonts w:eastAsia="Malgun Gothic"/>
          <w:bCs/>
          <w:lang w:val="fr-FR"/>
        </w:rPr>
        <w:t>Rwanda, la</w:t>
      </w:r>
      <w:r w:rsidR="006B257A">
        <w:rPr>
          <w:rFonts w:eastAsia="Malgun Gothic"/>
          <w:bCs/>
          <w:lang w:val="fr-FR"/>
        </w:rPr>
        <w:t xml:space="preserve"> </w:t>
      </w:r>
      <w:r w:rsidRPr="008C598F">
        <w:rPr>
          <w:rFonts w:eastAsia="Malgun Gothic"/>
          <w:bCs/>
          <w:lang w:val="fr-FR"/>
        </w:rPr>
        <w:t>Slovaquie, l</w:t>
      </w:r>
      <w:r w:rsidR="00923E72">
        <w:rPr>
          <w:rFonts w:eastAsia="Malgun Gothic"/>
          <w:bCs/>
          <w:lang w:val="fr-FR"/>
        </w:rPr>
        <w:t>’</w:t>
      </w:r>
      <w:r w:rsidRPr="008C598F">
        <w:rPr>
          <w:rFonts w:eastAsia="Malgun Gothic"/>
          <w:bCs/>
          <w:lang w:val="fr-FR"/>
        </w:rPr>
        <w:t>Ouzbékistan et le</w:t>
      </w:r>
      <w:r w:rsidR="006B257A">
        <w:rPr>
          <w:rFonts w:eastAsia="Malgun Gothic"/>
          <w:bCs/>
          <w:lang w:val="fr-FR"/>
        </w:rPr>
        <w:t xml:space="preserve"> </w:t>
      </w:r>
      <w:r w:rsidRPr="008C598F">
        <w:rPr>
          <w:rFonts w:eastAsia="Malgun Gothic"/>
          <w:bCs/>
          <w:lang w:val="fr-FR"/>
        </w:rPr>
        <w:t>Viet</w:t>
      </w:r>
      <w:r>
        <w:rPr>
          <w:rFonts w:eastAsia="Malgun Gothic"/>
          <w:bCs/>
          <w:lang w:val="fr-FR"/>
        </w:rPr>
        <w:t> </w:t>
      </w:r>
      <w:r w:rsidRPr="008C598F">
        <w:rPr>
          <w:rFonts w:eastAsia="Malgun Gothic"/>
          <w:bCs/>
          <w:lang w:val="fr-FR"/>
        </w:rPr>
        <w:t>Nam. En l</w:t>
      </w:r>
      <w:r w:rsidR="00923E72">
        <w:rPr>
          <w:rFonts w:eastAsia="Malgun Gothic"/>
          <w:bCs/>
          <w:lang w:val="fr-FR"/>
        </w:rPr>
        <w:t>’</w:t>
      </w:r>
      <w:r w:rsidRPr="008C598F">
        <w:rPr>
          <w:rFonts w:eastAsia="Malgun Gothic"/>
          <w:bCs/>
          <w:lang w:val="fr-FR"/>
        </w:rPr>
        <w:t>absence d</w:t>
      </w:r>
      <w:r w:rsidR="00923E72">
        <w:rPr>
          <w:rFonts w:eastAsia="Malgun Gothic"/>
          <w:bCs/>
          <w:lang w:val="fr-FR"/>
        </w:rPr>
        <w:t>’</w:t>
      </w:r>
      <w:r w:rsidRPr="008C598F">
        <w:rPr>
          <w:rFonts w:eastAsia="Malgun Gothic"/>
          <w:bCs/>
          <w:lang w:val="fr-FR"/>
        </w:rPr>
        <w:t xml:space="preserve">autres commentaires ou objections, le </w:t>
      </w:r>
      <w:r w:rsidRPr="00702497">
        <w:rPr>
          <w:rFonts w:eastAsia="Malgun Gothic"/>
          <w:b/>
          <w:lang w:val="fr-FR"/>
        </w:rPr>
        <w:t>Président a déclaré adoptée la décision</w:t>
      </w:r>
      <w:r w:rsidR="006B257A">
        <w:rPr>
          <w:rFonts w:eastAsia="Malgun Gothic"/>
          <w:b/>
          <w:lang w:val="fr-FR"/>
        </w:rPr>
        <w:t> </w:t>
      </w:r>
      <w:r w:rsidR="00751FB1">
        <w:fldChar w:fldCharType="begin"/>
      </w:r>
      <w:r w:rsidR="00751FB1" w:rsidRPr="00751FB1">
        <w:rPr>
          <w:lang w:val="fr-FR"/>
        </w:rPr>
        <w:instrText>HYPERLINK "https://ich.unesco.org/fr/Decisions/17.COM/7.b.23"</w:instrText>
      </w:r>
      <w:r w:rsidR="00751FB1">
        <w:fldChar w:fldCharType="separate"/>
      </w:r>
      <w:r w:rsidRPr="006E3034">
        <w:rPr>
          <w:rStyle w:val="Hyperlink"/>
          <w:b/>
          <w:lang w:val="fr-FR"/>
        </w:rPr>
        <w:t>17.COM 7.b.23</w:t>
      </w:r>
      <w:r w:rsidR="00751FB1">
        <w:rPr>
          <w:rStyle w:val="Hyperlink"/>
          <w:b/>
          <w:lang w:val="fr-FR"/>
        </w:rPr>
        <w:fldChar w:fldCharType="end"/>
      </w:r>
      <w:r w:rsidRPr="00702497">
        <w:rPr>
          <w:rFonts w:eastAsia="Malgun Gothic"/>
          <w:b/>
          <w:lang w:val="fr-FR"/>
        </w:rPr>
        <w:t xml:space="preserve"> d</w:t>
      </w:r>
      <w:r w:rsidR="00923E72">
        <w:rPr>
          <w:rFonts w:eastAsia="Malgun Gothic"/>
          <w:b/>
          <w:lang w:val="fr-FR"/>
        </w:rPr>
        <w:t>’</w:t>
      </w:r>
      <w:r w:rsidRPr="00702497">
        <w:rPr>
          <w:rFonts w:eastAsia="Malgun Gothic"/>
          <w:b/>
          <w:lang w:val="fr-FR"/>
        </w:rPr>
        <w:t>inscrire l</w:t>
      </w:r>
      <w:r w:rsidR="00923E72">
        <w:rPr>
          <w:rFonts w:eastAsia="Malgun Gothic"/>
          <w:b/>
          <w:lang w:val="fr-FR"/>
        </w:rPr>
        <w:t>’</w:t>
      </w:r>
      <w:r w:rsidRPr="00702497">
        <w:rPr>
          <w:rFonts w:eastAsia="Malgun Gothic"/>
          <w:b/>
          <w:lang w:val="fr-FR"/>
        </w:rPr>
        <w:t>art de la blouse traditionnelle avec broderie sur l</w:t>
      </w:r>
      <w:r w:rsidR="00923E72">
        <w:rPr>
          <w:rFonts w:eastAsia="Malgun Gothic"/>
          <w:b/>
          <w:lang w:val="fr-FR"/>
        </w:rPr>
        <w:t>’</w:t>
      </w:r>
      <w:r w:rsidRPr="00702497">
        <w:rPr>
          <w:rFonts w:eastAsia="Malgun Gothic"/>
          <w:b/>
          <w:lang w:val="fr-FR"/>
        </w:rPr>
        <w:t>épaule (</w:t>
      </w:r>
      <w:proofErr w:type="spellStart"/>
      <w:r w:rsidRPr="00702497">
        <w:rPr>
          <w:rFonts w:eastAsia="Malgun Gothic"/>
          <w:b/>
          <w:i/>
          <w:iCs/>
          <w:lang w:val="fr-FR"/>
        </w:rPr>
        <w:t>altiţă</w:t>
      </w:r>
      <w:proofErr w:type="spellEnd"/>
      <w:r w:rsidRPr="00702497">
        <w:rPr>
          <w:rFonts w:eastAsia="Malgun Gothic"/>
          <w:b/>
          <w:lang w:val="fr-FR"/>
        </w:rPr>
        <w:t>), élément de l</w:t>
      </w:r>
      <w:r w:rsidR="00923E72">
        <w:rPr>
          <w:rFonts w:eastAsia="Malgun Gothic"/>
          <w:b/>
          <w:lang w:val="fr-FR"/>
        </w:rPr>
        <w:t>’</w:t>
      </w:r>
      <w:r w:rsidRPr="00702497">
        <w:rPr>
          <w:rFonts w:eastAsia="Malgun Gothic"/>
          <w:b/>
          <w:lang w:val="fr-FR"/>
        </w:rPr>
        <w:t>identité culturelle en Roumanie et en République de Moldova sur la Liste représentative</w:t>
      </w:r>
      <w:r w:rsidRPr="008C598F">
        <w:rPr>
          <w:rFonts w:eastAsia="Malgun Gothic"/>
          <w:bCs/>
          <w:lang w:val="fr-FR"/>
        </w:rPr>
        <w:t>.</w:t>
      </w:r>
    </w:p>
    <w:p w14:paraId="3EB31C60" w14:textId="7AE21642" w:rsidR="00FC4AC2" w:rsidRDefault="002C035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2C0359">
        <w:rPr>
          <w:rFonts w:eastAsia="Malgun Gothic"/>
          <w:bCs/>
          <w:lang w:val="fr-FR"/>
        </w:rPr>
        <w:t xml:space="preserve">La délégation de la </w:t>
      </w:r>
      <w:r w:rsidRPr="00702497">
        <w:rPr>
          <w:rFonts w:eastAsia="Malgun Gothic"/>
          <w:b/>
          <w:lang w:val="fr-FR"/>
        </w:rPr>
        <w:t>Roumanie</w:t>
      </w:r>
      <w:r w:rsidRPr="002C0359">
        <w:rPr>
          <w:rFonts w:eastAsia="Malgun Gothic"/>
          <w:bCs/>
          <w:lang w:val="fr-FR"/>
        </w:rPr>
        <w:t xml:space="preserve"> a fait remarquer </w:t>
      </w:r>
      <w:r w:rsidR="00186A4B">
        <w:rPr>
          <w:rFonts w:eastAsia="Malgun Gothic"/>
          <w:bCs/>
          <w:lang w:val="fr-FR"/>
        </w:rPr>
        <w:t xml:space="preserve">que cette journée était </w:t>
      </w:r>
      <w:r>
        <w:rPr>
          <w:rFonts w:eastAsia="Malgun Gothic"/>
          <w:bCs/>
          <w:lang w:val="fr-FR"/>
        </w:rPr>
        <w:t>très particuli</w:t>
      </w:r>
      <w:r w:rsidR="00186A4B">
        <w:rPr>
          <w:rFonts w:eastAsia="Malgun Gothic"/>
          <w:bCs/>
          <w:lang w:val="fr-FR"/>
        </w:rPr>
        <w:t>ère</w:t>
      </w:r>
      <w:r>
        <w:rPr>
          <w:rFonts w:eastAsia="Malgun Gothic"/>
          <w:bCs/>
          <w:lang w:val="fr-FR"/>
        </w:rPr>
        <w:t xml:space="preserve">, </w:t>
      </w:r>
      <w:r w:rsidRPr="002C0359">
        <w:rPr>
          <w:rFonts w:eastAsia="Malgun Gothic"/>
          <w:bCs/>
          <w:lang w:val="fr-FR"/>
        </w:rPr>
        <w:t>puisque c</w:t>
      </w:r>
      <w:r w:rsidR="00923E72">
        <w:rPr>
          <w:rFonts w:eastAsia="Malgun Gothic"/>
          <w:bCs/>
          <w:lang w:val="fr-FR"/>
        </w:rPr>
        <w:t>’</w:t>
      </w:r>
      <w:r w:rsidRPr="002C0359">
        <w:rPr>
          <w:rFonts w:eastAsia="Malgun Gothic"/>
          <w:bCs/>
          <w:lang w:val="fr-FR"/>
        </w:rPr>
        <w:t xml:space="preserve">était également la fête nationale de la Roumanie. La Roumanie était heureuse de présenter </w:t>
      </w:r>
      <w:r w:rsidR="00C13422">
        <w:rPr>
          <w:rFonts w:eastAsia="Malgun Gothic"/>
          <w:bCs/>
          <w:lang w:val="fr-FR"/>
        </w:rPr>
        <w:t>cette</w:t>
      </w:r>
      <w:r w:rsidRPr="002C0359">
        <w:rPr>
          <w:rFonts w:eastAsia="Malgun Gothic"/>
          <w:bCs/>
          <w:lang w:val="fr-FR"/>
        </w:rPr>
        <w:t xml:space="preserve"> candidature conjointe avec la République de Moldova à cette dix</w:t>
      </w:r>
      <w:r>
        <w:rPr>
          <w:rFonts w:eastAsia="Malgun Gothic"/>
          <w:bCs/>
          <w:lang w:val="fr-FR"/>
        </w:rPr>
        <w:noBreakHyphen/>
      </w:r>
      <w:r w:rsidRPr="002C0359">
        <w:rPr>
          <w:rFonts w:eastAsia="Malgun Gothic"/>
          <w:bCs/>
          <w:lang w:val="fr-FR"/>
        </w:rPr>
        <w:t>septième session du Comité, accueillie avec générosité par le Royaume du Maroc. Au nom des deux pays, la délégation a exprimé sa gratitude à l</w:t>
      </w:r>
      <w:r w:rsidR="00923E72">
        <w:rPr>
          <w:rFonts w:eastAsia="Malgun Gothic"/>
          <w:bCs/>
          <w:lang w:val="fr-FR"/>
        </w:rPr>
        <w:t>’</w:t>
      </w:r>
      <w:r w:rsidRPr="002C0359">
        <w:rPr>
          <w:rFonts w:eastAsia="Malgun Gothic"/>
          <w:bCs/>
          <w:lang w:val="fr-FR"/>
        </w:rPr>
        <w:t>Organe d</w:t>
      </w:r>
      <w:r w:rsidR="00923E72">
        <w:rPr>
          <w:rFonts w:eastAsia="Malgun Gothic"/>
          <w:bCs/>
          <w:lang w:val="fr-FR"/>
        </w:rPr>
        <w:t>’</w:t>
      </w:r>
      <w:r w:rsidRPr="002C0359">
        <w:rPr>
          <w:rFonts w:eastAsia="Malgun Gothic"/>
          <w:bCs/>
          <w:lang w:val="fr-FR"/>
        </w:rPr>
        <w:t xml:space="preserve">évaluation, au Comité et aux communautés du patrimoine immatériel. Elle </w:t>
      </w:r>
      <w:r>
        <w:rPr>
          <w:rFonts w:eastAsia="Malgun Gothic"/>
          <w:bCs/>
          <w:lang w:val="fr-FR"/>
        </w:rPr>
        <w:t>était</w:t>
      </w:r>
      <w:r w:rsidRPr="002C0359">
        <w:rPr>
          <w:rFonts w:eastAsia="Malgun Gothic"/>
          <w:bCs/>
          <w:lang w:val="fr-FR"/>
        </w:rPr>
        <w:t xml:space="preserve"> reconnaissante aux experts évaluateurs </w:t>
      </w:r>
      <w:r>
        <w:rPr>
          <w:rFonts w:eastAsia="Malgun Gothic"/>
          <w:bCs/>
          <w:lang w:val="fr-FR"/>
        </w:rPr>
        <w:t>d</w:t>
      </w:r>
      <w:r w:rsidR="00923E72">
        <w:rPr>
          <w:rFonts w:eastAsia="Malgun Gothic"/>
          <w:bCs/>
          <w:lang w:val="fr-FR"/>
        </w:rPr>
        <w:t>’</w:t>
      </w:r>
      <w:r>
        <w:rPr>
          <w:rFonts w:eastAsia="Malgun Gothic"/>
          <w:bCs/>
          <w:lang w:val="fr-FR"/>
        </w:rPr>
        <w:t xml:space="preserve">avoir </w:t>
      </w:r>
      <w:r w:rsidRPr="002C0359">
        <w:rPr>
          <w:rFonts w:eastAsia="Malgun Gothic"/>
          <w:bCs/>
          <w:lang w:val="fr-FR"/>
        </w:rPr>
        <w:t>accordé leur attention à la candidature, offrant de précieuses perspectives, des recommandations et un soutien pour consolider les efforts, présents et futurs, liés à l</w:t>
      </w:r>
      <w:r w:rsidR="00923E72">
        <w:rPr>
          <w:rFonts w:eastAsia="Malgun Gothic"/>
          <w:bCs/>
          <w:lang w:val="fr-FR"/>
        </w:rPr>
        <w:t>’</w:t>
      </w:r>
      <w:r w:rsidRPr="002C0359">
        <w:rPr>
          <w:rFonts w:eastAsia="Malgun Gothic"/>
          <w:bCs/>
          <w:lang w:val="fr-FR"/>
        </w:rPr>
        <w:t>élément</w:t>
      </w:r>
      <w:r>
        <w:rPr>
          <w:rFonts w:eastAsia="Malgun Gothic"/>
          <w:bCs/>
          <w:lang w:val="fr-FR"/>
        </w:rPr>
        <w:t xml:space="preserve"> </w:t>
      </w:r>
      <w:r w:rsidRPr="002C0359">
        <w:rPr>
          <w:rFonts w:eastAsia="Malgun Gothic"/>
          <w:bCs/>
          <w:lang w:val="fr-FR"/>
        </w:rPr>
        <w:t>mais également au patrimoine culturel immatériel en général. La délégation s</w:t>
      </w:r>
      <w:r w:rsidR="00923E72">
        <w:rPr>
          <w:rFonts w:eastAsia="Malgun Gothic"/>
          <w:bCs/>
          <w:lang w:val="fr-FR"/>
        </w:rPr>
        <w:t>’</w:t>
      </w:r>
      <w:r w:rsidRPr="002C0359">
        <w:rPr>
          <w:rFonts w:eastAsia="Malgun Gothic"/>
          <w:bCs/>
          <w:lang w:val="fr-FR"/>
        </w:rPr>
        <w:t>est félicitée de l</w:t>
      </w:r>
      <w:r w:rsidR="00923E72">
        <w:rPr>
          <w:rFonts w:eastAsia="Malgun Gothic"/>
          <w:bCs/>
          <w:lang w:val="fr-FR"/>
        </w:rPr>
        <w:t>’</w:t>
      </w:r>
      <w:r w:rsidRPr="002C0359">
        <w:rPr>
          <w:rFonts w:eastAsia="Malgun Gothic"/>
          <w:bCs/>
          <w:lang w:val="fr-FR"/>
        </w:rPr>
        <w:t xml:space="preserve">inscription de cet élément commun sur la Liste représentative, </w:t>
      </w:r>
      <w:r>
        <w:rPr>
          <w:rFonts w:eastAsia="Malgun Gothic"/>
          <w:bCs/>
          <w:lang w:val="fr-FR"/>
        </w:rPr>
        <w:t>car elle</w:t>
      </w:r>
      <w:r w:rsidRPr="002C0359">
        <w:rPr>
          <w:rFonts w:eastAsia="Malgun Gothic"/>
          <w:bCs/>
          <w:lang w:val="fr-FR"/>
        </w:rPr>
        <w:t xml:space="preserve"> </w:t>
      </w:r>
      <w:r>
        <w:rPr>
          <w:rFonts w:eastAsia="Malgun Gothic"/>
          <w:bCs/>
          <w:lang w:val="fr-FR"/>
        </w:rPr>
        <w:t>ouvrait la voie au</w:t>
      </w:r>
      <w:r w:rsidRPr="002C0359">
        <w:rPr>
          <w:rFonts w:eastAsia="Malgun Gothic"/>
          <w:bCs/>
          <w:lang w:val="fr-FR"/>
        </w:rPr>
        <w:t xml:space="preserve"> suivi, encore plus important, de l</w:t>
      </w:r>
      <w:r w:rsidR="00923E72">
        <w:rPr>
          <w:rFonts w:eastAsia="Malgun Gothic"/>
          <w:bCs/>
          <w:lang w:val="fr-FR"/>
        </w:rPr>
        <w:t>’</w:t>
      </w:r>
      <w:r w:rsidRPr="002C0359">
        <w:rPr>
          <w:rFonts w:eastAsia="Malgun Gothic"/>
          <w:bCs/>
          <w:lang w:val="fr-FR"/>
        </w:rPr>
        <w:t>efficacité des mesures de sauvegarde et de la protection de l</w:t>
      </w:r>
      <w:r w:rsidR="00923E72">
        <w:rPr>
          <w:rFonts w:eastAsia="Malgun Gothic"/>
          <w:bCs/>
          <w:lang w:val="fr-FR"/>
        </w:rPr>
        <w:t>’</w:t>
      </w:r>
      <w:r w:rsidRPr="002C0359">
        <w:rPr>
          <w:rFonts w:eastAsia="Malgun Gothic"/>
          <w:bCs/>
          <w:lang w:val="fr-FR"/>
        </w:rPr>
        <w:t>élément placé au cœur de cette culture partagée</w:t>
      </w:r>
      <w:r>
        <w:rPr>
          <w:rFonts w:eastAsia="Malgun Gothic"/>
          <w:bCs/>
          <w:lang w:val="fr-FR"/>
        </w:rPr>
        <w:t>,</w:t>
      </w:r>
      <w:r w:rsidRPr="002C0359">
        <w:rPr>
          <w:rFonts w:eastAsia="Malgun Gothic"/>
          <w:bCs/>
          <w:lang w:val="fr-FR"/>
        </w:rPr>
        <w:t xml:space="preserve"> </w:t>
      </w:r>
      <w:r w:rsidR="00C13422">
        <w:rPr>
          <w:rFonts w:eastAsia="Malgun Gothic"/>
          <w:bCs/>
          <w:lang w:val="fr-FR"/>
        </w:rPr>
        <w:t xml:space="preserve">un élément </w:t>
      </w:r>
      <w:r w:rsidRPr="002C0359">
        <w:rPr>
          <w:rFonts w:eastAsia="Malgun Gothic"/>
          <w:bCs/>
          <w:lang w:val="fr-FR"/>
        </w:rPr>
        <w:t>qui appartenait désormais au monde entier.</w:t>
      </w:r>
    </w:p>
    <w:p w14:paraId="09B56C46" w14:textId="4E7CE3D4" w:rsidR="002C36C5" w:rsidRPr="00702497" w:rsidRDefault="002C36C5"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06E77418" w14:textId="22923E6C" w:rsidR="00FC4AC2" w:rsidRDefault="002C36C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2C36C5">
        <w:rPr>
          <w:rFonts w:eastAsia="Malgun Gothic"/>
          <w:bCs/>
          <w:lang w:val="fr-FR"/>
        </w:rPr>
        <w:t xml:space="preserve">Le </w:t>
      </w:r>
      <w:r w:rsidRPr="00702497">
        <w:rPr>
          <w:rFonts w:eastAsia="Malgun Gothic"/>
          <w:b/>
          <w:lang w:val="fr-FR"/>
        </w:rPr>
        <w:t>ministre de la Culture de la République de Mold</w:t>
      </w:r>
      <w:r>
        <w:rPr>
          <w:rFonts w:eastAsia="Malgun Gothic"/>
          <w:b/>
          <w:lang w:val="fr-FR"/>
        </w:rPr>
        <w:t>ova</w:t>
      </w:r>
      <w:r w:rsidRPr="002C36C5">
        <w:rPr>
          <w:rFonts w:eastAsia="Malgun Gothic"/>
          <w:bCs/>
          <w:lang w:val="fr-FR"/>
        </w:rPr>
        <w:t xml:space="preserve">, </w:t>
      </w:r>
      <w:r w:rsidR="006C3B58" w:rsidRPr="006E3034">
        <w:rPr>
          <w:rFonts w:eastAsia="Malgun Gothic"/>
          <w:bCs/>
          <w:lang w:val="fr-FR"/>
        </w:rPr>
        <w:t>S.</w:t>
      </w:r>
      <w:r w:rsidR="00090E6E" w:rsidRPr="006E3034">
        <w:rPr>
          <w:rFonts w:eastAsia="Malgun Gothic"/>
          <w:bCs/>
          <w:lang w:val="fr-FR"/>
        </w:rPr>
        <w:t> </w:t>
      </w:r>
      <w:r w:rsidR="006C3B58" w:rsidRPr="006E3034">
        <w:rPr>
          <w:rFonts w:eastAsia="Malgun Gothic"/>
          <w:bCs/>
          <w:lang w:val="fr-FR"/>
        </w:rPr>
        <w:t>E</w:t>
      </w:r>
      <w:r w:rsidR="00F846ED" w:rsidRPr="006E3034">
        <w:rPr>
          <w:rFonts w:eastAsia="Malgun Gothic"/>
          <w:bCs/>
          <w:lang w:val="fr-FR"/>
        </w:rPr>
        <w:t>xc</w:t>
      </w:r>
      <w:r w:rsidR="006C3B58" w:rsidRPr="006E3034">
        <w:rPr>
          <w:rFonts w:eastAsia="Malgun Gothic"/>
          <w:bCs/>
          <w:lang w:val="fr-FR"/>
        </w:rPr>
        <w:t xml:space="preserve">. </w:t>
      </w:r>
      <w:r w:rsidRPr="006E3034">
        <w:rPr>
          <w:rFonts w:eastAsia="Malgun Gothic"/>
          <w:bCs/>
          <w:lang w:val="fr-FR"/>
        </w:rPr>
        <w:t xml:space="preserve">M. Sergiu </w:t>
      </w:r>
      <w:proofErr w:type="spellStart"/>
      <w:r w:rsidRPr="006E3034">
        <w:rPr>
          <w:rFonts w:eastAsia="Malgun Gothic"/>
          <w:bCs/>
          <w:lang w:val="fr-FR"/>
        </w:rPr>
        <w:t>Prodan</w:t>
      </w:r>
      <w:proofErr w:type="spellEnd"/>
      <w:r w:rsidRPr="006251F1">
        <w:rPr>
          <w:rFonts w:eastAsia="Malgun Gothic"/>
          <w:bCs/>
          <w:lang w:val="fr-FR"/>
        </w:rPr>
        <w:t>,</w:t>
      </w:r>
      <w:r w:rsidRPr="002C36C5">
        <w:rPr>
          <w:rFonts w:eastAsia="Malgun Gothic"/>
          <w:bCs/>
          <w:lang w:val="fr-FR"/>
        </w:rPr>
        <w:t xml:space="preserve"> a </w:t>
      </w:r>
      <w:r>
        <w:rPr>
          <w:rFonts w:eastAsia="Malgun Gothic"/>
          <w:bCs/>
          <w:lang w:val="fr-FR"/>
        </w:rPr>
        <w:t>qualifié</w:t>
      </w:r>
      <w:r w:rsidRPr="002C36C5">
        <w:rPr>
          <w:rFonts w:eastAsia="Malgun Gothic"/>
          <w:bCs/>
          <w:lang w:val="fr-FR"/>
        </w:rPr>
        <w:t xml:space="preserve"> cette journée </w:t>
      </w:r>
      <w:r>
        <w:rPr>
          <w:rFonts w:eastAsia="Malgun Gothic"/>
          <w:bCs/>
          <w:lang w:val="fr-FR"/>
        </w:rPr>
        <w:t>d</w:t>
      </w:r>
      <w:r w:rsidR="00923E72">
        <w:rPr>
          <w:rFonts w:eastAsia="Malgun Gothic"/>
          <w:bCs/>
          <w:lang w:val="fr-FR"/>
        </w:rPr>
        <w:t>’</w:t>
      </w:r>
      <w:r w:rsidRPr="002C36C5">
        <w:rPr>
          <w:rFonts w:eastAsia="Malgun Gothic"/>
          <w:bCs/>
          <w:lang w:val="fr-FR"/>
        </w:rPr>
        <w:t>historique pour les citoyens et les communautés des deux pays</w:t>
      </w:r>
      <w:r>
        <w:rPr>
          <w:rFonts w:eastAsia="Malgun Gothic"/>
          <w:bCs/>
          <w:lang w:val="fr-FR"/>
        </w:rPr>
        <w:t xml:space="preserve">, qui confirmait à nouveau </w:t>
      </w:r>
      <w:r w:rsidRPr="002C36C5">
        <w:rPr>
          <w:rFonts w:eastAsia="Malgun Gothic"/>
          <w:bCs/>
          <w:lang w:val="fr-FR"/>
        </w:rPr>
        <w:t>l</w:t>
      </w:r>
      <w:r w:rsidR="00923E72">
        <w:rPr>
          <w:rFonts w:eastAsia="Malgun Gothic"/>
          <w:bCs/>
          <w:lang w:val="fr-FR"/>
        </w:rPr>
        <w:t>’</w:t>
      </w:r>
      <w:r w:rsidRPr="002C36C5">
        <w:rPr>
          <w:rFonts w:eastAsia="Malgun Gothic"/>
          <w:bCs/>
          <w:lang w:val="fr-FR"/>
        </w:rPr>
        <w:t>existence de valeurs communes dans l</w:t>
      </w:r>
      <w:r w:rsidR="00923E72">
        <w:rPr>
          <w:rFonts w:eastAsia="Malgun Gothic"/>
          <w:bCs/>
          <w:lang w:val="fr-FR"/>
        </w:rPr>
        <w:t>’</w:t>
      </w:r>
      <w:r w:rsidRPr="002C36C5">
        <w:rPr>
          <w:rFonts w:eastAsia="Malgun Gothic"/>
          <w:bCs/>
          <w:lang w:val="fr-FR"/>
        </w:rPr>
        <w:t>art de la blouse traditionnelle avec broderie sur l</w:t>
      </w:r>
      <w:r w:rsidR="00923E72">
        <w:rPr>
          <w:rFonts w:eastAsia="Malgun Gothic"/>
          <w:bCs/>
          <w:lang w:val="fr-FR"/>
        </w:rPr>
        <w:t>’</w:t>
      </w:r>
      <w:r w:rsidRPr="002C36C5">
        <w:rPr>
          <w:rFonts w:eastAsia="Malgun Gothic"/>
          <w:bCs/>
          <w:lang w:val="fr-FR"/>
        </w:rPr>
        <w:t xml:space="preserve">épaule, </w:t>
      </w:r>
      <w:r>
        <w:rPr>
          <w:rFonts w:eastAsia="Malgun Gothic"/>
          <w:bCs/>
          <w:lang w:val="fr-FR"/>
        </w:rPr>
        <w:t>l</w:t>
      </w:r>
      <w:r w:rsidR="00923E72">
        <w:rPr>
          <w:rFonts w:eastAsia="Malgun Gothic"/>
          <w:bCs/>
          <w:lang w:val="fr-FR"/>
        </w:rPr>
        <w:t>’</w:t>
      </w:r>
      <w:proofErr w:type="spellStart"/>
      <w:r w:rsidRPr="00702497">
        <w:rPr>
          <w:rFonts w:eastAsia="Malgun Gothic"/>
          <w:bCs/>
          <w:i/>
          <w:iCs/>
          <w:lang w:val="fr-FR"/>
        </w:rPr>
        <w:t>altiţă</w:t>
      </w:r>
      <w:proofErr w:type="spellEnd"/>
      <w:r w:rsidRPr="002C36C5">
        <w:rPr>
          <w:rFonts w:eastAsia="Malgun Gothic"/>
          <w:bCs/>
          <w:lang w:val="fr-FR"/>
        </w:rPr>
        <w:t xml:space="preserve">. Ce symbolisme était </w:t>
      </w:r>
      <w:r>
        <w:rPr>
          <w:rFonts w:eastAsia="Malgun Gothic"/>
          <w:bCs/>
          <w:lang w:val="fr-FR"/>
        </w:rPr>
        <w:t>renforcé par</w:t>
      </w:r>
      <w:r w:rsidRPr="002C36C5">
        <w:rPr>
          <w:rFonts w:eastAsia="Malgun Gothic"/>
          <w:bCs/>
          <w:lang w:val="fr-FR"/>
        </w:rPr>
        <w:t xml:space="preserve"> la fête nationale roumaine et </w:t>
      </w:r>
      <w:r>
        <w:rPr>
          <w:rFonts w:eastAsia="Malgun Gothic"/>
          <w:bCs/>
          <w:lang w:val="fr-FR"/>
        </w:rPr>
        <w:t>le</w:t>
      </w:r>
      <w:r w:rsidRPr="002C36C5">
        <w:rPr>
          <w:rFonts w:eastAsia="Malgun Gothic"/>
          <w:bCs/>
          <w:lang w:val="fr-FR"/>
        </w:rPr>
        <w:t xml:space="preserve"> trentième anniversaire de </w:t>
      </w:r>
      <w:r>
        <w:rPr>
          <w:rFonts w:eastAsia="Malgun Gothic"/>
          <w:bCs/>
          <w:lang w:val="fr-FR"/>
        </w:rPr>
        <w:t xml:space="preserve">la </w:t>
      </w:r>
      <w:r w:rsidRPr="002C36C5">
        <w:rPr>
          <w:rFonts w:eastAsia="Malgun Gothic"/>
          <w:bCs/>
          <w:lang w:val="fr-FR"/>
        </w:rPr>
        <w:t>présence de la République de Moldova au sein de l</w:t>
      </w:r>
      <w:r w:rsidR="00923E72">
        <w:rPr>
          <w:rFonts w:eastAsia="Malgun Gothic"/>
          <w:bCs/>
          <w:lang w:val="fr-FR"/>
        </w:rPr>
        <w:t>’</w:t>
      </w:r>
      <w:r w:rsidRPr="002C36C5">
        <w:rPr>
          <w:rFonts w:eastAsia="Malgun Gothic"/>
          <w:bCs/>
          <w:lang w:val="fr-FR"/>
        </w:rPr>
        <w:t>UNESCO. Le ministre s</w:t>
      </w:r>
      <w:r w:rsidR="00923E72">
        <w:rPr>
          <w:rFonts w:eastAsia="Malgun Gothic"/>
          <w:bCs/>
          <w:lang w:val="fr-FR"/>
        </w:rPr>
        <w:t>’</w:t>
      </w:r>
      <w:r w:rsidRPr="002C36C5">
        <w:rPr>
          <w:rFonts w:eastAsia="Malgun Gothic"/>
          <w:bCs/>
          <w:lang w:val="fr-FR"/>
        </w:rPr>
        <w:t>est réjoui de l</w:t>
      </w:r>
      <w:r w:rsidR="00923E72">
        <w:rPr>
          <w:rFonts w:eastAsia="Malgun Gothic"/>
          <w:bCs/>
          <w:lang w:val="fr-FR"/>
        </w:rPr>
        <w:t>’</w:t>
      </w:r>
      <w:r w:rsidRPr="002C36C5">
        <w:rPr>
          <w:rFonts w:eastAsia="Malgun Gothic"/>
          <w:bCs/>
          <w:lang w:val="fr-FR"/>
        </w:rPr>
        <w:t xml:space="preserve">opportunité </w:t>
      </w:r>
      <w:r w:rsidR="00186A4B">
        <w:rPr>
          <w:rFonts w:eastAsia="Malgun Gothic"/>
          <w:bCs/>
          <w:lang w:val="fr-FR"/>
        </w:rPr>
        <w:t xml:space="preserve">qui avait été </w:t>
      </w:r>
      <w:r w:rsidRPr="002C36C5">
        <w:rPr>
          <w:rFonts w:eastAsia="Malgun Gothic"/>
          <w:bCs/>
          <w:lang w:val="fr-FR"/>
        </w:rPr>
        <w:t>offerte par le Comité d</w:t>
      </w:r>
      <w:r w:rsidR="00923E72">
        <w:rPr>
          <w:rFonts w:eastAsia="Malgun Gothic"/>
          <w:bCs/>
          <w:lang w:val="fr-FR"/>
        </w:rPr>
        <w:t>’</w:t>
      </w:r>
      <w:r w:rsidRPr="002C36C5">
        <w:rPr>
          <w:rFonts w:eastAsia="Malgun Gothic"/>
          <w:bCs/>
          <w:lang w:val="fr-FR"/>
        </w:rPr>
        <w:t>apporter tous les éclaircissements nécessaires afin de soutenir le dossier de candidature en vue de l</w:t>
      </w:r>
      <w:r w:rsidR="00923E72">
        <w:rPr>
          <w:rFonts w:eastAsia="Malgun Gothic"/>
          <w:bCs/>
          <w:lang w:val="fr-FR"/>
        </w:rPr>
        <w:t>’</w:t>
      </w:r>
      <w:r w:rsidRPr="002C36C5">
        <w:rPr>
          <w:rFonts w:eastAsia="Malgun Gothic"/>
          <w:bCs/>
          <w:lang w:val="fr-FR"/>
        </w:rPr>
        <w:t>inscription de l</w:t>
      </w:r>
      <w:r w:rsidR="00923E72">
        <w:rPr>
          <w:rFonts w:eastAsia="Malgun Gothic"/>
          <w:bCs/>
          <w:lang w:val="fr-FR"/>
        </w:rPr>
        <w:t>’</w:t>
      </w:r>
      <w:r w:rsidRPr="002C36C5">
        <w:rPr>
          <w:rFonts w:eastAsia="Malgun Gothic"/>
          <w:bCs/>
          <w:lang w:val="fr-FR"/>
        </w:rPr>
        <w:t>élément sur la Liste représentative. Dans ce contexte international troublé, le ministre a félicité tous les membres des communautés qui préservent et transmettent cet art et ce savoir-faire pour maintenir vivantes son identité et ses valeurs. Il était également reconnaissant à tous les acteurs au niveau local, aux groupes d</w:t>
      </w:r>
      <w:r w:rsidR="00923E72">
        <w:rPr>
          <w:rFonts w:eastAsia="Malgun Gothic"/>
          <w:bCs/>
          <w:lang w:val="fr-FR"/>
        </w:rPr>
        <w:t>’</w:t>
      </w:r>
      <w:r w:rsidRPr="002C36C5">
        <w:rPr>
          <w:rFonts w:eastAsia="Malgun Gothic"/>
          <w:bCs/>
          <w:lang w:val="fr-FR"/>
        </w:rPr>
        <w:t>initiative civique, aux ONG et à tous ceux qui s</w:t>
      </w:r>
      <w:r w:rsidR="00923E72">
        <w:rPr>
          <w:rFonts w:eastAsia="Malgun Gothic"/>
          <w:bCs/>
          <w:lang w:val="fr-FR"/>
        </w:rPr>
        <w:t>’</w:t>
      </w:r>
      <w:r w:rsidRPr="002C36C5">
        <w:rPr>
          <w:rFonts w:eastAsia="Malgun Gothic"/>
          <w:bCs/>
          <w:lang w:val="fr-FR"/>
        </w:rPr>
        <w:t>impliquent dans l</w:t>
      </w:r>
      <w:r w:rsidR="00923E72">
        <w:rPr>
          <w:rFonts w:eastAsia="Malgun Gothic"/>
          <w:bCs/>
          <w:lang w:val="fr-FR"/>
        </w:rPr>
        <w:t>’</w:t>
      </w:r>
      <w:r w:rsidRPr="002C36C5">
        <w:rPr>
          <w:rFonts w:eastAsia="Malgun Gothic"/>
          <w:bCs/>
          <w:lang w:val="fr-FR"/>
        </w:rPr>
        <w:t>éducation au patrimoine</w:t>
      </w:r>
      <w:r w:rsidR="00C13422">
        <w:rPr>
          <w:rFonts w:eastAsia="Malgun Gothic"/>
          <w:bCs/>
          <w:lang w:val="fr-FR"/>
        </w:rPr>
        <w:t xml:space="preserve"> et qui</w:t>
      </w:r>
      <w:r w:rsidRPr="002C36C5">
        <w:rPr>
          <w:rFonts w:eastAsia="Malgun Gothic"/>
          <w:bCs/>
          <w:lang w:val="fr-FR"/>
        </w:rPr>
        <w:t xml:space="preserve"> veill</w:t>
      </w:r>
      <w:r w:rsidR="00C13422">
        <w:rPr>
          <w:rFonts w:eastAsia="Malgun Gothic"/>
          <w:bCs/>
          <w:lang w:val="fr-FR"/>
        </w:rPr>
        <w:t>e</w:t>
      </w:r>
      <w:r w:rsidRPr="002C36C5">
        <w:rPr>
          <w:rFonts w:eastAsia="Malgun Gothic"/>
          <w:bCs/>
          <w:lang w:val="fr-FR"/>
        </w:rPr>
        <w:t>nt à l</w:t>
      </w:r>
      <w:r w:rsidR="00923E72">
        <w:rPr>
          <w:rFonts w:eastAsia="Malgun Gothic"/>
          <w:bCs/>
          <w:lang w:val="fr-FR"/>
        </w:rPr>
        <w:t>’</w:t>
      </w:r>
      <w:r w:rsidRPr="002C36C5">
        <w:rPr>
          <w:rFonts w:eastAsia="Malgun Gothic"/>
          <w:bCs/>
          <w:lang w:val="fr-FR"/>
        </w:rPr>
        <w:t>essor des valeurs immatérielles et à leur promotion.</w:t>
      </w:r>
    </w:p>
    <w:p w14:paraId="39BFCCAC" w14:textId="5CD1145D" w:rsidR="00615FA4" w:rsidRPr="00C13422" w:rsidRDefault="00615FA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15FA4">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615FA4">
        <w:rPr>
          <w:rFonts w:eastAsia="Malgun Gothic"/>
          <w:bCs/>
          <w:lang w:val="fr-FR"/>
        </w:rPr>
        <w:t xml:space="preserve"> a présenté le dossier de candidature suivant, </w:t>
      </w:r>
      <w:r w:rsidRPr="00702497">
        <w:rPr>
          <w:rFonts w:eastAsia="Malgun Gothic"/>
          <w:b/>
          <w:lang w:val="fr-FR"/>
        </w:rPr>
        <w:t>les pratiques sociales et les connaissances liées à la préparation et à l</w:t>
      </w:r>
      <w:r w:rsidR="00923E72">
        <w:rPr>
          <w:rFonts w:eastAsia="Malgun Gothic"/>
          <w:b/>
          <w:lang w:val="fr-FR"/>
        </w:rPr>
        <w:t>’</w:t>
      </w:r>
      <w:r w:rsidRPr="00702497">
        <w:rPr>
          <w:rFonts w:eastAsia="Malgun Gothic"/>
          <w:b/>
          <w:lang w:val="fr-FR"/>
        </w:rPr>
        <w:t>utilisation de l</w:t>
      </w:r>
      <w:r w:rsidR="00923E72">
        <w:rPr>
          <w:rFonts w:eastAsia="Malgun Gothic"/>
          <w:b/>
          <w:lang w:val="fr-FR"/>
        </w:rPr>
        <w:t>’</w:t>
      </w:r>
      <w:r w:rsidRPr="00702497">
        <w:rPr>
          <w:rFonts w:eastAsia="Malgun Gothic"/>
          <w:b/>
          <w:lang w:val="fr-FR"/>
        </w:rPr>
        <w:t>eau-de-vie traditionnelle de prune (</w:t>
      </w:r>
      <w:proofErr w:type="spellStart"/>
      <w:r w:rsidRPr="00702497">
        <w:rPr>
          <w:rFonts w:eastAsia="Malgun Gothic"/>
          <w:b/>
          <w:i/>
          <w:iCs/>
          <w:lang w:val="fr-FR"/>
        </w:rPr>
        <w:t>šljivovica</w:t>
      </w:r>
      <w:proofErr w:type="spellEnd"/>
      <w:r w:rsidRPr="00702497">
        <w:rPr>
          <w:rFonts w:eastAsia="Malgun Gothic"/>
          <w:b/>
          <w:lang w:val="fr-FR"/>
        </w:rPr>
        <w:t>)</w:t>
      </w:r>
      <w:r w:rsidRPr="00615FA4">
        <w:rPr>
          <w:rFonts w:eastAsia="Malgun Gothic"/>
          <w:bCs/>
          <w:lang w:val="fr-FR"/>
        </w:rPr>
        <w:t xml:space="preserve"> [projet de décision</w:t>
      </w:r>
      <w:r w:rsidR="00C13422">
        <w:rPr>
          <w:rFonts w:eastAsia="Malgun Gothic"/>
          <w:bCs/>
          <w:lang w:val="fr-FR"/>
        </w:rPr>
        <w:t> </w:t>
      </w:r>
      <w:r w:rsidRPr="00615FA4">
        <w:rPr>
          <w:rFonts w:eastAsia="Malgun Gothic"/>
          <w:bCs/>
          <w:lang w:val="fr-FR"/>
        </w:rPr>
        <w:t>7.b.26]</w:t>
      </w:r>
      <w:r w:rsidR="00136090">
        <w:rPr>
          <w:rFonts w:eastAsia="Malgun Gothic"/>
          <w:bCs/>
          <w:lang w:val="fr-FR"/>
        </w:rPr>
        <w:t>,</w:t>
      </w:r>
      <w:r w:rsidRPr="00615FA4">
        <w:rPr>
          <w:rFonts w:eastAsia="Malgun Gothic"/>
          <w:bCs/>
          <w:lang w:val="fr-FR"/>
        </w:rPr>
        <w:t xml:space="preserve"> soumis par la </w:t>
      </w:r>
      <w:r w:rsidRPr="00702497">
        <w:rPr>
          <w:rFonts w:eastAsia="Malgun Gothic"/>
          <w:b/>
          <w:lang w:val="fr-FR"/>
        </w:rPr>
        <w:t>Serbie</w:t>
      </w:r>
      <w:r w:rsidRPr="00615FA4">
        <w:rPr>
          <w:rFonts w:eastAsia="Malgun Gothic"/>
          <w:bCs/>
          <w:lang w:val="fr-FR"/>
        </w:rPr>
        <w:t xml:space="preserve">, expliquant que </w:t>
      </w:r>
      <w:r>
        <w:rPr>
          <w:rFonts w:eastAsia="Malgun Gothic"/>
          <w:bCs/>
          <w:lang w:val="fr-FR"/>
        </w:rPr>
        <w:t>la</w:t>
      </w:r>
      <w:r w:rsidRPr="00615FA4">
        <w:rPr>
          <w:rFonts w:eastAsia="Malgun Gothic"/>
          <w:bCs/>
          <w:lang w:val="fr-FR"/>
        </w:rPr>
        <w:t xml:space="preserve"> </w:t>
      </w:r>
      <w:proofErr w:type="spellStart"/>
      <w:r w:rsidRPr="00702497">
        <w:rPr>
          <w:rFonts w:eastAsia="Malgun Gothic"/>
          <w:bCs/>
          <w:i/>
          <w:iCs/>
          <w:lang w:val="fr-FR"/>
        </w:rPr>
        <w:t>šljivovica</w:t>
      </w:r>
      <w:proofErr w:type="spellEnd"/>
      <w:r w:rsidRPr="00615FA4">
        <w:rPr>
          <w:rFonts w:eastAsia="Malgun Gothic"/>
          <w:bCs/>
          <w:lang w:val="fr-FR"/>
        </w:rPr>
        <w:t xml:space="preserve"> est un</w:t>
      </w:r>
      <w:r>
        <w:rPr>
          <w:rFonts w:eastAsia="Malgun Gothic"/>
          <w:bCs/>
          <w:lang w:val="fr-FR"/>
        </w:rPr>
        <w:t xml:space="preserve">e eau-de-vie </w:t>
      </w:r>
      <w:r w:rsidRPr="00615FA4">
        <w:rPr>
          <w:rFonts w:eastAsia="Malgun Gothic"/>
          <w:bCs/>
          <w:lang w:val="fr-FR"/>
        </w:rPr>
        <w:t>de prune traditionnel</w:t>
      </w:r>
      <w:r>
        <w:rPr>
          <w:rFonts w:eastAsia="Malgun Gothic"/>
          <w:bCs/>
          <w:lang w:val="fr-FR"/>
        </w:rPr>
        <w:t>le</w:t>
      </w:r>
      <w:r w:rsidR="00AE6AEF">
        <w:rPr>
          <w:rFonts w:eastAsia="Malgun Gothic"/>
          <w:bCs/>
          <w:lang w:val="fr-FR"/>
        </w:rPr>
        <w:t xml:space="preserve">, </w:t>
      </w:r>
      <w:r>
        <w:rPr>
          <w:rFonts w:eastAsia="Malgun Gothic"/>
          <w:bCs/>
          <w:lang w:val="fr-FR"/>
        </w:rPr>
        <w:t>que l</w:t>
      </w:r>
      <w:r w:rsidR="00923E72">
        <w:rPr>
          <w:rFonts w:eastAsia="Malgun Gothic"/>
          <w:bCs/>
          <w:lang w:val="fr-FR"/>
        </w:rPr>
        <w:t>’</w:t>
      </w:r>
      <w:r>
        <w:rPr>
          <w:rFonts w:eastAsia="Malgun Gothic"/>
          <w:bCs/>
          <w:lang w:val="fr-FR"/>
        </w:rPr>
        <w:t>élément</w:t>
      </w:r>
      <w:r w:rsidRPr="00615FA4">
        <w:rPr>
          <w:rFonts w:eastAsia="Malgun Gothic"/>
          <w:bCs/>
          <w:lang w:val="fr-FR"/>
        </w:rPr>
        <w:t xml:space="preserve"> </w:t>
      </w:r>
      <w:r w:rsidR="00C13422">
        <w:rPr>
          <w:rFonts w:eastAsia="Malgun Gothic"/>
          <w:bCs/>
          <w:lang w:val="fr-FR"/>
        </w:rPr>
        <w:t xml:space="preserve">englobe </w:t>
      </w:r>
      <w:r w:rsidRPr="00C13422">
        <w:rPr>
          <w:rFonts w:eastAsia="Malgun Gothic"/>
          <w:bCs/>
          <w:lang w:val="fr-FR"/>
        </w:rPr>
        <w:t xml:space="preserve">les connaissances et savoir-faire complexes nécessaires à la préparation de la boisson dans </w:t>
      </w:r>
      <w:r w:rsidRPr="00C13422">
        <w:rPr>
          <w:rFonts w:eastAsia="Malgun Gothic"/>
          <w:bCs/>
          <w:lang w:val="fr-FR"/>
        </w:rPr>
        <w:lastRenderedPageBreak/>
        <w:t>un cadre domestique ainsi que son utilisation au quotidien et à l</w:t>
      </w:r>
      <w:r w:rsidR="00923E72">
        <w:rPr>
          <w:rFonts w:eastAsia="Malgun Gothic"/>
          <w:bCs/>
          <w:lang w:val="fr-FR"/>
        </w:rPr>
        <w:t>’</w:t>
      </w:r>
      <w:r w:rsidRPr="00C13422">
        <w:rPr>
          <w:rFonts w:eastAsia="Malgun Gothic"/>
          <w:bCs/>
          <w:lang w:val="fr-FR"/>
        </w:rPr>
        <w:t>occasion de rituels, et que sa préparation compte plusieurs étapes mobilisant les familles et les communautés, les prunes étant généralement cultivées dans des exploitations familiales et récoltées en automne. Il a précisé que cet élément joue un rôle clé dans le développement d</w:t>
      </w:r>
      <w:r w:rsidR="00923E72">
        <w:rPr>
          <w:rFonts w:eastAsia="Malgun Gothic"/>
          <w:bCs/>
          <w:lang w:val="fr-FR"/>
        </w:rPr>
        <w:t>’</w:t>
      </w:r>
      <w:r w:rsidRPr="00C13422">
        <w:rPr>
          <w:rFonts w:eastAsia="Malgun Gothic"/>
          <w:bCs/>
          <w:lang w:val="fr-FR"/>
        </w:rPr>
        <w:t>un sentiment d</w:t>
      </w:r>
      <w:r w:rsidR="00923E72">
        <w:rPr>
          <w:rFonts w:eastAsia="Malgun Gothic"/>
          <w:bCs/>
          <w:lang w:val="fr-FR"/>
        </w:rPr>
        <w:t>’</w:t>
      </w:r>
      <w:r w:rsidRPr="00C13422">
        <w:rPr>
          <w:rFonts w:eastAsia="Malgun Gothic"/>
          <w:bCs/>
          <w:lang w:val="fr-FR"/>
        </w:rPr>
        <w:t>appartenance au</w:t>
      </w:r>
      <w:r w:rsidR="00AE6AEF" w:rsidRPr="00C13422">
        <w:rPr>
          <w:rFonts w:eastAsia="Malgun Gothic"/>
          <w:bCs/>
          <w:lang w:val="fr-FR"/>
        </w:rPr>
        <w:t>x groupes respectifs et que</w:t>
      </w:r>
      <w:r w:rsidRPr="00C13422">
        <w:rPr>
          <w:rFonts w:eastAsia="Malgun Gothic"/>
          <w:bCs/>
          <w:lang w:val="fr-FR"/>
        </w:rPr>
        <w:t xml:space="preserve"> </w:t>
      </w:r>
      <w:r w:rsidR="00AE6AEF" w:rsidRPr="00C13422">
        <w:rPr>
          <w:rFonts w:eastAsia="Malgun Gothic"/>
          <w:bCs/>
          <w:lang w:val="fr-FR"/>
        </w:rPr>
        <w:t>l</w:t>
      </w:r>
      <w:r w:rsidRPr="00C13422">
        <w:rPr>
          <w:rFonts w:eastAsia="Malgun Gothic"/>
          <w:bCs/>
          <w:lang w:val="fr-FR"/>
        </w:rPr>
        <w:t xml:space="preserve">a </w:t>
      </w:r>
      <w:proofErr w:type="spellStart"/>
      <w:r w:rsidR="00AE6AEF" w:rsidRPr="00702497">
        <w:rPr>
          <w:rFonts w:eastAsia="Malgun Gothic"/>
          <w:bCs/>
          <w:i/>
          <w:iCs/>
          <w:lang w:val="fr-FR"/>
        </w:rPr>
        <w:t>šljivovica</w:t>
      </w:r>
      <w:proofErr w:type="spellEnd"/>
      <w:r w:rsidRPr="00C13422">
        <w:rPr>
          <w:rFonts w:eastAsia="Malgun Gothic"/>
          <w:bCs/>
          <w:lang w:val="fr-FR"/>
        </w:rPr>
        <w:t xml:space="preserve"> </w:t>
      </w:r>
      <w:r w:rsidR="00AE6AEF" w:rsidRPr="00C13422">
        <w:rPr>
          <w:rFonts w:eastAsia="Malgun Gothic"/>
          <w:bCs/>
          <w:lang w:val="fr-FR"/>
        </w:rPr>
        <w:t xml:space="preserve">est </w:t>
      </w:r>
      <w:r w:rsidRPr="00C13422">
        <w:rPr>
          <w:rFonts w:eastAsia="Malgun Gothic"/>
          <w:bCs/>
          <w:lang w:val="fr-FR"/>
        </w:rPr>
        <w:t xml:space="preserve">un </w:t>
      </w:r>
      <w:r w:rsidR="00AE6AEF" w:rsidRPr="00C13422">
        <w:rPr>
          <w:rFonts w:eastAsia="Malgun Gothic"/>
          <w:bCs/>
          <w:lang w:val="fr-FR"/>
        </w:rPr>
        <w:t xml:space="preserve">symbole </w:t>
      </w:r>
      <w:r w:rsidRPr="00C13422">
        <w:rPr>
          <w:rFonts w:eastAsia="Malgun Gothic"/>
          <w:bCs/>
          <w:lang w:val="fr-FR"/>
        </w:rPr>
        <w:t>de la culture traditionnelle et de l</w:t>
      </w:r>
      <w:r w:rsidR="00923E72">
        <w:rPr>
          <w:rFonts w:eastAsia="Malgun Gothic"/>
          <w:bCs/>
          <w:lang w:val="fr-FR"/>
        </w:rPr>
        <w:t>’</w:t>
      </w:r>
      <w:r w:rsidRPr="00C13422">
        <w:rPr>
          <w:rFonts w:eastAsia="Malgun Gothic"/>
          <w:bCs/>
          <w:lang w:val="fr-FR"/>
        </w:rPr>
        <w:t>identité des communautés et des individus,</w:t>
      </w:r>
      <w:r w:rsidR="00AE6AEF" w:rsidRPr="00C13422">
        <w:rPr>
          <w:rFonts w:eastAsia="Malgun Gothic"/>
          <w:bCs/>
          <w:lang w:val="fr-FR"/>
        </w:rPr>
        <w:t xml:space="preserve"> </w:t>
      </w:r>
      <w:r w:rsidRPr="00C13422">
        <w:rPr>
          <w:rFonts w:eastAsia="Malgun Gothic"/>
          <w:bCs/>
          <w:lang w:val="fr-FR"/>
        </w:rPr>
        <w:t xml:space="preserve">utilisé </w:t>
      </w:r>
      <w:r w:rsidR="00AE6AEF" w:rsidRPr="00C13422">
        <w:rPr>
          <w:rFonts w:eastAsia="Malgun Gothic"/>
          <w:bCs/>
          <w:lang w:val="fr-FR"/>
        </w:rPr>
        <w:t>lors des</w:t>
      </w:r>
      <w:r w:rsidRPr="00C13422">
        <w:rPr>
          <w:rFonts w:eastAsia="Malgun Gothic"/>
          <w:bCs/>
          <w:lang w:val="fr-FR"/>
        </w:rPr>
        <w:t xml:space="preserve"> rituels </w:t>
      </w:r>
      <w:r w:rsidR="00AE6AEF" w:rsidRPr="00C13422">
        <w:rPr>
          <w:rFonts w:eastAsia="Malgun Gothic"/>
          <w:bCs/>
          <w:lang w:val="fr-FR"/>
        </w:rPr>
        <w:t>liés au</w:t>
      </w:r>
      <w:r w:rsidRPr="00C13422">
        <w:rPr>
          <w:rFonts w:eastAsia="Malgun Gothic"/>
          <w:bCs/>
          <w:lang w:val="fr-FR"/>
        </w:rPr>
        <w:t xml:space="preserve"> mariage, </w:t>
      </w:r>
      <w:r w:rsidR="00AE6AEF" w:rsidRPr="00C13422">
        <w:rPr>
          <w:rFonts w:eastAsia="Malgun Gothic"/>
          <w:bCs/>
          <w:lang w:val="fr-FR"/>
        </w:rPr>
        <w:t>d</w:t>
      </w:r>
      <w:r w:rsidR="00923E72">
        <w:rPr>
          <w:rFonts w:eastAsia="Malgun Gothic"/>
          <w:bCs/>
          <w:lang w:val="fr-FR"/>
        </w:rPr>
        <w:t>’</w:t>
      </w:r>
      <w:r w:rsidR="00AE6AEF" w:rsidRPr="00C13422">
        <w:rPr>
          <w:rFonts w:eastAsia="Malgun Gothic"/>
          <w:bCs/>
          <w:lang w:val="fr-FR"/>
        </w:rPr>
        <w:t xml:space="preserve">importants </w:t>
      </w:r>
      <w:r w:rsidRPr="00C13422">
        <w:rPr>
          <w:rFonts w:eastAsia="Malgun Gothic"/>
          <w:bCs/>
          <w:lang w:val="fr-FR"/>
        </w:rPr>
        <w:t xml:space="preserve">événements de la vie sociale, </w:t>
      </w:r>
      <w:r w:rsidR="00AE6AEF" w:rsidRPr="00C13422">
        <w:rPr>
          <w:rFonts w:eastAsia="Malgun Gothic"/>
          <w:bCs/>
          <w:lang w:val="fr-FR"/>
        </w:rPr>
        <w:t>d</w:t>
      </w:r>
      <w:r w:rsidR="00923E72">
        <w:rPr>
          <w:rFonts w:eastAsia="Malgun Gothic"/>
          <w:bCs/>
          <w:lang w:val="fr-FR"/>
        </w:rPr>
        <w:t>’</w:t>
      </w:r>
      <w:r w:rsidRPr="00C13422">
        <w:rPr>
          <w:rFonts w:eastAsia="Malgun Gothic"/>
          <w:bCs/>
          <w:lang w:val="fr-FR"/>
        </w:rPr>
        <w:t xml:space="preserve">anniversaires et </w:t>
      </w:r>
      <w:r w:rsidR="00AE6AEF" w:rsidRPr="00C13422">
        <w:rPr>
          <w:rFonts w:eastAsia="Malgun Gothic"/>
          <w:bCs/>
          <w:lang w:val="fr-FR"/>
        </w:rPr>
        <w:t xml:space="preserve">de </w:t>
      </w:r>
      <w:r w:rsidRPr="00C13422">
        <w:rPr>
          <w:rFonts w:eastAsia="Malgun Gothic"/>
          <w:bCs/>
          <w:lang w:val="fr-FR"/>
        </w:rPr>
        <w:t>rituels funéraires. L</w:t>
      </w:r>
      <w:r w:rsidR="00923E72">
        <w:rPr>
          <w:rFonts w:eastAsia="Malgun Gothic"/>
          <w:bCs/>
          <w:lang w:val="fr-FR"/>
        </w:rPr>
        <w:t>’</w:t>
      </w:r>
      <w:r w:rsidRPr="00C13422">
        <w:rPr>
          <w:rFonts w:eastAsia="Malgun Gothic"/>
          <w:bCs/>
          <w:lang w:val="fr-FR"/>
        </w:rPr>
        <w:t>Organe d</w:t>
      </w:r>
      <w:r w:rsidR="00923E72">
        <w:rPr>
          <w:rFonts w:eastAsia="Malgun Gothic"/>
          <w:bCs/>
          <w:lang w:val="fr-FR"/>
        </w:rPr>
        <w:t>’</w:t>
      </w:r>
      <w:r w:rsidRPr="00C13422">
        <w:rPr>
          <w:rFonts w:eastAsia="Malgun Gothic"/>
          <w:bCs/>
          <w:lang w:val="fr-FR"/>
        </w:rPr>
        <w:t xml:space="preserve">évaluation avait estimé que la candidature </w:t>
      </w:r>
      <w:r w:rsidR="00F7793C" w:rsidRPr="00C13422">
        <w:rPr>
          <w:rFonts w:eastAsia="Malgun Gothic"/>
          <w:bCs/>
          <w:lang w:val="fr-FR"/>
        </w:rPr>
        <w:t xml:space="preserve">satisfaisait </w:t>
      </w:r>
      <w:r w:rsidRPr="00C13422">
        <w:rPr>
          <w:rFonts w:eastAsia="Malgun Gothic"/>
          <w:bCs/>
          <w:lang w:val="fr-FR"/>
        </w:rPr>
        <w:t>aux cinq critères et recommandait l</w:t>
      </w:r>
      <w:r w:rsidR="00923E72">
        <w:rPr>
          <w:rFonts w:eastAsia="Malgun Gothic"/>
          <w:bCs/>
          <w:lang w:val="fr-FR"/>
        </w:rPr>
        <w:t>’</w:t>
      </w:r>
      <w:r w:rsidRPr="00C13422">
        <w:rPr>
          <w:rFonts w:eastAsia="Malgun Gothic"/>
          <w:bCs/>
          <w:lang w:val="fr-FR"/>
        </w:rPr>
        <w:t>inscription de cet élément sur la Liste représentative.</w:t>
      </w:r>
    </w:p>
    <w:p w14:paraId="01A3C644" w14:textId="0AC88AEC" w:rsidR="00AE6AEF" w:rsidRDefault="00AE6AE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C13422">
        <w:rPr>
          <w:rFonts w:eastAsia="Malgun Gothic"/>
          <w:b/>
          <w:lang w:val="fr-FR"/>
        </w:rPr>
        <w:t> </w:t>
      </w:r>
      <w:r w:rsidR="00751FB1">
        <w:fldChar w:fldCharType="begin"/>
      </w:r>
      <w:r w:rsidR="00751FB1" w:rsidRPr="00751FB1">
        <w:rPr>
          <w:lang w:val="fr-FR"/>
        </w:rPr>
        <w:instrText>HYPERLINK "https://ich.unesco.org/fr/Decisions/17.COM/7.b.26"</w:instrText>
      </w:r>
      <w:r w:rsidR="00751FB1">
        <w:fldChar w:fldCharType="separate"/>
      </w:r>
      <w:r w:rsidRPr="006E3034">
        <w:rPr>
          <w:rStyle w:val="Hyperlink"/>
          <w:b/>
          <w:bCs/>
          <w:lang w:val="fr-FR"/>
        </w:rPr>
        <w:t>17.COM 7.b.26</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inscrire</w:t>
      </w:r>
      <w:r>
        <w:rPr>
          <w:rFonts w:eastAsia="Malgun Gothic"/>
          <w:b/>
          <w:lang w:val="fr-FR"/>
        </w:rPr>
        <w:t xml:space="preserve"> </w:t>
      </w:r>
      <w:r w:rsidRPr="00497B98">
        <w:rPr>
          <w:rFonts w:eastAsia="Malgun Gothic"/>
          <w:b/>
          <w:lang w:val="fr-FR"/>
        </w:rPr>
        <w:t>les pratiques sociales et les connaissances liées à la préparation et à l</w:t>
      </w:r>
      <w:r w:rsidR="00923E72">
        <w:rPr>
          <w:rFonts w:eastAsia="Malgun Gothic"/>
          <w:b/>
          <w:lang w:val="fr-FR"/>
        </w:rPr>
        <w:t>’</w:t>
      </w:r>
      <w:r w:rsidRPr="00497B98">
        <w:rPr>
          <w:rFonts w:eastAsia="Malgun Gothic"/>
          <w:b/>
          <w:lang w:val="fr-FR"/>
        </w:rPr>
        <w:t>utilisation de l</w:t>
      </w:r>
      <w:r w:rsidR="00923E72">
        <w:rPr>
          <w:rFonts w:eastAsia="Malgun Gothic"/>
          <w:b/>
          <w:lang w:val="fr-FR"/>
        </w:rPr>
        <w:t>’</w:t>
      </w:r>
      <w:r w:rsidRPr="00497B98">
        <w:rPr>
          <w:rFonts w:eastAsia="Malgun Gothic"/>
          <w:b/>
          <w:lang w:val="fr-FR"/>
        </w:rPr>
        <w:t>eau-de-vie traditionnelle de prune (</w:t>
      </w:r>
      <w:proofErr w:type="spellStart"/>
      <w:r w:rsidRPr="00497B98">
        <w:rPr>
          <w:rFonts w:eastAsia="Malgun Gothic"/>
          <w:b/>
          <w:i/>
          <w:iCs/>
          <w:lang w:val="fr-FR"/>
        </w:rPr>
        <w:t>šljivovica</w:t>
      </w:r>
      <w:proofErr w:type="spellEnd"/>
      <w:r w:rsidRPr="00497B98">
        <w:rPr>
          <w:rFonts w:eastAsia="Malgun Gothic"/>
          <w:b/>
          <w:lang w:val="fr-FR"/>
        </w:rPr>
        <w:t>)</w:t>
      </w:r>
      <w:r>
        <w:rPr>
          <w:rFonts w:eastAsia="Malgun Gothic"/>
          <w:b/>
          <w:lang w:val="fr-FR"/>
        </w:rPr>
        <w:t xml:space="preserve"> sur la Liste représentative</w:t>
      </w:r>
      <w:r>
        <w:rPr>
          <w:rFonts w:eastAsia="Malgun Gothic"/>
          <w:bCs/>
          <w:lang w:val="fr-FR"/>
        </w:rPr>
        <w:t>.</w:t>
      </w:r>
    </w:p>
    <w:p w14:paraId="6D20620D" w14:textId="3FA0874F" w:rsidR="00AE6AEF" w:rsidRDefault="00AE6AEF"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E6AEF">
        <w:rPr>
          <w:rFonts w:eastAsia="Malgun Gothic"/>
          <w:bCs/>
          <w:lang w:val="fr-FR"/>
        </w:rPr>
        <w:t xml:space="preserve">La délégation de la </w:t>
      </w:r>
      <w:r w:rsidRPr="00702497">
        <w:rPr>
          <w:rFonts w:eastAsia="Malgun Gothic"/>
          <w:b/>
          <w:lang w:val="fr-FR"/>
        </w:rPr>
        <w:t>Serbie</w:t>
      </w:r>
      <w:r w:rsidRPr="00AE6AEF">
        <w:rPr>
          <w:rFonts w:eastAsia="Malgun Gothic"/>
          <w:bCs/>
          <w:lang w:val="fr-FR"/>
        </w:rPr>
        <w:t xml:space="preserve"> a exprimé sa profonde reconnaissance et sa gratitude au Comité pour sa décision d</w:t>
      </w:r>
      <w:r w:rsidR="00923E72">
        <w:rPr>
          <w:rFonts w:eastAsia="Malgun Gothic"/>
          <w:bCs/>
          <w:lang w:val="fr-FR"/>
        </w:rPr>
        <w:t>’</w:t>
      </w:r>
      <w:r w:rsidRPr="00AE6AEF">
        <w:rPr>
          <w:rFonts w:eastAsia="Malgun Gothic"/>
          <w:bCs/>
          <w:lang w:val="fr-FR"/>
        </w:rPr>
        <w:t>inscrire sur la Liste représentative les pratiques sociales et les connaissances liées à la préparation et à l</w:t>
      </w:r>
      <w:r w:rsidR="00923E72">
        <w:rPr>
          <w:rFonts w:eastAsia="Malgun Gothic"/>
          <w:bCs/>
          <w:lang w:val="fr-FR"/>
        </w:rPr>
        <w:t>’</w:t>
      </w:r>
      <w:r w:rsidRPr="00AE6AEF">
        <w:rPr>
          <w:rFonts w:eastAsia="Malgun Gothic"/>
          <w:bCs/>
          <w:lang w:val="fr-FR"/>
        </w:rPr>
        <w:t>utilisation de l</w:t>
      </w:r>
      <w:r w:rsidR="00923E72">
        <w:rPr>
          <w:rFonts w:eastAsia="Malgun Gothic"/>
          <w:bCs/>
          <w:lang w:val="fr-FR"/>
        </w:rPr>
        <w:t>’</w:t>
      </w:r>
      <w:r w:rsidRPr="00AE6AEF">
        <w:rPr>
          <w:rFonts w:eastAsia="Malgun Gothic"/>
          <w:bCs/>
          <w:lang w:val="fr-FR"/>
        </w:rPr>
        <w:t xml:space="preserve">eau-de-vie traditionnelle de prune, la </w:t>
      </w:r>
      <w:proofErr w:type="spellStart"/>
      <w:r w:rsidRPr="00702497">
        <w:rPr>
          <w:rFonts w:eastAsia="Malgun Gothic"/>
          <w:bCs/>
          <w:i/>
          <w:iCs/>
          <w:lang w:val="fr-FR"/>
        </w:rPr>
        <w:t>šljivovica</w:t>
      </w:r>
      <w:proofErr w:type="spellEnd"/>
      <w:r w:rsidRPr="00AE6AEF">
        <w:rPr>
          <w:rFonts w:eastAsia="Malgun Gothic"/>
          <w:bCs/>
          <w:lang w:val="fr-FR"/>
        </w:rPr>
        <w:t>. Elle a remercié les membres de l</w:t>
      </w:r>
      <w:r w:rsidR="00923E72">
        <w:rPr>
          <w:rFonts w:eastAsia="Malgun Gothic"/>
          <w:bCs/>
          <w:lang w:val="fr-FR"/>
        </w:rPr>
        <w:t>’</w:t>
      </w:r>
      <w:r w:rsidRPr="00AE6AEF">
        <w:rPr>
          <w:rFonts w:eastAsia="Malgun Gothic"/>
          <w:bCs/>
          <w:lang w:val="fr-FR"/>
        </w:rPr>
        <w:t>Organe d</w:t>
      </w:r>
      <w:r w:rsidR="00923E72">
        <w:rPr>
          <w:rFonts w:eastAsia="Malgun Gothic"/>
          <w:bCs/>
          <w:lang w:val="fr-FR"/>
        </w:rPr>
        <w:t>’</w:t>
      </w:r>
      <w:r w:rsidRPr="00AE6AEF">
        <w:rPr>
          <w:rFonts w:eastAsia="Malgun Gothic"/>
          <w:bCs/>
          <w:lang w:val="fr-FR"/>
        </w:rPr>
        <w:t>évaluation et le Secrétariat pour leur travail assidu de préparation et d</w:t>
      </w:r>
      <w:r w:rsidR="00923E72">
        <w:rPr>
          <w:rFonts w:eastAsia="Malgun Gothic"/>
          <w:bCs/>
          <w:lang w:val="fr-FR"/>
        </w:rPr>
        <w:t>’</w:t>
      </w:r>
      <w:r w:rsidRPr="00AE6AEF">
        <w:rPr>
          <w:rFonts w:eastAsia="Malgun Gothic"/>
          <w:bCs/>
          <w:lang w:val="fr-FR"/>
        </w:rPr>
        <w:t xml:space="preserve">évaluation de son dossier de candidature. Pour le peuple serbe, les différents aspects de la culture de la </w:t>
      </w:r>
      <w:proofErr w:type="spellStart"/>
      <w:r w:rsidRPr="00702497">
        <w:rPr>
          <w:rFonts w:eastAsia="Malgun Gothic"/>
          <w:bCs/>
          <w:i/>
          <w:iCs/>
          <w:lang w:val="fr-FR"/>
        </w:rPr>
        <w:t>šljivovica</w:t>
      </w:r>
      <w:proofErr w:type="spellEnd"/>
      <w:r w:rsidRPr="00AE6AEF">
        <w:rPr>
          <w:rFonts w:eastAsia="Malgun Gothic"/>
          <w:bCs/>
          <w:lang w:val="fr-FR"/>
        </w:rPr>
        <w:t>, depuis la culture des prunes et le processus de préparation de l</w:t>
      </w:r>
      <w:r w:rsidR="00923E72">
        <w:rPr>
          <w:rFonts w:eastAsia="Malgun Gothic"/>
          <w:bCs/>
          <w:lang w:val="fr-FR"/>
        </w:rPr>
        <w:t>’</w:t>
      </w:r>
      <w:r w:rsidRPr="00AE6AEF">
        <w:rPr>
          <w:rFonts w:eastAsia="Malgun Gothic"/>
          <w:bCs/>
          <w:lang w:val="fr-FR"/>
        </w:rPr>
        <w:t>eau-de-vie traditionnelle jusqu</w:t>
      </w:r>
      <w:r w:rsidR="00923E72">
        <w:rPr>
          <w:rFonts w:eastAsia="Malgun Gothic"/>
          <w:bCs/>
          <w:lang w:val="fr-FR"/>
        </w:rPr>
        <w:t>’</w:t>
      </w:r>
      <w:r w:rsidRPr="00AE6AEF">
        <w:rPr>
          <w:rFonts w:eastAsia="Malgun Gothic"/>
          <w:bCs/>
          <w:lang w:val="fr-FR"/>
        </w:rPr>
        <w:t>à son utilisation lors d</w:t>
      </w:r>
      <w:r w:rsidR="00923E72">
        <w:rPr>
          <w:rFonts w:eastAsia="Malgun Gothic"/>
          <w:bCs/>
          <w:lang w:val="fr-FR"/>
        </w:rPr>
        <w:t>’</w:t>
      </w:r>
      <w:r w:rsidRPr="00AE6AEF">
        <w:rPr>
          <w:rFonts w:eastAsia="Malgun Gothic"/>
          <w:bCs/>
          <w:lang w:val="fr-FR"/>
        </w:rPr>
        <w:t xml:space="preserve">événements rituels quotidiens privés ou publics, représentaient un important patrimoine vivant. Le rôle joué par cette eau-de-vie traditionnelle dans la vie des communautés et des individus faisait de la </w:t>
      </w:r>
      <w:proofErr w:type="spellStart"/>
      <w:r w:rsidRPr="00702497">
        <w:rPr>
          <w:rFonts w:eastAsia="Malgun Gothic"/>
          <w:bCs/>
          <w:i/>
          <w:iCs/>
          <w:lang w:val="fr-FR"/>
        </w:rPr>
        <w:t>šljivovica</w:t>
      </w:r>
      <w:proofErr w:type="spellEnd"/>
      <w:r w:rsidRPr="00AE6AEF">
        <w:rPr>
          <w:rFonts w:eastAsia="Malgun Gothic"/>
          <w:bCs/>
          <w:lang w:val="fr-FR"/>
        </w:rPr>
        <w:t xml:space="preserve"> l</w:t>
      </w:r>
      <w:r w:rsidR="00923E72">
        <w:rPr>
          <w:rFonts w:eastAsia="Malgun Gothic"/>
          <w:bCs/>
          <w:lang w:val="fr-FR"/>
        </w:rPr>
        <w:t>’</w:t>
      </w:r>
      <w:r w:rsidRPr="00AE6AEF">
        <w:rPr>
          <w:rFonts w:eastAsia="Malgun Gothic"/>
          <w:bCs/>
          <w:lang w:val="fr-FR"/>
        </w:rPr>
        <w:t>un des symboles de l</w:t>
      </w:r>
      <w:r w:rsidR="00923E72">
        <w:rPr>
          <w:rFonts w:eastAsia="Malgun Gothic"/>
          <w:bCs/>
          <w:lang w:val="fr-FR"/>
        </w:rPr>
        <w:t>’</w:t>
      </w:r>
      <w:r w:rsidRPr="00AE6AEF">
        <w:rPr>
          <w:rFonts w:eastAsia="Malgun Gothic"/>
          <w:bCs/>
          <w:lang w:val="fr-FR"/>
        </w:rPr>
        <w:t>identité nationale serbe. La délégation était convaincue que l</w:t>
      </w:r>
      <w:r w:rsidR="00923E72">
        <w:rPr>
          <w:rFonts w:eastAsia="Malgun Gothic"/>
          <w:bCs/>
          <w:lang w:val="fr-FR"/>
        </w:rPr>
        <w:t>’</w:t>
      </w:r>
      <w:r w:rsidRPr="00AE6AEF">
        <w:rPr>
          <w:rFonts w:eastAsia="Malgun Gothic"/>
          <w:bCs/>
          <w:lang w:val="fr-FR"/>
        </w:rPr>
        <w:t>inscription de cet élément sur la Liste représentative renforcerait sa sauvegarde à tous les niveaux et contribuerait à accroître sa visibilité au niveau international.</w:t>
      </w:r>
    </w:p>
    <w:p w14:paraId="7791B08B" w14:textId="0C73C73B" w:rsidR="00F7793C" w:rsidRPr="00702497" w:rsidRDefault="00F7793C"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497B98">
        <w:rPr>
          <w:rFonts w:eastAsia="Malgun Gothic"/>
          <w:bCs/>
          <w:i/>
          <w:iCs/>
          <w:lang w:val="fr-FR"/>
        </w:rPr>
        <w:t>[Une vidéo présentant l</w:t>
      </w:r>
      <w:r w:rsidR="00923E72">
        <w:rPr>
          <w:rFonts w:eastAsia="Malgun Gothic"/>
          <w:bCs/>
          <w:i/>
          <w:iCs/>
          <w:lang w:val="fr-FR"/>
        </w:rPr>
        <w:t>’</w:t>
      </w:r>
      <w:r w:rsidRPr="00497B98">
        <w:rPr>
          <w:rFonts w:eastAsia="Malgun Gothic"/>
          <w:bCs/>
          <w:i/>
          <w:iCs/>
          <w:lang w:val="fr-FR"/>
        </w:rPr>
        <w:t>élément a été diffusée]</w:t>
      </w:r>
    </w:p>
    <w:p w14:paraId="6610A6A8" w14:textId="0D010D66" w:rsidR="00F7793C" w:rsidRDefault="00F7793C"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F7793C">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F7793C">
        <w:rPr>
          <w:rFonts w:eastAsia="Malgun Gothic"/>
          <w:bCs/>
          <w:lang w:val="fr-FR"/>
        </w:rPr>
        <w:t xml:space="preserve"> a présenté le dossier de candidature suivant, </w:t>
      </w:r>
      <w:r w:rsidRPr="00702497">
        <w:rPr>
          <w:rFonts w:eastAsia="Malgun Gothic"/>
          <w:b/>
          <w:lang w:val="fr-FR"/>
        </w:rPr>
        <w:t>la culture apicole en Slovénie, un mode de vie</w:t>
      </w:r>
      <w:r w:rsidRPr="00F7793C">
        <w:rPr>
          <w:rFonts w:eastAsia="Malgun Gothic"/>
          <w:bCs/>
          <w:lang w:val="fr-FR"/>
        </w:rPr>
        <w:t xml:space="preserve"> [projet de décision</w:t>
      </w:r>
      <w:r w:rsidR="00C13422">
        <w:rPr>
          <w:rFonts w:eastAsia="Malgun Gothic"/>
          <w:bCs/>
          <w:lang w:val="fr-FR"/>
        </w:rPr>
        <w:t> </w:t>
      </w:r>
      <w:r w:rsidRPr="00F7793C">
        <w:rPr>
          <w:rFonts w:eastAsia="Malgun Gothic"/>
          <w:bCs/>
          <w:lang w:val="fr-FR"/>
        </w:rPr>
        <w:t xml:space="preserve">7.b.27], soumis par la </w:t>
      </w:r>
      <w:r w:rsidRPr="00702497">
        <w:rPr>
          <w:rFonts w:eastAsia="Malgun Gothic"/>
          <w:b/>
          <w:lang w:val="fr-FR"/>
        </w:rPr>
        <w:t>Slovénie</w:t>
      </w:r>
      <w:r w:rsidR="00136090" w:rsidRPr="00702497">
        <w:rPr>
          <w:rFonts w:eastAsia="Malgun Gothic"/>
          <w:bCs/>
          <w:lang w:val="fr-FR"/>
        </w:rPr>
        <w:t>,</w:t>
      </w:r>
      <w:r w:rsidRPr="00F7793C">
        <w:rPr>
          <w:rFonts w:eastAsia="Malgun Gothic"/>
          <w:bCs/>
          <w:lang w:val="fr-FR"/>
        </w:rPr>
        <w:t xml:space="preserve"> expliquant que l</w:t>
      </w:r>
      <w:r w:rsidR="00923E72">
        <w:rPr>
          <w:rFonts w:eastAsia="Malgun Gothic"/>
          <w:bCs/>
          <w:lang w:val="fr-FR"/>
        </w:rPr>
        <w:t>’</w:t>
      </w:r>
      <w:r w:rsidRPr="00F7793C">
        <w:rPr>
          <w:rFonts w:eastAsia="Malgun Gothic"/>
          <w:bCs/>
          <w:lang w:val="fr-FR"/>
        </w:rPr>
        <w:t xml:space="preserve">élément </w:t>
      </w:r>
      <w:r>
        <w:rPr>
          <w:rFonts w:eastAsia="Malgun Gothic"/>
          <w:bCs/>
          <w:lang w:val="fr-FR"/>
        </w:rPr>
        <w:t xml:space="preserve">est </w:t>
      </w:r>
      <w:r w:rsidRPr="00F7793C">
        <w:rPr>
          <w:rFonts w:eastAsia="Malgun Gothic"/>
          <w:bCs/>
          <w:lang w:val="fr-FR"/>
        </w:rPr>
        <w:t xml:space="preserve">un mode de vie pour de nombreuses personnes, familles et communautés qui </w:t>
      </w:r>
      <w:r>
        <w:rPr>
          <w:rFonts w:eastAsia="Malgun Gothic"/>
          <w:bCs/>
          <w:lang w:val="fr-FR"/>
        </w:rPr>
        <w:t xml:space="preserve">utilisent </w:t>
      </w:r>
      <w:r w:rsidRPr="00F7793C">
        <w:rPr>
          <w:rFonts w:eastAsia="Malgun Gothic"/>
          <w:bCs/>
          <w:lang w:val="fr-FR"/>
        </w:rPr>
        <w:t xml:space="preserve">des produits </w:t>
      </w:r>
      <w:r>
        <w:rPr>
          <w:rFonts w:eastAsia="Malgun Gothic"/>
          <w:bCs/>
          <w:lang w:val="fr-FR"/>
        </w:rPr>
        <w:t xml:space="preserve">apicoles </w:t>
      </w:r>
      <w:r w:rsidRPr="00F7793C">
        <w:rPr>
          <w:rFonts w:eastAsia="Malgun Gothic"/>
          <w:bCs/>
          <w:lang w:val="fr-FR"/>
        </w:rPr>
        <w:t>pour l</w:t>
      </w:r>
      <w:r w:rsidR="00923E72">
        <w:rPr>
          <w:rFonts w:eastAsia="Malgun Gothic"/>
          <w:bCs/>
          <w:lang w:val="fr-FR"/>
        </w:rPr>
        <w:t>’</w:t>
      </w:r>
      <w:r w:rsidRPr="00F7793C">
        <w:rPr>
          <w:rFonts w:eastAsia="Malgun Gothic"/>
          <w:bCs/>
          <w:lang w:val="fr-FR"/>
        </w:rPr>
        <w:t xml:space="preserve">alimentation et la médecine traditionnelle et </w:t>
      </w:r>
      <w:r>
        <w:rPr>
          <w:rFonts w:eastAsia="Malgun Gothic"/>
          <w:bCs/>
          <w:lang w:val="fr-FR"/>
        </w:rPr>
        <w:t xml:space="preserve">mobilisent </w:t>
      </w:r>
      <w:r w:rsidRPr="00F7793C">
        <w:rPr>
          <w:rFonts w:eastAsia="Malgun Gothic"/>
          <w:bCs/>
          <w:lang w:val="fr-FR"/>
        </w:rPr>
        <w:t>leurs connaissances et leurs savoir-faire</w:t>
      </w:r>
      <w:r>
        <w:rPr>
          <w:rFonts w:eastAsia="Malgun Gothic"/>
          <w:bCs/>
          <w:lang w:val="fr-FR"/>
        </w:rPr>
        <w:t xml:space="preserve"> </w:t>
      </w:r>
      <w:r w:rsidRPr="00F7793C">
        <w:rPr>
          <w:rFonts w:eastAsia="Malgun Gothic"/>
          <w:bCs/>
          <w:lang w:val="fr-FR"/>
        </w:rPr>
        <w:t>pour prendre soin des abeilles et</w:t>
      </w:r>
      <w:r>
        <w:rPr>
          <w:rFonts w:eastAsia="Malgun Gothic"/>
          <w:bCs/>
          <w:lang w:val="fr-FR"/>
        </w:rPr>
        <w:t xml:space="preserve"> protéger</w:t>
      </w:r>
      <w:r w:rsidRPr="00F7793C">
        <w:rPr>
          <w:rFonts w:eastAsia="Malgun Gothic"/>
          <w:bCs/>
          <w:lang w:val="fr-FR"/>
        </w:rPr>
        <w:t xml:space="preserve"> l</w:t>
      </w:r>
      <w:r w:rsidR="00923E72">
        <w:rPr>
          <w:rFonts w:eastAsia="Malgun Gothic"/>
          <w:bCs/>
          <w:lang w:val="fr-FR"/>
        </w:rPr>
        <w:t>’</w:t>
      </w:r>
      <w:r w:rsidRPr="00F7793C">
        <w:rPr>
          <w:rFonts w:eastAsia="Malgun Gothic"/>
          <w:bCs/>
          <w:lang w:val="fr-FR"/>
        </w:rPr>
        <w:t>environnement. L</w:t>
      </w:r>
      <w:r w:rsidR="00923E72">
        <w:rPr>
          <w:rFonts w:eastAsia="Malgun Gothic"/>
          <w:bCs/>
          <w:lang w:val="fr-FR"/>
        </w:rPr>
        <w:t>’</w:t>
      </w:r>
      <w:r w:rsidRPr="00F7793C">
        <w:rPr>
          <w:rFonts w:eastAsia="Malgun Gothic"/>
          <w:bCs/>
          <w:lang w:val="fr-FR"/>
        </w:rPr>
        <w:t>Organe d</w:t>
      </w:r>
      <w:r w:rsidR="00923E72">
        <w:rPr>
          <w:rFonts w:eastAsia="Malgun Gothic"/>
          <w:bCs/>
          <w:lang w:val="fr-FR"/>
        </w:rPr>
        <w:t>’</w:t>
      </w:r>
      <w:r w:rsidRPr="00F7793C">
        <w:rPr>
          <w:rFonts w:eastAsia="Malgun Gothic"/>
          <w:bCs/>
          <w:lang w:val="fr-FR"/>
        </w:rPr>
        <w:t>évaluation avait estimé que la candidature satisfaisait aux cinq critères et avait beaucoup apprécié un dossier bien préparé et bien rédigé qui démontr</w:t>
      </w:r>
      <w:r w:rsidR="00C13422">
        <w:rPr>
          <w:rFonts w:eastAsia="Malgun Gothic"/>
          <w:bCs/>
          <w:lang w:val="fr-FR"/>
        </w:rPr>
        <w:t>ait</w:t>
      </w:r>
      <w:r w:rsidRPr="00F7793C">
        <w:rPr>
          <w:rFonts w:eastAsia="Malgun Gothic"/>
          <w:bCs/>
          <w:lang w:val="fr-FR"/>
        </w:rPr>
        <w:t xml:space="preserve"> les liens entre le patrimoine culturel immatériel et la durabilité de l</w:t>
      </w:r>
      <w:r w:rsidR="00923E72">
        <w:rPr>
          <w:rFonts w:eastAsia="Malgun Gothic"/>
          <w:bCs/>
          <w:lang w:val="fr-FR"/>
        </w:rPr>
        <w:t>’</w:t>
      </w:r>
      <w:r w:rsidRPr="00F7793C">
        <w:rPr>
          <w:rFonts w:eastAsia="Malgun Gothic"/>
          <w:bCs/>
          <w:lang w:val="fr-FR"/>
        </w:rPr>
        <w:t>environnement. L</w:t>
      </w:r>
      <w:r w:rsidR="00923E72">
        <w:rPr>
          <w:rFonts w:eastAsia="Malgun Gothic"/>
          <w:bCs/>
          <w:lang w:val="fr-FR"/>
        </w:rPr>
        <w:t>’</w:t>
      </w:r>
      <w:r w:rsidRPr="00F7793C">
        <w:rPr>
          <w:rFonts w:eastAsia="Malgun Gothic"/>
          <w:bCs/>
          <w:lang w:val="fr-FR"/>
        </w:rPr>
        <w:t xml:space="preserve">élément </w:t>
      </w:r>
      <w:r>
        <w:rPr>
          <w:rFonts w:eastAsia="Malgun Gothic"/>
          <w:bCs/>
          <w:lang w:val="fr-FR"/>
        </w:rPr>
        <w:t xml:space="preserve">favorisait </w:t>
      </w:r>
      <w:r w:rsidRPr="00F7793C">
        <w:rPr>
          <w:rFonts w:eastAsia="Malgun Gothic"/>
          <w:bCs/>
          <w:lang w:val="fr-FR"/>
        </w:rPr>
        <w:t>le développement durable</w:t>
      </w:r>
      <w:r w:rsidR="00663900">
        <w:rPr>
          <w:rFonts w:eastAsia="Malgun Gothic"/>
          <w:bCs/>
          <w:lang w:val="fr-FR"/>
        </w:rPr>
        <w:t>, puisqu</w:t>
      </w:r>
      <w:r w:rsidR="00923E72">
        <w:rPr>
          <w:rFonts w:eastAsia="Malgun Gothic"/>
          <w:bCs/>
          <w:lang w:val="fr-FR"/>
        </w:rPr>
        <w:t>’</w:t>
      </w:r>
      <w:r w:rsidR="00663900">
        <w:rPr>
          <w:rFonts w:eastAsia="Malgun Gothic"/>
          <w:bCs/>
          <w:lang w:val="fr-FR"/>
        </w:rPr>
        <w:t xml:space="preserve">il implique </w:t>
      </w:r>
      <w:r w:rsidRPr="00F7793C">
        <w:rPr>
          <w:rFonts w:eastAsia="Malgun Gothic"/>
          <w:bCs/>
          <w:lang w:val="fr-FR"/>
        </w:rPr>
        <w:t>de</w:t>
      </w:r>
      <w:r w:rsidR="00663900">
        <w:rPr>
          <w:rFonts w:eastAsia="Malgun Gothic"/>
          <w:bCs/>
          <w:lang w:val="fr-FR"/>
        </w:rPr>
        <w:t xml:space="preserve"> se soucier de</w:t>
      </w:r>
      <w:r w:rsidRPr="00F7793C">
        <w:rPr>
          <w:rFonts w:eastAsia="Malgun Gothic"/>
          <w:bCs/>
          <w:lang w:val="fr-FR"/>
        </w:rPr>
        <w:t xml:space="preserve"> l</w:t>
      </w:r>
      <w:r w:rsidR="00923E72">
        <w:rPr>
          <w:rFonts w:eastAsia="Malgun Gothic"/>
          <w:bCs/>
          <w:lang w:val="fr-FR"/>
        </w:rPr>
        <w:t>’</w:t>
      </w:r>
      <w:r w:rsidRPr="00F7793C">
        <w:rPr>
          <w:rFonts w:eastAsia="Malgun Gothic"/>
          <w:bCs/>
          <w:lang w:val="fr-FR"/>
        </w:rPr>
        <w:t>environnement</w:t>
      </w:r>
      <w:r w:rsidR="001631D1">
        <w:rPr>
          <w:rFonts w:eastAsia="Malgun Gothic"/>
          <w:bCs/>
          <w:lang w:val="fr-FR"/>
        </w:rPr>
        <w:t xml:space="preserve"> et</w:t>
      </w:r>
      <w:r w:rsidR="00663900">
        <w:rPr>
          <w:rFonts w:eastAsia="Malgun Gothic"/>
          <w:bCs/>
          <w:lang w:val="fr-FR"/>
        </w:rPr>
        <w:t xml:space="preserve"> de la sécurité alimentaire, </w:t>
      </w:r>
      <w:r w:rsidRPr="00F7793C">
        <w:rPr>
          <w:rFonts w:eastAsia="Malgun Gothic"/>
          <w:bCs/>
          <w:lang w:val="fr-FR"/>
        </w:rPr>
        <w:t xml:space="preserve">et </w:t>
      </w:r>
      <w:r w:rsidR="00663900">
        <w:rPr>
          <w:rFonts w:eastAsia="Malgun Gothic"/>
          <w:bCs/>
          <w:lang w:val="fr-FR"/>
        </w:rPr>
        <w:t xml:space="preserve">de mettre en place </w:t>
      </w:r>
      <w:r w:rsidRPr="00F7793C">
        <w:rPr>
          <w:rFonts w:eastAsia="Malgun Gothic"/>
          <w:bCs/>
          <w:lang w:val="fr-FR"/>
        </w:rPr>
        <w:t>des pratiques apicoles</w:t>
      </w:r>
      <w:r w:rsidR="00663900">
        <w:rPr>
          <w:rFonts w:eastAsia="Malgun Gothic"/>
          <w:bCs/>
          <w:lang w:val="fr-FR"/>
        </w:rPr>
        <w:t xml:space="preserve"> écologiques</w:t>
      </w:r>
      <w:r w:rsidRPr="00F7793C">
        <w:rPr>
          <w:rFonts w:eastAsia="Malgun Gothic"/>
          <w:bCs/>
          <w:lang w:val="fr-FR"/>
        </w:rPr>
        <w:t xml:space="preserve">. Il représentait un très bon exemple de </w:t>
      </w:r>
      <w:r w:rsidRPr="00CE5DD2">
        <w:rPr>
          <w:rFonts w:eastAsia="Malgun Gothic"/>
          <w:bCs/>
          <w:lang w:val="fr-FR"/>
        </w:rPr>
        <w:t>diversité bi</w:t>
      </w:r>
      <w:r w:rsidR="00663900" w:rsidRPr="00CE5DD2">
        <w:rPr>
          <w:rFonts w:eastAsia="Malgun Gothic"/>
          <w:bCs/>
          <w:lang w:val="fr-FR"/>
        </w:rPr>
        <w:t>o</w:t>
      </w:r>
      <w:r w:rsidRPr="00CE5DD2">
        <w:rPr>
          <w:rFonts w:eastAsia="Malgun Gothic"/>
          <w:bCs/>
          <w:lang w:val="fr-FR"/>
        </w:rPr>
        <w:t>culturelle</w:t>
      </w:r>
      <w:r w:rsidRPr="00F7793C">
        <w:rPr>
          <w:rFonts w:eastAsia="Malgun Gothic"/>
          <w:bCs/>
          <w:lang w:val="fr-FR"/>
        </w:rPr>
        <w:t>. Pour ces raisons, l</w:t>
      </w:r>
      <w:r w:rsidR="00923E72">
        <w:rPr>
          <w:rFonts w:eastAsia="Malgun Gothic"/>
          <w:bCs/>
          <w:lang w:val="fr-FR"/>
        </w:rPr>
        <w:t>’</w:t>
      </w:r>
      <w:r w:rsidRPr="00F7793C">
        <w:rPr>
          <w:rFonts w:eastAsia="Malgun Gothic"/>
          <w:bCs/>
          <w:lang w:val="fr-FR"/>
        </w:rPr>
        <w:t>Organe d</w:t>
      </w:r>
      <w:r w:rsidR="00923E72">
        <w:rPr>
          <w:rFonts w:eastAsia="Malgun Gothic"/>
          <w:bCs/>
          <w:lang w:val="fr-FR"/>
        </w:rPr>
        <w:t>’</w:t>
      </w:r>
      <w:r w:rsidRPr="00F7793C">
        <w:rPr>
          <w:rFonts w:eastAsia="Malgun Gothic"/>
          <w:bCs/>
          <w:lang w:val="fr-FR"/>
        </w:rPr>
        <w:t>évaluation recommandait l</w:t>
      </w:r>
      <w:r w:rsidR="00923E72">
        <w:rPr>
          <w:rFonts w:eastAsia="Malgun Gothic"/>
          <w:bCs/>
          <w:lang w:val="fr-FR"/>
        </w:rPr>
        <w:t>’</w:t>
      </w:r>
      <w:r w:rsidRPr="00F7793C">
        <w:rPr>
          <w:rFonts w:eastAsia="Malgun Gothic"/>
          <w:bCs/>
          <w:lang w:val="fr-FR"/>
        </w:rPr>
        <w:t>inscription de l</w:t>
      </w:r>
      <w:r w:rsidR="00923E72">
        <w:rPr>
          <w:rFonts w:eastAsia="Malgun Gothic"/>
          <w:bCs/>
          <w:lang w:val="fr-FR"/>
        </w:rPr>
        <w:t>’</w:t>
      </w:r>
      <w:r w:rsidRPr="00F7793C">
        <w:rPr>
          <w:rFonts w:eastAsia="Malgun Gothic"/>
          <w:bCs/>
          <w:lang w:val="fr-FR"/>
        </w:rPr>
        <w:t>élément sur la Liste représentative.</w:t>
      </w:r>
    </w:p>
    <w:p w14:paraId="5A00880A" w14:textId="04129ADF" w:rsidR="00663900" w:rsidRDefault="0066390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C13422">
        <w:rPr>
          <w:rFonts w:eastAsia="Malgun Gothic"/>
          <w:b/>
          <w:lang w:val="fr-FR"/>
        </w:rPr>
        <w:t> </w:t>
      </w:r>
      <w:r w:rsidR="00751FB1">
        <w:fldChar w:fldCharType="begin"/>
      </w:r>
      <w:r w:rsidR="00751FB1" w:rsidRPr="00751FB1">
        <w:rPr>
          <w:lang w:val="fr-FR"/>
        </w:rPr>
        <w:instrText>HYPERLINK "https://ich.unesco.org/fr/Decisions/17.COM/7.b.27"</w:instrText>
      </w:r>
      <w:r w:rsidR="00751FB1">
        <w:fldChar w:fldCharType="separate"/>
      </w:r>
      <w:r w:rsidRPr="006E3034">
        <w:rPr>
          <w:rStyle w:val="Hyperlink"/>
          <w:b/>
          <w:bCs/>
          <w:lang w:val="fr-FR"/>
        </w:rPr>
        <w:t>17.COM 7.b.27</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inscrire</w:t>
      </w:r>
      <w:r>
        <w:rPr>
          <w:rFonts w:eastAsia="Malgun Gothic"/>
          <w:b/>
          <w:lang w:val="fr-FR"/>
        </w:rPr>
        <w:t xml:space="preserve"> </w:t>
      </w:r>
      <w:r w:rsidR="001734DC" w:rsidRPr="00497B98">
        <w:rPr>
          <w:rFonts w:eastAsia="Malgun Gothic"/>
          <w:b/>
          <w:lang w:val="fr-FR"/>
        </w:rPr>
        <w:t>la culture apicole en Slovénie, un mode de vie</w:t>
      </w:r>
      <w:r w:rsidR="001734DC">
        <w:rPr>
          <w:rFonts w:eastAsia="Malgun Gothic"/>
          <w:b/>
          <w:lang w:val="fr-FR"/>
        </w:rPr>
        <w:t xml:space="preserve"> </w:t>
      </w:r>
      <w:r>
        <w:rPr>
          <w:rFonts w:eastAsia="Malgun Gothic"/>
          <w:b/>
          <w:lang w:val="fr-FR"/>
        </w:rPr>
        <w:t>sur la Liste représentative</w:t>
      </w:r>
      <w:r>
        <w:rPr>
          <w:rFonts w:eastAsia="Malgun Gothic"/>
          <w:bCs/>
          <w:lang w:val="fr-FR"/>
        </w:rPr>
        <w:t>.</w:t>
      </w:r>
    </w:p>
    <w:p w14:paraId="4B1B337A" w14:textId="181B1F55" w:rsidR="003172AE" w:rsidRDefault="004737C5"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737C5">
        <w:rPr>
          <w:rFonts w:eastAsia="Malgun Gothic"/>
          <w:bCs/>
          <w:lang w:val="fr-FR"/>
        </w:rPr>
        <w:t xml:space="preserve">La délégation de la </w:t>
      </w:r>
      <w:r w:rsidRPr="00702497">
        <w:rPr>
          <w:rFonts w:eastAsia="Malgun Gothic"/>
          <w:b/>
          <w:lang w:val="fr-FR"/>
        </w:rPr>
        <w:t>Slovénie</w:t>
      </w:r>
      <w:r w:rsidRPr="004737C5">
        <w:rPr>
          <w:rFonts w:eastAsia="Malgun Gothic"/>
          <w:bCs/>
          <w:lang w:val="fr-FR"/>
        </w:rPr>
        <w:t xml:space="preserve"> a remercié l</w:t>
      </w:r>
      <w:r w:rsidR="00923E72">
        <w:rPr>
          <w:rFonts w:eastAsia="Malgun Gothic"/>
          <w:bCs/>
          <w:lang w:val="fr-FR"/>
        </w:rPr>
        <w:t>’</w:t>
      </w:r>
      <w:r w:rsidRPr="004737C5">
        <w:rPr>
          <w:rFonts w:eastAsia="Malgun Gothic"/>
          <w:bCs/>
          <w:lang w:val="fr-FR"/>
        </w:rPr>
        <w:t>Organe d</w:t>
      </w:r>
      <w:r w:rsidR="00923E72">
        <w:rPr>
          <w:rFonts w:eastAsia="Malgun Gothic"/>
          <w:bCs/>
          <w:lang w:val="fr-FR"/>
        </w:rPr>
        <w:t>’</w:t>
      </w:r>
      <w:r w:rsidRPr="004737C5">
        <w:rPr>
          <w:rFonts w:eastAsia="Malgun Gothic"/>
          <w:bCs/>
          <w:lang w:val="fr-FR"/>
        </w:rPr>
        <w:t>évaluation pour sa recommandation positive et le Comité pour sa décision d</w:t>
      </w:r>
      <w:r w:rsidR="00923E72">
        <w:rPr>
          <w:rFonts w:eastAsia="Malgun Gothic"/>
          <w:bCs/>
          <w:lang w:val="fr-FR"/>
        </w:rPr>
        <w:t>’</w:t>
      </w:r>
      <w:r w:rsidRPr="004737C5">
        <w:rPr>
          <w:rFonts w:eastAsia="Malgun Gothic"/>
          <w:bCs/>
          <w:lang w:val="fr-FR"/>
        </w:rPr>
        <w:t>inscrire cet élément qui relie de multiples individus, familles, associations, clubs et communautés de différents milieux sociaux et générations dans les campagnes et les zones urbaines du pays. La délégation était redevable à tant de personnes qui l</w:t>
      </w:r>
      <w:r w:rsidR="00923E72">
        <w:rPr>
          <w:rFonts w:eastAsia="Malgun Gothic"/>
          <w:bCs/>
          <w:lang w:val="fr-FR"/>
        </w:rPr>
        <w:t>’</w:t>
      </w:r>
      <w:r w:rsidRPr="004737C5">
        <w:rPr>
          <w:rFonts w:eastAsia="Malgun Gothic"/>
          <w:bCs/>
          <w:lang w:val="fr-FR"/>
        </w:rPr>
        <w:t>avaient aidée au cours du processus de candidature, en particulier les détenteurs et les praticiens qui ne cessent d</w:t>
      </w:r>
      <w:r w:rsidR="00923E72">
        <w:rPr>
          <w:rFonts w:eastAsia="Malgun Gothic"/>
          <w:bCs/>
          <w:lang w:val="fr-FR"/>
        </w:rPr>
        <w:t>’</w:t>
      </w:r>
      <w:r w:rsidRPr="004737C5">
        <w:rPr>
          <w:rFonts w:eastAsia="Malgun Gothic"/>
          <w:bCs/>
          <w:lang w:val="fr-FR"/>
        </w:rPr>
        <w:t>inspirer et de surprendre par la richesse de leurs pratiques, de leurs</w:t>
      </w:r>
      <w:r w:rsidR="003172AE">
        <w:rPr>
          <w:rFonts w:eastAsia="Malgun Gothic"/>
          <w:bCs/>
          <w:lang w:val="fr-FR"/>
        </w:rPr>
        <w:t xml:space="preserve"> </w:t>
      </w:r>
      <w:r w:rsidR="003172AE" w:rsidRPr="003172AE">
        <w:rPr>
          <w:rFonts w:eastAsia="Malgun Gothic"/>
          <w:bCs/>
          <w:lang w:val="fr-FR"/>
        </w:rPr>
        <w:t>savoir-faire</w:t>
      </w:r>
      <w:r w:rsidRPr="004737C5">
        <w:rPr>
          <w:rFonts w:eastAsia="Malgun Gothic"/>
          <w:bCs/>
          <w:lang w:val="fr-FR"/>
        </w:rPr>
        <w:t xml:space="preserve">, de leurs expressions culturelles et de leurs rôles sociaux. </w:t>
      </w:r>
      <w:r w:rsidRPr="004737C5">
        <w:rPr>
          <w:rFonts w:eastAsia="Malgun Gothic"/>
          <w:bCs/>
          <w:lang w:val="fr-FR"/>
        </w:rPr>
        <w:lastRenderedPageBreak/>
        <w:t xml:space="preserve">Leur passion pour la transmission des connaissances transcendait les frontières, de même que leur respect mutuel et leur profonde appréciation de la nature, fondés sur les </w:t>
      </w:r>
      <w:r w:rsidR="003172AE">
        <w:rPr>
          <w:rFonts w:eastAsia="Malgun Gothic"/>
          <w:bCs/>
          <w:lang w:val="fr-FR"/>
        </w:rPr>
        <w:t xml:space="preserve">réussites </w:t>
      </w:r>
      <w:r w:rsidRPr="004737C5">
        <w:rPr>
          <w:rFonts w:eastAsia="Malgun Gothic"/>
          <w:bCs/>
          <w:lang w:val="fr-FR"/>
        </w:rPr>
        <w:t>de leurs prédécesseurs tout en étant tournés vers l</w:t>
      </w:r>
      <w:r w:rsidR="00923E72">
        <w:rPr>
          <w:rFonts w:eastAsia="Malgun Gothic"/>
          <w:bCs/>
          <w:lang w:val="fr-FR"/>
        </w:rPr>
        <w:t>’</w:t>
      </w:r>
      <w:r w:rsidRPr="004737C5">
        <w:rPr>
          <w:rFonts w:eastAsia="Malgun Gothic"/>
          <w:bCs/>
          <w:lang w:val="fr-FR"/>
        </w:rPr>
        <w:t>avenir. Cet élément bénéficiait également d</w:t>
      </w:r>
      <w:r w:rsidR="00923E72">
        <w:rPr>
          <w:rFonts w:eastAsia="Malgun Gothic"/>
          <w:bCs/>
          <w:lang w:val="fr-FR"/>
        </w:rPr>
        <w:t>’</w:t>
      </w:r>
      <w:r w:rsidRPr="004737C5">
        <w:rPr>
          <w:rFonts w:eastAsia="Malgun Gothic"/>
          <w:bCs/>
          <w:lang w:val="fr-FR"/>
        </w:rPr>
        <w:t>un large soutien au-delà du seul domaine, démontrant que l</w:t>
      </w:r>
      <w:r w:rsidR="00923E72">
        <w:rPr>
          <w:rFonts w:eastAsia="Malgun Gothic"/>
          <w:bCs/>
          <w:lang w:val="fr-FR"/>
        </w:rPr>
        <w:t>’</w:t>
      </w:r>
      <w:r w:rsidRPr="004737C5">
        <w:rPr>
          <w:rFonts w:eastAsia="Malgun Gothic"/>
          <w:bCs/>
          <w:lang w:val="fr-FR"/>
        </w:rPr>
        <w:t>apiculture en Slovénie est un mode de vie et un exemple essentiel du rôle du patrimoine culturel immatériel dans le développement de sociétés durables, inclusives et résilientes.</w:t>
      </w:r>
    </w:p>
    <w:p w14:paraId="5A90E52C" w14:textId="638DB1B4" w:rsidR="003172AE" w:rsidRPr="00702497" w:rsidRDefault="003172AE"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4C000835" w14:textId="655DA66B" w:rsidR="003172AE" w:rsidRDefault="003172AE"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3172AE">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3172AE">
        <w:rPr>
          <w:rFonts w:eastAsia="Malgun Gothic"/>
          <w:bCs/>
          <w:lang w:val="fr-FR"/>
        </w:rPr>
        <w:t xml:space="preserve"> a présenté le dossier de candidature suivant, </w:t>
      </w:r>
      <w:r w:rsidRPr="00702497">
        <w:rPr>
          <w:rFonts w:eastAsia="Malgun Gothic"/>
          <w:b/>
          <w:lang w:val="fr-FR"/>
        </w:rPr>
        <w:t>les connaissances, savoir-faire, traditions et pratiques associés au palmier dattier</w:t>
      </w:r>
      <w:r>
        <w:rPr>
          <w:rFonts w:eastAsia="Malgun Gothic"/>
          <w:b/>
          <w:lang w:val="fr-FR"/>
        </w:rPr>
        <w:t xml:space="preserve"> </w:t>
      </w:r>
      <w:r>
        <w:rPr>
          <w:rFonts w:eastAsia="Malgun Gothic"/>
          <w:bCs/>
          <w:lang w:val="fr-FR"/>
        </w:rPr>
        <w:t>[projet</w:t>
      </w:r>
      <w:r w:rsidRPr="003172AE">
        <w:rPr>
          <w:rFonts w:eastAsia="Malgun Gothic"/>
          <w:bCs/>
          <w:lang w:val="fr-FR"/>
        </w:rPr>
        <w:t xml:space="preserve"> de décision</w:t>
      </w:r>
      <w:r w:rsidR="00AE73CC">
        <w:rPr>
          <w:rFonts w:eastAsia="Malgun Gothic"/>
          <w:bCs/>
          <w:lang w:val="fr-FR"/>
        </w:rPr>
        <w:t> </w:t>
      </w:r>
      <w:r w:rsidRPr="003172AE">
        <w:rPr>
          <w:rFonts w:eastAsia="Malgun Gothic"/>
          <w:bCs/>
          <w:lang w:val="fr-FR"/>
        </w:rPr>
        <w:t>7.b.33], soumis par quinze États parties,</w:t>
      </w:r>
      <w:r w:rsidRPr="00702497">
        <w:rPr>
          <w:rFonts w:eastAsia="Malgun Gothic"/>
          <w:b/>
          <w:lang w:val="fr-FR"/>
        </w:rPr>
        <w:t xml:space="preserve"> </w:t>
      </w:r>
      <w:r w:rsidRPr="00702497">
        <w:rPr>
          <w:rFonts w:eastAsia="Malgun Gothic"/>
          <w:bCs/>
          <w:lang w:val="fr-FR"/>
        </w:rPr>
        <w:t>les</w:t>
      </w:r>
      <w:r w:rsidR="002D6D8B">
        <w:rPr>
          <w:rFonts w:eastAsia="Malgun Gothic"/>
          <w:b/>
          <w:lang w:val="fr-FR"/>
        </w:rPr>
        <w:t> </w:t>
      </w:r>
      <w:r>
        <w:rPr>
          <w:rFonts w:eastAsia="Malgun Gothic"/>
          <w:b/>
          <w:lang w:val="fr-FR"/>
        </w:rPr>
        <w:t xml:space="preserve">Émirats arabes unis, </w:t>
      </w:r>
      <w:r w:rsidRPr="00702497">
        <w:rPr>
          <w:rFonts w:eastAsia="Malgun Gothic"/>
          <w:b/>
          <w:lang w:val="fr-FR"/>
        </w:rPr>
        <w:t xml:space="preserve">Bahreïn, </w:t>
      </w:r>
      <w:r w:rsidRPr="00F15FCD">
        <w:rPr>
          <w:rFonts w:eastAsia="Malgun Gothic"/>
          <w:bCs/>
          <w:lang w:val="fr-FR"/>
        </w:rPr>
        <w:t>l</w:t>
      </w:r>
      <w:r w:rsidR="00923E72">
        <w:rPr>
          <w:rFonts w:eastAsia="Malgun Gothic"/>
          <w:bCs/>
          <w:lang w:val="fr-FR"/>
        </w:rPr>
        <w:t>’</w:t>
      </w:r>
      <w:r w:rsidRPr="00702497">
        <w:rPr>
          <w:rFonts w:eastAsia="Malgun Gothic"/>
          <w:b/>
          <w:lang w:val="fr-FR"/>
        </w:rPr>
        <w:t xml:space="preserve">Égypte, </w:t>
      </w:r>
      <w:r w:rsidRPr="00F15FCD">
        <w:rPr>
          <w:rFonts w:eastAsia="Malgun Gothic"/>
          <w:bCs/>
          <w:lang w:val="fr-FR"/>
        </w:rPr>
        <w:t>l</w:t>
      </w:r>
      <w:r w:rsidR="00923E72">
        <w:rPr>
          <w:rFonts w:eastAsia="Malgun Gothic"/>
          <w:bCs/>
          <w:lang w:val="fr-FR"/>
        </w:rPr>
        <w:t>’</w:t>
      </w:r>
      <w:r w:rsidRPr="00702497">
        <w:rPr>
          <w:rFonts w:eastAsia="Malgun Gothic"/>
          <w:b/>
          <w:lang w:val="fr-FR"/>
        </w:rPr>
        <w:t xml:space="preserve">Iraq, </w:t>
      </w:r>
      <w:r w:rsidRPr="00F15FCD">
        <w:rPr>
          <w:rFonts w:eastAsia="Malgun Gothic"/>
          <w:bCs/>
          <w:lang w:val="fr-FR"/>
        </w:rPr>
        <w:t>la</w:t>
      </w:r>
      <w:r w:rsidR="00AE73CC">
        <w:rPr>
          <w:rFonts w:eastAsia="Malgun Gothic"/>
          <w:b/>
          <w:lang w:val="fr-FR"/>
        </w:rPr>
        <w:t xml:space="preserve"> </w:t>
      </w:r>
      <w:r w:rsidRPr="00702497">
        <w:rPr>
          <w:rFonts w:eastAsia="Malgun Gothic"/>
          <w:b/>
          <w:lang w:val="fr-FR"/>
        </w:rPr>
        <w:t xml:space="preserve">Jordanie, </w:t>
      </w:r>
      <w:r w:rsidRPr="00F15FCD">
        <w:rPr>
          <w:rFonts w:eastAsia="Malgun Gothic"/>
          <w:bCs/>
          <w:lang w:val="fr-FR"/>
        </w:rPr>
        <w:t>le</w:t>
      </w:r>
      <w:r w:rsidR="00AE73CC">
        <w:rPr>
          <w:rFonts w:eastAsia="Malgun Gothic"/>
          <w:b/>
          <w:lang w:val="fr-FR"/>
        </w:rPr>
        <w:t xml:space="preserve"> </w:t>
      </w:r>
      <w:r w:rsidRPr="00702497">
        <w:rPr>
          <w:rFonts w:eastAsia="Malgun Gothic"/>
          <w:b/>
          <w:lang w:val="fr-FR"/>
        </w:rPr>
        <w:t xml:space="preserve">Koweït, </w:t>
      </w:r>
      <w:r w:rsidRPr="00F15FCD">
        <w:rPr>
          <w:rFonts w:eastAsia="Malgun Gothic"/>
          <w:bCs/>
          <w:lang w:val="fr-FR"/>
        </w:rPr>
        <w:t>la</w:t>
      </w:r>
      <w:r w:rsidR="00AE73CC">
        <w:rPr>
          <w:rFonts w:eastAsia="Malgun Gothic"/>
          <w:b/>
          <w:lang w:val="fr-FR"/>
        </w:rPr>
        <w:t xml:space="preserve"> </w:t>
      </w:r>
      <w:r w:rsidRPr="00702497">
        <w:rPr>
          <w:rFonts w:eastAsia="Malgun Gothic"/>
          <w:b/>
          <w:lang w:val="fr-FR"/>
        </w:rPr>
        <w:t xml:space="preserve">Mauritanie, </w:t>
      </w:r>
      <w:r w:rsidRPr="00702497">
        <w:rPr>
          <w:rFonts w:eastAsia="Malgun Gothic"/>
          <w:bCs/>
          <w:lang w:val="fr-FR"/>
        </w:rPr>
        <w:t>le</w:t>
      </w:r>
      <w:r w:rsidR="00AE73CC">
        <w:rPr>
          <w:rFonts w:eastAsia="Malgun Gothic"/>
          <w:b/>
          <w:lang w:val="fr-FR"/>
        </w:rPr>
        <w:t xml:space="preserve"> </w:t>
      </w:r>
      <w:r>
        <w:rPr>
          <w:rFonts w:eastAsia="Malgun Gothic"/>
          <w:b/>
          <w:lang w:val="fr-FR"/>
        </w:rPr>
        <w:t xml:space="preserve">Maroc, </w:t>
      </w:r>
      <w:r w:rsidRPr="00702497">
        <w:rPr>
          <w:rFonts w:eastAsia="Malgun Gothic"/>
          <w:b/>
          <w:lang w:val="fr-FR"/>
        </w:rPr>
        <w:t>Oman, la</w:t>
      </w:r>
      <w:r w:rsidR="00AE73CC">
        <w:rPr>
          <w:rFonts w:eastAsia="Malgun Gothic"/>
          <w:b/>
          <w:lang w:val="fr-FR"/>
        </w:rPr>
        <w:t xml:space="preserve"> </w:t>
      </w:r>
      <w:r w:rsidRPr="00702497">
        <w:rPr>
          <w:rFonts w:eastAsia="Malgun Gothic"/>
          <w:b/>
          <w:lang w:val="fr-FR"/>
        </w:rPr>
        <w:t xml:space="preserve">Palestine, </w:t>
      </w:r>
      <w:r w:rsidRPr="00F15FCD">
        <w:rPr>
          <w:rFonts w:eastAsia="Malgun Gothic"/>
          <w:bCs/>
          <w:lang w:val="fr-FR"/>
        </w:rPr>
        <w:t>le</w:t>
      </w:r>
      <w:r w:rsidR="00AE73CC">
        <w:rPr>
          <w:rFonts w:eastAsia="Malgun Gothic"/>
          <w:b/>
          <w:lang w:val="fr-FR"/>
        </w:rPr>
        <w:t xml:space="preserve"> </w:t>
      </w:r>
      <w:r w:rsidRPr="00702497">
        <w:rPr>
          <w:rFonts w:eastAsia="Malgun Gothic"/>
          <w:b/>
          <w:lang w:val="fr-FR"/>
        </w:rPr>
        <w:t xml:space="preserve">Qatar, </w:t>
      </w:r>
      <w:r w:rsidR="002D6D8B" w:rsidRPr="00702497">
        <w:rPr>
          <w:rFonts w:eastAsia="Malgun Gothic"/>
          <w:bCs/>
          <w:lang w:val="fr-FR"/>
        </w:rPr>
        <w:t>l</w:t>
      </w:r>
      <w:r w:rsidR="00923E72">
        <w:rPr>
          <w:rFonts w:eastAsia="Malgun Gothic"/>
          <w:bCs/>
          <w:lang w:val="fr-FR"/>
        </w:rPr>
        <w:t>’</w:t>
      </w:r>
      <w:r w:rsidR="002D6D8B">
        <w:rPr>
          <w:rFonts w:eastAsia="Malgun Gothic"/>
          <w:b/>
          <w:lang w:val="fr-FR"/>
        </w:rPr>
        <w:t xml:space="preserve">Arabie saoudite, </w:t>
      </w:r>
      <w:r w:rsidRPr="00F15FCD">
        <w:rPr>
          <w:rFonts w:eastAsia="Malgun Gothic"/>
          <w:bCs/>
          <w:lang w:val="fr-FR"/>
        </w:rPr>
        <w:t>le</w:t>
      </w:r>
      <w:r w:rsidR="00AE73CC">
        <w:rPr>
          <w:rFonts w:eastAsia="Malgun Gothic"/>
          <w:b/>
          <w:lang w:val="fr-FR"/>
        </w:rPr>
        <w:t xml:space="preserve"> </w:t>
      </w:r>
      <w:r w:rsidRPr="00702497">
        <w:rPr>
          <w:rFonts w:eastAsia="Malgun Gothic"/>
          <w:b/>
          <w:lang w:val="fr-FR"/>
        </w:rPr>
        <w:t xml:space="preserve">Soudan, </w:t>
      </w:r>
      <w:r w:rsidRPr="00F15FCD">
        <w:rPr>
          <w:rFonts w:eastAsia="Malgun Gothic"/>
          <w:bCs/>
          <w:lang w:val="fr-FR"/>
        </w:rPr>
        <w:t>la</w:t>
      </w:r>
      <w:r w:rsidR="00AE73CC">
        <w:rPr>
          <w:rFonts w:eastAsia="Malgun Gothic"/>
          <w:b/>
          <w:lang w:val="fr-FR"/>
        </w:rPr>
        <w:t xml:space="preserve"> </w:t>
      </w:r>
      <w:r w:rsidRPr="00702497">
        <w:rPr>
          <w:rFonts w:eastAsia="Malgun Gothic"/>
          <w:b/>
          <w:lang w:val="fr-FR"/>
        </w:rPr>
        <w:t xml:space="preserve">Tunisie </w:t>
      </w:r>
      <w:r w:rsidRPr="003172AE">
        <w:rPr>
          <w:rFonts w:eastAsia="Malgun Gothic"/>
          <w:bCs/>
          <w:lang w:val="fr-FR"/>
        </w:rPr>
        <w:t xml:space="preserve">et </w:t>
      </w:r>
      <w:r w:rsidRPr="00F15FCD">
        <w:rPr>
          <w:rFonts w:eastAsia="Malgun Gothic"/>
          <w:bCs/>
          <w:lang w:val="fr-FR"/>
        </w:rPr>
        <w:t>le</w:t>
      </w:r>
      <w:r w:rsidR="00AE73CC">
        <w:rPr>
          <w:rFonts w:eastAsia="Malgun Gothic"/>
          <w:b/>
          <w:lang w:val="fr-FR"/>
        </w:rPr>
        <w:t xml:space="preserve"> </w:t>
      </w:r>
      <w:r w:rsidRPr="00702497">
        <w:rPr>
          <w:rFonts w:eastAsia="Malgun Gothic"/>
          <w:b/>
          <w:lang w:val="fr-FR"/>
        </w:rPr>
        <w:t>Yémen</w:t>
      </w:r>
      <w:r w:rsidRPr="003172AE">
        <w:rPr>
          <w:rFonts w:eastAsia="Malgun Gothic"/>
          <w:bCs/>
          <w:lang w:val="fr-FR"/>
        </w:rPr>
        <w:t>, expliquant qu</w:t>
      </w:r>
      <w:r w:rsidR="002D6D8B">
        <w:rPr>
          <w:rFonts w:eastAsia="Malgun Gothic"/>
          <w:bCs/>
          <w:lang w:val="fr-FR"/>
        </w:rPr>
        <w:t xml:space="preserve">e le palmier dattier, généralement </w:t>
      </w:r>
      <w:r w:rsidRPr="003172AE">
        <w:rPr>
          <w:rFonts w:eastAsia="Malgun Gothic"/>
          <w:bCs/>
          <w:lang w:val="fr-FR"/>
        </w:rPr>
        <w:t>présent dans les déserts et les climats secs et tempérés, est une plante à feuilles persistantes dont les racines pénètrent profondément dans le sol à la recherche d</w:t>
      </w:r>
      <w:r w:rsidR="00923E72">
        <w:rPr>
          <w:rFonts w:eastAsia="Malgun Gothic"/>
          <w:bCs/>
          <w:lang w:val="fr-FR"/>
        </w:rPr>
        <w:t>’</w:t>
      </w:r>
      <w:r w:rsidRPr="003172AE">
        <w:rPr>
          <w:rFonts w:eastAsia="Malgun Gothic"/>
          <w:bCs/>
          <w:lang w:val="fr-FR"/>
        </w:rPr>
        <w:t>humidité</w:t>
      </w:r>
      <w:r w:rsidR="002D6D8B">
        <w:rPr>
          <w:rFonts w:eastAsia="Malgun Gothic"/>
          <w:bCs/>
          <w:lang w:val="fr-FR"/>
        </w:rPr>
        <w:t xml:space="preserve"> et que, dans les zones où le palmier dattier s</w:t>
      </w:r>
      <w:r w:rsidR="00923E72">
        <w:rPr>
          <w:rFonts w:eastAsia="Malgun Gothic"/>
          <w:bCs/>
          <w:lang w:val="fr-FR"/>
        </w:rPr>
        <w:t>’</w:t>
      </w:r>
      <w:r w:rsidR="002D6D8B">
        <w:rPr>
          <w:rFonts w:eastAsia="Malgun Gothic"/>
          <w:bCs/>
          <w:lang w:val="fr-FR"/>
        </w:rPr>
        <w:t xml:space="preserve">est répandu, </w:t>
      </w:r>
      <w:r w:rsidRPr="003172AE">
        <w:rPr>
          <w:rFonts w:eastAsia="Malgun Gothic"/>
          <w:bCs/>
          <w:lang w:val="fr-FR"/>
        </w:rPr>
        <w:t xml:space="preserve">les communautés conservent les pratiques, les connaissances et les </w:t>
      </w:r>
      <w:r w:rsidR="00AE73CC" w:rsidRPr="00AE73CC">
        <w:rPr>
          <w:rFonts w:eastAsia="Malgun Gothic"/>
          <w:bCs/>
          <w:lang w:val="fr-FR"/>
        </w:rPr>
        <w:t>savoir-faire</w:t>
      </w:r>
      <w:r w:rsidR="00AE73CC">
        <w:rPr>
          <w:rFonts w:eastAsia="Malgun Gothic"/>
          <w:bCs/>
          <w:lang w:val="fr-FR"/>
        </w:rPr>
        <w:t xml:space="preserve"> associés</w:t>
      </w:r>
      <w:r w:rsidRPr="003172AE">
        <w:rPr>
          <w:rFonts w:eastAsia="Malgun Gothic"/>
          <w:bCs/>
          <w:lang w:val="fr-FR"/>
        </w:rPr>
        <w:t>, notamment soigner et cultiver le palmier</w:t>
      </w:r>
      <w:r w:rsidR="00502B21">
        <w:rPr>
          <w:rFonts w:eastAsia="Malgun Gothic"/>
          <w:bCs/>
          <w:lang w:val="fr-FR"/>
        </w:rPr>
        <w:t xml:space="preserve"> </w:t>
      </w:r>
      <w:r w:rsidRPr="003172AE">
        <w:rPr>
          <w:rFonts w:eastAsia="Malgun Gothic"/>
          <w:bCs/>
          <w:lang w:val="fr-FR"/>
        </w:rPr>
        <w:t xml:space="preserve">dattier et </w:t>
      </w:r>
      <w:r w:rsidR="004721D8">
        <w:rPr>
          <w:rFonts w:eastAsia="Malgun Gothic"/>
          <w:bCs/>
          <w:lang w:val="fr-FR"/>
        </w:rPr>
        <w:t xml:space="preserve">en </w:t>
      </w:r>
      <w:r w:rsidRPr="003172AE">
        <w:rPr>
          <w:rFonts w:eastAsia="Malgun Gothic"/>
          <w:bCs/>
          <w:lang w:val="fr-FR"/>
        </w:rPr>
        <w:t xml:space="preserve">utiliser </w:t>
      </w:r>
      <w:r w:rsidR="004721D8">
        <w:rPr>
          <w:rFonts w:eastAsia="Malgun Gothic"/>
          <w:bCs/>
          <w:lang w:val="fr-FR"/>
        </w:rPr>
        <w:t>certaines</w:t>
      </w:r>
      <w:r w:rsidRPr="003172AE">
        <w:rPr>
          <w:rFonts w:eastAsia="Malgun Gothic"/>
          <w:bCs/>
          <w:lang w:val="fr-FR"/>
        </w:rPr>
        <w:t xml:space="preserve"> parties pour l</w:t>
      </w:r>
      <w:r w:rsidR="00923E72">
        <w:rPr>
          <w:rFonts w:eastAsia="Malgun Gothic"/>
          <w:bCs/>
          <w:lang w:val="fr-FR"/>
        </w:rPr>
        <w:t>’</w:t>
      </w:r>
      <w:r w:rsidRPr="003172AE">
        <w:rPr>
          <w:rFonts w:eastAsia="Malgun Gothic"/>
          <w:bCs/>
          <w:lang w:val="fr-FR"/>
        </w:rPr>
        <w:t>artisanat traditionnel et les rituels sociaux. L</w:t>
      </w:r>
      <w:r w:rsidR="00923E72">
        <w:rPr>
          <w:rFonts w:eastAsia="Malgun Gothic"/>
          <w:bCs/>
          <w:lang w:val="fr-FR"/>
        </w:rPr>
        <w:t>’</w:t>
      </w:r>
      <w:r w:rsidRPr="003172AE">
        <w:rPr>
          <w:rFonts w:eastAsia="Malgun Gothic"/>
          <w:bCs/>
          <w:lang w:val="fr-FR"/>
        </w:rPr>
        <w:t>Organe d</w:t>
      </w:r>
      <w:r w:rsidR="00923E72">
        <w:rPr>
          <w:rFonts w:eastAsia="Malgun Gothic"/>
          <w:bCs/>
          <w:lang w:val="fr-FR"/>
        </w:rPr>
        <w:t>’</w:t>
      </w:r>
      <w:r w:rsidRPr="003172AE">
        <w:rPr>
          <w:rFonts w:eastAsia="Malgun Gothic"/>
          <w:bCs/>
          <w:lang w:val="fr-FR"/>
        </w:rPr>
        <w:t>évaluation avait estimé que les cinq critères étaient satisfaits et avait beaucoup apprécié la collaboration mise en œuvre pour la préparation d</w:t>
      </w:r>
      <w:r w:rsidR="00923E72">
        <w:rPr>
          <w:rFonts w:eastAsia="Malgun Gothic"/>
          <w:bCs/>
          <w:lang w:val="fr-FR"/>
        </w:rPr>
        <w:t>’</w:t>
      </w:r>
      <w:r w:rsidRPr="003172AE">
        <w:rPr>
          <w:rFonts w:eastAsia="Malgun Gothic"/>
          <w:bCs/>
          <w:lang w:val="fr-FR"/>
        </w:rPr>
        <w:t>un dossier de candidature multinationale très bien rédigé. En conclusion, l</w:t>
      </w:r>
      <w:r w:rsidR="00923E72">
        <w:rPr>
          <w:rFonts w:eastAsia="Malgun Gothic"/>
          <w:bCs/>
          <w:lang w:val="fr-FR"/>
        </w:rPr>
        <w:t>’</w:t>
      </w:r>
      <w:r w:rsidRPr="003172AE">
        <w:rPr>
          <w:rFonts w:eastAsia="Malgun Gothic"/>
          <w:bCs/>
          <w:lang w:val="fr-FR"/>
        </w:rPr>
        <w:t>Organe d</w:t>
      </w:r>
      <w:r w:rsidR="00923E72">
        <w:rPr>
          <w:rFonts w:eastAsia="Malgun Gothic"/>
          <w:bCs/>
          <w:lang w:val="fr-FR"/>
        </w:rPr>
        <w:t>’</w:t>
      </w:r>
      <w:r w:rsidRPr="003172AE">
        <w:rPr>
          <w:rFonts w:eastAsia="Malgun Gothic"/>
          <w:bCs/>
          <w:lang w:val="fr-FR"/>
        </w:rPr>
        <w:t>évaluation recommandait son inscription sur la Liste représentative.</w:t>
      </w:r>
    </w:p>
    <w:p w14:paraId="28695052" w14:textId="1C939D8C" w:rsidR="00502B21" w:rsidRDefault="00502B2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AE73CC">
        <w:rPr>
          <w:rFonts w:eastAsia="Malgun Gothic"/>
          <w:b/>
          <w:lang w:val="fr-FR"/>
        </w:rPr>
        <w:t> </w:t>
      </w:r>
      <w:r w:rsidR="00751FB1">
        <w:fldChar w:fldCharType="begin"/>
      </w:r>
      <w:r w:rsidR="00751FB1" w:rsidRPr="00751FB1">
        <w:rPr>
          <w:lang w:val="fr-FR"/>
        </w:rPr>
        <w:instrText>HYPERLINK "https://ich.unesco.org/fr/Decisions/17.COM/7.b.33"</w:instrText>
      </w:r>
      <w:r w:rsidR="00751FB1">
        <w:fldChar w:fldCharType="separate"/>
      </w:r>
      <w:r w:rsidRPr="006E3034">
        <w:rPr>
          <w:rStyle w:val="Hyperlink"/>
          <w:b/>
          <w:bCs/>
          <w:lang w:val="fr-FR"/>
        </w:rPr>
        <w:t>17.COM 7.b.33</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inscrire</w:t>
      </w:r>
      <w:r>
        <w:rPr>
          <w:rFonts w:eastAsia="Malgun Gothic"/>
          <w:b/>
          <w:lang w:val="fr-FR"/>
        </w:rPr>
        <w:t xml:space="preserve"> </w:t>
      </w:r>
      <w:r w:rsidRPr="009D09D4">
        <w:rPr>
          <w:rFonts w:eastAsia="Malgun Gothic"/>
          <w:b/>
          <w:lang w:val="fr-FR"/>
        </w:rPr>
        <w:t>les connaissances, savoir-faire, traditions et pratiques associés au palmier dattier</w:t>
      </w:r>
      <w:r>
        <w:rPr>
          <w:rFonts w:eastAsia="Malgun Gothic"/>
          <w:b/>
          <w:lang w:val="fr-FR"/>
        </w:rPr>
        <w:t xml:space="preserve"> sur la Liste représentative</w:t>
      </w:r>
      <w:r>
        <w:rPr>
          <w:rFonts w:eastAsia="Malgun Gothic"/>
          <w:bCs/>
          <w:lang w:val="fr-FR"/>
        </w:rPr>
        <w:t>.</w:t>
      </w:r>
    </w:p>
    <w:p w14:paraId="37919D9B" w14:textId="233C2C8C" w:rsidR="00502B21" w:rsidRDefault="00502B2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502B21">
        <w:rPr>
          <w:rFonts w:eastAsia="Malgun Gothic"/>
          <w:bCs/>
          <w:lang w:val="fr-FR"/>
        </w:rPr>
        <w:t xml:space="preserve">La </w:t>
      </w:r>
      <w:r w:rsidRPr="00702497">
        <w:rPr>
          <w:rFonts w:eastAsia="Malgun Gothic"/>
          <w:b/>
          <w:lang w:val="fr-FR"/>
        </w:rPr>
        <w:t>délégation des Émirats arabes unis</w:t>
      </w:r>
      <w:r w:rsidRPr="00502B21">
        <w:rPr>
          <w:rFonts w:eastAsia="Malgun Gothic"/>
          <w:bCs/>
          <w:lang w:val="fr-FR"/>
        </w:rPr>
        <w:t xml:space="preserve"> s</w:t>
      </w:r>
      <w:r w:rsidR="00923E72">
        <w:rPr>
          <w:rFonts w:eastAsia="Malgun Gothic"/>
          <w:bCs/>
          <w:lang w:val="fr-FR"/>
        </w:rPr>
        <w:t>’</w:t>
      </w:r>
      <w:r w:rsidRPr="00502B21">
        <w:rPr>
          <w:rFonts w:eastAsia="Malgun Gothic"/>
          <w:bCs/>
          <w:lang w:val="fr-FR"/>
        </w:rPr>
        <w:t>est exprimée au nom des quinze États du dossier multinational</w:t>
      </w:r>
      <w:r>
        <w:rPr>
          <w:rFonts w:eastAsia="Malgun Gothic"/>
          <w:bCs/>
          <w:lang w:val="fr-FR"/>
        </w:rPr>
        <w:t xml:space="preserve">, </w:t>
      </w:r>
      <w:r w:rsidRPr="00702497">
        <w:rPr>
          <w:rFonts w:eastAsia="Malgun Gothic"/>
          <w:bCs/>
          <w:lang w:val="fr-FR"/>
        </w:rPr>
        <w:t>les connaissances, savoir-faire, traditions et pratiques associés au palmier dattier</w:t>
      </w:r>
      <w:r w:rsidRPr="00502B21">
        <w:rPr>
          <w:rFonts w:eastAsia="Malgun Gothic"/>
          <w:bCs/>
          <w:lang w:val="fr-FR"/>
        </w:rPr>
        <w:t>, inscrit sur la Liste représentative depuis décembre</w:t>
      </w:r>
      <w:r w:rsidR="001A7AF7">
        <w:rPr>
          <w:rFonts w:eastAsia="Malgun Gothic"/>
          <w:bCs/>
          <w:lang w:val="fr-FR"/>
        </w:rPr>
        <w:t> </w:t>
      </w:r>
      <w:r w:rsidRPr="00502B21">
        <w:rPr>
          <w:rFonts w:eastAsia="Malgun Gothic"/>
          <w:bCs/>
          <w:lang w:val="fr-FR"/>
        </w:rPr>
        <w:t xml:space="preserve">2019, </w:t>
      </w:r>
      <w:r>
        <w:rPr>
          <w:rFonts w:eastAsia="Malgun Gothic"/>
          <w:bCs/>
          <w:lang w:val="fr-FR"/>
        </w:rPr>
        <w:t>pour remercier l</w:t>
      </w:r>
      <w:r w:rsidR="00923E72">
        <w:rPr>
          <w:rFonts w:eastAsia="Malgun Gothic"/>
          <w:bCs/>
          <w:lang w:val="fr-FR"/>
        </w:rPr>
        <w:t>’</w:t>
      </w:r>
      <w:r>
        <w:rPr>
          <w:rFonts w:eastAsia="Malgun Gothic"/>
          <w:bCs/>
          <w:lang w:val="fr-FR"/>
        </w:rPr>
        <w:t xml:space="preserve">UNESCO </w:t>
      </w:r>
      <w:r w:rsidRPr="00502B21">
        <w:rPr>
          <w:rFonts w:eastAsia="Malgun Gothic"/>
          <w:bCs/>
          <w:lang w:val="fr-FR"/>
        </w:rPr>
        <w:t xml:space="preserve">pour les efforts concertés </w:t>
      </w:r>
      <w:r>
        <w:rPr>
          <w:rFonts w:eastAsia="Malgun Gothic"/>
          <w:bCs/>
          <w:lang w:val="fr-FR"/>
        </w:rPr>
        <w:t>déployés afin de mettre en œuvre</w:t>
      </w:r>
      <w:r w:rsidRPr="00502B21">
        <w:rPr>
          <w:rFonts w:eastAsia="Malgun Gothic"/>
          <w:bCs/>
          <w:lang w:val="fr-FR"/>
        </w:rPr>
        <w:t xml:space="preserve"> la Convention de</w:t>
      </w:r>
      <w:r w:rsidR="006773EF">
        <w:rPr>
          <w:rFonts w:eastAsia="Malgun Gothic"/>
          <w:bCs/>
          <w:lang w:val="fr-FR"/>
        </w:rPr>
        <w:t> </w:t>
      </w:r>
      <w:r w:rsidRPr="00502B21">
        <w:rPr>
          <w:rFonts w:eastAsia="Malgun Gothic"/>
          <w:bCs/>
          <w:lang w:val="fr-FR"/>
        </w:rPr>
        <w:t>2003 et pour avoir donné à l</w:t>
      </w:r>
      <w:r w:rsidR="00923E72">
        <w:rPr>
          <w:rFonts w:eastAsia="Malgun Gothic"/>
          <w:bCs/>
          <w:lang w:val="fr-FR"/>
        </w:rPr>
        <w:t>’</w:t>
      </w:r>
      <w:r w:rsidRPr="00502B21">
        <w:rPr>
          <w:rFonts w:eastAsia="Malgun Gothic"/>
          <w:bCs/>
          <w:lang w:val="fr-FR"/>
        </w:rPr>
        <w:t>État du Qatar l</w:t>
      </w:r>
      <w:r w:rsidR="00923E72">
        <w:rPr>
          <w:rFonts w:eastAsia="Malgun Gothic"/>
          <w:bCs/>
          <w:lang w:val="fr-FR"/>
        </w:rPr>
        <w:t>’</w:t>
      </w:r>
      <w:r w:rsidRPr="00502B21">
        <w:rPr>
          <w:rFonts w:eastAsia="Malgun Gothic"/>
          <w:bCs/>
          <w:lang w:val="fr-FR"/>
        </w:rPr>
        <w:t xml:space="preserve">occasion de </w:t>
      </w:r>
      <w:r w:rsidR="00DD62BC">
        <w:rPr>
          <w:rFonts w:eastAsia="Malgun Gothic"/>
          <w:bCs/>
          <w:lang w:val="fr-FR"/>
        </w:rPr>
        <w:t xml:space="preserve">se </w:t>
      </w:r>
      <w:r w:rsidRPr="00502B21">
        <w:rPr>
          <w:rFonts w:eastAsia="Malgun Gothic"/>
          <w:bCs/>
          <w:lang w:val="fr-FR"/>
        </w:rPr>
        <w:t xml:space="preserve">joindre </w:t>
      </w:r>
      <w:r w:rsidR="00DD62BC">
        <w:rPr>
          <w:rFonts w:eastAsia="Malgun Gothic"/>
          <w:bCs/>
          <w:lang w:val="fr-FR"/>
        </w:rPr>
        <w:t>au</w:t>
      </w:r>
      <w:r w:rsidRPr="00502B21">
        <w:rPr>
          <w:rFonts w:eastAsia="Malgun Gothic"/>
          <w:bCs/>
          <w:lang w:val="fr-FR"/>
        </w:rPr>
        <w:t xml:space="preserve"> dossier. Les dossiers conjoints soulignaient </w:t>
      </w:r>
      <w:r w:rsidR="00DD62BC">
        <w:rPr>
          <w:rFonts w:eastAsia="Malgun Gothic"/>
          <w:bCs/>
          <w:lang w:val="fr-FR"/>
        </w:rPr>
        <w:t xml:space="preserve">principalement </w:t>
      </w:r>
      <w:r w:rsidRPr="00502B21">
        <w:rPr>
          <w:rFonts w:eastAsia="Malgun Gothic"/>
          <w:bCs/>
          <w:lang w:val="fr-FR"/>
        </w:rPr>
        <w:t>les liens culturels entre les nations et les peuples, et contribuaient à favoriser la paix et la compréhension. L</w:t>
      </w:r>
      <w:r w:rsidR="00923E72">
        <w:rPr>
          <w:rFonts w:eastAsia="Malgun Gothic"/>
          <w:bCs/>
          <w:lang w:val="fr-FR"/>
        </w:rPr>
        <w:t>’</w:t>
      </w:r>
      <w:r w:rsidRPr="00502B21">
        <w:rPr>
          <w:rFonts w:eastAsia="Malgun Gothic"/>
          <w:bCs/>
          <w:lang w:val="fr-FR"/>
        </w:rPr>
        <w:t>inclusion du Qatar dans le dossier de candidature était un ajout significatif compte tenu de l</w:t>
      </w:r>
      <w:r w:rsidR="00923E72">
        <w:rPr>
          <w:rFonts w:eastAsia="Malgun Gothic"/>
          <w:bCs/>
          <w:lang w:val="fr-FR"/>
        </w:rPr>
        <w:t>’</w:t>
      </w:r>
      <w:r w:rsidRPr="00502B21">
        <w:rPr>
          <w:rFonts w:eastAsia="Malgun Gothic"/>
          <w:bCs/>
          <w:lang w:val="fr-FR"/>
        </w:rPr>
        <w:t xml:space="preserve">importance du patrimoine du palmier dattier </w:t>
      </w:r>
      <w:r w:rsidR="00DD62BC">
        <w:rPr>
          <w:rFonts w:eastAsia="Malgun Gothic"/>
          <w:bCs/>
          <w:lang w:val="fr-FR"/>
        </w:rPr>
        <w:t>pour</w:t>
      </w:r>
      <w:r w:rsidRPr="00502B21">
        <w:rPr>
          <w:rFonts w:eastAsia="Malgun Gothic"/>
          <w:bCs/>
          <w:lang w:val="fr-FR"/>
        </w:rPr>
        <w:t xml:space="preserve"> la nation et de son impact social et culturel. En outre, cette inclusion était une invitation</w:t>
      </w:r>
      <w:r w:rsidR="00AE73CC">
        <w:rPr>
          <w:rFonts w:eastAsia="Malgun Gothic"/>
          <w:bCs/>
          <w:lang w:val="fr-FR"/>
        </w:rPr>
        <w:t>,</w:t>
      </w:r>
      <w:r w:rsidRPr="00502B21">
        <w:rPr>
          <w:rFonts w:eastAsia="Malgun Gothic"/>
          <w:bCs/>
          <w:lang w:val="fr-FR"/>
        </w:rPr>
        <w:t xml:space="preserve"> adressée à d</w:t>
      </w:r>
      <w:r w:rsidR="00923E72">
        <w:rPr>
          <w:rFonts w:eastAsia="Malgun Gothic"/>
          <w:bCs/>
          <w:lang w:val="fr-FR"/>
        </w:rPr>
        <w:t>’</w:t>
      </w:r>
      <w:r w:rsidRPr="00502B21">
        <w:rPr>
          <w:rFonts w:eastAsia="Malgun Gothic"/>
          <w:bCs/>
          <w:lang w:val="fr-FR"/>
        </w:rPr>
        <w:t>autres nations</w:t>
      </w:r>
      <w:r w:rsidR="00AE73CC">
        <w:rPr>
          <w:rFonts w:eastAsia="Malgun Gothic"/>
          <w:bCs/>
          <w:lang w:val="fr-FR"/>
        </w:rPr>
        <w:t>,</w:t>
      </w:r>
      <w:r w:rsidRPr="00502B21">
        <w:rPr>
          <w:rFonts w:eastAsia="Malgun Gothic"/>
          <w:bCs/>
          <w:lang w:val="fr-FR"/>
        </w:rPr>
        <w:t xml:space="preserve"> </w:t>
      </w:r>
      <w:r w:rsidR="00AE73CC">
        <w:rPr>
          <w:rFonts w:eastAsia="Malgun Gothic"/>
          <w:bCs/>
          <w:lang w:val="fr-FR"/>
        </w:rPr>
        <w:t xml:space="preserve">à rejoindre </w:t>
      </w:r>
      <w:r w:rsidRPr="00502B21">
        <w:rPr>
          <w:rFonts w:eastAsia="Malgun Gothic"/>
          <w:bCs/>
          <w:lang w:val="fr-FR"/>
        </w:rPr>
        <w:t xml:space="preserve">le dossier dans le but de préserver le patrimoine en question. La délégation a </w:t>
      </w:r>
      <w:r w:rsidR="00DD62BC" w:rsidRPr="00DD62BC">
        <w:rPr>
          <w:rFonts w:eastAsia="Malgun Gothic"/>
          <w:bCs/>
          <w:lang w:val="fr-FR"/>
        </w:rPr>
        <w:t>tout particulièrement</w:t>
      </w:r>
      <w:r w:rsidR="00DD62BC">
        <w:rPr>
          <w:rFonts w:eastAsia="Malgun Gothic"/>
          <w:bCs/>
          <w:lang w:val="fr-FR"/>
        </w:rPr>
        <w:t xml:space="preserve"> </w:t>
      </w:r>
      <w:r w:rsidRPr="00502B21">
        <w:rPr>
          <w:rFonts w:eastAsia="Malgun Gothic"/>
          <w:bCs/>
          <w:lang w:val="fr-FR"/>
        </w:rPr>
        <w:t>mention</w:t>
      </w:r>
      <w:r w:rsidR="00DD62BC">
        <w:rPr>
          <w:rFonts w:eastAsia="Malgun Gothic"/>
          <w:bCs/>
          <w:lang w:val="fr-FR"/>
        </w:rPr>
        <w:t>né</w:t>
      </w:r>
      <w:r w:rsidRPr="00502B21">
        <w:rPr>
          <w:rFonts w:eastAsia="Malgun Gothic"/>
          <w:bCs/>
          <w:lang w:val="fr-FR"/>
        </w:rPr>
        <w:t xml:space="preserve"> </w:t>
      </w:r>
      <w:r w:rsidR="00DD62BC">
        <w:rPr>
          <w:rFonts w:eastAsia="Malgun Gothic"/>
          <w:bCs/>
          <w:lang w:val="fr-FR"/>
        </w:rPr>
        <w:t>l</w:t>
      </w:r>
      <w:r w:rsidRPr="00502B21">
        <w:rPr>
          <w:rFonts w:eastAsia="Malgun Gothic"/>
          <w:bCs/>
          <w:lang w:val="fr-FR"/>
        </w:rPr>
        <w:t xml:space="preserve">es efforts </w:t>
      </w:r>
      <w:r w:rsidR="00DD62BC">
        <w:rPr>
          <w:rFonts w:eastAsia="Malgun Gothic"/>
          <w:bCs/>
          <w:lang w:val="fr-FR"/>
        </w:rPr>
        <w:t xml:space="preserve">concrets </w:t>
      </w:r>
      <w:r w:rsidRPr="00502B21">
        <w:rPr>
          <w:rFonts w:eastAsia="Malgun Gothic"/>
          <w:bCs/>
          <w:lang w:val="fr-FR"/>
        </w:rPr>
        <w:t>de l</w:t>
      </w:r>
      <w:r w:rsidR="00923E72">
        <w:rPr>
          <w:rFonts w:eastAsia="Malgun Gothic"/>
          <w:bCs/>
          <w:lang w:val="fr-FR"/>
        </w:rPr>
        <w:t>’</w:t>
      </w:r>
      <w:r w:rsidRPr="00502B21">
        <w:rPr>
          <w:rFonts w:eastAsia="Malgun Gothic"/>
          <w:bCs/>
          <w:lang w:val="fr-FR"/>
        </w:rPr>
        <w:t>ALEC</w:t>
      </w:r>
      <w:r w:rsidR="0082659B">
        <w:rPr>
          <w:rFonts w:eastAsia="Malgun Gothic"/>
          <w:bCs/>
          <w:lang w:val="fr-FR"/>
        </w:rPr>
        <w:t>S</w:t>
      </w:r>
      <w:r w:rsidRPr="00502B21">
        <w:rPr>
          <w:rFonts w:eastAsia="Malgun Gothic"/>
          <w:bCs/>
          <w:lang w:val="fr-FR"/>
        </w:rPr>
        <w:t>O</w:t>
      </w:r>
      <w:r w:rsidR="00967A3D">
        <w:rPr>
          <w:rStyle w:val="FootnoteReference"/>
          <w:rFonts w:eastAsia="Malgun Gothic"/>
          <w:bCs/>
          <w:lang w:val="fr-FR"/>
        </w:rPr>
        <w:footnoteReference w:id="22"/>
      </w:r>
      <w:r w:rsidR="00967A3D">
        <w:rPr>
          <w:rFonts w:eastAsia="Malgun Gothic"/>
          <w:bCs/>
          <w:lang w:val="fr-FR"/>
        </w:rPr>
        <w:t xml:space="preserve"> </w:t>
      </w:r>
      <w:r w:rsidRPr="00502B21">
        <w:rPr>
          <w:rFonts w:eastAsia="Malgun Gothic"/>
          <w:bCs/>
          <w:lang w:val="fr-FR"/>
        </w:rPr>
        <w:t xml:space="preserve">et son rôle remarquable pour soutenir les dossiers arabes conjoints et pour atteindre les objectifs et </w:t>
      </w:r>
      <w:r w:rsidR="00DD62BC">
        <w:rPr>
          <w:rFonts w:eastAsia="Malgun Gothic"/>
          <w:bCs/>
          <w:lang w:val="fr-FR"/>
        </w:rPr>
        <w:t xml:space="preserve">réaliser </w:t>
      </w:r>
      <w:r w:rsidRPr="00502B21">
        <w:rPr>
          <w:rFonts w:eastAsia="Malgun Gothic"/>
          <w:bCs/>
          <w:lang w:val="fr-FR"/>
        </w:rPr>
        <w:t>les p</w:t>
      </w:r>
      <w:r w:rsidR="00DD62BC">
        <w:rPr>
          <w:rFonts w:eastAsia="Malgun Gothic"/>
          <w:bCs/>
          <w:lang w:val="fr-FR"/>
        </w:rPr>
        <w:t xml:space="preserve">rojets </w:t>
      </w:r>
      <w:r w:rsidRPr="00502B21">
        <w:rPr>
          <w:rFonts w:eastAsia="Malgun Gothic"/>
          <w:bCs/>
          <w:lang w:val="fr-FR"/>
        </w:rPr>
        <w:t>de la Convention.</w:t>
      </w:r>
    </w:p>
    <w:p w14:paraId="0906DDF2" w14:textId="1117751C" w:rsidR="00967A3D" w:rsidRDefault="00BD157B"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BD157B">
        <w:rPr>
          <w:rFonts w:eastAsia="Malgun Gothic"/>
          <w:bCs/>
          <w:lang w:val="fr-FR"/>
        </w:rPr>
        <w:t xml:space="preserve">La délégation du </w:t>
      </w:r>
      <w:r w:rsidRPr="00702497">
        <w:rPr>
          <w:rFonts w:eastAsia="Malgun Gothic"/>
          <w:b/>
          <w:lang w:val="fr-FR"/>
        </w:rPr>
        <w:t>Qatar</w:t>
      </w:r>
      <w:r w:rsidRPr="00BD157B">
        <w:rPr>
          <w:rFonts w:eastAsia="Malgun Gothic"/>
          <w:bCs/>
          <w:lang w:val="fr-FR"/>
        </w:rPr>
        <w:t xml:space="preserve"> a remercié l</w:t>
      </w:r>
      <w:r w:rsidR="00923E72">
        <w:rPr>
          <w:rFonts w:eastAsia="Malgun Gothic"/>
          <w:bCs/>
          <w:lang w:val="fr-FR"/>
        </w:rPr>
        <w:t>’</w:t>
      </w:r>
      <w:r w:rsidRPr="00BD157B">
        <w:rPr>
          <w:rFonts w:eastAsia="Malgun Gothic"/>
          <w:bCs/>
          <w:lang w:val="fr-FR"/>
        </w:rPr>
        <w:t>Organe d</w:t>
      </w:r>
      <w:r w:rsidR="00923E72">
        <w:rPr>
          <w:rFonts w:eastAsia="Malgun Gothic"/>
          <w:bCs/>
          <w:lang w:val="fr-FR"/>
        </w:rPr>
        <w:t>’</w:t>
      </w:r>
      <w:r w:rsidRPr="00BD157B">
        <w:rPr>
          <w:rFonts w:eastAsia="Malgun Gothic"/>
          <w:bCs/>
          <w:lang w:val="fr-FR"/>
        </w:rPr>
        <w:t>évaluation et les États membres</w:t>
      </w:r>
      <w:r w:rsidR="00FC57E6">
        <w:rPr>
          <w:rFonts w:eastAsia="Malgun Gothic"/>
          <w:bCs/>
          <w:lang w:val="fr-FR"/>
        </w:rPr>
        <w:t xml:space="preserve"> </w:t>
      </w:r>
      <w:r w:rsidRPr="00BD157B">
        <w:rPr>
          <w:rFonts w:eastAsia="Malgun Gothic"/>
          <w:bCs/>
          <w:lang w:val="fr-FR"/>
        </w:rPr>
        <w:t>ainsi que les Émirats arabes unis. Elle a également remercié le Maroc pour l</w:t>
      </w:r>
      <w:r w:rsidR="00923E72">
        <w:rPr>
          <w:rFonts w:eastAsia="Malgun Gothic"/>
          <w:bCs/>
          <w:lang w:val="fr-FR"/>
        </w:rPr>
        <w:t>’</w:t>
      </w:r>
      <w:r w:rsidRPr="00BD157B">
        <w:rPr>
          <w:rFonts w:eastAsia="Malgun Gothic"/>
          <w:bCs/>
          <w:lang w:val="fr-FR"/>
        </w:rPr>
        <w:t>organisation exceptionnelle des travaux du Comité ainsi que le Président pour sa conduite avisée des travaux. L</w:t>
      </w:r>
      <w:r w:rsidR="00923E72">
        <w:rPr>
          <w:rFonts w:eastAsia="Malgun Gothic"/>
          <w:bCs/>
          <w:lang w:val="fr-FR"/>
        </w:rPr>
        <w:t>’</w:t>
      </w:r>
      <w:r w:rsidRPr="00BD157B">
        <w:rPr>
          <w:rFonts w:eastAsia="Malgun Gothic"/>
          <w:bCs/>
          <w:lang w:val="fr-FR"/>
        </w:rPr>
        <w:t>État du Qatar attachait une grande importance à la préservation et à la protection du patrimoine culturel matériel et immatériel, plaçant la protection du patrimoine immatériel au cœur de ses politiques nationales et de ses efforts internationaux dans le cadre des travaux de la Convention de</w:t>
      </w:r>
      <w:r w:rsidR="006773EF">
        <w:rPr>
          <w:rFonts w:eastAsia="Malgun Gothic"/>
          <w:bCs/>
          <w:lang w:val="fr-FR"/>
        </w:rPr>
        <w:t> </w:t>
      </w:r>
      <w:r w:rsidRPr="00BD157B">
        <w:rPr>
          <w:rFonts w:eastAsia="Malgun Gothic"/>
          <w:bCs/>
          <w:lang w:val="fr-FR"/>
        </w:rPr>
        <w:t>2003. La participation du Qatar au dossier sur le palmier dattier témoignait de l</w:t>
      </w:r>
      <w:r w:rsidR="00923E72">
        <w:rPr>
          <w:rFonts w:eastAsia="Malgun Gothic"/>
          <w:bCs/>
          <w:lang w:val="fr-FR"/>
        </w:rPr>
        <w:t>’</w:t>
      </w:r>
      <w:r w:rsidRPr="00BD157B">
        <w:rPr>
          <w:rFonts w:eastAsia="Malgun Gothic"/>
          <w:bCs/>
          <w:lang w:val="fr-FR"/>
        </w:rPr>
        <w:t>attachement de l</w:t>
      </w:r>
      <w:r w:rsidR="00923E72">
        <w:rPr>
          <w:rFonts w:eastAsia="Malgun Gothic"/>
          <w:bCs/>
          <w:lang w:val="fr-FR"/>
        </w:rPr>
        <w:t>’</w:t>
      </w:r>
      <w:r w:rsidRPr="00BD157B">
        <w:rPr>
          <w:rFonts w:eastAsia="Malgun Gothic"/>
          <w:bCs/>
          <w:lang w:val="fr-FR"/>
        </w:rPr>
        <w:t>histoire et de la culture du Qatar à cet élément culturel, qui a des dimensions culturelles, sociales et économiques au niveau local, d</w:t>
      </w:r>
      <w:r w:rsidR="00923E72">
        <w:rPr>
          <w:rFonts w:eastAsia="Malgun Gothic"/>
          <w:bCs/>
          <w:lang w:val="fr-FR"/>
        </w:rPr>
        <w:t>’</w:t>
      </w:r>
      <w:r w:rsidRPr="00BD157B">
        <w:rPr>
          <w:rFonts w:eastAsia="Malgun Gothic"/>
          <w:bCs/>
          <w:lang w:val="fr-FR"/>
        </w:rPr>
        <w:t xml:space="preserve">autant plus que le palmier </w:t>
      </w:r>
      <w:r w:rsidR="004721D8">
        <w:rPr>
          <w:rFonts w:eastAsia="Malgun Gothic"/>
          <w:bCs/>
          <w:lang w:val="fr-FR"/>
        </w:rPr>
        <w:t xml:space="preserve">constitue </w:t>
      </w:r>
      <w:r w:rsidRPr="00BD157B">
        <w:rPr>
          <w:rFonts w:eastAsia="Malgun Gothic"/>
          <w:bCs/>
          <w:lang w:val="fr-FR"/>
        </w:rPr>
        <w:t>un patrimoine authentique et de longue date au Qatar et dans la région arabe. Le palmier était un symbole exceptionnel qui s</w:t>
      </w:r>
      <w:r w:rsidR="00923E72">
        <w:rPr>
          <w:rFonts w:eastAsia="Malgun Gothic"/>
          <w:bCs/>
          <w:lang w:val="fr-FR"/>
        </w:rPr>
        <w:t>’</w:t>
      </w:r>
      <w:r w:rsidRPr="00BD157B">
        <w:rPr>
          <w:rFonts w:eastAsia="Malgun Gothic"/>
          <w:bCs/>
          <w:lang w:val="fr-FR"/>
        </w:rPr>
        <w:t xml:space="preserve">articulait autour des fondements de notre culture. Le palmier représentait le nerf de la vie économique et sociale des ancêtres et au fil des </w:t>
      </w:r>
      <w:r w:rsidRPr="00BD157B">
        <w:rPr>
          <w:rFonts w:eastAsia="Malgun Gothic"/>
          <w:bCs/>
          <w:lang w:val="fr-FR"/>
        </w:rPr>
        <w:lastRenderedPageBreak/>
        <w:t>générations, jusqu</w:t>
      </w:r>
      <w:r w:rsidR="00923E72">
        <w:rPr>
          <w:rFonts w:eastAsia="Malgun Gothic"/>
          <w:bCs/>
          <w:lang w:val="fr-FR"/>
        </w:rPr>
        <w:t>’</w:t>
      </w:r>
      <w:r w:rsidRPr="00BD157B">
        <w:rPr>
          <w:rFonts w:eastAsia="Malgun Gothic"/>
          <w:bCs/>
          <w:lang w:val="fr-FR"/>
        </w:rPr>
        <w:t>à aujourd</w:t>
      </w:r>
      <w:r w:rsidR="00923E72">
        <w:rPr>
          <w:rFonts w:eastAsia="Malgun Gothic"/>
          <w:bCs/>
          <w:lang w:val="fr-FR"/>
        </w:rPr>
        <w:t>’</w:t>
      </w:r>
      <w:r w:rsidRPr="00BD157B">
        <w:rPr>
          <w:rFonts w:eastAsia="Malgun Gothic"/>
          <w:bCs/>
          <w:lang w:val="fr-FR"/>
        </w:rPr>
        <w:t>hui, à travers les échanges avec d</w:t>
      </w:r>
      <w:r w:rsidR="00923E72">
        <w:rPr>
          <w:rFonts w:eastAsia="Malgun Gothic"/>
          <w:bCs/>
          <w:lang w:val="fr-FR"/>
        </w:rPr>
        <w:t>’</w:t>
      </w:r>
      <w:r w:rsidRPr="00BD157B">
        <w:rPr>
          <w:rFonts w:eastAsia="Malgun Gothic"/>
          <w:bCs/>
          <w:lang w:val="fr-FR"/>
        </w:rPr>
        <w:t xml:space="preserve">autres cultures. Le palmier </w:t>
      </w:r>
      <w:r w:rsidR="004721D8">
        <w:rPr>
          <w:rFonts w:eastAsia="Malgun Gothic"/>
          <w:bCs/>
          <w:lang w:val="fr-FR"/>
        </w:rPr>
        <w:t xml:space="preserve">restait </w:t>
      </w:r>
      <w:r w:rsidRPr="00BD157B">
        <w:rPr>
          <w:rFonts w:eastAsia="Malgun Gothic"/>
          <w:bCs/>
          <w:lang w:val="fr-FR"/>
        </w:rPr>
        <w:t>donc une base fondamentale d</w:t>
      </w:r>
      <w:r w:rsidR="004721D8">
        <w:rPr>
          <w:rFonts w:eastAsia="Malgun Gothic"/>
          <w:bCs/>
          <w:lang w:val="fr-FR"/>
        </w:rPr>
        <w:t>e</w:t>
      </w:r>
      <w:r w:rsidRPr="00BD157B">
        <w:rPr>
          <w:rFonts w:eastAsia="Malgun Gothic"/>
          <w:bCs/>
          <w:lang w:val="fr-FR"/>
        </w:rPr>
        <w:t xml:space="preserve"> la société qatarie et arabe.</w:t>
      </w:r>
    </w:p>
    <w:p w14:paraId="2D772EFF" w14:textId="4BF4769B" w:rsidR="00EF6590" w:rsidRPr="00702497" w:rsidRDefault="00EF6590"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2C42F8FF" w14:textId="08D76656" w:rsidR="00EF6590" w:rsidRDefault="00EF6590"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EF6590">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EF6590">
        <w:rPr>
          <w:rFonts w:eastAsia="Malgun Gothic"/>
          <w:bCs/>
          <w:lang w:val="fr-FR"/>
        </w:rPr>
        <w:t xml:space="preserve"> a présenté le dossier de candidature suivant, </w:t>
      </w:r>
      <w:r w:rsidRPr="00702497">
        <w:rPr>
          <w:rFonts w:eastAsia="Malgun Gothic"/>
          <w:b/>
          <w:lang w:val="fr-FR"/>
        </w:rPr>
        <w:t>la cérémonie d</w:t>
      </w:r>
      <w:r w:rsidR="00D63647">
        <w:rPr>
          <w:rFonts w:eastAsia="Malgun Gothic"/>
          <w:b/>
          <w:lang w:val="fr-FR"/>
        </w:rPr>
        <w:t>u</w:t>
      </w:r>
      <w:r w:rsidRPr="00702497">
        <w:rPr>
          <w:rFonts w:eastAsia="Malgun Gothic"/>
          <w:b/>
          <w:lang w:val="fr-FR"/>
        </w:rPr>
        <w:t xml:space="preserve"> mehr</w:t>
      </w:r>
      <w:r w:rsidR="00D63647">
        <w:rPr>
          <w:rFonts w:eastAsia="Malgun Gothic"/>
          <w:b/>
          <w:lang w:val="fr-FR"/>
        </w:rPr>
        <w:t>e</w:t>
      </w:r>
      <w:r w:rsidRPr="00702497">
        <w:rPr>
          <w:rFonts w:eastAsia="Malgun Gothic"/>
          <w:b/>
          <w:lang w:val="fr-FR"/>
        </w:rPr>
        <w:t xml:space="preserve">gân </w:t>
      </w:r>
      <w:r w:rsidRPr="00EF6590">
        <w:rPr>
          <w:rFonts w:eastAsia="Malgun Gothic"/>
          <w:bCs/>
          <w:lang w:val="fr-FR"/>
        </w:rPr>
        <w:t>[projet de décision</w:t>
      </w:r>
      <w:r w:rsidR="0082659B">
        <w:rPr>
          <w:rFonts w:eastAsia="Malgun Gothic"/>
          <w:bCs/>
          <w:lang w:val="fr-FR"/>
        </w:rPr>
        <w:t> </w:t>
      </w:r>
      <w:r w:rsidRPr="00EF6590">
        <w:rPr>
          <w:rFonts w:eastAsia="Malgun Gothic"/>
          <w:bCs/>
          <w:lang w:val="fr-FR"/>
        </w:rPr>
        <w:t xml:space="preserve">7.b.29], soumis par le </w:t>
      </w:r>
      <w:r w:rsidRPr="00702497">
        <w:rPr>
          <w:rFonts w:eastAsia="Malgun Gothic"/>
          <w:b/>
          <w:lang w:val="fr-FR"/>
        </w:rPr>
        <w:t>Tadjikistan</w:t>
      </w:r>
      <w:r w:rsidRPr="00EF6590">
        <w:rPr>
          <w:rFonts w:eastAsia="Malgun Gothic"/>
          <w:bCs/>
          <w:lang w:val="fr-FR"/>
        </w:rPr>
        <w:t xml:space="preserve"> et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Iran</w:t>
      </w:r>
      <w:r w:rsidRPr="00EF6590">
        <w:rPr>
          <w:rFonts w:eastAsia="Malgun Gothic"/>
          <w:bCs/>
          <w:lang w:val="fr-FR"/>
        </w:rPr>
        <w:t>, expliquant que l</w:t>
      </w:r>
      <w:r w:rsidR="00923E72">
        <w:rPr>
          <w:rFonts w:eastAsia="Malgun Gothic"/>
          <w:bCs/>
          <w:lang w:val="fr-FR"/>
        </w:rPr>
        <w:t>’</w:t>
      </w:r>
      <w:r w:rsidRPr="00EF6590">
        <w:rPr>
          <w:rFonts w:eastAsia="Malgun Gothic"/>
          <w:bCs/>
          <w:lang w:val="fr-FR"/>
        </w:rPr>
        <w:t>élément est une célébration d</w:t>
      </w:r>
      <w:r w:rsidR="00923E72">
        <w:rPr>
          <w:rFonts w:eastAsia="Malgun Gothic"/>
          <w:bCs/>
          <w:lang w:val="fr-FR"/>
        </w:rPr>
        <w:t>’</w:t>
      </w:r>
      <w:r w:rsidRPr="00EF6590">
        <w:rPr>
          <w:rFonts w:eastAsia="Malgun Gothic"/>
          <w:bCs/>
          <w:lang w:val="fr-FR"/>
        </w:rPr>
        <w:t>action de grâce annuelle à grande échelle qui a lieu à l</w:t>
      </w:r>
      <w:r w:rsidR="00923E72">
        <w:rPr>
          <w:rFonts w:eastAsia="Malgun Gothic"/>
          <w:bCs/>
          <w:lang w:val="fr-FR"/>
        </w:rPr>
        <w:t>’</w:t>
      </w:r>
      <w:r w:rsidRPr="00EF6590">
        <w:rPr>
          <w:rFonts w:eastAsia="Malgun Gothic"/>
          <w:bCs/>
          <w:lang w:val="fr-FR"/>
        </w:rPr>
        <w:t xml:space="preserve">automne et que </w:t>
      </w:r>
      <w:r>
        <w:rPr>
          <w:rFonts w:eastAsia="Malgun Gothic"/>
          <w:bCs/>
          <w:lang w:val="fr-FR"/>
        </w:rPr>
        <w:t>l</w:t>
      </w:r>
      <w:r w:rsidRPr="00EF6590">
        <w:rPr>
          <w:rFonts w:eastAsia="Malgun Gothic"/>
          <w:bCs/>
          <w:lang w:val="fr-FR"/>
        </w:rPr>
        <w:t>es rituels spécifiques exécutés au cours de la cérémonie varient en fonction de la religion. L</w:t>
      </w:r>
      <w:r w:rsidR="00923E72">
        <w:rPr>
          <w:rFonts w:eastAsia="Malgun Gothic"/>
          <w:bCs/>
          <w:lang w:val="fr-FR"/>
        </w:rPr>
        <w:t>’</w:t>
      </w:r>
      <w:r w:rsidRPr="00EF6590">
        <w:rPr>
          <w:rFonts w:eastAsia="Malgun Gothic"/>
          <w:bCs/>
          <w:lang w:val="fr-FR"/>
        </w:rPr>
        <w:t>Organe d</w:t>
      </w:r>
      <w:r w:rsidR="00923E72">
        <w:rPr>
          <w:rFonts w:eastAsia="Malgun Gothic"/>
          <w:bCs/>
          <w:lang w:val="fr-FR"/>
        </w:rPr>
        <w:t>’</w:t>
      </w:r>
      <w:r w:rsidRPr="00EF6590">
        <w:rPr>
          <w:rFonts w:eastAsia="Malgun Gothic"/>
          <w:bCs/>
          <w:lang w:val="fr-FR"/>
        </w:rPr>
        <w:t>évaluation avait estimé que les critères</w:t>
      </w:r>
      <w:r>
        <w:rPr>
          <w:rFonts w:eastAsia="Malgun Gothic"/>
          <w:bCs/>
          <w:lang w:val="fr-FR"/>
        </w:rPr>
        <w:t> </w:t>
      </w:r>
      <w:r w:rsidRPr="00EF6590">
        <w:rPr>
          <w:rFonts w:eastAsia="Malgun Gothic"/>
          <w:bCs/>
          <w:lang w:val="fr-FR"/>
        </w:rPr>
        <w:t>R.1 et</w:t>
      </w:r>
      <w:r>
        <w:rPr>
          <w:rFonts w:eastAsia="Malgun Gothic"/>
          <w:bCs/>
          <w:lang w:val="fr-FR"/>
        </w:rPr>
        <w:t> </w:t>
      </w:r>
      <w:r w:rsidRPr="00EF6590">
        <w:rPr>
          <w:rFonts w:eastAsia="Malgun Gothic"/>
          <w:bCs/>
          <w:lang w:val="fr-FR"/>
        </w:rPr>
        <w:t>R.5 étaient satisfaits, mais que les informations communiquées n</w:t>
      </w:r>
      <w:r w:rsidR="00923E72">
        <w:rPr>
          <w:rFonts w:eastAsia="Malgun Gothic"/>
          <w:bCs/>
          <w:lang w:val="fr-FR"/>
        </w:rPr>
        <w:t>’</w:t>
      </w:r>
      <w:r w:rsidRPr="00EF6590">
        <w:rPr>
          <w:rFonts w:eastAsia="Malgun Gothic"/>
          <w:bCs/>
          <w:lang w:val="fr-FR"/>
        </w:rPr>
        <w:t>étaient pas suffisantes pour considérer que les critères</w:t>
      </w:r>
      <w:r>
        <w:rPr>
          <w:rFonts w:eastAsia="Malgun Gothic"/>
          <w:bCs/>
          <w:lang w:val="fr-FR"/>
        </w:rPr>
        <w:t> </w:t>
      </w:r>
      <w:r w:rsidRPr="00EF6590">
        <w:rPr>
          <w:rFonts w:eastAsia="Malgun Gothic"/>
          <w:bCs/>
          <w:lang w:val="fr-FR"/>
        </w:rPr>
        <w:t>R.2,</w:t>
      </w:r>
      <w:r w:rsidR="004721D8">
        <w:rPr>
          <w:rFonts w:eastAsia="Malgun Gothic"/>
          <w:bCs/>
          <w:lang w:val="fr-FR"/>
        </w:rPr>
        <w:t> </w:t>
      </w:r>
      <w:r w:rsidRPr="00EF6590">
        <w:rPr>
          <w:rFonts w:eastAsia="Malgun Gothic"/>
          <w:bCs/>
          <w:lang w:val="fr-FR"/>
        </w:rPr>
        <w:t>R.3 et</w:t>
      </w:r>
      <w:r>
        <w:rPr>
          <w:rFonts w:eastAsia="Malgun Gothic"/>
          <w:bCs/>
          <w:lang w:val="fr-FR"/>
        </w:rPr>
        <w:t> </w:t>
      </w:r>
      <w:r w:rsidRPr="00EF6590">
        <w:rPr>
          <w:rFonts w:eastAsia="Malgun Gothic"/>
          <w:bCs/>
          <w:lang w:val="fr-FR"/>
        </w:rPr>
        <w:t>R.4 étaient satisfaits. Le dossier expliquait que les communautés avaient participé aux efforts passés et présents pour sauvegarder l</w:t>
      </w:r>
      <w:r w:rsidR="00923E72">
        <w:rPr>
          <w:rFonts w:eastAsia="Malgun Gothic"/>
          <w:bCs/>
          <w:lang w:val="fr-FR"/>
        </w:rPr>
        <w:t>’</w:t>
      </w:r>
      <w:r w:rsidRPr="00EF6590">
        <w:rPr>
          <w:rFonts w:eastAsia="Malgun Gothic"/>
          <w:bCs/>
          <w:lang w:val="fr-FR"/>
        </w:rPr>
        <w:t>élément</w:t>
      </w:r>
      <w:r>
        <w:rPr>
          <w:rFonts w:eastAsia="Malgun Gothic"/>
          <w:bCs/>
          <w:lang w:val="fr-FR"/>
        </w:rPr>
        <w:t xml:space="preserve">, sans toutefois </w:t>
      </w:r>
      <w:r w:rsidR="0082659B">
        <w:rPr>
          <w:rFonts w:eastAsia="Malgun Gothic"/>
          <w:bCs/>
          <w:lang w:val="fr-FR"/>
        </w:rPr>
        <w:t xml:space="preserve">préciser </w:t>
      </w:r>
      <w:r w:rsidRPr="00EF6590">
        <w:rPr>
          <w:rFonts w:eastAsia="Malgun Gothic"/>
          <w:bCs/>
          <w:lang w:val="fr-FR"/>
        </w:rPr>
        <w:t xml:space="preserve">le rôle des communautés concernées dans les deux États soumissionnaires en matière de planification et de mise en œuvre des mesures de sauvegarde proposées. En outre, le dossier ne précisait pas de quelle manière les communautés avaient </w:t>
      </w:r>
      <w:r w:rsidR="0075537E">
        <w:rPr>
          <w:rFonts w:eastAsia="Malgun Gothic"/>
          <w:bCs/>
          <w:lang w:val="fr-FR"/>
        </w:rPr>
        <w:t xml:space="preserve">participé au </w:t>
      </w:r>
      <w:r w:rsidRPr="00EF6590">
        <w:rPr>
          <w:rFonts w:eastAsia="Malgun Gothic"/>
          <w:bCs/>
          <w:lang w:val="fr-FR"/>
        </w:rPr>
        <w:t>processus de candidature. Pour ces raisons, l</w:t>
      </w:r>
      <w:r w:rsidR="00923E72">
        <w:rPr>
          <w:rFonts w:eastAsia="Malgun Gothic"/>
          <w:bCs/>
          <w:lang w:val="fr-FR"/>
        </w:rPr>
        <w:t>’</w:t>
      </w:r>
      <w:r w:rsidRPr="00EF6590">
        <w:rPr>
          <w:rFonts w:eastAsia="Malgun Gothic"/>
          <w:bCs/>
          <w:lang w:val="fr-FR"/>
        </w:rPr>
        <w:t>Organe recommandait que cette candidature soit renvoyée aux États soumissionnaires.</w:t>
      </w:r>
    </w:p>
    <w:p w14:paraId="7E4ED639" w14:textId="551FAB89" w:rsidR="00EF6590" w:rsidRPr="00702497" w:rsidRDefault="00D6364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6364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le </w:t>
      </w:r>
      <w:r w:rsidRPr="00702497">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63647">
        <w:rPr>
          <w:rFonts w:eastAsia="Malgun Gothic"/>
          <w:bCs/>
          <w:lang w:val="fr-FR"/>
        </w:rPr>
        <w:t>En l</w:t>
      </w:r>
      <w:r w:rsidR="00923E72">
        <w:rPr>
          <w:rFonts w:eastAsia="Malgun Gothic"/>
          <w:bCs/>
          <w:lang w:val="fr-FR"/>
        </w:rPr>
        <w:t>’</w:t>
      </w:r>
      <w:r w:rsidRPr="00D63647">
        <w:rPr>
          <w:rFonts w:eastAsia="Malgun Gothic"/>
          <w:bCs/>
          <w:lang w:val="fr-FR"/>
        </w:rPr>
        <w:t>absence</w:t>
      </w:r>
      <w:r>
        <w:rPr>
          <w:rFonts w:eastAsia="Malgun Gothic"/>
          <w:bCs/>
          <w:lang w:val="fr-FR"/>
        </w:rPr>
        <w:t xml:space="preserve"> de </w:t>
      </w:r>
      <w:r w:rsidRPr="00D6364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702497">
        <w:rPr>
          <w:rFonts w:eastAsia="Malgun Gothic"/>
          <w:b/>
          <w:lang w:val="fr-FR"/>
        </w:rPr>
        <w:t>Président a déclaré adoptée la décision</w:t>
      </w:r>
      <w:r w:rsidR="0082659B">
        <w:rPr>
          <w:rFonts w:eastAsia="Malgun Gothic"/>
          <w:b/>
          <w:lang w:val="fr-FR"/>
        </w:rPr>
        <w:t> </w:t>
      </w:r>
      <w:r w:rsidR="00751FB1">
        <w:fldChar w:fldCharType="begin"/>
      </w:r>
      <w:r w:rsidR="00751FB1" w:rsidRPr="00751FB1">
        <w:rPr>
          <w:lang w:val="fr-FR"/>
        </w:rPr>
        <w:instrText>HYPERLINK "https://ich.unesco.org/fr/Decisions/17.COM/7.b.29"</w:instrText>
      </w:r>
      <w:r w:rsidR="00751FB1">
        <w:fldChar w:fldCharType="separate"/>
      </w:r>
      <w:r w:rsidRPr="006E3034">
        <w:rPr>
          <w:rStyle w:val="Hyperlink"/>
          <w:b/>
          <w:lang w:val="fr-FR"/>
        </w:rPr>
        <w:t>17.COM 7b.29</w:t>
      </w:r>
      <w:r w:rsidR="00751FB1">
        <w:rPr>
          <w:rStyle w:val="Hyperlink"/>
          <w:b/>
          <w:lang w:val="fr-FR"/>
        </w:rPr>
        <w:fldChar w:fldCharType="end"/>
      </w:r>
      <w:r w:rsidRPr="00702497">
        <w:rPr>
          <w:rFonts w:eastAsia="Malgun Gothic"/>
          <w:b/>
          <w:lang w:val="fr-FR"/>
        </w:rPr>
        <w:t xml:space="preserve"> de</w:t>
      </w:r>
      <w:r>
        <w:rPr>
          <w:rFonts w:eastAsia="Malgun Gothic"/>
          <w:bCs/>
          <w:lang w:val="fr-FR"/>
        </w:rPr>
        <w:t xml:space="preserve"> </w:t>
      </w:r>
      <w:r w:rsidRPr="00702497">
        <w:rPr>
          <w:rFonts w:eastAsia="Malgun Gothic"/>
          <w:b/>
          <w:lang w:val="fr-FR"/>
        </w:rPr>
        <w:t>renvoyer</w:t>
      </w:r>
      <w:r>
        <w:rPr>
          <w:rFonts w:eastAsia="Malgun Gothic"/>
          <w:bCs/>
          <w:lang w:val="fr-FR"/>
        </w:rPr>
        <w:t xml:space="preserve"> </w:t>
      </w:r>
      <w:r w:rsidRPr="009D09D4">
        <w:rPr>
          <w:rFonts w:eastAsia="Malgun Gothic"/>
          <w:b/>
          <w:lang w:val="fr-FR"/>
        </w:rPr>
        <w:t>la cérémonie d</w:t>
      </w:r>
      <w:r>
        <w:rPr>
          <w:rFonts w:eastAsia="Malgun Gothic"/>
          <w:b/>
          <w:lang w:val="fr-FR"/>
        </w:rPr>
        <w:t>u</w:t>
      </w:r>
      <w:r w:rsidRPr="009D09D4">
        <w:rPr>
          <w:rFonts w:eastAsia="Malgun Gothic"/>
          <w:b/>
          <w:lang w:val="fr-FR"/>
        </w:rPr>
        <w:t xml:space="preserve"> mehr</w:t>
      </w:r>
      <w:r>
        <w:rPr>
          <w:rFonts w:eastAsia="Malgun Gothic"/>
          <w:b/>
          <w:lang w:val="fr-FR"/>
        </w:rPr>
        <w:t>e</w:t>
      </w:r>
      <w:r w:rsidRPr="009D09D4">
        <w:rPr>
          <w:rFonts w:eastAsia="Malgun Gothic"/>
          <w:b/>
          <w:lang w:val="fr-FR"/>
        </w:rPr>
        <w:t>gân</w:t>
      </w:r>
      <w:r>
        <w:rPr>
          <w:rFonts w:eastAsia="Malgun Gothic"/>
          <w:b/>
          <w:lang w:val="fr-FR"/>
        </w:rPr>
        <w:t xml:space="preserve"> aux États soumissionnaires.</w:t>
      </w:r>
    </w:p>
    <w:p w14:paraId="28F0D1F6" w14:textId="0064451D" w:rsidR="00D63647" w:rsidRDefault="00D63647"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D63647">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D63647">
        <w:rPr>
          <w:rFonts w:eastAsia="Malgun Gothic"/>
          <w:bCs/>
          <w:lang w:val="fr-FR"/>
        </w:rPr>
        <w:t xml:space="preserve"> a présenté le dossier de candidature suivant, </w:t>
      </w:r>
      <w:r w:rsidR="00CD6447" w:rsidRPr="00702497">
        <w:rPr>
          <w:rFonts w:eastAsia="Malgun Gothic"/>
          <w:b/>
          <w:lang w:val="fr-FR"/>
        </w:rPr>
        <w:t>la</w:t>
      </w:r>
      <w:r w:rsidR="00B71F7D">
        <w:rPr>
          <w:rFonts w:eastAsia="Malgun Gothic"/>
          <w:b/>
          <w:lang w:val="fr-FR"/>
        </w:rPr>
        <w:t xml:space="preserve"> </w:t>
      </w:r>
      <w:r w:rsidR="00CD6447" w:rsidRPr="00702497">
        <w:rPr>
          <w:rFonts w:eastAsia="Malgun Gothic"/>
          <w:b/>
          <w:lang w:val="fr-FR"/>
        </w:rPr>
        <w:t>h</w:t>
      </w:r>
      <w:r w:rsidRPr="00702497">
        <w:rPr>
          <w:rFonts w:eastAsia="Malgun Gothic"/>
          <w:b/>
          <w:lang w:val="fr-FR"/>
        </w:rPr>
        <w:t xml:space="preserve">arissa, </w:t>
      </w:r>
      <w:r w:rsidR="00CD6447" w:rsidRPr="00702497">
        <w:rPr>
          <w:rFonts w:eastAsia="Malgun Gothic"/>
          <w:b/>
          <w:lang w:val="fr-FR"/>
        </w:rPr>
        <w:t xml:space="preserve">savoirs, savoir-faire </w:t>
      </w:r>
      <w:r w:rsidRPr="00702497">
        <w:rPr>
          <w:rFonts w:eastAsia="Malgun Gothic"/>
          <w:b/>
          <w:lang w:val="fr-FR"/>
        </w:rPr>
        <w:t>et pratiques culinaires et sociales</w:t>
      </w:r>
      <w:r w:rsidRPr="00D63647">
        <w:rPr>
          <w:rFonts w:eastAsia="Malgun Gothic"/>
          <w:bCs/>
          <w:lang w:val="fr-FR"/>
        </w:rPr>
        <w:t xml:space="preserve"> [projet de décision</w:t>
      </w:r>
      <w:r w:rsidR="0082659B">
        <w:rPr>
          <w:rFonts w:eastAsia="Malgun Gothic"/>
          <w:bCs/>
          <w:lang w:val="fr-FR"/>
        </w:rPr>
        <w:t> </w:t>
      </w:r>
      <w:r w:rsidRPr="00D63647">
        <w:rPr>
          <w:rFonts w:eastAsia="Malgun Gothic"/>
          <w:bCs/>
          <w:lang w:val="fr-FR"/>
        </w:rPr>
        <w:t xml:space="preserve">7.b.30], soumis par la </w:t>
      </w:r>
      <w:r w:rsidRPr="00702497">
        <w:rPr>
          <w:rFonts w:eastAsia="Malgun Gothic"/>
          <w:b/>
          <w:lang w:val="fr-FR"/>
        </w:rPr>
        <w:t>Tunisie</w:t>
      </w:r>
      <w:r w:rsidRPr="00D63647">
        <w:rPr>
          <w:rFonts w:eastAsia="Malgun Gothic"/>
          <w:bCs/>
          <w:lang w:val="fr-FR"/>
        </w:rPr>
        <w:t xml:space="preserve">, expliquant que </w:t>
      </w:r>
      <w:r w:rsidR="00B71F7D">
        <w:rPr>
          <w:rFonts w:eastAsia="Malgun Gothic"/>
          <w:bCs/>
          <w:lang w:val="fr-FR"/>
        </w:rPr>
        <w:t>l</w:t>
      </w:r>
      <w:r w:rsidR="00923E72">
        <w:rPr>
          <w:rFonts w:eastAsia="Malgun Gothic"/>
          <w:bCs/>
          <w:lang w:val="fr-FR"/>
        </w:rPr>
        <w:t>’</w:t>
      </w:r>
      <w:r w:rsidRPr="00D63647">
        <w:rPr>
          <w:rFonts w:eastAsia="Malgun Gothic"/>
          <w:bCs/>
          <w:lang w:val="fr-FR"/>
        </w:rPr>
        <w:t xml:space="preserve">élément </w:t>
      </w:r>
      <w:r w:rsidR="00B71F7D">
        <w:rPr>
          <w:rFonts w:eastAsia="Malgun Gothic"/>
          <w:bCs/>
          <w:lang w:val="fr-FR"/>
        </w:rPr>
        <w:t xml:space="preserve">englobe </w:t>
      </w:r>
      <w:r w:rsidRPr="00D63647">
        <w:rPr>
          <w:rFonts w:eastAsia="Malgun Gothic"/>
          <w:bCs/>
          <w:lang w:val="fr-FR"/>
        </w:rPr>
        <w:t>les</w:t>
      </w:r>
      <w:r w:rsidR="00B71F7D">
        <w:rPr>
          <w:rFonts w:eastAsia="Malgun Gothic"/>
          <w:bCs/>
          <w:lang w:val="fr-FR"/>
        </w:rPr>
        <w:t xml:space="preserve"> savoirs</w:t>
      </w:r>
      <w:r w:rsidRPr="00D63647">
        <w:rPr>
          <w:rFonts w:eastAsia="Malgun Gothic"/>
          <w:bCs/>
          <w:lang w:val="fr-FR"/>
        </w:rPr>
        <w:t xml:space="preserve">, </w:t>
      </w:r>
      <w:r w:rsidR="00B71F7D">
        <w:rPr>
          <w:rFonts w:eastAsia="Malgun Gothic"/>
          <w:bCs/>
          <w:lang w:val="fr-FR"/>
        </w:rPr>
        <w:t>savoir</w:t>
      </w:r>
      <w:r w:rsidR="003A1CC9">
        <w:rPr>
          <w:rFonts w:eastAsia="Malgun Gothic"/>
          <w:bCs/>
          <w:lang w:val="fr-FR"/>
        </w:rPr>
        <w:t xml:space="preserve">-faire </w:t>
      </w:r>
      <w:r w:rsidRPr="00D63647">
        <w:rPr>
          <w:rFonts w:eastAsia="Malgun Gothic"/>
          <w:bCs/>
          <w:lang w:val="fr-FR"/>
        </w:rPr>
        <w:t xml:space="preserve">et pratiques culinaires et sociales associés à la production et à la consommation de </w:t>
      </w:r>
      <w:r w:rsidR="003A1CC9">
        <w:rPr>
          <w:rFonts w:eastAsia="Malgun Gothic"/>
          <w:bCs/>
          <w:lang w:val="fr-FR"/>
        </w:rPr>
        <w:t xml:space="preserve">la </w:t>
      </w:r>
      <w:r w:rsidRPr="00D63647">
        <w:rPr>
          <w:rFonts w:eastAsia="Malgun Gothic"/>
          <w:bCs/>
          <w:lang w:val="fr-FR"/>
        </w:rPr>
        <w:t>harissa</w:t>
      </w:r>
      <w:r w:rsidR="003A1CC9">
        <w:rPr>
          <w:rFonts w:eastAsia="Malgun Gothic"/>
          <w:bCs/>
          <w:lang w:val="fr-FR"/>
        </w:rPr>
        <w:t xml:space="preserve">, qui </w:t>
      </w:r>
      <w:r w:rsidRPr="00D63647">
        <w:rPr>
          <w:rFonts w:eastAsia="Malgun Gothic"/>
          <w:bCs/>
          <w:lang w:val="fr-FR"/>
        </w:rPr>
        <w:t xml:space="preserve">est utilisée comme ingrédient, condiment ou </w:t>
      </w:r>
      <w:r w:rsidR="003A1CC9">
        <w:rPr>
          <w:rFonts w:eastAsia="Malgun Gothic"/>
          <w:bCs/>
          <w:lang w:val="fr-FR"/>
        </w:rPr>
        <w:t>amuse-bouche</w:t>
      </w:r>
      <w:r w:rsidRPr="00D63647">
        <w:rPr>
          <w:rFonts w:eastAsia="Malgun Gothic"/>
          <w:bCs/>
          <w:lang w:val="fr-FR"/>
        </w:rPr>
        <w:t xml:space="preserve"> et fait partie intégrante des provisions </w:t>
      </w:r>
      <w:r w:rsidR="003A1CC9">
        <w:rPr>
          <w:rFonts w:eastAsia="Malgun Gothic"/>
          <w:bCs/>
          <w:lang w:val="fr-FR"/>
        </w:rPr>
        <w:t xml:space="preserve">domestiques et des </w:t>
      </w:r>
      <w:r w:rsidRPr="00D63647">
        <w:rPr>
          <w:rFonts w:eastAsia="Malgun Gothic"/>
          <w:bCs/>
          <w:lang w:val="fr-FR"/>
        </w:rPr>
        <w:t>traditions culinaires et alimentaires quotidiennes de la société tunisienne. Après avoir entamé un processus de dialogue sur le critère</w:t>
      </w:r>
      <w:r w:rsidR="003A1CC9">
        <w:rPr>
          <w:rFonts w:eastAsia="Malgun Gothic"/>
          <w:bCs/>
          <w:lang w:val="fr-FR"/>
        </w:rPr>
        <w:t> </w:t>
      </w:r>
      <w:r w:rsidRPr="00D63647">
        <w:rPr>
          <w:rFonts w:eastAsia="Malgun Gothic"/>
          <w:bCs/>
          <w:lang w:val="fr-FR"/>
        </w:rPr>
        <w:t>R.3 relatif au risque d</w:t>
      </w:r>
      <w:r w:rsidR="00923E72">
        <w:rPr>
          <w:rFonts w:eastAsia="Malgun Gothic"/>
          <w:bCs/>
          <w:lang w:val="fr-FR"/>
        </w:rPr>
        <w:t>’</w:t>
      </w:r>
      <w:r w:rsidRPr="00D63647">
        <w:rPr>
          <w:rFonts w:eastAsia="Malgun Gothic"/>
          <w:bCs/>
          <w:lang w:val="fr-FR"/>
        </w:rPr>
        <w:t xml:space="preserve">une procédure </w:t>
      </w:r>
      <w:r w:rsidR="003A1CC9">
        <w:rPr>
          <w:rFonts w:eastAsia="Malgun Gothic"/>
          <w:bCs/>
          <w:lang w:val="fr-FR"/>
        </w:rPr>
        <w:t xml:space="preserve">standard </w:t>
      </w:r>
      <w:r w:rsidRPr="00D63647">
        <w:rPr>
          <w:rFonts w:eastAsia="Malgun Gothic"/>
          <w:bCs/>
          <w:lang w:val="fr-FR"/>
        </w:rPr>
        <w:t>pour la créativité humaine, l</w:t>
      </w:r>
      <w:r w:rsidR="00923E72">
        <w:rPr>
          <w:rFonts w:eastAsia="Malgun Gothic"/>
          <w:bCs/>
          <w:lang w:val="fr-FR"/>
        </w:rPr>
        <w:t>’</w:t>
      </w:r>
      <w:r w:rsidRPr="00D63647">
        <w:rPr>
          <w:rFonts w:eastAsia="Malgun Gothic"/>
          <w:bCs/>
          <w:lang w:val="fr-FR"/>
        </w:rPr>
        <w:t>Organe d</w:t>
      </w:r>
      <w:r w:rsidR="00923E72">
        <w:rPr>
          <w:rFonts w:eastAsia="Malgun Gothic"/>
          <w:bCs/>
          <w:lang w:val="fr-FR"/>
        </w:rPr>
        <w:t>’</w:t>
      </w:r>
      <w:r w:rsidRPr="00D63647">
        <w:rPr>
          <w:rFonts w:eastAsia="Malgun Gothic"/>
          <w:bCs/>
          <w:lang w:val="fr-FR"/>
        </w:rPr>
        <w:t>évaluation avait estimé que la candidature satisfaisait à l</w:t>
      </w:r>
      <w:r w:rsidR="00923E72">
        <w:rPr>
          <w:rFonts w:eastAsia="Malgun Gothic"/>
          <w:bCs/>
          <w:lang w:val="fr-FR"/>
        </w:rPr>
        <w:t>’</w:t>
      </w:r>
      <w:r w:rsidRPr="00D63647">
        <w:rPr>
          <w:rFonts w:eastAsia="Malgun Gothic"/>
          <w:bCs/>
          <w:lang w:val="fr-FR"/>
        </w:rPr>
        <w:t>ensemble des cinq critères. En conclusion, l</w:t>
      </w:r>
      <w:r w:rsidR="00923E72">
        <w:rPr>
          <w:rFonts w:eastAsia="Malgun Gothic"/>
          <w:bCs/>
          <w:lang w:val="fr-FR"/>
        </w:rPr>
        <w:t>’</w:t>
      </w:r>
      <w:r w:rsidRPr="00D63647">
        <w:rPr>
          <w:rFonts w:eastAsia="Malgun Gothic"/>
          <w:bCs/>
          <w:lang w:val="fr-FR"/>
        </w:rPr>
        <w:t>Organe d</w:t>
      </w:r>
      <w:r w:rsidR="00923E72">
        <w:rPr>
          <w:rFonts w:eastAsia="Malgun Gothic"/>
          <w:bCs/>
          <w:lang w:val="fr-FR"/>
        </w:rPr>
        <w:t>’</w:t>
      </w:r>
      <w:r w:rsidRPr="00D63647">
        <w:rPr>
          <w:rFonts w:eastAsia="Malgun Gothic"/>
          <w:bCs/>
          <w:lang w:val="fr-FR"/>
        </w:rPr>
        <w:t>évaluation recommand</w:t>
      </w:r>
      <w:r w:rsidR="003A1CC9">
        <w:rPr>
          <w:rFonts w:eastAsia="Malgun Gothic"/>
          <w:bCs/>
          <w:lang w:val="fr-FR"/>
        </w:rPr>
        <w:t>ait</w:t>
      </w:r>
      <w:r w:rsidRPr="00D63647">
        <w:rPr>
          <w:rFonts w:eastAsia="Malgun Gothic"/>
          <w:bCs/>
          <w:lang w:val="fr-FR"/>
        </w:rPr>
        <w:t xml:space="preserve"> l</w:t>
      </w:r>
      <w:r w:rsidR="00923E72">
        <w:rPr>
          <w:rFonts w:eastAsia="Malgun Gothic"/>
          <w:bCs/>
          <w:lang w:val="fr-FR"/>
        </w:rPr>
        <w:t>’</w:t>
      </w:r>
      <w:r w:rsidRPr="00D63647">
        <w:rPr>
          <w:rFonts w:eastAsia="Malgun Gothic"/>
          <w:bCs/>
          <w:lang w:val="fr-FR"/>
        </w:rPr>
        <w:t>inscription de cet élément sur la Liste représentative.</w:t>
      </w:r>
    </w:p>
    <w:p w14:paraId="7F646ABF" w14:textId="7E0D773C" w:rsidR="00A67769" w:rsidRDefault="00A6776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82659B">
        <w:rPr>
          <w:rFonts w:eastAsia="Malgun Gothic"/>
          <w:b/>
          <w:lang w:val="fr-FR"/>
        </w:rPr>
        <w:t> </w:t>
      </w:r>
      <w:r w:rsidR="00751FB1">
        <w:fldChar w:fldCharType="begin"/>
      </w:r>
      <w:r w:rsidR="00751FB1" w:rsidRPr="00751FB1">
        <w:rPr>
          <w:lang w:val="fr-FR"/>
        </w:rPr>
        <w:instrText>HYPERLINK "https://ich.unesco.org/fr/Decisions/17.COM/7.b.30"</w:instrText>
      </w:r>
      <w:r w:rsidR="00751FB1">
        <w:fldChar w:fldCharType="separate"/>
      </w:r>
      <w:r w:rsidRPr="006E3034">
        <w:rPr>
          <w:rStyle w:val="Hyperlink"/>
          <w:b/>
          <w:bCs/>
          <w:lang w:val="fr-FR"/>
        </w:rPr>
        <w:t>17.COM 7.b.30</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inscrire</w:t>
      </w:r>
      <w:r>
        <w:rPr>
          <w:rFonts w:eastAsia="Malgun Gothic"/>
          <w:b/>
          <w:lang w:val="fr-FR"/>
        </w:rPr>
        <w:t xml:space="preserve"> </w:t>
      </w:r>
      <w:r w:rsidRPr="009D09D4">
        <w:rPr>
          <w:rFonts w:eastAsia="Malgun Gothic"/>
          <w:b/>
          <w:lang w:val="fr-FR"/>
        </w:rPr>
        <w:t>la</w:t>
      </w:r>
      <w:r>
        <w:rPr>
          <w:rFonts w:eastAsia="Malgun Gothic"/>
          <w:b/>
          <w:lang w:val="fr-FR"/>
        </w:rPr>
        <w:t xml:space="preserve"> </w:t>
      </w:r>
      <w:r w:rsidRPr="009D09D4">
        <w:rPr>
          <w:rFonts w:eastAsia="Malgun Gothic"/>
          <w:b/>
          <w:lang w:val="fr-FR"/>
        </w:rPr>
        <w:t>harissa, savoirs, savoir-faire et pratiques culinaires et sociales</w:t>
      </w:r>
      <w:r>
        <w:rPr>
          <w:rFonts w:eastAsia="Malgun Gothic"/>
          <w:b/>
          <w:lang w:val="fr-FR"/>
        </w:rPr>
        <w:t xml:space="preserve"> sur la Liste représentative</w:t>
      </w:r>
      <w:r>
        <w:rPr>
          <w:rFonts w:eastAsia="Malgun Gothic"/>
          <w:bCs/>
          <w:lang w:val="fr-FR"/>
        </w:rPr>
        <w:t>.</w:t>
      </w:r>
    </w:p>
    <w:p w14:paraId="47E2D249" w14:textId="70CF530C" w:rsidR="003A1CC9" w:rsidRDefault="00A67769"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A67769">
        <w:rPr>
          <w:rFonts w:eastAsia="Malgun Gothic"/>
          <w:bCs/>
          <w:lang w:val="fr-FR"/>
        </w:rPr>
        <w:t xml:space="preserve">La délégation de la </w:t>
      </w:r>
      <w:r w:rsidRPr="00702497">
        <w:rPr>
          <w:rFonts w:eastAsia="Malgun Gothic"/>
          <w:b/>
          <w:lang w:val="fr-FR"/>
        </w:rPr>
        <w:t>Tunisie</w:t>
      </w:r>
      <w:r w:rsidRPr="00A67769">
        <w:rPr>
          <w:rFonts w:eastAsia="Malgun Gothic"/>
          <w:bCs/>
          <w:lang w:val="fr-FR"/>
        </w:rPr>
        <w:t xml:space="preserve"> a fait part de sa fierté suite à cette inscription de la harissa, dont les valeurs et les significations sont multiples</w:t>
      </w:r>
      <w:r w:rsidR="00A069FA">
        <w:rPr>
          <w:rFonts w:eastAsia="Malgun Gothic"/>
          <w:bCs/>
          <w:lang w:val="fr-FR"/>
        </w:rPr>
        <w:t>,</w:t>
      </w:r>
      <w:r w:rsidRPr="00A67769">
        <w:rPr>
          <w:rFonts w:eastAsia="Malgun Gothic"/>
          <w:bCs/>
          <w:lang w:val="fr-FR"/>
        </w:rPr>
        <w:t xml:space="preserve"> puisque la harissa englobe un ensemble de savoirs, de savoir-faire et de rituels liés à sa consommation et à sa production. La délégation a rappelé que la harissa, utilisée comme ingrédient, condiment ou amuse-bouche, fait partie intégrante des pratiques culinaires et alimentaires, quotidiennes et festives, de la société tunisienne et qu</w:t>
      </w:r>
      <w:r w:rsidR="00923E72">
        <w:rPr>
          <w:rFonts w:eastAsia="Malgun Gothic"/>
          <w:bCs/>
          <w:lang w:val="fr-FR"/>
        </w:rPr>
        <w:t>’</w:t>
      </w:r>
      <w:r w:rsidRPr="00A67769">
        <w:rPr>
          <w:rFonts w:eastAsia="Malgun Gothic"/>
          <w:bCs/>
          <w:lang w:val="fr-FR"/>
        </w:rPr>
        <w:t>elle est le plus souvent préparée par les femmes dans un cadre collectif marqué par l</w:t>
      </w:r>
      <w:r w:rsidR="00923E72">
        <w:rPr>
          <w:rFonts w:eastAsia="Malgun Gothic"/>
          <w:bCs/>
          <w:lang w:val="fr-FR"/>
        </w:rPr>
        <w:t>’</w:t>
      </w:r>
      <w:r w:rsidRPr="00A67769">
        <w:rPr>
          <w:rFonts w:eastAsia="Malgun Gothic"/>
          <w:bCs/>
          <w:lang w:val="fr-FR"/>
        </w:rPr>
        <w:t>entraide et la coopération, d</w:t>
      </w:r>
      <w:r w:rsidR="00923E72">
        <w:rPr>
          <w:rFonts w:eastAsia="Malgun Gothic"/>
          <w:bCs/>
          <w:lang w:val="fr-FR"/>
        </w:rPr>
        <w:t>’</w:t>
      </w:r>
      <w:r w:rsidRPr="00A67769">
        <w:rPr>
          <w:rFonts w:eastAsia="Malgun Gothic"/>
          <w:bCs/>
          <w:lang w:val="fr-FR"/>
        </w:rPr>
        <w:t>où sa fonction de renforcement de la cohésion sociale. Au-delà de ses aspects techniques, reflétant une parfaite harmonie avec la nature, la harissa avait une valeur symbolique importante. Elle représentait la chaleur, l</w:t>
      </w:r>
      <w:r w:rsidR="00923E72">
        <w:rPr>
          <w:rFonts w:eastAsia="Malgun Gothic"/>
          <w:bCs/>
          <w:lang w:val="fr-FR"/>
        </w:rPr>
        <w:t>’</w:t>
      </w:r>
      <w:r w:rsidRPr="00A67769">
        <w:rPr>
          <w:rFonts w:eastAsia="Malgun Gothic"/>
          <w:bCs/>
          <w:lang w:val="fr-FR"/>
        </w:rPr>
        <w:t>activité et la vitalité. Cette reconnaissance internationale venait récompenser les efforts déployés pour la sauvegarde de cet élément. En effet, la mise en valeur des traditions culinaires et alimentaires constitu</w:t>
      </w:r>
      <w:r w:rsidR="004C5741">
        <w:rPr>
          <w:rFonts w:eastAsia="Malgun Gothic"/>
          <w:bCs/>
          <w:lang w:val="fr-FR"/>
        </w:rPr>
        <w:t>ait</w:t>
      </w:r>
      <w:r w:rsidRPr="00A67769">
        <w:rPr>
          <w:rFonts w:eastAsia="Malgun Gothic"/>
          <w:bCs/>
          <w:lang w:val="fr-FR"/>
        </w:rPr>
        <w:t xml:space="preserve"> une composante essentielle du patrimoine immatériel. La délégation a remercié le Maroc pour l</w:t>
      </w:r>
      <w:r w:rsidR="00923E72">
        <w:rPr>
          <w:rFonts w:eastAsia="Malgun Gothic"/>
          <w:bCs/>
          <w:lang w:val="fr-FR"/>
        </w:rPr>
        <w:t>’</w:t>
      </w:r>
      <w:r w:rsidRPr="00A67769">
        <w:rPr>
          <w:rFonts w:eastAsia="Malgun Gothic"/>
          <w:bCs/>
          <w:lang w:val="fr-FR"/>
        </w:rPr>
        <w:t>accueil chaleureux, l</w:t>
      </w:r>
      <w:r w:rsidR="00923E72">
        <w:rPr>
          <w:rFonts w:eastAsia="Malgun Gothic"/>
          <w:bCs/>
          <w:lang w:val="fr-FR"/>
        </w:rPr>
        <w:t>’</w:t>
      </w:r>
      <w:r w:rsidRPr="00A67769">
        <w:rPr>
          <w:rFonts w:eastAsia="Malgun Gothic"/>
          <w:bCs/>
          <w:lang w:val="fr-FR"/>
        </w:rPr>
        <w:t>hospitalité et l</w:t>
      </w:r>
      <w:r w:rsidR="00923E72">
        <w:rPr>
          <w:rFonts w:eastAsia="Malgun Gothic"/>
          <w:bCs/>
          <w:lang w:val="fr-FR"/>
        </w:rPr>
        <w:t>’</w:t>
      </w:r>
      <w:r w:rsidRPr="00A67769">
        <w:rPr>
          <w:rFonts w:eastAsia="Malgun Gothic"/>
          <w:bCs/>
          <w:lang w:val="fr-FR"/>
        </w:rPr>
        <w:t>organisation impressionnante, exprimant sa gratitude à l</w:t>
      </w:r>
      <w:r w:rsidR="00923E72">
        <w:rPr>
          <w:rFonts w:eastAsia="Malgun Gothic"/>
          <w:bCs/>
          <w:lang w:val="fr-FR"/>
        </w:rPr>
        <w:t>’</w:t>
      </w:r>
      <w:r w:rsidRPr="00A67769">
        <w:rPr>
          <w:rFonts w:eastAsia="Malgun Gothic"/>
          <w:bCs/>
          <w:lang w:val="fr-FR"/>
        </w:rPr>
        <w:t>Organe d</w:t>
      </w:r>
      <w:r w:rsidR="00923E72">
        <w:rPr>
          <w:rFonts w:eastAsia="Malgun Gothic"/>
          <w:bCs/>
          <w:lang w:val="fr-FR"/>
        </w:rPr>
        <w:t>’</w:t>
      </w:r>
      <w:r w:rsidRPr="00A67769">
        <w:rPr>
          <w:rFonts w:eastAsia="Malgun Gothic"/>
          <w:bCs/>
          <w:lang w:val="fr-FR"/>
        </w:rPr>
        <w:t>évaluation et à tous les membres du Comité pour leur engagement.</w:t>
      </w:r>
    </w:p>
    <w:p w14:paraId="236949D5" w14:textId="5CB1DC2F" w:rsidR="009E27B1" w:rsidRPr="00702497" w:rsidRDefault="009E27B1"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58C20837" w14:textId="68D30A6E" w:rsidR="004C5741" w:rsidRDefault="004C5741"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4C5741">
        <w:rPr>
          <w:rFonts w:eastAsia="Malgun Gothic"/>
          <w:bCs/>
          <w:lang w:val="fr-FR"/>
        </w:rPr>
        <w:lastRenderedPageBreak/>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4C5741">
        <w:rPr>
          <w:rFonts w:eastAsia="Malgun Gothic"/>
          <w:bCs/>
          <w:lang w:val="fr-FR"/>
        </w:rPr>
        <w:t xml:space="preserve"> a présenté le dossier de candidature suivant, </w:t>
      </w:r>
      <w:r w:rsidRPr="00702497">
        <w:rPr>
          <w:rFonts w:eastAsia="Malgun Gothic"/>
          <w:b/>
          <w:lang w:val="fr-FR"/>
        </w:rPr>
        <w:t>l</w:t>
      </w:r>
      <w:r w:rsidR="00923E72">
        <w:rPr>
          <w:rFonts w:eastAsia="Malgun Gothic"/>
          <w:b/>
          <w:lang w:val="fr-FR"/>
        </w:rPr>
        <w:t>’</w:t>
      </w:r>
      <w:r w:rsidRPr="00702497">
        <w:rPr>
          <w:rFonts w:eastAsia="Malgun Gothic"/>
          <w:b/>
          <w:lang w:val="fr-FR"/>
        </w:rPr>
        <w:t>art des travaux d</w:t>
      </w:r>
      <w:r w:rsidR="00923E72">
        <w:rPr>
          <w:rFonts w:eastAsia="Malgun Gothic"/>
          <w:b/>
          <w:lang w:val="fr-FR"/>
        </w:rPr>
        <w:t>’</w:t>
      </w:r>
      <w:r w:rsidRPr="00702497">
        <w:rPr>
          <w:rFonts w:eastAsia="Malgun Gothic"/>
          <w:b/>
          <w:lang w:val="fr-FR"/>
        </w:rPr>
        <w:t xml:space="preserve">aiguille de style turkmène </w:t>
      </w:r>
      <w:r w:rsidRPr="004C5741">
        <w:rPr>
          <w:rFonts w:eastAsia="Malgun Gothic"/>
          <w:bCs/>
          <w:lang w:val="fr-FR"/>
        </w:rPr>
        <w:t>[projet de décision</w:t>
      </w:r>
      <w:r w:rsidR="00136090">
        <w:rPr>
          <w:rFonts w:eastAsia="Malgun Gothic"/>
          <w:bCs/>
          <w:lang w:val="fr-FR"/>
        </w:rPr>
        <w:t> </w:t>
      </w:r>
      <w:r w:rsidRPr="004C5741">
        <w:rPr>
          <w:rFonts w:eastAsia="Malgun Gothic"/>
          <w:bCs/>
          <w:lang w:val="fr-FR"/>
        </w:rPr>
        <w:t>7.b.31]</w:t>
      </w:r>
      <w:r w:rsidR="00136090">
        <w:rPr>
          <w:rFonts w:eastAsia="Malgun Gothic"/>
          <w:bCs/>
          <w:lang w:val="fr-FR"/>
        </w:rPr>
        <w:t>,</w:t>
      </w:r>
      <w:r w:rsidRPr="004C5741">
        <w:rPr>
          <w:rFonts w:eastAsia="Malgun Gothic"/>
          <w:bCs/>
          <w:lang w:val="fr-FR"/>
        </w:rPr>
        <w:t xml:space="preserve"> soumis par le </w:t>
      </w:r>
      <w:r w:rsidRPr="00702497">
        <w:rPr>
          <w:rFonts w:eastAsia="Malgun Gothic"/>
          <w:b/>
          <w:lang w:val="fr-FR"/>
        </w:rPr>
        <w:t>Turkménistan</w:t>
      </w:r>
      <w:r w:rsidRPr="004C5741">
        <w:rPr>
          <w:rFonts w:eastAsia="Malgun Gothic"/>
          <w:bCs/>
          <w:lang w:val="fr-FR"/>
        </w:rPr>
        <w:t xml:space="preserve"> et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Iran</w:t>
      </w:r>
      <w:r w:rsidRPr="004C5741">
        <w:rPr>
          <w:rFonts w:eastAsia="Malgun Gothic"/>
          <w:bCs/>
          <w:lang w:val="fr-FR"/>
        </w:rPr>
        <w:t xml:space="preserve">, expliquant que </w:t>
      </w:r>
      <w:r>
        <w:rPr>
          <w:rFonts w:eastAsia="Malgun Gothic"/>
          <w:bCs/>
          <w:lang w:val="fr-FR"/>
        </w:rPr>
        <w:t>l</w:t>
      </w:r>
      <w:r w:rsidR="00923E72">
        <w:rPr>
          <w:rFonts w:eastAsia="Malgun Gothic"/>
          <w:bCs/>
          <w:lang w:val="fr-FR"/>
        </w:rPr>
        <w:t>’</w:t>
      </w:r>
      <w:r w:rsidRPr="004C5741">
        <w:rPr>
          <w:rFonts w:eastAsia="Malgun Gothic"/>
          <w:bCs/>
          <w:lang w:val="fr-FR"/>
        </w:rPr>
        <w:t>élément est une forme d</w:t>
      </w:r>
      <w:r w:rsidR="00923E72">
        <w:rPr>
          <w:rFonts w:eastAsia="Malgun Gothic"/>
          <w:bCs/>
          <w:lang w:val="fr-FR"/>
        </w:rPr>
        <w:t>’</w:t>
      </w:r>
      <w:r w:rsidRPr="004C5741">
        <w:rPr>
          <w:rFonts w:eastAsia="Malgun Gothic"/>
          <w:bCs/>
          <w:lang w:val="fr-FR"/>
        </w:rPr>
        <w:t>art décoratif</w:t>
      </w:r>
      <w:r>
        <w:rPr>
          <w:rFonts w:eastAsia="Malgun Gothic"/>
          <w:bCs/>
          <w:lang w:val="fr-FR"/>
        </w:rPr>
        <w:t xml:space="preserve"> appliqué alliant des</w:t>
      </w:r>
      <w:r w:rsidRPr="004C5741">
        <w:rPr>
          <w:rFonts w:eastAsia="Malgun Gothic"/>
          <w:bCs/>
          <w:lang w:val="fr-FR"/>
        </w:rPr>
        <w:t xml:space="preserve"> compétences créati</w:t>
      </w:r>
      <w:r>
        <w:rPr>
          <w:rFonts w:eastAsia="Malgun Gothic"/>
          <w:bCs/>
          <w:lang w:val="fr-FR"/>
        </w:rPr>
        <w:t>ves</w:t>
      </w:r>
      <w:r w:rsidRPr="004C5741">
        <w:rPr>
          <w:rFonts w:eastAsia="Malgun Gothic"/>
          <w:bCs/>
          <w:lang w:val="fr-FR"/>
        </w:rPr>
        <w:t xml:space="preserve"> sur différents types de tissus, et que les fonctions sociales et la signification culturelle de l</w:t>
      </w:r>
      <w:r w:rsidR="00923E72">
        <w:rPr>
          <w:rFonts w:eastAsia="Malgun Gothic"/>
          <w:bCs/>
          <w:lang w:val="fr-FR"/>
        </w:rPr>
        <w:t>’</w:t>
      </w:r>
      <w:r w:rsidRPr="004C5741">
        <w:rPr>
          <w:rFonts w:eastAsia="Malgun Gothic"/>
          <w:bCs/>
          <w:lang w:val="fr-FR"/>
        </w:rPr>
        <w:t xml:space="preserve">élément sont </w:t>
      </w:r>
      <w:r>
        <w:rPr>
          <w:rFonts w:eastAsia="Malgun Gothic"/>
          <w:bCs/>
          <w:lang w:val="fr-FR"/>
        </w:rPr>
        <w:t xml:space="preserve">associées </w:t>
      </w:r>
      <w:r w:rsidRPr="004C5741">
        <w:rPr>
          <w:rFonts w:eastAsia="Malgun Gothic"/>
          <w:bCs/>
          <w:lang w:val="fr-FR"/>
        </w:rPr>
        <w:t xml:space="preserve">à son utilisation </w:t>
      </w:r>
      <w:r>
        <w:rPr>
          <w:rFonts w:eastAsia="Malgun Gothic"/>
          <w:bCs/>
          <w:lang w:val="fr-FR"/>
        </w:rPr>
        <w:t>lors de la confection de</w:t>
      </w:r>
      <w:r w:rsidRPr="004C5741">
        <w:rPr>
          <w:rFonts w:eastAsia="Malgun Gothic"/>
          <w:bCs/>
          <w:lang w:val="fr-FR"/>
        </w:rPr>
        <w:t xml:space="preserve"> robes </w:t>
      </w:r>
      <w:r>
        <w:rPr>
          <w:rFonts w:eastAsia="Malgun Gothic"/>
          <w:bCs/>
          <w:lang w:val="fr-FR"/>
        </w:rPr>
        <w:t xml:space="preserve">et de </w:t>
      </w:r>
      <w:r w:rsidRPr="004C5741">
        <w:rPr>
          <w:rFonts w:eastAsia="Malgun Gothic"/>
          <w:bCs/>
          <w:lang w:val="fr-FR"/>
        </w:rPr>
        <w:t>vêtements pour les marié</w:t>
      </w:r>
      <w:r>
        <w:rPr>
          <w:rFonts w:eastAsia="Malgun Gothic"/>
          <w:bCs/>
          <w:lang w:val="fr-FR"/>
        </w:rPr>
        <w:t>e</w:t>
      </w:r>
      <w:r w:rsidRPr="004C5741">
        <w:rPr>
          <w:rFonts w:eastAsia="Malgun Gothic"/>
          <w:bCs/>
          <w:lang w:val="fr-FR"/>
        </w:rPr>
        <w:t>s</w:t>
      </w:r>
      <w:r>
        <w:rPr>
          <w:rFonts w:eastAsia="Malgun Gothic"/>
          <w:bCs/>
          <w:lang w:val="fr-FR"/>
        </w:rPr>
        <w:t xml:space="preserve"> et les mariés</w:t>
      </w:r>
      <w:r w:rsidRPr="004C5741">
        <w:rPr>
          <w:rFonts w:eastAsia="Malgun Gothic"/>
          <w:bCs/>
          <w:lang w:val="fr-FR"/>
        </w:rPr>
        <w:t>, ainsi qu</w:t>
      </w:r>
      <w:r w:rsidR="00923E72">
        <w:rPr>
          <w:rFonts w:eastAsia="Malgun Gothic"/>
          <w:bCs/>
          <w:lang w:val="fr-FR"/>
        </w:rPr>
        <w:t>’</w:t>
      </w:r>
      <w:r>
        <w:rPr>
          <w:rFonts w:eastAsia="Malgun Gothic"/>
          <w:bCs/>
          <w:lang w:val="fr-FR"/>
        </w:rPr>
        <w:t>à son usage sur</w:t>
      </w:r>
      <w:r w:rsidRPr="004C5741">
        <w:rPr>
          <w:rFonts w:eastAsia="Malgun Gothic"/>
          <w:bCs/>
          <w:lang w:val="fr-FR"/>
        </w:rPr>
        <w:t xml:space="preserve"> </w:t>
      </w:r>
      <w:r>
        <w:rPr>
          <w:rFonts w:eastAsia="Malgun Gothic"/>
          <w:bCs/>
          <w:lang w:val="fr-FR"/>
        </w:rPr>
        <w:t xml:space="preserve">des </w:t>
      </w:r>
      <w:r w:rsidRPr="004C5741">
        <w:rPr>
          <w:rFonts w:eastAsia="Malgun Gothic"/>
          <w:bCs/>
          <w:lang w:val="fr-FR"/>
        </w:rPr>
        <w:t xml:space="preserve">objets utilisés lors </w:t>
      </w:r>
      <w:r>
        <w:rPr>
          <w:rFonts w:eastAsia="Malgun Gothic"/>
          <w:bCs/>
          <w:lang w:val="fr-FR"/>
        </w:rPr>
        <w:t>d</w:t>
      </w:r>
      <w:r w:rsidR="00923E72">
        <w:rPr>
          <w:rFonts w:eastAsia="Malgun Gothic"/>
          <w:bCs/>
          <w:lang w:val="fr-FR"/>
        </w:rPr>
        <w:t>’</w:t>
      </w:r>
      <w:r>
        <w:rPr>
          <w:rFonts w:eastAsia="Malgun Gothic"/>
          <w:bCs/>
          <w:lang w:val="fr-FR"/>
        </w:rPr>
        <w:t>enterrements,</w:t>
      </w:r>
      <w:r w:rsidRPr="004C5741">
        <w:rPr>
          <w:rFonts w:eastAsia="Malgun Gothic"/>
          <w:bCs/>
          <w:lang w:val="fr-FR"/>
        </w:rPr>
        <w:t xml:space="preserve"> de rassemblements sociaux et </w:t>
      </w:r>
      <w:r>
        <w:rPr>
          <w:rFonts w:eastAsia="Malgun Gothic"/>
          <w:bCs/>
          <w:lang w:val="fr-FR"/>
        </w:rPr>
        <w:t>d</w:t>
      </w:r>
      <w:r w:rsidR="00923E72">
        <w:rPr>
          <w:rFonts w:eastAsia="Malgun Gothic"/>
          <w:bCs/>
          <w:lang w:val="fr-FR"/>
        </w:rPr>
        <w:t>’</w:t>
      </w:r>
      <w:r w:rsidRPr="004C5741">
        <w:rPr>
          <w:rFonts w:eastAsia="Malgun Gothic"/>
          <w:bCs/>
          <w:lang w:val="fr-FR"/>
        </w:rPr>
        <w:t>événements culturels. L</w:t>
      </w:r>
      <w:r w:rsidR="00923E72">
        <w:rPr>
          <w:rFonts w:eastAsia="Malgun Gothic"/>
          <w:bCs/>
          <w:lang w:val="fr-FR"/>
        </w:rPr>
        <w:t>’</w:t>
      </w:r>
      <w:r w:rsidRPr="004C5741">
        <w:rPr>
          <w:rFonts w:eastAsia="Malgun Gothic"/>
          <w:bCs/>
          <w:lang w:val="fr-FR"/>
        </w:rPr>
        <w:t>Organe d</w:t>
      </w:r>
      <w:r w:rsidR="00923E72">
        <w:rPr>
          <w:rFonts w:eastAsia="Malgun Gothic"/>
          <w:bCs/>
          <w:lang w:val="fr-FR"/>
        </w:rPr>
        <w:t>’</w:t>
      </w:r>
      <w:r w:rsidRPr="004C5741">
        <w:rPr>
          <w:rFonts w:eastAsia="Malgun Gothic"/>
          <w:bCs/>
          <w:lang w:val="fr-FR"/>
        </w:rPr>
        <w:t>évaluation avait estimé que la candidature satisfaisait aux cinq critères et recommandait l</w:t>
      </w:r>
      <w:r w:rsidR="00923E72">
        <w:rPr>
          <w:rFonts w:eastAsia="Malgun Gothic"/>
          <w:bCs/>
          <w:lang w:val="fr-FR"/>
        </w:rPr>
        <w:t>’</w:t>
      </w:r>
      <w:r w:rsidRPr="004C5741">
        <w:rPr>
          <w:rFonts w:eastAsia="Malgun Gothic"/>
          <w:bCs/>
          <w:lang w:val="fr-FR"/>
        </w:rPr>
        <w:t>inscription de cet élément sur la Liste représentative.</w:t>
      </w:r>
    </w:p>
    <w:p w14:paraId="19055E96" w14:textId="3B432F6A" w:rsidR="00766588" w:rsidRDefault="0076658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Pr="00AE6A00">
        <w:rPr>
          <w:rFonts w:eastAsia="Malgun Gothic"/>
          <w:b/>
          <w:lang w:val="fr-FR"/>
        </w:rPr>
        <w:t>Président a déclaré adoptée la décision</w:t>
      </w:r>
      <w:r w:rsidR="00371185">
        <w:rPr>
          <w:rFonts w:eastAsia="Malgun Gothic"/>
          <w:b/>
          <w:lang w:val="fr-FR"/>
        </w:rPr>
        <w:t> </w:t>
      </w:r>
      <w:r w:rsidR="00751FB1">
        <w:fldChar w:fldCharType="begin"/>
      </w:r>
      <w:r w:rsidR="00751FB1" w:rsidRPr="00751FB1">
        <w:rPr>
          <w:lang w:val="fr-FR"/>
        </w:rPr>
        <w:instrText>HYPERLINK "https://ich.unesco.org/fr/Decisions/17.COM/7.b.31"</w:instrText>
      </w:r>
      <w:r w:rsidR="00751FB1">
        <w:fldChar w:fldCharType="separate"/>
      </w:r>
      <w:r w:rsidRPr="006E3034">
        <w:rPr>
          <w:rStyle w:val="Hyperlink"/>
          <w:b/>
          <w:bCs/>
          <w:lang w:val="fr-FR"/>
        </w:rPr>
        <w:t>17.COM 7.b.31</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inscrire</w:t>
      </w:r>
      <w:r>
        <w:rPr>
          <w:rFonts w:eastAsia="Malgun Gothic"/>
          <w:b/>
          <w:lang w:val="fr-FR"/>
        </w:rPr>
        <w:t xml:space="preserve"> </w:t>
      </w:r>
      <w:r w:rsidRPr="009D09D4">
        <w:rPr>
          <w:rFonts w:eastAsia="Malgun Gothic"/>
          <w:b/>
          <w:lang w:val="fr-FR"/>
        </w:rPr>
        <w:t>l</w:t>
      </w:r>
      <w:r w:rsidR="00923E72">
        <w:rPr>
          <w:rFonts w:eastAsia="Malgun Gothic"/>
          <w:b/>
          <w:lang w:val="fr-FR"/>
        </w:rPr>
        <w:t>’</w:t>
      </w:r>
      <w:r w:rsidRPr="009D09D4">
        <w:rPr>
          <w:rFonts w:eastAsia="Malgun Gothic"/>
          <w:b/>
          <w:lang w:val="fr-FR"/>
        </w:rPr>
        <w:t>art des travaux d</w:t>
      </w:r>
      <w:r w:rsidR="00923E72">
        <w:rPr>
          <w:rFonts w:eastAsia="Malgun Gothic"/>
          <w:b/>
          <w:lang w:val="fr-FR"/>
        </w:rPr>
        <w:t>’</w:t>
      </w:r>
      <w:r w:rsidRPr="009D09D4">
        <w:rPr>
          <w:rFonts w:eastAsia="Malgun Gothic"/>
          <w:b/>
          <w:lang w:val="fr-FR"/>
        </w:rPr>
        <w:t>aiguille de style turkmène</w:t>
      </w:r>
      <w:r>
        <w:rPr>
          <w:rFonts w:eastAsia="Malgun Gothic"/>
          <w:b/>
          <w:lang w:val="fr-FR"/>
        </w:rPr>
        <w:t xml:space="preserve"> sur la Liste représentative</w:t>
      </w:r>
      <w:r>
        <w:rPr>
          <w:rFonts w:eastAsia="Malgun Gothic"/>
          <w:bCs/>
          <w:lang w:val="fr-FR"/>
        </w:rPr>
        <w:t>.</w:t>
      </w:r>
    </w:p>
    <w:p w14:paraId="11D64E50" w14:textId="24DD22B0" w:rsidR="009E27B1" w:rsidRDefault="00766588"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766588">
        <w:rPr>
          <w:rFonts w:eastAsia="Malgun Gothic"/>
          <w:bCs/>
          <w:lang w:val="fr-FR"/>
        </w:rPr>
        <w:t xml:space="preserve">La délégation du </w:t>
      </w:r>
      <w:r w:rsidRPr="00702497">
        <w:rPr>
          <w:rFonts w:eastAsia="Malgun Gothic"/>
          <w:b/>
          <w:lang w:val="fr-FR"/>
        </w:rPr>
        <w:t>Turkménistan</w:t>
      </w:r>
      <w:r w:rsidRPr="00766588">
        <w:rPr>
          <w:rFonts w:eastAsia="Malgun Gothic"/>
          <w:bCs/>
          <w:lang w:val="fr-FR"/>
        </w:rPr>
        <w:t xml:space="preserve"> a exprimé sa sincère gratitude au Président pour son excellente </w:t>
      </w:r>
      <w:r>
        <w:rPr>
          <w:rFonts w:eastAsia="Malgun Gothic"/>
          <w:bCs/>
          <w:lang w:val="fr-FR"/>
        </w:rPr>
        <w:t xml:space="preserve">conduite </w:t>
      </w:r>
      <w:r w:rsidRPr="00766588">
        <w:rPr>
          <w:rFonts w:eastAsia="Malgun Gothic"/>
          <w:bCs/>
          <w:lang w:val="fr-FR"/>
        </w:rPr>
        <w:t>des travaux du Comité, ainsi qu</w:t>
      </w:r>
      <w:r w:rsidR="00923E72">
        <w:rPr>
          <w:rFonts w:eastAsia="Malgun Gothic"/>
          <w:bCs/>
          <w:lang w:val="fr-FR"/>
        </w:rPr>
        <w:t>’</w:t>
      </w:r>
      <w:r w:rsidRPr="00766588">
        <w:rPr>
          <w:rFonts w:eastAsia="Malgun Gothic"/>
          <w:bCs/>
          <w:lang w:val="fr-FR"/>
        </w:rPr>
        <w:t>au Maroc et au Secrétariat pour l</w:t>
      </w:r>
      <w:r w:rsidR="00923E72">
        <w:rPr>
          <w:rFonts w:eastAsia="Malgun Gothic"/>
          <w:bCs/>
          <w:lang w:val="fr-FR"/>
        </w:rPr>
        <w:t>’</w:t>
      </w:r>
      <w:r w:rsidRPr="00766588">
        <w:rPr>
          <w:rFonts w:eastAsia="Malgun Gothic"/>
          <w:bCs/>
          <w:lang w:val="fr-FR"/>
        </w:rPr>
        <w:t>hospitalité et l</w:t>
      </w:r>
      <w:r w:rsidR="00923E72">
        <w:rPr>
          <w:rFonts w:eastAsia="Malgun Gothic"/>
          <w:bCs/>
          <w:lang w:val="fr-FR"/>
        </w:rPr>
        <w:t>’</w:t>
      </w:r>
      <w:r w:rsidRPr="00766588">
        <w:rPr>
          <w:rFonts w:eastAsia="Malgun Gothic"/>
          <w:bCs/>
          <w:lang w:val="fr-FR"/>
        </w:rPr>
        <w:t>organisation de cette session. Au nom du Turkménistan et de tous les habitants du pays, la délégation a exprimé sa plus vive reconnaissance au Comité et à l</w:t>
      </w:r>
      <w:r w:rsidR="00923E72">
        <w:rPr>
          <w:rFonts w:eastAsia="Malgun Gothic"/>
          <w:bCs/>
          <w:lang w:val="fr-FR"/>
        </w:rPr>
        <w:t>’</w:t>
      </w:r>
      <w:r w:rsidRPr="00766588">
        <w:rPr>
          <w:rFonts w:eastAsia="Malgun Gothic"/>
          <w:bCs/>
          <w:lang w:val="fr-FR"/>
        </w:rPr>
        <w:t>Organe d</w:t>
      </w:r>
      <w:r w:rsidR="00923E72">
        <w:rPr>
          <w:rFonts w:eastAsia="Malgun Gothic"/>
          <w:bCs/>
          <w:lang w:val="fr-FR"/>
        </w:rPr>
        <w:t>’</w:t>
      </w:r>
      <w:r w:rsidRPr="00766588">
        <w:rPr>
          <w:rFonts w:eastAsia="Malgun Gothic"/>
          <w:bCs/>
          <w:lang w:val="fr-FR"/>
        </w:rPr>
        <w:t xml:space="preserve">évaluation </w:t>
      </w:r>
      <w:r w:rsidR="00371185">
        <w:rPr>
          <w:rFonts w:eastAsia="Malgun Gothic"/>
          <w:bCs/>
          <w:lang w:val="fr-FR"/>
        </w:rPr>
        <w:t>pour l</w:t>
      </w:r>
      <w:r w:rsidR="00923E72">
        <w:rPr>
          <w:rFonts w:eastAsia="Malgun Gothic"/>
          <w:bCs/>
          <w:lang w:val="fr-FR"/>
        </w:rPr>
        <w:t>’</w:t>
      </w:r>
      <w:r w:rsidR="00371185" w:rsidRPr="00371185">
        <w:rPr>
          <w:rFonts w:eastAsia="Malgun Gothic"/>
          <w:bCs/>
          <w:lang w:val="fr-FR"/>
        </w:rPr>
        <w:t>inscription</w:t>
      </w:r>
      <w:r w:rsidR="00371185">
        <w:rPr>
          <w:rFonts w:eastAsia="Malgun Gothic"/>
          <w:bCs/>
          <w:lang w:val="fr-FR"/>
        </w:rPr>
        <w:t xml:space="preserve"> de</w:t>
      </w:r>
      <w:r w:rsidRPr="00766588">
        <w:rPr>
          <w:rFonts w:eastAsia="Malgun Gothic"/>
          <w:bCs/>
          <w:lang w:val="fr-FR"/>
        </w:rPr>
        <w:t xml:space="preserve"> l</w:t>
      </w:r>
      <w:r w:rsidR="00923E72">
        <w:rPr>
          <w:rFonts w:eastAsia="Malgun Gothic"/>
          <w:bCs/>
          <w:lang w:val="fr-FR"/>
        </w:rPr>
        <w:t>’</w:t>
      </w:r>
      <w:r>
        <w:rPr>
          <w:rFonts w:eastAsia="Malgun Gothic"/>
          <w:bCs/>
          <w:lang w:val="fr-FR"/>
        </w:rPr>
        <w:t>art des travaux</w:t>
      </w:r>
      <w:r w:rsidRPr="00766588">
        <w:rPr>
          <w:rFonts w:eastAsia="Malgun Gothic"/>
          <w:bCs/>
          <w:lang w:val="fr-FR"/>
        </w:rPr>
        <w:t xml:space="preserve"> </w:t>
      </w:r>
      <w:r>
        <w:rPr>
          <w:rFonts w:eastAsia="Malgun Gothic"/>
          <w:bCs/>
          <w:lang w:val="fr-FR"/>
        </w:rPr>
        <w:t>d</w:t>
      </w:r>
      <w:r w:rsidR="00923E72">
        <w:rPr>
          <w:rFonts w:eastAsia="Malgun Gothic"/>
          <w:bCs/>
          <w:lang w:val="fr-FR"/>
        </w:rPr>
        <w:t>’</w:t>
      </w:r>
      <w:r w:rsidRPr="00766588">
        <w:rPr>
          <w:rFonts w:eastAsia="Malgun Gothic"/>
          <w:bCs/>
          <w:lang w:val="fr-FR"/>
        </w:rPr>
        <w:t>aiguille de style turkmène sur la Liste représentative. Cette candidature avait été préparée conjointement avec le pays voisin, la République islamique d</w:t>
      </w:r>
      <w:r w:rsidR="00923E72">
        <w:rPr>
          <w:rFonts w:eastAsia="Malgun Gothic"/>
          <w:bCs/>
          <w:lang w:val="fr-FR"/>
        </w:rPr>
        <w:t>’</w:t>
      </w:r>
      <w:r w:rsidRPr="00766588">
        <w:rPr>
          <w:rFonts w:eastAsia="Malgun Gothic"/>
          <w:bCs/>
          <w:lang w:val="fr-FR"/>
        </w:rPr>
        <w:t>Iran. Les travaux d</w:t>
      </w:r>
      <w:r w:rsidR="00923E72">
        <w:rPr>
          <w:rFonts w:eastAsia="Malgun Gothic"/>
          <w:bCs/>
          <w:lang w:val="fr-FR"/>
        </w:rPr>
        <w:t>’</w:t>
      </w:r>
      <w:r w:rsidRPr="00766588">
        <w:rPr>
          <w:rFonts w:eastAsia="Malgun Gothic"/>
          <w:bCs/>
          <w:lang w:val="fr-FR"/>
        </w:rPr>
        <w:t xml:space="preserve">aiguille </w:t>
      </w:r>
      <w:r w:rsidR="00C45974">
        <w:rPr>
          <w:rFonts w:eastAsia="Malgun Gothic"/>
          <w:bCs/>
          <w:lang w:val="fr-FR"/>
        </w:rPr>
        <w:t xml:space="preserve">de style turkmène </w:t>
      </w:r>
      <w:r w:rsidRPr="00766588">
        <w:rPr>
          <w:rFonts w:eastAsia="Malgun Gothic"/>
          <w:bCs/>
          <w:lang w:val="fr-FR"/>
        </w:rPr>
        <w:t>étaient l</w:t>
      </w:r>
      <w:r w:rsidR="00923E72">
        <w:rPr>
          <w:rFonts w:eastAsia="Malgun Gothic"/>
          <w:bCs/>
          <w:lang w:val="fr-FR"/>
        </w:rPr>
        <w:t>’</w:t>
      </w:r>
      <w:r w:rsidRPr="00766588">
        <w:rPr>
          <w:rFonts w:eastAsia="Malgun Gothic"/>
          <w:bCs/>
          <w:lang w:val="fr-FR"/>
        </w:rPr>
        <w:t>un des artisanats populaires les plus célèbres du Turkménistan, les travaux d</w:t>
      </w:r>
      <w:r w:rsidR="00923E72">
        <w:rPr>
          <w:rFonts w:eastAsia="Malgun Gothic"/>
          <w:bCs/>
          <w:lang w:val="fr-FR"/>
        </w:rPr>
        <w:t>’</w:t>
      </w:r>
      <w:r w:rsidRPr="00766588">
        <w:rPr>
          <w:rFonts w:eastAsia="Malgun Gothic"/>
          <w:bCs/>
          <w:lang w:val="fr-FR"/>
        </w:rPr>
        <w:t>aiguille étant l</w:t>
      </w:r>
      <w:r w:rsidR="00923E72">
        <w:rPr>
          <w:rFonts w:eastAsia="Malgun Gothic"/>
          <w:bCs/>
          <w:lang w:val="fr-FR"/>
        </w:rPr>
        <w:t>’</w:t>
      </w:r>
      <w:r w:rsidRPr="00766588">
        <w:rPr>
          <w:rFonts w:eastAsia="Malgun Gothic"/>
          <w:bCs/>
          <w:lang w:val="fr-FR"/>
        </w:rPr>
        <w:t>une des plus anciennes formes d</w:t>
      </w:r>
      <w:r w:rsidR="00923E72">
        <w:rPr>
          <w:rFonts w:eastAsia="Malgun Gothic"/>
          <w:bCs/>
          <w:lang w:val="fr-FR"/>
        </w:rPr>
        <w:t>’</w:t>
      </w:r>
      <w:r w:rsidRPr="00766588">
        <w:rPr>
          <w:rFonts w:eastAsia="Malgun Gothic"/>
          <w:bCs/>
          <w:lang w:val="fr-FR"/>
        </w:rPr>
        <w:t>art appliqué répandues parmi les femmes. Dans le passé, les femmes habiles avaient trouvé de beaux motifs, combiné magistralement les couleurs et transféré les motifs sur le tissu, créant ainsi de nombreux types d</w:t>
      </w:r>
      <w:r w:rsidR="00923E72">
        <w:rPr>
          <w:rFonts w:eastAsia="Malgun Gothic"/>
          <w:bCs/>
          <w:lang w:val="fr-FR"/>
        </w:rPr>
        <w:t>’</w:t>
      </w:r>
      <w:r w:rsidRPr="00766588">
        <w:rPr>
          <w:rFonts w:eastAsia="Malgun Gothic"/>
          <w:bCs/>
          <w:lang w:val="fr-FR"/>
        </w:rPr>
        <w:t>étoffes</w:t>
      </w:r>
      <w:r w:rsidR="00C45974">
        <w:rPr>
          <w:rFonts w:eastAsia="Malgun Gothic"/>
          <w:bCs/>
          <w:lang w:val="fr-FR"/>
        </w:rPr>
        <w:t xml:space="preserve"> </w:t>
      </w:r>
      <w:r w:rsidR="0075537E">
        <w:rPr>
          <w:rFonts w:eastAsia="Malgun Gothic"/>
          <w:bCs/>
          <w:lang w:val="fr-FR"/>
        </w:rPr>
        <w:t>propres au pays</w:t>
      </w:r>
      <w:r w:rsidRPr="00766588">
        <w:rPr>
          <w:rFonts w:eastAsia="Malgun Gothic"/>
          <w:bCs/>
          <w:lang w:val="fr-FR"/>
        </w:rPr>
        <w:t>. Avec l</w:t>
      </w:r>
      <w:r w:rsidR="00923E72">
        <w:rPr>
          <w:rFonts w:eastAsia="Malgun Gothic"/>
          <w:bCs/>
          <w:lang w:val="fr-FR"/>
        </w:rPr>
        <w:t>’</w:t>
      </w:r>
      <w:r w:rsidRPr="00766588">
        <w:rPr>
          <w:rFonts w:eastAsia="Malgun Gothic"/>
          <w:bCs/>
          <w:lang w:val="fr-FR"/>
        </w:rPr>
        <w:t>art des travaux d</w:t>
      </w:r>
      <w:r w:rsidR="00923E72">
        <w:rPr>
          <w:rFonts w:eastAsia="Malgun Gothic"/>
          <w:bCs/>
          <w:lang w:val="fr-FR"/>
        </w:rPr>
        <w:t>’</w:t>
      </w:r>
      <w:r w:rsidRPr="00766588">
        <w:rPr>
          <w:rFonts w:eastAsia="Malgun Gothic"/>
          <w:bCs/>
          <w:lang w:val="fr-FR"/>
        </w:rPr>
        <w:t>aiguille, elles donnaient aux motifs la beauté de la nature. L</w:t>
      </w:r>
      <w:r w:rsidR="00923E72">
        <w:rPr>
          <w:rFonts w:eastAsia="Malgun Gothic"/>
          <w:bCs/>
          <w:lang w:val="fr-FR"/>
        </w:rPr>
        <w:t>’</w:t>
      </w:r>
      <w:r w:rsidRPr="00766588">
        <w:rPr>
          <w:rFonts w:eastAsia="Malgun Gothic"/>
          <w:bCs/>
          <w:lang w:val="fr-FR"/>
        </w:rPr>
        <w:t>inscription de l</w:t>
      </w:r>
      <w:r w:rsidR="00923E72">
        <w:rPr>
          <w:rFonts w:eastAsia="Malgun Gothic"/>
          <w:bCs/>
          <w:lang w:val="fr-FR"/>
        </w:rPr>
        <w:t>’</w:t>
      </w:r>
      <w:r w:rsidRPr="00766588">
        <w:rPr>
          <w:rFonts w:eastAsia="Malgun Gothic"/>
          <w:bCs/>
          <w:lang w:val="fr-FR"/>
        </w:rPr>
        <w:t xml:space="preserve">élément sur la Liste représentative ferait la fierté des communautés locales, en particulier des jeunes générations, qui verraient que le monde reconnaissait leur art séculaire et </w:t>
      </w:r>
      <w:r w:rsidR="003B73E7">
        <w:rPr>
          <w:rFonts w:eastAsia="Malgun Gothic"/>
          <w:bCs/>
          <w:lang w:val="fr-FR"/>
        </w:rPr>
        <w:t>en faisait</w:t>
      </w:r>
      <w:r w:rsidRPr="00766588">
        <w:rPr>
          <w:rFonts w:eastAsia="Malgun Gothic"/>
          <w:bCs/>
          <w:lang w:val="fr-FR"/>
        </w:rPr>
        <w:t xml:space="preserve"> ainsi la promotion. La délégation a remercié toutes les personnes impliquées, depuis les communautés et les détenteurs jusqu</w:t>
      </w:r>
      <w:r w:rsidR="00923E72">
        <w:rPr>
          <w:rFonts w:eastAsia="Malgun Gothic"/>
          <w:bCs/>
          <w:lang w:val="fr-FR"/>
        </w:rPr>
        <w:t>’</w:t>
      </w:r>
      <w:r w:rsidRPr="00766588">
        <w:rPr>
          <w:rFonts w:eastAsia="Malgun Gothic"/>
          <w:bCs/>
          <w:lang w:val="fr-FR"/>
        </w:rPr>
        <w:t>à l</w:t>
      </w:r>
      <w:r w:rsidR="00923E72">
        <w:rPr>
          <w:rFonts w:eastAsia="Malgun Gothic"/>
          <w:bCs/>
          <w:lang w:val="fr-FR"/>
        </w:rPr>
        <w:t>’</w:t>
      </w:r>
      <w:r w:rsidRPr="00766588">
        <w:rPr>
          <w:rFonts w:eastAsia="Malgun Gothic"/>
          <w:bCs/>
          <w:lang w:val="fr-FR"/>
        </w:rPr>
        <w:t>Organe et au Comité.</w:t>
      </w:r>
    </w:p>
    <w:p w14:paraId="32ACBEBE" w14:textId="3A5980F1" w:rsidR="00C45974" w:rsidRDefault="00C45974"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45974">
        <w:rPr>
          <w:rFonts w:eastAsia="Malgun Gothic"/>
          <w:bCs/>
          <w:lang w:val="fr-FR"/>
        </w:rPr>
        <w:t xml:space="preserve">La délégation de la </w:t>
      </w:r>
      <w:r w:rsidRPr="00702497">
        <w:rPr>
          <w:rFonts w:eastAsia="Malgun Gothic"/>
          <w:b/>
          <w:lang w:val="fr-FR"/>
        </w:rPr>
        <w:t>République islamique d</w:t>
      </w:r>
      <w:r w:rsidR="00923E72">
        <w:rPr>
          <w:rFonts w:eastAsia="Malgun Gothic"/>
          <w:b/>
          <w:lang w:val="fr-FR"/>
        </w:rPr>
        <w:t>’</w:t>
      </w:r>
      <w:r w:rsidRPr="00702497">
        <w:rPr>
          <w:rFonts w:eastAsia="Malgun Gothic"/>
          <w:b/>
          <w:lang w:val="fr-FR"/>
        </w:rPr>
        <w:t>Iran</w:t>
      </w:r>
      <w:r w:rsidRPr="00C45974">
        <w:rPr>
          <w:rFonts w:eastAsia="Malgun Gothic"/>
          <w:bCs/>
          <w:lang w:val="fr-FR"/>
        </w:rPr>
        <w:t xml:space="preserve"> a </w:t>
      </w:r>
      <w:r>
        <w:rPr>
          <w:rFonts w:eastAsia="Malgun Gothic"/>
          <w:bCs/>
          <w:lang w:val="fr-FR"/>
        </w:rPr>
        <w:t xml:space="preserve">adressé </w:t>
      </w:r>
      <w:r w:rsidRPr="00C45974">
        <w:rPr>
          <w:rFonts w:eastAsia="Malgun Gothic"/>
          <w:bCs/>
          <w:lang w:val="fr-FR"/>
        </w:rPr>
        <w:t>ses remerciements pour l</w:t>
      </w:r>
      <w:r w:rsidR="00923E72">
        <w:rPr>
          <w:rFonts w:eastAsia="Malgun Gothic"/>
          <w:bCs/>
          <w:lang w:val="fr-FR"/>
        </w:rPr>
        <w:t>’</w:t>
      </w:r>
      <w:r w:rsidRPr="00C45974">
        <w:rPr>
          <w:rFonts w:eastAsia="Malgun Gothic"/>
          <w:bCs/>
          <w:lang w:val="fr-FR"/>
        </w:rPr>
        <w:t xml:space="preserve">inscription </w:t>
      </w:r>
      <w:r>
        <w:rPr>
          <w:rFonts w:eastAsia="Malgun Gothic"/>
          <w:bCs/>
          <w:lang w:val="fr-FR"/>
        </w:rPr>
        <w:t>de l</w:t>
      </w:r>
      <w:r w:rsidR="00923E72">
        <w:rPr>
          <w:rFonts w:eastAsia="Malgun Gothic"/>
          <w:bCs/>
          <w:lang w:val="fr-FR"/>
        </w:rPr>
        <w:t>’</w:t>
      </w:r>
      <w:r>
        <w:rPr>
          <w:rFonts w:eastAsia="Malgun Gothic"/>
          <w:bCs/>
          <w:lang w:val="fr-FR"/>
        </w:rPr>
        <w:t xml:space="preserve">art </w:t>
      </w:r>
      <w:r w:rsidRPr="00C45974">
        <w:rPr>
          <w:rFonts w:eastAsia="Malgun Gothic"/>
          <w:bCs/>
          <w:lang w:val="fr-FR"/>
        </w:rPr>
        <w:t>des travaux d</w:t>
      </w:r>
      <w:r w:rsidR="00923E72">
        <w:rPr>
          <w:rFonts w:eastAsia="Malgun Gothic"/>
          <w:bCs/>
          <w:lang w:val="fr-FR"/>
        </w:rPr>
        <w:t>’</w:t>
      </w:r>
      <w:r w:rsidRPr="00C45974">
        <w:rPr>
          <w:rFonts w:eastAsia="Malgun Gothic"/>
          <w:bCs/>
          <w:lang w:val="fr-FR"/>
        </w:rPr>
        <w:t xml:space="preserve">aiguille de style turkmène sur la Liste représentative, </w:t>
      </w:r>
      <w:r>
        <w:rPr>
          <w:rFonts w:eastAsia="Malgun Gothic"/>
          <w:bCs/>
          <w:lang w:val="fr-FR"/>
        </w:rPr>
        <w:t xml:space="preserve">une </w:t>
      </w:r>
      <w:r w:rsidRPr="00C45974">
        <w:rPr>
          <w:rFonts w:eastAsia="Malgun Gothic"/>
          <w:bCs/>
          <w:lang w:val="fr-FR"/>
        </w:rPr>
        <w:t>candidature</w:t>
      </w:r>
      <w:r>
        <w:rPr>
          <w:rFonts w:eastAsia="Malgun Gothic"/>
          <w:bCs/>
          <w:lang w:val="fr-FR"/>
        </w:rPr>
        <w:t xml:space="preserve"> </w:t>
      </w:r>
      <w:r w:rsidRPr="00C45974">
        <w:rPr>
          <w:rFonts w:eastAsia="Malgun Gothic"/>
          <w:bCs/>
          <w:lang w:val="fr-FR"/>
        </w:rPr>
        <w:t>soumise conjointement avec le Turkménistan</w:t>
      </w:r>
      <w:r>
        <w:rPr>
          <w:rFonts w:eastAsia="Malgun Gothic"/>
          <w:bCs/>
          <w:lang w:val="fr-FR"/>
        </w:rPr>
        <w:t>, ajoutant que, d</w:t>
      </w:r>
      <w:r w:rsidRPr="00C45974">
        <w:rPr>
          <w:rFonts w:eastAsia="Malgun Gothic"/>
          <w:bCs/>
          <w:lang w:val="fr-FR"/>
        </w:rPr>
        <w:t>epuis des siècles, les deux pays partagent de nombreux éléments culturels communs, dont les travaux d</w:t>
      </w:r>
      <w:r w:rsidR="00923E72">
        <w:rPr>
          <w:rFonts w:eastAsia="Malgun Gothic"/>
          <w:bCs/>
          <w:lang w:val="fr-FR"/>
        </w:rPr>
        <w:t>’</w:t>
      </w:r>
      <w:r w:rsidRPr="00C45974">
        <w:rPr>
          <w:rFonts w:eastAsia="Malgun Gothic"/>
          <w:bCs/>
          <w:lang w:val="fr-FR"/>
        </w:rPr>
        <w:t>aiguille de style turkmène. Ce type de travaux d</w:t>
      </w:r>
      <w:r w:rsidR="00923E72">
        <w:rPr>
          <w:rFonts w:eastAsia="Malgun Gothic"/>
          <w:bCs/>
          <w:lang w:val="fr-FR"/>
        </w:rPr>
        <w:t>’</w:t>
      </w:r>
      <w:r w:rsidRPr="00C45974">
        <w:rPr>
          <w:rFonts w:eastAsia="Malgun Gothic"/>
          <w:bCs/>
          <w:lang w:val="fr-FR"/>
        </w:rPr>
        <w:t>aiguille se caractérisait par des motifs et des dessins uniques</w:t>
      </w:r>
      <w:r w:rsidR="00371185">
        <w:rPr>
          <w:rFonts w:eastAsia="Malgun Gothic"/>
          <w:bCs/>
          <w:lang w:val="fr-FR"/>
        </w:rPr>
        <w:t xml:space="preserve"> </w:t>
      </w:r>
      <w:r w:rsidRPr="00C45974">
        <w:rPr>
          <w:rFonts w:eastAsia="Malgun Gothic"/>
          <w:bCs/>
          <w:lang w:val="fr-FR"/>
        </w:rPr>
        <w:t>que les femmes turkmènes et iraniennes connaissent bien. C</w:t>
      </w:r>
      <w:r w:rsidR="00923E72">
        <w:rPr>
          <w:rFonts w:eastAsia="Malgun Gothic"/>
          <w:bCs/>
          <w:lang w:val="fr-FR"/>
        </w:rPr>
        <w:t>’</w:t>
      </w:r>
      <w:r w:rsidRPr="00C45974">
        <w:rPr>
          <w:rFonts w:eastAsia="Malgun Gothic"/>
          <w:bCs/>
          <w:lang w:val="fr-FR"/>
        </w:rPr>
        <w:t>était un symbole d</w:t>
      </w:r>
      <w:r w:rsidR="00923E72">
        <w:rPr>
          <w:rFonts w:eastAsia="Malgun Gothic"/>
          <w:bCs/>
          <w:lang w:val="fr-FR"/>
        </w:rPr>
        <w:t>’</w:t>
      </w:r>
      <w:r w:rsidRPr="00C45974">
        <w:rPr>
          <w:rFonts w:eastAsia="Malgun Gothic"/>
          <w:bCs/>
          <w:lang w:val="fr-FR"/>
        </w:rPr>
        <w:t xml:space="preserve">identité pour les sociétés des deux pays. Les motifs étaient inspirés par des motifs végétaux, des croyances sacrées et le respect de la nature. La délégation a exprimé sa gratitude et </w:t>
      </w:r>
      <w:r w:rsidR="00371185">
        <w:rPr>
          <w:rFonts w:eastAsia="Malgun Gothic"/>
          <w:bCs/>
          <w:lang w:val="fr-FR"/>
        </w:rPr>
        <w:t xml:space="preserve">a adressé </w:t>
      </w:r>
      <w:r w:rsidRPr="00C45974">
        <w:rPr>
          <w:rFonts w:eastAsia="Malgun Gothic"/>
          <w:bCs/>
          <w:lang w:val="fr-FR"/>
        </w:rPr>
        <w:t>ses</w:t>
      </w:r>
      <w:r w:rsidR="00371185">
        <w:rPr>
          <w:rFonts w:eastAsia="Malgun Gothic"/>
          <w:bCs/>
          <w:lang w:val="fr-FR"/>
        </w:rPr>
        <w:t xml:space="preserve"> souhaits de réussite </w:t>
      </w:r>
      <w:r w:rsidRPr="00C45974">
        <w:rPr>
          <w:rFonts w:eastAsia="Malgun Gothic"/>
          <w:bCs/>
          <w:lang w:val="fr-FR"/>
        </w:rPr>
        <w:t>à tous les délégués.</w:t>
      </w:r>
    </w:p>
    <w:p w14:paraId="27FDEB52" w14:textId="7A401E25" w:rsidR="00C659EA" w:rsidRDefault="00C659EA"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659EA">
        <w:rPr>
          <w:rFonts w:eastAsia="Malgun Gothic"/>
          <w:bCs/>
          <w:lang w:val="fr-FR"/>
        </w:rPr>
        <w:t xml:space="preserve">Le </w:t>
      </w:r>
      <w:r w:rsidRPr="00702497">
        <w:rPr>
          <w:rFonts w:eastAsia="Malgun Gothic"/>
          <w:b/>
          <w:lang w:val="fr-FR"/>
        </w:rPr>
        <w:t>Président de l</w:t>
      </w:r>
      <w:r w:rsidR="00923E72">
        <w:rPr>
          <w:rFonts w:eastAsia="Malgun Gothic"/>
          <w:b/>
          <w:lang w:val="fr-FR"/>
        </w:rPr>
        <w:t>’</w:t>
      </w:r>
      <w:r w:rsidRPr="00702497">
        <w:rPr>
          <w:rFonts w:eastAsia="Malgun Gothic"/>
          <w:b/>
          <w:lang w:val="fr-FR"/>
        </w:rPr>
        <w:t>Organe d</w:t>
      </w:r>
      <w:r w:rsidR="00923E72">
        <w:rPr>
          <w:rFonts w:eastAsia="Malgun Gothic"/>
          <w:b/>
          <w:lang w:val="fr-FR"/>
        </w:rPr>
        <w:t>’</w:t>
      </w:r>
      <w:r w:rsidRPr="00702497">
        <w:rPr>
          <w:rFonts w:eastAsia="Malgun Gothic"/>
          <w:b/>
          <w:lang w:val="fr-FR"/>
        </w:rPr>
        <w:t>évaluation</w:t>
      </w:r>
      <w:r w:rsidRPr="00C659EA">
        <w:rPr>
          <w:rFonts w:eastAsia="Malgun Gothic"/>
          <w:bCs/>
          <w:lang w:val="fr-FR"/>
        </w:rPr>
        <w:t xml:space="preserve"> </w:t>
      </w:r>
      <w:r>
        <w:rPr>
          <w:rFonts w:eastAsia="Malgun Gothic"/>
          <w:bCs/>
          <w:lang w:val="fr-FR"/>
        </w:rPr>
        <w:t xml:space="preserve">a </w:t>
      </w:r>
      <w:r w:rsidRPr="00C659EA">
        <w:rPr>
          <w:rFonts w:eastAsia="Malgun Gothic"/>
          <w:bCs/>
          <w:lang w:val="fr-FR"/>
        </w:rPr>
        <w:t>présent</w:t>
      </w:r>
      <w:r>
        <w:rPr>
          <w:rFonts w:eastAsia="Malgun Gothic"/>
          <w:bCs/>
          <w:lang w:val="fr-FR"/>
        </w:rPr>
        <w:t>é</w:t>
      </w:r>
      <w:r w:rsidRPr="00C659EA">
        <w:rPr>
          <w:rFonts w:eastAsia="Malgun Gothic"/>
          <w:bCs/>
          <w:lang w:val="fr-FR"/>
        </w:rPr>
        <w:t xml:space="preserve"> le dossier de candidature suivant, </w:t>
      </w:r>
      <w:r w:rsidRPr="00702497">
        <w:rPr>
          <w:rFonts w:eastAsia="Malgun Gothic"/>
          <w:b/>
          <w:lang w:val="fr-FR"/>
        </w:rPr>
        <w:t>la broderie traditionnelle en Asie centrale</w:t>
      </w:r>
      <w:r w:rsidRPr="00C659EA">
        <w:rPr>
          <w:rFonts w:eastAsia="Malgun Gothic"/>
          <w:bCs/>
          <w:lang w:val="fr-FR"/>
        </w:rPr>
        <w:t xml:space="preserve"> [projet de décision</w:t>
      </w:r>
      <w:r w:rsidR="00371185">
        <w:rPr>
          <w:rFonts w:eastAsia="Malgun Gothic"/>
          <w:bCs/>
          <w:lang w:val="fr-FR"/>
        </w:rPr>
        <w:t> </w:t>
      </w:r>
      <w:r w:rsidRPr="00C659EA">
        <w:rPr>
          <w:rFonts w:eastAsia="Malgun Gothic"/>
          <w:bCs/>
          <w:lang w:val="fr-FR"/>
        </w:rPr>
        <w:t xml:space="preserve">7.b.34], soumis par </w:t>
      </w:r>
      <w:r w:rsidRPr="00F15FCD">
        <w:rPr>
          <w:rFonts w:eastAsia="Malgun Gothic"/>
          <w:bCs/>
          <w:lang w:val="fr-FR"/>
        </w:rPr>
        <w:t>l</w:t>
      </w:r>
      <w:r w:rsidR="00923E72">
        <w:rPr>
          <w:rFonts w:eastAsia="Malgun Gothic"/>
          <w:bCs/>
          <w:lang w:val="fr-FR"/>
        </w:rPr>
        <w:t>’</w:t>
      </w:r>
      <w:r w:rsidRPr="00702497">
        <w:rPr>
          <w:rFonts w:eastAsia="Malgun Gothic"/>
          <w:b/>
          <w:lang w:val="fr-FR"/>
        </w:rPr>
        <w:t xml:space="preserve">Ouzbékistan, </w:t>
      </w:r>
      <w:r w:rsidRPr="00F15FCD">
        <w:rPr>
          <w:rFonts w:eastAsia="Malgun Gothic"/>
          <w:bCs/>
          <w:lang w:val="fr-FR"/>
        </w:rPr>
        <w:t>le</w:t>
      </w:r>
      <w:r w:rsidRPr="00702497">
        <w:rPr>
          <w:rFonts w:eastAsia="Malgun Gothic"/>
          <w:b/>
          <w:lang w:val="fr-FR"/>
        </w:rPr>
        <w:t xml:space="preserve"> Tadjikistan </w:t>
      </w:r>
      <w:r w:rsidRPr="00B75CB4">
        <w:rPr>
          <w:rFonts w:eastAsia="Malgun Gothic"/>
          <w:bCs/>
          <w:lang w:val="fr-FR"/>
        </w:rPr>
        <w:t>et</w:t>
      </w:r>
      <w:r w:rsidRPr="00702497">
        <w:rPr>
          <w:rFonts w:eastAsia="Malgun Gothic"/>
          <w:b/>
          <w:lang w:val="fr-FR"/>
        </w:rPr>
        <w:t xml:space="preserve"> </w:t>
      </w:r>
      <w:r w:rsidRPr="00F15FCD">
        <w:rPr>
          <w:rFonts w:eastAsia="Malgun Gothic"/>
          <w:bCs/>
          <w:lang w:val="fr-FR"/>
        </w:rPr>
        <w:t>le</w:t>
      </w:r>
      <w:r w:rsidRPr="00702497">
        <w:rPr>
          <w:rFonts w:eastAsia="Malgun Gothic"/>
          <w:b/>
          <w:lang w:val="fr-FR"/>
        </w:rPr>
        <w:t xml:space="preserve"> Kazakhstan</w:t>
      </w:r>
      <w:r>
        <w:rPr>
          <w:rFonts w:eastAsia="Malgun Gothic"/>
          <w:bCs/>
          <w:lang w:val="fr-FR"/>
        </w:rPr>
        <w:t xml:space="preserve">, </w:t>
      </w:r>
      <w:r w:rsidRPr="00C659EA">
        <w:rPr>
          <w:rFonts w:eastAsia="Malgun Gothic"/>
          <w:bCs/>
          <w:lang w:val="fr-FR"/>
        </w:rPr>
        <w:t xml:space="preserve">expliquant que </w:t>
      </w:r>
      <w:r>
        <w:rPr>
          <w:rFonts w:eastAsia="Malgun Gothic"/>
          <w:bCs/>
          <w:lang w:val="fr-FR"/>
        </w:rPr>
        <w:t>l</w:t>
      </w:r>
      <w:r w:rsidRPr="00C659EA">
        <w:rPr>
          <w:rFonts w:eastAsia="Malgun Gothic"/>
          <w:bCs/>
          <w:lang w:val="fr-FR"/>
        </w:rPr>
        <w:t>a broderie traditionnelle en Asie centrale est utilisée pour décorer d</w:t>
      </w:r>
      <w:r>
        <w:rPr>
          <w:rFonts w:eastAsia="Malgun Gothic"/>
          <w:bCs/>
          <w:lang w:val="fr-FR"/>
        </w:rPr>
        <w:t>ivers objets</w:t>
      </w:r>
      <w:r w:rsidRPr="00C659EA">
        <w:rPr>
          <w:rFonts w:eastAsia="Malgun Gothic"/>
          <w:bCs/>
          <w:lang w:val="fr-FR"/>
        </w:rPr>
        <w:t xml:space="preserve"> en tissu et décoratifs</w:t>
      </w:r>
      <w:r>
        <w:rPr>
          <w:rFonts w:eastAsia="Malgun Gothic"/>
          <w:bCs/>
          <w:lang w:val="fr-FR"/>
        </w:rPr>
        <w:t>,</w:t>
      </w:r>
      <w:r w:rsidRPr="00C659EA">
        <w:rPr>
          <w:rFonts w:eastAsia="Malgun Gothic"/>
          <w:bCs/>
          <w:lang w:val="fr-FR"/>
        </w:rPr>
        <w:t xml:space="preserve"> tels que des</w:t>
      </w:r>
      <w:r>
        <w:rPr>
          <w:rFonts w:eastAsia="Malgun Gothic"/>
          <w:bCs/>
          <w:lang w:val="fr-FR"/>
        </w:rPr>
        <w:t xml:space="preserve"> coussins</w:t>
      </w:r>
      <w:r w:rsidRPr="00C659EA">
        <w:rPr>
          <w:rFonts w:eastAsia="Malgun Gothic"/>
          <w:bCs/>
          <w:lang w:val="fr-FR"/>
        </w:rPr>
        <w:t>, des coiffes, des rideaux et des sacs et que l</w:t>
      </w:r>
      <w:r w:rsidR="00923E72">
        <w:rPr>
          <w:rFonts w:eastAsia="Malgun Gothic"/>
          <w:bCs/>
          <w:lang w:val="fr-FR"/>
        </w:rPr>
        <w:t>’</w:t>
      </w:r>
      <w:r w:rsidRPr="00C659EA">
        <w:rPr>
          <w:rFonts w:eastAsia="Malgun Gothic"/>
          <w:bCs/>
          <w:lang w:val="fr-FR"/>
        </w:rPr>
        <w:t xml:space="preserve">art le plus </w:t>
      </w:r>
      <w:r>
        <w:rPr>
          <w:rFonts w:eastAsia="Malgun Gothic"/>
          <w:bCs/>
          <w:lang w:val="fr-FR"/>
        </w:rPr>
        <w:t xml:space="preserve">riche </w:t>
      </w:r>
      <w:r w:rsidRPr="00C659EA">
        <w:rPr>
          <w:rFonts w:eastAsia="Malgun Gothic"/>
          <w:bCs/>
          <w:lang w:val="fr-FR"/>
        </w:rPr>
        <w:t>de la broderie se révèle dans les tapi</w:t>
      </w:r>
      <w:r>
        <w:rPr>
          <w:rFonts w:eastAsia="Malgun Gothic"/>
          <w:bCs/>
          <w:lang w:val="fr-FR"/>
        </w:rPr>
        <w:t>sseries</w:t>
      </w:r>
      <w:r w:rsidRPr="00C659EA">
        <w:rPr>
          <w:rFonts w:eastAsia="Malgun Gothic"/>
          <w:bCs/>
          <w:lang w:val="fr-FR"/>
        </w:rPr>
        <w:t xml:space="preserve">, les </w:t>
      </w:r>
      <w:r>
        <w:rPr>
          <w:rFonts w:eastAsia="Malgun Gothic"/>
          <w:bCs/>
          <w:lang w:val="fr-FR"/>
        </w:rPr>
        <w:t xml:space="preserve">costumes </w:t>
      </w:r>
      <w:r w:rsidRPr="00C659EA">
        <w:rPr>
          <w:rFonts w:eastAsia="Malgun Gothic"/>
          <w:bCs/>
          <w:lang w:val="fr-FR"/>
        </w:rPr>
        <w:t>de cérémonie et le</w:t>
      </w:r>
      <w:r>
        <w:rPr>
          <w:rFonts w:eastAsia="Malgun Gothic"/>
          <w:bCs/>
          <w:lang w:val="fr-FR"/>
        </w:rPr>
        <w:t xml:space="preserve"> linge de maison </w:t>
      </w:r>
      <w:r w:rsidRPr="00C659EA">
        <w:rPr>
          <w:rFonts w:eastAsia="Malgun Gothic"/>
          <w:bCs/>
          <w:lang w:val="fr-FR"/>
        </w:rPr>
        <w:t>tel que les nappes. L</w:t>
      </w:r>
      <w:r w:rsidR="00923E72">
        <w:rPr>
          <w:rFonts w:eastAsia="Malgun Gothic"/>
          <w:bCs/>
          <w:lang w:val="fr-FR"/>
        </w:rPr>
        <w:t>’</w:t>
      </w:r>
      <w:r w:rsidRPr="00C659EA">
        <w:rPr>
          <w:rFonts w:eastAsia="Malgun Gothic"/>
          <w:bCs/>
          <w:lang w:val="fr-FR"/>
        </w:rPr>
        <w:t>Organe d</w:t>
      </w:r>
      <w:r w:rsidR="00923E72">
        <w:rPr>
          <w:rFonts w:eastAsia="Malgun Gothic"/>
          <w:bCs/>
          <w:lang w:val="fr-FR"/>
        </w:rPr>
        <w:t>’</w:t>
      </w:r>
      <w:r w:rsidRPr="00C659EA">
        <w:rPr>
          <w:rFonts w:eastAsia="Malgun Gothic"/>
          <w:bCs/>
          <w:lang w:val="fr-FR"/>
        </w:rPr>
        <w:t>évaluation avait estimé que les critères</w:t>
      </w:r>
      <w:r>
        <w:rPr>
          <w:rFonts w:eastAsia="Malgun Gothic"/>
          <w:bCs/>
          <w:lang w:val="fr-FR"/>
        </w:rPr>
        <w:t> </w:t>
      </w:r>
      <w:r w:rsidRPr="00C659EA">
        <w:rPr>
          <w:rFonts w:eastAsia="Malgun Gothic"/>
          <w:bCs/>
          <w:lang w:val="fr-FR"/>
        </w:rPr>
        <w:t>R.1 et</w:t>
      </w:r>
      <w:r>
        <w:rPr>
          <w:rFonts w:eastAsia="Malgun Gothic"/>
          <w:bCs/>
          <w:lang w:val="fr-FR"/>
        </w:rPr>
        <w:t> </w:t>
      </w:r>
      <w:r w:rsidRPr="00C659EA">
        <w:rPr>
          <w:rFonts w:eastAsia="Malgun Gothic"/>
          <w:bCs/>
          <w:lang w:val="fr-FR"/>
        </w:rPr>
        <w:t>R.2 étaient satisfaits</w:t>
      </w:r>
      <w:r>
        <w:rPr>
          <w:rFonts w:eastAsia="Malgun Gothic"/>
          <w:bCs/>
          <w:lang w:val="fr-FR"/>
        </w:rPr>
        <w:t>,</w:t>
      </w:r>
      <w:r w:rsidRPr="00C659EA">
        <w:rPr>
          <w:rFonts w:eastAsia="Malgun Gothic"/>
          <w:bCs/>
          <w:lang w:val="fr-FR"/>
        </w:rPr>
        <w:t xml:space="preserve"> mais que les informations fournies n</w:t>
      </w:r>
      <w:r w:rsidR="00923E72">
        <w:rPr>
          <w:rFonts w:eastAsia="Malgun Gothic"/>
          <w:bCs/>
          <w:lang w:val="fr-FR"/>
        </w:rPr>
        <w:t>’</w:t>
      </w:r>
      <w:r w:rsidRPr="00C659EA">
        <w:rPr>
          <w:rFonts w:eastAsia="Malgun Gothic"/>
          <w:bCs/>
          <w:lang w:val="fr-FR"/>
        </w:rPr>
        <w:t>étaient pas suffisantes pour considérer que les critères</w:t>
      </w:r>
      <w:r>
        <w:rPr>
          <w:rFonts w:eastAsia="Malgun Gothic"/>
          <w:bCs/>
          <w:lang w:val="fr-FR"/>
        </w:rPr>
        <w:t> </w:t>
      </w:r>
      <w:r w:rsidRPr="00C659EA">
        <w:rPr>
          <w:rFonts w:eastAsia="Malgun Gothic"/>
          <w:bCs/>
          <w:lang w:val="fr-FR"/>
        </w:rPr>
        <w:t>R.3, R.4 et</w:t>
      </w:r>
      <w:r>
        <w:rPr>
          <w:rFonts w:eastAsia="Malgun Gothic"/>
          <w:bCs/>
          <w:lang w:val="fr-FR"/>
        </w:rPr>
        <w:t> </w:t>
      </w:r>
      <w:r w:rsidRPr="00C659EA">
        <w:rPr>
          <w:rFonts w:eastAsia="Malgun Gothic"/>
          <w:bCs/>
          <w:lang w:val="fr-FR"/>
        </w:rPr>
        <w:t xml:space="preserve">R.5 étaient satisfaits. Le dossier présentait des informations sur les diverses mesures de sauvegarde proposées par chaque État soumissionnaire, mais ne </w:t>
      </w:r>
      <w:r w:rsidR="00AD2B24">
        <w:rPr>
          <w:rFonts w:eastAsia="Malgun Gothic"/>
          <w:bCs/>
          <w:lang w:val="fr-FR"/>
        </w:rPr>
        <w:t xml:space="preserve">proposait </w:t>
      </w:r>
      <w:r w:rsidRPr="00C659EA">
        <w:rPr>
          <w:rFonts w:eastAsia="Malgun Gothic"/>
          <w:bCs/>
          <w:lang w:val="fr-FR"/>
        </w:rPr>
        <w:t xml:space="preserve">aucune mesure de sauvegarde conjointe des États soumissionnaires et ne démontrait pas que le dossier avait été préparé conjointement et que les communautés avaient </w:t>
      </w:r>
      <w:r w:rsidR="003B73E7">
        <w:rPr>
          <w:rFonts w:eastAsia="Malgun Gothic"/>
          <w:bCs/>
          <w:lang w:val="fr-FR"/>
        </w:rPr>
        <w:t xml:space="preserve">participé au </w:t>
      </w:r>
      <w:r w:rsidRPr="00C659EA">
        <w:rPr>
          <w:rFonts w:eastAsia="Malgun Gothic"/>
          <w:bCs/>
          <w:lang w:val="fr-FR"/>
        </w:rPr>
        <w:t>processus de candidature. Pour ces raisons, l</w:t>
      </w:r>
      <w:r w:rsidR="00923E72">
        <w:rPr>
          <w:rFonts w:eastAsia="Malgun Gothic"/>
          <w:bCs/>
          <w:lang w:val="fr-FR"/>
        </w:rPr>
        <w:t>’</w:t>
      </w:r>
      <w:r w:rsidRPr="00C659EA">
        <w:rPr>
          <w:rFonts w:eastAsia="Malgun Gothic"/>
          <w:bCs/>
          <w:lang w:val="fr-FR"/>
        </w:rPr>
        <w:t>Organe d</w:t>
      </w:r>
      <w:r w:rsidR="00923E72">
        <w:rPr>
          <w:rFonts w:eastAsia="Malgun Gothic"/>
          <w:bCs/>
          <w:lang w:val="fr-FR"/>
        </w:rPr>
        <w:t>’</w:t>
      </w:r>
      <w:r w:rsidRPr="00C659EA">
        <w:rPr>
          <w:rFonts w:eastAsia="Malgun Gothic"/>
          <w:bCs/>
          <w:lang w:val="fr-FR"/>
        </w:rPr>
        <w:t>évaluation recommandait que cette candidature soit renvoyée aux États soumissionnaires.</w:t>
      </w:r>
    </w:p>
    <w:p w14:paraId="061962D7" w14:textId="2AF7E999" w:rsidR="000D60E4" w:rsidRPr="00702497" w:rsidRDefault="00AD2B24" w:rsidP="00702497">
      <w:pPr>
        <w:pStyle w:val="Orateurengris"/>
        <w:numPr>
          <w:ilvl w:val="0"/>
          <w:numId w:val="20"/>
        </w:numPr>
        <w:tabs>
          <w:tab w:val="clear" w:pos="567"/>
          <w:tab w:val="num" w:pos="709"/>
        </w:tabs>
        <w:spacing w:before="120"/>
        <w:ind w:left="709" w:hanging="709"/>
        <w:rPr>
          <w:lang w:val="fr-FR"/>
        </w:rPr>
      </w:pPr>
      <w:r>
        <w:rPr>
          <w:lang w:val="fr-FR"/>
        </w:rPr>
        <w:lastRenderedPageBreak/>
        <w:t>Constatant qu</w:t>
      </w:r>
      <w:r w:rsidR="00923E72">
        <w:rPr>
          <w:lang w:val="fr-FR"/>
        </w:rPr>
        <w:t>’</w:t>
      </w:r>
      <w:r>
        <w:rPr>
          <w:lang w:val="fr-FR"/>
        </w:rPr>
        <w:t xml:space="preserve">aucun </w:t>
      </w:r>
      <w:r w:rsidRPr="00AD2B24">
        <w:rPr>
          <w:lang w:val="fr-FR"/>
        </w:rPr>
        <w:t>amendement</w:t>
      </w:r>
      <w:r>
        <w:rPr>
          <w:lang w:val="fr-FR"/>
        </w:rPr>
        <w:t xml:space="preserve"> ou demande de débat n</w:t>
      </w:r>
      <w:r w:rsidR="00923E72">
        <w:rPr>
          <w:lang w:val="fr-FR"/>
        </w:rPr>
        <w:t>’</w:t>
      </w:r>
      <w:r>
        <w:rPr>
          <w:lang w:val="fr-FR"/>
        </w:rPr>
        <w:t xml:space="preserve">avait été reçu, le </w:t>
      </w:r>
      <w:r w:rsidRPr="00702497">
        <w:rPr>
          <w:b/>
          <w:bCs/>
          <w:lang w:val="fr-FR"/>
        </w:rPr>
        <w:t>Président</w:t>
      </w:r>
      <w:r>
        <w:rPr>
          <w:lang w:val="fr-FR"/>
        </w:rPr>
        <w:t xml:space="preserve"> est donc passé à l</w:t>
      </w:r>
      <w:r w:rsidR="00923E72">
        <w:rPr>
          <w:lang w:val="fr-FR"/>
        </w:rPr>
        <w:t>’</w:t>
      </w:r>
      <w:r>
        <w:rPr>
          <w:lang w:val="fr-FR"/>
        </w:rPr>
        <w:t>adoption du projet de décision dans son ensemble. En l</w:t>
      </w:r>
      <w:r w:rsidR="00923E72">
        <w:rPr>
          <w:lang w:val="fr-FR"/>
        </w:rPr>
        <w:t>’</w:t>
      </w:r>
      <w:r>
        <w:rPr>
          <w:lang w:val="fr-FR"/>
        </w:rPr>
        <w:t xml:space="preserve">absence de </w:t>
      </w:r>
      <w:r w:rsidRPr="00AD2B24">
        <w:rPr>
          <w:lang w:val="fr-FR"/>
        </w:rPr>
        <w:t>commentaires</w:t>
      </w:r>
      <w:r>
        <w:rPr>
          <w:lang w:val="fr-FR"/>
        </w:rPr>
        <w:t xml:space="preserve"> ou d</w:t>
      </w:r>
      <w:r w:rsidR="00923E72">
        <w:rPr>
          <w:lang w:val="fr-FR"/>
        </w:rPr>
        <w:t>’</w:t>
      </w:r>
      <w:r w:rsidRPr="00AD2B24">
        <w:rPr>
          <w:lang w:val="fr-FR"/>
        </w:rPr>
        <w:t>objections</w:t>
      </w:r>
      <w:r>
        <w:rPr>
          <w:lang w:val="fr-FR"/>
        </w:rPr>
        <w:t xml:space="preserve">, le </w:t>
      </w:r>
      <w:r w:rsidRPr="00702497">
        <w:rPr>
          <w:b/>
          <w:bCs/>
          <w:lang w:val="fr-FR"/>
        </w:rPr>
        <w:t>Président a déclaré adoptée la décision</w:t>
      </w:r>
      <w:r w:rsidR="007712D8">
        <w:rPr>
          <w:b/>
          <w:bCs/>
          <w:lang w:val="fr-FR"/>
        </w:rPr>
        <w:t> </w:t>
      </w:r>
      <w:r w:rsidR="00751FB1">
        <w:fldChar w:fldCharType="begin"/>
      </w:r>
      <w:r w:rsidR="00751FB1" w:rsidRPr="00751FB1">
        <w:rPr>
          <w:lang w:val="fr-FR"/>
        </w:rPr>
        <w:instrText>HYPERLINK "https://ich.unesco.org/fr/Decisions/17.COM/7.b.34"</w:instrText>
      </w:r>
      <w:r w:rsidR="00751FB1">
        <w:fldChar w:fldCharType="separate"/>
      </w:r>
      <w:r w:rsidRPr="006E3034">
        <w:rPr>
          <w:rStyle w:val="Hyperlink"/>
          <w:b/>
          <w:bCs/>
          <w:lang w:val="fr-FR"/>
        </w:rPr>
        <w:t>17.COM 7b.34</w:t>
      </w:r>
      <w:r w:rsidR="00751FB1">
        <w:rPr>
          <w:rStyle w:val="Hyperlink"/>
          <w:b/>
          <w:bCs/>
          <w:lang w:val="fr-FR"/>
        </w:rPr>
        <w:fldChar w:fldCharType="end"/>
      </w:r>
      <w:r w:rsidRPr="00702497">
        <w:rPr>
          <w:b/>
          <w:bCs/>
          <w:lang w:val="fr-FR"/>
        </w:rPr>
        <w:t xml:space="preserve">  de renvoyer </w:t>
      </w:r>
      <w:r w:rsidRPr="009D09D4">
        <w:rPr>
          <w:rFonts w:eastAsia="Malgun Gothic"/>
          <w:b/>
          <w:lang w:val="fr-FR"/>
        </w:rPr>
        <w:t>la broderie traditionnelle en Asie centrale</w:t>
      </w:r>
      <w:r>
        <w:rPr>
          <w:rFonts w:eastAsia="Malgun Gothic"/>
          <w:b/>
          <w:lang w:val="fr-FR"/>
        </w:rPr>
        <w:t xml:space="preserve"> aux États soumissionnaires</w:t>
      </w:r>
      <w:r w:rsidRPr="00702497">
        <w:rPr>
          <w:rFonts w:eastAsia="Malgun Gothic"/>
          <w:bCs/>
          <w:lang w:val="fr-FR"/>
        </w:rPr>
        <w:t>.</w:t>
      </w:r>
    </w:p>
    <w:p w14:paraId="6BC3F9EA" w14:textId="01DBC15C" w:rsidR="00AD2B24" w:rsidRPr="00702497" w:rsidRDefault="00AD2B24" w:rsidP="00702497">
      <w:pPr>
        <w:pStyle w:val="Orateurengris"/>
        <w:numPr>
          <w:ilvl w:val="0"/>
          <w:numId w:val="20"/>
        </w:numPr>
        <w:tabs>
          <w:tab w:val="clear" w:pos="567"/>
          <w:tab w:val="num" w:pos="709"/>
        </w:tabs>
        <w:spacing w:before="120"/>
        <w:ind w:left="709" w:hanging="709"/>
        <w:rPr>
          <w:bCs/>
          <w:lang w:val="fr-FR"/>
        </w:rPr>
      </w:pPr>
      <w:r w:rsidRPr="00702497">
        <w:rPr>
          <w:rFonts w:eastAsia="Malgun Gothic"/>
          <w:bCs/>
          <w:lang w:val="fr-FR"/>
        </w:rPr>
        <w:t xml:space="preserve"> </w:t>
      </w:r>
      <w:r w:rsidR="000D60E4" w:rsidRPr="00702497">
        <w:rPr>
          <w:rFonts w:eastAsia="Malgun Gothic"/>
          <w:bCs/>
          <w:lang w:val="fr-FR"/>
        </w:rPr>
        <w:t xml:space="preserve">La </w:t>
      </w:r>
      <w:r w:rsidR="000D60E4" w:rsidRPr="000D60E4">
        <w:rPr>
          <w:rFonts w:eastAsia="Malgun Gothic"/>
          <w:b/>
          <w:lang w:val="fr-FR"/>
        </w:rPr>
        <w:t>Vice-Présidente de l</w:t>
      </w:r>
      <w:r w:rsidR="00923E72">
        <w:rPr>
          <w:rFonts w:eastAsia="Malgun Gothic"/>
          <w:b/>
          <w:lang w:val="fr-FR"/>
        </w:rPr>
        <w:t>’</w:t>
      </w:r>
      <w:r w:rsidR="000D60E4" w:rsidRPr="000D60E4">
        <w:rPr>
          <w:rFonts w:eastAsia="Malgun Gothic"/>
          <w:b/>
          <w:lang w:val="fr-FR"/>
        </w:rPr>
        <w:t>Organe d</w:t>
      </w:r>
      <w:r w:rsidR="00923E72">
        <w:rPr>
          <w:rFonts w:eastAsia="Malgun Gothic"/>
          <w:b/>
          <w:lang w:val="fr-FR"/>
        </w:rPr>
        <w:t>’</w:t>
      </w:r>
      <w:r w:rsidR="000D60E4" w:rsidRPr="000D60E4">
        <w:rPr>
          <w:rFonts w:eastAsia="Malgun Gothic"/>
          <w:b/>
          <w:lang w:val="fr-FR"/>
        </w:rPr>
        <w:t>évaluation</w:t>
      </w:r>
      <w:r w:rsidR="000D60E4" w:rsidRPr="00702497">
        <w:rPr>
          <w:rFonts w:eastAsia="Malgun Gothic"/>
          <w:bCs/>
          <w:lang w:val="fr-FR"/>
        </w:rPr>
        <w:t xml:space="preserve"> </w:t>
      </w:r>
      <w:r w:rsidR="000D60E4">
        <w:rPr>
          <w:rFonts w:eastAsia="Malgun Gothic"/>
          <w:bCs/>
          <w:lang w:val="fr-FR"/>
        </w:rPr>
        <w:t xml:space="preserve">a </w:t>
      </w:r>
      <w:r w:rsidR="000D60E4" w:rsidRPr="00702497">
        <w:rPr>
          <w:rFonts w:eastAsia="Malgun Gothic"/>
          <w:bCs/>
          <w:lang w:val="fr-FR"/>
        </w:rPr>
        <w:t>présent</w:t>
      </w:r>
      <w:r w:rsidR="000D60E4">
        <w:rPr>
          <w:rFonts w:eastAsia="Malgun Gothic"/>
          <w:bCs/>
          <w:lang w:val="fr-FR"/>
        </w:rPr>
        <w:t>é</w:t>
      </w:r>
      <w:r w:rsidR="000D60E4" w:rsidRPr="00702497">
        <w:rPr>
          <w:rFonts w:eastAsia="Malgun Gothic"/>
          <w:bCs/>
          <w:lang w:val="fr-FR"/>
        </w:rPr>
        <w:t xml:space="preserve"> le dossier de candidature suivant, </w:t>
      </w:r>
      <w:r w:rsidR="000D60E4" w:rsidRPr="000D60E4">
        <w:rPr>
          <w:rFonts w:eastAsia="Malgun Gothic"/>
          <w:b/>
          <w:lang w:val="fr-FR"/>
        </w:rPr>
        <w:t xml:space="preserve">la danse </w:t>
      </w:r>
      <w:proofErr w:type="spellStart"/>
      <w:r w:rsidR="000D60E4" w:rsidRPr="00702497">
        <w:rPr>
          <w:rFonts w:eastAsia="Malgun Gothic"/>
          <w:b/>
          <w:lang w:val="fr-FR"/>
        </w:rPr>
        <w:t>k</w:t>
      </w:r>
      <w:r w:rsidR="000D60E4" w:rsidRPr="000D60E4">
        <w:rPr>
          <w:rFonts w:eastAsia="Malgun Gothic"/>
          <w:b/>
          <w:lang w:val="fr-FR"/>
        </w:rPr>
        <w:t>alela</w:t>
      </w:r>
      <w:proofErr w:type="spellEnd"/>
      <w:r w:rsidR="000D60E4" w:rsidRPr="00702497">
        <w:rPr>
          <w:rFonts w:eastAsia="Malgun Gothic"/>
          <w:bCs/>
          <w:lang w:val="fr-FR"/>
        </w:rPr>
        <w:t xml:space="preserve"> [projet de décision 7.b.35], soumis par la </w:t>
      </w:r>
      <w:r w:rsidR="000D60E4" w:rsidRPr="000D60E4">
        <w:rPr>
          <w:rFonts w:eastAsia="Malgun Gothic"/>
          <w:b/>
          <w:lang w:val="fr-FR"/>
        </w:rPr>
        <w:t>Zambie</w:t>
      </w:r>
      <w:r w:rsidR="000D60E4" w:rsidRPr="00702497">
        <w:rPr>
          <w:rFonts w:eastAsia="Malgun Gothic"/>
          <w:bCs/>
          <w:lang w:val="fr-FR"/>
        </w:rPr>
        <w:t xml:space="preserve">, expliquant que </w:t>
      </w:r>
      <w:r w:rsidR="000D60E4">
        <w:rPr>
          <w:rFonts w:eastAsia="Malgun Gothic"/>
          <w:bCs/>
          <w:lang w:val="fr-FR"/>
        </w:rPr>
        <w:t>l</w:t>
      </w:r>
      <w:r w:rsidR="000D60E4" w:rsidRPr="00702497">
        <w:rPr>
          <w:rFonts w:eastAsia="Malgun Gothic"/>
          <w:bCs/>
          <w:lang w:val="fr-FR"/>
        </w:rPr>
        <w:t xml:space="preserve">a danse </w:t>
      </w:r>
      <w:proofErr w:type="spellStart"/>
      <w:r w:rsidR="000D60E4">
        <w:rPr>
          <w:rFonts w:eastAsia="Malgun Gothic"/>
          <w:bCs/>
          <w:lang w:val="fr-FR"/>
        </w:rPr>
        <w:t>k</w:t>
      </w:r>
      <w:r w:rsidR="000D60E4" w:rsidRPr="00702497">
        <w:rPr>
          <w:rFonts w:eastAsia="Malgun Gothic"/>
          <w:bCs/>
          <w:lang w:val="fr-FR"/>
        </w:rPr>
        <w:t>alela</w:t>
      </w:r>
      <w:proofErr w:type="spellEnd"/>
      <w:r w:rsidR="000D60E4" w:rsidRPr="00702497">
        <w:rPr>
          <w:rFonts w:eastAsia="Malgun Gothic"/>
          <w:bCs/>
          <w:lang w:val="fr-FR"/>
        </w:rPr>
        <w:t xml:space="preserve"> est née à l</w:t>
      </w:r>
      <w:r w:rsidR="00923E72">
        <w:rPr>
          <w:rFonts w:eastAsia="Malgun Gothic"/>
          <w:bCs/>
          <w:lang w:val="fr-FR"/>
        </w:rPr>
        <w:t>’</w:t>
      </w:r>
      <w:r w:rsidR="000D60E4" w:rsidRPr="00702497">
        <w:rPr>
          <w:rFonts w:eastAsia="Malgun Gothic"/>
          <w:bCs/>
          <w:lang w:val="fr-FR"/>
        </w:rPr>
        <w:t>époque coloniale dans la province de Luapula en Zambie et qu</w:t>
      </w:r>
      <w:r w:rsidR="00923E72">
        <w:rPr>
          <w:rFonts w:eastAsia="Malgun Gothic"/>
          <w:bCs/>
          <w:lang w:val="fr-FR"/>
        </w:rPr>
        <w:t>’</w:t>
      </w:r>
      <w:r w:rsidR="000D60E4" w:rsidRPr="00702497">
        <w:rPr>
          <w:rFonts w:eastAsia="Malgun Gothic"/>
          <w:bCs/>
          <w:lang w:val="fr-FR"/>
        </w:rPr>
        <w:t xml:space="preserve">elle est une sorte de formation de danse dans laquelle les danseurs </w:t>
      </w:r>
      <w:r w:rsidR="000D60E4">
        <w:rPr>
          <w:rFonts w:eastAsia="Malgun Gothic"/>
          <w:bCs/>
          <w:lang w:val="fr-FR"/>
        </w:rPr>
        <w:t xml:space="preserve">se regroupent en </w:t>
      </w:r>
      <w:r w:rsidR="000D60E4" w:rsidRPr="00702497">
        <w:rPr>
          <w:rFonts w:eastAsia="Malgun Gothic"/>
          <w:bCs/>
          <w:lang w:val="fr-FR"/>
        </w:rPr>
        <w:t>deux ou trois lignes</w:t>
      </w:r>
      <w:r w:rsidR="000D60E4">
        <w:rPr>
          <w:rFonts w:eastAsia="Malgun Gothic"/>
          <w:bCs/>
          <w:lang w:val="fr-FR"/>
        </w:rPr>
        <w:t>,</w:t>
      </w:r>
      <w:r w:rsidR="000D60E4" w:rsidRPr="00702497">
        <w:rPr>
          <w:rFonts w:eastAsia="Malgun Gothic"/>
          <w:bCs/>
          <w:lang w:val="fr-FR"/>
        </w:rPr>
        <w:t xml:space="preserve"> </w:t>
      </w:r>
      <w:r w:rsidR="000D60E4">
        <w:rPr>
          <w:rFonts w:eastAsia="Malgun Gothic"/>
          <w:bCs/>
          <w:lang w:val="fr-FR"/>
        </w:rPr>
        <w:t xml:space="preserve">dansant en avant et en arrière </w:t>
      </w:r>
      <w:r w:rsidR="000D60E4" w:rsidRPr="00702497">
        <w:rPr>
          <w:rFonts w:eastAsia="Malgun Gothic"/>
          <w:bCs/>
          <w:lang w:val="fr-FR"/>
        </w:rPr>
        <w:t xml:space="preserve">tout en chantant au </w:t>
      </w:r>
      <w:r w:rsidR="000D60E4">
        <w:rPr>
          <w:rFonts w:eastAsia="Malgun Gothic"/>
          <w:bCs/>
          <w:lang w:val="fr-FR"/>
        </w:rPr>
        <w:t>son</w:t>
      </w:r>
      <w:r w:rsidR="000D60E4" w:rsidRPr="00702497">
        <w:rPr>
          <w:rFonts w:eastAsia="Malgun Gothic"/>
          <w:bCs/>
          <w:lang w:val="fr-FR"/>
        </w:rPr>
        <w:t xml:space="preserve"> du tambour. </w:t>
      </w:r>
      <w:r w:rsidR="000D60E4">
        <w:rPr>
          <w:rFonts w:eastAsia="Malgun Gothic"/>
          <w:bCs/>
          <w:lang w:val="fr-FR"/>
        </w:rPr>
        <w:t>La danse</w:t>
      </w:r>
      <w:r w:rsidR="000D60E4" w:rsidRPr="00702497">
        <w:rPr>
          <w:rFonts w:eastAsia="Malgun Gothic"/>
          <w:bCs/>
          <w:lang w:val="fr-FR"/>
        </w:rPr>
        <w:t xml:space="preserve"> avait été adoptée par les </w:t>
      </w:r>
      <w:r w:rsidR="000D60E4">
        <w:rPr>
          <w:rFonts w:eastAsia="Malgun Gothic"/>
          <w:bCs/>
          <w:lang w:val="fr-FR"/>
        </w:rPr>
        <w:t xml:space="preserve">travailleurs des </w:t>
      </w:r>
      <w:r w:rsidR="000D60E4" w:rsidRPr="00702497">
        <w:rPr>
          <w:rFonts w:eastAsia="Malgun Gothic"/>
          <w:bCs/>
          <w:lang w:val="fr-FR"/>
        </w:rPr>
        <w:t>mine</w:t>
      </w:r>
      <w:r w:rsidR="000D60E4">
        <w:rPr>
          <w:rFonts w:eastAsia="Malgun Gothic"/>
          <w:bCs/>
          <w:lang w:val="fr-FR"/>
        </w:rPr>
        <w:t>s</w:t>
      </w:r>
      <w:r w:rsidR="000D60E4" w:rsidRPr="00702497">
        <w:rPr>
          <w:rFonts w:eastAsia="Malgun Gothic"/>
          <w:bCs/>
          <w:lang w:val="fr-FR"/>
        </w:rPr>
        <w:t xml:space="preserve"> et</w:t>
      </w:r>
      <w:r w:rsidR="000D60E4">
        <w:rPr>
          <w:rFonts w:eastAsia="Malgun Gothic"/>
          <w:bCs/>
          <w:lang w:val="fr-FR"/>
        </w:rPr>
        <w:t xml:space="preserve"> était pratiquée dans le but de </w:t>
      </w:r>
      <w:r w:rsidR="000D60E4" w:rsidRPr="00702497">
        <w:rPr>
          <w:rFonts w:eastAsia="Malgun Gothic"/>
          <w:bCs/>
          <w:lang w:val="fr-FR"/>
        </w:rPr>
        <w:t xml:space="preserve">divertir </w:t>
      </w:r>
      <w:r w:rsidR="000D60E4">
        <w:rPr>
          <w:rFonts w:eastAsia="Malgun Gothic"/>
          <w:bCs/>
          <w:lang w:val="fr-FR"/>
        </w:rPr>
        <w:t xml:space="preserve">au </w:t>
      </w:r>
      <w:r w:rsidR="000D60E4" w:rsidRPr="00702497">
        <w:rPr>
          <w:rFonts w:eastAsia="Malgun Gothic"/>
          <w:bCs/>
          <w:lang w:val="fr-FR"/>
        </w:rPr>
        <w:t xml:space="preserve">palais du chef </w:t>
      </w:r>
      <w:r w:rsidR="000D60E4">
        <w:rPr>
          <w:rFonts w:eastAsia="Malgun Gothic"/>
          <w:bCs/>
          <w:lang w:val="fr-FR"/>
        </w:rPr>
        <w:t>pendant les</w:t>
      </w:r>
      <w:r w:rsidR="000D60E4" w:rsidRPr="00702497">
        <w:rPr>
          <w:rFonts w:eastAsia="Malgun Gothic"/>
          <w:bCs/>
          <w:lang w:val="fr-FR"/>
        </w:rPr>
        <w:t xml:space="preserve"> cérémonies traditionnelles, </w:t>
      </w:r>
      <w:r w:rsidR="000D60E4">
        <w:rPr>
          <w:rFonts w:eastAsia="Malgun Gothic"/>
          <w:bCs/>
          <w:lang w:val="fr-FR"/>
        </w:rPr>
        <w:t>l</w:t>
      </w:r>
      <w:r w:rsidR="000D60E4" w:rsidRPr="00702497">
        <w:rPr>
          <w:rFonts w:eastAsia="Malgun Gothic"/>
          <w:bCs/>
          <w:lang w:val="fr-FR"/>
        </w:rPr>
        <w:t xml:space="preserve">es funérailles, </w:t>
      </w:r>
      <w:r w:rsidR="000D60E4">
        <w:rPr>
          <w:rFonts w:eastAsia="Malgun Gothic"/>
          <w:bCs/>
          <w:lang w:val="fr-FR"/>
        </w:rPr>
        <w:t>l</w:t>
      </w:r>
      <w:r w:rsidR="000D60E4" w:rsidRPr="00702497">
        <w:rPr>
          <w:rFonts w:eastAsia="Malgun Gothic"/>
          <w:bCs/>
          <w:lang w:val="fr-FR"/>
        </w:rPr>
        <w:t xml:space="preserve">es célébrations de la récolte et </w:t>
      </w:r>
      <w:r w:rsidR="000D60E4">
        <w:rPr>
          <w:rFonts w:eastAsia="Malgun Gothic"/>
          <w:bCs/>
          <w:lang w:val="fr-FR"/>
        </w:rPr>
        <w:t xml:space="preserve">tout autre événement </w:t>
      </w:r>
      <w:r w:rsidR="000D60E4" w:rsidRPr="00702497">
        <w:rPr>
          <w:rFonts w:eastAsia="Malgun Gothic"/>
          <w:bCs/>
          <w:lang w:val="fr-FR"/>
        </w:rPr>
        <w:t>important. Après avoir entamé un processus de dialogue sur les critères</w:t>
      </w:r>
      <w:r w:rsidR="000D60E4">
        <w:rPr>
          <w:rFonts w:eastAsia="Malgun Gothic"/>
          <w:bCs/>
          <w:lang w:val="fr-FR"/>
        </w:rPr>
        <w:t> </w:t>
      </w:r>
      <w:r w:rsidR="000D60E4" w:rsidRPr="00702497">
        <w:rPr>
          <w:rFonts w:eastAsia="Malgun Gothic"/>
          <w:bCs/>
          <w:lang w:val="fr-FR"/>
        </w:rPr>
        <w:t>R.2 et</w:t>
      </w:r>
      <w:r w:rsidR="000D60E4">
        <w:rPr>
          <w:rFonts w:eastAsia="Malgun Gothic"/>
          <w:bCs/>
          <w:lang w:val="fr-FR"/>
        </w:rPr>
        <w:t> </w:t>
      </w:r>
      <w:r w:rsidR="000D60E4" w:rsidRPr="00702497">
        <w:rPr>
          <w:rFonts w:eastAsia="Malgun Gothic"/>
          <w:bCs/>
          <w:lang w:val="fr-FR"/>
        </w:rPr>
        <w:t>R.3, relatifs à la participation des communautés à la planification et à la mise en œuvre des mesures de sauvegarde, l</w:t>
      </w:r>
      <w:r w:rsidR="00923E72">
        <w:rPr>
          <w:rFonts w:eastAsia="Malgun Gothic"/>
          <w:bCs/>
          <w:lang w:val="fr-FR"/>
        </w:rPr>
        <w:t>’</w:t>
      </w:r>
      <w:r w:rsidR="000D60E4" w:rsidRPr="00702497">
        <w:rPr>
          <w:rFonts w:eastAsia="Malgun Gothic"/>
          <w:bCs/>
          <w:lang w:val="fr-FR"/>
        </w:rPr>
        <w:t>Organe d</w:t>
      </w:r>
      <w:r w:rsidR="00923E72">
        <w:rPr>
          <w:rFonts w:eastAsia="Malgun Gothic"/>
          <w:bCs/>
          <w:lang w:val="fr-FR"/>
        </w:rPr>
        <w:t>’</w:t>
      </w:r>
      <w:r w:rsidR="000D60E4" w:rsidRPr="00702497">
        <w:rPr>
          <w:rFonts w:eastAsia="Malgun Gothic"/>
          <w:bCs/>
          <w:lang w:val="fr-FR"/>
        </w:rPr>
        <w:t>évaluation avait estimé que les critères</w:t>
      </w:r>
      <w:r w:rsidR="000D60E4">
        <w:rPr>
          <w:rFonts w:eastAsia="Malgun Gothic"/>
          <w:bCs/>
          <w:lang w:val="fr-FR"/>
        </w:rPr>
        <w:t> </w:t>
      </w:r>
      <w:r w:rsidR="000D60E4" w:rsidRPr="00702497">
        <w:rPr>
          <w:rFonts w:eastAsia="Malgun Gothic"/>
          <w:bCs/>
          <w:lang w:val="fr-FR"/>
        </w:rPr>
        <w:t>R.1,</w:t>
      </w:r>
      <w:r w:rsidR="000D60E4">
        <w:rPr>
          <w:rFonts w:eastAsia="Malgun Gothic"/>
          <w:bCs/>
          <w:lang w:val="fr-FR"/>
        </w:rPr>
        <w:t> </w:t>
      </w:r>
      <w:r w:rsidR="000D60E4" w:rsidRPr="00702497">
        <w:rPr>
          <w:rFonts w:eastAsia="Malgun Gothic"/>
          <w:bCs/>
          <w:lang w:val="fr-FR"/>
        </w:rPr>
        <w:t>R.4 et</w:t>
      </w:r>
      <w:r w:rsidR="000D60E4">
        <w:rPr>
          <w:rFonts w:eastAsia="Malgun Gothic"/>
          <w:bCs/>
          <w:lang w:val="fr-FR"/>
        </w:rPr>
        <w:t> </w:t>
      </w:r>
      <w:r w:rsidR="000D60E4" w:rsidRPr="00702497">
        <w:rPr>
          <w:rFonts w:eastAsia="Malgun Gothic"/>
          <w:bCs/>
          <w:lang w:val="fr-FR"/>
        </w:rPr>
        <w:t>R.5 étaient satisfaits, mais que les informations communiquées à l</w:t>
      </w:r>
      <w:r w:rsidR="00923E72">
        <w:rPr>
          <w:rFonts w:eastAsia="Malgun Gothic"/>
          <w:bCs/>
          <w:lang w:val="fr-FR"/>
        </w:rPr>
        <w:t>’</w:t>
      </w:r>
      <w:r w:rsidR="000D60E4" w:rsidRPr="00702497">
        <w:rPr>
          <w:rFonts w:eastAsia="Malgun Gothic"/>
          <w:bCs/>
          <w:lang w:val="fr-FR"/>
        </w:rPr>
        <w:t>issue du dialogue n</w:t>
      </w:r>
      <w:r w:rsidR="00923E72">
        <w:rPr>
          <w:rFonts w:eastAsia="Malgun Gothic"/>
          <w:bCs/>
          <w:lang w:val="fr-FR"/>
        </w:rPr>
        <w:t>’</w:t>
      </w:r>
      <w:r w:rsidR="000D60E4" w:rsidRPr="00702497">
        <w:rPr>
          <w:rFonts w:eastAsia="Malgun Gothic"/>
          <w:bCs/>
          <w:lang w:val="fr-FR"/>
        </w:rPr>
        <w:t>étaient pas suffisantes pour déterminer si les critères</w:t>
      </w:r>
      <w:r w:rsidR="000D60E4">
        <w:rPr>
          <w:rFonts w:eastAsia="Malgun Gothic"/>
          <w:bCs/>
          <w:lang w:val="fr-FR"/>
        </w:rPr>
        <w:t> </w:t>
      </w:r>
      <w:r w:rsidR="000D60E4" w:rsidRPr="00702497">
        <w:rPr>
          <w:rFonts w:eastAsia="Malgun Gothic"/>
          <w:bCs/>
          <w:lang w:val="fr-FR"/>
        </w:rPr>
        <w:t>R.2 et</w:t>
      </w:r>
      <w:r w:rsidR="000D60E4">
        <w:rPr>
          <w:rFonts w:eastAsia="Malgun Gothic"/>
          <w:bCs/>
          <w:lang w:val="fr-FR"/>
        </w:rPr>
        <w:t> </w:t>
      </w:r>
      <w:r w:rsidR="000D60E4" w:rsidRPr="00702497">
        <w:rPr>
          <w:rFonts w:eastAsia="Malgun Gothic"/>
          <w:bCs/>
          <w:lang w:val="fr-FR"/>
        </w:rPr>
        <w:t>R.3 étaient satisfaits. Le dossier expliquait les mesures de sauvegarde passées et actuelles, mais ne détaillait pas les efforts déployés par les communautés pour sauvegarder l</w:t>
      </w:r>
      <w:r w:rsidR="00923E72">
        <w:rPr>
          <w:rFonts w:eastAsia="Malgun Gothic"/>
          <w:bCs/>
          <w:lang w:val="fr-FR"/>
        </w:rPr>
        <w:t>’</w:t>
      </w:r>
      <w:r w:rsidR="000D60E4" w:rsidRPr="00702497">
        <w:rPr>
          <w:rFonts w:eastAsia="Malgun Gothic"/>
          <w:bCs/>
          <w:lang w:val="fr-FR"/>
        </w:rPr>
        <w:t>élément, et le processus de dialogue n</w:t>
      </w:r>
      <w:r w:rsidR="00923E72">
        <w:rPr>
          <w:rFonts w:eastAsia="Malgun Gothic"/>
          <w:bCs/>
          <w:lang w:val="fr-FR"/>
        </w:rPr>
        <w:t>’</w:t>
      </w:r>
      <w:r w:rsidR="000D60E4" w:rsidRPr="00702497">
        <w:rPr>
          <w:rFonts w:eastAsia="Malgun Gothic"/>
          <w:bCs/>
          <w:lang w:val="fr-FR"/>
        </w:rPr>
        <w:t>avait pas permis d</w:t>
      </w:r>
      <w:r w:rsidR="00923E72">
        <w:rPr>
          <w:rFonts w:eastAsia="Malgun Gothic"/>
          <w:bCs/>
          <w:lang w:val="fr-FR"/>
        </w:rPr>
        <w:t>’</w:t>
      </w:r>
      <w:r w:rsidR="000D60E4" w:rsidRPr="00702497">
        <w:rPr>
          <w:rFonts w:eastAsia="Malgun Gothic"/>
          <w:bCs/>
          <w:lang w:val="fr-FR"/>
        </w:rPr>
        <w:t>obtenir suffisamment d</w:t>
      </w:r>
      <w:r w:rsidR="00923E72">
        <w:rPr>
          <w:rFonts w:eastAsia="Malgun Gothic"/>
          <w:bCs/>
          <w:lang w:val="fr-FR"/>
        </w:rPr>
        <w:t>’</w:t>
      </w:r>
      <w:r w:rsidR="000D60E4" w:rsidRPr="00702497">
        <w:rPr>
          <w:rFonts w:eastAsia="Malgun Gothic"/>
          <w:bCs/>
          <w:lang w:val="fr-FR"/>
        </w:rPr>
        <w:t>éclaircissements sur ce point. Pour ces raisons, l</w:t>
      </w:r>
      <w:r w:rsidR="00923E72">
        <w:rPr>
          <w:rFonts w:eastAsia="Malgun Gothic"/>
          <w:bCs/>
          <w:lang w:val="fr-FR"/>
        </w:rPr>
        <w:t>’</w:t>
      </w:r>
      <w:r w:rsidR="000D60E4" w:rsidRPr="00702497">
        <w:rPr>
          <w:rFonts w:eastAsia="Malgun Gothic"/>
          <w:bCs/>
          <w:lang w:val="fr-FR"/>
        </w:rPr>
        <w:t>Organe d</w:t>
      </w:r>
      <w:r w:rsidR="00923E72">
        <w:rPr>
          <w:rFonts w:eastAsia="Malgun Gothic"/>
          <w:bCs/>
          <w:lang w:val="fr-FR"/>
        </w:rPr>
        <w:t>’</w:t>
      </w:r>
      <w:r w:rsidR="000D60E4" w:rsidRPr="00702497">
        <w:rPr>
          <w:rFonts w:eastAsia="Malgun Gothic"/>
          <w:bCs/>
          <w:lang w:val="fr-FR"/>
        </w:rPr>
        <w:t>évaluation recommandait que la candidature soit renvoyée à l</w:t>
      </w:r>
      <w:r w:rsidR="00923E72">
        <w:rPr>
          <w:rFonts w:eastAsia="Malgun Gothic"/>
          <w:bCs/>
          <w:lang w:val="fr-FR"/>
        </w:rPr>
        <w:t>’</w:t>
      </w:r>
      <w:r w:rsidR="000D60E4" w:rsidRPr="00702497">
        <w:rPr>
          <w:rFonts w:eastAsia="Malgun Gothic"/>
          <w:bCs/>
          <w:lang w:val="fr-FR"/>
        </w:rPr>
        <w:t>État soumissionnaire.</w:t>
      </w:r>
    </w:p>
    <w:p w14:paraId="2658B50E" w14:textId="145D7CCF" w:rsidR="000D60E4" w:rsidRPr="00702497" w:rsidRDefault="000D60E4" w:rsidP="00702497">
      <w:pPr>
        <w:pStyle w:val="Orateurengris"/>
        <w:numPr>
          <w:ilvl w:val="0"/>
          <w:numId w:val="20"/>
        </w:numPr>
        <w:tabs>
          <w:tab w:val="clear" w:pos="567"/>
          <w:tab w:val="num" w:pos="709"/>
        </w:tabs>
        <w:spacing w:before="120"/>
        <w:ind w:left="709" w:hanging="709"/>
        <w:rPr>
          <w:bCs/>
          <w:lang w:val="fr-FR"/>
        </w:rPr>
      </w:pPr>
      <w:r>
        <w:rPr>
          <w:rFonts w:eastAsia="Malgun Gothic"/>
          <w:bCs/>
          <w:lang w:val="fr-FR"/>
        </w:rPr>
        <w:t xml:space="preserve">Le </w:t>
      </w:r>
      <w:r w:rsidRPr="00702497">
        <w:rPr>
          <w:rFonts w:eastAsia="Malgun Gothic"/>
          <w:b/>
          <w:lang w:val="fr-FR"/>
        </w:rPr>
        <w:t>Président</w:t>
      </w:r>
      <w:r>
        <w:rPr>
          <w:rFonts w:eastAsia="Malgun Gothic"/>
          <w:bCs/>
          <w:lang w:val="fr-FR"/>
        </w:rPr>
        <w:t xml:space="preserve"> a indiqué que le </w:t>
      </w:r>
      <w:r w:rsidRPr="000D60E4">
        <w:rPr>
          <w:rFonts w:eastAsia="Malgun Gothic"/>
          <w:bCs/>
          <w:lang w:val="fr-FR"/>
        </w:rPr>
        <w:t>Secréta</w:t>
      </w:r>
      <w:r>
        <w:rPr>
          <w:rFonts w:eastAsia="Malgun Gothic"/>
          <w:bCs/>
          <w:lang w:val="fr-FR"/>
        </w:rPr>
        <w:t>riat avait reçu une demande d</w:t>
      </w:r>
      <w:r w:rsidR="00923E72">
        <w:rPr>
          <w:rFonts w:eastAsia="Malgun Gothic"/>
          <w:bCs/>
          <w:lang w:val="fr-FR"/>
        </w:rPr>
        <w:t>’</w:t>
      </w:r>
      <w:r w:rsidRPr="000D60E4">
        <w:rPr>
          <w:rFonts w:eastAsia="Malgun Gothic"/>
          <w:bCs/>
          <w:lang w:val="fr-FR"/>
        </w:rPr>
        <w:t>amendement</w:t>
      </w:r>
      <w:r>
        <w:rPr>
          <w:rFonts w:eastAsia="Malgun Gothic"/>
          <w:bCs/>
          <w:lang w:val="fr-FR"/>
        </w:rPr>
        <w:t xml:space="preserve"> de la part du Botswana, et </w:t>
      </w:r>
      <w:r w:rsidR="003B73E7">
        <w:rPr>
          <w:rFonts w:eastAsia="Malgun Gothic"/>
          <w:bCs/>
          <w:lang w:val="fr-FR"/>
        </w:rPr>
        <w:t>l</w:t>
      </w:r>
      <w:r w:rsidR="00923E72">
        <w:rPr>
          <w:rFonts w:eastAsia="Malgun Gothic"/>
          <w:bCs/>
          <w:lang w:val="fr-FR"/>
        </w:rPr>
        <w:t>’</w:t>
      </w:r>
      <w:r>
        <w:rPr>
          <w:rFonts w:eastAsia="Malgun Gothic"/>
          <w:bCs/>
          <w:lang w:val="fr-FR"/>
        </w:rPr>
        <w:t xml:space="preserve">a invité à présenter cet </w:t>
      </w:r>
      <w:r w:rsidRPr="000D60E4">
        <w:rPr>
          <w:rFonts w:eastAsia="Malgun Gothic"/>
          <w:bCs/>
          <w:lang w:val="fr-FR"/>
        </w:rPr>
        <w:t>amendement</w:t>
      </w:r>
      <w:r>
        <w:rPr>
          <w:rFonts w:eastAsia="Malgun Gothic"/>
          <w:bCs/>
          <w:lang w:val="fr-FR"/>
        </w:rPr>
        <w:t>.</w:t>
      </w:r>
    </w:p>
    <w:p w14:paraId="25E87B08" w14:textId="3A552AFF" w:rsidR="000D60E4" w:rsidRDefault="000D60E4" w:rsidP="00702497">
      <w:pPr>
        <w:pStyle w:val="Orateurengris"/>
        <w:numPr>
          <w:ilvl w:val="0"/>
          <w:numId w:val="20"/>
        </w:numPr>
        <w:tabs>
          <w:tab w:val="clear" w:pos="567"/>
          <w:tab w:val="num" w:pos="709"/>
        </w:tabs>
        <w:spacing w:before="120"/>
        <w:ind w:left="709" w:hanging="709"/>
        <w:rPr>
          <w:bCs/>
          <w:lang w:val="fr-FR"/>
        </w:rPr>
      </w:pPr>
      <w:r w:rsidRPr="000D60E4">
        <w:rPr>
          <w:bCs/>
          <w:lang w:val="fr-FR"/>
        </w:rPr>
        <w:t xml:space="preserve">La délégation du </w:t>
      </w:r>
      <w:r w:rsidRPr="00702497">
        <w:rPr>
          <w:b/>
          <w:lang w:val="fr-FR"/>
        </w:rPr>
        <w:t>Botswana</w:t>
      </w:r>
      <w:r w:rsidRPr="000D60E4">
        <w:rPr>
          <w:bCs/>
          <w:lang w:val="fr-FR"/>
        </w:rPr>
        <w:t xml:space="preserve"> a expliqué que la danse </w:t>
      </w:r>
      <w:proofErr w:type="spellStart"/>
      <w:r w:rsidRPr="000D60E4">
        <w:rPr>
          <w:bCs/>
          <w:lang w:val="fr-FR"/>
        </w:rPr>
        <w:t>kalela</w:t>
      </w:r>
      <w:proofErr w:type="spellEnd"/>
      <w:r w:rsidRPr="000D60E4">
        <w:rPr>
          <w:bCs/>
          <w:lang w:val="fr-FR"/>
        </w:rPr>
        <w:t xml:space="preserve"> est une forme de divertissement pratiqué</w:t>
      </w:r>
      <w:r w:rsidR="000C332F">
        <w:rPr>
          <w:bCs/>
          <w:lang w:val="fr-FR"/>
        </w:rPr>
        <w:t>e</w:t>
      </w:r>
      <w:r w:rsidRPr="000D60E4">
        <w:rPr>
          <w:bCs/>
          <w:lang w:val="fr-FR"/>
        </w:rPr>
        <w:t xml:space="preserve"> lors de cérémonies traditionnelles, de funérailles, de célébrations de la récolte et d</w:t>
      </w:r>
      <w:r w:rsidR="00923E72">
        <w:rPr>
          <w:bCs/>
          <w:lang w:val="fr-FR"/>
        </w:rPr>
        <w:t>’</w:t>
      </w:r>
      <w:r w:rsidRPr="000D60E4">
        <w:rPr>
          <w:bCs/>
          <w:lang w:val="fr-FR"/>
        </w:rPr>
        <w:t>autres occasions importantes. L</w:t>
      </w:r>
      <w:r w:rsidR="00923E72">
        <w:rPr>
          <w:bCs/>
          <w:lang w:val="fr-FR"/>
        </w:rPr>
        <w:t>’</w:t>
      </w:r>
      <w:r w:rsidRPr="000D60E4">
        <w:rPr>
          <w:bCs/>
          <w:lang w:val="fr-FR"/>
        </w:rPr>
        <w:t>amendement présentait les informations requises, conformément aux conseils de l</w:t>
      </w:r>
      <w:r w:rsidR="00923E72">
        <w:rPr>
          <w:bCs/>
          <w:lang w:val="fr-FR"/>
        </w:rPr>
        <w:t>’</w:t>
      </w:r>
      <w:r w:rsidRPr="000D60E4">
        <w:rPr>
          <w:bCs/>
          <w:lang w:val="fr-FR"/>
        </w:rPr>
        <w:t>Organe d</w:t>
      </w:r>
      <w:r w:rsidR="00923E72">
        <w:rPr>
          <w:bCs/>
          <w:lang w:val="fr-FR"/>
        </w:rPr>
        <w:t>’</w:t>
      </w:r>
      <w:r w:rsidRPr="000D60E4">
        <w:rPr>
          <w:bCs/>
          <w:lang w:val="fr-FR"/>
        </w:rPr>
        <w:t xml:space="preserve">évaluation. </w:t>
      </w:r>
      <w:r w:rsidR="000C332F">
        <w:rPr>
          <w:bCs/>
          <w:lang w:val="fr-FR"/>
        </w:rPr>
        <w:t xml:space="preserve">Elle avait donc le sentiment </w:t>
      </w:r>
      <w:r w:rsidRPr="000D60E4">
        <w:rPr>
          <w:bCs/>
          <w:lang w:val="fr-FR"/>
        </w:rPr>
        <w:t>que la candidature satisfaisait aux critères d</w:t>
      </w:r>
      <w:r w:rsidR="00923E72">
        <w:rPr>
          <w:bCs/>
          <w:lang w:val="fr-FR"/>
        </w:rPr>
        <w:t>’</w:t>
      </w:r>
      <w:r w:rsidRPr="000D60E4">
        <w:rPr>
          <w:bCs/>
          <w:lang w:val="fr-FR"/>
        </w:rPr>
        <w:t>inscription. Se référant à la priorité globale Afrique de l</w:t>
      </w:r>
      <w:r w:rsidR="00923E72">
        <w:rPr>
          <w:bCs/>
          <w:lang w:val="fr-FR"/>
        </w:rPr>
        <w:t>’</w:t>
      </w:r>
      <w:r w:rsidRPr="000D60E4">
        <w:rPr>
          <w:bCs/>
          <w:lang w:val="fr-FR"/>
        </w:rPr>
        <w:t>UNESCO, la délégation était d</w:t>
      </w:r>
      <w:r w:rsidR="00923E72">
        <w:rPr>
          <w:bCs/>
          <w:lang w:val="fr-FR"/>
        </w:rPr>
        <w:t>’</w:t>
      </w:r>
      <w:r w:rsidRPr="000D60E4">
        <w:rPr>
          <w:bCs/>
          <w:lang w:val="fr-FR"/>
        </w:rPr>
        <w:t>avis que la Zambie dev</w:t>
      </w:r>
      <w:r w:rsidR="000C332F">
        <w:rPr>
          <w:bCs/>
          <w:lang w:val="fr-FR"/>
        </w:rPr>
        <w:t>r</w:t>
      </w:r>
      <w:r w:rsidRPr="000D60E4">
        <w:rPr>
          <w:bCs/>
          <w:lang w:val="fr-FR"/>
        </w:rPr>
        <w:t>ait être écoutée et que son cas dev</w:t>
      </w:r>
      <w:r w:rsidR="000C332F">
        <w:rPr>
          <w:bCs/>
          <w:lang w:val="fr-FR"/>
        </w:rPr>
        <w:t>r</w:t>
      </w:r>
      <w:r w:rsidRPr="000D60E4">
        <w:rPr>
          <w:bCs/>
          <w:lang w:val="fr-FR"/>
        </w:rPr>
        <w:t>ait être réexaminé, car cela permettrait de sensibiliser la région africaine et d</w:t>
      </w:r>
      <w:r w:rsidR="00923E72">
        <w:rPr>
          <w:bCs/>
          <w:lang w:val="fr-FR"/>
        </w:rPr>
        <w:t>’</w:t>
      </w:r>
      <w:r w:rsidRPr="000D60E4">
        <w:rPr>
          <w:bCs/>
          <w:lang w:val="fr-FR"/>
        </w:rPr>
        <w:t>inciter d</w:t>
      </w:r>
      <w:r w:rsidR="00923E72">
        <w:rPr>
          <w:bCs/>
          <w:lang w:val="fr-FR"/>
        </w:rPr>
        <w:t>’</w:t>
      </w:r>
      <w:r w:rsidRPr="000D60E4">
        <w:rPr>
          <w:bCs/>
          <w:lang w:val="fr-FR"/>
        </w:rPr>
        <w:t>autres pays africains à soumettre leur patrimoine culturel immatériel en vue de son inscription. Elle était fermement convaincue que les informations demandées avaient été communiquées dans le dossier et que l</w:t>
      </w:r>
      <w:r w:rsidR="00923E72">
        <w:rPr>
          <w:bCs/>
          <w:lang w:val="fr-FR"/>
        </w:rPr>
        <w:t>’</w:t>
      </w:r>
      <w:r w:rsidRPr="000D60E4">
        <w:rPr>
          <w:bCs/>
          <w:lang w:val="fr-FR"/>
        </w:rPr>
        <w:t>élément dev</w:t>
      </w:r>
      <w:r w:rsidR="000C332F">
        <w:rPr>
          <w:bCs/>
          <w:lang w:val="fr-FR"/>
        </w:rPr>
        <w:t>r</w:t>
      </w:r>
      <w:r w:rsidRPr="000D60E4">
        <w:rPr>
          <w:bCs/>
          <w:lang w:val="fr-FR"/>
        </w:rPr>
        <w:t>ait donc être inscrit. Les détails de l</w:t>
      </w:r>
      <w:r w:rsidR="00923E72">
        <w:rPr>
          <w:bCs/>
          <w:lang w:val="fr-FR"/>
        </w:rPr>
        <w:t>’</w:t>
      </w:r>
      <w:r w:rsidRPr="000D60E4">
        <w:rPr>
          <w:bCs/>
          <w:lang w:val="fr-FR"/>
        </w:rPr>
        <w:t>amendement seraient mieux expliqués par la Zambie</w:t>
      </w:r>
      <w:r w:rsidR="000C332F">
        <w:rPr>
          <w:bCs/>
          <w:lang w:val="fr-FR"/>
        </w:rPr>
        <w:t xml:space="preserve"> elle-même.</w:t>
      </w:r>
    </w:p>
    <w:p w14:paraId="4910D25F" w14:textId="3F64705F" w:rsidR="000C332F" w:rsidRDefault="007B7538" w:rsidP="00702497">
      <w:pPr>
        <w:pStyle w:val="Orateurengris"/>
        <w:numPr>
          <w:ilvl w:val="0"/>
          <w:numId w:val="20"/>
        </w:numPr>
        <w:tabs>
          <w:tab w:val="clear" w:pos="567"/>
          <w:tab w:val="num" w:pos="709"/>
        </w:tabs>
        <w:spacing w:before="120"/>
        <w:ind w:left="709" w:hanging="709"/>
        <w:rPr>
          <w:bCs/>
          <w:lang w:val="fr-FR"/>
        </w:rPr>
      </w:pPr>
      <w:r w:rsidRPr="007B7538">
        <w:rPr>
          <w:bCs/>
          <w:lang w:val="fr-FR"/>
        </w:rPr>
        <w:t xml:space="preserve">La délégation de la </w:t>
      </w:r>
      <w:r w:rsidRPr="00702497">
        <w:rPr>
          <w:b/>
          <w:lang w:val="fr-FR"/>
        </w:rPr>
        <w:t>Zambie</w:t>
      </w:r>
      <w:r w:rsidRPr="007B7538">
        <w:rPr>
          <w:bCs/>
          <w:lang w:val="fr-FR"/>
        </w:rPr>
        <w:t xml:space="preserve"> a expliqué que la candidature de</w:t>
      </w:r>
      <w:r>
        <w:rPr>
          <w:bCs/>
          <w:lang w:val="fr-FR"/>
        </w:rPr>
        <w:t xml:space="preserve"> la danse</w:t>
      </w:r>
      <w:r w:rsidRPr="007B7538">
        <w:rPr>
          <w:bCs/>
          <w:lang w:val="fr-FR"/>
        </w:rPr>
        <w:t xml:space="preserve"> </w:t>
      </w:r>
      <w:proofErr w:type="spellStart"/>
      <w:r>
        <w:rPr>
          <w:bCs/>
          <w:lang w:val="fr-FR"/>
        </w:rPr>
        <w:t>k</w:t>
      </w:r>
      <w:r w:rsidRPr="007B7538">
        <w:rPr>
          <w:bCs/>
          <w:lang w:val="fr-FR"/>
        </w:rPr>
        <w:t>alela</w:t>
      </w:r>
      <w:proofErr w:type="spellEnd"/>
      <w:r w:rsidRPr="007B7538">
        <w:rPr>
          <w:bCs/>
          <w:lang w:val="fr-FR"/>
        </w:rPr>
        <w:t xml:space="preserve"> avait été préparée avec la participation active des groupes et des communautés </w:t>
      </w:r>
      <w:r w:rsidR="002E4610">
        <w:rPr>
          <w:bCs/>
          <w:lang w:val="fr-FR"/>
        </w:rPr>
        <w:t>des trois provinces où se</w:t>
      </w:r>
      <w:r w:rsidRPr="007B7538">
        <w:rPr>
          <w:bCs/>
          <w:lang w:val="fr-FR"/>
        </w:rPr>
        <w:t xml:space="preserve"> pratique l</w:t>
      </w:r>
      <w:r w:rsidR="00923E72">
        <w:rPr>
          <w:bCs/>
          <w:lang w:val="fr-FR"/>
        </w:rPr>
        <w:t>’</w:t>
      </w:r>
      <w:r w:rsidRPr="007B7538">
        <w:rPr>
          <w:bCs/>
          <w:lang w:val="fr-FR"/>
        </w:rPr>
        <w:t>élément</w:t>
      </w:r>
      <w:r w:rsidR="002E4610">
        <w:rPr>
          <w:bCs/>
          <w:lang w:val="fr-FR"/>
        </w:rPr>
        <w:t xml:space="preserve"> et que to</w:t>
      </w:r>
      <w:r w:rsidRPr="007B7538">
        <w:rPr>
          <w:bCs/>
          <w:lang w:val="fr-FR"/>
        </w:rPr>
        <w:t xml:space="preserve">utes </w:t>
      </w:r>
      <w:r w:rsidR="003D2D5E">
        <w:rPr>
          <w:bCs/>
          <w:lang w:val="fr-FR"/>
        </w:rPr>
        <w:t xml:space="preserve">les provinces </w:t>
      </w:r>
      <w:r>
        <w:rPr>
          <w:bCs/>
          <w:lang w:val="fr-FR"/>
        </w:rPr>
        <w:t xml:space="preserve">avaient </w:t>
      </w:r>
      <w:r w:rsidRPr="007B7538">
        <w:rPr>
          <w:bCs/>
          <w:lang w:val="fr-FR"/>
        </w:rPr>
        <w:t>été impliquées. Des réunions préliminaires avaient été organisées avec les groupes, les chefs de groupe, les communautés et les chef</w:t>
      </w:r>
      <w:r w:rsidR="003D2D5E">
        <w:rPr>
          <w:bCs/>
          <w:lang w:val="fr-FR"/>
        </w:rPr>
        <w:t>s</w:t>
      </w:r>
      <w:r w:rsidRPr="007B7538">
        <w:rPr>
          <w:bCs/>
          <w:lang w:val="fr-FR"/>
        </w:rPr>
        <w:t xml:space="preserve"> communautaires/traditionnels dans les trois provinces et districts </w:t>
      </w:r>
      <w:r w:rsidR="003D2D5E">
        <w:rPr>
          <w:bCs/>
          <w:lang w:val="fr-FR"/>
        </w:rPr>
        <w:t xml:space="preserve">où se </w:t>
      </w:r>
      <w:r w:rsidRPr="007B7538">
        <w:rPr>
          <w:bCs/>
          <w:lang w:val="fr-FR"/>
        </w:rPr>
        <w:t>pratique l</w:t>
      </w:r>
      <w:r w:rsidR="00923E72">
        <w:rPr>
          <w:bCs/>
          <w:lang w:val="fr-FR"/>
        </w:rPr>
        <w:t>’</w:t>
      </w:r>
      <w:r w:rsidRPr="007B7538">
        <w:rPr>
          <w:bCs/>
          <w:lang w:val="fr-FR"/>
        </w:rPr>
        <w:t xml:space="preserve">élément. Dans la province de </w:t>
      </w:r>
      <w:proofErr w:type="spellStart"/>
      <w:r w:rsidRPr="007B7538">
        <w:rPr>
          <w:bCs/>
          <w:lang w:val="fr-FR"/>
        </w:rPr>
        <w:t>Copperbelt</w:t>
      </w:r>
      <w:proofErr w:type="spellEnd"/>
      <w:r w:rsidRPr="007B7538">
        <w:rPr>
          <w:bCs/>
          <w:lang w:val="fr-FR"/>
        </w:rPr>
        <w:t xml:space="preserve">, les groupes et les chefs de groupe avaient </w:t>
      </w:r>
      <w:r w:rsidR="002E4610">
        <w:rPr>
          <w:bCs/>
          <w:lang w:val="fr-FR"/>
        </w:rPr>
        <w:t xml:space="preserve">participé </w:t>
      </w:r>
      <w:r w:rsidRPr="007B7538">
        <w:rPr>
          <w:bCs/>
          <w:lang w:val="fr-FR"/>
        </w:rPr>
        <w:t xml:space="preserve">à chaque étape (dans les districts de Ndola, </w:t>
      </w:r>
      <w:proofErr w:type="spellStart"/>
      <w:r w:rsidRPr="007B7538">
        <w:rPr>
          <w:bCs/>
          <w:lang w:val="fr-FR"/>
        </w:rPr>
        <w:t>Kitwe</w:t>
      </w:r>
      <w:proofErr w:type="spellEnd"/>
      <w:r w:rsidRPr="007B7538">
        <w:rPr>
          <w:bCs/>
          <w:lang w:val="fr-FR"/>
        </w:rPr>
        <w:t xml:space="preserve">, Luanshya, Chingola et </w:t>
      </w:r>
      <w:proofErr w:type="spellStart"/>
      <w:r w:rsidRPr="007B7538">
        <w:rPr>
          <w:bCs/>
          <w:lang w:val="fr-FR"/>
        </w:rPr>
        <w:t>Mufurila</w:t>
      </w:r>
      <w:proofErr w:type="spellEnd"/>
      <w:r w:rsidRPr="007B7538">
        <w:rPr>
          <w:bCs/>
          <w:lang w:val="fr-FR"/>
        </w:rPr>
        <w:t xml:space="preserve">), tout comme dans la province de Luapula (dans les districts de </w:t>
      </w:r>
      <w:proofErr w:type="spellStart"/>
      <w:r w:rsidRPr="007B7538">
        <w:rPr>
          <w:bCs/>
          <w:lang w:val="fr-FR"/>
        </w:rPr>
        <w:t>Mwense</w:t>
      </w:r>
      <w:proofErr w:type="spellEnd"/>
      <w:r w:rsidRPr="007B7538">
        <w:rPr>
          <w:bCs/>
          <w:lang w:val="fr-FR"/>
        </w:rPr>
        <w:t xml:space="preserve">, </w:t>
      </w:r>
      <w:proofErr w:type="spellStart"/>
      <w:r w:rsidRPr="007B7538">
        <w:rPr>
          <w:bCs/>
          <w:lang w:val="fr-FR"/>
        </w:rPr>
        <w:t>Samfya</w:t>
      </w:r>
      <w:proofErr w:type="spellEnd"/>
      <w:r w:rsidRPr="007B7538">
        <w:rPr>
          <w:bCs/>
          <w:lang w:val="fr-FR"/>
        </w:rPr>
        <w:t xml:space="preserve">, </w:t>
      </w:r>
      <w:proofErr w:type="spellStart"/>
      <w:r w:rsidRPr="007B7538">
        <w:rPr>
          <w:bCs/>
          <w:lang w:val="fr-FR"/>
        </w:rPr>
        <w:t>Chifunabuli</w:t>
      </w:r>
      <w:proofErr w:type="spellEnd"/>
      <w:r w:rsidRPr="007B7538">
        <w:rPr>
          <w:bCs/>
          <w:lang w:val="fr-FR"/>
        </w:rPr>
        <w:t xml:space="preserve"> et Mansa) et dans la province du Nord (dans les districts de </w:t>
      </w:r>
      <w:proofErr w:type="spellStart"/>
      <w:r w:rsidRPr="007B7538">
        <w:rPr>
          <w:bCs/>
          <w:lang w:val="fr-FR"/>
        </w:rPr>
        <w:t>Chilubi</w:t>
      </w:r>
      <w:proofErr w:type="spellEnd"/>
      <w:r w:rsidRPr="007B7538">
        <w:rPr>
          <w:bCs/>
          <w:lang w:val="fr-FR"/>
        </w:rPr>
        <w:t xml:space="preserve"> et </w:t>
      </w:r>
      <w:proofErr w:type="spellStart"/>
      <w:r w:rsidRPr="007B7538">
        <w:rPr>
          <w:bCs/>
          <w:lang w:val="fr-FR"/>
        </w:rPr>
        <w:t>Lupososhi</w:t>
      </w:r>
      <w:proofErr w:type="spellEnd"/>
      <w:r w:rsidRPr="007B7538">
        <w:rPr>
          <w:bCs/>
          <w:lang w:val="fr-FR"/>
        </w:rPr>
        <w:t>). Des réunions de sensibilisation avaient été organisées dans toutes les provinces et tous les districts</w:t>
      </w:r>
      <w:r w:rsidR="002E4610">
        <w:rPr>
          <w:bCs/>
          <w:lang w:val="fr-FR"/>
        </w:rPr>
        <w:t xml:space="preserve"> concernés par l</w:t>
      </w:r>
      <w:r w:rsidR="00923E72">
        <w:rPr>
          <w:bCs/>
          <w:lang w:val="fr-FR"/>
        </w:rPr>
        <w:t>’</w:t>
      </w:r>
      <w:r w:rsidR="002E4610">
        <w:rPr>
          <w:bCs/>
          <w:lang w:val="fr-FR"/>
        </w:rPr>
        <w:t>élément</w:t>
      </w:r>
      <w:r w:rsidRPr="007B7538">
        <w:rPr>
          <w:bCs/>
          <w:lang w:val="fr-FR"/>
        </w:rPr>
        <w:t xml:space="preserve">. Le consentement préalable des communautés avait été </w:t>
      </w:r>
      <w:r w:rsidR="003D2D5E">
        <w:rPr>
          <w:bCs/>
          <w:lang w:val="fr-FR"/>
        </w:rPr>
        <w:t xml:space="preserve">recueilli </w:t>
      </w:r>
      <w:r w:rsidRPr="007B7538">
        <w:rPr>
          <w:bCs/>
          <w:lang w:val="fr-FR"/>
        </w:rPr>
        <w:t>avant et pendant l</w:t>
      </w:r>
      <w:r w:rsidR="00923E72">
        <w:rPr>
          <w:bCs/>
          <w:lang w:val="fr-FR"/>
        </w:rPr>
        <w:t>’</w:t>
      </w:r>
      <w:r w:rsidRPr="007B7538">
        <w:rPr>
          <w:bCs/>
          <w:lang w:val="fr-FR"/>
        </w:rPr>
        <w:t xml:space="preserve">exercice de mise à jour des dossiers et de préparation de la candidature. Tous les groupes, les chefs de groupe et les personnalités des communautés ayant des connaissances et </w:t>
      </w:r>
      <w:r w:rsidR="002E4610">
        <w:rPr>
          <w:bCs/>
          <w:lang w:val="fr-FR"/>
        </w:rPr>
        <w:t>de l</w:t>
      </w:r>
      <w:r w:rsidR="00923E72">
        <w:rPr>
          <w:bCs/>
          <w:lang w:val="fr-FR"/>
        </w:rPr>
        <w:t>’</w:t>
      </w:r>
      <w:r w:rsidRPr="007B7538">
        <w:rPr>
          <w:bCs/>
          <w:lang w:val="fr-FR"/>
        </w:rPr>
        <w:t>expérience</w:t>
      </w:r>
      <w:r w:rsidR="003D2D5E">
        <w:rPr>
          <w:bCs/>
          <w:lang w:val="fr-FR"/>
        </w:rPr>
        <w:t xml:space="preserve"> </w:t>
      </w:r>
      <w:r w:rsidRPr="007B7538">
        <w:rPr>
          <w:bCs/>
          <w:lang w:val="fr-FR"/>
        </w:rPr>
        <w:t xml:space="preserve">avaient été impliqués </w:t>
      </w:r>
      <w:r w:rsidR="00AC1258">
        <w:rPr>
          <w:bCs/>
          <w:lang w:val="fr-FR"/>
        </w:rPr>
        <w:t>dans</w:t>
      </w:r>
      <w:r w:rsidRPr="007B7538">
        <w:rPr>
          <w:bCs/>
          <w:lang w:val="fr-FR"/>
        </w:rPr>
        <w:t xml:space="preserve"> la mise à jour et la préparation de l</w:t>
      </w:r>
      <w:r w:rsidR="00923E72">
        <w:rPr>
          <w:bCs/>
          <w:lang w:val="fr-FR"/>
        </w:rPr>
        <w:t>’</w:t>
      </w:r>
      <w:r w:rsidRPr="007B7538">
        <w:rPr>
          <w:bCs/>
          <w:lang w:val="fr-FR"/>
        </w:rPr>
        <w:t xml:space="preserve">inventaire et du formulaire de candidature. Les gardiens du patrimoine avaient </w:t>
      </w:r>
      <w:r w:rsidR="002E4610">
        <w:rPr>
          <w:bCs/>
          <w:lang w:val="fr-FR"/>
        </w:rPr>
        <w:t xml:space="preserve">participé à </w:t>
      </w:r>
      <w:r w:rsidRPr="007B7538">
        <w:rPr>
          <w:bCs/>
          <w:lang w:val="fr-FR"/>
        </w:rPr>
        <w:t>un certain nombre d</w:t>
      </w:r>
      <w:r w:rsidR="00923E72">
        <w:rPr>
          <w:bCs/>
          <w:lang w:val="fr-FR"/>
        </w:rPr>
        <w:t>’</w:t>
      </w:r>
      <w:r w:rsidRPr="007B7538">
        <w:rPr>
          <w:bCs/>
          <w:lang w:val="fr-FR"/>
        </w:rPr>
        <w:t>étapes et d</w:t>
      </w:r>
      <w:r w:rsidR="00923E72">
        <w:rPr>
          <w:bCs/>
          <w:lang w:val="fr-FR"/>
        </w:rPr>
        <w:t>’</w:t>
      </w:r>
      <w:r w:rsidRPr="007B7538">
        <w:rPr>
          <w:bCs/>
          <w:lang w:val="fr-FR"/>
        </w:rPr>
        <w:t>activités. Tout d</w:t>
      </w:r>
      <w:r w:rsidR="00923E72">
        <w:rPr>
          <w:bCs/>
          <w:lang w:val="fr-FR"/>
        </w:rPr>
        <w:t>’</w:t>
      </w:r>
      <w:r w:rsidRPr="007B7538">
        <w:rPr>
          <w:bCs/>
          <w:lang w:val="fr-FR"/>
        </w:rPr>
        <w:t>abord, la sensibilisation et le consentement préalable avaient été organisés par l</w:t>
      </w:r>
      <w:r w:rsidR="00923E72">
        <w:rPr>
          <w:bCs/>
          <w:lang w:val="fr-FR"/>
        </w:rPr>
        <w:t>’</w:t>
      </w:r>
      <w:r w:rsidRPr="007B7538">
        <w:rPr>
          <w:bCs/>
          <w:lang w:val="fr-FR"/>
        </w:rPr>
        <w:t>intermédiaire des bureaux provinciaux et de district. Deuxièmement, des ateliers en plein air avaient été organisés avec les parties prenantes concernées, les gardiens et les praticiens de l</w:t>
      </w:r>
      <w:r w:rsidR="00923E72">
        <w:rPr>
          <w:bCs/>
          <w:lang w:val="fr-FR"/>
        </w:rPr>
        <w:t>’</w:t>
      </w:r>
      <w:r w:rsidRPr="007B7538">
        <w:rPr>
          <w:bCs/>
          <w:lang w:val="fr-FR"/>
        </w:rPr>
        <w:t xml:space="preserve">élément, au cours desquels le consentement avait également été recueilli et la préparation de la candidature </w:t>
      </w:r>
      <w:r w:rsidRPr="007B7538">
        <w:rPr>
          <w:bCs/>
          <w:lang w:val="fr-FR"/>
        </w:rPr>
        <w:lastRenderedPageBreak/>
        <w:t>avait été mise en œuvre. Troisièmement, les communautés avaient été impliquées dans les activités d</w:t>
      </w:r>
      <w:r w:rsidR="00923E72">
        <w:rPr>
          <w:bCs/>
          <w:lang w:val="fr-FR"/>
        </w:rPr>
        <w:t>’</w:t>
      </w:r>
      <w:r w:rsidRPr="007B7538">
        <w:rPr>
          <w:bCs/>
          <w:lang w:val="fr-FR"/>
        </w:rPr>
        <w:t xml:space="preserve">inventaire. Quatrièmement, au cours du suivi visant à combler les insuffisances du dossier, les communautés avaient également </w:t>
      </w:r>
      <w:r w:rsidR="00AC1258">
        <w:rPr>
          <w:bCs/>
          <w:lang w:val="fr-FR"/>
        </w:rPr>
        <w:t xml:space="preserve">participé à </w:t>
      </w:r>
      <w:r w:rsidRPr="007B7538">
        <w:rPr>
          <w:bCs/>
          <w:lang w:val="fr-FR"/>
        </w:rPr>
        <w:t>toutes les étapes finales afin de valider la soumission finale.</w:t>
      </w:r>
    </w:p>
    <w:p w14:paraId="23CB81ED" w14:textId="69A5DF3F" w:rsidR="003D2D5E" w:rsidRDefault="00870E32" w:rsidP="00702497">
      <w:pPr>
        <w:pStyle w:val="Orateurengris"/>
        <w:numPr>
          <w:ilvl w:val="0"/>
          <w:numId w:val="20"/>
        </w:numPr>
        <w:tabs>
          <w:tab w:val="clear" w:pos="567"/>
          <w:tab w:val="num" w:pos="709"/>
        </w:tabs>
        <w:spacing w:before="120"/>
        <w:ind w:left="709" w:hanging="709"/>
        <w:rPr>
          <w:bCs/>
          <w:lang w:val="fr-FR"/>
        </w:rPr>
      </w:pPr>
      <w:r w:rsidRPr="00870E32">
        <w:rPr>
          <w:bCs/>
          <w:lang w:val="fr-FR"/>
        </w:rPr>
        <w:t xml:space="preserve">La délégation de la </w:t>
      </w:r>
      <w:r w:rsidRPr="00702497">
        <w:rPr>
          <w:b/>
          <w:lang w:val="fr-FR"/>
        </w:rPr>
        <w:t>Zambie</w:t>
      </w:r>
      <w:r w:rsidRPr="00870E32">
        <w:rPr>
          <w:bCs/>
          <w:lang w:val="fr-FR"/>
        </w:rPr>
        <w:t xml:space="preserve"> a assuré le Comité que les communautés et les groupes étaient pleinement impliqués dans les mesures de sauvegarde proposées et dans leur mise en œuvre. Une série de réunions avait été organisée pour sensibiliser au renforcement des capacités et </w:t>
      </w:r>
      <w:r>
        <w:rPr>
          <w:bCs/>
          <w:lang w:val="fr-FR"/>
        </w:rPr>
        <w:t xml:space="preserve">au recueil </w:t>
      </w:r>
      <w:r w:rsidRPr="00870E32">
        <w:rPr>
          <w:bCs/>
          <w:lang w:val="fr-FR"/>
        </w:rPr>
        <w:t>du consentement. Ces réunions s</w:t>
      </w:r>
      <w:r w:rsidR="00923E72">
        <w:rPr>
          <w:bCs/>
          <w:lang w:val="fr-FR"/>
        </w:rPr>
        <w:t>’</w:t>
      </w:r>
      <w:r w:rsidRPr="00870E32">
        <w:rPr>
          <w:bCs/>
          <w:lang w:val="fr-FR"/>
        </w:rPr>
        <w:t>étaient tenues dans toutes les provinces et tous les districts où se pratique l</w:t>
      </w:r>
      <w:r w:rsidR="00923E72">
        <w:rPr>
          <w:bCs/>
          <w:lang w:val="fr-FR"/>
        </w:rPr>
        <w:t>’</w:t>
      </w:r>
      <w:r w:rsidRPr="00870E32">
        <w:rPr>
          <w:bCs/>
          <w:lang w:val="fr-FR"/>
        </w:rPr>
        <w:t xml:space="preserve">élément. </w:t>
      </w:r>
      <w:r>
        <w:rPr>
          <w:bCs/>
          <w:lang w:val="fr-FR"/>
        </w:rPr>
        <w:t>Tous l</w:t>
      </w:r>
      <w:r w:rsidRPr="00870E32">
        <w:rPr>
          <w:bCs/>
          <w:lang w:val="fr-FR"/>
        </w:rPr>
        <w:t>es groupes de danse, les chefs traditionnels, les parties prenantes et les chefs de communautés, en leur qualité de gardiens de l</w:t>
      </w:r>
      <w:r w:rsidR="00923E72">
        <w:rPr>
          <w:bCs/>
          <w:lang w:val="fr-FR"/>
        </w:rPr>
        <w:t>’</w:t>
      </w:r>
      <w:r w:rsidRPr="00870E32">
        <w:rPr>
          <w:bCs/>
          <w:lang w:val="fr-FR"/>
        </w:rPr>
        <w:t xml:space="preserve">élément, avaient participé à ces réunions. Les </w:t>
      </w:r>
      <w:r w:rsidRPr="00702497">
        <w:rPr>
          <w:bCs/>
          <w:i/>
          <w:iCs/>
          <w:lang w:val="fr-FR"/>
        </w:rPr>
        <w:t>Establishments</w:t>
      </w:r>
      <w:r>
        <w:rPr>
          <w:bCs/>
          <w:lang w:val="fr-FR"/>
        </w:rPr>
        <w:t xml:space="preserve"> </w:t>
      </w:r>
      <w:r w:rsidRPr="00870E32">
        <w:rPr>
          <w:bCs/>
          <w:lang w:val="fr-FR"/>
        </w:rPr>
        <w:t>roya</w:t>
      </w:r>
      <w:r>
        <w:rPr>
          <w:bCs/>
          <w:lang w:val="fr-FR"/>
        </w:rPr>
        <w:t xml:space="preserve">ux </w:t>
      </w:r>
      <w:r w:rsidRPr="00870E32">
        <w:rPr>
          <w:bCs/>
          <w:lang w:val="fr-FR"/>
        </w:rPr>
        <w:t>suivants avaient été consultés</w:t>
      </w:r>
      <w:r w:rsidR="00AC1258">
        <w:rPr>
          <w:bCs/>
          <w:lang w:val="fr-FR"/>
        </w:rPr>
        <w:t> </w:t>
      </w:r>
      <w:r w:rsidRPr="00870E32">
        <w:rPr>
          <w:bCs/>
          <w:lang w:val="fr-FR"/>
        </w:rPr>
        <w:t xml:space="preserve">: les </w:t>
      </w:r>
      <w:r w:rsidRPr="00702497">
        <w:rPr>
          <w:bCs/>
          <w:i/>
          <w:iCs/>
          <w:lang w:val="fr-FR"/>
        </w:rPr>
        <w:t>Establishments</w:t>
      </w:r>
      <w:r w:rsidRPr="00870E32">
        <w:rPr>
          <w:bCs/>
          <w:lang w:val="fr-FR"/>
        </w:rPr>
        <w:t xml:space="preserve"> royaux de </w:t>
      </w:r>
      <w:proofErr w:type="spellStart"/>
      <w:r w:rsidRPr="00870E32">
        <w:rPr>
          <w:bCs/>
          <w:lang w:val="fr-FR"/>
        </w:rPr>
        <w:t>Mibenge</w:t>
      </w:r>
      <w:proofErr w:type="spellEnd"/>
      <w:r w:rsidRPr="00870E32">
        <w:rPr>
          <w:bCs/>
          <w:lang w:val="fr-FR"/>
        </w:rPr>
        <w:t xml:space="preserve">, </w:t>
      </w:r>
      <w:proofErr w:type="spellStart"/>
      <w:r w:rsidRPr="00870E32">
        <w:rPr>
          <w:bCs/>
          <w:lang w:val="fr-FR"/>
        </w:rPr>
        <w:t>Mwewa</w:t>
      </w:r>
      <w:proofErr w:type="spellEnd"/>
      <w:r w:rsidRPr="00870E32">
        <w:rPr>
          <w:bCs/>
          <w:lang w:val="fr-FR"/>
        </w:rPr>
        <w:t xml:space="preserve"> et </w:t>
      </w:r>
      <w:proofErr w:type="spellStart"/>
      <w:r w:rsidRPr="00870E32">
        <w:rPr>
          <w:bCs/>
          <w:lang w:val="fr-FR"/>
        </w:rPr>
        <w:t>Chitembo</w:t>
      </w:r>
      <w:proofErr w:type="spellEnd"/>
      <w:r w:rsidRPr="00870E32">
        <w:rPr>
          <w:bCs/>
          <w:lang w:val="fr-FR"/>
        </w:rPr>
        <w:t xml:space="preserve"> dans la province de Luapula, et l</w:t>
      </w:r>
      <w:r w:rsidR="00923E72">
        <w:rPr>
          <w:bCs/>
          <w:lang w:val="fr-FR"/>
        </w:rPr>
        <w:t>’</w:t>
      </w:r>
      <w:r w:rsidRPr="00702497">
        <w:rPr>
          <w:bCs/>
          <w:i/>
          <w:iCs/>
          <w:lang w:val="fr-FR"/>
        </w:rPr>
        <w:t>Establishment</w:t>
      </w:r>
      <w:r w:rsidRPr="00870E32">
        <w:rPr>
          <w:bCs/>
          <w:lang w:val="fr-FR"/>
        </w:rPr>
        <w:t xml:space="preserve"> royal de </w:t>
      </w:r>
      <w:proofErr w:type="spellStart"/>
      <w:r w:rsidRPr="00870E32">
        <w:rPr>
          <w:bCs/>
          <w:lang w:val="fr-FR"/>
        </w:rPr>
        <w:t>Chungu</w:t>
      </w:r>
      <w:proofErr w:type="spellEnd"/>
      <w:r w:rsidRPr="00870E32">
        <w:rPr>
          <w:bCs/>
          <w:lang w:val="fr-FR"/>
        </w:rPr>
        <w:t xml:space="preserve"> dans l</w:t>
      </w:r>
      <w:r>
        <w:rPr>
          <w:bCs/>
          <w:lang w:val="fr-FR"/>
        </w:rPr>
        <w:t>a</w:t>
      </w:r>
      <w:r w:rsidRPr="00870E32">
        <w:rPr>
          <w:bCs/>
          <w:lang w:val="fr-FR"/>
        </w:rPr>
        <w:t xml:space="preserve"> province du Nord. Ils </w:t>
      </w:r>
      <w:r>
        <w:rPr>
          <w:bCs/>
          <w:lang w:val="fr-FR"/>
        </w:rPr>
        <w:t xml:space="preserve">avaient déclaré </w:t>
      </w:r>
      <w:r w:rsidR="009A44AF">
        <w:rPr>
          <w:bCs/>
          <w:lang w:val="fr-FR"/>
        </w:rPr>
        <w:t xml:space="preserve">avoir </w:t>
      </w:r>
      <w:r w:rsidRPr="00870E32">
        <w:rPr>
          <w:bCs/>
          <w:lang w:val="fr-FR"/>
        </w:rPr>
        <w:t>besoin de plus d</w:t>
      </w:r>
      <w:r w:rsidR="00923E72">
        <w:rPr>
          <w:bCs/>
          <w:lang w:val="fr-FR"/>
        </w:rPr>
        <w:t>’</w:t>
      </w:r>
      <w:r w:rsidR="00AC1258">
        <w:rPr>
          <w:bCs/>
          <w:lang w:val="fr-FR"/>
        </w:rPr>
        <w:t xml:space="preserve">opportunités </w:t>
      </w:r>
      <w:r w:rsidR="009A44AF">
        <w:rPr>
          <w:bCs/>
          <w:lang w:val="fr-FR"/>
        </w:rPr>
        <w:t xml:space="preserve">de </w:t>
      </w:r>
      <w:r w:rsidRPr="00870E32">
        <w:rPr>
          <w:bCs/>
          <w:lang w:val="fr-FR"/>
        </w:rPr>
        <w:t>se produire lors de festivals</w:t>
      </w:r>
      <w:r w:rsidR="009A44AF">
        <w:rPr>
          <w:bCs/>
          <w:lang w:val="fr-FR"/>
        </w:rPr>
        <w:t>,</w:t>
      </w:r>
      <w:r w:rsidRPr="00870E32">
        <w:rPr>
          <w:bCs/>
          <w:lang w:val="fr-FR"/>
        </w:rPr>
        <w:t xml:space="preserve"> tels que le festival </w:t>
      </w:r>
      <w:proofErr w:type="spellStart"/>
      <w:r w:rsidR="009A44AF">
        <w:rPr>
          <w:bCs/>
          <w:lang w:val="fr-FR"/>
        </w:rPr>
        <w:t>k</w:t>
      </w:r>
      <w:r w:rsidRPr="00870E32">
        <w:rPr>
          <w:bCs/>
          <w:lang w:val="fr-FR"/>
        </w:rPr>
        <w:t>alela</w:t>
      </w:r>
      <w:proofErr w:type="spellEnd"/>
      <w:r w:rsidRPr="00870E32">
        <w:rPr>
          <w:bCs/>
          <w:lang w:val="fr-FR"/>
        </w:rPr>
        <w:t xml:space="preserve"> à </w:t>
      </w:r>
      <w:proofErr w:type="spellStart"/>
      <w:r w:rsidRPr="00870E32">
        <w:rPr>
          <w:bCs/>
          <w:lang w:val="fr-FR"/>
        </w:rPr>
        <w:t>Kasandwe</w:t>
      </w:r>
      <w:proofErr w:type="spellEnd"/>
      <w:r w:rsidRPr="00870E32">
        <w:rPr>
          <w:bCs/>
          <w:lang w:val="fr-FR"/>
        </w:rPr>
        <w:t xml:space="preserve">, de </w:t>
      </w:r>
      <w:r w:rsidR="009A44AF">
        <w:rPr>
          <w:bCs/>
          <w:lang w:val="fr-FR"/>
        </w:rPr>
        <w:t xml:space="preserve">manifestations </w:t>
      </w:r>
      <w:r w:rsidRPr="00870E32">
        <w:rPr>
          <w:bCs/>
          <w:lang w:val="fr-FR"/>
        </w:rPr>
        <w:t>publiques et d</w:t>
      </w:r>
      <w:r w:rsidR="00923E72">
        <w:rPr>
          <w:bCs/>
          <w:lang w:val="fr-FR"/>
        </w:rPr>
        <w:t>’</w:t>
      </w:r>
      <w:r w:rsidRPr="00870E32">
        <w:rPr>
          <w:bCs/>
          <w:lang w:val="fr-FR"/>
        </w:rPr>
        <w:t xml:space="preserve">État, </w:t>
      </w:r>
      <w:r w:rsidR="009A44AF">
        <w:rPr>
          <w:bCs/>
          <w:lang w:val="fr-FR"/>
        </w:rPr>
        <w:t>d</w:t>
      </w:r>
      <w:r w:rsidR="00923E72">
        <w:rPr>
          <w:bCs/>
          <w:lang w:val="fr-FR"/>
        </w:rPr>
        <w:t>’</w:t>
      </w:r>
      <w:r w:rsidR="009A44AF">
        <w:rPr>
          <w:bCs/>
          <w:lang w:val="fr-FR"/>
        </w:rPr>
        <w:t>événements de la vie</w:t>
      </w:r>
      <w:r w:rsidRPr="00870E32">
        <w:rPr>
          <w:bCs/>
          <w:lang w:val="fr-FR"/>
        </w:rPr>
        <w:t xml:space="preserve"> sociale et de cérémonies traditionnelles</w:t>
      </w:r>
      <w:r w:rsidR="006836A9">
        <w:rPr>
          <w:bCs/>
          <w:lang w:val="fr-FR"/>
        </w:rPr>
        <w:t>,</w:t>
      </w:r>
      <w:r w:rsidRPr="00870E32">
        <w:rPr>
          <w:bCs/>
          <w:lang w:val="fr-FR"/>
        </w:rPr>
        <w:t xml:space="preserve"> pour pouvoir continuer à jouer et à pratiquer l</w:t>
      </w:r>
      <w:r w:rsidR="00923E72">
        <w:rPr>
          <w:bCs/>
          <w:lang w:val="fr-FR"/>
        </w:rPr>
        <w:t>’</w:t>
      </w:r>
      <w:r w:rsidRPr="00870E32">
        <w:rPr>
          <w:bCs/>
          <w:lang w:val="fr-FR"/>
        </w:rPr>
        <w:t>élément. En règle générale, les chefs traditionnels et communautaires de la danse avaient indiqué que leur principal obstacle à la mise en œuvre des mesures proposées était le manque de moyens financiers et l</w:t>
      </w:r>
      <w:r w:rsidR="00923E72">
        <w:rPr>
          <w:bCs/>
          <w:lang w:val="fr-FR"/>
        </w:rPr>
        <w:t>’</w:t>
      </w:r>
      <w:r w:rsidRPr="00870E32">
        <w:rPr>
          <w:bCs/>
          <w:lang w:val="fr-FR"/>
        </w:rPr>
        <w:t>absence de costumes, d</w:t>
      </w:r>
      <w:r w:rsidR="00923E72">
        <w:rPr>
          <w:bCs/>
          <w:lang w:val="fr-FR"/>
        </w:rPr>
        <w:t>’</w:t>
      </w:r>
      <w:r w:rsidRPr="00870E32">
        <w:rPr>
          <w:bCs/>
          <w:lang w:val="fr-FR"/>
        </w:rPr>
        <w:t>instruments et d</w:t>
      </w:r>
      <w:r w:rsidR="00923E72">
        <w:rPr>
          <w:bCs/>
          <w:lang w:val="fr-FR"/>
        </w:rPr>
        <w:t>’</w:t>
      </w:r>
      <w:r w:rsidRPr="00870E32">
        <w:rPr>
          <w:bCs/>
          <w:lang w:val="fr-FR"/>
        </w:rPr>
        <w:t>outils musicaux pour l</w:t>
      </w:r>
      <w:r w:rsidR="009A44AF">
        <w:rPr>
          <w:bCs/>
          <w:lang w:val="fr-FR"/>
        </w:rPr>
        <w:t>e</w:t>
      </w:r>
      <w:r w:rsidRPr="00870E32">
        <w:rPr>
          <w:bCs/>
          <w:lang w:val="fr-FR"/>
        </w:rPr>
        <w:t xml:space="preserve">s représentations. </w:t>
      </w:r>
      <w:r w:rsidR="009A44AF">
        <w:rPr>
          <w:bCs/>
          <w:lang w:val="fr-FR"/>
        </w:rPr>
        <w:t>S</w:t>
      </w:r>
      <w:r w:rsidR="00923E72">
        <w:rPr>
          <w:bCs/>
          <w:lang w:val="fr-FR"/>
        </w:rPr>
        <w:t>’</w:t>
      </w:r>
      <w:r w:rsidR="009A44AF">
        <w:rPr>
          <w:bCs/>
          <w:lang w:val="fr-FR"/>
        </w:rPr>
        <w:t xml:space="preserve">agissant de </w:t>
      </w:r>
      <w:r w:rsidRPr="00870E32">
        <w:rPr>
          <w:bCs/>
          <w:lang w:val="fr-FR"/>
        </w:rPr>
        <w:t xml:space="preserve">la visibilité, la danse </w:t>
      </w:r>
      <w:proofErr w:type="spellStart"/>
      <w:r w:rsidR="009A44AF">
        <w:rPr>
          <w:bCs/>
          <w:lang w:val="fr-FR"/>
        </w:rPr>
        <w:t>k</w:t>
      </w:r>
      <w:r w:rsidRPr="00870E32">
        <w:rPr>
          <w:bCs/>
          <w:lang w:val="fr-FR"/>
        </w:rPr>
        <w:t>alela</w:t>
      </w:r>
      <w:proofErr w:type="spellEnd"/>
      <w:r w:rsidRPr="00870E32">
        <w:rPr>
          <w:bCs/>
          <w:lang w:val="fr-FR"/>
        </w:rPr>
        <w:t xml:space="preserve"> </w:t>
      </w:r>
      <w:r w:rsidR="009A44AF">
        <w:rPr>
          <w:bCs/>
          <w:lang w:val="fr-FR"/>
        </w:rPr>
        <w:t>était</w:t>
      </w:r>
      <w:r w:rsidRPr="00870E32">
        <w:rPr>
          <w:bCs/>
          <w:lang w:val="fr-FR"/>
        </w:rPr>
        <w:t xml:space="preserve"> pratiquée à l</w:t>
      </w:r>
      <w:r w:rsidR="00923E72">
        <w:rPr>
          <w:bCs/>
          <w:lang w:val="fr-FR"/>
        </w:rPr>
        <w:t>’</w:t>
      </w:r>
      <w:r w:rsidRPr="00870E32">
        <w:rPr>
          <w:bCs/>
          <w:lang w:val="fr-FR"/>
        </w:rPr>
        <w:t>époque coloniale et après l</w:t>
      </w:r>
      <w:r w:rsidR="00923E72">
        <w:rPr>
          <w:bCs/>
          <w:lang w:val="fr-FR"/>
        </w:rPr>
        <w:t>’</w:t>
      </w:r>
      <w:r w:rsidRPr="00870E32">
        <w:rPr>
          <w:bCs/>
          <w:lang w:val="fr-FR"/>
        </w:rPr>
        <w:t xml:space="preserve">indépendance, jusque dans les années 1980, dans la plupart des villes de la province de </w:t>
      </w:r>
      <w:proofErr w:type="spellStart"/>
      <w:r w:rsidRPr="00870E32">
        <w:rPr>
          <w:bCs/>
          <w:lang w:val="fr-FR"/>
        </w:rPr>
        <w:t>Copperbelt</w:t>
      </w:r>
      <w:proofErr w:type="spellEnd"/>
      <w:r w:rsidRPr="00870E32">
        <w:rPr>
          <w:bCs/>
          <w:lang w:val="fr-FR"/>
        </w:rPr>
        <w:t xml:space="preserve">, telles que </w:t>
      </w:r>
      <w:proofErr w:type="spellStart"/>
      <w:r w:rsidRPr="00870E32">
        <w:rPr>
          <w:bCs/>
          <w:lang w:val="fr-FR"/>
        </w:rPr>
        <w:t>Chililabombwe</w:t>
      </w:r>
      <w:proofErr w:type="spellEnd"/>
      <w:r w:rsidRPr="00870E32">
        <w:rPr>
          <w:bCs/>
          <w:lang w:val="fr-FR"/>
        </w:rPr>
        <w:t xml:space="preserve">, </w:t>
      </w:r>
      <w:proofErr w:type="spellStart"/>
      <w:r w:rsidRPr="00870E32">
        <w:rPr>
          <w:bCs/>
          <w:lang w:val="fr-FR"/>
        </w:rPr>
        <w:t>Kalulushi</w:t>
      </w:r>
      <w:proofErr w:type="spellEnd"/>
      <w:r w:rsidRPr="00870E32">
        <w:rPr>
          <w:bCs/>
          <w:lang w:val="fr-FR"/>
        </w:rPr>
        <w:t xml:space="preserve">, Chingola, </w:t>
      </w:r>
      <w:proofErr w:type="spellStart"/>
      <w:r w:rsidRPr="00870E32">
        <w:rPr>
          <w:bCs/>
          <w:lang w:val="fr-FR"/>
        </w:rPr>
        <w:t>Kitwe</w:t>
      </w:r>
      <w:proofErr w:type="spellEnd"/>
      <w:r w:rsidRPr="00870E32">
        <w:rPr>
          <w:bCs/>
          <w:lang w:val="fr-FR"/>
        </w:rPr>
        <w:t>, Mufulira, Luanshya et Ndola. Dans les provinces de Luapula et du Nord, elle n</w:t>
      </w:r>
      <w:r w:rsidR="00923E72">
        <w:rPr>
          <w:bCs/>
          <w:lang w:val="fr-FR"/>
        </w:rPr>
        <w:t>’</w:t>
      </w:r>
      <w:r w:rsidRPr="00870E32">
        <w:rPr>
          <w:bCs/>
          <w:lang w:val="fr-FR"/>
        </w:rPr>
        <w:t>était pratiquée que dans les zones rurales. La danse s</w:t>
      </w:r>
      <w:r w:rsidR="00923E72">
        <w:rPr>
          <w:bCs/>
          <w:lang w:val="fr-FR"/>
        </w:rPr>
        <w:t>’</w:t>
      </w:r>
      <w:r w:rsidRPr="00870E32">
        <w:rPr>
          <w:bCs/>
          <w:lang w:val="fr-FR"/>
        </w:rPr>
        <w:t>était même répandue dans d</w:t>
      </w:r>
      <w:r w:rsidR="00923E72">
        <w:rPr>
          <w:bCs/>
          <w:lang w:val="fr-FR"/>
        </w:rPr>
        <w:t>’</w:t>
      </w:r>
      <w:r w:rsidRPr="00870E32">
        <w:rPr>
          <w:bCs/>
          <w:lang w:val="fr-FR"/>
        </w:rPr>
        <w:t>autres villes telles que Kabwe et Lusaka. La délégation a précisé qu</w:t>
      </w:r>
      <w:r w:rsidR="009A44AF">
        <w:rPr>
          <w:bCs/>
          <w:lang w:val="fr-FR"/>
        </w:rPr>
        <w:t>e, de nos jours</w:t>
      </w:r>
      <w:r w:rsidRPr="00870E32">
        <w:rPr>
          <w:bCs/>
          <w:lang w:val="fr-FR"/>
        </w:rPr>
        <w:t>, la danse n</w:t>
      </w:r>
      <w:r w:rsidR="00923E72">
        <w:rPr>
          <w:bCs/>
          <w:lang w:val="fr-FR"/>
        </w:rPr>
        <w:t>’</w:t>
      </w:r>
      <w:r w:rsidRPr="00870E32">
        <w:rPr>
          <w:bCs/>
          <w:lang w:val="fr-FR"/>
        </w:rPr>
        <w:t xml:space="preserve">est présente que dans cinq districts de la province de </w:t>
      </w:r>
      <w:proofErr w:type="spellStart"/>
      <w:r w:rsidRPr="00870E32">
        <w:rPr>
          <w:bCs/>
          <w:lang w:val="fr-FR"/>
        </w:rPr>
        <w:t>Copperbelt</w:t>
      </w:r>
      <w:proofErr w:type="spellEnd"/>
      <w:r w:rsidRPr="00870E32">
        <w:rPr>
          <w:bCs/>
          <w:lang w:val="fr-FR"/>
        </w:rPr>
        <w:t xml:space="preserve"> et qu</w:t>
      </w:r>
      <w:r w:rsidR="00923E72">
        <w:rPr>
          <w:bCs/>
          <w:lang w:val="fr-FR"/>
        </w:rPr>
        <w:t>’</w:t>
      </w:r>
      <w:r w:rsidRPr="00870E32">
        <w:rPr>
          <w:bCs/>
          <w:lang w:val="fr-FR"/>
        </w:rPr>
        <w:t>il n</w:t>
      </w:r>
      <w:r w:rsidR="00923E72">
        <w:rPr>
          <w:bCs/>
          <w:lang w:val="fr-FR"/>
        </w:rPr>
        <w:t>’</w:t>
      </w:r>
      <w:r w:rsidRPr="00870E32">
        <w:rPr>
          <w:bCs/>
          <w:lang w:val="fr-FR"/>
        </w:rPr>
        <w:t>y a qu</w:t>
      </w:r>
      <w:r w:rsidR="00923E72">
        <w:rPr>
          <w:bCs/>
          <w:lang w:val="fr-FR"/>
        </w:rPr>
        <w:t>’</w:t>
      </w:r>
      <w:r w:rsidRPr="00870E32">
        <w:rPr>
          <w:bCs/>
          <w:lang w:val="fr-FR"/>
        </w:rPr>
        <w:t>un seul groupe de danse par ville, alors qu</w:t>
      </w:r>
      <w:r w:rsidR="00923E72">
        <w:rPr>
          <w:bCs/>
          <w:lang w:val="fr-FR"/>
        </w:rPr>
        <w:t>’</w:t>
      </w:r>
      <w:r w:rsidRPr="00870E32">
        <w:rPr>
          <w:bCs/>
          <w:lang w:val="fr-FR"/>
        </w:rPr>
        <w:t xml:space="preserve">auparavant, chaque mine avait son groupe de danse </w:t>
      </w:r>
      <w:proofErr w:type="spellStart"/>
      <w:r w:rsidR="009A44AF">
        <w:rPr>
          <w:bCs/>
          <w:lang w:val="fr-FR"/>
        </w:rPr>
        <w:t>k</w:t>
      </w:r>
      <w:r w:rsidRPr="00870E32">
        <w:rPr>
          <w:bCs/>
          <w:lang w:val="fr-FR"/>
        </w:rPr>
        <w:t>alela</w:t>
      </w:r>
      <w:proofErr w:type="spellEnd"/>
      <w:r w:rsidRPr="00870E32">
        <w:rPr>
          <w:bCs/>
          <w:lang w:val="fr-FR"/>
        </w:rPr>
        <w:t>. Son inscription rendrait donc la danse plus visible et permettrait de créer d</w:t>
      </w:r>
      <w:r w:rsidR="00923E72">
        <w:rPr>
          <w:bCs/>
          <w:lang w:val="fr-FR"/>
        </w:rPr>
        <w:t>’</w:t>
      </w:r>
      <w:r w:rsidRPr="00870E32">
        <w:rPr>
          <w:bCs/>
          <w:lang w:val="fr-FR"/>
        </w:rPr>
        <w:t>autres groupes, tout en renforçant les anciens. On s</w:t>
      </w:r>
      <w:r w:rsidR="00923E72">
        <w:rPr>
          <w:bCs/>
          <w:lang w:val="fr-FR"/>
        </w:rPr>
        <w:t>’</w:t>
      </w:r>
      <w:r w:rsidRPr="00870E32">
        <w:rPr>
          <w:bCs/>
          <w:lang w:val="fr-FR"/>
        </w:rPr>
        <w:t xml:space="preserve">attendait également à ce que le festival </w:t>
      </w:r>
      <w:proofErr w:type="spellStart"/>
      <w:r w:rsidR="009A44AF">
        <w:rPr>
          <w:bCs/>
          <w:lang w:val="fr-FR"/>
        </w:rPr>
        <w:t>k</w:t>
      </w:r>
      <w:r w:rsidRPr="00870E32">
        <w:rPr>
          <w:bCs/>
          <w:lang w:val="fr-FR"/>
        </w:rPr>
        <w:t>alela</w:t>
      </w:r>
      <w:proofErr w:type="spellEnd"/>
      <w:r w:rsidRPr="00870E32">
        <w:rPr>
          <w:bCs/>
          <w:lang w:val="fr-FR"/>
        </w:rPr>
        <w:t>, créé deux ans plus t</w:t>
      </w:r>
      <w:r w:rsidR="009A44AF">
        <w:rPr>
          <w:bCs/>
          <w:lang w:val="fr-FR"/>
        </w:rPr>
        <w:t>ô</w:t>
      </w:r>
      <w:r w:rsidRPr="00870E32">
        <w:rPr>
          <w:bCs/>
          <w:lang w:val="fr-FR"/>
        </w:rPr>
        <w:t xml:space="preserve">t dans la province de Luapula, dans le district de </w:t>
      </w:r>
      <w:proofErr w:type="spellStart"/>
      <w:r w:rsidRPr="00870E32">
        <w:rPr>
          <w:bCs/>
          <w:lang w:val="fr-FR"/>
        </w:rPr>
        <w:t>Samfya</w:t>
      </w:r>
      <w:proofErr w:type="spellEnd"/>
      <w:r w:rsidRPr="00870E32">
        <w:rPr>
          <w:bCs/>
          <w:lang w:val="fr-FR"/>
        </w:rPr>
        <w:t>, prenne de l</w:t>
      </w:r>
      <w:r w:rsidR="00923E72">
        <w:rPr>
          <w:bCs/>
          <w:lang w:val="fr-FR"/>
        </w:rPr>
        <w:t>’</w:t>
      </w:r>
      <w:r w:rsidRPr="00870E32">
        <w:rPr>
          <w:bCs/>
          <w:lang w:val="fr-FR"/>
        </w:rPr>
        <w:t xml:space="preserve">ampleur et </w:t>
      </w:r>
      <w:r w:rsidR="009A44AF">
        <w:rPr>
          <w:bCs/>
          <w:lang w:val="fr-FR"/>
        </w:rPr>
        <w:t xml:space="preserve">rende </w:t>
      </w:r>
      <w:r w:rsidRPr="00870E32">
        <w:rPr>
          <w:bCs/>
          <w:lang w:val="fr-FR"/>
        </w:rPr>
        <w:t xml:space="preserve">la danse </w:t>
      </w:r>
      <w:proofErr w:type="spellStart"/>
      <w:r w:rsidR="009A44AF">
        <w:rPr>
          <w:bCs/>
          <w:lang w:val="fr-FR"/>
        </w:rPr>
        <w:t>k</w:t>
      </w:r>
      <w:r w:rsidRPr="00870E32">
        <w:rPr>
          <w:bCs/>
          <w:lang w:val="fr-FR"/>
        </w:rPr>
        <w:t>alela</w:t>
      </w:r>
      <w:proofErr w:type="spellEnd"/>
      <w:r w:rsidR="009A44AF">
        <w:rPr>
          <w:bCs/>
          <w:lang w:val="fr-FR"/>
        </w:rPr>
        <w:t xml:space="preserve"> plus visible</w:t>
      </w:r>
      <w:r w:rsidRPr="00870E32">
        <w:rPr>
          <w:bCs/>
          <w:lang w:val="fr-FR"/>
        </w:rPr>
        <w:t>. Au niveau national, l</w:t>
      </w:r>
      <w:r w:rsidR="00923E72">
        <w:rPr>
          <w:bCs/>
          <w:lang w:val="fr-FR"/>
        </w:rPr>
        <w:t>’</w:t>
      </w:r>
      <w:r w:rsidRPr="00870E32">
        <w:rPr>
          <w:bCs/>
          <w:lang w:val="fr-FR"/>
        </w:rPr>
        <w:t xml:space="preserve">inscription de la danse </w:t>
      </w:r>
      <w:proofErr w:type="spellStart"/>
      <w:r w:rsidR="009A44AF">
        <w:rPr>
          <w:bCs/>
          <w:lang w:val="fr-FR"/>
        </w:rPr>
        <w:t>k</w:t>
      </w:r>
      <w:r w:rsidRPr="00870E32">
        <w:rPr>
          <w:bCs/>
          <w:lang w:val="fr-FR"/>
        </w:rPr>
        <w:t>alela</w:t>
      </w:r>
      <w:proofErr w:type="spellEnd"/>
      <w:r w:rsidRPr="00870E32">
        <w:rPr>
          <w:bCs/>
          <w:lang w:val="fr-FR"/>
        </w:rPr>
        <w:t xml:space="preserve"> la rendrait visible dans d</w:t>
      </w:r>
      <w:r w:rsidR="00923E72">
        <w:rPr>
          <w:bCs/>
          <w:lang w:val="fr-FR"/>
        </w:rPr>
        <w:t>’</w:t>
      </w:r>
      <w:r w:rsidRPr="00870E32">
        <w:rPr>
          <w:bCs/>
          <w:lang w:val="fr-FR"/>
        </w:rPr>
        <w:t xml:space="preserve">autres parties du pays. </w:t>
      </w:r>
      <w:r w:rsidR="009A44AF">
        <w:rPr>
          <w:bCs/>
          <w:lang w:val="fr-FR"/>
        </w:rPr>
        <w:t>L</w:t>
      </w:r>
      <w:r w:rsidR="00923E72">
        <w:rPr>
          <w:bCs/>
          <w:lang w:val="fr-FR"/>
        </w:rPr>
        <w:t>’</w:t>
      </w:r>
      <w:r w:rsidRPr="00870E32">
        <w:rPr>
          <w:bCs/>
          <w:lang w:val="fr-FR"/>
        </w:rPr>
        <w:t xml:space="preserve">inscription </w:t>
      </w:r>
      <w:r w:rsidR="009A44AF">
        <w:rPr>
          <w:bCs/>
          <w:lang w:val="fr-FR"/>
        </w:rPr>
        <w:t xml:space="preserve">devrait </w:t>
      </w:r>
      <w:r w:rsidRPr="00870E32">
        <w:rPr>
          <w:bCs/>
          <w:lang w:val="fr-FR"/>
        </w:rPr>
        <w:t xml:space="preserve">rende la danse plus visible dans tout le pays, même parmi les danseurs qui ne pratiquent pas la danse </w:t>
      </w:r>
      <w:proofErr w:type="spellStart"/>
      <w:r w:rsidR="009A44AF">
        <w:rPr>
          <w:bCs/>
          <w:lang w:val="fr-FR"/>
        </w:rPr>
        <w:t>k</w:t>
      </w:r>
      <w:r w:rsidRPr="00870E32">
        <w:rPr>
          <w:bCs/>
          <w:lang w:val="fr-FR"/>
        </w:rPr>
        <w:t>alela</w:t>
      </w:r>
      <w:proofErr w:type="spellEnd"/>
      <w:r w:rsidRPr="00870E32">
        <w:rPr>
          <w:bCs/>
          <w:lang w:val="fr-FR"/>
        </w:rPr>
        <w:t>. L</w:t>
      </w:r>
      <w:r w:rsidR="00923E72">
        <w:rPr>
          <w:bCs/>
          <w:lang w:val="fr-FR"/>
        </w:rPr>
        <w:t>’</w:t>
      </w:r>
      <w:r w:rsidRPr="00870E32">
        <w:rPr>
          <w:bCs/>
          <w:lang w:val="fr-FR"/>
        </w:rPr>
        <w:t xml:space="preserve">inscription </w:t>
      </w:r>
      <w:r w:rsidR="00AC1258">
        <w:rPr>
          <w:bCs/>
          <w:lang w:val="fr-FR"/>
        </w:rPr>
        <w:t xml:space="preserve">inciterait </w:t>
      </w:r>
      <w:r w:rsidRPr="00870E32">
        <w:rPr>
          <w:bCs/>
          <w:lang w:val="fr-FR"/>
        </w:rPr>
        <w:t>également d</w:t>
      </w:r>
      <w:r w:rsidR="00923E72">
        <w:rPr>
          <w:bCs/>
          <w:lang w:val="fr-FR"/>
        </w:rPr>
        <w:t>’</w:t>
      </w:r>
      <w:r w:rsidRPr="00870E32">
        <w:rPr>
          <w:bCs/>
          <w:lang w:val="fr-FR"/>
        </w:rPr>
        <w:t xml:space="preserve">autres groupes </w:t>
      </w:r>
      <w:r w:rsidR="00AC1258">
        <w:rPr>
          <w:bCs/>
          <w:lang w:val="fr-FR"/>
        </w:rPr>
        <w:t>s</w:t>
      </w:r>
      <w:r w:rsidR="00923E72">
        <w:rPr>
          <w:bCs/>
          <w:lang w:val="fr-FR"/>
        </w:rPr>
        <w:t>’</w:t>
      </w:r>
      <w:r w:rsidR="00AC1258">
        <w:rPr>
          <w:bCs/>
          <w:lang w:val="fr-FR"/>
        </w:rPr>
        <w:t>exprimant dans les</w:t>
      </w:r>
      <w:r w:rsidRPr="00870E32">
        <w:rPr>
          <w:bCs/>
          <w:lang w:val="fr-FR"/>
        </w:rPr>
        <w:t xml:space="preserve"> langue</w:t>
      </w:r>
      <w:r w:rsidR="00AC1258">
        <w:rPr>
          <w:bCs/>
          <w:lang w:val="fr-FR"/>
        </w:rPr>
        <w:t>s</w:t>
      </w:r>
      <w:r w:rsidRPr="00870E32">
        <w:rPr>
          <w:bCs/>
          <w:lang w:val="fr-FR"/>
        </w:rPr>
        <w:t xml:space="preserve"> </w:t>
      </w:r>
      <w:proofErr w:type="spellStart"/>
      <w:r w:rsidRPr="00870E32">
        <w:rPr>
          <w:bCs/>
          <w:lang w:val="fr-FR"/>
        </w:rPr>
        <w:t>Ushi</w:t>
      </w:r>
      <w:proofErr w:type="spellEnd"/>
      <w:r w:rsidRPr="00870E32">
        <w:rPr>
          <w:bCs/>
          <w:lang w:val="fr-FR"/>
        </w:rPr>
        <w:t xml:space="preserve">, Bisa, </w:t>
      </w:r>
      <w:proofErr w:type="spellStart"/>
      <w:r w:rsidRPr="00870E32">
        <w:rPr>
          <w:bCs/>
          <w:lang w:val="fr-FR"/>
        </w:rPr>
        <w:t>Ngumbo</w:t>
      </w:r>
      <w:proofErr w:type="spellEnd"/>
      <w:r w:rsidRPr="00870E32">
        <w:rPr>
          <w:bCs/>
          <w:lang w:val="fr-FR"/>
        </w:rPr>
        <w:t xml:space="preserve"> et Bemba dans d</w:t>
      </w:r>
      <w:r w:rsidR="00923E72">
        <w:rPr>
          <w:bCs/>
          <w:lang w:val="fr-FR"/>
        </w:rPr>
        <w:t>’</w:t>
      </w:r>
      <w:r w:rsidRPr="00870E32">
        <w:rPr>
          <w:bCs/>
          <w:lang w:val="fr-FR"/>
        </w:rPr>
        <w:t>autres parties du pays à créer de nouveaux groupes de danse et à renforcer l</w:t>
      </w:r>
      <w:r w:rsidR="00923E72">
        <w:rPr>
          <w:bCs/>
          <w:lang w:val="fr-FR"/>
        </w:rPr>
        <w:t>’</w:t>
      </w:r>
      <w:r w:rsidRPr="00870E32">
        <w:rPr>
          <w:bCs/>
          <w:lang w:val="fr-FR"/>
        </w:rPr>
        <w:t>existence de la danse dans d</w:t>
      </w:r>
      <w:r w:rsidR="00923E72">
        <w:rPr>
          <w:bCs/>
          <w:lang w:val="fr-FR"/>
        </w:rPr>
        <w:t>’</w:t>
      </w:r>
      <w:r w:rsidRPr="00870E32">
        <w:rPr>
          <w:bCs/>
          <w:lang w:val="fr-FR"/>
        </w:rPr>
        <w:t xml:space="preserve">autres parties du pays. La participation de la danse </w:t>
      </w:r>
      <w:proofErr w:type="spellStart"/>
      <w:r w:rsidR="009A44AF">
        <w:rPr>
          <w:bCs/>
          <w:lang w:val="fr-FR"/>
        </w:rPr>
        <w:t>k</w:t>
      </w:r>
      <w:r w:rsidRPr="00870E32">
        <w:rPr>
          <w:bCs/>
          <w:lang w:val="fr-FR"/>
        </w:rPr>
        <w:t>alela</w:t>
      </w:r>
      <w:proofErr w:type="spellEnd"/>
      <w:r w:rsidRPr="00870E32">
        <w:rPr>
          <w:bCs/>
          <w:lang w:val="fr-FR"/>
        </w:rPr>
        <w:t xml:space="preserve"> à d</w:t>
      </w:r>
      <w:r w:rsidR="00923E72">
        <w:rPr>
          <w:bCs/>
          <w:lang w:val="fr-FR"/>
        </w:rPr>
        <w:t>’</w:t>
      </w:r>
      <w:r w:rsidRPr="00870E32">
        <w:rPr>
          <w:bCs/>
          <w:lang w:val="fr-FR"/>
        </w:rPr>
        <w:t xml:space="preserve">autres festivals nationaux, tels que le festival </w:t>
      </w:r>
      <w:proofErr w:type="spellStart"/>
      <w:r w:rsidRPr="00870E32">
        <w:rPr>
          <w:bCs/>
          <w:lang w:val="fr-FR"/>
        </w:rPr>
        <w:t>Pamodzi</w:t>
      </w:r>
      <w:proofErr w:type="spellEnd"/>
      <w:r w:rsidRPr="00870E32">
        <w:rPr>
          <w:bCs/>
          <w:lang w:val="fr-FR"/>
        </w:rPr>
        <w:t xml:space="preserve"> à Lusaka, dans la province de Lusaka, et le festival culturel et artistique de Livingstone (LICAF), dans la province du Sud, renforcerait également sa visibilité.</w:t>
      </w:r>
    </w:p>
    <w:p w14:paraId="53309659" w14:textId="29B8F937" w:rsidR="00F85759" w:rsidRDefault="00F85759" w:rsidP="00702497">
      <w:pPr>
        <w:pStyle w:val="Orateurengris"/>
        <w:numPr>
          <w:ilvl w:val="0"/>
          <w:numId w:val="20"/>
        </w:numPr>
        <w:tabs>
          <w:tab w:val="clear" w:pos="567"/>
          <w:tab w:val="num" w:pos="709"/>
        </w:tabs>
        <w:spacing w:before="120"/>
        <w:ind w:left="709" w:hanging="709"/>
        <w:rPr>
          <w:bCs/>
          <w:lang w:val="fr-FR"/>
        </w:rPr>
      </w:pPr>
      <w:r w:rsidRPr="00F85759">
        <w:rPr>
          <w:bCs/>
          <w:lang w:val="fr-FR"/>
        </w:rPr>
        <w:t xml:space="preserve">La délégation de la </w:t>
      </w:r>
      <w:r w:rsidRPr="00702497">
        <w:rPr>
          <w:b/>
          <w:lang w:val="fr-FR"/>
        </w:rPr>
        <w:t>Zambie</w:t>
      </w:r>
      <w:r w:rsidRPr="00F85759">
        <w:rPr>
          <w:bCs/>
          <w:lang w:val="fr-FR"/>
        </w:rPr>
        <w:t xml:space="preserve"> a en outre expliqué qu</w:t>
      </w:r>
      <w:r w:rsidR="00923E72">
        <w:rPr>
          <w:bCs/>
          <w:lang w:val="fr-FR"/>
        </w:rPr>
        <w:t>’</w:t>
      </w:r>
      <w:r w:rsidRPr="00F85759">
        <w:rPr>
          <w:bCs/>
          <w:lang w:val="fr-FR"/>
        </w:rPr>
        <w:t>au niveau national, on s</w:t>
      </w:r>
      <w:r w:rsidR="00923E72">
        <w:rPr>
          <w:bCs/>
          <w:lang w:val="fr-FR"/>
        </w:rPr>
        <w:t>’</w:t>
      </w:r>
      <w:r w:rsidRPr="00F85759">
        <w:rPr>
          <w:bCs/>
          <w:lang w:val="fr-FR"/>
        </w:rPr>
        <w:t xml:space="preserve">attendait à ce que la participation de la danse </w:t>
      </w:r>
      <w:proofErr w:type="spellStart"/>
      <w:r w:rsidRPr="00F85759">
        <w:rPr>
          <w:bCs/>
          <w:lang w:val="fr-FR"/>
        </w:rPr>
        <w:t>kalela</w:t>
      </w:r>
      <w:proofErr w:type="spellEnd"/>
      <w:r w:rsidRPr="00F85759">
        <w:rPr>
          <w:bCs/>
          <w:lang w:val="fr-FR"/>
        </w:rPr>
        <w:t xml:space="preserve"> à des manifestations publiques et gouvernementales </w:t>
      </w:r>
      <w:r>
        <w:rPr>
          <w:bCs/>
          <w:lang w:val="fr-FR"/>
        </w:rPr>
        <w:t xml:space="preserve">augmente </w:t>
      </w:r>
      <w:r w:rsidRPr="00F85759">
        <w:rPr>
          <w:bCs/>
          <w:lang w:val="fr-FR"/>
        </w:rPr>
        <w:t>sa visibilité au niveau national. L</w:t>
      </w:r>
      <w:r w:rsidR="00923E72">
        <w:rPr>
          <w:bCs/>
          <w:lang w:val="fr-FR"/>
        </w:rPr>
        <w:t>’</w:t>
      </w:r>
      <w:r w:rsidRPr="00F85759">
        <w:rPr>
          <w:bCs/>
          <w:lang w:val="fr-FR"/>
        </w:rPr>
        <w:t xml:space="preserve">inscription de la danse </w:t>
      </w:r>
      <w:proofErr w:type="spellStart"/>
      <w:r w:rsidR="00417A98">
        <w:rPr>
          <w:bCs/>
          <w:lang w:val="fr-FR"/>
        </w:rPr>
        <w:t>k</w:t>
      </w:r>
      <w:r w:rsidRPr="00F85759">
        <w:rPr>
          <w:bCs/>
          <w:lang w:val="fr-FR"/>
        </w:rPr>
        <w:t>alela</w:t>
      </w:r>
      <w:proofErr w:type="spellEnd"/>
      <w:r w:rsidRPr="00F85759">
        <w:rPr>
          <w:bCs/>
          <w:lang w:val="fr-FR"/>
        </w:rPr>
        <w:t xml:space="preserve"> renforcerait également sa visibilité au niveau international, car il y aurait davantage de représentations lors des festivals locaux et nationaux, des cérémonies traditionnelles, des manifestations publiques et de l</w:t>
      </w:r>
      <w:r w:rsidR="00923E72">
        <w:rPr>
          <w:bCs/>
          <w:lang w:val="fr-FR"/>
        </w:rPr>
        <w:t>’</w:t>
      </w:r>
      <w:r w:rsidRPr="00F85759">
        <w:rPr>
          <w:bCs/>
          <w:lang w:val="fr-FR"/>
        </w:rPr>
        <w:t>État. L</w:t>
      </w:r>
      <w:r w:rsidR="00923E72">
        <w:rPr>
          <w:bCs/>
          <w:lang w:val="fr-FR"/>
        </w:rPr>
        <w:t>’</w:t>
      </w:r>
      <w:r w:rsidRPr="00F85759">
        <w:rPr>
          <w:bCs/>
          <w:lang w:val="fr-FR"/>
        </w:rPr>
        <w:t>inscription devrait également permettre de documenter davantage cet élément et de développer la recherche à son sujet à l</w:t>
      </w:r>
      <w:r w:rsidR="00923E72">
        <w:rPr>
          <w:bCs/>
          <w:lang w:val="fr-FR"/>
        </w:rPr>
        <w:t>’</w:t>
      </w:r>
      <w:r w:rsidRPr="00F85759">
        <w:rPr>
          <w:bCs/>
          <w:lang w:val="fr-FR"/>
        </w:rPr>
        <w:t>échelle internationale. L</w:t>
      </w:r>
      <w:r w:rsidR="00923E72">
        <w:rPr>
          <w:bCs/>
          <w:lang w:val="fr-FR"/>
        </w:rPr>
        <w:t>’</w:t>
      </w:r>
      <w:r w:rsidRPr="00F85759">
        <w:rPr>
          <w:bCs/>
          <w:lang w:val="fr-FR"/>
        </w:rPr>
        <w:t xml:space="preserve">inscription de la danse </w:t>
      </w:r>
      <w:proofErr w:type="spellStart"/>
      <w:r>
        <w:rPr>
          <w:bCs/>
          <w:lang w:val="fr-FR"/>
        </w:rPr>
        <w:t>k</w:t>
      </w:r>
      <w:r w:rsidRPr="00F85759">
        <w:rPr>
          <w:bCs/>
          <w:lang w:val="fr-FR"/>
        </w:rPr>
        <w:t>alela</w:t>
      </w:r>
      <w:proofErr w:type="spellEnd"/>
      <w:r w:rsidRPr="00F85759">
        <w:rPr>
          <w:bCs/>
          <w:lang w:val="fr-FR"/>
        </w:rPr>
        <w:t xml:space="preserve"> </w:t>
      </w:r>
      <w:r>
        <w:rPr>
          <w:bCs/>
          <w:lang w:val="fr-FR"/>
        </w:rPr>
        <w:t>permettrait à l</w:t>
      </w:r>
      <w:r w:rsidR="00923E72">
        <w:rPr>
          <w:bCs/>
          <w:lang w:val="fr-FR"/>
        </w:rPr>
        <w:t>’</w:t>
      </w:r>
      <w:r>
        <w:rPr>
          <w:bCs/>
          <w:lang w:val="fr-FR"/>
        </w:rPr>
        <w:t xml:space="preserve">élément de figurer </w:t>
      </w:r>
      <w:r w:rsidRPr="00F85759">
        <w:rPr>
          <w:bCs/>
          <w:lang w:val="fr-FR"/>
        </w:rPr>
        <w:t>sur une liste internationale de l</w:t>
      </w:r>
      <w:r w:rsidR="00923E72">
        <w:rPr>
          <w:bCs/>
          <w:lang w:val="fr-FR"/>
        </w:rPr>
        <w:t>’</w:t>
      </w:r>
      <w:r w:rsidRPr="00F85759">
        <w:rPr>
          <w:bCs/>
          <w:lang w:val="fr-FR"/>
        </w:rPr>
        <w:t xml:space="preserve">UNESCO et </w:t>
      </w:r>
      <w:r>
        <w:rPr>
          <w:bCs/>
          <w:lang w:val="fr-FR"/>
        </w:rPr>
        <w:t>d</w:t>
      </w:r>
      <w:r w:rsidR="00923E72">
        <w:rPr>
          <w:bCs/>
          <w:lang w:val="fr-FR"/>
        </w:rPr>
        <w:t>’</w:t>
      </w:r>
      <w:r>
        <w:rPr>
          <w:bCs/>
          <w:lang w:val="fr-FR"/>
        </w:rPr>
        <w:t xml:space="preserve">être visible </w:t>
      </w:r>
      <w:r w:rsidRPr="00F85759">
        <w:rPr>
          <w:bCs/>
          <w:lang w:val="fr-FR"/>
        </w:rPr>
        <w:t xml:space="preserve">sur un site web, ce qui ouvrirait une perspective </w:t>
      </w:r>
      <w:r>
        <w:rPr>
          <w:bCs/>
          <w:lang w:val="fr-FR"/>
        </w:rPr>
        <w:t>pour la</w:t>
      </w:r>
      <w:r w:rsidRPr="00F85759">
        <w:rPr>
          <w:bCs/>
          <w:lang w:val="fr-FR"/>
        </w:rPr>
        <w:t xml:space="preserve"> recherche, non seulement sur la danse </w:t>
      </w:r>
      <w:proofErr w:type="spellStart"/>
      <w:r>
        <w:rPr>
          <w:bCs/>
          <w:lang w:val="fr-FR"/>
        </w:rPr>
        <w:t>k</w:t>
      </w:r>
      <w:r w:rsidRPr="00F85759">
        <w:rPr>
          <w:bCs/>
          <w:lang w:val="fr-FR"/>
        </w:rPr>
        <w:t>alela</w:t>
      </w:r>
      <w:proofErr w:type="spellEnd"/>
      <w:r w:rsidRPr="00F85759">
        <w:rPr>
          <w:bCs/>
          <w:lang w:val="fr-FR"/>
        </w:rPr>
        <w:t>, mais également sur d</w:t>
      </w:r>
      <w:r w:rsidR="00923E72">
        <w:rPr>
          <w:bCs/>
          <w:lang w:val="fr-FR"/>
        </w:rPr>
        <w:t>’</w:t>
      </w:r>
      <w:r w:rsidRPr="00F85759">
        <w:rPr>
          <w:bCs/>
          <w:lang w:val="fr-FR"/>
        </w:rPr>
        <w:t>autres éléments apparentés du patrimoine immatériel. En outre, les informations générées par la recherche, la télévision et la radio au niveau international permettraient d</w:t>
      </w:r>
      <w:r w:rsidR="00923E72">
        <w:rPr>
          <w:bCs/>
          <w:lang w:val="fr-FR"/>
        </w:rPr>
        <w:t>’</w:t>
      </w:r>
      <w:r w:rsidRPr="00F85759">
        <w:rPr>
          <w:bCs/>
          <w:lang w:val="fr-FR"/>
        </w:rPr>
        <w:t>accroître la visibilité d</w:t>
      </w:r>
      <w:r w:rsidR="00417A98">
        <w:rPr>
          <w:bCs/>
          <w:lang w:val="fr-FR"/>
        </w:rPr>
        <w:t>e la danse</w:t>
      </w:r>
      <w:r w:rsidRPr="00F85759">
        <w:rPr>
          <w:bCs/>
          <w:lang w:val="fr-FR"/>
        </w:rPr>
        <w:t xml:space="preserve"> </w:t>
      </w:r>
      <w:proofErr w:type="spellStart"/>
      <w:r w:rsidR="00417A98">
        <w:rPr>
          <w:bCs/>
          <w:lang w:val="fr-FR"/>
        </w:rPr>
        <w:t>k</w:t>
      </w:r>
      <w:r w:rsidRPr="00F85759">
        <w:rPr>
          <w:bCs/>
          <w:lang w:val="fr-FR"/>
        </w:rPr>
        <w:t>alela</w:t>
      </w:r>
      <w:proofErr w:type="spellEnd"/>
      <w:r w:rsidRPr="00F85759">
        <w:rPr>
          <w:bCs/>
          <w:lang w:val="fr-FR"/>
        </w:rPr>
        <w:t xml:space="preserve"> à l</w:t>
      </w:r>
      <w:r w:rsidR="00923E72">
        <w:rPr>
          <w:bCs/>
          <w:lang w:val="fr-FR"/>
        </w:rPr>
        <w:t>’</w:t>
      </w:r>
      <w:r w:rsidRPr="00F85759">
        <w:rPr>
          <w:bCs/>
          <w:lang w:val="fr-FR"/>
        </w:rPr>
        <w:t>échelle internationale. On s</w:t>
      </w:r>
      <w:r w:rsidR="00923E72">
        <w:rPr>
          <w:bCs/>
          <w:lang w:val="fr-FR"/>
        </w:rPr>
        <w:t>’</w:t>
      </w:r>
      <w:r w:rsidRPr="00F85759">
        <w:rPr>
          <w:bCs/>
          <w:lang w:val="fr-FR"/>
        </w:rPr>
        <w:t>attendait également à ce que l</w:t>
      </w:r>
      <w:r w:rsidR="00923E72">
        <w:rPr>
          <w:bCs/>
          <w:lang w:val="fr-FR"/>
        </w:rPr>
        <w:t>’</w:t>
      </w:r>
      <w:r w:rsidRPr="00F85759">
        <w:rPr>
          <w:bCs/>
          <w:lang w:val="fr-FR"/>
        </w:rPr>
        <w:t>inscription entraîne davantage d</w:t>
      </w:r>
      <w:r w:rsidR="00923E72">
        <w:rPr>
          <w:bCs/>
          <w:lang w:val="fr-FR"/>
        </w:rPr>
        <w:t>’</w:t>
      </w:r>
      <w:r w:rsidRPr="00F85759">
        <w:rPr>
          <w:bCs/>
          <w:lang w:val="fr-FR"/>
        </w:rPr>
        <w:t>expositions sur l</w:t>
      </w:r>
      <w:r w:rsidR="00417A98">
        <w:rPr>
          <w:bCs/>
          <w:lang w:val="fr-FR"/>
        </w:rPr>
        <w:t xml:space="preserve">a danse </w:t>
      </w:r>
      <w:proofErr w:type="spellStart"/>
      <w:r w:rsidR="00417A98">
        <w:rPr>
          <w:bCs/>
          <w:lang w:val="fr-FR"/>
        </w:rPr>
        <w:t>k</w:t>
      </w:r>
      <w:r w:rsidRPr="00F85759">
        <w:rPr>
          <w:bCs/>
          <w:lang w:val="fr-FR"/>
        </w:rPr>
        <w:t>alela</w:t>
      </w:r>
      <w:proofErr w:type="spellEnd"/>
      <w:r w:rsidRPr="00F85759">
        <w:rPr>
          <w:bCs/>
          <w:lang w:val="fr-FR"/>
        </w:rPr>
        <w:t xml:space="preserve"> dans les musées internationaux et locaux et dans d</w:t>
      </w:r>
      <w:r w:rsidR="00923E72">
        <w:rPr>
          <w:bCs/>
          <w:lang w:val="fr-FR"/>
        </w:rPr>
        <w:t>’</w:t>
      </w:r>
      <w:r w:rsidRPr="00F85759">
        <w:rPr>
          <w:bCs/>
          <w:lang w:val="fr-FR"/>
        </w:rPr>
        <w:t xml:space="preserve">autres forums apparentés </w:t>
      </w:r>
      <w:r w:rsidR="00AC7201">
        <w:rPr>
          <w:bCs/>
          <w:lang w:val="fr-FR"/>
        </w:rPr>
        <w:t xml:space="preserve">ayant </w:t>
      </w:r>
      <w:r w:rsidRPr="00F85759">
        <w:rPr>
          <w:bCs/>
          <w:lang w:val="fr-FR"/>
        </w:rPr>
        <w:t>un large public, ce qui contribuerait à promouvoir la publication d</w:t>
      </w:r>
      <w:r w:rsidR="00923E72">
        <w:rPr>
          <w:bCs/>
          <w:lang w:val="fr-FR"/>
        </w:rPr>
        <w:t>’</w:t>
      </w:r>
      <w:r w:rsidRPr="00F85759">
        <w:rPr>
          <w:bCs/>
          <w:lang w:val="fr-FR"/>
        </w:rPr>
        <w:t>articles sur l</w:t>
      </w:r>
      <w:r w:rsidR="00417A98">
        <w:rPr>
          <w:bCs/>
          <w:lang w:val="fr-FR"/>
        </w:rPr>
        <w:t>a danse</w:t>
      </w:r>
      <w:r w:rsidRPr="00F85759">
        <w:rPr>
          <w:bCs/>
          <w:lang w:val="fr-FR"/>
        </w:rPr>
        <w:t xml:space="preserve"> </w:t>
      </w:r>
      <w:proofErr w:type="spellStart"/>
      <w:r w:rsidR="00417A98">
        <w:rPr>
          <w:bCs/>
          <w:lang w:val="fr-FR"/>
        </w:rPr>
        <w:t>k</w:t>
      </w:r>
      <w:r w:rsidRPr="00F85759">
        <w:rPr>
          <w:bCs/>
          <w:lang w:val="fr-FR"/>
        </w:rPr>
        <w:t>alela</w:t>
      </w:r>
      <w:proofErr w:type="spellEnd"/>
      <w:r w:rsidRPr="00F85759">
        <w:rPr>
          <w:bCs/>
          <w:lang w:val="fr-FR"/>
        </w:rPr>
        <w:t>. Enfin, l</w:t>
      </w:r>
      <w:r w:rsidR="00923E72">
        <w:rPr>
          <w:bCs/>
          <w:lang w:val="fr-FR"/>
        </w:rPr>
        <w:t>’</w:t>
      </w:r>
      <w:r w:rsidRPr="00F85759">
        <w:rPr>
          <w:bCs/>
          <w:lang w:val="fr-FR"/>
        </w:rPr>
        <w:t xml:space="preserve">État était prêt à soutenir toutes les mesures et activités </w:t>
      </w:r>
      <w:r w:rsidRPr="00F85759">
        <w:rPr>
          <w:bCs/>
          <w:lang w:val="fr-FR"/>
        </w:rPr>
        <w:lastRenderedPageBreak/>
        <w:t>proposées et prévoyait également de poursuivre la création de comités de district pour le patrimoine immatériel afin de garantir la participation continue des communautés à la planification et à la mise en œuvre des programmes du patrimoine culturel immatériel. Actuellement, les comités étaient créés au niveau provincial, mais il serait urgent d</w:t>
      </w:r>
      <w:r w:rsidR="00923E72">
        <w:rPr>
          <w:bCs/>
          <w:lang w:val="fr-FR"/>
        </w:rPr>
        <w:t>’</w:t>
      </w:r>
      <w:r w:rsidR="00417A98">
        <w:rPr>
          <w:bCs/>
          <w:lang w:val="fr-FR"/>
        </w:rPr>
        <w:t xml:space="preserve">en </w:t>
      </w:r>
      <w:r w:rsidRPr="00F85759">
        <w:rPr>
          <w:bCs/>
          <w:lang w:val="fr-FR"/>
        </w:rPr>
        <w:t xml:space="preserve">créer également au niveau des districts. Par ailleurs, la Zambie avait </w:t>
      </w:r>
      <w:r w:rsidR="00417A98">
        <w:rPr>
          <w:bCs/>
          <w:lang w:val="fr-FR"/>
        </w:rPr>
        <w:t xml:space="preserve">mis en place </w:t>
      </w:r>
      <w:r w:rsidRPr="00F85759">
        <w:rPr>
          <w:bCs/>
          <w:lang w:val="fr-FR"/>
        </w:rPr>
        <w:t>un mécanisme destiné à soutenir techniquement et financièrement les initiatives communautaires en matière d</w:t>
      </w:r>
      <w:r w:rsidR="00923E72">
        <w:rPr>
          <w:bCs/>
          <w:lang w:val="fr-FR"/>
        </w:rPr>
        <w:t>’</w:t>
      </w:r>
      <w:r w:rsidRPr="00F85759">
        <w:rPr>
          <w:bCs/>
          <w:lang w:val="fr-FR"/>
        </w:rPr>
        <w:t>organisation de festivals et d</w:t>
      </w:r>
      <w:r w:rsidR="00923E72">
        <w:rPr>
          <w:bCs/>
          <w:lang w:val="fr-FR"/>
        </w:rPr>
        <w:t>’</w:t>
      </w:r>
      <w:r w:rsidRPr="00F85759">
        <w:rPr>
          <w:bCs/>
          <w:lang w:val="fr-FR"/>
        </w:rPr>
        <w:t>expositions. L</w:t>
      </w:r>
      <w:r w:rsidR="00923E72">
        <w:rPr>
          <w:bCs/>
          <w:lang w:val="fr-FR"/>
        </w:rPr>
        <w:t>’</w:t>
      </w:r>
      <w:r w:rsidRPr="00F85759">
        <w:rPr>
          <w:bCs/>
          <w:lang w:val="fr-FR"/>
        </w:rPr>
        <w:t>État continuerait à soutenir l</w:t>
      </w:r>
      <w:r w:rsidR="00923E72">
        <w:rPr>
          <w:bCs/>
          <w:lang w:val="fr-FR"/>
        </w:rPr>
        <w:t>’</w:t>
      </w:r>
      <w:r w:rsidRPr="00F85759">
        <w:rPr>
          <w:bCs/>
          <w:lang w:val="fr-FR"/>
        </w:rPr>
        <w:t xml:space="preserve">organisation du festival de danse </w:t>
      </w:r>
      <w:proofErr w:type="spellStart"/>
      <w:r w:rsidR="00417A98">
        <w:rPr>
          <w:bCs/>
          <w:lang w:val="fr-FR"/>
        </w:rPr>
        <w:t>k</w:t>
      </w:r>
      <w:r w:rsidRPr="00F85759">
        <w:rPr>
          <w:bCs/>
          <w:lang w:val="fr-FR"/>
        </w:rPr>
        <w:t>alela</w:t>
      </w:r>
      <w:proofErr w:type="spellEnd"/>
      <w:r w:rsidRPr="00F85759">
        <w:rPr>
          <w:bCs/>
          <w:lang w:val="fr-FR"/>
        </w:rPr>
        <w:t xml:space="preserve"> et du festival des arts </w:t>
      </w:r>
      <w:proofErr w:type="spellStart"/>
      <w:r w:rsidRPr="00F85759">
        <w:rPr>
          <w:bCs/>
          <w:lang w:val="fr-FR"/>
        </w:rPr>
        <w:t>Samfya</w:t>
      </w:r>
      <w:proofErr w:type="spellEnd"/>
      <w:r w:rsidRPr="00F85759">
        <w:rPr>
          <w:bCs/>
          <w:lang w:val="fr-FR"/>
        </w:rPr>
        <w:t>. Des politiques culturelles et une législation en la matière seraient mises en œuvre pour veiller à ce que l</w:t>
      </w:r>
      <w:r w:rsidR="00923E72">
        <w:rPr>
          <w:bCs/>
          <w:lang w:val="fr-FR"/>
        </w:rPr>
        <w:t>’</w:t>
      </w:r>
      <w:r w:rsidRPr="00F85759">
        <w:rPr>
          <w:bCs/>
          <w:lang w:val="fr-FR"/>
        </w:rPr>
        <w:t xml:space="preserve">élément ne subisse pas de conséquences </w:t>
      </w:r>
      <w:r w:rsidR="00582A33">
        <w:rPr>
          <w:bCs/>
          <w:lang w:val="fr-FR"/>
        </w:rPr>
        <w:t xml:space="preserve">imprévues du fait de </w:t>
      </w:r>
      <w:r w:rsidRPr="00F85759">
        <w:rPr>
          <w:bCs/>
          <w:lang w:val="fr-FR"/>
        </w:rPr>
        <w:t>l</w:t>
      </w:r>
      <w:r w:rsidR="00923E72">
        <w:rPr>
          <w:bCs/>
          <w:lang w:val="fr-FR"/>
        </w:rPr>
        <w:t>’</w:t>
      </w:r>
      <w:r w:rsidRPr="00F85759">
        <w:rPr>
          <w:bCs/>
          <w:lang w:val="fr-FR"/>
        </w:rPr>
        <w:t>inscription.</w:t>
      </w:r>
    </w:p>
    <w:p w14:paraId="56BF23D0" w14:textId="71765E96" w:rsidR="00417A98" w:rsidRDefault="00417A98" w:rsidP="00702497">
      <w:pPr>
        <w:pStyle w:val="Orateurengris"/>
        <w:numPr>
          <w:ilvl w:val="0"/>
          <w:numId w:val="20"/>
        </w:numPr>
        <w:tabs>
          <w:tab w:val="clear" w:pos="567"/>
          <w:tab w:val="num" w:pos="709"/>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la Zambie pour tous ces </w:t>
      </w:r>
      <w:r w:rsidRPr="00417A98">
        <w:rPr>
          <w:bCs/>
          <w:lang w:val="fr-FR"/>
        </w:rPr>
        <w:t>éclaircissements</w:t>
      </w:r>
      <w:r>
        <w:rPr>
          <w:bCs/>
          <w:lang w:val="fr-FR"/>
        </w:rPr>
        <w:t>.</w:t>
      </w:r>
    </w:p>
    <w:p w14:paraId="65179FA5" w14:textId="717D9552" w:rsidR="00417A98" w:rsidRDefault="00417A98" w:rsidP="00702497">
      <w:pPr>
        <w:pStyle w:val="Orateurengris"/>
        <w:numPr>
          <w:ilvl w:val="0"/>
          <w:numId w:val="20"/>
        </w:numPr>
        <w:tabs>
          <w:tab w:val="clear" w:pos="567"/>
          <w:tab w:val="num" w:pos="709"/>
        </w:tabs>
        <w:spacing w:before="120"/>
        <w:ind w:left="709" w:hanging="709"/>
        <w:rPr>
          <w:bCs/>
          <w:lang w:val="fr-FR"/>
        </w:rPr>
      </w:pPr>
      <w:r w:rsidRPr="00417A98">
        <w:rPr>
          <w:bCs/>
          <w:lang w:val="fr-FR"/>
        </w:rPr>
        <w:t xml:space="preserve">La délégation de la </w:t>
      </w:r>
      <w:r w:rsidRPr="00702497">
        <w:rPr>
          <w:b/>
          <w:lang w:val="fr-FR"/>
        </w:rPr>
        <w:t>République de Corée</w:t>
      </w:r>
      <w:r w:rsidRPr="00417A98">
        <w:rPr>
          <w:bCs/>
          <w:lang w:val="fr-FR"/>
        </w:rPr>
        <w:t xml:space="preserve"> appréciait le travail approfondi et cohérent de l</w:t>
      </w:r>
      <w:r w:rsidR="00923E72">
        <w:rPr>
          <w:bCs/>
          <w:lang w:val="fr-FR"/>
        </w:rPr>
        <w:t>’</w:t>
      </w:r>
      <w:r w:rsidRPr="00417A98">
        <w:rPr>
          <w:bCs/>
          <w:lang w:val="fr-FR"/>
        </w:rPr>
        <w:t>Organe d</w:t>
      </w:r>
      <w:r w:rsidR="00923E72">
        <w:rPr>
          <w:bCs/>
          <w:lang w:val="fr-FR"/>
        </w:rPr>
        <w:t>’</w:t>
      </w:r>
      <w:r w:rsidRPr="00417A98">
        <w:rPr>
          <w:bCs/>
          <w:lang w:val="fr-FR"/>
        </w:rPr>
        <w:t>évaluation et était satisfaite des informations complémentaires détaillées</w:t>
      </w:r>
      <w:r w:rsidR="00582A33">
        <w:rPr>
          <w:bCs/>
          <w:lang w:val="fr-FR"/>
        </w:rPr>
        <w:t>,</w:t>
      </w:r>
      <w:r w:rsidRPr="00417A98">
        <w:rPr>
          <w:bCs/>
          <w:lang w:val="fr-FR"/>
        </w:rPr>
        <w:t xml:space="preserve"> communiquées par la Zambie en réponse aux questions posées par le Botswana. Elle estimait que la candidature méritait d</w:t>
      </w:r>
      <w:r w:rsidR="00923E72">
        <w:rPr>
          <w:bCs/>
          <w:lang w:val="fr-FR"/>
        </w:rPr>
        <w:t>’</w:t>
      </w:r>
      <w:r w:rsidRPr="00417A98">
        <w:rPr>
          <w:bCs/>
          <w:lang w:val="fr-FR"/>
        </w:rPr>
        <w:t>être inscrite, ce qui enrichirait l</w:t>
      </w:r>
      <w:r w:rsidR="00923E72">
        <w:rPr>
          <w:bCs/>
          <w:lang w:val="fr-FR"/>
        </w:rPr>
        <w:t>’</w:t>
      </w:r>
      <w:r w:rsidRPr="00417A98">
        <w:rPr>
          <w:bCs/>
          <w:lang w:val="fr-FR"/>
        </w:rPr>
        <w:t>équilibre géographique et la diversité des éléments de ce cycle.</w:t>
      </w:r>
    </w:p>
    <w:p w14:paraId="408D79BD" w14:textId="3D56445B" w:rsidR="00417A98" w:rsidRDefault="00417A98" w:rsidP="00702497">
      <w:pPr>
        <w:pStyle w:val="Orateurengris"/>
        <w:numPr>
          <w:ilvl w:val="0"/>
          <w:numId w:val="20"/>
        </w:numPr>
        <w:tabs>
          <w:tab w:val="clear" w:pos="567"/>
          <w:tab w:val="num" w:pos="709"/>
        </w:tabs>
        <w:spacing w:before="120"/>
        <w:ind w:left="709" w:hanging="709"/>
        <w:rPr>
          <w:bCs/>
          <w:lang w:val="fr-FR"/>
        </w:rPr>
      </w:pPr>
      <w:r w:rsidRPr="00417A98">
        <w:rPr>
          <w:bCs/>
          <w:lang w:val="fr-FR"/>
        </w:rPr>
        <w:t>La délégation de l</w:t>
      </w:r>
      <w:r w:rsidR="00923E72">
        <w:rPr>
          <w:bCs/>
          <w:lang w:val="fr-FR"/>
        </w:rPr>
        <w:t>’</w:t>
      </w:r>
      <w:r w:rsidRPr="00702497">
        <w:rPr>
          <w:b/>
          <w:lang w:val="fr-FR"/>
        </w:rPr>
        <w:t>Éthiopie</w:t>
      </w:r>
      <w:r w:rsidRPr="00417A98">
        <w:rPr>
          <w:bCs/>
          <w:lang w:val="fr-FR"/>
        </w:rPr>
        <w:t xml:space="preserve"> a remercié la Zambie d</w:t>
      </w:r>
      <w:r w:rsidR="00923E72">
        <w:rPr>
          <w:bCs/>
          <w:lang w:val="fr-FR"/>
        </w:rPr>
        <w:t>’</w:t>
      </w:r>
      <w:r>
        <w:rPr>
          <w:bCs/>
          <w:lang w:val="fr-FR"/>
        </w:rPr>
        <w:t xml:space="preserve">avoir soumis </w:t>
      </w:r>
      <w:r w:rsidRPr="00417A98">
        <w:rPr>
          <w:bCs/>
          <w:lang w:val="fr-FR"/>
        </w:rPr>
        <w:t>ce dossier</w:t>
      </w:r>
      <w:r w:rsidR="009F464A">
        <w:rPr>
          <w:bCs/>
          <w:lang w:val="fr-FR"/>
        </w:rPr>
        <w:t>,</w:t>
      </w:r>
      <w:r w:rsidRPr="00417A98">
        <w:rPr>
          <w:bCs/>
          <w:lang w:val="fr-FR"/>
        </w:rPr>
        <w:t xml:space="preserve"> qui permettrait d</w:t>
      </w:r>
      <w:r w:rsidR="00923E72">
        <w:rPr>
          <w:bCs/>
          <w:lang w:val="fr-FR"/>
        </w:rPr>
        <w:t>’</w:t>
      </w:r>
      <w:r w:rsidRPr="00417A98">
        <w:rPr>
          <w:bCs/>
          <w:lang w:val="fr-FR"/>
        </w:rPr>
        <w:t>augmenter le nombre d</w:t>
      </w:r>
      <w:r w:rsidR="00923E72">
        <w:rPr>
          <w:bCs/>
          <w:lang w:val="fr-FR"/>
        </w:rPr>
        <w:t>’</w:t>
      </w:r>
      <w:r w:rsidRPr="00417A98">
        <w:rPr>
          <w:bCs/>
          <w:lang w:val="fr-FR"/>
        </w:rPr>
        <w:t>inscriptions en Afrique. La délégation a fait remarquer l</w:t>
      </w:r>
      <w:r w:rsidR="00923E72">
        <w:rPr>
          <w:bCs/>
          <w:lang w:val="fr-FR"/>
        </w:rPr>
        <w:t>’</w:t>
      </w:r>
      <w:r w:rsidRPr="00417A98">
        <w:rPr>
          <w:bCs/>
          <w:lang w:val="fr-FR"/>
        </w:rPr>
        <w:t>enjeu stratégique que représente la priorité Afrique</w:t>
      </w:r>
      <w:r w:rsidR="009F464A">
        <w:rPr>
          <w:bCs/>
          <w:lang w:val="fr-FR"/>
        </w:rPr>
        <w:t>,</w:t>
      </w:r>
      <w:r w:rsidRPr="00417A98">
        <w:rPr>
          <w:bCs/>
          <w:lang w:val="fr-FR"/>
        </w:rPr>
        <w:t xml:space="preserve"> qui est toujours au cœur des débats. Le Comité devrait se demander comment il all</w:t>
      </w:r>
      <w:r>
        <w:rPr>
          <w:bCs/>
          <w:lang w:val="fr-FR"/>
        </w:rPr>
        <w:t>ai</w:t>
      </w:r>
      <w:r w:rsidRPr="00417A98">
        <w:rPr>
          <w:bCs/>
          <w:lang w:val="fr-FR"/>
        </w:rPr>
        <w:t>t remédier à la disparité réelle entre l</w:t>
      </w:r>
      <w:r w:rsidR="00923E72">
        <w:rPr>
          <w:bCs/>
          <w:lang w:val="fr-FR"/>
        </w:rPr>
        <w:t>’</w:t>
      </w:r>
      <w:r w:rsidRPr="00417A98">
        <w:rPr>
          <w:bCs/>
          <w:lang w:val="fr-FR"/>
        </w:rPr>
        <w:t>Afrique et le reste du monde en matière d</w:t>
      </w:r>
      <w:r w:rsidR="00923E72">
        <w:rPr>
          <w:bCs/>
          <w:lang w:val="fr-FR"/>
        </w:rPr>
        <w:t>’</w:t>
      </w:r>
      <w:r w:rsidRPr="00417A98">
        <w:rPr>
          <w:bCs/>
          <w:lang w:val="fr-FR"/>
        </w:rPr>
        <w:t>inscription d</w:t>
      </w:r>
      <w:r w:rsidR="00923E72">
        <w:rPr>
          <w:bCs/>
          <w:lang w:val="fr-FR"/>
        </w:rPr>
        <w:t>’</w:t>
      </w:r>
      <w:r w:rsidRPr="00417A98">
        <w:rPr>
          <w:bCs/>
          <w:lang w:val="fr-FR"/>
        </w:rPr>
        <w:t>éléments. L</w:t>
      </w:r>
      <w:r w:rsidR="00923E72">
        <w:rPr>
          <w:bCs/>
          <w:lang w:val="fr-FR"/>
        </w:rPr>
        <w:t>’</w:t>
      </w:r>
      <w:r w:rsidRPr="00417A98">
        <w:rPr>
          <w:bCs/>
          <w:lang w:val="fr-FR"/>
        </w:rPr>
        <w:t>Afrique était connue pour la richesse de son patrimoine culturel. Cependant, en raison de divers défis, notamment celui de répondre aux critères en fournissant des éclaircissements adéquats, cette difficulté persistante affectait non seulement l</w:t>
      </w:r>
      <w:r w:rsidR="00923E72">
        <w:rPr>
          <w:bCs/>
          <w:lang w:val="fr-FR"/>
        </w:rPr>
        <w:t>’</w:t>
      </w:r>
      <w:r w:rsidRPr="00417A98">
        <w:rPr>
          <w:bCs/>
          <w:lang w:val="fr-FR"/>
        </w:rPr>
        <w:t>État soumissionnaire, la Zambie, mais également la plupart des États parties du groupe Afrique, y compris l</w:t>
      </w:r>
      <w:r w:rsidR="00923E72">
        <w:rPr>
          <w:bCs/>
          <w:lang w:val="fr-FR"/>
        </w:rPr>
        <w:t>’</w:t>
      </w:r>
      <w:r w:rsidRPr="00417A98">
        <w:rPr>
          <w:bCs/>
          <w:lang w:val="fr-FR"/>
        </w:rPr>
        <w:t>Éthiopie. Le moment était donc venu pour le Comité de travailler conformément à l</w:t>
      </w:r>
      <w:r w:rsidR="00923E72">
        <w:rPr>
          <w:bCs/>
          <w:lang w:val="fr-FR"/>
        </w:rPr>
        <w:t>’</w:t>
      </w:r>
      <w:r w:rsidRPr="00417A98">
        <w:rPr>
          <w:bCs/>
          <w:lang w:val="fr-FR"/>
        </w:rPr>
        <w:t xml:space="preserve">esprit </w:t>
      </w:r>
      <w:r w:rsidR="00AF0327">
        <w:rPr>
          <w:bCs/>
          <w:lang w:val="fr-FR"/>
        </w:rPr>
        <w:t>sur lequel repose le</w:t>
      </w:r>
      <w:r w:rsidRPr="00417A98">
        <w:rPr>
          <w:bCs/>
          <w:lang w:val="fr-FR"/>
        </w:rPr>
        <w:t xml:space="preserve"> multilatéralisme et de s</w:t>
      </w:r>
      <w:r w:rsidR="00923E72">
        <w:rPr>
          <w:bCs/>
          <w:lang w:val="fr-FR"/>
        </w:rPr>
        <w:t>’</w:t>
      </w:r>
      <w:r w:rsidRPr="00417A98">
        <w:rPr>
          <w:bCs/>
          <w:lang w:val="fr-FR"/>
        </w:rPr>
        <w:t>attaquer réellement à l</w:t>
      </w:r>
      <w:r w:rsidR="00923E72">
        <w:rPr>
          <w:bCs/>
          <w:lang w:val="fr-FR"/>
        </w:rPr>
        <w:t>’</w:t>
      </w:r>
      <w:r w:rsidRPr="00417A98">
        <w:rPr>
          <w:bCs/>
          <w:lang w:val="fr-FR"/>
        </w:rPr>
        <w:t>écart entre l</w:t>
      </w:r>
      <w:r w:rsidR="00923E72">
        <w:rPr>
          <w:bCs/>
          <w:lang w:val="fr-FR"/>
        </w:rPr>
        <w:t>’</w:t>
      </w:r>
      <w:r w:rsidRPr="00417A98">
        <w:rPr>
          <w:bCs/>
          <w:lang w:val="fr-FR"/>
        </w:rPr>
        <w:t>inscription d</w:t>
      </w:r>
      <w:r w:rsidR="00923E72">
        <w:rPr>
          <w:bCs/>
          <w:lang w:val="fr-FR"/>
        </w:rPr>
        <w:t>’</w:t>
      </w:r>
      <w:r w:rsidRPr="00417A98">
        <w:rPr>
          <w:bCs/>
          <w:lang w:val="fr-FR"/>
        </w:rPr>
        <w:t xml:space="preserve">éléments du patrimoine immatériel en Afrique et dans le reste du monde. Enfin, sur la base des explications détaillées </w:t>
      </w:r>
      <w:r w:rsidR="00AF0327">
        <w:rPr>
          <w:bCs/>
          <w:lang w:val="fr-FR"/>
        </w:rPr>
        <w:t xml:space="preserve">données </w:t>
      </w:r>
      <w:r w:rsidRPr="00417A98">
        <w:rPr>
          <w:bCs/>
          <w:lang w:val="fr-FR"/>
        </w:rPr>
        <w:t>par la Zambie, l</w:t>
      </w:r>
      <w:r w:rsidR="00923E72">
        <w:rPr>
          <w:bCs/>
          <w:lang w:val="fr-FR"/>
        </w:rPr>
        <w:t>’</w:t>
      </w:r>
      <w:r w:rsidRPr="00417A98">
        <w:rPr>
          <w:bCs/>
          <w:lang w:val="fr-FR"/>
        </w:rPr>
        <w:t>Éthiopie soutenait l</w:t>
      </w:r>
      <w:r w:rsidR="00923E72">
        <w:rPr>
          <w:bCs/>
          <w:lang w:val="fr-FR"/>
        </w:rPr>
        <w:t>’</w:t>
      </w:r>
      <w:r w:rsidRPr="00417A98">
        <w:rPr>
          <w:bCs/>
          <w:lang w:val="fr-FR"/>
        </w:rPr>
        <w:t>amendement du Botswana et l</w:t>
      </w:r>
      <w:r w:rsidR="00923E72">
        <w:rPr>
          <w:bCs/>
          <w:lang w:val="fr-FR"/>
        </w:rPr>
        <w:t>’</w:t>
      </w:r>
      <w:r w:rsidRPr="00417A98">
        <w:rPr>
          <w:bCs/>
          <w:lang w:val="fr-FR"/>
        </w:rPr>
        <w:t xml:space="preserve">inscription de la danse </w:t>
      </w:r>
      <w:proofErr w:type="spellStart"/>
      <w:r w:rsidRPr="00417A98">
        <w:rPr>
          <w:bCs/>
          <w:lang w:val="fr-FR"/>
        </w:rPr>
        <w:t>kalela</w:t>
      </w:r>
      <w:proofErr w:type="spellEnd"/>
      <w:r w:rsidRPr="00417A98">
        <w:rPr>
          <w:bCs/>
          <w:lang w:val="fr-FR"/>
        </w:rPr>
        <w:t xml:space="preserve"> sur la Liste représentative.</w:t>
      </w:r>
    </w:p>
    <w:p w14:paraId="7119696F" w14:textId="64E025CE" w:rsidR="00C16F6C" w:rsidRDefault="00C16F6C" w:rsidP="00702497">
      <w:pPr>
        <w:pStyle w:val="Orateurengris"/>
        <w:numPr>
          <w:ilvl w:val="0"/>
          <w:numId w:val="20"/>
        </w:numPr>
        <w:tabs>
          <w:tab w:val="clear" w:pos="567"/>
          <w:tab w:val="num" w:pos="709"/>
        </w:tabs>
        <w:spacing w:before="120"/>
        <w:ind w:left="709" w:hanging="709"/>
        <w:rPr>
          <w:bCs/>
          <w:lang w:val="fr-FR"/>
        </w:rPr>
      </w:pPr>
      <w:r>
        <w:rPr>
          <w:bCs/>
          <w:lang w:val="fr-FR"/>
        </w:rPr>
        <w:t xml:space="preserve">La </w:t>
      </w:r>
      <w:r w:rsidRPr="00C16F6C">
        <w:rPr>
          <w:bCs/>
          <w:lang w:val="fr-FR"/>
        </w:rPr>
        <w:t>délégation</w:t>
      </w:r>
      <w:r>
        <w:rPr>
          <w:bCs/>
          <w:lang w:val="fr-FR"/>
        </w:rPr>
        <w:t xml:space="preserve"> de la </w:t>
      </w:r>
      <w:r w:rsidRPr="00702497">
        <w:rPr>
          <w:b/>
          <w:lang w:val="fr-FR"/>
        </w:rPr>
        <w:t>Suède</w:t>
      </w:r>
      <w:r>
        <w:rPr>
          <w:bCs/>
          <w:lang w:val="fr-FR"/>
        </w:rPr>
        <w:t xml:space="preserve"> a remercié l</w:t>
      </w:r>
      <w:r w:rsidR="00923E72">
        <w:rPr>
          <w:bCs/>
          <w:lang w:val="fr-FR"/>
        </w:rPr>
        <w:t>’</w:t>
      </w:r>
      <w:r>
        <w:rPr>
          <w:bCs/>
          <w:lang w:val="fr-FR"/>
        </w:rPr>
        <w:t>Organe d</w:t>
      </w:r>
      <w:r w:rsidR="00923E72">
        <w:rPr>
          <w:bCs/>
          <w:lang w:val="fr-FR"/>
        </w:rPr>
        <w:t>’</w:t>
      </w:r>
      <w:r>
        <w:rPr>
          <w:bCs/>
          <w:lang w:val="fr-FR"/>
        </w:rPr>
        <w:t xml:space="preserve">évaluation pour son rapport approfondi, le Botswana pour son </w:t>
      </w:r>
      <w:r w:rsidRPr="00C16F6C">
        <w:rPr>
          <w:bCs/>
          <w:lang w:val="fr-FR"/>
        </w:rPr>
        <w:t>amendement</w:t>
      </w:r>
      <w:r>
        <w:rPr>
          <w:bCs/>
          <w:lang w:val="fr-FR"/>
        </w:rPr>
        <w:t xml:space="preserve"> et la Zambie pour s</w:t>
      </w:r>
      <w:r w:rsidR="00AC7201">
        <w:rPr>
          <w:bCs/>
          <w:lang w:val="fr-FR"/>
        </w:rPr>
        <w:t>es</w:t>
      </w:r>
      <w:r>
        <w:rPr>
          <w:bCs/>
          <w:lang w:val="fr-FR"/>
        </w:rPr>
        <w:t xml:space="preserve"> explication</w:t>
      </w:r>
      <w:r w:rsidR="00AC7201">
        <w:rPr>
          <w:bCs/>
          <w:lang w:val="fr-FR"/>
        </w:rPr>
        <w:t>s</w:t>
      </w:r>
      <w:r>
        <w:rPr>
          <w:bCs/>
          <w:lang w:val="fr-FR"/>
        </w:rPr>
        <w:t xml:space="preserve"> très élaborée</w:t>
      </w:r>
      <w:r w:rsidR="00AC7201">
        <w:rPr>
          <w:bCs/>
          <w:lang w:val="fr-FR"/>
        </w:rPr>
        <w:t>s</w:t>
      </w:r>
      <w:r>
        <w:rPr>
          <w:bCs/>
          <w:lang w:val="fr-FR"/>
        </w:rPr>
        <w:t>, ajoutant qu</w:t>
      </w:r>
      <w:r w:rsidR="00923E72">
        <w:rPr>
          <w:bCs/>
          <w:lang w:val="fr-FR"/>
        </w:rPr>
        <w:t>’</w:t>
      </w:r>
      <w:r>
        <w:rPr>
          <w:bCs/>
          <w:lang w:val="fr-FR"/>
        </w:rPr>
        <w:t>elle soutenait l</w:t>
      </w:r>
      <w:r w:rsidR="00923E72">
        <w:rPr>
          <w:bCs/>
          <w:lang w:val="fr-FR"/>
        </w:rPr>
        <w:t>’</w:t>
      </w:r>
      <w:r w:rsidRPr="00C16F6C">
        <w:rPr>
          <w:bCs/>
          <w:lang w:val="fr-FR"/>
        </w:rPr>
        <w:t>amendement</w:t>
      </w:r>
      <w:r>
        <w:rPr>
          <w:bCs/>
          <w:lang w:val="fr-FR"/>
        </w:rPr>
        <w:t xml:space="preserve"> du Botswana.</w:t>
      </w:r>
    </w:p>
    <w:p w14:paraId="15D412B9" w14:textId="37F6C553" w:rsidR="00C16F6C" w:rsidRDefault="003D0A0D" w:rsidP="00702497">
      <w:pPr>
        <w:pStyle w:val="Orateurengris"/>
        <w:numPr>
          <w:ilvl w:val="0"/>
          <w:numId w:val="20"/>
        </w:numPr>
        <w:tabs>
          <w:tab w:val="clear" w:pos="567"/>
          <w:tab w:val="num" w:pos="709"/>
        </w:tabs>
        <w:spacing w:before="120"/>
        <w:ind w:left="709" w:hanging="709"/>
        <w:rPr>
          <w:bCs/>
          <w:lang w:val="fr-FR"/>
        </w:rPr>
      </w:pPr>
      <w:r w:rsidRPr="003D0A0D">
        <w:rPr>
          <w:bCs/>
          <w:lang w:val="fr-FR"/>
        </w:rPr>
        <w:t>La délégation de l</w:t>
      </w:r>
      <w:r w:rsidR="00923E72">
        <w:rPr>
          <w:bCs/>
          <w:lang w:val="fr-FR"/>
        </w:rPr>
        <w:t>’</w:t>
      </w:r>
      <w:r w:rsidRPr="00702497">
        <w:rPr>
          <w:b/>
          <w:lang w:val="fr-FR"/>
        </w:rPr>
        <w:t>Arabie</w:t>
      </w:r>
      <w:r w:rsidR="005558CF">
        <w:rPr>
          <w:b/>
          <w:lang w:val="fr-FR"/>
        </w:rPr>
        <w:t> </w:t>
      </w:r>
      <w:r w:rsidRPr="00702497">
        <w:rPr>
          <w:b/>
          <w:lang w:val="fr-FR"/>
        </w:rPr>
        <w:t xml:space="preserve">saoudite </w:t>
      </w:r>
      <w:r w:rsidRPr="003D0A0D">
        <w:rPr>
          <w:bCs/>
          <w:lang w:val="fr-FR"/>
        </w:rPr>
        <w:t xml:space="preserve">estimait que les éclaircissements détaillés apportés par la Zambie au sujet de la danse </w:t>
      </w:r>
      <w:proofErr w:type="spellStart"/>
      <w:r w:rsidRPr="003D0A0D">
        <w:rPr>
          <w:bCs/>
          <w:lang w:val="fr-FR"/>
        </w:rPr>
        <w:t>kalela</w:t>
      </w:r>
      <w:proofErr w:type="spellEnd"/>
      <w:r w:rsidRPr="003D0A0D">
        <w:rPr>
          <w:bCs/>
          <w:lang w:val="fr-FR"/>
        </w:rPr>
        <w:t xml:space="preserve"> étaient satisfaisants, et elle soutenait l</w:t>
      </w:r>
      <w:r w:rsidR="00923E72">
        <w:rPr>
          <w:bCs/>
          <w:lang w:val="fr-FR"/>
        </w:rPr>
        <w:t>’</w:t>
      </w:r>
      <w:r w:rsidRPr="003D0A0D">
        <w:rPr>
          <w:bCs/>
          <w:lang w:val="fr-FR"/>
        </w:rPr>
        <w:t>amendement. Elle s</w:t>
      </w:r>
      <w:r w:rsidR="00923E72">
        <w:rPr>
          <w:bCs/>
          <w:lang w:val="fr-FR"/>
        </w:rPr>
        <w:t>’</w:t>
      </w:r>
      <w:r w:rsidRPr="003D0A0D">
        <w:rPr>
          <w:bCs/>
          <w:lang w:val="fr-FR"/>
        </w:rPr>
        <w:t>est fait l</w:t>
      </w:r>
      <w:r w:rsidR="00923E72">
        <w:rPr>
          <w:bCs/>
          <w:lang w:val="fr-FR"/>
        </w:rPr>
        <w:t>’</w:t>
      </w:r>
      <w:r w:rsidRPr="003D0A0D">
        <w:rPr>
          <w:bCs/>
          <w:lang w:val="fr-FR"/>
        </w:rPr>
        <w:t>écho des membres du Comité sur l</w:t>
      </w:r>
      <w:r w:rsidR="00923E72">
        <w:rPr>
          <w:bCs/>
          <w:lang w:val="fr-FR"/>
        </w:rPr>
        <w:t>’</w:t>
      </w:r>
      <w:r w:rsidRPr="003D0A0D">
        <w:rPr>
          <w:bCs/>
          <w:lang w:val="fr-FR"/>
        </w:rPr>
        <w:t xml:space="preserve">importance de soutenir </w:t>
      </w:r>
      <w:r w:rsidR="00AC7201">
        <w:rPr>
          <w:bCs/>
          <w:lang w:val="fr-FR"/>
        </w:rPr>
        <w:t>c</w:t>
      </w:r>
      <w:r w:rsidRPr="003D0A0D">
        <w:rPr>
          <w:bCs/>
          <w:lang w:val="fr-FR"/>
        </w:rPr>
        <w:t>e dossier d</w:t>
      </w:r>
      <w:r w:rsidR="00923E72">
        <w:rPr>
          <w:bCs/>
          <w:lang w:val="fr-FR"/>
        </w:rPr>
        <w:t>’</w:t>
      </w:r>
      <w:r w:rsidRPr="003D0A0D">
        <w:rPr>
          <w:bCs/>
          <w:lang w:val="fr-FR"/>
        </w:rPr>
        <w:t>inscription</w:t>
      </w:r>
      <w:r w:rsidR="00AC7201">
        <w:rPr>
          <w:bCs/>
          <w:lang w:val="fr-FR"/>
        </w:rPr>
        <w:t xml:space="preserve"> venu</w:t>
      </w:r>
      <w:r w:rsidRPr="003D0A0D">
        <w:rPr>
          <w:bCs/>
          <w:lang w:val="fr-FR"/>
        </w:rPr>
        <w:t xml:space="preserve"> d</w:t>
      </w:r>
      <w:r w:rsidR="00923E72">
        <w:rPr>
          <w:bCs/>
          <w:lang w:val="fr-FR"/>
        </w:rPr>
        <w:t>’</w:t>
      </w:r>
      <w:r w:rsidRPr="003D0A0D">
        <w:rPr>
          <w:bCs/>
          <w:lang w:val="fr-FR"/>
        </w:rPr>
        <w:t>Afrique.</w:t>
      </w:r>
    </w:p>
    <w:p w14:paraId="27275E85" w14:textId="57D65F0F" w:rsidR="007E1439" w:rsidRDefault="007E1439" w:rsidP="00702497">
      <w:pPr>
        <w:pStyle w:val="Orateurengris"/>
        <w:numPr>
          <w:ilvl w:val="0"/>
          <w:numId w:val="20"/>
        </w:numPr>
        <w:tabs>
          <w:tab w:val="clear" w:pos="567"/>
          <w:tab w:val="num" w:pos="709"/>
        </w:tabs>
        <w:spacing w:before="120"/>
        <w:ind w:left="709" w:hanging="709"/>
        <w:rPr>
          <w:bCs/>
          <w:lang w:val="fr-FR"/>
        </w:rPr>
      </w:pPr>
      <w:r>
        <w:rPr>
          <w:bCs/>
          <w:lang w:val="fr-FR"/>
        </w:rPr>
        <w:t xml:space="preserve">La </w:t>
      </w:r>
      <w:r w:rsidRPr="007E1439">
        <w:rPr>
          <w:bCs/>
          <w:lang w:val="fr-FR"/>
        </w:rPr>
        <w:t>délé</w:t>
      </w:r>
      <w:r>
        <w:rPr>
          <w:bCs/>
          <w:lang w:val="fr-FR"/>
        </w:rPr>
        <w:t>g</w:t>
      </w:r>
      <w:r w:rsidRPr="007E1439">
        <w:rPr>
          <w:bCs/>
          <w:lang w:val="fr-FR"/>
        </w:rPr>
        <w:t>ation</w:t>
      </w:r>
      <w:r>
        <w:rPr>
          <w:bCs/>
          <w:lang w:val="fr-FR"/>
        </w:rPr>
        <w:t xml:space="preserve"> de la </w:t>
      </w:r>
      <w:r w:rsidRPr="00702497">
        <w:rPr>
          <w:b/>
          <w:lang w:val="fr-FR"/>
        </w:rPr>
        <w:t>Malaisie</w:t>
      </w:r>
      <w:r>
        <w:rPr>
          <w:bCs/>
          <w:lang w:val="fr-FR"/>
        </w:rPr>
        <w:t xml:space="preserve"> s</w:t>
      </w:r>
      <w:r w:rsidR="00923E72">
        <w:rPr>
          <w:bCs/>
          <w:lang w:val="fr-FR"/>
        </w:rPr>
        <w:t>’</w:t>
      </w:r>
      <w:r>
        <w:rPr>
          <w:bCs/>
          <w:lang w:val="fr-FR"/>
        </w:rPr>
        <w:t xml:space="preserve">est déclarée </w:t>
      </w:r>
      <w:r w:rsidRPr="007E1439">
        <w:rPr>
          <w:bCs/>
          <w:lang w:val="fr-FR"/>
        </w:rPr>
        <w:t>satisfa</w:t>
      </w:r>
      <w:r>
        <w:rPr>
          <w:bCs/>
          <w:lang w:val="fr-FR"/>
        </w:rPr>
        <w:t xml:space="preserve">ite des </w:t>
      </w:r>
      <w:r w:rsidRPr="007E1439">
        <w:rPr>
          <w:bCs/>
          <w:lang w:val="fr-FR"/>
        </w:rPr>
        <w:t>informations</w:t>
      </w:r>
      <w:r>
        <w:rPr>
          <w:bCs/>
          <w:lang w:val="fr-FR"/>
        </w:rPr>
        <w:t xml:space="preserve"> complémentaires données par la Zambie </w:t>
      </w:r>
      <w:r w:rsidR="00AC7201">
        <w:rPr>
          <w:bCs/>
          <w:lang w:val="fr-FR"/>
        </w:rPr>
        <w:t xml:space="preserve">en réponse </w:t>
      </w:r>
      <w:r>
        <w:rPr>
          <w:bCs/>
          <w:lang w:val="fr-FR"/>
        </w:rPr>
        <w:t>aux questions soulevées par le Botswana. La Malaisie soutenait donc l</w:t>
      </w:r>
      <w:r w:rsidR="00923E72">
        <w:rPr>
          <w:bCs/>
          <w:lang w:val="fr-FR"/>
        </w:rPr>
        <w:t>’</w:t>
      </w:r>
      <w:r w:rsidRPr="007E1439">
        <w:rPr>
          <w:bCs/>
          <w:lang w:val="fr-FR"/>
        </w:rPr>
        <w:t>inscription</w:t>
      </w:r>
      <w:r>
        <w:rPr>
          <w:bCs/>
          <w:lang w:val="fr-FR"/>
        </w:rPr>
        <w:t xml:space="preserve"> de l</w:t>
      </w:r>
      <w:r w:rsidR="00923E72">
        <w:rPr>
          <w:bCs/>
          <w:lang w:val="fr-FR"/>
        </w:rPr>
        <w:t>’</w:t>
      </w:r>
      <w:r w:rsidRPr="007E1439">
        <w:rPr>
          <w:bCs/>
          <w:lang w:val="fr-FR"/>
        </w:rPr>
        <w:t>élément</w:t>
      </w:r>
      <w:r>
        <w:rPr>
          <w:bCs/>
          <w:lang w:val="fr-FR"/>
        </w:rPr>
        <w:t>, reprenant à son compte la déclaration de l</w:t>
      </w:r>
      <w:r w:rsidR="00923E72">
        <w:rPr>
          <w:bCs/>
          <w:lang w:val="fr-FR"/>
        </w:rPr>
        <w:t>’</w:t>
      </w:r>
      <w:r>
        <w:rPr>
          <w:bCs/>
          <w:lang w:val="fr-FR"/>
        </w:rPr>
        <w:t>Éthiopie.</w:t>
      </w:r>
    </w:p>
    <w:p w14:paraId="54E425B9" w14:textId="2DF8CD85" w:rsidR="007E1439" w:rsidRDefault="007E1439" w:rsidP="00702497">
      <w:pPr>
        <w:pStyle w:val="Orateurengris"/>
        <w:numPr>
          <w:ilvl w:val="0"/>
          <w:numId w:val="20"/>
        </w:numPr>
        <w:tabs>
          <w:tab w:val="clear" w:pos="567"/>
          <w:tab w:val="num" w:pos="709"/>
        </w:tabs>
        <w:spacing w:before="120"/>
        <w:ind w:left="709" w:hanging="709"/>
        <w:rPr>
          <w:bCs/>
          <w:lang w:val="fr-FR"/>
        </w:rPr>
      </w:pPr>
      <w:r w:rsidRPr="007E1439">
        <w:rPr>
          <w:bCs/>
          <w:lang w:val="fr-FR"/>
        </w:rPr>
        <w:t xml:space="preserve">La délégation du </w:t>
      </w:r>
      <w:r w:rsidRPr="00702497">
        <w:rPr>
          <w:b/>
          <w:lang w:val="fr-FR"/>
        </w:rPr>
        <w:t>Maroc</w:t>
      </w:r>
      <w:r w:rsidRPr="007E1439">
        <w:rPr>
          <w:bCs/>
          <w:lang w:val="fr-FR"/>
        </w:rPr>
        <w:t xml:space="preserve"> a remercié le Botswana pour son amendement qu</w:t>
      </w:r>
      <w:r w:rsidR="00923E72">
        <w:rPr>
          <w:bCs/>
          <w:lang w:val="fr-FR"/>
        </w:rPr>
        <w:t>’</w:t>
      </w:r>
      <w:r w:rsidRPr="007E1439">
        <w:rPr>
          <w:bCs/>
          <w:lang w:val="fr-FR"/>
        </w:rPr>
        <w:t>elle soutenait. Elle a également remercié la Zambie pour ses éclaircissements convaincants, notamment en ce qui concerne les critères</w:t>
      </w:r>
      <w:r>
        <w:rPr>
          <w:bCs/>
          <w:lang w:val="fr-FR"/>
        </w:rPr>
        <w:t> </w:t>
      </w:r>
      <w:r w:rsidRPr="007E1439">
        <w:rPr>
          <w:bCs/>
          <w:lang w:val="fr-FR"/>
        </w:rPr>
        <w:t>R.2 et</w:t>
      </w:r>
      <w:r>
        <w:rPr>
          <w:bCs/>
          <w:lang w:val="fr-FR"/>
        </w:rPr>
        <w:t> </w:t>
      </w:r>
      <w:r w:rsidRPr="007E1439">
        <w:rPr>
          <w:bCs/>
          <w:lang w:val="fr-FR"/>
        </w:rPr>
        <w:t xml:space="preserve">R.3. La Zambie avait rassuré la délégation </w:t>
      </w:r>
      <w:r w:rsidR="008C03E8">
        <w:rPr>
          <w:bCs/>
          <w:lang w:val="fr-FR"/>
        </w:rPr>
        <w:t>à propos de</w:t>
      </w:r>
      <w:r w:rsidRPr="007E1439">
        <w:rPr>
          <w:bCs/>
          <w:lang w:val="fr-FR"/>
        </w:rPr>
        <w:t xml:space="preserve"> la contribution de l</w:t>
      </w:r>
      <w:r w:rsidR="00923E72">
        <w:rPr>
          <w:bCs/>
          <w:lang w:val="fr-FR"/>
        </w:rPr>
        <w:t>’</w:t>
      </w:r>
      <w:r w:rsidRPr="007E1439">
        <w:rPr>
          <w:bCs/>
          <w:lang w:val="fr-FR"/>
        </w:rPr>
        <w:t>élément</w:t>
      </w:r>
      <w:r>
        <w:rPr>
          <w:bCs/>
          <w:lang w:val="fr-FR"/>
        </w:rPr>
        <w:t xml:space="preserve">, par son </w:t>
      </w:r>
      <w:r w:rsidRPr="007E1439">
        <w:rPr>
          <w:bCs/>
          <w:lang w:val="fr-FR"/>
        </w:rPr>
        <w:t>inscription</w:t>
      </w:r>
      <w:r>
        <w:rPr>
          <w:bCs/>
          <w:lang w:val="fr-FR"/>
        </w:rPr>
        <w:t>,</w:t>
      </w:r>
      <w:r w:rsidRPr="007E1439">
        <w:rPr>
          <w:bCs/>
          <w:lang w:val="fr-FR"/>
        </w:rPr>
        <w:t xml:space="preserve"> </w:t>
      </w:r>
      <w:r>
        <w:rPr>
          <w:bCs/>
          <w:lang w:val="fr-FR"/>
        </w:rPr>
        <w:t>à la</w:t>
      </w:r>
      <w:r w:rsidRPr="007E1439">
        <w:rPr>
          <w:bCs/>
          <w:lang w:val="fr-FR"/>
        </w:rPr>
        <w:t xml:space="preserve"> visibilité </w:t>
      </w:r>
      <w:r w:rsidR="005558CF">
        <w:rPr>
          <w:bCs/>
          <w:lang w:val="fr-FR"/>
        </w:rPr>
        <w:t xml:space="preserve">et à la prise de conscience </w:t>
      </w:r>
      <w:r>
        <w:rPr>
          <w:bCs/>
          <w:lang w:val="fr-FR"/>
        </w:rPr>
        <w:t xml:space="preserve">du </w:t>
      </w:r>
      <w:r w:rsidRPr="007E1439">
        <w:rPr>
          <w:bCs/>
          <w:lang w:val="fr-FR"/>
        </w:rPr>
        <w:t>patrimoine culturel immatériel en général</w:t>
      </w:r>
      <w:r w:rsidR="008C03E8">
        <w:rPr>
          <w:bCs/>
          <w:lang w:val="fr-FR"/>
        </w:rPr>
        <w:t>,</w:t>
      </w:r>
      <w:r w:rsidRPr="007E1439">
        <w:rPr>
          <w:bCs/>
          <w:lang w:val="fr-FR"/>
        </w:rPr>
        <w:t xml:space="preserve"> </w:t>
      </w:r>
      <w:r w:rsidR="008C03E8">
        <w:rPr>
          <w:bCs/>
          <w:lang w:val="fr-FR"/>
        </w:rPr>
        <w:t>et de</w:t>
      </w:r>
      <w:r w:rsidRPr="007E1439">
        <w:rPr>
          <w:bCs/>
          <w:lang w:val="fr-FR"/>
        </w:rPr>
        <w:t xml:space="preserve"> l</w:t>
      </w:r>
      <w:r w:rsidR="008C03E8">
        <w:rPr>
          <w:bCs/>
          <w:lang w:val="fr-FR"/>
        </w:rPr>
        <w:t>a participation</w:t>
      </w:r>
      <w:r w:rsidRPr="007E1439">
        <w:rPr>
          <w:bCs/>
          <w:lang w:val="fr-FR"/>
        </w:rPr>
        <w:t xml:space="preserve"> des communautés </w:t>
      </w:r>
      <w:r w:rsidR="008C03E8">
        <w:rPr>
          <w:bCs/>
          <w:lang w:val="fr-FR"/>
        </w:rPr>
        <w:t>aux</w:t>
      </w:r>
      <w:r w:rsidRPr="007E1439">
        <w:rPr>
          <w:bCs/>
          <w:lang w:val="fr-FR"/>
        </w:rPr>
        <w:t xml:space="preserve"> efforts de sauvegarde proposés. Elle a noté qu</w:t>
      </w:r>
      <w:r w:rsidR="00923E72">
        <w:rPr>
          <w:bCs/>
          <w:lang w:val="fr-FR"/>
        </w:rPr>
        <w:t>’</w:t>
      </w:r>
      <w:r w:rsidRPr="007E1439">
        <w:rPr>
          <w:bCs/>
          <w:lang w:val="fr-FR"/>
        </w:rPr>
        <w:t>il s</w:t>
      </w:r>
      <w:r w:rsidR="00923E72">
        <w:rPr>
          <w:bCs/>
          <w:lang w:val="fr-FR"/>
        </w:rPr>
        <w:t>’</w:t>
      </w:r>
      <w:r w:rsidRPr="007E1439">
        <w:rPr>
          <w:bCs/>
          <w:lang w:val="fr-FR"/>
        </w:rPr>
        <w:t>agissait du seul dossier examiné par le Comité en provenance du groupe Afrique, et que le Comité pouvait donc envoyer un signal en facilitant l</w:t>
      </w:r>
      <w:r w:rsidR="00923E72">
        <w:rPr>
          <w:bCs/>
          <w:lang w:val="fr-FR"/>
        </w:rPr>
        <w:t>’</w:t>
      </w:r>
      <w:r w:rsidRPr="007E1439">
        <w:rPr>
          <w:bCs/>
          <w:lang w:val="fr-FR"/>
        </w:rPr>
        <w:t>inscription de cet élément.</w:t>
      </w:r>
    </w:p>
    <w:p w14:paraId="08465CD5" w14:textId="3FBE25D3" w:rsidR="007E1439" w:rsidRDefault="007E1439" w:rsidP="00702497">
      <w:pPr>
        <w:pStyle w:val="Orateurengris"/>
        <w:numPr>
          <w:ilvl w:val="0"/>
          <w:numId w:val="20"/>
        </w:numPr>
        <w:tabs>
          <w:tab w:val="clear" w:pos="567"/>
          <w:tab w:val="num" w:pos="709"/>
        </w:tabs>
        <w:spacing w:before="120"/>
        <w:ind w:left="709" w:hanging="709"/>
        <w:rPr>
          <w:bCs/>
          <w:lang w:val="fr-FR"/>
        </w:rPr>
      </w:pPr>
      <w:r w:rsidRPr="007E1439">
        <w:rPr>
          <w:bCs/>
          <w:lang w:val="fr-FR"/>
        </w:rPr>
        <w:t xml:space="preserve">La délégation du </w:t>
      </w:r>
      <w:r w:rsidRPr="00702497">
        <w:rPr>
          <w:b/>
          <w:lang w:val="fr-FR"/>
        </w:rPr>
        <w:t>Rwanda</w:t>
      </w:r>
      <w:r w:rsidRPr="007E1439">
        <w:rPr>
          <w:bCs/>
          <w:lang w:val="fr-FR"/>
        </w:rPr>
        <w:t xml:space="preserve"> a remercié l</w:t>
      </w:r>
      <w:r w:rsidR="00923E72">
        <w:rPr>
          <w:bCs/>
          <w:lang w:val="fr-FR"/>
        </w:rPr>
        <w:t>’</w:t>
      </w:r>
      <w:r w:rsidRPr="007E1439">
        <w:rPr>
          <w:bCs/>
          <w:lang w:val="fr-FR"/>
        </w:rPr>
        <w:t>Organe d</w:t>
      </w:r>
      <w:r w:rsidR="00923E72">
        <w:rPr>
          <w:bCs/>
          <w:lang w:val="fr-FR"/>
        </w:rPr>
        <w:t>’</w:t>
      </w:r>
      <w:r w:rsidRPr="007E1439">
        <w:rPr>
          <w:bCs/>
          <w:lang w:val="fr-FR"/>
        </w:rPr>
        <w:t>évaluation pour l</w:t>
      </w:r>
      <w:r w:rsidR="00923E72">
        <w:rPr>
          <w:bCs/>
          <w:lang w:val="fr-FR"/>
        </w:rPr>
        <w:t>’</w:t>
      </w:r>
      <w:r w:rsidRPr="007E1439">
        <w:rPr>
          <w:bCs/>
          <w:lang w:val="fr-FR"/>
        </w:rPr>
        <w:t xml:space="preserve">analyse minutieuse de cet élément </w:t>
      </w:r>
      <w:r>
        <w:rPr>
          <w:bCs/>
          <w:lang w:val="fr-FR"/>
        </w:rPr>
        <w:t xml:space="preserve">originaire </w:t>
      </w:r>
      <w:r w:rsidRPr="007E1439">
        <w:rPr>
          <w:bCs/>
          <w:lang w:val="fr-FR"/>
        </w:rPr>
        <w:t xml:space="preserve">et original de la Zambie, la danse </w:t>
      </w:r>
      <w:proofErr w:type="spellStart"/>
      <w:r w:rsidRPr="007E1439">
        <w:rPr>
          <w:bCs/>
          <w:lang w:val="fr-FR"/>
        </w:rPr>
        <w:t>kalela</w:t>
      </w:r>
      <w:proofErr w:type="spellEnd"/>
      <w:r w:rsidRPr="007E1439">
        <w:rPr>
          <w:bCs/>
          <w:lang w:val="fr-FR"/>
        </w:rPr>
        <w:t xml:space="preserve">. Elle appréciait les observations </w:t>
      </w:r>
      <w:r w:rsidR="00AC7201">
        <w:rPr>
          <w:bCs/>
          <w:lang w:val="fr-FR"/>
        </w:rPr>
        <w:t xml:space="preserve">formulées </w:t>
      </w:r>
      <w:r w:rsidRPr="007E1439">
        <w:rPr>
          <w:bCs/>
          <w:lang w:val="fr-FR"/>
        </w:rPr>
        <w:t xml:space="preserve">et recommandait au Comité de considérer un point essentiel qui favorisait son inscription, à savoir que la danse </w:t>
      </w:r>
      <w:proofErr w:type="spellStart"/>
      <w:r w:rsidRPr="007E1439">
        <w:rPr>
          <w:bCs/>
          <w:lang w:val="fr-FR"/>
        </w:rPr>
        <w:t>kalela</w:t>
      </w:r>
      <w:proofErr w:type="spellEnd"/>
      <w:r w:rsidRPr="007E1439">
        <w:rPr>
          <w:bCs/>
          <w:lang w:val="fr-FR"/>
        </w:rPr>
        <w:t xml:space="preserve"> est un vecteur d</w:t>
      </w:r>
      <w:r w:rsidR="00923E72">
        <w:rPr>
          <w:bCs/>
          <w:lang w:val="fr-FR"/>
        </w:rPr>
        <w:t>’</w:t>
      </w:r>
      <w:r w:rsidRPr="007E1439">
        <w:rPr>
          <w:bCs/>
          <w:lang w:val="fr-FR"/>
        </w:rPr>
        <w:t xml:space="preserve">inclusion et de cohésion sociale </w:t>
      </w:r>
      <w:r w:rsidRPr="007E1439">
        <w:rPr>
          <w:bCs/>
          <w:lang w:val="fr-FR"/>
        </w:rPr>
        <w:lastRenderedPageBreak/>
        <w:t>entre les différentes communautés de</w:t>
      </w:r>
      <w:r w:rsidR="00AC7201">
        <w:rPr>
          <w:bCs/>
          <w:lang w:val="fr-FR"/>
        </w:rPr>
        <w:t xml:space="preserve"> </w:t>
      </w:r>
      <w:r w:rsidRPr="007E1439">
        <w:rPr>
          <w:bCs/>
          <w:lang w:val="fr-FR"/>
        </w:rPr>
        <w:t>Zambie. La délégation a remercié le Botswana pour la proposition d</w:t>
      </w:r>
      <w:r w:rsidR="00923E72">
        <w:rPr>
          <w:bCs/>
          <w:lang w:val="fr-FR"/>
        </w:rPr>
        <w:t>’</w:t>
      </w:r>
      <w:r w:rsidRPr="007E1439">
        <w:rPr>
          <w:bCs/>
          <w:lang w:val="fr-FR"/>
        </w:rPr>
        <w:t>amendement et la Zambie pour la présentation de cet élément. Le Rwanda s</w:t>
      </w:r>
      <w:r w:rsidR="00923E72">
        <w:rPr>
          <w:bCs/>
          <w:lang w:val="fr-FR"/>
        </w:rPr>
        <w:t>’</w:t>
      </w:r>
      <w:r w:rsidRPr="007E1439">
        <w:rPr>
          <w:bCs/>
          <w:lang w:val="fr-FR"/>
        </w:rPr>
        <w:t>est porté coauteur de l</w:t>
      </w:r>
      <w:r w:rsidR="00923E72">
        <w:rPr>
          <w:bCs/>
          <w:lang w:val="fr-FR"/>
        </w:rPr>
        <w:t>’</w:t>
      </w:r>
      <w:r w:rsidRPr="007E1439">
        <w:rPr>
          <w:bCs/>
          <w:lang w:val="fr-FR"/>
        </w:rPr>
        <w:t>amendement.</w:t>
      </w:r>
    </w:p>
    <w:p w14:paraId="0FC27E54" w14:textId="6E975E7B" w:rsidR="007E1439" w:rsidRDefault="00A42C2C" w:rsidP="00702497">
      <w:pPr>
        <w:pStyle w:val="Orateurengris"/>
        <w:numPr>
          <w:ilvl w:val="0"/>
          <w:numId w:val="20"/>
        </w:numPr>
        <w:tabs>
          <w:tab w:val="clear" w:pos="567"/>
          <w:tab w:val="num" w:pos="709"/>
        </w:tabs>
        <w:spacing w:before="120"/>
        <w:ind w:left="709" w:hanging="709"/>
        <w:rPr>
          <w:bCs/>
          <w:lang w:val="fr-FR"/>
        </w:rPr>
      </w:pPr>
      <w:r w:rsidRPr="00A42C2C">
        <w:rPr>
          <w:bCs/>
          <w:lang w:val="fr-FR"/>
        </w:rPr>
        <w:t xml:space="preserve">La délégation du </w:t>
      </w:r>
      <w:r w:rsidRPr="00702497">
        <w:rPr>
          <w:b/>
          <w:lang w:val="fr-FR"/>
        </w:rPr>
        <w:t>Burkina</w:t>
      </w:r>
      <w:r w:rsidR="00AC7201">
        <w:rPr>
          <w:b/>
          <w:lang w:val="fr-FR"/>
        </w:rPr>
        <w:t> </w:t>
      </w:r>
      <w:r w:rsidRPr="00702497">
        <w:rPr>
          <w:b/>
          <w:lang w:val="fr-FR"/>
        </w:rPr>
        <w:t>Faso</w:t>
      </w:r>
      <w:r w:rsidRPr="00A42C2C">
        <w:rPr>
          <w:bCs/>
          <w:lang w:val="fr-FR"/>
        </w:rPr>
        <w:t xml:space="preserve"> soutenait l</w:t>
      </w:r>
      <w:r w:rsidR="00923E72">
        <w:rPr>
          <w:bCs/>
          <w:lang w:val="fr-FR"/>
        </w:rPr>
        <w:t>’</w:t>
      </w:r>
      <w:r w:rsidRPr="00A42C2C">
        <w:rPr>
          <w:bCs/>
          <w:lang w:val="fr-FR"/>
        </w:rPr>
        <w:t>inscription de cet élément</w:t>
      </w:r>
      <w:r w:rsidR="00377A05">
        <w:rPr>
          <w:bCs/>
          <w:lang w:val="fr-FR"/>
        </w:rPr>
        <w:t>,</w:t>
      </w:r>
      <w:r w:rsidRPr="00A42C2C">
        <w:rPr>
          <w:bCs/>
          <w:lang w:val="fr-FR"/>
        </w:rPr>
        <w:t xml:space="preserve"> qui met l</w:t>
      </w:r>
      <w:r w:rsidR="00923E72">
        <w:rPr>
          <w:bCs/>
          <w:lang w:val="fr-FR"/>
        </w:rPr>
        <w:t>’</w:t>
      </w:r>
      <w:r w:rsidRPr="00A42C2C">
        <w:rPr>
          <w:bCs/>
          <w:lang w:val="fr-FR"/>
        </w:rPr>
        <w:t>accent sur le dialogue et la diversité culturelle en tant que valeurs essentielles pouvant contribuer à la visibilité du patrimoine culturel en général. Elle avait un certain nombre de questions techniques sur l</w:t>
      </w:r>
      <w:r w:rsidR="00923E72">
        <w:rPr>
          <w:bCs/>
          <w:lang w:val="fr-FR"/>
        </w:rPr>
        <w:t>’</w:t>
      </w:r>
      <w:r w:rsidRPr="00A42C2C">
        <w:rPr>
          <w:bCs/>
          <w:lang w:val="fr-FR"/>
        </w:rPr>
        <w:t>évaluation par l</w:t>
      </w:r>
      <w:r w:rsidR="00923E72">
        <w:rPr>
          <w:bCs/>
          <w:lang w:val="fr-FR"/>
        </w:rPr>
        <w:t>’</w:t>
      </w:r>
      <w:r w:rsidRPr="00A42C2C">
        <w:rPr>
          <w:bCs/>
          <w:lang w:val="fr-FR"/>
        </w:rPr>
        <w:t>Organe d</w:t>
      </w:r>
      <w:r w:rsidR="00923E72">
        <w:rPr>
          <w:bCs/>
          <w:lang w:val="fr-FR"/>
        </w:rPr>
        <w:t>’</w:t>
      </w:r>
      <w:r w:rsidRPr="00A42C2C">
        <w:rPr>
          <w:bCs/>
          <w:lang w:val="fr-FR"/>
        </w:rPr>
        <w:t>évaluation. Elle se demandait notamment ce qui justifiait l</w:t>
      </w:r>
      <w:r w:rsidR="00923E72">
        <w:rPr>
          <w:bCs/>
          <w:lang w:val="fr-FR"/>
        </w:rPr>
        <w:t>’</w:t>
      </w:r>
      <w:r w:rsidRPr="00A42C2C">
        <w:rPr>
          <w:bCs/>
          <w:lang w:val="fr-FR"/>
        </w:rPr>
        <w:t>utilisation de lettres</w:t>
      </w:r>
      <w:r>
        <w:rPr>
          <w:bCs/>
          <w:lang w:val="fr-FR"/>
        </w:rPr>
        <w:t xml:space="preserve"> standardisées, si c</w:t>
      </w:r>
      <w:r w:rsidR="00923E72">
        <w:rPr>
          <w:bCs/>
          <w:lang w:val="fr-FR"/>
        </w:rPr>
        <w:t>’</w:t>
      </w:r>
      <w:r>
        <w:rPr>
          <w:bCs/>
          <w:lang w:val="fr-FR"/>
        </w:rPr>
        <w:t>é</w:t>
      </w:r>
      <w:r w:rsidRPr="00A42C2C">
        <w:rPr>
          <w:bCs/>
          <w:lang w:val="fr-FR"/>
        </w:rPr>
        <w:t>tait pour faciliter le processus d</w:t>
      </w:r>
      <w:r w:rsidR="00923E72">
        <w:rPr>
          <w:bCs/>
          <w:lang w:val="fr-FR"/>
        </w:rPr>
        <w:t>’</w:t>
      </w:r>
      <w:r w:rsidRPr="00A42C2C">
        <w:rPr>
          <w:bCs/>
          <w:lang w:val="fr-FR"/>
        </w:rPr>
        <w:t xml:space="preserve">obtention du consentement ou parce que tous les membres des communautés concernées ne </w:t>
      </w:r>
      <w:r>
        <w:rPr>
          <w:bCs/>
          <w:lang w:val="fr-FR"/>
        </w:rPr>
        <w:t>sav</w:t>
      </w:r>
      <w:r w:rsidR="00AC7201">
        <w:rPr>
          <w:bCs/>
          <w:lang w:val="fr-FR"/>
        </w:rPr>
        <w:t>ai</w:t>
      </w:r>
      <w:r>
        <w:rPr>
          <w:bCs/>
          <w:lang w:val="fr-FR"/>
        </w:rPr>
        <w:t xml:space="preserve">ent </w:t>
      </w:r>
      <w:r w:rsidRPr="00A42C2C">
        <w:rPr>
          <w:bCs/>
          <w:lang w:val="fr-FR"/>
        </w:rPr>
        <w:t xml:space="preserve">pas lire la langue dans laquelle les documents </w:t>
      </w:r>
      <w:r w:rsidR="00AC7201">
        <w:rPr>
          <w:bCs/>
          <w:lang w:val="fr-FR"/>
        </w:rPr>
        <w:t xml:space="preserve">étaient </w:t>
      </w:r>
      <w:r w:rsidRPr="00A42C2C">
        <w:rPr>
          <w:bCs/>
          <w:lang w:val="fr-FR"/>
        </w:rPr>
        <w:t>présentés</w:t>
      </w:r>
      <w:r>
        <w:rPr>
          <w:bCs/>
          <w:lang w:val="fr-FR"/>
        </w:rPr>
        <w:t>.</w:t>
      </w:r>
      <w:r w:rsidR="005558CF">
        <w:rPr>
          <w:bCs/>
          <w:lang w:val="fr-FR"/>
        </w:rPr>
        <w:t xml:space="preserve"> La </w:t>
      </w:r>
      <w:r w:rsidR="005558CF" w:rsidRPr="005558CF">
        <w:rPr>
          <w:bCs/>
          <w:lang w:val="fr-FR"/>
        </w:rPr>
        <w:t>délégation</w:t>
      </w:r>
      <w:r w:rsidR="005558CF">
        <w:rPr>
          <w:bCs/>
          <w:lang w:val="fr-FR"/>
        </w:rPr>
        <w:t xml:space="preserve"> se demandait si c</w:t>
      </w:r>
      <w:r w:rsidR="00923E72">
        <w:rPr>
          <w:bCs/>
          <w:lang w:val="fr-FR"/>
        </w:rPr>
        <w:t>’</w:t>
      </w:r>
      <w:r w:rsidR="005558CF">
        <w:rPr>
          <w:bCs/>
          <w:lang w:val="fr-FR"/>
        </w:rPr>
        <w:t xml:space="preserve">était </w:t>
      </w:r>
      <w:r w:rsidRPr="00A42C2C">
        <w:rPr>
          <w:bCs/>
          <w:lang w:val="fr-FR"/>
        </w:rPr>
        <w:t>un signe que l</w:t>
      </w:r>
      <w:r w:rsidR="00923E72">
        <w:rPr>
          <w:bCs/>
          <w:lang w:val="fr-FR"/>
        </w:rPr>
        <w:t>’</w:t>
      </w:r>
      <w:r w:rsidRPr="00A42C2C">
        <w:rPr>
          <w:bCs/>
          <w:lang w:val="fr-FR"/>
        </w:rPr>
        <w:t>Afrique est fortement marquée par l</w:t>
      </w:r>
      <w:r w:rsidR="00923E72">
        <w:rPr>
          <w:bCs/>
          <w:lang w:val="fr-FR"/>
        </w:rPr>
        <w:t>’</w:t>
      </w:r>
      <w:r w:rsidRPr="00A42C2C">
        <w:rPr>
          <w:bCs/>
          <w:lang w:val="fr-FR"/>
        </w:rPr>
        <w:t>oralité</w:t>
      </w:r>
      <w:r w:rsidR="005558CF">
        <w:rPr>
          <w:bCs/>
          <w:lang w:val="fr-FR"/>
        </w:rPr>
        <w:t>.</w:t>
      </w:r>
      <w:r w:rsidRPr="00A42C2C">
        <w:rPr>
          <w:bCs/>
          <w:lang w:val="fr-FR"/>
        </w:rPr>
        <w:t xml:space="preserve"> Par ailleurs, l</w:t>
      </w:r>
      <w:r w:rsidR="00923E72">
        <w:rPr>
          <w:bCs/>
          <w:lang w:val="fr-FR"/>
        </w:rPr>
        <w:t>’</w:t>
      </w:r>
      <w:r w:rsidRPr="00A42C2C">
        <w:rPr>
          <w:bCs/>
          <w:lang w:val="fr-FR"/>
        </w:rPr>
        <w:t>évaluation avait estimé que les communautés n</w:t>
      </w:r>
      <w:r w:rsidR="00923E72">
        <w:rPr>
          <w:bCs/>
          <w:lang w:val="fr-FR"/>
        </w:rPr>
        <w:t>’</w:t>
      </w:r>
      <w:r w:rsidRPr="00A42C2C">
        <w:rPr>
          <w:bCs/>
          <w:lang w:val="fr-FR"/>
        </w:rPr>
        <w:t>étaient pas suffisamment impliquées dans la sauvegarde de l</w:t>
      </w:r>
      <w:r w:rsidR="00923E72">
        <w:rPr>
          <w:bCs/>
          <w:lang w:val="fr-FR"/>
        </w:rPr>
        <w:t>’</w:t>
      </w:r>
      <w:r w:rsidRPr="00A42C2C">
        <w:rPr>
          <w:bCs/>
          <w:lang w:val="fr-FR"/>
        </w:rPr>
        <w:t xml:space="preserve">élément. </w:t>
      </w:r>
      <w:r>
        <w:rPr>
          <w:bCs/>
          <w:lang w:val="fr-FR"/>
        </w:rPr>
        <w:t xml:space="preserve">La </w:t>
      </w:r>
      <w:r w:rsidRPr="00A42C2C">
        <w:rPr>
          <w:bCs/>
          <w:lang w:val="fr-FR"/>
        </w:rPr>
        <w:t>délégation</w:t>
      </w:r>
      <w:r>
        <w:rPr>
          <w:bCs/>
          <w:lang w:val="fr-FR"/>
        </w:rPr>
        <w:t xml:space="preserve"> se demandait q</w:t>
      </w:r>
      <w:r w:rsidRPr="00A42C2C">
        <w:rPr>
          <w:bCs/>
          <w:lang w:val="fr-FR"/>
        </w:rPr>
        <w:t>uel était le niveau d</w:t>
      </w:r>
      <w:r w:rsidR="008C03E8">
        <w:rPr>
          <w:bCs/>
          <w:lang w:val="fr-FR"/>
        </w:rPr>
        <w:t xml:space="preserve">e participation </w:t>
      </w:r>
      <w:r w:rsidRPr="00A42C2C">
        <w:rPr>
          <w:bCs/>
          <w:lang w:val="fr-FR"/>
        </w:rPr>
        <w:t xml:space="preserve">des communautés </w:t>
      </w:r>
      <w:r w:rsidR="008C03E8">
        <w:rPr>
          <w:bCs/>
          <w:lang w:val="fr-FR"/>
        </w:rPr>
        <w:t xml:space="preserve">à </w:t>
      </w:r>
      <w:r w:rsidRPr="00A42C2C">
        <w:rPr>
          <w:bCs/>
          <w:lang w:val="fr-FR"/>
        </w:rPr>
        <w:t>la sauvegarde de l</w:t>
      </w:r>
      <w:r w:rsidR="00923E72">
        <w:rPr>
          <w:bCs/>
          <w:lang w:val="fr-FR"/>
        </w:rPr>
        <w:t>’</w:t>
      </w:r>
      <w:r w:rsidRPr="00A42C2C">
        <w:rPr>
          <w:bCs/>
          <w:lang w:val="fr-FR"/>
        </w:rPr>
        <w:t>élément</w:t>
      </w:r>
      <w:r>
        <w:rPr>
          <w:bCs/>
          <w:lang w:val="fr-FR"/>
        </w:rPr>
        <w:t xml:space="preserve">, sachant que </w:t>
      </w:r>
      <w:r w:rsidRPr="00A42C2C">
        <w:rPr>
          <w:bCs/>
          <w:lang w:val="fr-FR"/>
        </w:rPr>
        <w:t>les instrument</w:t>
      </w:r>
      <w:r>
        <w:rPr>
          <w:bCs/>
          <w:lang w:val="fr-FR"/>
        </w:rPr>
        <w:t>s</w:t>
      </w:r>
      <w:r w:rsidRPr="00A42C2C">
        <w:rPr>
          <w:bCs/>
          <w:lang w:val="fr-FR"/>
        </w:rPr>
        <w:t xml:space="preserve"> de musique sont des éléments importants du patrimoine culturel et sont associés à la mise en œuvre de l</w:t>
      </w:r>
      <w:r w:rsidR="00923E72">
        <w:rPr>
          <w:bCs/>
          <w:lang w:val="fr-FR"/>
        </w:rPr>
        <w:t>’</w:t>
      </w:r>
      <w:r w:rsidRPr="00A42C2C">
        <w:rPr>
          <w:bCs/>
          <w:lang w:val="fr-FR"/>
        </w:rPr>
        <w:t>élément, et que ces instruments sont principalement fabriqués par les communautés elles-mêmes. La délégation a demandé à la Zambie de clarifier l</w:t>
      </w:r>
      <w:r w:rsidR="008C03E8">
        <w:rPr>
          <w:bCs/>
          <w:lang w:val="fr-FR"/>
        </w:rPr>
        <w:t>a participation</w:t>
      </w:r>
      <w:r w:rsidRPr="00A42C2C">
        <w:rPr>
          <w:bCs/>
          <w:lang w:val="fr-FR"/>
        </w:rPr>
        <w:t xml:space="preserve"> de ces communautés </w:t>
      </w:r>
      <w:r w:rsidR="008C03E8">
        <w:rPr>
          <w:bCs/>
          <w:lang w:val="fr-FR"/>
        </w:rPr>
        <w:t xml:space="preserve">à </w:t>
      </w:r>
      <w:r w:rsidRPr="00A42C2C">
        <w:rPr>
          <w:bCs/>
          <w:lang w:val="fr-FR"/>
        </w:rPr>
        <w:t xml:space="preserve">la </w:t>
      </w:r>
      <w:r>
        <w:rPr>
          <w:bCs/>
          <w:lang w:val="fr-FR"/>
        </w:rPr>
        <w:t xml:space="preserve">fabrication </w:t>
      </w:r>
      <w:r w:rsidRPr="00A42C2C">
        <w:rPr>
          <w:bCs/>
          <w:lang w:val="fr-FR"/>
        </w:rPr>
        <w:t>des instruments, ce qui pourrait donc contribuer à la sauvegarde de l</w:t>
      </w:r>
      <w:r w:rsidR="00923E72">
        <w:rPr>
          <w:bCs/>
          <w:lang w:val="fr-FR"/>
        </w:rPr>
        <w:t>’</w:t>
      </w:r>
      <w:r w:rsidRPr="00A42C2C">
        <w:rPr>
          <w:bCs/>
          <w:lang w:val="fr-FR"/>
        </w:rPr>
        <w:t>élément. Le Burkina</w:t>
      </w:r>
      <w:r w:rsidR="005558CF">
        <w:rPr>
          <w:bCs/>
          <w:lang w:val="fr-FR"/>
        </w:rPr>
        <w:t> </w:t>
      </w:r>
      <w:r w:rsidRPr="00A42C2C">
        <w:rPr>
          <w:bCs/>
          <w:lang w:val="fr-FR"/>
        </w:rPr>
        <w:t>Faso a réitéré son soutien à l</w:t>
      </w:r>
      <w:r w:rsidR="00923E72">
        <w:rPr>
          <w:bCs/>
          <w:lang w:val="fr-FR"/>
        </w:rPr>
        <w:t>’</w:t>
      </w:r>
      <w:r w:rsidRPr="00A42C2C">
        <w:rPr>
          <w:bCs/>
          <w:lang w:val="fr-FR"/>
        </w:rPr>
        <w:t>inscription de cet élément.</w:t>
      </w:r>
    </w:p>
    <w:p w14:paraId="077664AC" w14:textId="645CE8D7" w:rsidR="00324CA6" w:rsidRDefault="00324CA6" w:rsidP="00702497">
      <w:pPr>
        <w:pStyle w:val="Orateurengris"/>
        <w:numPr>
          <w:ilvl w:val="0"/>
          <w:numId w:val="20"/>
        </w:numPr>
        <w:tabs>
          <w:tab w:val="clear" w:pos="567"/>
          <w:tab w:val="num" w:pos="709"/>
        </w:tabs>
        <w:spacing w:before="120"/>
        <w:ind w:left="709" w:hanging="709"/>
        <w:rPr>
          <w:bCs/>
          <w:lang w:val="fr-FR"/>
        </w:rPr>
      </w:pPr>
      <w:r>
        <w:rPr>
          <w:bCs/>
          <w:lang w:val="fr-FR"/>
        </w:rPr>
        <w:t xml:space="preserve">Le </w:t>
      </w:r>
      <w:r w:rsidRPr="00702497">
        <w:rPr>
          <w:b/>
          <w:lang w:val="fr-FR"/>
        </w:rPr>
        <w:t>Président</w:t>
      </w:r>
      <w:r>
        <w:rPr>
          <w:bCs/>
          <w:lang w:val="fr-FR"/>
        </w:rPr>
        <w:t xml:space="preserve"> a constaté le vaste soutien et a demandé à la Zambie de répondre.</w:t>
      </w:r>
    </w:p>
    <w:p w14:paraId="71B5B991" w14:textId="4DF49DCC" w:rsidR="00A42C2C" w:rsidRDefault="00A42C2C" w:rsidP="00702497">
      <w:pPr>
        <w:pStyle w:val="Orateurengris"/>
        <w:numPr>
          <w:ilvl w:val="0"/>
          <w:numId w:val="20"/>
        </w:numPr>
        <w:tabs>
          <w:tab w:val="clear" w:pos="567"/>
          <w:tab w:val="num" w:pos="709"/>
        </w:tabs>
        <w:spacing w:before="120"/>
        <w:ind w:left="709" w:hanging="709"/>
        <w:rPr>
          <w:bCs/>
          <w:lang w:val="fr-FR"/>
        </w:rPr>
      </w:pPr>
      <w:r w:rsidRPr="00A42C2C">
        <w:rPr>
          <w:bCs/>
          <w:lang w:val="fr-FR"/>
        </w:rPr>
        <w:t xml:space="preserve">La délégation de la </w:t>
      </w:r>
      <w:r w:rsidRPr="00702497">
        <w:rPr>
          <w:b/>
          <w:lang w:val="fr-FR"/>
        </w:rPr>
        <w:t>Zambie</w:t>
      </w:r>
      <w:r w:rsidRPr="00A42C2C">
        <w:rPr>
          <w:bCs/>
          <w:lang w:val="fr-FR"/>
        </w:rPr>
        <w:t xml:space="preserve"> a expliqué que l</w:t>
      </w:r>
      <w:r w:rsidR="00923E72">
        <w:rPr>
          <w:bCs/>
          <w:lang w:val="fr-FR"/>
        </w:rPr>
        <w:t>’</w:t>
      </w:r>
      <w:r w:rsidRPr="00A42C2C">
        <w:rPr>
          <w:bCs/>
          <w:lang w:val="fr-FR"/>
        </w:rPr>
        <w:t>utilisation de lettres standard était due au fait</w:t>
      </w:r>
      <w:r w:rsidR="00AC7201">
        <w:rPr>
          <w:bCs/>
          <w:lang w:val="fr-FR"/>
        </w:rPr>
        <w:t>,</w:t>
      </w:r>
      <w:r w:rsidRPr="00A42C2C">
        <w:rPr>
          <w:bCs/>
          <w:lang w:val="fr-FR"/>
        </w:rPr>
        <w:t xml:space="preserve"> qu</w:t>
      </w:r>
      <w:r w:rsidR="00923E72">
        <w:rPr>
          <w:bCs/>
          <w:lang w:val="fr-FR"/>
        </w:rPr>
        <w:t>’</w:t>
      </w:r>
      <w:r w:rsidRPr="00A42C2C">
        <w:rPr>
          <w:bCs/>
          <w:lang w:val="fr-FR"/>
        </w:rPr>
        <w:t>en dehors des zones urbaines, les habitants des zones rurales ne savent ni lire ni écrire et qu</w:t>
      </w:r>
      <w:r w:rsidR="00923E72">
        <w:rPr>
          <w:bCs/>
          <w:lang w:val="fr-FR"/>
        </w:rPr>
        <w:t>’</w:t>
      </w:r>
      <w:r w:rsidRPr="00A42C2C">
        <w:rPr>
          <w:bCs/>
          <w:lang w:val="fr-FR"/>
        </w:rPr>
        <w:t>il leur est donc impossible de rédiger leur propre lettre de consentement. Il avait donc été nécessaire d</w:t>
      </w:r>
      <w:r w:rsidR="00923E72">
        <w:rPr>
          <w:bCs/>
          <w:lang w:val="fr-FR"/>
        </w:rPr>
        <w:t>’</w:t>
      </w:r>
      <w:r w:rsidRPr="00A42C2C">
        <w:rPr>
          <w:bCs/>
          <w:lang w:val="fr-FR"/>
        </w:rPr>
        <w:t>utiliser un formulaire de consentement standard</w:t>
      </w:r>
      <w:r w:rsidR="00377A05">
        <w:rPr>
          <w:bCs/>
          <w:lang w:val="fr-FR"/>
        </w:rPr>
        <w:t>,</w:t>
      </w:r>
      <w:r w:rsidRPr="00A42C2C">
        <w:rPr>
          <w:bCs/>
          <w:lang w:val="fr-FR"/>
        </w:rPr>
        <w:t xml:space="preserve"> qui leur avait été expliqué et </w:t>
      </w:r>
      <w:r>
        <w:rPr>
          <w:bCs/>
          <w:lang w:val="fr-FR"/>
        </w:rPr>
        <w:t xml:space="preserve">traduit </w:t>
      </w:r>
      <w:r w:rsidRPr="00A42C2C">
        <w:rPr>
          <w:bCs/>
          <w:lang w:val="fr-FR"/>
        </w:rPr>
        <w:t>dans leur propre langue, en travaillant avec eux pour obtenir leur consentement. Pour cette raison, les formulaires de consentement étaient rédigés à la fois en anglais et également dans la langue locale</w:t>
      </w:r>
      <w:r w:rsidR="00AC7201">
        <w:rPr>
          <w:bCs/>
          <w:lang w:val="fr-FR"/>
        </w:rPr>
        <w:t>,</w:t>
      </w:r>
      <w:r w:rsidRPr="00A42C2C">
        <w:rPr>
          <w:bCs/>
          <w:lang w:val="fr-FR"/>
        </w:rPr>
        <w:t xml:space="preserve"> afin qu</w:t>
      </w:r>
      <w:r w:rsidR="00923E72">
        <w:rPr>
          <w:bCs/>
          <w:lang w:val="fr-FR"/>
        </w:rPr>
        <w:t>’</w:t>
      </w:r>
      <w:r w:rsidRPr="00A42C2C">
        <w:rPr>
          <w:bCs/>
          <w:lang w:val="fr-FR"/>
        </w:rPr>
        <w:t>ils comprennent qu</w:t>
      </w:r>
      <w:r w:rsidR="00923E72">
        <w:rPr>
          <w:bCs/>
          <w:lang w:val="fr-FR"/>
        </w:rPr>
        <w:t>’</w:t>
      </w:r>
      <w:r w:rsidRPr="00A42C2C">
        <w:rPr>
          <w:bCs/>
          <w:lang w:val="fr-FR"/>
        </w:rPr>
        <w:t>il s</w:t>
      </w:r>
      <w:r w:rsidR="00923E72">
        <w:rPr>
          <w:bCs/>
          <w:lang w:val="fr-FR"/>
        </w:rPr>
        <w:t>’</w:t>
      </w:r>
      <w:r w:rsidRPr="00A42C2C">
        <w:rPr>
          <w:bCs/>
          <w:lang w:val="fr-FR"/>
        </w:rPr>
        <w:t>agissait d</w:t>
      </w:r>
      <w:r w:rsidR="00923E72">
        <w:rPr>
          <w:bCs/>
          <w:lang w:val="fr-FR"/>
        </w:rPr>
        <w:t>’</w:t>
      </w:r>
      <w:r w:rsidRPr="00A42C2C">
        <w:rPr>
          <w:bCs/>
          <w:lang w:val="fr-FR"/>
        </w:rPr>
        <w:t>un formulaire en anglais suivi d</w:t>
      </w:r>
      <w:r w:rsidR="00923E72">
        <w:rPr>
          <w:bCs/>
          <w:lang w:val="fr-FR"/>
        </w:rPr>
        <w:t>’</w:t>
      </w:r>
      <w:r w:rsidRPr="00A42C2C">
        <w:rPr>
          <w:bCs/>
          <w:lang w:val="fr-FR"/>
        </w:rPr>
        <w:t xml:space="preserve">une traduction. En ce qui concerne les mesures de sauvegarde et </w:t>
      </w:r>
      <w:r w:rsidR="008C03E8">
        <w:rPr>
          <w:bCs/>
          <w:lang w:val="fr-FR"/>
        </w:rPr>
        <w:t xml:space="preserve">la participation </w:t>
      </w:r>
      <w:r w:rsidRPr="00A42C2C">
        <w:rPr>
          <w:bCs/>
          <w:lang w:val="fr-FR"/>
        </w:rPr>
        <w:t>des communautés, la délégation a expliqué que</w:t>
      </w:r>
      <w:r w:rsidR="003D744B">
        <w:rPr>
          <w:bCs/>
          <w:lang w:val="fr-FR"/>
        </w:rPr>
        <w:t>,</w:t>
      </w:r>
      <w:r w:rsidRPr="00A42C2C">
        <w:rPr>
          <w:bCs/>
          <w:lang w:val="fr-FR"/>
        </w:rPr>
        <w:t xml:space="preserve"> dans le cadre du travail de terrain, lorsqu</w:t>
      </w:r>
      <w:r w:rsidR="003D744B">
        <w:rPr>
          <w:bCs/>
          <w:lang w:val="fr-FR"/>
        </w:rPr>
        <w:t>e l</w:t>
      </w:r>
      <w:r w:rsidR="00923E72">
        <w:rPr>
          <w:bCs/>
          <w:lang w:val="fr-FR"/>
        </w:rPr>
        <w:t>’</w:t>
      </w:r>
      <w:r w:rsidRPr="00A42C2C">
        <w:rPr>
          <w:bCs/>
          <w:lang w:val="fr-FR"/>
        </w:rPr>
        <w:t>on se rend</w:t>
      </w:r>
      <w:r w:rsidR="003D744B">
        <w:rPr>
          <w:bCs/>
          <w:lang w:val="fr-FR"/>
        </w:rPr>
        <w:t>ait</w:t>
      </w:r>
      <w:r w:rsidRPr="00A42C2C">
        <w:rPr>
          <w:bCs/>
          <w:lang w:val="fr-FR"/>
        </w:rPr>
        <w:t xml:space="preserve"> dans les zones rurales et que l</w:t>
      </w:r>
      <w:r w:rsidR="00923E72">
        <w:rPr>
          <w:bCs/>
          <w:lang w:val="fr-FR"/>
        </w:rPr>
        <w:t>’</w:t>
      </w:r>
      <w:r w:rsidRPr="00A42C2C">
        <w:rPr>
          <w:bCs/>
          <w:lang w:val="fr-FR"/>
        </w:rPr>
        <w:t>on travaill</w:t>
      </w:r>
      <w:r w:rsidR="003D744B">
        <w:rPr>
          <w:bCs/>
          <w:lang w:val="fr-FR"/>
        </w:rPr>
        <w:t>ait</w:t>
      </w:r>
      <w:r w:rsidRPr="00A42C2C">
        <w:rPr>
          <w:bCs/>
          <w:lang w:val="fr-FR"/>
        </w:rPr>
        <w:t xml:space="preserve"> avec les praticiens, </w:t>
      </w:r>
      <w:r w:rsidR="003D744B">
        <w:rPr>
          <w:bCs/>
          <w:lang w:val="fr-FR"/>
        </w:rPr>
        <w:t xml:space="preserve">on ne parvenait à rien </w:t>
      </w:r>
      <w:r w:rsidRPr="00A42C2C">
        <w:rPr>
          <w:bCs/>
          <w:lang w:val="fr-FR"/>
        </w:rPr>
        <w:t>sans l</w:t>
      </w:r>
      <w:r w:rsidR="00923E72">
        <w:rPr>
          <w:bCs/>
          <w:lang w:val="fr-FR"/>
        </w:rPr>
        <w:t>’</w:t>
      </w:r>
      <w:r w:rsidRPr="00A42C2C">
        <w:rPr>
          <w:bCs/>
          <w:lang w:val="fr-FR"/>
        </w:rPr>
        <w:t xml:space="preserve">autorité des chefs traditionnels, des gardiens et des praticiens. Le travail </w:t>
      </w:r>
      <w:r w:rsidR="003D744B">
        <w:rPr>
          <w:bCs/>
          <w:lang w:val="fr-FR"/>
        </w:rPr>
        <w:t>de</w:t>
      </w:r>
      <w:r w:rsidRPr="00A42C2C">
        <w:rPr>
          <w:bCs/>
          <w:lang w:val="fr-FR"/>
        </w:rPr>
        <w:t xml:space="preserve"> terrain </w:t>
      </w:r>
      <w:r w:rsidR="003D744B">
        <w:rPr>
          <w:bCs/>
          <w:lang w:val="fr-FR"/>
        </w:rPr>
        <w:t xml:space="preserve">pour préparer le dossier avec les membres des </w:t>
      </w:r>
      <w:r w:rsidR="003D744B" w:rsidRPr="003D744B">
        <w:rPr>
          <w:bCs/>
          <w:color w:val="000000" w:themeColor="text1"/>
          <w:lang w:val="fr-FR"/>
        </w:rPr>
        <w:t>communautés</w:t>
      </w:r>
      <w:r w:rsidR="003D744B">
        <w:rPr>
          <w:bCs/>
          <w:color w:val="000000" w:themeColor="text1"/>
          <w:lang w:val="fr-FR"/>
        </w:rPr>
        <w:t xml:space="preserve"> </w:t>
      </w:r>
      <w:r w:rsidRPr="00A42C2C">
        <w:rPr>
          <w:bCs/>
          <w:lang w:val="fr-FR"/>
        </w:rPr>
        <w:t>p</w:t>
      </w:r>
      <w:r w:rsidR="00FC0AE4">
        <w:rPr>
          <w:bCs/>
          <w:lang w:val="fr-FR"/>
        </w:rPr>
        <w:t>ouvait</w:t>
      </w:r>
      <w:r w:rsidRPr="00A42C2C">
        <w:rPr>
          <w:bCs/>
          <w:lang w:val="fr-FR"/>
        </w:rPr>
        <w:t xml:space="preserve"> durer des semaines. Ils </w:t>
      </w:r>
      <w:r w:rsidR="00FC0AE4">
        <w:rPr>
          <w:bCs/>
          <w:lang w:val="fr-FR"/>
        </w:rPr>
        <w:t xml:space="preserve">étaient </w:t>
      </w:r>
      <w:r w:rsidRPr="00A42C2C">
        <w:rPr>
          <w:bCs/>
          <w:lang w:val="fr-FR"/>
        </w:rPr>
        <w:t xml:space="preserve">pleinement impliqués dans le processus, du début à la fin, et pas seulement en ce qui concerne la définition, la visibilité et les mesures de sauvegarde. </w:t>
      </w:r>
      <w:r w:rsidR="003D744B">
        <w:rPr>
          <w:bCs/>
          <w:lang w:val="fr-FR"/>
        </w:rPr>
        <w:t>Mais, c</w:t>
      </w:r>
      <w:r w:rsidRPr="00A42C2C">
        <w:rPr>
          <w:bCs/>
          <w:lang w:val="fr-FR"/>
        </w:rPr>
        <w:t>e n</w:t>
      </w:r>
      <w:r w:rsidR="00923E72">
        <w:rPr>
          <w:bCs/>
          <w:lang w:val="fr-FR"/>
        </w:rPr>
        <w:t>’</w:t>
      </w:r>
      <w:r w:rsidR="00FC0AE4">
        <w:rPr>
          <w:bCs/>
          <w:lang w:val="fr-FR"/>
        </w:rPr>
        <w:t>était</w:t>
      </w:r>
      <w:r w:rsidRPr="00A42C2C">
        <w:rPr>
          <w:bCs/>
          <w:lang w:val="fr-FR"/>
        </w:rPr>
        <w:t xml:space="preserve"> que lorsque les chefs traditionnels donn</w:t>
      </w:r>
      <w:r w:rsidR="00FC0AE4">
        <w:rPr>
          <w:bCs/>
          <w:lang w:val="fr-FR"/>
        </w:rPr>
        <w:t>ai</w:t>
      </w:r>
      <w:r w:rsidRPr="00A42C2C">
        <w:rPr>
          <w:bCs/>
          <w:lang w:val="fr-FR"/>
        </w:rPr>
        <w:t xml:space="preserve">ent leur accord et </w:t>
      </w:r>
      <w:r w:rsidR="00FC0AE4">
        <w:rPr>
          <w:bCs/>
          <w:lang w:val="fr-FR"/>
        </w:rPr>
        <w:t xml:space="preserve">étaient </w:t>
      </w:r>
      <w:r w:rsidRPr="00A42C2C">
        <w:rPr>
          <w:bCs/>
          <w:lang w:val="fr-FR"/>
        </w:rPr>
        <w:t>satisfaits que le dossier p</w:t>
      </w:r>
      <w:r w:rsidR="00FC0AE4">
        <w:rPr>
          <w:bCs/>
          <w:lang w:val="fr-FR"/>
        </w:rPr>
        <w:t>ouvai</w:t>
      </w:r>
      <w:r w:rsidRPr="00A42C2C">
        <w:rPr>
          <w:bCs/>
          <w:lang w:val="fr-FR"/>
        </w:rPr>
        <w:t>t être soumis.</w:t>
      </w:r>
    </w:p>
    <w:p w14:paraId="608D0102" w14:textId="2FE0D537" w:rsidR="00FC0AE4" w:rsidRDefault="00FC0AE4" w:rsidP="00702497">
      <w:pPr>
        <w:pStyle w:val="Orateurengris"/>
        <w:numPr>
          <w:ilvl w:val="0"/>
          <w:numId w:val="20"/>
        </w:numPr>
        <w:tabs>
          <w:tab w:val="clear" w:pos="567"/>
          <w:tab w:val="num" w:pos="709"/>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la Zambie pour la clarté des explications données.</w:t>
      </w:r>
    </w:p>
    <w:p w14:paraId="5F6079B8" w14:textId="4616A581" w:rsidR="00FC0AE4" w:rsidRDefault="00FC0AE4" w:rsidP="00702497">
      <w:pPr>
        <w:pStyle w:val="Orateurengris"/>
        <w:numPr>
          <w:ilvl w:val="0"/>
          <w:numId w:val="20"/>
        </w:numPr>
        <w:tabs>
          <w:tab w:val="clear" w:pos="567"/>
          <w:tab w:val="num" w:pos="709"/>
        </w:tabs>
        <w:spacing w:before="120"/>
        <w:ind w:left="709" w:hanging="709"/>
        <w:rPr>
          <w:bCs/>
          <w:lang w:val="fr-FR"/>
        </w:rPr>
      </w:pPr>
      <w:r w:rsidRPr="00FC0AE4">
        <w:rPr>
          <w:bCs/>
          <w:lang w:val="fr-FR"/>
        </w:rPr>
        <w:t xml:space="preserve">La délégation du </w:t>
      </w:r>
      <w:r w:rsidRPr="00702497">
        <w:rPr>
          <w:b/>
          <w:lang w:val="fr-FR"/>
        </w:rPr>
        <w:t>Brésil</w:t>
      </w:r>
      <w:r w:rsidRPr="00FC0AE4">
        <w:rPr>
          <w:bCs/>
          <w:lang w:val="fr-FR"/>
        </w:rPr>
        <w:t xml:space="preserve"> était satisfaite des informations</w:t>
      </w:r>
      <w:r w:rsidR="0004624F">
        <w:rPr>
          <w:bCs/>
          <w:lang w:val="fr-FR"/>
        </w:rPr>
        <w:t xml:space="preserve"> données</w:t>
      </w:r>
      <w:r w:rsidRPr="00FC0AE4">
        <w:rPr>
          <w:bCs/>
          <w:lang w:val="fr-FR"/>
        </w:rPr>
        <w:t>. En ce qui concerne le critère</w:t>
      </w:r>
      <w:r w:rsidR="00324CA6">
        <w:rPr>
          <w:bCs/>
          <w:lang w:val="fr-FR"/>
        </w:rPr>
        <w:t> </w:t>
      </w:r>
      <w:r w:rsidRPr="00FC0AE4">
        <w:rPr>
          <w:bCs/>
          <w:lang w:val="fr-FR"/>
        </w:rPr>
        <w:t>R.2, il a été rappelé que l</w:t>
      </w:r>
      <w:r w:rsidR="00923E72">
        <w:rPr>
          <w:bCs/>
          <w:lang w:val="fr-FR"/>
        </w:rPr>
        <w:t>’</w:t>
      </w:r>
      <w:r w:rsidRPr="00FC0AE4">
        <w:rPr>
          <w:bCs/>
          <w:lang w:val="fr-FR"/>
        </w:rPr>
        <w:t>État partie s</w:t>
      </w:r>
      <w:r w:rsidR="00923E72">
        <w:rPr>
          <w:bCs/>
          <w:lang w:val="fr-FR"/>
        </w:rPr>
        <w:t>’</w:t>
      </w:r>
      <w:r w:rsidRPr="00FC0AE4">
        <w:rPr>
          <w:bCs/>
          <w:lang w:val="fr-FR"/>
        </w:rPr>
        <w:t>était déjà mobilisé pour promouvoir des mesures de sauvegarde visant à protéger les pratiques culturelles aux niveaux régional et national. La délégation estimait que l</w:t>
      </w:r>
      <w:r w:rsidR="00923E72">
        <w:rPr>
          <w:bCs/>
          <w:lang w:val="fr-FR"/>
        </w:rPr>
        <w:t>’</w:t>
      </w:r>
      <w:r w:rsidRPr="00FC0AE4">
        <w:rPr>
          <w:bCs/>
          <w:lang w:val="fr-FR"/>
        </w:rPr>
        <w:t xml:space="preserve">inscription de la danse </w:t>
      </w:r>
      <w:proofErr w:type="spellStart"/>
      <w:r w:rsidRPr="00FC0AE4">
        <w:rPr>
          <w:bCs/>
          <w:lang w:val="fr-FR"/>
        </w:rPr>
        <w:t>kalela</w:t>
      </w:r>
      <w:proofErr w:type="spellEnd"/>
      <w:r w:rsidRPr="00FC0AE4">
        <w:rPr>
          <w:bCs/>
          <w:lang w:val="fr-FR"/>
        </w:rPr>
        <w:t xml:space="preserve"> sur la Liste représentative contribuerait à une visibilité encore plus grande et à une meilleure prise de conscience du patrimoine culturel immatériel en général et au niveau international. En ce qui concerne le critère</w:t>
      </w:r>
      <w:r w:rsidR="00324CA6">
        <w:rPr>
          <w:bCs/>
          <w:lang w:val="fr-FR"/>
        </w:rPr>
        <w:t> </w:t>
      </w:r>
      <w:r w:rsidRPr="00FC0AE4">
        <w:rPr>
          <w:bCs/>
          <w:lang w:val="fr-FR"/>
        </w:rPr>
        <w:t>R.4, la délégation comprenait que les lettres de consentement étaient présentées de manière standardisée afin d</w:t>
      </w:r>
      <w:r w:rsidR="00923E72">
        <w:rPr>
          <w:bCs/>
          <w:lang w:val="fr-FR"/>
        </w:rPr>
        <w:t>’</w:t>
      </w:r>
      <w:r w:rsidRPr="00FC0AE4">
        <w:rPr>
          <w:bCs/>
          <w:lang w:val="fr-FR"/>
        </w:rPr>
        <w:t xml:space="preserve">atténuer les </w:t>
      </w:r>
      <w:r w:rsidR="0004624F">
        <w:rPr>
          <w:bCs/>
          <w:lang w:val="fr-FR"/>
        </w:rPr>
        <w:t xml:space="preserve">obstacles </w:t>
      </w:r>
      <w:r w:rsidRPr="00FC0AE4">
        <w:rPr>
          <w:bCs/>
          <w:lang w:val="fr-FR"/>
        </w:rPr>
        <w:t>éventuel</w:t>
      </w:r>
      <w:r w:rsidR="0004624F">
        <w:rPr>
          <w:bCs/>
          <w:lang w:val="fr-FR"/>
        </w:rPr>
        <w:t>s que rencontreraient l</w:t>
      </w:r>
      <w:r w:rsidRPr="00FC0AE4">
        <w:rPr>
          <w:bCs/>
          <w:lang w:val="fr-FR"/>
        </w:rPr>
        <w:t>es communautés locales dans l</w:t>
      </w:r>
      <w:r w:rsidR="00923E72">
        <w:rPr>
          <w:bCs/>
          <w:lang w:val="fr-FR"/>
        </w:rPr>
        <w:t>’</w:t>
      </w:r>
      <w:r w:rsidRPr="00FC0AE4">
        <w:rPr>
          <w:bCs/>
          <w:lang w:val="fr-FR"/>
        </w:rPr>
        <w:t>expression de leur consentement libre et préalable. C</w:t>
      </w:r>
      <w:r w:rsidR="00923E72">
        <w:rPr>
          <w:bCs/>
          <w:lang w:val="fr-FR"/>
        </w:rPr>
        <w:t>’</w:t>
      </w:r>
      <w:r w:rsidRPr="00FC0AE4">
        <w:rPr>
          <w:bCs/>
          <w:lang w:val="fr-FR"/>
        </w:rPr>
        <w:t xml:space="preserve">était un problème </w:t>
      </w:r>
      <w:r w:rsidR="003D744B">
        <w:rPr>
          <w:bCs/>
          <w:lang w:val="fr-FR"/>
        </w:rPr>
        <w:t xml:space="preserve">connu </w:t>
      </w:r>
      <w:r w:rsidRPr="00FC0AE4">
        <w:rPr>
          <w:bCs/>
          <w:lang w:val="fr-FR"/>
        </w:rPr>
        <w:t>également au Brésil et peut-être dans le dossier de Cuba. Dans ces sociétés, les commentaires et les expressions écrites pouvaient parfois être difficiles à communiquer. En ce qui concerne le critère</w:t>
      </w:r>
      <w:r w:rsidR="00324CA6">
        <w:rPr>
          <w:bCs/>
          <w:lang w:val="fr-FR"/>
        </w:rPr>
        <w:t> </w:t>
      </w:r>
      <w:r w:rsidRPr="00FC0AE4">
        <w:rPr>
          <w:bCs/>
          <w:lang w:val="fr-FR"/>
        </w:rPr>
        <w:t>R.5, la délégation a rappelé au Comité qu</w:t>
      </w:r>
      <w:r w:rsidR="00923E72">
        <w:rPr>
          <w:bCs/>
          <w:lang w:val="fr-FR"/>
        </w:rPr>
        <w:t>’</w:t>
      </w:r>
      <w:r w:rsidRPr="00FC0AE4">
        <w:rPr>
          <w:bCs/>
          <w:lang w:val="fr-FR"/>
        </w:rPr>
        <w:t>aux termes de la Convention de</w:t>
      </w:r>
      <w:r w:rsidR="006773EF">
        <w:rPr>
          <w:bCs/>
          <w:lang w:val="fr-FR"/>
        </w:rPr>
        <w:t> </w:t>
      </w:r>
      <w:r w:rsidRPr="00FC0AE4">
        <w:rPr>
          <w:bCs/>
          <w:lang w:val="fr-FR"/>
        </w:rPr>
        <w:t xml:space="preserve">2003, </w:t>
      </w:r>
      <w:r w:rsidR="0004624F">
        <w:rPr>
          <w:bCs/>
          <w:lang w:val="fr-FR"/>
        </w:rPr>
        <w:t>« O</w:t>
      </w:r>
      <w:r w:rsidRPr="00FC0AE4">
        <w:rPr>
          <w:bCs/>
          <w:lang w:val="fr-FR"/>
        </w:rPr>
        <w:t xml:space="preserve">n entend par </w:t>
      </w:r>
      <w:r w:rsidR="003D744B">
        <w:rPr>
          <w:bCs/>
          <w:lang w:val="fr-FR"/>
        </w:rPr>
        <w:t>" </w:t>
      </w:r>
      <w:r w:rsidRPr="00FC0AE4">
        <w:rPr>
          <w:bCs/>
          <w:lang w:val="fr-FR"/>
        </w:rPr>
        <w:t>patrimoine culturel immatérie</w:t>
      </w:r>
      <w:r w:rsidR="003D744B">
        <w:rPr>
          <w:bCs/>
          <w:lang w:val="fr-FR"/>
        </w:rPr>
        <w:t>l "</w:t>
      </w:r>
      <w:r w:rsidR="00324CA6">
        <w:rPr>
          <w:bCs/>
          <w:lang w:val="fr-FR"/>
        </w:rPr>
        <w:t xml:space="preserve"> […]</w:t>
      </w:r>
      <w:r w:rsidRPr="00FC0AE4">
        <w:rPr>
          <w:bCs/>
          <w:lang w:val="fr-FR"/>
        </w:rPr>
        <w:t xml:space="preserve"> les expressions</w:t>
      </w:r>
      <w:r w:rsidR="0004624F">
        <w:rPr>
          <w:bCs/>
          <w:lang w:val="fr-FR"/>
        </w:rPr>
        <w:t xml:space="preserve"> […]</w:t>
      </w:r>
      <w:r w:rsidRPr="00FC0AE4">
        <w:rPr>
          <w:bCs/>
          <w:lang w:val="fr-FR"/>
        </w:rPr>
        <w:t xml:space="preserve"> que les communautés, les groupes et, le cas échéant, les individus reconnaissent comme faisant partie de leur patrimoine culturel</w:t>
      </w:r>
      <w:r w:rsidR="002B3ECA">
        <w:rPr>
          <w:bCs/>
          <w:lang w:val="fr-FR"/>
        </w:rPr>
        <w:t>.</w:t>
      </w:r>
      <w:r w:rsidR="0004624F">
        <w:rPr>
          <w:bCs/>
          <w:lang w:val="fr-FR"/>
        </w:rPr>
        <w:t> »</w:t>
      </w:r>
      <w:r w:rsidRPr="00FC0AE4">
        <w:rPr>
          <w:bCs/>
          <w:lang w:val="fr-FR"/>
        </w:rPr>
        <w:t xml:space="preserve"> Comme indiqué dans le rapport de l</w:t>
      </w:r>
      <w:r w:rsidR="00923E72">
        <w:rPr>
          <w:bCs/>
          <w:lang w:val="fr-FR"/>
        </w:rPr>
        <w:t>’</w:t>
      </w:r>
      <w:r w:rsidRPr="00FC0AE4">
        <w:rPr>
          <w:bCs/>
          <w:lang w:val="fr-FR"/>
        </w:rPr>
        <w:t>Organe d</w:t>
      </w:r>
      <w:r w:rsidR="00923E72">
        <w:rPr>
          <w:bCs/>
          <w:lang w:val="fr-FR"/>
        </w:rPr>
        <w:t>’</w:t>
      </w:r>
      <w:r w:rsidRPr="00FC0AE4">
        <w:rPr>
          <w:bCs/>
          <w:lang w:val="fr-FR"/>
        </w:rPr>
        <w:t>évaluation, l</w:t>
      </w:r>
      <w:r w:rsidR="00923E72">
        <w:rPr>
          <w:bCs/>
          <w:lang w:val="fr-FR"/>
        </w:rPr>
        <w:t>’</w:t>
      </w:r>
      <w:r w:rsidRPr="00FC0AE4">
        <w:rPr>
          <w:bCs/>
          <w:lang w:val="fr-FR"/>
        </w:rPr>
        <w:t>élément avait été inclus dans l</w:t>
      </w:r>
      <w:r w:rsidR="00923E72">
        <w:rPr>
          <w:bCs/>
          <w:lang w:val="fr-FR"/>
        </w:rPr>
        <w:t>’</w:t>
      </w:r>
      <w:r w:rsidRPr="00FC0AE4">
        <w:rPr>
          <w:bCs/>
          <w:lang w:val="fr-FR"/>
        </w:rPr>
        <w:t>inventaire national de la Zambie en décembre</w:t>
      </w:r>
      <w:r w:rsidR="001A7AF7">
        <w:rPr>
          <w:bCs/>
          <w:lang w:val="fr-FR"/>
        </w:rPr>
        <w:t> </w:t>
      </w:r>
      <w:r w:rsidRPr="00FC0AE4">
        <w:rPr>
          <w:bCs/>
          <w:lang w:val="fr-FR"/>
        </w:rPr>
        <w:t>2017. L</w:t>
      </w:r>
      <w:r w:rsidR="00923E72">
        <w:rPr>
          <w:bCs/>
          <w:lang w:val="fr-FR"/>
        </w:rPr>
        <w:t>’</w:t>
      </w:r>
      <w:r w:rsidRPr="00FC0AE4">
        <w:rPr>
          <w:bCs/>
          <w:lang w:val="fr-FR"/>
        </w:rPr>
        <w:t xml:space="preserve">inventaire était administré par un certain nombre </w:t>
      </w:r>
      <w:r w:rsidRPr="00FC0AE4">
        <w:rPr>
          <w:bCs/>
          <w:lang w:val="fr-FR"/>
        </w:rPr>
        <w:lastRenderedPageBreak/>
        <w:t>d</w:t>
      </w:r>
      <w:r w:rsidR="00923E72">
        <w:rPr>
          <w:bCs/>
          <w:lang w:val="fr-FR"/>
        </w:rPr>
        <w:t>’</w:t>
      </w:r>
      <w:r w:rsidRPr="00FC0AE4">
        <w:rPr>
          <w:bCs/>
          <w:lang w:val="fr-FR"/>
        </w:rPr>
        <w:t xml:space="preserve">organisations, dont le ministère du Tourisme et des Arts et la Commission nationale </w:t>
      </w:r>
      <w:r w:rsidR="001F20FD">
        <w:rPr>
          <w:bCs/>
          <w:lang w:val="fr-FR"/>
        </w:rPr>
        <w:t>z</w:t>
      </w:r>
      <w:r w:rsidRPr="00FC0AE4">
        <w:rPr>
          <w:bCs/>
          <w:lang w:val="fr-FR"/>
        </w:rPr>
        <w:t>ambie</w:t>
      </w:r>
      <w:r w:rsidR="001F20FD">
        <w:rPr>
          <w:bCs/>
          <w:lang w:val="fr-FR"/>
        </w:rPr>
        <w:t>nne</w:t>
      </w:r>
      <w:r w:rsidRPr="00FC0AE4">
        <w:rPr>
          <w:bCs/>
          <w:lang w:val="fr-FR"/>
        </w:rPr>
        <w:t xml:space="preserve"> </w:t>
      </w:r>
      <w:r w:rsidR="001F20FD">
        <w:rPr>
          <w:bCs/>
          <w:lang w:val="fr-FR"/>
        </w:rPr>
        <w:t>pour</w:t>
      </w:r>
      <w:r w:rsidR="00324CA6">
        <w:rPr>
          <w:bCs/>
          <w:lang w:val="fr-FR"/>
        </w:rPr>
        <w:t xml:space="preserve"> </w:t>
      </w:r>
      <w:r w:rsidRPr="00FC0AE4">
        <w:rPr>
          <w:bCs/>
          <w:lang w:val="fr-FR"/>
        </w:rPr>
        <w:t>l</w:t>
      </w:r>
      <w:r w:rsidR="00923E72">
        <w:rPr>
          <w:bCs/>
          <w:lang w:val="fr-FR"/>
        </w:rPr>
        <w:t>’</w:t>
      </w:r>
      <w:r w:rsidRPr="00FC0AE4">
        <w:rPr>
          <w:bCs/>
          <w:lang w:val="fr-FR"/>
        </w:rPr>
        <w:t xml:space="preserve">UNESCO. Pour </w:t>
      </w:r>
      <w:r w:rsidR="001F20FD">
        <w:rPr>
          <w:bCs/>
          <w:lang w:val="fr-FR"/>
        </w:rPr>
        <w:t xml:space="preserve">toutes </w:t>
      </w:r>
      <w:r w:rsidRPr="00FC0AE4">
        <w:rPr>
          <w:bCs/>
          <w:lang w:val="fr-FR"/>
        </w:rPr>
        <w:t>ces raisons, le Brésil se portait coauteur de l</w:t>
      </w:r>
      <w:r w:rsidR="00923E72">
        <w:rPr>
          <w:bCs/>
          <w:lang w:val="fr-FR"/>
        </w:rPr>
        <w:t>’</w:t>
      </w:r>
      <w:r w:rsidRPr="00FC0AE4">
        <w:rPr>
          <w:bCs/>
          <w:lang w:val="fr-FR"/>
        </w:rPr>
        <w:t>amendement.</w:t>
      </w:r>
    </w:p>
    <w:p w14:paraId="210BEB33" w14:textId="14794E45" w:rsidR="00324CA6" w:rsidRDefault="00324CA6" w:rsidP="00702497">
      <w:pPr>
        <w:pStyle w:val="Orateurengris"/>
        <w:numPr>
          <w:ilvl w:val="0"/>
          <w:numId w:val="20"/>
        </w:numPr>
        <w:tabs>
          <w:tab w:val="clear" w:pos="567"/>
          <w:tab w:val="num" w:pos="709"/>
        </w:tabs>
        <w:spacing w:before="120"/>
        <w:ind w:left="709" w:hanging="709"/>
        <w:rPr>
          <w:bCs/>
          <w:lang w:val="fr-FR"/>
        </w:rPr>
      </w:pPr>
      <w:r>
        <w:rPr>
          <w:bCs/>
          <w:lang w:val="fr-FR"/>
        </w:rPr>
        <w:t xml:space="preserve">La </w:t>
      </w:r>
      <w:r w:rsidRPr="00324CA6">
        <w:rPr>
          <w:bCs/>
          <w:lang w:val="fr-FR"/>
        </w:rPr>
        <w:t>délégation</w:t>
      </w:r>
      <w:r>
        <w:rPr>
          <w:bCs/>
          <w:lang w:val="fr-FR"/>
        </w:rPr>
        <w:t xml:space="preserve"> de l</w:t>
      </w:r>
      <w:r w:rsidR="00923E72">
        <w:rPr>
          <w:bCs/>
          <w:lang w:val="fr-FR"/>
        </w:rPr>
        <w:t>’</w:t>
      </w:r>
      <w:r w:rsidRPr="00702497">
        <w:rPr>
          <w:b/>
          <w:lang w:val="fr-FR"/>
        </w:rPr>
        <w:t>Inde</w:t>
      </w:r>
      <w:r>
        <w:rPr>
          <w:bCs/>
          <w:lang w:val="fr-FR"/>
        </w:rPr>
        <w:t xml:space="preserve"> soutenait l</w:t>
      </w:r>
      <w:r w:rsidR="00923E72">
        <w:rPr>
          <w:bCs/>
          <w:lang w:val="fr-FR"/>
        </w:rPr>
        <w:t>’</w:t>
      </w:r>
      <w:r w:rsidRPr="00324CA6">
        <w:rPr>
          <w:bCs/>
          <w:lang w:val="fr-FR"/>
        </w:rPr>
        <w:t>amendement</w:t>
      </w:r>
      <w:r>
        <w:rPr>
          <w:bCs/>
          <w:lang w:val="fr-FR"/>
        </w:rPr>
        <w:t>.</w:t>
      </w:r>
    </w:p>
    <w:p w14:paraId="73FA9DF5" w14:textId="1DE6BB26" w:rsidR="00324CA6" w:rsidRDefault="00324CA6" w:rsidP="00702497">
      <w:pPr>
        <w:pStyle w:val="Orateurengris"/>
        <w:numPr>
          <w:ilvl w:val="0"/>
          <w:numId w:val="20"/>
        </w:numPr>
        <w:tabs>
          <w:tab w:val="clear" w:pos="567"/>
          <w:tab w:val="num" w:pos="709"/>
        </w:tabs>
        <w:spacing w:before="120"/>
        <w:ind w:left="709" w:hanging="709"/>
        <w:rPr>
          <w:bCs/>
          <w:lang w:val="fr-FR"/>
        </w:rPr>
      </w:pPr>
      <w:r w:rsidRPr="00324CA6">
        <w:rPr>
          <w:bCs/>
          <w:lang w:val="fr-FR"/>
        </w:rPr>
        <w:t xml:space="preserve">La délégation de la </w:t>
      </w:r>
      <w:r w:rsidRPr="00702497">
        <w:rPr>
          <w:b/>
          <w:lang w:val="fr-FR"/>
        </w:rPr>
        <w:t>Tchéquie</w:t>
      </w:r>
      <w:r w:rsidRPr="00324CA6">
        <w:rPr>
          <w:bCs/>
          <w:lang w:val="fr-FR"/>
        </w:rPr>
        <w:t xml:space="preserve"> a remercié la Zambie d</w:t>
      </w:r>
      <w:r w:rsidR="00923E72">
        <w:rPr>
          <w:bCs/>
          <w:lang w:val="fr-FR"/>
        </w:rPr>
        <w:t>’</w:t>
      </w:r>
      <w:r w:rsidRPr="00324CA6">
        <w:rPr>
          <w:bCs/>
          <w:lang w:val="fr-FR"/>
        </w:rPr>
        <w:t>avoir soumis le dossier de candidature pour ce bel élément. Elle a remercié l</w:t>
      </w:r>
      <w:r w:rsidR="00923E72">
        <w:rPr>
          <w:bCs/>
          <w:lang w:val="fr-FR"/>
        </w:rPr>
        <w:t>’</w:t>
      </w:r>
      <w:r w:rsidRPr="00324CA6">
        <w:rPr>
          <w:bCs/>
          <w:lang w:val="fr-FR"/>
        </w:rPr>
        <w:t>Organe d</w:t>
      </w:r>
      <w:r w:rsidR="00923E72">
        <w:rPr>
          <w:bCs/>
          <w:lang w:val="fr-FR"/>
        </w:rPr>
        <w:t>’</w:t>
      </w:r>
      <w:r w:rsidRPr="00324CA6">
        <w:rPr>
          <w:bCs/>
          <w:lang w:val="fr-FR"/>
        </w:rPr>
        <w:t xml:space="preserve">évaluation pour son analyse du dossier, et si elle avait </w:t>
      </w:r>
      <w:r>
        <w:rPr>
          <w:bCs/>
          <w:lang w:val="fr-FR"/>
        </w:rPr>
        <w:t xml:space="preserve">eu </w:t>
      </w:r>
      <w:r w:rsidRPr="00324CA6">
        <w:rPr>
          <w:bCs/>
          <w:lang w:val="fr-FR"/>
        </w:rPr>
        <w:t>des doutes, en particulier concernant le critère</w:t>
      </w:r>
      <w:r>
        <w:rPr>
          <w:bCs/>
          <w:lang w:val="fr-FR"/>
        </w:rPr>
        <w:t> </w:t>
      </w:r>
      <w:r w:rsidRPr="00324CA6">
        <w:rPr>
          <w:bCs/>
          <w:lang w:val="fr-FR"/>
        </w:rPr>
        <w:t>R.3, les éclaircissements apportés par la Zambie étaient satisfaisants</w:t>
      </w:r>
      <w:r>
        <w:rPr>
          <w:bCs/>
          <w:lang w:val="fr-FR"/>
        </w:rPr>
        <w:t xml:space="preserve">. </w:t>
      </w:r>
      <w:r w:rsidR="00DA2E21">
        <w:rPr>
          <w:bCs/>
          <w:lang w:val="fr-FR"/>
        </w:rPr>
        <w:t xml:space="preserve">Pour cette raison, </w:t>
      </w:r>
      <w:r w:rsidRPr="00324CA6">
        <w:rPr>
          <w:bCs/>
          <w:lang w:val="fr-FR"/>
        </w:rPr>
        <w:t>elle soutenait l</w:t>
      </w:r>
      <w:r w:rsidR="00923E72">
        <w:rPr>
          <w:bCs/>
          <w:lang w:val="fr-FR"/>
        </w:rPr>
        <w:t>’</w:t>
      </w:r>
      <w:r w:rsidRPr="00324CA6">
        <w:rPr>
          <w:bCs/>
          <w:lang w:val="fr-FR"/>
        </w:rPr>
        <w:t>amendement proposé. Elle a également félicité la Zambie pour le beau film qui accompagnait le dossier de candidature.</w:t>
      </w:r>
    </w:p>
    <w:p w14:paraId="7B9D358A" w14:textId="31101275" w:rsidR="00324CA6" w:rsidRDefault="005F3884" w:rsidP="00702497">
      <w:pPr>
        <w:pStyle w:val="Orateurengris"/>
        <w:numPr>
          <w:ilvl w:val="0"/>
          <w:numId w:val="20"/>
        </w:numPr>
        <w:tabs>
          <w:tab w:val="clear" w:pos="567"/>
          <w:tab w:val="num" w:pos="709"/>
        </w:tabs>
        <w:spacing w:before="120"/>
        <w:ind w:left="709" w:hanging="709"/>
        <w:rPr>
          <w:bCs/>
          <w:lang w:val="fr-FR"/>
        </w:rPr>
      </w:pPr>
      <w:r w:rsidRPr="005F3884">
        <w:rPr>
          <w:bCs/>
          <w:lang w:val="fr-FR"/>
        </w:rPr>
        <w:t>La délégation de l</w:t>
      </w:r>
      <w:r w:rsidR="00923E72">
        <w:rPr>
          <w:bCs/>
          <w:lang w:val="fr-FR"/>
        </w:rPr>
        <w:t>’</w:t>
      </w:r>
      <w:r w:rsidRPr="00702497">
        <w:rPr>
          <w:b/>
          <w:lang w:val="fr-FR"/>
        </w:rPr>
        <w:t>Allemagne</w:t>
      </w:r>
      <w:r w:rsidRPr="005F3884">
        <w:rPr>
          <w:bCs/>
          <w:lang w:val="fr-FR"/>
        </w:rPr>
        <w:t xml:space="preserve"> était particulièrement intéressée par la danse sous toutes ses facettes, y compris la danse </w:t>
      </w:r>
      <w:proofErr w:type="spellStart"/>
      <w:r w:rsidRPr="005F3884">
        <w:rPr>
          <w:bCs/>
          <w:lang w:val="fr-FR"/>
        </w:rPr>
        <w:t>kalela</w:t>
      </w:r>
      <w:proofErr w:type="spellEnd"/>
      <w:r w:rsidRPr="005F3884">
        <w:rPr>
          <w:bCs/>
          <w:lang w:val="fr-FR"/>
        </w:rPr>
        <w:t xml:space="preserve"> pratiquée en Zambie. Elle a remercié la Zambie pour les explications satisfaisantes données et a déclaré soutenir l</w:t>
      </w:r>
      <w:r w:rsidR="00923E72">
        <w:rPr>
          <w:bCs/>
          <w:lang w:val="fr-FR"/>
        </w:rPr>
        <w:t>’</w:t>
      </w:r>
      <w:r w:rsidRPr="005F3884">
        <w:rPr>
          <w:bCs/>
          <w:lang w:val="fr-FR"/>
        </w:rPr>
        <w:t>inscription de l</w:t>
      </w:r>
      <w:r w:rsidR="00923E72">
        <w:rPr>
          <w:bCs/>
          <w:lang w:val="fr-FR"/>
        </w:rPr>
        <w:t>’</w:t>
      </w:r>
      <w:r w:rsidRPr="005F3884">
        <w:rPr>
          <w:bCs/>
          <w:lang w:val="fr-FR"/>
        </w:rPr>
        <w:t>élément en se portant coauteur de l</w:t>
      </w:r>
      <w:r w:rsidR="00923E72">
        <w:rPr>
          <w:bCs/>
          <w:lang w:val="fr-FR"/>
        </w:rPr>
        <w:t>’</w:t>
      </w:r>
      <w:r w:rsidRPr="005F3884">
        <w:rPr>
          <w:bCs/>
          <w:lang w:val="fr-FR"/>
        </w:rPr>
        <w:t>amendement. La délégation a demandé à l</w:t>
      </w:r>
      <w:r w:rsidR="00923E72">
        <w:rPr>
          <w:bCs/>
          <w:lang w:val="fr-FR"/>
        </w:rPr>
        <w:t>’</w:t>
      </w:r>
      <w:r w:rsidRPr="005F3884">
        <w:rPr>
          <w:bCs/>
          <w:lang w:val="fr-FR"/>
        </w:rPr>
        <w:t>Organe d</w:t>
      </w:r>
      <w:r w:rsidR="00923E72">
        <w:rPr>
          <w:bCs/>
          <w:lang w:val="fr-FR"/>
        </w:rPr>
        <w:t>’</w:t>
      </w:r>
      <w:r w:rsidRPr="005F3884">
        <w:rPr>
          <w:bCs/>
          <w:lang w:val="fr-FR"/>
        </w:rPr>
        <w:t>évaluation comment d</w:t>
      </w:r>
      <w:r w:rsidR="00923E72">
        <w:rPr>
          <w:bCs/>
          <w:lang w:val="fr-FR"/>
        </w:rPr>
        <w:t>’</w:t>
      </w:r>
      <w:r w:rsidRPr="005F3884">
        <w:rPr>
          <w:bCs/>
          <w:lang w:val="fr-FR"/>
        </w:rPr>
        <w:t>autres formes de dialogue</w:t>
      </w:r>
      <w:r>
        <w:rPr>
          <w:bCs/>
          <w:lang w:val="fr-FR"/>
        </w:rPr>
        <w:t xml:space="preserve">, </w:t>
      </w:r>
      <w:r w:rsidRPr="005F3884">
        <w:rPr>
          <w:bCs/>
          <w:lang w:val="fr-FR"/>
        </w:rPr>
        <w:t>susceptibles de faciliter le</w:t>
      </w:r>
      <w:r>
        <w:rPr>
          <w:bCs/>
          <w:lang w:val="fr-FR"/>
        </w:rPr>
        <w:t xml:space="preserve"> processus,</w:t>
      </w:r>
      <w:r w:rsidRPr="005F3884">
        <w:rPr>
          <w:bCs/>
          <w:lang w:val="fr-FR"/>
        </w:rPr>
        <w:t xml:space="preserve"> pourraient être adoptées en rendant </w:t>
      </w:r>
      <w:r>
        <w:rPr>
          <w:bCs/>
          <w:lang w:val="fr-FR"/>
        </w:rPr>
        <w:t xml:space="preserve">les choses </w:t>
      </w:r>
      <w:r w:rsidRPr="005F3884">
        <w:rPr>
          <w:bCs/>
          <w:lang w:val="fr-FR"/>
        </w:rPr>
        <w:t>plus compréhensible</w:t>
      </w:r>
      <w:r>
        <w:rPr>
          <w:bCs/>
          <w:lang w:val="fr-FR"/>
        </w:rPr>
        <w:t>s</w:t>
      </w:r>
      <w:r w:rsidRPr="005F3884">
        <w:rPr>
          <w:bCs/>
          <w:lang w:val="fr-FR"/>
        </w:rPr>
        <w:t xml:space="preserve"> et plus clair</w:t>
      </w:r>
      <w:r>
        <w:rPr>
          <w:bCs/>
          <w:lang w:val="fr-FR"/>
        </w:rPr>
        <w:t>es</w:t>
      </w:r>
      <w:r w:rsidRPr="005F3884">
        <w:rPr>
          <w:bCs/>
          <w:lang w:val="fr-FR"/>
        </w:rPr>
        <w:t xml:space="preserve"> pour les partenaires qui, comme l</w:t>
      </w:r>
      <w:r w:rsidR="00923E72">
        <w:rPr>
          <w:bCs/>
          <w:lang w:val="fr-FR"/>
        </w:rPr>
        <w:t>’</w:t>
      </w:r>
      <w:r w:rsidRPr="005F3884">
        <w:rPr>
          <w:bCs/>
          <w:lang w:val="fr-FR"/>
        </w:rPr>
        <w:t xml:space="preserve">avait expliqué la Zambie, </w:t>
      </w:r>
      <w:r>
        <w:rPr>
          <w:bCs/>
          <w:lang w:val="fr-FR"/>
        </w:rPr>
        <w:t xml:space="preserve">étaient </w:t>
      </w:r>
      <w:r w:rsidRPr="005F3884">
        <w:rPr>
          <w:bCs/>
          <w:lang w:val="fr-FR"/>
        </w:rPr>
        <w:t>confrontés à des difficultés en fonction de l</w:t>
      </w:r>
      <w:r w:rsidR="00923E72">
        <w:rPr>
          <w:bCs/>
          <w:lang w:val="fr-FR"/>
        </w:rPr>
        <w:t>’</w:t>
      </w:r>
      <w:r w:rsidRPr="005F3884">
        <w:rPr>
          <w:bCs/>
          <w:lang w:val="fr-FR"/>
        </w:rPr>
        <w:t>endroit où ils se trouv</w:t>
      </w:r>
      <w:r>
        <w:rPr>
          <w:bCs/>
          <w:lang w:val="fr-FR"/>
        </w:rPr>
        <w:t>ai</w:t>
      </w:r>
      <w:r w:rsidRPr="005F3884">
        <w:rPr>
          <w:bCs/>
          <w:lang w:val="fr-FR"/>
        </w:rPr>
        <w:t>ent dans le monde.</w:t>
      </w:r>
    </w:p>
    <w:p w14:paraId="1CDED2F5" w14:textId="48194355" w:rsidR="00932D27" w:rsidRDefault="00932D27" w:rsidP="00702497">
      <w:pPr>
        <w:pStyle w:val="Orateurengris"/>
        <w:numPr>
          <w:ilvl w:val="0"/>
          <w:numId w:val="20"/>
        </w:numPr>
        <w:tabs>
          <w:tab w:val="clear" w:pos="567"/>
          <w:tab w:val="num" w:pos="709"/>
        </w:tabs>
        <w:spacing w:before="120"/>
        <w:ind w:left="709" w:hanging="709"/>
        <w:rPr>
          <w:bCs/>
          <w:lang w:val="fr-FR"/>
        </w:rPr>
      </w:pPr>
      <w:r>
        <w:rPr>
          <w:bCs/>
          <w:lang w:val="fr-FR"/>
        </w:rPr>
        <w:t xml:space="preserve">Le </w:t>
      </w:r>
      <w:r w:rsidRPr="00702497">
        <w:rPr>
          <w:b/>
          <w:lang w:val="fr-FR"/>
        </w:rPr>
        <w:t>Président</w:t>
      </w:r>
      <w:r>
        <w:rPr>
          <w:bCs/>
          <w:lang w:val="fr-FR"/>
        </w:rPr>
        <w:t xml:space="preserve"> a invité l</w:t>
      </w:r>
      <w:r w:rsidR="00923E72">
        <w:rPr>
          <w:bCs/>
          <w:lang w:val="fr-FR"/>
        </w:rPr>
        <w:t>’</w:t>
      </w:r>
      <w:r>
        <w:rPr>
          <w:bCs/>
          <w:lang w:val="fr-FR"/>
        </w:rPr>
        <w:t>Organe d</w:t>
      </w:r>
      <w:r w:rsidR="00923E72">
        <w:rPr>
          <w:bCs/>
          <w:lang w:val="fr-FR"/>
        </w:rPr>
        <w:t>’</w:t>
      </w:r>
      <w:r>
        <w:rPr>
          <w:bCs/>
          <w:lang w:val="fr-FR"/>
        </w:rPr>
        <w:t>évaluation à répondre.</w:t>
      </w:r>
    </w:p>
    <w:p w14:paraId="33CA6CDF" w14:textId="73B1CA69" w:rsidR="005F3884" w:rsidRDefault="005F3884" w:rsidP="00702497">
      <w:pPr>
        <w:pStyle w:val="Orateurengris"/>
        <w:numPr>
          <w:ilvl w:val="0"/>
          <w:numId w:val="20"/>
        </w:numPr>
        <w:tabs>
          <w:tab w:val="clear" w:pos="567"/>
          <w:tab w:val="num" w:pos="709"/>
        </w:tabs>
        <w:spacing w:before="120"/>
        <w:ind w:left="709" w:hanging="709"/>
        <w:rPr>
          <w:bCs/>
          <w:lang w:val="fr-FR"/>
        </w:rPr>
      </w:pPr>
      <w:r w:rsidRPr="005F3884">
        <w:rPr>
          <w:bCs/>
          <w:lang w:val="fr-FR"/>
        </w:rPr>
        <w:t xml:space="preserve">La </w:t>
      </w:r>
      <w:r w:rsidRPr="00702497">
        <w:rPr>
          <w:b/>
          <w:lang w:val="fr-FR"/>
        </w:rPr>
        <w:t>Vice-Présidente de l</w:t>
      </w:r>
      <w:r w:rsidR="00923E72">
        <w:rPr>
          <w:b/>
          <w:lang w:val="fr-FR"/>
        </w:rPr>
        <w:t>’</w:t>
      </w:r>
      <w:r w:rsidRPr="00702497">
        <w:rPr>
          <w:b/>
          <w:lang w:val="fr-FR"/>
        </w:rPr>
        <w:t>Organe d</w:t>
      </w:r>
      <w:r w:rsidR="00923E72">
        <w:rPr>
          <w:b/>
          <w:lang w:val="fr-FR"/>
        </w:rPr>
        <w:t>’</w:t>
      </w:r>
      <w:r w:rsidRPr="00702497">
        <w:rPr>
          <w:b/>
          <w:lang w:val="fr-FR"/>
        </w:rPr>
        <w:t>évaluation</w:t>
      </w:r>
      <w:r w:rsidRPr="005F3884">
        <w:rPr>
          <w:bCs/>
          <w:lang w:val="fr-FR"/>
        </w:rPr>
        <w:t xml:space="preserve"> a rappelé que le Président de l</w:t>
      </w:r>
      <w:r w:rsidR="00923E72">
        <w:rPr>
          <w:bCs/>
          <w:lang w:val="fr-FR"/>
        </w:rPr>
        <w:t>’</w:t>
      </w:r>
      <w:r w:rsidRPr="005F3884">
        <w:rPr>
          <w:bCs/>
          <w:lang w:val="fr-FR"/>
        </w:rPr>
        <w:t>Organe d</w:t>
      </w:r>
      <w:r w:rsidR="00923E72">
        <w:rPr>
          <w:bCs/>
          <w:lang w:val="fr-FR"/>
        </w:rPr>
        <w:t>’</w:t>
      </w:r>
      <w:r w:rsidRPr="005F3884">
        <w:rPr>
          <w:bCs/>
          <w:lang w:val="fr-FR"/>
        </w:rPr>
        <w:t>évaluation avait déjà souligné que le processus de dialogue était utilisé pour adresser une question directe, courte et simple à l</w:t>
      </w:r>
      <w:r w:rsidR="00923E72">
        <w:rPr>
          <w:bCs/>
          <w:lang w:val="fr-FR"/>
        </w:rPr>
        <w:t>’</w:t>
      </w:r>
      <w:r w:rsidRPr="005F3884">
        <w:rPr>
          <w:bCs/>
          <w:lang w:val="fr-FR"/>
        </w:rPr>
        <w:t>État partie, afin d</w:t>
      </w:r>
      <w:r w:rsidR="00923E72">
        <w:rPr>
          <w:bCs/>
          <w:lang w:val="fr-FR"/>
        </w:rPr>
        <w:t>’</w:t>
      </w:r>
      <w:r w:rsidRPr="005F3884">
        <w:rPr>
          <w:bCs/>
          <w:lang w:val="fr-FR"/>
        </w:rPr>
        <w:t>éclaircir un point par une réponse directe. Il ne pouvait pas être utilisé pour ajouter des informations</w:t>
      </w:r>
      <w:r>
        <w:rPr>
          <w:bCs/>
          <w:lang w:val="fr-FR"/>
        </w:rPr>
        <w:t xml:space="preserve">, </w:t>
      </w:r>
      <w:r w:rsidRPr="005F3884">
        <w:rPr>
          <w:bCs/>
          <w:lang w:val="fr-FR"/>
        </w:rPr>
        <w:t>qui ne pouvaient être ajoutées que lorsque le dossier était renvoyé à l</w:t>
      </w:r>
      <w:r w:rsidR="00923E72">
        <w:rPr>
          <w:bCs/>
          <w:lang w:val="fr-FR"/>
        </w:rPr>
        <w:t>’</w:t>
      </w:r>
      <w:r w:rsidRPr="005F3884">
        <w:rPr>
          <w:bCs/>
          <w:lang w:val="fr-FR"/>
        </w:rPr>
        <w:t>État partie. L</w:t>
      </w:r>
      <w:r w:rsidR="00923E72">
        <w:rPr>
          <w:bCs/>
          <w:lang w:val="fr-FR"/>
        </w:rPr>
        <w:t>’</w:t>
      </w:r>
      <w:r w:rsidRPr="005F3884">
        <w:rPr>
          <w:bCs/>
          <w:lang w:val="fr-FR"/>
        </w:rPr>
        <w:t>Organe d</w:t>
      </w:r>
      <w:r w:rsidR="00923E72">
        <w:rPr>
          <w:bCs/>
          <w:lang w:val="fr-FR"/>
        </w:rPr>
        <w:t>’</w:t>
      </w:r>
      <w:r w:rsidRPr="005F3884">
        <w:rPr>
          <w:bCs/>
          <w:lang w:val="fr-FR"/>
        </w:rPr>
        <w:t>évaluation ne pouvait donc pas inclure d</w:t>
      </w:r>
      <w:r w:rsidR="00923E72">
        <w:rPr>
          <w:bCs/>
          <w:lang w:val="fr-FR"/>
        </w:rPr>
        <w:t>’</w:t>
      </w:r>
      <w:r w:rsidRPr="005F3884">
        <w:rPr>
          <w:bCs/>
          <w:lang w:val="fr-FR"/>
        </w:rPr>
        <w:t>informations. Il réévaluait le dossier après avoir obtenu une réponse à la question par le biais du processus de dialogue. Tous les États parties avaient la même opportunité de répondre à la question posée.</w:t>
      </w:r>
    </w:p>
    <w:p w14:paraId="6C20028A" w14:textId="617F1243" w:rsidR="00932D27" w:rsidRDefault="00932D27" w:rsidP="00702497">
      <w:pPr>
        <w:pStyle w:val="Orateurengris"/>
        <w:numPr>
          <w:ilvl w:val="0"/>
          <w:numId w:val="20"/>
        </w:numPr>
        <w:tabs>
          <w:tab w:val="clear" w:pos="567"/>
          <w:tab w:val="num" w:pos="709"/>
        </w:tabs>
        <w:spacing w:before="120"/>
        <w:ind w:left="709" w:hanging="709"/>
        <w:rPr>
          <w:bCs/>
          <w:lang w:val="fr-FR"/>
        </w:rPr>
      </w:pPr>
      <w:r w:rsidRPr="00932D27">
        <w:rPr>
          <w:bCs/>
          <w:lang w:val="fr-FR"/>
        </w:rPr>
        <w:t xml:space="preserve">Le </w:t>
      </w:r>
      <w:r w:rsidRPr="00702497">
        <w:rPr>
          <w:b/>
          <w:lang w:val="fr-FR"/>
        </w:rPr>
        <w:t>Secrétaire</w:t>
      </w:r>
      <w:r w:rsidRPr="00932D27">
        <w:rPr>
          <w:bCs/>
          <w:lang w:val="fr-FR"/>
        </w:rPr>
        <w:t xml:space="preserve"> a expliqué que cette question avait été soulevée au cours du long processus de réflexion </w:t>
      </w:r>
      <w:r w:rsidR="00416E4A">
        <w:rPr>
          <w:bCs/>
          <w:lang w:val="fr-FR"/>
        </w:rPr>
        <w:t xml:space="preserve">sur la </w:t>
      </w:r>
      <w:r w:rsidRPr="00932D27">
        <w:rPr>
          <w:bCs/>
          <w:lang w:val="fr-FR"/>
        </w:rPr>
        <w:t>réforme des mécanismes d</w:t>
      </w:r>
      <w:r w:rsidR="00923E72">
        <w:rPr>
          <w:bCs/>
          <w:lang w:val="fr-FR"/>
        </w:rPr>
        <w:t>’</w:t>
      </w:r>
      <w:r w:rsidRPr="00932D27">
        <w:rPr>
          <w:bCs/>
          <w:lang w:val="fr-FR"/>
        </w:rPr>
        <w:t>inscription, à savoir la manière dont les informations pouvaient être présentées compte tenu de la diversité des contextes. En effet, il était recommandé de fournir des informations non seulement sous forme écrite, mais aussi sous d</w:t>
      </w:r>
      <w:r w:rsidR="00923E72">
        <w:rPr>
          <w:bCs/>
          <w:lang w:val="fr-FR"/>
        </w:rPr>
        <w:t>’</w:t>
      </w:r>
      <w:r w:rsidRPr="00932D27">
        <w:rPr>
          <w:bCs/>
          <w:lang w:val="fr-FR"/>
        </w:rPr>
        <w:t>autres formes, telles que des documents vidéo, des enregistrements vocaux, etc. Le Secrétaire a supposé qu</w:t>
      </w:r>
      <w:r w:rsidR="00923E72">
        <w:rPr>
          <w:bCs/>
          <w:lang w:val="fr-FR"/>
        </w:rPr>
        <w:t>’</w:t>
      </w:r>
      <w:r w:rsidRPr="00932D27">
        <w:rPr>
          <w:bCs/>
          <w:lang w:val="fr-FR"/>
        </w:rPr>
        <w:t>il faudrait environ deux ans pour que ces réformes se concrétisent</w:t>
      </w:r>
      <w:r w:rsidR="00416E4A">
        <w:rPr>
          <w:bCs/>
          <w:lang w:val="fr-FR"/>
        </w:rPr>
        <w:t>,</w:t>
      </w:r>
      <w:r w:rsidRPr="00932D27">
        <w:rPr>
          <w:bCs/>
          <w:lang w:val="fr-FR"/>
        </w:rPr>
        <w:t xml:space="preserve"> et que le Comité travaillait actuellement selon l</w:t>
      </w:r>
      <w:r w:rsidR="00923E72">
        <w:rPr>
          <w:bCs/>
          <w:lang w:val="fr-FR"/>
        </w:rPr>
        <w:t>’</w:t>
      </w:r>
      <w:r w:rsidRPr="00932D27">
        <w:rPr>
          <w:bCs/>
          <w:lang w:val="fr-FR"/>
        </w:rPr>
        <w:t>ancien système. Il devrait donc être possible pour les communautés de s</w:t>
      </w:r>
      <w:r w:rsidR="00923E72">
        <w:rPr>
          <w:bCs/>
          <w:lang w:val="fr-FR"/>
        </w:rPr>
        <w:t>’</w:t>
      </w:r>
      <w:r w:rsidRPr="00932D27">
        <w:rPr>
          <w:bCs/>
          <w:lang w:val="fr-FR"/>
        </w:rPr>
        <w:t>exprimer autrement que par écrit. Ce processus était donc prévu et le Secrétariat travaillait sur ce mécanisme</w:t>
      </w:r>
      <w:r w:rsidR="00051617">
        <w:rPr>
          <w:bCs/>
          <w:lang w:val="fr-FR"/>
        </w:rPr>
        <w:t>,</w:t>
      </w:r>
      <w:r w:rsidRPr="00932D27">
        <w:rPr>
          <w:bCs/>
          <w:lang w:val="fr-FR"/>
        </w:rPr>
        <w:t xml:space="preserve"> dont les résultats pourraient être visibles en 2024 lorsque le Comité serait en mesure d</w:t>
      </w:r>
      <w:r w:rsidR="00923E72">
        <w:rPr>
          <w:bCs/>
          <w:lang w:val="fr-FR"/>
        </w:rPr>
        <w:t>’</w:t>
      </w:r>
      <w:r w:rsidRPr="00932D27">
        <w:rPr>
          <w:bCs/>
          <w:lang w:val="fr-FR"/>
        </w:rPr>
        <w:t>apprécier si certaines de ces réformes ont un effet ou non.</w:t>
      </w:r>
    </w:p>
    <w:p w14:paraId="78BFB98E" w14:textId="2F644C17" w:rsidR="00416E4A" w:rsidRDefault="00416E4A" w:rsidP="00702497">
      <w:pPr>
        <w:pStyle w:val="Orateurengris"/>
        <w:numPr>
          <w:ilvl w:val="0"/>
          <w:numId w:val="20"/>
        </w:numPr>
        <w:tabs>
          <w:tab w:val="clear" w:pos="567"/>
          <w:tab w:val="num" w:pos="709"/>
        </w:tabs>
        <w:spacing w:before="120"/>
        <w:ind w:left="709" w:hanging="709"/>
        <w:rPr>
          <w:bCs/>
          <w:lang w:val="fr-FR"/>
        </w:rPr>
      </w:pPr>
      <w:r w:rsidRPr="00416E4A">
        <w:rPr>
          <w:bCs/>
          <w:lang w:val="fr-FR"/>
        </w:rPr>
        <w:t xml:space="preserve">La délégation de la </w:t>
      </w:r>
      <w:r w:rsidRPr="00702497">
        <w:rPr>
          <w:b/>
          <w:lang w:val="fr-FR"/>
        </w:rPr>
        <w:t>Slovaquie</w:t>
      </w:r>
      <w:r w:rsidRPr="00416E4A">
        <w:rPr>
          <w:bCs/>
          <w:lang w:val="fr-FR"/>
        </w:rPr>
        <w:t xml:space="preserve"> a salué ce dossier dans le cycle de cette année, remerciant la Zambie pour les informations complémentaires exhaustives et claires qu</w:t>
      </w:r>
      <w:r w:rsidR="00923E72">
        <w:rPr>
          <w:bCs/>
          <w:lang w:val="fr-FR"/>
        </w:rPr>
        <w:t>’</w:t>
      </w:r>
      <w:r w:rsidRPr="00416E4A">
        <w:rPr>
          <w:bCs/>
          <w:lang w:val="fr-FR"/>
        </w:rPr>
        <w:t>elle avait communiquées. Elle s</w:t>
      </w:r>
      <w:r w:rsidR="00923E72">
        <w:rPr>
          <w:bCs/>
          <w:lang w:val="fr-FR"/>
        </w:rPr>
        <w:t>’</w:t>
      </w:r>
      <w:r w:rsidRPr="00416E4A">
        <w:rPr>
          <w:bCs/>
          <w:lang w:val="fr-FR"/>
        </w:rPr>
        <w:t>est félicitée en particulier des précisions utiles sur le contexte de l</w:t>
      </w:r>
      <w:r w:rsidR="00923E72">
        <w:rPr>
          <w:bCs/>
          <w:lang w:val="fr-FR"/>
        </w:rPr>
        <w:t>’</w:t>
      </w:r>
      <w:r w:rsidRPr="00416E4A">
        <w:rPr>
          <w:bCs/>
          <w:lang w:val="fr-FR"/>
        </w:rPr>
        <w:t>élaboration du dossier. Elle soutenait donc l</w:t>
      </w:r>
      <w:r w:rsidR="00923E72">
        <w:rPr>
          <w:bCs/>
          <w:lang w:val="fr-FR"/>
        </w:rPr>
        <w:t>’</w:t>
      </w:r>
      <w:r w:rsidRPr="00416E4A">
        <w:rPr>
          <w:bCs/>
          <w:lang w:val="fr-FR"/>
        </w:rPr>
        <w:t>amendement du Botswana et l</w:t>
      </w:r>
      <w:r w:rsidR="00923E72">
        <w:rPr>
          <w:bCs/>
          <w:lang w:val="fr-FR"/>
        </w:rPr>
        <w:t>’</w:t>
      </w:r>
      <w:r w:rsidRPr="00416E4A">
        <w:rPr>
          <w:bCs/>
          <w:lang w:val="fr-FR"/>
        </w:rPr>
        <w:t>inscription du dossier.</w:t>
      </w:r>
    </w:p>
    <w:p w14:paraId="31AA5749" w14:textId="45B8DF7F" w:rsidR="00416E4A" w:rsidRDefault="00416E4A" w:rsidP="00702497">
      <w:pPr>
        <w:pStyle w:val="Orateurengris"/>
        <w:numPr>
          <w:ilvl w:val="0"/>
          <w:numId w:val="20"/>
        </w:numPr>
        <w:tabs>
          <w:tab w:val="clear" w:pos="567"/>
          <w:tab w:val="num" w:pos="709"/>
        </w:tabs>
        <w:spacing w:before="120"/>
        <w:ind w:left="709" w:hanging="709"/>
        <w:rPr>
          <w:bCs/>
          <w:lang w:val="fr-FR"/>
        </w:rPr>
      </w:pPr>
      <w:r w:rsidRPr="00416E4A">
        <w:rPr>
          <w:bCs/>
          <w:lang w:val="fr-FR"/>
        </w:rPr>
        <w:t>La délégation de l</w:t>
      </w:r>
      <w:r w:rsidR="00923E72">
        <w:rPr>
          <w:bCs/>
          <w:lang w:val="fr-FR"/>
        </w:rPr>
        <w:t>’</w:t>
      </w:r>
      <w:r w:rsidRPr="00702497">
        <w:rPr>
          <w:b/>
          <w:lang w:val="fr-FR"/>
        </w:rPr>
        <w:t>Angola</w:t>
      </w:r>
      <w:r w:rsidRPr="00416E4A">
        <w:rPr>
          <w:bCs/>
          <w:lang w:val="fr-FR"/>
        </w:rPr>
        <w:t xml:space="preserve"> a remercié l</w:t>
      </w:r>
      <w:r w:rsidR="00923E72">
        <w:rPr>
          <w:bCs/>
          <w:lang w:val="fr-FR"/>
        </w:rPr>
        <w:t>’</w:t>
      </w:r>
      <w:r w:rsidRPr="00416E4A">
        <w:rPr>
          <w:bCs/>
          <w:lang w:val="fr-FR"/>
        </w:rPr>
        <w:t>Organe d</w:t>
      </w:r>
      <w:r w:rsidR="00923E72">
        <w:rPr>
          <w:bCs/>
          <w:lang w:val="fr-FR"/>
        </w:rPr>
        <w:t>’</w:t>
      </w:r>
      <w:r w:rsidRPr="00416E4A">
        <w:rPr>
          <w:bCs/>
          <w:lang w:val="fr-FR"/>
        </w:rPr>
        <w:t>évaluation pour son travail et ses commentaires ainsi que le Botswana pour ses amendements dont elle s</w:t>
      </w:r>
      <w:r w:rsidR="00923E72">
        <w:rPr>
          <w:bCs/>
          <w:lang w:val="fr-FR"/>
        </w:rPr>
        <w:t>’</w:t>
      </w:r>
      <w:r w:rsidRPr="00416E4A">
        <w:rPr>
          <w:bCs/>
          <w:lang w:val="fr-FR"/>
        </w:rPr>
        <w:t>est portée coauteur. Elle s</w:t>
      </w:r>
      <w:r w:rsidR="00923E72">
        <w:rPr>
          <w:bCs/>
          <w:lang w:val="fr-FR"/>
        </w:rPr>
        <w:t>’</w:t>
      </w:r>
      <w:r w:rsidRPr="00416E4A">
        <w:rPr>
          <w:bCs/>
          <w:lang w:val="fr-FR"/>
        </w:rPr>
        <w:t>est déclarée satisfaite de l</w:t>
      </w:r>
      <w:r w:rsidR="00923E72">
        <w:rPr>
          <w:bCs/>
          <w:lang w:val="fr-FR"/>
        </w:rPr>
        <w:t>’</w:t>
      </w:r>
      <w:r w:rsidRPr="00416E4A">
        <w:rPr>
          <w:bCs/>
          <w:lang w:val="fr-FR"/>
        </w:rPr>
        <w:t>explication de la Zambie et soutenait l</w:t>
      </w:r>
      <w:r w:rsidR="00923E72">
        <w:rPr>
          <w:bCs/>
          <w:lang w:val="fr-FR"/>
        </w:rPr>
        <w:t>’</w:t>
      </w:r>
      <w:r w:rsidRPr="00416E4A">
        <w:rPr>
          <w:bCs/>
          <w:lang w:val="fr-FR"/>
        </w:rPr>
        <w:t xml:space="preserve">inscription de la danse </w:t>
      </w:r>
      <w:proofErr w:type="spellStart"/>
      <w:r w:rsidRPr="00416E4A">
        <w:rPr>
          <w:bCs/>
          <w:lang w:val="fr-FR"/>
        </w:rPr>
        <w:t>kalela</w:t>
      </w:r>
      <w:proofErr w:type="spellEnd"/>
      <w:r w:rsidR="00377A05">
        <w:rPr>
          <w:bCs/>
          <w:lang w:val="fr-FR"/>
        </w:rPr>
        <w:t>,</w:t>
      </w:r>
      <w:r w:rsidRPr="00416E4A">
        <w:rPr>
          <w:bCs/>
          <w:lang w:val="fr-FR"/>
        </w:rPr>
        <w:t xml:space="preserve"> qui enrichirait la Liste représentative et </w:t>
      </w:r>
      <w:r w:rsidR="0015662E">
        <w:rPr>
          <w:bCs/>
          <w:lang w:val="fr-FR"/>
        </w:rPr>
        <w:t xml:space="preserve">serait </w:t>
      </w:r>
      <w:r w:rsidRPr="00416E4A">
        <w:rPr>
          <w:bCs/>
          <w:lang w:val="fr-FR"/>
        </w:rPr>
        <w:t xml:space="preserve">un pas </w:t>
      </w:r>
      <w:r w:rsidR="0015662E">
        <w:rPr>
          <w:bCs/>
          <w:lang w:val="fr-FR"/>
        </w:rPr>
        <w:t xml:space="preserve">en avant </w:t>
      </w:r>
      <w:r w:rsidRPr="00416E4A">
        <w:rPr>
          <w:bCs/>
          <w:lang w:val="fr-FR"/>
        </w:rPr>
        <w:t>vers l</w:t>
      </w:r>
      <w:r w:rsidR="00923E72">
        <w:rPr>
          <w:bCs/>
          <w:lang w:val="fr-FR"/>
        </w:rPr>
        <w:t>’</w:t>
      </w:r>
      <w:r w:rsidRPr="00416E4A">
        <w:rPr>
          <w:bCs/>
          <w:lang w:val="fr-FR"/>
        </w:rPr>
        <w:t>équilibre de cette Liste.</w:t>
      </w:r>
    </w:p>
    <w:p w14:paraId="3A0026D4" w14:textId="6AFE39EA" w:rsidR="00416E4A" w:rsidRDefault="00416E4A" w:rsidP="00702497">
      <w:pPr>
        <w:pStyle w:val="Orateurengris"/>
        <w:numPr>
          <w:ilvl w:val="0"/>
          <w:numId w:val="20"/>
        </w:numPr>
        <w:tabs>
          <w:tab w:val="clear" w:pos="567"/>
          <w:tab w:val="num" w:pos="709"/>
        </w:tabs>
        <w:spacing w:before="120"/>
        <w:ind w:left="709" w:hanging="709"/>
        <w:rPr>
          <w:bCs/>
          <w:lang w:val="fr-FR"/>
        </w:rPr>
      </w:pPr>
      <w:r w:rsidRPr="00416E4A">
        <w:rPr>
          <w:bCs/>
          <w:lang w:val="fr-FR"/>
        </w:rPr>
        <w:t xml:space="preserve">La délégation du </w:t>
      </w:r>
      <w:r w:rsidRPr="00702497">
        <w:rPr>
          <w:b/>
          <w:lang w:val="fr-FR"/>
        </w:rPr>
        <w:t>Panama</w:t>
      </w:r>
      <w:r w:rsidRPr="00416E4A">
        <w:rPr>
          <w:bCs/>
          <w:lang w:val="fr-FR"/>
        </w:rPr>
        <w:t xml:space="preserve"> a remercié le Secrétaire pour ces bonnes nouvelles, ajoutant que les explications techniques fournies par l</w:t>
      </w:r>
      <w:r w:rsidR="00923E72">
        <w:rPr>
          <w:bCs/>
          <w:lang w:val="fr-FR"/>
        </w:rPr>
        <w:t>’</w:t>
      </w:r>
      <w:r w:rsidRPr="00416E4A">
        <w:rPr>
          <w:bCs/>
          <w:lang w:val="fr-FR"/>
        </w:rPr>
        <w:t>Organe d</w:t>
      </w:r>
      <w:r w:rsidR="00923E72">
        <w:rPr>
          <w:bCs/>
          <w:lang w:val="fr-FR"/>
        </w:rPr>
        <w:t>’</w:t>
      </w:r>
      <w:r w:rsidRPr="00416E4A">
        <w:rPr>
          <w:bCs/>
          <w:lang w:val="fr-FR"/>
        </w:rPr>
        <w:t>évaluation sur ce dossier montraient l</w:t>
      </w:r>
      <w:r w:rsidR="00923E72">
        <w:rPr>
          <w:bCs/>
          <w:lang w:val="fr-FR"/>
        </w:rPr>
        <w:t>’</w:t>
      </w:r>
      <w:r w:rsidRPr="00416E4A">
        <w:rPr>
          <w:bCs/>
          <w:lang w:val="fr-FR"/>
        </w:rPr>
        <w:t>importance de la mise en œuvre des politiques culturelles de l</w:t>
      </w:r>
      <w:r w:rsidR="00923E72">
        <w:rPr>
          <w:bCs/>
          <w:lang w:val="fr-FR"/>
        </w:rPr>
        <w:t>’</w:t>
      </w:r>
      <w:r w:rsidRPr="00416E4A">
        <w:rPr>
          <w:bCs/>
          <w:lang w:val="fr-FR"/>
        </w:rPr>
        <w:t>État. En effet, c</w:t>
      </w:r>
      <w:r w:rsidR="00923E72">
        <w:rPr>
          <w:bCs/>
          <w:lang w:val="fr-FR"/>
        </w:rPr>
        <w:t>’</w:t>
      </w:r>
      <w:r w:rsidRPr="00416E4A">
        <w:rPr>
          <w:bCs/>
          <w:lang w:val="fr-FR"/>
        </w:rPr>
        <w:t>était une chose d</w:t>
      </w:r>
      <w:r w:rsidR="00923E72">
        <w:rPr>
          <w:bCs/>
          <w:lang w:val="fr-FR"/>
        </w:rPr>
        <w:t>’</w:t>
      </w:r>
      <w:r w:rsidRPr="00416E4A">
        <w:rPr>
          <w:bCs/>
          <w:lang w:val="fr-FR"/>
        </w:rPr>
        <w:t xml:space="preserve">avoir une législation, mais la politique publique devait favoriser la participation des </w:t>
      </w:r>
      <w:r w:rsidRPr="00416E4A">
        <w:rPr>
          <w:bCs/>
          <w:lang w:val="fr-FR"/>
        </w:rPr>
        <w:lastRenderedPageBreak/>
        <w:t>communautés. La délégation estimait que les communautés avaient effectivement participé à la préparation du dossier.</w:t>
      </w:r>
    </w:p>
    <w:p w14:paraId="18CDD720" w14:textId="4D20B983" w:rsidR="001D091D" w:rsidRDefault="001D091D" w:rsidP="00702497">
      <w:pPr>
        <w:pStyle w:val="Orateurengris"/>
        <w:numPr>
          <w:ilvl w:val="0"/>
          <w:numId w:val="20"/>
        </w:numPr>
        <w:tabs>
          <w:tab w:val="clear" w:pos="567"/>
          <w:tab w:val="num" w:pos="709"/>
        </w:tabs>
        <w:spacing w:before="120"/>
        <w:ind w:left="709" w:hanging="709"/>
        <w:rPr>
          <w:bCs/>
          <w:lang w:val="fr-FR"/>
        </w:rPr>
      </w:pPr>
      <w:r>
        <w:rPr>
          <w:bCs/>
          <w:lang w:val="fr-FR"/>
        </w:rPr>
        <w:t xml:space="preserve">La </w:t>
      </w:r>
      <w:r w:rsidRPr="001D091D">
        <w:rPr>
          <w:bCs/>
          <w:lang w:val="fr-FR"/>
        </w:rPr>
        <w:t>délégation</w:t>
      </w:r>
      <w:r>
        <w:rPr>
          <w:bCs/>
          <w:lang w:val="fr-FR"/>
        </w:rPr>
        <w:t xml:space="preserve"> du </w:t>
      </w:r>
      <w:r w:rsidRPr="00702497">
        <w:rPr>
          <w:b/>
          <w:lang w:val="fr-FR"/>
        </w:rPr>
        <w:t>Pérou</w:t>
      </w:r>
      <w:r>
        <w:rPr>
          <w:bCs/>
          <w:lang w:val="fr-FR"/>
        </w:rPr>
        <w:t xml:space="preserve"> avait pris attentivement note des différents points avancés par la Zambie et trouvait les explications </w:t>
      </w:r>
      <w:r w:rsidRPr="001D091D">
        <w:rPr>
          <w:bCs/>
          <w:lang w:val="fr-FR"/>
        </w:rPr>
        <w:t>satisfa</w:t>
      </w:r>
      <w:r>
        <w:rPr>
          <w:bCs/>
          <w:lang w:val="fr-FR"/>
        </w:rPr>
        <w:t xml:space="preserve">isantes. Elle soutenait donc les </w:t>
      </w:r>
      <w:r w:rsidRPr="001D091D">
        <w:rPr>
          <w:bCs/>
          <w:lang w:val="fr-FR"/>
        </w:rPr>
        <w:t>amendemen</w:t>
      </w:r>
      <w:r>
        <w:rPr>
          <w:bCs/>
          <w:lang w:val="fr-FR"/>
        </w:rPr>
        <w:t>ts du Botswana.</w:t>
      </w:r>
    </w:p>
    <w:p w14:paraId="7B79B7EB" w14:textId="648938A9" w:rsidR="001D091D" w:rsidRPr="00702497" w:rsidRDefault="001D091D" w:rsidP="00702497">
      <w:pPr>
        <w:pStyle w:val="Orateurengris"/>
        <w:numPr>
          <w:ilvl w:val="0"/>
          <w:numId w:val="20"/>
        </w:numPr>
        <w:tabs>
          <w:tab w:val="clear" w:pos="567"/>
          <w:tab w:val="num" w:pos="709"/>
        </w:tabs>
        <w:spacing w:before="120"/>
        <w:ind w:left="709" w:hanging="709"/>
        <w:rPr>
          <w:bCs/>
          <w:lang w:val="fr-FR"/>
        </w:rPr>
      </w:pPr>
      <w:r>
        <w:rPr>
          <w:bCs/>
          <w:lang w:val="fr-FR"/>
        </w:rPr>
        <w:t xml:space="preserve">La </w:t>
      </w:r>
      <w:r w:rsidRPr="001D091D">
        <w:rPr>
          <w:bCs/>
          <w:lang w:val="fr-FR"/>
        </w:rPr>
        <w:t>délégation</w:t>
      </w:r>
      <w:r>
        <w:rPr>
          <w:bCs/>
          <w:lang w:val="fr-FR"/>
        </w:rPr>
        <w:t xml:space="preserve"> de l</w:t>
      </w:r>
      <w:r w:rsidR="00923E72">
        <w:rPr>
          <w:bCs/>
          <w:lang w:val="fr-FR"/>
        </w:rPr>
        <w:t>’</w:t>
      </w:r>
      <w:r w:rsidRPr="00702497">
        <w:rPr>
          <w:b/>
          <w:lang w:val="fr-FR"/>
        </w:rPr>
        <w:t>Ouzbékistan</w:t>
      </w:r>
      <w:r>
        <w:rPr>
          <w:bCs/>
          <w:lang w:val="fr-FR"/>
        </w:rPr>
        <w:t xml:space="preserve"> était </w:t>
      </w:r>
      <w:r w:rsidRPr="001D091D">
        <w:rPr>
          <w:bCs/>
          <w:color w:val="000000" w:themeColor="text1"/>
          <w:lang w:val="fr-FR"/>
        </w:rPr>
        <w:t>également</w:t>
      </w:r>
      <w:r>
        <w:rPr>
          <w:bCs/>
          <w:color w:val="000000" w:themeColor="text1"/>
          <w:lang w:val="fr-FR"/>
        </w:rPr>
        <w:t xml:space="preserve"> </w:t>
      </w:r>
      <w:r w:rsidRPr="001D091D">
        <w:rPr>
          <w:bCs/>
          <w:color w:val="000000" w:themeColor="text1"/>
          <w:lang w:val="fr-FR"/>
        </w:rPr>
        <w:t>satisfa</w:t>
      </w:r>
      <w:r>
        <w:rPr>
          <w:bCs/>
          <w:color w:val="000000" w:themeColor="text1"/>
          <w:lang w:val="fr-FR"/>
        </w:rPr>
        <w:t xml:space="preserve">ite des </w:t>
      </w:r>
      <w:r w:rsidRPr="001D091D">
        <w:rPr>
          <w:bCs/>
          <w:color w:val="000000" w:themeColor="text1"/>
          <w:lang w:val="fr-FR"/>
        </w:rPr>
        <w:t>informations</w:t>
      </w:r>
      <w:r>
        <w:rPr>
          <w:bCs/>
          <w:color w:val="000000" w:themeColor="text1"/>
          <w:lang w:val="fr-FR"/>
        </w:rPr>
        <w:t xml:space="preserve"> </w:t>
      </w:r>
      <w:r w:rsidRPr="001D091D">
        <w:rPr>
          <w:bCs/>
          <w:color w:val="000000" w:themeColor="text1"/>
          <w:lang w:val="fr-FR"/>
        </w:rPr>
        <w:t>supplémentair</w:t>
      </w:r>
      <w:r>
        <w:rPr>
          <w:bCs/>
          <w:color w:val="000000" w:themeColor="text1"/>
          <w:lang w:val="fr-FR"/>
        </w:rPr>
        <w:t>es données et soutenait pleinement l</w:t>
      </w:r>
      <w:r w:rsidR="00923E72">
        <w:rPr>
          <w:bCs/>
          <w:color w:val="000000" w:themeColor="text1"/>
          <w:lang w:val="fr-FR"/>
        </w:rPr>
        <w:t>’</w:t>
      </w:r>
      <w:r w:rsidRPr="001D091D">
        <w:rPr>
          <w:bCs/>
          <w:color w:val="000000" w:themeColor="text1"/>
          <w:lang w:val="fr-FR"/>
        </w:rPr>
        <w:t>amendement</w:t>
      </w:r>
      <w:r>
        <w:rPr>
          <w:bCs/>
          <w:color w:val="000000" w:themeColor="text1"/>
          <w:lang w:val="fr-FR"/>
        </w:rPr>
        <w:t xml:space="preserve"> du Botswana, </w:t>
      </w:r>
      <w:r w:rsidRPr="001D091D">
        <w:rPr>
          <w:bCs/>
          <w:color w:val="000000" w:themeColor="text1"/>
          <w:lang w:val="fr-FR"/>
        </w:rPr>
        <w:t>également</w:t>
      </w:r>
      <w:r>
        <w:rPr>
          <w:bCs/>
          <w:color w:val="000000" w:themeColor="text1"/>
          <w:lang w:val="fr-FR"/>
        </w:rPr>
        <w:t xml:space="preserve"> soutenu par d</w:t>
      </w:r>
      <w:r w:rsidR="00923E72">
        <w:rPr>
          <w:bCs/>
          <w:color w:val="000000" w:themeColor="text1"/>
          <w:lang w:val="fr-FR"/>
        </w:rPr>
        <w:t>’</w:t>
      </w:r>
      <w:r>
        <w:rPr>
          <w:bCs/>
          <w:color w:val="000000" w:themeColor="text1"/>
          <w:lang w:val="fr-FR"/>
        </w:rPr>
        <w:t xml:space="preserve">autres </w:t>
      </w:r>
      <w:r w:rsidRPr="001D091D">
        <w:rPr>
          <w:bCs/>
          <w:color w:val="000000" w:themeColor="text1"/>
          <w:lang w:val="fr-FR"/>
        </w:rPr>
        <w:t>délégation</w:t>
      </w:r>
      <w:r>
        <w:rPr>
          <w:bCs/>
          <w:color w:val="000000" w:themeColor="text1"/>
          <w:lang w:val="fr-FR"/>
        </w:rPr>
        <w:t>s.</w:t>
      </w:r>
    </w:p>
    <w:p w14:paraId="2C30D647" w14:textId="7F4F945E" w:rsidR="001D091D" w:rsidRPr="00702497" w:rsidRDefault="001D091D" w:rsidP="00702497">
      <w:pPr>
        <w:pStyle w:val="Orateurengris"/>
        <w:numPr>
          <w:ilvl w:val="0"/>
          <w:numId w:val="20"/>
        </w:numPr>
        <w:tabs>
          <w:tab w:val="clear" w:pos="567"/>
          <w:tab w:val="num" w:pos="709"/>
        </w:tabs>
        <w:spacing w:before="120"/>
        <w:ind w:left="709" w:hanging="709"/>
        <w:rPr>
          <w:bCs/>
          <w:lang w:val="fr-FR"/>
        </w:rPr>
      </w:pPr>
      <w:r>
        <w:rPr>
          <w:bCs/>
          <w:lang w:val="fr-FR"/>
        </w:rPr>
        <w:t xml:space="preserve">La </w:t>
      </w:r>
      <w:r w:rsidRPr="001D091D">
        <w:rPr>
          <w:bCs/>
          <w:lang w:val="fr-FR"/>
        </w:rPr>
        <w:t>délégation</w:t>
      </w:r>
      <w:r>
        <w:rPr>
          <w:bCs/>
          <w:lang w:val="fr-FR"/>
        </w:rPr>
        <w:t xml:space="preserve"> du </w:t>
      </w:r>
      <w:r w:rsidRPr="00702497">
        <w:rPr>
          <w:b/>
          <w:lang w:val="fr-FR"/>
        </w:rPr>
        <w:t>Paraguay</w:t>
      </w:r>
      <w:r>
        <w:rPr>
          <w:bCs/>
          <w:lang w:val="fr-FR"/>
        </w:rPr>
        <w:t xml:space="preserve"> </w:t>
      </w:r>
      <w:r w:rsidR="00DC3313">
        <w:rPr>
          <w:bCs/>
          <w:lang w:val="fr-FR"/>
        </w:rPr>
        <w:t xml:space="preserve">soutenait </w:t>
      </w:r>
      <w:r w:rsidR="00DC3313" w:rsidRPr="00DC3313">
        <w:rPr>
          <w:bCs/>
          <w:color w:val="000000" w:themeColor="text1"/>
          <w:lang w:val="fr-FR"/>
        </w:rPr>
        <w:t>également</w:t>
      </w:r>
      <w:r w:rsidR="00DC3313">
        <w:rPr>
          <w:bCs/>
          <w:color w:val="000000" w:themeColor="text1"/>
          <w:lang w:val="fr-FR"/>
        </w:rPr>
        <w:t xml:space="preserve"> </w:t>
      </w:r>
      <w:r>
        <w:rPr>
          <w:bCs/>
          <w:color w:val="000000" w:themeColor="text1"/>
          <w:lang w:val="fr-FR"/>
        </w:rPr>
        <w:t>l</w:t>
      </w:r>
      <w:r w:rsidR="00923E72">
        <w:rPr>
          <w:bCs/>
          <w:color w:val="000000" w:themeColor="text1"/>
          <w:lang w:val="fr-FR"/>
        </w:rPr>
        <w:t>’</w:t>
      </w:r>
      <w:r w:rsidRPr="001D091D">
        <w:rPr>
          <w:bCs/>
          <w:color w:val="000000" w:themeColor="text1"/>
          <w:lang w:val="fr-FR"/>
        </w:rPr>
        <w:t>amendement</w:t>
      </w:r>
      <w:r>
        <w:rPr>
          <w:bCs/>
          <w:color w:val="000000" w:themeColor="text1"/>
          <w:lang w:val="fr-FR"/>
        </w:rPr>
        <w:t xml:space="preserve"> du Botswana et la belle danse </w:t>
      </w:r>
      <w:proofErr w:type="spellStart"/>
      <w:r>
        <w:rPr>
          <w:bCs/>
          <w:color w:val="000000" w:themeColor="text1"/>
          <w:lang w:val="fr-FR"/>
        </w:rPr>
        <w:t>kalela</w:t>
      </w:r>
      <w:proofErr w:type="spellEnd"/>
      <w:r>
        <w:rPr>
          <w:bCs/>
          <w:color w:val="000000" w:themeColor="text1"/>
          <w:lang w:val="fr-FR"/>
        </w:rPr>
        <w:t>.</w:t>
      </w:r>
    </w:p>
    <w:p w14:paraId="43DDF133" w14:textId="7DDD1FAF" w:rsidR="001D091D" w:rsidRDefault="001D091D" w:rsidP="00702497">
      <w:pPr>
        <w:pStyle w:val="Orateurengris"/>
        <w:numPr>
          <w:ilvl w:val="0"/>
          <w:numId w:val="20"/>
        </w:numPr>
        <w:tabs>
          <w:tab w:val="clear" w:pos="567"/>
          <w:tab w:val="num" w:pos="709"/>
        </w:tabs>
        <w:spacing w:before="120"/>
        <w:ind w:left="709" w:hanging="709"/>
        <w:rPr>
          <w:bCs/>
          <w:lang w:val="fr-FR"/>
        </w:rPr>
      </w:pPr>
      <w:r w:rsidRPr="001D091D">
        <w:rPr>
          <w:bCs/>
          <w:lang w:val="fr-FR"/>
        </w:rPr>
        <w:t xml:space="preserve">Le </w:t>
      </w:r>
      <w:r w:rsidRPr="00702497">
        <w:rPr>
          <w:b/>
          <w:lang w:val="fr-FR"/>
        </w:rPr>
        <w:t>Président</w:t>
      </w:r>
      <w:r w:rsidRPr="001D091D">
        <w:rPr>
          <w:bCs/>
          <w:lang w:val="fr-FR"/>
        </w:rPr>
        <w:t xml:space="preserve"> a pris note des </w:t>
      </w:r>
      <w:r>
        <w:rPr>
          <w:bCs/>
          <w:lang w:val="fr-FR"/>
        </w:rPr>
        <w:t>m</w:t>
      </w:r>
      <w:r w:rsidRPr="001D091D">
        <w:rPr>
          <w:bCs/>
          <w:lang w:val="fr-FR"/>
        </w:rPr>
        <w:t>embres qui se portaient coauteurs de l</w:t>
      </w:r>
      <w:r w:rsidR="00923E72">
        <w:rPr>
          <w:bCs/>
          <w:lang w:val="fr-FR"/>
        </w:rPr>
        <w:t>’</w:t>
      </w:r>
      <w:r w:rsidRPr="001D091D">
        <w:rPr>
          <w:bCs/>
          <w:lang w:val="fr-FR"/>
        </w:rPr>
        <w:t>amendement</w:t>
      </w:r>
      <w:r>
        <w:rPr>
          <w:bCs/>
          <w:lang w:val="fr-FR"/>
        </w:rPr>
        <w:t> </w:t>
      </w:r>
      <w:r w:rsidRPr="001D091D">
        <w:rPr>
          <w:bCs/>
          <w:lang w:val="fr-FR"/>
        </w:rPr>
        <w:t>: le</w:t>
      </w:r>
      <w:r w:rsidR="0015662E">
        <w:rPr>
          <w:bCs/>
          <w:lang w:val="fr-FR"/>
        </w:rPr>
        <w:t xml:space="preserve"> </w:t>
      </w:r>
      <w:r w:rsidRPr="001D091D">
        <w:rPr>
          <w:bCs/>
          <w:lang w:val="fr-FR"/>
        </w:rPr>
        <w:t>Botswana, l</w:t>
      </w:r>
      <w:r w:rsidR="00923E72">
        <w:rPr>
          <w:bCs/>
          <w:lang w:val="fr-FR"/>
        </w:rPr>
        <w:t>’</w:t>
      </w:r>
      <w:r w:rsidRPr="001D091D">
        <w:rPr>
          <w:bCs/>
          <w:lang w:val="fr-FR"/>
        </w:rPr>
        <w:t>Angola, le</w:t>
      </w:r>
      <w:r w:rsidR="0015662E">
        <w:rPr>
          <w:bCs/>
          <w:lang w:val="fr-FR"/>
        </w:rPr>
        <w:t xml:space="preserve"> </w:t>
      </w:r>
      <w:r w:rsidRPr="001D091D">
        <w:rPr>
          <w:bCs/>
          <w:lang w:val="fr-FR"/>
        </w:rPr>
        <w:t>Bangladesh, le</w:t>
      </w:r>
      <w:r w:rsidR="0015662E">
        <w:rPr>
          <w:bCs/>
          <w:lang w:val="fr-FR"/>
        </w:rPr>
        <w:t xml:space="preserve"> </w:t>
      </w:r>
      <w:r w:rsidRPr="001D091D">
        <w:rPr>
          <w:bCs/>
          <w:lang w:val="fr-FR"/>
        </w:rPr>
        <w:t>Burkina</w:t>
      </w:r>
      <w:r>
        <w:rPr>
          <w:bCs/>
          <w:lang w:val="fr-FR"/>
        </w:rPr>
        <w:t> </w:t>
      </w:r>
      <w:r w:rsidRPr="001D091D">
        <w:rPr>
          <w:bCs/>
          <w:lang w:val="fr-FR"/>
        </w:rPr>
        <w:t>Faso, la</w:t>
      </w:r>
      <w:r w:rsidR="0015662E">
        <w:rPr>
          <w:bCs/>
          <w:lang w:val="fr-FR"/>
        </w:rPr>
        <w:t xml:space="preserve"> </w:t>
      </w:r>
      <w:r w:rsidRPr="001D091D">
        <w:rPr>
          <w:bCs/>
          <w:lang w:val="fr-FR"/>
        </w:rPr>
        <w:t>Côte</w:t>
      </w:r>
      <w:r>
        <w:rPr>
          <w:bCs/>
          <w:lang w:val="fr-FR"/>
        </w:rPr>
        <w:t> </w:t>
      </w:r>
      <w:r w:rsidRPr="001D091D">
        <w:rPr>
          <w:bCs/>
          <w:lang w:val="fr-FR"/>
        </w:rPr>
        <w:t>d</w:t>
      </w:r>
      <w:r w:rsidR="00923E72">
        <w:rPr>
          <w:bCs/>
          <w:lang w:val="fr-FR"/>
        </w:rPr>
        <w:t>’</w:t>
      </w:r>
      <w:r w:rsidRPr="001D091D">
        <w:rPr>
          <w:bCs/>
          <w:lang w:val="fr-FR"/>
        </w:rPr>
        <w:t>Ivoire, la</w:t>
      </w:r>
      <w:r w:rsidR="0015662E">
        <w:rPr>
          <w:bCs/>
          <w:lang w:val="fr-FR"/>
        </w:rPr>
        <w:t xml:space="preserve"> </w:t>
      </w:r>
      <w:r w:rsidRPr="001D091D">
        <w:rPr>
          <w:bCs/>
          <w:lang w:val="fr-FR"/>
        </w:rPr>
        <w:t>Tchéquie, l</w:t>
      </w:r>
      <w:r w:rsidR="00923E72">
        <w:rPr>
          <w:bCs/>
          <w:lang w:val="fr-FR"/>
        </w:rPr>
        <w:t>’</w:t>
      </w:r>
      <w:r w:rsidRPr="001D091D">
        <w:rPr>
          <w:bCs/>
          <w:lang w:val="fr-FR"/>
        </w:rPr>
        <w:t>Éthiopie, le</w:t>
      </w:r>
      <w:r w:rsidR="0015662E">
        <w:rPr>
          <w:bCs/>
          <w:lang w:val="fr-FR"/>
        </w:rPr>
        <w:t xml:space="preserve"> </w:t>
      </w:r>
      <w:r w:rsidRPr="001D091D">
        <w:rPr>
          <w:bCs/>
          <w:lang w:val="fr-FR"/>
        </w:rPr>
        <w:t>Maroc, la</w:t>
      </w:r>
      <w:r w:rsidR="0015662E">
        <w:rPr>
          <w:bCs/>
          <w:lang w:val="fr-FR"/>
        </w:rPr>
        <w:t xml:space="preserve"> </w:t>
      </w:r>
      <w:r w:rsidRPr="001D091D">
        <w:rPr>
          <w:bCs/>
          <w:lang w:val="fr-FR"/>
        </w:rPr>
        <w:t>Mauritanie, le</w:t>
      </w:r>
      <w:r w:rsidR="0015662E">
        <w:rPr>
          <w:bCs/>
          <w:lang w:val="fr-FR"/>
        </w:rPr>
        <w:t xml:space="preserve"> </w:t>
      </w:r>
      <w:r w:rsidRPr="001D091D">
        <w:rPr>
          <w:bCs/>
          <w:lang w:val="fr-FR"/>
        </w:rPr>
        <w:t>Rwanda, la</w:t>
      </w:r>
      <w:r w:rsidR="0015662E">
        <w:rPr>
          <w:bCs/>
          <w:lang w:val="fr-FR"/>
        </w:rPr>
        <w:t xml:space="preserve"> </w:t>
      </w:r>
      <w:r w:rsidRPr="001D091D">
        <w:rPr>
          <w:bCs/>
          <w:lang w:val="fr-FR"/>
        </w:rPr>
        <w:t>Suisse, le</w:t>
      </w:r>
      <w:r w:rsidR="0015662E">
        <w:rPr>
          <w:bCs/>
          <w:lang w:val="fr-FR"/>
        </w:rPr>
        <w:t xml:space="preserve"> </w:t>
      </w:r>
      <w:r w:rsidRPr="001D091D">
        <w:rPr>
          <w:bCs/>
          <w:lang w:val="fr-FR"/>
        </w:rPr>
        <w:t>Brésil, l</w:t>
      </w:r>
      <w:r w:rsidR="00923E72">
        <w:rPr>
          <w:bCs/>
          <w:lang w:val="fr-FR"/>
        </w:rPr>
        <w:t>’</w:t>
      </w:r>
      <w:r w:rsidRPr="001D091D">
        <w:rPr>
          <w:bCs/>
          <w:lang w:val="fr-FR"/>
        </w:rPr>
        <w:t>Inde, l</w:t>
      </w:r>
      <w:r w:rsidR="00923E72">
        <w:rPr>
          <w:bCs/>
          <w:lang w:val="fr-FR"/>
        </w:rPr>
        <w:t>’</w:t>
      </w:r>
      <w:r w:rsidRPr="001D091D">
        <w:rPr>
          <w:bCs/>
          <w:lang w:val="fr-FR"/>
        </w:rPr>
        <w:t>Allemagne, la</w:t>
      </w:r>
      <w:r w:rsidR="0015662E">
        <w:rPr>
          <w:bCs/>
          <w:lang w:val="fr-FR"/>
        </w:rPr>
        <w:t xml:space="preserve"> </w:t>
      </w:r>
      <w:r w:rsidRPr="001D091D">
        <w:rPr>
          <w:bCs/>
          <w:lang w:val="fr-FR"/>
        </w:rPr>
        <w:t>Malaisie, la</w:t>
      </w:r>
      <w:r w:rsidR="0015662E">
        <w:rPr>
          <w:bCs/>
          <w:lang w:val="fr-FR"/>
        </w:rPr>
        <w:t xml:space="preserve"> </w:t>
      </w:r>
      <w:r w:rsidRPr="001D091D">
        <w:rPr>
          <w:bCs/>
          <w:lang w:val="fr-FR"/>
        </w:rPr>
        <w:t>Slovaquie, le</w:t>
      </w:r>
      <w:r w:rsidR="0015662E">
        <w:rPr>
          <w:bCs/>
          <w:lang w:val="fr-FR"/>
        </w:rPr>
        <w:t xml:space="preserve"> </w:t>
      </w:r>
      <w:r w:rsidRPr="001D091D">
        <w:rPr>
          <w:bCs/>
          <w:lang w:val="fr-FR"/>
        </w:rPr>
        <w:t>Panama, le</w:t>
      </w:r>
      <w:r w:rsidR="0015662E">
        <w:rPr>
          <w:bCs/>
          <w:lang w:val="fr-FR"/>
        </w:rPr>
        <w:t xml:space="preserve"> </w:t>
      </w:r>
      <w:r w:rsidRPr="001D091D">
        <w:rPr>
          <w:bCs/>
          <w:lang w:val="fr-FR"/>
        </w:rPr>
        <w:t>Pérou, le</w:t>
      </w:r>
      <w:r w:rsidR="0015662E">
        <w:rPr>
          <w:bCs/>
          <w:lang w:val="fr-FR"/>
        </w:rPr>
        <w:t xml:space="preserve"> </w:t>
      </w:r>
      <w:r w:rsidRPr="001D091D">
        <w:rPr>
          <w:bCs/>
          <w:lang w:val="fr-FR"/>
        </w:rPr>
        <w:t>Paraguay, la</w:t>
      </w:r>
      <w:r w:rsidR="0015662E">
        <w:rPr>
          <w:bCs/>
          <w:lang w:val="fr-FR"/>
        </w:rPr>
        <w:t xml:space="preserve"> </w:t>
      </w:r>
      <w:r w:rsidRPr="001D091D">
        <w:rPr>
          <w:bCs/>
          <w:lang w:val="fr-FR"/>
        </w:rPr>
        <w:t>République</w:t>
      </w:r>
      <w:r w:rsidR="0015662E">
        <w:rPr>
          <w:bCs/>
          <w:lang w:val="fr-FR"/>
        </w:rPr>
        <w:t xml:space="preserve"> </w:t>
      </w:r>
      <w:r w:rsidRPr="001D091D">
        <w:rPr>
          <w:bCs/>
          <w:lang w:val="fr-FR"/>
        </w:rPr>
        <w:t>de</w:t>
      </w:r>
      <w:r w:rsidR="0015662E">
        <w:rPr>
          <w:bCs/>
          <w:lang w:val="fr-FR"/>
        </w:rPr>
        <w:t xml:space="preserve"> </w:t>
      </w:r>
      <w:r w:rsidRPr="001D091D">
        <w:rPr>
          <w:bCs/>
          <w:lang w:val="fr-FR"/>
        </w:rPr>
        <w:t>Corée, l</w:t>
      </w:r>
      <w:r w:rsidR="00923E72">
        <w:rPr>
          <w:bCs/>
          <w:lang w:val="fr-FR"/>
        </w:rPr>
        <w:t>’</w:t>
      </w:r>
      <w:r w:rsidRPr="001D091D">
        <w:rPr>
          <w:bCs/>
          <w:lang w:val="fr-FR"/>
        </w:rPr>
        <w:t>Arabie</w:t>
      </w:r>
      <w:r w:rsidR="00FA0F6B">
        <w:rPr>
          <w:bCs/>
          <w:lang w:val="fr-FR"/>
        </w:rPr>
        <w:t> </w:t>
      </w:r>
      <w:r w:rsidRPr="001D091D">
        <w:rPr>
          <w:bCs/>
          <w:lang w:val="fr-FR"/>
        </w:rPr>
        <w:t>saoudite, la</w:t>
      </w:r>
      <w:r w:rsidR="0015662E">
        <w:rPr>
          <w:bCs/>
          <w:lang w:val="fr-FR"/>
        </w:rPr>
        <w:t xml:space="preserve"> </w:t>
      </w:r>
      <w:r w:rsidRPr="001D091D">
        <w:rPr>
          <w:bCs/>
          <w:lang w:val="fr-FR"/>
        </w:rPr>
        <w:t>Suède, l</w:t>
      </w:r>
      <w:r w:rsidR="00923E72">
        <w:rPr>
          <w:bCs/>
          <w:lang w:val="fr-FR"/>
        </w:rPr>
        <w:t>’</w:t>
      </w:r>
      <w:r w:rsidRPr="001D091D">
        <w:rPr>
          <w:bCs/>
          <w:lang w:val="fr-FR"/>
        </w:rPr>
        <w:t>Ouzbékistan et le</w:t>
      </w:r>
      <w:r w:rsidR="0015662E">
        <w:rPr>
          <w:bCs/>
          <w:lang w:val="fr-FR"/>
        </w:rPr>
        <w:t xml:space="preserve"> </w:t>
      </w:r>
      <w:r w:rsidRPr="001D091D">
        <w:rPr>
          <w:bCs/>
          <w:lang w:val="fr-FR"/>
        </w:rPr>
        <w:t>Viet</w:t>
      </w:r>
      <w:r>
        <w:rPr>
          <w:bCs/>
          <w:lang w:val="fr-FR"/>
        </w:rPr>
        <w:t> </w:t>
      </w:r>
      <w:r w:rsidRPr="001D091D">
        <w:rPr>
          <w:bCs/>
          <w:lang w:val="fr-FR"/>
        </w:rPr>
        <w:t>Nam. En effet, comme cela avait été mentionné, il était merveilleux de pouvoir adopter cet élément, le seul élément africain présenté au cours de cette session. Le Président a remercié les membres du Comité pour leur soutien. Passant à l</w:t>
      </w:r>
      <w:r w:rsidR="00923E72">
        <w:rPr>
          <w:bCs/>
          <w:lang w:val="fr-FR"/>
        </w:rPr>
        <w:t>’</w:t>
      </w:r>
      <w:r w:rsidRPr="001D091D">
        <w:rPr>
          <w:bCs/>
          <w:lang w:val="fr-FR"/>
        </w:rPr>
        <w:t xml:space="preserve">adoption du projet de décision dans son ensemble, le </w:t>
      </w:r>
      <w:r w:rsidRPr="00702497">
        <w:rPr>
          <w:b/>
          <w:lang w:val="fr-FR"/>
        </w:rPr>
        <w:t>Président a déclaré adoptée la décision</w:t>
      </w:r>
      <w:r w:rsidR="0015662E">
        <w:rPr>
          <w:b/>
          <w:lang w:val="fr-FR"/>
        </w:rPr>
        <w:t> </w:t>
      </w:r>
      <w:r w:rsidR="00751FB1">
        <w:fldChar w:fldCharType="begin"/>
      </w:r>
      <w:r w:rsidR="00751FB1" w:rsidRPr="00751FB1">
        <w:rPr>
          <w:lang w:val="fr-FR"/>
        </w:rPr>
        <w:instrText>HYPERLINK "https://ich.unesco.org/fr/Decisions/17.COM/7.b.35"</w:instrText>
      </w:r>
      <w:r w:rsidR="00751FB1">
        <w:fldChar w:fldCharType="separate"/>
      </w:r>
      <w:r w:rsidRPr="006E3034">
        <w:rPr>
          <w:rStyle w:val="Hyperlink"/>
          <w:b/>
          <w:lang w:val="fr-FR"/>
        </w:rPr>
        <w:t>17.COM 7b.35</w:t>
      </w:r>
      <w:r w:rsidR="00751FB1">
        <w:rPr>
          <w:rStyle w:val="Hyperlink"/>
          <w:b/>
          <w:lang w:val="fr-FR"/>
        </w:rPr>
        <w:fldChar w:fldCharType="end"/>
      </w:r>
      <w:r w:rsidRPr="00702497">
        <w:rPr>
          <w:b/>
          <w:lang w:val="fr-FR"/>
        </w:rPr>
        <w:t xml:space="preserve"> d</w:t>
      </w:r>
      <w:r w:rsidR="00923E72">
        <w:rPr>
          <w:b/>
          <w:lang w:val="fr-FR"/>
        </w:rPr>
        <w:t>’</w:t>
      </w:r>
      <w:r w:rsidRPr="00702497">
        <w:rPr>
          <w:b/>
          <w:lang w:val="fr-FR"/>
        </w:rPr>
        <w:t xml:space="preserve">inscrire la danse </w:t>
      </w:r>
      <w:proofErr w:type="spellStart"/>
      <w:r w:rsidRPr="00702497">
        <w:rPr>
          <w:b/>
          <w:lang w:val="fr-FR"/>
        </w:rPr>
        <w:t>kalela</w:t>
      </w:r>
      <w:proofErr w:type="spellEnd"/>
      <w:r w:rsidRPr="00702497">
        <w:rPr>
          <w:b/>
          <w:lang w:val="fr-FR"/>
        </w:rPr>
        <w:t xml:space="preserve"> sur la Liste représentative</w:t>
      </w:r>
      <w:r w:rsidRPr="001D091D">
        <w:rPr>
          <w:bCs/>
          <w:lang w:val="fr-FR"/>
        </w:rPr>
        <w:t>.</w:t>
      </w:r>
    </w:p>
    <w:p w14:paraId="3F1C6FD5" w14:textId="7CEDE0CB" w:rsidR="00DC3313" w:rsidRDefault="00DC3313" w:rsidP="00702497">
      <w:pPr>
        <w:pStyle w:val="Orateurengris"/>
        <w:numPr>
          <w:ilvl w:val="0"/>
          <w:numId w:val="20"/>
        </w:numPr>
        <w:tabs>
          <w:tab w:val="clear" w:pos="567"/>
          <w:tab w:val="num" w:pos="709"/>
        </w:tabs>
        <w:spacing w:before="120"/>
        <w:ind w:left="709" w:hanging="709"/>
        <w:rPr>
          <w:bCs/>
          <w:lang w:val="fr-FR"/>
        </w:rPr>
      </w:pPr>
      <w:r w:rsidRPr="00DC3313">
        <w:rPr>
          <w:bCs/>
          <w:lang w:val="fr-FR"/>
        </w:rPr>
        <w:t xml:space="preserve">La délégation de la </w:t>
      </w:r>
      <w:r w:rsidRPr="00702497">
        <w:rPr>
          <w:b/>
          <w:lang w:val="fr-FR"/>
        </w:rPr>
        <w:t>Zambie</w:t>
      </w:r>
      <w:r w:rsidRPr="00DC3313">
        <w:rPr>
          <w:bCs/>
          <w:lang w:val="fr-FR"/>
        </w:rPr>
        <w:t xml:space="preserve"> a remercié tous les membres du Comité et les pays d</w:t>
      </w:r>
      <w:r w:rsidR="00923E72">
        <w:rPr>
          <w:bCs/>
          <w:lang w:val="fr-FR"/>
        </w:rPr>
        <w:t>’</w:t>
      </w:r>
      <w:r w:rsidRPr="00DC3313">
        <w:rPr>
          <w:bCs/>
          <w:lang w:val="fr-FR"/>
        </w:rPr>
        <w:t xml:space="preserve">Afrique et du monde entier qui </w:t>
      </w:r>
      <w:r>
        <w:rPr>
          <w:bCs/>
          <w:lang w:val="fr-FR"/>
        </w:rPr>
        <w:t xml:space="preserve">avaient </w:t>
      </w:r>
      <w:r w:rsidRPr="00DC3313">
        <w:rPr>
          <w:bCs/>
          <w:lang w:val="fr-FR"/>
        </w:rPr>
        <w:t xml:space="preserve">soutenu la danse </w:t>
      </w:r>
      <w:proofErr w:type="spellStart"/>
      <w:r>
        <w:rPr>
          <w:bCs/>
          <w:lang w:val="fr-FR"/>
        </w:rPr>
        <w:t>k</w:t>
      </w:r>
      <w:r w:rsidRPr="00DC3313">
        <w:rPr>
          <w:bCs/>
          <w:lang w:val="fr-FR"/>
        </w:rPr>
        <w:t>alela</w:t>
      </w:r>
      <w:proofErr w:type="spellEnd"/>
      <w:r w:rsidRPr="00DC3313">
        <w:rPr>
          <w:bCs/>
          <w:lang w:val="fr-FR"/>
        </w:rPr>
        <w:t>, l</w:t>
      </w:r>
      <w:r w:rsidR="00923E72">
        <w:rPr>
          <w:bCs/>
          <w:lang w:val="fr-FR"/>
        </w:rPr>
        <w:t>’</w:t>
      </w:r>
      <w:r w:rsidRPr="00DC3313">
        <w:rPr>
          <w:bCs/>
          <w:lang w:val="fr-FR"/>
        </w:rPr>
        <w:t>une des danses de la Zambie. Elle a remercié le Président et le Comité pour ce</w:t>
      </w:r>
      <w:r>
        <w:rPr>
          <w:bCs/>
          <w:lang w:val="fr-FR"/>
        </w:rPr>
        <w:t xml:space="preserve">tte très grande réussite </w:t>
      </w:r>
      <w:r w:rsidRPr="00DC3313">
        <w:rPr>
          <w:bCs/>
          <w:lang w:val="fr-FR"/>
        </w:rPr>
        <w:t>pour la Zambie.</w:t>
      </w:r>
    </w:p>
    <w:p w14:paraId="6D05C6A3" w14:textId="4CD5D3F7" w:rsidR="00DC3313" w:rsidRPr="00702497" w:rsidRDefault="00826789" w:rsidP="00702497">
      <w:pPr>
        <w:pStyle w:val="Orateurengris"/>
        <w:numPr>
          <w:ilvl w:val="0"/>
          <w:numId w:val="20"/>
        </w:numPr>
        <w:tabs>
          <w:tab w:val="clear" w:pos="567"/>
          <w:tab w:val="num" w:pos="709"/>
        </w:tabs>
        <w:spacing w:before="120"/>
        <w:ind w:left="709" w:hanging="709"/>
        <w:rPr>
          <w:bCs/>
          <w:lang w:val="fr-FR"/>
        </w:rPr>
      </w:pPr>
      <w:r>
        <w:rPr>
          <w:bCs/>
          <w:lang w:val="fr-FR"/>
        </w:rPr>
        <w:t>En l</w:t>
      </w:r>
      <w:r w:rsidR="00923E72">
        <w:rPr>
          <w:bCs/>
          <w:lang w:val="fr-FR"/>
        </w:rPr>
        <w:t>’</w:t>
      </w:r>
      <w:r>
        <w:rPr>
          <w:bCs/>
          <w:lang w:val="fr-FR"/>
        </w:rPr>
        <w:t xml:space="preserve">absence </w:t>
      </w:r>
      <w:r w:rsidR="00DC3313" w:rsidRPr="00DC3313">
        <w:rPr>
          <w:bCs/>
          <w:lang w:val="fr-FR"/>
        </w:rPr>
        <w:t xml:space="preserve">momentanée du Président, </w:t>
      </w:r>
      <w:r w:rsidRPr="00D72F86">
        <w:rPr>
          <w:bCs/>
          <w:lang w:val="fr-FR"/>
        </w:rPr>
        <w:t>le</w:t>
      </w:r>
      <w:r w:rsidR="008B7C81">
        <w:rPr>
          <w:b/>
          <w:lang w:val="fr-FR"/>
        </w:rPr>
        <w:t xml:space="preserve"> </w:t>
      </w:r>
      <w:r w:rsidRPr="00702497">
        <w:rPr>
          <w:b/>
          <w:lang w:val="fr-FR"/>
        </w:rPr>
        <w:t>Vice-Président</w:t>
      </w:r>
      <w:r w:rsidR="008B7C81">
        <w:rPr>
          <w:b/>
          <w:lang w:val="fr-FR"/>
        </w:rPr>
        <w:t xml:space="preserve"> du Botswana</w:t>
      </w:r>
      <w:r>
        <w:rPr>
          <w:bCs/>
          <w:lang w:val="fr-FR"/>
        </w:rPr>
        <w:t xml:space="preserve"> a dirigé les travaux du </w:t>
      </w:r>
      <w:r w:rsidRPr="00826789">
        <w:rPr>
          <w:bCs/>
          <w:color w:val="000000" w:themeColor="text1"/>
          <w:lang w:val="fr-FR"/>
        </w:rPr>
        <w:t>Comité</w:t>
      </w:r>
      <w:r>
        <w:rPr>
          <w:bCs/>
          <w:color w:val="000000" w:themeColor="text1"/>
          <w:lang w:val="fr-FR"/>
        </w:rPr>
        <w:t>.</w:t>
      </w:r>
    </w:p>
    <w:p w14:paraId="08A5939C" w14:textId="05155A93" w:rsidR="00826789" w:rsidRDefault="00D72F86" w:rsidP="00702497">
      <w:pPr>
        <w:pStyle w:val="Orateurengris"/>
        <w:numPr>
          <w:ilvl w:val="0"/>
          <w:numId w:val="20"/>
        </w:numPr>
        <w:tabs>
          <w:tab w:val="clear" w:pos="567"/>
          <w:tab w:val="num" w:pos="709"/>
        </w:tabs>
        <w:spacing w:before="120"/>
        <w:ind w:left="709" w:hanging="709"/>
        <w:rPr>
          <w:bCs/>
          <w:lang w:val="fr-FR"/>
        </w:rPr>
      </w:pPr>
      <w:r w:rsidRPr="00D72F86">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D72F86">
        <w:rPr>
          <w:bCs/>
          <w:lang w:val="fr-FR"/>
        </w:rPr>
        <w:t xml:space="preserve"> a présenté la candidature suivante, </w:t>
      </w:r>
      <w:r w:rsidRPr="00702497">
        <w:rPr>
          <w:b/>
          <w:lang w:val="fr-FR"/>
        </w:rPr>
        <w:t xml:space="preserve">le style </w:t>
      </w:r>
      <w:proofErr w:type="spellStart"/>
      <w:r w:rsidRPr="00702497">
        <w:rPr>
          <w:b/>
          <w:lang w:val="fr-FR"/>
        </w:rPr>
        <w:t>Behzad</w:t>
      </w:r>
      <w:proofErr w:type="spellEnd"/>
      <w:r w:rsidRPr="00702497">
        <w:rPr>
          <w:b/>
          <w:lang w:val="fr-FR"/>
        </w:rPr>
        <w:t xml:space="preserve"> de l</w:t>
      </w:r>
      <w:r w:rsidR="00923E72">
        <w:rPr>
          <w:b/>
          <w:lang w:val="fr-FR"/>
        </w:rPr>
        <w:t>’</w:t>
      </w:r>
      <w:r w:rsidRPr="00702497">
        <w:rPr>
          <w:b/>
          <w:lang w:val="fr-FR"/>
        </w:rPr>
        <w:t>art de la miniature</w:t>
      </w:r>
      <w:r w:rsidRPr="00D72F86">
        <w:rPr>
          <w:bCs/>
          <w:lang w:val="fr-FR"/>
        </w:rPr>
        <w:t xml:space="preserve"> [projet de décision</w:t>
      </w:r>
      <w:r w:rsidR="0015662E">
        <w:rPr>
          <w:bCs/>
          <w:lang w:val="fr-FR"/>
        </w:rPr>
        <w:t> </w:t>
      </w:r>
      <w:r w:rsidRPr="00D72F86">
        <w:rPr>
          <w:bCs/>
          <w:lang w:val="fr-FR"/>
        </w:rPr>
        <w:t>7.b.36]</w:t>
      </w:r>
      <w:r w:rsidR="0015662E">
        <w:rPr>
          <w:bCs/>
          <w:lang w:val="fr-FR"/>
        </w:rPr>
        <w:t>,</w:t>
      </w:r>
      <w:r w:rsidRPr="00D72F86">
        <w:rPr>
          <w:bCs/>
          <w:lang w:val="fr-FR"/>
        </w:rPr>
        <w:t xml:space="preserve"> soumis par l</w:t>
      </w:r>
      <w:r w:rsidR="00923E72">
        <w:rPr>
          <w:bCs/>
          <w:lang w:val="fr-FR"/>
        </w:rPr>
        <w:t>’</w:t>
      </w:r>
      <w:r w:rsidRPr="00702497">
        <w:rPr>
          <w:b/>
          <w:lang w:val="fr-FR"/>
        </w:rPr>
        <w:t>Afghanistan</w:t>
      </w:r>
      <w:r w:rsidR="0015662E">
        <w:rPr>
          <w:b/>
          <w:lang w:val="fr-FR"/>
        </w:rPr>
        <w:t>,</w:t>
      </w:r>
      <w:r w:rsidRPr="00D72F86">
        <w:rPr>
          <w:bCs/>
          <w:lang w:val="fr-FR"/>
        </w:rPr>
        <w:t xml:space="preserve"> expliquant que la tradition de la peinture miniature consiste à peindre des </w:t>
      </w:r>
      <w:r>
        <w:rPr>
          <w:bCs/>
          <w:lang w:val="fr-FR"/>
        </w:rPr>
        <w:t xml:space="preserve">personnages </w:t>
      </w:r>
      <w:r w:rsidRPr="00D72F86">
        <w:rPr>
          <w:bCs/>
          <w:lang w:val="fr-FR"/>
        </w:rPr>
        <w:t>et des scènes</w:t>
      </w:r>
      <w:r>
        <w:rPr>
          <w:bCs/>
          <w:lang w:val="fr-FR"/>
        </w:rPr>
        <w:t xml:space="preserve"> à</w:t>
      </w:r>
      <w:r w:rsidRPr="00D72F86">
        <w:rPr>
          <w:bCs/>
          <w:lang w:val="fr-FR"/>
        </w:rPr>
        <w:t xml:space="preserve"> petite </w:t>
      </w:r>
      <w:r>
        <w:rPr>
          <w:bCs/>
          <w:lang w:val="fr-FR"/>
        </w:rPr>
        <w:t>échelle</w:t>
      </w:r>
      <w:r w:rsidRPr="00D72F86">
        <w:rPr>
          <w:bCs/>
          <w:lang w:val="fr-FR"/>
        </w:rPr>
        <w:t xml:space="preserve">, mais </w:t>
      </w:r>
      <w:r>
        <w:rPr>
          <w:bCs/>
          <w:lang w:val="fr-FR"/>
        </w:rPr>
        <w:t xml:space="preserve">de façon </w:t>
      </w:r>
      <w:r w:rsidRPr="00D72F86">
        <w:rPr>
          <w:bCs/>
          <w:lang w:val="fr-FR"/>
        </w:rPr>
        <w:t xml:space="preserve">très détaillée, colorée et complexe </w:t>
      </w:r>
      <w:r>
        <w:rPr>
          <w:bCs/>
          <w:lang w:val="fr-FR"/>
        </w:rPr>
        <w:t>pour</w:t>
      </w:r>
      <w:r w:rsidRPr="00D72F86">
        <w:rPr>
          <w:bCs/>
          <w:lang w:val="fr-FR"/>
        </w:rPr>
        <w:t xml:space="preserve"> raconte</w:t>
      </w:r>
      <w:r>
        <w:rPr>
          <w:bCs/>
          <w:lang w:val="fr-FR"/>
        </w:rPr>
        <w:t>r</w:t>
      </w:r>
      <w:r w:rsidRPr="00D72F86">
        <w:rPr>
          <w:bCs/>
          <w:lang w:val="fr-FR"/>
        </w:rPr>
        <w:t xml:space="preserve"> les défis sociaux, les </w:t>
      </w:r>
      <w:r>
        <w:rPr>
          <w:bCs/>
          <w:lang w:val="fr-FR"/>
        </w:rPr>
        <w:t xml:space="preserve">problèmes </w:t>
      </w:r>
      <w:r w:rsidRPr="00D72F86">
        <w:rPr>
          <w:bCs/>
          <w:lang w:val="fr-FR"/>
        </w:rPr>
        <w:t>économiques et les mythes de la région, à l</w:t>
      </w:r>
      <w:r w:rsidR="00923E72">
        <w:rPr>
          <w:bCs/>
          <w:lang w:val="fr-FR"/>
        </w:rPr>
        <w:t>’</w:t>
      </w:r>
      <w:r w:rsidRPr="00D72F86">
        <w:rPr>
          <w:bCs/>
          <w:lang w:val="fr-FR"/>
        </w:rPr>
        <w:t>aide de crayons, de pinceaux, de pigments naturels et de feuilles d</w:t>
      </w:r>
      <w:r w:rsidR="00923E72">
        <w:rPr>
          <w:bCs/>
          <w:lang w:val="fr-FR"/>
        </w:rPr>
        <w:t>’</w:t>
      </w:r>
      <w:r w:rsidRPr="00D72F86">
        <w:rPr>
          <w:bCs/>
          <w:lang w:val="fr-FR"/>
        </w:rPr>
        <w:t>or ou d</w:t>
      </w:r>
      <w:r w:rsidR="00923E72">
        <w:rPr>
          <w:bCs/>
          <w:lang w:val="fr-FR"/>
        </w:rPr>
        <w:t>’</w:t>
      </w:r>
      <w:r w:rsidRPr="00D72F86">
        <w:rPr>
          <w:bCs/>
          <w:lang w:val="fr-FR"/>
        </w:rPr>
        <w:t>argent. L</w:t>
      </w:r>
      <w:r w:rsidR="00923E72">
        <w:rPr>
          <w:bCs/>
          <w:lang w:val="fr-FR"/>
        </w:rPr>
        <w:t>’</w:t>
      </w:r>
      <w:r w:rsidRPr="00D72F86">
        <w:rPr>
          <w:bCs/>
          <w:lang w:val="fr-FR"/>
        </w:rPr>
        <w:t>Organe d</w:t>
      </w:r>
      <w:r w:rsidR="00923E72">
        <w:rPr>
          <w:bCs/>
          <w:lang w:val="fr-FR"/>
        </w:rPr>
        <w:t>’</w:t>
      </w:r>
      <w:r w:rsidRPr="00D72F86">
        <w:rPr>
          <w:bCs/>
          <w:lang w:val="fr-FR"/>
        </w:rPr>
        <w:t>évaluation avait estimé que les informations fournies n</w:t>
      </w:r>
      <w:r w:rsidR="00923E72">
        <w:rPr>
          <w:bCs/>
          <w:lang w:val="fr-FR"/>
        </w:rPr>
        <w:t>’</w:t>
      </w:r>
      <w:r w:rsidRPr="00D72F86">
        <w:rPr>
          <w:bCs/>
          <w:lang w:val="fr-FR"/>
        </w:rPr>
        <w:t>étaient pas suffisantes pour satisfaire aux cinq critères. Le dossier ne donnait pas suffisamment de détails sur la fonction sociale et les significations culturelles de l</w:t>
      </w:r>
      <w:r w:rsidR="00923E72">
        <w:rPr>
          <w:bCs/>
          <w:lang w:val="fr-FR"/>
        </w:rPr>
        <w:t>’</w:t>
      </w:r>
      <w:r w:rsidRPr="00D72F86">
        <w:rPr>
          <w:bCs/>
          <w:lang w:val="fr-FR"/>
        </w:rPr>
        <w:t>élément à l</w:t>
      </w:r>
      <w:r w:rsidR="00923E72">
        <w:rPr>
          <w:bCs/>
          <w:lang w:val="fr-FR"/>
        </w:rPr>
        <w:t>’</w:t>
      </w:r>
      <w:r>
        <w:rPr>
          <w:bCs/>
          <w:lang w:val="fr-FR"/>
        </w:rPr>
        <w:t>époque</w:t>
      </w:r>
      <w:r w:rsidRPr="00D72F86">
        <w:rPr>
          <w:bCs/>
          <w:lang w:val="fr-FR"/>
        </w:rPr>
        <w:t xml:space="preserve"> actuelle et ne fournissait pas non plus de preuve de la participation des communautés concernées à l</w:t>
      </w:r>
      <w:r w:rsidR="00923E72">
        <w:rPr>
          <w:bCs/>
          <w:lang w:val="fr-FR"/>
        </w:rPr>
        <w:t>’</w:t>
      </w:r>
      <w:r w:rsidRPr="00D72F86">
        <w:rPr>
          <w:bCs/>
          <w:lang w:val="fr-FR"/>
        </w:rPr>
        <w:t>élaboration et à la mise en œuvre des mesures de sauvegarde. Pour ces raisons, l</w:t>
      </w:r>
      <w:r w:rsidR="00923E72">
        <w:rPr>
          <w:bCs/>
          <w:lang w:val="fr-FR"/>
        </w:rPr>
        <w:t>’</w:t>
      </w:r>
      <w:r w:rsidRPr="00D72F86">
        <w:rPr>
          <w:bCs/>
          <w:lang w:val="fr-FR"/>
        </w:rPr>
        <w:t>Organe recommandait malheureusement que cette candidature soit renvoyée à l</w:t>
      </w:r>
      <w:r w:rsidR="00923E72">
        <w:rPr>
          <w:bCs/>
          <w:lang w:val="fr-FR"/>
        </w:rPr>
        <w:t>’</w:t>
      </w:r>
      <w:r w:rsidRPr="00D72F86">
        <w:rPr>
          <w:bCs/>
          <w:lang w:val="fr-FR"/>
        </w:rPr>
        <w:t>État soumissionnaire.</w:t>
      </w:r>
    </w:p>
    <w:p w14:paraId="1778F49D" w14:textId="37D427D7" w:rsidR="00D72F86" w:rsidRDefault="00D72F86" w:rsidP="00702497">
      <w:pPr>
        <w:pStyle w:val="Orateurengris"/>
        <w:numPr>
          <w:ilvl w:val="0"/>
          <w:numId w:val="20"/>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Pr>
          <w:rFonts w:eastAsia="Malgun Gothic"/>
          <w:bCs/>
          <w:lang w:val="fr-FR"/>
        </w:rPr>
        <w:t>Constatant qu</w:t>
      </w:r>
      <w:r w:rsidR="00923E72">
        <w:rPr>
          <w:rFonts w:eastAsia="Malgun Gothic"/>
          <w:bCs/>
          <w:lang w:val="fr-FR"/>
        </w:rPr>
        <w:t>’</w:t>
      </w:r>
      <w:r>
        <w:rPr>
          <w:rFonts w:eastAsia="Malgun Gothic"/>
          <w:bCs/>
          <w:lang w:val="fr-FR"/>
        </w:rPr>
        <w:t xml:space="preserve">aucun </w:t>
      </w:r>
      <w:r w:rsidRPr="00DB76F7">
        <w:rPr>
          <w:rFonts w:eastAsia="Malgun Gothic"/>
          <w:bCs/>
          <w:lang w:val="fr-FR"/>
        </w:rPr>
        <w:t>amendement</w:t>
      </w:r>
      <w:r>
        <w:rPr>
          <w:rFonts w:eastAsia="Malgun Gothic"/>
          <w:bCs/>
          <w:lang w:val="fr-FR"/>
        </w:rPr>
        <w:t xml:space="preserve"> ou demande de débat n</w:t>
      </w:r>
      <w:r w:rsidR="00923E72">
        <w:rPr>
          <w:rFonts w:eastAsia="Malgun Gothic"/>
          <w:bCs/>
          <w:lang w:val="fr-FR"/>
        </w:rPr>
        <w:t>’</w:t>
      </w:r>
      <w:r>
        <w:rPr>
          <w:rFonts w:eastAsia="Malgun Gothic"/>
          <w:bCs/>
          <w:lang w:val="fr-FR"/>
        </w:rPr>
        <w:t xml:space="preserve">avait été reçu pour cette </w:t>
      </w:r>
      <w:r w:rsidRPr="00DB76F7">
        <w:rPr>
          <w:rFonts w:eastAsia="Malgun Gothic"/>
          <w:bCs/>
          <w:lang w:val="fr-FR"/>
        </w:rPr>
        <w:t>candidature</w:t>
      </w:r>
      <w:r>
        <w:rPr>
          <w:rFonts w:eastAsia="Malgun Gothic"/>
          <w:bCs/>
          <w:lang w:val="fr-FR"/>
        </w:rPr>
        <w:t xml:space="preserve">, le </w:t>
      </w:r>
      <w:r w:rsidRPr="00702497">
        <w:rPr>
          <w:rFonts w:eastAsia="Malgun Gothic"/>
          <w:b/>
          <w:lang w:val="fr-FR"/>
        </w:rPr>
        <w:t>Vice-</w:t>
      </w:r>
      <w:r w:rsidRPr="00AE6A00">
        <w:rPr>
          <w:rFonts w:eastAsia="Malgun Gothic"/>
          <w:b/>
          <w:lang w:val="fr-FR"/>
        </w:rPr>
        <w:t>Président</w:t>
      </w:r>
      <w:r>
        <w:rPr>
          <w:rFonts w:eastAsia="Malgun Gothic"/>
          <w:bCs/>
          <w:lang w:val="fr-FR"/>
        </w:rPr>
        <w:t xml:space="preserve"> est donc passé à l</w:t>
      </w:r>
      <w:r w:rsidR="00923E72">
        <w:rPr>
          <w:rFonts w:eastAsia="Malgun Gothic"/>
          <w:bCs/>
          <w:lang w:val="fr-FR"/>
        </w:rPr>
        <w:t>’</w:t>
      </w:r>
      <w:r>
        <w:rPr>
          <w:rFonts w:eastAsia="Malgun Gothic"/>
          <w:bCs/>
          <w:lang w:val="fr-FR"/>
        </w:rPr>
        <w:t xml:space="preserve">adoption du projet de décision dans son ensemble. </w:t>
      </w:r>
      <w:r w:rsidRPr="00DB76F7">
        <w:rPr>
          <w:rFonts w:eastAsia="Malgun Gothic"/>
          <w:bCs/>
          <w:lang w:val="fr-FR"/>
        </w:rPr>
        <w:t>En l</w:t>
      </w:r>
      <w:r w:rsidR="00923E72">
        <w:rPr>
          <w:rFonts w:eastAsia="Malgun Gothic"/>
          <w:bCs/>
          <w:lang w:val="fr-FR"/>
        </w:rPr>
        <w:t>’</w:t>
      </w:r>
      <w:r w:rsidRPr="00DB76F7">
        <w:rPr>
          <w:rFonts w:eastAsia="Malgun Gothic"/>
          <w:bCs/>
          <w:lang w:val="fr-FR"/>
        </w:rPr>
        <w:t>absence</w:t>
      </w:r>
      <w:r>
        <w:rPr>
          <w:rFonts w:eastAsia="Malgun Gothic"/>
          <w:bCs/>
          <w:lang w:val="fr-FR"/>
        </w:rPr>
        <w:t xml:space="preserve"> de </w:t>
      </w:r>
      <w:r w:rsidRPr="00DB76F7">
        <w:rPr>
          <w:rFonts w:eastAsia="Malgun Gothic"/>
          <w:bCs/>
          <w:lang w:val="fr-FR"/>
        </w:rPr>
        <w:t>commentaires</w:t>
      </w:r>
      <w:r>
        <w:rPr>
          <w:rFonts w:eastAsia="Malgun Gothic"/>
          <w:bCs/>
          <w:lang w:val="fr-FR"/>
        </w:rPr>
        <w:t xml:space="preserve"> ou d</w:t>
      </w:r>
      <w:r w:rsidR="00923E72">
        <w:rPr>
          <w:rFonts w:eastAsia="Malgun Gothic"/>
          <w:bCs/>
          <w:lang w:val="fr-FR"/>
        </w:rPr>
        <w:t>’</w:t>
      </w:r>
      <w:r>
        <w:rPr>
          <w:rFonts w:eastAsia="Malgun Gothic"/>
          <w:bCs/>
          <w:lang w:val="fr-FR"/>
        </w:rPr>
        <w:t xml:space="preserve">objections, le </w:t>
      </w:r>
      <w:r w:rsidR="000C4DC3" w:rsidRPr="00702497">
        <w:rPr>
          <w:rFonts w:eastAsia="Malgun Gothic"/>
          <w:b/>
          <w:lang w:val="fr-FR"/>
        </w:rPr>
        <w:t>Vice-</w:t>
      </w:r>
      <w:r w:rsidRPr="00AE6A00">
        <w:rPr>
          <w:rFonts w:eastAsia="Malgun Gothic"/>
          <w:b/>
          <w:lang w:val="fr-FR"/>
        </w:rPr>
        <w:t>Président a déclaré adoptée la décision</w:t>
      </w:r>
      <w:r w:rsidR="0015662E">
        <w:rPr>
          <w:rFonts w:eastAsia="Malgun Gothic"/>
          <w:b/>
          <w:lang w:val="fr-FR"/>
        </w:rPr>
        <w:t> </w:t>
      </w:r>
      <w:r w:rsidR="00751FB1">
        <w:fldChar w:fldCharType="begin"/>
      </w:r>
      <w:r w:rsidR="00751FB1" w:rsidRPr="00751FB1">
        <w:rPr>
          <w:lang w:val="fr-FR"/>
        </w:rPr>
        <w:instrText>HYPERLINK "https://ich.unesco.org/fr/Decisions/17.COM/7.b.36"</w:instrText>
      </w:r>
      <w:r w:rsidR="00751FB1">
        <w:fldChar w:fldCharType="separate"/>
      </w:r>
      <w:r w:rsidR="001B3DA0" w:rsidRPr="006E3034">
        <w:rPr>
          <w:rStyle w:val="Hyperlink"/>
          <w:b/>
          <w:bCs/>
          <w:lang w:val="fr-FR"/>
        </w:rPr>
        <w:t>17.COM 7.b.36</w:t>
      </w:r>
      <w:r w:rsidR="00751FB1">
        <w:rPr>
          <w:rStyle w:val="Hyperlink"/>
          <w:b/>
          <w:bCs/>
          <w:lang w:val="fr-FR"/>
        </w:rPr>
        <w:fldChar w:fldCharType="end"/>
      </w:r>
      <w:r w:rsidRPr="006E3034">
        <w:rPr>
          <w:rStyle w:val="Hyperlink"/>
          <w:b/>
          <w:bCs/>
          <w:color w:val="auto"/>
          <w:u w:val="none"/>
          <w:lang w:val="fr-FR"/>
        </w:rPr>
        <w:t xml:space="preserve"> </w:t>
      </w:r>
      <w:r w:rsidRPr="00AE6A00">
        <w:rPr>
          <w:rStyle w:val="Hyperlink"/>
          <w:b/>
          <w:bCs/>
          <w:color w:val="auto"/>
          <w:u w:val="none"/>
          <w:lang w:val="fr-FR"/>
        </w:rPr>
        <w:t>d</w:t>
      </w:r>
      <w:r w:rsidR="001B3DA0">
        <w:rPr>
          <w:rStyle w:val="Hyperlink"/>
          <w:b/>
          <w:bCs/>
          <w:color w:val="auto"/>
          <w:u w:val="none"/>
          <w:lang w:val="fr-FR"/>
        </w:rPr>
        <w:t xml:space="preserve">e renvoyer </w:t>
      </w:r>
      <w:r w:rsidR="001B3DA0" w:rsidRPr="00C8733E">
        <w:rPr>
          <w:b/>
          <w:lang w:val="fr-FR"/>
        </w:rPr>
        <w:t xml:space="preserve">le style </w:t>
      </w:r>
      <w:proofErr w:type="spellStart"/>
      <w:r w:rsidR="001B3DA0" w:rsidRPr="00C8733E">
        <w:rPr>
          <w:b/>
          <w:lang w:val="fr-FR"/>
        </w:rPr>
        <w:t>Behzad</w:t>
      </w:r>
      <w:proofErr w:type="spellEnd"/>
      <w:r w:rsidR="001B3DA0" w:rsidRPr="00C8733E">
        <w:rPr>
          <w:b/>
          <w:lang w:val="fr-FR"/>
        </w:rPr>
        <w:t xml:space="preserve"> de l</w:t>
      </w:r>
      <w:r w:rsidR="00923E72">
        <w:rPr>
          <w:b/>
          <w:lang w:val="fr-FR"/>
        </w:rPr>
        <w:t>’</w:t>
      </w:r>
      <w:r w:rsidR="001B3DA0" w:rsidRPr="00C8733E">
        <w:rPr>
          <w:b/>
          <w:lang w:val="fr-FR"/>
        </w:rPr>
        <w:t>art de la miniature</w:t>
      </w:r>
      <w:r w:rsidR="001B3DA0">
        <w:rPr>
          <w:b/>
          <w:lang w:val="fr-FR"/>
        </w:rPr>
        <w:t xml:space="preserve"> à l</w:t>
      </w:r>
      <w:r w:rsidR="00923E72">
        <w:rPr>
          <w:b/>
          <w:lang w:val="fr-FR"/>
        </w:rPr>
        <w:t>’</w:t>
      </w:r>
      <w:r w:rsidR="001B3DA0">
        <w:rPr>
          <w:b/>
          <w:lang w:val="fr-FR"/>
        </w:rPr>
        <w:t>État soumissionnaire</w:t>
      </w:r>
      <w:r w:rsidR="001B3DA0">
        <w:rPr>
          <w:rFonts w:eastAsia="Malgun Gothic"/>
          <w:bCs/>
          <w:lang w:val="fr-FR"/>
        </w:rPr>
        <w:t>.</w:t>
      </w:r>
    </w:p>
    <w:p w14:paraId="635A5E21" w14:textId="1FEB53AD" w:rsidR="00D72F86" w:rsidRDefault="00701024" w:rsidP="00702497">
      <w:pPr>
        <w:pStyle w:val="Orateurengris"/>
        <w:numPr>
          <w:ilvl w:val="0"/>
          <w:numId w:val="20"/>
        </w:numPr>
        <w:tabs>
          <w:tab w:val="clear" w:pos="567"/>
          <w:tab w:val="num" w:pos="709"/>
        </w:tabs>
        <w:spacing w:before="120"/>
        <w:ind w:left="709" w:hanging="709"/>
        <w:rPr>
          <w:bCs/>
          <w:lang w:val="fr-FR"/>
        </w:rPr>
      </w:pPr>
      <w:r w:rsidRPr="00701024">
        <w:rPr>
          <w:bCs/>
          <w:lang w:val="fr-FR"/>
        </w:rPr>
        <w:t>La délégation de l</w:t>
      </w:r>
      <w:r w:rsidR="00923E72">
        <w:rPr>
          <w:bCs/>
          <w:lang w:val="fr-FR"/>
        </w:rPr>
        <w:t>’</w:t>
      </w:r>
      <w:r w:rsidRPr="00702497">
        <w:rPr>
          <w:b/>
          <w:lang w:val="fr-FR"/>
        </w:rPr>
        <w:t>Afghanistan</w:t>
      </w:r>
      <w:r w:rsidRPr="00701024">
        <w:rPr>
          <w:bCs/>
          <w:lang w:val="fr-FR"/>
        </w:rPr>
        <w:t xml:space="preserve"> avait pris note des préoccupations </w:t>
      </w:r>
      <w:r w:rsidR="00BF5EB1">
        <w:rPr>
          <w:bCs/>
          <w:lang w:val="fr-FR"/>
        </w:rPr>
        <w:t xml:space="preserve">exprimées </w:t>
      </w:r>
      <w:r w:rsidRPr="00701024">
        <w:rPr>
          <w:bCs/>
          <w:lang w:val="fr-FR"/>
        </w:rPr>
        <w:t>par l</w:t>
      </w:r>
      <w:r w:rsidR="00923E72">
        <w:rPr>
          <w:bCs/>
          <w:lang w:val="fr-FR"/>
        </w:rPr>
        <w:t>’</w:t>
      </w:r>
      <w:r w:rsidRPr="00701024">
        <w:rPr>
          <w:bCs/>
          <w:lang w:val="fr-FR"/>
        </w:rPr>
        <w:t>Organe d</w:t>
      </w:r>
      <w:r w:rsidR="00923E72">
        <w:rPr>
          <w:bCs/>
          <w:lang w:val="fr-FR"/>
        </w:rPr>
        <w:t>’</w:t>
      </w:r>
      <w:r w:rsidRPr="00701024">
        <w:rPr>
          <w:bCs/>
          <w:lang w:val="fr-FR"/>
        </w:rPr>
        <w:t>évaluation concernant le dossier incomplet, qui seraient prises en considération. Avec le soutien technique de la chaire UNESCO de l</w:t>
      </w:r>
      <w:r w:rsidR="00923E72">
        <w:rPr>
          <w:bCs/>
          <w:lang w:val="fr-FR"/>
        </w:rPr>
        <w:t>’</w:t>
      </w:r>
      <w:r w:rsidR="00717573">
        <w:rPr>
          <w:bCs/>
          <w:lang w:val="fr-FR"/>
        </w:rPr>
        <w:t>u</w:t>
      </w:r>
      <w:r w:rsidRPr="00701024">
        <w:rPr>
          <w:bCs/>
          <w:lang w:val="fr-FR"/>
        </w:rPr>
        <w:t>niversité de Weimar en Allemagne, l</w:t>
      </w:r>
      <w:r w:rsidR="00923E72">
        <w:rPr>
          <w:bCs/>
          <w:lang w:val="fr-FR"/>
        </w:rPr>
        <w:t>’</w:t>
      </w:r>
      <w:r w:rsidRPr="00701024">
        <w:rPr>
          <w:bCs/>
          <w:lang w:val="fr-FR"/>
        </w:rPr>
        <w:t>Afghanistan mènerait à bien le travail nécessaire en vue de l</w:t>
      </w:r>
      <w:r w:rsidR="00923E72">
        <w:rPr>
          <w:bCs/>
          <w:lang w:val="fr-FR"/>
        </w:rPr>
        <w:t>’</w:t>
      </w:r>
      <w:r w:rsidRPr="00701024">
        <w:rPr>
          <w:bCs/>
          <w:lang w:val="fr-FR"/>
        </w:rPr>
        <w:t>inscription du dossier pour le cycle à venir.</w:t>
      </w:r>
    </w:p>
    <w:p w14:paraId="0E34F87E" w14:textId="247CF69C" w:rsidR="00701024" w:rsidRDefault="00163D4A" w:rsidP="00702497">
      <w:pPr>
        <w:pStyle w:val="Orateurengris"/>
        <w:numPr>
          <w:ilvl w:val="0"/>
          <w:numId w:val="20"/>
        </w:numPr>
        <w:tabs>
          <w:tab w:val="clear" w:pos="567"/>
          <w:tab w:val="num" w:pos="709"/>
        </w:tabs>
        <w:spacing w:before="120"/>
        <w:ind w:left="709" w:hanging="709"/>
        <w:rPr>
          <w:bCs/>
          <w:lang w:val="fr-FR"/>
        </w:rPr>
      </w:pPr>
      <w:r w:rsidRPr="00163D4A">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163D4A">
        <w:rPr>
          <w:bCs/>
          <w:lang w:val="fr-FR"/>
        </w:rPr>
        <w:t xml:space="preserve"> a présenté le dossier de candidature suivante, </w:t>
      </w:r>
      <w:r w:rsidRPr="00702497">
        <w:rPr>
          <w:b/>
          <w:lang w:val="fr-FR"/>
        </w:rPr>
        <w:t xml:space="preserve">la sériciculture et la production traditionnelle de soie pour le tissage </w:t>
      </w:r>
      <w:r w:rsidRPr="00163D4A">
        <w:rPr>
          <w:bCs/>
          <w:lang w:val="fr-FR"/>
        </w:rPr>
        <w:t>[projet de décision</w:t>
      </w:r>
      <w:r w:rsidR="0015662E">
        <w:rPr>
          <w:bCs/>
          <w:lang w:val="fr-FR"/>
        </w:rPr>
        <w:t> </w:t>
      </w:r>
      <w:r w:rsidRPr="00163D4A">
        <w:rPr>
          <w:bCs/>
          <w:lang w:val="fr-FR"/>
        </w:rPr>
        <w:t xml:space="preserve">7.b.37], soumis </w:t>
      </w:r>
      <w:r w:rsidRPr="00F15FCD">
        <w:rPr>
          <w:bCs/>
          <w:lang w:val="fr-FR"/>
        </w:rPr>
        <w:t>par l</w:t>
      </w:r>
      <w:r w:rsidR="00923E72">
        <w:rPr>
          <w:bCs/>
          <w:lang w:val="fr-FR"/>
        </w:rPr>
        <w:t>’</w:t>
      </w:r>
      <w:r w:rsidRPr="00702497">
        <w:rPr>
          <w:b/>
          <w:lang w:val="fr-FR"/>
        </w:rPr>
        <w:t xml:space="preserve">Afghanistan, </w:t>
      </w:r>
      <w:r w:rsidRPr="00F15FCD">
        <w:rPr>
          <w:bCs/>
          <w:lang w:val="fr-FR"/>
        </w:rPr>
        <w:t>l</w:t>
      </w:r>
      <w:r w:rsidR="00923E72">
        <w:rPr>
          <w:bCs/>
          <w:lang w:val="fr-FR"/>
        </w:rPr>
        <w:t>’</w:t>
      </w:r>
      <w:r w:rsidRPr="00702497">
        <w:rPr>
          <w:b/>
          <w:lang w:val="fr-FR"/>
        </w:rPr>
        <w:t xml:space="preserve">Azerbaïdjan, </w:t>
      </w:r>
      <w:r w:rsidRPr="00F15FCD">
        <w:rPr>
          <w:bCs/>
          <w:lang w:val="fr-FR"/>
        </w:rPr>
        <w:t xml:space="preserve">la </w:t>
      </w:r>
      <w:r w:rsidRPr="00702497">
        <w:rPr>
          <w:b/>
          <w:lang w:val="fr-FR"/>
        </w:rPr>
        <w:t>République islamique d</w:t>
      </w:r>
      <w:r w:rsidR="00923E72">
        <w:rPr>
          <w:b/>
          <w:lang w:val="fr-FR"/>
        </w:rPr>
        <w:t>’</w:t>
      </w:r>
      <w:r w:rsidRPr="00702497">
        <w:rPr>
          <w:b/>
          <w:lang w:val="fr-FR"/>
        </w:rPr>
        <w:t xml:space="preserve">Iran, </w:t>
      </w:r>
      <w:r w:rsidRPr="00F15FCD">
        <w:rPr>
          <w:bCs/>
          <w:lang w:val="fr-FR"/>
        </w:rPr>
        <w:t xml:space="preserve">la </w:t>
      </w:r>
      <w:proofErr w:type="spellStart"/>
      <w:r w:rsidRPr="00702497">
        <w:rPr>
          <w:b/>
          <w:lang w:val="fr-FR"/>
        </w:rPr>
        <w:t>Türkyie</w:t>
      </w:r>
      <w:proofErr w:type="spellEnd"/>
      <w:r w:rsidRPr="00702497">
        <w:rPr>
          <w:b/>
          <w:lang w:val="fr-FR"/>
        </w:rPr>
        <w:t xml:space="preserve">, </w:t>
      </w:r>
      <w:r w:rsidRPr="00F15FCD">
        <w:rPr>
          <w:bCs/>
          <w:lang w:val="fr-FR"/>
        </w:rPr>
        <w:t xml:space="preserve">le </w:t>
      </w:r>
      <w:r w:rsidRPr="00702497">
        <w:rPr>
          <w:b/>
          <w:lang w:val="fr-FR"/>
        </w:rPr>
        <w:t xml:space="preserve">Tadjikistan, </w:t>
      </w:r>
      <w:r w:rsidRPr="00F15FCD">
        <w:rPr>
          <w:bCs/>
          <w:lang w:val="fr-FR"/>
        </w:rPr>
        <w:t xml:space="preserve">le </w:t>
      </w:r>
      <w:r w:rsidRPr="00702497">
        <w:rPr>
          <w:b/>
          <w:lang w:val="fr-FR"/>
        </w:rPr>
        <w:t>Turkménistan</w:t>
      </w:r>
      <w:r w:rsidRPr="00163D4A">
        <w:rPr>
          <w:bCs/>
          <w:lang w:val="fr-FR"/>
        </w:rPr>
        <w:t xml:space="preserve"> et </w:t>
      </w:r>
      <w:r w:rsidRPr="00F15FCD">
        <w:rPr>
          <w:bCs/>
          <w:lang w:val="fr-FR"/>
        </w:rPr>
        <w:t>l</w:t>
      </w:r>
      <w:r w:rsidR="00923E72">
        <w:rPr>
          <w:bCs/>
          <w:lang w:val="fr-FR"/>
        </w:rPr>
        <w:t>’</w:t>
      </w:r>
      <w:r w:rsidRPr="00702497">
        <w:rPr>
          <w:b/>
          <w:lang w:val="fr-FR"/>
        </w:rPr>
        <w:t>Ouzbékistan</w:t>
      </w:r>
      <w:r w:rsidRPr="00163D4A">
        <w:rPr>
          <w:bCs/>
          <w:lang w:val="fr-FR"/>
        </w:rPr>
        <w:t xml:space="preserve">, expliquant que la sériciculture et la production traditionnelle de soie pour le tissage impliquent </w:t>
      </w:r>
      <w:r>
        <w:rPr>
          <w:bCs/>
          <w:lang w:val="fr-FR"/>
        </w:rPr>
        <w:t>des savoirs</w:t>
      </w:r>
      <w:r w:rsidRPr="00163D4A">
        <w:rPr>
          <w:bCs/>
          <w:lang w:val="fr-FR"/>
        </w:rPr>
        <w:t xml:space="preserve">, </w:t>
      </w:r>
      <w:r>
        <w:rPr>
          <w:bCs/>
          <w:lang w:val="fr-FR"/>
        </w:rPr>
        <w:t>d</w:t>
      </w:r>
      <w:r w:rsidRPr="00163D4A">
        <w:rPr>
          <w:bCs/>
          <w:lang w:val="fr-FR"/>
        </w:rPr>
        <w:t xml:space="preserve">es pratiques, </w:t>
      </w:r>
      <w:r>
        <w:rPr>
          <w:bCs/>
          <w:lang w:val="fr-FR"/>
        </w:rPr>
        <w:lastRenderedPageBreak/>
        <w:t>d</w:t>
      </w:r>
      <w:r w:rsidRPr="00163D4A">
        <w:rPr>
          <w:bCs/>
          <w:lang w:val="fr-FR"/>
        </w:rPr>
        <w:t>es savoir-faire</w:t>
      </w:r>
      <w:r>
        <w:rPr>
          <w:bCs/>
          <w:lang w:val="fr-FR"/>
        </w:rPr>
        <w:t xml:space="preserve"> </w:t>
      </w:r>
      <w:r w:rsidRPr="00163D4A">
        <w:rPr>
          <w:bCs/>
          <w:lang w:val="fr-FR"/>
        </w:rPr>
        <w:t>et l</w:t>
      </w:r>
      <w:r w:rsidR="00923E72">
        <w:rPr>
          <w:bCs/>
          <w:lang w:val="fr-FR"/>
        </w:rPr>
        <w:t>’</w:t>
      </w:r>
      <w:r w:rsidRPr="00163D4A">
        <w:rPr>
          <w:bCs/>
          <w:lang w:val="fr-FR"/>
        </w:rPr>
        <w:t xml:space="preserve">artisanat traditionnels </w:t>
      </w:r>
      <w:r>
        <w:rPr>
          <w:bCs/>
          <w:lang w:val="fr-FR"/>
        </w:rPr>
        <w:t xml:space="preserve">perpétués par </w:t>
      </w:r>
      <w:r w:rsidRPr="00163D4A">
        <w:rPr>
          <w:bCs/>
          <w:lang w:val="fr-FR"/>
        </w:rPr>
        <w:t>des communautés</w:t>
      </w:r>
      <w:r>
        <w:rPr>
          <w:bCs/>
          <w:lang w:val="fr-FR"/>
        </w:rPr>
        <w:t>, en lien avec</w:t>
      </w:r>
      <w:r w:rsidRPr="00163D4A">
        <w:rPr>
          <w:bCs/>
          <w:lang w:val="fr-FR"/>
        </w:rPr>
        <w:t xml:space="preserve"> la culture des mûriers, l</w:t>
      </w:r>
      <w:r w:rsidR="00923E72">
        <w:rPr>
          <w:bCs/>
          <w:lang w:val="fr-FR"/>
        </w:rPr>
        <w:t>’</w:t>
      </w:r>
      <w:r w:rsidRPr="00163D4A">
        <w:rPr>
          <w:bCs/>
          <w:lang w:val="fr-FR"/>
        </w:rPr>
        <w:t>élevage des vers à soie et la production de fils de soie pour le tissage et d</w:t>
      </w:r>
      <w:r w:rsidR="00923E72">
        <w:rPr>
          <w:bCs/>
          <w:lang w:val="fr-FR"/>
        </w:rPr>
        <w:t>’</w:t>
      </w:r>
      <w:r w:rsidRPr="00163D4A">
        <w:rPr>
          <w:bCs/>
          <w:lang w:val="fr-FR"/>
        </w:rPr>
        <w:t>autres</w:t>
      </w:r>
      <w:r>
        <w:rPr>
          <w:bCs/>
          <w:lang w:val="fr-FR"/>
        </w:rPr>
        <w:t xml:space="preserve"> usages</w:t>
      </w:r>
      <w:r w:rsidRPr="00163D4A">
        <w:rPr>
          <w:bCs/>
          <w:lang w:val="fr-FR"/>
        </w:rPr>
        <w:t>. Après avoir engagé un processus de dialogue sur les critères</w:t>
      </w:r>
      <w:r>
        <w:rPr>
          <w:bCs/>
          <w:lang w:val="fr-FR"/>
        </w:rPr>
        <w:t> </w:t>
      </w:r>
      <w:r w:rsidRPr="00163D4A">
        <w:rPr>
          <w:bCs/>
          <w:lang w:val="fr-FR"/>
        </w:rPr>
        <w:t>R.3 et</w:t>
      </w:r>
      <w:r>
        <w:rPr>
          <w:bCs/>
          <w:lang w:val="fr-FR"/>
        </w:rPr>
        <w:t> </w:t>
      </w:r>
      <w:r w:rsidRPr="00163D4A">
        <w:rPr>
          <w:bCs/>
          <w:lang w:val="fr-FR"/>
        </w:rPr>
        <w:t>R.4 relatifs à la participation des communautés à la planification et à la mise en œuvre des mesures de sauvegarde, l</w:t>
      </w:r>
      <w:r w:rsidR="00923E72">
        <w:rPr>
          <w:bCs/>
          <w:lang w:val="fr-FR"/>
        </w:rPr>
        <w:t>’</w:t>
      </w:r>
      <w:r w:rsidRPr="00163D4A">
        <w:rPr>
          <w:bCs/>
          <w:lang w:val="fr-FR"/>
        </w:rPr>
        <w:t>Organe d</w:t>
      </w:r>
      <w:r w:rsidR="00923E72">
        <w:rPr>
          <w:bCs/>
          <w:lang w:val="fr-FR"/>
        </w:rPr>
        <w:t>’</w:t>
      </w:r>
      <w:r w:rsidRPr="00163D4A">
        <w:rPr>
          <w:bCs/>
          <w:lang w:val="fr-FR"/>
        </w:rPr>
        <w:t>évaluation avait estimé que les cinq critères étaient satisfaits et recommandait l</w:t>
      </w:r>
      <w:r w:rsidR="00923E72">
        <w:rPr>
          <w:bCs/>
          <w:lang w:val="fr-FR"/>
        </w:rPr>
        <w:t>’</w:t>
      </w:r>
      <w:r w:rsidRPr="00163D4A">
        <w:rPr>
          <w:bCs/>
          <w:lang w:val="fr-FR"/>
        </w:rPr>
        <w:t>inscription de cet élément sur la Liste représentative.</w:t>
      </w:r>
    </w:p>
    <w:p w14:paraId="12C587CF" w14:textId="35FE411E" w:rsidR="00163D4A" w:rsidRPr="00702497" w:rsidRDefault="00163D4A" w:rsidP="00702497">
      <w:pPr>
        <w:pStyle w:val="Orateurengris"/>
        <w:numPr>
          <w:ilvl w:val="0"/>
          <w:numId w:val="20"/>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163D4A">
        <w:rPr>
          <w:rFonts w:eastAsia="Malgun Gothic"/>
          <w:bCs/>
          <w:lang w:val="fr-FR"/>
        </w:rPr>
        <w:t>Constatant qu</w:t>
      </w:r>
      <w:r w:rsidR="00923E72">
        <w:rPr>
          <w:rFonts w:eastAsia="Malgun Gothic"/>
          <w:bCs/>
          <w:lang w:val="fr-FR"/>
        </w:rPr>
        <w:t>’</w:t>
      </w:r>
      <w:r w:rsidRPr="00163D4A">
        <w:rPr>
          <w:rFonts w:eastAsia="Malgun Gothic"/>
          <w:bCs/>
          <w:lang w:val="fr-FR"/>
        </w:rPr>
        <w:t>aucun amendement ou demande de débat n</w:t>
      </w:r>
      <w:r w:rsidR="00923E72">
        <w:rPr>
          <w:rFonts w:eastAsia="Malgun Gothic"/>
          <w:bCs/>
          <w:lang w:val="fr-FR"/>
        </w:rPr>
        <w:t>’</w:t>
      </w:r>
      <w:r w:rsidRPr="00163D4A">
        <w:rPr>
          <w:rFonts w:eastAsia="Malgun Gothic"/>
          <w:bCs/>
          <w:lang w:val="fr-FR"/>
        </w:rPr>
        <w:t xml:space="preserve">avait été reçu pour cette candidature, le </w:t>
      </w:r>
      <w:r w:rsidRPr="00163D4A">
        <w:rPr>
          <w:rFonts w:eastAsia="Malgun Gothic"/>
          <w:b/>
          <w:lang w:val="fr-FR"/>
        </w:rPr>
        <w:t>Vice-Président</w:t>
      </w:r>
      <w:r w:rsidRPr="00163D4A">
        <w:rPr>
          <w:rFonts w:eastAsia="Malgun Gothic"/>
          <w:bCs/>
          <w:lang w:val="fr-FR"/>
        </w:rPr>
        <w:t xml:space="preserve"> est donc passé à l</w:t>
      </w:r>
      <w:r w:rsidR="00923E72">
        <w:rPr>
          <w:rFonts w:eastAsia="Malgun Gothic"/>
          <w:bCs/>
          <w:lang w:val="fr-FR"/>
        </w:rPr>
        <w:t>’</w:t>
      </w:r>
      <w:r w:rsidRPr="00163D4A">
        <w:rPr>
          <w:rFonts w:eastAsia="Malgun Gothic"/>
          <w:bCs/>
          <w:lang w:val="fr-FR"/>
        </w:rPr>
        <w:t>adoption du projet de décision dans son ensemble. En l</w:t>
      </w:r>
      <w:r w:rsidR="00923E72">
        <w:rPr>
          <w:rFonts w:eastAsia="Malgun Gothic"/>
          <w:bCs/>
          <w:lang w:val="fr-FR"/>
        </w:rPr>
        <w:t>’</w:t>
      </w:r>
      <w:r w:rsidRPr="00163D4A">
        <w:rPr>
          <w:rFonts w:eastAsia="Malgun Gothic"/>
          <w:bCs/>
          <w:lang w:val="fr-FR"/>
        </w:rPr>
        <w:t>absence de commentaires ou d</w:t>
      </w:r>
      <w:r w:rsidR="00923E72">
        <w:rPr>
          <w:rFonts w:eastAsia="Malgun Gothic"/>
          <w:bCs/>
          <w:lang w:val="fr-FR"/>
        </w:rPr>
        <w:t>’</w:t>
      </w:r>
      <w:r w:rsidRPr="00163D4A">
        <w:rPr>
          <w:rFonts w:eastAsia="Malgun Gothic"/>
          <w:bCs/>
          <w:lang w:val="fr-FR"/>
        </w:rPr>
        <w:t xml:space="preserve">objections, le </w:t>
      </w:r>
      <w:r w:rsidR="00DF79D4" w:rsidRPr="00702497">
        <w:rPr>
          <w:rFonts w:eastAsia="Malgun Gothic"/>
          <w:b/>
          <w:lang w:val="fr-FR"/>
        </w:rPr>
        <w:t>Vice-</w:t>
      </w:r>
      <w:r w:rsidRPr="00163D4A">
        <w:rPr>
          <w:rFonts w:eastAsia="Malgun Gothic"/>
          <w:b/>
          <w:lang w:val="fr-FR"/>
        </w:rPr>
        <w:t>Président a déclaré adoptée la décision</w:t>
      </w:r>
      <w:r w:rsidR="0015662E">
        <w:rPr>
          <w:rFonts w:eastAsia="Malgun Gothic"/>
          <w:b/>
          <w:lang w:val="fr-FR"/>
        </w:rPr>
        <w:t> </w:t>
      </w:r>
      <w:r w:rsidR="00751FB1">
        <w:fldChar w:fldCharType="begin"/>
      </w:r>
      <w:r w:rsidR="00751FB1" w:rsidRPr="00751FB1">
        <w:rPr>
          <w:lang w:val="fr-FR"/>
        </w:rPr>
        <w:instrText>HYPERLINK "https://ich.unesco.org/fr/Decisions/17.COM/7.b.37"</w:instrText>
      </w:r>
      <w:r w:rsidR="00751FB1">
        <w:fldChar w:fldCharType="separate"/>
      </w:r>
      <w:r w:rsidRPr="006E3034">
        <w:rPr>
          <w:rStyle w:val="Hyperlink"/>
          <w:b/>
          <w:bCs/>
          <w:lang w:val="fr-FR"/>
        </w:rPr>
        <w:t>17.COM 7.b.37</w:t>
      </w:r>
      <w:r w:rsidR="00751FB1">
        <w:rPr>
          <w:rStyle w:val="Hyperlink"/>
          <w:b/>
          <w:bCs/>
          <w:lang w:val="fr-FR"/>
        </w:rPr>
        <w:fldChar w:fldCharType="end"/>
      </w:r>
      <w:r w:rsidRPr="006E3034">
        <w:rPr>
          <w:rStyle w:val="Hyperlink"/>
          <w:b/>
          <w:bCs/>
          <w:color w:val="auto"/>
          <w:u w:val="none"/>
          <w:lang w:val="fr-FR"/>
        </w:rPr>
        <w:t xml:space="preserve"> </w:t>
      </w:r>
      <w:r w:rsidRPr="00163D4A">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 xml:space="preserve">inscrire </w:t>
      </w:r>
      <w:r w:rsidRPr="00C8733E">
        <w:rPr>
          <w:b/>
          <w:lang w:val="fr-FR"/>
        </w:rPr>
        <w:t>la sériciculture et la production traditionnelle de soie pour le tissage</w:t>
      </w:r>
      <w:r>
        <w:rPr>
          <w:b/>
          <w:lang w:val="fr-FR"/>
        </w:rPr>
        <w:t xml:space="preserve"> sur la Liste représentative.</w:t>
      </w:r>
    </w:p>
    <w:p w14:paraId="755750A4" w14:textId="7614E1E1" w:rsidR="0015662E" w:rsidRPr="00702497" w:rsidRDefault="0015662E"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07B60646" w14:textId="120230E1" w:rsidR="00163D4A" w:rsidRDefault="00163D4A" w:rsidP="00702497">
      <w:pPr>
        <w:pStyle w:val="Orateurengris"/>
        <w:numPr>
          <w:ilvl w:val="0"/>
          <w:numId w:val="20"/>
        </w:numPr>
        <w:tabs>
          <w:tab w:val="clear" w:pos="567"/>
          <w:tab w:val="num" w:pos="709"/>
        </w:tabs>
        <w:spacing w:before="120"/>
        <w:ind w:left="709" w:hanging="709"/>
        <w:rPr>
          <w:bCs/>
          <w:lang w:val="fr-FR"/>
        </w:rPr>
      </w:pPr>
      <w:r w:rsidRPr="00163D4A">
        <w:rPr>
          <w:bCs/>
          <w:lang w:val="fr-FR"/>
        </w:rPr>
        <w:t xml:space="preserve">La délégation de la </w:t>
      </w:r>
      <w:r w:rsidRPr="00702497">
        <w:rPr>
          <w:b/>
          <w:lang w:val="fr-FR"/>
        </w:rPr>
        <w:t>Türkiye</w:t>
      </w:r>
      <w:r w:rsidRPr="00163D4A">
        <w:rPr>
          <w:bCs/>
          <w:lang w:val="fr-FR"/>
        </w:rPr>
        <w:t xml:space="preserve"> a exprimé sa gratitude au Comité et à l</w:t>
      </w:r>
      <w:r w:rsidR="00923E72">
        <w:rPr>
          <w:bCs/>
          <w:lang w:val="fr-FR"/>
        </w:rPr>
        <w:t>’</w:t>
      </w:r>
      <w:r w:rsidRPr="00163D4A">
        <w:rPr>
          <w:bCs/>
          <w:lang w:val="fr-FR"/>
        </w:rPr>
        <w:t>Organe d</w:t>
      </w:r>
      <w:r w:rsidR="00923E72">
        <w:rPr>
          <w:bCs/>
          <w:lang w:val="fr-FR"/>
        </w:rPr>
        <w:t>’</w:t>
      </w:r>
      <w:r w:rsidRPr="00163D4A">
        <w:rPr>
          <w:bCs/>
          <w:lang w:val="fr-FR"/>
        </w:rPr>
        <w:t>évaluation pour l</w:t>
      </w:r>
      <w:r w:rsidR="00923E72">
        <w:rPr>
          <w:bCs/>
          <w:lang w:val="fr-FR"/>
        </w:rPr>
        <w:t>’</w:t>
      </w:r>
      <w:r w:rsidRPr="00163D4A">
        <w:rPr>
          <w:bCs/>
          <w:lang w:val="fr-FR"/>
        </w:rPr>
        <w:t>inscription du dossier de candidature multinationale de la sériciculture et de la production traditionnelle de soie pour le tissage sur la Liste représentative</w:t>
      </w:r>
      <w:r w:rsidR="00B75CB4">
        <w:rPr>
          <w:bCs/>
          <w:lang w:val="fr-FR"/>
        </w:rPr>
        <w:t>,</w:t>
      </w:r>
      <w:r w:rsidRPr="00163D4A">
        <w:rPr>
          <w:bCs/>
          <w:lang w:val="fr-FR"/>
        </w:rPr>
        <w:t xml:space="preserve"> rappelant que</w:t>
      </w:r>
      <w:r w:rsidR="00FF2C3E">
        <w:rPr>
          <w:bCs/>
          <w:lang w:val="fr-FR"/>
        </w:rPr>
        <w:t>,</w:t>
      </w:r>
      <w:r w:rsidRPr="00163D4A">
        <w:rPr>
          <w:bCs/>
          <w:lang w:val="fr-FR"/>
        </w:rPr>
        <w:t xml:space="preserve"> dans tous les États soumissionnaires, la culture de la soie comprend l</w:t>
      </w:r>
      <w:r w:rsidR="00923E72">
        <w:rPr>
          <w:bCs/>
          <w:lang w:val="fr-FR"/>
        </w:rPr>
        <w:t>’</w:t>
      </w:r>
      <w:r w:rsidRPr="00163D4A">
        <w:rPr>
          <w:bCs/>
          <w:lang w:val="fr-FR"/>
        </w:rPr>
        <w:t>ensemble du processus, de la sériciculture aux produits finis de la soie,</w:t>
      </w:r>
      <w:r w:rsidR="00FF2C3E">
        <w:rPr>
          <w:bCs/>
          <w:lang w:val="fr-FR"/>
        </w:rPr>
        <w:t xml:space="preserve"> que </w:t>
      </w:r>
      <w:r w:rsidRPr="00163D4A">
        <w:rPr>
          <w:bCs/>
          <w:lang w:val="fr-FR"/>
        </w:rPr>
        <w:t>sa transmission se fait principalement par des relations maître-apprenti depuis des siècles et que les producteurs de soie sont principalement des villageois qui travaillent dans un esprit de coopération et organisent des cérémonies spéciales à l</w:t>
      </w:r>
      <w:r w:rsidR="00923E72">
        <w:rPr>
          <w:bCs/>
          <w:lang w:val="fr-FR"/>
        </w:rPr>
        <w:t>’</w:t>
      </w:r>
      <w:r w:rsidRPr="00163D4A">
        <w:rPr>
          <w:bCs/>
          <w:lang w:val="fr-FR"/>
        </w:rPr>
        <w:t>occasion de la production de la soie. En tant que symbole de la diversité culturelle, l</w:t>
      </w:r>
      <w:r w:rsidR="00923E72">
        <w:rPr>
          <w:bCs/>
          <w:lang w:val="fr-FR"/>
        </w:rPr>
        <w:t>’</w:t>
      </w:r>
      <w:r w:rsidRPr="00163D4A">
        <w:rPr>
          <w:bCs/>
          <w:lang w:val="fr-FR"/>
        </w:rPr>
        <w:t>inscription de l</w:t>
      </w:r>
      <w:r w:rsidR="00923E72">
        <w:rPr>
          <w:bCs/>
          <w:lang w:val="fr-FR"/>
        </w:rPr>
        <w:t>’</w:t>
      </w:r>
      <w:r w:rsidRPr="00163D4A">
        <w:rPr>
          <w:bCs/>
          <w:lang w:val="fr-FR"/>
        </w:rPr>
        <w:t>élément était une excellente occasion d</w:t>
      </w:r>
      <w:r w:rsidR="00923E72">
        <w:rPr>
          <w:bCs/>
          <w:lang w:val="fr-FR"/>
        </w:rPr>
        <w:t>’</w:t>
      </w:r>
      <w:r w:rsidRPr="00163D4A">
        <w:rPr>
          <w:bCs/>
          <w:lang w:val="fr-FR"/>
        </w:rPr>
        <w:t>encourager tous les États soumissionnaires à sauvegarder l</w:t>
      </w:r>
      <w:r w:rsidR="00923E72">
        <w:rPr>
          <w:bCs/>
          <w:lang w:val="fr-FR"/>
        </w:rPr>
        <w:t>’</w:t>
      </w:r>
      <w:r w:rsidRPr="00163D4A">
        <w:rPr>
          <w:bCs/>
          <w:lang w:val="fr-FR"/>
        </w:rPr>
        <w:t>élément. La délégation a remercié ses partenaires d</w:t>
      </w:r>
      <w:r w:rsidR="00923E72">
        <w:rPr>
          <w:bCs/>
          <w:lang w:val="fr-FR"/>
        </w:rPr>
        <w:t>’</w:t>
      </w:r>
      <w:r w:rsidRPr="00163D4A">
        <w:rPr>
          <w:bCs/>
          <w:lang w:val="fr-FR"/>
        </w:rPr>
        <w:t>Afghanistan, d</w:t>
      </w:r>
      <w:r w:rsidR="00923E72">
        <w:rPr>
          <w:bCs/>
          <w:lang w:val="fr-FR"/>
        </w:rPr>
        <w:t>’</w:t>
      </w:r>
      <w:r w:rsidRPr="00163D4A">
        <w:rPr>
          <w:bCs/>
          <w:lang w:val="fr-FR"/>
        </w:rPr>
        <w:t>Azerbaïdjan, de la République islamique d</w:t>
      </w:r>
      <w:r w:rsidR="00923E72">
        <w:rPr>
          <w:bCs/>
          <w:lang w:val="fr-FR"/>
        </w:rPr>
        <w:t>’</w:t>
      </w:r>
      <w:r w:rsidRPr="00163D4A">
        <w:rPr>
          <w:bCs/>
          <w:lang w:val="fr-FR"/>
        </w:rPr>
        <w:t>Iran, du Tadjikistan, du Turkménistan et de l</w:t>
      </w:r>
      <w:r w:rsidR="00923E72">
        <w:rPr>
          <w:bCs/>
          <w:lang w:val="fr-FR"/>
        </w:rPr>
        <w:t>’</w:t>
      </w:r>
      <w:r w:rsidRPr="00163D4A">
        <w:rPr>
          <w:bCs/>
          <w:lang w:val="fr-FR"/>
        </w:rPr>
        <w:t>Ouzbékistan pour leurs efforts au cours du processus de préparation.</w:t>
      </w:r>
    </w:p>
    <w:p w14:paraId="7468881C" w14:textId="2DD3F1D7" w:rsidR="00FF2C3E" w:rsidRDefault="00FF2C3E" w:rsidP="00702497">
      <w:pPr>
        <w:pStyle w:val="Orateurengris"/>
        <w:numPr>
          <w:ilvl w:val="0"/>
          <w:numId w:val="20"/>
        </w:numPr>
        <w:tabs>
          <w:tab w:val="clear" w:pos="567"/>
          <w:tab w:val="num" w:pos="709"/>
        </w:tabs>
        <w:spacing w:before="120"/>
        <w:ind w:left="709" w:hanging="709"/>
        <w:rPr>
          <w:bCs/>
          <w:lang w:val="fr-FR"/>
        </w:rPr>
      </w:pPr>
      <w:r w:rsidRPr="00FF2C3E">
        <w:rPr>
          <w:bCs/>
          <w:lang w:val="fr-FR"/>
        </w:rPr>
        <w:t>La délégation de l</w:t>
      </w:r>
      <w:r w:rsidR="00923E72">
        <w:rPr>
          <w:bCs/>
          <w:lang w:val="fr-FR"/>
        </w:rPr>
        <w:t>’</w:t>
      </w:r>
      <w:r w:rsidRPr="00702497">
        <w:rPr>
          <w:b/>
          <w:lang w:val="fr-FR"/>
        </w:rPr>
        <w:t>Azerbaïdjan</w:t>
      </w:r>
      <w:r w:rsidRPr="00FF2C3E">
        <w:rPr>
          <w:bCs/>
          <w:lang w:val="fr-FR"/>
        </w:rPr>
        <w:t xml:space="preserve"> s</w:t>
      </w:r>
      <w:r w:rsidR="00923E72">
        <w:rPr>
          <w:bCs/>
          <w:lang w:val="fr-FR"/>
        </w:rPr>
        <w:t>’</w:t>
      </w:r>
      <w:r w:rsidRPr="00FF2C3E">
        <w:rPr>
          <w:bCs/>
          <w:lang w:val="fr-FR"/>
        </w:rPr>
        <w:t>est jointe aux délégations de la Türkiye, de l</w:t>
      </w:r>
      <w:r w:rsidR="00923E72">
        <w:rPr>
          <w:bCs/>
          <w:lang w:val="fr-FR"/>
        </w:rPr>
        <w:t>’</w:t>
      </w:r>
      <w:r w:rsidRPr="00FF2C3E">
        <w:rPr>
          <w:bCs/>
          <w:lang w:val="fr-FR"/>
        </w:rPr>
        <w:t>Afghanistan, de l</w:t>
      </w:r>
      <w:r w:rsidR="00923E72">
        <w:rPr>
          <w:bCs/>
          <w:lang w:val="fr-FR"/>
        </w:rPr>
        <w:t>’</w:t>
      </w:r>
      <w:r w:rsidRPr="00FF2C3E">
        <w:rPr>
          <w:bCs/>
          <w:lang w:val="fr-FR"/>
        </w:rPr>
        <w:t>Iran, du Tadjikistan, du Turkménistan et de l</w:t>
      </w:r>
      <w:r w:rsidR="00923E72">
        <w:rPr>
          <w:bCs/>
          <w:lang w:val="fr-FR"/>
        </w:rPr>
        <w:t>’</w:t>
      </w:r>
      <w:r w:rsidRPr="00FF2C3E">
        <w:rPr>
          <w:bCs/>
          <w:lang w:val="fr-FR"/>
        </w:rPr>
        <w:t>Ouzbékistan pour exprimer sa profonde gratitude au Comité pour l</w:t>
      </w:r>
      <w:r w:rsidR="00923E72">
        <w:rPr>
          <w:bCs/>
          <w:lang w:val="fr-FR"/>
        </w:rPr>
        <w:t>’</w:t>
      </w:r>
      <w:r w:rsidRPr="00FF2C3E">
        <w:rPr>
          <w:bCs/>
          <w:lang w:val="fr-FR"/>
        </w:rPr>
        <w:t>inscription de la sériciculture et de la production traditionnelle de soie pour le tissage sur la Liste représentative. Cette inscription permettrait de renforcer le dialogue entre les communautés et les praticiens des États soumissionnaires. Profondément ancré dans les traditions de la Grande route de la soie, cet élément était l</w:t>
      </w:r>
      <w:r w:rsidR="00923E72">
        <w:rPr>
          <w:bCs/>
          <w:lang w:val="fr-FR"/>
        </w:rPr>
        <w:t>’</w:t>
      </w:r>
      <w:r w:rsidRPr="00FF2C3E">
        <w:rPr>
          <w:bCs/>
          <w:lang w:val="fr-FR"/>
        </w:rPr>
        <w:t>expression d</w:t>
      </w:r>
      <w:r w:rsidR="00923E72">
        <w:rPr>
          <w:bCs/>
          <w:lang w:val="fr-FR"/>
        </w:rPr>
        <w:t>’</w:t>
      </w:r>
      <w:r w:rsidRPr="00FF2C3E">
        <w:rPr>
          <w:bCs/>
          <w:lang w:val="fr-FR"/>
        </w:rPr>
        <w:t>une identité culturelle et de traditions séculaires. Cette inscription stimulerait davantage les échanges entre les pays et renforcerait la coopération interculturelle, l</w:t>
      </w:r>
      <w:r w:rsidR="00923E72">
        <w:rPr>
          <w:bCs/>
          <w:lang w:val="fr-FR"/>
        </w:rPr>
        <w:t>’</w:t>
      </w:r>
      <w:r w:rsidRPr="00FF2C3E">
        <w:rPr>
          <w:bCs/>
          <w:lang w:val="fr-FR"/>
        </w:rPr>
        <w:t>un des principes fondamentaux de la Convention de</w:t>
      </w:r>
      <w:r w:rsidR="006773EF">
        <w:rPr>
          <w:bCs/>
          <w:lang w:val="fr-FR"/>
        </w:rPr>
        <w:t> </w:t>
      </w:r>
      <w:r w:rsidRPr="00FF2C3E">
        <w:rPr>
          <w:bCs/>
          <w:lang w:val="fr-FR"/>
        </w:rPr>
        <w:t>2003. L</w:t>
      </w:r>
      <w:r w:rsidR="00923E72">
        <w:rPr>
          <w:bCs/>
          <w:lang w:val="fr-FR"/>
        </w:rPr>
        <w:t>’</w:t>
      </w:r>
      <w:r w:rsidRPr="00FF2C3E">
        <w:rPr>
          <w:bCs/>
          <w:lang w:val="fr-FR"/>
        </w:rPr>
        <w:t>Azerbaïdjan a remercié l</w:t>
      </w:r>
      <w:r w:rsidR="00923E72">
        <w:rPr>
          <w:bCs/>
          <w:lang w:val="fr-FR"/>
        </w:rPr>
        <w:t>’</w:t>
      </w:r>
      <w:r w:rsidRPr="00FF2C3E">
        <w:rPr>
          <w:bCs/>
          <w:lang w:val="fr-FR"/>
        </w:rPr>
        <w:t>Organe d</w:t>
      </w:r>
      <w:r w:rsidR="00923E72">
        <w:rPr>
          <w:bCs/>
          <w:lang w:val="fr-FR"/>
        </w:rPr>
        <w:t>’</w:t>
      </w:r>
      <w:r w:rsidRPr="00FF2C3E">
        <w:rPr>
          <w:bCs/>
          <w:lang w:val="fr-FR"/>
        </w:rPr>
        <w:t>évaluation et le Comité pour l</w:t>
      </w:r>
      <w:r w:rsidR="00923E72">
        <w:rPr>
          <w:bCs/>
          <w:lang w:val="fr-FR"/>
        </w:rPr>
        <w:t>’</w:t>
      </w:r>
      <w:r w:rsidRPr="00FF2C3E">
        <w:rPr>
          <w:bCs/>
          <w:lang w:val="fr-FR"/>
        </w:rPr>
        <w:t>excellent travail et l</w:t>
      </w:r>
      <w:r w:rsidR="00923E72">
        <w:rPr>
          <w:bCs/>
          <w:lang w:val="fr-FR"/>
        </w:rPr>
        <w:t>’</w:t>
      </w:r>
      <w:r w:rsidRPr="00FF2C3E">
        <w:rPr>
          <w:bCs/>
          <w:lang w:val="fr-FR"/>
        </w:rPr>
        <w:t>analyse minutieuse de la candidature multinationale</w:t>
      </w:r>
      <w:r>
        <w:rPr>
          <w:bCs/>
          <w:lang w:val="fr-FR"/>
        </w:rPr>
        <w:t>,</w:t>
      </w:r>
      <w:r w:rsidRPr="00FF2C3E">
        <w:rPr>
          <w:bCs/>
          <w:lang w:val="fr-FR"/>
        </w:rPr>
        <w:t xml:space="preserve"> et attendait avec impatience d</w:t>
      </w:r>
      <w:r w:rsidR="00923E72">
        <w:rPr>
          <w:bCs/>
          <w:lang w:val="fr-FR"/>
        </w:rPr>
        <w:t>’</w:t>
      </w:r>
      <w:r w:rsidRPr="00FF2C3E">
        <w:rPr>
          <w:bCs/>
          <w:lang w:val="fr-FR"/>
        </w:rPr>
        <w:t>autres candidatures conjointes avec les pays de la région.</w:t>
      </w:r>
    </w:p>
    <w:p w14:paraId="00822C94" w14:textId="704D97FB" w:rsidR="00FF2C3E" w:rsidRDefault="00FF2C3E" w:rsidP="00702497">
      <w:pPr>
        <w:pStyle w:val="Orateurengris"/>
        <w:numPr>
          <w:ilvl w:val="0"/>
          <w:numId w:val="20"/>
        </w:numPr>
        <w:tabs>
          <w:tab w:val="clear" w:pos="567"/>
          <w:tab w:val="num" w:pos="709"/>
        </w:tabs>
        <w:spacing w:before="120"/>
        <w:ind w:left="709" w:hanging="709"/>
        <w:rPr>
          <w:bCs/>
          <w:lang w:val="fr-FR"/>
        </w:rPr>
      </w:pPr>
      <w:r w:rsidRPr="00FF2C3E">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FF2C3E">
        <w:rPr>
          <w:bCs/>
          <w:lang w:val="fr-FR"/>
        </w:rPr>
        <w:t xml:space="preserve"> a présenté le dossier de candidature suivant, </w:t>
      </w:r>
      <w:r w:rsidRPr="00702497">
        <w:rPr>
          <w:b/>
          <w:lang w:val="fr-FR"/>
        </w:rPr>
        <w:t>le raï, chant populaire d</w:t>
      </w:r>
      <w:r w:rsidR="00923E72">
        <w:rPr>
          <w:b/>
          <w:lang w:val="fr-FR"/>
        </w:rPr>
        <w:t>’</w:t>
      </w:r>
      <w:r w:rsidRPr="00702497">
        <w:rPr>
          <w:b/>
          <w:lang w:val="fr-FR"/>
        </w:rPr>
        <w:t>Algérie</w:t>
      </w:r>
      <w:r w:rsidRPr="00FF2C3E">
        <w:rPr>
          <w:bCs/>
          <w:lang w:val="fr-FR"/>
        </w:rPr>
        <w:t xml:space="preserve"> [projet de décision</w:t>
      </w:r>
      <w:r w:rsidR="00732D88">
        <w:rPr>
          <w:bCs/>
          <w:lang w:val="fr-FR"/>
        </w:rPr>
        <w:t> </w:t>
      </w:r>
      <w:r w:rsidRPr="00FF2C3E">
        <w:rPr>
          <w:bCs/>
          <w:lang w:val="fr-FR"/>
        </w:rPr>
        <w:t>7.b.38], soumis par l</w:t>
      </w:r>
      <w:r w:rsidR="00923E72">
        <w:rPr>
          <w:bCs/>
          <w:lang w:val="fr-FR"/>
        </w:rPr>
        <w:t>’</w:t>
      </w:r>
      <w:r w:rsidRPr="00702497">
        <w:rPr>
          <w:b/>
          <w:lang w:val="fr-FR"/>
        </w:rPr>
        <w:t>Algérie</w:t>
      </w:r>
      <w:r w:rsidRPr="00FF2C3E">
        <w:rPr>
          <w:bCs/>
          <w:lang w:val="fr-FR"/>
        </w:rPr>
        <w:t xml:space="preserve">, expliquant que le raï est une forme de musique </w:t>
      </w:r>
      <w:r w:rsidR="003B3E01">
        <w:rPr>
          <w:bCs/>
          <w:lang w:val="fr-FR"/>
        </w:rPr>
        <w:t xml:space="preserve">folklorique </w:t>
      </w:r>
      <w:r w:rsidRPr="00FF2C3E">
        <w:rPr>
          <w:bCs/>
          <w:lang w:val="fr-FR"/>
        </w:rPr>
        <w:t>interprétée lors des fêtes rituelles et des mariages dans toute l</w:t>
      </w:r>
      <w:r w:rsidR="00923E72">
        <w:rPr>
          <w:bCs/>
          <w:lang w:val="fr-FR"/>
        </w:rPr>
        <w:t>’</w:t>
      </w:r>
      <w:r w:rsidRPr="00FF2C3E">
        <w:rPr>
          <w:bCs/>
          <w:lang w:val="fr-FR"/>
        </w:rPr>
        <w:t>Algérie, que c</w:t>
      </w:r>
      <w:r w:rsidR="00923E72">
        <w:rPr>
          <w:bCs/>
          <w:lang w:val="fr-FR"/>
        </w:rPr>
        <w:t>’</w:t>
      </w:r>
      <w:r w:rsidRPr="00FF2C3E">
        <w:rPr>
          <w:bCs/>
          <w:lang w:val="fr-FR"/>
        </w:rPr>
        <w:t xml:space="preserve">est un moyen de </w:t>
      </w:r>
      <w:r w:rsidR="003B3E01">
        <w:rPr>
          <w:bCs/>
          <w:lang w:val="fr-FR"/>
        </w:rPr>
        <w:t xml:space="preserve">véhiculer </w:t>
      </w:r>
      <w:r w:rsidRPr="00FF2C3E">
        <w:rPr>
          <w:bCs/>
          <w:lang w:val="fr-FR"/>
        </w:rPr>
        <w:t>la réalité sociale sans tabou ni censure et qu</w:t>
      </w:r>
      <w:r w:rsidR="00923E72">
        <w:rPr>
          <w:bCs/>
          <w:lang w:val="fr-FR"/>
        </w:rPr>
        <w:t>’</w:t>
      </w:r>
      <w:r w:rsidRPr="00FF2C3E">
        <w:rPr>
          <w:bCs/>
          <w:lang w:val="fr-FR"/>
        </w:rPr>
        <w:t>il aborde des thèmes tels que l</w:t>
      </w:r>
      <w:r w:rsidR="00923E72">
        <w:rPr>
          <w:bCs/>
          <w:lang w:val="fr-FR"/>
        </w:rPr>
        <w:t>’</w:t>
      </w:r>
      <w:r w:rsidRPr="00FF2C3E">
        <w:rPr>
          <w:bCs/>
          <w:lang w:val="fr-FR"/>
        </w:rPr>
        <w:t>amour, la liberté, le désespoir et l</w:t>
      </w:r>
      <w:r w:rsidR="003B3E01">
        <w:rPr>
          <w:bCs/>
          <w:lang w:val="fr-FR"/>
        </w:rPr>
        <w:t xml:space="preserve">a contrainte </w:t>
      </w:r>
      <w:r w:rsidRPr="00FF2C3E">
        <w:rPr>
          <w:bCs/>
          <w:lang w:val="fr-FR"/>
        </w:rPr>
        <w:t>sociale. Après avoir engagé un processus de dialogue sur le critère</w:t>
      </w:r>
      <w:r w:rsidR="003B3E01">
        <w:rPr>
          <w:bCs/>
          <w:lang w:val="fr-FR"/>
        </w:rPr>
        <w:t> </w:t>
      </w:r>
      <w:r w:rsidRPr="00FF2C3E">
        <w:rPr>
          <w:bCs/>
          <w:lang w:val="fr-FR"/>
        </w:rPr>
        <w:t>R.3 relatif à la participation des communautés à la planification des mesures de sauvegarde, l</w:t>
      </w:r>
      <w:r w:rsidR="00923E72">
        <w:rPr>
          <w:bCs/>
          <w:lang w:val="fr-FR"/>
        </w:rPr>
        <w:t>’</w:t>
      </w:r>
      <w:r w:rsidRPr="00FF2C3E">
        <w:rPr>
          <w:bCs/>
          <w:lang w:val="fr-FR"/>
        </w:rPr>
        <w:t>Organe d</w:t>
      </w:r>
      <w:r w:rsidR="00923E72">
        <w:rPr>
          <w:bCs/>
          <w:lang w:val="fr-FR"/>
        </w:rPr>
        <w:t>’</w:t>
      </w:r>
      <w:r w:rsidRPr="00FF2C3E">
        <w:rPr>
          <w:bCs/>
          <w:lang w:val="fr-FR"/>
        </w:rPr>
        <w:t>évaluation avait estimé que les cinq critères étaient satisfaits et recommandait l</w:t>
      </w:r>
      <w:r w:rsidR="00923E72">
        <w:rPr>
          <w:bCs/>
          <w:lang w:val="fr-FR"/>
        </w:rPr>
        <w:t>’</w:t>
      </w:r>
      <w:r w:rsidRPr="00FF2C3E">
        <w:rPr>
          <w:bCs/>
          <w:lang w:val="fr-FR"/>
        </w:rPr>
        <w:t>inscription de cet élément sur la Liste représentative.</w:t>
      </w:r>
    </w:p>
    <w:p w14:paraId="2AACBEF1" w14:textId="443E9937" w:rsidR="003B3E01" w:rsidRPr="00C8733E" w:rsidRDefault="003B3E01" w:rsidP="00702497">
      <w:pPr>
        <w:pStyle w:val="Orateurengris"/>
        <w:numPr>
          <w:ilvl w:val="0"/>
          <w:numId w:val="20"/>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 xml:space="preserve">avait été reçu pour cette candidature, le </w:t>
      </w:r>
      <w:r w:rsidRPr="00C8733E">
        <w:rPr>
          <w:rFonts w:eastAsia="Malgun Gothic"/>
          <w:b/>
          <w:lang w:val="fr-FR"/>
        </w:rPr>
        <w:t>Vice-Président</w:t>
      </w:r>
      <w:r w:rsidRPr="00C8733E">
        <w:rPr>
          <w:rFonts w:eastAsia="Malgun Gothic"/>
          <w:bCs/>
          <w:lang w:val="fr-FR"/>
        </w:rPr>
        <w:t xml:space="preserve"> est donc passé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 xml:space="preserve">objections, le </w:t>
      </w:r>
      <w:r w:rsidR="000C4DC3">
        <w:rPr>
          <w:rFonts w:eastAsia="Malgun Gothic"/>
          <w:b/>
          <w:lang w:val="fr-FR"/>
        </w:rPr>
        <w:t>Vice-P</w:t>
      </w:r>
      <w:r w:rsidRPr="00C8733E">
        <w:rPr>
          <w:rFonts w:eastAsia="Malgun Gothic"/>
          <w:b/>
          <w:lang w:val="fr-FR"/>
        </w:rPr>
        <w:t>résident a déclaré adoptée la décision</w:t>
      </w:r>
      <w:r w:rsidR="00732D88">
        <w:rPr>
          <w:rFonts w:eastAsia="Malgun Gothic"/>
          <w:b/>
          <w:lang w:val="fr-FR"/>
        </w:rPr>
        <w:t> </w:t>
      </w:r>
      <w:r w:rsidR="00751FB1">
        <w:fldChar w:fldCharType="begin"/>
      </w:r>
      <w:r w:rsidR="00751FB1" w:rsidRPr="00751FB1">
        <w:rPr>
          <w:lang w:val="fr-FR"/>
        </w:rPr>
        <w:instrText>HYPERLINK "https://ich.unesco.org/fr/Decisions/17.COM/7.b.38"</w:instrText>
      </w:r>
      <w:r w:rsidR="00751FB1">
        <w:fldChar w:fldCharType="separate"/>
      </w:r>
      <w:r w:rsidRPr="006E3034">
        <w:rPr>
          <w:rStyle w:val="Hyperlink"/>
          <w:b/>
          <w:bCs/>
          <w:lang w:val="fr-FR"/>
        </w:rPr>
        <w:t>17.COM 7.b.38</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 xml:space="preserve">inscrire </w:t>
      </w:r>
      <w:r w:rsidRPr="00C8733E">
        <w:rPr>
          <w:b/>
          <w:lang w:val="fr-FR"/>
        </w:rPr>
        <w:t>le raï, chant populaire d</w:t>
      </w:r>
      <w:r w:rsidR="00923E72">
        <w:rPr>
          <w:b/>
          <w:lang w:val="fr-FR"/>
        </w:rPr>
        <w:t>’</w:t>
      </w:r>
      <w:r w:rsidRPr="00C8733E">
        <w:rPr>
          <w:b/>
          <w:lang w:val="fr-FR"/>
        </w:rPr>
        <w:t>Algérie</w:t>
      </w:r>
      <w:r w:rsidRPr="00FF2C3E">
        <w:rPr>
          <w:bCs/>
          <w:lang w:val="fr-FR"/>
        </w:rPr>
        <w:t xml:space="preserve"> </w:t>
      </w:r>
      <w:r>
        <w:rPr>
          <w:b/>
          <w:lang w:val="fr-FR"/>
        </w:rPr>
        <w:t>sur la Liste représentative.</w:t>
      </w:r>
    </w:p>
    <w:p w14:paraId="4EAB7ED3" w14:textId="4DE540BB" w:rsidR="009513B9" w:rsidRDefault="003B3E01" w:rsidP="00702497">
      <w:pPr>
        <w:pStyle w:val="Orateurengris"/>
        <w:numPr>
          <w:ilvl w:val="0"/>
          <w:numId w:val="20"/>
        </w:numPr>
        <w:tabs>
          <w:tab w:val="clear" w:pos="567"/>
          <w:tab w:val="num" w:pos="709"/>
        </w:tabs>
        <w:spacing w:before="120"/>
        <w:ind w:left="709" w:hanging="709"/>
        <w:rPr>
          <w:bCs/>
          <w:lang w:val="fr-FR"/>
        </w:rPr>
      </w:pPr>
      <w:r w:rsidRPr="003B3E01">
        <w:rPr>
          <w:bCs/>
          <w:lang w:val="fr-FR"/>
        </w:rPr>
        <w:t>Dans une allocution vidéo, une représentante de l</w:t>
      </w:r>
      <w:r w:rsidR="00923E72">
        <w:rPr>
          <w:bCs/>
          <w:lang w:val="fr-FR"/>
        </w:rPr>
        <w:t>’</w:t>
      </w:r>
      <w:r w:rsidRPr="00702497">
        <w:rPr>
          <w:b/>
          <w:lang w:val="fr-FR"/>
        </w:rPr>
        <w:t>Algérie</w:t>
      </w:r>
      <w:r w:rsidRPr="003B3E01">
        <w:rPr>
          <w:bCs/>
          <w:lang w:val="fr-FR"/>
        </w:rPr>
        <w:t xml:space="preserve"> s</w:t>
      </w:r>
      <w:r w:rsidR="00923E72">
        <w:rPr>
          <w:bCs/>
          <w:lang w:val="fr-FR"/>
        </w:rPr>
        <w:t>’</w:t>
      </w:r>
      <w:r w:rsidRPr="003B3E01">
        <w:rPr>
          <w:bCs/>
          <w:lang w:val="fr-FR"/>
        </w:rPr>
        <w:t>est exprimé</w:t>
      </w:r>
      <w:r>
        <w:rPr>
          <w:bCs/>
          <w:lang w:val="fr-FR"/>
        </w:rPr>
        <w:t>e</w:t>
      </w:r>
      <w:r w:rsidRPr="003B3E01">
        <w:rPr>
          <w:bCs/>
          <w:lang w:val="fr-FR"/>
        </w:rPr>
        <w:t xml:space="preserve"> au nom du Président de la République, M.</w:t>
      </w:r>
      <w:r>
        <w:rPr>
          <w:bCs/>
          <w:lang w:val="fr-FR"/>
        </w:rPr>
        <w:t> </w:t>
      </w:r>
      <w:r w:rsidRPr="003B3E01">
        <w:rPr>
          <w:bCs/>
          <w:lang w:val="fr-FR"/>
        </w:rPr>
        <w:t xml:space="preserve">Abdelmadjid </w:t>
      </w:r>
      <w:proofErr w:type="spellStart"/>
      <w:r w:rsidRPr="003B3E01">
        <w:rPr>
          <w:bCs/>
          <w:lang w:val="fr-FR"/>
        </w:rPr>
        <w:t>Tebboune</w:t>
      </w:r>
      <w:proofErr w:type="spellEnd"/>
      <w:r w:rsidRPr="003B3E01">
        <w:rPr>
          <w:bCs/>
          <w:lang w:val="fr-FR"/>
        </w:rPr>
        <w:t xml:space="preserve">, de son Gouvernement et du peuple algérien </w:t>
      </w:r>
      <w:r w:rsidR="009513B9">
        <w:rPr>
          <w:bCs/>
          <w:lang w:val="fr-FR"/>
        </w:rPr>
        <w:t>afin d</w:t>
      </w:r>
      <w:r w:rsidR="00923E72">
        <w:rPr>
          <w:bCs/>
          <w:lang w:val="fr-FR"/>
        </w:rPr>
        <w:t>’</w:t>
      </w:r>
      <w:r w:rsidRPr="003B3E01">
        <w:rPr>
          <w:bCs/>
          <w:lang w:val="fr-FR"/>
        </w:rPr>
        <w:t>adresser ses remerciements à l</w:t>
      </w:r>
      <w:r w:rsidR="00923E72">
        <w:rPr>
          <w:bCs/>
          <w:lang w:val="fr-FR"/>
        </w:rPr>
        <w:t>’</w:t>
      </w:r>
      <w:r w:rsidRPr="003B3E01">
        <w:rPr>
          <w:bCs/>
          <w:lang w:val="fr-FR"/>
        </w:rPr>
        <w:t>UNESCO pour l</w:t>
      </w:r>
      <w:r w:rsidR="00923E72">
        <w:rPr>
          <w:bCs/>
          <w:lang w:val="fr-FR"/>
        </w:rPr>
        <w:t>’</w:t>
      </w:r>
      <w:r w:rsidRPr="003B3E01">
        <w:rPr>
          <w:bCs/>
          <w:lang w:val="fr-FR"/>
        </w:rPr>
        <w:t>inscription de cet élément. Elle a remercié le Comité et l</w:t>
      </w:r>
      <w:r w:rsidR="00923E72">
        <w:rPr>
          <w:bCs/>
          <w:lang w:val="fr-FR"/>
        </w:rPr>
        <w:t>’</w:t>
      </w:r>
      <w:r w:rsidRPr="003B3E01">
        <w:rPr>
          <w:bCs/>
          <w:lang w:val="fr-FR"/>
        </w:rPr>
        <w:t>Organe d</w:t>
      </w:r>
      <w:r w:rsidR="00923E72">
        <w:rPr>
          <w:bCs/>
          <w:lang w:val="fr-FR"/>
        </w:rPr>
        <w:t>’</w:t>
      </w:r>
      <w:r w:rsidRPr="003B3E01">
        <w:rPr>
          <w:bCs/>
          <w:lang w:val="fr-FR"/>
        </w:rPr>
        <w:t>évaluation pour leur expertise rigoureuse</w:t>
      </w:r>
      <w:r w:rsidR="00B75CB4">
        <w:rPr>
          <w:bCs/>
          <w:lang w:val="fr-FR"/>
        </w:rPr>
        <w:t>,</w:t>
      </w:r>
      <w:r w:rsidRPr="003B3E01">
        <w:rPr>
          <w:bCs/>
          <w:lang w:val="fr-FR"/>
        </w:rPr>
        <w:t xml:space="preserve"> qui avait </w:t>
      </w:r>
      <w:r w:rsidR="009513B9">
        <w:rPr>
          <w:bCs/>
          <w:lang w:val="fr-FR"/>
        </w:rPr>
        <w:lastRenderedPageBreak/>
        <w:t xml:space="preserve">abouti </w:t>
      </w:r>
      <w:r w:rsidRPr="003B3E01">
        <w:rPr>
          <w:bCs/>
          <w:lang w:val="fr-FR"/>
        </w:rPr>
        <w:t xml:space="preserve">à cette reconnaissance internationale. Des remerciements ont également été </w:t>
      </w:r>
      <w:r w:rsidR="009513B9">
        <w:rPr>
          <w:bCs/>
          <w:lang w:val="fr-FR"/>
        </w:rPr>
        <w:t xml:space="preserve">adressés </w:t>
      </w:r>
      <w:r w:rsidRPr="003B3E01">
        <w:rPr>
          <w:bCs/>
          <w:lang w:val="fr-FR"/>
        </w:rPr>
        <w:t>à tous les États qui avaient soutenu cette candidature, ainsi qu</w:t>
      </w:r>
      <w:r w:rsidR="00923E72">
        <w:rPr>
          <w:bCs/>
          <w:lang w:val="fr-FR"/>
        </w:rPr>
        <w:t>’</w:t>
      </w:r>
      <w:r w:rsidRPr="003B3E01">
        <w:rPr>
          <w:bCs/>
          <w:lang w:val="fr-FR"/>
        </w:rPr>
        <w:t>au Secrétariat pour tous ses efforts et son travail d</w:t>
      </w:r>
      <w:r w:rsidR="00923E72">
        <w:rPr>
          <w:bCs/>
          <w:lang w:val="fr-FR"/>
        </w:rPr>
        <w:t>’</w:t>
      </w:r>
      <w:r w:rsidRPr="003B3E01">
        <w:rPr>
          <w:bCs/>
          <w:lang w:val="fr-FR"/>
        </w:rPr>
        <w:t>échange, d</w:t>
      </w:r>
      <w:r w:rsidR="00923E72">
        <w:rPr>
          <w:bCs/>
          <w:lang w:val="fr-FR"/>
        </w:rPr>
        <w:t>’</w:t>
      </w:r>
      <w:r w:rsidRPr="003B3E01">
        <w:rPr>
          <w:bCs/>
          <w:lang w:val="fr-FR"/>
        </w:rPr>
        <w:t>écoute et de soutien à l</w:t>
      </w:r>
      <w:r w:rsidR="00923E72">
        <w:rPr>
          <w:bCs/>
          <w:lang w:val="fr-FR"/>
        </w:rPr>
        <w:t>’</w:t>
      </w:r>
      <w:r w:rsidRPr="003B3E01">
        <w:rPr>
          <w:bCs/>
          <w:lang w:val="fr-FR"/>
        </w:rPr>
        <w:t>Algérie. Le pays était engagé dans le travail de l</w:t>
      </w:r>
      <w:r w:rsidR="00923E72">
        <w:rPr>
          <w:bCs/>
          <w:lang w:val="fr-FR"/>
        </w:rPr>
        <w:t>’</w:t>
      </w:r>
      <w:r w:rsidRPr="003B3E01">
        <w:rPr>
          <w:bCs/>
          <w:lang w:val="fr-FR"/>
        </w:rPr>
        <w:t xml:space="preserve">UNESCO </w:t>
      </w:r>
      <w:r w:rsidR="009513B9">
        <w:rPr>
          <w:bCs/>
          <w:lang w:val="fr-FR"/>
        </w:rPr>
        <w:t xml:space="preserve">en faveur </w:t>
      </w:r>
      <w:r w:rsidRPr="003B3E01">
        <w:rPr>
          <w:bCs/>
          <w:lang w:val="fr-FR"/>
        </w:rPr>
        <w:t xml:space="preserve">de la culture et cherchait à </w:t>
      </w:r>
      <w:r w:rsidR="009513B9">
        <w:rPr>
          <w:bCs/>
          <w:lang w:val="fr-FR"/>
        </w:rPr>
        <w:t>amplifier cet engagement</w:t>
      </w:r>
      <w:r w:rsidRPr="003B3E01">
        <w:rPr>
          <w:bCs/>
          <w:lang w:val="fr-FR"/>
        </w:rPr>
        <w:t>. L</w:t>
      </w:r>
      <w:r w:rsidR="00923E72">
        <w:rPr>
          <w:bCs/>
          <w:lang w:val="fr-FR"/>
        </w:rPr>
        <w:t>’</w:t>
      </w:r>
      <w:r w:rsidRPr="003B3E01">
        <w:rPr>
          <w:bCs/>
          <w:lang w:val="fr-FR"/>
        </w:rPr>
        <w:t>Algérie accueillait avec fierté et honneur le centre de catégorie</w:t>
      </w:r>
      <w:r w:rsidR="009513B9">
        <w:rPr>
          <w:bCs/>
          <w:lang w:val="fr-FR"/>
        </w:rPr>
        <w:t> </w:t>
      </w:r>
      <w:r w:rsidRPr="003B3E01">
        <w:rPr>
          <w:bCs/>
          <w:lang w:val="fr-FR"/>
        </w:rPr>
        <w:t>2</w:t>
      </w:r>
      <w:r w:rsidR="006E374B">
        <w:rPr>
          <w:rStyle w:val="FootnoteReference"/>
          <w:bCs/>
          <w:lang w:val="fr-FR"/>
        </w:rPr>
        <w:footnoteReference w:id="23"/>
      </w:r>
      <w:r w:rsidRPr="003B3E01">
        <w:rPr>
          <w:bCs/>
          <w:lang w:val="fr-FR"/>
        </w:rPr>
        <w:t xml:space="preserve"> </w:t>
      </w:r>
      <w:r w:rsidR="009513B9">
        <w:rPr>
          <w:bCs/>
          <w:lang w:val="fr-FR"/>
        </w:rPr>
        <w:t xml:space="preserve">consacré </w:t>
      </w:r>
      <w:r w:rsidRPr="003B3E01">
        <w:rPr>
          <w:bCs/>
          <w:lang w:val="fr-FR"/>
        </w:rPr>
        <w:t>au patrimoine culturel immatériel pour l</w:t>
      </w:r>
      <w:r w:rsidR="00923E72">
        <w:rPr>
          <w:bCs/>
          <w:lang w:val="fr-FR"/>
        </w:rPr>
        <w:t>’</w:t>
      </w:r>
      <w:r w:rsidRPr="003B3E01">
        <w:rPr>
          <w:bCs/>
          <w:lang w:val="fr-FR"/>
        </w:rPr>
        <w:t>ensemble du continent africain. L</w:t>
      </w:r>
      <w:r w:rsidR="00923E72">
        <w:rPr>
          <w:bCs/>
          <w:lang w:val="fr-FR"/>
        </w:rPr>
        <w:t>’</w:t>
      </w:r>
      <w:r w:rsidRPr="003B3E01">
        <w:rPr>
          <w:bCs/>
          <w:lang w:val="fr-FR"/>
        </w:rPr>
        <w:t xml:space="preserve">inscription du raï, chant populaire </w:t>
      </w:r>
      <w:r w:rsidR="00B75CB4">
        <w:rPr>
          <w:bCs/>
          <w:lang w:val="fr-FR"/>
        </w:rPr>
        <w:t>d</w:t>
      </w:r>
      <w:r w:rsidR="00923E72">
        <w:rPr>
          <w:bCs/>
          <w:lang w:val="fr-FR"/>
        </w:rPr>
        <w:t>’</w:t>
      </w:r>
      <w:r w:rsidR="00B75CB4">
        <w:rPr>
          <w:bCs/>
          <w:lang w:val="fr-FR"/>
        </w:rPr>
        <w:t>A</w:t>
      </w:r>
      <w:r w:rsidRPr="003B3E01">
        <w:rPr>
          <w:bCs/>
          <w:lang w:val="fr-FR"/>
        </w:rPr>
        <w:t>lgéri</w:t>
      </w:r>
      <w:r w:rsidR="00B75CB4">
        <w:rPr>
          <w:bCs/>
          <w:lang w:val="fr-FR"/>
        </w:rPr>
        <w:t>e</w:t>
      </w:r>
      <w:r w:rsidRPr="003B3E01">
        <w:rPr>
          <w:bCs/>
          <w:lang w:val="fr-FR"/>
        </w:rPr>
        <w:t xml:space="preserve"> sur la Liste représentative constituait un acte de reconnaissance par le monde de ce genre culturel, artistique, poétique, musical et chorégraphique</w:t>
      </w:r>
      <w:r w:rsidR="00377A05">
        <w:rPr>
          <w:bCs/>
          <w:lang w:val="fr-FR"/>
        </w:rPr>
        <w:t>,</w:t>
      </w:r>
      <w:r w:rsidRPr="003B3E01">
        <w:rPr>
          <w:bCs/>
          <w:lang w:val="fr-FR"/>
        </w:rPr>
        <w:t xml:space="preserve"> qui adresse au monde et à l</w:t>
      </w:r>
      <w:r w:rsidR="00923E72">
        <w:rPr>
          <w:bCs/>
          <w:lang w:val="fr-FR"/>
        </w:rPr>
        <w:t>’</w:t>
      </w:r>
      <w:r w:rsidRPr="003B3E01">
        <w:rPr>
          <w:bCs/>
          <w:lang w:val="fr-FR"/>
        </w:rPr>
        <w:t>humanité un message de partage, d</w:t>
      </w:r>
      <w:r w:rsidR="00923E72">
        <w:rPr>
          <w:bCs/>
          <w:lang w:val="fr-FR"/>
        </w:rPr>
        <w:t>’</w:t>
      </w:r>
      <w:r w:rsidRPr="003B3E01">
        <w:rPr>
          <w:bCs/>
          <w:lang w:val="fr-FR"/>
        </w:rPr>
        <w:t>amitié, d</w:t>
      </w:r>
      <w:r w:rsidR="00923E72">
        <w:rPr>
          <w:bCs/>
          <w:lang w:val="fr-FR"/>
        </w:rPr>
        <w:t>’</w:t>
      </w:r>
      <w:r w:rsidRPr="003B3E01">
        <w:rPr>
          <w:bCs/>
          <w:lang w:val="fr-FR"/>
        </w:rPr>
        <w:t>amour et de paix. Elle a rappelé que le message délivré par ce</w:t>
      </w:r>
      <w:r w:rsidR="009513B9">
        <w:rPr>
          <w:bCs/>
          <w:lang w:val="fr-FR"/>
        </w:rPr>
        <w:t xml:space="preserve"> chant </w:t>
      </w:r>
      <w:r w:rsidRPr="003B3E01">
        <w:rPr>
          <w:bCs/>
          <w:lang w:val="fr-FR"/>
        </w:rPr>
        <w:t>populaire se transmet de génération en génération et se recrée sans cesse comme un témoin de</w:t>
      </w:r>
      <w:r w:rsidR="009513B9">
        <w:rPr>
          <w:bCs/>
          <w:lang w:val="fr-FR"/>
        </w:rPr>
        <w:t>s</w:t>
      </w:r>
      <w:r w:rsidRPr="003B3E01">
        <w:rPr>
          <w:bCs/>
          <w:lang w:val="fr-FR"/>
        </w:rPr>
        <w:t xml:space="preserve"> tumultes et de</w:t>
      </w:r>
      <w:r w:rsidR="009513B9">
        <w:rPr>
          <w:bCs/>
          <w:lang w:val="fr-FR"/>
        </w:rPr>
        <w:t xml:space="preserve"> la</w:t>
      </w:r>
      <w:r w:rsidRPr="003B3E01">
        <w:rPr>
          <w:bCs/>
          <w:lang w:val="fr-FR"/>
        </w:rPr>
        <w:t xml:space="preserve"> félicité, prenant de l</w:t>
      </w:r>
      <w:r w:rsidR="00923E72">
        <w:rPr>
          <w:bCs/>
          <w:lang w:val="fr-FR"/>
        </w:rPr>
        <w:t>’</w:t>
      </w:r>
      <w:r w:rsidRPr="003B3E01">
        <w:rPr>
          <w:bCs/>
          <w:lang w:val="fr-FR"/>
        </w:rPr>
        <w:t>ampleur avec les mots et l</w:t>
      </w:r>
      <w:r w:rsidR="00923E72">
        <w:rPr>
          <w:bCs/>
          <w:lang w:val="fr-FR"/>
        </w:rPr>
        <w:t>’</w:t>
      </w:r>
      <w:r w:rsidRPr="003B3E01">
        <w:rPr>
          <w:bCs/>
          <w:lang w:val="fr-FR"/>
        </w:rPr>
        <w:t xml:space="preserve">âme du peuple, et que le raï emprunte ses percussions au </w:t>
      </w:r>
      <w:r w:rsidR="009513B9">
        <w:rPr>
          <w:bCs/>
          <w:lang w:val="fr-FR"/>
        </w:rPr>
        <w:t>« </w:t>
      </w:r>
      <w:proofErr w:type="spellStart"/>
      <w:r w:rsidRPr="003B3E01">
        <w:rPr>
          <w:bCs/>
          <w:lang w:val="fr-FR"/>
        </w:rPr>
        <w:t>guellal</w:t>
      </w:r>
      <w:proofErr w:type="spellEnd"/>
      <w:r w:rsidR="009513B9">
        <w:rPr>
          <w:bCs/>
          <w:lang w:val="fr-FR"/>
        </w:rPr>
        <w:t> »</w:t>
      </w:r>
      <w:r w:rsidRPr="003B3E01">
        <w:rPr>
          <w:bCs/>
          <w:lang w:val="fr-FR"/>
        </w:rPr>
        <w:t xml:space="preserve"> ancestral en terre cuite et son ampleur à la </w:t>
      </w:r>
      <w:r w:rsidR="009513B9">
        <w:rPr>
          <w:bCs/>
          <w:lang w:val="fr-FR"/>
        </w:rPr>
        <w:t>« </w:t>
      </w:r>
      <w:proofErr w:type="spellStart"/>
      <w:r w:rsidRPr="003B3E01">
        <w:rPr>
          <w:bCs/>
          <w:lang w:val="fr-FR"/>
        </w:rPr>
        <w:t>guesba</w:t>
      </w:r>
      <w:proofErr w:type="spellEnd"/>
      <w:r w:rsidR="009513B9">
        <w:rPr>
          <w:bCs/>
          <w:lang w:val="fr-FR"/>
        </w:rPr>
        <w:t> »</w:t>
      </w:r>
      <w:r w:rsidRPr="003B3E01">
        <w:rPr>
          <w:bCs/>
          <w:lang w:val="fr-FR"/>
        </w:rPr>
        <w:t xml:space="preserve"> en roseaux, dans des mélodies et des harmonies qui voyagent aux côtés d</w:t>
      </w:r>
      <w:r w:rsidR="00923E72">
        <w:rPr>
          <w:bCs/>
          <w:lang w:val="fr-FR"/>
        </w:rPr>
        <w:t>’</w:t>
      </w:r>
      <w:r w:rsidRPr="003B3E01">
        <w:rPr>
          <w:bCs/>
          <w:lang w:val="fr-FR"/>
        </w:rPr>
        <w:t xml:space="preserve">autres genres culturels </w:t>
      </w:r>
      <w:r w:rsidR="009513B9">
        <w:rPr>
          <w:bCs/>
          <w:lang w:val="fr-FR"/>
        </w:rPr>
        <w:t xml:space="preserve">majeurs </w:t>
      </w:r>
      <w:r w:rsidRPr="003B3E01">
        <w:rPr>
          <w:bCs/>
          <w:lang w:val="fr-FR"/>
        </w:rPr>
        <w:t>du monde</w:t>
      </w:r>
    </w:p>
    <w:p w14:paraId="71372E35" w14:textId="108D137F" w:rsidR="003B3E01" w:rsidRDefault="002C5FAD" w:rsidP="00702497">
      <w:pPr>
        <w:pStyle w:val="Orateurengris"/>
        <w:numPr>
          <w:ilvl w:val="0"/>
          <w:numId w:val="20"/>
        </w:numPr>
        <w:tabs>
          <w:tab w:val="clear" w:pos="567"/>
          <w:tab w:val="num" w:pos="709"/>
        </w:tabs>
        <w:spacing w:before="120"/>
        <w:ind w:left="709" w:hanging="709"/>
        <w:rPr>
          <w:bCs/>
          <w:lang w:val="fr-FR"/>
        </w:rPr>
      </w:pPr>
      <w:r w:rsidRPr="002C5FAD">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2C5FAD">
        <w:rPr>
          <w:bCs/>
          <w:lang w:val="fr-FR"/>
        </w:rPr>
        <w:t xml:space="preserve"> a présenté le dossier de candidature suivant, </w:t>
      </w:r>
      <w:r w:rsidRPr="00702497">
        <w:rPr>
          <w:b/>
          <w:lang w:val="fr-FR"/>
        </w:rPr>
        <w:t>les traditions d</w:t>
      </w:r>
      <w:r w:rsidR="00923E72">
        <w:rPr>
          <w:b/>
          <w:lang w:val="fr-FR"/>
        </w:rPr>
        <w:t>’</w:t>
      </w:r>
      <w:r w:rsidRPr="00702497">
        <w:rPr>
          <w:b/>
          <w:lang w:val="fr-FR"/>
        </w:rPr>
        <w:t xml:space="preserve">élevage des chevaux </w:t>
      </w:r>
      <w:proofErr w:type="spellStart"/>
      <w:r w:rsidRPr="00702497">
        <w:rPr>
          <w:b/>
          <w:lang w:val="fr-FR"/>
        </w:rPr>
        <w:t>Lipizzan</w:t>
      </w:r>
      <w:proofErr w:type="spellEnd"/>
      <w:r w:rsidRPr="002C5FAD">
        <w:rPr>
          <w:bCs/>
          <w:lang w:val="fr-FR"/>
        </w:rPr>
        <w:t xml:space="preserve"> [projet de décision</w:t>
      </w:r>
      <w:r w:rsidR="00732D88">
        <w:rPr>
          <w:bCs/>
          <w:lang w:val="fr-FR"/>
        </w:rPr>
        <w:t> </w:t>
      </w:r>
      <w:r w:rsidRPr="002C5FAD">
        <w:rPr>
          <w:bCs/>
          <w:lang w:val="fr-FR"/>
        </w:rPr>
        <w:t xml:space="preserve">7.b.40], soumis par </w:t>
      </w:r>
      <w:r w:rsidRPr="00F15FCD">
        <w:rPr>
          <w:bCs/>
          <w:lang w:val="fr-FR"/>
        </w:rPr>
        <w:t>l</w:t>
      </w:r>
      <w:r w:rsidR="00923E72">
        <w:rPr>
          <w:bCs/>
          <w:lang w:val="fr-FR"/>
        </w:rPr>
        <w:t>’</w:t>
      </w:r>
      <w:r w:rsidRPr="00702497">
        <w:rPr>
          <w:b/>
          <w:lang w:val="fr-FR"/>
        </w:rPr>
        <w:t xml:space="preserve">Autriche, </w:t>
      </w:r>
      <w:r w:rsidRPr="00F15FCD">
        <w:rPr>
          <w:bCs/>
          <w:lang w:val="fr-FR"/>
        </w:rPr>
        <w:t>la</w:t>
      </w:r>
      <w:r w:rsidR="00732D88" w:rsidRPr="00702497">
        <w:rPr>
          <w:b/>
          <w:lang w:val="fr-FR"/>
        </w:rPr>
        <w:t xml:space="preserve"> </w:t>
      </w:r>
      <w:r w:rsidRPr="00702497">
        <w:rPr>
          <w:b/>
          <w:lang w:val="fr-FR"/>
        </w:rPr>
        <w:t xml:space="preserve">Bosnie-Herzégovine, </w:t>
      </w:r>
      <w:r w:rsidRPr="00F15FCD">
        <w:rPr>
          <w:bCs/>
          <w:lang w:val="fr-FR"/>
        </w:rPr>
        <w:t>la</w:t>
      </w:r>
      <w:r w:rsidR="00732D88" w:rsidRPr="00702497">
        <w:rPr>
          <w:b/>
          <w:lang w:val="fr-FR"/>
        </w:rPr>
        <w:t xml:space="preserve"> </w:t>
      </w:r>
      <w:r w:rsidRPr="00702497">
        <w:rPr>
          <w:b/>
          <w:lang w:val="fr-FR"/>
        </w:rPr>
        <w:t xml:space="preserve">Croatie, </w:t>
      </w:r>
      <w:r w:rsidRPr="00F15FCD">
        <w:rPr>
          <w:bCs/>
          <w:lang w:val="fr-FR"/>
        </w:rPr>
        <w:t>la</w:t>
      </w:r>
      <w:r w:rsidR="00732D88" w:rsidRPr="00702497">
        <w:rPr>
          <w:b/>
          <w:lang w:val="fr-FR"/>
        </w:rPr>
        <w:t xml:space="preserve"> </w:t>
      </w:r>
      <w:r w:rsidRPr="00702497">
        <w:rPr>
          <w:b/>
          <w:lang w:val="fr-FR"/>
        </w:rPr>
        <w:t xml:space="preserve">Hongrie, </w:t>
      </w:r>
      <w:r w:rsidRPr="00F15FCD">
        <w:rPr>
          <w:bCs/>
          <w:lang w:val="fr-FR"/>
        </w:rPr>
        <w:t>l</w:t>
      </w:r>
      <w:r w:rsidR="00923E72">
        <w:rPr>
          <w:bCs/>
          <w:lang w:val="fr-FR"/>
        </w:rPr>
        <w:t>’</w:t>
      </w:r>
      <w:r w:rsidRPr="00702497">
        <w:rPr>
          <w:b/>
          <w:lang w:val="fr-FR"/>
        </w:rPr>
        <w:t xml:space="preserve">Italie, </w:t>
      </w:r>
      <w:r w:rsidRPr="00F15FCD">
        <w:rPr>
          <w:bCs/>
          <w:lang w:val="fr-FR"/>
        </w:rPr>
        <w:t>la</w:t>
      </w:r>
      <w:r w:rsidR="00732D88" w:rsidRPr="00702497">
        <w:rPr>
          <w:b/>
          <w:lang w:val="fr-FR"/>
        </w:rPr>
        <w:t xml:space="preserve"> </w:t>
      </w:r>
      <w:r w:rsidRPr="00702497">
        <w:rPr>
          <w:b/>
          <w:lang w:val="fr-FR"/>
        </w:rPr>
        <w:t xml:space="preserve">Roumanie, </w:t>
      </w:r>
      <w:r w:rsidRPr="00F15FCD">
        <w:rPr>
          <w:bCs/>
          <w:lang w:val="fr-FR"/>
        </w:rPr>
        <w:t>la</w:t>
      </w:r>
      <w:r w:rsidR="00732D88" w:rsidRPr="00702497">
        <w:rPr>
          <w:b/>
          <w:lang w:val="fr-FR"/>
        </w:rPr>
        <w:t xml:space="preserve"> </w:t>
      </w:r>
      <w:r w:rsidRPr="00702497">
        <w:rPr>
          <w:b/>
          <w:lang w:val="fr-FR"/>
        </w:rPr>
        <w:t xml:space="preserve">Slovaquie </w:t>
      </w:r>
      <w:r w:rsidRPr="00B75CB4">
        <w:rPr>
          <w:bCs/>
          <w:lang w:val="fr-FR"/>
        </w:rPr>
        <w:t>et</w:t>
      </w:r>
      <w:r w:rsidRPr="00702497">
        <w:rPr>
          <w:b/>
          <w:lang w:val="fr-FR"/>
        </w:rPr>
        <w:t xml:space="preserve"> </w:t>
      </w:r>
      <w:r w:rsidRPr="00F15FCD">
        <w:rPr>
          <w:bCs/>
          <w:lang w:val="fr-FR"/>
        </w:rPr>
        <w:t>la</w:t>
      </w:r>
      <w:r w:rsidR="00732D88" w:rsidRPr="00702497">
        <w:rPr>
          <w:b/>
          <w:lang w:val="fr-FR"/>
        </w:rPr>
        <w:t xml:space="preserve"> </w:t>
      </w:r>
      <w:r w:rsidRPr="00702497">
        <w:rPr>
          <w:b/>
          <w:lang w:val="fr-FR"/>
        </w:rPr>
        <w:t>Slovénie</w:t>
      </w:r>
      <w:r w:rsidRPr="002C5FAD">
        <w:rPr>
          <w:bCs/>
          <w:lang w:val="fr-FR"/>
        </w:rPr>
        <w:t xml:space="preserve">, expliquant que cet élément </w:t>
      </w:r>
      <w:r>
        <w:rPr>
          <w:bCs/>
          <w:lang w:val="fr-FR"/>
        </w:rPr>
        <w:t xml:space="preserve">inclut </w:t>
      </w:r>
      <w:r w:rsidRPr="002C5FAD">
        <w:rPr>
          <w:bCs/>
          <w:lang w:val="fr-FR"/>
        </w:rPr>
        <w:t>les connaissances, les pratiques et les compétences relatives à l</w:t>
      </w:r>
      <w:r w:rsidR="00923E72">
        <w:rPr>
          <w:bCs/>
          <w:lang w:val="fr-FR"/>
        </w:rPr>
        <w:t>’</w:t>
      </w:r>
      <w:r w:rsidRPr="002C5FAD">
        <w:rPr>
          <w:bCs/>
          <w:lang w:val="fr-FR"/>
        </w:rPr>
        <w:t>élevage, aux soins et à l</w:t>
      </w:r>
      <w:r w:rsidR="00923E72">
        <w:rPr>
          <w:bCs/>
          <w:lang w:val="fr-FR"/>
        </w:rPr>
        <w:t>’</w:t>
      </w:r>
      <w:r w:rsidRPr="002C5FAD">
        <w:rPr>
          <w:bCs/>
          <w:lang w:val="fr-FR"/>
        </w:rPr>
        <w:t xml:space="preserve">entraînement des chevaux </w:t>
      </w:r>
      <w:proofErr w:type="spellStart"/>
      <w:r>
        <w:rPr>
          <w:bCs/>
          <w:lang w:val="fr-FR"/>
        </w:rPr>
        <w:t>L</w:t>
      </w:r>
      <w:r w:rsidRPr="002C5FAD">
        <w:rPr>
          <w:bCs/>
          <w:lang w:val="fr-FR"/>
        </w:rPr>
        <w:t>ipizzan</w:t>
      </w:r>
      <w:proofErr w:type="spellEnd"/>
      <w:r>
        <w:rPr>
          <w:bCs/>
          <w:lang w:val="fr-FR"/>
        </w:rPr>
        <w:t>, qu</w:t>
      </w:r>
      <w:r w:rsidR="00923E72">
        <w:rPr>
          <w:bCs/>
          <w:lang w:val="fr-FR"/>
        </w:rPr>
        <w:t>’</w:t>
      </w:r>
      <w:r>
        <w:rPr>
          <w:bCs/>
          <w:lang w:val="fr-FR"/>
        </w:rPr>
        <w:t xml:space="preserve">il est lié à une série de pratiques culturelles et sociales concernant les chevaux </w:t>
      </w:r>
      <w:proofErr w:type="spellStart"/>
      <w:r>
        <w:rPr>
          <w:bCs/>
          <w:lang w:val="fr-FR"/>
        </w:rPr>
        <w:t>Lipizzan</w:t>
      </w:r>
      <w:proofErr w:type="spellEnd"/>
      <w:r>
        <w:rPr>
          <w:bCs/>
          <w:lang w:val="fr-FR"/>
        </w:rPr>
        <w:t xml:space="preserve"> et qu</w:t>
      </w:r>
      <w:r w:rsidR="00923E72">
        <w:rPr>
          <w:bCs/>
          <w:lang w:val="fr-FR"/>
        </w:rPr>
        <w:t>’</w:t>
      </w:r>
      <w:r>
        <w:rPr>
          <w:bCs/>
          <w:lang w:val="fr-FR"/>
        </w:rPr>
        <w:t xml:space="preserve">il implique </w:t>
      </w:r>
      <w:r w:rsidRPr="002C5FAD">
        <w:rPr>
          <w:bCs/>
          <w:color w:val="000000" w:themeColor="text1"/>
          <w:lang w:val="fr-FR"/>
        </w:rPr>
        <w:t>également</w:t>
      </w:r>
      <w:r>
        <w:rPr>
          <w:bCs/>
          <w:color w:val="000000" w:themeColor="text1"/>
          <w:lang w:val="fr-FR"/>
        </w:rPr>
        <w:t xml:space="preserve"> l</w:t>
      </w:r>
      <w:r w:rsidR="00923E72">
        <w:rPr>
          <w:bCs/>
          <w:color w:val="000000" w:themeColor="text1"/>
          <w:lang w:val="fr-FR"/>
        </w:rPr>
        <w:t>’</w:t>
      </w:r>
      <w:r>
        <w:rPr>
          <w:bCs/>
          <w:color w:val="000000" w:themeColor="text1"/>
          <w:lang w:val="fr-FR"/>
        </w:rPr>
        <w:t>artisanat associé à l</w:t>
      </w:r>
      <w:r w:rsidR="00923E72">
        <w:rPr>
          <w:bCs/>
          <w:color w:val="000000" w:themeColor="text1"/>
          <w:lang w:val="fr-FR"/>
        </w:rPr>
        <w:t>’</w:t>
      </w:r>
      <w:r>
        <w:rPr>
          <w:bCs/>
          <w:color w:val="000000" w:themeColor="text1"/>
          <w:lang w:val="fr-FR"/>
        </w:rPr>
        <w:t>élevage de chevaux</w:t>
      </w:r>
      <w:r w:rsidR="00FF43C6">
        <w:rPr>
          <w:bCs/>
          <w:color w:val="000000" w:themeColor="text1"/>
          <w:lang w:val="fr-FR"/>
        </w:rPr>
        <w:t>.</w:t>
      </w:r>
      <w:r w:rsidRPr="002C5FAD">
        <w:rPr>
          <w:bCs/>
          <w:lang w:val="fr-FR"/>
        </w:rPr>
        <w:t xml:space="preserve"> L</w:t>
      </w:r>
      <w:r w:rsidR="00923E72">
        <w:rPr>
          <w:bCs/>
          <w:lang w:val="fr-FR"/>
        </w:rPr>
        <w:t>’</w:t>
      </w:r>
      <w:r w:rsidRPr="002C5FAD">
        <w:rPr>
          <w:bCs/>
          <w:lang w:val="fr-FR"/>
        </w:rPr>
        <w:t>Organe d</w:t>
      </w:r>
      <w:r w:rsidR="00923E72">
        <w:rPr>
          <w:bCs/>
          <w:lang w:val="fr-FR"/>
        </w:rPr>
        <w:t>’</w:t>
      </w:r>
      <w:r w:rsidRPr="002C5FAD">
        <w:rPr>
          <w:bCs/>
          <w:lang w:val="fr-FR"/>
        </w:rPr>
        <w:t>évaluation avait estimé que la candidature satisfaisait aux cinq critères et avait hautement apprécié l</w:t>
      </w:r>
      <w:r w:rsidR="00923E72">
        <w:rPr>
          <w:bCs/>
          <w:lang w:val="fr-FR"/>
        </w:rPr>
        <w:t>’</w:t>
      </w:r>
      <w:r w:rsidRPr="002C5FAD">
        <w:rPr>
          <w:bCs/>
          <w:lang w:val="fr-FR"/>
        </w:rPr>
        <w:t>étroite collaboration au cours de la préparation du dossier</w:t>
      </w:r>
      <w:r w:rsidR="00FF43C6">
        <w:rPr>
          <w:bCs/>
          <w:lang w:val="fr-FR"/>
        </w:rPr>
        <w:t xml:space="preserve">, </w:t>
      </w:r>
      <w:r w:rsidRPr="002C5FAD">
        <w:rPr>
          <w:bCs/>
          <w:lang w:val="fr-FR"/>
        </w:rPr>
        <w:t>qui servirait de bon exemple pour une candidature multinational</w:t>
      </w:r>
      <w:r>
        <w:rPr>
          <w:bCs/>
          <w:lang w:val="fr-FR"/>
        </w:rPr>
        <w:t>e</w:t>
      </w:r>
      <w:r w:rsidRPr="002C5FAD">
        <w:rPr>
          <w:bCs/>
          <w:lang w:val="fr-FR"/>
        </w:rPr>
        <w:t>. Le dossier témoignait d</w:t>
      </w:r>
      <w:r w:rsidR="00923E72">
        <w:rPr>
          <w:bCs/>
          <w:lang w:val="fr-FR"/>
        </w:rPr>
        <w:t>’</w:t>
      </w:r>
      <w:r w:rsidRPr="002C5FAD">
        <w:rPr>
          <w:bCs/>
          <w:lang w:val="fr-FR"/>
        </w:rPr>
        <w:t>une étroite collaboration</w:t>
      </w:r>
      <w:r w:rsidR="00732D88">
        <w:rPr>
          <w:bCs/>
          <w:lang w:val="fr-FR"/>
        </w:rPr>
        <w:t>,</w:t>
      </w:r>
      <w:r w:rsidRPr="002C5FAD">
        <w:rPr>
          <w:bCs/>
          <w:lang w:val="fr-FR"/>
        </w:rPr>
        <w:t xml:space="preserve"> conforme à l</w:t>
      </w:r>
      <w:r w:rsidR="00923E72">
        <w:rPr>
          <w:bCs/>
          <w:lang w:val="fr-FR"/>
        </w:rPr>
        <w:t>’</w:t>
      </w:r>
      <w:r w:rsidRPr="002C5FAD">
        <w:rPr>
          <w:bCs/>
          <w:lang w:val="fr-FR"/>
        </w:rPr>
        <w:t>esprit de la Convention du patrimoine mondial</w:t>
      </w:r>
      <w:r w:rsidR="00732D88">
        <w:rPr>
          <w:bCs/>
          <w:lang w:val="fr-FR"/>
        </w:rPr>
        <w:t>,</w:t>
      </w:r>
      <w:r w:rsidRPr="002C5FAD">
        <w:rPr>
          <w:bCs/>
          <w:lang w:val="fr-FR"/>
        </w:rPr>
        <w:t xml:space="preserve"> et montrait le sens et l</w:t>
      </w:r>
      <w:r w:rsidR="00923E72">
        <w:rPr>
          <w:bCs/>
          <w:lang w:val="fr-FR"/>
        </w:rPr>
        <w:t>’</w:t>
      </w:r>
      <w:r w:rsidRPr="002C5FAD">
        <w:rPr>
          <w:bCs/>
          <w:lang w:val="fr-FR"/>
        </w:rPr>
        <w:t>objectif des dossiers multinationaux. En conclusion, l</w:t>
      </w:r>
      <w:r w:rsidR="00923E72">
        <w:rPr>
          <w:bCs/>
          <w:lang w:val="fr-FR"/>
        </w:rPr>
        <w:t>’</w:t>
      </w:r>
      <w:r w:rsidRPr="002C5FAD">
        <w:rPr>
          <w:bCs/>
          <w:lang w:val="fr-FR"/>
        </w:rPr>
        <w:t>Organe d</w:t>
      </w:r>
      <w:r w:rsidR="00923E72">
        <w:rPr>
          <w:bCs/>
          <w:lang w:val="fr-FR"/>
        </w:rPr>
        <w:t>’</w:t>
      </w:r>
      <w:r w:rsidRPr="002C5FAD">
        <w:rPr>
          <w:bCs/>
          <w:lang w:val="fr-FR"/>
        </w:rPr>
        <w:t>évaluation recommandait l</w:t>
      </w:r>
      <w:r w:rsidR="00923E72">
        <w:rPr>
          <w:bCs/>
          <w:lang w:val="fr-FR"/>
        </w:rPr>
        <w:t>’</w:t>
      </w:r>
      <w:r w:rsidRPr="002C5FAD">
        <w:rPr>
          <w:bCs/>
          <w:lang w:val="fr-FR"/>
        </w:rPr>
        <w:t>inscription de l</w:t>
      </w:r>
      <w:r w:rsidR="00923E72">
        <w:rPr>
          <w:bCs/>
          <w:lang w:val="fr-FR"/>
        </w:rPr>
        <w:t>’</w:t>
      </w:r>
      <w:r w:rsidRPr="002C5FAD">
        <w:rPr>
          <w:bCs/>
          <w:lang w:val="fr-FR"/>
        </w:rPr>
        <w:t>élément sur la Liste représentative.</w:t>
      </w:r>
    </w:p>
    <w:p w14:paraId="56551689" w14:textId="0193E2CB" w:rsidR="002C5FAD" w:rsidRPr="00702497" w:rsidRDefault="002C5FAD" w:rsidP="00702497">
      <w:pPr>
        <w:pStyle w:val="Orateurengris"/>
        <w:numPr>
          <w:ilvl w:val="0"/>
          <w:numId w:val="20"/>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 xml:space="preserve">avait été reçu pour cette candidature, le </w:t>
      </w:r>
      <w:r w:rsidRPr="00C8733E">
        <w:rPr>
          <w:rFonts w:eastAsia="Malgun Gothic"/>
          <w:b/>
          <w:lang w:val="fr-FR"/>
        </w:rPr>
        <w:t>Vice-Président</w:t>
      </w:r>
      <w:r w:rsidRPr="00C8733E">
        <w:rPr>
          <w:rFonts w:eastAsia="Malgun Gothic"/>
          <w:bCs/>
          <w:lang w:val="fr-FR"/>
        </w:rPr>
        <w:t xml:space="preserve"> est donc passé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 xml:space="preserve">objections, le </w:t>
      </w:r>
      <w:r w:rsidR="000C4DC3">
        <w:rPr>
          <w:rFonts w:eastAsia="Malgun Gothic"/>
          <w:b/>
          <w:lang w:val="fr-FR"/>
        </w:rPr>
        <w:t>Vice-P</w:t>
      </w:r>
      <w:r w:rsidRPr="00C8733E">
        <w:rPr>
          <w:rFonts w:eastAsia="Malgun Gothic"/>
          <w:b/>
          <w:lang w:val="fr-FR"/>
        </w:rPr>
        <w:t>résident a déclaré adoptée la décision</w:t>
      </w:r>
      <w:r w:rsidR="00732D88">
        <w:rPr>
          <w:rFonts w:eastAsia="Malgun Gothic"/>
          <w:b/>
          <w:lang w:val="fr-FR"/>
        </w:rPr>
        <w:t> </w:t>
      </w:r>
      <w:r w:rsidR="00751FB1">
        <w:fldChar w:fldCharType="begin"/>
      </w:r>
      <w:r w:rsidR="00751FB1" w:rsidRPr="00751FB1">
        <w:rPr>
          <w:lang w:val="fr-FR"/>
        </w:rPr>
        <w:instrText>HYPERLINK "https://ich.unesco.org/fr/Decisions/17.COM/7.b.40"</w:instrText>
      </w:r>
      <w:r w:rsidR="00751FB1">
        <w:fldChar w:fldCharType="separate"/>
      </w:r>
      <w:r w:rsidRPr="006E3034">
        <w:rPr>
          <w:rStyle w:val="Hyperlink"/>
          <w:b/>
          <w:bCs/>
          <w:lang w:val="fr-FR"/>
        </w:rPr>
        <w:t>17.COM 7.b.40</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 xml:space="preserve">inscrire </w:t>
      </w:r>
      <w:r w:rsidRPr="001E0235">
        <w:rPr>
          <w:b/>
          <w:lang w:val="fr-FR"/>
        </w:rPr>
        <w:t>les traditions d</w:t>
      </w:r>
      <w:r w:rsidR="00923E72">
        <w:rPr>
          <w:b/>
          <w:lang w:val="fr-FR"/>
        </w:rPr>
        <w:t>’</w:t>
      </w:r>
      <w:r w:rsidRPr="001E0235">
        <w:rPr>
          <w:b/>
          <w:lang w:val="fr-FR"/>
        </w:rPr>
        <w:t xml:space="preserve">élevage des chevaux </w:t>
      </w:r>
      <w:proofErr w:type="spellStart"/>
      <w:r w:rsidRPr="001E0235">
        <w:rPr>
          <w:b/>
          <w:lang w:val="fr-FR"/>
        </w:rPr>
        <w:t>Lipizzan</w:t>
      </w:r>
      <w:proofErr w:type="spellEnd"/>
      <w:r w:rsidRPr="002C5FAD">
        <w:rPr>
          <w:bCs/>
          <w:lang w:val="fr-FR"/>
        </w:rPr>
        <w:t xml:space="preserve"> </w:t>
      </w:r>
      <w:r>
        <w:rPr>
          <w:b/>
          <w:lang w:val="fr-FR"/>
        </w:rPr>
        <w:t>sur la Liste représentative.</w:t>
      </w:r>
    </w:p>
    <w:p w14:paraId="6F354F29" w14:textId="217026A4" w:rsidR="00E30A6B" w:rsidRPr="00702497" w:rsidRDefault="00E30A6B"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61DDFDDD" w14:textId="6D3CD02B" w:rsidR="002C5FAD" w:rsidRDefault="00E30A6B" w:rsidP="00702497">
      <w:pPr>
        <w:pStyle w:val="Orateurengris"/>
        <w:numPr>
          <w:ilvl w:val="0"/>
          <w:numId w:val="20"/>
        </w:numPr>
        <w:tabs>
          <w:tab w:val="clear" w:pos="567"/>
          <w:tab w:val="num" w:pos="709"/>
        </w:tabs>
        <w:spacing w:before="120"/>
        <w:ind w:left="709" w:hanging="709"/>
        <w:rPr>
          <w:bCs/>
          <w:lang w:val="fr-FR"/>
        </w:rPr>
      </w:pPr>
      <w:r w:rsidRPr="00E30A6B">
        <w:rPr>
          <w:bCs/>
          <w:lang w:val="fr-FR"/>
        </w:rPr>
        <w:t xml:space="preserve">La délégation </w:t>
      </w:r>
      <w:r>
        <w:rPr>
          <w:bCs/>
          <w:lang w:val="fr-FR"/>
        </w:rPr>
        <w:t xml:space="preserve">de la </w:t>
      </w:r>
      <w:r w:rsidRPr="00702497">
        <w:rPr>
          <w:b/>
          <w:lang w:val="fr-FR"/>
        </w:rPr>
        <w:t>Slovénie</w:t>
      </w:r>
      <w:r>
        <w:rPr>
          <w:bCs/>
          <w:lang w:val="fr-FR"/>
        </w:rPr>
        <w:t xml:space="preserve"> </w:t>
      </w:r>
      <w:r w:rsidRPr="00E30A6B">
        <w:rPr>
          <w:bCs/>
          <w:lang w:val="fr-FR"/>
        </w:rPr>
        <w:t>s</w:t>
      </w:r>
      <w:r w:rsidR="00923E72">
        <w:rPr>
          <w:bCs/>
          <w:lang w:val="fr-FR"/>
        </w:rPr>
        <w:t>’</w:t>
      </w:r>
      <w:r w:rsidRPr="00E30A6B">
        <w:rPr>
          <w:bCs/>
          <w:lang w:val="fr-FR"/>
        </w:rPr>
        <w:t>est exprimée au nom des huit pays</w:t>
      </w:r>
      <w:r w:rsidR="00732D88">
        <w:rPr>
          <w:bCs/>
          <w:lang w:val="fr-FR"/>
        </w:rPr>
        <w:t xml:space="preserve">, </w:t>
      </w:r>
      <w:r w:rsidRPr="00E30A6B">
        <w:rPr>
          <w:bCs/>
          <w:lang w:val="fr-FR"/>
        </w:rPr>
        <w:t>l</w:t>
      </w:r>
      <w:r w:rsidR="00923E72">
        <w:rPr>
          <w:bCs/>
          <w:lang w:val="fr-FR"/>
        </w:rPr>
        <w:t>’</w:t>
      </w:r>
      <w:r w:rsidRPr="00E30A6B">
        <w:rPr>
          <w:bCs/>
          <w:lang w:val="fr-FR"/>
        </w:rPr>
        <w:t>Autriche, la Bosnie</w:t>
      </w:r>
      <w:r>
        <w:rPr>
          <w:bCs/>
          <w:lang w:val="fr-FR"/>
        </w:rPr>
        <w:noBreakHyphen/>
      </w:r>
      <w:r w:rsidRPr="00E30A6B">
        <w:rPr>
          <w:bCs/>
          <w:lang w:val="fr-FR"/>
        </w:rPr>
        <w:t>Herzégovine, la Croatie, la Hongrie, l</w:t>
      </w:r>
      <w:r w:rsidR="00923E72">
        <w:rPr>
          <w:bCs/>
          <w:lang w:val="fr-FR"/>
        </w:rPr>
        <w:t>’</w:t>
      </w:r>
      <w:r w:rsidRPr="00E30A6B">
        <w:rPr>
          <w:bCs/>
          <w:lang w:val="fr-FR"/>
        </w:rPr>
        <w:t>Italie, la Roumanie, la Slovaquie et la Slovénie, qui avaient uni leurs forces pour mettre en évidence le large éventail de pratiques culturelles et sociales, de connaissances et de savoir-faire, de traditions orales, d</w:t>
      </w:r>
      <w:r w:rsidR="00923E72">
        <w:rPr>
          <w:bCs/>
          <w:lang w:val="fr-FR"/>
        </w:rPr>
        <w:t>’</w:t>
      </w:r>
      <w:r w:rsidRPr="00E30A6B">
        <w:rPr>
          <w:bCs/>
          <w:lang w:val="fr-FR"/>
        </w:rPr>
        <w:t>événements festifs et de sports équestres liés à l</w:t>
      </w:r>
      <w:r w:rsidR="00923E72">
        <w:rPr>
          <w:bCs/>
          <w:lang w:val="fr-FR"/>
        </w:rPr>
        <w:t>’</w:t>
      </w:r>
      <w:r w:rsidRPr="00E30A6B">
        <w:rPr>
          <w:bCs/>
          <w:lang w:val="fr-FR"/>
        </w:rPr>
        <w:t xml:space="preserve">élevage des chevaux </w:t>
      </w:r>
      <w:proofErr w:type="spellStart"/>
      <w:r w:rsidRPr="00E30A6B">
        <w:rPr>
          <w:bCs/>
          <w:lang w:val="fr-FR"/>
        </w:rPr>
        <w:t>Lipizzan</w:t>
      </w:r>
      <w:proofErr w:type="spellEnd"/>
      <w:r w:rsidRPr="00E30A6B">
        <w:rPr>
          <w:bCs/>
          <w:lang w:val="fr-FR"/>
        </w:rPr>
        <w:t>. Depuis des siècles, l</w:t>
      </w:r>
      <w:r w:rsidR="00923E72">
        <w:rPr>
          <w:bCs/>
          <w:lang w:val="fr-FR"/>
        </w:rPr>
        <w:t>’</w:t>
      </w:r>
      <w:r w:rsidRPr="00E30A6B">
        <w:rPr>
          <w:bCs/>
          <w:lang w:val="fr-FR"/>
        </w:rPr>
        <w:t xml:space="preserve">élément </w:t>
      </w:r>
      <w:r>
        <w:rPr>
          <w:bCs/>
          <w:lang w:val="fr-FR"/>
        </w:rPr>
        <w:t xml:space="preserve">unissait </w:t>
      </w:r>
      <w:r w:rsidRPr="00E30A6B">
        <w:rPr>
          <w:bCs/>
          <w:lang w:val="fr-FR"/>
        </w:rPr>
        <w:t>les détenteurs, les praticiens et les communautés à travers l</w:t>
      </w:r>
      <w:r w:rsidR="00923E72">
        <w:rPr>
          <w:bCs/>
          <w:lang w:val="fr-FR"/>
        </w:rPr>
        <w:t>’</w:t>
      </w:r>
      <w:r w:rsidRPr="00E30A6B">
        <w:rPr>
          <w:bCs/>
          <w:lang w:val="fr-FR"/>
        </w:rPr>
        <w:t>Europe.</w:t>
      </w:r>
      <w:r>
        <w:rPr>
          <w:bCs/>
          <w:lang w:val="fr-FR"/>
        </w:rPr>
        <w:t xml:space="preserve"> Ils étaient </w:t>
      </w:r>
      <w:r w:rsidRPr="00E30A6B">
        <w:rPr>
          <w:bCs/>
          <w:lang w:val="fr-FR"/>
        </w:rPr>
        <w:t xml:space="preserve">les premiers </w:t>
      </w:r>
      <w:r>
        <w:rPr>
          <w:bCs/>
          <w:lang w:val="fr-FR"/>
        </w:rPr>
        <w:t xml:space="preserve">gardiens </w:t>
      </w:r>
      <w:r w:rsidRPr="00E30A6B">
        <w:rPr>
          <w:bCs/>
          <w:lang w:val="fr-FR"/>
        </w:rPr>
        <w:t>de l</w:t>
      </w:r>
      <w:r w:rsidR="00923E72">
        <w:rPr>
          <w:bCs/>
          <w:lang w:val="fr-FR"/>
        </w:rPr>
        <w:t>’</w:t>
      </w:r>
      <w:r w:rsidRPr="00E30A6B">
        <w:rPr>
          <w:bCs/>
          <w:lang w:val="fr-FR"/>
        </w:rPr>
        <w:t xml:space="preserve">élevage du cheval </w:t>
      </w:r>
      <w:proofErr w:type="spellStart"/>
      <w:r w:rsidRPr="00E30A6B">
        <w:rPr>
          <w:bCs/>
          <w:lang w:val="fr-FR"/>
        </w:rPr>
        <w:t>Lipizzan</w:t>
      </w:r>
      <w:proofErr w:type="spellEnd"/>
      <w:r w:rsidRPr="00E30A6B">
        <w:rPr>
          <w:bCs/>
          <w:lang w:val="fr-FR"/>
        </w:rPr>
        <w:t>, fondé sur un lien de confiance entre l</w:t>
      </w:r>
      <w:r w:rsidR="00923E72">
        <w:rPr>
          <w:bCs/>
          <w:lang w:val="fr-FR"/>
        </w:rPr>
        <w:t>’</w:t>
      </w:r>
      <w:r w:rsidRPr="00E30A6B">
        <w:rPr>
          <w:bCs/>
          <w:lang w:val="fr-FR"/>
        </w:rPr>
        <w:t>homme et le cheval et sur un patrimoine culturel partagé</w:t>
      </w:r>
      <w:r w:rsidR="00377A05">
        <w:rPr>
          <w:bCs/>
          <w:lang w:val="fr-FR"/>
        </w:rPr>
        <w:t>,</w:t>
      </w:r>
      <w:r w:rsidRPr="00E30A6B">
        <w:rPr>
          <w:bCs/>
          <w:lang w:val="fr-FR"/>
        </w:rPr>
        <w:t xml:space="preserve"> sauvegardé conjointement au-delà des frontières linguistiques et nationales, favoris</w:t>
      </w:r>
      <w:r>
        <w:rPr>
          <w:bCs/>
          <w:lang w:val="fr-FR"/>
        </w:rPr>
        <w:t>ant ainsi</w:t>
      </w:r>
      <w:r w:rsidRPr="00E30A6B">
        <w:rPr>
          <w:bCs/>
          <w:lang w:val="fr-FR"/>
        </w:rPr>
        <w:t xml:space="preserve"> le dialogue et la compréhension. La délégation a remercié l</w:t>
      </w:r>
      <w:r w:rsidR="00923E72">
        <w:rPr>
          <w:bCs/>
          <w:lang w:val="fr-FR"/>
        </w:rPr>
        <w:t>’</w:t>
      </w:r>
      <w:r w:rsidRPr="00E30A6B">
        <w:rPr>
          <w:bCs/>
          <w:lang w:val="fr-FR"/>
        </w:rPr>
        <w:t>Organe d</w:t>
      </w:r>
      <w:r w:rsidR="00923E72">
        <w:rPr>
          <w:bCs/>
          <w:lang w:val="fr-FR"/>
        </w:rPr>
        <w:t>’</w:t>
      </w:r>
      <w:r w:rsidRPr="00E30A6B">
        <w:rPr>
          <w:bCs/>
          <w:lang w:val="fr-FR"/>
        </w:rPr>
        <w:t>évaluation pour sa recommandation positive, reconnaissa</w:t>
      </w:r>
      <w:r w:rsidR="00FF43C6">
        <w:rPr>
          <w:bCs/>
          <w:lang w:val="fr-FR"/>
        </w:rPr>
        <w:t xml:space="preserve">nt </w:t>
      </w:r>
      <w:r w:rsidRPr="00E30A6B">
        <w:rPr>
          <w:bCs/>
          <w:lang w:val="fr-FR"/>
        </w:rPr>
        <w:t xml:space="preserve">la </w:t>
      </w:r>
      <w:r>
        <w:rPr>
          <w:bCs/>
          <w:lang w:val="fr-FR"/>
        </w:rPr>
        <w:t xml:space="preserve">grande </w:t>
      </w:r>
      <w:r w:rsidRPr="00E30A6B">
        <w:rPr>
          <w:bCs/>
          <w:lang w:val="fr-FR"/>
        </w:rPr>
        <w:t>collaboration entre les États</w:t>
      </w:r>
      <w:r w:rsidR="00377A05">
        <w:rPr>
          <w:bCs/>
          <w:lang w:val="fr-FR"/>
        </w:rPr>
        <w:t>,</w:t>
      </w:r>
      <w:r w:rsidRPr="00E30A6B">
        <w:rPr>
          <w:bCs/>
          <w:lang w:val="fr-FR"/>
        </w:rPr>
        <w:t xml:space="preserve"> qui avait abouti à un dossier de candidature exemplaire. En outre, elle a remercié le Comité pour sa décision</w:t>
      </w:r>
      <w:r w:rsidR="00FF43C6">
        <w:rPr>
          <w:bCs/>
          <w:lang w:val="fr-FR"/>
        </w:rPr>
        <w:t>,</w:t>
      </w:r>
      <w:r w:rsidRPr="00E30A6B">
        <w:rPr>
          <w:bCs/>
          <w:lang w:val="fr-FR"/>
        </w:rPr>
        <w:t xml:space="preserve"> qui suscitait la fierté des États parties soumissionnaires. Le petit film illustrait </w:t>
      </w:r>
      <w:r>
        <w:rPr>
          <w:bCs/>
          <w:lang w:val="fr-FR"/>
        </w:rPr>
        <w:t xml:space="preserve">un </w:t>
      </w:r>
      <w:r w:rsidRPr="00E30A6B">
        <w:rPr>
          <w:bCs/>
          <w:lang w:val="fr-FR"/>
        </w:rPr>
        <w:t>élément riche, symbolique et vivant</w:t>
      </w:r>
      <w:r w:rsidR="00FF43C6">
        <w:rPr>
          <w:bCs/>
          <w:lang w:val="fr-FR"/>
        </w:rPr>
        <w:t xml:space="preserve"> </w:t>
      </w:r>
      <w:r w:rsidRPr="00E30A6B">
        <w:rPr>
          <w:bCs/>
          <w:lang w:val="fr-FR"/>
        </w:rPr>
        <w:t>qui appart</w:t>
      </w:r>
      <w:r w:rsidR="00FF43C6">
        <w:rPr>
          <w:bCs/>
          <w:lang w:val="fr-FR"/>
        </w:rPr>
        <w:t>enait</w:t>
      </w:r>
      <w:r w:rsidRPr="00E30A6B">
        <w:rPr>
          <w:bCs/>
          <w:lang w:val="fr-FR"/>
        </w:rPr>
        <w:t xml:space="preserve"> désormais au patrimoine culturel immatériel de l</w:t>
      </w:r>
      <w:r w:rsidR="00923E72">
        <w:rPr>
          <w:bCs/>
          <w:lang w:val="fr-FR"/>
        </w:rPr>
        <w:t>’</w:t>
      </w:r>
      <w:r w:rsidRPr="00E30A6B">
        <w:rPr>
          <w:bCs/>
          <w:lang w:val="fr-FR"/>
        </w:rPr>
        <w:t>humanité.</w:t>
      </w:r>
    </w:p>
    <w:p w14:paraId="58755001" w14:textId="2C0D9683" w:rsidR="005059B7" w:rsidRDefault="005059B7" w:rsidP="00702497">
      <w:pPr>
        <w:pStyle w:val="Orateurengris"/>
        <w:numPr>
          <w:ilvl w:val="0"/>
          <w:numId w:val="20"/>
        </w:numPr>
        <w:tabs>
          <w:tab w:val="clear" w:pos="567"/>
          <w:tab w:val="num" w:pos="709"/>
        </w:tabs>
        <w:spacing w:before="120"/>
        <w:ind w:left="709" w:hanging="709"/>
        <w:rPr>
          <w:bCs/>
          <w:lang w:val="fr-FR"/>
        </w:rPr>
      </w:pPr>
      <w:r w:rsidRPr="005059B7">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5059B7">
        <w:rPr>
          <w:bCs/>
          <w:lang w:val="fr-FR"/>
        </w:rPr>
        <w:t xml:space="preserve"> </w:t>
      </w:r>
      <w:r>
        <w:rPr>
          <w:bCs/>
          <w:lang w:val="fr-FR"/>
        </w:rPr>
        <w:t xml:space="preserve">a </w:t>
      </w:r>
      <w:r w:rsidRPr="005059B7">
        <w:rPr>
          <w:bCs/>
          <w:lang w:val="fr-FR"/>
        </w:rPr>
        <w:t>présent</w:t>
      </w:r>
      <w:r>
        <w:rPr>
          <w:bCs/>
          <w:lang w:val="fr-FR"/>
        </w:rPr>
        <w:t>é</w:t>
      </w:r>
      <w:r w:rsidRPr="005059B7">
        <w:rPr>
          <w:bCs/>
          <w:lang w:val="fr-FR"/>
        </w:rPr>
        <w:t xml:space="preserve"> le dossier de candidature suivant, </w:t>
      </w:r>
      <w:r w:rsidRPr="00702497">
        <w:rPr>
          <w:b/>
          <w:lang w:val="fr-FR"/>
        </w:rPr>
        <w:t xml:space="preserve">le </w:t>
      </w:r>
      <w:proofErr w:type="spellStart"/>
      <w:r w:rsidRPr="00702497">
        <w:rPr>
          <w:b/>
          <w:lang w:val="fr-FR"/>
        </w:rPr>
        <w:t>radelage</w:t>
      </w:r>
      <w:proofErr w:type="spellEnd"/>
      <w:r w:rsidRPr="005059B7">
        <w:rPr>
          <w:bCs/>
          <w:lang w:val="fr-FR"/>
        </w:rPr>
        <w:t xml:space="preserve"> [projet de décision</w:t>
      </w:r>
      <w:r w:rsidR="00732D88">
        <w:rPr>
          <w:bCs/>
          <w:lang w:val="fr-FR"/>
        </w:rPr>
        <w:t> </w:t>
      </w:r>
      <w:r w:rsidRPr="005059B7">
        <w:rPr>
          <w:bCs/>
          <w:lang w:val="fr-FR"/>
        </w:rPr>
        <w:t>7.b.41], soumis par l</w:t>
      </w:r>
      <w:r w:rsidR="00923E72">
        <w:rPr>
          <w:bCs/>
          <w:lang w:val="fr-FR"/>
        </w:rPr>
        <w:t>’</w:t>
      </w:r>
      <w:r w:rsidRPr="00702497">
        <w:rPr>
          <w:b/>
          <w:lang w:val="fr-FR"/>
        </w:rPr>
        <w:t>Autriche</w:t>
      </w:r>
      <w:r w:rsidRPr="005059B7">
        <w:rPr>
          <w:bCs/>
          <w:lang w:val="fr-FR"/>
        </w:rPr>
        <w:t>, la</w:t>
      </w:r>
      <w:r w:rsidR="00732D88">
        <w:rPr>
          <w:bCs/>
          <w:lang w:val="fr-FR"/>
        </w:rPr>
        <w:t xml:space="preserve"> </w:t>
      </w:r>
      <w:r w:rsidRPr="00702497">
        <w:rPr>
          <w:b/>
          <w:lang w:val="fr-FR"/>
        </w:rPr>
        <w:t>Tchéquie</w:t>
      </w:r>
      <w:r w:rsidRPr="005059B7">
        <w:rPr>
          <w:bCs/>
          <w:lang w:val="fr-FR"/>
        </w:rPr>
        <w:t>, l</w:t>
      </w:r>
      <w:r w:rsidR="00923E72">
        <w:rPr>
          <w:bCs/>
          <w:lang w:val="fr-FR"/>
        </w:rPr>
        <w:t>’</w:t>
      </w:r>
      <w:r w:rsidRPr="001758BE">
        <w:rPr>
          <w:b/>
          <w:lang w:val="fr-FR"/>
        </w:rPr>
        <w:t>Allemagne</w:t>
      </w:r>
      <w:r w:rsidRPr="005059B7">
        <w:rPr>
          <w:bCs/>
          <w:lang w:val="fr-FR"/>
        </w:rPr>
        <w:t>,</w:t>
      </w:r>
      <w:r>
        <w:rPr>
          <w:bCs/>
          <w:lang w:val="fr-FR"/>
        </w:rPr>
        <w:t xml:space="preserve"> </w:t>
      </w:r>
      <w:r w:rsidRPr="005059B7">
        <w:rPr>
          <w:bCs/>
          <w:lang w:val="fr-FR"/>
        </w:rPr>
        <w:t>la</w:t>
      </w:r>
      <w:r w:rsidR="00732D88">
        <w:rPr>
          <w:bCs/>
          <w:lang w:val="fr-FR"/>
        </w:rPr>
        <w:t xml:space="preserve"> </w:t>
      </w:r>
      <w:r w:rsidRPr="00702497">
        <w:rPr>
          <w:b/>
          <w:lang w:val="fr-FR"/>
        </w:rPr>
        <w:t>Lettonie</w:t>
      </w:r>
      <w:r w:rsidRPr="005059B7">
        <w:rPr>
          <w:bCs/>
          <w:lang w:val="fr-FR"/>
        </w:rPr>
        <w:t>, la</w:t>
      </w:r>
      <w:r w:rsidR="00732D88">
        <w:rPr>
          <w:bCs/>
          <w:lang w:val="fr-FR"/>
        </w:rPr>
        <w:t xml:space="preserve"> </w:t>
      </w:r>
      <w:r w:rsidRPr="00702497">
        <w:rPr>
          <w:b/>
          <w:lang w:val="fr-FR"/>
        </w:rPr>
        <w:t>Pologne</w:t>
      </w:r>
      <w:r w:rsidRPr="005059B7">
        <w:rPr>
          <w:bCs/>
          <w:lang w:val="fr-FR"/>
        </w:rPr>
        <w:t xml:space="preserve"> et l</w:t>
      </w:r>
      <w:r w:rsidR="00923E72">
        <w:rPr>
          <w:bCs/>
          <w:lang w:val="fr-FR"/>
        </w:rPr>
        <w:t>’</w:t>
      </w:r>
      <w:r w:rsidRPr="00702497">
        <w:rPr>
          <w:b/>
          <w:lang w:val="fr-FR"/>
        </w:rPr>
        <w:t>Espagne</w:t>
      </w:r>
      <w:r w:rsidRPr="005059B7">
        <w:rPr>
          <w:bCs/>
          <w:lang w:val="fr-FR"/>
        </w:rPr>
        <w:t xml:space="preserve">, expliquant que le </w:t>
      </w:r>
      <w:proofErr w:type="spellStart"/>
      <w:r w:rsidRPr="005059B7">
        <w:rPr>
          <w:bCs/>
          <w:lang w:val="fr-FR"/>
        </w:rPr>
        <w:t>rad</w:t>
      </w:r>
      <w:r>
        <w:rPr>
          <w:bCs/>
          <w:lang w:val="fr-FR"/>
        </w:rPr>
        <w:t>elage</w:t>
      </w:r>
      <w:proofErr w:type="spellEnd"/>
      <w:r w:rsidRPr="005059B7">
        <w:rPr>
          <w:bCs/>
          <w:lang w:val="fr-FR"/>
        </w:rPr>
        <w:t xml:space="preserve"> </w:t>
      </w:r>
      <w:r>
        <w:rPr>
          <w:bCs/>
          <w:lang w:val="fr-FR"/>
        </w:rPr>
        <w:t xml:space="preserve">désigne les savoirs et </w:t>
      </w:r>
      <w:r w:rsidRPr="005059B7">
        <w:rPr>
          <w:bCs/>
          <w:lang w:val="fr-FR"/>
        </w:rPr>
        <w:t>savoir-</w:t>
      </w:r>
      <w:r w:rsidRPr="005059B7">
        <w:rPr>
          <w:bCs/>
          <w:lang w:val="fr-FR"/>
        </w:rPr>
        <w:lastRenderedPageBreak/>
        <w:t>faire</w:t>
      </w:r>
      <w:r>
        <w:rPr>
          <w:bCs/>
          <w:lang w:val="fr-FR"/>
        </w:rPr>
        <w:t xml:space="preserve"> </w:t>
      </w:r>
      <w:r w:rsidRPr="005059B7">
        <w:rPr>
          <w:bCs/>
          <w:lang w:val="fr-FR"/>
        </w:rPr>
        <w:t>traditionnel</w:t>
      </w:r>
      <w:r>
        <w:rPr>
          <w:bCs/>
          <w:lang w:val="fr-FR"/>
        </w:rPr>
        <w:t>s</w:t>
      </w:r>
      <w:r w:rsidRPr="005059B7">
        <w:rPr>
          <w:bCs/>
          <w:lang w:val="fr-FR"/>
        </w:rPr>
        <w:t xml:space="preserve"> liés à la construction et à la navigation de radeaux de bois </w:t>
      </w:r>
      <w:r>
        <w:rPr>
          <w:bCs/>
          <w:lang w:val="fr-FR"/>
        </w:rPr>
        <w:t>en utilisant les cours d</w:t>
      </w:r>
      <w:r w:rsidR="00923E72">
        <w:rPr>
          <w:bCs/>
          <w:lang w:val="fr-FR"/>
        </w:rPr>
        <w:t>’</w:t>
      </w:r>
      <w:r>
        <w:rPr>
          <w:bCs/>
          <w:lang w:val="fr-FR"/>
        </w:rPr>
        <w:t>eau intérieurs</w:t>
      </w:r>
      <w:r w:rsidR="00FF43C6">
        <w:rPr>
          <w:bCs/>
          <w:lang w:val="fr-FR"/>
        </w:rPr>
        <w:t>,</w:t>
      </w:r>
      <w:r>
        <w:rPr>
          <w:bCs/>
          <w:lang w:val="fr-FR"/>
        </w:rPr>
        <w:t xml:space="preserve"> </w:t>
      </w:r>
      <w:r w:rsidRPr="005059B7">
        <w:rPr>
          <w:bCs/>
          <w:lang w:val="fr-FR"/>
        </w:rPr>
        <w:t xml:space="preserve">et que </w:t>
      </w:r>
      <w:r w:rsidR="006E374B">
        <w:rPr>
          <w:bCs/>
          <w:lang w:val="fr-FR"/>
        </w:rPr>
        <w:t>l</w:t>
      </w:r>
      <w:r w:rsidRPr="005059B7">
        <w:rPr>
          <w:bCs/>
          <w:lang w:val="fr-FR"/>
        </w:rPr>
        <w:t xml:space="preserve">a pratique </w:t>
      </w:r>
      <w:r w:rsidR="006E374B">
        <w:rPr>
          <w:bCs/>
          <w:lang w:val="fr-FR"/>
        </w:rPr>
        <w:t xml:space="preserve">inclut </w:t>
      </w:r>
      <w:r w:rsidRPr="005059B7">
        <w:rPr>
          <w:bCs/>
          <w:lang w:val="fr-FR"/>
        </w:rPr>
        <w:t xml:space="preserve">la construction des radeaux, le transport des grumes et </w:t>
      </w:r>
      <w:r w:rsidR="006E374B">
        <w:rPr>
          <w:bCs/>
          <w:lang w:val="fr-FR"/>
        </w:rPr>
        <w:t>une bonne</w:t>
      </w:r>
      <w:r w:rsidRPr="005059B7">
        <w:rPr>
          <w:bCs/>
          <w:lang w:val="fr-FR"/>
        </w:rPr>
        <w:t xml:space="preserve"> connaissance de la nature. Il a précisé que la tradition est entretenue depuis des générations et reste forte</w:t>
      </w:r>
      <w:r w:rsidR="006E374B">
        <w:rPr>
          <w:bCs/>
          <w:lang w:val="fr-FR"/>
        </w:rPr>
        <w:t>ment ancrée</w:t>
      </w:r>
      <w:r w:rsidRPr="005059B7">
        <w:rPr>
          <w:bCs/>
          <w:lang w:val="fr-FR"/>
        </w:rPr>
        <w:t xml:space="preserve"> grâce à la communication orale continue, l</w:t>
      </w:r>
      <w:r w:rsidR="00923E72">
        <w:rPr>
          <w:bCs/>
          <w:lang w:val="fr-FR"/>
        </w:rPr>
        <w:t>’</w:t>
      </w:r>
      <w:r w:rsidRPr="005059B7">
        <w:rPr>
          <w:bCs/>
          <w:lang w:val="fr-FR"/>
        </w:rPr>
        <w:t>observation et</w:t>
      </w:r>
      <w:r w:rsidR="00FE1525">
        <w:rPr>
          <w:bCs/>
          <w:lang w:val="fr-FR"/>
        </w:rPr>
        <w:t xml:space="preserve"> </w:t>
      </w:r>
      <w:r w:rsidRPr="005059B7">
        <w:rPr>
          <w:bCs/>
          <w:lang w:val="fr-FR"/>
        </w:rPr>
        <w:t>la participation, notamment par le biais de camps de jeunes, d</w:t>
      </w:r>
      <w:r w:rsidR="00923E72">
        <w:rPr>
          <w:bCs/>
          <w:lang w:val="fr-FR"/>
        </w:rPr>
        <w:t>’</w:t>
      </w:r>
      <w:r w:rsidRPr="005059B7">
        <w:rPr>
          <w:bCs/>
          <w:lang w:val="fr-FR"/>
        </w:rPr>
        <w:t>écoles locales, de festivals et d</w:t>
      </w:r>
      <w:r w:rsidR="00923E72">
        <w:rPr>
          <w:bCs/>
          <w:lang w:val="fr-FR"/>
        </w:rPr>
        <w:t>’</w:t>
      </w:r>
      <w:r w:rsidRPr="005059B7">
        <w:rPr>
          <w:bCs/>
          <w:lang w:val="fr-FR"/>
        </w:rPr>
        <w:t>ateliers. L</w:t>
      </w:r>
      <w:r w:rsidR="00923E72">
        <w:rPr>
          <w:bCs/>
          <w:lang w:val="fr-FR"/>
        </w:rPr>
        <w:t>’</w:t>
      </w:r>
      <w:r w:rsidRPr="005059B7">
        <w:rPr>
          <w:bCs/>
          <w:lang w:val="fr-FR"/>
        </w:rPr>
        <w:t>Organe d</w:t>
      </w:r>
      <w:r w:rsidR="00923E72">
        <w:rPr>
          <w:bCs/>
          <w:lang w:val="fr-FR"/>
        </w:rPr>
        <w:t>’</w:t>
      </w:r>
      <w:r w:rsidRPr="005059B7">
        <w:rPr>
          <w:bCs/>
          <w:lang w:val="fr-FR"/>
        </w:rPr>
        <w:t>évaluation avait estimé que la candidature satisfaisait à l</w:t>
      </w:r>
      <w:r w:rsidR="00923E72">
        <w:rPr>
          <w:bCs/>
          <w:lang w:val="fr-FR"/>
        </w:rPr>
        <w:t>’</w:t>
      </w:r>
      <w:r w:rsidRPr="005059B7">
        <w:rPr>
          <w:bCs/>
          <w:lang w:val="fr-FR"/>
        </w:rPr>
        <w:t>ensemble des cinq critères. L</w:t>
      </w:r>
      <w:r w:rsidR="00923E72">
        <w:rPr>
          <w:bCs/>
          <w:lang w:val="fr-FR"/>
        </w:rPr>
        <w:t>’</w:t>
      </w:r>
      <w:r w:rsidRPr="005059B7">
        <w:rPr>
          <w:bCs/>
          <w:lang w:val="fr-FR"/>
        </w:rPr>
        <w:t>Organe d</w:t>
      </w:r>
      <w:r w:rsidR="00923E72">
        <w:rPr>
          <w:bCs/>
          <w:lang w:val="fr-FR"/>
        </w:rPr>
        <w:t>’</w:t>
      </w:r>
      <w:r w:rsidRPr="005059B7">
        <w:rPr>
          <w:bCs/>
          <w:lang w:val="fr-FR"/>
        </w:rPr>
        <w:t>évaluation avait également beaucoup apprécié l</w:t>
      </w:r>
      <w:r w:rsidR="00923E72">
        <w:rPr>
          <w:bCs/>
          <w:lang w:val="fr-FR"/>
        </w:rPr>
        <w:t>’</w:t>
      </w:r>
      <w:r w:rsidRPr="005059B7">
        <w:rPr>
          <w:bCs/>
          <w:lang w:val="fr-FR"/>
        </w:rPr>
        <w:t>étroite collaboration lors de la préparation du dossier</w:t>
      </w:r>
      <w:r w:rsidR="007A1D9E">
        <w:rPr>
          <w:bCs/>
          <w:lang w:val="fr-FR"/>
        </w:rPr>
        <w:t>,</w:t>
      </w:r>
      <w:r w:rsidRPr="005059B7">
        <w:rPr>
          <w:bCs/>
          <w:lang w:val="fr-FR"/>
        </w:rPr>
        <w:t xml:space="preserve"> qui constituait une candidature multinationale exemplaire.</w:t>
      </w:r>
    </w:p>
    <w:p w14:paraId="5C2F869E" w14:textId="0E142ED3" w:rsidR="0067073B" w:rsidRPr="00702497" w:rsidRDefault="0067073B" w:rsidP="00702497">
      <w:pPr>
        <w:pStyle w:val="Orateurengris"/>
        <w:numPr>
          <w:ilvl w:val="0"/>
          <w:numId w:val="20"/>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 xml:space="preserve">avait été reçu pour cette candidature, le </w:t>
      </w:r>
      <w:r w:rsidRPr="00C8733E">
        <w:rPr>
          <w:rFonts w:eastAsia="Malgun Gothic"/>
          <w:b/>
          <w:lang w:val="fr-FR"/>
        </w:rPr>
        <w:t>Vice-Président</w:t>
      </w:r>
      <w:r w:rsidRPr="00C8733E">
        <w:rPr>
          <w:rFonts w:eastAsia="Malgun Gothic"/>
          <w:bCs/>
          <w:lang w:val="fr-FR"/>
        </w:rPr>
        <w:t xml:space="preserve"> est donc passé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 xml:space="preserve">objections, le </w:t>
      </w:r>
      <w:r w:rsidR="00FE1525" w:rsidRPr="00702497">
        <w:rPr>
          <w:rFonts w:eastAsia="Malgun Gothic"/>
          <w:b/>
          <w:lang w:val="fr-FR"/>
        </w:rPr>
        <w:t>Vice-</w:t>
      </w:r>
      <w:r w:rsidRPr="00C8733E">
        <w:rPr>
          <w:rFonts w:eastAsia="Malgun Gothic"/>
          <w:b/>
          <w:lang w:val="fr-FR"/>
        </w:rPr>
        <w:t>Président a déclaré adoptée la décision</w:t>
      </w:r>
      <w:r w:rsidR="00FE1525">
        <w:rPr>
          <w:rFonts w:eastAsia="Malgun Gothic"/>
          <w:b/>
          <w:lang w:val="fr-FR"/>
        </w:rPr>
        <w:t> </w:t>
      </w:r>
      <w:r w:rsidR="00751FB1">
        <w:fldChar w:fldCharType="begin"/>
      </w:r>
      <w:r w:rsidR="00751FB1" w:rsidRPr="00751FB1">
        <w:rPr>
          <w:lang w:val="fr-FR"/>
        </w:rPr>
        <w:instrText>HYPERLINK "https://ich.unesco.org/fr/Decisions/17.COM/7.b.41"</w:instrText>
      </w:r>
      <w:r w:rsidR="00751FB1">
        <w:fldChar w:fldCharType="separate"/>
      </w:r>
      <w:r w:rsidRPr="006E3034">
        <w:rPr>
          <w:rStyle w:val="Hyperlink"/>
          <w:b/>
          <w:bCs/>
          <w:lang w:val="fr-FR"/>
        </w:rPr>
        <w:t>17.COM 7.b.41</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 xml:space="preserve">inscrire </w:t>
      </w:r>
      <w:r>
        <w:rPr>
          <w:b/>
          <w:lang w:val="fr-FR"/>
        </w:rPr>
        <w:t xml:space="preserve">le </w:t>
      </w:r>
      <w:proofErr w:type="spellStart"/>
      <w:r>
        <w:rPr>
          <w:b/>
          <w:lang w:val="fr-FR"/>
        </w:rPr>
        <w:t>radelage</w:t>
      </w:r>
      <w:proofErr w:type="spellEnd"/>
      <w:r>
        <w:rPr>
          <w:b/>
          <w:lang w:val="fr-FR"/>
        </w:rPr>
        <w:t xml:space="preserve"> sur la Liste représentative.</w:t>
      </w:r>
    </w:p>
    <w:p w14:paraId="4EF0F584" w14:textId="07140FF0" w:rsidR="0067073B" w:rsidRPr="00702497" w:rsidRDefault="0067073B" w:rsidP="00702497">
      <w:pPr>
        <w:pStyle w:val="Orateurengris"/>
        <w:tabs>
          <w:tab w:val="clear" w:pos="1418"/>
          <w:tab w:val="clear" w:pos="2126"/>
          <w:tab w:val="clear" w:pos="2835"/>
          <w:tab w:val="num" w:pos="709"/>
          <w:tab w:val="left" w:pos="4962"/>
        </w:tabs>
        <w:spacing w:before="120" w:after="0"/>
        <w:ind w:left="709" w:hanging="709"/>
        <w:jc w:val="center"/>
        <w:rPr>
          <w:rFonts w:eastAsia="Malgun Gothic"/>
          <w:bCs/>
          <w:i/>
          <w:iCs/>
          <w:lang w:val="fr-FR"/>
        </w:rPr>
      </w:pPr>
      <w:r w:rsidRPr="00702497">
        <w:rPr>
          <w:rFonts w:eastAsia="Malgun Gothic"/>
          <w:bCs/>
          <w:i/>
          <w:iCs/>
          <w:lang w:val="fr-FR"/>
        </w:rPr>
        <w:t>[Une vidéo de remerciement</w:t>
      </w:r>
      <w:r>
        <w:rPr>
          <w:rFonts w:eastAsia="Malgun Gothic"/>
          <w:bCs/>
          <w:i/>
          <w:iCs/>
          <w:lang w:val="fr-FR"/>
        </w:rPr>
        <w:t>,</w:t>
      </w:r>
      <w:r w:rsidRPr="00702497">
        <w:rPr>
          <w:rFonts w:eastAsia="Malgun Gothic"/>
          <w:bCs/>
          <w:i/>
          <w:iCs/>
          <w:lang w:val="fr-FR"/>
        </w:rPr>
        <w:t xml:space="preserve"> au nom des </w:t>
      </w:r>
      <w:r w:rsidRPr="00702497">
        <w:rPr>
          <w:rFonts w:eastAsia="Malgun Gothic"/>
          <w:bCs/>
          <w:i/>
          <w:iCs/>
          <w:color w:val="000000" w:themeColor="text1"/>
          <w:lang w:val="fr-FR"/>
        </w:rPr>
        <w:t>communautés</w:t>
      </w:r>
      <w:r>
        <w:rPr>
          <w:rFonts w:eastAsia="Malgun Gothic"/>
          <w:bCs/>
          <w:i/>
          <w:iCs/>
          <w:color w:val="000000" w:themeColor="text1"/>
          <w:lang w:val="fr-FR"/>
        </w:rPr>
        <w:t>,</w:t>
      </w:r>
      <w:r w:rsidRPr="00702497">
        <w:rPr>
          <w:rFonts w:eastAsia="Malgun Gothic"/>
          <w:bCs/>
          <w:i/>
          <w:iCs/>
          <w:color w:val="000000" w:themeColor="text1"/>
          <w:lang w:val="fr-FR"/>
        </w:rPr>
        <w:t xml:space="preserve"> a été diffusée]</w:t>
      </w:r>
    </w:p>
    <w:p w14:paraId="7B15FB6E" w14:textId="64C114DE" w:rsidR="0067073B" w:rsidRDefault="00E264C7" w:rsidP="00702497">
      <w:pPr>
        <w:pStyle w:val="Orateurengris"/>
        <w:numPr>
          <w:ilvl w:val="0"/>
          <w:numId w:val="20"/>
        </w:numPr>
        <w:tabs>
          <w:tab w:val="clear" w:pos="567"/>
          <w:tab w:val="num" w:pos="709"/>
        </w:tabs>
        <w:spacing w:before="120"/>
        <w:ind w:left="709" w:hanging="709"/>
        <w:rPr>
          <w:bCs/>
          <w:lang w:val="fr-FR"/>
        </w:rPr>
      </w:pPr>
      <w:r w:rsidRPr="00E264C7">
        <w:rPr>
          <w:bCs/>
          <w:lang w:val="fr-FR"/>
        </w:rPr>
        <w:t xml:space="preserve">La délégation </w:t>
      </w:r>
      <w:r>
        <w:rPr>
          <w:bCs/>
          <w:lang w:val="fr-FR"/>
        </w:rPr>
        <w:t xml:space="preserve">de la </w:t>
      </w:r>
      <w:r w:rsidRPr="00702497">
        <w:rPr>
          <w:b/>
          <w:lang w:val="fr-FR"/>
        </w:rPr>
        <w:t>Pologne</w:t>
      </w:r>
      <w:r w:rsidRPr="00E264C7">
        <w:rPr>
          <w:bCs/>
          <w:lang w:val="fr-FR"/>
        </w:rPr>
        <w:t xml:space="preserve"> a exprimé sa profonde gratitude au Maroc pour son hospitalité et a félicité le Président et </w:t>
      </w:r>
      <w:r w:rsidR="00DF79D4">
        <w:rPr>
          <w:bCs/>
          <w:lang w:val="fr-FR"/>
        </w:rPr>
        <w:t>l</w:t>
      </w:r>
      <w:r w:rsidRPr="00E264C7">
        <w:rPr>
          <w:bCs/>
          <w:lang w:val="fr-FR"/>
        </w:rPr>
        <w:t>es Vice-Président</w:t>
      </w:r>
      <w:r w:rsidR="00DF79D4">
        <w:rPr>
          <w:bCs/>
          <w:lang w:val="fr-FR"/>
        </w:rPr>
        <w:t>(e)</w:t>
      </w:r>
      <w:r w:rsidRPr="00E264C7">
        <w:rPr>
          <w:bCs/>
          <w:lang w:val="fr-FR"/>
        </w:rPr>
        <w:t>s pour leur conduite avisée et compétente de cette session. Elle était également reconnaissante à tous les collègues d</w:t>
      </w:r>
      <w:r w:rsidR="00923E72">
        <w:rPr>
          <w:bCs/>
          <w:lang w:val="fr-FR"/>
        </w:rPr>
        <w:t>’</w:t>
      </w:r>
      <w:r w:rsidRPr="00E264C7">
        <w:rPr>
          <w:bCs/>
          <w:lang w:val="fr-FR"/>
        </w:rPr>
        <w:t>Espagne, d</w:t>
      </w:r>
      <w:r w:rsidR="00923E72">
        <w:rPr>
          <w:bCs/>
          <w:lang w:val="fr-FR"/>
        </w:rPr>
        <w:t>’</w:t>
      </w:r>
      <w:r w:rsidRPr="00E264C7">
        <w:rPr>
          <w:bCs/>
          <w:lang w:val="fr-FR"/>
        </w:rPr>
        <w:t>Allemagne, de Tchéquie, de Lettonie et d</w:t>
      </w:r>
      <w:r w:rsidR="00923E72">
        <w:rPr>
          <w:bCs/>
          <w:lang w:val="fr-FR"/>
        </w:rPr>
        <w:t>’</w:t>
      </w:r>
      <w:r w:rsidRPr="00E264C7">
        <w:rPr>
          <w:bCs/>
          <w:lang w:val="fr-FR"/>
        </w:rPr>
        <w:t>Autriche pour leur excellente coopération et leur amitié</w:t>
      </w:r>
      <w:r w:rsidR="0027035A">
        <w:rPr>
          <w:bCs/>
          <w:lang w:val="fr-FR"/>
        </w:rPr>
        <w:t>,</w:t>
      </w:r>
      <w:r w:rsidRPr="00E264C7">
        <w:rPr>
          <w:bCs/>
          <w:lang w:val="fr-FR"/>
        </w:rPr>
        <w:t xml:space="preserve"> qui avaient abouti à l</w:t>
      </w:r>
      <w:r w:rsidR="00923E72">
        <w:rPr>
          <w:bCs/>
          <w:lang w:val="fr-FR"/>
        </w:rPr>
        <w:t>’</w:t>
      </w:r>
      <w:r w:rsidRPr="00E264C7">
        <w:rPr>
          <w:bCs/>
          <w:lang w:val="fr-FR"/>
        </w:rPr>
        <w:t xml:space="preserve">inscription du </w:t>
      </w:r>
      <w:proofErr w:type="spellStart"/>
      <w:r w:rsidRPr="00E264C7">
        <w:rPr>
          <w:bCs/>
          <w:lang w:val="fr-FR"/>
        </w:rPr>
        <w:t>radelage</w:t>
      </w:r>
      <w:proofErr w:type="spellEnd"/>
      <w:r w:rsidRPr="00E264C7">
        <w:rPr>
          <w:bCs/>
          <w:lang w:val="fr-FR"/>
        </w:rPr>
        <w:t xml:space="preserve">. [Deuxième oratrice] </w:t>
      </w:r>
      <w:r w:rsidR="00DF79D4">
        <w:rPr>
          <w:bCs/>
          <w:lang w:val="fr-FR"/>
        </w:rPr>
        <w:t>M</w:t>
      </w:r>
      <w:r w:rsidR="00DF79D4" w:rsidRPr="00702497">
        <w:rPr>
          <w:bCs/>
          <w:vertAlign w:val="superscript"/>
          <w:lang w:val="fr-FR"/>
        </w:rPr>
        <w:t>me</w:t>
      </w:r>
      <w:r w:rsidR="00DF79D4">
        <w:rPr>
          <w:bCs/>
          <w:lang w:val="fr-FR"/>
        </w:rPr>
        <w:t> </w:t>
      </w:r>
      <w:r w:rsidRPr="00E264C7">
        <w:rPr>
          <w:bCs/>
          <w:lang w:val="fr-FR"/>
        </w:rPr>
        <w:t xml:space="preserve">Joanna </w:t>
      </w:r>
      <w:proofErr w:type="spellStart"/>
      <w:r w:rsidRPr="00E264C7">
        <w:rPr>
          <w:bCs/>
          <w:lang w:val="fr-FR"/>
        </w:rPr>
        <w:t>Cicha-Kuczyńska</w:t>
      </w:r>
      <w:proofErr w:type="spellEnd"/>
      <w:r w:rsidRPr="00E264C7">
        <w:rPr>
          <w:bCs/>
          <w:lang w:val="fr-FR"/>
        </w:rPr>
        <w:t>, coordinatrice du dossier, s</w:t>
      </w:r>
      <w:r w:rsidR="00923E72">
        <w:rPr>
          <w:bCs/>
          <w:lang w:val="fr-FR"/>
        </w:rPr>
        <w:t>’</w:t>
      </w:r>
      <w:r w:rsidRPr="00E264C7">
        <w:rPr>
          <w:bCs/>
          <w:lang w:val="fr-FR"/>
        </w:rPr>
        <w:t>est exprimée au nom des six pays pour remercier le Comité de l</w:t>
      </w:r>
      <w:r w:rsidR="00923E72">
        <w:rPr>
          <w:bCs/>
          <w:lang w:val="fr-FR"/>
        </w:rPr>
        <w:t>’</w:t>
      </w:r>
      <w:r w:rsidRPr="00E264C7">
        <w:rPr>
          <w:bCs/>
          <w:lang w:val="fr-FR"/>
        </w:rPr>
        <w:t xml:space="preserve">inscription du </w:t>
      </w:r>
      <w:proofErr w:type="spellStart"/>
      <w:r w:rsidRPr="00E264C7">
        <w:rPr>
          <w:bCs/>
          <w:lang w:val="fr-FR"/>
        </w:rPr>
        <w:t>radelage</w:t>
      </w:r>
      <w:proofErr w:type="spellEnd"/>
      <w:r w:rsidRPr="00E264C7">
        <w:rPr>
          <w:bCs/>
          <w:lang w:val="fr-FR"/>
        </w:rPr>
        <w:t xml:space="preserve"> sur la Liste représentative. C</w:t>
      </w:r>
      <w:r w:rsidR="00923E72">
        <w:rPr>
          <w:bCs/>
          <w:lang w:val="fr-FR"/>
        </w:rPr>
        <w:t>’</w:t>
      </w:r>
      <w:r w:rsidRPr="00E264C7">
        <w:rPr>
          <w:bCs/>
          <w:lang w:val="fr-FR"/>
        </w:rPr>
        <w:t>était un moment important après plusieurs années d</w:t>
      </w:r>
      <w:r w:rsidR="00923E72">
        <w:rPr>
          <w:bCs/>
          <w:lang w:val="fr-FR"/>
        </w:rPr>
        <w:t>’</w:t>
      </w:r>
      <w:r w:rsidRPr="00E264C7">
        <w:rPr>
          <w:bCs/>
          <w:lang w:val="fr-FR"/>
        </w:rPr>
        <w:t>efforts conjoints, de discussions et de coopération multinationale qui aboutissai</w:t>
      </w:r>
      <w:r w:rsidR="00DF79D4">
        <w:rPr>
          <w:bCs/>
          <w:lang w:val="fr-FR"/>
        </w:rPr>
        <w:t>en</w:t>
      </w:r>
      <w:r w:rsidRPr="00E264C7">
        <w:rPr>
          <w:bCs/>
          <w:lang w:val="fr-FR"/>
        </w:rPr>
        <w:t>t à l</w:t>
      </w:r>
      <w:r w:rsidR="00923E72">
        <w:rPr>
          <w:bCs/>
          <w:lang w:val="fr-FR"/>
        </w:rPr>
        <w:t>’</w:t>
      </w:r>
      <w:r w:rsidRPr="00E264C7">
        <w:rPr>
          <w:bCs/>
          <w:lang w:val="fr-FR"/>
        </w:rPr>
        <w:t>inscription d</w:t>
      </w:r>
      <w:r w:rsidR="00923E72">
        <w:rPr>
          <w:bCs/>
          <w:lang w:val="fr-FR"/>
        </w:rPr>
        <w:t>’</w:t>
      </w:r>
      <w:r w:rsidRPr="00E264C7">
        <w:rPr>
          <w:bCs/>
          <w:lang w:val="fr-FR"/>
        </w:rPr>
        <w:t>une tradition respect</w:t>
      </w:r>
      <w:r w:rsidR="007A1D9E">
        <w:rPr>
          <w:bCs/>
          <w:lang w:val="fr-FR"/>
        </w:rPr>
        <w:t>ueus</w:t>
      </w:r>
      <w:r w:rsidRPr="00E264C7">
        <w:rPr>
          <w:bCs/>
          <w:lang w:val="fr-FR"/>
        </w:rPr>
        <w:t xml:space="preserve">e </w:t>
      </w:r>
      <w:r w:rsidR="007A1D9E">
        <w:rPr>
          <w:bCs/>
          <w:lang w:val="fr-FR"/>
        </w:rPr>
        <w:t>d</w:t>
      </w:r>
      <w:r w:rsidRPr="00E264C7">
        <w:rPr>
          <w:bCs/>
          <w:lang w:val="fr-FR"/>
        </w:rPr>
        <w:t>es ressources naturelles et étroitement liée à l</w:t>
      </w:r>
      <w:r w:rsidR="00923E72">
        <w:rPr>
          <w:bCs/>
          <w:lang w:val="fr-FR"/>
        </w:rPr>
        <w:t>’</w:t>
      </w:r>
      <w:r w:rsidRPr="00E264C7">
        <w:rPr>
          <w:bCs/>
          <w:lang w:val="fr-FR"/>
        </w:rPr>
        <w:t>utilisation durable de la nature. La Convention mettait en lumière des perspectives internationales de compréhension mutuelle et de coopération pour la sauvegarde des traditions transmises de génération en génération. Elle avait eu le grand honneur et le privilège de travailler avec les détenteurs dont le dévouement à la tradition était très émouvant et porteur d</w:t>
      </w:r>
      <w:r w:rsidR="00923E72">
        <w:rPr>
          <w:bCs/>
          <w:lang w:val="fr-FR"/>
        </w:rPr>
        <w:t>’</w:t>
      </w:r>
      <w:r w:rsidRPr="00E264C7">
        <w:rPr>
          <w:bCs/>
          <w:lang w:val="fr-FR"/>
        </w:rPr>
        <w:t>espoir pour la prochaine génération. En tant que coordinatrice, elle les a remerciés pour leur soutien, leur compréhension, leur ouverture et leur volonté de partager leurs expériences, leurs connaissances et leur conscience de l</w:t>
      </w:r>
      <w:r w:rsidR="00923E72">
        <w:rPr>
          <w:bCs/>
          <w:lang w:val="fr-FR"/>
        </w:rPr>
        <w:t>’</w:t>
      </w:r>
      <w:r w:rsidRPr="00E264C7">
        <w:rPr>
          <w:bCs/>
          <w:lang w:val="fr-FR"/>
        </w:rPr>
        <w:t>importance de l</w:t>
      </w:r>
      <w:r w:rsidR="00923E72">
        <w:rPr>
          <w:bCs/>
          <w:lang w:val="fr-FR"/>
        </w:rPr>
        <w:t>’</w:t>
      </w:r>
      <w:r w:rsidRPr="00E264C7">
        <w:rPr>
          <w:bCs/>
          <w:lang w:val="fr-FR"/>
        </w:rPr>
        <w:t>environnement local et des communautés</w:t>
      </w:r>
      <w:r w:rsidR="0027035A">
        <w:rPr>
          <w:bCs/>
          <w:lang w:val="fr-FR"/>
        </w:rPr>
        <w:t>,</w:t>
      </w:r>
      <w:r w:rsidRPr="00E264C7">
        <w:rPr>
          <w:bCs/>
          <w:lang w:val="fr-FR"/>
        </w:rPr>
        <w:t xml:space="preserve"> ainsi que pour leur travail d</w:t>
      </w:r>
      <w:r w:rsidR="00923E72">
        <w:rPr>
          <w:bCs/>
          <w:lang w:val="fr-FR"/>
        </w:rPr>
        <w:t>’</w:t>
      </w:r>
      <w:r w:rsidRPr="00E264C7">
        <w:rPr>
          <w:bCs/>
          <w:lang w:val="fr-FR"/>
        </w:rPr>
        <w:t>équipe.</w:t>
      </w:r>
    </w:p>
    <w:p w14:paraId="26EF4607" w14:textId="7C6F20F1" w:rsidR="00DF79D4" w:rsidRDefault="00DF79D4" w:rsidP="00702497">
      <w:pPr>
        <w:pStyle w:val="Orateurengris"/>
        <w:numPr>
          <w:ilvl w:val="0"/>
          <w:numId w:val="20"/>
        </w:numPr>
        <w:tabs>
          <w:tab w:val="clear" w:pos="567"/>
          <w:tab w:val="num" w:pos="709"/>
        </w:tabs>
        <w:spacing w:before="120"/>
        <w:ind w:left="709" w:hanging="709"/>
        <w:rPr>
          <w:bCs/>
          <w:lang w:val="fr-FR"/>
        </w:rPr>
      </w:pPr>
      <w:r>
        <w:rPr>
          <w:bCs/>
          <w:lang w:val="fr-FR"/>
        </w:rPr>
        <w:t xml:space="preserve">Le </w:t>
      </w:r>
      <w:r w:rsidRPr="00702497">
        <w:rPr>
          <w:b/>
          <w:lang w:val="fr-FR"/>
        </w:rPr>
        <w:t>Vice-Président</w:t>
      </w:r>
      <w:r>
        <w:rPr>
          <w:bCs/>
          <w:lang w:val="fr-FR"/>
        </w:rPr>
        <w:t xml:space="preserve"> a félicité tous les États parties pour leurs </w:t>
      </w:r>
      <w:r w:rsidRPr="00DF79D4">
        <w:rPr>
          <w:bCs/>
          <w:lang w:val="fr-FR"/>
        </w:rPr>
        <w:t>inscriptio</w:t>
      </w:r>
      <w:r>
        <w:rPr>
          <w:bCs/>
          <w:lang w:val="fr-FR"/>
        </w:rPr>
        <w:t>ns et a rappelé aux délégués les événements parallèles. Il a levé la séance du matin.</w:t>
      </w:r>
    </w:p>
    <w:p w14:paraId="4E4FB9EE" w14:textId="77777777" w:rsidR="00DF79D4" w:rsidRDefault="00DF79D4" w:rsidP="00702497">
      <w:pPr>
        <w:pStyle w:val="Orateurengris"/>
        <w:spacing w:before="120"/>
        <w:ind w:left="567" w:hanging="567"/>
        <w:rPr>
          <w:bCs/>
          <w:lang w:val="fr-FR"/>
        </w:rPr>
      </w:pPr>
    </w:p>
    <w:p w14:paraId="7B7F1A5F" w14:textId="5E4A6F60" w:rsidR="00DF79D4" w:rsidRDefault="00DF79D4" w:rsidP="00702497">
      <w:pPr>
        <w:pStyle w:val="Orateurengris"/>
        <w:tabs>
          <w:tab w:val="clear" w:pos="709"/>
          <w:tab w:val="clear" w:pos="1418"/>
          <w:tab w:val="clear" w:pos="2126"/>
          <w:tab w:val="clear" w:pos="2835"/>
          <w:tab w:val="left" w:pos="4962"/>
        </w:tabs>
        <w:spacing w:before="120" w:after="0"/>
        <w:ind w:left="567" w:hanging="567"/>
        <w:jc w:val="center"/>
        <w:rPr>
          <w:rFonts w:eastAsia="Malgun Gothic"/>
          <w:bCs/>
          <w:i/>
          <w:iCs/>
          <w:lang w:val="fr-FR"/>
        </w:rPr>
      </w:pPr>
      <w:r w:rsidRPr="007C2168">
        <w:rPr>
          <w:rFonts w:eastAsia="Malgun Gothic"/>
          <w:bCs/>
          <w:i/>
          <w:iCs/>
          <w:lang w:val="fr-FR"/>
        </w:rPr>
        <w:t>[</w:t>
      </w:r>
      <w:r>
        <w:rPr>
          <w:rFonts w:eastAsia="Malgun Gothic"/>
          <w:bCs/>
          <w:i/>
          <w:iCs/>
          <w:lang w:val="fr-FR"/>
        </w:rPr>
        <w:t>Jeudi</w:t>
      </w:r>
      <w:r w:rsidR="00FE1525">
        <w:rPr>
          <w:rFonts w:eastAsia="Malgun Gothic"/>
          <w:bCs/>
          <w:i/>
          <w:iCs/>
          <w:lang w:val="fr-FR"/>
        </w:rPr>
        <w:t> </w:t>
      </w:r>
      <w:r>
        <w:rPr>
          <w:rFonts w:eastAsia="Malgun Gothic"/>
          <w:bCs/>
          <w:i/>
          <w:iCs/>
          <w:lang w:val="fr-FR"/>
        </w:rPr>
        <w:t>1</w:t>
      </w:r>
      <w:r w:rsidRPr="001758BE">
        <w:rPr>
          <w:rFonts w:eastAsia="Malgun Gothic"/>
          <w:bCs/>
          <w:i/>
          <w:iCs/>
          <w:vertAlign w:val="superscript"/>
          <w:lang w:val="fr-FR"/>
        </w:rPr>
        <w:t>e</w:t>
      </w:r>
      <w:r w:rsidR="00FE1525">
        <w:rPr>
          <w:rFonts w:eastAsia="Malgun Gothic"/>
          <w:bCs/>
          <w:i/>
          <w:iCs/>
          <w:vertAlign w:val="superscript"/>
          <w:lang w:val="fr-FR"/>
        </w:rPr>
        <w:t>r</w:t>
      </w:r>
      <w:r w:rsidR="00FE1525">
        <w:rPr>
          <w:rFonts w:eastAsia="Malgun Gothic"/>
          <w:bCs/>
          <w:i/>
          <w:iCs/>
          <w:lang w:val="fr-FR"/>
        </w:rPr>
        <w:t> </w:t>
      </w:r>
      <w:r>
        <w:rPr>
          <w:rFonts w:eastAsia="Malgun Gothic"/>
          <w:bCs/>
          <w:i/>
          <w:iCs/>
          <w:lang w:val="fr-FR"/>
        </w:rPr>
        <w:t>déc</w:t>
      </w:r>
      <w:r w:rsidRPr="007C2168">
        <w:rPr>
          <w:rFonts w:eastAsia="Malgun Gothic"/>
          <w:bCs/>
          <w:i/>
          <w:iCs/>
          <w:lang w:val="fr-FR"/>
        </w:rPr>
        <w:t>embre</w:t>
      </w:r>
      <w:r w:rsidR="00FE1525">
        <w:rPr>
          <w:rFonts w:eastAsia="Malgun Gothic"/>
          <w:bCs/>
          <w:i/>
          <w:iCs/>
          <w:lang w:val="fr-FR"/>
        </w:rPr>
        <w:t> </w:t>
      </w:r>
      <w:r w:rsidRPr="007C2168">
        <w:rPr>
          <w:rFonts w:eastAsia="Malgun Gothic"/>
          <w:bCs/>
          <w:i/>
          <w:iCs/>
          <w:lang w:val="fr-FR"/>
        </w:rPr>
        <w:t>2022, séance d</w:t>
      </w:r>
      <w:r>
        <w:rPr>
          <w:rFonts w:eastAsia="Malgun Gothic"/>
          <w:bCs/>
          <w:i/>
          <w:iCs/>
          <w:lang w:val="fr-FR"/>
        </w:rPr>
        <w:t>e l</w:t>
      </w:r>
      <w:r w:rsidR="00923E72">
        <w:rPr>
          <w:rFonts w:eastAsia="Malgun Gothic"/>
          <w:bCs/>
          <w:i/>
          <w:iCs/>
          <w:lang w:val="fr-FR"/>
        </w:rPr>
        <w:t>’</w:t>
      </w:r>
      <w:r>
        <w:rPr>
          <w:rFonts w:eastAsia="Malgun Gothic"/>
          <w:bCs/>
          <w:i/>
          <w:iCs/>
          <w:lang w:val="fr-FR"/>
        </w:rPr>
        <w:t>après-midi</w:t>
      </w:r>
      <w:r w:rsidRPr="007C2168">
        <w:rPr>
          <w:rFonts w:eastAsia="Malgun Gothic"/>
          <w:bCs/>
          <w:i/>
          <w:iCs/>
          <w:lang w:val="fr-FR"/>
        </w:rPr>
        <w:t>]</w:t>
      </w:r>
    </w:p>
    <w:p w14:paraId="5623A0A0" w14:textId="77777777" w:rsidR="00DF79D4" w:rsidRPr="007C2168" w:rsidRDefault="00DF79D4" w:rsidP="00702497">
      <w:pPr>
        <w:pStyle w:val="Orateurengris"/>
        <w:tabs>
          <w:tab w:val="clear" w:pos="709"/>
          <w:tab w:val="clear" w:pos="1418"/>
          <w:tab w:val="clear" w:pos="2126"/>
          <w:tab w:val="clear" w:pos="2835"/>
          <w:tab w:val="left" w:pos="4962"/>
        </w:tabs>
        <w:spacing w:before="120" w:after="0"/>
        <w:ind w:left="567" w:hanging="567"/>
        <w:rPr>
          <w:rFonts w:eastAsia="Malgun Gothic"/>
          <w:bCs/>
          <w:i/>
          <w:iCs/>
          <w:lang w:val="fr-FR"/>
        </w:rPr>
      </w:pPr>
    </w:p>
    <w:p w14:paraId="2FD60C8B" w14:textId="689F90D6" w:rsidR="00DF79D4" w:rsidRPr="006E3034" w:rsidRDefault="00DF79D4" w:rsidP="00702497">
      <w:pPr>
        <w:pStyle w:val="Orateurengris"/>
        <w:tabs>
          <w:tab w:val="clear" w:pos="709"/>
          <w:tab w:val="clear" w:pos="1418"/>
          <w:tab w:val="clear" w:pos="2126"/>
          <w:tab w:val="clear" w:pos="2835"/>
          <w:tab w:val="left" w:pos="4962"/>
        </w:tabs>
        <w:spacing w:before="120" w:after="0"/>
        <w:ind w:left="567" w:hanging="567"/>
        <w:jc w:val="left"/>
        <w:rPr>
          <w:rFonts w:eastAsia="Malgun Gothic"/>
          <w:bCs/>
          <w:i/>
          <w:iCs/>
          <w:lang w:val="fr-FR"/>
        </w:rPr>
      </w:pPr>
      <w:r w:rsidRPr="007011DE">
        <w:rPr>
          <w:b/>
          <w:color w:val="000000" w:themeColor="text1"/>
          <w:u w:val="single"/>
          <w:lang w:val="fr-FR"/>
        </w:rPr>
        <w:t>POINT</w:t>
      </w:r>
      <w:r w:rsidR="0073323E">
        <w:rPr>
          <w:b/>
          <w:color w:val="000000" w:themeColor="text1"/>
          <w:u w:val="single"/>
          <w:lang w:val="fr-FR"/>
        </w:rPr>
        <w:t> </w:t>
      </w:r>
      <w:r w:rsidRPr="007011DE">
        <w:rPr>
          <w:b/>
          <w:color w:val="000000" w:themeColor="text1"/>
          <w:u w:val="single"/>
          <w:lang w:val="fr-FR"/>
        </w:rPr>
        <w:t>7.</w:t>
      </w:r>
      <w:r>
        <w:rPr>
          <w:b/>
          <w:color w:val="000000" w:themeColor="text1"/>
          <w:u w:val="single"/>
          <w:lang w:val="fr-FR"/>
        </w:rPr>
        <w:t>b</w:t>
      </w:r>
      <w:r w:rsidRPr="007011DE">
        <w:rPr>
          <w:b/>
          <w:color w:val="000000" w:themeColor="text1"/>
          <w:u w:val="single"/>
          <w:lang w:val="fr-FR"/>
        </w:rPr>
        <w:t xml:space="preserve"> DE L</w:t>
      </w:r>
      <w:r w:rsidR="00923E72">
        <w:rPr>
          <w:b/>
          <w:color w:val="000000" w:themeColor="text1"/>
          <w:u w:val="single"/>
          <w:lang w:val="fr-FR"/>
        </w:rPr>
        <w:t>’</w:t>
      </w:r>
      <w:r w:rsidRPr="007011DE">
        <w:rPr>
          <w:b/>
          <w:color w:val="000000" w:themeColor="text1"/>
          <w:u w:val="single"/>
          <w:lang w:val="fr-FR"/>
        </w:rPr>
        <w:t>ORDRE DU JOUR [SUITE]</w:t>
      </w:r>
      <w:r>
        <w:rPr>
          <w:b/>
          <w:color w:val="000000" w:themeColor="text1"/>
          <w:lang w:val="fr-FR"/>
        </w:rPr>
        <w:t> :</w:t>
      </w:r>
    </w:p>
    <w:p w14:paraId="41ABF1FC" w14:textId="4C844F36" w:rsidR="00DF79D4" w:rsidRPr="005F051B" w:rsidRDefault="00DF79D4"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5F051B">
        <w:rPr>
          <w:rFonts w:eastAsiaTheme="minorHAnsi"/>
          <w:b/>
          <w:color w:val="000000" w:themeColor="text1"/>
        </w:rPr>
        <w:t>E</w:t>
      </w:r>
      <w:r>
        <w:rPr>
          <w:rFonts w:eastAsiaTheme="minorHAnsi"/>
          <w:b/>
          <w:color w:val="000000" w:themeColor="text1"/>
        </w:rPr>
        <w:t xml:space="preserve">XAMEN DES </w:t>
      </w:r>
      <w:r w:rsidRPr="005F051B">
        <w:rPr>
          <w:rFonts w:eastAsiaTheme="minorHAnsi"/>
          <w:b/>
          <w:color w:val="000000" w:themeColor="text1"/>
        </w:rPr>
        <w:t>CANDIDATUR</w:t>
      </w:r>
      <w:r>
        <w:rPr>
          <w:rFonts w:eastAsiaTheme="minorHAnsi"/>
          <w:b/>
          <w:color w:val="000000" w:themeColor="text1"/>
        </w:rPr>
        <w:t xml:space="preserve">ES POUR </w:t>
      </w:r>
      <w:r w:rsidRPr="005F051B">
        <w:rPr>
          <w:rFonts w:eastAsiaTheme="minorHAnsi"/>
          <w:b/>
          <w:color w:val="000000" w:themeColor="text1"/>
        </w:rPr>
        <w:t>INSCRIPTION</w:t>
      </w:r>
      <w:r>
        <w:rPr>
          <w:rFonts w:eastAsiaTheme="minorHAnsi"/>
          <w:b/>
          <w:color w:val="000000" w:themeColor="text1"/>
        </w:rPr>
        <w:t xml:space="preserve"> SUR LA LISTE REPRÉSENTATIVE DU</w:t>
      </w:r>
      <w:r w:rsidR="00FE1525">
        <w:rPr>
          <w:rFonts w:eastAsiaTheme="minorHAnsi"/>
          <w:b/>
          <w:color w:val="000000" w:themeColor="text1"/>
        </w:rPr>
        <w:t xml:space="preserve"> </w:t>
      </w:r>
      <w:r>
        <w:rPr>
          <w:rFonts w:eastAsiaTheme="minorHAnsi"/>
          <w:b/>
          <w:color w:val="000000" w:themeColor="text1"/>
        </w:rPr>
        <w:t>PATRIMOINE CULTUREL IMMATÉRIEL DE L</w:t>
      </w:r>
      <w:r w:rsidR="00923E72">
        <w:rPr>
          <w:rFonts w:eastAsiaTheme="minorHAnsi"/>
          <w:b/>
          <w:color w:val="000000" w:themeColor="text1"/>
        </w:rPr>
        <w:t>’</w:t>
      </w:r>
      <w:r>
        <w:rPr>
          <w:rFonts w:eastAsiaTheme="minorHAnsi"/>
          <w:b/>
          <w:color w:val="000000" w:themeColor="text1"/>
        </w:rPr>
        <w:t>HUMANITÉ</w:t>
      </w:r>
    </w:p>
    <w:p w14:paraId="3885AE5E" w14:textId="1B37E2A3" w:rsidR="00DF79D4" w:rsidRDefault="00DF79D4" w:rsidP="00702497">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sidR="008B7C81">
        <w:rPr>
          <w:b/>
          <w:lang w:val="fr-FR"/>
        </w:rPr>
        <w:t xml:space="preserve"> de la Suisse</w:t>
      </w:r>
      <w:r>
        <w:rPr>
          <w:bCs/>
          <w:lang w:val="fr-FR"/>
        </w:rPr>
        <w:t xml:space="preserve"> a souhaité la bienvenue aux délégués pour cette séance de l</w:t>
      </w:r>
      <w:r w:rsidR="00923E72">
        <w:rPr>
          <w:bCs/>
          <w:lang w:val="fr-FR"/>
        </w:rPr>
        <w:t>’</w:t>
      </w:r>
      <w:r>
        <w:rPr>
          <w:bCs/>
          <w:lang w:val="fr-FR"/>
        </w:rPr>
        <w:t xml:space="preserve">après-midi. Elle a indiqué que le </w:t>
      </w:r>
      <w:r w:rsidRPr="00DF79D4">
        <w:rPr>
          <w:bCs/>
          <w:color w:val="000000" w:themeColor="text1"/>
          <w:lang w:val="fr-FR"/>
        </w:rPr>
        <w:t>Comité</w:t>
      </w:r>
      <w:r>
        <w:rPr>
          <w:bCs/>
          <w:color w:val="000000" w:themeColor="text1"/>
          <w:lang w:val="fr-FR"/>
        </w:rPr>
        <w:t xml:space="preserve"> avait mené à bien l</w:t>
      </w:r>
      <w:r w:rsidR="00923E72">
        <w:rPr>
          <w:bCs/>
          <w:color w:val="000000" w:themeColor="text1"/>
          <w:lang w:val="fr-FR"/>
        </w:rPr>
        <w:t>’</w:t>
      </w:r>
      <w:r>
        <w:rPr>
          <w:bCs/>
          <w:color w:val="000000" w:themeColor="text1"/>
          <w:lang w:val="fr-FR"/>
        </w:rPr>
        <w:t xml:space="preserve">examen de </w:t>
      </w:r>
      <w:r w:rsidR="007428A4">
        <w:rPr>
          <w:bCs/>
          <w:color w:val="000000" w:themeColor="text1"/>
          <w:lang w:val="fr-FR"/>
        </w:rPr>
        <w:t>dix</w:t>
      </w:r>
      <w:r w:rsidR="00FE1525">
        <w:rPr>
          <w:bCs/>
          <w:color w:val="000000" w:themeColor="text1"/>
          <w:lang w:val="fr-FR"/>
        </w:rPr>
        <w:noBreakHyphen/>
      </w:r>
      <w:r w:rsidR="007428A4">
        <w:rPr>
          <w:bCs/>
          <w:color w:val="000000" w:themeColor="text1"/>
          <w:lang w:val="fr-FR"/>
        </w:rPr>
        <w:t>sept</w:t>
      </w:r>
      <w:r>
        <w:rPr>
          <w:bCs/>
          <w:color w:val="000000" w:themeColor="text1"/>
          <w:lang w:val="fr-FR"/>
        </w:rPr>
        <w:t xml:space="preserve"> </w:t>
      </w:r>
      <w:r w:rsidRPr="00DF79D4">
        <w:rPr>
          <w:bCs/>
          <w:color w:val="000000" w:themeColor="text1"/>
          <w:lang w:val="fr-FR"/>
        </w:rPr>
        <w:t>candidatur</w:t>
      </w:r>
      <w:r>
        <w:rPr>
          <w:bCs/>
          <w:color w:val="000000" w:themeColor="text1"/>
          <w:lang w:val="fr-FR"/>
        </w:rPr>
        <w:t xml:space="preserve">es pour </w:t>
      </w:r>
      <w:r w:rsidRPr="00DF79D4">
        <w:rPr>
          <w:bCs/>
          <w:color w:val="000000" w:themeColor="text1"/>
          <w:lang w:val="fr-FR"/>
        </w:rPr>
        <w:t>inscription</w:t>
      </w:r>
      <w:r>
        <w:rPr>
          <w:bCs/>
          <w:color w:val="000000" w:themeColor="text1"/>
          <w:lang w:val="fr-FR"/>
        </w:rPr>
        <w:t xml:space="preserve"> sur la Liste représentative au cours de la séance du matin</w:t>
      </w:r>
      <w:r w:rsidR="007428A4">
        <w:rPr>
          <w:bCs/>
          <w:color w:val="000000" w:themeColor="text1"/>
          <w:lang w:val="fr-FR"/>
        </w:rPr>
        <w:t>. Elle a félicité tous les États qui avaient inscrits des éléments sur l</w:t>
      </w:r>
      <w:r w:rsidR="006636CD">
        <w:rPr>
          <w:bCs/>
          <w:color w:val="000000" w:themeColor="text1"/>
          <w:lang w:val="fr-FR"/>
        </w:rPr>
        <w:t>a</w:t>
      </w:r>
      <w:r w:rsidR="007428A4">
        <w:rPr>
          <w:bCs/>
          <w:color w:val="000000" w:themeColor="text1"/>
          <w:lang w:val="fr-FR"/>
        </w:rPr>
        <w:t xml:space="preserve"> Liste représentative et a précisé qu</w:t>
      </w:r>
      <w:r w:rsidR="00923E72">
        <w:rPr>
          <w:bCs/>
          <w:color w:val="000000" w:themeColor="text1"/>
          <w:lang w:val="fr-FR"/>
        </w:rPr>
        <w:t>’</w:t>
      </w:r>
      <w:r w:rsidR="007428A4">
        <w:rPr>
          <w:bCs/>
          <w:color w:val="000000" w:themeColor="text1"/>
          <w:lang w:val="fr-FR"/>
        </w:rPr>
        <w:t xml:space="preserve">il restait quatre </w:t>
      </w:r>
      <w:r w:rsidR="007428A4" w:rsidRPr="007428A4">
        <w:rPr>
          <w:bCs/>
          <w:color w:val="000000" w:themeColor="text1"/>
          <w:lang w:val="fr-FR"/>
        </w:rPr>
        <w:t>candidatur</w:t>
      </w:r>
      <w:r w:rsidR="007428A4">
        <w:rPr>
          <w:bCs/>
          <w:color w:val="000000" w:themeColor="text1"/>
          <w:lang w:val="fr-FR"/>
        </w:rPr>
        <w:t>es à examiner.</w:t>
      </w:r>
    </w:p>
    <w:p w14:paraId="46E98BAD" w14:textId="67129DFB" w:rsidR="00DF79D4" w:rsidRDefault="007428A4" w:rsidP="00702497">
      <w:pPr>
        <w:pStyle w:val="Orateurengris"/>
        <w:numPr>
          <w:ilvl w:val="0"/>
          <w:numId w:val="20"/>
        </w:numPr>
        <w:tabs>
          <w:tab w:val="clear" w:pos="567"/>
        </w:tabs>
        <w:spacing w:before="120"/>
        <w:ind w:left="709" w:hanging="709"/>
        <w:rPr>
          <w:bCs/>
          <w:lang w:val="fr-FR"/>
        </w:rPr>
      </w:pPr>
      <w:r w:rsidRPr="007428A4">
        <w:rPr>
          <w:bCs/>
          <w:lang w:val="fr-FR"/>
        </w:rPr>
        <w:t xml:space="preserve">La </w:t>
      </w:r>
      <w:r w:rsidRPr="00702497">
        <w:rPr>
          <w:b/>
          <w:lang w:val="fr-FR"/>
        </w:rPr>
        <w:t>Vice-Présidente de l</w:t>
      </w:r>
      <w:r w:rsidR="00923E72">
        <w:rPr>
          <w:b/>
          <w:lang w:val="fr-FR"/>
        </w:rPr>
        <w:t>’</w:t>
      </w:r>
      <w:r w:rsidRPr="00702497">
        <w:rPr>
          <w:b/>
          <w:lang w:val="fr-FR"/>
        </w:rPr>
        <w:t>Organe d</w:t>
      </w:r>
      <w:r w:rsidR="00923E72">
        <w:rPr>
          <w:b/>
          <w:lang w:val="fr-FR"/>
        </w:rPr>
        <w:t>’</w:t>
      </w:r>
      <w:r w:rsidRPr="00702497">
        <w:rPr>
          <w:b/>
          <w:lang w:val="fr-FR"/>
        </w:rPr>
        <w:t>évaluation</w:t>
      </w:r>
      <w:r w:rsidRPr="007428A4">
        <w:rPr>
          <w:bCs/>
          <w:lang w:val="fr-FR"/>
        </w:rPr>
        <w:t xml:space="preserve"> a présenté le dossier de candidature suivant, </w:t>
      </w:r>
      <w:r w:rsidRPr="00702497">
        <w:rPr>
          <w:b/>
          <w:lang w:val="fr-FR"/>
        </w:rPr>
        <w:t xml:space="preserve">la culture du </w:t>
      </w:r>
      <w:proofErr w:type="spellStart"/>
      <w:r w:rsidRPr="00702497">
        <w:rPr>
          <w:b/>
          <w:lang w:val="fr-FR"/>
        </w:rPr>
        <w:t>pehlevanliq</w:t>
      </w:r>
      <w:proofErr w:type="spellEnd"/>
      <w:r w:rsidRPr="00702497">
        <w:rPr>
          <w:b/>
          <w:lang w:val="fr-FR"/>
        </w:rPr>
        <w:t xml:space="preserve"> : jeux, sports et lutte traditionnels de </w:t>
      </w:r>
      <w:proofErr w:type="spellStart"/>
      <w:r w:rsidRPr="00702497">
        <w:rPr>
          <w:b/>
          <w:lang w:val="fr-FR"/>
        </w:rPr>
        <w:t>zorkhana</w:t>
      </w:r>
      <w:proofErr w:type="spellEnd"/>
      <w:r w:rsidRPr="007428A4">
        <w:rPr>
          <w:bCs/>
          <w:lang w:val="fr-FR"/>
        </w:rPr>
        <w:t xml:space="preserve"> [projet de décision</w:t>
      </w:r>
      <w:r w:rsidR="00FE1525">
        <w:rPr>
          <w:bCs/>
          <w:lang w:val="fr-FR"/>
        </w:rPr>
        <w:t> </w:t>
      </w:r>
      <w:r w:rsidRPr="007428A4">
        <w:rPr>
          <w:bCs/>
          <w:lang w:val="fr-FR"/>
        </w:rPr>
        <w:t>7.b.42], soumis par l</w:t>
      </w:r>
      <w:r w:rsidR="00923E72">
        <w:rPr>
          <w:bCs/>
          <w:lang w:val="fr-FR"/>
        </w:rPr>
        <w:t>’</w:t>
      </w:r>
      <w:r w:rsidRPr="00702497">
        <w:rPr>
          <w:b/>
          <w:lang w:val="fr-FR"/>
        </w:rPr>
        <w:t>Azerbaïdjan</w:t>
      </w:r>
      <w:r w:rsidRPr="007428A4">
        <w:rPr>
          <w:bCs/>
          <w:lang w:val="fr-FR"/>
        </w:rPr>
        <w:t xml:space="preserve">, expliquant que </w:t>
      </w:r>
      <w:r>
        <w:rPr>
          <w:bCs/>
          <w:lang w:val="fr-FR"/>
        </w:rPr>
        <w:t>l</w:t>
      </w:r>
      <w:r w:rsidRPr="007428A4">
        <w:rPr>
          <w:bCs/>
          <w:lang w:val="fr-FR"/>
        </w:rPr>
        <w:t xml:space="preserve">a culture des </w:t>
      </w:r>
      <w:proofErr w:type="spellStart"/>
      <w:r w:rsidRPr="007428A4">
        <w:rPr>
          <w:bCs/>
          <w:lang w:val="fr-FR"/>
        </w:rPr>
        <w:t>p</w:t>
      </w:r>
      <w:r>
        <w:rPr>
          <w:bCs/>
          <w:lang w:val="fr-FR"/>
        </w:rPr>
        <w:t>e</w:t>
      </w:r>
      <w:r w:rsidRPr="007428A4">
        <w:rPr>
          <w:bCs/>
          <w:lang w:val="fr-FR"/>
        </w:rPr>
        <w:t>hlevans</w:t>
      </w:r>
      <w:proofErr w:type="spellEnd"/>
      <w:r w:rsidRPr="007428A4">
        <w:rPr>
          <w:bCs/>
          <w:lang w:val="fr-FR"/>
        </w:rPr>
        <w:t xml:space="preserve"> (</w:t>
      </w:r>
      <w:proofErr w:type="spellStart"/>
      <w:r w:rsidRPr="007428A4">
        <w:rPr>
          <w:bCs/>
          <w:lang w:val="fr-FR"/>
        </w:rPr>
        <w:t>pehlevanliq</w:t>
      </w:r>
      <w:proofErr w:type="spellEnd"/>
      <w:r w:rsidRPr="007428A4">
        <w:rPr>
          <w:bCs/>
          <w:lang w:val="fr-FR"/>
        </w:rPr>
        <w:t>) fait référence à une variété de performances physiques, d</w:t>
      </w:r>
      <w:r w:rsidR="00923E72">
        <w:rPr>
          <w:bCs/>
          <w:lang w:val="fr-FR"/>
        </w:rPr>
        <w:t>’</w:t>
      </w:r>
      <w:r w:rsidRPr="007428A4">
        <w:rPr>
          <w:bCs/>
          <w:lang w:val="fr-FR"/>
        </w:rPr>
        <w:t>entraînements et de compétitions traditionne</w:t>
      </w:r>
      <w:r>
        <w:rPr>
          <w:bCs/>
          <w:lang w:val="fr-FR"/>
        </w:rPr>
        <w:t xml:space="preserve">ls </w:t>
      </w:r>
      <w:r w:rsidRPr="007428A4">
        <w:rPr>
          <w:bCs/>
          <w:lang w:val="fr-FR"/>
        </w:rPr>
        <w:t xml:space="preserve">pratiqués et transmis de génération en génération par les </w:t>
      </w:r>
      <w:r>
        <w:rPr>
          <w:bCs/>
          <w:lang w:val="fr-FR"/>
        </w:rPr>
        <w:t>« </w:t>
      </w:r>
      <w:proofErr w:type="spellStart"/>
      <w:r w:rsidRPr="007428A4">
        <w:rPr>
          <w:bCs/>
          <w:lang w:val="fr-FR"/>
        </w:rPr>
        <w:t>pehlevans</w:t>
      </w:r>
      <w:proofErr w:type="spellEnd"/>
      <w:r>
        <w:rPr>
          <w:bCs/>
          <w:lang w:val="fr-FR"/>
        </w:rPr>
        <w:t> »</w:t>
      </w:r>
      <w:r w:rsidRPr="007428A4">
        <w:rPr>
          <w:bCs/>
          <w:lang w:val="fr-FR"/>
        </w:rPr>
        <w:t xml:space="preserve"> (athlètes/lutteurs traditionnels) et qu</w:t>
      </w:r>
      <w:r w:rsidR="00923E72">
        <w:rPr>
          <w:bCs/>
          <w:lang w:val="fr-FR"/>
        </w:rPr>
        <w:t>’</w:t>
      </w:r>
      <w:r>
        <w:rPr>
          <w:bCs/>
          <w:lang w:val="fr-FR"/>
        </w:rPr>
        <w:t>elle</w:t>
      </w:r>
      <w:r w:rsidRPr="007428A4">
        <w:rPr>
          <w:bCs/>
          <w:lang w:val="fr-FR"/>
        </w:rPr>
        <w:t xml:space="preserve"> comprend les jeux et sports </w:t>
      </w:r>
      <w:r>
        <w:rPr>
          <w:bCs/>
          <w:lang w:val="fr-FR"/>
        </w:rPr>
        <w:t xml:space="preserve">de </w:t>
      </w:r>
      <w:proofErr w:type="spellStart"/>
      <w:r w:rsidRPr="007428A4">
        <w:rPr>
          <w:bCs/>
          <w:lang w:val="fr-FR"/>
        </w:rPr>
        <w:t>zorkhana</w:t>
      </w:r>
      <w:proofErr w:type="spellEnd"/>
      <w:r w:rsidRPr="007428A4">
        <w:rPr>
          <w:bCs/>
          <w:lang w:val="fr-FR"/>
        </w:rPr>
        <w:t xml:space="preserve">, la lutte </w:t>
      </w:r>
      <w:proofErr w:type="spellStart"/>
      <w:r w:rsidRPr="007428A4">
        <w:rPr>
          <w:bCs/>
          <w:lang w:val="fr-FR"/>
        </w:rPr>
        <w:t>pehlevan</w:t>
      </w:r>
      <w:proofErr w:type="spellEnd"/>
      <w:r w:rsidR="00FE1525">
        <w:rPr>
          <w:bCs/>
          <w:lang w:val="fr-FR"/>
        </w:rPr>
        <w:t xml:space="preserve"> et</w:t>
      </w:r>
      <w:r w:rsidRPr="007428A4">
        <w:rPr>
          <w:bCs/>
          <w:lang w:val="fr-FR"/>
        </w:rPr>
        <w:t xml:space="preserve"> les représentatio</w:t>
      </w:r>
      <w:r>
        <w:rPr>
          <w:bCs/>
          <w:lang w:val="fr-FR"/>
        </w:rPr>
        <w:t xml:space="preserve">ns </w:t>
      </w:r>
      <w:proofErr w:type="spellStart"/>
      <w:r w:rsidRPr="007428A4">
        <w:rPr>
          <w:bCs/>
          <w:lang w:val="fr-FR"/>
        </w:rPr>
        <w:t>pehlevan</w:t>
      </w:r>
      <w:proofErr w:type="spellEnd"/>
      <w:r w:rsidRPr="007428A4">
        <w:rPr>
          <w:bCs/>
          <w:lang w:val="fr-FR"/>
        </w:rPr>
        <w:t xml:space="preserve"> lors de célébrations en plein air </w:t>
      </w:r>
      <w:r w:rsidRPr="007428A4">
        <w:rPr>
          <w:bCs/>
          <w:lang w:val="fr-FR"/>
        </w:rPr>
        <w:lastRenderedPageBreak/>
        <w:t>et divers événements populaires. L</w:t>
      </w:r>
      <w:r w:rsidR="00923E72">
        <w:rPr>
          <w:bCs/>
          <w:lang w:val="fr-FR"/>
        </w:rPr>
        <w:t>’</w:t>
      </w:r>
      <w:r w:rsidRPr="007428A4">
        <w:rPr>
          <w:bCs/>
          <w:lang w:val="fr-FR"/>
        </w:rPr>
        <w:t>Organe d</w:t>
      </w:r>
      <w:r w:rsidR="00923E72">
        <w:rPr>
          <w:bCs/>
          <w:lang w:val="fr-FR"/>
        </w:rPr>
        <w:t>’</w:t>
      </w:r>
      <w:r w:rsidRPr="007428A4">
        <w:rPr>
          <w:bCs/>
          <w:lang w:val="fr-FR"/>
        </w:rPr>
        <w:t>évaluation avait estimé que la candidature satisfaisait à l</w:t>
      </w:r>
      <w:r w:rsidR="00923E72">
        <w:rPr>
          <w:bCs/>
          <w:lang w:val="fr-FR"/>
        </w:rPr>
        <w:t>’</w:t>
      </w:r>
      <w:r w:rsidRPr="007428A4">
        <w:rPr>
          <w:bCs/>
          <w:lang w:val="fr-FR"/>
        </w:rPr>
        <w:t>ensemble des cinq critères. Le dossier expliquait que l</w:t>
      </w:r>
      <w:r w:rsidR="00923E72">
        <w:rPr>
          <w:bCs/>
          <w:lang w:val="fr-FR"/>
        </w:rPr>
        <w:t>’</w:t>
      </w:r>
      <w:r w:rsidRPr="007428A4">
        <w:rPr>
          <w:bCs/>
          <w:lang w:val="fr-FR"/>
        </w:rPr>
        <w:t>élément contribue à l</w:t>
      </w:r>
      <w:r w:rsidR="00923E72">
        <w:rPr>
          <w:bCs/>
          <w:lang w:val="fr-FR"/>
        </w:rPr>
        <w:t>’</w:t>
      </w:r>
      <w:r w:rsidRPr="007428A4">
        <w:rPr>
          <w:bCs/>
          <w:lang w:val="fr-FR"/>
        </w:rPr>
        <w:t>amélioration de la santé et du bien-être physique et mental. Les mesures de sauvegarde proposées avaient été élaborées avec la participation des communautés concernées dès les premières étapes de la préparation de la candidature. En conclusion, l</w:t>
      </w:r>
      <w:r w:rsidR="00923E72">
        <w:rPr>
          <w:bCs/>
          <w:lang w:val="fr-FR"/>
        </w:rPr>
        <w:t>’</w:t>
      </w:r>
      <w:r w:rsidRPr="007428A4">
        <w:rPr>
          <w:bCs/>
          <w:lang w:val="fr-FR"/>
        </w:rPr>
        <w:t>Organe d</w:t>
      </w:r>
      <w:r w:rsidR="00923E72">
        <w:rPr>
          <w:bCs/>
          <w:lang w:val="fr-FR"/>
        </w:rPr>
        <w:t>’</w:t>
      </w:r>
      <w:r w:rsidRPr="007428A4">
        <w:rPr>
          <w:bCs/>
          <w:lang w:val="fr-FR"/>
        </w:rPr>
        <w:t>évaluation recommandait l</w:t>
      </w:r>
      <w:r w:rsidR="00923E72">
        <w:rPr>
          <w:bCs/>
          <w:lang w:val="fr-FR"/>
        </w:rPr>
        <w:t>’</w:t>
      </w:r>
      <w:r w:rsidRPr="007428A4">
        <w:rPr>
          <w:bCs/>
          <w:lang w:val="fr-FR"/>
        </w:rPr>
        <w:t>inscription de l</w:t>
      </w:r>
      <w:r w:rsidR="00923E72">
        <w:rPr>
          <w:bCs/>
          <w:lang w:val="fr-FR"/>
        </w:rPr>
        <w:t>’</w:t>
      </w:r>
      <w:r w:rsidRPr="007428A4">
        <w:rPr>
          <w:bCs/>
          <w:lang w:val="fr-FR"/>
        </w:rPr>
        <w:t>élément.</w:t>
      </w:r>
    </w:p>
    <w:p w14:paraId="302ED069" w14:textId="68316D44" w:rsidR="004F74A6" w:rsidRPr="001758BE" w:rsidRDefault="004F74A6"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pour cette candidature,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FE1525">
        <w:rPr>
          <w:rFonts w:eastAsia="Malgun Gothic"/>
          <w:b/>
          <w:lang w:val="fr-FR"/>
        </w:rPr>
        <w:t> </w:t>
      </w:r>
      <w:r w:rsidR="00751FB1">
        <w:fldChar w:fldCharType="begin"/>
      </w:r>
      <w:r w:rsidR="00751FB1" w:rsidRPr="00751FB1">
        <w:rPr>
          <w:lang w:val="fr-FR"/>
        </w:rPr>
        <w:instrText>HYPERLINK "https://ich.unesco.org/fr/Decisions/17.COM/7.b.42"</w:instrText>
      </w:r>
      <w:r w:rsidR="00751FB1">
        <w:fldChar w:fldCharType="separate"/>
      </w:r>
      <w:r w:rsidRPr="006E3034">
        <w:rPr>
          <w:rStyle w:val="Hyperlink"/>
          <w:b/>
          <w:bCs/>
          <w:lang w:val="fr-FR"/>
        </w:rPr>
        <w:t>17.COM 7.b.42</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 xml:space="preserve">inscrire </w:t>
      </w:r>
      <w:r w:rsidRPr="001758BE">
        <w:rPr>
          <w:b/>
          <w:lang w:val="fr-FR"/>
        </w:rPr>
        <w:t xml:space="preserve">la culture du </w:t>
      </w:r>
      <w:proofErr w:type="spellStart"/>
      <w:r w:rsidRPr="001758BE">
        <w:rPr>
          <w:b/>
          <w:lang w:val="fr-FR"/>
        </w:rPr>
        <w:t>pehlevanliq</w:t>
      </w:r>
      <w:proofErr w:type="spellEnd"/>
      <w:r w:rsidRPr="001758BE">
        <w:rPr>
          <w:b/>
          <w:lang w:val="fr-FR"/>
        </w:rPr>
        <w:t xml:space="preserve"> : jeux, sports et lutte traditionnels de </w:t>
      </w:r>
      <w:proofErr w:type="spellStart"/>
      <w:r w:rsidRPr="001758BE">
        <w:rPr>
          <w:b/>
          <w:lang w:val="fr-FR"/>
        </w:rPr>
        <w:t>zorkhana</w:t>
      </w:r>
      <w:proofErr w:type="spellEnd"/>
      <w:r w:rsidRPr="007428A4">
        <w:rPr>
          <w:bCs/>
          <w:lang w:val="fr-FR"/>
        </w:rPr>
        <w:t xml:space="preserve"> </w:t>
      </w:r>
      <w:r>
        <w:rPr>
          <w:b/>
          <w:lang w:val="fr-FR"/>
        </w:rPr>
        <w:t>sur la Liste représentative.</w:t>
      </w:r>
    </w:p>
    <w:p w14:paraId="28304AFB" w14:textId="38C1DA44" w:rsidR="004F74A6" w:rsidRDefault="004F74A6" w:rsidP="00702497">
      <w:pPr>
        <w:pStyle w:val="Orateurengris"/>
        <w:numPr>
          <w:ilvl w:val="0"/>
          <w:numId w:val="20"/>
        </w:numPr>
        <w:tabs>
          <w:tab w:val="clear" w:pos="567"/>
        </w:tabs>
        <w:spacing w:before="120"/>
        <w:ind w:left="709" w:hanging="709"/>
        <w:rPr>
          <w:bCs/>
          <w:lang w:val="fr-FR"/>
        </w:rPr>
      </w:pPr>
      <w:r w:rsidRPr="004F74A6">
        <w:rPr>
          <w:bCs/>
          <w:lang w:val="fr-FR"/>
        </w:rPr>
        <w:t>La délégation de l</w:t>
      </w:r>
      <w:r w:rsidR="00923E72">
        <w:rPr>
          <w:bCs/>
          <w:lang w:val="fr-FR"/>
        </w:rPr>
        <w:t>’</w:t>
      </w:r>
      <w:r w:rsidRPr="00702497">
        <w:rPr>
          <w:b/>
          <w:lang w:val="fr-FR"/>
        </w:rPr>
        <w:t>Azerbaïdjan</w:t>
      </w:r>
      <w:r w:rsidRPr="004F74A6">
        <w:rPr>
          <w:bCs/>
          <w:lang w:val="fr-FR"/>
        </w:rPr>
        <w:t xml:space="preserve"> a remercié le Comité d</w:t>
      </w:r>
      <w:r w:rsidR="00923E72">
        <w:rPr>
          <w:bCs/>
          <w:lang w:val="fr-FR"/>
        </w:rPr>
        <w:t>’</w:t>
      </w:r>
      <w:r w:rsidRPr="004F74A6">
        <w:rPr>
          <w:bCs/>
          <w:lang w:val="fr-FR"/>
        </w:rPr>
        <w:t xml:space="preserve">avoir inscrit la culture </w:t>
      </w:r>
      <w:r>
        <w:rPr>
          <w:bCs/>
          <w:lang w:val="fr-FR"/>
        </w:rPr>
        <w:t xml:space="preserve">du </w:t>
      </w:r>
      <w:proofErr w:type="spellStart"/>
      <w:r>
        <w:rPr>
          <w:bCs/>
          <w:lang w:val="fr-FR"/>
        </w:rPr>
        <w:t>p</w:t>
      </w:r>
      <w:r w:rsidRPr="004F74A6">
        <w:rPr>
          <w:bCs/>
          <w:lang w:val="fr-FR"/>
        </w:rPr>
        <w:t>ehlevanliq</w:t>
      </w:r>
      <w:proofErr w:type="spellEnd"/>
      <w:r>
        <w:rPr>
          <w:bCs/>
          <w:lang w:val="fr-FR"/>
        </w:rPr>
        <w:t> :</w:t>
      </w:r>
      <w:r w:rsidRPr="004F74A6">
        <w:rPr>
          <w:bCs/>
          <w:lang w:val="fr-FR"/>
        </w:rPr>
        <w:t xml:space="preserve"> jeux, sports et lutte traditionne</w:t>
      </w:r>
      <w:r>
        <w:rPr>
          <w:bCs/>
          <w:lang w:val="fr-FR"/>
        </w:rPr>
        <w:t xml:space="preserve">ls </w:t>
      </w:r>
      <w:r w:rsidRPr="004F74A6">
        <w:rPr>
          <w:bCs/>
          <w:lang w:val="fr-FR"/>
        </w:rPr>
        <w:t xml:space="preserve">de </w:t>
      </w:r>
      <w:proofErr w:type="spellStart"/>
      <w:r w:rsidRPr="004F74A6">
        <w:rPr>
          <w:bCs/>
          <w:lang w:val="fr-FR"/>
        </w:rPr>
        <w:t>zorkhana</w:t>
      </w:r>
      <w:proofErr w:type="spellEnd"/>
      <w:r w:rsidRPr="004F74A6">
        <w:rPr>
          <w:bCs/>
          <w:lang w:val="fr-FR"/>
        </w:rPr>
        <w:t xml:space="preserve"> sur la Liste représentative et a félicité l</w:t>
      </w:r>
      <w:r w:rsidR="00923E72">
        <w:rPr>
          <w:bCs/>
          <w:lang w:val="fr-FR"/>
        </w:rPr>
        <w:t>’</w:t>
      </w:r>
      <w:r w:rsidRPr="004F74A6">
        <w:rPr>
          <w:bCs/>
          <w:lang w:val="fr-FR"/>
        </w:rPr>
        <w:t>Organe d</w:t>
      </w:r>
      <w:r w:rsidR="00923E72">
        <w:rPr>
          <w:bCs/>
          <w:lang w:val="fr-FR"/>
        </w:rPr>
        <w:t>’</w:t>
      </w:r>
      <w:r w:rsidRPr="004F74A6">
        <w:rPr>
          <w:bCs/>
          <w:lang w:val="fr-FR"/>
        </w:rPr>
        <w:t>évaluation pour l</w:t>
      </w:r>
      <w:r w:rsidR="00923E72">
        <w:rPr>
          <w:bCs/>
          <w:lang w:val="fr-FR"/>
        </w:rPr>
        <w:t>’</w:t>
      </w:r>
      <w:r w:rsidRPr="004F74A6">
        <w:rPr>
          <w:bCs/>
          <w:lang w:val="fr-FR"/>
        </w:rPr>
        <w:t xml:space="preserve">évaluation de ce dossier. Cette inscription permettrait de sensibiliser à la diversité des formes de patrimoine immatériel en Azerbaïdjan qui continuent à se transmettre de génération en génération. Elle a souligné que la culture du </w:t>
      </w:r>
      <w:proofErr w:type="spellStart"/>
      <w:r>
        <w:rPr>
          <w:bCs/>
          <w:lang w:val="fr-FR"/>
        </w:rPr>
        <w:t>p</w:t>
      </w:r>
      <w:r w:rsidRPr="004F74A6">
        <w:rPr>
          <w:bCs/>
          <w:lang w:val="fr-FR"/>
        </w:rPr>
        <w:t>ehlevanliq</w:t>
      </w:r>
      <w:proofErr w:type="spellEnd"/>
      <w:r w:rsidRPr="004F74A6">
        <w:rPr>
          <w:bCs/>
          <w:lang w:val="fr-FR"/>
        </w:rPr>
        <w:t xml:space="preserve"> favorise la cohésion sociale et l</w:t>
      </w:r>
      <w:r w:rsidR="00923E72">
        <w:rPr>
          <w:bCs/>
          <w:lang w:val="fr-FR"/>
        </w:rPr>
        <w:t>’</w:t>
      </w:r>
      <w:r w:rsidRPr="004F74A6">
        <w:rPr>
          <w:bCs/>
          <w:lang w:val="fr-FR"/>
        </w:rPr>
        <w:t>intégration entre les communautés et qu</w:t>
      </w:r>
      <w:r w:rsidR="00923E72">
        <w:rPr>
          <w:bCs/>
          <w:lang w:val="fr-FR"/>
        </w:rPr>
        <w:t>’</w:t>
      </w:r>
      <w:r>
        <w:rPr>
          <w:bCs/>
          <w:lang w:val="fr-FR"/>
        </w:rPr>
        <w:t>e</w:t>
      </w:r>
      <w:r w:rsidRPr="004F74A6">
        <w:rPr>
          <w:bCs/>
          <w:lang w:val="fr-FR"/>
        </w:rPr>
        <w:t>lle fait également partie intégrante des événements et célébrations folkloriques organisés en plein air, contribuant ainsi à l</w:t>
      </w:r>
      <w:r w:rsidR="00923E72">
        <w:rPr>
          <w:bCs/>
          <w:lang w:val="fr-FR"/>
        </w:rPr>
        <w:t>’</w:t>
      </w:r>
      <w:r w:rsidRPr="004F74A6">
        <w:rPr>
          <w:bCs/>
          <w:lang w:val="fr-FR"/>
        </w:rPr>
        <w:t>intégration sociale et encourageant la solidarité entre les membres de</w:t>
      </w:r>
      <w:r>
        <w:rPr>
          <w:bCs/>
          <w:lang w:val="fr-FR"/>
        </w:rPr>
        <w:t>s</w:t>
      </w:r>
      <w:r w:rsidRPr="004F74A6">
        <w:rPr>
          <w:bCs/>
          <w:lang w:val="fr-FR"/>
        </w:rPr>
        <w:t xml:space="preserve"> communauté</w:t>
      </w:r>
      <w:r>
        <w:rPr>
          <w:bCs/>
          <w:lang w:val="fr-FR"/>
        </w:rPr>
        <w:t>s</w:t>
      </w:r>
      <w:r w:rsidRPr="004F74A6">
        <w:rPr>
          <w:bCs/>
          <w:lang w:val="fr-FR"/>
        </w:rPr>
        <w:t xml:space="preserve">. En Azerbaïdjan, les communautés percevaient la culture </w:t>
      </w:r>
      <w:proofErr w:type="spellStart"/>
      <w:r w:rsidRPr="004F74A6">
        <w:rPr>
          <w:bCs/>
          <w:lang w:val="fr-FR"/>
        </w:rPr>
        <w:t>pehlevanliq</w:t>
      </w:r>
      <w:proofErr w:type="spellEnd"/>
      <w:r w:rsidRPr="004F74A6">
        <w:rPr>
          <w:bCs/>
          <w:lang w:val="fr-FR"/>
        </w:rPr>
        <w:t xml:space="preserve"> comme l</w:t>
      </w:r>
      <w:r w:rsidR="00923E72">
        <w:rPr>
          <w:bCs/>
          <w:lang w:val="fr-FR"/>
        </w:rPr>
        <w:t>’</w:t>
      </w:r>
      <w:r w:rsidRPr="004F74A6">
        <w:rPr>
          <w:bCs/>
          <w:lang w:val="fr-FR"/>
        </w:rPr>
        <w:t xml:space="preserve">un des aspects les plus importants de leur patrimoine. </w:t>
      </w:r>
      <w:r w:rsidR="008E5A42">
        <w:rPr>
          <w:bCs/>
          <w:lang w:val="fr-FR"/>
        </w:rPr>
        <w:t xml:space="preserve">La </w:t>
      </w:r>
      <w:r w:rsidR="008E5A42" w:rsidRPr="008E5A42">
        <w:rPr>
          <w:bCs/>
          <w:lang w:val="fr-FR"/>
        </w:rPr>
        <w:t>délégation</w:t>
      </w:r>
      <w:r w:rsidR="008E5A42">
        <w:rPr>
          <w:bCs/>
          <w:lang w:val="fr-FR"/>
        </w:rPr>
        <w:t xml:space="preserve"> a rappelé que, depuis </w:t>
      </w:r>
      <w:r w:rsidRPr="004F74A6">
        <w:rPr>
          <w:bCs/>
          <w:lang w:val="fr-FR"/>
        </w:rPr>
        <w:t xml:space="preserve">des siècles, les </w:t>
      </w:r>
      <w:proofErr w:type="spellStart"/>
      <w:r w:rsidRPr="004F74A6">
        <w:rPr>
          <w:bCs/>
          <w:lang w:val="fr-FR"/>
        </w:rPr>
        <w:t>pehlevans</w:t>
      </w:r>
      <w:proofErr w:type="spellEnd"/>
      <w:r w:rsidRPr="004F74A6">
        <w:rPr>
          <w:bCs/>
          <w:lang w:val="fr-FR"/>
        </w:rPr>
        <w:t xml:space="preserve"> </w:t>
      </w:r>
      <w:r w:rsidR="008E5A42">
        <w:rPr>
          <w:bCs/>
          <w:lang w:val="fr-FR"/>
        </w:rPr>
        <w:t xml:space="preserve">sont </w:t>
      </w:r>
      <w:r w:rsidRPr="004F74A6">
        <w:rPr>
          <w:bCs/>
          <w:lang w:val="fr-FR"/>
        </w:rPr>
        <w:t>un symbole de force, de puissance et d</w:t>
      </w:r>
      <w:r w:rsidR="00923E72">
        <w:rPr>
          <w:bCs/>
          <w:lang w:val="fr-FR"/>
        </w:rPr>
        <w:t>’</w:t>
      </w:r>
      <w:r w:rsidRPr="004F74A6">
        <w:rPr>
          <w:bCs/>
          <w:lang w:val="fr-FR"/>
        </w:rPr>
        <w:t>invincibilité, donnant un sentiment de fierté et d</w:t>
      </w:r>
      <w:r w:rsidR="00923E72">
        <w:rPr>
          <w:bCs/>
          <w:lang w:val="fr-FR"/>
        </w:rPr>
        <w:t>’</w:t>
      </w:r>
      <w:r w:rsidRPr="004F74A6">
        <w:rPr>
          <w:bCs/>
          <w:lang w:val="fr-FR"/>
        </w:rPr>
        <w:t xml:space="preserve">honneur aux communautés locales. </w:t>
      </w:r>
      <w:r w:rsidR="008E5A42">
        <w:rPr>
          <w:bCs/>
          <w:lang w:val="fr-FR"/>
        </w:rPr>
        <w:t xml:space="preserve">Elle </w:t>
      </w:r>
      <w:r w:rsidRPr="004F74A6">
        <w:rPr>
          <w:bCs/>
          <w:lang w:val="fr-FR"/>
        </w:rPr>
        <w:t xml:space="preserve">a remercié toutes les parties prenantes impliquées dans la préparation de ce dossier, en particulier le ministère de la Culture, la Fédération azerbaïdjanaise de </w:t>
      </w:r>
      <w:proofErr w:type="spellStart"/>
      <w:r w:rsidRPr="004F74A6">
        <w:rPr>
          <w:bCs/>
          <w:lang w:val="fr-FR"/>
        </w:rPr>
        <w:t>zorkhana</w:t>
      </w:r>
      <w:proofErr w:type="spellEnd"/>
      <w:r w:rsidRPr="004F74A6">
        <w:rPr>
          <w:bCs/>
          <w:lang w:val="fr-FR"/>
        </w:rPr>
        <w:t xml:space="preserve"> et l</w:t>
      </w:r>
      <w:r w:rsidR="00923E72">
        <w:rPr>
          <w:bCs/>
          <w:lang w:val="fr-FR"/>
        </w:rPr>
        <w:t>’</w:t>
      </w:r>
      <w:r w:rsidRPr="004F74A6">
        <w:rPr>
          <w:bCs/>
          <w:lang w:val="fr-FR"/>
        </w:rPr>
        <w:t>Association nationale des sports d</w:t>
      </w:r>
      <w:r w:rsidR="00923E72">
        <w:rPr>
          <w:bCs/>
          <w:lang w:val="fr-FR"/>
        </w:rPr>
        <w:t>’</w:t>
      </w:r>
      <w:r w:rsidRPr="004F74A6">
        <w:rPr>
          <w:bCs/>
          <w:lang w:val="fr-FR"/>
        </w:rPr>
        <w:t xml:space="preserve">Azerbaïdjan ainsi que les </w:t>
      </w:r>
      <w:proofErr w:type="spellStart"/>
      <w:r w:rsidRPr="004F74A6">
        <w:rPr>
          <w:bCs/>
          <w:lang w:val="fr-FR"/>
        </w:rPr>
        <w:t>pehlevans</w:t>
      </w:r>
      <w:proofErr w:type="spellEnd"/>
      <w:r w:rsidRPr="004F74A6">
        <w:rPr>
          <w:bCs/>
          <w:lang w:val="fr-FR"/>
        </w:rPr>
        <w:t xml:space="preserve"> qui avaient déployé d</w:t>
      </w:r>
      <w:r w:rsidR="00923E72">
        <w:rPr>
          <w:bCs/>
          <w:lang w:val="fr-FR"/>
        </w:rPr>
        <w:t>’</w:t>
      </w:r>
      <w:r w:rsidRPr="004F74A6">
        <w:rPr>
          <w:bCs/>
          <w:lang w:val="fr-FR"/>
        </w:rPr>
        <w:t>énormes efforts pour se concentrer sur la sauvegarde de l</w:t>
      </w:r>
      <w:r w:rsidR="00923E72">
        <w:rPr>
          <w:bCs/>
          <w:lang w:val="fr-FR"/>
        </w:rPr>
        <w:t>’</w:t>
      </w:r>
      <w:r w:rsidRPr="004F74A6">
        <w:rPr>
          <w:bCs/>
          <w:lang w:val="fr-FR"/>
        </w:rPr>
        <w:t>élément et qui alla</w:t>
      </w:r>
      <w:r w:rsidR="008E5A42">
        <w:rPr>
          <w:bCs/>
          <w:lang w:val="fr-FR"/>
        </w:rPr>
        <w:t>i</w:t>
      </w:r>
      <w:r w:rsidRPr="004F74A6">
        <w:rPr>
          <w:bCs/>
          <w:lang w:val="fr-FR"/>
        </w:rPr>
        <w:t>ent désormais s</w:t>
      </w:r>
      <w:r w:rsidR="00923E72">
        <w:rPr>
          <w:bCs/>
          <w:lang w:val="fr-FR"/>
        </w:rPr>
        <w:t>’</w:t>
      </w:r>
      <w:r w:rsidRPr="004F74A6">
        <w:rPr>
          <w:bCs/>
          <w:lang w:val="fr-FR"/>
        </w:rPr>
        <w:t>associer pour sauvegarder et maintenir l</w:t>
      </w:r>
      <w:r w:rsidR="00923E72">
        <w:rPr>
          <w:bCs/>
          <w:lang w:val="fr-FR"/>
        </w:rPr>
        <w:t>’</w:t>
      </w:r>
      <w:r w:rsidRPr="004F74A6">
        <w:rPr>
          <w:bCs/>
          <w:lang w:val="fr-FR"/>
        </w:rPr>
        <w:t>élément en vie pour les générations futures.</w:t>
      </w:r>
    </w:p>
    <w:p w14:paraId="001F2F8B" w14:textId="7FDF2FCD" w:rsidR="008E5A42" w:rsidRPr="00702497" w:rsidRDefault="008E5A42" w:rsidP="00702497">
      <w:pPr>
        <w:pStyle w:val="Orateurengris"/>
        <w:spacing w:before="120"/>
        <w:ind w:left="709" w:hanging="709"/>
        <w:jc w:val="center"/>
        <w:rPr>
          <w:bCs/>
          <w:i/>
          <w:iCs/>
          <w:lang w:val="fr-FR"/>
        </w:rPr>
      </w:pPr>
      <w:r w:rsidRPr="00702497">
        <w:rPr>
          <w:bCs/>
          <w:i/>
          <w:iCs/>
          <w:lang w:val="fr-FR"/>
        </w:rPr>
        <w:t>[Une vidéo présentant l</w:t>
      </w:r>
      <w:r w:rsidR="00923E72">
        <w:rPr>
          <w:bCs/>
          <w:i/>
          <w:iCs/>
          <w:lang w:val="fr-FR"/>
        </w:rPr>
        <w:t>’</w:t>
      </w:r>
      <w:r w:rsidRPr="00702497">
        <w:rPr>
          <w:bCs/>
          <w:i/>
          <w:iCs/>
          <w:lang w:val="fr-FR"/>
        </w:rPr>
        <w:t>élément a été diffusée]</w:t>
      </w:r>
    </w:p>
    <w:p w14:paraId="78004AF5" w14:textId="17A70F64" w:rsidR="008E5A42" w:rsidRDefault="001B451C" w:rsidP="00702497">
      <w:pPr>
        <w:pStyle w:val="Orateurengris"/>
        <w:numPr>
          <w:ilvl w:val="0"/>
          <w:numId w:val="20"/>
        </w:numPr>
        <w:tabs>
          <w:tab w:val="clear" w:pos="567"/>
        </w:tabs>
        <w:spacing w:before="120"/>
        <w:ind w:left="709" w:hanging="709"/>
        <w:rPr>
          <w:bCs/>
          <w:lang w:val="fr-FR"/>
        </w:rPr>
      </w:pPr>
      <w:r w:rsidRPr="001B451C">
        <w:rPr>
          <w:bCs/>
          <w:lang w:val="fr-FR"/>
        </w:rPr>
        <w:t>L</w:t>
      </w:r>
      <w:r>
        <w:rPr>
          <w:bCs/>
          <w:lang w:val="fr-FR"/>
        </w:rPr>
        <w:t xml:space="preserve">a </w:t>
      </w:r>
      <w:r w:rsidRPr="00702497">
        <w:rPr>
          <w:b/>
          <w:lang w:val="fr-FR"/>
        </w:rPr>
        <w:t>Vice-Présidente de l</w:t>
      </w:r>
      <w:r w:rsidR="00923E72">
        <w:rPr>
          <w:b/>
          <w:lang w:val="fr-FR"/>
        </w:rPr>
        <w:t>’</w:t>
      </w:r>
      <w:r w:rsidRPr="00702497">
        <w:rPr>
          <w:b/>
          <w:lang w:val="fr-FR"/>
        </w:rPr>
        <w:t>Organe d</w:t>
      </w:r>
      <w:r w:rsidR="00923E72">
        <w:rPr>
          <w:b/>
          <w:lang w:val="fr-FR"/>
        </w:rPr>
        <w:t>’</w:t>
      </w:r>
      <w:r w:rsidRPr="00702497">
        <w:rPr>
          <w:b/>
          <w:lang w:val="fr-FR"/>
        </w:rPr>
        <w:t>évaluation</w:t>
      </w:r>
      <w:r w:rsidRPr="001B451C">
        <w:rPr>
          <w:bCs/>
          <w:lang w:val="fr-FR"/>
        </w:rPr>
        <w:t xml:space="preserve"> a présenté le dossier de candidature suivant, </w:t>
      </w:r>
      <w:r w:rsidRPr="00702497">
        <w:rPr>
          <w:b/>
          <w:lang w:val="fr-FR"/>
        </w:rPr>
        <w:t xml:space="preserve">la tradition du récit des anecdotes de </w:t>
      </w:r>
      <w:proofErr w:type="spellStart"/>
      <w:r w:rsidRPr="00702497">
        <w:rPr>
          <w:b/>
          <w:lang w:val="fr-FR"/>
        </w:rPr>
        <w:t>Nasreddin</w:t>
      </w:r>
      <w:proofErr w:type="spellEnd"/>
      <w:r w:rsidRPr="00702497">
        <w:rPr>
          <w:b/>
          <w:lang w:val="fr-FR"/>
        </w:rPr>
        <w:t xml:space="preserve"> Hodja/</w:t>
      </w:r>
      <w:proofErr w:type="spellStart"/>
      <w:r w:rsidRPr="00702497">
        <w:rPr>
          <w:b/>
          <w:lang w:val="fr-FR"/>
        </w:rPr>
        <w:t>Molla</w:t>
      </w:r>
      <w:proofErr w:type="spellEnd"/>
      <w:r w:rsidRPr="00702497">
        <w:rPr>
          <w:b/>
          <w:lang w:val="fr-FR"/>
        </w:rPr>
        <w:t xml:space="preserve"> </w:t>
      </w:r>
      <w:proofErr w:type="spellStart"/>
      <w:r w:rsidRPr="00702497">
        <w:rPr>
          <w:b/>
          <w:lang w:val="fr-FR"/>
        </w:rPr>
        <w:t>Nesreddin</w:t>
      </w:r>
      <w:proofErr w:type="spellEnd"/>
      <w:r w:rsidRPr="00702497">
        <w:rPr>
          <w:b/>
          <w:lang w:val="fr-FR"/>
        </w:rPr>
        <w:t>/</w:t>
      </w:r>
      <w:proofErr w:type="spellStart"/>
      <w:r w:rsidRPr="00702497">
        <w:rPr>
          <w:b/>
          <w:lang w:val="fr-FR"/>
        </w:rPr>
        <w:t>Molla</w:t>
      </w:r>
      <w:proofErr w:type="spellEnd"/>
      <w:r w:rsidRPr="00702497">
        <w:rPr>
          <w:b/>
          <w:lang w:val="fr-FR"/>
        </w:rPr>
        <w:t xml:space="preserve"> </w:t>
      </w:r>
      <w:proofErr w:type="spellStart"/>
      <w:r w:rsidRPr="00702497">
        <w:rPr>
          <w:b/>
          <w:lang w:val="fr-FR"/>
        </w:rPr>
        <w:t>Ependi</w:t>
      </w:r>
      <w:proofErr w:type="spellEnd"/>
      <w:r w:rsidRPr="00702497">
        <w:rPr>
          <w:b/>
          <w:lang w:val="fr-FR"/>
        </w:rPr>
        <w:t xml:space="preserve">/ </w:t>
      </w:r>
      <w:proofErr w:type="spellStart"/>
      <w:r w:rsidRPr="00702497">
        <w:rPr>
          <w:b/>
          <w:lang w:val="fr-FR"/>
        </w:rPr>
        <w:t>Apendi</w:t>
      </w:r>
      <w:proofErr w:type="spellEnd"/>
      <w:r w:rsidRPr="00702497">
        <w:rPr>
          <w:b/>
          <w:lang w:val="fr-FR"/>
        </w:rPr>
        <w:t>/</w:t>
      </w:r>
      <w:proofErr w:type="spellStart"/>
      <w:r w:rsidRPr="00702497">
        <w:rPr>
          <w:b/>
          <w:lang w:val="fr-FR"/>
        </w:rPr>
        <w:t>Afendi</w:t>
      </w:r>
      <w:proofErr w:type="spellEnd"/>
      <w:r w:rsidRPr="00702497">
        <w:rPr>
          <w:b/>
          <w:lang w:val="fr-FR"/>
        </w:rPr>
        <w:t xml:space="preserve"> </w:t>
      </w:r>
      <w:proofErr w:type="spellStart"/>
      <w:r w:rsidRPr="00702497">
        <w:rPr>
          <w:b/>
          <w:lang w:val="fr-FR"/>
        </w:rPr>
        <w:t>Kozhanasyr</w:t>
      </w:r>
      <w:proofErr w:type="spellEnd"/>
      <w:r w:rsidRPr="001B451C">
        <w:rPr>
          <w:bCs/>
          <w:lang w:val="fr-FR"/>
        </w:rPr>
        <w:t xml:space="preserve"> [projet de décision</w:t>
      </w:r>
      <w:r w:rsidR="00FE1525">
        <w:rPr>
          <w:bCs/>
          <w:lang w:val="fr-FR"/>
        </w:rPr>
        <w:t> </w:t>
      </w:r>
      <w:r w:rsidRPr="001B451C">
        <w:rPr>
          <w:bCs/>
          <w:lang w:val="fr-FR"/>
        </w:rPr>
        <w:t>7.b.43], soumis par l</w:t>
      </w:r>
      <w:r w:rsidR="00923E72">
        <w:rPr>
          <w:bCs/>
          <w:lang w:val="fr-FR"/>
        </w:rPr>
        <w:t>’</w:t>
      </w:r>
      <w:r w:rsidRPr="00702497">
        <w:rPr>
          <w:b/>
          <w:lang w:val="fr-FR"/>
        </w:rPr>
        <w:t>Azerbaïdjan</w:t>
      </w:r>
      <w:r w:rsidRPr="001B451C">
        <w:rPr>
          <w:bCs/>
          <w:lang w:val="fr-FR"/>
        </w:rPr>
        <w:t xml:space="preserve">, le </w:t>
      </w:r>
      <w:r w:rsidRPr="00702497">
        <w:rPr>
          <w:b/>
          <w:lang w:val="fr-FR"/>
        </w:rPr>
        <w:t>Kazakhstan</w:t>
      </w:r>
      <w:r w:rsidRPr="001B451C">
        <w:rPr>
          <w:bCs/>
          <w:lang w:val="fr-FR"/>
        </w:rPr>
        <w:t xml:space="preserve">, le </w:t>
      </w:r>
      <w:r w:rsidRPr="00702497">
        <w:rPr>
          <w:b/>
          <w:lang w:val="fr-FR"/>
        </w:rPr>
        <w:t>Kirghizistan</w:t>
      </w:r>
      <w:r w:rsidRPr="001B451C">
        <w:rPr>
          <w:bCs/>
          <w:lang w:val="fr-FR"/>
        </w:rPr>
        <w:t xml:space="preserve">, le </w:t>
      </w:r>
      <w:r w:rsidRPr="00702497">
        <w:rPr>
          <w:b/>
          <w:lang w:val="fr-FR"/>
        </w:rPr>
        <w:t>Tadjikistan</w:t>
      </w:r>
      <w:r w:rsidRPr="001B451C">
        <w:rPr>
          <w:bCs/>
          <w:lang w:val="fr-FR"/>
        </w:rPr>
        <w:t xml:space="preserve">, la </w:t>
      </w:r>
      <w:r w:rsidRPr="00702497">
        <w:rPr>
          <w:b/>
          <w:lang w:val="fr-FR"/>
        </w:rPr>
        <w:t>Türki</w:t>
      </w:r>
      <w:r w:rsidR="0066549E">
        <w:rPr>
          <w:b/>
          <w:lang w:val="fr-FR"/>
        </w:rPr>
        <w:t>y</w:t>
      </w:r>
      <w:r w:rsidRPr="00702497">
        <w:rPr>
          <w:b/>
          <w:lang w:val="fr-FR"/>
        </w:rPr>
        <w:t>e</w:t>
      </w:r>
      <w:r w:rsidRPr="001B451C">
        <w:rPr>
          <w:bCs/>
          <w:lang w:val="fr-FR"/>
        </w:rPr>
        <w:t xml:space="preserve">, le </w:t>
      </w:r>
      <w:r w:rsidRPr="00702497">
        <w:rPr>
          <w:b/>
          <w:lang w:val="fr-FR"/>
        </w:rPr>
        <w:t xml:space="preserve">Turkménistan </w:t>
      </w:r>
      <w:r w:rsidRPr="001B451C">
        <w:rPr>
          <w:bCs/>
          <w:lang w:val="fr-FR"/>
        </w:rPr>
        <w:t>et l</w:t>
      </w:r>
      <w:r w:rsidR="00923E72">
        <w:rPr>
          <w:bCs/>
          <w:lang w:val="fr-FR"/>
        </w:rPr>
        <w:t>’</w:t>
      </w:r>
      <w:r w:rsidRPr="00702497">
        <w:rPr>
          <w:b/>
          <w:lang w:val="fr-FR"/>
        </w:rPr>
        <w:t>Ouzbékistan</w:t>
      </w:r>
      <w:r w:rsidRPr="001B451C">
        <w:rPr>
          <w:bCs/>
          <w:lang w:val="fr-FR"/>
        </w:rPr>
        <w:t xml:space="preserve">, expliquant que </w:t>
      </w:r>
      <w:r>
        <w:rPr>
          <w:bCs/>
          <w:lang w:val="fr-FR"/>
        </w:rPr>
        <w:t>l</w:t>
      </w:r>
      <w:r w:rsidR="00923E72">
        <w:rPr>
          <w:bCs/>
          <w:lang w:val="fr-FR"/>
        </w:rPr>
        <w:t>’</w:t>
      </w:r>
      <w:r w:rsidRPr="001B451C">
        <w:rPr>
          <w:bCs/>
          <w:lang w:val="fr-FR"/>
        </w:rPr>
        <w:t xml:space="preserve">élément </w:t>
      </w:r>
      <w:r>
        <w:rPr>
          <w:bCs/>
          <w:lang w:val="fr-FR"/>
        </w:rPr>
        <w:t>inclut des</w:t>
      </w:r>
      <w:r w:rsidRPr="001B451C">
        <w:rPr>
          <w:bCs/>
          <w:lang w:val="fr-FR"/>
        </w:rPr>
        <w:t xml:space="preserve"> pratiques sociales, </w:t>
      </w:r>
      <w:r>
        <w:rPr>
          <w:bCs/>
          <w:lang w:val="fr-FR"/>
        </w:rPr>
        <w:t>d</w:t>
      </w:r>
      <w:r w:rsidRPr="001B451C">
        <w:rPr>
          <w:bCs/>
          <w:lang w:val="fr-FR"/>
        </w:rPr>
        <w:t xml:space="preserve">es traditions orales et </w:t>
      </w:r>
      <w:r>
        <w:rPr>
          <w:bCs/>
          <w:lang w:val="fr-FR"/>
        </w:rPr>
        <w:t>d</w:t>
      </w:r>
      <w:r w:rsidRPr="001B451C">
        <w:rPr>
          <w:bCs/>
          <w:lang w:val="fr-FR"/>
        </w:rPr>
        <w:t>es festivals liés à la tradition d</w:t>
      </w:r>
      <w:r>
        <w:rPr>
          <w:bCs/>
          <w:lang w:val="fr-FR"/>
        </w:rPr>
        <w:t>u récit</w:t>
      </w:r>
      <w:r w:rsidRPr="001B451C">
        <w:rPr>
          <w:bCs/>
          <w:lang w:val="fr-FR"/>
        </w:rPr>
        <w:t xml:space="preserve"> des anecdotes de </w:t>
      </w:r>
      <w:proofErr w:type="spellStart"/>
      <w:r w:rsidRPr="001B451C">
        <w:rPr>
          <w:bCs/>
          <w:lang w:val="fr-FR"/>
        </w:rPr>
        <w:t>Nasreddin</w:t>
      </w:r>
      <w:proofErr w:type="spellEnd"/>
      <w:r w:rsidRPr="001B451C">
        <w:rPr>
          <w:bCs/>
          <w:lang w:val="fr-FR"/>
        </w:rPr>
        <w:t>, un philosophe et sage reconnu pour sa sagesse et ses analyses et représentations humoristiques de la société et des expériences de la vie, et que</w:t>
      </w:r>
      <w:r>
        <w:rPr>
          <w:bCs/>
          <w:lang w:val="fr-FR"/>
        </w:rPr>
        <w:t xml:space="preserve"> l</w:t>
      </w:r>
      <w:r w:rsidRPr="001B451C">
        <w:rPr>
          <w:bCs/>
          <w:lang w:val="fr-FR"/>
        </w:rPr>
        <w:t xml:space="preserve">es anecdotes sont transmises par la tradition orale et les sources écrites et ont inspiré des </w:t>
      </w:r>
      <w:r w:rsidR="0094510E">
        <w:rPr>
          <w:bCs/>
          <w:lang w:val="fr-FR"/>
        </w:rPr>
        <w:t xml:space="preserve">expressions idiomatiques </w:t>
      </w:r>
      <w:r w:rsidRPr="001B451C">
        <w:rPr>
          <w:bCs/>
          <w:lang w:val="fr-FR"/>
        </w:rPr>
        <w:t>et des proverbes locaux. L</w:t>
      </w:r>
      <w:r w:rsidR="00923E72">
        <w:rPr>
          <w:bCs/>
          <w:lang w:val="fr-FR"/>
        </w:rPr>
        <w:t>’</w:t>
      </w:r>
      <w:r w:rsidRPr="001B451C">
        <w:rPr>
          <w:bCs/>
          <w:lang w:val="fr-FR"/>
        </w:rPr>
        <w:t>Organe d</w:t>
      </w:r>
      <w:r w:rsidR="00923E72">
        <w:rPr>
          <w:bCs/>
          <w:lang w:val="fr-FR"/>
        </w:rPr>
        <w:t>’</w:t>
      </w:r>
      <w:r w:rsidRPr="001B451C">
        <w:rPr>
          <w:bCs/>
          <w:lang w:val="fr-FR"/>
        </w:rPr>
        <w:t>évaluation avait estimé que la candidature satisfaisait à l</w:t>
      </w:r>
      <w:r w:rsidR="00923E72">
        <w:rPr>
          <w:bCs/>
          <w:lang w:val="fr-FR"/>
        </w:rPr>
        <w:t>’</w:t>
      </w:r>
      <w:r w:rsidRPr="001B451C">
        <w:rPr>
          <w:bCs/>
          <w:lang w:val="fr-FR"/>
        </w:rPr>
        <w:t>ensemble des cinq critères. Le dossier expliquait que l</w:t>
      </w:r>
      <w:r w:rsidR="00923E72">
        <w:rPr>
          <w:bCs/>
          <w:lang w:val="fr-FR"/>
        </w:rPr>
        <w:t>’</w:t>
      </w:r>
      <w:r w:rsidRPr="001B451C">
        <w:rPr>
          <w:bCs/>
          <w:lang w:val="fr-FR"/>
        </w:rPr>
        <w:t>élément a une fonction sociale</w:t>
      </w:r>
      <w:r w:rsidR="006636CD">
        <w:rPr>
          <w:bCs/>
          <w:lang w:val="fr-FR"/>
        </w:rPr>
        <w:t>,</w:t>
      </w:r>
      <w:r w:rsidR="008153D2">
        <w:rPr>
          <w:bCs/>
          <w:lang w:val="fr-FR"/>
        </w:rPr>
        <w:t xml:space="preserve"> </w:t>
      </w:r>
      <w:r w:rsidRPr="001B451C">
        <w:rPr>
          <w:bCs/>
          <w:lang w:val="fr-FR"/>
        </w:rPr>
        <w:t>car il renforce les liens culturels entre les générations</w:t>
      </w:r>
      <w:r w:rsidR="008153D2">
        <w:rPr>
          <w:bCs/>
          <w:lang w:val="fr-FR"/>
        </w:rPr>
        <w:t>, qu</w:t>
      </w:r>
      <w:r w:rsidR="00923E72">
        <w:rPr>
          <w:bCs/>
          <w:lang w:val="fr-FR"/>
        </w:rPr>
        <w:t>’</w:t>
      </w:r>
      <w:r w:rsidR="008153D2">
        <w:rPr>
          <w:bCs/>
          <w:lang w:val="fr-FR"/>
        </w:rPr>
        <w:t xml:space="preserve">il </w:t>
      </w:r>
      <w:r w:rsidRPr="001B451C">
        <w:rPr>
          <w:bCs/>
          <w:lang w:val="fr-FR"/>
        </w:rPr>
        <w:t>est pratiqué lors des réunions de famille, des mariages et d</w:t>
      </w:r>
      <w:r w:rsidR="008153D2">
        <w:rPr>
          <w:bCs/>
          <w:lang w:val="fr-FR"/>
        </w:rPr>
        <w:t>ans les</w:t>
      </w:r>
      <w:r w:rsidRPr="001B451C">
        <w:rPr>
          <w:bCs/>
          <w:lang w:val="fr-FR"/>
        </w:rPr>
        <w:t xml:space="preserve"> café</w:t>
      </w:r>
      <w:r w:rsidR="008153D2">
        <w:rPr>
          <w:bCs/>
          <w:lang w:val="fr-FR"/>
        </w:rPr>
        <w:t>s,</w:t>
      </w:r>
      <w:r w:rsidRPr="001B451C">
        <w:rPr>
          <w:bCs/>
          <w:lang w:val="fr-FR"/>
        </w:rPr>
        <w:t xml:space="preserve"> et qu</w:t>
      </w:r>
      <w:r w:rsidR="00923E72">
        <w:rPr>
          <w:bCs/>
          <w:lang w:val="fr-FR"/>
        </w:rPr>
        <w:t>’</w:t>
      </w:r>
      <w:r w:rsidRPr="001B451C">
        <w:rPr>
          <w:bCs/>
          <w:lang w:val="fr-FR"/>
        </w:rPr>
        <w:t>il devenu un moyen de communication courant aujourd</w:t>
      </w:r>
      <w:r w:rsidR="00923E72">
        <w:rPr>
          <w:bCs/>
          <w:lang w:val="fr-FR"/>
        </w:rPr>
        <w:t>’</w:t>
      </w:r>
      <w:r w:rsidRPr="001B451C">
        <w:rPr>
          <w:bCs/>
          <w:lang w:val="fr-FR"/>
        </w:rPr>
        <w:t>hui et sert d</w:t>
      </w:r>
      <w:r w:rsidR="00923E72">
        <w:rPr>
          <w:bCs/>
          <w:lang w:val="fr-FR"/>
        </w:rPr>
        <w:t>’</w:t>
      </w:r>
      <w:r w:rsidRPr="001B451C">
        <w:rPr>
          <w:bCs/>
          <w:lang w:val="fr-FR"/>
        </w:rPr>
        <w:t>expression de la mémoire sociale. En conclusion, l</w:t>
      </w:r>
      <w:r w:rsidR="00923E72">
        <w:rPr>
          <w:bCs/>
          <w:lang w:val="fr-FR"/>
        </w:rPr>
        <w:t>’</w:t>
      </w:r>
      <w:r w:rsidRPr="001B451C">
        <w:rPr>
          <w:bCs/>
          <w:lang w:val="fr-FR"/>
        </w:rPr>
        <w:t>Organe d</w:t>
      </w:r>
      <w:r w:rsidR="00923E72">
        <w:rPr>
          <w:bCs/>
          <w:lang w:val="fr-FR"/>
        </w:rPr>
        <w:t>’</w:t>
      </w:r>
      <w:r w:rsidRPr="001B451C">
        <w:rPr>
          <w:bCs/>
          <w:lang w:val="fr-FR"/>
        </w:rPr>
        <w:t>évaluation recommandait son inscription sur la Liste représentative.</w:t>
      </w:r>
    </w:p>
    <w:p w14:paraId="1ACC7310" w14:textId="55B8F2C7" w:rsidR="008153D2" w:rsidRPr="00702497" w:rsidRDefault="008153D2"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pour cette candidature,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94510E">
        <w:rPr>
          <w:rFonts w:eastAsia="Malgun Gothic"/>
          <w:b/>
          <w:lang w:val="fr-FR"/>
        </w:rPr>
        <w:t> </w:t>
      </w:r>
      <w:r w:rsidR="00751FB1">
        <w:fldChar w:fldCharType="begin"/>
      </w:r>
      <w:r w:rsidR="00751FB1" w:rsidRPr="00751FB1">
        <w:rPr>
          <w:lang w:val="fr-FR"/>
        </w:rPr>
        <w:instrText>HYPERLINK "https://ich.unesco.org/fr/Decisions/17.COM/7.b.43"</w:instrText>
      </w:r>
      <w:r w:rsidR="00751FB1">
        <w:fldChar w:fldCharType="separate"/>
      </w:r>
      <w:r w:rsidRPr="006E3034">
        <w:rPr>
          <w:rStyle w:val="Hyperlink"/>
          <w:b/>
          <w:bCs/>
          <w:lang w:val="fr-FR"/>
        </w:rPr>
        <w:t>17.COM 7.b.43</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 xml:space="preserve">inscrire </w:t>
      </w:r>
      <w:r w:rsidRPr="00CD0853">
        <w:rPr>
          <w:b/>
          <w:lang w:val="fr-FR"/>
        </w:rPr>
        <w:t xml:space="preserve">la tradition du récit des anecdotes de </w:t>
      </w:r>
      <w:proofErr w:type="spellStart"/>
      <w:r w:rsidRPr="00CD0853">
        <w:rPr>
          <w:b/>
          <w:lang w:val="fr-FR"/>
        </w:rPr>
        <w:t>Nasreddin</w:t>
      </w:r>
      <w:proofErr w:type="spellEnd"/>
      <w:r w:rsidRPr="00CD0853">
        <w:rPr>
          <w:b/>
          <w:lang w:val="fr-FR"/>
        </w:rPr>
        <w:t xml:space="preserve"> Hodja/</w:t>
      </w:r>
      <w:proofErr w:type="spellStart"/>
      <w:r w:rsidRPr="00CD0853">
        <w:rPr>
          <w:b/>
          <w:lang w:val="fr-FR"/>
        </w:rPr>
        <w:t>Molla</w:t>
      </w:r>
      <w:proofErr w:type="spellEnd"/>
      <w:r w:rsidRPr="00CD0853">
        <w:rPr>
          <w:b/>
          <w:lang w:val="fr-FR"/>
        </w:rPr>
        <w:t xml:space="preserve"> </w:t>
      </w:r>
      <w:proofErr w:type="spellStart"/>
      <w:r w:rsidRPr="00CD0853">
        <w:rPr>
          <w:b/>
          <w:lang w:val="fr-FR"/>
        </w:rPr>
        <w:t>Nesreddin</w:t>
      </w:r>
      <w:proofErr w:type="spellEnd"/>
      <w:r w:rsidRPr="00CD0853">
        <w:rPr>
          <w:b/>
          <w:lang w:val="fr-FR"/>
        </w:rPr>
        <w:t>/</w:t>
      </w:r>
      <w:proofErr w:type="spellStart"/>
      <w:r w:rsidRPr="00CD0853">
        <w:rPr>
          <w:b/>
          <w:lang w:val="fr-FR"/>
        </w:rPr>
        <w:t>Molla</w:t>
      </w:r>
      <w:proofErr w:type="spellEnd"/>
      <w:r w:rsidRPr="00CD0853">
        <w:rPr>
          <w:b/>
          <w:lang w:val="fr-FR"/>
        </w:rPr>
        <w:t xml:space="preserve"> </w:t>
      </w:r>
      <w:proofErr w:type="spellStart"/>
      <w:r w:rsidRPr="00CD0853">
        <w:rPr>
          <w:b/>
          <w:lang w:val="fr-FR"/>
        </w:rPr>
        <w:t>Ependi</w:t>
      </w:r>
      <w:proofErr w:type="spellEnd"/>
      <w:r w:rsidRPr="00CD0853">
        <w:rPr>
          <w:b/>
          <w:lang w:val="fr-FR"/>
        </w:rPr>
        <w:t>/</w:t>
      </w:r>
      <w:proofErr w:type="spellStart"/>
      <w:r w:rsidRPr="00CD0853">
        <w:rPr>
          <w:b/>
          <w:lang w:val="fr-FR"/>
        </w:rPr>
        <w:t>Apendi</w:t>
      </w:r>
      <w:proofErr w:type="spellEnd"/>
      <w:r w:rsidRPr="00CD0853">
        <w:rPr>
          <w:b/>
          <w:lang w:val="fr-FR"/>
        </w:rPr>
        <w:t>/</w:t>
      </w:r>
      <w:proofErr w:type="spellStart"/>
      <w:r w:rsidRPr="00CD0853">
        <w:rPr>
          <w:b/>
          <w:lang w:val="fr-FR"/>
        </w:rPr>
        <w:t>Afendi</w:t>
      </w:r>
      <w:proofErr w:type="spellEnd"/>
      <w:r w:rsidRPr="00CD0853">
        <w:rPr>
          <w:b/>
          <w:lang w:val="fr-FR"/>
        </w:rPr>
        <w:t xml:space="preserve"> </w:t>
      </w:r>
      <w:proofErr w:type="spellStart"/>
      <w:r w:rsidRPr="00CD0853">
        <w:rPr>
          <w:b/>
          <w:lang w:val="fr-FR"/>
        </w:rPr>
        <w:t>Kozhanasyr</w:t>
      </w:r>
      <w:proofErr w:type="spellEnd"/>
      <w:r w:rsidRPr="001B451C">
        <w:rPr>
          <w:bCs/>
          <w:lang w:val="fr-FR"/>
        </w:rPr>
        <w:t xml:space="preserve"> </w:t>
      </w:r>
      <w:r>
        <w:rPr>
          <w:b/>
          <w:lang w:val="fr-FR"/>
        </w:rPr>
        <w:t>sur la Liste représentative.</w:t>
      </w:r>
    </w:p>
    <w:p w14:paraId="4FEC2CBC" w14:textId="3346966F" w:rsidR="008153D2" w:rsidRPr="00702497" w:rsidRDefault="008153D2" w:rsidP="00702497">
      <w:pPr>
        <w:pStyle w:val="Orateurengris"/>
        <w:tabs>
          <w:tab w:val="clear" w:pos="709"/>
          <w:tab w:val="clear" w:pos="1418"/>
          <w:tab w:val="clear" w:pos="2126"/>
          <w:tab w:val="clear" w:pos="2835"/>
          <w:tab w:val="left" w:pos="4962"/>
        </w:tabs>
        <w:spacing w:before="120" w:after="0"/>
        <w:ind w:left="709" w:hanging="709"/>
        <w:jc w:val="center"/>
        <w:rPr>
          <w:rFonts w:eastAsia="Malgun Gothic"/>
          <w:bCs/>
          <w:i/>
          <w:iCs/>
          <w:lang w:val="fr-FR"/>
        </w:rPr>
      </w:pPr>
      <w:r w:rsidRPr="00702497">
        <w:rPr>
          <w:rFonts w:eastAsia="Malgun Gothic"/>
          <w:bCs/>
          <w:i/>
          <w:iCs/>
          <w:lang w:val="fr-FR"/>
        </w:rPr>
        <w:t>[Une vidéo présentant l</w:t>
      </w:r>
      <w:r w:rsidR="00923E72">
        <w:rPr>
          <w:rFonts w:eastAsia="Malgun Gothic"/>
          <w:bCs/>
          <w:i/>
          <w:iCs/>
          <w:lang w:val="fr-FR"/>
        </w:rPr>
        <w:t>’</w:t>
      </w:r>
      <w:r w:rsidRPr="00702497">
        <w:rPr>
          <w:rFonts w:eastAsia="Malgun Gothic"/>
          <w:bCs/>
          <w:i/>
          <w:iCs/>
          <w:lang w:val="fr-FR"/>
        </w:rPr>
        <w:t>élément a été diffusée]</w:t>
      </w:r>
    </w:p>
    <w:p w14:paraId="1E477EEE" w14:textId="70D3EF4B" w:rsidR="008153D2" w:rsidRDefault="008153D2" w:rsidP="00702497">
      <w:pPr>
        <w:pStyle w:val="Orateurengris"/>
        <w:numPr>
          <w:ilvl w:val="0"/>
          <w:numId w:val="20"/>
        </w:numPr>
        <w:tabs>
          <w:tab w:val="clear" w:pos="567"/>
        </w:tabs>
        <w:spacing w:before="120"/>
        <w:ind w:left="709" w:hanging="709"/>
        <w:rPr>
          <w:bCs/>
          <w:lang w:val="fr-FR"/>
        </w:rPr>
      </w:pPr>
      <w:r>
        <w:rPr>
          <w:bCs/>
          <w:lang w:val="fr-FR"/>
        </w:rPr>
        <w:t>E</w:t>
      </w:r>
      <w:r w:rsidRPr="008153D2">
        <w:rPr>
          <w:bCs/>
          <w:lang w:val="fr-FR"/>
        </w:rPr>
        <w:t>n tant que coordinat</w:t>
      </w:r>
      <w:r>
        <w:rPr>
          <w:bCs/>
          <w:lang w:val="fr-FR"/>
        </w:rPr>
        <w:t xml:space="preserve">rice </w:t>
      </w:r>
      <w:r w:rsidRPr="008153D2">
        <w:rPr>
          <w:bCs/>
          <w:lang w:val="fr-FR"/>
        </w:rPr>
        <w:t>et au nom des États participants</w:t>
      </w:r>
      <w:r>
        <w:rPr>
          <w:bCs/>
          <w:lang w:val="fr-FR"/>
        </w:rPr>
        <w:t>, l</w:t>
      </w:r>
      <w:r w:rsidRPr="008153D2">
        <w:rPr>
          <w:bCs/>
          <w:lang w:val="fr-FR"/>
        </w:rPr>
        <w:t xml:space="preserve">a délégation de la </w:t>
      </w:r>
      <w:r w:rsidRPr="00702497">
        <w:rPr>
          <w:b/>
          <w:lang w:val="fr-FR"/>
        </w:rPr>
        <w:t>Türkiye</w:t>
      </w:r>
      <w:r w:rsidRPr="008153D2">
        <w:rPr>
          <w:bCs/>
          <w:lang w:val="fr-FR"/>
        </w:rPr>
        <w:t xml:space="preserve"> a exprimé sa profonde gratitude au Comité et à l</w:t>
      </w:r>
      <w:r w:rsidR="00923E72">
        <w:rPr>
          <w:bCs/>
          <w:lang w:val="fr-FR"/>
        </w:rPr>
        <w:t>’</w:t>
      </w:r>
      <w:r w:rsidRPr="008153D2">
        <w:rPr>
          <w:bCs/>
          <w:lang w:val="fr-FR"/>
        </w:rPr>
        <w:t>Organe d</w:t>
      </w:r>
      <w:r w:rsidR="00923E72">
        <w:rPr>
          <w:bCs/>
          <w:lang w:val="fr-FR"/>
        </w:rPr>
        <w:t>’</w:t>
      </w:r>
      <w:r w:rsidRPr="008153D2">
        <w:rPr>
          <w:bCs/>
          <w:lang w:val="fr-FR"/>
        </w:rPr>
        <w:t>évaluation pour l</w:t>
      </w:r>
      <w:r w:rsidR="00923E72">
        <w:rPr>
          <w:bCs/>
          <w:lang w:val="fr-FR"/>
        </w:rPr>
        <w:t>’</w:t>
      </w:r>
      <w:r w:rsidRPr="008153D2">
        <w:rPr>
          <w:bCs/>
          <w:lang w:val="fr-FR"/>
        </w:rPr>
        <w:t xml:space="preserve">inscription du </w:t>
      </w:r>
      <w:r w:rsidRPr="008153D2">
        <w:rPr>
          <w:bCs/>
          <w:lang w:val="fr-FR"/>
        </w:rPr>
        <w:lastRenderedPageBreak/>
        <w:t xml:space="preserve">dossier de candidature sur la Liste représentative et a expliqué que </w:t>
      </w:r>
      <w:r w:rsidR="006006F9">
        <w:rPr>
          <w:bCs/>
          <w:lang w:val="fr-FR"/>
        </w:rPr>
        <w:t>l</w:t>
      </w:r>
      <w:r w:rsidRPr="008153D2">
        <w:rPr>
          <w:bCs/>
          <w:lang w:val="fr-FR"/>
        </w:rPr>
        <w:t xml:space="preserve">a tradition </w:t>
      </w:r>
      <w:r w:rsidR="006006F9">
        <w:rPr>
          <w:bCs/>
          <w:lang w:val="fr-FR"/>
        </w:rPr>
        <w:t xml:space="preserve">du récit </w:t>
      </w:r>
      <w:r w:rsidRPr="008153D2">
        <w:rPr>
          <w:bCs/>
          <w:lang w:val="fr-FR"/>
        </w:rPr>
        <w:t xml:space="preserve">des anecdotes de </w:t>
      </w:r>
      <w:proofErr w:type="spellStart"/>
      <w:r w:rsidRPr="008153D2">
        <w:rPr>
          <w:bCs/>
          <w:lang w:val="fr-FR"/>
        </w:rPr>
        <w:t>Nasreddin</w:t>
      </w:r>
      <w:proofErr w:type="spellEnd"/>
      <w:r w:rsidRPr="008153D2">
        <w:rPr>
          <w:bCs/>
          <w:lang w:val="fr-FR"/>
        </w:rPr>
        <w:t xml:space="preserve"> Hodja/</w:t>
      </w:r>
      <w:proofErr w:type="spellStart"/>
      <w:r w:rsidRPr="008153D2">
        <w:rPr>
          <w:bCs/>
          <w:lang w:val="fr-FR"/>
        </w:rPr>
        <w:t>Molla</w:t>
      </w:r>
      <w:proofErr w:type="spellEnd"/>
      <w:r w:rsidRPr="008153D2">
        <w:rPr>
          <w:bCs/>
          <w:lang w:val="fr-FR"/>
        </w:rPr>
        <w:t xml:space="preserve"> </w:t>
      </w:r>
      <w:proofErr w:type="spellStart"/>
      <w:r w:rsidRPr="008153D2">
        <w:rPr>
          <w:bCs/>
          <w:lang w:val="fr-FR"/>
        </w:rPr>
        <w:t>Nesreddin</w:t>
      </w:r>
      <w:proofErr w:type="spellEnd"/>
      <w:r w:rsidRPr="008153D2">
        <w:rPr>
          <w:bCs/>
          <w:lang w:val="fr-FR"/>
        </w:rPr>
        <w:t>/</w:t>
      </w:r>
      <w:proofErr w:type="spellStart"/>
      <w:r w:rsidRPr="008153D2">
        <w:rPr>
          <w:bCs/>
          <w:lang w:val="fr-FR"/>
        </w:rPr>
        <w:t>Molla</w:t>
      </w:r>
      <w:proofErr w:type="spellEnd"/>
      <w:r w:rsidRPr="008153D2">
        <w:rPr>
          <w:bCs/>
          <w:lang w:val="fr-FR"/>
        </w:rPr>
        <w:t xml:space="preserve"> </w:t>
      </w:r>
      <w:proofErr w:type="spellStart"/>
      <w:r w:rsidRPr="008153D2">
        <w:rPr>
          <w:bCs/>
          <w:lang w:val="fr-FR"/>
        </w:rPr>
        <w:t>Ependi</w:t>
      </w:r>
      <w:proofErr w:type="spellEnd"/>
      <w:r w:rsidRPr="008153D2">
        <w:rPr>
          <w:bCs/>
          <w:lang w:val="fr-FR"/>
        </w:rPr>
        <w:t>/</w:t>
      </w:r>
      <w:proofErr w:type="spellStart"/>
      <w:r w:rsidRPr="008153D2">
        <w:rPr>
          <w:bCs/>
          <w:lang w:val="fr-FR"/>
        </w:rPr>
        <w:t>Apendi</w:t>
      </w:r>
      <w:proofErr w:type="spellEnd"/>
      <w:r w:rsidRPr="008153D2">
        <w:rPr>
          <w:bCs/>
          <w:lang w:val="fr-FR"/>
        </w:rPr>
        <w:t>/</w:t>
      </w:r>
      <w:proofErr w:type="spellStart"/>
      <w:r w:rsidRPr="008153D2">
        <w:rPr>
          <w:bCs/>
          <w:lang w:val="fr-FR"/>
        </w:rPr>
        <w:t>Afendi</w:t>
      </w:r>
      <w:proofErr w:type="spellEnd"/>
      <w:r w:rsidRPr="008153D2">
        <w:rPr>
          <w:bCs/>
          <w:lang w:val="fr-FR"/>
        </w:rPr>
        <w:t xml:space="preserve"> </w:t>
      </w:r>
      <w:proofErr w:type="spellStart"/>
      <w:r w:rsidRPr="008153D2">
        <w:rPr>
          <w:bCs/>
          <w:lang w:val="fr-FR"/>
        </w:rPr>
        <w:t>Kozhanasyr</w:t>
      </w:r>
      <w:proofErr w:type="spellEnd"/>
      <w:r w:rsidRPr="008153D2">
        <w:rPr>
          <w:bCs/>
          <w:lang w:val="fr-FR"/>
        </w:rPr>
        <w:t xml:space="preserve"> est un élément des pratiques sociales et des festivals lié à la tradition du récit des anecdotes de </w:t>
      </w:r>
      <w:proofErr w:type="spellStart"/>
      <w:r w:rsidRPr="008153D2">
        <w:rPr>
          <w:bCs/>
          <w:lang w:val="fr-FR"/>
        </w:rPr>
        <w:t>Nasreddin</w:t>
      </w:r>
      <w:proofErr w:type="spellEnd"/>
      <w:r w:rsidRPr="008153D2">
        <w:rPr>
          <w:bCs/>
          <w:lang w:val="fr-FR"/>
        </w:rPr>
        <w:t xml:space="preserve"> et</w:t>
      </w:r>
      <w:r w:rsidR="006006F9">
        <w:rPr>
          <w:bCs/>
          <w:lang w:val="fr-FR"/>
        </w:rPr>
        <w:t xml:space="preserve"> </w:t>
      </w:r>
      <w:r w:rsidRPr="008153D2">
        <w:rPr>
          <w:bCs/>
          <w:lang w:val="fr-FR"/>
        </w:rPr>
        <w:t xml:space="preserve">que les communautés enrichissent les conversations avec ses anecdotes et </w:t>
      </w:r>
      <w:r w:rsidR="006006F9">
        <w:rPr>
          <w:bCs/>
          <w:lang w:val="fr-FR"/>
        </w:rPr>
        <w:t xml:space="preserve">étayent </w:t>
      </w:r>
      <w:r w:rsidRPr="008153D2">
        <w:rPr>
          <w:bCs/>
          <w:lang w:val="fr-FR"/>
        </w:rPr>
        <w:t>le</w:t>
      </w:r>
      <w:r w:rsidR="006006F9">
        <w:rPr>
          <w:bCs/>
          <w:lang w:val="fr-FR"/>
        </w:rPr>
        <w:t>urs</w:t>
      </w:r>
      <w:r w:rsidRPr="008153D2">
        <w:rPr>
          <w:bCs/>
          <w:lang w:val="fr-FR"/>
        </w:rPr>
        <w:t xml:space="preserve"> discours avec ses traits d</w:t>
      </w:r>
      <w:r w:rsidR="00923E72">
        <w:rPr>
          <w:bCs/>
          <w:lang w:val="fr-FR"/>
        </w:rPr>
        <w:t>’</w:t>
      </w:r>
      <w:r w:rsidRPr="008153D2">
        <w:rPr>
          <w:bCs/>
          <w:lang w:val="fr-FR"/>
        </w:rPr>
        <w:t>esprit. La délégation a remercié toutes les parties prenantes d</w:t>
      </w:r>
      <w:r w:rsidR="006636CD">
        <w:rPr>
          <w:bCs/>
          <w:lang w:val="fr-FR"/>
        </w:rPr>
        <w:t>e l</w:t>
      </w:r>
      <w:r w:rsidR="00923E72">
        <w:rPr>
          <w:bCs/>
          <w:lang w:val="fr-FR"/>
        </w:rPr>
        <w:t>’</w:t>
      </w:r>
      <w:r w:rsidRPr="008153D2">
        <w:rPr>
          <w:bCs/>
          <w:lang w:val="fr-FR"/>
        </w:rPr>
        <w:t>Azerbaïdjan, du Kazakhstan, du Kirghizstan, du Tadjikistan, du Turkménistan et de l</w:t>
      </w:r>
      <w:r w:rsidR="00923E72">
        <w:rPr>
          <w:bCs/>
          <w:lang w:val="fr-FR"/>
        </w:rPr>
        <w:t>’</w:t>
      </w:r>
      <w:r w:rsidRPr="008153D2">
        <w:rPr>
          <w:bCs/>
          <w:lang w:val="fr-FR"/>
        </w:rPr>
        <w:t>Ouzbékistan pour le processus de préparation. Le dossier était un exemple de coopération internationale réussie et le résultat d</w:t>
      </w:r>
      <w:r w:rsidR="00923E72">
        <w:rPr>
          <w:bCs/>
          <w:lang w:val="fr-FR"/>
        </w:rPr>
        <w:t>’</w:t>
      </w:r>
      <w:r w:rsidRPr="008153D2">
        <w:rPr>
          <w:bCs/>
          <w:lang w:val="fr-FR"/>
        </w:rPr>
        <w:t>un engagement fort de la part des États participants. On pouvait espérer que l</w:t>
      </w:r>
      <w:r w:rsidR="00923E72">
        <w:rPr>
          <w:bCs/>
          <w:lang w:val="fr-FR"/>
        </w:rPr>
        <w:t>’</w:t>
      </w:r>
      <w:r w:rsidRPr="008153D2">
        <w:rPr>
          <w:bCs/>
          <w:lang w:val="fr-FR"/>
        </w:rPr>
        <w:t>inscription inciterait les pays à sauvegarder un patrimoine vivant commun et partagé.</w:t>
      </w:r>
    </w:p>
    <w:p w14:paraId="5867108E" w14:textId="01680FFA" w:rsidR="006006F9" w:rsidRDefault="006006F9" w:rsidP="00702497">
      <w:pPr>
        <w:pStyle w:val="Orateurengris"/>
        <w:numPr>
          <w:ilvl w:val="0"/>
          <w:numId w:val="20"/>
        </w:numPr>
        <w:tabs>
          <w:tab w:val="clear" w:pos="567"/>
        </w:tabs>
        <w:spacing w:before="120"/>
        <w:ind w:left="709" w:hanging="709"/>
        <w:rPr>
          <w:bCs/>
          <w:lang w:val="fr-FR"/>
        </w:rPr>
      </w:pPr>
      <w:r w:rsidRPr="006006F9">
        <w:rPr>
          <w:bCs/>
          <w:lang w:val="fr-FR"/>
        </w:rPr>
        <w:t>La délégation de l</w:t>
      </w:r>
      <w:r w:rsidR="00923E72">
        <w:rPr>
          <w:bCs/>
          <w:lang w:val="fr-FR"/>
        </w:rPr>
        <w:t>’</w:t>
      </w:r>
      <w:r w:rsidRPr="00702497">
        <w:rPr>
          <w:b/>
          <w:lang w:val="fr-FR"/>
        </w:rPr>
        <w:t>Ouzbékistan</w:t>
      </w:r>
      <w:r w:rsidRPr="006006F9">
        <w:rPr>
          <w:bCs/>
          <w:lang w:val="fr-FR"/>
        </w:rPr>
        <w:t xml:space="preserve"> s</w:t>
      </w:r>
      <w:r w:rsidR="00923E72">
        <w:rPr>
          <w:bCs/>
          <w:lang w:val="fr-FR"/>
        </w:rPr>
        <w:t>’</w:t>
      </w:r>
      <w:r w:rsidRPr="006006F9">
        <w:rPr>
          <w:bCs/>
          <w:lang w:val="fr-FR"/>
        </w:rPr>
        <w:t>est jointe à tous les États soumissionnaires pour remercier le Comité de sa décision d</w:t>
      </w:r>
      <w:r w:rsidR="00923E72">
        <w:rPr>
          <w:bCs/>
          <w:lang w:val="fr-FR"/>
        </w:rPr>
        <w:t>’</w:t>
      </w:r>
      <w:r w:rsidRPr="006006F9">
        <w:rPr>
          <w:bCs/>
          <w:lang w:val="fr-FR"/>
        </w:rPr>
        <w:t>inscrire la tradition du récit des anecdotes d</w:t>
      </w:r>
      <w:r>
        <w:rPr>
          <w:bCs/>
          <w:lang w:val="fr-FR"/>
        </w:rPr>
        <w:t xml:space="preserve">e </w:t>
      </w:r>
      <w:proofErr w:type="spellStart"/>
      <w:r w:rsidRPr="006006F9">
        <w:rPr>
          <w:bCs/>
          <w:lang w:val="fr-FR"/>
        </w:rPr>
        <w:t>Nesreddin</w:t>
      </w:r>
      <w:proofErr w:type="spellEnd"/>
      <w:r w:rsidRPr="006006F9">
        <w:rPr>
          <w:bCs/>
          <w:lang w:val="fr-FR"/>
        </w:rPr>
        <w:t xml:space="preserve"> et a expliqué que les communautés perçoivent les anecdotes du </w:t>
      </w:r>
      <w:proofErr w:type="spellStart"/>
      <w:r w:rsidRPr="006006F9">
        <w:rPr>
          <w:bCs/>
          <w:lang w:val="fr-FR"/>
        </w:rPr>
        <w:t>Molla</w:t>
      </w:r>
      <w:proofErr w:type="spellEnd"/>
      <w:r w:rsidRPr="006006F9">
        <w:rPr>
          <w:bCs/>
          <w:lang w:val="fr-FR"/>
        </w:rPr>
        <w:t xml:space="preserve"> </w:t>
      </w:r>
      <w:proofErr w:type="spellStart"/>
      <w:r w:rsidRPr="006006F9">
        <w:rPr>
          <w:bCs/>
          <w:lang w:val="fr-FR"/>
        </w:rPr>
        <w:t>Nesreddin</w:t>
      </w:r>
      <w:proofErr w:type="spellEnd"/>
      <w:r w:rsidRPr="006006F9">
        <w:rPr>
          <w:bCs/>
          <w:lang w:val="fr-FR"/>
        </w:rPr>
        <w:t xml:space="preserve"> comme faisant partie intégrante de leur culture, car elles sont porteuses d</w:t>
      </w:r>
      <w:r w:rsidR="00923E72">
        <w:rPr>
          <w:bCs/>
          <w:lang w:val="fr-FR"/>
        </w:rPr>
        <w:t>’</w:t>
      </w:r>
      <w:r w:rsidRPr="006006F9">
        <w:rPr>
          <w:bCs/>
          <w:lang w:val="fr-FR"/>
        </w:rPr>
        <w:t xml:space="preserve">une grande richesse de traditions, </w:t>
      </w:r>
      <w:r w:rsidR="00C27187">
        <w:rPr>
          <w:bCs/>
          <w:lang w:val="fr-FR"/>
        </w:rPr>
        <w:t xml:space="preserve">elles-mêmes </w:t>
      </w:r>
      <w:r w:rsidRPr="006006F9">
        <w:rPr>
          <w:bCs/>
          <w:lang w:val="fr-FR"/>
        </w:rPr>
        <w:t>très diverses. Elle a rappelé qu</w:t>
      </w:r>
      <w:r w:rsidR="00923E72">
        <w:rPr>
          <w:bCs/>
          <w:lang w:val="fr-FR"/>
        </w:rPr>
        <w:t>’</w:t>
      </w:r>
      <w:r w:rsidRPr="006006F9">
        <w:rPr>
          <w:bCs/>
          <w:lang w:val="fr-FR"/>
        </w:rPr>
        <w:t xml:space="preserve">elle </w:t>
      </w:r>
      <w:r w:rsidR="00C27187">
        <w:rPr>
          <w:bCs/>
          <w:lang w:val="fr-FR"/>
        </w:rPr>
        <w:t>est</w:t>
      </w:r>
      <w:r w:rsidRPr="006006F9">
        <w:rPr>
          <w:bCs/>
          <w:lang w:val="fr-FR"/>
        </w:rPr>
        <w:t xml:space="preserve"> devenue l</w:t>
      </w:r>
      <w:r w:rsidR="00923E72">
        <w:rPr>
          <w:bCs/>
          <w:lang w:val="fr-FR"/>
        </w:rPr>
        <w:t>’</w:t>
      </w:r>
      <w:r w:rsidRPr="006006F9">
        <w:rPr>
          <w:bCs/>
          <w:lang w:val="fr-FR"/>
        </w:rPr>
        <w:t>un des symboles du patrimoine culturel immatériel des communautés de la région, un élément de la mémoire culturelle et un marqueur fort de l</w:t>
      </w:r>
      <w:r w:rsidR="00923E72">
        <w:rPr>
          <w:bCs/>
          <w:lang w:val="fr-FR"/>
        </w:rPr>
        <w:t>’</w:t>
      </w:r>
      <w:r w:rsidRPr="006006F9">
        <w:rPr>
          <w:bCs/>
          <w:lang w:val="fr-FR"/>
        </w:rPr>
        <w:t xml:space="preserve">appartenance culturelle, et que, transmise de génération en génération, la tradition du récit des anecdotes de </w:t>
      </w:r>
      <w:proofErr w:type="spellStart"/>
      <w:r w:rsidRPr="006006F9">
        <w:rPr>
          <w:bCs/>
          <w:lang w:val="fr-FR"/>
        </w:rPr>
        <w:t>Molla</w:t>
      </w:r>
      <w:proofErr w:type="spellEnd"/>
      <w:r w:rsidRPr="006006F9">
        <w:rPr>
          <w:bCs/>
          <w:lang w:val="fr-FR"/>
        </w:rPr>
        <w:t xml:space="preserve"> </w:t>
      </w:r>
      <w:proofErr w:type="spellStart"/>
      <w:r w:rsidRPr="006006F9">
        <w:rPr>
          <w:bCs/>
          <w:lang w:val="fr-FR"/>
        </w:rPr>
        <w:t>Nesreddin</w:t>
      </w:r>
      <w:proofErr w:type="spellEnd"/>
      <w:r w:rsidRPr="006006F9">
        <w:rPr>
          <w:bCs/>
          <w:lang w:val="fr-FR"/>
        </w:rPr>
        <w:t xml:space="preserve"> dépasse les frontières ethniques et religieuses. Cette inscription était le résultat du travail acharné et de la coopération d</w:t>
      </w:r>
      <w:r w:rsidR="00923E72">
        <w:rPr>
          <w:bCs/>
          <w:lang w:val="fr-FR"/>
        </w:rPr>
        <w:t>’</w:t>
      </w:r>
      <w:r w:rsidRPr="006006F9">
        <w:rPr>
          <w:bCs/>
          <w:lang w:val="fr-FR"/>
        </w:rPr>
        <w:t>une excellente équipe d</w:t>
      </w:r>
      <w:r w:rsidR="00923E72">
        <w:rPr>
          <w:bCs/>
          <w:lang w:val="fr-FR"/>
        </w:rPr>
        <w:t>’</w:t>
      </w:r>
      <w:r w:rsidRPr="006006F9">
        <w:rPr>
          <w:bCs/>
          <w:lang w:val="fr-FR"/>
        </w:rPr>
        <w:t>experts</w:t>
      </w:r>
      <w:r w:rsidR="00E24862">
        <w:rPr>
          <w:bCs/>
          <w:lang w:val="fr-FR"/>
        </w:rPr>
        <w:t>,</w:t>
      </w:r>
      <w:r w:rsidRPr="006006F9">
        <w:rPr>
          <w:bCs/>
          <w:lang w:val="fr-FR"/>
        </w:rPr>
        <w:t xml:space="preserve"> qui avai</w:t>
      </w:r>
      <w:r w:rsidR="00E24862">
        <w:rPr>
          <w:bCs/>
          <w:lang w:val="fr-FR"/>
        </w:rPr>
        <w:t>t</w:t>
      </w:r>
      <w:r w:rsidRPr="006006F9">
        <w:rPr>
          <w:bCs/>
          <w:lang w:val="fr-FR"/>
        </w:rPr>
        <w:t xml:space="preserve"> coordonné la préparation du dossier. La délégation a remercié </w:t>
      </w:r>
      <w:r w:rsidR="00E24862">
        <w:rPr>
          <w:bCs/>
          <w:lang w:val="fr-FR"/>
        </w:rPr>
        <w:t>tous les ministères et toutes les</w:t>
      </w:r>
      <w:r w:rsidRPr="006006F9">
        <w:rPr>
          <w:bCs/>
          <w:lang w:val="fr-FR"/>
        </w:rPr>
        <w:t xml:space="preserve"> parties prenantes</w:t>
      </w:r>
      <w:r w:rsidR="00E24862">
        <w:rPr>
          <w:bCs/>
          <w:lang w:val="fr-FR"/>
        </w:rPr>
        <w:t xml:space="preserve"> </w:t>
      </w:r>
      <w:r w:rsidRPr="006006F9">
        <w:rPr>
          <w:bCs/>
          <w:lang w:val="fr-FR"/>
        </w:rPr>
        <w:t>et organisations communautaires</w:t>
      </w:r>
      <w:r w:rsidR="00BD6B81">
        <w:rPr>
          <w:bCs/>
          <w:lang w:val="fr-FR"/>
        </w:rPr>
        <w:t xml:space="preserve"> </w:t>
      </w:r>
      <w:r w:rsidRPr="006006F9">
        <w:rPr>
          <w:bCs/>
          <w:lang w:val="fr-FR"/>
        </w:rPr>
        <w:t>qui avaient soutenu la préparation du dossier. Elle a remercié l</w:t>
      </w:r>
      <w:r w:rsidR="00923E72">
        <w:rPr>
          <w:bCs/>
          <w:lang w:val="fr-FR"/>
        </w:rPr>
        <w:t>’</w:t>
      </w:r>
      <w:r w:rsidRPr="006006F9">
        <w:rPr>
          <w:bCs/>
          <w:lang w:val="fr-FR"/>
        </w:rPr>
        <w:t>Organe d</w:t>
      </w:r>
      <w:r w:rsidR="00923E72">
        <w:rPr>
          <w:bCs/>
          <w:lang w:val="fr-FR"/>
        </w:rPr>
        <w:t>’</w:t>
      </w:r>
      <w:r w:rsidRPr="006006F9">
        <w:rPr>
          <w:bCs/>
          <w:lang w:val="fr-FR"/>
        </w:rPr>
        <w:t>évaluation pour son évaluation minutieuse de cette candidature multinationale et s</w:t>
      </w:r>
      <w:r w:rsidR="00923E72">
        <w:rPr>
          <w:bCs/>
          <w:lang w:val="fr-FR"/>
        </w:rPr>
        <w:t>’</w:t>
      </w:r>
      <w:r w:rsidRPr="006006F9">
        <w:rPr>
          <w:bCs/>
          <w:lang w:val="fr-FR"/>
        </w:rPr>
        <w:t>est réjouie à l</w:t>
      </w:r>
      <w:r w:rsidR="00923E72">
        <w:rPr>
          <w:bCs/>
          <w:lang w:val="fr-FR"/>
        </w:rPr>
        <w:t>’</w:t>
      </w:r>
      <w:r w:rsidRPr="006006F9">
        <w:rPr>
          <w:bCs/>
          <w:lang w:val="fr-FR"/>
        </w:rPr>
        <w:t>idée d</w:t>
      </w:r>
      <w:r w:rsidR="00923E72">
        <w:rPr>
          <w:bCs/>
          <w:lang w:val="fr-FR"/>
        </w:rPr>
        <w:t>’</w:t>
      </w:r>
      <w:r w:rsidRPr="006006F9">
        <w:rPr>
          <w:bCs/>
          <w:lang w:val="fr-FR"/>
        </w:rPr>
        <w:t>autres candidatures conjointes avec les pays de la région.</w:t>
      </w:r>
    </w:p>
    <w:p w14:paraId="40F8A433" w14:textId="27CE1FB1" w:rsidR="00C27187" w:rsidRDefault="00934338" w:rsidP="00702497">
      <w:pPr>
        <w:pStyle w:val="Orateurengris"/>
        <w:numPr>
          <w:ilvl w:val="0"/>
          <w:numId w:val="20"/>
        </w:numPr>
        <w:tabs>
          <w:tab w:val="clear" w:pos="567"/>
        </w:tabs>
        <w:spacing w:before="120"/>
        <w:ind w:left="709" w:hanging="709"/>
        <w:rPr>
          <w:bCs/>
          <w:lang w:val="fr-FR"/>
        </w:rPr>
      </w:pPr>
      <w:r w:rsidRPr="00934338">
        <w:rPr>
          <w:bCs/>
          <w:lang w:val="fr-FR"/>
        </w:rPr>
        <w:t>L</w:t>
      </w:r>
      <w:r>
        <w:rPr>
          <w:bCs/>
          <w:lang w:val="fr-FR"/>
        </w:rPr>
        <w:t xml:space="preserve">a </w:t>
      </w:r>
      <w:r w:rsidRPr="00702497">
        <w:rPr>
          <w:b/>
          <w:lang w:val="fr-FR"/>
        </w:rPr>
        <w:t>Vice-Présidente de l</w:t>
      </w:r>
      <w:r w:rsidR="00923E72">
        <w:rPr>
          <w:b/>
          <w:lang w:val="fr-FR"/>
        </w:rPr>
        <w:t>’</w:t>
      </w:r>
      <w:r w:rsidRPr="00702497">
        <w:rPr>
          <w:b/>
          <w:lang w:val="fr-FR"/>
        </w:rPr>
        <w:t>Organe d</w:t>
      </w:r>
      <w:r w:rsidR="00923E72">
        <w:rPr>
          <w:b/>
          <w:lang w:val="fr-FR"/>
        </w:rPr>
        <w:t>’</w:t>
      </w:r>
      <w:r w:rsidRPr="00702497">
        <w:rPr>
          <w:b/>
          <w:lang w:val="fr-FR"/>
        </w:rPr>
        <w:t>évaluation</w:t>
      </w:r>
      <w:r w:rsidRPr="00934338">
        <w:rPr>
          <w:bCs/>
          <w:lang w:val="fr-FR"/>
        </w:rPr>
        <w:t xml:space="preserve"> a présenté le dossier de candidature suivant, </w:t>
      </w:r>
      <w:r w:rsidRPr="00702497">
        <w:rPr>
          <w:b/>
          <w:lang w:val="fr-FR"/>
        </w:rPr>
        <w:t>la culture du çay (thé) : un</w:t>
      </w:r>
      <w:r>
        <w:rPr>
          <w:b/>
          <w:lang w:val="fr-FR"/>
        </w:rPr>
        <w:t xml:space="preserve"> </w:t>
      </w:r>
      <w:r w:rsidRPr="00702497">
        <w:rPr>
          <w:b/>
          <w:lang w:val="fr-FR"/>
        </w:rPr>
        <w:t>symbole d</w:t>
      </w:r>
      <w:r w:rsidR="00923E72">
        <w:rPr>
          <w:b/>
          <w:lang w:val="fr-FR"/>
        </w:rPr>
        <w:t>’</w:t>
      </w:r>
      <w:r w:rsidRPr="00702497">
        <w:rPr>
          <w:b/>
          <w:lang w:val="fr-FR"/>
        </w:rPr>
        <w:t>identité, d</w:t>
      </w:r>
      <w:r w:rsidR="00923E72">
        <w:rPr>
          <w:b/>
          <w:lang w:val="fr-FR"/>
        </w:rPr>
        <w:t>’</w:t>
      </w:r>
      <w:r w:rsidRPr="00702497">
        <w:rPr>
          <w:b/>
          <w:lang w:val="fr-FR"/>
        </w:rPr>
        <w:t>hospitalité et d</w:t>
      </w:r>
      <w:r w:rsidR="00923E72">
        <w:rPr>
          <w:b/>
          <w:lang w:val="fr-FR"/>
        </w:rPr>
        <w:t>’</w:t>
      </w:r>
      <w:r w:rsidRPr="00702497">
        <w:rPr>
          <w:b/>
          <w:lang w:val="fr-FR"/>
        </w:rPr>
        <w:t>interaction sociale</w:t>
      </w:r>
      <w:r w:rsidRPr="00934338">
        <w:rPr>
          <w:bCs/>
          <w:lang w:val="fr-FR"/>
        </w:rPr>
        <w:t xml:space="preserve"> [projet de décision</w:t>
      </w:r>
      <w:r w:rsidR="0094510E">
        <w:rPr>
          <w:bCs/>
          <w:lang w:val="fr-FR"/>
        </w:rPr>
        <w:t> </w:t>
      </w:r>
      <w:r w:rsidRPr="00934338">
        <w:rPr>
          <w:bCs/>
          <w:lang w:val="fr-FR"/>
        </w:rPr>
        <w:t>7.b.44], soumis par l</w:t>
      </w:r>
      <w:r w:rsidR="00923E72">
        <w:rPr>
          <w:bCs/>
          <w:lang w:val="fr-FR"/>
        </w:rPr>
        <w:t>’</w:t>
      </w:r>
      <w:r w:rsidRPr="00702497">
        <w:rPr>
          <w:b/>
          <w:lang w:val="fr-FR"/>
        </w:rPr>
        <w:t>Azerbaïdjan</w:t>
      </w:r>
      <w:r w:rsidRPr="00934338">
        <w:rPr>
          <w:bCs/>
          <w:lang w:val="fr-FR"/>
        </w:rPr>
        <w:t xml:space="preserve"> et la </w:t>
      </w:r>
      <w:r w:rsidRPr="00702497">
        <w:rPr>
          <w:b/>
          <w:lang w:val="fr-FR"/>
        </w:rPr>
        <w:t>Türkiye</w:t>
      </w:r>
      <w:r w:rsidRPr="00934338">
        <w:rPr>
          <w:bCs/>
          <w:lang w:val="fr-FR"/>
        </w:rPr>
        <w:t xml:space="preserve">, expliquant que </w:t>
      </w:r>
      <w:r>
        <w:rPr>
          <w:bCs/>
          <w:lang w:val="fr-FR"/>
        </w:rPr>
        <w:t>l</w:t>
      </w:r>
      <w:r w:rsidRPr="00934338">
        <w:rPr>
          <w:bCs/>
          <w:lang w:val="fr-FR"/>
        </w:rPr>
        <w:t>a culture du thé en Azerbaïdjan et en T</w:t>
      </w:r>
      <w:r w:rsidR="0094510E">
        <w:rPr>
          <w:bCs/>
          <w:lang w:val="fr-FR"/>
        </w:rPr>
        <w:t>ürkiye</w:t>
      </w:r>
      <w:r w:rsidRPr="00934338">
        <w:rPr>
          <w:bCs/>
          <w:lang w:val="fr-FR"/>
        </w:rPr>
        <w:t xml:space="preserve"> est une pratique sociale importante qui témoigne de l</w:t>
      </w:r>
      <w:r w:rsidR="00923E72">
        <w:rPr>
          <w:bCs/>
          <w:lang w:val="fr-FR"/>
        </w:rPr>
        <w:t>’</w:t>
      </w:r>
      <w:r w:rsidRPr="00934338">
        <w:rPr>
          <w:bCs/>
          <w:lang w:val="fr-FR"/>
        </w:rPr>
        <w:t xml:space="preserve">hospitalité, crée et </w:t>
      </w:r>
      <w:proofErr w:type="spellStart"/>
      <w:r w:rsidRPr="00934338">
        <w:rPr>
          <w:bCs/>
          <w:lang w:val="fr-FR"/>
        </w:rPr>
        <w:t>maintient</w:t>
      </w:r>
      <w:proofErr w:type="spellEnd"/>
      <w:r w:rsidRPr="00934338">
        <w:rPr>
          <w:bCs/>
          <w:lang w:val="fr-FR"/>
        </w:rPr>
        <w:t xml:space="preserve"> des liens sociaux et sert à célébrer des moments importants dans la vie des communautés, et que la culture du thé est un élément essentiel de la vie quotidienne </w:t>
      </w:r>
      <w:r>
        <w:rPr>
          <w:bCs/>
          <w:lang w:val="fr-FR"/>
        </w:rPr>
        <w:t xml:space="preserve">de </w:t>
      </w:r>
      <w:r w:rsidRPr="00934338">
        <w:rPr>
          <w:bCs/>
          <w:lang w:val="fr-FR"/>
        </w:rPr>
        <w:t>toutes les couches de la société</w:t>
      </w:r>
      <w:r>
        <w:rPr>
          <w:bCs/>
          <w:lang w:val="fr-FR"/>
        </w:rPr>
        <w:t>, qui</w:t>
      </w:r>
      <w:r w:rsidRPr="00934338">
        <w:rPr>
          <w:bCs/>
          <w:lang w:val="fr-FR"/>
        </w:rPr>
        <w:t xml:space="preserve"> procure un fort sentiment d</w:t>
      </w:r>
      <w:r w:rsidR="00923E72">
        <w:rPr>
          <w:bCs/>
          <w:lang w:val="fr-FR"/>
        </w:rPr>
        <w:t>’</w:t>
      </w:r>
      <w:r w:rsidRPr="00934338">
        <w:rPr>
          <w:bCs/>
          <w:lang w:val="fr-FR"/>
        </w:rPr>
        <w:t>identité culturelle. L</w:t>
      </w:r>
      <w:r w:rsidR="00923E72">
        <w:rPr>
          <w:bCs/>
          <w:lang w:val="fr-FR"/>
        </w:rPr>
        <w:t>’</w:t>
      </w:r>
      <w:r w:rsidRPr="00934338">
        <w:rPr>
          <w:bCs/>
          <w:lang w:val="fr-FR"/>
        </w:rPr>
        <w:t>Organe d</w:t>
      </w:r>
      <w:r w:rsidR="00923E72">
        <w:rPr>
          <w:bCs/>
          <w:lang w:val="fr-FR"/>
        </w:rPr>
        <w:t>’</w:t>
      </w:r>
      <w:r w:rsidRPr="00934338">
        <w:rPr>
          <w:bCs/>
          <w:lang w:val="fr-FR"/>
        </w:rPr>
        <w:t>évaluation avait estimé que la candidature satisfaisait à l</w:t>
      </w:r>
      <w:r w:rsidR="00923E72">
        <w:rPr>
          <w:bCs/>
          <w:lang w:val="fr-FR"/>
        </w:rPr>
        <w:t>’</w:t>
      </w:r>
      <w:r w:rsidRPr="00934338">
        <w:rPr>
          <w:bCs/>
          <w:lang w:val="fr-FR"/>
        </w:rPr>
        <w:t>ensemble des cinq critères. Le dossier démontrait que l</w:t>
      </w:r>
      <w:r w:rsidR="00923E72">
        <w:rPr>
          <w:bCs/>
          <w:lang w:val="fr-FR"/>
        </w:rPr>
        <w:t>’</w:t>
      </w:r>
      <w:r w:rsidRPr="00934338">
        <w:rPr>
          <w:bCs/>
          <w:lang w:val="fr-FR"/>
        </w:rPr>
        <w:t xml:space="preserve">élément favorise les relations amicales entre les </w:t>
      </w:r>
      <w:r>
        <w:rPr>
          <w:bCs/>
          <w:lang w:val="fr-FR"/>
        </w:rPr>
        <w:t>personnes, qu</w:t>
      </w:r>
      <w:r w:rsidR="00923E72">
        <w:rPr>
          <w:bCs/>
          <w:lang w:val="fr-FR"/>
        </w:rPr>
        <w:t>’</w:t>
      </w:r>
      <w:r>
        <w:rPr>
          <w:bCs/>
          <w:lang w:val="fr-FR"/>
        </w:rPr>
        <w:t xml:space="preserve">il </w:t>
      </w:r>
      <w:r w:rsidRPr="00934338">
        <w:rPr>
          <w:bCs/>
          <w:lang w:val="fr-FR"/>
        </w:rPr>
        <w:t>est associé à divers événements sociaux dans les deux pays</w:t>
      </w:r>
      <w:r>
        <w:rPr>
          <w:bCs/>
          <w:lang w:val="fr-FR"/>
        </w:rPr>
        <w:t xml:space="preserve"> et qu</w:t>
      </w:r>
      <w:r w:rsidR="00923E72">
        <w:rPr>
          <w:bCs/>
          <w:lang w:val="fr-FR"/>
        </w:rPr>
        <w:t>’</w:t>
      </w:r>
      <w:r>
        <w:rPr>
          <w:bCs/>
          <w:lang w:val="fr-FR"/>
        </w:rPr>
        <w:t xml:space="preserve">il encourage </w:t>
      </w:r>
      <w:r w:rsidRPr="00934338">
        <w:rPr>
          <w:bCs/>
          <w:lang w:val="fr-FR"/>
        </w:rPr>
        <w:t>le développement durable en suivant les principes de l</w:t>
      </w:r>
      <w:r w:rsidR="00923E72">
        <w:rPr>
          <w:bCs/>
          <w:lang w:val="fr-FR"/>
        </w:rPr>
        <w:t>’</w:t>
      </w:r>
      <w:r w:rsidRPr="00934338">
        <w:rPr>
          <w:bCs/>
          <w:lang w:val="fr-FR"/>
        </w:rPr>
        <w:t>agriculture durable et en utilisant des matériaux respectueux de l</w:t>
      </w:r>
      <w:r w:rsidR="00923E72">
        <w:rPr>
          <w:bCs/>
          <w:lang w:val="fr-FR"/>
        </w:rPr>
        <w:t>’</w:t>
      </w:r>
      <w:r w:rsidRPr="00934338">
        <w:rPr>
          <w:bCs/>
          <w:lang w:val="fr-FR"/>
        </w:rPr>
        <w:t>environnement. En conclusion, l</w:t>
      </w:r>
      <w:r w:rsidR="00923E72">
        <w:rPr>
          <w:bCs/>
          <w:lang w:val="fr-FR"/>
        </w:rPr>
        <w:t>’</w:t>
      </w:r>
      <w:r w:rsidRPr="00934338">
        <w:rPr>
          <w:bCs/>
          <w:lang w:val="fr-FR"/>
        </w:rPr>
        <w:t>Organe d</w:t>
      </w:r>
      <w:r w:rsidR="00923E72">
        <w:rPr>
          <w:bCs/>
          <w:lang w:val="fr-FR"/>
        </w:rPr>
        <w:t>’</w:t>
      </w:r>
      <w:r w:rsidRPr="00934338">
        <w:rPr>
          <w:bCs/>
          <w:lang w:val="fr-FR"/>
        </w:rPr>
        <w:t>évaluation recommand</w:t>
      </w:r>
      <w:r>
        <w:rPr>
          <w:bCs/>
          <w:lang w:val="fr-FR"/>
        </w:rPr>
        <w:t>ait</w:t>
      </w:r>
      <w:r w:rsidRPr="00934338">
        <w:rPr>
          <w:bCs/>
          <w:lang w:val="fr-FR"/>
        </w:rPr>
        <w:t xml:space="preserve"> l</w:t>
      </w:r>
      <w:r w:rsidR="00923E72">
        <w:rPr>
          <w:bCs/>
          <w:lang w:val="fr-FR"/>
        </w:rPr>
        <w:t>’</w:t>
      </w:r>
      <w:r w:rsidRPr="00934338">
        <w:rPr>
          <w:bCs/>
          <w:lang w:val="fr-FR"/>
        </w:rPr>
        <w:t>inscription de l</w:t>
      </w:r>
      <w:r w:rsidR="00923E72">
        <w:rPr>
          <w:bCs/>
          <w:lang w:val="fr-FR"/>
        </w:rPr>
        <w:t>’</w:t>
      </w:r>
      <w:r w:rsidRPr="00934338">
        <w:rPr>
          <w:bCs/>
          <w:lang w:val="fr-FR"/>
        </w:rPr>
        <w:t>élément sur la Liste représentative.</w:t>
      </w:r>
    </w:p>
    <w:p w14:paraId="3AB60061" w14:textId="7EE5155A" w:rsidR="00934338" w:rsidRPr="00CD0853" w:rsidRDefault="00934338"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pour cette candidature,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94510E">
        <w:rPr>
          <w:rFonts w:eastAsia="Malgun Gothic"/>
          <w:b/>
          <w:lang w:val="fr-FR"/>
        </w:rPr>
        <w:t> </w:t>
      </w:r>
      <w:r w:rsidR="00751FB1">
        <w:fldChar w:fldCharType="begin"/>
      </w:r>
      <w:r w:rsidR="00751FB1" w:rsidRPr="00751FB1">
        <w:rPr>
          <w:lang w:val="fr-FR"/>
        </w:rPr>
        <w:instrText>HYPERLINK "https://ich.unesco.org/fr/Decisions/17.COM/7.b.44"</w:instrText>
      </w:r>
      <w:r w:rsidR="00751FB1">
        <w:fldChar w:fldCharType="separate"/>
      </w:r>
      <w:r w:rsidRPr="006E3034">
        <w:rPr>
          <w:rStyle w:val="Hyperlink"/>
          <w:b/>
          <w:bCs/>
          <w:lang w:val="fr-FR"/>
        </w:rPr>
        <w:t>17.COM 7.b.44</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inscrire l</w:t>
      </w:r>
      <w:r w:rsidRPr="00CD0853">
        <w:rPr>
          <w:b/>
          <w:lang w:val="fr-FR"/>
        </w:rPr>
        <w:t>a culture du çay (thé) : un</w:t>
      </w:r>
      <w:r>
        <w:rPr>
          <w:b/>
          <w:lang w:val="fr-FR"/>
        </w:rPr>
        <w:t xml:space="preserve"> </w:t>
      </w:r>
      <w:r w:rsidRPr="00CD0853">
        <w:rPr>
          <w:b/>
          <w:lang w:val="fr-FR"/>
        </w:rPr>
        <w:t>symbole d</w:t>
      </w:r>
      <w:r w:rsidR="00923E72">
        <w:rPr>
          <w:b/>
          <w:lang w:val="fr-FR"/>
        </w:rPr>
        <w:t>’</w:t>
      </w:r>
      <w:r w:rsidRPr="00CD0853">
        <w:rPr>
          <w:b/>
          <w:lang w:val="fr-FR"/>
        </w:rPr>
        <w:t>identité, d</w:t>
      </w:r>
      <w:r w:rsidR="00923E72">
        <w:rPr>
          <w:b/>
          <w:lang w:val="fr-FR"/>
        </w:rPr>
        <w:t>’</w:t>
      </w:r>
      <w:r w:rsidRPr="00CD0853">
        <w:rPr>
          <w:b/>
          <w:lang w:val="fr-FR"/>
        </w:rPr>
        <w:t>hospitalité et d</w:t>
      </w:r>
      <w:r w:rsidR="00923E72">
        <w:rPr>
          <w:b/>
          <w:lang w:val="fr-FR"/>
        </w:rPr>
        <w:t>’</w:t>
      </w:r>
      <w:r w:rsidRPr="00CD0853">
        <w:rPr>
          <w:b/>
          <w:lang w:val="fr-FR"/>
        </w:rPr>
        <w:t>interaction sociale</w:t>
      </w:r>
      <w:r w:rsidRPr="00934338">
        <w:rPr>
          <w:bCs/>
          <w:lang w:val="fr-FR"/>
        </w:rPr>
        <w:t xml:space="preserve"> </w:t>
      </w:r>
      <w:r>
        <w:rPr>
          <w:b/>
          <w:lang w:val="fr-FR"/>
        </w:rPr>
        <w:t>sur la Liste représentative.</w:t>
      </w:r>
    </w:p>
    <w:p w14:paraId="33F78BAB" w14:textId="2141F360" w:rsidR="00934338" w:rsidRDefault="00934338" w:rsidP="00702497">
      <w:pPr>
        <w:pStyle w:val="Orateurengris"/>
        <w:numPr>
          <w:ilvl w:val="0"/>
          <w:numId w:val="20"/>
        </w:numPr>
        <w:tabs>
          <w:tab w:val="clear" w:pos="567"/>
        </w:tabs>
        <w:spacing w:before="120"/>
        <w:ind w:left="709" w:hanging="709"/>
        <w:rPr>
          <w:bCs/>
          <w:lang w:val="fr-FR"/>
        </w:rPr>
      </w:pPr>
      <w:r w:rsidRPr="00934338">
        <w:rPr>
          <w:bCs/>
          <w:lang w:val="fr-FR"/>
        </w:rPr>
        <w:t xml:space="preserve">La délégation de la </w:t>
      </w:r>
      <w:r w:rsidRPr="00702497">
        <w:rPr>
          <w:b/>
          <w:lang w:val="fr-FR"/>
        </w:rPr>
        <w:t>Türkiye</w:t>
      </w:r>
      <w:r w:rsidRPr="00934338">
        <w:rPr>
          <w:bCs/>
          <w:lang w:val="fr-FR"/>
        </w:rPr>
        <w:t xml:space="preserve"> a exprimé sa gratitude pour l</w:t>
      </w:r>
      <w:r w:rsidR="00923E72">
        <w:rPr>
          <w:bCs/>
          <w:lang w:val="fr-FR"/>
        </w:rPr>
        <w:t>’</w:t>
      </w:r>
      <w:r w:rsidRPr="00934338">
        <w:rPr>
          <w:bCs/>
          <w:lang w:val="fr-FR"/>
        </w:rPr>
        <w:t>inscription du dossier de candidature conjointe de la culture du çay (thé)</w:t>
      </w:r>
      <w:r w:rsidR="00C73FEE">
        <w:rPr>
          <w:bCs/>
          <w:lang w:val="fr-FR"/>
        </w:rPr>
        <w:t> </w:t>
      </w:r>
      <w:r w:rsidRPr="00934338">
        <w:rPr>
          <w:bCs/>
          <w:lang w:val="fr-FR"/>
        </w:rPr>
        <w:t>: un symbole d</w:t>
      </w:r>
      <w:r w:rsidR="00923E72">
        <w:rPr>
          <w:bCs/>
          <w:lang w:val="fr-FR"/>
        </w:rPr>
        <w:t>’</w:t>
      </w:r>
      <w:r w:rsidRPr="00934338">
        <w:rPr>
          <w:bCs/>
          <w:lang w:val="fr-FR"/>
        </w:rPr>
        <w:t>identité, d</w:t>
      </w:r>
      <w:r w:rsidR="00923E72">
        <w:rPr>
          <w:bCs/>
          <w:lang w:val="fr-FR"/>
        </w:rPr>
        <w:t>’</w:t>
      </w:r>
      <w:r w:rsidRPr="00934338">
        <w:rPr>
          <w:bCs/>
          <w:lang w:val="fr-FR"/>
        </w:rPr>
        <w:t>hospitalité et d</w:t>
      </w:r>
      <w:r w:rsidR="00923E72">
        <w:rPr>
          <w:bCs/>
          <w:lang w:val="fr-FR"/>
        </w:rPr>
        <w:t>’</w:t>
      </w:r>
      <w:r w:rsidRPr="00934338">
        <w:rPr>
          <w:bCs/>
          <w:lang w:val="fr-FR"/>
        </w:rPr>
        <w:t>interaction sociale sur la Liste représentative. Elle a remercié le Comité, l</w:t>
      </w:r>
      <w:r w:rsidR="00923E72">
        <w:rPr>
          <w:bCs/>
          <w:lang w:val="fr-FR"/>
        </w:rPr>
        <w:t>’</w:t>
      </w:r>
      <w:r w:rsidRPr="00934338">
        <w:rPr>
          <w:bCs/>
          <w:lang w:val="fr-FR"/>
        </w:rPr>
        <w:t>Organe d</w:t>
      </w:r>
      <w:r w:rsidR="00923E72">
        <w:rPr>
          <w:bCs/>
          <w:lang w:val="fr-FR"/>
        </w:rPr>
        <w:t>’</w:t>
      </w:r>
      <w:r w:rsidRPr="00934338">
        <w:rPr>
          <w:bCs/>
          <w:lang w:val="fr-FR"/>
        </w:rPr>
        <w:t>évaluation et le Secrétariat pour leur excellent travail. Elle a rappelé que la culture du thé en Azerbaïdjan et en T</w:t>
      </w:r>
      <w:r w:rsidR="0094510E">
        <w:rPr>
          <w:bCs/>
          <w:lang w:val="fr-FR"/>
        </w:rPr>
        <w:t>ürkiye</w:t>
      </w:r>
      <w:r w:rsidRPr="00934338">
        <w:rPr>
          <w:bCs/>
          <w:lang w:val="fr-FR"/>
        </w:rPr>
        <w:t xml:space="preserve"> est une pratique sociale importante qui témoigne de l</w:t>
      </w:r>
      <w:r w:rsidR="00923E72">
        <w:rPr>
          <w:bCs/>
          <w:lang w:val="fr-FR"/>
        </w:rPr>
        <w:t>’</w:t>
      </w:r>
      <w:r w:rsidRPr="00934338">
        <w:rPr>
          <w:bCs/>
          <w:lang w:val="fr-FR"/>
        </w:rPr>
        <w:t xml:space="preserve">hospitalité, crée et </w:t>
      </w:r>
      <w:proofErr w:type="spellStart"/>
      <w:r w:rsidRPr="00934338">
        <w:rPr>
          <w:bCs/>
          <w:lang w:val="fr-FR"/>
        </w:rPr>
        <w:t>maintient</w:t>
      </w:r>
      <w:proofErr w:type="spellEnd"/>
      <w:r w:rsidRPr="00934338">
        <w:rPr>
          <w:bCs/>
          <w:lang w:val="fr-FR"/>
        </w:rPr>
        <w:t xml:space="preserve"> des liens sociaux, et sert à célébrer des moments importants dans la vie des communautés, et qu</w:t>
      </w:r>
      <w:r w:rsidR="00923E72">
        <w:rPr>
          <w:bCs/>
          <w:lang w:val="fr-FR"/>
        </w:rPr>
        <w:t>’</w:t>
      </w:r>
      <w:r w:rsidRPr="00934338">
        <w:rPr>
          <w:bCs/>
          <w:lang w:val="fr-FR"/>
        </w:rPr>
        <w:t>elle est un élément essentiel de la vie quotidienne pour toutes les couches de la société, qui procure un fort sentiment d</w:t>
      </w:r>
      <w:r w:rsidR="00923E72">
        <w:rPr>
          <w:bCs/>
          <w:lang w:val="fr-FR"/>
        </w:rPr>
        <w:t>’</w:t>
      </w:r>
      <w:r w:rsidRPr="00934338">
        <w:rPr>
          <w:bCs/>
          <w:lang w:val="fr-FR"/>
        </w:rPr>
        <w:t xml:space="preserve">identité culturelle et représente les connaissances, les traditions et les </w:t>
      </w:r>
      <w:r w:rsidR="00C73FEE" w:rsidRPr="00C73FEE">
        <w:rPr>
          <w:bCs/>
          <w:lang w:val="fr-FR"/>
        </w:rPr>
        <w:t>savoir-faire</w:t>
      </w:r>
      <w:r w:rsidR="00C73FEE">
        <w:rPr>
          <w:bCs/>
          <w:lang w:val="fr-FR"/>
        </w:rPr>
        <w:t xml:space="preserve"> </w:t>
      </w:r>
      <w:r w:rsidRPr="00934338">
        <w:rPr>
          <w:bCs/>
          <w:lang w:val="fr-FR"/>
        </w:rPr>
        <w:t>liés à la culture, à la préparation et à la consommation du thé par les communautés de Türkiye et d</w:t>
      </w:r>
      <w:r w:rsidR="00923E72">
        <w:rPr>
          <w:bCs/>
          <w:lang w:val="fr-FR"/>
        </w:rPr>
        <w:t>’</w:t>
      </w:r>
      <w:r w:rsidRPr="00934338">
        <w:rPr>
          <w:bCs/>
          <w:lang w:val="fr-FR"/>
        </w:rPr>
        <w:t xml:space="preserve">Azerbaïdjan. Grâce à la culture du thé, les communautés célébraient des moments importants, construisaient et maintenaient des relations sociales, et utilisaient le service du thé et sa </w:t>
      </w:r>
      <w:r w:rsidRPr="00934338">
        <w:rPr>
          <w:bCs/>
          <w:lang w:val="fr-FR"/>
        </w:rPr>
        <w:lastRenderedPageBreak/>
        <w:t>consommation comme pierre angulaire de la socialisation et de l</w:t>
      </w:r>
      <w:r w:rsidR="00923E72">
        <w:rPr>
          <w:bCs/>
          <w:lang w:val="fr-FR"/>
        </w:rPr>
        <w:t>’</w:t>
      </w:r>
      <w:r w:rsidRPr="00934338">
        <w:rPr>
          <w:bCs/>
          <w:lang w:val="fr-FR"/>
        </w:rPr>
        <w:t>expression de l</w:t>
      </w:r>
      <w:r w:rsidR="00923E72">
        <w:rPr>
          <w:bCs/>
          <w:lang w:val="fr-FR"/>
        </w:rPr>
        <w:t>’</w:t>
      </w:r>
      <w:r w:rsidRPr="00934338">
        <w:rPr>
          <w:bCs/>
          <w:lang w:val="fr-FR"/>
        </w:rPr>
        <w:t>hospitalité. La délégation a remercié les parties prenantes et l</w:t>
      </w:r>
      <w:r w:rsidR="00923E72">
        <w:rPr>
          <w:bCs/>
          <w:lang w:val="fr-FR"/>
        </w:rPr>
        <w:t>’</w:t>
      </w:r>
      <w:r w:rsidRPr="00934338">
        <w:rPr>
          <w:bCs/>
          <w:lang w:val="fr-FR"/>
        </w:rPr>
        <w:t>Azerbaïdjan. Le processus de préparation d</w:t>
      </w:r>
      <w:r w:rsidR="00C73FEE">
        <w:rPr>
          <w:bCs/>
          <w:lang w:val="fr-FR"/>
        </w:rPr>
        <w:t>u</w:t>
      </w:r>
      <w:r w:rsidRPr="00934338">
        <w:rPr>
          <w:bCs/>
          <w:lang w:val="fr-FR"/>
        </w:rPr>
        <w:t xml:space="preserve"> dossier </w:t>
      </w:r>
      <w:r w:rsidR="00C73FEE">
        <w:rPr>
          <w:bCs/>
          <w:lang w:val="fr-FR"/>
        </w:rPr>
        <w:t xml:space="preserve">était </w:t>
      </w:r>
      <w:r w:rsidRPr="00934338">
        <w:rPr>
          <w:bCs/>
          <w:lang w:val="fr-FR"/>
        </w:rPr>
        <w:t>un excellent exemple de travail d</w:t>
      </w:r>
      <w:r w:rsidR="00923E72">
        <w:rPr>
          <w:bCs/>
          <w:lang w:val="fr-FR"/>
        </w:rPr>
        <w:t>’</w:t>
      </w:r>
      <w:r w:rsidRPr="00934338">
        <w:rPr>
          <w:bCs/>
          <w:lang w:val="fr-FR"/>
        </w:rPr>
        <w:t>équipe avec les collègues azerbaïdjanais. On pouvait espérer que l</w:t>
      </w:r>
      <w:r w:rsidR="00923E72">
        <w:rPr>
          <w:bCs/>
          <w:lang w:val="fr-FR"/>
        </w:rPr>
        <w:t>’</w:t>
      </w:r>
      <w:r w:rsidRPr="00934338">
        <w:rPr>
          <w:bCs/>
          <w:lang w:val="fr-FR"/>
        </w:rPr>
        <w:t xml:space="preserve">inscription renforcerait le dialogue et créerait de nouvelles opportunités </w:t>
      </w:r>
      <w:r w:rsidR="00C73FEE">
        <w:rPr>
          <w:bCs/>
          <w:lang w:val="fr-FR"/>
        </w:rPr>
        <w:t xml:space="preserve">entre </w:t>
      </w:r>
      <w:r w:rsidRPr="00934338">
        <w:rPr>
          <w:bCs/>
          <w:lang w:val="fr-FR"/>
        </w:rPr>
        <w:t>les détenteurs et les praticiens concernés dans les États soumissionnaires.</w:t>
      </w:r>
    </w:p>
    <w:p w14:paraId="64E9CB62" w14:textId="3C815DD6" w:rsidR="00C73FEE" w:rsidRDefault="00C73FEE" w:rsidP="00702497">
      <w:pPr>
        <w:pStyle w:val="Orateurengris"/>
        <w:numPr>
          <w:ilvl w:val="0"/>
          <w:numId w:val="20"/>
        </w:numPr>
        <w:tabs>
          <w:tab w:val="clear" w:pos="567"/>
        </w:tabs>
        <w:spacing w:before="120"/>
        <w:ind w:left="709" w:hanging="709"/>
        <w:rPr>
          <w:bCs/>
          <w:lang w:val="fr-FR"/>
        </w:rPr>
      </w:pPr>
      <w:r w:rsidRPr="00C73FEE">
        <w:rPr>
          <w:bCs/>
          <w:lang w:val="fr-FR"/>
        </w:rPr>
        <w:t>La délégation de l</w:t>
      </w:r>
      <w:r w:rsidR="00923E72">
        <w:rPr>
          <w:bCs/>
          <w:lang w:val="fr-FR"/>
        </w:rPr>
        <w:t>’</w:t>
      </w:r>
      <w:r w:rsidRPr="00702497">
        <w:rPr>
          <w:b/>
          <w:lang w:val="fr-FR"/>
        </w:rPr>
        <w:t>Azerbaïdjan</w:t>
      </w:r>
      <w:r w:rsidRPr="00C73FEE">
        <w:rPr>
          <w:bCs/>
          <w:lang w:val="fr-FR"/>
        </w:rPr>
        <w:t xml:space="preserve"> s</w:t>
      </w:r>
      <w:r w:rsidR="00923E72">
        <w:rPr>
          <w:bCs/>
          <w:lang w:val="fr-FR"/>
        </w:rPr>
        <w:t>’</w:t>
      </w:r>
      <w:r w:rsidRPr="00C73FEE">
        <w:rPr>
          <w:bCs/>
          <w:lang w:val="fr-FR"/>
        </w:rPr>
        <w:t>est jointe à celle de la T</w:t>
      </w:r>
      <w:r>
        <w:rPr>
          <w:bCs/>
          <w:lang w:val="fr-FR"/>
        </w:rPr>
        <w:t>ürkiye</w:t>
      </w:r>
      <w:r w:rsidRPr="00C73FEE">
        <w:rPr>
          <w:bCs/>
          <w:lang w:val="fr-FR"/>
        </w:rPr>
        <w:t xml:space="preserve"> pour exprimer sa profonde gratitude au Comité pour avoir inscrit la culture du çay (thé)</w:t>
      </w:r>
      <w:r w:rsidR="008F4EBA">
        <w:rPr>
          <w:bCs/>
          <w:lang w:val="fr-FR"/>
        </w:rPr>
        <w:t> </w:t>
      </w:r>
      <w:r w:rsidRPr="00C73FEE">
        <w:rPr>
          <w:bCs/>
          <w:lang w:val="fr-FR"/>
        </w:rPr>
        <w:t xml:space="preserve">: </w:t>
      </w:r>
      <w:r w:rsidR="008F4EBA">
        <w:rPr>
          <w:bCs/>
          <w:lang w:val="fr-FR"/>
        </w:rPr>
        <w:t xml:space="preserve">un </w:t>
      </w:r>
      <w:r w:rsidRPr="00C73FEE">
        <w:rPr>
          <w:bCs/>
          <w:lang w:val="fr-FR"/>
        </w:rPr>
        <w:t>symbole d</w:t>
      </w:r>
      <w:r w:rsidR="00923E72">
        <w:rPr>
          <w:bCs/>
          <w:lang w:val="fr-FR"/>
        </w:rPr>
        <w:t>’</w:t>
      </w:r>
      <w:r w:rsidRPr="00C73FEE">
        <w:rPr>
          <w:bCs/>
          <w:lang w:val="fr-FR"/>
        </w:rPr>
        <w:t>identité, d</w:t>
      </w:r>
      <w:r w:rsidR="00923E72">
        <w:rPr>
          <w:bCs/>
          <w:lang w:val="fr-FR"/>
        </w:rPr>
        <w:t>’</w:t>
      </w:r>
      <w:r w:rsidRPr="00C73FEE">
        <w:rPr>
          <w:bCs/>
          <w:lang w:val="fr-FR"/>
        </w:rPr>
        <w:t>hospitalité et d</w:t>
      </w:r>
      <w:r w:rsidR="00923E72">
        <w:rPr>
          <w:bCs/>
          <w:lang w:val="fr-FR"/>
        </w:rPr>
        <w:t>’</w:t>
      </w:r>
      <w:r w:rsidRPr="00C73FEE">
        <w:rPr>
          <w:bCs/>
          <w:lang w:val="fr-FR"/>
        </w:rPr>
        <w:t>interaction sociale sur la Liste représentative. C</w:t>
      </w:r>
      <w:r w:rsidR="00923E72">
        <w:rPr>
          <w:bCs/>
          <w:lang w:val="fr-FR"/>
        </w:rPr>
        <w:t>’</w:t>
      </w:r>
      <w:r w:rsidRPr="00C73FEE">
        <w:rPr>
          <w:bCs/>
          <w:lang w:val="fr-FR"/>
        </w:rPr>
        <w:t>était un moment historique pour l</w:t>
      </w:r>
      <w:r w:rsidR="00923E72">
        <w:rPr>
          <w:bCs/>
          <w:lang w:val="fr-FR"/>
        </w:rPr>
        <w:t>’</w:t>
      </w:r>
      <w:r w:rsidRPr="00C73FEE">
        <w:rPr>
          <w:bCs/>
          <w:lang w:val="fr-FR"/>
        </w:rPr>
        <w:t>ensemble de la société azerbaïdjanaise de voir cette culture vivante reconnue au niveau international et conjointement avec les communautés de Türkiye. Cette inscription célébrait l</w:t>
      </w:r>
      <w:r w:rsidR="00923E72">
        <w:rPr>
          <w:bCs/>
          <w:lang w:val="fr-FR"/>
        </w:rPr>
        <w:t>’</w:t>
      </w:r>
      <w:r w:rsidRPr="00C73FEE">
        <w:rPr>
          <w:bCs/>
          <w:lang w:val="fr-FR"/>
        </w:rPr>
        <w:t>unité et la diversité du patrimoine dans un souci de respect mutuel et de dialogue entre les communautés. La délégation a rappelé que la culture du thé est un élément essentiel de la vie sociale et culturelle et une pratique sociale importante visant à montrer l</w:t>
      </w:r>
      <w:r w:rsidR="00923E72">
        <w:rPr>
          <w:bCs/>
          <w:lang w:val="fr-FR"/>
        </w:rPr>
        <w:t>’</w:t>
      </w:r>
      <w:r w:rsidRPr="00C73FEE">
        <w:rPr>
          <w:bCs/>
          <w:lang w:val="fr-FR"/>
        </w:rPr>
        <w:t>hospitalité, à célébrer des moments importants dans la vie des communautés, à les aider à construire et à maintenir des relations sociales et à profiter de ces moments en buvant du thé pour l</w:t>
      </w:r>
      <w:r w:rsidR="00923E72">
        <w:rPr>
          <w:bCs/>
          <w:lang w:val="fr-FR"/>
        </w:rPr>
        <w:t>’</w:t>
      </w:r>
      <w:r w:rsidRPr="00C73FEE">
        <w:rPr>
          <w:bCs/>
          <w:lang w:val="fr-FR"/>
        </w:rPr>
        <w:t>échange social et l</w:t>
      </w:r>
      <w:r w:rsidR="00923E72">
        <w:rPr>
          <w:bCs/>
          <w:lang w:val="fr-FR"/>
        </w:rPr>
        <w:t>’</w:t>
      </w:r>
      <w:r w:rsidRPr="00C73FEE">
        <w:rPr>
          <w:bCs/>
          <w:lang w:val="fr-FR"/>
        </w:rPr>
        <w:t xml:space="preserve">interaction. Cette candidature représentait une forme exemplaire de contribution au renforcement de la coopération internationale, un des principes fondamentaux de cette Convention. </w:t>
      </w:r>
      <w:r w:rsidR="00242F73">
        <w:rPr>
          <w:bCs/>
          <w:lang w:val="fr-FR"/>
        </w:rPr>
        <w:t xml:space="preserve">Cela </w:t>
      </w:r>
      <w:r w:rsidR="00DF421C">
        <w:rPr>
          <w:bCs/>
          <w:lang w:val="fr-FR"/>
        </w:rPr>
        <w:t xml:space="preserve">consoliderait </w:t>
      </w:r>
      <w:r w:rsidRPr="00C73FEE">
        <w:rPr>
          <w:bCs/>
          <w:lang w:val="fr-FR"/>
        </w:rPr>
        <w:t xml:space="preserve">les mesures de sauvegarde du patrimoine culturel immatériel dans les deux pays et viendrait soutenir la sensibilisation </w:t>
      </w:r>
      <w:r w:rsidR="00242F73">
        <w:rPr>
          <w:bCs/>
          <w:lang w:val="fr-FR"/>
        </w:rPr>
        <w:t xml:space="preserve">à la </w:t>
      </w:r>
      <w:r w:rsidR="00242F73" w:rsidRPr="00242F73">
        <w:rPr>
          <w:bCs/>
          <w:lang w:val="fr-FR"/>
        </w:rPr>
        <w:t>Convention</w:t>
      </w:r>
      <w:r w:rsidR="00242F73">
        <w:rPr>
          <w:bCs/>
          <w:lang w:val="fr-FR"/>
        </w:rPr>
        <w:t xml:space="preserve"> </w:t>
      </w:r>
      <w:r w:rsidRPr="00C73FEE">
        <w:rPr>
          <w:bCs/>
          <w:lang w:val="fr-FR"/>
        </w:rPr>
        <w:t xml:space="preserve">et </w:t>
      </w:r>
      <w:r w:rsidR="00242F73">
        <w:rPr>
          <w:bCs/>
          <w:lang w:val="fr-FR"/>
        </w:rPr>
        <w:t>sa</w:t>
      </w:r>
      <w:r w:rsidRPr="00C73FEE">
        <w:rPr>
          <w:bCs/>
          <w:lang w:val="fr-FR"/>
        </w:rPr>
        <w:t xml:space="preserve"> mise en œuvre. L</w:t>
      </w:r>
      <w:r w:rsidR="00923E72">
        <w:rPr>
          <w:bCs/>
          <w:lang w:val="fr-FR"/>
        </w:rPr>
        <w:t>’</w:t>
      </w:r>
      <w:r w:rsidRPr="00C73FEE">
        <w:rPr>
          <w:bCs/>
          <w:lang w:val="fr-FR"/>
        </w:rPr>
        <w:t>Azerbaïdjan a remercié la Türkiye et l</w:t>
      </w:r>
      <w:r w:rsidR="00923E72">
        <w:rPr>
          <w:bCs/>
          <w:lang w:val="fr-FR"/>
        </w:rPr>
        <w:t>’</w:t>
      </w:r>
      <w:r w:rsidRPr="00C73FEE">
        <w:rPr>
          <w:bCs/>
          <w:lang w:val="fr-FR"/>
        </w:rPr>
        <w:t>Organe d</w:t>
      </w:r>
      <w:r w:rsidR="00923E72">
        <w:rPr>
          <w:bCs/>
          <w:lang w:val="fr-FR"/>
        </w:rPr>
        <w:t>’</w:t>
      </w:r>
      <w:r w:rsidRPr="00C73FEE">
        <w:rPr>
          <w:bCs/>
          <w:lang w:val="fr-FR"/>
        </w:rPr>
        <w:t>évaluation pour l</w:t>
      </w:r>
      <w:r w:rsidR="00923E72">
        <w:rPr>
          <w:bCs/>
          <w:lang w:val="fr-FR"/>
        </w:rPr>
        <w:t>’</w:t>
      </w:r>
      <w:r w:rsidRPr="00C73FEE">
        <w:rPr>
          <w:bCs/>
          <w:lang w:val="fr-FR"/>
        </w:rPr>
        <w:t>excellent travail de coordination de cette candidature et son examen minutieux.</w:t>
      </w:r>
    </w:p>
    <w:p w14:paraId="5643F4C7" w14:textId="776E47F4" w:rsidR="00242F73" w:rsidRDefault="00242F73" w:rsidP="00702497">
      <w:pPr>
        <w:pStyle w:val="Orateurengris"/>
        <w:numPr>
          <w:ilvl w:val="0"/>
          <w:numId w:val="20"/>
        </w:numPr>
        <w:tabs>
          <w:tab w:val="clear" w:pos="567"/>
        </w:tabs>
        <w:spacing w:before="120"/>
        <w:ind w:left="709" w:hanging="709"/>
        <w:rPr>
          <w:bCs/>
          <w:lang w:val="fr-FR"/>
        </w:rPr>
      </w:pPr>
      <w:r>
        <w:rPr>
          <w:bCs/>
          <w:lang w:val="fr-FR"/>
        </w:rPr>
        <w:t xml:space="preserve">La </w:t>
      </w:r>
      <w:r w:rsidRPr="00242F73">
        <w:rPr>
          <w:bCs/>
          <w:lang w:val="fr-FR"/>
        </w:rPr>
        <w:t>délégation</w:t>
      </w:r>
      <w:r>
        <w:rPr>
          <w:bCs/>
          <w:lang w:val="fr-FR"/>
        </w:rPr>
        <w:t xml:space="preserve"> de la </w:t>
      </w:r>
      <w:r w:rsidRPr="00702497">
        <w:rPr>
          <w:b/>
          <w:lang w:val="fr-FR"/>
        </w:rPr>
        <w:t>Türkiye</w:t>
      </w:r>
      <w:r>
        <w:rPr>
          <w:bCs/>
          <w:lang w:val="fr-FR"/>
        </w:rPr>
        <w:t xml:space="preserve"> a annoncé un événement parallèle au cours duquel ce délicieux thé serait servi.</w:t>
      </w:r>
    </w:p>
    <w:p w14:paraId="5CCB4883" w14:textId="3EC0B128" w:rsidR="00242F73" w:rsidRDefault="00255B24" w:rsidP="00702497">
      <w:pPr>
        <w:pStyle w:val="Orateurengris"/>
        <w:numPr>
          <w:ilvl w:val="0"/>
          <w:numId w:val="20"/>
        </w:numPr>
        <w:tabs>
          <w:tab w:val="clear" w:pos="567"/>
        </w:tabs>
        <w:spacing w:before="120"/>
        <w:ind w:left="709" w:hanging="709"/>
        <w:rPr>
          <w:bCs/>
          <w:lang w:val="fr-FR"/>
        </w:rPr>
      </w:pPr>
      <w:r w:rsidRPr="00255B24">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255B24">
        <w:rPr>
          <w:bCs/>
          <w:lang w:val="fr-FR"/>
        </w:rPr>
        <w:t xml:space="preserve"> a présenté le dernier dossier de candidature, </w:t>
      </w:r>
      <w:r w:rsidRPr="00702497">
        <w:rPr>
          <w:b/>
          <w:lang w:val="fr-FR"/>
        </w:rPr>
        <w:t xml:space="preserve">le tressage de </w:t>
      </w:r>
      <w:r w:rsidR="002D6273">
        <w:rPr>
          <w:b/>
          <w:lang w:val="fr-FR"/>
        </w:rPr>
        <w:t xml:space="preserve">la </w:t>
      </w:r>
      <w:r w:rsidRPr="00702497">
        <w:rPr>
          <w:b/>
          <w:lang w:val="fr-FR"/>
        </w:rPr>
        <w:t>paille au Bélarus : art, artisanat et savoir-faire</w:t>
      </w:r>
      <w:r w:rsidRPr="00255B24">
        <w:rPr>
          <w:bCs/>
          <w:lang w:val="fr-FR"/>
        </w:rPr>
        <w:t xml:space="preserve"> [projet de décision</w:t>
      </w:r>
      <w:r w:rsidR="00DF421C">
        <w:rPr>
          <w:bCs/>
          <w:lang w:val="fr-FR"/>
        </w:rPr>
        <w:t> </w:t>
      </w:r>
      <w:r w:rsidRPr="00255B24">
        <w:rPr>
          <w:bCs/>
          <w:lang w:val="fr-FR"/>
        </w:rPr>
        <w:t xml:space="preserve">7.b.45] soumis par le </w:t>
      </w:r>
      <w:r w:rsidRPr="00702497">
        <w:rPr>
          <w:b/>
          <w:lang w:val="fr-FR"/>
        </w:rPr>
        <w:t>Bélarus</w:t>
      </w:r>
      <w:r w:rsidRPr="00255B24">
        <w:rPr>
          <w:bCs/>
          <w:lang w:val="fr-FR"/>
        </w:rPr>
        <w:t>, expliquant que le t</w:t>
      </w:r>
      <w:r w:rsidR="002D6273">
        <w:rPr>
          <w:bCs/>
          <w:lang w:val="fr-FR"/>
        </w:rPr>
        <w:t>re</w:t>
      </w:r>
      <w:r w:rsidRPr="00255B24">
        <w:rPr>
          <w:bCs/>
          <w:lang w:val="fr-FR"/>
        </w:rPr>
        <w:t xml:space="preserve">ssage de la paille au Belarus </w:t>
      </w:r>
      <w:r w:rsidR="002D6273">
        <w:rPr>
          <w:bCs/>
          <w:lang w:val="fr-FR"/>
        </w:rPr>
        <w:t xml:space="preserve">allie </w:t>
      </w:r>
      <w:r w:rsidRPr="00255B24">
        <w:rPr>
          <w:bCs/>
          <w:lang w:val="fr-FR"/>
        </w:rPr>
        <w:t>de</w:t>
      </w:r>
      <w:r w:rsidR="002D6273">
        <w:rPr>
          <w:bCs/>
          <w:lang w:val="fr-FR"/>
        </w:rPr>
        <w:t>s</w:t>
      </w:r>
      <w:r w:rsidRPr="00255B24">
        <w:rPr>
          <w:bCs/>
          <w:lang w:val="fr-FR"/>
        </w:rPr>
        <w:t xml:space="preserve"> connaissances, de</w:t>
      </w:r>
      <w:r w:rsidR="00DF421C">
        <w:rPr>
          <w:bCs/>
          <w:lang w:val="fr-FR"/>
        </w:rPr>
        <w:t>s</w:t>
      </w:r>
      <w:r w:rsidRPr="00255B24">
        <w:rPr>
          <w:bCs/>
          <w:lang w:val="fr-FR"/>
        </w:rPr>
        <w:t xml:space="preserve"> compétences et de</w:t>
      </w:r>
      <w:r w:rsidR="002D6273">
        <w:rPr>
          <w:bCs/>
          <w:lang w:val="fr-FR"/>
        </w:rPr>
        <w:t>s</w:t>
      </w:r>
      <w:r w:rsidRPr="00255B24">
        <w:rPr>
          <w:bCs/>
          <w:lang w:val="fr-FR"/>
        </w:rPr>
        <w:t xml:space="preserve"> techniques artistiques </w:t>
      </w:r>
      <w:r w:rsidR="002D6273">
        <w:rPr>
          <w:bCs/>
          <w:lang w:val="fr-FR"/>
        </w:rPr>
        <w:t>permettant d</w:t>
      </w:r>
      <w:r w:rsidR="00923E72">
        <w:rPr>
          <w:bCs/>
          <w:lang w:val="fr-FR"/>
        </w:rPr>
        <w:t>’</w:t>
      </w:r>
      <w:r w:rsidR="002D6273">
        <w:rPr>
          <w:bCs/>
          <w:lang w:val="fr-FR"/>
        </w:rPr>
        <w:t xml:space="preserve">utiliser </w:t>
      </w:r>
      <w:r w:rsidRPr="00255B24">
        <w:rPr>
          <w:bCs/>
          <w:lang w:val="fr-FR"/>
        </w:rPr>
        <w:t>la paille de</w:t>
      </w:r>
      <w:r w:rsidR="002D6273">
        <w:rPr>
          <w:bCs/>
          <w:lang w:val="fr-FR"/>
        </w:rPr>
        <w:t>s</w:t>
      </w:r>
      <w:r w:rsidRPr="00255B24">
        <w:rPr>
          <w:bCs/>
          <w:lang w:val="fr-FR"/>
        </w:rPr>
        <w:t xml:space="preserve"> céréales afin de créer des articles </w:t>
      </w:r>
      <w:r w:rsidR="002D6273">
        <w:rPr>
          <w:bCs/>
          <w:lang w:val="fr-FR"/>
        </w:rPr>
        <w:t>s</w:t>
      </w:r>
      <w:r w:rsidRPr="00255B24">
        <w:rPr>
          <w:bCs/>
          <w:lang w:val="fr-FR"/>
        </w:rPr>
        <w:t>erv</w:t>
      </w:r>
      <w:r w:rsidR="002D6273">
        <w:rPr>
          <w:bCs/>
          <w:lang w:val="fr-FR"/>
        </w:rPr>
        <w:t>a</w:t>
      </w:r>
      <w:r w:rsidRPr="00255B24">
        <w:rPr>
          <w:bCs/>
          <w:lang w:val="fr-FR"/>
        </w:rPr>
        <w:t xml:space="preserve">nt </w:t>
      </w:r>
      <w:r w:rsidR="002D6273">
        <w:rPr>
          <w:bCs/>
          <w:lang w:val="fr-FR"/>
        </w:rPr>
        <w:t xml:space="preserve">de </w:t>
      </w:r>
      <w:r w:rsidRPr="00255B24">
        <w:rPr>
          <w:bCs/>
          <w:lang w:val="fr-FR"/>
        </w:rPr>
        <w:t>décoration intérieure, et que divers ustensiles</w:t>
      </w:r>
      <w:r w:rsidR="00DE6FE7">
        <w:rPr>
          <w:bCs/>
          <w:lang w:val="fr-FR"/>
        </w:rPr>
        <w:t>,</w:t>
      </w:r>
      <w:r w:rsidRPr="00255B24">
        <w:rPr>
          <w:bCs/>
          <w:lang w:val="fr-FR"/>
        </w:rPr>
        <w:t xml:space="preserve"> tels que des boîtes et des paniers, des</w:t>
      </w:r>
      <w:r w:rsidR="002D6273">
        <w:rPr>
          <w:bCs/>
          <w:lang w:val="fr-FR"/>
        </w:rPr>
        <w:t xml:space="preserve"> chapeaux</w:t>
      </w:r>
      <w:r w:rsidRPr="00255B24">
        <w:rPr>
          <w:bCs/>
          <w:lang w:val="fr-FR"/>
        </w:rPr>
        <w:t>, des jouets et des accessoires</w:t>
      </w:r>
      <w:r w:rsidR="00DE6FE7">
        <w:rPr>
          <w:bCs/>
          <w:lang w:val="fr-FR"/>
        </w:rPr>
        <w:t>,</w:t>
      </w:r>
      <w:r w:rsidRPr="00255B24">
        <w:rPr>
          <w:bCs/>
          <w:lang w:val="fr-FR"/>
        </w:rPr>
        <w:t xml:space="preserve"> sont fabriqués </w:t>
      </w:r>
      <w:r w:rsidR="002D6273">
        <w:rPr>
          <w:bCs/>
          <w:lang w:val="fr-FR"/>
        </w:rPr>
        <w:t>en paille</w:t>
      </w:r>
      <w:r w:rsidRPr="00255B24">
        <w:rPr>
          <w:bCs/>
          <w:lang w:val="fr-FR"/>
        </w:rPr>
        <w:t>, certains produits ayant une signification particulière, comme les couronnes de</w:t>
      </w:r>
      <w:r w:rsidR="002D6273">
        <w:rPr>
          <w:bCs/>
          <w:lang w:val="fr-FR"/>
        </w:rPr>
        <w:t xml:space="preserve"> récolte </w:t>
      </w:r>
      <w:r w:rsidRPr="00255B24">
        <w:rPr>
          <w:bCs/>
          <w:lang w:val="fr-FR"/>
        </w:rPr>
        <w:t xml:space="preserve">ou </w:t>
      </w:r>
      <w:proofErr w:type="spellStart"/>
      <w:r w:rsidRPr="00702497">
        <w:rPr>
          <w:bCs/>
          <w:i/>
          <w:iCs/>
          <w:lang w:val="fr-FR"/>
        </w:rPr>
        <w:t>pawuks</w:t>
      </w:r>
      <w:proofErr w:type="spellEnd"/>
      <w:r w:rsidRPr="00255B24">
        <w:rPr>
          <w:bCs/>
          <w:lang w:val="fr-FR"/>
        </w:rPr>
        <w:t xml:space="preserve">, </w:t>
      </w:r>
      <w:r w:rsidR="002D6273">
        <w:rPr>
          <w:bCs/>
          <w:lang w:val="fr-FR"/>
        </w:rPr>
        <w:t xml:space="preserve">des </w:t>
      </w:r>
      <w:r w:rsidRPr="00255B24">
        <w:rPr>
          <w:bCs/>
          <w:lang w:val="fr-FR"/>
        </w:rPr>
        <w:t xml:space="preserve">structures complexes en forme de </w:t>
      </w:r>
      <w:r w:rsidR="002D6273">
        <w:rPr>
          <w:bCs/>
          <w:lang w:val="fr-FR"/>
        </w:rPr>
        <w:t xml:space="preserve">diamant </w:t>
      </w:r>
      <w:r w:rsidRPr="00255B24">
        <w:rPr>
          <w:bCs/>
          <w:lang w:val="fr-FR"/>
        </w:rPr>
        <w:t>censées protéger le foyer du mal et des maladies. L</w:t>
      </w:r>
      <w:r w:rsidR="00923E72">
        <w:rPr>
          <w:bCs/>
          <w:lang w:val="fr-FR"/>
        </w:rPr>
        <w:t>’</w:t>
      </w:r>
      <w:r w:rsidRPr="00255B24">
        <w:rPr>
          <w:bCs/>
          <w:lang w:val="fr-FR"/>
        </w:rPr>
        <w:t>Organe d</w:t>
      </w:r>
      <w:r w:rsidR="00923E72">
        <w:rPr>
          <w:bCs/>
          <w:lang w:val="fr-FR"/>
        </w:rPr>
        <w:t>’</w:t>
      </w:r>
      <w:r w:rsidRPr="00255B24">
        <w:rPr>
          <w:bCs/>
          <w:lang w:val="fr-FR"/>
        </w:rPr>
        <w:t>évaluation avait estimé que la candidature satisfaisait aux cinq critères et recommandait l</w:t>
      </w:r>
      <w:r w:rsidR="00923E72">
        <w:rPr>
          <w:bCs/>
          <w:lang w:val="fr-FR"/>
        </w:rPr>
        <w:t>’</w:t>
      </w:r>
      <w:r w:rsidRPr="00255B24">
        <w:rPr>
          <w:bCs/>
          <w:lang w:val="fr-FR"/>
        </w:rPr>
        <w:t>inscription.</w:t>
      </w:r>
    </w:p>
    <w:p w14:paraId="08B056DE" w14:textId="412A89AC" w:rsidR="002D6273" w:rsidRPr="00CD0853" w:rsidRDefault="002D6273"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pour cette candidature,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DF421C">
        <w:rPr>
          <w:rFonts w:eastAsia="Malgun Gothic"/>
          <w:b/>
          <w:lang w:val="fr-FR"/>
        </w:rPr>
        <w:t> </w:t>
      </w:r>
      <w:r w:rsidR="00751FB1">
        <w:fldChar w:fldCharType="begin"/>
      </w:r>
      <w:r w:rsidR="00751FB1" w:rsidRPr="00751FB1">
        <w:rPr>
          <w:lang w:val="fr-FR"/>
        </w:rPr>
        <w:instrText>HYPERLINK "https://ich.unesco.org/fr/Decisions/17.COM/7.b.45"</w:instrText>
      </w:r>
      <w:r w:rsidR="00751FB1">
        <w:fldChar w:fldCharType="separate"/>
      </w:r>
      <w:r w:rsidRPr="006E3034">
        <w:rPr>
          <w:rStyle w:val="Hyperlink"/>
          <w:b/>
          <w:bCs/>
          <w:lang w:val="fr-FR"/>
        </w:rPr>
        <w:t>17.COM 7.b.45</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sidR="00923E72">
        <w:rPr>
          <w:rStyle w:val="Hyperlink"/>
          <w:b/>
          <w:bCs/>
          <w:color w:val="auto"/>
          <w:u w:val="none"/>
          <w:lang w:val="fr-FR"/>
        </w:rPr>
        <w:t>’</w:t>
      </w:r>
      <w:r>
        <w:rPr>
          <w:rStyle w:val="Hyperlink"/>
          <w:b/>
          <w:bCs/>
          <w:color w:val="auto"/>
          <w:u w:val="none"/>
          <w:lang w:val="fr-FR"/>
        </w:rPr>
        <w:t xml:space="preserve">inscrire </w:t>
      </w:r>
      <w:r w:rsidRPr="00CD0853">
        <w:rPr>
          <w:b/>
          <w:lang w:val="fr-FR"/>
        </w:rPr>
        <w:t xml:space="preserve">le tressage de </w:t>
      </w:r>
      <w:r>
        <w:rPr>
          <w:b/>
          <w:lang w:val="fr-FR"/>
        </w:rPr>
        <w:t xml:space="preserve">la </w:t>
      </w:r>
      <w:r w:rsidRPr="00CD0853">
        <w:rPr>
          <w:b/>
          <w:lang w:val="fr-FR"/>
        </w:rPr>
        <w:t>paille au Bélarus : art, artisanat et savoir-faire</w:t>
      </w:r>
      <w:r w:rsidRPr="00255B24">
        <w:rPr>
          <w:bCs/>
          <w:lang w:val="fr-FR"/>
        </w:rPr>
        <w:t xml:space="preserve"> </w:t>
      </w:r>
      <w:r>
        <w:rPr>
          <w:b/>
          <w:lang w:val="fr-FR"/>
        </w:rPr>
        <w:t>sur la Liste représentative.</w:t>
      </w:r>
    </w:p>
    <w:p w14:paraId="4CC3761B" w14:textId="47D11423" w:rsidR="008B7C81" w:rsidRDefault="00166882" w:rsidP="00702497">
      <w:pPr>
        <w:pStyle w:val="Orateurengris"/>
        <w:numPr>
          <w:ilvl w:val="0"/>
          <w:numId w:val="20"/>
        </w:numPr>
        <w:tabs>
          <w:tab w:val="clear" w:pos="567"/>
        </w:tabs>
        <w:spacing w:before="120"/>
        <w:ind w:left="709" w:hanging="709"/>
        <w:rPr>
          <w:bCs/>
          <w:lang w:val="fr-FR"/>
        </w:rPr>
      </w:pPr>
      <w:r w:rsidRPr="00166882">
        <w:rPr>
          <w:bCs/>
          <w:lang w:val="fr-FR"/>
        </w:rPr>
        <w:t xml:space="preserve">La délégation du </w:t>
      </w:r>
      <w:r w:rsidRPr="00702497">
        <w:rPr>
          <w:b/>
          <w:lang w:val="fr-FR"/>
        </w:rPr>
        <w:t>B</w:t>
      </w:r>
      <w:r>
        <w:rPr>
          <w:b/>
          <w:lang w:val="fr-FR"/>
        </w:rPr>
        <w:t>é</w:t>
      </w:r>
      <w:r w:rsidRPr="00702497">
        <w:rPr>
          <w:b/>
          <w:lang w:val="fr-FR"/>
        </w:rPr>
        <w:t>larus</w:t>
      </w:r>
      <w:r w:rsidRPr="00166882">
        <w:rPr>
          <w:bCs/>
          <w:lang w:val="fr-FR"/>
        </w:rPr>
        <w:t xml:space="preserve"> a exprimé sa plus sincère gratitude pour le soutien apporté à l</w:t>
      </w:r>
      <w:r w:rsidR="00923E72">
        <w:rPr>
          <w:bCs/>
          <w:lang w:val="fr-FR"/>
        </w:rPr>
        <w:t>’</w:t>
      </w:r>
      <w:r w:rsidRPr="00166882">
        <w:rPr>
          <w:bCs/>
          <w:lang w:val="fr-FR"/>
        </w:rPr>
        <w:t xml:space="preserve">inscription </w:t>
      </w:r>
      <w:r>
        <w:rPr>
          <w:bCs/>
          <w:lang w:val="fr-FR"/>
        </w:rPr>
        <w:t xml:space="preserve">du tressage de la paille au Bélarus : </w:t>
      </w:r>
      <w:r w:rsidRPr="00166882">
        <w:rPr>
          <w:bCs/>
          <w:lang w:val="fr-FR"/>
        </w:rPr>
        <w:t>art, artisanat et savoir-faire. C</w:t>
      </w:r>
      <w:r w:rsidR="00923E72">
        <w:rPr>
          <w:bCs/>
          <w:lang w:val="fr-FR"/>
        </w:rPr>
        <w:t>’</w:t>
      </w:r>
      <w:r w:rsidRPr="00166882">
        <w:rPr>
          <w:bCs/>
          <w:lang w:val="fr-FR"/>
        </w:rPr>
        <w:t>était une journée spéciale pour les maîtres qui perpétuent le</w:t>
      </w:r>
      <w:r>
        <w:rPr>
          <w:bCs/>
          <w:lang w:val="fr-FR"/>
        </w:rPr>
        <w:t xml:space="preserve">s </w:t>
      </w:r>
      <w:r w:rsidRPr="00166882">
        <w:rPr>
          <w:bCs/>
          <w:lang w:val="fr-FR"/>
        </w:rPr>
        <w:t>connaissance</w:t>
      </w:r>
      <w:r>
        <w:rPr>
          <w:bCs/>
          <w:lang w:val="fr-FR"/>
        </w:rPr>
        <w:t>s et le</w:t>
      </w:r>
      <w:r w:rsidRPr="00166882">
        <w:rPr>
          <w:bCs/>
          <w:lang w:val="fr-FR"/>
        </w:rPr>
        <w:t xml:space="preserve"> savoir-faire traditionnel du tressage de </w:t>
      </w:r>
      <w:r>
        <w:rPr>
          <w:bCs/>
          <w:lang w:val="fr-FR"/>
        </w:rPr>
        <w:t xml:space="preserve">la </w:t>
      </w:r>
      <w:r w:rsidRPr="00166882">
        <w:rPr>
          <w:bCs/>
          <w:lang w:val="fr-FR"/>
        </w:rPr>
        <w:t>paille</w:t>
      </w:r>
      <w:r>
        <w:rPr>
          <w:bCs/>
          <w:lang w:val="fr-FR"/>
        </w:rPr>
        <w:t xml:space="preserve">, transmis </w:t>
      </w:r>
      <w:r w:rsidRPr="00166882">
        <w:rPr>
          <w:bCs/>
          <w:lang w:val="fr-FR"/>
        </w:rPr>
        <w:t>de leurs parents et de leurs tuteurs d</w:t>
      </w:r>
      <w:r w:rsidR="00923E72">
        <w:rPr>
          <w:bCs/>
          <w:lang w:val="fr-FR"/>
        </w:rPr>
        <w:t>’</w:t>
      </w:r>
      <w:r w:rsidRPr="00166882">
        <w:rPr>
          <w:bCs/>
          <w:lang w:val="fr-FR"/>
        </w:rPr>
        <w:t>une génération à l</w:t>
      </w:r>
      <w:r w:rsidR="00923E72">
        <w:rPr>
          <w:bCs/>
          <w:lang w:val="fr-FR"/>
        </w:rPr>
        <w:t>’</w:t>
      </w:r>
      <w:r w:rsidRPr="00166882">
        <w:rPr>
          <w:bCs/>
          <w:lang w:val="fr-FR"/>
        </w:rPr>
        <w:t>autre. La communauté travaillait dans un esprit d</w:t>
      </w:r>
      <w:r w:rsidR="00923E72">
        <w:rPr>
          <w:bCs/>
          <w:lang w:val="fr-FR"/>
        </w:rPr>
        <w:t>’</w:t>
      </w:r>
      <w:r w:rsidRPr="00166882">
        <w:rPr>
          <w:bCs/>
          <w:lang w:val="fr-FR"/>
        </w:rPr>
        <w:t xml:space="preserve">unité et cet artisanat traditionnel était important pour les maîtres tresseurs de </w:t>
      </w:r>
      <w:r>
        <w:rPr>
          <w:bCs/>
          <w:lang w:val="fr-FR"/>
        </w:rPr>
        <w:t xml:space="preserve">la </w:t>
      </w:r>
      <w:r w:rsidRPr="00166882">
        <w:rPr>
          <w:bCs/>
          <w:lang w:val="fr-FR"/>
        </w:rPr>
        <w:t>paille et pour l</w:t>
      </w:r>
      <w:r>
        <w:rPr>
          <w:bCs/>
          <w:lang w:val="fr-FR"/>
        </w:rPr>
        <w:t>e</w:t>
      </w:r>
      <w:r w:rsidRPr="00166882">
        <w:rPr>
          <w:bCs/>
          <w:lang w:val="fr-FR"/>
        </w:rPr>
        <w:t xml:space="preserve"> B</w:t>
      </w:r>
      <w:r>
        <w:rPr>
          <w:bCs/>
          <w:lang w:val="fr-FR"/>
        </w:rPr>
        <w:t>é</w:t>
      </w:r>
      <w:r w:rsidRPr="00166882">
        <w:rPr>
          <w:bCs/>
          <w:lang w:val="fr-FR"/>
        </w:rPr>
        <w:t>larus. Le pays était heureux de voir sa tradition culturelle reconnue au niveau international. C</w:t>
      </w:r>
      <w:r w:rsidR="00923E72">
        <w:rPr>
          <w:bCs/>
          <w:lang w:val="fr-FR"/>
        </w:rPr>
        <w:t>’</w:t>
      </w:r>
      <w:r w:rsidRPr="00166882">
        <w:rPr>
          <w:bCs/>
          <w:lang w:val="fr-FR"/>
        </w:rPr>
        <w:t>était également une responsabilité de sauvegarder cet élément pour son développement durable. Le Belarus ferait tout ce qui est en son pouvoir pour préserver cette tradition pour les générations futures.</w:t>
      </w:r>
    </w:p>
    <w:p w14:paraId="5A40F791" w14:textId="3AFE5895" w:rsidR="008B7C81" w:rsidRPr="00702497" w:rsidRDefault="008B7C81" w:rsidP="00702497">
      <w:pPr>
        <w:pStyle w:val="Orateurengris"/>
        <w:spacing w:before="120"/>
        <w:ind w:left="709" w:hanging="709"/>
        <w:jc w:val="center"/>
        <w:rPr>
          <w:bCs/>
          <w:i/>
          <w:iCs/>
          <w:lang w:val="fr-FR"/>
        </w:rPr>
      </w:pPr>
      <w:r w:rsidRPr="00702497">
        <w:rPr>
          <w:bCs/>
          <w:i/>
          <w:iCs/>
          <w:lang w:val="fr-FR"/>
        </w:rPr>
        <w:t>[Une vidéo présentant l</w:t>
      </w:r>
      <w:r w:rsidR="00923E72">
        <w:rPr>
          <w:bCs/>
          <w:i/>
          <w:iCs/>
          <w:lang w:val="fr-FR"/>
        </w:rPr>
        <w:t>’</w:t>
      </w:r>
      <w:r w:rsidRPr="00702497">
        <w:rPr>
          <w:bCs/>
          <w:i/>
          <w:iCs/>
          <w:lang w:val="fr-FR"/>
        </w:rPr>
        <w:t>élément a été diffusée]</w:t>
      </w:r>
    </w:p>
    <w:p w14:paraId="11734C0F" w14:textId="4A992C1D" w:rsidR="008B7C81" w:rsidRPr="008B7C81" w:rsidRDefault="008B7C81" w:rsidP="00702497">
      <w:pPr>
        <w:pStyle w:val="Marge"/>
        <w:keepNext/>
        <w:tabs>
          <w:tab w:val="clear" w:pos="567"/>
          <w:tab w:val="left" w:pos="709"/>
          <w:tab w:val="left" w:pos="1418"/>
          <w:tab w:val="left" w:pos="2126"/>
          <w:tab w:val="left" w:pos="2835"/>
        </w:tabs>
        <w:spacing w:before="360" w:after="60"/>
        <w:jc w:val="left"/>
        <w:outlineLvl w:val="0"/>
        <w:rPr>
          <w:rFonts w:eastAsiaTheme="minorHAnsi" w:cs="Arial"/>
          <w:b/>
          <w:color w:val="000000" w:themeColor="text1"/>
          <w:szCs w:val="22"/>
          <w:u w:val="single"/>
        </w:rPr>
      </w:pPr>
      <w:r>
        <w:rPr>
          <w:rFonts w:eastAsiaTheme="minorHAnsi" w:cs="Arial"/>
          <w:b/>
          <w:color w:val="000000" w:themeColor="text1"/>
          <w:szCs w:val="22"/>
          <w:u w:val="single"/>
        </w:rPr>
        <w:lastRenderedPageBreak/>
        <w:t>POINT</w:t>
      </w:r>
      <w:r w:rsidR="0073323E">
        <w:rPr>
          <w:rFonts w:eastAsiaTheme="minorHAnsi" w:cs="Arial"/>
          <w:b/>
          <w:color w:val="000000" w:themeColor="text1"/>
          <w:szCs w:val="22"/>
          <w:u w:val="single"/>
        </w:rPr>
        <w:t> </w:t>
      </w:r>
      <w:r w:rsidRPr="008B7C81">
        <w:rPr>
          <w:rFonts w:eastAsiaTheme="minorHAnsi" w:cs="Arial"/>
          <w:b/>
          <w:color w:val="000000" w:themeColor="text1"/>
          <w:szCs w:val="22"/>
          <w:u w:val="single"/>
        </w:rPr>
        <w:t>7.</w:t>
      </w:r>
      <w:r>
        <w:rPr>
          <w:rFonts w:eastAsiaTheme="minorHAnsi" w:cs="Arial"/>
          <w:b/>
          <w:color w:val="000000" w:themeColor="text1"/>
          <w:szCs w:val="22"/>
          <w:u w:val="single"/>
        </w:rPr>
        <w:t>c DE L</w:t>
      </w:r>
      <w:r w:rsidR="00923E72">
        <w:rPr>
          <w:rFonts w:eastAsiaTheme="minorHAnsi" w:cs="Arial"/>
          <w:b/>
          <w:color w:val="000000" w:themeColor="text1"/>
          <w:szCs w:val="22"/>
          <w:u w:val="single"/>
        </w:rPr>
        <w:t>’</w:t>
      </w:r>
      <w:r w:rsidRPr="008B7C81">
        <w:rPr>
          <w:rFonts w:eastAsiaTheme="minorHAnsi" w:cs="Arial"/>
          <w:b/>
          <w:color w:val="000000" w:themeColor="text1"/>
          <w:szCs w:val="22"/>
          <w:u w:val="single"/>
        </w:rPr>
        <w:t>ORDRE DU JOUR</w:t>
      </w:r>
      <w:r w:rsidRPr="008B7C81">
        <w:rPr>
          <w:rFonts w:eastAsiaTheme="minorHAnsi" w:cs="Arial"/>
          <w:b/>
          <w:color w:val="000000" w:themeColor="text1"/>
          <w:szCs w:val="22"/>
        </w:rPr>
        <w:t> :</w:t>
      </w:r>
      <w:r w:rsidRPr="008B7C81">
        <w:rPr>
          <w:rFonts w:eastAsiaTheme="minorHAnsi" w:cs="Arial"/>
          <w:b/>
          <w:color w:val="000000" w:themeColor="text1"/>
          <w:szCs w:val="22"/>
          <w:u w:val="single"/>
        </w:rPr>
        <w:t xml:space="preserve"> </w:t>
      </w:r>
    </w:p>
    <w:p w14:paraId="0F399F30" w14:textId="1DABE07A" w:rsidR="008B7C81" w:rsidRPr="008B7C81" w:rsidRDefault="008B7C81"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Pr>
          <w:rFonts w:eastAsiaTheme="minorHAnsi"/>
          <w:b/>
          <w:color w:val="000000" w:themeColor="text1"/>
        </w:rPr>
        <w:t xml:space="preserve">EXAMEN DES </w:t>
      </w:r>
      <w:r w:rsidRPr="008B7C81">
        <w:rPr>
          <w:rFonts w:eastAsiaTheme="minorHAnsi"/>
          <w:b/>
          <w:color w:val="000000" w:themeColor="text1"/>
        </w:rPr>
        <w:t>PROPOSITIO</w:t>
      </w:r>
      <w:r>
        <w:rPr>
          <w:rFonts w:eastAsiaTheme="minorHAnsi"/>
          <w:b/>
          <w:color w:val="000000" w:themeColor="text1"/>
        </w:rPr>
        <w:t xml:space="preserve">NS AU REGISTRE DES BONNES PRATIQUES DE </w:t>
      </w:r>
      <w:r w:rsidRPr="008B7C81">
        <w:rPr>
          <w:rFonts w:eastAsiaTheme="minorHAnsi"/>
          <w:b/>
          <w:bCs/>
          <w:color w:val="000000" w:themeColor="text1"/>
        </w:rPr>
        <w:t>SAUVEGARDE</w:t>
      </w:r>
    </w:p>
    <w:p w14:paraId="309CAFB5" w14:textId="621124EA" w:rsidR="008B7C81" w:rsidRPr="00702497" w:rsidRDefault="008B7C81" w:rsidP="00702497">
      <w:pPr>
        <w:pStyle w:val="Orateurengris"/>
        <w:tabs>
          <w:tab w:val="clear" w:pos="709"/>
          <w:tab w:val="clear" w:pos="1418"/>
          <w:tab w:val="clear" w:pos="2126"/>
          <w:tab w:val="clear" w:pos="2835"/>
        </w:tabs>
        <w:spacing w:after="0"/>
        <w:ind w:firstLine="709"/>
        <w:rPr>
          <w:i/>
          <w:lang w:val="fr-FR"/>
        </w:rPr>
      </w:pPr>
      <w:r w:rsidRPr="00702497">
        <w:rPr>
          <w:b/>
          <w:color w:val="000000" w:themeColor="text1"/>
          <w:lang w:val="fr-FR"/>
        </w:rPr>
        <w:t>Document</w:t>
      </w:r>
      <w:r>
        <w:rPr>
          <w:b/>
          <w:color w:val="000000" w:themeColor="text1"/>
          <w:lang w:val="fr-FR"/>
        </w:rPr>
        <w:t>s :</w:t>
      </w:r>
      <w:r w:rsidRPr="00702497">
        <w:rPr>
          <w:b/>
          <w:iCs/>
          <w:color w:val="000000" w:themeColor="text1"/>
          <w:lang w:val="fr-FR"/>
        </w:rPr>
        <w:tab/>
      </w:r>
      <w:r w:rsidR="00751FB1">
        <w:fldChar w:fldCharType="begin"/>
      </w:r>
      <w:r w:rsidR="00751FB1" w:rsidRPr="00751FB1">
        <w:rPr>
          <w:lang w:val="fr-FR"/>
        </w:rPr>
        <w:instrText>HYPERLINK "https://ich.unesco.org/doc/src/LHE-22-17.COM-7.c-FR.docx"</w:instrText>
      </w:r>
      <w:r w:rsidR="00751FB1">
        <w:fldChar w:fldCharType="separate"/>
      </w:r>
      <w:r w:rsidRPr="00702497">
        <w:rPr>
          <w:rStyle w:val="Hyperlink"/>
          <w:i/>
          <w:lang w:val="fr-FR"/>
        </w:rPr>
        <w:t>LHE/22/17.COM/7.c</w:t>
      </w:r>
      <w:r w:rsidR="00751FB1">
        <w:rPr>
          <w:rStyle w:val="Hyperlink"/>
          <w:i/>
          <w:lang w:val="fr-FR"/>
        </w:rPr>
        <w:fldChar w:fldCharType="end"/>
      </w:r>
    </w:p>
    <w:p w14:paraId="060D803C" w14:textId="03E29393" w:rsidR="008B7C81" w:rsidRPr="00702497" w:rsidRDefault="008B7C81" w:rsidP="00702497">
      <w:pPr>
        <w:pStyle w:val="Orateurengris"/>
        <w:tabs>
          <w:tab w:val="clear" w:pos="709"/>
          <w:tab w:val="clear" w:pos="1418"/>
          <w:tab w:val="clear" w:pos="2126"/>
          <w:tab w:val="clear" w:pos="2835"/>
        </w:tabs>
        <w:spacing w:after="240"/>
        <w:ind w:left="567"/>
        <w:rPr>
          <w:i/>
          <w:color w:val="0000FF"/>
          <w:u w:val="single"/>
          <w:lang w:val="fr-FR"/>
        </w:rPr>
      </w:pPr>
      <w:r w:rsidRPr="00702497">
        <w:rPr>
          <w:b/>
          <w:color w:val="000000" w:themeColor="text1"/>
          <w:lang w:val="fr-FR"/>
        </w:rPr>
        <w:tab/>
      </w:r>
      <w:r w:rsidRPr="00702497">
        <w:rPr>
          <w:b/>
          <w:color w:val="000000" w:themeColor="text1"/>
          <w:lang w:val="fr-FR"/>
        </w:rPr>
        <w:tab/>
      </w:r>
      <w:r w:rsidRPr="00702497">
        <w:rPr>
          <w:b/>
          <w:color w:val="000000" w:themeColor="text1"/>
          <w:lang w:val="fr-FR"/>
        </w:rPr>
        <w:tab/>
      </w:r>
      <w:r>
        <w:rPr>
          <w:i/>
          <w:color w:val="000000" w:themeColor="text1"/>
          <w:lang w:val="fr-FR"/>
        </w:rPr>
        <w:t>Voir les</w:t>
      </w:r>
      <w:r w:rsidRPr="00702497">
        <w:rPr>
          <w:i/>
          <w:color w:val="000000" w:themeColor="text1"/>
          <w:lang w:val="fr-FR"/>
        </w:rPr>
        <w:t xml:space="preserve"> </w:t>
      </w:r>
      <w:r w:rsidR="00751FB1">
        <w:fldChar w:fldCharType="begin"/>
      </w:r>
      <w:r w:rsidR="00751FB1" w:rsidRPr="00751FB1">
        <w:rPr>
          <w:lang w:val="fr-FR"/>
        </w:rPr>
        <w:instrText>HYPERLINK "https://ich.unesco.org/fr/7c-register-01283"</w:instrText>
      </w:r>
      <w:r w:rsidR="00751FB1">
        <w:fldChar w:fldCharType="separate"/>
      </w:r>
      <w:r>
        <w:rPr>
          <w:rStyle w:val="Hyperlink"/>
          <w:i/>
          <w:lang w:val="fr-FR"/>
        </w:rPr>
        <w:t>5 propositions</w:t>
      </w:r>
      <w:r w:rsidR="00751FB1">
        <w:rPr>
          <w:rStyle w:val="Hyperlink"/>
          <w:i/>
          <w:lang w:val="fr-FR"/>
        </w:rPr>
        <w:fldChar w:fldCharType="end"/>
      </w:r>
    </w:p>
    <w:p w14:paraId="67128EC5" w14:textId="77B15FA0" w:rsidR="008B7C81" w:rsidRPr="00702497" w:rsidRDefault="008B7C81" w:rsidP="00702497">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
          <w:lang w:val="fr-FR"/>
        </w:rPr>
        <w:t xml:space="preserve"> de la Suisse</w:t>
      </w:r>
      <w:r>
        <w:rPr>
          <w:bCs/>
          <w:lang w:val="fr-FR"/>
        </w:rPr>
        <w:t xml:space="preserve"> est passée au point</w:t>
      </w:r>
      <w:r w:rsidR="00DF421C">
        <w:rPr>
          <w:bCs/>
          <w:lang w:val="fr-FR"/>
        </w:rPr>
        <w:t> </w:t>
      </w:r>
      <w:r>
        <w:rPr>
          <w:bCs/>
          <w:lang w:val="fr-FR"/>
        </w:rPr>
        <w:t>7.c de l</w:t>
      </w:r>
      <w:r w:rsidR="00923E72">
        <w:rPr>
          <w:bCs/>
          <w:lang w:val="fr-FR"/>
        </w:rPr>
        <w:t>’</w:t>
      </w:r>
      <w:r w:rsidRPr="008B7C81">
        <w:rPr>
          <w:bCs/>
          <w:lang w:val="fr-FR"/>
        </w:rPr>
        <w:t>ordre du jour</w:t>
      </w:r>
      <w:r>
        <w:rPr>
          <w:bCs/>
          <w:lang w:val="fr-FR"/>
        </w:rPr>
        <w:t>, l</w:t>
      </w:r>
      <w:r w:rsidR="00923E72">
        <w:rPr>
          <w:bCs/>
          <w:lang w:val="fr-FR"/>
        </w:rPr>
        <w:t>’</w:t>
      </w:r>
      <w:r>
        <w:rPr>
          <w:bCs/>
          <w:lang w:val="fr-FR"/>
        </w:rPr>
        <w:t xml:space="preserve">examen des </w:t>
      </w:r>
      <w:r w:rsidRPr="008B7C81">
        <w:rPr>
          <w:bCs/>
          <w:lang w:val="fr-FR"/>
        </w:rPr>
        <w:t>propositio</w:t>
      </w:r>
      <w:r>
        <w:rPr>
          <w:bCs/>
          <w:lang w:val="fr-FR"/>
        </w:rPr>
        <w:t xml:space="preserve">ns </w:t>
      </w:r>
      <w:r w:rsidR="000C4DC3">
        <w:rPr>
          <w:bCs/>
          <w:lang w:val="fr-FR"/>
        </w:rPr>
        <w:t xml:space="preserve">au Registre des bonnes pratiques de </w:t>
      </w:r>
      <w:r w:rsidR="000C4DC3" w:rsidRPr="000C4DC3">
        <w:rPr>
          <w:bCs/>
          <w:color w:val="000000" w:themeColor="text1"/>
          <w:lang w:val="fr-FR"/>
        </w:rPr>
        <w:t>sauvegarde</w:t>
      </w:r>
      <w:r w:rsidR="000C4DC3">
        <w:rPr>
          <w:bCs/>
          <w:color w:val="000000" w:themeColor="text1"/>
          <w:lang w:val="fr-FR"/>
        </w:rPr>
        <w:t>.</w:t>
      </w:r>
    </w:p>
    <w:p w14:paraId="63822A41" w14:textId="31E7D2C9" w:rsidR="000C4DC3" w:rsidRDefault="000C4DC3" w:rsidP="00702497">
      <w:pPr>
        <w:pStyle w:val="Orateurengris"/>
        <w:numPr>
          <w:ilvl w:val="0"/>
          <w:numId w:val="20"/>
        </w:numPr>
        <w:tabs>
          <w:tab w:val="clear" w:pos="567"/>
        </w:tabs>
        <w:spacing w:before="120"/>
        <w:ind w:left="709" w:hanging="709"/>
        <w:rPr>
          <w:bCs/>
          <w:lang w:val="fr-FR"/>
        </w:rPr>
      </w:pPr>
      <w:r w:rsidRPr="000C4DC3">
        <w:rPr>
          <w:bCs/>
          <w:lang w:val="fr-FR"/>
        </w:rPr>
        <w:t xml:space="preserve">Le </w:t>
      </w:r>
      <w:r w:rsidRPr="00702497">
        <w:rPr>
          <w:b/>
          <w:lang w:val="fr-FR"/>
        </w:rPr>
        <w:t>Secrétaire</w:t>
      </w:r>
      <w:r w:rsidRPr="000C4DC3">
        <w:rPr>
          <w:bCs/>
          <w:lang w:val="fr-FR"/>
        </w:rPr>
        <w:t xml:space="preserve"> a </w:t>
      </w:r>
      <w:r>
        <w:rPr>
          <w:bCs/>
          <w:lang w:val="fr-FR"/>
        </w:rPr>
        <w:t xml:space="preserve">indiqué </w:t>
      </w:r>
      <w:r w:rsidRPr="000C4DC3">
        <w:rPr>
          <w:bCs/>
          <w:lang w:val="fr-FR"/>
        </w:rPr>
        <w:t>que le Comité examinerait cinq propositions pour le Registre des bonnes pratiques de sauvegarde</w:t>
      </w:r>
      <w:r>
        <w:rPr>
          <w:bCs/>
          <w:lang w:val="fr-FR"/>
        </w:rPr>
        <w:t> :</w:t>
      </w:r>
      <w:r w:rsidRPr="000C4DC3">
        <w:rPr>
          <w:bCs/>
          <w:lang w:val="fr-FR"/>
        </w:rPr>
        <w:t xml:space="preserve"> la proposition soumise par la Tchéquie</w:t>
      </w:r>
      <w:r>
        <w:rPr>
          <w:bCs/>
          <w:lang w:val="fr-FR"/>
        </w:rPr>
        <w:t> ;</w:t>
      </w:r>
      <w:r w:rsidRPr="000C4DC3">
        <w:rPr>
          <w:bCs/>
          <w:lang w:val="fr-FR"/>
        </w:rPr>
        <w:t xml:space="preserve"> la proposition conjointe de l</w:t>
      </w:r>
      <w:r w:rsidR="00923E72">
        <w:rPr>
          <w:bCs/>
          <w:lang w:val="fr-FR"/>
        </w:rPr>
        <w:t>’</w:t>
      </w:r>
      <w:r w:rsidRPr="000C4DC3">
        <w:rPr>
          <w:bCs/>
          <w:lang w:val="fr-FR"/>
        </w:rPr>
        <w:t xml:space="preserve">Italie, de la Belgique, de la Croatie, de Chypre et de la </w:t>
      </w:r>
      <w:r>
        <w:rPr>
          <w:bCs/>
          <w:lang w:val="fr-FR"/>
        </w:rPr>
        <w:t>France ;</w:t>
      </w:r>
      <w:r w:rsidRPr="000C4DC3">
        <w:rPr>
          <w:bCs/>
          <w:lang w:val="fr-FR"/>
        </w:rPr>
        <w:t xml:space="preserve"> la proposition du Koweït</w:t>
      </w:r>
      <w:r>
        <w:rPr>
          <w:bCs/>
          <w:lang w:val="fr-FR"/>
        </w:rPr>
        <w:t> ;</w:t>
      </w:r>
      <w:r w:rsidRPr="000C4DC3">
        <w:rPr>
          <w:bCs/>
          <w:lang w:val="fr-FR"/>
        </w:rPr>
        <w:t xml:space="preserve"> la proposition conjointe du Portugal et de l</w:t>
      </w:r>
      <w:r w:rsidR="00923E72">
        <w:rPr>
          <w:bCs/>
          <w:lang w:val="fr-FR"/>
        </w:rPr>
        <w:t>’</w:t>
      </w:r>
      <w:r>
        <w:rPr>
          <w:bCs/>
          <w:lang w:val="fr-FR"/>
        </w:rPr>
        <w:t>Espagne ;</w:t>
      </w:r>
      <w:r w:rsidRPr="000C4DC3">
        <w:rPr>
          <w:bCs/>
          <w:lang w:val="fr-FR"/>
        </w:rPr>
        <w:t xml:space="preserve"> et enfin la proposition de la Bosnie-Herzégovine. Il a rappelé que le Comité est invité à évaluer dans quelle mesure les propositions reflètent le mieux les principes et les objectifs de la Convention, qu</w:t>
      </w:r>
      <w:r w:rsidR="00923E72">
        <w:rPr>
          <w:bCs/>
          <w:lang w:val="fr-FR"/>
        </w:rPr>
        <w:t>’</w:t>
      </w:r>
      <w:r w:rsidRPr="000C4DC3">
        <w:rPr>
          <w:bCs/>
          <w:lang w:val="fr-FR"/>
        </w:rPr>
        <w:t>il n</w:t>
      </w:r>
      <w:r w:rsidR="00923E72">
        <w:rPr>
          <w:bCs/>
          <w:lang w:val="fr-FR"/>
        </w:rPr>
        <w:t>’</w:t>
      </w:r>
      <w:r w:rsidRPr="000C4DC3">
        <w:rPr>
          <w:bCs/>
          <w:lang w:val="fr-FR"/>
        </w:rPr>
        <w:t>est pas nécessaire que l</w:t>
      </w:r>
      <w:r w:rsidR="00923E72">
        <w:rPr>
          <w:bCs/>
          <w:lang w:val="fr-FR"/>
        </w:rPr>
        <w:t>’</w:t>
      </w:r>
      <w:r w:rsidRPr="000C4DC3">
        <w:rPr>
          <w:bCs/>
          <w:lang w:val="fr-FR"/>
        </w:rPr>
        <w:t>évaluation satisfasse à l</w:t>
      </w:r>
      <w:r w:rsidR="00923E72">
        <w:rPr>
          <w:bCs/>
          <w:lang w:val="fr-FR"/>
        </w:rPr>
        <w:t>’</w:t>
      </w:r>
      <w:r w:rsidRPr="000C4DC3">
        <w:rPr>
          <w:bCs/>
          <w:lang w:val="fr-FR"/>
        </w:rPr>
        <w:t>ensemble des neuf critères pour que la proposition soit retenue et que l</w:t>
      </w:r>
      <w:r w:rsidR="00923E72">
        <w:rPr>
          <w:bCs/>
          <w:lang w:val="fr-FR"/>
        </w:rPr>
        <w:t>’</w:t>
      </w:r>
      <w:r w:rsidRPr="000C4DC3">
        <w:rPr>
          <w:bCs/>
          <w:lang w:val="fr-FR"/>
        </w:rPr>
        <w:t>objectif de ce registre est de sélectionner des pratiques de sauvegarde efficaces en vue de les diffuser et d</w:t>
      </w:r>
      <w:r w:rsidR="00923E72">
        <w:rPr>
          <w:bCs/>
          <w:lang w:val="fr-FR"/>
        </w:rPr>
        <w:t>’</w:t>
      </w:r>
      <w:r>
        <w:rPr>
          <w:bCs/>
          <w:lang w:val="fr-FR"/>
        </w:rPr>
        <w:t>éventuellement</w:t>
      </w:r>
      <w:r w:rsidRPr="000C4DC3">
        <w:rPr>
          <w:bCs/>
          <w:lang w:val="fr-FR"/>
        </w:rPr>
        <w:t xml:space="preserve"> les reproduire dans d</w:t>
      </w:r>
      <w:r w:rsidR="00923E72">
        <w:rPr>
          <w:bCs/>
          <w:lang w:val="fr-FR"/>
        </w:rPr>
        <w:t>’</w:t>
      </w:r>
      <w:r w:rsidRPr="000C4DC3">
        <w:rPr>
          <w:bCs/>
          <w:lang w:val="fr-FR"/>
        </w:rPr>
        <w:t xml:space="preserve">autres pays. Les critères ont été projetés </w:t>
      </w:r>
      <w:r>
        <w:rPr>
          <w:bCs/>
          <w:lang w:val="fr-FR"/>
        </w:rPr>
        <w:t>à l</w:t>
      </w:r>
      <w:r w:rsidR="00923E72">
        <w:rPr>
          <w:bCs/>
          <w:lang w:val="fr-FR"/>
        </w:rPr>
        <w:t>’</w:t>
      </w:r>
      <w:r>
        <w:rPr>
          <w:bCs/>
          <w:lang w:val="fr-FR"/>
        </w:rPr>
        <w:t>écran.</w:t>
      </w:r>
    </w:p>
    <w:p w14:paraId="45E3FD9E" w14:textId="6D1B9D63" w:rsidR="000C4DC3" w:rsidRDefault="000C4DC3" w:rsidP="00702497">
      <w:pPr>
        <w:pStyle w:val="Orateurengris"/>
        <w:numPr>
          <w:ilvl w:val="0"/>
          <w:numId w:val="20"/>
        </w:numPr>
        <w:tabs>
          <w:tab w:val="clear" w:pos="567"/>
        </w:tabs>
        <w:spacing w:before="120"/>
        <w:ind w:left="709" w:hanging="709"/>
        <w:rPr>
          <w:bCs/>
          <w:lang w:val="fr-FR"/>
        </w:rPr>
      </w:pPr>
      <w:r w:rsidRPr="000C4DC3">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0C4DC3">
        <w:rPr>
          <w:bCs/>
          <w:lang w:val="fr-FR"/>
        </w:rPr>
        <w:t xml:space="preserve"> a présenté la première proposition, </w:t>
      </w:r>
      <w:r w:rsidRPr="00702497">
        <w:rPr>
          <w:b/>
          <w:lang w:val="fr-FR"/>
        </w:rPr>
        <w:t>Stratégie pour la sauvegarde de l</w:t>
      </w:r>
      <w:r w:rsidR="00923E72">
        <w:rPr>
          <w:b/>
          <w:lang w:val="fr-FR"/>
        </w:rPr>
        <w:t>’</w:t>
      </w:r>
      <w:r w:rsidRPr="00702497">
        <w:rPr>
          <w:b/>
          <w:lang w:val="fr-FR"/>
        </w:rPr>
        <w:t>artisanat traditionnel</w:t>
      </w:r>
      <w:r w:rsidR="00E14107" w:rsidRPr="00702497">
        <w:rPr>
          <w:b/>
          <w:lang w:val="fr-FR"/>
        </w:rPr>
        <w:t> :</w:t>
      </w:r>
      <w:r w:rsidRPr="00702497">
        <w:rPr>
          <w:b/>
          <w:lang w:val="fr-FR"/>
        </w:rPr>
        <w:t xml:space="preserve"> Le </w:t>
      </w:r>
      <w:r w:rsidR="00E14107" w:rsidRPr="00702497">
        <w:rPr>
          <w:b/>
          <w:lang w:val="fr-FR"/>
        </w:rPr>
        <w:t>P</w:t>
      </w:r>
      <w:r w:rsidRPr="00702497">
        <w:rPr>
          <w:b/>
          <w:lang w:val="fr-FR"/>
        </w:rPr>
        <w:t xml:space="preserve">rogramme des détenteurs de la tradition </w:t>
      </w:r>
      <w:r w:rsidR="00E14107" w:rsidRPr="00702497">
        <w:rPr>
          <w:b/>
          <w:lang w:val="fr-FR"/>
        </w:rPr>
        <w:t>des arts populaires</w:t>
      </w:r>
      <w:r w:rsidR="00E14107">
        <w:rPr>
          <w:bCs/>
          <w:lang w:val="fr-FR"/>
        </w:rPr>
        <w:t xml:space="preserve"> </w:t>
      </w:r>
      <w:r w:rsidRPr="000C4DC3">
        <w:rPr>
          <w:bCs/>
          <w:lang w:val="fr-FR"/>
        </w:rPr>
        <w:t>[projet de décision</w:t>
      </w:r>
      <w:r w:rsidR="00DF421C">
        <w:rPr>
          <w:bCs/>
          <w:lang w:val="fr-FR"/>
        </w:rPr>
        <w:t> </w:t>
      </w:r>
      <w:r w:rsidRPr="000C4DC3">
        <w:rPr>
          <w:bCs/>
          <w:lang w:val="fr-FR"/>
        </w:rPr>
        <w:t>7.c.1]</w:t>
      </w:r>
      <w:r w:rsidR="00DF421C">
        <w:rPr>
          <w:bCs/>
          <w:lang w:val="fr-FR"/>
        </w:rPr>
        <w:t xml:space="preserve">, </w:t>
      </w:r>
      <w:r w:rsidRPr="000C4DC3">
        <w:rPr>
          <w:bCs/>
          <w:lang w:val="fr-FR"/>
        </w:rPr>
        <w:t xml:space="preserve">soumise par la </w:t>
      </w:r>
      <w:r w:rsidRPr="00702497">
        <w:rPr>
          <w:b/>
          <w:lang w:val="fr-FR"/>
        </w:rPr>
        <w:t>Tchéquie</w:t>
      </w:r>
      <w:r w:rsidR="00E14107">
        <w:rPr>
          <w:bCs/>
          <w:lang w:val="fr-FR"/>
        </w:rPr>
        <w:t>, expliquant que l</w:t>
      </w:r>
      <w:r w:rsidRPr="000C4DC3">
        <w:rPr>
          <w:bCs/>
          <w:lang w:val="fr-FR"/>
        </w:rPr>
        <w:t>e programme proposé vise à soutenir, protéger et sauvegarder l</w:t>
      </w:r>
      <w:r w:rsidR="00923E72">
        <w:rPr>
          <w:bCs/>
          <w:lang w:val="fr-FR"/>
        </w:rPr>
        <w:t>’</w:t>
      </w:r>
      <w:r w:rsidRPr="000C4DC3">
        <w:rPr>
          <w:bCs/>
          <w:lang w:val="fr-FR"/>
        </w:rPr>
        <w:t>artisanat traditionnel</w:t>
      </w:r>
      <w:r w:rsidR="00E14107">
        <w:rPr>
          <w:bCs/>
          <w:lang w:val="fr-FR"/>
        </w:rPr>
        <w:t xml:space="preserve"> en répondant à </w:t>
      </w:r>
      <w:r w:rsidRPr="000C4DC3">
        <w:rPr>
          <w:bCs/>
          <w:lang w:val="fr-FR"/>
        </w:rPr>
        <w:t xml:space="preserve">différents </w:t>
      </w:r>
      <w:r w:rsidR="00E14107">
        <w:rPr>
          <w:bCs/>
          <w:lang w:val="fr-FR"/>
        </w:rPr>
        <w:t xml:space="preserve">défis </w:t>
      </w:r>
      <w:r w:rsidRPr="000C4DC3">
        <w:rPr>
          <w:bCs/>
          <w:lang w:val="fr-FR"/>
        </w:rPr>
        <w:t>auxquels l</w:t>
      </w:r>
      <w:r w:rsidR="00923E72">
        <w:rPr>
          <w:bCs/>
          <w:lang w:val="fr-FR"/>
        </w:rPr>
        <w:t>’</w:t>
      </w:r>
      <w:r w:rsidRPr="000C4DC3">
        <w:rPr>
          <w:bCs/>
          <w:lang w:val="fr-FR"/>
        </w:rPr>
        <w:t xml:space="preserve">artisanat traditionnel est confronté, notamment </w:t>
      </w:r>
      <w:r w:rsidR="00E14107">
        <w:rPr>
          <w:bCs/>
          <w:lang w:val="fr-FR"/>
        </w:rPr>
        <w:t>son</w:t>
      </w:r>
      <w:r w:rsidRPr="000C4DC3">
        <w:rPr>
          <w:bCs/>
          <w:lang w:val="fr-FR"/>
        </w:rPr>
        <w:t xml:space="preserve"> déclin, la mauvaise situation financière des ateliers artisana</w:t>
      </w:r>
      <w:r w:rsidR="00E14107">
        <w:rPr>
          <w:bCs/>
          <w:lang w:val="fr-FR"/>
        </w:rPr>
        <w:t>ux</w:t>
      </w:r>
      <w:r w:rsidRPr="000C4DC3">
        <w:rPr>
          <w:bCs/>
          <w:lang w:val="fr-FR"/>
        </w:rPr>
        <w:t xml:space="preserve"> et l</w:t>
      </w:r>
      <w:r w:rsidR="00923E72">
        <w:rPr>
          <w:bCs/>
          <w:lang w:val="fr-FR"/>
        </w:rPr>
        <w:t>’</w:t>
      </w:r>
      <w:r w:rsidRPr="000C4DC3">
        <w:rPr>
          <w:bCs/>
          <w:lang w:val="fr-FR"/>
        </w:rPr>
        <w:t xml:space="preserve">abandon des modèles traditionnels. </w:t>
      </w:r>
      <w:r w:rsidR="00E14107">
        <w:rPr>
          <w:bCs/>
          <w:lang w:val="fr-FR"/>
        </w:rPr>
        <w:t>Il a précisé que l</w:t>
      </w:r>
      <w:r w:rsidRPr="000C4DC3">
        <w:rPr>
          <w:bCs/>
          <w:lang w:val="fr-FR"/>
        </w:rPr>
        <w:t>e programme contribue à faire connaître l</w:t>
      </w:r>
      <w:r w:rsidR="00923E72">
        <w:rPr>
          <w:bCs/>
          <w:lang w:val="fr-FR"/>
        </w:rPr>
        <w:t>’</w:t>
      </w:r>
      <w:r w:rsidRPr="000C4DC3">
        <w:rPr>
          <w:bCs/>
          <w:lang w:val="fr-FR"/>
        </w:rPr>
        <w:t>artisanat traditionnel et ses technologies</w:t>
      </w:r>
      <w:r w:rsidR="00E14107">
        <w:rPr>
          <w:bCs/>
          <w:lang w:val="fr-FR"/>
        </w:rPr>
        <w:t xml:space="preserve"> et </w:t>
      </w:r>
      <w:r w:rsidRPr="000C4DC3">
        <w:rPr>
          <w:bCs/>
          <w:lang w:val="fr-FR"/>
        </w:rPr>
        <w:t xml:space="preserve">à </w:t>
      </w:r>
      <w:r w:rsidR="00E14107">
        <w:rPr>
          <w:bCs/>
          <w:lang w:val="fr-FR"/>
        </w:rPr>
        <w:t xml:space="preserve">accroître </w:t>
      </w:r>
      <w:r w:rsidRPr="000C4DC3">
        <w:rPr>
          <w:bCs/>
          <w:lang w:val="fr-FR"/>
        </w:rPr>
        <w:t>son prestige</w:t>
      </w:r>
      <w:r w:rsidR="00E14107">
        <w:rPr>
          <w:bCs/>
          <w:lang w:val="fr-FR"/>
        </w:rPr>
        <w:t>,</w:t>
      </w:r>
      <w:r w:rsidRPr="000C4DC3">
        <w:rPr>
          <w:bCs/>
          <w:lang w:val="fr-FR"/>
        </w:rPr>
        <w:t xml:space="preserve"> et encourage la reconnaissance des producteurs </w:t>
      </w:r>
      <w:r w:rsidR="00E14107">
        <w:rPr>
          <w:bCs/>
          <w:lang w:val="fr-FR"/>
        </w:rPr>
        <w:t xml:space="preserve">et </w:t>
      </w:r>
      <w:r w:rsidRPr="000C4DC3">
        <w:rPr>
          <w:bCs/>
          <w:lang w:val="fr-FR"/>
        </w:rPr>
        <w:t>artisans par l</w:t>
      </w:r>
      <w:r w:rsidR="00923E72">
        <w:rPr>
          <w:bCs/>
          <w:lang w:val="fr-FR"/>
        </w:rPr>
        <w:t>’</w:t>
      </w:r>
      <w:r w:rsidRPr="000C4DC3">
        <w:rPr>
          <w:bCs/>
          <w:lang w:val="fr-FR"/>
        </w:rPr>
        <w:t>ensemble de la société. L</w:t>
      </w:r>
      <w:r w:rsidR="00923E72">
        <w:rPr>
          <w:bCs/>
          <w:lang w:val="fr-FR"/>
        </w:rPr>
        <w:t>’</w:t>
      </w:r>
      <w:r w:rsidRPr="000C4DC3">
        <w:rPr>
          <w:bCs/>
          <w:lang w:val="fr-FR"/>
        </w:rPr>
        <w:t>Organe d</w:t>
      </w:r>
      <w:r w:rsidR="00923E72">
        <w:rPr>
          <w:bCs/>
          <w:lang w:val="fr-FR"/>
        </w:rPr>
        <w:t>’</w:t>
      </w:r>
      <w:r w:rsidRPr="000C4DC3">
        <w:rPr>
          <w:bCs/>
          <w:lang w:val="fr-FR"/>
        </w:rPr>
        <w:t>évaluation avait estimé que la candidature représentait un dossier bien préparé et bien rédigé avec un modèle de sauvegarde qui peut être adapté à d</w:t>
      </w:r>
      <w:r w:rsidR="00923E72">
        <w:rPr>
          <w:bCs/>
          <w:lang w:val="fr-FR"/>
        </w:rPr>
        <w:t>’</w:t>
      </w:r>
      <w:r w:rsidRPr="000C4DC3">
        <w:rPr>
          <w:bCs/>
          <w:lang w:val="fr-FR"/>
        </w:rPr>
        <w:t>autres contextes d</w:t>
      </w:r>
      <w:r w:rsidR="00923E72">
        <w:rPr>
          <w:bCs/>
          <w:lang w:val="fr-FR"/>
        </w:rPr>
        <w:t>’</w:t>
      </w:r>
      <w:r w:rsidRPr="000C4DC3">
        <w:rPr>
          <w:bCs/>
          <w:lang w:val="fr-FR"/>
        </w:rPr>
        <w:t>artisanat traditionnel confrontés à des défis similaires. Pour ces raisons, l</w:t>
      </w:r>
      <w:r w:rsidR="00923E72">
        <w:rPr>
          <w:bCs/>
          <w:lang w:val="fr-FR"/>
        </w:rPr>
        <w:t>’</w:t>
      </w:r>
      <w:r w:rsidRPr="000C4DC3">
        <w:rPr>
          <w:bCs/>
          <w:lang w:val="fr-FR"/>
        </w:rPr>
        <w:t>Organe d</w:t>
      </w:r>
      <w:r w:rsidR="00923E72">
        <w:rPr>
          <w:bCs/>
          <w:lang w:val="fr-FR"/>
        </w:rPr>
        <w:t>’</w:t>
      </w:r>
      <w:r w:rsidRPr="000C4DC3">
        <w:rPr>
          <w:bCs/>
          <w:lang w:val="fr-FR"/>
        </w:rPr>
        <w:t>évaluation recommandait de sélectionner</w:t>
      </w:r>
      <w:r w:rsidR="00E14107">
        <w:rPr>
          <w:bCs/>
          <w:lang w:val="fr-FR"/>
        </w:rPr>
        <w:t xml:space="preserve"> la </w:t>
      </w:r>
      <w:r w:rsidR="00E14107" w:rsidRPr="00E14107">
        <w:rPr>
          <w:bCs/>
          <w:lang w:val="fr-FR"/>
        </w:rPr>
        <w:t>proposition</w:t>
      </w:r>
      <w:r w:rsidRPr="000C4DC3">
        <w:rPr>
          <w:bCs/>
          <w:lang w:val="fr-FR"/>
        </w:rPr>
        <w:t xml:space="preserve"> en tant que programme, projet ou activité reflétant le mieux les principes et objectifs de la Convention.</w:t>
      </w:r>
    </w:p>
    <w:p w14:paraId="6537547F" w14:textId="0AAA0783" w:rsidR="00E14107" w:rsidRPr="00CD0853" w:rsidRDefault="00E14107"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DF421C">
        <w:rPr>
          <w:rFonts w:eastAsia="Malgun Gothic"/>
          <w:b/>
          <w:lang w:val="fr-FR"/>
        </w:rPr>
        <w:t> </w:t>
      </w:r>
      <w:r w:rsidR="00751FB1">
        <w:fldChar w:fldCharType="begin"/>
      </w:r>
      <w:r w:rsidR="00751FB1" w:rsidRPr="00751FB1">
        <w:rPr>
          <w:lang w:val="fr-FR"/>
        </w:rPr>
        <w:instrText>HYPERLINK "https://ich.unesco.org/fr/Decisions/17.COM/7.c.1"</w:instrText>
      </w:r>
      <w:r w:rsidR="00751FB1">
        <w:fldChar w:fldCharType="separate"/>
      </w:r>
      <w:r w:rsidRPr="006E3034">
        <w:rPr>
          <w:rStyle w:val="Hyperlink"/>
          <w:b/>
          <w:bCs/>
          <w:lang w:val="fr-FR"/>
        </w:rPr>
        <w:t>17.COM 7.c.1</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Pr>
          <w:rStyle w:val="Hyperlink"/>
          <w:b/>
          <w:bCs/>
          <w:color w:val="auto"/>
          <w:u w:val="none"/>
          <w:lang w:val="fr-FR"/>
        </w:rPr>
        <w:t xml:space="preserve">e sélectionner </w:t>
      </w:r>
      <w:r w:rsidRPr="00CD0853">
        <w:rPr>
          <w:b/>
          <w:lang w:val="fr-FR"/>
        </w:rPr>
        <w:t>Stratégie pour la sauvegarde de l</w:t>
      </w:r>
      <w:r w:rsidR="00923E72">
        <w:rPr>
          <w:b/>
          <w:lang w:val="fr-FR"/>
        </w:rPr>
        <w:t>’</w:t>
      </w:r>
      <w:r w:rsidRPr="00CD0853">
        <w:rPr>
          <w:b/>
          <w:lang w:val="fr-FR"/>
        </w:rPr>
        <w:t>artisanat traditionnel : Le Programme des détenteurs de la tradition des arts populaires</w:t>
      </w:r>
      <w:r>
        <w:rPr>
          <w:b/>
          <w:lang w:val="fr-FR"/>
        </w:rPr>
        <w:t xml:space="preserve"> au Registre des bonnes pratiques de </w:t>
      </w:r>
      <w:r w:rsidRPr="00E14107">
        <w:rPr>
          <w:b/>
          <w:bCs/>
          <w:color w:val="000000" w:themeColor="text1"/>
          <w:lang w:val="fr-FR"/>
        </w:rPr>
        <w:t>sauvegarde</w:t>
      </w:r>
      <w:r>
        <w:rPr>
          <w:color w:val="000000" w:themeColor="text1"/>
          <w:lang w:val="fr-FR"/>
        </w:rPr>
        <w:t>.</w:t>
      </w:r>
    </w:p>
    <w:p w14:paraId="0E1D62F7" w14:textId="61D037E0" w:rsidR="00E14107" w:rsidRDefault="00FA7577" w:rsidP="00702497">
      <w:pPr>
        <w:pStyle w:val="Orateurengris"/>
        <w:numPr>
          <w:ilvl w:val="0"/>
          <w:numId w:val="20"/>
        </w:numPr>
        <w:tabs>
          <w:tab w:val="clear" w:pos="567"/>
        </w:tabs>
        <w:spacing w:before="120"/>
        <w:ind w:left="709" w:hanging="709"/>
        <w:rPr>
          <w:bCs/>
          <w:lang w:val="fr-FR"/>
        </w:rPr>
      </w:pPr>
      <w:r w:rsidRPr="00FA7577">
        <w:rPr>
          <w:bCs/>
          <w:lang w:val="fr-FR"/>
        </w:rPr>
        <w:t xml:space="preserve">La délégation de la </w:t>
      </w:r>
      <w:r w:rsidRPr="00702497">
        <w:rPr>
          <w:b/>
          <w:lang w:val="fr-FR"/>
        </w:rPr>
        <w:t>Tchéquie</w:t>
      </w:r>
      <w:r w:rsidRPr="00FA7577">
        <w:rPr>
          <w:bCs/>
          <w:lang w:val="fr-FR"/>
        </w:rPr>
        <w:t xml:space="preserve"> a expliqué que le programme </w:t>
      </w:r>
      <w:r>
        <w:rPr>
          <w:bCs/>
          <w:lang w:val="fr-FR"/>
        </w:rPr>
        <w:t>« </w:t>
      </w:r>
      <w:r w:rsidRPr="00FA7577">
        <w:rPr>
          <w:bCs/>
          <w:lang w:val="fr-FR"/>
        </w:rPr>
        <w:t xml:space="preserve">Détenteurs de </w:t>
      </w:r>
      <w:r>
        <w:rPr>
          <w:bCs/>
          <w:lang w:val="fr-FR"/>
        </w:rPr>
        <w:t xml:space="preserve">la </w:t>
      </w:r>
      <w:r w:rsidRPr="00FA7577">
        <w:rPr>
          <w:bCs/>
          <w:lang w:val="fr-FR"/>
        </w:rPr>
        <w:t>tradition</w:t>
      </w:r>
      <w:r>
        <w:rPr>
          <w:bCs/>
          <w:lang w:val="fr-FR"/>
        </w:rPr>
        <w:t xml:space="preserve"> des arts populaire »</w:t>
      </w:r>
      <w:r w:rsidRPr="00FA7577">
        <w:rPr>
          <w:bCs/>
          <w:lang w:val="fr-FR"/>
        </w:rPr>
        <w:t xml:space="preserve"> s</w:t>
      </w:r>
      <w:r w:rsidR="00923E72">
        <w:rPr>
          <w:bCs/>
          <w:lang w:val="fr-FR"/>
        </w:rPr>
        <w:t>’</w:t>
      </w:r>
      <w:r w:rsidRPr="00FA7577">
        <w:rPr>
          <w:bCs/>
          <w:lang w:val="fr-FR"/>
        </w:rPr>
        <w:t>inspirait du projet réussi de l</w:t>
      </w:r>
      <w:r w:rsidR="00923E72">
        <w:rPr>
          <w:bCs/>
          <w:lang w:val="fr-FR"/>
        </w:rPr>
        <w:t>’</w:t>
      </w:r>
      <w:r w:rsidRPr="00FA7577">
        <w:rPr>
          <w:bCs/>
          <w:lang w:val="fr-FR"/>
        </w:rPr>
        <w:t xml:space="preserve">UNESCO </w:t>
      </w:r>
      <w:r>
        <w:rPr>
          <w:bCs/>
          <w:lang w:val="fr-FR"/>
        </w:rPr>
        <w:t>« </w:t>
      </w:r>
      <w:r w:rsidRPr="00FA7577">
        <w:rPr>
          <w:bCs/>
          <w:lang w:val="fr-FR"/>
        </w:rPr>
        <w:t>Trésors humains vivants</w:t>
      </w:r>
      <w:r>
        <w:rPr>
          <w:bCs/>
          <w:lang w:val="fr-FR"/>
        </w:rPr>
        <w:t> »</w:t>
      </w:r>
      <w:r w:rsidRPr="00FA7577">
        <w:rPr>
          <w:bCs/>
          <w:lang w:val="fr-FR"/>
        </w:rPr>
        <w:t>. Pour la Tchéquie, il s</w:t>
      </w:r>
      <w:r w:rsidR="00923E72">
        <w:rPr>
          <w:bCs/>
          <w:lang w:val="fr-FR"/>
        </w:rPr>
        <w:t>’</w:t>
      </w:r>
      <w:r w:rsidRPr="00FA7577">
        <w:rPr>
          <w:bCs/>
          <w:lang w:val="fr-FR"/>
        </w:rPr>
        <w:t>agissait de la première sélection dans le Registre des bonnes pratiques de sauvegarde. Elle l</w:t>
      </w:r>
      <w:r w:rsidR="00923E72">
        <w:rPr>
          <w:bCs/>
          <w:lang w:val="fr-FR"/>
        </w:rPr>
        <w:t>’</w:t>
      </w:r>
      <w:r w:rsidRPr="00FA7577">
        <w:rPr>
          <w:bCs/>
          <w:lang w:val="fr-FR"/>
        </w:rPr>
        <w:t>appréciait d</w:t>
      </w:r>
      <w:r w:rsidR="00923E72">
        <w:rPr>
          <w:bCs/>
          <w:lang w:val="fr-FR"/>
        </w:rPr>
        <w:t>’</w:t>
      </w:r>
      <w:r w:rsidRPr="00FA7577">
        <w:rPr>
          <w:bCs/>
          <w:lang w:val="fr-FR"/>
        </w:rPr>
        <w:t>autant plus que cela confirmait que les procédures de sauvegarde peuvent inspirer d</w:t>
      </w:r>
      <w:r w:rsidR="00923E72">
        <w:rPr>
          <w:bCs/>
          <w:lang w:val="fr-FR"/>
        </w:rPr>
        <w:t>’</w:t>
      </w:r>
      <w:r w:rsidRPr="00FA7577">
        <w:rPr>
          <w:bCs/>
          <w:lang w:val="fr-FR"/>
        </w:rPr>
        <w:t>autres États parties. C</w:t>
      </w:r>
      <w:r w:rsidR="00923E72">
        <w:rPr>
          <w:bCs/>
          <w:lang w:val="fr-FR"/>
        </w:rPr>
        <w:t>’</w:t>
      </w:r>
      <w:r w:rsidRPr="00FA7577">
        <w:rPr>
          <w:bCs/>
          <w:lang w:val="fr-FR"/>
        </w:rPr>
        <w:t>était une reconnaissance non seulement de ce travail mais également du projet de sauvegarde du patrimoine culturel immatériel. À ce jour, quatre</w:t>
      </w:r>
      <w:r w:rsidR="002A5694">
        <w:rPr>
          <w:bCs/>
          <w:lang w:val="fr-FR"/>
        </w:rPr>
        <w:noBreakHyphen/>
      </w:r>
      <w:r w:rsidRPr="00FA7577">
        <w:rPr>
          <w:bCs/>
          <w:lang w:val="fr-FR"/>
        </w:rPr>
        <w:t>vingt</w:t>
      </w:r>
      <w:r w:rsidR="002A5694">
        <w:rPr>
          <w:bCs/>
          <w:lang w:val="fr-FR"/>
        </w:rPr>
        <w:noBreakHyphen/>
      </w:r>
      <w:r w:rsidRPr="00FA7577">
        <w:rPr>
          <w:bCs/>
          <w:lang w:val="fr-FR"/>
        </w:rPr>
        <w:t xml:space="preserve">un artisans </w:t>
      </w:r>
      <w:r>
        <w:rPr>
          <w:bCs/>
          <w:lang w:val="fr-FR"/>
        </w:rPr>
        <w:t>d</w:t>
      </w:r>
      <w:r w:rsidR="00923E72">
        <w:rPr>
          <w:bCs/>
          <w:lang w:val="fr-FR"/>
        </w:rPr>
        <w:t>’</w:t>
      </w:r>
      <w:r>
        <w:rPr>
          <w:bCs/>
          <w:lang w:val="fr-FR"/>
        </w:rPr>
        <w:t xml:space="preserve">art </w:t>
      </w:r>
      <w:r w:rsidRPr="00FA7577">
        <w:rPr>
          <w:bCs/>
          <w:lang w:val="fr-FR"/>
        </w:rPr>
        <w:t xml:space="preserve">populaire étaient </w:t>
      </w:r>
      <w:r>
        <w:rPr>
          <w:bCs/>
          <w:lang w:val="fr-FR"/>
        </w:rPr>
        <w:t>répertoriés en tant que</w:t>
      </w:r>
      <w:r w:rsidRPr="00FA7577">
        <w:rPr>
          <w:bCs/>
          <w:lang w:val="fr-FR"/>
        </w:rPr>
        <w:t xml:space="preserve"> </w:t>
      </w:r>
      <w:r>
        <w:rPr>
          <w:bCs/>
          <w:lang w:val="fr-FR"/>
        </w:rPr>
        <w:t>« </w:t>
      </w:r>
      <w:r w:rsidRPr="00FA7577">
        <w:rPr>
          <w:bCs/>
          <w:lang w:val="fr-FR"/>
        </w:rPr>
        <w:t xml:space="preserve">Détenteur de la tradition </w:t>
      </w:r>
      <w:r>
        <w:rPr>
          <w:bCs/>
          <w:lang w:val="fr-FR"/>
        </w:rPr>
        <w:t xml:space="preserve">des arts </w:t>
      </w:r>
      <w:r w:rsidRPr="00FA7577">
        <w:rPr>
          <w:bCs/>
          <w:lang w:val="fr-FR"/>
        </w:rPr>
        <w:t>popula</w:t>
      </w:r>
      <w:r>
        <w:rPr>
          <w:bCs/>
          <w:lang w:val="fr-FR"/>
        </w:rPr>
        <w:t>ires »</w:t>
      </w:r>
      <w:r w:rsidRPr="00FA7577">
        <w:rPr>
          <w:bCs/>
          <w:lang w:val="fr-FR"/>
        </w:rPr>
        <w:t>, que la délégation a tenu à remercier. Ils considéraient cette inscription comme une reconnaissance publique de leur contribution à la sauvegarde du patrimoine culturel immatériel et à sa transmission aux générations futures. Ils garantissaient, tout comme les autorités de l</w:t>
      </w:r>
      <w:r w:rsidR="00923E72">
        <w:rPr>
          <w:bCs/>
          <w:lang w:val="fr-FR"/>
        </w:rPr>
        <w:t>’</w:t>
      </w:r>
      <w:r w:rsidRPr="00FA7577">
        <w:rPr>
          <w:bCs/>
          <w:lang w:val="fr-FR"/>
        </w:rPr>
        <w:t>État, la pérennité du programme et étaient prêts à partager leur expérience, tout en se réjouissant des échanges avec d</w:t>
      </w:r>
      <w:r w:rsidR="00923E72">
        <w:rPr>
          <w:bCs/>
          <w:lang w:val="fr-FR"/>
        </w:rPr>
        <w:t>’</w:t>
      </w:r>
      <w:r w:rsidRPr="00FA7577">
        <w:rPr>
          <w:bCs/>
          <w:lang w:val="fr-FR"/>
        </w:rPr>
        <w:t>autres pays qui s</w:t>
      </w:r>
      <w:r w:rsidR="00923E72">
        <w:rPr>
          <w:bCs/>
          <w:lang w:val="fr-FR"/>
        </w:rPr>
        <w:t>’</w:t>
      </w:r>
      <w:r w:rsidRPr="00FA7577">
        <w:rPr>
          <w:bCs/>
          <w:lang w:val="fr-FR"/>
        </w:rPr>
        <w:t xml:space="preserve">attachent à sauvegarder leur artisanat traditionnel. La délégation a invité les délégués au Festival international de folklore qui se tiendrait dans la ville de </w:t>
      </w:r>
      <w:proofErr w:type="spellStart"/>
      <w:r w:rsidRPr="00FA7577">
        <w:rPr>
          <w:bCs/>
          <w:lang w:val="fr-FR"/>
        </w:rPr>
        <w:t>Strážnice</w:t>
      </w:r>
      <w:proofErr w:type="spellEnd"/>
      <w:r w:rsidRPr="00FA7577">
        <w:rPr>
          <w:bCs/>
          <w:lang w:val="fr-FR"/>
        </w:rPr>
        <w:t xml:space="preserve"> du</w:t>
      </w:r>
      <w:r w:rsidR="002A5694">
        <w:rPr>
          <w:bCs/>
          <w:lang w:val="fr-FR"/>
        </w:rPr>
        <w:t> </w:t>
      </w:r>
      <w:r w:rsidRPr="00FA7577">
        <w:rPr>
          <w:bCs/>
          <w:lang w:val="fr-FR"/>
        </w:rPr>
        <w:t>23</w:t>
      </w:r>
      <w:r w:rsidR="0073658C">
        <w:rPr>
          <w:bCs/>
          <w:lang w:val="fr-FR"/>
        </w:rPr>
        <w:t> </w:t>
      </w:r>
      <w:r w:rsidRPr="00FA7577">
        <w:rPr>
          <w:bCs/>
          <w:lang w:val="fr-FR"/>
        </w:rPr>
        <w:t>au</w:t>
      </w:r>
      <w:r w:rsidR="0073658C">
        <w:rPr>
          <w:bCs/>
          <w:lang w:val="fr-FR"/>
        </w:rPr>
        <w:t> </w:t>
      </w:r>
      <w:r w:rsidRPr="00FA7577">
        <w:rPr>
          <w:bCs/>
          <w:lang w:val="fr-FR"/>
        </w:rPr>
        <w:t>25</w:t>
      </w:r>
      <w:r w:rsidR="0073658C">
        <w:rPr>
          <w:bCs/>
          <w:lang w:val="fr-FR"/>
        </w:rPr>
        <w:t> </w:t>
      </w:r>
      <w:r w:rsidRPr="00FA7577">
        <w:rPr>
          <w:bCs/>
          <w:lang w:val="fr-FR"/>
        </w:rPr>
        <w:t xml:space="preserve">juin et au cours duquel les détenteurs présenteraient leur artisanat, comme ils le font chaque année. </w:t>
      </w:r>
      <w:r w:rsidRPr="00FA7577">
        <w:rPr>
          <w:bCs/>
          <w:lang w:val="fr-FR"/>
        </w:rPr>
        <w:lastRenderedPageBreak/>
        <w:t>Cette fois, ce serait l</w:t>
      </w:r>
      <w:r w:rsidR="00923E72">
        <w:rPr>
          <w:bCs/>
          <w:lang w:val="fr-FR"/>
        </w:rPr>
        <w:t>’</w:t>
      </w:r>
      <w:r w:rsidRPr="00FA7577">
        <w:rPr>
          <w:bCs/>
          <w:lang w:val="fr-FR"/>
        </w:rPr>
        <w:t>occasion de célébrer le succès du programme en association avec la célébration du vingtième anniversaire de la Convention de</w:t>
      </w:r>
      <w:r w:rsidR="006773EF">
        <w:rPr>
          <w:bCs/>
          <w:lang w:val="fr-FR"/>
        </w:rPr>
        <w:t> </w:t>
      </w:r>
      <w:r w:rsidRPr="00FA7577">
        <w:rPr>
          <w:bCs/>
          <w:lang w:val="fr-FR"/>
        </w:rPr>
        <w:t>2003.</w:t>
      </w:r>
    </w:p>
    <w:p w14:paraId="33569721" w14:textId="0B2387D0" w:rsidR="0073658C" w:rsidRDefault="0073658C" w:rsidP="00702497">
      <w:pPr>
        <w:pStyle w:val="Orateurengris"/>
        <w:numPr>
          <w:ilvl w:val="0"/>
          <w:numId w:val="20"/>
        </w:numPr>
        <w:tabs>
          <w:tab w:val="clear" w:pos="567"/>
        </w:tabs>
        <w:spacing w:before="120"/>
        <w:ind w:left="709" w:hanging="709"/>
        <w:rPr>
          <w:bCs/>
          <w:lang w:val="fr-FR"/>
        </w:rPr>
      </w:pPr>
      <w:r w:rsidRPr="0073658C">
        <w:rPr>
          <w:bCs/>
          <w:lang w:val="fr-FR"/>
        </w:rPr>
        <w:t xml:space="preserve">La </w:t>
      </w:r>
      <w:r w:rsidRPr="00702497">
        <w:rPr>
          <w:b/>
          <w:lang w:val="fr-FR"/>
        </w:rPr>
        <w:t>Vice-Présidente de l</w:t>
      </w:r>
      <w:r w:rsidR="00923E72">
        <w:rPr>
          <w:b/>
          <w:lang w:val="fr-FR"/>
        </w:rPr>
        <w:t>’</w:t>
      </w:r>
      <w:r w:rsidRPr="00702497">
        <w:rPr>
          <w:b/>
          <w:lang w:val="fr-FR"/>
        </w:rPr>
        <w:t>Organe d</w:t>
      </w:r>
      <w:r w:rsidR="00923E72">
        <w:rPr>
          <w:b/>
          <w:lang w:val="fr-FR"/>
        </w:rPr>
        <w:t>’</w:t>
      </w:r>
      <w:r w:rsidRPr="00702497">
        <w:rPr>
          <w:b/>
          <w:lang w:val="fr-FR"/>
        </w:rPr>
        <w:t>évaluation</w:t>
      </w:r>
      <w:r w:rsidRPr="0073658C">
        <w:rPr>
          <w:bCs/>
          <w:lang w:val="fr-FR"/>
        </w:rPr>
        <w:t xml:space="preserve"> a présenté la proposition suivante, </w:t>
      </w:r>
      <w:proofErr w:type="spellStart"/>
      <w:r w:rsidRPr="00702497">
        <w:rPr>
          <w:b/>
          <w:lang w:val="fr-FR"/>
        </w:rPr>
        <w:t>Tocatì</w:t>
      </w:r>
      <w:proofErr w:type="spellEnd"/>
      <w:r w:rsidRPr="00702497">
        <w:rPr>
          <w:b/>
          <w:lang w:val="fr-FR"/>
        </w:rPr>
        <w:t xml:space="preserve">, un programme partagé pour la sauvegarde des jeux et sports traditionnels </w:t>
      </w:r>
      <w:r w:rsidRPr="0073658C">
        <w:rPr>
          <w:bCs/>
          <w:lang w:val="fr-FR"/>
        </w:rPr>
        <w:t>[projet de décision</w:t>
      </w:r>
      <w:r w:rsidR="002A5694">
        <w:rPr>
          <w:bCs/>
          <w:lang w:val="fr-FR"/>
        </w:rPr>
        <w:t> </w:t>
      </w:r>
      <w:r w:rsidRPr="0073658C">
        <w:rPr>
          <w:bCs/>
          <w:lang w:val="fr-FR"/>
        </w:rPr>
        <w:t>7.c.2], soumise par l</w:t>
      </w:r>
      <w:r w:rsidR="00923E72">
        <w:rPr>
          <w:bCs/>
          <w:lang w:val="fr-FR"/>
        </w:rPr>
        <w:t>’</w:t>
      </w:r>
      <w:r w:rsidRPr="00702497">
        <w:rPr>
          <w:b/>
          <w:lang w:val="fr-FR"/>
        </w:rPr>
        <w:t>Italie</w:t>
      </w:r>
      <w:r w:rsidRPr="0073658C">
        <w:rPr>
          <w:bCs/>
          <w:lang w:val="fr-FR"/>
        </w:rPr>
        <w:t xml:space="preserve">, la </w:t>
      </w:r>
      <w:r w:rsidRPr="00702497">
        <w:rPr>
          <w:b/>
          <w:lang w:val="fr-FR"/>
        </w:rPr>
        <w:t>Belgique</w:t>
      </w:r>
      <w:r w:rsidRPr="0073658C">
        <w:rPr>
          <w:bCs/>
          <w:lang w:val="fr-FR"/>
        </w:rPr>
        <w:t xml:space="preserve">, la </w:t>
      </w:r>
      <w:r w:rsidRPr="00702497">
        <w:rPr>
          <w:b/>
          <w:lang w:val="fr-FR"/>
        </w:rPr>
        <w:t>Croatie</w:t>
      </w:r>
      <w:r w:rsidRPr="0073658C">
        <w:rPr>
          <w:bCs/>
          <w:lang w:val="fr-FR"/>
        </w:rPr>
        <w:t xml:space="preserve">, </w:t>
      </w:r>
      <w:r w:rsidRPr="00702497">
        <w:rPr>
          <w:b/>
          <w:lang w:val="fr-FR"/>
        </w:rPr>
        <w:t>Chypre</w:t>
      </w:r>
      <w:r w:rsidRPr="0073658C">
        <w:rPr>
          <w:bCs/>
          <w:lang w:val="fr-FR"/>
        </w:rPr>
        <w:t xml:space="preserve"> et la </w:t>
      </w:r>
      <w:r w:rsidRPr="00702497">
        <w:rPr>
          <w:b/>
          <w:lang w:val="fr-FR"/>
        </w:rPr>
        <w:t>France</w:t>
      </w:r>
      <w:r w:rsidRPr="0073658C">
        <w:rPr>
          <w:bCs/>
          <w:lang w:val="fr-FR"/>
        </w:rPr>
        <w:t xml:space="preserve">, expliquant que </w:t>
      </w:r>
      <w:proofErr w:type="spellStart"/>
      <w:r w:rsidRPr="0073658C">
        <w:rPr>
          <w:bCs/>
          <w:lang w:val="fr-FR"/>
        </w:rPr>
        <w:t>Tocatì</w:t>
      </w:r>
      <w:proofErr w:type="spellEnd"/>
      <w:r w:rsidRPr="0073658C">
        <w:rPr>
          <w:bCs/>
          <w:lang w:val="fr-FR"/>
        </w:rPr>
        <w:t xml:space="preserve"> est un programme partagé pour la sauvegarde des jeux et </w:t>
      </w:r>
      <w:r>
        <w:rPr>
          <w:bCs/>
          <w:lang w:val="fr-FR"/>
        </w:rPr>
        <w:t xml:space="preserve">des </w:t>
      </w:r>
      <w:r w:rsidRPr="0073658C">
        <w:rPr>
          <w:bCs/>
          <w:lang w:val="fr-FR"/>
        </w:rPr>
        <w:t>sports traditionnels</w:t>
      </w:r>
      <w:r>
        <w:rPr>
          <w:bCs/>
          <w:lang w:val="fr-FR"/>
        </w:rPr>
        <w:t xml:space="preserve">, </w:t>
      </w:r>
      <w:r w:rsidRPr="0073658C">
        <w:rPr>
          <w:bCs/>
          <w:lang w:val="fr-FR"/>
        </w:rPr>
        <w:t xml:space="preserve">développé </w:t>
      </w:r>
      <w:r>
        <w:rPr>
          <w:bCs/>
          <w:lang w:val="fr-FR"/>
        </w:rPr>
        <w:t xml:space="preserve">depuis plusieurs années </w:t>
      </w:r>
      <w:r w:rsidRPr="0073658C">
        <w:rPr>
          <w:bCs/>
          <w:lang w:val="fr-FR"/>
        </w:rPr>
        <w:t>grâce aux efforts d</w:t>
      </w:r>
      <w:r w:rsidR="00923E72">
        <w:rPr>
          <w:bCs/>
          <w:lang w:val="fr-FR"/>
        </w:rPr>
        <w:t>’</w:t>
      </w:r>
      <w:r w:rsidRPr="0073658C">
        <w:rPr>
          <w:bCs/>
          <w:lang w:val="fr-FR"/>
        </w:rPr>
        <w:t>un réseau international de communautés, de groupes et d</w:t>
      </w:r>
      <w:r w:rsidR="00923E72">
        <w:rPr>
          <w:bCs/>
          <w:lang w:val="fr-FR"/>
        </w:rPr>
        <w:t>’</w:t>
      </w:r>
      <w:r w:rsidRPr="0073658C">
        <w:rPr>
          <w:bCs/>
          <w:lang w:val="fr-FR"/>
        </w:rPr>
        <w:t xml:space="preserve">individus. </w:t>
      </w:r>
      <w:proofErr w:type="spellStart"/>
      <w:r w:rsidRPr="0073658C">
        <w:rPr>
          <w:bCs/>
          <w:lang w:val="fr-FR"/>
        </w:rPr>
        <w:t>Tocatì</w:t>
      </w:r>
      <w:proofErr w:type="spellEnd"/>
      <w:r w:rsidRPr="0073658C">
        <w:rPr>
          <w:bCs/>
          <w:lang w:val="fr-FR"/>
        </w:rPr>
        <w:t xml:space="preserve"> avait évolué pour devenir un programme permanent</w:t>
      </w:r>
      <w:r>
        <w:rPr>
          <w:bCs/>
          <w:lang w:val="fr-FR"/>
        </w:rPr>
        <w:t xml:space="preserve">, </w:t>
      </w:r>
      <w:r w:rsidR="002A5694">
        <w:rPr>
          <w:bCs/>
          <w:lang w:val="fr-FR"/>
        </w:rPr>
        <w:t xml:space="preserve">fonctionnant </w:t>
      </w:r>
      <w:r>
        <w:rPr>
          <w:bCs/>
          <w:lang w:val="fr-FR"/>
        </w:rPr>
        <w:t xml:space="preserve">toute </w:t>
      </w:r>
      <w:r w:rsidRPr="0073658C">
        <w:rPr>
          <w:bCs/>
          <w:lang w:val="fr-FR"/>
        </w:rPr>
        <w:t>l</w:t>
      </w:r>
      <w:r w:rsidR="00923E72">
        <w:rPr>
          <w:bCs/>
          <w:lang w:val="fr-FR"/>
        </w:rPr>
        <w:t>’</w:t>
      </w:r>
      <w:r w:rsidRPr="0073658C">
        <w:rPr>
          <w:bCs/>
          <w:lang w:val="fr-FR"/>
        </w:rPr>
        <w:t>année</w:t>
      </w:r>
      <w:r>
        <w:rPr>
          <w:bCs/>
          <w:lang w:val="fr-FR"/>
        </w:rPr>
        <w:t>,</w:t>
      </w:r>
      <w:r w:rsidRPr="0073658C">
        <w:rPr>
          <w:bCs/>
          <w:lang w:val="fr-FR"/>
        </w:rPr>
        <w:t xml:space="preserve"> qui encourage l</w:t>
      </w:r>
      <w:r w:rsidR="00923E72">
        <w:rPr>
          <w:bCs/>
          <w:lang w:val="fr-FR"/>
        </w:rPr>
        <w:t>’</w:t>
      </w:r>
      <w:r w:rsidRPr="0073658C">
        <w:rPr>
          <w:bCs/>
          <w:lang w:val="fr-FR"/>
        </w:rPr>
        <w:t>échange de connaissances, de pratiques, de compétences et de projets. Depuis</w:t>
      </w:r>
      <w:r w:rsidR="001A7AF7">
        <w:rPr>
          <w:bCs/>
          <w:lang w:val="fr-FR"/>
        </w:rPr>
        <w:t> </w:t>
      </w:r>
      <w:r w:rsidRPr="0073658C">
        <w:rPr>
          <w:bCs/>
          <w:lang w:val="fr-FR"/>
        </w:rPr>
        <w:t>2016, des séminaires et ateliers internationaux annuels</w:t>
      </w:r>
      <w:r>
        <w:rPr>
          <w:bCs/>
          <w:lang w:val="fr-FR"/>
        </w:rPr>
        <w:t xml:space="preserve"> étaient organisés</w:t>
      </w:r>
      <w:r w:rsidRPr="0073658C">
        <w:rPr>
          <w:bCs/>
          <w:lang w:val="fr-FR"/>
        </w:rPr>
        <w:t>, créant des opportunités pour identifier et discuter des priorités de sauvegarde et des bonnes pratiques à travers les États parties soumissionnaires. L</w:t>
      </w:r>
      <w:r w:rsidR="00923E72">
        <w:rPr>
          <w:bCs/>
          <w:lang w:val="fr-FR"/>
        </w:rPr>
        <w:t>’</w:t>
      </w:r>
      <w:r w:rsidRPr="0073658C">
        <w:rPr>
          <w:bCs/>
          <w:lang w:val="fr-FR"/>
        </w:rPr>
        <w:t xml:space="preserve">Organe avait estimé que la candidature était un dossier bien préparé démontrant </w:t>
      </w:r>
      <w:r w:rsidR="00856F8F">
        <w:rPr>
          <w:bCs/>
          <w:lang w:val="fr-FR"/>
        </w:rPr>
        <w:t>le</w:t>
      </w:r>
      <w:r w:rsidRPr="0073658C">
        <w:rPr>
          <w:bCs/>
          <w:lang w:val="fr-FR"/>
        </w:rPr>
        <w:t xml:space="preserve"> fort engagement </w:t>
      </w:r>
      <w:r w:rsidR="00856F8F">
        <w:rPr>
          <w:bCs/>
          <w:lang w:val="fr-FR"/>
        </w:rPr>
        <w:t xml:space="preserve">et le </w:t>
      </w:r>
      <w:r w:rsidRPr="0073658C">
        <w:rPr>
          <w:bCs/>
          <w:lang w:val="fr-FR"/>
        </w:rPr>
        <w:t xml:space="preserve">soutien </w:t>
      </w:r>
      <w:r w:rsidR="00856F8F">
        <w:rPr>
          <w:bCs/>
          <w:lang w:val="fr-FR"/>
        </w:rPr>
        <w:t xml:space="preserve">de la </w:t>
      </w:r>
      <w:r w:rsidR="00856F8F" w:rsidRPr="00856F8F">
        <w:rPr>
          <w:bCs/>
          <w:color w:val="000000" w:themeColor="text1"/>
          <w:lang w:val="fr-FR"/>
        </w:rPr>
        <w:t>communauté</w:t>
      </w:r>
      <w:r w:rsidR="00856F8F">
        <w:rPr>
          <w:bCs/>
          <w:color w:val="000000" w:themeColor="text1"/>
          <w:lang w:val="fr-FR"/>
        </w:rPr>
        <w:t xml:space="preserve"> </w:t>
      </w:r>
      <w:r w:rsidRPr="0073658C">
        <w:rPr>
          <w:bCs/>
          <w:lang w:val="fr-FR"/>
        </w:rPr>
        <w:t xml:space="preserve">au programme </w:t>
      </w:r>
      <w:r w:rsidR="00856F8F">
        <w:rPr>
          <w:bCs/>
          <w:lang w:val="fr-FR"/>
        </w:rPr>
        <w:t xml:space="preserve">pour </w:t>
      </w:r>
      <w:r w:rsidRPr="0073658C">
        <w:rPr>
          <w:bCs/>
          <w:lang w:val="fr-FR"/>
        </w:rPr>
        <w:t>la sauvegarde de leur patrimoine immatériel collectif à grande échelle. L</w:t>
      </w:r>
      <w:r w:rsidR="00923E72">
        <w:rPr>
          <w:bCs/>
          <w:lang w:val="fr-FR"/>
        </w:rPr>
        <w:t>’</w:t>
      </w:r>
      <w:r w:rsidRPr="0073658C">
        <w:rPr>
          <w:bCs/>
          <w:lang w:val="fr-FR"/>
        </w:rPr>
        <w:t>Organe d</w:t>
      </w:r>
      <w:r w:rsidR="00923E72">
        <w:rPr>
          <w:bCs/>
          <w:lang w:val="fr-FR"/>
        </w:rPr>
        <w:t>’</w:t>
      </w:r>
      <w:r w:rsidRPr="0073658C">
        <w:rPr>
          <w:bCs/>
          <w:lang w:val="fr-FR"/>
        </w:rPr>
        <w:t>évaluation recommandait de sélectionner cette proposition en tant que programme, projet ou activité reflétant le mieux les principes et objectifs de la Convention.</w:t>
      </w:r>
    </w:p>
    <w:p w14:paraId="63A0EFF0" w14:textId="482FD17E" w:rsidR="00856F8F" w:rsidRPr="00CD0853" w:rsidRDefault="00856F8F"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2A5694">
        <w:rPr>
          <w:rFonts w:eastAsia="Malgun Gothic"/>
          <w:b/>
          <w:lang w:val="fr-FR"/>
        </w:rPr>
        <w:t> </w:t>
      </w:r>
      <w:r w:rsidR="00751FB1">
        <w:fldChar w:fldCharType="begin"/>
      </w:r>
      <w:r w:rsidR="00751FB1" w:rsidRPr="00751FB1">
        <w:rPr>
          <w:lang w:val="fr-FR"/>
        </w:rPr>
        <w:instrText>HYPERLINK "https://ich.unesco.org/fr/Decisions/17.COM/7.c.2"</w:instrText>
      </w:r>
      <w:r w:rsidR="00751FB1">
        <w:fldChar w:fldCharType="separate"/>
      </w:r>
      <w:r w:rsidRPr="006E3034">
        <w:rPr>
          <w:rStyle w:val="Hyperlink"/>
          <w:b/>
          <w:bCs/>
          <w:lang w:val="fr-FR"/>
        </w:rPr>
        <w:t>17.COM 7.c.2</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Pr>
          <w:rStyle w:val="Hyperlink"/>
          <w:b/>
          <w:bCs/>
          <w:color w:val="auto"/>
          <w:u w:val="none"/>
          <w:lang w:val="fr-FR"/>
        </w:rPr>
        <w:t xml:space="preserve">e sélectionner </w:t>
      </w:r>
      <w:proofErr w:type="spellStart"/>
      <w:r w:rsidRPr="00CD0853">
        <w:rPr>
          <w:b/>
          <w:lang w:val="fr-FR"/>
        </w:rPr>
        <w:t>Tocatì</w:t>
      </w:r>
      <w:proofErr w:type="spellEnd"/>
      <w:r w:rsidRPr="00CD0853">
        <w:rPr>
          <w:b/>
          <w:lang w:val="fr-FR"/>
        </w:rPr>
        <w:t>, un programme partagé pour la sauvegarde des jeux et sports traditionnels</w:t>
      </w:r>
      <w:r>
        <w:rPr>
          <w:b/>
          <w:lang w:val="fr-FR"/>
        </w:rPr>
        <w:t xml:space="preserve"> au Registre des bonnes pratiques de </w:t>
      </w:r>
      <w:r w:rsidRPr="00E14107">
        <w:rPr>
          <w:b/>
          <w:bCs/>
          <w:color w:val="000000" w:themeColor="text1"/>
          <w:lang w:val="fr-FR"/>
        </w:rPr>
        <w:t>sauvegarde</w:t>
      </w:r>
      <w:r>
        <w:rPr>
          <w:color w:val="000000" w:themeColor="text1"/>
          <w:lang w:val="fr-FR"/>
        </w:rPr>
        <w:t>.</w:t>
      </w:r>
    </w:p>
    <w:p w14:paraId="53B481BB" w14:textId="0F90B19B" w:rsidR="00856F8F" w:rsidRDefault="00856F8F" w:rsidP="00702497">
      <w:pPr>
        <w:pStyle w:val="Orateurengris"/>
        <w:numPr>
          <w:ilvl w:val="0"/>
          <w:numId w:val="20"/>
        </w:numPr>
        <w:tabs>
          <w:tab w:val="clear" w:pos="567"/>
        </w:tabs>
        <w:spacing w:before="120"/>
        <w:ind w:left="709" w:hanging="709"/>
        <w:rPr>
          <w:bCs/>
          <w:lang w:val="fr-FR"/>
        </w:rPr>
      </w:pPr>
      <w:r w:rsidRPr="00856F8F">
        <w:rPr>
          <w:bCs/>
          <w:lang w:val="fr-FR"/>
        </w:rPr>
        <w:t>La délégation de l</w:t>
      </w:r>
      <w:r w:rsidR="00923E72">
        <w:rPr>
          <w:bCs/>
          <w:lang w:val="fr-FR"/>
        </w:rPr>
        <w:t>’</w:t>
      </w:r>
      <w:r w:rsidRPr="00702497">
        <w:rPr>
          <w:b/>
          <w:lang w:val="fr-FR"/>
        </w:rPr>
        <w:t>Italie</w:t>
      </w:r>
      <w:r w:rsidRPr="00856F8F">
        <w:rPr>
          <w:bCs/>
          <w:lang w:val="fr-FR"/>
        </w:rPr>
        <w:t xml:space="preserve"> s</w:t>
      </w:r>
      <w:r w:rsidR="00923E72">
        <w:rPr>
          <w:bCs/>
          <w:lang w:val="fr-FR"/>
        </w:rPr>
        <w:t>’</w:t>
      </w:r>
      <w:r w:rsidRPr="00856F8F">
        <w:rPr>
          <w:bCs/>
          <w:lang w:val="fr-FR"/>
        </w:rPr>
        <w:t>est exprimée au nom des pays avec lesquels elle avait partagé ce chemin : la Belgique, Chypre, la Croatie et la France. Elle a remercié le Gouvernement et le peuple du Maroc pour leur accueil chaleureux et l</w:t>
      </w:r>
      <w:r w:rsidR="00923E72">
        <w:rPr>
          <w:bCs/>
          <w:lang w:val="fr-FR"/>
        </w:rPr>
        <w:t>’</w:t>
      </w:r>
      <w:r w:rsidRPr="00856F8F">
        <w:rPr>
          <w:bCs/>
          <w:lang w:val="fr-FR"/>
        </w:rPr>
        <w:t>organisation de cette session ainsi que l</w:t>
      </w:r>
      <w:r w:rsidR="00923E72">
        <w:rPr>
          <w:bCs/>
          <w:lang w:val="fr-FR"/>
        </w:rPr>
        <w:t>’</w:t>
      </w:r>
      <w:r w:rsidRPr="00856F8F">
        <w:rPr>
          <w:bCs/>
          <w:lang w:val="fr-FR"/>
        </w:rPr>
        <w:t>Organe d</w:t>
      </w:r>
      <w:r w:rsidR="00923E72">
        <w:rPr>
          <w:bCs/>
          <w:lang w:val="fr-FR"/>
        </w:rPr>
        <w:t>’</w:t>
      </w:r>
      <w:r w:rsidRPr="00856F8F">
        <w:rPr>
          <w:bCs/>
          <w:lang w:val="fr-FR"/>
        </w:rPr>
        <w:t xml:space="preserve">évaluation </w:t>
      </w:r>
      <w:r w:rsidR="00C41D7C">
        <w:rPr>
          <w:bCs/>
          <w:lang w:val="fr-FR"/>
        </w:rPr>
        <w:t>pour s</w:t>
      </w:r>
      <w:r w:rsidR="00155033">
        <w:rPr>
          <w:bCs/>
          <w:lang w:val="fr-FR"/>
        </w:rPr>
        <w:t xml:space="preserve">a </w:t>
      </w:r>
      <w:r w:rsidR="00155033" w:rsidRPr="00155033">
        <w:rPr>
          <w:bCs/>
          <w:lang w:val="fr-FR"/>
        </w:rPr>
        <w:t>reconnaissance</w:t>
      </w:r>
      <w:r w:rsidR="00155033">
        <w:rPr>
          <w:bCs/>
          <w:lang w:val="fr-FR"/>
        </w:rPr>
        <w:t xml:space="preserve"> </w:t>
      </w:r>
      <w:r w:rsidR="00C41D7C">
        <w:rPr>
          <w:bCs/>
          <w:lang w:val="fr-FR"/>
        </w:rPr>
        <w:t xml:space="preserve">du </w:t>
      </w:r>
      <w:r w:rsidRPr="00856F8F">
        <w:rPr>
          <w:bCs/>
          <w:lang w:val="fr-FR"/>
        </w:rPr>
        <w:t>soutien des communautés au programme de sauvegarde de leur patrimoine culturel immatériel collectif. La préparation de ce dossier avait été l</w:t>
      </w:r>
      <w:r w:rsidR="00923E72">
        <w:rPr>
          <w:bCs/>
          <w:lang w:val="fr-FR"/>
        </w:rPr>
        <w:t>’</w:t>
      </w:r>
      <w:r w:rsidRPr="00856F8F">
        <w:rPr>
          <w:bCs/>
          <w:lang w:val="fr-FR"/>
        </w:rPr>
        <w:t>occasion de coopérer efficacement et concrètement afin de mieux protéger et transformer les jeux et sports traditionnels. C</w:t>
      </w:r>
      <w:r w:rsidR="00923E72">
        <w:rPr>
          <w:bCs/>
          <w:lang w:val="fr-FR"/>
        </w:rPr>
        <w:t>’</w:t>
      </w:r>
      <w:r w:rsidRPr="00856F8F">
        <w:rPr>
          <w:bCs/>
          <w:lang w:val="fr-FR"/>
        </w:rPr>
        <w:t>était une grande émotion et un honneur de parler au nom de tous les amis, collègues et représentants des communautés belges, chypriotes, croates, françaises et italiennes, de la région de la Vénétie et de toutes les institutions qui étaient unies derrière la candidature coordonnée par les ministères de la Culture et les ministères des Affaires étrangères.</w:t>
      </w:r>
    </w:p>
    <w:p w14:paraId="72AC038D" w14:textId="0A22123D" w:rsidR="00C41D7C" w:rsidRDefault="00C41D7C" w:rsidP="00702497">
      <w:pPr>
        <w:pStyle w:val="Orateurengris"/>
        <w:numPr>
          <w:ilvl w:val="0"/>
          <w:numId w:val="20"/>
        </w:numPr>
        <w:tabs>
          <w:tab w:val="clear" w:pos="567"/>
        </w:tabs>
        <w:spacing w:before="120"/>
        <w:ind w:left="709" w:hanging="709"/>
        <w:rPr>
          <w:bCs/>
          <w:lang w:val="fr-FR"/>
        </w:rPr>
      </w:pPr>
      <w:r w:rsidRPr="00C41D7C">
        <w:rPr>
          <w:bCs/>
          <w:lang w:val="fr-FR"/>
        </w:rPr>
        <w:t xml:space="preserve">Le </w:t>
      </w:r>
      <w:r w:rsidRPr="00702497">
        <w:rPr>
          <w:b/>
          <w:lang w:val="fr-FR"/>
        </w:rPr>
        <w:t>Président de l</w:t>
      </w:r>
      <w:r w:rsidR="00923E72">
        <w:rPr>
          <w:b/>
          <w:lang w:val="fr-FR"/>
        </w:rPr>
        <w:t>’</w:t>
      </w:r>
      <w:proofErr w:type="spellStart"/>
      <w:r w:rsidRPr="00702497">
        <w:rPr>
          <w:b/>
          <w:lang w:val="fr-FR"/>
        </w:rPr>
        <w:t>Associazione</w:t>
      </w:r>
      <w:proofErr w:type="spellEnd"/>
      <w:r w:rsidRPr="00702497">
        <w:rPr>
          <w:b/>
          <w:lang w:val="fr-FR"/>
        </w:rPr>
        <w:t xml:space="preserve"> </w:t>
      </w:r>
      <w:proofErr w:type="spellStart"/>
      <w:r w:rsidRPr="00702497">
        <w:rPr>
          <w:b/>
          <w:lang w:val="fr-FR"/>
        </w:rPr>
        <w:t>Giochi</w:t>
      </w:r>
      <w:proofErr w:type="spellEnd"/>
      <w:r w:rsidRPr="00702497">
        <w:rPr>
          <w:b/>
          <w:lang w:val="fr-FR"/>
        </w:rPr>
        <w:t xml:space="preserve"> </w:t>
      </w:r>
      <w:proofErr w:type="spellStart"/>
      <w:r w:rsidRPr="00702497">
        <w:rPr>
          <w:b/>
          <w:lang w:val="fr-FR"/>
        </w:rPr>
        <w:t>Antichi</w:t>
      </w:r>
      <w:proofErr w:type="spellEnd"/>
      <w:r w:rsidRPr="00702497">
        <w:rPr>
          <w:bCs/>
          <w:i/>
          <w:iCs/>
          <w:lang w:val="fr-FR"/>
        </w:rPr>
        <w:t xml:space="preserve"> </w:t>
      </w:r>
      <w:r w:rsidRPr="00C41D7C">
        <w:rPr>
          <w:bCs/>
          <w:lang w:val="fr-FR"/>
        </w:rPr>
        <w:t>s</w:t>
      </w:r>
      <w:r w:rsidR="00923E72">
        <w:rPr>
          <w:bCs/>
          <w:lang w:val="fr-FR"/>
        </w:rPr>
        <w:t>’</w:t>
      </w:r>
      <w:r w:rsidRPr="00C41D7C">
        <w:rPr>
          <w:bCs/>
          <w:lang w:val="fr-FR"/>
        </w:rPr>
        <w:t xml:space="preserve">est exprimé au nom des communautés des jeux et sports traditionnels et de tous les acteurs du programme </w:t>
      </w:r>
      <w:proofErr w:type="spellStart"/>
      <w:r w:rsidRPr="00C41D7C">
        <w:rPr>
          <w:bCs/>
          <w:lang w:val="fr-FR"/>
        </w:rPr>
        <w:t>Tocatí</w:t>
      </w:r>
      <w:proofErr w:type="spellEnd"/>
      <w:r w:rsidRPr="00C41D7C">
        <w:rPr>
          <w:bCs/>
          <w:lang w:val="fr-FR"/>
        </w:rPr>
        <w:t xml:space="preserve"> en Italie, en Belgique, à Chypre, en Croatie et en France. Il a remercié les joueurs, femmes et hommes, amis et compagnons de route réunis autour d</w:t>
      </w:r>
      <w:r w:rsidR="00923E72">
        <w:rPr>
          <w:bCs/>
          <w:lang w:val="fr-FR"/>
        </w:rPr>
        <w:t>’</w:t>
      </w:r>
      <w:r w:rsidRPr="00C41D7C">
        <w:rPr>
          <w:bCs/>
          <w:lang w:val="fr-FR"/>
        </w:rPr>
        <w:t>un objectif commun</w:t>
      </w:r>
      <w:r w:rsidR="002A5694">
        <w:rPr>
          <w:bCs/>
          <w:lang w:val="fr-FR"/>
        </w:rPr>
        <w:t> </w:t>
      </w:r>
      <w:r w:rsidRPr="00C41D7C">
        <w:rPr>
          <w:bCs/>
          <w:lang w:val="fr-FR"/>
        </w:rPr>
        <w:t>: sauvegarder leur patrimoine immatériel et vivant. Le grand réseau était constitué d</w:t>
      </w:r>
      <w:r w:rsidR="00923E72">
        <w:rPr>
          <w:bCs/>
          <w:lang w:val="fr-FR"/>
        </w:rPr>
        <w:t>’</w:t>
      </w:r>
      <w:r w:rsidRPr="00C41D7C">
        <w:rPr>
          <w:bCs/>
          <w:lang w:val="fr-FR"/>
        </w:rPr>
        <w:t>une constellation d</w:t>
      </w:r>
      <w:r w:rsidR="00923E72">
        <w:rPr>
          <w:bCs/>
          <w:lang w:val="fr-FR"/>
        </w:rPr>
        <w:t>’</w:t>
      </w:r>
      <w:r w:rsidRPr="00C41D7C">
        <w:rPr>
          <w:bCs/>
          <w:lang w:val="fr-FR"/>
        </w:rPr>
        <w:t>organisations, de groupes locaux, d</w:t>
      </w:r>
      <w:r w:rsidR="00923E72">
        <w:rPr>
          <w:bCs/>
          <w:lang w:val="fr-FR"/>
        </w:rPr>
        <w:t>’</w:t>
      </w:r>
      <w:r w:rsidRPr="00C41D7C">
        <w:rPr>
          <w:bCs/>
          <w:lang w:val="fr-FR"/>
        </w:rPr>
        <w:t>associations, de fédérations sportives, d</w:t>
      </w:r>
      <w:r w:rsidR="00923E72">
        <w:rPr>
          <w:bCs/>
          <w:lang w:val="fr-FR"/>
        </w:rPr>
        <w:t>’</w:t>
      </w:r>
      <w:r w:rsidRPr="00C41D7C">
        <w:rPr>
          <w:bCs/>
          <w:lang w:val="fr-FR"/>
        </w:rPr>
        <w:t>associations internationales comme l</w:t>
      </w:r>
      <w:r w:rsidR="00923E72">
        <w:rPr>
          <w:bCs/>
          <w:lang w:val="fr-FR"/>
        </w:rPr>
        <w:t>’</w:t>
      </w:r>
      <w:r w:rsidRPr="00C41D7C">
        <w:rPr>
          <w:bCs/>
          <w:lang w:val="fr-FR"/>
        </w:rPr>
        <w:t>Association européenne des jeux et sports traditionnels qui avait toujours été le phare</w:t>
      </w:r>
      <w:r>
        <w:rPr>
          <w:bCs/>
          <w:lang w:val="fr-FR"/>
        </w:rPr>
        <w:t xml:space="preserve"> </w:t>
      </w:r>
      <w:r w:rsidRPr="00C41D7C">
        <w:rPr>
          <w:bCs/>
          <w:lang w:val="fr-FR"/>
        </w:rPr>
        <w:t>et l</w:t>
      </w:r>
      <w:r w:rsidR="00923E72">
        <w:rPr>
          <w:bCs/>
          <w:lang w:val="fr-FR"/>
        </w:rPr>
        <w:t>’</w:t>
      </w:r>
      <w:r>
        <w:rPr>
          <w:bCs/>
          <w:lang w:val="fr-FR"/>
        </w:rPr>
        <w:t>a</w:t>
      </w:r>
      <w:r w:rsidRPr="00C41D7C">
        <w:rPr>
          <w:bCs/>
          <w:lang w:val="fr-FR"/>
        </w:rPr>
        <w:t>ssociation internationale qui avait mené l</w:t>
      </w:r>
      <w:r w:rsidR="00923E72">
        <w:rPr>
          <w:bCs/>
          <w:lang w:val="fr-FR"/>
        </w:rPr>
        <w:t>’</w:t>
      </w:r>
      <w:r w:rsidRPr="00C41D7C">
        <w:rPr>
          <w:bCs/>
          <w:lang w:val="fr-FR"/>
        </w:rPr>
        <w:t>initiative</w:t>
      </w:r>
      <w:r w:rsidR="00155033">
        <w:rPr>
          <w:bCs/>
          <w:lang w:val="fr-FR"/>
        </w:rPr>
        <w:t>,</w:t>
      </w:r>
      <w:r w:rsidRPr="00C41D7C">
        <w:rPr>
          <w:bCs/>
          <w:lang w:val="fr-FR"/>
        </w:rPr>
        <w:t xml:space="preserve"> au-delà des frontières de l</w:t>
      </w:r>
      <w:r w:rsidR="00923E72">
        <w:rPr>
          <w:bCs/>
          <w:lang w:val="fr-FR"/>
        </w:rPr>
        <w:t>’</w:t>
      </w:r>
      <w:r w:rsidRPr="00C41D7C">
        <w:rPr>
          <w:bCs/>
          <w:lang w:val="fr-FR"/>
        </w:rPr>
        <w:t>Europe</w:t>
      </w:r>
      <w:r w:rsidR="00155033">
        <w:rPr>
          <w:bCs/>
          <w:lang w:val="fr-FR"/>
        </w:rPr>
        <w:t>,</w:t>
      </w:r>
      <w:r w:rsidRPr="00C41D7C">
        <w:rPr>
          <w:bCs/>
          <w:lang w:val="fr-FR"/>
        </w:rPr>
        <w:t xml:space="preserve"> pour partager les valeurs des jeux traditionnels au niveau mondial. Des remerciements ont été adressés aux institutions locales et régionales, telles que la municipalité de Vérone, la région de la Vénétie, les universités, les musées, les associations, les ONG accréditées, les chercheurs et les facilitateurs du PCI qui avaient guidé ces étapes. Il a remercié les institutions nationales pour leur confiance, leur soutien et leur coordination. La sélection d</w:t>
      </w:r>
      <w:r w:rsidR="00A148C6">
        <w:rPr>
          <w:bCs/>
          <w:lang w:val="fr-FR"/>
        </w:rPr>
        <w:t>e</w:t>
      </w:r>
      <w:r w:rsidRPr="00C41D7C">
        <w:rPr>
          <w:bCs/>
          <w:lang w:val="fr-FR"/>
        </w:rPr>
        <w:t xml:space="preserve"> </w:t>
      </w:r>
      <w:proofErr w:type="spellStart"/>
      <w:r w:rsidRPr="00C41D7C">
        <w:rPr>
          <w:bCs/>
          <w:lang w:val="fr-FR"/>
        </w:rPr>
        <w:t>Tocatí</w:t>
      </w:r>
      <w:proofErr w:type="spellEnd"/>
      <w:r w:rsidRPr="00C41D7C">
        <w:rPr>
          <w:bCs/>
          <w:lang w:val="fr-FR"/>
        </w:rPr>
        <w:t xml:space="preserve"> au Registre des bonnes pratiques renforçait l</w:t>
      </w:r>
      <w:r w:rsidR="00923E72">
        <w:rPr>
          <w:bCs/>
          <w:lang w:val="fr-FR"/>
        </w:rPr>
        <w:t>’</w:t>
      </w:r>
      <w:r w:rsidRPr="00C41D7C">
        <w:rPr>
          <w:bCs/>
          <w:lang w:val="fr-FR"/>
        </w:rPr>
        <w:t>action de l</w:t>
      </w:r>
      <w:r w:rsidR="00923E72">
        <w:rPr>
          <w:bCs/>
          <w:lang w:val="fr-FR"/>
        </w:rPr>
        <w:t>’</w:t>
      </w:r>
      <w:r w:rsidRPr="00C41D7C">
        <w:rPr>
          <w:bCs/>
          <w:lang w:val="fr-FR"/>
        </w:rPr>
        <w:t>ensemble de la communauté de l</w:t>
      </w:r>
      <w:r w:rsidR="00923E72">
        <w:rPr>
          <w:bCs/>
          <w:lang w:val="fr-FR"/>
        </w:rPr>
        <w:t>’</w:t>
      </w:r>
      <w:r w:rsidRPr="00C41D7C">
        <w:rPr>
          <w:bCs/>
          <w:lang w:val="fr-FR"/>
        </w:rPr>
        <w:t>UNESCO. Les jeux et les joueurs contribueraient à relever de nouveaux défis pour faire du patrimoine immatériel un instrument de dialogue entre les cultures pour le bien-être des communautés et la paix entre les peuples.</w:t>
      </w:r>
    </w:p>
    <w:p w14:paraId="6330EF06" w14:textId="4C4CEEB8" w:rsidR="00A148C6" w:rsidRPr="00702497" w:rsidRDefault="00A148C6" w:rsidP="00702497">
      <w:pPr>
        <w:pStyle w:val="Orateurengris"/>
        <w:spacing w:before="120"/>
        <w:ind w:left="709" w:hanging="709"/>
        <w:jc w:val="center"/>
        <w:rPr>
          <w:bCs/>
          <w:i/>
          <w:iCs/>
          <w:lang w:val="fr-FR"/>
        </w:rPr>
      </w:pPr>
      <w:r w:rsidRPr="00702497">
        <w:rPr>
          <w:bCs/>
          <w:i/>
          <w:iCs/>
          <w:lang w:val="fr-FR"/>
        </w:rPr>
        <w:t>[Une vidéo présentant le programme a été diffusée]</w:t>
      </w:r>
    </w:p>
    <w:p w14:paraId="419D47F2" w14:textId="1355B27E" w:rsidR="00A148C6" w:rsidRDefault="00A53A2F" w:rsidP="00702497">
      <w:pPr>
        <w:pStyle w:val="Orateurengris"/>
        <w:numPr>
          <w:ilvl w:val="0"/>
          <w:numId w:val="20"/>
        </w:numPr>
        <w:tabs>
          <w:tab w:val="clear" w:pos="567"/>
        </w:tabs>
        <w:spacing w:before="120"/>
        <w:ind w:left="709" w:hanging="709"/>
        <w:rPr>
          <w:bCs/>
          <w:lang w:val="fr-FR"/>
        </w:rPr>
      </w:pPr>
      <w:r w:rsidRPr="00A53A2F">
        <w:rPr>
          <w:bCs/>
          <w:lang w:val="fr-FR"/>
        </w:rPr>
        <w:lastRenderedPageBreak/>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A53A2F">
        <w:rPr>
          <w:bCs/>
          <w:lang w:val="fr-FR"/>
        </w:rPr>
        <w:t xml:space="preserve"> a présenté la proposition suivante, </w:t>
      </w:r>
      <w:r w:rsidRPr="00702497">
        <w:rPr>
          <w:b/>
          <w:lang w:val="fr-FR"/>
        </w:rPr>
        <w:t xml:space="preserve">le programme éducatif Al </w:t>
      </w:r>
      <w:proofErr w:type="spellStart"/>
      <w:r w:rsidRPr="00702497">
        <w:rPr>
          <w:b/>
          <w:lang w:val="fr-FR"/>
        </w:rPr>
        <w:t>Sadu</w:t>
      </w:r>
      <w:proofErr w:type="spellEnd"/>
      <w:r w:rsidRPr="00702497">
        <w:rPr>
          <w:b/>
          <w:lang w:val="fr-FR"/>
        </w:rPr>
        <w:t> : former les formateurs à l</w:t>
      </w:r>
      <w:r w:rsidR="00923E72">
        <w:rPr>
          <w:b/>
          <w:lang w:val="fr-FR"/>
        </w:rPr>
        <w:t>’</w:t>
      </w:r>
      <w:r w:rsidRPr="00702497">
        <w:rPr>
          <w:b/>
          <w:lang w:val="fr-FR"/>
        </w:rPr>
        <w:t xml:space="preserve">art du tissage </w:t>
      </w:r>
      <w:r w:rsidRPr="00A53A2F">
        <w:rPr>
          <w:bCs/>
          <w:lang w:val="fr-FR"/>
        </w:rPr>
        <w:t>[projet de décision</w:t>
      </w:r>
      <w:r w:rsidR="002A5694">
        <w:rPr>
          <w:bCs/>
          <w:lang w:val="fr-FR"/>
        </w:rPr>
        <w:t> </w:t>
      </w:r>
      <w:r w:rsidRPr="00A53A2F">
        <w:rPr>
          <w:bCs/>
          <w:lang w:val="fr-FR"/>
        </w:rPr>
        <w:t>7.c.3]</w:t>
      </w:r>
      <w:r w:rsidR="00155033">
        <w:rPr>
          <w:bCs/>
          <w:lang w:val="fr-FR"/>
        </w:rPr>
        <w:t>,</w:t>
      </w:r>
      <w:r w:rsidRPr="00A53A2F">
        <w:rPr>
          <w:bCs/>
          <w:lang w:val="fr-FR"/>
        </w:rPr>
        <w:t xml:space="preserve"> soumise par le </w:t>
      </w:r>
      <w:r w:rsidRPr="00702497">
        <w:rPr>
          <w:b/>
          <w:lang w:val="fr-FR"/>
        </w:rPr>
        <w:t>Koweït</w:t>
      </w:r>
      <w:r w:rsidRPr="00A53A2F">
        <w:rPr>
          <w:bCs/>
          <w:lang w:val="fr-FR"/>
        </w:rPr>
        <w:t>, expliquant que l</w:t>
      </w:r>
      <w:r w:rsidR="00923E72">
        <w:rPr>
          <w:bCs/>
          <w:lang w:val="fr-FR"/>
        </w:rPr>
        <w:t>’</w:t>
      </w:r>
      <w:r w:rsidRPr="00A53A2F">
        <w:rPr>
          <w:bCs/>
          <w:lang w:val="fr-FR"/>
        </w:rPr>
        <w:t xml:space="preserve">objectif principal du programme éducatif Al </w:t>
      </w:r>
      <w:proofErr w:type="spellStart"/>
      <w:r w:rsidRPr="00A53A2F">
        <w:rPr>
          <w:bCs/>
          <w:lang w:val="fr-FR"/>
        </w:rPr>
        <w:t>Sadu</w:t>
      </w:r>
      <w:proofErr w:type="spellEnd"/>
      <w:r w:rsidRPr="00A53A2F">
        <w:rPr>
          <w:bCs/>
          <w:lang w:val="fr-FR"/>
        </w:rPr>
        <w:t xml:space="preserve"> est de sauvegarder le patrimoine culturel immatériel national d</w:t>
      </w:r>
      <w:r w:rsidR="00923E72">
        <w:rPr>
          <w:bCs/>
          <w:lang w:val="fr-FR"/>
        </w:rPr>
        <w:t>’</w:t>
      </w:r>
      <w:r w:rsidRPr="00A53A2F">
        <w:rPr>
          <w:bCs/>
          <w:lang w:val="fr-FR"/>
        </w:rPr>
        <w:t xml:space="preserve">Al </w:t>
      </w:r>
      <w:proofErr w:type="spellStart"/>
      <w:r w:rsidRPr="00A53A2F">
        <w:rPr>
          <w:bCs/>
          <w:lang w:val="fr-FR"/>
        </w:rPr>
        <w:t>Sadu</w:t>
      </w:r>
      <w:proofErr w:type="spellEnd"/>
      <w:r w:rsidRPr="00A53A2F">
        <w:rPr>
          <w:bCs/>
          <w:lang w:val="fr-FR"/>
        </w:rPr>
        <w:t xml:space="preserve"> en tant qu</w:t>
      </w:r>
      <w:r w:rsidR="00923E72">
        <w:rPr>
          <w:bCs/>
          <w:lang w:val="fr-FR"/>
        </w:rPr>
        <w:t>’</w:t>
      </w:r>
      <w:r w:rsidRPr="00A53A2F">
        <w:rPr>
          <w:bCs/>
          <w:lang w:val="fr-FR"/>
        </w:rPr>
        <w:t>art traditionnel du tissage et d</w:t>
      </w:r>
      <w:r w:rsidR="00923E72">
        <w:rPr>
          <w:bCs/>
          <w:lang w:val="fr-FR"/>
        </w:rPr>
        <w:t>’</w:t>
      </w:r>
      <w:r w:rsidRPr="00A53A2F">
        <w:rPr>
          <w:bCs/>
          <w:lang w:val="fr-FR"/>
        </w:rPr>
        <w:t xml:space="preserve">assurer la transmission </w:t>
      </w:r>
      <w:r w:rsidR="00155033" w:rsidRPr="00A53A2F">
        <w:rPr>
          <w:bCs/>
          <w:lang w:val="fr-FR"/>
        </w:rPr>
        <w:t xml:space="preserve">aux jeunes générations </w:t>
      </w:r>
      <w:r w:rsidRPr="00A53A2F">
        <w:rPr>
          <w:bCs/>
          <w:lang w:val="fr-FR"/>
        </w:rPr>
        <w:t xml:space="preserve">des </w:t>
      </w:r>
      <w:r>
        <w:rPr>
          <w:bCs/>
          <w:lang w:val="fr-FR"/>
        </w:rPr>
        <w:t xml:space="preserve">savoirs </w:t>
      </w:r>
      <w:r w:rsidRPr="00A53A2F">
        <w:rPr>
          <w:bCs/>
          <w:lang w:val="fr-FR"/>
        </w:rPr>
        <w:t>et des savoir-faire</w:t>
      </w:r>
      <w:r>
        <w:rPr>
          <w:bCs/>
          <w:lang w:val="fr-FR"/>
        </w:rPr>
        <w:t xml:space="preserve"> en lien avec le</w:t>
      </w:r>
      <w:r w:rsidRPr="00A53A2F">
        <w:rPr>
          <w:bCs/>
          <w:lang w:val="fr-FR"/>
        </w:rPr>
        <w:t xml:space="preserve"> tissage traditionnel par le biais du système d</w:t>
      </w:r>
      <w:r w:rsidR="00923E72">
        <w:rPr>
          <w:bCs/>
          <w:lang w:val="fr-FR"/>
        </w:rPr>
        <w:t>’</w:t>
      </w:r>
      <w:r w:rsidRPr="00A53A2F">
        <w:rPr>
          <w:bCs/>
          <w:lang w:val="fr-FR"/>
        </w:rPr>
        <w:t>éducation publique, que les mesures de sauvegarde du programme comprennent</w:t>
      </w:r>
      <w:r>
        <w:rPr>
          <w:bCs/>
          <w:lang w:val="fr-FR"/>
        </w:rPr>
        <w:t xml:space="preserve">, entre autres, </w:t>
      </w:r>
      <w:r w:rsidRPr="00A53A2F">
        <w:rPr>
          <w:bCs/>
          <w:lang w:val="fr-FR"/>
        </w:rPr>
        <w:t>une formation par l</w:t>
      </w:r>
      <w:r w:rsidR="00923E72">
        <w:rPr>
          <w:bCs/>
          <w:lang w:val="fr-FR"/>
        </w:rPr>
        <w:t>’</w:t>
      </w:r>
      <w:r w:rsidRPr="00A53A2F">
        <w:rPr>
          <w:bCs/>
          <w:lang w:val="fr-FR"/>
        </w:rPr>
        <w:t>apprentissage pratique, des présentations, du matériel audiovisuel et un manuel d</w:t>
      </w:r>
      <w:r w:rsidR="00923E72">
        <w:rPr>
          <w:bCs/>
          <w:lang w:val="fr-FR"/>
        </w:rPr>
        <w:t>’</w:t>
      </w:r>
      <w:r w:rsidRPr="00A53A2F">
        <w:rPr>
          <w:bCs/>
          <w:lang w:val="fr-FR"/>
        </w:rPr>
        <w:t xml:space="preserve">aide pour les enseignants, et que le programme prévoit également </w:t>
      </w:r>
      <w:r>
        <w:rPr>
          <w:bCs/>
          <w:lang w:val="fr-FR"/>
        </w:rPr>
        <w:t>la</w:t>
      </w:r>
      <w:r w:rsidRPr="00A53A2F">
        <w:rPr>
          <w:bCs/>
          <w:lang w:val="fr-FR"/>
        </w:rPr>
        <w:t xml:space="preserve"> réévaluation </w:t>
      </w:r>
      <w:r w:rsidR="007A1D9E">
        <w:rPr>
          <w:bCs/>
          <w:lang w:val="fr-FR"/>
        </w:rPr>
        <w:t xml:space="preserve">biennale </w:t>
      </w:r>
      <w:r w:rsidRPr="00A53A2F">
        <w:rPr>
          <w:bCs/>
          <w:lang w:val="fr-FR"/>
        </w:rPr>
        <w:t>du programme d</w:t>
      </w:r>
      <w:r w:rsidR="00923E72">
        <w:rPr>
          <w:bCs/>
          <w:lang w:val="fr-FR"/>
        </w:rPr>
        <w:t>’</w:t>
      </w:r>
      <w:r w:rsidRPr="00A53A2F">
        <w:rPr>
          <w:bCs/>
          <w:lang w:val="fr-FR"/>
        </w:rPr>
        <w:t>études. L</w:t>
      </w:r>
      <w:r w:rsidR="00923E72">
        <w:rPr>
          <w:bCs/>
          <w:lang w:val="fr-FR"/>
        </w:rPr>
        <w:t>’</w:t>
      </w:r>
      <w:r w:rsidRPr="00A53A2F">
        <w:rPr>
          <w:bCs/>
          <w:lang w:val="fr-FR"/>
        </w:rPr>
        <w:t>Organe d</w:t>
      </w:r>
      <w:r w:rsidR="00923E72">
        <w:rPr>
          <w:bCs/>
          <w:lang w:val="fr-FR"/>
        </w:rPr>
        <w:t>’</w:t>
      </w:r>
      <w:r w:rsidRPr="00A53A2F">
        <w:rPr>
          <w:bCs/>
          <w:lang w:val="fr-FR"/>
        </w:rPr>
        <w:t>évaluation recommandait de sélectionner ce programme comme reflétant le mieux les principes et les objectifs de la Convention.</w:t>
      </w:r>
    </w:p>
    <w:p w14:paraId="30443470" w14:textId="0C5C321C" w:rsidR="00A53A2F" w:rsidRPr="00CD0853" w:rsidRDefault="00A53A2F"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2A5694">
        <w:rPr>
          <w:rFonts w:eastAsia="Malgun Gothic"/>
          <w:b/>
          <w:lang w:val="fr-FR"/>
        </w:rPr>
        <w:t> </w:t>
      </w:r>
      <w:r w:rsidR="00751FB1">
        <w:fldChar w:fldCharType="begin"/>
      </w:r>
      <w:r w:rsidR="00751FB1" w:rsidRPr="00751FB1">
        <w:rPr>
          <w:lang w:val="fr-FR"/>
        </w:rPr>
        <w:instrText>HYPERLINK "https://ich.unesco.org/fr/Decisions/17.COM/7.c.3"</w:instrText>
      </w:r>
      <w:r w:rsidR="00751FB1">
        <w:fldChar w:fldCharType="separate"/>
      </w:r>
      <w:r w:rsidRPr="006E3034">
        <w:rPr>
          <w:rStyle w:val="Hyperlink"/>
          <w:b/>
          <w:bCs/>
          <w:lang w:val="fr-FR"/>
        </w:rPr>
        <w:t>17.COM 7.c.3</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Pr>
          <w:rStyle w:val="Hyperlink"/>
          <w:b/>
          <w:bCs/>
          <w:color w:val="auto"/>
          <w:u w:val="none"/>
          <w:lang w:val="fr-FR"/>
        </w:rPr>
        <w:t xml:space="preserve">e sélectionner </w:t>
      </w:r>
      <w:r w:rsidRPr="002A7036">
        <w:rPr>
          <w:b/>
          <w:lang w:val="fr-FR"/>
        </w:rPr>
        <w:t xml:space="preserve">le programme éducatif Al </w:t>
      </w:r>
      <w:proofErr w:type="spellStart"/>
      <w:r w:rsidRPr="002A7036">
        <w:rPr>
          <w:b/>
          <w:lang w:val="fr-FR"/>
        </w:rPr>
        <w:t>Sadu</w:t>
      </w:r>
      <w:proofErr w:type="spellEnd"/>
      <w:r w:rsidRPr="002A7036">
        <w:rPr>
          <w:b/>
          <w:lang w:val="fr-FR"/>
        </w:rPr>
        <w:t> : former les formateurs à l</w:t>
      </w:r>
      <w:r w:rsidR="00923E72">
        <w:rPr>
          <w:b/>
          <w:lang w:val="fr-FR"/>
        </w:rPr>
        <w:t>’</w:t>
      </w:r>
      <w:r w:rsidRPr="002A7036">
        <w:rPr>
          <w:b/>
          <w:lang w:val="fr-FR"/>
        </w:rPr>
        <w:t>art du tissage</w:t>
      </w:r>
      <w:r>
        <w:rPr>
          <w:b/>
          <w:lang w:val="fr-FR"/>
        </w:rPr>
        <w:t xml:space="preserve"> au Registre des bonnes pratiques de </w:t>
      </w:r>
      <w:r w:rsidRPr="00E14107">
        <w:rPr>
          <w:b/>
          <w:bCs/>
          <w:color w:val="000000" w:themeColor="text1"/>
          <w:lang w:val="fr-FR"/>
        </w:rPr>
        <w:t>sauvegarde</w:t>
      </w:r>
      <w:r>
        <w:rPr>
          <w:color w:val="000000" w:themeColor="text1"/>
          <w:lang w:val="fr-FR"/>
        </w:rPr>
        <w:t>.</w:t>
      </w:r>
    </w:p>
    <w:p w14:paraId="6BD946BB" w14:textId="142E3D48" w:rsidR="00A53A2F" w:rsidRPr="00422F6C" w:rsidRDefault="00936037" w:rsidP="00702497">
      <w:pPr>
        <w:pStyle w:val="Orateurengris"/>
        <w:numPr>
          <w:ilvl w:val="0"/>
          <w:numId w:val="20"/>
        </w:numPr>
        <w:tabs>
          <w:tab w:val="clear" w:pos="567"/>
        </w:tabs>
        <w:spacing w:before="120"/>
        <w:ind w:left="709" w:hanging="709"/>
        <w:rPr>
          <w:bCs/>
          <w:lang w:val="fr-FR"/>
        </w:rPr>
      </w:pPr>
      <w:r w:rsidRPr="00936037">
        <w:rPr>
          <w:bCs/>
          <w:lang w:val="fr-FR"/>
        </w:rPr>
        <w:t xml:space="preserve">La délégation du </w:t>
      </w:r>
      <w:r w:rsidRPr="00702497">
        <w:rPr>
          <w:b/>
          <w:lang w:val="fr-FR"/>
        </w:rPr>
        <w:t>Koweït</w:t>
      </w:r>
      <w:r w:rsidRPr="00936037">
        <w:rPr>
          <w:bCs/>
          <w:lang w:val="fr-FR"/>
        </w:rPr>
        <w:t xml:space="preserve"> a remercié et félicité le Maroc pour sa grande cérémonie d</w:t>
      </w:r>
      <w:r w:rsidR="00923E72">
        <w:rPr>
          <w:bCs/>
          <w:lang w:val="fr-FR"/>
        </w:rPr>
        <w:t>’</w:t>
      </w:r>
      <w:r w:rsidRPr="00936037">
        <w:rPr>
          <w:bCs/>
          <w:lang w:val="fr-FR"/>
        </w:rPr>
        <w:t>ouverture, son hospitalité et l</w:t>
      </w:r>
      <w:r w:rsidR="00923E72">
        <w:rPr>
          <w:bCs/>
          <w:lang w:val="fr-FR"/>
        </w:rPr>
        <w:t>’</w:t>
      </w:r>
      <w:r w:rsidRPr="00936037">
        <w:rPr>
          <w:bCs/>
          <w:lang w:val="fr-FR"/>
        </w:rPr>
        <w:t>organisation parfaite de cette dix</w:t>
      </w:r>
      <w:r w:rsidR="002A5694">
        <w:rPr>
          <w:bCs/>
          <w:lang w:val="fr-FR"/>
        </w:rPr>
        <w:noBreakHyphen/>
      </w:r>
      <w:r w:rsidRPr="00936037">
        <w:rPr>
          <w:bCs/>
          <w:lang w:val="fr-FR"/>
        </w:rPr>
        <w:t>septième session, remerciant la Vice-Présidente et le Président pour leur conduite des travaux du Comité. Ce jour était très spécial pour le Koweï</w:t>
      </w:r>
      <w:r w:rsidR="002A5694">
        <w:rPr>
          <w:bCs/>
          <w:lang w:val="fr-FR"/>
        </w:rPr>
        <w:t>t,</w:t>
      </w:r>
      <w:r w:rsidRPr="00936037">
        <w:rPr>
          <w:bCs/>
          <w:lang w:val="fr-FR"/>
        </w:rPr>
        <w:t xml:space="preserve"> et ce</w:t>
      </w:r>
      <w:r w:rsidR="002A5694">
        <w:rPr>
          <w:bCs/>
          <w:lang w:val="fr-FR"/>
        </w:rPr>
        <w:t>,</w:t>
      </w:r>
      <w:r w:rsidRPr="00936037">
        <w:rPr>
          <w:bCs/>
          <w:lang w:val="fr-FR"/>
        </w:rPr>
        <w:t xml:space="preserve"> pour deux raisons. Tout d</w:t>
      </w:r>
      <w:r w:rsidR="00923E72">
        <w:rPr>
          <w:bCs/>
          <w:lang w:val="fr-FR"/>
        </w:rPr>
        <w:t>’</w:t>
      </w:r>
      <w:r w:rsidRPr="00936037">
        <w:rPr>
          <w:bCs/>
          <w:lang w:val="fr-FR"/>
        </w:rPr>
        <w:t>abord, il s</w:t>
      </w:r>
      <w:r w:rsidR="00923E72">
        <w:rPr>
          <w:bCs/>
          <w:lang w:val="fr-FR"/>
        </w:rPr>
        <w:t>’</w:t>
      </w:r>
      <w:r w:rsidRPr="00936037">
        <w:rPr>
          <w:bCs/>
          <w:lang w:val="fr-FR"/>
        </w:rPr>
        <w:t>agissait de la première candidature individuelle soumise par le Koweït. Deuxièmement, c</w:t>
      </w:r>
      <w:r w:rsidR="00923E72">
        <w:rPr>
          <w:bCs/>
          <w:lang w:val="fr-FR"/>
        </w:rPr>
        <w:t>’</w:t>
      </w:r>
      <w:r w:rsidRPr="00936037">
        <w:rPr>
          <w:bCs/>
          <w:lang w:val="fr-FR"/>
        </w:rPr>
        <w:t>était la première candidature à être sélectionnée pour le Registre des bonnes pratiques de sauvegarde dans le monde arabe. Au nom de l</w:t>
      </w:r>
      <w:r w:rsidR="00923E72">
        <w:rPr>
          <w:bCs/>
          <w:lang w:val="fr-FR"/>
        </w:rPr>
        <w:t>’</w:t>
      </w:r>
      <w:r w:rsidRPr="00936037">
        <w:rPr>
          <w:bCs/>
          <w:lang w:val="fr-FR"/>
        </w:rPr>
        <w:t xml:space="preserve">État du Koweït et </w:t>
      </w:r>
      <w:r w:rsidRPr="00E02E18">
        <w:rPr>
          <w:bCs/>
          <w:lang w:val="fr-FR"/>
        </w:rPr>
        <w:t>d</w:t>
      </w:r>
      <w:r w:rsidR="00923E72">
        <w:rPr>
          <w:bCs/>
          <w:lang w:val="fr-FR"/>
        </w:rPr>
        <w:t>’</w:t>
      </w:r>
      <w:r w:rsidRPr="00E02E18">
        <w:rPr>
          <w:bCs/>
          <w:lang w:val="fr-FR"/>
        </w:rPr>
        <w:t xml:space="preserve">Al </w:t>
      </w:r>
      <w:proofErr w:type="spellStart"/>
      <w:r w:rsidRPr="00E02E18">
        <w:rPr>
          <w:bCs/>
          <w:lang w:val="fr-FR"/>
        </w:rPr>
        <w:t>Sadu</w:t>
      </w:r>
      <w:proofErr w:type="spellEnd"/>
      <w:r w:rsidR="00422F6C" w:rsidRPr="00E02E18">
        <w:rPr>
          <w:bCs/>
          <w:lang w:val="fr-FR"/>
        </w:rPr>
        <w:t xml:space="preserve"> Society</w:t>
      </w:r>
      <w:r w:rsidRPr="00422F6C">
        <w:rPr>
          <w:bCs/>
          <w:lang w:val="fr-FR"/>
        </w:rPr>
        <w:t>, la délégation a exprimé ses remerciements et sa profonde gratitude pour l</w:t>
      </w:r>
      <w:r w:rsidR="00923E72">
        <w:rPr>
          <w:bCs/>
          <w:lang w:val="fr-FR"/>
        </w:rPr>
        <w:t>’</w:t>
      </w:r>
      <w:r w:rsidRPr="00422F6C">
        <w:rPr>
          <w:bCs/>
          <w:lang w:val="fr-FR"/>
        </w:rPr>
        <w:t>inscription du programme éducatif Al </w:t>
      </w:r>
      <w:proofErr w:type="spellStart"/>
      <w:r w:rsidRPr="00422F6C">
        <w:rPr>
          <w:bCs/>
          <w:lang w:val="fr-FR"/>
        </w:rPr>
        <w:t>Sadu</w:t>
      </w:r>
      <w:proofErr w:type="spellEnd"/>
      <w:r w:rsidRPr="00422F6C">
        <w:rPr>
          <w:bCs/>
          <w:lang w:val="fr-FR"/>
        </w:rPr>
        <w:t> : former les formateurs à l</w:t>
      </w:r>
      <w:r w:rsidR="00923E72">
        <w:rPr>
          <w:bCs/>
          <w:lang w:val="fr-FR"/>
        </w:rPr>
        <w:t>’</w:t>
      </w:r>
      <w:r w:rsidRPr="00422F6C">
        <w:rPr>
          <w:bCs/>
          <w:lang w:val="fr-FR"/>
        </w:rPr>
        <w:t>art du tissage sur le Registre des bonnes pratiques de sauvegarde. Elle a remercié l</w:t>
      </w:r>
      <w:r w:rsidR="00923E72">
        <w:rPr>
          <w:bCs/>
          <w:lang w:val="fr-FR"/>
        </w:rPr>
        <w:t>’</w:t>
      </w:r>
      <w:r w:rsidRPr="00422F6C">
        <w:rPr>
          <w:bCs/>
          <w:lang w:val="fr-FR"/>
        </w:rPr>
        <w:t>Organe d</w:t>
      </w:r>
      <w:r w:rsidR="00923E72">
        <w:rPr>
          <w:bCs/>
          <w:lang w:val="fr-FR"/>
        </w:rPr>
        <w:t>’</w:t>
      </w:r>
      <w:r w:rsidRPr="00422F6C">
        <w:rPr>
          <w:bCs/>
          <w:lang w:val="fr-FR"/>
        </w:rPr>
        <w:t>évaluation pour son évaluation positive du dossier de candidature et également le Comité pour son approbation de cette inscription ainsi que toutes les personnes qui avaient rendu cette inscription possible. Cette inscription illustrait l</w:t>
      </w:r>
      <w:r w:rsidR="00923E72">
        <w:rPr>
          <w:bCs/>
          <w:lang w:val="fr-FR"/>
        </w:rPr>
        <w:t>’</w:t>
      </w:r>
      <w:r w:rsidRPr="00422F6C">
        <w:rPr>
          <w:bCs/>
          <w:lang w:val="fr-FR"/>
        </w:rPr>
        <w:t>étendue du respect et de la protection des traditions au Koweït, dans le but d</w:t>
      </w:r>
      <w:r w:rsidR="00923E72">
        <w:rPr>
          <w:bCs/>
          <w:lang w:val="fr-FR"/>
        </w:rPr>
        <w:t>’</w:t>
      </w:r>
      <w:r w:rsidRPr="00422F6C">
        <w:rPr>
          <w:bCs/>
          <w:lang w:val="fr-FR"/>
        </w:rPr>
        <w:t>assurer la viabilité et la transmission de son patrimoine culturel immatériel. Le Koweït continuerait à sauvegarder son patrimoine et espérait que cette première inscription individuelle serait la première d</w:t>
      </w:r>
      <w:r w:rsidR="00923E72">
        <w:rPr>
          <w:bCs/>
          <w:lang w:val="fr-FR"/>
        </w:rPr>
        <w:t>’</w:t>
      </w:r>
      <w:r w:rsidRPr="00422F6C">
        <w:rPr>
          <w:bCs/>
          <w:lang w:val="fr-FR"/>
        </w:rPr>
        <w:t>une longue liste.</w:t>
      </w:r>
    </w:p>
    <w:p w14:paraId="3593DC58" w14:textId="639F739A" w:rsidR="00936037" w:rsidRDefault="00422F6C" w:rsidP="00702497">
      <w:pPr>
        <w:pStyle w:val="Orateurengris"/>
        <w:numPr>
          <w:ilvl w:val="0"/>
          <w:numId w:val="20"/>
        </w:numPr>
        <w:tabs>
          <w:tab w:val="clear" w:pos="567"/>
        </w:tabs>
        <w:spacing w:before="120"/>
        <w:ind w:left="709" w:hanging="709"/>
        <w:rPr>
          <w:bCs/>
          <w:lang w:val="fr-FR"/>
        </w:rPr>
      </w:pPr>
      <w:r w:rsidRPr="00422F6C">
        <w:rPr>
          <w:bCs/>
          <w:lang w:val="fr-FR"/>
        </w:rPr>
        <w:t xml:space="preserve">La délégation du </w:t>
      </w:r>
      <w:r w:rsidRPr="00702497">
        <w:rPr>
          <w:b/>
          <w:lang w:val="fr-FR"/>
        </w:rPr>
        <w:t>Koweït</w:t>
      </w:r>
      <w:r w:rsidRPr="00422F6C">
        <w:rPr>
          <w:bCs/>
          <w:lang w:val="fr-FR"/>
        </w:rPr>
        <w:t xml:space="preserve"> [</w:t>
      </w:r>
      <w:r>
        <w:rPr>
          <w:bCs/>
          <w:lang w:val="fr-FR"/>
        </w:rPr>
        <w:t>D</w:t>
      </w:r>
      <w:r w:rsidRPr="00422F6C">
        <w:rPr>
          <w:bCs/>
          <w:lang w:val="fr-FR"/>
        </w:rPr>
        <w:t>euxième</w:t>
      </w:r>
      <w:r w:rsidR="00BF5FC5">
        <w:rPr>
          <w:bCs/>
          <w:lang w:val="fr-FR"/>
        </w:rPr>
        <w:t xml:space="preserve"> oratrice</w:t>
      </w:r>
      <w:r w:rsidRPr="00422F6C">
        <w:rPr>
          <w:bCs/>
          <w:lang w:val="fr-FR"/>
        </w:rPr>
        <w:t>], M</w:t>
      </w:r>
      <w:r w:rsidRPr="00702497">
        <w:rPr>
          <w:bCs/>
          <w:vertAlign w:val="superscript"/>
          <w:lang w:val="fr-FR"/>
        </w:rPr>
        <w:t>me</w:t>
      </w:r>
      <w:r w:rsidRPr="00422F6C">
        <w:rPr>
          <w:bCs/>
          <w:lang w:val="fr-FR"/>
        </w:rPr>
        <w:t> Bibi Al Sabah, était fière de représenter la première nation arabe dont le dossier national était enregistré en tant que bonne pratique de sauvegarde. L</w:t>
      </w:r>
      <w:r w:rsidR="00923E72">
        <w:rPr>
          <w:bCs/>
          <w:lang w:val="fr-FR"/>
        </w:rPr>
        <w:t>’</w:t>
      </w:r>
      <w:r w:rsidRPr="00422F6C">
        <w:rPr>
          <w:bCs/>
          <w:lang w:val="fr-FR"/>
        </w:rPr>
        <w:t>élément de tissage Al</w:t>
      </w:r>
      <w:r w:rsidR="00060604">
        <w:rPr>
          <w:bCs/>
          <w:lang w:val="fr-FR"/>
        </w:rPr>
        <w:t> </w:t>
      </w:r>
      <w:proofErr w:type="spellStart"/>
      <w:r w:rsidRPr="00422F6C">
        <w:rPr>
          <w:bCs/>
          <w:lang w:val="fr-FR"/>
        </w:rPr>
        <w:t>Sadu</w:t>
      </w:r>
      <w:proofErr w:type="spellEnd"/>
      <w:r w:rsidRPr="00422F6C">
        <w:rPr>
          <w:bCs/>
          <w:lang w:val="fr-FR"/>
        </w:rPr>
        <w:t xml:space="preserve"> était désormais inscrit, accrédité et enregistré dans le cadre de la Convention. Les efforts de sauvegarde et de documentation des techniques de tissage et des modèles des motifs avaient contribué à faire inscrire le tissage</w:t>
      </w:r>
      <w:r w:rsidR="00060604">
        <w:rPr>
          <w:bCs/>
          <w:lang w:val="fr-FR"/>
        </w:rPr>
        <w:t xml:space="preserve"> </w:t>
      </w:r>
      <w:r w:rsidRPr="00422F6C">
        <w:rPr>
          <w:bCs/>
          <w:lang w:val="fr-FR"/>
        </w:rPr>
        <w:t>Al</w:t>
      </w:r>
      <w:r w:rsidR="00060604">
        <w:rPr>
          <w:bCs/>
          <w:lang w:val="fr-FR"/>
        </w:rPr>
        <w:t> </w:t>
      </w:r>
      <w:proofErr w:type="spellStart"/>
      <w:r w:rsidRPr="00422F6C">
        <w:rPr>
          <w:bCs/>
          <w:lang w:val="fr-FR"/>
        </w:rPr>
        <w:t>Sadu</w:t>
      </w:r>
      <w:proofErr w:type="spellEnd"/>
      <w:r w:rsidRPr="00422F6C">
        <w:rPr>
          <w:bCs/>
          <w:lang w:val="fr-FR"/>
        </w:rPr>
        <w:t xml:space="preserve"> sur la Liste représentative en</w:t>
      </w:r>
      <w:r w:rsidR="00AF6B98">
        <w:rPr>
          <w:bCs/>
          <w:lang w:val="fr-FR"/>
        </w:rPr>
        <w:t> </w:t>
      </w:r>
      <w:r w:rsidRPr="00422F6C">
        <w:rPr>
          <w:bCs/>
          <w:lang w:val="fr-FR"/>
        </w:rPr>
        <w:t xml:space="preserve">2020, dans </w:t>
      </w:r>
      <w:r w:rsidR="00060604">
        <w:rPr>
          <w:bCs/>
          <w:lang w:val="fr-FR"/>
        </w:rPr>
        <w:t>le cadre d</w:t>
      </w:r>
      <w:r w:rsidR="00923E72">
        <w:rPr>
          <w:bCs/>
          <w:lang w:val="fr-FR"/>
        </w:rPr>
        <w:t>’</w:t>
      </w:r>
      <w:r w:rsidR="00060604">
        <w:rPr>
          <w:bCs/>
          <w:lang w:val="fr-FR"/>
        </w:rPr>
        <w:t>un</w:t>
      </w:r>
      <w:r w:rsidRPr="00422F6C">
        <w:rPr>
          <w:bCs/>
          <w:lang w:val="fr-FR"/>
        </w:rPr>
        <w:t xml:space="preserve"> dossier commun avec l</w:t>
      </w:r>
      <w:r w:rsidR="00923E72">
        <w:rPr>
          <w:bCs/>
          <w:lang w:val="fr-FR"/>
        </w:rPr>
        <w:t>’</w:t>
      </w:r>
      <w:r w:rsidRPr="00422F6C">
        <w:rPr>
          <w:bCs/>
          <w:lang w:val="fr-FR"/>
        </w:rPr>
        <w:t>Arabie</w:t>
      </w:r>
      <w:r w:rsidR="00060604">
        <w:rPr>
          <w:bCs/>
          <w:lang w:val="fr-FR"/>
        </w:rPr>
        <w:t> </w:t>
      </w:r>
      <w:r w:rsidRPr="00422F6C">
        <w:rPr>
          <w:bCs/>
          <w:lang w:val="fr-FR"/>
        </w:rPr>
        <w:t>saoudite. Les efforts d</w:t>
      </w:r>
      <w:r w:rsidR="00923E72">
        <w:rPr>
          <w:bCs/>
          <w:lang w:val="fr-FR"/>
        </w:rPr>
        <w:t>’</w:t>
      </w:r>
      <w:r w:rsidRPr="00422F6C">
        <w:rPr>
          <w:bCs/>
          <w:lang w:val="fr-FR"/>
        </w:rPr>
        <w:t>innovation dans l</w:t>
      </w:r>
      <w:r w:rsidR="00923E72">
        <w:rPr>
          <w:bCs/>
          <w:lang w:val="fr-FR"/>
        </w:rPr>
        <w:t>’</w:t>
      </w:r>
      <w:r w:rsidRPr="00422F6C">
        <w:rPr>
          <w:bCs/>
          <w:lang w:val="fr-FR"/>
        </w:rPr>
        <w:t>adaptation de la fonction artisanale et la création d</w:t>
      </w:r>
      <w:r w:rsidR="00923E72">
        <w:rPr>
          <w:bCs/>
          <w:lang w:val="fr-FR"/>
        </w:rPr>
        <w:t>’</w:t>
      </w:r>
      <w:r w:rsidRPr="00422F6C">
        <w:rPr>
          <w:bCs/>
          <w:lang w:val="fr-FR"/>
        </w:rPr>
        <w:t>une structure coopérative avaient permis d</w:t>
      </w:r>
      <w:r w:rsidR="00923E72">
        <w:rPr>
          <w:bCs/>
          <w:lang w:val="fr-FR"/>
        </w:rPr>
        <w:t>’</w:t>
      </w:r>
      <w:r w:rsidRPr="00422F6C">
        <w:rPr>
          <w:bCs/>
          <w:lang w:val="fr-FR"/>
        </w:rPr>
        <w:t>obtenir l</w:t>
      </w:r>
      <w:r w:rsidR="00923E72">
        <w:rPr>
          <w:bCs/>
          <w:lang w:val="fr-FR"/>
        </w:rPr>
        <w:t>’</w:t>
      </w:r>
      <w:r w:rsidRPr="00422F6C">
        <w:rPr>
          <w:bCs/>
          <w:lang w:val="fr-FR"/>
        </w:rPr>
        <w:t xml:space="preserve">accréditation </w:t>
      </w:r>
      <w:r w:rsidRPr="00E02E18">
        <w:rPr>
          <w:bCs/>
          <w:lang w:val="fr-FR"/>
        </w:rPr>
        <w:t>d</w:t>
      </w:r>
      <w:r w:rsidR="00923E72">
        <w:rPr>
          <w:bCs/>
          <w:lang w:val="fr-FR"/>
        </w:rPr>
        <w:t>’</w:t>
      </w:r>
      <w:r w:rsidRPr="00E02E18">
        <w:rPr>
          <w:bCs/>
          <w:lang w:val="fr-FR"/>
        </w:rPr>
        <w:t>Al</w:t>
      </w:r>
      <w:r w:rsidR="00060604" w:rsidRPr="00E02E18">
        <w:rPr>
          <w:bCs/>
          <w:lang w:val="fr-FR"/>
        </w:rPr>
        <w:t> </w:t>
      </w:r>
      <w:proofErr w:type="spellStart"/>
      <w:r w:rsidRPr="00E02E18">
        <w:rPr>
          <w:bCs/>
          <w:lang w:val="fr-FR"/>
        </w:rPr>
        <w:t>Sadu</w:t>
      </w:r>
      <w:proofErr w:type="spellEnd"/>
      <w:r w:rsidRPr="00E02E18">
        <w:rPr>
          <w:bCs/>
          <w:lang w:val="fr-FR"/>
        </w:rPr>
        <w:t xml:space="preserve"> </w:t>
      </w:r>
      <w:r w:rsidR="00060604" w:rsidRPr="00E02E18">
        <w:rPr>
          <w:bCs/>
          <w:lang w:val="fr-FR"/>
        </w:rPr>
        <w:t>Society</w:t>
      </w:r>
      <w:r w:rsidR="00060604" w:rsidRPr="00702497">
        <w:rPr>
          <w:bCs/>
          <w:i/>
          <w:iCs/>
          <w:lang w:val="fr-FR"/>
        </w:rPr>
        <w:t xml:space="preserve"> </w:t>
      </w:r>
      <w:r w:rsidRPr="00422F6C">
        <w:rPr>
          <w:bCs/>
          <w:lang w:val="fr-FR"/>
        </w:rPr>
        <w:t>en tant qu</w:t>
      </w:r>
      <w:r w:rsidR="00923E72">
        <w:rPr>
          <w:bCs/>
          <w:lang w:val="fr-FR"/>
        </w:rPr>
        <w:t>’</w:t>
      </w:r>
      <w:r w:rsidRPr="00422F6C">
        <w:rPr>
          <w:bCs/>
          <w:lang w:val="fr-FR"/>
        </w:rPr>
        <w:t>ONG en</w:t>
      </w:r>
      <w:r w:rsidR="00246428">
        <w:rPr>
          <w:bCs/>
          <w:lang w:val="fr-FR"/>
        </w:rPr>
        <w:t> </w:t>
      </w:r>
      <w:r w:rsidRPr="00422F6C">
        <w:rPr>
          <w:bCs/>
          <w:lang w:val="fr-FR"/>
        </w:rPr>
        <w:t>2022. Enfin, les programmes éducatifs et les initiatives de transfert de connaissances avaient abouti à l</w:t>
      </w:r>
      <w:r w:rsidR="00923E72">
        <w:rPr>
          <w:bCs/>
          <w:lang w:val="fr-FR"/>
        </w:rPr>
        <w:t>’</w:t>
      </w:r>
      <w:r w:rsidRPr="00422F6C">
        <w:rPr>
          <w:bCs/>
          <w:lang w:val="fr-FR"/>
        </w:rPr>
        <w:t>enregistrement d</w:t>
      </w:r>
      <w:r w:rsidR="00923E72">
        <w:rPr>
          <w:bCs/>
          <w:lang w:val="fr-FR"/>
        </w:rPr>
        <w:t>’</w:t>
      </w:r>
      <w:r w:rsidRPr="00422F6C">
        <w:rPr>
          <w:bCs/>
          <w:lang w:val="fr-FR"/>
        </w:rPr>
        <w:t>aujourd</w:t>
      </w:r>
      <w:r w:rsidR="00923E72">
        <w:rPr>
          <w:bCs/>
          <w:lang w:val="fr-FR"/>
        </w:rPr>
        <w:t>’</w:t>
      </w:r>
      <w:r w:rsidRPr="00422F6C">
        <w:rPr>
          <w:bCs/>
          <w:lang w:val="fr-FR"/>
        </w:rPr>
        <w:t>hui. Avec quarante années d</w:t>
      </w:r>
      <w:r w:rsidR="00923E72">
        <w:rPr>
          <w:bCs/>
          <w:lang w:val="fr-FR"/>
        </w:rPr>
        <w:t>’</w:t>
      </w:r>
      <w:r w:rsidRPr="00422F6C">
        <w:rPr>
          <w:bCs/>
          <w:lang w:val="fr-FR"/>
        </w:rPr>
        <w:t>expérience et plus de</w:t>
      </w:r>
      <w:r w:rsidR="00246428">
        <w:rPr>
          <w:bCs/>
          <w:lang w:val="fr-FR"/>
        </w:rPr>
        <w:t> </w:t>
      </w:r>
      <w:r w:rsidRPr="00422F6C">
        <w:rPr>
          <w:bCs/>
          <w:lang w:val="fr-FR"/>
        </w:rPr>
        <w:t>40</w:t>
      </w:r>
      <w:r w:rsidR="00060604">
        <w:rPr>
          <w:bCs/>
          <w:lang w:val="fr-FR"/>
        </w:rPr>
        <w:t> </w:t>
      </w:r>
      <w:r w:rsidRPr="00422F6C">
        <w:rPr>
          <w:bCs/>
          <w:lang w:val="fr-FR"/>
        </w:rPr>
        <w:t>000 élèves ayant bénéficié de ce transfert de connaissances et d</w:t>
      </w:r>
      <w:r w:rsidR="00923E72">
        <w:rPr>
          <w:bCs/>
          <w:lang w:val="fr-FR"/>
        </w:rPr>
        <w:t>’</w:t>
      </w:r>
      <w:r w:rsidRPr="00422F6C">
        <w:rPr>
          <w:bCs/>
          <w:lang w:val="fr-FR"/>
        </w:rPr>
        <w:t>expertise ainsi que</w:t>
      </w:r>
      <w:r w:rsidR="00246428">
        <w:rPr>
          <w:bCs/>
          <w:lang w:val="fr-FR"/>
        </w:rPr>
        <w:t> </w:t>
      </w:r>
      <w:r w:rsidRPr="00422F6C">
        <w:rPr>
          <w:bCs/>
          <w:lang w:val="fr-FR"/>
        </w:rPr>
        <w:t>400 membres et affiliés d</w:t>
      </w:r>
      <w:r w:rsidR="00923E72">
        <w:rPr>
          <w:bCs/>
          <w:lang w:val="fr-FR"/>
        </w:rPr>
        <w:t>’</w:t>
      </w:r>
      <w:r w:rsidRPr="00422F6C">
        <w:rPr>
          <w:bCs/>
          <w:lang w:val="fr-FR"/>
        </w:rPr>
        <w:t xml:space="preserve">Al </w:t>
      </w:r>
      <w:proofErr w:type="spellStart"/>
      <w:r w:rsidRPr="00422F6C">
        <w:rPr>
          <w:bCs/>
          <w:lang w:val="fr-FR"/>
        </w:rPr>
        <w:t>Sadu</w:t>
      </w:r>
      <w:proofErr w:type="spellEnd"/>
      <w:r w:rsidRPr="00422F6C">
        <w:rPr>
          <w:bCs/>
          <w:lang w:val="fr-FR"/>
        </w:rPr>
        <w:t xml:space="preserve"> et l</w:t>
      </w:r>
      <w:r w:rsidR="00923E72">
        <w:rPr>
          <w:bCs/>
          <w:lang w:val="fr-FR"/>
        </w:rPr>
        <w:t>’</w:t>
      </w:r>
      <w:r w:rsidRPr="00422F6C">
        <w:rPr>
          <w:bCs/>
          <w:lang w:val="fr-FR"/>
        </w:rPr>
        <w:t>expertise de l</w:t>
      </w:r>
      <w:r w:rsidR="00923E72">
        <w:rPr>
          <w:bCs/>
          <w:lang w:val="fr-FR"/>
        </w:rPr>
        <w:t>’</w:t>
      </w:r>
      <w:r w:rsidRPr="00422F6C">
        <w:rPr>
          <w:bCs/>
          <w:lang w:val="fr-FR"/>
        </w:rPr>
        <w:t xml:space="preserve">UNESCO, le Koweït poursuivrait </w:t>
      </w:r>
      <w:r w:rsidR="008F1294">
        <w:rPr>
          <w:bCs/>
          <w:lang w:val="fr-FR"/>
        </w:rPr>
        <w:t xml:space="preserve">la mise en œuvre  de </w:t>
      </w:r>
      <w:r w:rsidRPr="00422F6C">
        <w:rPr>
          <w:bCs/>
          <w:lang w:val="fr-FR"/>
        </w:rPr>
        <w:t xml:space="preserve">ces pratiques de sauvegarde pour les générations actuelles et futures. Au nom </w:t>
      </w:r>
      <w:r w:rsidRPr="00E02E18">
        <w:rPr>
          <w:bCs/>
          <w:lang w:val="fr-FR"/>
        </w:rPr>
        <w:t>d</w:t>
      </w:r>
      <w:r w:rsidR="00923E72">
        <w:rPr>
          <w:bCs/>
          <w:lang w:val="fr-FR"/>
        </w:rPr>
        <w:t>’</w:t>
      </w:r>
      <w:r w:rsidRPr="00E02E18">
        <w:rPr>
          <w:bCs/>
          <w:lang w:val="fr-FR"/>
        </w:rPr>
        <w:t>Al</w:t>
      </w:r>
      <w:r w:rsidR="00060604" w:rsidRPr="00702497">
        <w:rPr>
          <w:bCs/>
          <w:lang w:val="fr-FR"/>
        </w:rPr>
        <w:t> </w:t>
      </w:r>
      <w:proofErr w:type="spellStart"/>
      <w:r w:rsidRPr="00E02E18">
        <w:rPr>
          <w:bCs/>
          <w:lang w:val="fr-FR"/>
        </w:rPr>
        <w:t>Sadu</w:t>
      </w:r>
      <w:proofErr w:type="spellEnd"/>
      <w:r w:rsidRPr="00E02E18">
        <w:rPr>
          <w:bCs/>
          <w:lang w:val="fr-FR"/>
        </w:rPr>
        <w:t xml:space="preserve"> Society</w:t>
      </w:r>
      <w:r w:rsidRPr="00422F6C">
        <w:rPr>
          <w:bCs/>
          <w:lang w:val="fr-FR"/>
        </w:rPr>
        <w:t>, la délégation a remercié le Comité et l</w:t>
      </w:r>
      <w:r w:rsidR="00923E72">
        <w:rPr>
          <w:bCs/>
          <w:lang w:val="fr-FR"/>
        </w:rPr>
        <w:t>’</w:t>
      </w:r>
      <w:r w:rsidRPr="00422F6C">
        <w:rPr>
          <w:bCs/>
          <w:lang w:val="fr-FR"/>
        </w:rPr>
        <w:t>Organe d</w:t>
      </w:r>
      <w:r w:rsidR="00923E72">
        <w:rPr>
          <w:bCs/>
          <w:lang w:val="fr-FR"/>
        </w:rPr>
        <w:t>’</w:t>
      </w:r>
      <w:r w:rsidRPr="00422F6C">
        <w:rPr>
          <w:bCs/>
          <w:lang w:val="fr-FR"/>
        </w:rPr>
        <w:t>évaluation pour leur approbation et leur reconnaissance.</w:t>
      </w:r>
    </w:p>
    <w:p w14:paraId="25ED117A" w14:textId="7722C08C" w:rsidR="00060604" w:rsidRPr="00702497" w:rsidRDefault="00060604" w:rsidP="00702497">
      <w:pPr>
        <w:pStyle w:val="Orateurengris"/>
        <w:spacing w:before="120"/>
        <w:ind w:left="709" w:hanging="709"/>
        <w:jc w:val="center"/>
        <w:rPr>
          <w:bCs/>
          <w:i/>
          <w:iCs/>
          <w:lang w:val="fr-FR"/>
        </w:rPr>
      </w:pPr>
      <w:r w:rsidRPr="002A7036">
        <w:rPr>
          <w:bCs/>
          <w:i/>
          <w:iCs/>
          <w:lang w:val="fr-FR"/>
        </w:rPr>
        <w:t>[Une vidéo prés</w:t>
      </w:r>
      <w:r>
        <w:rPr>
          <w:bCs/>
          <w:i/>
          <w:iCs/>
          <w:lang w:val="fr-FR"/>
        </w:rPr>
        <w:t xml:space="preserve">entant </w:t>
      </w:r>
      <w:r w:rsidR="009F3FAA">
        <w:rPr>
          <w:bCs/>
          <w:i/>
          <w:iCs/>
          <w:lang w:val="fr-FR"/>
        </w:rPr>
        <w:t>le programme</w:t>
      </w:r>
      <w:r w:rsidRPr="002A7036">
        <w:rPr>
          <w:bCs/>
          <w:i/>
          <w:iCs/>
          <w:lang w:val="fr-FR"/>
        </w:rPr>
        <w:t xml:space="preserve"> a été diffusée]</w:t>
      </w:r>
    </w:p>
    <w:p w14:paraId="04B1A53E" w14:textId="2129BC1C" w:rsidR="00060604" w:rsidRDefault="00060604" w:rsidP="00702497">
      <w:pPr>
        <w:pStyle w:val="Orateurengris"/>
        <w:numPr>
          <w:ilvl w:val="0"/>
          <w:numId w:val="20"/>
        </w:numPr>
        <w:tabs>
          <w:tab w:val="clear" w:pos="567"/>
        </w:tabs>
        <w:spacing w:before="120"/>
        <w:ind w:left="709" w:hanging="709"/>
        <w:rPr>
          <w:bCs/>
          <w:lang w:val="fr-FR"/>
        </w:rPr>
      </w:pPr>
      <w:r w:rsidRPr="00060604">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060604">
        <w:rPr>
          <w:bCs/>
          <w:lang w:val="fr-FR"/>
        </w:rPr>
        <w:t xml:space="preserve"> a présenté la proposition suivante, </w:t>
      </w:r>
      <w:r w:rsidRPr="00702497">
        <w:rPr>
          <w:b/>
          <w:lang w:val="fr-FR"/>
        </w:rPr>
        <w:t>le PCI frontalier luso</w:t>
      </w:r>
      <w:r w:rsidR="00FF73E0" w:rsidRPr="00702497">
        <w:rPr>
          <w:b/>
          <w:lang w:val="fr-FR"/>
        </w:rPr>
        <w:t>-galicien :</w:t>
      </w:r>
      <w:r w:rsidRPr="00702497">
        <w:rPr>
          <w:b/>
          <w:lang w:val="fr-FR"/>
        </w:rPr>
        <w:t xml:space="preserve"> un modèle de sauvegarde créé par Ponte...</w:t>
      </w:r>
      <w:proofErr w:type="spellStart"/>
      <w:r w:rsidRPr="00702497">
        <w:rPr>
          <w:b/>
          <w:lang w:val="fr-FR"/>
        </w:rPr>
        <w:t>nas</w:t>
      </w:r>
      <w:proofErr w:type="spellEnd"/>
      <w:r w:rsidRPr="00702497">
        <w:rPr>
          <w:b/>
          <w:lang w:val="fr-FR"/>
        </w:rPr>
        <w:t xml:space="preserve"> ondas!</w:t>
      </w:r>
      <w:r w:rsidRPr="00060604">
        <w:rPr>
          <w:bCs/>
          <w:lang w:val="fr-FR"/>
        </w:rPr>
        <w:t xml:space="preserve"> [projet de décision</w:t>
      </w:r>
      <w:r w:rsidR="00D97369">
        <w:rPr>
          <w:bCs/>
          <w:lang w:val="fr-FR"/>
        </w:rPr>
        <w:t> </w:t>
      </w:r>
      <w:r w:rsidRPr="00060604">
        <w:rPr>
          <w:bCs/>
          <w:lang w:val="fr-FR"/>
        </w:rPr>
        <w:t>7.c.4]</w:t>
      </w:r>
      <w:r w:rsidR="004908B0">
        <w:rPr>
          <w:bCs/>
          <w:lang w:val="fr-FR"/>
        </w:rPr>
        <w:t>,</w:t>
      </w:r>
      <w:r w:rsidRPr="00060604">
        <w:rPr>
          <w:bCs/>
          <w:lang w:val="fr-FR"/>
        </w:rPr>
        <w:t xml:space="preserve"> soumise par le </w:t>
      </w:r>
      <w:r w:rsidRPr="00702497">
        <w:rPr>
          <w:b/>
          <w:lang w:val="fr-FR"/>
        </w:rPr>
        <w:t>Portugal</w:t>
      </w:r>
      <w:r w:rsidRPr="00060604">
        <w:rPr>
          <w:bCs/>
          <w:lang w:val="fr-FR"/>
        </w:rPr>
        <w:t xml:space="preserve"> et l</w:t>
      </w:r>
      <w:r w:rsidR="00923E72">
        <w:rPr>
          <w:bCs/>
          <w:lang w:val="fr-FR"/>
        </w:rPr>
        <w:t>’</w:t>
      </w:r>
      <w:r w:rsidRPr="00702497">
        <w:rPr>
          <w:b/>
          <w:lang w:val="fr-FR"/>
        </w:rPr>
        <w:t>Espagne</w:t>
      </w:r>
      <w:r w:rsidRPr="00060604">
        <w:rPr>
          <w:bCs/>
          <w:lang w:val="fr-FR"/>
        </w:rPr>
        <w:t xml:space="preserve">, expliquant que le projet vise à sauvegarder le patrimoine culturel immatériel </w:t>
      </w:r>
      <w:r w:rsidR="00FF73E0">
        <w:rPr>
          <w:bCs/>
          <w:lang w:val="fr-FR"/>
        </w:rPr>
        <w:t>de part et d</w:t>
      </w:r>
      <w:r w:rsidR="00923E72">
        <w:rPr>
          <w:bCs/>
          <w:lang w:val="fr-FR"/>
        </w:rPr>
        <w:t>’</w:t>
      </w:r>
      <w:r w:rsidR="00FF73E0">
        <w:rPr>
          <w:bCs/>
          <w:lang w:val="fr-FR"/>
        </w:rPr>
        <w:t>autre de</w:t>
      </w:r>
      <w:r w:rsidRPr="00060604">
        <w:rPr>
          <w:bCs/>
          <w:lang w:val="fr-FR"/>
        </w:rPr>
        <w:t xml:space="preserve"> la frontière </w:t>
      </w:r>
      <w:r w:rsidR="00FF73E0">
        <w:rPr>
          <w:bCs/>
          <w:lang w:val="fr-FR"/>
        </w:rPr>
        <w:t xml:space="preserve">luso-galicienne </w:t>
      </w:r>
      <w:r w:rsidRPr="00060604">
        <w:rPr>
          <w:bCs/>
          <w:lang w:val="fr-FR"/>
        </w:rPr>
        <w:t xml:space="preserve">en créant des espaces </w:t>
      </w:r>
      <w:r w:rsidR="00FF73E0">
        <w:rPr>
          <w:bCs/>
          <w:lang w:val="fr-FR"/>
        </w:rPr>
        <w:t>permettant la pratique de ce</w:t>
      </w:r>
      <w:r w:rsidRPr="00060604">
        <w:rPr>
          <w:bCs/>
          <w:lang w:val="fr-FR"/>
        </w:rPr>
        <w:t xml:space="preserve"> patrimoine </w:t>
      </w:r>
      <w:r w:rsidR="00FF73E0">
        <w:rPr>
          <w:bCs/>
          <w:lang w:val="fr-FR"/>
        </w:rPr>
        <w:t xml:space="preserve">et sa transmission </w:t>
      </w:r>
      <w:r w:rsidRPr="00060604">
        <w:rPr>
          <w:bCs/>
          <w:lang w:val="fr-FR"/>
        </w:rPr>
        <w:t>aux jeunes générations, et que le projet a</w:t>
      </w:r>
      <w:r w:rsidR="00FF73E0">
        <w:rPr>
          <w:bCs/>
          <w:lang w:val="fr-FR"/>
        </w:rPr>
        <w:t>vait</w:t>
      </w:r>
      <w:r w:rsidRPr="00060604">
        <w:rPr>
          <w:bCs/>
          <w:lang w:val="fr-FR"/>
        </w:rPr>
        <w:t xml:space="preserve"> débuté en 1995 lorsqu</w:t>
      </w:r>
      <w:r w:rsidR="00923E72">
        <w:rPr>
          <w:bCs/>
          <w:lang w:val="fr-FR"/>
        </w:rPr>
        <w:t>’</w:t>
      </w:r>
      <w:r w:rsidRPr="00060604">
        <w:rPr>
          <w:bCs/>
          <w:lang w:val="fr-FR"/>
        </w:rPr>
        <w:t>un groupe d</w:t>
      </w:r>
      <w:r w:rsidR="00923E72">
        <w:rPr>
          <w:bCs/>
          <w:lang w:val="fr-FR"/>
        </w:rPr>
        <w:t>’</w:t>
      </w:r>
      <w:r w:rsidRPr="00060604">
        <w:rPr>
          <w:bCs/>
          <w:lang w:val="fr-FR"/>
        </w:rPr>
        <w:t xml:space="preserve">enseignants de </w:t>
      </w:r>
      <w:r w:rsidRPr="00060604">
        <w:rPr>
          <w:bCs/>
          <w:lang w:val="fr-FR"/>
        </w:rPr>
        <w:lastRenderedPageBreak/>
        <w:t xml:space="preserve">diverses écoles primaires et secondaires </w:t>
      </w:r>
      <w:r w:rsidR="00FF73E0">
        <w:rPr>
          <w:bCs/>
          <w:lang w:val="fr-FR"/>
        </w:rPr>
        <w:t>de part et d</w:t>
      </w:r>
      <w:r w:rsidR="00923E72">
        <w:rPr>
          <w:bCs/>
          <w:lang w:val="fr-FR"/>
        </w:rPr>
        <w:t>’</w:t>
      </w:r>
      <w:r w:rsidR="00FF73E0">
        <w:rPr>
          <w:bCs/>
          <w:lang w:val="fr-FR"/>
        </w:rPr>
        <w:t xml:space="preserve">autre </w:t>
      </w:r>
      <w:r w:rsidRPr="00060604">
        <w:rPr>
          <w:bCs/>
          <w:lang w:val="fr-FR"/>
        </w:rPr>
        <w:t xml:space="preserve">de la frontière </w:t>
      </w:r>
      <w:r w:rsidR="00FF73E0">
        <w:rPr>
          <w:bCs/>
          <w:lang w:val="fr-FR"/>
        </w:rPr>
        <w:t>avai</w:t>
      </w:r>
      <w:r w:rsidR="00D97369">
        <w:rPr>
          <w:bCs/>
          <w:lang w:val="fr-FR"/>
        </w:rPr>
        <w:t>en</w:t>
      </w:r>
      <w:r w:rsidR="00FF73E0">
        <w:rPr>
          <w:bCs/>
          <w:lang w:val="fr-FR"/>
        </w:rPr>
        <w:t xml:space="preserve">t </w:t>
      </w:r>
      <w:r w:rsidRPr="00060604">
        <w:rPr>
          <w:bCs/>
          <w:lang w:val="fr-FR"/>
        </w:rPr>
        <w:t>décidé de travailler ensemble pour</w:t>
      </w:r>
      <w:r w:rsidR="00FF73E0">
        <w:rPr>
          <w:bCs/>
          <w:lang w:val="fr-FR"/>
        </w:rPr>
        <w:t xml:space="preserve"> préserver</w:t>
      </w:r>
      <w:r w:rsidRPr="00060604">
        <w:rPr>
          <w:bCs/>
          <w:lang w:val="fr-FR"/>
        </w:rPr>
        <w:t>, transmettre et context</w:t>
      </w:r>
      <w:r w:rsidR="00FF73E0">
        <w:rPr>
          <w:bCs/>
          <w:lang w:val="fr-FR"/>
        </w:rPr>
        <w:t>ualiser</w:t>
      </w:r>
      <w:r w:rsidRPr="00060604">
        <w:rPr>
          <w:bCs/>
          <w:lang w:val="fr-FR"/>
        </w:rPr>
        <w:t xml:space="preserve"> la culture patrimoniale de leur région frontalière</w:t>
      </w:r>
      <w:r w:rsidR="00FF73E0">
        <w:rPr>
          <w:bCs/>
          <w:lang w:val="fr-FR"/>
        </w:rPr>
        <w:t xml:space="preserve"> afin de la</w:t>
      </w:r>
      <w:r w:rsidR="008F1294">
        <w:rPr>
          <w:bCs/>
          <w:lang w:val="fr-FR"/>
        </w:rPr>
        <w:t xml:space="preserve"> sauvegarder</w:t>
      </w:r>
      <w:r w:rsidRPr="00060604">
        <w:rPr>
          <w:bCs/>
          <w:lang w:val="fr-FR"/>
        </w:rPr>
        <w:t>. L</w:t>
      </w:r>
      <w:r w:rsidR="00923E72">
        <w:rPr>
          <w:bCs/>
          <w:lang w:val="fr-FR"/>
        </w:rPr>
        <w:t>’</w:t>
      </w:r>
      <w:r w:rsidRPr="00060604">
        <w:rPr>
          <w:bCs/>
          <w:lang w:val="fr-FR"/>
        </w:rPr>
        <w:t>Organe d</w:t>
      </w:r>
      <w:r w:rsidR="00923E72">
        <w:rPr>
          <w:bCs/>
          <w:lang w:val="fr-FR"/>
        </w:rPr>
        <w:t>’</w:t>
      </w:r>
      <w:r w:rsidRPr="00060604">
        <w:rPr>
          <w:bCs/>
          <w:lang w:val="fr-FR"/>
        </w:rPr>
        <w:t xml:space="preserve">évaluation avait estimé que la candidature </w:t>
      </w:r>
      <w:r w:rsidR="00FF73E0">
        <w:rPr>
          <w:bCs/>
          <w:lang w:val="fr-FR"/>
        </w:rPr>
        <w:t xml:space="preserve">constituait </w:t>
      </w:r>
      <w:r w:rsidRPr="00060604">
        <w:rPr>
          <w:bCs/>
          <w:lang w:val="fr-FR"/>
        </w:rPr>
        <w:t xml:space="preserve">un dossier bien préparé et bien </w:t>
      </w:r>
      <w:r w:rsidR="008F1294">
        <w:rPr>
          <w:bCs/>
          <w:lang w:val="fr-FR"/>
        </w:rPr>
        <w:t xml:space="preserve">rédigé </w:t>
      </w:r>
      <w:r w:rsidRPr="00060604">
        <w:rPr>
          <w:bCs/>
          <w:lang w:val="fr-FR"/>
        </w:rPr>
        <w:t>mettant en évidence</w:t>
      </w:r>
      <w:r w:rsidR="008C03E8">
        <w:rPr>
          <w:bCs/>
          <w:lang w:val="fr-FR"/>
        </w:rPr>
        <w:t xml:space="preserve"> la participation</w:t>
      </w:r>
      <w:r w:rsidRPr="00060604">
        <w:rPr>
          <w:bCs/>
          <w:lang w:val="fr-FR"/>
        </w:rPr>
        <w:t xml:space="preserve"> des communautés, des groupes et des individus </w:t>
      </w:r>
      <w:r w:rsidR="008C03E8">
        <w:rPr>
          <w:bCs/>
          <w:lang w:val="fr-FR"/>
        </w:rPr>
        <w:t xml:space="preserve">à </w:t>
      </w:r>
      <w:r w:rsidRPr="00060604">
        <w:rPr>
          <w:bCs/>
          <w:lang w:val="fr-FR"/>
        </w:rPr>
        <w:t xml:space="preserve">la sauvegarde du patrimoine culturel immatériel partagé </w:t>
      </w:r>
      <w:r w:rsidR="00FF73E0">
        <w:rPr>
          <w:bCs/>
          <w:lang w:val="fr-FR"/>
        </w:rPr>
        <w:t xml:space="preserve">pouvant se trouver au-delà </w:t>
      </w:r>
      <w:r w:rsidRPr="00060604">
        <w:rPr>
          <w:bCs/>
          <w:lang w:val="fr-FR"/>
        </w:rPr>
        <w:t>de</w:t>
      </w:r>
      <w:r w:rsidR="00FF73E0">
        <w:rPr>
          <w:bCs/>
          <w:lang w:val="fr-FR"/>
        </w:rPr>
        <w:t xml:space="preserve">s </w:t>
      </w:r>
      <w:r w:rsidRPr="00060604">
        <w:rPr>
          <w:bCs/>
          <w:lang w:val="fr-FR"/>
        </w:rPr>
        <w:t>frontière</w:t>
      </w:r>
      <w:r w:rsidR="00FF73E0">
        <w:rPr>
          <w:bCs/>
          <w:lang w:val="fr-FR"/>
        </w:rPr>
        <w:t>s</w:t>
      </w:r>
      <w:r w:rsidRPr="00060604">
        <w:rPr>
          <w:bCs/>
          <w:lang w:val="fr-FR"/>
        </w:rPr>
        <w:t>. L</w:t>
      </w:r>
      <w:r w:rsidR="00923E72">
        <w:rPr>
          <w:bCs/>
          <w:lang w:val="fr-FR"/>
        </w:rPr>
        <w:t>’</w:t>
      </w:r>
      <w:r w:rsidRPr="00060604">
        <w:rPr>
          <w:bCs/>
          <w:lang w:val="fr-FR"/>
        </w:rPr>
        <w:t>Organe d</w:t>
      </w:r>
      <w:r w:rsidR="00923E72">
        <w:rPr>
          <w:bCs/>
          <w:lang w:val="fr-FR"/>
        </w:rPr>
        <w:t>’</w:t>
      </w:r>
      <w:r w:rsidRPr="00060604">
        <w:rPr>
          <w:bCs/>
          <w:lang w:val="fr-FR"/>
        </w:rPr>
        <w:t>évaluation recommandait de l</w:t>
      </w:r>
      <w:r w:rsidR="00FF73E0">
        <w:rPr>
          <w:bCs/>
          <w:lang w:val="fr-FR"/>
        </w:rPr>
        <w:t xml:space="preserve">a </w:t>
      </w:r>
      <w:r w:rsidRPr="00060604">
        <w:rPr>
          <w:bCs/>
          <w:lang w:val="fr-FR"/>
        </w:rPr>
        <w:t>sélectionner en tant que programme, projet ou activité reflétant le mieux les principes et objectifs de la Convention.</w:t>
      </w:r>
    </w:p>
    <w:p w14:paraId="41647084" w14:textId="74702792" w:rsidR="00FF73E0" w:rsidRPr="00702497" w:rsidRDefault="00FF73E0"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C8733E">
        <w:rPr>
          <w:rFonts w:eastAsia="Malgun Gothic"/>
          <w:bCs/>
          <w:lang w:val="fr-FR"/>
        </w:rPr>
        <w:t>Constatant qu</w:t>
      </w:r>
      <w:r w:rsidR="00923E72">
        <w:rPr>
          <w:rFonts w:eastAsia="Malgun Gothic"/>
          <w:bCs/>
          <w:lang w:val="fr-FR"/>
        </w:rPr>
        <w:t>’</w:t>
      </w:r>
      <w:r w:rsidRPr="00C8733E">
        <w:rPr>
          <w:rFonts w:eastAsia="Malgun Gothic"/>
          <w:bCs/>
          <w:lang w:val="fr-FR"/>
        </w:rPr>
        <w:t>aucun amendement ou demande de débat n</w:t>
      </w:r>
      <w:r w:rsidR="00923E72">
        <w:rPr>
          <w:rFonts w:eastAsia="Malgun Gothic"/>
          <w:bCs/>
          <w:lang w:val="fr-FR"/>
        </w:rPr>
        <w:t>’</w:t>
      </w:r>
      <w:r w:rsidRPr="00C8733E">
        <w:rPr>
          <w:rFonts w:eastAsia="Malgun Gothic"/>
          <w:bCs/>
          <w:lang w:val="fr-FR"/>
        </w:rPr>
        <w:t>avait été reçu, l</w:t>
      </w:r>
      <w:r>
        <w:rPr>
          <w:rFonts w:eastAsia="Malgun Gothic"/>
          <w:bCs/>
          <w:lang w:val="fr-FR"/>
        </w:rPr>
        <w:t>a</w:t>
      </w:r>
      <w:r w:rsidRPr="00C8733E">
        <w:rPr>
          <w:rFonts w:eastAsia="Malgun Gothic"/>
          <w:bCs/>
          <w:lang w:val="fr-FR"/>
        </w:rPr>
        <w:t xml:space="preserve"> </w:t>
      </w:r>
      <w:r w:rsidRPr="00C8733E">
        <w:rPr>
          <w:rFonts w:eastAsia="Malgun Gothic"/>
          <w:b/>
          <w:lang w:val="fr-FR"/>
        </w:rPr>
        <w:t>Vice-Président</w:t>
      </w:r>
      <w:r>
        <w:rPr>
          <w:rFonts w:eastAsia="Malgun Gothic"/>
          <w:b/>
          <w:lang w:val="fr-FR"/>
        </w:rPr>
        <w:t>e</w:t>
      </w:r>
      <w:r w:rsidRPr="00C8733E">
        <w:rPr>
          <w:rFonts w:eastAsia="Malgun Gothic"/>
          <w:bCs/>
          <w:lang w:val="fr-FR"/>
        </w:rPr>
        <w:t xml:space="preserve"> est donc passé</w:t>
      </w:r>
      <w:r>
        <w:rPr>
          <w:rFonts w:eastAsia="Malgun Gothic"/>
          <w:bCs/>
          <w:lang w:val="fr-FR"/>
        </w:rPr>
        <w:t>e</w:t>
      </w:r>
      <w:r w:rsidRPr="00C8733E">
        <w:rPr>
          <w:rFonts w:eastAsia="Malgun Gothic"/>
          <w:bCs/>
          <w:lang w:val="fr-FR"/>
        </w:rPr>
        <w:t xml:space="preserve"> à l</w:t>
      </w:r>
      <w:r w:rsidR="00923E72">
        <w:rPr>
          <w:rFonts w:eastAsia="Malgun Gothic"/>
          <w:bCs/>
          <w:lang w:val="fr-FR"/>
        </w:rPr>
        <w:t>’</w:t>
      </w:r>
      <w:r w:rsidRPr="00C8733E">
        <w:rPr>
          <w:rFonts w:eastAsia="Malgun Gothic"/>
          <w:bCs/>
          <w:lang w:val="fr-FR"/>
        </w:rPr>
        <w:t>adoption du projet de décision dans son ensemble. En l</w:t>
      </w:r>
      <w:r w:rsidR="00923E72">
        <w:rPr>
          <w:rFonts w:eastAsia="Malgun Gothic"/>
          <w:bCs/>
          <w:lang w:val="fr-FR"/>
        </w:rPr>
        <w:t>’</w:t>
      </w:r>
      <w:r w:rsidRPr="00C8733E">
        <w:rPr>
          <w:rFonts w:eastAsia="Malgun Gothic"/>
          <w:bCs/>
          <w:lang w:val="fr-FR"/>
        </w:rPr>
        <w:t>absence de commentaires ou d</w:t>
      </w:r>
      <w:r w:rsidR="00923E72">
        <w:rPr>
          <w:rFonts w:eastAsia="Malgun Gothic"/>
          <w:bCs/>
          <w:lang w:val="fr-FR"/>
        </w:rPr>
        <w:t>’</w:t>
      </w:r>
      <w:r w:rsidRPr="00C8733E">
        <w:rPr>
          <w:rFonts w:eastAsia="Malgun Gothic"/>
          <w:bCs/>
          <w:lang w:val="fr-FR"/>
        </w:rPr>
        <w:t>objections, l</w:t>
      </w:r>
      <w:r>
        <w:rPr>
          <w:rFonts w:eastAsia="Malgun Gothic"/>
          <w:bCs/>
          <w:lang w:val="fr-FR"/>
        </w:rPr>
        <w:t xml:space="preserve">a </w:t>
      </w:r>
      <w:r>
        <w:rPr>
          <w:rFonts w:eastAsia="Malgun Gothic"/>
          <w:b/>
          <w:lang w:val="fr-FR"/>
        </w:rPr>
        <w:t>Vice-P</w:t>
      </w:r>
      <w:r w:rsidRPr="00C8733E">
        <w:rPr>
          <w:rFonts w:eastAsia="Malgun Gothic"/>
          <w:b/>
          <w:lang w:val="fr-FR"/>
        </w:rPr>
        <w:t>résident</w:t>
      </w:r>
      <w:r>
        <w:rPr>
          <w:rFonts w:eastAsia="Malgun Gothic"/>
          <w:b/>
          <w:lang w:val="fr-FR"/>
        </w:rPr>
        <w:t>e</w:t>
      </w:r>
      <w:r w:rsidRPr="00C8733E">
        <w:rPr>
          <w:rFonts w:eastAsia="Malgun Gothic"/>
          <w:b/>
          <w:lang w:val="fr-FR"/>
        </w:rPr>
        <w:t xml:space="preserve"> a déclaré adoptée la décision</w:t>
      </w:r>
      <w:r w:rsidR="00D97369">
        <w:rPr>
          <w:rFonts w:eastAsia="Malgun Gothic"/>
          <w:b/>
          <w:lang w:val="fr-FR"/>
        </w:rPr>
        <w:t> </w:t>
      </w:r>
      <w:r w:rsidR="00751FB1">
        <w:fldChar w:fldCharType="begin"/>
      </w:r>
      <w:r w:rsidR="00751FB1" w:rsidRPr="00751FB1">
        <w:rPr>
          <w:lang w:val="fr-FR"/>
        </w:rPr>
        <w:instrText>HYPERLINK "https://ich.unesco.org/fr/Decisions/17.COM/7.c.4"</w:instrText>
      </w:r>
      <w:r w:rsidR="00751FB1">
        <w:fldChar w:fldCharType="separate"/>
      </w:r>
      <w:r w:rsidRPr="006E3034">
        <w:rPr>
          <w:rStyle w:val="Hyperlink"/>
          <w:b/>
          <w:bCs/>
          <w:lang w:val="fr-FR"/>
        </w:rPr>
        <w:t>17.COM 7.c.4</w:t>
      </w:r>
      <w:r w:rsidR="00751FB1">
        <w:rPr>
          <w:rStyle w:val="Hyperlink"/>
          <w:b/>
          <w:bCs/>
          <w:lang w:val="fr-FR"/>
        </w:rPr>
        <w:fldChar w:fldCharType="end"/>
      </w:r>
      <w:r w:rsidRPr="006E3034">
        <w:rPr>
          <w:rStyle w:val="Hyperlink"/>
          <w:b/>
          <w:bCs/>
          <w:color w:val="auto"/>
          <w:u w:val="none"/>
          <w:lang w:val="fr-FR"/>
        </w:rPr>
        <w:t xml:space="preserve"> </w:t>
      </w:r>
      <w:r w:rsidRPr="00C8733E">
        <w:rPr>
          <w:rStyle w:val="Hyperlink"/>
          <w:b/>
          <w:bCs/>
          <w:color w:val="auto"/>
          <w:u w:val="none"/>
          <w:lang w:val="fr-FR"/>
        </w:rPr>
        <w:t>d</w:t>
      </w:r>
      <w:r>
        <w:rPr>
          <w:rStyle w:val="Hyperlink"/>
          <w:b/>
          <w:bCs/>
          <w:color w:val="auto"/>
          <w:u w:val="none"/>
          <w:lang w:val="fr-FR"/>
        </w:rPr>
        <w:t xml:space="preserve">e sélectionner </w:t>
      </w:r>
      <w:r w:rsidRPr="002A7036">
        <w:rPr>
          <w:b/>
          <w:lang w:val="fr-FR"/>
        </w:rPr>
        <w:t>le PCI frontalier luso-galicien : un modèle de sauvegarde créé par Ponte...</w:t>
      </w:r>
      <w:proofErr w:type="spellStart"/>
      <w:r w:rsidRPr="002A7036">
        <w:rPr>
          <w:b/>
          <w:lang w:val="fr-FR"/>
        </w:rPr>
        <w:t>nas</w:t>
      </w:r>
      <w:proofErr w:type="spellEnd"/>
      <w:r w:rsidRPr="002A7036">
        <w:rPr>
          <w:b/>
          <w:lang w:val="fr-FR"/>
        </w:rPr>
        <w:t xml:space="preserve"> ondas!</w:t>
      </w:r>
      <w:r w:rsidRPr="00060604">
        <w:rPr>
          <w:bCs/>
          <w:lang w:val="fr-FR"/>
        </w:rPr>
        <w:t xml:space="preserve"> </w:t>
      </w:r>
      <w:r>
        <w:rPr>
          <w:b/>
          <w:lang w:val="fr-FR"/>
        </w:rPr>
        <w:t xml:space="preserve">au Registre des bonnes pratiques de </w:t>
      </w:r>
      <w:r w:rsidRPr="00E14107">
        <w:rPr>
          <w:b/>
          <w:bCs/>
          <w:color w:val="000000" w:themeColor="text1"/>
          <w:lang w:val="fr-FR"/>
        </w:rPr>
        <w:t>sauvegarde</w:t>
      </w:r>
      <w:r>
        <w:rPr>
          <w:color w:val="000000" w:themeColor="text1"/>
          <w:lang w:val="fr-FR"/>
        </w:rPr>
        <w:t>.</w:t>
      </w:r>
    </w:p>
    <w:p w14:paraId="2C5C8B19" w14:textId="56F7657B" w:rsidR="00E02E18" w:rsidRPr="00702497" w:rsidRDefault="00E02E18" w:rsidP="00702497">
      <w:pPr>
        <w:pStyle w:val="Orateurengris"/>
        <w:spacing w:before="120"/>
        <w:ind w:left="709" w:hanging="709"/>
        <w:jc w:val="center"/>
        <w:rPr>
          <w:bCs/>
          <w:i/>
          <w:iCs/>
          <w:lang w:val="fr-FR"/>
        </w:rPr>
      </w:pPr>
      <w:r>
        <w:rPr>
          <w:bCs/>
          <w:i/>
          <w:iCs/>
          <w:lang w:val="fr-FR"/>
        </w:rPr>
        <w:t>[</w:t>
      </w:r>
      <w:r w:rsidRPr="002A7036">
        <w:rPr>
          <w:bCs/>
          <w:i/>
          <w:iCs/>
          <w:lang w:val="fr-FR"/>
        </w:rPr>
        <w:t xml:space="preserve">Une vidéo présentant le </w:t>
      </w:r>
      <w:r>
        <w:rPr>
          <w:bCs/>
          <w:i/>
          <w:iCs/>
          <w:lang w:val="fr-FR"/>
        </w:rPr>
        <w:t xml:space="preserve">projet </w:t>
      </w:r>
      <w:r w:rsidRPr="002A7036">
        <w:rPr>
          <w:bCs/>
          <w:i/>
          <w:iCs/>
          <w:lang w:val="fr-FR"/>
        </w:rPr>
        <w:t>a été diffusée]</w:t>
      </w:r>
    </w:p>
    <w:p w14:paraId="7924B03C" w14:textId="7D26E00D" w:rsidR="00FF73E0" w:rsidRDefault="00E02E18" w:rsidP="00702497">
      <w:pPr>
        <w:pStyle w:val="Orateurengris"/>
        <w:numPr>
          <w:ilvl w:val="0"/>
          <w:numId w:val="20"/>
        </w:numPr>
        <w:tabs>
          <w:tab w:val="clear" w:pos="567"/>
        </w:tabs>
        <w:spacing w:before="120"/>
        <w:ind w:left="709" w:hanging="709"/>
        <w:rPr>
          <w:bCs/>
          <w:lang w:val="fr-FR"/>
        </w:rPr>
      </w:pPr>
      <w:r w:rsidRPr="00E02E18">
        <w:rPr>
          <w:bCs/>
          <w:lang w:val="fr-FR"/>
        </w:rPr>
        <w:t xml:space="preserve">La délégation du </w:t>
      </w:r>
      <w:r w:rsidRPr="00702497">
        <w:rPr>
          <w:b/>
          <w:lang w:val="fr-FR"/>
        </w:rPr>
        <w:t>Portugal</w:t>
      </w:r>
      <w:r w:rsidRPr="00E02E18">
        <w:rPr>
          <w:bCs/>
          <w:lang w:val="fr-FR"/>
        </w:rPr>
        <w:t xml:space="preserve"> a adressé ses remerciements aux autorités du Maroc pour l</w:t>
      </w:r>
      <w:r>
        <w:rPr>
          <w:bCs/>
          <w:lang w:val="fr-FR"/>
        </w:rPr>
        <w:t xml:space="preserve">e </w:t>
      </w:r>
      <w:r w:rsidRPr="00E02E18">
        <w:rPr>
          <w:bCs/>
          <w:lang w:val="fr-FR"/>
        </w:rPr>
        <w:t xml:space="preserve">généreux </w:t>
      </w:r>
      <w:r>
        <w:rPr>
          <w:bCs/>
          <w:lang w:val="fr-FR"/>
        </w:rPr>
        <w:t xml:space="preserve">accueil </w:t>
      </w:r>
      <w:r w:rsidRPr="00E02E18">
        <w:rPr>
          <w:bCs/>
          <w:lang w:val="fr-FR"/>
        </w:rPr>
        <w:t>réservé aux participants ainsi que pour l</w:t>
      </w:r>
      <w:r w:rsidR="00923E72">
        <w:rPr>
          <w:bCs/>
          <w:lang w:val="fr-FR"/>
        </w:rPr>
        <w:t>’</w:t>
      </w:r>
      <w:r w:rsidRPr="00E02E18">
        <w:rPr>
          <w:bCs/>
          <w:lang w:val="fr-FR"/>
        </w:rPr>
        <w:t>excellente organisation de cette réunion. Elle a remercié l</w:t>
      </w:r>
      <w:r w:rsidR="00923E72">
        <w:rPr>
          <w:bCs/>
          <w:lang w:val="fr-FR"/>
        </w:rPr>
        <w:t>’</w:t>
      </w:r>
      <w:r w:rsidRPr="00E02E18">
        <w:rPr>
          <w:bCs/>
          <w:lang w:val="fr-FR"/>
        </w:rPr>
        <w:t>Organe d</w:t>
      </w:r>
      <w:r w:rsidR="00923E72">
        <w:rPr>
          <w:bCs/>
          <w:lang w:val="fr-FR"/>
        </w:rPr>
        <w:t>’</w:t>
      </w:r>
      <w:r w:rsidRPr="00E02E18">
        <w:rPr>
          <w:bCs/>
          <w:lang w:val="fr-FR"/>
        </w:rPr>
        <w:t>évaluation pour son travail approfondi sur tous les dossiers présentés pour inclusion dans le Registre au cours de cette session. Elle a expliqué que le projet Ponte...</w:t>
      </w:r>
      <w:proofErr w:type="spellStart"/>
      <w:r w:rsidRPr="00E02E18">
        <w:rPr>
          <w:bCs/>
          <w:lang w:val="fr-FR"/>
        </w:rPr>
        <w:t>nas</w:t>
      </w:r>
      <w:proofErr w:type="spellEnd"/>
      <w:r w:rsidRPr="00E02E18">
        <w:rPr>
          <w:bCs/>
          <w:lang w:val="fr-FR"/>
        </w:rPr>
        <w:t xml:space="preserve"> ondas! (Pont</w:t>
      </w:r>
      <w:r w:rsidR="007A1D9E">
        <w:rPr>
          <w:bCs/>
          <w:lang w:val="fr-FR"/>
        </w:rPr>
        <w:t>…</w:t>
      </w:r>
      <w:r w:rsidRPr="00E02E18">
        <w:rPr>
          <w:bCs/>
          <w:lang w:val="fr-FR"/>
        </w:rPr>
        <w:t>sur les vagues</w:t>
      </w:r>
      <w:r w:rsidR="007A1D9E">
        <w:rPr>
          <w:bCs/>
          <w:lang w:val="fr-FR"/>
        </w:rPr>
        <w:t> !</w:t>
      </w:r>
      <w:r w:rsidRPr="00E02E18">
        <w:rPr>
          <w:bCs/>
          <w:lang w:val="fr-FR"/>
        </w:rPr>
        <w:t>) est un projet transfrontalier</w:t>
      </w:r>
      <w:r w:rsidR="007A1D9E">
        <w:rPr>
          <w:bCs/>
          <w:lang w:val="fr-FR"/>
        </w:rPr>
        <w:t>,</w:t>
      </w:r>
      <w:r w:rsidRPr="00E02E18">
        <w:rPr>
          <w:bCs/>
          <w:lang w:val="fr-FR"/>
        </w:rPr>
        <w:t xml:space="preserve"> qui existe depuis plus de vingt-cinq ans</w:t>
      </w:r>
      <w:r>
        <w:rPr>
          <w:bCs/>
          <w:lang w:val="fr-FR"/>
        </w:rPr>
        <w:t xml:space="preserve">, auquel participent </w:t>
      </w:r>
      <w:r w:rsidRPr="00E02E18">
        <w:rPr>
          <w:bCs/>
          <w:lang w:val="fr-FR"/>
        </w:rPr>
        <w:t>environ 300 écoles dans la région transfrontalière du Minho</w:t>
      </w:r>
      <w:r w:rsidRPr="00E02E18">
        <w:rPr>
          <w:bCs/>
          <w:lang w:val="fr-FR"/>
        </w:rPr>
        <w:noBreakHyphen/>
        <w:t>Galice, qu</w:t>
      </w:r>
      <w:r w:rsidR="00923E72">
        <w:rPr>
          <w:bCs/>
          <w:lang w:val="fr-FR"/>
        </w:rPr>
        <w:t>’</w:t>
      </w:r>
      <w:r w:rsidRPr="00E02E18">
        <w:rPr>
          <w:bCs/>
          <w:lang w:val="fr-FR"/>
        </w:rPr>
        <w:t>il vise à promouvoir le patrimoine vivant de ces communautés dans les programmes scolaires et qu</w:t>
      </w:r>
      <w:r w:rsidR="00923E72">
        <w:rPr>
          <w:bCs/>
          <w:lang w:val="fr-FR"/>
        </w:rPr>
        <w:t>’</w:t>
      </w:r>
      <w:r w:rsidRPr="00E02E18">
        <w:rPr>
          <w:bCs/>
          <w:lang w:val="fr-FR"/>
        </w:rPr>
        <w:t>environ 5</w:t>
      </w:r>
      <w:r w:rsidR="00991346">
        <w:rPr>
          <w:bCs/>
          <w:lang w:val="fr-FR"/>
        </w:rPr>
        <w:t> </w:t>
      </w:r>
      <w:r w:rsidRPr="00E02E18">
        <w:rPr>
          <w:bCs/>
          <w:lang w:val="fr-FR"/>
        </w:rPr>
        <w:t>000 élèves et 3</w:t>
      </w:r>
      <w:r w:rsidR="00991346">
        <w:rPr>
          <w:bCs/>
          <w:lang w:val="fr-FR"/>
        </w:rPr>
        <w:t> </w:t>
      </w:r>
      <w:r w:rsidRPr="00E02E18">
        <w:rPr>
          <w:bCs/>
          <w:lang w:val="fr-FR"/>
        </w:rPr>
        <w:t>000</w:t>
      </w:r>
      <w:r w:rsidR="00991346">
        <w:rPr>
          <w:bCs/>
          <w:lang w:val="fr-FR"/>
        </w:rPr>
        <w:t xml:space="preserve"> </w:t>
      </w:r>
      <w:r w:rsidRPr="00E02E18">
        <w:rPr>
          <w:bCs/>
          <w:lang w:val="fr-FR"/>
        </w:rPr>
        <w:t>enseignants et leurs familles forment le noyau de ce projet</w:t>
      </w:r>
      <w:r w:rsidR="008F1294">
        <w:rPr>
          <w:bCs/>
          <w:lang w:val="fr-FR"/>
        </w:rPr>
        <w:t>,</w:t>
      </w:r>
      <w:r w:rsidRPr="00E02E18">
        <w:rPr>
          <w:bCs/>
          <w:lang w:val="fr-FR"/>
        </w:rPr>
        <w:t xml:space="preserve"> </w:t>
      </w:r>
      <w:r w:rsidR="008F1294">
        <w:rPr>
          <w:bCs/>
          <w:lang w:val="fr-FR"/>
        </w:rPr>
        <w:t>aux côtés des</w:t>
      </w:r>
      <w:r w:rsidRPr="00E02E18">
        <w:rPr>
          <w:bCs/>
          <w:lang w:val="fr-FR"/>
        </w:rPr>
        <w:t xml:space="preserve"> détenteurs et praticiens de ces traditions et </w:t>
      </w:r>
      <w:r w:rsidR="008F1294">
        <w:rPr>
          <w:bCs/>
          <w:lang w:val="fr-FR"/>
        </w:rPr>
        <w:t>d</w:t>
      </w:r>
      <w:r w:rsidRPr="00E02E18">
        <w:rPr>
          <w:bCs/>
          <w:lang w:val="fr-FR"/>
        </w:rPr>
        <w:t xml:space="preserve">es chercheurs, spécialistes et universités de la région. </w:t>
      </w:r>
      <w:r w:rsidR="00D23933">
        <w:rPr>
          <w:bCs/>
          <w:lang w:val="fr-FR"/>
        </w:rPr>
        <w:t>Elle a par ailleurs précisé que l</w:t>
      </w:r>
      <w:r w:rsidRPr="00E02E18">
        <w:rPr>
          <w:bCs/>
          <w:lang w:val="fr-FR"/>
        </w:rPr>
        <w:t xml:space="preserve">a participation des médias locaux, en particulier des stations de radio, </w:t>
      </w:r>
      <w:r w:rsidR="00D97369">
        <w:rPr>
          <w:bCs/>
          <w:lang w:val="fr-FR"/>
        </w:rPr>
        <w:t xml:space="preserve">était </w:t>
      </w:r>
      <w:r w:rsidRPr="00E02E18">
        <w:rPr>
          <w:bCs/>
          <w:lang w:val="fr-FR"/>
        </w:rPr>
        <w:t>un aspect très pertinent et très apprécié tout au long de ce projet</w:t>
      </w:r>
      <w:r w:rsidR="00D23933">
        <w:rPr>
          <w:bCs/>
          <w:lang w:val="fr-FR"/>
        </w:rPr>
        <w:t xml:space="preserve"> et que l</w:t>
      </w:r>
      <w:r w:rsidRPr="00E02E18">
        <w:rPr>
          <w:bCs/>
          <w:lang w:val="fr-FR"/>
        </w:rPr>
        <w:t xml:space="preserve">a préservation des traditions locales de génération en génération </w:t>
      </w:r>
      <w:r w:rsidR="00D97369">
        <w:rPr>
          <w:bCs/>
          <w:lang w:val="fr-FR"/>
        </w:rPr>
        <w:t xml:space="preserve">était </w:t>
      </w:r>
      <w:r w:rsidRPr="00E02E18">
        <w:rPr>
          <w:bCs/>
          <w:lang w:val="fr-FR"/>
        </w:rPr>
        <w:t>une constante de ce projet et devrait également être considérée comme un modèle de coopération transfrontalière</w:t>
      </w:r>
      <w:r w:rsidR="00D23933">
        <w:rPr>
          <w:bCs/>
          <w:lang w:val="fr-FR"/>
        </w:rPr>
        <w:t xml:space="preserve"> en associant </w:t>
      </w:r>
      <w:r w:rsidRPr="00E02E18">
        <w:rPr>
          <w:bCs/>
          <w:lang w:val="fr-FR"/>
        </w:rPr>
        <w:t>patrimoine vivant, programmes scolaires, diffusion de l</w:t>
      </w:r>
      <w:r w:rsidR="00923E72">
        <w:rPr>
          <w:bCs/>
          <w:lang w:val="fr-FR"/>
        </w:rPr>
        <w:t>’</w:t>
      </w:r>
      <w:r w:rsidRPr="00E02E18">
        <w:rPr>
          <w:bCs/>
          <w:lang w:val="fr-FR"/>
        </w:rPr>
        <w:t>information et médias sociaux et numériques. La délégation a remercié tous les responsables de ce projet.</w:t>
      </w:r>
    </w:p>
    <w:p w14:paraId="024AE645" w14:textId="26BEE22D" w:rsidR="00D23933" w:rsidRDefault="00D23933" w:rsidP="00702497">
      <w:pPr>
        <w:pStyle w:val="Orateurengris"/>
        <w:numPr>
          <w:ilvl w:val="0"/>
          <w:numId w:val="20"/>
        </w:numPr>
        <w:tabs>
          <w:tab w:val="clear" w:pos="567"/>
        </w:tabs>
        <w:spacing w:before="120"/>
        <w:ind w:left="709" w:hanging="709"/>
        <w:rPr>
          <w:bCs/>
          <w:lang w:val="fr-FR"/>
        </w:rPr>
      </w:pPr>
      <w:r w:rsidRPr="00D23933">
        <w:rPr>
          <w:bCs/>
          <w:lang w:val="fr-FR"/>
        </w:rPr>
        <w:t xml:space="preserve">Le </w:t>
      </w:r>
      <w:r w:rsidRPr="00702497">
        <w:rPr>
          <w:b/>
          <w:lang w:val="fr-FR"/>
        </w:rPr>
        <w:t xml:space="preserve">Directeur général de la </w:t>
      </w:r>
      <w:r>
        <w:rPr>
          <w:b/>
          <w:lang w:val="fr-FR"/>
        </w:rPr>
        <w:t>c</w:t>
      </w:r>
      <w:r w:rsidRPr="00702497">
        <w:rPr>
          <w:b/>
          <w:lang w:val="fr-FR"/>
        </w:rPr>
        <w:t>ulture de l</w:t>
      </w:r>
      <w:r w:rsidR="00923E72">
        <w:rPr>
          <w:b/>
          <w:lang w:val="fr-FR"/>
        </w:rPr>
        <w:t>’</w:t>
      </w:r>
      <w:r w:rsidRPr="00702497">
        <w:rPr>
          <w:b/>
          <w:lang w:val="fr-FR"/>
        </w:rPr>
        <w:t>Espagne</w:t>
      </w:r>
      <w:r w:rsidRPr="00D23933">
        <w:rPr>
          <w:bCs/>
          <w:lang w:val="fr-FR"/>
        </w:rPr>
        <w:t xml:space="preserve"> a remercié l</w:t>
      </w:r>
      <w:r w:rsidR="00923E72">
        <w:rPr>
          <w:bCs/>
          <w:lang w:val="fr-FR"/>
        </w:rPr>
        <w:t>’</w:t>
      </w:r>
      <w:r w:rsidRPr="00D23933">
        <w:rPr>
          <w:bCs/>
          <w:lang w:val="fr-FR"/>
        </w:rPr>
        <w:t>Organe d</w:t>
      </w:r>
      <w:r w:rsidR="00923E72">
        <w:rPr>
          <w:bCs/>
          <w:lang w:val="fr-FR"/>
        </w:rPr>
        <w:t>’</w:t>
      </w:r>
      <w:r w:rsidRPr="00D23933">
        <w:rPr>
          <w:bCs/>
          <w:lang w:val="fr-FR"/>
        </w:rPr>
        <w:t>évaluation et le Comité pour cette inscription qui réunit deux piliers essentiels de l</w:t>
      </w:r>
      <w:r w:rsidR="00923E72">
        <w:rPr>
          <w:bCs/>
          <w:lang w:val="fr-FR"/>
        </w:rPr>
        <w:t>’</w:t>
      </w:r>
      <w:r w:rsidRPr="00D23933">
        <w:rPr>
          <w:bCs/>
          <w:lang w:val="fr-FR"/>
        </w:rPr>
        <w:t>UNESCO, à savoir la culture et l</w:t>
      </w:r>
      <w:r w:rsidR="00923E72">
        <w:rPr>
          <w:bCs/>
          <w:lang w:val="fr-FR"/>
        </w:rPr>
        <w:t>’</w:t>
      </w:r>
      <w:r w:rsidRPr="00D23933">
        <w:rPr>
          <w:bCs/>
          <w:lang w:val="fr-FR"/>
        </w:rPr>
        <w:t>éducation, rappelant que ce projet est un projet transfrontalier et un pont entre l</w:t>
      </w:r>
      <w:r w:rsidR="00923E72">
        <w:rPr>
          <w:bCs/>
          <w:lang w:val="fr-FR"/>
        </w:rPr>
        <w:t>’</w:t>
      </w:r>
      <w:r w:rsidRPr="00D23933">
        <w:rPr>
          <w:bCs/>
          <w:lang w:val="fr-FR"/>
        </w:rPr>
        <w:t>Espagne et le Portugal, un pont continu de coopération et de collaboration, et que désormais, ils ne font plus qu</w:t>
      </w:r>
      <w:r w:rsidR="00923E72">
        <w:rPr>
          <w:bCs/>
          <w:lang w:val="fr-FR"/>
        </w:rPr>
        <w:t>’</w:t>
      </w:r>
      <w:r w:rsidRPr="00D23933">
        <w:rPr>
          <w:bCs/>
          <w:lang w:val="fr-FR"/>
        </w:rPr>
        <w:t>un.</w:t>
      </w:r>
    </w:p>
    <w:p w14:paraId="5BA279AB" w14:textId="27B4EEC3" w:rsidR="00D23933" w:rsidRDefault="00D23933" w:rsidP="00702497">
      <w:pPr>
        <w:pStyle w:val="Orateurengris"/>
        <w:numPr>
          <w:ilvl w:val="0"/>
          <w:numId w:val="20"/>
        </w:numPr>
        <w:tabs>
          <w:tab w:val="clear" w:pos="567"/>
        </w:tabs>
        <w:spacing w:before="120"/>
        <w:ind w:left="709" w:hanging="709"/>
        <w:rPr>
          <w:bCs/>
          <w:lang w:val="fr-FR"/>
        </w:rPr>
      </w:pPr>
      <w:r w:rsidRPr="00D23933">
        <w:rPr>
          <w:bCs/>
          <w:lang w:val="fr-FR"/>
        </w:rPr>
        <w:t xml:space="preserve">Le </w:t>
      </w:r>
      <w:r w:rsidRPr="00702497">
        <w:rPr>
          <w:b/>
          <w:lang w:val="fr-FR"/>
        </w:rPr>
        <w:t>représentant de la communauté en Espagne</w:t>
      </w:r>
      <w:r w:rsidRPr="00D23933">
        <w:rPr>
          <w:bCs/>
          <w:lang w:val="fr-FR"/>
        </w:rPr>
        <w:t xml:space="preserve"> a remercié le Comité et l</w:t>
      </w:r>
      <w:r w:rsidR="00923E72">
        <w:rPr>
          <w:bCs/>
          <w:lang w:val="fr-FR"/>
        </w:rPr>
        <w:t>’</w:t>
      </w:r>
      <w:r w:rsidRPr="00D23933">
        <w:rPr>
          <w:bCs/>
          <w:lang w:val="fr-FR"/>
        </w:rPr>
        <w:t>Organe d</w:t>
      </w:r>
      <w:r w:rsidR="00923E72">
        <w:rPr>
          <w:bCs/>
          <w:lang w:val="fr-FR"/>
        </w:rPr>
        <w:t>’</w:t>
      </w:r>
      <w:r w:rsidRPr="00D23933">
        <w:rPr>
          <w:bCs/>
          <w:lang w:val="fr-FR"/>
        </w:rPr>
        <w:t xml:space="preserve">évaluation pour cette inscription. Enseignant </w:t>
      </w:r>
      <w:r w:rsidR="00FF35F9">
        <w:rPr>
          <w:bCs/>
          <w:lang w:val="fr-FR"/>
        </w:rPr>
        <w:t xml:space="preserve">depuis </w:t>
      </w:r>
      <w:r>
        <w:rPr>
          <w:bCs/>
          <w:lang w:val="fr-FR"/>
        </w:rPr>
        <w:t>vingt</w:t>
      </w:r>
      <w:r w:rsidR="00D97369">
        <w:rPr>
          <w:bCs/>
          <w:lang w:val="fr-FR"/>
        </w:rPr>
        <w:noBreakHyphen/>
      </w:r>
      <w:r>
        <w:rPr>
          <w:bCs/>
          <w:lang w:val="fr-FR"/>
        </w:rPr>
        <w:t>sept</w:t>
      </w:r>
      <w:r w:rsidRPr="00D23933">
        <w:rPr>
          <w:bCs/>
          <w:lang w:val="fr-FR"/>
        </w:rPr>
        <w:t xml:space="preserve"> ans, il a évoqué le pont qui avait été créé à partir du patrimoine culturel immatériel des deux côtés de la frontière, donnant une voix aux jeunes d</w:t>
      </w:r>
      <w:r w:rsidR="00923E72">
        <w:rPr>
          <w:bCs/>
          <w:lang w:val="fr-FR"/>
        </w:rPr>
        <w:t>’</w:t>
      </w:r>
      <w:r w:rsidRPr="00D23933">
        <w:rPr>
          <w:bCs/>
          <w:lang w:val="fr-FR"/>
        </w:rPr>
        <w:t>Espagne et du Portugal. Il a remercié les communautés de détenteurs des deux côtés de la frontière. Il a rappelé que, depuis le Moyen Âge, ces communautés chan</w:t>
      </w:r>
      <w:r w:rsidR="00FF35F9">
        <w:rPr>
          <w:bCs/>
          <w:lang w:val="fr-FR"/>
        </w:rPr>
        <w:t>tent</w:t>
      </w:r>
      <w:r w:rsidRPr="00D23933">
        <w:rPr>
          <w:bCs/>
          <w:lang w:val="fr-FR"/>
        </w:rPr>
        <w:t xml:space="preserve"> des cantigas traditionnelles orales et qu</w:t>
      </w:r>
      <w:r w:rsidR="00923E72">
        <w:rPr>
          <w:bCs/>
          <w:lang w:val="fr-FR"/>
        </w:rPr>
        <w:t>’</w:t>
      </w:r>
      <w:r w:rsidRPr="00D23933">
        <w:rPr>
          <w:bCs/>
          <w:lang w:val="fr-FR"/>
        </w:rPr>
        <w:t>elles transm</w:t>
      </w:r>
      <w:r w:rsidR="00FF35F9">
        <w:rPr>
          <w:bCs/>
          <w:lang w:val="fr-FR"/>
        </w:rPr>
        <w:t>ettent</w:t>
      </w:r>
      <w:r w:rsidRPr="00D23933">
        <w:rPr>
          <w:bCs/>
          <w:lang w:val="fr-FR"/>
        </w:rPr>
        <w:t xml:space="preserve"> ce patrimoine culturel immatériel en impliquant de nombreuses générations. Le projet souhaitait avant tout partager son modèle avec le Comité et inviter d</w:t>
      </w:r>
      <w:r w:rsidR="00923E72">
        <w:rPr>
          <w:bCs/>
          <w:lang w:val="fr-FR"/>
        </w:rPr>
        <w:t>’</w:t>
      </w:r>
      <w:r w:rsidRPr="00D23933">
        <w:rPr>
          <w:bCs/>
          <w:lang w:val="fr-FR"/>
        </w:rPr>
        <w:t>autres pays à intégrer le modèle Ponte...</w:t>
      </w:r>
      <w:proofErr w:type="spellStart"/>
      <w:r w:rsidRPr="00D23933">
        <w:rPr>
          <w:bCs/>
          <w:lang w:val="fr-FR"/>
        </w:rPr>
        <w:t>nas</w:t>
      </w:r>
      <w:proofErr w:type="spellEnd"/>
      <w:r w:rsidRPr="00D23933">
        <w:rPr>
          <w:bCs/>
          <w:lang w:val="fr-FR"/>
        </w:rPr>
        <w:t xml:space="preserve"> ondas! dans leurs programmes.</w:t>
      </w:r>
    </w:p>
    <w:p w14:paraId="4F99F172" w14:textId="24990092" w:rsidR="00FF35F9" w:rsidRDefault="00FF35F9" w:rsidP="00702497">
      <w:pPr>
        <w:pStyle w:val="Orateurengris"/>
        <w:numPr>
          <w:ilvl w:val="0"/>
          <w:numId w:val="20"/>
        </w:numPr>
        <w:tabs>
          <w:tab w:val="clear" w:pos="567"/>
        </w:tabs>
        <w:spacing w:before="120"/>
        <w:ind w:left="709" w:hanging="709"/>
        <w:rPr>
          <w:bCs/>
          <w:lang w:val="fr-FR"/>
        </w:rPr>
      </w:pPr>
      <w:r w:rsidRPr="00FF35F9">
        <w:rPr>
          <w:bCs/>
          <w:lang w:val="fr-FR"/>
        </w:rPr>
        <w:t xml:space="preserve">La </w:t>
      </w:r>
      <w:r w:rsidRPr="00702497">
        <w:rPr>
          <w:b/>
          <w:lang w:val="fr-FR"/>
        </w:rPr>
        <w:t>représentante de l</w:t>
      </w:r>
      <w:r w:rsidR="00923E72">
        <w:rPr>
          <w:b/>
          <w:lang w:val="fr-FR"/>
        </w:rPr>
        <w:t>’</w:t>
      </w:r>
      <w:r w:rsidRPr="00702497">
        <w:rPr>
          <w:b/>
          <w:lang w:val="fr-FR"/>
        </w:rPr>
        <w:t>association Ponte...</w:t>
      </w:r>
      <w:proofErr w:type="spellStart"/>
      <w:r w:rsidRPr="00702497">
        <w:rPr>
          <w:b/>
          <w:lang w:val="fr-FR"/>
        </w:rPr>
        <w:t>nas</w:t>
      </w:r>
      <w:proofErr w:type="spellEnd"/>
      <w:r w:rsidRPr="00702497">
        <w:rPr>
          <w:b/>
          <w:lang w:val="fr-FR"/>
        </w:rPr>
        <w:t xml:space="preserve"> ondas!</w:t>
      </w:r>
      <w:r w:rsidRPr="00FF35F9">
        <w:rPr>
          <w:bCs/>
          <w:lang w:val="fr-FR"/>
        </w:rPr>
        <w:t xml:space="preserve"> </w:t>
      </w:r>
      <w:r w:rsidRPr="00702497">
        <w:rPr>
          <w:b/>
          <w:lang w:val="fr-FR"/>
        </w:rPr>
        <w:t>du Portugal</w:t>
      </w:r>
      <w:r w:rsidRPr="00FF35F9">
        <w:rPr>
          <w:bCs/>
          <w:lang w:val="fr-FR"/>
        </w:rPr>
        <w:t xml:space="preserve"> a salué tous les délégués et a remercié l</w:t>
      </w:r>
      <w:r w:rsidR="00923E72">
        <w:rPr>
          <w:bCs/>
          <w:lang w:val="fr-FR"/>
        </w:rPr>
        <w:t>’</w:t>
      </w:r>
      <w:r w:rsidRPr="00FF35F9">
        <w:rPr>
          <w:bCs/>
          <w:lang w:val="fr-FR"/>
        </w:rPr>
        <w:t>Organe d</w:t>
      </w:r>
      <w:r w:rsidR="00923E72">
        <w:rPr>
          <w:bCs/>
          <w:lang w:val="fr-FR"/>
        </w:rPr>
        <w:t>’</w:t>
      </w:r>
      <w:r w:rsidRPr="00FF35F9">
        <w:rPr>
          <w:bCs/>
          <w:lang w:val="fr-FR"/>
        </w:rPr>
        <w:t>évaluation pour l</w:t>
      </w:r>
      <w:r>
        <w:rPr>
          <w:bCs/>
          <w:lang w:val="fr-FR"/>
        </w:rPr>
        <w:t>a sélection</w:t>
      </w:r>
      <w:r w:rsidRPr="00FF35F9">
        <w:rPr>
          <w:bCs/>
          <w:lang w:val="fr-FR"/>
        </w:rPr>
        <w:t xml:space="preserve"> du modèle Ponte... </w:t>
      </w:r>
      <w:proofErr w:type="spellStart"/>
      <w:r w:rsidRPr="00FF35F9">
        <w:rPr>
          <w:bCs/>
          <w:lang w:val="fr-FR"/>
        </w:rPr>
        <w:t>nas</w:t>
      </w:r>
      <w:proofErr w:type="spellEnd"/>
      <w:r w:rsidRPr="00FF35F9">
        <w:rPr>
          <w:bCs/>
          <w:lang w:val="fr-FR"/>
        </w:rPr>
        <w:t xml:space="preserve"> onda</w:t>
      </w:r>
      <w:r>
        <w:rPr>
          <w:bCs/>
          <w:lang w:val="fr-FR"/>
        </w:rPr>
        <w:t>s</w:t>
      </w:r>
      <w:r w:rsidRPr="00FF35F9">
        <w:rPr>
          <w:bCs/>
          <w:lang w:val="fr-FR"/>
        </w:rPr>
        <w:t xml:space="preserve">! </w:t>
      </w:r>
      <w:r>
        <w:rPr>
          <w:bCs/>
          <w:lang w:val="fr-FR"/>
        </w:rPr>
        <w:t>au</w:t>
      </w:r>
      <w:r w:rsidRPr="00FF35F9">
        <w:rPr>
          <w:bCs/>
          <w:lang w:val="fr-FR"/>
        </w:rPr>
        <w:t xml:space="preserve"> Registre des bonnes pratiques, expliquant que la singularité de cette candidature réside dans le fait qu</w:t>
      </w:r>
      <w:r w:rsidR="00923E72">
        <w:rPr>
          <w:bCs/>
          <w:lang w:val="fr-FR"/>
        </w:rPr>
        <w:t>’</w:t>
      </w:r>
      <w:r w:rsidRPr="00FF35F9">
        <w:rPr>
          <w:bCs/>
          <w:lang w:val="fr-FR"/>
        </w:rPr>
        <w:t>elle est née dans les écoles du nord du Portugal et de la Galice et que le travail avec les élèves et les enseignants a permis de coopérer, de faire tomber les barrières et de renforcer les liens d</w:t>
      </w:r>
      <w:r w:rsidR="00923E72">
        <w:rPr>
          <w:bCs/>
          <w:lang w:val="fr-FR"/>
        </w:rPr>
        <w:t>’</w:t>
      </w:r>
      <w:r w:rsidRPr="00FF35F9">
        <w:rPr>
          <w:bCs/>
          <w:lang w:val="fr-FR"/>
        </w:rPr>
        <w:t>amitié et de respect mutuel. Le patrimoine d</w:t>
      </w:r>
      <w:r w:rsidR="00923E72">
        <w:rPr>
          <w:bCs/>
          <w:lang w:val="fr-FR"/>
        </w:rPr>
        <w:t>’</w:t>
      </w:r>
      <w:r w:rsidRPr="00FF35F9">
        <w:rPr>
          <w:bCs/>
          <w:lang w:val="fr-FR"/>
        </w:rPr>
        <w:t xml:space="preserve">un pays était le patrimoine de tous et devait donc être sauvegardé pour les nouvelles générations. Elle a remercié le </w:t>
      </w:r>
      <w:r w:rsidRPr="00FF35F9">
        <w:rPr>
          <w:bCs/>
          <w:lang w:val="fr-FR"/>
        </w:rPr>
        <w:lastRenderedPageBreak/>
        <w:t>Comité pour la confiance accordée</w:t>
      </w:r>
      <w:r w:rsidR="004908B0">
        <w:rPr>
          <w:bCs/>
          <w:lang w:val="fr-FR"/>
        </w:rPr>
        <w:t>,</w:t>
      </w:r>
      <w:r w:rsidRPr="00FF35F9">
        <w:rPr>
          <w:bCs/>
          <w:lang w:val="fr-FR"/>
        </w:rPr>
        <w:t xml:space="preserve"> et un remerciement tout particulier a été adr</w:t>
      </w:r>
      <w:r w:rsidR="009E068C">
        <w:rPr>
          <w:bCs/>
          <w:lang w:val="fr-FR"/>
        </w:rPr>
        <w:t>e</w:t>
      </w:r>
      <w:r w:rsidRPr="00FF35F9">
        <w:rPr>
          <w:bCs/>
          <w:lang w:val="fr-FR"/>
        </w:rPr>
        <w:t xml:space="preserve">ssé aux élèves et à tous ceux qui </w:t>
      </w:r>
      <w:r w:rsidR="00D97369">
        <w:rPr>
          <w:bCs/>
          <w:lang w:val="fr-FR"/>
        </w:rPr>
        <w:t xml:space="preserve">avaient </w:t>
      </w:r>
      <w:r w:rsidRPr="00FF35F9">
        <w:rPr>
          <w:bCs/>
          <w:lang w:val="fr-FR"/>
        </w:rPr>
        <w:t>collabor</w:t>
      </w:r>
      <w:r w:rsidR="00D97369">
        <w:rPr>
          <w:bCs/>
          <w:lang w:val="fr-FR"/>
        </w:rPr>
        <w:t>é</w:t>
      </w:r>
      <w:r w:rsidRPr="00FF35F9">
        <w:rPr>
          <w:bCs/>
          <w:lang w:val="fr-FR"/>
        </w:rPr>
        <w:t xml:space="preserve"> à ce projet.</w:t>
      </w:r>
    </w:p>
    <w:p w14:paraId="16505CA0" w14:textId="31A714F1" w:rsidR="009E068C" w:rsidRDefault="009E068C" w:rsidP="00702497">
      <w:pPr>
        <w:pStyle w:val="Orateurengris"/>
        <w:numPr>
          <w:ilvl w:val="0"/>
          <w:numId w:val="20"/>
        </w:numPr>
        <w:tabs>
          <w:tab w:val="clear" w:pos="567"/>
        </w:tabs>
        <w:spacing w:before="120"/>
        <w:ind w:left="709" w:hanging="709"/>
        <w:rPr>
          <w:bCs/>
          <w:lang w:val="fr-FR"/>
        </w:rPr>
      </w:pPr>
      <w:r w:rsidRPr="009E068C">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9E068C">
        <w:rPr>
          <w:bCs/>
          <w:lang w:val="fr-FR"/>
        </w:rPr>
        <w:t xml:space="preserve"> a présenté la </w:t>
      </w:r>
      <w:r>
        <w:rPr>
          <w:bCs/>
          <w:lang w:val="fr-FR"/>
        </w:rPr>
        <w:t xml:space="preserve">dernière </w:t>
      </w:r>
      <w:r w:rsidRPr="009E068C">
        <w:rPr>
          <w:bCs/>
          <w:lang w:val="fr-FR"/>
        </w:rPr>
        <w:t xml:space="preserve">proposition, </w:t>
      </w:r>
      <w:r w:rsidRPr="00702497">
        <w:rPr>
          <w:b/>
          <w:lang w:val="fr-FR"/>
        </w:rPr>
        <w:t>les Olympiades de</w:t>
      </w:r>
      <w:r>
        <w:rPr>
          <w:b/>
          <w:lang w:val="fr-FR"/>
        </w:rPr>
        <w:t xml:space="preserve"> </w:t>
      </w:r>
      <w:proofErr w:type="spellStart"/>
      <w:r w:rsidRPr="00702497">
        <w:rPr>
          <w:b/>
          <w:lang w:val="fr-FR"/>
        </w:rPr>
        <w:t>Nevesinje</w:t>
      </w:r>
      <w:proofErr w:type="spellEnd"/>
      <w:r w:rsidRPr="00702497">
        <w:rPr>
          <w:b/>
          <w:lang w:val="fr-FR"/>
        </w:rPr>
        <w:t xml:space="preserve">, jeux traditionnels </w:t>
      </w:r>
      <w:r w:rsidRPr="009E068C">
        <w:rPr>
          <w:bCs/>
          <w:lang w:val="fr-FR"/>
        </w:rPr>
        <w:t>[projet de décision</w:t>
      </w:r>
      <w:r w:rsidR="00D97369">
        <w:rPr>
          <w:bCs/>
          <w:lang w:val="fr-FR"/>
        </w:rPr>
        <w:t> </w:t>
      </w:r>
      <w:r w:rsidRPr="009E068C">
        <w:rPr>
          <w:bCs/>
          <w:lang w:val="fr-FR"/>
        </w:rPr>
        <w:t>7.c.5]</w:t>
      </w:r>
      <w:r w:rsidR="004908B0">
        <w:rPr>
          <w:bCs/>
          <w:lang w:val="fr-FR"/>
        </w:rPr>
        <w:t>,</w:t>
      </w:r>
      <w:r w:rsidRPr="009E068C">
        <w:rPr>
          <w:bCs/>
          <w:lang w:val="fr-FR"/>
        </w:rPr>
        <w:t xml:space="preserve"> soumise par la </w:t>
      </w:r>
      <w:r w:rsidRPr="00702497">
        <w:rPr>
          <w:b/>
          <w:lang w:val="fr-FR"/>
        </w:rPr>
        <w:t>Bosnie</w:t>
      </w:r>
      <w:r>
        <w:rPr>
          <w:b/>
          <w:lang w:val="fr-FR"/>
        </w:rPr>
        <w:noBreakHyphen/>
      </w:r>
      <w:r w:rsidRPr="00702497">
        <w:rPr>
          <w:b/>
          <w:lang w:val="fr-FR"/>
        </w:rPr>
        <w:t>Herzégovine</w:t>
      </w:r>
      <w:r w:rsidRPr="009E068C">
        <w:rPr>
          <w:bCs/>
          <w:lang w:val="fr-FR"/>
        </w:rPr>
        <w:t xml:space="preserve">, expliquant que le dossier </w:t>
      </w:r>
      <w:r>
        <w:rPr>
          <w:bCs/>
          <w:lang w:val="fr-FR"/>
        </w:rPr>
        <w:t xml:space="preserve">présente </w:t>
      </w:r>
      <w:r w:rsidRPr="009E068C">
        <w:rPr>
          <w:bCs/>
          <w:lang w:val="fr-FR"/>
        </w:rPr>
        <w:t>l</w:t>
      </w:r>
      <w:r>
        <w:rPr>
          <w:bCs/>
          <w:lang w:val="fr-FR"/>
        </w:rPr>
        <w:t>es Olympiades</w:t>
      </w:r>
      <w:r w:rsidRPr="009E068C">
        <w:rPr>
          <w:bCs/>
          <w:lang w:val="fr-FR"/>
        </w:rPr>
        <w:t xml:space="preserve"> de </w:t>
      </w:r>
      <w:proofErr w:type="spellStart"/>
      <w:r w:rsidRPr="009E068C">
        <w:rPr>
          <w:bCs/>
          <w:lang w:val="fr-FR"/>
        </w:rPr>
        <w:t>Nevesinje</w:t>
      </w:r>
      <w:proofErr w:type="spellEnd"/>
      <w:r w:rsidRPr="009E068C">
        <w:rPr>
          <w:bCs/>
          <w:lang w:val="fr-FR"/>
        </w:rPr>
        <w:t xml:space="preserve">, jeux traditionnels comme un </w:t>
      </w:r>
      <w:r>
        <w:rPr>
          <w:bCs/>
          <w:lang w:val="fr-FR"/>
        </w:rPr>
        <w:t xml:space="preserve">important rassemblement dédié aux </w:t>
      </w:r>
      <w:r w:rsidRPr="009E068C">
        <w:rPr>
          <w:bCs/>
          <w:lang w:val="fr-FR"/>
        </w:rPr>
        <w:t>sport</w:t>
      </w:r>
      <w:r>
        <w:rPr>
          <w:bCs/>
          <w:lang w:val="fr-FR"/>
        </w:rPr>
        <w:t>s</w:t>
      </w:r>
      <w:r w:rsidRPr="009E068C">
        <w:rPr>
          <w:bCs/>
          <w:lang w:val="fr-FR"/>
        </w:rPr>
        <w:t xml:space="preserve"> traditionnel</w:t>
      </w:r>
      <w:r>
        <w:rPr>
          <w:bCs/>
          <w:lang w:val="fr-FR"/>
        </w:rPr>
        <w:t>s,</w:t>
      </w:r>
      <w:r w:rsidRPr="009E068C">
        <w:rPr>
          <w:bCs/>
          <w:lang w:val="fr-FR"/>
        </w:rPr>
        <w:t xml:space="preserve"> organisé sur le territoire de la Bosnie-Herzégovine. L</w:t>
      </w:r>
      <w:r w:rsidR="00923E72">
        <w:rPr>
          <w:bCs/>
          <w:lang w:val="fr-FR"/>
        </w:rPr>
        <w:t>’</w:t>
      </w:r>
      <w:r w:rsidRPr="009E068C">
        <w:rPr>
          <w:bCs/>
          <w:lang w:val="fr-FR"/>
        </w:rPr>
        <w:t>Organe d</w:t>
      </w:r>
      <w:r w:rsidR="00923E72">
        <w:rPr>
          <w:bCs/>
          <w:lang w:val="fr-FR"/>
        </w:rPr>
        <w:t>’</w:t>
      </w:r>
      <w:r w:rsidRPr="009E068C">
        <w:rPr>
          <w:bCs/>
          <w:lang w:val="fr-FR"/>
        </w:rPr>
        <w:t>évaluation avait noté que le dossier ne décrivait pas un programme, un projet ou une activité spécifique, ni la manière dont les priorités étaient identifiées et établies, ni l</w:t>
      </w:r>
      <w:r w:rsidR="00923E72">
        <w:rPr>
          <w:bCs/>
          <w:lang w:val="fr-FR"/>
        </w:rPr>
        <w:t>’</w:t>
      </w:r>
      <w:r w:rsidRPr="009E068C">
        <w:rPr>
          <w:bCs/>
          <w:lang w:val="fr-FR"/>
        </w:rPr>
        <w:t xml:space="preserve">objet principal du programme ou du projet. Au lieu de cela, les </w:t>
      </w:r>
      <w:r>
        <w:rPr>
          <w:bCs/>
          <w:lang w:val="fr-FR"/>
        </w:rPr>
        <w:t xml:space="preserve">Olympiades </w:t>
      </w:r>
      <w:r w:rsidRPr="009E068C">
        <w:rPr>
          <w:bCs/>
          <w:lang w:val="fr-FR"/>
        </w:rPr>
        <w:t xml:space="preserve">de </w:t>
      </w:r>
      <w:proofErr w:type="spellStart"/>
      <w:r w:rsidRPr="009E068C">
        <w:rPr>
          <w:bCs/>
          <w:lang w:val="fr-FR"/>
        </w:rPr>
        <w:t>Nevesinje</w:t>
      </w:r>
      <w:proofErr w:type="spellEnd"/>
      <w:r w:rsidRPr="009E068C">
        <w:rPr>
          <w:bCs/>
          <w:lang w:val="fr-FR"/>
        </w:rPr>
        <w:t xml:space="preserve"> étaient décrit</w:t>
      </w:r>
      <w:r>
        <w:rPr>
          <w:bCs/>
          <w:lang w:val="fr-FR"/>
        </w:rPr>
        <w:t>e</w:t>
      </w:r>
      <w:r w:rsidRPr="009E068C">
        <w:rPr>
          <w:bCs/>
          <w:lang w:val="fr-FR"/>
        </w:rPr>
        <w:t xml:space="preserve">s comme un élément du patrimoine culturel immatériel et non comme un programme, un projet ou une activité pouvant servir de modèle pour la sauvegarde du patrimoine culturel immatériel en général. En outre, le dossier expliquait très clairement que les </w:t>
      </w:r>
      <w:r>
        <w:rPr>
          <w:bCs/>
          <w:lang w:val="fr-FR"/>
        </w:rPr>
        <w:t xml:space="preserve">Olympiades </w:t>
      </w:r>
      <w:r w:rsidRPr="009E068C">
        <w:rPr>
          <w:bCs/>
          <w:lang w:val="fr-FR"/>
        </w:rPr>
        <w:t xml:space="preserve">de </w:t>
      </w:r>
      <w:proofErr w:type="spellStart"/>
      <w:r w:rsidRPr="009E068C">
        <w:rPr>
          <w:bCs/>
          <w:lang w:val="fr-FR"/>
        </w:rPr>
        <w:t>Nevesinje</w:t>
      </w:r>
      <w:proofErr w:type="spellEnd"/>
      <w:r w:rsidRPr="009E068C">
        <w:rPr>
          <w:bCs/>
          <w:lang w:val="fr-FR"/>
        </w:rPr>
        <w:t xml:space="preserve"> seraient </w:t>
      </w:r>
      <w:r>
        <w:rPr>
          <w:bCs/>
          <w:lang w:val="fr-FR"/>
        </w:rPr>
        <w:t>« </w:t>
      </w:r>
      <w:r w:rsidRPr="009E068C">
        <w:rPr>
          <w:bCs/>
          <w:lang w:val="fr-FR"/>
        </w:rPr>
        <w:t>proposé</w:t>
      </w:r>
      <w:r>
        <w:rPr>
          <w:bCs/>
          <w:lang w:val="fr-FR"/>
        </w:rPr>
        <w:t>e</w:t>
      </w:r>
      <w:r w:rsidRPr="009E068C">
        <w:rPr>
          <w:bCs/>
          <w:lang w:val="fr-FR"/>
        </w:rPr>
        <w:t>s comme bonne pratique sur la Liste du patrimoine culturel immatériel de l</w:t>
      </w:r>
      <w:r w:rsidR="00923E72">
        <w:rPr>
          <w:bCs/>
          <w:lang w:val="fr-FR"/>
        </w:rPr>
        <w:t>’</w:t>
      </w:r>
      <w:r w:rsidRPr="009E068C">
        <w:rPr>
          <w:bCs/>
          <w:lang w:val="fr-FR"/>
        </w:rPr>
        <w:t>humanité de l</w:t>
      </w:r>
      <w:r w:rsidR="00923E72">
        <w:rPr>
          <w:bCs/>
          <w:lang w:val="fr-FR"/>
        </w:rPr>
        <w:t>’</w:t>
      </w:r>
      <w:r w:rsidRPr="009E068C">
        <w:rPr>
          <w:bCs/>
          <w:lang w:val="fr-FR"/>
        </w:rPr>
        <w:t>UNESCO</w:t>
      </w:r>
      <w:r>
        <w:rPr>
          <w:bCs/>
          <w:lang w:val="fr-FR"/>
        </w:rPr>
        <w:t> »</w:t>
      </w:r>
      <w:r w:rsidRPr="009E068C">
        <w:rPr>
          <w:bCs/>
          <w:lang w:val="fr-FR"/>
        </w:rPr>
        <w:t xml:space="preserve">, ce qui </w:t>
      </w:r>
      <w:r>
        <w:rPr>
          <w:bCs/>
          <w:lang w:val="fr-FR"/>
        </w:rPr>
        <w:t>était</w:t>
      </w:r>
      <w:r w:rsidRPr="009E068C">
        <w:rPr>
          <w:bCs/>
          <w:lang w:val="fr-FR"/>
        </w:rPr>
        <w:t xml:space="preserve"> en contradiction avec la candidature actuelle au Registre des bonnes pratiques de sauvegarde. En conclusion, l</w:t>
      </w:r>
      <w:r w:rsidR="00923E72">
        <w:rPr>
          <w:bCs/>
          <w:lang w:val="fr-FR"/>
        </w:rPr>
        <w:t>’</w:t>
      </w:r>
      <w:r w:rsidRPr="009E068C">
        <w:rPr>
          <w:bCs/>
          <w:lang w:val="fr-FR"/>
        </w:rPr>
        <w:t>Organe d</w:t>
      </w:r>
      <w:r w:rsidR="00923E72">
        <w:rPr>
          <w:bCs/>
          <w:lang w:val="fr-FR"/>
        </w:rPr>
        <w:t>’</w:t>
      </w:r>
      <w:r w:rsidRPr="009E068C">
        <w:rPr>
          <w:bCs/>
          <w:lang w:val="fr-FR"/>
        </w:rPr>
        <w:t>évaluation recommandait de ne pas sélectionner cette prop</w:t>
      </w:r>
      <w:r>
        <w:rPr>
          <w:bCs/>
          <w:lang w:val="fr-FR"/>
        </w:rPr>
        <w:t xml:space="preserve">osition </w:t>
      </w:r>
      <w:r w:rsidRPr="009E068C">
        <w:rPr>
          <w:bCs/>
          <w:lang w:val="fr-FR"/>
        </w:rPr>
        <w:t>en tant que programme, projet ou activité reflétant le mieux les principes et objectifs de la Convention et de le renvoyer à l</w:t>
      </w:r>
      <w:r w:rsidR="00923E72">
        <w:rPr>
          <w:bCs/>
          <w:lang w:val="fr-FR"/>
        </w:rPr>
        <w:t>’</w:t>
      </w:r>
      <w:r w:rsidRPr="009E068C">
        <w:rPr>
          <w:bCs/>
          <w:lang w:val="fr-FR"/>
        </w:rPr>
        <w:t>État soumissionnaire.</w:t>
      </w:r>
    </w:p>
    <w:p w14:paraId="378A64A3" w14:textId="37A8CEE9" w:rsidR="00F10A28" w:rsidRPr="00F10A28" w:rsidRDefault="00F10A28" w:rsidP="00702497">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F10A28">
        <w:rPr>
          <w:rFonts w:eastAsia="Malgun Gothic"/>
          <w:bCs/>
          <w:lang w:val="fr-FR"/>
        </w:rPr>
        <w:t>Constatant qu</w:t>
      </w:r>
      <w:r w:rsidR="00923E72">
        <w:rPr>
          <w:rFonts w:eastAsia="Malgun Gothic"/>
          <w:bCs/>
          <w:lang w:val="fr-FR"/>
        </w:rPr>
        <w:t>’</w:t>
      </w:r>
      <w:r w:rsidRPr="00F10A28">
        <w:rPr>
          <w:rFonts w:eastAsia="Malgun Gothic"/>
          <w:bCs/>
          <w:lang w:val="fr-FR"/>
        </w:rPr>
        <w:t>aucun amendement ou demande de débat n</w:t>
      </w:r>
      <w:r w:rsidR="00923E72">
        <w:rPr>
          <w:rFonts w:eastAsia="Malgun Gothic"/>
          <w:bCs/>
          <w:lang w:val="fr-FR"/>
        </w:rPr>
        <w:t>’</w:t>
      </w:r>
      <w:r w:rsidRPr="00F10A28">
        <w:rPr>
          <w:rFonts w:eastAsia="Malgun Gothic"/>
          <w:bCs/>
          <w:lang w:val="fr-FR"/>
        </w:rPr>
        <w:t xml:space="preserve">avait été reçu, la </w:t>
      </w:r>
      <w:r w:rsidRPr="00F10A28">
        <w:rPr>
          <w:rFonts w:eastAsia="Malgun Gothic"/>
          <w:b/>
          <w:lang w:val="fr-FR"/>
        </w:rPr>
        <w:t>Vice-Présidente</w:t>
      </w:r>
      <w:r w:rsidRPr="00F10A28">
        <w:rPr>
          <w:rFonts w:eastAsia="Malgun Gothic"/>
          <w:bCs/>
          <w:lang w:val="fr-FR"/>
        </w:rPr>
        <w:t xml:space="preserve"> est donc passée à l</w:t>
      </w:r>
      <w:r w:rsidR="00923E72">
        <w:rPr>
          <w:rFonts w:eastAsia="Malgun Gothic"/>
          <w:bCs/>
          <w:lang w:val="fr-FR"/>
        </w:rPr>
        <w:t>’</w:t>
      </w:r>
      <w:r w:rsidRPr="00F10A28">
        <w:rPr>
          <w:rFonts w:eastAsia="Malgun Gothic"/>
          <w:bCs/>
          <w:lang w:val="fr-FR"/>
        </w:rPr>
        <w:t>adoption du projet de décision dans son ensemble. En l</w:t>
      </w:r>
      <w:r w:rsidR="00923E72">
        <w:rPr>
          <w:rFonts w:eastAsia="Malgun Gothic"/>
          <w:bCs/>
          <w:lang w:val="fr-FR"/>
        </w:rPr>
        <w:t>’</w:t>
      </w:r>
      <w:r w:rsidRPr="00F10A28">
        <w:rPr>
          <w:rFonts w:eastAsia="Malgun Gothic"/>
          <w:bCs/>
          <w:lang w:val="fr-FR"/>
        </w:rPr>
        <w:t>absence de commentaires ou d</w:t>
      </w:r>
      <w:r w:rsidR="00923E72">
        <w:rPr>
          <w:rFonts w:eastAsia="Malgun Gothic"/>
          <w:bCs/>
          <w:lang w:val="fr-FR"/>
        </w:rPr>
        <w:t>’</w:t>
      </w:r>
      <w:r w:rsidRPr="00F10A28">
        <w:rPr>
          <w:rFonts w:eastAsia="Malgun Gothic"/>
          <w:bCs/>
          <w:lang w:val="fr-FR"/>
        </w:rPr>
        <w:t xml:space="preserve">objections, la </w:t>
      </w:r>
      <w:r w:rsidRPr="00F10A28">
        <w:rPr>
          <w:rFonts w:eastAsia="Malgun Gothic"/>
          <w:b/>
          <w:lang w:val="fr-FR"/>
        </w:rPr>
        <w:t>Vice-Présidente a déclaré adoptée la décision</w:t>
      </w:r>
      <w:r w:rsidR="00453330">
        <w:rPr>
          <w:rFonts w:eastAsia="Malgun Gothic"/>
          <w:b/>
          <w:lang w:val="fr-FR"/>
        </w:rPr>
        <w:t> </w:t>
      </w:r>
      <w:r w:rsidR="00751FB1">
        <w:fldChar w:fldCharType="begin"/>
      </w:r>
      <w:r w:rsidR="00751FB1" w:rsidRPr="00751FB1">
        <w:rPr>
          <w:lang w:val="fr-FR"/>
        </w:rPr>
        <w:instrText>HYPERLINK "https://ich.unesco.org/fr/Decisions/17.COM/7.c.5"</w:instrText>
      </w:r>
      <w:r w:rsidR="00751FB1">
        <w:fldChar w:fldCharType="separate"/>
      </w:r>
      <w:r w:rsidRPr="006E3034">
        <w:rPr>
          <w:rStyle w:val="Hyperlink"/>
          <w:b/>
          <w:bCs/>
          <w:lang w:val="fr-FR"/>
        </w:rPr>
        <w:t>17.COM 7.c.5</w:t>
      </w:r>
      <w:r w:rsidR="00751FB1">
        <w:rPr>
          <w:rStyle w:val="Hyperlink"/>
          <w:b/>
          <w:bCs/>
          <w:lang w:val="fr-FR"/>
        </w:rPr>
        <w:fldChar w:fldCharType="end"/>
      </w:r>
      <w:r w:rsidRPr="006E3034">
        <w:rPr>
          <w:rStyle w:val="Hyperlink"/>
          <w:b/>
          <w:bCs/>
          <w:color w:val="auto"/>
          <w:u w:val="none"/>
          <w:lang w:val="fr-FR"/>
        </w:rPr>
        <w:t xml:space="preserve"> </w:t>
      </w:r>
      <w:r w:rsidRPr="00F10A28">
        <w:rPr>
          <w:rStyle w:val="Hyperlink"/>
          <w:b/>
          <w:bCs/>
          <w:color w:val="auto"/>
          <w:u w:val="none"/>
          <w:lang w:val="fr-FR"/>
        </w:rPr>
        <w:t xml:space="preserve">de renvoyer </w:t>
      </w:r>
      <w:r w:rsidRPr="002A7036">
        <w:rPr>
          <w:b/>
          <w:lang w:val="fr-FR"/>
        </w:rPr>
        <w:t>les Olympiades de</w:t>
      </w:r>
      <w:r>
        <w:rPr>
          <w:b/>
          <w:lang w:val="fr-FR"/>
        </w:rPr>
        <w:t xml:space="preserve"> </w:t>
      </w:r>
      <w:proofErr w:type="spellStart"/>
      <w:r w:rsidRPr="002A7036">
        <w:rPr>
          <w:b/>
          <w:lang w:val="fr-FR"/>
        </w:rPr>
        <w:t>Nevesinje</w:t>
      </w:r>
      <w:proofErr w:type="spellEnd"/>
      <w:r w:rsidRPr="002A7036">
        <w:rPr>
          <w:b/>
          <w:lang w:val="fr-FR"/>
        </w:rPr>
        <w:t>, jeux traditionnels</w:t>
      </w:r>
      <w:r>
        <w:rPr>
          <w:b/>
          <w:lang w:val="fr-FR"/>
        </w:rPr>
        <w:t xml:space="preserve"> à l</w:t>
      </w:r>
      <w:r w:rsidR="00923E72">
        <w:rPr>
          <w:b/>
          <w:lang w:val="fr-FR"/>
        </w:rPr>
        <w:t>’</w:t>
      </w:r>
      <w:r>
        <w:rPr>
          <w:b/>
          <w:lang w:val="fr-FR"/>
        </w:rPr>
        <w:t>État soumissionnaire</w:t>
      </w:r>
      <w:r w:rsidRPr="00702497">
        <w:rPr>
          <w:bCs/>
          <w:lang w:val="fr-FR"/>
        </w:rPr>
        <w:t>.</w:t>
      </w:r>
    </w:p>
    <w:p w14:paraId="3EF44209" w14:textId="76C1155A" w:rsidR="009E068C" w:rsidRDefault="00F10A28" w:rsidP="00702497">
      <w:pPr>
        <w:pStyle w:val="Orateurengris"/>
        <w:numPr>
          <w:ilvl w:val="0"/>
          <w:numId w:val="20"/>
        </w:numPr>
        <w:tabs>
          <w:tab w:val="clear" w:pos="567"/>
        </w:tabs>
        <w:spacing w:before="120"/>
        <w:ind w:left="709" w:hanging="709"/>
        <w:rPr>
          <w:bCs/>
          <w:lang w:val="fr-FR"/>
        </w:rPr>
      </w:pPr>
      <w:r w:rsidRPr="00F10A28">
        <w:rPr>
          <w:bCs/>
          <w:lang w:val="fr-FR"/>
        </w:rPr>
        <w:t xml:space="preserve">La délégation de la </w:t>
      </w:r>
      <w:r w:rsidRPr="00702497">
        <w:rPr>
          <w:b/>
          <w:lang w:val="fr-FR"/>
        </w:rPr>
        <w:t>Bosnie</w:t>
      </w:r>
      <w:r w:rsidRPr="00702497">
        <w:rPr>
          <w:b/>
          <w:lang w:val="fr-FR"/>
        </w:rPr>
        <w:noBreakHyphen/>
        <w:t>Herzégovine</w:t>
      </w:r>
      <w:r w:rsidRPr="00F10A28">
        <w:rPr>
          <w:bCs/>
          <w:lang w:val="fr-FR"/>
        </w:rPr>
        <w:t xml:space="preserve"> a remercié l</w:t>
      </w:r>
      <w:r w:rsidR="00923E72">
        <w:rPr>
          <w:bCs/>
          <w:lang w:val="fr-FR"/>
        </w:rPr>
        <w:t>’</w:t>
      </w:r>
      <w:r w:rsidRPr="00F10A28">
        <w:rPr>
          <w:bCs/>
          <w:lang w:val="fr-FR"/>
        </w:rPr>
        <w:t>Organe d</w:t>
      </w:r>
      <w:r w:rsidR="00923E72">
        <w:rPr>
          <w:bCs/>
          <w:lang w:val="fr-FR"/>
        </w:rPr>
        <w:t>’</w:t>
      </w:r>
      <w:r w:rsidRPr="00F10A28">
        <w:rPr>
          <w:bCs/>
          <w:lang w:val="fr-FR"/>
        </w:rPr>
        <w:t>évaluation pour ses recommandations. Elle œuvrerait à l</w:t>
      </w:r>
      <w:r w:rsidR="00923E72">
        <w:rPr>
          <w:bCs/>
          <w:lang w:val="fr-FR"/>
        </w:rPr>
        <w:t>’</w:t>
      </w:r>
      <w:r w:rsidRPr="00F10A28">
        <w:rPr>
          <w:bCs/>
          <w:lang w:val="fr-FR"/>
        </w:rPr>
        <w:t>amélioration du dossier en collaboration avec ses experts, les détenteurs de l</w:t>
      </w:r>
      <w:r w:rsidR="00923E72">
        <w:rPr>
          <w:bCs/>
          <w:lang w:val="fr-FR"/>
        </w:rPr>
        <w:t>’</w:t>
      </w:r>
      <w:r w:rsidRPr="00F10A28">
        <w:rPr>
          <w:bCs/>
          <w:lang w:val="fr-FR"/>
        </w:rPr>
        <w:t>élément, les communautés locales et les ministères responsables afin de pouvoir soumettre à nouveau le dossier à l</w:t>
      </w:r>
      <w:r w:rsidR="00923E72">
        <w:rPr>
          <w:bCs/>
          <w:lang w:val="fr-FR"/>
        </w:rPr>
        <w:t>’</w:t>
      </w:r>
      <w:r w:rsidRPr="00F10A28">
        <w:rPr>
          <w:bCs/>
          <w:lang w:val="fr-FR"/>
        </w:rPr>
        <w:t>examen du Comité lors du cycle suivant. La délégation a assuré le Comité de son engagement en faveur de la mise en œuvre de la Convention.</w:t>
      </w:r>
    </w:p>
    <w:p w14:paraId="5A9630A2" w14:textId="685D20D1" w:rsidR="00F10A28" w:rsidRPr="00702497" w:rsidRDefault="00F10A28" w:rsidP="00702497">
      <w:pPr>
        <w:pStyle w:val="Marge"/>
        <w:keepNext/>
        <w:tabs>
          <w:tab w:val="clear" w:pos="567"/>
          <w:tab w:val="left" w:pos="709"/>
          <w:tab w:val="left" w:pos="1418"/>
          <w:tab w:val="left" w:pos="2126"/>
          <w:tab w:val="left" w:pos="2835"/>
        </w:tabs>
        <w:spacing w:before="360" w:after="60"/>
        <w:outlineLvl w:val="0"/>
        <w:rPr>
          <w:rFonts w:eastAsiaTheme="minorHAnsi" w:cs="Arial"/>
          <w:b/>
          <w:color w:val="000000" w:themeColor="text1"/>
          <w:szCs w:val="22"/>
        </w:rPr>
      </w:pPr>
      <w:r w:rsidRPr="00F10A28">
        <w:rPr>
          <w:rFonts w:eastAsiaTheme="minorHAnsi" w:cs="Arial"/>
          <w:b/>
          <w:color w:val="000000" w:themeColor="text1"/>
          <w:szCs w:val="22"/>
          <w:u w:val="single"/>
        </w:rPr>
        <w:t>POINT</w:t>
      </w:r>
      <w:r w:rsidR="0073323E">
        <w:rPr>
          <w:rFonts w:eastAsiaTheme="minorHAnsi" w:cs="Arial"/>
          <w:b/>
          <w:color w:val="000000" w:themeColor="text1"/>
          <w:szCs w:val="22"/>
          <w:u w:val="single"/>
        </w:rPr>
        <w:t> </w:t>
      </w:r>
      <w:r w:rsidRPr="00F10A28">
        <w:rPr>
          <w:rFonts w:eastAsiaTheme="minorHAnsi" w:cs="Arial"/>
          <w:b/>
          <w:color w:val="000000" w:themeColor="text1"/>
          <w:szCs w:val="22"/>
          <w:u w:val="single"/>
        </w:rPr>
        <w:t>7.d DE L</w:t>
      </w:r>
      <w:r w:rsidR="00923E72">
        <w:rPr>
          <w:rFonts w:eastAsiaTheme="minorHAnsi" w:cs="Arial"/>
          <w:b/>
          <w:color w:val="000000" w:themeColor="text1"/>
          <w:szCs w:val="22"/>
          <w:u w:val="single"/>
        </w:rPr>
        <w:t>’</w:t>
      </w:r>
      <w:r w:rsidRPr="00F10A28">
        <w:rPr>
          <w:rFonts w:eastAsiaTheme="minorHAnsi" w:cs="Arial"/>
          <w:b/>
          <w:color w:val="000000" w:themeColor="text1"/>
          <w:szCs w:val="22"/>
          <w:u w:val="single"/>
        </w:rPr>
        <w:t>ORDRE DU JOUR </w:t>
      </w:r>
      <w:r w:rsidRPr="00F10A28">
        <w:rPr>
          <w:rFonts w:eastAsiaTheme="minorHAnsi" w:cs="Arial"/>
          <w:b/>
          <w:color w:val="000000" w:themeColor="text1"/>
          <w:szCs w:val="22"/>
        </w:rPr>
        <w:t>:</w:t>
      </w:r>
    </w:p>
    <w:p w14:paraId="4ED4945D" w14:textId="57C0ED55" w:rsidR="00F10A28" w:rsidRPr="00F10A28" w:rsidRDefault="00F10A28"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F10A28">
        <w:rPr>
          <w:rFonts w:eastAsiaTheme="minorHAnsi"/>
          <w:b/>
          <w:color w:val="000000" w:themeColor="text1"/>
        </w:rPr>
        <w:t>EXAMEN DES DEMANDES D</w:t>
      </w:r>
      <w:r w:rsidR="00923E72">
        <w:rPr>
          <w:rFonts w:eastAsiaTheme="minorHAnsi"/>
          <w:b/>
          <w:color w:val="000000" w:themeColor="text1"/>
        </w:rPr>
        <w:t>’</w:t>
      </w:r>
      <w:r w:rsidRPr="00F10A28">
        <w:rPr>
          <w:rFonts w:eastAsiaTheme="minorHAnsi"/>
          <w:b/>
          <w:color w:val="000000" w:themeColor="text1"/>
        </w:rPr>
        <w:t xml:space="preserve">ASSISTANCE INTERNATIONALE </w:t>
      </w:r>
    </w:p>
    <w:p w14:paraId="4C4C81A3" w14:textId="0D8DDB22" w:rsidR="00F10A28" w:rsidRPr="00702497" w:rsidRDefault="00F10A28" w:rsidP="00702497">
      <w:pPr>
        <w:pStyle w:val="Orateurengris"/>
        <w:tabs>
          <w:tab w:val="clear" w:pos="709"/>
          <w:tab w:val="clear" w:pos="1418"/>
          <w:tab w:val="clear" w:pos="2126"/>
          <w:tab w:val="clear" w:pos="2835"/>
        </w:tabs>
        <w:spacing w:after="0"/>
        <w:ind w:left="567" w:firstLine="142"/>
        <w:rPr>
          <w:i/>
          <w:lang w:val="fr-FR"/>
        </w:rPr>
      </w:pPr>
      <w:r w:rsidRPr="00702497">
        <w:rPr>
          <w:b/>
          <w:color w:val="000000" w:themeColor="text1"/>
          <w:lang w:val="fr-FR"/>
        </w:rPr>
        <w:t>Document :</w:t>
      </w:r>
      <w:r w:rsidRPr="00702497">
        <w:rPr>
          <w:b/>
          <w:iCs/>
          <w:color w:val="000000" w:themeColor="text1"/>
          <w:lang w:val="fr-FR"/>
        </w:rPr>
        <w:tab/>
      </w:r>
      <w:r w:rsidR="00751FB1">
        <w:fldChar w:fldCharType="begin"/>
      </w:r>
      <w:r w:rsidR="00751FB1" w:rsidRPr="00751FB1">
        <w:rPr>
          <w:lang w:val="fr-FR"/>
        </w:rPr>
        <w:instrText>HYPERLINK "https://ich.unesco.org/doc/src/LHE-22-17.COM-7.d-FR.docx"</w:instrText>
      </w:r>
      <w:r w:rsidR="00751FB1">
        <w:fldChar w:fldCharType="separate"/>
      </w:r>
      <w:r w:rsidRPr="00702497">
        <w:rPr>
          <w:rStyle w:val="Hyperlink"/>
          <w:i/>
          <w:lang w:val="fr-FR"/>
        </w:rPr>
        <w:t>LHE/22/17.COM/7.d</w:t>
      </w:r>
      <w:r w:rsidR="00751FB1">
        <w:rPr>
          <w:rStyle w:val="Hyperlink"/>
          <w:i/>
          <w:lang w:val="fr-FR"/>
        </w:rPr>
        <w:fldChar w:fldCharType="end"/>
      </w:r>
    </w:p>
    <w:p w14:paraId="2E16197E" w14:textId="04164540" w:rsidR="00F10A28" w:rsidRPr="00702497" w:rsidRDefault="00F10A28" w:rsidP="00702497">
      <w:pPr>
        <w:pStyle w:val="Orateurengris"/>
        <w:tabs>
          <w:tab w:val="clear" w:pos="709"/>
          <w:tab w:val="clear" w:pos="1418"/>
          <w:tab w:val="clear" w:pos="2126"/>
          <w:tab w:val="clear" w:pos="2835"/>
        </w:tabs>
        <w:spacing w:after="240"/>
        <w:ind w:left="567"/>
        <w:rPr>
          <w:b/>
          <w:color w:val="000000" w:themeColor="text1"/>
          <w:lang w:val="fr-FR"/>
        </w:rPr>
      </w:pPr>
      <w:r w:rsidRPr="00702497">
        <w:rPr>
          <w:b/>
          <w:color w:val="000000" w:themeColor="text1"/>
          <w:lang w:val="fr-FR"/>
        </w:rPr>
        <w:t xml:space="preserve"> </w:t>
      </w:r>
      <w:r w:rsidRPr="00702497">
        <w:rPr>
          <w:b/>
          <w:color w:val="000000" w:themeColor="text1"/>
          <w:lang w:val="fr-FR"/>
        </w:rPr>
        <w:tab/>
      </w:r>
      <w:r w:rsidRPr="00702497">
        <w:rPr>
          <w:b/>
          <w:color w:val="000000" w:themeColor="text1"/>
          <w:lang w:val="fr-FR"/>
        </w:rPr>
        <w:tab/>
      </w:r>
      <w:r w:rsidRPr="00702497">
        <w:rPr>
          <w:b/>
          <w:color w:val="000000" w:themeColor="text1"/>
          <w:lang w:val="fr-FR"/>
        </w:rPr>
        <w:tab/>
      </w:r>
      <w:r w:rsidRPr="00702497">
        <w:rPr>
          <w:i/>
          <w:color w:val="000000" w:themeColor="text1"/>
          <w:lang w:val="fr-FR"/>
        </w:rPr>
        <w:t>Voir</w:t>
      </w:r>
      <w:r w:rsidR="00453330">
        <w:rPr>
          <w:i/>
          <w:color w:val="000000" w:themeColor="text1"/>
          <w:lang w:val="fr-FR"/>
        </w:rPr>
        <w:t xml:space="preserve"> la</w:t>
      </w:r>
      <w:r w:rsidRPr="00702497">
        <w:rPr>
          <w:i/>
          <w:color w:val="000000" w:themeColor="text1"/>
          <w:lang w:val="fr-FR"/>
        </w:rPr>
        <w:t xml:space="preserve"> </w:t>
      </w:r>
      <w:hyperlink r:id="rId76" w:history="1">
        <w:r w:rsidRPr="00702497">
          <w:rPr>
            <w:rStyle w:val="Hyperlink"/>
            <w:i/>
            <w:iCs/>
            <w:lang w:val="fr-FR"/>
          </w:rPr>
          <w:t>demande</w:t>
        </w:r>
      </w:hyperlink>
      <w:r w:rsidRPr="00702497">
        <w:rPr>
          <w:b/>
          <w:color w:val="000000" w:themeColor="text1"/>
          <w:lang w:val="fr-FR"/>
        </w:rPr>
        <w:tab/>
      </w:r>
    </w:p>
    <w:p w14:paraId="2BAB02C6" w14:textId="61F40F1C" w:rsidR="00F10A28" w:rsidRDefault="009A7747" w:rsidP="009E068C">
      <w:pPr>
        <w:pStyle w:val="Orateurengris"/>
        <w:numPr>
          <w:ilvl w:val="0"/>
          <w:numId w:val="20"/>
        </w:numPr>
        <w:tabs>
          <w:tab w:val="clear" w:pos="567"/>
        </w:tabs>
        <w:spacing w:before="120"/>
        <w:ind w:left="709" w:hanging="709"/>
        <w:rPr>
          <w:bCs/>
          <w:lang w:val="fr-FR"/>
        </w:rPr>
      </w:pPr>
      <w:r w:rsidRPr="009A7747">
        <w:rPr>
          <w:bCs/>
          <w:lang w:val="fr-FR"/>
        </w:rPr>
        <w:t xml:space="preserve">La </w:t>
      </w:r>
      <w:r w:rsidRPr="00702497">
        <w:rPr>
          <w:b/>
          <w:lang w:val="fr-FR"/>
        </w:rPr>
        <w:t>Vice-Présidente</w:t>
      </w:r>
      <w:r w:rsidRPr="009A7747">
        <w:rPr>
          <w:bCs/>
          <w:lang w:val="fr-FR"/>
        </w:rPr>
        <w:t xml:space="preserve"> a remercié la Bosnie-Herzégovine, notant que le Comité avait terminé l</w:t>
      </w:r>
      <w:r w:rsidR="00923E72">
        <w:rPr>
          <w:bCs/>
          <w:lang w:val="fr-FR"/>
        </w:rPr>
        <w:t>’</w:t>
      </w:r>
      <w:r w:rsidRPr="009A7747">
        <w:rPr>
          <w:bCs/>
          <w:lang w:val="fr-FR"/>
        </w:rPr>
        <w:t>examen des propositions soumises pour le Registre des bonnes pratiques au titre du point</w:t>
      </w:r>
      <w:r w:rsidR="00BA0D32">
        <w:rPr>
          <w:bCs/>
          <w:lang w:val="fr-FR"/>
        </w:rPr>
        <w:t> </w:t>
      </w:r>
      <w:r w:rsidRPr="009A7747">
        <w:rPr>
          <w:bCs/>
          <w:lang w:val="fr-FR"/>
        </w:rPr>
        <w:t>7.c de l</w:t>
      </w:r>
      <w:r w:rsidR="00923E72">
        <w:rPr>
          <w:bCs/>
          <w:lang w:val="fr-FR"/>
        </w:rPr>
        <w:t>’</w:t>
      </w:r>
      <w:r w:rsidRPr="009A7747">
        <w:rPr>
          <w:bCs/>
          <w:lang w:val="fr-FR"/>
        </w:rPr>
        <w:t>ordre du jour. Elle est ensuite passée au point</w:t>
      </w:r>
      <w:r w:rsidR="00BA0D32">
        <w:rPr>
          <w:bCs/>
          <w:lang w:val="fr-FR"/>
        </w:rPr>
        <w:t> </w:t>
      </w:r>
      <w:r w:rsidRPr="009A7747">
        <w:rPr>
          <w:bCs/>
          <w:lang w:val="fr-FR"/>
        </w:rPr>
        <w:t>7.d de l</w:t>
      </w:r>
      <w:r w:rsidR="00923E72">
        <w:rPr>
          <w:bCs/>
          <w:lang w:val="fr-FR"/>
        </w:rPr>
        <w:t>’</w:t>
      </w:r>
      <w:r w:rsidRPr="009A7747">
        <w:rPr>
          <w:bCs/>
          <w:lang w:val="fr-FR"/>
        </w:rPr>
        <w:t>ordre du jour</w:t>
      </w:r>
      <w:r>
        <w:rPr>
          <w:bCs/>
          <w:lang w:val="fr-FR"/>
        </w:rPr>
        <w:t xml:space="preserve">, </w:t>
      </w:r>
      <w:r w:rsidRPr="009A7747">
        <w:rPr>
          <w:bCs/>
          <w:lang w:val="fr-FR"/>
        </w:rPr>
        <w:t>l</w:t>
      </w:r>
      <w:r w:rsidR="00923E72">
        <w:rPr>
          <w:bCs/>
          <w:lang w:val="fr-FR"/>
        </w:rPr>
        <w:t>’</w:t>
      </w:r>
      <w:r w:rsidRPr="009A7747">
        <w:rPr>
          <w:bCs/>
          <w:lang w:val="fr-FR"/>
        </w:rPr>
        <w:t>examen des demandes d</w:t>
      </w:r>
      <w:r w:rsidR="00923E72">
        <w:rPr>
          <w:bCs/>
          <w:lang w:val="fr-FR"/>
        </w:rPr>
        <w:t>’</w:t>
      </w:r>
      <w:r w:rsidRPr="009A7747">
        <w:rPr>
          <w:bCs/>
          <w:lang w:val="fr-FR"/>
        </w:rPr>
        <w:t>assistance internationale</w:t>
      </w:r>
      <w:r w:rsidR="00BA0D32">
        <w:rPr>
          <w:bCs/>
          <w:lang w:val="fr-FR"/>
        </w:rPr>
        <w:t>,</w:t>
      </w:r>
      <w:r w:rsidRPr="009A7747">
        <w:rPr>
          <w:bCs/>
          <w:lang w:val="fr-FR"/>
        </w:rPr>
        <w:t xml:space="preserve"> </w:t>
      </w:r>
      <w:r>
        <w:rPr>
          <w:bCs/>
          <w:lang w:val="fr-FR"/>
        </w:rPr>
        <w:t xml:space="preserve">qui serait </w:t>
      </w:r>
      <w:r w:rsidRPr="009A7747">
        <w:rPr>
          <w:bCs/>
          <w:lang w:val="fr-FR"/>
        </w:rPr>
        <w:t>suivi du débat général concernant le rapport de l</w:t>
      </w:r>
      <w:r w:rsidR="00923E72">
        <w:rPr>
          <w:bCs/>
          <w:lang w:val="fr-FR"/>
        </w:rPr>
        <w:t>’</w:t>
      </w:r>
      <w:r w:rsidRPr="009A7747">
        <w:rPr>
          <w:bCs/>
          <w:lang w:val="fr-FR"/>
        </w:rPr>
        <w:t>Organe d</w:t>
      </w:r>
      <w:r w:rsidR="00923E72">
        <w:rPr>
          <w:bCs/>
          <w:lang w:val="fr-FR"/>
        </w:rPr>
        <w:t>’</w:t>
      </w:r>
      <w:r w:rsidRPr="009A7747">
        <w:rPr>
          <w:bCs/>
          <w:lang w:val="fr-FR"/>
        </w:rPr>
        <w:t>évaluation et de l</w:t>
      </w:r>
      <w:r w:rsidR="00923E72">
        <w:rPr>
          <w:bCs/>
          <w:lang w:val="fr-FR"/>
        </w:rPr>
        <w:t>’</w:t>
      </w:r>
      <w:r w:rsidRPr="009A7747">
        <w:rPr>
          <w:bCs/>
          <w:lang w:val="fr-FR"/>
        </w:rPr>
        <w:t>examen du projet de décision</w:t>
      </w:r>
      <w:r w:rsidR="00BA0D32">
        <w:rPr>
          <w:bCs/>
          <w:lang w:val="fr-FR"/>
        </w:rPr>
        <w:t> </w:t>
      </w:r>
      <w:r w:rsidRPr="009A7747">
        <w:rPr>
          <w:bCs/>
          <w:lang w:val="fr-FR"/>
        </w:rPr>
        <w:t>17.COM</w:t>
      </w:r>
      <w:r w:rsidR="00BA0D32">
        <w:rPr>
          <w:bCs/>
          <w:lang w:val="fr-FR"/>
        </w:rPr>
        <w:t> </w:t>
      </w:r>
      <w:r w:rsidRPr="009A7747">
        <w:rPr>
          <w:bCs/>
          <w:lang w:val="fr-FR"/>
        </w:rPr>
        <w:t>7. L</w:t>
      </w:r>
      <w:r w:rsidR="00923E72">
        <w:rPr>
          <w:bCs/>
          <w:lang w:val="fr-FR"/>
        </w:rPr>
        <w:t>’</w:t>
      </w:r>
      <w:r w:rsidRPr="009A7747">
        <w:rPr>
          <w:bCs/>
          <w:lang w:val="fr-FR"/>
        </w:rPr>
        <w:t xml:space="preserve">unique demande au titre de ce sous-point était présentée par le Malawi. La Vice-Présidente </w:t>
      </w:r>
      <w:r>
        <w:rPr>
          <w:bCs/>
          <w:lang w:val="fr-FR"/>
        </w:rPr>
        <w:t xml:space="preserve">a </w:t>
      </w:r>
      <w:r w:rsidRPr="009A7747">
        <w:rPr>
          <w:bCs/>
          <w:lang w:val="fr-FR"/>
        </w:rPr>
        <w:t>rappel</w:t>
      </w:r>
      <w:r>
        <w:rPr>
          <w:bCs/>
          <w:lang w:val="fr-FR"/>
        </w:rPr>
        <w:t>é</w:t>
      </w:r>
      <w:r w:rsidRPr="009A7747">
        <w:rPr>
          <w:bCs/>
          <w:lang w:val="fr-FR"/>
        </w:rPr>
        <w:t xml:space="preserve"> qu</w:t>
      </w:r>
      <w:r w:rsidR="00923E72">
        <w:rPr>
          <w:bCs/>
          <w:lang w:val="fr-FR"/>
        </w:rPr>
        <w:t>’</w:t>
      </w:r>
      <w:r w:rsidRPr="009A7747">
        <w:rPr>
          <w:bCs/>
          <w:lang w:val="fr-FR"/>
        </w:rPr>
        <w:t>il n</w:t>
      </w:r>
      <w:r w:rsidR="00923E72">
        <w:rPr>
          <w:bCs/>
          <w:lang w:val="fr-FR"/>
        </w:rPr>
        <w:t>’</w:t>
      </w:r>
      <w:r w:rsidRPr="009A7747">
        <w:rPr>
          <w:bCs/>
          <w:lang w:val="fr-FR"/>
        </w:rPr>
        <w:t>est pas nécessaire de satisfaire à chacun des critères pour accorder l</w:t>
      </w:r>
      <w:r w:rsidR="00923E72">
        <w:rPr>
          <w:bCs/>
          <w:lang w:val="fr-FR"/>
        </w:rPr>
        <w:t>’</w:t>
      </w:r>
      <w:r w:rsidRPr="009A7747">
        <w:rPr>
          <w:bCs/>
          <w:lang w:val="fr-FR"/>
        </w:rPr>
        <w:t>assistance internationale et qu</w:t>
      </w:r>
      <w:r w:rsidR="00923E72">
        <w:rPr>
          <w:bCs/>
          <w:lang w:val="fr-FR"/>
        </w:rPr>
        <w:t>’</w:t>
      </w:r>
      <w:r w:rsidRPr="009A7747">
        <w:rPr>
          <w:bCs/>
          <w:lang w:val="fr-FR"/>
        </w:rPr>
        <w:t>il est demandé au Comité d</w:t>
      </w:r>
      <w:r w:rsidR="00923E72">
        <w:rPr>
          <w:bCs/>
          <w:lang w:val="fr-FR"/>
        </w:rPr>
        <w:t>’</w:t>
      </w:r>
      <w:r w:rsidRPr="009A7747">
        <w:rPr>
          <w:bCs/>
          <w:lang w:val="fr-FR"/>
        </w:rPr>
        <w:t>évaluer dans quelle mesure cette demande satisfait à l</w:t>
      </w:r>
      <w:r w:rsidR="00923E72">
        <w:rPr>
          <w:bCs/>
          <w:lang w:val="fr-FR"/>
        </w:rPr>
        <w:t>’</w:t>
      </w:r>
      <w:r w:rsidRPr="009A7747">
        <w:rPr>
          <w:bCs/>
          <w:lang w:val="fr-FR"/>
        </w:rPr>
        <w:t>ensemble des critères.</w:t>
      </w:r>
    </w:p>
    <w:p w14:paraId="655D3F3D" w14:textId="4FFF0F5C" w:rsidR="009A7747" w:rsidRPr="00304A68" w:rsidRDefault="009A7747" w:rsidP="009E068C">
      <w:pPr>
        <w:pStyle w:val="Orateurengris"/>
        <w:numPr>
          <w:ilvl w:val="0"/>
          <w:numId w:val="20"/>
        </w:numPr>
        <w:tabs>
          <w:tab w:val="clear" w:pos="567"/>
        </w:tabs>
        <w:spacing w:before="120"/>
        <w:ind w:left="709" w:hanging="709"/>
        <w:rPr>
          <w:bCs/>
          <w:lang w:val="fr-FR"/>
        </w:rPr>
      </w:pPr>
      <w:r w:rsidRPr="00304A68">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304A68">
        <w:rPr>
          <w:bCs/>
          <w:lang w:val="fr-FR"/>
        </w:rPr>
        <w:t xml:space="preserve"> a présenté la demande, </w:t>
      </w:r>
      <w:r w:rsidRPr="00702497">
        <w:rPr>
          <w:b/>
          <w:lang w:val="fr-FR"/>
        </w:rPr>
        <w:t>la sauvegarde de la ludodiversité au Malawi par l</w:t>
      </w:r>
      <w:r w:rsidR="00923E72">
        <w:rPr>
          <w:b/>
          <w:lang w:val="fr-FR"/>
        </w:rPr>
        <w:t>’</w:t>
      </w:r>
      <w:r w:rsidRPr="00702497">
        <w:rPr>
          <w:b/>
          <w:lang w:val="fr-FR"/>
        </w:rPr>
        <w:t>éducation formelle et non formelle</w:t>
      </w:r>
      <w:r w:rsidRPr="00304A68">
        <w:rPr>
          <w:bCs/>
          <w:lang w:val="fr-FR"/>
        </w:rPr>
        <w:t xml:space="preserve"> [projet de décision</w:t>
      </w:r>
      <w:r w:rsidR="00BA0D32" w:rsidRPr="00304A68">
        <w:rPr>
          <w:bCs/>
          <w:lang w:val="fr-FR"/>
        </w:rPr>
        <w:t> </w:t>
      </w:r>
      <w:r w:rsidRPr="00304A68">
        <w:rPr>
          <w:bCs/>
          <w:lang w:val="fr-FR"/>
        </w:rPr>
        <w:t>7.d]</w:t>
      </w:r>
      <w:r w:rsidR="004908B0" w:rsidRPr="00304A68">
        <w:rPr>
          <w:bCs/>
          <w:lang w:val="fr-FR"/>
        </w:rPr>
        <w:t>,</w:t>
      </w:r>
      <w:r w:rsidRPr="00304A68">
        <w:rPr>
          <w:bCs/>
          <w:lang w:val="fr-FR"/>
        </w:rPr>
        <w:t xml:space="preserve"> soumise par le </w:t>
      </w:r>
      <w:r w:rsidRPr="00702497">
        <w:rPr>
          <w:b/>
          <w:lang w:val="fr-FR"/>
        </w:rPr>
        <w:t>Malawi</w:t>
      </w:r>
      <w:r w:rsidRPr="00304A68">
        <w:rPr>
          <w:bCs/>
          <w:lang w:val="fr-FR"/>
        </w:rPr>
        <w:t>. expliquant que l</w:t>
      </w:r>
      <w:r w:rsidR="00923E72">
        <w:rPr>
          <w:bCs/>
          <w:lang w:val="fr-FR"/>
        </w:rPr>
        <w:t>’</w:t>
      </w:r>
      <w:r w:rsidRPr="00304A68">
        <w:rPr>
          <w:bCs/>
          <w:lang w:val="fr-FR"/>
        </w:rPr>
        <w:t>objectif de ce projet triennal e</w:t>
      </w:r>
      <w:r w:rsidR="00BA0D32" w:rsidRPr="00304A68">
        <w:rPr>
          <w:bCs/>
          <w:lang w:val="fr-FR"/>
        </w:rPr>
        <w:t>st</w:t>
      </w:r>
      <w:r w:rsidRPr="00304A68">
        <w:rPr>
          <w:bCs/>
          <w:lang w:val="fr-FR"/>
        </w:rPr>
        <w:t xml:space="preserve"> de sauvegarder neuf jeux traditionnels par la mise en œuvre d</w:t>
      </w:r>
      <w:r w:rsidR="00923E72">
        <w:rPr>
          <w:bCs/>
          <w:lang w:val="fr-FR"/>
        </w:rPr>
        <w:t>’</w:t>
      </w:r>
      <w:r w:rsidRPr="00304A68">
        <w:rPr>
          <w:bCs/>
          <w:lang w:val="fr-FR"/>
        </w:rPr>
        <w:t>activités telles que la réalisation d</w:t>
      </w:r>
      <w:r w:rsidR="00923E72">
        <w:rPr>
          <w:bCs/>
          <w:lang w:val="fr-FR"/>
        </w:rPr>
        <w:t>’</w:t>
      </w:r>
      <w:r w:rsidRPr="00304A68">
        <w:rPr>
          <w:bCs/>
          <w:lang w:val="fr-FR"/>
        </w:rPr>
        <w:t>études, la documentation, l</w:t>
      </w:r>
      <w:r w:rsidR="00923E72">
        <w:rPr>
          <w:bCs/>
          <w:lang w:val="fr-FR"/>
        </w:rPr>
        <w:t>’</w:t>
      </w:r>
      <w:r w:rsidRPr="00304A68">
        <w:rPr>
          <w:bCs/>
          <w:lang w:val="fr-FR"/>
        </w:rPr>
        <w:t>amélioration des programmes</w:t>
      </w:r>
      <w:r w:rsidR="002C4CF9" w:rsidRPr="00304A68">
        <w:rPr>
          <w:bCs/>
          <w:lang w:val="fr-FR"/>
        </w:rPr>
        <w:t xml:space="preserve"> d</w:t>
      </w:r>
      <w:r w:rsidR="00923E72">
        <w:rPr>
          <w:bCs/>
          <w:lang w:val="fr-FR"/>
        </w:rPr>
        <w:t>’</w:t>
      </w:r>
      <w:r w:rsidR="002C4CF9" w:rsidRPr="00304A68">
        <w:rPr>
          <w:bCs/>
          <w:lang w:val="fr-FR"/>
        </w:rPr>
        <w:t>enseignement</w:t>
      </w:r>
      <w:r w:rsidRPr="00304A68">
        <w:rPr>
          <w:bCs/>
          <w:lang w:val="fr-FR"/>
        </w:rPr>
        <w:t>, l</w:t>
      </w:r>
      <w:r w:rsidR="00923E72">
        <w:rPr>
          <w:bCs/>
          <w:lang w:val="fr-FR"/>
        </w:rPr>
        <w:t>’</w:t>
      </w:r>
      <w:r w:rsidRPr="00304A68">
        <w:rPr>
          <w:bCs/>
          <w:lang w:val="fr-FR"/>
        </w:rPr>
        <w:t>apprentissage, la création de groupes et la sensibilisation. L</w:t>
      </w:r>
      <w:r w:rsidR="00923E72">
        <w:rPr>
          <w:bCs/>
          <w:lang w:val="fr-FR"/>
        </w:rPr>
        <w:t>’</w:t>
      </w:r>
      <w:r w:rsidRPr="00304A68">
        <w:rPr>
          <w:bCs/>
          <w:lang w:val="fr-FR"/>
        </w:rPr>
        <w:t>Organe d</w:t>
      </w:r>
      <w:r w:rsidR="00923E72">
        <w:rPr>
          <w:bCs/>
          <w:lang w:val="fr-FR"/>
        </w:rPr>
        <w:t>’</w:t>
      </w:r>
      <w:r w:rsidRPr="00304A68">
        <w:rPr>
          <w:bCs/>
          <w:lang w:val="fr-FR"/>
        </w:rPr>
        <w:t>évaluation avait estimé que le projet triennal</w:t>
      </w:r>
      <w:r w:rsidR="007A1D9E" w:rsidRPr="00304A68">
        <w:rPr>
          <w:bCs/>
          <w:lang w:val="fr-FR"/>
        </w:rPr>
        <w:t>,</w:t>
      </w:r>
      <w:r w:rsidR="002C4CF9" w:rsidRPr="00304A68">
        <w:rPr>
          <w:bCs/>
          <w:lang w:val="fr-FR"/>
        </w:rPr>
        <w:t xml:space="preserve"> qui serait </w:t>
      </w:r>
      <w:r w:rsidRPr="00304A68">
        <w:rPr>
          <w:bCs/>
          <w:lang w:val="fr-FR"/>
        </w:rPr>
        <w:t>mis en œuvre par la Commission nationale du Malawi pour l</w:t>
      </w:r>
      <w:r w:rsidR="00923E72">
        <w:rPr>
          <w:bCs/>
          <w:lang w:val="fr-FR"/>
        </w:rPr>
        <w:t>’</w:t>
      </w:r>
      <w:r w:rsidRPr="00304A68">
        <w:rPr>
          <w:bCs/>
          <w:lang w:val="fr-FR"/>
        </w:rPr>
        <w:t>UNESCO</w:t>
      </w:r>
      <w:r w:rsidR="007A1D9E" w:rsidRPr="00304A68">
        <w:rPr>
          <w:bCs/>
          <w:lang w:val="fr-FR"/>
        </w:rPr>
        <w:t>,</w:t>
      </w:r>
      <w:r w:rsidRPr="00304A68">
        <w:rPr>
          <w:bCs/>
          <w:lang w:val="fr-FR"/>
        </w:rPr>
        <w:t xml:space="preserve"> amélior</w:t>
      </w:r>
      <w:r w:rsidR="002C4CF9" w:rsidRPr="00304A68">
        <w:rPr>
          <w:bCs/>
          <w:lang w:val="fr-FR"/>
        </w:rPr>
        <w:t>erait</w:t>
      </w:r>
      <w:r w:rsidRPr="00304A68">
        <w:rPr>
          <w:bCs/>
          <w:lang w:val="fr-FR"/>
        </w:rPr>
        <w:t xml:space="preserve"> la viabilité de l</w:t>
      </w:r>
      <w:r w:rsidR="00923E72">
        <w:rPr>
          <w:bCs/>
          <w:lang w:val="fr-FR"/>
        </w:rPr>
        <w:t>’</w:t>
      </w:r>
      <w:r w:rsidRPr="00304A68">
        <w:rPr>
          <w:bCs/>
          <w:lang w:val="fr-FR"/>
        </w:rPr>
        <w:t>élément et du patrimoine vivant en général et renforc</w:t>
      </w:r>
      <w:r w:rsidR="002C4CF9" w:rsidRPr="00304A68">
        <w:rPr>
          <w:bCs/>
          <w:lang w:val="fr-FR"/>
        </w:rPr>
        <w:t>erait</w:t>
      </w:r>
      <w:r w:rsidRPr="00304A68">
        <w:rPr>
          <w:bCs/>
          <w:lang w:val="fr-FR"/>
        </w:rPr>
        <w:t xml:space="preserve"> la transmission parmi les jeunes. En conclusion, l</w:t>
      </w:r>
      <w:r w:rsidR="00923E72">
        <w:rPr>
          <w:bCs/>
          <w:lang w:val="fr-FR"/>
        </w:rPr>
        <w:t>’</w:t>
      </w:r>
      <w:r w:rsidRPr="00304A68">
        <w:rPr>
          <w:bCs/>
          <w:lang w:val="fr-FR"/>
        </w:rPr>
        <w:t>Organe d</w:t>
      </w:r>
      <w:r w:rsidR="00923E72">
        <w:rPr>
          <w:bCs/>
          <w:lang w:val="fr-FR"/>
        </w:rPr>
        <w:t>’</w:t>
      </w:r>
      <w:r w:rsidRPr="00304A68">
        <w:rPr>
          <w:bCs/>
          <w:lang w:val="fr-FR"/>
        </w:rPr>
        <w:t>évaluation recommandait d</w:t>
      </w:r>
      <w:r w:rsidR="00923E72">
        <w:rPr>
          <w:bCs/>
          <w:lang w:val="fr-FR"/>
        </w:rPr>
        <w:t>’</w:t>
      </w:r>
      <w:r w:rsidRPr="00304A68">
        <w:rPr>
          <w:bCs/>
          <w:lang w:val="fr-FR"/>
        </w:rPr>
        <w:t xml:space="preserve">approuver la demande </w:t>
      </w:r>
      <w:r w:rsidRPr="00304A68">
        <w:rPr>
          <w:bCs/>
          <w:lang w:val="fr-FR"/>
        </w:rPr>
        <w:lastRenderedPageBreak/>
        <w:t>d</w:t>
      </w:r>
      <w:r w:rsidR="00923E72">
        <w:rPr>
          <w:bCs/>
          <w:lang w:val="fr-FR"/>
        </w:rPr>
        <w:t>’</w:t>
      </w:r>
      <w:r w:rsidRPr="00304A68">
        <w:rPr>
          <w:bCs/>
          <w:lang w:val="fr-FR"/>
        </w:rPr>
        <w:t>assistance internationale soumise par le Malawi et d</w:t>
      </w:r>
      <w:r w:rsidR="00923E72">
        <w:rPr>
          <w:bCs/>
          <w:lang w:val="fr-FR"/>
        </w:rPr>
        <w:t>’</w:t>
      </w:r>
      <w:r w:rsidRPr="00304A68">
        <w:rPr>
          <w:bCs/>
          <w:lang w:val="fr-FR"/>
        </w:rPr>
        <w:t>accorder le montant demandé à l</w:t>
      </w:r>
      <w:r w:rsidR="00923E72">
        <w:rPr>
          <w:bCs/>
          <w:lang w:val="fr-FR"/>
        </w:rPr>
        <w:t>’</w:t>
      </w:r>
      <w:r w:rsidRPr="00304A68">
        <w:rPr>
          <w:bCs/>
          <w:lang w:val="fr-FR"/>
        </w:rPr>
        <w:t>État partie.</w:t>
      </w:r>
    </w:p>
    <w:p w14:paraId="2B842985" w14:textId="1DB4E367" w:rsidR="00BD60EA" w:rsidRPr="00304A68" w:rsidRDefault="00BD60EA" w:rsidP="00BD60EA">
      <w:pPr>
        <w:pStyle w:val="Orateurengris"/>
        <w:numPr>
          <w:ilvl w:val="0"/>
          <w:numId w:val="20"/>
        </w:numPr>
        <w:tabs>
          <w:tab w:val="clear" w:pos="567"/>
          <w:tab w:val="clear" w:pos="709"/>
          <w:tab w:val="clear" w:pos="1418"/>
          <w:tab w:val="clear" w:pos="2126"/>
          <w:tab w:val="clear" w:pos="2835"/>
          <w:tab w:val="left" w:pos="4962"/>
        </w:tabs>
        <w:spacing w:before="120" w:after="0"/>
        <w:ind w:left="709" w:hanging="709"/>
        <w:rPr>
          <w:rFonts w:eastAsia="Malgun Gothic"/>
          <w:bCs/>
          <w:lang w:val="fr-FR"/>
        </w:rPr>
      </w:pPr>
      <w:r w:rsidRPr="002A7036">
        <w:rPr>
          <w:rFonts w:eastAsia="Malgun Gothic"/>
          <w:bCs/>
          <w:lang w:val="fr-FR"/>
        </w:rPr>
        <w:t>Constatant qu</w:t>
      </w:r>
      <w:r w:rsidR="00923E72">
        <w:rPr>
          <w:rFonts w:eastAsia="Malgun Gothic"/>
          <w:bCs/>
          <w:lang w:val="fr-FR"/>
        </w:rPr>
        <w:t>’</w:t>
      </w:r>
      <w:r w:rsidRPr="002A7036">
        <w:rPr>
          <w:rFonts w:eastAsia="Malgun Gothic"/>
          <w:bCs/>
          <w:lang w:val="fr-FR"/>
        </w:rPr>
        <w:t>aucun amendement ou demande de débat n</w:t>
      </w:r>
      <w:r w:rsidR="00923E72">
        <w:rPr>
          <w:rFonts w:eastAsia="Malgun Gothic"/>
          <w:bCs/>
          <w:lang w:val="fr-FR"/>
        </w:rPr>
        <w:t>’</w:t>
      </w:r>
      <w:r w:rsidRPr="002A7036">
        <w:rPr>
          <w:rFonts w:eastAsia="Malgun Gothic"/>
          <w:bCs/>
          <w:lang w:val="fr-FR"/>
        </w:rPr>
        <w:t>avait été reçu</w:t>
      </w:r>
      <w:r>
        <w:rPr>
          <w:rFonts w:eastAsia="Malgun Gothic"/>
          <w:bCs/>
          <w:lang w:val="fr-FR"/>
        </w:rPr>
        <w:t xml:space="preserve">, </w:t>
      </w:r>
      <w:r w:rsidRPr="002A7036">
        <w:rPr>
          <w:rFonts w:eastAsia="Malgun Gothic"/>
          <w:bCs/>
          <w:lang w:val="fr-FR"/>
        </w:rPr>
        <w:t xml:space="preserve">la </w:t>
      </w:r>
      <w:r w:rsidRPr="002A7036">
        <w:rPr>
          <w:rFonts w:eastAsia="Malgun Gothic"/>
          <w:b/>
          <w:lang w:val="fr-FR"/>
        </w:rPr>
        <w:t>Vice-Présidente</w:t>
      </w:r>
      <w:r w:rsidRPr="002A7036">
        <w:rPr>
          <w:rFonts w:eastAsia="Malgun Gothic"/>
          <w:bCs/>
          <w:lang w:val="fr-FR"/>
        </w:rPr>
        <w:t xml:space="preserve"> est donc passée à l</w:t>
      </w:r>
      <w:r w:rsidR="00923E72">
        <w:rPr>
          <w:rFonts w:eastAsia="Malgun Gothic"/>
          <w:bCs/>
          <w:lang w:val="fr-FR"/>
        </w:rPr>
        <w:t>’</w:t>
      </w:r>
      <w:r w:rsidRPr="002A7036">
        <w:rPr>
          <w:rFonts w:eastAsia="Malgun Gothic"/>
          <w:bCs/>
          <w:lang w:val="fr-FR"/>
        </w:rPr>
        <w:t>adoption du projet de décision dans son ensemble. En l</w:t>
      </w:r>
      <w:r w:rsidR="00923E72">
        <w:rPr>
          <w:rFonts w:eastAsia="Malgun Gothic"/>
          <w:bCs/>
          <w:lang w:val="fr-FR"/>
        </w:rPr>
        <w:t>’</w:t>
      </w:r>
      <w:r w:rsidRPr="002A7036">
        <w:rPr>
          <w:rFonts w:eastAsia="Malgun Gothic"/>
          <w:bCs/>
          <w:lang w:val="fr-FR"/>
        </w:rPr>
        <w:t>absence de commentaires ou d</w:t>
      </w:r>
      <w:r w:rsidR="00923E72">
        <w:rPr>
          <w:rFonts w:eastAsia="Malgun Gothic"/>
          <w:bCs/>
          <w:lang w:val="fr-FR"/>
        </w:rPr>
        <w:t>’</w:t>
      </w:r>
      <w:r w:rsidRPr="002A7036">
        <w:rPr>
          <w:rFonts w:eastAsia="Malgun Gothic"/>
          <w:bCs/>
          <w:lang w:val="fr-FR"/>
        </w:rPr>
        <w:t xml:space="preserve">objections, la </w:t>
      </w:r>
      <w:r w:rsidRPr="002A7036">
        <w:rPr>
          <w:rFonts w:eastAsia="Malgun Gothic"/>
          <w:b/>
          <w:lang w:val="fr-FR"/>
        </w:rPr>
        <w:t>Vice-Présidente a déclaré adoptée la décision</w:t>
      </w:r>
      <w:r w:rsidR="00BA0D32">
        <w:rPr>
          <w:rFonts w:eastAsia="Malgun Gothic"/>
          <w:b/>
          <w:lang w:val="fr-FR"/>
        </w:rPr>
        <w:t> </w:t>
      </w:r>
      <w:r w:rsidR="00751FB1">
        <w:fldChar w:fldCharType="begin"/>
      </w:r>
      <w:r w:rsidR="00751FB1" w:rsidRPr="00751FB1">
        <w:rPr>
          <w:lang w:val="fr-FR"/>
        </w:rPr>
        <w:instrText>HYPERLINK "https://ich.unesco.org/fr/Decisions/17.COM/7.d"</w:instrText>
      </w:r>
      <w:r w:rsidR="00751FB1">
        <w:fldChar w:fldCharType="separate"/>
      </w:r>
      <w:r w:rsidR="00A748A4" w:rsidRPr="006E3034">
        <w:rPr>
          <w:rStyle w:val="Hyperlink"/>
          <w:b/>
          <w:bCs/>
          <w:lang w:val="fr-FR"/>
        </w:rPr>
        <w:t>17.COM 7.d</w:t>
      </w:r>
      <w:r w:rsidR="00751FB1">
        <w:rPr>
          <w:rStyle w:val="Hyperlink"/>
          <w:b/>
          <w:bCs/>
          <w:lang w:val="fr-FR"/>
        </w:rPr>
        <w:fldChar w:fldCharType="end"/>
      </w:r>
      <w:r w:rsidRPr="006E3034">
        <w:rPr>
          <w:rStyle w:val="Hyperlink"/>
          <w:b/>
          <w:bCs/>
          <w:color w:val="auto"/>
          <w:u w:val="none"/>
          <w:lang w:val="fr-FR"/>
        </w:rPr>
        <w:t xml:space="preserve"> </w:t>
      </w:r>
      <w:r w:rsidR="00A748A4" w:rsidRPr="00702497">
        <w:rPr>
          <w:rStyle w:val="Hyperlink"/>
          <w:b/>
          <w:bCs/>
          <w:color w:val="auto"/>
          <w:u w:val="none"/>
          <w:lang w:val="fr-FR"/>
        </w:rPr>
        <w:t>d</w:t>
      </w:r>
      <w:r w:rsidR="00923E72">
        <w:rPr>
          <w:rStyle w:val="Hyperlink"/>
          <w:b/>
          <w:bCs/>
          <w:color w:val="auto"/>
          <w:u w:val="none"/>
          <w:lang w:val="fr-FR"/>
        </w:rPr>
        <w:t>’</w:t>
      </w:r>
      <w:r w:rsidR="00304A68">
        <w:rPr>
          <w:rStyle w:val="Hyperlink"/>
          <w:b/>
          <w:bCs/>
          <w:color w:val="auto"/>
          <w:u w:val="none"/>
          <w:lang w:val="fr-FR"/>
        </w:rPr>
        <w:t>accorder l</w:t>
      </w:r>
      <w:r w:rsidR="00923E72">
        <w:rPr>
          <w:rStyle w:val="Hyperlink"/>
          <w:b/>
          <w:bCs/>
          <w:color w:val="auto"/>
          <w:u w:val="none"/>
          <w:lang w:val="fr-FR"/>
        </w:rPr>
        <w:t>’</w:t>
      </w:r>
      <w:r w:rsidR="00A748A4" w:rsidRPr="00304A68">
        <w:rPr>
          <w:rStyle w:val="Hyperlink"/>
          <w:b/>
          <w:bCs/>
          <w:color w:val="auto"/>
          <w:u w:val="none"/>
          <w:lang w:val="fr-FR"/>
        </w:rPr>
        <w:t>assistance internationale</w:t>
      </w:r>
      <w:r w:rsidR="00595527" w:rsidRPr="00304A68">
        <w:rPr>
          <w:rStyle w:val="Hyperlink"/>
          <w:b/>
          <w:bCs/>
          <w:color w:val="auto"/>
          <w:u w:val="none"/>
          <w:lang w:val="fr-FR"/>
        </w:rPr>
        <w:t xml:space="preserve"> </w:t>
      </w:r>
      <w:r w:rsidR="00304A68">
        <w:rPr>
          <w:rStyle w:val="Hyperlink"/>
          <w:b/>
          <w:bCs/>
          <w:color w:val="auto"/>
          <w:u w:val="none"/>
          <w:lang w:val="fr-FR"/>
        </w:rPr>
        <w:t>au</w:t>
      </w:r>
      <w:r w:rsidR="00595527" w:rsidRPr="00304A68">
        <w:rPr>
          <w:rStyle w:val="Hyperlink"/>
          <w:b/>
          <w:bCs/>
          <w:color w:val="auto"/>
          <w:u w:val="none"/>
          <w:lang w:val="fr-FR"/>
        </w:rPr>
        <w:t xml:space="preserve"> Malawi</w:t>
      </w:r>
      <w:r w:rsidR="00304A68" w:rsidRPr="00304A68">
        <w:rPr>
          <w:rStyle w:val="Hyperlink"/>
          <w:b/>
          <w:bCs/>
          <w:color w:val="auto"/>
          <w:u w:val="none"/>
          <w:lang w:val="fr-FR"/>
        </w:rPr>
        <w:t xml:space="preserve"> pour un montant de 305 144 dollars des États-Unis</w:t>
      </w:r>
      <w:r w:rsidR="00020931" w:rsidRPr="00304A68">
        <w:rPr>
          <w:rStyle w:val="Hyperlink"/>
          <w:b/>
          <w:bCs/>
          <w:color w:val="auto"/>
          <w:u w:val="none"/>
          <w:lang w:val="fr-FR"/>
        </w:rPr>
        <w:t>.</w:t>
      </w:r>
      <w:r w:rsidR="00A748A4" w:rsidRPr="00304A68">
        <w:rPr>
          <w:rStyle w:val="Hyperlink"/>
          <w:b/>
          <w:bCs/>
          <w:color w:val="auto"/>
          <w:u w:val="none"/>
          <w:lang w:val="fr-FR"/>
        </w:rPr>
        <w:t xml:space="preserve"> </w:t>
      </w:r>
    </w:p>
    <w:p w14:paraId="51AA60F0" w14:textId="757CE511" w:rsidR="00BD60EA" w:rsidRDefault="00517F08" w:rsidP="009E068C">
      <w:pPr>
        <w:pStyle w:val="Orateurengris"/>
        <w:numPr>
          <w:ilvl w:val="0"/>
          <w:numId w:val="20"/>
        </w:numPr>
        <w:tabs>
          <w:tab w:val="clear" w:pos="567"/>
        </w:tabs>
        <w:spacing w:before="120"/>
        <w:ind w:left="709" w:hanging="709"/>
        <w:rPr>
          <w:bCs/>
          <w:lang w:val="fr-FR"/>
        </w:rPr>
      </w:pPr>
      <w:r w:rsidRPr="00517F08">
        <w:rPr>
          <w:bCs/>
          <w:lang w:val="fr-FR"/>
        </w:rPr>
        <w:t xml:space="preserve">La </w:t>
      </w:r>
      <w:r w:rsidRPr="00702497">
        <w:rPr>
          <w:b/>
          <w:lang w:val="fr-FR"/>
        </w:rPr>
        <w:t>délégation du Malawi</w:t>
      </w:r>
      <w:r w:rsidRPr="00517F08">
        <w:rPr>
          <w:bCs/>
          <w:lang w:val="fr-FR"/>
        </w:rPr>
        <w:t xml:space="preserve"> s</w:t>
      </w:r>
      <w:r w:rsidR="00923E72">
        <w:rPr>
          <w:bCs/>
          <w:lang w:val="fr-FR"/>
        </w:rPr>
        <w:t>’</w:t>
      </w:r>
      <w:r w:rsidRPr="00517F08">
        <w:rPr>
          <w:bCs/>
          <w:lang w:val="fr-FR"/>
        </w:rPr>
        <w:t>est exprimée au nom du Gouvernement du Malawi et des communautés de praticiens pour remercier le Comité de son évaluation positive de sa demande d</w:t>
      </w:r>
      <w:r w:rsidR="00923E72">
        <w:rPr>
          <w:bCs/>
          <w:lang w:val="fr-FR"/>
        </w:rPr>
        <w:t>’</w:t>
      </w:r>
      <w:r w:rsidRPr="00517F08">
        <w:rPr>
          <w:bCs/>
          <w:lang w:val="fr-FR"/>
        </w:rPr>
        <w:t xml:space="preserve">assistance internationale </w:t>
      </w:r>
      <w:r>
        <w:rPr>
          <w:bCs/>
          <w:lang w:val="fr-FR"/>
        </w:rPr>
        <w:t xml:space="preserve">en faveur de </w:t>
      </w:r>
      <w:r w:rsidRPr="00517F08">
        <w:rPr>
          <w:bCs/>
          <w:lang w:val="fr-FR"/>
        </w:rPr>
        <w:t xml:space="preserve">la </w:t>
      </w:r>
      <w:r>
        <w:rPr>
          <w:bCs/>
          <w:lang w:val="fr-FR"/>
        </w:rPr>
        <w:t>s</w:t>
      </w:r>
      <w:r w:rsidRPr="00517F08">
        <w:rPr>
          <w:bCs/>
          <w:lang w:val="fr-FR"/>
        </w:rPr>
        <w:t>auvegarde de la ludodiversité au Malawi par l</w:t>
      </w:r>
      <w:r w:rsidR="00923E72">
        <w:rPr>
          <w:bCs/>
          <w:lang w:val="fr-FR"/>
        </w:rPr>
        <w:t>’</w:t>
      </w:r>
      <w:r w:rsidRPr="00517F08">
        <w:rPr>
          <w:bCs/>
          <w:lang w:val="fr-FR"/>
        </w:rPr>
        <w:t xml:space="preserve">éducation formelle et non formelle. </w:t>
      </w:r>
      <w:r>
        <w:rPr>
          <w:bCs/>
          <w:lang w:val="fr-FR"/>
        </w:rPr>
        <w:t>Elle</w:t>
      </w:r>
      <w:r w:rsidRPr="00517F08">
        <w:rPr>
          <w:bCs/>
          <w:lang w:val="fr-FR"/>
        </w:rPr>
        <w:t xml:space="preserve"> a remercié le Secrétariat pour les conseils fournis lors de l</w:t>
      </w:r>
      <w:r w:rsidR="00923E72">
        <w:rPr>
          <w:bCs/>
          <w:lang w:val="fr-FR"/>
        </w:rPr>
        <w:t>’</w:t>
      </w:r>
      <w:r w:rsidRPr="00517F08">
        <w:rPr>
          <w:bCs/>
          <w:lang w:val="fr-FR"/>
        </w:rPr>
        <w:t>évaluation initiale du dossier</w:t>
      </w:r>
      <w:r>
        <w:rPr>
          <w:bCs/>
          <w:lang w:val="fr-FR"/>
        </w:rPr>
        <w:t>, et</w:t>
      </w:r>
      <w:r w:rsidR="008E4E54">
        <w:rPr>
          <w:bCs/>
          <w:lang w:val="fr-FR"/>
        </w:rPr>
        <w:t xml:space="preserve"> a</w:t>
      </w:r>
      <w:r w:rsidRPr="00517F08">
        <w:rPr>
          <w:bCs/>
          <w:lang w:val="fr-FR"/>
        </w:rPr>
        <w:t xml:space="preserve"> rappelé qu</w:t>
      </w:r>
      <w:r w:rsidR="00923E72">
        <w:rPr>
          <w:bCs/>
          <w:lang w:val="fr-FR"/>
        </w:rPr>
        <w:t>’</w:t>
      </w:r>
      <w:r w:rsidRPr="00517F08">
        <w:rPr>
          <w:bCs/>
          <w:lang w:val="fr-FR"/>
        </w:rPr>
        <w:t>un grand nombre de jeux traditionnels du Malawi sont présents dans tout le pays, mais qu</w:t>
      </w:r>
      <w:r w:rsidR="00923E72">
        <w:rPr>
          <w:bCs/>
          <w:lang w:val="fr-FR"/>
        </w:rPr>
        <w:t>’</w:t>
      </w:r>
      <w:r w:rsidRPr="00517F08">
        <w:rPr>
          <w:bCs/>
          <w:lang w:val="fr-FR"/>
        </w:rPr>
        <w:t>ils ne sont pas bien connus en raison d</w:t>
      </w:r>
      <w:r w:rsidR="00923E72">
        <w:rPr>
          <w:bCs/>
          <w:lang w:val="fr-FR"/>
        </w:rPr>
        <w:t>’</w:t>
      </w:r>
      <w:r w:rsidRPr="00517F08">
        <w:rPr>
          <w:bCs/>
          <w:lang w:val="fr-FR"/>
        </w:rPr>
        <w:t>un manque de popularisation et qu</w:t>
      </w:r>
      <w:r w:rsidR="00923E72">
        <w:rPr>
          <w:bCs/>
          <w:lang w:val="fr-FR"/>
        </w:rPr>
        <w:t>’</w:t>
      </w:r>
      <w:r w:rsidRPr="00517F08">
        <w:rPr>
          <w:bCs/>
          <w:lang w:val="fr-FR"/>
        </w:rPr>
        <w:t>ils peuvent cependant être revitalisés et promus s</w:t>
      </w:r>
      <w:r w:rsidR="00923E72">
        <w:rPr>
          <w:bCs/>
          <w:lang w:val="fr-FR"/>
        </w:rPr>
        <w:t>’</w:t>
      </w:r>
      <w:r w:rsidRPr="00517F08">
        <w:rPr>
          <w:bCs/>
          <w:lang w:val="fr-FR"/>
        </w:rPr>
        <w:t>ils sont soutenus davantage. Les communautés attendaient ce projet depuis</w:t>
      </w:r>
      <w:r w:rsidR="001A7AF7">
        <w:rPr>
          <w:bCs/>
          <w:lang w:val="fr-FR"/>
        </w:rPr>
        <w:t> </w:t>
      </w:r>
      <w:r w:rsidRPr="00517F08">
        <w:rPr>
          <w:bCs/>
          <w:lang w:val="fr-FR"/>
        </w:rPr>
        <w:t>2013, lorsqu</w:t>
      </w:r>
      <w:r w:rsidR="00923E72">
        <w:rPr>
          <w:bCs/>
          <w:lang w:val="fr-FR"/>
        </w:rPr>
        <w:t>’</w:t>
      </w:r>
      <w:r w:rsidRPr="00517F08">
        <w:rPr>
          <w:bCs/>
          <w:lang w:val="fr-FR"/>
        </w:rPr>
        <w:t>elles avaient réalisé pour la première fois un inventaire des jeux traditionnels, qui avait été ajouté à l</w:t>
      </w:r>
      <w:r w:rsidR="00923E72">
        <w:rPr>
          <w:bCs/>
          <w:lang w:val="fr-FR"/>
        </w:rPr>
        <w:t>’</w:t>
      </w:r>
      <w:r w:rsidR="00BA0D32">
        <w:rPr>
          <w:bCs/>
          <w:lang w:val="fr-FR"/>
        </w:rPr>
        <w:t>I</w:t>
      </w:r>
      <w:r w:rsidRPr="00517F08">
        <w:rPr>
          <w:bCs/>
          <w:lang w:val="fr-FR"/>
        </w:rPr>
        <w:t>nventaire du patrimoine culturel immatériel du Malawi. Dans le cadre de cet exercice, les communautés relevant de l</w:t>
      </w:r>
      <w:r w:rsidR="00923E72">
        <w:rPr>
          <w:bCs/>
          <w:lang w:val="fr-FR"/>
        </w:rPr>
        <w:t>’</w:t>
      </w:r>
      <w:r w:rsidRPr="00517F08">
        <w:rPr>
          <w:bCs/>
          <w:lang w:val="fr-FR"/>
        </w:rPr>
        <w:t xml:space="preserve">Association des jeux traditionnels avaient fourni </w:t>
      </w:r>
      <w:r w:rsidR="007A1D9E">
        <w:rPr>
          <w:bCs/>
          <w:lang w:val="fr-FR"/>
        </w:rPr>
        <w:t>l</w:t>
      </w:r>
      <w:r w:rsidRPr="00517F08">
        <w:rPr>
          <w:bCs/>
          <w:lang w:val="fr-FR"/>
        </w:rPr>
        <w:t>es informations qui avaient été utilisées pour remplir le formulaire de cette demande. Les ressources allouées à ce projet permettraient de revitaliser et de promouvoir la viabilité des jeux traditionnels du Malawi. Les communautés dont les jeux traditionnels bénéficieraient de cette aide étaient très reconnaissantes.</w:t>
      </w:r>
    </w:p>
    <w:p w14:paraId="7A01DB4C" w14:textId="536CB98E" w:rsidR="008E4E54" w:rsidRPr="008E4E54" w:rsidRDefault="008E4E54" w:rsidP="00702497">
      <w:pPr>
        <w:pStyle w:val="Marge"/>
        <w:keepNext/>
        <w:tabs>
          <w:tab w:val="clear" w:pos="567"/>
          <w:tab w:val="left" w:pos="709"/>
          <w:tab w:val="left" w:pos="1418"/>
          <w:tab w:val="left" w:pos="2126"/>
          <w:tab w:val="left" w:pos="2835"/>
        </w:tabs>
        <w:spacing w:before="360" w:after="60"/>
        <w:jc w:val="left"/>
        <w:outlineLvl w:val="0"/>
        <w:rPr>
          <w:rFonts w:eastAsia="Malgun Gothic"/>
          <w:lang w:eastAsia="ko-KR"/>
        </w:rPr>
      </w:pPr>
      <w:r>
        <w:rPr>
          <w:rFonts w:eastAsiaTheme="minorHAnsi" w:cs="Arial"/>
          <w:b/>
          <w:color w:val="000000" w:themeColor="text1"/>
          <w:szCs w:val="22"/>
          <w:u w:val="single"/>
        </w:rPr>
        <w:t>POINT</w:t>
      </w:r>
      <w:r w:rsidR="0073323E">
        <w:rPr>
          <w:rFonts w:eastAsiaTheme="minorHAnsi" w:cs="Arial"/>
          <w:b/>
          <w:color w:val="000000" w:themeColor="text1"/>
          <w:szCs w:val="22"/>
          <w:u w:val="single"/>
        </w:rPr>
        <w:t> </w:t>
      </w:r>
      <w:r>
        <w:rPr>
          <w:rFonts w:eastAsiaTheme="minorHAnsi" w:cs="Arial"/>
          <w:b/>
          <w:color w:val="000000" w:themeColor="text1"/>
          <w:szCs w:val="22"/>
          <w:u w:val="single"/>
        </w:rPr>
        <w:t>7</w:t>
      </w:r>
      <w:r w:rsidR="0073323E">
        <w:rPr>
          <w:rFonts w:eastAsiaTheme="minorHAnsi" w:cs="Arial"/>
          <w:b/>
          <w:color w:val="000000" w:themeColor="text1"/>
          <w:szCs w:val="22"/>
          <w:u w:val="single"/>
        </w:rPr>
        <w:t> </w:t>
      </w:r>
      <w:r>
        <w:rPr>
          <w:rFonts w:eastAsiaTheme="minorHAnsi" w:cs="Arial"/>
          <w:b/>
          <w:color w:val="000000" w:themeColor="text1"/>
          <w:szCs w:val="22"/>
          <w:u w:val="single"/>
        </w:rPr>
        <w:t>DE L</w:t>
      </w:r>
      <w:r w:rsidR="00923E72">
        <w:rPr>
          <w:rFonts w:eastAsiaTheme="minorHAnsi" w:cs="Arial"/>
          <w:b/>
          <w:color w:val="000000" w:themeColor="text1"/>
          <w:szCs w:val="22"/>
          <w:u w:val="single"/>
        </w:rPr>
        <w:t>’</w:t>
      </w:r>
      <w:r w:rsidRPr="008E4E54">
        <w:rPr>
          <w:rFonts w:eastAsiaTheme="minorHAnsi" w:cs="Arial"/>
          <w:b/>
          <w:color w:val="000000" w:themeColor="text1"/>
          <w:szCs w:val="22"/>
          <w:u w:val="single"/>
        </w:rPr>
        <w:t>ORDRE DU JOUR</w:t>
      </w:r>
      <w:r>
        <w:rPr>
          <w:rFonts w:eastAsiaTheme="minorHAnsi" w:cs="Arial"/>
          <w:b/>
          <w:color w:val="000000" w:themeColor="text1"/>
          <w:szCs w:val="22"/>
          <w:u w:val="single"/>
        </w:rPr>
        <w:t xml:space="preserve"> [SUITE]</w:t>
      </w:r>
      <w:r w:rsidRPr="008E4E54">
        <w:rPr>
          <w:rFonts w:eastAsiaTheme="minorHAnsi" w:cs="Arial"/>
          <w:b/>
          <w:color w:val="000000" w:themeColor="text1"/>
          <w:szCs w:val="22"/>
        </w:rPr>
        <w:t> </w:t>
      </w:r>
      <w:r>
        <w:rPr>
          <w:rFonts w:eastAsiaTheme="minorHAnsi" w:cs="Arial"/>
          <w:b/>
          <w:color w:val="000000" w:themeColor="text1"/>
          <w:szCs w:val="22"/>
        </w:rPr>
        <w:t>:</w:t>
      </w:r>
    </w:p>
    <w:p w14:paraId="3446EDCB" w14:textId="565DC29C" w:rsidR="008E4E54" w:rsidRPr="00FE5607" w:rsidRDefault="008E4E54" w:rsidP="00702497">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rPr>
      </w:pPr>
      <w:r w:rsidRPr="00FE5607">
        <w:rPr>
          <w:rFonts w:eastAsiaTheme="minorHAnsi"/>
          <w:b/>
          <w:color w:val="000000" w:themeColor="text1"/>
        </w:rPr>
        <w:t>R</w:t>
      </w:r>
      <w:r>
        <w:rPr>
          <w:rFonts w:eastAsiaTheme="minorHAnsi"/>
          <w:b/>
          <w:color w:val="000000" w:themeColor="text1"/>
        </w:rPr>
        <w:t>APPORT DE L</w:t>
      </w:r>
      <w:r w:rsidR="00923E72">
        <w:rPr>
          <w:rFonts w:eastAsiaTheme="minorHAnsi"/>
          <w:b/>
          <w:color w:val="000000" w:themeColor="text1"/>
        </w:rPr>
        <w:t>’</w:t>
      </w:r>
      <w:r>
        <w:rPr>
          <w:rFonts w:eastAsiaTheme="minorHAnsi"/>
          <w:b/>
          <w:color w:val="000000" w:themeColor="text1"/>
        </w:rPr>
        <w:t>ORGANE D</w:t>
      </w:r>
      <w:r w:rsidR="00923E72">
        <w:rPr>
          <w:rFonts w:eastAsiaTheme="minorHAnsi"/>
          <w:b/>
          <w:color w:val="000000" w:themeColor="text1"/>
        </w:rPr>
        <w:t>’</w:t>
      </w:r>
      <w:r>
        <w:rPr>
          <w:rFonts w:eastAsiaTheme="minorHAnsi"/>
          <w:b/>
          <w:color w:val="000000" w:themeColor="text1"/>
        </w:rPr>
        <w:t>ÉVALUATION SUR SES TRAVAUX EN</w:t>
      </w:r>
      <w:r w:rsidR="0073323E">
        <w:rPr>
          <w:rFonts w:eastAsiaTheme="minorHAnsi"/>
          <w:b/>
          <w:color w:val="000000" w:themeColor="text1"/>
        </w:rPr>
        <w:t> </w:t>
      </w:r>
      <w:r>
        <w:rPr>
          <w:rFonts w:eastAsiaTheme="minorHAnsi"/>
          <w:b/>
          <w:color w:val="000000" w:themeColor="text1"/>
        </w:rPr>
        <w:t>2022</w:t>
      </w:r>
    </w:p>
    <w:p w14:paraId="0AB5F045" w14:textId="60A92F93" w:rsidR="008E4E54" w:rsidRDefault="008E4E54" w:rsidP="009E068C">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est revenue au débat général au titre du point</w:t>
      </w:r>
      <w:r w:rsidR="00BA0D32">
        <w:rPr>
          <w:bCs/>
          <w:lang w:val="fr-FR"/>
        </w:rPr>
        <w:t> </w:t>
      </w:r>
      <w:r>
        <w:rPr>
          <w:bCs/>
          <w:lang w:val="fr-FR"/>
        </w:rPr>
        <w:t>7 de l</w:t>
      </w:r>
      <w:r w:rsidR="00923E72">
        <w:rPr>
          <w:bCs/>
          <w:lang w:val="fr-FR"/>
        </w:rPr>
        <w:t>’</w:t>
      </w:r>
      <w:r w:rsidRPr="008E4E54">
        <w:rPr>
          <w:bCs/>
          <w:lang w:val="fr-FR"/>
        </w:rPr>
        <w:t>ordre du jour</w:t>
      </w:r>
      <w:r>
        <w:rPr>
          <w:bCs/>
          <w:lang w:val="fr-FR"/>
        </w:rPr>
        <w:t>, le rapport de l</w:t>
      </w:r>
      <w:r w:rsidR="00923E72">
        <w:rPr>
          <w:bCs/>
          <w:lang w:val="fr-FR"/>
        </w:rPr>
        <w:t>’</w:t>
      </w:r>
      <w:r>
        <w:rPr>
          <w:bCs/>
          <w:lang w:val="fr-FR"/>
        </w:rPr>
        <w:t>Organe d</w:t>
      </w:r>
      <w:r w:rsidR="00923E72">
        <w:rPr>
          <w:bCs/>
          <w:lang w:val="fr-FR"/>
        </w:rPr>
        <w:t>’</w:t>
      </w:r>
      <w:r>
        <w:rPr>
          <w:bCs/>
          <w:lang w:val="fr-FR"/>
        </w:rPr>
        <w:t>évaluation.</w:t>
      </w:r>
    </w:p>
    <w:p w14:paraId="733D0A76" w14:textId="71EB59A5" w:rsidR="008E4E54" w:rsidRDefault="008E4E54" w:rsidP="009E068C">
      <w:pPr>
        <w:pStyle w:val="Orateurengris"/>
        <w:numPr>
          <w:ilvl w:val="0"/>
          <w:numId w:val="20"/>
        </w:numPr>
        <w:tabs>
          <w:tab w:val="clear" w:pos="567"/>
        </w:tabs>
        <w:spacing w:before="120"/>
        <w:ind w:left="709" w:hanging="709"/>
        <w:rPr>
          <w:bCs/>
          <w:lang w:val="fr-FR"/>
        </w:rPr>
      </w:pPr>
      <w:r w:rsidRPr="008E4E54">
        <w:rPr>
          <w:bCs/>
          <w:lang w:val="fr-FR"/>
        </w:rPr>
        <w:t xml:space="preserve">La délégation de la </w:t>
      </w:r>
      <w:r w:rsidRPr="00702497">
        <w:rPr>
          <w:b/>
          <w:lang w:val="fr-FR"/>
        </w:rPr>
        <w:t>Suisse</w:t>
      </w:r>
      <w:r w:rsidRPr="008E4E54">
        <w:rPr>
          <w:bCs/>
          <w:lang w:val="fr-FR"/>
        </w:rPr>
        <w:t xml:space="preserve"> a débuté son intervention en félicitant les communautés, les détenteurs et les États soumissionnaires qui avaient vu leurs éléments inscrits sur les </w:t>
      </w:r>
      <w:r>
        <w:rPr>
          <w:bCs/>
          <w:lang w:val="fr-FR"/>
        </w:rPr>
        <w:t>l</w:t>
      </w:r>
      <w:r w:rsidRPr="008E4E54">
        <w:rPr>
          <w:bCs/>
          <w:lang w:val="fr-FR"/>
        </w:rPr>
        <w:t>istes de la Convention au cours des deux derniers jours. La diversité et la richesse du patrimoine vivant étaient une fois de plus démontrées et célébrées à l</w:t>
      </w:r>
      <w:r w:rsidR="00923E72">
        <w:rPr>
          <w:bCs/>
          <w:lang w:val="fr-FR"/>
        </w:rPr>
        <w:t>’</w:t>
      </w:r>
      <w:r w:rsidRPr="008E4E54">
        <w:rPr>
          <w:bCs/>
          <w:lang w:val="fr-FR"/>
        </w:rPr>
        <w:t>occasion de ces inscriptions. Au cours de l</w:t>
      </w:r>
      <w:r w:rsidR="00923E72">
        <w:rPr>
          <w:bCs/>
          <w:lang w:val="fr-FR"/>
        </w:rPr>
        <w:t>’</w:t>
      </w:r>
      <w:r w:rsidRPr="008E4E54">
        <w:rPr>
          <w:bCs/>
          <w:lang w:val="fr-FR"/>
        </w:rPr>
        <w:t>examen des candidatures, de nombreux commentaires avaient été formulés concernant le rôle et la mission de l</w:t>
      </w:r>
      <w:r w:rsidR="00923E72">
        <w:rPr>
          <w:bCs/>
          <w:lang w:val="fr-FR"/>
        </w:rPr>
        <w:t>’</w:t>
      </w:r>
      <w:r w:rsidRPr="008E4E54">
        <w:rPr>
          <w:bCs/>
          <w:lang w:val="fr-FR"/>
        </w:rPr>
        <w:t>Organe d</w:t>
      </w:r>
      <w:r w:rsidR="00923E72">
        <w:rPr>
          <w:bCs/>
          <w:lang w:val="fr-FR"/>
        </w:rPr>
        <w:t>’</w:t>
      </w:r>
      <w:r w:rsidRPr="008E4E54">
        <w:rPr>
          <w:bCs/>
          <w:lang w:val="fr-FR"/>
        </w:rPr>
        <w:t>évaluation. La délégation estimait que cet organe et son expertise jouaient un rôle central dans la Convention. En effet, il était élu par le Comité et représentait toutes les régions de manière équitable, en travaillant selon les règles fixées par le Comité. La délégation a rappelé que</w:t>
      </w:r>
      <w:r w:rsidR="00105CA7">
        <w:rPr>
          <w:bCs/>
          <w:lang w:val="fr-FR"/>
        </w:rPr>
        <w:t>,</w:t>
      </w:r>
      <w:r w:rsidRPr="008E4E54">
        <w:rPr>
          <w:bCs/>
          <w:lang w:val="fr-FR"/>
        </w:rPr>
        <w:t xml:space="preserve"> pour la crédibilité de ce Comité et de la Convention, il était essentiel que le Comité fonde ses décisions sur l</w:t>
      </w:r>
      <w:r w:rsidR="00923E72">
        <w:rPr>
          <w:bCs/>
          <w:lang w:val="fr-FR"/>
        </w:rPr>
        <w:t>’</w:t>
      </w:r>
      <w:r w:rsidRPr="008E4E54">
        <w:rPr>
          <w:bCs/>
          <w:lang w:val="fr-FR"/>
        </w:rPr>
        <w:t xml:space="preserve">expertise. Le processus de dialogue avait </w:t>
      </w:r>
      <w:r w:rsidR="00BA0D32">
        <w:rPr>
          <w:bCs/>
          <w:lang w:val="fr-FR"/>
        </w:rPr>
        <w:t xml:space="preserve">suscité </w:t>
      </w:r>
      <w:r w:rsidRPr="008E4E54">
        <w:rPr>
          <w:bCs/>
          <w:lang w:val="fr-FR"/>
        </w:rPr>
        <w:t>de nombreuses questions et remarques. Il a été rappelé que ce processus avait été mis en place en tant que mécanisme technique à disposition de l</w:t>
      </w:r>
      <w:r w:rsidR="00923E72">
        <w:rPr>
          <w:bCs/>
          <w:lang w:val="fr-FR"/>
        </w:rPr>
        <w:t>’</w:t>
      </w:r>
      <w:r w:rsidRPr="008E4E54">
        <w:rPr>
          <w:bCs/>
          <w:lang w:val="fr-FR"/>
        </w:rPr>
        <w:t>Organe d</w:t>
      </w:r>
      <w:r w:rsidR="00923E72">
        <w:rPr>
          <w:bCs/>
          <w:lang w:val="fr-FR"/>
        </w:rPr>
        <w:t>’</w:t>
      </w:r>
      <w:r w:rsidRPr="008E4E54">
        <w:rPr>
          <w:bCs/>
          <w:lang w:val="fr-FR"/>
        </w:rPr>
        <w:t>évaluation pour des questions et des réponses courtes. Toutefois, elle avait observé qu</w:t>
      </w:r>
      <w:r w:rsidR="00923E72">
        <w:rPr>
          <w:bCs/>
          <w:lang w:val="fr-FR"/>
        </w:rPr>
        <w:t>’</w:t>
      </w:r>
      <w:r w:rsidR="00BA0D32">
        <w:rPr>
          <w:bCs/>
          <w:lang w:val="fr-FR"/>
        </w:rPr>
        <w:t xml:space="preserve">un recours </w:t>
      </w:r>
      <w:r w:rsidRPr="008E4E54">
        <w:rPr>
          <w:bCs/>
          <w:lang w:val="fr-FR"/>
        </w:rPr>
        <w:t xml:space="preserve">plus systématique </w:t>
      </w:r>
      <w:r w:rsidR="00BA0D32">
        <w:rPr>
          <w:bCs/>
          <w:lang w:val="fr-FR"/>
        </w:rPr>
        <w:t xml:space="preserve">à </w:t>
      </w:r>
      <w:r w:rsidRPr="008E4E54">
        <w:rPr>
          <w:bCs/>
          <w:lang w:val="fr-FR"/>
        </w:rPr>
        <w:t>cette procédure de dialogue était plus largement demandé au sein du Comité. Compte tenu du travail accompli depuis deux ans pour proposer une révision des Directives opérationnelles</w:t>
      </w:r>
      <w:r w:rsidR="00BA0D32">
        <w:rPr>
          <w:bCs/>
          <w:lang w:val="fr-FR"/>
        </w:rPr>
        <w:t xml:space="preserve"> et du fait que</w:t>
      </w:r>
      <w:r w:rsidRPr="008E4E54">
        <w:rPr>
          <w:bCs/>
          <w:lang w:val="fr-FR"/>
        </w:rPr>
        <w:t xml:space="preserve"> ces nouvelles règles vena</w:t>
      </w:r>
      <w:r w:rsidR="00BA0D32">
        <w:rPr>
          <w:bCs/>
          <w:lang w:val="fr-FR"/>
        </w:rPr>
        <w:t>ie</w:t>
      </w:r>
      <w:r w:rsidRPr="008E4E54">
        <w:rPr>
          <w:bCs/>
          <w:lang w:val="fr-FR"/>
        </w:rPr>
        <w:t>nt d</w:t>
      </w:r>
      <w:r w:rsidR="00923E72">
        <w:rPr>
          <w:bCs/>
          <w:lang w:val="fr-FR"/>
        </w:rPr>
        <w:t>’</w:t>
      </w:r>
      <w:r w:rsidRPr="008E4E54">
        <w:rPr>
          <w:bCs/>
          <w:lang w:val="fr-FR"/>
        </w:rPr>
        <w:t>entrer en vigueur, il était peut-être trop tôt pour entamer une nouvelle réforme.</w:t>
      </w:r>
    </w:p>
    <w:p w14:paraId="50CC2EE1" w14:textId="06511C70" w:rsidR="00105CA7" w:rsidRDefault="00105CA7" w:rsidP="009E068C">
      <w:pPr>
        <w:pStyle w:val="Orateurengris"/>
        <w:numPr>
          <w:ilvl w:val="0"/>
          <w:numId w:val="20"/>
        </w:numPr>
        <w:tabs>
          <w:tab w:val="clear" w:pos="567"/>
        </w:tabs>
        <w:spacing w:before="120"/>
        <w:ind w:left="709" w:hanging="709"/>
        <w:rPr>
          <w:bCs/>
          <w:lang w:val="fr-FR"/>
        </w:rPr>
      </w:pPr>
      <w:r w:rsidRPr="00105CA7">
        <w:rPr>
          <w:bCs/>
          <w:lang w:val="fr-FR"/>
        </w:rPr>
        <w:t xml:space="preserve">La délégation de la </w:t>
      </w:r>
      <w:r w:rsidRPr="00702497">
        <w:rPr>
          <w:b/>
          <w:lang w:val="fr-FR"/>
        </w:rPr>
        <w:t>Suisse</w:t>
      </w:r>
      <w:r w:rsidRPr="00105CA7">
        <w:rPr>
          <w:bCs/>
          <w:lang w:val="fr-FR"/>
        </w:rPr>
        <w:t xml:space="preserve"> croyait</w:t>
      </w:r>
      <w:r w:rsidR="00C43FEA">
        <w:rPr>
          <w:bCs/>
          <w:lang w:val="fr-FR"/>
        </w:rPr>
        <w:t xml:space="preserve"> </w:t>
      </w:r>
      <w:r w:rsidRPr="00105CA7">
        <w:rPr>
          <w:bCs/>
          <w:lang w:val="fr-FR"/>
        </w:rPr>
        <w:t>cependant, qu</w:t>
      </w:r>
      <w:r w:rsidR="00923E72">
        <w:rPr>
          <w:bCs/>
          <w:lang w:val="fr-FR"/>
        </w:rPr>
        <w:t>’</w:t>
      </w:r>
      <w:r w:rsidRPr="00105CA7">
        <w:rPr>
          <w:bCs/>
          <w:lang w:val="fr-FR"/>
        </w:rPr>
        <w:t>à moyen terme, il était nécessaire d</w:t>
      </w:r>
      <w:r w:rsidR="00923E72">
        <w:rPr>
          <w:bCs/>
          <w:lang w:val="fr-FR"/>
        </w:rPr>
        <w:t>’</w:t>
      </w:r>
      <w:r w:rsidRPr="00105CA7">
        <w:rPr>
          <w:bCs/>
          <w:lang w:val="fr-FR"/>
        </w:rPr>
        <w:t>encourager l</w:t>
      </w:r>
      <w:r w:rsidR="00923E72">
        <w:rPr>
          <w:bCs/>
          <w:lang w:val="fr-FR"/>
        </w:rPr>
        <w:t>’</w:t>
      </w:r>
      <w:r w:rsidRPr="00105CA7">
        <w:rPr>
          <w:bCs/>
          <w:lang w:val="fr-FR"/>
        </w:rPr>
        <w:t>Organe d</w:t>
      </w:r>
      <w:r w:rsidR="00923E72">
        <w:rPr>
          <w:bCs/>
          <w:lang w:val="fr-FR"/>
        </w:rPr>
        <w:t>’</w:t>
      </w:r>
      <w:r w:rsidRPr="00105CA7">
        <w:rPr>
          <w:bCs/>
          <w:lang w:val="fr-FR"/>
        </w:rPr>
        <w:t xml:space="preserve">évaluation à utiliser pleinement sa marge de manœuvre pour entamer des procédures de dialogue aussi souvent que possible. À cet égard, elle soutenait un amendement qui serait proposé par le Brésil. Au cours des discussions, il était apparu que la qualité de certaines candidatures multinationales pouvait encore être améliorée, notamment en ce qui concerne la préparation et la mise en œuvre des mesures de sauvegarde communes. La délégation a réitéré sa demande au Secrétariat, déjà </w:t>
      </w:r>
      <w:r w:rsidR="00C43FEA">
        <w:rPr>
          <w:bCs/>
          <w:lang w:val="fr-FR"/>
        </w:rPr>
        <w:t xml:space="preserve">exprimée </w:t>
      </w:r>
      <w:r w:rsidRPr="00105CA7">
        <w:rPr>
          <w:bCs/>
          <w:lang w:val="fr-FR"/>
        </w:rPr>
        <w:t>dans la décision</w:t>
      </w:r>
      <w:r w:rsidR="00C43FEA">
        <w:rPr>
          <w:bCs/>
          <w:lang w:val="fr-FR"/>
        </w:rPr>
        <w:t> </w:t>
      </w:r>
      <w:r w:rsidR="00751FB1">
        <w:fldChar w:fldCharType="begin"/>
      </w:r>
      <w:r w:rsidR="00751FB1" w:rsidRPr="00751FB1">
        <w:rPr>
          <w:lang w:val="fr-FR"/>
        </w:rPr>
        <w:instrText>HYPERLINK "https://ich.unesco.org/fr/Decisions/15.COM/8"</w:instrText>
      </w:r>
      <w:r w:rsidR="00751FB1">
        <w:fldChar w:fldCharType="separate"/>
      </w:r>
      <w:r w:rsidRPr="006E3034">
        <w:rPr>
          <w:rStyle w:val="Hyperlink"/>
          <w:lang w:val="fr-FR"/>
        </w:rPr>
        <w:t>15.COM 8</w:t>
      </w:r>
      <w:r w:rsidR="00751FB1">
        <w:rPr>
          <w:rStyle w:val="Hyperlink"/>
          <w:lang w:val="fr-FR"/>
        </w:rPr>
        <w:fldChar w:fldCharType="end"/>
      </w:r>
      <w:r w:rsidRPr="00105CA7">
        <w:rPr>
          <w:bCs/>
          <w:lang w:val="fr-FR"/>
        </w:rPr>
        <w:t xml:space="preserve">, </w:t>
      </w:r>
      <w:r w:rsidRPr="00304A68">
        <w:rPr>
          <w:bCs/>
          <w:lang w:val="fr-FR"/>
        </w:rPr>
        <w:t>paragraphe</w:t>
      </w:r>
      <w:r w:rsidR="008F5CA2" w:rsidRPr="00702497">
        <w:rPr>
          <w:bCs/>
          <w:lang w:val="fr-FR"/>
        </w:rPr>
        <w:t> </w:t>
      </w:r>
      <w:r w:rsidR="00C43FEA" w:rsidRPr="00304A68">
        <w:rPr>
          <w:bCs/>
          <w:lang w:val="fr-FR"/>
        </w:rPr>
        <w:t>8</w:t>
      </w:r>
      <w:r w:rsidRPr="00304A68">
        <w:rPr>
          <w:bCs/>
          <w:lang w:val="fr-FR"/>
        </w:rPr>
        <w:t>,</w:t>
      </w:r>
      <w:r w:rsidRPr="00105CA7">
        <w:rPr>
          <w:bCs/>
          <w:lang w:val="fr-FR"/>
        </w:rPr>
        <w:t xml:space="preserve"> de préparer une note d</w:t>
      </w:r>
      <w:r w:rsidR="00923E72">
        <w:rPr>
          <w:bCs/>
          <w:lang w:val="fr-FR"/>
        </w:rPr>
        <w:t>’</w:t>
      </w:r>
      <w:r w:rsidRPr="00105CA7">
        <w:rPr>
          <w:bCs/>
          <w:lang w:val="fr-FR"/>
        </w:rPr>
        <w:t xml:space="preserve">orientation pour la préparation des dossiers multinationaux. Comme cela avait été fréquemment mentionné au </w:t>
      </w:r>
      <w:r w:rsidRPr="00105CA7">
        <w:rPr>
          <w:bCs/>
          <w:lang w:val="fr-FR"/>
        </w:rPr>
        <w:lastRenderedPageBreak/>
        <w:t>cours de cette session, le renforcement des capacités et l</w:t>
      </w:r>
      <w:r w:rsidR="00923E72">
        <w:rPr>
          <w:bCs/>
          <w:lang w:val="fr-FR"/>
        </w:rPr>
        <w:t>’</w:t>
      </w:r>
      <w:r w:rsidRPr="00105CA7">
        <w:rPr>
          <w:bCs/>
          <w:lang w:val="fr-FR"/>
        </w:rPr>
        <w:t xml:space="preserve">assistance internationale étaient des outils de choix pour soutenir la préparation des dossiers de candidature. En ce sens, elle saluait et soutenait un amendement qui serait proposé par la Suède </w:t>
      </w:r>
      <w:r w:rsidR="003A16E6">
        <w:rPr>
          <w:bCs/>
          <w:lang w:val="fr-FR"/>
        </w:rPr>
        <w:t>visant à</w:t>
      </w:r>
      <w:r w:rsidRPr="00105CA7">
        <w:rPr>
          <w:bCs/>
          <w:lang w:val="fr-FR"/>
        </w:rPr>
        <w:t xml:space="preserve"> permettre l</w:t>
      </w:r>
      <w:r w:rsidR="00923E72">
        <w:rPr>
          <w:bCs/>
          <w:lang w:val="fr-FR"/>
        </w:rPr>
        <w:t>’</w:t>
      </w:r>
      <w:r w:rsidRPr="00105CA7">
        <w:rPr>
          <w:bCs/>
          <w:lang w:val="fr-FR"/>
        </w:rPr>
        <w:t>attribution d</w:t>
      </w:r>
      <w:r w:rsidR="00923E72">
        <w:rPr>
          <w:bCs/>
          <w:lang w:val="fr-FR"/>
        </w:rPr>
        <w:t>’</w:t>
      </w:r>
      <w:r w:rsidRPr="00105CA7">
        <w:rPr>
          <w:bCs/>
          <w:lang w:val="fr-FR"/>
        </w:rPr>
        <w:t>une assistance internationale pour la préparation d</w:t>
      </w:r>
      <w:r w:rsidR="00923E72">
        <w:rPr>
          <w:bCs/>
          <w:lang w:val="fr-FR"/>
        </w:rPr>
        <w:t>’</w:t>
      </w:r>
      <w:r w:rsidRPr="00105CA7">
        <w:rPr>
          <w:bCs/>
          <w:lang w:val="fr-FR"/>
        </w:rPr>
        <w:t xml:space="preserve">une </w:t>
      </w:r>
      <w:r w:rsidRPr="003A16E6">
        <w:rPr>
          <w:bCs/>
          <w:lang w:val="fr-FR"/>
        </w:rPr>
        <w:t>première</w:t>
      </w:r>
      <w:r w:rsidRPr="00105CA7">
        <w:rPr>
          <w:bCs/>
          <w:lang w:val="fr-FR"/>
        </w:rPr>
        <w:t xml:space="preserve"> candidature sur la Liste représentative. La Suisse a rappelé la responsabilité de ce Comité quant aux inscriptions sur les listes. D</w:t>
      </w:r>
      <w:r w:rsidR="00923E72">
        <w:rPr>
          <w:bCs/>
          <w:lang w:val="fr-FR"/>
        </w:rPr>
        <w:t>’</w:t>
      </w:r>
      <w:r w:rsidRPr="00105CA7">
        <w:rPr>
          <w:bCs/>
          <w:lang w:val="fr-FR"/>
        </w:rPr>
        <w:t>une part, il pouvait s</w:t>
      </w:r>
      <w:r w:rsidR="00923E72">
        <w:rPr>
          <w:bCs/>
          <w:lang w:val="fr-FR"/>
        </w:rPr>
        <w:t>’</w:t>
      </w:r>
      <w:r w:rsidRPr="00105CA7">
        <w:rPr>
          <w:bCs/>
          <w:lang w:val="fr-FR"/>
        </w:rPr>
        <w:t xml:space="preserve">appuyer sur des évaluations et des expertises pour fonder ses </w:t>
      </w:r>
      <w:r w:rsidRPr="003A16E6">
        <w:rPr>
          <w:bCs/>
          <w:lang w:val="fr-FR"/>
        </w:rPr>
        <w:t>décisions</w:t>
      </w:r>
      <w:r w:rsidRPr="00105CA7">
        <w:rPr>
          <w:bCs/>
          <w:lang w:val="fr-FR"/>
        </w:rPr>
        <w:t xml:space="preserve"> et, d</w:t>
      </w:r>
      <w:r w:rsidR="00923E72">
        <w:rPr>
          <w:bCs/>
          <w:lang w:val="fr-FR"/>
        </w:rPr>
        <w:t>’</w:t>
      </w:r>
      <w:r w:rsidRPr="00105CA7">
        <w:rPr>
          <w:bCs/>
          <w:lang w:val="fr-FR"/>
        </w:rPr>
        <w:t>autre part, il disposait de la marge de manœuvre nécessaire pour prendre en compte d</w:t>
      </w:r>
      <w:r w:rsidR="00923E72">
        <w:rPr>
          <w:bCs/>
          <w:lang w:val="fr-FR"/>
        </w:rPr>
        <w:t>’</w:t>
      </w:r>
      <w:r w:rsidRPr="00105CA7">
        <w:rPr>
          <w:bCs/>
          <w:lang w:val="fr-FR"/>
        </w:rPr>
        <w:t>autres aspects dans ses décisions. C</w:t>
      </w:r>
      <w:r w:rsidR="00923E72">
        <w:rPr>
          <w:bCs/>
          <w:lang w:val="fr-FR"/>
        </w:rPr>
        <w:t>’</w:t>
      </w:r>
      <w:r w:rsidRPr="00105CA7">
        <w:rPr>
          <w:bCs/>
          <w:lang w:val="fr-FR"/>
        </w:rPr>
        <w:t>était d</w:t>
      </w:r>
      <w:r w:rsidR="00923E72">
        <w:rPr>
          <w:bCs/>
          <w:lang w:val="fr-FR"/>
        </w:rPr>
        <w:t>’</w:t>
      </w:r>
      <w:r w:rsidRPr="00105CA7">
        <w:rPr>
          <w:bCs/>
          <w:lang w:val="fr-FR"/>
        </w:rPr>
        <w:t>ailleurs le principe de l</w:t>
      </w:r>
      <w:r w:rsidR="00923E72">
        <w:rPr>
          <w:bCs/>
          <w:lang w:val="fr-FR"/>
        </w:rPr>
        <w:t>’</w:t>
      </w:r>
      <w:r w:rsidRPr="00105CA7">
        <w:rPr>
          <w:bCs/>
          <w:lang w:val="fr-FR"/>
        </w:rPr>
        <w:t>accord de travail</w:t>
      </w:r>
      <w:r w:rsidR="001F63EE">
        <w:rPr>
          <w:bCs/>
          <w:lang w:val="fr-FR"/>
        </w:rPr>
        <w:t>,</w:t>
      </w:r>
      <w:r w:rsidRPr="00105CA7">
        <w:rPr>
          <w:bCs/>
          <w:lang w:val="fr-FR"/>
        </w:rPr>
        <w:t xml:space="preserve"> qui avait permis de maintenir un équilibre sans mettre en péril la crédibilité de la Convention.</w:t>
      </w:r>
    </w:p>
    <w:p w14:paraId="1D00074C" w14:textId="5759513F" w:rsidR="003A16E6" w:rsidRDefault="003A16E6" w:rsidP="009E068C">
      <w:pPr>
        <w:pStyle w:val="Orateurengris"/>
        <w:numPr>
          <w:ilvl w:val="0"/>
          <w:numId w:val="20"/>
        </w:numPr>
        <w:tabs>
          <w:tab w:val="clear" w:pos="567"/>
        </w:tabs>
        <w:spacing w:before="120"/>
        <w:ind w:left="709" w:hanging="709"/>
        <w:rPr>
          <w:bCs/>
          <w:lang w:val="fr-FR"/>
        </w:rPr>
      </w:pPr>
      <w:r w:rsidRPr="003A16E6">
        <w:rPr>
          <w:bCs/>
          <w:lang w:val="fr-FR"/>
        </w:rPr>
        <w:t xml:space="preserve">La délégation du </w:t>
      </w:r>
      <w:r w:rsidRPr="00702497">
        <w:rPr>
          <w:b/>
          <w:lang w:val="fr-FR"/>
        </w:rPr>
        <w:t>Brésil</w:t>
      </w:r>
      <w:r w:rsidRPr="003A16E6">
        <w:rPr>
          <w:bCs/>
          <w:lang w:val="fr-FR"/>
        </w:rPr>
        <w:t xml:space="preserve"> a remercié l</w:t>
      </w:r>
      <w:r w:rsidR="00923E72">
        <w:rPr>
          <w:bCs/>
          <w:lang w:val="fr-FR"/>
        </w:rPr>
        <w:t>’</w:t>
      </w:r>
      <w:r w:rsidRPr="003A16E6">
        <w:rPr>
          <w:bCs/>
          <w:lang w:val="fr-FR"/>
        </w:rPr>
        <w:t>Organe d</w:t>
      </w:r>
      <w:r w:rsidR="00923E72">
        <w:rPr>
          <w:bCs/>
          <w:lang w:val="fr-FR"/>
        </w:rPr>
        <w:t>’</w:t>
      </w:r>
      <w:r w:rsidRPr="003A16E6">
        <w:rPr>
          <w:bCs/>
          <w:lang w:val="fr-FR"/>
        </w:rPr>
        <w:t>évaluation pour ses efforts considérables et son travail remarquable</w:t>
      </w:r>
      <w:r w:rsidR="001F205C">
        <w:rPr>
          <w:bCs/>
          <w:lang w:val="fr-FR"/>
        </w:rPr>
        <w:t xml:space="preserve">, </w:t>
      </w:r>
      <w:r w:rsidRPr="003A16E6">
        <w:rPr>
          <w:bCs/>
          <w:lang w:val="fr-FR"/>
        </w:rPr>
        <w:t>qui avaient permis une réflexion importante pour l</w:t>
      </w:r>
      <w:r w:rsidR="00923E72">
        <w:rPr>
          <w:bCs/>
          <w:lang w:val="fr-FR"/>
        </w:rPr>
        <w:t>’</w:t>
      </w:r>
      <w:r w:rsidRPr="003A16E6">
        <w:rPr>
          <w:bCs/>
          <w:lang w:val="fr-FR"/>
        </w:rPr>
        <w:t>avenir de la Convention. Le Brésil a informé le Comité qu</w:t>
      </w:r>
      <w:r w:rsidR="00923E72">
        <w:rPr>
          <w:bCs/>
          <w:lang w:val="fr-FR"/>
        </w:rPr>
        <w:t>’</w:t>
      </w:r>
      <w:r w:rsidRPr="003A16E6">
        <w:rPr>
          <w:bCs/>
          <w:lang w:val="fr-FR"/>
        </w:rPr>
        <w:t>il avait modifié son amendement initial. Il s</w:t>
      </w:r>
      <w:r w:rsidR="00923E72">
        <w:rPr>
          <w:bCs/>
          <w:lang w:val="fr-FR"/>
        </w:rPr>
        <w:t>’</w:t>
      </w:r>
      <w:r w:rsidRPr="003A16E6">
        <w:rPr>
          <w:bCs/>
          <w:lang w:val="fr-FR"/>
        </w:rPr>
        <w:t>était rendu compte que d</w:t>
      </w:r>
      <w:r w:rsidR="00923E72">
        <w:rPr>
          <w:bCs/>
          <w:lang w:val="fr-FR"/>
        </w:rPr>
        <w:t>’</w:t>
      </w:r>
      <w:r w:rsidRPr="003A16E6">
        <w:rPr>
          <w:bCs/>
          <w:lang w:val="fr-FR"/>
        </w:rPr>
        <w:t>autres membres du Comité partageaient ses préoccupations</w:t>
      </w:r>
      <w:r>
        <w:rPr>
          <w:bCs/>
          <w:lang w:val="fr-FR"/>
        </w:rPr>
        <w:t>,</w:t>
      </w:r>
      <w:r w:rsidRPr="003A16E6">
        <w:rPr>
          <w:bCs/>
          <w:lang w:val="fr-FR"/>
        </w:rPr>
        <w:t xml:space="preserve"> et </w:t>
      </w:r>
      <w:r>
        <w:rPr>
          <w:bCs/>
          <w:lang w:val="fr-FR"/>
        </w:rPr>
        <w:t xml:space="preserve">il </w:t>
      </w:r>
      <w:r w:rsidRPr="003A16E6">
        <w:rPr>
          <w:bCs/>
          <w:lang w:val="fr-FR"/>
        </w:rPr>
        <w:t>les a remerciés pour leurs observations intéressantes. La délégation estimait que sa nouvelle proposition reflétait les principales discussions de ces derniers jours et répondait aux questions importantes soulevées. Les deux principales questions abordées étaient le déséquilibre géographique et la nécessité de disposer d</w:t>
      </w:r>
      <w:r w:rsidR="00923E72">
        <w:rPr>
          <w:bCs/>
          <w:lang w:val="fr-FR"/>
        </w:rPr>
        <w:t>’</w:t>
      </w:r>
      <w:r w:rsidRPr="003A16E6">
        <w:rPr>
          <w:bCs/>
          <w:lang w:val="fr-FR"/>
        </w:rPr>
        <w:t>un processus d</w:t>
      </w:r>
      <w:r w:rsidR="00923E72">
        <w:rPr>
          <w:bCs/>
          <w:lang w:val="fr-FR"/>
        </w:rPr>
        <w:t>’</w:t>
      </w:r>
      <w:r w:rsidRPr="003A16E6">
        <w:rPr>
          <w:bCs/>
          <w:lang w:val="fr-FR"/>
        </w:rPr>
        <w:t>évaluation davantage axé sur l</w:t>
      </w:r>
      <w:r w:rsidR="00923E72">
        <w:rPr>
          <w:bCs/>
          <w:lang w:val="fr-FR"/>
        </w:rPr>
        <w:t>’</w:t>
      </w:r>
      <w:r w:rsidRPr="003A16E6">
        <w:rPr>
          <w:bCs/>
          <w:lang w:val="fr-FR"/>
        </w:rPr>
        <w:t>élément lui-même que sur les formulaires, ce qui, elle l</w:t>
      </w:r>
      <w:r w:rsidR="00923E72">
        <w:rPr>
          <w:bCs/>
          <w:lang w:val="fr-FR"/>
        </w:rPr>
        <w:t>’</w:t>
      </w:r>
      <w:r w:rsidRPr="003A16E6">
        <w:rPr>
          <w:bCs/>
          <w:lang w:val="fr-FR"/>
        </w:rPr>
        <w:t>espérait, était pris en compte dans les deux nouveaux paragraphes proposés. Elle a également suggéré un ajustement mineur du texte du paragraphe</w:t>
      </w:r>
      <w:r w:rsidR="00C43FEA">
        <w:rPr>
          <w:bCs/>
          <w:lang w:val="fr-FR"/>
        </w:rPr>
        <w:t> </w:t>
      </w:r>
      <w:r w:rsidRPr="003A16E6">
        <w:rPr>
          <w:bCs/>
          <w:lang w:val="fr-FR"/>
        </w:rPr>
        <w:t>12 afin de transmettre un langage plus positif.</w:t>
      </w:r>
    </w:p>
    <w:p w14:paraId="6DECFD70" w14:textId="2C9EF8D9" w:rsidR="003A16E6" w:rsidRDefault="00E050EE" w:rsidP="009E068C">
      <w:pPr>
        <w:pStyle w:val="Orateurengris"/>
        <w:numPr>
          <w:ilvl w:val="0"/>
          <w:numId w:val="20"/>
        </w:numPr>
        <w:tabs>
          <w:tab w:val="clear" w:pos="567"/>
        </w:tabs>
        <w:spacing w:before="120"/>
        <w:ind w:left="709" w:hanging="709"/>
        <w:rPr>
          <w:bCs/>
          <w:lang w:val="fr-FR"/>
        </w:rPr>
      </w:pPr>
      <w:r w:rsidRPr="00E050EE">
        <w:rPr>
          <w:bCs/>
          <w:lang w:val="fr-FR"/>
        </w:rPr>
        <w:t xml:space="preserve">La délégation de la </w:t>
      </w:r>
      <w:r w:rsidRPr="00702497">
        <w:rPr>
          <w:b/>
          <w:lang w:val="fr-FR"/>
        </w:rPr>
        <w:t>Tchéquie</w:t>
      </w:r>
      <w:r w:rsidRPr="00E050EE">
        <w:rPr>
          <w:bCs/>
          <w:lang w:val="fr-FR"/>
        </w:rPr>
        <w:t xml:space="preserve"> a félicité les pays et les communautés qui avaient inscrit leurs éléments, ajoutant qu</w:t>
      </w:r>
      <w:r w:rsidR="00923E72">
        <w:rPr>
          <w:bCs/>
          <w:lang w:val="fr-FR"/>
        </w:rPr>
        <w:t>’</w:t>
      </w:r>
      <w:r w:rsidRPr="00E050EE">
        <w:rPr>
          <w:bCs/>
          <w:lang w:val="fr-FR"/>
        </w:rPr>
        <w:t>il était formidable de voir ces traditions vivantes provenant du monde entier. Toutefois, la délégation était préoccupée par l</w:t>
      </w:r>
      <w:r w:rsidR="00923E72">
        <w:rPr>
          <w:bCs/>
          <w:lang w:val="fr-FR"/>
        </w:rPr>
        <w:t>’</w:t>
      </w:r>
      <w:r w:rsidRPr="00E050EE">
        <w:rPr>
          <w:bCs/>
          <w:lang w:val="fr-FR"/>
        </w:rPr>
        <w:t xml:space="preserve">attitude </w:t>
      </w:r>
      <w:r>
        <w:rPr>
          <w:bCs/>
          <w:lang w:val="fr-FR"/>
        </w:rPr>
        <w:t xml:space="preserve">conflictuelle </w:t>
      </w:r>
      <w:r w:rsidRPr="00E050EE">
        <w:rPr>
          <w:bCs/>
          <w:lang w:val="fr-FR"/>
        </w:rPr>
        <w:t xml:space="preserve">qui avait </w:t>
      </w:r>
      <w:r>
        <w:rPr>
          <w:bCs/>
          <w:lang w:val="fr-FR"/>
        </w:rPr>
        <w:t xml:space="preserve">été choisie pour </w:t>
      </w:r>
      <w:r w:rsidRPr="00E050EE">
        <w:rPr>
          <w:bCs/>
          <w:lang w:val="fr-FR"/>
        </w:rPr>
        <w:t>impos</w:t>
      </w:r>
      <w:r>
        <w:rPr>
          <w:bCs/>
          <w:lang w:val="fr-FR"/>
        </w:rPr>
        <w:t>er</w:t>
      </w:r>
      <w:r w:rsidRPr="00E050EE">
        <w:rPr>
          <w:bCs/>
          <w:lang w:val="fr-FR"/>
        </w:rPr>
        <w:t xml:space="preserve"> certaines décisions</w:t>
      </w:r>
      <w:r>
        <w:rPr>
          <w:bCs/>
          <w:lang w:val="fr-FR"/>
        </w:rPr>
        <w:t>,</w:t>
      </w:r>
      <w:r w:rsidRPr="00E050EE">
        <w:rPr>
          <w:bCs/>
          <w:lang w:val="fr-FR"/>
        </w:rPr>
        <w:t xml:space="preserve"> dans le but</w:t>
      </w:r>
      <w:r>
        <w:rPr>
          <w:bCs/>
          <w:lang w:val="fr-FR"/>
        </w:rPr>
        <w:t xml:space="preserve">, lui semblait-il, </w:t>
      </w:r>
      <w:r w:rsidRPr="00E050EE">
        <w:rPr>
          <w:bCs/>
          <w:lang w:val="fr-FR"/>
        </w:rPr>
        <w:t>de diviser le Comité, ce qui nuit à la Convention et à son universalité. Le fait de soutenir largement une option qui aboutit à une décision conforme au Règlement intérieur ne signifiait pas qu</w:t>
      </w:r>
      <w:r w:rsidR="00923E72">
        <w:rPr>
          <w:bCs/>
          <w:lang w:val="fr-FR"/>
        </w:rPr>
        <w:t>’</w:t>
      </w:r>
      <w:r w:rsidRPr="00E050EE">
        <w:rPr>
          <w:bCs/>
          <w:lang w:val="fr-FR"/>
        </w:rPr>
        <w:t>on était parvenu à un consensus. Même les voix minoritaires étaient importantes et méritaient d</w:t>
      </w:r>
      <w:r w:rsidR="00923E72">
        <w:rPr>
          <w:bCs/>
          <w:lang w:val="fr-FR"/>
        </w:rPr>
        <w:t>’</w:t>
      </w:r>
      <w:r w:rsidRPr="00E050EE">
        <w:rPr>
          <w:bCs/>
          <w:lang w:val="fr-FR"/>
        </w:rPr>
        <w:t>être traitées avec sérieux parce qu</w:t>
      </w:r>
      <w:r w:rsidR="00923E72">
        <w:rPr>
          <w:bCs/>
          <w:lang w:val="fr-FR"/>
        </w:rPr>
        <w:t>’</w:t>
      </w:r>
      <w:r w:rsidRPr="00E050EE">
        <w:rPr>
          <w:bCs/>
          <w:lang w:val="fr-FR"/>
        </w:rPr>
        <w:t>elles n</w:t>
      </w:r>
      <w:r w:rsidR="00923E72">
        <w:rPr>
          <w:bCs/>
          <w:lang w:val="fr-FR"/>
        </w:rPr>
        <w:t>’</w:t>
      </w:r>
      <w:r w:rsidRPr="00E050EE">
        <w:rPr>
          <w:bCs/>
          <w:lang w:val="fr-FR"/>
        </w:rPr>
        <w:t>étaient jamais motivées par la partialité ou la mauvaise volonté et qu</w:t>
      </w:r>
      <w:r w:rsidR="00923E72">
        <w:rPr>
          <w:bCs/>
          <w:lang w:val="fr-FR"/>
        </w:rPr>
        <w:t>’</w:t>
      </w:r>
      <w:r w:rsidRPr="00E050EE">
        <w:rPr>
          <w:bCs/>
          <w:lang w:val="fr-FR"/>
        </w:rPr>
        <w:t>elles étaient toujours ouvertes au dialogue. La délégation était très déçue que l</w:t>
      </w:r>
      <w:r w:rsidR="00923E72">
        <w:rPr>
          <w:bCs/>
          <w:lang w:val="fr-FR"/>
        </w:rPr>
        <w:t>’</w:t>
      </w:r>
      <w:r w:rsidRPr="00E050EE">
        <w:rPr>
          <w:bCs/>
          <w:lang w:val="fr-FR"/>
        </w:rPr>
        <w:t>accord de travail n</w:t>
      </w:r>
      <w:r w:rsidR="00923E72">
        <w:rPr>
          <w:bCs/>
          <w:lang w:val="fr-FR"/>
        </w:rPr>
        <w:t>’</w:t>
      </w:r>
      <w:r w:rsidRPr="00E050EE">
        <w:rPr>
          <w:bCs/>
          <w:lang w:val="fr-FR"/>
        </w:rPr>
        <w:t>ait pas été respecté au cours de cette session, car c</w:t>
      </w:r>
      <w:r w:rsidR="00923E72">
        <w:rPr>
          <w:bCs/>
          <w:lang w:val="fr-FR"/>
        </w:rPr>
        <w:t>’</w:t>
      </w:r>
      <w:r w:rsidR="005E778C">
        <w:rPr>
          <w:bCs/>
          <w:lang w:val="fr-FR"/>
        </w:rPr>
        <w:t>était</w:t>
      </w:r>
      <w:r w:rsidRPr="00E050EE">
        <w:rPr>
          <w:bCs/>
          <w:lang w:val="fr-FR"/>
        </w:rPr>
        <w:t xml:space="preserve"> une bonne méthode de travail </w:t>
      </w:r>
      <w:r w:rsidR="001F205C">
        <w:rPr>
          <w:bCs/>
          <w:lang w:val="fr-FR"/>
        </w:rPr>
        <w:t>qui avait fait</w:t>
      </w:r>
      <w:r w:rsidRPr="00E050EE">
        <w:rPr>
          <w:bCs/>
          <w:lang w:val="fr-FR"/>
        </w:rPr>
        <w:t xml:space="preserve"> ses preuves</w:t>
      </w:r>
      <w:r w:rsidR="001F63EE">
        <w:rPr>
          <w:bCs/>
          <w:lang w:val="fr-FR"/>
        </w:rPr>
        <w:t>,</w:t>
      </w:r>
      <w:r w:rsidRPr="00E050EE">
        <w:rPr>
          <w:bCs/>
          <w:lang w:val="fr-FR"/>
        </w:rPr>
        <w:t xml:space="preserve"> permet</w:t>
      </w:r>
      <w:r w:rsidR="005E778C">
        <w:rPr>
          <w:bCs/>
          <w:lang w:val="fr-FR"/>
        </w:rPr>
        <w:t>tait</w:t>
      </w:r>
      <w:r w:rsidRPr="00E050EE">
        <w:rPr>
          <w:bCs/>
          <w:lang w:val="fr-FR"/>
        </w:rPr>
        <w:t xml:space="preserve"> d</w:t>
      </w:r>
      <w:r w:rsidR="00923E72">
        <w:rPr>
          <w:bCs/>
          <w:lang w:val="fr-FR"/>
        </w:rPr>
        <w:t>’</w:t>
      </w:r>
      <w:r w:rsidRPr="00E050EE">
        <w:rPr>
          <w:bCs/>
          <w:lang w:val="fr-FR"/>
        </w:rPr>
        <w:t xml:space="preserve">améliorer les dossiers et </w:t>
      </w:r>
      <w:r w:rsidR="005E778C">
        <w:rPr>
          <w:bCs/>
          <w:lang w:val="fr-FR"/>
        </w:rPr>
        <w:t xml:space="preserve">aboutissait </w:t>
      </w:r>
      <w:r w:rsidRPr="00E050EE">
        <w:rPr>
          <w:bCs/>
          <w:lang w:val="fr-FR"/>
        </w:rPr>
        <w:t>à une meilleure sauvegarde du patrimoine culturel immatériel. Elle a regretté</w:t>
      </w:r>
      <w:r w:rsidR="00C43FEA">
        <w:rPr>
          <w:bCs/>
          <w:lang w:val="fr-FR"/>
        </w:rPr>
        <w:t xml:space="preserve"> </w:t>
      </w:r>
      <w:r w:rsidRPr="00E050EE">
        <w:rPr>
          <w:bCs/>
          <w:lang w:val="fr-FR"/>
        </w:rPr>
        <w:t>qu</w:t>
      </w:r>
      <w:r w:rsidR="00923E72">
        <w:rPr>
          <w:bCs/>
          <w:lang w:val="fr-FR"/>
        </w:rPr>
        <w:t>’</w:t>
      </w:r>
      <w:r w:rsidRPr="00E050EE">
        <w:rPr>
          <w:bCs/>
          <w:lang w:val="fr-FR"/>
        </w:rPr>
        <w:t>au sein du Comité</w:t>
      </w:r>
      <w:r w:rsidR="00C43FEA">
        <w:rPr>
          <w:bCs/>
          <w:lang w:val="fr-FR"/>
        </w:rPr>
        <w:t>,</w:t>
      </w:r>
      <w:r w:rsidRPr="00E050EE">
        <w:rPr>
          <w:bCs/>
          <w:lang w:val="fr-FR"/>
        </w:rPr>
        <w:t xml:space="preserve"> </w:t>
      </w:r>
      <w:r w:rsidR="001F205C">
        <w:rPr>
          <w:bCs/>
          <w:lang w:val="fr-FR"/>
        </w:rPr>
        <w:t>tous n</w:t>
      </w:r>
      <w:r w:rsidR="00923E72">
        <w:rPr>
          <w:bCs/>
          <w:lang w:val="fr-FR"/>
        </w:rPr>
        <w:t>’</w:t>
      </w:r>
      <w:r w:rsidR="001F205C">
        <w:rPr>
          <w:bCs/>
          <w:lang w:val="fr-FR"/>
        </w:rPr>
        <w:t xml:space="preserve">aient pas compris </w:t>
      </w:r>
      <w:r w:rsidRPr="00E050EE">
        <w:rPr>
          <w:bCs/>
          <w:lang w:val="fr-FR"/>
        </w:rPr>
        <w:t>que l</w:t>
      </w:r>
      <w:r w:rsidR="00923E72">
        <w:rPr>
          <w:bCs/>
          <w:lang w:val="fr-FR"/>
        </w:rPr>
        <w:t>’</w:t>
      </w:r>
      <w:r w:rsidRPr="00E050EE">
        <w:rPr>
          <w:bCs/>
          <w:lang w:val="fr-FR"/>
        </w:rPr>
        <w:t>option du renvoi ne représente en aucun cas une évaluation défavorable de l</w:t>
      </w:r>
      <w:r w:rsidR="00923E72">
        <w:rPr>
          <w:bCs/>
          <w:lang w:val="fr-FR"/>
        </w:rPr>
        <w:t>’</w:t>
      </w:r>
      <w:r w:rsidRPr="00E050EE">
        <w:rPr>
          <w:bCs/>
          <w:lang w:val="fr-FR"/>
        </w:rPr>
        <w:t>élément lui-même, mais qu</w:t>
      </w:r>
      <w:r w:rsidR="00923E72">
        <w:rPr>
          <w:bCs/>
          <w:lang w:val="fr-FR"/>
        </w:rPr>
        <w:t>’</w:t>
      </w:r>
      <w:r w:rsidRPr="00E050EE">
        <w:rPr>
          <w:bCs/>
          <w:lang w:val="fr-FR"/>
        </w:rPr>
        <w:t>il s</w:t>
      </w:r>
      <w:r w:rsidR="00923E72">
        <w:rPr>
          <w:bCs/>
          <w:lang w:val="fr-FR"/>
        </w:rPr>
        <w:t>’</w:t>
      </w:r>
      <w:r w:rsidRPr="00E050EE">
        <w:rPr>
          <w:bCs/>
          <w:lang w:val="fr-FR"/>
        </w:rPr>
        <w:t>agit plutôt d</w:t>
      </w:r>
      <w:r w:rsidR="00923E72">
        <w:rPr>
          <w:bCs/>
          <w:lang w:val="fr-FR"/>
        </w:rPr>
        <w:t>’</w:t>
      </w:r>
      <w:r w:rsidRPr="00E050EE">
        <w:rPr>
          <w:bCs/>
          <w:lang w:val="fr-FR"/>
        </w:rPr>
        <w:t>une opportunité pour les communautés de présenter leurs éléments d</w:t>
      </w:r>
      <w:r w:rsidR="00923E72">
        <w:rPr>
          <w:bCs/>
          <w:lang w:val="fr-FR"/>
        </w:rPr>
        <w:t>’</w:t>
      </w:r>
      <w:r w:rsidRPr="00E050EE">
        <w:rPr>
          <w:bCs/>
          <w:lang w:val="fr-FR"/>
        </w:rPr>
        <w:t>une manière compréhensible p</w:t>
      </w:r>
      <w:r w:rsidR="005E778C">
        <w:rPr>
          <w:bCs/>
          <w:lang w:val="fr-FR"/>
        </w:rPr>
        <w:t>ou</w:t>
      </w:r>
      <w:r w:rsidRPr="00E050EE">
        <w:rPr>
          <w:bCs/>
          <w:lang w:val="fr-FR"/>
        </w:rPr>
        <w:t xml:space="preserve">r tous. Dans ce cycle, plusieurs dossiers avaient été </w:t>
      </w:r>
      <w:r w:rsidR="005E778C" w:rsidRPr="00587D0D">
        <w:rPr>
          <w:bCs/>
          <w:lang w:val="fr-FR"/>
        </w:rPr>
        <w:t>révisés</w:t>
      </w:r>
      <w:r w:rsidRPr="00E050EE">
        <w:rPr>
          <w:bCs/>
          <w:lang w:val="fr-FR"/>
        </w:rPr>
        <w:t xml:space="preserve"> et inscrits. Cette approche n</w:t>
      </w:r>
      <w:r w:rsidR="00923E72">
        <w:rPr>
          <w:bCs/>
          <w:lang w:val="fr-FR"/>
        </w:rPr>
        <w:t>’</w:t>
      </w:r>
      <w:r w:rsidRPr="00E050EE">
        <w:rPr>
          <w:bCs/>
          <w:lang w:val="fr-FR"/>
        </w:rPr>
        <w:t xml:space="preserve">était pas </w:t>
      </w:r>
      <w:r w:rsidR="00C43FEA">
        <w:rPr>
          <w:bCs/>
          <w:lang w:val="fr-FR"/>
        </w:rPr>
        <w:t>équitable vis-à-vis d</w:t>
      </w:r>
      <w:r w:rsidRPr="00E050EE">
        <w:rPr>
          <w:bCs/>
          <w:lang w:val="fr-FR"/>
        </w:rPr>
        <w:t>es communautés qui avaient consenti des efforts supplémentaires pour mettre leurs candidatures en conformité avec les règles établies par le Comité lui-même, ni pour l</w:t>
      </w:r>
      <w:r w:rsidR="00923E72">
        <w:rPr>
          <w:bCs/>
          <w:lang w:val="fr-FR"/>
        </w:rPr>
        <w:t>’</w:t>
      </w:r>
      <w:r w:rsidRPr="00E050EE">
        <w:rPr>
          <w:bCs/>
          <w:lang w:val="fr-FR"/>
        </w:rPr>
        <w:t>Organe d</w:t>
      </w:r>
      <w:r w:rsidR="00923E72">
        <w:rPr>
          <w:bCs/>
          <w:lang w:val="fr-FR"/>
        </w:rPr>
        <w:t>’</w:t>
      </w:r>
      <w:r w:rsidRPr="00E050EE">
        <w:rPr>
          <w:bCs/>
          <w:lang w:val="fr-FR"/>
        </w:rPr>
        <w:t>évaluation, car elle donnait l</w:t>
      </w:r>
      <w:r w:rsidR="00923E72">
        <w:rPr>
          <w:bCs/>
          <w:lang w:val="fr-FR"/>
        </w:rPr>
        <w:t>’</w:t>
      </w:r>
      <w:r w:rsidRPr="00E050EE">
        <w:rPr>
          <w:bCs/>
          <w:lang w:val="fr-FR"/>
        </w:rPr>
        <w:t>impression qu</w:t>
      </w:r>
      <w:r w:rsidR="00923E72">
        <w:rPr>
          <w:bCs/>
          <w:lang w:val="fr-FR"/>
        </w:rPr>
        <w:t>’</w:t>
      </w:r>
      <w:r w:rsidRPr="00E050EE">
        <w:rPr>
          <w:bCs/>
          <w:lang w:val="fr-FR"/>
        </w:rPr>
        <w:t>en fin de compte, l</w:t>
      </w:r>
      <w:r w:rsidR="00923E72">
        <w:rPr>
          <w:bCs/>
          <w:lang w:val="fr-FR"/>
        </w:rPr>
        <w:t>’</w:t>
      </w:r>
      <w:r w:rsidRPr="00E050EE">
        <w:rPr>
          <w:bCs/>
          <w:lang w:val="fr-FR"/>
        </w:rPr>
        <w:t>Organe était censé trouver un moyen d</w:t>
      </w:r>
      <w:r w:rsidR="00923E72">
        <w:rPr>
          <w:bCs/>
          <w:lang w:val="fr-FR"/>
        </w:rPr>
        <w:t>’</w:t>
      </w:r>
      <w:r w:rsidRPr="00E050EE">
        <w:rPr>
          <w:bCs/>
          <w:lang w:val="fr-FR"/>
        </w:rPr>
        <w:t>évaluer tous les dossiers de manière positive. En outre, la salle et l</w:t>
      </w:r>
      <w:r w:rsidR="00923E72">
        <w:rPr>
          <w:bCs/>
          <w:lang w:val="fr-FR"/>
        </w:rPr>
        <w:t>’</w:t>
      </w:r>
      <w:r w:rsidRPr="00E050EE">
        <w:rPr>
          <w:bCs/>
          <w:lang w:val="fr-FR"/>
        </w:rPr>
        <w:t>espace virtuel étaient remplis d</w:t>
      </w:r>
      <w:r w:rsidR="00923E72">
        <w:rPr>
          <w:bCs/>
          <w:lang w:val="fr-FR"/>
        </w:rPr>
        <w:t>’</w:t>
      </w:r>
      <w:r w:rsidRPr="00E050EE">
        <w:rPr>
          <w:bCs/>
          <w:lang w:val="fr-FR"/>
        </w:rPr>
        <w:t>observateurs qui suivaient attentivement les travaux du Comité et auxquels étaient transmis des messages incohérents, ce qui nuisait à la crédibilité du Comité. La réflexion globale sur les mécanismes d</w:t>
      </w:r>
      <w:r w:rsidR="00923E72">
        <w:rPr>
          <w:bCs/>
          <w:lang w:val="fr-FR"/>
        </w:rPr>
        <w:t>’</w:t>
      </w:r>
      <w:r w:rsidRPr="00E050EE">
        <w:rPr>
          <w:bCs/>
          <w:lang w:val="fr-FR"/>
        </w:rPr>
        <w:t>inscription venait toutefois de s</w:t>
      </w:r>
      <w:r w:rsidR="00923E72">
        <w:rPr>
          <w:bCs/>
          <w:lang w:val="fr-FR"/>
        </w:rPr>
        <w:t>’</w:t>
      </w:r>
      <w:r w:rsidRPr="00E050EE">
        <w:rPr>
          <w:bCs/>
          <w:lang w:val="fr-FR"/>
        </w:rPr>
        <w:t>achever et le Comité ne cessait d</w:t>
      </w:r>
      <w:r w:rsidR="00923E72">
        <w:rPr>
          <w:bCs/>
          <w:lang w:val="fr-FR"/>
        </w:rPr>
        <w:t>’</w:t>
      </w:r>
      <w:r w:rsidRPr="00E050EE">
        <w:rPr>
          <w:bCs/>
          <w:lang w:val="fr-FR"/>
        </w:rPr>
        <w:t>améliorer ses méthodes de travail. La délégation a rappelé que les pays ayant moins d</w:t>
      </w:r>
      <w:r w:rsidR="00923E72">
        <w:rPr>
          <w:bCs/>
          <w:lang w:val="fr-FR"/>
        </w:rPr>
        <w:t>’</w:t>
      </w:r>
      <w:r w:rsidRPr="00E050EE">
        <w:rPr>
          <w:bCs/>
          <w:lang w:val="fr-FR"/>
        </w:rPr>
        <w:t>éléments inscrits bénéficient d</w:t>
      </w:r>
      <w:r w:rsidR="00923E72">
        <w:rPr>
          <w:bCs/>
          <w:lang w:val="fr-FR"/>
        </w:rPr>
        <w:t>’</w:t>
      </w:r>
      <w:r w:rsidRPr="00E050EE">
        <w:rPr>
          <w:bCs/>
          <w:lang w:val="fr-FR"/>
        </w:rPr>
        <w:t>un réseau global de facilitateurs et d</w:t>
      </w:r>
      <w:r w:rsidR="00923E72">
        <w:rPr>
          <w:bCs/>
          <w:lang w:val="fr-FR"/>
        </w:rPr>
        <w:t>’</w:t>
      </w:r>
      <w:r w:rsidRPr="00E050EE">
        <w:rPr>
          <w:bCs/>
          <w:lang w:val="fr-FR"/>
        </w:rPr>
        <w:t>ONG accréditées ainsi que d</w:t>
      </w:r>
      <w:r w:rsidR="00923E72">
        <w:rPr>
          <w:bCs/>
          <w:lang w:val="fr-FR"/>
        </w:rPr>
        <w:t>’</w:t>
      </w:r>
      <w:r w:rsidRPr="00E050EE">
        <w:rPr>
          <w:bCs/>
          <w:lang w:val="fr-FR"/>
        </w:rPr>
        <w:t>un réseau de renforcement des capacités qui comprend une aide à la préparation des dossiers. La délégation a conclu son intervention en soutenant le trava</w:t>
      </w:r>
      <w:r w:rsidR="00CD68C2">
        <w:rPr>
          <w:bCs/>
          <w:lang w:val="fr-FR"/>
        </w:rPr>
        <w:t>il</w:t>
      </w:r>
      <w:r w:rsidRPr="00E050EE">
        <w:rPr>
          <w:bCs/>
          <w:lang w:val="fr-FR"/>
        </w:rPr>
        <w:t xml:space="preserve"> de l</w:t>
      </w:r>
      <w:r w:rsidR="00923E72">
        <w:rPr>
          <w:bCs/>
          <w:lang w:val="fr-FR"/>
        </w:rPr>
        <w:t>’</w:t>
      </w:r>
      <w:r w:rsidRPr="00E050EE">
        <w:rPr>
          <w:bCs/>
          <w:lang w:val="fr-FR"/>
        </w:rPr>
        <w:t>Organe d</w:t>
      </w:r>
      <w:r w:rsidR="00923E72">
        <w:rPr>
          <w:bCs/>
          <w:lang w:val="fr-FR"/>
        </w:rPr>
        <w:t>’</w:t>
      </w:r>
      <w:r w:rsidRPr="00E050EE">
        <w:rPr>
          <w:bCs/>
          <w:lang w:val="fr-FR"/>
        </w:rPr>
        <w:t>évaluation et ce</w:t>
      </w:r>
      <w:r w:rsidR="00CD68C2">
        <w:rPr>
          <w:bCs/>
          <w:lang w:val="fr-FR"/>
        </w:rPr>
        <w:t>lui</w:t>
      </w:r>
      <w:r w:rsidRPr="00E050EE">
        <w:rPr>
          <w:bCs/>
          <w:lang w:val="fr-FR"/>
        </w:rPr>
        <w:t xml:space="preserve"> des experts, </w:t>
      </w:r>
      <w:r w:rsidR="00CD68C2">
        <w:rPr>
          <w:bCs/>
          <w:lang w:val="fr-FR"/>
        </w:rPr>
        <w:t>travail sur lequel</w:t>
      </w:r>
      <w:r w:rsidRPr="00E050EE">
        <w:rPr>
          <w:bCs/>
          <w:lang w:val="fr-FR"/>
        </w:rPr>
        <w:t xml:space="preserve"> devraient </w:t>
      </w:r>
      <w:r w:rsidR="00CD68C2">
        <w:rPr>
          <w:bCs/>
          <w:lang w:val="fr-FR"/>
        </w:rPr>
        <w:t>se fonder</w:t>
      </w:r>
      <w:r w:rsidRPr="00E050EE">
        <w:rPr>
          <w:bCs/>
          <w:lang w:val="fr-FR"/>
        </w:rPr>
        <w:t xml:space="preserve"> toutes les décisions. Elle était favorable à l</w:t>
      </w:r>
      <w:r w:rsidR="00923E72">
        <w:rPr>
          <w:bCs/>
          <w:lang w:val="fr-FR"/>
        </w:rPr>
        <w:t>’</w:t>
      </w:r>
      <w:r w:rsidRPr="00E050EE">
        <w:rPr>
          <w:bCs/>
          <w:lang w:val="fr-FR"/>
        </w:rPr>
        <w:t>examen d</w:t>
      </w:r>
      <w:r w:rsidR="00923E72">
        <w:rPr>
          <w:bCs/>
          <w:lang w:val="fr-FR"/>
        </w:rPr>
        <w:t>’</w:t>
      </w:r>
      <w:r w:rsidRPr="00E050EE">
        <w:rPr>
          <w:bCs/>
          <w:lang w:val="fr-FR"/>
        </w:rPr>
        <w:t>un plus grand nombre de dossiers, au recours systématique au dialogue, à la simplification des formulaires de candidature et à une véritable reconnaissance du travail de l</w:t>
      </w:r>
      <w:r w:rsidR="00923E72">
        <w:rPr>
          <w:bCs/>
          <w:lang w:val="fr-FR"/>
        </w:rPr>
        <w:t>’</w:t>
      </w:r>
      <w:r w:rsidRPr="00E050EE">
        <w:rPr>
          <w:bCs/>
          <w:lang w:val="fr-FR"/>
        </w:rPr>
        <w:t>Organe d</w:t>
      </w:r>
      <w:r w:rsidR="00923E72">
        <w:rPr>
          <w:bCs/>
          <w:lang w:val="fr-FR"/>
        </w:rPr>
        <w:t>’</w:t>
      </w:r>
      <w:r w:rsidRPr="00E050EE">
        <w:rPr>
          <w:bCs/>
          <w:lang w:val="fr-FR"/>
        </w:rPr>
        <w:t>évaluation et de ses recommandations.</w:t>
      </w:r>
    </w:p>
    <w:p w14:paraId="34A89AC4" w14:textId="6CC22733" w:rsidR="00C842F6" w:rsidRDefault="00C842F6" w:rsidP="009E068C">
      <w:pPr>
        <w:pStyle w:val="Orateurengris"/>
        <w:numPr>
          <w:ilvl w:val="0"/>
          <w:numId w:val="20"/>
        </w:numPr>
        <w:tabs>
          <w:tab w:val="clear" w:pos="567"/>
        </w:tabs>
        <w:spacing w:before="120"/>
        <w:ind w:left="709" w:hanging="709"/>
        <w:rPr>
          <w:bCs/>
          <w:lang w:val="fr-FR"/>
        </w:rPr>
      </w:pPr>
      <w:r w:rsidRPr="00C842F6">
        <w:rPr>
          <w:bCs/>
          <w:lang w:val="fr-FR"/>
        </w:rPr>
        <w:t xml:space="preserve">La délégation du </w:t>
      </w:r>
      <w:r w:rsidRPr="00702497">
        <w:rPr>
          <w:b/>
          <w:lang w:val="fr-FR"/>
        </w:rPr>
        <w:t>Paraguay</w:t>
      </w:r>
      <w:r w:rsidR="00CD68C2">
        <w:rPr>
          <w:bCs/>
          <w:lang w:val="fr-FR"/>
        </w:rPr>
        <w:t xml:space="preserve">, </w:t>
      </w:r>
      <w:r w:rsidR="00CD68C2" w:rsidRPr="00C842F6">
        <w:rPr>
          <w:bCs/>
          <w:lang w:val="fr-FR"/>
        </w:rPr>
        <w:t xml:space="preserve">pleinement consciente de </w:t>
      </w:r>
      <w:r w:rsidR="00CD68C2">
        <w:rPr>
          <w:bCs/>
          <w:lang w:val="fr-FR"/>
        </w:rPr>
        <w:t xml:space="preserve">la </w:t>
      </w:r>
      <w:r w:rsidR="00CD68C2" w:rsidRPr="00C842F6">
        <w:rPr>
          <w:bCs/>
          <w:lang w:val="fr-FR"/>
        </w:rPr>
        <w:t>tâche monumentale et exigeante</w:t>
      </w:r>
      <w:r w:rsidR="00CD68C2">
        <w:rPr>
          <w:bCs/>
          <w:lang w:val="fr-FR"/>
        </w:rPr>
        <w:t xml:space="preserve"> de l</w:t>
      </w:r>
      <w:r w:rsidR="00923E72">
        <w:rPr>
          <w:bCs/>
          <w:lang w:val="fr-FR"/>
        </w:rPr>
        <w:t>’</w:t>
      </w:r>
      <w:r w:rsidR="00CD68C2">
        <w:rPr>
          <w:bCs/>
          <w:lang w:val="fr-FR"/>
        </w:rPr>
        <w:t>Organe d</w:t>
      </w:r>
      <w:r w:rsidR="00923E72">
        <w:rPr>
          <w:bCs/>
          <w:lang w:val="fr-FR"/>
        </w:rPr>
        <w:t>’</w:t>
      </w:r>
      <w:r w:rsidR="00CD68C2">
        <w:rPr>
          <w:bCs/>
          <w:lang w:val="fr-FR"/>
        </w:rPr>
        <w:t>évaluation,</w:t>
      </w:r>
      <w:r w:rsidR="00CD68C2" w:rsidRPr="00C842F6">
        <w:rPr>
          <w:bCs/>
          <w:lang w:val="fr-FR"/>
        </w:rPr>
        <w:t xml:space="preserve"> </w:t>
      </w:r>
      <w:r w:rsidR="00CD68C2">
        <w:rPr>
          <w:bCs/>
          <w:lang w:val="fr-FR"/>
        </w:rPr>
        <w:t>l</w:t>
      </w:r>
      <w:r w:rsidR="00923E72">
        <w:rPr>
          <w:bCs/>
          <w:lang w:val="fr-FR"/>
        </w:rPr>
        <w:t>’</w:t>
      </w:r>
      <w:r w:rsidRPr="00C842F6">
        <w:rPr>
          <w:bCs/>
          <w:lang w:val="fr-FR"/>
        </w:rPr>
        <w:t>a remercié</w:t>
      </w:r>
      <w:r w:rsidR="00CD68C2">
        <w:rPr>
          <w:bCs/>
          <w:lang w:val="fr-FR"/>
        </w:rPr>
        <w:t xml:space="preserve"> </w:t>
      </w:r>
      <w:r w:rsidRPr="00C842F6">
        <w:rPr>
          <w:bCs/>
          <w:lang w:val="fr-FR"/>
        </w:rPr>
        <w:t>pour ses efforts</w:t>
      </w:r>
      <w:r w:rsidR="00CD68C2">
        <w:rPr>
          <w:bCs/>
          <w:lang w:val="fr-FR"/>
        </w:rPr>
        <w:t xml:space="preserve"> considérables</w:t>
      </w:r>
      <w:r w:rsidRPr="00C842F6">
        <w:rPr>
          <w:bCs/>
          <w:lang w:val="fr-FR"/>
        </w:rPr>
        <w:t>. Dans le même ordre d</w:t>
      </w:r>
      <w:r w:rsidR="00923E72">
        <w:rPr>
          <w:bCs/>
          <w:lang w:val="fr-FR"/>
        </w:rPr>
        <w:t>’</w:t>
      </w:r>
      <w:r w:rsidRPr="00C842F6">
        <w:rPr>
          <w:bCs/>
          <w:lang w:val="fr-FR"/>
        </w:rPr>
        <w:t>idées que le Brésil, elle a fait remarquer qu</w:t>
      </w:r>
      <w:r w:rsidR="00923E72">
        <w:rPr>
          <w:bCs/>
          <w:lang w:val="fr-FR"/>
        </w:rPr>
        <w:t>’</w:t>
      </w:r>
      <w:r w:rsidRPr="00C842F6">
        <w:rPr>
          <w:bCs/>
          <w:lang w:val="fr-FR"/>
        </w:rPr>
        <w:t xml:space="preserve">au cours des derniers jours de débat, certains </w:t>
      </w:r>
      <w:r w:rsidRPr="00C842F6">
        <w:rPr>
          <w:bCs/>
          <w:lang w:val="fr-FR"/>
        </w:rPr>
        <w:lastRenderedPageBreak/>
        <w:t>éléments méritaient d</w:t>
      </w:r>
      <w:r w:rsidR="00923E72">
        <w:rPr>
          <w:bCs/>
          <w:lang w:val="fr-FR"/>
        </w:rPr>
        <w:t>’</w:t>
      </w:r>
      <w:r w:rsidRPr="00C842F6">
        <w:rPr>
          <w:bCs/>
          <w:lang w:val="fr-FR"/>
        </w:rPr>
        <w:t>être inscrits mais ne disposaient pas d</w:t>
      </w:r>
      <w:r w:rsidR="00923E72">
        <w:rPr>
          <w:bCs/>
          <w:lang w:val="fr-FR"/>
        </w:rPr>
        <w:t>’</w:t>
      </w:r>
      <w:r w:rsidRPr="00C842F6">
        <w:rPr>
          <w:bCs/>
          <w:lang w:val="fr-FR"/>
        </w:rPr>
        <w:t>une documentation suffisamment solide, alors que la soumission de la Zambie avait reçu beaucoup de soutien en raison de la vitalité de l</w:t>
      </w:r>
      <w:r w:rsidR="00923E72">
        <w:rPr>
          <w:bCs/>
          <w:lang w:val="fr-FR"/>
        </w:rPr>
        <w:t>’</w:t>
      </w:r>
      <w:r w:rsidRPr="00C842F6">
        <w:rPr>
          <w:bCs/>
          <w:lang w:val="fr-FR"/>
        </w:rPr>
        <w:t>élément lui-même. Certains éléments étaient solides en soi, tandis que d</w:t>
      </w:r>
      <w:r w:rsidR="00923E72">
        <w:rPr>
          <w:bCs/>
          <w:lang w:val="fr-FR"/>
        </w:rPr>
        <w:t>’</w:t>
      </w:r>
      <w:r w:rsidRPr="00C842F6">
        <w:rPr>
          <w:bCs/>
          <w:lang w:val="fr-FR"/>
        </w:rPr>
        <w:t>autres recevaient parfois des recommandations positives sur la base d</w:t>
      </w:r>
      <w:r w:rsidR="00923E72">
        <w:rPr>
          <w:bCs/>
          <w:lang w:val="fr-FR"/>
        </w:rPr>
        <w:t>’</w:t>
      </w:r>
      <w:r w:rsidRPr="00C842F6">
        <w:rPr>
          <w:bCs/>
          <w:lang w:val="fr-FR"/>
        </w:rPr>
        <w:t>une documentation de grande qualité. La leçon à en tirer était que le Comité devait toujours se concentrer sur la culture elle-même en tant qu</w:t>
      </w:r>
      <w:r w:rsidR="00923E72">
        <w:rPr>
          <w:bCs/>
          <w:lang w:val="fr-FR"/>
        </w:rPr>
        <w:t>’</w:t>
      </w:r>
      <w:r w:rsidRPr="00C842F6">
        <w:rPr>
          <w:bCs/>
          <w:lang w:val="fr-FR"/>
        </w:rPr>
        <w:t>expression vivante d</w:t>
      </w:r>
      <w:r w:rsidR="00923E72">
        <w:rPr>
          <w:bCs/>
          <w:lang w:val="fr-FR"/>
        </w:rPr>
        <w:t>’</w:t>
      </w:r>
      <w:r w:rsidRPr="00C842F6">
        <w:rPr>
          <w:bCs/>
          <w:lang w:val="fr-FR"/>
        </w:rPr>
        <w:t>une tradition et ensuite concevoir les mécanismes appropriés</w:t>
      </w:r>
      <w:r w:rsidR="001F63EE">
        <w:rPr>
          <w:bCs/>
          <w:lang w:val="fr-FR"/>
        </w:rPr>
        <w:t>,</w:t>
      </w:r>
      <w:r w:rsidRPr="00C842F6">
        <w:rPr>
          <w:bCs/>
          <w:lang w:val="fr-FR"/>
        </w:rPr>
        <w:t xml:space="preserve"> qui permettraient à l</w:t>
      </w:r>
      <w:r w:rsidR="00923E72">
        <w:rPr>
          <w:bCs/>
          <w:lang w:val="fr-FR"/>
        </w:rPr>
        <w:t>’</w:t>
      </w:r>
      <w:r w:rsidRPr="00C842F6">
        <w:rPr>
          <w:bCs/>
          <w:lang w:val="fr-FR"/>
        </w:rPr>
        <w:t>Organe d</w:t>
      </w:r>
      <w:r w:rsidR="00923E72">
        <w:rPr>
          <w:bCs/>
          <w:lang w:val="fr-FR"/>
        </w:rPr>
        <w:t>’</w:t>
      </w:r>
      <w:r w:rsidRPr="00C842F6">
        <w:rPr>
          <w:bCs/>
          <w:lang w:val="fr-FR"/>
        </w:rPr>
        <w:t>évaluation de garantir que leurs évaluations sont aussi objectives que possible.</w:t>
      </w:r>
    </w:p>
    <w:p w14:paraId="225C21C4" w14:textId="08F300DF" w:rsidR="00C842F6" w:rsidRDefault="00C842F6" w:rsidP="009E068C">
      <w:pPr>
        <w:pStyle w:val="Orateurengris"/>
        <w:numPr>
          <w:ilvl w:val="0"/>
          <w:numId w:val="20"/>
        </w:numPr>
        <w:tabs>
          <w:tab w:val="clear" w:pos="567"/>
        </w:tabs>
        <w:spacing w:before="120"/>
        <w:ind w:left="709" w:hanging="709"/>
        <w:rPr>
          <w:bCs/>
          <w:lang w:val="fr-FR"/>
        </w:rPr>
      </w:pPr>
      <w:r w:rsidRPr="00C842F6">
        <w:rPr>
          <w:bCs/>
          <w:lang w:val="fr-FR"/>
        </w:rPr>
        <w:t xml:space="preserve">La délégation de la </w:t>
      </w:r>
      <w:r w:rsidRPr="00702497">
        <w:rPr>
          <w:b/>
          <w:lang w:val="fr-FR"/>
        </w:rPr>
        <w:t>Slovaquie</w:t>
      </w:r>
      <w:r w:rsidRPr="00C842F6">
        <w:rPr>
          <w:bCs/>
          <w:lang w:val="fr-FR"/>
        </w:rPr>
        <w:t xml:space="preserve"> a félicité tous les pays dont les éléments du patrimoine culturel immatériel avaient été inscrits au cours de cette session, remerciant l</w:t>
      </w:r>
      <w:r w:rsidR="00923E72">
        <w:rPr>
          <w:bCs/>
          <w:lang w:val="fr-FR"/>
        </w:rPr>
        <w:t>’</w:t>
      </w:r>
      <w:r w:rsidRPr="00C842F6">
        <w:rPr>
          <w:bCs/>
          <w:lang w:val="fr-FR"/>
        </w:rPr>
        <w:t>Organe d</w:t>
      </w:r>
      <w:r w:rsidR="00923E72">
        <w:rPr>
          <w:bCs/>
          <w:lang w:val="fr-FR"/>
        </w:rPr>
        <w:t>’</w:t>
      </w:r>
      <w:r w:rsidRPr="00C842F6">
        <w:rPr>
          <w:bCs/>
          <w:lang w:val="fr-FR"/>
        </w:rPr>
        <w:t>évaluation pour son excellent et indispensable travail d</w:t>
      </w:r>
      <w:r w:rsidR="00923E72">
        <w:rPr>
          <w:bCs/>
          <w:lang w:val="fr-FR"/>
        </w:rPr>
        <w:t>’</w:t>
      </w:r>
      <w:r w:rsidRPr="00C842F6">
        <w:rPr>
          <w:bCs/>
          <w:lang w:val="fr-FR"/>
        </w:rPr>
        <w:t>expert. Elle souscrivait aux suggestions émises par les membres du Comité tout au long des discussions sur la manière d</w:t>
      </w:r>
      <w:r w:rsidR="00923E72">
        <w:rPr>
          <w:bCs/>
          <w:lang w:val="fr-FR"/>
        </w:rPr>
        <w:t>’</w:t>
      </w:r>
      <w:r w:rsidRPr="00C842F6">
        <w:rPr>
          <w:bCs/>
          <w:lang w:val="fr-FR"/>
        </w:rPr>
        <w:t>améliorer les méthodes de travail afin de renforcer la transparence, le caractère inclusif et le processus d</w:t>
      </w:r>
      <w:r w:rsidR="00923E72">
        <w:rPr>
          <w:bCs/>
          <w:lang w:val="fr-FR"/>
        </w:rPr>
        <w:t>’</w:t>
      </w:r>
      <w:r w:rsidRPr="00C842F6">
        <w:rPr>
          <w:bCs/>
          <w:lang w:val="fr-FR"/>
        </w:rPr>
        <w:t>évaluation. La délégation s</w:t>
      </w:r>
      <w:r w:rsidR="00923E72">
        <w:rPr>
          <w:bCs/>
          <w:lang w:val="fr-FR"/>
        </w:rPr>
        <w:t>’</w:t>
      </w:r>
      <w:r w:rsidRPr="00C842F6">
        <w:rPr>
          <w:bCs/>
          <w:lang w:val="fr-FR"/>
        </w:rPr>
        <w:t>est particulièrement félicitée de l</w:t>
      </w:r>
      <w:r w:rsidR="00923E72">
        <w:rPr>
          <w:bCs/>
          <w:lang w:val="fr-FR"/>
        </w:rPr>
        <w:t>’</w:t>
      </w:r>
      <w:r w:rsidRPr="00C842F6">
        <w:rPr>
          <w:bCs/>
          <w:lang w:val="fr-FR"/>
        </w:rPr>
        <w:t>initiative visant à définir les moyens possibles d</w:t>
      </w:r>
      <w:r w:rsidR="00923E72">
        <w:rPr>
          <w:bCs/>
          <w:lang w:val="fr-FR"/>
        </w:rPr>
        <w:t>’</w:t>
      </w:r>
      <w:r w:rsidRPr="00C842F6">
        <w:rPr>
          <w:bCs/>
          <w:lang w:val="fr-FR"/>
        </w:rPr>
        <w:t>utiliser les sources externes de manière transparente et démocratique. Comme l</w:t>
      </w:r>
      <w:r w:rsidR="00923E72">
        <w:rPr>
          <w:bCs/>
          <w:lang w:val="fr-FR"/>
        </w:rPr>
        <w:t>’</w:t>
      </w:r>
      <w:r w:rsidRPr="00C842F6">
        <w:rPr>
          <w:bCs/>
          <w:lang w:val="fr-FR"/>
        </w:rPr>
        <w:t>avait mentionné le Secrétaire, ce processus avait déjà été approuvé dans le cadre des mécanismes d</w:t>
      </w:r>
      <w:r w:rsidR="00923E72">
        <w:rPr>
          <w:bCs/>
          <w:lang w:val="fr-FR"/>
        </w:rPr>
        <w:t>’</w:t>
      </w:r>
      <w:r w:rsidRPr="00C842F6">
        <w:rPr>
          <w:bCs/>
          <w:lang w:val="fr-FR"/>
        </w:rPr>
        <w:t xml:space="preserve">inscription et son </w:t>
      </w:r>
      <w:r w:rsidR="00CD68C2">
        <w:rPr>
          <w:bCs/>
          <w:lang w:val="fr-FR"/>
        </w:rPr>
        <w:t xml:space="preserve">impact </w:t>
      </w:r>
      <w:r w:rsidRPr="00C842F6">
        <w:rPr>
          <w:bCs/>
          <w:lang w:val="fr-FR"/>
        </w:rPr>
        <w:t>ne devrait pas tarder à se faire sentir. Nous vivions à une époque où les sources d</w:t>
      </w:r>
      <w:r w:rsidR="00923E72">
        <w:rPr>
          <w:bCs/>
          <w:lang w:val="fr-FR"/>
        </w:rPr>
        <w:t>’</w:t>
      </w:r>
      <w:r w:rsidRPr="00C842F6">
        <w:rPr>
          <w:bCs/>
          <w:lang w:val="fr-FR"/>
        </w:rPr>
        <w:t>information facilement accessibles étaient pléthoriques, mais le défi de la sélection et de l</w:t>
      </w:r>
      <w:r w:rsidR="00923E72">
        <w:rPr>
          <w:bCs/>
          <w:lang w:val="fr-FR"/>
        </w:rPr>
        <w:t>’</w:t>
      </w:r>
      <w:r w:rsidRPr="00C842F6">
        <w:rPr>
          <w:bCs/>
          <w:lang w:val="fr-FR"/>
        </w:rPr>
        <w:t>orientation se posait. Tout était sur le web, mais il était souvent difficile de trouver la bonne information</w:t>
      </w:r>
      <w:r w:rsidR="00256F0D">
        <w:rPr>
          <w:bCs/>
          <w:lang w:val="fr-FR"/>
        </w:rPr>
        <w:t xml:space="preserve"> </w:t>
      </w:r>
      <w:r w:rsidRPr="00C842F6">
        <w:rPr>
          <w:bCs/>
          <w:lang w:val="fr-FR"/>
        </w:rPr>
        <w:t>en ligne. De plus, la qualité et la fiabilité des informations variaient. Pour cette raison, le Comité devrait concevoir une méthode systématique, avec des orientations, pour travailler avec des sources externes pendant le processus d</w:t>
      </w:r>
      <w:r w:rsidR="00923E72">
        <w:rPr>
          <w:bCs/>
          <w:lang w:val="fr-FR"/>
        </w:rPr>
        <w:t>’</w:t>
      </w:r>
      <w:r w:rsidRPr="00C842F6">
        <w:rPr>
          <w:bCs/>
          <w:lang w:val="fr-FR"/>
        </w:rPr>
        <w:t>évaluation de l</w:t>
      </w:r>
      <w:r w:rsidR="00923E72">
        <w:rPr>
          <w:bCs/>
          <w:lang w:val="fr-FR"/>
        </w:rPr>
        <w:t>’</w:t>
      </w:r>
      <w:r w:rsidRPr="00C842F6">
        <w:rPr>
          <w:bCs/>
          <w:lang w:val="fr-FR"/>
        </w:rPr>
        <w:t>Organe d</w:t>
      </w:r>
      <w:r w:rsidR="00923E72">
        <w:rPr>
          <w:bCs/>
          <w:lang w:val="fr-FR"/>
        </w:rPr>
        <w:t>’</w:t>
      </w:r>
      <w:r w:rsidRPr="00C842F6">
        <w:rPr>
          <w:bCs/>
          <w:lang w:val="fr-FR"/>
        </w:rPr>
        <w:t>évaluation, ce qui pourrait aider à comprendre les éléments du patrimoine culturel immatériel dans toute leur complexité et leur diversité. En outre, il existait d</w:t>
      </w:r>
      <w:r w:rsidR="00923E72">
        <w:rPr>
          <w:bCs/>
          <w:lang w:val="fr-FR"/>
        </w:rPr>
        <w:t>’</w:t>
      </w:r>
      <w:r w:rsidRPr="00C842F6">
        <w:rPr>
          <w:bCs/>
          <w:lang w:val="fr-FR"/>
        </w:rPr>
        <w:t>autres moyens d</w:t>
      </w:r>
      <w:r w:rsidR="00923E72">
        <w:rPr>
          <w:bCs/>
          <w:lang w:val="fr-FR"/>
        </w:rPr>
        <w:t>’</w:t>
      </w:r>
      <w:r w:rsidR="00256F0D">
        <w:rPr>
          <w:bCs/>
          <w:lang w:val="fr-FR"/>
        </w:rPr>
        <w:t xml:space="preserve">aider à </w:t>
      </w:r>
      <w:r w:rsidRPr="00C842F6">
        <w:rPr>
          <w:bCs/>
          <w:lang w:val="fr-FR"/>
        </w:rPr>
        <w:t>la préparation des dossiers de candidature, avant même qu</w:t>
      </w:r>
      <w:r w:rsidR="00923E72">
        <w:rPr>
          <w:bCs/>
          <w:lang w:val="fr-FR"/>
        </w:rPr>
        <w:t>’</w:t>
      </w:r>
      <w:r w:rsidRPr="00C842F6">
        <w:rPr>
          <w:bCs/>
          <w:lang w:val="fr-FR"/>
        </w:rPr>
        <w:t>ils n</w:t>
      </w:r>
      <w:r w:rsidR="00923E72">
        <w:rPr>
          <w:bCs/>
          <w:lang w:val="fr-FR"/>
        </w:rPr>
        <w:t>’</w:t>
      </w:r>
      <w:r w:rsidR="00482DCB">
        <w:rPr>
          <w:bCs/>
          <w:lang w:val="fr-FR"/>
        </w:rPr>
        <w:t>intègrent</w:t>
      </w:r>
      <w:r w:rsidRPr="00C842F6">
        <w:rPr>
          <w:bCs/>
          <w:lang w:val="fr-FR"/>
        </w:rPr>
        <w:t xml:space="preserve"> la phase d</w:t>
      </w:r>
      <w:r w:rsidR="00923E72">
        <w:rPr>
          <w:bCs/>
          <w:lang w:val="fr-FR"/>
        </w:rPr>
        <w:t>’</w:t>
      </w:r>
      <w:r w:rsidRPr="00C842F6">
        <w:rPr>
          <w:bCs/>
          <w:lang w:val="fr-FR"/>
        </w:rPr>
        <w:t>évaluation par l</w:t>
      </w:r>
      <w:r w:rsidR="00923E72">
        <w:rPr>
          <w:bCs/>
          <w:lang w:val="fr-FR"/>
        </w:rPr>
        <w:t>’</w:t>
      </w:r>
      <w:r w:rsidRPr="00C842F6">
        <w:rPr>
          <w:bCs/>
          <w:lang w:val="fr-FR"/>
        </w:rPr>
        <w:t>Organe et le Comité. La Slovaquie s</w:t>
      </w:r>
      <w:r w:rsidR="00923E72">
        <w:rPr>
          <w:bCs/>
          <w:lang w:val="fr-FR"/>
        </w:rPr>
        <w:t>’</w:t>
      </w:r>
      <w:r w:rsidRPr="00C842F6">
        <w:rPr>
          <w:bCs/>
          <w:lang w:val="fr-FR"/>
        </w:rPr>
        <w:t>est déclarée prête à coopérer au niveau bilatéral pour accompagner le processus de candidature des États parties intéressés. Elle a également souligné l</w:t>
      </w:r>
      <w:r w:rsidR="00923E72">
        <w:rPr>
          <w:bCs/>
          <w:lang w:val="fr-FR"/>
        </w:rPr>
        <w:t>’</w:t>
      </w:r>
      <w:r w:rsidRPr="00C842F6">
        <w:rPr>
          <w:bCs/>
          <w:lang w:val="fr-FR"/>
        </w:rPr>
        <w:t>utilité du rapport de l</w:t>
      </w:r>
      <w:r w:rsidR="00923E72">
        <w:rPr>
          <w:bCs/>
          <w:lang w:val="fr-FR"/>
        </w:rPr>
        <w:t>’</w:t>
      </w:r>
      <w:r w:rsidRPr="00C842F6">
        <w:rPr>
          <w:bCs/>
          <w:lang w:val="fr-FR"/>
        </w:rPr>
        <w:t>Organe d</w:t>
      </w:r>
      <w:r w:rsidR="00923E72">
        <w:rPr>
          <w:bCs/>
          <w:lang w:val="fr-FR"/>
        </w:rPr>
        <w:t>’</w:t>
      </w:r>
      <w:r w:rsidRPr="00C842F6">
        <w:rPr>
          <w:bCs/>
          <w:lang w:val="fr-FR"/>
        </w:rPr>
        <w:t xml:space="preserve">évaluation pour fournir des orientations claires aux États soumissionnaires sur le processus de candidature, notamment en mettant en évidence les bons exemples et en signalant les erreurs </w:t>
      </w:r>
      <w:r w:rsidR="00151DE5">
        <w:rPr>
          <w:bCs/>
          <w:lang w:val="fr-FR"/>
        </w:rPr>
        <w:t xml:space="preserve">fréquemment </w:t>
      </w:r>
      <w:r w:rsidRPr="00C842F6">
        <w:rPr>
          <w:bCs/>
          <w:lang w:val="fr-FR"/>
        </w:rPr>
        <w:t>commises. Parmi les autres possibilités</w:t>
      </w:r>
      <w:r w:rsidR="00151DE5">
        <w:rPr>
          <w:bCs/>
          <w:lang w:val="fr-FR"/>
        </w:rPr>
        <w:t>,</w:t>
      </w:r>
      <w:r w:rsidRPr="00C842F6">
        <w:rPr>
          <w:bCs/>
          <w:lang w:val="fr-FR"/>
        </w:rPr>
        <w:t xml:space="preserve"> figuraient le renforcement des capacités ainsi que l</w:t>
      </w:r>
      <w:r w:rsidR="00923E72">
        <w:rPr>
          <w:bCs/>
          <w:lang w:val="fr-FR"/>
        </w:rPr>
        <w:t>’</w:t>
      </w:r>
      <w:r w:rsidRPr="00C842F6">
        <w:rPr>
          <w:bCs/>
          <w:lang w:val="fr-FR"/>
        </w:rPr>
        <w:t>expertise et le soutien offerts par les ONG accréditées. La délégation a remercié les États parties qui avaient choisi de retirer leurs dossiers de candidature et décidé d</w:t>
      </w:r>
      <w:r w:rsidR="00923E72">
        <w:rPr>
          <w:bCs/>
          <w:lang w:val="fr-FR"/>
        </w:rPr>
        <w:t>’</w:t>
      </w:r>
      <w:r w:rsidRPr="00C842F6">
        <w:rPr>
          <w:bCs/>
          <w:lang w:val="fr-FR"/>
        </w:rPr>
        <w:t>utiliser le renvoi comme une excellente opportunité de poursuivre le travail sur leurs candidatures, y compris en travaillant avec les parties prenantes concernées.</w:t>
      </w:r>
    </w:p>
    <w:p w14:paraId="6C339F5A" w14:textId="4DA59870" w:rsidR="00256F0D" w:rsidRDefault="00256F0D">
      <w:pPr>
        <w:pStyle w:val="Orateurengris"/>
        <w:numPr>
          <w:ilvl w:val="0"/>
          <w:numId w:val="20"/>
        </w:numPr>
        <w:tabs>
          <w:tab w:val="clear" w:pos="567"/>
        </w:tabs>
        <w:spacing w:before="120"/>
        <w:ind w:left="709" w:hanging="709"/>
        <w:rPr>
          <w:bCs/>
          <w:lang w:val="fr-FR"/>
        </w:rPr>
      </w:pPr>
      <w:r w:rsidRPr="00256F0D">
        <w:rPr>
          <w:bCs/>
          <w:lang w:val="fr-FR"/>
        </w:rPr>
        <w:t xml:space="preserve">La délégation du </w:t>
      </w:r>
      <w:r w:rsidRPr="00702497">
        <w:rPr>
          <w:b/>
          <w:lang w:val="fr-FR"/>
        </w:rPr>
        <w:t>Pérou</w:t>
      </w:r>
      <w:r w:rsidRPr="00256F0D">
        <w:rPr>
          <w:bCs/>
          <w:lang w:val="fr-FR"/>
        </w:rPr>
        <w:t xml:space="preserve"> s</w:t>
      </w:r>
      <w:r w:rsidR="00923E72">
        <w:rPr>
          <w:bCs/>
          <w:lang w:val="fr-FR"/>
        </w:rPr>
        <w:t>’</w:t>
      </w:r>
      <w:r w:rsidRPr="00256F0D">
        <w:rPr>
          <w:bCs/>
          <w:lang w:val="fr-FR"/>
        </w:rPr>
        <w:t>est jointe aux orateurs précédents pour féliciter l</w:t>
      </w:r>
      <w:r w:rsidR="00923E72">
        <w:rPr>
          <w:bCs/>
          <w:lang w:val="fr-FR"/>
        </w:rPr>
        <w:t>’</w:t>
      </w:r>
      <w:r w:rsidRPr="00256F0D">
        <w:rPr>
          <w:bCs/>
          <w:lang w:val="fr-FR"/>
        </w:rPr>
        <w:t>Organe d</w:t>
      </w:r>
      <w:r w:rsidR="00923E72">
        <w:rPr>
          <w:bCs/>
          <w:lang w:val="fr-FR"/>
        </w:rPr>
        <w:t>’</w:t>
      </w:r>
      <w:r w:rsidRPr="00256F0D">
        <w:rPr>
          <w:bCs/>
          <w:lang w:val="fr-FR"/>
        </w:rPr>
        <w:t xml:space="preserve">évaluation pour son travail au cours de ce cycle et a </w:t>
      </w:r>
      <w:r w:rsidR="00A76ADA">
        <w:rPr>
          <w:bCs/>
          <w:lang w:val="fr-FR"/>
        </w:rPr>
        <w:t xml:space="preserve">adressé </w:t>
      </w:r>
      <w:r w:rsidRPr="00256F0D">
        <w:rPr>
          <w:bCs/>
          <w:lang w:val="fr-FR"/>
        </w:rPr>
        <w:t>ses félicitations à tous les pays et communautés dont les éléments avaient été inscrits. Elle</w:t>
      </w:r>
      <w:r w:rsidR="00A76ADA">
        <w:rPr>
          <w:bCs/>
          <w:lang w:val="fr-FR"/>
        </w:rPr>
        <w:t xml:space="preserve"> </w:t>
      </w:r>
      <w:r w:rsidRPr="00256F0D">
        <w:rPr>
          <w:bCs/>
          <w:lang w:val="fr-FR"/>
        </w:rPr>
        <w:t>souscri</w:t>
      </w:r>
      <w:r w:rsidR="00A76ADA">
        <w:rPr>
          <w:bCs/>
          <w:lang w:val="fr-FR"/>
        </w:rPr>
        <w:t>vait</w:t>
      </w:r>
      <w:r w:rsidRPr="00256F0D">
        <w:rPr>
          <w:bCs/>
          <w:lang w:val="fr-FR"/>
        </w:rPr>
        <w:t xml:space="preserve"> aux observations des membres, notamment en ce qui concerne les critères à prendre en compte </w:t>
      </w:r>
      <w:r w:rsidR="00A76ADA">
        <w:rPr>
          <w:bCs/>
          <w:lang w:val="fr-FR"/>
        </w:rPr>
        <w:t>pour mettre en œuvre</w:t>
      </w:r>
      <w:r w:rsidRPr="00256F0D">
        <w:rPr>
          <w:bCs/>
          <w:lang w:val="fr-FR"/>
        </w:rPr>
        <w:t xml:space="preserve"> </w:t>
      </w:r>
      <w:r w:rsidR="00A76ADA">
        <w:rPr>
          <w:bCs/>
          <w:lang w:val="fr-FR"/>
        </w:rPr>
        <w:t>le</w:t>
      </w:r>
      <w:r w:rsidRPr="00256F0D">
        <w:rPr>
          <w:bCs/>
          <w:lang w:val="fr-FR"/>
        </w:rPr>
        <w:t xml:space="preserve"> processus de dialogue. À cet égard, les membres du Comité pou</w:t>
      </w:r>
      <w:r w:rsidR="00A76ADA">
        <w:rPr>
          <w:bCs/>
          <w:lang w:val="fr-FR"/>
        </w:rPr>
        <w:t>rr</w:t>
      </w:r>
      <w:r w:rsidRPr="00256F0D">
        <w:rPr>
          <w:bCs/>
          <w:lang w:val="fr-FR"/>
        </w:rPr>
        <w:t xml:space="preserve">aient quitter cette réunion en convenant que </w:t>
      </w:r>
      <w:r w:rsidR="00A76ADA">
        <w:rPr>
          <w:bCs/>
          <w:lang w:val="fr-FR"/>
        </w:rPr>
        <w:t>c</w:t>
      </w:r>
      <w:r w:rsidRPr="00256F0D">
        <w:rPr>
          <w:bCs/>
          <w:lang w:val="fr-FR"/>
        </w:rPr>
        <w:t xml:space="preserve">es critères devaient être élargis, tout en </w:t>
      </w:r>
      <w:r w:rsidR="00A76ADA">
        <w:rPr>
          <w:bCs/>
          <w:lang w:val="fr-FR"/>
        </w:rPr>
        <w:t xml:space="preserve">les </w:t>
      </w:r>
      <w:r w:rsidR="00482DCB">
        <w:rPr>
          <w:bCs/>
          <w:lang w:val="fr-FR"/>
        </w:rPr>
        <w:t xml:space="preserve">définissant </w:t>
      </w:r>
      <w:r w:rsidRPr="00256F0D">
        <w:rPr>
          <w:bCs/>
          <w:lang w:val="fr-FR"/>
        </w:rPr>
        <w:t>afin qu</w:t>
      </w:r>
      <w:r w:rsidR="00923E72">
        <w:rPr>
          <w:bCs/>
          <w:lang w:val="fr-FR"/>
        </w:rPr>
        <w:t>’</w:t>
      </w:r>
      <w:r w:rsidRPr="00256F0D">
        <w:rPr>
          <w:bCs/>
          <w:lang w:val="fr-FR"/>
        </w:rPr>
        <w:t>un meilleur équilibre entre les listes de la Convention puisse être trouvé à l</w:t>
      </w:r>
      <w:r w:rsidR="00923E72">
        <w:rPr>
          <w:bCs/>
          <w:lang w:val="fr-FR"/>
        </w:rPr>
        <w:t>’</w:t>
      </w:r>
      <w:r w:rsidRPr="00256F0D">
        <w:rPr>
          <w:bCs/>
          <w:lang w:val="fr-FR"/>
        </w:rPr>
        <w:t xml:space="preserve">avenir. </w:t>
      </w:r>
      <w:r w:rsidR="00A34DC1">
        <w:rPr>
          <w:bCs/>
          <w:lang w:val="fr-FR"/>
        </w:rPr>
        <w:t>L</w:t>
      </w:r>
      <w:r w:rsidRPr="00256F0D">
        <w:rPr>
          <w:bCs/>
          <w:lang w:val="fr-FR"/>
        </w:rPr>
        <w:t>a délégation a attiré l</w:t>
      </w:r>
      <w:r w:rsidR="00923E72">
        <w:rPr>
          <w:bCs/>
          <w:lang w:val="fr-FR"/>
        </w:rPr>
        <w:t>’</w:t>
      </w:r>
      <w:r w:rsidRPr="00256F0D">
        <w:rPr>
          <w:bCs/>
          <w:lang w:val="fr-FR"/>
        </w:rPr>
        <w:t xml:space="preserve">attention sur les commentaires formulés qui pourraient ouvrir la porte à un processus dans lequel le </w:t>
      </w:r>
      <w:r w:rsidR="00A34DC1">
        <w:rPr>
          <w:bCs/>
          <w:lang w:val="fr-FR"/>
        </w:rPr>
        <w:t xml:space="preserve">mécanisme </w:t>
      </w:r>
      <w:r w:rsidRPr="00256F0D">
        <w:rPr>
          <w:bCs/>
          <w:lang w:val="fr-FR"/>
        </w:rPr>
        <w:t>de dialogue pourrait être révisé, comme cela avait été fait lors de la réflexion globale sur les mécanismes d</w:t>
      </w:r>
      <w:r w:rsidR="00923E72">
        <w:rPr>
          <w:bCs/>
          <w:lang w:val="fr-FR"/>
        </w:rPr>
        <w:t>’</w:t>
      </w:r>
      <w:r w:rsidRPr="00256F0D">
        <w:rPr>
          <w:bCs/>
          <w:lang w:val="fr-FR"/>
        </w:rPr>
        <w:t xml:space="preserve">inscription de la Convention. Ces deux aspects pourraient être améliorés afin de contribuer à </w:t>
      </w:r>
      <w:r w:rsidR="00A34DC1">
        <w:rPr>
          <w:bCs/>
          <w:lang w:val="fr-FR"/>
        </w:rPr>
        <w:t xml:space="preserve">un </w:t>
      </w:r>
      <w:r w:rsidRPr="00256F0D">
        <w:rPr>
          <w:bCs/>
          <w:lang w:val="fr-FR"/>
        </w:rPr>
        <w:t xml:space="preserve">équilibre </w:t>
      </w:r>
      <w:r w:rsidR="00A34DC1">
        <w:rPr>
          <w:bCs/>
          <w:lang w:val="fr-FR"/>
        </w:rPr>
        <w:t xml:space="preserve">entre </w:t>
      </w:r>
      <w:r w:rsidRPr="00256F0D">
        <w:rPr>
          <w:bCs/>
          <w:lang w:val="fr-FR"/>
        </w:rPr>
        <w:t xml:space="preserve">les </w:t>
      </w:r>
      <w:r w:rsidR="00A34DC1">
        <w:rPr>
          <w:bCs/>
          <w:lang w:val="fr-FR"/>
        </w:rPr>
        <w:t>l</w:t>
      </w:r>
      <w:r w:rsidRPr="00256F0D">
        <w:rPr>
          <w:bCs/>
          <w:lang w:val="fr-FR"/>
        </w:rPr>
        <w:t>istes, ce qui permettrait à la Convention de rester forte et pertinente. La délégation a souligné les différences dans la manière dont les États parties soumissionnaires préparaient leurs candidatures en fonction de l</w:t>
      </w:r>
      <w:r w:rsidR="00923E72">
        <w:rPr>
          <w:bCs/>
          <w:lang w:val="fr-FR"/>
        </w:rPr>
        <w:t>’</w:t>
      </w:r>
      <w:r w:rsidRPr="00256F0D">
        <w:rPr>
          <w:bCs/>
          <w:lang w:val="fr-FR"/>
        </w:rPr>
        <w:t>élément en question. Il était important de comprendre qu</w:t>
      </w:r>
      <w:r w:rsidR="00923E72">
        <w:rPr>
          <w:bCs/>
          <w:lang w:val="fr-FR"/>
        </w:rPr>
        <w:t>’</w:t>
      </w:r>
      <w:r w:rsidRPr="00256F0D">
        <w:rPr>
          <w:bCs/>
          <w:lang w:val="fr-FR"/>
        </w:rPr>
        <w:t>il existe différents types de traditions à travers l</w:t>
      </w:r>
      <w:r w:rsidR="00923E72">
        <w:rPr>
          <w:bCs/>
          <w:lang w:val="fr-FR"/>
        </w:rPr>
        <w:t>’</w:t>
      </w:r>
      <w:r w:rsidRPr="00256F0D">
        <w:rPr>
          <w:bCs/>
          <w:lang w:val="fr-FR"/>
        </w:rPr>
        <w:t>humanité. Certaines étaient meilleures que d</w:t>
      </w:r>
      <w:r w:rsidR="00923E72">
        <w:rPr>
          <w:bCs/>
          <w:lang w:val="fr-FR"/>
        </w:rPr>
        <w:t>’</w:t>
      </w:r>
      <w:r w:rsidRPr="00256F0D">
        <w:rPr>
          <w:bCs/>
          <w:lang w:val="fr-FR"/>
        </w:rPr>
        <w:t>autres sur le plan technique</w:t>
      </w:r>
      <w:r w:rsidR="00A34DC1">
        <w:rPr>
          <w:bCs/>
          <w:lang w:val="fr-FR"/>
        </w:rPr>
        <w:t>,</w:t>
      </w:r>
      <w:r w:rsidRPr="00256F0D">
        <w:rPr>
          <w:bCs/>
          <w:lang w:val="fr-FR"/>
        </w:rPr>
        <w:t xml:space="preserve"> et il était parfois difficile de faire en sorte que les aspects techniques reflètent la qualité de chacune de ces traditions.</w:t>
      </w:r>
      <w:r>
        <w:rPr>
          <w:bCs/>
          <w:lang w:val="fr-FR"/>
        </w:rPr>
        <w:t xml:space="preserve"> </w:t>
      </w:r>
    </w:p>
    <w:p w14:paraId="7BCDD8F7" w14:textId="60AAD5DA" w:rsidR="00A34DC1" w:rsidRDefault="00D23FD8">
      <w:pPr>
        <w:pStyle w:val="Orateurengris"/>
        <w:numPr>
          <w:ilvl w:val="0"/>
          <w:numId w:val="20"/>
        </w:numPr>
        <w:tabs>
          <w:tab w:val="clear" w:pos="567"/>
        </w:tabs>
        <w:spacing w:before="120"/>
        <w:ind w:left="709" w:hanging="709"/>
        <w:rPr>
          <w:bCs/>
          <w:lang w:val="fr-FR"/>
        </w:rPr>
      </w:pPr>
      <w:r w:rsidRPr="00D23FD8">
        <w:rPr>
          <w:bCs/>
          <w:lang w:val="fr-FR"/>
        </w:rPr>
        <w:t xml:space="preserve">La délégation du </w:t>
      </w:r>
      <w:r w:rsidRPr="00702497">
        <w:rPr>
          <w:b/>
          <w:lang w:val="fr-FR"/>
        </w:rPr>
        <w:t>Panama</w:t>
      </w:r>
      <w:r w:rsidRPr="00D23FD8">
        <w:rPr>
          <w:bCs/>
          <w:lang w:val="fr-FR"/>
        </w:rPr>
        <w:t xml:space="preserve"> a adressé ses félicitations pour toutes les inscriptions</w:t>
      </w:r>
      <w:r w:rsidR="003A02A7">
        <w:rPr>
          <w:bCs/>
          <w:lang w:val="fr-FR"/>
        </w:rPr>
        <w:t xml:space="preserve"> </w:t>
      </w:r>
      <w:r w:rsidR="00FE3CE0">
        <w:rPr>
          <w:bCs/>
          <w:lang w:val="fr-FR"/>
        </w:rPr>
        <w:t xml:space="preserve">et a remercié </w:t>
      </w:r>
      <w:r w:rsidRPr="00D23FD8">
        <w:rPr>
          <w:bCs/>
          <w:lang w:val="fr-FR"/>
        </w:rPr>
        <w:t>l</w:t>
      </w:r>
      <w:r w:rsidR="00923E72">
        <w:rPr>
          <w:bCs/>
          <w:lang w:val="fr-FR"/>
        </w:rPr>
        <w:t>’</w:t>
      </w:r>
      <w:r w:rsidRPr="00D23FD8">
        <w:rPr>
          <w:bCs/>
          <w:lang w:val="fr-FR"/>
        </w:rPr>
        <w:t>Organe d</w:t>
      </w:r>
      <w:r w:rsidR="00923E72">
        <w:rPr>
          <w:bCs/>
          <w:lang w:val="fr-FR"/>
        </w:rPr>
        <w:t>’</w:t>
      </w:r>
      <w:r w:rsidRPr="00D23FD8">
        <w:rPr>
          <w:bCs/>
          <w:lang w:val="fr-FR"/>
        </w:rPr>
        <w:t xml:space="preserve">évaluation pour le nombre considérable de dossiers évalués et pour avoir </w:t>
      </w:r>
      <w:r>
        <w:rPr>
          <w:bCs/>
          <w:lang w:val="fr-FR"/>
        </w:rPr>
        <w:t xml:space="preserve">su faire </w:t>
      </w:r>
      <w:r>
        <w:rPr>
          <w:bCs/>
          <w:lang w:val="fr-FR"/>
        </w:rPr>
        <w:lastRenderedPageBreak/>
        <w:t>face aux</w:t>
      </w:r>
      <w:r w:rsidRPr="00D23FD8">
        <w:rPr>
          <w:bCs/>
          <w:lang w:val="fr-FR"/>
        </w:rPr>
        <w:t xml:space="preserve"> doutes lors de l</w:t>
      </w:r>
      <w:r w:rsidR="00923E72">
        <w:rPr>
          <w:bCs/>
          <w:lang w:val="fr-FR"/>
        </w:rPr>
        <w:t>’</w:t>
      </w:r>
      <w:r w:rsidRPr="00D23FD8">
        <w:rPr>
          <w:bCs/>
          <w:lang w:val="fr-FR"/>
        </w:rPr>
        <w:t>évaluation des dossiers. En effet</w:t>
      </w:r>
      <w:r w:rsidR="00482DCB">
        <w:rPr>
          <w:bCs/>
          <w:lang w:val="fr-FR"/>
        </w:rPr>
        <w:t>,</w:t>
      </w:r>
      <w:r w:rsidRPr="00D23FD8">
        <w:rPr>
          <w:bCs/>
          <w:lang w:val="fr-FR"/>
        </w:rPr>
        <w:t xml:space="preserve"> </w:t>
      </w:r>
      <w:r w:rsidR="00482DCB">
        <w:rPr>
          <w:bCs/>
          <w:lang w:val="fr-FR"/>
        </w:rPr>
        <w:t>si ,dans certains</w:t>
      </w:r>
      <w:r w:rsidRPr="00D23FD8">
        <w:rPr>
          <w:bCs/>
          <w:lang w:val="fr-FR"/>
        </w:rPr>
        <w:t xml:space="preserve"> cas</w:t>
      </w:r>
      <w:r w:rsidR="00482DCB">
        <w:rPr>
          <w:bCs/>
          <w:lang w:val="fr-FR"/>
        </w:rPr>
        <w:t xml:space="preserve">, </w:t>
      </w:r>
      <w:r w:rsidRPr="00D23FD8">
        <w:rPr>
          <w:bCs/>
          <w:lang w:val="fr-FR"/>
        </w:rPr>
        <w:t xml:space="preserve">la décision </w:t>
      </w:r>
      <w:r w:rsidR="00482DCB">
        <w:rPr>
          <w:bCs/>
          <w:lang w:val="fr-FR"/>
        </w:rPr>
        <w:t xml:space="preserve">pouvait être </w:t>
      </w:r>
      <w:r w:rsidRPr="00D23FD8">
        <w:rPr>
          <w:bCs/>
          <w:lang w:val="fr-FR"/>
        </w:rPr>
        <w:t>partagée à cinquante-cinquante, elle était convaincue que les renvois restants étaient dus à des lacunes dans la documentation. La délégation était consciente qu</w:t>
      </w:r>
      <w:r w:rsidR="00923E72">
        <w:rPr>
          <w:bCs/>
          <w:lang w:val="fr-FR"/>
        </w:rPr>
        <w:t>’</w:t>
      </w:r>
      <w:r w:rsidRPr="00D23FD8">
        <w:rPr>
          <w:bCs/>
          <w:lang w:val="fr-FR"/>
        </w:rPr>
        <w:t>il exist</w:t>
      </w:r>
      <w:r w:rsidR="00FE3CE0">
        <w:rPr>
          <w:bCs/>
          <w:lang w:val="fr-FR"/>
        </w:rPr>
        <w:t>e</w:t>
      </w:r>
      <w:r w:rsidRPr="00D23FD8">
        <w:rPr>
          <w:bCs/>
          <w:lang w:val="fr-FR"/>
        </w:rPr>
        <w:t xml:space="preserve"> une majorité au sein de l</w:t>
      </w:r>
      <w:r w:rsidR="00923E72">
        <w:rPr>
          <w:bCs/>
          <w:lang w:val="fr-FR"/>
        </w:rPr>
        <w:t>’</w:t>
      </w:r>
      <w:r w:rsidRPr="00D23FD8">
        <w:rPr>
          <w:bCs/>
          <w:lang w:val="fr-FR"/>
        </w:rPr>
        <w:t>Organe d</w:t>
      </w:r>
      <w:r w:rsidR="00923E72">
        <w:rPr>
          <w:bCs/>
          <w:lang w:val="fr-FR"/>
        </w:rPr>
        <w:t>’</w:t>
      </w:r>
      <w:r w:rsidRPr="00D23FD8">
        <w:rPr>
          <w:bCs/>
          <w:lang w:val="fr-FR"/>
        </w:rPr>
        <w:t>évaluation, même s</w:t>
      </w:r>
      <w:r w:rsidR="00923E72">
        <w:rPr>
          <w:bCs/>
          <w:lang w:val="fr-FR"/>
        </w:rPr>
        <w:t>’</w:t>
      </w:r>
      <w:r w:rsidRPr="00D23FD8">
        <w:rPr>
          <w:bCs/>
          <w:lang w:val="fr-FR"/>
        </w:rPr>
        <w:t>il s</w:t>
      </w:r>
      <w:r w:rsidR="00923E72">
        <w:rPr>
          <w:bCs/>
          <w:lang w:val="fr-FR"/>
        </w:rPr>
        <w:t>’</w:t>
      </w:r>
      <w:r w:rsidRPr="00D23FD8">
        <w:rPr>
          <w:bCs/>
          <w:lang w:val="fr-FR"/>
        </w:rPr>
        <w:t>agit d</w:t>
      </w:r>
      <w:r w:rsidR="00923E72">
        <w:rPr>
          <w:bCs/>
          <w:lang w:val="fr-FR"/>
        </w:rPr>
        <w:t>’</w:t>
      </w:r>
      <w:r w:rsidRPr="00D23FD8">
        <w:rPr>
          <w:bCs/>
          <w:lang w:val="fr-FR"/>
        </w:rPr>
        <w:t>une faible majorité, et il était donc tout à fait compréhensible qu</w:t>
      </w:r>
      <w:r w:rsidR="00923E72">
        <w:rPr>
          <w:bCs/>
          <w:lang w:val="fr-FR"/>
        </w:rPr>
        <w:t>’</w:t>
      </w:r>
      <w:r w:rsidRPr="00D23FD8">
        <w:rPr>
          <w:bCs/>
          <w:lang w:val="fr-FR"/>
        </w:rPr>
        <w:t>il y ait également des opinions divergentes au sein du Comité</w:t>
      </w:r>
      <w:r w:rsidR="00FE3CE0">
        <w:rPr>
          <w:bCs/>
          <w:lang w:val="fr-FR"/>
        </w:rPr>
        <w:t>, une instance plus grande</w:t>
      </w:r>
      <w:r w:rsidRPr="00D23FD8">
        <w:rPr>
          <w:bCs/>
          <w:lang w:val="fr-FR"/>
        </w:rPr>
        <w:t xml:space="preserve">. Il était parfaitement compréhensible que les membres </w:t>
      </w:r>
      <w:r w:rsidR="003F71F2">
        <w:rPr>
          <w:bCs/>
          <w:lang w:val="fr-FR"/>
        </w:rPr>
        <w:t xml:space="preserve">du Comité </w:t>
      </w:r>
      <w:r w:rsidRPr="00D23FD8">
        <w:rPr>
          <w:bCs/>
          <w:lang w:val="fr-FR"/>
        </w:rPr>
        <w:t>ne soient pas en tout point d</w:t>
      </w:r>
      <w:r w:rsidR="00923E72">
        <w:rPr>
          <w:bCs/>
          <w:lang w:val="fr-FR"/>
        </w:rPr>
        <w:t>’</w:t>
      </w:r>
      <w:r w:rsidRPr="00D23FD8">
        <w:rPr>
          <w:bCs/>
          <w:lang w:val="fr-FR"/>
        </w:rPr>
        <w:t>accord avec les recommandations de l</w:t>
      </w:r>
      <w:r w:rsidR="00923E72">
        <w:rPr>
          <w:bCs/>
          <w:lang w:val="fr-FR"/>
        </w:rPr>
        <w:t>’</w:t>
      </w:r>
      <w:r w:rsidRPr="00D23FD8">
        <w:rPr>
          <w:bCs/>
          <w:lang w:val="fr-FR"/>
        </w:rPr>
        <w:t>Organe d</w:t>
      </w:r>
      <w:r w:rsidR="00923E72">
        <w:rPr>
          <w:bCs/>
          <w:lang w:val="fr-FR"/>
        </w:rPr>
        <w:t>’</w:t>
      </w:r>
      <w:r w:rsidRPr="00D23FD8">
        <w:rPr>
          <w:bCs/>
          <w:lang w:val="fr-FR"/>
        </w:rPr>
        <w:t>évaluation, ce qui ne signifi</w:t>
      </w:r>
      <w:r w:rsidR="00FE3CE0">
        <w:rPr>
          <w:bCs/>
          <w:lang w:val="fr-FR"/>
        </w:rPr>
        <w:t>ait</w:t>
      </w:r>
      <w:r w:rsidRPr="00D23FD8">
        <w:rPr>
          <w:bCs/>
          <w:lang w:val="fr-FR"/>
        </w:rPr>
        <w:t xml:space="preserve"> pas que le Comité ne souhait</w:t>
      </w:r>
      <w:r w:rsidR="00FE3CE0">
        <w:rPr>
          <w:bCs/>
          <w:lang w:val="fr-FR"/>
        </w:rPr>
        <w:t>ait</w:t>
      </w:r>
      <w:r w:rsidRPr="00D23FD8">
        <w:rPr>
          <w:bCs/>
          <w:lang w:val="fr-FR"/>
        </w:rPr>
        <w:t xml:space="preserve"> pas, à la fin, une inscription</w:t>
      </w:r>
      <w:r w:rsidR="003A02A7">
        <w:rPr>
          <w:bCs/>
          <w:lang w:val="fr-FR"/>
        </w:rPr>
        <w:t> </w:t>
      </w:r>
      <w:r w:rsidRPr="00D23FD8">
        <w:rPr>
          <w:bCs/>
          <w:lang w:val="fr-FR"/>
        </w:rPr>
        <w:t>; c</w:t>
      </w:r>
      <w:r w:rsidR="00923E72">
        <w:rPr>
          <w:bCs/>
          <w:lang w:val="fr-FR"/>
        </w:rPr>
        <w:t>’</w:t>
      </w:r>
      <w:r w:rsidR="00FE3CE0">
        <w:rPr>
          <w:bCs/>
          <w:lang w:val="fr-FR"/>
        </w:rPr>
        <w:t>était</w:t>
      </w:r>
      <w:r w:rsidRPr="00D23FD8">
        <w:rPr>
          <w:bCs/>
          <w:lang w:val="fr-FR"/>
        </w:rPr>
        <w:t xml:space="preserve"> le processus lui-même qui nécessit</w:t>
      </w:r>
      <w:r w:rsidR="00FE3CE0">
        <w:rPr>
          <w:bCs/>
          <w:lang w:val="fr-FR"/>
        </w:rPr>
        <w:t>ait</w:t>
      </w:r>
      <w:r w:rsidRPr="00D23FD8">
        <w:rPr>
          <w:bCs/>
          <w:lang w:val="fr-FR"/>
        </w:rPr>
        <w:t xml:space="preserve"> des ajustements. La délégation souhaitait donc que le processus de dialogue soit élargi, car cela signifierait que le dialogue post facto ne verrait pas tout en noir ou en blanc. Sinon, il y aurait toujours des membres qui demanderaient un renvoi tandis que d</w:t>
      </w:r>
      <w:r w:rsidR="00923E72">
        <w:rPr>
          <w:bCs/>
          <w:lang w:val="fr-FR"/>
        </w:rPr>
        <w:t>’</w:t>
      </w:r>
      <w:r w:rsidRPr="00D23FD8">
        <w:rPr>
          <w:bCs/>
          <w:lang w:val="fr-FR"/>
        </w:rPr>
        <w:t>autres demanderaient une inscription. Cela signifiait que l</w:t>
      </w:r>
      <w:r w:rsidR="00923E72">
        <w:rPr>
          <w:bCs/>
          <w:lang w:val="fr-FR"/>
        </w:rPr>
        <w:t>’</w:t>
      </w:r>
      <w:r w:rsidRPr="00D23FD8">
        <w:rPr>
          <w:bCs/>
          <w:lang w:val="fr-FR"/>
        </w:rPr>
        <w:t>Organe d</w:t>
      </w:r>
      <w:r w:rsidR="00923E72">
        <w:rPr>
          <w:bCs/>
          <w:lang w:val="fr-FR"/>
        </w:rPr>
        <w:t>’</w:t>
      </w:r>
      <w:r w:rsidRPr="00D23FD8">
        <w:rPr>
          <w:bCs/>
          <w:lang w:val="fr-FR"/>
        </w:rPr>
        <w:t>évaluation pourrait se concentrer d</w:t>
      </w:r>
      <w:r w:rsidR="00923E72">
        <w:rPr>
          <w:bCs/>
          <w:lang w:val="fr-FR"/>
        </w:rPr>
        <w:t>’</w:t>
      </w:r>
      <w:r w:rsidRPr="00D23FD8">
        <w:rPr>
          <w:bCs/>
          <w:lang w:val="fr-FR"/>
        </w:rPr>
        <w:t>abord sur la conformité de l</w:t>
      </w:r>
      <w:r w:rsidR="00923E72">
        <w:rPr>
          <w:bCs/>
          <w:lang w:val="fr-FR"/>
        </w:rPr>
        <w:t>’</w:t>
      </w:r>
      <w:r w:rsidRPr="00D23FD8">
        <w:rPr>
          <w:bCs/>
          <w:lang w:val="fr-FR"/>
        </w:rPr>
        <w:t>élément au critère</w:t>
      </w:r>
      <w:r w:rsidR="00FE3CE0">
        <w:rPr>
          <w:bCs/>
          <w:lang w:val="fr-FR"/>
        </w:rPr>
        <w:t> </w:t>
      </w:r>
      <w:r w:rsidRPr="00D23FD8">
        <w:rPr>
          <w:bCs/>
          <w:lang w:val="fr-FR"/>
        </w:rPr>
        <w:t>R.1 et sur la question de savoir s</w:t>
      </w:r>
      <w:r w:rsidR="00923E72">
        <w:rPr>
          <w:bCs/>
          <w:lang w:val="fr-FR"/>
        </w:rPr>
        <w:t>’</w:t>
      </w:r>
      <w:r w:rsidRPr="00D23FD8">
        <w:rPr>
          <w:bCs/>
          <w:lang w:val="fr-FR"/>
        </w:rPr>
        <w:t>il constitue réellement un patrimoine culturel immatériel avant de procéder à son évaluation. Dans certains cas, il y avait eu des divergences, par exemple, un élément pouvait avoir un excellent dossier mais ne pas constituer un patrimoine culturel immatériel. Le Secrétariat et l</w:t>
      </w:r>
      <w:r w:rsidR="00923E72">
        <w:rPr>
          <w:bCs/>
          <w:lang w:val="fr-FR"/>
        </w:rPr>
        <w:t>’</w:t>
      </w:r>
      <w:r w:rsidRPr="00D23FD8">
        <w:rPr>
          <w:bCs/>
          <w:lang w:val="fr-FR"/>
        </w:rPr>
        <w:t>UNESCO devaient créer davantage d</w:t>
      </w:r>
      <w:r w:rsidR="00923E72">
        <w:rPr>
          <w:bCs/>
          <w:lang w:val="fr-FR"/>
        </w:rPr>
        <w:t>’</w:t>
      </w:r>
      <w:r w:rsidRPr="00D23FD8">
        <w:rPr>
          <w:bCs/>
          <w:lang w:val="fr-FR"/>
        </w:rPr>
        <w:t>espaces de dialogue post-évaluation pour mieux comprendre certains aspects de l</w:t>
      </w:r>
      <w:r w:rsidR="00923E72">
        <w:rPr>
          <w:bCs/>
          <w:lang w:val="fr-FR"/>
        </w:rPr>
        <w:t>’</w:t>
      </w:r>
      <w:r w:rsidRPr="00D23FD8">
        <w:rPr>
          <w:bCs/>
          <w:lang w:val="fr-FR"/>
        </w:rPr>
        <w:t>élément afin que le Comité et les experts soient sûrs de leur position. De cette manière, le Comité pourrait être assuré que les dossiers de candidature qui lui parviendraient seraient déjà en très bonne position et auraient de bonnes chances d</w:t>
      </w:r>
      <w:r w:rsidR="00923E72">
        <w:rPr>
          <w:bCs/>
          <w:lang w:val="fr-FR"/>
        </w:rPr>
        <w:t>’</w:t>
      </w:r>
      <w:r w:rsidRPr="00D23FD8">
        <w:rPr>
          <w:bCs/>
          <w:lang w:val="fr-FR"/>
        </w:rPr>
        <w:t>être inscrits.</w:t>
      </w:r>
    </w:p>
    <w:p w14:paraId="7EADF9C0" w14:textId="2C6A1C6F" w:rsidR="00FE3CE0" w:rsidRDefault="00FE3CE0">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invité le </w:t>
      </w:r>
      <w:r w:rsidRPr="00FE3CE0">
        <w:rPr>
          <w:bCs/>
          <w:lang w:val="fr-FR"/>
        </w:rPr>
        <w:t>Président</w:t>
      </w:r>
      <w:r>
        <w:rPr>
          <w:bCs/>
          <w:lang w:val="fr-FR"/>
        </w:rPr>
        <w:t xml:space="preserve"> de l</w:t>
      </w:r>
      <w:r w:rsidR="00923E72">
        <w:rPr>
          <w:bCs/>
          <w:lang w:val="fr-FR"/>
        </w:rPr>
        <w:t>’</w:t>
      </w:r>
      <w:r>
        <w:rPr>
          <w:bCs/>
          <w:lang w:val="fr-FR"/>
        </w:rPr>
        <w:t>Organe d</w:t>
      </w:r>
      <w:r w:rsidR="00923E72">
        <w:rPr>
          <w:bCs/>
          <w:lang w:val="fr-FR"/>
        </w:rPr>
        <w:t>’</w:t>
      </w:r>
      <w:r>
        <w:rPr>
          <w:bCs/>
          <w:lang w:val="fr-FR"/>
        </w:rPr>
        <w:t>évaluation à répondre.</w:t>
      </w:r>
    </w:p>
    <w:p w14:paraId="7D4354B9" w14:textId="624DFEB4" w:rsidR="00FE3CE0" w:rsidRDefault="00FE3CE0">
      <w:pPr>
        <w:pStyle w:val="Orateurengris"/>
        <w:numPr>
          <w:ilvl w:val="0"/>
          <w:numId w:val="20"/>
        </w:numPr>
        <w:tabs>
          <w:tab w:val="clear" w:pos="567"/>
        </w:tabs>
        <w:spacing w:before="120"/>
        <w:ind w:left="709" w:hanging="709"/>
        <w:rPr>
          <w:bCs/>
          <w:lang w:val="fr-FR"/>
        </w:rPr>
      </w:pPr>
      <w:r w:rsidRPr="00FE3CE0">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FE3CE0">
        <w:rPr>
          <w:bCs/>
          <w:lang w:val="fr-FR"/>
        </w:rPr>
        <w:t xml:space="preserve"> souscrivait pleinement à certaines des observations formulées. Toutefois, s</w:t>
      </w:r>
      <w:r w:rsidR="00923E72">
        <w:rPr>
          <w:bCs/>
          <w:lang w:val="fr-FR"/>
        </w:rPr>
        <w:t>’</w:t>
      </w:r>
      <w:r w:rsidRPr="00FE3CE0">
        <w:rPr>
          <w:bCs/>
          <w:lang w:val="fr-FR"/>
        </w:rPr>
        <w:t>agissant du processus d</w:t>
      </w:r>
      <w:r w:rsidR="00923E72">
        <w:rPr>
          <w:bCs/>
          <w:lang w:val="fr-FR"/>
        </w:rPr>
        <w:t>’</w:t>
      </w:r>
      <w:r w:rsidRPr="00FE3CE0">
        <w:rPr>
          <w:bCs/>
          <w:lang w:val="fr-FR"/>
        </w:rPr>
        <w:t>évaluation, lorsque l</w:t>
      </w:r>
      <w:r w:rsidR="00923E72">
        <w:rPr>
          <w:bCs/>
          <w:lang w:val="fr-FR"/>
        </w:rPr>
        <w:t>’</w:t>
      </w:r>
      <w:r w:rsidRPr="00FE3CE0">
        <w:rPr>
          <w:bCs/>
          <w:lang w:val="fr-FR"/>
        </w:rPr>
        <w:t>Organe approuvait et soumettait un projet de décision, le critère de la majorité</w:t>
      </w:r>
      <w:r w:rsidR="000B3925">
        <w:rPr>
          <w:bCs/>
          <w:lang w:val="fr-FR"/>
        </w:rPr>
        <w:t xml:space="preserve"> n</w:t>
      </w:r>
      <w:r w:rsidR="00923E72">
        <w:rPr>
          <w:bCs/>
          <w:lang w:val="fr-FR"/>
        </w:rPr>
        <w:t>’</w:t>
      </w:r>
      <w:r w:rsidR="000B3925">
        <w:rPr>
          <w:bCs/>
          <w:lang w:val="fr-FR"/>
        </w:rPr>
        <w:t>entrait pas en ligne de compte</w:t>
      </w:r>
      <w:r w:rsidRPr="00FE3CE0">
        <w:rPr>
          <w:bCs/>
          <w:lang w:val="fr-FR"/>
        </w:rPr>
        <w:t>, l</w:t>
      </w:r>
      <w:r w:rsidR="00923E72">
        <w:rPr>
          <w:bCs/>
          <w:lang w:val="fr-FR"/>
        </w:rPr>
        <w:t>’</w:t>
      </w:r>
      <w:r w:rsidRPr="00FE3CE0">
        <w:rPr>
          <w:bCs/>
          <w:lang w:val="fr-FR"/>
        </w:rPr>
        <w:t>Organe cherchant à parvenir à un consensus sur chaque décision. L</w:t>
      </w:r>
      <w:r w:rsidR="00923E72">
        <w:rPr>
          <w:bCs/>
          <w:lang w:val="fr-FR"/>
        </w:rPr>
        <w:t>’</w:t>
      </w:r>
      <w:r w:rsidRPr="00FE3CE0">
        <w:rPr>
          <w:bCs/>
          <w:lang w:val="fr-FR"/>
        </w:rPr>
        <w:t>Organe ne votait pas, ce qui signifiait que tous les membres étaient d</w:t>
      </w:r>
      <w:r w:rsidR="00923E72">
        <w:rPr>
          <w:bCs/>
          <w:lang w:val="fr-FR"/>
        </w:rPr>
        <w:t>’</w:t>
      </w:r>
      <w:r w:rsidRPr="00FE3CE0">
        <w:rPr>
          <w:bCs/>
          <w:lang w:val="fr-FR"/>
        </w:rPr>
        <w:t>accord avec le projet de décision après de nombreuses discussions et échanges d</w:t>
      </w:r>
      <w:r w:rsidR="00923E72">
        <w:rPr>
          <w:bCs/>
          <w:lang w:val="fr-FR"/>
        </w:rPr>
        <w:t>’</w:t>
      </w:r>
      <w:r w:rsidRPr="00FE3CE0">
        <w:rPr>
          <w:bCs/>
          <w:lang w:val="fr-FR"/>
        </w:rPr>
        <w:t>informations, en lisant les dossiers ensemble à plusieurs reprises. Le Président a rappelé que les projets de décision n</w:t>
      </w:r>
      <w:r w:rsidR="00923E72">
        <w:rPr>
          <w:bCs/>
          <w:lang w:val="fr-FR"/>
        </w:rPr>
        <w:t>’</w:t>
      </w:r>
      <w:r w:rsidRPr="00FE3CE0">
        <w:rPr>
          <w:bCs/>
          <w:lang w:val="fr-FR"/>
        </w:rPr>
        <w:t>étaient donc pas approuvés par un vote ou à la majorité, mais qu</w:t>
      </w:r>
      <w:r w:rsidR="00923E72">
        <w:rPr>
          <w:bCs/>
          <w:lang w:val="fr-FR"/>
        </w:rPr>
        <w:t>’</w:t>
      </w:r>
      <w:r w:rsidRPr="00FE3CE0">
        <w:rPr>
          <w:bCs/>
          <w:lang w:val="fr-FR"/>
        </w:rPr>
        <w:t>ils faisaient l</w:t>
      </w:r>
      <w:r w:rsidR="00923E72">
        <w:rPr>
          <w:bCs/>
          <w:lang w:val="fr-FR"/>
        </w:rPr>
        <w:t>’</w:t>
      </w:r>
      <w:r w:rsidRPr="00FE3CE0">
        <w:rPr>
          <w:bCs/>
          <w:lang w:val="fr-FR"/>
        </w:rPr>
        <w:t>objet d</w:t>
      </w:r>
      <w:r w:rsidR="00923E72">
        <w:rPr>
          <w:bCs/>
          <w:lang w:val="fr-FR"/>
        </w:rPr>
        <w:t>’</w:t>
      </w:r>
      <w:r w:rsidRPr="00FE3CE0">
        <w:rPr>
          <w:bCs/>
          <w:lang w:val="fr-FR"/>
        </w:rPr>
        <w:t>un consensus. Au cours de ce cycle, dans un seul cas, on n</w:t>
      </w:r>
      <w:r w:rsidR="00923E72">
        <w:rPr>
          <w:bCs/>
          <w:lang w:val="fr-FR"/>
        </w:rPr>
        <w:t>’</w:t>
      </w:r>
      <w:r w:rsidRPr="00FE3CE0">
        <w:rPr>
          <w:bCs/>
          <w:lang w:val="fr-FR"/>
        </w:rPr>
        <w:t>était pas parvenu à un consensus, mais dans tous les autres cas, tous les membres étaient d</w:t>
      </w:r>
      <w:r w:rsidR="00923E72">
        <w:rPr>
          <w:bCs/>
          <w:lang w:val="fr-FR"/>
        </w:rPr>
        <w:t>’</w:t>
      </w:r>
      <w:r w:rsidRPr="00FE3CE0">
        <w:rPr>
          <w:bCs/>
          <w:lang w:val="fr-FR"/>
        </w:rPr>
        <w:t>accord avec les recommandations de renvoi ou d</w:t>
      </w:r>
      <w:r w:rsidR="00923E72">
        <w:rPr>
          <w:bCs/>
          <w:lang w:val="fr-FR"/>
        </w:rPr>
        <w:t>’</w:t>
      </w:r>
      <w:r w:rsidRPr="00FE3CE0">
        <w:rPr>
          <w:bCs/>
          <w:lang w:val="fr-FR"/>
        </w:rPr>
        <w:t>inscription de chaque dossier.</w:t>
      </w:r>
    </w:p>
    <w:p w14:paraId="46ABAC4F" w14:textId="2870B4CC" w:rsidR="000B3925" w:rsidRDefault="000B3925">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remercié le </w:t>
      </w:r>
      <w:r w:rsidRPr="000B3925">
        <w:rPr>
          <w:bCs/>
          <w:lang w:val="fr-FR"/>
        </w:rPr>
        <w:t>Président</w:t>
      </w:r>
      <w:r>
        <w:rPr>
          <w:bCs/>
          <w:lang w:val="fr-FR"/>
        </w:rPr>
        <w:t xml:space="preserve"> de l</w:t>
      </w:r>
      <w:r w:rsidR="00923E72">
        <w:rPr>
          <w:bCs/>
          <w:lang w:val="fr-FR"/>
        </w:rPr>
        <w:t>’</w:t>
      </w:r>
      <w:r>
        <w:rPr>
          <w:bCs/>
          <w:lang w:val="fr-FR"/>
        </w:rPr>
        <w:t>Organe d</w:t>
      </w:r>
      <w:r w:rsidR="00923E72">
        <w:rPr>
          <w:bCs/>
          <w:lang w:val="fr-FR"/>
        </w:rPr>
        <w:t>’</w:t>
      </w:r>
      <w:r>
        <w:rPr>
          <w:bCs/>
          <w:lang w:val="fr-FR"/>
        </w:rPr>
        <w:t xml:space="preserve">évaluation pour ces </w:t>
      </w:r>
      <w:r w:rsidRPr="000B3925">
        <w:rPr>
          <w:bCs/>
          <w:lang w:val="fr-FR"/>
        </w:rPr>
        <w:t>éclaircissements</w:t>
      </w:r>
      <w:r>
        <w:rPr>
          <w:bCs/>
          <w:lang w:val="fr-FR"/>
        </w:rPr>
        <w:t xml:space="preserve"> et a donné la parole aux </w:t>
      </w:r>
      <w:r w:rsidRPr="000B3925">
        <w:rPr>
          <w:bCs/>
          <w:lang w:val="fr-FR"/>
        </w:rPr>
        <w:t>observateurs</w:t>
      </w:r>
      <w:r>
        <w:rPr>
          <w:bCs/>
          <w:lang w:val="fr-FR"/>
        </w:rPr>
        <w:t>.</w:t>
      </w:r>
    </w:p>
    <w:p w14:paraId="5971210A" w14:textId="17113F80" w:rsidR="000B3925" w:rsidRDefault="000B3925">
      <w:pPr>
        <w:pStyle w:val="Orateurengris"/>
        <w:numPr>
          <w:ilvl w:val="0"/>
          <w:numId w:val="20"/>
        </w:numPr>
        <w:tabs>
          <w:tab w:val="clear" w:pos="567"/>
        </w:tabs>
        <w:spacing w:before="120"/>
        <w:ind w:left="709" w:hanging="709"/>
        <w:rPr>
          <w:bCs/>
          <w:lang w:val="fr-FR"/>
        </w:rPr>
      </w:pPr>
      <w:r w:rsidRPr="000B3925">
        <w:rPr>
          <w:bCs/>
          <w:lang w:val="fr-FR"/>
        </w:rPr>
        <w:t xml:space="preserve">La délégation de </w:t>
      </w:r>
      <w:r w:rsidRPr="00702497">
        <w:rPr>
          <w:b/>
          <w:lang w:val="fr-FR"/>
        </w:rPr>
        <w:t>Cuba</w:t>
      </w:r>
      <w:r w:rsidRPr="000B3925">
        <w:rPr>
          <w:bCs/>
          <w:lang w:val="fr-FR"/>
        </w:rPr>
        <w:t xml:space="preserve"> a remercié l</w:t>
      </w:r>
      <w:r w:rsidR="00923E72">
        <w:rPr>
          <w:bCs/>
          <w:lang w:val="fr-FR"/>
        </w:rPr>
        <w:t>’</w:t>
      </w:r>
      <w:r w:rsidRPr="000B3925">
        <w:rPr>
          <w:bCs/>
          <w:lang w:val="fr-FR"/>
        </w:rPr>
        <w:t>Organe d</w:t>
      </w:r>
      <w:r w:rsidR="00923E72">
        <w:rPr>
          <w:bCs/>
          <w:lang w:val="fr-FR"/>
        </w:rPr>
        <w:t>’</w:t>
      </w:r>
      <w:r w:rsidRPr="000B3925">
        <w:rPr>
          <w:bCs/>
          <w:lang w:val="fr-FR"/>
        </w:rPr>
        <w:t>évaluation et son Président, en soulignant leur professionnalisme tout au long des débats. Bien sûr, elle avait émis des réserves sur certains points, mais elle reconnaissait pleinement le professionnalisme dont l</w:t>
      </w:r>
      <w:r w:rsidR="00923E72">
        <w:rPr>
          <w:bCs/>
          <w:lang w:val="fr-FR"/>
        </w:rPr>
        <w:t>’</w:t>
      </w:r>
      <w:r w:rsidRPr="000B3925">
        <w:rPr>
          <w:bCs/>
          <w:lang w:val="fr-FR"/>
        </w:rPr>
        <w:t xml:space="preserve">Organe avait fait preuve à tout moment. Ces derniers jours, </w:t>
      </w:r>
      <w:r w:rsidR="00B94E9E">
        <w:rPr>
          <w:bCs/>
          <w:lang w:val="fr-FR"/>
        </w:rPr>
        <w:t xml:space="preserve">il était apparu que </w:t>
      </w:r>
      <w:r w:rsidRPr="000B3925">
        <w:rPr>
          <w:bCs/>
          <w:lang w:val="fr-FR"/>
        </w:rPr>
        <w:t xml:space="preserve">certains dossiers </w:t>
      </w:r>
      <w:r w:rsidR="00B94E9E">
        <w:rPr>
          <w:bCs/>
          <w:lang w:val="fr-FR"/>
        </w:rPr>
        <w:t xml:space="preserve">avaient été </w:t>
      </w:r>
      <w:r w:rsidRPr="000B3925">
        <w:rPr>
          <w:bCs/>
          <w:lang w:val="fr-FR"/>
        </w:rPr>
        <w:t>examinés plutôt que les éléments</w:t>
      </w:r>
      <w:r w:rsidR="00B94E9E">
        <w:rPr>
          <w:bCs/>
          <w:lang w:val="fr-FR"/>
        </w:rPr>
        <w:t xml:space="preserve"> eux-mêmes</w:t>
      </w:r>
      <w:r w:rsidRPr="000B3925">
        <w:rPr>
          <w:bCs/>
          <w:lang w:val="fr-FR"/>
        </w:rPr>
        <w:t>, et ce</w:t>
      </w:r>
      <w:r w:rsidR="00B94E9E">
        <w:rPr>
          <w:bCs/>
          <w:lang w:val="fr-FR"/>
        </w:rPr>
        <w:t xml:space="preserve"> point</w:t>
      </w:r>
      <w:r w:rsidRPr="000B3925">
        <w:rPr>
          <w:bCs/>
          <w:lang w:val="fr-FR"/>
        </w:rPr>
        <w:t xml:space="preserve"> méritait </w:t>
      </w:r>
      <w:r w:rsidR="003A02A7">
        <w:rPr>
          <w:bCs/>
          <w:lang w:val="fr-FR"/>
        </w:rPr>
        <w:t>qu</w:t>
      </w:r>
      <w:r w:rsidR="00923E72">
        <w:rPr>
          <w:bCs/>
          <w:lang w:val="fr-FR"/>
        </w:rPr>
        <w:t>’</w:t>
      </w:r>
      <w:r w:rsidR="003A02A7">
        <w:rPr>
          <w:bCs/>
          <w:lang w:val="fr-FR"/>
        </w:rPr>
        <w:t>on s</w:t>
      </w:r>
      <w:r w:rsidR="00923E72">
        <w:rPr>
          <w:bCs/>
          <w:lang w:val="fr-FR"/>
        </w:rPr>
        <w:t>’</w:t>
      </w:r>
      <w:r w:rsidR="003A02A7">
        <w:rPr>
          <w:bCs/>
          <w:lang w:val="fr-FR"/>
        </w:rPr>
        <w:t xml:space="preserve">y intéresse de façon </w:t>
      </w:r>
      <w:r w:rsidRPr="000B3925">
        <w:rPr>
          <w:bCs/>
          <w:lang w:val="fr-FR"/>
        </w:rPr>
        <w:t>plus approfondi</w:t>
      </w:r>
      <w:r w:rsidR="003A02A7">
        <w:rPr>
          <w:bCs/>
          <w:lang w:val="fr-FR"/>
        </w:rPr>
        <w:t>e</w:t>
      </w:r>
      <w:r w:rsidRPr="000B3925">
        <w:rPr>
          <w:bCs/>
          <w:lang w:val="fr-FR"/>
        </w:rPr>
        <w:t>. En effet, le processus ne pouvait se limiter à un simple examen des documents, ce qui serait préjudiciable</w:t>
      </w:r>
      <w:r w:rsidR="00B94E9E">
        <w:rPr>
          <w:bCs/>
          <w:lang w:val="fr-FR"/>
        </w:rPr>
        <w:t xml:space="preserve"> à la Convention</w:t>
      </w:r>
      <w:r w:rsidRPr="000B3925">
        <w:rPr>
          <w:bCs/>
          <w:lang w:val="fr-FR"/>
        </w:rPr>
        <w:t>. Concernant l</w:t>
      </w:r>
      <w:r w:rsidR="00923E72">
        <w:rPr>
          <w:bCs/>
          <w:lang w:val="fr-FR"/>
        </w:rPr>
        <w:t>’</w:t>
      </w:r>
      <w:r w:rsidRPr="000B3925">
        <w:rPr>
          <w:bCs/>
          <w:lang w:val="fr-FR"/>
        </w:rPr>
        <w:t>explication du Président de l</w:t>
      </w:r>
      <w:r w:rsidR="00923E72">
        <w:rPr>
          <w:bCs/>
          <w:lang w:val="fr-FR"/>
        </w:rPr>
        <w:t>’</w:t>
      </w:r>
      <w:r w:rsidRPr="000B3925">
        <w:rPr>
          <w:bCs/>
          <w:lang w:val="fr-FR"/>
        </w:rPr>
        <w:t>Organe d</w:t>
      </w:r>
      <w:r w:rsidR="00923E72">
        <w:rPr>
          <w:bCs/>
          <w:lang w:val="fr-FR"/>
        </w:rPr>
        <w:t>’</w:t>
      </w:r>
      <w:r w:rsidRPr="000B3925">
        <w:rPr>
          <w:bCs/>
          <w:lang w:val="fr-FR"/>
        </w:rPr>
        <w:t>évaluation selon laquelle ses membres pren</w:t>
      </w:r>
      <w:r>
        <w:rPr>
          <w:bCs/>
          <w:lang w:val="fr-FR"/>
        </w:rPr>
        <w:t>aient</w:t>
      </w:r>
      <w:r w:rsidRPr="000B3925">
        <w:rPr>
          <w:bCs/>
          <w:lang w:val="fr-FR"/>
        </w:rPr>
        <w:t xml:space="preserve"> leurs décisions par consensus, la délégation a fait remarquer que l</w:t>
      </w:r>
      <w:r w:rsidR="00923E72">
        <w:rPr>
          <w:bCs/>
          <w:lang w:val="fr-FR"/>
        </w:rPr>
        <w:t>’</w:t>
      </w:r>
      <w:r w:rsidRPr="000B3925">
        <w:rPr>
          <w:bCs/>
          <w:lang w:val="fr-FR"/>
        </w:rPr>
        <w:t>Organe avait la responsabilité de clarifier le dossier afin de transmettre ensuite ce</w:t>
      </w:r>
      <w:r>
        <w:rPr>
          <w:bCs/>
          <w:lang w:val="fr-FR"/>
        </w:rPr>
        <w:t>s</w:t>
      </w:r>
      <w:r w:rsidRPr="000B3925">
        <w:rPr>
          <w:bCs/>
          <w:lang w:val="fr-FR"/>
        </w:rPr>
        <w:t xml:space="preserve"> information</w:t>
      </w:r>
      <w:r>
        <w:rPr>
          <w:bCs/>
          <w:lang w:val="fr-FR"/>
        </w:rPr>
        <w:t xml:space="preserve">s </w:t>
      </w:r>
      <w:r w:rsidRPr="000B3925">
        <w:rPr>
          <w:bCs/>
          <w:lang w:val="fr-FR"/>
        </w:rPr>
        <w:t>aux membres du Comité en expliquant la nature et la signification précises de l</w:t>
      </w:r>
      <w:r w:rsidR="00923E72">
        <w:rPr>
          <w:bCs/>
          <w:lang w:val="fr-FR"/>
        </w:rPr>
        <w:t>’</w:t>
      </w:r>
      <w:r w:rsidRPr="000B3925">
        <w:rPr>
          <w:bCs/>
          <w:lang w:val="fr-FR"/>
        </w:rPr>
        <w:t>élément. En effet, l</w:t>
      </w:r>
      <w:r w:rsidR="00923E72">
        <w:rPr>
          <w:bCs/>
          <w:lang w:val="fr-FR"/>
        </w:rPr>
        <w:t>’</w:t>
      </w:r>
      <w:r w:rsidRPr="000B3925">
        <w:rPr>
          <w:bCs/>
          <w:lang w:val="fr-FR"/>
        </w:rPr>
        <w:t>interprétation pouvait varier en fonction des différences régionales, ce qui faisait appel à la responsabilité des représentants régionaux au sein de l</w:t>
      </w:r>
      <w:r w:rsidR="00923E72">
        <w:rPr>
          <w:bCs/>
          <w:lang w:val="fr-FR"/>
        </w:rPr>
        <w:t>’</w:t>
      </w:r>
      <w:r w:rsidRPr="000B3925">
        <w:rPr>
          <w:bCs/>
          <w:lang w:val="fr-FR"/>
        </w:rPr>
        <w:t>Organe afin que les dossiers soient examinés de manière équitable. La délégation estimait que le Comité de Rabat pourrait contribuer à clarifier la relation entre l</w:t>
      </w:r>
      <w:r w:rsidR="00923E72">
        <w:rPr>
          <w:bCs/>
          <w:lang w:val="fr-FR"/>
        </w:rPr>
        <w:t>’</w:t>
      </w:r>
      <w:r w:rsidRPr="000B3925">
        <w:rPr>
          <w:bCs/>
          <w:lang w:val="fr-FR"/>
        </w:rPr>
        <w:t xml:space="preserve">accord de travail et le processus de dialogue. </w:t>
      </w:r>
      <w:r w:rsidR="00B94E9E">
        <w:rPr>
          <w:bCs/>
          <w:lang w:val="fr-FR"/>
        </w:rPr>
        <w:t>I</w:t>
      </w:r>
      <w:r w:rsidRPr="000B3925">
        <w:rPr>
          <w:bCs/>
          <w:lang w:val="fr-FR"/>
        </w:rPr>
        <w:t xml:space="preserve">l était </w:t>
      </w:r>
      <w:r w:rsidR="00B94E9E">
        <w:rPr>
          <w:bCs/>
          <w:lang w:val="fr-FR"/>
        </w:rPr>
        <w:t xml:space="preserve">effectivement </w:t>
      </w:r>
      <w:r w:rsidRPr="000B3925">
        <w:rPr>
          <w:bCs/>
          <w:lang w:val="fr-FR"/>
        </w:rPr>
        <w:t>important que le Comité ait la possibilité d</w:t>
      </w:r>
      <w:r w:rsidR="00923E72">
        <w:rPr>
          <w:bCs/>
          <w:lang w:val="fr-FR"/>
        </w:rPr>
        <w:t>’</w:t>
      </w:r>
      <w:r w:rsidRPr="000B3925">
        <w:rPr>
          <w:bCs/>
          <w:lang w:val="fr-FR"/>
        </w:rPr>
        <w:t>examiner le dossier au cours de la session afin de prendre en compte l</w:t>
      </w:r>
      <w:r w:rsidR="00923E72">
        <w:rPr>
          <w:bCs/>
          <w:lang w:val="fr-FR"/>
        </w:rPr>
        <w:t>’</w:t>
      </w:r>
      <w:r w:rsidRPr="000B3925">
        <w:rPr>
          <w:bCs/>
          <w:lang w:val="fr-FR"/>
        </w:rPr>
        <w:t>équilibre géographique dans les listes, mentionné dans les Directives opérationnelles. Cuba soutenait l</w:t>
      </w:r>
      <w:r w:rsidR="00923E72">
        <w:rPr>
          <w:bCs/>
          <w:lang w:val="fr-FR"/>
        </w:rPr>
        <w:t>’</w:t>
      </w:r>
      <w:r w:rsidRPr="000B3925">
        <w:rPr>
          <w:bCs/>
          <w:lang w:val="fr-FR"/>
        </w:rPr>
        <w:t>accord de travail et le processus de dialogue en amont</w:t>
      </w:r>
      <w:r w:rsidR="005F32EB">
        <w:rPr>
          <w:bCs/>
          <w:lang w:val="fr-FR"/>
        </w:rPr>
        <w:t>,</w:t>
      </w:r>
      <w:r w:rsidRPr="000B3925">
        <w:rPr>
          <w:bCs/>
          <w:lang w:val="fr-FR"/>
        </w:rPr>
        <w:t xml:space="preserve"> qui avait prouvé son </w:t>
      </w:r>
      <w:r w:rsidRPr="000B3925">
        <w:rPr>
          <w:bCs/>
          <w:lang w:val="fr-FR"/>
        </w:rPr>
        <w:lastRenderedPageBreak/>
        <w:t xml:space="preserve">efficacité. </w:t>
      </w:r>
      <w:r w:rsidR="00B94E9E">
        <w:rPr>
          <w:bCs/>
          <w:lang w:val="fr-FR"/>
        </w:rPr>
        <w:t xml:space="preserve">Cuba </w:t>
      </w:r>
      <w:r w:rsidRPr="000B3925">
        <w:rPr>
          <w:bCs/>
          <w:lang w:val="fr-FR"/>
        </w:rPr>
        <w:t>avait également retiré des dossiers afin de respecter l</w:t>
      </w:r>
      <w:r w:rsidR="00923E72">
        <w:rPr>
          <w:bCs/>
          <w:lang w:val="fr-FR"/>
        </w:rPr>
        <w:t>’</w:t>
      </w:r>
      <w:r w:rsidRPr="000B3925">
        <w:rPr>
          <w:bCs/>
          <w:lang w:val="fr-FR"/>
        </w:rPr>
        <w:t>accord, mais le moment était venu de revoir l</w:t>
      </w:r>
      <w:r w:rsidR="00923E72">
        <w:rPr>
          <w:bCs/>
          <w:lang w:val="fr-FR"/>
        </w:rPr>
        <w:t>’</w:t>
      </w:r>
      <w:r w:rsidRPr="000B3925">
        <w:rPr>
          <w:bCs/>
          <w:lang w:val="fr-FR"/>
        </w:rPr>
        <w:t>accord et de renforcer le processus de dialogue.</w:t>
      </w:r>
    </w:p>
    <w:p w14:paraId="4264A365" w14:textId="411FA6B5" w:rsidR="00B94E9E" w:rsidRDefault="0067659B">
      <w:pPr>
        <w:pStyle w:val="Orateurengris"/>
        <w:numPr>
          <w:ilvl w:val="0"/>
          <w:numId w:val="20"/>
        </w:numPr>
        <w:tabs>
          <w:tab w:val="clear" w:pos="567"/>
        </w:tabs>
        <w:spacing w:before="120"/>
        <w:ind w:left="709" w:hanging="709"/>
        <w:rPr>
          <w:bCs/>
          <w:lang w:val="fr-FR"/>
        </w:rPr>
      </w:pPr>
      <w:r w:rsidRPr="0067659B">
        <w:rPr>
          <w:bCs/>
          <w:lang w:val="fr-FR"/>
        </w:rPr>
        <w:t>La délégation de l</w:t>
      </w:r>
      <w:r w:rsidR="00923E72">
        <w:rPr>
          <w:bCs/>
          <w:lang w:val="fr-FR"/>
        </w:rPr>
        <w:t>’</w:t>
      </w:r>
      <w:r w:rsidRPr="00702497">
        <w:rPr>
          <w:b/>
          <w:lang w:val="fr-FR"/>
        </w:rPr>
        <w:t>Autriche</w:t>
      </w:r>
      <w:r w:rsidRPr="0067659B">
        <w:rPr>
          <w:bCs/>
          <w:lang w:val="fr-FR"/>
        </w:rPr>
        <w:t xml:space="preserve"> a remercié le Maroc pour l</w:t>
      </w:r>
      <w:r w:rsidR="00923E72">
        <w:rPr>
          <w:bCs/>
          <w:lang w:val="fr-FR"/>
        </w:rPr>
        <w:t>’</w:t>
      </w:r>
      <w:r w:rsidRPr="0067659B">
        <w:rPr>
          <w:bCs/>
          <w:lang w:val="fr-FR"/>
        </w:rPr>
        <w:t>organisation de la réunion du Comité et pour son accueil chaleureux. Elle a félicité le Secrétariat pour l</w:t>
      </w:r>
      <w:r w:rsidR="00923E72">
        <w:rPr>
          <w:bCs/>
          <w:lang w:val="fr-FR"/>
        </w:rPr>
        <w:t>’</w:t>
      </w:r>
      <w:r w:rsidRPr="0067659B">
        <w:rPr>
          <w:bCs/>
          <w:lang w:val="fr-FR"/>
        </w:rPr>
        <w:t>excellente préparation des documents de la réunion et l</w:t>
      </w:r>
      <w:r w:rsidR="00923E72">
        <w:rPr>
          <w:bCs/>
          <w:lang w:val="fr-FR"/>
        </w:rPr>
        <w:t>’</w:t>
      </w:r>
      <w:r w:rsidRPr="0067659B">
        <w:rPr>
          <w:bCs/>
          <w:lang w:val="fr-FR"/>
        </w:rPr>
        <w:t>Organe d</w:t>
      </w:r>
      <w:r w:rsidR="00923E72">
        <w:rPr>
          <w:bCs/>
          <w:lang w:val="fr-FR"/>
        </w:rPr>
        <w:t>’</w:t>
      </w:r>
      <w:r w:rsidRPr="0067659B">
        <w:rPr>
          <w:bCs/>
          <w:lang w:val="fr-FR"/>
        </w:rPr>
        <w:t xml:space="preserve">évaluation pour son engagement dans cette tâche exigeante. La délégation </w:t>
      </w:r>
      <w:r w:rsidR="00C91A06">
        <w:rPr>
          <w:bCs/>
          <w:lang w:val="fr-FR"/>
        </w:rPr>
        <w:t xml:space="preserve">tenait surtout </w:t>
      </w:r>
      <w:r w:rsidR="005F32EB">
        <w:rPr>
          <w:bCs/>
          <w:lang w:val="fr-FR"/>
        </w:rPr>
        <w:t xml:space="preserve">et absolument </w:t>
      </w:r>
      <w:r w:rsidRPr="0067659B">
        <w:rPr>
          <w:bCs/>
          <w:lang w:val="fr-FR"/>
        </w:rPr>
        <w:t xml:space="preserve">à </w:t>
      </w:r>
      <w:r w:rsidR="005F32EB">
        <w:rPr>
          <w:bCs/>
          <w:lang w:val="fr-FR"/>
        </w:rPr>
        <w:t xml:space="preserve">saluer </w:t>
      </w:r>
      <w:r w:rsidRPr="0067659B">
        <w:rPr>
          <w:bCs/>
          <w:lang w:val="fr-FR"/>
        </w:rPr>
        <w:t xml:space="preserve">toutes les personnes qui </w:t>
      </w:r>
      <w:r w:rsidR="00C91A06">
        <w:rPr>
          <w:bCs/>
          <w:lang w:val="fr-FR"/>
        </w:rPr>
        <w:t xml:space="preserve">étaient </w:t>
      </w:r>
      <w:r w:rsidRPr="0067659B">
        <w:rPr>
          <w:bCs/>
          <w:lang w:val="fr-FR"/>
        </w:rPr>
        <w:t>à l</w:t>
      </w:r>
      <w:r w:rsidR="00923E72">
        <w:rPr>
          <w:bCs/>
          <w:lang w:val="fr-FR"/>
        </w:rPr>
        <w:t>’</w:t>
      </w:r>
      <w:r w:rsidRPr="0067659B">
        <w:rPr>
          <w:bCs/>
          <w:lang w:val="fr-FR"/>
        </w:rPr>
        <w:t>origine des éléments récemment inscrits. Les nouvelles inscriptions contribueraient à mettre encore plus en valeur la grande diversité et la variété du patrimoine vivant. La délégation avait suivi avec beaucoup d</w:t>
      </w:r>
      <w:r w:rsidR="00923E72">
        <w:rPr>
          <w:bCs/>
          <w:lang w:val="fr-FR"/>
        </w:rPr>
        <w:t>’</w:t>
      </w:r>
      <w:r w:rsidRPr="0067659B">
        <w:rPr>
          <w:bCs/>
          <w:lang w:val="fr-FR"/>
        </w:rPr>
        <w:t>intérêt les discussions dynamiques au sein du Comité sur ce point et avait pu observer la présence de certains des détenteurs. Les décisions prises auraient également une incidence sur les futurs débats concernant les listes. Comme mentionné par plusieurs délégations, les discussions portaient toujours sur les dossiers avec les informations fournies par les États soumissionnaires, l</w:t>
      </w:r>
      <w:r w:rsidR="00923E72">
        <w:rPr>
          <w:bCs/>
          <w:lang w:val="fr-FR"/>
        </w:rPr>
        <w:t>’</w:t>
      </w:r>
      <w:r w:rsidRPr="0067659B">
        <w:rPr>
          <w:bCs/>
          <w:lang w:val="fr-FR"/>
        </w:rPr>
        <w:t>élément lui-même n</w:t>
      </w:r>
      <w:r w:rsidR="00923E72">
        <w:rPr>
          <w:bCs/>
          <w:lang w:val="fr-FR"/>
        </w:rPr>
        <w:t>’</w:t>
      </w:r>
      <w:r w:rsidRPr="0067659B">
        <w:rPr>
          <w:bCs/>
          <w:lang w:val="fr-FR"/>
        </w:rPr>
        <w:t>étant pas remis en question. Cependant, le Comité devait s</w:t>
      </w:r>
      <w:r w:rsidR="00923E72">
        <w:rPr>
          <w:bCs/>
          <w:lang w:val="fr-FR"/>
        </w:rPr>
        <w:t>’</w:t>
      </w:r>
      <w:r w:rsidRPr="0067659B">
        <w:rPr>
          <w:bCs/>
          <w:lang w:val="fr-FR"/>
        </w:rPr>
        <w:t xml:space="preserve">assurer que les dossiers présentent les pratiques des communautés de la meilleure manière possible et </w:t>
      </w:r>
      <w:r w:rsidR="002369D9">
        <w:rPr>
          <w:bCs/>
          <w:lang w:val="fr-FR"/>
        </w:rPr>
        <w:t>qu</w:t>
      </w:r>
      <w:r w:rsidR="00923E72">
        <w:rPr>
          <w:bCs/>
          <w:lang w:val="fr-FR"/>
        </w:rPr>
        <w:t>’</w:t>
      </w:r>
      <w:r w:rsidR="002369D9">
        <w:rPr>
          <w:bCs/>
          <w:lang w:val="fr-FR"/>
        </w:rPr>
        <w:t>ils sont</w:t>
      </w:r>
      <w:r w:rsidRPr="0067659B">
        <w:rPr>
          <w:bCs/>
          <w:lang w:val="fr-FR"/>
        </w:rPr>
        <w:t xml:space="preserve"> conform</w:t>
      </w:r>
      <w:r w:rsidR="002369D9">
        <w:rPr>
          <w:bCs/>
          <w:lang w:val="fr-FR"/>
        </w:rPr>
        <w:t>es</w:t>
      </w:r>
      <w:r w:rsidRPr="0067659B">
        <w:rPr>
          <w:bCs/>
          <w:lang w:val="fr-FR"/>
        </w:rPr>
        <w:t xml:space="preserve"> </w:t>
      </w:r>
      <w:r w:rsidR="002369D9">
        <w:rPr>
          <w:bCs/>
          <w:lang w:val="fr-FR"/>
        </w:rPr>
        <w:t>aux</w:t>
      </w:r>
      <w:r w:rsidRPr="0067659B">
        <w:rPr>
          <w:bCs/>
          <w:lang w:val="fr-FR"/>
        </w:rPr>
        <w:t xml:space="preserve"> critères établis pour chacune des </w:t>
      </w:r>
      <w:r w:rsidR="002369D9">
        <w:rPr>
          <w:bCs/>
          <w:lang w:val="fr-FR"/>
        </w:rPr>
        <w:t>l</w:t>
      </w:r>
      <w:r w:rsidRPr="0067659B">
        <w:rPr>
          <w:bCs/>
          <w:lang w:val="fr-FR"/>
        </w:rPr>
        <w:t>istes. D</w:t>
      </w:r>
      <w:r w:rsidR="00923E72">
        <w:rPr>
          <w:bCs/>
          <w:lang w:val="fr-FR"/>
        </w:rPr>
        <w:t>’</w:t>
      </w:r>
      <w:r w:rsidRPr="0067659B">
        <w:rPr>
          <w:bCs/>
          <w:lang w:val="fr-FR"/>
        </w:rPr>
        <w:t>ailleurs, le Comité avait mis en place l</w:t>
      </w:r>
      <w:r w:rsidR="00923E72">
        <w:rPr>
          <w:bCs/>
          <w:lang w:val="fr-FR"/>
        </w:rPr>
        <w:t>’</w:t>
      </w:r>
      <w:r w:rsidRPr="0067659B">
        <w:rPr>
          <w:bCs/>
          <w:lang w:val="fr-FR"/>
        </w:rPr>
        <w:t>Organe d</w:t>
      </w:r>
      <w:r w:rsidR="00923E72">
        <w:rPr>
          <w:bCs/>
          <w:lang w:val="fr-FR"/>
        </w:rPr>
        <w:t>’</w:t>
      </w:r>
      <w:r w:rsidRPr="0067659B">
        <w:rPr>
          <w:bCs/>
          <w:lang w:val="fr-FR"/>
        </w:rPr>
        <w:t>évaluation pour l</w:t>
      </w:r>
      <w:r w:rsidR="00923E72">
        <w:rPr>
          <w:bCs/>
          <w:lang w:val="fr-FR"/>
        </w:rPr>
        <w:t>’</w:t>
      </w:r>
      <w:r w:rsidRPr="0067659B">
        <w:rPr>
          <w:bCs/>
          <w:lang w:val="fr-FR"/>
        </w:rPr>
        <w:t>aider dans cette lourde tâche, dont il s</w:t>
      </w:r>
      <w:r w:rsidR="00923E72">
        <w:rPr>
          <w:bCs/>
          <w:lang w:val="fr-FR"/>
        </w:rPr>
        <w:t>’</w:t>
      </w:r>
      <w:r w:rsidRPr="0067659B">
        <w:rPr>
          <w:bCs/>
          <w:lang w:val="fr-FR"/>
        </w:rPr>
        <w:t>acquittait avec beaucoup de professionnalisme et d</w:t>
      </w:r>
      <w:r w:rsidR="00923E72">
        <w:rPr>
          <w:bCs/>
          <w:lang w:val="fr-FR"/>
        </w:rPr>
        <w:t>’</w:t>
      </w:r>
      <w:r w:rsidRPr="0067659B">
        <w:rPr>
          <w:bCs/>
          <w:lang w:val="fr-FR"/>
        </w:rPr>
        <w:t>assiduité. S</w:t>
      </w:r>
      <w:r w:rsidR="00923E72">
        <w:rPr>
          <w:bCs/>
          <w:lang w:val="fr-FR"/>
        </w:rPr>
        <w:t>’</w:t>
      </w:r>
      <w:r w:rsidRPr="0067659B">
        <w:rPr>
          <w:bCs/>
          <w:lang w:val="fr-FR"/>
        </w:rPr>
        <w:t>agissant de la réflexion globale sur les mécanismes d</w:t>
      </w:r>
      <w:r w:rsidR="00923E72">
        <w:rPr>
          <w:bCs/>
          <w:lang w:val="fr-FR"/>
        </w:rPr>
        <w:t>’</w:t>
      </w:r>
      <w:r w:rsidRPr="0067659B">
        <w:rPr>
          <w:bCs/>
          <w:lang w:val="fr-FR"/>
        </w:rPr>
        <w:t>inscription, les États parties avaient récemment réaffirmé l</w:t>
      </w:r>
      <w:r w:rsidR="00923E72">
        <w:rPr>
          <w:bCs/>
          <w:lang w:val="fr-FR"/>
        </w:rPr>
        <w:t>’</w:t>
      </w:r>
      <w:r w:rsidRPr="0067659B">
        <w:rPr>
          <w:bCs/>
          <w:lang w:val="fr-FR"/>
        </w:rPr>
        <w:t>importance du travail de l</w:t>
      </w:r>
      <w:r w:rsidR="00923E72">
        <w:rPr>
          <w:bCs/>
          <w:lang w:val="fr-FR"/>
        </w:rPr>
        <w:t>’</w:t>
      </w:r>
      <w:r w:rsidRPr="0067659B">
        <w:rPr>
          <w:bCs/>
          <w:lang w:val="fr-FR"/>
        </w:rPr>
        <w:t>Organe. Au cours de ces mêmes discussions, les États parties s</w:t>
      </w:r>
      <w:r w:rsidR="00923E72">
        <w:rPr>
          <w:bCs/>
          <w:lang w:val="fr-FR"/>
        </w:rPr>
        <w:t>’</w:t>
      </w:r>
      <w:r w:rsidRPr="0067659B">
        <w:rPr>
          <w:bCs/>
          <w:lang w:val="fr-FR"/>
        </w:rPr>
        <w:t>étaient également engagés à faire de l</w:t>
      </w:r>
      <w:r w:rsidR="00923E72">
        <w:rPr>
          <w:bCs/>
          <w:lang w:val="fr-FR"/>
        </w:rPr>
        <w:t>’</w:t>
      </w:r>
      <w:r w:rsidRPr="0067659B">
        <w:rPr>
          <w:bCs/>
          <w:lang w:val="fr-FR"/>
        </w:rPr>
        <w:t>accord de travail un principe directeur pour le Comité. Ces lignes directrices et ces critères s</w:t>
      </w:r>
      <w:r w:rsidR="00923E72">
        <w:rPr>
          <w:bCs/>
          <w:lang w:val="fr-FR"/>
        </w:rPr>
        <w:t>’</w:t>
      </w:r>
      <w:r w:rsidRPr="0067659B">
        <w:rPr>
          <w:bCs/>
          <w:lang w:val="fr-FR"/>
        </w:rPr>
        <w:t>étaient révélés très utiles pour garantir la transparence du processus, et il serait préoccupant de ne pas tenir compte de cette méthode de travail. La délégation a reconnu le succès du dialogue en amont. Plusieurs questions sur sa mise en œuvre avaient été soulevées au cours de cette session. Elle attendait avec impatience de voir le plein impact de cet outil dans le processus d</w:t>
      </w:r>
      <w:r w:rsidR="00923E72">
        <w:rPr>
          <w:bCs/>
          <w:lang w:val="fr-FR"/>
        </w:rPr>
        <w:t>’</w:t>
      </w:r>
      <w:r w:rsidRPr="0067659B">
        <w:rPr>
          <w:bCs/>
          <w:lang w:val="fr-FR"/>
        </w:rPr>
        <w:t>évaluation, tout en explorant les possibilités de le modifier, en fonction des ressources humaines et financières disponibles.</w:t>
      </w:r>
    </w:p>
    <w:p w14:paraId="106ECCDF" w14:textId="4B8513E9" w:rsidR="00C91A06" w:rsidRDefault="00B01515">
      <w:pPr>
        <w:pStyle w:val="Orateurengris"/>
        <w:numPr>
          <w:ilvl w:val="0"/>
          <w:numId w:val="20"/>
        </w:numPr>
        <w:tabs>
          <w:tab w:val="clear" w:pos="567"/>
        </w:tabs>
        <w:spacing w:before="120"/>
        <w:ind w:left="709" w:hanging="709"/>
        <w:rPr>
          <w:bCs/>
          <w:lang w:val="fr-FR"/>
        </w:rPr>
      </w:pPr>
      <w:r w:rsidRPr="00B01515">
        <w:rPr>
          <w:bCs/>
          <w:lang w:val="fr-FR"/>
        </w:rPr>
        <w:t xml:space="preserve">La délégation de </w:t>
      </w:r>
      <w:r w:rsidRPr="00702497">
        <w:rPr>
          <w:b/>
          <w:lang w:val="fr-FR"/>
        </w:rPr>
        <w:t>Djibouti</w:t>
      </w:r>
      <w:r w:rsidRPr="00B01515">
        <w:rPr>
          <w:bCs/>
          <w:lang w:val="fr-FR"/>
        </w:rPr>
        <w:t xml:space="preserve"> a félicité les communautés dont les éléments avaient été inscrits ainsi que l</w:t>
      </w:r>
      <w:r w:rsidR="00923E72">
        <w:rPr>
          <w:bCs/>
          <w:lang w:val="fr-FR"/>
        </w:rPr>
        <w:t>’</w:t>
      </w:r>
      <w:r w:rsidRPr="00B01515">
        <w:rPr>
          <w:bCs/>
          <w:lang w:val="fr-FR"/>
        </w:rPr>
        <w:t>Organe d</w:t>
      </w:r>
      <w:r w:rsidR="00923E72">
        <w:rPr>
          <w:bCs/>
          <w:lang w:val="fr-FR"/>
        </w:rPr>
        <w:t>’</w:t>
      </w:r>
      <w:r w:rsidRPr="00B01515">
        <w:rPr>
          <w:bCs/>
          <w:lang w:val="fr-FR"/>
        </w:rPr>
        <w:t>évaluation pour le travail accompli sur les trois mécanismes d</w:t>
      </w:r>
      <w:r w:rsidR="00923E72">
        <w:rPr>
          <w:bCs/>
          <w:lang w:val="fr-FR"/>
        </w:rPr>
        <w:t>’</w:t>
      </w:r>
      <w:r w:rsidRPr="00B01515">
        <w:rPr>
          <w:bCs/>
          <w:lang w:val="fr-FR"/>
        </w:rPr>
        <w:t>inscription. Elle a également remercié le Comité, en le félicitant pour ses réflexions approfondies sur l</w:t>
      </w:r>
      <w:r w:rsidR="00923E72">
        <w:rPr>
          <w:bCs/>
          <w:lang w:val="fr-FR"/>
        </w:rPr>
        <w:t>’</w:t>
      </w:r>
      <w:r w:rsidRPr="00B01515">
        <w:rPr>
          <w:bCs/>
          <w:lang w:val="fr-FR"/>
        </w:rPr>
        <w:t>évaluation des documents et des dossiers</w:t>
      </w:r>
      <w:r w:rsidR="003C0A47">
        <w:rPr>
          <w:bCs/>
          <w:lang w:val="fr-FR"/>
        </w:rPr>
        <w:t>,</w:t>
      </w:r>
      <w:r w:rsidR="002369D9">
        <w:rPr>
          <w:bCs/>
          <w:lang w:val="fr-FR"/>
        </w:rPr>
        <w:t xml:space="preserve"> </w:t>
      </w:r>
      <w:r w:rsidRPr="00B01515">
        <w:rPr>
          <w:bCs/>
          <w:lang w:val="fr-FR"/>
        </w:rPr>
        <w:t>qui avaient donné lieu à des interprétations différentes des textes, point important de la discussion d</w:t>
      </w:r>
      <w:r w:rsidR="00923E72">
        <w:rPr>
          <w:bCs/>
          <w:lang w:val="fr-FR"/>
        </w:rPr>
        <w:t>’</w:t>
      </w:r>
      <w:r w:rsidRPr="00B01515">
        <w:rPr>
          <w:bCs/>
          <w:lang w:val="fr-FR"/>
        </w:rPr>
        <w:t>aujourd</w:t>
      </w:r>
      <w:r w:rsidR="00923E72">
        <w:rPr>
          <w:bCs/>
          <w:lang w:val="fr-FR"/>
        </w:rPr>
        <w:t>’</w:t>
      </w:r>
      <w:r w:rsidRPr="00B01515">
        <w:rPr>
          <w:bCs/>
          <w:lang w:val="fr-FR"/>
        </w:rPr>
        <w:t xml:space="preserve">hui. Parfois, les explications </w:t>
      </w:r>
      <w:r>
        <w:rPr>
          <w:bCs/>
          <w:lang w:val="fr-FR"/>
        </w:rPr>
        <w:t xml:space="preserve">au sein du Comité, </w:t>
      </w:r>
      <w:r w:rsidRPr="00B01515">
        <w:rPr>
          <w:bCs/>
          <w:lang w:val="fr-FR"/>
        </w:rPr>
        <w:t>post</w:t>
      </w:r>
      <w:r>
        <w:rPr>
          <w:bCs/>
          <w:lang w:val="fr-FR"/>
        </w:rPr>
        <w:t xml:space="preserve">érieures au projet de décision, </w:t>
      </w:r>
      <w:r w:rsidRPr="00B01515">
        <w:rPr>
          <w:bCs/>
          <w:lang w:val="fr-FR"/>
        </w:rPr>
        <w:t xml:space="preserve">avaient pris le pas sur </w:t>
      </w:r>
      <w:r>
        <w:rPr>
          <w:bCs/>
          <w:lang w:val="fr-FR"/>
        </w:rPr>
        <w:t xml:space="preserve">les décisions </w:t>
      </w:r>
      <w:r w:rsidRPr="00B01515">
        <w:rPr>
          <w:bCs/>
          <w:lang w:val="fr-FR"/>
        </w:rPr>
        <w:t>recommandées par l</w:t>
      </w:r>
      <w:r w:rsidR="00923E72">
        <w:rPr>
          <w:bCs/>
          <w:lang w:val="fr-FR"/>
        </w:rPr>
        <w:t>’</w:t>
      </w:r>
      <w:r w:rsidRPr="00B01515">
        <w:rPr>
          <w:bCs/>
          <w:lang w:val="fr-FR"/>
        </w:rPr>
        <w:t>Organe, ce qui avait remis en cause l</w:t>
      </w:r>
      <w:r w:rsidR="00923E72">
        <w:rPr>
          <w:bCs/>
          <w:lang w:val="fr-FR"/>
        </w:rPr>
        <w:t>’</w:t>
      </w:r>
      <w:r w:rsidRPr="00B01515">
        <w:rPr>
          <w:bCs/>
          <w:lang w:val="fr-FR"/>
        </w:rPr>
        <w:t>accord de travail</w:t>
      </w:r>
      <w:r w:rsidR="003C0A47">
        <w:rPr>
          <w:bCs/>
          <w:lang w:val="fr-FR"/>
        </w:rPr>
        <w:t>,</w:t>
      </w:r>
      <w:r w:rsidRPr="00B01515">
        <w:rPr>
          <w:bCs/>
          <w:lang w:val="fr-FR"/>
        </w:rPr>
        <w:t xml:space="preserve"> qui était la règle dans le passé. La délégation a notamment rappelé la seizième session au cours de laquelle Djibouti avait présenté un dossier qui avait fait l</w:t>
      </w:r>
      <w:r w:rsidR="00923E72">
        <w:rPr>
          <w:bCs/>
          <w:lang w:val="fr-FR"/>
        </w:rPr>
        <w:t>’</w:t>
      </w:r>
      <w:r w:rsidRPr="00B01515">
        <w:rPr>
          <w:bCs/>
          <w:lang w:val="fr-FR"/>
        </w:rPr>
        <w:t>objet d</w:t>
      </w:r>
      <w:r w:rsidR="00923E72">
        <w:rPr>
          <w:bCs/>
          <w:lang w:val="fr-FR"/>
        </w:rPr>
        <w:t>’</w:t>
      </w:r>
      <w:r w:rsidRPr="00B01515">
        <w:rPr>
          <w:bCs/>
          <w:lang w:val="fr-FR"/>
        </w:rPr>
        <w:t>un renvoi</w:t>
      </w:r>
      <w:r>
        <w:rPr>
          <w:bCs/>
          <w:lang w:val="fr-FR"/>
        </w:rPr>
        <w:t xml:space="preserve"> </w:t>
      </w:r>
      <w:r w:rsidRPr="00B01515">
        <w:rPr>
          <w:bCs/>
          <w:lang w:val="fr-FR"/>
        </w:rPr>
        <w:t xml:space="preserve">que </w:t>
      </w:r>
      <w:r>
        <w:rPr>
          <w:bCs/>
          <w:lang w:val="fr-FR"/>
        </w:rPr>
        <w:t xml:space="preserve">la </w:t>
      </w:r>
      <w:r w:rsidRPr="00B01515">
        <w:rPr>
          <w:bCs/>
          <w:lang w:val="fr-FR"/>
        </w:rPr>
        <w:t xml:space="preserve">délégation avait accepté. Les critères devaient être </w:t>
      </w:r>
      <w:r w:rsidR="002369D9">
        <w:rPr>
          <w:bCs/>
          <w:lang w:val="fr-FR"/>
        </w:rPr>
        <w:t xml:space="preserve">expliqués davantage, </w:t>
      </w:r>
      <w:r w:rsidRPr="00B01515">
        <w:rPr>
          <w:bCs/>
          <w:lang w:val="fr-FR"/>
        </w:rPr>
        <w:t xml:space="preserve">car ils créaient des obstacles à la prise en compte de la qualité des documents et des dossiers, ce qui ne faisait que </w:t>
      </w:r>
      <w:r w:rsidR="002369D9">
        <w:rPr>
          <w:bCs/>
          <w:lang w:val="fr-FR"/>
        </w:rPr>
        <w:t xml:space="preserve">rendre encore plus nécessaire le </w:t>
      </w:r>
      <w:r w:rsidR="002369D9" w:rsidRPr="002369D9">
        <w:rPr>
          <w:bCs/>
          <w:lang w:val="fr-FR"/>
        </w:rPr>
        <w:t>développement</w:t>
      </w:r>
      <w:r w:rsidR="002369D9">
        <w:rPr>
          <w:bCs/>
          <w:lang w:val="fr-FR"/>
        </w:rPr>
        <w:t xml:space="preserve"> du </w:t>
      </w:r>
      <w:r w:rsidRPr="00B01515">
        <w:rPr>
          <w:bCs/>
          <w:lang w:val="fr-FR"/>
        </w:rPr>
        <w:t>renforcement des capacités des communautés. La délégation a convenu que des questions se posaient parfois et que les décisions rendues par l</w:t>
      </w:r>
      <w:r w:rsidR="00923E72">
        <w:rPr>
          <w:bCs/>
          <w:lang w:val="fr-FR"/>
        </w:rPr>
        <w:t>’</w:t>
      </w:r>
      <w:r w:rsidRPr="00B01515">
        <w:rPr>
          <w:bCs/>
          <w:lang w:val="fr-FR"/>
        </w:rPr>
        <w:t>Organe d</w:t>
      </w:r>
      <w:r w:rsidR="00923E72">
        <w:rPr>
          <w:bCs/>
          <w:lang w:val="fr-FR"/>
        </w:rPr>
        <w:t>’</w:t>
      </w:r>
      <w:r w:rsidRPr="00B01515">
        <w:rPr>
          <w:bCs/>
          <w:lang w:val="fr-FR"/>
        </w:rPr>
        <w:t>évaluation étaient le fruit d</w:t>
      </w:r>
      <w:r w:rsidR="00923E72">
        <w:rPr>
          <w:bCs/>
          <w:lang w:val="fr-FR"/>
        </w:rPr>
        <w:t>’</w:t>
      </w:r>
      <w:r w:rsidRPr="00B01515">
        <w:rPr>
          <w:bCs/>
          <w:lang w:val="fr-FR"/>
        </w:rPr>
        <w:t>un consensus, mais qu</w:t>
      </w:r>
      <w:r w:rsidR="00923E72">
        <w:rPr>
          <w:bCs/>
          <w:lang w:val="fr-FR"/>
        </w:rPr>
        <w:t>’</w:t>
      </w:r>
      <w:r w:rsidRPr="00B01515">
        <w:rPr>
          <w:bCs/>
          <w:lang w:val="fr-FR"/>
        </w:rPr>
        <w:t>une tendance se dégageait toujours d</w:t>
      </w:r>
      <w:r w:rsidR="00923E72">
        <w:rPr>
          <w:bCs/>
          <w:lang w:val="fr-FR"/>
        </w:rPr>
        <w:t>’</w:t>
      </w:r>
      <w:r w:rsidRPr="00B01515">
        <w:rPr>
          <w:bCs/>
          <w:lang w:val="fr-FR"/>
        </w:rPr>
        <w:t>une manière ou d</w:t>
      </w:r>
      <w:r w:rsidR="00923E72">
        <w:rPr>
          <w:bCs/>
          <w:lang w:val="fr-FR"/>
        </w:rPr>
        <w:t>’</w:t>
      </w:r>
      <w:r w:rsidRPr="00B01515">
        <w:rPr>
          <w:bCs/>
          <w:lang w:val="fr-FR"/>
        </w:rPr>
        <w:t>une autre. Elle a félicité le Secrétariat pour son excellent travail sur les dossiers et son profession</w:t>
      </w:r>
      <w:r w:rsidR="00E326A3">
        <w:rPr>
          <w:bCs/>
          <w:lang w:val="fr-FR"/>
        </w:rPr>
        <w:t>n</w:t>
      </w:r>
      <w:r w:rsidRPr="00B01515">
        <w:rPr>
          <w:bCs/>
          <w:lang w:val="fr-FR"/>
        </w:rPr>
        <w:t>alisme.</w:t>
      </w:r>
    </w:p>
    <w:p w14:paraId="5CB52879" w14:textId="114BB5D6" w:rsidR="00080386" w:rsidRDefault="00080386">
      <w:pPr>
        <w:pStyle w:val="Orateurengris"/>
        <w:numPr>
          <w:ilvl w:val="0"/>
          <w:numId w:val="20"/>
        </w:numPr>
        <w:tabs>
          <w:tab w:val="clear" w:pos="567"/>
        </w:tabs>
        <w:spacing w:before="120"/>
        <w:ind w:left="709" w:hanging="709"/>
        <w:rPr>
          <w:bCs/>
          <w:lang w:val="fr-FR"/>
        </w:rPr>
      </w:pPr>
      <w:r w:rsidRPr="00080386">
        <w:rPr>
          <w:bCs/>
          <w:lang w:val="fr-FR"/>
        </w:rPr>
        <w:t>La délégation de l</w:t>
      </w:r>
      <w:r w:rsidR="00923E72">
        <w:rPr>
          <w:bCs/>
          <w:lang w:val="fr-FR"/>
        </w:rPr>
        <w:t>’</w:t>
      </w:r>
      <w:r w:rsidRPr="00702497">
        <w:rPr>
          <w:b/>
          <w:lang w:val="fr-FR"/>
        </w:rPr>
        <w:t>Argentine</w:t>
      </w:r>
      <w:r w:rsidRPr="00080386">
        <w:rPr>
          <w:bCs/>
          <w:lang w:val="fr-FR"/>
        </w:rPr>
        <w:t xml:space="preserve"> a remercié l</w:t>
      </w:r>
      <w:r w:rsidR="00923E72">
        <w:rPr>
          <w:bCs/>
          <w:lang w:val="fr-FR"/>
        </w:rPr>
        <w:t>’</w:t>
      </w:r>
      <w:r w:rsidRPr="00080386">
        <w:rPr>
          <w:bCs/>
          <w:lang w:val="fr-FR"/>
        </w:rPr>
        <w:t>Organe d</w:t>
      </w:r>
      <w:r w:rsidR="00923E72">
        <w:rPr>
          <w:bCs/>
          <w:lang w:val="fr-FR"/>
        </w:rPr>
        <w:t>’</w:t>
      </w:r>
      <w:r w:rsidRPr="00080386">
        <w:rPr>
          <w:bCs/>
          <w:lang w:val="fr-FR"/>
        </w:rPr>
        <w:t xml:space="preserve">évaluation et a félicité les détenteurs et les pays dont les éléments </w:t>
      </w:r>
      <w:r>
        <w:rPr>
          <w:bCs/>
          <w:lang w:val="fr-FR"/>
        </w:rPr>
        <w:t xml:space="preserve">avaient été </w:t>
      </w:r>
      <w:r w:rsidRPr="00080386">
        <w:rPr>
          <w:bCs/>
          <w:lang w:val="fr-FR"/>
        </w:rPr>
        <w:t>inscrits. Elle soutenait l</w:t>
      </w:r>
      <w:r w:rsidR="00923E72">
        <w:rPr>
          <w:bCs/>
          <w:lang w:val="fr-FR"/>
        </w:rPr>
        <w:t>’</w:t>
      </w:r>
      <w:r w:rsidRPr="00080386">
        <w:rPr>
          <w:bCs/>
          <w:lang w:val="fr-FR"/>
        </w:rPr>
        <w:t>amendement proposé par le Brésil et la nécessité de soutenir le processus de dialogue et le renforcement des capacités.</w:t>
      </w:r>
    </w:p>
    <w:p w14:paraId="26B769E8" w14:textId="766A9F4D" w:rsidR="00080386" w:rsidRDefault="00080386">
      <w:pPr>
        <w:pStyle w:val="Orateurengris"/>
        <w:numPr>
          <w:ilvl w:val="0"/>
          <w:numId w:val="20"/>
        </w:numPr>
        <w:tabs>
          <w:tab w:val="clear" w:pos="567"/>
        </w:tabs>
        <w:spacing w:before="120"/>
        <w:ind w:left="709" w:hanging="709"/>
        <w:rPr>
          <w:bCs/>
          <w:lang w:val="fr-FR"/>
        </w:rPr>
      </w:pPr>
      <w:r w:rsidRPr="00080386">
        <w:rPr>
          <w:bCs/>
          <w:lang w:val="fr-FR"/>
        </w:rPr>
        <w:t xml:space="preserve">La délégation du </w:t>
      </w:r>
      <w:r w:rsidRPr="00702497">
        <w:rPr>
          <w:b/>
          <w:lang w:val="fr-FR"/>
        </w:rPr>
        <w:t>Guatemala</w:t>
      </w:r>
      <w:r w:rsidRPr="00080386">
        <w:rPr>
          <w:bCs/>
          <w:lang w:val="fr-FR"/>
        </w:rPr>
        <w:t xml:space="preserve"> a félicité l</w:t>
      </w:r>
      <w:r w:rsidR="00923E72">
        <w:rPr>
          <w:bCs/>
          <w:lang w:val="fr-FR"/>
        </w:rPr>
        <w:t>’</w:t>
      </w:r>
      <w:r w:rsidRPr="00080386">
        <w:rPr>
          <w:bCs/>
          <w:lang w:val="fr-FR"/>
        </w:rPr>
        <w:t>Organe d</w:t>
      </w:r>
      <w:r w:rsidR="00923E72">
        <w:rPr>
          <w:bCs/>
          <w:lang w:val="fr-FR"/>
        </w:rPr>
        <w:t>’</w:t>
      </w:r>
      <w:r w:rsidRPr="00080386">
        <w:rPr>
          <w:bCs/>
          <w:lang w:val="fr-FR"/>
        </w:rPr>
        <w:t>évaluation pour son travail, reconnaissant qu</w:t>
      </w:r>
      <w:r w:rsidR="00923E72">
        <w:rPr>
          <w:bCs/>
          <w:lang w:val="fr-FR"/>
        </w:rPr>
        <w:t>’</w:t>
      </w:r>
      <w:r w:rsidRPr="00080386">
        <w:rPr>
          <w:bCs/>
          <w:lang w:val="fr-FR"/>
        </w:rPr>
        <w:t>il avait une responsabilité très importante. Cependant, il était également important que l</w:t>
      </w:r>
      <w:r w:rsidR="00923E72">
        <w:rPr>
          <w:bCs/>
          <w:lang w:val="fr-FR"/>
        </w:rPr>
        <w:t>’</w:t>
      </w:r>
      <w:r w:rsidRPr="00080386">
        <w:rPr>
          <w:bCs/>
          <w:lang w:val="fr-FR"/>
        </w:rPr>
        <w:t>Organe d</w:t>
      </w:r>
      <w:r w:rsidR="00923E72">
        <w:rPr>
          <w:bCs/>
          <w:lang w:val="fr-FR"/>
        </w:rPr>
        <w:t>’</w:t>
      </w:r>
      <w:r w:rsidRPr="00080386">
        <w:rPr>
          <w:bCs/>
          <w:lang w:val="fr-FR"/>
        </w:rPr>
        <w:t>évaluation parvienne à un équilibre géographique lorsqu</w:t>
      </w:r>
      <w:r w:rsidR="00923E72">
        <w:rPr>
          <w:bCs/>
          <w:lang w:val="fr-FR"/>
        </w:rPr>
        <w:t>’</w:t>
      </w:r>
      <w:r w:rsidRPr="00080386">
        <w:rPr>
          <w:bCs/>
          <w:lang w:val="fr-FR"/>
        </w:rPr>
        <w:t>il était question de candidatures. Le processus de dialogue était un outil qui pouvait s</w:t>
      </w:r>
      <w:r w:rsidR="00923E72">
        <w:rPr>
          <w:bCs/>
          <w:lang w:val="fr-FR"/>
        </w:rPr>
        <w:t>’</w:t>
      </w:r>
      <w:r w:rsidRPr="00080386">
        <w:rPr>
          <w:bCs/>
          <w:lang w:val="fr-FR"/>
        </w:rPr>
        <w:t>avérer nécessaire pour compléter les informations contenues dans les dossiers. La délégation a demandé aux membres du Comité d</w:t>
      </w:r>
      <w:r w:rsidR="00923E72">
        <w:rPr>
          <w:bCs/>
          <w:lang w:val="fr-FR"/>
        </w:rPr>
        <w:t>’</w:t>
      </w:r>
      <w:r w:rsidRPr="00080386">
        <w:rPr>
          <w:bCs/>
          <w:lang w:val="fr-FR"/>
        </w:rPr>
        <w:t>envisager la rédaction de critères permettant de réaliser les examens de manière plus équitable. Le Guatemala soutenait pleinement la Convention et croyait en son pouvoir de sauvegarde du patrimoine culturel immatériel.</w:t>
      </w:r>
    </w:p>
    <w:p w14:paraId="3430E6EA" w14:textId="439563E1" w:rsidR="00080386" w:rsidRDefault="00080386">
      <w:pPr>
        <w:pStyle w:val="Orateurengris"/>
        <w:numPr>
          <w:ilvl w:val="0"/>
          <w:numId w:val="20"/>
        </w:numPr>
        <w:tabs>
          <w:tab w:val="clear" w:pos="567"/>
        </w:tabs>
        <w:spacing w:before="120"/>
        <w:ind w:left="709" w:hanging="709"/>
        <w:rPr>
          <w:bCs/>
          <w:lang w:val="fr-FR"/>
        </w:rPr>
      </w:pPr>
      <w:r w:rsidRPr="00080386">
        <w:rPr>
          <w:bCs/>
          <w:lang w:val="fr-FR"/>
        </w:rPr>
        <w:lastRenderedPageBreak/>
        <w:t>La délégation de l</w:t>
      </w:r>
      <w:r w:rsidR="00923E72">
        <w:rPr>
          <w:bCs/>
          <w:lang w:val="fr-FR"/>
        </w:rPr>
        <w:t>’</w:t>
      </w:r>
      <w:r w:rsidRPr="00702497">
        <w:rPr>
          <w:b/>
          <w:lang w:val="fr-FR"/>
        </w:rPr>
        <w:t>Équateur</w:t>
      </w:r>
      <w:r w:rsidRPr="00080386">
        <w:rPr>
          <w:bCs/>
          <w:lang w:val="fr-FR"/>
        </w:rPr>
        <w:t xml:space="preserve"> a remercié le Maroc d</w:t>
      </w:r>
      <w:r w:rsidR="00923E72">
        <w:rPr>
          <w:bCs/>
          <w:lang w:val="fr-FR"/>
        </w:rPr>
        <w:t>’</w:t>
      </w:r>
      <w:r w:rsidRPr="00080386">
        <w:rPr>
          <w:bCs/>
          <w:lang w:val="fr-FR"/>
        </w:rPr>
        <w:t>avoir accueilli cette session et a félicité tous les pays dont les éléments avaient été inscrits sur l</w:t>
      </w:r>
      <w:r>
        <w:rPr>
          <w:bCs/>
          <w:lang w:val="fr-FR"/>
        </w:rPr>
        <w:t>es</w:t>
      </w:r>
      <w:r w:rsidRPr="00080386">
        <w:rPr>
          <w:bCs/>
          <w:lang w:val="fr-FR"/>
        </w:rPr>
        <w:t xml:space="preserve"> </w:t>
      </w:r>
      <w:r>
        <w:rPr>
          <w:bCs/>
          <w:lang w:val="fr-FR"/>
        </w:rPr>
        <w:t>l</w:t>
      </w:r>
      <w:r w:rsidRPr="00080386">
        <w:rPr>
          <w:bCs/>
          <w:lang w:val="fr-FR"/>
        </w:rPr>
        <w:t>iste</w:t>
      </w:r>
      <w:r>
        <w:rPr>
          <w:bCs/>
          <w:lang w:val="fr-FR"/>
        </w:rPr>
        <w:t>s</w:t>
      </w:r>
      <w:r w:rsidRPr="00080386">
        <w:rPr>
          <w:bCs/>
          <w:lang w:val="fr-FR"/>
        </w:rPr>
        <w:t>. Elle a remercié les membres du Comité et l</w:t>
      </w:r>
      <w:r w:rsidR="00923E72">
        <w:rPr>
          <w:bCs/>
          <w:lang w:val="fr-FR"/>
        </w:rPr>
        <w:t>’</w:t>
      </w:r>
      <w:r w:rsidRPr="00080386">
        <w:rPr>
          <w:bCs/>
          <w:lang w:val="fr-FR"/>
        </w:rPr>
        <w:t>Organe d</w:t>
      </w:r>
      <w:r w:rsidR="00923E72">
        <w:rPr>
          <w:bCs/>
          <w:lang w:val="fr-FR"/>
        </w:rPr>
        <w:t>’</w:t>
      </w:r>
      <w:r w:rsidRPr="00080386">
        <w:rPr>
          <w:bCs/>
          <w:lang w:val="fr-FR"/>
        </w:rPr>
        <w:t>évaluation pour leur travail exhaustif d</w:t>
      </w:r>
      <w:r w:rsidR="00923E72">
        <w:rPr>
          <w:bCs/>
          <w:lang w:val="fr-FR"/>
        </w:rPr>
        <w:t>’</w:t>
      </w:r>
      <w:r w:rsidRPr="00080386">
        <w:rPr>
          <w:bCs/>
          <w:lang w:val="fr-FR"/>
        </w:rPr>
        <w:t>examen des dossiers. S</w:t>
      </w:r>
      <w:r w:rsidR="00923E72">
        <w:rPr>
          <w:bCs/>
          <w:lang w:val="fr-FR"/>
        </w:rPr>
        <w:t>’</w:t>
      </w:r>
      <w:r w:rsidRPr="00080386">
        <w:rPr>
          <w:bCs/>
          <w:lang w:val="fr-FR"/>
        </w:rPr>
        <w:t>agissant de la commercialisation excessive des produits, la délégation a fait remarquer que les pratiques de sauvegarde élaborées par les communautés détentrices pour assurer la survie de ces manifestations devaient être axées sur l</w:t>
      </w:r>
      <w:r w:rsidR="00923E72">
        <w:rPr>
          <w:bCs/>
          <w:lang w:val="fr-FR"/>
        </w:rPr>
        <w:t>’</w:t>
      </w:r>
      <w:r w:rsidRPr="00080386">
        <w:rPr>
          <w:bCs/>
          <w:lang w:val="fr-FR"/>
        </w:rPr>
        <w:t>artisanat et les modes d</w:t>
      </w:r>
      <w:r w:rsidR="00923E72">
        <w:rPr>
          <w:bCs/>
          <w:lang w:val="fr-FR"/>
        </w:rPr>
        <w:t>’</w:t>
      </w:r>
      <w:r w:rsidRPr="00080386">
        <w:rPr>
          <w:bCs/>
          <w:lang w:val="fr-FR"/>
        </w:rPr>
        <w:t>alimentation en tant que patrimoine culturel immatériel. Les nouvelles générations hériteraient de ces pratiques et si elles ne voyaient pas d</w:t>
      </w:r>
      <w:r w:rsidR="00923E72">
        <w:rPr>
          <w:bCs/>
          <w:lang w:val="fr-FR"/>
        </w:rPr>
        <w:t>’</w:t>
      </w:r>
      <w:r w:rsidRPr="00080386">
        <w:rPr>
          <w:bCs/>
          <w:lang w:val="fr-FR"/>
        </w:rPr>
        <w:t>avenir économique dans ces expressions culturelles, elles pourraient ne pas trouver d</w:t>
      </w:r>
      <w:r w:rsidR="00923E72">
        <w:rPr>
          <w:bCs/>
          <w:lang w:val="fr-FR"/>
        </w:rPr>
        <w:t>’</w:t>
      </w:r>
      <w:r w:rsidRPr="00080386">
        <w:rPr>
          <w:bCs/>
          <w:lang w:val="fr-FR"/>
        </w:rPr>
        <w:t>intérêt à bénéficier de ce patrimoine qui leur était transmis.</w:t>
      </w:r>
    </w:p>
    <w:p w14:paraId="0B8E9680" w14:textId="517F79A0" w:rsidR="00080386" w:rsidRDefault="00080386">
      <w:pPr>
        <w:pStyle w:val="Orateurengris"/>
        <w:numPr>
          <w:ilvl w:val="0"/>
          <w:numId w:val="20"/>
        </w:numPr>
        <w:tabs>
          <w:tab w:val="clear" w:pos="567"/>
        </w:tabs>
        <w:spacing w:before="120"/>
        <w:ind w:left="709" w:hanging="709"/>
        <w:rPr>
          <w:bCs/>
          <w:lang w:val="fr-FR"/>
        </w:rPr>
      </w:pPr>
      <w:r w:rsidRPr="00080386">
        <w:rPr>
          <w:bCs/>
          <w:lang w:val="fr-FR"/>
        </w:rPr>
        <w:t>La délégation de l</w:t>
      </w:r>
      <w:r w:rsidR="00923E72">
        <w:rPr>
          <w:bCs/>
          <w:lang w:val="fr-FR"/>
        </w:rPr>
        <w:t>’</w:t>
      </w:r>
      <w:r w:rsidRPr="00702497">
        <w:rPr>
          <w:b/>
          <w:lang w:val="fr-FR"/>
        </w:rPr>
        <w:t>Égypte</w:t>
      </w:r>
      <w:r w:rsidRPr="00080386">
        <w:rPr>
          <w:bCs/>
          <w:lang w:val="fr-FR"/>
        </w:rPr>
        <w:t xml:space="preserve"> a exprimé sa gratitude au Comité, à l</w:t>
      </w:r>
      <w:r w:rsidR="00923E72">
        <w:rPr>
          <w:bCs/>
          <w:lang w:val="fr-FR"/>
        </w:rPr>
        <w:t>’</w:t>
      </w:r>
      <w:r w:rsidRPr="00080386">
        <w:rPr>
          <w:bCs/>
          <w:lang w:val="fr-FR"/>
        </w:rPr>
        <w:t>Organe d</w:t>
      </w:r>
      <w:r w:rsidR="00923E72">
        <w:rPr>
          <w:bCs/>
          <w:lang w:val="fr-FR"/>
        </w:rPr>
        <w:t>’</w:t>
      </w:r>
      <w:r w:rsidRPr="00080386">
        <w:rPr>
          <w:bCs/>
          <w:lang w:val="fr-FR"/>
        </w:rPr>
        <w:t xml:space="preserve">évaluation et au Secrétariat pour leur travail remarquable, félicitant tous les États membres dont les dossiers avaient été inscrits sur les listes. Au cours des derniers jours, les délégués avaient été témoins de nombreuses inscriptions réussies et </w:t>
      </w:r>
      <w:r w:rsidR="006E0094">
        <w:rPr>
          <w:bCs/>
          <w:lang w:val="fr-FR"/>
        </w:rPr>
        <w:t>s</w:t>
      </w:r>
      <w:r w:rsidR="00923E72">
        <w:rPr>
          <w:bCs/>
          <w:lang w:val="fr-FR"/>
        </w:rPr>
        <w:t>’</w:t>
      </w:r>
      <w:r w:rsidR="006E0094">
        <w:rPr>
          <w:bCs/>
          <w:lang w:val="fr-FR"/>
        </w:rPr>
        <w:t>étaient réjouis</w:t>
      </w:r>
      <w:r w:rsidRPr="00080386">
        <w:rPr>
          <w:bCs/>
          <w:lang w:val="fr-FR"/>
        </w:rPr>
        <w:t xml:space="preserve"> de voir les communautés et les praticiens partager ces moments. Elle a félicité le Comité d</w:t>
      </w:r>
      <w:r w:rsidR="00923E72">
        <w:rPr>
          <w:bCs/>
          <w:lang w:val="fr-FR"/>
        </w:rPr>
        <w:t>’</w:t>
      </w:r>
      <w:r w:rsidRPr="00080386">
        <w:rPr>
          <w:bCs/>
          <w:lang w:val="fr-FR"/>
        </w:rPr>
        <w:t>avoir donné l</w:t>
      </w:r>
      <w:r w:rsidR="00923E72">
        <w:rPr>
          <w:bCs/>
          <w:lang w:val="fr-FR"/>
        </w:rPr>
        <w:t>’</w:t>
      </w:r>
      <w:r w:rsidRPr="00080386">
        <w:rPr>
          <w:bCs/>
          <w:lang w:val="fr-FR"/>
        </w:rPr>
        <w:t>occasion à tous les États candidats d</w:t>
      </w:r>
      <w:r w:rsidR="00923E72">
        <w:rPr>
          <w:bCs/>
          <w:lang w:val="fr-FR"/>
        </w:rPr>
        <w:t>’</w:t>
      </w:r>
      <w:r w:rsidRPr="00080386">
        <w:rPr>
          <w:bCs/>
          <w:lang w:val="fr-FR"/>
        </w:rPr>
        <w:t>exprimer librement leurs positions et de clarifier des points spécifiques dans une optique d</w:t>
      </w:r>
      <w:r w:rsidR="00923E72">
        <w:rPr>
          <w:bCs/>
          <w:lang w:val="fr-FR"/>
        </w:rPr>
        <w:t>’</w:t>
      </w:r>
      <w:r w:rsidRPr="00080386">
        <w:rPr>
          <w:bCs/>
          <w:lang w:val="fr-FR"/>
        </w:rPr>
        <w:t>égalité. L</w:t>
      </w:r>
      <w:r w:rsidR="00923E72">
        <w:rPr>
          <w:bCs/>
          <w:lang w:val="fr-FR"/>
        </w:rPr>
        <w:t>’</w:t>
      </w:r>
      <w:r w:rsidRPr="00080386">
        <w:rPr>
          <w:bCs/>
          <w:lang w:val="fr-FR"/>
        </w:rPr>
        <w:t>Égypte accueillait favorablement l</w:t>
      </w:r>
      <w:r w:rsidR="00923E72">
        <w:rPr>
          <w:bCs/>
          <w:lang w:val="fr-FR"/>
        </w:rPr>
        <w:t>’</w:t>
      </w:r>
      <w:r w:rsidRPr="00080386">
        <w:rPr>
          <w:bCs/>
          <w:lang w:val="fr-FR"/>
        </w:rPr>
        <w:t>idée de dossiers multinationaux d</w:t>
      </w:r>
      <w:r w:rsidR="00923E72">
        <w:rPr>
          <w:bCs/>
          <w:lang w:val="fr-FR"/>
        </w:rPr>
        <w:t>’</w:t>
      </w:r>
      <w:r w:rsidRPr="00080386">
        <w:rPr>
          <w:bCs/>
          <w:lang w:val="fr-FR"/>
        </w:rPr>
        <w:t>éléments partagés et encourageait le dialogue mutuel entre les États à ce sujet. Elle rejoignait de nombreux membres du Comité et observateurs quant à la nécessité d</w:t>
      </w:r>
      <w:r w:rsidR="00923E72">
        <w:rPr>
          <w:bCs/>
          <w:lang w:val="fr-FR"/>
        </w:rPr>
        <w:t>’</w:t>
      </w:r>
      <w:r w:rsidRPr="00080386">
        <w:rPr>
          <w:bCs/>
          <w:lang w:val="fr-FR"/>
        </w:rPr>
        <w:t>améliorer l</w:t>
      </w:r>
      <w:r w:rsidR="00923E72">
        <w:rPr>
          <w:bCs/>
          <w:lang w:val="fr-FR"/>
        </w:rPr>
        <w:t>’</w:t>
      </w:r>
      <w:r w:rsidRPr="00080386">
        <w:rPr>
          <w:bCs/>
          <w:lang w:val="fr-FR"/>
        </w:rPr>
        <w:t>équilibre géographique au sein des listes. À cet égard, la délégation a souligné l</w:t>
      </w:r>
      <w:r w:rsidR="00923E72">
        <w:rPr>
          <w:bCs/>
          <w:lang w:val="fr-FR"/>
        </w:rPr>
        <w:t>’</w:t>
      </w:r>
      <w:r w:rsidRPr="00080386">
        <w:rPr>
          <w:bCs/>
          <w:lang w:val="fr-FR"/>
        </w:rPr>
        <w:t>importance d</w:t>
      </w:r>
      <w:r w:rsidR="00923E72">
        <w:rPr>
          <w:bCs/>
          <w:lang w:val="fr-FR"/>
        </w:rPr>
        <w:t>’</w:t>
      </w:r>
      <w:r w:rsidRPr="00080386">
        <w:rPr>
          <w:bCs/>
          <w:lang w:val="fr-FR"/>
        </w:rPr>
        <w:t>accroître le renforcement des capacités axé sur les régions géographiques les moins représentées afin d</w:t>
      </w:r>
      <w:r w:rsidR="00923E72">
        <w:rPr>
          <w:bCs/>
          <w:lang w:val="fr-FR"/>
        </w:rPr>
        <w:t>’</w:t>
      </w:r>
      <w:r w:rsidRPr="00080386">
        <w:rPr>
          <w:bCs/>
          <w:lang w:val="fr-FR"/>
        </w:rPr>
        <w:t xml:space="preserve">améliorer la qualité des </w:t>
      </w:r>
      <w:r w:rsidR="006E0094">
        <w:rPr>
          <w:bCs/>
          <w:lang w:val="fr-FR"/>
        </w:rPr>
        <w:t xml:space="preserve">futurs </w:t>
      </w:r>
      <w:r w:rsidRPr="00080386">
        <w:rPr>
          <w:bCs/>
          <w:lang w:val="fr-FR"/>
        </w:rPr>
        <w:t>dossiers de candidature soumis à inscription</w:t>
      </w:r>
      <w:r w:rsidR="00E326A3">
        <w:rPr>
          <w:bCs/>
          <w:lang w:val="fr-FR"/>
        </w:rPr>
        <w:t xml:space="preserve"> et </w:t>
      </w:r>
      <w:r w:rsidRPr="00080386">
        <w:rPr>
          <w:bCs/>
          <w:lang w:val="fr-FR"/>
        </w:rPr>
        <w:t>de clarifier des points spécifiques qui pourraient être mal compris dans le contexte de la mise en œuvre de la Convention. Ce</w:t>
      </w:r>
      <w:r w:rsidR="00E326A3">
        <w:rPr>
          <w:bCs/>
          <w:lang w:val="fr-FR"/>
        </w:rPr>
        <w:t>tte démarche</w:t>
      </w:r>
      <w:r w:rsidRPr="00080386">
        <w:rPr>
          <w:bCs/>
          <w:lang w:val="fr-FR"/>
        </w:rPr>
        <w:t xml:space="preserve"> devrait s</w:t>
      </w:r>
      <w:r w:rsidR="00923E72">
        <w:rPr>
          <w:bCs/>
          <w:lang w:val="fr-FR"/>
        </w:rPr>
        <w:t>’</w:t>
      </w:r>
      <w:r w:rsidRPr="00080386">
        <w:rPr>
          <w:bCs/>
          <w:lang w:val="fr-FR"/>
        </w:rPr>
        <w:t>aligner sur les priorités existantes de l</w:t>
      </w:r>
      <w:r w:rsidR="00923E72">
        <w:rPr>
          <w:bCs/>
          <w:lang w:val="fr-FR"/>
        </w:rPr>
        <w:t>’</w:t>
      </w:r>
      <w:r w:rsidRPr="00080386">
        <w:rPr>
          <w:bCs/>
          <w:lang w:val="fr-FR"/>
        </w:rPr>
        <w:t>UNESCO, en particulier</w:t>
      </w:r>
      <w:r w:rsidR="00E326A3">
        <w:rPr>
          <w:bCs/>
          <w:lang w:val="fr-FR"/>
        </w:rPr>
        <w:t>,</w:t>
      </w:r>
      <w:r w:rsidRPr="00080386">
        <w:rPr>
          <w:bCs/>
          <w:lang w:val="fr-FR"/>
        </w:rPr>
        <w:t xml:space="preserve"> pour le continent africain</w:t>
      </w:r>
      <w:r w:rsidR="00E326A3">
        <w:rPr>
          <w:bCs/>
          <w:lang w:val="fr-FR"/>
        </w:rPr>
        <w:t>,</w:t>
      </w:r>
      <w:r w:rsidRPr="00080386">
        <w:rPr>
          <w:bCs/>
          <w:lang w:val="fr-FR"/>
        </w:rPr>
        <w:t xml:space="preserve"> </w:t>
      </w:r>
      <w:r w:rsidR="00E326A3">
        <w:rPr>
          <w:bCs/>
          <w:lang w:val="fr-FR"/>
        </w:rPr>
        <w:t xml:space="preserve">sur </w:t>
      </w:r>
      <w:r w:rsidRPr="00080386">
        <w:rPr>
          <w:bCs/>
          <w:lang w:val="fr-FR"/>
        </w:rPr>
        <w:t>la Stratégie opérationnelle pour la priorité Afrique</w:t>
      </w:r>
      <w:r w:rsidR="00246428">
        <w:rPr>
          <w:bCs/>
          <w:lang w:val="fr-FR"/>
        </w:rPr>
        <w:t> </w:t>
      </w:r>
      <w:r w:rsidRPr="00080386">
        <w:rPr>
          <w:bCs/>
          <w:lang w:val="fr-FR"/>
        </w:rPr>
        <w:t>2022</w:t>
      </w:r>
      <w:r w:rsidR="00246428">
        <w:rPr>
          <w:bCs/>
          <w:lang w:val="fr-FR"/>
        </w:rPr>
        <w:noBreakHyphen/>
      </w:r>
      <w:r w:rsidRPr="00080386">
        <w:rPr>
          <w:bCs/>
          <w:lang w:val="fr-FR"/>
        </w:rPr>
        <w:t>2029</w:t>
      </w:r>
      <w:r w:rsidR="00F91B92">
        <w:rPr>
          <w:rStyle w:val="FootnoteReference"/>
          <w:bCs/>
          <w:lang w:val="fr-FR"/>
        </w:rPr>
        <w:footnoteReference w:id="24"/>
      </w:r>
      <w:r w:rsidR="00FC57E6">
        <w:rPr>
          <w:bCs/>
          <w:lang w:val="fr-FR"/>
        </w:rPr>
        <w:t xml:space="preserve">, </w:t>
      </w:r>
      <w:r w:rsidRPr="00080386">
        <w:rPr>
          <w:bCs/>
          <w:lang w:val="fr-FR"/>
        </w:rPr>
        <w:t xml:space="preserve">ainsi que </w:t>
      </w:r>
      <w:r w:rsidR="00E326A3">
        <w:rPr>
          <w:bCs/>
          <w:lang w:val="fr-FR"/>
        </w:rPr>
        <w:t xml:space="preserve">pour </w:t>
      </w:r>
      <w:r w:rsidRPr="00080386">
        <w:rPr>
          <w:bCs/>
          <w:lang w:val="fr-FR"/>
        </w:rPr>
        <w:t>les petits États insulaires en développement (PEID).</w:t>
      </w:r>
    </w:p>
    <w:p w14:paraId="739A042C" w14:textId="15733735" w:rsidR="006E0094" w:rsidRDefault="006E0094">
      <w:pPr>
        <w:pStyle w:val="Orateurengris"/>
        <w:numPr>
          <w:ilvl w:val="0"/>
          <w:numId w:val="20"/>
        </w:numPr>
        <w:tabs>
          <w:tab w:val="clear" w:pos="567"/>
        </w:tabs>
        <w:spacing w:before="120"/>
        <w:ind w:left="709" w:hanging="709"/>
        <w:rPr>
          <w:bCs/>
          <w:lang w:val="fr-FR"/>
        </w:rPr>
      </w:pPr>
      <w:r w:rsidRPr="006E0094">
        <w:rPr>
          <w:bCs/>
          <w:lang w:val="fr-FR"/>
        </w:rPr>
        <w:t>En l</w:t>
      </w:r>
      <w:r w:rsidR="00923E72">
        <w:rPr>
          <w:bCs/>
          <w:lang w:val="fr-FR"/>
        </w:rPr>
        <w:t>’</w:t>
      </w:r>
      <w:r w:rsidRPr="006E0094">
        <w:rPr>
          <w:bCs/>
          <w:lang w:val="fr-FR"/>
        </w:rPr>
        <w:t>absence d</w:t>
      </w:r>
      <w:r w:rsidR="00923E72">
        <w:rPr>
          <w:bCs/>
          <w:lang w:val="fr-FR"/>
        </w:rPr>
        <w:t>’</w:t>
      </w:r>
      <w:r w:rsidRPr="006E0094">
        <w:rPr>
          <w:bCs/>
          <w:lang w:val="fr-FR"/>
        </w:rPr>
        <w:t xml:space="preserve">autres interventions, la </w:t>
      </w:r>
      <w:r w:rsidRPr="00702497">
        <w:rPr>
          <w:b/>
          <w:lang w:val="fr-FR"/>
        </w:rPr>
        <w:t>Vice-Présidente</w:t>
      </w:r>
      <w:r w:rsidRPr="006E0094">
        <w:rPr>
          <w:bCs/>
          <w:lang w:val="fr-FR"/>
        </w:rPr>
        <w:t xml:space="preserve"> a conclu le débat général et est passée à l</w:t>
      </w:r>
      <w:r w:rsidR="00923E72">
        <w:rPr>
          <w:bCs/>
          <w:lang w:val="fr-FR"/>
        </w:rPr>
        <w:t>’</w:t>
      </w:r>
      <w:r w:rsidRPr="006E0094">
        <w:rPr>
          <w:bCs/>
          <w:lang w:val="fr-FR"/>
        </w:rPr>
        <w:t xml:space="preserve">adoption du projet de décision, paragraphe par paragraphe, en </w:t>
      </w:r>
      <w:r>
        <w:rPr>
          <w:bCs/>
          <w:lang w:val="fr-FR"/>
        </w:rPr>
        <w:t xml:space="preserve">signalant </w:t>
      </w:r>
      <w:r w:rsidRPr="006E0094">
        <w:rPr>
          <w:bCs/>
          <w:lang w:val="fr-FR"/>
        </w:rPr>
        <w:t>les amendements reçus du Brésil et de la Suède. En l</w:t>
      </w:r>
      <w:r w:rsidR="00923E72">
        <w:rPr>
          <w:bCs/>
          <w:lang w:val="fr-FR"/>
        </w:rPr>
        <w:t>’</w:t>
      </w:r>
      <w:r w:rsidRPr="006E0094">
        <w:rPr>
          <w:bCs/>
          <w:lang w:val="fr-FR"/>
        </w:rPr>
        <w:t>absence de commentaires ou d</w:t>
      </w:r>
      <w:r w:rsidR="00923E72">
        <w:rPr>
          <w:bCs/>
          <w:lang w:val="fr-FR"/>
        </w:rPr>
        <w:t>’</w:t>
      </w:r>
      <w:r w:rsidRPr="006E0094">
        <w:rPr>
          <w:bCs/>
          <w:lang w:val="fr-FR"/>
        </w:rPr>
        <w:t>objections, les paragraphes</w:t>
      </w:r>
      <w:r>
        <w:rPr>
          <w:bCs/>
          <w:lang w:val="fr-FR"/>
        </w:rPr>
        <w:t> </w:t>
      </w:r>
      <w:r w:rsidRPr="006E0094">
        <w:rPr>
          <w:bCs/>
          <w:lang w:val="fr-FR"/>
        </w:rPr>
        <w:t>1 à</w:t>
      </w:r>
      <w:r>
        <w:rPr>
          <w:bCs/>
          <w:lang w:val="fr-FR"/>
        </w:rPr>
        <w:t> </w:t>
      </w:r>
      <w:r w:rsidRPr="006E0094">
        <w:rPr>
          <w:bCs/>
          <w:lang w:val="fr-FR"/>
        </w:rPr>
        <w:t>7 ont été dûment adoptés. Le Brésil proposait un nouveau paragraphe, qui se</w:t>
      </w:r>
      <w:r>
        <w:rPr>
          <w:bCs/>
          <w:lang w:val="fr-FR"/>
        </w:rPr>
        <w:t>rait ainsi rédigé </w:t>
      </w:r>
      <w:r w:rsidRPr="006E0094">
        <w:rPr>
          <w:bCs/>
          <w:lang w:val="fr-FR"/>
        </w:rPr>
        <w:t xml:space="preserve">: </w:t>
      </w:r>
      <w:r>
        <w:rPr>
          <w:bCs/>
          <w:lang w:val="fr-FR"/>
        </w:rPr>
        <w:t>« </w:t>
      </w:r>
      <w:r w:rsidRPr="006E0094">
        <w:rPr>
          <w:bCs/>
          <w:lang w:val="fr-FR"/>
        </w:rPr>
        <w:t>Note avec inquiétude le déséquilibre géographique prononcé dans ce cycle d</w:t>
      </w:r>
      <w:r w:rsidR="00923E72">
        <w:rPr>
          <w:bCs/>
          <w:lang w:val="fr-FR"/>
        </w:rPr>
        <w:t>’</w:t>
      </w:r>
      <w:r w:rsidRPr="006E0094">
        <w:rPr>
          <w:bCs/>
          <w:lang w:val="fr-FR"/>
        </w:rPr>
        <w:t>évaluatio</w:t>
      </w:r>
      <w:r>
        <w:rPr>
          <w:bCs/>
          <w:lang w:val="fr-FR"/>
        </w:rPr>
        <w:t>n ».</w:t>
      </w:r>
    </w:p>
    <w:p w14:paraId="3A89AA7D" w14:textId="7462E703" w:rsidR="006E0094" w:rsidRPr="00702497" w:rsidRDefault="006E0094">
      <w:pPr>
        <w:pStyle w:val="Orateurengris"/>
        <w:numPr>
          <w:ilvl w:val="0"/>
          <w:numId w:val="20"/>
        </w:numPr>
        <w:tabs>
          <w:tab w:val="clear" w:pos="567"/>
        </w:tabs>
        <w:spacing w:before="120"/>
        <w:ind w:left="709" w:hanging="709"/>
        <w:rPr>
          <w:bCs/>
          <w:lang w:val="fr-FR"/>
        </w:rPr>
      </w:pPr>
      <w:r>
        <w:rPr>
          <w:bCs/>
          <w:lang w:val="fr-FR"/>
        </w:rPr>
        <w:t xml:space="preserve">La </w:t>
      </w:r>
      <w:r w:rsidRPr="006E0094">
        <w:rPr>
          <w:bCs/>
          <w:lang w:val="fr-FR"/>
        </w:rPr>
        <w:t>délégation</w:t>
      </w:r>
      <w:r>
        <w:rPr>
          <w:bCs/>
          <w:lang w:val="fr-FR"/>
        </w:rPr>
        <w:t xml:space="preserve"> du </w:t>
      </w:r>
      <w:r w:rsidRPr="00702497">
        <w:rPr>
          <w:b/>
          <w:lang w:val="fr-FR"/>
        </w:rPr>
        <w:t>Brésil</w:t>
      </w:r>
      <w:r>
        <w:rPr>
          <w:bCs/>
          <w:lang w:val="fr-FR"/>
        </w:rPr>
        <w:t xml:space="preserve"> a fait remarquer qu</w:t>
      </w:r>
      <w:r w:rsidR="00923E72">
        <w:rPr>
          <w:bCs/>
          <w:lang w:val="fr-FR"/>
        </w:rPr>
        <w:t>’</w:t>
      </w:r>
      <w:r>
        <w:rPr>
          <w:bCs/>
          <w:lang w:val="fr-FR"/>
        </w:rPr>
        <w:t>il s</w:t>
      </w:r>
      <w:r w:rsidR="00923E72">
        <w:rPr>
          <w:bCs/>
          <w:lang w:val="fr-FR"/>
        </w:rPr>
        <w:t>’</w:t>
      </w:r>
      <w:r>
        <w:rPr>
          <w:bCs/>
          <w:lang w:val="fr-FR"/>
        </w:rPr>
        <w:t>agissait d</w:t>
      </w:r>
      <w:r w:rsidR="00923E72">
        <w:rPr>
          <w:bCs/>
          <w:lang w:val="fr-FR"/>
        </w:rPr>
        <w:t>’</w:t>
      </w:r>
      <w:r>
        <w:rPr>
          <w:bCs/>
          <w:lang w:val="fr-FR"/>
        </w:rPr>
        <w:t xml:space="preserve">une simple </w:t>
      </w:r>
      <w:r w:rsidRPr="006E0094">
        <w:rPr>
          <w:bCs/>
          <w:lang w:val="fr-FR"/>
        </w:rPr>
        <w:t>observat</w:t>
      </w:r>
      <w:r>
        <w:rPr>
          <w:bCs/>
          <w:lang w:val="fr-FR"/>
        </w:rPr>
        <w:t>ion et que l</w:t>
      </w:r>
      <w:r w:rsidR="00923E72">
        <w:rPr>
          <w:bCs/>
          <w:lang w:val="fr-FR"/>
        </w:rPr>
        <w:t>’</w:t>
      </w:r>
      <w:r w:rsidRPr="006E0094">
        <w:rPr>
          <w:bCs/>
          <w:lang w:val="fr-FR"/>
        </w:rPr>
        <w:t>amendement</w:t>
      </w:r>
      <w:r>
        <w:rPr>
          <w:bCs/>
          <w:lang w:val="fr-FR"/>
        </w:rPr>
        <w:t xml:space="preserve"> était soumis au nom d</w:t>
      </w:r>
      <w:r w:rsidR="00923E72">
        <w:rPr>
          <w:bCs/>
          <w:lang w:val="fr-FR"/>
        </w:rPr>
        <w:t>’</w:t>
      </w:r>
      <w:r>
        <w:rPr>
          <w:bCs/>
          <w:lang w:val="fr-FR"/>
        </w:rPr>
        <w:t xml:space="preserve">autres membres du </w:t>
      </w:r>
      <w:r w:rsidRPr="006E0094">
        <w:rPr>
          <w:bCs/>
          <w:color w:val="000000" w:themeColor="text1"/>
          <w:lang w:val="fr-FR"/>
        </w:rPr>
        <w:t>Comité</w:t>
      </w:r>
      <w:r>
        <w:rPr>
          <w:bCs/>
          <w:color w:val="000000" w:themeColor="text1"/>
          <w:lang w:val="fr-FR"/>
        </w:rPr>
        <w:t xml:space="preserve"> qui exprimaient leur soutien.</w:t>
      </w:r>
    </w:p>
    <w:p w14:paraId="52927E2A" w14:textId="4CF2FFD3" w:rsidR="006E0094" w:rsidRDefault="006E0094">
      <w:pPr>
        <w:pStyle w:val="Orateurengris"/>
        <w:numPr>
          <w:ilvl w:val="0"/>
          <w:numId w:val="20"/>
        </w:numPr>
        <w:tabs>
          <w:tab w:val="clear" w:pos="567"/>
        </w:tabs>
        <w:spacing w:before="120"/>
        <w:ind w:left="709" w:hanging="709"/>
        <w:rPr>
          <w:bCs/>
          <w:lang w:val="fr-FR"/>
        </w:rPr>
      </w:pPr>
      <w:r w:rsidRPr="006E0094">
        <w:rPr>
          <w:bCs/>
          <w:lang w:val="fr-FR"/>
        </w:rPr>
        <w:t xml:space="preserve">La </w:t>
      </w:r>
      <w:r w:rsidRPr="00702497">
        <w:rPr>
          <w:b/>
          <w:lang w:val="fr-FR"/>
        </w:rPr>
        <w:t>Vice-Présidente</w:t>
      </w:r>
      <w:r w:rsidRPr="006E0094">
        <w:rPr>
          <w:bCs/>
          <w:lang w:val="fr-FR"/>
        </w:rPr>
        <w:t xml:space="preserve"> a </w:t>
      </w:r>
      <w:r w:rsidR="00D7036B">
        <w:rPr>
          <w:bCs/>
          <w:lang w:val="fr-FR"/>
        </w:rPr>
        <w:t xml:space="preserve">indiqué </w:t>
      </w:r>
      <w:r w:rsidRPr="006E0094">
        <w:rPr>
          <w:bCs/>
          <w:lang w:val="fr-FR"/>
        </w:rPr>
        <w:t>que l</w:t>
      </w:r>
      <w:r w:rsidR="00923E72">
        <w:rPr>
          <w:bCs/>
          <w:lang w:val="fr-FR"/>
        </w:rPr>
        <w:t>’</w:t>
      </w:r>
      <w:r w:rsidRPr="006E0094">
        <w:rPr>
          <w:bCs/>
          <w:lang w:val="fr-FR"/>
        </w:rPr>
        <w:t>Angola, le</w:t>
      </w:r>
      <w:r w:rsidR="00E326A3">
        <w:rPr>
          <w:bCs/>
          <w:lang w:val="fr-FR"/>
        </w:rPr>
        <w:t xml:space="preserve"> </w:t>
      </w:r>
      <w:r w:rsidRPr="006E0094">
        <w:rPr>
          <w:bCs/>
          <w:lang w:val="fr-FR"/>
        </w:rPr>
        <w:t>Botswana, le</w:t>
      </w:r>
      <w:r w:rsidR="00E326A3">
        <w:rPr>
          <w:bCs/>
          <w:lang w:val="fr-FR"/>
        </w:rPr>
        <w:t xml:space="preserve"> </w:t>
      </w:r>
      <w:r w:rsidRPr="006E0094">
        <w:rPr>
          <w:bCs/>
          <w:lang w:val="fr-FR"/>
        </w:rPr>
        <w:t>Brésil, le</w:t>
      </w:r>
      <w:r w:rsidR="00E326A3">
        <w:rPr>
          <w:bCs/>
          <w:lang w:val="fr-FR"/>
        </w:rPr>
        <w:t xml:space="preserve"> </w:t>
      </w:r>
      <w:r w:rsidRPr="006E0094">
        <w:rPr>
          <w:bCs/>
          <w:lang w:val="fr-FR"/>
        </w:rPr>
        <w:t>Burkina</w:t>
      </w:r>
      <w:r w:rsidR="00F91B92">
        <w:rPr>
          <w:bCs/>
          <w:lang w:val="fr-FR"/>
        </w:rPr>
        <w:t> </w:t>
      </w:r>
      <w:r w:rsidRPr="006E0094">
        <w:rPr>
          <w:bCs/>
          <w:lang w:val="fr-FR"/>
        </w:rPr>
        <w:t>Faso, la</w:t>
      </w:r>
      <w:r w:rsidR="00E326A3">
        <w:rPr>
          <w:bCs/>
          <w:lang w:val="fr-FR"/>
        </w:rPr>
        <w:t xml:space="preserve"> </w:t>
      </w:r>
      <w:r w:rsidRPr="006E0094">
        <w:rPr>
          <w:bCs/>
          <w:lang w:val="fr-FR"/>
        </w:rPr>
        <w:t>Côte</w:t>
      </w:r>
      <w:r w:rsidR="00F91B92">
        <w:rPr>
          <w:bCs/>
          <w:lang w:val="fr-FR"/>
        </w:rPr>
        <w:t> </w:t>
      </w:r>
      <w:r w:rsidRPr="006E0094">
        <w:rPr>
          <w:bCs/>
          <w:lang w:val="fr-FR"/>
        </w:rPr>
        <w:t>d</w:t>
      </w:r>
      <w:r w:rsidR="00923E72">
        <w:rPr>
          <w:bCs/>
          <w:lang w:val="fr-FR"/>
        </w:rPr>
        <w:t>’</w:t>
      </w:r>
      <w:r w:rsidRPr="006E0094">
        <w:rPr>
          <w:bCs/>
          <w:lang w:val="fr-FR"/>
        </w:rPr>
        <w:t>Ivoire, la</w:t>
      </w:r>
      <w:r w:rsidR="00E326A3">
        <w:rPr>
          <w:bCs/>
          <w:lang w:val="fr-FR"/>
        </w:rPr>
        <w:t xml:space="preserve"> </w:t>
      </w:r>
      <w:r w:rsidRPr="006E0094">
        <w:rPr>
          <w:bCs/>
          <w:lang w:val="fr-FR"/>
        </w:rPr>
        <w:t>Tchéquie, l</w:t>
      </w:r>
      <w:r w:rsidR="00923E72">
        <w:rPr>
          <w:bCs/>
          <w:lang w:val="fr-FR"/>
        </w:rPr>
        <w:t>’</w:t>
      </w:r>
      <w:r w:rsidRPr="006E0094">
        <w:rPr>
          <w:bCs/>
          <w:lang w:val="fr-FR"/>
        </w:rPr>
        <w:t>Éthiopie, l</w:t>
      </w:r>
      <w:r w:rsidR="00923E72">
        <w:rPr>
          <w:bCs/>
          <w:lang w:val="fr-FR"/>
        </w:rPr>
        <w:t>’</w:t>
      </w:r>
      <w:r w:rsidRPr="006E0094">
        <w:rPr>
          <w:bCs/>
          <w:lang w:val="fr-FR"/>
        </w:rPr>
        <w:t>Allemagne, l</w:t>
      </w:r>
      <w:r w:rsidR="00923E72">
        <w:rPr>
          <w:bCs/>
          <w:lang w:val="fr-FR"/>
        </w:rPr>
        <w:t>’</w:t>
      </w:r>
      <w:r w:rsidRPr="006E0094">
        <w:rPr>
          <w:bCs/>
          <w:lang w:val="fr-FR"/>
        </w:rPr>
        <w:t>Inde, la</w:t>
      </w:r>
      <w:r w:rsidR="00E326A3">
        <w:rPr>
          <w:bCs/>
          <w:lang w:val="fr-FR"/>
        </w:rPr>
        <w:t xml:space="preserve"> </w:t>
      </w:r>
      <w:r w:rsidRPr="006E0094">
        <w:rPr>
          <w:bCs/>
          <w:lang w:val="fr-FR"/>
        </w:rPr>
        <w:t>Malaisie, le</w:t>
      </w:r>
      <w:r w:rsidR="00E326A3">
        <w:rPr>
          <w:bCs/>
          <w:lang w:val="fr-FR"/>
        </w:rPr>
        <w:t xml:space="preserve"> </w:t>
      </w:r>
      <w:r w:rsidRPr="006E0094">
        <w:rPr>
          <w:bCs/>
          <w:lang w:val="fr-FR"/>
        </w:rPr>
        <w:t>Maroc, le</w:t>
      </w:r>
      <w:r w:rsidR="00E326A3">
        <w:rPr>
          <w:bCs/>
          <w:lang w:val="fr-FR"/>
        </w:rPr>
        <w:t xml:space="preserve"> </w:t>
      </w:r>
      <w:r w:rsidRPr="006E0094">
        <w:rPr>
          <w:bCs/>
          <w:lang w:val="fr-FR"/>
        </w:rPr>
        <w:t>Panama, le</w:t>
      </w:r>
      <w:r w:rsidR="00E326A3">
        <w:rPr>
          <w:bCs/>
          <w:lang w:val="fr-FR"/>
        </w:rPr>
        <w:t xml:space="preserve"> </w:t>
      </w:r>
      <w:r w:rsidRPr="006E0094">
        <w:rPr>
          <w:bCs/>
          <w:lang w:val="fr-FR"/>
        </w:rPr>
        <w:t>Paraguay, le</w:t>
      </w:r>
      <w:r w:rsidR="00E326A3">
        <w:rPr>
          <w:bCs/>
          <w:lang w:val="fr-FR"/>
        </w:rPr>
        <w:t xml:space="preserve"> </w:t>
      </w:r>
      <w:r w:rsidRPr="006E0094">
        <w:rPr>
          <w:bCs/>
          <w:lang w:val="fr-FR"/>
        </w:rPr>
        <w:t>Pérou, le</w:t>
      </w:r>
      <w:r w:rsidR="00E326A3">
        <w:rPr>
          <w:bCs/>
          <w:lang w:val="fr-FR"/>
        </w:rPr>
        <w:t xml:space="preserve"> </w:t>
      </w:r>
      <w:r w:rsidRPr="00D7036B">
        <w:rPr>
          <w:bCs/>
          <w:lang w:val="fr-FR"/>
        </w:rPr>
        <w:t>Rwanda</w:t>
      </w:r>
      <w:r w:rsidRPr="006E0094">
        <w:rPr>
          <w:bCs/>
          <w:lang w:val="fr-FR"/>
        </w:rPr>
        <w:t>, l</w:t>
      </w:r>
      <w:r w:rsidR="00923E72">
        <w:rPr>
          <w:bCs/>
          <w:lang w:val="fr-FR"/>
        </w:rPr>
        <w:t>’</w:t>
      </w:r>
      <w:r w:rsidRPr="006E0094">
        <w:rPr>
          <w:bCs/>
          <w:lang w:val="fr-FR"/>
        </w:rPr>
        <w:t>Arabie</w:t>
      </w:r>
      <w:r w:rsidR="00F91B92">
        <w:rPr>
          <w:bCs/>
          <w:lang w:val="fr-FR"/>
        </w:rPr>
        <w:t> </w:t>
      </w:r>
      <w:r w:rsidRPr="006E0094">
        <w:rPr>
          <w:bCs/>
          <w:lang w:val="fr-FR"/>
        </w:rPr>
        <w:t>saoudite, la</w:t>
      </w:r>
      <w:r w:rsidR="00E326A3">
        <w:rPr>
          <w:bCs/>
          <w:lang w:val="fr-FR"/>
        </w:rPr>
        <w:t xml:space="preserve"> </w:t>
      </w:r>
      <w:r w:rsidRPr="006E0094">
        <w:rPr>
          <w:bCs/>
          <w:lang w:val="fr-FR"/>
        </w:rPr>
        <w:t>Slovaquie, la</w:t>
      </w:r>
      <w:r w:rsidR="00E326A3">
        <w:rPr>
          <w:bCs/>
          <w:lang w:val="fr-FR"/>
        </w:rPr>
        <w:t xml:space="preserve"> </w:t>
      </w:r>
      <w:r w:rsidRPr="006E0094">
        <w:rPr>
          <w:bCs/>
          <w:lang w:val="fr-FR"/>
        </w:rPr>
        <w:t>Suède, la</w:t>
      </w:r>
      <w:r w:rsidR="00E326A3">
        <w:rPr>
          <w:bCs/>
          <w:lang w:val="fr-FR"/>
        </w:rPr>
        <w:t xml:space="preserve"> </w:t>
      </w:r>
      <w:r w:rsidRPr="006E0094">
        <w:rPr>
          <w:bCs/>
          <w:lang w:val="fr-FR"/>
        </w:rPr>
        <w:t>République</w:t>
      </w:r>
      <w:r w:rsidR="00F91B92">
        <w:rPr>
          <w:bCs/>
          <w:lang w:val="fr-FR"/>
        </w:rPr>
        <w:t xml:space="preserve"> </w:t>
      </w:r>
      <w:r w:rsidRPr="006E0094">
        <w:rPr>
          <w:bCs/>
          <w:lang w:val="fr-FR"/>
        </w:rPr>
        <w:t>de</w:t>
      </w:r>
      <w:r w:rsidR="00F91B92">
        <w:rPr>
          <w:bCs/>
          <w:lang w:val="fr-FR"/>
        </w:rPr>
        <w:t xml:space="preserve"> </w:t>
      </w:r>
      <w:r w:rsidRPr="006E0094">
        <w:rPr>
          <w:bCs/>
          <w:lang w:val="fr-FR"/>
        </w:rPr>
        <w:t>Corée, la</w:t>
      </w:r>
      <w:r w:rsidR="00E326A3">
        <w:rPr>
          <w:bCs/>
          <w:lang w:val="fr-FR"/>
        </w:rPr>
        <w:t xml:space="preserve"> </w:t>
      </w:r>
      <w:r w:rsidRPr="006E0094">
        <w:rPr>
          <w:bCs/>
          <w:lang w:val="fr-FR"/>
        </w:rPr>
        <w:t>Suisse, l</w:t>
      </w:r>
      <w:r w:rsidR="00923E72">
        <w:rPr>
          <w:bCs/>
          <w:lang w:val="fr-FR"/>
        </w:rPr>
        <w:t>’</w:t>
      </w:r>
      <w:r w:rsidRPr="006E0094">
        <w:rPr>
          <w:bCs/>
          <w:lang w:val="fr-FR"/>
        </w:rPr>
        <w:t>Ouzbékistan et le</w:t>
      </w:r>
      <w:r w:rsidR="00E326A3">
        <w:rPr>
          <w:bCs/>
          <w:lang w:val="fr-FR"/>
        </w:rPr>
        <w:t xml:space="preserve"> </w:t>
      </w:r>
      <w:r w:rsidRPr="006E0094">
        <w:rPr>
          <w:bCs/>
          <w:lang w:val="fr-FR"/>
        </w:rPr>
        <w:t>Vi</w:t>
      </w:r>
      <w:r w:rsidR="00F91B92">
        <w:rPr>
          <w:bCs/>
          <w:lang w:val="fr-FR"/>
        </w:rPr>
        <w:t>et </w:t>
      </w:r>
      <w:r w:rsidRPr="006E0094">
        <w:rPr>
          <w:bCs/>
          <w:lang w:val="fr-FR"/>
        </w:rPr>
        <w:t>Nam soutenaient la proposition du Brésil</w:t>
      </w:r>
      <w:r w:rsidR="00F0089E">
        <w:rPr>
          <w:bCs/>
          <w:lang w:val="fr-FR"/>
        </w:rPr>
        <w:t>,</w:t>
      </w:r>
      <w:r w:rsidRPr="006E0094">
        <w:rPr>
          <w:bCs/>
          <w:lang w:val="fr-FR"/>
        </w:rPr>
        <w:t xml:space="preserve"> qui a été dûment adoptée. Un nouveau paragraphe</w:t>
      </w:r>
      <w:r w:rsidR="008F5CA2">
        <w:rPr>
          <w:bCs/>
          <w:lang w:val="fr-FR"/>
        </w:rPr>
        <w:t> </w:t>
      </w:r>
      <w:r w:rsidRPr="006E0094">
        <w:rPr>
          <w:bCs/>
          <w:lang w:val="fr-FR"/>
        </w:rPr>
        <w:t xml:space="preserve">9 </w:t>
      </w:r>
      <w:r w:rsidR="00F91B92">
        <w:rPr>
          <w:bCs/>
          <w:lang w:val="fr-FR"/>
        </w:rPr>
        <w:t>était</w:t>
      </w:r>
      <w:r w:rsidRPr="006E0094">
        <w:rPr>
          <w:bCs/>
          <w:lang w:val="fr-FR"/>
        </w:rPr>
        <w:t xml:space="preserve"> proposé par le Brésil, qui se</w:t>
      </w:r>
      <w:r w:rsidR="00F91B92">
        <w:rPr>
          <w:bCs/>
          <w:lang w:val="fr-FR"/>
        </w:rPr>
        <w:t>rait ainsi rédigé :</w:t>
      </w:r>
      <w:r w:rsidRPr="006E0094">
        <w:rPr>
          <w:bCs/>
          <w:lang w:val="fr-FR"/>
        </w:rPr>
        <w:t xml:space="preserve"> </w:t>
      </w:r>
      <w:r w:rsidR="00F91B92">
        <w:rPr>
          <w:bCs/>
          <w:lang w:val="fr-FR"/>
        </w:rPr>
        <w:t>« </w:t>
      </w:r>
      <w:r w:rsidRPr="006E0094">
        <w:rPr>
          <w:bCs/>
          <w:lang w:val="fr-FR"/>
        </w:rPr>
        <w:t>Félicite l</w:t>
      </w:r>
      <w:r w:rsidR="00923E72">
        <w:rPr>
          <w:bCs/>
          <w:lang w:val="fr-FR"/>
        </w:rPr>
        <w:t>’</w:t>
      </w:r>
      <w:r w:rsidRPr="006E0094">
        <w:rPr>
          <w:bCs/>
          <w:lang w:val="fr-FR"/>
        </w:rPr>
        <w:t>Organe d</w:t>
      </w:r>
      <w:r w:rsidR="00923E72">
        <w:rPr>
          <w:bCs/>
          <w:lang w:val="fr-FR"/>
        </w:rPr>
        <w:t>’</w:t>
      </w:r>
      <w:r w:rsidRPr="006E0094">
        <w:rPr>
          <w:bCs/>
          <w:lang w:val="fr-FR"/>
        </w:rPr>
        <w:t>évaluation d</w:t>
      </w:r>
      <w:r w:rsidR="00923E72">
        <w:rPr>
          <w:bCs/>
          <w:lang w:val="fr-FR"/>
        </w:rPr>
        <w:t>’</w:t>
      </w:r>
      <w:r w:rsidRPr="006E0094">
        <w:rPr>
          <w:bCs/>
          <w:lang w:val="fr-FR"/>
        </w:rPr>
        <w:t xml:space="preserve">avoir utilisé le dialogue de manière efficace </w:t>
      </w:r>
      <w:r w:rsidR="00F91B92">
        <w:rPr>
          <w:bCs/>
          <w:lang w:val="fr-FR"/>
        </w:rPr>
        <w:t>afin d</w:t>
      </w:r>
      <w:r w:rsidR="00923E72">
        <w:rPr>
          <w:bCs/>
          <w:lang w:val="fr-FR"/>
        </w:rPr>
        <w:t>’</w:t>
      </w:r>
      <w:r w:rsidR="00F91B92">
        <w:rPr>
          <w:bCs/>
          <w:lang w:val="fr-FR"/>
        </w:rPr>
        <w:t xml:space="preserve">être plus précis dans </w:t>
      </w:r>
      <w:r w:rsidRPr="006E0094">
        <w:rPr>
          <w:bCs/>
          <w:lang w:val="fr-FR"/>
        </w:rPr>
        <w:t>ses évaluations et encourage l</w:t>
      </w:r>
      <w:r w:rsidR="00923E72">
        <w:rPr>
          <w:bCs/>
          <w:lang w:val="fr-FR"/>
        </w:rPr>
        <w:t>’</w:t>
      </w:r>
      <w:r w:rsidRPr="006E0094">
        <w:rPr>
          <w:bCs/>
          <w:lang w:val="fr-FR"/>
        </w:rPr>
        <w:t>Organe d</w:t>
      </w:r>
      <w:r w:rsidR="00923E72">
        <w:rPr>
          <w:bCs/>
          <w:lang w:val="fr-FR"/>
        </w:rPr>
        <w:t>’</w:t>
      </w:r>
      <w:r w:rsidRPr="006E0094">
        <w:rPr>
          <w:bCs/>
          <w:lang w:val="fr-FR"/>
        </w:rPr>
        <w:t>évaluation à continuer à</w:t>
      </w:r>
      <w:r w:rsidR="00F91B92">
        <w:rPr>
          <w:bCs/>
          <w:lang w:val="fr-FR"/>
        </w:rPr>
        <w:t xml:space="preserve"> utiliser le plus largement </w:t>
      </w:r>
      <w:r w:rsidRPr="006E0094">
        <w:rPr>
          <w:bCs/>
          <w:lang w:val="fr-FR"/>
        </w:rPr>
        <w:t>possible</w:t>
      </w:r>
      <w:r w:rsidR="00F91B92">
        <w:rPr>
          <w:bCs/>
          <w:lang w:val="fr-FR"/>
        </w:rPr>
        <w:t xml:space="preserve"> </w:t>
      </w:r>
      <w:r w:rsidRPr="006E0094">
        <w:rPr>
          <w:bCs/>
          <w:lang w:val="fr-FR"/>
        </w:rPr>
        <w:t>la procédure de dialogue</w:t>
      </w:r>
      <w:r w:rsidR="00F91B92">
        <w:rPr>
          <w:bCs/>
          <w:lang w:val="fr-FR"/>
        </w:rPr>
        <w:t> »</w:t>
      </w:r>
      <w:r w:rsidRPr="006E0094">
        <w:rPr>
          <w:bCs/>
          <w:lang w:val="fr-FR"/>
        </w:rPr>
        <w:t>.</w:t>
      </w:r>
    </w:p>
    <w:p w14:paraId="5C29F582" w14:textId="66A8FEA0" w:rsidR="00F91B92" w:rsidRDefault="00D7036B">
      <w:pPr>
        <w:pStyle w:val="Orateurengris"/>
        <w:numPr>
          <w:ilvl w:val="0"/>
          <w:numId w:val="20"/>
        </w:numPr>
        <w:tabs>
          <w:tab w:val="clear" w:pos="567"/>
        </w:tabs>
        <w:spacing w:before="120"/>
        <w:ind w:left="709" w:hanging="709"/>
        <w:rPr>
          <w:bCs/>
          <w:lang w:val="fr-FR"/>
        </w:rPr>
      </w:pPr>
      <w:r w:rsidRPr="00D7036B">
        <w:rPr>
          <w:bCs/>
          <w:lang w:val="fr-FR"/>
        </w:rPr>
        <w:t xml:space="preserve">La </w:t>
      </w:r>
      <w:r w:rsidRPr="00702497">
        <w:rPr>
          <w:b/>
          <w:lang w:val="fr-FR"/>
        </w:rPr>
        <w:t>Vice-Présidente</w:t>
      </w:r>
      <w:r w:rsidRPr="00D7036B">
        <w:rPr>
          <w:bCs/>
          <w:lang w:val="fr-FR"/>
        </w:rPr>
        <w:t xml:space="preserve"> a indiqué que l</w:t>
      </w:r>
      <w:r w:rsidR="00923E72">
        <w:rPr>
          <w:bCs/>
          <w:lang w:val="fr-FR"/>
        </w:rPr>
        <w:t>’</w:t>
      </w:r>
      <w:r w:rsidRPr="00D7036B">
        <w:rPr>
          <w:bCs/>
          <w:lang w:val="fr-FR"/>
        </w:rPr>
        <w:t>Angola, le</w:t>
      </w:r>
      <w:r w:rsidR="00F0089E">
        <w:rPr>
          <w:bCs/>
          <w:lang w:val="fr-FR"/>
        </w:rPr>
        <w:t xml:space="preserve"> </w:t>
      </w:r>
      <w:r w:rsidRPr="00D7036B">
        <w:rPr>
          <w:bCs/>
          <w:lang w:val="fr-FR"/>
        </w:rPr>
        <w:t>Bangladesh, le</w:t>
      </w:r>
      <w:r w:rsidR="00F0089E">
        <w:rPr>
          <w:bCs/>
          <w:lang w:val="fr-FR"/>
        </w:rPr>
        <w:t xml:space="preserve"> </w:t>
      </w:r>
      <w:r w:rsidRPr="00D7036B">
        <w:rPr>
          <w:bCs/>
          <w:lang w:val="fr-FR"/>
        </w:rPr>
        <w:t>Botswana, le</w:t>
      </w:r>
      <w:r w:rsidR="00F0089E">
        <w:rPr>
          <w:bCs/>
          <w:lang w:val="fr-FR"/>
        </w:rPr>
        <w:t xml:space="preserve"> </w:t>
      </w:r>
      <w:r w:rsidRPr="00D7036B">
        <w:rPr>
          <w:bCs/>
          <w:lang w:val="fr-FR"/>
        </w:rPr>
        <w:t>Brésil, le</w:t>
      </w:r>
      <w:r w:rsidR="00F0089E">
        <w:rPr>
          <w:bCs/>
          <w:lang w:val="fr-FR"/>
        </w:rPr>
        <w:t xml:space="preserve"> </w:t>
      </w:r>
      <w:r w:rsidRPr="00D7036B">
        <w:rPr>
          <w:bCs/>
          <w:lang w:val="fr-FR"/>
        </w:rPr>
        <w:t>Burkina</w:t>
      </w:r>
      <w:r>
        <w:rPr>
          <w:bCs/>
          <w:lang w:val="fr-FR"/>
        </w:rPr>
        <w:t> </w:t>
      </w:r>
      <w:r w:rsidRPr="00D7036B">
        <w:rPr>
          <w:bCs/>
          <w:lang w:val="fr-FR"/>
        </w:rPr>
        <w:t>Faso, la</w:t>
      </w:r>
      <w:r w:rsidR="00F0089E">
        <w:rPr>
          <w:bCs/>
          <w:lang w:val="fr-FR"/>
        </w:rPr>
        <w:t xml:space="preserve"> </w:t>
      </w:r>
      <w:r w:rsidRPr="00D7036B">
        <w:rPr>
          <w:bCs/>
          <w:lang w:val="fr-FR"/>
        </w:rPr>
        <w:t>Côte</w:t>
      </w:r>
      <w:r>
        <w:rPr>
          <w:bCs/>
          <w:lang w:val="fr-FR"/>
        </w:rPr>
        <w:t> </w:t>
      </w:r>
      <w:r w:rsidRPr="00D7036B">
        <w:rPr>
          <w:bCs/>
          <w:lang w:val="fr-FR"/>
        </w:rPr>
        <w:t>d</w:t>
      </w:r>
      <w:r w:rsidR="00923E72">
        <w:rPr>
          <w:bCs/>
          <w:lang w:val="fr-FR"/>
        </w:rPr>
        <w:t>’</w:t>
      </w:r>
      <w:r w:rsidRPr="00D7036B">
        <w:rPr>
          <w:bCs/>
          <w:lang w:val="fr-FR"/>
        </w:rPr>
        <w:t>Ivoire, la</w:t>
      </w:r>
      <w:r w:rsidR="00F0089E">
        <w:rPr>
          <w:bCs/>
          <w:lang w:val="fr-FR"/>
        </w:rPr>
        <w:t xml:space="preserve"> </w:t>
      </w:r>
      <w:r w:rsidRPr="00D7036B">
        <w:rPr>
          <w:bCs/>
          <w:lang w:val="fr-FR"/>
        </w:rPr>
        <w:t>Tchéquie, l</w:t>
      </w:r>
      <w:r w:rsidR="00923E72">
        <w:rPr>
          <w:bCs/>
          <w:lang w:val="fr-FR"/>
        </w:rPr>
        <w:t>’</w:t>
      </w:r>
      <w:r w:rsidRPr="00D7036B">
        <w:rPr>
          <w:bCs/>
          <w:lang w:val="fr-FR"/>
        </w:rPr>
        <w:t>Éthiopie, l</w:t>
      </w:r>
      <w:r w:rsidR="00923E72">
        <w:rPr>
          <w:bCs/>
          <w:lang w:val="fr-FR"/>
        </w:rPr>
        <w:t>’</w:t>
      </w:r>
      <w:r w:rsidRPr="00D7036B">
        <w:rPr>
          <w:bCs/>
          <w:lang w:val="fr-FR"/>
        </w:rPr>
        <w:t>Allemagne, l</w:t>
      </w:r>
      <w:r w:rsidR="00923E72">
        <w:rPr>
          <w:bCs/>
          <w:lang w:val="fr-FR"/>
        </w:rPr>
        <w:t>’</w:t>
      </w:r>
      <w:r w:rsidRPr="00D7036B">
        <w:rPr>
          <w:bCs/>
          <w:lang w:val="fr-FR"/>
        </w:rPr>
        <w:t>Inde, la</w:t>
      </w:r>
      <w:r w:rsidR="00F0089E">
        <w:rPr>
          <w:bCs/>
          <w:lang w:val="fr-FR"/>
        </w:rPr>
        <w:t xml:space="preserve"> </w:t>
      </w:r>
      <w:r w:rsidRPr="00D7036B">
        <w:rPr>
          <w:bCs/>
          <w:lang w:val="fr-FR"/>
        </w:rPr>
        <w:t>Malaisie, la</w:t>
      </w:r>
      <w:r w:rsidR="00F0089E">
        <w:rPr>
          <w:bCs/>
          <w:lang w:val="fr-FR"/>
        </w:rPr>
        <w:t xml:space="preserve"> </w:t>
      </w:r>
      <w:r w:rsidRPr="00D7036B">
        <w:rPr>
          <w:bCs/>
          <w:lang w:val="fr-FR"/>
        </w:rPr>
        <w:t xml:space="preserve">Mauritanie, </w:t>
      </w:r>
      <w:r>
        <w:rPr>
          <w:bCs/>
          <w:lang w:val="fr-FR"/>
        </w:rPr>
        <w:t>le</w:t>
      </w:r>
      <w:r w:rsidR="00F0089E">
        <w:rPr>
          <w:bCs/>
          <w:lang w:val="fr-FR"/>
        </w:rPr>
        <w:t xml:space="preserve"> </w:t>
      </w:r>
      <w:r>
        <w:rPr>
          <w:bCs/>
          <w:lang w:val="fr-FR"/>
        </w:rPr>
        <w:t xml:space="preserve">Maroc, </w:t>
      </w:r>
      <w:r w:rsidRPr="00D7036B">
        <w:rPr>
          <w:bCs/>
          <w:lang w:val="fr-FR"/>
        </w:rPr>
        <w:t>le</w:t>
      </w:r>
      <w:r w:rsidR="00F0089E">
        <w:rPr>
          <w:bCs/>
          <w:lang w:val="fr-FR"/>
        </w:rPr>
        <w:t xml:space="preserve"> </w:t>
      </w:r>
      <w:r w:rsidRPr="00D7036B">
        <w:rPr>
          <w:bCs/>
          <w:lang w:val="fr-FR"/>
        </w:rPr>
        <w:t>Panama, le</w:t>
      </w:r>
      <w:r w:rsidR="00F0089E">
        <w:rPr>
          <w:bCs/>
          <w:lang w:val="fr-FR"/>
        </w:rPr>
        <w:t xml:space="preserve"> </w:t>
      </w:r>
      <w:r w:rsidRPr="00D7036B">
        <w:rPr>
          <w:bCs/>
          <w:lang w:val="fr-FR"/>
        </w:rPr>
        <w:t>Paraguay, le</w:t>
      </w:r>
      <w:r w:rsidR="00F0089E">
        <w:rPr>
          <w:bCs/>
          <w:lang w:val="fr-FR"/>
        </w:rPr>
        <w:t xml:space="preserve"> </w:t>
      </w:r>
      <w:r w:rsidRPr="00D7036B">
        <w:rPr>
          <w:bCs/>
          <w:lang w:val="fr-FR"/>
        </w:rPr>
        <w:t>Pérou, le</w:t>
      </w:r>
      <w:r w:rsidR="00F0089E">
        <w:rPr>
          <w:bCs/>
          <w:lang w:val="fr-FR"/>
        </w:rPr>
        <w:t xml:space="preserve"> </w:t>
      </w:r>
      <w:r w:rsidRPr="00D7036B">
        <w:rPr>
          <w:bCs/>
          <w:lang w:val="fr-FR"/>
        </w:rPr>
        <w:t>Rwanda, l</w:t>
      </w:r>
      <w:r w:rsidR="00923E72">
        <w:rPr>
          <w:bCs/>
          <w:lang w:val="fr-FR"/>
        </w:rPr>
        <w:t>’</w:t>
      </w:r>
      <w:r w:rsidRPr="00D7036B">
        <w:rPr>
          <w:bCs/>
          <w:lang w:val="fr-FR"/>
        </w:rPr>
        <w:t>Arabie</w:t>
      </w:r>
      <w:r>
        <w:rPr>
          <w:bCs/>
          <w:lang w:val="fr-FR"/>
        </w:rPr>
        <w:t> s</w:t>
      </w:r>
      <w:r w:rsidRPr="00D7036B">
        <w:rPr>
          <w:bCs/>
          <w:lang w:val="fr-FR"/>
        </w:rPr>
        <w:t>aoudite, la</w:t>
      </w:r>
      <w:r w:rsidR="00F0089E">
        <w:rPr>
          <w:bCs/>
          <w:lang w:val="fr-FR"/>
        </w:rPr>
        <w:t xml:space="preserve"> </w:t>
      </w:r>
      <w:r w:rsidRPr="00D7036B">
        <w:rPr>
          <w:bCs/>
          <w:lang w:val="fr-FR"/>
        </w:rPr>
        <w:t>Slovaquie, la</w:t>
      </w:r>
      <w:r w:rsidR="00F0089E">
        <w:rPr>
          <w:bCs/>
          <w:lang w:val="fr-FR"/>
        </w:rPr>
        <w:t xml:space="preserve"> </w:t>
      </w:r>
      <w:r w:rsidRPr="00D7036B">
        <w:rPr>
          <w:bCs/>
          <w:lang w:val="fr-FR"/>
        </w:rPr>
        <w:t>Suède, la</w:t>
      </w:r>
      <w:r w:rsidR="00F0089E">
        <w:rPr>
          <w:bCs/>
          <w:lang w:val="fr-FR"/>
        </w:rPr>
        <w:t xml:space="preserve"> </w:t>
      </w:r>
      <w:r w:rsidRPr="00D7036B">
        <w:rPr>
          <w:bCs/>
          <w:lang w:val="fr-FR"/>
        </w:rPr>
        <w:t>République de Corée, la</w:t>
      </w:r>
      <w:r w:rsidR="00F0089E">
        <w:rPr>
          <w:bCs/>
          <w:lang w:val="fr-FR"/>
        </w:rPr>
        <w:t xml:space="preserve"> </w:t>
      </w:r>
      <w:r w:rsidRPr="00D7036B">
        <w:rPr>
          <w:bCs/>
          <w:lang w:val="fr-FR"/>
        </w:rPr>
        <w:t>Suisse, l</w:t>
      </w:r>
      <w:r w:rsidR="00923E72">
        <w:rPr>
          <w:bCs/>
          <w:lang w:val="fr-FR"/>
        </w:rPr>
        <w:t>’</w:t>
      </w:r>
      <w:r w:rsidRPr="00D7036B">
        <w:rPr>
          <w:bCs/>
          <w:lang w:val="fr-FR"/>
        </w:rPr>
        <w:t>Ouzbékistan et le</w:t>
      </w:r>
      <w:r w:rsidR="00F0089E">
        <w:rPr>
          <w:bCs/>
          <w:lang w:val="fr-FR"/>
        </w:rPr>
        <w:t xml:space="preserve"> </w:t>
      </w:r>
      <w:r w:rsidRPr="00D7036B">
        <w:rPr>
          <w:bCs/>
          <w:lang w:val="fr-FR"/>
        </w:rPr>
        <w:t>Vi</w:t>
      </w:r>
      <w:r>
        <w:rPr>
          <w:bCs/>
          <w:lang w:val="fr-FR"/>
        </w:rPr>
        <w:t>e</w:t>
      </w:r>
      <w:r w:rsidRPr="00D7036B">
        <w:rPr>
          <w:bCs/>
          <w:lang w:val="fr-FR"/>
        </w:rPr>
        <w:t>t</w:t>
      </w:r>
      <w:r>
        <w:rPr>
          <w:bCs/>
          <w:lang w:val="fr-FR"/>
        </w:rPr>
        <w:t> </w:t>
      </w:r>
      <w:r w:rsidRPr="00D7036B">
        <w:rPr>
          <w:bCs/>
          <w:lang w:val="fr-FR"/>
        </w:rPr>
        <w:t>Nam soutenaient le nouveau paragraphe</w:t>
      </w:r>
      <w:r w:rsidR="008F5CA2">
        <w:rPr>
          <w:bCs/>
          <w:lang w:val="fr-FR"/>
        </w:rPr>
        <w:t> </w:t>
      </w:r>
      <w:r w:rsidRPr="00D7036B">
        <w:rPr>
          <w:bCs/>
          <w:lang w:val="fr-FR"/>
        </w:rPr>
        <w:t>9</w:t>
      </w:r>
      <w:r>
        <w:rPr>
          <w:bCs/>
          <w:lang w:val="fr-FR"/>
        </w:rPr>
        <w:t>.</w:t>
      </w:r>
    </w:p>
    <w:p w14:paraId="15C3E8E6" w14:textId="53587984" w:rsidR="00D7036B" w:rsidRDefault="00F83580">
      <w:pPr>
        <w:pStyle w:val="Orateurengris"/>
        <w:numPr>
          <w:ilvl w:val="0"/>
          <w:numId w:val="20"/>
        </w:numPr>
        <w:tabs>
          <w:tab w:val="clear" w:pos="567"/>
        </w:tabs>
        <w:spacing w:before="120"/>
        <w:ind w:left="709" w:hanging="709"/>
        <w:rPr>
          <w:bCs/>
          <w:lang w:val="fr-FR"/>
        </w:rPr>
      </w:pPr>
      <w:r w:rsidRPr="00F83580">
        <w:rPr>
          <w:bCs/>
          <w:lang w:val="fr-FR"/>
        </w:rPr>
        <w:t>La délégation de l</w:t>
      </w:r>
      <w:r w:rsidR="00923E72">
        <w:rPr>
          <w:bCs/>
          <w:lang w:val="fr-FR"/>
        </w:rPr>
        <w:t>’</w:t>
      </w:r>
      <w:r w:rsidRPr="00702497">
        <w:rPr>
          <w:b/>
          <w:lang w:val="fr-FR"/>
        </w:rPr>
        <w:t>Angola</w:t>
      </w:r>
      <w:r w:rsidRPr="00F83580">
        <w:rPr>
          <w:bCs/>
          <w:lang w:val="fr-FR"/>
        </w:rPr>
        <w:t xml:space="preserve"> a</w:t>
      </w:r>
      <w:r>
        <w:rPr>
          <w:bCs/>
          <w:lang w:val="fr-FR"/>
        </w:rPr>
        <w:t>vait</w:t>
      </w:r>
      <w:r w:rsidRPr="00F83580">
        <w:rPr>
          <w:bCs/>
          <w:lang w:val="fr-FR"/>
        </w:rPr>
        <w:t xml:space="preserve"> un petit amendement à ajouter, qui </w:t>
      </w:r>
      <w:r>
        <w:rPr>
          <w:bCs/>
          <w:lang w:val="fr-FR"/>
        </w:rPr>
        <w:t>serait ainsi rédigé : « </w:t>
      </w:r>
      <w:r w:rsidRPr="00F83580">
        <w:rPr>
          <w:bCs/>
          <w:lang w:val="fr-FR"/>
        </w:rPr>
        <w:t>Encourage le Comité à réglementer l</w:t>
      </w:r>
      <w:r w:rsidR="00923E72">
        <w:rPr>
          <w:bCs/>
          <w:lang w:val="fr-FR"/>
        </w:rPr>
        <w:t>’</w:t>
      </w:r>
      <w:r w:rsidRPr="00F83580">
        <w:rPr>
          <w:bCs/>
          <w:lang w:val="fr-FR"/>
        </w:rPr>
        <w:t>utilisation du dialogue</w:t>
      </w:r>
      <w:r>
        <w:rPr>
          <w:bCs/>
          <w:lang w:val="fr-FR"/>
        </w:rPr>
        <w:t> ».</w:t>
      </w:r>
    </w:p>
    <w:p w14:paraId="766FC698" w14:textId="30899EAE" w:rsidR="00F83580" w:rsidRDefault="00F83580">
      <w:pPr>
        <w:pStyle w:val="Orateurengris"/>
        <w:numPr>
          <w:ilvl w:val="0"/>
          <w:numId w:val="20"/>
        </w:numPr>
        <w:tabs>
          <w:tab w:val="clear" w:pos="567"/>
        </w:tabs>
        <w:spacing w:before="120"/>
        <w:ind w:left="709" w:hanging="709"/>
        <w:rPr>
          <w:bCs/>
          <w:lang w:val="fr-FR"/>
        </w:rPr>
      </w:pPr>
      <w:r w:rsidRPr="00F83580">
        <w:rPr>
          <w:bCs/>
          <w:lang w:val="fr-FR"/>
        </w:rPr>
        <w:t xml:space="preserve">La </w:t>
      </w:r>
      <w:r w:rsidRPr="00702497">
        <w:rPr>
          <w:b/>
          <w:lang w:val="fr-FR"/>
        </w:rPr>
        <w:t>Vice-Présidente</w:t>
      </w:r>
      <w:r w:rsidRPr="00F83580">
        <w:rPr>
          <w:bCs/>
          <w:lang w:val="fr-FR"/>
        </w:rPr>
        <w:t xml:space="preserve"> </w:t>
      </w:r>
      <w:r>
        <w:rPr>
          <w:bCs/>
          <w:lang w:val="fr-FR"/>
        </w:rPr>
        <w:t xml:space="preserve">a </w:t>
      </w:r>
      <w:r w:rsidRPr="00F83580">
        <w:rPr>
          <w:bCs/>
          <w:lang w:val="fr-FR"/>
        </w:rPr>
        <w:t>fait remarquer que le paragraphe</w:t>
      </w:r>
      <w:r w:rsidR="008F5CA2">
        <w:rPr>
          <w:bCs/>
          <w:lang w:val="fr-FR"/>
        </w:rPr>
        <w:t> </w:t>
      </w:r>
      <w:r w:rsidRPr="00F83580">
        <w:rPr>
          <w:bCs/>
          <w:lang w:val="fr-FR"/>
        </w:rPr>
        <w:t>9 bénéficiait d</w:t>
      </w:r>
      <w:r w:rsidR="00923E72">
        <w:rPr>
          <w:bCs/>
          <w:lang w:val="fr-FR"/>
        </w:rPr>
        <w:t>’</w:t>
      </w:r>
      <w:r w:rsidRPr="00F83580">
        <w:rPr>
          <w:bCs/>
          <w:lang w:val="fr-FR"/>
        </w:rPr>
        <w:t>un large soutien sous sa forme actuelle et que l</w:t>
      </w:r>
      <w:r w:rsidR="00923E72">
        <w:rPr>
          <w:bCs/>
          <w:lang w:val="fr-FR"/>
        </w:rPr>
        <w:t>’</w:t>
      </w:r>
      <w:r w:rsidRPr="00F83580">
        <w:rPr>
          <w:bCs/>
          <w:lang w:val="fr-FR"/>
        </w:rPr>
        <w:t xml:space="preserve">amendement </w:t>
      </w:r>
      <w:r>
        <w:rPr>
          <w:bCs/>
          <w:lang w:val="fr-FR"/>
        </w:rPr>
        <w:t>de l</w:t>
      </w:r>
      <w:r w:rsidR="00923E72">
        <w:rPr>
          <w:bCs/>
          <w:lang w:val="fr-FR"/>
        </w:rPr>
        <w:t>’</w:t>
      </w:r>
      <w:r>
        <w:rPr>
          <w:bCs/>
          <w:lang w:val="fr-FR"/>
        </w:rPr>
        <w:t xml:space="preserve">Angola </w:t>
      </w:r>
      <w:r w:rsidRPr="00F83580">
        <w:rPr>
          <w:bCs/>
          <w:lang w:val="fr-FR"/>
        </w:rPr>
        <w:t xml:space="preserve">en modifiait sensiblement le sens, </w:t>
      </w:r>
      <w:r w:rsidRPr="00F83580">
        <w:rPr>
          <w:bCs/>
          <w:lang w:val="fr-FR"/>
        </w:rPr>
        <w:lastRenderedPageBreak/>
        <w:t>notamment parce qu</w:t>
      </w:r>
      <w:r w:rsidR="00923E72">
        <w:rPr>
          <w:bCs/>
          <w:lang w:val="fr-FR"/>
        </w:rPr>
        <w:t>’</w:t>
      </w:r>
      <w:r w:rsidRPr="00F83580">
        <w:rPr>
          <w:bCs/>
          <w:lang w:val="fr-FR"/>
        </w:rPr>
        <w:t>il s</w:t>
      </w:r>
      <w:r w:rsidR="00923E72">
        <w:rPr>
          <w:bCs/>
          <w:lang w:val="fr-FR"/>
        </w:rPr>
        <w:t>’</w:t>
      </w:r>
      <w:r w:rsidRPr="00F83580">
        <w:rPr>
          <w:bCs/>
          <w:lang w:val="fr-FR"/>
        </w:rPr>
        <w:t>adressait au Comité et non à l</w:t>
      </w:r>
      <w:r w:rsidR="00923E72">
        <w:rPr>
          <w:bCs/>
          <w:lang w:val="fr-FR"/>
        </w:rPr>
        <w:t>’</w:t>
      </w:r>
      <w:r w:rsidRPr="00F83580">
        <w:rPr>
          <w:bCs/>
          <w:lang w:val="fr-FR"/>
        </w:rPr>
        <w:t>Organe d</w:t>
      </w:r>
      <w:r w:rsidR="00923E72">
        <w:rPr>
          <w:bCs/>
          <w:lang w:val="fr-FR"/>
        </w:rPr>
        <w:t>’</w:t>
      </w:r>
      <w:r w:rsidRPr="00F83580">
        <w:rPr>
          <w:bCs/>
          <w:lang w:val="fr-FR"/>
        </w:rPr>
        <w:t>évaluation. La Vice-Présidente a suggéré d</w:t>
      </w:r>
      <w:r w:rsidR="00923E72">
        <w:rPr>
          <w:bCs/>
          <w:lang w:val="fr-FR"/>
        </w:rPr>
        <w:t>’</w:t>
      </w:r>
      <w:r w:rsidRPr="00F83580">
        <w:rPr>
          <w:bCs/>
          <w:lang w:val="fr-FR"/>
        </w:rPr>
        <w:t>ajouter un nouveau paragraphe au cas où l</w:t>
      </w:r>
      <w:r w:rsidR="00923E72">
        <w:rPr>
          <w:bCs/>
          <w:lang w:val="fr-FR"/>
        </w:rPr>
        <w:t>’</w:t>
      </w:r>
      <w:r w:rsidRPr="00F83580">
        <w:rPr>
          <w:bCs/>
          <w:lang w:val="fr-FR"/>
        </w:rPr>
        <w:t>Angola souhaiterait maintenir sa proposition.</w:t>
      </w:r>
    </w:p>
    <w:p w14:paraId="06CCBE3C" w14:textId="2A995440" w:rsidR="00F83580" w:rsidRDefault="00F83580">
      <w:pPr>
        <w:pStyle w:val="Orateurengris"/>
        <w:numPr>
          <w:ilvl w:val="0"/>
          <w:numId w:val="20"/>
        </w:numPr>
        <w:tabs>
          <w:tab w:val="clear" w:pos="567"/>
        </w:tabs>
        <w:spacing w:before="120"/>
        <w:ind w:left="709" w:hanging="709"/>
        <w:rPr>
          <w:bCs/>
          <w:lang w:val="fr-FR"/>
        </w:rPr>
      </w:pPr>
      <w:r>
        <w:rPr>
          <w:bCs/>
          <w:lang w:val="fr-FR"/>
        </w:rPr>
        <w:t xml:space="preserve">La </w:t>
      </w:r>
      <w:r w:rsidRPr="00F83580">
        <w:rPr>
          <w:bCs/>
          <w:lang w:val="fr-FR"/>
        </w:rPr>
        <w:t>délégation</w:t>
      </w:r>
      <w:r>
        <w:rPr>
          <w:bCs/>
          <w:lang w:val="fr-FR"/>
        </w:rPr>
        <w:t xml:space="preserve"> de l</w:t>
      </w:r>
      <w:r w:rsidR="00923E72">
        <w:rPr>
          <w:bCs/>
          <w:lang w:val="fr-FR"/>
        </w:rPr>
        <w:t>’</w:t>
      </w:r>
      <w:r w:rsidRPr="00702497">
        <w:rPr>
          <w:b/>
          <w:lang w:val="fr-FR"/>
        </w:rPr>
        <w:t>Angola</w:t>
      </w:r>
      <w:r>
        <w:rPr>
          <w:bCs/>
          <w:lang w:val="fr-FR"/>
        </w:rPr>
        <w:t xml:space="preserve"> a convenu que son </w:t>
      </w:r>
      <w:r w:rsidRPr="00F83580">
        <w:rPr>
          <w:bCs/>
          <w:lang w:val="fr-FR"/>
        </w:rPr>
        <w:t>amendement</w:t>
      </w:r>
      <w:r>
        <w:rPr>
          <w:bCs/>
          <w:lang w:val="fr-FR"/>
        </w:rPr>
        <w:t xml:space="preserve"> pourrait constituer un nouveau </w:t>
      </w:r>
      <w:r w:rsidRPr="00F83580">
        <w:rPr>
          <w:bCs/>
          <w:lang w:val="fr-FR"/>
        </w:rPr>
        <w:t>paragraphe</w:t>
      </w:r>
      <w:r>
        <w:rPr>
          <w:bCs/>
          <w:lang w:val="fr-FR"/>
        </w:rPr>
        <w:t>.</w:t>
      </w:r>
    </w:p>
    <w:p w14:paraId="59056499" w14:textId="5EB2739E" w:rsidR="00F83580" w:rsidRDefault="00F83580">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est revenue au </w:t>
      </w:r>
      <w:r w:rsidRPr="00F83580">
        <w:rPr>
          <w:bCs/>
          <w:lang w:val="fr-FR"/>
        </w:rPr>
        <w:t>paragraphe</w:t>
      </w:r>
      <w:r w:rsidR="008F5CA2">
        <w:rPr>
          <w:bCs/>
          <w:lang w:val="fr-FR"/>
        </w:rPr>
        <w:t> </w:t>
      </w:r>
      <w:r>
        <w:rPr>
          <w:bCs/>
          <w:lang w:val="fr-FR"/>
        </w:rPr>
        <w:t>9</w:t>
      </w:r>
      <w:r w:rsidR="001F63EE">
        <w:rPr>
          <w:bCs/>
          <w:lang w:val="fr-FR"/>
        </w:rPr>
        <w:t>,</w:t>
      </w:r>
      <w:r>
        <w:rPr>
          <w:bCs/>
          <w:lang w:val="fr-FR"/>
        </w:rPr>
        <w:t xml:space="preserve"> qui a été dûment adopté.</w:t>
      </w:r>
    </w:p>
    <w:p w14:paraId="403B2783" w14:textId="5741E953" w:rsidR="00F83580" w:rsidRDefault="00F83580">
      <w:pPr>
        <w:pStyle w:val="Orateurengris"/>
        <w:numPr>
          <w:ilvl w:val="0"/>
          <w:numId w:val="20"/>
        </w:numPr>
        <w:tabs>
          <w:tab w:val="clear" w:pos="567"/>
        </w:tabs>
        <w:spacing w:before="120"/>
        <w:ind w:left="709" w:hanging="709"/>
        <w:rPr>
          <w:bCs/>
          <w:lang w:val="fr-FR"/>
        </w:rPr>
      </w:pPr>
      <w:r>
        <w:rPr>
          <w:bCs/>
          <w:lang w:val="fr-FR"/>
        </w:rPr>
        <w:t xml:space="preserve">La </w:t>
      </w:r>
      <w:r w:rsidRPr="00F83580">
        <w:rPr>
          <w:bCs/>
          <w:lang w:val="fr-FR"/>
        </w:rPr>
        <w:t>délégation</w:t>
      </w:r>
      <w:r>
        <w:rPr>
          <w:bCs/>
          <w:lang w:val="fr-FR"/>
        </w:rPr>
        <w:t xml:space="preserve"> de l</w:t>
      </w:r>
      <w:r w:rsidR="00923E72">
        <w:rPr>
          <w:bCs/>
          <w:lang w:val="fr-FR"/>
        </w:rPr>
        <w:t>’</w:t>
      </w:r>
      <w:r w:rsidRPr="00702497">
        <w:rPr>
          <w:b/>
          <w:lang w:val="fr-FR"/>
        </w:rPr>
        <w:t>Angola</w:t>
      </w:r>
      <w:r>
        <w:rPr>
          <w:bCs/>
          <w:lang w:val="fr-FR"/>
        </w:rPr>
        <w:t xml:space="preserve"> a demandé un peu de temps.</w:t>
      </w:r>
    </w:p>
    <w:p w14:paraId="364C5CC7" w14:textId="33F85173" w:rsidR="00F83580" w:rsidRDefault="00F83580">
      <w:pPr>
        <w:pStyle w:val="Orateurengris"/>
        <w:numPr>
          <w:ilvl w:val="0"/>
          <w:numId w:val="20"/>
        </w:numPr>
        <w:tabs>
          <w:tab w:val="clear" w:pos="567"/>
        </w:tabs>
        <w:spacing w:before="120"/>
        <w:ind w:left="709" w:hanging="709"/>
        <w:rPr>
          <w:bCs/>
          <w:lang w:val="fr-FR"/>
        </w:rPr>
      </w:pPr>
      <w:r>
        <w:rPr>
          <w:bCs/>
          <w:lang w:val="fr-FR"/>
        </w:rPr>
        <w:t xml:space="preserve">La </w:t>
      </w:r>
      <w:r w:rsidRPr="00F83580">
        <w:rPr>
          <w:bCs/>
          <w:lang w:val="fr-FR"/>
        </w:rPr>
        <w:t>délégation</w:t>
      </w:r>
      <w:r>
        <w:rPr>
          <w:bCs/>
          <w:lang w:val="fr-FR"/>
        </w:rPr>
        <w:t xml:space="preserve"> de la </w:t>
      </w:r>
      <w:r w:rsidRPr="00702497">
        <w:rPr>
          <w:b/>
          <w:lang w:val="fr-FR"/>
        </w:rPr>
        <w:t>Mauritanie</w:t>
      </w:r>
      <w:r>
        <w:rPr>
          <w:bCs/>
          <w:lang w:val="fr-FR"/>
        </w:rPr>
        <w:t xml:space="preserve"> souhaitait être ajoutée à la liste des coauteurs. </w:t>
      </w:r>
    </w:p>
    <w:p w14:paraId="58597DD2" w14:textId="2C85928B" w:rsidR="00F83580" w:rsidRDefault="00F83580" w:rsidP="00F83580">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sidRPr="00F83580">
        <w:rPr>
          <w:bCs/>
          <w:lang w:val="fr-FR"/>
        </w:rPr>
        <w:t xml:space="preserve"> </w:t>
      </w:r>
      <w:r>
        <w:rPr>
          <w:bCs/>
          <w:lang w:val="fr-FR"/>
        </w:rPr>
        <w:t xml:space="preserve">est </w:t>
      </w:r>
      <w:r w:rsidRPr="00F83580">
        <w:rPr>
          <w:bCs/>
          <w:lang w:val="fr-FR"/>
        </w:rPr>
        <w:t>pass</w:t>
      </w:r>
      <w:r>
        <w:rPr>
          <w:bCs/>
          <w:lang w:val="fr-FR"/>
        </w:rPr>
        <w:t>é</w:t>
      </w:r>
      <w:r w:rsidRPr="00F83580">
        <w:rPr>
          <w:bCs/>
          <w:lang w:val="fr-FR"/>
        </w:rPr>
        <w:t>e au paragraphe</w:t>
      </w:r>
      <w:r>
        <w:rPr>
          <w:bCs/>
          <w:lang w:val="fr-FR"/>
        </w:rPr>
        <w:t xml:space="preserve"> suivant, le </w:t>
      </w:r>
      <w:r w:rsidRPr="00F83580">
        <w:rPr>
          <w:bCs/>
          <w:lang w:val="fr-FR"/>
        </w:rPr>
        <w:t>paragraphe</w:t>
      </w:r>
      <w:r w:rsidR="008F5CA2">
        <w:rPr>
          <w:bCs/>
          <w:lang w:val="fr-FR"/>
        </w:rPr>
        <w:t> </w:t>
      </w:r>
      <w:r w:rsidRPr="00F83580">
        <w:rPr>
          <w:bCs/>
          <w:lang w:val="fr-FR"/>
        </w:rPr>
        <w:t>10</w:t>
      </w:r>
      <w:r>
        <w:rPr>
          <w:bCs/>
          <w:lang w:val="fr-FR"/>
        </w:rPr>
        <w:t xml:space="preserve"> </w:t>
      </w:r>
      <w:r w:rsidRPr="00F83580">
        <w:rPr>
          <w:bCs/>
          <w:lang w:val="fr-FR"/>
        </w:rPr>
        <w:t>[initialement le paragraphe 8], qui, en l</w:t>
      </w:r>
      <w:r w:rsidR="00923E72">
        <w:rPr>
          <w:bCs/>
          <w:lang w:val="fr-FR"/>
        </w:rPr>
        <w:t>’</w:t>
      </w:r>
      <w:r w:rsidRPr="00F83580">
        <w:rPr>
          <w:bCs/>
          <w:lang w:val="fr-FR"/>
        </w:rPr>
        <w:t>absence d</w:t>
      </w:r>
      <w:r w:rsidR="00923E72">
        <w:rPr>
          <w:bCs/>
          <w:lang w:val="fr-FR"/>
        </w:rPr>
        <w:t>’</w:t>
      </w:r>
      <w:r w:rsidRPr="00F83580">
        <w:rPr>
          <w:bCs/>
          <w:lang w:val="fr-FR"/>
        </w:rPr>
        <w:t>objections, a été dûment adopté. Les paragraphes</w:t>
      </w:r>
      <w:r w:rsidR="00F0089E">
        <w:rPr>
          <w:bCs/>
          <w:lang w:val="fr-FR"/>
        </w:rPr>
        <w:t> </w:t>
      </w:r>
      <w:r w:rsidRPr="00F83580">
        <w:rPr>
          <w:bCs/>
          <w:lang w:val="fr-FR"/>
        </w:rPr>
        <w:t>11 et</w:t>
      </w:r>
      <w:r w:rsidR="00F0089E">
        <w:rPr>
          <w:bCs/>
          <w:lang w:val="fr-FR"/>
        </w:rPr>
        <w:t> </w:t>
      </w:r>
      <w:r w:rsidRPr="00F83580">
        <w:rPr>
          <w:bCs/>
          <w:lang w:val="fr-FR"/>
        </w:rPr>
        <w:t xml:space="preserve">12 </w:t>
      </w:r>
      <w:r>
        <w:rPr>
          <w:bCs/>
          <w:lang w:val="fr-FR"/>
        </w:rPr>
        <w:t xml:space="preserve">ont </w:t>
      </w:r>
      <w:r w:rsidRPr="00F83580">
        <w:rPr>
          <w:bCs/>
          <w:lang w:val="fr-FR"/>
        </w:rPr>
        <w:t xml:space="preserve">également </w:t>
      </w:r>
      <w:r>
        <w:rPr>
          <w:bCs/>
          <w:lang w:val="fr-FR"/>
        </w:rPr>
        <w:t xml:space="preserve">été </w:t>
      </w:r>
      <w:r w:rsidRPr="00F83580">
        <w:rPr>
          <w:bCs/>
          <w:lang w:val="fr-FR"/>
        </w:rPr>
        <w:t xml:space="preserve">adoptés </w:t>
      </w:r>
      <w:r>
        <w:rPr>
          <w:bCs/>
          <w:lang w:val="fr-FR"/>
        </w:rPr>
        <w:t>e</w:t>
      </w:r>
      <w:r w:rsidRPr="00F83580">
        <w:rPr>
          <w:bCs/>
          <w:lang w:val="fr-FR"/>
        </w:rPr>
        <w:t>n l</w:t>
      </w:r>
      <w:r w:rsidR="00923E72">
        <w:rPr>
          <w:bCs/>
          <w:lang w:val="fr-FR"/>
        </w:rPr>
        <w:t>’</w:t>
      </w:r>
      <w:r w:rsidRPr="00F83580">
        <w:rPr>
          <w:bCs/>
          <w:lang w:val="fr-FR"/>
        </w:rPr>
        <w:t>absence</w:t>
      </w:r>
      <w:r>
        <w:rPr>
          <w:bCs/>
          <w:lang w:val="fr-FR"/>
        </w:rPr>
        <w:t xml:space="preserve"> d</w:t>
      </w:r>
      <w:r w:rsidR="00923E72">
        <w:rPr>
          <w:bCs/>
          <w:lang w:val="fr-FR"/>
        </w:rPr>
        <w:t>’</w:t>
      </w:r>
      <w:r w:rsidRPr="00F83580">
        <w:rPr>
          <w:bCs/>
          <w:lang w:val="fr-FR"/>
        </w:rPr>
        <w:t>objection</w:t>
      </w:r>
      <w:r>
        <w:rPr>
          <w:bCs/>
          <w:lang w:val="fr-FR"/>
        </w:rPr>
        <w:t>s</w:t>
      </w:r>
      <w:r w:rsidRPr="00F83580">
        <w:rPr>
          <w:bCs/>
          <w:lang w:val="fr-FR"/>
        </w:rPr>
        <w:t xml:space="preserve"> Le Brésil </w:t>
      </w:r>
      <w:r>
        <w:rPr>
          <w:bCs/>
          <w:lang w:val="fr-FR"/>
        </w:rPr>
        <w:t>proposait</w:t>
      </w:r>
      <w:r w:rsidRPr="00F83580">
        <w:rPr>
          <w:bCs/>
          <w:lang w:val="fr-FR"/>
        </w:rPr>
        <w:t xml:space="preserve"> un amendement au paragraphe</w:t>
      </w:r>
      <w:r w:rsidR="00F0089E">
        <w:rPr>
          <w:bCs/>
          <w:lang w:val="fr-FR"/>
        </w:rPr>
        <w:t> </w:t>
      </w:r>
      <w:r w:rsidRPr="00F83580">
        <w:rPr>
          <w:bCs/>
          <w:lang w:val="fr-FR"/>
        </w:rPr>
        <w:t>13.</w:t>
      </w:r>
    </w:p>
    <w:p w14:paraId="781F9F6F" w14:textId="1B53B6FD" w:rsidR="00852B0D" w:rsidRDefault="00852B0D" w:rsidP="00F83580">
      <w:pPr>
        <w:pStyle w:val="Orateurengris"/>
        <w:numPr>
          <w:ilvl w:val="0"/>
          <w:numId w:val="20"/>
        </w:numPr>
        <w:tabs>
          <w:tab w:val="clear" w:pos="567"/>
        </w:tabs>
        <w:spacing w:before="120"/>
        <w:ind w:left="709" w:hanging="709"/>
        <w:rPr>
          <w:bCs/>
          <w:lang w:val="fr-FR"/>
        </w:rPr>
      </w:pPr>
      <w:r>
        <w:rPr>
          <w:bCs/>
          <w:lang w:val="fr-FR"/>
        </w:rPr>
        <w:t xml:space="preserve">La </w:t>
      </w:r>
      <w:r w:rsidRPr="00852B0D">
        <w:rPr>
          <w:bCs/>
          <w:lang w:val="fr-FR"/>
        </w:rPr>
        <w:t>délégation</w:t>
      </w:r>
      <w:r>
        <w:rPr>
          <w:bCs/>
          <w:lang w:val="fr-FR"/>
        </w:rPr>
        <w:t xml:space="preserve"> du </w:t>
      </w:r>
      <w:r w:rsidRPr="00702497">
        <w:rPr>
          <w:b/>
          <w:lang w:val="fr-FR"/>
        </w:rPr>
        <w:t>Brésil</w:t>
      </w:r>
      <w:r>
        <w:rPr>
          <w:bCs/>
          <w:lang w:val="fr-FR"/>
        </w:rPr>
        <w:t xml:space="preserve"> a expliqué qu</w:t>
      </w:r>
      <w:r w:rsidR="00923E72">
        <w:rPr>
          <w:bCs/>
          <w:lang w:val="fr-FR"/>
        </w:rPr>
        <w:t>’</w:t>
      </w:r>
      <w:r>
        <w:rPr>
          <w:bCs/>
          <w:lang w:val="fr-FR"/>
        </w:rPr>
        <w:t xml:space="preserve">elle avait apporté des </w:t>
      </w:r>
      <w:r w:rsidRPr="00852B0D">
        <w:rPr>
          <w:bCs/>
          <w:lang w:val="fr-FR"/>
        </w:rPr>
        <w:t>modificatio</w:t>
      </w:r>
      <w:r>
        <w:rPr>
          <w:bCs/>
          <w:lang w:val="fr-FR"/>
        </w:rPr>
        <w:t xml:space="preserve">ns mineures au texte afin </w:t>
      </w:r>
      <w:r w:rsidR="00F0089E">
        <w:rPr>
          <w:bCs/>
          <w:lang w:val="fr-FR"/>
        </w:rPr>
        <w:t>que</w:t>
      </w:r>
      <w:r>
        <w:rPr>
          <w:bCs/>
          <w:lang w:val="fr-FR"/>
        </w:rPr>
        <w:t xml:space="preserve"> son libellé soit plus positif.</w:t>
      </w:r>
    </w:p>
    <w:p w14:paraId="070CB9C8" w14:textId="054ACD13" w:rsidR="00F83580" w:rsidRDefault="00EB06CB" w:rsidP="00F83580">
      <w:pPr>
        <w:pStyle w:val="Orateurengris"/>
        <w:numPr>
          <w:ilvl w:val="0"/>
          <w:numId w:val="20"/>
        </w:numPr>
        <w:tabs>
          <w:tab w:val="clear" w:pos="567"/>
        </w:tabs>
        <w:spacing w:before="120"/>
        <w:ind w:left="709" w:hanging="709"/>
        <w:rPr>
          <w:bCs/>
          <w:lang w:val="fr-FR"/>
        </w:rPr>
      </w:pPr>
      <w:r w:rsidRPr="00EB06CB">
        <w:rPr>
          <w:bCs/>
          <w:lang w:val="fr-FR"/>
        </w:rPr>
        <w:t xml:space="preserve">La </w:t>
      </w:r>
      <w:r w:rsidRPr="00702497">
        <w:rPr>
          <w:b/>
          <w:lang w:val="fr-FR"/>
        </w:rPr>
        <w:t>Vice-Présidente</w:t>
      </w:r>
      <w:r w:rsidRPr="00EB06CB">
        <w:rPr>
          <w:bCs/>
          <w:lang w:val="fr-FR"/>
        </w:rPr>
        <w:t xml:space="preserve"> a présenté l</w:t>
      </w:r>
      <w:r w:rsidR="00923E72">
        <w:rPr>
          <w:bCs/>
          <w:lang w:val="fr-FR"/>
        </w:rPr>
        <w:t>’</w:t>
      </w:r>
      <w:r w:rsidRPr="00EB06CB">
        <w:rPr>
          <w:bCs/>
          <w:lang w:val="fr-FR"/>
        </w:rPr>
        <w:t>amendement au paragraphe</w:t>
      </w:r>
      <w:r w:rsidR="008F5CA2">
        <w:rPr>
          <w:bCs/>
          <w:lang w:val="fr-FR"/>
        </w:rPr>
        <w:t> </w:t>
      </w:r>
      <w:r w:rsidRPr="00EB06CB">
        <w:rPr>
          <w:bCs/>
          <w:lang w:val="fr-FR"/>
        </w:rPr>
        <w:t xml:space="preserve">13, qui serait ainsi rédigé : </w:t>
      </w:r>
      <w:r>
        <w:rPr>
          <w:bCs/>
          <w:lang w:val="fr-FR"/>
        </w:rPr>
        <w:t>« </w:t>
      </w:r>
      <w:r w:rsidRPr="00702497">
        <w:rPr>
          <w:bCs/>
          <w:u w:val="single"/>
          <w:lang w:val="fr-FR"/>
        </w:rPr>
        <w:t>Note qu</w:t>
      </w:r>
      <w:r w:rsidR="00923E72">
        <w:rPr>
          <w:bCs/>
          <w:u w:val="single"/>
          <w:lang w:val="fr-FR"/>
        </w:rPr>
        <w:t>’</w:t>
      </w:r>
      <w:r w:rsidRPr="00702497">
        <w:rPr>
          <w:bCs/>
          <w:u w:val="single"/>
          <w:lang w:val="fr-FR"/>
        </w:rPr>
        <w:t>il est nécessaire de promouvoir davantage des informations plus détaillées concernant la portée des critères d</w:t>
      </w:r>
      <w:r w:rsidR="00923E72">
        <w:rPr>
          <w:bCs/>
          <w:u w:val="single"/>
          <w:lang w:val="fr-FR"/>
        </w:rPr>
        <w:t>’</w:t>
      </w:r>
      <w:r w:rsidRPr="00702497">
        <w:rPr>
          <w:bCs/>
          <w:u w:val="single"/>
          <w:lang w:val="fr-FR"/>
        </w:rPr>
        <w:t>inscription, la présentation des</w:t>
      </w:r>
      <w:r w:rsidRPr="00EB06CB">
        <w:rPr>
          <w:bCs/>
          <w:lang w:val="fr-FR"/>
        </w:rPr>
        <w:t xml:space="preserve"> formulaires et autres exigences liées à la candidature, et souligne l</w:t>
      </w:r>
      <w:r w:rsidR="00923E72">
        <w:rPr>
          <w:bCs/>
          <w:lang w:val="fr-FR"/>
        </w:rPr>
        <w:t>’</w:t>
      </w:r>
      <w:r w:rsidRPr="00EB06CB">
        <w:rPr>
          <w:bCs/>
          <w:lang w:val="fr-FR"/>
        </w:rPr>
        <w:t>importance de l</w:t>
      </w:r>
      <w:r w:rsidR="00923E72">
        <w:rPr>
          <w:bCs/>
          <w:lang w:val="fr-FR"/>
        </w:rPr>
        <w:t>’</w:t>
      </w:r>
      <w:r w:rsidRPr="00EB06CB">
        <w:rPr>
          <w:bCs/>
          <w:lang w:val="fr-FR"/>
        </w:rPr>
        <w:t>approche de renforcement des capacités de la Convention de</w:t>
      </w:r>
      <w:r w:rsidR="006773EF">
        <w:rPr>
          <w:bCs/>
          <w:lang w:val="fr-FR"/>
        </w:rPr>
        <w:t> </w:t>
      </w:r>
      <w:r w:rsidRPr="00EB06CB">
        <w:rPr>
          <w:bCs/>
          <w:lang w:val="fr-FR"/>
        </w:rPr>
        <w:t xml:space="preserve">2003 </w:t>
      </w:r>
      <w:r>
        <w:rPr>
          <w:bCs/>
          <w:lang w:val="fr-FR"/>
        </w:rPr>
        <w:t>en aidant</w:t>
      </w:r>
      <w:r w:rsidRPr="00EB06CB">
        <w:rPr>
          <w:bCs/>
          <w:lang w:val="fr-FR"/>
        </w:rPr>
        <w:t xml:space="preserve"> les États parties soumissionnaires à préparer les candidatures en coopération avec son réseau global de facilitateurs ainsi qu</w:t>
      </w:r>
      <w:r>
        <w:rPr>
          <w:bCs/>
          <w:lang w:val="fr-FR"/>
        </w:rPr>
        <w:t>e des</w:t>
      </w:r>
      <w:r w:rsidRPr="00EB06CB">
        <w:rPr>
          <w:bCs/>
          <w:lang w:val="fr-FR"/>
        </w:rPr>
        <w:t xml:space="preserve"> organisations non gouvernementales accréditées</w:t>
      </w:r>
      <w:r>
        <w:rPr>
          <w:bCs/>
          <w:lang w:val="fr-FR"/>
        </w:rPr>
        <w:t> »</w:t>
      </w:r>
      <w:r w:rsidRPr="00EB06CB">
        <w:rPr>
          <w:bCs/>
          <w:lang w:val="fr-FR"/>
        </w:rPr>
        <w:t>.</w:t>
      </w:r>
    </w:p>
    <w:p w14:paraId="45F305AF" w14:textId="116F597E" w:rsidR="00EB06CB" w:rsidRDefault="00E74709" w:rsidP="00E74709">
      <w:pPr>
        <w:pStyle w:val="Orateurengris"/>
        <w:numPr>
          <w:ilvl w:val="0"/>
          <w:numId w:val="20"/>
        </w:numPr>
        <w:tabs>
          <w:tab w:val="clear" w:pos="567"/>
        </w:tabs>
        <w:spacing w:before="120"/>
        <w:ind w:left="709" w:hanging="709"/>
        <w:rPr>
          <w:bCs/>
          <w:lang w:val="fr-FR"/>
        </w:rPr>
      </w:pPr>
      <w:r w:rsidRPr="00E74709">
        <w:rPr>
          <w:bCs/>
          <w:lang w:val="fr-FR"/>
        </w:rPr>
        <w:t xml:space="preserve">La délégation de la </w:t>
      </w:r>
      <w:r w:rsidRPr="00702497">
        <w:rPr>
          <w:b/>
          <w:lang w:val="fr-FR"/>
        </w:rPr>
        <w:t>Tchéquie</w:t>
      </w:r>
      <w:r w:rsidRPr="00E74709">
        <w:rPr>
          <w:bCs/>
          <w:lang w:val="fr-FR"/>
        </w:rPr>
        <w:t>, qui n</w:t>
      </w:r>
      <w:r w:rsidR="00923E72">
        <w:rPr>
          <w:bCs/>
          <w:lang w:val="fr-FR"/>
        </w:rPr>
        <w:t>’</w:t>
      </w:r>
      <w:r w:rsidRPr="00E74709">
        <w:rPr>
          <w:bCs/>
          <w:lang w:val="fr-FR"/>
        </w:rPr>
        <w:t>était pas opposée à la proposition du Brésil, a toutefois proposé un autre libellé pour la première partie de la phrase, qui serait a</w:t>
      </w:r>
      <w:r>
        <w:rPr>
          <w:bCs/>
          <w:lang w:val="fr-FR"/>
        </w:rPr>
        <w:t xml:space="preserve">insi </w:t>
      </w:r>
      <w:r w:rsidRPr="00E74709">
        <w:rPr>
          <w:bCs/>
          <w:lang w:val="fr-FR"/>
        </w:rPr>
        <w:t>rédigé</w:t>
      </w:r>
      <w:r>
        <w:rPr>
          <w:bCs/>
          <w:lang w:val="fr-FR"/>
        </w:rPr>
        <w:t>e :</w:t>
      </w:r>
      <w:r w:rsidRPr="00E74709">
        <w:rPr>
          <w:bCs/>
          <w:lang w:val="fr-FR"/>
        </w:rPr>
        <w:t xml:space="preserve"> </w:t>
      </w:r>
      <w:r>
        <w:rPr>
          <w:bCs/>
          <w:lang w:val="fr-FR"/>
        </w:rPr>
        <w:t>« </w:t>
      </w:r>
      <w:r w:rsidRPr="00E74709">
        <w:rPr>
          <w:bCs/>
          <w:lang w:val="fr-FR"/>
        </w:rPr>
        <w:t xml:space="preserve">Note </w:t>
      </w:r>
      <w:r>
        <w:rPr>
          <w:bCs/>
          <w:lang w:val="fr-FR"/>
        </w:rPr>
        <w:t xml:space="preserve">la nécessité </w:t>
      </w:r>
      <w:r w:rsidRPr="00E74709">
        <w:rPr>
          <w:bCs/>
          <w:lang w:val="fr-FR"/>
        </w:rPr>
        <w:t>de continuer à réitérer la nature des critères d</w:t>
      </w:r>
      <w:r w:rsidR="00923E72">
        <w:rPr>
          <w:bCs/>
          <w:lang w:val="fr-FR"/>
        </w:rPr>
        <w:t>’</w:t>
      </w:r>
      <w:r w:rsidRPr="00E74709">
        <w:rPr>
          <w:bCs/>
          <w:lang w:val="fr-FR"/>
        </w:rPr>
        <w:t xml:space="preserve">inscription </w:t>
      </w:r>
      <w:r>
        <w:rPr>
          <w:bCs/>
          <w:lang w:val="fr-FR"/>
        </w:rPr>
        <w:t>ainsi que</w:t>
      </w:r>
      <w:r w:rsidRPr="00E74709">
        <w:rPr>
          <w:bCs/>
          <w:lang w:val="fr-FR"/>
        </w:rPr>
        <w:t xml:space="preserve"> </w:t>
      </w:r>
      <w:r>
        <w:rPr>
          <w:bCs/>
          <w:lang w:val="fr-FR"/>
        </w:rPr>
        <w:t>l</w:t>
      </w:r>
      <w:r w:rsidRPr="00E74709">
        <w:rPr>
          <w:bCs/>
          <w:lang w:val="fr-FR"/>
        </w:rPr>
        <w:t xml:space="preserve">es exigences </w:t>
      </w:r>
      <w:r>
        <w:rPr>
          <w:bCs/>
          <w:lang w:val="fr-FR"/>
        </w:rPr>
        <w:t xml:space="preserve">sur </w:t>
      </w:r>
      <w:r w:rsidRPr="00E74709">
        <w:rPr>
          <w:bCs/>
          <w:lang w:val="fr-FR"/>
        </w:rPr>
        <w:t>les formulaires, ainsi que toutes les autres exigences de la procédure de candidature, et souligne [...]</w:t>
      </w:r>
      <w:r>
        <w:rPr>
          <w:bCs/>
          <w:lang w:val="fr-FR"/>
        </w:rPr>
        <w:t> ».</w:t>
      </w:r>
    </w:p>
    <w:p w14:paraId="1DDB31FC" w14:textId="52A7CDE4" w:rsidR="00E74709" w:rsidRDefault="00E74709" w:rsidP="00E74709">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remercié la Tchéquie pour sa </w:t>
      </w:r>
      <w:r w:rsidRPr="00E74709">
        <w:rPr>
          <w:bCs/>
          <w:lang w:val="fr-FR"/>
        </w:rPr>
        <w:t>proposition</w:t>
      </w:r>
      <w:r w:rsidR="001F63EE">
        <w:rPr>
          <w:bCs/>
          <w:lang w:val="fr-FR"/>
        </w:rPr>
        <w:t>,</w:t>
      </w:r>
      <w:r>
        <w:rPr>
          <w:bCs/>
          <w:lang w:val="fr-FR"/>
        </w:rPr>
        <w:t xml:space="preserve"> qui remplacerait le libellé proposé par le Brésil.</w:t>
      </w:r>
    </w:p>
    <w:p w14:paraId="1BB408D9" w14:textId="77C8F483" w:rsidR="00E74709" w:rsidRDefault="00E74709" w:rsidP="00E74709">
      <w:pPr>
        <w:pStyle w:val="Orateurengris"/>
        <w:numPr>
          <w:ilvl w:val="0"/>
          <w:numId w:val="20"/>
        </w:numPr>
        <w:tabs>
          <w:tab w:val="clear" w:pos="567"/>
        </w:tabs>
        <w:spacing w:before="120"/>
        <w:ind w:left="709" w:hanging="709"/>
        <w:rPr>
          <w:bCs/>
          <w:lang w:val="fr-FR"/>
        </w:rPr>
      </w:pPr>
      <w:r>
        <w:rPr>
          <w:bCs/>
          <w:lang w:val="fr-FR"/>
        </w:rPr>
        <w:t xml:space="preserve">La </w:t>
      </w:r>
      <w:r w:rsidRPr="00E74709">
        <w:rPr>
          <w:bCs/>
          <w:lang w:val="fr-FR"/>
        </w:rPr>
        <w:t>délégation</w:t>
      </w:r>
      <w:r>
        <w:rPr>
          <w:bCs/>
          <w:lang w:val="fr-FR"/>
        </w:rPr>
        <w:t xml:space="preserve"> du </w:t>
      </w:r>
      <w:r w:rsidRPr="00702497">
        <w:rPr>
          <w:b/>
          <w:lang w:val="fr-FR"/>
        </w:rPr>
        <w:t>Paraguay</w:t>
      </w:r>
      <w:r>
        <w:rPr>
          <w:bCs/>
          <w:lang w:val="fr-FR"/>
        </w:rPr>
        <w:t xml:space="preserve"> soutenait le libellé initial du Brésil sans l</w:t>
      </w:r>
      <w:r w:rsidR="00923E72">
        <w:rPr>
          <w:bCs/>
          <w:lang w:val="fr-FR"/>
        </w:rPr>
        <w:t>’</w:t>
      </w:r>
      <w:r w:rsidRPr="00E74709">
        <w:rPr>
          <w:bCs/>
          <w:lang w:val="fr-FR"/>
        </w:rPr>
        <w:t>amendement</w:t>
      </w:r>
      <w:r>
        <w:rPr>
          <w:bCs/>
          <w:lang w:val="fr-FR"/>
        </w:rPr>
        <w:t xml:space="preserve"> de la Tchéquie.</w:t>
      </w:r>
    </w:p>
    <w:p w14:paraId="7E95A633" w14:textId="40F46438" w:rsidR="00E74709" w:rsidRDefault="00CC7457" w:rsidP="00E74709">
      <w:pPr>
        <w:pStyle w:val="Orateurengris"/>
        <w:numPr>
          <w:ilvl w:val="0"/>
          <w:numId w:val="20"/>
        </w:numPr>
        <w:tabs>
          <w:tab w:val="clear" w:pos="567"/>
        </w:tabs>
        <w:spacing w:before="120"/>
        <w:ind w:left="709" w:hanging="709"/>
        <w:rPr>
          <w:bCs/>
          <w:lang w:val="fr-FR"/>
        </w:rPr>
      </w:pPr>
      <w:r>
        <w:rPr>
          <w:bCs/>
          <w:lang w:val="fr-FR"/>
        </w:rPr>
        <w:t xml:space="preserve">La </w:t>
      </w:r>
      <w:r w:rsidRPr="00CC7457">
        <w:rPr>
          <w:bCs/>
          <w:lang w:val="fr-FR"/>
        </w:rPr>
        <w:t>délégation</w:t>
      </w:r>
      <w:r>
        <w:rPr>
          <w:bCs/>
          <w:lang w:val="fr-FR"/>
        </w:rPr>
        <w:t xml:space="preserve"> du </w:t>
      </w:r>
      <w:r w:rsidRPr="00702497">
        <w:rPr>
          <w:b/>
          <w:lang w:val="fr-FR"/>
        </w:rPr>
        <w:t>Panama</w:t>
      </w:r>
      <w:r>
        <w:rPr>
          <w:bCs/>
          <w:lang w:val="fr-FR"/>
        </w:rPr>
        <w:t xml:space="preserve"> n</w:t>
      </w:r>
      <w:r w:rsidR="00923E72">
        <w:rPr>
          <w:bCs/>
          <w:lang w:val="fr-FR"/>
        </w:rPr>
        <w:t>’</w:t>
      </w:r>
      <w:r>
        <w:rPr>
          <w:bCs/>
          <w:lang w:val="fr-FR"/>
        </w:rPr>
        <w:t>avait aucune objection à l</w:t>
      </w:r>
      <w:r w:rsidR="00923E72">
        <w:rPr>
          <w:bCs/>
          <w:lang w:val="fr-FR"/>
        </w:rPr>
        <w:t>’</w:t>
      </w:r>
      <w:r w:rsidRPr="00CC7457">
        <w:rPr>
          <w:bCs/>
          <w:lang w:val="fr-FR"/>
        </w:rPr>
        <w:t>amendement</w:t>
      </w:r>
      <w:r>
        <w:rPr>
          <w:bCs/>
          <w:lang w:val="fr-FR"/>
        </w:rPr>
        <w:t xml:space="preserve"> de la Tchéquie mais souhaitait le voir </w:t>
      </w:r>
      <w:r w:rsidR="00BF7E57">
        <w:rPr>
          <w:bCs/>
          <w:lang w:val="fr-FR"/>
        </w:rPr>
        <w:t xml:space="preserve">écrit, car les </w:t>
      </w:r>
      <w:r w:rsidR="00BF7E57" w:rsidRPr="00BF7E57">
        <w:rPr>
          <w:bCs/>
          <w:lang w:val="fr-FR"/>
        </w:rPr>
        <w:t>amendemen</w:t>
      </w:r>
      <w:r w:rsidR="00BF7E57">
        <w:rPr>
          <w:bCs/>
          <w:lang w:val="fr-FR"/>
        </w:rPr>
        <w:t xml:space="preserve">ts proposés étaient actuellement affichés sous la forme de deux </w:t>
      </w:r>
      <w:r w:rsidR="00BF7E57" w:rsidRPr="00BF7E57">
        <w:rPr>
          <w:bCs/>
          <w:lang w:val="fr-FR"/>
        </w:rPr>
        <w:t>paragraph</w:t>
      </w:r>
      <w:r w:rsidR="00BF7E57">
        <w:rPr>
          <w:bCs/>
          <w:lang w:val="fr-FR"/>
        </w:rPr>
        <w:t>es distincts.</w:t>
      </w:r>
    </w:p>
    <w:p w14:paraId="26DA3DB6" w14:textId="23F7D843" w:rsidR="00BF7E57" w:rsidRDefault="00BF7E57" w:rsidP="00E74709">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convenu que l</w:t>
      </w:r>
      <w:r w:rsidR="00923E72">
        <w:rPr>
          <w:bCs/>
          <w:lang w:val="fr-FR"/>
        </w:rPr>
        <w:t>’</w:t>
      </w:r>
      <w:r w:rsidRPr="00BF7E57">
        <w:rPr>
          <w:bCs/>
          <w:lang w:val="fr-FR"/>
        </w:rPr>
        <w:t>amendement</w:t>
      </w:r>
      <w:r>
        <w:rPr>
          <w:bCs/>
          <w:lang w:val="fr-FR"/>
        </w:rPr>
        <w:t xml:space="preserve"> de la Tchéquie ne devait pas apparaître sous la forme d</w:t>
      </w:r>
      <w:r w:rsidR="00923E72">
        <w:rPr>
          <w:bCs/>
          <w:lang w:val="fr-FR"/>
        </w:rPr>
        <w:t>’</w:t>
      </w:r>
      <w:r>
        <w:rPr>
          <w:bCs/>
          <w:lang w:val="fr-FR"/>
        </w:rPr>
        <w:t xml:space="preserve">un nouveau </w:t>
      </w:r>
      <w:r w:rsidRPr="00BF7E57">
        <w:rPr>
          <w:bCs/>
          <w:lang w:val="fr-FR"/>
        </w:rPr>
        <w:t>paragraphe</w:t>
      </w:r>
      <w:r w:rsidR="008F5CA2">
        <w:rPr>
          <w:bCs/>
          <w:lang w:val="fr-FR"/>
        </w:rPr>
        <w:t> </w:t>
      </w:r>
      <w:r>
        <w:rPr>
          <w:bCs/>
          <w:lang w:val="fr-FR"/>
        </w:rPr>
        <w:t xml:space="preserve">14, remarquant que le Paraguay exprimait son soutien à la </w:t>
      </w:r>
      <w:r w:rsidRPr="00BF7E57">
        <w:rPr>
          <w:bCs/>
          <w:lang w:val="fr-FR"/>
        </w:rPr>
        <w:t>proposition</w:t>
      </w:r>
      <w:r>
        <w:rPr>
          <w:bCs/>
          <w:lang w:val="fr-FR"/>
        </w:rPr>
        <w:t xml:space="preserve"> initiale du Brésil.</w:t>
      </w:r>
    </w:p>
    <w:p w14:paraId="307B0512" w14:textId="57A212A7" w:rsidR="00BF7E57" w:rsidRDefault="00BF7E57" w:rsidP="00E74709">
      <w:pPr>
        <w:pStyle w:val="Orateurengris"/>
        <w:numPr>
          <w:ilvl w:val="0"/>
          <w:numId w:val="20"/>
        </w:numPr>
        <w:tabs>
          <w:tab w:val="clear" w:pos="567"/>
        </w:tabs>
        <w:spacing w:before="120"/>
        <w:ind w:left="709" w:hanging="709"/>
        <w:rPr>
          <w:bCs/>
          <w:lang w:val="fr-FR"/>
        </w:rPr>
      </w:pPr>
      <w:r w:rsidRPr="00BF7E57">
        <w:rPr>
          <w:bCs/>
          <w:lang w:val="fr-FR"/>
        </w:rPr>
        <w:t xml:space="preserve">La délégation de la </w:t>
      </w:r>
      <w:r w:rsidRPr="00702497">
        <w:rPr>
          <w:b/>
          <w:lang w:val="fr-FR"/>
        </w:rPr>
        <w:t>Malaisie</w:t>
      </w:r>
      <w:r w:rsidRPr="00BF7E57">
        <w:rPr>
          <w:bCs/>
          <w:lang w:val="fr-FR"/>
        </w:rPr>
        <w:t xml:space="preserve"> a demandé des précisions sur la proposition du Brésil, notant que l</w:t>
      </w:r>
      <w:r w:rsidR="00923E72">
        <w:rPr>
          <w:bCs/>
          <w:lang w:val="fr-FR"/>
        </w:rPr>
        <w:t>’</w:t>
      </w:r>
      <w:r w:rsidRPr="00BF7E57">
        <w:rPr>
          <w:bCs/>
          <w:lang w:val="fr-FR"/>
        </w:rPr>
        <w:t>amendement visait à fournir des informations plus détaillées sur la portée des critères d</w:t>
      </w:r>
      <w:r w:rsidR="00923E72">
        <w:rPr>
          <w:bCs/>
          <w:lang w:val="fr-FR"/>
        </w:rPr>
        <w:t>’</w:t>
      </w:r>
      <w:r w:rsidRPr="00BF7E57">
        <w:rPr>
          <w:bCs/>
          <w:lang w:val="fr-FR"/>
        </w:rPr>
        <w:t>inscription par rapport à l</w:t>
      </w:r>
      <w:r w:rsidR="00923E72">
        <w:rPr>
          <w:bCs/>
          <w:lang w:val="fr-FR"/>
        </w:rPr>
        <w:t>’</w:t>
      </w:r>
      <w:r w:rsidRPr="00BF7E57">
        <w:rPr>
          <w:bCs/>
          <w:lang w:val="fr-FR"/>
        </w:rPr>
        <w:t>amendement proposé par la Tchéquie. La délégation estimait qu</w:t>
      </w:r>
      <w:r w:rsidR="00923E72">
        <w:rPr>
          <w:bCs/>
          <w:lang w:val="fr-FR"/>
        </w:rPr>
        <w:t>’</w:t>
      </w:r>
      <w:r w:rsidRPr="00BF7E57">
        <w:rPr>
          <w:bCs/>
          <w:lang w:val="fr-FR"/>
        </w:rPr>
        <w:t>il y avait une différence de sens dans les propositions du Brésil et de la Tchéquie sur la portée et la nature des inscriptions, respectivement, et a demandé aux membres d</w:t>
      </w:r>
      <w:r w:rsidR="00923E72">
        <w:rPr>
          <w:bCs/>
          <w:lang w:val="fr-FR"/>
        </w:rPr>
        <w:t>’</w:t>
      </w:r>
      <w:r w:rsidRPr="00BF7E57">
        <w:rPr>
          <w:bCs/>
          <w:lang w:val="fr-FR"/>
        </w:rPr>
        <w:t>apporter des précisions.</w:t>
      </w:r>
    </w:p>
    <w:p w14:paraId="7350755E" w14:textId="7FB279DD" w:rsidR="00BF7E57" w:rsidRDefault="00BF7E57" w:rsidP="00E74709">
      <w:pPr>
        <w:pStyle w:val="Orateurengris"/>
        <w:numPr>
          <w:ilvl w:val="0"/>
          <w:numId w:val="20"/>
        </w:numPr>
        <w:tabs>
          <w:tab w:val="clear" w:pos="567"/>
        </w:tabs>
        <w:spacing w:before="120"/>
        <w:ind w:left="709" w:hanging="709"/>
        <w:rPr>
          <w:bCs/>
          <w:lang w:val="fr-FR"/>
        </w:rPr>
      </w:pPr>
      <w:r w:rsidRPr="00BF7E57">
        <w:rPr>
          <w:bCs/>
          <w:lang w:val="fr-FR"/>
        </w:rPr>
        <w:t xml:space="preserve">La délégation de la </w:t>
      </w:r>
      <w:r w:rsidRPr="00702497">
        <w:rPr>
          <w:b/>
          <w:lang w:val="fr-FR"/>
        </w:rPr>
        <w:t>Tchéquie</w:t>
      </w:r>
      <w:r w:rsidRPr="00BF7E57">
        <w:rPr>
          <w:bCs/>
          <w:lang w:val="fr-FR"/>
        </w:rPr>
        <w:t xml:space="preserve"> a expliqué que, de son point de vue, la </w:t>
      </w:r>
      <w:r>
        <w:rPr>
          <w:bCs/>
          <w:lang w:val="fr-FR"/>
        </w:rPr>
        <w:t>« </w:t>
      </w:r>
      <w:r w:rsidRPr="00BF7E57">
        <w:rPr>
          <w:bCs/>
          <w:lang w:val="fr-FR"/>
        </w:rPr>
        <w:t>portée</w:t>
      </w:r>
      <w:r>
        <w:rPr>
          <w:bCs/>
          <w:lang w:val="fr-FR"/>
        </w:rPr>
        <w:t> »</w:t>
      </w:r>
      <w:r w:rsidRPr="00BF7E57">
        <w:rPr>
          <w:bCs/>
          <w:lang w:val="fr-FR"/>
        </w:rPr>
        <w:t xml:space="preserve"> se référait aux limites du critère et à leur </w:t>
      </w:r>
      <w:r w:rsidR="008C03E8">
        <w:rPr>
          <w:bCs/>
          <w:lang w:val="fr-FR"/>
        </w:rPr>
        <w:t xml:space="preserve">implication </w:t>
      </w:r>
      <w:r w:rsidRPr="00BF7E57">
        <w:rPr>
          <w:bCs/>
          <w:lang w:val="fr-FR"/>
        </w:rPr>
        <w:t xml:space="preserve">dans le cadre du critère, tandis que la </w:t>
      </w:r>
      <w:r>
        <w:rPr>
          <w:bCs/>
          <w:lang w:val="fr-FR"/>
        </w:rPr>
        <w:t>« </w:t>
      </w:r>
      <w:r w:rsidRPr="00BF7E57">
        <w:rPr>
          <w:bCs/>
          <w:lang w:val="fr-FR"/>
        </w:rPr>
        <w:t>nature</w:t>
      </w:r>
      <w:r>
        <w:rPr>
          <w:bCs/>
          <w:lang w:val="fr-FR"/>
        </w:rPr>
        <w:t> »</w:t>
      </w:r>
      <w:r w:rsidRPr="00BF7E57">
        <w:rPr>
          <w:bCs/>
          <w:lang w:val="fr-FR"/>
        </w:rPr>
        <w:t xml:space="preserve"> se référait à la caractérisation du critère, c</w:t>
      </w:r>
      <w:r w:rsidR="00923E72">
        <w:rPr>
          <w:bCs/>
          <w:lang w:val="fr-FR"/>
        </w:rPr>
        <w:t>’</w:t>
      </w:r>
      <w:r w:rsidRPr="00BF7E57">
        <w:rPr>
          <w:bCs/>
          <w:lang w:val="fr-FR"/>
        </w:rPr>
        <w:t>est-à-dire à ce que le Comité souhaitait voir et réaliser. La délégation ne souhaitait pas créer de confusion et pouvait retirer son amendement.</w:t>
      </w:r>
    </w:p>
    <w:p w14:paraId="6DCAE284" w14:textId="7CFA1462" w:rsidR="00BF7E57" w:rsidRDefault="00BF7E57" w:rsidP="00E74709">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remercié la Tchéquie pour sa flexibilité et a invité le Brésil à s</w:t>
      </w:r>
      <w:r w:rsidR="00923E72">
        <w:rPr>
          <w:bCs/>
          <w:lang w:val="fr-FR"/>
        </w:rPr>
        <w:t>’</w:t>
      </w:r>
      <w:r>
        <w:rPr>
          <w:bCs/>
          <w:lang w:val="fr-FR"/>
        </w:rPr>
        <w:t>expliquer.</w:t>
      </w:r>
    </w:p>
    <w:p w14:paraId="69335A5D" w14:textId="20ECF29B" w:rsidR="00BF7E57" w:rsidRDefault="009C1091" w:rsidP="00E74709">
      <w:pPr>
        <w:pStyle w:val="Orateurengris"/>
        <w:numPr>
          <w:ilvl w:val="0"/>
          <w:numId w:val="20"/>
        </w:numPr>
        <w:tabs>
          <w:tab w:val="clear" w:pos="567"/>
        </w:tabs>
        <w:spacing w:before="120"/>
        <w:ind w:left="709" w:hanging="709"/>
        <w:rPr>
          <w:bCs/>
          <w:lang w:val="fr-FR"/>
        </w:rPr>
      </w:pPr>
      <w:r>
        <w:rPr>
          <w:bCs/>
          <w:lang w:val="fr-FR"/>
        </w:rPr>
        <w:lastRenderedPageBreak/>
        <w:t xml:space="preserve">La </w:t>
      </w:r>
      <w:r w:rsidRPr="009C1091">
        <w:rPr>
          <w:bCs/>
          <w:lang w:val="fr-FR"/>
        </w:rPr>
        <w:t>délégation</w:t>
      </w:r>
      <w:r>
        <w:rPr>
          <w:bCs/>
          <w:lang w:val="fr-FR"/>
        </w:rPr>
        <w:t xml:space="preserve"> du </w:t>
      </w:r>
      <w:r w:rsidRPr="00702497">
        <w:rPr>
          <w:b/>
          <w:lang w:val="fr-FR"/>
        </w:rPr>
        <w:t>Brésil</w:t>
      </w:r>
      <w:r>
        <w:rPr>
          <w:bCs/>
          <w:lang w:val="fr-FR"/>
        </w:rPr>
        <w:t xml:space="preserve"> a expliqué que la « portée » des critères correspondait aux limites des critères alors que la « nature » faisait référence à l</w:t>
      </w:r>
      <w:r w:rsidR="00923E72">
        <w:rPr>
          <w:bCs/>
          <w:lang w:val="fr-FR"/>
        </w:rPr>
        <w:t>’</w:t>
      </w:r>
      <w:r>
        <w:rPr>
          <w:bCs/>
          <w:lang w:val="fr-FR"/>
        </w:rPr>
        <w:t>essence des critères.</w:t>
      </w:r>
    </w:p>
    <w:p w14:paraId="4947EE39" w14:textId="202E4CE4" w:rsidR="009C1091" w:rsidRDefault="009C1091" w:rsidP="00E74709">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indiqué que le Paraguay exprimait son soutien à la première partie du </w:t>
      </w:r>
      <w:r w:rsidRPr="009C1091">
        <w:rPr>
          <w:bCs/>
          <w:lang w:val="fr-FR"/>
        </w:rPr>
        <w:t>paragraphe</w:t>
      </w:r>
      <w:r>
        <w:rPr>
          <w:bCs/>
          <w:lang w:val="fr-FR"/>
        </w:rPr>
        <w:t xml:space="preserve"> telle que présentée par le Brésil. La Tchéquie avait présenté une </w:t>
      </w:r>
      <w:r w:rsidRPr="009C1091">
        <w:rPr>
          <w:bCs/>
          <w:lang w:val="fr-FR"/>
        </w:rPr>
        <w:t>proposition</w:t>
      </w:r>
      <w:r>
        <w:rPr>
          <w:bCs/>
          <w:lang w:val="fr-FR"/>
        </w:rPr>
        <w:t>, mais elle restait flexible.</w:t>
      </w:r>
    </w:p>
    <w:p w14:paraId="374D81D2" w14:textId="183680E3" w:rsidR="009C1091" w:rsidRDefault="009C1091" w:rsidP="00E74709">
      <w:pPr>
        <w:pStyle w:val="Orateurengris"/>
        <w:numPr>
          <w:ilvl w:val="0"/>
          <w:numId w:val="20"/>
        </w:numPr>
        <w:tabs>
          <w:tab w:val="clear" w:pos="567"/>
        </w:tabs>
        <w:spacing w:before="120"/>
        <w:ind w:left="709" w:hanging="709"/>
        <w:rPr>
          <w:bCs/>
          <w:lang w:val="fr-FR"/>
        </w:rPr>
      </w:pPr>
      <w:r>
        <w:rPr>
          <w:bCs/>
          <w:lang w:val="fr-FR"/>
        </w:rPr>
        <w:t xml:space="preserve">La </w:t>
      </w:r>
      <w:r w:rsidRPr="009C1091">
        <w:rPr>
          <w:bCs/>
          <w:lang w:val="fr-FR"/>
        </w:rPr>
        <w:t>délégation</w:t>
      </w:r>
      <w:r>
        <w:rPr>
          <w:bCs/>
          <w:lang w:val="fr-FR"/>
        </w:rPr>
        <w:t xml:space="preserve"> du </w:t>
      </w:r>
      <w:r w:rsidRPr="00702497">
        <w:rPr>
          <w:b/>
          <w:lang w:val="fr-FR"/>
        </w:rPr>
        <w:t>Burkina Faso</w:t>
      </w:r>
      <w:r>
        <w:rPr>
          <w:bCs/>
          <w:lang w:val="fr-FR"/>
        </w:rPr>
        <w:t xml:space="preserve"> avait le sentiment que la première </w:t>
      </w:r>
      <w:r w:rsidRPr="009C1091">
        <w:rPr>
          <w:bCs/>
          <w:lang w:val="fr-FR"/>
        </w:rPr>
        <w:t>proposition</w:t>
      </w:r>
      <w:r>
        <w:rPr>
          <w:bCs/>
          <w:lang w:val="fr-FR"/>
        </w:rPr>
        <w:t xml:space="preserve">, celle du Brésil, était plus facile à comprendre alors que la </w:t>
      </w:r>
      <w:r w:rsidRPr="009C1091">
        <w:rPr>
          <w:bCs/>
          <w:lang w:val="fr-FR"/>
        </w:rPr>
        <w:t>proposition</w:t>
      </w:r>
      <w:r>
        <w:rPr>
          <w:bCs/>
          <w:lang w:val="fr-FR"/>
        </w:rPr>
        <w:t xml:space="preserve"> de la Tchéquie semblait plus compliquée.</w:t>
      </w:r>
    </w:p>
    <w:p w14:paraId="7DFB3F6E" w14:textId="21DE162E" w:rsidR="009B54F9" w:rsidRDefault="00C86094" w:rsidP="00E74709">
      <w:pPr>
        <w:pStyle w:val="Orateurengris"/>
        <w:numPr>
          <w:ilvl w:val="0"/>
          <w:numId w:val="20"/>
        </w:numPr>
        <w:tabs>
          <w:tab w:val="clear" w:pos="567"/>
        </w:tabs>
        <w:spacing w:before="120"/>
        <w:ind w:left="709" w:hanging="709"/>
        <w:rPr>
          <w:bCs/>
          <w:lang w:val="fr-FR"/>
        </w:rPr>
      </w:pPr>
      <w:r w:rsidRPr="00C86094">
        <w:rPr>
          <w:bCs/>
          <w:lang w:val="fr-FR"/>
        </w:rPr>
        <w:t>La délégation de l</w:t>
      </w:r>
      <w:r w:rsidR="00923E72">
        <w:rPr>
          <w:bCs/>
          <w:lang w:val="fr-FR"/>
        </w:rPr>
        <w:t>’</w:t>
      </w:r>
      <w:r w:rsidRPr="00702497">
        <w:rPr>
          <w:b/>
          <w:lang w:val="fr-FR"/>
        </w:rPr>
        <w:t xml:space="preserve">Arabie saoudite </w:t>
      </w:r>
      <w:r w:rsidRPr="00C86094">
        <w:rPr>
          <w:bCs/>
          <w:lang w:val="fr-FR"/>
        </w:rPr>
        <w:t>préconisait l</w:t>
      </w:r>
      <w:r w:rsidR="00923E72">
        <w:rPr>
          <w:bCs/>
          <w:lang w:val="fr-FR"/>
        </w:rPr>
        <w:t>’</w:t>
      </w:r>
      <w:r w:rsidRPr="00C86094">
        <w:rPr>
          <w:bCs/>
          <w:lang w:val="fr-FR"/>
        </w:rPr>
        <w:t xml:space="preserve">approche la plus simple, </w:t>
      </w:r>
      <w:r>
        <w:rPr>
          <w:bCs/>
          <w:lang w:val="fr-FR"/>
        </w:rPr>
        <w:t xml:space="preserve">signalant </w:t>
      </w:r>
      <w:r w:rsidRPr="00C86094">
        <w:rPr>
          <w:bCs/>
          <w:lang w:val="fr-FR"/>
        </w:rPr>
        <w:t>que le paragraphe initial ne mentionnait ni la portée ni la nature</w:t>
      </w:r>
      <w:r w:rsidR="00F0089E">
        <w:rPr>
          <w:bCs/>
          <w:lang w:val="fr-FR"/>
        </w:rPr>
        <w:t>,</w:t>
      </w:r>
      <w:r w:rsidRPr="00C86094">
        <w:rPr>
          <w:bCs/>
          <w:lang w:val="fr-FR"/>
        </w:rPr>
        <w:t xml:space="preserve"> puisqu</w:t>
      </w:r>
      <w:r w:rsidR="00923E72">
        <w:rPr>
          <w:bCs/>
          <w:lang w:val="fr-FR"/>
        </w:rPr>
        <w:t>’</w:t>
      </w:r>
      <w:r w:rsidRPr="00C86094">
        <w:rPr>
          <w:bCs/>
          <w:lang w:val="fr-FR"/>
        </w:rPr>
        <w:t xml:space="preserve">il </w:t>
      </w:r>
      <w:r w:rsidR="00F0089E">
        <w:rPr>
          <w:bCs/>
          <w:lang w:val="fr-FR"/>
        </w:rPr>
        <w:t>abordait</w:t>
      </w:r>
      <w:r w:rsidRPr="00C86094">
        <w:rPr>
          <w:bCs/>
          <w:lang w:val="fr-FR"/>
        </w:rPr>
        <w:t xml:space="preserve"> le manque de connaissance</w:t>
      </w:r>
      <w:r>
        <w:rPr>
          <w:bCs/>
          <w:lang w:val="fr-FR"/>
        </w:rPr>
        <w:t>s</w:t>
      </w:r>
      <w:r w:rsidRPr="00C86094">
        <w:rPr>
          <w:bCs/>
          <w:lang w:val="fr-FR"/>
        </w:rPr>
        <w:t xml:space="preserve"> </w:t>
      </w:r>
      <w:r>
        <w:rPr>
          <w:bCs/>
          <w:lang w:val="fr-FR"/>
        </w:rPr>
        <w:t>sur les</w:t>
      </w:r>
      <w:r w:rsidRPr="00C86094">
        <w:rPr>
          <w:bCs/>
          <w:lang w:val="fr-FR"/>
        </w:rPr>
        <w:t xml:space="preserve"> critères d</w:t>
      </w:r>
      <w:r w:rsidR="00923E72">
        <w:rPr>
          <w:bCs/>
          <w:lang w:val="fr-FR"/>
        </w:rPr>
        <w:t>’</w:t>
      </w:r>
      <w:r w:rsidRPr="00C86094">
        <w:rPr>
          <w:bCs/>
          <w:lang w:val="fr-FR"/>
        </w:rPr>
        <w:t xml:space="preserve">inscription. Ainsi, que le Comité décide de suivre la proposition du Brésil ou de la Tchéquie, les termes </w:t>
      </w:r>
      <w:r>
        <w:rPr>
          <w:bCs/>
          <w:lang w:val="fr-FR"/>
        </w:rPr>
        <w:t>« </w:t>
      </w:r>
      <w:r w:rsidRPr="00C86094">
        <w:rPr>
          <w:bCs/>
          <w:lang w:val="fr-FR"/>
        </w:rPr>
        <w:t>portée</w:t>
      </w:r>
      <w:r>
        <w:rPr>
          <w:bCs/>
          <w:lang w:val="fr-FR"/>
        </w:rPr>
        <w:t> »</w:t>
      </w:r>
      <w:r w:rsidRPr="00C86094">
        <w:rPr>
          <w:bCs/>
          <w:lang w:val="fr-FR"/>
        </w:rPr>
        <w:t xml:space="preserve"> ou </w:t>
      </w:r>
      <w:r>
        <w:rPr>
          <w:bCs/>
          <w:lang w:val="fr-FR"/>
        </w:rPr>
        <w:t>« </w:t>
      </w:r>
      <w:r w:rsidRPr="00C86094">
        <w:rPr>
          <w:bCs/>
          <w:lang w:val="fr-FR"/>
        </w:rPr>
        <w:t>nature</w:t>
      </w:r>
      <w:r>
        <w:rPr>
          <w:bCs/>
          <w:lang w:val="fr-FR"/>
        </w:rPr>
        <w:t> »</w:t>
      </w:r>
      <w:r w:rsidRPr="00C86094">
        <w:rPr>
          <w:bCs/>
          <w:lang w:val="fr-FR"/>
        </w:rPr>
        <w:t xml:space="preserve"> pourraient être supprimés</w:t>
      </w:r>
      <w:r>
        <w:rPr>
          <w:bCs/>
          <w:lang w:val="fr-FR"/>
        </w:rPr>
        <w:t>.</w:t>
      </w:r>
    </w:p>
    <w:p w14:paraId="2D3B1839" w14:textId="5BB6B0B0" w:rsidR="00C86094" w:rsidRDefault="00C86094" w:rsidP="00E74709">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remercié l</w:t>
      </w:r>
      <w:r w:rsidR="00923E72">
        <w:rPr>
          <w:bCs/>
          <w:lang w:val="fr-FR"/>
        </w:rPr>
        <w:t>’</w:t>
      </w:r>
      <w:r>
        <w:rPr>
          <w:bCs/>
          <w:lang w:val="fr-FR"/>
        </w:rPr>
        <w:t>Arabie</w:t>
      </w:r>
      <w:r w:rsidR="00E720E4">
        <w:rPr>
          <w:bCs/>
          <w:lang w:val="fr-FR"/>
        </w:rPr>
        <w:t> </w:t>
      </w:r>
      <w:r>
        <w:rPr>
          <w:bCs/>
          <w:lang w:val="fr-FR"/>
        </w:rPr>
        <w:t xml:space="preserve">saoudite pour sa </w:t>
      </w:r>
      <w:r w:rsidRPr="00C86094">
        <w:rPr>
          <w:bCs/>
          <w:lang w:val="fr-FR"/>
        </w:rPr>
        <w:t>proposition</w:t>
      </w:r>
      <w:r>
        <w:rPr>
          <w:bCs/>
          <w:lang w:val="fr-FR"/>
        </w:rPr>
        <w:t xml:space="preserve"> de supprimer « portée » dans l</w:t>
      </w:r>
      <w:r w:rsidR="00923E72">
        <w:rPr>
          <w:bCs/>
          <w:lang w:val="fr-FR"/>
        </w:rPr>
        <w:t>’</w:t>
      </w:r>
      <w:r w:rsidRPr="00C86094">
        <w:rPr>
          <w:bCs/>
          <w:lang w:val="fr-FR"/>
        </w:rPr>
        <w:t>amendement</w:t>
      </w:r>
      <w:r>
        <w:rPr>
          <w:bCs/>
          <w:lang w:val="fr-FR"/>
        </w:rPr>
        <w:t xml:space="preserve"> du Brésil ou « nature » dans l</w:t>
      </w:r>
      <w:r w:rsidR="00923E72">
        <w:rPr>
          <w:bCs/>
          <w:lang w:val="fr-FR"/>
        </w:rPr>
        <w:t>’</w:t>
      </w:r>
      <w:r w:rsidRPr="00C86094">
        <w:rPr>
          <w:bCs/>
          <w:lang w:val="fr-FR"/>
        </w:rPr>
        <w:t>amendement</w:t>
      </w:r>
      <w:r>
        <w:rPr>
          <w:bCs/>
          <w:lang w:val="fr-FR"/>
        </w:rPr>
        <w:t xml:space="preserve"> de la Tchéquie.</w:t>
      </w:r>
    </w:p>
    <w:p w14:paraId="0D2D3DA4" w14:textId="45A70DC8" w:rsidR="00C86094" w:rsidRDefault="00C86094" w:rsidP="00E74709">
      <w:pPr>
        <w:pStyle w:val="Orateurengris"/>
        <w:numPr>
          <w:ilvl w:val="0"/>
          <w:numId w:val="20"/>
        </w:numPr>
        <w:tabs>
          <w:tab w:val="clear" w:pos="567"/>
        </w:tabs>
        <w:spacing w:before="120"/>
        <w:ind w:left="709" w:hanging="709"/>
        <w:rPr>
          <w:bCs/>
          <w:lang w:val="fr-FR"/>
        </w:rPr>
      </w:pPr>
      <w:r w:rsidRPr="00C86094">
        <w:rPr>
          <w:bCs/>
          <w:lang w:val="fr-FR"/>
        </w:rPr>
        <w:t>La délégation de l</w:t>
      </w:r>
      <w:r w:rsidR="00923E72">
        <w:rPr>
          <w:bCs/>
          <w:lang w:val="fr-FR"/>
        </w:rPr>
        <w:t>’</w:t>
      </w:r>
      <w:r w:rsidRPr="00702497">
        <w:rPr>
          <w:b/>
          <w:lang w:val="fr-FR"/>
        </w:rPr>
        <w:t>Éthiopie</w:t>
      </w:r>
      <w:r w:rsidRPr="00C86094">
        <w:rPr>
          <w:bCs/>
          <w:lang w:val="fr-FR"/>
        </w:rPr>
        <w:t xml:space="preserve"> </w:t>
      </w:r>
      <w:r>
        <w:rPr>
          <w:bCs/>
          <w:lang w:val="fr-FR"/>
        </w:rPr>
        <w:t xml:space="preserve">avait le sentiment </w:t>
      </w:r>
      <w:r w:rsidRPr="00C86094">
        <w:rPr>
          <w:bCs/>
          <w:lang w:val="fr-FR"/>
        </w:rPr>
        <w:t>que l</w:t>
      </w:r>
      <w:r w:rsidR="00923E72">
        <w:rPr>
          <w:bCs/>
          <w:lang w:val="fr-FR"/>
        </w:rPr>
        <w:t>’</w:t>
      </w:r>
      <w:r w:rsidRPr="00C86094">
        <w:rPr>
          <w:bCs/>
          <w:lang w:val="fr-FR"/>
        </w:rPr>
        <w:t xml:space="preserve">amendement du Brésil, faisant référence à la </w:t>
      </w:r>
      <w:r>
        <w:rPr>
          <w:bCs/>
          <w:lang w:val="fr-FR"/>
        </w:rPr>
        <w:t>« </w:t>
      </w:r>
      <w:r w:rsidRPr="00C86094">
        <w:rPr>
          <w:bCs/>
          <w:lang w:val="fr-FR"/>
        </w:rPr>
        <w:t>portée de l</w:t>
      </w:r>
      <w:r w:rsidR="00923E72">
        <w:rPr>
          <w:bCs/>
          <w:lang w:val="fr-FR"/>
        </w:rPr>
        <w:t>’</w:t>
      </w:r>
      <w:r w:rsidRPr="00C86094">
        <w:rPr>
          <w:bCs/>
          <w:lang w:val="fr-FR"/>
        </w:rPr>
        <w:t>inscription</w:t>
      </w:r>
      <w:r>
        <w:rPr>
          <w:bCs/>
          <w:lang w:val="fr-FR"/>
        </w:rPr>
        <w:t> »</w:t>
      </w:r>
      <w:r w:rsidRPr="00C86094">
        <w:rPr>
          <w:bCs/>
          <w:lang w:val="fr-FR"/>
        </w:rPr>
        <w:t xml:space="preserve">, avait </w:t>
      </w:r>
      <w:r>
        <w:rPr>
          <w:bCs/>
          <w:lang w:val="fr-FR"/>
        </w:rPr>
        <w:t xml:space="preserve">du </w:t>
      </w:r>
      <w:r w:rsidRPr="00C86094">
        <w:rPr>
          <w:bCs/>
          <w:lang w:val="fr-FR"/>
        </w:rPr>
        <w:t>sens et était pertinent dans ce contexte</w:t>
      </w:r>
      <w:r>
        <w:rPr>
          <w:bCs/>
          <w:lang w:val="fr-FR"/>
        </w:rPr>
        <w:t>. E</w:t>
      </w:r>
      <w:r w:rsidRPr="00C86094">
        <w:rPr>
          <w:bCs/>
          <w:lang w:val="fr-FR"/>
        </w:rPr>
        <w:t>lle soutenait</w:t>
      </w:r>
      <w:r>
        <w:rPr>
          <w:bCs/>
          <w:lang w:val="fr-FR"/>
        </w:rPr>
        <w:t xml:space="preserve"> donc cet </w:t>
      </w:r>
      <w:r w:rsidRPr="00C86094">
        <w:rPr>
          <w:bCs/>
          <w:lang w:val="fr-FR"/>
        </w:rPr>
        <w:t xml:space="preserve">amendement. La proposition concernant la </w:t>
      </w:r>
      <w:r>
        <w:rPr>
          <w:bCs/>
          <w:lang w:val="fr-FR"/>
        </w:rPr>
        <w:t>« </w:t>
      </w:r>
      <w:r w:rsidRPr="00C86094">
        <w:rPr>
          <w:bCs/>
          <w:lang w:val="fr-FR"/>
        </w:rPr>
        <w:t>nature</w:t>
      </w:r>
      <w:r>
        <w:rPr>
          <w:bCs/>
          <w:lang w:val="fr-FR"/>
        </w:rPr>
        <w:t> »</w:t>
      </w:r>
      <w:r w:rsidRPr="00C86094">
        <w:rPr>
          <w:bCs/>
          <w:lang w:val="fr-FR"/>
        </w:rPr>
        <w:t xml:space="preserve"> compliquait en fait les choses. </w:t>
      </w:r>
      <w:r>
        <w:rPr>
          <w:bCs/>
          <w:lang w:val="fr-FR"/>
        </w:rPr>
        <w:t>L</w:t>
      </w:r>
      <w:r w:rsidR="00923E72">
        <w:rPr>
          <w:bCs/>
          <w:lang w:val="fr-FR"/>
        </w:rPr>
        <w:t>’</w:t>
      </w:r>
      <w:r w:rsidRPr="00C86094">
        <w:rPr>
          <w:bCs/>
          <w:lang w:val="fr-FR"/>
        </w:rPr>
        <w:t xml:space="preserve">amélioration de la </w:t>
      </w:r>
      <w:r>
        <w:rPr>
          <w:bCs/>
          <w:lang w:val="fr-FR"/>
        </w:rPr>
        <w:t>« </w:t>
      </w:r>
      <w:r w:rsidRPr="00C86094">
        <w:rPr>
          <w:bCs/>
          <w:lang w:val="fr-FR"/>
        </w:rPr>
        <w:t>portée des critères d</w:t>
      </w:r>
      <w:r w:rsidR="00923E72">
        <w:rPr>
          <w:bCs/>
          <w:lang w:val="fr-FR"/>
        </w:rPr>
        <w:t>’</w:t>
      </w:r>
      <w:r w:rsidRPr="00C86094">
        <w:rPr>
          <w:bCs/>
          <w:lang w:val="fr-FR"/>
        </w:rPr>
        <w:t>inscription</w:t>
      </w:r>
      <w:r>
        <w:rPr>
          <w:bCs/>
          <w:lang w:val="fr-FR"/>
        </w:rPr>
        <w:t> »</w:t>
      </w:r>
      <w:r w:rsidRPr="00C86094">
        <w:rPr>
          <w:bCs/>
          <w:lang w:val="fr-FR"/>
        </w:rPr>
        <w:t xml:space="preserve"> apport</w:t>
      </w:r>
      <w:r>
        <w:rPr>
          <w:bCs/>
          <w:lang w:val="fr-FR"/>
        </w:rPr>
        <w:t>er</w:t>
      </w:r>
      <w:r w:rsidRPr="00C86094">
        <w:rPr>
          <w:bCs/>
          <w:lang w:val="fr-FR"/>
        </w:rPr>
        <w:t>ait de la clarté et elle souhaitait donc maintenir l</w:t>
      </w:r>
      <w:r w:rsidR="00923E72">
        <w:rPr>
          <w:bCs/>
          <w:lang w:val="fr-FR"/>
        </w:rPr>
        <w:t>’</w:t>
      </w:r>
      <w:r w:rsidRPr="00C86094">
        <w:rPr>
          <w:bCs/>
          <w:lang w:val="fr-FR"/>
        </w:rPr>
        <w:t>amendement du Brésil.</w:t>
      </w:r>
    </w:p>
    <w:p w14:paraId="033BA3F8" w14:textId="0E42E5CD" w:rsidR="00C86094" w:rsidRDefault="00C86094" w:rsidP="00E74709">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remercié l</w:t>
      </w:r>
      <w:r w:rsidR="00923E72">
        <w:rPr>
          <w:bCs/>
          <w:lang w:val="fr-FR"/>
        </w:rPr>
        <w:t>’</w:t>
      </w:r>
      <w:r>
        <w:rPr>
          <w:bCs/>
          <w:lang w:val="fr-FR"/>
        </w:rPr>
        <w:t xml:space="preserve">Éthiopie et a signalé une tendance en faveur de la </w:t>
      </w:r>
      <w:r w:rsidRPr="00C86094">
        <w:rPr>
          <w:bCs/>
          <w:lang w:val="fr-FR"/>
        </w:rPr>
        <w:t>proposition</w:t>
      </w:r>
      <w:r>
        <w:rPr>
          <w:bCs/>
          <w:lang w:val="fr-FR"/>
        </w:rPr>
        <w:t xml:space="preserve"> </w:t>
      </w:r>
      <w:r w:rsidRPr="00C86094">
        <w:rPr>
          <w:bCs/>
          <w:lang w:val="fr-FR"/>
        </w:rPr>
        <w:t>initia</w:t>
      </w:r>
      <w:r>
        <w:rPr>
          <w:bCs/>
          <w:lang w:val="fr-FR"/>
        </w:rPr>
        <w:t>lement soumise par le Brésil. Elle s</w:t>
      </w:r>
      <w:r w:rsidR="00923E72">
        <w:rPr>
          <w:bCs/>
          <w:lang w:val="fr-FR"/>
        </w:rPr>
        <w:t>’</w:t>
      </w:r>
      <w:r>
        <w:rPr>
          <w:bCs/>
          <w:lang w:val="fr-FR"/>
        </w:rPr>
        <w:t>est tournée vers la Tchéquie pour entendre son point de vue.</w:t>
      </w:r>
    </w:p>
    <w:p w14:paraId="798FB707" w14:textId="0E9F87B1" w:rsidR="00C86094" w:rsidRDefault="00C86094" w:rsidP="00E74709">
      <w:pPr>
        <w:pStyle w:val="Orateurengris"/>
        <w:numPr>
          <w:ilvl w:val="0"/>
          <w:numId w:val="20"/>
        </w:numPr>
        <w:tabs>
          <w:tab w:val="clear" w:pos="567"/>
        </w:tabs>
        <w:spacing w:before="120"/>
        <w:ind w:left="709" w:hanging="709"/>
        <w:rPr>
          <w:bCs/>
          <w:lang w:val="fr-FR"/>
        </w:rPr>
      </w:pPr>
      <w:r>
        <w:rPr>
          <w:bCs/>
          <w:lang w:val="fr-FR"/>
        </w:rPr>
        <w:t xml:space="preserve">La </w:t>
      </w:r>
      <w:r w:rsidRPr="00C86094">
        <w:rPr>
          <w:bCs/>
          <w:lang w:val="fr-FR"/>
        </w:rPr>
        <w:t>délégation</w:t>
      </w:r>
      <w:r>
        <w:rPr>
          <w:bCs/>
          <w:lang w:val="fr-FR"/>
        </w:rPr>
        <w:t xml:space="preserve"> de la </w:t>
      </w:r>
      <w:r w:rsidRPr="00702497">
        <w:rPr>
          <w:b/>
          <w:lang w:val="fr-FR"/>
        </w:rPr>
        <w:t>Tchéquie</w:t>
      </w:r>
      <w:r>
        <w:rPr>
          <w:bCs/>
          <w:lang w:val="fr-FR"/>
        </w:rPr>
        <w:t xml:space="preserve"> a retiré son </w:t>
      </w:r>
      <w:r w:rsidRPr="00C86094">
        <w:rPr>
          <w:bCs/>
          <w:lang w:val="fr-FR"/>
        </w:rPr>
        <w:t>amendement</w:t>
      </w:r>
      <w:r>
        <w:rPr>
          <w:bCs/>
          <w:lang w:val="fr-FR"/>
        </w:rPr>
        <w:t>.</w:t>
      </w:r>
    </w:p>
    <w:p w14:paraId="19254FCB" w14:textId="0FCE8822" w:rsidR="00C86094" w:rsidRDefault="00C86094" w:rsidP="00E74709">
      <w:pPr>
        <w:pStyle w:val="Orateurengris"/>
        <w:numPr>
          <w:ilvl w:val="0"/>
          <w:numId w:val="20"/>
        </w:numPr>
        <w:tabs>
          <w:tab w:val="clear" w:pos="567"/>
        </w:tabs>
        <w:spacing w:before="120"/>
        <w:ind w:left="709" w:hanging="709"/>
        <w:rPr>
          <w:bCs/>
          <w:lang w:val="fr-FR"/>
        </w:rPr>
      </w:pPr>
      <w:r w:rsidRPr="00C86094">
        <w:rPr>
          <w:bCs/>
          <w:lang w:val="fr-FR"/>
        </w:rPr>
        <w:t xml:space="preserve">La </w:t>
      </w:r>
      <w:r w:rsidRPr="00702497">
        <w:rPr>
          <w:b/>
          <w:lang w:val="fr-FR"/>
        </w:rPr>
        <w:t>Vice-Présidente</w:t>
      </w:r>
      <w:r w:rsidRPr="00C86094">
        <w:rPr>
          <w:bCs/>
          <w:lang w:val="fr-FR"/>
        </w:rPr>
        <w:t xml:space="preserve"> a remercié la Tchéquie pour sa flexibilité. En l</w:t>
      </w:r>
      <w:r w:rsidR="00923E72">
        <w:rPr>
          <w:bCs/>
          <w:lang w:val="fr-FR"/>
        </w:rPr>
        <w:t>’</w:t>
      </w:r>
      <w:r w:rsidRPr="00C86094">
        <w:rPr>
          <w:bCs/>
          <w:lang w:val="fr-FR"/>
        </w:rPr>
        <w:t>absence d</w:t>
      </w:r>
      <w:r w:rsidR="00923E72">
        <w:rPr>
          <w:bCs/>
          <w:lang w:val="fr-FR"/>
        </w:rPr>
        <w:t>’</w:t>
      </w:r>
      <w:r w:rsidRPr="00C86094">
        <w:rPr>
          <w:bCs/>
          <w:lang w:val="fr-FR"/>
        </w:rPr>
        <w:t>autres commentaires, le paragraphe</w:t>
      </w:r>
      <w:r w:rsidR="008F5CA2">
        <w:rPr>
          <w:bCs/>
          <w:lang w:val="fr-FR"/>
        </w:rPr>
        <w:t> </w:t>
      </w:r>
      <w:r w:rsidRPr="00C86094">
        <w:rPr>
          <w:bCs/>
          <w:lang w:val="fr-FR"/>
        </w:rPr>
        <w:t>13 tel qu</w:t>
      </w:r>
      <w:r w:rsidR="00923E72">
        <w:rPr>
          <w:bCs/>
          <w:lang w:val="fr-FR"/>
        </w:rPr>
        <w:t>’</w:t>
      </w:r>
      <w:r w:rsidRPr="00C86094">
        <w:rPr>
          <w:bCs/>
          <w:lang w:val="fr-FR"/>
        </w:rPr>
        <w:t>amendé par le Brésil a été dûment adopté. Elle est passée au paragraphe</w:t>
      </w:r>
      <w:r w:rsidR="008F5CA2">
        <w:rPr>
          <w:bCs/>
          <w:lang w:val="fr-FR"/>
        </w:rPr>
        <w:t> </w:t>
      </w:r>
      <w:r w:rsidRPr="00C86094">
        <w:rPr>
          <w:bCs/>
          <w:lang w:val="fr-FR"/>
        </w:rPr>
        <w:t>13bis initialement proposé par la Suède et soutenu par la Tchéquie, l</w:t>
      </w:r>
      <w:r w:rsidR="00923E72">
        <w:rPr>
          <w:bCs/>
          <w:lang w:val="fr-FR"/>
        </w:rPr>
        <w:t>’</w:t>
      </w:r>
      <w:r w:rsidRPr="00C86094">
        <w:rPr>
          <w:bCs/>
          <w:lang w:val="fr-FR"/>
        </w:rPr>
        <w:t xml:space="preserve">Allemagne, la Slovaquie et la Suisse, qui serait ainsi rédigé : </w:t>
      </w:r>
      <w:r w:rsidR="00AB7D82">
        <w:rPr>
          <w:bCs/>
          <w:lang w:val="fr-FR"/>
        </w:rPr>
        <w:t>« </w:t>
      </w:r>
      <w:r w:rsidRPr="00C86094">
        <w:rPr>
          <w:bCs/>
          <w:lang w:val="fr-FR"/>
        </w:rPr>
        <w:t xml:space="preserve">Demande au Secrétariat de préparer une proposition </w:t>
      </w:r>
      <w:r w:rsidR="00AB7D82">
        <w:rPr>
          <w:bCs/>
          <w:lang w:val="fr-FR"/>
        </w:rPr>
        <w:t>pour le</w:t>
      </w:r>
      <w:r w:rsidRPr="00C86094">
        <w:rPr>
          <w:bCs/>
          <w:lang w:val="fr-FR"/>
        </w:rPr>
        <w:t xml:space="preserve"> 18.COM pour des </w:t>
      </w:r>
      <w:r w:rsidR="00AB7D82" w:rsidRPr="00AB7D82">
        <w:rPr>
          <w:bCs/>
          <w:lang w:val="fr-FR"/>
        </w:rPr>
        <w:t>modificatio</w:t>
      </w:r>
      <w:r w:rsidR="00AB7D82">
        <w:rPr>
          <w:bCs/>
          <w:lang w:val="fr-FR"/>
        </w:rPr>
        <w:t xml:space="preserve">ns </w:t>
      </w:r>
      <w:r w:rsidRPr="00C86094">
        <w:rPr>
          <w:bCs/>
          <w:lang w:val="fr-FR"/>
        </w:rPr>
        <w:t xml:space="preserve">aux Directives opérationnelles afin de permettre aux États membres </w:t>
      </w:r>
      <w:r w:rsidR="00AB7D82">
        <w:rPr>
          <w:bCs/>
          <w:lang w:val="fr-FR"/>
        </w:rPr>
        <w:t>n</w:t>
      </w:r>
      <w:r w:rsidR="00923E72">
        <w:rPr>
          <w:bCs/>
          <w:lang w:val="fr-FR"/>
        </w:rPr>
        <w:t>’</w:t>
      </w:r>
      <w:r w:rsidR="00AB7D82">
        <w:rPr>
          <w:bCs/>
          <w:lang w:val="fr-FR"/>
        </w:rPr>
        <w:t xml:space="preserve">ayant </w:t>
      </w:r>
      <w:r w:rsidRPr="00C86094">
        <w:rPr>
          <w:bCs/>
          <w:lang w:val="fr-FR"/>
        </w:rPr>
        <w:t>pas d</w:t>
      </w:r>
      <w:r w:rsidR="00923E72">
        <w:rPr>
          <w:bCs/>
          <w:lang w:val="fr-FR"/>
        </w:rPr>
        <w:t>’</w:t>
      </w:r>
      <w:r w:rsidRPr="00C86094">
        <w:rPr>
          <w:bCs/>
          <w:lang w:val="fr-FR"/>
        </w:rPr>
        <w:t>éléments précédemment inscrits sur la Liste représentative du patrimoine culturel immatériel de l</w:t>
      </w:r>
      <w:r w:rsidR="00923E72">
        <w:rPr>
          <w:bCs/>
          <w:lang w:val="fr-FR"/>
        </w:rPr>
        <w:t>’</w:t>
      </w:r>
      <w:r w:rsidRPr="00C86094">
        <w:rPr>
          <w:bCs/>
          <w:lang w:val="fr-FR"/>
        </w:rPr>
        <w:t xml:space="preserve">humanité de demander </w:t>
      </w:r>
      <w:r w:rsidR="00AB7D82">
        <w:rPr>
          <w:bCs/>
          <w:lang w:val="fr-FR"/>
        </w:rPr>
        <w:t xml:space="preserve">une </w:t>
      </w:r>
      <w:r w:rsidRPr="00C86094">
        <w:rPr>
          <w:bCs/>
          <w:lang w:val="fr-FR"/>
        </w:rPr>
        <w:t>assistance internationale pour la préparation de leur première candidature sur cette Liste</w:t>
      </w:r>
      <w:r w:rsidR="00AB7D82">
        <w:rPr>
          <w:bCs/>
          <w:lang w:val="fr-FR"/>
        </w:rPr>
        <w:t> »</w:t>
      </w:r>
      <w:r w:rsidRPr="00C86094">
        <w:rPr>
          <w:bCs/>
          <w:lang w:val="fr-FR"/>
        </w:rPr>
        <w:t>. En l</w:t>
      </w:r>
      <w:r w:rsidR="00923E72">
        <w:rPr>
          <w:bCs/>
          <w:lang w:val="fr-FR"/>
        </w:rPr>
        <w:t>’</w:t>
      </w:r>
      <w:r w:rsidRPr="00C86094">
        <w:rPr>
          <w:bCs/>
          <w:lang w:val="fr-FR"/>
        </w:rPr>
        <w:t>absence de commentaires ou d</w:t>
      </w:r>
      <w:r w:rsidR="00923E72">
        <w:rPr>
          <w:bCs/>
          <w:lang w:val="fr-FR"/>
        </w:rPr>
        <w:t>’</w:t>
      </w:r>
      <w:r w:rsidRPr="00C86094">
        <w:rPr>
          <w:bCs/>
          <w:lang w:val="fr-FR"/>
        </w:rPr>
        <w:t>objections, le paragraphe</w:t>
      </w:r>
      <w:r w:rsidR="008F5CA2">
        <w:rPr>
          <w:bCs/>
          <w:lang w:val="fr-FR"/>
        </w:rPr>
        <w:t> </w:t>
      </w:r>
      <w:r w:rsidRPr="00C86094">
        <w:rPr>
          <w:bCs/>
          <w:lang w:val="fr-FR"/>
        </w:rPr>
        <w:t>13bis est devenu le paragraphe</w:t>
      </w:r>
      <w:r w:rsidR="008F5CA2">
        <w:rPr>
          <w:bCs/>
          <w:lang w:val="fr-FR"/>
        </w:rPr>
        <w:t> </w:t>
      </w:r>
      <w:r w:rsidRPr="00C86094">
        <w:rPr>
          <w:bCs/>
          <w:lang w:val="fr-FR"/>
        </w:rPr>
        <w:t>14 et a été dûment adopté. En l</w:t>
      </w:r>
      <w:r w:rsidR="00923E72">
        <w:rPr>
          <w:bCs/>
          <w:lang w:val="fr-FR"/>
        </w:rPr>
        <w:t>’</w:t>
      </w:r>
      <w:r w:rsidRPr="00C86094">
        <w:rPr>
          <w:bCs/>
          <w:lang w:val="fr-FR"/>
        </w:rPr>
        <w:t>absence d</w:t>
      </w:r>
      <w:r w:rsidR="00923E72">
        <w:rPr>
          <w:bCs/>
          <w:lang w:val="fr-FR"/>
        </w:rPr>
        <w:t>’</w:t>
      </w:r>
      <w:r w:rsidRPr="00C86094">
        <w:rPr>
          <w:bCs/>
          <w:lang w:val="fr-FR"/>
        </w:rPr>
        <w:t>objections, les paragraphes</w:t>
      </w:r>
      <w:r w:rsidR="008F5CA2">
        <w:rPr>
          <w:bCs/>
          <w:lang w:val="fr-FR"/>
        </w:rPr>
        <w:t> </w:t>
      </w:r>
      <w:r w:rsidRPr="00C86094">
        <w:rPr>
          <w:bCs/>
          <w:lang w:val="fr-FR"/>
        </w:rPr>
        <w:t>15 et</w:t>
      </w:r>
      <w:r w:rsidR="008F5CA2">
        <w:rPr>
          <w:bCs/>
          <w:lang w:val="fr-FR"/>
        </w:rPr>
        <w:t> </w:t>
      </w:r>
      <w:r w:rsidRPr="00C86094">
        <w:rPr>
          <w:bCs/>
          <w:lang w:val="fr-FR"/>
        </w:rPr>
        <w:t>16 ont également été adoptés.</w:t>
      </w:r>
    </w:p>
    <w:p w14:paraId="3C8BC239" w14:textId="6EAF90B2" w:rsidR="00AB7D82" w:rsidRDefault="00AB7D82" w:rsidP="00E74709">
      <w:pPr>
        <w:pStyle w:val="Orateurengris"/>
        <w:numPr>
          <w:ilvl w:val="0"/>
          <w:numId w:val="20"/>
        </w:numPr>
        <w:tabs>
          <w:tab w:val="clear" w:pos="567"/>
        </w:tabs>
        <w:spacing w:before="120"/>
        <w:ind w:left="709" w:hanging="709"/>
        <w:rPr>
          <w:bCs/>
          <w:lang w:val="fr-FR"/>
        </w:rPr>
      </w:pPr>
      <w:r w:rsidRPr="00AB7D82">
        <w:rPr>
          <w:bCs/>
          <w:lang w:val="fr-FR"/>
        </w:rPr>
        <w:t xml:space="preserve">La délégation du </w:t>
      </w:r>
      <w:r w:rsidRPr="00702497">
        <w:rPr>
          <w:b/>
          <w:lang w:val="fr-FR"/>
        </w:rPr>
        <w:t>Panama</w:t>
      </w:r>
      <w:r w:rsidRPr="00AB7D82">
        <w:rPr>
          <w:bCs/>
          <w:lang w:val="fr-FR"/>
        </w:rPr>
        <w:t xml:space="preserve"> a constaté une divergence avec le paragraphe tel qu</w:t>
      </w:r>
      <w:r w:rsidR="00923E72">
        <w:rPr>
          <w:bCs/>
          <w:lang w:val="fr-FR"/>
        </w:rPr>
        <w:t>’</w:t>
      </w:r>
      <w:r w:rsidRPr="00AB7D82">
        <w:rPr>
          <w:bCs/>
          <w:lang w:val="fr-FR"/>
        </w:rPr>
        <w:t xml:space="preserve">il </w:t>
      </w:r>
      <w:r>
        <w:rPr>
          <w:bCs/>
          <w:lang w:val="fr-FR"/>
        </w:rPr>
        <w:t>venait d</w:t>
      </w:r>
      <w:r w:rsidR="00923E72">
        <w:rPr>
          <w:bCs/>
          <w:lang w:val="fr-FR"/>
        </w:rPr>
        <w:t>’</w:t>
      </w:r>
      <w:r>
        <w:rPr>
          <w:bCs/>
          <w:lang w:val="fr-FR"/>
        </w:rPr>
        <w:t xml:space="preserve">être </w:t>
      </w:r>
      <w:r w:rsidRPr="00AB7D82">
        <w:rPr>
          <w:bCs/>
          <w:lang w:val="fr-FR"/>
        </w:rPr>
        <w:t>lu.</w:t>
      </w:r>
    </w:p>
    <w:p w14:paraId="07EF518B" w14:textId="604EF466" w:rsidR="00AB7D82" w:rsidRDefault="00AB7D82" w:rsidP="00E74709">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expliqué qu</w:t>
      </w:r>
      <w:r w:rsidR="00923E72">
        <w:rPr>
          <w:bCs/>
          <w:lang w:val="fr-FR"/>
        </w:rPr>
        <w:t>’</w:t>
      </w:r>
      <w:r>
        <w:rPr>
          <w:bCs/>
          <w:lang w:val="fr-FR"/>
        </w:rPr>
        <w:t xml:space="preserve">elle résumait les </w:t>
      </w:r>
      <w:r w:rsidRPr="00AB7D82">
        <w:rPr>
          <w:bCs/>
          <w:lang w:val="fr-FR"/>
        </w:rPr>
        <w:t>paragraph</w:t>
      </w:r>
      <w:r>
        <w:rPr>
          <w:bCs/>
          <w:lang w:val="fr-FR"/>
        </w:rPr>
        <w:t>es.</w:t>
      </w:r>
    </w:p>
    <w:p w14:paraId="14F745BE" w14:textId="72374077" w:rsidR="00AB7D82" w:rsidRDefault="00957F63" w:rsidP="00AB7D82">
      <w:pPr>
        <w:pStyle w:val="Orateurengris"/>
        <w:numPr>
          <w:ilvl w:val="0"/>
          <w:numId w:val="20"/>
        </w:numPr>
        <w:tabs>
          <w:tab w:val="clear" w:pos="567"/>
        </w:tabs>
        <w:spacing w:before="120"/>
        <w:ind w:left="709" w:hanging="709"/>
        <w:rPr>
          <w:bCs/>
          <w:lang w:val="fr-FR"/>
        </w:rPr>
      </w:pPr>
      <w:r>
        <w:rPr>
          <w:bCs/>
          <w:lang w:val="fr-FR"/>
        </w:rPr>
        <w:t xml:space="preserve">Afin de gagner du </w:t>
      </w:r>
      <w:r w:rsidR="00AB7D82">
        <w:rPr>
          <w:bCs/>
          <w:lang w:val="fr-FR"/>
        </w:rPr>
        <w:t xml:space="preserve">temps, la </w:t>
      </w:r>
      <w:r w:rsidR="00AB7D82" w:rsidRPr="00AB7D82">
        <w:rPr>
          <w:bCs/>
          <w:lang w:val="fr-FR"/>
        </w:rPr>
        <w:t>délégation</w:t>
      </w:r>
      <w:r w:rsidR="00AB7D82">
        <w:rPr>
          <w:bCs/>
          <w:lang w:val="fr-FR"/>
        </w:rPr>
        <w:t xml:space="preserve"> de l</w:t>
      </w:r>
      <w:r w:rsidR="00923E72">
        <w:rPr>
          <w:bCs/>
          <w:lang w:val="fr-FR"/>
        </w:rPr>
        <w:t>’</w:t>
      </w:r>
      <w:r w:rsidR="00AB7D82" w:rsidRPr="00702497">
        <w:rPr>
          <w:b/>
          <w:lang w:val="fr-FR"/>
        </w:rPr>
        <w:t>Arabie</w:t>
      </w:r>
      <w:r w:rsidR="00AB7D82">
        <w:rPr>
          <w:b/>
          <w:lang w:val="fr-FR"/>
        </w:rPr>
        <w:t> </w:t>
      </w:r>
      <w:r w:rsidR="00AB7D82" w:rsidRPr="00702497">
        <w:rPr>
          <w:b/>
          <w:lang w:val="fr-FR"/>
        </w:rPr>
        <w:t xml:space="preserve">saoudite </w:t>
      </w:r>
      <w:r w:rsidR="00AB7D82">
        <w:rPr>
          <w:bCs/>
          <w:lang w:val="fr-FR"/>
        </w:rPr>
        <w:t>a proposé d</w:t>
      </w:r>
      <w:r w:rsidR="00923E72">
        <w:rPr>
          <w:bCs/>
          <w:lang w:val="fr-FR"/>
        </w:rPr>
        <w:t>’</w:t>
      </w:r>
      <w:r w:rsidR="00AB7D82">
        <w:rPr>
          <w:bCs/>
          <w:lang w:val="fr-FR"/>
        </w:rPr>
        <w:t xml:space="preserve">adopter les </w:t>
      </w:r>
      <w:r w:rsidR="00AB7D82" w:rsidRPr="00AB7D82">
        <w:rPr>
          <w:bCs/>
          <w:lang w:val="fr-FR"/>
        </w:rPr>
        <w:t>paragraph</w:t>
      </w:r>
      <w:r w:rsidR="00AB7D82">
        <w:rPr>
          <w:bCs/>
          <w:lang w:val="fr-FR"/>
        </w:rPr>
        <w:t>es tels qu</w:t>
      </w:r>
      <w:r w:rsidR="00923E72">
        <w:rPr>
          <w:bCs/>
          <w:lang w:val="fr-FR"/>
        </w:rPr>
        <w:t>’</w:t>
      </w:r>
      <w:r w:rsidR="00AB7D82">
        <w:rPr>
          <w:bCs/>
          <w:lang w:val="fr-FR"/>
        </w:rPr>
        <w:t>ils apparaissaient à l</w:t>
      </w:r>
      <w:r w:rsidR="00923E72">
        <w:rPr>
          <w:bCs/>
          <w:lang w:val="fr-FR"/>
        </w:rPr>
        <w:t>’</w:t>
      </w:r>
      <w:r w:rsidR="00AB7D82">
        <w:rPr>
          <w:bCs/>
          <w:lang w:val="fr-FR"/>
        </w:rPr>
        <w:t>écran, car le Comité avait eu le temps de les lire au préalable.</w:t>
      </w:r>
    </w:p>
    <w:p w14:paraId="28CD8920" w14:textId="060690F8" w:rsidR="00AB7D82" w:rsidRDefault="00957F63" w:rsidP="00AB7D82">
      <w:pPr>
        <w:pStyle w:val="Orateurengris"/>
        <w:numPr>
          <w:ilvl w:val="0"/>
          <w:numId w:val="20"/>
        </w:numPr>
        <w:tabs>
          <w:tab w:val="clear" w:pos="567"/>
        </w:tabs>
        <w:spacing w:before="120"/>
        <w:ind w:left="709" w:hanging="709"/>
        <w:rPr>
          <w:lang w:val="fr-FR"/>
        </w:rPr>
      </w:pPr>
      <w:r>
        <w:rPr>
          <w:lang w:val="fr-FR"/>
        </w:rPr>
        <w:t xml:space="preserve">La </w:t>
      </w:r>
      <w:r w:rsidRPr="00702497">
        <w:rPr>
          <w:b/>
          <w:bCs/>
          <w:lang w:val="fr-FR"/>
        </w:rPr>
        <w:t>Vice-Présidente</w:t>
      </w:r>
      <w:r>
        <w:rPr>
          <w:lang w:val="fr-FR"/>
        </w:rPr>
        <w:t xml:space="preserve"> a c</w:t>
      </w:r>
      <w:r w:rsidR="00AB7D82">
        <w:rPr>
          <w:lang w:val="fr-FR"/>
        </w:rPr>
        <w:t>onstat</w:t>
      </w:r>
      <w:r>
        <w:rPr>
          <w:lang w:val="fr-FR"/>
        </w:rPr>
        <w:t>é</w:t>
      </w:r>
      <w:r w:rsidR="00AB7D82">
        <w:rPr>
          <w:lang w:val="fr-FR"/>
        </w:rPr>
        <w:t xml:space="preserve"> qu</w:t>
      </w:r>
      <w:r w:rsidR="00923E72">
        <w:rPr>
          <w:lang w:val="fr-FR"/>
        </w:rPr>
        <w:t>’</w:t>
      </w:r>
      <w:r w:rsidR="00AB7D82">
        <w:rPr>
          <w:lang w:val="fr-FR"/>
        </w:rPr>
        <w:t>il n</w:t>
      </w:r>
      <w:r w:rsidR="00923E72">
        <w:rPr>
          <w:lang w:val="fr-FR"/>
        </w:rPr>
        <w:t>’</w:t>
      </w:r>
      <w:r w:rsidR="00AB7D82">
        <w:rPr>
          <w:lang w:val="fr-FR"/>
        </w:rPr>
        <w:t>y avait pas d</w:t>
      </w:r>
      <w:r w:rsidR="00923E72">
        <w:rPr>
          <w:lang w:val="fr-FR"/>
        </w:rPr>
        <w:t>’</w:t>
      </w:r>
      <w:r w:rsidR="00AB7D82">
        <w:rPr>
          <w:lang w:val="fr-FR"/>
        </w:rPr>
        <w:t xml:space="preserve">objections aux </w:t>
      </w:r>
      <w:r w:rsidR="00AB7D82" w:rsidRPr="00AB7D82">
        <w:rPr>
          <w:lang w:val="fr-FR"/>
        </w:rPr>
        <w:t>paragraph</w:t>
      </w:r>
      <w:r w:rsidR="00AB7D82">
        <w:rPr>
          <w:lang w:val="fr-FR"/>
        </w:rPr>
        <w:t>es 17 et 18</w:t>
      </w:r>
      <w:r>
        <w:rPr>
          <w:lang w:val="fr-FR"/>
        </w:rPr>
        <w:t xml:space="preserve">, qui ont été dûment adoptés. Passant au projet de décision dans son ensemble, la </w:t>
      </w:r>
      <w:r w:rsidRPr="00702497">
        <w:rPr>
          <w:b/>
          <w:bCs/>
          <w:lang w:val="fr-FR"/>
        </w:rPr>
        <w:t>Vice-Présidente a déclaré la décision</w:t>
      </w:r>
      <w:r w:rsidR="00277C4F">
        <w:rPr>
          <w:b/>
          <w:bCs/>
          <w:lang w:val="fr-FR"/>
        </w:rPr>
        <w:t> </w:t>
      </w:r>
      <w:r w:rsidR="00751FB1">
        <w:fldChar w:fldCharType="begin"/>
      </w:r>
      <w:r w:rsidR="00751FB1" w:rsidRPr="00751FB1">
        <w:rPr>
          <w:lang w:val="fr-FR"/>
        </w:rPr>
        <w:instrText>HYPERLINK "https://ich.unesco.org/fr/Decisions/17.COM/7"</w:instrText>
      </w:r>
      <w:r w:rsidR="00751FB1">
        <w:fldChar w:fldCharType="separate"/>
      </w:r>
      <w:r w:rsidRPr="006E3034">
        <w:rPr>
          <w:rStyle w:val="Hyperlink"/>
          <w:b/>
          <w:bCs/>
          <w:lang w:val="fr-FR"/>
        </w:rPr>
        <w:t>17.COM</w:t>
      </w:r>
      <w:r w:rsidR="00277C4F" w:rsidRPr="006E3034">
        <w:rPr>
          <w:rStyle w:val="Hyperlink"/>
          <w:b/>
          <w:bCs/>
          <w:lang w:val="fr-FR"/>
        </w:rPr>
        <w:t> </w:t>
      </w:r>
      <w:r w:rsidRPr="006E3034">
        <w:rPr>
          <w:rStyle w:val="Hyperlink"/>
          <w:b/>
          <w:bCs/>
          <w:lang w:val="fr-FR"/>
        </w:rPr>
        <w:t>7</w:t>
      </w:r>
      <w:r w:rsidR="00751FB1">
        <w:rPr>
          <w:rStyle w:val="Hyperlink"/>
          <w:b/>
          <w:bCs/>
          <w:lang w:val="fr-FR"/>
        </w:rPr>
        <w:fldChar w:fldCharType="end"/>
      </w:r>
      <w:r w:rsidRPr="00702497">
        <w:rPr>
          <w:b/>
          <w:bCs/>
          <w:lang w:val="fr-FR"/>
        </w:rPr>
        <w:t xml:space="preserve"> adoptée</w:t>
      </w:r>
      <w:r>
        <w:rPr>
          <w:lang w:val="fr-FR"/>
        </w:rPr>
        <w:t>.</w:t>
      </w:r>
    </w:p>
    <w:p w14:paraId="68B4BED5" w14:textId="6406E86B" w:rsidR="00B81A7D" w:rsidRDefault="00B81A7D" w:rsidP="00AB7D82">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invité le </w:t>
      </w:r>
      <w:r w:rsidRPr="00B81A7D">
        <w:rPr>
          <w:bCs/>
          <w:lang w:val="fr-FR"/>
        </w:rPr>
        <w:t>Président</w:t>
      </w:r>
      <w:r>
        <w:rPr>
          <w:bCs/>
          <w:lang w:val="fr-FR"/>
        </w:rPr>
        <w:t xml:space="preserve"> de l</w:t>
      </w:r>
      <w:r w:rsidR="00923E72">
        <w:rPr>
          <w:bCs/>
          <w:lang w:val="fr-FR"/>
        </w:rPr>
        <w:t>’</w:t>
      </w:r>
      <w:r>
        <w:rPr>
          <w:bCs/>
          <w:lang w:val="fr-FR"/>
        </w:rPr>
        <w:t>Organe d</w:t>
      </w:r>
      <w:r w:rsidR="00923E72">
        <w:rPr>
          <w:bCs/>
          <w:lang w:val="fr-FR"/>
        </w:rPr>
        <w:t>’</w:t>
      </w:r>
      <w:r>
        <w:rPr>
          <w:bCs/>
          <w:lang w:val="fr-FR"/>
        </w:rPr>
        <w:t xml:space="preserve">évaluation à faire part de ses réflexions. </w:t>
      </w:r>
    </w:p>
    <w:p w14:paraId="48A562E1" w14:textId="2A8367F5" w:rsidR="00AB7D82" w:rsidRDefault="00B81A7D" w:rsidP="00AB7D82">
      <w:pPr>
        <w:pStyle w:val="Orateurengris"/>
        <w:numPr>
          <w:ilvl w:val="0"/>
          <w:numId w:val="20"/>
        </w:numPr>
        <w:tabs>
          <w:tab w:val="clear" w:pos="567"/>
        </w:tabs>
        <w:spacing w:before="120"/>
        <w:ind w:left="709" w:hanging="709"/>
        <w:rPr>
          <w:bCs/>
          <w:lang w:val="fr-FR"/>
        </w:rPr>
      </w:pPr>
      <w:r w:rsidRPr="00B81A7D">
        <w:rPr>
          <w:bCs/>
          <w:lang w:val="fr-FR"/>
        </w:rPr>
        <w:lastRenderedPageBreak/>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004C6500">
        <w:rPr>
          <w:rStyle w:val="FootnoteReference"/>
          <w:b/>
          <w:lang w:val="fr-FR"/>
        </w:rPr>
        <w:footnoteReference w:id="25"/>
      </w:r>
      <w:r w:rsidRPr="00B81A7D">
        <w:rPr>
          <w:bCs/>
          <w:lang w:val="fr-FR"/>
        </w:rPr>
        <w:t xml:space="preserve"> a félicité les États qui avaient inscrit leurs éléments et a remercié le Comité pour les discussions. En tant que Président de l</w:t>
      </w:r>
      <w:r w:rsidR="00923E72">
        <w:rPr>
          <w:bCs/>
          <w:lang w:val="fr-FR"/>
        </w:rPr>
        <w:t>’</w:t>
      </w:r>
      <w:r w:rsidRPr="00B81A7D">
        <w:rPr>
          <w:bCs/>
          <w:lang w:val="fr-FR"/>
        </w:rPr>
        <w:t>Organe, il avait le devoir de réfléchir aux décisions du Comité. S</w:t>
      </w:r>
      <w:r w:rsidR="00923E72">
        <w:rPr>
          <w:bCs/>
          <w:lang w:val="fr-FR"/>
        </w:rPr>
        <w:t>’</w:t>
      </w:r>
      <w:r w:rsidRPr="00B81A7D">
        <w:rPr>
          <w:bCs/>
          <w:lang w:val="fr-FR"/>
        </w:rPr>
        <w:t>exprimant au nom de tous les membres de l</w:t>
      </w:r>
      <w:r w:rsidR="00923E72">
        <w:rPr>
          <w:bCs/>
          <w:lang w:val="fr-FR"/>
        </w:rPr>
        <w:t>’</w:t>
      </w:r>
      <w:r w:rsidRPr="00B81A7D">
        <w:rPr>
          <w:bCs/>
          <w:lang w:val="fr-FR"/>
        </w:rPr>
        <w:t>Organe d</w:t>
      </w:r>
      <w:r w:rsidR="00923E72">
        <w:rPr>
          <w:bCs/>
          <w:lang w:val="fr-FR"/>
        </w:rPr>
        <w:t>’</w:t>
      </w:r>
      <w:r w:rsidRPr="00B81A7D">
        <w:rPr>
          <w:bCs/>
          <w:lang w:val="fr-FR"/>
        </w:rPr>
        <w:t xml:space="preserve">évaluation, il a fait remarquer que ce cycle </w:t>
      </w:r>
      <w:r>
        <w:rPr>
          <w:bCs/>
          <w:lang w:val="fr-FR"/>
        </w:rPr>
        <w:t>« </w:t>
      </w:r>
      <w:r w:rsidRPr="00B81A7D">
        <w:rPr>
          <w:bCs/>
          <w:lang w:val="fr-FR"/>
        </w:rPr>
        <w:t>vert</w:t>
      </w:r>
      <w:r>
        <w:rPr>
          <w:bCs/>
          <w:lang w:val="fr-FR"/>
        </w:rPr>
        <w:t> »</w:t>
      </w:r>
      <w:r w:rsidRPr="00B81A7D">
        <w:rPr>
          <w:bCs/>
          <w:lang w:val="fr-FR"/>
        </w:rPr>
        <w:t xml:space="preserve"> portait bien son nom. De nombreux éléments inscrits démontraient l</w:t>
      </w:r>
      <w:r w:rsidR="00923E72">
        <w:rPr>
          <w:bCs/>
          <w:lang w:val="fr-FR"/>
        </w:rPr>
        <w:t>’</w:t>
      </w:r>
      <w:r w:rsidRPr="00B81A7D">
        <w:rPr>
          <w:bCs/>
          <w:lang w:val="fr-FR"/>
        </w:rPr>
        <w:t>importance du patrimoine culturel immatériel pour atteindre les objectifs de développement durable et pour préserver la biodiversité dans l</w:t>
      </w:r>
      <w:r w:rsidR="00923E72">
        <w:rPr>
          <w:bCs/>
          <w:lang w:val="fr-FR"/>
        </w:rPr>
        <w:t>’</w:t>
      </w:r>
      <w:r w:rsidRPr="00B81A7D">
        <w:rPr>
          <w:bCs/>
          <w:lang w:val="fr-FR"/>
        </w:rPr>
        <w:t>écosystème. En</w:t>
      </w:r>
      <w:r w:rsidR="00CB5654">
        <w:rPr>
          <w:bCs/>
          <w:lang w:val="fr-FR"/>
        </w:rPr>
        <w:t> </w:t>
      </w:r>
      <w:r w:rsidRPr="00B81A7D">
        <w:rPr>
          <w:bCs/>
          <w:lang w:val="fr-FR"/>
        </w:rPr>
        <w:t>2023, la Convention célébrerait son vingtième anniversaire. Vingt ans, un bel âge pour faire le bilan des réalisations, mais également un âge délicat, celui où le Comité déciderait de la tournure que prendrait l</w:t>
      </w:r>
      <w:r w:rsidR="00923E72">
        <w:rPr>
          <w:bCs/>
          <w:lang w:val="fr-FR"/>
        </w:rPr>
        <w:t>’</w:t>
      </w:r>
      <w:r w:rsidRPr="00B81A7D">
        <w:rPr>
          <w:bCs/>
          <w:lang w:val="fr-FR"/>
        </w:rPr>
        <w:t>avenir et de la voie qu</w:t>
      </w:r>
      <w:r w:rsidR="00923E72">
        <w:rPr>
          <w:bCs/>
          <w:lang w:val="fr-FR"/>
        </w:rPr>
        <w:t>’</w:t>
      </w:r>
      <w:r w:rsidRPr="00B81A7D">
        <w:rPr>
          <w:bCs/>
          <w:lang w:val="fr-FR"/>
        </w:rPr>
        <w:t>il souhaiterait emprunter. Ces derniers jours, des choix très importants pour l</w:t>
      </w:r>
      <w:r w:rsidR="00923E72">
        <w:rPr>
          <w:bCs/>
          <w:lang w:val="fr-FR"/>
        </w:rPr>
        <w:t>’</w:t>
      </w:r>
      <w:r w:rsidRPr="00B81A7D">
        <w:rPr>
          <w:bCs/>
          <w:lang w:val="fr-FR"/>
        </w:rPr>
        <w:t>avenir de la Convention avaient été faits par le Comité, des choix qui mettaient en évidence cette voie. L</w:t>
      </w:r>
      <w:r w:rsidR="00923E72">
        <w:rPr>
          <w:bCs/>
          <w:lang w:val="fr-FR"/>
        </w:rPr>
        <w:t>’</w:t>
      </w:r>
      <w:r w:rsidRPr="00B81A7D">
        <w:rPr>
          <w:bCs/>
          <w:lang w:val="fr-FR"/>
        </w:rPr>
        <w:t>Organe d</w:t>
      </w:r>
      <w:r w:rsidR="00923E72">
        <w:rPr>
          <w:bCs/>
          <w:lang w:val="fr-FR"/>
        </w:rPr>
        <w:t>’</w:t>
      </w:r>
      <w:r w:rsidRPr="00B81A7D">
        <w:rPr>
          <w:bCs/>
          <w:lang w:val="fr-FR"/>
        </w:rPr>
        <w:t>évaluation était désigné par le Comité pour fournir des conseils professionnels et il respectait les décisions prises par le Comité. Toutefois, l</w:t>
      </w:r>
      <w:r w:rsidR="00923E72">
        <w:rPr>
          <w:bCs/>
          <w:lang w:val="fr-FR"/>
        </w:rPr>
        <w:t>’</w:t>
      </w:r>
      <w:r w:rsidRPr="00B81A7D">
        <w:rPr>
          <w:bCs/>
          <w:lang w:val="fr-FR"/>
        </w:rPr>
        <w:t>Organe considérait qu</w:t>
      </w:r>
      <w:r w:rsidR="00923E72">
        <w:rPr>
          <w:bCs/>
          <w:lang w:val="fr-FR"/>
        </w:rPr>
        <w:t>’</w:t>
      </w:r>
      <w:r w:rsidRPr="00B81A7D">
        <w:rPr>
          <w:bCs/>
          <w:lang w:val="fr-FR"/>
        </w:rPr>
        <w:t>il était de son devoir d</w:t>
      </w:r>
      <w:r w:rsidR="00923E72">
        <w:rPr>
          <w:bCs/>
          <w:lang w:val="fr-FR"/>
        </w:rPr>
        <w:t>’</w:t>
      </w:r>
      <w:r w:rsidRPr="00B81A7D">
        <w:rPr>
          <w:bCs/>
          <w:lang w:val="fr-FR"/>
        </w:rPr>
        <w:t>exploiter les nombreuses perspectives offertes par les discussions de ces derniers jours et de partager quelques idées pratiques avec le Comité, après avoir pris note des questions qui avaient été soulevées. L</w:t>
      </w:r>
      <w:r w:rsidR="00923E72">
        <w:rPr>
          <w:bCs/>
          <w:lang w:val="fr-FR"/>
        </w:rPr>
        <w:t>’</w:t>
      </w:r>
      <w:r w:rsidRPr="00B81A7D">
        <w:rPr>
          <w:bCs/>
          <w:lang w:val="fr-FR"/>
        </w:rPr>
        <w:t>Organe estimait, en particulier, qu</w:t>
      </w:r>
      <w:r w:rsidR="00923E72">
        <w:rPr>
          <w:bCs/>
          <w:lang w:val="fr-FR"/>
        </w:rPr>
        <w:t>’</w:t>
      </w:r>
      <w:r w:rsidRPr="00B81A7D">
        <w:rPr>
          <w:bCs/>
          <w:lang w:val="fr-FR"/>
        </w:rPr>
        <w:t xml:space="preserve">il y avait cinq questions principales. Premièrement, la question de </w:t>
      </w:r>
      <w:r w:rsidRPr="00702497">
        <w:rPr>
          <w:bCs/>
          <w:u w:val="single"/>
          <w:lang w:val="fr-FR"/>
        </w:rPr>
        <w:t>l</w:t>
      </w:r>
      <w:r w:rsidR="00923E72">
        <w:rPr>
          <w:bCs/>
          <w:u w:val="single"/>
          <w:lang w:val="fr-FR"/>
        </w:rPr>
        <w:t>’</w:t>
      </w:r>
      <w:r w:rsidRPr="00702497">
        <w:rPr>
          <w:bCs/>
          <w:u w:val="single"/>
          <w:lang w:val="fr-FR"/>
        </w:rPr>
        <w:t>utilisation du processus de dialogue</w:t>
      </w:r>
      <w:r w:rsidRPr="00B81A7D">
        <w:rPr>
          <w:bCs/>
          <w:lang w:val="fr-FR"/>
        </w:rPr>
        <w:t>. Comme indiqué précédemment, l</w:t>
      </w:r>
      <w:r w:rsidR="00923E72">
        <w:rPr>
          <w:bCs/>
          <w:lang w:val="fr-FR"/>
        </w:rPr>
        <w:t>’</w:t>
      </w:r>
      <w:r w:rsidRPr="00B81A7D">
        <w:rPr>
          <w:bCs/>
          <w:lang w:val="fr-FR"/>
        </w:rPr>
        <w:t>Organe d</w:t>
      </w:r>
      <w:r w:rsidR="00923E72">
        <w:rPr>
          <w:bCs/>
          <w:lang w:val="fr-FR"/>
        </w:rPr>
        <w:t>’</w:t>
      </w:r>
      <w:r w:rsidRPr="00B81A7D">
        <w:rPr>
          <w:bCs/>
          <w:lang w:val="fr-FR"/>
        </w:rPr>
        <w:t>évaluation n</w:t>
      </w:r>
      <w:r w:rsidR="00923E72">
        <w:rPr>
          <w:bCs/>
          <w:lang w:val="fr-FR"/>
        </w:rPr>
        <w:t>’</w:t>
      </w:r>
      <w:r w:rsidRPr="00B81A7D">
        <w:rPr>
          <w:bCs/>
          <w:lang w:val="fr-FR"/>
        </w:rPr>
        <w:t>avait recours au processus de dialogue que lorsqu</w:t>
      </w:r>
      <w:r w:rsidR="00923E72">
        <w:rPr>
          <w:bCs/>
          <w:lang w:val="fr-FR"/>
        </w:rPr>
        <w:t>’</w:t>
      </w:r>
      <w:r w:rsidRPr="00B81A7D">
        <w:rPr>
          <w:bCs/>
          <w:lang w:val="fr-FR"/>
        </w:rPr>
        <w:t>il jugeait qu</w:t>
      </w:r>
      <w:r w:rsidR="00923E72">
        <w:rPr>
          <w:bCs/>
          <w:lang w:val="fr-FR"/>
        </w:rPr>
        <w:t>’</w:t>
      </w:r>
      <w:r w:rsidRPr="00B81A7D">
        <w:rPr>
          <w:bCs/>
          <w:lang w:val="fr-FR"/>
        </w:rPr>
        <w:t>une question simple, claire et courte permettait de lever un doute. Il avait été dit au cours de ces discussions qu</w:t>
      </w:r>
      <w:r w:rsidR="00923E72">
        <w:rPr>
          <w:bCs/>
          <w:lang w:val="fr-FR"/>
        </w:rPr>
        <w:t>’</w:t>
      </w:r>
      <w:r w:rsidRPr="00B81A7D">
        <w:rPr>
          <w:bCs/>
          <w:lang w:val="fr-FR"/>
        </w:rPr>
        <w:t>il n</w:t>
      </w:r>
      <w:r w:rsidR="00923E72">
        <w:rPr>
          <w:bCs/>
          <w:lang w:val="fr-FR"/>
        </w:rPr>
        <w:t>’</w:t>
      </w:r>
      <w:r w:rsidRPr="00B81A7D">
        <w:rPr>
          <w:bCs/>
          <w:lang w:val="fr-FR"/>
        </w:rPr>
        <w:t xml:space="preserve">y avait pas de critère </w:t>
      </w:r>
      <w:r w:rsidR="00DB415F">
        <w:rPr>
          <w:bCs/>
          <w:lang w:val="fr-FR"/>
        </w:rPr>
        <w:t xml:space="preserve">pour </w:t>
      </w:r>
      <w:r w:rsidRPr="00B81A7D">
        <w:rPr>
          <w:bCs/>
          <w:lang w:val="fr-FR"/>
        </w:rPr>
        <w:t>l</w:t>
      </w:r>
      <w:r w:rsidR="00923E72">
        <w:rPr>
          <w:bCs/>
          <w:lang w:val="fr-FR"/>
        </w:rPr>
        <w:t>’</w:t>
      </w:r>
      <w:r w:rsidRPr="00B81A7D">
        <w:rPr>
          <w:bCs/>
          <w:lang w:val="fr-FR"/>
        </w:rPr>
        <w:t>utilisation de cet outil. Cependant, l</w:t>
      </w:r>
      <w:r w:rsidR="00923E72">
        <w:rPr>
          <w:bCs/>
          <w:lang w:val="fr-FR"/>
        </w:rPr>
        <w:t>’</w:t>
      </w:r>
      <w:r w:rsidRPr="00B81A7D">
        <w:rPr>
          <w:bCs/>
          <w:lang w:val="fr-FR"/>
        </w:rPr>
        <w:t>Organe se conformait strictement au paragraphe</w:t>
      </w:r>
      <w:r w:rsidR="00277C4F">
        <w:rPr>
          <w:bCs/>
          <w:lang w:val="fr-FR"/>
        </w:rPr>
        <w:t> </w:t>
      </w:r>
      <w:r w:rsidRPr="00B81A7D">
        <w:rPr>
          <w:bCs/>
          <w:lang w:val="fr-FR"/>
        </w:rPr>
        <w:t xml:space="preserve">55 des Directives opérationnelles. Le cadre du processus de dialogue avait été </w:t>
      </w:r>
      <w:r w:rsidR="00DB415F">
        <w:rPr>
          <w:bCs/>
          <w:lang w:val="fr-FR"/>
        </w:rPr>
        <w:t xml:space="preserve">partagé avec les </w:t>
      </w:r>
      <w:r w:rsidRPr="00B81A7D">
        <w:rPr>
          <w:bCs/>
          <w:lang w:val="fr-FR"/>
        </w:rPr>
        <w:t>États parties lors de la session d</w:t>
      </w:r>
      <w:r w:rsidR="00923E72">
        <w:rPr>
          <w:bCs/>
          <w:lang w:val="fr-FR"/>
        </w:rPr>
        <w:t>’</w:t>
      </w:r>
      <w:r w:rsidRPr="00B81A7D">
        <w:rPr>
          <w:bCs/>
          <w:lang w:val="fr-FR"/>
        </w:rPr>
        <w:t>information et d</w:t>
      </w:r>
      <w:r w:rsidR="00923E72">
        <w:rPr>
          <w:bCs/>
          <w:lang w:val="fr-FR"/>
        </w:rPr>
        <w:t>’</w:t>
      </w:r>
      <w:r w:rsidRPr="00B81A7D">
        <w:rPr>
          <w:bCs/>
          <w:lang w:val="fr-FR"/>
        </w:rPr>
        <w:t>échange organisée en mars</w:t>
      </w:r>
      <w:r w:rsidR="00277C4F">
        <w:rPr>
          <w:bCs/>
          <w:lang w:val="fr-FR"/>
        </w:rPr>
        <w:t> </w:t>
      </w:r>
      <w:r w:rsidRPr="00B81A7D">
        <w:rPr>
          <w:bCs/>
          <w:lang w:val="fr-FR"/>
        </w:rPr>
        <w:t>2019 et au cours des deux années suivantes. Selon les résultats de ces sessions d</w:t>
      </w:r>
      <w:r w:rsidR="00923E72">
        <w:rPr>
          <w:bCs/>
          <w:lang w:val="fr-FR"/>
        </w:rPr>
        <w:t>’</w:t>
      </w:r>
      <w:r w:rsidRPr="00B81A7D">
        <w:rPr>
          <w:bCs/>
          <w:lang w:val="fr-FR"/>
        </w:rPr>
        <w:t xml:space="preserve">échange, </w:t>
      </w:r>
      <w:r w:rsidR="00DB415F">
        <w:rPr>
          <w:bCs/>
          <w:lang w:val="fr-FR"/>
        </w:rPr>
        <w:t>« </w:t>
      </w:r>
      <w:r w:rsidRPr="00B81A7D">
        <w:rPr>
          <w:bCs/>
          <w:lang w:val="fr-FR"/>
        </w:rPr>
        <w:t>l</w:t>
      </w:r>
      <w:r w:rsidR="00923E72">
        <w:rPr>
          <w:bCs/>
          <w:lang w:val="fr-FR"/>
        </w:rPr>
        <w:t>’</w:t>
      </w:r>
      <w:r w:rsidRPr="00B81A7D">
        <w:rPr>
          <w:bCs/>
          <w:lang w:val="fr-FR"/>
        </w:rPr>
        <w:t>Organe devrait se limiter à pointer des questions spécifiques nécessitant une réponse simple</w:t>
      </w:r>
      <w:r w:rsidR="00DB415F">
        <w:rPr>
          <w:bCs/>
          <w:lang w:val="fr-FR"/>
        </w:rPr>
        <w:t> ».</w:t>
      </w:r>
      <w:r w:rsidRPr="00B81A7D">
        <w:rPr>
          <w:bCs/>
          <w:lang w:val="fr-FR"/>
        </w:rPr>
        <w:t xml:space="preserve"> </w:t>
      </w:r>
      <w:r w:rsidR="00DB415F">
        <w:rPr>
          <w:bCs/>
          <w:lang w:val="fr-FR"/>
        </w:rPr>
        <w:t>D</w:t>
      </w:r>
      <w:r w:rsidR="00DB415F" w:rsidRPr="00B81A7D">
        <w:rPr>
          <w:bCs/>
          <w:lang w:val="fr-FR"/>
        </w:rPr>
        <w:t>e</w:t>
      </w:r>
      <w:r w:rsidR="00DB415F">
        <w:rPr>
          <w:bCs/>
          <w:lang w:val="fr-FR"/>
        </w:rPr>
        <w:t>puis</w:t>
      </w:r>
      <w:r w:rsidR="00AF6B98">
        <w:rPr>
          <w:bCs/>
          <w:lang w:val="fr-FR"/>
        </w:rPr>
        <w:t> </w:t>
      </w:r>
      <w:r w:rsidR="00DB415F" w:rsidRPr="00B81A7D">
        <w:rPr>
          <w:bCs/>
          <w:lang w:val="fr-FR"/>
        </w:rPr>
        <w:t>2019</w:t>
      </w:r>
      <w:r w:rsidR="00DB415F">
        <w:rPr>
          <w:bCs/>
          <w:lang w:val="fr-FR"/>
        </w:rPr>
        <w:t>, l</w:t>
      </w:r>
      <w:r w:rsidR="00923E72">
        <w:rPr>
          <w:bCs/>
          <w:lang w:val="fr-FR"/>
        </w:rPr>
        <w:t>’</w:t>
      </w:r>
      <w:r w:rsidRPr="00B81A7D">
        <w:rPr>
          <w:bCs/>
          <w:lang w:val="fr-FR"/>
        </w:rPr>
        <w:t>Organe avait utilisé le processus de dialogue conformément à ce principe. L</w:t>
      </w:r>
      <w:r w:rsidR="00923E72">
        <w:rPr>
          <w:bCs/>
          <w:lang w:val="fr-FR"/>
        </w:rPr>
        <w:t>’</w:t>
      </w:r>
      <w:r w:rsidRPr="00B81A7D">
        <w:rPr>
          <w:bCs/>
          <w:lang w:val="fr-FR"/>
        </w:rPr>
        <w:t>Organe reconnaissait que cette approche n</w:t>
      </w:r>
      <w:r w:rsidR="00923E72">
        <w:rPr>
          <w:bCs/>
          <w:lang w:val="fr-FR"/>
        </w:rPr>
        <w:t>’</w:t>
      </w:r>
      <w:r w:rsidRPr="00B81A7D">
        <w:rPr>
          <w:bCs/>
          <w:lang w:val="fr-FR"/>
        </w:rPr>
        <w:t xml:space="preserve">était pas un </w:t>
      </w:r>
      <w:r w:rsidR="00DB415F">
        <w:rPr>
          <w:bCs/>
          <w:lang w:val="fr-FR"/>
        </w:rPr>
        <w:t>« </w:t>
      </w:r>
      <w:r w:rsidRPr="00B81A7D">
        <w:rPr>
          <w:bCs/>
          <w:lang w:val="fr-FR"/>
        </w:rPr>
        <w:t>vrai</w:t>
      </w:r>
      <w:r w:rsidR="00DB415F">
        <w:rPr>
          <w:bCs/>
          <w:lang w:val="fr-FR"/>
        </w:rPr>
        <w:t> »</w:t>
      </w:r>
      <w:r w:rsidRPr="00B81A7D">
        <w:rPr>
          <w:bCs/>
          <w:lang w:val="fr-FR"/>
        </w:rPr>
        <w:t xml:space="preserve"> dialogue. Les règles fixées ne permettaient pas un dialogue </w:t>
      </w:r>
      <w:r w:rsidRPr="00702497">
        <w:rPr>
          <w:bCs/>
          <w:i/>
          <w:iCs/>
          <w:lang w:val="fr-FR"/>
        </w:rPr>
        <w:t>stricto sensu</w:t>
      </w:r>
      <w:r w:rsidRPr="00B81A7D">
        <w:rPr>
          <w:bCs/>
          <w:lang w:val="fr-FR"/>
        </w:rPr>
        <w:t>. L</w:t>
      </w:r>
      <w:r w:rsidR="00923E72">
        <w:rPr>
          <w:bCs/>
          <w:lang w:val="fr-FR"/>
        </w:rPr>
        <w:t>’</w:t>
      </w:r>
      <w:r w:rsidRPr="00B81A7D">
        <w:rPr>
          <w:bCs/>
          <w:lang w:val="fr-FR"/>
        </w:rPr>
        <w:t>Organe ne pouvait pas s</w:t>
      </w:r>
      <w:r w:rsidR="00923E72">
        <w:rPr>
          <w:bCs/>
          <w:lang w:val="fr-FR"/>
        </w:rPr>
        <w:t>’</w:t>
      </w:r>
      <w:r w:rsidRPr="00B81A7D">
        <w:rPr>
          <w:bCs/>
          <w:lang w:val="fr-FR"/>
        </w:rPr>
        <w:t>engager dans un échange actif entre l</w:t>
      </w:r>
      <w:r w:rsidR="00923E72">
        <w:rPr>
          <w:bCs/>
          <w:lang w:val="fr-FR"/>
        </w:rPr>
        <w:t>’</w:t>
      </w:r>
      <w:r w:rsidRPr="00B81A7D">
        <w:rPr>
          <w:bCs/>
          <w:lang w:val="fr-FR"/>
        </w:rPr>
        <w:t>Organe, l</w:t>
      </w:r>
      <w:r w:rsidR="00923E72">
        <w:rPr>
          <w:bCs/>
          <w:lang w:val="fr-FR"/>
        </w:rPr>
        <w:t>’</w:t>
      </w:r>
      <w:r w:rsidRPr="00B81A7D">
        <w:rPr>
          <w:bCs/>
          <w:lang w:val="fr-FR"/>
        </w:rPr>
        <w:t>État membre et les communautés. Il pouvait uniquement poser une brève question et recevoir une brève réponse. Il ne s</w:t>
      </w:r>
      <w:r w:rsidR="00923E72">
        <w:rPr>
          <w:bCs/>
          <w:lang w:val="fr-FR"/>
        </w:rPr>
        <w:t>’</w:t>
      </w:r>
      <w:r w:rsidRPr="00B81A7D">
        <w:rPr>
          <w:bCs/>
          <w:lang w:val="fr-FR"/>
        </w:rPr>
        <w:t>agissait pas d</w:t>
      </w:r>
      <w:r w:rsidR="00923E72">
        <w:rPr>
          <w:bCs/>
          <w:lang w:val="fr-FR"/>
        </w:rPr>
        <w:t>’</w:t>
      </w:r>
      <w:r w:rsidRPr="00B81A7D">
        <w:rPr>
          <w:bCs/>
          <w:lang w:val="fr-FR"/>
        </w:rPr>
        <w:t>un dialogue. Si le Comité ne modifiait pas le cadre du dialogue, qui avait fait l</w:t>
      </w:r>
      <w:r w:rsidR="00923E72">
        <w:rPr>
          <w:bCs/>
          <w:lang w:val="fr-FR"/>
        </w:rPr>
        <w:t>’</w:t>
      </w:r>
      <w:r w:rsidRPr="00B81A7D">
        <w:rPr>
          <w:bCs/>
          <w:lang w:val="fr-FR"/>
        </w:rPr>
        <w:t>objet d</w:t>
      </w:r>
      <w:r w:rsidR="00923E72">
        <w:rPr>
          <w:bCs/>
          <w:lang w:val="fr-FR"/>
        </w:rPr>
        <w:t>’</w:t>
      </w:r>
      <w:r w:rsidRPr="00B81A7D">
        <w:rPr>
          <w:bCs/>
          <w:lang w:val="fr-FR"/>
        </w:rPr>
        <w:t>une décision provisoire en</w:t>
      </w:r>
      <w:r w:rsidR="00AF6B98">
        <w:rPr>
          <w:bCs/>
          <w:lang w:val="fr-FR"/>
        </w:rPr>
        <w:t> </w:t>
      </w:r>
      <w:r w:rsidRPr="00B81A7D">
        <w:rPr>
          <w:bCs/>
          <w:lang w:val="fr-FR"/>
        </w:rPr>
        <w:t>2019, alors la règle resterait telle qu</w:t>
      </w:r>
      <w:r w:rsidR="00923E72">
        <w:rPr>
          <w:bCs/>
          <w:lang w:val="fr-FR"/>
        </w:rPr>
        <w:t>’</w:t>
      </w:r>
      <w:r w:rsidRPr="00B81A7D">
        <w:rPr>
          <w:bCs/>
          <w:lang w:val="fr-FR"/>
        </w:rPr>
        <w:t>elle existait actuellement et l</w:t>
      </w:r>
      <w:r w:rsidR="00923E72">
        <w:rPr>
          <w:bCs/>
          <w:lang w:val="fr-FR"/>
        </w:rPr>
        <w:t>’</w:t>
      </w:r>
      <w:r w:rsidRPr="00B81A7D">
        <w:rPr>
          <w:bCs/>
          <w:lang w:val="fr-FR"/>
        </w:rPr>
        <w:t>Organe ne pourrait pas, ne devrait pas, utiliser le processus de dialogue d</w:t>
      </w:r>
      <w:r w:rsidR="00923E72">
        <w:rPr>
          <w:bCs/>
          <w:lang w:val="fr-FR"/>
        </w:rPr>
        <w:t>’</w:t>
      </w:r>
      <w:r w:rsidRPr="00B81A7D">
        <w:rPr>
          <w:bCs/>
          <w:lang w:val="fr-FR"/>
        </w:rPr>
        <w:t>une manière différente. Au cours des discussions portant sur des dossiers très complexes, il avait été demandé à plusieurs reprises à l</w:t>
      </w:r>
      <w:r w:rsidR="00923E72">
        <w:rPr>
          <w:bCs/>
          <w:lang w:val="fr-FR"/>
        </w:rPr>
        <w:t>’</w:t>
      </w:r>
      <w:r w:rsidRPr="00B81A7D">
        <w:rPr>
          <w:bCs/>
          <w:lang w:val="fr-FR"/>
        </w:rPr>
        <w:t>Organe pourquoi il n</w:t>
      </w:r>
      <w:r w:rsidR="00923E72">
        <w:rPr>
          <w:bCs/>
          <w:lang w:val="fr-FR"/>
        </w:rPr>
        <w:t>’</w:t>
      </w:r>
      <w:r w:rsidRPr="00B81A7D">
        <w:rPr>
          <w:bCs/>
          <w:lang w:val="fr-FR"/>
        </w:rPr>
        <w:t>avait pas utilisé le processus de dialogue. L</w:t>
      </w:r>
      <w:r w:rsidR="00923E72">
        <w:rPr>
          <w:bCs/>
          <w:lang w:val="fr-FR"/>
        </w:rPr>
        <w:t>’</w:t>
      </w:r>
      <w:r w:rsidRPr="00B81A7D">
        <w:rPr>
          <w:bCs/>
          <w:lang w:val="fr-FR"/>
        </w:rPr>
        <w:t>Organe avait répondu à la question, mais la meilleure réponse avait été fournie en demandant à l</w:t>
      </w:r>
      <w:r w:rsidR="00923E72">
        <w:rPr>
          <w:bCs/>
          <w:lang w:val="fr-FR"/>
        </w:rPr>
        <w:t>’</w:t>
      </w:r>
      <w:r w:rsidRPr="00B81A7D">
        <w:rPr>
          <w:bCs/>
          <w:lang w:val="fr-FR"/>
        </w:rPr>
        <w:t>État soumissionnaire de prendre la parole et de communiquer des informations qui ne figuraient pas dans son dossier, en modifiant dans certains cas plusieurs parties du dossier. L</w:t>
      </w:r>
      <w:r w:rsidR="00923E72">
        <w:rPr>
          <w:bCs/>
          <w:lang w:val="fr-FR"/>
        </w:rPr>
        <w:t>’</w:t>
      </w:r>
      <w:r w:rsidRPr="00B81A7D">
        <w:rPr>
          <w:bCs/>
          <w:lang w:val="fr-FR"/>
        </w:rPr>
        <w:t>Organe n</w:t>
      </w:r>
      <w:r w:rsidR="00923E72">
        <w:rPr>
          <w:bCs/>
          <w:lang w:val="fr-FR"/>
        </w:rPr>
        <w:t>’</w:t>
      </w:r>
      <w:r w:rsidRPr="00B81A7D">
        <w:rPr>
          <w:bCs/>
          <w:lang w:val="fr-FR"/>
        </w:rPr>
        <w:t>aurait pas pu faire ce travail sans contrevenir à s</w:t>
      </w:r>
      <w:r w:rsidR="00AF3A35">
        <w:rPr>
          <w:bCs/>
          <w:lang w:val="fr-FR"/>
        </w:rPr>
        <w:t>es termes de référence</w:t>
      </w:r>
      <w:r w:rsidRPr="00B81A7D">
        <w:rPr>
          <w:bCs/>
          <w:lang w:val="fr-FR"/>
        </w:rPr>
        <w:t>. L</w:t>
      </w:r>
      <w:r w:rsidR="00923E72">
        <w:rPr>
          <w:bCs/>
          <w:lang w:val="fr-FR"/>
        </w:rPr>
        <w:t>’</w:t>
      </w:r>
      <w:r w:rsidRPr="00B81A7D">
        <w:rPr>
          <w:bCs/>
          <w:lang w:val="fr-FR"/>
        </w:rPr>
        <w:t>Organe avait noté que la majorité des membres du Comité estimaient qu</w:t>
      </w:r>
      <w:r w:rsidR="00923E72">
        <w:rPr>
          <w:bCs/>
          <w:lang w:val="fr-FR"/>
        </w:rPr>
        <w:t>’</w:t>
      </w:r>
      <w:r w:rsidRPr="00B81A7D">
        <w:rPr>
          <w:bCs/>
          <w:lang w:val="fr-FR"/>
        </w:rPr>
        <w:t>il convenait de modifier l</w:t>
      </w:r>
      <w:r w:rsidR="00AF3A35">
        <w:rPr>
          <w:bCs/>
          <w:lang w:val="fr-FR"/>
        </w:rPr>
        <w:t>es termes de référence</w:t>
      </w:r>
      <w:r w:rsidRPr="00B81A7D">
        <w:rPr>
          <w:bCs/>
          <w:lang w:val="fr-FR"/>
        </w:rPr>
        <w:t>.</w:t>
      </w:r>
    </w:p>
    <w:p w14:paraId="0026686E" w14:textId="05AD5B6C" w:rsidR="00DB415F" w:rsidRDefault="00DB415F" w:rsidP="00AB7D82">
      <w:pPr>
        <w:pStyle w:val="Orateurengris"/>
        <w:numPr>
          <w:ilvl w:val="0"/>
          <w:numId w:val="20"/>
        </w:numPr>
        <w:tabs>
          <w:tab w:val="clear" w:pos="567"/>
        </w:tabs>
        <w:spacing w:before="120"/>
        <w:ind w:left="709" w:hanging="709"/>
        <w:rPr>
          <w:bCs/>
          <w:lang w:val="fr-FR"/>
        </w:rPr>
      </w:pPr>
      <w:r w:rsidRPr="00DB415F">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DB415F">
        <w:rPr>
          <w:bCs/>
          <w:lang w:val="fr-FR"/>
        </w:rPr>
        <w:t xml:space="preserve"> espérait que le Comité clarifierait l</w:t>
      </w:r>
      <w:r w:rsidR="00AF3A35">
        <w:rPr>
          <w:bCs/>
          <w:lang w:val="fr-FR"/>
        </w:rPr>
        <w:t>es termes de référence</w:t>
      </w:r>
      <w:r w:rsidR="00AF3A35" w:rsidRPr="00DB415F">
        <w:rPr>
          <w:bCs/>
          <w:lang w:val="fr-FR"/>
        </w:rPr>
        <w:t xml:space="preserve"> </w:t>
      </w:r>
      <w:r w:rsidRPr="00DB415F">
        <w:rPr>
          <w:bCs/>
          <w:lang w:val="fr-FR"/>
        </w:rPr>
        <w:t xml:space="preserve">du nouvel Organe sur la manière dont </w:t>
      </w:r>
      <w:r w:rsidR="008F770B">
        <w:rPr>
          <w:bCs/>
          <w:lang w:val="fr-FR"/>
        </w:rPr>
        <w:t>celui-ci</w:t>
      </w:r>
      <w:r w:rsidRPr="00DB415F">
        <w:rPr>
          <w:bCs/>
          <w:lang w:val="fr-FR"/>
        </w:rPr>
        <w:t xml:space="preserve"> pouvait mettre en œuvre le processus de dialogue</w:t>
      </w:r>
      <w:r w:rsidR="003F76C9">
        <w:rPr>
          <w:bCs/>
          <w:lang w:val="fr-FR"/>
        </w:rPr>
        <w:t>,</w:t>
      </w:r>
      <w:r w:rsidRPr="00DB415F">
        <w:rPr>
          <w:bCs/>
          <w:lang w:val="fr-FR"/>
        </w:rPr>
        <w:t xml:space="preserve"> lorsqu</w:t>
      </w:r>
      <w:r w:rsidR="008F770B">
        <w:rPr>
          <w:bCs/>
          <w:lang w:val="fr-FR"/>
        </w:rPr>
        <w:t>e le Comité</w:t>
      </w:r>
      <w:r w:rsidRPr="00DB415F">
        <w:rPr>
          <w:bCs/>
          <w:lang w:val="fr-FR"/>
        </w:rPr>
        <w:t xml:space="preserve"> </w:t>
      </w:r>
      <w:r w:rsidR="008F770B">
        <w:rPr>
          <w:bCs/>
          <w:lang w:val="fr-FR"/>
        </w:rPr>
        <w:t xml:space="preserve">débattrait </w:t>
      </w:r>
      <w:r w:rsidRPr="00DB415F">
        <w:rPr>
          <w:bCs/>
          <w:lang w:val="fr-FR"/>
        </w:rPr>
        <w:t>de ce</w:t>
      </w:r>
      <w:r w:rsidR="008F770B">
        <w:rPr>
          <w:bCs/>
          <w:lang w:val="fr-FR"/>
        </w:rPr>
        <w:t>tte question</w:t>
      </w:r>
      <w:r w:rsidRPr="00DB415F">
        <w:rPr>
          <w:bCs/>
          <w:lang w:val="fr-FR"/>
        </w:rPr>
        <w:t xml:space="preserve"> au titre du point</w:t>
      </w:r>
      <w:r w:rsidR="00277C4F">
        <w:rPr>
          <w:bCs/>
          <w:lang w:val="fr-FR"/>
        </w:rPr>
        <w:t> </w:t>
      </w:r>
      <w:r w:rsidRPr="00DB415F">
        <w:rPr>
          <w:bCs/>
          <w:lang w:val="fr-FR"/>
        </w:rPr>
        <w:t>14 de l</w:t>
      </w:r>
      <w:r w:rsidR="00923E72">
        <w:rPr>
          <w:bCs/>
          <w:lang w:val="fr-FR"/>
        </w:rPr>
        <w:t>’</w:t>
      </w:r>
      <w:r w:rsidRPr="00DB415F">
        <w:rPr>
          <w:bCs/>
          <w:lang w:val="fr-FR"/>
        </w:rPr>
        <w:t>ordre du jour. Il était toutefois évident que si l</w:t>
      </w:r>
      <w:r w:rsidR="00923E72">
        <w:rPr>
          <w:bCs/>
          <w:lang w:val="fr-FR"/>
        </w:rPr>
        <w:t>’</w:t>
      </w:r>
      <w:r w:rsidRPr="00DB415F">
        <w:rPr>
          <w:bCs/>
          <w:lang w:val="fr-FR"/>
        </w:rPr>
        <w:t>on décidait que l</w:t>
      </w:r>
      <w:r w:rsidR="00923E72">
        <w:rPr>
          <w:bCs/>
          <w:lang w:val="fr-FR"/>
        </w:rPr>
        <w:t>’</w:t>
      </w:r>
      <w:r w:rsidRPr="00DB415F">
        <w:rPr>
          <w:bCs/>
          <w:lang w:val="fr-FR"/>
        </w:rPr>
        <w:t>Organe devait utiliser l</w:t>
      </w:r>
      <w:r w:rsidR="00923E72">
        <w:rPr>
          <w:bCs/>
          <w:lang w:val="fr-FR"/>
        </w:rPr>
        <w:t>’</w:t>
      </w:r>
      <w:r w:rsidRPr="00DB415F">
        <w:rPr>
          <w:bCs/>
          <w:lang w:val="fr-FR"/>
        </w:rPr>
        <w:t xml:space="preserve">outil de dialogue à tout moment et </w:t>
      </w:r>
      <w:r w:rsidR="008F770B">
        <w:rPr>
          <w:bCs/>
          <w:lang w:val="fr-FR"/>
        </w:rPr>
        <w:t xml:space="preserve">pour </w:t>
      </w:r>
      <w:r w:rsidRPr="00DB415F">
        <w:rPr>
          <w:bCs/>
          <w:lang w:val="fr-FR"/>
        </w:rPr>
        <w:t xml:space="preserve">chaque cas </w:t>
      </w:r>
      <w:r w:rsidR="008F770B">
        <w:rPr>
          <w:bCs/>
          <w:lang w:val="fr-FR"/>
        </w:rPr>
        <w:t>de renvoi d</w:t>
      </w:r>
      <w:r w:rsidR="00923E72">
        <w:rPr>
          <w:bCs/>
          <w:lang w:val="fr-FR"/>
        </w:rPr>
        <w:t>’</w:t>
      </w:r>
      <w:r w:rsidR="008F770B">
        <w:rPr>
          <w:bCs/>
          <w:lang w:val="fr-FR"/>
        </w:rPr>
        <w:t xml:space="preserve">un </w:t>
      </w:r>
      <w:r w:rsidRPr="00DB415F">
        <w:rPr>
          <w:bCs/>
          <w:lang w:val="fr-FR"/>
        </w:rPr>
        <w:t>dossier, la durée de l</w:t>
      </w:r>
      <w:r w:rsidR="00923E72">
        <w:rPr>
          <w:bCs/>
          <w:lang w:val="fr-FR"/>
        </w:rPr>
        <w:t>’</w:t>
      </w:r>
      <w:r w:rsidRPr="00DB415F">
        <w:rPr>
          <w:bCs/>
          <w:lang w:val="fr-FR"/>
        </w:rPr>
        <w:t>évaluation serait considérablement allongée, ce qui réduirait le nombre de candidatures examinées dans le cadre de chaque cycle. Au cours de cette session, pour les décisions les plus difficiles, le Comité avait précisé que l</w:t>
      </w:r>
      <w:r w:rsidR="00923E72">
        <w:rPr>
          <w:bCs/>
          <w:lang w:val="fr-FR"/>
        </w:rPr>
        <w:t>’</w:t>
      </w:r>
      <w:r w:rsidRPr="00DB415F">
        <w:rPr>
          <w:bCs/>
          <w:lang w:val="fr-FR"/>
        </w:rPr>
        <w:t>évaluation positive n</w:t>
      </w:r>
      <w:r w:rsidR="00923E72">
        <w:rPr>
          <w:bCs/>
          <w:lang w:val="fr-FR"/>
        </w:rPr>
        <w:t>’</w:t>
      </w:r>
      <w:r w:rsidRPr="00DB415F">
        <w:rPr>
          <w:bCs/>
          <w:lang w:val="fr-FR"/>
        </w:rPr>
        <w:t>était pas fondée sur le dossier soumis par l</w:t>
      </w:r>
      <w:r w:rsidR="00923E72">
        <w:rPr>
          <w:bCs/>
          <w:lang w:val="fr-FR"/>
        </w:rPr>
        <w:t>’</w:t>
      </w:r>
      <w:r w:rsidRPr="00DB415F">
        <w:rPr>
          <w:bCs/>
          <w:lang w:val="fr-FR"/>
        </w:rPr>
        <w:t>État au cours du processus de candidature, mais sur les informations supplémentaires fournies par l</w:t>
      </w:r>
      <w:r w:rsidR="00923E72">
        <w:rPr>
          <w:bCs/>
          <w:lang w:val="fr-FR"/>
        </w:rPr>
        <w:t>’</w:t>
      </w:r>
      <w:r w:rsidRPr="00DB415F">
        <w:rPr>
          <w:bCs/>
          <w:lang w:val="fr-FR"/>
        </w:rPr>
        <w:t>État partie au cours des travaux du Comité. C</w:t>
      </w:r>
      <w:r w:rsidR="00923E72">
        <w:rPr>
          <w:bCs/>
          <w:lang w:val="fr-FR"/>
        </w:rPr>
        <w:t>’</w:t>
      </w:r>
      <w:r w:rsidRPr="00DB415F">
        <w:rPr>
          <w:bCs/>
          <w:lang w:val="fr-FR"/>
        </w:rPr>
        <w:t>était une décision importante car, en fait, l</w:t>
      </w:r>
      <w:r w:rsidR="00923E72">
        <w:rPr>
          <w:bCs/>
          <w:lang w:val="fr-FR"/>
        </w:rPr>
        <w:t>’</w:t>
      </w:r>
      <w:r w:rsidRPr="00DB415F">
        <w:rPr>
          <w:bCs/>
          <w:lang w:val="fr-FR"/>
        </w:rPr>
        <w:t>État était autorisé à modifier des pans entiers du dossier au cours des travaux du Comité. C</w:t>
      </w:r>
      <w:r w:rsidR="00923E72">
        <w:rPr>
          <w:bCs/>
          <w:lang w:val="fr-FR"/>
        </w:rPr>
        <w:t>’</w:t>
      </w:r>
      <w:r w:rsidRPr="00DB415F">
        <w:rPr>
          <w:bCs/>
          <w:lang w:val="fr-FR"/>
        </w:rPr>
        <w:t>était la décision du Comité, et l</w:t>
      </w:r>
      <w:r w:rsidR="00923E72">
        <w:rPr>
          <w:bCs/>
          <w:lang w:val="fr-FR"/>
        </w:rPr>
        <w:t>’</w:t>
      </w:r>
      <w:r w:rsidRPr="00DB415F">
        <w:rPr>
          <w:bCs/>
          <w:lang w:val="fr-FR"/>
        </w:rPr>
        <w:t>Organe la respectait et ne la remettait nullement en cause. Toutefois, un problème pratique se posait. Les nouvelles informations que l</w:t>
      </w:r>
      <w:r w:rsidR="00923E72">
        <w:rPr>
          <w:bCs/>
          <w:lang w:val="fr-FR"/>
        </w:rPr>
        <w:t>’</w:t>
      </w:r>
      <w:r w:rsidRPr="00DB415F">
        <w:rPr>
          <w:bCs/>
          <w:lang w:val="fr-FR"/>
        </w:rPr>
        <w:t xml:space="preserve">État partageait pendant la session du Comité ne figuraient pas dans le </w:t>
      </w:r>
      <w:r w:rsidRPr="00DB415F">
        <w:rPr>
          <w:bCs/>
          <w:lang w:val="fr-FR"/>
        </w:rPr>
        <w:lastRenderedPageBreak/>
        <w:t>dossier. Seul le dossier original (et non les nouvelles informations) était publié sur le site web de l</w:t>
      </w:r>
      <w:r w:rsidR="00923E72">
        <w:rPr>
          <w:bCs/>
          <w:lang w:val="fr-FR"/>
        </w:rPr>
        <w:t>’</w:t>
      </w:r>
      <w:r w:rsidRPr="00DB415F">
        <w:rPr>
          <w:bCs/>
          <w:lang w:val="fr-FR"/>
        </w:rPr>
        <w:t>UNESCO et utilisé dans les outils basés sur ces informations. Si quelqu</w:t>
      </w:r>
      <w:r w:rsidR="00923E72">
        <w:rPr>
          <w:bCs/>
          <w:lang w:val="fr-FR"/>
        </w:rPr>
        <w:t>’</w:t>
      </w:r>
      <w:r w:rsidRPr="00DB415F">
        <w:rPr>
          <w:bCs/>
          <w:lang w:val="fr-FR"/>
        </w:rPr>
        <w:t>un souhaitait en savoir plus sur un élément, la première étape serait de se tourner vers le site de l</w:t>
      </w:r>
      <w:r w:rsidR="00923E72">
        <w:rPr>
          <w:bCs/>
          <w:lang w:val="fr-FR"/>
        </w:rPr>
        <w:t>’</w:t>
      </w:r>
      <w:r w:rsidRPr="00DB415F">
        <w:rPr>
          <w:bCs/>
          <w:lang w:val="fr-FR"/>
        </w:rPr>
        <w:t>UNESCO. En outre, les dossiers publiés pouvaient servir de modèle pour la rédaction de nouveaux dossiers à l</w:t>
      </w:r>
      <w:r w:rsidR="00923E72">
        <w:rPr>
          <w:bCs/>
          <w:lang w:val="fr-FR"/>
        </w:rPr>
        <w:t>’</w:t>
      </w:r>
      <w:r w:rsidRPr="00DB415F">
        <w:rPr>
          <w:bCs/>
          <w:lang w:val="fr-FR"/>
        </w:rPr>
        <w:t xml:space="preserve">avenir. Il y avait donc une probabilité que le Comité se penche </w:t>
      </w:r>
      <w:r w:rsidR="003F76C9">
        <w:rPr>
          <w:bCs/>
          <w:lang w:val="fr-FR"/>
        </w:rPr>
        <w:t xml:space="preserve">à nouveau </w:t>
      </w:r>
      <w:r w:rsidRPr="00DB415F">
        <w:rPr>
          <w:bCs/>
          <w:lang w:val="fr-FR"/>
        </w:rPr>
        <w:t>sur les mêmes questions récurrentes. Afin d</w:t>
      </w:r>
      <w:r w:rsidR="00923E72">
        <w:rPr>
          <w:bCs/>
          <w:lang w:val="fr-FR"/>
        </w:rPr>
        <w:t>’</w:t>
      </w:r>
      <w:r w:rsidRPr="00DB415F">
        <w:rPr>
          <w:bCs/>
          <w:lang w:val="fr-FR"/>
        </w:rPr>
        <w:t>éviter tout effet négatif en chaîne sur la crédibilité de la Convention, l</w:t>
      </w:r>
      <w:r w:rsidR="00923E72">
        <w:rPr>
          <w:bCs/>
          <w:lang w:val="fr-FR"/>
        </w:rPr>
        <w:t>’</w:t>
      </w:r>
      <w:r w:rsidRPr="00DB415F">
        <w:rPr>
          <w:bCs/>
          <w:lang w:val="fr-FR"/>
        </w:rPr>
        <w:t>Organe suggérait que le Comité autorise le Secrétariat à recevoir tout document supplémentaire rédigé par l</w:t>
      </w:r>
      <w:r w:rsidR="00923E72">
        <w:rPr>
          <w:bCs/>
          <w:lang w:val="fr-FR"/>
        </w:rPr>
        <w:t>’</w:t>
      </w:r>
      <w:r w:rsidRPr="00DB415F">
        <w:rPr>
          <w:bCs/>
          <w:lang w:val="fr-FR"/>
        </w:rPr>
        <w:t>État partie soumissionnaire, avec l</w:t>
      </w:r>
      <w:r w:rsidR="00923E72">
        <w:rPr>
          <w:bCs/>
          <w:lang w:val="fr-FR"/>
        </w:rPr>
        <w:t>’</w:t>
      </w:r>
      <w:r w:rsidRPr="00DB415F">
        <w:rPr>
          <w:bCs/>
          <w:lang w:val="fr-FR"/>
        </w:rPr>
        <w:t xml:space="preserve">accord des communautés concernées, </w:t>
      </w:r>
      <w:r w:rsidR="00A36D0B">
        <w:rPr>
          <w:bCs/>
          <w:lang w:val="fr-FR"/>
        </w:rPr>
        <w:t>contenant</w:t>
      </w:r>
      <w:r w:rsidRPr="00DB415F">
        <w:rPr>
          <w:bCs/>
          <w:lang w:val="fr-FR"/>
        </w:rPr>
        <w:t xml:space="preserve"> les informations </w:t>
      </w:r>
      <w:r w:rsidR="00A36D0B">
        <w:rPr>
          <w:bCs/>
          <w:lang w:val="fr-FR"/>
        </w:rPr>
        <w:t xml:space="preserve">communiquées </w:t>
      </w:r>
      <w:r w:rsidRPr="00DB415F">
        <w:rPr>
          <w:bCs/>
          <w:lang w:val="fr-FR"/>
        </w:rPr>
        <w:t>lors de la session du Comité, afin qu</w:t>
      </w:r>
      <w:r w:rsidR="00A36D0B">
        <w:rPr>
          <w:bCs/>
          <w:lang w:val="fr-FR"/>
        </w:rPr>
        <w:t>e ce document</w:t>
      </w:r>
      <w:r w:rsidRPr="00DB415F">
        <w:rPr>
          <w:bCs/>
          <w:lang w:val="fr-FR"/>
        </w:rPr>
        <w:t xml:space="preserve"> puisse être publié</w:t>
      </w:r>
      <w:r w:rsidR="00A36D0B">
        <w:rPr>
          <w:bCs/>
          <w:lang w:val="fr-FR"/>
        </w:rPr>
        <w:t>,</w:t>
      </w:r>
      <w:r w:rsidRPr="00DB415F">
        <w:rPr>
          <w:bCs/>
          <w:lang w:val="fr-FR"/>
        </w:rPr>
        <w:t xml:space="preserve"> aux côtés du dossier soumis</w:t>
      </w:r>
      <w:r w:rsidR="00A36D0B">
        <w:rPr>
          <w:bCs/>
          <w:lang w:val="fr-FR"/>
        </w:rPr>
        <w:t>,</w:t>
      </w:r>
      <w:r w:rsidRPr="00DB415F">
        <w:rPr>
          <w:bCs/>
          <w:lang w:val="fr-FR"/>
        </w:rPr>
        <w:t xml:space="preserve"> sur le site Internet de l</w:t>
      </w:r>
      <w:r w:rsidR="00923E72">
        <w:rPr>
          <w:bCs/>
          <w:lang w:val="fr-FR"/>
        </w:rPr>
        <w:t>’</w:t>
      </w:r>
      <w:r w:rsidRPr="00DB415F">
        <w:rPr>
          <w:bCs/>
          <w:lang w:val="fr-FR"/>
        </w:rPr>
        <w:t>UNESCO.</w:t>
      </w:r>
    </w:p>
    <w:p w14:paraId="705C4121" w14:textId="65785ADA" w:rsidR="008F770B" w:rsidRDefault="008F770B" w:rsidP="00AB7D82">
      <w:pPr>
        <w:pStyle w:val="Orateurengris"/>
        <w:numPr>
          <w:ilvl w:val="0"/>
          <w:numId w:val="20"/>
        </w:numPr>
        <w:tabs>
          <w:tab w:val="clear" w:pos="567"/>
        </w:tabs>
        <w:spacing w:before="120"/>
        <w:ind w:left="709" w:hanging="709"/>
        <w:rPr>
          <w:bCs/>
          <w:lang w:val="fr-FR"/>
        </w:rPr>
      </w:pPr>
      <w:r w:rsidRPr="008F770B">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8F770B">
        <w:rPr>
          <w:bCs/>
          <w:lang w:val="fr-FR"/>
        </w:rPr>
        <w:t xml:space="preserve"> a </w:t>
      </w:r>
      <w:r w:rsidR="00F92F74">
        <w:rPr>
          <w:bCs/>
          <w:lang w:val="fr-FR"/>
        </w:rPr>
        <w:t xml:space="preserve">abordé </w:t>
      </w:r>
      <w:r w:rsidRPr="008F770B">
        <w:rPr>
          <w:bCs/>
          <w:lang w:val="fr-FR"/>
        </w:rPr>
        <w:t>une autre question</w:t>
      </w:r>
      <w:r w:rsidR="00024991">
        <w:rPr>
          <w:bCs/>
          <w:lang w:val="fr-FR"/>
        </w:rPr>
        <w:t>,</w:t>
      </w:r>
      <w:r w:rsidRPr="008F770B">
        <w:rPr>
          <w:bCs/>
          <w:lang w:val="fr-FR"/>
        </w:rPr>
        <w:t xml:space="preserve"> </w:t>
      </w:r>
      <w:r w:rsidR="00024991">
        <w:rPr>
          <w:bCs/>
          <w:lang w:val="fr-FR"/>
        </w:rPr>
        <w:t xml:space="preserve">sur </w:t>
      </w:r>
      <w:r w:rsidRPr="00702497">
        <w:rPr>
          <w:bCs/>
          <w:u w:val="single"/>
          <w:lang w:val="fr-FR"/>
        </w:rPr>
        <w:t>la possibilité d</w:t>
      </w:r>
      <w:r w:rsidR="00923E72">
        <w:rPr>
          <w:bCs/>
          <w:u w:val="single"/>
          <w:lang w:val="fr-FR"/>
        </w:rPr>
        <w:t>’</w:t>
      </w:r>
      <w:r w:rsidRPr="00702497">
        <w:rPr>
          <w:bCs/>
          <w:u w:val="single"/>
          <w:lang w:val="fr-FR"/>
        </w:rPr>
        <w:t>obtenir des informations externes</w:t>
      </w:r>
      <w:r w:rsidRPr="008F770B">
        <w:rPr>
          <w:bCs/>
          <w:lang w:val="fr-FR"/>
        </w:rPr>
        <w:t xml:space="preserve">. Il a admis que certaines des interventions </w:t>
      </w:r>
      <w:r>
        <w:rPr>
          <w:bCs/>
          <w:lang w:val="fr-FR"/>
        </w:rPr>
        <w:t xml:space="preserve">de </w:t>
      </w:r>
      <w:r w:rsidRPr="008F770B">
        <w:rPr>
          <w:bCs/>
          <w:lang w:val="fr-FR"/>
        </w:rPr>
        <w:t>certains membres du Comité avaient heurté personnellement les membres de l</w:t>
      </w:r>
      <w:r w:rsidR="00923E72">
        <w:rPr>
          <w:bCs/>
          <w:lang w:val="fr-FR"/>
        </w:rPr>
        <w:t>’</w:t>
      </w:r>
      <w:r w:rsidRPr="008F770B">
        <w:rPr>
          <w:bCs/>
          <w:lang w:val="fr-FR"/>
        </w:rPr>
        <w:t>Organe</w:t>
      </w:r>
      <w:r w:rsidR="00104304">
        <w:rPr>
          <w:bCs/>
          <w:lang w:val="fr-FR"/>
        </w:rPr>
        <w:t>, s</w:t>
      </w:r>
      <w:r w:rsidRPr="008F770B">
        <w:rPr>
          <w:bCs/>
          <w:lang w:val="fr-FR"/>
        </w:rPr>
        <w:t>on travail a</w:t>
      </w:r>
      <w:r w:rsidR="00104304">
        <w:rPr>
          <w:bCs/>
          <w:lang w:val="fr-FR"/>
        </w:rPr>
        <w:t>yant</w:t>
      </w:r>
      <w:r w:rsidRPr="008F770B">
        <w:rPr>
          <w:bCs/>
          <w:lang w:val="fr-FR"/>
        </w:rPr>
        <w:t xml:space="preserve"> été décrit comme froid, bureaucratique, formel et trop technique. Dans certains cas, il avait été sous-entendu que l</w:t>
      </w:r>
      <w:r w:rsidR="00923E72">
        <w:rPr>
          <w:bCs/>
          <w:lang w:val="fr-FR"/>
        </w:rPr>
        <w:t>’</w:t>
      </w:r>
      <w:r w:rsidRPr="008F770B">
        <w:rPr>
          <w:bCs/>
          <w:lang w:val="fr-FR"/>
        </w:rPr>
        <w:t>Organe ne reconnaissait pas l</w:t>
      </w:r>
      <w:r w:rsidR="00923E72">
        <w:rPr>
          <w:bCs/>
          <w:lang w:val="fr-FR"/>
        </w:rPr>
        <w:t>’</w:t>
      </w:r>
      <w:r w:rsidRPr="008F770B">
        <w:rPr>
          <w:bCs/>
          <w:lang w:val="fr-FR"/>
        </w:rPr>
        <w:t>existence du patrimoine culturel immatériel d</w:t>
      </w:r>
      <w:r w:rsidR="00923E72">
        <w:rPr>
          <w:bCs/>
          <w:lang w:val="fr-FR"/>
        </w:rPr>
        <w:t>’</w:t>
      </w:r>
      <w:r w:rsidRPr="008F770B">
        <w:rPr>
          <w:bCs/>
          <w:lang w:val="fr-FR"/>
        </w:rPr>
        <w:t>un pays. Il avait été dit que l</w:t>
      </w:r>
      <w:r w:rsidR="00923E72">
        <w:rPr>
          <w:bCs/>
          <w:lang w:val="fr-FR"/>
        </w:rPr>
        <w:t>’</w:t>
      </w:r>
      <w:r w:rsidRPr="008F770B">
        <w:rPr>
          <w:bCs/>
          <w:lang w:val="fr-FR"/>
        </w:rPr>
        <w:t>Organe ne pouvait pas évaluer un morceau de papier</w:t>
      </w:r>
      <w:r w:rsidR="00104304">
        <w:rPr>
          <w:bCs/>
          <w:lang w:val="fr-FR"/>
        </w:rPr>
        <w:t>,</w:t>
      </w:r>
      <w:r w:rsidRPr="008F770B">
        <w:rPr>
          <w:bCs/>
          <w:lang w:val="fr-FR"/>
        </w:rPr>
        <w:t xml:space="preserve"> mais </w:t>
      </w:r>
      <w:r w:rsidR="00104304">
        <w:rPr>
          <w:bCs/>
          <w:lang w:val="fr-FR"/>
        </w:rPr>
        <w:t xml:space="preserve">devait évaluer </w:t>
      </w:r>
      <w:r w:rsidRPr="008F770B">
        <w:rPr>
          <w:bCs/>
          <w:lang w:val="fr-FR"/>
        </w:rPr>
        <w:t>l</w:t>
      </w:r>
      <w:r w:rsidR="00923E72">
        <w:rPr>
          <w:bCs/>
          <w:lang w:val="fr-FR"/>
        </w:rPr>
        <w:t>’</w:t>
      </w:r>
      <w:r w:rsidRPr="008F770B">
        <w:rPr>
          <w:bCs/>
          <w:lang w:val="fr-FR"/>
        </w:rPr>
        <w:t>aspiration et l</w:t>
      </w:r>
      <w:r w:rsidR="00923E72">
        <w:rPr>
          <w:bCs/>
          <w:lang w:val="fr-FR"/>
        </w:rPr>
        <w:t>’</w:t>
      </w:r>
      <w:r w:rsidRPr="008F770B">
        <w:rPr>
          <w:bCs/>
          <w:lang w:val="fr-FR"/>
        </w:rPr>
        <w:t>émotion d</w:t>
      </w:r>
      <w:r w:rsidR="00923E72">
        <w:rPr>
          <w:bCs/>
          <w:lang w:val="fr-FR"/>
        </w:rPr>
        <w:t>’</w:t>
      </w:r>
      <w:r w:rsidRPr="008F770B">
        <w:rPr>
          <w:bCs/>
          <w:lang w:val="fr-FR"/>
        </w:rPr>
        <w:t>un pays. En même temps, certains membres du Comité avaient répondu à la recommandation de l</w:t>
      </w:r>
      <w:r w:rsidR="00923E72">
        <w:rPr>
          <w:bCs/>
          <w:lang w:val="fr-FR"/>
        </w:rPr>
        <w:t>’</w:t>
      </w:r>
      <w:r w:rsidRPr="008F770B">
        <w:rPr>
          <w:bCs/>
          <w:lang w:val="fr-FR"/>
        </w:rPr>
        <w:t>Organe en disant que ses propres experts nationaux avaient évalué le dossier différemment. Or, les experts de l</w:t>
      </w:r>
      <w:r w:rsidR="00923E72">
        <w:rPr>
          <w:bCs/>
          <w:lang w:val="fr-FR"/>
        </w:rPr>
        <w:t>’</w:t>
      </w:r>
      <w:r w:rsidRPr="008F770B">
        <w:rPr>
          <w:bCs/>
          <w:lang w:val="fr-FR"/>
        </w:rPr>
        <w:t>Organe étaient les experts du Comité. Il a été rappelé que l</w:t>
      </w:r>
      <w:r w:rsidR="00923E72">
        <w:rPr>
          <w:bCs/>
          <w:lang w:val="fr-FR"/>
        </w:rPr>
        <w:t>’</w:t>
      </w:r>
      <w:r w:rsidRPr="008F770B">
        <w:rPr>
          <w:bCs/>
          <w:lang w:val="fr-FR"/>
        </w:rPr>
        <w:t>Organe d</w:t>
      </w:r>
      <w:r w:rsidR="00923E72">
        <w:rPr>
          <w:bCs/>
          <w:lang w:val="fr-FR"/>
        </w:rPr>
        <w:t>’</w:t>
      </w:r>
      <w:r w:rsidRPr="008F770B">
        <w:rPr>
          <w:bCs/>
          <w:lang w:val="fr-FR"/>
        </w:rPr>
        <w:t>évaluation était une expression directe du Comité. L</w:t>
      </w:r>
      <w:r w:rsidR="00923E72">
        <w:rPr>
          <w:bCs/>
          <w:lang w:val="fr-FR"/>
        </w:rPr>
        <w:t>’</w:t>
      </w:r>
      <w:r w:rsidRPr="008F770B">
        <w:rPr>
          <w:bCs/>
          <w:lang w:val="fr-FR"/>
        </w:rPr>
        <w:t>Organe n</w:t>
      </w:r>
      <w:r w:rsidR="00923E72">
        <w:rPr>
          <w:bCs/>
          <w:lang w:val="fr-FR"/>
        </w:rPr>
        <w:t>’</w:t>
      </w:r>
      <w:r w:rsidRPr="008F770B">
        <w:rPr>
          <w:bCs/>
          <w:lang w:val="fr-FR"/>
        </w:rPr>
        <w:t>était pas l</w:t>
      </w:r>
      <w:r w:rsidR="00923E72">
        <w:rPr>
          <w:bCs/>
          <w:lang w:val="fr-FR"/>
        </w:rPr>
        <w:t>’</w:t>
      </w:r>
      <w:r w:rsidRPr="008F770B">
        <w:rPr>
          <w:bCs/>
          <w:lang w:val="fr-FR"/>
        </w:rPr>
        <w:t>ICOMOS, l</w:t>
      </w:r>
      <w:r w:rsidR="00923E72">
        <w:rPr>
          <w:bCs/>
          <w:lang w:val="fr-FR"/>
        </w:rPr>
        <w:t>’</w:t>
      </w:r>
      <w:r w:rsidRPr="008F770B">
        <w:rPr>
          <w:bCs/>
          <w:lang w:val="fr-FR"/>
        </w:rPr>
        <w:t xml:space="preserve">UICN ou une agence indépendante travaillant contre rémunération. Il était élu par le Comité. Six membres étaient des représentants de six </w:t>
      </w:r>
      <w:r w:rsidR="00104304">
        <w:rPr>
          <w:bCs/>
          <w:lang w:val="fr-FR"/>
        </w:rPr>
        <w:t>É</w:t>
      </w:r>
      <w:r w:rsidRPr="008F770B">
        <w:rPr>
          <w:bCs/>
          <w:lang w:val="fr-FR"/>
        </w:rPr>
        <w:t>tats membres de cette Convention</w:t>
      </w:r>
      <w:r w:rsidR="003F76C9">
        <w:rPr>
          <w:bCs/>
          <w:lang w:val="fr-FR"/>
        </w:rPr>
        <w:t>,</w:t>
      </w:r>
      <w:r w:rsidRPr="008F770B">
        <w:rPr>
          <w:bCs/>
          <w:lang w:val="fr-FR"/>
        </w:rPr>
        <w:t xml:space="preserve"> </w:t>
      </w:r>
      <w:r w:rsidR="003F76C9">
        <w:rPr>
          <w:bCs/>
          <w:lang w:val="fr-FR"/>
        </w:rPr>
        <w:t>s</w:t>
      </w:r>
      <w:r w:rsidRPr="008F770B">
        <w:rPr>
          <w:bCs/>
          <w:lang w:val="fr-FR"/>
        </w:rPr>
        <w:t xml:space="preserve">ix autres membres représentaient des </w:t>
      </w:r>
      <w:r w:rsidR="004C6500">
        <w:rPr>
          <w:bCs/>
          <w:lang w:val="fr-FR"/>
        </w:rPr>
        <w:t>organisations non gouvernementales</w:t>
      </w:r>
      <w:r w:rsidRPr="008F770B">
        <w:rPr>
          <w:bCs/>
          <w:lang w:val="fr-FR"/>
        </w:rPr>
        <w:t>. Deux membres étaient élus dans chaque groupe électoral. L</w:t>
      </w:r>
      <w:r w:rsidR="00923E72">
        <w:rPr>
          <w:bCs/>
          <w:lang w:val="fr-FR"/>
        </w:rPr>
        <w:t>’</w:t>
      </w:r>
      <w:r w:rsidRPr="008F770B">
        <w:rPr>
          <w:bCs/>
          <w:lang w:val="fr-FR"/>
        </w:rPr>
        <w:t>équilibre géographique était respecté. Les douze membres étaient élus à la majorité par le Comité. L</w:t>
      </w:r>
      <w:r w:rsidR="00923E72">
        <w:rPr>
          <w:bCs/>
          <w:lang w:val="fr-FR"/>
        </w:rPr>
        <w:t>’</w:t>
      </w:r>
      <w:r w:rsidRPr="008F770B">
        <w:rPr>
          <w:bCs/>
          <w:lang w:val="fr-FR"/>
        </w:rPr>
        <w:t>Organe était composé des experts du Comité et travaillait sur la base du volontariat pour aider les États à présenter des demandes plus conformes aux objectifs de la Convention. C</w:t>
      </w:r>
      <w:r w:rsidR="00923E72">
        <w:rPr>
          <w:bCs/>
          <w:lang w:val="fr-FR"/>
        </w:rPr>
        <w:t>’</w:t>
      </w:r>
      <w:r w:rsidRPr="008F770B">
        <w:rPr>
          <w:bCs/>
          <w:lang w:val="fr-FR"/>
        </w:rPr>
        <w:t>était un travail technique, mais les évaluations devaient être objectives et fondées sur des données que seul l</w:t>
      </w:r>
      <w:r w:rsidR="00923E72">
        <w:rPr>
          <w:bCs/>
          <w:lang w:val="fr-FR"/>
        </w:rPr>
        <w:t>’</w:t>
      </w:r>
      <w:r w:rsidRPr="008F770B">
        <w:rPr>
          <w:bCs/>
          <w:lang w:val="fr-FR"/>
        </w:rPr>
        <w:t>État qui soumettait la demande était en mesure de fournir. Les membres de l</w:t>
      </w:r>
      <w:r w:rsidR="00923E72">
        <w:rPr>
          <w:bCs/>
          <w:lang w:val="fr-FR"/>
        </w:rPr>
        <w:t>’</w:t>
      </w:r>
      <w:r w:rsidRPr="008F770B">
        <w:rPr>
          <w:bCs/>
          <w:lang w:val="fr-FR"/>
        </w:rPr>
        <w:t>Organe ne pouvaient pas évaluer sur la base de considérations personnelles ou de connaissances personnelles. Ils ne pouvaient pas évaluer sur la base de sentiments ou de perceptions individuels, ni sur la base de la sympathie envers un État ou des aspirations légitimes d</w:t>
      </w:r>
      <w:r w:rsidR="00923E72">
        <w:rPr>
          <w:bCs/>
          <w:lang w:val="fr-FR"/>
        </w:rPr>
        <w:t>’</w:t>
      </w:r>
      <w:r w:rsidRPr="008F770B">
        <w:rPr>
          <w:bCs/>
          <w:lang w:val="fr-FR"/>
        </w:rPr>
        <w:t>un État à voir son patrimoine figurer sur la liste. Si cela était permis, tout serait discrétionnaire et dépourvu de toute logique. Ce même mécanisme créé par le Comité il y a plusieurs années était devenu un modèle pour de nombreuses autres conventions et programmes de l</w:t>
      </w:r>
      <w:r w:rsidR="00923E72">
        <w:rPr>
          <w:bCs/>
          <w:lang w:val="fr-FR"/>
        </w:rPr>
        <w:t>’</w:t>
      </w:r>
      <w:r w:rsidRPr="008F770B">
        <w:rPr>
          <w:bCs/>
          <w:lang w:val="fr-FR"/>
        </w:rPr>
        <w:t>UNESCO, car le processus d</w:t>
      </w:r>
      <w:r w:rsidR="00923E72">
        <w:rPr>
          <w:bCs/>
          <w:lang w:val="fr-FR"/>
        </w:rPr>
        <w:t>’</w:t>
      </w:r>
      <w:r w:rsidRPr="008F770B">
        <w:rPr>
          <w:bCs/>
          <w:lang w:val="fr-FR"/>
        </w:rPr>
        <w:t>évaluation actuel était un modèle de transparence, d</w:t>
      </w:r>
      <w:r w:rsidR="00923E72">
        <w:rPr>
          <w:bCs/>
          <w:lang w:val="fr-FR"/>
        </w:rPr>
        <w:t>’</w:t>
      </w:r>
      <w:r w:rsidRPr="008F770B">
        <w:rPr>
          <w:bCs/>
          <w:lang w:val="fr-FR"/>
        </w:rPr>
        <w:t xml:space="preserve">inclusivité et de participation, dans lequel chaque État avait les mêmes chances. </w:t>
      </w:r>
      <w:r w:rsidR="003F76C9">
        <w:rPr>
          <w:bCs/>
          <w:lang w:val="fr-FR"/>
        </w:rPr>
        <w:t>Le Président de l</w:t>
      </w:r>
      <w:r w:rsidR="00923E72">
        <w:rPr>
          <w:bCs/>
          <w:lang w:val="fr-FR"/>
        </w:rPr>
        <w:t>’</w:t>
      </w:r>
      <w:r w:rsidR="003F76C9">
        <w:rPr>
          <w:bCs/>
          <w:lang w:val="fr-FR"/>
        </w:rPr>
        <w:t>Organe d</w:t>
      </w:r>
      <w:r w:rsidR="00923E72">
        <w:rPr>
          <w:bCs/>
          <w:lang w:val="fr-FR"/>
        </w:rPr>
        <w:t>’</w:t>
      </w:r>
      <w:r w:rsidR="003F76C9">
        <w:rPr>
          <w:bCs/>
          <w:lang w:val="fr-FR"/>
        </w:rPr>
        <w:t xml:space="preserve">évaluation se demandait ce qui se passerait </w:t>
      </w:r>
      <w:r w:rsidRPr="008F770B">
        <w:rPr>
          <w:bCs/>
          <w:lang w:val="fr-FR"/>
        </w:rPr>
        <w:t>si un État transmettait des informations insuffisantes ou si un dossier contenait des expressions contraires à l</w:t>
      </w:r>
      <w:r w:rsidR="00923E72">
        <w:rPr>
          <w:bCs/>
          <w:lang w:val="fr-FR"/>
        </w:rPr>
        <w:t>’</w:t>
      </w:r>
      <w:r w:rsidRPr="008F770B">
        <w:rPr>
          <w:bCs/>
          <w:lang w:val="fr-FR"/>
        </w:rPr>
        <w:t>esprit de la Convention</w:t>
      </w:r>
      <w:r w:rsidR="003F76C9">
        <w:rPr>
          <w:bCs/>
          <w:lang w:val="fr-FR"/>
        </w:rPr>
        <w:t>, et q</w:t>
      </w:r>
      <w:r w:rsidRPr="008F770B">
        <w:rPr>
          <w:bCs/>
          <w:lang w:val="fr-FR"/>
        </w:rPr>
        <w:t>ue devrait faire l</w:t>
      </w:r>
      <w:r w:rsidR="00923E72">
        <w:rPr>
          <w:bCs/>
          <w:lang w:val="fr-FR"/>
        </w:rPr>
        <w:t>’</w:t>
      </w:r>
      <w:r w:rsidRPr="008F770B">
        <w:rPr>
          <w:bCs/>
          <w:lang w:val="fr-FR"/>
        </w:rPr>
        <w:t>Organe si, dans le dossier, il était indiqué que la communauté serait impliquée dans la mise en œuvre des mesures de sauvegarde</w:t>
      </w:r>
      <w:r w:rsidR="00104304">
        <w:rPr>
          <w:bCs/>
          <w:lang w:val="fr-FR"/>
        </w:rPr>
        <w:t>,</w:t>
      </w:r>
      <w:r w:rsidRPr="008F770B">
        <w:rPr>
          <w:bCs/>
          <w:lang w:val="fr-FR"/>
        </w:rPr>
        <w:t xml:space="preserve"> mais que l</w:t>
      </w:r>
      <w:r w:rsidR="00923E72">
        <w:rPr>
          <w:bCs/>
          <w:lang w:val="fr-FR"/>
        </w:rPr>
        <w:t>’</w:t>
      </w:r>
      <w:r w:rsidRPr="008F770B">
        <w:rPr>
          <w:bCs/>
          <w:lang w:val="fr-FR"/>
        </w:rPr>
        <w:t>État omettait des informations sur la communauté</w:t>
      </w:r>
      <w:r w:rsidR="003F76C9">
        <w:rPr>
          <w:bCs/>
          <w:lang w:val="fr-FR"/>
        </w:rPr>
        <w:t>.</w:t>
      </w:r>
      <w:r w:rsidRPr="008F770B">
        <w:rPr>
          <w:bCs/>
          <w:lang w:val="fr-FR"/>
        </w:rPr>
        <w:t xml:space="preserve"> Cela s</w:t>
      </w:r>
      <w:r w:rsidR="00923E72">
        <w:rPr>
          <w:bCs/>
          <w:lang w:val="fr-FR"/>
        </w:rPr>
        <w:t>’</w:t>
      </w:r>
      <w:r w:rsidRPr="008F770B">
        <w:rPr>
          <w:bCs/>
          <w:lang w:val="fr-FR"/>
        </w:rPr>
        <w:t>était produit au cours de ce cycle. Le processus de dialogue actuel ne pouvait pas résoudre cette question complexe. Le Comité pourrait peut-être apporter une solution partielle</w:t>
      </w:r>
      <w:r w:rsidR="008D4B3C">
        <w:rPr>
          <w:bCs/>
          <w:lang w:val="fr-FR"/>
        </w:rPr>
        <w:t xml:space="preserve"> </w:t>
      </w:r>
      <w:r w:rsidRPr="008F770B">
        <w:rPr>
          <w:bCs/>
          <w:lang w:val="fr-FR"/>
        </w:rPr>
        <w:t>qui permettrait à l</w:t>
      </w:r>
      <w:r w:rsidR="00923E72">
        <w:rPr>
          <w:bCs/>
          <w:lang w:val="fr-FR"/>
        </w:rPr>
        <w:t>’</w:t>
      </w:r>
      <w:r w:rsidRPr="008F770B">
        <w:rPr>
          <w:bCs/>
          <w:lang w:val="fr-FR"/>
        </w:rPr>
        <w:t>Organe d</w:t>
      </w:r>
      <w:r w:rsidR="00923E72">
        <w:rPr>
          <w:bCs/>
          <w:lang w:val="fr-FR"/>
        </w:rPr>
        <w:t>’</w:t>
      </w:r>
      <w:r w:rsidRPr="008F770B">
        <w:rPr>
          <w:bCs/>
          <w:lang w:val="fr-FR"/>
        </w:rPr>
        <w:t>évaluation de communiquer en ligne avec la communauté, comme l</w:t>
      </w:r>
      <w:r w:rsidR="00923E72">
        <w:rPr>
          <w:bCs/>
          <w:lang w:val="fr-FR"/>
        </w:rPr>
        <w:t>’</w:t>
      </w:r>
      <w:r w:rsidRPr="008F770B">
        <w:rPr>
          <w:bCs/>
          <w:lang w:val="fr-FR"/>
        </w:rPr>
        <w:t>avaient suggéré plusieurs États parties au cours du débat, afin de savoir directement si, effectivement, il y avait eu</w:t>
      </w:r>
      <w:r w:rsidR="003F76C9">
        <w:rPr>
          <w:bCs/>
          <w:lang w:val="fr-FR"/>
        </w:rPr>
        <w:t xml:space="preserve"> participation</w:t>
      </w:r>
      <w:r w:rsidRPr="008F770B">
        <w:rPr>
          <w:bCs/>
          <w:lang w:val="fr-FR"/>
        </w:rPr>
        <w:t>, de quelle manière et pour qui. Cela résoudrait de nombreux problèmes et confirmerait un principe fondateur de la Convention de</w:t>
      </w:r>
      <w:r w:rsidR="006773EF">
        <w:rPr>
          <w:bCs/>
          <w:lang w:val="fr-FR"/>
        </w:rPr>
        <w:t> </w:t>
      </w:r>
      <w:r w:rsidRPr="008F770B">
        <w:rPr>
          <w:bCs/>
          <w:lang w:val="fr-FR"/>
        </w:rPr>
        <w:t>2003, puisque les protagonistes de ce processus étaient la communauté.</w:t>
      </w:r>
    </w:p>
    <w:p w14:paraId="4FAD4075" w14:textId="640552E8" w:rsidR="00104304" w:rsidRDefault="003E3084">
      <w:pPr>
        <w:pStyle w:val="Orateurengris"/>
        <w:numPr>
          <w:ilvl w:val="0"/>
          <w:numId w:val="20"/>
        </w:numPr>
        <w:tabs>
          <w:tab w:val="clear" w:pos="567"/>
        </w:tabs>
        <w:spacing w:before="120"/>
        <w:ind w:left="709" w:hanging="709"/>
        <w:rPr>
          <w:bCs/>
          <w:lang w:val="fr-FR"/>
        </w:rPr>
      </w:pPr>
      <w:r w:rsidRPr="006251F1">
        <w:rPr>
          <w:bCs/>
          <w:lang w:val="fr-FR"/>
        </w:rPr>
        <w:t xml:space="preserve">Le </w:t>
      </w:r>
      <w:r w:rsidRPr="006251F1">
        <w:rPr>
          <w:b/>
          <w:lang w:val="fr-FR"/>
        </w:rPr>
        <w:t>Président de l</w:t>
      </w:r>
      <w:r w:rsidR="00923E72" w:rsidRPr="006251F1">
        <w:rPr>
          <w:b/>
          <w:lang w:val="fr-FR"/>
        </w:rPr>
        <w:t>’</w:t>
      </w:r>
      <w:r w:rsidRPr="006251F1">
        <w:rPr>
          <w:b/>
          <w:lang w:val="fr-FR"/>
        </w:rPr>
        <w:t>Organe d</w:t>
      </w:r>
      <w:r w:rsidR="00923E72" w:rsidRPr="006251F1">
        <w:rPr>
          <w:b/>
          <w:lang w:val="fr-FR"/>
        </w:rPr>
        <w:t>’</w:t>
      </w:r>
      <w:r w:rsidRPr="006251F1">
        <w:rPr>
          <w:b/>
          <w:lang w:val="fr-FR"/>
        </w:rPr>
        <w:t>évaluation</w:t>
      </w:r>
      <w:r w:rsidRPr="006251F1">
        <w:rPr>
          <w:bCs/>
          <w:lang w:val="fr-FR"/>
        </w:rPr>
        <w:t xml:space="preserve"> a </w:t>
      </w:r>
      <w:r w:rsidR="00024991" w:rsidRPr="006251F1">
        <w:rPr>
          <w:bCs/>
          <w:lang w:val="fr-FR"/>
        </w:rPr>
        <w:t xml:space="preserve">évoqué </w:t>
      </w:r>
      <w:r w:rsidRPr="006251F1">
        <w:rPr>
          <w:bCs/>
          <w:lang w:val="fr-FR"/>
        </w:rPr>
        <w:t>l</w:t>
      </w:r>
      <w:r w:rsidR="002506B7" w:rsidRPr="006251F1">
        <w:rPr>
          <w:bCs/>
          <w:lang w:val="fr-FR"/>
        </w:rPr>
        <w:t>a</w:t>
      </w:r>
      <w:r w:rsidRPr="006251F1">
        <w:rPr>
          <w:bCs/>
          <w:lang w:val="fr-FR"/>
        </w:rPr>
        <w:t xml:space="preserve"> troisième </w:t>
      </w:r>
      <w:r w:rsidR="00206B59" w:rsidRPr="006251F1">
        <w:rPr>
          <w:bCs/>
          <w:lang w:val="fr-FR"/>
        </w:rPr>
        <w:t xml:space="preserve">question </w:t>
      </w:r>
      <w:r w:rsidRPr="006251F1">
        <w:rPr>
          <w:bCs/>
          <w:lang w:val="fr-FR"/>
        </w:rPr>
        <w:t>de ce cy</w:t>
      </w:r>
      <w:r w:rsidR="00206B59" w:rsidRPr="006251F1">
        <w:rPr>
          <w:bCs/>
          <w:lang w:val="fr-FR"/>
        </w:rPr>
        <w:t>cle</w:t>
      </w:r>
      <w:r w:rsidRPr="006251F1">
        <w:rPr>
          <w:bCs/>
          <w:lang w:val="fr-FR"/>
        </w:rPr>
        <w:t xml:space="preserve">, à savoir </w:t>
      </w:r>
      <w:r w:rsidRPr="006E3034">
        <w:rPr>
          <w:bCs/>
          <w:lang w:val="fr-FR"/>
        </w:rPr>
        <w:t>certains États parties avaient manifestement plus de difficultés à préparer les dossiers</w:t>
      </w:r>
      <w:r w:rsidRPr="006251F1">
        <w:rPr>
          <w:bCs/>
          <w:lang w:val="fr-FR"/>
        </w:rPr>
        <w:t>.</w:t>
      </w:r>
      <w:r w:rsidRPr="003E3084">
        <w:rPr>
          <w:bCs/>
          <w:lang w:val="fr-FR"/>
        </w:rPr>
        <w:t xml:space="preserve"> Il était donc essentiel de travailler sur les actions de renforcement des capacités. En effet, la Convention était un modèle, un exemple pour d</w:t>
      </w:r>
      <w:r w:rsidR="00923E72">
        <w:rPr>
          <w:bCs/>
          <w:lang w:val="fr-FR"/>
        </w:rPr>
        <w:t>’</w:t>
      </w:r>
      <w:r w:rsidRPr="003E3084">
        <w:rPr>
          <w:bCs/>
          <w:lang w:val="fr-FR"/>
        </w:rPr>
        <w:t>autres programmes. C</w:t>
      </w:r>
      <w:r w:rsidR="00923E72">
        <w:rPr>
          <w:bCs/>
          <w:lang w:val="fr-FR"/>
        </w:rPr>
        <w:t>’</w:t>
      </w:r>
      <w:r w:rsidRPr="003E3084">
        <w:rPr>
          <w:bCs/>
          <w:lang w:val="fr-FR"/>
        </w:rPr>
        <w:t xml:space="preserve">était une Convention riche en expertise et les capacités étaient disponibles grâce aux facilitateurs formés ainsi </w:t>
      </w:r>
      <w:r w:rsidRPr="003E3084">
        <w:rPr>
          <w:bCs/>
          <w:lang w:val="fr-FR"/>
        </w:rPr>
        <w:lastRenderedPageBreak/>
        <w:t>qu</w:t>
      </w:r>
      <w:r w:rsidR="00923E72">
        <w:rPr>
          <w:bCs/>
          <w:lang w:val="fr-FR"/>
        </w:rPr>
        <w:t>’</w:t>
      </w:r>
      <w:r w:rsidRPr="003E3084">
        <w:rPr>
          <w:bCs/>
          <w:lang w:val="fr-FR"/>
        </w:rPr>
        <w:t xml:space="preserve">aux </w:t>
      </w:r>
      <w:r w:rsidR="004C6500">
        <w:rPr>
          <w:bCs/>
          <w:lang w:val="fr-FR"/>
        </w:rPr>
        <w:t>organisations non gouvernementales</w:t>
      </w:r>
      <w:r w:rsidRPr="003E3084">
        <w:rPr>
          <w:bCs/>
          <w:lang w:val="fr-FR"/>
        </w:rPr>
        <w:t>, aux chaires UNESCO et à d</w:t>
      </w:r>
      <w:r w:rsidR="00923E72">
        <w:rPr>
          <w:bCs/>
          <w:lang w:val="fr-FR"/>
        </w:rPr>
        <w:t>’</w:t>
      </w:r>
      <w:r w:rsidRPr="003E3084">
        <w:rPr>
          <w:bCs/>
          <w:lang w:val="fr-FR"/>
        </w:rPr>
        <w:t>autres. Ils étaient tous disponibles pour soutenir les communautés, les groupes et les individus ainsi que les États parties dans la rédaction de leur dossier. Cependant, il était évident qu</w:t>
      </w:r>
      <w:r w:rsidR="00923E72">
        <w:rPr>
          <w:bCs/>
          <w:lang w:val="fr-FR"/>
        </w:rPr>
        <w:t>’</w:t>
      </w:r>
      <w:r w:rsidRPr="003E3084">
        <w:rPr>
          <w:bCs/>
          <w:lang w:val="fr-FR"/>
        </w:rPr>
        <w:t>ils n</w:t>
      </w:r>
      <w:r w:rsidR="00923E72">
        <w:rPr>
          <w:bCs/>
          <w:lang w:val="fr-FR"/>
        </w:rPr>
        <w:t>’</w:t>
      </w:r>
      <w:r w:rsidRPr="003E3084">
        <w:rPr>
          <w:bCs/>
          <w:lang w:val="fr-FR"/>
        </w:rPr>
        <w:t>étaient pas suffisamment utilisés. L</w:t>
      </w:r>
      <w:r w:rsidR="00923E72">
        <w:rPr>
          <w:bCs/>
          <w:lang w:val="fr-FR"/>
        </w:rPr>
        <w:t>’</w:t>
      </w:r>
      <w:r w:rsidRPr="003E3084">
        <w:rPr>
          <w:bCs/>
          <w:lang w:val="fr-FR"/>
        </w:rPr>
        <w:t>Organe espérait que les mécanismes de soutien aux États pourraient être élargis. Le renforcement des capacités et la préparation des dossiers de candidature par les États parties devraient refléter le contenu des rapports du Comité et de l</w:t>
      </w:r>
      <w:r w:rsidR="00923E72">
        <w:rPr>
          <w:bCs/>
          <w:lang w:val="fr-FR"/>
        </w:rPr>
        <w:t>’</w:t>
      </w:r>
      <w:r w:rsidRPr="003E3084">
        <w:rPr>
          <w:bCs/>
          <w:lang w:val="fr-FR"/>
        </w:rPr>
        <w:t>Organe d</w:t>
      </w:r>
      <w:r w:rsidR="00923E72">
        <w:rPr>
          <w:bCs/>
          <w:lang w:val="fr-FR"/>
        </w:rPr>
        <w:t>’</w:t>
      </w:r>
      <w:r w:rsidRPr="003E3084">
        <w:rPr>
          <w:bCs/>
          <w:lang w:val="fr-FR"/>
        </w:rPr>
        <w:t>évaluation des dix dernières années. Chaque année, le rapport indiquait, comme l</w:t>
      </w:r>
      <w:r w:rsidR="00923E72">
        <w:rPr>
          <w:bCs/>
          <w:lang w:val="fr-FR"/>
        </w:rPr>
        <w:t>’</w:t>
      </w:r>
      <w:r w:rsidRPr="003E3084">
        <w:rPr>
          <w:bCs/>
          <w:lang w:val="fr-FR"/>
        </w:rPr>
        <w:t>avaient souligné plusieurs membres du Comité, les questions importantes à prendre en compte lors de la rédaction d</w:t>
      </w:r>
      <w:r w:rsidR="00923E72">
        <w:rPr>
          <w:bCs/>
          <w:lang w:val="fr-FR"/>
        </w:rPr>
        <w:t>’</w:t>
      </w:r>
      <w:r w:rsidRPr="003E3084">
        <w:rPr>
          <w:bCs/>
          <w:lang w:val="fr-FR"/>
        </w:rPr>
        <w:t>un dossier de candidature, les aspects à mettre en évidence et ceux à expliquer. Cette année, le rapport se montrait encore plus clair sur ces points. Une autre action de renforcement des capacités consistait à respecter l</w:t>
      </w:r>
      <w:r w:rsidR="00923E72">
        <w:rPr>
          <w:bCs/>
          <w:lang w:val="fr-FR"/>
        </w:rPr>
        <w:t>’</w:t>
      </w:r>
      <w:r w:rsidRPr="003E3084">
        <w:rPr>
          <w:bCs/>
          <w:lang w:val="fr-FR"/>
        </w:rPr>
        <w:t>option d</w:t>
      </w:r>
      <w:r w:rsidR="003C3EB1">
        <w:rPr>
          <w:bCs/>
          <w:lang w:val="fr-FR"/>
        </w:rPr>
        <w:t>e</w:t>
      </w:r>
      <w:r w:rsidRPr="003E3084">
        <w:rPr>
          <w:bCs/>
          <w:lang w:val="fr-FR"/>
        </w:rPr>
        <w:t xml:space="preserve"> renvoi. Le renvoi était une excellente occasion pour les États parties de revoir le dossier et de rouvrir le dialogue avec la communauté. L</w:t>
      </w:r>
      <w:r w:rsidR="00923E72">
        <w:rPr>
          <w:bCs/>
          <w:lang w:val="fr-FR"/>
        </w:rPr>
        <w:t>’</w:t>
      </w:r>
      <w:r w:rsidR="003C3EB1">
        <w:rPr>
          <w:bCs/>
          <w:lang w:val="fr-FR"/>
        </w:rPr>
        <w:t>O</w:t>
      </w:r>
      <w:r w:rsidRPr="003E3084">
        <w:rPr>
          <w:bCs/>
          <w:lang w:val="fr-FR"/>
        </w:rPr>
        <w:t>rgane regrettait que ce Comité ait décidé dans de nombreux cas de ne pas donner aux États parties l</w:t>
      </w:r>
      <w:r w:rsidR="00923E72">
        <w:rPr>
          <w:bCs/>
          <w:lang w:val="fr-FR"/>
        </w:rPr>
        <w:t>’</w:t>
      </w:r>
      <w:r w:rsidRPr="003E3084">
        <w:rPr>
          <w:bCs/>
          <w:lang w:val="fr-FR"/>
        </w:rPr>
        <w:t xml:space="preserve">opportunité de mieux clarifier leurs dossiers. En effet, il avait été souligné à quel point les dossiers </w:t>
      </w:r>
      <w:r w:rsidR="003C3EB1">
        <w:rPr>
          <w:bCs/>
          <w:lang w:val="fr-FR"/>
        </w:rPr>
        <w:t xml:space="preserve">soumis à nouveau </w:t>
      </w:r>
      <w:r w:rsidRPr="003E3084">
        <w:rPr>
          <w:bCs/>
          <w:lang w:val="fr-FR"/>
        </w:rPr>
        <w:t>à l</w:t>
      </w:r>
      <w:r w:rsidR="00923E72">
        <w:rPr>
          <w:bCs/>
          <w:lang w:val="fr-FR"/>
        </w:rPr>
        <w:t>’</w:t>
      </w:r>
      <w:r w:rsidRPr="003E3084">
        <w:rPr>
          <w:bCs/>
          <w:lang w:val="fr-FR"/>
        </w:rPr>
        <w:t>attention de l</w:t>
      </w:r>
      <w:r w:rsidR="00923E72">
        <w:rPr>
          <w:bCs/>
          <w:lang w:val="fr-FR"/>
        </w:rPr>
        <w:t>’</w:t>
      </w:r>
      <w:r w:rsidRPr="003E3084">
        <w:rPr>
          <w:bCs/>
          <w:lang w:val="fr-FR"/>
        </w:rPr>
        <w:t>Organe</w:t>
      </w:r>
      <w:r w:rsidR="002506B7">
        <w:rPr>
          <w:bCs/>
          <w:lang w:val="fr-FR"/>
        </w:rPr>
        <w:t xml:space="preserve"> </w:t>
      </w:r>
      <w:r w:rsidRPr="003E3084">
        <w:rPr>
          <w:bCs/>
          <w:lang w:val="fr-FR"/>
        </w:rPr>
        <w:t>après un premier renvoi étaient souvent bien rédigés. Au cours de ce cycle, l</w:t>
      </w:r>
      <w:r w:rsidR="00923E72">
        <w:rPr>
          <w:bCs/>
          <w:lang w:val="fr-FR"/>
        </w:rPr>
        <w:t>’</w:t>
      </w:r>
      <w:r w:rsidRPr="003E3084">
        <w:rPr>
          <w:bCs/>
          <w:lang w:val="fr-FR"/>
        </w:rPr>
        <w:t>Organe avait signalé que trois dossiers ayant fait l</w:t>
      </w:r>
      <w:r w:rsidR="00923E72">
        <w:rPr>
          <w:bCs/>
          <w:lang w:val="fr-FR"/>
        </w:rPr>
        <w:t>’</w:t>
      </w:r>
      <w:r w:rsidRPr="003E3084">
        <w:rPr>
          <w:bCs/>
          <w:lang w:val="fr-FR"/>
        </w:rPr>
        <w:t>objet d</w:t>
      </w:r>
      <w:r w:rsidR="00923E72">
        <w:rPr>
          <w:bCs/>
          <w:lang w:val="fr-FR"/>
        </w:rPr>
        <w:t>’</w:t>
      </w:r>
      <w:r w:rsidRPr="003E3084">
        <w:rPr>
          <w:bCs/>
          <w:lang w:val="fr-FR"/>
        </w:rPr>
        <w:t>un renvoi antérieur avaient été soumis à nouveau et évalués très favorablement.</w:t>
      </w:r>
    </w:p>
    <w:p w14:paraId="1A7E2DAC" w14:textId="19C4594D" w:rsidR="003C3EB1" w:rsidRDefault="00206B59">
      <w:pPr>
        <w:pStyle w:val="Orateurengris"/>
        <w:numPr>
          <w:ilvl w:val="0"/>
          <w:numId w:val="20"/>
        </w:numPr>
        <w:tabs>
          <w:tab w:val="clear" w:pos="567"/>
        </w:tabs>
        <w:spacing w:before="120"/>
        <w:ind w:left="709" w:hanging="709"/>
        <w:rPr>
          <w:bCs/>
          <w:lang w:val="fr-FR"/>
        </w:rPr>
      </w:pPr>
      <w:r w:rsidRPr="00206B59">
        <w:rPr>
          <w:bCs/>
          <w:lang w:val="fr-FR"/>
        </w:rPr>
        <w:t xml:space="preserve">Le </w:t>
      </w:r>
      <w:r w:rsidRPr="00702497">
        <w:rPr>
          <w:b/>
          <w:lang w:val="fr-FR"/>
        </w:rPr>
        <w:t>Président de l</w:t>
      </w:r>
      <w:r w:rsidR="00923E72">
        <w:rPr>
          <w:b/>
          <w:lang w:val="fr-FR"/>
        </w:rPr>
        <w:t>’</w:t>
      </w:r>
      <w:r w:rsidRPr="00702497">
        <w:rPr>
          <w:b/>
          <w:lang w:val="fr-FR"/>
        </w:rPr>
        <w:t>Organe d</w:t>
      </w:r>
      <w:r w:rsidR="00923E72">
        <w:rPr>
          <w:b/>
          <w:lang w:val="fr-FR"/>
        </w:rPr>
        <w:t>’</w:t>
      </w:r>
      <w:r w:rsidRPr="00702497">
        <w:rPr>
          <w:b/>
          <w:lang w:val="fr-FR"/>
        </w:rPr>
        <w:t>évaluation</w:t>
      </w:r>
      <w:r w:rsidRPr="00206B59">
        <w:rPr>
          <w:bCs/>
          <w:lang w:val="fr-FR"/>
        </w:rPr>
        <w:t xml:space="preserve"> a </w:t>
      </w:r>
      <w:r w:rsidR="00024991">
        <w:rPr>
          <w:bCs/>
          <w:lang w:val="fr-FR"/>
        </w:rPr>
        <w:t xml:space="preserve">abordé </w:t>
      </w:r>
      <w:r w:rsidRPr="00206B59">
        <w:rPr>
          <w:bCs/>
          <w:lang w:val="fr-FR"/>
        </w:rPr>
        <w:t>la quatrième question</w:t>
      </w:r>
      <w:r w:rsidR="00024991">
        <w:rPr>
          <w:bCs/>
          <w:lang w:val="fr-FR"/>
        </w:rPr>
        <w:t>,</w:t>
      </w:r>
      <w:r w:rsidRPr="00206B59">
        <w:rPr>
          <w:bCs/>
          <w:lang w:val="fr-FR"/>
        </w:rPr>
        <w:t xml:space="preserve"> concernant </w:t>
      </w:r>
      <w:r w:rsidRPr="00702497">
        <w:rPr>
          <w:bCs/>
          <w:u w:val="single"/>
          <w:lang w:val="fr-FR"/>
        </w:rPr>
        <w:t xml:space="preserve">la </w:t>
      </w:r>
      <w:r w:rsidRPr="006E3034">
        <w:rPr>
          <w:bCs/>
          <w:lang w:val="fr-FR"/>
        </w:rPr>
        <w:t>commercialisation excessive</w:t>
      </w:r>
      <w:r w:rsidRPr="00206B59">
        <w:rPr>
          <w:bCs/>
          <w:lang w:val="fr-FR"/>
        </w:rPr>
        <w:t xml:space="preserve"> et l</w:t>
      </w:r>
      <w:r w:rsidR="00923E72">
        <w:rPr>
          <w:bCs/>
          <w:lang w:val="fr-FR"/>
        </w:rPr>
        <w:t>’</w:t>
      </w:r>
      <w:r w:rsidRPr="00206B59">
        <w:rPr>
          <w:bCs/>
          <w:lang w:val="fr-FR"/>
        </w:rPr>
        <w:t>exploitation du patrimoine culturel immatériel à des fins touristiques. L</w:t>
      </w:r>
      <w:r w:rsidR="00923E72">
        <w:rPr>
          <w:bCs/>
          <w:lang w:val="fr-FR"/>
        </w:rPr>
        <w:t>’</w:t>
      </w:r>
      <w:r w:rsidRPr="00206B59">
        <w:rPr>
          <w:bCs/>
          <w:lang w:val="fr-FR"/>
        </w:rPr>
        <w:t>Organe d</w:t>
      </w:r>
      <w:r w:rsidR="00923E72">
        <w:rPr>
          <w:bCs/>
          <w:lang w:val="fr-FR"/>
        </w:rPr>
        <w:t>’</w:t>
      </w:r>
      <w:r w:rsidRPr="00206B59">
        <w:rPr>
          <w:bCs/>
          <w:lang w:val="fr-FR"/>
        </w:rPr>
        <w:t>évaluation n</w:t>
      </w:r>
      <w:r w:rsidR="00923E72">
        <w:rPr>
          <w:bCs/>
          <w:lang w:val="fr-FR"/>
        </w:rPr>
        <w:t>’</w:t>
      </w:r>
      <w:r w:rsidRPr="00206B59">
        <w:rPr>
          <w:bCs/>
          <w:lang w:val="fr-FR"/>
        </w:rPr>
        <w:t>était pas opposé à la commercialisation et au tourisme. Il avait été clairement indiqué que ces activités pouvaient améliorer les moyens de subsistance des communautés si elles étaient bien gérées. C</w:t>
      </w:r>
      <w:r w:rsidR="00923E72">
        <w:rPr>
          <w:bCs/>
          <w:lang w:val="fr-FR"/>
        </w:rPr>
        <w:t>’</w:t>
      </w:r>
      <w:r w:rsidRPr="00206B59">
        <w:rPr>
          <w:bCs/>
          <w:lang w:val="fr-FR"/>
        </w:rPr>
        <w:t>étaient là deux questions très importantes</w:t>
      </w:r>
      <w:r w:rsidR="001F63EE">
        <w:rPr>
          <w:bCs/>
          <w:lang w:val="fr-FR"/>
        </w:rPr>
        <w:t>,</w:t>
      </w:r>
      <w:r w:rsidRPr="00206B59">
        <w:rPr>
          <w:bCs/>
          <w:lang w:val="fr-FR"/>
        </w:rPr>
        <w:t xml:space="preserve"> qui devaient prendre en compte ce qui est énoncé dans le</w:t>
      </w:r>
      <w:r w:rsidR="00026C31">
        <w:rPr>
          <w:bCs/>
          <w:lang w:val="fr-FR"/>
        </w:rPr>
        <w:t>s</w:t>
      </w:r>
      <w:r w:rsidRPr="00206B59">
        <w:rPr>
          <w:bCs/>
          <w:lang w:val="fr-FR"/>
        </w:rPr>
        <w:t xml:space="preserve"> </w:t>
      </w:r>
      <w:r w:rsidR="00357512">
        <w:rPr>
          <w:bCs/>
          <w:lang w:val="fr-FR"/>
        </w:rPr>
        <w:t>p</w:t>
      </w:r>
      <w:r w:rsidRPr="00206B59">
        <w:rPr>
          <w:bCs/>
          <w:lang w:val="fr-FR"/>
        </w:rPr>
        <w:t>rincipe</w:t>
      </w:r>
      <w:r w:rsidR="00026C31">
        <w:rPr>
          <w:bCs/>
          <w:lang w:val="fr-FR"/>
        </w:rPr>
        <w:t>s éthiques</w:t>
      </w:r>
      <w:r w:rsidRPr="00206B59">
        <w:rPr>
          <w:bCs/>
          <w:lang w:val="fr-FR"/>
        </w:rPr>
        <w:t xml:space="preserve"> </w:t>
      </w:r>
      <w:r w:rsidR="00026C31">
        <w:rPr>
          <w:bCs/>
          <w:lang w:val="fr-FR"/>
        </w:rPr>
        <w:t xml:space="preserve">pour la </w:t>
      </w:r>
      <w:r w:rsidRPr="00206B59">
        <w:rPr>
          <w:bCs/>
          <w:lang w:val="fr-FR"/>
        </w:rPr>
        <w:t>sauvegarde du patrimoine culturel immatériel</w:t>
      </w:r>
      <w:r w:rsidR="002506B7">
        <w:rPr>
          <w:bCs/>
          <w:lang w:val="fr-FR"/>
        </w:rPr>
        <w:t>,</w:t>
      </w:r>
      <w:r w:rsidRPr="00206B59">
        <w:rPr>
          <w:bCs/>
          <w:lang w:val="fr-FR"/>
        </w:rPr>
        <w:t xml:space="preserve"> adopté</w:t>
      </w:r>
      <w:r w:rsidR="002506B7">
        <w:rPr>
          <w:bCs/>
          <w:lang w:val="fr-FR"/>
        </w:rPr>
        <w:t>s</w:t>
      </w:r>
      <w:r w:rsidRPr="00206B59">
        <w:rPr>
          <w:bCs/>
          <w:lang w:val="fr-FR"/>
        </w:rPr>
        <w:t xml:space="preserve"> par ce Comité en</w:t>
      </w:r>
      <w:r w:rsidR="001A7AF7">
        <w:rPr>
          <w:bCs/>
          <w:lang w:val="fr-FR"/>
        </w:rPr>
        <w:t> </w:t>
      </w:r>
      <w:r w:rsidRPr="00206B59">
        <w:rPr>
          <w:bCs/>
          <w:lang w:val="fr-FR"/>
        </w:rPr>
        <w:t xml:space="preserve">2015 lors de la session en Namibie. La dernière question concernait </w:t>
      </w:r>
      <w:r w:rsidRPr="006E3034">
        <w:rPr>
          <w:bCs/>
          <w:lang w:val="fr-FR"/>
        </w:rPr>
        <w:t>la relation entre le Comité et l</w:t>
      </w:r>
      <w:r w:rsidR="00923E72" w:rsidRPr="006E3034">
        <w:rPr>
          <w:bCs/>
          <w:lang w:val="fr-FR"/>
        </w:rPr>
        <w:t>’</w:t>
      </w:r>
      <w:r w:rsidRPr="006E3034">
        <w:rPr>
          <w:bCs/>
          <w:lang w:val="fr-FR"/>
        </w:rPr>
        <w:t>Organe d</w:t>
      </w:r>
      <w:r w:rsidR="00923E72" w:rsidRPr="006E3034">
        <w:rPr>
          <w:bCs/>
          <w:lang w:val="fr-FR"/>
        </w:rPr>
        <w:t>’</w:t>
      </w:r>
      <w:r w:rsidRPr="006E3034">
        <w:rPr>
          <w:bCs/>
          <w:lang w:val="fr-FR"/>
        </w:rPr>
        <w:t>évaluation</w:t>
      </w:r>
      <w:r w:rsidRPr="00206B59">
        <w:rPr>
          <w:bCs/>
          <w:lang w:val="fr-FR"/>
        </w:rPr>
        <w:t>. L</w:t>
      </w:r>
      <w:r w:rsidR="00923E72">
        <w:rPr>
          <w:bCs/>
          <w:lang w:val="fr-FR"/>
        </w:rPr>
        <w:t>’</w:t>
      </w:r>
      <w:r w:rsidRPr="00206B59">
        <w:rPr>
          <w:bCs/>
          <w:lang w:val="fr-FR"/>
        </w:rPr>
        <w:t>Organe était technique mais il était également humain. Les experts étudiaient et pratiquaient le patrimoine culturel avec beaucoup de passion. De retour dans leur pays, ils travaillaient avec les communautés du patrimoine et comprenaient les valeurs du patrimoine culturel immatériel et l</w:t>
      </w:r>
      <w:r w:rsidR="00923E72">
        <w:rPr>
          <w:bCs/>
          <w:lang w:val="fr-FR"/>
        </w:rPr>
        <w:t>’</w:t>
      </w:r>
      <w:r w:rsidRPr="00206B59">
        <w:rPr>
          <w:bCs/>
          <w:lang w:val="fr-FR"/>
        </w:rPr>
        <w:t xml:space="preserve">importance de ces candidatures pour </w:t>
      </w:r>
      <w:r w:rsidR="008D4B3C">
        <w:rPr>
          <w:bCs/>
          <w:lang w:val="fr-FR"/>
        </w:rPr>
        <w:t xml:space="preserve">les </w:t>
      </w:r>
      <w:r w:rsidR="008D4B3C" w:rsidRPr="008D4B3C">
        <w:rPr>
          <w:bCs/>
          <w:color w:val="000000" w:themeColor="text1"/>
          <w:lang w:val="fr-FR"/>
        </w:rPr>
        <w:t>communautés</w:t>
      </w:r>
      <w:r w:rsidRPr="00206B59">
        <w:rPr>
          <w:bCs/>
          <w:lang w:val="fr-FR"/>
        </w:rPr>
        <w:t>. Lorsque le Secrétariat avait demandé à l</w:t>
      </w:r>
      <w:r w:rsidR="00923E72">
        <w:rPr>
          <w:bCs/>
          <w:lang w:val="fr-FR"/>
        </w:rPr>
        <w:t>’</w:t>
      </w:r>
      <w:r w:rsidRPr="00206B59">
        <w:rPr>
          <w:bCs/>
          <w:lang w:val="fr-FR"/>
        </w:rPr>
        <w:t>Organe d</w:t>
      </w:r>
      <w:r w:rsidR="00923E72">
        <w:rPr>
          <w:bCs/>
          <w:lang w:val="fr-FR"/>
        </w:rPr>
        <w:t>’</w:t>
      </w:r>
      <w:r w:rsidRPr="00206B59">
        <w:rPr>
          <w:bCs/>
          <w:lang w:val="fr-FR"/>
        </w:rPr>
        <w:t>évaluer d</w:t>
      </w:r>
      <w:r w:rsidR="00923E72">
        <w:rPr>
          <w:bCs/>
          <w:lang w:val="fr-FR"/>
        </w:rPr>
        <w:t>’</w:t>
      </w:r>
      <w:r w:rsidRPr="00206B59">
        <w:rPr>
          <w:bCs/>
          <w:lang w:val="fr-FR"/>
        </w:rPr>
        <w:t>urgence le dossier soumis par l</w:t>
      </w:r>
      <w:r w:rsidR="00923E72">
        <w:rPr>
          <w:bCs/>
          <w:lang w:val="fr-FR"/>
        </w:rPr>
        <w:t>’</w:t>
      </w:r>
      <w:r w:rsidRPr="00206B59">
        <w:rPr>
          <w:bCs/>
          <w:lang w:val="fr-FR"/>
        </w:rPr>
        <w:t>Ukraine, aucun membre de l</w:t>
      </w:r>
      <w:r w:rsidR="00923E72">
        <w:rPr>
          <w:bCs/>
          <w:lang w:val="fr-FR"/>
        </w:rPr>
        <w:t>’</w:t>
      </w:r>
      <w:r w:rsidRPr="00206B59">
        <w:rPr>
          <w:bCs/>
          <w:lang w:val="fr-FR"/>
        </w:rPr>
        <w:t>Organe ne s</w:t>
      </w:r>
      <w:r w:rsidR="00923E72">
        <w:rPr>
          <w:bCs/>
          <w:lang w:val="fr-FR"/>
        </w:rPr>
        <w:t>’</w:t>
      </w:r>
      <w:r w:rsidRPr="00206B59">
        <w:rPr>
          <w:bCs/>
          <w:lang w:val="fr-FR"/>
        </w:rPr>
        <w:t>y était opposé, même si cela impliquait un surcroît de travail. La même chose s</w:t>
      </w:r>
      <w:r w:rsidR="00923E72">
        <w:rPr>
          <w:bCs/>
          <w:lang w:val="fr-FR"/>
        </w:rPr>
        <w:t>’</w:t>
      </w:r>
      <w:r w:rsidRPr="00206B59">
        <w:rPr>
          <w:bCs/>
          <w:lang w:val="fr-FR"/>
        </w:rPr>
        <w:t>était produite en</w:t>
      </w:r>
      <w:r w:rsidR="00AF6B98">
        <w:rPr>
          <w:bCs/>
          <w:lang w:val="fr-FR"/>
        </w:rPr>
        <w:t> </w:t>
      </w:r>
      <w:r w:rsidRPr="00206B59">
        <w:rPr>
          <w:bCs/>
          <w:lang w:val="fr-FR"/>
        </w:rPr>
        <w:t>2021 lorsque l</w:t>
      </w:r>
      <w:r w:rsidR="00923E72">
        <w:rPr>
          <w:bCs/>
          <w:lang w:val="fr-FR"/>
        </w:rPr>
        <w:t>’</w:t>
      </w:r>
      <w:r w:rsidRPr="00206B59">
        <w:rPr>
          <w:bCs/>
          <w:lang w:val="fr-FR"/>
        </w:rPr>
        <w:t>Organe avait été invité à évaluer le dossier soumis par Haïti. Cette année, le cycle avait été rendu encore plus complexe avec trois dossiers soumis par l</w:t>
      </w:r>
      <w:r w:rsidR="00923E72">
        <w:rPr>
          <w:bCs/>
          <w:lang w:val="fr-FR"/>
        </w:rPr>
        <w:t>’</w:t>
      </w:r>
      <w:r w:rsidRPr="00206B59">
        <w:rPr>
          <w:bCs/>
          <w:lang w:val="fr-FR"/>
        </w:rPr>
        <w:t>Afghanistan. Comme l</w:t>
      </w:r>
      <w:r w:rsidR="00923E72">
        <w:rPr>
          <w:bCs/>
          <w:lang w:val="fr-FR"/>
        </w:rPr>
        <w:t>’</w:t>
      </w:r>
      <w:r w:rsidRPr="00206B59">
        <w:rPr>
          <w:bCs/>
          <w:lang w:val="fr-FR"/>
        </w:rPr>
        <w:t>avait mentionné le Secrétariat, le matériel avait été initialement présenté en omettant les noms et les lettres de consentement des communautés dans le dossier afin de protéger les informations personnelles. L</w:t>
      </w:r>
      <w:r w:rsidR="00923E72">
        <w:rPr>
          <w:bCs/>
          <w:lang w:val="fr-FR"/>
        </w:rPr>
        <w:t>’</w:t>
      </w:r>
      <w:r w:rsidRPr="00206B59">
        <w:rPr>
          <w:bCs/>
          <w:lang w:val="fr-FR"/>
        </w:rPr>
        <w:t>Organe n</w:t>
      </w:r>
      <w:r w:rsidR="00923E72">
        <w:rPr>
          <w:bCs/>
          <w:lang w:val="fr-FR"/>
        </w:rPr>
        <w:t>’</w:t>
      </w:r>
      <w:r w:rsidRPr="00206B59">
        <w:rPr>
          <w:bCs/>
          <w:lang w:val="fr-FR"/>
        </w:rPr>
        <w:t xml:space="preserve">avait eu accès à ce dossier que lors de la réunion en </w:t>
      </w:r>
      <w:r w:rsidR="00A92820">
        <w:rPr>
          <w:bCs/>
          <w:lang w:val="fr-FR"/>
        </w:rPr>
        <w:t xml:space="preserve">présentiel </w:t>
      </w:r>
      <w:r w:rsidRPr="00206B59">
        <w:rPr>
          <w:bCs/>
          <w:lang w:val="fr-FR"/>
        </w:rPr>
        <w:t>à Paris en juin</w:t>
      </w:r>
      <w:r w:rsidR="003A0260">
        <w:rPr>
          <w:bCs/>
          <w:lang w:val="fr-FR"/>
        </w:rPr>
        <w:t> </w:t>
      </w:r>
      <w:r w:rsidRPr="00206B59">
        <w:rPr>
          <w:bCs/>
          <w:lang w:val="fr-FR"/>
        </w:rPr>
        <w:t>2021. Cela avait demandé un travail extraordinaire de la part de l</w:t>
      </w:r>
      <w:r w:rsidR="00923E72">
        <w:rPr>
          <w:bCs/>
          <w:lang w:val="fr-FR"/>
        </w:rPr>
        <w:t>’</w:t>
      </w:r>
      <w:r w:rsidRPr="00206B59">
        <w:rPr>
          <w:bCs/>
          <w:lang w:val="fr-FR"/>
        </w:rPr>
        <w:t>Organe</w:t>
      </w:r>
      <w:r w:rsidR="00A35F6D">
        <w:rPr>
          <w:bCs/>
          <w:lang w:val="fr-FR"/>
        </w:rPr>
        <w:t xml:space="preserve">, </w:t>
      </w:r>
      <w:r w:rsidRPr="00206B59">
        <w:rPr>
          <w:bCs/>
          <w:lang w:val="fr-FR"/>
        </w:rPr>
        <w:t>qui avait été accepté par tous les membres. Même dans ce cas, l</w:t>
      </w:r>
      <w:r w:rsidR="00923E72">
        <w:rPr>
          <w:bCs/>
          <w:lang w:val="fr-FR"/>
        </w:rPr>
        <w:t>’</w:t>
      </w:r>
      <w:r w:rsidRPr="00206B59">
        <w:rPr>
          <w:bCs/>
          <w:lang w:val="fr-FR"/>
        </w:rPr>
        <w:t>Organe avait fondé son évaluation sur la Convention et n</w:t>
      </w:r>
      <w:r w:rsidR="00923E72">
        <w:rPr>
          <w:bCs/>
          <w:lang w:val="fr-FR"/>
        </w:rPr>
        <w:t>’</w:t>
      </w:r>
      <w:r w:rsidRPr="00206B59">
        <w:rPr>
          <w:bCs/>
          <w:lang w:val="fr-FR"/>
        </w:rPr>
        <w:t>avait pas laissé les émotions prendre le pas sur la documentation soumise. À ce</w:t>
      </w:r>
      <w:r w:rsidR="00A35F6D">
        <w:rPr>
          <w:bCs/>
          <w:lang w:val="fr-FR"/>
        </w:rPr>
        <w:t xml:space="preserve"> sujet</w:t>
      </w:r>
      <w:r w:rsidRPr="00206B59">
        <w:rPr>
          <w:bCs/>
          <w:lang w:val="fr-FR"/>
        </w:rPr>
        <w:t>, il serait probablement préférable de créer un dialogue entre le Comité et l</w:t>
      </w:r>
      <w:r w:rsidR="00923E72">
        <w:rPr>
          <w:bCs/>
          <w:lang w:val="fr-FR"/>
        </w:rPr>
        <w:t>’</w:t>
      </w:r>
      <w:r w:rsidRPr="00206B59">
        <w:rPr>
          <w:bCs/>
          <w:lang w:val="fr-FR"/>
        </w:rPr>
        <w:t>Organe d</w:t>
      </w:r>
      <w:r w:rsidR="00923E72">
        <w:rPr>
          <w:bCs/>
          <w:lang w:val="fr-FR"/>
        </w:rPr>
        <w:t>’</w:t>
      </w:r>
      <w:r w:rsidRPr="00206B59">
        <w:rPr>
          <w:bCs/>
          <w:lang w:val="fr-FR"/>
        </w:rPr>
        <w:t>évaluation. À cette fin, il pourrait être très utile d</w:t>
      </w:r>
      <w:r w:rsidR="00923E72">
        <w:rPr>
          <w:bCs/>
          <w:lang w:val="fr-FR"/>
        </w:rPr>
        <w:t>’</w:t>
      </w:r>
      <w:r w:rsidRPr="00206B59">
        <w:rPr>
          <w:bCs/>
          <w:lang w:val="fr-FR"/>
        </w:rPr>
        <w:t>organiser une session d</w:t>
      </w:r>
      <w:r w:rsidR="00923E72">
        <w:rPr>
          <w:bCs/>
          <w:lang w:val="fr-FR"/>
        </w:rPr>
        <w:t>’</w:t>
      </w:r>
      <w:r w:rsidRPr="00206B59">
        <w:rPr>
          <w:bCs/>
          <w:lang w:val="fr-FR"/>
        </w:rPr>
        <w:t>information et d</w:t>
      </w:r>
      <w:r w:rsidR="00923E72">
        <w:rPr>
          <w:bCs/>
          <w:lang w:val="fr-FR"/>
        </w:rPr>
        <w:t>’</w:t>
      </w:r>
      <w:r w:rsidRPr="00206B59">
        <w:rPr>
          <w:bCs/>
          <w:lang w:val="fr-FR"/>
        </w:rPr>
        <w:t>échange entre les membres du Comité et les membres de l</w:t>
      </w:r>
      <w:r w:rsidR="00923E72">
        <w:rPr>
          <w:bCs/>
          <w:lang w:val="fr-FR"/>
        </w:rPr>
        <w:t>’</w:t>
      </w:r>
      <w:r w:rsidRPr="00206B59">
        <w:rPr>
          <w:bCs/>
          <w:lang w:val="fr-FR"/>
        </w:rPr>
        <w:t>Organe d</w:t>
      </w:r>
      <w:r w:rsidR="00923E72">
        <w:rPr>
          <w:bCs/>
          <w:lang w:val="fr-FR"/>
        </w:rPr>
        <w:t>’</w:t>
      </w:r>
      <w:r w:rsidRPr="00206B59">
        <w:rPr>
          <w:bCs/>
          <w:lang w:val="fr-FR"/>
        </w:rPr>
        <w:t>évaluation avant le début du processus d</w:t>
      </w:r>
      <w:r w:rsidR="00923E72">
        <w:rPr>
          <w:bCs/>
          <w:lang w:val="fr-FR"/>
        </w:rPr>
        <w:t>’</w:t>
      </w:r>
      <w:r w:rsidRPr="00206B59">
        <w:rPr>
          <w:bCs/>
          <w:lang w:val="fr-FR"/>
        </w:rPr>
        <w:t>évaluation, par exemple entre janvier et février de chaque année, afin que la conduite de l</w:t>
      </w:r>
      <w:r w:rsidR="00923E72">
        <w:rPr>
          <w:bCs/>
          <w:lang w:val="fr-FR"/>
        </w:rPr>
        <w:t>’</w:t>
      </w:r>
      <w:r w:rsidRPr="00206B59">
        <w:rPr>
          <w:bCs/>
          <w:lang w:val="fr-FR"/>
        </w:rPr>
        <w:t>évaluation puisse être partagée dans une transparence absolue. En conclusion, l</w:t>
      </w:r>
      <w:r w:rsidR="00923E72">
        <w:rPr>
          <w:bCs/>
          <w:lang w:val="fr-FR"/>
        </w:rPr>
        <w:t>’</w:t>
      </w:r>
      <w:r w:rsidRPr="00206B59">
        <w:rPr>
          <w:bCs/>
          <w:lang w:val="fr-FR"/>
        </w:rPr>
        <w:t>Organe d</w:t>
      </w:r>
      <w:r w:rsidR="00923E72">
        <w:rPr>
          <w:bCs/>
          <w:lang w:val="fr-FR"/>
        </w:rPr>
        <w:t>’</w:t>
      </w:r>
      <w:r w:rsidRPr="00206B59">
        <w:rPr>
          <w:bCs/>
          <w:lang w:val="fr-FR"/>
        </w:rPr>
        <w:t>évaluation avait suivi le cadre fixé par le Comité, qui se voulait transparent, inclusif et équitable pour tous les États parties. L</w:t>
      </w:r>
      <w:r w:rsidR="00923E72">
        <w:rPr>
          <w:bCs/>
          <w:lang w:val="fr-FR"/>
        </w:rPr>
        <w:t>’</w:t>
      </w:r>
      <w:r w:rsidRPr="00206B59">
        <w:rPr>
          <w:bCs/>
          <w:lang w:val="fr-FR"/>
        </w:rPr>
        <w:t>Organe s</w:t>
      </w:r>
      <w:r w:rsidR="00923E72">
        <w:rPr>
          <w:bCs/>
          <w:lang w:val="fr-FR"/>
        </w:rPr>
        <w:t>’</w:t>
      </w:r>
      <w:r w:rsidRPr="00206B59">
        <w:rPr>
          <w:bCs/>
          <w:lang w:val="fr-FR"/>
        </w:rPr>
        <w:t>efforçait de faire de son mieux pour offrir des conseils et des recommandations professionnels. L</w:t>
      </w:r>
      <w:r w:rsidR="00923E72">
        <w:rPr>
          <w:bCs/>
          <w:lang w:val="fr-FR"/>
        </w:rPr>
        <w:t>’</w:t>
      </w:r>
      <w:r w:rsidRPr="00206B59">
        <w:rPr>
          <w:bCs/>
          <w:lang w:val="fr-FR"/>
        </w:rPr>
        <w:t>Organe a remercié le Comité pour sa confiance. Il était persuadé que la collaboration au cours des vingt prochaines années de la Convention serait encore plus fructueuse.</w:t>
      </w:r>
    </w:p>
    <w:p w14:paraId="64B39D44" w14:textId="7417EDD9" w:rsidR="00A35F6D" w:rsidRDefault="00A35F6D">
      <w:pPr>
        <w:pStyle w:val="Orateurengris"/>
        <w:numPr>
          <w:ilvl w:val="0"/>
          <w:numId w:val="20"/>
        </w:numPr>
        <w:tabs>
          <w:tab w:val="clear" w:pos="567"/>
        </w:tabs>
        <w:spacing w:before="120"/>
        <w:ind w:left="709" w:hanging="709"/>
        <w:rPr>
          <w:bCs/>
          <w:lang w:val="fr-FR"/>
        </w:rPr>
      </w:pPr>
      <w:r>
        <w:rPr>
          <w:bCs/>
          <w:lang w:val="fr-FR"/>
        </w:rPr>
        <w:t xml:space="preserve">La </w:t>
      </w:r>
      <w:r w:rsidRPr="00702497">
        <w:rPr>
          <w:b/>
          <w:lang w:val="fr-FR"/>
        </w:rPr>
        <w:t>Vice-Présidente</w:t>
      </w:r>
      <w:r>
        <w:rPr>
          <w:bCs/>
          <w:lang w:val="fr-FR"/>
        </w:rPr>
        <w:t xml:space="preserve"> a remercié chaleureusement le </w:t>
      </w:r>
      <w:r w:rsidRPr="00A35F6D">
        <w:rPr>
          <w:bCs/>
          <w:lang w:val="fr-FR"/>
        </w:rPr>
        <w:t>Président</w:t>
      </w:r>
      <w:r>
        <w:rPr>
          <w:bCs/>
          <w:lang w:val="fr-FR"/>
        </w:rPr>
        <w:t xml:space="preserve"> de l</w:t>
      </w:r>
      <w:r w:rsidR="00923E72">
        <w:rPr>
          <w:bCs/>
          <w:lang w:val="fr-FR"/>
        </w:rPr>
        <w:t>’</w:t>
      </w:r>
      <w:r>
        <w:rPr>
          <w:bCs/>
          <w:lang w:val="fr-FR"/>
        </w:rPr>
        <w:t>Organe d</w:t>
      </w:r>
      <w:r w:rsidR="00923E72">
        <w:rPr>
          <w:bCs/>
          <w:lang w:val="fr-FR"/>
        </w:rPr>
        <w:t>’</w:t>
      </w:r>
      <w:r>
        <w:rPr>
          <w:bCs/>
          <w:lang w:val="fr-FR"/>
        </w:rPr>
        <w:t xml:space="preserve">évaluation pour son </w:t>
      </w:r>
      <w:r w:rsidRPr="00A35F6D">
        <w:rPr>
          <w:bCs/>
          <w:lang w:val="fr-FR"/>
        </w:rPr>
        <w:t>intervention</w:t>
      </w:r>
      <w:r>
        <w:rPr>
          <w:bCs/>
          <w:lang w:val="fr-FR"/>
        </w:rPr>
        <w:t xml:space="preserve"> passionnée, riche de </w:t>
      </w:r>
      <w:r w:rsidRPr="00A35F6D">
        <w:rPr>
          <w:bCs/>
          <w:lang w:val="fr-FR"/>
        </w:rPr>
        <w:t>propositio</w:t>
      </w:r>
      <w:r>
        <w:rPr>
          <w:bCs/>
          <w:lang w:val="fr-FR"/>
        </w:rPr>
        <w:t>ns et d</w:t>
      </w:r>
      <w:r w:rsidR="00923E72">
        <w:rPr>
          <w:bCs/>
          <w:lang w:val="fr-FR"/>
        </w:rPr>
        <w:t>’</w:t>
      </w:r>
      <w:r>
        <w:rPr>
          <w:bCs/>
          <w:lang w:val="fr-FR"/>
        </w:rPr>
        <w:t>idées que le Comité souhaiterait peut</w:t>
      </w:r>
      <w:r>
        <w:rPr>
          <w:bCs/>
          <w:lang w:val="fr-FR"/>
        </w:rPr>
        <w:noBreakHyphen/>
        <w:t xml:space="preserve">être prendre en </w:t>
      </w:r>
      <w:r w:rsidRPr="00A35F6D">
        <w:rPr>
          <w:bCs/>
          <w:lang w:val="fr-FR"/>
        </w:rPr>
        <w:t>considération</w:t>
      </w:r>
      <w:r>
        <w:rPr>
          <w:bCs/>
          <w:lang w:val="fr-FR"/>
        </w:rPr>
        <w:t>. La Vice-Présidente a levé la séance du jour.</w:t>
      </w:r>
    </w:p>
    <w:p w14:paraId="185732EE" w14:textId="6449A322" w:rsidR="00A35F6D" w:rsidRDefault="00A35F6D" w:rsidP="00A35F6D">
      <w:pPr>
        <w:pStyle w:val="Orateurengris"/>
        <w:spacing w:before="120"/>
        <w:rPr>
          <w:bCs/>
          <w:lang w:val="fr-FR"/>
        </w:rPr>
      </w:pPr>
    </w:p>
    <w:p w14:paraId="780444E9" w14:textId="079D9645" w:rsidR="00A35F6D" w:rsidRPr="00702497" w:rsidRDefault="00A35F6D" w:rsidP="00702497">
      <w:pPr>
        <w:pStyle w:val="Orateurengris"/>
        <w:spacing w:before="120"/>
        <w:jc w:val="center"/>
        <w:rPr>
          <w:bCs/>
          <w:i/>
          <w:iCs/>
          <w:lang w:val="fr-FR"/>
        </w:rPr>
      </w:pPr>
      <w:r w:rsidRPr="00702497">
        <w:rPr>
          <w:bCs/>
          <w:i/>
          <w:iCs/>
          <w:lang w:val="fr-FR"/>
        </w:rPr>
        <w:lastRenderedPageBreak/>
        <w:t>[Vendredi</w:t>
      </w:r>
      <w:r w:rsidR="002506B7">
        <w:rPr>
          <w:bCs/>
          <w:i/>
          <w:iCs/>
          <w:lang w:val="fr-FR"/>
        </w:rPr>
        <w:t> </w:t>
      </w:r>
      <w:r w:rsidRPr="00702497">
        <w:rPr>
          <w:bCs/>
          <w:i/>
          <w:iCs/>
          <w:lang w:val="fr-FR"/>
        </w:rPr>
        <w:t>2</w:t>
      </w:r>
      <w:r w:rsidR="002506B7">
        <w:rPr>
          <w:bCs/>
          <w:i/>
          <w:iCs/>
          <w:lang w:val="fr-FR"/>
        </w:rPr>
        <w:t> </w:t>
      </w:r>
      <w:r w:rsidRPr="00702497">
        <w:rPr>
          <w:bCs/>
          <w:i/>
          <w:iCs/>
          <w:lang w:val="fr-FR"/>
        </w:rPr>
        <w:t>décembre</w:t>
      </w:r>
      <w:r w:rsidR="002506B7">
        <w:rPr>
          <w:bCs/>
          <w:i/>
          <w:iCs/>
          <w:lang w:val="fr-FR"/>
        </w:rPr>
        <w:t> </w:t>
      </w:r>
      <w:r w:rsidRPr="00702497">
        <w:rPr>
          <w:bCs/>
          <w:i/>
          <w:iCs/>
          <w:lang w:val="fr-FR"/>
        </w:rPr>
        <w:t>2022, séance du matin]</w:t>
      </w:r>
    </w:p>
    <w:p w14:paraId="749B083D" w14:textId="550CA54D" w:rsidR="00A35F6D" w:rsidRPr="00702497" w:rsidRDefault="00A35F6D" w:rsidP="00702497">
      <w:pPr>
        <w:pStyle w:val="Marge"/>
        <w:keepNext/>
        <w:tabs>
          <w:tab w:val="clear" w:pos="567"/>
          <w:tab w:val="left" w:pos="709"/>
          <w:tab w:val="left" w:pos="1418"/>
          <w:tab w:val="left" w:pos="2126"/>
          <w:tab w:val="left" w:pos="2835"/>
        </w:tabs>
        <w:spacing w:before="360" w:after="60"/>
        <w:jc w:val="left"/>
        <w:outlineLvl w:val="0"/>
        <w:rPr>
          <w:rFonts w:eastAsiaTheme="minorHAnsi"/>
          <w:b/>
          <w:color w:val="000000" w:themeColor="text1"/>
        </w:rPr>
      </w:pPr>
      <w:r w:rsidRPr="00664EE7">
        <w:rPr>
          <w:rFonts w:eastAsiaTheme="minorHAnsi"/>
          <w:b/>
          <w:color w:val="000000" w:themeColor="text1"/>
          <w:u w:val="single"/>
        </w:rPr>
        <w:t>POINT</w:t>
      </w:r>
      <w:r w:rsidR="0073323E">
        <w:rPr>
          <w:rFonts w:eastAsiaTheme="minorHAnsi"/>
          <w:b/>
          <w:color w:val="000000" w:themeColor="text1"/>
          <w:u w:val="single"/>
        </w:rPr>
        <w:t> </w:t>
      </w:r>
      <w:r w:rsidRPr="00664EE7">
        <w:rPr>
          <w:rFonts w:eastAsiaTheme="minorHAnsi"/>
          <w:b/>
          <w:color w:val="000000" w:themeColor="text1"/>
          <w:u w:val="single"/>
        </w:rPr>
        <w:t>16 DE L</w:t>
      </w:r>
      <w:r w:rsidR="00923E72">
        <w:rPr>
          <w:rFonts w:eastAsiaTheme="minorHAnsi"/>
          <w:b/>
          <w:color w:val="000000" w:themeColor="text1"/>
          <w:u w:val="single"/>
        </w:rPr>
        <w:t>’</w:t>
      </w:r>
      <w:r w:rsidRPr="00664EE7">
        <w:rPr>
          <w:rFonts w:eastAsiaTheme="minorHAnsi"/>
          <w:b/>
          <w:color w:val="000000" w:themeColor="text1"/>
          <w:u w:val="single"/>
        </w:rPr>
        <w:t>ORDRE DU JOUR </w:t>
      </w:r>
      <w:r w:rsidRPr="00664EE7">
        <w:rPr>
          <w:rFonts w:eastAsiaTheme="minorHAnsi"/>
          <w:b/>
          <w:color w:val="000000" w:themeColor="text1"/>
        </w:rPr>
        <w:t>:</w:t>
      </w:r>
    </w:p>
    <w:p w14:paraId="17F9CAC0" w14:textId="72F2C4C9" w:rsidR="002506B7" w:rsidRPr="00702497" w:rsidRDefault="00A35F6D" w:rsidP="00702497">
      <w:pPr>
        <w:pStyle w:val="Orateurengris"/>
        <w:tabs>
          <w:tab w:val="clear" w:pos="709"/>
          <w:tab w:val="clear" w:pos="1418"/>
          <w:tab w:val="clear" w:pos="2126"/>
          <w:tab w:val="clear" w:pos="2835"/>
        </w:tabs>
        <w:spacing w:after="0"/>
        <w:outlineLvl w:val="0"/>
        <w:rPr>
          <w:b/>
          <w:bCs/>
          <w:color w:val="000000" w:themeColor="text1"/>
          <w:lang w:val="fr-FR"/>
        </w:rPr>
      </w:pPr>
      <w:r w:rsidRPr="00702497">
        <w:rPr>
          <w:b/>
          <w:color w:val="000000" w:themeColor="text1"/>
          <w:lang w:val="fr-FR"/>
        </w:rPr>
        <w:t>DATE ET LIEU DE LA DIX</w:t>
      </w:r>
      <w:r w:rsidR="0073323E">
        <w:rPr>
          <w:b/>
          <w:color w:val="000000" w:themeColor="text1"/>
          <w:lang w:val="fr-FR"/>
        </w:rPr>
        <w:noBreakHyphen/>
      </w:r>
      <w:r w:rsidRPr="00702497">
        <w:rPr>
          <w:b/>
          <w:color w:val="000000" w:themeColor="text1"/>
          <w:lang w:val="fr-FR"/>
        </w:rPr>
        <w:t xml:space="preserve">HUITIÈME SESSION DU </w:t>
      </w:r>
      <w:r w:rsidRPr="00664EE7">
        <w:rPr>
          <w:b/>
          <w:bCs/>
          <w:color w:val="000000" w:themeColor="text1"/>
          <w:lang w:val="fr-FR"/>
        </w:rPr>
        <w:t>COMITÉ</w:t>
      </w:r>
    </w:p>
    <w:p w14:paraId="324809C3" w14:textId="1EA4DFBB" w:rsidR="00A35F6D" w:rsidRPr="00664EE7" w:rsidRDefault="00A35F6D" w:rsidP="00702497">
      <w:pPr>
        <w:pStyle w:val="Orateurengris"/>
        <w:tabs>
          <w:tab w:val="clear" w:pos="709"/>
          <w:tab w:val="clear" w:pos="1418"/>
          <w:tab w:val="clear" w:pos="2126"/>
          <w:tab w:val="clear" w:pos="2835"/>
        </w:tabs>
        <w:spacing w:after="0"/>
        <w:ind w:left="567" w:firstLine="142"/>
        <w:rPr>
          <w:lang w:val="fr-FR"/>
        </w:rPr>
      </w:pPr>
      <w:r w:rsidRPr="00702497">
        <w:rPr>
          <w:b/>
          <w:color w:val="000000" w:themeColor="text1"/>
          <w:lang w:val="fr-FR"/>
        </w:rPr>
        <w:t>Document</w:t>
      </w:r>
      <w:r w:rsidR="00664EE7" w:rsidRPr="00702497">
        <w:rPr>
          <w:b/>
          <w:color w:val="000000" w:themeColor="text1"/>
          <w:lang w:val="fr-FR"/>
        </w:rPr>
        <w:t> </w:t>
      </w:r>
      <w:r w:rsidRPr="00702497">
        <w:rPr>
          <w:b/>
          <w:color w:val="000000" w:themeColor="text1"/>
          <w:lang w:val="fr-FR"/>
        </w:rPr>
        <w:t>:</w:t>
      </w:r>
      <w:r w:rsidRPr="00664EE7">
        <w:rPr>
          <w:b/>
          <w:iCs/>
          <w:color w:val="000000" w:themeColor="text1"/>
          <w:lang w:val="fr-FR"/>
        </w:rPr>
        <w:tab/>
      </w:r>
      <w:r w:rsidR="00751FB1">
        <w:fldChar w:fldCharType="begin"/>
      </w:r>
      <w:r w:rsidR="00751FB1" w:rsidRPr="00751FB1">
        <w:rPr>
          <w:lang w:val="fr-FR"/>
        </w:rPr>
        <w:instrText>HYPERLINK "https://ich.unesco.org/doc/src/LHE-22-17.COM-16-FR.docx"</w:instrText>
      </w:r>
      <w:r w:rsidR="00751FB1">
        <w:fldChar w:fldCharType="separate"/>
      </w:r>
      <w:r w:rsidRPr="00664EE7">
        <w:rPr>
          <w:rStyle w:val="Hyperlink"/>
          <w:i/>
          <w:lang w:val="fr-FR"/>
        </w:rPr>
        <w:t>LHE/22/17.COM/16</w:t>
      </w:r>
      <w:r w:rsidR="00751FB1">
        <w:rPr>
          <w:rStyle w:val="Hyperlink"/>
          <w:i/>
          <w:lang w:val="fr-FR"/>
        </w:rPr>
        <w:fldChar w:fldCharType="end"/>
      </w:r>
    </w:p>
    <w:p w14:paraId="10AB543C" w14:textId="7B2AF62F" w:rsidR="00A35F6D" w:rsidRPr="00664EE7" w:rsidRDefault="00A35F6D" w:rsidP="00702497">
      <w:pPr>
        <w:pStyle w:val="Orateurengris"/>
        <w:tabs>
          <w:tab w:val="clear" w:pos="709"/>
          <w:tab w:val="clear" w:pos="1418"/>
          <w:tab w:val="clear" w:pos="2126"/>
          <w:tab w:val="clear" w:pos="2835"/>
        </w:tabs>
        <w:spacing w:after="240"/>
        <w:ind w:left="567" w:firstLine="142"/>
        <w:rPr>
          <w:i/>
          <w:color w:val="0000FF"/>
          <w:u w:val="single"/>
          <w:lang w:val="fr-FR"/>
        </w:rPr>
      </w:pPr>
      <w:r w:rsidRPr="00702497">
        <w:rPr>
          <w:rFonts w:cs="Times New Roman"/>
          <w:b/>
          <w:snapToGrid/>
          <w:color w:val="000000" w:themeColor="text1"/>
          <w:szCs w:val="24"/>
          <w:lang w:val="fr-FR"/>
        </w:rPr>
        <w:t>D</w:t>
      </w:r>
      <w:r w:rsidR="00664EE7" w:rsidRPr="00702497">
        <w:rPr>
          <w:rFonts w:cs="Times New Roman"/>
          <w:b/>
          <w:snapToGrid/>
          <w:color w:val="000000" w:themeColor="text1"/>
          <w:szCs w:val="24"/>
          <w:lang w:val="fr-FR"/>
        </w:rPr>
        <w:t>é</w:t>
      </w:r>
      <w:r w:rsidRPr="00702497">
        <w:rPr>
          <w:rFonts w:cs="Times New Roman"/>
          <w:b/>
          <w:snapToGrid/>
          <w:color w:val="000000" w:themeColor="text1"/>
          <w:szCs w:val="24"/>
          <w:lang w:val="fr-FR"/>
        </w:rPr>
        <w:t>cision</w:t>
      </w:r>
      <w:r w:rsidR="00664EE7" w:rsidRPr="00702497">
        <w:rPr>
          <w:rFonts w:cs="Times New Roman"/>
          <w:b/>
          <w:snapToGrid/>
          <w:color w:val="000000" w:themeColor="text1"/>
          <w:szCs w:val="24"/>
          <w:lang w:val="fr-FR"/>
        </w:rPr>
        <w:t> </w:t>
      </w:r>
      <w:r w:rsidRPr="00702497">
        <w:rPr>
          <w:rFonts w:cs="Times New Roman"/>
          <w:b/>
          <w:snapToGrid/>
          <w:color w:val="000000" w:themeColor="text1"/>
          <w:szCs w:val="24"/>
          <w:lang w:val="fr-FR"/>
        </w:rPr>
        <w:t>:</w:t>
      </w:r>
      <w:r w:rsidRPr="00664EE7">
        <w:rPr>
          <w:bCs/>
          <w:color w:val="000000" w:themeColor="text1"/>
          <w:lang w:val="fr-FR"/>
        </w:rPr>
        <w:tab/>
      </w:r>
      <w:r w:rsidR="00751FB1">
        <w:fldChar w:fldCharType="begin"/>
      </w:r>
      <w:r w:rsidR="00751FB1" w:rsidRPr="00751FB1">
        <w:rPr>
          <w:lang w:val="fr-FR"/>
        </w:rPr>
        <w:instrText>HYPERLINK "https://ich.unesco.org/fr/Decisions/17.COM/16"</w:instrText>
      </w:r>
      <w:r w:rsidR="00751FB1">
        <w:fldChar w:fldCharType="separate"/>
      </w:r>
      <w:r w:rsidRPr="00664EE7">
        <w:rPr>
          <w:rStyle w:val="Hyperlink"/>
          <w:i/>
          <w:lang w:val="fr-FR"/>
        </w:rPr>
        <w:t>17.COM 16</w:t>
      </w:r>
      <w:r w:rsidR="00751FB1">
        <w:rPr>
          <w:rStyle w:val="Hyperlink"/>
          <w:i/>
          <w:lang w:val="fr-FR"/>
        </w:rPr>
        <w:fldChar w:fldCharType="end"/>
      </w:r>
    </w:p>
    <w:p w14:paraId="162B2A86" w14:textId="1F2E70D6" w:rsidR="00A35F6D" w:rsidRDefault="00664EE7" w:rsidP="00664EE7">
      <w:pPr>
        <w:pStyle w:val="Orateurengris"/>
        <w:numPr>
          <w:ilvl w:val="0"/>
          <w:numId w:val="20"/>
        </w:numPr>
        <w:tabs>
          <w:tab w:val="clear" w:pos="567"/>
        </w:tabs>
        <w:spacing w:before="120"/>
        <w:ind w:left="709" w:hanging="709"/>
        <w:rPr>
          <w:bCs/>
          <w:lang w:val="fr-FR"/>
        </w:rPr>
      </w:pPr>
      <w:r w:rsidRPr="00664EE7">
        <w:rPr>
          <w:bCs/>
          <w:lang w:val="fr-FR"/>
        </w:rPr>
        <w:t xml:space="preserve">Le </w:t>
      </w:r>
      <w:r w:rsidRPr="00702497">
        <w:rPr>
          <w:b/>
          <w:lang w:val="fr-FR"/>
        </w:rPr>
        <w:t>Président</w:t>
      </w:r>
      <w:r w:rsidRPr="00664EE7">
        <w:rPr>
          <w:bCs/>
          <w:lang w:val="fr-FR"/>
        </w:rPr>
        <w:t xml:space="preserve"> a repris ses fonctions et s</w:t>
      </w:r>
      <w:r w:rsidR="00923E72">
        <w:rPr>
          <w:bCs/>
          <w:lang w:val="fr-FR"/>
        </w:rPr>
        <w:t>’</w:t>
      </w:r>
      <w:r w:rsidRPr="00664EE7">
        <w:rPr>
          <w:bCs/>
          <w:lang w:val="fr-FR"/>
        </w:rPr>
        <w:t>est réjoui de constater que le Comité avait achevé l</w:t>
      </w:r>
      <w:r w:rsidR="00923E72">
        <w:rPr>
          <w:bCs/>
          <w:lang w:val="fr-FR"/>
        </w:rPr>
        <w:t>’</w:t>
      </w:r>
      <w:r w:rsidRPr="00664EE7">
        <w:rPr>
          <w:bCs/>
          <w:lang w:val="fr-FR"/>
        </w:rPr>
        <w:t xml:space="preserve">examen de toutes les candidatures à la Liste représentative et au Registre des bonnes pratiques de sauvegarde ainsi que </w:t>
      </w:r>
      <w:r>
        <w:rPr>
          <w:bCs/>
          <w:lang w:val="fr-FR"/>
        </w:rPr>
        <w:t>des</w:t>
      </w:r>
      <w:r w:rsidRPr="00664EE7">
        <w:rPr>
          <w:bCs/>
          <w:lang w:val="fr-FR"/>
        </w:rPr>
        <w:t xml:space="preserve"> demandes d</w:t>
      </w:r>
      <w:r w:rsidR="00923E72">
        <w:rPr>
          <w:bCs/>
          <w:lang w:val="fr-FR"/>
        </w:rPr>
        <w:t>’</w:t>
      </w:r>
      <w:r w:rsidRPr="00664EE7">
        <w:rPr>
          <w:bCs/>
          <w:lang w:val="fr-FR"/>
        </w:rPr>
        <w:t>assistance internationale. Le Président a présenté l</w:t>
      </w:r>
      <w:r w:rsidR="00923E72">
        <w:rPr>
          <w:bCs/>
          <w:lang w:val="fr-FR"/>
        </w:rPr>
        <w:t>’</w:t>
      </w:r>
      <w:r w:rsidRPr="00664EE7">
        <w:rPr>
          <w:bCs/>
          <w:lang w:val="fr-FR"/>
        </w:rPr>
        <w:t>ordre des travaux de la journée en commençant par la date et le lieu de la dix</w:t>
      </w:r>
      <w:r>
        <w:rPr>
          <w:bCs/>
          <w:lang w:val="fr-FR"/>
        </w:rPr>
        <w:noBreakHyphen/>
      </w:r>
      <w:r w:rsidRPr="00664EE7">
        <w:rPr>
          <w:bCs/>
          <w:lang w:val="fr-FR"/>
        </w:rPr>
        <w:t xml:space="preserve">huitième session du Comité au </w:t>
      </w:r>
      <w:r w:rsidR="0014439A">
        <w:rPr>
          <w:bCs/>
          <w:lang w:val="fr-FR"/>
        </w:rPr>
        <w:t xml:space="preserve">titre du </w:t>
      </w:r>
      <w:r w:rsidRPr="00664EE7">
        <w:rPr>
          <w:bCs/>
          <w:lang w:val="fr-FR"/>
        </w:rPr>
        <w:t>point</w:t>
      </w:r>
      <w:r w:rsidR="002506B7">
        <w:rPr>
          <w:bCs/>
          <w:lang w:val="fr-FR"/>
        </w:rPr>
        <w:t> </w:t>
      </w:r>
      <w:r w:rsidRPr="00664EE7">
        <w:rPr>
          <w:bCs/>
          <w:lang w:val="fr-FR"/>
        </w:rPr>
        <w:t>16 de l</w:t>
      </w:r>
      <w:r w:rsidR="00923E72">
        <w:rPr>
          <w:bCs/>
          <w:lang w:val="fr-FR"/>
        </w:rPr>
        <w:t>’</w:t>
      </w:r>
      <w:r w:rsidRPr="00664EE7">
        <w:rPr>
          <w:bCs/>
          <w:lang w:val="fr-FR"/>
        </w:rPr>
        <w:t>ordre du jour, suivi du point</w:t>
      </w:r>
      <w:r w:rsidR="002506B7">
        <w:rPr>
          <w:bCs/>
          <w:lang w:val="fr-FR"/>
        </w:rPr>
        <w:t> </w:t>
      </w:r>
      <w:r w:rsidRPr="00664EE7">
        <w:rPr>
          <w:bCs/>
          <w:lang w:val="fr-FR"/>
        </w:rPr>
        <w:t>17 de l</w:t>
      </w:r>
      <w:r w:rsidR="00923E72">
        <w:rPr>
          <w:bCs/>
          <w:lang w:val="fr-FR"/>
        </w:rPr>
        <w:t>’</w:t>
      </w:r>
      <w:r w:rsidRPr="00664EE7">
        <w:rPr>
          <w:bCs/>
          <w:lang w:val="fr-FR"/>
        </w:rPr>
        <w:t>ordre du jour, l</w:t>
      </w:r>
      <w:r w:rsidR="00923E72">
        <w:rPr>
          <w:bCs/>
          <w:lang w:val="fr-FR"/>
        </w:rPr>
        <w:t>’</w:t>
      </w:r>
      <w:r w:rsidRPr="00664EE7">
        <w:rPr>
          <w:bCs/>
          <w:lang w:val="fr-FR"/>
        </w:rPr>
        <w:t>élection du Bureau de la dix</w:t>
      </w:r>
      <w:r>
        <w:rPr>
          <w:bCs/>
          <w:lang w:val="fr-FR"/>
        </w:rPr>
        <w:noBreakHyphen/>
      </w:r>
      <w:r w:rsidRPr="00664EE7">
        <w:rPr>
          <w:bCs/>
          <w:lang w:val="fr-FR"/>
        </w:rPr>
        <w:t>huitième session du Comité. Le Président avait été informé que le Botswana avait de bonnes nouvelles à partager. Il a souhaité la bienvenue au ministre de la Culture du Botswana.</w:t>
      </w:r>
    </w:p>
    <w:p w14:paraId="2948983F" w14:textId="30450943" w:rsidR="00691516" w:rsidRDefault="00664EE7" w:rsidP="00691516">
      <w:pPr>
        <w:pStyle w:val="Orateurengris"/>
        <w:numPr>
          <w:ilvl w:val="0"/>
          <w:numId w:val="20"/>
        </w:numPr>
        <w:tabs>
          <w:tab w:val="clear" w:pos="567"/>
        </w:tabs>
        <w:spacing w:before="120"/>
        <w:ind w:left="709" w:hanging="709"/>
        <w:rPr>
          <w:bCs/>
          <w:lang w:val="fr-FR"/>
        </w:rPr>
      </w:pPr>
      <w:r w:rsidRPr="00664EE7">
        <w:rPr>
          <w:bCs/>
          <w:lang w:val="fr-FR"/>
        </w:rPr>
        <w:t xml:space="preserve">Le </w:t>
      </w:r>
      <w:r w:rsidRPr="00702497">
        <w:rPr>
          <w:b/>
          <w:lang w:val="fr-FR"/>
        </w:rPr>
        <w:t>ministre de l</w:t>
      </w:r>
      <w:r w:rsidR="00923E72">
        <w:rPr>
          <w:b/>
          <w:lang w:val="fr-FR"/>
        </w:rPr>
        <w:t>’</w:t>
      </w:r>
      <w:r w:rsidRPr="00702497">
        <w:rPr>
          <w:b/>
          <w:lang w:val="fr-FR"/>
        </w:rPr>
        <w:t>Autonomisation de la jeunesse, du Sport et du Développement culturel du Botswana</w:t>
      </w:r>
      <w:r w:rsidRPr="00664EE7">
        <w:rPr>
          <w:bCs/>
          <w:lang w:val="fr-FR"/>
        </w:rPr>
        <w:t xml:space="preserve">, </w:t>
      </w:r>
      <w:r w:rsidR="006C3B58" w:rsidRPr="006E3034">
        <w:rPr>
          <w:bCs/>
          <w:lang w:val="fr-FR"/>
        </w:rPr>
        <w:t>S.</w:t>
      </w:r>
      <w:r w:rsidR="00090E6E" w:rsidRPr="006E3034">
        <w:rPr>
          <w:bCs/>
          <w:lang w:val="fr-FR"/>
        </w:rPr>
        <w:t> </w:t>
      </w:r>
      <w:r w:rsidR="006C3B58" w:rsidRPr="006E3034">
        <w:rPr>
          <w:bCs/>
          <w:lang w:val="fr-FR"/>
        </w:rPr>
        <w:t>E</w:t>
      </w:r>
      <w:r w:rsidR="00F846ED" w:rsidRPr="006E3034">
        <w:rPr>
          <w:bCs/>
          <w:lang w:val="fr-FR"/>
        </w:rPr>
        <w:t>xc</w:t>
      </w:r>
      <w:r w:rsidR="006C3B58" w:rsidRPr="006E3034">
        <w:rPr>
          <w:bCs/>
          <w:lang w:val="fr-FR"/>
        </w:rPr>
        <w:t>.</w:t>
      </w:r>
      <w:r w:rsidR="006C3B58" w:rsidRPr="007567EC">
        <w:rPr>
          <w:bCs/>
          <w:lang w:val="fr-FR"/>
        </w:rPr>
        <w:t xml:space="preserve"> </w:t>
      </w:r>
      <w:r w:rsidRPr="006E3034">
        <w:rPr>
          <w:bCs/>
          <w:lang w:val="fr-FR"/>
        </w:rPr>
        <w:t>M. </w:t>
      </w:r>
      <w:proofErr w:type="spellStart"/>
      <w:r w:rsidRPr="006E3034">
        <w:rPr>
          <w:bCs/>
          <w:lang w:val="fr-FR"/>
        </w:rPr>
        <w:t>Tumiso</w:t>
      </w:r>
      <w:proofErr w:type="spellEnd"/>
      <w:r w:rsidR="007567EC" w:rsidRPr="006E3034">
        <w:rPr>
          <w:bCs/>
          <w:lang w:val="fr-FR"/>
        </w:rPr>
        <w:t xml:space="preserve"> </w:t>
      </w:r>
      <w:proofErr w:type="spellStart"/>
      <w:r w:rsidRPr="006E3034">
        <w:rPr>
          <w:bCs/>
          <w:lang w:val="fr-FR"/>
        </w:rPr>
        <w:t>Rakgare</w:t>
      </w:r>
      <w:proofErr w:type="spellEnd"/>
      <w:r w:rsidRPr="00664EE7">
        <w:rPr>
          <w:bCs/>
          <w:lang w:val="fr-FR"/>
        </w:rPr>
        <w:t>, s</w:t>
      </w:r>
      <w:r w:rsidR="00923E72">
        <w:rPr>
          <w:bCs/>
          <w:lang w:val="fr-FR"/>
        </w:rPr>
        <w:t>’</w:t>
      </w:r>
      <w:r w:rsidRPr="00664EE7">
        <w:rPr>
          <w:bCs/>
          <w:lang w:val="fr-FR"/>
        </w:rPr>
        <w:t xml:space="preserve">est réjoui de </w:t>
      </w:r>
      <w:r w:rsidR="006B6691">
        <w:rPr>
          <w:bCs/>
          <w:lang w:val="fr-FR"/>
        </w:rPr>
        <w:t xml:space="preserve">pouvoir </w:t>
      </w:r>
      <w:r w:rsidRPr="00664EE7">
        <w:rPr>
          <w:bCs/>
          <w:lang w:val="fr-FR"/>
        </w:rPr>
        <w:t>p</w:t>
      </w:r>
      <w:r w:rsidR="006B6691">
        <w:rPr>
          <w:bCs/>
          <w:lang w:val="fr-FR"/>
        </w:rPr>
        <w:t xml:space="preserve">rédire </w:t>
      </w:r>
      <w:r w:rsidRPr="00664EE7">
        <w:rPr>
          <w:bCs/>
          <w:lang w:val="fr-FR"/>
        </w:rPr>
        <w:t>une bonne journée pour le Botswana et une bonne journée pour l</w:t>
      </w:r>
      <w:r w:rsidR="00923E72">
        <w:rPr>
          <w:bCs/>
          <w:lang w:val="fr-FR"/>
        </w:rPr>
        <w:t>’</w:t>
      </w:r>
      <w:r w:rsidRPr="00664EE7">
        <w:rPr>
          <w:bCs/>
          <w:lang w:val="fr-FR"/>
        </w:rPr>
        <w:t>Afrique. Au nom du Gouvernement du Botswana, le ministre a remercié le Comité d</w:t>
      </w:r>
      <w:r w:rsidR="00923E72">
        <w:rPr>
          <w:bCs/>
          <w:lang w:val="fr-FR"/>
        </w:rPr>
        <w:t>’</w:t>
      </w:r>
      <w:r w:rsidRPr="00664EE7">
        <w:rPr>
          <w:bCs/>
          <w:lang w:val="fr-FR"/>
        </w:rPr>
        <w:t>avoir approuvé la candidature du Botswana pour accueillir la dix</w:t>
      </w:r>
      <w:r w:rsidR="006B6691">
        <w:rPr>
          <w:bCs/>
          <w:lang w:val="fr-FR"/>
        </w:rPr>
        <w:noBreakHyphen/>
      </w:r>
      <w:r w:rsidRPr="00664EE7">
        <w:rPr>
          <w:bCs/>
          <w:lang w:val="fr-FR"/>
        </w:rPr>
        <w:t>huitième session du Comité en</w:t>
      </w:r>
      <w:r w:rsidR="001A7AF7">
        <w:rPr>
          <w:bCs/>
          <w:lang w:val="fr-FR"/>
        </w:rPr>
        <w:t> </w:t>
      </w:r>
      <w:r w:rsidRPr="00664EE7">
        <w:rPr>
          <w:bCs/>
          <w:lang w:val="fr-FR"/>
        </w:rPr>
        <w:t>2023. Le Botswana était devenu État partie à la Convention de</w:t>
      </w:r>
      <w:r w:rsidR="006773EF">
        <w:rPr>
          <w:bCs/>
          <w:lang w:val="fr-FR"/>
        </w:rPr>
        <w:t> </w:t>
      </w:r>
      <w:r w:rsidRPr="00664EE7">
        <w:rPr>
          <w:bCs/>
          <w:lang w:val="fr-FR"/>
        </w:rPr>
        <w:t>2003 en</w:t>
      </w:r>
      <w:r w:rsidR="001A7AF7">
        <w:rPr>
          <w:bCs/>
          <w:lang w:val="fr-FR"/>
        </w:rPr>
        <w:t> </w:t>
      </w:r>
      <w:r w:rsidRPr="00664EE7">
        <w:rPr>
          <w:bCs/>
          <w:lang w:val="fr-FR"/>
        </w:rPr>
        <w:t>2010. Depuis la ratification, un certain nombre d</w:t>
      </w:r>
      <w:r w:rsidR="00923E72">
        <w:rPr>
          <w:bCs/>
          <w:lang w:val="fr-FR"/>
        </w:rPr>
        <w:t>’</w:t>
      </w:r>
      <w:r w:rsidRPr="00664EE7">
        <w:rPr>
          <w:bCs/>
          <w:lang w:val="fr-FR"/>
        </w:rPr>
        <w:t>initiatives avaient été menées pour créer un environnement propice à la mise en œuvre efficace de la Convention. Il s</w:t>
      </w:r>
      <w:r w:rsidR="00923E72">
        <w:rPr>
          <w:bCs/>
          <w:lang w:val="fr-FR"/>
        </w:rPr>
        <w:t>’</w:t>
      </w:r>
      <w:r w:rsidRPr="00664EE7">
        <w:rPr>
          <w:bCs/>
          <w:lang w:val="fr-FR"/>
        </w:rPr>
        <w:t>agissait notamment du renforcement de la mise en œuvre de la politique nationale en matière de culture et d</w:t>
      </w:r>
      <w:r w:rsidR="00923E72">
        <w:rPr>
          <w:bCs/>
          <w:lang w:val="fr-FR"/>
        </w:rPr>
        <w:t>’</w:t>
      </w:r>
      <w:r w:rsidRPr="00664EE7">
        <w:rPr>
          <w:bCs/>
          <w:lang w:val="fr-FR"/>
        </w:rPr>
        <w:t>autres cadres y afférents, du développement de structures de mise en œuvre du patrimoine culturel immatériel aux niveaux national et local, du renforcement des capacités en matière de patrimoine culturel immatériel aux niveaux national et local, et de la mobilisation de ressources techniques et financières provenant de sources de financement de l</w:t>
      </w:r>
      <w:r w:rsidR="00923E72">
        <w:rPr>
          <w:bCs/>
          <w:lang w:val="fr-FR"/>
        </w:rPr>
        <w:t>’</w:t>
      </w:r>
      <w:r w:rsidRPr="00664EE7">
        <w:rPr>
          <w:bCs/>
          <w:lang w:val="fr-FR"/>
        </w:rPr>
        <w:t xml:space="preserve">UNESCO, telles que le Fonds du PCI, le </w:t>
      </w:r>
      <w:r w:rsidR="006B6691">
        <w:rPr>
          <w:bCs/>
          <w:lang w:val="fr-FR"/>
        </w:rPr>
        <w:t>p</w:t>
      </w:r>
      <w:r w:rsidRPr="00664EE7">
        <w:rPr>
          <w:bCs/>
          <w:lang w:val="fr-FR"/>
        </w:rPr>
        <w:t>rogramme ordinaire, le Fonds-en-dépôt de la Flandre et le Programme de participation de l</w:t>
      </w:r>
      <w:r w:rsidR="00923E72">
        <w:rPr>
          <w:bCs/>
          <w:lang w:val="fr-FR"/>
        </w:rPr>
        <w:t>’</w:t>
      </w:r>
      <w:r w:rsidRPr="00664EE7">
        <w:rPr>
          <w:bCs/>
          <w:lang w:val="fr-FR"/>
        </w:rPr>
        <w:t>UNESCO. À ce jour, le Botswana avait  trois éléments in</w:t>
      </w:r>
      <w:r w:rsidR="006B6691">
        <w:rPr>
          <w:bCs/>
          <w:lang w:val="fr-FR"/>
        </w:rPr>
        <w:t>s</w:t>
      </w:r>
      <w:r w:rsidRPr="00664EE7">
        <w:rPr>
          <w:bCs/>
          <w:lang w:val="fr-FR"/>
        </w:rPr>
        <w:t>crits sur la Liste de sauvegarde urgente</w:t>
      </w:r>
      <w:r w:rsidR="00691516">
        <w:rPr>
          <w:bCs/>
          <w:lang w:val="fr-FR"/>
        </w:rPr>
        <w:t> </w:t>
      </w:r>
      <w:r w:rsidRPr="00664EE7">
        <w:rPr>
          <w:bCs/>
          <w:lang w:val="fr-FR"/>
        </w:rPr>
        <w:t xml:space="preserve">: </w:t>
      </w:r>
      <w:r w:rsidR="006B6691">
        <w:rPr>
          <w:bCs/>
          <w:lang w:val="fr-FR"/>
        </w:rPr>
        <w:t xml:space="preserve">le </w:t>
      </w:r>
      <w:r w:rsidR="006B6691" w:rsidRPr="006B6691">
        <w:rPr>
          <w:bCs/>
          <w:lang w:val="fr-FR"/>
        </w:rPr>
        <w:t>savoir</w:t>
      </w:r>
      <w:r w:rsidR="006B6691">
        <w:rPr>
          <w:bCs/>
          <w:lang w:val="fr-FR"/>
        </w:rPr>
        <w:noBreakHyphen/>
      </w:r>
      <w:r w:rsidR="006B6691" w:rsidRPr="006B6691">
        <w:rPr>
          <w:bCs/>
          <w:lang w:val="fr-FR"/>
        </w:rPr>
        <w:t>faire</w:t>
      </w:r>
      <w:r w:rsidR="006B6691">
        <w:rPr>
          <w:bCs/>
          <w:lang w:val="fr-FR"/>
        </w:rPr>
        <w:t xml:space="preserve"> </w:t>
      </w:r>
      <w:r w:rsidRPr="00664EE7">
        <w:rPr>
          <w:bCs/>
          <w:lang w:val="fr-FR"/>
        </w:rPr>
        <w:t xml:space="preserve">de </w:t>
      </w:r>
      <w:r w:rsidR="006B6691">
        <w:rPr>
          <w:bCs/>
          <w:lang w:val="fr-FR"/>
        </w:rPr>
        <w:t xml:space="preserve">la </w:t>
      </w:r>
      <w:r w:rsidRPr="00664EE7">
        <w:rPr>
          <w:bCs/>
          <w:lang w:val="fr-FR"/>
        </w:rPr>
        <w:t xml:space="preserve">poterie en terre cuite dans le district de </w:t>
      </w:r>
      <w:proofErr w:type="spellStart"/>
      <w:r w:rsidRPr="00664EE7">
        <w:rPr>
          <w:bCs/>
          <w:lang w:val="fr-FR"/>
        </w:rPr>
        <w:t>Kgatleng</w:t>
      </w:r>
      <w:proofErr w:type="spellEnd"/>
      <w:r w:rsidRPr="00664EE7">
        <w:rPr>
          <w:bCs/>
          <w:lang w:val="fr-FR"/>
        </w:rPr>
        <w:t xml:space="preserve"> au Botswana</w:t>
      </w:r>
      <w:r w:rsidR="00691516">
        <w:rPr>
          <w:bCs/>
          <w:lang w:val="fr-FR"/>
        </w:rPr>
        <w:t> </w:t>
      </w:r>
      <w:r w:rsidRPr="00664EE7">
        <w:rPr>
          <w:bCs/>
          <w:lang w:val="fr-FR"/>
        </w:rPr>
        <w:t>; l</w:t>
      </w:r>
      <w:r w:rsidR="006B6691">
        <w:rPr>
          <w:bCs/>
          <w:lang w:val="fr-FR"/>
        </w:rPr>
        <w:t xml:space="preserve">e </w:t>
      </w:r>
      <w:proofErr w:type="spellStart"/>
      <w:r w:rsidR="006B6691">
        <w:rPr>
          <w:bCs/>
          <w:lang w:val="fr-FR"/>
        </w:rPr>
        <w:t>d</w:t>
      </w:r>
      <w:r w:rsidRPr="00664EE7">
        <w:rPr>
          <w:bCs/>
          <w:lang w:val="fr-FR"/>
        </w:rPr>
        <w:t>ikopelo</w:t>
      </w:r>
      <w:proofErr w:type="spellEnd"/>
      <w:r w:rsidR="006B6691">
        <w:rPr>
          <w:bCs/>
          <w:lang w:val="fr-FR"/>
        </w:rPr>
        <w:t xml:space="preserve">, musique </w:t>
      </w:r>
      <w:r w:rsidR="006B6691" w:rsidRPr="006B6691">
        <w:rPr>
          <w:bCs/>
          <w:lang w:val="fr-FR"/>
        </w:rPr>
        <w:t>traditionne</w:t>
      </w:r>
      <w:r w:rsidR="006B6691">
        <w:rPr>
          <w:bCs/>
          <w:lang w:val="fr-FR"/>
        </w:rPr>
        <w:t>lle</w:t>
      </w:r>
      <w:r w:rsidRPr="00664EE7">
        <w:rPr>
          <w:bCs/>
          <w:lang w:val="fr-FR"/>
        </w:rPr>
        <w:t xml:space="preserve"> de</w:t>
      </w:r>
      <w:r w:rsidR="006B6691">
        <w:rPr>
          <w:bCs/>
          <w:lang w:val="fr-FR"/>
        </w:rPr>
        <w:t>s</w:t>
      </w:r>
      <w:r w:rsidRPr="00664EE7">
        <w:rPr>
          <w:bCs/>
          <w:lang w:val="fr-FR"/>
        </w:rPr>
        <w:t xml:space="preserve"> </w:t>
      </w:r>
      <w:proofErr w:type="spellStart"/>
      <w:r w:rsidRPr="00664EE7">
        <w:rPr>
          <w:bCs/>
          <w:lang w:val="fr-FR"/>
        </w:rPr>
        <w:t>Bakgatla</w:t>
      </w:r>
      <w:proofErr w:type="spellEnd"/>
      <w:r w:rsidRPr="00664EE7">
        <w:rPr>
          <w:bCs/>
          <w:lang w:val="fr-FR"/>
        </w:rPr>
        <w:t xml:space="preserve"> </w:t>
      </w:r>
      <w:proofErr w:type="spellStart"/>
      <w:r w:rsidRPr="00664EE7">
        <w:rPr>
          <w:bCs/>
          <w:lang w:val="fr-FR"/>
        </w:rPr>
        <w:t>ba</w:t>
      </w:r>
      <w:proofErr w:type="spellEnd"/>
      <w:r w:rsidRPr="00664EE7">
        <w:rPr>
          <w:bCs/>
          <w:lang w:val="fr-FR"/>
        </w:rPr>
        <w:t xml:space="preserve"> </w:t>
      </w:r>
      <w:proofErr w:type="spellStart"/>
      <w:r w:rsidRPr="00664EE7">
        <w:rPr>
          <w:bCs/>
          <w:lang w:val="fr-FR"/>
        </w:rPr>
        <w:t>Kgafela</w:t>
      </w:r>
      <w:proofErr w:type="spellEnd"/>
      <w:r w:rsidRPr="00664EE7">
        <w:rPr>
          <w:bCs/>
          <w:lang w:val="fr-FR"/>
        </w:rPr>
        <w:t xml:space="preserve"> dans le district de </w:t>
      </w:r>
      <w:proofErr w:type="spellStart"/>
      <w:r w:rsidRPr="00664EE7">
        <w:rPr>
          <w:bCs/>
          <w:lang w:val="fr-FR"/>
        </w:rPr>
        <w:t>Kgatleng</w:t>
      </w:r>
      <w:proofErr w:type="spellEnd"/>
      <w:r w:rsidR="00691516">
        <w:rPr>
          <w:bCs/>
          <w:lang w:val="fr-FR"/>
        </w:rPr>
        <w:t> </w:t>
      </w:r>
      <w:r w:rsidRPr="00664EE7">
        <w:rPr>
          <w:bCs/>
          <w:lang w:val="fr-FR"/>
        </w:rPr>
        <w:t xml:space="preserve">; et </w:t>
      </w:r>
      <w:r w:rsidR="00691516">
        <w:rPr>
          <w:bCs/>
          <w:lang w:val="fr-FR"/>
        </w:rPr>
        <w:t xml:space="preserve">le </w:t>
      </w:r>
      <w:proofErr w:type="spellStart"/>
      <w:r w:rsidR="00691516">
        <w:rPr>
          <w:bCs/>
          <w:lang w:val="fr-FR"/>
        </w:rPr>
        <w:t>s</w:t>
      </w:r>
      <w:r w:rsidRPr="00664EE7">
        <w:rPr>
          <w:bCs/>
          <w:lang w:val="fr-FR"/>
        </w:rPr>
        <w:t>eperu</w:t>
      </w:r>
      <w:proofErr w:type="spellEnd"/>
      <w:r w:rsidR="00691516">
        <w:rPr>
          <w:bCs/>
          <w:lang w:val="fr-FR"/>
        </w:rPr>
        <w:t>, danse populaire et</w:t>
      </w:r>
      <w:r w:rsidRPr="00664EE7">
        <w:rPr>
          <w:bCs/>
          <w:lang w:val="fr-FR"/>
        </w:rPr>
        <w:t xml:space="preserve"> pratiques associées. Il avait soumis tous ses rapports périodiques dans les délais</w:t>
      </w:r>
      <w:r w:rsidR="0014439A">
        <w:rPr>
          <w:bCs/>
          <w:lang w:val="fr-FR"/>
        </w:rPr>
        <w:t> </w:t>
      </w:r>
      <w:r w:rsidRPr="00664EE7">
        <w:rPr>
          <w:bCs/>
          <w:lang w:val="fr-FR"/>
        </w:rPr>
        <w:t>: le premier rapport national depuis la ratification en</w:t>
      </w:r>
      <w:r w:rsidR="001A7AF7">
        <w:rPr>
          <w:bCs/>
          <w:lang w:val="fr-FR"/>
        </w:rPr>
        <w:t> </w:t>
      </w:r>
      <w:r w:rsidRPr="00664EE7">
        <w:rPr>
          <w:bCs/>
          <w:lang w:val="fr-FR"/>
        </w:rPr>
        <w:t>2016</w:t>
      </w:r>
      <w:r w:rsidR="00532EB0">
        <w:rPr>
          <w:bCs/>
          <w:lang w:val="fr-FR"/>
        </w:rPr>
        <w:t> </w:t>
      </w:r>
      <w:r w:rsidRPr="00664EE7">
        <w:rPr>
          <w:bCs/>
          <w:lang w:val="fr-FR"/>
        </w:rPr>
        <w:t xml:space="preserve">; les premier et deuxième rapports périodiques pour </w:t>
      </w:r>
      <w:r w:rsidR="00691516">
        <w:rPr>
          <w:bCs/>
          <w:lang w:val="fr-FR"/>
        </w:rPr>
        <w:t xml:space="preserve">le </w:t>
      </w:r>
      <w:r w:rsidR="00691516" w:rsidRPr="006B6691">
        <w:rPr>
          <w:bCs/>
          <w:lang w:val="fr-FR"/>
        </w:rPr>
        <w:t>savoir</w:t>
      </w:r>
      <w:r w:rsidR="00691516">
        <w:rPr>
          <w:bCs/>
          <w:lang w:val="fr-FR"/>
        </w:rPr>
        <w:noBreakHyphen/>
      </w:r>
      <w:r w:rsidR="00691516" w:rsidRPr="006B6691">
        <w:rPr>
          <w:bCs/>
          <w:lang w:val="fr-FR"/>
        </w:rPr>
        <w:t>faire</w:t>
      </w:r>
      <w:r w:rsidR="00691516">
        <w:rPr>
          <w:bCs/>
          <w:lang w:val="fr-FR"/>
        </w:rPr>
        <w:t xml:space="preserve"> </w:t>
      </w:r>
      <w:r w:rsidR="00691516" w:rsidRPr="00664EE7">
        <w:rPr>
          <w:bCs/>
          <w:lang w:val="fr-FR"/>
        </w:rPr>
        <w:t xml:space="preserve">de </w:t>
      </w:r>
      <w:r w:rsidR="00691516">
        <w:rPr>
          <w:bCs/>
          <w:lang w:val="fr-FR"/>
        </w:rPr>
        <w:t xml:space="preserve">la </w:t>
      </w:r>
      <w:r w:rsidR="00691516" w:rsidRPr="00664EE7">
        <w:rPr>
          <w:bCs/>
          <w:lang w:val="fr-FR"/>
        </w:rPr>
        <w:t>poterie en terre cuite</w:t>
      </w:r>
      <w:r w:rsidR="00691516">
        <w:rPr>
          <w:bCs/>
          <w:lang w:val="fr-FR"/>
        </w:rPr>
        <w:t xml:space="preserve">, respectivement </w:t>
      </w:r>
      <w:r w:rsidRPr="00664EE7">
        <w:rPr>
          <w:bCs/>
          <w:lang w:val="fr-FR"/>
        </w:rPr>
        <w:t>en</w:t>
      </w:r>
      <w:r w:rsidR="001A7AF7">
        <w:rPr>
          <w:bCs/>
          <w:lang w:val="fr-FR"/>
        </w:rPr>
        <w:t> </w:t>
      </w:r>
      <w:r w:rsidRPr="00664EE7">
        <w:rPr>
          <w:bCs/>
          <w:lang w:val="fr-FR"/>
        </w:rPr>
        <w:t>2016 et</w:t>
      </w:r>
      <w:r w:rsidR="001A7AF7">
        <w:rPr>
          <w:bCs/>
          <w:lang w:val="fr-FR"/>
        </w:rPr>
        <w:t> </w:t>
      </w:r>
      <w:r w:rsidRPr="00664EE7">
        <w:rPr>
          <w:bCs/>
          <w:lang w:val="fr-FR"/>
        </w:rPr>
        <w:t>2020</w:t>
      </w:r>
      <w:r w:rsidR="00691516">
        <w:rPr>
          <w:bCs/>
          <w:lang w:val="fr-FR"/>
        </w:rPr>
        <w:t> </w:t>
      </w:r>
      <w:r w:rsidRPr="00664EE7">
        <w:rPr>
          <w:bCs/>
          <w:lang w:val="fr-FR"/>
        </w:rPr>
        <w:t xml:space="preserve">; et le premier rapport périodique pour </w:t>
      </w:r>
      <w:r w:rsidR="00691516" w:rsidRPr="00664EE7">
        <w:rPr>
          <w:bCs/>
          <w:lang w:val="fr-FR"/>
        </w:rPr>
        <w:t>l</w:t>
      </w:r>
      <w:r w:rsidR="00691516">
        <w:rPr>
          <w:bCs/>
          <w:lang w:val="fr-FR"/>
        </w:rPr>
        <w:t xml:space="preserve">e </w:t>
      </w:r>
      <w:proofErr w:type="spellStart"/>
      <w:r w:rsidR="00691516">
        <w:rPr>
          <w:bCs/>
          <w:lang w:val="fr-FR"/>
        </w:rPr>
        <w:t>d</w:t>
      </w:r>
      <w:r w:rsidR="00691516" w:rsidRPr="00664EE7">
        <w:rPr>
          <w:bCs/>
          <w:lang w:val="fr-FR"/>
        </w:rPr>
        <w:t>ikopelo</w:t>
      </w:r>
      <w:proofErr w:type="spellEnd"/>
      <w:r w:rsidR="00691516">
        <w:rPr>
          <w:bCs/>
          <w:lang w:val="fr-FR"/>
        </w:rPr>
        <w:t xml:space="preserve">, musique </w:t>
      </w:r>
      <w:r w:rsidR="00691516" w:rsidRPr="006B6691">
        <w:rPr>
          <w:bCs/>
          <w:lang w:val="fr-FR"/>
        </w:rPr>
        <w:t>traditionne</w:t>
      </w:r>
      <w:r w:rsidR="00691516">
        <w:rPr>
          <w:bCs/>
          <w:lang w:val="fr-FR"/>
        </w:rPr>
        <w:t>lle</w:t>
      </w:r>
      <w:r w:rsidR="00691516" w:rsidRPr="00664EE7">
        <w:rPr>
          <w:bCs/>
          <w:lang w:val="fr-FR"/>
        </w:rPr>
        <w:t xml:space="preserve"> de</w:t>
      </w:r>
      <w:r w:rsidR="00691516">
        <w:rPr>
          <w:bCs/>
          <w:lang w:val="fr-FR"/>
        </w:rPr>
        <w:t>s</w:t>
      </w:r>
      <w:r w:rsidR="00691516" w:rsidRPr="00664EE7">
        <w:rPr>
          <w:bCs/>
          <w:lang w:val="fr-FR"/>
        </w:rPr>
        <w:t xml:space="preserve"> </w:t>
      </w:r>
      <w:proofErr w:type="spellStart"/>
      <w:r w:rsidR="00691516" w:rsidRPr="00664EE7">
        <w:rPr>
          <w:bCs/>
          <w:lang w:val="fr-FR"/>
        </w:rPr>
        <w:t>Bakgatla</w:t>
      </w:r>
      <w:proofErr w:type="spellEnd"/>
      <w:r w:rsidR="00691516" w:rsidRPr="00664EE7">
        <w:rPr>
          <w:bCs/>
          <w:lang w:val="fr-FR"/>
        </w:rPr>
        <w:t xml:space="preserve"> </w:t>
      </w:r>
      <w:proofErr w:type="spellStart"/>
      <w:r w:rsidR="00691516" w:rsidRPr="00664EE7">
        <w:rPr>
          <w:bCs/>
          <w:lang w:val="fr-FR"/>
        </w:rPr>
        <w:t>ba</w:t>
      </w:r>
      <w:proofErr w:type="spellEnd"/>
      <w:r w:rsidR="00691516" w:rsidRPr="00664EE7">
        <w:rPr>
          <w:bCs/>
          <w:lang w:val="fr-FR"/>
        </w:rPr>
        <w:t xml:space="preserve"> </w:t>
      </w:r>
      <w:proofErr w:type="spellStart"/>
      <w:r w:rsidR="00691516" w:rsidRPr="00664EE7">
        <w:rPr>
          <w:bCs/>
          <w:lang w:val="fr-FR"/>
        </w:rPr>
        <w:t>Kgafela</w:t>
      </w:r>
      <w:proofErr w:type="spellEnd"/>
      <w:r w:rsidR="00691516" w:rsidRPr="00664EE7">
        <w:rPr>
          <w:bCs/>
          <w:lang w:val="fr-FR"/>
        </w:rPr>
        <w:t xml:space="preserve"> </w:t>
      </w:r>
      <w:r w:rsidRPr="00664EE7">
        <w:rPr>
          <w:bCs/>
          <w:lang w:val="fr-FR"/>
        </w:rPr>
        <w:t>en</w:t>
      </w:r>
      <w:r w:rsidR="001A7AF7">
        <w:rPr>
          <w:bCs/>
          <w:lang w:val="fr-FR"/>
        </w:rPr>
        <w:t> </w:t>
      </w:r>
      <w:r w:rsidRPr="00664EE7">
        <w:rPr>
          <w:bCs/>
          <w:lang w:val="fr-FR"/>
        </w:rPr>
        <w:t>2021. Le Botswana était reconnaissant d</w:t>
      </w:r>
      <w:r w:rsidR="00923E72">
        <w:rPr>
          <w:bCs/>
          <w:lang w:val="fr-FR"/>
        </w:rPr>
        <w:t>’</w:t>
      </w:r>
      <w:r w:rsidRPr="00664EE7">
        <w:rPr>
          <w:bCs/>
          <w:lang w:val="fr-FR"/>
        </w:rPr>
        <w:t>avoir été élu membre du Comité en</w:t>
      </w:r>
      <w:r w:rsidR="00AF6B98">
        <w:rPr>
          <w:bCs/>
          <w:lang w:val="fr-FR"/>
        </w:rPr>
        <w:t> </w:t>
      </w:r>
      <w:r w:rsidRPr="00664EE7">
        <w:rPr>
          <w:bCs/>
          <w:lang w:val="fr-FR"/>
        </w:rPr>
        <w:t>2020, ce qui lui donnait l</w:t>
      </w:r>
      <w:r w:rsidR="00923E72">
        <w:rPr>
          <w:bCs/>
          <w:lang w:val="fr-FR"/>
        </w:rPr>
        <w:t>’</w:t>
      </w:r>
      <w:r w:rsidRPr="00664EE7">
        <w:rPr>
          <w:bCs/>
          <w:lang w:val="fr-FR"/>
        </w:rPr>
        <w:t>occasion d</w:t>
      </w:r>
      <w:r w:rsidR="00923E72">
        <w:rPr>
          <w:bCs/>
          <w:lang w:val="fr-FR"/>
        </w:rPr>
        <w:t>’</w:t>
      </w:r>
      <w:r w:rsidRPr="00664EE7">
        <w:rPr>
          <w:bCs/>
          <w:lang w:val="fr-FR"/>
        </w:rPr>
        <w:t>accueillir la prochaine session du Comité. Il avait pris note du fait que</w:t>
      </w:r>
      <w:r w:rsidR="001A7AF7">
        <w:rPr>
          <w:bCs/>
          <w:lang w:val="fr-FR"/>
        </w:rPr>
        <w:t> </w:t>
      </w:r>
      <w:r w:rsidRPr="00664EE7">
        <w:rPr>
          <w:bCs/>
          <w:lang w:val="fr-FR"/>
        </w:rPr>
        <w:t>2023 célébrerait le vingtième anniversaire de la Convention au Botswana, ce qu</w:t>
      </w:r>
      <w:r w:rsidR="00923E72">
        <w:rPr>
          <w:bCs/>
          <w:lang w:val="fr-FR"/>
        </w:rPr>
        <w:t>’</w:t>
      </w:r>
      <w:r w:rsidRPr="00664EE7">
        <w:rPr>
          <w:bCs/>
          <w:lang w:val="fr-FR"/>
        </w:rPr>
        <w:t>il prendrait en considération avec les collègues du Secrétariat. Le Botswana était très heureux de prendre le relais de ses frères et sœurs africains du Royaume du Maroc et serait également heureux d</w:t>
      </w:r>
      <w:r w:rsidR="00923E72">
        <w:rPr>
          <w:bCs/>
          <w:lang w:val="fr-FR"/>
        </w:rPr>
        <w:t>’</w:t>
      </w:r>
      <w:r w:rsidRPr="00664EE7">
        <w:rPr>
          <w:bCs/>
          <w:lang w:val="fr-FR"/>
        </w:rPr>
        <w:t>assister à une augmentation du nombre de dossiers en provenance d</w:t>
      </w:r>
      <w:r w:rsidR="00923E72">
        <w:rPr>
          <w:bCs/>
          <w:lang w:val="fr-FR"/>
        </w:rPr>
        <w:t>’</w:t>
      </w:r>
      <w:r w:rsidRPr="00664EE7">
        <w:rPr>
          <w:bCs/>
          <w:lang w:val="fr-FR"/>
        </w:rPr>
        <w:t>Afrique au cours de son mandat de Président. Le ministre a souhaité la bienvenue aux délégués au Botswana en</w:t>
      </w:r>
      <w:r w:rsidR="00CB5654">
        <w:rPr>
          <w:bCs/>
          <w:lang w:val="fr-FR"/>
        </w:rPr>
        <w:t> </w:t>
      </w:r>
      <w:r w:rsidR="0014439A">
        <w:rPr>
          <w:bCs/>
          <w:lang w:val="fr-FR"/>
        </w:rPr>
        <w:t>2023,</w:t>
      </w:r>
      <w:r w:rsidRPr="00664EE7">
        <w:rPr>
          <w:bCs/>
          <w:lang w:val="fr-FR"/>
        </w:rPr>
        <w:t xml:space="preserve"> où ils découvriraient l</w:t>
      </w:r>
      <w:r w:rsidR="00923E72">
        <w:rPr>
          <w:bCs/>
          <w:lang w:val="fr-FR"/>
        </w:rPr>
        <w:t>’</w:t>
      </w:r>
      <w:r w:rsidRPr="00664EE7">
        <w:rPr>
          <w:bCs/>
          <w:lang w:val="fr-FR"/>
        </w:rPr>
        <w:t>hospitalité chaleureuse de son peuple.</w:t>
      </w:r>
    </w:p>
    <w:p w14:paraId="26D84546" w14:textId="6C51F2AF" w:rsidR="00691516" w:rsidRPr="00702497" w:rsidRDefault="00691516" w:rsidP="00702497">
      <w:pPr>
        <w:pStyle w:val="Orateurengris"/>
        <w:spacing w:before="120"/>
        <w:ind w:left="709"/>
        <w:jc w:val="center"/>
        <w:rPr>
          <w:bCs/>
          <w:i/>
          <w:iCs/>
          <w:lang w:val="fr-FR"/>
        </w:rPr>
      </w:pPr>
      <w:r w:rsidRPr="00702497">
        <w:rPr>
          <w:bCs/>
          <w:i/>
          <w:iCs/>
          <w:lang w:val="fr-FR"/>
        </w:rPr>
        <w:t>[Applaudissements]</w:t>
      </w:r>
    </w:p>
    <w:p w14:paraId="46EA32BB" w14:textId="685891F5" w:rsidR="00CD2FD0" w:rsidRDefault="00CD2FD0" w:rsidP="00691516">
      <w:pPr>
        <w:pStyle w:val="Orateurengris"/>
        <w:numPr>
          <w:ilvl w:val="0"/>
          <w:numId w:val="20"/>
        </w:numPr>
        <w:tabs>
          <w:tab w:val="clear" w:pos="567"/>
        </w:tabs>
        <w:spacing w:before="120"/>
        <w:ind w:left="709" w:hanging="709"/>
        <w:rPr>
          <w:bCs/>
          <w:lang w:val="fr-FR"/>
        </w:rPr>
      </w:pPr>
      <w:r w:rsidRPr="00CD2FD0">
        <w:rPr>
          <w:bCs/>
          <w:lang w:val="fr-FR"/>
        </w:rPr>
        <w:t xml:space="preserve">Le </w:t>
      </w:r>
      <w:r w:rsidRPr="00702497">
        <w:rPr>
          <w:b/>
          <w:lang w:val="fr-FR"/>
        </w:rPr>
        <w:t>Président</w:t>
      </w:r>
      <w:r w:rsidRPr="00CD2FD0">
        <w:rPr>
          <w:bCs/>
          <w:lang w:val="fr-FR"/>
        </w:rPr>
        <w:t xml:space="preserve"> a remercié le ministre, ajoutant que le Comité était très honoré de sa présence et heureux que le Botswana reprenne le flambeau</w:t>
      </w:r>
      <w:r w:rsidR="009C3181">
        <w:rPr>
          <w:bCs/>
          <w:lang w:val="fr-FR"/>
        </w:rPr>
        <w:t xml:space="preserve">, </w:t>
      </w:r>
      <w:r w:rsidRPr="00CD2FD0">
        <w:rPr>
          <w:bCs/>
          <w:lang w:val="fr-FR"/>
        </w:rPr>
        <w:t>un pays africain annonçant la nouvelle sur le sol africain. Il a félicité le Botswana pour l</w:t>
      </w:r>
      <w:r w:rsidR="00923E72">
        <w:rPr>
          <w:bCs/>
          <w:lang w:val="fr-FR"/>
        </w:rPr>
        <w:t>’</w:t>
      </w:r>
      <w:r w:rsidRPr="00CD2FD0">
        <w:rPr>
          <w:bCs/>
          <w:lang w:val="fr-FR"/>
        </w:rPr>
        <w:t>ensemble des actions mentionnées en faveur de la préservation du patrimoine culturel immatériel et pour son engagement en faveur des principes de l</w:t>
      </w:r>
      <w:r w:rsidR="00923E72">
        <w:rPr>
          <w:bCs/>
          <w:lang w:val="fr-FR"/>
        </w:rPr>
        <w:t>’</w:t>
      </w:r>
      <w:r w:rsidRPr="00CD2FD0">
        <w:rPr>
          <w:bCs/>
          <w:lang w:val="fr-FR"/>
        </w:rPr>
        <w:t>UNESCO.</w:t>
      </w:r>
    </w:p>
    <w:p w14:paraId="700E6689" w14:textId="58FCC3EE" w:rsidR="00691516" w:rsidRDefault="0036152B" w:rsidP="00691516">
      <w:pPr>
        <w:pStyle w:val="Orateurengris"/>
        <w:numPr>
          <w:ilvl w:val="0"/>
          <w:numId w:val="20"/>
        </w:numPr>
        <w:tabs>
          <w:tab w:val="clear" w:pos="567"/>
        </w:tabs>
        <w:spacing w:before="120"/>
        <w:ind w:left="709" w:hanging="709"/>
        <w:rPr>
          <w:bCs/>
          <w:lang w:val="fr-FR"/>
        </w:rPr>
      </w:pPr>
      <w:r w:rsidRPr="0036152B">
        <w:rPr>
          <w:bCs/>
          <w:lang w:val="fr-FR"/>
        </w:rPr>
        <w:t>En l</w:t>
      </w:r>
      <w:r w:rsidR="00923E72">
        <w:rPr>
          <w:bCs/>
          <w:lang w:val="fr-FR"/>
        </w:rPr>
        <w:t>’</w:t>
      </w:r>
      <w:r w:rsidRPr="0036152B">
        <w:rPr>
          <w:bCs/>
          <w:lang w:val="fr-FR"/>
        </w:rPr>
        <w:t>absence</w:t>
      </w:r>
      <w:r>
        <w:rPr>
          <w:bCs/>
          <w:lang w:val="fr-FR"/>
        </w:rPr>
        <w:t xml:space="preserve"> de </w:t>
      </w:r>
      <w:r w:rsidRPr="0036152B">
        <w:rPr>
          <w:bCs/>
          <w:lang w:val="fr-FR"/>
        </w:rPr>
        <w:t>commentaires</w:t>
      </w:r>
      <w:r>
        <w:rPr>
          <w:bCs/>
          <w:lang w:val="fr-FR"/>
        </w:rPr>
        <w:t xml:space="preserve"> ou d</w:t>
      </w:r>
      <w:r w:rsidR="00923E72">
        <w:rPr>
          <w:bCs/>
          <w:lang w:val="fr-FR"/>
        </w:rPr>
        <w:t>’</w:t>
      </w:r>
      <w:r w:rsidRPr="0036152B">
        <w:rPr>
          <w:bCs/>
          <w:lang w:val="fr-FR"/>
        </w:rPr>
        <w:t>objections</w:t>
      </w:r>
      <w:r>
        <w:rPr>
          <w:bCs/>
          <w:lang w:val="fr-FR"/>
        </w:rPr>
        <w:t xml:space="preserve">, le </w:t>
      </w:r>
      <w:r w:rsidRPr="00702497">
        <w:rPr>
          <w:b/>
          <w:lang w:val="fr-FR"/>
        </w:rPr>
        <w:t>Président a déclaré la décision</w:t>
      </w:r>
      <w:r w:rsidR="00532EB0">
        <w:rPr>
          <w:b/>
          <w:lang w:val="fr-FR"/>
        </w:rPr>
        <w:t> </w:t>
      </w:r>
      <w:r w:rsidR="00751FB1">
        <w:fldChar w:fldCharType="begin"/>
      </w:r>
      <w:r w:rsidR="00751FB1" w:rsidRPr="00751FB1">
        <w:rPr>
          <w:lang w:val="fr-FR"/>
        </w:rPr>
        <w:instrText>HYPERLINK "https://ich.unesco.org/fr/Decisions/17.COM/16"</w:instrText>
      </w:r>
      <w:r w:rsidR="00751FB1">
        <w:fldChar w:fldCharType="separate"/>
      </w:r>
      <w:r w:rsidRPr="006E3034">
        <w:rPr>
          <w:rStyle w:val="Hyperlink"/>
          <w:b/>
          <w:lang w:val="fr-FR"/>
        </w:rPr>
        <w:t>17.COM 16</w:t>
      </w:r>
      <w:r w:rsidR="00751FB1">
        <w:rPr>
          <w:rStyle w:val="Hyperlink"/>
          <w:b/>
          <w:lang w:val="fr-FR"/>
        </w:rPr>
        <w:fldChar w:fldCharType="end"/>
      </w:r>
      <w:r w:rsidRPr="00702497">
        <w:rPr>
          <w:b/>
          <w:lang w:val="fr-FR"/>
        </w:rPr>
        <w:t xml:space="preserve"> adoptée</w:t>
      </w:r>
      <w:r>
        <w:rPr>
          <w:bCs/>
          <w:lang w:val="fr-FR"/>
        </w:rPr>
        <w:t>.</w:t>
      </w:r>
    </w:p>
    <w:p w14:paraId="37920260" w14:textId="4A908ADC" w:rsidR="0036152B" w:rsidRDefault="0036152B" w:rsidP="00691516">
      <w:pPr>
        <w:pStyle w:val="Orateurengris"/>
        <w:numPr>
          <w:ilvl w:val="0"/>
          <w:numId w:val="20"/>
        </w:numPr>
        <w:tabs>
          <w:tab w:val="clear" w:pos="567"/>
        </w:tabs>
        <w:spacing w:before="120"/>
        <w:ind w:left="709" w:hanging="709"/>
        <w:rPr>
          <w:bCs/>
          <w:lang w:val="fr-FR"/>
        </w:rPr>
      </w:pPr>
      <w:r>
        <w:rPr>
          <w:bCs/>
          <w:lang w:val="fr-FR"/>
        </w:rPr>
        <w:lastRenderedPageBreak/>
        <w:t xml:space="preserve">Le </w:t>
      </w:r>
      <w:r w:rsidRPr="00702497">
        <w:rPr>
          <w:b/>
          <w:lang w:val="fr-FR"/>
        </w:rPr>
        <w:t>Président</w:t>
      </w:r>
      <w:r>
        <w:rPr>
          <w:bCs/>
          <w:lang w:val="fr-FR"/>
        </w:rPr>
        <w:t xml:space="preserve"> a remercié chaleureusement le Botswana et a invité le </w:t>
      </w:r>
      <w:r w:rsidRPr="0036152B">
        <w:rPr>
          <w:bCs/>
          <w:lang w:val="fr-FR"/>
        </w:rPr>
        <w:t>Secrétaire</w:t>
      </w:r>
      <w:r>
        <w:rPr>
          <w:bCs/>
          <w:lang w:val="fr-FR"/>
        </w:rPr>
        <w:t xml:space="preserve"> à communiquer des </w:t>
      </w:r>
      <w:r w:rsidRPr="0036152B">
        <w:rPr>
          <w:bCs/>
          <w:lang w:val="fr-FR"/>
        </w:rPr>
        <w:t>informations</w:t>
      </w:r>
      <w:r>
        <w:rPr>
          <w:bCs/>
          <w:lang w:val="fr-FR"/>
        </w:rPr>
        <w:t xml:space="preserve"> </w:t>
      </w:r>
      <w:r w:rsidRPr="0036152B">
        <w:rPr>
          <w:bCs/>
          <w:lang w:val="fr-FR"/>
        </w:rPr>
        <w:t>supplémentair</w:t>
      </w:r>
      <w:r>
        <w:rPr>
          <w:bCs/>
          <w:lang w:val="fr-FR"/>
        </w:rPr>
        <w:t xml:space="preserve">es à propos du lieu </w:t>
      </w:r>
      <w:r w:rsidR="00532EB0">
        <w:rPr>
          <w:bCs/>
          <w:lang w:val="fr-FR"/>
        </w:rPr>
        <w:t xml:space="preserve">et </w:t>
      </w:r>
      <w:r>
        <w:rPr>
          <w:bCs/>
          <w:lang w:val="fr-FR"/>
        </w:rPr>
        <w:t>des dates de la session.</w:t>
      </w:r>
    </w:p>
    <w:p w14:paraId="00CFDC1C" w14:textId="73F56989" w:rsidR="0036152B" w:rsidRDefault="0036152B" w:rsidP="00691516">
      <w:pPr>
        <w:pStyle w:val="Orateurengris"/>
        <w:numPr>
          <w:ilvl w:val="0"/>
          <w:numId w:val="20"/>
        </w:numPr>
        <w:tabs>
          <w:tab w:val="clear" w:pos="567"/>
        </w:tabs>
        <w:spacing w:before="120"/>
        <w:ind w:left="709" w:hanging="709"/>
        <w:rPr>
          <w:bCs/>
          <w:lang w:val="fr-FR"/>
        </w:rPr>
      </w:pPr>
      <w:r w:rsidRPr="0036152B">
        <w:rPr>
          <w:bCs/>
          <w:lang w:val="fr-FR"/>
        </w:rPr>
        <w:t xml:space="preserve">Le </w:t>
      </w:r>
      <w:r w:rsidRPr="00702497">
        <w:rPr>
          <w:b/>
          <w:lang w:val="fr-FR"/>
        </w:rPr>
        <w:t>Secrétaire</w:t>
      </w:r>
      <w:r w:rsidRPr="0036152B">
        <w:rPr>
          <w:bCs/>
          <w:lang w:val="fr-FR"/>
        </w:rPr>
        <w:t xml:space="preserve"> a rappelé au Comité qu</w:t>
      </w:r>
      <w:r w:rsidR="00923E72">
        <w:rPr>
          <w:bCs/>
          <w:lang w:val="fr-FR"/>
        </w:rPr>
        <w:t>’</w:t>
      </w:r>
      <w:r w:rsidRPr="0036152B">
        <w:rPr>
          <w:bCs/>
          <w:lang w:val="fr-FR"/>
        </w:rPr>
        <w:t>il lui appartenait également de fixer les dates. Après avoir consulté et confirmé les dates avec la Directrice générale et les autorités du Botswana, il avait le plaisir de proposer que la dix</w:t>
      </w:r>
      <w:r w:rsidR="00532EB0">
        <w:rPr>
          <w:bCs/>
          <w:lang w:val="fr-FR"/>
        </w:rPr>
        <w:noBreakHyphen/>
      </w:r>
      <w:r w:rsidRPr="0036152B">
        <w:rPr>
          <w:bCs/>
          <w:lang w:val="fr-FR"/>
        </w:rPr>
        <w:t>huitième session se tienne du</w:t>
      </w:r>
      <w:r>
        <w:rPr>
          <w:bCs/>
          <w:lang w:val="fr-FR"/>
        </w:rPr>
        <w:t> </w:t>
      </w:r>
      <w:r w:rsidRPr="0036152B">
        <w:rPr>
          <w:bCs/>
          <w:lang w:val="fr-FR"/>
        </w:rPr>
        <w:t>4</w:t>
      </w:r>
      <w:r w:rsidR="001A7AF7">
        <w:rPr>
          <w:bCs/>
          <w:lang w:val="fr-FR"/>
        </w:rPr>
        <w:t xml:space="preserve"> </w:t>
      </w:r>
      <w:r w:rsidRPr="0036152B">
        <w:rPr>
          <w:bCs/>
          <w:lang w:val="fr-FR"/>
        </w:rPr>
        <w:t>au</w:t>
      </w:r>
      <w:r>
        <w:rPr>
          <w:bCs/>
          <w:lang w:val="fr-FR"/>
        </w:rPr>
        <w:t> </w:t>
      </w:r>
      <w:r w:rsidRPr="0036152B">
        <w:rPr>
          <w:bCs/>
          <w:lang w:val="fr-FR"/>
        </w:rPr>
        <w:t>9</w:t>
      </w:r>
      <w:r w:rsidR="001A7AF7">
        <w:rPr>
          <w:bCs/>
          <w:lang w:val="fr-FR"/>
        </w:rPr>
        <w:t> </w:t>
      </w:r>
      <w:r w:rsidRPr="0036152B">
        <w:rPr>
          <w:bCs/>
          <w:lang w:val="fr-FR"/>
        </w:rPr>
        <w:t>décembre</w:t>
      </w:r>
      <w:r>
        <w:rPr>
          <w:bCs/>
          <w:lang w:val="fr-FR"/>
        </w:rPr>
        <w:t> </w:t>
      </w:r>
      <w:r w:rsidRPr="0036152B">
        <w:rPr>
          <w:bCs/>
          <w:lang w:val="fr-FR"/>
        </w:rPr>
        <w:t>2023</w:t>
      </w:r>
      <w:r>
        <w:rPr>
          <w:bCs/>
          <w:lang w:val="fr-FR"/>
        </w:rPr>
        <w:t>. L</w:t>
      </w:r>
      <w:r w:rsidRPr="0036152B">
        <w:rPr>
          <w:bCs/>
          <w:lang w:val="fr-FR"/>
        </w:rPr>
        <w:t>e projet de décision a été amendé en conséquence.</w:t>
      </w:r>
    </w:p>
    <w:p w14:paraId="4A0DD77A" w14:textId="28DE9213" w:rsidR="009C3181" w:rsidRPr="00702497" w:rsidRDefault="009C3181" w:rsidP="00702497">
      <w:pPr>
        <w:pStyle w:val="Marge"/>
        <w:keepNext/>
        <w:tabs>
          <w:tab w:val="clear" w:pos="567"/>
          <w:tab w:val="left" w:pos="709"/>
          <w:tab w:val="left" w:pos="1418"/>
          <w:tab w:val="left" w:pos="2126"/>
          <w:tab w:val="left" w:pos="2835"/>
        </w:tabs>
        <w:spacing w:before="360" w:after="60"/>
        <w:jc w:val="left"/>
        <w:outlineLvl w:val="0"/>
        <w:rPr>
          <w:rFonts w:eastAsiaTheme="minorHAnsi"/>
          <w:b/>
          <w:color w:val="000000" w:themeColor="text1"/>
        </w:rPr>
      </w:pPr>
      <w:r>
        <w:rPr>
          <w:rFonts w:eastAsiaTheme="minorHAnsi"/>
          <w:b/>
          <w:color w:val="000000" w:themeColor="text1"/>
          <w:u w:val="single"/>
        </w:rPr>
        <w:t>POINT</w:t>
      </w:r>
      <w:r w:rsidR="0073323E">
        <w:rPr>
          <w:rFonts w:eastAsiaTheme="minorHAnsi"/>
          <w:b/>
          <w:color w:val="000000" w:themeColor="text1"/>
          <w:u w:val="single"/>
        </w:rPr>
        <w:t> </w:t>
      </w:r>
      <w:r>
        <w:rPr>
          <w:rFonts w:eastAsiaTheme="minorHAnsi"/>
          <w:b/>
          <w:color w:val="000000" w:themeColor="text1"/>
          <w:u w:val="single"/>
        </w:rPr>
        <w:t>17 DE L</w:t>
      </w:r>
      <w:r w:rsidR="00923E72">
        <w:rPr>
          <w:rFonts w:eastAsiaTheme="minorHAnsi"/>
          <w:b/>
          <w:color w:val="000000" w:themeColor="text1"/>
          <w:u w:val="single"/>
        </w:rPr>
        <w:t>’</w:t>
      </w:r>
      <w:r w:rsidRPr="009C3181">
        <w:rPr>
          <w:rFonts w:eastAsiaTheme="minorHAnsi"/>
          <w:b/>
          <w:color w:val="000000" w:themeColor="text1"/>
          <w:u w:val="single"/>
        </w:rPr>
        <w:t>ORDRE DU JOUR</w:t>
      </w:r>
      <w:r w:rsidRPr="009C3181">
        <w:rPr>
          <w:rFonts w:eastAsiaTheme="minorHAnsi"/>
          <w:b/>
          <w:color w:val="000000" w:themeColor="text1"/>
        </w:rPr>
        <w:t> </w:t>
      </w:r>
      <w:r>
        <w:rPr>
          <w:rFonts w:eastAsiaTheme="minorHAnsi"/>
          <w:b/>
          <w:color w:val="000000" w:themeColor="text1"/>
        </w:rPr>
        <w:t>:</w:t>
      </w:r>
    </w:p>
    <w:p w14:paraId="7992B92C" w14:textId="1977A6DE" w:rsidR="0036152B" w:rsidRPr="00702497" w:rsidRDefault="009C3181" w:rsidP="00702497">
      <w:pPr>
        <w:pStyle w:val="Orateurengris"/>
        <w:tabs>
          <w:tab w:val="clear" w:pos="709"/>
          <w:tab w:val="clear" w:pos="1418"/>
          <w:tab w:val="clear" w:pos="2126"/>
          <w:tab w:val="clear" w:pos="2835"/>
        </w:tabs>
        <w:spacing w:after="0"/>
        <w:outlineLvl w:val="0"/>
        <w:rPr>
          <w:b/>
          <w:color w:val="000000" w:themeColor="text1"/>
          <w:lang w:val="fr-FR"/>
        </w:rPr>
      </w:pPr>
      <w:r>
        <w:rPr>
          <w:b/>
          <w:color w:val="000000" w:themeColor="text1"/>
          <w:lang w:val="fr-FR"/>
        </w:rPr>
        <w:t>ÉLECTION DES MEMBRES DU BUREAU DE LA DIX</w:t>
      </w:r>
      <w:r w:rsidR="0073323E">
        <w:rPr>
          <w:b/>
          <w:color w:val="000000" w:themeColor="text1"/>
          <w:lang w:val="fr-FR"/>
        </w:rPr>
        <w:noBreakHyphen/>
      </w:r>
      <w:r>
        <w:rPr>
          <w:b/>
          <w:color w:val="000000" w:themeColor="text1"/>
          <w:lang w:val="fr-FR"/>
        </w:rPr>
        <w:t xml:space="preserve">HUITIÈME SESSION DU </w:t>
      </w:r>
      <w:r w:rsidRPr="009C3181">
        <w:rPr>
          <w:b/>
          <w:bCs/>
          <w:color w:val="000000" w:themeColor="text1"/>
          <w:lang w:val="fr-FR"/>
        </w:rPr>
        <w:t>COMITÉ</w:t>
      </w:r>
    </w:p>
    <w:p w14:paraId="0CD6B669" w14:textId="1A829961" w:rsidR="0036152B" w:rsidRPr="009C3181" w:rsidRDefault="0036152B" w:rsidP="00702497">
      <w:pPr>
        <w:pStyle w:val="Orateurengris"/>
        <w:tabs>
          <w:tab w:val="clear" w:pos="709"/>
          <w:tab w:val="clear" w:pos="1418"/>
          <w:tab w:val="clear" w:pos="2126"/>
          <w:tab w:val="clear" w:pos="2835"/>
        </w:tabs>
        <w:spacing w:after="0"/>
        <w:ind w:left="567" w:firstLine="142"/>
        <w:rPr>
          <w:lang w:val="fr-FR"/>
        </w:rPr>
      </w:pPr>
      <w:r w:rsidRPr="00702497">
        <w:rPr>
          <w:b/>
          <w:color w:val="000000" w:themeColor="text1"/>
          <w:lang w:val="fr-FR"/>
        </w:rPr>
        <w:t>Document</w:t>
      </w:r>
      <w:r w:rsidR="009C3181">
        <w:rPr>
          <w:b/>
          <w:color w:val="000000" w:themeColor="text1"/>
          <w:lang w:val="fr-FR"/>
        </w:rPr>
        <w:t> :</w:t>
      </w:r>
      <w:r w:rsidRPr="009C3181">
        <w:rPr>
          <w:b/>
          <w:iCs/>
          <w:color w:val="000000" w:themeColor="text1"/>
          <w:lang w:val="fr-FR"/>
        </w:rPr>
        <w:tab/>
      </w:r>
      <w:r w:rsidR="00751FB1">
        <w:fldChar w:fldCharType="begin"/>
      </w:r>
      <w:r w:rsidR="00751FB1" w:rsidRPr="00751FB1">
        <w:rPr>
          <w:lang w:val="fr-FR"/>
        </w:rPr>
        <w:instrText>HYPERLINK "https://ich.unesco.org/doc/src/LHE-22-17.COM-17-FR.docx"</w:instrText>
      </w:r>
      <w:r w:rsidR="00751FB1">
        <w:fldChar w:fldCharType="separate"/>
      </w:r>
      <w:r w:rsidRPr="009C3181">
        <w:rPr>
          <w:rStyle w:val="Hyperlink"/>
          <w:i/>
          <w:lang w:val="fr-FR"/>
        </w:rPr>
        <w:t>LHE/22/17.COM/17</w:t>
      </w:r>
      <w:r w:rsidR="00751FB1">
        <w:rPr>
          <w:rStyle w:val="Hyperlink"/>
          <w:i/>
          <w:lang w:val="fr-FR"/>
        </w:rPr>
        <w:fldChar w:fldCharType="end"/>
      </w:r>
    </w:p>
    <w:p w14:paraId="2420A380" w14:textId="6F33F904" w:rsidR="0036152B" w:rsidRPr="009C3181" w:rsidRDefault="0036152B" w:rsidP="00702497">
      <w:pPr>
        <w:pStyle w:val="Orateurengris"/>
        <w:tabs>
          <w:tab w:val="clear" w:pos="709"/>
          <w:tab w:val="clear" w:pos="1418"/>
          <w:tab w:val="clear" w:pos="2126"/>
          <w:tab w:val="clear" w:pos="2835"/>
        </w:tabs>
        <w:spacing w:before="60" w:after="240"/>
        <w:ind w:left="567" w:firstLine="142"/>
        <w:rPr>
          <w:i/>
          <w:lang w:val="fr-FR"/>
        </w:rPr>
      </w:pPr>
      <w:r w:rsidRPr="009C3181">
        <w:rPr>
          <w:b/>
          <w:color w:val="000000" w:themeColor="text1"/>
          <w:lang w:val="fr-FR"/>
        </w:rPr>
        <w:t>D</w:t>
      </w:r>
      <w:r w:rsidR="009C3181">
        <w:rPr>
          <w:b/>
          <w:color w:val="000000" w:themeColor="text1"/>
          <w:lang w:val="fr-FR"/>
        </w:rPr>
        <w:t>é</w:t>
      </w:r>
      <w:r w:rsidRPr="009C3181">
        <w:rPr>
          <w:b/>
          <w:color w:val="000000" w:themeColor="text1"/>
          <w:lang w:val="fr-FR"/>
        </w:rPr>
        <w:t>cision</w:t>
      </w:r>
      <w:r w:rsidR="009C3181">
        <w:rPr>
          <w:b/>
          <w:color w:val="000000" w:themeColor="text1"/>
          <w:lang w:val="fr-FR"/>
        </w:rPr>
        <w:t> :</w:t>
      </w:r>
      <w:r w:rsidRPr="009C3181">
        <w:rPr>
          <w:bCs/>
          <w:color w:val="000000" w:themeColor="text1"/>
          <w:lang w:val="fr-FR"/>
        </w:rPr>
        <w:tab/>
      </w:r>
      <w:r w:rsidR="00751FB1">
        <w:fldChar w:fldCharType="begin"/>
      </w:r>
      <w:r w:rsidR="00751FB1" w:rsidRPr="00751FB1">
        <w:rPr>
          <w:lang w:val="fr-FR"/>
        </w:rPr>
        <w:instrText>HYPERLINK "https://ich.unesco.org/fr/Decisions/17.COM/17"</w:instrText>
      </w:r>
      <w:r w:rsidR="00751FB1">
        <w:fldChar w:fldCharType="separate"/>
      </w:r>
      <w:r w:rsidRPr="009C3181">
        <w:rPr>
          <w:rStyle w:val="Hyperlink"/>
          <w:i/>
          <w:lang w:val="fr-FR"/>
        </w:rPr>
        <w:t>17.COM</w:t>
      </w:r>
      <w:r w:rsidR="003D5763">
        <w:rPr>
          <w:rStyle w:val="Hyperlink"/>
          <w:i/>
          <w:lang w:val="fr-FR"/>
        </w:rPr>
        <w:t> </w:t>
      </w:r>
      <w:r w:rsidRPr="009C3181">
        <w:rPr>
          <w:rStyle w:val="Hyperlink"/>
          <w:i/>
          <w:lang w:val="fr-FR"/>
        </w:rPr>
        <w:t>17</w:t>
      </w:r>
      <w:r w:rsidR="00751FB1">
        <w:rPr>
          <w:rStyle w:val="Hyperlink"/>
          <w:i/>
          <w:lang w:val="fr-FR"/>
        </w:rPr>
        <w:fldChar w:fldCharType="end"/>
      </w:r>
    </w:p>
    <w:p w14:paraId="5671BBF3" w14:textId="7D96AC8E" w:rsidR="0036152B" w:rsidRDefault="009C3181" w:rsidP="00691516">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point</w:t>
      </w:r>
      <w:r w:rsidR="00532EB0">
        <w:rPr>
          <w:bCs/>
          <w:lang w:val="fr-FR"/>
        </w:rPr>
        <w:t> </w:t>
      </w:r>
      <w:r>
        <w:rPr>
          <w:bCs/>
          <w:lang w:val="fr-FR"/>
        </w:rPr>
        <w:t>17, l</w:t>
      </w:r>
      <w:r w:rsidR="00923E72">
        <w:rPr>
          <w:bCs/>
          <w:lang w:val="fr-FR"/>
        </w:rPr>
        <w:t>’</w:t>
      </w:r>
      <w:r>
        <w:rPr>
          <w:bCs/>
          <w:lang w:val="fr-FR"/>
        </w:rPr>
        <w:t>élection du prochain Bureau du Comité.</w:t>
      </w:r>
    </w:p>
    <w:p w14:paraId="5A2A0E44" w14:textId="4E1E209B" w:rsidR="009C3181" w:rsidRDefault="009C3181" w:rsidP="00691516">
      <w:pPr>
        <w:pStyle w:val="Orateurengris"/>
        <w:numPr>
          <w:ilvl w:val="0"/>
          <w:numId w:val="20"/>
        </w:numPr>
        <w:tabs>
          <w:tab w:val="clear" w:pos="567"/>
        </w:tabs>
        <w:spacing w:before="120"/>
        <w:ind w:left="709" w:hanging="709"/>
        <w:rPr>
          <w:bCs/>
          <w:lang w:val="fr-FR"/>
        </w:rPr>
      </w:pPr>
      <w:r w:rsidRPr="009C3181">
        <w:rPr>
          <w:bCs/>
          <w:lang w:val="fr-FR"/>
        </w:rPr>
        <w:t xml:space="preserve">Le </w:t>
      </w:r>
      <w:r w:rsidRPr="00702497">
        <w:rPr>
          <w:b/>
          <w:lang w:val="fr-FR"/>
        </w:rPr>
        <w:t>Secrétaire</w:t>
      </w:r>
      <w:r w:rsidRPr="009C3181">
        <w:rPr>
          <w:bCs/>
          <w:lang w:val="fr-FR"/>
        </w:rPr>
        <w:t xml:space="preserve"> a rappelé que, conformément aux articles</w:t>
      </w:r>
      <w:r w:rsidR="003D5763">
        <w:rPr>
          <w:bCs/>
          <w:lang w:val="fr-FR"/>
        </w:rPr>
        <w:t> </w:t>
      </w:r>
      <w:r w:rsidRPr="009C3181">
        <w:rPr>
          <w:bCs/>
          <w:lang w:val="fr-FR"/>
        </w:rPr>
        <w:t>12 et</w:t>
      </w:r>
      <w:r w:rsidR="003D5763">
        <w:rPr>
          <w:bCs/>
          <w:lang w:val="fr-FR"/>
        </w:rPr>
        <w:t> </w:t>
      </w:r>
      <w:r w:rsidRPr="009C3181">
        <w:rPr>
          <w:bCs/>
          <w:lang w:val="fr-FR"/>
        </w:rPr>
        <w:t>13 du Règlement intérieur, le Comité élit son Bureau, composé d</w:t>
      </w:r>
      <w:r w:rsidR="00923E72">
        <w:rPr>
          <w:bCs/>
          <w:lang w:val="fr-FR"/>
        </w:rPr>
        <w:t>’</w:t>
      </w:r>
      <w:r w:rsidRPr="009C3181">
        <w:rPr>
          <w:bCs/>
          <w:lang w:val="fr-FR"/>
        </w:rPr>
        <w:t>un</w:t>
      </w:r>
      <w:r w:rsidR="00A40805">
        <w:rPr>
          <w:bCs/>
          <w:lang w:val="fr-FR"/>
        </w:rPr>
        <w:t>(e)</w:t>
      </w:r>
      <w:r w:rsidRPr="009C3181">
        <w:rPr>
          <w:bCs/>
          <w:lang w:val="fr-FR"/>
        </w:rPr>
        <w:t xml:space="preserve"> Président</w:t>
      </w:r>
      <w:r w:rsidR="00A40805">
        <w:rPr>
          <w:bCs/>
          <w:lang w:val="fr-FR"/>
        </w:rPr>
        <w:t>(e)</w:t>
      </w:r>
      <w:r w:rsidRPr="009C3181">
        <w:rPr>
          <w:bCs/>
          <w:lang w:val="fr-FR"/>
        </w:rPr>
        <w:t>, d</w:t>
      </w:r>
      <w:r w:rsidR="00923E72">
        <w:rPr>
          <w:bCs/>
          <w:lang w:val="fr-FR"/>
        </w:rPr>
        <w:t>’</w:t>
      </w:r>
      <w:r w:rsidRPr="009C3181">
        <w:rPr>
          <w:bCs/>
          <w:lang w:val="fr-FR"/>
        </w:rPr>
        <w:t>un</w:t>
      </w:r>
      <w:r w:rsidR="00A40805">
        <w:rPr>
          <w:bCs/>
          <w:lang w:val="fr-FR"/>
        </w:rPr>
        <w:t>(e)</w:t>
      </w:r>
      <w:r w:rsidRPr="009C3181">
        <w:rPr>
          <w:bCs/>
          <w:lang w:val="fr-FR"/>
        </w:rPr>
        <w:t xml:space="preserve"> ou plusieurs Vice</w:t>
      </w:r>
      <w:r w:rsidR="001F63EE">
        <w:rPr>
          <w:bCs/>
          <w:lang w:val="fr-FR"/>
        </w:rPr>
        <w:t>-</w:t>
      </w:r>
      <w:r w:rsidRPr="009C3181">
        <w:rPr>
          <w:bCs/>
          <w:lang w:val="fr-FR"/>
        </w:rPr>
        <w:t>Président</w:t>
      </w:r>
      <w:r w:rsidR="00A40805">
        <w:rPr>
          <w:bCs/>
          <w:lang w:val="fr-FR"/>
        </w:rPr>
        <w:t>(e)</w:t>
      </w:r>
      <w:r w:rsidRPr="009C3181">
        <w:rPr>
          <w:bCs/>
          <w:lang w:val="fr-FR"/>
        </w:rPr>
        <w:t>s et d</w:t>
      </w:r>
      <w:r w:rsidR="00923E72">
        <w:rPr>
          <w:bCs/>
          <w:lang w:val="fr-FR"/>
        </w:rPr>
        <w:t>’</w:t>
      </w:r>
      <w:r w:rsidRPr="009C3181">
        <w:rPr>
          <w:bCs/>
          <w:lang w:val="fr-FR"/>
        </w:rPr>
        <w:t>un Rapporteur, qui restent en fonction jusqu</w:t>
      </w:r>
      <w:r w:rsidR="00923E72">
        <w:rPr>
          <w:bCs/>
          <w:lang w:val="fr-FR"/>
        </w:rPr>
        <w:t>’</w:t>
      </w:r>
      <w:r w:rsidRPr="009C3181">
        <w:rPr>
          <w:bCs/>
          <w:lang w:val="fr-FR"/>
        </w:rPr>
        <w:t>à la fin de la session ordinaire suivante. Lors de l</w:t>
      </w:r>
      <w:r w:rsidR="00923E72">
        <w:rPr>
          <w:bCs/>
          <w:lang w:val="fr-FR"/>
        </w:rPr>
        <w:t>’</w:t>
      </w:r>
      <w:r w:rsidRPr="009C3181">
        <w:rPr>
          <w:bCs/>
          <w:lang w:val="fr-FR"/>
        </w:rPr>
        <w:t>élection du Bureau, le Comité veillait à une représentation géographique équitable et, dans la mesure du possible, à un équilibre entre les différents domaines du patrimoine culturel immatériel, conformément à l</w:t>
      </w:r>
      <w:r w:rsidR="00923E72">
        <w:rPr>
          <w:bCs/>
          <w:lang w:val="fr-FR"/>
        </w:rPr>
        <w:t>’</w:t>
      </w:r>
      <w:r w:rsidRPr="009C3181">
        <w:rPr>
          <w:bCs/>
          <w:lang w:val="fr-FR"/>
        </w:rPr>
        <w:t>article</w:t>
      </w:r>
      <w:r w:rsidR="003D5763">
        <w:rPr>
          <w:bCs/>
          <w:lang w:val="fr-FR"/>
        </w:rPr>
        <w:t> </w:t>
      </w:r>
      <w:r w:rsidRPr="009C3181">
        <w:rPr>
          <w:bCs/>
          <w:lang w:val="fr-FR"/>
        </w:rPr>
        <w:t>13.4. Les membres du Bureau devaient également être membres du Comité. Ces dernières années, le Comité avait pris l</w:t>
      </w:r>
      <w:r w:rsidR="00923E72">
        <w:rPr>
          <w:bCs/>
          <w:lang w:val="fr-FR"/>
        </w:rPr>
        <w:t>’</w:t>
      </w:r>
      <w:r w:rsidRPr="009C3181">
        <w:rPr>
          <w:bCs/>
          <w:lang w:val="fr-FR"/>
        </w:rPr>
        <w:t>habitude de faire en sorte que tous les groupes électoraux soient représentés au sein de son Bureau par l</w:t>
      </w:r>
      <w:r w:rsidR="00923E72">
        <w:rPr>
          <w:bCs/>
          <w:lang w:val="fr-FR"/>
        </w:rPr>
        <w:t>’</w:t>
      </w:r>
      <w:r w:rsidRPr="009C3181">
        <w:rPr>
          <w:bCs/>
          <w:lang w:val="fr-FR"/>
        </w:rPr>
        <w:t>intermédiaire du</w:t>
      </w:r>
      <w:r w:rsidR="00A40805">
        <w:rPr>
          <w:bCs/>
          <w:lang w:val="fr-FR"/>
        </w:rPr>
        <w:t>/de</w:t>
      </w:r>
      <w:r w:rsidR="003D5763">
        <w:rPr>
          <w:bCs/>
          <w:lang w:val="fr-FR"/>
        </w:rPr>
        <w:t> </w:t>
      </w:r>
      <w:r w:rsidR="00A40805">
        <w:rPr>
          <w:bCs/>
          <w:lang w:val="fr-FR"/>
        </w:rPr>
        <w:t>la</w:t>
      </w:r>
      <w:r w:rsidRPr="009C3181">
        <w:rPr>
          <w:bCs/>
          <w:lang w:val="fr-FR"/>
        </w:rPr>
        <w:t xml:space="preserve"> Président</w:t>
      </w:r>
      <w:r w:rsidR="00A40805">
        <w:rPr>
          <w:bCs/>
          <w:lang w:val="fr-FR"/>
        </w:rPr>
        <w:t>(e)</w:t>
      </w:r>
      <w:r w:rsidRPr="009C3181">
        <w:rPr>
          <w:bCs/>
          <w:lang w:val="fr-FR"/>
        </w:rPr>
        <w:t xml:space="preserve"> et des Vice-Président</w:t>
      </w:r>
      <w:r w:rsidR="00A40805">
        <w:rPr>
          <w:bCs/>
          <w:lang w:val="fr-FR"/>
        </w:rPr>
        <w:t>(e)</w:t>
      </w:r>
      <w:r w:rsidRPr="009C3181">
        <w:rPr>
          <w:bCs/>
          <w:lang w:val="fr-FR"/>
        </w:rPr>
        <w:t>s. Le Rapporteur ne devait pas exprimer son opinion ou voter en sa qualité de Rapporteur afin de respecter le principe de la représentation géographique équitable au sein du Bureau conformément à l</w:t>
      </w:r>
      <w:r w:rsidR="00923E72">
        <w:rPr>
          <w:bCs/>
          <w:lang w:val="fr-FR"/>
        </w:rPr>
        <w:t>’</w:t>
      </w:r>
      <w:r w:rsidRPr="009C3181">
        <w:rPr>
          <w:bCs/>
          <w:lang w:val="fr-FR"/>
        </w:rPr>
        <w:t>article</w:t>
      </w:r>
      <w:r w:rsidR="003D5763">
        <w:rPr>
          <w:bCs/>
          <w:lang w:val="fr-FR"/>
        </w:rPr>
        <w:t> </w:t>
      </w:r>
      <w:r w:rsidRPr="009C3181">
        <w:rPr>
          <w:bCs/>
          <w:lang w:val="fr-FR"/>
        </w:rPr>
        <w:t>12.1 du Règlement intérieur. Son rôle était de valider les décisions prises par le Comité et son Bureau, après préparation par le Secrétariat.</w:t>
      </w:r>
    </w:p>
    <w:p w14:paraId="2A6948CF" w14:textId="74D5C108" w:rsidR="00A40805" w:rsidRDefault="00A40805" w:rsidP="00691516">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fait observer qu</w:t>
      </w:r>
      <w:r w:rsidR="00923E72">
        <w:rPr>
          <w:bCs/>
          <w:lang w:val="fr-FR"/>
        </w:rPr>
        <w:t>’</w:t>
      </w:r>
      <w:r>
        <w:rPr>
          <w:bCs/>
          <w:lang w:val="fr-FR"/>
        </w:rPr>
        <w:t xml:space="preserve">il était de coutume que le </w:t>
      </w:r>
      <w:r w:rsidRPr="00A40805">
        <w:rPr>
          <w:bCs/>
          <w:lang w:val="fr-FR"/>
        </w:rPr>
        <w:t>Président</w:t>
      </w:r>
      <w:r>
        <w:rPr>
          <w:bCs/>
          <w:lang w:val="fr-FR"/>
        </w:rPr>
        <w:t xml:space="preserve"> du Bureau vienne du pays hôte</w:t>
      </w:r>
      <w:r w:rsidR="009204BB">
        <w:rPr>
          <w:bCs/>
          <w:lang w:val="fr-FR"/>
        </w:rPr>
        <w:t>, et le Botswana serait donc le membre du Bureau pour le Groupe électoral</w:t>
      </w:r>
      <w:r w:rsidR="00C10AE0">
        <w:rPr>
          <w:bCs/>
          <w:lang w:val="fr-FR"/>
        </w:rPr>
        <w:t> </w:t>
      </w:r>
      <w:r w:rsidR="009204BB">
        <w:rPr>
          <w:bCs/>
          <w:lang w:val="fr-FR"/>
        </w:rPr>
        <w:t>V(a).</w:t>
      </w:r>
    </w:p>
    <w:p w14:paraId="28F9BA0B" w14:textId="475B513B" w:rsidR="009204BB" w:rsidRDefault="009204BB" w:rsidP="00691516">
      <w:pPr>
        <w:pStyle w:val="Orateurengris"/>
        <w:numPr>
          <w:ilvl w:val="0"/>
          <w:numId w:val="20"/>
        </w:numPr>
        <w:tabs>
          <w:tab w:val="clear" w:pos="567"/>
        </w:tabs>
        <w:spacing w:before="120"/>
        <w:ind w:left="709" w:hanging="709"/>
        <w:rPr>
          <w:bCs/>
          <w:lang w:val="fr-FR"/>
        </w:rPr>
      </w:pPr>
      <w:r>
        <w:rPr>
          <w:bCs/>
          <w:lang w:val="fr-FR"/>
        </w:rPr>
        <w:t xml:space="preserve">La </w:t>
      </w:r>
      <w:r w:rsidRPr="009204BB">
        <w:rPr>
          <w:bCs/>
          <w:lang w:val="fr-FR"/>
        </w:rPr>
        <w:t>délégation</w:t>
      </w:r>
      <w:r>
        <w:rPr>
          <w:bCs/>
          <w:lang w:val="fr-FR"/>
        </w:rPr>
        <w:t xml:space="preserve"> du </w:t>
      </w:r>
      <w:r w:rsidRPr="00702497">
        <w:rPr>
          <w:b/>
          <w:lang w:val="fr-FR"/>
        </w:rPr>
        <w:t>Botswana</w:t>
      </w:r>
      <w:r>
        <w:rPr>
          <w:bCs/>
          <w:lang w:val="fr-FR"/>
        </w:rPr>
        <w:t xml:space="preserve"> était heureuse d</w:t>
      </w:r>
      <w:r w:rsidR="00923E72">
        <w:rPr>
          <w:bCs/>
          <w:lang w:val="fr-FR"/>
        </w:rPr>
        <w:t>’</w:t>
      </w:r>
      <w:r>
        <w:rPr>
          <w:bCs/>
          <w:lang w:val="fr-FR"/>
        </w:rPr>
        <w:t>annonce</w:t>
      </w:r>
      <w:r w:rsidR="008C2B62">
        <w:rPr>
          <w:bCs/>
          <w:lang w:val="fr-FR"/>
        </w:rPr>
        <w:t>r</w:t>
      </w:r>
      <w:r>
        <w:rPr>
          <w:bCs/>
          <w:lang w:val="fr-FR"/>
        </w:rPr>
        <w:t xml:space="preserve"> que </w:t>
      </w:r>
      <w:r w:rsidR="008C2B62">
        <w:rPr>
          <w:bCs/>
          <w:lang w:val="fr-FR"/>
        </w:rPr>
        <w:t>S. E</w:t>
      </w:r>
      <w:r w:rsidR="00F846ED">
        <w:rPr>
          <w:bCs/>
          <w:lang w:val="fr-FR"/>
        </w:rPr>
        <w:t>xc</w:t>
      </w:r>
      <w:r w:rsidR="008C2B62">
        <w:rPr>
          <w:bCs/>
          <w:lang w:val="fr-FR"/>
        </w:rPr>
        <w:t xml:space="preserve">. </w:t>
      </w:r>
      <w:r>
        <w:rPr>
          <w:bCs/>
          <w:lang w:val="fr-FR"/>
        </w:rPr>
        <w:t xml:space="preserve">M. Mustaq Moorad exercerait les fonctions de </w:t>
      </w:r>
      <w:r w:rsidRPr="009204BB">
        <w:rPr>
          <w:bCs/>
          <w:lang w:val="fr-FR"/>
        </w:rPr>
        <w:t>Président</w:t>
      </w:r>
      <w:r>
        <w:rPr>
          <w:bCs/>
          <w:lang w:val="fr-FR"/>
        </w:rPr>
        <w:t>.</w:t>
      </w:r>
    </w:p>
    <w:p w14:paraId="490A0BC6" w14:textId="0BC71C1D" w:rsidR="009204BB" w:rsidRDefault="009204BB" w:rsidP="00691516">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pris note et a félicité S. E</w:t>
      </w:r>
      <w:r w:rsidR="00F846ED">
        <w:rPr>
          <w:bCs/>
          <w:lang w:val="fr-FR"/>
        </w:rPr>
        <w:t>xc</w:t>
      </w:r>
      <w:r>
        <w:rPr>
          <w:bCs/>
          <w:lang w:val="fr-FR"/>
        </w:rPr>
        <w:t>. M.</w:t>
      </w:r>
      <w:r w:rsidR="003D5763">
        <w:rPr>
          <w:bCs/>
          <w:lang w:val="fr-FR"/>
        </w:rPr>
        <w:t> </w:t>
      </w:r>
      <w:r>
        <w:rPr>
          <w:bCs/>
          <w:lang w:val="fr-FR"/>
        </w:rPr>
        <w:t>Mu</w:t>
      </w:r>
      <w:r w:rsidR="00A107F9">
        <w:rPr>
          <w:bCs/>
          <w:lang w:val="fr-FR"/>
        </w:rPr>
        <w:t>s</w:t>
      </w:r>
      <w:r>
        <w:rPr>
          <w:bCs/>
          <w:lang w:val="fr-FR"/>
        </w:rPr>
        <w:t>taq Moorad du Botswana pour son élection au poste de Président de la dix</w:t>
      </w:r>
      <w:r w:rsidR="003D5763">
        <w:rPr>
          <w:bCs/>
          <w:lang w:val="fr-FR"/>
        </w:rPr>
        <w:noBreakHyphen/>
      </w:r>
      <w:r>
        <w:rPr>
          <w:bCs/>
          <w:lang w:val="fr-FR"/>
        </w:rPr>
        <w:t xml:space="preserve">huitième session par acclamation </w:t>
      </w:r>
      <w:r w:rsidRPr="00702497">
        <w:rPr>
          <w:bCs/>
          <w:i/>
          <w:iCs/>
          <w:lang w:val="fr-FR"/>
        </w:rPr>
        <w:t>[applaudissements]</w:t>
      </w:r>
      <w:r>
        <w:rPr>
          <w:bCs/>
          <w:lang w:val="fr-FR"/>
        </w:rPr>
        <w:t>.</w:t>
      </w:r>
    </w:p>
    <w:p w14:paraId="612C951C" w14:textId="01BCFDBD" w:rsidR="009204BB" w:rsidRDefault="009204BB" w:rsidP="00691516">
      <w:pPr>
        <w:pStyle w:val="Orateurengris"/>
        <w:numPr>
          <w:ilvl w:val="0"/>
          <w:numId w:val="20"/>
        </w:numPr>
        <w:tabs>
          <w:tab w:val="clear" w:pos="567"/>
        </w:tabs>
        <w:spacing w:before="120"/>
        <w:ind w:left="709" w:hanging="709"/>
        <w:rPr>
          <w:bCs/>
          <w:lang w:val="fr-FR"/>
        </w:rPr>
      </w:pPr>
      <w:r>
        <w:rPr>
          <w:bCs/>
          <w:lang w:val="fr-FR"/>
        </w:rPr>
        <w:t xml:space="preserve">La </w:t>
      </w:r>
      <w:r w:rsidRPr="009204BB">
        <w:rPr>
          <w:bCs/>
          <w:lang w:val="fr-FR"/>
        </w:rPr>
        <w:t>délégation</w:t>
      </w:r>
      <w:r>
        <w:rPr>
          <w:bCs/>
          <w:lang w:val="fr-FR"/>
        </w:rPr>
        <w:t xml:space="preserve"> de la </w:t>
      </w:r>
      <w:r w:rsidRPr="00702497">
        <w:rPr>
          <w:b/>
          <w:lang w:val="fr-FR"/>
        </w:rPr>
        <w:t>Tchéquie</w:t>
      </w:r>
      <w:r>
        <w:rPr>
          <w:bCs/>
          <w:lang w:val="fr-FR"/>
        </w:rPr>
        <w:t xml:space="preserve"> a proposé que M</w:t>
      </w:r>
      <w:r w:rsidRPr="00702497">
        <w:rPr>
          <w:bCs/>
          <w:vertAlign w:val="superscript"/>
          <w:lang w:val="fr-FR"/>
        </w:rPr>
        <w:t>me</w:t>
      </w:r>
      <w:r>
        <w:rPr>
          <w:bCs/>
          <w:lang w:val="fr-FR"/>
        </w:rPr>
        <w:t> Eva Kuminková exerce les fonctions de Rapporteur de la prochaine session du Comité.</w:t>
      </w:r>
    </w:p>
    <w:p w14:paraId="4A5EF2BB" w14:textId="143DA5A0" w:rsidR="009204BB" w:rsidRDefault="009204BB" w:rsidP="00691516">
      <w:pPr>
        <w:pStyle w:val="Orateurengris"/>
        <w:numPr>
          <w:ilvl w:val="0"/>
          <w:numId w:val="20"/>
        </w:numPr>
        <w:tabs>
          <w:tab w:val="clear" w:pos="567"/>
        </w:tabs>
        <w:spacing w:before="120"/>
        <w:ind w:left="709" w:hanging="709"/>
        <w:rPr>
          <w:bCs/>
          <w:lang w:val="fr-FR"/>
        </w:rPr>
      </w:pPr>
      <w:r w:rsidRPr="009204BB">
        <w:rPr>
          <w:bCs/>
          <w:lang w:val="fr-FR"/>
        </w:rPr>
        <w:t xml:space="preserve">Le </w:t>
      </w:r>
      <w:r w:rsidRPr="00702497">
        <w:rPr>
          <w:b/>
          <w:lang w:val="fr-FR"/>
        </w:rPr>
        <w:t>Président</w:t>
      </w:r>
      <w:r w:rsidRPr="009204BB">
        <w:rPr>
          <w:bCs/>
          <w:lang w:val="fr-FR"/>
        </w:rPr>
        <w:t xml:space="preserve"> a félicité les nouveaux membres du Bureau et a noté les propositions pour les postes de Vice-Président(e)s du Groupe électoral</w:t>
      </w:r>
      <w:r w:rsidR="00AA7EE4">
        <w:rPr>
          <w:bCs/>
          <w:lang w:val="fr-FR"/>
        </w:rPr>
        <w:t> </w:t>
      </w:r>
      <w:r w:rsidRPr="009204BB">
        <w:rPr>
          <w:bCs/>
          <w:lang w:val="fr-FR"/>
        </w:rPr>
        <w:t xml:space="preserve">I </w:t>
      </w:r>
      <w:r w:rsidR="00AA7EE4">
        <w:rPr>
          <w:bCs/>
          <w:lang w:val="fr-FR"/>
        </w:rPr>
        <w:t>–</w:t>
      </w:r>
      <w:r w:rsidRPr="009204BB">
        <w:rPr>
          <w:bCs/>
          <w:lang w:val="fr-FR"/>
        </w:rPr>
        <w:t xml:space="preserve"> la</w:t>
      </w:r>
      <w:r w:rsidR="003D5763">
        <w:rPr>
          <w:bCs/>
          <w:lang w:val="fr-FR"/>
        </w:rPr>
        <w:t xml:space="preserve"> </w:t>
      </w:r>
      <w:r w:rsidRPr="009204BB">
        <w:rPr>
          <w:bCs/>
          <w:lang w:val="fr-FR"/>
        </w:rPr>
        <w:t>Suisse, du Groupe électoral</w:t>
      </w:r>
      <w:r w:rsidR="00AA7EE4">
        <w:rPr>
          <w:bCs/>
          <w:lang w:val="fr-FR"/>
        </w:rPr>
        <w:t> </w:t>
      </w:r>
      <w:r w:rsidRPr="009204BB">
        <w:rPr>
          <w:bCs/>
          <w:lang w:val="fr-FR"/>
        </w:rPr>
        <w:t xml:space="preserve">II </w:t>
      </w:r>
      <w:r w:rsidR="00AA7EE4">
        <w:rPr>
          <w:bCs/>
          <w:lang w:val="fr-FR"/>
        </w:rPr>
        <w:t>–</w:t>
      </w:r>
      <w:r w:rsidRPr="009204BB">
        <w:rPr>
          <w:bCs/>
          <w:lang w:val="fr-FR"/>
        </w:rPr>
        <w:t xml:space="preserve"> la</w:t>
      </w:r>
      <w:r w:rsidR="003D5763">
        <w:rPr>
          <w:bCs/>
          <w:lang w:val="fr-FR"/>
        </w:rPr>
        <w:t xml:space="preserve"> </w:t>
      </w:r>
      <w:r w:rsidRPr="009204BB">
        <w:rPr>
          <w:bCs/>
          <w:lang w:val="fr-FR"/>
        </w:rPr>
        <w:t>Slovaquie, du Groupe électoral</w:t>
      </w:r>
      <w:r w:rsidR="00AA7EE4">
        <w:rPr>
          <w:bCs/>
          <w:lang w:val="fr-FR"/>
        </w:rPr>
        <w:t> </w:t>
      </w:r>
      <w:r w:rsidRPr="009204BB">
        <w:rPr>
          <w:bCs/>
          <w:lang w:val="fr-FR"/>
        </w:rPr>
        <w:t xml:space="preserve">III </w:t>
      </w:r>
      <w:r w:rsidR="00AA7EE4">
        <w:rPr>
          <w:bCs/>
          <w:lang w:val="fr-FR"/>
        </w:rPr>
        <w:t>–</w:t>
      </w:r>
      <w:r w:rsidRPr="009204BB">
        <w:rPr>
          <w:bCs/>
          <w:lang w:val="fr-FR"/>
        </w:rPr>
        <w:t xml:space="preserve"> le</w:t>
      </w:r>
      <w:r w:rsidR="003D5763">
        <w:rPr>
          <w:bCs/>
          <w:lang w:val="fr-FR"/>
        </w:rPr>
        <w:t xml:space="preserve"> </w:t>
      </w:r>
      <w:r w:rsidRPr="009204BB">
        <w:rPr>
          <w:bCs/>
          <w:lang w:val="fr-FR"/>
        </w:rPr>
        <w:t>Pérou, du Groupe électoral</w:t>
      </w:r>
      <w:r w:rsidR="00AA7EE4">
        <w:rPr>
          <w:bCs/>
          <w:lang w:val="fr-FR"/>
        </w:rPr>
        <w:t> </w:t>
      </w:r>
      <w:r w:rsidRPr="009204BB">
        <w:rPr>
          <w:bCs/>
          <w:lang w:val="fr-FR"/>
        </w:rPr>
        <w:t xml:space="preserve">IV </w:t>
      </w:r>
      <w:r w:rsidR="00AA7EE4">
        <w:rPr>
          <w:bCs/>
          <w:lang w:val="fr-FR"/>
        </w:rPr>
        <w:t>–</w:t>
      </w:r>
      <w:r w:rsidRPr="009204BB">
        <w:rPr>
          <w:bCs/>
          <w:lang w:val="fr-FR"/>
        </w:rPr>
        <w:t xml:space="preserve"> le</w:t>
      </w:r>
      <w:r w:rsidR="003D5763">
        <w:rPr>
          <w:bCs/>
          <w:lang w:val="fr-FR"/>
        </w:rPr>
        <w:t xml:space="preserve"> </w:t>
      </w:r>
      <w:r w:rsidRPr="009204BB">
        <w:rPr>
          <w:bCs/>
          <w:lang w:val="fr-FR"/>
        </w:rPr>
        <w:t>Bangladesh, et du Groupe électoral</w:t>
      </w:r>
      <w:r w:rsidR="00AA7EE4">
        <w:rPr>
          <w:bCs/>
          <w:lang w:val="fr-FR"/>
        </w:rPr>
        <w:t> </w:t>
      </w:r>
      <w:r w:rsidRPr="009204BB">
        <w:rPr>
          <w:bCs/>
          <w:lang w:val="fr-FR"/>
        </w:rPr>
        <w:t xml:space="preserve">V(b) </w:t>
      </w:r>
      <w:r w:rsidR="00AA7EE4">
        <w:rPr>
          <w:bCs/>
          <w:lang w:val="fr-FR"/>
        </w:rPr>
        <w:t>–</w:t>
      </w:r>
      <w:r w:rsidRPr="009204BB">
        <w:rPr>
          <w:bCs/>
          <w:lang w:val="fr-FR"/>
        </w:rPr>
        <w:t xml:space="preserve"> le</w:t>
      </w:r>
      <w:r w:rsidR="003D5763">
        <w:rPr>
          <w:bCs/>
          <w:lang w:val="fr-FR"/>
        </w:rPr>
        <w:t xml:space="preserve"> </w:t>
      </w:r>
      <w:r w:rsidRPr="009204BB">
        <w:rPr>
          <w:bCs/>
          <w:lang w:val="fr-FR"/>
        </w:rPr>
        <w:t xml:space="preserve">Maroc. Le </w:t>
      </w:r>
      <w:r w:rsidRPr="00702497">
        <w:rPr>
          <w:b/>
          <w:lang w:val="fr-FR"/>
        </w:rPr>
        <w:t>Président a déclaré la décision</w:t>
      </w:r>
      <w:r w:rsidR="003D5763">
        <w:rPr>
          <w:b/>
          <w:lang w:val="fr-FR"/>
        </w:rPr>
        <w:t> </w:t>
      </w:r>
      <w:hyperlink r:id="rId77" w:history="1">
        <w:r w:rsidR="00AA7EE4" w:rsidRPr="00702497">
          <w:rPr>
            <w:rStyle w:val="Hyperlink"/>
            <w:b/>
            <w:lang w:val="fr-FR"/>
          </w:rPr>
          <w:t>17.COM</w:t>
        </w:r>
        <w:r w:rsidR="00AA7EE4">
          <w:rPr>
            <w:rStyle w:val="Hyperlink"/>
            <w:b/>
            <w:lang w:val="fr-FR"/>
          </w:rPr>
          <w:t> </w:t>
        </w:r>
        <w:r w:rsidR="00AA7EE4" w:rsidRPr="00702497">
          <w:rPr>
            <w:rStyle w:val="Hyperlink"/>
            <w:b/>
            <w:lang w:val="fr-FR"/>
          </w:rPr>
          <w:t>17</w:t>
        </w:r>
      </w:hyperlink>
      <w:r w:rsidRPr="00702497">
        <w:rPr>
          <w:b/>
          <w:lang w:val="fr-FR"/>
        </w:rPr>
        <w:t xml:space="preserve"> adoptée</w:t>
      </w:r>
      <w:r w:rsidRPr="009204BB">
        <w:rPr>
          <w:bCs/>
          <w:lang w:val="fr-FR"/>
        </w:rPr>
        <w:t>.</w:t>
      </w:r>
    </w:p>
    <w:p w14:paraId="5601D516" w14:textId="1548320E" w:rsidR="00AA7EE4" w:rsidRPr="00702497" w:rsidRDefault="00AA7EE4" w:rsidP="00702497">
      <w:pPr>
        <w:pStyle w:val="Marge"/>
        <w:keepNext/>
        <w:tabs>
          <w:tab w:val="clear" w:pos="567"/>
          <w:tab w:val="left" w:pos="709"/>
          <w:tab w:val="left" w:pos="1418"/>
          <w:tab w:val="left" w:pos="2126"/>
          <w:tab w:val="left" w:pos="2835"/>
        </w:tabs>
        <w:spacing w:before="360" w:after="60"/>
        <w:jc w:val="left"/>
        <w:outlineLvl w:val="0"/>
        <w:rPr>
          <w:rFonts w:eastAsiaTheme="minorHAnsi" w:cs="Arial"/>
          <w:b/>
          <w:color w:val="000000" w:themeColor="text1"/>
          <w:szCs w:val="22"/>
        </w:rPr>
      </w:pPr>
      <w:r w:rsidRPr="00AA7EE4">
        <w:rPr>
          <w:rFonts w:eastAsiaTheme="minorHAnsi" w:cs="Arial"/>
          <w:b/>
          <w:color w:val="000000" w:themeColor="text1"/>
          <w:szCs w:val="22"/>
          <w:u w:val="single"/>
        </w:rPr>
        <w:t>POINT</w:t>
      </w:r>
      <w:r w:rsidR="0073323E">
        <w:rPr>
          <w:rFonts w:eastAsiaTheme="minorHAnsi" w:cs="Arial"/>
          <w:b/>
          <w:color w:val="000000" w:themeColor="text1"/>
          <w:szCs w:val="22"/>
          <w:u w:val="single"/>
        </w:rPr>
        <w:t> </w:t>
      </w:r>
      <w:r w:rsidRPr="00AA7EE4">
        <w:rPr>
          <w:rFonts w:eastAsiaTheme="minorHAnsi" w:cs="Arial"/>
          <w:b/>
          <w:color w:val="000000" w:themeColor="text1"/>
          <w:szCs w:val="22"/>
          <w:u w:val="single"/>
        </w:rPr>
        <w:t>8 DE L</w:t>
      </w:r>
      <w:r w:rsidR="00923E72">
        <w:rPr>
          <w:rFonts w:eastAsiaTheme="minorHAnsi" w:cs="Arial"/>
          <w:b/>
          <w:color w:val="000000" w:themeColor="text1"/>
          <w:szCs w:val="22"/>
          <w:u w:val="single"/>
        </w:rPr>
        <w:t>’</w:t>
      </w:r>
      <w:r w:rsidRPr="00AA7EE4">
        <w:rPr>
          <w:rFonts w:eastAsiaTheme="minorHAnsi" w:cs="Arial"/>
          <w:b/>
          <w:color w:val="000000" w:themeColor="text1"/>
          <w:szCs w:val="22"/>
          <w:u w:val="single"/>
        </w:rPr>
        <w:t>ORDRE DU JOUR</w:t>
      </w:r>
      <w:r w:rsidRPr="00AA7EE4">
        <w:rPr>
          <w:rFonts w:eastAsiaTheme="minorHAnsi" w:cs="Arial"/>
          <w:b/>
          <w:color w:val="000000" w:themeColor="text1"/>
          <w:szCs w:val="22"/>
        </w:rPr>
        <w:t> :</w:t>
      </w:r>
    </w:p>
    <w:p w14:paraId="149C5A67" w14:textId="0CCBF968" w:rsidR="00AA7EE4" w:rsidRPr="00702497" w:rsidRDefault="00AA7EE4" w:rsidP="00AA7EE4">
      <w:pPr>
        <w:pStyle w:val="Orateurengris"/>
        <w:keepNext/>
        <w:tabs>
          <w:tab w:val="clear" w:pos="709"/>
          <w:tab w:val="clear" w:pos="1418"/>
          <w:tab w:val="clear" w:pos="2126"/>
          <w:tab w:val="clear" w:pos="2835"/>
        </w:tabs>
        <w:outlineLvl w:val="0"/>
        <w:rPr>
          <w:b/>
          <w:color w:val="000000" w:themeColor="text1"/>
          <w:lang w:val="fr-FR"/>
        </w:rPr>
      </w:pPr>
      <w:r w:rsidRPr="00AA7EE4">
        <w:rPr>
          <w:b/>
          <w:color w:val="000000" w:themeColor="text1"/>
          <w:lang w:val="fr-FR"/>
        </w:rPr>
        <w:t xml:space="preserve">SUIVI DES ÉLÉMENTS </w:t>
      </w:r>
      <w:r>
        <w:rPr>
          <w:b/>
          <w:color w:val="000000" w:themeColor="text1"/>
          <w:lang w:val="fr-FR"/>
        </w:rPr>
        <w:t xml:space="preserve">INSCRITS SUR LES LISTES DE LA </w:t>
      </w:r>
      <w:r w:rsidRPr="00AA7EE4">
        <w:rPr>
          <w:b/>
          <w:color w:val="000000" w:themeColor="text1"/>
          <w:lang w:val="fr-FR"/>
        </w:rPr>
        <w:t>CONVENTION</w:t>
      </w:r>
    </w:p>
    <w:p w14:paraId="239AFB25" w14:textId="6784593B" w:rsidR="00AA7EE4" w:rsidRPr="00702497" w:rsidRDefault="00AA7EE4" w:rsidP="00702497">
      <w:pPr>
        <w:pStyle w:val="Orateurengris"/>
        <w:keepNext/>
        <w:tabs>
          <w:tab w:val="clear" w:pos="709"/>
          <w:tab w:val="clear" w:pos="1418"/>
          <w:tab w:val="clear" w:pos="2126"/>
          <w:tab w:val="clear" w:pos="2835"/>
        </w:tabs>
        <w:ind w:firstLine="709"/>
        <w:outlineLvl w:val="0"/>
        <w:rPr>
          <w:b/>
          <w:color w:val="000000" w:themeColor="text1"/>
          <w:lang w:val="fr-FR"/>
        </w:rPr>
      </w:pPr>
      <w:r w:rsidRPr="00702497">
        <w:rPr>
          <w:b/>
          <w:color w:val="000000" w:themeColor="text1"/>
          <w:lang w:val="fr-FR"/>
        </w:rPr>
        <w:t>Document</w:t>
      </w:r>
      <w:r>
        <w:rPr>
          <w:b/>
          <w:color w:val="000000" w:themeColor="text1"/>
          <w:lang w:val="fr-FR"/>
        </w:rPr>
        <w:t> </w:t>
      </w:r>
      <w:r w:rsidRPr="00702497">
        <w:rPr>
          <w:b/>
          <w:color w:val="000000" w:themeColor="text1"/>
          <w:lang w:val="fr-FR"/>
        </w:rPr>
        <w:t>:</w:t>
      </w:r>
      <w:r w:rsidRPr="00702497">
        <w:rPr>
          <w:b/>
          <w:iCs/>
          <w:color w:val="000000" w:themeColor="text1"/>
          <w:lang w:val="fr-FR"/>
        </w:rPr>
        <w:tab/>
      </w:r>
      <w:hyperlink r:id="rId78" w:history="1">
        <w:r w:rsidRPr="00702497">
          <w:rPr>
            <w:rStyle w:val="Hyperlink"/>
            <w:i/>
            <w:lang w:val="fr-FR"/>
          </w:rPr>
          <w:t>LHE/22/17.COM/8</w:t>
        </w:r>
      </w:hyperlink>
    </w:p>
    <w:p w14:paraId="0BA18BAB" w14:textId="6C08C3DB" w:rsidR="00AA7EE4" w:rsidRPr="00702497" w:rsidRDefault="00AA7EE4" w:rsidP="00702497">
      <w:pPr>
        <w:pStyle w:val="Orateurengris"/>
        <w:keepNext/>
        <w:tabs>
          <w:tab w:val="clear" w:pos="709"/>
          <w:tab w:val="clear" w:pos="1418"/>
          <w:tab w:val="clear" w:pos="2126"/>
          <w:tab w:val="clear" w:pos="2835"/>
        </w:tabs>
        <w:spacing w:after="0"/>
        <w:ind w:left="567" w:firstLine="142"/>
        <w:rPr>
          <w:i/>
          <w:lang w:val="fr-FR"/>
        </w:rPr>
      </w:pPr>
      <w:r w:rsidRPr="00702497">
        <w:rPr>
          <w:b/>
          <w:color w:val="000000" w:themeColor="text1"/>
          <w:lang w:val="fr-FR"/>
        </w:rPr>
        <w:t>D</w:t>
      </w:r>
      <w:r>
        <w:rPr>
          <w:b/>
          <w:color w:val="000000" w:themeColor="text1"/>
          <w:lang w:val="fr-FR"/>
        </w:rPr>
        <w:t>é</w:t>
      </w:r>
      <w:r w:rsidRPr="00702497">
        <w:rPr>
          <w:b/>
          <w:color w:val="000000" w:themeColor="text1"/>
          <w:lang w:val="fr-FR"/>
        </w:rPr>
        <w:t>cision</w:t>
      </w:r>
      <w:r>
        <w:rPr>
          <w:b/>
          <w:color w:val="000000" w:themeColor="text1"/>
          <w:lang w:val="fr-FR"/>
        </w:rPr>
        <w:t> </w:t>
      </w:r>
      <w:r w:rsidRPr="00702497">
        <w:rPr>
          <w:b/>
          <w:color w:val="000000" w:themeColor="text1"/>
          <w:lang w:val="fr-FR"/>
        </w:rPr>
        <w:t>:</w:t>
      </w:r>
      <w:r w:rsidRPr="00702497">
        <w:rPr>
          <w:bCs/>
          <w:color w:val="000000" w:themeColor="text1"/>
          <w:lang w:val="fr-FR"/>
        </w:rPr>
        <w:tab/>
      </w:r>
      <w:hyperlink r:id="rId79" w:history="1">
        <w:r w:rsidRPr="00702497">
          <w:rPr>
            <w:rStyle w:val="Hyperlink"/>
            <w:i/>
            <w:lang w:val="fr-FR"/>
          </w:rPr>
          <w:t>17.COM</w:t>
        </w:r>
        <w:r w:rsidR="003D5763">
          <w:rPr>
            <w:rStyle w:val="Hyperlink"/>
            <w:i/>
            <w:lang w:val="fr-FR"/>
          </w:rPr>
          <w:t> </w:t>
        </w:r>
        <w:r w:rsidRPr="00702497">
          <w:rPr>
            <w:rStyle w:val="Hyperlink"/>
            <w:i/>
            <w:lang w:val="fr-FR"/>
          </w:rPr>
          <w:t>8.a</w:t>
        </w:r>
      </w:hyperlink>
    </w:p>
    <w:p w14:paraId="21174257" w14:textId="0D0C70DA" w:rsidR="00AA7EE4" w:rsidRPr="00702497" w:rsidRDefault="00AA7EE4">
      <w:pPr>
        <w:pStyle w:val="Orateurengris"/>
        <w:keepNext/>
        <w:tabs>
          <w:tab w:val="clear" w:pos="709"/>
          <w:tab w:val="clear" w:pos="1418"/>
          <w:tab w:val="clear" w:pos="2126"/>
          <w:tab w:val="clear" w:pos="2835"/>
        </w:tabs>
        <w:spacing w:after="0"/>
        <w:ind w:left="567"/>
        <w:rPr>
          <w:i/>
          <w:color w:val="0000FF" w:themeColor="hyperlink"/>
          <w:u w:val="single"/>
          <w:lang w:val="fr-FR"/>
        </w:rPr>
      </w:pPr>
      <w:r w:rsidRPr="00702497">
        <w:rPr>
          <w:i/>
          <w:lang w:val="fr-FR"/>
        </w:rPr>
        <w:tab/>
      </w:r>
      <w:r w:rsidRPr="00702497">
        <w:rPr>
          <w:i/>
          <w:lang w:val="fr-FR"/>
        </w:rPr>
        <w:tab/>
      </w:r>
      <w:r w:rsidRPr="00702497">
        <w:rPr>
          <w:i/>
          <w:lang w:val="fr-FR"/>
        </w:rPr>
        <w:tab/>
      </w:r>
      <w:hyperlink r:id="rId80" w:history="1">
        <w:r w:rsidRPr="00702497">
          <w:rPr>
            <w:rStyle w:val="Hyperlink"/>
            <w:i/>
            <w:lang w:val="fr-FR"/>
          </w:rPr>
          <w:t>17.COM</w:t>
        </w:r>
        <w:r w:rsidR="003D5763">
          <w:rPr>
            <w:rStyle w:val="Hyperlink"/>
            <w:i/>
            <w:lang w:val="fr-FR"/>
          </w:rPr>
          <w:t> </w:t>
        </w:r>
        <w:r w:rsidRPr="00702497">
          <w:rPr>
            <w:rStyle w:val="Hyperlink"/>
            <w:i/>
            <w:lang w:val="fr-FR"/>
          </w:rPr>
          <w:t>8.b</w:t>
        </w:r>
      </w:hyperlink>
    </w:p>
    <w:p w14:paraId="719D23D4" w14:textId="0A64631D" w:rsidR="00AA7EE4" w:rsidRDefault="00AA7EE4" w:rsidP="00AA7EE4">
      <w:pPr>
        <w:pStyle w:val="Orateurengris"/>
        <w:numPr>
          <w:ilvl w:val="0"/>
          <w:numId w:val="20"/>
        </w:numPr>
        <w:tabs>
          <w:tab w:val="clear" w:pos="567"/>
        </w:tabs>
        <w:spacing w:before="120"/>
        <w:ind w:left="709" w:hanging="709"/>
        <w:rPr>
          <w:bCs/>
          <w:lang w:val="fr-FR"/>
        </w:rPr>
      </w:pPr>
      <w:r w:rsidRPr="00AA7EE4">
        <w:rPr>
          <w:bCs/>
          <w:lang w:val="fr-FR"/>
        </w:rPr>
        <w:t xml:space="preserve">Le </w:t>
      </w:r>
      <w:r w:rsidRPr="00702497">
        <w:rPr>
          <w:b/>
          <w:lang w:val="fr-FR"/>
        </w:rPr>
        <w:t>Président</w:t>
      </w:r>
      <w:r w:rsidRPr="00AA7EE4">
        <w:rPr>
          <w:bCs/>
          <w:lang w:val="fr-FR"/>
        </w:rPr>
        <w:t xml:space="preserve"> est passé au point</w:t>
      </w:r>
      <w:r w:rsidR="003D5763">
        <w:rPr>
          <w:bCs/>
          <w:lang w:val="fr-FR"/>
        </w:rPr>
        <w:t> </w:t>
      </w:r>
      <w:r w:rsidRPr="00AA7EE4">
        <w:rPr>
          <w:bCs/>
          <w:lang w:val="fr-FR"/>
        </w:rPr>
        <w:t>8 de l</w:t>
      </w:r>
      <w:r w:rsidR="00923E72">
        <w:rPr>
          <w:bCs/>
          <w:lang w:val="fr-FR"/>
        </w:rPr>
        <w:t>’</w:t>
      </w:r>
      <w:r w:rsidRPr="00AA7EE4">
        <w:rPr>
          <w:bCs/>
          <w:lang w:val="fr-FR"/>
        </w:rPr>
        <w:t xml:space="preserve">ordre du jour, le suivi des éléments inscrits sur les listes de la Convention. Ce point concernait la correspondance reçue par le Secrétariat sur des éléments déjà inscrits sur les listes de la Convention et présentait, en particulier, le cas de </w:t>
      </w:r>
      <w:r w:rsidR="003B2E0F">
        <w:rPr>
          <w:bCs/>
          <w:lang w:val="fr-FR"/>
        </w:rPr>
        <w:t xml:space="preserve">la </w:t>
      </w:r>
      <w:r w:rsidRPr="00AA7EE4">
        <w:rPr>
          <w:bCs/>
          <w:lang w:val="fr-FR"/>
        </w:rPr>
        <w:t>Ducasse d</w:t>
      </w:r>
      <w:r w:rsidR="00923E72">
        <w:rPr>
          <w:bCs/>
          <w:lang w:val="fr-FR"/>
        </w:rPr>
        <w:t>’</w:t>
      </w:r>
      <w:r w:rsidRPr="00AA7EE4">
        <w:rPr>
          <w:bCs/>
          <w:lang w:val="fr-FR"/>
        </w:rPr>
        <w:t xml:space="preserve">Ath, </w:t>
      </w:r>
      <w:r w:rsidR="003B2E0F">
        <w:rPr>
          <w:bCs/>
          <w:lang w:val="fr-FR"/>
        </w:rPr>
        <w:t xml:space="preserve">qui fait </w:t>
      </w:r>
      <w:r w:rsidRPr="00AA7EE4">
        <w:rPr>
          <w:bCs/>
          <w:lang w:val="fr-FR"/>
        </w:rPr>
        <w:t>partie de l</w:t>
      </w:r>
      <w:r w:rsidR="00923E72">
        <w:rPr>
          <w:bCs/>
          <w:lang w:val="fr-FR"/>
        </w:rPr>
        <w:t>’</w:t>
      </w:r>
      <w:r w:rsidRPr="00AA7EE4">
        <w:rPr>
          <w:bCs/>
          <w:lang w:val="fr-FR"/>
        </w:rPr>
        <w:t xml:space="preserve">élément </w:t>
      </w:r>
      <w:r w:rsidR="003B2E0F">
        <w:rPr>
          <w:bCs/>
          <w:lang w:val="fr-FR"/>
        </w:rPr>
        <w:t>« </w:t>
      </w:r>
      <w:r w:rsidRPr="00AA7EE4">
        <w:rPr>
          <w:bCs/>
          <w:lang w:val="fr-FR"/>
        </w:rPr>
        <w:t xml:space="preserve">Géants et dragons processionnels de Belgique et de </w:t>
      </w:r>
      <w:r w:rsidR="003B2E0F">
        <w:rPr>
          <w:bCs/>
          <w:lang w:val="fr-FR"/>
        </w:rPr>
        <w:t>France »</w:t>
      </w:r>
      <w:r w:rsidRPr="00AA7EE4">
        <w:rPr>
          <w:bCs/>
          <w:lang w:val="fr-FR"/>
        </w:rPr>
        <w:t xml:space="preserve">. Le Président a rappelé que ce cas spécifique était soumis à la </w:t>
      </w:r>
      <w:r w:rsidRPr="00AA7EE4">
        <w:rPr>
          <w:bCs/>
          <w:lang w:val="fr-FR"/>
        </w:rPr>
        <w:lastRenderedPageBreak/>
        <w:t>présente session du Comité sur la base de la décision du Bureau</w:t>
      </w:r>
      <w:r w:rsidR="0073323E">
        <w:rPr>
          <w:bCs/>
          <w:lang w:val="fr-FR"/>
        </w:rPr>
        <w:t> </w:t>
      </w:r>
      <w:hyperlink r:id="rId81" w:history="1">
        <w:r w:rsidR="003B2E0F" w:rsidRPr="006E3034">
          <w:rPr>
            <w:rStyle w:val="Hyperlink"/>
            <w:bCs/>
            <w:lang w:val="fr-FR"/>
          </w:rPr>
          <w:t>17.COM 5 BUR 5</w:t>
        </w:r>
      </w:hyperlink>
      <w:r w:rsidR="003B2E0F" w:rsidRPr="006E3034">
        <w:rPr>
          <w:rStyle w:val="Hyperlink"/>
          <w:bCs/>
          <w:u w:val="none"/>
          <w:lang w:val="fr-FR"/>
        </w:rPr>
        <w:t xml:space="preserve"> </w:t>
      </w:r>
      <w:r w:rsidRPr="00AA7EE4">
        <w:rPr>
          <w:bCs/>
          <w:lang w:val="fr-FR"/>
        </w:rPr>
        <w:t>prise le 4</w:t>
      </w:r>
      <w:r w:rsidR="003B2E0F">
        <w:rPr>
          <w:bCs/>
          <w:lang w:val="fr-FR"/>
        </w:rPr>
        <w:t> </w:t>
      </w:r>
      <w:r w:rsidRPr="00AA7EE4">
        <w:rPr>
          <w:bCs/>
          <w:lang w:val="fr-FR"/>
        </w:rPr>
        <w:t>octobre</w:t>
      </w:r>
      <w:r w:rsidR="003B2E0F">
        <w:rPr>
          <w:bCs/>
          <w:lang w:val="fr-FR"/>
        </w:rPr>
        <w:t> 2022</w:t>
      </w:r>
      <w:r w:rsidRPr="00AA7EE4">
        <w:rPr>
          <w:bCs/>
          <w:lang w:val="fr-FR"/>
        </w:rPr>
        <w:t>. Cette décision recommandait spécifiquement que</w:t>
      </w:r>
      <w:r w:rsidR="003B2E0F">
        <w:rPr>
          <w:bCs/>
          <w:lang w:val="fr-FR"/>
        </w:rPr>
        <w:t xml:space="preserve"> « </w:t>
      </w:r>
      <w:r w:rsidRPr="00AA7EE4">
        <w:rPr>
          <w:bCs/>
          <w:lang w:val="fr-FR"/>
        </w:rPr>
        <w:t>conformément au paragraphe</w:t>
      </w:r>
      <w:r w:rsidR="003B2E0F">
        <w:rPr>
          <w:bCs/>
          <w:lang w:val="fr-FR"/>
        </w:rPr>
        <w:t> </w:t>
      </w:r>
      <w:r w:rsidRPr="00AA7EE4">
        <w:rPr>
          <w:bCs/>
          <w:lang w:val="fr-FR"/>
        </w:rPr>
        <w:t>40.2</w:t>
      </w:r>
      <w:r w:rsidR="003B2E0F">
        <w:rPr>
          <w:bCs/>
          <w:lang w:val="fr-FR"/>
        </w:rPr>
        <w:t> </w:t>
      </w:r>
      <w:r w:rsidRPr="00AA7EE4">
        <w:rPr>
          <w:bCs/>
          <w:lang w:val="fr-FR"/>
        </w:rPr>
        <w:t>(e) des Directives opérationnelles, les demandes de retrait concernant la Ducasse d</w:t>
      </w:r>
      <w:r w:rsidR="00923E72">
        <w:rPr>
          <w:bCs/>
          <w:lang w:val="fr-FR"/>
        </w:rPr>
        <w:t>’</w:t>
      </w:r>
      <w:r w:rsidRPr="00AA7EE4">
        <w:rPr>
          <w:bCs/>
          <w:lang w:val="fr-FR"/>
        </w:rPr>
        <w:t xml:space="preserve">Ath soient </w:t>
      </w:r>
      <w:r w:rsidR="003B2E0F">
        <w:rPr>
          <w:bCs/>
          <w:lang w:val="fr-FR"/>
        </w:rPr>
        <w:t xml:space="preserve">incluses </w:t>
      </w:r>
      <w:r w:rsidRPr="00AA7EE4">
        <w:rPr>
          <w:bCs/>
          <w:lang w:val="fr-FR"/>
        </w:rPr>
        <w:t>à l</w:t>
      </w:r>
      <w:r w:rsidR="00923E72">
        <w:rPr>
          <w:bCs/>
          <w:lang w:val="fr-FR"/>
        </w:rPr>
        <w:t>’</w:t>
      </w:r>
      <w:r w:rsidRPr="00AA7EE4">
        <w:rPr>
          <w:bCs/>
          <w:lang w:val="fr-FR"/>
        </w:rPr>
        <w:t>ordre du jour provisoire de la dix</w:t>
      </w:r>
      <w:r w:rsidR="003B2E0F">
        <w:rPr>
          <w:bCs/>
          <w:lang w:val="fr-FR"/>
        </w:rPr>
        <w:noBreakHyphen/>
      </w:r>
      <w:r w:rsidRPr="00AA7EE4">
        <w:rPr>
          <w:bCs/>
          <w:lang w:val="fr-FR"/>
        </w:rPr>
        <w:t>septième session du Comité</w:t>
      </w:r>
      <w:r w:rsidR="002B3ECA">
        <w:rPr>
          <w:bCs/>
          <w:lang w:val="fr-FR"/>
        </w:rPr>
        <w:t>.</w:t>
      </w:r>
      <w:r w:rsidR="003B2E0F">
        <w:rPr>
          <w:bCs/>
          <w:lang w:val="fr-FR"/>
        </w:rPr>
        <w:t> »</w:t>
      </w:r>
    </w:p>
    <w:p w14:paraId="532F9E55" w14:textId="2667CB71" w:rsidR="003B2E0F" w:rsidRDefault="003B2E0F" w:rsidP="00AA7EE4">
      <w:pPr>
        <w:pStyle w:val="Orateurengris"/>
        <w:numPr>
          <w:ilvl w:val="0"/>
          <w:numId w:val="20"/>
        </w:numPr>
        <w:tabs>
          <w:tab w:val="clear" w:pos="567"/>
        </w:tabs>
        <w:spacing w:before="120"/>
        <w:ind w:left="709" w:hanging="709"/>
        <w:rPr>
          <w:bCs/>
          <w:lang w:val="fr-FR"/>
        </w:rPr>
      </w:pPr>
      <w:r w:rsidRPr="003B2E0F">
        <w:rPr>
          <w:bCs/>
          <w:lang w:val="fr-FR"/>
        </w:rPr>
        <w:t xml:space="preserve">Le </w:t>
      </w:r>
      <w:r w:rsidRPr="00702497">
        <w:rPr>
          <w:b/>
          <w:lang w:val="fr-FR"/>
        </w:rPr>
        <w:t>Secrétaire</w:t>
      </w:r>
      <w:r w:rsidRPr="003B2E0F">
        <w:rPr>
          <w:bCs/>
          <w:lang w:val="fr-FR"/>
        </w:rPr>
        <w:t xml:space="preserve"> </w:t>
      </w:r>
      <w:r>
        <w:rPr>
          <w:bCs/>
          <w:lang w:val="fr-FR"/>
        </w:rPr>
        <w:t xml:space="preserve">a </w:t>
      </w:r>
      <w:r w:rsidRPr="003B2E0F">
        <w:rPr>
          <w:bCs/>
          <w:lang w:val="fr-FR"/>
        </w:rPr>
        <w:t>expliqu</w:t>
      </w:r>
      <w:r>
        <w:rPr>
          <w:bCs/>
          <w:lang w:val="fr-FR"/>
        </w:rPr>
        <w:t>é</w:t>
      </w:r>
      <w:r w:rsidRPr="003B2E0F">
        <w:rPr>
          <w:bCs/>
          <w:lang w:val="fr-FR"/>
        </w:rPr>
        <w:t xml:space="preserve"> que le document</w:t>
      </w:r>
      <w:r w:rsidR="009A34A8">
        <w:rPr>
          <w:bCs/>
          <w:lang w:val="fr-FR"/>
        </w:rPr>
        <w:t> </w:t>
      </w:r>
      <w:r w:rsidRPr="003B2E0F">
        <w:rPr>
          <w:bCs/>
          <w:lang w:val="fr-FR"/>
        </w:rPr>
        <w:t xml:space="preserve">8 </w:t>
      </w:r>
      <w:r>
        <w:rPr>
          <w:bCs/>
          <w:lang w:val="fr-FR"/>
        </w:rPr>
        <w:t>était</w:t>
      </w:r>
      <w:r w:rsidRPr="003B2E0F">
        <w:rPr>
          <w:bCs/>
          <w:lang w:val="fr-FR"/>
        </w:rPr>
        <w:t xml:space="preserve"> divisé en deux parties distinctes, chacune liée à un projet de décision : la section A (et le projet de décision</w:t>
      </w:r>
      <w:r w:rsidR="003D5763">
        <w:rPr>
          <w:bCs/>
          <w:lang w:val="fr-FR"/>
        </w:rPr>
        <w:t> </w:t>
      </w:r>
      <w:r w:rsidRPr="003B2E0F">
        <w:rPr>
          <w:bCs/>
          <w:lang w:val="fr-FR"/>
        </w:rPr>
        <w:t>8.a qui s</w:t>
      </w:r>
      <w:r w:rsidR="00923E72">
        <w:rPr>
          <w:bCs/>
          <w:lang w:val="fr-FR"/>
        </w:rPr>
        <w:t>’</w:t>
      </w:r>
      <w:r w:rsidRPr="003B2E0F">
        <w:rPr>
          <w:bCs/>
          <w:lang w:val="fr-FR"/>
        </w:rPr>
        <w:t>y rapporte) trait</w:t>
      </w:r>
      <w:r w:rsidR="00244A20">
        <w:rPr>
          <w:bCs/>
          <w:lang w:val="fr-FR"/>
        </w:rPr>
        <w:t>ait</w:t>
      </w:r>
      <w:r w:rsidRPr="003B2E0F">
        <w:rPr>
          <w:bCs/>
          <w:lang w:val="fr-FR"/>
        </w:rPr>
        <w:t xml:space="preserve"> du cas des </w:t>
      </w:r>
      <w:r w:rsidR="00244A20">
        <w:rPr>
          <w:bCs/>
          <w:lang w:val="fr-FR"/>
        </w:rPr>
        <w:t>« </w:t>
      </w:r>
      <w:r w:rsidRPr="003B2E0F">
        <w:rPr>
          <w:bCs/>
          <w:lang w:val="fr-FR"/>
        </w:rPr>
        <w:t xml:space="preserve">Géants et dragons processionnels en Belgique et en </w:t>
      </w:r>
      <w:r w:rsidR="00244A20">
        <w:rPr>
          <w:bCs/>
          <w:lang w:val="fr-FR"/>
        </w:rPr>
        <w:t>France »</w:t>
      </w:r>
      <w:r w:rsidRPr="003B2E0F">
        <w:rPr>
          <w:bCs/>
          <w:lang w:val="fr-FR"/>
        </w:rPr>
        <w:t>, et la section B (et le projet de décision</w:t>
      </w:r>
      <w:r w:rsidR="003D5763">
        <w:rPr>
          <w:bCs/>
          <w:lang w:val="fr-FR"/>
        </w:rPr>
        <w:t> </w:t>
      </w:r>
      <w:r w:rsidRPr="003B2E0F">
        <w:rPr>
          <w:bCs/>
          <w:lang w:val="fr-FR"/>
        </w:rPr>
        <w:t>8.b qui s</w:t>
      </w:r>
      <w:r w:rsidR="00923E72">
        <w:rPr>
          <w:bCs/>
          <w:lang w:val="fr-FR"/>
        </w:rPr>
        <w:t>’</w:t>
      </w:r>
      <w:r w:rsidRPr="003B2E0F">
        <w:rPr>
          <w:bCs/>
          <w:lang w:val="fr-FR"/>
        </w:rPr>
        <w:t>y rapporte) donn</w:t>
      </w:r>
      <w:r w:rsidR="00244A20">
        <w:rPr>
          <w:bCs/>
          <w:lang w:val="fr-FR"/>
        </w:rPr>
        <w:t>ait</w:t>
      </w:r>
      <w:r w:rsidRPr="003B2E0F">
        <w:rPr>
          <w:bCs/>
          <w:lang w:val="fr-FR"/>
        </w:rPr>
        <w:t xml:space="preserve"> une vue d</w:t>
      </w:r>
      <w:r w:rsidR="00923E72">
        <w:rPr>
          <w:bCs/>
          <w:lang w:val="fr-FR"/>
        </w:rPr>
        <w:t>’</w:t>
      </w:r>
      <w:r w:rsidRPr="003B2E0F">
        <w:rPr>
          <w:bCs/>
          <w:lang w:val="fr-FR"/>
        </w:rPr>
        <w:t>ensemble des trois cas de correspondance reçus à propos d</w:t>
      </w:r>
      <w:r w:rsidR="00923E72">
        <w:rPr>
          <w:bCs/>
          <w:lang w:val="fr-FR"/>
        </w:rPr>
        <w:t>’</w:t>
      </w:r>
      <w:r w:rsidRPr="003B2E0F">
        <w:rPr>
          <w:bCs/>
          <w:lang w:val="fr-FR"/>
        </w:rPr>
        <w:t>autres éléments inscrits. La section A</w:t>
      </w:r>
      <w:r w:rsidR="00244A20">
        <w:rPr>
          <w:bCs/>
          <w:lang w:val="fr-FR"/>
        </w:rPr>
        <w:t>,</w:t>
      </w:r>
      <w:r w:rsidRPr="003B2E0F">
        <w:rPr>
          <w:bCs/>
          <w:lang w:val="fr-FR"/>
        </w:rPr>
        <w:t xml:space="preserve"> concernant la partie </w:t>
      </w:r>
      <w:r w:rsidR="00244A20">
        <w:rPr>
          <w:bCs/>
          <w:lang w:val="fr-FR"/>
        </w:rPr>
        <w:t>« </w:t>
      </w:r>
      <w:r w:rsidRPr="003B2E0F">
        <w:rPr>
          <w:bCs/>
          <w:lang w:val="fr-FR"/>
        </w:rPr>
        <w:t>Ducasse d</w:t>
      </w:r>
      <w:r w:rsidR="00923E72">
        <w:rPr>
          <w:bCs/>
          <w:lang w:val="fr-FR"/>
        </w:rPr>
        <w:t>’</w:t>
      </w:r>
      <w:r w:rsidRPr="003B2E0F">
        <w:rPr>
          <w:bCs/>
          <w:lang w:val="fr-FR"/>
        </w:rPr>
        <w:t>Ath</w:t>
      </w:r>
      <w:r w:rsidR="00244A20">
        <w:rPr>
          <w:bCs/>
          <w:lang w:val="fr-FR"/>
        </w:rPr>
        <w:t> »</w:t>
      </w:r>
      <w:r w:rsidRPr="003B2E0F">
        <w:rPr>
          <w:bCs/>
          <w:lang w:val="fr-FR"/>
        </w:rPr>
        <w:t xml:space="preserve"> des </w:t>
      </w:r>
      <w:r w:rsidR="00244A20">
        <w:rPr>
          <w:bCs/>
          <w:lang w:val="fr-FR"/>
        </w:rPr>
        <w:t>« </w:t>
      </w:r>
      <w:r w:rsidRPr="003B2E0F">
        <w:rPr>
          <w:bCs/>
          <w:lang w:val="fr-FR"/>
        </w:rPr>
        <w:t xml:space="preserve">Géants et dragons processionnels en Belgique et en </w:t>
      </w:r>
      <w:r w:rsidR="00244A20">
        <w:rPr>
          <w:bCs/>
          <w:lang w:val="fr-FR"/>
        </w:rPr>
        <w:t>France »,</w:t>
      </w:r>
      <w:r w:rsidRPr="003B2E0F">
        <w:rPr>
          <w:bCs/>
          <w:lang w:val="fr-FR"/>
        </w:rPr>
        <w:t xml:space="preserve"> était une question </w:t>
      </w:r>
      <w:r w:rsidR="003D5763">
        <w:rPr>
          <w:bCs/>
          <w:lang w:val="fr-FR"/>
        </w:rPr>
        <w:t xml:space="preserve">grave </w:t>
      </w:r>
      <w:r w:rsidRPr="003B2E0F">
        <w:rPr>
          <w:bCs/>
          <w:lang w:val="fr-FR"/>
        </w:rPr>
        <w:t>et complexe. Tout d</w:t>
      </w:r>
      <w:r w:rsidR="00923E72">
        <w:rPr>
          <w:bCs/>
          <w:lang w:val="fr-FR"/>
        </w:rPr>
        <w:t>’</w:t>
      </w:r>
      <w:r w:rsidRPr="003B2E0F">
        <w:rPr>
          <w:bCs/>
          <w:lang w:val="fr-FR"/>
        </w:rPr>
        <w:t>abord, elle touchait à des questions sérieuses liées aux principes fondateurs de l</w:t>
      </w:r>
      <w:r w:rsidR="00923E72">
        <w:rPr>
          <w:bCs/>
          <w:lang w:val="fr-FR"/>
        </w:rPr>
        <w:t>’</w:t>
      </w:r>
      <w:r w:rsidRPr="003B2E0F">
        <w:rPr>
          <w:bCs/>
          <w:lang w:val="fr-FR"/>
        </w:rPr>
        <w:t>UNESCO</w:t>
      </w:r>
      <w:r w:rsidR="00435E8D">
        <w:rPr>
          <w:bCs/>
          <w:lang w:val="fr-FR"/>
        </w:rPr>
        <w:t xml:space="preserve"> </w:t>
      </w:r>
      <w:r w:rsidRPr="003B2E0F">
        <w:rPr>
          <w:bCs/>
          <w:lang w:val="fr-FR"/>
        </w:rPr>
        <w:t>ainsi qu</w:t>
      </w:r>
      <w:r w:rsidR="00923E72">
        <w:rPr>
          <w:bCs/>
          <w:lang w:val="fr-FR"/>
        </w:rPr>
        <w:t>’</w:t>
      </w:r>
      <w:r w:rsidRPr="003B2E0F">
        <w:rPr>
          <w:bCs/>
          <w:lang w:val="fr-FR"/>
        </w:rPr>
        <w:t>à l</w:t>
      </w:r>
      <w:r w:rsidR="00923E72">
        <w:rPr>
          <w:bCs/>
          <w:lang w:val="fr-FR"/>
        </w:rPr>
        <w:t>’</w:t>
      </w:r>
      <w:r w:rsidRPr="003B2E0F">
        <w:rPr>
          <w:bCs/>
          <w:lang w:val="fr-FR"/>
        </w:rPr>
        <w:t>exigence de respect mutuel entre les communautés en vertu de l</w:t>
      </w:r>
      <w:r w:rsidR="00923E72">
        <w:rPr>
          <w:bCs/>
          <w:lang w:val="fr-FR"/>
        </w:rPr>
        <w:t>’</w:t>
      </w:r>
      <w:r w:rsidRPr="003B2E0F">
        <w:rPr>
          <w:bCs/>
          <w:lang w:val="fr-FR"/>
        </w:rPr>
        <w:t>article</w:t>
      </w:r>
      <w:r w:rsidR="003D5763">
        <w:rPr>
          <w:bCs/>
          <w:lang w:val="fr-FR"/>
        </w:rPr>
        <w:t> </w:t>
      </w:r>
      <w:r w:rsidRPr="003B2E0F">
        <w:rPr>
          <w:bCs/>
          <w:lang w:val="fr-FR"/>
        </w:rPr>
        <w:t>2 de la Convention. Deuxièmement, l</w:t>
      </w:r>
      <w:r w:rsidR="00923E72">
        <w:rPr>
          <w:bCs/>
          <w:lang w:val="fr-FR"/>
        </w:rPr>
        <w:t>’</w:t>
      </w:r>
      <w:r w:rsidRPr="003B2E0F">
        <w:rPr>
          <w:bCs/>
          <w:lang w:val="fr-FR"/>
        </w:rPr>
        <w:t>affaire était complexe car l</w:t>
      </w:r>
      <w:r w:rsidR="00923E72">
        <w:rPr>
          <w:bCs/>
          <w:lang w:val="fr-FR"/>
        </w:rPr>
        <w:t>’</w:t>
      </w:r>
      <w:r w:rsidRPr="003B2E0F">
        <w:rPr>
          <w:bCs/>
          <w:lang w:val="fr-FR"/>
        </w:rPr>
        <w:t xml:space="preserve">élément inscrit concernait neuf villes dans deux pays. Ce cas </w:t>
      </w:r>
      <w:r w:rsidR="00250A83">
        <w:rPr>
          <w:bCs/>
          <w:lang w:val="fr-FR"/>
        </w:rPr>
        <w:t>constituait pour le</w:t>
      </w:r>
      <w:r w:rsidRPr="003B2E0F">
        <w:rPr>
          <w:bCs/>
          <w:lang w:val="fr-FR"/>
        </w:rPr>
        <w:t xml:space="preserve"> Comité la première mise en application des nouvelles dispositions relatives aux demandes de retrait, établies par le biais de</w:t>
      </w:r>
      <w:r w:rsidR="00250A83">
        <w:rPr>
          <w:bCs/>
          <w:lang w:val="fr-FR"/>
        </w:rPr>
        <w:t>s</w:t>
      </w:r>
      <w:r w:rsidRPr="003B2E0F">
        <w:rPr>
          <w:bCs/>
          <w:lang w:val="fr-FR"/>
        </w:rPr>
        <w:t xml:space="preserve"> révisions des Directives opérationnelles par la neuvième session de l</w:t>
      </w:r>
      <w:r w:rsidR="00923E72">
        <w:rPr>
          <w:bCs/>
          <w:lang w:val="fr-FR"/>
        </w:rPr>
        <w:t>’</w:t>
      </w:r>
      <w:r w:rsidRPr="003B2E0F">
        <w:rPr>
          <w:bCs/>
          <w:lang w:val="fr-FR"/>
        </w:rPr>
        <w:t>Assemblée générale en juillet</w:t>
      </w:r>
      <w:r w:rsidR="00250A83">
        <w:rPr>
          <w:bCs/>
          <w:lang w:val="fr-FR"/>
        </w:rPr>
        <w:t> </w:t>
      </w:r>
      <w:r w:rsidRPr="003B2E0F">
        <w:rPr>
          <w:bCs/>
          <w:lang w:val="fr-FR"/>
        </w:rPr>
        <w:t>2022 (</w:t>
      </w:r>
      <w:r w:rsidR="00250A83">
        <w:rPr>
          <w:bCs/>
          <w:lang w:val="fr-FR"/>
        </w:rPr>
        <w:t>r</w:t>
      </w:r>
      <w:r w:rsidRPr="003B2E0F">
        <w:rPr>
          <w:bCs/>
          <w:lang w:val="fr-FR"/>
        </w:rPr>
        <w:t>ésolution</w:t>
      </w:r>
      <w:hyperlink r:id="rId82" w:history="1">
        <w:r w:rsidR="00244A20" w:rsidRPr="006E3034">
          <w:rPr>
            <w:lang w:val="fr-FR"/>
          </w:rPr>
          <w:t> </w:t>
        </w:r>
        <w:r w:rsidR="00244A20" w:rsidRPr="006E3034">
          <w:rPr>
            <w:rStyle w:val="Hyperlink"/>
            <w:bCs/>
            <w:lang w:val="fr-FR"/>
          </w:rPr>
          <w:t>9.GA 9</w:t>
        </w:r>
      </w:hyperlink>
      <w:r w:rsidRPr="003B2E0F">
        <w:rPr>
          <w:bCs/>
          <w:lang w:val="fr-FR"/>
        </w:rPr>
        <w:t xml:space="preserve">), </w:t>
      </w:r>
      <w:r w:rsidR="00250A83">
        <w:rPr>
          <w:bCs/>
          <w:lang w:val="fr-FR"/>
        </w:rPr>
        <w:t>notamment, les</w:t>
      </w:r>
      <w:r w:rsidRPr="003B2E0F">
        <w:rPr>
          <w:bCs/>
          <w:lang w:val="fr-FR"/>
        </w:rPr>
        <w:t xml:space="preserve"> paragraphes</w:t>
      </w:r>
      <w:r w:rsidR="00244A20">
        <w:rPr>
          <w:bCs/>
          <w:lang w:val="fr-FR"/>
        </w:rPr>
        <w:t> </w:t>
      </w:r>
      <w:r w:rsidRPr="003B2E0F">
        <w:rPr>
          <w:bCs/>
          <w:lang w:val="fr-FR"/>
        </w:rPr>
        <w:t>40.1 à</w:t>
      </w:r>
      <w:r w:rsidR="00250A83">
        <w:rPr>
          <w:bCs/>
          <w:lang w:val="fr-FR"/>
        </w:rPr>
        <w:t> </w:t>
      </w:r>
      <w:r w:rsidRPr="003B2E0F">
        <w:rPr>
          <w:bCs/>
          <w:lang w:val="fr-FR"/>
        </w:rPr>
        <w:t>40.3 des Directives opérationnelles. L</w:t>
      </w:r>
      <w:r w:rsidR="00923E72">
        <w:rPr>
          <w:bCs/>
          <w:lang w:val="fr-FR"/>
        </w:rPr>
        <w:t>’</w:t>
      </w:r>
      <w:r w:rsidRPr="003B2E0F">
        <w:rPr>
          <w:bCs/>
          <w:lang w:val="fr-FR"/>
        </w:rPr>
        <w:t>élément avait été initialement proclamé chef-d</w:t>
      </w:r>
      <w:r w:rsidR="00923E72">
        <w:rPr>
          <w:bCs/>
          <w:lang w:val="fr-FR"/>
        </w:rPr>
        <w:t>’</w:t>
      </w:r>
      <w:r w:rsidRPr="003B2E0F">
        <w:rPr>
          <w:bCs/>
          <w:lang w:val="fr-FR"/>
        </w:rPr>
        <w:t>œuvre du patrimoine oral et immatériel de l</w:t>
      </w:r>
      <w:r w:rsidR="00923E72">
        <w:rPr>
          <w:bCs/>
          <w:lang w:val="fr-FR"/>
        </w:rPr>
        <w:t>’</w:t>
      </w:r>
      <w:r w:rsidRPr="003B2E0F">
        <w:rPr>
          <w:bCs/>
          <w:lang w:val="fr-FR"/>
        </w:rPr>
        <w:t xml:space="preserve">humanité en 2005, puis intégré </w:t>
      </w:r>
      <w:r w:rsidR="00244A20">
        <w:rPr>
          <w:bCs/>
          <w:lang w:val="fr-FR"/>
        </w:rPr>
        <w:t>dans</w:t>
      </w:r>
      <w:r w:rsidRPr="003B2E0F">
        <w:rPr>
          <w:bCs/>
          <w:lang w:val="fr-FR"/>
        </w:rPr>
        <w:t xml:space="preserve"> la Liste représentative en tant qu</w:t>
      </w:r>
      <w:r w:rsidR="00923E72">
        <w:rPr>
          <w:bCs/>
          <w:lang w:val="fr-FR"/>
        </w:rPr>
        <w:t>’</w:t>
      </w:r>
      <w:r w:rsidRPr="003B2E0F">
        <w:rPr>
          <w:bCs/>
          <w:lang w:val="fr-FR"/>
        </w:rPr>
        <w:t>inscription multinationale en 2008, avec tous les autres chefs-d</w:t>
      </w:r>
      <w:r w:rsidR="00923E72">
        <w:rPr>
          <w:bCs/>
          <w:lang w:val="fr-FR"/>
        </w:rPr>
        <w:t>’</w:t>
      </w:r>
      <w:r w:rsidRPr="003B2E0F">
        <w:rPr>
          <w:bCs/>
          <w:lang w:val="fr-FR"/>
        </w:rPr>
        <w:t>œuvre proclamés d</w:t>
      </w:r>
      <w:r w:rsidR="00435E8D">
        <w:rPr>
          <w:bCs/>
          <w:lang w:val="fr-FR"/>
        </w:rPr>
        <w:t>ans le cadre du</w:t>
      </w:r>
      <w:r w:rsidRPr="003B2E0F">
        <w:rPr>
          <w:bCs/>
          <w:lang w:val="fr-FR"/>
        </w:rPr>
        <w:t xml:space="preserve"> programme précédent. L</w:t>
      </w:r>
      <w:r w:rsidR="00923E72">
        <w:rPr>
          <w:bCs/>
          <w:lang w:val="fr-FR"/>
        </w:rPr>
        <w:t>’</w:t>
      </w:r>
      <w:r w:rsidRPr="003B2E0F">
        <w:rPr>
          <w:bCs/>
          <w:lang w:val="fr-FR"/>
        </w:rPr>
        <w:t xml:space="preserve">élément </w:t>
      </w:r>
      <w:r w:rsidR="00435E8D">
        <w:rPr>
          <w:bCs/>
          <w:lang w:val="fr-FR"/>
        </w:rPr>
        <w:t xml:space="preserve">portait </w:t>
      </w:r>
      <w:r w:rsidRPr="003B2E0F">
        <w:rPr>
          <w:bCs/>
          <w:lang w:val="fr-FR"/>
        </w:rPr>
        <w:t>sur les processions traditionnelles de grandes effigies de géants, d</w:t>
      </w:r>
      <w:r w:rsidR="00923E72">
        <w:rPr>
          <w:bCs/>
          <w:lang w:val="fr-FR"/>
        </w:rPr>
        <w:t>’</w:t>
      </w:r>
      <w:r w:rsidRPr="003B2E0F">
        <w:rPr>
          <w:bCs/>
          <w:lang w:val="fr-FR"/>
        </w:rPr>
        <w:t>animaux ou de dragons dans neuf villes de Belgique et de France, y compris la ville d</w:t>
      </w:r>
      <w:r w:rsidR="00923E72">
        <w:rPr>
          <w:bCs/>
          <w:lang w:val="fr-FR"/>
        </w:rPr>
        <w:t>’</w:t>
      </w:r>
      <w:r w:rsidRPr="003B2E0F">
        <w:rPr>
          <w:bCs/>
          <w:lang w:val="fr-FR"/>
        </w:rPr>
        <w:t xml:space="preserve">Ath en Belgique où la </w:t>
      </w:r>
      <w:r w:rsidR="00244A20">
        <w:rPr>
          <w:bCs/>
          <w:lang w:val="fr-FR"/>
        </w:rPr>
        <w:t>« </w:t>
      </w:r>
      <w:r w:rsidRPr="003B2E0F">
        <w:rPr>
          <w:bCs/>
          <w:lang w:val="fr-FR"/>
        </w:rPr>
        <w:t>Ducasse d</w:t>
      </w:r>
      <w:r w:rsidR="00923E72">
        <w:rPr>
          <w:bCs/>
          <w:lang w:val="fr-FR"/>
        </w:rPr>
        <w:t>’</w:t>
      </w:r>
      <w:r w:rsidRPr="003B2E0F">
        <w:rPr>
          <w:bCs/>
          <w:lang w:val="fr-FR"/>
        </w:rPr>
        <w:t>Ath</w:t>
      </w:r>
      <w:r w:rsidR="00244A20">
        <w:rPr>
          <w:bCs/>
          <w:lang w:val="fr-FR"/>
        </w:rPr>
        <w:t> »</w:t>
      </w:r>
      <w:r w:rsidRPr="003B2E0F">
        <w:rPr>
          <w:bCs/>
          <w:lang w:val="fr-FR"/>
        </w:rPr>
        <w:t xml:space="preserve"> a lieu chaque année. En ce qui concerne les demandes de retrait, en août</w:t>
      </w:r>
      <w:r w:rsidR="003A0260">
        <w:rPr>
          <w:bCs/>
          <w:lang w:val="fr-FR"/>
        </w:rPr>
        <w:t> </w:t>
      </w:r>
      <w:r w:rsidRPr="003B2E0F">
        <w:rPr>
          <w:bCs/>
          <w:lang w:val="fr-FR"/>
        </w:rPr>
        <w:t>2019, en février</w:t>
      </w:r>
      <w:r w:rsidR="003A0260">
        <w:rPr>
          <w:bCs/>
          <w:lang w:val="fr-FR"/>
        </w:rPr>
        <w:t> </w:t>
      </w:r>
      <w:r w:rsidRPr="003B2E0F">
        <w:rPr>
          <w:bCs/>
          <w:lang w:val="fr-FR"/>
        </w:rPr>
        <w:t>2020 et à nouveau en août</w:t>
      </w:r>
      <w:r w:rsidR="003A0260">
        <w:rPr>
          <w:bCs/>
          <w:lang w:val="fr-FR"/>
        </w:rPr>
        <w:t> </w:t>
      </w:r>
      <w:r w:rsidRPr="003B2E0F">
        <w:rPr>
          <w:bCs/>
          <w:lang w:val="fr-FR"/>
        </w:rPr>
        <w:t xml:space="preserve">2022, plusieurs </w:t>
      </w:r>
      <w:r w:rsidR="007121BA">
        <w:rPr>
          <w:bCs/>
          <w:lang w:val="fr-FR"/>
        </w:rPr>
        <w:t>organisations non gouvernementales</w:t>
      </w:r>
      <w:r w:rsidRPr="003B2E0F">
        <w:rPr>
          <w:bCs/>
          <w:lang w:val="fr-FR"/>
        </w:rPr>
        <w:t xml:space="preserve"> et particuliers en Belgique avaient </w:t>
      </w:r>
      <w:r w:rsidR="00244A20">
        <w:rPr>
          <w:bCs/>
          <w:lang w:val="fr-FR"/>
        </w:rPr>
        <w:t xml:space="preserve">adressé des courriers </w:t>
      </w:r>
      <w:r w:rsidRPr="003B2E0F">
        <w:rPr>
          <w:bCs/>
          <w:lang w:val="fr-FR"/>
        </w:rPr>
        <w:t>au Secrétariat concernant la Ducasse d</w:t>
      </w:r>
      <w:r w:rsidR="00923E72">
        <w:rPr>
          <w:bCs/>
          <w:lang w:val="fr-FR"/>
        </w:rPr>
        <w:t>’</w:t>
      </w:r>
      <w:r w:rsidRPr="003B2E0F">
        <w:rPr>
          <w:bCs/>
          <w:lang w:val="fr-FR"/>
        </w:rPr>
        <w:t>Ath et, en particulier, l</w:t>
      </w:r>
      <w:r w:rsidR="00923E72">
        <w:rPr>
          <w:bCs/>
          <w:lang w:val="fr-FR"/>
        </w:rPr>
        <w:t>’</w:t>
      </w:r>
      <w:r w:rsidRPr="003B2E0F">
        <w:rPr>
          <w:bCs/>
          <w:lang w:val="fr-FR"/>
        </w:rPr>
        <w:t>un de ses personnages connu sous le nom d</w:t>
      </w:r>
      <w:r w:rsidR="00244A20">
        <w:rPr>
          <w:bCs/>
          <w:lang w:val="fr-FR"/>
        </w:rPr>
        <w:t>u</w:t>
      </w:r>
      <w:r w:rsidRPr="003B2E0F">
        <w:rPr>
          <w:bCs/>
          <w:lang w:val="fr-FR"/>
        </w:rPr>
        <w:t xml:space="preserve"> </w:t>
      </w:r>
      <w:r w:rsidR="00244A20">
        <w:rPr>
          <w:bCs/>
          <w:lang w:val="fr-FR"/>
        </w:rPr>
        <w:t>« </w:t>
      </w:r>
      <w:r w:rsidRPr="003B2E0F">
        <w:rPr>
          <w:bCs/>
          <w:lang w:val="fr-FR"/>
        </w:rPr>
        <w:t>Sauvage</w:t>
      </w:r>
      <w:r w:rsidR="00244A20">
        <w:rPr>
          <w:bCs/>
          <w:lang w:val="fr-FR"/>
        </w:rPr>
        <w:t> »</w:t>
      </w:r>
      <w:r w:rsidRPr="003B2E0F">
        <w:rPr>
          <w:bCs/>
          <w:lang w:val="fr-FR"/>
        </w:rPr>
        <w:t>. Pour la seule année</w:t>
      </w:r>
      <w:r w:rsidR="00246428">
        <w:rPr>
          <w:bCs/>
          <w:lang w:val="fr-FR"/>
        </w:rPr>
        <w:t> </w:t>
      </w:r>
      <w:r w:rsidRPr="003B2E0F">
        <w:rPr>
          <w:bCs/>
          <w:lang w:val="fr-FR"/>
        </w:rPr>
        <w:t>2022, vingt</w:t>
      </w:r>
      <w:r w:rsidR="00D004C1">
        <w:rPr>
          <w:bCs/>
          <w:lang w:val="fr-FR"/>
        </w:rPr>
        <w:noBreakHyphen/>
      </w:r>
      <w:r w:rsidRPr="003B2E0F">
        <w:rPr>
          <w:bCs/>
          <w:lang w:val="fr-FR"/>
        </w:rPr>
        <w:t>neuf communications avaient été reçues, la plupart avant l</w:t>
      </w:r>
      <w:r w:rsidR="00923E72">
        <w:rPr>
          <w:bCs/>
          <w:lang w:val="fr-FR"/>
        </w:rPr>
        <w:t>’</w:t>
      </w:r>
      <w:r w:rsidRPr="003B2E0F">
        <w:rPr>
          <w:bCs/>
          <w:lang w:val="fr-FR"/>
        </w:rPr>
        <w:t>édition</w:t>
      </w:r>
      <w:r w:rsidR="00246428">
        <w:rPr>
          <w:bCs/>
          <w:lang w:val="fr-FR"/>
        </w:rPr>
        <w:t> </w:t>
      </w:r>
      <w:r w:rsidRPr="003B2E0F">
        <w:rPr>
          <w:bCs/>
          <w:lang w:val="fr-FR"/>
        </w:rPr>
        <w:t xml:space="preserve">2022 de la Ducasse, exprimant toutes de sérieuses inquiétudes </w:t>
      </w:r>
      <w:r w:rsidR="00435E8D">
        <w:rPr>
          <w:bCs/>
          <w:lang w:val="fr-FR"/>
        </w:rPr>
        <w:t xml:space="preserve">quant à </w:t>
      </w:r>
      <w:r w:rsidRPr="003B2E0F">
        <w:rPr>
          <w:bCs/>
          <w:lang w:val="fr-FR"/>
        </w:rPr>
        <w:t>ce personnage décrit comme une manifestation raciste et discriminatoire. Vingt</w:t>
      </w:r>
      <w:r w:rsidR="00250A83">
        <w:rPr>
          <w:bCs/>
          <w:lang w:val="fr-FR"/>
        </w:rPr>
        <w:noBreakHyphen/>
      </w:r>
      <w:r w:rsidRPr="003B2E0F">
        <w:rPr>
          <w:bCs/>
          <w:lang w:val="fr-FR"/>
        </w:rPr>
        <w:t>cinq des vingt</w:t>
      </w:r>
      <w:r w:rsidR="00250A83">
        <w:rPr>
          <w:bCs/>
          <w:lang w:val="fr-FR"/>
        </w:rPr>
        <w:noBreakHyphen/>
      </w:r>
      <w:r w:rsidRPr="003B2E0F">
        <w:rPr>
          <w:bCs/>
          <w:lang w:val="fr-FR"/>
        </w:rPr>
        <w:t>neuf messages reçus demandaient spécifiquement le retrait de la Ducasse d</w:t>
      </w:r>
      <w:r w:rsidR="00923E72">
        <w:rPr>
          <w:bCs/>
          <w:lang w:val="fr-FR"/>
        </w:rPr>
        <w:t>’</w:t>
      </w:r>
      <w:r w:rsidRPr="003B2E0F">
        <w:rPr>
          <w:bCs/>
          <w:lang w:val="fr-FR"/>
        </w:rPr>
        <w:t>Ath de la Liste représentative.</w:t>
      </w:r>
    </w:p>
    <w:p w14:paraId="2FF10F78" w14:textId="33D58E20" w:rsidR="00D004C1" w:rsidRDefault="00D004C1" w:rsidP="00AA7EE4">
      <w:pPr>
        <w:pStyle w:val="Orateurengris"/>
        <w:numPr>
          <w:ilvl w:val="0"/>
          <w:numId w:val="20"/>
        </w:numPr>
        <w:tabs>
          <w:tab w:val="clear" w:pos="567"/>
        </w:tabs>
        <w:spacing w:before="120"/>
        <w:ind w:left="709" w:hanging="709"/>
        <w:rPr>
          <w:bCs/>
          <w:lang w:val="fr-FR"/>
        </w:rPr>
      </w:pPr>
      <w:r w:rsidRPr="00D004C1">
        <w:rPr>
          <w:bCs/>
          <w:lang w:val="fr-FR"/>
        </w:rPr>
        <w:t xml:space="preserve">Le </w:t>
      </w:r>
      <w:r w:rsidRPr="00702497">
        <w:rPr>
          <w:b/>
          <w:lang w:val="fr-FR"/>
        </w:rPr>
        <w:t>Secrétaire</w:t>
      </w:r>
      <w:r w:rsidRPr="00D004C1">
        <w:rPr>
          <w:bCs/>
          <w:lang w:val="fr-FR"/>
        </w:rPr>
        <w:t xml:space="preserve"> a expliqué que le Secrétariat avait transmis la première plainte reçue en août</w:t>
      </w:r>
      <w:r>
        <w:rPr>
          <w:bCs/>
          <w:lang w:val="fr-FR"/>
        </w:rPr>
        <w:t> </w:t>
      </w:r>
      <w:r w:rsidRPr="00D004C1">
        <w:rPr>
          <w:bCs/>
          <w:lang w:val="fr-FR"/>
        </w:rPr>
        <w:t>2019 aux autorités de la Belgique et avait eu plusieurs réunions informelles pour évoquer ces préoccupations. Le Secrétariat avait d</w:t>
      </w:r>
      <w:r w:rsidR="00923E72">
        <w:rPr>
          <w:bCs/>
          <w:lang w:val="fr-FR"/>
        </w:rPr>
        <w:t>’</w:t>
      </w:r>
      <w:r w:rsidRPr="00D004C1">
        <w:rPr>
          <w:bCs/>
          <w:lang w:val="fr-FR"/>
        </w:rPr>
        <w:t>abord porté la question à l</w:t>
      </w:r>
      <w:r w:rsidR="00923E72">
        <w:rPr>
          <w:bCs/>
          <w:lang w:val="fr-FR"/>
        </w:rPr>
        <w:t>’</w:t>
      </w:r>
      <w:r w:rsidRPr="00D004C1">
        <w:rPr>
          <w:bCs/>
          <w:lang w:val="fr-FR"/>
        </w:rPr>
        <w:t>attention du Comité lors de sa quatorzième session en</w:t>
      </w:r>
      <w:r w:rsidR="00AF6B98">
        <w:rPr>
          <w:bCs/>
          <w:lang w:val="fr-FR"/>
        </w:rPr>
        <w:t> </w:t>
      </w:r>
      <w:r w:rsidRPr="00D004C1">
        <w:rPr>
          <w:bCs/>
          <w:lang w:val="fr-FR"/>
        </w:rPr>
        <w:t>2019</w:t>
      </w:r>
      <w:r w:rsidR="00435E8D">
        <w:rPr>
          <w:bCs/>
          <w:lang w:val="fr-FR"/>
        </w:rPr>
        <w:t>,</w:t>
      </w:r>
      <w:r w:rsidRPr="00D004C1">
        <w:rPr>
          <w:bCs/>
          <w:lang w:val="fr-FR"/>
        </w:rPr>
        <w:t xml:space="preserve"> au titre du point</w:t>
      </w:r>
      <w:r w:rsidR="00250A83">
        <w:rPr>
          <w:bCs/>
          <w:lang w:val="fr-FR"/>
        </w:rPr>
        <w:t> </w:t>
      </w:r>
      <w:r w:rsidRPr="00D004C1">
        <w:rPr>
          <w:bCs/>
          <w:lang w:val="fr-FR"/>
        </w:rPr>
        <w:t>14 de l</w:t>
      </w:r>
      <w:r w:rsidR="00923E72">
        <w:rPr>
          <w:bCs/>
          <w:lang w:val="fr-FR"/>
        </w:rPr>
        <w:t>’</w:t>
      </w:r>
      <w:r w:rsidRPr="00D004C1">
        <w:rPr>
          <w:bCs/>
          <w:lang w:val="fr-FR"/>
        </w:rPr>
        <w:t>ordre du jour (</w:t>
      </w:r>
      <w:r w:rsidR="006266C7">
        <w:rPr>
          <w:bCs/>
          <w:lang w:val="fr-FR"/>
        </w:rPr>
        <w:t>a</w:t>
      </w:r>
      <w:r w:rsidRPr="00D004C1">
        <w:rPr>
          <w:bCs/>
          <w:lang w:val="fr-FR"/>
        </w:rPr>
        <w:t>nnexe</w:t>
      </w:r>
      <w:r w:rsidR="00ED0F53">
        <w:rPr>
          <w:bCs/>
          <w:lang w:val="fr-FR"/>
        </w:rPr>
        <w:t> </w:t>
      </w:r>
      <w:r w:rsidRPr="00D004C1">
        <w:rPr>
          <w:bCs/>
          <w:lang w:val="fr-FR"/>
        </w:rPr>
        <w:t>II du document de travail), et le Comité avait pris note de la correspondance reçue sous une forme résumée, comme en témoignait la décision</w:t>
      </w:r>
      <w:r w:rsidR="00250A83">
        <w:rPr>
          <w:bCs/>
          <w:lang w:val="fr-FR"/>
        </w:rPr>
        <w:t> </w:t>
      </w:r>
      <w:hyperlink r:id="rId83" w:history="1">
        <w:r w:rsidRPr="006E3034">
          <w:rPr>
            <w:rStyle w:val="Hyperlink"/>
            <w:bCs/>
            <w:lang w:val="fr-FR"/>
          </w:rPr>
          <w:t>14.COM 14</w:t>
        </w:r>
      </w:hyperlink>
      <w:r w:rsidRPr="00D004C1">
        <w:rPr>
          <w:bCs/>
          <w:lang w:val="fr-FR"/>
        </w:rPr>
        <w:t>. En mars</w:t>
      </w:r>
      <w:r w:rsidR="00ED0F53">
        <w:rPr>
          <w:bCs/>
          <w:lang w:val="fr-FR"/>
        </w:rPr>
        <w:t> </w:t>
      </w:r>
      <w:r w:rsidRPr="00D004C1">
        <w:rPr>
          <w:bCs/>
          <w:lang w:val="fr-FR"/>
        </w:rPr>
        <w:t>2020, en raison de la propagation de la pandémie de COVID</w:t>
      </w:r>
      <w:r w:rsidR="00ED0F53">
        <w:rPr>
          <w:bCs/>
          <w:lang w:val="fr-FR"/>
        </w:rPr>
        <w:noBreakHyphen/>
      </w:r>
      <w:r w:rsidRPr="00D004C1">
        <w:rPr>
          <w:bCs/>
          <w:lang w:val="fr-FR"/>
        </w:rPr>
        <w:t>19, les éditions</w:t>
      </w:r>
      <w:r w:rsidR="00ED0F53">
        <w:rPr>
          <w:bCs/>
          <w:lang w:val="fr-FR"/>
        </w:rPr>
        <w:t> </w:t>
      </w:r>
      <w:r w:rsidRPr="00D004C1">
        <w:rPr>
          <w:bCs/>
          <w:lang w:val="fr-FR"/>
        </w:rPr>
        <w:t>2020 et</w:t>
      </w:r>
      <w:r w:rsidR="00ED0F53">
        <w:rPr>
          <w:bCs/>
          <w:lang w:val="fr-FR"/>
        </w:rPr>
        <w:t> </w:t>
      </w:r>
      <w:r w:rsidRPr="00D004C1">
        <w:rPr>
          <w:bCs/>
          <w:lang w:val="fr-FR"/>
        </w:rPr>
        <w:t xml:space="preserve">2021 de la Ducasse </w:t>
      </w:r>
      <w:r w:rsidR="00ED0F53">
        <w:rPr>
          <w:bCs/>
          <w:lang w:val="fr-FR"/>
        </w:rPr>
        <w:t xml:space="preserve">avaient </w:t>
      </w:r>
      <w:r w:rsidRPr="00D004C1">
        <w:rPr>
          <w:bCs/>
          <w:lang w:val="fr-FR"/>
        </w:rPr>
        <w:t>été annulées. La fête dans la ville d</w:t>
      </w:r>
      <w:r w:rsidR="00923E72">
        <w:rPr>
          <w:bCs/>
          <w:lang w:val="fr-FR"/>
        </w:rPr>
        <w:t>’</w:t>
      </w:r>
      <w:r w:rsidRPr="00D004C1">
        <w:rPr>
          <w:bCs/>
          <w:lang w:val="fr-FR"/>
        </w:rPr>
        <w:t>Ath n</w:t>
      </w:r>
      <w:r w:rsidR="00923E72">
        <w:rPr>
          <w:bCs/>
          <w:lang w:val="fr-FR"/>
        </w:rPr>
        <w:t>’</w:t>
      </w:r>
      <w:r w:rsidRPr="00D004C1">
        <w:rPr>
          <w:bCs/>
          <w:lang w:val="fr-FR"/>
        </w:rPr>
        <w:t>avait repris qu</w:t>
      </w:r>
      <w:r w:rsidR="00923E72">
        <w:rPr>
          <w:bCs/>
          <w:lang w:val="fr-FR"/>
        </w:rPr>
        <w:t>’</w:t>
      </w:r>
      <w:r w:rsidRPr="00D004C1">
        <w:rPr>
          <w:bCs/>
          <w:lang w:val="fr-FR"/>
        </w:rPr>
        <w:t>en</w:t>
      </w:r>
      <w:r w:rsidR="00246428">
        <w:rPr>
          <w:bCs/>
          <w:lang w:val="fr-FR"/>
        </w:rPr>
        <w:t> </w:t>
      </w:r>
      <w:r w:rsidRPr="00D004C1">
        <w:rPr>
          <w:bCs/>
          <w:lang w:val="fr-FR"/>
        </w:rPr>
        <w:t>2022</w:t>
      </w:r>
      <w:r w:rsidR="00250A83">
        <w:rPr>
          <w:bCs/>
          <w:lang w:val="fr-FR"/>
        </w:rPr>
        <w:t>,</w:t>
      </w:r>
      <w:r w:rsidRPr="00D004C1">
        <w:rPr>
          <w:bCs/>
          <w:lang w:val="fr-FR"/>
        </w:rPr>
        <w:t xml:space="preserve"> </w:t>
      </w:r>
      <w:r w:rsidR="00435E8D">
        <w:rPr>
          <w:bCs/>
          <w:lang w:val="fr-FR"/>
        </w:rPr>
        <w:t xml:space="preserve">au moment où </w:t>
      </w:r>
      <w:r w:rsidRPr="00D004C1">
        <w:rPr>
          <w:bCs/>
          <w:lang w:val="fr-FR"/>
        </w:rPr>
        <w:t>le Secrétariat avait reçu un plus grand nombre de lettres. Le Secrétaire a rappelé les principales étapes suivies depuis la série de communications reçues en août</w:t>
      </w:r>
      <w:r w:rsidR="00ED0F53">
        <w:rPr>
          <w:bCs/>
          <w:lang w:val="fr-FR"/>
        </w:rPr>
        <w:t> </w:t>
      </w:r>
      <w:r w:rsidRPr="00D004C1">
        <w:rPr>
          <w:bCs/>
          <w:lang w:val="fr-FR"/>
        </w:rPr>
        <w:t>2022. Conformément aux paragraphes</w:t>
      </w:r>
      <w:r w:rsidR="00ED0F53">
        <w:rPr>
          <w:bCs/>
          <w:lang w:val="fr-FR"/>
        </w:rPr>
        <w:t> </w:t>
      </w:r>
      <w:r w:rsidRPr="00D004C1">
        <w:rPr>
          <w:bCs/>
          <w:lang w:val="fr-FR"/>
        </w:rPr>
        <w:t>40.1</w:t>
      </w:r>
      <w:r w:rsidR="00435E8D">
        <w:rPr>
          <w:bCs/>
          <w:lang w:val="fr-FR"/>
        </w:rPr>
        <w:t xml:space="preserve"> </w:t>
      </w:r>
      <w:r w:rsidRPr="00D004C1">
        <w:rPr>
          <w:bCs/>
          <w:lang w:val="fr-FR"/>
        </w:rPr>
        <w:t>et</w:t>
      </w:r>
      <w:r w:rsidR="00ED0F53">
        <w:rPr>
          <w:bCs/>
          <w:lang w:val="fr-FR"/>
        </w:rPr>
        <w:t> </w:t>
      </w:r>
      <w:r w:rsidRPr="00D004C1">
        <w:rPr>
          <w:bCs/>
          <w:lang w:val="fr-FR"/>
        </w:rPr>
        <w:t>40.2 des Directives opérationnelles, la correspondance reçue avait été transmise à l</w:t>
      </w:r>
      <w:r w:rsidR="00923E72">
        <w:rPr>
          <w:bCs/>
          <w:lang w:val="fr-FR"/>
        </w:rPr>
        <w:t>’</w:t>
      </w:r>
      <w:r w:rsidRPr="00D004C1">
        <w:rPr>
          <w:bCs/>
          <w:lang w:val="fr-FR"/>
        </w:rPr>
        <w:t>État partie de la Belgique le 16</w:t>
      </w:r>
      <w:r w:rsidR="00ED0F53">
        <w:rPr>
          <w:bCs/>
          <w:lang w:val="fr-FR"/>
        </w:rPr>
        <w:t> </w:t>
      </w:r>
      <w:r w:rsidRPr="00D004C1">
        <w:rPr>
          <w:bCs/>
          <w:lang w:val="fr-FR"/>
        </w:rPr>
        <w:t>août</w:t>
      </w:r>
      <w:r w:rsidR="00ED0F53">
        <w:rPr>
          <w:bCs/>
          <w:lang w:val="fr-FR"/>
        </w:rPr>
        <w:t> </w:t>
      </w:r>
      <w:r w:rsidRPr="00D004C1">
        <w:rPr>
          <w:bCs/>
          <w:lang w:val="fr-FR"/>
        </w:rPr>
        <w:t>2022 (avant l</w:t>
      </w:r>
      <w:r w:rsidR="00923E72">
        <w:rPr>
          <w:bCs/>
          <w:lang w:val="fr-FR"/>
        </w:rPr>
        <w:t>’</w:t>
      </w:r>
      <w:r w:rsidRPr="00D004C1">
        <w:rPr>
          <w:bCs/>
          <w:lang w:val="fr-FR"/>
        </w:rPr>
        <w:t>édition de la fête en</w:t>
      </w:r>
      <w:r w:rsidR="00250A83">
        <w:rPr>
          <w:bCs/>
          <w:lang w:val="fr-FR"/>
        </w:rPr>
        <w:t> </w:t>
      </w:r>
      <w:r w:rsidRPr="00D004C1">
        <w:rPr>
          <w:bCs/>
          <w:lang w:val="fr-FR"/>
        </w:rPr>
        <w:t>2022)</w:t>
      </w:r>
      <w:r w:rsidR="00435E8D">
        <w:rPr>
          <w:bCs/>
          <w:lang w:val="fr-FR"/>
        </w:rPr>
        <w:t>,</w:t>
      </w:r>
      <w:r w:rsidRPr="00D004C1">
        <w:rPr>
          <w:bCs/>
          <w:lang w:val="fr-FR"/>
        </w:rPr>
        <w:t xml:space="preserve"> puis le 28</w:t>
      </w:r>
      <w:r w:rsidR="00250A83">
        <w:rPr>
          <w:bCs/>
          <w:lang w:val="fr-FR"/>
        </w:rPr>
        <w:t> </w:t>
      </w:r>
      <w:r w:rsidRPr="00D004C1">
        <w:rPr>
          <w:bCs/>
          <w:lang w:val="fr-FR"/>
        </w:rPr>
        <w:t>septembre</w:t>
      </w:r>
      <w:r w:rsidR="00250A83">
        <w:rPr>
          <w:bCs/>
          <w:lang w:val="fr-FR"/>
        </w:rPr>
        <w:t> </w:t>
      </w:r>
      <w:r w:rsidRPr="00D004C1">
        <w:rPr>
          <w:bCs/>
          <w:lang w:val="fr-FR"/>
        </w:rPr>
        <w:t>2022 (après l</w:t>
      </w:r>
      <w:r w:rsidR="00923E72">
        <w:rPr>
          <w:bCs/>
          <w:lang w:val="fr-FR"/>
        </w:rPr>
        <w:t>’</w:t>
      </w:r>
      <w:r w:rsidRPr="00D004C1">
        <w:rPr>
          <w:bCs/>
          <w:lang w:val="fr-FR"/>
        </w:rPr>
        <w:t>édition de la fête en</w:t>
      </w:r>
      <w:r w:rsidR="00250A83">
        <w:rPr>
          <w:bCs/>
          <w:lang w:val="fr-FR"/>
        </w:rPr>
        <w:t> </w:t>
      </w:r>
      <w:r w:rsidRPr="00D004C1">
        <w:rPr>
          <w:bCs/>
          <w:lang w:val="fr-FR"/>
        </w:rPr>
        <w:t xml:space="preserve">2022). En outre, le Secrétariat avait recueilli des informations </w:t>
      </w:r>
      <w:r w:rsidR="00B72D40">
        <w:rPr>
          <w:bCs/>
          <w:lang w:val="fr-FR"/>
        </w:rPr>
        <w:t xml:space="preserve">dans le cadre </w:t>
      </w:r>
      <w:r w:rsidRPr="00D004C1">
        <w:rPr>
          <w:bCs/>
          <w:lang w:val="fr-FR"/>
        </w:rPr>
        <w:t>de réunions informelles</w:t>
      </w:r>
      <w:r w:rsidR="00FC57E6">
        <w:rPr>
          <w:bCs/>
          <w:lang w:val="fr-FR"/>
        </w:rPr>
        <w:t xml:space="preserve"> </w:t>
      </w:r>
      <w:r w:rsidRPr="00D004C1">
        <w:rPr>
          <w:bCs/>
          <w:lang w:val="fr-FR"/>
        </w:rPr>
        <w:t>ainsi que par de</w:t>
      </w:r>
      <w:r w:rsidR="00B72D40">
        <w:rPr>
          <w:bCs/>
          <w:lang w:val="fr-FR"/>
        </w:rPr>
        <w:t>s</w:t>
      </w:r>
      <w:r w:rsidRPr="00D004C1">
        <w:rPr>
          <w:bCs/>
          <w:lang w:val="fr-FR"/>
        </w:rPr>
        <w:t xml:space="preserve"> recherches en ligne </w:t>
      </w:r>
      <w:r w:rsidR="00B72D40">
        <w:rPr>
          <w:bCs/>
          <w:lang w:val="fr-FR"/>
        </w:rPr>
        <w:t xml:space="preserve">dans les </w:t>
      </w:r>
      <w:r w:rsidRPr="00D004C1">
        <w:rPr>
          <w:bCs/>
          <w:lang w:val="fr-FR"/>
        </w:rPr>
        <w:t>média</w:t>
      </w:r>
      <w:r w:rsidR="00B72D40">
        <w:rPr>
          <w:bCs/>
          <w:lang w:val="fr-FR"/>
        </w:rPr>
        <w:t>s</w:t>
      </w:r>
      <w:r w:rsidRPr="00D004C1">
        <w:rPr>
          <w:bCs/>
          <w:lang w:val="fr-FR"/>
        </w:rPr>
        <w:t xml:space="preserve"> et sur le site web officiel de la Ducasse d</w:t>
      </w:r>
      <w:r w:rsidR="00923E72">
        <w:rPr>
          <w:bCs/>
          <w:lang w:val="fr-FR"/>
        </w:rPr>
        <w:t>’</w:t>
      </w:r>
      <w:r w:rsidRPr="00D004C1">
        <w:rPr>
          <w:bCs/>
          <w:lang w:val="fr-FR"/>
        </w:rPr>
        <w:t>Ath elle-même. En réponse au premier lot de communications transmises par le Secrétariat, la Belgique avait répondu par une lettre le 14</w:t>
      </w:r>
      <w:r w:rsidR="00B72D40">
        <w:rPr>
          <w:bCs/>
          <w:lang w:val="fr-FR"/>
        </w:rPr>
        <w:t> </w:t>
      </w:r>
      <w:r w:rsidRPr="00D004C1">
        <w:rPr>
          <w:bCs/>
          <w:lang w:val="fr-FR"/>
        </w:rPr>
        <w:t>septembre</w:t>
      </w:r>
      <w:r w:rsidR="00B72D40">
        <w:rPr>
          <w:bCs/>
          <w:lang w:val="fr-FR"/>
        </w:rPr>
        <w:t> </w:t>
      </w:r>
      <w:r w:rsidRPr="00D004C1">
        <w:rPr>
          <w:bCs/>
          <w:lang w:val="fr-FR"/>
        </w:rPr>
        <w:t>2022 condamnant fermement le racisme sous toutes ses formes (</w:t>
      </w:r>
      <w:r w:rsidR="006266C7">
        <w:rPr>
          <w:bCs/>
          <w:lang w:val="fr-FR"/>
        </w:rPr>
        <w:t>a</w:t>
      </w:r>
      <w:r w:rsidRPr="00D004C1">
        <w:rPr>
          <w:bCs/>
          <w:lang w:val="fr-FR"/>
        </w:rPr>
        <w:t>nnexe</w:t>
      </w:r>
      <w:r w:rsidR="00DB6A4B">
        <w:rPr>
          <w:bCs/>
          <w:lang w:val="fr-FR"/>
        </w:rPr>
        <w:t> </w:t>
      </w:r>
      <w:r w:rsidRPr="00D004C1">
        <w:rPr>
          <w:bCs/>
          <w:lang w:val="fr-FR"/>
        </w:rPr>
        <w:t xml:space="preserve">II du document de travail). La lettre décrivait les actions entreprises par la Communauté </w:t>
      </w:r>
      <w:r w:rsidR="009D78B0">
        <w:rPr>
          <w:bCs/>
          <w:lang w:val="fr-FR"/>
        </w:rPr>
        <w:t xml:space="preserve">française </w:t>
      </w:r>
      <w:r w:rsidRPr="00D004C1">
        <w:rPr>
          <w:bCs/>
          <w:lang w:val="fr-FR"/>
        </w:rPr>
        <w:t>de Belgique, les autorités communales d</w:t>
      </w:r>
      <w:r w:rsidR="00923E72">
        <w:rPr>
          <w:bCs/>
          <w:lang w:val="fr-FR"/>
        </w:rPr>
        <w:t>’</w:t>
      </w:r>
      <w:r w:rsidRPr="00D004C1">
        <w:rPr>
          <w:bCs/>
          <w:lang w:val="fr-FR"/>
        </w:rPr>
        <w:t>Ath et la communauté elle-même. Il s</w:t>
      </w:r>
      <w:r w:rsidR="00923E72">
        <w:rPr>
          <w:bCs/>
          <w:lang w:val="fr-FR"/>
        </w:rPr>
        <w:t>’</w:t>
      </w:r>
      <w:r w:rsidRPr="00D004C1">
        <w:rPr>
          <w:bCs/>
          <w:lang w:val="fr-FR"/>
        </w:rPr>
        <w:t>agis</w:t>
      </w:r>
      <w:r w:rsidR="00B72D40">
        <w:rPr>
          <w:bCs/>
          <w:lang w:val="fr-FR"/>
        </w:rPr>
        <w:t>s</w:t>
      </w:r>
      <w:r w:rsidRPr="00D004C1">
        <w:rPr>
          <w:bCs/>
          <w:lang w:val="fr-FR"/>
        </w:rPr>
        <w:t>ait notamment d</w:t>
      </w:r>
      <w:r w:rsidR="00923E72">
        <w:rPr>
          <w:bCs/>
          <w:lang w:val="fr-FR"/>
        </w:rPr>
        <w:t>’</w:t>
      </w:r>
      <w:r w:rsidRPr="00D004C1">
        <w:rPr>
          <w:bCs/>
          <w:lang w:val="fr-FR"/>
        </w:rPr>
        <w:t>un processus de consultation engagé en</w:t>
      </w:r>
      <w:r w:rsidR="00AF6B98">
        <w:rPr>
          <w:bCs/>
          <w:lang w:val="fr-FR"/>
        </w:rPr>
        <w:t> </w:t>
      </w:r>
      <w:r w:rsidRPr="00D004C1">
        <w:rPr>
          <w:bCs/>
          <w:lang w:val="fr-FR"/>
        </w:rPr>
        <w:t>2019, dont les résultats avaient été repris dans le communiqué de presse publié par le site officiel de la Ducasse d</w:t>
      </w:r>
      <w:r w:rsidR="00923E72">
        <w:rPr>
          <w:bCs/>
          <w:lang w:val="fr-FR"/>
        </w:rPr>
        <w:t>’</w:t>
      </w:r>
      <w:r w:rsidRPr="00D004C1">
        <w:rPr>
          <w:bCs/>
          <w:lang w:val="fr-FR"/>
        </w:rPr>
        <w:t>Ath le 24</w:t>
      </w:r>
      <w:r w:rsidR="00B72D40">
        <w:rPr>
          <w:bCs/>
          <w:lang w:val="fr-FR"/>
        </w:rPr>
        <w:t> </w:t>
      </w:r>
      <w:r w:rsidRPr="00D004C1">
        <w:rPr>
          <w:bCs/>
          <w:lang w:val="fr-FR"/>
        </w:rPr>
        <w:t>août</w:t>
      </w:r>
      <w:r w:rsidR="00B72D40">
        <w:rPr>
          <w:bCs/>
          <w:lang w:val="fr-FR"/>
        </w:rPr>
        <w:t> </w:t>
      </w:r>
      <w:r w:rsidRPr="00D004C1">
        <w:rPr>
          <w:bCs/>
          <w:lang w:val="fr-FR"/>
        </w:rPr>
        <w:t>2022. Pour l</w:t>
      </w:r>
      <w:r w:rsidR="00923E72">
        <w:rPr>
          <w:bCs/>
          <w:lang w:val="fr-FR"/>
        </w:rPr>
        <w:t>’</w:t>
      </w:r>
      <w:r w:rsidRPr="00D004C1">
        <w:rPr>
          <w:bCs/>
          <w:lang w:val="fr-FR"/>
        </w:rPr>
        <w:t>édition</w:t>
      </w:r>
      <w:r w:rsidR="00AF6B98">
        <w:rPr>
          <w:bCs/>
          <w:lang w:val="fr-FR"/>
        </w:rPr>
        <w:t> </w:t>
      </w:r>
      <w:r w:rsidRPr="00D004C1">
        <w:rPr>
          <w:bCs/>
          <w:lang w:val="fr-FR"/>
        </w:rPr>
        <w:t xml:space="preserve">2022 de </w:t>
      </w:r>
      <w:r w:rsidRPr="00D004C1">
        <w:rPr>
          <w:bCs/>
          <w:lang w:val="fr-FR"/>
        </w:rPr>
        <w:lastRenderedPageBreak/>
        <w:t>la fête, la ville d</w:t>
      </w:r>
      <w:r w:rsidR="00923E72">
        <w:rPr>
          <w:bCs/>
          <w:lang w:val="fr-FR"/>
        </w:rPr>
        <w:t>’</w:t>
      </w:r>
      <w:r w:rsidRPr="00D004C1">
        <w:rPr>
          <w:bCs/>
          <w:lang w:val="fr-FR"/>
        </w:rPr>
        <w:t xml:space="preserve">Ath avait néanmoins décidé de maintenir le personnage du </w:t>
      </w:r>
      <w:r w:rsidR="00B72D40">
        <w:rPr>
          <w:bCs/>
          <w:lang w:val="fr-FR"/>
        </w:rPr>
        <w:t>« </w:t>
      </w:r>
      <w:r w:rsidRPr="00D004C1">
        <w:rPr>
          <w:bCs/>
          <w:lang w:val="fr-FR"/>
        </w:rPr>
        <w:t>Sauvage</w:t>
      </w:r>
      <w:r w:rsidR="00B72D40">
        <w:rPr>
          <w:bCs/>
          <w:lang w:val="fr-FR"/>
        </w:rPr>
        <w:t> »</w:t>
      </w:r>
      <w:r w:rsidR="001343EA">
        <w:rPr>
          <w:bCs/>
          <w:lang w:val="fr-FR"/>
        </w:rPr>
        <w:t>,</w:t>
      </w:r>
      <w:r w:rsidRPr="00D004C1">
        <w:rPr>
          <w:bCs/>
          <w:lang w:val="fr-FR"/>
        </w:rPr>
        <w:t xml:space="preserve"> bien qu</w:t>
      </w:r>
      <w:r w:rsidR="00923E72">
        <w:rPr>
          <w:bCs/>
          <w:lang w:val="fr-FR"/>
        </w:rPr>
        <w:t>’</w:t>
      </w:r>
      <w:r w:rsidRPr="00D004C1">
        <w:rPr>
          <w:bCs/>
          <w:lang w:val="fr-FR"/>
        </w:rPr>
        <w:t xml:space="preserve">une petite modification </w:t>
      </w:r>
      <w:r w:rsidR="001343EA">
        <w:rPr>
          <w:bCs/>
          <w:lang w:val="fr-FR"/>
        </w:rPr>
        <w:t xml:space="preserve">ait été apportée au </w:t>
      </w:r>
      <w:r w:rsidRPr="00D004C1">
        <w:rPr>
          <w:bCs/>
          <w:lang w:val="fr-FR"/>
        </w:rPr>
        <w:t>personnage et que quelques attributs aient été enlevés lors du cortège.</w:t>
      </w:r>
    </w:p>
    <w:p w14:paraId="7FCE0BC8" w14:textId="0AE72DEA" w:rsidR="001343EA" w:rsidRDefault="001343EA" w:rsidP="00AA7EE4">
      <w:pPr>
        <w:pStyle w:val="Orateurengris"/>
        <w:numPr>
          <w:ilvl w:val="0"/>
          <w:numId w:val="20"/>
        </w:numPr>
        <w:tabs>
          <w:tab w:val="clear" w:pos="567"/>
        </w:tabs>
        <w:spacing w:before="120"/>
        <w:ind w:left="709" w:hanging="709"/>
        <w:rPr>
          <w:bCs/>
          <w:lang w:val="fr-FR"/>
        </w:rPr>
      </w:pPr>
      <w:r w:rsidRPr="001343EA">
        <w:rPr>
          <w:bCs/>
          <w:lang w:val="fr-FR"/>
        </w:rPr>
        <w:t xml:space="preserve">Le </w:t>
      </w:r>
      <w:r w:rsidRPr="00702497">
        <w:rPr>
          <w:b/>
          <w:lang w:val="fr-FR"/>
        </w:rPr>
        <w:t>Secrétaire</w:t>
      </w:r>
      <w:r w:rsidRPr="001343EA">
        <w:rPr>
          <w:bCs/>
          <w:lang w:val="fr-FR"/>
        </w:rPr>
        <w:t xml:space="preserve"> a en outre expliqué que le Secrétariat avait porté la question à l</w:t>
      </w:r>
      <w:r w:rsidR="00923E72">
        <w:rPr>
          <w:bCs/>
          <w:lang w:val="fr-FR"/>
        </w:rPr>
        <w:t>’</w:t>
      </w:r>
      <w:r w:rsidRPr="001343EA">
        <w:rPr>
          <w:bCs/>
          <w:lang w:val="fr-FR"/>
        </w:rPr>
        <w:t>attention du Bureau du Comité lors de sa cinquième réunion, le 4</w:t>
      </w:r>
      <w:r>
        <w:rPr>
          <w:bCs/>
          <w:lang w:val="fr-FR"/>
        </w:rPr>
        <w:t> </w:t>
      </w:r>
      <w:r w:rsidRPr="001343EA">
        <w:rPr>
          <w:bCs/>
          <w:lang w:val="fr-FR"/>
        </w:rPr>
        <w:t>octobre</w:t>
      </w:r>
      <w:r>
        <w:rPr>
          <w:bCs/>
          <w:lang w:val="fr-FR"/>
        </w:rPr>
        <w:t> </w:t>
      </w:r>
      <w:r w:rsidRPr="001343EA">
        <w:rPr>
          <w:bCs/>
          <w:lang w:val="fr-FR"/>
        </w:rPr>
        <w:t>2022, et que le Bureau avait alors décidé que le cas nécessitait l</w:t>
      </w:r>
      <w:r w:rsidR="00923E72">
        <w:rPr>
          <w:bCs/>
          <w:lang w:val="fr-FR"/>
        </w:rPr>
        <w:t>’</w:t>
      </w:r>
      <w:r w:rsidRPr="001343EA">
        <w:rPr>
          <w:bCs/>
          <w:lang w:val="fr-FR"/>
        </w:rPr>
        <w:t>attention du Comité compte tenu de la gravité des questions soulevées. Le Bureau avait alors décidé de porter les demandes de retrait à l</w:t>
      </w:r>
      <w:r w:rsidR="00923E72">
        <w:rPr>
          <w:bCs/>
          <w:lang w:val="fr-FR"/>
        </w:rPr>
        <w:t>’</w:t>
      </w:r>
      <w:r w:rsidRPr="001343EA">
        <w:rPr>
          <w:bCs/>
          <w:lang w:val="fr-FR"/>
        </w:rPr>
        <w:t>attention de la présente session. Les nouvelles dispositions prévoyaient deux procédures pour le retrait d</w:t>
      </w:r>
      <w:r w:rsidR="00923E72">
        <w:rPr>
          <w:bCs/>
          <w:lang w:val="fr-FR"/>
        </w:rPr>
        <w:t>’</w:t>
      </w:r>
      <w:r w:rsidRPr="001343EA">
        <w:rPr>
          <w:bCs/>
          <w:lang w:val="fr-FR"/>
        </w:rPr>
        <w:t>un élément : l</w:t>
      </w:r>
      <w:r w:rsidR="00923E72">
        <w:rPr>
          <w:bCs/>
          <w:lang w:val="fr-FR"/>
        </w:rPr>
        <w:t>’</w:t>
      </w:r>
      <w:r w:rsidRPr="001343EA">
        <w:rPr>
          <w:bCs/>
          <w:lang w:val="fr-FR"/>
        </w:rPr>
        <w:t>une pour les cas présentés par l</w:t>
      </w:r>
      <w:r w:rsidR="00923E72">
        <w:rPr>
          <w:bCs/>
          <w:lang w:val="fr-FR"/>
        </w:rPr>
        <w:t>’</w:t>
      </w:r>
      <w:r w:rsidRPr="001343EA">
        <w:rPr>
          <w:bCs/>
          <w:lang w:val="fr-FR"/>
        </w:rPr>
        <w:t>État partie concerné</w:t>
      </w:r>
      <w:r w:rsidR="00435E8D">
        <w:rPr>
          <w:bCs/>
          <w:lang w:val="fr-FR"/>
        </w:rPr>
        <w:t> ;</w:t>
      </w:r>
      <w:r w:rsidRPr="001343EA">
        <w:rPr>
          <w:bCs/>
          <w:lang w:val="fr-FR"/>
        </w:rPr>
        <w:t xml:space="preserve"> et l</w:t>
      </w:r>
      <w:r w:rsidR="00923E72">
        <w:rPr>
          <w:bCs/>
          <w:lang w:val="fr-FR"/>
        </w:rPr>
        <w:t>’</w:t>
      </w:r>
      <w:r w:rsidRPr="001343EA">
        <w:rPr>
          <w:bCs/>
          <w:lang w:val="fr-FR"/>
        </w:rPr>
        <w:t xml:space="preserve">autre pour les cas où la demande émane de toute autre partie. Le cas présent relevant de la seconde catégorie, le Comité, </w:t>
      </w:r>
      <w:r w:rsidR="00D4224E">
        <w:rPr>
          <w:bCs/>
          <w:lang w:val="fr-FR"/>
        </w:rPr>
        <w:t xml:space="preserve">à cette </w:t>
      </w:r>
      <w:r w:rsidRPr="001343EA">
        <w:rPr>
          <w:bCs/>
          <w:lang w:val="fr-FR"/>
        </w:rPr>
        <w:t>session, se voyait présenter deux options, décrites au paragraphe</w:t>
      </w:r>
      <w:r w:rsidR="008F5CA2">
        <w:rPr>
          <w:bCs/>
          <w:lang w:val="fr-FR"/>
        </w:rPr>
        <w:t> </w:t>
      </w:r>
      <w:r w:rsidRPr="001343EA">
        <w:rPr>
          <w:bCs/>
          <w:lang w:val="fr-FR"/>
        </w:rPr>
        <w:t>40.2</w:t>
      </w:r>
      <w:r w:rsidR="00D4224E">
        <w:rPr>
          <w:bCs/>
          <w:lang w:val="fr-FR"/>
        </w:rPr>
        <w:t> </w:t>
      </w:r>
      <w:r w:rsidRPr="001343EA">
        <w:rPr>
          <w:bCs/>
          <w:lang w:val="fr-FR"/>
        </w:rPr>
        <w:t>(e)</w:t>
      </w:r>
      <w:r w:rsidR="00D4224E">
        <w:rPr>
          <w:bCs/>
          <w:lang w:val="fr-FR"/>
        </w:rPr>
        <w:t> </w:t>
      </w:r>
      <w:r w:rsidRPr="001343EA">
        <w:rPr>
          <w:bCs/>
          <w:lang w:val="fr-FR"/>
        </w:rPr>
        <w:t>(ii) des Directives opérationnelles</w:t>
      </w:r>
      <w:r w:rsidR="00435E8D">
        <w:rPr>
          <w:bCs/>
          <w:lang w:val="fr-FR"/>
        </w:rPr>
        <w:t> </w:t>
      </w:r>
      <w:r w:rsidRPr="001343EA">
        <w:rPr>
          <w:bCs/>
          <w:lang w:val="fr-FR"/>
        </w:rPr>
        <w:t>: i)</w:t>
      </w:r>
      <w:r w:rsidR="00435E8D">
        <w:rPr>
          <w:bCs/>
          <w:lang w:val="fr-FR"/>
        </w:rPr>
        <w:t> </w:t>
      </w:r>
      <w:r w:rsidRPr="001343EA">
        <w:rPr>
          <w:bCs/>
          <w:lang w:val="fr-FR"/>
        </w:rPr>
        <w:t>maintenir l</w:t>
      </w:r>
      <w:r w:rsidR="00923E72">
        <w:rPr>
          <w:bCs/>
          <w:lang w:val="fr-FR"/>
        </w:rPr>
        <w:t>’</w:t>
      </w:r>
      <w:r w:rsidRPr="001343EA">
        <w:rPr>
          <w:bCs/>
          <w:lang w:val="fr-FR"/>
        </w:rPr>
        <w:t xml:space="preserve">élément sur la </w:t>
      </w:r>
      <w:r w:rsidR="00D4224E">
        <w:rPr>
          <w:bCs/>
          <w:lang w:val="fr-FR"/>
        </w:rPr>
        <w:t>l</w:t>
      </w:r>
      <w:r w:rsidRPr="001343EA">
        <w:rPr>
          <w:bCs/>
          <w:lang w:val="fr-FR"/>
        </w:rPr>
        <w:t>iste</w:t>
      </w:r>
      <w:r w:rsidR="00435E8D">
        <w:rPr>
          <w:bCs/>
          <w:lang w:val="fr-FR"/>
        </w:rPr>
        <w:t> ;</w:t>
      </w:r>
      <w:r w:rsidRPr="001343EA">
        <w:rPr>
          <w:bCs/>
          <w:lang w:val="fr-FR"/>
        </w:rPr>
        <w:t xml:space="preserve"> ou ii)</w:t>
      </w:r>
      <w:r w:rsidR="00435E8D">
        <w:rPr>
          <w:bCs/>
          <w:lang w:val="fr-FR"/>
        </w:rPr>
        <w:t> </w:t>
      </w:r>
      <w:r w:rsidRPr="001343EA">
        <w:rPr>
          <w:bCs/>
          <w:lang w:val="fr-FR"/>
        </w:rPr>
        <w:t xml:space="preserve">le placer sous </w:t>
      </w:r>
      <w:r w:rsidR="00D4224E">
        <w:rPr>
          <w:bCs/>
          <w:lang w:val="fr-FR"/>
        </w:rPr>
        <w:t>le</w:t>
      </w:r>
      <w:r w:rsidRPr="001343EA">
        <w:rPr>
          <w:bCs/>
          <w:lang w:val="fr-FR"/>
        </w:rPr>
        <w:t xml:space="preserve"> statut de </w:t>
      </w:r>
      <w:r w:rsidR="00D4224E">
        <w:rPr>
          <w:bCs/>
          <w:lang w:val="fr-FR"/>
        </w:rPr>
        <w:t>« </w:t>
      </w:r>
      <w:r w:rsidRPr="001343EA">
        <w:rPr>
          <w:bCs/>
          <w:lang w:val="fr-FR"/>
        </w:rPr>
        <w:t>suivi</w:t>
      </w:r>
      <w:r w:rsidR="00D4224E">
        <w:rPr>
          <w:bCs/>
          <w:lang w:val="fr-FR"/>
        </w:rPr>
        <w:t xml:space="preserve"> approfondi »</w:t>
      </w:r>
      <w:r w:rsidRPr="001343EA">
        <w:rPr>
          <w:bCs/>
          <w:lang w:val="fr-FR"/>
        </w:rPr>
        <w:t xml:space="preserve">. Compte tenu de ces considérations, le Comité pourrait souhaiter faire usage des dispositions nouvellement adoptées pour un suivi </w:t>
      </w:r>
      <w:r w:rsidR="00D4224E">
        <w:rPr>
          <w:bCs/>
          <w:lang w:val="fr-FR"/>
        </w:rPr>
        <w:t xml:space="preserve">approfondi </w:t>
      </w:r>
      <w:r w:rsidRPr="001343EA">
        <w:rPr>
          <w:bCs/>
          <w:lang w:val="fr-FR"/>
        </w:rPr>
        <w:t>afin d</w:t>
      </w:r>
      <w:r w:rsidR="00923E72">
        <w:rPr>
          <w:bCs/>
          <w:lang w:val="fr-FR"/>
        </w:rPr>
        <w:t>’</w:t>
      </w:r>
      <w:r w:rsidRPr="001343EA">
        <w:rPr>
          <w:bCs/>
          <w:lang w:val="fr-FR"/>
        </w:rPr>
        <w:t>obtenir des informations supplémentaires avant de décider si la Ducasse d</w:t>
      </w:r>
      <w:r w:rsidR="00923E72">
        <w:rPr>
          <w:bCs/>
          <w:lang w:val="fr-FR"/>
        </w:rPr>
        <w:t>’</w:t>
      </w:r>
      <w:r w:rsidRPr="001343EA">
        <w:rPr>
          <w:bCs/>
          <w:lang w:val="fr-FR"/>
        </w:rPr>
        <w:t>Ath devait être maintenue ou non sur la Liste représentative. Si le Comité décidait de placer l</w:t>
      </w:r>
      <w:r w:rsidR="00923E72">
        <w:rPr>
          <w:bCs/>
          <w:lang w:val="fr-FR"/>
        </w:rPr>
        <w:t>’</w:t>
      </w:r>
      <w:r w:rsidRPr="001343EA">
        <w:rPr>
          <w:bCs/>
          <w:lang w:val="fr-FR"/>
        </w:rPr>
        <w:t xml:space="preserve">élément sous </w:t>
      </w:r>
      <w:r w:rsidR="00D4224E">
        <w:rPr>
          <w:bCs/>
          <w:lang w:val="fr-FR"/>
        </w:rPr>
        <w:t xml:space="preserve">le statut de </w:t>
      </w:r>
      <w:r w:rsidRPr="001343EA">
        <w:rPr>
          <w:bCs/>
          <w:lang w:val="fr-FR"/>
        </w:rPr>
        <w:t>suivi</w:t>
      </w:r>
      <w:r w:rsidR="00D4224E">
        <w:rPr>
          <w:bCs/>
          <w:lang w:val="fr-FR"/>
        </w:rPr>
        <w:t xml:space="preserve"> approfondi</w:t>
      </w:r>
      <w:r w:rsidRPr="001343EA">
        <w:rPr>
          <w:bCs/>
          <w:lang w:val="fr-FR"/>
        </w:rPr>
        <w:t>, il était proposé que la question soit soumise au Comité lors de sa prochaine session afin qu</w:t>
      </w:r>
      <w:r w:rsidR="00923E72">
        <w:rPr>
          <w:bCs/>
          <w:lang w:val="fr-FR"/>
        </w:rPr>
        <w:t>’</w:t>
      </w:r>
      <w:r w:rsidRPr="001343EA">
        <w:rPr>
          <w:bCs/>
          <w:lang w:val="fr-FR"/>
        </w:rPr>
        <w:t>il décide de maintenir ou de retirer la Ducasse d</w:t>
      </w:r>
      <w:r w:rsidR="00923E72">
        <w:rPr>
          <w:bCs/>
          <w:lang w:val="fr-FR"/>
        </w:rPr>
        <w:t>’</w:t>
      </w:r>
      <w:r w:rsidRPr="001343EA">
        <w:rPr>
          <w:bCs/>
          <w:lang w:val="fr-FR"/>
        </w:rPr>
        <w:t>Ath de la Liste. Le Comité pou</w:t>
      </w:r>
      <w:r w:rsidR="001D2261">
        <w:rPr>
          <w:bCs/>
          <w:lang w:val="fr-FR"/>
        </w:rPr>
        <w:t>rr</w:t>
      </w:r>
      <w:r w:rsidRPr="001343EA">
        <w:rPr>
          <w:bCs/>
          <w:lang w:val="fr-FR"/>
        </w:rPr>
        <w:t>ait également décider, en vertu des nouvelles dispositions, d</w:t>
      </w:r>
      <w:r w:rsidR="00923E72">
        <w:rPr>
          <w:bCs/>
          <w:lang w:val="fr-FR"/>
        </w:rPr>
        <w:t>’</w:t>
      </w:r>
      <w:r w:rsidRPr="001343EA">
        <w:rPr>
          <w:bCs/>
          <w:lang w:val="fr-FR"/>
        </w:rPr>
        <w:t>un cycle supplémentaire de suivi</w:t>
      </w:r>
      <w:r w:rsidR="00A25E92">
        <w:rPr>
          <w:bCs/>
          <w:lang w:val="fr-FR"/>
        </w:rPr>
        <w:t xml:space="preserve"> approfondi</w:t>
      </w:r>
      <w:r w:rsidRPr="001343EA">
        <w:rPr>
          <w:bCs/>
          <w:lang w:val="fr-FR"/>
        </w:rPr>
        <w:t>.</w:t>
      </w:r>
    </w:p>
    <w:p w14:paraId="0742F53F" w14:textId="0EFDC8A8" w:rsidR="00A25E92" w:rsidRDefault="00A25E92" w:rsidP="00AA7EE4">
      <w:pPr>
        <w:pStyle w:val="Orateurengris"/>
        <w:numPr>
          <w:ilvl w:val="0"/>
          <w:numId w:val="20"/>
        </w:numPr>
        <w:tabs>
          <w:tab w:val="clear" w:pos="567"/>
        </w:tabs>
        <w:spacing w:before="120"/>
        <w:ind w:left="709" w:hanging="709"/>
        <w:rPr>
          <w:bCs/>
          <w:lang w:val="fr-FR"/>
        </w:rPr>
      </w:pPr>
      <w:r w:rsidRPr="00A25E92">
        <w:rPr>
          <w:bCs/>
          <w:lang w:val="fr-FR"/>
        </w:rPr>
        <w:t xml:space="preserve">Le </w:t>
      </w:r>
      <w:r w:rsidRPr="00702497">
        <w:rPr>
          <w:b/>
          <w:lang w:val="fr-FR"/>
        </w:rPr>
        <w:t>Secrétaire</w:t>
      </w:r>
      <w:r w:rsidRPr="00A25E92">
        <w:rPr>
          <w:bCs/>
          <w:lang w:val="fr-FR"/>
        </w:rPr>
        <w:t xml:space="preserve"> a présenté la deuxième partie, la partie B, de ce point concernant d</w:t>
      </w:r>
      <w:r w:rsidR="00923E72">
        <w:rPr>
          <w:bCs/>
          <w:lang w:val="fr-FR"/>
        </w:rPr>
        <w:t>’</w:t>
      </w:r>
      <w:r w:rsidRPr="00A25E92">
        <w:rPr>
          <w:bCs/>
          <w:lang w:val="fr-FR"/>
        </w:rPr>
        <w:t>autres correspondances reçues par le Secrétariat pendant la période concernée, car il était demandé au Secrétariat de porter à l</w:t>
      </w:r>
      <w:r w:rsidR="00923E72">
        <w:rPr>
          <w:bCs/>
          <w:lang w:val="fr-FR"/>
        </w:rPr>
        <w:t>’</w:t>
      </w:r>
      <w:r w:rsidRPr="00A25E92">
        <w:rPr>
          <w:bCs/>
          <w:lang w:val="fr-FR"/>
        </w:rPr>
        <w:t xml:space="preserve">attention du Comité les informations </w:t>
      </w:r>
      <w:r w:rsidR="00522D0E">
        <w:rPr>
          <w:bCs/>
          <w:lang w:val="fr-FR"/>
        </w:rPr>
        <w:t xml:space="preserve">reçues </w:t>
      </w:r>
      <w:r w:rsidRPr="00A25E92">
        <w:rPr>
          <w:bCs/>
          <w:lang w:val="fr-FR"/>
        </w:rPr>
        <w:t>de tiers sur des éléments déjà inscrits et des candidatures, et de le faire sous la forme d</w:t>
      </w:r>
      <w:r w:rsidR="00923E72">
        <w:rPr>
          <w:bCs/>
          <w:lang w:val="fr-FR"/>
        </w:rPr>
        <w:t>’</w:t>
      </w:r>
      <w:r w:rsidRPr="00A25E92">
        <w:rPr>
          <w:bCs/>
          <w:lang w:val="fr-FR"/>
        </w:rPr>
        <w:t>un résumé à inclure dans un document de travail (</w:t>
      </w:r>
      <w:r>
        <w:rPr>
          <w:bCs/>
          <w:lang w:val="fr-FR"/>
        </w:rPr>
        <w:t>d</w:t>
      </w:r>
      <w:r w:rsidRPr="00A25E92">
        <w:rPr>
          <w:bCs/>
          <w:lang w:val="fr-FR"/>
        </w:rPr>
        <w:t>écisions</w:t>
      </w:r>
      <w:r w:rsidR="009A34A8">
        <w:rPr>
          <w:bCs/>
          <w:lang w:val="fr-FR"/>
        </w:rPr>
        <w:t> </w:t>
      </w:r>
      <w:hyperlink r:id="rId84" w:history="1">
        <w:r w:rsidRPr="006E3034">
          <w:rPr>
            <w:rStyle w:val="Hyperlink"/>
            <w:bCs/>
            <w:lang w:val="fr-FR"/>
          </w:rPr>
          <w:t>13.COM</w:t>
        </w:r>
        <w:r w:rsidR="00250A83" w:rsidRPr="006E3034">
          <w:rPr>
            <w:rStyle w:val="Hyperlink"/>
            <w:bCs/>
            <w:lang w:val="fr-FR"/>
          </w:rPr>
          <w:t> </w:t>
        </w:r>
        <w:r w:rsidRPr="006E3034">
          <w:rPr>
            <w:rStyle w:val="Hyperlink"/>
            <w:bCs/>
            <w:lang w:val="fr-FR"/>
          </w:rPr>
          <w:t>9</w:t>
        </w:r>
      </w:hyperlink>
      <w:r w:rsidRPr="00A25E92">
        <w:rPr>
          <w:bCs/>
          <w:lang w:val="fr-FR"/>
        </w:rPr>
        <w:t>,</w:t>
      </w:r>
      <w:r w:rsidR="009A34A8">
        <w:rPr>
          <w:bCs/>
          <w:lang w:val="fr-FR"/>
        </w:rPr>
        <w:t> </w:t>
      </w:r>
      <w:hyperlink r:id="rId85" w:history="1">
        <w:r w:rsidRPr="006E3034">
          <w:rPr>
            <w:rStyle w:val="Hyperlink"/>
            <w:bCs/>
            <w:lang w:val="fr-FR"/>
          </w:rPr>
          <w:t>14.COM</w:t>
        </w:r>
        <w:r w:rsidR="00250A83" w:rsidRPr="006E3034">
          <w:rPr>
            <w:rStyle w:val="Hyperlink"/>
            <w:bCs/>
            <w:lang w:val="fr-FR"/>
          </w:rPr>
          <w:t> </w:t>
        </w:r>
        <w:r w:rsidRPr="006E3034">
          <w:rPr>
            <w:rStyle w:val="Hyperlink"/>
            <w:bCs/>
            <w:lang w:val="fr-FR"/>
          </w:rPr>
          <w:t>14</w:t>
        </w:r>
      </w:hyperlink>
      <w:r w:rsidRPr="006E3034">
        <w:rPr>
          <w:rStyle w:val="Hyperlink"/>
          <w:bCs/>
          <w:u w:val="none"/>
          <w:lang w:val="fr-FR"/>
        </w:rPr>
        <w:t xml:space="preserve"> </w:t>
      </w:r>
      <w:r w:rsidRPr="00A25E92">
        <w:rPr>
          <w:bCs/>
          <w:lang w:val="fr-FR"/>
        </w:rPr>
        <w:t>et</w:t>
      </w:r>
      <w:r w:rsidR="001D2261">
        <w:rPr>
          <w:bCs/>
          <w:lang w:val="fr-FR"/>
        </w:rPr>
        <w:t> </w:t>
      </w:r>
      <w:hyperlink r:id="rId86" w:history="1">
        <w:r w:rsidRPr="006E3034">
          <w:rPr>
            <w:rStyle w:val="Hyperlink"/>
            <w:bCs/>
            <w:lang w:val="fr-FR"/>
          </w:rPr>
          <w:t>16.COM</w:t>
        </w:r>
        <w:r w:rsidR="00250A83" w:rsidRPr="006E3034">
          <w:rPr>
            <w:rStyle w:val="Hyperlink"/>
            <w:bCs/>
            <w:lang w:val="fr-FR"/>
          </w:rPr>
          <w:t> </w:t>
        </w:r>
        <w:r w:rsidRPr="006E3034">
          <w:rPr>
            <w:rStyle w:val="Hyperlink"/>
            <w:bCs/>
            <w:lang w:val="fr-FR"/>
          </w:rPr>
          <w:t>11</w:t>
        </w:r>
      </w:hyperlink>
      <w:r w:rsidRPr="00A25E92">
        <w:rPr>
          <w:bCs/>
          <w:lang w:val="fr-FR"/>
        </w:rPr>
        <w:t>). Le premier cas concernait l</w:t>
      </w:r>
      <w:r w:rsidR="00923E72">
        <w:rPr>
          <w:bCs/>
          <w:lang w:val="fr-FR"/>
        </w:rPr>
        <w:t>’</w:t>
      </w:r>
      <w:r w:rsidRPr="00A25E92">
        <w:rPr>
          <w:bCs/>
          <w:lang w:val="fr-FR"/>
        </w:rPr>
        <w:t>élément inscrit sur la Liste de sauvegarde urgente</w:t>
      </w:r>
      <w:r w:rsidR="00522D0E">
        <w:rPr>
          <w:bCs/>
          <w:lang w:val="fr-FR"/>
        </w:rPr>
        <w:t>, l</w:t>
      </w:r>
      <w:r w:rsidR="00923E72">
        <w:rPr>
          <w:bCs/>
          <w:lang w:val="fr-FR"/>
        </w:rPr>
        <w:t>’</w:t>
      </w:r>
      <w:r w:rsidR="00522D0E">
        <w:rPr>
          <w:bCs/>
          <w:lang w:val="fr-FR"/>
        </w:rPr>
        <w:t>e</w:t>
      </w:r>
      <w:r w:rsidRPr="00A25E92">
        <w:rPr>
          <w:bCs/>
          <w:lang w:val="fr-FR"/>
        </w:rPr>
        <w:t xml:space="preserve">space culturel de </w:t>
      </w:r>
      <w:proofErr w:type="spellStart"/>
      <w:r w:rsidRPr="00A25E92">
        <w:rPr>
          <w:bCs/>
          <w:lang w:val="fr-FR"/>
        </w:rPr>
        <w:t>Suit</w:t>
      </w:r>
      <w:r w:rsidR="00522D0E">
        <w:rPr>
          <w:bCs/>
          <w:lang w:val="fr-FR"/>
        </w:rPr>
        <w:t>i</w:t>
      </w:r>
      <w:proofErr w:type="spellEnd"/>
      <w:r w:rsidR="00522D0E">
        <w:rPr>
          <w:bCs/>
          <w:lang w:val="fr-FR"/>
        </w:rPr>
        <w:t>,</w:t>
      </w:r>
      <w:r w:rsidRPr="00A25E92">
        <w:rPr>
          <w:bCs/>
          <w:lang w:val="fr-FR"/>
        </w:rPr>
        <w:t xml:space="preserve"> </w:t>
      </w:r>
      <w:r w:rsidR="003C5EFA">
        <w:rPr>
          <w:bCs/>
          <w:lang w:val="fr-FR"/>
        </w:rPr>
        <w:t>en</w:t>
      </w:r>
      <w:r w:rsidRPr="00A25E92">
        <w:rPr>
          <w:bCs/>
          <w:lang w:val="fr-FR"/>
        </w:rPr>
        <w:t xml:space="preserve"> Lettonie. La question soulevée avait été signalée à la seizième session du Comité et, depuis lors, une réponse avait été reçue de l</w:t>
      </w:r>
      <w:r w:rsidR="00923E72">
        <w:rPr>
          <w:bCs/>
          <w:lang w:val="fr-FR"/>
        </w:rPr>
        <w:t>’</w:t>
      </w:r>
      <w:r w:rsidRPr="00A25E92">
        <w:rPr>
          <w:bCs/>
          <w:lang w:val="fr-FR"/>
        </w:rPr>
        <w:t>État partie de la Lettonie. Les deuxième et troisième cas concernaient tous deux des correspondances reçues de particuliers, exprimant</w:t>
      </w:r>
      <w:r w:rsidR="00522D0E">
        <w:rPr>
          <w:bCs/>
          <w:lang w:val="fr-FR"/>
        </w:rPr>
        <w:t>,</w:t>
      </w:r>
      <w:r w:rsidRPr="00A25E92">
        <w:rPr>
          <w:bCs/>
          <w:lang w:val="fr-FR"/>
        </w:rPr>
        <w:t xml:space="preserve"> dans un cas</w:t>
      </w:r>
      <w:r w:rsidR="00522D0E">
        <w:rPr>
          <w:bCs/>
          <w:lang w:val="fr-FR"/>
        </w:rPr>
        <w:t>,</w:t>
      </w:r>
      <w:r w:rsidRPr="00A25E92">
        <w:rPr>
          <w:bCs/>
          <w:lang w:val="fr-FR"/>
        </w:rPr>
        <w:t xml:space="preserve"> une préoccupation personnelle </w:t>
      </w:r>
      <w:r w:rsidR="00522D0E">
        <w:rPr>
          <w:bCs/>
          <w:lang w:val="fr-FR"/>
        </w:rPr>
        <w:t>suite à l</w:t>
      </w:r>
      <w:r w:rsidR="00923E72">
        <w:rPr>
          <w:bCs/>
          <w:lang w:val="fr-FR"/>
        </w:rPr>
        <w:t>’</w:t>
      </w:r>
      <w:r w:rsidR="00522D0E" w:rsidRPr="00522D0E">
        <w:rPr>
          <w:bCs/>
          <w:lang w:val="fr-FR"/>
        </w:rPr>
        <w:t>inscription</w:t>
      </w:r>
      <w:r w:rsidR="00522D0E">
        <w:rPr>
          <w:bCs/>
          <w:lang w:val="fr-FR"/>
        </w:rPr>
        <w:t xml:space="preserve"> sur la Liste représentative d</w:t>
      </w:r>
      <w:r w:rsidR="00923E72">
        <w:rPr>
          <w:bCs/>
          <w:lang w:val="fr-FR"/>
        </w:rPr>
        <w:t>’</w:t>
      </w:r>
      <w:r w:rsidRPr="00A25E92">
        <w:rPr>
          <w:bCs/>
          <w:lang w:val="fr-FR"/>
        </w:rPr>
        <w:t xml:space="preserve">un élément qui implique </w:t>
      </w:r>
      <w:r w:rsidR="00522D0E">
        <w:rPr>
          <w:bCs/>
          <w:lang w:val="fr-FR"/>
        </w:rPr>
        <w:t>une</w:t>
      </w:r>
      <w:r w:rsidRPr="00A25E92">
        <w:rPr>
          <w:bCs/>
          <w:lang w:val="fr-FR"/>
        </w:rPr>
        <w:t xml:space="preserve"> consommation d</w:t>
      </w:r>
      <w:r w:rsidR="00923E72">
        <w:rPr>
          <w:bCs/>
          <w:lang w:val="fr-FR"/>
        </w:rPr>
        <w:t>’</w:t>
      </w:r>
      <w:r w:rsidRPr="00A25E92">
        <w:rPr>
          <w:bCs/>
          <w:lang w:val="fr-FR"/>
        </w:rPr>
        <w:t>alcool</w:t>
      </w:r>
      <w:r w:rsidR="00522D0E">
        <w:rPr>
          <w:bCs/>
          <w:lang w:val="fr-FR"/>
        </w:rPr>
        <w:t xml:space="preserve">, </w:t>
      </w:r>
      <w:r w:rsidRPr="00A25E92">
        <w:rPr>
          <w:bCs/>
          <w:lang w:val="fr-FR"/>
        </w:rPr>
        <w:t>et dans l</w:t>
      </w:r>
      <w:r w:rsidR="00923E72">
        <w:rPr>
          <w:bCs/>
          <w:lang w:val="fr-FR"/>
        </w:rPr>
        <w:t>’</w:t>
      </w:r>
      <w:r w:rsidRPr="00A25E92">
        <w:rPr>
          <w:bCs/>
          <w:lang w:val="fr-FR"/>
        </w:rPr>
        <w:t>autre, la remise en cause des descriptions techniques d</w:t>
      </w:r>
      <w:r w:rsidR="00923E72">
        <w:rPr>
          <w:bCs/>
          <w:lang w:val="fr-FR"/>
        </w:rPr>
        <w:t>’</w:t>
      </w:r>
      <w:r w:rsidRPr="00A25E92">
        <w:rPr>
          <w:bCs/>
          <w:lang w:val="fr-FR"/>
        </w:rPr>
        <w:t>un élément inscrit. Le Secrétariat était d</w:t>
      </w:r>
      <w:r w:rsidR="00923E72">
        <w:rPr>
          <w:bCs/>
          <w:lang w:val="fr-FR"/>
        </w:rPr>
        <w:t>’</w:t>
      </w:r>
      <w:r w:rsidRPr="00A25E92">
        <w:rPr>
          <w:bCs/>
          <w:lang w:val="fr-FR"/>
        </w:rPr>
        <w:t>avis que ces cas soulevaient des questions sur la manière ou l</w:t>
      </w:r>
      <w:r w:rsidR="00923E72">
        <w:rPr>
          <w:bCs/>
          <w:lang w:val="fr-FR"/>
        </w:rPr>
        <w:t>’</w:t>
      </w:r>
      <w:r w:rsidRPr="00A25E92">
        <w:rPr>
          <w:bCs/>
          <w:lang w:val="fr-FR"/>
        </w:rPr>
        <w:t>opportunité de traiter les cas d</w:t>
      </w:r>
      <w:r w:rsidR="00923E72">
        <w:rPr>
          <w:bCs/>
          <w:lang w:val="fr-FR"/>
        </w:rPr>
        <w:t>’</w:t>
      </w:r>
      <w:r w:rsidRPr="00A25E92">
        <w:rPr>
          <w:bCs/>
          <w:lang w:val="fr-FR"/>
        </w:rPr>
        <w:t>un individu exprimant une opinion personnelle sans affiliation institutionnelle. Dans l</w:t>
      </w:r>
      <w:r w:rsidR="00923E72">
        <w:rPr>
          <w:bCs/>
          <w:lang w:val="fr-FR"/>
        </w:rPr>
        <w:t>’</w:t>
      </w:r>
      <w:r w:rsidRPr="00A25E92">
        <w:rPr>
          <w:bCs/>
          <w:lang w:val="fr-FR"/>
        </w:rPr>
        <w:t xml:space="preserve">intervalle, le Comité souhaiterait peut-être demander au Secrétariat de continuer à porter à son attention les informations </w:t>
      </w:r>
      <w:r w:rsidR="00522D0E">
        <w:rPr>
          <w:bCs/>
          <w:lang w:val="fr-FR"/>
        </w:rPr>
        <w:t xml:space="preserve">reçues </w:t>
      </w:r>
      <w:r w:rsidRPr="00A25E92">
        <w:rPr>
          <w:bCs/>
          <w:lang w:val="fr-FR"/>
        </w:rPr>
        <w:t>de tiers concernant le statut des éléments inscrits. Cela pourrait prendre la forme d</w:t>
      </w:r>
      <w:r w:rsidR="00923E72">
        <w:rPr>
          <w:bCs/>
          <w:lang w:val="fr-FR"/>
        </w:rPr>
        <w:t>’</w:t>
      </w:r>
      <w:r w:rsidRPr="00A25E92">
        <w:rPr>
          <w:bCs/>
          <w:lang w:val="fr-FR"/>
        </w:rPr>
        <w:t>un résumé à inclure dans un document de travail concernant le suivi des éléments inscrits.</w:t>
      </w:r>
    </w:p>
    <w:p w14:paraId="1FA595B8" w14:textId="5C376F3D" w:rsidR="007E35F1" w:rsidRDefault="007E35F1"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le </w:t>
      </w:r>
      <w:r w:rsidRPr="007E35F1">
        <w:rPr>
          <w:bCs/>
          <w:lang w:val="fr-FR"/>
        </w:rPr>
        <w:t>Secrétaire</w:t>
      </w:r>
      <w:r>
        <w:rPr>
          <w:bCs/>
          <w:lang w:val="fr-FR"/>
        </w:rPr>
        <w:t xml:space="preserve"> pour cette importante présentation détaillée.</w:t>
      </w:r>
    </w:p>
    <w:p w14:paraId="55B36A66" w14:textId="68F1C3C9" w:rsidR="007E35F1" w:rsidRDefault="001F182D" w:rsidP="00AA7EE4">
      <w:pPr>
        <w:pStyle w:val="Orateurengris"/>
        <w:numPr>
          <w:ilvl w:val="0"/>
          <w:numId w:val="20"/>
        </w:numPr>
        <w:tabs>
          <w:tab w:val="clear" w:pos="567"/>
        </w:tabs>
        <w:spacing w:before="120"/>
        <w:ind w:left="709" w:hanging="709"/>
        <w:rPr>
          <w:bCs/>
          <w:lang w:val="fr-FR"/>
        </w:rPr>
      </w:pPr>
      <w:r w:rsidRPr="001F182D">
        <w:rPr>
          <w:bCs/>
          <w:lang w:val="fr-FR"/>
        </w:rPr>
        <w:t>La délégation de l</w:t>
      </w:r>
      <w:r w:rsidR="00923E72">
        <w:rPr>
          <w:bCs/>
          <w:lang w:val="fr-FR"/>
        </w:rPr>
        <w:t>’</w:t>
      </w:r>
      <w:r w:rsidRPr="00702497">
        <w:rPr>
          <w:b/>
          <w:lang w:val="fr-FR"/>
        </w:rPr>
        <w:t>Allemagne</w:t>
      </w:r>
      <w:r w:rsidRPr="001F182D">
        <w:rPr>
          <w:bCs/>
          <w:lang w:val="fr-FR"/>
        </w:rPr>
        <w:t xml:space="preserve"> a remercié le Secrétariat pour les explications approfondies et pertinentes, ajoutant que la figure du </w:t>
      </w:r>
      <w:r>
        <w:rPr>
          <w:bCs/>
          <w:lang w:val="fr-FR"/>
        </w:rPr>
        <w:t>« </w:t>
      </w:r>
      <w:r w:rsidRPr="001F182D">
        <w:rPr>
          <w:bCs/>
          <w:lang w:val="fr-FR"/>
        </w:rPr>
        <w:t>Sauvage</w:t>
      </w:r>
      <w:r>
        <w:rPr>
          <w:bCs/>
          <w:lang w:val="fr-FR"/>
        </w:rPr>
        <w:t> »</w:t>
      </w:r>
      <w:r w:rsidRPr="001F182D">
        <w:rPr>
          <w:bCs/>
          <w:lang w:val="fr-FR"/>
        </w:rPr>
        <w:t xml:space="preserve"> dans la Ducasse d</w:t>
      </w:r>
      <w:r w:rsidR="00923E72">
        <w:rPr>
          <w:bCs/>
          <w:lang w:val="fr-FR"/>
        </w:rPr>
        <w:t>’</w:t>
      </w:r>
      <w:r w:rsidRPr="001F182D">
        <w:rPr>
          <w:bCs/>
          <w:lang w:val="fr-FR"/>
        </w:rPr>
        <w:t>Ath était insoutenable et inacceptable et qu</w:t>
      </w:r>
      <w:r w:rsidR="00923E72">
        <w:rPr>
          <w:bCs/>
          <w:lang w:val="fr-FR"/>
        </w:rPr>
        <w:t>’</w:t>
      </w:r>
      <w:r w:rsidRPr="001F182D">
        <w:rPr>
          <w:bCs/>
          <w:lang w:val="fr-FR"/>
        </w:rPr>
        <w:t>elle devait être condamnée, ce dont tout le monde pouvait convenir. Le Secrétariat avait montré qu</w:t>
      </w:r>
      <w:r w:rsidR="00923E72">
        <w:rPr>
          <w:bCs/>
          <w:lang w:val="fr-FR"/>
        </w:rPr>
        <w:t>’</w:t>
      </w:r>
      <w:r w:rsidRPr="001F182D">
        <w:rPr>
          <w:bCs/>
          <w:lang w:val="fr-FR"/>
        </w:rPr>
        <w:t xml:space="preserve">il y avait déjà eu un dialogue avec les autorités et les </w:t>
      </w:r>
      <w:r w:rsidR="007121BA">
        <w:rPr>
          <w:bCs/>
          <w:lang w:val="fr-FR"/>
        </w:rPr>
        <w:t>organisations non gouvernementales</w:t>
      </w:r>
      <w:r w:rsidRPr="001F182D">
        <w:rPr>
          <w:bCs/>
          <w:lang w:val="fr-FR"/>
        </w:rPr>
        <w:t xml:space="preserve"> sur le terrain. Comment s</w:t>
      </w:r>
      <w:r w:rsidR="00923E72">
        <w:rPr>
          <w:bCs/>
          <w:lang w:val="fr-FR"/>
        </w:rPr>
        <w:t>’</w:t>
      </w:r>
      <w:r w:rsidRPr="001F182D">
        <w:rPr>
          <w:bCs/>
          <w:lang w:val="fr-FR"/>
        </w:rPr>
        <w:t>attaquer à ce véritable problème moral</w:t>
      </w:r>
      <w:r w:rsidR="00C15A19">
        <w:rPr>
          <w:bCs/>
          <w:lang w:val="fr-FR"/>
        </w:rPr>
        <w:t>,</w:t>
      </w:r>
      <w:r w:rsidRPr="001F182D">
        <w:rPr>
          <w:bCs/>
          <w:lang w:val="fr-FR"/>
        </w:rPr>
        <w:t xml:space="preserve"> qui n</w:t>
      </w:r>
      <w:r w:rsidR="00923E72">
        <w:rPr>
          <w:bCs/>
          <w:lang w:val="fr-FR"/>
        </w:rPr>
        <w:t>’</w:t>
      </w:r>
      <w:r w:rsidRPr="001F182D">
        <w:rPr>
          <w:bCs/>
          <w:lang w:val="fr-FR"/>
        </w:rPr>
        <w:t xml:space="preserve">était pas seulement </w:t>
      </w:r>
      <w:r>
        <w:rPr>
          <w:bCs/>
          <w:lang w:val="fr-FR"/>
        </w:rPr>
        <w:t>le</w:t>
      </w:r>
      <w:r w:rsidRPr="001F182D">
        <w:rPr>
          <w:bCs/>
          <w:lang w:val="fr-FR"/>
        </w:rPr>
        <w:t xml:space="preserve"> problème de la Convention</w:t>
      </w:r>
      <w:r>
        <w:rPr>
          <w:bCs/>
          <w:lang w:val="fr-FR"/>
        </w:rPr>
        <w:t> </w:t>
      </w:r>
      <w:r w:rsidRPr="001F182D">
        <w:rPr>
          <w:bCs/>
          <w:lang w:val="fr-FR"/>
        </w:rPr>
        <w:t>? L</w:t>
      </w:r>
      <w:r w:rsidR="00923E72">
        <w:rPr>
          <w:bCs/>
          <w:lang w:val="fr-FR"/>
        </w:rPr>
        <w:t>’</w:t>
      </w:r>
      <w:r w:rsidRPr="001F182D">
        <w:rPr>
          <w:bCs/>
          <w:lang w:val="fr-FR"/>
        </w:rPr>
        <w:t>UNESCO et le Comité prenaient-ils de la distance par rapport à cette célébration et à ce personnage qu</w:t>
      </w:r>
      <w:r w:rsidR="00923E72">
        <w:rPr>
          <w:bCs/>
          <w:lang w:val="fr-FR"/>
        </w:rPr>
        <w:t>’</w:t>
      </w:r>
      <w:r w:rsidRPr="001F182D">
        <w:rPr>
          <w:bCs/>
          <w:lang w:val="fr-FR"/>
        </w:rPr>
        <w:t>ils condamnaient</w:t>
      </w:r>
      <w:r w:rsidR="00250A83">
        <w:rPr>
          <w:bCs/>
          <w:lang w:val="fr-FR"/>
        </w:rPr>
        <w:t> </w:t>
      </w:r>
      <w:r w:rsidRPr="001F182D">
        <w:rPr>
          <w:bCs/>
          <w:lang w:val="fr-FR"/>
        </w:rPr>
        <w:t>? Ou le Comité voulait-il que les choses changent</w:t>
      </w:r>
      <w:r>
        <w:rPr>
          <w:bCs/>
          <w:lang w:val="fr-FR"/>
        </w:rPr>
        <w:t> </w:t>
      </w:r>
      <w:r w:rsidRPr="001F182D">
        <w:rPr>
          <w:bCs/>
          <w:lang w:val="fr-FR"/>
        </w:rPr>
        <w:t>? Le philosophe, politologue et sociologue allemand Max Weber parlait d</w:t>
      </w:r>
      <w:r w:rsidR="00923E72">
        <w:rPr>
          <w:bCs/>
          <w:lang w:val="fr-FR"/>
        </w:rPr>
        <w:t>’</w:t>
      </w:r>
      <w:r w:rsidRPr="001F182D">
        <w:rPr>
          <w:bCs/>
          <w:lang w:val="fr-FR"/>
        </w:rPr>
        <w:t>une éthique de la responsabilité et d</w:t>
      </w:r>
      <w:r w:rsidR="00923E72">
        <w:rPr>
          <w:bCs/>
          <w:lang w:val="fr-FR"/>
        </w:rPr>
        <w:t>’</w:t>
      </w:r>
      <w:r w:rsidRPr="001F182D">
        <w:rPr>
          <w:bCs/>
          <w:lang w:val="fr-FR"/>
        </w:rPr>
        <w:t>une éthique de la conviction. La délégation croyait qu</w:t>
      </w:r>
      <w:r w:rsidR="00923E72">
        <w:rPr>
          <w:bCs/>
          <w:lang w:val="fr-FR"/>
        </w:rPr>
        <w:t>’</w:t>
      </w:r>
      <w:r w:rsidRPr="001F182D">
        <w:rPr>
          <w:bCs/>
          <w:lang w:val="fr-FR"/>
        </w:rPr>
        <w:t>il devait y avoir un moyen de se débarrasser de cette figure raciste de la Ducasse d</w:t>
      </w:r>
      <w:r w:rsidR="00923E72">
        <w:rPr>
          <w:bCs/>
          <w:lang w:val="fr-FR"/>
        </w:rPr>
        <w:t>’</w:t>
      </w:r>
      <w:r w:rsidRPr="001F182D">
        <w:rPr>
          <w:bCs/>
          <w:lang w:val="fr-FR"/>
        </w:rPr>
        <w:t>Ath. Avec le mécanisme de suivi approfondi récemment créé, il était possible d</w:t>
      </w:r>
      <w:r w:rsidR="00923E72">
        <w:rPr>
          <w:bCs/>
          <w:lang w:val="fr-FR"/>
        </w:rPr>
        <w:t>’</w:t>
      </w:r>
      <w:r w:rsidRPr="001F182D">
        <w:rPr>
          <w:bCs/>
          <w:lang w:val="fr-FR"/>
        </w:rPr>
        <w:t xml:space="preserve">envoyer des spécialistes pour discuter avec les autorités et les </w:t>
      </w:r>
      <w:r w:rsidR="007121BA">
        <w:rPr>
          <w:bCs/>
          <w:lang w:val="fr-FR"/>
        </w:rPr>
        <w:t>organisations non gouvernementales</w:t>
      </w:r>
      <w:r w:rsidRPr="001F182D">
        <w:rPr>
          <w:bCs/>
          <w:lang w:val="fr-FR"/>
        </w:rPr>
        <w:t>, encore une fois, une dernière fois, pour expliquer qu</w:t>
      </w:r>
      <w:r w:rsidR="00923E72">
        <w:rPr>
          <w:bCs/>
          <w:lang w:val="fr-FR"/>
        </w:rPr>
        <w:t>’</w:t>
      </w:r>
      <w:r w:rsidRPr="001F182D">
        <w:rPr>
          <w:bCs/>
          <w:lang w:val="fr-FR"/>
        </w:rPr>
        <w:t>il y avait un risque imminent que l</w:t>
      </w:r>
      <w:r>
        <w:rPr>
          <w:bCs/>
          <w:lang w:val="fr-FR"/>
        </w:rPr>
        <w:t>a</w:t>
      </w:r>
      <w:r w:rsidRPr="001F182D">
        <w:rPr>
          <w:bCs/>
          <w:lang w:val="fr-FR"/>
        </w:rPr>
        <w:t xml:space="preserve"> Ducasse d</w:t>
      </w:r>
      <w:r w:rsidR="00923E72">
        <w:rPr>
          <w:bCs/>
          <w:lang w:val="fr-FR"/>
        </w:rPr>
        <w:t>’</w:t>
      </w:r>
      <w:r w:rsidRPr="001F182D">
        <w:rPr>
          <w:bCs/>
          <w:lang w:val="fr-FR"/>
        </w:rPr>
        <w:t>Ath soit retirée de la Liste représentative. Bien qu</w:t>
      </w:r>
      <w:r w:rsidR="00923E72">
        <w:rPr>
          <w:bCs/>
          <w:lang w:val="fr-FR"/>
        </w:rPr>
        <w:t>’</w:t>
      </w:r>
      <w:r w:rsidRPr="001F182D">
        <w:rPr>
          <w:bCs/>
          <w:lang w:val="fr-FR"/>
        </w:rPr>
        <w:t xml:space="preserve">il soit tentant de retirer cet élément de la Liste représentative, ce que le Comité </w:t>
      </w:r>
      <w:r w:rsidRPr="001F182D">
        <w:rPr>
          <w:bCs/>
          <w:lang w:val="fr-FR"/>
        </w:rPr>
        <w:lastRenderedPageBreak/>
        <w:t>souhaiterait évidemment</w:t>
      </w:r>
      <w:r>
        <w:rPr>
          <w:bCs/>
          <w:lang w:val="fr-FR"/>
        </w:rPr>
        <w:t xml:space="preserve"> faire</w:t>
      </w:r>
      <w:r w:rsidRPr="001F182D">
        <w:rPr>
          <w:bCs/>
          <w:lang w:val="fr-FR"/>
        </w:rPr>
        <w:t>, il y avait un risque que rien ne change. Une partie de cet élément inscrit aurait été supprimée</w:t>
      </w:r>
      <w:r w:rsidR="00AB3881">
        <w:rPr>
          <w:bCs/>
          <w:lang w:val="fr-FR"/>
        </w:rPr>
        <w:t>,</w:t>
      </w:r>
      <w:r w:rsidRPr="001F182D">
        <w:rPr>
          <w:bCs/>
          <w:lang w:val="fr-FR"/>
        </w:rPr>
        <w:t xml:space="preserve"> mais les autres géants et dragons resteraient sur la Liste représentative, à l</w:t>
      </w:r>
      <w:r w:rsidR="00923E72">
        <w:rPr>
          <w:bCs/>
          <w:lang w:val="fr-FR"/>
        </w:rPr>
        <w:t>’</w:t>
      </w:r>
      <w:r w:rsidRPr="001F182D">
        <w:rPr>
          <w:bCs/>
          <w:lang w:val="fr-FR"/>
        </w:rPr>
        <w:t>exclusion de la ville de la Ducasse d</w:t>
      </w:r>
      <w:r w:rsidR="00923E72">
        <w:rPr>
          <w:bCs/>
          <w:lang w:val="fr-FR"/>
        </w:rPr>
        <w:t>’</w:t>
      </w:r>
      <w:r w:rsidRPr="001F182D">
        <w:rPr>
          <w:bCs/>
          <w:lang w:val="fr-FR"/>
        </w:rPr>
        <w:t>Ath. Le Comité pouvait-il se satisfaire d</w:t>
      </w:r>
      <w:r w:rsidR="00923E72">
        <w:rPr>
          <w:bCs/>
          <w:lang w:val="fr-FR"/>
        </w:rPr>
        <w:t>’</w:t>
      </w:r>
      <w:r w:rsidRPr="001F182D">
        <w:rPr>
          <w:bCs/>
          <w:lang w:val="fr-FR"/>
        </w:rPr>
        <w:t>un tel résultat</w:t>
      </w:r>
      <w:r>
        <w:rPr>
          <w:bCs/>
          <w:lang w:val="fr-FR"/>
        </w:rPr>
        <w:t> </w:t>
      </w:r>
      <w:r w:rsidRPr="001F182D">
        <w:rPr>
          <w:bCs/>
          <w:lang w:val="fr-FR"/>
        </w:rPr>
        <w:t>? La délégation ne l</w:t>
      </w:r>
      <w:r w:rsidR="00923E72">
        <w:rPr>
          <w:bCs/>
          <w:lang w:val="fr-FR"/>
        </w:rPr>
        <w:t>’</w:t>
      </w:r>
      <w:r w:rsidRPr="001F182D">
        <w:rPr>
          <w:bCs/>
          <w:lang w:val="fr-FR"/>
        </w:rPr>
        <w:t>était pas. Le Comité devait en effet profiter des possibilités offertes par le mécanisme de suivi approfondi, puis revenir sur le dossier lorsqu</w:t>
      </w:r>
      <w:r w:rsidR="00923E72">
        <w:rPr>
          <w:bCs/>
          <w:lang w:val="fr-FR"/>
        </w:rPr>
        <w:t>’</w:t>
      </w:r>
      <w:r w:rsidRPr="001F182D">
        <w:rPr>
          <w:bCs/>
          <w:lang w:val="fr-FR"/>
        </w:rPr>
        <w:t>il aurait les moyens de le retirer de la Liste.</w:t>
      </w:r>
    </w:p>
    <w:p w14:paraId="757E496A" w14:textId="1DF0F0AE" w:rsidR="001F182D" w:rsidRDefault="00112757" w:rsidP="00AA7EE4">
      <w:pPr>
        <w:pStyle w:val="Orateurengris"/>
        <w:numPr>
          <w:ilvl w:val="0"/>
          <w:numId w:val="20"/>
        </w:numPr>
        <w:tabs>
          <w:tab w:val="clear" w:pos="567"/>
        </w:tabs>
        <w:spacing w:before="120"/>
        <w:ind w:left="709" w:hanging="709"/>
        <w:rPr>
          <w:bCs/>
          <w:lang w:val="fr-FR"/>
        </w:rPr>
      </w:pPr>
      <w:r w:rsidRPr="00112757">
        <w:rPr>
          <w:bCs/>
          <w:lang w:val="fr-FR"/>
        </w:rPr>
        <w:t xml:space="preserve">Le </w:t>
      </w:r>
      <w:r w:rsidRPr="00702497">
        <w:rPr>
          <w:b/>
          <w:lang w:val="fr-FR"/>
        </w:rPr>
        <w:t>Président</w:t>
      </w:r>
      <w:r w:rsidRPr="00112757">
        <w:rPr>
          <w:bCs/>
          <w:lang w:val="fr-FR"/>
        </w:rPr>
        <w:t xml:space="preserve"> a remercié l</w:t>
      </w:r>
      <w:r w:rsidR="00923E72">
        <w:rPr>
          <w:bCs/>
          <w:lang w:val="fr-FR"/>
        </w:rPr>
        <w:t>’</w:t>
      </w:r>
      <w:r w:rsidRPr="00112757">
        <w:rPr>
          <w:bCs/>
          <w:lang w:val="fr-FR"/>
        </w:rPr>
        <w:t>Allemagne pour ses remarques très sincères</w:t>
      </w:r>
      <w:r w:rsidR="00C15A19">
        <w:rPr>
          <w:bCs/>
          <w:lang w:val="fr-FR"/>
        </w:rPr>
        <w:t>,</w:t>
      </w:r>
      <w:r w:rsidRPr="00112757">
        <w:rPr>
          <w:bCs/>
          <w:lang w:val="fr-FR"/>
        </w:rPr>
        <w:t xml:space="preserve"> qui exposaient avec pertinence les questions liées au problème rencontré. Tous les éléments du débat étaient posés et il appartenait au Comité de trouver la meilleure option. Sur le plan des principes, ce personnage </w:t>
      </w:r>
      <w:r>
        <w:rPr>
          <w:bCs/>
          <w:lang w:val="fr-FR"/>
        </w:rPr>
        <w:t xml:space="preserve">était </w:t>
      </w:r>
      <w:r w:rsidRPr="00112757">
        <w:rPr>
          <w:bCs/>
          <w:lang w:val="fr-FR"/>
        </w:rPr>
        <w:t>intolérable et inacceptable, mais il y a</w:t>
      </w:r>
      <w:r w:rsidR="00191C2C">
        <w:rPr>
          <w:bCs/>
          <w:lang w:val="fr-FR"/>
        </w:rPr>
        <w:t>vait</w:t>
      </w:r>
      <w:r w:rsidRPr="00112757">
        <w:rPr>
          <w:bCs/>
          <w:lang w:val="fr-FR"/>
        </w:rPr>
        <w:t xml:space="preserve"> également la question de la procédure.</w:t>
      </w:r>
    </w:p>
    <w:p w14:paraId="520AA9D4" w14:textId="541FCEEC" w:rsidR="00112757" w:rsidRDefault="00112757" w:rsidP="00AA7EE4">
      <w:pPr>
        <w:pStyle w:val="Orateurengris"/>
        <w:numPr>
          <w:ilvl w:val="0"/>
          <w:numId w:val="20"/>
        </w:numPr>
        <w:tabs>
          <w:tab w:val="clear" w:pos="567"/>
        </w:tabs>
        <w:spacing w:before="120"/>
        <w:ind w:left="709" w:hanging="709"/>
        <w:rPr>
          <w:bCs/>
          <w:lang w:val="fr-FR"/>
        </w:rPr>
      </w:pPr>
      <w:r w:rsidRPr="00112757">
        <w:rPr>
          <w:bCs/>
          <w:lang w:val="fr-FR"/>
        </w:rPr>
        <w:t xml:space="preserve">La délégation du </w:t>
      </w:r>
      <w:r w:rsidRPr="00702497">
        <w:rPr>
          <w:b/>
          <w:lang w:val="fr-FR"/>
        </w:rPr>
        <w:t>Botswana</w:t>
      </w:r>
      <w:r w:rsidRPr="00112757">
        <w:rPr>
          <w:bCs/>
          <w:lang w:val="fr-FR"/>
        </w:rPr>
        <w:t xml:space="preserve"> a pris la parole en tant que membre du Bureau représentant l</w:t>
      </w:r>
      <w:r w:rsidR="00923E72">
        <w:rPr>
          <w:bCs/>
          <w:lang w:val="fr-FR"/>
        </w:rPr>
        <w:t>’</w:t>
      </w:r>
      <w:r w:rsidRPr="00112757">
        <w:rPr>
          <w:bCs/>
          <w:lang w:val="fr-FR"/>
        </w:rPr>
        <w:t>Afrique. Elle partageait entièrement les sentiments exprimés par l</w:t>
      </w:r>
      <w:r w:rsidR="00923E72">
        <w:rPr>
          <w:bCs/>
          <w:lang w:val="fr-FR"/>
        </w:rPr>
        <w:t>’</w:t>
      </w:r>
      <w:r w:rsidRPr="00112757">
        <w:rPr>
          <w:bCs/>
          <w:lang w:val="fr-FR"/>
        </w:rPr>
        <w:t xml:space="preserve">Allemagne, approuvant le fait que le Comité ait désormais une disposition dans les Directives opérationnelles qui prévoit un suivi approfondi des éléments qui contreviennent à la Convention. Cependant, à notre époque, avec </w:t>
      </w:r>
      <w:r w:rsidRPr="00702497">
        <w:rPr>
          <w:bCs/>
          <w:i/>
          <w:iCs/>
          <w:lang w:val="fr-FR"/>
        </w:rPr>
        <w:t xml:space="preserve">Black Lives </w:t>
      </w:r>
      <w:proofErr w:type="spellStart"/>
      <w:r w:rsidRPr="00702497">
        <w:rPr>
          <w:bCs/>
          <w:i/>
          <w:iCs/>
          <w:lang w:val="fr-FR"/>
        </w:rPr>
        <w:t>Matter</w:t>
      </w:r>
      <w:proofErr w:type="spellEnd"/>
      <w:r w:rsidRPr="00112757">
        <w:rPr>
          <w:bCs/>
          <w:lang w:val="fr-FR"/>
        </w:rPr>
        <w:t xml:space="preserve"> et les pays qui détruisent les statues représentant le colonialisme et le racisme, il était contraire au respect et à la dignité des êtres humains que l</w:t>
      </w:r>
      <w:r w:rsidR="00923E72">
        <w:rPr>
          <w:bCs/>
          <w:lang w:val="fr-FR"/>
        </w:rPr>
        <w:t>’</w:t>
      </w:r>
      <w:r w:rsidRPr="00112757">
        <w:rPr>
          <w:bCs/>
          <w:lang w:val="fr-FR"/>
        </w:rPr>
        <w:t>UNESCO, la Convention et l</w:t>
      </w:r>
      <w:r w:rsidR="00923E72">
        <w:rPr>
          <w:bCs/>
          <w:lang w:val="fr-FR"/>
        </w:rPr>
        <w:t>’</w:t>
      </w:r>
      <w:r w:rsidRPr="00112757">
        <w:rPr>
          <w:bCs/>
          <w:lang w:val="fr-FR"/>
        </w:rPr>
        <w:t>humanité vivante encouragent quelque chose comme ce personnage. Quel message adressions-nous au monde</w:t>
      </w:r>
      <w:r w:rsidR="00C06FE4">
        <w:rPr>
          <w:bCs/>
          <w:lang w:val="fr-FR"/>
        </w:rPr>
        <w:t> </w:t>
      </w:r>
      <w:r w:rsidRPr="00112757">
        <w:rPr>
          <w:bCs/>
          <w:lang w:val="fr-FR"/>
        </w:rPr>
        <w:t>? Surtout lorsque des collègues de l</w:t>
      </w:r>
      <w:r w:rsidR="00923E72">
        <w:rPr>
          <w:bCs/>
          <w:lang w:val="fr-FR"/>
        </w:rPr>
        <w:t>’</w:t>
      </w:r>
      <w:r w:rsidRPr="00112757">
        <w:rPr>
          <w:bCs/>
          <w:lang w:val="fr-FR"/>
        </w:rPr>
        <w:t>UNESCO se réunissaient au Mexique à l</w:t>
      </w:r>
      <w:r w:rsidR="00923E72">
        <w:rPr>
          <w:bCs/>
          <w:lang w:val="fr-FR"/>
        </w:rPr>
        <w:t>’</w:t>
      </w:r>
      <w:r w:rsidRPr="00112757">
        <w:rPr>
          <w:bCs/>
          <w:lang w:val="fr-FR"/>
        </w:rPr>
        <w:t xml:space="preserve">occasion du </w:t>
      </w:r>
      <w:r w:rsidR="00C06FE4">
        <w:rPr>
          <w:bCs/>
          <w:lang w:val="fr-FR"/>
        </w:rPr>
        <w:t>F</w:t>
      </w:r>
      <w:r w:rsidRPr="00112757">
        <w:rPr>
          <w:bCs/>
          <w:lang w:val="fr-FR"/>
        </w:rPr>
        <w:t>orum mondial contre le racisme et la discrimination</w:t>
      </w:r>
      <w:r w:rsidR="00C06FE4">
        <w:rPr>
          <w:rStyle w:val="FootnoteReference"/>
          <w:bCs/>
          <w:lang w:val="fr-FR"/>
        </w:rPr>
        <w:footnoteReference w:id="26"/>
      </w:r>
      <w:r w:rsidRPr="00112757">
        <w:rPr>
          <w:bCs/>
          <w:lang w:val="fr-FR"/>
        </w:rPr>
        <w:t>. Le Comité devait être sur la même longueur d</w:t>
      </w:r>
      <w:r w:rsidR="00923E72">
        <w:rPr>
          <w:bCs/>
          <w:lang w:val="fr-FR"/>
        </w:rPr>
        <w:t>’</w:t>
      </w:r>
      <w:r w:rsidRPr="00112757">
        <w:rPr>
          <w:bCs/>
          <w:lang w:val="fr-FR"/>
        </w:rPr>
        <w:t>onde, comme on dit. Le Botswana s</w:t>
      </w:r>
      <w:r w:rsidR="00C06FE4">
        <w:rPr>
          <w:bCs/>
          <w:lang w:val="fr-FR"/>
        </w:rPr>
        <w:t xml:space="preserve">e </w:t>
      </w:r>
      <w:r w:rsidRPr="00112757">
        <w:rPr>
          <w:bCs/>
          <w:lang w:val="fr-FR"/>
        </w:rPr>
        <w:t>port</w:t>
      </w:r>
      <w:r w:rsidR="00C06FE4">
        <w:rPr>
          <w:bCs/>
          <w:lang w:val="fr-FR"/>
        </w:rPr>
        <w:t>ait</w:t>
      </w:r>
      <w:r w:rsidRPr="00112757">
        <w:rPr>
          <w:bCs/>
          <w:lang w:val="fr-FR"/>
        </w:rPr>
        <w:t xml:space="preserve"> coauteur de l</w:t>
      </w:r>
      <w:r w:rsidR="00923E72">
        <w:rPr>
          <w:bCs/>
          <w:lang w:val="fr-FR"/>
        </w:rPr>
        <w:t>’</w:t>
      </w:r>
      <w:r w:rsidRPr="00112757">
        <w:rPr>
          <w:bCs/>
          <w:lang w:val="fr-FR"/>
        </w:rPr>
        <w:t>amendement parce qu</w:t>
      </w:r>
      <w:r w:rsidR="00923E72">
        <w:rPr>
          <w:bCs/>
          <w:lang w:val="fr-FR"/>
        </w:rPr>
        <w:t>’</w:t>
      </w:r>
      <w:r w:rsidRPr="00112757">
        <w:rPr>
          <w:bCs/>
          <w:lang w:val="fr-FR"/>
        </w:rPr>
        <w:t>il estimait que la réflexion globale ne prenait pas en compte les questions de racisme et de discrimination, une disposition qu</w:t>
      </w:r>
      <w:r w:rsidR="00923E72">
        <w:rPr>
          <w:bCs/>
          <w:lang w:val="fr-FR"/>
        </w:rPr>
        <w:t>’</w:t>
      </w:r>
      <w:r w:rsidRPr="00112757">
        <w:rPr>
          <w:bCs/>
          <w:lang w:val="fr-FR"/>
        </w:rPr>
        <w:t>il convenait d</w:t>
      </w:r>
      <w:r w:rsidR="00923E72">
        <w:rPr>
          <w:bCs/>
          <w:lang w:val="fr-FR"/>
        </w:rPr>
        <w:t>’</w:t>
      </w:r>
      <w:r w:rsidRPr="00112757">
        <w:rPr>
          <w:bCs/>
          <w:lang w:val="fr-FR"/>
        </w:rPr>
        <w:t>aborder aujourd</w:t>
      </w:r>
      <w:r w:rsidR="00923E72">
        <w:rPr>
          <w:bCs/>
          <w:lang w:val="fr-FR"/>
        </w:rPr>
        <w:t>’</w:t>
      </w:r>
      <w:r w:rsidRPr="00112757">
        <w:rPr>
          <w:bCs/>
          <w:lang w:val="fr-FR"/>
        </w:rPr>
        <w:t>hui. La délégation estimait que cette partie de l</w:t>
      </w:r>
      <w:r w:rsidR="00923E72">
        <w:rPr>
          <w:bCs/>
          <w:lang w:val="fr-FR"/>
        </w:rPr>
        <w:t>’</w:t>
      </w:r>
      <w:r w:rsidRPr="00112757">
        <w:rPr>
          <w:bCs/>
          <w:lang w:val="fr-FR"/>
        </w:rPr>
        <w:t>élément</w:t>
      </w:r>
      <w:r w:rsidR="001D2261">
        <w:rPr>
          <w:bCs/>
          <w:lang w:val="fr-FR"/>
        </w:rPr>
        <w:t xml:space="preserve">, </w:t>
      </w:r>
      <w:r w:rsidRPr="00112757">
        <w:rPr>
          <w:bCs/>
          <w:lang w:val="fr-FR"/>
        </w:rPr>
        <w:t>et ce n</w:t>
      </w:r>
      <w:r w:rsidR="00923E72">
        <w:rPr>
          <w:bCs/>
          <w:lang w:val="fr-FR"/>
        </w:rPr>
        <w:t>’</w:t>
      </w:r>
      <w:r w:rsidRPr="00112757">
        <w:rPr>
          <w:bCs/>
          <w:lang w:val="fr-FR"/>
        </w:rPr>
        <w:t>était pas contre les huit autres communautés</w:t>
      </w:r>
      <w:r w:rsidR="001D2261">
        <w:rPr>
          <w:bCs/>
          <w:lang w:val="fr-FR"/>
        </w:rPr>
        <w:t xml:space="preserve">, </w:t>
      </w:r>
      <w:r w:rsidRPr="00112757">
        <w:rPr>
          <w:bCs/>
          <w:lang w:val="fr-FR"/>
        </w:rPr>
        <w:t>devait être retirée immédiatement. Une opportunité avait été donnée à ces communautés. Les membres du Comité avaient vu les photos et lu les interviews du maire de la ville qui disait qu</w:t>
      </w:r>
      <w:r w:rsidR="00923E72">
        <w:rPr>
          <w:bCs/>
          <w:lang w:val="fr-FR"/>
        </w:rPr>
        <w:t>’</w:t>
      </w:r>
      <w:r w:rsidRPr="00112757">
        <w:rPr>
          <w:bCs/>
          <w:lang w:val="fr-FR"/>
        </w:rPr>
        <w:t>ils n</w:t>
      </w:r>
      <w:r w:rsidR="00923E72">
        <w:rPr>
          <w:bCs/>
          <w:lang w:val="fr-FR"/>
        </w:rPr>
        <w:t>’</w:t>
      </w:r>
      <w:r w:rsidRPr="00112757">
        <w:rPr>
          <w:bCs/>
          <w:lang w:val="fr-FR"/>
        </w:rPr>
        <w:t>allaient pas retirer le personnage parce qu</w:t>
      </w:r>
      <w:r w:rsidR="00923E72">
        <w:rPr>
          <w:bCs/>
          <w:lang w:val="fr-FR"/>
        </w:rPr>
        <w:t>’</w:t>
      </w:r>
      <w:r w:rsidRPr="00112757">
        <w:rPr>
          <w:bCs/>
          <w:lang w:val="fr-FR"/>
        </w:rPr>
        <w:t>il faisait partie de leur culture. Le Comité était à la croisée des chemins et devrait sérieusement réfléchir à ce qu</w:t>
      </w:r>
      <w:r w:rsidR="00923E72">
        <w:rPr>
          <w:bCs/>
          <w:lang w:val="fr-FR"/>
        </w:rPr>
        <w:t>’</w:t>
      </w:r>
      <w:r w:rsidRPr="00112757">
        <w:rPr>
          <w:bCs/>
          <w:lang w:val="fr-FR"/>
        </w:rPr>
        <w:t>il avait approuvé en matière de Directives opérationnelles. Les Directives prenaient-elles en compte les questions de racisme et de discrimination lorsqu</w:t>
      </w:r>
      <w:r w:rsidR="00923E72">
        <w:rPr>
          <w:bCs/>
          <w:lang w:val="fr-FR"/>
        </w:rPr>
        <w:t>’</w:t>
      </w:r>
      <w:r w:rsidRPr="00112757">
        <w:rPr>
          <w:bCs/>
          <w:lang w:val="fr-FR"/>
        </w:rPr>
        <w:t>elles amélioraient le mécanisme de suivi approfondi ? Le Comité le devait à l</w:t>
      </w:r>
      <w:r w:rsidR="00923E72">
        <w:rPr>
          <w:bCs/>
          <w:lang w:val="fr-FR"/>
        </w:rPr>
        <w:t>’</w:t>
      </w:r>
      <w:r w:rsidRPr="00112757">
        <w:rPr>
          <w:bCs/>
          <w:lang w:val="fr-FR"/>
        </w:rPr>
        <w:t>Afrique, au Maroc. Il devait quitter cette dix</w:t>
      </w:r>
      <w:r w:rsidR="00191C2C">
        <w:rPr>
          <w:bCs/>
          <w:lang w:val="fr-FR"/>
        </w:rPr>
        <w:noBreakHyphen/>
      </w:r>
      <w:r w:rsidRPr="00112757">
        <w:rPr>
          <w:bCs/>
          <w:lang w:val="fr-FR"/>
        </w:rPr>
        <w:t>septième session avec un bon souvenir, dans la paix et l</w:t>
      </w:r>
      <w:r w:rsidR="00923E72">
        <w:rPr>
          <w:bCs/>
          <w:lang w:val="fr-FR"/>
        </w:rPr>
        <w:t>’</w:t>
      </w:r>
      <w:r w:rsidRPr="00112757">
        <w:rPr>
          <w:bCs/>
          <w:lang w:val="fr-FR"/>
        </w:rPr>
        <w:t>harmonie. La délégation estimait que cette question méritait l</w:t>
      </w:r>
      <w:r w:rsidR="00923E72">
        <w:rPr>
          <w:bCs/>
          <w:lang w:val="fr-FR"/>
        </w:rPr>
        <w:t>’</w:t>
      </w:r>
      <w:r w:rsidRPr="00112757">
        <w:rPr>
          <w:bCs/>
          <w:lang w:val="fr-FR"/>
        </w:rPr>
        <w:t>attention du Comité et une action. Pour ces raisons, elle soutenait l</w:t>
      </w:r>
      <w:r w:rsidR="00923E72">
        <w:rPr>
          <w:bCs/>
          <w:lang w:val="fr-FR"/>
        </w:rPr>
        <w:t>’</w:t>
      </w:r>
      <w:r w:rsidRPr="00112757">
        <w:rPr>
          <w:bCs/>
          <w:lang w:val="fr-FR"/>
        </w:rPr>
        <w:t>option 2 consistant à retirer l</w:t>
      </w:r>
      <w:r w:rsidR="00923E72">
        <w:rPr>
          <w:bCs/>
          <w:lang w:val="fr-FR"/>
        </w:rPr>
        <w:t>’</w:t>
      </w:r>
      <w:r w:rsidRPr="00112757">
        <w:rPr>
          <w:bCs/>
          <w:lang w:val="fr-FR"/>
        </w:rPr>
        <w:t>élément de la liste avec effet immédiat.</w:t>
      </w:r>
    </w:p>
    <w:p w14:paraId="3F6CFBE6" w14:textId="0255E771" w:rsidR="00C06FE4" w:rsidRDefault="00C06FE4" w:rsidP="00AA7EE4">
      <w:pPr>
        <w:pStyle w:val="Orateurengris"/>
        <w:numPr>
          <w:ilvl w:val="0"/>
          <w:numId w:val="20"/>
        </w:numPr>
        <w:tabs>
          <w:tab w:val="clear" w:pos="567"/>
        </w:tabs>
        <w:spacing w:before="120"/>
        <w:ind w:left="709" w:hanging="709"/>
        <w:rPr>
          <w:bCs/>
          <w:lang w:val="fr-FR"/>
        </w:rPr>
      </w:pPr>
      <w:r w:rsidRPr="00C06FE4">
        <w:rPr>
          <w:bCs/>
          <w:lang w:val="fr-FR"/>
        </w:rPr>
        <w:t xml:space="preserve">Le </w:t>
      </w:r>
      <w:r w:rsidRPr="00702497">
        <w:rPr>
          <w:b/>
          <w:lang w:val="fr-FR"/>
        </w:rPr>
        <w:t>Président</w:t>
      </w:r>
      <w:r w:rsidRPr="00C06FE4">
        <w:rPr>
          <w:bCs/>
          <w:lang w:val="fr-FR"/>
        </w:rPr>
        <w:t xml:space="preserve"> souscrivait pleinement aux remarques du Botswana. Tout le monde </w:t>
      </w:r>
      <w:r w:rsidR="00716DB8">
        <w:rPr>
          <w:bCs/>
          <w:lang w:val="fr-FR"/>
        </w:rPr>
        <w:t xml:space="preserve">convenait </w:t>
      </w:r>
      <w:r w:rsidRPr="00C06FE4">
        <w:rPr>
          <w:bCs/>
          <w:lang w:val="fr-FR"/>
        </w:rPr>
        <w:t>que l</w:t>
      </w:r>
      <w:r w:rsidR="00923E72">
        <w:rPr>
          <w:bCs/>
          <w:lang w:val="fr-FR"/>
        </w:rPr>
        <w:t>’</w:t>
      </w:r>
      <w:r w:rsidRPr="00C06FE4">
        <w:rPr>
          <w:bCs/>
          <w:lang w:val="fr-FR"/>
        </w:rPr>
        <w:t xml:space="preserve">image était insupportable, </w:t>
      </w:r>
      <w:r w:rsidR="00191C2C">
        <w:rPr>
          <w:bCs/>
          <w:lang w:val="fr-FR"/>
        </w:rPr>
        <w:t xml:space="preserve">indépendamment de </w:t>
      </w:r>
      <w:r w:rsidR="00716DB8">
        <w:rPr>
          <w:bCs/>
          <w:lang w:val="fr-FR"/>
        </w:rPr>
        <w:t>l</w:t>
      </w:r>
      <w:r w:rsidR="00923E72">
        <w:rPr>
          <w:bCs/>
          <w:lang w:val="fr-FR"/>
        </w:rPr>
        <w:t>’</w:t>
      </w:r>
      <w:r w:rsidRPr="00C06FE4">
        <w:rPr>
          <w:bCs/>
          <w:lang w:val="fr-FR"/>
        </w:rPr>
        <w:t xml:space="preserve">origine ou </w:t>
      </w:r>
      <w:r w:rsidR="00191C2C">
        <w:rPr>
          <w:bCs/>
          <w:lang w:val="fr-FR"/>
        </w:rPr>
        <w:t>du</w:t>
      </w:r>
      <w:r w:rsidRPr="00C06FE4">
        <w:rPr>
          <w:bCs/>
          <w:lang w:val="fr-FR"/>
        </w:rPr>
        <w:t xml:space="preserve"> continent</w:t>
      </w:r>
      <w:r w:rsidR="00716DB8">
        <w:rPr>
          <w:bCs/>
          <w:lang w:val="fr-FR"/>
        </w:rPr>
        <w:t xml:space="preserve"> de chacun</w:t>
      </w:r>
      <w:r w:rsidRPr="00C06FE4">
        <w:rPr>
          <w:bCs/>
          <w:lang w:val="fr-FR"/>
        </w:rPr>
        <w:t>. En tant qu</w:t>
      </w:r>
      <w:r w:rsidR="00923E72">
        <w:rPr>
          <w:bCs/>
          <w:lang w:val="fr-FR"/>
        </w:rPr>
        <w:t>’</w:t>
      </w:r>
      <w:r w:rsidRPr="00C06FE4">
        <w:rPr>
          <w:bCs/>
          <w:lang w:val="fr-FR"/>
        </w:rPr>
        <w:t>universalistes, nous étions imprégnés de valeurs universelles qui nous rassemblent au sein de l</w:t>
      </w:r>
      <w:r w:rsidR="00923E72">
        <w:rPr>
          <w:bCs/>
          <w:lang w:val="fr-FR"/>
        </w:rPr>
        <w:t>’</w:t>
      </w:r>
      <w:r w:rsidRPr="00C06FE4">
        <w:rPr>
          <w:bCs/>
          <w:lang w:val="fr-FR"/>
        </w:rPr>
        <w:t>UNESCO. Ce n</w:t>
      </w:r>
      <w:r w:rsidR="00923E72">
        <w:rPr>
          <w:bCs/>
          <w:lang w:val="fr-FR"/>
        </w:rPr>
        <w:t>’</w:t>
      </w:r>
      <w:r w:rsidRPr="00C06FE4">
        <w:rPr>
          <w:bCs/>
          <w:lang w:val="fr-FR"/>
        </w:rPr>
        <w:t>était pas l</w:t>
      </w:r>
      <w:r w:rsidR="00923E72">
        <w:rPr>
          <w:bCs/>
          <w:lang w:val="fr-FR"/>
        </w:rPr>
        <w:t>’</w:t>
      </w:r>
      <w:r w:rsidRPr="00C06FE4">
        <w:rPr>
          <w:bCs/>
          <w:lang w:val="fr-FR"/>
        </w:rPr>
        <w:t>ensemble de l</w:t>
      </w:r>
      <w:r w:rsidR="00923E72">
        <w:rPr>
          <w:bCs/>
          <w:lang w:val="fr-FR"/>
        </w:rPr>
        <w:t>’</w:t>
      </w:r>
      <w:r w:rsidRPr="00C06FE4">
        <w:rPr>
          <w:bCs/>
          <w:lang w:val="fr-FR"/>
        </w:rPr>
        <w:t>élément qui posait problème, c</w:t>
      </w:r>
      <w:r w:rsidR="00923E72">
        <w:rPr>
          <w:bCs/>
          <w:lang w:val="fr-FR"/>
        </w:rPr>
        <w:t>’</w:t>
      </w:r>
      <w:r w:rsidRPr="00C06FE4">
        <w:rPr>
          <w:bCs/>
          <w:lang w:val="fr-FR"/>
        </w:rPr>
        <w:t xml:space="preserve">était ce personnage particulier du </w:t>
      </w:r>
      <w:r w:rsidR="00716DB8">
        <w:rPr>
          <w:bCs/>
          <w:lang w:val="fr-FR"/>
        </w:rPr>
        <w:t>« S</w:t>
      </w:r>
      <w:r w:rsidRPr="00C06FE4">
        <w:rPr>
          <w:bCs/>
          <w:lang w:val="fr-FR"/>
        </w:rPr>
        <w:t>auvage</w:t>
      </w:r>
      <w:r w:rsidR="00716DB8">
        <w:rPr>
          <w:bCs/>
          <w:lang w:val="fr-FR"/>
        </w:rPr>
        <w:t> »</w:t>
      </w:r>
      <w:r w:rsidRPr="00C06FE4">
        <w:rPr>
          <w:bCs/>
          <w:lang w:val="fr-FR"/>
        </w:rPr>
        <w:t xml:space="preserve"> qui était inacceptable. Le Comité se trouvait sur le sol africain et il était juste de souligner que cela ne pouvait </w:t>
      </w:r>
      <w:r w:rsidR="00716DB8">
        <w:rPr>
          <w:bCs/>
          <w:lang w:val="fr-FR"/>
        </w:rPr>
        <w:t xml:space="preserve">pas </w:t>
      </w:r>
      <w:r w:rsidRPr="00C06FE4">
        <w:rPr>
          <w:bCs/>
          <w:lang w:val="fr-FR"/>
        </w:rPr>
        <w:t>être accepté par l</w:t>
      </w:r>
      <w:r w:rsidR="00923E72">
        <w:rPr>
          <w:bCs/>
          <w:lang w:val="fr-FR"/>
        </w:rPr>
        <w:t>’</w:t>
      </w:r>
      <w:r w:rsidRPr="00C06FE4">
        <w:rPr>
          <w:bCs/>
          <w:lang w:val="fr-FR"/>
        </w:rPr>
        <w:t>UNESCO. En tant qu</w:t>
      </w:r>
      <w:r w:rsidR="00923E72">
        <w:rPr>
          <w:bCs/>
          <w:lang w:val="fr-FR"/>
        </w:rPr>
        <w:t>’</w:t>
      </w:r>
      <w:r w:rsidRPr="00C06FE4">
        <w:rPr>
          <w:bCs/>
          <w:lang w:val="fr-FR"/>
        </w:rPr>
        <w:t>Africain, le Président était profondément choqué par cet élément.</w:t>
      </w:r>
    </w:p>
    <w:p w14:paraId="1F098EE4" w14:textId="4A45EE05" w:rsidR="00716DB8" w:rsidRDefault="00716DB8" w:rsidP="00AA7EE4">
      <w:pPr>
        <w:pStyle w:val="Orateurengris"/>
        <w:numPr>
          <w:ilvl w:val="0"/>
          <w:numId w:val="20"/>
        </w:numPr>
        <w:tabs>
          <w:tab w:val="clear" w:pos="567"/>
        </w:tabs>
        <w:spacing w:before="120"/>
        <w:ind w:left="709" w:hanging="709"/>
        <w:rPr>
          <w:bCs/>
          <w:lang w:val="fr-FR"/>
        </w:rPr>
      </w:pPr>
      <w:r w:rsidRPr="00716DB8">
        <w:rPr>
          <w:bCs/>
          <w:lang w:val="fr-FR"/>
        </w:rPr>
        <w:t xml:space="preserve">La délégation de la </w:t>
      </w:r>
      <w:r w:rsidRPr="00702497">
        <w:rPr>
          <w:b/>
          <w:lang w:val="fr-FR"/>
        </w:rPr>
        <w:t>Tchéquie</w:t>
      </w:r>
      <w:r w:rsidRPr="00716DB8">
        <w:rPr>
          <w:bCs/>
          <w:lang w:val="fr-FR"/>
        </w:rPr>
        <w:t xml:space="preserve"> a fait remarquer que les documents préparés par le Secrétariat expliquaient très clairement ce qui s</w:t>
      </w:r>
      <w:r w:rsidR="00923E72">
        <w:rPr>
          <w:bCs/>
          <w:lang w:val="fr-FR"/>
        </w:rPr>
        <w:t>’</w:t>
      </w:r>
      <w:r w:rsidRPr="00716DB8">
        <w:rPr>
          <w:bCs/>
          <w:lang w:val="fr-FR"/>
        </w:rPr>
        <w:t xml:space="preserve">était passé et quelles mesures avaient été prises par la Belgique pour </w:t>
      </w:r>
      <w:r w:rsidR="00B9146D">
        <w:rPr>
          <w:bCs/>
          <w:lang w:val="fr-FR"/>
        </w:rPr>
        <w:t xml:space="preserve">remédier à </w:t>
      </w:r>
      <w:r w:rsidRPr="00716DB8">
        <w:rPr>
          <w:bCs/>
          <w:lang w:val="fr-FR"/>
        </w:rPr>
        <w:t xml:space="preserve">la situation. Elle estimait que la Belgique avait pris la </w:t>
      </w:r>
      <w:r w:rsidR="00B9146D">
        <w:rPr>
          <w:bCs/>
          <w:lang w:val="fr-FR"/>
        </w:rPr>
        <w:t xml:space="preserve">question </w:t>
      </w:r>
      <w:r w:rsidRPr="00716DB8">
        <w:rPr>
          <w:bCs/>
          <w:lang w:val="fr-FR"/>
        </w:rPr>
        <w:t>au sérieux et avait décidé de consulter la communauté pour recueillir son avis et trouver une solution qui serait largement acceptée et fondée sur un accord. Cependant, le Comité discutait des principes fondateurs mêmes de l</w:t>
      </w:r>
      <w:r w:rsidR="00923E72">
        <w:rPr>
          <w:bCs/>
          <w:lang w:val="fr-FR"/>
        </w:rPr>
        <w:t>’</w:t>
      </w:r>
      <w:r w:rsidRPr="00716DB8">
        <w:rPr>
          <w:bCs/>
          <w:lang w:val="fr-FR"/>
        </w:rPr>
        <w:t xml:space="preserve">UNESCO et de la Convention. La communauté pourrait décider de conserver le personnage du </w:t>
      </w:r>
      <w:r w:rsidR="00B9146D">
        <w:rPr>
          <w:bCs/>
          <w:lang w:val="fr-FR"/>
        </w:rPr>
        <w:t>« </w:t>
      </w:r>
      <w:r w:rsidRPr="00716DB8">
        <w:rPr>
          <w:bCs/>
          <w:lang w:val="fr-FR"/>
        </w:rPr>
        <w:t>Sauvage</w:t>
      </w:r>
      <w:r w:rsidR="00B9146D">
        <w:rPr>
          <w:bCs/>
          <w:lang w:val="fr-FR"/>
        </w:rPr>
        <w:t> »</w:t>
      </w:r>
      <w:r w:rsidRPr="00716DB8">
        <w:rPr>
          <w:bCs/>
          <w:lang w:val="fr-FR"/>
        </w:rPr>
        <w:t>. Dans ce cas, il semblerait qu</w:t>
      </w:r>
      <w:r w:rsidR="00923E72">
        <w:rPr>
          <w:bCs/>
          <w:lang w:val="fr-FR"/>
        </w:rPr>
        <w:t>’</w:t>
      </w:r>
      <w:r w:rsidRPr="00716DB8">
        <w:rPr>
          <w:bCs/>
          <w:lang w:val="fr-FR"/>
        </w:rPr>
        <w:t>elle s</w:t>
      </w:r>
      <w:r w:rsidR="00923E72">
        <w:rPr>
          <w:bCs/>
          <w:lang w:val="fr-FR"/>
        </w:rPr>
        <w:t>’</w:t>
      </w:r>
      <w:r w:rsidRPr="00716DB8">
        <w:rPr>
          <w:bCs/>
          <w:lang w:val="fr-FR"/>
        </w:rPr>
        <w:t>éloigne des principes de l</w:t>
      </w:r>
      <w:r w:rsidR="00923E72">
        <w:rPr>
          <w:bCs/>
          <w:lang w:val="fr-FR"/>
        </w:rPr>
        <w:t>’</w:t>
      </w:r>
      <w:r w:rsidRPr="00716DB8">
        <w:rPr>
          <w:bCs/>
          <w:lang w:val="fr-FR"/>
        </w:rPr>
        <w:t xml:space="preserve">UNESCO, ou bien elle pourrait renoncer à ce personnage afin de rester sur la Liste. </w:t>
      </w:r>
      <w:r w:rsidRPr="00CC0C08">
        <w:rPr>
          <w:bCs/>
          <w:lang w:val="fr-FR"/>
        </w:rPr>
        <w:t>Le Comité pourrait estimer que si l</w:t>
      </w:r>
      <w:r w:rsidR="00923E72">
        <w:rPr>
          <w:bCs/>
          <w:lang w:val="fr-FR"/>
        </w:rPr>
        <w:t>’</w:t>
      </w:r>
      <w:r w:rsidRPr="00CC0C08">
        <w:rPr>
          <w:bCs/>
          <w:lang w:val="fr-FR"/>
        </w:rPr>
        <w:t xml:space="preserve">on procédait de la sorte, </w:t>
      </w:r>
      <w:r w:rsidR="00CC0C08" w:rsidRPr="00702497">
        <w:rPr>
          <w:bCs/>
          <w:lang w:val="fr-FR"/>
        </w:rPr>
        <w:t>cela allait</w:t>
      </w:r>
      <w:r w:rsidR="00CC0C08" w:rsidRPr="00CC0C08">
        <w:rPr>
          <w:bCs/>
          <w:lang w:val="fr-FR"/>
        </w:rPr>
        <w:t xml:space="preserve"> réellement modifier l</w:t>
      </w:r>
      <w:r w:rsidR="00923E72">
        <w:rPr>
          <w:bCs/>
          <w:lang w:val="fr-FR"/>
        </w:rPr>
        <w:t>’</w:t>
      </w:r>
      <w:r w:rsidR="00CC0C08" w:rsidRPr="00CC0C08">
        <w:rPr>
          <w:bCs/>
          <w:lang w:val="fr-FR"/>
        </w:rPr>
        <w:t xml:space="preserve">élément et interférer avec le développement naturel du patrimoine </w:t>
      </w:r>
      <w:r w:rsidR="00CC0C08" w:rsidRPr="00CC0C08">
        <w:rPr>
          <w:bCs/>
          <w:lang w:val="fr-FR"/>
        </w:rPr>
        <w:lastRenderedPageBreak/>
        <w:t>culturel immatériel</w:t>
      </w:r>
      <w:r w:rsidR="001D2261">
        <w:rPr>
          <w:bCs/>
          <w:lang w:val="fr-FR"/>
        </w:rPr>
        <w:t>.</w:t>
      </w:r>
      <w:r w:rsidRPr="00716DB8">
        <w:rPr>
          <w:bCs/>
          <w:lang w:val="fr-FR"/>
        </w:rPr>
        <w:t xml:space="preserve"> Cette question suscitait donc de nombreuses interrogations. Le caractère reflétait-il une partie concrète de l</w:t>
      </w:r>
      <w:r w:rsidR="00923E72">
        <w:rPr>
          <w:bCs/>
          <w:lang w:val="fr-FR"/>
        </w:rPr>
        <w:t>’</w:t>
      </w:r>
      <w:r w:rsidRPr="00716DB8">
        <w:rPr>
          <w:bCs/>
          <w:lang w:val="fr-FR"/>
        </w:rPr>
        <w:t>histoire qui s</w:t>
      </w:r>
      <w:r w:rsidR="00923E72">
        <w:rPr>
          <w:bCs/>
          <w:lang w:val="fr-FR"/>
        </w:rPr>
        <w:t>’</w:t>
      </w:r>
      <w:r w:rsidRPr="00716DB8">
        <w:rPr>
          <w:bCs/>
          <w:lang w:val="fr-FR"/>
        </w:rPr>
        <w:t>était déroulée et que l</w:t>
      </w:r>
      <w:r w:rsidR="00923E72">
        <w:rPr>
          <w:bCs/>
          <w:lang w:val="fr-FR"/>
        </w:rPr>
        <w:t>’</w:t>
      </w:r>
      <w:r w:rsidRPr="00716DB8">
        <w:rPr>
          <w:bCs/>
          <w:lang w:val="fr-FR"/>
        </w:rPr>
        <w:t>on ne pouvait nier même si l</w:t>
      </w:r>
      <w:r w:rsidR="00923E72">
        <w:rPr>
          <w:bCs/>
          <w:lang w:val="fr-FR"/>
        </w:rPr>
        <w:t>’</w:t>
      </w:r>
      <w:r w:rsidRPr="00716DB8">
        <w:rPr>
          <w:bCs/>
          <w:lang w:val="fr-FR"/>
        </w:rPr>
        <w:t>on souhaitait l</w:t>
      </w:r>
      <w:r w:rsidR="00923E72">
        <w:rPr>
          <w:bCs/>
          <w:lang w:val="fr-FR"/>
        </w:rPr>
        <w:t>’</w:t>
      </w:r>
      <w:r w:rsidRPr="00716DB8">
        <w:rPr>
          <w:bCs/>
          <w:lang w:val="fr-FR"/>
        </w:rPr>
        <w:t>effacer</w:t>
      </w:r>
      <w:r w:rsidR="00B9146D">
        <w:rPr>
          <w:bCs/>
          <w:lang w:val="fr-FR"/>
        </w:rPr>
        <w:t> </w:t>
      </w:r>
      <w:r w:rsidRPr="00716DB8">
        <w:rPr>
          <w:bCs/>
          <w:lang w:val="fr-FR"/>
        </w:rPr>
        <w:t>? Ou bien l</w:t>
      </w:r>
      <w:r w:rsidR="00923E72">
        <w:rPr>
          <w:bCs/>
          <w:lang w:val="fr-FR"/>
        </w:rPr>
        <w:t>’</w:t>
      </w:r>
      <w:r w:rsidRPr="00716DB8">
        <w:rPr>
          <w:bCs/>
          <w:lang w:val="fr-FR"/>
        </w:rPr>
        <w:t>histoire était-elle déformée par le biais de ce personnage</w:t>
      </w:r>
      <w:r w:rsidR="00B9146D">
        <w:rPr>
          <w:bCs/>
          <w:lang w:val="fr-FR"/>
        </w:rPr>
        <w:t> </w:t>
      </w:r>
      <w:r w:rsidRPr="00716DB8">
        <w:rPr>
          <w:bCs/>
          <w:lang w:val="fr-FR"/>
        </w:rPr>
        <w:t>? Était-ce une image raciste stéréotypée ou une approche historique que tout le monde voulait consciemment rejeter</w:t>
      </w:r>
      <w:r w:rsidR="00B9146D">
        <w:rPr>
          <w:bCs/>
          <w:lang w:val="fr-FR"/>
        </w:rPr>
        <w:t> </w:t>
      </w:r>
      <w:r w:rsidRPr="00716DB8">
        <w:rPr>
          <w:bCs/>
          <w:lang w:val="fr-FR"/>
        </w:rPr>
        <w:t>? La délégation</w:t>
      </w:r>
      <w:r w:rsidR="00B9146D">
        <w:rPr>
          <w:bCs/>
          <w:lang w:val="fr-FR"/>
        </w:rPr>
        <w:t>, qui</w:t>
      </w:r>
      <w:r w:rsidRPr="00716DB8">
        <w:rPr>
          <w:bCs/>
          <w:lang w:val="fr-FR"/>
        </w:rPr>
        <w:t xml:space="preserve"> comprenait qu</w:t>
      </w:r>
      <w:r w:rsidR="00923E72">
        <w:rPr>
          <w:bCs/>
          <w:lang w:val="fr-FR"/>
        </w:rPr>
        <w:t>’</w:t>
      </w:r>
      <w:r w:rsidRPr="00716DB8">
        <w:rPr>
          <w:bCs/>
          <w:lang w:val="fr-FR"/>
        </w:rPr>
        <w:t>il s</w:t>
      </w:r>
      <w:r w:rsidR="00923E72">
        <w:rPr>
          <w:bCs/>
          <w:lang w:val="fr-FR"/>
        </w:rPr>
        <w:t>’</w:t>
      </w:r>
      <w:r w:rsidRPr="00716DB8">
        <w:rPr>
          <w:bCs/>
          <w:lang w:val="fr-FR"/>
        </w:rPr>
        <w:t xml:space="preserve">agissait </w:t>
      </w:r>
      <w:r w:rsidR="00191C2C">
        <w:rPr>
          <w:bCs/>
          <w:lang w:val="fr-FR"/>
        </w:rPr>
        <w:t xml:space="preserve">là </w:t>
      </w:r>
      <w:r w:rsidRPr="00716DB8">
        <w:rPr>
          <w:bCs/>
          <w:lang w:val="fr-FR"/>
        </w:rPr>
        <w:t>d</w:t>
      </w:r>
      <w:r w:rsidR="00923E72">
        <w:rPr>
          <w:bCs/>
          <w:lang w:val="fr-FR"/>
        </w:rPr>
        <w:t>’</w:t>
      </w:r>
      <w:r w:rsidRPr="00716DB8">
        <w:rPr>
          <w:bCs/>
          <w:lang w:val="fr-FR"/>
        </w:rPr>
        <w:t>une question extrêmement sensible, s</w:t>
      </w:r>
      <w:r w:rsidR="00B9146D">
        <w:rPr>
          <w:bCs/>
          <w:lang w:val="fr-FR"/>
        </w:rPr>
        <w:t xml:space="preserve">e </w:t>
      </w:r>
      <w:r w:rsidRPr="00716DB8">
        <w:rPr>
          <w:bCs/>
          <w:lang w:val="fr-FR"/>
        </w:rPr>
        <w:t>demand</w:t>
      </w:r>
      <w:r w:rsidR="00B9146D">
        <w:rPr>
          <w:bCs/>
          <w:lang w:val="fr-FR"/>
        </w:rPr>
        <w:t>ait</w:t>
      </w:r>
      <w:r w:rsidRPr="00716DB8">
        <w:rPr>
          <w:bCs/>
          <w:lang w:val="fr-FR"/>
        </w:rPr>
        <w:t xml:space="preserve"> quel serait l</w:t>
      </w:r>
      <w:r w:rsidR="00923E72">
        <w:rPr>
          <w:bCs/>
          <w:lang w:val="fr-FR"/>
        </w:rPr>
        <w:t>’</w:t>
      </w:r>
      <w:r w:rsidRPr="00716DB8">
        <w:rPr>
          <w:bCs/>
          <w:lang w:val="fr-FR"/>
        </w:rPr>
        <w:t>effet d</w:t>
      </w:r>
      <w:r w:rsidR="00923E72">
        <w:rPr>
          <w:bCs/>
          <w:lang w:val="fr-FR"/>
        </w:rPr>
        <w:t>’</w:t>
      </w:r>
      <w:r w:rsidRPr="00716DB8">
        <w:rPr>
          <w:bCs/>
          <w:lang w:val="fr-FR"/>
        </w:rPr>
        <w:t>un retrait immédiat de la Ducasse d</w:t>
      </w:r>
      <w:r w:rsidR="00923E72">
        <w:rPr>
          <w:bCs/>
          <w:lang w:val="fr-FR"/>
        </w:rPr>
        <w:t>’</w:t>
      </w:r>
      <w:r w:rsidRPr="00716DB8">
        <w:rPr>
          <w:bCs/>
          <w:lang w:val="fr-FR"/>
        </w:rPr>
        <w:t xml:space="preserve">Ath de la Liste par rapport à </w:t>
      </w:r>
      <w:r w:rsidR="00B9146D">
        <w:rPr>
          <w:bCs/>
          <w:lang w:val="fr-FR"/>
        </w:rPr>
        <w:t>l</w:t>
      </w:r>
      <w:r w:rsidR="00923E72">
        <w:rPr>
          <w:bCs/>
          <w:lang w:val="fr-FR"/>
        </w:rPr>
        <w:t>’</w:t>
      </w:r>
      <w:r w:rsidR="00B9146D">
        <w:rPr>
          <w:bCs/>
          <w:lang w:val="fr-FR"/>
        </w:rPr>
        <w:t>effet d</w:t>
      </w:r>
      <w:r w:rsidR="00923E72">
        <w:rPr>
          <w:bCs/>
          <w:lang w:val="fr-FR"/>
        </w:rPr>
        <w:t>’</w:t>
      </w:r>
      <w:r w:rsidRPr="00716DB8">
        <w:rPr>
          <w:bCs/>
          <w:lang w:val="fr-FR"/>
        </w:rPr>
        <w:t>un processus de suivi. Si le Comité optait pour cette dernière solution, cela permettrait aux communautés de réfléchir en profondeur à la situation et à leur approche en matière de respect des autres groupes. Cela pourrait déboucher sur une solution ascendante acceptée par le grand public et, par conséquent, sur un changement à long terme. L</w:t>
      </w:r>
      <w:r w:rsidR="00923E72">
        <w:rPr>
          <w:bCs/>
          <w:lang w:val="fr-FR"/>
        </w:rPr>
        <w:t>’</w:t>
      </w:r>
      <w:r w:rsidRPr="00716DB8">
        <w:rPr>
          <w:bCs/>
          <w:lang w:val="fr-FR"/>
        </w:rPr>
        <w:t>affaire serait rendue plus visible et le résultat escompté conduirait à un changement profond. Elle pourrait servir de bon exemple du pouvoir de la Convention et de la capacité du patrimoine culturel immatériel à surmonter les préjugés et la discrimination et à promouvoir le respect entre les nations. La délégation estimait qu</w:t>
      </w:r>
      <w:r w:rsidR="00923E72">
        <w:rPr>
          <w:bCs/>
          <w:lang w:val="fr-FR"/>
        </w:rPr>
        <w:t>’</w:t>
      </w:r>
      <w:r w:rsidRPr="00716DB8">
        <w:rPr>
          <w:bCs/>
          <w:lang w:val="fr-FR"/>
        </w:rPr>
        <w:t>il fallait donner plus de temps à la communauté pour trouver elle-même une solution et parvenir à un changement réel, efficace, bien réfléchi et, plus important encore, durable qui aurait un effet sur la société.</w:t>
      </w:r>
    </w:p>
    <w:p w14:paraId="7EA4E112" w14:textId="5C7E078E" w:rsidR="00530C43" w:rsidRDefault="00530C43" w:rsidP="00AA7EE4">
      <w:pPr>
        <w:pStyle w:val="Orateurengris"/>
        <w:numPr>
          <w:ilvl w:val="0"/>
          <w:numId w:val="20"/>
        </w:numPr>
        <w:tabs>
          <w:tab w:val="clear" w:pos="567"/>
        </w:tabs>
        <w:spacing w:before="120"/>
        <w:ind w:left="709" w:hanging="709"/>
        <w:rPr>
          <w:bCs/>
          <w:lang w:val="fr-FR"/>
        </w:rPr>
      </w:pPr>
      <w:r w:rsidRPr="00530C43">
        <w:rPr>
          <w:bCs/>
          <w:lang w:val="fr-FR"/>
        </w:rPr>
        <w:t xml:space="preserve">La délégation de la </w:t>
      </w:r>
      <w:r w:rsidRPr="00702497">
        <w:rPr>
          <w:b/>
          <w:lang w:val="fr-FR"/>
        </w:rPr>
        <w:t>Slovaquie</w:t>
      </w:r>
      <w:r w:rsidRPr="00530C43">
        <w:rPr>
          <w:bCs/>
          <w:lang w:val="fr-FR"/>
        </w:rPr>
        <w:t xml:space="preserve"> condamnait fermement toute forme de discrimination et de racisme telle qu</w:t>
      </w:r>
      <w:r w:rsidR="00923E72">
        <w:rPr>
          <w:bCs/>
          <w:lang w:val="fr-FR"/>
        </w:rPr>
        <w:t>’</w:t>
      </w:r>
      <w:r w:rsidRPr="00530C43">
        <w:rPr>
          <w:bCs/>
          <w:lang w:val="fr-FR"/>
        </w:rPr>
        <w:t>elle était représentée en l</w:t>
      </w:r>
      <w:r w:rsidR="00923E72">
        <w:rPr>
          <w:bCs/>
          <w:lang w:val="fr-FR"/>
        </w:rPr>
        <w:t>’</w:t>
      </w:r>
      <w:r w:rsidRPr="00530C43">
        <w:rPr>
          <w:bCs/>
          <w:lang w:val="fr-FR"/>
        </w:rPr>
        <w:t xml:space="preserve">espèce par le personnage du </w:t>
      </w:r>
      <w:r w:rsidR="00EB2062">
        <w:rPr>
          <w:bCs/>
          <w:lang w:val="fr-FR"/>
        </w:rPr>
        <w:t>« </w:t>
      </w:r>
      <w:r w:rsidRPr="00530C43">
        <w:rPr>
          <w:bCs/>
          <w:lang w:val="fr-FR"/>
        </w:rPr>
        <w:t>Sauvage</w:t>
      </w:r>
      <w:r w:rsidR="00EB2062">
        <w:rPr>
          <w:bCs/>
          <w:lang w:val="fr-FR"/>
        </w:rPr>
        <w:t> »</w:t>
      </w:r>
      <w:r w:rsidRPr="00530C43">
        <w:rPr>
          <w:bCs/>
          <w:lang w:val="fr-FR"/>
        </w:rPr>
        <w:t>, en contradiction directe avec les principes fondateurs de l</w:t>
      </w:r>
      <w:r w:rsidR="00923E72">
        <w:rPr>
          <w:bCs/>
          <w:lang w:val="fr-FR"/>
        </w:rPr>
        <w:t>’</w:t>
      </w:r>
      <w:r w:rsidRPr="00530C43">
        <w:rPr>
          <w:bCs/>
          <w:lang w:val="fr-FR"/>
        </w:rPr>
        <w:t>UNESCO et de l</w:t>
      </w:r>
      <w:r w:rsidR="00923E72">
        <w:rPr>
          <w:bCs/>
          <w:lang w:val="fr-FR"/>
        </w:rPr>
        <w:t>’</w:t>
      </w:r>
      <w:r w:rsidRPr="00530C43">
        <w:rPr>
          <w:bCs/>
          <w:lang w:val="fr-FR"/>
        </w:rPr>
        <w:t>ordre international fondé sur des règles. Elle estimait que la Convention de</w:t>
      </w:r>
      <w:r w:rsidR="006773EF">
        <w:rPr>
          <w:bCs/>
          <w:lang w:val="fr-FR"/>
        </w:rPr>
        <w:t> </w:t>
      </w:r>
      <w:r w:rsidRPr="00530C43">
        <w:rPr>
          <w:bCs/>
          <w:lang w:val="fr-FR"/>
        </w:rPr>
        <w:t>2003 et le Comité</w:t>
      </w:r>
      <w:r w:rsidR="003A2C9E">
        <w:rPr>
          <w:bCs/>
          <w:lang w:val="fr-FR"/>
        </w:rPr>
        <w:t xml:space="preserve">, </w:t>
      </w:r>
      <w:r w:rsidRPr="00530C43">
        <w:rPr>
          <w:bCs/>
          <w:lang w:val="fr-FR"/>
        </w:rPr>
        <w:t>de par son autorité</w:t>
      </w:r>
      <w:r w:rsidR="003A2C9E">
        <w:rPr>
          <w:bCs/>
          <w:lang w:val="fr-FR"/>
        </w:rPr>
        <w:t xml:space="preserve">, </w:t>
      </w:r>
      <w:r w:rsidRPr="00530C43">
        <w:rPr>
          <w:bCs/>
          <w:lang w:val="fr-FR"/>
        </w:rPr>
        <w:t>pouvaient contribuer à guider le processus de réflexion au sein des communautés afin de s</w:t>
      </w:r>
      <w:r w:rsidR="00923E72">
        <w:rPr>
          <w:bCs/>
          <w:lang w:val="fr-FR"/>
        </w:rPr>
        <w:t>’</w:t>
      </w:r>
      <w:r w:rsidRPr="00530C43">
        <w:rPr>
          <w:bCs/>
          <w:lang w:val="fr-FR"/>
        </w:rPr>
        <w:t xml:space="preserve">aligner sur les principes de la Convention. </w:t>
      </w:r>
      <w:r w:rsidR="00EB2062">
        <w:rPr>
          <w:bCs/>
          <w:lang w:val="fr-FR"/>
        </w:rPr>
        <w:t xml:space="preserve">La </w:t>
      </w:r>
      <w:r w:rsidR="00EB2062" w:rsidRPr="00EB2062">
        <w:rPr>
          <w:bCs/>
          <w:lang w:val="fr-FR"/>
        </w:rPr>
        <w:t>délégation</w:t>
      </w:r>
      <w:r w:rsidR="00EB2062">
        <w:rPr>
          <w:bCs/>
          <w:lang w:val="fr-FR"/>
        </w:rPr>
        <w:t xml:space="preserve"> a expliqué qu</w:t>
      </w:r>
      <w:r w:rsidR="00923E72">
        <w:rPr>
          <w:bCs/>
          <w:lang w:val="fr-FR"/>
        </w:rPr>
        <w:t>’</w:t>
      </w:r>
      <w:r w:rsidR="00EB2062">
        <w:rPr>
          <w:bCs/>
          <w:lang w:val="fr-FR"/>
        </w:rPr>
        <w:t xml:space="preserve">en se tournant </w:t>
      </w:r>
      <w:r w:rsidRPr="00530C43">
        <w:rPr>
          <w:bCs/>
          <w:lang w:val="fr-FR"/>
        </w:rPr>
        <w:t>vers l</w:t>
      </w:r>
      <w:r w:rsidR="00923E72">
        <w:rPr>
          <w:bCs/>
          <w:lang w:val="fr-FR"/>
        </w:rPr>
        <w:t>’</w:t>
      </w:r>
      <w:r w:rsidRPr="00530C43">
        <w:rPr>
          <w:bCs/>
          <w:lang w:val="fr-FR"/>
        </w:rPr>
        <w:t xml:space="preserve">avenir, </w:t>
      </w:r>
      <w:r w:rsidR="00EB2062">
        <w:rPr>
          <w:bCs/>
          <w:lang w:val="fr-FR"/>
        </w:rPr>
        <w:t xml:space="preserve">on réalisait que </w:t>
      </w:r>
      <w:r w:rsidRPr="00530C43">
        <w:rPr>
          <w:bCs/>
          <w:lang w:val="fr-FR"/>
        </w:rPr>
        <w:t>le patrimoine culturel immatériel n</w:t>
      </w:r>
      <w:r w:rsidR="00923E72">
        <w:rPr>
          <w:bCs/>
          <w:lang w:val="fr-FR"/>
        </w:rPr>
        <w:t>’</w:t>
      </w:r>
      <w:r w:rsidRPr="00530C43">
        <w:rPr>
          <w:bCs/>
          <w:lang w:val="fr-FR"/>
        </w:rPr>
        <w:t xml:space="preserve">était pas un élément statique, </w:t>
      </w:r>
      <w:r w:rsidR="00EB2062">
        <w:rPr>
          <w:bCs/>
          <w:lang w:val="fr-FR"/>
        </w:rPr>
        <w:t>qu</w:t>
      </w:r>
      <w:r w:rsidR="00923E72">
        <w:rPr>
          <w:bCs/>
          <w:lang w:val="fr-FR"/>
        </w:rPr>
        <w:t>’</w:t>
      </w:r>
      <w:r w:rsidRPr="00530C43">
        <w:rPr>
          <w:bCs/>
          <w:lang w:val="fr-FR"/>
        </w:rPr>
        <w:t xml:space="preserve">il évoluait avec le temps, reflétant </w:t>
      </w:r>
      <w:r w:rsidR="00EB2062">
        <w:rPr>
          <w:bCs/>
          <w:lang w:val="fr-FR"/>
        </w:rPr>
        <w:t xml:space="preserve">les changements </w:t>
      </w:r>
      <w:r w:rsidRPr="00530C43">
        <w:rPr>
          <w:bCs/>
          <w:lang w:val="fr-FR"/>
        </w:rPr>
        <w:t>de la société, et l</w:t>
      </w:r>
      <w:r w:rsidR="00923E72">
        <w:rPr>
          <w:bCs/>
          <w:lang w:val="fr-FR"/>
        </w:rPr>
        <w:t>’</w:t>
      </w:r>
      <w:r w:rsidRPr="00530C43">
        <w:rPr>
          <w:bCs/>
          <w:lang w:val="fr-FR"/>
        </w:rPr>
        <w:t>UNESCO pouvait jouer un rôle actif et positif à cet égard. Elle avait pris note, dans le rapport périodique récemment soumis par l</w:t>
      </w:r>
      <w:r w:rsidR="00923E72">
        <w:rPr>
          <w:bCs/>
          <w:lang w:val="fr-FR"/>
        </w:rPr>
        <w:t>’</w:t>
      </w:r>
      <w:r w:rsidRPr="00530C43">
        <w:rPr>
          <w:bCs/>
          <w:lang w:val="fr-FR"/>
        </w:rPr>
        <w:t>État partie, que le processus de réflexion sur la fête de la Ducasse d</w:t>
      </w:r>
      <w:r w:rsidR="00923E72">
        <w:rPr>
          <w:bCs/>
          <w:lang w:val="fr-FR"/>
        </w:rPr>
        <w:t>’</w:t>
      </w:r>
      <w:r w:rsidRPr="00530C43">
        <w:rPr>
          <w:bCs/>
          <w:lang w:val="fr-FR"/>
        </w:rPr>
        <w:t>Ath avait déjà</w:t>
      </w:r>
      <w:r w:rsidR="009D78B0">
        <w:rPr>
          <w:bCs/>
          <w:lang w:val="fr-FR"/>
        </w:rPr>
        <w:t xml:space="preserve"> commencé</w:t>
      </w:r>
      <w:r w:rsidRPr="00530C43">
        <w:rPr>
          <w:bCs/>
          <w:lang w:val="fr-FR"/>
        </w:rPr>
        <w:t>. Parallèlement, en juillet</w:t>
      </w:r>
      <w:r w:rsidR="003A0260">
        <w:rPr>
          <w:bCs/>
          <w:lang w:val="fr-FR"/>
        </w:rPr>
        <w:t> </w:t>
      </w:r>
      <w:r w:rsidRPr="00530C43">
        <w:rPr>
          <w:bCs/>
          <w:lang w:val="fr-FR"/>
        </w:rPr>
        <w:t>202</w:t>
      </w:r>
      <w:r w:rsidR="009D78B0">
        <w:rPr>
          <w:bCs/>
          <w:lang w:val="fr-FR"/>
        </w:rPr>
        <w:t>2</w:t>
      </w:r>
      <w:r w:rsidRPr="00530C43">
        <w:rPr>
          <w:bCs/>
          <w:lang w:val="fr-FR"/>
        </w:rPr>
        <w:t>, lors de l</w:t>
      </w:r>
      <w:r w:rsidR="00923E72">
        <w:rPr>
          <w:bCs/>
          <w:lang w:val="fr-FR"/>
        </w:rPr>
        <w:t>’</w:t>
      </w:r>
      <w:r w:rsidRPr="00530C43">
        <w:rPr>
          <w:bCs/>
          <w:lang w:val="fr-FR"/>
        </w:rPr>
        <w:t>Assemblée générale, l</w:t>
      </w:r>
      <w:r w:rsidR="00923E72">
        <w:rPr>
          <w:bCs/>
          <w:lang w:val="fr-FR"/>
        </w:rPr>
        <w:t>’</w:t>
      </w:r>
      <w:r w:rsidRPr="00530C43">
        <w:rPr>
          <w:bCs/>
          <w:lang w:val="fr-FR"/>
        </w:rPr>
        <w:t>État partie a</w:t>
      </w:r>
      <w:r w:rsidR="009D78B0">
        <w:rPr>
          <w:bCs/>
          <w:lang w:val="fr-FR"/>
        </w:rPr>
        <w:t>vait</w:t>
      </w:r>
      <w:r w:rsidRPr="00530C43">
        <w:rPr>
          <w:bCs/>
          <w:lang w:val="fr-FR"/>
        </w:rPr>
        <w:t xml:space="preserve"> adopté la procédure d</w:t>
      </w:r>
      <w:r w:rsidR="00923E72">
        <w:rPr>
          <w:bCs/>
          <w:lang w:val="fr-FR"/>
        </w:rPr>
        <w:t>’</w:t>
      </w:r>
      <w:r w:rsidRPr="00530C43">
        <w:rPr>
          <w:bCs/>
          <w:lang w:val="fr-FR"/>
        </w:rPr>
        <w:t>accompagnement de ce processus afin d</w:t>
      </w:r>
      <w:r w:rsidR="00923E72">
        <w:rPr>
          <w:bCs/>
          <w:lang w:val="fr-FR"/>
        </w:rPr>
        <w:t>’</w:t>
      </w:r>
      <w:r w:rsidRPr="00530C43">
        <w:rPr>
          <w:bCs/>
          <w:lang w:val="fr-FR"/>
        </w:rPr>
        <w:t>encourager les communautés à résoudre les graves questions soulevées.</w:t>
      </w:r>
      <w:r w:rsidR="009D78B0">
        <w:rPr>
          <w:bCs/>
          <w:lang w:val="fr-FR"/>
        </w:rPr>
        <w:t xml:space="preserve"> La </w:t>
      </w:r>
      <w:r w:rsidR="009D78B0" w:rsidRPr="009D78B0">
        <w:rPr>
          <w:bCs/>
          <w:lang w:val="fr-FR"/>
        </w:rPr>
        <w:t>délégation</w:t>
      </w:r>
      <w:r w:rsidR="009D78B0">
        <w:rPr>
          <w:bCs/>
          <w:lang w:val="fr-FR"/>
        </w:rPr>
        <w:t xml:space="preserve"> </w:t>
      </w:r>
      <w:r w:rsidRPr="00530C43">
        <w:rPr>
          <w:bCs/>
          <w:lang w:val="fr-FR"/>
        </w:rPr>
        <w:t xml:space="preserve">a demandé à la Belgique de </w:t>
      </w:r>
      <w:r w:rsidR="009D78B0">
        <w:rPr>
          <w:bCs/>
          <w:lang w:val="fr-FR"/>
        </w:rPr>
        <w:t xml:space="preserve">détailler </w:t>
      </w:r>
      <w:r w:rsidRPr="00530C43">
        <w:rPr>
          <w:bCs/>
          <w:lang w:val="fr-FR"/>
        </w:rPr>
        <w:t xml:space="preserve">ces mesures et </w:t>
      </w:r>
      <w:r w:rsidR="003A2C9E">
        <w:rPr>
          <w:bCs/>
          <w:lang w:val="fr-FR"/>
        </w:rPr>
        <w:t>d</w:t>
      </w:r>
      <w:r w:rsidR="00923E72">
        <w:rPr>
          <w:bCs/>
          <w:lang w:val="fr-FR"/>
        </w:rPr>
        <w:t>’</w:t>
      </w:r>
      <w:r w:rsidR="003A2C9E">
        <w:rPr>
          <w:bCs/>
          <w:lang w:val="fr-FR"/>
        </w:rPr>
        <w:t xml:space="preserve">expliquer </w:t>
      </w:r>
      <w:r w:rsidRPr="00530C43">
        <w:rPr>
          <w:bCs/>
          <w:lang w:val="fr-FR"/>
        </w:rPr>
        <w:t>comment se déroulerait le processus de réflexion basé sur le dialogue avec les communautés.</w:t>
      </w:r>
    </w:p>
    <w:p w14:paraId="200BA558" w14:textId="7D67C218" w:rsidR="009D78B0" w:rsidRDefault="00B40977" w:rsidP="00AA7EE4">
      <w:pPr>
        <w:pStyle w:val="Orateurengris"/>
        <w:numPr>
          <w:ilvl w:val="0"/>
          <w:numId w:val="20"/>
        </w:numPr>
        <w:tabs>
          <w:tab w:val="clear" w:pos="567"/>
        </w:tabs>
        <w:spacing w:before="120"/>
        <w:ind w:left="709" w:hanging="709"/>
        <w:rPr>
          <w:bCs/>
          <w:lang w:val="fr-FR"/>
        </w:rPr>
      </w:pPr>
      <w:r w:rsidRPr="00B40977">
        <w:rPr>
          <w:bCs/>
          <w:lang w:val="fr-FR"/>
        </w:rPr>
        <w:t xml:space="preserve">La délégation de la </w:t>
      </w:r>
      <w:r w:rsidRPr="00702497">
        <w:rPr>
          <w:b/>
          <w:lang w:val="fr-FR"/>
        </w:rPr>
        <w:t>Belgique</w:t>
      </w:r>
      <w:r w:rsidRPr="00B40977">
        <w:rPr>
          <w:bCs/>
          <w:lang w:val="fr-FR"/>
        </w:rPr>
        <w:t xml:space="preserve"> était pleinement consciente de la gravité des allégations </w:t>
      </w:r>
      <w:r w:rsidR="003A2C9E">
        <w:rPr>
          <w:bCs/>
          <w:lang w:val="fr-FR"/>
        </w:rPr>
        <w:t xml:space="preserve">formulées </w:t>
      </w:r>
      <w:r w:rsidRPr="00B40977">
        <w:rPr>
          <w:bCs/>
          <w:lang w:val="fr-FR"/>
        </w:rPr>
        <w:t>à l</w:t>
      </w:r>
      <w:r w:rsidR="00923E72">
        <w:rPr>
          <w:bCs/>
          <w:lang w:val="fr-FR"/>
        </w:rPr>
        <w:t>’</w:t>
      </w:r>
      <w:r w:rsidRPr="00B40977">
        <w:rPr>
          <w:bCs/>
          <w:lang w:val="fr-FR"/>
        </w:rPr>
        <w:t>égard du personnage, réitérant son engagement à promouvoir le respect et la compréhension mutuelle entre les communautés. C</w:t>
      </w:r>
      <w:r w:rsidR="00923E72">
        <w:rPr>
          <w:bCs/>
          <w:lang w:val="fr-FR"/>
        </w:rPr>
        <w:t>’</w:t>
      </w:r>
      <w:r w:rsidRPr="00B40977">
        <w:rPr>
          <w:bCs/>
          <w:lang w:val="fr-FR"/>
        </w:rPr>
        <w:t>étaient là les valeurs qui permettaient au patrimoine de tisser des liens entre nos cultures. La Belgique condamnait fermement toute forme de racisme et de discrimination, et était fermement convaincue que seule une approche favorisant l</w:t>
      </w:r>
      <w:r w:rsidR="00923E72">
        <w:rPr>
          <w:bCs/>
          <w:lang w:val="fr-FR"/>
        </w:rPr>
        <w:t>’</w:t>
      </w:r>
      <w:r w:rsidRPr="00B40977">
        <w:rPr>
          <w:bCs/>
          <w:lang w:val="fr-FR"/>
        </w:rPr>
        <w:t>éducation, la prise de conscience et le développement permettrait d</w:t>
      </w:r>
      <w:r w:rsidR="00923E72">
        <w:rPr>
          <w:bCs/>
          <w:lang w:val="fr-FR"/>
        </w:rPr>
        <w:t>’</w:t>
      </w:r>
      <w:r w:rsidRPr="00B40977">
        <w:rPr>
          <w:bCs/>
          <w:lang w:val="fr-FR"/>
        </w:rPr>
        <w:t>avancer de manière durable, y compris sur le plan de l</w:t>
      </w:r>
      <w:r w:rsidR="00923E72">
        <w:rPr>
          <w:bCs/>
          <w:lang w:val="fr-FR"/>
        </w:rPr>
        <w:t>’</w:t>
      </w:r>
      <w:r w:rsidRPr="00B40977">
        <w:rPr>
          <w:bCs/>
          <w:lang w:val="fr-FR"/>
        </w:rPr>
        <w:t xml:space="preserve">évolution des mentalités. </w:t>
      </w:r>
      <w:r w:rsidR="00DA2E21">
        <w:rPr>
          <w:bCs/>
          <w:lang w:val="fr-FR"/>
        </w:rPr>
        <w:t>Pour cette raison,</w:t>
      </w:r>
      <w:r w:rsidRPr="00B40977">
        <w:rPr>
          <w:bCs/>
          <w:lang w:val="fr-FR"/>
        </w:rPr>
        <w:t xml:space="preserve"> la Fédération Wallonie-Bruxelles de Belgique avait, depuis</w:t>
      </w:r>
      <w:r w:rsidR="00AF6B98">
        <w:rPr>
          <w:bCs/>
          <w:lang w:val="fr-FR"/>
        </w:rPr>
        <w:t> </w:t>
      </w:r>
      <w:r w:rsidRPr="00B40977">
        <w:rPr>
          <w:bCs/>
          <w:lang w:val="fr-FR"/>
        </w:rPr>
        <w:t>2019, créé un espace de réflexion et de dialogue au niveau local afin de répondre aux préoccupations</w:t>
      </w:r>
      <w:r w:rsidR="00BF5EB1">
        <w:rPr>
          <w:bCs/>
          <w:lang w:val="fr-FR"/>
        </w:rPr>
        <w:t xml:space="preserve"> suscitées</w:t>
      </w:r>
      <w:r w:rsidRPr="00B40977">
        <w:rPr>
          <w:bCs/>
          <w:lang w:val="fr-FR"/>
        </w:rPr>
        <w:t>. Ce processus mobilisait l</w:t>
      </w:r>
      <w:r w:rsidR="00923E72">
        <w:rPr>
          <w:bCs/>
          <w:lang w:val="fr-FR"/>
        </w:rPr>
        <w:t>’</w:t>
      </w:r>
      <w:r w:rsidRPr="00B40977">
        <w:rPr>
          <w:bCs/>
          <w:lang w:val="fr-FR"/>
        </w:rPr>
        <w:t xml:space="preserve">ensemble de la communauté concernée, impliquant les détenteurs du patrimoine, les autorités locales, les associations et les citoyens. De nombreuses initiatives avaient vu le jour pour répondre aux préoccupations </w:t>
      </w:r>
      <w:r w:rsidR="00BF5EB1">
        <w:rPr>
          <w:bCs/>
          <w:lang w:val="fr-FR"/>
        </w:rPr>
        <w:t xml:space="preserve">suscitées </w:t>
      </w:r>
      <w:r w:rsidRPr="00B40977">
        <w:rPr>
          <w:bCs/>
          <w:lang w:val="fr-FR"/>
        </w:rPr>
        <w:t>et, grâce à la créativité des acteurs, des activités d</w:t>
      </w:r>
      <w:r w:rsidR="00923E72">
        <w:rPr>
          <w:bCs/>
          <w:lang w:val="fr-FR"/>
        </w:rPr>
        <w:t>’</w:t>
      </w:r>
      <w:r w:rsidRPr="00B40977">
        <w:rPr>
          <w:bCs/>
          <w:lang w:val="fr-FR"/>
        </w:rPr>
        <w:t>éducation au patrimoine avaient été mises en place, guidées par les principes d</w:t>
      </w:r>
      <w:r w:rsidR="00923E72">
        <w:rPr>
          <w:bCs/>
          <w:lang w:val="fr-FR"/>
        </w:rPr>
        <w:t>’</w:t>
      </w:r>
      <w:r w:rsidRPr="00B40977">
        <w:rPr>
          <w:bCs/>
          <w:lang w:val="fr-FR"/>
        </w:rPr>
        <w:t>inclusion et de vivre-ensemble. Ce travail se poursuivait. La délégation s</w:t>
      </w:r>
      <w:r w:rsidR="00923E72">
        <w:rPr>
          <w:bCs/>
          <w:lang w:val="fr-FR"/>
        </w:rPr>
        <w:t>’</w:t>
      </w:r>
      <w:r w:rsidRPr="00B40977">
        <w:rPr>
          <w:bCs/>
          <w:lang w:val="fr-FR"/>
        </w:rPr>
        <w:t>est réjouie du projet de décision en faveur d</w:t>
      </w:r>
      <w:r w:rsidR="00923E72">
        <w:rPr>
          <w:bCs/>
          <w:lang w:val="fr-FR"/>
        </w:rPr>
        <w:t>’</w:t>
      </w:r>
      <w:r w:rsidRPr="00B40977">
        <w:rPr>
          <w:bCs/>
          <w:lang w:val="fr-FR"/>
        </w:rPr>
        <w:t>un suivi approfondi, présenté par le Secrétariat. Il ne faudrait  que quelques mois pour le mener à bien. En reportant sa décision à 2023, le Comité permettrait à la communauté d</w:t>
      </w:r>
      <w:r w:rsidR="00923E72">
        <w:rPr>
          <w:bCs/>
          <w:lang w:val="fr-FR"/>
        </w:rPr>
        <w:t>’</w:t>
      </w:r>
      <w:r w:rsidRPr="00B40977">
        <w:rPr>
          <w:bCs/>
          <w:lang w:val="fr-FR"/>
        </w:rPr>
        <w:t>Ath de poursuivre son travail de développement et de présenter un exemple d</w:t>
      </w:r>
      <w:r w:rsidR="00923E72">
        <w:rPr>
          <w:bCs/>
          <w:lang w:val="fr-FR"/>
        </w:rPr>
        <w:t>’</w:t>
      </w:r>
      <w:r w:rsidRPr="00B40977">
        <w:rPr>
          <w:bCs/>
          <w:lang w:val="fr-FR"/>
        </w:rPr>
        <w:t>ouverture promu par la Convention. Le Comité avait le choix d</w:t>
      </w:r>
      <w:r w:rsidR="00923E72">
        <w:rPr>
          <w:bCs/>
          <w:lang w:val="fr-FR"/>
        </w:rPr>
        <w:t>’</w:t>
      </w:r>
      <w:r w:rsidRPr="00B40977">
        <w:rPr>
          <w:bCs/>
          <w:lang w:val="fr-FR"/>
        </w:rPr>
        <w:t>encourager la communauté d</w:t>
      </w:r>
      <w:r w:rsidR="00923E72">
        <w:rPr>
          <w:bCs/>
          <w:lang w:val="fr-FR"/>
        </w:rPr>
        <w:t>’</w:t>
      </w:r>
      <w:r w:rsidRPr="00B40977">
        <w:rPr>
          <w:bCs/>
          <w:lang w:val="fr-FR"/>
        </w:rPr>
        <w:t>Ath à poursuivre ses efforts. Cela constituerait une sorte de projet pilote, une occasion unique d</w:t>
      </w:r>
      <w:r w:rsidR="00923E72">
        <w:rPr>
          <w:bCs/>
          <w:lang w:val="fr-FR"/>
        </w:rPr>
        <w:t>’</w:t>
      </w:r>
      <w:r w:rsidRPr="00B40977">
        <w:rPr>
          <w:bCs/>
          <w:lang w:val="fr-FR"/>
        </w:rPr>
        <w:t>illustrer comment le patrimoine immatériel peut contribuer à la mission de l</w:t>
      </w:r>
      <w:r w:rsidR="00923E72">
        <w:rPr>
          <w:bCs/>
          <w:lang w:val="fr-FR"/>
        </w:rPr>
        <w:t>’</w:t>
      </w:r>
      <w:r w:rsidRPr="00B40977">
        <w:rPr>
          <w:bCs/>
          <w:lang w:val="fr-FR"/>
        </w:rPr>
        <w:t>UNESCO d</w:t>
      </w:r>
      <w:r w:rsidR="00923E72">
        <w:rPr>
          <w:bCs/>
          <w:lang w:val="fr-FR"/>
        </w:rPr>
        <w:t>’</w:t>
      </w:r>
      <w:r w:rsidRPr="00B40977">
        <w:rPr>
          <w:bCs/>
          <w:lang w:val="fr-FR"/>
        </w:rPr>
        <w:t xml:space="preserve">élever les </w:t>
      </w:r>
      <w:r w:rsidR="006153E3">
        <w:rPr>
          <w:bCs/>
          <w:lang w:val="fr-FR"/>
        </w:rPr>
        <w:t xml:space="preserve">barrières </w:t>
      </w:r>
      <w:r w:rsidRPr="00B40977">
        <w:rPr>
          <w:bCs/>
          <w:lang w:val="fr-FR"/>
        </w:rPr>
        <w:t>de la paix dans l</w:t>
      </w:r>
      <w:r w:rsidR="00923E72">
        <w:rPr>
          <w:bCs/>
          <w:lang w:val="fr-FR"/>
        </w:rPr>
        <w:t>’</w:t>
      </w:r>
      <w:r w:rsidRPr="00B40977">
        <w:rPr>
          <w:bCs/>
          <w:lang w:val="fr-FR"/>
        </w:rPr>
        <w:t>esprit des hommes et des femmes. La communauté d</w:t>
      </w:r>
      <w:r w:rsidR="00923E72">
        <w:rPr>
          <w:bCs/>
          <w:lang w:val="fr-FR"/>
        </w:rPr>
        <w:t>’</w:t>
      </w:r>
      <w:r w:rsidRPr="00B40977">
        <w:rPr>
          <w:bCs/>
          <w:lang w:val="fr-FR"/>
        </w:rPr>
        <w:t>Ath voulait être ce projet pilote, comme en témoignaient les travaux en cours. Comme évoqué par d</w:t>
      </w:r>
      <w:r w:rsidR="00923E72">
        <w:rPr>
          <w:bCs/>
          <w:lang w:val="fr-FR"/>
        </w:rPr>
        <w:t>’</w:t>
      </w:r>
      <w:r w:rsidRPr="00B40977">
        <w:rPr>
          <w:bCs/>
          <w:lang w:val="fr-FR"/>
        </w:rPr>
        <w:t xml:space="preserve">autres membres du Comité, cette </w:t>
      </w:r>
      <w:r w:rsidRPr="00B40977">
        <w:rPr>
          <w:bCs/>
          <w:lang w:val="fr-FR"/>
        </w:rPr>
        <w:lastRenderedPageBreak/>
        <w:t>voie serait également cohérente avec l</w:t>
      </w:r>
      <w:r w:rsidR="00923E72">
        <w:rPr>
          <w:bCs/>
          <w:lang w:val="fr-FR"/>
        </w:rPr>
        <w:t>’</w:t>
      </w:r>
      <w:r w:rsidRPr="00B40977">
        <w:rPr>
          <w:bCs/>
          <w:lang w:val="fr-FR"/>
        </w:rPr>
        <w:t>esprit de la décision prise par l</w:t>
      </w:r>
      <w:r w:rsidR="00923E72">
        <w:rPr>
          <w:bCs/>
          <w:lang w:val="fr-FR"/>
        </w:rPr>
        <w:t>’</w:t>
      </w:r>
      <w:r w:rsidRPr="00B40977">
        <w:rPr>
          <w:bCs/>
          <w:lang w:val="fr-FR"/>
        </w:rPr>
        <w:t>ensemble des États parties lors de l</w:t>
      </w:r>
      <w:r w:rsidR="00923E72">
        <w:rPr>
          <w:bCs/>
          <w:lang w:val="fr-FR"/>
        </w:rPr>
        <w:t>’</w:t>
      </w:r>
      <w:r w:rsidRPr="00B40977">
        <w:rPr>
          <w:bCs/>
          <w:lang w:val="fr-FR"/>
        </w:rPr>
        <w:t>Assemblée générale de juillet</w:t>
      </w:r>
      <w:r w:rsidR="003A0260">
        <w:rPr>
          <w:bCs/>
          <w:lang w:val="fr-FR"/>
        </w:rPr>
        <w:t> </w:t>
      </w:r>
      <w:r w:rsidRPr="00B40977">
        <w:rPr>
          <w:bCs/>
          <w:lang w:val="fr-FR"/>
        </w:rPr>
        <w:t>202</w:t>
      </w:r>
      <w:r w:rsidR="001641BD">
        <w:rPr>
          <w:bCs/>
          <w:lang w:val="fr-FR"/>
        </w:rPr>
        <w:t>2</w:t>
      </w:r>
      <w:r w:rsidRPr="00B40977">
        <w:rPr>
          <w:bCs/>
          <w:lang w:val="fr-FR"/>
        </w:rPr>
        <w:t>, concluant ce travail approfondi de deux ans. Cette décision visait à offrir un cadre et une direction à un cas comme celui-ci, tout en montrant la volonté des États parties de promouvoir la réflexion et la pédagogie pour encourager ces éléments à se réaligner pleinement sur les principes de l</w:t>
      </w:r>
      <w:r w:rsidR="00923E72">
        <w:rPr>
          <w:bCs/>
          <w:lang w:val="fr-FR"/>
        </w:rPr>
        <w:t>’</w:t>
      </w:r>
      <w:r w:rsidRPr="00B40977">
        <w:rPr>
          <w:bCs/>
          <w:lang w:val="fr-FR"/>
        </w:rPr>
        <w:t>UNESCO. Pour quel scénario le Comité prévoyait-il ces règles si ce n</w:t>
      </w:r>
      <w:r w:rsidR="00923E72">
        <w:rPr>
          <w:bCs/>
          <w:lang w:val="fr-FR"/>
        </w:rPr>
        <w:t>’</w:t>
      </w:r>
      <w:r w:rsidRPr="00B40977">
        <w:rPr>
          <w:bCs/>
          <w:lang w:val="fr-FR"/>
        </w:rPr>
        <w:t>était pas pour un cas comme celui-ci</w:t>
      </w:r>
      <w:r w:rsidR="006153E3">
        <w:rPr>
          <w:bCs/>
          <w:lang w:val="fr-FR"/>
        </w:rPr>
        <w:t> ?</w:t>
      </w:r>
    </w:p>
    <w:p w14:paraId="5DE5A130" w14:textId="3311A447" w:rsidR="001641BD" w:rsidRDefault="001876E2" w:rsidP="00AA7EE4">
      <w:pPr>
        <w:pStyle w:val="Orateurengris"/>
        <w:numPr>
          <w:ilvl w:val="0"/>
          <w:numId w:val="20"/>
        </w:numPr>
        <w:tabs>
          <w:tab w:val="clear" w:pos="567"/>
        </w:tabs>
        <w:spacing w:before="120"/>
        <w:ind w:left="709" w:hanging="709"/>
        <w:rPr>
          <w:bCs/>
          <w:lang w:val="fr-FR"/>
        </w:rPr>
      </w:pPr>
      <w:r w:rsidRPr="001876E2">
        <w:rPr>
          <w:bCs/>
          <w:lang w:val="fr-FR"/>
        </w:rPr>
        <w:t xml:space="preserve">Le </w:t>
      </w:r>
      <w:r w:rsidRPr="00702497">
        <w:rPr>
          <w:b/>
          <w:lang w:val="fr-FR"/>
        </w:rPr>
        <w:t>Président</w:t>
      </w:r>
      <w:r w:rsidRPr="001876E2">
        <w:rPr>
          <w:bCs/>
          <w:lang w:val="fr-FR"/>
        </w:rPr>
        <w:t xml:space="preserve"> a remercié la Belgique pour sa réponse, précisant que la Belgique n</w:t>
      </w:r>
      <w:r w:rsidR="00923E72">
        <w:rPr>
          <w:bCs/>
          <w:lang w:val="fr-FR"/>
        </w:rPr>
        <w:t>’</w:t>
      </w:r>
      <w:r w:rsidRPr="001876E2">
        <w:rPr>
          <w:bCs/>
          <w:lang w:val="fr-FR"/>
        </w:rPr>
        <w:t>était pas visée et que ce n</w:t>
      </w:r>
      <w:r w:rsidR="00923E72">
        <w:rPr>
          <w:bCs/>
          <w:lang w:val="fr-FR"/>
        </w:rPr>
        <w:t>’</w:t>
      </w:r>
      <w:r w:rsidRPr="001876E2">
        <w:rPr>
          <w:bCs/>
          <w:lang w:val="fr-FR"/>
        </w:rPr>
        <w:t>était qu</w:t>
      </w:r>
      <w:r w:rsidR="00923E72">
        <w:rPr>
          <w:bCs/>
          <w:lang w:val="fr-FR"/>
        </w:rPr>
        <w:t>’</w:t>
      </w:r>
      <w:r>
        <w:rPr>
          <w:bCs/>
          <w:lang w:val="fr-FR"/>
        </w:rPr>
        <w:t>une</w:t>
      </w:r>
      <w:r w:rsidRPr="001876E2">
        <w:rPr>
          <w:bCs/>
          <w:lang w:val="fr-FR"/>
        </w:rPr>
        <w:t xml:space="preserve"> petite communauté qui mettait en scène ce personnage. Ayant passé huit années en Belgique en tant qu</w:t>
      </w:r>
      <w:r w:rsidR="00923E72">
        <w:rPr>
          <w:bCs/>
          <w:lang w:val="fr-FR"/>
        </w:rPr>
        <w:t>’</w:t>
      </w:r>
      <w:r w:rsidRPr="001876E2">
        <w:rPr>
          <w:bCs/>
          <w:lang w:val="fr-FR"/>
        </w:rPr>
        <w:t>ambassadeur, il pouvait témoigner de l</w:t>
      </w:r>
      <w:r w:rsidR="00923E72">
        <w:rPr>
          <w:bCs/>
          <w:lang w:val="fr-FR"/>
        </w:rPr>
        <w:t>’</w:t>
      </w:r>
      <w:r w:rsidRPr="001876E2">
        <w:rPr>
          <w:bCs/>
          <w:lang w:val="fr-FR"/>
        </w:rPr>
        <w:t>ouverture et de la tolérance de ce pays, où il n</w:t>
      </w:r>
      <w:r w:rsidR="00923E72">
        <w:rPr>
          <w:bCs/>
          <w:lang w:val="fr-FR"/>
        </w:rPr>
        <w:t>’</w:t>
      </w:r>
      <w:r w:rsidRPr="001876E2">
        <w:rPr>
          <w:bCs/>
          <w:lang w:val="fr-FR"/>
        </w:rPr>
        <w:t>y a pas de discrimination et où l</w:t>
      </w:r>
      <w:r w:rsidR="00923E72">
        <w:rPr>
          <w:bCs/>
          <w:lang w:val="fr-FR"/>
        </w:rPr>
        <w:t>’</w:t>
      </w:r>
      <w:r w:rsidRPr="001876E2">
        <w:rPr>
          <w:bCs/>
          <w:lang w:val="fr-FR"/>
        </w:rPr>
        <w:t>on respecte ces principes. Les autorités belges étaient pleinement conscientes du problème, y compris le Président de la Région wallonne, et œuvraient à la recherche d</w:t>
      </w:r>
      <w:r w:rsidR="00923E72">
        <w:rPr>
          <w:bCs/>
          <w:lang w:val="fr-FR"/>
        </w:rPr>
        <w:t>’</w:t>
      </w:r>
      <w:r w:rsidRPr="001876E2">
        <w:rPr>
          <w:bCs/>
          <w:lang w:val="fr-FR"/>
        </w:rPr>
        <w:t>une solution. Le Président a évoqué l</w:t>
      </w:r>
      <w:r w:rsidR="00923E72">
        <w:rPr>
          <w:bCs/>
          <w:lang w:val="fr-FR"/>
        </w:rPr>
        <w:t>’</w:t>
      </w:r>
      <w:r w:rsidRPr="001876E2">
        <w:rPr>
          <w:bCs/>
          <w:lang w:val="fr-FR"/>
        </w:rPr>
        <w:t>importance de ce débat et les efforts du Comité pour trouver une issue consensuelle, sachant que tout le monde dans cette salle condamnait clairement et ouvertement la discrimination ou le racisme. C</w:t>
      </w:r>
      <w:r w:rsidR="00923E72">
        <w:rPr>
          <w:bCs/>
          <w:lang w:val="fr-FR"/>
        </w:rPr>
        <w:t>’</w:t>
      </w:r>
      <w:r w:rsidRPr="001876E2">
        <w:rPr>
          <w:bCs/>
          <w:lang w:val="fr-FR"/>
        </w:rPr>
        <w:t>était ce personnage qui posait problème.</w:t>
      </w:r>
    </w:p>
    <w:p w14:paraId="4778CEE5" w14:textId="1F160BD0" w:rsidR="001876E2" w:rsidRDefault="001876E2" w:rsidP="00AA7EE4">
      <w:pPr>
        <w:pStyle w:val="Orateurengris"/>
        <w:numPr>
          <w:ilvl w:val="0"/>
          <w:numId w:val="20"/>
        </w:numPr>
        <w:tabs>
          <w:tab w:val="clear" w:pos="567"/>
        </w:tabs>
        <w:spacing w:before="120"/>
        <w:ind w:left="709" w:hanging="709"/>
        <w:rPr>
          <w:bCs/>
          <w:lang w:val="fr-FR"/>
        </w:rPr>
      </w:pPr>
      <w:r w:rsidRPr="001876E2">
        <w:rPr>
          <w:bCs/>
          <w:lang w:val="fr-FR"/>
        </w:rPr>
        <w:t>La délégation de l</w:t>
      </w:r>
      <w:r w:rsidR="00923E72">
        <w:rPr>
          <w:bCs/>
          <w:lang w:val="fr-FR"/>
        </w:rPr>
        <w:t>’</w:t>
      </w:r>
      <w:r w:rsidRPr="00702497">
        <w:rPr>
          <w:b/>
          <w:lang w:val="fr-FR"/>
        </w:rPr>
        <w:t>Angola</w:t>
      </w:r>
      <w:r w:rsidRPr="001876E2">
        <w:rPr>
          <w:bCs/>
          <w:lang w:val="fr-FR"/>
        </w:rPr>
        <w:t xml:space="preserve"> </w:t>
      </w:r>
      <w:r>
        <w:rPr>
          <w:bCs/>
          <w:lang w:val="fr-FR"/>
        </w:rPr>
        <w:t>regrettait</w:t>
      </w:r>
      <w:r w:rsidRPr="001876E2">
        <w:rPr>
          <w:bCs/>
          <w:lang w:val="fr-FR"/>
        </w:rPr>
        <w:t xml:space="preserve"> d</w:t>
      </w:r>
      <w:r w:rsidR="00923E72">
        <w:rPr>
          <w:bCs/>
          <w:lang w:val="fr-FR"/>
        </w:rPr>
        <w:t>’</w:t>
      </w:r>
      <w:r w:rsidRPr="001876E2">
        <w:rPr>
          <w:bCs/>
          <w:lang w:val="fr-FR"/>
        </w:rPr>
        <w:t>être confrontée à cette situation de racisme et de discrimination au sein de la Liste représentative, ce qui risquait de discréditer la Convention. Ce point de l</w:t>
      </w:r>
      <w:r w:rsidR="00923E72">
        <w:rPr>
          <w:bCs/>
          <w:lang w:val="fr-FR"/>
        </w:rPr>
        <w:t>’</w:t>
      </w:r>
      <w:r w:rsidRPr="001876E2">
        <w:rPr>
          <w:bCs/>
          <w:lang w:val="fr-FR"/>
        </w:rPr>
        <w:t>ordre du jour ne c</w:t>
      </w:r>
      <w:r w:rsidR="00854F0D">
        <w:rPr>
          <w:bCs/>
          <w:lang w:val="fr-FR"/>
        </w:rPr>
        <w:t>orrespondait</w:t>
      </w:r>
      <w:r w:rsidRPr="001876E2">
        <w:rPr>
          <w:bCs/>
          <w:lang w:val="fr-FR"/>
        </w:rPr>
        <w:t xml:space="preserve"> pas </w:t>
      </w:r>
      <w:r w:rsidR="00854F0D">
        <w:rPr>
          <w:bCs/>
          <w:lang w:val="fr-FR"/>
        </w:rPr>
        <w:t>aux</w:t>
      </w:r>
      <w:r w:rsidRPr="001876E2">
        <w:rPr>
          <w:bCs/>
          <w:lang w:val="fr-FR"/>
        </w:rPr>
        <w:t xml:space="preserve"> moments de joie et d</w:t>
      </w:r>
      <w:r w:rsidR="00923E72">
        <w:rPr>
          <w:bCs/>
          <w:lang w:val="fr-FR"/>
        </w:rPr>
        <w:t>’</w:t>
      </w:r>
      <w:r w:rsidRPr="001876E2">
        <w:rPr>
          <w:bCs/>
          <w:lang w:val="fr-FR"/>
        </w:rPr>
        <w:t xml:space="preserve">exaltation culturelle vécus ces derniers jours. Les </w:t>
      </w:r>
      <w:r w:rsidR="001B6E8F">
        <w:rPr>
          <w:bCs/>
          <w:lang w:val="fr-FR"/>
        </w:rPr>
        <w:t>« G</w:t>
      </w:r>
      <w:r w:rsidRPr="001876E2">
        <w:rPr>
          <w:bCs/>
          <w:lang w:val="fr-FR"/>
        </w:rPr>
        <w:t xml:space="preserve">éants et dragons processionnels de Belgique et de </w:t>
      </w:r>
      <w:r w:rsidR="001B6E8F">
        <w:rPr>
          <w:bCs/>
          <w:lang w:val="fr-FR"/>
        </w:rPr>
        <w:t>France »</w:t>
      </w:r>
      <w:r w:rsidRPr="001876E2">
        <w:rPr>
          <w:bCs/>
          <w:lang w:val="fr-FR"/>
        </w:rPr>
        <w:t xml:space="preserve"> avaient été inscrits en 2008 dans l</w:t>
      </w:r>
      <w:r w:rsidR="00923E72">
        <w:rPr>
          <w:bCs/>
          <w:lang w:val="fr-FR"/>
        </w:rPr>
        <w:t>’</w:t>
      </w:r>
      <w:r w:rsidRPr="001876E2">
        <w:rPr>
          <w:bCs/>
          <w:lang w:val="fr-FR"/>
        </w:rPr>
        <w:t>esprit de promouvoir et de sauvegarder les pratiques festives et séculaires des communautés concernées dans les deux pays. Permettre à la fête de la Ducasse d</w:t>
      </w:r>
      <w:r w:rsidR="00923E72">
        <w:rPr>
          <w:bCs/>
          <w:lang w:val="fr-FR"/>
        </w:rPr>
        <w:t>’</w:t>
      </w:r>
      <w:r w:rsidRPr="001876E2">
        <w:rPr>
          <w:bCs/>
          <w:lang w:val="fr-FR"/>
        </w:rPr>
        <w:t xml:space="preserve">Ath en Belgique et à son personnage déplorable et répréhensible, le </w:t>
      </w:r>
      <w:r w:rsidR="006153E3">
        <w:rPr>
          <w:bCs/>
          <w:lang w:val="fr-FR"/>
        </w:rPr>
        <w:t>« </w:t>
      </w:r>
      <w:r w:rsidRPr="001876E2">
        <w:rPr>
          <w:bCs/>
          <w:lang w:val="fr-FR"/>
        </w:rPr>
        <w:t>Sauvage</w:t>
      </w:r>
      <w:r w:rsidR="006153E3">
        <w:rPr>
          <w:bCs/>
          <w:lang w:val="fr-FR"/>
        </w:rPr>
        <w:t> »</w:t>
      </w:r>
      <w:r w:rsidRPr="001876E2">
        <w:rPr>
          <w:bCs/>
          <w:lang w:val="fr-FR"/>
        </w:rPr>
        <w:t>, de continuer à faire partie de la Liste représentative ternirait l</w:t>
      </w:r>
      <w:r w:rsidR="00923E72">
        <w:rPr>
          <w:bCs/>
          <w:lang w:val="fr-FR"/>
        </w:rPr>
        <w:t>’</w:t>
      </w:r>
      <w:r w:rsidRPr="001876E2">
        <w:rPr>
          <w:bCs/>
          <w:lang w:val="fr-FR"/>
        </w:rPr>
        <w:t xml:space="preserve">élément et mettrait en cause les autres communautés concernées dans les deux pays, qui ne </w:t>
      </w:r>
      <w:r w:rsidR="00854F0D">
        <w:rPr>
          <w:bCs/>
          <w:lang w:val="fr-FR"/>
        </w:rPr>
        <w:t xml:space="preserve">voulaient </w:t>
      </w:r>
      <w:r w:rsidRPr="001876E2">
        <w:rPr>
          <w:bCs/>
          <w:lang w:val="fr-FR"/>
        </w:rPr>
        <w:t xml:space="preserve">pas être associées à ce personnage raciste et discriminatoire. La culture </w:t>
      </w:r>
      <w:r w:rsidR="00854F0D">
        <w:rPr>
          <w:bCs/>
          <w:lang w:val="fr-FR"/>
        </w:rPr>
        <w:t xml:space="preserve">était </w:t>
      </w:r>
      <w:r w:rsidRPr="001876E2">
        <w:rPr>
          <w:bCs/>
          <w:lang w:val="fr-FR"/>
        </w:rPr>
        <w:t>l</w:t>
      </w:r>
      <w:r w:rsidR="00923E72">
        <w:rPr>
          <w:bCs/>
          <w:lang w:val="fr-FR"/>
        </w:rPr>
        <w:t>’</w:t>
      </w:r>
      <w:r w:rsidRPr="001876E2">
        <w:rPr>
          <w:bCs/>
          <w:lang w:val="fr-FR"/>
        </w:rPr>
        <w:t>une des expressions les plus belles et les plus importantes d</w:t>
      </w:r>
      <w:r w:rsidR="00923E72">
        <w:rPr>
          <w:bCs/>
          <w:lang w:val="fr-FR"/>
        </w:rPr>
        <w:t>’</w:t>
      </w:r>
      <w:r w:rsidRPr="001876E2">
        <w:rPr>
          <w:bCs/>
          <w:lang w:val="fr-FR"/>
        </w:rPr>
        <w:t>un peuple et d</w:t>
      </w:r>
      <w:r w:rsidR="00923E72">
        <w:rPr>
          <w:bCs/>
          <w:lang w:val="fr-FR"/>
        </w:rPr>
        <w:t>’</w:t>
      </w:r>
      <w:r w:rsidRPr="001876E2">
        <w:rPr>
          <w:bCs/>
          <w:lang w:val="fr-FR"/>
        </w:rPr>
        <w:t>une communauté. Elle n</w:t>
      </w:r>
      <w:r w:rsidR="00923E72">
        <w:rPr>
          <w:bCs/>
          <w:lang w:val="fr-FR"/>
        </w:rPr>
        <w:t>’</w:t>
      </w:r>
      <w:r w:rsidR="00854F0D">
        <w:rPr>
          <w:bCs/>
          <w:lang w:val="fr-FR"/>
        </w:rPr>
        <w:t>était</w:t>
      </w:r>
      <w:r w:rsidRPr="001876E2">
        <w:rPr>
          <w:bCs/>
          <w:lang w:val="fr-FR"/>
        </w:rPr>
        <w:t xml:space="preserve"> pas statique mais dynamique et </w:t>
      </w:r>
      <w:r w:rsidR="00854F0D">
        <w:rPr>
          <w:bCs/>
          <w:lang w:val="fr-FR"/>
        </w:rPr>
        <w:t xml:space="preserve">pouvait </w:t>
      </w:r>
      <w:r w:rsidRPr="001876E2">
        <w:rPr>
          <w:bCs/>
          <w:lang w:val="fr-FR"/>
        </w:rPr>
        <w:t xml:space="preserve">promouvoir une culture inclusive exempte de stéréotypes et de préjugés. On ne </w:t>
      </w:r>
      <w:r w:rsidR="00854F0D">
        <w:rPr>
          <w:bCs/>
          <w:lang w:val="fr-FR"/>
        </w:rPr>
        <w:t xml:space="preserve">pouvait </w:t>
      </w:r>
      <w:r w:rsidRPr="001876E2">
        <w:rPr>
          <w:bCs/>
          <w:lang w:val="fr-FR"/>
        </w:rPr>
        <w:t>laisser la discrimination sous ses diverses formes corrompre nos sociétés au point de passer inaperçue parce qu</w:t>
      </w:r>
      <w:r w:rsidR="00923E72">
        <w:rPr>
          <w:bCs/>
          <w:lang w:val="fr-FR"/>
        </w:rPr>
        <w:t>’</w:t>
      </w:r>
      <w:r w:rsidRPr="001876E2">
        <w:rPr>
          <w:bCs/>
          <w:lang w:val="fr-FR"/>
        </w:rPr>
        <w:t xml:space="preserve">elle </w:t>
      </w:r>
      <w:r w:rsidR="00854F0D">
        <w:rPr>
          <w:bCs/>
          <w:lang w:val="fr-FR"/>
        </w:rPr>
        <w:t xml:space="preserve">était </w:t>
      </w:r>
      <w:r w:rsidRPr="001876E2">
        <w:rPr>
          <w:bCs/>
          <w:lang w:val="fr-FR"/>
        </w:rPr>
        <w:t>devenue normale. La délégation a</w:t>
      </w:r>
      <w:r w:rsidR="00854F0D">
        <w:rPr>
          <w:bCs/>
          <w:lang w:val="fr-FR"/>
        </w:rPr>
        <w:t>vait</w:t>
      </w:r>
      <w:r w:rsidRPr="001876E2">
        <w:rPr>
          <w:bCs/>
          <w:lang w:val="fr-FR"/>
        </w:rPr>
        <w:t xml:space="preserve"> du mal à croire qu</w:t>
      </w:r>
      <w:r w:rsidR="00923E72">
        <w:rPr>
          <w:bCs/>
          <w:lang w:val="fr-FR"/>
        </w:rPr>
        <w:t>’</w:t>
      </w:r>
      <w:r w:rsidRPr="001876E2">
        <w:rPr>
          <w:bCs/>
          <w:lang w:val="fr-FR"/>
        </w:rPr>
        <w:t>un État membre de l</w:t>
      </w:r>
      <w:r w:rsidR="00923E72">
        <w:rPr>
          <w:bCs/>
          <w:lang w:val="fr-FR"/>
        </w:rPr>
        <w:t>’</w:t>
      </w:r>
      <w:r w:rsidRPr="001876E2">
        <w:rPr>
          <w:bCs/>
          <w:lang w:val="fr-FR"/>
        </w:rPr>
        <w:t xml:space="preserve">UNESCO et de cette Convention, un pays qui </w:t>
      </w:r>
      <w:r w:rsidR="00854F0D">
        <w:rPr>
          <w:bCs/>
          <w:lang w:val="fr-FR"/>
        </w:rPr>
        <w:t xml:space="preserve">encourage </w:t>
      </w:r>
      <w:r w:rsidRPr="001876E2">
        <w:rPr>
          <w:bCs/>
          <w:lang w:val="fr-FR"/>
        </w:rPr>
        <w:t xml:space="preserve">les candidatures africaines à la </w:t>
      </w:r>
      <w:r w:rsidR="00854F0D">
        <w:rPr>
          <w:bCs/>
          <w:lang w:val="fr-FR"/>
        </w:rPr>
        <w:t>L</w:t>
      </w:r>
      <w:r w:rsidRPr="001876E2">
        <w:rPr>
          <w:bCs/>
          <w:lang w:val="fr-FR"/>
        </w:rPr>
        <w:t>iste du patrimoine culturel immatériel, puisse permettre la perpétuation d</w:t>
      </w:r>
      <w:r w:rsidR="00923E72">
        <w:rPr>
          <w:bCs/>
          <w:lang w:val="fr-FR"/>
        </w:rPr>
        <w:t>’</w:t>
      </w:r>
      <w:r w:rsidRPr="001876E2">
        <w:rPr>
          <w:bCs/>
          <w:lang w:val="fr-FR"/>
        </w:rPr>
        <w:t xml:space="preserve">un </w:t>
      </w:r>
      <w:r w:rsidR="00854F0D">
        <w:rPr>
          <w:bCs/>
          <w:lang w:val="fr-FR"/>
        </w:rPr>
        <w:t xml:space="preserve">personnage </w:t>
      </w:r>
      <w:r w:rsidRPr="001876E2">
        <w:rPr>
          <w:bCs/>
          <w:lang w:val="fr-FR"/>
        </w:rPr>
        <w:t xml:space="preserve">clairement raciste et discriminatoire au sein de cette communauté, surtout après les nombreuses plaintes déposées ces dernières années, </w:t>
      </w:r>
      <w:r w:rsidR="00CF0A50">
        <w:rPr>
          <w:bCs/>
          <w:lang w:val="fr-FR"/>
        </w:rPr>
        <w:t xml:space="preserve">ce </w:t>
      </w:r>
      <w:r w:rsidRPr="001876E2">
        <w:rPr>
          <w:bCs/>
          <w:lang w:val="fr-FR"/>
        </w:rPr>
        <w:t xml:space="preserve">qui nous </w:t>
      </w:r>
      <w:r w:rsidR="00854F0D">
        <w:rPr>
          <w:bCs/>
          <w:lang w:val="fr-FR"/>
        </w:rPr>
        <w:t xml:space="preserve">rappelait </w:t>
      </w:r>
      <w:r w:rsidRPr="001876E2">
        <w:rPr>
          <w:bCs/>
          <w:lang w:val="fr-FR"/>
        </w:rPr>
        <w:t>l</w:t>
      </w:r>
      <w:r w:rsidR="00923E72">
        <w:rPr>
          <w:bCs/>
          <w:lang w:val="fr-FR"/>
        </w:rPr>
        <w:t>’</w:t>
      </w:r>
      <w:r w:rsidRPr="001876E2">
        <w:rPr>
          <w:bCs/>
          <w:lang w:val="fr-FR"/>
        </w:rPr>
        <w:t>époque de l</w:t>
      </w:r>
      <w:r w:rsidR="00923E72">
        <w:rPr>
          <w:bCs/>
          <w:lang w:val="fr-FR"/>
        </w:rPr>
        <w:t>’</w:t>
      </w:r>
      <w:r w:rsidRPr="001876E2">
        <w:rPr>
          <w:bCs/>
          <w:lang w:val="fr-FR"/>
        </w:rPr>
        <w:t xml:space="preserve">esclavage. Des actions </w:t>
      </w:r>
      <w:r w:rsidR="00775AD7">
        <w:rPr>
          <w:bCs/>
          <w:lang w:val="fr-FR"/>
        </w:rPr>
        <w:t>allant</w:t>
      </w:r>
      <w:r w:rsidRPr="001876E2">
        <w:rPr>
          <w:bCs/>
          <w:lang w:val="fr-FR"/>
        </w:rPr>
        <w:t xml:space="preserve"> à l</w:t>
      </w:r>
      <w:r w:rsidR="00923E72">
        <w:rPr>
          <w:bCs/>
          <w:lang w:val="fr-FR"/>
        </w:rPr>
        <w:t>’</w:t>
      </w:r>
      <w:r w:rsidRPr="001876E2">
        <w:rPr>
          <w:bCs/>
          <w:lang w:val="fr-FR"/>
        </w:rPr>
        <w:t>encontre du respect mutuel et des principes fondateurs de l</w:t>
      </w:r>
      <w:r w:rsidR="00923E72">
        <w:rPr>
          <w:bCs/>
          <w:lang w:val="fr-FR"/>
        </w:rPr>
        <w:t>’</w:t>
      </w:r>
      <w:r w:rsidRPr="001876E2">
        <w:rPr>
          <w:bCs/>
          <w:lang w:val="fr-FR"/>
        </w:rPr>
        <w:t xml:space="preserve">UNESCO ne </w:t>
      </w:r>
      <w:r w:rsidR="00854F0D">
        <w:rPr>
          <w:bCs/>
          <w:lang w:val="fr-FR"/>
        </w:rPr>
        <w:t xml:space="preserve">pouvaient </w:t>
      </w:r>
      <w:r w:rsidRPr="001876E2">
        <w:rPr>
          <w:bCs/>
          <w:lang w:val="fr-FR"/>
        </w:rPr>
        <w:t xml:space="preserve">et ne </w:t>
      </w:r>
      <w:r w:rsidR="00854F0D">
        <w:rPr>
          <w:bCs/>
          <w:lang w:val="fr-FR"/>
        </w:rPr>
        <w:t xml:space="preserve">devaient </w:t>
      </w:r>
      <w:r w:rsidRPr="001876E2">
        <w:rPr>
          <w:bCs/>
          <w:lang w:val="fr-FR"/>
        </w:rPr>
        <w:t>pas être associées à l</w:t>
      </w:r>
      <w:r w:rsidR="00923E72">
        <w:rPr>
          <w:bCs/>
          <w:lang w:val="fr-FR"/>
        </w:rPr>
        <w:t>’</w:t>
      </w:r>
      <w:r w:rsidRPr="001876E2">
        <w:rPr>
          <w:bCs/>
          <w:lang w:val="fr-FR"/>
        </w:rPr>
        <w:t>Organisation, et encore moins à la sauvegarde du patrimoine culturel immatériel. L</w:t>
      </w:r>
      <w:r w:rsidR="00923E72">
        <w:rPr>
          <w:bCs/>
          <w:lang w:val="fr-FR"/>
        </w:rPr>
        <w:t>’</w:t>
      </w:r>
      <w:r w:rsidRPr="001876E2">
        <w:rPr>
          <w:bCs/>
          <w:lang w:val="fr-FR"/>
        </w:rPr>
        <w:t>Angola s</w:t>
      </w:r>
      <w:r w:rsidR="00854F0D">
        <w:rPr>
          <w:bCs/>
          <w:lang w:val="fr-FR"/>
        </w:rPr>
        <w:t xml:space="preserve">e </w:t>
      </w:r>
      <w:r w:rsidRPr="001876E2">
        <w:rPr>
          <w:bCs/>
          <w:lang w:val="fr-FR"/>
        </w:rPr>
        <w:t>pronon</w:t>
      </w:r>
      <w:r w:rsidR="00854F0D">
        <w:rPr>
          <w:bCs/>
          <w:lang w:val="fr-FR"/>
        </w:rPr>
        <w:t>çait donc</w:t>
      </w:r>
      <w:r w:rsidRPr="001876E2">
        <w:rPr>
          <w:bCs/>
          <w:lang w:val="fr-FR"/>
        </w:rPr>
        <w:t xml:space="preserve"> en faveur du retrait immédiat de la Ducasse d</w:t>
      </w:r>
      <w:r w:rsidR="00923E72">
        <w:rPr>
          <w:bCs/>
          <w:lang w:val="fr-FR"/>
        </w:rPr>
        <w:t>’</w:t>
      </w:r>
      <w:r w:rsidRPr="001876E2">
        <w:rPr>
          <w:bCs/>
          <w:lang w:val="fr-FR"/>
        </w:rPr>
        <w:t>Ath de l</w:t>
      </w:r>
      <w:r w:rsidR="00923E72">
        <w:rPr>
          <w:bCs/>
          <w:lang w:val="fr-FR"/>
        </w:rPr>
        <w:t>’</w:t>
      </w:r>
      <w:r w:rsidRPr="001876E2">
        <w:rPr>
          <w:bCs/>
          <w:lang w:val="fr-FR"/>
        </w:rPr>
        <w:t>élément</w:t>
      </w:r>
      <w:r w:rsidR="001B6E8F">
        <w:rPr>
          <w:bCs/>
          <w:lang w:val="fr-FR"/>
        </w:rPr>
        <w:t xml:space="preserve"> « G</w:t>
      </w:r>
      <w:r w:rsidRPr="001876E2">
        <w:rPr>
          <w:bCs/>
          <w:lang w:val="fr-FR"/>
        </w:rPr>
        <w:t xml:space="preserve">éants et dragons processionnels de Belgique et de </w:t>
      </w:r>
      <w:r w:rsidR="00854F0D">
        <w:rPr>
          <w:bCs/>
          <w:lang w:val="fr-FR"/>
        </w:rPr>
        <w:t>France</w:t>
      </w:r>
      <w:r w:rsidR="001B6E8F">
        <w:rPr>
          <w:bCs/>
          <w:lang w:val="fr-FR"/>
        </w:rPr>
        <w:t> »</w:t>
      </w:r>
      <w:r w:rsidR="00854F0D">
        <w:rPr>
          <w:bCs/>
          <w:lang w:val="fr-FR"/>
        </w:rPr>
        <w:t xml:space="preserve">, </w:t>
      </w:r>
      <w:r w:rsidRPr="001876E2">
        <w:rPr>
          <w:bCs/>
          <w:lang w:val="fr-FR"/>
        </w:rPr>
        <w:t>inscrit sur la Liste représentative</w:t>
      </w:r>
      <w:r w:rsidR="001B6E8F">
        <w:rPr>
          <w:bCs/>
          <w:lang w:val="fr-FR"/>
        </w:rPr>
        <w:t xml:space="preserve">, </w:t>
      </w:r>
      <w:r w:rsidRPr="005801C3">
        <w:rPr>
          <w:bCs/>
          <w:lang w:val="fr-FR"/>
        </w:rPr>
        <w:t>pour défendre les valeurs et la dignité des Africains. Il incomb</w:t>
      </w:r>
      <w:r w:rsidR="001B6E8F" w:rsidRPr="005801C3">
        <w:rPr>
          <w:bCs/>
          <w:lang w:val="fr-FR"/>
        </w:rPr>
        <w:t>ait</w:t>
      </w:r>
      <w:r w:rsidRPr="005801C3">
        <w:rPr>
          <w:bCs/>
          <w:lang w:val="fr-FR"/>
        </w:rPr>
        <w:t xml:space="preserve"> aux États membres de la</w:t>
      </w:r>
      <w:r w:rsidRPr="001876E2">
        <w:rPr>
          <w:bCs/>
          <w:lang w:val="fr-FR"/>
        </w:rPr>
        <w:t xml:space="preserve"> Convention de promouvoir ses bonnes pratiques et de rappeler ses responsabilités à l</w:t>
      </w:r>
      <w:r w:rsidR="00923E72">
        <w:rPr>
          <w:bCs/>
          <w:lang w:val="fr-FR"/>
        </w:rPr>
        <w:t>’</w:t>
      </w:r>
      <w:r w:rsidRPr="001876E2">
        <w:rPr>
          <w:bCs/>
          <w:lang w:val="fr-FR"/>
        </w:rPr>
        <w:t>égard des générations futures auxquelles nous légu</w:t>
      </w:r>
      <w:r w:rsidR="00775AD7">
        <w:rPr>
          <w:bCs/>
          <w:lang w:val="fr-FR"/>
        </w:rPr>
        <w:t>i</w:t>
      </w:r>
      <w:r w:rsidRPr="001876E2">
        <w:rPr>
          <w:bCs/>
          <w:lang w:val="fr-FR"/>
        </w:rPr>
        <w:t>ons ces valeurs culturelles.</w:t>
      </w:r>
    </w:p>
    <w:p w14:paraId="616A5487" w14:textId="1FB68C16" w:rsidR="00DA56A3" w:rsidRDefault="00DA56A3" w:rsidP="00AA7EE4">
      <w:pPr>
        <w:pStyle w:val="Orateurengris"/>
        <w:numPr>
          <w:ilvl w:val="0"/>
          <w:numId w:val="20"/>
        </w:numPr>
        <w:tabs>
          <w:tab w:val="clear" w:pos="567"/>
        </w:tabs>
        <w:spacing w:before="120"/>
        <w:ind w:left="709" w:hanging="709"/>
        <w:rPr>
          <w:bCs/>
          <w:lang w:val="fr-FR"/>
        </w:rPr>
      </w:pPr>
      <w:r w:rsidRPr="00DA56A3">
        <w:rPr>
          <w:bCs/>
          <w:lang w:val="fr-FR"/>
        </w:rPr>
        <w:t xml:space="preserve">La délégation du </w:t>
      </w:r>
      <w:r w:rsidRPr="00702497">
        <w:rPr>
          <w:b/>
          <w:lang w:val="fr-FR"/>
        </w:rPr>
        <w:t>Rwanda</w:t>
      </w:r>
      <w:r w:rsidRPr="00DA56A3">
        <w:rPr>
          <w:bCs/>
          <w:lang w:val="fr-FR"/>
        </w:rPr>
        <w:t xml:space="preserve"> a remercié le Secrétariat d</w:t>
      </w:r>
      <w:r w:rsidR="00923E72">
        <w:rPr>
          <w:bCs/>
          <w:lang w:val="fr-FR"/>
        </w:rPr>
        <w:t>’</w:t>
      </w:r>
      <w:r w:rsidRPr="00DA56A3">
        <w:rPr>
          <w:bCs/>
          <w:lang w:val="fr-FR"/>
        </w:rPr>
        <w:t>avoir présenté son rapport détaillé et d</w:t>
      </w:r>
      <w:r w:rsidR="00923E72">
        <w:rPr>
          <w:bCs/>
          <w:lang w:val="fr-FR"/>
        </w:rPr>
        <w:t>’</w:t>
      </w:r>
      <w:r w:rsidRPr="00DA56A3">
        <w:rPr>
          <w:bCs/>
          <w:lang w:val="fr-FR"/>
        </w:rPr>
        <w:t>avoir suivi cette question de très près depuis</w:t>
      </w:r>
      <w:r w:rsidR="00AF6B98">
        <w:rPr>
          <w:bCs/>
          <w:lang w:val="fr-FR"/>
        </w:rPr>
        <w:t> </w:t>
      </w:r>
      <w:r w:rsidRPr="00DA56A3">
        <w:rPr>
          <w:bCs/>
          <w:lang w:val="fr-FR"/>
        </w:rPr>
        <w:t>2019, en tenant compte des Directives mises en place pour garantir le respect et la dignité de tous. L</w:t>
      </w:r>
      <w:r w:rsidR="00923E72">
        <w:rPr>
          <w:bCs/>
          <w:lang w:val="fr-FR"/>
        </w:rPr>
        <w:t>’</w:t>
      </w:r>
      <w:r w:rsidRPr="00DA56A3">
        <w:rPr>
          <w:bCs/>
          <w:lang w:val="fr-FR"/>
        </w:rPr>
        <w:t>élément ne satisfaisait plus, et n</w:t>
      </w:r>
      <w:r w:rsidR="00923E72">
        <w:rPr>
          <w:bCs/>
          <w:lang w:val="fr-FR"/>
        </w:rPr>
        <w:t>’</w:t>
      </w:r>
      <w:r w:rsidRPr="00DA56A3">
        <w:rPr>
          <w:bCs/>
          <w:lang w:val="fr-FR"/>
        </w:rPr>
        <w:t>a</w:t>
      </w:r>
      <w:r>
        <w:rPr>
          <w:bCs/>
          <w:lang w:val="fr-FR"/>
        </w:rPr>
        <w:t>vait</w:t>
      </w:r>
      <w:r w:rsidRPr="00DA56A3">
        <w:rPr>
          <w:bCs/>
          <w:lang w:val="fr-FR"/>
        </w:rPr>
        <w:t xml:space="preserve"> jamais vraiment satisfait, aux critères d</w:t>
      </w:r>
      <w:r w:rsidR="00923E72">
        <w:rPr>
          <w:bCs/>
          <w:lang w:val="fr-FR"/>
        </w:rPr>
        <w:t>’</w:t>
      </w:r>
      <w:r w:rsidRPr="00DA56A3">
        <w:rPr>
          <w:bCs/>
          <w:lang w:val="fr-FR"/>
        </w:rPr>
        <w:t xml:space="preserve">inscription. En effet, le rapport du Secrétariat </w:t>
      </w:r>
      <w:r>
        <w:rPr>
          <w:bCs/>
          <w:lang w:val="fr-FR"/>
        </w:rPr>
        <w:t xml:space="preserve">indiquait </w:t>
      </w:r>
      <w:r w:rsidRPr="00DA56A3">
        <w:rPr>
          <w:bCs/>
          <w:lang w:val="fr-FR"/>
        </w:rPr>
        <w:t xml:space="preserve">que le personnage du </w:t>
      </w:r>
      <w:r>
        <w:rPr>
          <w:bCs/>
          <w:lang w:val="fr-FR"/>
        </w:rPr>
        <w:t>« </w:t>
      </w:r>
      <w:r w:rsidRPr="00DA56A3">
        <w:rPr>
          <w:bCs/>
          <w:lang w:val="fr-FR"/>
        </w:rPr>
        <w:t>Sauvage</w:t>
      </w:r>
      <w:r>
        <w:rPr>
          <w:bCs/>
          <w:lang w:val="fr-FR"/>
        </w:rPr>
        <w:t> »</w:t>
      </w:r>
      <w:r w:rsidRPr="00DA56A3">
        <w:rPr>
          <w:bCs/>
          <w:lang w:val="fr-FR"/>
        </w:rPr>
        <w:t xml:space="preserve"> n</w:t>
      </w:r>
      <w:r w:rsidR="00923E72">
        <w:rPr>
          <w:bCs/>
          <w:lang w:val="fr-FR"/>
        </w:rPr>
        <w:t>’</w:t>
      </w:r>
      <w:r w:rsidRPr="00DA56A3">
        <w:rPr>
          <w:bCs/>
          <w:lang w:val="fr-FR"/>
        </w:rPr>
        <w:t>était mentionné dans aucune partie du dossier de candidature de l</w:t>
      </w:r>
      <w:r w:rsidR="00923E72">
        <w:rPr>
          <w:bCs/>
          <w:lang w:val="fr-FR"/>
        </w:rPr>
        <w:t>’</w:t>
      </w:r>
      <w:r w:rsidRPr="00DA56A3">
        <w:rPr>
          <w:bCs/>
          <w:lang w:val="fr-FR"/>
        </w:rPr>
        <w:t>État partie. La délégation avait la ferme conviction qu</w:t>
      </w:r>
      <w:r w:rsidR="00923E72">
        <w:rPr>
          <w:bCs/>
          <w:lang w:val="fr-FR"/>
        </w:rPr>
        <w:t>’</w:t>
      </w:r>
      <w:r w:rsidRPr="00DA56A3">
        <w:rPr>
          <w:bCs/>
          <w:lang w:val="fr-FR"/>
        </w:rPr>
        <w:t>une partie du dossier n</w:t>
      </w:r>
      <w:r w:rsidR="00923E72">
        <w:rPr>
          <w:bCs/>
          <w:lang w:val="fr-FR"/>
        </w:rPr>
        <w:t>’</w:t>
      </w:r>
      <w:r w:rsidRPr="00DA56A3">
        <w:rPr>
          <w:bCs/>
          <w:lang w:val="fr-FR"/>
        </w:rPr>
        <w:t>aurait jamais été inscrite par le Comité si cette information avait été connue, car elle n</w:t>
      </w:r>
      <w:r w:rsidR="00923E72">
        <w:rPr>
          <w:bCs/>
          <w:lang w:val="fr-FR"/>
        </w:rPr>
        <w:t>’</w:t>
      </w:r>
      <w:r w:rsidRPr="00DA56A3">
        <w:rPr>
          <w:bCs/>
          <w:lang w:val="fr-FR"/>
        </w:rPr>
        <w:t>était pas conforme à l</w:t>
      </w:r>
      <w:r w:rsidR="00923E72">
        <w:rPr>
          <w:bCs/>
          <w:lang w:val="fr-FR"/>
        </w:rPr>
        <w:t>’</w:t>
      </w:r>
      <w:r w:rsidRPr="00DA56A3">
        <w:rPr>
          <w:bCs/>
          <w:lang w:val="fr-FR"/>
        </w:rPr>
        <w:t>article</w:t>
      </w:r>
      <w:r w:rsidR="006E0DA8">
        <w:rPr>
          <w:bCs/>
          <w:lang w:val="fr-FR"/>
        </w:rPr>
        <w:t> </w:t>
      </w:r>
      <w:r w:rsidRPr="00DA56A3">
        <w:rPr>
          <w:bCs/>
          <w:lang w:val="fr-FR"/>
        </w:rPr>
        <w:t xml:space="preserve">2 de la </w:t>
      </w:r>
      <w:r>
        <w:rPr>
          <w:bCs/>
          <w:lang w:val="fr-FR"/>
        </w:rPr>
        <w:t>C</w:t>
      </w:r>
      <w:r w:rsidRPr="00DA56A3">
        <w:rPr>
          <w:bCs/>
          <w:lang w:val="fr-FR"/>
        </w:rPr>
        <w:t>onvention de l</w:t>
      </w:r>
      <w:r w:rsidR="00923E72">
        <w:rPr>
          <w:bCs/>
          <w:lang w:val="fr-FR"/>
        </w:rPr>
        <w:t>’</w:t>
      </w:r>
      <w:r w:rsidRPr="00DA56A3">
        <w:rPr>
          <w:bCs/>
          <w:lang w:val="fr-FR"/>
        </w:rPr>
        <w:t>UNESCO. Cette omission, volontaire ou involontaire, constituait un grave affront à l</w:t>
      </w:r>
      <w:r w:rsidR="00923E72">
        <w:rPr>
          <w:bCs/>
          <w:lang w:val="fr-FR"/>
        </w:rPr>
        <w:t>’</w:t>
      </w:r>
      <w:r w:rsidRPr="00DA56A3">
        <w:rPr>
          <w:bCs/>
          <w:lang w:val="fr-FR"/>
        </w:rPr>
        <w:t>institution. La délégation avait pris note des préoccupations exprimées par la société civile de l</w:t>
      </w:r>
      <w:r w:rsidR="00923E72">
        <w:rPr>
          <w:bCs/>
          <w:lang w:val="fr-FR"/>
        </w:rPr>
        <w:t>’</w:t>
      </w:r>
      <w:r w:rsidRPr="00DA56A3">
        <w:rPr>
          <w:bCs/>
          <w:lang w:val="fr-FR"/>
        </w:rPr>
        <w:t>État partie concerné. Elle avait également pris note des efforts déployés par les autorités belges pour répondre aux plaintes reçues. Toutefois, elle regrettait vivement que</w:t>
      </w:r>
      <w:r w:rsidR="00CF0A50">
        <w:rPr>
          <w:bCs/>
          <w:lang w:val="fr-FR"/>
        </w:rPr>
        <w:t>,</w:t>
      </w:r>
      <w:r w:rsidRPr="00DA56A3">
        <w:rPr>
          <w:bCs/>
          <w:lang w:val="fr-FR"/>
        </w:rPr>
        <w:t xml:space="preserve"> suite à la transmission à la Belgique de la correspondance reçue avant la célébration de l</w:t>
      </w:r>
      <w:r w:rsidR="00923E72">
        <w:rPr>
          <w:bCs/>
          <w:lang w:val="fr-FR"/>
        </w:rPr>
        <w:t>’</w:t>
      </w:r>
      <w:r w:rsidRPr="00DA56A3">
        <w:rPr>
          <w:bCs/>
          <w:lang w:val="fr-FR"/>
        </w:rPr>
        <w:t>édition</w:t>
      </w:r>
      <w:r w:rsidR="00246428">
        <w:rPr>
          <w:bCs/>
          <w:lang w:val="fr-FR"/>
        </w:rPr>
        <w:t> </w:t>
      </w:r>
      <w:r w:rsidRPr="00DA56A3">
        <w:rPr>
          <w:bCs/>
          <w:lang w:val="fr-FR"/>
        </w:rPr>
        <w:t xml:space="preserve">2022 de la procession, les efforts </w:t>
      </w:r>
      <w:r w:rsidRPr="00DA56A3">
        <w:rPr>
          <w:bCs/>
          <w:lang w:val="fr-FR"/>
        </w:rPr>
        <w:lastRenderedPageBreak/>
        <w:t xml:space="preserve">déployés en ce qui concerne le rôle du personnage du </w:t>
      </w:r>
      <w:r>
        <w:rPr>
          <w:bCs/>
          <w:lang w:val="fr-FR"/>
        </w:rPr>
        <w:t>« </w:t>
      </w:r>
      <w:r w:rsidRPr="00DA56A3">
        <w:rPr>
          <w:bCs/>
          <w:lang w:val="fr-FR"/>
        </w:rPr>
        <w:t>Sauvage</w:t>
      </w:r>
      <w:r>
        <w:rPr>
          <w:bCs/>
          <w:lang w:val="fr-FR"/>
        </w:rPr>
        <w:t> »</w:t>
      </w:r>
      <w:r w:rsidRPr="00DA56A3">
        <w:rPr>
          <w:bCs/>
          <w:lang w:val="fr-FR"/>
        </w:rPr>
        <w:t xml:space="preserve"> n</w:t>
      </w:r>
      <w:r w:rsidR="00923E72">
        <w:rPr>
          <w:bCs/>
          <w:lang w:val="fr-FR"/>
        </w:rPr>
        <w:t>’</w:t>
      </w:r>
      <w:r w:rsidRPr="00DA56A3">
        <w:rPr>
          <w:bCs/>
          <w:lang w:val="fr-FR"/>
        </w:rPr>
        <w:t>aient consisté qu</w:t>
      </w:r>
      <w:r w:rsidR="00923E72">
        <w:rPr>
          <w:bCs/>
          <w:lang w:val="fr-FR"/>
        </w:rPr>
        <w:t>’</w:t>
      </w:r>
      <w:r w:rsidRPr="00DA56A3">
        <w:rPr>
          <w:bCs/>
          <w:lang w:val="fr-FR"/>
        </w:rPr>
        <w:t xml:space="preserve">à permettre à ce dernier de </w:t>
      </w:r>
      <w:r>
        <w:rPr>
          <w:bCs/>
          <w:lang w:val="fr-FR"/>
        </w:rPr>
        <w:t>« </w:t>
      </w:r>
      <w:r w:rsidRPr="00DA56A3">
        <w:rPr>
          <w:bCs/>
          <w:lang w:val="fr-FR"/>
        </w:rPr>
        <w:t>se défaire définitivement de ses chaînes et de son anneau de nez</w:t>
      </w:r>
      <w:r>
        <w:rPr>
          <w:bCs/>
          <w:lang w:val="fr-FR"/>
        </w:rPr>
        <w:t> »</w:t>
      </w:r>
      <w:r w:rsidRPr="00DA56A3">
        <w:rPr>
          <w:bCs/>
          <w:lang w:val="fr-FR"/>
        </w:rPr>
        <w:t>. La délégation a également signalé que l</w:t>
      </w:r>
      <w:r w:rsidR="00923E72">
        <w:rPr>
          <w:bCs/>
          <w:lang w:val="fr-FR"/>
        </w:rPr>
        <w:t>’</w:t>
      </w:r>
      <w:r w:rsidRPr="00DA56A3">
        <w:rPr>
          <w:bCs/>
          <w:lang w:val="fr-FR"/>
        </w:rPr>
        <w:t>enquête menée par la ville d</w:t>
      </w:r>
      <w:r w:rsidR="00923E72">
        <w:rPr>
          <w:bCs/>
          <w:lang w:val="fr-FR"/>
        </w:rPr>
        <w:t>’</w:t>
      </w:r>
      <w:r w:rsidRPr="00DA56A3">
        <w:rPr>
          <w:bCs/>
          <w:lang w:val="fr-FR"/>
        </w:rPr>
        <w:t xml:space="preserve">Ath concernant le personnage du </w:t>
      </w:r>
      <w:r>
        <w:rPr>
          <w:bCs/>
          <w:lang w:val="fr-FR"/>
        </w:rPr>
        <w:t>« </w:t>
      </w:r>
      <w:r w:rsidRPr="00DA56A3">
        <w:rPr>
          <w:bCs/>
          <w:lang w:val="fr-FR"/>
        </w:rPr>
        <w:t>Sauvage</w:t>
      </w:r>
      <w:r>
        <w:rPr>
          <w:bCs/>
          <w:lang w:val="fr-FR"/>
        </w:rPr>
        <w:t> »</w:t>
      </w:r>
      <w:r w:rsidRPr="00DA56A3">
        <w:rPr>
          <w:bCs/>
          <w:lang w:val="fr-FR"/>
        </w:rPr>
        <w:t xml:space="preserve"> de la Ducasse d</w:t>
      </w:r>
      <w:r w:rsidR="00923E72">
        <w:rPr>
          <w:bCs/>
          <w:lang w:val="fr-FR"/>
        </w:rPr>
        <w:t>’</w:t>
      </w:r>
      <w:r w:rsidRPr="00DA56A3">
        <w:rPr>
          <w:bCs/>
          <w:lang w:val="fr-FR"/>
        </w:rPr>
        <w:t>Ath n</w:t>
      </w:r>
      <w:r w:rsidR="00923E72">
        <w:rPr>
          <w:bCs/>
          <w:lang w:val="fr-FR"/>
        </w:rPr>
        <w:t>’</w:t>
      </w:r>
      <w:r w:rsidRPr="00DA56A3">
        <w:rPr>
          <w:bCs/>
          <w:lang w:val="fr-FR"/>
        </w:rPr>
        <w:t>était pas représentative de la population de l</w:t>
      </w:r>
      <w:r w:rsidR="00923E72">
        <w:rPr>
          <w:bCs/>
          <w:lang w:val="fr-FR"/>
        </w:rPr>
        <w:t>’</w:t>
      </w:r>
      <w:r w:rsidRPr="00DA56A3">
        <w:rPr>
          <w:bCs/>
          <w:lang w:val="fr-FR"/>
        </w:rPr>
        <w:t>État partie. Il avait également été constaté qu</w:t>
      </w:r>
      <w:r w:rsidR="00923E72">
        <w:rPr>
          <w:bCs/>
          <w:lang w:val="fr-FR"/>
        </w:rPr>
        <w:t>’</w:t>
      </w:r>
      <w:r>
        <w:rPr>
          <w:bCs/>
          <w:lang w:val="fr-FR"/>
        </w:rPr>
        <w:t xml:space="preserve">au nom de </w:t>
      </w:r>
      <w:r w:rsidRPr="00DA56A3">
        <w:rPr>
          <w:bCs/>
          <w:lang w:val="fr-FR"/>
        </w:rPr>
        <w:t>la municipalité d</w:t>
      </w:r>
      <w:r w:rsidR="00923E72">
        <w:rPr>
          <w:bCs/>
          <w:lang w:val="fr-FR"/>
        </w:rPr>
        <w:t>’</w:t>
      </w:r>
      <w:r w:rsidRPr="00DA56A3">
        <w:rPr>
          <w:bCs/>
          <w:lang w:val="fr-FR"/>
        </w:rPr>
        <w:t>Ath</w:t>
      </w:r>
      <w:r>
        <w:rPr>
          <w:bCs/>
          <w:lang w:val="fr-FR"/>
        </w:rPr>
        <w:t>,</w:t>
      </w:r>
      <w:r w:rsidRPr="00DA56A3">
        <w:rPr>
          <w:bCs/>
          <w:lang w:val="fr-FR"/>
        </w:rPr>
        <w:t xml:space="preserve"> invitée à réfléchir et à proposer des changements lors d</w:t>
      </w:r>
      <w:r w:rsidR="00923E72">
        <w:rPr>
          <w:bCs/>
          <w:lang w:val="fr-FR"/>
        </w:rPr>
        <w:t>’</w:t>
      </w:r>
      <w:r w:rsidRPr="00DA56A3">
        <w:rPr>
          <w:bCs/>
          <w:lang w:val="fr-FR"/>
        </w:rPr>
        <w:t>une interview à la télévision belge, le bourgmestre d</w:t>
      </w:r>
      <w:r w:rsidR="00923E72">
        <w:rPr>
          <w:bCs/>
          <w:lang w:val="fr-FR"/>
        </w:rPr>
        <w:t>’</w:t>
      </w:r>
      <w:r w:rsidRPr="00DA56A3">
        <w:rPr>
          <w:bCs/>
          <w:lang w:val="fr-FR"/>
        </w:rPr>
        <w:t>Ath, M.</w:t>
      </w:r>
      <w:r w:rsidR="00AB37A9">
        <w:rPr>
          <w:bCs/>
          <w:lang w:val="fr-FR"/>
        </w:rPr>
        <w:t> </w:t>
      </w:r>
      <w:r w:rsidRPr="00DA56A3">
        <w:rPr>
          <w:bCs/>
          <w:lang w:val="fr-FR"/>
        </w:rPr>
        <w:t>Bruno Lefebvre, avait répondu qu</w:t>
      </w:r>
      <w:r w:rsidR="00923E72">
        <w:rPr>
          <w:bCs/>
          <w:lang w:val="fr-FR"/>
        </w:rPr>
        <w:t>’</w:t>
      </w:r>
      <w:r w:rsidRPr="00DA56A3">
        <w:rPr>
          <w:bCs/>
          <w:lang w:val="fr-FR"/>
        </w:rPr>
        <w:t xml:space="preserve">il était hors de question de se débarrasser du personnage du </w:t>
      </w:r>
      <w:r>
        <w:rPr>
          <w:bCs/>
          <w:lang w:val="fr-FR"/>
        </w:rPr>
        <w:t>« </w:t>
      </w:r>
      <w:r w:rsidRPr="00DA56A3">
        <w:rPr>
          <w:bCs/>
          <w:lang w:val="fr-FR"/>
        </w:rPr>
        <w:t>Sauvage</w:t>
      </w:r>
      <w:r>
        <w:rPr>
          <w:bCs/>
          <w:lang w:val="fr-FR"/>
        </w:rPr>
        <w:t> »</w:t>
      </w:r>
      <w:r w:rsidR="00147E78">
        <w:rPr>
          <w:bCs/>
          <w:lang w:val="fr-FR"/>
        </w:rPr>
        <w:t>.</w:t>
      </w:r>
    </w:p>
    <w:p w14:paraId="3B9E16CD" w14:textId="03A3C63E" w:rsidR="00775AD7" w:rsidRPr="00A069FA" w:rsidRDefault="00DA56A3" w:rsidP="00702497">
      <w:pPr>
        <w:pStyle w:val="Orateurengris"/>
        <w:numPr>
          <w:ilvl w:val="0"/>
          <w:numId w:val="20"/>
        </w:numPr>
        <w:tabs>
          <w:tab w:val="clear" w:pos="567"/>
        </w:tabs>
        <w:spacing w:before="120"/>
        <w:ind w:left="709" w:hanging="709"/>
        <w:rPr>
          <w:bCs/>
          <w:lang w:val="fr-FR"/>
        </w:rPr>
      </w:pPr>
      <w:r w:rsidRPr="00DA56A3">
        <w:rPr>
          <w:bCs/>
          <w:lang w:val="fr-FR"/>
        </w:rPr>
        <w:t xml:space="preserve">La délégation du </w:t>
      </w:r>
      <w:r w:rsidRPr="00702497">
        <w:rPr>
          <w:b/>
          <w:lang w:val="fr-FR"/>
        </w:rPr>
        <w:t>Rwanda</w:t>
      </w:r>
      <w:r w:rsidRPr="00DA56A3">
        <w:rPr>
          <w:bCs/>
          <w:lang w:val="fr-FR"/>
        </w:rPr>
        <w:t xml:space="preserve"> a expliqué qu</w:t>
      </w:r>
      <w:r w:rsidR="00923E72">
        <w:rPr>
          <w:bCs/>
          <w:lang w:val="fr-FR"/>
        </w:rPr>
        <w:t>’</w:t>
      </w:r>
      <w:r w:rsidRPr="00DA56A3">
        <w:rPr>
          <w:bCs/>
          <w:lang w:val="fr-FR"/>
        </w:rPr>
        <w:t>à l</w:t>
      </w:r>
      <w:r w:rsidR="00923E72">
        <w:rPr>
          <w:bCs/>
          <w:lang w:val="fr-FR"/>
        </w:rPr>
        <w:t>’</w:t>
      </w:r>
      <w:r w:rsidRPr="00DA56A3">
        <w:rPr>
          <w:bCs/>
          <w:lang w:val="fr-FR"/>
        </w:rPr>
        <w:t xml:space="preserve">heure où le Comité devrait se consacrer à une mûre réflexion sur le rôle de la Convention, </w:t>
      </w:r>
      <w:r w:rsidR="00E034F7">
        <w:rPr>
          <w:bCs/>
          <w:lang w:val="fr-FR"/>
        </w:rPr>
        <w:t xml:space="preserve">dans </w:t>
      </w:r>
      <w:r w:rsidRPr="00DA56A3">
        <w:rPr>
          <w:bCs/>
          <w:lang w:val="fr-FR"/>
        </w:rPr>
        <w:t>l</w:t>
      </w:r>
      <w:r w:rsidR="00923E72">
        <w:rPr>
          <w:bCs/>
          <w:lang w:val="fr-FR"/>
        </w:rPr>
        <w:t>’</w:t>
      </w:r>
      <w:r w:rsidRPr="00DA56A3">
        <w:rPr>
          <w:bCs/>
          <w:lang w:val="fr-FR"/>
        </w:rPr>
        <w:t>évolution des pratiques, la Liste représentative ne devrait pas se transformer en un instrument coercitif à l</w:t>
      </w:r>
      <w:r w:rsidR="00923E72">
        <w:rPr>
          <w:bCs/>
          <w:lang w:val="fr-FR"/>
        </w:rPr>
        <w:t>’</w:t>
      </w:r>
      <w:r w:rsidRPr="00DA56A3">
        <w:rPr>
          <w:bCs/>
          <w:lang w:val="fr-FR"/>
        </w:rPr>
        <w:t>égard des détenteurs. Le rôle du Comité n</w:t>
      </w:r>
      <w:r w:rsidR="00923E72">
        <w:rPr>
          <w:bCs/>
          <w:lang w:val="fr-FR"/>
        </w:rPr>
        <w:t>’</w:t>
      </w:r>
      <w:r w:rsidRPr="00DA56A3">
        <w:rPr>
          <w:bCs/>
          <w:lang w:val="fr-FR"/>
        </w:rPr>
        <w:t>était pas d</w:t>
      </w:r>
      <w:r w:rsidR="00923E72">
        <w:rPr>
          <w:bCs/>
          <w:lang w:val="fr-FR"/>
        </w:rPr>
        <w:t>’</w:t>
      </w:r>
      <w:r w:rsidRPr="00DA56A3">
        <w:rPr>
          <w:bCs/>
          <w:lang w:val="fr-FR"/>
        </w:rPr>
        <w:t>arbitrer les us et coutumes, mais il avait la responsabilité de ne pas honorer ces coutumes lorsqu</w:t>
      </w:r>
      <w:r w:rsidR="00923E72">
        <w:rPr>
          <w:bCs/>
          <w:lang w:val="fr-FR"/>
        </w:rPr>
        <w:t>’</w:t>
      </w:r>
      <w:r w:rsidRPr="00DA56A3">
        <w:rPr>
          <w:bCs/>
          <w:lang w:val="fr-FR"/>
        </w:rPr>
        <w:t>elles font l</w:t>
      </w:r>
      <w:r w:rsidR="00923E72">
        <w:rPr>
          <w:bCs/>
          <w:lang w:val="fr-FR"/>
        </w:rPr>
        <w:t>’</w:t>
      </w:r>
      <w:r w:rsidRPr="00DA56A3">
        <w:rPr>
          <w:bCs/>
          <w:lang w:val="fr-FR"/>
        </w:rPr>
        <w:t>éloge de la discrimination et du racisme et qu</w:t>
      </w:r>
      <w:r w:rsidR="00923E72">
        <w:rPr>
          <w:bCs/>
          <w:lang w:val="fr-FR"/>
        </w:rPr>
        <w:t>’</w:t>
      </w:r>
      <w:r w:rsidRPr="00DA56A3">
        <w:rPr>
          <w:bCs/>
          <w:lang w:val="fr-FR"/>
        </w:rPr>
        <w:t>elles chosifient l</w:t>
      </w:r>
      <w:r w:rsidR="00923E72">
        <w:rPr>
          <w:bCs/>
          <w:lang w:val="fr-FR"/>
        </w:rPr>
        <w:t>’</w:t>
      </w:r>
      <w:r w:rsidRPr="00DA56A3">
        <w:rPr>
          <w:bCs/>
          <w:lang w:val="fr-FR"/>
        </w:rPr>
        <w:t>autre, en niant sa dignité et son humanité. Elle avait la responsabilité non pas de faire de la pédagogie auprès de cette communauté, mais de protéger le reste de l</w:t>
      </w:r>
      <w:r w:rsidR="00923E72">
        <w:rPr>
          <w:bCs/>
          <w:lang w:val="fr-FR"/>
        </w:rPr>
        <w:t>’</w:t>
      </w:r>
      <w:r w:rsidRPr="00DA56A3">
        <w:rPr>
          <w:bCs/>
          <w:lang w:val="fr-FR"/>
        </w:rPr>
        <w:t>humanité en lui évitant de souffrir de la présence de cet élément sur la Liste représentative. Son rôle n</w:t>
      </w:r>
      <w:r w:rsidR="00923E72">
        <w:rPr>
          <w:bCs/>
          <w:lang w:val="fr-FR"/>
        </w:rPr>
        <w:t>’</w:t>
      </w:r>
      <w:r w:rsidRPr="00DA56A3">
        <w:rPr>
          <w:bCs/>
          <w:lang w:val="fr-FR"/>
        </w:rPr>
        <w:t>était pas de policer les communautés mais de veiller à la nature de la Liste représentative et de s</w:t>
      </w:r>
      <w:r w:rsidR="00923E72">
        <w:rPr>
          <w:bCs/>
          <w:lang w:val="fr-FR"/>
        </w:rPr>
        <w:t>’</w:t>
      </w:r>
      <w:r w:rsidRPr="00DA56A3">
        <w:rPr>
          <w:bCs/>
          <w:lang w:val="fr-FR"/>
        </w:rPr>
        <w:t>assurer qu</w:t>
      </w:r>
      <w:r w:rsidR="00923E72">
        <w:rPr>
          <w:bCs/>
          <w:lang w:val="fr-FR"/>
        </w:rPr>
        <w:t>’</w:t>
      </w:r>
      <w:r w:rsidRPr="00DA56A3">
        <w:rPr>
          <w:bCs/>
          <w:lang w:val="fr-FR"/>
        </w:rPr>
        <w:t>elle n</w:t>
      </w:r>
      <w:r w:rsidR="00923E72">
        <w:rPr>
          <w:bCs/>
          <w:lang w:val="fr-FR"/>
        </w:rPr>
        <w:t>’</w:t>
      </w:r>
      <w:r w:rsidRPr="00DA56A3">
        <w:rPr>
          <w:bCs/>
          <w:lang w:val="fr-FR"/>
        </w:rPr>
        <w:t>accueille pas l</w:t>
      </w:r>
      <w:r w:rsidR="00923E72">
        <w:rPr>
          <w:bCs/>
          <w:lang w:val="fr-FR"/>
        </w:rPr>
        <w:t>’</w:t>
      </w:r>
      <w:r w:rsidRPr="00DA56A3">
        <w:rPr>
          <w:bCs/>
          <w:lang w:val="fr-FR"/>
        </w:rPr>
        <w:t>inacceptable. Chaque manifestation de cette pratique sous l</w:t>
      </w:r>
      <w:r w:rsidR="00923E72">
        <w:rPr>
          <w:bCs/>
          <w:lang w:val="fr-FR"/>
        </w:rPr>
        <w:t>’</w:t>
      </w:r>
      <w:r w:rsidRPr="00DA56A3">
        <w:rPr>
          <w:bCs/>
          <w:lang w:val="fr-FR"/>
        </w:rPr>
        <w:t>égide de l</w:t>
      </w:r>
      <w:r w:rsidR="00923E72">
        <w:rPr>
          <w:bCs/>
          <w:lang w:val="fr-FR"/>
        </w:rPr>
        <w:t>’</w:t>
      </w:r>
      <w:r w:rsidRPr="00DA56A3">
        <w:rPr>
          <w:bCs/>
          <w:lang w:val="fr-FR"/>
        </w:rPr>
        <w:t>UNESCO était une édition de trop. Ce n</w:t>
      </w:r>
      <w:r w:rsidR="00923E72">
        <w:rPr>
          <w:bCs/>
          <w:lang w:val="fr-FR"/>
        </w:rPr>
        <w:t>’</w:t>
      </w:r>
      <w:r w:rsidRPr="00DA56A3">
        <w:rPr>
          <w:bCs/>
          <w:lang w:val="fr-FR"/>
        </w:rPr>
        <w:t>était pas aux autorités belges d</w:t>
      </w:r>
      <w:r w:rsidR="00923E72">
        <w:rPr>
          <w:bCs/>
          <w:lang w:val="fr-FR"/>
        </w:rPr>
        <w:t>’</w:t>
      </w:r>
      <w:r w:rsidRPr="00DA56A3">
        <w:rPr>
          <w:bCs/>
          <w:lang w:val="fr-FR"/>
        </w:rPr>
        <w:t>enlever les chaînes d</w:t>
      </w:r>
      <w:r w:rsidR="00923E72">
        <w:rPr>
          <w:bCs/>
          <w:lang w:val="fr-FR"/>
        </w:rPr>
        <w:t>’</w:t>
      </w:r>
      <w:r w:rsidRPr="00DA56A3">
        <w:rPr>
          <w:bCs/>
          <w:lang w:val="fr-FR"/>
        </w:rPr>
        <w:t xml:space="preserve">un </w:t>
      </w:r>
      <w:r w:rsidR="00E034F7">
        <w:rPr>
          <w:bCs/>
          <w:lang w:val="fr-FR"/>
        </w:rPr>
        <w:t>« </w:t>
      </w:r>
      <w:r w:rsidR="00147E78">
        <w:rPr>
          <w:bCs/>
          <w:lang w:val="fr-FR"/>
        </w:rPr>
        <w:t>S</w:t>
      </w:r>
      <w:r w:rsidRPr="00DA56A3">
        <w:rPr>
          <w:bCs/>
          <w:lang w:val="fr-FR"/>
        </w:rPr>
        <w:t>auvage</w:t>
      </w:r>
      <w:r w:rsidR="00E034F7">
        <w:rPr>
          <w:bCs/>
          <w:lang w:val="fr-FR"/>
        </w:rPr>
        <w:t> »</w:t>
      </w:r>
      <w:r w:rsidRPr="00DA56A3">
        <w:rPr>
          <w:bCs/>
          <w:lang w:val="fr-FR"/>
        </w:rPr>
        <w:t xml:space="preserve"> pour diluer la connotation raciste. C</w:t>
      </w:r>
      <w:r w:rsidR="00923E72">
        <w:rPr>
          <w:bCs/>
          <w:lang w:val="fr-FR"/>
        </w:rPr>
        <w:t>’</w:t>
      </w:r>
      <w:r w:rsidRPr="00DA56A3">
        <w:rPr>
          <w:bCs/>
          <w:lang w:val="fr-FR"/>
        </w:rPr>
        <w:t>était à l</w:t>
      </w:r>
      <w:r w:rsidR="00923E72">
        <w:rPr>
          <w:bCs/>
          <w:lang w:val="fr-FR"/>
        </w:rPr>
        <w:t>’</w:t>
      </w:r>
      <w:r w:rsidRPr="00DA56A3">
        <w:rPr>
          <w:bCs/>
          <w:lang w:val="fr-FR"/>
        </w:rPr>
        <w:t>UNESCO de prendre ses distances avec ce message, incompatible avec les valeurs promues par l</w:t>
      </w:r>
      <w:r w:rsidR="00923E72">
        <w:rPr>
          <w:bCs/>
          <w:lang w:val="fr-FR"/>
        </w:rPr>
        <w:t>’</w:t>
      </w:r>
      <w:r w:rsidRPr="00DA56A3">
        <w:rPr>
          <w:bCs/>
          <w:lang w:val="fr-FR"/>
        </w:rPr>
        <w:t>UNESCO. Être noir n</w:t>
      </w:r>
      <w:r w:rsidR="00923E72">
        <w:rPr>
          <w:bCs/>
          <w:lang w:val="fr-FR"/>
        </w:rPr>
        <w:t>’</w:t>
      </w:r>
      <w:r w:rsidRPr="00DA56A3">
        <w:rPr>
          <w:bCs/>
          <w:lang w:val="fr-FR"/>
        </w:rPr>
        <w:t>était pas un travestissement, ce n</w:t>
      </w:r>
      <w:r w:rsidR="00923E72">
        <w:rPr>
          <w:bCs/>
          <w:lang w:val="fr-FR"/>
        </w:rPr>
        <w:t>’</w:t>
      </w:r>
      <w:r w:rsidRPr="00DA56A3">
        <w:rPr>
          <w:bCs/>
          <w:lang w:val="fr-FR"/>
        </w:rPr>
        <w:t>était pas un déguisement. Être noir était encore moins un déguisement lorsqu</w:t>
      </w:r>
      <w:r w:rsidR="00E034F7">
        <w:rPr>
          <w:bCs/>
          <w:lang w:val="fr-FR"/>
        </w:rPr>
        <w:t>e</w:t>
      </w:r>
      <w:r w:rsidRPr="00DA56A3">
        <w:rPr>
          <w:bCs/>
          <w:lang w:val="fr-FR"/>
        </w:rPr>
        <w:t xml:space="preserve"> </w:t>
      </w:r>
      <w:r w:rsidR="00E034F7">
        <w:rPr>
          <w:bCs/>
          <w:lang w:val="fr-FR"/>
        </w:rPr>
        <w:t>c</w:t>
      </w:r>
      <w:r w:rsidR="00923E72">
        <w:rPr>
          <w:bCs/>
          <w:lang w:val="fr-FR"/>
        </w:rPr>
        <w:t>’</w:t>
      </w:r>
      <w:r w:rsidRPr="00DA56A3">
        <w:rPr>
          <w:bCs/>
          <w:lang w:val="fr-FR"/>
        </w:rPr>
        <w:t>était censé effrayer les enfants et les adultes. Ce personnage</w:t>
      </w:r>
      <w:r w:rsidR="00E034F7">
        <w:rPr>
          <w:bCs/>
          <w:lang w:val="fr-FR"/>
        </w:rPr>
        <w:t>,</w:t>
      </w:r>
      <w:r w:rsidRPr="00DA56A3">
        <w:rPr>
          <w:bCs/>
          <w:lang w:val="fr-FR"/>
        </w:rPr>
        <w:t xml:space="preserve"> considéré comme </w:t>
      </w:r>
      <w:r w:rsidR="00E034F7">
        <w:rPr>
          <w:bCs/>
          <w:lang w:val="fr-FR"/>
        </w:rPr>
        <w:t>« </w:t>
      </w:r>
      <w:r w:rsidRPr="00DA56A3">
        <w:rPr>
          <w:bCs/>
          <w:lang w:val="fr-FR"/>
        </w:rPr>
        <w:t>folkloriqu</w:t>
      </w:r>
      <w:r w:rsidR="00E034F7">
        <w:rPr>
          <w:bCs/>
          <w:lang w:val="fr-FR"/>
        </w:rPr>
        <w:t>e »</w:t>
      </w:r>
      <w:r w:rsidRPr="00DA56A3">
        <w:rPr>
          <w:bCs/>
          <w:lang w:val="fr-FR"/>
        </w:rPr>
        <w:t xml:space="preserve"> par certains</w:t>
      </w:r>
      <w:r w:rsidR="00E034F7">
        <w:rPr>
          <w:bCs/>
          <w:lang w:val="fr-FR"/>
        </w:rPr>
        <w:t>,</w:t>
      </w:r>
      <w:r w:rsidRPr="00DA56A3">
        <w:rPr>
          <w:bCs/>
          <w:lang w:val="fr-FR"/>
        </w:rPr>
        <w:t xml:space="preserve"> renvoyait à une histoire sombre de l</w:t>
      </w:r>
      <w:r w:rsidR="00923E72">
        <w:rPr>
          <w:bCs/>
          <w:lang w:val="fr-FR"/>
        </w:rPr>
        <w:t>’</w:t>
      </w:r>
      <w:r w:rsidRPr="00DA56A3">
        <w:rPr>
          <w:bCs/>
          <w:lang w:val="fr-FR"/>
        </w:rPr>
        <w:t>humanité, et la délégation était consternée de constater que cette question faisait encore l</w:t>
      </w:r>
      <w:r w:rsidR="00923E72">
        <w:rPr>
          <w:bCs/>
          <w:lang w:val="fr-FR"/>
        </w:rPr>
        <w:t>’</w:t>
      </w:r>
      <w:r w:rsidRPr="00DA56A3">
        <w:rPr>
          <w:bCs/>
          <w:lang w:val="fr-FR"/>
        </w:rPr>
        <w:t>objet d</w:t>
      </w:r>
      <w:r w:rsidR="00923E72">
        <w:rPr>
          <w:bCs/>
          <w:lang w:val="fr-FR"/>
        </w:rPr>
        <w:t>’</w:t>
      </w:r>
      <w:r w:rsidRPr="00DA56A3">
        <w:rPr>
          <w:bCs/>
          <w:lang w:val="fr-FR"/>
        </w:rPr>
        <w:t>un débat en</w:t>
      </w:r>
      <w:r w:rsidR="00246428">
        <w:rPr>
          <w:bCs/>
          <w:lang w:val="fr-FR"/>
        </w:rPr>
        <w:t> </w:t>
      </w:r>
      <w:r w:rsidRPr="00DA56A3">
        <w:rPr>
          <w:bCs/>
          <w:lang w:val="fr-FR"/>
        </w:rPr>
        <w:t>2022 au sein de cette institution et au sein du Comité, garant de cette Convention. Pour toutes ces raisons</w:t>
      </w:r>
      <w:r w:rsidRPr="00A069FA">
        <w:rPr>
          <w:bCs/>
          <w:lang w:val="fr-FR"/>
        </w:rPr>
        <w:t xml:space="preserve"> et</w:t>
      </w:r>
      <w:r w:rsidR="00A069FA">
        <w:rPr>
          <w:bCs/>
          <w:lang w:val="fr-FR"/>
        </w:rPr>
        <w:t>,</w:t>
      </w:r>
      <w:r w:rsidRPr="00A069FA">
        <w:rPr>
          <w:bCs/>
          <w:lang w:val="fr-FR"/>
        </w:rPr>
        <w:t xml:space="preserve"> puisque le </w:t>
      </w:r>
      <w:r w:rsidR="00E034F7" w:rsidRPr="00A069FA">
        <w:rPr>
          <w:bCs/>
          <w:lang w:val="fr-FR"/>
        </w:rPr>
        <w:t>« </w:t>
      </w:r>
      <w:r w:rsidRPr="00A069FA">
        <w:rPr>
          <w:bCs/>
          <w:lang w:val="fr-FR"/>
        </w:rPr>
        <w:t>Sauvage</w:t>
      </w:r>
      <w:r w:rsidR="00E034F7" w:rsidRPr="00A069FA">
        <w:rPr>
          <w:bCs/>
          <w:lang w:val="fr-FR"/>
        </w:rPr>
        <w:t> »</w:t>
      </w:r>
      <w:r w:rsidRPr="00A069FA">
        <w:rPr>
          <w:bCs/>
          <w:lang w:val="fr-FR"/>
        </w:rPr>
        <w:t xml:space="preserve"> n</w:t>
      </w:r>
      <w:r w:rsidR="00923E72">
        <w:rPr>
          <w:bCs/>
          <w:lang w:val="fr-FR"/>
        </w:rPr>
        <w:t>’</w:t>
      </w:r>
      <w:r w:rsidRPr="00A069FA">
        <w:rPr>
          <w:bCs/>
          <w:lang w:val="fr-FR"/>
        </w:rPr>
        <w:t xml:space="preserve">avait jamais été ni un géant, ni un dragon, ni un personnage folklorique, mais </w:t>
      </w:r>
      <w:r w:rsidR="00E034F7" w:rsidRPr="00A069FA">
        <w:rPr>
          <w:bCs/>
          <w:lang w:val="fr-FR"/>
        </w:rPr>
        <w:t xml:space="preserve">bien </w:t>
      </w:r>
      <w:r w:rsidRPr="00A069FA">
        <w:rPr>
          <w:bCs/>
          <w:lang w:val="fr-FR"/>
        </w:rPr>
        <w:t>un homme, le Rwanda proposait le retrait immédiat de la Ducasse d</w:t>
      </w:r>
      <w:r w:rsidR="00923E72">
        <w:rPr>
          <w:bCs/>
          <w:lang w:val="fr-FR"/>
        </w:rPr>
        <w:t>’</w:t>
      </w:r>
      <w:r w:rsidRPr="00A069FA">
        <w:rPr>
          <w:bCs/>
          <w:lang w:val="fr-FR"/>
        </w:rPr>
        <w:t>Ath de l</w:t>
      </w:r>
      <w:r w:rsidR="00923E72">
        <w:rPr>
          <w:bCs/>
          <w:lang w:val="fr-FR"/>
        </w:rPr>
        <w:t>’</w:t>
      </w:r>
      <w:r w:rsidRPr="00A069FA">
        <w:rPr>
          <w:bCs/>
          <w:lang w:val="fr-FR"/>
        </w:rPr>
        <w:t xml:space="preserve">élément </w:t>
      </w:r>
      <w:r w:rsidR="00E034F7" w:rsidRPr="00A069FA">
        <w:rPr>
          <w:bCs/>
          <w:lang w:val="fr-FR"/>
        </w:rPr>
        <w:t>« </w:t>
      </w:r>
      <w:r w:rsidRPr="00A069FA">
        <w:rPr>
          <w:bCs/>
          <w:lang w:val="fr-FR"/>
        </w:rPr>
        <w:t xml:space="preserve">Géants et dragons processionnels de Belgique et de </w:t>
      </w:r>
      <w:r w:rsidR="00E034F7" w:rsidRPr="00A069FA">
        <w:rPr>
          <w:bCs/>
          <w:lang w:val="fr-FR"/>
        </w:rPr>
        <w:t xml:space="preserve">France » </w:t>
      </w:r>
      <w:r w:rsidRPr="00A069FA">
        <w:rPr>
          <w:bCs/>
          <w:lang w:val="fr-FR"/>
        </w:rPr>
        <w:t>et donc de la Liste représentative du patrimoine immatériel de l</w:t>
      </w:r>
      <w:r w:rsidR="00923E72">
        <w:rPr>
          <w:bCs/>
          <w:lang w:val="fr-FR"/>
        </w:rPr>
        <w:t>’</w:t>
      </w:r>
      <w:r w:rsidRPr="00A069FA">
        <w:rPr>
          <w:bCs/>
          <w:lang w:val="fr-FR"/>
        </w:rPr>
        <w:t>humanité.</w:t>
      </w:r>
    </w:p>
    <w:p w14:paraId="6FA10AF0" w14:textId="03C561A6" w:rsidR="00E034F7" w:rsidRDefault="008E128F" w:rsidP="00AA7EE4">
      <w:pPr>
        <w:pStyle w:val="Orateurengris"/>
        <w:numPr>
          <w:ilvl w:val="0"/>
          <w:numId w:val="20"/>
        </w:numPr>
        <w:tabs>
          <w:tab w:val="clear" w:pos="567"/>
        </w:tabs>
        <w:spacing w:before="120"/>
        <w:ind w:left="709" w:hanging="709"/>
        <w:rPr>
          <w:bCs/>
          <w:lang w:val="fr-FR"/>
        </w:rPr>
      </w:pPr>
      <w:r w:rsidRPr="008E128F">
        <w:rPr>
          <w:bCs/>
          <w:lang w:val="fr-FR"/>
        </w:rPr>
        <w:t xml:space="preserve">Le </w:t>
      </w:r>
      <w:r w:rsidRPr="00702497">
        <w:rPr>
          <w:b/>
          <w:lang w:val="fr-FR"/>
        </w:rPr>
        <w:t>Président</w:t>
      </w:r>
      <w:r w:rsidRPr="008E128F">
        <w:rPr>
          <w:bCs/>
          <w:lang w:val="fr-FR"/>
        </w:rPr>
        <w:t xml:space="preserve"> souscrivait pleinement aux remarques</w:t>
      </w:r>
      <w:r>
        <w:rPr>
          <w:bCs/>
          <w:lang w:val="fr-FR"/>
        </w:rPr>
        <w:t xml:space="preserve"> percutantes</w:t>
      </w:r>
      <w:r w:rsidRPr="008E128F">
        <w:rPr>
          <w:bCs/>
          <w:lang w:val="fr-FR"/>
        </w:rPr>
        <w:t>, pertinentes et éloquentes formulées par le Rwanda, qui avaient touché toutes les personnes présentes dans cette salle.</w:t>
      </w:r>
    </w:p>
    <w:p w14:paraId="463FE144" w14:textId="7004A6B8" w:rsidR="008E128F" w:rsidRDefault="00856BF9" w:rsidP="00AA7EE4">
      <w:pPr>
        <w:pStyle w:val="Orateurengris"/>
        <w:numPr>
          <w:ilvl w:val="0"/>
          <w:numId w:val="20"/>
        </w:numPr>
        <w:tabs>
          <w:tab w:val="clear" w:pos="567"/>
        </w:tabs>
        <w:spacing w:before="120"/>
        <w:ind w:left="709" w:hanging="709"/>
        <w:rPr>
          <w:bCs/>
          <w:lang w:val="fr-FR"/>
        </w:rPr>
      </w:pPr>
      <w:r w:rsidRPr="00856BF9">
        <w:rPr>
          <w:bCs/>
          <w:lang w:val="fr-FR"/>
        </w:rPr>
        <w:t xml:space="preserve">La délégation du </w:t>
      </w:r>
      <w:r w:rsidRPr="00702497">
        <w:rPr>
          <w:b/>
          <w:lang w:val="fr-FR"/>
        </w:rPr>
        <w:t>Burkina</w:t>
      </w:r>
      <w:r w:rsidR="00147E78">
        <w:rPr>
          <w:b/>
          <w:lang w:val="fr-FR"/>
        </w:rPr>
        <w:t> </w:t>
      </w:r>
      <w:r w:rsidRPr="00702497">
        <w:rPr>
          <w:b/>
          <w:lang w:val="fr-FR"/>
        </w:rPr>
        <w:t>Faso</w:t>
      </w:r>
      <w:r w:rsidRPr="00856BF9">
        <w:rPr>
          <w:bCs/>
          <w:lang w:val="fr-FR"/>
        </w:rPr>
        <w:t xml:space="preserve"> a félicité le Secrétariat pour son rapport et a souligné que les plaintes déposées en</w:t>
      </w:r>
      <w:r w:rsidR="00AF6B98">
        <w:rPr>
          <w:bCs/>
          <w:lang w:val="fr-FR"/>
        </w:rPr>
        <w:t> </w:t>
      </w:r>
      <w:r w:rsidRPr="00856BF9">
        <w:rPr>
          <w:bCs/>
          <w:lang w:val="fr-FR"/>
        </w:rPr>
        <w:t>2019,</w:t>
      </w:r>
      <w:r w:rsidR="00AF6B98">
        <w:rPr>
          <w:bCs/>
          <w:lang w:val="fr-FR"/>
        </w:rPr>
        <w:t> </w:t>
      </w:r>
      <w:r w:rsidRPr="00856BF9">
        <w:rPr>
          <w:bCs/>
          <w:lang w:val="fr-FR"/>
        </w:rPr>
        <w:t>2021 et</w:t>
      </w:r>
      <w:r w:rsidR="00AF6B98">
        <w:rPr>
          <w:bCs/>
          <w:lang w:val="fr-FR"/>
        </w:rPr>
        <w:t> </w:t>
      </w:r>
      <w:r w:rsidRPr="00856BF9">
        <w:rPr>
          <w:bCs/>
          <w:lang w:val="fr-FR"/>
        </w:rPr>
        <w:t>2022, avaient été transmises aux autorités de l</w:t>
      </w:r>
      <w:r w:rsidR="00923E72">
        <w:rPr>
          <w:bCs/>
          <w:lang w:val="fr-FR"/>
        </w:rPr>
        <w:t>’</w:t>
      </w:r>
      <w:r w:rsidRPr="00856BF9">
        <w:rPr>
          <w:bCs/>
          <w:lang w:val="fr-FR"/>
        </w:rPr>
        <w:t>État concerné et que cela n</w:t>
      </w:r>
      <w:r w:rsidR="00923E72">
        <w:rPr>
          <w:bCs/>
          <w:lang w:val="fr-FR"/>
        </w:rPr>
        <w:t>’</w:t>
      </w:r>
      <w:r w:rsidRPr="00856BF9">
        <w:rPr>
          <w:bCs/>
          <w:lang w:val="fr-FR"/>
        </w:rPr>
        <w:t>avait pas empêché la présence du personnage controversé dans la procession de</w:t>
      </w:r>
      <w:r w:rsidR="00246428">
        <w:rPr>
          <w:bCs/>
          <w:lang w:val="fr-FR"/>
        </w:rPr>
        <w:t> </w:t>
      </w:r>
      <w:r w:rsidRPr="00856BF9">
        <w:rPr>
          <w:bCs/>
          <w:lang w:val="fr-FR"/>
        </w:rPr>
        <w:t>2022. Deux sessions du Comité avaient déjà pris connaissance de ce cas en</w:t>
      </w:r>
      <w:r w:rsidR="00AF6B98">
        <w:rPr>
          <w:bCs/>
          <w:lang w:val="fr-FR"/>
        </w:rPr>
        <w:t> </w:t>
      </w:r>
      <w:r w:rsidRPr="00856BF9">
        <w:rPr>
          <w:bCs/>
          <w:lang w:val="fr-FR"/>
        </w:rPr>
        <w:t>2019 et</w:t>
      </w:r>
      <w:r w:rsidR="00AF6B98">
        <w:rPr>
          <w:bCs/>
          <w:lang w:val="fr-FR"/>
        </w:rPr>
        <w:t> </w:t>
      </w:r>
      <w:r w:rsidRPr="00856BF9">
        <w:rPr>
          <w:bCs/>
          <w:lang w:val="fr-FR"/>
        </w:rPr>
        <w:t>2021. En effet, une session du Comité en 2019 avait traité un cas similaire</w:t>
      </w:r>
      <w:r>
        <w:rPr>
          <w:bCs/>
          <w:lang w:val="fr-FR"/>
        </w:rPr>
        <w:t>,</w:t>
      </w:r>
      <w:r w:rsidRPr="00856BF9">
        <w:rPr>
          <w:bCs/>
          <w:lang w:val="fr-FR"/>
        </w:rPr>
        <w:t xml:space="preserve"> concernant le Carnaval d</w:t>
      </w:r>
      <w:r w:rsidR="00923E72">
        <w:rPr>
          <w:bCs/>
          <w:lang w:val="fr-FR"/>
        </w:rPr>
        <w:t>’</w:t>
      </w:r>
      <w:r w:rsidRPr="00856BF9">
        <w:rPr>
          <w:bCs/>
          <w:lang w:val="fr-FR"/>
        </w:rPr>
        <w:t>Alost</w:t>
      </w:r>
      <w:r>
        <w:rPr>
          <w:bCs/>
          <w:lang w:val="fr-FR"/>
        </w:rPr>
        <w:t>,</w:t>
      </w:r>
      <w:r w:rsidRPr="00856BF9">
        <w:rPr>
          <w:bCs/>
          <w:lang w:val="fr-FR"/>
        </w:rPr>
        <w:t xml:space="preserve"> dans sa décision</w:t>
      </w:r>
      <w:r w:rsidR="00AF6B98">
        <w:rPr>
          <w:bCs/>
          <w:lang w:val="fr-FR"/>
        </w:rPr>
        <w:t> </w:t>
      </w:r>
      <w:hyperlink r:id="rId87" w:history="1">
        <w:r w:rsidRPr="006E3034">
          <w:rPr>
            <w:rStyle w:val="Hyperlink"/>
            <w:bCs/>
            <w:lang w:val="fr-FR"/>
          </w:rPr>
          <w:t>14.COM 12</w:t>
        </w:r>
      </w:hyperlink>
      <w:r w:rsidRPr="00856BF9">
        <w:rPr>
          <w:bCs/>
          <w:lang w:val="fr-FR"/>
        </w:rPr>
        <w:t>, et le même État partie avait pris ses responsabilités en demandant le retrait de l</w:t>
      </w:r>
      <w:r w:rsidR="00923E72">
        <w:rPr>
          <w:bCs/>
          <w:lang w:val="fr-FR"/>
        </w:rPr>
        <w:t>’</w:t>
      </w:r>
      <w:r w:rsidRPr="00856BF9">
        <w:rPr>
          <w:bCs/>
          <w:lang w:val="fr-FR"/>
        </w:rPr>
        <w:t xml:space="preserve">élément. </w:t>
      </w:r>
      <w:r>
        <w:rPr>
          <w:bCs/>
          <w:lang w:val="fr-FR"/>
        </w:rPr>
        <w:t>M</w:t>
      </w:r>
      <w:r w:rsidRPr="00856BF9">
        <w:rPr>
          <w:bCs/>
          <w:lang w:val="fr-FR"/>
        </w:rPr>
        <w:t>algré les efforts entrepris par l</w:t>
      </w:r>
      <w:r w:rsidR="00923E72">
        <w:rPr>
          <w:bCs/>
          <w:lang w:val="fr-FR"/>
        </w:rPr>
        <w:t>’</w:t>
      </w:r>
      <w:r w:rsidRPr="00856BF9">
        <w:rPr>
          <w:bCs/>
          <w:lang w:val="fr-FR"/>
        </w:rPr>
        <w:t>État concern</w:t>
      </w:r>
      <w:r>
        <w:rPr>
          <w:bCs/>
          <w:lang w:val="fr-FR"/>
        </w:rPr>
        <w:t>é, l</w:t>
      </w:r>
      <w:r w:rsidRPr="00856BF9">
        <w:rPr>
          <w:bCs/>
          <w:lang w:val="fr-FR"/>
        </w:rPr>
        <w:t>es communautés de la ville concernée étaient divisées sur le retrait de la procession d</w:t>
      </w:r>
      <w:r w:rsidR="00923E72">
        <w:rPr>
          <w:bCs/>
          <w:lang w:val="fr-FR"/>
        </w:rPr>
        <w:t>’</w:t>
      </w:r>
      <w:r w:rsidRPr="00856BF9">
        <w:rPr>
          <w:bCs/>
          <w:lang w:val="fr-FR"/>
        </w:rPr>
        <w:t xml:space="preserve">un personnage de </w:t>
      </w:r>
      <w:r>
        <w:rPr>
          <w:bCs/>
          <w:lang w:val="fr-FR"/>
        </w:rPr>
        <w:t>« </w:t>
      </w:r>
      <w:r w:rsidR="00147E78">
        <w:rPr>
          <w:bCs/>
          <w:lang w:val="fr-FR"/>
        </w:rPr>
        <w:t>S</w:t>
      </w:r>
      <w:r w:rsidRPr="00856BF9">
        <w:rPr>
          <w:bCs/>
          <w:lang w:val="fr-FR"/>
        </w:rPr>
        <w:t>auvage</w:t>
      </w:r>
      <w:r>
        <w:rPr>
          <w:bCs/>
          <w:lang w:val="fr-FR"/>
        </w:rPr>
        <w:t> »</w:t>
      </w:r>
      <w:r w:rsidRPr="00856BF9">
        <w:rPr>
          <w:bCs/>
          <w:lang w:val="fr-FR"/>
        </w:rPr>
        <w:t xml:space="preserve"> ou </w:t>
      </w:r>
      <w:r>
        <w:rPr>
          <w:bCs/>
          <w:lang w:val="fr-FR"/>
        </w:rPr>
        <w:t>« </w:t>
      </w:r>
      <w:r w:rsidRPr="00702497">
        <w:rPr>
          <w:bCs/>
          <w:i/>
          <w:iCs/>
          <w:lang w:val="fr-FR"/>
        </w:rPr>
        <w:t>blackface</w:t>
      </w:r>
      <w:r>
        <w:rPr>
          <w:bCs/>
          <w:lang w:val="fr-FR"/>
        </w:rPr>
        <w:t> »</w:t>
      </w:r>
      <w:r w:rsidRPr="00856BF9">
        <w:rPr>
          <w:bCs/>
          <w:lang w:val="fr-FR"/>
        </w:rPr>
        <w:t>. La délégation a prié instamment le Comité d</w:t>
      </w:r>
      <w:r w:rsidR="00923E72">
        <w:rPr>
          <w:bCs/>
          <w:lang w:val="fr-FR"/>
        </w:rPr>
        <w:t>’</w:t>
      </w:r>
      <w:r w:rsidRPr="00856BF9">
        <w:rPr>
          <w:bCs/>
          <w:lang w:val="fr-FR"/>
        </w:rPr>
        <w:t>aider une partie de la communauté de la ville d</w:t>
      </w:r>
      <w:r w:rsidR="00923E72">
        <w:rPr>
          <w:bCs/>
          <w:lang w:val="fr-FR"/>
        </w:rPr>
        <w:t>’</w:t>
      </w:r>
      <w:r w:rsidRPr="00856BF9">
        <w:rPr>
          <w:bCs/>
          <w:lang w:val="fr-FR"/>
        </w:rPr>
        <w:t>Ath à prendre une décision juste et courageuse en harmonie avec les principes fondamentaux de l</w:t>
      </w:r>
      <w:r w:rsidR="00923E72">
        <w:rPr>
          <w:bCs/>
          <w:lang w:val="fr-FR"/>
        </w:rPr>
        <w:t>’</w:t>
      </w:r>
      <w:r w:rsidRPr="00856BF9">
        <w:rPr>
          <w:bCs/>
          <w:lang w:val="fr-FR"/>
        </w:rPr>
        <w:t>UNESCO. Il semblait que l</w:t>
      </w:r>
      <w:r w:rsidR="00923E72">
        <w:rPr>
          <w:bCs/>
          <w:lang w:val="fr-FR"/>
        </w:rPr>
        <w:t>’</w:t>
      </w:r>
      <w:r w:rsidRPr="00856BF9">
        <w:rPr>
          <w:bCs/>
          <w:lang w:val="fr-FR"/>
        </w:rPr>
        <w:t>affaire ne nécessite plus un suivi approfondi. C</w:t>
      </w:r>
      <w:r w:rsidR="00923E72">
        <w:rPr>
          <w:bCs/>
          <w:lang w:val="fr-FR"/>
        </w:rPr>
        <w:t>’</w:t>
      </w:r>
      <w:r w:rsidRPr="00856BF9">
        <w:rPr>
          <w:bCs/>
          <w:lang w:val="fr-FR"/>
        </w:rPr>
        <w:t>était la Convention que le Comité cherchait à renforcer, et l</w:t>
      </w:r>
      <w:r w:rsidR="00923E72">
        <w:rPr>
          <w:bCs/>
          <w:lang w:val="fr-FR"/>
        </w:rPr>
        <w:t>’</w:t>
      </w:r>
      <w:r w:rsidRPr="00856BF9">
        <w:rPr>
          <w:bCs/>
          <w:lang w:val="fr-FR"/>
        </w:rPr>
        <w:t>inscription de l</w:t>
      </w:r>
      <w:r w:rsidR="00923E72">
        <w:rPr>
          <w:bCs/>
          <w:lang w:val="fr-FR"/>
        </w:rPr>
        <w:t>’</w:t>
      </w:r>
      <w:r w:rsidRPr="00856BF9">
        <w:rPr>
          <w:bCs/>
          <w:lang w:val="fr-FR"/>
        </w:rPr>
        <w:t>élément devait contribuer à favoriser le dialogue et à incarner le respect mutuel entre les communautés. En effet, le personnage était controversé et oppos</w:t>
      </w:r>
      <w:r>
        <w:rPr>
          <w:bCs/>
          <w:lang w:val="fr-FR"/>
        </w:rPr>
        <w:t>ait</w:t>
      </w:r>
      <w:r w:rsidRPr="00856BF9">
        <w:rPr>
          <w:bCs/>
          <w:lang w:val="fr-FR"/>
        </w:rPr>
        <w:t xml:space="preserve"> les communautés, dont certaines demandaient le retrait. Le Comité devait briser les chaînes de l</w:t>
      </w:r>
      <w:r w:rsidR="00923E72">
        <w:rPr>
          <w:bCs/>
          <w:lang w:val="fr-FR"/>
        </w:rPr>
        <w:t>’</w:t>
      </w:r>
      <w:r w:rsidRPr="00856BF9">
        <w:rPr>
          <w:bCs/>
          <w:lang w:val="fr-FR"/>
        </w:rPr>
        <w:t>esclavage, de l</w:t>
      </w:r>
      <w:r w:rsidR="00923E72">
        <w:rPr>
          <w:bCs/>
          <w:lang w:val="fr-FR"/>
        </w:rPr>
        <w:t>’</w:t>
      </w:r>
      <w:r w:rsidRPr="00856BF9">
        <w:rPr>
          <w:bCs/>
          <w:lang w:val="fr-FR"/>
        </w:rPr>
        <w:t>asservissement de l</w:t>
      </w:r>
      <w:r w:rsidR="00923E72">
        <w:rPr>
          <w:bCs/>
          <w:lang w:val="fr-FR"/>
        </w:rPr>
        <w:t>’</w:t>
      </w:r>
      <w:r w:rsidRPr="00856BF9">
        <w:rPr>
          <w:bCs/>
          <w:lang w:val="fr-FR"/>
        </w:rPr>
        <w:t>homme par l</w:t>
      </w:r>
      <w:r w:rsidR="00923E72">
        <w:rPr>
          <w:bCs/>
          <w:lang w:val="fr-FR"/>
        </w:rPr>
        <w:t>’</w:t>
      </w:r>
      <w:r w:rsidRPr="00856BF9">
        <w:rPr>
          <w:bCs/>
          <w:lang w:val="fr-FR"/>
        </w:rPr>
        <w:t>autre ainsi que les chaînes de l</w:t>
      </w:r>
      <w:r w:rsidR="00923E72">
        <w:rPr>
          <w:bCs/>
          <w:lang w:val="fr-FR"/>
        </w:rPr>
        <w:t>’</w:t>
      </w:r>
      <w:r w:rsidRPr="00856BF9">
        <w:rPr>
          <w:bCs/>
          <w:lang w:val="fr-FR"/>
        </w:rPr>
        <w:t>intolérance. Il devait débarrasser une partie de la communauté d</w:t>
      </w:r>
      <w:r w:rsidR="00923E72">
        <w:rPr>
          <w:bCs/>
          <w:lang w:val="fr-FR"/>
        </w:rPr>
        <w:t>’</w:t>
      </w:r>
      <w:r w:rsidRPr="00856BF9">
        <w:rPr>
          <w:bCs/>
          <w:lang w:val="fr-FR"/>
        </w:rPr>
        <w:t>Ath d</w:t>
      </w:r>
      <w:r w:rsidR="00923E72">
        <w:rPr>
          <w:bCs/>
          <w:lang w:val="fr-FR"/>
        </w:rPr>
        <w:t>’</w:t>
      </w:r>
      <w:r w:rsidRPr="00856BF9">
        <w:rPr>
          <w:bCs/>
          <w:lang w:val="fr-FR"/>
        </w:rPr>
        <w:t>actes racistes et discriminatoires. La Ducasse d</w:t>
      </w:r>
      <w:r w:rsidR="00923E72">
        <w:rPr>
          <w:bCs/>
          <w:lang w:val="fr-FR"/>
        </w:rPr>
        <w:t>’</w:t>
      </w:r>
      <w:r w:rsidRPr="00856BF9">
        <w:rPr>
          <w:bCs/>
          <w:lang w:val="fr-FR"/>
        </w:rPr>
        <w:t>Ath ne satisfaisait plus aux critères pour faire partie de la Liste représentative. Le Comité devrait en principe disposer des pleins pouvoirs pour assumer ses responsabilités. La délégation a rappelé l</w:t>
      </w:r>
      <w:r w:rsidR="00923E72">
        <w:rPr>
          <w:bCs/>
          <w:lang w:val="fr-FR"/>
        </w:rPr>
        <w:t>’</w:t>
      </w:r>
      <w:r w:rsidRPr="00856BF9">
        <w:rPr>
          <w:bCs/>
          <w:lang w:val="fr-FR"/>
        </w:rPr>
        <w:t xml:space="preserve">importance des communautés dans la mise en œuvre de la Convention, notamment pour de bonnes causes. Tout en condamnant tout comportement raciste et discriminatoire, la délégation soutenait résolument le projet </w:t>
      </w:r>
      <w:r w:rsidRPr="00856BF9">
        <w:rPr>
          <w:bCs/>
          <w:lang w:val="fr-FR"/>
        </w:rPr>
        <w:lastRenderedPageBreak/>
        <w:t>d</w:t>
      </w:r>
      <w:r w:rsidR="00923E72">
        <w:rPr>
          <w:bCs/>
          <w:lang w:val="fr-FR"/>
        </w:rPr>
        <w:t>’</w:t>
      </w:r>
      <w:r w:rsidRPr="00856BF9">
        <w:rPr>
          <w:bCs/>
          <w:lang w:val="fr-FR"/>
        </w:rPr>
        <w:t>amendement proposé par le Botswana et recommandait le retrait de la Ducasse d</w:t>
      </w:r>
      <w:r w:rsidR="00923E72">
        <w:rPr>
          <w:bCs/>
          <w:lang w:val="fr-FR"/>
        </w:rPr>
        <w:t>’</w:t>
      </w:r>
      <w:r w:rsidRPr="00856BF9">
        <w:rPr>
          <w:bCs/>
          <w:lang w:val="fr-FR"/>
        </w:rPr>
        <w:t>Ath au nom des principes fondamentaux d</w:t>
      </w:r>
      <w:r w:rsidR="00923E72">
        <w:rPr>
          <w:bCs/>
          <w:lang w:val="fr-FR"/>
        </w:rPr>
        <w:t>’</w:t>
      </w:r>
      <w:r w:rsidRPr="00856BF9">
        <w:rPr>
          <w:bCs/>
          <w:lang w:val="fr-FR"/>
        </w:rPr>
        <w:t>humanité et de paix à l</w:t>
      </w:r>
      <w:r w:rsidR="00923E72">
        <w:rPr>
          <w:bCs/>
          <w:lang w:val="fr-FR"/>
        </w:rPr>
        <w:t>’</w:t>
      </w:r>
      <w:r w:rsidRPr="00856BF9">
        <w:rPr>
          <w:bCs/>
          <w:lang w:val="fr-FR"/>
        </w:rPr>
        <w:t xml:space="preserve">UNESCO. </w:t>
      </w:r>
      <w:r>
        <w:rPr>
          <w:bCs/>
          <w:lang w:val="fr-FR"/>
        </w:rPr>
        <w:t>En outre, l</w:t>
      </w:r>
      <w:r w:rsidRPr="00856BF9">
        <w:rPr>
          <w:bCs/>
          <w:lang w:val="fr-FR"/>
        </w:rPr>
        <w:t>a délégation a demandé à la Belgique pourquoi le même traitement n</w:t>
      </w:r>
      <w:r w:rsidR="00923E72">
        <w:rPr>
          <w:bCs/>
          <w:lang w:val="fr-FR"/>
        </w:rPr>
        <w:t>’</w:t>
      </w:r>
      <w:r w:rsidRPr="00856BF9">
        <w:rPr>
          <w:bCs/>
          <w:lang w:val="fr-FR"/>
        </w:rPr>
        <w:t>avait pas été réservé à cette affaire qu</w:t>
      </w:r>
      <w:r w:rsidR="00923E72">
        <w:rPr>
          <w:bCs/>
          <w:lang w:val="fr-FR"/>
        </w:rPr>
        <w:t>’</w:t>
      </w:r>
      <w:r w:rsidRPr="00856BF9">
        <w:rPr>
          <w:bCs/>
          <w:lang w:val="fr-FR"/>
        </w:rPr>
        <w:t>à celle du carnaval d</w:t>
      </w:r>
      <w:r w:rsidR="00923E72">
        <w:rPr>
          <w:bCs/>
          <w:lang w:val="fr-FR"/>
        </w:rPr>
        <w:t>’</w:t>
      </w:r>
      <w:r w:rsidRPr="00856BF9">
        <w:rPr>
          <w:bCs/>
          <w:lang w:val="fr-FR"/>
        </w:rPr>
        <w:t>Alost</w:t>
      </w:r>
      <w:r w:rsidR="00147E78">
        <w:rPr>
          <w:bCs/>
          <w:lang w:val="fr-FR"/>
        </w:rPr>
        <w:t>.</w:t>
      </w:r>
    </w:p>
    <w:p w14:paraId="6A1F2C82" w14:textId="165F9F19" w:rsidR="00856BF9" w:rsidRDefault="00856BF9"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invité la Belgique à répondre à cette question.</w:t>
      </w:r>
    </w:p>
    <w:p w14:paraId="6D6749F0" w14:textId="5B64B1DD" w:rsidR="00856BF9" w:rsidRDefault="00576EE8" w:rsidP="00AA7EE4">
      <w:pPr>
        <w:pStyle w:val="Orateurengris"/>
        <w:numPr>
          <w:ilvl w:val="0"/>
          <w:numId w:val="20"/>
        </w:numPr>
        <w:tabs>
          <w:tab w:val="clear" w:pos="567"/>
        </w:tabs>
        <w:spacing w:before="120"/>
        <w:ind w:left="709" w:hanging="709"/>
        <w:rPr>
          <w:bCs/>
          <w:lang w:val="fr-FR"/>
        </w:rPr>
      </w:pPr>
      <w:r w:rsidRPr="00576EE8">
        <w:rPr>
          <w:bCs/>
          <w:lang w:val="fr-FR"/>
        </w:rPr>
        <w:t xml:space="preserve">La délégation de la </w:t>
      </w:r>
      <w:r w:rsidRPr="00702497">
        <w:rPr>
          <w:b/>
          <w:lang w:val="fr-FR"/>
        </w:rPr>
        <w:t>Belgique</w:t>
      </w:r>
      <w:r w:rsidRPr="00576EE8">
        <w:rPr>
          <w:bCs/>
          <w:lang w:val="fr-FR"/>
        </w:rPr>
        <w:t xml:space="preserve"> a expliqué qu</w:t>
      </w:r>
      <w:r w:rsidR="00923E72">
        <w:rPr>
          <w:bCs/>
          <w:lang w:val="fr-FR"/>
        </w:rPr>
        <w:t>’</w:t>
      </w:r>
      <w:r w:rsidRPr="00576EE8">
        <w:rPr>
          <w:bCs/>
          <w:lang w:val="fr-FR"/>
        </w:rPr>
        <w:t>en</w:t>
      </w:r>
      <w:r w:rsidR="00AF6B98">
        <w:rPr>
          <w:bCs/>
          <w:lang w:val="fr-FR"/>
        </w:rPr>
        <w:t> </w:t>
      </w:r>
      <w:r w:rsidRPr="00576EE8">
        <w:rPr>
          <w:bCs/>
          <w:lang w:val="fr-FR"/>
        </w:rPr>
        <w:t>2019, le Comité avait décidé d</w:t>
      </w:r>
      <w:r w:rsidR="00EB4D1B">
        <w:rPr>
          <w:bCs/>
          <w:lang w:val="fr-FR"/>
        </w:rPr>
        <w:t>u retrait</w:t>
      </w:r>
      <w:r w:rsidRPr="00576EE8">
        <w:rPr>
          <w:bCs/>
          <w:lang w:val="fr-FR"/>
        </w:rPr>
        <w:t xml:space="preserve"> </w:t>
      </w:r>
      <w:r w:rsidR="00EB4D1B">
        <w:rPr>
          <w:bCs/>
          <w:lang w:val="fr-FR"/>
        </w:rPr>
        <w:t>du</w:t>
      </w:r>
      <w:r w:rsidRPr="00576EE8">
        <w:rPr>
          <w:bCs/>
          <w:lang w:val="fr-FR"/>
        </w:rPr>
        <w:t xml:space="preserve"> Carnaval d</w:t>
      </w:r>
      <w:r w:rsidR="00923E72">
        <w:rPr>
          <w:bCs/>
          <w:lang w:val="fr-FR"/>
        </w:rPr>
        <w:t>’</w:t>
      </w:r>
      <w:r w:rsidRPr="00576EE8">
        <w:rPr>
          <w:bCs/>
          <w:lang w:val="fr-FR"/>
        </w:rPr>
        <w:t xml:space="preserve">Alost. La communauté avait demandé le retrait, juste avant la session du Comité. </w:t>
      </w:r>
      <w:r w:rsidR="00EB4D1B">
        <w:rPr>
          <w:bCs/>
          <w:lang w:val="fr-FR"/>
        </w:rPr>
        <w:t>Avec la Ducasse d</w:t>
      </w:r>
      <w:r w:rsidR="00923E72">
        <w:rPr>
          <w:bCs/>
          <w:lang w:val="fr-FR"/>
        </w:rPr>
        <w:t>’</w:t>
      </w:r>
      <w:r w:rsidR="00EB4D1B">
        <w:rPr>
          <w:bCs/>
          <w:lang w:val="fr-FR"/>
        </w:rPr>
        <w:t xml:space="preserve">Ath, on était dans </w:t>
      </w:r>
      <w:r w:rsidRPr="00576EE8">
        <w:rPr>
          <w:bCs/>
          <w:lang w:val="fr-FR"/>
        </w:rPr>
        <w:t>un contexte et un travail complètement différents.</w:t>
      </w:r>
      <w:r w:rsidR="00EB4D1B">
        <w:rPr>
          <w:bCs/>
          <w:lang w:val="fr-FR"/>
        </w:rPr>
        <w:t xml:space="preserve"> L</w:t>
      </w:r>
      <w:r w:rsidRPr="00576EE8">
        <w:rPr>
          <w:bCs/>
          <w:lang w:val="fr-FR"/>
        </w:rPr>
        <w:t xml:space="preserve">es autorités avaient travaillé avec la communauté </w:t>
      </w:r>
      <w:r w:rsidR="00EB4D1B">
        <w:rPr>
          <w:bCs/>
          <w:lang w:val="fr-FR"/>
        </w:rPr>
        <w:t>dans le cadre</w:t>
      </w:r>
      <w:r w:rsidRPr="00576EE8">
        <w:rPr>
          <w:bCs/>
          <w:lang w:val="fr-FR"/>
        </w:rPr>
        <w:t xml:space="preserve"> d</w:t>
      </w:r>
      <w:r w:rsidR="00923E72">
        <w:rPr>
          <w:bCs/>
          <w:lang w:val="fr-FR"/>
        </w:rPr>
        <w:t>’</w:t>
      </w:r>
      <w:r w:rsidRPr="00576EE8">
        <w:rPr>
          <w:bCs/>
          <w:lang w:val="fr-FR"/>
        </w:rPr>
        <w:t>une réflexion approfondie et d</w:t>
      </w:r>
      <w:r w:rsidR="00923E72">
        <w:rPr>
          <w:bCs/>
          <w:lang w:val="fr-FR"/>
        </w:rPr>
        <w:t>’</w:t>
      </w:r>
      <w:r w:rsidRPr="00576EE8">
        <w:rPr>
          <w:bCs/>
          <w:lang w:val="fr-FR"/>
        </w:rPr>
        <w:t>un travail</w:t>
      </w:r>
      <w:r w:rsidR="00EB4D1B">
        <w:rPr>
          <w:bCs/>
          <w:lang w:val="fr-FR"/>
        </w:rPr>
        <w:t>,</w:t>
      </w:r>
      <w:r w:rsidRPr="00576EE8">
        <w:rPr>
          <w:bCs/>
          <w:lang w:val="fr-FR"/>
        </w:rPr>
        <w:t xml:space="preserve"> en cours</w:t>
      </w:r>
      <w:r w:rsidR="00EB4D1B">
        <w:rPr>
          <w:bCs/>
          <w:lang w:val="fr-FR"/>
        </w:rPr>
        <w:t>,</w:t>
      </w:r>
      <w:r w:rsidRPr="00576EE8">
        <w:rPr>
          <w:bCs/>
          <w:lang w:val="fr-FR"/>
        </w:rPr>
        <w:t xml:space="preserve"> avec les écoles, les jeunes et les citoyens. </w:t>
      </w:r>
      <w:r w:rsidR="00EB4D1B">
        <w:rPr>
          <w:bCs/>
          <w:lang w:val="fr-FR"/>
        </w:rPr>
        <w:t>En outre, l</w:t>
      </w:r>
      <w:r w:rsidRPr="00576EE8">
        <w:rPr>
          <w:bCs/>
          <w:lang w:val="fr-FR"/>
        </w:rPr>
        <w:t>a Convention, avec ses</w:t>
      </w:r>
      <w:r w:rsidR="00AF6B98">
        <w:rPr>
          <w:bCs/>
          <w:lang w:val="fr-FR"/>
        </w:rPr>
        <w:t> </w:t>
      </w:r>
      <w:r w:rsidRPr="00576EE8">
        <w:rPr>
          <w:bCs/>
          <w:lang w:val="fr-FR"/>
        </w:rPr>
        <w:t>180 États parties, avait mis en place un mécanisme depuis juillet</w:t>
      </w:r>
      <w:r w:rsidR="003A0260">
        <w:rPr>
          <w:bCs/>
          <w:lang w:val="fr-FR"/>
        </w:rPr>
        <w:t> </w:t>
      </w:r>
      <w:r w:rsidRPr="00576EE8">
        <w:rPr>
          <w:bCs/>
          <w:lang w:val="fr-FR"/>
        </w:rPr>
        <w:t>2022, et le Comité entrait dans ce mécanisme. Cette situation était donc différente</w:t>
      </w:r>
      <w:r w:rsidR="00EB4D1B">
        <w:rPr>
          <w:bCs/>
          <w:lang w:val="fr-FR"/>
        </w:rPr>
        <w:t>, voire</w:t>
      </w:r>
      <w:r w:rsidR="00147E78">
        <w:rPr>
          <w:bCs/>
          <w:lang w:val="fr-FR"/>
        </w:rPr>
        <w:t xml:space="preserve"> </w:t>
      </w:r>
      <w:r w:rsidR="00EB4D1B">
        <w:rPr>
          <w:bCs/>
          <w:lang w:val="fr-FR"/>
        </w:rPr>
        <w:t xml:space="preserve">inverse </w:t>
      </w:r>
      <w:r w:rsidR="00147E78">
        <w:rPr>
          <w:bCs/>
          <w:lang w:val="fr-FR"/>
        </w:rPr>
        <w:t xml:space="preserve">de celle </w:t>
      </w:r>
      <w:r w:rsidRPr="00576EE8">
        <w:rPr>
          <w:bCs/>
          <w:lang w:val="fr-FR"/>
        </w:rPr>
        <w:t>de</w:t>
      </w:r>
      <w:r w:rsidR="00AF6B98">
        <w:rPr>
          <w:bCs/>
          <w:lang w:val="fr-FR"/>
        </w:rPr>
        <w:t> </w:t>
      </w:r>
      <w:r w:rsidRPr="00576EE8">
        <w:rPr>
          <w:bCs/>
          <w:lang w:val="fr-FR"/>
        </w:rPr>
        <w:t xml:space="preserve">2019, avec un engagement fort de la communauté et des autorités </w:t>
      </w:r>
      <w:r w:rsidR="00147E78">
        <w:rPr>
          <w:bCs/>
          <w:lang w:val="fr-FR"/>
        </w:rPr>
        <w:t xml:space="preserve">à </w:t>
      </w:r>
      <w:r w:rsidRPr="00576EE8">
        <w:rPr>
          <w:bCs/>
          <w:lang w:val="fr-FR"/>
        </w:rPr>
        <w:t>aller de l</w:t>
      </w:r>
      <w:r w:rsidR="00923E72">
        <w:rPr>
          <w:bCs/>
          <w:lang w:val="fr-FR"/>
        </w:rPr>
        <w:t>’</w:t>
      </w:r>
      <w:r w:rsidRPr="00576EE8">
        <w:rPr>
          <w:bCs/>
          <w:lang w:val="fr-FR"/>
        </w:rPr>
        <w:t>avant. La Belgique était bien consciente de l</w:t>
      </w:r>
      <w:r w:rsidR="00923E72">
        <w:rPr>
          <w:bCs/>
          <w:lang w:val="fr-FR"/>
        </w:rPr>
        <w:t>’</w:t>
      </w:r>
      <w:r w:rsidRPr="00576EE8">
        <w:rPr>
          <w:bCs/>
          <w:lang w:val="fr-FR"/>
        </w:rPr>
        <w:t>importance de l</w:t>
      </w:r>
      <w:r w:rsidR="00923E72">
        <w:rPr>
          <w:bCs/>
          <w:lang w:val="fr-FR"/>
        </w:rPr>
        <w:t>’</w:t>
      </w:r>
      <w:r w:rsidRPr="00576EE8">
        <w:rPr>
          <w:bCs/>
          <w:lang w:val="fr-FR"/>
        </w:rPr>
        <w:t>enjeu</w:t>
      </w:r>
      <w:r w:rsidR="00F63B56">
        <w:rPr>
          <w:bCs/>
          <w:lang w:val="fr-FR"/>
        </w:rPr>
        <w:t>,</w:t>
      </w:r>
      <w:r w:rsidR="00EB4D1B">
        <w:rPr>
          <w:bCs/>
          <w:lang w:val="fr-FR"/>
        </w:rPr>
        <w:t xml:space="preserve"> et l</w:t>
      </w:r>
      <w:r w:rsidRPr="00576EE8">
        <w:rPr>
          <w:bCs/>
          <w:lang w:val="fr-FR"/>
        </w:rPr>
        <w:t>e débat</w:t>
      </w:r>
      <w:r w:rsidR="00EB4D1B">
        <w:rPr>
          <w:bCs/>
          <w:lang w:val="fr-FR"/>
        </w:rPr>
        <w:t xml:space="preserve">, au niveau national, </w:t>
      </w:r>
      <w:r w:rsidRPr="00576EE8">
        <w:rPr>
          <w:bCs/>
          <w:lang w:val="fr-FR"/>
        </w:rPr>
        <w:t>mobilisait l</w:t>
      </w:r>
      <w:r w:rsidR="00923E72">
        <w:rPr>
          <w:bCs/>
          <w:lang w:val="fr-FR"/>
        </w:rPr>
        <w:t>’</w:t>
      </w:r>
      <w:r w:rsidRPr="00576EE8">
        <w:rPr>
          <w:bCs/>
          <w:lang w:val="fr-FR"/>
        </w:rPr>
        <w:t xml:space="preserve">ensemble de la société. </w:t>
      </w:r>
      <w:r w:rsidR="00EB4D1B">
        <w:rPr>
          <w:bCs/>
          <w:lang w:val="fr-FR"/>
        </w:rPr>
        <w:t xml:space="preserve">Le pays </w:t>
      </w:r>
      <w:r w:rsidRPr="00576EE8">
        <w:rPr>
          <w:bCs/>
          <w:lang w:val="fr-FR"/>
        </w:rPr>
        <w:t xml:space="preserve">était en train de modifier sa loi sur le </w:t>
      </w:r>
      <w:r w:rsidR="00EE1369">
        <w:rPr>
          <w:bCs/>
          <w:lang w:val="fr-FR"/>
        </w:rPr>
        <w:t>P</w:t>
      </w:r>
      <w:r w:rsidRPr="00576EE8">
        <w:rPr>
          <w:bCs/>
          <w:lang w:val="fr-FR"/>
        </w:rPr>
        <w:t>atrimoine immatériel pour y inclure des principes éthiques alignés sur ceux de l</w:t>
      </w:r>
      <w:r w:rsidR="00923E72">
        <w:rPr>
          <w:bCs/>
          <w:lang w:val="fr-FR"/>
        </w:rPr>
        <w:t>’</w:t>
      </w:r>
      <w:r w:rsidRPr="00576EE8">
        <w:rPr>
          <w:bCs/>
          <w:lang w:val="fr-FR"/>
        </w:rPr>
        <w:t xml:space="preserve">UNESCO. Elle était active au niveau national contre le racisme et la discrimination, et un débat </w:t>
      </w:r>
      <w:r w:rsidR="00EB4D1B">
        <w:rPr>
          <w:bCs/>
          <w:lang w:val="fr-FR"/>
        </w:rPr>
        <w:t xml:space="preserve">fort </w:t>
      </w:r>
      <w:r w:rsidRPr="00576EE8">
        <w:rPr>
          <w:bCs/>
          <w:lang w:val="fr-FR"/>
        </w:rPr>
        <w:t>était actuellement en cours en Belgique. Les conditions et le contexte ainsi que le nouveau mécanisme en place étaient par conséquent différents.</w:t>
      </w:r>
    </w:p>
    <w:p w14:paraId="0AB1E068" w14:textId="0ED8F503" w:rsidR="00EB4D1B" w:rsidRDefault="00EB4D1B" w:rsidP="00AA7EE4">
      <w:pPr>
        <w:pStyle w:val="Orateurengris"/>
        <w:numPr>
          <w:ilvl w:val="0"/>
          <w:numId w:val="20"/>
        </w:numPr>
        <w:tabs>
          <w:tab w:val="clear" w:pos="567"/>
        </w:tabs>
        <w:spacing w:before="120"/>
        <w:ind w:left="709" w:hanging="709"/>
        <w:rPr>
          <w:bCs/>
          <w:lang w:val="fr-FR"/>
        </w:rPr>
      </w:pPr>
      <w:r w:rsidRPr="00EB4D1B">
        <w:rPr>
          <w:bCs/>
          <w:lang w:val="fr-FR"/>
        </w:rPr>
        <w:t xml:space="preserve">La délégation du </w:t>
      </w:r>
      <w:r w:rsidRPr="00702497">
        <w:rPr>
          <w:b/>
          <w:lang w:val="fr-FR"/>
        </w:rPr>
        <w:t>Paraguay</w:t>
      </w:r>
      <w:r w:rsidRPr="00EB4D1B">
        <w:rPr>
          <w:bCs/>
          <w:lang w:val="fr-FR"/>
        </w:rPr>
        <w:t xml:space="preserve"> a </w:t>
      </w:r>
      <w:r w:rsidR="00834590">
        <w:rPr>
          <w:bCs/>
          <w:lang w:val="fr-FR"/>
        </w:rPr>
        <w:t xml:space="preserve">souligné </w:t>
      </w:r>
      <w:r w:rsidRPr="00EB4D1B">
        <w:rPr>
          <w:bCs/>
          <w:lang w:val="fr-FR"/>
        </w:rPr>
        <w:t>le dilemme moral et éthique. La question était de savoir</w:t>
      </w:r>
      <w:r w:rsidR="00F63B56">
        <w:rPr>
          <w:bCs/>
          <w:lang w:val="fr-FR"/>
        </w:rPr>
        <w:t xml:space="preserve">, en premier lieu, </w:t>
      </w:r>
      <w:r w:rsidRPr="00EB4D1B">
        <w:rPr>
          <w:bCs/>
          <w:lang w:val="fr-FR"/>
        </w:rPr>
        <w:t>comment avait pu être inscrit sur la Liste représentative un élément qui comprenait une telle atrocité. C</w:t>
      </w:r>
      <w:r w:rsidR="00923E72">
        <w:rPr>
          <w:bCs/>
          <w:lang w:val="fr-FR"/>
        </w:rPr>
        <w:t>’</w:t>
      </w:r>
      <w:r w:rsidRPr="00EB4D1B">
        <w:rPr>
          <w:bCs/>
          <w:lang w:val="fr-FR"/>
        </w:rPr>
        <w:t>était un exemple qui montrait comment</w:t>
      </w:r>
      <w:r w:rsidR="00834590">
        <w:rPr>
          <w:bCs/>
          <w:lang w:val="fr-FR"/>
        </w:rPr>
        <w:t xml:space="preserve">, </w:t>
      </w:r>
      <w:r w:rsidRPr="00EB4D1B">
        <w:rPr>
          <w:bCs/>
          <w:lang w:val="fr-FR"/>
        </w:rPr>
        <w:t>malgré tous ses efforts et son expertise</w:t>
      </w:r>
      <w:r w:rsidR="00834590">
        <w:rPr>
          <w:bCs/>
          <w:lang w:val="fr-FR"/>
        </w:rPr>
        <w:t xml:space="preserve">, </w:t>
      </w:r>
      <w:r w:rsidRPr="00EB4D1B">
        <w:rPr>
          <w:bCs/>
          <w:lang w:val="fr-FR"/>
        </w:rPr>
        <w:t>le Comité pouvait encore inscrire une telle abomination sur la Liste représentative, ce qui était une source d</w:t>
      </w:r>
      <w:r w:rsidR="00923E72">
        <w:rPr>
          <w:bCs/>
          <w:lang w:val="fr-FR"/>
        </w:rPr>
        <w:t>’</w:t>
      </w:r>
      <w:r w:rsidRPr="00EB4D1B">
        <w:rPr>
          <w:bCs/>
          <w:lang w:val="fr-FR"/>
        </w:rPr>
        <w:t>embarras pour tous. Dès le départ, le Paraguay avait appelé les autorités à prendre leurs responsabilités dans l</w:t>
      </w:r>
      <w:r w:rsidR="00923E72">
        <w:rPr>
          <w:bCs/>
          <w:lang w:val="fr-FR"/>
        </w:rPr>
        <w:t>’</w:t>
      </w:r>
      <w:r w:rsidRPr="00EB4D1B">
        <w:rPr>
          <w:bCs/>
          <w:lang w:val="fr-FR"/>
        </w:rPr>
        <w:t>application de la Convention. Le racisme était une tache sur le visage de l</w:t>
      </w:r>
      <w:r w:rsidR="00923E72">
        <w:rPr>
          <w:bCs/>
          <w:lang w:val="fr-FR"/>
        </w:rPr>
        <w:t>’</w:t>
      </w:r>
      <w:r w:rsidRPr="00EB4D1B">
        <w:rPr>
          <w:bCs/>
          <w:lang w:val="fr-FR"/>
        </w:rPr>
        <w:t>humanité</w:t>
      </w:r>
      <w:r w:rsidR="00C15A19">
        <w:rPr>
          <w:bCs/>
          <w:lang w:val="fr-FR"/>
        </w:rPr>
        <w:t>,</w:t>
      </w:r>
      <w:r w:rsidRPr="00EB4D1B">
        <w:rPr>
          <w:bCs/>
          <w:lang w:val="fr-FR"/>
        </w:rPr>
        <w:t xml:space="preserve"> qui ne devait pas subsister. Le fait que cet élément ait été inscrit pendant quatorze ans et ait bénéficié de l</w:t>
      </w:r>
      <w:r w:rsidR="00923E72">
        <w:rPr>
          <w:bCs/>
          <w:lang w:val="fr-FR"/>
        </w:rPr>
        <w:t>’</w:t>
      </w:r>
      <w:r w:rsidRPr="00EB4D1B">
        <w:rPr>
          <w:bCs/>
          <w:lang w:val="fr-FR"/>
        </w:rPr>
        <w:t>approbation de l</w:t>
      </w:r>
      <w:r w:rsidR="00923E72">
        <w:rPr>
          <w:bCs/>
          <w:lang w:val="fr-FR"/>
        </w:rPr>
        <w:t>’</w:t>
      </w:r>
      <w:r w:rsidRPr="00EB4D1B">
        <w:rPr>
          <w:bCs/>
          <w:lang w:val="fr-FR"/>
        </w:rPr>
        <w:t>UNESCO était intolérable. Le Paraguay soutenait son retrait immédiat de la Liste représentative.</w:t>
      </w:r>
    </w:p>
    <w:p w14:paraId="13B1C03E" w14:textId="2080AD11" w:rsidR="00834590" w:rsidRDefault="00834590"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invité le Sous-Directeur général à apporter quelque </w:t>
      </w:r>
      <w:r w:rsidRPr="00834590">
        <w:rPr>
          <w:bCs/>
          <w:lang w:val="fr-FR"/>
        </w:rPr>
        <w:t>éclaircissements</w:t>
      </w:r>
      <w:r>
        <w:rPr>
          <w:bCs/>
          <w:lang w:val="fr-FR"/>
        </w:rPr>
        <w:t xml:space="preserve"> sur le processus d</w:t>
      </w:r>
      <w:r w:rsidR="00923E72">
        <w:rPr>
          <w:bCs/>
          <w:lang w:val="fr-FR"/>
        </w:rPr>
        <w:t>’</w:t>
      </w:r>
      <w:r>
        <w:rPr>
          <w:bCs/>
          <w:lang w:val="fr-FR"/>
        </w:rPr>
        <w:t>examen de ce dossier afin de ne pas pointer du doigt l</w:t>
      </w:r>
      <w:r w:rsidR="00923E72">
        <w:rPr>
          <w:bCs/>
          <w:lang w:val="fr-FR"/>
        </w:rPr>
        <w:t>’</w:t>
      </w:r>
      <w:r>
        <w:rPr>
          <w:bCs/>
          <w:lang w:val="fr-FR"/>
        </w:rPr>
        <w:t>Organe d</w:t>
      </w:r>
      <w:r w:rsidR="00923E72">
        <w:rPr>
          <w:bCs/>
          <w:lang w:val="fr-FR"/>
        </w:rPr>
        <w:t>’</w:t>
      </w:r>
      <w:r>
        <w:rPr>
          <w:bCs/>
          <w:lang w:val="fr-FR"/>
        </w:rPr>
        <w:t>évaluation.</w:t>
      </w:r>
    </w:p>
    <w:p w14:paraId="3D1EAF42" w14:textId="0A4FBF4B" w:rsidR="00834590" w:rsidRDefault="00834590" w:rsidP="00AA7EE4">
      <w:pPr>
        <w:pStyle w:val="Orateurengris"/>
        <w:numPr>
          <w:ilvl w:val="0"/>
          <w:numId w:val="20"/>
        </w:numPr>
        <w:tabs>
          <w:tab w:val="clear" w:pos="567"/>
        </w:tabs>
        <w:spacing w:before="120"/>
        <w:ind w:left="709" w:hanging="709"/>
        <w:rPr>
          <w:bCs/>
          <w:lang w:val="fr-FR"/>
        </w:rPr>
      </w:pPr>
      <w:r w:rsidRPr="00834590">
        <w:rPr>
          <w:bCs/>
          <w:lang w:val="fr-FR"/>
        </w:rPr>
        <w:t xml:space="preserve">Le </w:t>
      </w:r>
      <w:r w:rsidRPr="00702497">
        <w:rPr>
          <w:b/>
          <w:lang w:val="fr-FR"/>
        </w:rPr>
        <w:t>Sous-Directeur général</w:t>
      </w:r>
      <w:r w:rsidRPr="00834590">
        <w:rPr>
          <w:bCs/>
          <w:lang w:val="fr-FR"/>
        </w:rPr>
        <w:t>, M.</w:t>
      </w:r>
      <w:r w:rsidR="00476611">
        <w:rPr>
          <w:bCs/>
          <w:lang w:val="fr-FR"/>
        </w:rPr>
        <w:t> </w:t>
      </w:r>
      <w:r w:rsidRPr="00834590">
        <w:rPr>
          <w:bCs/>
          <w:lang w:val="fr-FR"/>
        </w:rPr>
        <w:t>Ernesto Ottone, souhaitait clarifier l</w:t>
      </w:r>
      <w:r w:rsidR="00923E72">
        <w:rPr>
          <w:bCs/>
          <w:lang w:val="fr-FR"/>
        </w:rPr>
        <w:t>’</w:t>
      </w:r>
      <w:r w:rsidRPr="00834590">
        <w:rPr>
          <w:bCs/>
          <w:lang w:val="fr-FR"/>
        </w:rPr>
        <w:t>historique de cet élément, en rappelant que cet élément avait en fait été inscrit s</w:t>
      </w:r>
      <w:r w:rsidR="00476611">
        <w:rPr>
          <w:bCs/>
          <w:lang w:val="fr-FR"/>
        </w:rPr>
        <w:t xml:space="preserve">elon les modalités </w:t>
      </w:r>
      <w:r w:rsidRPr="00834590">
        <w:rPr>
          <w:bCs/>
          <w:lang w:val="fr-FR"/>
        </w:rPr>
        <w:t xml:space="preserve">de la précédente version de cette Convention, à savoir </w:t>
      </w:r>
      <w:r w:rsidR="00465B11">
        <w:rPr>
          <w:bCs/>
          <w:lang w:val="fr-FR"/>
        </w:rPr>
        <w:t>« </w:t>
      </w:r>
      <w:r w:rsidR="00BB64C1">
        <w:rPr>
          <w:bCs/>
          <w:lang w:val="fr-FR"/>
        </w:rPr>
        <w:t>l</w:t>
      </w:r>
      <w:r w:rsidRPr="00834590">
        <w:rPr>
          <w:bCs/>
          <w:lang w:val="fr-FR"/>
        </w:rPr>
        <w:t>es chefs-d</w:t>
      </w:r>
      <w:r w:rsidR="00923E72">
        <w:rPr>
          <w:bCs/>
          <w:lang w:val="fr-FR"/>
        </w:rPr>
        <w:t>’</w:t>
      </w:r>
      <w:r w:rsidRPr="00834590">
        <w:rPr>
          <w:bCs/>
          <w:lang w:val="fr-FR"/>
        </w:rPr>
        <w:t>œuvre du patrimoine oral et immatériel de l</w:t>
      </w:r>
      <w:r w:rsidR="00923E72">
        <w:rPr>
          <w:bCs/>
          <w:lang w:val="fr-FR"/>
        </w:rPr>
        <w:t>’</w:t>
      </w:r>
      <w:r w:rsidRPr="00834590">
        <w:rPr>
          <w:bCs/>
          <w:lang w:val="fr-FR"/>
        </w:rPr>
        <w:t>humanité</w:t>
      </w:r>
      <w:r w:rsidR="00465B11">
        <w:rPr>
          <w:bCs/>
          <w:lang w:val="fr-FR"/>
        </w:rPr>
        <w:t> »</w:t>
      </w:r>
      <w:r w:rsidRPr="00834590">
        <w:rPr>
          <w:bCs/>
          <w:lang w:val="fr-FR"/>
        </w:rPr>
        <w:t>. À l</w:t>
      </w:r>
      <w:r w:rsidR="00923E72">
        <w:rPr>
          <w:bCs/>
          <w:lang w:val="fr-FR"/>
        </w:rPr>
        <w:t>’</w:t>
      </w:r>
      <w:r w:rsidRPr="00834590">
        <w:rPr>
          <w:bCs/>
          <w:lang w:val="fr-FR"/>
        </w:rPr>
        <w:t>époque, les quatre</w:t>
      </w:r>
      <w:r w:rsidR="00EF61CC">
        <w:rPr>
          <w:bCs/>
          <w:lang w:val="fr-FR"/>
        </w:rPr>
        <w:noBreakHyphen/>
      </w:r>
      <w:r w:rsidRPr="00834590">
        <w:rPr>
          <w:bCs/>
          <w:lang w:val="fr-FR"/>
        </w:rPr>
        <w:t xml:space="preserve">vingts éléments inscrits en tant que </w:t>
      </w:r>
      <w:r w:rsidR="00BB64C1">
        <w:rPr>
          <w:bCs/>
          <w:lang w:val="fr-FR"/>
        </w:rPr>
        <w:t>« </w:t>
      </w:r>
      <w:r w:rsidRPr="00834590">
        <w:rPr>
          <w:bCs/>
          <w:lang w:val="fr-FR"/>
        </w:rPr>
        <w:t>chefs-d</w:t>
      </w:r>
      <w:r w:rsidR="00923E72">
        <w:rPr>
          <w:bCs/>
          <w:lang w:val="fr-FR"/>
        </w:rPr>
        <w:t>’</w:t>
      </w:r>
      <w:r w:rsidRPr="00834590">
        <w:rPr>
          <w:bCs/>
          <w:lang w:val="fr-FR"/>
        </w:rPr>
        <w:t>œuvre</w:t>
      </w:r>
      <w:r w:rsidR="00BB64C1">
        <w:rPr>
          <w:bCs/>
          <w:lang w:val="fr-FR"/>
        </w:rPr>
        <w:t> »</w:t>
      </w:r>
      <w:r w:rsidRPr="00834590">
        <w:rPr>
          <w:bCs/>
          <w:lang w:val="fr-FR"/>
        </w:rPr>
        <w:t xml:space="preserve"> avaient été i</w:t>
      </w:r>
      <w:r w:rsidR="00465B11">
        <w:rPr>
          <w:bCs/>
          <w:lang w:val="fr-FR"/>
        </w:rPr>
        <w:t>ntégrés</w:t>
      </w:r>
      <w:r w:rsidRPr="00834590">
        <w:rPr>
          <w:bCs/>
          <w:lang w:val="fr-FR"/>
        </w:rPr>
        <w:t xml:space="preserve"> dans la Liste représentative, qui utilisai</w:t>
      </w:r>
      <w:r w:rsidR="00476611">
        <w:rPr>
          <w:bCs/>
          <w:lang w:val="fr-FR"/>
        </w:rPr>
        <w:t>en</w:t>
      </w:r>
      <w:r w:rsidRPr="00834590">
        <w:rPr>
          <w:bCs/>
          <w:lang w:val="fr-FR"/>
        </w:rPr>
        <w:t>t des critères différents</w:t>
      </w:r>
      <w:r w:rsidR="00EF61CC">
        <w:rPr>
          <w:bCs/>
          <w:lang w:val="fr-FR"/>
        </w:rPr>
        <w:t>,</w:t>
      </w:r>
      <w:r w:rsidRPr="00834590">
        <w:rPr>
          <w:bCs/>
          <w:lang w:val="fr-FR"/>
        </w:rPr>
        <w:t xml:space="preserve"> puisqu</w:t>
      </w:r>
      <w:r w:rsidR="00923E72">
        <w:rPr>
          <w:bCs/>
          <w:lang w:val="fr-FR"/>
        </w:rPr>
        <w:t>’</w:t>
      </w:r>
      <w:r w:rsidRPr="00834590">
        <w:rPr>
          <w:bCs/>
          <w:lang w:val="fr-FR"/>
        </w:rPr>
        <w:t>il s</w:t>
      </w:r>
      <w:r w:rsidR="00923E72">
        <w:rPr>
          <w:bCs/>
          <w:lang w:val="fr-FR"/>
        </w:rPr>
        <w:t>’</w:t>
      </w:r>
      <w:r w:rsidRPr="00834590">
        <w:rPr>
          <w:bCs/>
          <w:lang w:val="fr-FR"/>
        </w:rPr>
        <w:t>agissait d</w:t>
      </w:r>
      <w:r w:rsidR="00923E72">
        <w:rPr>
          <w:bCs/>
          <w:lang w:val="fr-FR"/>
        </w:rPr>
        <w:t>’</w:t>
      </w:r>
      <w:r w:rsidRPr="00834590">
        <w:rPr>
          <w:bCs/>
          <w:lang w:val="fr-FR"/>
        </w:rPr>
        <w:t>un programme et non d</w:t>
      </w:r>
      <w:r w:rsidR="00923E72">
        <w:rPr>
          <w:bCs/>
          <w:lang w:val="fr-FR"/>
        </w:rPr>
        <w:t>’</w:t>
      </w:r>
      <w:r w:rsidRPr="00834590">
        <w:rPr>
          <w:bCs/>
          <w:lang w:val="fr-FR"/>
        </w:rPr>
        <w:t xml:space="preserve">une </w:t>
      </w:r>
      <w:r w:rsidR="00476611">
        <w:rPr>
          <w:bCs/>
          <w:lang w:val="fr-FR"/>
        </w:rPr>
        <w:t>c</w:t>
      </w:r>
      <w:r w:rsidRPr="00834590">
        <w:rPr>
          <w:bCs/>
          <w:lang w:val="fr-FR"/>
        </w:rPr>
        <w:t>onvention. Lorsqu</w:t>
      </w:r>
      <w:r w:rsidR="00923E72">
        <w:rPr>
          <w:bCs/>
          <w:lang w:val="fr-FR"/>
        </w:rPr>
        <w:t>’</w:t>
      </w:r>
      <w:r w:rsidRPr="00834590">
        <w:rPr>
          <w:bCs/>
          <w:lang w:val="fr-FR"/>
        </w:rPr>
        <w:t>un programme (</w:t>
      </w:r>
      <w:r w:rsidR="00476611">
        <w:rPr>
          <w:bCs/>
          <w:lang w:val="fr-FR"/>
        </w:rPr>
        <w:t xml:space="preserve">ce </w:t>
      </w:r>
      <w:r w:rsidRPr="00834590">
        <w:rPr>
          <w:bCs/>
          <w:lang w:val="fr-FR"/>
        </w:rPr>
        <w:t>qui n</w:t>
      </w:r>
      <w:r w:rsidR="00923E72">
        <w:rPr>
          <w:bCs/>
          <w:lang w:val="fr-FR"/>
        </w:rPr>
        <w:t>’</w:t>
      </w:r>
      <w:r w:rsidRPr="00834590">
        <w:rPr>
          <w:bCs/>
          <w:lang w:val="fr-FR"/>
        </w:rPr>
        <w:t>était pas spécifiquement lié à ce cas) ne disposait pas d</w:t>
      </w:r>
      <w:r w:rsidR="00923E72">
        <w:rPr>
          <w:bCs/>
          <w:lang w:val="fr-FR"/>
        </w:rPr>
        <w:t>’</w:t>
      </w:r>
      <w:r w:rsidRPr="00834590">
        <w:rPr>
          <w:bCs/>
          <w:lang w:val="fr-FR"/>
        </w:rPr>
        <w:t>une convention codifiée pour le guider, ce type d</w:t>
      </w:r>
      <w:r w:rsidR="00923E72">
        <w:rPr>
          <w:bCs/>
          <w:lang w:val="fr-FR"/>
        </w:rPr>
        <w:t>’</w:t>
      </w:r>
      <w:r w:rsidRPr="00834590">
        <w:rPr>
          <w:bCs/>
          <w:lang w:val="fr-FR"/>
        </w:rPr>
        <w:t>oubli pouvait se produire. L</w:t>
      </w:r>
      <w:r w:rsidR="00923E72">
        <w:rPr>
          <w:bCs/>
          <w:lang w:val="fr-FR"/>
        </w:rPr>
        <w:t>’</w:t>
      </w:r>
      <w:r w:rsidRPr="00834590">
        <w:rPr>
          <w:bCs/>
          <w:lang w:val="fr-FR"/>
        </w:rPr>
        <w:t>inscription de l</w:t>
      </w:r>
      <w:r w:rsidR="00923E72">
        <w:rPr>
          <w:bCs/>
          <w:lang w:val="fr-FR"/>
        </w:rPr>
        <w:t>’</w:t>
      </w:r>
      <w:r w:rsidRPr="00834590">
        <w:rPr>
          <w:bCs/>
          <w:lang w:val="fr-FR"/>
        </w:rPr>
        <w:t>élément n</w:t>
      </w:r>
      <w:r w:rsidR="00923E72">
        <w:rPr>
          <w:bCs/>
          <w:lang w:val="fr-FR"/>
        </w:rPr>
        <w:t>’</w:t>
      </w:r>
      <w:r w:rsidRPr="00834590">
        <w:rPr>
          <w:bCs/>
          <w:lang w:val="fr-FR"/>
        </w:rPr>
        <w:t>avait donc rien à voir avec l</w:t>
      </w:r>
      <w:r w:rsidR="00923E72">
        <w:rPr>
          <w:bCs/>
          <w:lang w:val="fr-FR"/>
        </w:rPr>
        <w:t>’</w:t>
      </w:r>
      <w:r w:rsidRPr="00834590">
        <w:rPr>
          <w:bCs/>
          <w:lang w:val="fr-FR"/>
        </w:rPr>
        <w:t>Organe</w:t>
      </w:r>
      <w:r w:rsidR="00476611">
        <w:rPr>
          <w:bCs/>
          <w:lang w:val="fr-FR"/>
        </w:rPr>
        <w:t xml:space="preserve"> </w:t>
      </w:r>
      <w:r w:rsidRPr="00834590">
        <w:rPr>
          <w:bCs/>
          <w:lang w:val="fr-FR"/>
        </w:rPr>
        <w:t>d</w:t>
      </w:r>
      <w:r w:rsidR="00923E72">
        <w:rPr>
          <w:bCs/>
          <w:lang w:val="fr-FR"/>
        </w:rPr>
        <w:t>’</w:t>
      </w:r>
      <w:r w:rsidRPr="00834590">
        <w:rPr>
          <w:bCs/>
          <w:lang w:val="fr-FR"/>
        </w:rPr>
        <w:t>évaluation</w:t>
      </w:r>
      <w:r w:rsidR="00C15A19">
        <w:rPr>
          <w:bCs/>
          <w:lang w:val="fr-FR"/>
        </w:rPr>
        <w:t>,</w:t>
      </w:r>
      <w:r w:rsidRPr="00834590">
        <w:rPr>
          <w:bCs/>
          <w:lang w:val="fr-FR"/>
        </w:rPr>
        <w:t xml:space="preserve"> qui n</w:t>
      </w:r>
      <w:r w:rsidR="00923E72">
        <w:rPr>
          <w:bCs/>
          <w:lang w:val="fr-FR"/>
        </w:rPr>
        <w:t>’</w:t>
      </w:r>
      <w:r w:rsidRPr="00834590">
        <w:rPr>
          <w:bCs/>
          <w:lang w:val="fr-FR"/>
        </w:rPr>
        <w:t>existait pas à l</w:t>
      </w:r>
      <w:r w:rsidR="00923E72">
        <w:rPr>
          <w:bCs/>
          <w:lang w:val="fr-FR"/>
        </w:rPr>
        <w:t>’</w:t>
      </w:r>
      <w:r w:rsidRPr="00834590">
        <w:rPr>
          <w:bCs/>
          <w:lang w:val="fr-FR"/>
        </w:rPr>
        <w:t>époque. En revanche, il était parfaitement correct de dire que cet élément figurait sur la Liste représentative depuis quinze ans. Tout le monde dans la salle s</w:t>
      </w:r>
      <w:r w:rsidR="00923E72">
        <w:rPr>
          <w:bCs/>
          <w:lang w:val="fr-FR"/>
        </w:rPr>
        <w:t>’</w:t>
      </w:r>
      <w:r w:rsidRPr="00834590">
        <w:rPr>
          <w:bCs/>
          <w:lang w:val="fr-FR"/>
        </w:rPr>
        <w:t>accordait à dire que cet élément allait à l</w:t>
      </w:r>
      <w:r w:rsidR="00923E72">
        <w:rPr>
          <w:bCs/>
          <w:lang w:val="fr-FR"/>
        </w:rPr>
        <w:t>’</w:t>
      </w:r>
      <w:r w:rsidRPr="00834590">
        <w:rPr>
          <w:bCs/>
          <w:lang w:val="fr-FR"/>
        </w:rPr>
        <w:t>encontre de l</w:t>
      </w:r>
      <w:r w:rsidR="00923E72">
        <w:rPr>
          <w:bCs/>
          <w:lang w:val="fr-FR"/>
        </w:rPr>
        <w:t>’</w:t>
      </w:r>
      <w:r w:rsidRPr="00834590">
        <w:rPr>
          <w:bCs/>
          <w:lang w:val="fr-FR"/>
        </w:rPr>
        <w:t>esprit et du mandat même de l</w:t>
      </w:r>
      <w:r w:rsidR="00923E72">
        <w:rPr>
          <w:bCs/>
          <w:lang w:val="fr-FR"/>
        </w:rPr>
        <w:t>’</w:t>
      </w:r>
      <w:r w:rsidRPr="00834590">
        <w:rPr>
          <w:bCs/>
          <w:lang w:val="fr-FR"/>
        </w:rPr>
        <w:t>UNESCO. Néanmoins, des discussions étaient en cours, qui étaient utiles non seulement pour ce Comité mais aussi pour l</w:t>
      </w:r>
      <w:r w:rsidR="00923E72">
        <w:rPr>
          <w:bCs/>
          <w:lang w:val="fr-FR"/>
        </w:rPr>
        <w:t>’</w:t>
      </w:r>
      <w:r w:rsidRPr="00834590">
        <w:rPr>
          <w:bCs/>
          <w:lang w:val="fr-FR"/>
        </w:rPr>
        <w:t>UNESCO. Le Botswana avait d</w:t>
      </w:r>
      <w:r w:rsidR="00923E72">
        <w:rPr>
          <w:bCs/>
          <w:lang w:val="fr-FR"/>
        </w:rPr>
        <w:t>’</w:t>
      </w:r>
      <w:r w:rsidRPr="00834590">
        <w:rPr>
          <w:bCs/>
          <w:lang w:val="fr-FR"/>
        </w:rPr>
        <w:t>ailleurs mentionné la conférence sur l</w:t>
      </w:r>
      <w:r w:rsidR="00923E72">
        <w:rPr>
          <w:bCs/>
          <w:lang w:val="fr-FR"/>
        </w:rPr>
        <w:t>’</w:t>
      </w:r>
      <w:r w:rsidRPr="00834590">
        <w:rPr>
          <w:bCs/>
          <w:lang w:val="fr-FR"/>
        </w:rPr>
        <w:t>antiracisme</w:t>
      </w:r>
      <w:r w:rsidR="00C15A19">
        <w:rPr>
          <w:bCs/>
          <w:lang w:val="fr-FR"/>
        </w:rPr>
        <w:t>,</w:t>
      </w:r>
      <w:r w:rsidRPr="00834590">
        <w:rPr>
          <w:bCs/>
          <w:lang w:val="fr-FR"/>
        </w:rPr>
        <w:t xml:space="preserve"> qui s</w:t>
      </w:r>
      <w:r w:rsidR="00923E72">
        <w:rPr>
          <w:bCs/>
          <w:lang w:val="fr-FR"/>
        </w:rPr>
        <w:t>’</w:t>
      </w:r>
      <w:r w:rsidRPr="00834590">
        <w:rPr>
          <w:bCs/>
          <w:lang w:val="fr-FR"/>
        </w:rPr>
        <w:t>était tenue au Mexique [novembre</w:t>
      </w:r>
      <w:r w:rsidR="00476611">
        <w:rPr>
          <w:bCs/>
          <w:lang w:val="fr-FR"/>
        </w:rPr>
        <w:t> </w:t>
      </w:r>
      <w:r w:rsidRPr="00834590">
        <w:rPr>
          <w:bCs/>
          <w:lang w:val="fr-FR"/>
        </w:rPr>
        <w:t>2022]. Dans les limites de son mandat, l</w:t>
      </w:r>
      <w:r w:rsidR="00923E72">
        <w:rPr>
          <w:bCs/>
          <w:lang w:val="fr-FR"/>
        </w:rPr>
        <w:t>’</w:t>
      </w:r>
      <w:r w:rsidRPr="00834590">
        <w:rPr>
          <w:bCs/>
          <w:lang w:val="fr-FR"/>
        </w:rPr>
        <w:t>UNESCO avait également le devoir d</w:t>
      </w:r>
      <w:r w:rsidR="00923E72">
        <w:rPr>
          <w:bCs/>
          <w:lang w:val="fr-FR"/>
        </w:rPr>
        <w:t>’</w:t>
      </w:r>
      <w:r w:rsidRPr="00834590">
        <w:rPr>
          <w:bCs/>
          <w:lang w:val="fr-FR"/>
        </w:rPr>
        <w:t>essayer de faire bouger ou de changer ce qui divise, dans le but de construire la paix dans l</w:t>
      </w:r>
      <w:r w:rsidR="00923E72">
        <w:rPr>
          <w:bCs/>
          <w:lang w:val="fr-FR"/>
        </w:rPr>
        <w:t>’</w:t>
      </w:r>
      <w:r w:rsidRPr="00834590">
        <w:rPr>
          <w:bCs/>
          <w:lang w:val="fr-FR"/>
        </w:rPr>
        <w:t>esprit des hommes et des femmes. Il importait de garder à l</w:t>
      </w:r>
      <w:r w:rsidR="00923E72">
        <w:rPr>
          <w:bCs/>
          <w:lang w:val="fr-FR"/>
        </w:rPr>
        <w:t>’</w:t>
      </w:r>
      <w:r w:rsidRPr="00834590">
        <w:rPr>
          <w:bCs/>
          <w:lang w:val="fr-FR"/>
        </w:rPr>
        <w:t>esprit qu</w:t>
      </w:r>
      <w:r w:rsidR="00923E72">
        <w:rPr>
          <w:bCs/>
          <w:lang w:val="fr-FR"/>
        </w:rPr>
        <w:t>’</w:t>
      </w:r>
      <w:r w:rsidRPr="00834590">
        <w:rPr>
          <w:bCs/>
          <w:lang w:val="fr-FR"/>
        </w:rPr>
        <w:t>il s</w:t>
      </w:r>
      <w:r w:rsidR="00923E72">
        <w:rPr>
          <w:bCs/>
          <w:lang w:val="fr-FR"/>
        </w:rPr>
        <w:t>’</w:t>
      </w:r>
      <w:r w:rsidRPr="00834590">
        <w:rPr>
          <w:bCs/>
          <w:lang w:val="fr-FR"/>
        </w:rPr>
        <w:t>ag</w:t>
      </w:r>
      <w:r w:rsidR="00476611">
        <w:rPr>
          <w:bCs/>
          <w:lang w:val="fr-FR"/>
        </w:rPr>
        <w:t>issai</w:t>
      </w:r>
      <w:r w:rsidRPr="00834590">
        <w:rPr>
          <w:bCs/>
          <w:lang w:val="fr-FR"/>
        </w:rPr>
        <w:t>t d</w:t>
      </w:r>
      <w:r w:rsidR="00923E72">
        <w:rPr>
          <w:bCs/>
          <w:lang w:val="fr-FR"/>
        </w:rPr>
        <w:t>’</w:t>
      </w:r>
      <w:r w:rsidRPr="00834590">
        <w:rPr>
          <w:bCs/>
          <w:lang w:val="fr-FR"/>
        </w:rPr>
        <w:t>une question de fond. Il ne faisait aucun doute que le Comité ne souhaitait pas être confronté à des questions similaires aujourd</w:t>
      </w:r>
      <w:r w:rsidR="00923E72">
        <w:rPr>
          <w:bCs/>
          <w:lang w:val="fr-FR"/>
        </w:rPr>
        <w:t>’</w:t>
      </w:r>
      <w:r w:rsidRPr="00834590">
        <w:rPr>
          <w:bCs/>
          <w:lang w:val="fr-FR"/>
        </w:rPr>
        <w:t>hui ou à l</w:t>
      </w:r>
      <w:r w:rsidR="00923E72">
        <w:rPr>
          <w:bCs/>
          <w:lang w:val="fr-FR"/>
        </w:rPr>
        <w:t>’</w:t>
      </w:r>
      <w:r w:rsidRPr="00834590">
        <w:rPr>
          <w:bCs/>
          <w:lang w:val="fr-FR"/>
        </w:rPr>
        <w:t>avenir, notamment parce que ce sont les États parties qui soumettent les éléments à inscrire au nom de leurs communautés. Comme l</w:t>
      </w:r>
      <w:r w:rsidR="00923E72">
        <w:rPr>
          <w:bCs/>
          <w:lang w:val="fr-FR"/>
        </w:rPr>
        <w:t>’</w:t>
      </w:r>
      <w:r w:rsidRPr="00834590">
        <w:rPr>
          <w:bCs/>
          <w:lang w:val="fr-FR"/>
        </w:rPr>
        <w:t>Organe d</w:t>
      </w:r>
      <w:r w:rsidR="00923E72">
        <w:rPr>
          <w:bCs/>
          <w:lang w:val="fr-FR"/>
        </w:rPr>
        <w:t>’</w:t>
      </w:r>
      <w:r w:rsidRPr="00834590">
        <w:rPr>
          <w:bCs/>
          <w:lang w:val="fr-FR"/>
        </w:rPr>
        <w:t>évaluation l</w:t>
      </w:r>
      <w:r w:rsidR="00923E72">
        <w:rPr>
          <w:bCs/>
          <w:lang w:val="fr-FR"/>
        </w:rPr>
        <w:t>’</w:t>
      </w:r>
      <w:r w:rsidRPr="00834590">
        <w:rPr>
          <w:bCs/>
          <w:lang w:val="fr-FR"/>
        </w:rPr>
        <w:t xml:space="preserve">avait mentionné dans son rapport et dans ses réflexions concernant les travaux de </w:t>
      </w:r>
      <w:r w:rsidR="00476611">
        <w:rPr>
          <w:bCs/>
          <w:lang w:val="fr-FR"/>
        </w:rPr>
        <w:t xml:space="preserve">la présente </w:t>
      </w:r>
      <w:r w:rsidRPr="00834590">
        <w:rPr>
          <w:bCs/>
          <w:lang w:val="fr-FR"/>
        </w:rPr>
        <w:t>session, l</w:t>
      </w:r>
      <w:r w:rsidR="00923E72">
        <w:rPr>
          <w:bCs/>
          <w:lang w:val="fr-FR"/>
        </w:rPr>
        <w:t>’</w:t>
      </w:r>
      <w:r w:rsidRPr="00834590">
        <w:rPr>
          <w:bCs/>
          <w:lang w:val="fr-FR"/>
        </w:rPr>
        <w:t xml:space="preserve">Organe évalue les documents. Dans les documents </w:t>
      </w:r>
      <w:r w:rsidR="000121F0">
        <w:rPr>
          <w:bCs/>
          <w:lang w:val="fr-FR"/>
        </w:rPr>
        <w:t>soumis</w:t>
      </w:r>
      <w:r w:rsidRPr="00834590">
        <w:rPr>
          <w:bCs/>
          <w:lang w:val="fr-FR"/>
        </w:rPr>
        <w:t>, l</w:t>
      </w:r>
      <w:r w:rsidR="00923E72">
        <w:rPr>
          <w:bCs/>
          <w:lang w:val="fr-FR"/>
        </w:rPr>
        <w:t>’</w:t>
      </w:r>
      <w:r w:rsidRPr="00834590">
        <w:rPr>
          <w:bCs/>
          <w:lang w:val="fr-FR"/>
        </w:rPr>
        <w:t>État soumissionnaire n</w:t>
      </w:r>
      <w:r w:rsidR="00923E72">
        <w:rPr>
          <w:bCs/>
          <w:lang w:val="fr-FR"/>
        </w:rPr>
        <w:t>’</w:t>
      </w:r>
      <w:r w:rsidRPr="00834590">
        <w:rPr>
          <w:bCs/>
          <w:lang w:val="fr-FR"/>
        </w:rPr>
        <w:t xml:space="preserve">avait fait aucune mention du personnage, pourtant </w:t>
      </w:r>
      <w:r w:rsidRPr="00834590">
        <w:rPr>
          <w:bCs/>
          <w:lang w:val="fr-FR"/>
        </w:rPr>
        <w:lastRenderedPageBreak/>
        <w:t>clairement raciste. L</w:t>
      </w:r>
      <w:r w:rsidR="00923E72">
        <w:rPr>
          <w:bCs/>
          <w:lang w:val="fr-FR"/>
        </w:rPr>
        <w:t>’</w:t>
      </w:r>
      <w:r w:rsidRPr="00834590">
        <w:rPr>
          <w:bCs/>
          <w:lang w:val="fr-FR"/>
        </w:rPr>
        <w:t>Organe d</w:t>
      </w:r>
      <w:r w:rsidR="00923E72">
        <w:rPr>
          <w:bCs/>
          <w:lang w:val="fr-FR"/>
        </w:rPr>
        <w:t>’</w:t>
      </w:r>
      <w:r w:rsidRPr="00834590">
        <w:rPr>
          <w:bCs/>
          <w:lang w:val="fr-FR"/>
        </w:rPr>
        <w:t>évaluation ne pouvait donc pas évaluer quelque chose qui n</w:t>
      </w:r>
      <w:r w:rsidR="00923E72">
        <w:rPr>
          <w:bCs/>
          <w:lang w:val="fr-FR"/>
        </w:rPr>
        <w:t>’</w:t>
      </w:r>
      <w:r w:rsidRPr="00834590">
        <w:rPr>
          <w:bCs/>
          <w:lang w:val="fr-FR"/>
        </w:rPr>
        <w:t>était pas inclus dans la documentation. Ce qu</w:t>
      </w:r>
      <w:r w:rsidR="00923E72">
        <w:rPr>
          <w:bCs/>
          <w:lang w:val="fr-FR"/>
        </w:rPr>
        <w:t>’</w:t>
      </w:r>
      <w:r w:rsidRPr="00834590">
        <w:rPr>
          <w:bCs/>
          <w:lang w:val="fr-FR"/>
        </w:rPr>
        <w:t>il fallait, c</w:t>
      </w:r>
      <w:r w:rsidR="00923E72">
        <w:rPr>
          <w:bCs/>
          <w:lang w:val="fr-FR"/>
        </w:rPr>
        <w:t>’</w:t>
      </w:r>
      <w:r w:rsidRPr="00834590">
        <w:rPr>
          <w:bCs/>
          <w:lang w:val="fr-FR"/>
        </w:rPr>
        <w:t>était une base sur laquelle cette question pourrait être discutée à l</w:t>
      </w:r>
      <w:r w:rsidR="00923E72">
        <w:rPr>
          <w:bCs/>
          <w:lang w:val="fr-FR"/>
        </w:rPr>
        <w:t>’</w:t>
      </w:r>
      <w:r w:rsidRPr="00834590">
        <w:rPr>
          <w:bCs/>
          <w:lang w:val="fr-FR"/>
        </w:rPr>
        <w:t>avenir. Le Comité souhaitait que l</w:t>
      </w:r>
      <w:r w:rsidR="00923E72">
        <w:rPr>
          <w:bCs/>
          <w:lang w:val="fr-FR"/>
        </w:rPr>
        <w:t>’</w:t>
      </w:r>
      <w:r w:rsidRPr="00834590">
        <w:rPr>
          <w:bCs/>
          <w:lang w:val="fr-FR"/>
        </w:rPr>
        <w:t>Organe d</w:t>
      </w:r>
      <w:r w:rsidR="00923E72">
        <w:rPr>
          <w:bCs/>
          <w:lang w:val="fr-FR"/>
        </w:rPr>
        <w:t>’</w:t>
      </w:r>
      <w:r w:rsidRPr="00834590">
        <w:rPr>
          <w:bCs/>
          <w:lang w:val="fr-FR"/>
        </w:rPr>
        <w:t>évaluation fasse son travail de manière approfondie, ce pour quoi il avait besoin d</w:t>
      </w:r>
      <w:r w:rsidR="00923E72">
        <w:rPr>
          <w:bCs/>
          <w:lang w:val="fr-FR"/>
        </w:rPr>
        <w:t>’</w:t>
      </w:r>
      <w:r w:rsidRPr="00834590">
        <w:rPr>
          <w:bCs/>
          <w:lang w:val="fr-FR"/>
        </w:rPr>
        <w:t>un contexte et d</w:t>
      </w:r>
      <w:r w:rsidR="00923E72">
        <w:rPr>
          <w:bCs/>
          <w:lang w:val="fr-FR"/>
        </w:rPr>
        <w:t>’</w:t>
      </w:r>
      <w:r w:rsidRPr="00834590">
        <w:rPr>
          <w:bCs/>
          <w:lang w:val="fr-FR"/>
        </w:rPr>
        <w:t>un arrière-plan complets. Comme l</w:t>
      </w:r>
      <w:r w:rsidR="00923E72">
        <w:rPr>
          <w:bCs/>
          <w:lang w:val="fr-FR"/>
        </w:rPr>
        <w:t>’</w:t>
      </w:r>
      <w:r w:rsidRPr="00834590">
        <w:rPr>
          <w:bCs/>
          <w:lang w:val="fr-FR"/>
        </w:rPr>
        <w:t>avait mentionné à juste titre le Rwanda, l</w:t>
      </w:r>
      <w:r w:rsidR="00923E72">
        <w:rPr>
          <w:bCs/>
          <w:lang w:val="fr-FR"/>
        </w:rPr>
        <w:t>’</w:t>
      </w:r>
      <w:r w:rsidRPr="00834590">
        <w:rPr>
          <w:bCs/>
          <w:lang w:val="fr-FR"/>
        </w:rPr>
        <w:t>Organe d</w:t>
      </w:r>
      <w:r w:rsidR="00923E72">
        <w:rPr>
          <w:bCs/>
          <w:lang w:val="fr-FR"/>
        </w:rPr>
        <w:t>’</w:t>
      </w:r>
      <w:r w:rsidRPr="00834590">
        <w:rPr>
          <w:bCs/>
          <w:lang w:val="fr-FR"/>
        </w:rPr>
        <w:t>évaluation avait eu une vue d</w:t>
      </w:r>
      <w:r w:rsidR="00923E72">
        <w:rPr>
          <w:bCs/>
          <w:lang w:val="fr-FR"/>
        </w:rPr>
        <w:t>’</w:t>
      </w:r>
      <w:r w:rsidRPr="00834590">
        <w:rPr>
          <w:bCs/>
          <w:lang w:val="fr-FR"/>
        </w:rPr>
        <w:t>ensemble de l</w:t>
      </w:r>
      <w:r w:rsidR="00923E72">
        <w:rPr>
          <w:bCs/>
          <w:lang w:val="fr-FR"/>
        </w:rPr>
        <w:t>’</w:t>
      </w:r>
      <w:r w:rsidRPr="00834590">
        <w:rPr>
          <w:bCs/>
          <w:lang w:val="fr-FR"/>
        </w:rPr>
        <w:t>inscription du programme initial, mais il n</w:t>
      </w:r>
      <w:r w:rsidR="00923E72">
        <w:rPr>
          <w:bCs/>
          <w:lang w:val="fr-FR"/>
        </w:rPr>
        <w:t>’</w:t>
      </w:r>
      <w:r w:rsidRPr="00834590">
        <w:rPr>
          <w:bCs/>
          <w:lang w:val="fr-FR"/>
        </w:rPr>
        <w:t xml:space="preserve">y avait </w:t>
      </w:r>
      <w:r w:rsidR="00BB64C1">
        <w:rPr>
          <w:bCs/>
          <w:lang w:val="fr-FR"/>
        </w:rPr>
        <w:t xml:space="preserve">eu </w:t>
      </w:r>
      <w:r w:rsidRPr="00834590">
        <w:rPr>
          <w:bCs/>
          <w:lang w:val="fr-FR"/>
        </w:rPr>
        <w:t>aucune mention d</w:t>
      </w:r>
      <w:r w:rsidR="00923E72">
        <w:rPr>
          <w:bCs/>
          <w:lang w:val="fr-FR"/>
        </w:rPr>
        <w:t>’</w:t>
      </w:r>
      <w:r w:rsidRPr="00834590">
        <w:rPr>
          <w:bCs/>
          <w:lang w:val="fr-FR"/>
        </w:rPr>
        <w:t>un quelconque personnage raciste, source</w:t>
      </w:r>
      <w:r w:rsidR="00476611">
        <w:rPr>
          <w:bCs/>
          <w:lang w:val="fr-FR"/>
        </w:rPr>
        <w:t xml:space="preserve"> </w:t>
      </w:r>
      <w:r w:rsidRPr="00834590">
        <w:rPr>
          <w:bCs/>
          <w:lang w:val="fr-FR"/>
        </w:rPr>
        <w:t>de division, par l</w:t>
      </w:r>
      <w:r w:rsidR="00923E72">
        <w:rPr>
          <w:bCs/>
          <w:lang w:val="fr-FR"/>
        </w:rPr>
        <w:t>’</w:t>
      </w:r>
      <w:r w:rsidRPr="00834590">
        <w:rPr>
          <w:bCs/>
          <w:lang w:val="fr-FR"/>
        </w:rPr>
        <w:t>une des neuf communautés, ce qui aurait été jugé non conforme aux valeurs et aux principes de l</w:t>
      </w:r>
      <w:r w:rsidR="00923E72">
        <w:rPr>
          <w:bCs/>
          <w:lang w:val="fr-FR"/>
        </w:rPr>
        <w:t>’</w:t>
      </w:r>
      <w:r w:rsidRPr="00834590">
        <w:rPr>
          <w:bCs/>
          <w:lang w:val="fr-FR"/>
        </w:rPr>
        <w:t>UNESCO. M.</w:t>
      </w:r>
      <w:r w:rsidR="00476611">
        <w:rPr>
          <w:bCs/>
          <w:lang w:val="fr-FR"/>
        </w:rPr>
        <w:t> </w:t>
      </w:r>
      <w:r w:rsidRPr="00834590">
        <w:rPr>
          <w:bCs/>
          <w:lang w:val="fr-FR"/>
        </w:rPr>
        <w:t>Ottone a rappelé qu</w:t>
      </w:r>
      <w:r w:rsidR="00923E72">
        <w:rPr>
          <w:bCs/>
          <w:lang w:val="fr-FR"/>
        </w:rPr>
        <w:t>’</w:t>
      </w:r>
      <w:r w:rsidRPr="00834590">
        <w:rPr>
          <w:bCs/>
          <w:lang w:val="fr-FR"/>
        </w:rPr>
        <w:t>un mécanisme ou un processus de contrôle et de suivi des éléments avait été élaboré en juillet</w:t>
      </w:r>
      <w:r w:rsidR="003A0260">
        <w:rPr>
          <w:bCs/>
          <w:lang w:val="fr-FR"/>
        </w:rPr>
        <w:t> </w:t>
      </w:r>
      <w:r w:rsidRPr="00834590">
        <w:rPr>
          <w:bCs/>
          <w:lang w:val="fr-FR"/>
        </w:rPr>
        <w:t>2022, ce que les membres du Comité devraient garder à l</w:t>
      </w:r>
      <w:r w:rsidR="00923E72">
        <w:rPr>
          <w:bCs/>
          <w:lang w:val="fr-FR"/>
        </w:rPr>
        <w:t>’</w:t>
      </w:r>
      <w:r w:rsidRPr="00834590">
        <w:rPr>
          <w:bCs/>
          <w:lang w:val="fr-FR"/>
        </w:rPr>
        <w:t>esprit lors de l</w:t>
      </w:r>
      <w:r w:rsidR="00923E72">
        <w:rPr>
          <w:bCs/>
          <w:lang w:val="fr-FR"/>
        </w:rPr>
        <w:t>’</w:t>
      </w:r>
      <w:r w:rsidRPr="00834590">
        <w:rPr>
          <w:bCs/>
          <w:lang w:val="fr-FR"/>
        </w:rPr>
        <w:t>adoption de sa décision, car il s</w:t>
      </w:r>
      <w:r w:rsidR="00923E72">
        <w:rPr>
          <w:bCs/>
          <w:lang w:val="fr-FR"/>
        </w:rPr>
        <w:t>’</w:t>
      </w:r>
      <w:r w:rsidRPr="00834590">
        <w:rPr>
          <w:bCs/>
          <w:lang w:val="fr-FR"/>
        </w:rPr>
        <w:t>agissait non seulement d</w:t>
      </w:r>
      <w:r w:rsidR="00923E72">
        <w:rPr>
          <w:bCs/>
          <w:lang w:val="fr-FR"/>
        </w:rPr>
        <w:t>’</w:t>
      </w:r>
      <w:r w:rsidRPr="00834590">
        <w:rPr>
          <w:bCs/>
          <w:lang w:val="fr-FR"/>
        </w:rPr>
        <w:t>envoyer un message mais également de créer un précédent sur la manière dont de telles questions seraient traitées à l</w:t>
      </w:r>
      <w:r w:rsidR="00923E72">
        <w:rPr>
          <w:bCs/>
          <w:lang w:val="fr-FR"/>
        </w:rPr>
        <w:t>’</w:t>
      </w:r>
      <w:r w:rsidRPr="00834590">
        <w:rPr>
          <w:bCs/>
          <w:lang w:val="fr-FR"/>
        </w:rPr>
        <w:t>avenir. Ce que le Comité devait éviter, c</w:t>
      </w:r>
      <w:r w:rsidR="00923E72">
        <w:rPr>
          <w:bCs/>
          <w:lang w:val="fr-FR"/>
        </w:rPr>
        <w:t>’</w:t>
      </w:r>
      <w:r w:rsidR="00F63B56">
        <w:rPr>
          <w:bCs/>
          <w:lang w:val="fr-FR"/>
        </w:rPr>
        <w:t>était</w:t>
      </w:r>
      <w:r w:rsidRPr="00834590">
        <w:rPr>
          <w:bCs/>
          <w:lang w:val="fr-FR"/>
        </w:rPr>
        <w:t xml:space="preserve"> que de telles discussions se répètent au sein de ce forum. Il avait donc besoin d</w:t>
      </w:r>
      <w:r w:rsidR="00923E72">
        <w:rPr>
          <w:bCs/>
          <w:lang w:val="fr-FR"/>
        </w:rPr>
        <w:t>’</w:t>
      </w:r>
      <w:r w:rsidRPr="00834590">
        <w:rPr>
          <w:bCs/>
          <w:lang w:val="fr-FR"/>
        </w:rPr>
        <w:t>une décision claire pour l</w:t>
      </w:r>
      <w:r w:rsidR="00923E72">
        <w:rPr>
          <w:bCs/>
          <w:lang w:val="fr-FR"/>
        </w:rPr>
        <w:t>’</w:t>
      </w:r>
      <w:r w:rsidRPr="00834590">
        <w:rPr>
          <w:bCs/>
          <w:lang w:val="fr-FR"/>
        </w:rPr>
        <w:t>aider à traiter ces questions à l</w:t>
      </w:r>
      <w:r w:rsidR="00923E72">
        <w:rPr>
          <w:bCs/>
          <w:lang w:val="fr-FR"/>
        </w:rPr>
        <w:t>’</w:t>
      </w:r>
      <w:r w:rsidRPr="00834590">
        <w:rPr>
          <w:bCs/>
          <w:lang w:val="fr-FR"/>
        </w:rPr>
        <w:t>avenir. L</w:t>
      </w:r>
      <w:r w:rsidR="00923E72">
        <w:rPr>
          <w:bCs/>
          <w:lang w:val="fr-FR"/>
        </w:rPr>
        <w:t>’</w:t>
      </w:r>
      <w:r w:rsidRPr="00834590">
        <w:rPr>
          <w:bCs/>
          <w:lang w:val="fr-FR"/>
        </w:rPr>
        <w:t>Organe d</w:t>
      </w:r>
      <w:r w:rsidR="00923E72">
        <w:rPr>
          <w:bCs/>
          <w:lang w:val="fr-FR"/>
        </w:rPr>
        <w:t>’</w:t>
      </w:r>
      <w:r w:rsidRPr="00834590">
        <w:rPr>
          <w:bCs/>
          <w:lang w:val="fr-FR"/>
        </w:rPr>
        <w:t>évaluation et le Secrétariat ne ménageraient pas leurs efforts pour s</w:t>
      </w:r>
      <w:r w:rsidR="00923E72">
        <w:rPr>
          <w:bCs/>
          <w:lang w:val="fr-FR"/>
        </w:rPr>
        <w:t>’</w:t>
      </w:r>
      <w:r w:rsidRPr="00834590">
        <w:rPr>
          <w:bCs/>
          <w:lang w:val="fr-FR"/>
        </w:rPr>
        <w:t>assurer que tout élément soumis par un État n</w:t>
      </w:r>
      <w:r w:rsidR="00923E72">
        <w:rPr>
          <w:bCs/>
          <w:lang w:val="fr-FR"/>
        </w:rPr>
        <w:t>’</w:t>
      </w:r>
      <w:r w:rsidRPr="00834590">
        <w:rPr>
          <w:bCs/>
          <w:lang w:val="fr-FR"/>
        </w:rPr>
        <w:t>aille jamais à l</w:t>
      </w:r>
      <w:r w:rsidR="00923E72">
        <w:rPr>
          <w:bCs/>
          <w:lang w:val="fr-FR"/>
        </w:rPr>
        <w:t>’</w:t>
      </w:r>
      <w:r w:rsidRPr="00834590">
        <w:rPr>
          <w:bCs/>
          <w:lang w:val="fr-FR"/>
        </w:rPr>
        <w:t>encontre des principes et de l</w:t>
      </w:r>
      <w:r w:rsidR="00923E72">
        <w:rPr>
          <w:bCs/>
          <w:lang w:val="fr-FR"/>
        </w:rPr>
        <w:t>’</w:t>
      </w:r>
      <w:r w:rsidRPr="00834590">
        <w:rPr>
          <w:bCs/>
          <w:lang w:val="fr-FR"/>
        </w:rPr>
        <w:t>esprit de l</w:t>
      </w:r>
      <w:r w:rsidR="00923E72">
        <w:rPr>
          <w:bCs/>
          <w:lang w:val="fr-FR"/>
        </w:rPr>
        <w:t>’</w:t>
      </w:r>
      <w:r w:rsidRPr="00834590">
        <w:rPr>
          <w:bCs/>
          <w:lang w:val="fr-FR"/>
        </w:rPr>
        <w:t>UNESCO, ce qui serait immédiatement identifié.</w:t>
      </w:r>
    </w:p>
    <w:p w14:paraId="2D6C83AE" w14:textId="31A9DE13" w:rsidR="00476611" w:rsidRDefault="00476611" w:rsidP="00AA7EE4">
      <w:pPr>
        <w:pStyle w:val="Orateurengris"/>
        <w:numPr>
          <w:ilvl w:val="0"/>
          <w:numId w:val="20"/>
        </w:numPr>
        <w:tabs>
          <w:tab w:val="clear" w:pos="567"/>
        </w:tabs>
        <w:spacing w:before="120"/>
        <w:ind w:left="709" w:hanging="709"/>
        <w:rPr>
          <w:bCs/>
          <w:lang w:val="fr-FR"/>
        </w:rPr>
      </w:pPr>
      <w:r w:rsidRPr="00476611">
        <w:rPr>
          <w:bCs/>
          <w:lang w:val="fr-FR"/>
        </w:rPr>
        <w:t xml:space="preserve">Le </w:t>
      </w:r>
      <w:r w:rsidRPr="00702497">
        <w:rPr>
          <w:b/>
          <w:lang w:val="fr-FR"/>
        </w:rPr>
        <w:t>Président</w:t>
      </w:r>
      <w:r w:rsidRPr="00476611">
        <w:rPr>
          <w:bCs/>
          <w:lang w:val="fr-FR"/>
        </w:rPr>
        <w:t xml:space="preserve"> a remercié le Sous-Directeur général pour les éclaircissements et les éléments d</w:t>
      </w:r>
      <w:r w:rsidR="00923E72">
        <w:rPr>
          <w:bCs/>
          <w:lang w:val="fr-FR"/>
        </w:rPr>
        <w:t>’</w:t>
      </w:r>
      <w:r w:rsidRPr="00476611">
        <w:rPr>
          <w:bCs/>
          <w:lang w:val="fr-FR"/>
        </w:rPr>
        <w:t>appréciation qu</w:t>
      </w:r>
      <w:r w:rsidR="00923E72">
        <w:rPr>
          <w:bCs/>
          <w:lang w:val="fr-FR"/>
        </w:rPr>
        <w:t>’</w:t>
      </w:r>
      <w:r w:rsidRPr="00476611">
        <w:rPr>
          <w:bCs/>
          <w:lang w:val="fr-FR"/>
        </w:rPr>
        <w:t>il a</w:t>
      </w:r>
      <w:r>
        <w:rPr>
          <w:bCs/>
          <w:lang w:val="fr-FR"/>
        </w:rPr>
        <w:t>vait</w:t>
      </w:r>
      <w:r w:rsidRPr="00476611">
        <w:rPr>
          <w:bCs/>
          <w:lang w:val="fr-FR"/>
        </w:rPr>
        <w:t xml:space="preserve"> soumis aux membres du Comité afin qu</w:t>
      </w:r>
      <w:r w:rsidR="00923E72">
        <w:rPr>
          <w:bCs/>
          <w:lang w:val="fr-FR"/>
        </w:rPr>
        <w:t>’</w:t>
      </w:r>
      <w:r w:rsidRPr="00476611">
        <w:rPr>
          <w:bCs/>
          <w:lang w:val="fr-FR"/>
        </w:rPr>
        <w:t xml:space="preserve">ils puissent prendre la décision la plus appropriée </w:t>
      </w:r>
      <w:r>
        <w:rPr>
          <w:bCs/>
          <w:lang w:val="fr-FR"/>
        </w:rPr>
        <w:t>au regard de</w:t>
      </w:r>
      <w:r w:rsidRPr="00476611">
        <w:rPr>
          <w:bCs/>
          <w:lang w:val="fr-FR"/>
        </w:rPr>
        <w:t xml:space="preserve"> cette question.</w:t>
      </w:r>
    </w:p>
    <w:p w14:paraId="334AD05D" w14:textId="60B654B6" w:rsidR="00476611" w:rsidRDefault="00476611" w:rsidP="00AA7EE4">
      <w:pPr>
        <w:pStyle w:val="Orateurengris"/>
        <w:numPr>
          <w:ilvl w:val="0"/>
          <w:numId w:val="20"/>
        </w:numPr>
        <w:tabs>
          <w:tab w:val="clear" w:pos="567"/>
        </w:tabs>
        <w:spacing w:before="120"/>
        <w:ind w:left="709" w:hanging="709"/>
        <w:rPr>
          <w:bCs/>
          <w:lang w:val="fr-FR"/>
        </w:rPr>
      </w:pPr>
      <w:r w:rsidRPr="00476611">
        <w:rPr>
          <w:bCs/>
          <w:lang w:val="fr-FR"/>
        </w:rPr>
        <w:t>La délégation de l</w:t>
      </w:r>
      <w:r w:rsidR="00923E72">
        <w:rPr>
          <w:bCs/>
          <w:lang w:val="fr-FR"/>
        </w:rPr>
        <w:t>’</w:t>
      </w:r>
      <w:r w:rsidRPr="00702497">
        <w:rPr>
          <w:b/>
          <w:lang w:val="fr-FR"/>
        </w:rPr>
        <w:t>Éthiopie</w:t>
      </w:r>
      <w:r w:rsidRPr="00476611">
        <w:rPr>
          <w:bCs/>
          <w:lang w:val="fr-FR"/>
        </w:rPr>
        <w:t xml:space="preserve"> appréciait le suivi du Secrétariat et l</w:t>
      </w:r>
      <w:r w:rsidR="00923E72">
        <w:rPr>
          <w:bCs/>
          <w:lang w:val="fr-FR"/>
        </w:rPr>
        <w:t>’</w:t>
      </w:r>
      <w:r w:rsidRPr="00476611">
        <w:rPr>
          <w:bCs/>
          <w:lang w:val="fr-FR"/>
        </w:rPr>
        <w:t>explication très instructive du Sous-Directeur général. En effet, chaque dossier et chaque élément étaient évalués en fonction du dossier présenté. Toutefois, le Comité devait traiter la situation actuelle indépendamment de ce qui se passait</w:t>
      </w:r>
      <w:r w:rsidR="006266C7">
        <w:rPr>
          <w:bCs/>
          <w:lang w:val="fr-FR"/>
        </w:rPr>
        <w:t xml:space="preserve"> auparavant</w:t>
      </w:r>
      <w:r w:rsidRPr="00476611">
        <w:rPr>
          <w:bCs/>
          <w:lang w:val="fr-FR"/>
        </w:rPr>
        <w:t>. La délégation partageait les commentaires des autres délégations. L</w:t>
      </w:r>
      <w:r w:rsidR="00923E72">
        <w:rPr>
          <w:bCs/>
          <w:lang w:val="fr-FR"/>
        </w:rPr>
        <w:t>’</w:t>
      </w:r>
      <w:r w:rsidRPr="00476611">
        <w:rPr>
          <w:bCs/>
          <w:lang w:val="fr-FR"/>
        </w:rPr>
        <w:t xml:space="preserve">Éthiopie condamnait fermement le </w:t>
      </w:r>
      <w:r w:rsidR="001565CA">
        <w:rPr>
          <w:bCs/>
          <w:lang w:val="fr-FR"/>
        </w:rPr>
        <w:t>« </w:t>
      </w:r>
      <w:r w:rsidRPr="00476611">
        <w:rPr>
          <w:bCs/>
          <w:lang w:val="fr-FR"/>
        </w:rPr>
        <w:t>Sauvage</w:t>
      </w:r>
      <w:r w:rsidR="001565CA">
        <w:rPr>
          <w:bCs/>
          <w:lang w:val="fr-FR"/>
        </w:rPr>
        <w:t> »</w:t>
      </w:r>
      <w:r w:rsidRPr="00476611">
        <w:rPr>
          <w:bCs/>
          <w:lang w:val="fr-FR"/>
        </w:rPr>
        <w:t xml:space="preserve"> dans les termes les plus vifs possibles, ajoutant que toute référence à l</w:t>
      </w:r>
      <w:r w:rsidR="00923E72">
        <w:rPr>
          <w:bCs/>
          <w:lang w:val="fr-FR"/>
        </w:rPr>
        <w:t>’</w:t>
      </w:r>
      <w:r w:rsidRPr="00476611">
        <w:rPr>
          <w:bCs/>
          <w:lang w:val="fr-FR"/>
        </w:rPr>
        <w:t>ethnicité, qu</w:t>
      </w:r>
      <w:r w:rsidR="00923E72">
        <w:rPr>
          <w:bCs/>
          <w:lang w:val="fr-FR"/>
        </w:rPr>
        <w:t>’</w:t>
      </w:r>
      <w:r w:rsidRPr="00476611">
        <w:rPr>
          <w:bCs/>
          <w:lang w:val="fr-FR"/>
        </w:rPr>
        <w:t xml:space="preserve">elle soit noire, blanche, rouge ou jaune, était tout à fait inappropriée. </w:t>
      </w:r>
      <w:r w:rsidR="006251F1" w:rsidRPr="00476611">
        <w:rPr>
          <w:bCs/>
          <w:lang w:val="fr-FR"/>
        </w:rPr>
        <w:t>L</w:t>
      </w:r>
      <w:r w:rsidR="006251F1">
        <w:rPr>
          <w:bCs/>
          <w:lang w:val="fr-FR"/>
        </w:rPr>
        <w:t>a</w:t>
      </w:r>
      <w:r w:rsidR="006251F1" w:rsidRPr="00476611">
        <w:rPr>
          <w:bCs/>
          <w:lang w:val="fr-FR"/>
        </w:rPr>
        <w:t xml:space="preserve"> procession</w:t>
      </w:r>
      <w:r w:rsidRPr="00476611">
        <w:rPr>
          <w:bCs/>
          <w:lang w:val="fr-FR"/>
        </w:rPr>
        <w:t xml:space="preserve"> de la Ducasse d</w:t>
      </w:r>
      <w:r w:rsidR="00923E72">
        <w:rPr>
          <w:bCs/>
          <w:lang w:val="fr-FR"/>
        </w:rPr>
        <w:t>’</w:t>
      </w:r>
      <w:r w:rsidRPr="00476611">
        <w:rPr>
          <w:bCs/>
          <w:lang w:val="fr-FR"/>
        </w:rPr>
        <w:t xml:space="preserve">Ath et la parodie du </w:t>
      </w:r>
      <w:r w:rsidR="001565CA">
        <w:rPr>
          <w:bCs/>
          <w:lang w:val="fr-FR"/>
        </w:rPr>
        <w:t>« </w:t>
      </w:r>
      <w:r w:rsidRPr="00476611">
        <w:rPr>
          <w:bCs/>
          <w:lang w:val="fr-FR"/>
        </w:rPr>
        <w:t>Sauvage</w:t>
      </w:r>
      <w:r w:rsidR="001565CA">
        <w:rPr>
          <w:bCs/>
          <w:lang w:val="fr-FR"/>
        </w:rPr>
        <w:t> »</w:t>
      </w:r>
      <w:r w:rsidRPr="00476611">
        <w:rPr>
          <w:bCs/>
          <w:lang w:val="fr-FR"/>
        </w:rPr>
        <w:t xml:space="preserve"> n</w:t>
      </w:r>
      <w:r w:rsidR="00923E72">
        <w:rPr>
          <w:bCs/>
          <w:lang w:val="fr-FR"/>
        </w:rPr>
        <w:t>’</w:t>
      </w:r>
      <w:r w:rsidRPr="00476611">
        <w:rPr>
          <w:bCs/>
          <w:lang w:val="fr-FR"/>
        </w:rPr>
        <w:t>étaient pas seulement une insulte à l</w:t>
      </w:r>
      <w:r w:rsidR="00923E72">
        <w:rPr>
          <w:bCs/>
          <w:lang w:val="fr-FR"/>
        </w:rPr>
        <w:t>’</w:t>
      </w:r>
      <w:r w:rsidRPr="00476611">
        <w:rPr>
          <w:bCs/>
          <w:lang w:val="fr-FR"/>
        </w:rPr>
        <w:t>Afrique, mais une insulte à tous les Noirs du monde entier et à l</w:t>
      </w:r>
      <w:r w:rsidR="00923E72">
        <w:rPr>
          <w:bCs/>
          <w:lang w:val="fr-FR"/>
        </w:rPr>
        <w:t>’</w:t>
      </w:r>
      <w:r w:rsidRPr="00476611">
        <w:rPr>
          <w:bCs/>
          <w:lang w:val="fr-FR"/>
        </w:rPr>
        <w:t>humanité dans son ensemble. Trois questions importantes se posaient. Premièrement, malgré l</w:t>
      </w:r>
      <w:r w:rsidR="00923E72">
        <w:rPr>
          <w:bCs/>
          <w:lang w:val="fr-FR"/>
        </w:rPr>
        <w:t>’</w:t>
      </w:r>
      <w:r w:rsidRPr="00476611">
        <w:rPr>
          <w:bCs/>
          <w:lang w:val="fr-FR"/>
        </w:rPr>
        <w:t>explication fournie par l</w:t>
      </w:r>
      <w:r w:rsidR="00923E72">
        <w:rPr>
          <w:bCs/>
          <w:lang w:val="fr-FR"/>
        </w:rPr>
        <w:t>’</w:t>
      </w:r>
      <w:r w:rsidRPr="00476611">
        <w:rPr>
          <w:bCs/>
          <w:lang w:val="fr-FR"/>
        </w:rPr>
        <w:t>État partie, aucune mesure n</w:t>
      </w:r>
      <w:r w:rsidR="00923E72">
        <w:rPr>
          <w:bCs/>
          <w:lang w:val="fr-FR"/>
        </w:rPr>
        <w:t>’</w:t>
      </w:r>
      <w:r w:rsidRPr="00476611">
        <w:rPr>
          <w:bCs/>
          <w:lang w:val="fr-FR"/>
        </w:rPr>
        <w:t>avait été prise depuis</w:t>
      </w:r>
      <w:r w:rsidR="00AF6B98">
        <w:rPr>
          <w:bCs/>
          <w:lang w:val="fr-FR"/>
        </w:rPr>
        <w:t> </w:t>
      </w:r>
      <w:r w:rsidRPr="00476611">
        <w:rPr>
          <w:bCs/>
          <w:lang w:val="fr-FR"/>
        </w:rPr>
        <w:t>2019 pour mettre fin à la procession bien que le Secrétariat en ait été informé. Le COVID</w:t>
      </w:r>
      <w:r w:rsidR="001565CA">
        <w:rPr>
          <w:bCs/>
          <w:lang w:val="fr-FR"/>
        </w:rPr>
        <w:noBreakHyphen/>
      </w:r>
      <w:r w:rsidRPr="00476611">
        <w:rPr>
          <w:bCs/>
          <w:lang w:val="fr-FR"/>
        </w:rPr>
        <w:t>19 ne devrait pas être une excuse</w:t>
      </w:r>
      <w:r w:rsidR="001565CA">
        <w:rPr>
          <w:bCs/>
          <w:lang w:val="fr-FR"/>
        </w:rPr>
        <w:t>,</w:t>
      </w:r>
      <w:r w:rsidRPr="00476611">
        <w:rPr>
          <w:bCs/>
          <w:lang w:val="fr-FR"/>
        </w:rPr>
        <w:t xml:space="preserve"> et bien que les éditions</w:t>
      </w:r>
      <w:r w:rsidR="00AF6B98">
        <w:rPr>
          <w:bCs/>
          <w:lang w:val="fr-FR"/>
        </w:rPr>
        <w:t> </w:t>
      </w:r>
      <w:r w:rsidRPr="00476611">
        <w:rPr>
          <w:bCs/>
          <w:lang w:val="fr-FR"/>
        </w:rPr>
        <w:t>2020 et</w:t>
      </w:r>
      <w:r w:rsidR="00AF6B98">
        <w:rPr>
          <w:bCs/>
          <w:lang w:val="fr-FR"/>
        </w:rPr>
        <w:t> </w:t>
      </w:r>
      <w:r w:rsidRPr="00476611">
        <w:rPr>
          <w:bCs/>
          <w:lang w:val="fr-FR"/>
        </w:rPr>
        <w:t>2021 n</w:t>
      </w:r>
      <w:r w:rsidR="00923E72">
        <w:rPr>
          <w:bCs/>
          <w:lang w:val="fr-FR"/>
        </w:rPr>
        <w:t>’</w:t>
      </w:r>
      <w:r w:rsidRPr="00476611">
        <w:rPr>
          <w:bCs/>
          <w:lang w:val="fr-FR"/>
        </w:rPr>
        <w:t>aient pas eu lieu, il aurait dû être possible de travailler et de dialoguer avec la communauté, mais l</w:t>
      </w:r>
      <w:r w:rsidR="00923E72">
        <w:rPr>
          <w:bCs/>
          <w:lang w:val="fr-FR"/>
        </w:rPr>
        <w:t>’</w:t>
      </w:r>
      <w:r w:rsidRPr="00476611">
        <w:rPr>
          <w:bCs/>
          <w:lang w:val="fr-FR"/>
        </w:rPr>
        <w:t>État partie n</w:t>
      </w:r>
      <w:r w:rsidR="00923E72">
        <w:rPr>
          <w:bCs/>
          <w:lang w:val="fr-FR"/>
        </w:rPr>
        <w:t>’</w:t>
      </w:r>
      <w:r w:rsidRPr="00476611">
        <w:rPr>
          <w:bCs/>
          <w:lang w:val="fr-FR"/>
        </w:rPr>
        <w:t>avait pas répondu au Secrétariat. La lettre figurant à l</w:t>
      </w:r>
      <w:r w:rsidR="00923E72">
        <w:rPr>
          <w:bCs/>
          <w:lang w:val="fr-FR"/>
        </w:rPr>
        <w:t>’</w:t>
      </w:r>
      <w:r w:rsidRPr="00476611">
        <w:rPr>
          <w:bCs/>
          <w:lang w:val="fr-FR"/>
        </w:rPr>
        <w:t>annexe</w:t>
      </w:r>
      <w:r w:rsidR="00DB6A4B">
        <w:rPr>
          <w:bCs/>
          <w:lang w:val="fr-FR"/>
        </w:rPr>
        <w:t> </w:t>
      </w:r>
      <w:r w:rsidRPr="00476611">
        <w:rPr>
          <w:bCs/>
          <w:lang w:val="fr-FR"/>
        </w:rPr>
        <w:t>II du projet de décision émanait de la communauté et non de l</w:t>
      </w:r>
      <w:r w:rsidR="00923E72">
        <w:rPr>
          <w:bCs/>
          <w:lang w:val="fr-FR"/>
        </w:rPr>
        <w:t>’</w:t>
      </w:r>
      <w:r w:rsidRPr="00476611">
        <w:rPr>
          <w:bCs/>
          <w:lang w:val="fr-FR"/>
        </w:rPr>
        <w:t>État partie. Le Comité devait donc prendre note que l</w:t>
      </w:r>
      <w:r w:rsidR="00923E72">
        <w:rPr>
          <w:bCs/>
          <w:lang w:val="fr-FR"/>
        </w:rPr>
        <w:t>’</w:t>
      </w:r>
      <w:r w:rsidRPr="00476611">
        <w:rPr>
          <w:bCs/>
          <w:lang w:val="fr-FR"/>
        </w:rPr>
        <w:t>État partie n</w:t>
      </w:r>
      <w:r w:rsidR="00923E72">
        <w:rPr>
          <w:bCs/>
          <w:lang w:val="fr-FR"/>
        </w:rPr>
        <w:t>’</w:t>
      </w:r>
      <w:r w:rsidRPr="00476611">
        <w:rPr>
          <w:bCs/>
          <w:lang w:val="fr-FR"/>
        </w:rPr>
        <w:t>était pas disposé à prendre des mesures immédiates et que la radiation de la Ducasse d</w:t>
      </w:r>
      <w:r w:rsidR="00923E72">
        <w:rPr>
          <w:bCs/>
          <w:lang w:val="fr-FR"/>
        </w:rPr>
        <w:t>’</w:t>
      </w:r>
      <w:r w:rsidRPr="00476611">
        <w:rPr>
          <w:bCs/>
          <w:lang w:val="fr-FR"/>
        </w:rPr>
        <w:t>Ath se faisait attendre depuis longtemps. Deuxièmement, la communauté semblait insister pour poursuivre cette pratique, comme le mentionnait sa lettre à l</w:t>
      </w:r>
      <w:r w:rsidR="00923E72">
        <w:rPr>
          <w:bCs/>
          <w:lang w:val="fr-FR"/>
        </w:rPr>
        <w:t>’</w:t>
      </w:r>
      <w:r w:rsidRPr="00476611">
        <w:rPr>
          <w:bCs/>
          <w:lang w:val="fr-FR"/>
        </w:rPr>
        <w:t>annexe</w:t>
      </w:r>
      <w:r w:rsidR="00DB6A4B">
        <w:rPr>
          <w:bCs/>
          <w:lang w:val="fr-FR"/>
        </w:rPr>
        <w:t> </w:t>
      </w:r>
      <w:r w:rsidRPr="00476611">
        <w:rPr>
          <w:bCs/>
          <w:lang w:val="fr-FR"/>
        </w:rPr>
        <w:t>II, qui pouvait se résumer en trois points : i) que la Belgique était championne dans l</w:t>
      </w:r>
      <w:r w:rsidR="00923E72">
        <w:rPr>
          <w:bCs/>
          <w:lang w:val="fr-FR"/>
        </w:rPr>
        <w:t>’</w:t>
      </w:r>
      <w:r w:rsidRPr="00476611">
        <w:rPr>
          <w:bCs/>
          <w:lang w:val="fr-FR"/>
        </w:rPr>
        <w:t>adoption d</w:t>
      </w:r>
      <w:r w:rsidR="00923E72">
        <w:rPr>
          <w:bCs/>
          <w:lang w:val="fr-FR"/>
        </w:rPr>
        <w:t>’</w:t>
      </w:r>
      <w:r w:rsidRPr="00476611">
        <w:rPr>
          <w:bCs/>
          <w:lang w:val="fr-FR"/>
        </w:rPr>
        <w:t>une législation contre le racisme, ce qui ne saurait constituer une explication à la question</w:t>
      </w:r>
      <w:r w:rsidR="00221D63">
        <w:rPr>
          <w:bCs/>
          <w:lang w:val="fr-FR"/>
        </w:rPr>
        <w:t> ;</w:t>
      </w:r>
      <w:r w:rsidRPr="00476611">
        <w:rPr>
          <w:bCs/>
          <w:lang w:val="fr-FR"/>
        </w:rPr>
        <w:t xml:space="preserve"> ii) que la Belgique souhaitait aborder la question par le biais d</w:t>
      </w:r>
      <w:r w:rsidR="00923E72">
        <w:rPr>
          <w:bCs/>
          <w:lang w:val="fr-FR"/>
        </w:rPr>
        <w:t>’</w:t>
      </w:r>
      <w:r w:rsidRPr="00476611">
        <w:rPr>
          <w:bCs/>
          <w:lang w:val="fr-FR"/>
        </w:rPr>
        <w:t>une politique, mais la situation ne pouvait attendre que la Belgique se dote d</w:t>
      </w:r>
      <w:r w:rsidR="00923E72">
        <w:rPr>
          <w:bCs/>
          <w:lang w:val="fr-FR"/>
        </w:rPr>
        <w:t>’</w:t>
      </w:r>
      <w:r w:rsidRPr="00476611">
        <w:rPr>
          <w:bCs/>
          <w:lang w:val="fr-FR"/>
        </w:rPr>
        <w:t>une politique de non-discrimination ; et iii) que la lettre de la Communauté française de Belgique et de la Région wallonne indiquait clairement que le cadre juridique du patrimoine culturel immatériel ferait bientôt l</w:t>
      </w:r>
      <w:r w:rsidR="00923E72">
        <w:rPr>
          <w:bCs/>
          <w:lang w:val="fr-FR"/>
        </w:rPr>
        <w:t>’</w:t>
      </w:r>
      <w:r w:rsidRPr="00476611">
        <w:rPr>
          <w:bCs/>
          <w:lang w:val="fr-FR"/>
        </w:rPr>
        <w:t>objet d</w:t>
      </w:r>
      <w:r w:rsidR="00923E72">
        <w:rPr>
          <w:bCs/>
          <w:lang w:val="fr-FR"/>
        </w:rPr>
        <w:t>’</w:t>
      </w:r>
      <w:r w:rsidRPr="00476611">
        <w:rPr>
          <w:bCs/>
          <w:lang w:val="fr-FR"/>
        </w:rPr>
        <w:t>une réforme majeure portant sur divers aspects concernant le respect mutuel entre les communautés. Ce travail débuterait fin</w:t>
      </w:r>
      <w:r w:rsidR="00246428">
        <w:rPr>
          <w:bCs/>
          <w:lang w:val="fr-FR"/>
        </w:rPr>
        <w:t> </w:t>
      </w:r>
      <w:r w:rsidRPr="00476611">
        <w:rPr>
          <w:bCs/>
          <w:lang w:val="fr-FR"/>
        </w:rPr>
        <w:t>2022 en vue d</w:t>
      </w:r>
      <w:r w:rsidR="00923E72">
        <w:rPr>
          <w:bCs/>
          <w:lang w:val="fr-FR"/>
        </w:rPr>
        <w:t>’</w:t>
      </w:r>
      <w:r w:rsidRPr="00476611">
        <w:rPr>
          <w:bCs/>
          <w:lang w:val="fr-FR"/>
        </w:rPr>
        <w:t>une adoption par le Parlement en</w:t>
      </w:r>
      <w:r w:rsidR="00246428">
        <w:rPr>
          <w:bCs/>
          <w:lang w:val="fr-FR"/>
        </w:rPr>
        <w:t> </w:t>
      </w:r>
      <w:r w:rsidRPr="00476611">
        <w:rPr>
          <w:bCs/>
          <w:lang w:val="fr-FR"/>
        </w:rPr>
        <w:t>2023. Cependant, le Comité ne pouvait pas attendre que le Parlement se prononce. La décision devait venir du Comité</w:t>
      </w:r>
      <w:r w:rsidR="000121F0">
        <w:rPr>
          <w:bCs/>
          <w:lang w:val="fr-FR"/>
        </w:rPr>
        <w:t>,</w:t>
      </w:r>
      <w:r w:rsidRPr="00476611">
        <w:rPr>
          <w:bCs/>
          <w:lang w:val="fr-FR"/>
        </w:rPr>
        <w:t xml:space="preserve"> car c</w:t>
      </w:r>
      <w:r w:rsidR="00923E72">
        <w:rPr>
          <w:bCs/>
          <w:lang w:val="fr-FR"/>
        </w:rPr>
        <w:t>’</w:t>
      </w:r>
      <w:r w:rsidRPr="00476611">
        <w:rPr>
          <w:bCs/>
          <w:lang w:val="fr-FR"/>
        </w:rPr>
        <w:t>était lui qui avait inscrit l</w:t>
      </w:r>
      <w:r w:rsidR="00923E72">
        <w:rPr>
          <w:bCs/>
          <w:lang w:val="fr-FR"/>
        </w:rPr>
        <w:t>’</w:t>
      </w:r>
      <w:r w:rsidRPr="00476611">
        <w:rPr>
          <w:bCs/>
          <w:lang w:val="fr-FR"/>
        </w:rPr>
        <w:t>élément au patrimoine culturel immatériel. En outre, l</w:t>
      </w:r>
      <w:r w:rsidR="00923E72">
        <w:rPr>
          <w:bCs/>
          <w:lang w:val="fr-FR"/>
        </w:rPr>
        <w:t>’</w:t>
      </w:r>
      <w:r w:rsidRPr="00476611">
        <w:rPr>
          <w:bCs/>
          <w:lang w:val="fr-FR"/>
        </w:rPr>
        <w:t>Éthiopie jugeait le processus de travail inacceptable. À partir de</w:t>
      </w:r>
      <w:r w:rsidR="00AF6B98">
        <w:rPr>
          <w:bCs/>
          <w:lang w:val="fr-FR"/>
        </w:rPr>
        <w:t> </w:t>
      </w:r>
      <w:r w:rsidRPr="00476611">
        <w:rPr>
          <w:bCs/>
          <w:lang w:val="fr-FR"/>
        </w:rPr>
        <w:t>2019, aucune mesure n</w:t>
      </w:r>
      <w:r w:rsidR="00923E72">
        <w:rPr>
          <w:bCs/>
          <w:lang w:val="fr-FR"/>
        </w:rPr>
        <w:t>’</w:t>
      </w:r>
      <w:r w:rsidRPr="00476611">
        <w:rPr>
          <w:bCs/>
          <w:lang w:val="fr-FR"/>
        </w:rPr>
        <w:t>avait été prise, alors que la proposition de la Tchéquie de réintégrer le processus ne faisait qu</w:t>
      </w:r>
      <w:r w:rsidR="00923E72">
        <w:rPr>
          <w:bCs/>
          <w:lang w:val="fr-FR"/>
        </w:rPr>
        <w:t>’</w:t>
      </w:r>
      <w:r w:rsidRPr="00476611">
        <w:rPr>
          <w:bCs/>
          <w:lang w:val="fr-FR"/>
        </w:rPr>
        <w:t>autoriser et tolérer ce racisme. L</w:t>
      </w:r>
      <w:r w:rsidR="00923E72">
        <w:rPr>
          <w:bCs/>
          <w:lang w:val="fr-FR"/>
        </w:rPr>
        <w:t>’</w:t>
      </w:r>
      <w:r w:rsidRPr="00476611">
        <w:rPr>
          <w:bCs/>
          <w:lang w:val="fr-FR"/>
        </w:rPr>
        <w:t>Éthiopie condamnait la Ducasse d</w:t>
      </w:r>
      <w:r w:rsidR="00923E72">
        <w:rPr>
          <w:bCs/>
          <w:lang w:val="fr-FR"/>
        </w:rPr>
        <w:t>’</w:t>
      </w:r>
      <w:r w:rsidRPr="00476611">
        <w:rPr>
          <w:bCs/>
          <w:lang w:val="fr-FR"/>
        </w:rPr>
        <w:t>Ath et demandait son retrait complet de l</w:t>
      </w:r>
      <w:r w:rsidR="00923E72">
        <w:rPr>
          <w:bCs/>
          <w:lang w:val="fr-FR"/>
        </w:rPr>
        <w:t>’</w:t>
      </w:r>
      <w:r w:rsidRPr="00476611">
        <w:rPr>
          <w:bCs/>
          <w:lang w:val="fr-FR"/>
        </w:rPr>
        <w:t>élément. L</w:t>
      </w:r>
      <w:r w:rsidR="00923E72">
        <w:rPr>
          <w:bCs/>
          <w:lang w:val="fr-FR"/>
        </w:rPr>
        <w:t>’</w:t>
      </w:r>
      <w:r w:rsidRPr="00476611">
        <w:rPr>
          <w:bCs/>
          <w:lang w:val="fr-FR"/>
        </w:rPr>
        <w:t>intégrité de ce Comité dans l</w:t>
      </w:r>
      <w:r w:rsidR="00923E72">
        <w:rPr>
          <w:bCs/>
          <w:lang w:val="fr-FR"/>
        </w:rPr>
        <w:t>’</w:t>
      </w:r>
      <w:r w:rsidRPr="00476611">
        <w:rPr>
          <w:bCs/>
          <w:lang w:val="fr-FR"/>
        </w:rPr>
        <w:t>exécution et la réalisation de son mandat serait jugée sur cette question cruciale.</w:t>
      </w:r>
    </w:p>
    <w:p w14:paraId="26E7B11E" w14:textId="7CA87128" w:rsidR="001565CA" w:rsidRDefault="001565CA" w:rsidP="00AA7EE4">
      <w:pPr>
        <w:pStyle w:val="Orateurengris"/>
        <w:numPr>
          <w:ilvl w:val="0"/>
          <w:numId w:val="20"/>
        </w:numPr>
        <w:tabs>
          <w:tab w:val="clear" w:pos="567"/>
        </w:tabs>
        <w:spacing w:before="120"/>
        <w:ind w:left="709" w:hanging="709"/>
        <w:rPr>
          <w:bCs/>
          <w:lang w:val="fr-FR"/>
        </w:rPr>
      </w:pPr>
      <w:r w:rsidRPr="001565CA">
        <w:rPr>
          <w:bCs/>
          <w:lang w:val="fr-FR"/>
        </w:rPr>
        <w:lastRenderedPageBreak/>
        <w:t xml:space="preserve">La délégation </w:t>
      </w:r>
      <w:r>
        <w:rPr>
          <w:bCs/>
          <w:lang w:val="fr-FR"/>
        </w:rPr>
        <w:t xml:space="preserve">de la </w:t>
      </w:r>
      <w:r w:rsidRPr="00702497">
        <w:rPr>
          <w:b/>
          <w:lang w:val="fr-FR"/>
        </w:rPr>
        <w:t>Suisse</w:t>
      </w:r>
      <w:r w:rsidRPr="001565CA">
        <w:rPr>
          <w:bCs/>
          <w:lang w:val="fr-FR"/>
        </w:rPr>
        <w:t xml:space="preserve"> avait pris attentivement note des interventions convaincantes, pleines d</w:t>
      </w:r>
      <w:r w:rsidR="00923E72">
        <w:rPr>
          <w:bCs/>
          <w:lang w:val="fr-FR"/>
        </w:rPr>
        <w:t>’</w:t>
      </w:r>
      <w:r w:rsidRPr="001565CA">
        <w:rPr>
          <w:bCs/>
          <w:lang w:val="fr-FR"/>
        </w:rPr>
        <w:t xml:space="preserve">éloquence et de sincérité sur la question, à savoir le personnage du </w:t>
      </w:r>
      <w:r>
        <w:rPr>
          <w:bCs/>
          <w:lang w:val="fr-FR"/>
        </w:rPr>
        <w:t>« </w:t>
      </w:r>
      <w:r w:rsidRPr="001565CA">
        <w:rPr>
          <w:bCs/>
          <w:lang w:val="fr-FR"/>
        </w:rPr>
        <w:t>Sauvage</w:t>
      </w:r>
      <w:r>
        <w:rPr>
          <w:bCs/>
          <w:lang w:val="fr-FR"/>
        </w:rPr>
        <w:t> »</w:t>
      </w:r>
      <w:r w:rsidRPr="001565CA">
        <w:rPr>
          <w:bCs/>
          <w:lang w:val="fr-FR"/>
        </w:rPr>
        <w:t xml:space="preserve"> de la Ducasse d</w:t>
      </w:r>
      <w:r w:rsidR="00923E72">
        <w:rPr>
          <w:bCs/>
          <w:lang w:val="fr-FR"/>
        </w:rPr>
        <w:t>’</w:t>
      </w:r>
      <w:r w:rsidRPr="001565CA">
        <w:rPr>
          <w:bCs/>
          <w:lang w:val="fr-FR"/>
        </w:rPr>
        <w:t>Ath. La délégation jugeait également totalement inacceptable et intolérable qu</w:t>
      </w:r>
      <w:r w:rsidR="00923E72">
        <w:rPr>
          <w:bCs/>
          <w:lang w:val="fr-FR"/>
        </w:rPr>
        <w:t>’</w:t>
      </w:r>
      <w:r w:rsidRPr="001565CA">
        <w:rPr>
          <w:bCs/>
          <w:lang w:val="fr-FR"/>
        </w:rPr>
        <w:t>un tel personnage fasse partie d</w:t>
      </w:r>
      <w:r w:rsidR="00923E72">
        <w:rPr>
          <w:bCs/>
          <w:lang w:val="fr-FR"/>
        </w:rPr>
        <w:t>’</w:t>
      </w:r>
      <w:r w:rsidRPr="001565CA">
        <w:rPr>
          <w:bCs/>
          <w:lang w:val="fr-FR"/>
        </w:rPr>
        <w:t>un élément inscrit sur la Liste représentative. Le Sous</w:t>
      </w:r>
      <w:r w:rsidR="00DC013C">
        <w:rPr>
          <w:bCs/>
          <w:lang w:val="fr-FR"/>
        </w:rPr>
        <w:noBreakHyphen/>
      </w:r>
      <w:r w:rsidRPr="001565CA">
        <w:rPr>
          <w:bCs/>
          <w:lang w:val="fr-FR"/>
        </w:rPr>
        <w:t>Directeur général avait expliqué comment cela était advenu et pourquoi, ce qui méritait une réflexion plus approfondie. En effet, l</w:t>
      </w:r>
      <w:r w:rsidR="00923E72">
        <w:rPr>
          <w:bCs/>
          <w:lang w:val="fr-FR"/>
        </w:rPr>
        <w:t>’</w:t>
      </w:r>
      <w:r w:rsidRPr="001565CA">
        <w:rPr>
          <w:bCs/>
          <w:lang w:val="fr-FR"/>
        </w:rPr>
        <w:t>Organe d</w:t>
      </w:r>
      <w:r w:rsidR="00923E72">
        <w:rPr>
          <w:bCs/>
          <w:lang w:val="fr-FR"/>
        </w:rPr>
        <w:t>’</w:t>
      </w:r>
      <w:r w:rsidRPr="001565CA">
        <w:rPr>
          <w:bCs/>
          <w:lang w:val="fr-FR"/>
        </w:rPr>
        <w:t>évaluation fondant sa décision uniquement sur le dossier de candidature, cette situation pourrait se reproduire</w:t>
      </w:r>
      <w:r w:rsidR="00DC013C">
        <w:rPr>
          <w:bCs/>
          <w:lang w:val="fr-FR"/>
        </w:rPr>
        <w:t>. A</w:t>
      </w:r>
      <w:r w:rsidRPr="001565CA">
        <w:rPr>
          <w:bCs/>
          <w:lang w:val="fr-FR"/>
        </w:rPr>
        <w:t>lors</w:t>
      </w:r>
      <w:r w:rsidR="00DC013C">
        <w:rPr>
          <w:bCs/>
          <w:lang w:val="fr-FR"/>
        </w:rPr>
        <w:t>,</w:t>
      </w:r>
      <w:r w:rsidRPr="001565CA">
        <w:rPr>
          <w:bCs/>
          <w:lang w:val="fr-FR"/>
        </w:rPr>
        <w:t xml:space="preserve"> quelle conclusion pouvait-on en tirer en </w:t>
      </w:r>
      <w:r w:rsidR="00DC013C">
        <w:rPr>
          <w:bCs/>
          <w:lang w:val="fr-FR"/>
        </w:rPr>
        <w:t>ce qui concerne les</w:t>
      </w:r>
      <w:r w:rsidRPr="001565CA">
        <w:rPr>
          <w:bCs/>
          <w:lang w:val="fr-FR"/>
        </w:rPr>
        <w:t xml:space="preserve"> sources externes</w:t>
      </w:r>
      <w:r w:rsidR="006266C7">
        <w:rPr>
          <w:bCs/>
          <w:lang w:val="fr-FR"/>
        </w:rPr>
        <w:t> </w:t>
      </w:r>
      <w:r w:rsidRPr="001565CA">
        <w:rPr>
          <w:bCs/>
          <w:lang w:val="fr-FR"/>
        </w:rPr>
        <w:t>? Cette discussion devait avoir lieu car le Comité ne souhaitait pas que cette situation se reproduise. La délégation était résolument convaincue par les arguments avancés, à commencer par ceux du Botswana, et par le fait que le Comité devait envoyer un signal fort pour dire que cette situation était inacceptable. Le Comité ne pouvait accepter qu</w:t>
      </w:r>
      <w:r w:rsidR="00923E72">
        <w:rPr>
          <w:bCs/>
          <w:lang w:val="fr-FR"/>
        </w:rPr>
        <w:t>’</w:t>
      </w:r>
      <w:r w:rsidRPr="001565CA">
        <w:rPr>
          <w:bCs/>
          <w:lang w:val="fr-FR"/>
        </w:rPr>
        <w:t xml:space="preserve">un tel personnage, avec ses attributs révoltants, figure sur la Liste représentative. Le Comité devait condamner ce personnage et le retirer de la Liste représentative. </w:t>
      </w:r>
      <w:r w:rsidR="00DC013C">
        <w:rPr>
          <w:bCs/>
          <w:lang w:val="fr-FR"/>
        </w:rPr>
        <w:t>Toutefois,</w:t>
      </w:r>
      <w:r w:rsidRPr="001565CA">
        <w:rPr>
          <w:bCs/>
          <w:lang w:val="fr-FR"/>
        </w:rPr>
        <w:t xml:space="preserve"> cela ne suffisait pas. Le Comité enverrait un signal fort pour dire que c</w:t>
      </w:r>
      <w:r w:rsidR="00923E72">
        <w:rPr>
          <w:bCs/>
          <w:lang w:val="fr-FR"/>
        </w:rPr>
        <w:t>’</w:t>
      </w:r>
      <w:r w:rsidRPr="001565CA">
        <w:rPr>
          <w:bCs/>
          <w:lang w:val="fr-FR"/>
        </w:rPr>
        <w:t>était inacceptable, mais qu</w:t>
      </w:r>
      <w:r w:rsidR="00923E72">
        <w:rPr>
          <w:bCs/>
          <w:lang w:val="fr-FR"/>
        </w:rPr>
        <w:t>’</w:t>
      </w:r>
      <w:r w:rsidRPr="001565CA">
        <w:rPr>
          <w:bCs/>
          <w:lang w:val="fr-FR"/>
        </w:rPr>
        <w:t>est-ce que cela changerait dans la réalité</w:t>
      </w:r>
      <w:r w:rsidR="006266C7">
        <w:rPr>
          <w:bCs/>
          <w:lang w:val="fr-FR"/>
        </w:rPr>
        <w:t> </w:t>
      </w:r>
      <w:r w:rsidRPr="001565CA">
        <w:rPr>
          <w:bCs/>
          <w:lang w:val="fr-FR"/>
        </w:rPr>
        <w:t>? La crainte était que si le Comité décidait de retirer ce personnage avec effet immédiat de l</w:t>
      </w:r>
      <w:r w:rsidR="00923E72">
        <w:rPr>
          <w:bCs/>
          <w:lang w:val="fr-FR"/>
        </w:rPr>
        <w:t>’</w:t>
      </w:r>
      <w:r w:rsidRPr="001565CA">
        <w:rPr>
          <w:bCs/>
          <w:lang w:val="fr-FR"/>
        </w:rPr>
        <w:t>élément, la Ducasse d</w:t>
      </w:r>
      <w:r w:rsidR="00923E72">
        <w:rPr>
          <w:bCs/>
          <w:lang w:val="fr-FR"/>
        </w:rPr>
        <w:t>’</w:t>
      </w:r>
      <w:r w:rsidRPr="001565CA">
        <w:rPr>
          <w:bCs/>
          <w:lang w:val="fr-FR"/>
        </w:rPr>
        <w:t xml:space="preserve">Ath continuerait probablement avec cet horrible personnage du </w:t>
      </w:r>
      <w:r w:rsidR="00DC013C">
        <w:rPr>
          <w:bCs/>
          <w:lang w:val="fr-FR"/>
        </w:rPr>
        <w:t>« </w:t>
      </w:r>
      <w:r w:rsidRPr="001565CA">
        <w:rPr>
          <w:bCs/>
          <w:lang w:val="fr-FR"/>
        </w:rPr>
        <w:t>Sauvage</w:t>
      </w:r>
      <w:r w:rsidR="00DC013C">
        <w:rPr>
          <w:bCs/>
          <w:lang w:val="fr-FR"/>
        </w:rPr>
        <w:t> »</w:t>
      </w:r>
      <w:r w:rsidRPr="001565CA">
        <w:rPr>
          <w:bCs/>
          <w:lang w:val="fr-FR"/>
        </w:rPr>
        <w:t>. Le Comité avait la possibilité d</w:t>
      </w:r>
      <w:r w:rsidR="00923E72">
        <w:rPr>
          <w:bCs/>
          <w:lang w:val="fr-FR"/>
        </w:rPr>
        <w:t>’</w:t>
      </w:r>
      <w:r w:rsidRPr="001565CA">
        <w:rPr>
          <w:bCs/>
          <w:lang w:val="fr-FR"/>
        </w:rPr>
        <w:t>en faire plus et d</w:t>
      </w:r>
      <w:r w:rsidR="00923E72">
        <w:rPr>
          <w:bCs/>
          <w:lang w:val="fr-FR"/>
        </w:rPr>
        <w:t>’</w:t>
      </w:r>
      <w:r w:rsidRPr="001565CA">
        <w:rPr>
          <w:bCs/>
          <w:lang w:val="fr-FR"/>
        </w:rPr>
        <w:t>avoir un impact réel.</w:t>
      </w:r>
      <w:r w:rsidR="000121F0">
        <w:rPr>
          <w:bCs/>
          <w:lang w:val="fr-FR"/>
        </w:rPr>
        <w:t xml:space="preserve"> I</w:t>
      </w:r>
      <w:r w:rsidRPr="001565CA">
        <w:rPr>
          <w:bCs/>
          <w:lang w:val="fr-FR"/>
        </w:rPr>
        <w:t xml:space="preserve">l avait </w:t>
      </w:r>
      <w:r w:rsidR="000121F0">
        <w:rPr>
          <w:bCs/>
          <w:lang w:val="fr-FR"/>
        </w:rPr>
        <w:t>d</w:t>
      </w:r>
      <w:r w:rsidR="00923E72">
        <w:rPr>
          <w:bCs/>
          <w:lang w:val="fr-FR"/>
        </w:rPr>
        <w:t>’</w:t>
      </w:r>
      <w:r w:rsidR="000121F0">
        <w:rPr>
          <w:bCs/>
          <w:lang w:val="fr-FR"/>
        </w:rPr>
        <w:t xml:space="preserve">ailleurs </w:t>
      </w:r>
      <w:r w:rsidRPr="001565CA">
        <w:rPr>
          <w:bCs/>
          <w:lang w:val="fr-FR"/>
        </w:rPr>
        <w:t>la responsabilité morale de le faire. La délégation a suggéré d</w:t>
      </w:r>
      <w:r w:rsidR="00923E72">
        <w:rPr>
          <w:bCs/>
          <w:lang w:val="fr-FR"/>
        </w:rPr>
        <w:t>’</w:t>
      </w:r>
      <w:r w:rsidRPr="001565CA">
        <w:rPr>
          <w:bCs/>
          <w:lang w:val="fr-FR"/>
        </w:rPr>
        <w:t>imposer une date limite claire pour son retrait du prochain événement de la Ducasse d</w:t>
      </w:r>
      <w:r w:rsidR="00923E72">
        <w:rPr>
          <w:bCs/>
          <w:lang w:val="fr-FR"/>
        </w:rPr>
        <w:t>’</w:t>
      </w:r>
      <w:r w:rsidRPr="001565CA">
        <w:rPr>
          <w:bCs/>
          <w:lang w:val="fr-FR"/>
        </w:rPr>
        <w:t>Ath en août</w:t>
      </w:r>
      <w:r w:rsidR="00DC013C">
        <w:rPr>
          <w:bCs/>
          <w:lang w:val="fr-FR"/>
        </w:rPr>
        <w:t> </w:t>
      </w:r>
      <w:r w:rsidRPr="001565CA">
        <w:rPr>
          <w:bCs/>
          <w:lang w:val="fr-FR"/>
        </w:rPr>
        <w:t>2023, c</w:t>
      </w:r>
      <w:r w:rsidR="00923E72">
        <w:rPr>
          <w:bCs/>
          <w:lang w:val="fr-FR"/>
        </w:rPr>
        <w:t>’</w:t>
      </w:r>
      <w:r w:rsidRPr="001565CA">
        <w:rPr>
          <w:bCs/>
          <w:lang w:val="fr-FR"/>
        </w:rPr>
        <w:t>est-à-dire de retirer la Ducasse d</w:t>
      </w:r>
      <w:r w:rsidR="00923E72">
        <w:rPr>
          <w:bCs/>
          <w:lang w:val="fr-FR"/>
        </w:rPr>
        <w:t>’</w:t>
      </w:r>
      <w:r w:rsidRPr="001565CA">
        <w:rPr>
          <w:bCs/>
          <w:lang w:val="fr-FR"/>
        </w:rPr>
        <w:t xml:space="preserve">Ath de la Liste si le personnage du </w:t>
      </w:r>
      <w:r w:rsidR="00DC013C">
        <w:rPr>
          <w:bCs/>
          <w:lang w:val="fr-FR"/>
        </w:rPr>
        <w:t>« </w:t>
      </w:r>
      <w:r w:rsidRPr="001565CA">
        <w:rPr>
          <w:bCs/>
          <w:lang w:val="fr-FR"/>
        </w:rPr>
        <w:t>Sauvage</w:t>
      </w:r>
      <w:r w:rsidR="00DC013C">
        <w:rPr>
          <w:bCs/>
          <w:lang w:val="fr-FR"/>
        </w:rPr>
        <w:t> »</w:t>
      </w:r>
      <w:r w:rsidRPr="001565CA">
        <w:rPr>
          <w:bCs/>
          <w:lang w:val="fr-FR"/>
        </w:rPr>
        <w:t xml:space="preserve"> continuait d</w:t>
      </w:r>
      <w:r w:rsidR="00923E72">
        <w:rPr>
          <w:bCs/>
          <w:lang w:val="fr-FR"/>
        </w:rPr>
        <w:t>’</w:t>
      </w:r>
      <w:r w:rsidRPr="001565CA">
        <w:rPr>
          <w:bCs/>
          <w:lang w:val="fr-FR"/>
        </w:rPr>
        <w:t>être exhibé. Ce serait l</w:t>
      </w:r>
      <w:r w:rsidR="00923E72">
        <w:rPr>
          <w:bCs/>
          <w:lang w:val="fr-FR"/>
        </w:rPr>
        <w:t>’</w:t>
      </w:r>
      <w:r w:rsidRPr="001565CA">
        <w:rPr>
          <w:bCs/>
          <w:lang w:val="fr-FR"/>
        </w:rPr>
        <w:t>occasion d</w:t>
      </w:r>
      <w:r w:rsidR="00923E72">
        <w:rPr>
          <w:bCs/>
          <w:lang w:val="fr-FR"/>
        </w:rPr>
        <w:t>’</w:t>
      </w:r>
      <w:r w:rsidRPr="001565CA">
        <w:rPr>
          <w:bCs/>
          <w:lang w:val="fr-FR"/>
        </w:rPr>
        <w:t>avoir un réel impact pour que les enfants ne soient plus imprégnés par ce personnage ignoble qui nous rappelait toutes les pages sombres de l</w:t>
      </w:r>
      <w:r w:rsidR="00923E72">
        <w:rPr>
          <w:bCs/>
          <w:lang w:val="fr-FR"/>
        </w:rPr>
        <w:t>’</w:t>
      </w:r>
      <w:r w:rsidRPr="001565CA">
        <w:rPr>
          <w:bCs/>
          <w:lang w:val="fr-FR"/>
        </w:rPr>
        <w:t>histoire de l</w:t>
      </w:r>
      <w:r w:rsidR="00923E72">
        <w:rPr>
          <w:bCs/>
          <w:lang w:val="fr-FR"/>
        </w:rPr>
        <w:t>’</w:t>
      </w:r>
      <w:r w:rsidRPr="001565CA">
        <w:rPr>
          <w:bCs/>
          <w:lang w:val="fr-FR"/>
        </w:rPr>
        <w:t>humanité. La délégation soutenait le premier amendement du Botswana avec une légère modification au deuxième amendement du Botswana.</w:t>
      </w:r>
    </w:p>
    <w:p w14:paraId="124CEACA" w14:textId="26B58766" w:rsidR="00DC013C" w:rsidRDefault="00DC013C" w:rsidP="00AA7EE4">
      <w:pPr>
        <w:pStyle w:val="Orateurengris"/>
        <w:numPr>
          <w:ilvl w:val="0"/>
          <w:numId w:val="20"/>
        </w:numPr>
        <w:tabs>
          <w:tab w:val="clear" w:pos="567"/>
        </w:tabs>
        <w:spacing w:before="120"/>
        <w:ind w:left="709" w:hanging="709"/>
        <w:rPr>
          <w:bCs/>
          <w:lang w:val="fr-FR"/>
        </w:rPr>
      </w:pPr>
      <w:r w:rsidRPr="00DC013C">
        <w:rPr>
          <w:bCs/>
          <w:lang w:val="fr-FR"/>
        </w:rPr>
        <w:t xml:space="preserve">Le </w:t>
      </w:r>
      <w:r w:rsidRPr="00702497">
        <w:rPr>
          <w:b/>
          <w:lang w:val="fr-FR"/>
        </w:rPr>
        <w:t>Président</w:t>
      </w:r>
      <w:r w:rsidRPr="00DC013C">
        <w:rPr>
          <w:bCs/>
          <w:lang w:val="fr-FR"/>
        </w:rPr>
        <w:t xml:space="preserve"> a remercié la Suisse pour ses paroles fortes et sincères, convenant tout à fait que cette affaire était horrible et inquiétante, et qu</w:t>
      </w:r>
      <w:r w:rsidR="00923E72">
        <w:rPr>
          <w:bCs/>
          <w:lang w:val="fr-FR"/>
        </w:rPr>
        <w:t>’</w:t>
      </w:r>
      <w:r w:rsidRPr="00DC013C">
        <w:rPr>
          <w:bCs/>
          <w:lang w:val="fr-FR"/>
        </w:rPr>
        <w:t>elle devait être condamnée aussi fermement que possible. La Belgique n</w:t>
      </w:r>
      <w:r w:rsidR="00923E72">
        <w:rPr>
          <w:bCs/>
          <w:lang w:val="fr-FR"/>
        </w:rPr>
        <w:t>’</w:t>
      </w:r>
      <w:r w:rsidRPr="00DC013C">
        <w:rPr>
          <w:bCs/>
          <w:lang w:val="fr-FR"/>
        </w:rPr>
        <w:t>était pas visée, c</w:t>
      </w:r>
      <w:r w:rsidR="00923E72">
        <w:rPr>
          <w:bCs/>
          <w:lang w:val="fr-FR"/>
        </w:rPr>
        <w:t>’</w:t>
      </w:r>
      <w:r w:rsidRPr="00DC013C">
        <w:rPr>
          <w:bCs/>
          <w:lang w:val="fr-FR"/>
        </w:rPr>
        <w:t>était ce personnage en particulier qui était visé. En effet, il n</w:t>
      </w:r>
      <w:r w:rsidR="00923E72">
        <w:rPr>
          <w:bCs/>
          <w:lang w:val="fr-FR"/>
        </w:rPr>
        <w:t>’</w:t>
      </w:r>
      <w:r w:rsidRPr="00DC013C">
        <w:rPr>
          <w:bCs/>
          <w:lang w:val="fr-FR"/>
        </w:rPr>
        <w:t>était pas normal que le Comité doive encore discuter du retrait de ce personnage de la Liste. Le Comité devrait peut-être créer un mécanisme qui retire automatiquement de tels éléments sans qu</w:t>
      </w:r>
      <w:r w:rsidR="00923E72">
        <w:rPr>
          <w:bCs/>
          <w:lang w:val="fr-FR"/>
        </w:rPr>
        <w:t>’</w:t>
      </w:r>
      <w:r w:rsidRPr="00DC013C">
        <w:rPr>
          <w:bCs/>
          <w:lang w:val="fr-FR"/>
        </w:rPr>
        <w:t>aucune discussion ne soit nécessaire, notamment parce que tout le monde était d</w:t>
      </w:r>
      <w:r w:rsidR="00923E72">
        <w:rPr>
          <w:bCs/>
          <w:lang w:val="fr-FR"/>
        </w:rPr>
        <w:t>’</w:t>
      </w:r>
      <w:r w:rsidRPr="00DC013C">
        <w:rPr>
          <w:bCs/>
          <w:lang w:val="fr-FR"/>
        </w:rPr>
        <w:t>accord pour dire que ce personnage n</w:t>
      </w:r>
      <w:r w:rsidR="00923E72">
        <w:rPr>
          <w:bCs/>
          <w:lang w:val="fr-FR"/>
        </w:rPr>
        <w:t>’</w:t>
      </w:r>
      <w:r w:rsidRPr="00DC013C">
        <w:rPr>
          <w:bCs/>
          <w:lang w:val="fr-FR"/>
        </w:rPr>
        <w:t>avait rien à faire dans cet élément.</w:t>
      </w:r>
    </w:p>
    <w:p w14:paraId="33060B20" w14:textId="467DB8E5" w:rsidR="00DC013C" w:rsidRDefault="00DC013C" w:rsidP="00AA7EE4">
      <w:pPr>
        <w:pStyle w:val="Orateurengris"/>
        <w:numPr>
          <w:ilvl w:val="0"/>
          <w:numId w:val="20"/>
        </w:numPr>
        <w:tabs>
          <w:tab w:val="clear" w:pos="567"/>
        </w:tabs>
        <w:spacing w:before="120"/>
        <w:ind w:left="709" w:hanging="709"/>
        <w:rPr>
          <w:bCs/>
          <w:lang w:val="fr-FR"/>
        </w:rPr>
      </w:pPr>
      <w:r w:rsidRPr="00DC013C">
        <w:rPr>
          <w:bCs/>
          <w:lang w:val="fr-FR"/>
        </w:rPr>
        <w:t xml:space="preserve">La délégation du </w:t>
      </w:r>
      <w:r w:rsidRPr="00702497">
        <w:rPr>
          <w:b/>
          <w:lang w:val="fr-FR"/>
        </w:rPr>
        <w:t>Pérou</w:t>
      </w:r>
      <w:r w:rsidRPr="00DC013C">
        <w:rPr>
          <w:bCs/>
          <w:lang w:val="fr-FR"/>
        </w:rPr>
        <w:t xml:space="preserve"> a réaffirmé sa condamnation la plus ferme de toute expression raciste ou discriminatoire. Elle a salué les efforts de la Belgique et de tous les États parties qui s</w:t>
      </w:r>
      <w:r w:rsidR="00923E72">
        <w:rPr>
          <w:bCs/>
          <w:lang w:val="fr-FR"/>
        </w:rPr>
        <w:t>’</w:t>
      </w:r>
      <w:r w:rsidRPr="00DC013C">
        <w:rPr>
          <w:bCs/>
          <w:lang w:val="fr-FR"/>
        </w:rPr>
        <w:t>efforçaient de lutter contre la discrimination sous toutes ses formes. La délégation comprenait parfaitement la spécificité du processus d</w:t>
      </w:r>
      <w:r w:rsidR="00923E72">
        <w:rPr>
          <w:bCs/>
          <w:lang w:val="fr-FR"/>
        </w:rPr>
        <w:t>’</w:t>
      </w:r>
      <w:r w:rsidRPr="00DC013C">
        <w:rPr>
          <w:bCs/>
          <w:lang w:val="fr-FR"/>
        </w:rPr>
        <w:t xml:space="preserve">inscription de cet élément sur la Liste, </w:t>
      </w:r>
      <w:r>
        <w:rPr>
          <w:bCs/>
          <w:lang w:val="fr-FR"/>
        </w:rPr>
        <w:t xml:space="preserve">comme </w:t>
      </w:r>
      <w:r w:rsidRPr="00DC013C">
        <w:rPr>
          <w:bCs/>
          <w:lang w:val="fr-FR"/>
        </w:rPr>
        <w:t xml:space="preserve">expliqué par le Sous-Directeur général. Il était donc nécessaire de connaître exactement le type de procédure qui serait nécessaire pour résoudre ce problème sans avoir pour autant à </w:t>
      </w:r>
      <w:r w:rsidR="00CD22D9">
        <w:rPr>
          <w:bCs/>
          <w:lang w:val="fr-FR"/>
        </w:rPr>
        <w:t xml:space="preserve">procéder au retrait de </w:t>
      </w:r>
      <w:r w:rsidRPr="00DC013C">
        <w:rPr>
          <w:bCs/>
          <w:lang w:val="fr-FR"/>
        </w:rPr>
        <w:t>l</w:t>
      </w:r>
      <w:r w:rsidR="00923E72">
        <w:rPr>
          <w:bCs/>
          <w:lang w:val="fr-FR"/>
        </w:rPr>
        <w:t>’</w:t>
      </w:r>
      <w:r w:rsidRPr="00DC013C">
        <w:rPr>
          <w:bCs/>
          <w:lang w:val="fr-FR"/>
        </w:rPr>
        <w:t>ensemble de l</w:t>
      </w:r>
      <w:r w:rsidR="00923E72">
        <w:rPr>
          <w:bCs/>
          <w:lang w:val="fr-FR"/>
        </w:rPr>
        <w:t>’</w:t>
      </w:r>
      <w:r w:rsidRPr="00DC013C">
        <w:rPr>
          <w:bCs/>
          <w:lang w:val="fr-FR"/>
        </w:rPr>
        <w:t>élément. Cela concernait également d</w:t>
      </w:r>
      <w:r w:rsidR="00923E72">
        <w:rPr>
          <w:bCs/>
          <w:lang w:val="fr-FR"/>
        </w:rPr>
        <w:t>’</w:t>
      </w:r>
      <w:r w:rsidRPr="00DC013C">
        <w:rPr>
          <w:bCs/>
          <w:lang w:val="fr-FR"/>
        </w:rPr>
        <w:t xml:space="preserve">autres villes présentant des caractéristiques similaires. </w:t>
      </w:r>
      <w:r w:rsidR="008A5177">
        <w:rPr>
          <w:bCs/>
          <w:lang w:val="fr-FR"/>
        </w:rPr>
        <w:t xml:space="preserve">La </w:t>
      </w:r>
      <w:r w:rsidR="008A5177" w:rsidRPr="008A5177">
        <w:rPr>
          <w:bCs/>
          <w:lang w:val="fr-FR"/>
        </w:rPr>
        <w:t>délégation</w:t>
      </w:r>
      <w:r w:rsidR="008A5177">
        <w:rPr>
          <w:bCs/>
          <w:lang w:val="fr-FR"/>
        </w:rPr>
        <w:t xml:space="preserve"> se demandait c</w:t>
      </w:r>
      <w:r w:rsidRPr="00DC013C">
        <w:rPr>
          <w:bCs/>
          <w:lang w:val="fr-FR"/>
        </w:rPr>
        <w:t>omment le Comité dev</w:t>
      </w:r>
      <w:r w:rsidR="008A5177">
        <w:rPr>
          <w:bCs/>
          <w:lang w:val="fr-FR"/>
        </w:rPr>
        <w:t>r</w:t>
      </w:r>
      <w:r w:rsidRPr="00DC013C">
        <w:rPr>
          <w:bCs/>
          <w:lang w:val="fr-FR"/>
        </w:rPr>
        <w:t>ait</w:t>
      </w:r>
      <w:r w:rsidR="008A5177">
        <w:rPr>
          <w:bCs/>
          <w:lang w:val="fr-FR"/>
        </w:rPr>
        <w:t xml:space="preserve"> </w:t>
      </w:r>
      <w:r w:rsidRPr="00DC013C">
        <w:rPr>
          <w:bCs/>
          <w:lang w:val="fr-FR"/>
        </w:rPr>
        <w:t>traiter ce cas</w:t>
      </w:r>
      <w:r w:rsidR="008A5177">
        <w:rPr>
          <w:bCs/>
          <w:lang w:val="fr-FR"/>
        </w:rPr>
        <w:t xml:space="preserve">. </w:t>
      </w:r>
      <w:r w:rsidRPr="00DC013C">
        <w:rPr>
          <w:bCs/>
          <w:lang w:val="fr-FR"/>
        </w:rPr>
        <w:t xml:space="preserve">Les États parties devaient </w:t>
      </w:r>
      <w:r w:rsidR="009D7B41">
        <w:rPr>
          <w:bCs/>
          <w:lang w:val="fr-FR"/>
        </w:rPr>
        <w:t xml:space="preserve">tenir </w:t>
      </w:r>
      <w:r w:rsidRPr="00DC013C">
        <w:rPr>
          <w:bCs/>
          <w:lang w:val="fr-FR"/>
        </w:rPr>
        <w:t xml:space="preserve">compte </w:t>
      </w:r>
      <w:r w:rsidR="009D7B41">
        <w:rPr>
          <w:bCs/>
          <w:lang w:val="fr-FR"/>
        </w:rPr>
        <w:t>du fait qu</w:t>
      </w:r>
      <w:r w:rsidR="00923E72">
        <w:rPr>
          <w:bCs/>
          <w:lang w:val="fr-FR"/>
        </w:rPr>
        <w:t>’</w:t>
      </w:r>
      <w:r w:rsidR="009D7B41">
        <w:rPr>
          <w:bCs/>
          <w:lang w:val="fr-FR"/>
        </w:rPr>
        <w:t>ils avaient besoin de relais pour leurs</w:t>
      </w:r>
      <w:r w:rsidRPr="00DC013C">
        <w:rPr>
          <w:bCs/>
          <w:lang w:val="fr-FR"/>
        </w:rPr>
        <w:t xml:space="preserve"> politiques publiques. La délégation a demandé au Secrétariat comment résoudre au mieux cette question sans exclure l</w:t>
      </w:r>
      <w:r w:rsidR="00923E72">
        <w:rPr>
          <w:bCs/>
          <w:lang w:val="fr-FR"/>
        </w:rPr>
        <w:t>’</w:t>
      </w:r>
      <w:r w:rsidRPr="00DC013C">
        <w:rPr>
          <w:bCs/>
          <w:lang w:val="fr-FR"/>
        </w:rPr>
        <w:t>ensemble de l</w:t>
      </w:r>
      <w:r w:rsidR="00923E72">
        <w:rPr>
          <w:bCs/>
          <w:lang w:val="fr-FR"/>
        </w:rPr>
        <w:t>’</w:t>
      </w:r>
      <w:r w:rsidRPr="00DC013C">
        <w:rPr>
          <w:bCs/>
          <w:lang w:val="fr-FR"/>
        </w:rPr>
        <w:t>élément tel qu</w:t>
      </w:r>
      <w:r w:rsidR="00923E72">
        <w:rPr>
          <w:bCs/>
          <w:lang w:val="fr-FR"/>
        </w:rPr>
        <w:t>’</w:t>
      </w:r>
      <w:r w:rsidRPr="00DC013C">
        <w:rPr>
          <w:bCs/>
          <w:lang w:val="fr-FR"/>
        </w:rPr>
        <w:t>inscrit sur la Liste représentative.</w:t>
      </w:r>
    </w:p>
    <w:p w14:paraId="736167B5" w14:textId="49B4F39A" w:rsidR="00CD22D9" w:rsidRDefault="00CD22D9"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le Pérou. Le problème était en effet posé, et il inviterait le Conseiller juridique à expliquer la procédure légale à suivre </w:t>
      </w:r>
      <w:r w:rsidRPr="00CD22D9">
        <w:rPr>
          <w:bCs/>
          <w:lang w:val="fr-FR"/>
        </w:rPr>
        <w:t>en ce qui concerne</w:t>
      </w:r>
      <w:r>
        <w:rPr>
          <w:bCs/>
          <w:lang w:val="fr-FR"/>
        </w:rPr>
        <w:t xml:space="preserve"> cette question juste après les </w:t>
      </w:r>
      <w:r w:rsidRPr="00CD22D9">
        <w:rPr>
          <w:bCs/>
          <w:lang w:val="fr-FR"/>
        </w:rPr>
        <w:t>interventio</w:t>
      </w:r>
      <w:r>
        <w:rPr>
          <w:bCs/>
          <w:lang w:val="fr-FR"/>
        </w:rPr>
        <w:t>ns.</w:t>
      </w:r>
    </w:p>
    <w:p w14:paraId="12191E25" w14:textId="77D8F76C" w:rsidR="00CD22D9" w:rsidRDefault="00CD22D9" w:rsidP="00AA7EE4">
      <w:pPr>
        <w:pStyle w:val="Orateurengris"/>
        <w:numPr>
          <w:ilvl w:val="0"/>
          <w:numId w:val="20"/>
        </w:numPr>
        <w:tabs>
          <w:tab w:val="clear" w:pos="567"/>
        </w:tabs>
        <w:spacing w:before="120"/>
        <w:ind w:left="709" w:hanging="709"/>
        <w:rPr>
          <w:bCs/>
          <w:lang w:val="fr-FR"/>
        </w:rPr>
      </w:pPr>
      <w:r w:rsidRPr="00CD22D9">
        <w:rPr>
          <w:bCs/>
          <w:lang w:val="fr-FR"/>
        </w:rPr>
        <w:t xml:space="preserve">La délégation du </w:t>
      </w:r>
      <w:r w:rsidRPr="00702497">
        <w:rPr>
          <w:b/>
          <w:lang w:val="fr-FR"/>
        </w:rPr>
        <w:t>Brésil</w:t>
      </w:r>
      <w:r w:rsidRPr="00CD22D9">
        <w:rPr>
          <w:bCs/>
          <w:lang w:val="fr-FR"/>
        </w:rPr>
        <w:t xml:space="preserve"> s</w:t>
      </w:r>
      <w:r w:rsidR="00923E72">
        <w:rPr>
          <w:bCs/>
          <w:lang w:val="fr-FR"/>
        </w:rPr>
        <w:t>’</w:t>
      </w:r>
      <w:r w:rsidRPr="00CD22D9">
        <w:rPr>
          <w:bCs/>
          <w:lang w:val="fr-FR"/>
        </w:rPr>
        <w:t xml:space="preserve">est jointe à la condamnation de toutes les formes de racisme, de discrimination et de colonialisme dans les termes les plus fermes possibles. Malheureusement, les plaintes concernant le personnage du </w:t>
      </w:r>
      <w:r w:rsidR="00105269">
        <w:rPr>
          <w:bCs/>
          <w:lang w:val="fr-FR"/>
        </w:rPr>
        <w:t>« </w:t>
      </w:r>
      <w:r w:rsidRPr="00CD22D9">
        <w:rPr>
          <w:bCs/>
          <w:lang w:val="fr-FR"/>
        </w:rPr>
        <w:t>Sauvage</w:t>
      </w:r>
      <w:r w:rsidR="00105269">
        <w:rPr>
          <w:bCs/>
          <w:lang w:val="fr-FR"/>
        </w:rPr>
        <w:t> »</w:t>
      </w:r>
      <w:r w:rsidRPr="00CD22D9">
        <w:rPr>
          <w:bCs/>
          <w:lang w:val="fr-FR"/>
        </w:rPr>
        <w:t xml:space="preserve"> n</w:t>
      </w:r>
      <w:r w:rsidR="00923E72">
        <w:rPr>
          <w:bCs/>
          <w:lang w:val="fr-FR"/>
        </w:rPr>
        <w:t>’</w:t>
      </w:r>
      <w:r w:rsidRPr="00CD22D9">
        <w:rPr>
          <w:bCs/>
          <w:lang w:val="fr-FR"/>
        </w:rPr>
        <w:t>étaient pas isolées, car un certain nombre de manifestations récentes avaient été critiquées pour avoir affiché dans l</w:t>
      </w:r>
      <w:r w:rsidR="00923E72">
        <w:rPr>
          <w:bCs/>
          <w:lang w:val="fr-FR"/>
        </w:rPr>
        <w:t>’</w:t>
      </w:r>
      <w:r w:rsidRPr="00CD22D9">
        <w:rPr>
          <w:bCs/>
          <w:lang w:val="fr-FR"/>
        </w:rPr>
        <w:t xml:space="preserve">espace public des symboles pouvant être considérés comme des stéréotypes de groupes spécifiques. La présence du </w:t>
      </w:r>
      <w:r w:rsidR="00105269">
        <w:rPr>
          <w:bCs/>
          <w:lang w:val="fr-FR"/>
        </w:rPr>
        <w:t>« </w:t>
      </w:r>
      <w:r w:rsidRPr="00CD22D9">
        <w:rPr>
          <w:bCs/>
          <w:lang w:val="fr-FR"/>
        </w:rPr>
        <w:t>Sauvage</w:t>
      </w:r>
      <w:r w:rsidR="00105269">
        <w:rPr>
          <w:bCs/>
          <w:lang w:val="fr-FR"/>
        </w:rPr>
        <w:t> »</w:t>
      </w:r>
      <w:r w:rsidRPr="00CD22D9">
        <w:rPr>
          <w:bCs/>
          <w:lang w:val="fr-FR"/>
        </w:rPr>
        <w:t xml:space="preserve"> dans la manifestation de la Ducasse </w:t>
      </w:r>
      <w:r w:rsidRPr="00CD22D9">
        <w:rPr>
          <w:bCs/>
          <w:lang w:val="fr-FR"/>
        </w:rPr>
        <w:lastRenderedPageBreak/>
        <w:t>d</w:t>
      </w:r>
      <w:r w:rsidR="00923E72">
        <w:rPr>
          <w:bCs/>
          <w:lang w:val="fr-FR"/>
        </w:rPr>
        <w:t>’</w:t>
      </w:r>
      <w:r w:rsidRPr="00CD22D9">
        <w:rPr>
          <w:bCs/>
          <w:lang w:val="fr-FR"/>
        </w:rPr>
        <w:t>Ath évoqu</w:t>
      </w:r>
      <w:r w:rsidR="00105269">
        <w:rPr>
          <w:bCs/>
          <w:lang w:val="fr-FR"/>
        </w:rPr>
        <w:t>ait</w:t>
      </w:r>
      <w:r w:rsidRPr="00CD22D9">
        <w:rPr>
          <w:bCs/>
          <w:lang w:val="fr-FR"/>
        </w:rPr>
        <w:t xml:space="preserve"> des souvenirs historiques douloureux de l</w:t>
      </w:r>
      <w:r w:rsidR="00923E72">
        <w:rPr>
          <w:bCs/>
          <w:lang w:val="fr-FR"/>
        </w:rPr>
        <w:t>’</w:t>
      </w:r>
      <w:r w:rsidRPr="00CD22D9">
        <w:rPr>
          <w:bCs/>
          <w:lang w:val="fr-FR"/>
        </w:rPr>
        <w:t>esclavage des populations africaines et afro-américaines tout au long de la période moderne. La pratique de la violence physique et symbolique qui imprégnait ces expériences avait profondément marqué les relations coloniales établies entre l</w:t>
      </w:r>
      <w:r w:rsidR="00923E72">
        <w:rPr>
          <w:bCs/>
          <w:lang w:val="fr-FR"/>
        </w:rPr>
        <w:t>’</w:t>
      </w:r>
      <w:r w:rsidRPr="00CD22D9">
        <w:rPr>
          <w:bCs/>
          <w:lang w:val="fr-FR"/>
        </w:rPr>
        <w:t>Europe, l</w:t>
      </w:r>
      <w:r w:rsidR="00923E72">
        <w:rPr>
          <w:bCs/>
          <w:lang w:val="fr-FR"/>
        </w:rPr>
        <w:t>’</w:t>
      </w:r>
      <w:r w:rsidRPr="00CD22D9">
        <w:rPr>
          <w:bCs/>
          <w:lang w:val="fr-FR"/>
        </w:rPr>
        <w:t>Afrique et l</w:t>
      </w:r>
      <w:r w:rsidR="00923E72">
        <w:rPr>
          <w:bCs/>
          <w:lang w:val="fr-FR"/>
        </w:rPr>
        <w:t>’</w:t>
      </w:r>
      <w:r w:rsidRPr="00CD22D9">
        <w:rPr>
          <w:bCs/>
          <w:lang w:val="fr-FR"/>
        </w:rPr>
        <w:t>Amérique. Le Brésil estimait qu</w:t>
      </w:r>
      <w:r w:rsidR="00923E72">
        <w:rPr>
          <w:bCs/>
          <w:lang w:val="fr-FR"/>
        </w:rPr>
        <w:t>’</w:t>
      </w:r>
      <w:r w:rsidRPr="00CD22D9">
        <w:rPr>
          <w:bCs/>
          <w:lang w:val="fr-FR"/>
        </w:rPr>
        <w:t>il était urgent, pour l</w:t>
      </w:r>
      <w:r w:rsidR="00923E72">
        <w:rPr>
          <w:bCs/>
          <w:lang w:val="fr-FR"/>
        </w:rPr>
        <w:t>’</w:t>
      </w:r>
      <w:r w:rsidRPr="00CD22D9">
        <w:rPr>
          <w:bCs/>
          <w:lang w:val="fr-FR"/>
        </w:rPr>
        <w:t>avenir, que la Convention discute de la participation effective de la société civile et des mesures de lutte contre les pratiques culturelles associées au racisme. Pour ces raisons, le Brésil pensait que l</w:t>
      </w:r>
      <w:r w:rsidR="00923E72">
        <w:rPr>
          <w:bCs/>
          <w:lang w:val="fr-FR"/>
        </w:rPr>
        <w:t>’</w:t>
      </w:r>
      <w:r w:rsidRPr="00CD22D9">
        <w:rPr>
          <w:bCs/>
          <w:lang w:val="fr-FR"/>
        </w:rPr>
        <w:t>éducation au patrimoine devrait toujours être intégrée dans les plans de sauvegarde, car elle était essentielle pour promouvoir l</w:t>
      </w:r>
      <w:r w:rsidR="00923E72">
        <w:rPr>
          <w:bCs/>
          <w:lang w:val="fr-FR"/>
        </w:rPr>
        <w:t>’</w:t>
      </w:r>
      <w:r w:rsidRPr="00CD22D9">
        <w:rPr>
          <w:bCs/>
          <w:lang w:val="fr-FR"/>
        </w:rPr>
        <w:t>émergence de récits qui portent la voix des populations réduites au silence au fil du temps. Le Brésil était conscient du sérieux avec lequel le Secrétariat</w:t>
      </w:r>
      <w:r w:rsidR="008A5177">
        <w:rPr>
          <w:bCs/>
          <w:lang w:val="fr-FR"/>
        </w:rPr>
        <w:t>, de même que les autorités belges,</w:t>
      </w:r>
      <w:r w:rsidRPr="00CD22D9">
        <w:rPr>
          <w:bCs/>
          <w:lang w:val="fr-FR"/>
        </w:rPr>
        <w:t xml:space="preserve"> abordait cette question. Il était convaincu que le Gouvernement belge prenait toutes les mesures possibles pour éliminer les manifestations racistes. L</w:t>
      </w:r>
      <w:r w:rsidR="00923E72">
        <w:rPr>
          <w:bCs/>
          <w:lang w:val="fr-FR"/>
        </w:rPr>
        <w:t>’</w:t>
      </w:r>
      <w:r w:rsidRPr="00CD22D9">
        <w:rPr>
          <w:bCs/>
          <w:lang w:val="fr-FR"/>
        </w:rPr>
        <w:t>UNESCO, la Belgique et le Comité ne devaient pas craindre une éventuelle désinscription de l</w:t>
      </w:r>
      <w:r w:rsidR="00923E72">
        <w:rPr>
          <w:bCs/>
          <w:lang w:val="fr-FR"/>
        </w:rPr>
        <w:t>’</w:t>
      </w:r>
      <w:r w:rsidRPr="00CD22D9">
        <w:rPr>
          <w:bCs/>
          <w:lang w:val="fr-FR"/>
        </w:rPr>
        <w:t>élément. Ce serait un signe clair que nous avons appris une leçon importante, comme l</w:t>
      </w:r>
      <w:r w:rsidR="00923E72">
        <w:rPr>
          <w:bCs/>
          <w:lang w:val="fr-FR"/>
        </w:rPr>
        <w:t>’</w:t>
      </w:r>
      <w:r w:rsidRPr="00CD22D9">
        <w:rPr>
          <w:bCs/>
          <w:lang w:val="fr-FR"/>
        </w:rPr>
        <w:t>enseignait [l</w:t>
      </w:r>
      <w:r w:rsidR="00923E72">
        <w:rPr>
          <w:bCs/>
          <w:lang w:val="fr-FR"/>
        </w:rPr>
        <w:t>’</w:t>
      </w:r>
      <w:r w:rsidRPr="00CD22D9">
        <w:rPr>
          <w:bCs/>
          <w:lang w:val="fr-FR"/>
        </w:rPr>
        <w:t>activiste politique] Angela Davis,</w:t>
      </w:r>
      <w:r w:rsidR="008A5177">
        <w:rPr>
          <w:bCs/>
          <w:lang w:val="fr-FR"/>
        </w:rPr>
        <w:t xml:space="preserve"> qu</w:t>
      </w:r>
      <w:r w:rsidR="00923E72">
        <w:rPr>
          <w:bCs/>
          <w:lang w:val="fr-FR"/>
        </w:rPr>
        <w:t>’</w:t>
      </w:r>
      <w:r w:rsidRPr="00CD22D9">
        <w:rPr>
          <w:bCs/>
          <w:lang w:val="fr-FR"/>
        </w:rPr>
        <w:t>il ne suffisait jamais d</w:t>
      </w:r>
      <w:r w:rsidR="00923E72">
        <w:rPr>
          <w:bCs/>
          <w:lang w:val="fr-FR"/>
        </w:rPr>
        <w:t>’</w:t>
      </w:r>
      <w:r w:rsidRPr="00CD22D9">
        <w:rPr>
          <w:bCs/>
          <w:lang w:val="fr-FR"/>
        </w:rPr>
        <w:t>être non raciste</w:t>
      </w:r>
      <w:r w:rsidR="00105269">
        <w:rPr>
          <w:bCs/>
          <w:lang w:val="fr-FR"/>
        </w:rPr>
        <w:t>, n</w:t>
      </w:r>
      <w:r w:rsidRPr="00CD22D9">
        <w:rPr>
          <w:bCs/>
          <w:lang w:val="fr-FR"/>
        </w:rPr>
        <w:t>ous devions être antiracistes.</w:t>
      </w:r>
    </w:p>
    <w:p w14:paraId="7260020D" w14:textId="3ADBC97D" w:rsidR="00105269" w:rsidRDefault="00105269" w:rsidP="00AA7EE4">
      <w:pPr>
        <w:pStyle w:val="Orateurengris"/>
        <w:numPr>
          <w:ilvl w:val="0"/>
          <w:numId w:val="20"/>
        </w:numPr>
        <w:tabs>
          <w:tab w:val="clear" w:pos="567"/>
        </w:tabs>
        <w:spacing w:before="120"/>
        <w:ind w:left="709" w:hanging="709"/>
        <w:rPr>
          <w:bCs/>
          <w:lang w:val="fr-FR"/>
        </w:rPr>
      </w:pPr>
      <w:r w:rsidRPr="00105269">
        <w:rPr>
          <w:bCs/>
          <w:lang w:val="fr-FR"/>
        </w:rPr>
        <w:t xml:space="preserve">Le </w:t>
      </w:r>
      <w:r w:rsidRPr="00702497">
        <w:rPr>
          <w:b/>
          <w:lang w:val="fr-FR"/>
        </w:rPr>
        <w:t>Président</w:t>
      </w:r>
      <w:r w:rsidRPr="00105269">
        <w:rPr>
          <w:bCs/>
          <w:lang w:val="fr-FR"/>
        </w:rPr>
        <w:t xml:space="preserve"> a souscrit aux remarques du Brésil. Malheureusement, en</w:t>
      </w:r>
      <w:r w:rsidR="00246428">
        <w:rPr>
          <w:bCs/>
          <w:lang w:val="fr-FR"/>
        </w:rPr>
        <w:t> </w:t>
      </w:r>
      <w:r w:rsidRPr="00105269">
        <w:rPr>
          <w:bCs/>
          <w:lang w:val="fr-FR"/>
        </w:rPr>
        <w:t xml:space="preserve">2022 et depuis un certain temps, le monde assistait à une recrudescence de comportements racistes et discriminatoires. Comme </w:t>
      </w:r>
      <w:r w:rsidR="008A5177">
        <w:rPr>
          <w:bCs/>
          <w:lang w:val="fr-FR"/>
        </w:rPr>
        <w:t xml:space="preserve">suggéré par </w:t>
      </w:r>
      <w:r w:rsidRPr="00105269">
        <w:rPr>
          <w:bCs/>
          <w:lang w:val="fr-FR"/>
        </w:rPr>
        <w:t>la Suisse, le Comité,</w:t>
      </w:r>
      <w:r w:rsidR="001C3113">
        <w:rPr>
          <w:bCs/>
          <w:lang w:val="fr-FR"/>
        </w:rPr>
        <w:t xml:space="preserve"> </w:t>
      </w:r>
      <w:r w:rsidR="008A5177">
        <w:rPr>
          <w:bCs/>
          <w:lang w:val="fr-FR"/>
        </w:rPr>
        <w:t xml:space="preserve">présent </w:t>
      </w:r>
      <w:r w:rsidRPr="00105269">
        <w:rPr>
          <w:bCs/>
          <w:lang w:val="fr-FR"/>
        </w:rPr>
        <w:t>sur le sol africain, devrait adresser un message très fort depuis Rabat à ceux qui rejettent les autres dans la discrimination, le racisme et la négation des valeurs universelles.</w:t>
      </w:r>
    </w:p>
    <w:p w14:paraId="010DFBCA" w14:textId="6EC22206" w:rsidR="00105269" w:rsidRDefault="00105269" w:rsidP="00AA7EE4">
      <w:pPr>
        <w:pStyle w:val="Orateurengris"/>
        <w:numPr>
          <w:ilvl w:val="0"/>
          <w:numId w:val="20"/>
        </w:numPr>
        <w:tabs>
          <w:tab w:val="clear" w:pos="567"/>
        </w:tabs>
        <w:spacing w:before="120"/>
        <w:ind w:left="709" w:hanging="709"/>
        <w:rPr>
          <w:bCs/>
          <w:lang w:val="fr-FR"/>
        </w:rPr>
      </w:pPr>
      <w:r w:rsidRPr="00105269">
        <w:rPr>
          <w:bCs/>
          <w:lang w:val="fr-FR"/>
        </w:rPr>
        <w:t>La délégation de l</w:t>
      </w:r>
      <w:r w:rsidR="00923E72">
        <w:rPr>
          <w:bCs/>
          <w:lang w:val="fr-FR"/>
        </w:rPr>
        <w:t>’</w:t>
      </w:r>
      <w:r w:rsidRPr="00702497">
        <w:rPr>
          <w:b/>
          <w:lang w:val="fr-FR"/>
        </w:rPr>
        <w:t xml:space="preserve">Arabie saoudite </w:t>
      </w:r>
      <w:r w:rsidRPr="00105269">
        <w:rPr>
          <w:bCs/>
          <w:lang w:val="fr-FR"/>
        </w:rPr>
        <w:t>condamnait avec la plus grande fermeté toute manifestation de racisme. Ce personnage qui faisait partie du dossier, élément du patrimoine culturel immatériel, était indéniablement raciste. Si l</w:t>
      </w:r>
      <w:r w:rsidR="00923E72">
        <w:rPr>
          <w:bCs/>
          <w:lang w:val="fr-FR"/>
        </w:rPr>
        <w:t>’</w:t>
      </w:r>
      <w:r w:rsidRPr="00105269">
        <w:rPr>
          <w:bCs/>
          <w:lang w:val="fr-FR"/>
        </w:rPr>
        <w:t>on se référait à l</w:t>
      </w:r>
      <w:r w:rsidR="00923E72">
        <w:rPr>
          <w:bCs/>
          <w:lang w:val="fr-FR"/>
        </w:rPr>
        <w:t>’</w:t>
      </w:r>
      <w:r w:rsidRPr="00105269">
        <w:rPr>
          <w:bCs/>
          <w:lang w:val="fr-FR"/>
        </w:rPr>
        <w:t>année</w:t>
      </w:r>
      <w:r w:rsidR="009D7B41">
        <w:rPr>
          <w:bCs/>
          <w:lang w:val="fr-FR"/>
        </w:rPr>
        <w:t> </w:t>
      </w:r>
      <w:r w:rsidRPr="00105269">
        <w:rPr>
          <w:bCs/>
          <w:lang w:val="fr-FR"/>
        </w:rPr>
        <w:t>2022 et à la procession sous sa forme actuelle, il manifestait toujours du racisme. Par conséquent, il ne s</w:t>
      </w:r>
      <w:r w:rsidR="00923E72">
        <w:rPr>
          <w:bCs/>
          <w:lang w:val="fr-FR"/>
        </w:rPr>
        <w:t>’</w:t>
      </w:r>
      <w:r w:rsidRPr="00105269">
        <w:rPr>
          <w:bCs/>
          <w:lang w:val="fr-FR"/>
        </w:rPr>
        <w:t>agissait pas de patrimoine immatériel, ni au regard des critères ni au regard de la Convention, et aucun principe de</w:t>
      </w:r>
      <w:r w:rsidR="00A648FB">
        <w:rPr>
          <w:bCs/>
          <w:lang w:val="fr-FR"/>
        </w:rPr>
        <w:t>s</w:t>
      </w:r>
      <w:r w:rsidRPr="00105269">
        <w:rPr>
          <w:bCs/>
          <w:lang w:val="fr-FR"/>
        </w:rPr>
        <w:t xml:space="preserve"> droits de l</w:t>
      </w:r>
      <w:r w:rsidR="00923E72">
        <w:rPr>
          <w:bCs/>
          <w:lang w:val="fr-FR"/>
        </w:rPr>
        <w:t>’</w:t>
      </w:r>
      <w:r w:rsidRPr="00105269">
        <w:rPr>
          <w:bCs/>
          <w:lang w:val="fr-FR"/>
        </w:rPr>
        <w:t>homme et de respect ne permettait de conserver un tel personnage. La délégation, qui avait pris note des amendements du Botswana, a suggéré d</w:t>
      </w:r>
      <w:r w:rsidR="00923E72">
        <w:rPr>
          <w:bCs/>
          <w:lang w:val="fr-FR"/>
        </w:rPr>
        <w:t>’</w:t>
      </w:r>
      <w:r w:rsidRPr="00105269">
        <w:rPr>
          <w:bCs/>
          <w:lang w:val="fr-FR"/>
        </w:rPr>
        <w:t>afficher le projet de décision à l</w:t>
      </w:r>
      <w:r w:rsidR="00923E72">
        <w:rPr>
          <w:bCs/>
          <w:lang w:val="fr-FR"/>
        </w:rPr>
        <w:t>’</w:t>
      </w:r>
      <w:r w:rsidRPr="00105269">
        <w:rPr>
          <w:bCs/>
          <w:lang w:val="fr-FR"/>
        </w:rPr>
        <w:t>écran pour faciliter la discussion, car tout le monde était d</w:t>
      </w:r>
      <w:r w:rsidR="00923E72">
        <w:rPr>
          <w:bCs/>
          <w:lang w:val="fr-FR"/>
        </w:rPr>
        <w:t>’</w:t>
      </w:r>
      <w:r w:rsidRPr="00105269">
        <w:rPr>
          <w:bCs/>
          <w:lang w:val="fr-FR"/>
        </w:rPr>
        <w:t>accord.</w:t>
      </w:r>
    </w:p>
    <w:p w14:paraId="7ADD3801" w14:textId="2206ED30" w:rsidR="00A648FB" w:rsidRDefault="00A648FB"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indiqué que l</w:t>
      </w:r>
      <w:r w:rsidR="00923E72">
        <w:rPr>
          <w:bCs/>
          <w:lang w:val="fr-FR"/>
        </w:rPr>
        <w:t>’</w:t>
      </w:r>
      <w:r>
        <w:rPr>
          <w:bCs/>
          <w:lang w:val="fr-FR"/>
        </w:rPr>
        <w:t>Arabie saoudite avait proposé d</w:t>
      </w:r>
      <w:r w:rsidR="00923E72">
        <w:rPr>
          <w:bCs/>
          <w:lang w:val="fr-FR"/>
        </w:rPr>
        <w:t>’</w:t>
      </w:r>
      <w:r>
        <w:rPr>
          <w:bCs/>
          <w:lang w:val="fr-FR"/>
        </w:rPr>
        <w:t>afficher l</w:t>
      </w:r>
      <w:r w:rsidR="00923E72">
        <w:rPr>
          <w:bCs/>
          <w:lang w:val="fr-FR"/>
        </w:rPr>
        <w:t>’</w:t>
      </w:r>
      <w:r w:rsidRPr="00A648FB">
        <w:rPr>
          <w:bCs/>
          <w:lang w:val="fr-FR"/>
        </w:rPr>
        <w:t>amendemen</w:t>
      </w:r>
      <w:r>
        <w:rPr>
          <w:bCs/>
          <w:lang w:val="fr-FR"/>
        </w:rPr>
        <w:t>t, convenant qu</w:t>
      </w:r>
      <w:r w:rsidR="00923E72">
        <w:rPr>
          <w:bCs/>
          <w:lang w:val="fr-FR"/>
        </w:rPr>
        <w:t>’</w:t>
      </w:r>
      <w:r>
        <w:rPr>
          <w:bCs/>
          <w:lang w:val="fr-FR"/>
        </w:rPr>
        <w:t>il serait intéressant de présenter le projet d</w:t>
      </w:r>
      <w:r w:rsidR="00923E72">
        <w:rPr>
          <w:bCs/>
          <w:lang w:val="fr-FR"/>
        </w:rPr>
        <w:t>’</w:t>
      </w:r>
      <w:r w:rsidRPr="00A648FB">
        <w:rPr>
          <w:bCs/>
          <w:lang w:val="fr-FR"/>
        </w:rPr>
        <w:t>amendement</w:t>
      </w:r>
      <w:r>
        <w:rPr>
          <w:bCs/>
          <w:lang w:val="fr-FR"/>
        </w:rPr>
        <w:t xml:space="preserve"> présenté par le Botswana.</w:t>
      </w:r>
    </w:p>
    <w:p w14:paraId="7F890014" w14:textId="0E95F993" w:rsidR="00A648FB" w:rsidRDefault="00A648FB" w:rsidP="00AA7EE4">
      <w:pPr>
        <w:pStyle w:val="Orateurengris"/>
        <w:numPr>
          <w:ilvl w:val="0"/>
          <w:numId w:val="20"/>
        </w:numPr>
        <w:tabs>
          <w:tab w:val="clear" w:pos="567"/>
        </w:tabs>
        <w:spacing w:before="120"/>
        <w:ind w:left="709" w:hanging="709"/>
        <w:rPr>
          <w:bCs/>
          <w:lang w:val="fr-FR"/>
        </w:rPr>
      </w:pPr>
      <w:r w:rsidRPr="00A648FB">
        <w:rPr>
          <w:bCs/>
          <w:lang w:val="fr-FR"/>
        </w:rPr>
        <w:t xml:space="preserve">La délégation de la </w:t>
      </w:r>
      <w:r w:rsidRPr="00702497">
        <w:rPr>
          <w:b/>
          <w:lang w:val="fr-FR"/>
        </w:rPr>
        <w:t>Suède</w:t>
      </w:r>
      <w:r>
        <w:rPr>
          <w:bCs/>
          <w:lang w:val="fr-FR"/>
        </w:rPr>
        <w:t xml:space="preserve">, qui </w:t>
      </w:r>
      <w:r w:rsidRPr="00A648FB">
        <w:rPr>
          <w:bCs/>
          <w:lang w:val="fr-FR"/>
        </w:rPr>
        <w:t>s</w:t>
      </w:r>
      <w:r w:rsidR="00923E72">
        <w:rPr>
          <w:bCs/>
          <w:lang w:val="fr-FR"/>
        </w:rPr>
        <w:t>’</w:t>
      </w:r>
      <w:r w:rsidRPr="00A648FB">
        <w:rPr>
          <w:bCs/>
          <w:lang w:val="fr-FR"/>
        </w:rPr>
        <w:t>exprim</w:t>
      </w:r>
      <w:r>
        <w:rPr>
          <w:bCs/>
          <w:lang w:val="fr-FR"/>
        </w:rPr>
        <w:t>ait</w:t>
      </w:r>
      <w:r w:rsidRPr="00A648FB">
        <w:rPr>
          <w:bCs/>
          <w:lang w:val="fr-FR"/>
        </w:rPr>
        <w:t xml:space="preserve"> en tant que pays soutenant et croyant fermement en l</w:t>
      </w:r>
      <w:r w:rsidR="00923E72">
        <w:rPr>
          <w:bCs/>
          <w:lang w:val="fr-FR"/>
        </w:rPr>
        <w:t>’</w:t>
      </w:r>
      <w:r w:rsidRPr="00A648FB">
        <w:rPr>
          <w:bCs/>
          <w:lang w:val="fr-FR"/>
        </w:rPr>
        <w:t>esprit de l</w:t>
      </w:r>
      <w:r w:rsidR="00923E72">
        <w:rPr>
          <w:bCs/>
          <w:lang w:val="fr-FR"/>
        </w:rPr>
        <w:t>’</w:t>
      </w:r>
      <w:r w:rsidRPr="00A648FB">
        <w:rPr>
          <w:bCs/>
          <w:lang w:val="fr-FR"/>
        </w:rPr>
        <w:t>UNESCO, condamn</w:t>
      </w:r>
      <w:r>
        <w:rPr>
          <w:bCs/>
          <w:lang w:val="fr-FR"/>
        </w:rPr>
        <w:t>ait résolument</w:t>
      </w:r>
      <w:r w:rsidRPr="00A648FB">
        <w:rPr>
          <w:bCs/>
          <w:lang w:val="fr-FR"/>
        </w:rPr>
        <w:t xml:space="preserve"> le racisme et la discrimination sous toutes leurs formes, y compris le caractère raciste et discriminatoire affiché dans cette fête. Elle soutenait les déclarations sages et sincères des membres du Comité. Elle s</w:t>
      </w:r>
      <w:r w:rsidR="00923E72">
        <w:rPr>
          <w:bCs/>
          <w:lang w:val="fr-FR"/>
        </w:rPr>
        <w:t>’</w:t>
      </w:r>
      <w:r w:rsidRPr="00A648FB">
        <w:rPr>
          <w:bCs/>
          <w:lang w:val="fr-FR"/>
        </w:rPr>
        <w:t>est fait l</w:t>
      </w:r>
      <w:r w:rsidR="00923E72">
        <w:rPr>
          <w:bCs/>
          <w:lang w:val="fr-FR"/>
        </w:rPr>
        <w:t>’</w:t>
      </w:r>
      <w:r w:rsidRPr="00A648FB">
        <w:rPr>
          <w:bCs/>
          <w:lang w:val="fr-FR"/>
        </w:rPr>
        <w:t>écho de la question technique soulevée par le Pérou et attendait la réponse du Conseiller juridique.</w:t>
      </w:r>
    </w:p>
    <w:p w14:paraId="6D5D4C64" w14:textId="0128670F" w:rsidR="00A648FB" w:rsidRDefault="00A648FB" w:rsidP="00AA7EE4">
      <w:pPr>
        <w:pStyle w:val="Orateurengris"/>
        <w:numPr>
          <w:ilvl w:val="0"/>
          <w:numId w:val="20"/>
        </w:numPr>
        <w:tabs>
          <w:tab w:val="clear" w:pos="567"/>
        </w:tabs>
        <w:spacing w:before="120"/>
        <w:ind w:left="709" w:hanging="709"/>
        <w:rPr>
          <w:bCs/>
          <w:lang w:val="fr-FR"/>
        </w:rPr>
      </w:pPr>
      <w:r w:rsidRPr="00A648FB">
        <w:rPr>
          <w:bCs/>
          <w:lang w:val="fr-FR"/>
        </w:rPr>
        <w:t xml:space="preserve">La délégation du </w:t>
      </w:r>
      <w:r w:rsidRPr="00702497">
        <w:rPr>
          <w:b/>
          <w:lang w:val="fr-FR"/>
        </w:rPr>
        <w:t>Bangladesh</w:t>
      </w:r>
      <w:r w:rsidRPr="00A648FB">
        <w:rPr>
          <w:bCs/>
          <w:lang w:val="fr-FR"/>
        </w:rPr>
        <w:t xml:space="preserve"> condamnait fermement le racisme et la discrimination sous toutes leurs formes et manifestations. Elle avait écouté les membres du Comité et avait également pris note des points de vue exprimés par la Belgique. Le Comité appréciait la contribution continue de la Belgique à l</w:t>
      </w:r>
      <w:r w:rsidR="00923E72">
        <w:rPr>
          <w:bCs/>
          <w:lang w:val="fr-FR"/>
        </w:rPr>
        <w:t>’</w:t>
      </w:r>
      <w:r w:rsidRPr="00A648FB">
        <w:rPr>
          <w:bCs/>
          <w:lang w:val="fr-FR"/>
        </w:rPr>
        <w:t>enrichissement des valeurs communes mises en pratique par le biais du multilatéralisme. La délégation a également remercié le Sous</w:t>
      </w:r>
      <w:r w:rsidR="001C3113">
        <w:rPr>
          <w:bCs/>
          <w:lang w:val="fr-FR"/>
        </w:rPr>
        <w:noBreakHyphen/>
      </w:r>
      <w:r w:rsidRPr="00A648FB">
        <w:rPr>
          <w:bCs/>
          <w:lang w:val="fr-FR"/>
        </w:rPr>
        <w:t>Directeur général et le Secrétaire pour leurs éclaircissements. Le Botswana avait fait observer que nous n</w:t>
      </w:r>
      <w:r w:rsidR="00923E72">
        <w:rPr>
          <w:bCs/>
          <w:lang w:val="fr-FR"/>
        </w:rPr>
        <w:t>’</w:t>
      </w:r>
      <w:r w:rsidRPr="00A648FB">
        <w:rPr>
          <w:bCs/>
          <w:lang w:val="fr-FR"/>
        </w:rPr>
        <w:t>étions ni à l</w:t>
      </w:r>
      <w:r w:rsidR="00923E72">
        <w:rPr>
          <w:bCs/>
          <w:lang w:val="fr-FR"/>
        </w:rPr>
        <w:t>’</w:t>
      </w:r>
      <w:r w:rsidRPr="00A648FB">
        <w:rPr>
          <w:bCs/>
          <w:lang w:val="fr-FR"/>
        </w:rPr>
        <w:t>ère du colonialisme ni en train de parler d</w:t>
      </w:r>
      <w:r w:rsidR="00923E72">
        <w:rPr>
          <w:bCs/>
          <w:lang w:val="fr-FR"/>
        </w:rPr>
        <w:t>’</w:t>
      </w:r>
      <w:r w:rsidRPr="00A648FB">
        <w:rPr>
          <w:bCs/>
          <w:lang w:val="fr-FR"/>
        </w:rPr>
        <w:t>un État partie souffrant de la tyrannie de l</w:t>
      </w:r>
      <w:r w:rsidR="00923E72">
        <w:rPr>
          <w:bCs/>
          <w:lang w:val="fr-FR"/>
        </w:rPr>
        <w:t>’</w:t>
      </w:r>
      <w:r w:rsidRPr="00A648FB">
        <w:rPr>
          <w:bCs/>
          <w:lang w:val="fr-FR"/>
        </w:rPr>
        <w:t>autocratie. Le Comité débattait d</w:t>
      </w:r>
      <w:r w:rsidR="00923E72">
        <w:rPr>
          <w:bCs/>
          <w:lang w:val="fr-FR"/>
        </w:rPr>
        <w:t>’</w:t>
      </w:r>
      <w:r w:rsidRPr="00A648FB">
        <w:rPr>
          <w:bCs/>
          <w:lang w:val="fr-FR"/>
        </w:rPr>
        <w:t>un élément qui concernait une communauté qui avait été avertie et à qui on avait donné du temps pour rectifier ses pratiques, une communauté qui port</w:t>
      </w:r>
      <w:r w:rsidR="00585004">
        <w:rPr>
          <w:bCs/>
          <w:lang w:val="fr-FR"/>
        </w:rPr>
        <w:t>ait</w:t>
      </w:r>
      <w:r w:rsidRPr="00A648FB">
        <w:rPr>
          <w:bCs/>
          <w:lang w:val="fr-FR"/>
        </w:rPr>
        <w:t xml:space="preserve"> atteinte à la communauté plus large</w:t>
      </w:r>
      <w:r w:rsidR="00A17EEE">
        <w:rPr>
          <w:bCs/>
          <w:lang w:val="fr-FR"/>
        </w:rPr>
        <w:t>,</w:t>
      </w:r>
      <w:r w:rsidRPr="00A648FB">
        <w:rPr>
          <w:bCs/>
          <w:lang w:val="fr-FR"/>
        </w:rPr>
        <w:t xml:space="preserve"> à laquelle le Comité avait promis de sauvegarder sa culture. La réticence et l</w:t>
      </w:r>
      <w:r w:rsidR="00923E72">
        <w:rPr>
          <w:bCs/>
          <w:lang w:val="fr-FR"/>
        </w:rPr>
        <w:t>’</w:t>
      </w:r>
      <w:r w:rsidRPr="00A648FB">
        <w:rPr>
          <w:bCs/>
          <w:lang w:val="fr-FR"/>
        </w:rPr>
        <w:t>échec de la communauté à respecter l</w:t>
      </w:r>
      <w:r w:rsidR="00923E72">
        <w:rPr>
          <w:bCs/>
          <w:lang w:val="fr-FR"/>
        </w:rPr>
        <w:t>’</w:t>
      </w:r>
      <w:r w:rsidRPr="00A648FB">
        <w:rPr>
          <w:bCs/>
          <w:lang w:val="fr-FR"/>
        </w:rPr>
        <w:t>objectif de cette Convention exigeaient qu</w:t>
      </w:r>
      <w:r w:rsidR="00923E72">
        <w:rPr>
          <w:bCs/>
          <w:lang w:val="fr-FR"/>
        </w:rPr>
        <w:t>’</w:t>
      </w:r>
      <w:r w:rsidRPr="00A648FB">
        <w:rPr>
          <w:bCs/>
          <w:lang w:val="fr-FR"/>
        </w:rPr>
        <w:t xml:space="preserve">un message fort soit envoyé à cette communauté, tout en maintenant le caractère sacré de la Liste représentative. Le Comité avait cette responsabilité. </w:t>
      </w:r>
      <w:r w:rsidR="00A17EEE">
        <w:rPr>
          <w:bCs/>
          <w:lang w:val="fr-FR"/>
        </w:rPr>
        <w:t xml:space="preserve">La </w:t>
      </w:r>
      <w:r w:rsidR="00A17EEE" w:rsidRPr="00A17EEE">
        <w:rPr>
          <w:bCs/>
          <w:lang w:val="fr-FR"/>
        </w:rPr>
        <w:t>délégation</w:t>
      </w:r>
      <w:r w:rsidR="00A17EEE">
        <w:rPr>
          <w:bCs/>
          <w:lang w:val="fr-FR"/>
        </w:rPr>
        <w:t xml:space="preserve"> se demandait si l</w:t>
      </w:r>
      <w:r w:rsidR="00923E72">
        <w:rPr>
          <w:bCs/>
          <w:lang w:val="fr-FR"/>
        </w:rPr>
        <w:t>’</w:t>
      </w:r>
      <w:r w:rsidR="00A17EEE">
        <w:rPr>
          <w:bCs/>
          <w:lang w:val="fr-FR"/>
        </w:rPr>
        <w:t xml:space="preserve">on pouvait </w:t>
      </w:r>
      <w:r w:rsidRPr="00A648FB">
        <w:rPr>
          <w:bCs/>
          <w:lang w:val="fr-FR"/>
        </w:rPr>
        <w:t xml:space="preserve">parler de patrimoine culturel immatériel </w:t>
      </w:r>
      <w:r w:rsidR="00585004">
        <w:rPr>
          <w:bCs/>
          <w:lang w:val="fr-FR"/>
        </w:rPr>
        <w:t>à propos de cet élément</w:t>
      </w:r>
      <w:r w:rsidR="00A17EEE">
        <w:rPr>
          <w:bCs/>
          <w:lang w:val="fr-FR"/>
        </w:rPr>
        <w:t>,</w:t>
      </w:r>
      <w:r w:rsidR="00585004">
        <w:rPr>
          <w:bCs/>
          <w:lang w:val="fr-FR"/>
        </w:rPr>
        <w:t xml:space="preserve"> </w:t>
      </w:r>
      <w:r w:rsidR="00A17EEE">
        <w:rPr>
          <w:bCs/>
          <w:lang w:val="fr-FR"/>
        </w:rPr>
        <w:t xml:space="preserve">alors que </w:t>
      </w:r>
      <w:r w:rsidRPr="00A648FB">
        <w:rPr>
          <w:bCs/>
          <w:lang w:val="fr-FR"/>
        </w:rPr>
        <w:t>le partage du respect avec l</w:t>
      </w:r>
      <w:r w:rsidR="00923E72">
        <w:rPr>
          <w:bCs/>
          <w:lang w:val="fr-FR"/>
        </w:rPr>
        <w:t>’</w:t>
      </w:r>
      <w:r w:rsidRPr="00A648FB">
        <w:rPr>
          <w:bCs/>
          <w:lang w:val="fr-FR"/>
        </w:rPr>
        <w:t>humanité était l</w:t>
      </w:r>
      <w:r w:rsidR="00923E72">
        <w:rPr>
          <w:bCs/>
          <w:lang w:val="fr-FR"/>
        </w:rPr>
        <w:t>’</w:t>
      </w:r>
      <w:r w:rsidRPr="00A648FB">
        <w:rPr>
          <w:bCs/>
          <w:lang w:val="fr-FR"/>
        </w:rPr>
        <w:t>objectif ultime</w:t>
      </w:r>
      <w:r w:rsidR="00A17EEE">
        <w:rPr>
          <w:bCs/>
          <w:lang w:val="fr-FR"/>
        </w:rPr>
        <w:t>.</w:t>
      </w:r>
      <w:r w:rsidRPr="00A648FB">
        <w:rPr>
          <w:bCs/>
          <w:lang w:val="fr-FR"/>
        </w:rPr>
        <w:t xml:space="preserve"> </w:t>
      </w:r>
      <w:r w:rsidR="00A17EEE">
        <w:rPr>
          <w:bCs/>
          <w:lang w:val="fr-FR"/>
        </w:rPr>
        <w:t>Elle</w:t>
      </w:r>
      <w:r w:rsidRPr="00A648FB">
        <w:rPr>
          <w:bCs/>
          <w:lang w:val="fr-FR"/>
        </w:rPr>
        <w:t xml:space="preserve"> était entièrement d</w:t>
      </w:r>
      <w:r w:rsidR="00923E72">
        <w:rPr>
          <w:bCs/>
          <w:lang w:val="fr-FR"/>
        </w:rPr>
        <w:t>’</w:t>
      </w:r>
      <w:r w:rsidRPr="00A648FB">
        <w:rPr>
          <w:bCs/>
          <w:lang w:val="fr-FR"/>
        </w:rPr>
        <w:t xml:space="preserve">accord avec le Rwanda pour dire que si le </w:t>
      </w:r>
      <w:r w:rsidR="00585004">
        <w:rPr>
          <w:bCs/>
          <w:lang w:val="fr-FR"/>
        </w:rPr>
        <w:t>« </w:t>
      </w:r>
      <w:r w:rsidRPr="00A648FB">
        <w:rPr>
          <w:bCs/>
          <w:lang w:val="fr-FR"/>
        </w:rPr>
        <w:t>Sauvage</w:t>
      </w:r>
      <w:r w:rsidR="00585004">
        <w:rPr>
          <w:bCs/>
          <w:lang w:val="fr-FR"/>
        </w:rPr>
        <w:t> »</w:t>
      </w:r>
      <w:r w:rsidRPr="00A648FB">
        <w:rPr>
          <w:bCs/>
          <w:lang w:val="fr-FR"/>
        </w:rPr>
        <w:t xml:space="preserve"> avait été mentionné dans le dossier de candidature, l</w:t>
      </w:r>
      <w:r w:rsidR="00923E72">
        <w:rPr>
          <w:bCs/>
          <w:lang w:val="fr-FR"/>
        </w:rPr>
        <w:t>’</w:t>
      </w:r>
      <w:r w:rsidRPr="00A648FB">
        <w:rPr>
          <w:bCs/>
          <w:lang w:val="fr-FR"/>
        </w:rPr>
        <w:t>élément n</w:t>
      </w:r>
      <w:r w:rsidR="00923E72">
        <w:rPr>
          <w:bCs/>
          <w:lang w:val="fr-FR"/>
        </w:rPr>
        <w:t>’</w:t>
      </w:r>
      <w:r w:rsidRPr="00A648FB">
        <w:rPr>
          <w:bCs/>
          <w:lang w:val="fr-FR"/>
        </w:rPr>
        <w:t xml:space="preserve">aurait jamais </w:t>
      </w:r>
      <w:r w:rsidRPr="00A648FB">
        <w:rPr>
          <w:bCs/>
          <w:lang w:val="fr-FR"/>
        </w:rPr>
        <w:lastRenderedPageBreak/>
        <w:t>été inscrit par le Comité. Les épisodes sombres de l</w:t>
      </w:r>
      <w:r w:rsidR="00923E72">
        <w:rPr>
          <w:bCs/>
          <w:lang w:val="fr-FR"/>
        </w:rPr>
        <w:t>’</w:t>
      </w:r>
      <w:r w:rsidRPr="00A648FB">
        <w:rPr>
          <w:bCs/>
          <w:lang w:val="fr-FR"/>
        </w:rPr>
        <w:t>histoire ne pouvaient être changés, mais la célébration continue par la communauté avait compromis cette expérience d</w:t>
      </w:r>
      <w:r w:rsidR="00923E72">
        <w:rPr>
          <w:bCs/>
          <w:lang w:val="fr-FR"/>
        </w:rPr>
        <w:t>’</w:t>
      </w:r>
      <w:r w:rsidRPr="00A648FB">
        <w:rPr>
          <w:bCs/>
          <w:lang w:val="fr-FR"/>
        </w:rPr>
        <w:t>apprentissage de l</w:t>
      </w:r>
      <w:r w:rsidR="00923E72">
        <w:rPr>
          <w:bCs/>
          <w:lang w:val="fr-FR"/>
        </w:rPr>
        <w:t>’</w:t>
      </w:r>
      <w:r w:rsidRPr="00A648FB">
        <w:rPr>
          <w:bCs/>
          <w:lang w:val="fr-FR"/>
        </w:rPr>
        <w:t>histoire. Toutefois, le Comité pouvait créer une nouvelle histoire en retirant cet élément de la Liste représentative avec effet immédiat.</w:t>
      </w:r>
    </w:p>
    <w:p w14:paraId="49E838F6" w14:textId="55909CAB" w:rsidR="00585004" w:rsidRDefault="0090597A" w:rsidP="00AA7EE4">
      <w:pPr>
        <w:pStyle w:val="Orateurengris"/>
        <w:numPr>
          <w:ilvl w:val="0"/>
          <w:numId w:val="20"/>
        </w:numPr>
        <w:tabs>
          <w:tab w:val="clear" w:pos="567"/>
        </w:tabs>
        <w:spacing w:before="120"/>
        <w:ind w:left="709" w:hanging="709"/>
        <w:rPr>
          <w:bCs/>
          <w:lang w:val="fr-FR"/>
        </w:rPr>
      </w:pPr>
      <w:r w:rsidRPr="0090597A">
        <w:rPr>
          <w:bCs/>
          <w:lang w:val="fr-FR"/>
        </w:rPr>
        <w:t>La délégation de l</w:t>
      </w:r>
      <w:r w:rsidR="00923E72">
        <w:rPr>
          <w:bCs/>
          <w:lang w:val="fr-FR"/>
        </w:rPr>
        <w:t>’</w:t>
      </w:r>
      <w:r w:rsidRPr="00702497">
        <w:rPr>
          <w:b/>
          <w:lang w:val="fr-FR"/>
        </w:rPr>
        <w:t>Inde</w:t>
      </w:r>
      <w:r w:rsidRPr="0090597A">
        <w:rPr>
          <w:bCs/>
          <w:lang w:val="fr-FR"/>
        </w:rPr>
        <w:t xml:space="preserve"> était très solidaire de l</w:t>
      </w:r>
      <w:r w:rsidR="00923E72">
        <w:rPr>
          <w:bCs/>
          <w:lang w:val="fr-FR"/>
        </w:rPr>
        <w:t>’</w:t>
      </w:r>
      <w:r w:rsidRPr="0090597A">
        <w:rPr>
          <w:bCs/>
          <w:lang w:val="fr-FR"/>
        </w:rPr>
        <w:t>Afrique</w:t>
      </w:r>
      <w:r>
        <w:rPr>
          <w:bCs/>
          <w:lang w:val="fr-FR"/>
        </w:rPr>
        <w:t xml:space="preserve">, </w:t>
      </w:r>
      <w:r w:rsidRPr="0090597A">
        <w:rPr>
          <w:bCs/>
          <w:lang w:val="fr-FR"/>
        </w:rPr>
        <w:t>des principes de lutte contre le racisme et de</w:t>
      </w:r>
      <w:r>
        <w:rPr>
          <w:bCs/>
          <w:lang w:val="fr-FR"/>
        </w:rPr>
        <w:t>s principes de</w:t>
      </w:r>
      <w:r w:rsidRPr="0090597A">
        <w:rPr>
          <w:bCs/>
          <w:lang w:val="fr-FR"/>
        </w:rPr>
        <w:t xml:space="preserve"> </w:t>
      </w:r>
      <w:proofErr w:type="spellStart"/>
      <w:r w:rsidRPr="00702497">
        <w:rPr>
          <w:bCs/>
          <w:i/>
          <w:iCs/>
          <w:lang w:val="fr-FR"/>
        </w:rPr>
        <w:t>Vasudhaiva</w:t>
      </w:r>
      <w:proofErr w:type="spellEnd"/>
      <w:r w:rsidRPr="00702497">
        <w:rPr>
          <w:bCs/>
          <w:i/>
          <w:iCs/>
          <w:lang w:val="fr-FR"/>
        </w:rPr>
        <w:t xml:space="preserve"> </w:t>
      </w:r>
      <w:proofErr w:type="spellStart"/>
      <w:r w:rsidRPr="00702497">
        <w:rPr>
          <w:bCs/>
          <w:i/>
          <w:iCs/>
          <w:lang w:val="fr-FR"/>
        </w:rPr>
        <w:t>Kutumbakam</w:t>
      </w:r>
      <w:proofErr w:type="spellEnd"/>
      <w:r w:rsidRPr="0090597A">
        <w:rPr>
          <w:bCs/>
          <w:lang w:val="fr-FR"/>
        </w:rPr>
        <w:t xml:space="preserve">, </w:t>
      </w:r>
      <w:r>
        <w:rPr>
          <w:bCs/>
          <w:lang w:val="fr-FR"/>
        </w:rPr>
        <w:t>un</w:t>
      </w:r>
      <w:r w:rsidR="00DE6E75">
        <w:rPr>
          <w:bCs/>
          <w:lang w:val="fr-FR"/>
        </w:rPr>
        <w:t>e</w:t>
      </w:r>
      <w:r>
        <w:rPr>
          <w:bCs/>
          <w:lang w:val="fr-FR"/>
        </w:rPr>
        <w:t xml:space="preserve"> expression </w:t>
      </w:r>
      <w:r w:rsidRPr="0090597A">
        <w:rPr>
          <w:bCs/>
          <w:lang w:val="fr-FR"/>
        </w:rPr>
        <w:t>qui signifie que le monde est une seule et même famille. La délégation a déclaré à ceux qui regard</w:t>
      </w:r>
      <w:r>
        <w:rPr>
          <w:bCs/>
          <w:lang w:val="fr-FR"/>
        </w:rPr>
        <w:t>ai</w:t>
      </w:r>
      <w:r w:rsidRPr="0090597A">
        <w:rPr>
          <w:bCs/>
          <w:lang w:val="fr-FR"/>
        </w:rPr>
        <w:t xml:space="preserve">ent cette </w:t>
      </w:r>
      <w:r>
        <w:rPr>
          <w:bCs/>
          <w:lang w:val="fr-FR"/>
        </w:rPr>
        <w:t xml:space="preserve">retransmission </w:t>
      </w:r>
      <w:r w:rsidRPr="0090597A">
        <w:rPr>
          <w:bCs/>
          <w:lang w:val="fr-FR"/>
        </w:rPr>
        <w:t>dans le monde entier, aux jeunes hommes et femmes, aux enfants</w:t>
      </w:r>
      <w:r>
        <w:rPr>
          <w:bCs/>
          <w:lang w:val="fr-FR"/>
        </w:rPr>
        <w:t xml:space="preserve"> et </w:t>
      </w:r>
      <w:r w:rsidRPr="0090597A">
        <w:rPr>
          <w:bCs/>
          <w:lang w:val="fr-FR"/>
        </w:rPr>
        <w:t>à la prochaine génération, que le noir n</w:t>
      </w:r>
      <w:r w:rsidR="00923E72">
        <w:rPr>
          <w:bCs/>
          <w:lang w:val="fr-FR"/>
        </w:rPr>
        <w:t>’</w:t>
      </w:r>
      <w:r w:rsidRPr="0090597A">
        <w:rPr>
          <w:bCs/>
          <w:lang w:val="fr-FR"/>
        </w:rPr>
        <w:t>est pas sauvage</w:t>
      </w:r>
      <w:r>
        <w:rPr>
          <w:bCs/>
          <w:lang w:val="fr-FR"/>
        </w:rPr>
        <w:t>, qu</w:t>
      </w:r>
      <w:r w:rsidR="00923E72">
        <w:rPr>
          <w:bCs/>
          <w:lang w:val="fr-FR"/>
        </w:rPr>
        <w:t>’</w:t>
      </w:r>
      <w:r>
        <w:rPr>
          <w:bCs/>
          <w:lang w:val="fr-FR"/>
        </w:rPr>
        <w:t>ê</w:t>
      </w:r>
      <w:r w:rsidRPr="0090597A">
        <w:rPr>
          <w:bCs/>
          <w:lang w:val="fr-FR"/>
        </w:rPr>
        <w:t>tre noir c</w:t>
      </w:r>
      <w:r w:rsidR="00923E72">
        <w:rPr>
          <w:bCs/>
          <w:lang w:val="fr-FR"/>
        </w:rPr>
        <w:t>’</w:t>
      </w:r>
      <w:r w:rsidRPr="0090597A">
        <w:rPr>
          <w:bCs/>
          <w:lang w:val="fr-FR"/>
        </w:rPr>
        <w:t>est être beau</w:t>
      </w:r>
      <w:r>
        <w:rPr>
          <w:bCs/>
          <w:lang w:val="fr-FR"/>
        </w:rPr>
        <w:t>, et qu</w:t>
      </w:r>
      <w:r w:rsidR="00923E72">
        <w:rPr>
          <w:bCs/>
          <w:lang w:val="fr-FR"/>
        </w:rPr>
        <w:t>’</w:t>
      </w:r>
      <w:r>
        <w:rPr>
          <w:bCs/>
          <w:lang w:val="fr-FR"/>
        </w:rPr>
        <w:t>ê</w:t>
      </w:r>
      <w:r w:rsidRPr="0090597A">
        <w:rPr>
          <w:bCs/>
          <w:lang w:val="fr-FR"/>
        </w:rPr>
        <w:t>tre noir</w:t>
      </w:r>
      <w:r>
        <w:rPr>
          <w:bCs/>
          <w:lang w:val="fr-FR"/>
        </w:rPr>
        <w:t xml:space="preserve"> </w:t>
      </w:r>
      <w:r w:rsidRPr="0090597A">
        <w:rPr>
          <w:bCs/>
          <w:lang w:val="fr-FR"/>
        </w:rPr>
        <w:t>c</w:t>
      </w:r>
      <w:r w:rsidR="00923E72">
        <w:rPr>
          <w:bCs/>
          <w:lang w:val="fr-FR"/>
        </w:rPr>
        <w:t>’</w:t>
      </w:r>
      <w:r w:rsidRPr="0090597A">
        <w:rPr>
          <w:bCs/>
          <w:lang w:val="fr-FR"/>
        </w:rPr>
        <w:t>est être brillant et magnifique. Lorsque le premier homme sur Terre a</w:t>
      </w:r>
      <w:r>
        <w:rPr>
          <w:bCs/>
          <w:lang w:val="fr-FR"/>
        </w:rPr>
        <w:t>vait</w:t>
      </w:r>
      <w:r w:rsidRPr="0090597A">
        <w:rPr>
          <w:bCs/>
          <w:lang w:val="fr-FR"/>
        </w:rPr>
        <w:t xml:space="preserve"> levé la tête et regardé le ciel nocturne, celui-ci était noir. La couleur de l</w:t>
      </w:r>
      <w:r w:rsidR="00923E72">
        <w:rPr>
          <w:bCs/>
          <w:lang w:val="fr-FR"/>
        </w:rPr>
        <w:t>’</w:t>
      </w:r>
      <w:r w:rsidRPr="0090597A">
        <w:rPr>
          <w:bCs/>
          <w:lang w:val="fr-FR"/>
        </w:rPr>
        <w:t xml:space="preserve">univers </w:t>
      </w:r>
      <w:r>
        <w:rPr>
          <w:bCs/>
          <w:lang w:val="fr-FR"/>
        </w:rPr>
        <w:t xml:space="preserve">était </w:t>
      </w:r>
      <w:r w:rsidRPr="0090597A">
        <w:rPr>
          <w:bCs/>
          <w:lang w:val="fr-FR"/>
        </w:rPr>
        <w:t xml:space="preserve">le noir et, par conséquent, la divinité indienne de Krishna </w:t>
      </w:r>
      <w:r>
        <w:rPr>
          <w:bCs/>
          <w:lang w:val="fr-FR"/>
        </w:rPr>
        <w:t xml:space="preserve">était </w:t>
      </w:r>
      <w:r w:rsidRPr="0090597A">
        <w:rPr>
          <w:bCs/>
          <w:lang w:val="fr-FR"/>
        </w:rPr>
        <w:t xml:space="preserve">représentée comme étant noire. Nous </w:t>
      </w:r>
      <w:r>
        <w:rPr>
          <w:bCs/>
          <w:lang w:val="fr-FR"/>
        </w:rPr>
        <w:t xml:space="preserve">étions </w:t>
      </w:r>
      <w:r w:rsidRPr="0090597A">
        <w:rPr>
          <w:bCs/>
          <w:lang w:val="fr-FR"/>
        </w:rPr>
        <w:t>fiers d</w:t>
      </w:r>
      <w:r w:rsidR="00923E72">
        <w:rPr>
          <w:bCs/>
          <w:lang w:val="fr-FR"/>
        </w:rPr>
        <w:t>’</w:t>
      </w:r>
      <w:r w:rsidRPr="0090597A">
        <w:rPr>
          <w:bCs/>
          <w:lang w:val="fr-FR"/>
        </w:rPr>
        <w:t>être noirs. Nous n</w:t>
      </w:r>
      <w:r w:rsidR="00923E72">
        <w:rPr>
          <w:bCs/>
          <w:lang w:val="fr-FR"/>
        </w:rPr>
        <w:t>’</w:t>
      </w:r>
      <w:r w:rsidRPr="0090597A">
        <w:rPr>
          <w:bCs/>
          <w:lang w:val="fr-FR"/>
        </w:rPr>
        <w:t>en av</w:t>
      </w:r>
      <w:r>
        <w:rPr>
          <w:bCs/>
          <w:lang w:val="fr-FR"/>
        </w:rPr>
        <w:t>i</w:t>
      </w:r>
      <w:r w:rsidRPr="0090597A">
        <w:rPr>
          <w:bCs/>
          <w:lang w:val="fr-FR"/>
        </w:rPr>
        <w:t xml:space="preserve">ons pas honte parce que nous </w:t>
      </w:r>
      <w:r>
        <w:rPr>
          <w:bCs/>
          <w:lang w:val="fr-FR"/>
        </w:rPr>
        <w:t xml:space="preserve">étions </w:t>
      </w:r>
      <w:r w:rsidRPr="0090597A">
        <w:rPr>
          <w:bCs/>
          <w:lang w:val="fr-FR"/>
        </w:rPr>
        <w:t>beaux</w:t>
      </w:r>
      <w:r>
        <w:rPr>
          <w:bCs/>
          <w:lang w:val="fr-FR"/>
        </w:rPr>
        <w:t> </w:t>
      </w:r>
      <w:r w:rsidRPr="0090597A">
        <w:rPr>
          <w:bCs/>
          <w:lang w:val="fr-FR"/>
        </w:rPr>
        <w:t>! Toute représentation d</w:t>
      </w:r>
      <w:r w:rsidR="00923E72">
        <w:rPr>
          <w:bCs/>
          <w:lang w:val="fr-FR"/>
        </w:rPr>
        <w:t>’</w:t>
      </w:r>
      <w:r w:rsidRPr="0090597A">
        <w:rPr>
          <w:bCs/>
          <w:lang w:val="fr-FR"/>
        </w:rPr>
        <w:t xml:space="preserve">un homme noir </w:t>
      </w:r>
      <w:r w:rsidR="00B76D5D">
        <w:rPr>
          <w:bCs/>
          <w:lang w:val="fr-FR"/>
        </w:rPr>
        <w:t>sous la forme d</w:t>
      </w:r>
      <w:r w:rsidR="00923E72">
        <w:rPr>
          <w:bCs/>
          <w:lang w:val="fr-FR"/>
        </w:rPr>
        <w:t>’</w:t>
      </w:r>
      <w:r w:rsidRPr="0090597A">
        <w:rPr>
          <w:bCs/>
          <w:lang w:val="fr-FR"/>
        </w:rPr>
        <w:t xml:space="preserve">un sauvage enchaîné et embarqué sur un navire ne </w:t>
      </w:r>
      <w:r>
        <w:rPr>
          <w:bCs/>
          <w:lang w:val="fr-FR"/>
        </w:rPr>
        <w:t>saurait</w:t>
      </w:r>
      <w:r w:rsidRPr="0090597A">
        <w:rPr>
          <w:bCs/>
          <w:lang w:val="fr-FR"/>
        </w:rPr>
        <w:t xml:space="preserve"> trouver sa place dans aucune convention d</w:t>
      </w:r>
      <w:r w:rsidR="00923E72">
        <w:rPr>
          <w:bCs/>
          <w:lang w:val="fr-FR"/>
        </w:rPr>
        <w:t>’</w:t>
      </w:r>
      <w:r w:rsidRPr="0090597A">
        <w:rPr>
          <w:bCs/>
          <w:lang w:val="fr-FR"/>
        </w:rPr>
        <w:t>aucun pays au</w:t>
      </w:r>
      <w:r w:rsidR="00A17EEE">
        <w:rPr>
          <w:bCs/>
          <w:lang w:val="fr-FR"/>
        </w:rPr>
        <w:t> </w:t>
      </w:r>
      <w:r w:rsidRPr="0090597A">
        <w:rPr>
          <w:bCs/>
          <w:lang w:val="fr-FR"/>
        </w:rPr>
        <w:t>XXI</w:t>
      </w:r>
      <w:r w:rsidRPr="00702497">
        <w:rPr>
          <w:bCs/>
          <w:vertAlign w:val="superscript"/>
          <w:lang w:val="fr-FR"/>
        </w:rPr>
        <w:t>e</w:t>
      </w:r>
      <w:r w:rsidR="00A17EEE">
        <w:rPr>
          <w:bCs/>
          <w:lang w:val="fr-FR"/>
        </w:rPr>
        <w:t> </w:t>
      </w:r>
      <w:r w:rsidRPr="0090597A">
        <w:rPr>
          <w:bCs/>
          <w:lang w:val="fr-FR"/>
        </w:rPr>
        <w:t xml:space="preserve">siècle. Il </w:t>
      </w:r>
      <w:r w:rsidR="00B76D5D">
        <w:rPr>
          <w:bCs/>
          <w:lang w:val="fr-FR"/>
        </w:rPr>
        <w:t xml:space="preserve">était </w:t>
      </w:r>
      <w:r w:rsidRPr="0090597A">
        <w:rPr>
          <w:bCs/>
          <w:lang w:val="fr-FR"/>
        </w:rPr>
        <w:t>temps que cet élément particulier soit déraciné et jeté dans la poubelle de l</w:t>
      </w:r>
      <w:r w:rsidR="00923E72">
        <w:rPr>
          <w:bCs/>
          <w:lang w:val="fr-FR"/>
        </w:rPr>
        <w:t>’</w:t>
      </w:r>
      <w:r w:rsidRPr="0090597A">
        <w:rPr>
          <w:bCs/>
          <w:lang w:val="fr-FR"/>
        </w:rPr>
        <w:t>histoire</w:t>
      </w:r>
      <w:r w:rsidR="00B76D5D">
        <w:rPr>
          <w:bCs/>
          <w:lang w:val="fr-FR"/>
        </w:rPr>
        <w:t> </w:t>
      </w:r>
      <w:r w:rsidRPr="0090597A">
        <w:rPr>
          <w:bCs/>
          <w:lang w:val="fr-FR"/>
        </w:rPr>
        <w:t xml:space="preserve">! </w:t>
      </w:r>
      <w:r w:rsidR="00B74643">
        <w:rPr>
          <w:bCs/>
          <w:lang w:val="fr-FR"/>
        </w:rPr>
        <w:t xml:space="preserve">Il était impossible que </w:t>
      </w:r>
      <w:r w:rsidR="001C3113">
        <w:rPr>
          <w:bCs/>
          <w:lang w:val="fr-FR"/>
        </w:rPr>
        <w:t xml:space="preserve">nous </w:t>
      </w:r>
      <w:r w:rsidR="00B74643">
        <w:rPr>
          <w:bCs/>
          <w:lang w:val="fr-FR"/>
        </w:rPr>
        <w:t xml:space="preserve">ayons </w:t>
      </w:r>
      <w:r w:rsidRPr="0090597A">
        <w:rPr>
          <w:bCs/>
          <w:lang w:val="fr-FR"/>
        </w:rPr>
        <w:t xml:space="preserve">une deuxième discussion à ce sujet. </w:t>
      </w:r>
      <w:r w:rsidR="00B76D5D">
        <w:rPr>
          <w:bCs/>
          <w:lang w:val="fr-FR"/>
        </w:rPr>
        <w:t xml:space="preserve">La </w:t>
      </w:r>
      <w:r w:rsidR="00B76D5D" w:rsidRPr="00B76D5D">
        <w:rPr>
          <w:bCs/>
          <w:lang w:val="fr-FR"/>
        </w:rPr>
        <w:t>délégation</w:t>
      </w:r>
      <w:r w:rsidR="00B76D5D">
        <w:rPr>
          <w:bCs/>
          <w:lang w:val="fr-FR"/>
        </w:rPr>
        <w:t xml:space="preserve"> a rappelé que l</w:t>
      </w:r>
      <w:r w:rsidR="00923E72">
        <w:rPr>
          <w:bCs/>
          <w:lang w:val="fr-FR"/>
        </w:rPr>
        <w:t>’</w:t>
      </w:r>
      <w:r w:rsidRPr="0090597A">
        <w:rPr>
          <w:bCs/>
          <w:lang w:val="fr-FR"/>
        </w:rPr>
        <w:t>UNESCO</w:t>
      </w:r>
      <w:r w:rsidR="003B1AD1">
        <w:rPr>
          <w:bCs/>
          <w:lang w:val="fr-FR"/>
        </w:rPr>
        <w:t xml:space="preserve"> </w:t>
      </w:r>
      <w:r w:rsidR="00B76D5D">
        <w:rPr>
          <w:bCs/>
          <w:lang w:val="fr-FR"/>
        </w:rPr>
        <w:t xml:space="preserve">représente les </w:t>
      </w:r>
      <w:r w:rsidRPr="0090597A">
        <w:rPr>
          <w:bCs/>
          <w:lang w:val="fr-FR"/>
        </w:rPr>
        <w:t>Nations</w:t>
      </w:r>
      <w:r w:rsidR="003B1AD1">
        <w:rPr>
          <w:bCs/>
          <w:lang w:val="fr-FR"/>
        </w:rPr>
        <w:t> </w:t>
      </w:r>
      <w:r w:rsidR="00B76D5D">
        <w:rPr>
          <w:bCs/>
          <w:lang w:val="fr-FR"/>
        </w:rPr>
        <w:t>U</w:t>
      </w:r>
      <w:r w:rsidRPr="0090597A">
        <w:rPr>
          <w:bCs/>
          <w:lang w:val="fr-FR"/>
        </w:rPr>
        <w:t>nies</w:t>
      </w:r>
      <w:r w:rsidR="00B76D5D">
        <w:rPr>
          <w:bCs/>
          <w:lang w:val="fr-FR"/>
        </w:rPr>
        <w:t>, et que l</w:t>
      </w:r>
      <w:r w:rsidRPr="0090597A">
        <w:rPr>
          <w:bCs/>
          <w:lang w:val="fr-FR"/>
        </w:rPr>
        <w:t xml:space="preserve">e U de UNESCO signifie </w:t>
      </w:r>
      <w:r w:rsidR="00B76D5D" w:rsidRPr="00702497">
        <w:rPr>
          <w:bCs/>
          <w:i/>
          <w:iCs/>
          <w:lang w:val="fr-FR"/>
        </w:rPr>
        <w:t>Uni</w:t>
      </w:r>
      <w:r w:rsidR="00A17EEE" w:rsidRPr="00702497">
        <w:rPr>
          <w:bCs/>
          <w:i/>
          <w:iCs/>
          <w:lang w:val="fr-FR"/>
        </w:rPr>
        <w:t>ted</w:t>
      </w:r>
      <w:r w:rsidR="00A17EEE">
        <w:rPr>
          <w:bCs/>
          <w:lang w:val="fr-FR"/>
        </w:rPr>
        <w:t xml:space="preserve"> (Unies)</w:t>
      </w:r>
      <w:r w:rsidRPr="0090597A">
        <w:rPr>
          <w:bCs/>
          <w:lang w:val="fr-FR"/>
        </w:rPr>
        <w:t xml:space="preserve">. Indépendamment de la classe, de la caste, de la croyance, de la race ou de la religion, nous </w:t>
      </w:r>
      <w:r w:rsidR="003B1AD1">
        <w:rPr>
          <w:bCs/>
          <w:lang w:val="fr-FR"/>
        </w:rPr>
        <w:t xml:space="preserve">étions </w:t>
      </w:r>
      <w:r w:rsidRPr="0090597A">
        <w:rPr>
          <w:bCs/>
          <w:lang w:val="fr-FR"/>
        </w:rPr>
        <w:t>unis sur une même planète</w:t>
      </w:r>
      <w:r w:rsidR="003B1AD1">
        <w:rPr>
          <w:bCs/>
          <w:lang w:val="fr-FR"/>
        </w:rPr>
        <w:t>, n</w:t>
      </w:r>
      <w:r w:rsidRPr="0090597A">
        <w:rPr>
          <w:bCs/>
          <w:lang w:val="fr-FR"/>
        </w:rPr>
        <w:t xml:space="preserve">ous </w:t>
      </w:r>
      <w:r w:rsidR="003B1AD1">
        <w:rPr>
          <w:bCs/>
          <w:lang w:val="fr-FR"/>
        </w:rPr>
        <w:t xml:space="preserve">étions </w:t>
      </w:r>
      <w:r w:rsidRPr="0090597A">
        <w:rPr>
          <w:bCs/>
          <w:lang w:val="fr-FR"/>
        </w:rPr>
        <w:t>unis par un idéal</w:t>
      </w:r>
      <w:r w:rsidR="003B1AD1">
        <w:rPr>
          <w:bCs/>
          <w:lang w:val="fr-FR"/>
        </w:rPr>
        <w:t>, n</w:t>
      </w:r>
      <w:r w:rsidRPr="0090597A">
        <w:rPr>
          <w:bCs/>
          <w:lang w:val="fr-FR"/>
        </w:rPr>
        <w:t xml:space="preserve">ous </w:t>
      </w:r>
      <w:r w:rsidR="003B1AD1">
        <w:rPr>
          <w:bCs/>
          <w:lang w:val="fr-FR"/>
        </w:rPr>
        <w:t xml:space="preserve">étions </w:t>
      </w:r>
      <w:r w:rsidRPr="0090597A">
        <w:rPr>
          <w:bCs/>
          <w:lang w:val="fr-FR"/>
        </w:rPr>
        <w:t xml:space="preserve">unis par un principe et ce principe </w:t>
      </w:r>
      <w:r w:rsidR="003B1AD1">
        <w:rPr>
          <w:bCs/>
          <w:lang w:val="fr-FR"/>
        </w:rPr>
        <w:t>était</w:t>
      </w:r>
      <w:r w:rsidRPr="0090597A">
        <w:rPr>
          <w:bCs/>
          <w:lang w:val="fr-FR"/>
        </w:rPr>
        <w:t xml:space="preserve"> que le racisme sous toutes ses formes </w:t>
      </w:r>
      <w:r w:rsidR="003B1AD1">
        <w:rPr>
          <w:bCs/>
          <w:lang w:val="fr-FR"/>
        </w:rPr>
        <w:t xml:space="preserve">devait </w:t>
      </w:r>
      <w:r w:rsidRPr="0090597A">
        <w:rPr>
          <w:bCs/>
          <w:lang w:val="fr-FR"/>
        </w:rPr>
        <w:t>être supprimé, effacé</w:t>
      </w:r>
      <w:r w:rsidR="00B74643">
        <w:rPr>
          <w:bCs/>
          <w:lang w:val="fr-FR"/>
        </w:rPr>
        <w:t xml:space="preserve"> et</w:t>
      </w:r>
      <w:r w:rsidRPr="0090597A">
        <w:rPr>
          <w:bCs/>
          <w:lang w:val="fr-FR"/>
        </w:rPr>
        <w:t xml:space="preserve"> éradiqué des pensées, des mots, des actions</w:t>
      </w:r>
      <w:r w:rsidR="00B74643">
        <w:rPr>
          <w:bCs/>
          <w:lang w:val="fr-FR"/>
        </w:rPr>
        <w:t>, voire</w:t>
      </w:r>
      <w:r w:rsidRPr="0090597A">
        <w:rPr>
          <w:bCs/>
          <w:lang w:val="fr-FR"/>
        </w:rPr>
        <w:t xml:space="preserve"> de nos représentations culturelles. Pendant </w:t>
      </w:r>
      <w:r w:rsidR="003B1AD1">
        <w:rPr>
          <w:bCs/>
          <w:lang w:val="fr-FR"/>
        </w:rPr>
        <w:t>quinze</w:t>
      </w:r>
      <w:r w:rsidRPr="0090597A">
        <w:rPr>
          <w:bCs/>
          <w:lang w:val="fr-FR"/>
        </w:rPr>
        <w:t xml:space="preserve"> ans, une représentation aussi méprisable et dégoûtante a</w:t>
      </w:r>
      <w:r w:rsidR="003B1AD1">
        <w:rPr>
          <w:bCs/>
          <w:lang w:val="fr-FR"/>
        </w:rPr>
        <w:t>vait</w:t>
      </w:r>
      <w:r w:rsidRPr="0090597A">
        <w:rPr>
          <w:bCs/>
          <w:lang w:val="fr-FR"/>
        </w:rPr>
        <w:t xml:space="preserve"> été autorisée à exister sous la forme d</w:t>
      </w:r>
      <w:r w:rsidR="00923E72">
        <w:rPr>
          <w:bCs/>
          <w:lang w:val="fr-FR"/>
        </w:rPr>
        <w:t>’</w:t>
      </w:r>
      <w:r w:rsidRPr="0090597A">
        <w:rPr>
          <w:bCs/>
          <w:lang w:val="fr-FR"/>
        </w:rPr>
        <w:t>un patrimoine culturel immatériel de l</w:t>
      </w:r>
      <w:r w:rsidR="00923E72">
        <w:rPr>
          <w:bCs/>
          <w:lang w:val="fr-FR"/>
        </w:rPr>
        <w:t>’</w:t>
      </w:r>
      <w:r w:rsidRPr="0090597A">
        <w:rPr>
          <w:bCs/>
          <w:lang w:val="fr-FR"/>
        </w:rPr>
        <w:t>humanité. Ce n</w:t>
      </w:r>
      <w:r w:rsidR="00923E72">
        <w:rPr>
          <w:bCs/>
          <w:lang w:val="fr-FR"/>
        </w:rPr>
        <w:t>’</w:t>
      </w:r>
      <w:r w:rsidR="003B1AD1">
        <w:rPr>
          <w:bCs/>
          <w:lang w:val="fr-FR"/>
        </w:rPr>
        <w:t>était</w:t>
      </w:r>
      <w:r w:rsidRPr="0090597A">
        <w:rPr>
          <w:bCs/>
          <w:lang w:val="fr-FR"/>
        </w:rPr>
        <w:t xml:space="preserve"> pas de l</w:t>
      </w:r>
      <w:r w:rsidR="00923E72">
        <w:rPr>
          <w:bCs/>
          <w:lang w:val="fr-FR"/>
        </w:rPr>
        <w:t>’</w:t>
      </w:r>
      <w:r w:rsidRPr="0090597A">
        <w:rPr>
          <w:bCs/>
          <w:lang w:val="fr-FR"/>
        </w:rPr>
        <w:t>humanité</w:t>
      </w:r>
      <w:r w:rsidR="003B1AD1">
        <w:rPr>
          <w:bCs/>
          <w:lang w:val="fr-FR"/>
        </w:rPr>
        <w:t>, c</w:t>
      </w:r>
      <w:r w:rsidR="00923E72">
        <w:rPr>
          <w:bCs/>
          <w:lang w:val="fr-FR"/>
        </w:rPr>
        <w:t>’</w:t>
      </w:r>
      <w:r w:rsidR="003B1AD1">
        <w:rPr>
          <w:bCs/>
          <w:lang w:val="fr-FR"/>
        </w:rPr>
        <w:t>était</w:t>
      </w:r>
      <w:r w:rsidRPr="0090597A">
        <w:rPr>
          <w:bCs/>
          <w:lang w:val="fr-FR"/>
        </w:rPr>
        <w:t xml:space="preserve"> ignoble. Aucune forme d</w:t>
      </w:r>
      <w:r w:rsidR="00923E72">
        <w:rPr>
          <w:bCs/>
          <w:lang w:val="fr-FR"/>
        </w:rPr>
        <w:t>’</w:t>
      </w:r>
      <w:r w:rsidRPr="0090597A">
        <w:rPr>
          <w:bCs/>
          <w:lang w:val="fr-FR"/>
        </w:rPr>
        <w:t>explication ne p</w:t>
      </w:r>
      <w:r w:rsidR="003B1AD1">
        <w:rPr>
          <w:bCs/>
          <w:lang w:val="fr-FR"/>
        </w:rPr>
        <w:t>ouvai</w:t>
      </w:r>
      <w:r w:rsidRPr="0090597A">
        <w:rPr>
          <w:bCs/>
          <w:lang w:val="fr-FR"/>
        </w:rPr>
        <w:t>t être donnée au fait qu</w:t>
      </w:r>
      <w:r w:rsidR="00923E72">
        <w:rPr>
          <w:bCs/>
          <w:lang w:val="fr-FR"/>
        </w:rPr>
        <w:t>’</w:t>
      </w:r>
      <w:r w:rsidRPr="0090597A">
        <w:rPr>
          <w:bCs/>
          <w:lang w:val="fr-FR"/>
        </w:rPr>
        <w:t>un détenteur de poste politique particulier d</w:t>
      </w:r>
      <w:r w:rsidR="00923E72">
        <w:rPr>
          <w:bCs/>
          <w:lang w:val="fr-FR"/>
        </w:rPr>
        <w:t>’</w:t>
      </w:r>
      <w:r w:rsidRPr="0090597A">
        <w:rPr>
          <w:bCs/>
          <w:lang w:val="fr-FR"/>
        </w:rPr>
        <w:t>une petite région particulière refuse de l</w:t>
      </w:r>
      <w:r w:rsidR="003B1AD1">
        <w:rPr>
          <w:bCs/>
          <w:lang w:val="fr-FR"/>
        </w:rPr>
        <w:t>a retirer</w:t>
      </w:r>
      <w:r w:rsidRPr="0090597A">
        <w:rPr>
          <w:bCs/>
          <w:lang w:val="fr-FR"/>
        </w:rPr>
        <w:t xml:space="preserve">. </w:t>
      </w:r>
      <w:r w:rsidR="003B1AD1">
        <w:rPr>
          <w:bCs/>
          <w:lang w:val="fr-FR"/>
        </w:rPr>
        <w:t>Mais c</w:t>
      </w:r>
      <w:r w:rsidR="00923E72">
        <w:rPr>
          <w:bCs/>
          <w:lang w:val="fr-FR"/>
        </w:rPr>
        <w:t>’</w:t>
      </w:r>
      <w:r w:rsidR="003B1AD1">
        <w:rPr>
          <w:bCs/>
          <w:lang w:val="fr-FR"/>
        </w:rPr>
        <w:t>était notre voix</w:t>
      </w:r>
      <w:r w:rsidRPr="0090597A">
        <w:rPr>
          <w:bCs/>
          <w:lang w:val="fr-FR"/>
        </w:rPr>
        <w:t xml:space="preserve">, </w:t>
      </w:r>
      <w:r w:rsidR="003B1AD1">
        <w:rPr>
          <w:bCs/>
          <w:lang w:val="fr-FR"/>
        </w:rPr>
        <w:t>c</w:t>
      </w:r>
      <w:r w:rsidR="00923E72">
        <w:rPr>
          <w:bCs/>
          <w:lang w:val="fr-FR"/>
        </w:rPr>
        <w:t>’</w:t>
      </w:r>
      <w:r w:rsidR="003B1AD1">
        <w:rPr>
          <w:bCs/>
          <w:lang w:val="fr-FR"/>
        </w:rPr>
        <w:t>était</w:t>
      </w:r>
      <w:r w:rsidRPr="0090597A">
        <w:rPr>
          <w:bCs/>
          <w:lang w:val="fr-FR"/>
        </w:rPr>
        <w:t xml:space="preserve"> notre </w:t>
      </w:r>
      <w:r w:rsidR="003B1AD1">
        <w:rPr>
          <w:bCs/>
          <w:lang w:val="fr-FR"/>
        </w:rPr>
        <w:t>L</w:t>
      </w:r>
      <w:r w:rsidRPr="0090597A">
        <w:rPr>
          <w:bCs/>
          <w:lang w:val="fr-FR"/>
        </w:rPr>
        <w:t xml:space="preserve">iste représentative. Les États parties </w:t>
      </w:r>
      <w:r w:rsidR="003B1AD1">
        <w:rPr>
          <w:bCs/>
          <w:lang w:val="fr-FR"/>
        </w:rPr>
        <w:t xml:space="preserve">étaient </w:t>
      </w:r>
      <w:r w:rsidRPr="0090597A">
        <w:rPr>
          <w:bCs/>
          <w:lang w:val="fr-FR"/>
        </w:rPr>
        <w:t>signataires de la Convention. La délégation s</w:t>
      </w:r>
      <w:r w:rsidR="00923E72">
        <w:rPr>
          <w:bCs/>
          <w:lang w:val="fr-FR"/>
        </w:rPr>
        <w:t>’</w:t>
      </w:r>
      <w:r w:rsidRPr="0090597A">
        <w:rPr>
          <w:bCs/>
          <w:lang w:val="fr-FR"/>
        </w:rPr>
        <w:t>est réjouie de constater l</w:t>
      </w:r>
      <w:r w:rsidR="00923E72">
        <w:rPr>
          <w:bCs/>
          <w:lang w:val="fr-FR"/>
        </w:rPr>
        <w:t>’</w:t>
      </w:r>
      <w:r w:rsidRPr="0090597A">
        <w:rPr>
          <w:bCs/>
          <w:lang w:val="fr-FR"/>
        </w:rPr>
        <w:t>accord entre les nations</w:t>
      </w:r>
      <w:r w:rsidR="00B74643">
        <w:rPr>
          <w:bCs/>
          <w:lang w:val="fr-FR"/>
        </w:rPr>
        <w:t>, au-delà des</w:t>
      </w:r>
      <w:r w:rsidRPr="0090597A">
        <w:rPr>
          <w:bCs/>
          <w:lang w:val="fr-FR"/>
        </w:rPr>
        <w:t xml:space="preserve"> frontières géographiques, qu</w:t>
      </w:r>
      <w:r w:rsidR="00923E72">
        <w:rPr>
          <w:bCs/>
          <w:lang w:val="fr-FR"/>
        </w:rPr>
        <w:t>’</w:t>
      </w:r>
      <w:r w:rsidRPr="0090597A">
        <w:rPr>
          <w:bCs/>
          <w:lang w:val="fr-FR"/>
        </w:rPr>
        <w:t>il s</w:t>
      </w:r>
      <w:r w:rsidR="00923E72">
        <w:rPr>
          <w:bCs/>
          <w:lang w:val="fr-FR"/>
        </w:rPr>
        <w:t>’</w:t>
      </w:r>
      <w:r w:rsidRPr="0090597A">
        <w:rPr>
          <w:bCs/>
          <w:lang w:val="fr-FR"/>
        </w:rPr>
        <w:t>agisse de la Suisse, de l</w:t>
      </w:r>
      <w:r w:rsidR="00923E72">
        <w:rPr>
          <w:bCs/>
          <w:lang w:val="fr-FR"/>
        </w:rPr>
        <w:t>’</w:t>
      </w:r>
      <w:r w:rsidRPr="0090597A">
        <w:rPr>
          <w:bCs/>
          <w:lang w:val="fr-FR"/>
        </w:rPr>
        <w:t>Allemagne, du Botswana ou de l</w:t>
      </w:r>
      <w:r w:rsidR="00923E72">
        <w:rPr>
          <w:bCs/>
          <w:lang w:val="fr-FR"/>
        </w:rPr>
        <w:t>’</w:t>
      </w:r>
      <w:r w:rsidRPr="0090597A">
        <w:rPr>
          <w:bCs/>
          <w:lang w:val="fr-FR"/>
        </w:rPr>
        <w:t>Arabie</w:t>
      </w:r>
      <w:r w:rsidR="00B74643">
        <w:rPr>
          <w:bCs/>
          <w:lang w:val="fr-FR"/>
        </w:rPr>
        <w:t> </w:t>
      </w:r>
      <w:r w:rsidR="003B1AD1">
        <w:rPr>
          <w:bCs/>
          <w:lang w:val="fr-FR"/>
        </w:rPr>
        <w:t>s</w:t>
      </w:r>
      <w:r w:rsidRPr="0090597A">
        <w:rPr>
          <w:bCs/>
          <w:lang w:val="fr-FR"/>
        </w:rPr>
        <w:t xml:space="preserve">aoudite. Le monde </w:t>
      </w:r>
      <w:r w:rsidR="003B1AD1">
        <w:rPr>
          <w:bCs/>
          <w:lang w:val="fr-FR"/>
        </w:rPr>
        <w:t>s</w:t>
      </w:r>
      <w:r w:rsidR="00923E72">
        <w:rPr>
          <w:bCs/>
          <w:lang w:val="fr-FR"/>
        </w:rPr>
        <w:t>’</w:t>
      </w:r>
      <w:r w:rsidR="003B1AD1">
        <w:rPr>
          <w:bCs/>
          <w:lang w:val="fr-FR"/>
        </w:rPr>
        <w:t xml:space="preserve">était réuni </w:t>
      </w:r>
      <w:r w:rsidRPr="0090597A">
        <w:rPr>
          <w:bCs/>
          <w:lang w:val="fr-FR"/>
        </w:rPr>
        <w:t>aujourd</w:t>
      </w:r>
      <w:r w:rsidR="00923E72">
        <w:rPr>
          <w:bCs/>
          <w:lang w:val="fr-FR"/>
        </w:rPr>
        <w:t>’</w:t>
      </w:r>
      <w:r w:rsidRPr="0090597A">
        <w:rPr>
          <w:bCs/>
          <w:lang w:val="fr-FR"/>
        </w:rPr>
        <w:t>hui et reje</w:t>
      </w:r>
      <w:r w:rsidR="003B1AD1">
        <w:rPr>
          <w:bCs/>
          <w:lang w:val="fr-FR"/>
        </w:rPr>
        <w:t>tait</w:t>
      </w:r>
      <w:r w:rsidRPr="0090597A">
        <w:rPr>
          <w:bCs/>
          <w:lang w:val="fr-FR"/>
        </w:rPr>
        <w:t xml:space="preserve"> l</w:t>
      </w:r>
      <w:r w:rsidR="00923E72">
        <w:rPr>
          <w:bCs/>
          <w:lang w:val="fr-FR"/>
        </w:rPr>
        <w:t>’</w:t>
      </w:r>
      <w:r w:rsidRPr="0090597A">
        <w:rPr>
          <w:bCs/>
          <w:lang w:val="fr-FR"/>
        </w:rPr>
        <w:t xml:space="preserve">élément. Elle </w:t>
      </w:r>
      <w:r w:rsidR="003B1AD1">
        <w:rPr>
          <w:bCs/>
          <w:lang w:val="fr-FR"/>
        </w:rPr>
        <w:t xml:space="preserve">a </w:t>
      </w:r>
      <w:r w:rsidRPr="0090597A">
        <w:rPr>
          <w:bCs/>
          <w:lang w:val="fr-FR"/>
        </w:rPr>
        <w:t>salu</w:t>
      </w:r>
      <w:r w:rsidR="003B1AD1">
        <w:rPr>
          <w:bCs/>
          <w:lang w:val="fr-FR"/>
        </w:rPr>
        <w:t>é</w:t>
      </w:r>
      <w:r w:rsidRPr="0090597A">
        <w:rPr>
          <w:bCs/>
          <w:lang w:val="fr-FR"/>
        </w:rPr>
        <w:t xml:space="preserve"> la famille de l</w:t>
      </w:r>
      <w:r w:rsidR="00923E72">
        <w:rPr>
          <w:bCs/>
          <w:lang w:val="fr-FR"/>
        </w:rPr>
        <w:t>’</w:t>
      </w:r>
      <w:r w:rsidRPr="0090597A">
        <w:rPr>
          <w:bCs/>
          <w:lang w:val="fr-FR"/>
        </w:rPr>
        <w:t>UNESCO et esp</w:t>
      </w:r>
      <w:r w:rsidR="003B1AD1">
        <w:rPr>
          <w:bCs/>
          <w:lang w:val="fr-FR"/>
        </w:rPr>
        <w:t>érait</w:t>
      </w:r>
      <w:r w:rsidRPr="0090597A">
        <w:rPr>
          <w:bCs/>
          <w:lang w:val="fr-FR"/>
        </w:rPr>
        <w:t xml:space="preserve"> qu</w:t>
      </w:r>
      <w:r w:rsidR="00923E72">
        <w:rPr>
          <w:bCs/>
          <w:lang w:val="fr-FR"/>
        </w:rPr>
        <w:t>’</w:t>
      </w:r>
      <w:r w:rsidRPr="0090597A">
        <w:rPr>
          <w:bCs/>
          <w:lang w:val="fr-FR"/>
        </w:rPr>
        <w:t>une décision historique émergera</w:t>
      </w:r>
      <w:r w:rsidR="003B1AD1">
        <w:rPr>
          <w:bCs/>
          <w:lang w:val="fr-FR"/>
        </w:rPr>
        <w:t>it</w:t>
      </w:r>
      <w:r w:rsidRPr="0090597A">
        <w:rPr>
          <w:bCs/>
          <w:lang w:val="fr-FR"/>
        </w:rPr>
        <w:t xml:space="preserve"> </w:t>
      </w:r>
      <w:r w:rsidR="00B74643">
        <w:rPr>
          <w:bCs/>
          <w:lang w:val="fr-FR"/>
        </w:rPr>
        <w:t xml:space="preserve">ici, </w:t>
      </w:r>
      <w:r w:rsidR="003B1AD1">
        <w:rPr>
          <w:bCs/>
          <w:lang w:val="fr-FR"/>
        </w:rPr>
        <w:t>sur le</w:t>
      </w:r>
      <w:r w:rsidRPr="0090597A">
        <w:rPr>
          <w:bCs/>
          <w:lang w:val="fr-FR"/>
        </w:rPr>
        <w:t xml:space="preserve"> sol marocain. Le Maroc </w:t>
      </w:r>
      <w:r w:rsidR="003B1AD1">
        <w:rPr>
          <w:bCs/>
          <w:lang w:val="fr-FR"/>
        </w:rPr>
        <w:t xml:space="preserve">était </w:t>
      </w:r>
      <w:r w:rsidRPr="0090597A">
        <w:rPr>
          <w:bCs/>
          <w:lang w:val="fr-FR"/>
        </w:rPr>
        <w:t>l</w:t>
      </w:r>
      <w:r w:rsidR="00923E72">
        <w:rPr>
          <w:bCs/>
          <w:lang w:val="fr-FR"/>
        </w:rPr>
        <w:t>’</w:t>
      </w:r>
      <w:r w:rsidRPr="0090597A">
        <w:rPr>
          <w:bCs/>
          <w:lang w:val="fr-FR"/>
        </w:rPr>
        <w:t xml:space="preserve">Afrique et </w:t>
      </w:r>
      <w:r w:rsidR="003B1AD1">
        <w:rPr>
          <w:bCs/>
          <w:lang w:val="fr-FR"/>
        </w:rPr>
        <w:t>c</w:t>
      </w:r>
      <w:r w:rsidR="00923E72">
        <w:rPr>
          <w:bCs/>
          <w:lang w:val="fr-FR"/>
        </w:rPr>
        <w:t>’</w:t>
      </w:r>
      <w:r w:rsidR="003B1AD1">
        <w:rPr>
          <w:bCs/>
          <w:lang w:val="fr-FR"/>
        </w:rPr>
        <w:t xml:space="preserve">était </w:t>
      </w:r>
      <w:r w:rsidRPr="0090597A">
        <w:rPr>
          <w:bCs/>
          <w:lang w:val="fr-FR"/>
        </w:rPr>
        <w:t xml:space="preserve">merveilleux que ce soit sur le continent africain que cette décision historique </w:t>
      </w:r>
      <w:r w:rsidR="003B1AD1">
        <w:rPr>
          <w:bCs/>
          <w:lang w:val="fr-FR"/>
        </w:rPr>
        <w:t xml:space="preserve">soit </w:t>
      </w:r>
      <w:r w:rsidRPr="0090597A">
        <w:rPr>
          <w:bCs/>
          <w:lang w:val="fr-FR"/>
        </w:rPr>
        <w:t>prise. La délégation a félicité le Sous</w:t>
      </w:r>
      <w:r w:rsidR="003B1AD1">
        <w:rPr>
          <w:bCs/>
          <w:lang w:val="fr-FR"/>
        </w:rPr>
        <w:noBreakHyphen/>
      </w:r>
      <w:r w:rsidRPr="0090597A">
        <w:rPr>
          <w:bCs/>
          <w:lang w:val="fr-FR"/>
        </w:rPr>
        <w:t>Directeur général</w:t>
      </w:r>
      <w:r w:rsidR="00B74643">
        <w:rPr>
          <w:bCs/>
          <w:lang w:val="fr-FR"/>
        </w:rPr>
        <w:t xml:space="preserve"> de nous avoir expliqué comment </w:t>
      </w:r>
      <w:r w:rsidRPr="0090597A">
        <w:rPr>
          <w:bCs/>
          <w:lang w:val="fr-FR"/>
        </w:rPr>
        <w:t>cet élément méprisable</w:t>
      </w:r>
      <w:r w:rsidR="00B74643">
        <w:rPr>
          <w:bCs/>
          <w:lang w:val="fr-FR"/>
        </w:rPr>
        <w:t xml:space="preserve"> avait pu exister.</w:t>
      </w:r>
    </w:p>
    <w:p w14:paraId="178599B6" w14:textId="27D73014" w:rsidR="00B74643" w:rsidRDefault="00B74643" w:rsidP="00AA7EE4">
      <w:pPr>
        <w:pStyle w:val="Orateurengris"/>
        <w:numPr>
          <w:ilvl w:val="0"/>
          <w:numId w:val="20"/>
        </w:numPr>
        <w:tabs>
          <w:tab w:val="clear" w:pos="567"/>
        </w:tabs>
        <w:spacing w:before="120"/>
        <w:ind w:left="709" w:hanging="709"/>
        <w:rPr>
          <w:bCs/>
          <w:lang w:val="fr-FR"/>
        </w:rPr>
      </w:pPr>
      <w:r w:rsidRPr="00B74643">
        <w:rPr>
          <w:bCs/>
          <w:lang w:val="fr-FR"/>
        </w:rPr>
        <w:t xml:space="preserve">Après une pause de </w:t>
      </w:r>
      <w:r>
        <w:rPr>
          <w:bCs/>
          <w:lang w:val="fr-FR"/>
        </w:rPr>
        <w:t>deux</w:t>
      </w:r>
      <w:r w:rsidRPr="00B74643">
        <w:rPr>
          <w:bCs/>
          <w:lang w:val="fr-FR"/>
        </w:rPr>
        <w:t xml:space="preserve"> minutes marquée par un moment d</w:t>
      </w:r>
      <w:r w:rsidR="00923E72">
        <w:rPr>
          <w:bCs/>
          <w:lang w:val="fr-FR"/>
        </w:rPr>
        <w:t>’</w:t>
      </w:r>
      <w:r w:rsidRPr="00B74643">
        <w:rPr>
          <w:bCs/>
          <w:lang w:val="fr-FR"/>
        </w:rPr>
        <w:t xml:space="preserve">émotion, le </w:t>
      </w:r>
      <w:r w:rsidRPr="00702497">
        <w:rPr>
          <w:b/>
          <w:lang w:val="fr-FR"/>
        </w:rPr>
        <w:t>Président</w:t>
      </w:r>
      <w:r w:rsidRPr="00B74643">
        <w:rPr>
          <w:bCs/>
          <w:lang w:val="fr-FR"/>
        </w:rPr>
        <w:t xml:space="preserve"> </w:t>
      </w:r>
      <w:r>
        <w:rPr>
          <w:bCs/>
          <w:lang w:val="fr-FR"/>
        </w:rPr>
        <w:t xml:space="preserve">a </w:t>
      </w:r>
      <w:r w:rsidRPr="00B74643">
        <w:rPr>
          <w:bCs/>
          <w:lang w:val="fr-FR"/>
        </w:rPr>
        <w:t>invit</w:t>
      </w:r>
      <w:r>
        <w:rPr>
          <w:bCs/>
          <w:lang w:val="fr-FR"/>
        </w:rPr>
        <w:t>é</w:t>
      </w:r>
      <w:r w:rsidRPr="00B74643">
        <w:rPr>
          <w:bCs/>
          <w:lang w:val="fr-FR"/>
        </w:rPr>
        <w:t xml:space="preserve"> la Malaisie à prendre la parole.</w:t>
      </w:r>
    </w:p>
    <w:p w14:paraId="63495BC9" w14:textId="308C0A1E" w:rsidR="00B74643" w:rsidRDefault="00B74643" w:rsidP="00AA7EE4">
      <w:pPr>
        <w:pStyle w:val="Orateurengris"/>
        <w:numPr>
          <w:ilvl w:val="0"/>
          <w:numId w:val="20"/>
        </w:numPr>
        <w:tabs>
          <w:tab w:val="clear" w:pos="567"/>
        </w:tabs>
        <w:spacing w:before="120"/>
        <w:ind w:left="709" w:hanging="709"/>
        <w:rPr>
          <w:bCs/>
          <w:lang w:val="fr-FR"/>
        </w:rPr>
      </w:pPr>
      <w:r w:rsidRPr="00B74643">
        <w:rPr>
          <w:bCs/>
          <w:lang w:val="fr-FR"/>
        </w:rPr>
        <w:t xml:space="preserve">La délégation de la </w:t>
      </w:r>
      <w:r w:rsidRPr="00702497">
        <w:rPr>
          <w:b/>
          <w:lang w:val="fr-FR"/>
        </w:rPr>
        <w:t>Malaisie</w:t>
      </w:r>
      <w:r w:rsidRPr="00B74643">
        <w:rPr>
          <w:bCs/>
          <w:lang w:val="fr-FR"/>
        </w:rPr>
        <w:t xml:space="preserve"> croyait fermement que la culture et les traditions devaient être préservées, chéries et respectées en vue d</w:t>
      </w:r>
      <w:r w:rsidR="00923E72">
        <w:rPr>
          <w:bCs/>
          <w:lang w:val="fr-FR"/>
        </w:rPr>
        <w:t>’</w:t>
      </w:r>
      <w:r w:rsidRPr="00B74643">
        <w:rPr>
          <w:bCs/>
          <w:lang w:val="fr-FR"/>
        </w:rPr>
        <w:t>une paix et d</w:t>
      </w:r>
      <w:r w:rsidR="00923E72">
        <w:rPr>
          <w:bCs/>
          <w:lang w:val="fr-FR"/>
        </w:rPr>
        <w:t>’</w:t>
      </w:r>
      <w:r w:rsidRPr="00B74643">
        <w:rPr>
          <w:bCs/>
          <w:lang w:val="fr-FR"/>
        </w:rPr>
        <w:t>une harmonie durables. La Malaisie condamnait toute forme de racisme et de discrimination</w:t>
      </w:r>
      <w:r w:rsidR="00C15A19">
        <w:rPr>
          <w:bCs/>
          <w:lang w:val="fr-FR"/>
        </w:rPr>
        <w:t>,</w:t>
      </w:r>
      <w:r w:rsidRPr="00B74643">
        <w:rPr>
          <w:bCs/>
          <w:lang w:val="fr-FR"/>
        </w:rPr>
        <w:t xml:space="preserve"> qui étai</w:t>
      </w:r>
      <w:r w:rsidR="001C3113">
        <w:rPr>
          <w:bCs/>
          <w:lang w:val="fr-FR"/>
        </w:rPr>
        <w:t>t</w:t>
      </w:r>
      <w:r w:rsidRPr="00B74643">
        <w:rPr>
          <w:bCs/>
          <w:lang w:val="fr-FR"/>
        </w:rPr>
        <w:t xml:space="preserve"> totalement inacceptable. Les pratiques considérées comme </w:t>
      </w:r>
      <w:r w:rsidR="00A17EEE">
        <w:rPr>
          <w:bCs/>
          <w:lang w:val="fr-FR"/>
        </w:rPr>
        <w:t xml:space="preserve">encourageant </w:t>
      </w:r>
      <w:r w:rsidRPr="00B74643">
        <w:rPr>
          <w:bCs/>
          <w:lang w:val="fr-FR"/>
        </w:rPr>
        <w:t>des valeurs contraires à celles de l</w:t>
      </w:r>
      <w:r w:rsidR="00923E72">
        <w:rPr>
          <w:bCs/>
          <w:lang w:val="fr-FR"/>
        </w:rPr>
        <w:t>’</w:t>
      </w:r>
      <w:r w:rsidRPr="00B74643">
        <w:rPr>
          <w:bCs/>
          <w:lang w:val="fr-FR"/>
        </w:rPr>
        <w:t>UNESCO ne devaient pas être perpétuées ni tolérées. La délégation était solidaire de ses frères et sœurs d</w:t>
      </w:r>
      <w:r w:rsidR="00923E72">
        <w:rPr>
          <w:bCs/>
          <w:lang w:val="fr-FR"/>
        </w:rPr>
        <w:t>’</w:t>
      </w:r>
      <w:r w:rsidRPr="00B74643">
        <w:rPr>
          <w:bCs/>
          <w:lang w:val="fr-FR"/>
        </w:rPr>
        <w:t>Afrique. En outre, le calendrier proposé pour le suivi approfondi ne correspondrait pas à la célébration d</w:t>
      </w:r>
      <w:r w:rsidR="00923E72">
        <w:rPr>
          <w:bCs/>
          <w:lang w:val="fr-FR"/>
        </w:rPr>
        <w:t>’</w:t>
      </w:r>
      <w:r w:rsidRPr="00B74643">
        <w:rPr>
          <w:bCs/>
          <w:lang w:val="fr-FR"/>
        </w:rPr>
        <w:t>Ath en août</w:t>
      </w:r>
      <w:r w:rsidR="003A0260">
        <w:rPr>
          <w:bCs/>
          <w:lang w:val="fr-FR"/>
        </w:rPr>
        <w:t> </w:t>
      </w:r>
      <w:r w:rsidRPr="00B74643">
        <w:rPr>
          <w:bCs/>
          <w:lang w:val="fr-FR"/>
        </w:rPr>
        <w:t>2023 et ne garantirait aucun changement à cet égard.</w:t>
      </w:r>
    </w:p>
    <w:p w14:paraId="6E31E8D8" w14:textId="6F47ACEB" w:rsidR="00B74643" w:rsidRDefault="00B74643" w:rsidP="00AA7EE4">
      <w:pPr>
        <w:pStyle w:val="Orateurengris"/>
        <w:numPr>
          <w:ilvl w:val="0"/>
          <w:numId w:val="20"/>
        </w:numPr>
        <w:tabs>
          <w:tab w:val="clear" w:pos="567"/>
        </w:tabs>
        <w:spacing w:before="120"/>
        <w:ind w:left="709" w:hanging="709"/>
        <w:rPr>
          <w:bCs/>
          <w:lang w:val="fr-FR"/>
        </w:rPr>
      </w:pPr>
      <w:r w:rsidRPr="00B74643">
        <w:rPr>
          <w:bCs/>
          <w:lang w:val="fr-FR"/>
        </w:rPr>
        <w:t xml:space="preserve">La délégation du </w:t>
      </w:r>
      <w:r w:rsidRPr="00702497">
        <w:rPr>
          <w:b/>
          <w:lang w:val="fr-FR"/>
        </w:rPr>
        <w:t>Panama</w:t>
      </w:r>
      <w:r w:rsidRPr="00B74643">
        <w:rPr>
          <w:bCs/>
          <w:lang w:val="fr-FR"/>
        </w:rPr>
        <w:t xml:space="preserve"> a fait remarquer que</w:t>
      </w:r>
      <w:r>
        <w:rPr>
          <w:bCs/>
          <w:lang w:val="fr-FR"/>
        </w:rPr>
        <w:t>,</w:t>
      </w:r>
      <w:r w:rsidRPr="00B74643">
        <w:rPr>
          <w:bCs/>
          <w:lang w:val="fr-FR"/>
        </w:rPr>
        <w:t xml:space="preserve"> pendant des années</w:t>
      </w:r>
      <w:r>
        <w:rPr>
          <w:bCs/>
          <w:lang w:val="fr-FR"/>
        </w:rPr>
        <w:t>,</w:t>
      </w:r>
      <w:r w:rsidRPr="00B74643">
        <w:rPr>
          <w:bCs/>
          <w:lang w:val="fr-FR"/>
        </w:rPr>
        <w:t xml:space="preserve"> le Comité avait fait part de ses préoccupations concernant cette représentation méprisable et inacceptable, et que les communautés avaient entendu son message. Les discussions étaient importantes et les communautés devaient continuer à avoir de telles discussions. </w:t>
      </w:r>
      <w:r w:rsidR="008F4728">
        <w:rPr>
          <w:bCs/>
          <w:lang w:val="fr-FR"/>
        </w:rPr>
        <w:t>Cependant, l</w:t>
      </w:r>
      <w:r w:rsidRPr="00B74643">
        <w:rPr>
          <w:bCs/>
          <w:lang w:val="fr-FR"/>
        </w:rPr>
        <w:t>a communauté d</w:t>
      </w:r>
      <w:r w:rsidR="00923E72">
        <w:rPr>
          <w:bCs/>
          <w:lang w:val="fr-FR"/>
        </w:rPr>
        <w:t>’</w:t>
      </w:r>
      <w:r w:rsidRPr="00B74643">
        <w:rPr>
          <w:bCs/>
          <w:lang w:val="fr-FR"/>
        </w:rPr>
        <w:t>Ath n</w:t>
      </w:r>
      <w:r w:rsidR="00923E72">
        <w:rPr>
          <w:bCs/>
          <w:lang w:val="fr-FR"/>
        </w:rPr>
        <w:t>’</w:t>
      </w:r>
      <w:r w:rsidRPr="00B74643">
        <w:rPr>
          <w:bCs/>
          <w:lang w:val="fr-FR"/>
        </w:rPr>
        <w:t xml:space="preserve">avait pas encore pris en considération les demandes répétées du Comité de procéder à des changements. Pour </w:t>
      </w:r>
      <w:r w:rsidR="001C3113">
        <w:rPr>
          <w:bCs/>
          <w:lang w:val="fr-FR"/>
        </w:rPr>
        <w:t xml:space="preserve">le </w:t>
      </w:r>
      <w:r w:rsidRPr="00B74643">
        <w:rPr>
          <w:bCs/>
          <w:lang w:val="fr-FR"/>
        </w:rPr>
        <w:t>Panama, comme pour d</w:t>
      </w:r>
      <w:r w:rsidR="00923E72">
        <w:rPr>
          <w:bCs/>
          <w:lang w:val="fr-FR"/>
        </w:rPr>
        <w:t>’</w:t>
      </w:r>
      <w:r w:rsidRPr="00B74643">
        <w:rPr>
          <w:bCs/>
          <w:lang w:val="fr-FR"/>
        </w:rPr>
        <w:t>autres orateurs, une année supplémentaire n</w:t>
      </w:r>
      <w:r w:rsidR="00923E72">
        <w:rPr>
          <w:bCs/>
          <w:lang w:val="fr-FR"/>
        </w:rPr>
        <w:t>’</w:t>
      </w:r>
      <w:r w:rsidRPr="00B74643">
        <w:rPr>
          <w:bCs/>
          <w:lang w:val="fr-FR"/>
        </w:rPr>
        <w:t>était pas une option. L</w:t>
      </w:r>
      <w:r w:rsidR="00923E72">
        <w:rPr>
          <w:bCs/>
          <w:lang w:val="fr-FR"/>
        </w:rPr>
        <w:t>’</w:t>
      </w:r>
      <w:r w:rsidRPr="00B74643">
        <w:rPr>
          <w:bCs/>
          <w:lang w:val="fr-FR"/>
        </w:rPr>
        <w:t>envoi d</w:t>
      </w:r>
      <w:r w:rsidR="00923E72">
        <w:rPr>
          <w:bCs/>
          <w:lang w:val="fr-FR"/>
        </w:rPr>
        <w:t>’</w:t>
      </w:r>
      <w:r w:rsidRPr="00B74643">
        <w:rPr>
          <w:bCs/>
          <w:lang w:val="fr-FR"/>
        </w:rPr>
        <w:t>une mission d</w:t>
      </w:r>
      <w:r w:rsidR="00923E72">
        <w:rPr>
          <w:bCs/>
          <w:lang w:val="fr-FR"/>
        </w:rPr>
        <w:t>’</w:t>
      </w:r>
      <w:r w:rsidRPr="00B74643">
        <w:rPr>
          <w:bCs/>
          <w:lang w:val="fr-FR"/>
        </w:rPr>
        <w:t>experts n</w:t>
      </w:r>
      <w:r w:rsidR="00923E72">
        <w:rPr>
          <w:bCs/>
          <w:lang w:val="fr-FR"/>
        </w:rPr>
        <w:t>’</w:t>
      </w:r>
      <w:r w:rsidRPr="00B74643">
        <w:rPr>
          <w:bCs/>
          <w:lang w:val="fr-FR"/>
        </w:rPr>
        <w:t>était pas non plus une option</w:t>
      </w:r>
      <w:r w:rsidR="008F4728">
        <w:rPr>
          <w:bCs/>
          <w:lang w:val="fr-FR"/>
        </w:rPr>
        <w:t>,</w:t>
      </w:r>
      <w:r w:rsidRPr="00B74643">
        <w:rPr>
          <w:bCs/>
          <w:lang w:val="fr-FR"/>
        </w:rPr>
        <w:t xml:space="preserve"> car il n</w:t>
      </w:r>
      <w:r w:rsidR="00923E72">
        <w:rPr>
          <w:bCs/>
          <w:lang w:val="fr-FR"/>
        </w:rPr>
        <w:t>’</w:t>
      </w:r>
      <w:r w:rsidRPr="00B74643">
        <w:rPr>
          <w:bCs/>
          <w:lang w:val="fr-FR"/>
        </w:rPr>
        <w:t xml:space="preserve">y avait pas de négociation possible. Ils ne pouvaient pas négocier au nom de chaque État membre. </w:t>
      </w:r>
      <w:r w:rsidR="00DA2E21">
        <w:rPr>
          <w:bCs/>
          <w:lang w:val="fr-FR"/>
        </w:rPr>
        <w:t xml:space="preserve">Pour cette raison, </w:t>
      </w:r>
      <w:r w:rsidRPr="00B74643">
        <w:rPr>
          <w:bCs/>
          <w:lang w:val="fr-FR"/>
        </w:rPr>
        <w:t>le Panama soutenait le retrait immédiat de l</w:t>
      </w:r>
      <w:r w:rsidR="00923E72">
        <w:rPr>
          <w:bCs/>
          <w:lang w:val="fr-FR"/>
        </w:rPr>
        <w:t>’</w:t>
      </w:r>
      <w:r w:rsidRPr="00B74643">
        <w:rPr>
          <w:bCs/>
          <w:lang w:val="fr-FR"/>
        </w:rPr>
        <w:t>élément de la Liste représentative.</w:t>
      </w:r>
    </w:p>
    <w:p w14:paraId="69E2F6A1" w14:textId="4313A060" w:rsidR="00F717D8" w:rsidRDefault="00F717D8" w:rsidP="00AA7EE4">
      <w:pPr>
        <w:pStyle w:val="Orateurengris"/>
        <w:numPr>
          <w:ilvl w:val="0"/>
          <w:numId w:val="20"/>
        </w:numPr>
        <w:tabs>
          <w:tab w:val="clear" w:pos="567"/>
        </w:tabs>
        <w:spacing w:before="120"/>
        <w:ind w:left="709" w:hanging="709"/>
        <w:rPr>
          <w:bCs/>
          <w:lang w:val="fr-FR"/>
        </w:rPr>
      </w:pPr>
      <w:r w:rsidRPr="00F717D8">
        <w:rPr>
          <w:bCs/>
          <w:lang w:val="fr-FR"/>
        </w:rPr>
        <w:lastRenderedPageBreak/>
        <w:t xml:space="preserve">La délégation du </w:t>
      </w:r>
      <w:r w:rsidRPr="00702497">
        <w:rPr>
          <w:b/>
          <w:lang w:val="fr-FR"/>
        </w:rPr>
        <w:t>Maroc</w:t>
      </w:r>
      <w:r w:rsidRPr="00F717D8">
        <w:rPr>
          <w:bCs/>
          <w:lang w:val="fr-FR"/>
        </w:rPr>
        <w:t xml:space="preserve"> était fière d</w:t>
      </w:r>
      <w:r w:rsidR="00923E72">
        <w:rPr>
          <w:bCs/>
          <w:lang w:val="fr-FR"/>
        </w:rPr>
        <w:t>’</w:t>
      </w:r>
      <w:r w:rsidRPr="00F717D8">
        <w:rPr>
          <w:bCs/>
          <w:lang w:val="fr-FR"/>
        </w:rPr>
        <w:t>être africaine, comme en témoignait l</w:t>
      </w:r>
      <w:r w:rsidR="00923E72">
        <w:rPr>
          <w:bCs/>
          <w:lang w:val="fr-FR"/>
        </w:rPr>
        <w:t>’</w:t>
      </w:r>
      <w:r w:rsidRPr="00F717D8">
        <w:rPr>
          <w:bCs/>
          <w:lang w:val="fr-FR"/>
        </w:rPr>
        <w:t xml:space="preserve">émotion manifestée par le Président, un sentiment partagé par tous les Marocains attachés à leur identité et à leurs racines africaines. Le cas de cet élément inscrit sur la Liste représentative, en particulier le </w:t>
      </w:r>
      <w:r>
        <w:rPr>
          <w:bCs/>
          <w:lang w:val="fr-FR"/>
        </w:rPr>
        <w:t xml:space="preserve">personnage </w:t>
      </w:r>
      <w:r w:rsidRPr="00F717D8">
        <w:rPr>
          <w:bCs/>
          <w:lang w:val="fr-FR"/>
        </w:rPr>
        <w:t xml:space="preserve">dit du </w:t>
      </w:r>
      <w:r>
        <w:rPr>
          <w:bCs/>
          <w:lang w:val="fr-FR"/>
        </w:rPr>
        <w:t>« S</w:t>
      </w:r>
      <w:r w:rsidRPr="00F717D8">
        <w:rPr>
          <w:bCs/>
          <w:lang w:val="fr-FR"/>
        </w:rPr>
        <w:t>auvage</w:t>
      </w:r>
      <w:r>
        <w:rPr>
          <w:bCs/>
          <w:lang w:val="fr-FR"/>
        </w:rPr>
        <w:t> »</w:t>
      </w:r>
      <w:r w:rsidRPr="00F717D8">
        <w:rPr>
          <w:bCs/>
          <w:lang w:val="fr-FR"/>
        </w:rPr>
        <w:t xml:space="preserve"> de la Ducasse d</w:t>
      </w:r>
      <w:r w:rsidR="00923E72">
        <w:rPr>
          <w:bCs/>
          <w:lang w:val="fr-FR"/>
        </w:rPr>
        <w:t>’</w:t>
      </w:r>
      <w:r w:rsidRPr="00F717D8">
        <w:rPr>
          <w:bCs/>
          <w:lang w:val="fr-FR"/>
        </w:rPr>
        <w:t>Ath en Belgique, avait suscité de vives inquiétudes et était inacceptable, déplorable et condamnable. C</w:t>
      </w:r>
      <w:r w:rsidR="00923E72">
        <w:rPr>
          <w:bCs/>
          <w:lang w:val="fr-FR"/>
        </w:rPr>
        <w:t>’</w:t>
      </w:r>
      <w:r w:rsidRPr="00F717D8">
        <w:rPr>
          <w:bCs/>
          <w:lang w:val="fr-FR"/>
        </w:rPr>
        <w:t>était un cas de racisme et de discrimination, un manque de respect entre les communautés et une violation des principes fondamentaux de l</w:t>
      </w:r>
      <w:r w:rsidR="00923E72">
        <w:rPr>
          <w:bCs/>
          <w:lang w:val="fr-FR"/>
        </w:rPr>
        <w:t>’</w:t>
      </w:r>
      <w:r w:rsidRPr="00F717D8">
        <w:rPr>
          <w:bCs/>
          <w:lang w:val="fr-FR"/>
        </w:rPr>
        <w:t>UNESCO et de la Convention. La délégation regrettait d</w:t>
      </w:r>
      <w:r w:rsidR="00923E72">
        <w:rPr>
          <w:bCs/>
          <w:lang w:val="fr-FR"/>
        </w:rPr>
        <w:t>’</w:t>
      </w:r>
      <w:r w:rsidRPr="00F717D8">
        <w:rPr>
          <w:bCs/>
          <w:lang w:val="fr-FR"/>
        </w:rPr>
        <w:t>avoir à débattre de cette question alors qu</w:t>
      </w:r>
      <w:r w:rsidR="00923E72">
        <w:rPr>
          <w:bCs/>
          <w:lang w:val="fr-FR"/>
        </w:rPr>
        <w:t>’</w:t>
      </w:r>
      <w:r w:rsidRPr="00F717D8">
        <w:rPr>
          <w:bCs/>
          <w:lang w:val="fr-FR"/>
        </w:rPr>
        <w:t>en réalité il ne s</w:t>
      </w:r>
      <w:r w:rsidR="00923E72">
        <w:rPr>
          <w:bCs/>
          <w:lang w:val="fr-FR"/>
        </w:rPr>
        <w:t>’</w:t>
      </w:r>
      <w:r w:rsidRPr="00F717D8">
        <w:rPr>
          <w:bCs/>
          <w:lang w:val="fr-FR"/>
        </w:rPr>
        <w:t>agissait en aucun cas d</w:t>
      </w:r>
      <w:r w:rsidR="00923E72">
        <w:rPr>
          <w:bCs/>
          <w:lang w:val="fr-FR"/>
        </w:rPr>
        <w:t>’</w:t>
      </w:r>
      <w:r w:rsidRPr="00F717D8">
        <w:rPr>
          <w:bCs/>
          <w:lang w:val="fr-FR"/>
        </w:rPr>
        <w:t>un sujet de litige, les membres du Comité étant tous d</w:t>
      </w:r>
      <w:r w:rsidR="00923E72">
        <w:rPr>
          <w:bCs/>
          <w:lang w:val="fr-FR"/>
        </w:rPr>
        <w:t>’</w:t>
      </w:r>
      <w:r w:rsidRPr="00F717D8">
        <w:rPr>
          <w:bCs/>
          <w:lang w:val="fr-FR"/>
        </w:rPr>
        <w:t>accord sur les valeurs universelles qu</w:t>
      </w:r>
      <w:r w:rsidR="00923E72">
        <w:rPr>
          <w:bCs/>
          <w:lang w:val="fr-FR"/>
        </w:rPr>
        <w:t>’</w:t>
      </w:r>
      <w:r w:rsidRPr="00F717D8">
        <w:rPr>
          <w:bCs/>
          <w:lang w:val="fr-FR"/>
        </w:rPr>
        <w:t xml:space="preserve">ils partageaient, </w:t>
      </w:r>
      <w:r w:rsidR="008F4728">
        <w:rPr>
          <w:bCs/>
          <w:lang w:val="fr-FR"/>
        </w:rPr>
        <w:t xml:space="preserve">indépendamment de </w:t>
      </w:r>
      <w:r w:rsidRPr="00F717D8">
        <w:rPr>
          <w:bCs/>
          <w:lang w:val="fr-FR"/>
        </w:rPr>
        <w:t xml:space="preserve">leur pays ou </w:t>
      </w:r>
      <w:r w:rsidR="008F4728">
        <w:rPr>
          <w:bCs/>
          <w:lang w:val="fr-FR"/>
        </w:rPr>
        <w:t xml:space="preserve">de </w:t>
      </w:r>
      <w:r w:rsidRPr="00F717D8">
        <w:rPr>
          <w:bCs/>
          <w:lang w:val="fr-FR"/>
        </w:rPr>
        <w:t>leur origine. Le Comité avait le devoir et la responsabilité de respecter les principes mêmes du Comité et de l</w:t>
      </w:r>
      <w:r w:rsidR="00923E72">
        <w:rPr>
          <w:bCs/>
          <w:lang w:val="fr-FR"/>
        </w:rPr>
        <w:t>’</w:t>
      </w:r>
      <w:r w:rsidRPr="00F717D8">
        <w:rPr>
          <w:bCs/>
          <w:lang w:val="fr-FR"/>
        </w:rPr>
        <w:t>Organisation. Il ne souhaitait pas être divisé sur un sujet aussi grave. La délégation soutenait l</w:t>
      </w:r>
      <w:r w:rsidR="00923E72">
        <w:rPr>
          <w:bCs/>
          <w:lang w:val="fr-FR"/>
        </w:rPr>
        <w:t>’</w:t>
      </w:r>
      <w:r w:rsidRPr="00F717D8">
        <w:rPr>
          <w:bCs/>
          <w:lang w:val="fr-FR"/>
        </w:rPr>
        <w:t>amendement du Botswana et se félicitait des interventions sincères de</w:t>
      </w:r>
      <w:r>
        <w:rPr>
          <w:bCs/>
          <w:lang w:val="fr-FR"/>
        </w:rPr>
        <w:t>s</w:t>
      </w:r>
      <w:r w:rsidRPr="00F717D8">
        <w:rPr>
          <w:bCs/>
          <w:lang w:val="fr-FR"/>
        </w:rPr>
        <w:t xml:space="preserve"> collègues africains et d</w:t>
      </w:r>
      <w:r w:rsidR="00923E72">
        <w:rPr>
          <w:bCs/>
          <w:lang w:val="fr-FR"/>
        </w:rPr>
        <w:t>’</w:t>
      </w:r>
      <w:r w:rsidRPr="00F717D8">
        <w:rPr>
          <w:bCs/>
          <w:lang w:val="fr-FR"/>
        </w:rPr>
        <w:t>autres délégations, tout en saluant les efforts entrepris par la Belgique à cet égard. Elle soutenait une résolution consensuelle immédiate par le biais du retrait de l</w:t>
      </w:r>
      <w:r w:rsidR="00923E72">
        <w:rPr>
          <w:bCs/>
          <w:lang w:val="fr-FR"/>
        </w:rPr>
        <w:t>’</w:t>
      </w:r>
      <w:r w:rsidRPr="00F717D8">
        <w:rPr>
          <w:bCs/>
          <w:lang w:val="fr-FR"/>
        </w:rPr>
        <w:t>élément.</w:t>
      </w:r>
    </w:p>
    <w:p w14:paraId="414CD768" w14:textId="66FC77A7" w:rsidR="00F717D8" w:rsidRDefault="00F717D8" w:rsidP="00AA7EE4">
      <w:pPr>
        <w:pStyle w:val="Orateurengris"/>
        <w:numPr>
          <w:ilvl w:val="0"/>
          <w:numId w:val="20"/>
        </w:numPr>
        <w:tabs>
          <w:tab w:val="clear" w:pos="567"/>
        </w:tabs>
        <w:spacing w:before="120"/>
        <w:ind w:left="709" w:hanging="709"/>
        <w:rPr>
          <w:bCs/>
          <w:lang w:val="fr-FR"/>
        </w:rPr>
      </w:pPr>
      <w:r w:rsidRPr="00F717D8">
        <w:rPr>
          <w:bCs/>
          <w:lang w:val="fr-FR"/>
        </w:rPr>
        <w:t>La délégation de l</w:t>
      </w:r>
      <w:r w:rsidR="00923E72">
        <w:rPr>
          <w:bCs/>
          <w:lang w:val="fr-FR"/>
        </w:rPr>
        <w:t>’</w:t>
      </w:r>
      <w:r w:rsidRPr="00702497">
        <w:rPr>
          <w:b/>
          <w:lang w:val="fr-FR"/>
        </w:rPr>
        <w:t>Ouzbékistan</w:t>
      </w:r>
      <w:r w:rsidRPr="00F717D8">
        <w:rPr>
          <w:bCs/>
          <w:lang w:val="fr-FR"/>
        </w:rPr>
        <w:t xml:space="preserve"> ne pouvait rien ajouter au discours très sincère de l</w:t>
      </w:r>
      <w:r w:rsidR="00923E72">
        <w:rPr>
          <w:bCs/>
          <w:lang w:val="fr-FR"/>
        </w:rPr>
        <w:t>’</w:t>
      </w:r>
      <w:r w:rsidRPr="00F717D8">
        <w:rPr>
          <w:bCs/>
          <w:lang w:val="fr-FR"/>
        </w:rPr>
        <w:t>Inde et de nombreuses autres délégations. L</w:t>
      </w:r>
      <w:r w:rsidR="00923E72">
        <w:rPr>
          <w:bCs/>
          <w:lang w:val="fr-FR"/>
        </w:rPr>
        <w:t>’</w:t>
      </w:r>
      <w:r w:rsidRPr="00F717D8">
        <w:rPr>
          <w:bCs/>
          <w:lang w:val="fr-FR"/>
        </w:rPr>
        <w:t>Ouzbékistan condamnait également l</w:t>
      </w:r>
      <w:r w:rsidR="00923E72">
        <w:rPr>
          <w:bCs/>
          <w:lang w:val="fr-FR"/>
        </w:rPr>
        <w:t>’</w:t>
      </w:r>
      <w:r w:rsidRPr="00F717D8">
        <w:rPr>
          <w:bCs/>
          <w:lang w:val="fr-FR"/>
        </w:rPr>
        <w:t>existence de tout personnage véhiculant un message de racisme et de discrimination dans tout élément de la Liste représentative. Il s</w:t>
      </w:r>
      <w:r w:rsidR="00923E72">
        <w:rPr>
          <w:bCs/>
          <w:lang w:val="fr-FR"/>
        </w:rPr>
        <w:t>’</w:t>
      </w:r>
      <w:r w:rsidRPr="00F717D8">
        <w:rPr>
          <w:bCs/>
          <w:lang w:val="fr-FR"/>
        </w:rPr>
        <w:t>agissait d</w:t>
      </w:r>
      <w:r w:rsidR="00923E72">
        <w:rPr>
          <w:bCs/>
          <w:lang w:val="fr-FR"/>
        </w:rPr>
        <w:t>’</w:t>
      </w:r>
      <w:r w:rsidRPr="00F717D8">
        <w:rPr>
          <w:bCs/>
          <w:lang w:val="fr-FR"/>
        </w:rPr>
        <w:t xml:space="preserve">une pratique absolument inacceptable et intolérable. Après avoir écouté les nombreux membres et les éclaircissements supplémentaires apportés par la Belgique, elle soutenait les mesures prises par le Gouvernement belge pour tenter de résoudre ce problème. </w:t>
      </w:r>
      <w:r w:rsidR="0073095C">
        <w:rPr>
          <w:bCs/>
          <w:lang w:val="fr-FR"/>
        </w:rPr>
        <w:t>En outre, l</w:t>
      </w:r>
      <w:r w:rsidRPr="00F717D8">
        <w:rPr>
          <w:bCs/>
          <w:lang w:val="fr-FR"/>
        </w:rPr>
        <w:t>a délégation appréciait</w:t>
      </w:r>
      <w:r w:rsidR="0073095C">
        <w:rPr>
          <w:bCs/>
          <w:lang w:val="fr-FR"/>
        </w:rPr>
        <w:t xml:space="preserve"> </w:t>
      </w:r>
      <w:r w:rsidRPr="00F717D8">
        <w:rPr>
          <w:bCs/>
          <w:lang w:val="fr-FR"/>
        </w:rPr>
        <w:t>vivement le fait que le Secrétariat ait commencé à travailler avec l</w:t>
      </w:r>
      <w:r w:rsidR="00923E72">
        <w:rPr>
          <w:bCs/>
          <w:lang w:val="fr-FR"/>
        </w:rPr>
        <w:t>’</w:t>
      </w:r>
      <w:r w:rsidRPr="00F717D8">
        <w:rPr>
          <w:bCs/>
          <w:lang w:val="fr-FR"/>
        </w:rPr>
        <w:t xml:space="preserve">État partie pour régler cette contradiction. Mais le Comité devait agir maintenant. La radiation de la liste enverrait </w:t>
      </w:r>
      <w:r w:rsidR="0073095C">
        <w:rPr>
          <w:bCs/>
          <w:lang w:val="fr-FR"/>
        </w:rPr>
        <w:t>le</w:t>
      </w:r>
      <w:r w:rsidRPr="00F717D8">
        <w:rPr>
          <w:bCs/>
          <w:lang w:val="fr-FR"/>
        </w:rPr>
        <w:t xml:space="preserve"> message très fort aux autres que le Comité ne saurait tolérer de telles pratiques inacceptables qui vont à l</w:t>
      </w:r>
      <w:r w:rsidR="00923E72">
        <w:rPr>
          <w:bCs/>
          <w:lang w:val="fr-FR"/>
        </w:rPr>
        <w:t>’</w:t>
      </w:r>
      <w:r w:rsidRPr="00F717D8">
        <w:rPr>
          <w:bCs/>
          <w:lang w:val="fr-FR"/>
        </w:rPr>
        <w:t>encontre des idéaux de l</w:t>
      </w:r>
      <w:r w:rsidR="00923E72">
        <w:rPr>
          <w:bCs/>
          <w:lang w:val="fr-FR"/>
        </w:rPr>
        <w:t>’</w:t>
      </w:r>
      <w:r w:rsidRPr="00F717D8">
        <w:rPr>
          <w:bCs/>
          <w:lang w:val="fr-FR"/>
        </w:rPr>
        <w:t>UNESCO et de la Convention. Elle s</w:t>
      </w:r>
      <w:r w:rsidR="00923E72">
        <w:rPr>
          <w:bCs/>
          <w:lang w:val="fr-FR"/>
        </w:rPr>
        <w:t>’</w:t>
      </w:r>
      <w:r w:rsidRPr="00F717D8">
        <w:rPr>
          <w:bCs/>
          <w:lang w:val="fr-FR"/>
        </w:rPr>
        <w:t>est ralliée à ce message fort</w:t>
      </w:r>
      <w:r w:rsidR="00B24934">
        <w:rPr>
          <w:bCs/>
          <w:lang w:val="fr-FR"/>
        </w:rPr>
        <w:t>,</w:t>
      </w:r>
      <w:r w:rsidRPr="00F717D8">
        <w:rPr>
          <w:bCs/>
          <w:lang w:val="fr-FR"/>
        </w:rPr>
        <w:t xml:space="preserve"> adressé au monde, se tenant aux côtés des membres qui soutenaient l</w:t>
      </w:r>
      <w:r w:rsidR="00923E72">
        <w:rPr>
          <w:bCs/>
          <w:lang w:val="fr-FR"/>
        </w:rPr>
        <w:t>’</w:t>
      </w:r>
      <w:r w:rsidRPr="00F717D8">
        <w:rPr>
          <w:bCs/>
          <w:lang w:val="fr-FR"/>
        </w:rPr>
        <w:t>amendement du Botswana.</w:t>
      </w:r>
    </w:p>
    <w:p w14:paraId="5CFE1BAB" w14:textId="5439B30F" w:rsidR="0073095C" w:rsidRDefault="0073095C" w:rsidP="00AA7EE4">
      <w:pPr>
        <w:pStyle w:val="Orateurengris"/>
        <w:numPr>
          <w:ilvl w:val="0"/>
          <w:numId w:val="20"/>
        </w:numPr>
        <w:tabs>
          <w:tab w:val="clear" w:pos="567"/>
        </w:tabs>
        <w:spacing w:before="120"/>
        <w:ind w:left="709" w:hanging="709"/>
        <w:rPr>
          <w:bCs/>
          <w:lang w:val="fr-FR"/>
        </w:rPr>
      </w:pPr>
      <w:r w:rsidRPr="0073095C">
        <w:rPr>
          <w:bCs/>
          <w:lang w:val="fr-FR"/>
        </w:rPr>
        <w:t xml:space="preserve">La délégation de la </w:t>
      </w:r>
      <w:r w:rsidRPr="00702497">
        <w:rPr>
          <w:b/>
          <w:lang w:val="fr-FR"/>
        </w:rPr>
        <w:t>Côte</w:t>
      </w:r>
      <w:r w:rsidR="004F3F66">
        <w:rPr>
          <w:b/>
          <w:lang w:val="fr-FR"/>
        </w:rPr>
        <w:t> </w:t>
      </w:r>
      <w:r w:rsidRPr="00702497">
        <w:rPr>
          <w:b/>
          <w:lang w:val="fr-FR"/>
        </w:rPr>
        <w:t>d</w:t>
      </w:r>
      <w:r w:rsidR="00923E72">
        <w:rPr>
          <w:b/>
          <w:lang w:val="fr-FR"/>
        </w:rPr>
        <w:t>’</w:t>
      </w:r>
      <w:r w:rsidRPr="00702497">
        <w:rPr>
          <w:b/>
          <w:lang w:val="fr-FR"/>
        </w:rPr>
        <w:t>Ivoire</w:t>
      </w:r>
      <w:r w:rsidRPr="0073095C">
        <w:rPr>
          <w:bCs/>
          <w:lang w:val="fr-FR"/>
        </w:rPr>
        <w:t xml:space="preserve"> condamnait fermement cette pratique de l</w:t>
      </w:r>
      <w:r w:rsidR="00923E72">
        <w:rPr>
          <w:bCs/>
          <w:lang w:val="fr-FR"/>
        </w:rPr>
        <w:t>’</w:t>
      </w:r>
      <w:r w:rsidRPr="0073095C">
        <w:rPr>
          <w:bCs/>
          <w:lang w:val="fr-FR"/>
        </w:rPr>
        <w:t>élément. En même temps, elle avait noté que le Comité se demandait ce qu</w:t>
      </w:r>
      <w:r w:rsidR="00923E72">
        <w:rPr>
          <w:bCs/>
          <w:lang w:val="fr-FR"/>
        </w:rPr>
        <w:t>’</w:t>
      </w:r>
      <w:r w:rsidRPr="0073095C">
        <w:rPr>
          <w:bCs/>
          <w:lang w:val="fr-FR"/>
        </w:rPr>
        <w:t>il devait faire après sa condamnation. La délégation a proposé d</w:t>
      </w:r>
      <w:r w:rsidR="00923E72">
        <w:rPr>
          <w:bCs/>
          <w:lang w:val="fr-FR"/>
        </w:rPr>
        <w:t>’</w:t>
      </w:r>
      <w:r w:rsidRPr="0073095C">
        <w:rPr>
          <w:bCs/>
          <w:lang w:val="fr-FR"/>
        </w:rPr>
        <w:t>illustrer le problème comme suit. Une classe d</w:t>
      </w:r>
      <w:r w:rsidR="00923E72">
        <w:rPr>
          <w:bCs/>
          <w:lang w:val="fr-FR"/>
        </w:rPr>
        <w:t>’</w:t>
      </w:r>
      <w:r w:rsidRPr="0073095C">
        <w:rPr>
          <w:bCs/>
          <w:lang w:val="fr-FR"/>
        </w:rPr>
        <w:t>élèves était vraiment admirée à l</w:t>
      </w:r>
      <w:r w:rsidR="00923E72">
        <w:rPr>
          <w:bCs/>
          <w:lang w:val="fr-FR"/>
        </w:rPr>
        <w:t>’</w:t>
      </w:r>
      <w:r w:rsidRPr="0073095C">
        <w:rPr>
          <w:bCs/>
          <w:lang w:val="fr-FR"/>
        </w:rPr>
        <w:t>extérieur par tout le monde parce que la classe était idéale. Cependant, un élève qui ne remplissait pas les conditions d</w:t>
      </w:r>
      <w:r w:rsidR="00923E72">
        <w:rPr>
          <w:bCs/>
          <w:lang w:val="fr-FR"/>
        </w:rPr>
        <w:t>’</w:t>
      </w:r>
      <w:r w:rsidRPr="0073095C">
        <w:rPr>
          <w:bCs/>
          <w:lang w:val="fr-FR"/>
        </w:rPr>
        <w:t>inscription dans l</w:t>
      </w:r>
      <w:r w:rsidR="00923E72">
        <w:rPr>
          <w:bCs/>
          <w:lang w:val="fr-FR"/>
        </w:rPr>
        <w:t>’</w:t>
      </w:r>
      <w:r w:rsidRPr="0073095C">
        <w:rPr>
          <w:bCs/>
          <w:lang w:val="fr-FR"/>
        </w:rPr>
        <w:t>établissement, peut-être les conditions d</w:t>
      </w:r>
      <w:r w:rsidR="00923E72">
        <w:rPr>
          <w:bCs/>
          <w:lang w:val="fr-FR"/>
        </w:rPr>
        <w:t>’</w:t>
      </w:r>
      <w:r w:rsidRPr="0073095C">
        <w:rPr>
          <w:bCs/>
          <w:lang w:val="fr-FR"/>
        </w:rPr>
        <w:t>âge, avait quand même été admis. Il s</w:t>
      </w:r>
      <w:r w:rsidR="00923E72">
        <w:rPr>
          <w:bCs/>
          <w:lang w:val="fr-FR"/>
        </w:rPr>
        <w:t>’</w:t>
      </w:r>
      <w:r w:rsidR="004F3F66" w:rsidRPr="0073095C">
        <w:rPr>
          <w:bCs/>
          <w:lang w:val="fr-FR"/>
        </w:rPr>
        <w:t>avérait</w:t>
      </w:r>
      <w:r w:rsidRPr="0073095C">
        <w:rPr>
          <w:bCs/>
          <w:lang w:val="fr-FR"/>
        </w:rPr>
        <w:t xml:space="preserve"> que cet élève, à un moment donné, se montrait très indiscipliné. Que fallait-il faire ? Fallait-il prétexter que parce qu</w:t>
      </w:r>
      <w:r w:rsidR="00923E72">
        <w:rPr>
          <w:bCs/>
          <w:lang w:val="fr-FR"/>
        </w:rPr>
        <w:t>’</w:t>
      </w:r>
      <w:r w:rsidRPr="0073095C">
        <w:rPr>
          <w:bCs/>
          <w:lang w:val="fr-FR"/>
        </w:rPr>
        <w:t>il ne remplissait pas les conditions d</w:t>
      </w:r>
      <w:r w:rsidR="00923E72">
        <w:rPr>
          <w:bCs/>
          <w:lang w:val="fr-FR"/>
        </w:rPr>
        <w:t>’</w:t>
      </w:r>
      <w:r w:rsidRPr="0073095C">
        <w:rPr>
          <w:bCs/>
          <w:lang w:val="fr-FR"/>
        </w:rPr>
        <w:t>admission, il fallait être indulgent</w:t>
      </w:r>
      <w:r w:rsidR="004F3F66">
        <w:rPr>
          <w:bCs/>
          <w:lang w:val="fr-FR"/>
        </w:rPr>
        <w:t> </w:t>
      </w:r>
      <w:r w:rsidRPr="0073095C">
        <w:rPr>
          <w:bCs/>
          <w:lang w:val="fr-FR"/>
        </w:rPr>
        <w:t>? La délégation a proposé que le Comité agisse immédiatement pour que le monde entier comprenne que, dans le cadre de cette Convention, il n</w:t>
      </w:r>
      <w:r w:rsidR="00923E72">
        <w:rPr>
          <w:bCs/>
          <w:lang w:val="fr-FR"/>
        </w:rPr>
        <w:t>’</w:t>
      </w:r>
      <w:r w:rsidRPr="0073095C">
        <w:rPr>
          <w:bCs/>
          <w:lang w:val="fr-FR"/>
        </w:rPr>
        <w:t>y avait aucune tolérance pour ce genre de pratique. En même temps, pour revenir à la métaphore, pendant la durée du renvoi de l</w:t>
      </w:r>
      <w:r w:rsidR="00923E72">
        <w:rPr>
          <w:bCs/>
          <w:lang w:val="fr-FR"/>
        </w:rPr>
        <w:t>’</w:t>
      </w:r>
      <w:r w:rsidRPr="0073095C">
        <w:rPr>
          <w:bCs/>
          <w:lang w:val="fr-FR"/>
        </w:rPr>
        <w:t>élève, les parents avaient le temps de prendre toutes les mesures pour aider l</w:t>
      </w:r>
      <w:r w:rsidR="00923E72">
        <w:rPr>
          <w:bCs/>
          <w:lang w:val="fr-FR"/>
        </w:rPr>
        <w:t>’</w:t>
      </w:r>
      <w:r w:rsidRPr="0073095C">
        <w:rPr>
          <w:bCs/>
          <w:lang w:val="fr-FR"/>
        </w:rPr>
        <w:t>élève à mieux se comporter et à réintégrer la classe. Si des mesures étaient prises aujourd</w:t>
      </w:r>
      <w:r w:rsidR="00923E72">
        <w:rPr>
          <w:bCs/>
          <w:lang w:val="fr-FR"/>
        </w:rPr>
        <w:t>’</w:t>
      </w:r>
      <w:r w:rsidRPr="0073095C">
        <w:rPr>
          <w:bCs/>
          <w:lang w:val="fr-FR"/>
        </w:rPr>
        <w:t>hui pour le renvoi de la Ducasse d</w:t>
      </w:r>
      <w:r w:rsidR="00923E72">
        <w:rPr>
          <w:bCs/>
          <w:lang w:val="fr-FR"/>
        </w:rPr>
        <w:t>’</w:t>
      </w:r>
      <w:r w:rsidRPr="0073095C">
        <w:rPr>
          <w:bCs/>
          <w:lang w:val="fr-FR"/>
        </w:rPr>
        <w:t xml:space="preserve">Ath, serait-elle autorisée à réintégrer cette candidature multinationale après la suppression du personnage </w:t>
      </w:r>
      <w:r w:rsidR="003C375E">
        <w:rPr>
          <w:bCs/>
          <w:lang w:val="fr-FR"/>
        </w:rPr>
        <w:t xml:space="preserve">du </w:t>
      </w:r>
      <w:r w:rsidR="004F3F66">
        <w:rPr>
          <w:bCs/>
          <w:lang w:val="fr-FR"/>
        </w:rPr>
        <w:t>« </w:t>
      </w:r>
      <w:r w:rsidR="003C375E">
        <w:rPr>
          <w:bCs/>
          <w:lang w:val="fr-FR"/>
        </w:rPr>
        <w:t>S</w:t>
      </w:r>
      <w:r w:rsidRPr="0073095C">
        <w:rPr>
          <w:bCs/>
          <w:lang w:val="fr-FR"/>
        </w:rPr>
        <w:t>auvage</w:t>
      </w:r>
      <w:r w:rsidR="004F3F66">
        <w:rPr>
          <w:bCs/>
          <w:lang w:val="fr-FR"/>
        </w:rPr>
        <w:t> » </w:t>
      </w:r>
      <w:r w:rsidRPr="0073095C">
        <w:rPr>
          <w:bCs/>
          <w:lang w:val="fr-FR"/>
        </w:rPr>
        <w:t>? Si c</w:t>
      </w:r>
      <w:r w:rsidR="00923E72">
        <w:rPr>
          <w:bCs/>
          <w:lang w:val="fr-FR"/>
        </w:rPr>
        <w:t>’</w:t>
      </w:r>
      <w:r w:rsidRPr="0073095C">
        <w:rPr>
          <w:bCs/>
          <w:lang w:val="fr-FR"/>
        </w:rPr>
        <w:t xml:space="preserve">était possible, le Comité devrait agir </w:t>
      </w:r>
      <w:r w:rsidR="002147D4">
        <w:rPr>
          <w:bCs/>
          <w:lang w:val="fr-FR"/>
        </w:rPr>
        <w:t xml:space="preserve">dès </w:t>
      </w:r>
      <w:r w:rsidRPr="0073095C">
        <w:rPr>
          <w:bCs/>
          <w:lang w:val="fr-FR"/>
        </w:rPr>
        <w:t>maintenant.</w:t>
      </w:r>
    </w:p>
    <w:p w14:paraId="7C896E69" w14:textId="44972130" w:rsidR="004F3F66" w:rsidRDefault="004F3F66" w:rsidP="00AA7EE4">
      <w:pPr>
        <w:pStyle w:val="Orateurengris"/>
        <w:numPr>
          <w:ilvl w:val="0"/>
          <w:numId w:val="20"/>
        </w:numPr>
        <w:tabs>
          <w:tab w:val="clear" w:pos="567"/>
        </w:tabs>
        <w:spacing w:before="120"/>
        <w:ind w:left="709" w:hanging="709"/>
        <w:rPr>
          <w:bCs/>
          <w:lang w:val="fr-FR"/>
        </w:rPr>
      </w:pPr>
      <w:r w:rsidRPr="004F3F66">
        <w:rPr>
          <w:bCs/>
          <w:lang w:val="fr-FR"/>
        </w:rPr>
        <w:t xml:space="preserve">Le </w:t>
      </w:r>
      <w:r w:rsidRPr="00702497">
        <w:rPr>
          <w:b/>
          <w:lang w:val="fr-FR"/>
        </w:rPr>
        <w:t>Président</w:t>
      </w:r>
      <w:r w:rsidRPr="004F3F66">
        <w:rPr>
          <w:bCs/>
          <w:lang w:val="fr-FR"/>
        </w:rPr>
        <w:t xml:space="preserve"> a remercié la Côte</w:t>
      </w:r>
      <w:r>
        <w:rPr>
          <w:bCs/>
          <w:lang w:val="fr-FR"/>
        </w:rPr>
        <w:t> </w:t>
      </w:r>
      <w:r w:rsidRPr="004F3F66">
        <w:rPr>
          <w:bCs/>
          <w:lang w:val="fr-FR"/>
        </w:rPr>
        <w:t>d</w:t>
      </w:r>
      <w:r w:rsidR="00923E72">
        <w:rPr>
          <w:bCs/>
          <w:lang w:val="fr-FR"/>
        </w:rPr>
        <w:t>’</w:t>
      </w:r>
      <w:r w:rsidRPr="004F3F66">
        <w:rPr>
          <w:bCs/>
          <w:lang w:val="fr-FR"/>
        </w:rPr>
        <w:t xml:space="preserve">Ivoire pour ce message </w:t>
      </w:r>
      <w:r>
        <w:rPr>
          <w:bCs/>
          <w:lang w:val="fr-FR"/>
        </w:rPr>
        <w:t xml:space="preserve">très </w:t>
      </w:r>
      <w:r w:rsidRPr="004F3F66">
        <w:rPr>
          <w:bCs/>
          <w:lang w:val="fr-FR"/>
        </w:rPr>
        <w:t xml:space="preserve">clair et a invité le </w:t>
      </w:r>
      <w:r>
        <w:rPr>
          <w:bCs/>
          <w:lang w:val="fr-FR"/>
        </w:rPr>
        <w:t>C</w:t>
      </w:r>
      <w:r w:rsidRPr="004F3F66">
        <w:rPr>
          <w:bCs/>
          <w:lang w:val="fr-FR"/>
        </w:rPr>
        <w:t>onseiller juridique à expliquer comment procéder dans cette affaire, qui se présentait pour la première fois devant ce Comité.</w:t>
      </w:r>
    </w:p>
    <w:p w14:paraId="4108AA59" w14:textId="5A1B6D63" w:rsidR="004F3F66" w:rsidRDefault="004849FD" w:rsidP="00AA7EE4">
      <w:pPr>
        <w:pStyle w:val="Orateurengris"/>
        <w:numPr>
          <w:ilvl w:val="0"/>
          <w:numId w:val="20"/>
        </w:numPr>
        <w:tabs>
          <w:tab w:val="clear" w:pos="567"/>
        </w:tabs>
        <w:spacing w:before="120"/>
        <w:ind w:left="709" w:hanging="709"/>
        <w:rPr>
          <w:bCs/>
          <w:lang w:val="fr-FR"/>
        </w:rPr>
      </w:pPr>
      <w:r w:rsidRPr="004849FD">
        <w:rPr>
          <w:bCs/>
          <w:lang w:val="fr-FR"/>
        </w:rPr>
        <w:t xml:space="preserve">Le </w:t>
      </w:r>
      <w:r w:rsidRPr="00702497">
        <w:rPr>
          <w:b/>
          <w:lang w:val="fr-FR"/>
        </w:rPr>
        <w:t>Conseiller juridique</w:t>
      </w:r>
      <w:r w:rsidRPr="004849FD">
        <w:rPr>
          <w:bCs/>
          <w:lang w:val="fr-FR"/>
        </w:rPr>
        <w:t xml:space="preserve"> a rappelé la procédure prévue par les Directives opérationnelles pour le retrait d</w:t>
      </w:r>
      <w:r w:rsidR="00923E72">
        <w:rPr>
          <w:bCs/>
          <w:lang w:val="fr-FR"/>
        </w:rPr>
        <w:t>’</w:t>
      </w:r>
      <w:r w:rsidRPr="004849FD">
        <w:rPr>
          <w:bCs/>
          <w:lang w:val="fr-FR"/>
        </w:rPr>
        <w:t>un élément de la Liste représentative, qui avait été approuvée par l</w:t>
      </w:r>
      <w:r w:rsidR="00923E72">
        <w:rPr>
          <w:bCs/>
          <w:lang w:val="fr-FR"/>
        </w:rPr>
        <w:t>’</w:t>
      </w:r>
      <w:r w:rsidRPr="004849FD">
        <w:rPr>
          <w:bCs/>
          <w:lang w:val="fr-FR"/>
        </w:rPr>
        <w:t>Assemblée générale lors de sa seizième session</w:t>
      </w:r>
      <w:r w:rsidR="00654CFB">
        <w:rPr>
          <w:bCs/>
          <w:lang w:val="fr-FR"/>
        </w:rPr>
        <w:t>,</w:t>
      </w:r>
      <w:r w:rsidRPr="004849FD">
        <w:rPr>
          <w:bCs/>
          <w:lang w:val="fr-FR"/>
        </w:rPr>
        <w:t xml:space="preserve"> sur proposition du Comité. Il a rappelé qu</w:t>
      </w:r>
      <w:r w:rsidR="00923E72">
        <w:rPr>
          <w:bCs/>
          <w:lang w:val="fr-FR"/>
        </w:rPr>
        <w:t>’</w:t>
      </w:r>
      <w:r w:rsidRPr="004849FD">
        <w:rPr>
          <w:bCs/>
          <w:lang w:val="fr-FR"/>
        </w:rPr>
        <w:t>avant cette date, aucune procédure de retrait n</w:t>
      </w:r>
      <w:r w:rsidR="00923E72">
        <w:rPr>
          <w:bCs/>
          <w:lang w:val="fr-FR"/>
        </w:rPr>
        <w:t>’</w:t>
      </w:r>
      <w:r w:rsidRPr="004849FD">
        <w:rPr>
          <w:bCs/>
          <w:lang w:val="fr-FR"/>
        </w:rPr>
        <w:t>était prévue dans les Directives opérationnelles. Sur la base des Directives opérationnelles, le Comité était habilité à retirer un élément de la Liste représentative en vertu du paragraphe</w:t>
      </w:r>
      <w:r w:rsidR="00654CFB">
        <w:rPr>
          <w:bCs/>
          <w:lang w:val="fr-FR"/>
        </w:rPr>
        <w:t> </w:t>
      </w:r>
      <w:r w:rsidRPr="004849FD">
        <w:rPr>
          <w:bCs/>
          <w:lang w:val="fr-FR"/>
        </w:rPr>
        <w:t xml:space="preserve">40.1 qui </w:t>
      </w:r>
      <w:r w:rsidR="002147D4">
        <w:rPr>
          <w:bCs/>
          <w:lang w:val="fr-FR"/>
        </w:rPr>
        <w:t xml:space="preserve">stipule </w:t>
      </w:r>
      <w:r w:rsidRPr="004849FD">
        <w:rPr>
          <w:bCs/>
          <w:lang w:val="fr-FR"/>
        </w:rPr>
        <w:t>qu</w:t>
      </w:r>
      <w:r w:rsidR="00923E72">
        <w:rPr>
          <w:bCs/>
          <w:lang w:val="fr-FR"/>
        </w:rPr>
        <w:t>’</w:t>
      </w:r>
      <w:r w:rsidRPr="004849FD">
        <w:rPr>
          <w:bCs/>
          <w:lang w:val="fr-FR"/>
        </w:rPr>
        <w:t>un élément est retiré de la Liste représentative par le Comité lorsqu</w:t>
      </w:r>
      <w:r w:rsidR="00923E72">
        <w:rPr>
          <w:bCs/>
          <w:lang w:val="fr-FR"/>
        </w:rPr>
        <w:t>’</w:t>
      </w:r>
      <w:r w:rsidRPr="004849FD">
        <w:rPr>
          <w:bCs/>
          <w:lang w:val="fr-FR"/>
        </w:rPr>
        <w:t>il estime qu</w:t>
      </w:r>
      <w:r w:rsidR="00923E72">
        <w:rPr>
          <w:bCs/>
          <w:lang w:val="fr-FR"/>
        </w:rPr>
        <w:t>’</w:t>
      </w:r>
      <w:r w:rsidRPr="004849FD">
        <w:rPr>
          <w:bCs/>
          <w:lang w:val="fr-FR"/>
        </w:rPr>
        <w:t>il ne remplit plus les critères requis, avec une attention particulière aux critères</w:t>
      </w:r>
      <w:r w:rsidR="00654CFB">
        <w:rPr>
          <w:bCs/>
          <w:lang w:val="fr-FR"/>
        </w:rPr>
        <w:t> </w:t>
      </w:r>
      <w:r w:rsidRPr="004849FD">
        <w:rPr>
          <w:bCs/>
          <w:lang w:val="fr-FR"/>
        </w:rPr>
        <w:t>R.1 et</w:t>
      </w:r>
      <w:r w:rsidR="00654CFB">
        <w:rPr>
          <w:bCs/>
          <w:lang w:val="fr-FR"/>
        </w:rPr>
        <w:t> </w:t>
      </w:r>
      <w:r w:rsidRPr="004849FD">
        <w:rPr>
          <w:bCs/>
          <w:lang w:val="fr-FR"/>
        </w:rPr>
        <w:t xml:space="preserve">R.4, et que le retrait peut </w:t>
      </w:r>
      <w:r w:rsidRPr="004849FD">
        <w:rPr>
          <w:bCs/>
          <w:lang w:val="fr-FR"/>
        </w:rPr>
        <w:lastRenderedPageBreak/>
        <w:t>être demandé par l</w:t>
      </w:r>
      <w:r w:rsidR="00923E72">
        <w:rPr>
          <w:bCs/>
          <w:lang w:val="fr-FR"/>
        </w:rPr>
        <w:t>’</w:t>
      </w:r>
      <w:r w:rsidRPr="004849FD">
        <w:rPr>
          <w:bCs/>
          <w:lang w:val="fr-FR"/>
        </w:rPr>
        <w:t>État partie concerné, les communautés, groupes et, le cas échéant, individus concernés ou par toute tierce partie. Il a précisé qu</w:t>
      </w:r>
      <w:r w:rsidR="00923E72">
        <w:rPr>
          <w:bCs/>
          <w:lang w:val="fr-FR"/>
        </w:rPr>
        <w:t>’</w:t>
      </w:r>
      <w:r w:rsidRPr="004849FD">
        <w:rPr>
          <w:bCs/>
          <w:lang w:val="fr-FR"/>
        </w:rPr>
        <w:t xml:space="preserve">une telle demande est traitée en suivant deux procédures différentes, selon que le retrait </w:t>
      </w:r>
      <w:r w:rsidR="002147D4">
        <w:rPr>
          <w:bCs/>
          <w:lang w:val="fr-FR"/>
        </w:rPr>
        <w:t xml:space="preserve">est </w:t>
      </w:r>
      <w:r w:rsidRPr="004849FD">
        <w:rPr>
          <w:bCs/>
          <w:lang w:val="fr-FR"/>
        </w:rPr>
        <w:t>demandé par l</w:t>
      </w:r>
      <w:r w:rsidR="00923E72">
        <w:rPr>
          <w:bCs/>
          <w:lang w:val="fr-FR"/>
        </w:rPr>
        <w:t>’</w:t>
      </w:r>
      <w:r w:rsidRPr="004849FD">
        <w:rPr>
          <w:bCs/>
          <w:lang w:val="fr-FR"/>
        </w:rPr>
        <w:t>État partie concerné ou par une tierce partie, ce qui était le cas en l</w:t>
      </w:r>
      <w:r w:rsidR="00923E72">
        <w:rPr>
          <w:bCs/>
          <w:lang w:val="fr-FR"/>
        </w:rPr>
        <w:t>’</w:t>
      </w:r>
      <w:r w:rsidRPr="004849FD">
        <w:rPr>
          <w:bCs/>
          <w:lang w:val="fr-FR"/>
        </w:rPr>
        <w:t>espèce. Le paragraphe</w:t>
      </w:r>
      <w:r w:rsidR="00654CFB">
        <w:rPr>
          <w:bCs/>
          <w:lang w:val="fr-FR"/>
        </w:rPr>
        <w:t> </w:t>
      </w:r>
      <w:r w:rsidRPr="004849FD">
        <w:rPr>
          <w:bCs/>
          <w:lang w:val="fr-FR"/>
        </w:rPr>
        <w:t>40.1 des Directives opérationnelles ne faisait pas spécifiquement référence au retrait d</w:t>
      </w:r>
      <w:r w:rsidR="00923E72">
        <w:rPr>
          <w:bCs/>
          <w:lang w:val="fr-FR"/>
        </w:rPr>
        <w:t>’</w:t>
      </w:r>
      <w:r w:rsidRPr="004849FD">
        <w:rPr>
          <w:bCs/>
          <w:lang w:val="fr-FR"/>
        </w:rPr>
        <w:t>une partie d</w:t>
      </w:r>
      <w:r w:rsidR="00923E72">
        <w:rPr>
          <w:bCs/>
          <w:lang w:val="fr-FR"/>
        </w:rPr>
        <w:t>’</w:t>
      </w:r>
      <w:r w:rsidRPr="004849FD">
        <w:rPr>
          <w:bCs/>
          <w:lang w:val="fr-FR"/>
        </w:rPr>
        <w:t>un élément</w:t>
      </w:r>
      <w:r w:rsidR="00205C6E">
        <w:rPr>
          <w:bCs/>
          <w:lang w:val="fr-FR"/>
        </w:rPr>
        <w:t>,</w:t>
      </w:r>
      <w:r w:rsidRPr="004849FD">
        <w:rPr>
          <w:bCs/>
          <w:lang w:val="fr-FR"/>
        </w:rPr>
        <w:t xml:space="preserve"> mais seulement de l</w:t>
      </w:r>
      <w:r w:rsidR="00923E72">
        <w:rPr>
          <w:bCs/>
          <w:lang w:val="fr-FR"/>
        </w:rPr>
        <w:t>’</w:t>
      </w:r>
      <w:r w:rsidRPr="004849FD">
        <w:rPr>
          <w:bCs/>
          <w:lang w:val="fr-FR"/>
        </w:rPr>
        <w:t>élément en tant que tel. En l</w:t>
      </w:r>
      <w:r w:rsidR="00923E72">
        <w:rPr>
          <w:bCs/>
          <w:lang w:val="fr-FR"/>
        </w:rPr>
        <w:t>’</w:t>
      </w:r>
      <w:r w:rsidRPr="004849FD">
        <w:rPr>
          <w:bCs/>
          <w:lang w:val="fr-FR"/>
        </w:rPr>
        <w:t>espèce, la demande de retrait reçue par le Secrétariat ne concernait pas l</w:t>
      </w:r>
      <w:r w:rsidR="00923E72">
        <w:rPr>
          <w:bCs/>
          <w:lang w:val="fr-FR"/>
        </w:rPr>
        <w:t>’</w:t>
      </w:r>
      <w:r w:rsidRPr="004849FD">
        <w:rPr>
          <w:bCs/>
          <w:lang w:val="fr-FR"/>
        </w:rPr>
        <w:t>ensemble de l</w:t>
      </w:r>
      <w:r w:rsidR="00923E72">
        <w:rPr>
          <w:bCs/>
          <w:lang w:val="fr-FR"/>
        </w:rPr>
        <w:t>’</w:t>
      </w:r>
      <w:r w:rsidRPr="004849FD">
        <w:rPr>
          <w:bCs/>
          <w:lang w:val="fr-FR"/>
        </w:rPr>
        <w:t xml:space="preserve">élément, à savoir </w:t>
      </w:r>
      <w:r w:rsidR="00654CFB">
        <w:rPr>
          <w:bCs/>
          <w:lang w:val="fr-FR"/>
        </w:rPr>
        <w:t>« </w:t>
      </w:r>
      <w:r w:rsidRPr="004849FD">
        <w:rPr>
          <w:bCs/>
          <w:lang w:val="fr-FR"/>
        </w:rPr>
        <w:t xml:space="preserve">Géants et dragons processionnels en Belgique et en </w:t>
      </w:r>
      <w:r w:rsidR="00654CFB">
        <w:rPr>
          <w:bCs/>
          <w:lang w:val="fr-FR"/>
        </w:rPr>
        <w:t>France »</w:t>
      </w:r>
      <w:r w:rsidRPr="004849FD">
        <w:rPr>
          <w:bCs/>
          <w:lang w:val="fr-FR"/>
        </w:rPr>
        <w:t>, mais uniquement la Ducasse d</w:t>
      </w:r>
      <w:r w:rsidR="00923E72">
        <w:rPr>
          <w:bCs/>
          <w:lang w:val="fr-FR"/>
        </w:rPr>
        <w:t>’</w:t>
      </w:r>
      <w:r w:rsidRPr="004849FD">
        <w:rPr>
          <w:bCs/>
          <w:lang w:val="fr-FR"/>
        </w:rPr>
        <w:t xml:space="preserve">Ath. Toutefois, dans la mesure où cette demande de </w:t>
      </w:r>
      <w:r w:rsidR="00654CFB">
        <w:rPr>
          <w:bCs/>
          <w:lang w:val="fr-FR"/>
        </w:rPr>
        <w:t xml:space="preserve">retrait </w:t>
      </w:r>
      <w:r w:rsidRPr="004849FD">
        <w:rPr>
          <w:bCs/>
          <w:lang w:val="fr-FR"/>
        </w:rPr>
        <w:t>d</w:t>
      </w:r>
      <w:r w:rsidR="00923E72">
        <w:rPr>
          <w:bCs/>
          <w:lang w:val="fr-FR"/>
        </w:rPr>
        <w:t>’</w:t>
      </w:r>
      <w:r w:rsidRPr="004849FD">
        <w:rPr>
          <w:bCs/>
          <w:lang w:val="fr-FR"/>
        </w:rPr>
        <w:t>une partie de l</w:t>
      </w:r>
      <w:r w:rsidR="00923E72">
        <w:rPr>
          <w:bCs/>
          <w:lang w:val="fr-FR"/>
        </w:rPr>
        <w:t>’</w:t>
      </w:r>
      <w:r w:rsidRPr="004849FD">
        <w:rPr>
          <w:bCs/>
          <w:lang w:val="fr-FR"/>
        </w:rPr>
        <w:t>élément pourrait potentiellement avoir un impact sur l</w:t>
      </w:r>
      <w:r w:rsidR="00923E72">
        <w:rPr>
          <w:bCs/>
          <w:lang w:val="fr-FR"/>
        </w:rPr>
        <w:t>’</w:t>
      </w:r>
      <w:r w:rsidRPr="004849FD">
        <w:rPr>
          <w:bCs/>
          <w:lang w:val="fr-FR"/>
        </w:rPr>
        <w:t>ensemble de l</w:t>
      </w:r>
      <w:r w:rsidR="00923E72">
        <w:rPr>
          <w:bCs/>
          <w:lang w:val="fr-FR"/>
        </w:rPr>
        <w:t>’</w:t>
      </w:r>
      <w:r w:rsidRPr="004849FD">
        <w:rPr>
          <w:bCs/>
          <w:lang w:val="fr-FR"/>
        </w:rPr>
        <w:t>élément, ce qui était une appréciation qui ne relevait pas du Secrétariat, ce dernier proposait</w:t>
      </w:r>
      <w:r w:rsidR="00654CFB">
        <w:rPr>
          <w:bCs/>
          <w:lang w:val="fr-FR"/>
        </w:rPr>
        <w:t xml:space="preserve">, selon les règles, </w:t>
      </w:r>
      <w:r w:rsidRPr="004849FD">
        <w:rPr>
          <w:bCs/>
          <w:lang w:val="fr-FR"/>
        </w:rPr>
        <w:t>au Comité d</w:t>
      </w:r>
      <w:r w:rsidR="00923E72">
        <w:rPr>
          <w:bCs/>
          <w:lang w:val="fr-FR"/>
        </w:rPr>
        <w:t>’</w:t>
      </w:r>
      <w:r w:rsidRPr="004849FD">
        <w:rPr>
          <w:bCs/>
          <w:lang w:val="fr-FR"/>
        </w:rPr>
        <w:t>appliquer la procédure prévue pour la suppression d</w:t>
      </w:r>
      <w:r w:rsidR="00923E72">
        <w:rPr>
          <w:bCs/>
          <w:lang w:val="fr-FR"/>
        </w:rPr>
        <w:t>’</w:t>
      </w:r>
      <w:r w:rsidRPr="004849FD">
        <w:rPr>
          <w:bCs/>
          <w:lang w:val="fr-FR"/>
        </w:rPr>
        <w:t>un élément, notamment lorsqu</w:t>
      </w:r>
      <w:r w:rsidR="00923E72">
        <w:rPr>
          <w:bCs/>
          <w:lang w:val="fr-FR"/>
        </w:rPr>
        <w:t>’</w:t>
      </w:r>
      <w:r w:rsidRPr="004849FD">
        <w:rPr>
          <w:bCs/>
          <w:lang w:val="fr-FR"/>
        </w:rPr>
        <w:t xml:space="preserve">une telle demande est </w:t>
      </w:r>
      <w:r w:rsidR="00654CFB">
        <w:rPr>
          <w:bCs/>
          <w:lang w:val="fr-FR"/>
        </w:rPr>
        <w:t xml:space="preserve">soumise </w:t>
      </w:r>
      <w:r w:rsidRPr="004849FD">
        <w:rPr>
          <w:bCs/>
          <w:lang w:val="fr-FR"/>
        </w:rPr>
        <w:t>par des tierces parties. Conformément à la procédure, le Bureau avait recommandé d</w:t>
      </w:r>
      <w:r w:rsidR="00923E72">
        <w:rPr>
          <w:bCs/>
          <w:lang w:val="fr-FR"/>
        </w:rPr>
        <w:t>’</w:t>
      </w:r>
      <w:r w:rsidRPr="004849FD">
        <w:rPr>
          <w:bCs/>
          <w:lang w:val="fr-FR"/>
        </w:rPr>
        <w:t>inscrire ce cas à l</w:t>
      </w:r>
      <w:r w:rsidR="00923E72">
        <w:rPr>
          <w:bCs/>
          <w:lang w:val="fr-FR"/>
        </w:rPr>
        <w:t>’</w:t>
      </w:r>
      <w:r w:rsidRPr="004849FD">
        <w:rPr>
          <w:bCs/>
          <w:lang w:val="fr-FR"/>
        </w:rPr>
        <w:t>ordre du jour de la présente session du Comité.</w:t>
      </w:r>
    </w:p>
    <w:p w14:paraId="652F0B6A" w14:textId="228AD772" w:rsidR="00654CFB" w:rsidRDefault="00654CFB" w:rsidP="00AA7EE4">
      <w:pPr>
        <w:pStyle w:val="Orateurengris"/>
        <w:numPr>
          <w:ilvl w:val="0"/>
          <w:numId w:val="20"/>
        </w:numPr>
        <w:tabs>
          <w:tab w:val="clear" w:pos="567"/>
        </w:tabs>
        <w:spacing w:before="120"/>
        <w:ind w:left="709" w:hanging="709"/>
        <w:rPr>
          <w:bCs/>
          <w:lang w:val="fr-FR"/>
        </w:rPr>
      </w:pPr>
      <w:r w:rsidRPr="00654CFB">
        <w:rPr>
          <w:bCs/>
          <w:lang w:val="fr-FR"/>
        </w:rPr>
        <w:t xml:space="preserve">Le </w:t>
      </w:r>
      <w:r w:rsidRPr="00702497">
        <w:rPr>
          <w:b/>
          <w:lang w:val="fr-FR"/>
        </w:rPr>
        <w:t>Conseiller juridique</w:t>
      </w:r>
      <w:r w:rsidRPr="00654CFB">
        <w:rPr>
          <w:bCs/>
          <w:lang w:val="fr-FR"/>
        </w:rPr>
        <w:t xml:space="preserve"> a expliqué qu</w:t>
      </w:r>
      <w:r w:rsidR="00923E72">
        <w:rPr>
          <w:bCs/>
          <w:lang w:val="fr-FR"/>
        </w:rPr>
        <w:t>’</w:t>
      </w:r>
      <w:r w:rsidRPr="00654CFB">
        <w:rPr>
          <w:bCs/>
          <w:lang w:val="fr-FR"/>
        </w:rPr>
        <w:t>à ce stade, sur la base du paragraphe</w:t>
      </w:r>
      <w:r w:rsidR="00753A01">
        <w:rPr>
          <w:bCs/>
          <w:lang w:val="fr-FR"/>
        </w:rPr>
        <w:t> </w:t>
      </w:r>
      <w:r w:rsidRPr="00654CFB">
        <w:rPr>
          <w:bCs/>
          <w:lang w:val="fr-FR"/>
        </w:rPr>
        <w:t xml:space="preserve">40.3 des Directives opérationnelles, le Comité </w:t>
      </w:r>
      <w:r w:rsidR="00753A01">
        <w:rPr>
          <w:bCs/>
          <w:lang w:val="fr-FR"/>
        </w:rPr>
        <w:t xml:space="preserve">pouvait </w:t>
      </w:r>
      <w:r w:rsidRPr="00654CFB">
        <w:rPr>
          <w:bCs/>
          <w:lang w:val="fr-FR"/>
        </w:rPr>
        <w:t>décider de maintenir l</w:t>
      </w:r>
      <w:r w:rsidR="00923E72">
        <w:rPr>
          <w:bCs/>
          <w:lang w:val="fr-FR"/>
        </w:rPr>
        <w:t>’</w:t>
      </w:r>
      <w:r w:rsidRPr="00654CFB">
        <w:rPr>
          <w:bCs/>
          <w:lang w:val="fr-FR"/>
        </w:rPr>
        <w:t>élément sur la Liste, s</w:t>
      </w:r>
      <w:r w:rsidR="00923E72">
        <w:rPr>
          <w:bCs/>
          <w:lang w:val="fr-FR"/>
        </w:rPr>
        <w:t>’</w:t>
      </w:r>
      <w:r w:rsidRPr="00654CFB">
        <w:rPr>
          <w:bCs/>
          <w:lang w:val="fr-FR"/>
        </w:rPr>
        <w:t>il consid</w:t>
      </w:r>
      <w:r w:rsidR="00753A01">
        <w:rPr>
          <w:bCs/>
          <w:lang w:val="fr-FR"/>
        </w:rPr>
        <w:t>érait</w:t>
      </w:r>
      <w:r w:rsidRPr="00654CFB">
        <w:rPr>
          <w:bCs/>
          <w:lang w:val="fr-FR"/>
        </w:rPr>
        <w:t xml:space="preserve"> que les informations </w:t>
      </w:r>
      <w:r w:rsidR="00753A01">
        <w:rPr>
          <w:bCs/>
          <w:lang w:val="fr-FR"/>
        </w:rPr>
        <w:t xml:space="preserve">étaient </w:t>
      </w:r>
      <w:r w:rsidRPr="00654CFB">
        <w:rPr>
          <w:bCs/>
          <w:lang w:val="fr-FR"/>
        </w:rPr>
        <w:t>complètes et qu</w:t>
      </w:r>
      <w:r w:rsidR="00923E72">
        <w:rPr>
          <w:bCs/>
          <w:lang w:val="fr-FR"/>
        </w:rPr>
        <w:t>’</w:t>
      </w:r>
      <w:r w:rsidRPr="00654CFB">
        <w:rPr>
          <w:bCs/>
          <w:lang w:val="fr-FR"/>
        </w:rPr>
        <w:t>il n</w:t>
      </w:r>
      <w:r w:rsidR="00923E72">
        <w:rPr>
          <w:bCs/>
          <w:lang w:val="fr-FR"/>
        </w:rPr>
        <w:t>’</w:t>
      </w:r>
      <w:r w:rsidRPr="00654CFB">
        <w:rPr>
          <w:bCs/>
          <w:lang w:val="fr-FR"/>
        </w:rPr>
        <w:t>y a</w:t>
      </w:r>
      <w:r w:rsidR="00753A01">
        <w:rPr>
          <w:bCs/>
          <w:lang w:val="fr-FR"/>
        </w:rPr>
        <w:t>vait</w:t>
      </w:r>
      <w:r w:rsidRPr="00654CFB">
        <w:rPr>
          <w:bCs/>
          <w:lang w:val="fr-FR"/>
        </w:rPr>
        <w:t xml:space="preserve"> pas de motifs suffisants de retrait, ou de placer l</w:t>
      </w:r>
      <w:r w:rsidR="00923E72">
        <w:rPr>
          <w:bCs/>
          <w:lang w:val="fr-FR"/>
        </w:rPr>
        <w:t>’</w:t>
      </w:r>
      <w:r w:rsidRPr="00654CFB">
        <w:rPr>
          <w:bCs/>
          <w:lang w:val="fr-FR"/>
        </w:rPr>
        <w:t xml:space="preserve">élément sous le statut de </w:t>
      </w:r>
      <w:r w:rsidR="00CF71EB">
        <w:rPr>
          <w:bCs/>
          <w:lang w:val="fr-FR"/>
        </w:rPr>
        <w:t>« </w:t>
      </w:r>
      <w:r w:rsidRPr="00654CFB">
        <w:rPr>
          <w:bCs/>
          <w:lang w:val="fr-FR"/>
        </w:rPr>
        <w:t>suivi approfondi</w:t>
      </w:r>
      <w:r w:rsidR="00CF71EB">
        <w:rPr>
          <w:bCs/>
          <w:lang w:val="fr-FR"/>
        </w:rPr>
        <w:t> »</w:t>
      </w:r>
      <w:r w:rsidRPr="00654CFB">
        <w:rPr>
          <w:bCs/>
          <w:lang w:val="fr-FR"/>
        </w:rPr>
        <w:t xml:space="preserve"> en tant que mesure provisoire, s</w:t>
      </w:r>
      <w:r w:rsidR="00923E72">
        <w:rPr>
          <w:bCs/>
          <w:lang w:val="fr-FR"/>
        </w:rPr>
        <w:t>’</w:t>
      </w:r>
      <w:r w:rsidRPr="00654CFB">
        <w:rPr>
          <w:bCs/>
          <w:lang w:val="fr-FR"/>
        </w:rPr>
        <w:t>il consid</w:t>
      </w:r>
      <w:r w:rsidR="00753A01">
        <w:rPr>
          <w:bCs/>
          <w:lang w:val="fr-FR"/>
        </w:rPr>
        <w:t>érait</w:t>
      </w:r>
      <w:r w:rsidRPr="00654CFB">
        <w:rPr>
          <w:bCs/>
          <w:lang w:val="fr-FR"/>
        </w:rPr>
        <w:t xml:space="preserve"> que des informations supplémentaires </w:t>
      </w:r>
      <w:r w:rsidR="00753A01">
        <w:rPr>
          <w:bCs/>
          <w:lang w:val="fr-FR"/>
        </w:rPr>
        <w:t xml:space="preserve">étaient </w:t>
      </w:r>
      <w:r w:rsidRPr="00654CFB">
        <w:rPr>
          <w:bCs/>
          <w:lang w:val="fr-FR"/>
        </w:rPr>
        <w:t xml:space="preserve">nécessaires. </w:t>
      </w:r>
      <w:r w:rsidR="00753A01">
        <w:rPr>
          <w:bCs/>
          <w:lang w:val="fr-FR"/>
        </w:rPr>
        <w:t>D</w:t>
      </w:r>
      <w:r w:rsidRPr="00654CFB">
        <w:rPr>
          <w:bCs/>
          <w:lang w:val="fr-FR"/>
        </w:rPr>
        <w:t>ans le cadre du processus de suivi approfondi, conformément au paragraphe</w:t>
      </w:r>
      <w:r w:rsidR="00753A01">
        <w:rPr>
          <w:bCs/>
          <w:lang w:val="fr-FR"/>
        </w:rPr>
        <w:t> </w:t>
      </w:r>
      <w:r w:rsidRPr="00654CFB">
        <w:rPr>
          <w:bCs/>
          <w:lang w:val="fr-FR"/>
        </w:rPr>
        <w:t>40.3 des Directives opérationnelles, l</w:t>
      </w:r>
      <w:r w:rsidR="00923E72">
        <w:rPr>
          <w:bCs/>
          <w:lang w:val="fr-FR"/>
        </w:rPr>
        <w:t>’</w:t>
      </w:r>
      <w:r w:rsidRPr="00654CFB">
        <w:rPr>
          <w:bCs/>
          <w:lang w:val="fr-FR"/>
        </w:rPr>
        <w:t>Organe d</w:t>
      </w:r>
      <w:r w:rsidR="00923E72">
        <w:rPr>
          <w:bCs/>
          <w:lang w:val="fr-FR"/>
        </w:rPr>
        <w:t>’</w:t>
      </w:r>
      <w:r w:rsidRPr="00654CFB">
        <w:rPr>
          <w:bCs/>
          <w:lang w:val="fr-FR"/>
        </w:rPr>
        <w:t>évaluation évalue</w:t>
      </w:r>
      <w:r w:rsidR="00753A01">
        <w:rPr>
          <w:bCs/>
          <w:lang w:val="fr-FR"/>
        </w:rPr>
        <w:t>rait</w:t>
      </w:r>
      <w:r w:rsidRPr="00654CFB">
        <w:rPr>
          <w:bCs/>
          <w:lang w:val="fr-FR"/>
        </w:rPr>
        <w:t xml:space="preserve"> l</w:t>
      </w:r>
      <w:r w:rsidR="00923E72">
        <w:rPr>
          <w:bCs/>
          <w:lang w:val="fr-FR"/>
        </w:rPr>
        <w:t>’</w:t>
      </w:r>
      <w:r w:rsidRPr="00654CFB">
        <w:rPr>
          <w:bCs/>
          <w:lang w:val="fr-FR"/>
        </w:rPr>
        <w:t>élément placé sous le statut de suivi approfondi, en accordant une attention particulière à l</w:t>
      </w:r>
      <w:r w:rsidR="00923E72">
        <w:rPr>
          <w:bCs/>
          <w:lang w:val="fr-FR"/>
        </w:rPr>
        <w:t>’</w:t>
      </w:r>
      <w:r w:rsidRPr="00654CFB">
        <w:rPr>
          <w:bCs/>
          <w:lang w:val="fr-FR"/>
        </w:rPr>
        <w:t>article</w:t>
      </w:r>
      <w:r w:rsidR="00753A01">
        <w:rPr>
          <w:bCs/>
          <w:lang w:val="fr-FR"/>
        </w:rPr>
        <w:t> </w:t>
      </w:r>
      <w:r w:rsidRPr="00654CFB">
        <w:rPr>
          <w:bCs/>
          <w:lang w:val="fr-FR"/>
        </w:rPr>
        <w:t xml:space="preserve">2 de la Convention, sur la base des informations supplémentaires recueillies à travers des échanges et un dialogue, </w:t>
      </w:r>
      <w:r w:rsidR="00753A01">
        <w:rPr>
          <w:bCs/>
          <w:lang w:val="fr-FR"/>
        </w:rPr>
        <w:t xml:space="preserve">et </w:t>
      </w:r>
      <w:r w:rsidRPr="00654CFB">
        <w:rPr>
          <w:bCs/>
          <w:lang w:val="fr-FR"/>
        </w:rPr>
        <w:t>transmet</w:t>
      </w:r>
      <w:r w:rsidR="00753A01">
        <w:rPr>
          <w:bCs/>
          <w:lang w:val="fr-FR"/>
        </w:rPr>
        <w:t>trait</w:t>
      </w:r>
      <w:r w:rsidRPr="00654CFB">
        <w:rPr>
          <w:bCs/>
          <w:lang w:val="fr-FR"/>
        </w:rPr>
        <w:t xml:space="preserve"> son rapport et ses recommandations au Secrétariat. </w:t>
      </w:r>
      <w:r w:rsidR="003C375E">
        <w:rPr>
          <w:bCs/>
          <w:lang w:val="fr-FR"/>
        </w:rPr>
        <w:t xml:space="preserve">En fonction </w:t>
      </w:r>
      <w:r w:rsidRPr="00654CFB">
        <w:rPr>
          <w:bCs/>
          <w:lang w:val="fr-FR"/>
        </w:rPr>
        <w:t>de la recommandation de l</w:t>
      </w:r>
      <w:r w:rsidR="00923E72">
        <w:rPr>
          <w:bCs/>
          <w:lang w:val="fr-FR"/>
        </w:rPr>
        <w:t>’</w:t>
      </w:r>
      <w:r w:rsidRPr="00654CFB">
        <w:rPr>
          <w:bCs/>
          <w:lang w:val="fr-FR"/>
        </w:rPr>
        <w:t>Organe d</w:t>
      </w:r>
      <w:r w:rsidR="00923E72">
        <w:rPr>
          <w:bCs/>
          <w:lang w:val="fr-FR"/>
        </w:rPr>
        <w:t>’</w:t>
      </w:r>
      <w:r w:rsidRPr="00654CFB">
        <w:rPr>
          <w:bCs/>
          <w:lang w:val="fr-FR"/>
        </w:rPr>
        <w:t xml:space="preserve">évaluation, le Comité </w:t>
      </w:r>
      <w:r w:rsidR="00753A01">
        <w:rPr>
          <w:bCs/>
          <w:lang w:val="fr-FR"/>
        </w:rPr>
        <w:t xml:space="preserve">pourrait </w:t>
      </w:r>
      <w:r w:rsidRPr="00654CFB">
        <w:rPr>
          <w:bCs/>
          <w:lang w:val="fr-FR"/>
        </w:rPr>
        <w:t>alors décider de continuer à placer l</w:t>
      </w:r>
      <w:r w:rsidR="00923E72">
        <w:rPr>
          <w:bCs/>
          <w:lang w:val="fr-FR"/>
        </w:rPr>
        <w:t>’</w:t>
      </w:r>
      <w:r w:rsidRPr="00654CFB">
        <w:rPr>
          <w:bCs/>
          <w:lang w:val="fr-FR"/>
        </w:rPr>
        <w:t>élément sous le statut de suivi pour une période déterminée, si le problème persiste, ou de retirer l</w:t>
      </w:r>
      <w:r w:rsidR="00923E72">
        <w:rPr>
          <w:bCs/>
          <w:lang w:val="fr-FR"/>
        </w:rPr>
        <w:t>’</w:t>
      </w:r>
      <w:r w:rsidRPr="00654CFB">
        <w:rPr>
          <w:bCs/>
          <w:lang w:val="fr-FR"/>
        </w:rPr>
        <w:t>élément ou de le maintenir s</w:t>
      </w:r>
      <w:r w:rsidR="00923E72">
        <w:rPr>
          <w:bCs/>
          <w:lang w:val="fr-FR"/>
        </w:rPr>
        <w:t>’</w:t>
      </w:r>
      <w:r w:rsidRPr="00654CFB">
        <w:rPr>
          <w:bCs/>
          <w:lang w:val="fr-FR"/>
        </w:rPr>
        <w:t>il n</w:t>
      </w:r>
      <w:r w:rsidR="00923E72">
        <w:rPr>
          <w:bCs/>
          <w:lang w:val="fr-FR"/>
        </w:rPr>
        <w:t>’</w:t>
      </w:r>
      <w:r w:rsidRPr="00654CFB">
        <w:rPr>
          <w:bCs/>
          <w:lang w:val="fr-FR"/>
        </w:rPr>
        <w:t>y a pas de motifs suffisants justifiant le retrait. C</w:t>
      </w:r>
      <w:r w:rsidR="00923E72">
        <w:rPr>
          <w:bCs/>
          <w:lang w:val="fr-FR"/>
        </w:rPr>
        <w:t>’</w:t>
      </w:r>
      <w:r w:rsidRPr="00654CFB">
        <w:rPr>
          <w:bCs/>
          <w:lang w:val="fr-FR"/>
        </w:rPr>
        <w:t>était la procédure prévue dans les Directives opérationnelles pour une demande de retrait d</w:t>
      </w:r>
      <w:r w:rsidR="00923E72">
        <w:rPr>
          <w:bCs/>
          <w:lang w:val="fr-FR"/>
        </w:rPr>
        <w:t>’</w:t>
      </w:r>
      <w:r w:rsidRPr="00654CFB">
        <w:rPr>
          <w:bCs/>
          <w:lang w:val="fr-FR"/>
        </w:rPr>
        <w:t>un élément.</w:t>
      </w:r>
      <w:r w:rsidR="00CF71EB">
        <w:rPr>
          <w:bCs/>
          <w:lang w:val="fr-FR"/>
        </w:rPr>
        <w:t xml:space="preserve"> Toutefois</w:t>
      </w:r>
      <w:r w:rsidRPr="00654CFB">
        <w:rPr>
          <w:bCs/>
          <w:lang w:val="fr-FR"/>
        </w:rPr>
        <w:t>, les Directives opérationnelles ne prévoyaient pas de procédure pour le retrait d</w:t>
      </w:r>
      <w:r w:rsidR="00923E72">
        <w:rPr>
          <w:bCs/>
          <w:lang w:val="fr-FR"/>
        </w:rPr>
        <w:t>’</w:t>
      </w:r>
      <w:r w:rsidRPr="00654CFB">
        <w:rPr>
          <w:bCs/>
          <w:lang w:val="fr-FR"/>
        </w:rPr>
        <w:t>une seule partie d</w:t>
      </w:r>
      <w:r w:rsidR="00923E72">
        <w:rPr>
          <w:bCs/>
          <w:lang w:val="fr-FR"/>
        </w:rPr>
        <w:t>’</w:t>
      </w:r>
      <w:r w:rsidRPr="00654CFB">
        <w:rPr>
          <w:bCs/>
          <w:lang w:val="fr-FR"/>
        </w:rPr>
        <w:t>un élément inscrit dans son intégralité. Ainsi, il n</w:t>
      </w:r>
      <w:r w:rsidR="00923E72">
        <w:rPr>
          <w:bCs/>
          <w:lang w:val="fr-FR"/>
        </w:rPr>
        <w:t>’</w:t>
      </w:r>
      <w:r w:rsidRPr="00654CFB">
        <w:rPr>
          <w:bCs/>
          <w:lang w:val="fr-FR"/>
        </w:rPr>
        <w:t>y avait pas de règles permettant ou empêchant le Comité d</w:t>
      </w:r>
      <w:r w:rsidR="00923E72">
        <w:rPr>
          <w:bCs/>
          <w:lang w:val="fr-FR"/>
        </w:rPr>
        <w:t>’</w:t>
      </w:r>
      <w:r w:rsidRPr="00654CFB">
        <w:rPr>
          <w:bCs/>
          <w:lang w:val="fr-FR"/>
        </w:rPr>
        <w:t>agir de la sorte, et on ne pouvait pas non plus exclure la possibilité pour le Comité de ne retirer qu</w:t>
      </w:r>
      <w:r w:rsidR="00923E72">
        <w:rPr>
          <w:bCs/>
          <w:lang w:val="fr-FR"/>
        </w:rPr>
        <w:t>’</w:t>
      </w:r>
      <w:r w:rsidRPr="00654CFB">
        <w:rPr>
          <w:bCs/>
          <w:lang w:val="fr-FR"/>
        </w:rPr>
        <w:t>une partie de l</w:t>
      </w:r>
      <w:r w:rsidR="00923E72">
        <w:rPr>
          <w:bCs/>
          <w:lang w:val="fr-FR"/>
        </w:rPr>
        <w:t>’</w:t>
      </w:r>
      <w:r w:rsidRPr="00654CFB">
        <w:rPr>
          <w:bCs/>
          <w:lang w:val="fr-FR"/>
        </w:rPr>
        <w:t>élément. En fin de compte, il appartenait au Comité d</w:t>
      </w:r>
      <w:r w:rsidR="00923E72">
        <w:rPr>
          <w:bCs/>
          <w:lang w:val="fr-FR"/>
        </w:rPr>
        <w:t>’</w:t>
      </w:r>
      <w:r w:rsidRPr="00654CFB">
        <w:rPr>
          <w:bCs/>
          <w:lang w:val="fr-FR"/>
        </w:rPr>
        <w:t>interpréter la procédure prévue dans les Directives opérationnelles, ou l</w:t>
      </w:r>
      <w:r w:rsidR="00923E72">
        <w:rPr>
          <w:bCs/>
          <w:lang w:val="fr-FR"/>
        </w:rPr>
        <w:t>’</w:t>
      </w:r>
      <w:r w:rsidRPr="00654CFB">
        <w:rPr>
          <w:bCs/>
          <w:lang w:val="fr-FR"/>
        </w:rPr>
        <w:t xml:space="preserve">absence de procédure, et de prendre une décision à cet égard. Le </w:t>
      </w:r>
      <w:r w:rsidR="00753A01">
        <w:rPr>
          <w:bCs/>
          <w:lang w:val="fr-FR"/>
        </w:rPr>
        <w:t>C</w:t>
      </w:r>
      <w:r w:rsidRPr="00654CFB">
        <w:rPr>
          <w:bCs/>
          <w:lang w:val="fr-FR"/>
        </w:rPr>
        <w:t>onseiller juridique a souligné que si le Comité décidait d</w:t>
      </w:r>
      <w:r w:rsidR="00923E72">
        <w:rPr>
          <w:bCs/>
          <w:lang w:val="fr-FR"/>
        </w:rPr>
        <w:t>’</w:t>
      </w:r>
      <w:r w:rsidRPr="00654CFB">
        <w:rPr>
          <w:bCs/>
          <w:lang w:val="fr-FR"/>
        </w:rPr>
        <w:t>accepter de retirer une seule partie de l</w:t>
      </w:r>
      <w:r w:rsidR="00923E72">
        <w:rPr>
          <w:bCs/>
          <w:lang w:val="fr-FR"/>
        </w:rPr>
        <w:t>’</w:t>
      </w:r>
      <w:r w:rsidRPr="00654CFB">
        <w:rPr>
          <w:bCs/>
          <w:lang w:val="fr-FR"/>
        </w:rPr>
        <w:t>élément, cette décision impliquerait essentiellement dans son jugement que la Ducasse d</w:t>
      </w:r>
      <w:r w:rsidR="00923E72">
        <w:rPr>
          <w:bCs/>
          <w:lang w:val="fr-FR"/>
        </w:rPr>
        <w:t>’</w:t>
      </w:r>
      <w:r w:rsidRPr="00654CFB">
        <w:rPr>
          <w:bCs/>
          <w:lang w:val="fr-FR"/>
        </w:rPr>
        <w:t>Ath ne satisfaisait plus aux critères d</w:t>
      </w:r>
      <w:r w:rsidR="00923E72">
        <w:rPr>
          <w:bCs/>
          <w:lang w:val="fr-FR"/>
        </w:rPr>
        <w:t>’</w:t>
      </w:r>
      <w:r w:rsidRPr="00654CFB">
        <w:rPr>
          <w:bCs/>
          <w:lang w:val="fr-FR"/>
        </w:rPr>
        <w:t>inscription, mais que le reste de l</w:t>
      </w:r>
      <w:r w:rsidR="00923E72">
        <w:rPr>
          <w:bCs/>
          <w:lang w:val="fr-FR"/>
        </w:rPr>
        <w:t>’</w:t>
      </w:r>
      <w:r w:rsidRPr="00654CFB">
        <w:rPr>
          <w:bCs/>
          <w:lang w:val="fr-FR"/>
        </w:rPr>
        <w:t>élément et la fête</w:t>
      </w:r>
      <w:r w:rsidR="00CF71EB">
        <w:rPr>
          <w:bCs/>
          <w:lang w:val="fr-FR"/>
        </w:rPr>
        <w:t xml:space="preserve"> en soi</w:t>
      </w:r>
      <w:r w:rsidRPr="00654CFB">
        <w:rPr>
          <w:bCs/>
          <w:lang w:val="fr-FR"/>
        </w:rPr>
        <w:t xml:space="preserve"> satisfaisaient toujours aux critères d</w:t>
      </w:r>
      <w:r w:rsidR="00923E72">
        <w:rPr>
          <w:bCs/>
          <w:lang w:val="fr-FR"/>
        </w:rPr>
        <w:t>’</w:t>
      </w:r>
      <w:r w:rsidRPr="00654CFB">
        <w:rPr>
          <w:bCs/>
          <w:lang w:val="fr-FR"/>
        </w:rPr>
        <w:t>inscription, même sans la Ducasse d</w:t>
      </w:r>
      <w:r w:rsidR="00923E72">
        <w:rPr>
          <w:bCs/>
          <w:lang w:val="fr-FR"/>
        </w:rPr>
        <w:t>’</w:t>
      </w:r>
      <w:r w:rsidRPr="00654CFB">
        <w:rPr>
          <w:bCs/>
          <w:lang w:val="fr-FR"/>
        </w:rPr>
        <w:t>Ath.</w:t>
      </w:r>
    </w:p>
    <w:p w14:paraId="01B29806" w14:textId="4377F666" w:rsidR="00770243" w:rsidRDefault="00770243" w:rsidP="00AA7EE4">
      <w:pPr>
        <w:pStyle w:val="Orateurengris"/>
        <w:numPr>
          <w:ilvl w:val="0"/>
          <w:numId w:val="20"/>
        </w:numPr>
        <w:tabs>
          <w:tab w:val="clear" w:pos="567"/>
        </w:tabs>
        <w:spacing w:before="120"/>
        <w:ind w:left="709" w:hanging="709"/>
        <w:rPr>
          <w:bCs/>
          <w:lang w:val="fr-FR"/>
        </w:rPr>
      </w:pPr>
      <w:r w:rsidRPr="00770243">
        <w:rPr>
          <w:bCs/>
          <w:lang w:val="fr-FR"/>
        </w:rPr>
        <w:t xml:space="preserve">Le </w:t>
      </w:r>
      <w:r w:rsidRPr="00702497">
        <w:rPr>
          <w:b/>
          <w:lang w:val="fr-FR"/>
        </w:rPr>
        <w:t>Président</w:t>
      </w:r>
      <w:r w:rsidRPr="00770243">
        <w:rPr>
          <w:bCs/>
          <w:lang w:val="fr-FR"/>
        </w:rPr>
        <w:t xml:space="preserve"> a remercié le Conseiller juridique, notant que les éléments pour </w:t>
      </w:r>
      <w:r w:rsidR="001B7BAC">
        <w:rPr>
          <w:bCs/>
          <w:lang w:val="fr-FR"/>
        </w:rPr>
        <w:t>évaluer le</w:t>
      </w:r>
      <w:r w:rsidRPr="00770243">
        <w:rPr>
          <w:bCs/>
          <w:lang w:val="fr-FR"/>
        </w:rPr>
        <w:t xml:space="preserve"> cas étaient clairs malgré la situation sans précédent, et que le Comité devrait assumer sa responsabilité</w:t>
      </w:r>
      <w:r w:rsidR="001B7BAC">
        <w:rPr>
          <w:bCs/>
          <w:lang w:val="fr-FR"/>
        </w:rPr>
        <w:t xml:space="preserve"> en commun</w:t>
      </w:r>
      <w:r w:rsidRPr="00770243">
        <w:rPr>
          <w:bCs/>
          <w:lang w:val="fr-FR"/>
        </w:rPr>
        <w:t>. Le Président a pris note de la question posée par la Côte d</w:t>
      </w:r>
      <w:r w:rsidR="00923E72">
        <w:rPr>
          <w:bCs/>
          <w:lang w:val="fr-FR"/>
        </w:rPr>
        <w:t>’</w:t>
      </w:r>
      <w:r w:rsidRPr="00770243">
        <w:rPr>
          <w:bCs/>
          <w:lang w:val="fr-FR"/>
        </w:rPr>
        <w:t xml:space="preserve">Ivoire au Secrétariat </w:t>
      </w:r>
      <w:r w:rsidR="001B7BAC">
        <w:rPr>
          <w:bCs/>
          <w:lang w:val="fr-FR"/>
        </w:rPr>
        <w:t xml:space="preserve">et a invité </w:t>
      </w:r>
      <w:r w:rsidRPr="00770243">
        <w:rPr>
          <w:bCs/>
          <w:lang w:val="fr-FR"/>
        </w:rPr>
        <w:t>le Sous-Directeur général à y répondre</w:t>
      </w:r>
      <w:r w:rsidR="001B7BAC">
        <w:rPr>
          <w:bCs/>
          <w:lang w:val="fr-FR"/>
        </w:rPr>
        <w:t>.</w:t>
      </w:r>
    </w:p>
    <w:p w14:paraId="14DE7362" w14:textId="056BDA0E" w:rsidR="001B7BAC" w:rsidRDefault="001B7BAC" w:rsidP="00AA7EE4">
      <w:pPr>
        <w:pStyle w:val="Orateurengris"/>
        <w:numPr>
          <w:ilvl w:val="0"/>
          <w:numId w:val="20"/>
        </w:numPr>
        <w:tabs>
          <w:tab w:val="clear" w:pos="567"/>
        </w:tabs>
        <w:spacing w:before="120"/>
        <w:ind w:left="709" w:hanging="709"/>
        <w:rPr>
          <w:bCs/>
          <w:lang w:val="fr-FR"/>
        </w:rPr>
      </w:pPr>
      <w:r w:rsidRPr="001B7BAC">
        <w:rPr>
          <w:bCs/>
          <w:lang w:val="fr-FR"/>
        </w:rPr>
        <w:t xml:space="preserve">Le </w:t>
      </w:r>
      <w:r w:rsidRPr="00702497">
        <w:rPr>
          <w:b/>
          <w:lang w:val="fr-FR"/>
        </w:rPr>
        <w:t>Sous-Directeur général</w:t>
      </w:r>
      <w:r w:rsidRPr="001B7BAC">
        <w:rPr>
          <w:bCs/>
          <w:lang w:val="fr-FR"/>
        </w:rPr>
        <w:t xml:space="preserve"> a fait remarquer que rien dans les textes réglementaires n</w:t>
      </w:r>
      <w:r w:rsidR="00923E72">
        <w:rPr>
          <w:bCs/>
          <w:lang w:val="fr-FR"/>
        </w:rPr>
        <w:t>’</w:t>
      </w:r>
      <w:r w:rsidRPr="001B7BAC">
        <w:rPr>
          <w:bCs/>
          <w:lang w:val="fr-FR"/>
        </w:rPr>
        <w:t>expliquait comment procéder dans le scénario évoqué par la Côte d</w:t>
      </w:r>
      <w:r w:rsidR="00923E72">
        <w:rPr>
          <w:bCs/>
          <w:lang w:val="fr-FR"/>
        </w:rPr>
        <w:t>’</w:t>
      </w:r>
      <w:r w:rsidRPr="001B7BAC">
        <w:rPr>
          <w:bCs/>
          <w:lang w:val="fr-FR"/>
        </w:rPr>
        <w:t>Ivoire, si l</w:t>
      </w:r>
      <w:r w:rsidR="00CF71EB">
        <w:rPr>
          <w:bCs/>
          <w:lang w:val="fr-FR"/>
        </w:rPr>
        <w:t xml:space="preserve">a fête </w:t>
      </w:r>
      <w:r w:rsidRPr="001B7BAC">
        <w:rPr>
          <w:bCs/>
          <w:lang w:val="fr-FR"/>
        </w:rPr>
        <w:t>revenait à l</w:t>
      </w:r>
      <w:r w:rsidR="00923E72">
        <w:rPr>
          <w:bCs/>
          <w:lang w:val="fr-FR"/>
        </w:rPr>
        <w:t>’</w:t>
      </w:r>
      <w:r w:rsidRPr="001B7BAC">
        <w:rPr>
          <w:bCs/>
          <w:lang w:val="fr-FR"/>
        </w:rPr>
        <w:t>origine de ce que représentent les autres éléments de cette inscription. Toutefois, comme l</w:t>
      </w:r>
      <w:r w:rsidR="00923E72">
        <w:rPr>
          <w:bCs/>
          <w:lang w:val="fr-FR"/>
        </w:rPr>
        <w:t>’</w:t>
      </w:r>
      <w:r w:rsidRPr="001B7BAC">
        <w:rPr>
          <w:bCs/>
          <w:lang w:val="fr-FR"/>
        </w:rPr>
        <w:t>avait mentionné le Conseiller juridique, cela dépendrait du Comité. La procédure devrait être la même que lorsqu</w:t>
      </w:r>
      <w:r w:rsidR="00923E72">
        <w:rPr>
          <w:bCs/>
          <w:lang w:val="fr-FR"/>
        </w:rPr>
        <w:t>’</w:t>
      </w:r>
      <w:r w:rsidRPr="001B7BAC">
        <w:rPr>
          <w:bCs/>
          <w:lang w:val="fr-FR"/>
        </w:rPr>
        <w:t>il y avait une inscription ou une extension d</w:t>
      </w:r>
      <w:r w:rsidR="00923E72">
        <w:rPr>
          <w:bCs/>
          <w:lang w:val="fr-FR"/>
        </w:rPr>
        <w:t>’</w:t>
      </w:r>
      <w:r w:rsidRPr="001B7BAC">
        <w:rPr>
          <w:bCs/>
          <w:lang w:val="fr-FR"/>
        </w:rPr>
        <w:t>un élément présentée par un État partie, c</w:t>
      </w:r>
      <w:r w:rsidR="00923E72">
        <w:rPr>
          <w:bCs/>
          <w:lang w:val="fr-FR"/>
        </w:rPr>
        <w:t>’</w:t>
      </w:r>
      <w:r w:rsidRPr="001B7BAC">
        <w:rPr>
          <w:bCs/>
          <w:lang w:val="fr-FR"/>
        </w:rPr>
        <w:t>est-à-dire</w:t>
      </w:r>
      <w:r w:rsidR="00CF71EB">
        <w:rPr>
          <w:bCs/>
          <w:lang w:val="fr-FR"/>
        </w:rPr>
        <w:t>,</w:t>
      </w:r>
      <w:r w:rsidRPr="001B7BAC">
        <w:rPr>
          <w:bCs/>
          <w:lang w:val="fr-FR"/>
        </w:rPr>
        <w:t xml:space="preserve"> pas spécifiquement par une </w:t>
      </w:r>
      <w:r w:rsidR="00CF71EB">
        <w:rPr>
          <w:bCs/>
          <w:lang w:val="fr-FR"/>
        </w:rPr>
        <w:t xml:space="preserve">seule </w:t>
      </w:r>
      <w:r w:rsidRPr="001B7BAC">
        <w:rPr>
          <w:bCs/>
          <w:lang w:val="fr-FR"/>
        </w:rPr>
        <w:t>communauté, pour réincorporer l</w:t>
      </w:r>
      <w:r w:rsidR="00923E72">
        <w:rPr>
          <w:bCs/>
          <w:lang w:val="fr-FR"/>
        </w:rPr>
        <w:t>’</w:t>
      </w:r>
      <w:r w:rsidRPr="001B7BAC">
        <w:rPr>
          <w:bCs/>
          <w:lang w:val="fr-FR"/>
        </w:rPr>
        <w:t>élément (dans ce cas précis, l</w:t>
      </w:r>
      <w:r w:rsidR="00CF71EB">
        <w:rPr>
          <w:bCs/>
          <w:lang w:val="fr-FR"/>
        </w:rPr>
        <w:t>a fête</w:t>
      </w:r>
      <w:r w:rsidRPr="001B7BAC">
        <w:rPr>
          <w:bCs/>
          <w:lang w:val="fr-FR"/>
        </w:rPr>
        <w:t>) dans l</w:t>
      </w:r>
      <w:r w:rsidR="00923E72">
        <w:rPr>
          <w:bCs/>
          <w:lang w:val="fr-FR"/>
        </w:rPr>
        <w:t>’</w:t>
      </w:r>
      <w:r w:rsidRPr="001B7BAC">
        <w:rPr>
          <w:bCs/>
          <w:lang w:val="fr-FR"/>
        </w:rPr>
        <w:t>esprit de l</w:t>
      </w:r>
      <w:r w:rsidR="00923E72">
        <w:rPr>
          <w:bCs/>
          <w:lang w:val="fr-FR"/>
        </w:rPr>
        <w:t>’</w:t>
      </w:r>
      <w:r w:rsidRPr="001B7BAC">
        <w:rPr>
          <w:bCs/>
          <w:lang w:val="fr-FR"/>
        </w:rPr>
        <w:t xml:space="preserve">inscription </w:t>
      </w:r>
      <w:r w:rsidR="00F32C4F">
        <w:rPr>
          <w:bCs/>
          <w:lang w:val="fr-FR"/>
        </w:rPr>
        <w:t>d</w:t>
      </w:r>
      <w:r w:rsidR="00923E72">
        <w:rPr>
          <w:bCs/>
          <w:lang w:val="fr-FR"/>
        </w:rPr>
        <w:t>’</w:t>
      </w:r>
      <w:r w:rsidRPr="001B7BAC">
        <w:rPr>
          <w:bCs/>
          <w:lang w:val="fr-FR"/>
        </w:rPr>
        <w:t>origine, bien sûr, en supprimant tout élément litigieux, comme pourrait le décider le Comité dans ce cas.</w:t>
      </w:r>
    </w:p>
    <w:p w14:paraId="4B5B50EA" w14:textId="2A0BA4BE" w:rsidR="001B7BAC" w:rsidRDefault="001B7BAC" w:rsidP="00AA7EE4">
      <w:pPr>
        <w:pStyle w:val="Orateurengris"/>
        <w:numPr>
          <w:ilvl w:val="0"/>
          <w:numId w:val="20"/>
        </w:numPr>
        <w:tabs>
          <w:tab w:val="clear" w:pos="567"/>
        </w:tabs>
        <w:spacing w:before="120"/>
        <w:ind w:left="709" w:hanging="709"/>
        <w:rPr>
          <w:bCs/>
          <w:lang w:val="fr-FR"/>
        </w:rPr>
      </w:pPr>
      <w:r w:rsidRPr="001B7BAC">
        <w:rPr>
          <w:bCs/>
          <w:lang w:val="fr-FR"/>
        </w:rPr>
        <w:t xml:space="preserve">La délégation de la </w:t>
      </w:r>
      <w:r w:rsidRPr="00702497">
        <w:rPr>
          <w:b/>
          <w:lang w:val="fr-FR"/>
        </w:rPr>
        <w:t>Slovaquie</w:t>
      </w:r>
      <w:r w:rsidRPr="001B7BAC">
        <w:rPr>
          <w:bCs/>
          <w:lang w:val="fr-FR"/>
        </w:rPr>
        <w:t xml:space="preserve"> a remercié le Conseiller juridique pour ses conseils utiles, notant que le Comité pouvait prendre la décision de retirer une partie de l</w:t>
      </w:r>
      <w:r w:rsidR="00923E72">
        <w:rPr>
          <w:bCs/>
          <w:lang w:val="fr-FR"/>
        </w:rPr>
        <w:t>’</w:t>
      </w:r>
      <w:r w:rsidRPr="001B7BAC">
        <w:rPr>
          <w:bCs/>
          <w:lang w:val="fr-FR"/>
        </w:rPr>
        <w:t xml:space="preserve">élément. Toutefois, dans ce cas, le Comité devait-il appliquer la procédure </w:t>
      </w:r>
      <w:r w:rsidRPr="00702497">
        <w:rPr>
          <w:bCs/>
          <w:i/>
          <w:iCs/>
          <w:lang w:val="fr-FR"/>
        </w:rPr>
        <w:t>mutatis mutandis</w:t>
      </w:r>
      <w:r w:rsidRPr="001B7BAC">
        <w:rPr>
          <w:bCs/>
          <w:lang w:val="fr-FR"/>
        </w:rPr>
        <w:t xml:space="preserve"> telle que stipulée </w:t>
      </w:r>
      <w:r w:rsidRPr="001B7BAC">
        <w:rPr>
          <w:bCs/>
          <w:lang w:val="fr-FR"/>
        </w:rPr>
        <w:lastRenderedPageBreak/>
        <w:t xml:space="preserve">dans les Directives opérationnelles à la lettre </w:t>
      </w:r>
      <w:r>
        <w:rPr>
          <w:bCs/>
          <w:lang w:val="fr-FR"/>
        </w:rPr>
        <w:t>« </w:t>
      </w:r>
      <w:r w:rsidRPr="001B7BAC">
        <w:rPr>
          <w:bCs/>
          <w:lang w:val="fr-FR"/>
        </w:rPr>
        <w:t>e</w:t>
      </w:r>
      <w:r>
        <w:rPr>
          <w:bCs/>
          <w:lang w:val="fr-FR"/>
        </w:rPr>
        <w:t> »</w:t>
      </w:r>
      <w:r w:rsidRPr="001B7BAC">
        <w:rPr>
          <w:bCs/>
          <w:lang w:val="fr-FR"/>
        </w:rPr>
        <w:t xml:space="preserve"> ou décider de retirer une partie de l</w:t>
      </w:r>
      <w:r w:rsidR="00923E72">
        <w:rPr>
          <w:bCs/>
          <w:lang w:val="fr-FR"/>
        </w:rPr>
        <w:t>’</w:t>
      </w:r>
      <w:r w:rsidRPr="001B7BAC">
        <w:rPr>
          <w:bCs/>
          <w:lang w:val="fr-FR"/>
        </w:rPr>
        <w:t>élément de la liste à ce stade</w:t>
      </w:r>
      <w:r w:rsidR="00E46BB1">
        <w:rPr>
          <w:bCs/>
          <w:lang w:val="fr-FR"/>
        </w:rPr>
        <w:t> </w:t>
      </w:r>
      <w:r w:rsidRPr="001B7BAC">
        <w:rPr>
          <w:bCs/>
          <w:lang w:val="fr-FR"/>
        </w:rPr>
        <w:t>?</w:t>
      </w:r>
    </w:p>
    <w:p w14:paraId="112B9A52" w14:textId="238FD9E6" w:rsidR="00E46BB1" w:rsidRDefault="00E46BB1" w:rsidP="00AA7EE4">
      <w:pPr>
        <w:pStyle w:val="Orateurengris"/>
        <w:numPr>
          <w:ilvl w:val="0"/>
          <w:numId w:val="20"/>
        </w:numPr>
        <w:tabs>
          <w:tab w:val="clear" w:pos="567"/>
        </w:tabs>
        <w:spacing w:before="120"/>
        <w:ind w:left="709" w:hanging="709"/>
        <w:rPr>
          <w:bCs/>
          <w:lang w:val="fr-FR"/>
        </w:rPr>
      </w:pPr>
      <w:r w:rsidRPr="00E46BB1">
        <w:rPr>
          <w:bCs/>
          <w:lang w:val="fr-FR"/>
        </w:rPr>
        <w:t xml:space="preserve">Le </w:t>
      </w:r>
      <w:r w:rsidRPr="00702497">
        <w:rPr>
          <w:b/>
          <w:lang w:val="fr-FR"/>
        </w:rPr>
        <w:t>Conseiller juridique</w:t>
      </w:r>
      <w:r w:rsidRPr="00E46BB1">
        <w:rPr>
          <w:bCs/>
          <w:lang w:val="fr-FR"/>
        </w:rPr>
        <w:t xml:space="preserve"> a convenu que la procédure n</w:t>
      </w:r>
      <w:r w:rsidR="00923E72">
        <w:rPr>
          <w:bCs/>
          <w:lang w:val="fr-FR"/>
        </w:rPr>
        <w:t>’</w:t>
      </w:r>
      <w:r w:rsidRPr="00E46BB1">
        <w:rPr>
          <w:bCs/>
          <w:lang w:val="fr-FR"/>
        </w:rPr>
        <w:t>était pas suffisamment claire en ce qui concerne l</w:t>
      </w:r>
      <w:r>
        <w:rPr>
          <w:bCs/>
          <w:lang w:val="fr-FR"/>
        </w:rPr>
        <w:t xml:space="preserve">e retrait </w:t>
      </w:r>
      <w:r w:rsidRPr="00E46BB1">
        <w:rPr>
          <w:bCs/>
          <w:lang w:val="fr-FR"/>
        </w:rPr>
        <w:t>d</w:t>
      </w:r>
      <w:r w:rsidR="00923E72">
        <w:rPr>
          <w:bCs/>
          <w:lang w:val="fr-FR"/>
        </w:rPr>
        <w:t>’</w:t>
      </w:r>
      <w:r w:rsidRPr="00E46BB1">
        <w:rPr>
          <w:bCs/>
          <w:lang w:val="fr-FR"/>
        </w:rPr>
        <w:t>une seule partie de l</w:t>
      </w:r>
      <w:r w:rsidR="00923E72">
        <w:rPr>
          <w:bCs/>
          <w:lang w:val="fr-FR"/>
        </w:rPr>
        <w:t>’</w:t>
      </w:r>
      <w:r w:rsidRPr="00E46BB1">
        <w:rPr>
          <w:bCs/>
          <w:lang w:val="fr-FR"/>
        </w:rPr>
        <w:t>élément. Cette technicité juridique était en fait la question juridique en jeu. Le deuxième point était l</w:t>
      </w:r>
      <w:r w:rsidR="00923E72">
        <w:rPr>
          <w:bCs/>
          <w:lang w:val="fr-FR"/>
        </w:rPr>
        <w:t>’</w:t>
      </w:r>
      <w:r w:rsidRPr="00E46BB1">
        <w:rPr>
          <w:bCs/>
          <w:lang w:val="fr-FR"/>
        </w:rPr>
        <w:t>absence d</w:t>
      </w:r>
      <w:r w:rsidR="00923E72">
        <w:rPr>
          <w:bCs/>
          <w:lang w:val="fr-FR"/>
        </w:rPr>
        <w:t>’</w:t>
      </w:r>
      <w:r w:rsidRPr="00E46BB1">
        <w:rPr>
          <w:bCs/>
          <w:lang w:val="fr-FR"/>
        </w:rPr>
        <w:t xml:space="preserve">une clarification spécifique de la procédure [dans ce cas]. Ainsi, plutôt que de dire ce que le Comité </w:t>
      </w:r>
      <w:r>
        <w:rPr>
          <w:bCs/>
          <w:lang w:val="fr-FR"/>
        </w:rPr>
        <w:t>« </w:t>
      </w:r>
      <w:r w:rsidR="005648EC">
        <w:rPr>
          <w:bCs/>
          <w:lang w:val="fr-FR"/>
        </w:rPr>
        <w:t xml:space="preserve">peut » </w:t>
      </w:r>
      <w:r w:rsidRPr="00E46BB1">
        <w:rPr>
          <w:bCs/>
          <w:lang w:val="fr-FR"/>
        </w:rPr>
        <w:t>faire, comme le prévo</w:t>
      </w:r>
      <w:r w:rsidR="005648EC">
        <w:rPr>
          <w:bCs/>
          <w:lang w:val="fr-FR"/>
        </w:rPr>
        <w:t>it</w:t>
      </w:r>
      <w:r w:rsidRPr="00E46BB1">
        <w:rPr>
          <w:bCs/>
          <w:lang w:val="fr-FR"/>
        </w:rPr>
        <w:t xml:space="preserve"> la procédure, le Conseiller juridique a soutenu que rien n</w:t>
      </w:r>
      <w:r w:rsidR="00923E72">
        <w:rPr>
          <w:bCs/>
          <w:lang w:val="fr-FR"/>
        </w:rPr>
        <w:t>’</w:t>
      </w:r>
      <w:r w:rsidRPr="00E46BB1">
        <w:rPr>
          <w:bCs/>
          <w:lang w:val="fr-FR"/>
        </w:rPr>
        <w:t>empêchait le Comité d</w:t>
      </w:r>
      <w:r w:rsidR="00923E72">
        <w:rPr>
          <w:bCs/>
          <w:lang w:val="fr-FR"/>
        </w:rPr>
        <w:t>’</w:t>
      </w:r>
      <w:r w:rsidRPr="00702497">
        <w:rPr>
          <w:bCs/>
          <w:i/>
          <w:iCs/>
          <w:lang w:val="fr-FR"/>
        </w:rPr>
        <w:t>interpréter</w:t>
      </w:r>
      <w:r w:rsidRPr="00E46BB1">
        <w:rPr>
          <w:bCs/>
          <w:lang w:val="fr-FR"/>
        </w:rPr>
        <w:t xml:space="preserve"> la procédure, ce qui était légèrement différent. Le Conseiller juridique a expliqué qu</w:t>
      </w:r>
      <w:r w:rsidR="00923E72">
        <w:rPr>
          <w:bCs/>
          <w:lang w:val="fr-FR"/>
        </w:rPr>
        <w:t>’</w:t>
      </w:r>
      <w:r w:rsidRPr="00E46BB1">
        <w:rPr>
          <w:bCs/>
          <w:lang w:val="fr-FR"/>
        </w:rPr>
        <w:t xml:space="preserve">en disant que le Comité </w:t>
      </w:r>
      <w:r w:rsidR="005648EC">
        <w:rPr>
          <w:bCs/>
          <w:lang w:val="fr-FR"/>
        </w:rPr>
        <w:t>« peut »</w:t>
      </w:r>
      <w:r w:rsidRPr="00E46BB1">
        <w:rPr>
          <w:bCs/>
          <w:lang w:val="fr-FR"/>
        </w:rPr>
        <w:t>, il s</w:t>
      </w:r>
      <w:r w:rsidR="00923E72">
        <w:rPr>
          <w:bCs/>
          <w:lang w:val="fr-FR"/>
        </w:rPr>
        <w:t>’</w:t>
      </w:r>
      <w:r w:rsidRPr="00E46BB1">
        <w:rPr>
          <w:bCs/>
          <w:lang w:val="fr-FR"/>
        </w:rPr>
        <w:t>agissait de fonder la notion sur une forme de règle. Toutefois, comme il ne pouvait indiquer au Comité aucune règle spécifique à cet égard, rien n</w:t>
      </w:r>
      <w:r w:rsidR="00923E72">
        <w:rPr>
          <w:bCs/>
          <w:lang w:val="fr-FR"/>
        </w:rPr>
        <w:t>’</w:t>
      </w:r>
      <w:r w:rsidRPr="00E46BB1">
        <w:rPr>
          <w:bCs/>
          <w:lang w:val="fr-FR"/>
        </w:rPr>
        <w:t>empêchait le Comité de le faire dans les circonstances actuelles. Là encore, il s</w:t>
      </w:r>
      <w:r w:rsidR="00923E72">
        <w:rPr>
          <w:bCs/>
          <w:lang w:val="fr-FR"/>
        </w:rPr>
        <w:t>’</w:t>
      </w:r>
      <w:r w:rsidRPr="00E46BB1">
        <w:rPr>
          <w:bCs/>
          <w:lang w:val="fr-FR"/>
        </w:rPr>
        <w:t>agirait d</w:t>
      </w:r>
      <w:r w:rsidR="00923E72">
        <w:rPr>
          <w:bCs/>
          <w:lang w:val="fr-FR"/>
        </w:rPr>
        <w:t>’</w:t>
      </w:r>
      <w:r w:rsidRPr="00E46BB1">
        <w:rPr>
          <w:bCs/>
          <w:lang w:val="fr-FR"/>
        </w:rPr>
        <w:t>une question d</w:t>
      </w:r>
      <w:r w:rsidR="00923E72">
        <w:rPr>
          <w:bCs/>
          <w:lang w:val="fr-FR"/>
        </w:rPr>
        <w:t>’</w:t>
      </w:r>
      <w:r w:rsidRPr="00E46BB1">
        <w:rPr>
          <w:bCs/>
          <w:lang w:val="fr-FR"/>
        </w:rPr>
        <w:t>interprétation des Directives opérationnelles et de la manière dont le Comité entendait procéder.</w:t>
      </w:r>
    </w:p>
    <w:p w14:paraId="2C54775D" w14:textId="2DF57275" w:rsidR="005648EC" w:rsidRDefault="005648EC" w:rsidP="00AA7EE4">
      <w:pPr>
        <w:pStyle w:val="Orateurengris"/>
        <w:numPr>
          <w:ilvl w:val="0"/>
          <w:numId w:val="20"/>
        </w:numPr>
        <w:tabs>
          <w:tab w:val="clear" w:pos="567"/>
        </w:tabs>
        <w:spacing w:before="120"/>
        <w:ind w:left="709" w:hanging="709"/>
        <w:rPr>
          <w:bCs/>
          <w:lang w:val="fr-FR"/>
        </w:rPr>
      </w:pPr>
      <w:r w:rsidRPr="005648EC">
        <w:rPr>
          <w:bCs/>
          <w:lang w:val="fr-FR"/>
        </w:rPr>
        <w:t xml:space="preserve">La délégation de la </w:t>
      </w:r>
      <w:r w:rsidRPr="00702497">
        <w:rPr>
          <w:b/>
          <w:lang w:val="fr-FR"/>
        </w:rPr>
        <w:t>Suisse</w:t>
      </w:r>
      <w:r w:rsidRPr="005648EC">
        <w:rPr>
          <w:bCs/>
          <w:lang w:val="fr-FR"/>
        </w:rPr>
        <w:t xml:space="preserve"> comprenait que rien dans le texte n</w:t>
      </w:r>
      <w:r w:rsidR="00923E72">
        <w:rPr>
          <w:bCs/>
          <w:lang w:val="fr-FR"/>
        </w:rPr>
        <w:t>’</w:t>
      </w:r>
      <w:r w:rsidRPr="005648EC">
        <w:rPr>
          <w:bCs/>
          <w:lang w:val="fr-FR"/>
        </w:rPr>
        <w:t>empêchait explicitement le Comité de retirer une partie de l</w:t>
      </w:r>
      <w:r w:rsidR="00923E72">
        <w:rPr>
          <w:bCs/>
          <w:lang w:val="fr-FR"/>
        </w:rPr>
        <w:t>’</w:t>
      </w:r>
      <w:r w:rsidRPr="005648EC">
        <w:rPr>
          <w:bCs/>
          <w:lang w:val="fr-FR"/>
        </w:rPr>
        <w:t xml:space="preserve">élément de la Liste représentative. Toutefois, </w:t>
      </w:r>
      <w:r w:rsidR="006A3E8F">
        <w:rPr>
          <w:bCs/>
          <w:lang w:val="fr-FR"/>
        </w:rPr>
        <w:t xml:space="preserve">la </w:t>
      </w:r>
      <w:r w:rsidR="006A3E8F" w:rsidRPr="005648EC">
        <w:rPr>
          <w:bCs/>
          <w:lang w:val="fr-FR"/>
        </w:rPr>
        <w:t>délégation</w:t>
      </w:r>
      <w:r w:rsidR="006A3E8F">
        <w:rPr>
          <w:bCs/>
          <w:lang w:val="fr-FR"/>
        </w:rPr>
        <w:t xml:space="preserve"> se demandait si, </w:t>
      </w:r>
      <w:r w:rsidRPr="005648EC">
        <w:rPr>
          <w:bCs/>
          <w:lang w:val="fr-FR"/>
        </w:rPr>
        <w:t xml:space="preserve">en agissant ainsi, </w:t>
      </w:r>
      <w:r>
        <w:rPr>
          <w:bCs/>
          <w:lang w:val="fr-FR"/>
        </w:rPr>
        <w:t xml:space="preserve">le </w:t>
      </w:r>
      <w:r w:rsidRPr="005648EC">
        <w:rPr>
          <w:bCs/>
          <w:lang w:val="fr-FR"/>
        </w:rPr>
        <w:t xml:space="preserve">Comité </w:t>
      </w:r>
      <w:r>
        <w:rPr>
          <w:bCs/>
          <w:lang w:val="fr-FR"/>
        </w:rPr>
        <w:t>ne c</w:t>
      </w:r>
      <w:r w:rsidRPr="005648EC">
        <w:rPr>
          <w:bCs/>
          <w:lang w:val="fr-FR"/>
        </w:rPr>
        <w:t>réerait</w:t>
      </w:r>
      <w:r>
        <w:rPr>
          <w:bCs/>
          <w:lang w:val="fr-FR"/>
        </w:rPr>
        <w:t xml:space="preserve"> pas </w:t>
      </w:r>
      <w:r w:rsidRPr="005648EC">
        <w:rPr>
          <w:bCs/>
          <w:lang w:val="fr-FR"/>
        </w:rPr>
        <w:t>un précédent</w:t>
      </w:r>
      <w:r w:rsidR="00874C51">
        <w:rPr>
          <w:bCs/>
          <w:lang w:val="fr-FR"/>
        </w:rPr>
        <w:t xml:space="preserve"> et </w:t>
      </w:r>
      <w:r w:rsidR="00205C6E">
        <w:rPr>
          <w:bCs/>
          <w:lang w:val="fr-FR"/>
        </w:rPr>
        <w:t>si c</w:t>
      </w:r>
      <w:r w:rsidRPr="005648EC">
        <w:rPr>
          <w:bCs/>
          <w:lang w:val="fr-FR"/>
        </w:rPr>
        <w:t>ela signifi</w:t>
      </w:r>
      <w:r w:rsidR="003048ED">
        <w:rPr>
          <w:bCs/>
          <w:lang w:val="fr-FR"/>
        </w:rPr>
        <w:t>ait</w:t>
      </w:r>
      <w:r w:rsidR="00205C6E">
        <w:rPr>
          <w:bCs/>
          <w:lang w:val="fr-FR"/>
        </w:rPr>
        <w:t xml:space="preserve"> </w:t>
      </w:r>
      <w:r w:rsidRPr="005648EC">
        <w:rPr>
          <w:bCs/>
          <w:lang w:val="fr-FR"/>
        </w:rPr>
        <w:t>que</w:t>
      </w:r>
      <w:r w:rsidR="00874C51">
        <w:rPr>
          <w:bCs/>
          <w:lang w:val="fr-FR"/>
        </w:rPr>
        <w:t>,</w:t>
      </w:r>
      <w:r w:rsidRPr="005648EC">
        <w:rPr>
          <w:bCs/>
          <w:lang w:val="fr-FR"/>
        </w:rPr>
        <w:t xml:space="preserve"> dans d</w:t>
      </w:r>
      <w:r w:rsidR="00923E72">
        <w:rPr>
          <w:bCs/>
          <w:lang w:val="fr-FR"/>
        </w:rPr>
        <w:t>’</w:t>
      </w:r>
      <w:r w:rsidRPr="005648EC">
        <w:rPr>
          <w:bCs/>
          <w:lang w:val="fr-FR"/>
        </w:rPr>
        <w:t>autres cas, une tierce partie pourrait demander qu</w:t>
      </w:r>
      <w:r w:rsidR="00923E72">
        <w:rPr>
          <w:bCs/>
          <w:lang w:val="fr-FR"/>
        </w:rPr>
        <w:t>’</w:t>
      </w:r>
      <w:r w:rsidRPr="005648EC">
        <w:rPr>
          <w:bCs/>
          <w:lang w:val="fr-FR"/>
        </w:rPr>
        <w:t>un élément ou une partie d</w:t>
      </w:r>
      <w:r w:rsidR="00923E72">
        <w:rPr>
          <w:bCs/>
          <w:lang w:val="fr-FR"/>
        </w:rPr>
        <w:t>’</w:t>
      </w:r>
      <w:r w:rsidRPr="005648EC">
        <w:rPr>
          <w:bCs/>
          <w:lang w:val="fr-FR"/>
        </w:rPr>
        <w:t xml:space="preserve">un élément soit </w:t>
      </w:r>
      <w:r w:rsidR="009C6952">
        <w:rPr>
          <w:bCs/>
          <w:lang w:val="fr-FR"/>
        </w:rPr>
        <w:t xml:space="preserve">radié </w:t>
      </w:r>
      <w:r w:rsidRPr="005648EC">
        <w:rPr>
          <w:bCs/>
          <w:lang w:val="fr-FR"/>
        </w:rPr>
        <w:t>de la liste</w:t>
      </w:r>
      <w:r w:rsidR="00270279">
        <w:rPr>
          <w:bCs/>
          <w:lang w:val="fr-FR"/>
        </w:rPr>
        <w:t>,</w:t>
      </w:r>
      <w:r w:rsidRPr="005648EC">
        <w:rPr>
          <w:bCs/>
          <w:lang w:val="fr-FR"/>
        </w:rPr>
        <w:t xml:space="preserve"> </w:t>
      </w:r>
      <w:r w:rsidR="00270279">
        <w:rPr>
          <w:bCs/>
          <w:lang w:val="fr-FR"/>
        </w:rPr>
        <w:t>m</w:t>
      </w:r>
      <w:r w:rsidRPr="005648EC">
        <w:rPr>
          <w:bCs/>
          <w:lang w:val="fr-FR"/>
        </w:rPr>
        <w:t>ême si cela était très éloigné de ce cas particulier où l</w:t>
      </w:r>
      <w:r w:rsidR="00923E72">
        <w:rPr>
          <w:bCs/>
          <w:lang w:val="fr-FR"/>
        </w:rPr>
        <w:t>’</w:t>
      </w:r>
      <w:r w:rsidRPr="005648EC">
        <w:rPr>
          <w:bCs/>
          <w:lang w:val="fr-FR"/>
        </w:rPr>
        <w:t>unanimité était total</w:t>
      </w:r>
      <w:r w:rsidR="00270279">
        <w:rPr>
          <w:bCs/>
          <w:lang w:val="fr-FR"/>
        </w:rPr>
        <w:t>e.</w:t>
      </w:r>
    </w:p>
    <w:p w14:paraId="18B1B21C" w14:textId="2281A636" w:rsidR="005648EC" w:rsidRDefault="005648EC" w:rsidP="00AA7EE4">
      <w:pPr>
        <w:pStyle w:val="Orateurengris"/>
        <w:numPr>
          <w:ilvl w:val="0"/>
          <w:numId w:val="20"/>
        </w:numPr>
        <w:tabs>
          <w:tab w:val="clear" w:pos="567"/>
        </w:tabs>
        <w:spacing w:before="120"/>
        <w:ind w:left="709" w:hanging="709"/>
        <w:rPr>
          <w:bCs/>
          <w:lang w:val="fr-FR"/>
        </w:rPr>
      </w:pPr>
      <w:r w:rsidRPr="005648EC">
        <w:rPr>
          <w:bCs/>
          <w:lang w:val="fr-FR"/>
        </w:rPr>
        <w:t xml:space="preserve">Le </w:t>
      </w:r>
      <w:r w:rsidRPr="00702497">
        <w:rPr>
          <w:b/>
          <w:lang w:val="fr-FR"/>
        </w:rPr>
        <w:t>Conseiller juridique</w:t>
      </w:r>
      <w:r w:rsidRPr="005648EC">
        <w:rPr>
          <w:bCs/>
          <w:lang w:val="fr-FR"/>
        </w:rPr>
        <w:t xml:space="preserve"> a fait remarquer que la question était intéressante</w:t>
      </w:r>
      <w:r>
        <w:rPr>
          <w:bCs/>
          <w:lang w:val="fr-FR"/>
        </w:rPr>
        <w:t>,</w:t>
      </w:r>
      <w:r w:rsidRPr="005648EC">
        <w:rPr>
          <w:bCs/>
          <w:lang w:val="fr-FR"/>
        </w:rPr>
        <w:t xml:space="preserve"> car elle se rapportait à la notion de </w:t>
      </w:r>
      <w:r w:rsidR="00465B11">
        <w:rPr>
          <w:bCs/>
          <w:lang w:val="fr-FR"/>
        </w:rPr>
        <w:t>« </w:t>
      </w:r>
      <w:r w:rsidRPr="005648EC">
        <w:rPr>
          <w:bCs/>
          <w:lang w:val="fr-FR"/>
        </w:rPr>
        <w:t>précédent</w:t>
      </w:r>
      <w:r w:rsidR="00465B11">
        <w:rPr>
          <w:bCs/>
          <w:lang w:val="fr-FR"/>
        </w:rPr>
        <w:t> »</w:t>
      </w:r>
      <w:r w:rsidRPr="005648EC">
        <w:rPr>
          <w:bCs/>
          <w:lang w:val="fr-FR"/>
        </w:rPr>
        <w:t xml:space="preserve"> et à la manière dont </w:t>
      </w:r>
      <w:r w:rsidR="00E07296">
        <w:rPr>
          <w:bCs/>
          <w:lang w:val="fr-FR"/>
        </w:rPr>
        <w:t xml:space="preserve">il </w:t>
      </w:r>
      <w:r w:rsidRPr="005648EC">
        <w:rPr>
          <w:bCs/>
          <w:lang w:val="fr-FR"/>
        </w:rPr>
        <w:t>devrait être appliqué. Tout d</w:t>
      </w:r>
      <w:r w:rsidR="00923E72">
        <w:rPr>
          <w:bCs/>
          <w:lang w:val="fr-FR"/>
        </w:rPr>
        <w:t>’</w:t>
      </w:r>
      <w:r w:rsidRPr="005648EC">
        <w:rPr>
          <w:bCs/>
          <w:lang w:val="fr-FR"/>
        </w:rPr>
        <w:t>abord, si une tierce partie devait</w:t>
      </w:r>
      <w:r w:rsidR="00465B11">
        <w:rPr>
          <w:bCs/>
          <w:lang w:val="fr-FR"/>
        </w:rPr>
        <w:t>,</w:t>
      </w:r>
      <w:r w:rsidRPr="005648EC">
        <w:rPr>
          <w:bCs/>
          <w:lang w:val="fr-FR"/>
        </w:rPr>
        <w:t xml:space="preserve"> à un moment donné</w:t>
      </w:r>
      <w:r w:rsidR="00465B11">
        <w:rPr>
          <w:bCs/>
          <w:lang w:val="fr-FR"/>
        </w:rPr>
        <w:t>,</w:t>
      </w:r>
      <w:r w:rsidRPr="005648EC">
        <w:rPr>
          <w:bCs/>
          <w:lang w:val="fr-FR"/>
        </w:rPr>
        <w:t xml:space="preserve"> demander le retrait d</w:t>
      </w:r>
      <w:r w:rsidR="00923E72">
        <w:rPr>
          <w:bCs/>
          <w:lang w:val="fr-FR"/>
        </w:rPr>
        <w:t>’</w:t>
      </w:r>
      <w:r w:rsidRPr="005648EC">
        <w:rPr>
          <w:bCs/>
          <w:lang w:val="fr-FR"/>
        </w:rPr>
        <w:t>un élément, il existait déjà une procédure dans les Directives opérationnelles, comme cela avait été souligné précédemment. Si une tierce partie demandait le retrait d</w:t>
      </w:r>
      <w:r w:rsidR="00923E72">
        <w:rPr>
          <w:bCs/>
          <w:lang w:val="fr-FR"/>
        </w:rPr>
        <w:t>’</w:t>
      </w:r>
      <w:r w:rsidRPr="005648EC">
        <w:rPr>
          <w:bCs/>
          <w:lang w:val="fr-FR"/>
        </w:rPr>
        <w:t>une seule partie de l</w:t>
      </w:r>
      <w:r w:rsidR="00923E72">
        <w:rPr>
          <w:bCs/>
          <w:lang w:val="fr-FR"/>
        </w:rPr>
        <w:t>’</w:t>
      </w:r>
      <w:r w:rsidRPr="005648EC">
        <w:rPr>
          <w:bCs/>
          <w:lang w:val="fr-FR"/>
        </w:rPr>
        <w:t>élément, la décision constituerait en effet un précédent. Cependant, lorsqu</w:t>
      </w:r>
      <w:r w:rsidR="00923E72">
        <w:rPr>
          <w:bCs/>
          <w:lang w:val="fr-FR"/>
        </w:rPr>
        <w:t>’</w:t>
      </w:r>
      <w:r w:rsidRPr="005648EC">
        <w:rPr>
          <w:bCs/>
          <w:lang w:val="fr-FR"/>
        </w:rPr>
        <w:t>il était question de précédents, chacun d</w:t>
      </w:r>
      <w:r w:rsidR="00923E72">
        <w:rPr>
          <w:bCs/>
          <w:lang w:val="fr-FR"/>
        </w:rPr>
        <w:t>’</w:t>
      </w:r>
      <w:r w:rsidRPr="005648EC">
        <w:rPr>
          <w:bCs/>
          <w:lang w:val="fr-FR"/>
        </w:rPr>
        <w:t xml:space="preserve">entre eux se fondait sur des faits qui lui étaient propres. Cela signifiait que le précédent </w:t>
      </w:r>
      <w:r w:rsidR="00465B11">
        <w:rPr>
          <w:bCs/>
          <w:lang w:val="fr-FR"/>
        </w:rPr>
        <w:t>était</w:t>
      </w:r>
      <w:r w:rsidRPr="005648EC">
        <w:rPr>
          <w:bCs/>
          <w:lang w:val="fr-FR"/>
        </w:rPr>
        <w:t xml:space="preserve"> fondé sur les circonstances et les faits du cas en question. </w:t>
      </w:r>
      <w:r w:rsidR="00E07296">
        <w:rPr>
          <w:bCs/>
          <w:lang w:val="fr-FR"/>
        </w:rPr>
        <w:t xml:space="preserve">On pourrait imaginer une </w:t>
      </w:r>
      <w:r w:rsidRPr="005648EC">
        <w:rPr>
          <w:bCs/>
          <w:lang w:val="fr-FR"/>
        </w:rPr>
        <w:t xml:space="preserve">autre situation </w:t>
      </w:r>
      <w:r w:rsidR="00E07296">
        <w:rPr>
          <w:bCs/>
          <w:lang w:val="fr-FR"/>
        </w:rPr>
        <w:t xml:space="preserve">dans laquelle </w:t>
      </w:r>
      <w:r w:rsidRPr="005648EC">
        <w:rPr>
          <w:bCs/>
          <w:lang w:val="fr-FR"/>
        </w:rPr>
        <w:t>une demande de retrait pourrait constituer un précédent, mais pas nécessairement, parce que la demande pourrait être fondée sur d</w:t>
      </w:r>
      <w:r w:rsidR="00923E72">
        <w:rPr>
          <w:bCs/>
          <w:lang w:val="fr-FR"/>
        </w:rPr>
        <w:t>’</w:t>
      </w:r>
      <w:r w:rsidRPr="005648EC">
        <w:rPr>
          <w:bCs/>
          <w:lang w:val="fr-FR"/>
        </w:rPr>
        <w:t>autres raisons. Le Conseiller juridique a répété qu</w:t>
      </w:r>
      <w:r w:rsidR="00923E72">
        <w:rPr>
          <w:bCs/>
          <w:lang w:val="fr-FR"/>
        </w:rPr>
        <w:t>’</w:t>
      </w:r>
      <w:r w:rsidRPr="005648EC">
        <w:rPr>
          <w:bCs/>
          <w:lang w:val="fr-FR"/>
        </w:rPr>
        <w:t>en l</w:t>
      </w:r>
      <w:r w:rsidR="00923E72">
        <w:rPr>
          <w:bCs/>
          <w:lang w:val="fr-FR"/>
        </w:rPr>
        <w:t>’</w:t>
      </w:r>
      <w:r w:rsidRPr="005648EC">
        <w:rPr>
          <w:bCs/>
          <w:lang w:val="fr-FR"/>
        </w:rPr>
        <w:t>absence d</w:t>
      </w:r>
      <w:r w:rsidR="00923E72">
        <w:rPr>
          <w:bCs/>
          <w:lang w:val="fr-FR"/>
        </w:rPr>
        <w:t>’</w:t>
      </w:r>
      <w:r w:rsidRPr="005648EC">
        <w:rPr>
          <w:bCs/>
          <w:lang w:val="fr-FR"/>
        </w:rPr>
        <w:t>une procédure spécifique sur le retrait d</w:t>
      </w:r>
      <w:r w:rsidR="00923E72">
        <w:rPr>
          <w:bCs/>
          <w:lang w:val="fr-FR"/>
        </w:rPr>
        <w:t>’</w:t>
      </w:r>
      <w:r w:rsidRPr="005648EC">
        <w:rPr>
          <w:bCs/>
          <w:lang w:val="fr-FR"/>
        </w:rPr>
        <w:t>une seule partie de l</w:t>
      </w:r>
      <w:r w:rsidR="00923E72">
        <w:rPr>
          <w:bCs/>
          <w:lang w:val="fr-FR"/>
        </w:rPr>
        <w:t>’</w:t>
      </w:r>
      <w:r w:rsidRPr="005648EC">
        <w:rPr>
          <w:bCs/>
          <w:lang w:val="fr-FR"/>
        </w:rPr>
        <w:t>élément, cela constituerait en effet un précédent. Toutefois, comme pour tous les autres précédents, ceux-ci dépendaient des faits et devaient être analysés au cas par cas afin d</w:t>
      </w:r>
      <w:r w:rsidR="00923E72">
        <w:rPr>
          <w:bCs/>
          <w:lang w:val="fr-FR"/>
        </w:rPr>
        <w:t>’</w:t>
      </w:r>
      <w:r w:rsidRPr="005648EC">
        <w:rPr>
          <w:bCs/>
          <w:lang w:val="fr-FR"/>
        </w:rPr>
        <w:t>affirmer que le précédent s</w:t>
      </w:r>
      <w:r w:rsidR="00923E72">
        <w:rPr>
          <w:bCs/>
          <w:lang w:val="fr-FR"/>
        </w:rPr>
        <w:t>’</w:t>
      </w:r>
      <w:r w:rsidRPr="005648EC">
        <w:rPr>
          <w:bCs/>
          <w:lang w:val="fr-FR"/>
        </w:rPr>
        <w:t xml:space="preserve">appliquerait au cas </w:t>
      </w:r>
      <w:r w:rsidR="00E07296">
        <w:rPr>
          <w:bCs/>
          <w:lang w:val="fr-FR"/>
        </w:rPr>
        <w:t xml:space="preserve">en question </w:t>
      </w:r>
      <w:r w:rsidRPr="005648EC">
        <w:rPr>
          <w:bCs/>
          <w:lang w:val="fr-FR"/>
        </w:rPr>
        <w:t>suivant.</w:t>
      </w:r>
    </w:p>
    <w:p w14:paraId="6744F22B" w14:textId="6139FE5F" w:rsidR="009C0C81" w:rsidRDefault="009C6952" w:rsidP="00AA7EE4">
      <w:pPr>
        <w:pStyle w:val="Orateurengris"/>
        <w:numPr>
          <w:ilvl w:val="0"/>
          <w:numId w:val="20"/>
        </w:numPr>
        <w:tabs>
          <w:tab w:val="clear" w:pos="567"/>
        </w:tabs>
        <w:spacing w:before="120"/>
        <w:ind w:left="709" w:hanging="709"/>
        <w:rPr>
          <w:bCs/>
          <w:lang w:val="fr-FR"/>
        </w:rPr>
      </w:pPr>
      <w:r w:rsidRPr="009C6952">
        <w:rPr>
          <w:bCs/>
          <w:lang w:val="fr-FR"/>
        </w:rPr>
        <w:t xml:space="preserve">La délégation du </w:t>
      </w:r>
      <w:r w:rsidRPr="00702497">
        <w:rPr>
          <w:b/>
          <w:lang w:val="fr-FR"/>
        </w:rPr>
        <w:t>Rwanda</w:t>
      </w:r>
      <w:r w:rsidRPr="009C6952">
        <w:rPr>
          <w:bCs/>
          <w:lang w:val="fr-FR"/>
        </w:rPr>
        <w:t xml:space="preserve"> a remercié le Conseiller juridique pour ses réponses claires et précises. Elle a noté que les membres du Comité étaient d</w:t>
      </w:r>
      <w:r w:rsidR="00923E72">
        <w:rPr>
          <w:bCs/>
          <w:lang w:val="fr-FR"/>
        </w:rPr>
        <w:t>’</w:t>
      </w:r>
      <w:r w:rsidRPr="009C6952">
        <w:rPr>
          <w:bCs/>
          <w:lang w:val="fr-FR"/>
        </w:rPr>
        <w:t>accord pour condamner cette partie de l</w:t>
      </w:r>
      <w:r w:rsidR="00923E72">
        <w:rPr>
          <w:bCs/>
          <w:lang w:val="fr-FR"/>
        </w:rPr>
        <w:t>’</w:t>
      </w:r>
      <w:r w:rsidRPr="009C6952">
        <w:rPr>
          <w:bCs/>
          <w:lang w:val="fr-FR"/>
        </w:rPr>
        <w:t>élément, et a suggéré de discuter de l</w:t>
      </w:r>
      <w:r w:rsidR="00923E72">
        <w:rPr>
          <w:bCs/>
          <w:lang w:val="fr-FR"/>
        </w:rPr>
        <w:t>’</w:t>
      </w:r>
      <w:r w:rsidRPr="009C6952">
        <w:rPr>
          <w:bCs/>
          <w:lang w:val="fr-FR"/>
        </w:rPr>
        <w:t>amendement proposé et éventuellement de la radiation d</w:t>
      </w:r>
      <w:r w:rsidR="00923E72">
        <w:rPr>
          <w:bCs/>
          <w:lang w:val="fr-FR"/>
        </w:rPr>
        <w:t>’</w:t>
      </w:r>
      <w:r w:rsidRPr="009C6952">
        <w:rPr>
          <w:bCs/>
          <w:lang w:val="fr-FR"/>
        </w:rPr>
        <w:t>une partie de l</w:t>
      </w:r>
      <w:r w:rsidR="00923E72">
        <w:rPr>
          <w:bCs/>
          <w:lang w:val="fr-FR"/>
        </w:rPr>
        <w:t>’</w:t>
      </w:r>
      <w:r w:rsidRPr="009C6952">
        <w:rPr>
          <w:bCs/>
          <w:lang w:val="fr-FR"/>
        </w:rPr>
        <w:t>élément.</w:t>
      </w:r>
    </w:p>
    <w:p w14:paraId="55479476" w14:textId="32E2AA25" w:rsidR="009C6952" w:rsidRDefault="009C6952" w:rsidP="00AA7EE4">
      <w:pPr>
        <w:pStyle w:val="Orateurengris"/>
        <w:numPr>
          <w:ilvl w:val="0"/>
          <w:numId w:val="20"/>
        </w:numPr>
        <w:tabs>
          <w:tab w:val="clear" w:pos="567"/>
        </w:tabs>
        <w:spacing w:before="120"/>
        <w:ind w:left="709" w:hanging="709"/>
        <w:rPr>
          <w:bCs/>
          <w:lang w:val="fr-FR"/>
        </w:rPr>
      </w:pPr>
      <w:r w:rsidRPr="009C6952">
        <w:rPr>
          <w:bCs/>
          <w:lang w:val="fr-FR"/>
        </w:rPr>
        <w:t xml:space="preserve">La délégation du </w:t>
      </w:r>
      <w:r w:rsidRPr="00702497">
        <w:rPr>
          <w:b/>
          <w:lang w:val="fr-FR"/>
        </w:rPr>
        <w:t>Burkina Faso</w:t>
      </w:r>
      <w:r w:rsidRPr="009C6952">
        <w:rPr>
          <w:bCs/>
          <w:lang w:val="fr-FR"/>
        </w:rPr>
        <w:t xml:space="preserve"> a demandé au Conseiller juridique de commenter le fait que, lors de l</w:t>
      </w:r>
      <w:r w:rsidR="00923E72">
        <w:rPr>
          <w:bCs/>
          <w:lang w:val="fr-FR"/>
        </w:rPr>
        <w:t>’</w:t>
      </w:r>
      <w:r w:rsidRPr="009C6952">
        <w:rPr>
          <w:bCs/>
          <w:lang w:val="fr-FR"/>
        </w:rPr>
        <w:t>inscription, la partie litigieuse de l</w:t>
      </w:r>
      <w:r w:rsidR="00923E72">
        <w:rPr>
          <w:bCs/>
          <w:lang w:val="fr-FR"/>
        </w:rPr>
        <w:t>’</w:t>
      </w:r>
      <w:r w:rsidRPr="009C6952">
        <w:rPr>
          <w:bCs/>
          <w:lang w:val="fr-FR"/>
        </w:rPr>
        <w:t>élément n</w:t>
      </w:r>
      <w:r w:rsidR="00923E72">
        <w:rPr>
          <w:bCs/>
          <w:lang w:val="fr-FR"/>
        </w:rPr>
        <w:t>’</w:t>
      </w:r>
      <w:r>
        <w:rPr>
          <w:bCs/>
          <w:lang w:val="fr-FR"/>
        </w:rPr>
        <w:t>avait pas été</w:t>
      </w:r>
      <w:r w:rsidRPr="009C6952">
        <w:rPr>
          <w:bCs/>
          <w:lang w:val="fr-FR"/>
        </w:rPr>
        <w:t xml:space="preserve"> mentionnée</w:t>
      </w:r>
      <w:r>
        <w:rPr>
          <w:bCs/>
          <w:lang w:val="fr-FR"/>
        </w:rPr>
        <w:t>,</w:t>
      </w:r>
      <w:r w:rsidRPr="009C6952">
        <w:rPr>
          <w:bCs/>
          <w:lang w:val="fr-FR"/>
        </w:rPr>
        <w:t xml:space="preserve"> mais était apparue au moment de la mise en œuvre de l</w:t>
      </w:r>
      <w:r w:rsidR="00923E72">
        <w:rPr>
          <w:bCs/>
          <w:lang w:val="fr-FR"/>
        </w:rPr>
        <w:t>’</w:t>
      </w:r>
      <w:r w:rsidRPr="009C6952">
        <w:rPr>
          <w:bCs/>
          <w:lang w:val="fr-FR"/>
        </w:rPr>
        <w:t xml:space="preserve">élément. </w:t>
      </w:r>
      <w:r w:rsidR="006A3E8F">
        <w:rPr>
          <w:bCs/>
          <w:lang w:val="fr-FR"/>
        </w:rPr>
        <w:t>Elle se demandait q</w:t>
      </w:r>
      <w:r w:rsidRPr="009C6952">
        <w:rPr>
          <w:bCs/>
          <w:lang w:val="fr-FR"/>
        </w:rPr>
        <w:t xml:space="preserve">uelle qualification juridique </w:t>
      </w:r>
      <w:r>
        <w:rPr>
          <w:bCs/>
          <w:lang w:val="fr-FR"/>
        </w:rPr>
        <w:t>pouvait</w:t>
      </w:r>
      <w:r w:rsidR="006A3E8F">
        <w:rPr>
          <w:bCs/>
          <w:lang w:val="fr-FR"/>
        </w:rPr>
        <w:t xml:space="preserve"> être </w:t>
      </w:r>
      <w:r w:rsidRPr="009C6952">
        <w:rPr>
          <w:bCs/>
          <w:lang w:val="fr-FR"/>
        </w:rPr>
        <w:t>donn</w:t>
      </w:r>
      <w:r w:rsidR="006A3E8F">
        <w:rPr>
          <w:bCs/>
          <w:lang w:val="fr-FR"/>
        </w:rPr>
        <w:t>ée</w:t>
      </w:r>
      <w:r w:rsidRPr="009C6952">
        <w:rPr>
          <w:bCs/>
          <w:lang w:val="fr-FR"/>
        </w:rPr>
        <w:t xml:space="preserve"> à une telle situation</w:t>
      </w:r>
      <w:r w:rsidR="006A3E8F">
        <w:rPr>
          <w:bCs/>
          <w:lang w:val="fr-FR"/>
        </w:rPr>
        <w:t xml:space="preserve">. </w:t>
      </w:r>
      <w:r w:rsidRPr="009C6952">
        <w:rPr>
          <w:bCs/>
          <w:lang w:val="fr-FR"/>
        </w:rPr>
        <w:t>En effet, cet aspect de l</w:t>
      </w:r>
      <w:r w:rsidR="00923E72">
        <w:rPr>
          <w:bCs/>
          <w:lang w:val="fr-FR"/>
        </w:rPr>
        <w:t>’</w:t>
      </w:r>
      <w:r w:rsidRPr="009C6952">
        <w:rPr>
          <w:bCs/>
          <w:lang w:val="fr-FR"/>
        </w:rPr>
        <w:t>élément n</w:t>
      </w:r>
      <w:r w:rsidR="00923E72">
        <w:rPr>
          <w:bCs/>
          <w:lang w:val="fr-FR"/>
        </w:rPr>
        <w:t>’</w:t>
      </w:r>
      <w:r w:rsidRPr="009C6952">
        <w:rPr>
          <w:bCs/>
          <w:lang w:val="fr-FR"/>
        </w:rPr>
        <w:t>avait jamais été mentionné au moment de l</w:t>
      </w:r>
      <w:r w:rsidR="00923E72">
        <w:rPr>
          <w:bCs/>
          <w:lang w:val="fr-FR"/>
        </w:rPr>
        <w:t>’</w:t>
      </w:r>
      <w:r w:rsidRPr="009C6952">
        <w:rPr>
          <w:bCs/>
          <w:lang w:val="fr-FR"/>
        </w:rPr>
        <w:t>inscription</w:t>
      </w:r>
      <w:r>
        <w:rPr>
          <w:bCs/>
          <w:lang w:val="fr-FR"/>
        </w:rPr>
        <w:t>,</w:t>
      </w:r>
      <w:r w:rsidRPr="009C6952">
        <w:rPr>
          <w:bCs/>
          <w:lang w:val="fr-FR"/>
        </w:rPr>
        <w:t xml:space="preserve"> mais avait obligé le Comité à engager un débat alors qu</w:t>
      </w:r>
      <w:r w:rsidR="00923E72">
        <w:rPr>
          <w:bCs/>
          <w:lang w:val="fr-FR"/>
        </w:rPr>
        <w:t>’</w:t>
      </w:r>
      <w:r w:rsidRPr="009C6952">
        <w:rPr>
          <w:bCs/>
          <w:lang w:val="fr-FR"/>
        </w:rPr>
        <w:t>il n</w:t>
      </w:r>
      <w:r w:rsidR="00923E72">
        <w:rPr>
          <w:bCs/>
          <w:lang w:val="fr-FR"/>
        </w:rPr>
        <w:t>’</w:t>
      </w:r>
      <w:r w:rsidRPr="009C6952">
        <w:rPr>
          <w:bCs/>
          <w:lang w:val="fr-FR"/>
        </w:rPr>
        <w:t>aurait même pas dû exister.</w:t>
      </w:r>
      <w:r w:rsidR="006A3E8F">
        <w:rPr>
          <w:bCs/>
          <w:lang w:val="fr-FR"/>
        </w:rPr>
        <w:t xml:space="preserve"> </w:t>
      </w:r>
      <w:r w:rsidR="00076F79">
        <w:rPr>
          <w:bCs/>
          <w:lang w:val="fr-FR"/>
        </w:rPr>
        <w:t xml:space="preserve">La </w:t>
      </w:r>
      <w:r w:rsidR="00076F79" w:rsidRPr="00076F79">
        <w:rPr>
          <w:bCs/>
          <w:lang w:val="fr-FR"/>
        </w:rPr>
        <w:t>délégation</w:t>
      </w:r>
      <w:r w:rsidR="006A3E8F">
        <w:rPr>
          <w:bCs/>
          <w:lang w:val="fr-FR"/>
        </w:rPr>
        <w:t xml:space="preserve"> se posait la question de savoir </w:t>
      </w:r>
      <w:r w:rsidR="00076F79">
        <w:rPr>
          <w:bCs/>
          <w:lang w:val="fr-FR"/>
        </w:rPr>
        <w:t>c</w:t>
      </w:r>
      <w:r w:rsidRPr="009C6952">
        <w:rPr>
          <w:bCs/>
          <w:lang w:val="fr-FR"/>
        </w:rPr>
        <w:t xml:space="preserve">omment </w:t>
      </w:r>
      <w:r w:rsidR="006A3E8F">
        <w:rPr>
          <w:bCs/>
          <w:lang w:val="fr-FR"/>
        </w:rPr>
        <w:t xml:space="preserve">on </w:t>
      </w:r>
      <w:r w:rsidRPr="009C6952">
        <w:rPr>
          <w:bCs/>
          <w:lang w:val="fr-FR"/>
        </w:rPr>
        <w:t>pouvait</w:t>
      </w:r>
      <w:r w:rsidR="006A3E8F">
        <w:rPr>
          <w:bCs/>
          <w:lang w:val="fr-FR"/>
        </w:rPr>
        <w:t xml:space="preserve"> </w:t>
      </w:r>
      <w:r w:rsidRPr="009C6952">
        <w:rPr>
          <w:bCs/>
          <w:lang w:val="fr-FR"/>
        </w:rPr>
        <w:t>qualifier cette situation</w:t>
      </w:r>
      <w:r w:rsidR="006A3E8F">
        <w:rPr>
          <w:bCs/>
          <w:lang w:val="fr-FR"/>
        </w:rPr>
        <w:t xml:space="preserve"> et si celle-ci p</w:t>
      </w:r>
      <w:r w:rsidRPr="009C6952">
        <w:rPr>
          <w:bCs/>
          <w:lang w:val="fr-FR"/>
        </w:rPr>
        <w:t>ouvait</w:t>
      </w:r>
      <w:r w:rsidR="006A3E8F">
        <w:rPr>
          <w:bCs/>
          <w:lang w:val="fr-FR"/>
        </w:rPr>
        <w:t xml:space="preserve"> </w:t>
      </w:r>
      <w:r w:rsidRPr="009C6952">
        <w:rPr>
          <w:bCs/>
          <w:lang w:val="fr-FR"/>
        </w:rPr>
        <w:t>être considérée comme une</w:t>
      </w:r>
      <w:r>
        <w:rPr>
          <w:bCs/>
          <w:lang w:val="fr-FR"/>
        </w:rPr>
        <w:t xml:space="preserve"> duperie</w:t>
      </w:r>
      <w:r w:rsidR="006A3E8F">
        <w:rPr>
          <w:bCs/>
          <w:lang w:val="fr-FR"/>
        </w:rPr>
        <w:t>.</w:t>
      </w:r>
    </w:p>
    <w:p w14:paraId="7847BFEA" w14:textId="54D90E44" w:rsidR="009C6952" w:rsidRDefault="00742132" w:rsidP="00AA7EE4">
      <w:pPr>
        <w:pStyle w:val="Orateurengris"/>
        <w:numPr>
          <w:ilvl w:val="0"/>
          <w:numId w:val="20"/>
        </w:numPr>
        <w:tabs>
          <w:tab w:val="clear" w:pos="567"/>
        </w:tabs>
        <w:spacing w:before="120"/>
        <w:ind w:left="709" w:hanging="709"/>
        <w:rPr>
          <w:bCs/>
          <w:lang w:val="fr-FR"/>
        </w:rPr>
      </w:pPr>
      <w:r w:rsidRPr="00742132">
        <w:rPr>
          <w:bCs/>
          <w:lang w:val="fr-FR"/>
        </w:rPr>
        <w:t xml:space="preserve">Le </w:t>
      </w:r>
      <w:r w:rsidRPr="00702497">
        <w:rPr>
          <w:b/>
          <w:lang w:val="fr-FR"/>
        </w:rPr>
        <w:t>Conseiller juridique</w:t>
      </w:r>
      <w:r w:rsidRPr="00742132">
        <w:rPr>
          <w:bCs/>
          <w:lang w:val="fr-FR"/>
        </w:rPr>
        <w:t xml:space="preserve"> ne pensait pas qu</w:t>
      </w:r>
      <w:r w:rsidR="00923E72">
        <w:rPr>
          <w:bCs/>
          <w:lang w:val="fr-FR"/>
        </w:rPr>
        <w:t>’</w:t>
      </w:r>
      <w:r w:rsidRPr="00742132">
        <w:rPr>
          <w:bCs/>
          <w:lang w:val="fr-FR"/>
        </w:rPr>
        <w:t>il existait nécessairement une qualification ou une caractérisation juridique pour ce type de situation. Ce qu</w:t>
      </w:r>
      <w:r w:rsidR="00923E72">
        <w:rPr>
          <w:bCs/>
          <w:lang w:val="fr-FR"/>
        </w:rPr>
        <w:t>’</w:t>
      </w:r>
      <w:r w:rsidRPr="00742132">
        <w:rPr>
          <w:bCs/>
          <w:lang w:val="fr-FR"/>
        </w:rPr>
        <w:t>il importait de comprendre, c</w:t>
      </w:r>
      <w:r w:rsidR="00923E72">
        <w:rPr>
          <w:bCs/>
          <w:lang w:val="fr-FR"/>
        </w:rPr>
        <w:t>’</w:t>
      </w:r>
      <w:r w:rsidRPr="00742132">
        <w:rPr>
          <w:bCs/>
          <w:lang w:val="fr-FR"/>
        </w:rPr>
        <w:t>étai</w:t>
      </w:r>
      <w:r>
        <w:rPr>
          <w:bCs/>
          <w:lang w:val="fr-FR"/>
        </w:rPr>
        <w:t>en</w:t>
      </w:r>
      <w:r w:rsidRPr="00742132">
        <w:rPr>
          <w:bCs/>
          <w:lang w:val="fr-FR"/>
        </w:rPr>
        <w:t>t les faits</w:t>
      </w:r>
      <w:r>
        <w:rPr>
          <w:bCs/>
          <w:lang w:val="fr-FR"/>
        </w:rPr>
        <w:t xml:space="preserve"> et comment</w:t>
      </w:r>
      <w:r w:rsidRPr="00742132">
        <w:rPr>
          <w:bCs/>
          <w:lang w:val="fr-FR"/>
        </w:rPr>
        <w:t xml:space="preserve"> </w:t>
      </w:r>
      <w:r>
        <w:rPr>
          <w:bCs/>
          <w:lang w:val="fr-FR"/>
        </w:rPr>
        <w:t xml:space="preserve">le </w:t>
      </w:r>
      <w:r w:rsidRPr="00742132">
        <w:rPr>
          <w:bCs/>
          <w:lang w:val="fr-FR"/>
        </w:rPr>
        <w:t>Comité en était arrivé là</w:t>
      </w:r>
      <w:r>
        <w:rPr>
          <w:bCs/>
          <w:lang w:val="fr-FR"/>
        </w:rPr>
        <w:t>.</w:t>
      </w:r>
      <w:r w:rsidRPr="00742132">
        <w:rPr>
          <w:bCs/>
          <w:lang w:val="fr-FR"/>
        </w:rPr>
        <w:t xml:space="preserve"> </w:t>
      </w:r>
      <w:r>
        <w:rPr>
          <w:bCs/>
          <w:lang w:val="fr-FR"/>
        </w:rPr>
        <w:t xml:space="preserve">Cela </w:t>
      </w:r>
      <w:r w:rsidRPr="00742132">
        <w:rPr>
          <w:bCs/>
          <w:lang w:val="fr-FR"/>
        </w:rPr>
        <w:t>avait été clairement expliqué par le Secrétaire et le Sous</w:t>
      </w:r>
      <w:r>
        <w:rPr>
          <w:bCs/>
          <w:lang w:val="fr-FR"/>
        </w:rPr>
        <w:noBreakHyphen/>
      </w:r>
      <w:r w:rsidRPr="00742132">
        <w:rPr>
          <w:bCs/>
          <w:lang w:val="fr-FR"/>
        </w:rPr>
        <w:t>Directeur général. Il s</w:t>
      </w:r>
      <w:r w:rsidR="00923E72">
        <w:rPr>
          <w:bCs/>
          <w:lang w:val="fr-FR"/>
        </w:rPr>
        <w:t>’</w:t>
      </w:r>
      <w:r w:rsidRPr="00742132">
        <w:rPr>
          <w:bCs/>
          <w:lang w:val="fr-FR"/>
        </w:rPr>
        <w:t>agissait auparavant d</w:t>
      </w:r>
      <w:r w:rsidR="00923E72">
        <w:rPr>
          <w:bCs/>
          <w:lang w:val="fr-FR"/>
        </w:rPr>
        <w:t>’</w:t>
      </w:r>
      <w:r w:rsidRPr="00742132">
        <w:rPr>
          <w:bCs/>
          <w:lang w:val="fr-FR"/>
        </w:rPr>
        <w:t xml:space="preserve">un élément proclamé </w:t>
      </w:r>
      <w:r w:rsidR="00465B11">
        <w:rPr>
          <w:bCs/>
          <w:lang w:val="fr-FR"/>
        </w:rPr>
        <w:t>« </w:t>
      </w:r>
      <w:r w:rsidRPr="00742132">
        <w:rPr>
          <w:bCs/>
          <w:lang w:val="fr-FR"/>
        </w:rPr>
        <w:t>chef-d</w:t>
      </w:r>
      <w:r w:rsidR="00923E72">
        <w:rPr>
          <w:bCs/>
          <w:lang w:val="fr-FR"/>
        </w:rPr>
        <w:t>’</w:t>
      </w:r>
      <w:r w:rsidRPr="00742132">
        <w:rPr>
          <w:bCs/>
          <w:lang w:val="fr-FR"/>
        </w:rPr>
        <w:t>œuvre du patrimoine culturel oral et immatériel de l</w:t>
      </w:r>
      <w:r w:rsidR="00923E72">
        <w:rPr>
          <w:bCs/>
          <w:lang w:val="fr-FR"/>
        </w:rPr>
        <w:t>’</w:t>
      </w:r>
      <w:r w:rsidRPr="00742132">
        <w:rPr>
          <w:bCs/>
          <w:lang w:val="fr-FR"/>
        </w:rPr>
        <w:t>humanité</w:t>
      </w:r>
      <w:r w:rsidR="00465B11">
        <w:rPr>
          <w:bCs/>
          <w:lang w:val="fr-FR"/>
        </w:rPr>
        <w:t> » dans le cadre d</w:t>
      </w:r>
      <w:r w:rsidR="00923E72">
        <w:rPr>
          <w:bCs/>
          <w:lang w:val="fr-FR"/>
        </w:rPr>
        <w:t>’</w:t>
      </w:r>
      <w:r>
        <w:rPr>
          <w:bCs/>
          <w:lang w:val="fr-FR"/>
        </w:rPr>
        <w:t xml:space="preserve">un programme </w:t>
      </w:r>
      <w:r w:rsidRPr="00742132">
        <w:rPr>
          <w:bCs/>
          <w:lang w:val="fr-FR"/>
        </w:rPr>
        <w:t xml:space="preserve">qui avait ensuite été </w:t>
      </w:r>
      <w:r w:rsidR="00465B11">
        <w:rPr>
          <w:bCs/>
          <w:lang w:val="fr-FR"/>
        </w:rPr>
        <w:t xml:space="preserve">intégralement </w:t>
      </w:r>
      <w:r w:rsidRPr="00742132">
        <w:rPr>
          <w:bCs/>
          <w:lang w:val="fr-FR"/>
        </w:rPr>
        <w:t>i</w:t>
      </w:r>
      <w:r w:rsidR="00465B11">
        <w:rPr>
          <w:bCs/>
          <w:lang w:val="fr-FR"/>
        </w:rPr>
        <w:t>ncorporé dans</w:t>
      </w:r>
      <w:r w:rsidRPr="00742132">
        <w:rPr>
          <w:bCs/>
          <w:lang w:val="fr-FR"/>
        </w:rPr>
        <w:t xml:space="preserve"> la Liste représentative. Le Sous</w:t>
      </w:r>
      <w:r>
        <w:rPr>
          <w:bCs/>
          <w:lang w:val="fr-FR"/>
        </w:rPr>
        <w:noBreakHyphen/>
      </w:r>
      <w:r w:rsidRPr="00742132">
        <w:rPr>
          <w:bCs/>
          <w:lang w:val="fr-FR"/>
        </w:rPr>
        <w:t>Directeur général de la culture avait déjà expliqué qu</w:t>
      </w:r>
      <w:r w:rsidR="00923E72">
        <w:rPr>
          <w:bCs/>
          <w:lang w:val="fr-FR"/>
        </w:rPr>
        <w:t>’</w:t>
      </w:r>
      <w:r w:rsidRPr="00742132">
        <w:rPr>
          <w:bCs/>
          <w:lang w:val="fr-FR"/>
        </w:rPr>
        <w:t>il s</w:t>
      </w:r>
      <w:r w:rsidR="00923E72">
        <w:rPr>
          <w:bCs/>
          <w:lang w:val="fr-FR"/>
        </w:rPr>
        <w:t>’</w:t>
      </w:r>
      <w:r w:rsidRPr="00742132">
        <w:rPr>
          <w:bCs/>
          <w:lang w:val="fr-FR"/>
        </w:rPr>
        <w:t>agissait d</w:t>
      </w:r>
      <w:r w:rsidR="00923E72">
        <w:rPr>
          <w:bCs/>
          <w:lang w:val="fr-FR"/>
        </w:rPr>
        <w:t>’</w:t>
      </w:r>
      <w:r w:rsidRPr="00742132">
        <w:rPr>
          <w:bCs/>
          <w:lang w:val="fr-FR"/>
        </w:rPr>
        <w:t xml:space="preserve">un programme et </w:t>
      </w:r>
      <w:r w:rsidRPr="00742132">
        <w:rPr>
          <w:bCs/>
          <w:lang w:val="fr-FR"/>
        </w:rPr>
        <w:lastRenderedPageBreak/>
        <w:t>non d</w:t>
      </w:r>
      <w:r w:rsidR="00923E72">
        <w:rPr>
          <w:bCs/>
          <w:lang w:val="fr-FR"/>
        </w:rPr>
        <w:t>’</w:t>
      </w:r>
      <w:r w:rsidRPr="00742132">
        <w:rPr>
          <w:bCs/>
          <w:lang w:val="fr-FR"/>
        </w:rPr>
        <w:t>un élément de la Convention. Le Conseiller juridique ne pouvait donc pas se prononcer sur la manière dont l</w:t>
      </w:r>
      <w:r w:rsidR="00923E72">
        <w:rPr>
          <w:bCs/>
          <w:lang w:val="fr-FR"/>
        </w:rPr>
        <w:t>’</w:t>
      </w:r>
      <w:r w:rsidRPr="00742132">
        <w:rPr>
          <w:bCs/>
          <w:lang w:val="fr-FR"/>
        </w:rPr>
        <w:t>élément avait été analysé et proclamé chef-d</w:t>
      </w:r>
      <w:r w:rsidR="00923E72">
        <w:rPr>
          <w:bCs/>
          <w:lang w:val="fr-FR"/>
        </w:rPr>
        <w:t>’</w:t>
      </w:r>
      <w:r w:rsidRPr="00742132">
        <w:rPr>
          <w:bCs/>
          <w:lang w:val="fr-FR"/>
        </w:rPr>
        <w:t>œuvre. D</w:t>
      </w:r>
      <w:r w:rsidR="00923E72">
        <w:rPr>
          <w:bCs/>
          <w:lang w:val="fr-FR"/>
        </w:rPr>
        <w:t>’</w:t>
      </w:r>
      <w:r w:rsidRPr="00742132">
        <w:rPr>
          <w:bCs/>
          <w:lang w:val="fr-FR"/>
        </w:rPr>
        <w:t>un point de vue juridique, et comme le prévo</w:t>
      </w:r>
      <w:r>
        <w:rPr>
          <w:bCs/>
          <w:lang w:val="fr-FR"/>
        </w:rPr>
        <w:t>yai</w:t>
      </w:r>
      <w:r w:rsidRPr="00742132">
        <w:rPr>
          <w:bCs/>
          <w:lang w:val="fr-FR"/>
        </w:rPr>
        <w:t>t la Convention, environ quatre</w:t>
      </w:r>
      <w:r w:rsidR="00712EFC">
        <w:rPr>
          <w:bCs/>
          <w:lang w:val="fr-FR"/>
        </w:rPr>
        <w:noBreakHyphen/>
      </w:r>
      <w:r w:rsidRPr="00742132">
        <w:rPr>
          <w:bCs/>
          <w:lang w:val="fr-FR"/>
        </w:rPr>
        <w:t xml:space="preserve">vingts éléments avaient </w:t>
      </w:r>
      <w:r w:rsidR="00465B11">
        <w:rPr>
          <w:bCs/>
          <w:lang w:val="fr-FR"/>
        </w:rPr>
        <w:t xml:space="preserve">ainsi </w:t>
      </w:r>
      <w:r w:rsidRPr="00742132">
        <w:rPr>
          <w:bCs/>
          <w:lang w:val="fr-FR"/>
        </w:rPr>
        <w:t>été incorporés.</w:t>
      </w:r>
    </w:p>
    <w:p w14:paraId="28381DBD" w14:textId="161E56D7" w:rsidR="00742132" w:rsidRDefault="00742132" w:rsidP="00AA7EE4">
      <w:pPr>
        <w:pStyle w:val="Orateurengris"/>
        <w:numPr>
          <w:ilvl w:val="0"/>
          <w:numId w:val="20"/>
        </w:numPr>
        <w:tabs>
          <w:tab w:val="clear" w:pos="567"/>
        </w:tabs>
        <w:spacing w:before="120"/>
        <w:ind w:left="709" w:hanging="709"/>
        <w:rPr>
          <w:bCs/>
          <w:lang w:val="fr-FR"/>
        </w:rPr>
      </w:pPr>
      <w:r>
        <w:rPr>
          <w:bCs/>
          <w:lang w:val="fr-FR"/>
        </w:rPr>
        <w:t xml:space="preserve">La </w:t>
      </w:r>
      <w:r w:rsidRPr="00742132">
        <w:rPr>
          <w:bCs/>
          <w:lang w:val="fr-FR"/>
        </w:rPr>
        <w:t>délégation</w:t>
      </w:r>
      <w:r>
        <w:rPr>
          <w:bCs/>
          <w:lang w:val="fr-FR"/>
        </w:rPr>
        <w:t xml:space="preserve"> du </w:t>
      </w:r>
      <w:r w:rsidRPr="00702497">
        <w:rPr>
          <w:b/>
          <w:lang w:val="fr-FR"/>
        </w:rPr>
        <w:t>Burkina Faso</w:t>
      </w:r>
      <w:r>
        <w:rPr>
          <w:bCs/>
          <w:lang w:val="fr-FR"/>
        </w:rPr>
        <w:t xml:space="preserve"> était bien consciente que l</w:t>
      </w:r>
      <w:r w:rsidR="00923E72">
        <w:rPr>
          <w:bCs/>
          <w:lang w:val="fr-FR"/>
        </w:rPr>
        <w:t>’</w:t>
      </w:r>
      <w:r>
        <w:rPr>
          <w:bCs/>
          <w:lang w:val="fr-FR"/>
        </w:rPr>
        <w:t>élément n</w:t>
      </w:r>
      <w:r w:rsidR="00923E72">
        <w:rPr>
          <w:bCs/>
          <w:lang w:val="fr-FR"/>
        </w:rPr>
        <w:t>’</w:t>
      </w:r>
      <w:r>
        <w:rPr>
          <w:bCs/>
          <w:lang w:val="fr-FR"/>
        </w:rPr>
        <w:t>avait pas suivi le processus d</w:t>
      </w:r>
      <w:r w:rsidR="00923E72">
        <w:rPr>
          <w:bCs/>
          <w:lang w:val="fr-FR"/>
        </w:rPr>
        <w:t>’</w:t>
      </w:r>
      <w:r w:rsidRPr="00742132">
        <w:rPr>
          <w:bCs/>
          <w:lang w:val="fr-FR"/>
        </w:rPr>
        <w:t>évaluation</w:t>
      </w:r>
      <w:r>
        <w:rPr>
          <w:bCs/>
          <w:lang w:val="fr-FR"/>
        </w:rPr>
        <w:t xml:space="preserve"> et avait été incorporé à partir de la </w:t>
      </w:r>
      <w:r w:rsidR="00D62BFB">
        <w:rPr>
          <w:bCs/>
          <w:lang w:val="fr-FR"/>
        </w:rPr>
        <w:t>p</w:t>
      </w:r>
      <w:r>
        <w:rPr>
          <w:bCs/>
          <w:lang w:val="fr-FR"/>
        </w:rPr>
        <w:t>roclamation des chefs d</w:t>
      </w:r>
      <w:r w:rsidR="00923E72">
        <w:rPr>
          <w:bCs/>
          <w:lang w:val="fr-FR"/>
        </w:rPr>
        <w:t>’</w:t>
      </w:r>
      <w:r>
        <w:rPr>
          <w:bCs/>
          <w:lang w:val="fr-FR"/>
        </w:rPr>
        <w:t>œuvre de l</w:t>
      </w:r>
      <w:r w:rsidR="00923E72">
        <w:rPr>
          <w:bCs/>
          <w:lang w:val="fr-FR"/>
        </w:rPr>
        <w:t>’</w:t>
      </w:r>
      <w:r>
        <w:rPr>
          <w:bCs/>
          <w:lang w:val="fr-FR"/>
        </w:rPr>
        <w:t>humani</w:t>
      </w:r>
      <w:r w:rsidR="00D62BFB">
        <w:rPr>
          <w:bCs/>
          <w:lang w:val="fr-FR"/>
        </w:rPr>
        <w:t>t</w:t>
      </w:r>
      <w:r>
        <w:rPr>
          <w:bCs/>
          <w:lang w:val="fr-FR"/>
        </w:rPr>
        <w:t xml:space="preserve">é. </w:t>
      </w:r>
      <w:r w:rsidR="00D62BFB">
        <w:rPr>
          <w:bCs/>
          <w:lang w:val="fr-FR"/>
        </w:rPr>
        <w:t xml:space="preserve">La </w:t>
      </w:r>
      <w:r w:rsidR="00D62BFB" w:rsidRPr="00D62BFB">
        <w:rPr>
          <w:bCs/>
          <w:lang w:val="fr-FR"/>
        </w:rPr>
        <w:t>délégation</w:t>
      </w:r>
      <w:r w:rsidR="00D62BFB">
        <w:rPr>
          <w:bCs/>
          <w:lang w:val="fr-FR"/>
        </w:rPr>
        <w:t xml:space="preserve"> se demandait si l</w:t>
      </w:r>
      <w:r w:rsidR="00923E72">
        <w:rPr>
          <w:bCs/>
          <w:lang w:val="fr-FR"/>
        </w:rPr>
        <w:t>’</w:t>
      </w:r>
      <w:r w:rsidR="00D62BFB">
        <w:rPr>
          <w:bCs/>
          <w:lang w:val="fr-FR"/>
        </w:rPr>
        <w:t>élément pouvait obéir à la procédure adoptée par l</w:t>
      </w:r>
      <w:r w:rsidR="00923E72">
        <w:rPr>
          <w:bCs/>
          <w:lang w:val="fr-FR"/>
        </w:rPr>
        <w:t>’</w:t>
      </w:r>
      <w:r w:rsidR="00D62BFB">
        <w:rPr>
          <w:bCs/>
          <w:lang w:val="fr-FR"/>
        </w:rPr>
        <w:t xml:space="preserve">entrée en vigueur de la </w:t>
      </w:r>
      <w:r w:rsidR="00D62BFB" w:rsidRPr="00D62BFB">
        <w:rPr>
          <w:bCs/>
          <w:lang w:val="fr-FR"/>
        </w:rPr>
        <w:t>Convention</w:t>
      </w:r>
      <w:r w:rsidR="00D62BFB">
        <w:rPr>
          <w:bCs/>
          <w:lang w:val="fr-FR"/>
        </w:rPr>
        <w:t>.</w:t>
      </w:r>
    </w:p>
    <w:p w14:paraId="01A7BE2E" w14:textId="27B4DB41" w:rsidR="00D62BFB" w:rsidRDefault="00D62BFB" w:rsidP="00AA7EE4">
      <w:pPr>
        <w:pStyle w:val="Orateurengris"/>
        <w:numPr>
          <w:ilvl w:val="0"/>
          <w:numId w:val="20"/>
        </w:numPr>
        <w:tabs>
          <w:tab w:val="clear" w:pos="567"/>
        </w:tabs>
        <w:spacing w:before="120"/>
        <w:ind w:left="709" w:hanging="709"/>
        <w:rPr>
          <w:bCs/>
          <w:lang w:val="fr-FR"/>
        </w:rPr>
      </w:pPr>
      <w:r w:rsidRPr="00D62BFB">
        <w:rPr>
          <w:bCs/>
          <w:lang w:val="fr-FR"/>
        </w:rPr>
        <w:t xml:space="preserve">Le </w:t>
      </w:r>
      <w:r w:rsidRPr="00702497">
        <w:rPr>
          <w:b/>
          <w:lang w:val="fr-FR"/>
        </w:rPr>
        <w:t>Conseiller juridique</w:t>
      </w:r>
      <w:r w:rsidRPr="00D62BFB">
        <w:rPr>
          <w:bCs/>
          <w:lang w:val="fr-FR"/>
        </w:rPr>
        <w:t xml:space="preserve"> a fait remarquer que tous les éléments qui avaient été incorporés dans la Liste représentative en tant qu</w:t>
      </w:r>
      <w:r w:rsidR="00923E72">
        <w:rPr>
          <w:bCs/>
          <w:lang w:val="fr-FR"/>
        </w:rPr>
        <w:t>’</w:t>
      </w:r>
      <w:r w:rsidRPr="00D62BFB">
        <w:rPr>
          <w:bCs/>
          <w:lang w:val="fr-FR"/>
        </w:rPr>
        <w:t>anciens chefs-d</w:t>
      </w:r>
      <w:r w:rsidR="00923E72">
        <w:rPr>
          <w:bCs/>
          <w:lang w:val="fr-FR"/>
        </w:rPr>
        <w:t>’</w:t>
      </w:r>
      <w:r w:rsidRPr="00D62BFB">
        <w:rPr>
          <w:bCs/>
          <w:lang w:val="fr-FR"/>
        </w:rPr>
        <w:t>œuvre du patrimoine culturel oral et immatériel de l</w:t>
      </w:r>
      <w:r w:rsidR="00923E72">
        <w:rPr>
          <w:bCs/>
          <w:lang w:val="fr-FR"/>
        </w:rPr>
        <w:t>’</w:t>
      </w:r>
      <w:r w:rsidRPr="00D62BFB">
        <w:rPr>
          <w:bCs/>
          <w:lang w:val="fr-FR"/>
        </w:rPr>
        <w:t>humanité étaient soumis aux Directives opérationnelles</w:t>
      </w:r>
      <w:r>
        <w:rPr>
          <w:bCs/>
          <w:lang w:val="fr-FR"/>
        </w:rPr>
        <w:t xml:space="preserve">. Il a </w:t>
      </w:r>
      <w:r w:rsidRPr="00D62BFB">
        <w:rPr>
          <w:bCs/>
          <w:lang w:val="fr-FR"/>
        </w:rPr>
        <w:t>invit</w:t>
      </w:r>
      <w:r>
        <w:rPr>
          <w:bCs/>
          <w:lang w:val="fr-FR"/>
        </w:rPr>
        <w:t xml:space="preserve">é </w:t>
      </w:r>
      <w:r w:rsidRPr="00D62BFB">
        <w:rPr>
          <w:bCs/>
          <w:lang w:val="fr-FR"/>
        </w:rPr>
        <w:t>le Secrétariat à répondre s</w:t>
      </w:r>
      <w:r w:rsidR="00923E72">
        <w:rPr>
          <w:bCs/>
          <w:lang w:val="fr-FR"/>
        </w:rPr>
        <w:t>’</w:t>
      </w:r>
      <w:r w:rsidRPr="00D62BFB">
        <w:rPr>
          <w:bCs/>
          <w:lang w:val="fr-FR"/>
        </w:rPr>
        <w:t>il avait quelque chose à ajouter.</w:t>
      </w:r>
    </w:p>
    <w:p w14:paraId="4F57AEDE" w14:textId="625B199B" w:rsidR="00D62BFB" w:rsidRDefault="00D62BFB" w:rsidP="00AA7EE4">
      <w:pPr>
        <w:pStyle w:val="Orateurengris"/>
        <w:numPr>
          <w:ilvl w:val="0"/>
          <w:numId w:val="20"/>
        </w:numPr>
        <w:tabs>
          <w:tab w:val="clear" w:pos="567"/>
        </w:tabs>
        <w:spacing w:before="120"/>
        <w:ind w:left="709" w:hanging="709"/>
        <w:rPr>
          <w:bCs/>
          <w:lang w:val="fr-FR"/>
        </w:rPr>
      </w:pPr>
      <w:r w:rsidRPr="00D62BFB">
        <w:rPr>
          <w:bCs/>
          <w:lang w:val="fr-FR"/>
        </w:rPr>
        <w:t>Compte tenu de l</w:t>
      </w:r>
      <w:r w:rsidR="00923E72">
        <w:rPr>
          <w:bCs/>
          <w:lang w:val="fr-FR"/>
        </w:rPr>
        <w:t>’</w:t>
      </w:r>
      <w:r w:rsidRPr="00D62BFB">
        <w:rPr>
          <w:bCs/>
          <w:lang w:val="fr-FR"/>
        </w:rPr>
        <w:t xml:space="preserve">heure, le </w:t>
      </w:r>
      <w:r w:rsidRPr="00702497">
        <w:rPr>
          <w:b/>
          <w:lang w:val="fr-FR"/>
        </w:rPr>
        <w:t>Président</w:t>
      </w:r>
      <w:r w:rsidRPr="00D62BFB">
        <w:rPr>
          <w:bCs/>
          <w:lang w:val="fr-FR"/>
        </w:rPr>
        <w:t xml:space="preserve"> </w:t>
      </w:r>
      <w:r>
        <w:rPr>
          <w:bCs/>
          <w:lang w:val="fr-FR"/>
        </w:rPr>
        <w:t xml:space="preserve">a </w:t>
      </w:r>
      <w:r w:rsidRPr="00D62BFB">
        <w:rPr>
          <w:bCs/>
          <w:lang w:val="fr-FR"/>
        </w:rPr>
        <w:t>souhait</w:t>
      </w:r>
      <w:r>
        <w:rPr>
          <w:bCs/>
          <w:lang w:val="fr-FR"/>
        </w:rPr>
        <w:t xml:space="preserve">é </w:t>
      </w:r>
      <w:r w:rsidRPr="00D62BFB">
        <w:rPr>
          <w:bCs/>
          <w:lang w:val="fr-FR"/>
        </w:rPr>
        <w:t>passer directement à l</w:t>
      </w:r>
      <w:r w:rsidR="00923E72">
        <w:rPr>
          <w:bCs/>
          <w:lang w:val="fr-FR"/>
        </w:rPr>
        <w:t>’</w:t>
      </w:r>
      <w:r w:rsidRPr="00D62BFB">
        <w:rPr>
          <w:bCs/>
          <w:lang w:val="fr-FR"/>
        </w:rPr>
        <w:t xml:space="preserve">examen du projet de décision après les deux derniers orateurs, les États observateurs de </w:t>
      </w:r>
      <w:r>
        <w:rPr>
          <w:bCs/>
          <w:lang w:val="fr-FR"/>
        </w:rPr>
        <w:t xml:space="preserve">la </w:t>
      </w:r>
      <w:r w:rsidRPr="00D62BFB">
        <w:rPr>
          <w:bCs/>
          <w:lang w:val="fr-FR"/>
        </w:rPr>
        <w:t>Palestine et de la République dominicaine.</w:t>
      </w:r>
    </w:p>
    <w:p w14:paraId="710DAA0D" w14:textId="2DAAAAAE" w:rsidR="00D62BFB" w:rsidRDefault="00D62BFB" w:rsidP="00AA7EE4">
      <w:pPr>
        <w:pStyle w:val="Orateurengris"/>
        <w:numPr>
          <w:ilvl w:val="0"/>
          <w:numId w:val="20"/>
        </w:numPr>
        <w:tabs>
          <w:tab w:val="clear" w:pos="567"/>
        </w:tabs>
        <w:spacing w:before="120"/>
        <w:ind w:left="709" w:hanging="709"/>
        <w:rPr>
          <w:bCs/>
          <w:lang w:val="fr-FR"/>
        </w:rPr>
      </w:pPr>
      <w:r w:rsidRPr="00D62BFB">
        <w:rPr>
          <w:bCs/>
          <w:lang w:val="fr-FR"/>
        </w:rPr>
        <w:t xml:space="preserve">La délégation de la </w:t>
      </w:r>
      <w:r w:rsidRPr="00702497">
        <w:rPr>
          <w:b/>
          <w:lang w:val="fr-FR"/>
        </w:rPr>
        <w:t>Palestine</w:t>
      </w:r>
      <w:r w:rsidRPr="00D62BFB">
        <w:rPr>
          <w:bCs/>
          <w:lang w:val="fr-FR"/>
        </w:rPr>
        <w:t xml:space="preserve"> souscrivait à la position </w:t>
      </w:r>
      <w:r w:rsidR="002A3828">
        <w:rPr>
          <w:bCs/>
          <w:lang w:val="fr-FR"/>
        </w:rPr>
        <w:t xml:space="preserve">adoptée </w:t>
      </w:r>
      <w:r w:rsidRPr="00D62BFB">
        <w:rPr>
          <w:bCs/>
          <w:lang w:val="fr-FR"/>
        </w:rPr>
        <w:t>par de nombreuses délégations et soutenait pleinement l</w:t>
      </w:r>
      <w:r w:rsidR="00923E72">
        <w:rPr>
          <w:bCs/>
          <w:lang w:val="fr-FR"/>
        </w:rPr>
        <w:t>’</w:t>
      </w:r>
      <w:r w:rsidRPr="00D62BFB">
        <w:rPr>
          <w:bCs/>
          <w:lang w:val="fr-FR"/>
        </w:rPr>
        <w:t xml:space="preserve">amendement </w:t>
      </w:r>
      <w:r w:rsidR="007F3382">
        <w:rPr>
          <w:bCs/>
          <w:lang w:val="fr-FR"/>
        </w:rPr>
        <w:t xml:space="preserve">soumis </w:t>
      </w:r>
      <w:r w:rsidRPr="00D62BFB">
        <w:rPr>
          <w:bCs/>
          <w:lang w:val="fr-FR"/>
        </w:rPr>
        <w:t>par le Botswana demandant le retrait immédiat de cet élément de la Liste, qui n</w:t>
      </w:r>
      <w:r w:rsidR="00923E72">
        <w:rPr>
          <w:bCs/>
          <w:lang w:val="fr-FR"/>
        </w:rPr>
        <w:t>’</w:t>
      </w:r>
      <w:r w:rsidRPr="00D62BFB">
        <w:rPr>
          <w:bCs/>
          <w:lang w:val="fr-FR"/>
        </w:rPr>
        <w:t>avait manifestement pas sa place sur la Liste représentative. La délégation a rappelé les interventions d</w:t>
      </w:r>
      <w:r w:rsidR="00923E72">
        <w:rPr>
          <w:bCs/>
          <w:lang w:val="fr-FR"/>
        </w:rPr>
        <w:t>’</w:t>
      </w:r>
      <w:r w:rsidRPr="00D62BFB">
        <w:rPr>
          <w:bCs/>
          <w:lang w:val="fr-FR"/>
        </w:rPr>
        <w:t>un certain nombre de membres du Comité qui s</w:t>
      </w:r>
      <w:r w:rsidR="00923E72">
        <w:rPr>
          <w:bCs/>
          <w:lang w:val="fr-FR"/>
        </w:rPr>
        <w:t>’</w:t>
      </w:r>
      <w:r w:rsidRPr="00D62BFB">
        <w:rPr>
          <w:bCs/>
          <w:lang w:val="fr-FR"/>
        </w:rPr>
        <w:t>étaient exprimés contre son retrait immédiat et avaient demandé de ne retirer qu</w:t>
      </w:r>
      <w:r w:rsidR="00923E72">
        <w:rPr>
          <w:bCs/>
          <w:lang w:val="fr-FR"/>
        </w:rPr>
        <w:t>’</w:t>
      </w:r>
      <w:r w:rsidRPr="00D62BFB">
        <w:rPr>
          <w:bCs/>
          <w:lang w:val="fr-FR"/>
        </w:rPr>
        <w:t>une partie de l</w:t>
      </w:r>
      <w:r w:rsidR="00923E72">
        <w:rPr>
          <w:bCs/>
          <w:lang w:val="fr-FR"/>
        </w:rPr>
        <w:t>’</w:t>
      </w:r>
      <w:r w:rsidRPr="00D62BFB">
        <w:rPr>
          <w:bCs/>
          <w:lang w:val="fr-FR"/>
        </w:rPr>
        <w:t>élément</w:t>
      </w:r>
      <w:r w:rsidR="002A3828">
        <w:rPr>
          <w:bCs/>
          <w:lang w:val="fr-FR"/>
        </w:rPr>
        <w:t xml:space="preserve"> en évoquant</w:t>
      </w:r>
      <w:r w:rsidRPr="00D62BFB">
        <w:rPr>
          <w:bCs/>
          <w:lang w:val="fr-FR"/>
        </w:rPr>
        <w:t xml:space="preserve"> des questions de procédure. Toutefois, un précédent </w:t>
      </w:r>
      <w:r w:rsidR="007F3382">
        <w:rPr>
          <w:bCs/>
          <w:lang w:val="fr-FR"/>
        </w:rPr>
        <w:t>existait</w:t>
      </w:r>
      <w:r w:rsidRPr="00D62BFB">
        <w:rPr>
          <w:bCs/>
          <w:lang w:val="fr-FR"/>
        </w:rPr>
        <w:t>, qui s</w:t>
      </w:r>
      <w:r w:rsidR="00923E72">
        <w:rPr>
          <w:bCs/>
          <w:lang w:val="fr-FR"/>
        </w:rPr>
        <w:t>’</w:t>
      </w:r>
      <w:r w:rsidRPr="00D62BFB">
        <w:rPr>
          <w:bCs/>
          <w:lang w:val="fr-FR"/>
        </w:rPr>
        <w:t xml:space="preserve">était produit avant même les dispositions </w:t>
      </w:r>
      <w:r w:rsidR="007F3382">
        <w:rPr>
          <w:bCs/>
          <w:lang w:val="fr-FR"/>
        </w:rPr>
        <w:t xml:space="preserve">actuelles </w:t>
      </w:r>
      <w:r w:rsidRPr="00D62BFB">
        <w:rPr>
          <w:bCs/>
          <w:lang w:val="fr-FR"/>
        </w:rPr>
        <w:t>des Directives opérationnelles. La délégation trouvait surprenantes les interventions de certains membres du Comité qui justifiaient par des raisons de temps ou des prétextes de procédure le maintien de l</w:t>
      </w:r>
      <w:r w:rsidR="00923E72">
        <w:rPr>
          <w:bCs/>
          <w:lang w:val="fr-FR"/>
        </w:rPr>
        <w:t>’</w:t>
      </w:r>
      <w:r w:rsidRPr="00D62BFB">
        <w:rPr>
          <w:bCs/>
          <w:lang w:val="fr-FR"/>
        </w:rPr>
        <w:t>élément sur la Liste. En effet, ils n</w:t>
      </w:r>
      <w:r w:rsidR="00923E72">
        <w:rPr>
          <w:bCs/>
          <w:lang w:val="fr-FR"/>
        </w:rPr>
        <w:t>’</w:t>
      </w:r>
      <w:r w:rsidRPr="00D62BFB">
        <w:rPr>
          <w:bCs/>
          <w:lang w:val="fr-FR"/>
        </w:rPr>
        <w:t>avaient pas adopté la même position dans un cas précédent, en</w:t>
      </w:r>
      <w:r w:rsidR="00AF6B98">
        <w:rPr>
          <w:bCs/>
          <w:lang w:val="fr-FR"/>
        </w:rPr>
        <w:t> </w:t>
      </w:r>
      <w:r w:rsidRPr="00D62BFB">
        <w:rPr>
          <w:bCs/>
          <w:lang w:val="fr-FR"/>
        </w:rPr>
        <w:t>2019, concernant la fête d</w:t>
      </w:r>
      <w:r w:rsidR="00923E72">
        <w:rPr>
          <w:bCs/>
          <w:lang w:val="fr-FR"/>
        </w:rPr>
        <w:t>’</w:t>
      </w:r>
      <w:r w:rsidRPr="00D62BFB">
        <w:rPr>
          <w:bCs/>
          <w:lang w:val="fr-FR"/>
        </w:rPr>
        <w:t>Alost, lorsqu</w:t>
      </w:r>
      <w:r w:rsidR="00923E72">
        <w:rPr>
          <w:bCs/>
          <w:lang w:val="fr-FR"/>
        </w:rPr>
        <w:t>’</w:t>
      </w:r>
      <w:r w:rsidRPr="00D62BFB">
        <w:rPr>
          <w:bCs/>
          <w:lang w:val="fr-FR"/>
        </w:rPr>
        <w:t>ils avaient demandé le retrait immédiat de l</w:t>
      </w:r>
      <w:r w:rsidR="00923E72">
        <w:rPr>
          <w:bCs/>
          <w:lang w:val="fr-FR"/>
        </w:rPr>
        <w:t>’</w:t>
      </w:r>
      <w:r w:rsidRPr="00D62BFB">
        <w:rPr>
          <w:bCs/>
          <w:lang w:val="fr-FR"/>
        </w:rPr>
        <w:t>élément de la Liste. Cela démontrait qu</w:t>
      </w:r>
      <w:r w:rsidR="00923E72">
        <w:rPr>
          <w:bCs/>
          <w:lang w:val="fr-FR"/>
        </w:rPr>
        <w:t>’</w:t>
      </w:r>
      <w:r w:rsidRPr="00D62BFB">
        <w:rPr>
          <w:bCs/>
          <w:lang w:val="fr-FR"/>
        </w:rPr>
        <w:t xml:space="preserve">il existe </w:t>
      </w:r>
      <w:r w:rsidR="007F3382">
        <w:rPr>
          <w:bCs/>
          <w:lang w:val="fr-FR"/>
        </w:rPr>
        <w:t xml:space="preserve">deux poids </w:t>
      </w:r>
      <w:r w:rsidRPr="00D62BFB">
        <w:rPr>
          <w:bCs/>
          <w:lang w:val="fr-FR"/>
        </w:rPr>
        <w:t xml:space="preserve">deux mesures </w:t>
      </w:r>
      <w:r w:rsidR="007F3382">
        <w:rPr>
          <w:bCs/>
          <w:lang w:val="fr-FR"/>
        </w:rPr>
        <w:t>et cela illustrait qu</w:t>
      </w:r>
      <w:r w:rsidR="00923E72">
        <w:rPr>
          <w:bCs/>
          <w:lang w:val="fr-FR"/>
        </w:rPr>
        <w:t>’</w:t>
      </w:r>
      <w:r w:rsidR="007F3382">
        <w:rPr>
          <w:bCs/>
          <w:lang w:val="fr-FR"/>
        </w:rPr>
        <w:t xml:space="preserve">il y a une échelle </w:t>
      </w:r>
      <w:r w:rsidRPr="00D62BFB">
        <w:rPr>
          <w:bCs/>
          <w:lang w:val="fr-FR"/>
        </w:rPr>
        <w:t>d</w:t>
      </w:r>
      <w:r w:rsidR="007F3382">
        <w:rPr>
          <w:bCs/>
          <w:lang w:val="fr-FR"/>
        </w:rPr>
        <w:t>ans le</w:t>
      </w:r>
      <w:r w:rsidRPr="00D62BFB">
        <w:rPr>
          <w:bCs/>
          <w:lang w:val="fr-FR"/>
        </w:rPr>
        <w:t xml:space="preserve"> racisme. Cette politique de deux poids deux mesures était inacceptable et décevante.</w:t>
      </w:r>
    </w:p>
    <w:p w14:paraId="46D60307" w14:textId="0762B13A" w:rsidR="007F3382" w:rsidRDefault="007F3382"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signalé une motion d</w:t>
      </w:r>
      <w:r w:rsidR="00923E72">
        <w:rPr>
          <w:bCs/>
          <w:lang w:val="fr-FR"/>
        </w:rPr>
        <w:t>’</w:t>
      </w:r>
      <w:r>
        <w:rPr>
          <w:bCs/>
          <w:lang w:val="fr-FR"/>
        </w:rPr>
        <w:t>ordre invoquée par la Suisse.</w:t>
      </w:r>
    </w:p>
    <w:p w14:paraId="5C3EACC3" w14:textId="573995E9" w:rsidR="007F3382" w:rsidRDefault="007F3382" w:rsidP="00AA7EE4">
      <w:pPr>
        <w:pStyle w:val="Orateurengris"/>
        <w:numPr>
          <w:ilvl w:val="0"/>
          <w:numId w:val="20"/>
        </w:numPr>
        <w:tabs>
          <w:tab w:val="clear" w:pos="567"/>
        </w:tabs>
        <w:spacing w:before="120"/>
        <w:ind w:left="709" w:hanging="709"/>
        <w:rPr>
          <w:bCs/>
          <w:lang w:val="fr-FR"/>
        </w:rPr>
      </w:pPr>
      <w:r w:rsidRPr="007F3382">
        <w:rPr>
          <w:bCs/>
          <w:lang w:val="fr-FR"/>
        </w:rPr>
        <w:t xml:space="preserve">La délégation de la </w:t>
      </w:r>
      <w:r w:rsidRPr="00702497">
        <w:rPr>
          <w:b/>
          <w:lang w:val="fr-FR"/>
        </w:rPr>
        <w:t>Suisse</w:t>
      </w:r>
      <w:r w:rsidRPr="007F3382">
        <w:rPr>
          <w:bCs/>
          <w:lang w:val="fr-FR"/>
        </w:rPr>
        <w:t xml:space="preserve"> a fait remarquer que chacun </w:t>
      </w:r>
      <w:r>
        <w:rPr>
          <w:bCs/>
          <w:lang w:val="fr-FR"/>
        </w:rPr>
        <w:t xml:space="preserve">avait pu </w:t>
      </w:r>
      <w:r w:rsidRPr="007F3382">
        <w:rPr>
          <w:bCs/>
          <w:lang w:val="fr-FR"/>
        </w:rPr>
        <w:t>exprimer son émotion et son indignation dans un esprit qui n</w:t>
      </w:r>
      <w:r w:rsidR="00923E72">
        <w:rPr>
          <w:bCs/>
          <w:lang w:val="fr-FR"/>
        </w:rPr>
        <w:t>’</w:t>
      </w:r>
      <w:r>
        <w:rPr>
          <w:bCs/>
          <w:lang w:val="fr-FR"/>
        </w:rPr>
        <w:t>avait pas</w:t>
      </w:r>
      <w:r w:rsidRPr="007F3382">
        <w:rPr>
          <w:bCs/>
          <w:lang w:val="fr-FR"/>
        </w:rPr>
        <w:t xml:space="preserve"> polaris</w:t>
      </w:r>
      <w:r>
        <w:rPr>
          <w:bCs/>
          <w:lang w:val="fr-FR"/>
        </w:rPr>
        <w:t>é</w:t>
      </w:r>
      <w:r w:rsidRPr="007F3382">
        <w:rPr>
          <w:bCs/>
          <w:lang w:val="fr-FR"/>
        </w:rPr>
        <w:t xml:space="preserve"> le Comité. Elle appréciait que le Président </w:t>
      </w:r>
      <w:r>
        <w:rPr>
          <w:bCs/>
          <w:lang w:val="fr-FR"/>
        </w:rPr>
        <w:t>soit parvenu à</w:t>
      </w:r>
      <w:r w:rsidRPr="007F3382">
        <w:rPr>
          <w:bCs/>
          <w:lang w:val="fr-FR"/>
        </w:rPr>
        <w:t xml:space="preserve"> maintenir cet esprit de sérénité</w:t>
      </w:r>
      <w:r>
        <w:rPr>
          <w:bCs/>
          <w:lang w:val="fr-FR"/>
        </w:rPr>
        <w:t xml:space="preserve"> </w:t>
      </w:r>
      <w:r w:rsidRPr="007F3382">
        <w:rPr>
          <w:bCs/>
          <w:lang w:val="fr-FR"/>
        </w:rPr>
        <w:t xml:space="preserve">et </w:t>
      </w:r>
      <w:r>
        <w:rPr>
          <w:bCs/>
          <w:lang w:val="fr-FR"/>
        </w:rPr>
        <w:t xml:space="preserve">elle </w:t>
      </w:r>
      <w:r w:rsidRPr="007F3382">
        <w:rPr>
          <w:bCs/>
          <w:lang w:val="fr-FR"/>
        </w:rPr>
        <w:t xml:space="preserve">lui </w:t>
      </w:r>
      <w:r>
        <w:rPr>
          <w:bCs/>
          <w:lang w:val="fr-FR"/>
        </w:rPr>
        <w:t xml:space="preserve">a </w:t>
      </w:r>
      <w:r w:rsidRPr="007F3382">
        <w:rPr>
          <w:bCs/>
          <w:lang w:val="fr-FR"/>
        </w:rPr>
        <w:t>demand</w:t>
      </w:r>
      <w:r>
        <w:rPr>
          <w:bCs/>
          <w:lang w:val="fr-FR"/>
        </w:rPr>
        <w:t>é</w:t>
      </w:r>
      <w:r w:rsidRPr="007F3382">
        <w:rPr>
          <w:bCs/>
          <w:lang w:val="fr-FR"/>
        </w:rPr>
        <w:t xml:space="preserve"> de poursuivre dans cette voie. La délégation a proposé de passer à l</w:t>
      </w:r>
      <w:r w:rsidR="00923E72">
        <w:rPr>
          <w:bCs/>
          <w:lang w:val="fr-FR"/>
        </w:rPr>
        <w:t>’</w:t>
      </w:r>
      <w:r w:rsidRPr="007F3382">
        <w:rPr>
          <w:bCs/>
          <w:lang w:val="fr-FR"/>
        </w:rPr>
        <w:t>examen du projet de décision.</w:t>
      </w:r>
    </w:p>
    <w:p w14:paraId="5D1A3042" w14:textId="58641566" w:rsidR="007F3382" w:rsidRDefault="007F3382" w:rsidP="00AA7EE4">
      <w:pPr>
        <w:pStyle w:val="Orateurengris"/>
        <w:numPr>
          <w:ilvl w:val="0"/>
          <w:numId w:val="20"/>
        </w:numPr>
        <w:tabs>
          <w:tab w:val="clear" w:pos="567"/>
        </w:tabs>
        <w:spacing w:before="120"/>
        <w:ind w:left="709" w:hanging="709"/>
        <w:rPr>
          <w:bCs/>
          <w:lang w:val="fr-FR"/>
        </w:rPr>
      </w:pPr>
      <w:r w:rsidRPr="007F3382">
        <w:rPr>
          <w:bCs/>
          <w:lang w:val="fr-FR"/>
        </w:rPr>
        <w:t xml:space="preserve">Le </w:t>
      </w:r>
      <w:r w:rsidRPr="00702497">
        <w:rPr>
          <w:b/>
          <w:lang w:val="fr-FR"/>
        </w:rPr>
        <w:t>Président</w:t>
      </w:r>
      <w:r w:rsidRPr="007F3382">
        <w:rPr>
          <w:bCs/>
          <w:lang w:val="fr-FR"/>
        </w:rPr>
        <w:t xml:space="preserve"> abondait totalement dans le sens de la Suisse, ajoutant que la Palestine avait </w:t>
      </w:r>
      <w:r w:rsidR="00BF5EB1">
        <w:rPr>
          <w:bCs/>
          <w:lang w:val="fr-FR"/>
        </w:rPr>
        <w:t xml:space="preserve">exprimé </w:t>
      </w:r>
      <w:r w:rsidRPr="007F3382">
        <w:rPr>
          <w:bCs/>
          <w:lang w:val="fr-FR"/>
        </w:rPr>
        <w:t xml:space="preserve">des préoccupations qui avaient déjà </w:t>
      </w:r>
      <w:r w:rsidR="00086292">
        <w:rPr>
          <w:bCs/>
          <w:lang w:val="fr-FR"/>
        </w:rPr>
        <w:t>fait l</w:t>
      </w:r>
      <w:r w:rsidR="00923E72">
        <w:rPr>
          <w:bCs/>
          <w:lang w:val="fr-FR"/>
        </w:rPr>
        <w:t>’</w:t>
      </w:r>
      <w:r w:rsidR="00086292">
        <w:rPr>
          <w:bCs/>
          <w:lang w:val="fr-FR"/>
        </w:rPr>
        <w:t xml:space="preserve">objet de discussions, </w:t>
      </w:r>
      <w:r w:rsidRPr="007F3382">
        <w:rPr>
          <w:bCs/>
          <w:lang w:val="fr-FR"/>
        </w:rPr>
        <w:t>qu</w:t>
      </w:r>
      <w:r w:rsidR="00923E72">
        <w:rPr>
          <w:bCs/>
          <w:lang w:val="fr-FR"/>
        </w:rPr>
        <w:t>’</w:t>
      </w:r>
      <w:r w:rsidRPr="007F3382">
        <w:rPr>
          <w:bCs/>
          <w:lang w:val="fr-FR"/>
        </w:rPr>
        <w:t>il y avait une unanimité claire sur cette question et qu</w:t>
      </w:r>
      <w:r w:rsidR="00923E72">
        <w:rPr>
          <w:bCs/>
          <w:lang w:val="fr-FR"/>
        </w:rPr>
        <w:t>’</w:t>
      </w:r>
      <w:r w:rsidRPr="007F3382">
        <w:rPr>
          <w:bCs/>
          <w:lang w:val="fr-FR"/>
        </w:rPr>
        <w:t>il n</w:t>
      </w:r>
      <w:r w:rsidR="00923E72">
        <w:rPr>
          <w:bCs/>
          <w:lang w:val="fr-FR"/>
        </w:rPr>
        <w:t>’</w:t>
      </w:r>
      <w:r w:rsidRPr="007F3382">
        <w:rPr>
          <w:bCs/>
          <w:lang w:val="fr-FR"/>
        </w:rPr>
        <w:t>était pas question de polariser le Comité.</w:t>
      </w:r>
    </w:p>
    <w:p w14:paraId="490FC52E" w14:textId="56AFE7BC" w:rsidR="00086292" w:rsidRDefault="00086292" w:rsidP="00AA7EE4">
      <w:pPr>
        <w:pStyle w:val="Orateurengris"/>
        <w:numPr>
          <w:ilvl w:val="0"/>
          <w:numId w:val="20"/>
        </w:numPr>
        <w:tabs>
          <w:tab w:val="clear" w:pos="567"/>
        </w:tabs>
        <w:spacing w:before="120"/>
        <w:ind w:left="709" w:hanging="709"/>
        <w:rPr>
          <w:bCs/>
          <w:lang w:val="fr-FR"/>
        </w:rPr>
      </w:pPr>
      <w:r w:rsidRPr="00086292">
        <w:rPr>
          <w:bCs/>
          <w:lang w:val="fr-FR"/>
        </w:rPr>
        <w:t xml:space="preserve">La délégation de la </w:t>
      </w:r>
      <w:r w:rsidRPr="00702497">
        <w:rPr>
          <w:b/>
          <w:lang w:val="fr-FR"/>
        </w:rPr>
        <w:t>République dominicaine</w:t>
      </w:r>
      <w:r w:rsidRPr="00086292">
        <w:rPr>
          <w:bCs/>
          <w:lang w:val="fr-FR"/>
        </w:rPr>
        <w:t xml:space="preserve"> a fait remarquer que la fonction fondamentale du Comité est de promouvoir, superviser et appliquer la Convention. Le Comité ne devrait jamais tourner le dos à sa tâche</w:t>
      </w:r>
      <w:r>
        <w:rPr>
          <w:bCs/>
          <w:lang w:val="fr-FR"/>
        </w:rPr>
        <w:t xml:space="preserve"> originelle</w:t>
      </w:r>
      <w:r w:rsidR="00231DCF">
        <w:rPr>
          <w:bCs/>
          <w:lang w:val="fr-FR"/>
        </w:rPr>
        <w:t>,</w:t>
      </w:r>
      <w:r w:rsidRPr="00086292">
        <w:rPr>
          <w:bCs/>
          <w:lang w:val="fr-FR"/>
        </w:rPr>
        <w:t xml:space="preserve"> qui est la mise en œuvre et la promotion de la Convention. Dans ces conditions, il serait très grave de rester inactif. Si le Comité n</w:t>
      </w:r>
      <w:r w:rsidR="00923E72">
        <w:rPr>
          <w:bCs/>
          <w:lang w:val="fr-FR"/>
        </w:rPr>
        <w:t>’</w:t>
      </w:r>
      <w:r w:rsidRPr="00086292">
        <w:rPr>
          <w:bCs/>
          <w:lang w:val="fr-FR"/>
        </w:rPr>
        <w:t xml:space="preserve">agissait pas, il renoncerait à son mandat. Il existait différents </w:t>
      </w:r>
      <w:r w:rsidR="00F9352E">
        <w:rPr>
          <w:bCs/>
          <w:lang w:val="fr-FR"/>
        </w:rPr>
        <w:t xml:space="preserve">systèmes </w:t>
      </w:r>
      <w:r w:rsidRPr="00086292">
        <w:rPr>
          <w:bCs/>
          <w:lang w:val="fr-FR"/>
        </w:rPr>
        <w:t>juridiques. Certains appliquaient des lois fondées sur des précédents, d</w:t>
      </w:r>
      <w:r w:rsidR="00923E72">
        <w:rPr>
          <w:bCs/>
          <w:lang w:val="fr-FR"/>
        </w:rPr>
        <w:t>’</w:t>
      </w:r>
      <w:r w:rsidRPr="00086292">
        <w:rPr>
          <w:bCs/>
          <w:lang w:val="fr-FR"/>
        </w:rPr>
        <w:t>autres mettaient tout par écrit, mais la jurisprudence jouait toujours un rôle. Dans ce genre de circonstances, il était tout à fait clair que le Comité devait aller encore plus loin. En effet, si le Comité continuait à rencontrer ce genre de problèmes à l</w:t>
      </w:r>
      <w:r w:rsidR="00923E72">
        <w:rPr>
          <w:bCs/>
          <w:lang w:val="fr-FR"/>
        </w:rPr>
        <w:t>’</w:t>
      </w:r>
      <w:r w:rsidRPr="00086292">
        <w:rPr>
          <w:bCs/>
          <w:lang w:val="fr-FR"/>
        </w:rPr>
        <w:t>avenir, il devrait envisager de modifier les Directives opérationnelles. Cela signifiait qu</w:t>
      </w:r>
      <w:r w:rsidR="00923E72">
        <w:rPr>
          <w:bCs/>
          <w:lang w:val="fr-FR"/>
        </w:rPr>
        <w:t>’</w:t>
      </w:r>
      <w:r w:rsidRPr="00086292">
        <w:rPr>
          <w:bCs/>
          <w:lang w:val="fr-FR"/>
        </w:rPr>
        <w:t>un délai dev</w:t>
      </w:r>
      <w:r w:rsidR="00411818">
        <w:rPr>
          <w:bCs/>
          <w:lang w:val="fr-FR"/>
        </w:rPr>
        <w:t>r</w:t>
      </w:r>
      <w:r w:rsidRPr="00086292">
        <w:rPr>
          <w:bCs/>
          <w:lang w:val="fr-FR"/>
        </w:rPr>
        <w:t>ait être prévu s</w:t>
      </w:r>
      <w:r w:rsidR="00923E72">
        <w:rPr>
          <w:bCs/>
          <w:lang w:val="fr-FR"/>
        </w:rPr>
        <w:t>’</w:t>
      </w:r>
      <w:r w:rsidRPr="00086292">
        <w:rPr>
          <w:bCs/>
          <w:lang w:val="fr-FR"/>
        </w:rPr>
        <w:t>il s</w:t>
      </w:r>
      <w:r w:rsidR="00923E72">
        <w:rPr>
          <w:bCs/>
          <w:lang w:val="fr-FR"/>
        </w:rPr>
        <w:t>’</w:t>
      </w:r>
      <w:r w:rsidRPr="00086292">
        <w:rPr>
          <w:bCs/>
          <w:lang w:val="fr-FR"/>
        </w:rPr>
        <w:t>avérait que l</w:t>
      </w:r>
      <w:r w:rsidR="00923E72">
        <w:rPr>
          <w:bCs/>
          <w:lang w:val="fr-FR"/>
        </w:rPr>
        <w:t>’</w:t>
      </w:r>
      <w:r w:rsidRPr="00086292">
        <w:rPr>
          <w:bCs/>
          <w:lang w:val="fr-FR"/>
        </w:rPr>
        <w:t xml:space="preserve">esprit de la Convention </w:t>
      </w:r>
      <w:r w:rsidR="00411818">
        <w:rPr>
          <w:bCs/>
          <w:lang w:val="fr-FR"/>
        </w:rPr>
        <w:t>était</w:t>
      </w:r>
      <w:r w:rsidRPr="00086292">
        <w:rPr>
          <w:bCs/>
          <w:lang w:val="fr-FR"/>
        </w:rPr>
        <w:t xml:space="preserve"> enfreint</w:t>
      </w:r>
      <w:r w:rsidR="007D4C24">
        <w:rPr>
          <w:bCs/>
          <w:lang w:val="fr-FR"/>
        </w:rPr>
        <w:t xml:space="preserve"> par un élément</w:t>
      </w:r>
      <w:r w:rsidR="00F9352E">
        <w:rPr>
          <w:bCs/>
          <w:lang w:val="fr-FR"/>
        </w:rPr>
        <w:t>.</w:t>
      </w:r>
      <w:r w:rsidRPr="00086292">
        <w:rPr>
          <w:bCs/>
          <w:lang w:val="fr-FR"/>
        </w:rPr>
        <w:t xml:space="preserve"> </w:t>
      </w:r>
      <w:r w:rsidR="00F9352E">
        <w:rPr>
          <w:bCs/>
          <w:lang w:val="fr-FR"/>
        </w:rPr>
        <w:t>P</w:t>
      </w:r>
      <w:r w:rsidRPr="00086292">
        <w:rPr>
          <w:bCs/>
          <w:lang w:val="fr-FR"/>
        </w:rPr>
        <w:t>ar exemple, un</w:t>
      </w:r>
      <w:r w:rsidR="007D4C24">
        <w:rPr>
          <w:bCs/>
          <w:lang w:val="fr-FR"/>
        </w:rPr>
        <w:t xml:space="preserve"> délai </w:t>
      </w:r>
      <w:r w:rsidRPr="00086292">
        <w:rPr>
          <w:bCs/>
          <w:lang w:val="fr-FR"/>
        </w:rPr>
        <w:t xml:space="preserve">maximum de deux ans </w:t>
      </w:r>
      <w:r w:rsidR="002A3828">
        <w:rPr>
          <w:bCs/>
          <w:lang w:val="fr-FR"/>
        </w:rPr>
        <w:t>devait être</w:t>
      </w:r>
      <w:r w:rsidRPr="00086292">
        <w:rPr>
          <w:bCs/>
          <w:lang w:val="fr-FR"/>
        </w:rPr>
        <w:t xml:space="preserve"> accordé au Comité pour s</w:t>
      </w:r>
      <w:r w:rsidR="00923E72">
        <w:rPr>
          <w:bCs/>
          <w:lang w:val="fr-FR"/>
        </w:rPr>
        <w:t>’</w:t>
      </w:r>
      <w:r w:rsidRPr="00086292">
        <w:rPr>
          <w:bCs/>
          <w:lang w:val="fr-FR"/>
        </w:rPr>
        <w:t>assurer que cela ne se reproduise pas.</w:t>
      </w:r>
    </w:p>
    <w:p w14:paraId="6B86475B" w14:textId="6D6C80BE" w:rsidR="00411818" w:rsidRDefault="00411818" w:rsidP="00AA7EE4">
      <w:pPr>
        <w:pStyle w:val="Orateurengris"/>
        <w:numPr>
          <w:ilvl w:val="0"/>
          <w:numId w:val="20"/>
        </w:numPr>
        <w:tabs>
          <w:tab w:val="clear" w:pos="567"/>
        </w:tabs>
        <w:spacing w:before="120"/>
        <w:ind w:left="709" w:hanging="709"/>
        <w:rPr>
          <w:bCs/>
          <w:lang w:val="fr-FR"/>
        </w:rPr>
      </w:pPr>
      <w:r w:rsidRPr="00411818">
        <w:rPr>
          <w:bCs/>
          <w:lang w:val="fr-FR"/>
        </w:rPr>
        <w:t xml:space="preserve">Le </w:t>
      </w:r>
      <w:r w:rsidRPr="00702497">
        <w:rPr>
          <w:b/>
          <w:lang w:val="fr-FR"/>
        </w:rPr>
        <w:t>Président</w:t>
      </w:r>
      <w:r w:rsidRPr="00411818">
        <w:rPr>
          <w:bCs/>
          <w:lang w:val="fr-FR"/>
        </w:rPr>
        <w:t xml:space="preserve"> a rappelé aux délégations que les observateurs n</w:t>
      </w:r>
      <w:r w:rsidR="00923E72">
        <w:rPr>
          <w:bCs/>
          <w:lang w:val="fr-FR"/>
        </w:rPr>
        <w:t>’</w:t>
      </w:r>
      <w:r w:rsidRPr="00411818">
        <w:rPr>
          <w:bCs/>
          <w:lang w:val="fr-FR"/>
        </w:rPr>
        <w:t>étaient malheureusement pas en mesure de proposer des amendements, mais que les éléments mentionnés pourraient effectivement faire l</w:t>
      </w:r>
      <w:r w:rsidR="00923E72">
        <w:rPr>
          <w:bCs/>
          <w:lang w:val="fr-FR"/>
        </w:rPr>
        <w:t>’</w:t>
      </w:r>
      <w:r w:rsidRPr="00411818">
        <w:rPr>
          <w:bCs/>
          <w:lang w:val="fr-FR"/>
        </w:rPr>
        <w:t>objet d</w:t>
      </w:r>
      <w:r w:rsidR="00923E72">
        <w:rPr>
          <w:bCs/>
          <w:lang w:val="fr-FR"/>
        </w:rPr>
        <w:t>’</w:t>
      </w:r>
      <w:r w:rsidRPr="00411818">
        <w:rPr>
          <w:bCs/>
          <w:lang w:val="fr-FR"/>
        </w:rPr>
        <w:t xml:space="preserve">une discussion à un moment donné, éventuellement </w:t>
      </w:r>
      <w:r w:rsidRPr="00411818">
        <w:rPr>
          <w:bCs/>
          <w:lang w:val="fr-FR"/>
        </w:rPr>
        <w:lastRenderedPageBreak/>
        <w:t>au sein d</w:t>
      </w:r>
      <w:r w:rsidR="00923E72">
        <w:rPr>
          <w:bCs/>
          <w:lang w:val="fr-FR"/>
        </w:rPr>
        <w:t>’</w:t>
      </w:r>
      <w:r w:rsidRPr="00411818">
        <w:rPr>
          <w:bCs/>
          <w:lang w:val="fr-FR"/>
        </w:rPr>
        <w:t>un groupe de travail. Le Président a proposé de passer directement au projet de décision</w:t>
      </w:r>
      <w:r>
        <w:rPr>
          <w:bCs/>
          <w:lang w:val="fr-FR"/>
        </w:rPr>
        <w:t> </w:t>
      </w:r>
      <w:r w:rsidRPr="00411818">
        <w:rPr>
          <w:bCs/>
          <w:lang w:val="fr-FR"/>
        </w:rPr>
        <w:t>8.a, paragraphe par paragraphe, et d</w:t>
      </w:r>
      <w:r w:rsidR="00923E72">
        <w:rPr>
          <w:bCs/>
          <w:lang w:val="fr-FR"/>
        </w:rPr>
        <w:t>’</w:t>
      </w:r>
      <w:r w:rsidRPr="00411818">
        <w:rPr>
          <w:bCs/>
          <w:lang w:val="fr-FR"/>
        </w:rPr>
        <w:t>examiner les amendements proposés par le Botswana. En l</w:t>
      </w:r>
      <w:r w:rsidR="00923E72">
        <w:rPr>
          <w:bCs/>
          <w:lang w:val="fr-FR"/>
        </w:rPr>
        <w:t>’</w:t>
      </w:r>
      <w:r w:rsidRPr="00411818">
        <w:rPr>
          <w:bCs/>
          <w:lang w:val="fr-FR"/>
        </w:rPr>
        <w:t>absence de commentaires ou d</w:t>
      </w:r>
      <w:r w:rsidR="00923E72">
        <w:rPr>
          <w:bCs/>
          <w:lang w:val="fr-FR"/>
        </w:rPr>
        <w:t>’</w:t>
      </w:r>
      <w:r w:rsidRPr="00411818">
        <w:rPr>
          <w:bCs/>
          <w:lang w:val="fr-FR"/>
        </w:rPr>
        <w:t>objections, les paragraphes</w:t>
      </w:r>
      <w:r>
        <w:rPr>
          <w:bCs/>
          <w:lang w:val="fr-FR"/>
        </w:rPr>
        <w:t> </w:t>
      </w:r>
      <w:r w:rsidRPr="00411818">
        <w:rPr>
          <w:bCs/>
          <w:lang w:val="fr-FR"/>
        </w:rPr>
        <w:t>1 à</w:t>
      </w:r>
      <w:r>
        <w:rPr>
          <w:bCs/>
          <w:lang w:val="fr-FR"/>
        </w:rPr>
        <w:t> </w:t>
      </w:r>
      <w:r w:rsidRPr="00411818">
        <w:rPr>
          <w:bCs/>
          <w:lang w:val="fr-FR"/>
        </w:rPr>
        <w:t>8 ont été dûment adoptés. L</w:t>
      </w:r>
      <w:r w:rsidR="00923E72">
        <w:rPr>
          <w:bCs/>
          <w:lang w:val="fr-FR"/>
        </w:rPr>
        <w:t>’</w:t>
      </w:r>
      <w:r w:rsidRPr="00411818">
        <w:rPr>
          <w:bCs/>
          <w:lang w:val="fr-FR"/>
        </w:rPr>
        <w:t>amendement du Botswana au paragraphe</w:t>
      </w:r>
      <w:r w:rsidR="008F5CA2">
        <w:rPr>
          <w:bCs/>
          <w:lang w:val="fr-FR"/>
        </w:rPr>
        <w:t> </w:t>
      </w:r>
      <w:r w:rsidRPr="00411818">
        <w:rPr>
          <w:bCs/>
          <w:lang w:val="fr-FR"/>
        </w:rPr>
        <w:t>9</w:t>
      </w:r>
      <w:r>
        <w:rPr>
          <w:bCs/>
          <w:lang w:val="fr-FR"/>
        </w:rPr>
        <w:t xml:space="preserve"> était ainsi rédigé :</w:t>
      </w:r>
      <w:r w:rsidRPr="00411818">
        <w:rPr>
          <w:bCs/>
          <w:lang w:val="fr-FR"/>
        </w:rPr>
        <w:t xml:space="preserve"> </w:t>
      </w:r>
      <w:r>
        <w:rPr>
          <w:bCs/>
          <w:lang w:val="fr-FR"/>
        </w:rPr>
        <w:t>« </w:t>
      </w:r>
      <w:r w:rsidRPr="00411818">
        <w:rPr>
          <w:bCs/>
          <w:lang w:val="fr-FR"/>
        </w:rPr>
        <w:t>Condamne fermement l</w:t>
      </w:r>
      <w:r w:rsidR="00923E72">
        <w:rPr>
          <w:bCs/>
          <w:lang w:val="fr-FR"/>
        </w:rPr>
        <w:t>’</w:t>
      </w:r>
      <w:r w:rsidRPr="00411818">
        <w:rPr>
          <w:bCs/>
          <w:lang w:val="fr-FR"/>
        </w:rPr>
        <w:t>existence</w:t>
      </w:r>
      <w:r>
        <w:rPr>
          <w:bCs/>
          <w:lang w:val="fr-FR"/>
        </w:rPr>
        <w:t xml:space="preserve"> </w:t>
      </w:r>
      <w:r w:rsidRPr="00411818">
        <w:rPr>
          <w:bCs/>
          <w:lang w:val="fr-FR"/>
        </w:rPr>
        <w:t>d</w:t>
      </w:r>
      <w:r w:rsidR="00923E72">
        <w:rPr>
          <w:bCs/>
          <w:lang w:val="fr-FR"/>
        </w:rPr>
        <w:t>’</w:t>
      </w:r>
      <w:r w:rsidRPr="00411818">
        <w:rPr>
          <w:bCs/>
          <w:lang w:val="fr-FR"/>
        </w:rPr>
        <w:t xml:space="preserve">un personnage noir enchaîné appelé le </w:t>
      </w:r>
      <w:r>
        <w:rPr>
          <w:bCs/>
          <w:lang w:val="fr-FR"/>
        </w:rPr>
        <w:t>« </w:t>
      </w:r>
      <w:r w:rsidRPr="00411818">
        <w:rPr>
          <w:bCs/>
          <w:lang w:val="fr-FR"/>
        </w:rPr>
        <w:t>Sauvage</w:t>
      </w:r>
      <w:r>
        <w:rPr>
          <w:bCs/>
          <w:lang w:val="fr-FR"/>
        </w:rPr>
        <w:t> »</w:t>
      </w:r>
      <w:r w:rsidRPr="00411818">
        <w:rPr>
          <w:bCs/>
          <w:lang w:val="fr-FR"/>
        </w:rPr>
        <w:t xml:space="preserve"> dans l</w:t>
      </w:r>
      <w:r>
        <w:rPr>
          <w:bCs/>
          <w:lang w:val="fr-FR"/>
        </w:rPr>
        <w:t xml:space="preserve">e cortège organisé </w:t>
      </w:r>
      <w:r w:rsidRPr="00411818">
        <w:rPr>
          <w:bCs/>
          <w:lang w:val="fr-FR"/>
        </w:rPr>
        <w:t>dans la ville d</w:t>
      </w:r>
      <w:r w:rsidR="00923E72">
        <w:rPr>
          <w:bCs/>
          <w:lang w:val="fr-FR"/>
        </w:rPr>
        <w:t>’</w:t>
      </w:r>
      <w:r w:rsidRPr="00411818">
        <w:rPr>
          <w:bCs/>
          <w:lang w:val="fr-FR"/>
        </w:rPr>
        <w:t xml:space="preserve">Ath (Belgique), </w:t>
      </w:r>
      <w:r>
        <w:rPr>
          <w:bCs/>
          <w:lang w:val="fr-FR"/>
        </w:rPr>
        <w:t xml:space="preserve">traduisant un caractère raciste et discriminatoire </w:t>
      </w:r>
      <w:r w:rsidRPr="00411818">
        <w:rPr>
          <w:bCs/>
          <w:lang w:val="fr-FR"/>
        </w:rPr>
        <w:t>en contradiction avec les principes fondateurs de l</w:t>
      </w:r>
      <w:r w:rsidR="00923E72">
        <w:rPr>
          <w:bCs/>
          <w:lang w:val="fr-FR"/>
        </w:rPr>
        <w:t>’</w:t>
      </w:r>
      <w:r w:rsidRPr="00411818">
        <w:rPr>
          <w:bCs/>
          <w:lang w:val="fr-FR"/>
        </w:rPr>
        <w:t>UNESCO</w:t>
      </w:r>
      <w:r>
        <w:rPr>
          <w:bCs/>
          <w:lang w:val="fr-FR"/>
        </w:rPr>
        <w:t xml:space="preserve"> et avec </w:t>
      </w:r>
      <w:r w:rsidRPr="00411818">
        <w:rPr>
          <w:bCs/>
          <w:lang w:val="fr-FR"/>
        </w:rPr>
        <w:t>l</w:t>
      </w:r>
      <w:r w:rsidR="00923E72">
        <w:rPr>
          <w:bCs/>
          <w:lang w:val="fr-FR"/>
        </w:rPr>
        <w:t>’</w:t>
      </w:r>
      <w:r w:rsidRPr="00411818">
        <w:rPr>
          <w:bCs/>
          <w:lang w:val="fr-FR"/>
        </w:rPr>
        <w:t xml:space="preserve">exigence de respect mutuel </w:t>
      </w:r>
      <w:r>
        <w:rPr>
          <w:bCs/>
          <w:lang w:val="fr-FR"/>
        </w:rPr>
        <w:t xml:space="preserve">prévue dans </w:t>
      </w:r>
      <w:r w:rsidRPr="00411818">
        <w:rPr>
          <w:bCs/>
          <w:lang w:val="fr-FR"/>
        </w:rPr>
        <w:t>l</w:t>
      </w:r>
      <w:r w:rsidR="00923E72">
        <w:rPr>
          <w:bCs/>
          <w:lang w:val="fr-FR"/>
        </w:rPr>
        <w:t>’</w:t>
      </w:r>
      <w:r w:rsidRPr="00411818">
        <w:rPr>
          <w:bCs/>
          <w:lang w:val="fr-FR"/>
        </w:rPr>
        <w:t>article</w:t>
      </w:r>
      <w:r w:rsidR="006773EF">
        <w:rPr>
          <w:bCs/>
          <w:lang w:val="fr-FR"/>
        </w:rPr>
        <w:t> </w:t>
      </w:r>
      <w:r w:rsidRPr="00411818">
        <w:rPr>
          <w:bCs/>
          <w:lang w:val="fr-FR"/>
        </w:rPr>
        <w:t>2 de la Convention</w:t>
      </w:r>
      <w:r>
        <w:rPr>
          <w:bCs/>
          <w:lang w:val="fr-FR"/>
        </w:rPr>
        <w:t> »</w:t>
      </w:r>
      <w:r w:rsidR="00662BE0">
        <w:rPr>
          <w:bCs/>
          <w:lang w:val="fr-FR"/>
        </w:rPr>
        <w:t>.</w:t>
      </w:r>
    </w:p>
    <w:p w14:paraId="3C1ECED4" w14:textId="78C8EE53" w:rsidR="00086292" w:rsidRDefault="00411818" w:rsidP="00AA7EE4">
      <w:pPr>
        <w:pStyle w:val="Orateurengris"/>
        <w:numPr>
          <w:ilvl w:val="0"/>
          <w:numId w:val="20"/>
        </w:numPr>
        <w:tabs>
          <w:tab w:val="clear" w:pos="567"/>
        </w:tabs>
        <w:spacing w:before="120"/>
        <w:ind w:left="709" w:hanging="709"/>
        <w:rPr>
          <w:bCs/>
          <w:lang w:val="fr-FR"/>
        </w:rPr>
      </w:pPr>
      <w:r w:rsidRPr="00411818">
        <w:rPr>
          <w:bCs/>
          <w:lang w:val="fr-FR"/>
        </w:rPr>
        <w:t xml:space="preserve">Le </w:t>
      </w:r>
      <w:r w:rsidRPr="00702497">
        <w:rPr>
          <w:b/>
          <w:lang w:val="fr-FR"/>
        </w:rPr>
        <w:t>Président</w:t>
      </w:r>
      <w:r w:rsidRPr="00411818">
        <w:rPr>
          <w:bCs/>
          <w:lang w:val="fr-FR"/>
        </w:rPr>
        <w:t xml:space="preserve"> a donné la liste des membres du Comité qui soutenaient l</w:t>
      </w:r>
      <w:r w:rsidR="00923E72">
        <w:rPr>
          <w:bCs/>
          <w:lang w:val="fr-FR"/>
        </w:rPr>
        <w:t>’</w:t>
      </w:r>
      <w:r w:rsidRPr="00411818">
        <w:rPr>
          <w:bCs/>
          <w:lang w:val="fr-FR"/>
        </w:rPr>
        <w:t>amendement</w:t>
      </w:r>
      <w:r>
        <w:rPr>
          <w:bCs/>
          <w:lang w:val="fr-FR"/>
        </w:rPr>
        <w:t> </w:t>
      </w:r>
      <w:r w:rsidRPr="00411818">
        <w:rPr>
          <w:bCs/>
          <w:lang w:val="fr-FR"/>
        </w:rPr>
        <w:t>: l</w:t>
      </w:r>
      <w:r w:rsidR="00923E72">
        <w:rPr>
          <w:bCs/>
          <w:lang w:val="fr-FR"/>
        </w:rPr>
        <w:t>’</w:t>
      </w:r>
      <w:r w:rsidRPr="00411818">
        <w:rPr>
          <w:bCs/>
          <w:lang w:val="fr-FR"/>
        </w:rPr>
        <w:t>Angola, le</w:t>
      </w:r>
      <w:r w:rsidR="00712EFC">
        <w:rPr>
          <w:bCs/>
          <w:lang w:val="fr-FR"/>
        </w:rPr>
        <w:t xml:space="preserve"> </w:t>
      </w:r>
      <w:r w:rsidRPr="00411818">
        <w:rPr>
          <w:bCs/>
          <w:lang w:val="fr-FR"/>
        </w:rPr>
        <w:t>Bangladesh, le</w:t>
      </w:r>
      <w:r w:rsidR="00712EFC">
        <w:rPr>
          <w:bCs/>
          <w:lang w:val="fr-FR"/>
        </w:rPr>
        <w:t xml:space="preserve"> </w:t>
      </w:r>
      <w:r w:rsidRPr="00411818">
        <w:rPr>
          <w:bCs/>
          <w:lang w:val="fr-FR"/>
        </w:rPr>
        <w:t>Botswana, le</w:t>
      </w:r>
      <w:r w:rsidR="00712EFC">
        <w:rPr>
          <w:bCs/>
          <w:lang w:val="fr-FR"/>
        </w:rPr>
        <w:t xml:space="preserve"> </w:t>
      </w:r>
      <w:r w:rsidRPr="00411818">
        <w:rPr>
          <w:bCs/>
          <w:lang w:val="fr-FR"/>
        </w:rPr>
        <w:t>Burkina</w:t>
      </w:r>
      <w:r>
        <w:rPr>
          <w:bCs/>
          <w:lang w:val="fr-FR"/>
        </w:rPr>
        <w:t> </w:t>
      </w:r>
      <w:r w:rsidRPr="00411818">
        <w:rPr>
          <w:bCs/>
          <w:lang w:val="fr-FR"/>
        </w:rPr>
        <w:t>Faso, l</w:t>
      </w:r>
      <w:r>
        <w:rPr>
          <w:bCs/>
          <w:lang w:val="fr-FR"/>
        </w:rPr>
        <w:t>e</w:t>
      </w:r>
      <w:r w:rsidR="00712EFC">
        <w:rPr>
          <w:bCs/>
          <w:lang w:val="fr-FR"/>
        </w:rPr>
        <w:t xml:space="preserve"> </w:t>
      </w:r>
      <w:r w:rsidRPr="00411818">
        <w:rPr>
          <w:bCs/>
          <w:lang w:val="fr-FR"/>
        </w:rPr>
        <w:t>Brésil, la</w:t>
      </w:r>
      <w:r w:rsidR="00712EFC">
        <w:rPr>
          <w:bCs/>
          <w:lang w:val="fr-FR"/>
        </w:rPr>
        <w:t xml:space="preserve"> </w:t>
      </w:r>
      <w:r w:rsidRPr="00411818">
        <w:rPr>
          <w:bCs/>
          <w:lang w:val="fr-FR"/>
        </w:rPr>
        <w:t>Côte</w:t>
      </w:r>
      <w:r>
        <w:rPr>
          <w:bCs/>
          <w:lang w:val="fr-FR"/>
        </w:rPr>
        <w:t> </w:t>
      </w:r>
      <w:r w:rsidRPr="00411818">
        <w:rPr>
          <w:bCs/>
          <w:lang w:val="fr-FR"/>
        </w:rPr>
        <w:t>d</w:t>
      </w:r>
      <w:r w:rsidR="00923E72">
        <w:rPr>
          <w:bCs/>
          <w:lang w:val="fr-FR"/>
        </w:rPr>
        <w:t>’</w:t>
      </w:r>
      <w:r w:rsidRPr="00411818">
        <w:rPr>
          <w:bCs/>
          <w:lang w:val="fr-FR"/>
        </w:rPr>
        <w:t>Ivoire, l</w:t>
      </w:r>
      <w:r>
        <w:rPr>
          <w:bCs/>
          <w:lang w:val="fr-FR"/>
        </w:rPr>
        <w:t>a</w:t>
      </w:r>
      <w:r w:rsidR="00712EFC">
        <w:rPr>
          <w:bCs/>
          <w:lang w:val="fr-FR"/>
        </w:rPr>
        <w:t xml:space="preserve"> </w:t>
      </w:r>
      <w:r w:rsidRPr="00411818">
        <w:rPr>
          <w:bCs/>
          <w:lang w:val="fr-FR"/>
        </w:rPr>
        <w:t>Tchéquie, l</w:t>
      </w:r>
      <w:r w:rsidR="00923E72">
        <w:rPr>
          <w:bCs/>
          <w:lang w:val="fr-FR"/>
        </w:rPr>
        <w:t>’</w:t>
      </w:r>
      <w:r w:rsidRPr="00411818">
        <w:rPr>
          <w:bCs/>
          <w:lang w:val="fr-FR"/>
        </w:rPr>
        <w:t>Éthiopie, l</w:t>
      </w:r>
      <w:r w:rsidR="00923E72">
        <w:rPr>
          <w:bCs/>
          <w:lang w:val="fr-FR"/>
        </w:rPr>
        <w:t>’</w:t>
      </w:r>
      <w:r w:rsidRPr="00411818">
        <w:rPr>
          <w:bCs/>
          <w:lang w:val="fr-FR"/>
        </w:rPr>
        <w:t>Allemagne, l</w:t>
      </w:r>
      <w:r w:rsidR="00923E72">
        <w:rPr>
          <w:bCs/>
          <w:lang w:val="fr-FR"/>
        </w:rPr>
        <w:t>’</w:t>
      </w:r>
      <w:r w:rsidRPr="00411818">
        <w:rPr>
          <w:bCs/>
          <w:lang w:val="fr-FR"/>
        </w:rPr>
        <w:t>Inde, la</w:t>
      </w:r>
      <w:r w:rsidR="00712EFC">
        <w:rPr>
          <w:bCs/>
          <w:lang w:val="fr-FR"/>
        </w:rPr>
        <w:t xml:space="preserve"> </w:t>
      </w:r>
      <w:r w:rsidRPr="00411818">
        <w:rPr>
          <w:bCs/>
          <w:lang w:val="fr-FR"/>
        </w:rPr>
        <w:t>Malaisie, la</w:t>
      </w:r>
      <w:r w:rsidR="00712EFC">
        <w:rPr>
          <w:bCs/>
          <w:lang w:val="fr-FR"/>
        </w:rPr>
        <w:t xml:space="preserve"> </w:t>
      </w:r>
      <w:r w:rsidRPr="00411818">
        <w:rPr>
          <w:bCs/>
          <w:lang w:val="fr-FR"/>
        </w:rPr>
        <w:t>Mauritanie, le</w:t>
      </w:r>
      <w:r w:rsidR="00712EFC">
        <w:rPr>
          <w:bCs/>
          <w:lang w:val="fr-FR"/>
        </w:rPr>
        <w:t xml:space="preserve"> </w:t>
      </w:r>
      <w:r w:rsidRPr="00411818">
        <w:rPr>
          <w:bCs/>
          <w:lang w:val="fr-FR"/>
        </w:rPr>
        <w:t>Maroc, le</w:t>
      </w:r>
      <w:r w:rsidR="00712EFC">
        <w:rPr>
          <w:bCs/>
          <w:lang w:val="fr-FR"/>
        </w:rPr>
        <w:t xml:space="preserve"> </w:t>
      </w:r>
      <w:r w:rsidRPr="00411818">
        <w:rPr>
          <w:bCs/>
          <w:lang w:val="fr-FR"/>
        </w:rPr>
        <w:t>Panama, le</w:t>
      </w:r>
      <w:r w:rsidR="00712EFC">
        <w:rPr>
          <w:bCs/>
          <w:lang w:val="fr-FR"/>
        </w:rPr>
        <w:t xml:space="preserve"> </w:t>
      </w:r>
      <w:r w:rsidRPr="00411818">
        <w:rPr>
          <w:bCs/>
          <w:lang w:val="fr-FR"/>
        </w:rPr>
        <w:t>Paraguay, le</w:t>
      </w:r>
      <w:r w:rsidR="00712EFC">
        <w:rPr>
          <w:bCs/>
          <w:lang w:val="fr-FR"/>
        </w:rPr>
        <w:t xml:space="preserve"> </w:t>
      </w:r>
      <w:r w:rsidRPr="00411818">
        <w:rPr>
          <w:bCs/>
          <w:lang w:val="fr-FR"/>
        </w:rPr>
        <w:t>Pérou, la</w:t>
      </w:r>
      <w:r w:rsidR="00712EFC">
        <w:rPr>
          <w:bCs/>
          <w:lang w:val="fr-FR"/>
        </w:rPr>
        <w:t xml:space="preserve"> </w:t>
      </w:r>
      <w:r w:rsidRPr="00411818">
        <w:rPr>
          <w:bCs/>
          <w:lang w:val="fr-FR"/>
        </w:rPr>
        <w:t>République de Corée, le</w:t>
      </w:r>
      <w:r w:rsidR="00712EFC">
        <w:rPr>
          <w:bCs/>
          <w:lang w:val="fr-FR"/>
        </w:rPr>
        <w:t xml:space="preserve"> </w:t>
      </w:r>
      <w:r w:rsidRPr="00411818">
        <w:rPr>
          <w:bCs/>
          <w:lang w:val="fr-FR"/>
        </w:rPr>
        <w:t>Rwanda, l</w:t>
      </w:r>
      <w:r w:rsidR="00923E72">
        <w:rPr>
          <w:bCs/>
          <w:lang w:val="fr-FR"/>
        </w:rPr>
        <w:t>’</w:t>
      </w:r>
      <w:r w:rsidRPr="00411818">
        <w:rPr>
          <w:bCs/>
          <w:lang w:val="fr-FR"/>
        </w:rPr>
        <w:t>Arabie</w:t>
      </w:r>
      <w:r>
        <w:rPr>
          <w:bCs/>
          <w:lang w:val="fr-FR"/>
        </w:rPr>
        <w:t> </w:t>
      </w:r>
      <w:r w:rsidRPr="00411818">
        <w:rPr>
          <w:bCs/>
          <w:lang w:val="fr-FR"/>
        </w:rPr>
        <w:t>saoudite, la</w:t>
      </w:r>
      <w:r w:rsidR="00712EFC">
        <w:rPr>
          <w:bCs/>
          <w:lang w:val="fr-FR"/>
        </w:rPr>
        <w:t xml:space="preserve"> </w:t>
      </w:r>
      <w:r w:rsidRPr="00411818">
        <w:rPr>
          <w:bCs/>
          <w:lang w:val="fr-FR"/>
        </w:rPr>
        <w:t>Slovaquie, la</w:t>
      </w:r>
      <w:r w:rsidR="00712EFC">
        <w:rPr>
          <w:bCs/>
          <w:lang w:val="fr-FR"/>
        </w:rPr>
        <w:t xml:space="preserve"> </w:t>
      </w:r>
      <w:r w:rsidRPr="00411818">
        <w:rPr>
          <w:bCs/>
          <w:lang w:val="fr-FR"/>
        </w:rPr>
        <w:t>Suède, la</w:t>
      </w:r>
      <w:r w:rsidR="00712EFC">
        <w:rPr>
          <w:bCs/>
          <w:lang w:val="fr-FR"/>
        </w:rPr>
        <w:t xml:space="preserve"> </w:t>
      </w:r>
      <w:r w:rsidRPr="00411818">
        <w:rPr>
          <w:bCs/>
          <w:lang w:val="fr-FR"/>
        </w:rPr>
        <w:t>Suisse et l</w:t>
      </w:r>
      <w:r w:rsidR="00923E72">
        <w:rPr>
          <w:bCs/>
          <w:lang w:val="fr-FR"/>
        </w:rPr>
        <w:t>’</w:t>
      </w:r>
      <w:r w:rsidRPr="00411818">
        <w:rPr>
          <w:bCs/>
          <w:lang w:val="fr-FR"/>
        </w:rPr>
        <w:t>Ouzbékistan. Le Président a souhaité donner la parole à la Belgique avant de passer à l</w:t>
      </w:r>
      <w:r w:rsidR="00923E72">
        <w:rPr>
          <w:bCs/>
          <w:lang w:val="fr-FR"/>
        </w:rPr>
        <w:t>’</w:t>
      </w:r>
      <w:r w:rsidRPr="00411818">
        <w:rPr>
          <w:bCs/>
          <w:lang w:val="fr-FR"/>
        </w:rPr>
        <w:t>adoption du projet de décision.</w:t>
      </w:r>
    </w:p>
    <w:p w14:paraId="3D4B03EA" w14:textId="79CFDE76" w:rsidR="00411818" w:rsidRDefault="00666E3D" w:rsidP="00AA7EE4">
      <w:pPr>
        <w:pStyle w:val="Orateurengris"/>
        <w:numPr>
          <w:ilvl w:val="0"/>
          <w:numId w:val="20"/>
        </w:numPr>
        <w:tabs>
          <w:tab w:val="clear" w:pos="567"/>
        </w:tabs>
        <w:spacing w:before="120"/>
        <w:ind w:left="709" w:hanging="709"/>
        <w:rPr>
          <w:bCs/>
          <w:lang w:val="fr-FR"/>
        </w:rPr>
      </w:pPr>
      <w:r w:rsidRPr="00666E3D">
        <w:rPr>
          <w:bCs/>
          <w:lang w:val="fr-FR"/>
        </w:rPr>
        <w:t xml:space="preserve">La délégation de la </w:t>
      </w:r>
      <w:r w:rsidRPr="00702497">
        <w:rPr>
          <w:b/>
          <w:lang w:val="fr-FR"/>
        </w:rPr>
        <w:t>Belgique</w:t>
      </w:r>
      <w:r w:rsidRPr="00666E3D">
        <w:rPr>
          <w:bCs/>
          <w:lang w:val="fr-FR"/>
        </w:rPr>
        <w:t xml:space="preserve"> avait bien entendu les débats et compris les préoccupations partagées. Afin d</w:t>
      </w:r>
      <w:r w:rsidR="00923E72">
        <w:rPr>
          <w:bCs/>
          <w:lang w:val="fr-FR"/>
        </w:rPr>
        <w:t>’</w:t>
      </w:r>
      <w:r>
        <w:rPr>
          <w:bCs/>
          <w:lang w:val="fr-FR"/>
        </w:rPr>
        <w:t>éviter</w:t>
      </w:r>
      <w:r w:rsidRPr="00666E3D">
        <w:rPr>
          <w:bCs/>
          <w:lang w:val="fr-FR"/>
        </w:rPr>
        <w:t xml:space="preserve"> toute question juridique, la Belgique, la Fédération Wallonie-Bruxelles de Belgique et la Région wallonne de Belgique demand</w:t>
      </w:r>
      <w:r>
        <w:rPr>
          <w:bCs/>
          <w:lang w:val="fr-FR"/>
        </w:rPr>
        <w:t>aient</w:t>
      </w:r>
      <w:r w:rsidRPr="00666E3D">
        <w:rPr>
          <w:bCs/>
          <w:lang w:val="fr-FR"/>
        </w:rPr>
        <w:t xml:space="preserve"> le retrait de la Ducasse d</w:t>
      </w:r>
      <w:r w:rsidR="00923E72">
        <w:rPr>
          <w:bCs/>
          <w:lang w:val="fr-FR"/>
        </w:rPr>
        <w:t>’</w:t>
      </w:r>
      <w:r w:rsidRPr="00666E3D">
        <w:rPr>
          <w:bCs/>
          <w:lang w:val="fr-FR"/>
        </w:rPr>
        <w:t>Ath [</w:t>
      </w:r>
      <w:r w:rsidRPr="00702497">
        <w:rPr>
          <w:bCs/>
          <w:i/>
          <w:iCs/>
          <w:lang w:val="fr-FR"/>
        </w:rPr>
        <w:t>Applaudissements</w:t>
      </w:r>
      <w:r w:rsidRPr="00666E3D">
        <w:rPr>
          <w:bCs/>
          <w:lang w:val="fr-FR"/>
        </w:rPr>
        <w:t>].</w:t>
      </w:r>
    </w:p>
    <w:p w14:paraId="5028034D" w14:textId="36963FB7" w:rsidR="00666E3D" w:rsidRDefault="00666E3D"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demandé au Conseiller juridique d</w:t>
      </w:r>
      <w:r w:rsidR="00923E72">
        <w:rPr>
          <w:bCs/>
          <w:lang w:val="fr-FR"/>
        </w:rPr>
        <w:t>’</w:t>
      </w:r>
      <w:r>
        <w:rPr>
          <w:bCs/>
          <w:lang w:val="fr-FR"/>
        </w:rPr>
        <w:t>expliquer la procédure.</w:t>
      </w:r>
    </w:p>
    <w:p w14:paraId="23C62A8E" w14:textId="14EF1618" w:rsidR="00666E3D" w:rsidRDefault="00666E3D" w:rsidP="00AA7EE4">
      <w:pPr>
        <w:pStyle w:val="Orateurengris"/>
        <w:numPr>
          <w:ilvl w:val="0"/>
          <w:numId w:val="20"/>
        </w:numPr>
        <w:tabs>
          <w:tab w:val="clear" w:pos="567"/>
        </w:tabs>
        <w:spacing w:before="120"/>
        <w:ind w:left="709" w:hanging="709"/>
        <w:rPr>
          <w:bCs/>
          <w:lang w:val="fr-FR"/>
        </w:rPr>
      </w:pPr>
      <w:r w:rsidRPr="00666E3D">
        <w:rPr>
          <w:bCs/>
          <w:lang w:val="fr-FR"/>
        </w:rPr>
        <w:t xml:space="preserve">Le </w:t>
      </w:r>
      <w:r w:rsidRPr="00702497">
        <w:rPr>
          <w:b/>
          <w:lang w:val="fr-FR"/>
        </w:rPr>
        <w:t>Conseiller juridique</w:t>
      </w:r>
      <w:r w:rsidRPr="00666E3D">
        <w:rPr>
          <w:bCs/>
          <w:lang w:val="fr-FR"/>
        </w:rPr>
        <w:t xml:space="preserve"> </w:t>
      </w:r>
      <w:r>
        <w:rPr>
          <w:bCs/>
          <w:lang w:val="fr-FR"/>
        </w:rPr>
        <w:t xml:space="preserve">a jugé </w:t>
      </w:r>
      <w:r w:rsidRPr="00666E3D">
        <w:rPr>
          <w:bCs/>
          <w:lang w:val="fr-FR"/>
        </w:rPr>
        <w:t>que le raisonnement ne modifiait pas la situation compte tenu des Directives opérationnelles. La procédure prévue dans les Directives opérationnelles concernait le retrait d</w:t>
      </w:r>
      <w:r w:rsidR="00923E72">
        <w:rPr>
          <w:bCs/>
          <w:lang w:val="fr-FR"/>
        </w:rPr>
        <w:t>’</w:t>
      </w:r>
      <w:r w:rsidRPr="00666E3D">
        <w:rPr>
          <w:bCs/>
          <w:lang w:val="fr-FR"/>
        </w:rPr>
        <w:t>un élément dans sa totalité et non d</w:t>
      </w:r>
      <w:r w:rsidR="00923E72">
        <w:rPr>
          <w:bCs/>
          <w:lang w:val="fr-FR"/>
        </w:rPr>
        <w:t>’</w:t>
      </w:r>
      <w:r w:rsidRPr="00666E3D">
        <w:rPr>
          <w:bCs/>
          <w:lang w:val="fr-FR"/>
        </w:rPr>
        <w:t>une partie d</w:t>
      </w:r>
      <w:r w:rsidR="00923E72">
        <w:rPr>
          <w:bCs/>
          <w:lang w:val="fr-FR"/>
        </w:rPr>
        <w:t>’</w:t>
      </w:r>
      <w:r w:rsidRPr="00666E3D">
        <w:rPr>
          <w:bCs/>
          <w:lang w:val="fr-FR"/>
        </w:rPr>
        <w:t>un élément. Ainsi, en ce qui concerne la procédure, le retrait souhaité par la Belgique ne changeait rien. Toutefois, le Comité, s</w:t>
      </w:r>
      <w:r w:rsidR="00923E72">
        <w:rPr>
          <w:bCs/>
          <w:lang w:val="fr-FR"/>
        </w:rPr>
        <w:t>’</w:t>
      </w:r>
      <w:r w:rsidRPr="00666E3D">
        <w:rPr>
          <w:bCs/>
          <w:lang w:val="fr-FR"/>
        </w:rPr>
        <w:t>il le désirait, pouvait prendre acte du fait que l</w:t>
      </w:r>
      <w:r w:rsidR="00923E72">
        <w:rPr>
          <w:bCs/>
          <w:lang w:val="fr-FR"/>
        </w:rPr>
        <w:t>’</w:t>
      </w:r>
      <w:r w:rsidRPr="00666E3D">
        <w:rPr>
          <w:bCs/>
          <w:lang w:val="fr-FR"/>
        </w:rPr>
        <w:t>État partie concerné avait exprimé le souhait de retirer la Ducasse d</w:t>
      </w:r>
      <w:r w:rsidR="00923E72">
        <w:rPr>
          <w:bCs/>
          <w:lang w:val="fr-FR"/>
        </w:rPr>
        <w:t>’</w:t>
      </w:r>
      <w:r w:rsidRPr="00666E3D">
        <w:rPr>
          <w:bCs/>
          <w:lang w:val="fr-FR"/>
        </w:rPr>
        <w:t xml:space="preserve">Ath, mais sur le plan de la procédure, cela ne </w:t>
      </w:r>
      <w:r w:rsidR="00AE7D8D">
        <w:rPr>
          <w:bCs/>
          <w:lang w:val="fr-FR"/>
        </w:rPr>
        <w:t xml:space="preserve">mettait </w:t>
      </w:r>
      <w:r w:rsidRPr="00666E3D">
        <w:rPr>
          <w:bCs/>
          <w:lang w:val="fr-FR"/>
        </w:rPr>
        <w:t xml:space="preserve">pas le Comité dans </w:t>
      </w:r>
      <w:r w:rsidR="00AE7D8D">
        <w:rPr>
          <w:bCs/>
          <w:lang w:val="fr-FR"/>
        </w:rPr>
        <w:t xml:space="preserve">une </w:t>
      </w:r>
      <w:r w:rsidR="00AE7D8D" w:rsidRPr="00AE7D8D">
        <w:rPr>
          <w:bCs/>
          <w:lang w:val="fr-FR"/>
        </w:rPr>
        <w:t>situation</w:t>
      </w:r>
      <w:r w:rsidRPr="00666E3D">
        <w:rPr>
          <w:bCs/>
          <w:lang w:val="fr-FR"/>
        </w:rPr>
        <w:t xml:space="preserve"> de </w:t>
      </w:r>
      <w:r w:rsidR="00AE7D8D">
        <w:rPr>
          <w:bCs/>
          <w:lang w:val="fr-FR"/>
        </w:rPr>
        <w:t xml:space="preserve">procédure de </w:t>
      </w:r>
      <w:r w:rsidRPr="00666E3D">
        <w:rPr>
          <w:bCs/>
          <w:lang w:val="fr-FR"/>
        </w:rPr>
        <w:t>retrait d</w:t>
      </w:r>
      <w:r w:rsidR="00923E72">
        <w:rPr>
          <w:bCs/>
          <w:lang w:val="fr-FR"/>
        </w:rPr>
        <w:t>’</w:t>
      </w:r>
      <w:r w:rsidRPr="00666E3D">
        <w:rPr>
          <w:bCs/>
          <w:lang w:val="fr-FR"/>
        </w:rPr>
        <w:t>un élément, car ce n</w:t>
      </w:r>
      <w:r w:rsidR="00923E72">
        <w:rPr>
          <w:bCs/>
          <w:lang w:val="fr-FR"/>
        </w:rPr>
        <w:t>’</w:t>
      </w:r>
      <w:r w:rsidRPr="00666E3D">
        <w:rPr>
          <w:bCs/>
          <w:lang w:val="fr-FR"/>
        </w:rPr>
        <w:t>était pas le cas.</w:t>
      </w:r>
    </w:p>
    <w:p w14:paraId="4B474F6C" w14:textId="1C508A9B" w:rsidR="00AE7D8D" w:rsidRDefault="00AE7D8D" w:rsidP="00AA7EE4">
      <w:pPr>
        <w:pStyle w:val="Orateurengris"/>
        <w:numPr>
          <w:ilvl w:val="0"/>
          <w:numId w:val="20"/>
        </w:numPr>
        <w:tabs>
          <w:tab w:val="clear" w:pos="567"/>
        </w:tabs>
        <w:spacing w:before="120"/>
        <w:ind w:left="709" w:hanging="709"/>
        <w:rPr>
          <w:bCs/>
          <w:lang w:val="fr-FR"/>
        </w:rPr>
      </w:pPr>
      <w:r w:rsidRPr="00AE7D8D">
        <w:rPr>
          <w:bCs/>
          <w:lang w:val="fr-FR"/>
        </w:rPr>
        <w:t xml:space="preserve">Le </w:t>
      </w:r>
      <w:r w:rsidRPr="00702497">
        <w:rPr>
          <w:b/>
          <w:lang w:val="fr-FR"/>
        </w:rPr>
        <w:t>Président</w:t>
      </w:r>
      <w:r w:rsidRPr="00AE7D8D">
        <w:rPr>
          <w:bCs/>
          <w:lang w:val="fr-FR"/>
        </w:rPr>
        <w:t xml:space="preserve"> a noté que le Comité adopterait néanmoins la décision d</w:t>
      </w:r>
      <w:r w:rsidR="00923E72">
        <w:rPr>
          <w:bCs/>
          <w:lang w:val="fr-FR"/>
        </w:rPr>
        <w:t>’</w:t>
      </w:r>
      <w:r w:rsidRPr="00AE7D8D">
        <w:rPr>
          <w:bCs/>
          <w:lang w:val="fr-FR"/>
        </w:rPr>
        <w:t xml:space="preserve">inclure également la demande de la Belgique de retirer </w:t>
      </w:r>
      <w:r>
        <w:rPr>
          <w:bCs/>
          <w:lang w:val="fr-FR"/>
        </w:rPr>
        <w:t xml:space="preserve">la </w:t>
      </w:r>
      <w:r w:rsidRPr="00AE7D8D">
        <w:rPr>
          <w:bCs/>
          <w:lang w:val="fr-FR"/>
        </w:rPr>
        <w:t>Ducasse d</w:t>
      </w:r>
      <w:r w:rsidR="00923E72">
        <w:rPr>
          <w:bCs/>
          <w:lang w:val="fr-FR"/>
        </w:rPr>
        <w:t>’</w:t>
      </w:r>
      <w:r w:rsidRPr="00AE7D8D">
        <w:rPr>
          <w:bCs/>
          <w:lang w:val="fr-FR"/>
        </w:rPr>
        <w:t>Ath. Il a suggéré d</w:t>
      </w:r>
      <w:r w:rsidR="00923E72">
        <w:rPr>
          <w:bCs/>
          <w:lang w:val="fr-FR"/>
        </w:rPr>
        <w:t>’</w:t>
      </w:r>
      <w:r w:rsidRPr="00AE7D8D">
        <w:rPr>
          <w:bCs/>
          <w:lang w:val="fr-FR"/>
        </w:rPr>
        <w:t>adopter le paragraphe</w:t>
      </w:r>
      <w:r w:rsidR="00712EFC">
        <w:rPr>
          <w:bCs/>
          <w:lang w:val="fr-FR"/>
        </w:rPr>
        <w:t> </w:t>
      </w:r>
      <w:r w:rsidRPr="00AE7D8D">
        <w:rPr>
          <w:bCs/>
          <w:lang w:val="fr-FR"/>
        </w:rPr>
        <w:t xml:space="preserve">9, qui </w:t>
      </w:r>
      <w:r>
        <w:rPr>
          <w:bCs/>
          <w:lang w:val="fr-FR"/>
        </w:rPr>
        <w:t>faisait</w:t>
      </w:r>
      <w:r w:rsidRPr="00AE7D8D">
        <w:rPr>
          <w:bCs/>
          <w:lang w:val="fr-FR"/>
        </w:rPr>
        <w:t xml:space="preserve"> l</w:t>
      </w:r>
      <w:r w:rsidR="00923E72">
        <w:rPr>
          <w:bCs/>
          <w:lang w:val="fr-FR"/>
        </w:rPr>
        <w:t>’</w:t>
      </w:r>
      <w:r w:rsidRPr="00AE7D8D">
        <w:rPr>
          <w:bCs/>
          <w:lang w:val="fr-FR"/>
        </w:rPr>
        <w:t>unanimité, et d</w:t>
      </w:r>
      <w:r w:rsidR="00923E72">
        <w:rPr>
          <w:bCs/>
          <w:lang w:val="fr-FR"/>
        </w:rPr>
        <w:t>’</w:t>
      </w:r>
      <w:r w:rsidRPr="00AE7D8D">
        <w:rPr>
          <w:bCs/>
          <w:lang w:val="fr-FR"/>
        </w:rPr>
        <w:t>inclure la déclaration de la Belgique dans un nouveau paragraphe</w:t>
      </w:r>
      <w:r>
        <w:rPr>
          <w:bCs/>
          <w:lang w:val="fr-FR"/>
        </w:rPr>
        <w:t> </w:t>
      </w:r>
      <w:r w:rsidRPr="00AE7D8D">
        <w:rPr>
          <w:bCs/>
          <w:lang w:val="fr-FR"/>
        </w:rPr>
        <w:t>10.</w:t>
      </w:r>
    </w:p>
    <w:p w14:paraId="77168821" w14:textId="54687628" w:rsidR="00C218BF" w:rsidRPr="00702497" w:rsidRDefault="00C218BF"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Secrétaire</w:t>
      </w:r>
      <w:r>
        <w:rPr>
          <w:bCs/>
          <w:lang w:val="fr-FR"/>
        </w:rPr>
        <w:t xml:space="preserve"> a pris note de la demande de la Belgique et a proposé d</w:t>
      </w:r>
      <w:r w:rsidR="00923E72">
        <w:rPr>
          <w:bCs/>
          <w:lang w:val="fr-FR"/>
        </w:rPr>
        <w:t>’</w:t>
      </w:r>
      <w:r>
        <w:rPr>
          <w:bCs/>
          <w:lang w:val="fr-FR"/>
        </w:rPr>
        <w:t xml:space="preserve">insérer un </w:t>
      </w:r>
      <w:r w:rsidRPr="00C218BF">
        <w:rPr>
          <w:bCs/>
          <w:lang w:val="fr-FR"/>
        </w:rPr>
        <w:t>paragraphe</w:t>
      </w:r>
      <w:r w:rsidR="00231DCF">
        <w:rPr>
          <w:bCs/>
          <w:lang w:val="fr-FR"/>
        </w:rPr>
        <w:t>,</w:t>
      </w:r>
      <w:r>
        <w:rPr>
          <w:bCs/>
          <w:lang w:val="fr-FR"/>
        </w:rPr>
        <w:t xml:space="preserve"> qui serait ainsi rédigé :</w:t>
      </w:r>
      <w:r w:rsidR="00712EFC">
        <w:rPr>
          <w:bCs/>
          <w:lang w:val="fr-FR"/>
        </w:rPr>
        <w:t xml:space="preserve"> </w:t>
      </w:r>
      <w:r>
        <w:rPr>
          <w:bCs/>
          <w:lang w:val="fr-FR"/>
        </w:rPr>
        <w:t xml:space="preserve">« Prend note </w:t>
      </w:r>
      <w:r w:rsidRPr="00C218BF">
        <w:rPr>
          <w:bCs/>
          <w:color w:val="000000" w:themeColor="text1"/>
          <w:lang w:val="fr-FR"/>
        </w:rPr>
        <w:t>également</w:t>
      </w:r>
      <w:r>
        <w:rPr>
          <w:bCs/>
          <w:color w:val="000000" w:themeColor="text1"/>
          <w:lang w:val="fr-FR"/>
        </w:rPr>
        <w:t xml:space="preserve"> de la demande de l</w:t>
      </w:r>
      <w:r w:rsidR="00923E72">
        <w:rPr>
          <w:bCs/>
          <w:color w:val="000000" w:themeColor="text1"/>
          <w:lang w:val="fr-FR"/>
        </w:rPr>
        <w:t>’</w:t>
      </w:r>
      <w:r>
        <w:rPr>
          <w:bCs/>
          <w:color w:val="000000" w:themeColor="text1"/>
          <w:lang w:val="fr-FR"/>
        </w:rPr>
        <w:t xml:space="preserve">État partie de la Belgique au cours de </w:t>
      </w:r>
      <w:r w:rsidR="00394FBB">
        <w:rPr>
          <w:bCs/>
          <w:color w:val="000000" w:themeColor="text1"/>
          <w:lang w:val="fr-FR"/>
        </w:rPr>
        <w:t xml:space="preserve">la présente </w:t>
      </w:r>
      <w:r>
        <w:rPr>
          <w:bCs/>
          <w:color w:val="000000" w:themeColor="text1"/>
          <w:lang w:val="fr-FR"/>
        </w:rPr>
        <w:t xml:space="preserve">session qui consiste à retirer la </w:t>
      </w:r>
      <w:r w:rsidR="00712EFC">
        <w:rPr>
          <w:bCs/>
          <w:color w:val="000000" w:themeColor="text1"/>
          <w:lang w:val="fr-FR"/>
        </w:rPr>
        <w:t>" </w:t>
      </w:r>
      <w:r>
        <w:rPr>
          <w:bCs/>
          <w:color w:val="000000" w:themeColor="text1"/>
          <w:lang w:val="fr-FR"/>
        </w:rPr>
        <w:t>Ducasse d</w:t>
      </w:r>
      <w:r w:rsidR="00923E72">
        <w:rPr>
          <w:bCs/>
          <w:color w:val="000000" w:themeColor="text1"/>
          <w:lang w:val="fr-FR"/>
        </w:rPr>
        <w:t>’</w:t>
      </w:r>
      <w:r>
        <w:rPr>
          <w:bCs/>
          <w:color w:val="000000" w:themeColor="text1"/>
          <w:lang w:val="fr-FR"/>
        </w:rPr>
        <w:t>Ath</w:t>
      </w:r>
      <w:r w:rsidR="00712EFC">
        <w:rPr>
          <w:bCs/>
          <w:color w:val="000000" w:themeColor="text1"/>
          <w:lang w:val="fr-FR"/>
        </w:rPr>
        <w:t> "</w:t>
      </w:r>
      <w:r>
        <w:rPr>
          <w:bCs/>
          <w:color w:val="000000" w:themeColor="text1"/>
          <w:lang w:val="fr-FR"/>
        </w:rPr>
        <w:t xml:space="preserve"> de l</w:t>
      </w:r>
      <w:r w:rsidR="00923E72">
        <w:rPr>
          <w:bCs/>
          <w:color w:val="000000" w:themeColor="text1"/>
          <w:lang w:val="fr-FR"/>
        </w:rPr>
        <w:t>’</w:t>
      </w:r>
      <w:r>
        <w:rPr>
          <w:bCs/>
          <w:color w:val="000000" w:themeColor="text1"/>
          <w:lang w:val="fr-FR"/>
        </w:rPr>
        <w:t xml:space="preserve">élément </w:t>
      </w:r>
      <w:r w:rsidR="00712EFC">
        <w:rPr>
          <w:bCs/>
          <w:color w:val="000000" w:themeColor="text1"/>
          <w:lang w:val="fr-FR"/>
        </w:rPr>
        <w:t>"</w:t>
      </w:r>
      <w:r>
        <w:rPr>
          <w:bCs/>
          <w:color w:val="000000" w:themeColor="text1"/>
          <w:lang w:val="fr-FR"/>
        </w:rPr>
        <w:t xml:space="preserve"> Géants et dragons processionnels de Belgique et de </w:t>
      </w:r>
      <w:r w:rsidR="00C25B3D">
        <w:rPr>
          <w:bCs/>
          <w:color w:val="000000" w:themeColor="text1"/>
          <w:lang w:val="fr-FR"/>
        </w:rPr>
        <w:t>France </w:t>
      </w:r>
      <w:r w:rsidR="00712EFC">
        <w:rPr>
          <w:bCs/>
          <w:color w:val="000000" w:themeColor="text1"/>
          <w:lang w:val="fr-FR"/>
        </w:rPr>
        <w:t>"</w:t>
      </w:r>
      <w:r>
        <w:rPr>
          <w:bCs/>
          <w:color w:val="000000" w:themeColor="text1"/>
          <w:lang w:val="fr-FR"/>
        </w:rPr>
        <w:t> ».</w:t>
      </w:r>
    </w:p>
    <w:p w14:paraId="59239346" w14:textId="57950139" w:rsidR="00AE7D8D" w:rsidRDefault="00C218BF" w:rsidP="00AA7EE4">
      <w:pPr>
        <w:pStyle w:val="Orateurengris"/>
        <w:numPr>
          <w:ilvl w:val="0"/>
          <w:numId w:val="20"/>
        </w:numPr>
        <w:tabs>
          <w:tab w:val="clear" w:pos="567"/>
        </w:tabs>
        <w:spacing w:before="120"/>
        <w:ind w:left="709" w:hanging="709"/>
        <w:rPr>
          <w:bCs/>
          <w:lang w:val="fr-FR"/>
        </w:rPr>
      </w:pPr>
      <w:r>
        <w:rPr>
          <w:bCs/>
          <w:lang w:val="fr-FR"/>
        </w:rPr>
        <w:t xml:space="preserve"> </w:t>
      </w:r>
      <w:r w:rsidRPr="00C218BF">
        <w:rPr>
          <w:bCs/>
          <w:lang w:val="fr-FR"/>
        </w:rPr>
        <w:t xml:space="preserve">La délégation du </w:t>
      </w:r>
      <w:r w:rsidRPr="00702497">
        <w:rPr>
          <w:b/>
          <w:lang w:val="fr-FR"/>
        </w:rPr>
        <w:t>Pérou</w:t>
      </w:r>
      <w:r w:rsidRPr="00C218BF">
        <w:rPr>
          <w:bCs/>
          <w:lang w:val="fr-FR"/>
        </w:rPr>
        <w:t xml:space="preserve"> a</w:t>
      </w:r>
      <w:r>
        <w:rPr>
          <w:bCs/>
          <w:lang w:val="fr-FR"/>
        </w:rPr>
        <w:t>vait</w:t>
      </w:r>
      <w:r w:rsidRPr="00C218BF">
        <w:rPr>
          <w:bCs/>
          <w:lang w:val="fr-FR"/>
        </w:rPr>
        <w:t xml:space="preserve"> une question technique afin de s</w:t>
      </w:r>
      <w:r w:rsidR="00923E72">
        <w:rPr>
          <w:bCs/>
          <w:lang w:val="fr-FR"/>
        </w:rPr>
        <w:t>’</w:t>
      </w:r>
      <w:r w:rsidRPr="00C218BF">
        <w:rPr>
          <w:bCs/>
          <w:lang w:val="fr-FR"/>
        </w:rPr>
        <w:t>assurer que le retrait de cet aspect de l</w:t>
      </w:r>
      <w:r w:rsidR="00923E72">
        <w:rPr>
          <w:bCs/>
          <w:lang w:val="fr-FR"/>
        </w:rPr>
        <w:t>’</w:t>
      </w:r>
      <w:r w:rsidRPr="00C218BF">
        <w:rPr>
          <w:bCs/>
          <w:lang w:val="fr-FR"/>
        </w:rPr>
        <w:t>élément n</w:t>
      </w:r>
      <w:r w:rsidR="00923E72">
        <w:rPr>
          <w:bCs/>
          <w:lang w:val="fr-FR"/>
        </w:rPr>
        <w:t>’</w:t>
      </w:r>
      <w:r w:rsidRPr="00C218BF">
        <w:rPr>
          <w:bCs/>
          <w:lang w:val="fr-FR"/>
        </w:rPr>
        <w:t>aura</w:t>
      </w:r>
      <w:r>
        <w:rPr>
          <w:bCs/>
          <w:lang w:val="fr-FR"/>
        </w:rPr>
        <w:t>it</w:t>
      </w:r>
      <w:r w:rsidRPr="00C218BF">
        <w:rPr>
          <w:bCs/>
          <w:lang w:val="fr-FR"/>
        </w:rPr>
        <w:t xml:space="preserve"> pas d</w:t>
      </w:r>
      <w:r w:rsidR="00923E72">
        <w:rPr>
          <w:bCs/>
          <w:lang w:val="fr-FR"/>
        </w:rPr>
        <w:t>’</w:t>
      </w:r>
      <w:r w:rsidRPr="00C218BF">
        <w:rPr>
          <w:bCs/>
          <w:lang w:val="fr-FR"/>
        </w:rPr>
        <w:t>incidence sur l</w:t>
      </w:r>
      <w:r w:rsidR="00923E72">
        <w:rPr>
          <w:bCs/>
          <w:lang w:val="fr-FR"/>
        </w:rPr>
        <w:t>’</w:t>
      </w:r>
      <w:r w:rsidRPr="00C218BF">
        <w:rPr>
          <w:bCs/>
          <w:lang w:val="fr-FR"/>
        </w:rPr>
        <w:t>ensemble de l</w:t>
      </w:r>
      <w:r w:rsidR="00923E72">
        <w:rPr>
          <w:bCs/>
          <w:lang w:val="fr-FR"/>
        </w:rPr>
        <w:t>’</w:t>
      </w:r>
      <w:r w:rsidRPr="00C218BF">
        <w:rPr>
          <w:bCs/>
          <w:lang w:val="fr-FR"/>
        </w:rPr>
        <w:t>élément. Elle a donc demandé que la France, en tant qu</w:t>
      </w:r>
      <w:r w:rsidR="00923E72">
        <w:rPr>
          <w:bCs/>
          <w:lang w:val="fr-FR"/>
        </w:rPr>
        <w:t>’</w:t>
      </w:r>
      <w:r w:rsidRPr="00C218BF">
        <w:rPr>
          <w:bCs/>
          <w:lang w:val="fr-FR"/>
        </w:rPr>
        <w:t>État partie à cette inscription binationale, ait la possibilité d</w:t>
      </w:r>
      <w:r w:rsidR="00923E72">
        <w:rPr>
          <w:bCs/>
          <w:lang w:val="fr-FR"/>
        </w:rPr>
        <w:t>’</w:t>
      </w:r>
      <w:r w:rsidRPr="00C218BF">
        <w:rPr>
          <w:bCs/>
          <w:lang w:val="fr-FR"/>
        </w:rPr>
        <w:t>exprimer sa position.</w:t>
      </w:r>
    </w:p>
    <w:p w14:paraId="61C2570F" w14:textId="3FAC43C7" w:rsidR="00C218BF" w:rsidRPr="005801C3" w:rsidRDefault="005801C3" w:rsidP="00AA7EE4">
      <w:pPr>
        <w:pStyle w:val="Orateurengris"/>
        <w:numPr>
          <w:ilvl w:val="0"/>
          <w:numId w:val="20"/>
        </w:numPr>
        <w:tabs>
          <w:tab w:val="clear" w:pos="567"/>
        </w:tabs>
        <w:spacing w:before="120"/>
        <w:ind w:left="709" w:hanging="709"/>
        <w:rPr>
          <w:bCs/>
          <w:lang w:val="fr-FR"/>
        </w:rPr>
      </w:pPr>
      <w:r w:rsidRPr="00702497">
        <w:rPr>
          <w:bCs/>
          <w:lang w:val="fr-FR"/>
        </w:rPr>
        <w:t>L</w:t>
      </w:r>
      <w:r w:rsidR="00C218BF" w:rsidRPr="005801C3">
        <w:rPr>
          <w:bCs/>
          <w:lang w:val="fr-FR"/>
        </w:rPr>
        <w:t xml:space="preserve">a délégation de la </w:t>
      </w:r>
      <w:r w:rsidRPr="00702497">
        <w:rPr>
          <w:b/>
          <w:lang w:val="fr-FR"/>
        </w:rPr>
        <w:t xml:space="preserve">France </w:t>
      </w:r>
      <w:r w:rsidRPr="00702497">
        <w:rPr>
          <w:bCs/>
          <w:lang w:val="fr-FR"/>
        </w:rPr>
        <w:t>estimait que</w:t>
      </w:r>
      <w:r w:rsidR="00C218BF" w:rsidRPr="005801C3">
        <w:rPr>
          <w:bCs/>
          <w:lang w:val="fr-FR"/>
        </w:rPr>
        <w:t xml:space="preserve"> si </w:t>
      </w:r>
      <w:r w:rsidR="00394FBB" w:rsidRPr="005801C3">
        <w:rPr>
          <w:bCs/>
          <w:lang w:val="fr-FR"/>
        </w:rPr>
        <w:t>l</w:t>
      </w:r>
      <w:r w:rsidR="00C218BF" w:rsidRPr="005801C3">
        <w:rPr>
          <w:bCs/>
          <w:lang w:val="fr-FR"/>
        </w:rPr>
        <w:t>a Belgique, l</w:t>
      </w:r>
      <w:r w:rsidR="00923E72">
        <w:rPr>
          <w:bCs/>
          <w:lang w:val="fr-FR"/>
        </w:rPr>
        <w:t>’</w:t>
      </w:r>
      <w:r w:rsidR="00C218BF" w:rsidRPr="005801C3">
        <w:rPr>
          <w:bCs/>
          <w:lang w:val="fr-FR"/>
        </w:rPr>
        <w:t xml:space="preserve">État sur le territoire duquel </w:t>
      </w:r>
      <w:r w:rsidRPr="00702497">
        <w:rPr>
          <w:bCs/>
          <w:lang w:val="fr-FR"/>
        </w:rPr>
        <w:t xml:space="preserve">cette partie de </w:t>
      </w:r>
      <w:r w:rsidR="00C218BF" w:rsidRPr="005801C3">
        <w:rPr>
          <w:bCs/>
          <w:lang w:val="fr-FR"/>
        </w:rPr>
        <w:t>l</w:t>
      </w:r>
      <w:r w:rsidR="00923E72">
        <w:rPr>
          <w:bCs/>
          <w:lang w:val="fr-FR"/>
        </w:rPr>
        <w:t>’</w:t>
      </w:r>
      <w:r w:rsidR="00C218BF" w:rsidRPr="005801C3">
        <w:rPr>
          <w:bCs/>
          <w:lang w:val="fr-FR"/>
        </w:rPr>
        <w:t>élément est situé</w:t>
      </w:r>
      <w:r w:rsidRPr="00702497">
        <w:rPr>
          <w:bCs/>
          <w:lang w:val="fr-FR"/>
        </w:rPr>
        <w:t>e</w:t>
      </w:r>
      <w:r w:rsidR="00C218BF" w:rsidRPr="005801C3">
        <w:rPr>
          <w:bCs/>
          <w:lang w:val="fr-FR"/>
        </w:rPr>
        <w:t xml:space="preserve">, avait </w:t>
      </w:r>
      <w:r w:rsidR="00394FBB" w:rsidRPr="005801C3">
        <w:rPr>
          <w:bCs/>
          <w:lang w:val="fr-FR"/>
        </w:rPr>
        <w:t xml:space="preserve">fait cette proposition, elle </w:t>
      </w:r>
      <w:r w:rsidR="00C218BF" w:rsidRPr="005801C3">
        <w:rPr>
          <w:bCs/>
          <w:lang w:val="fr-FR"/>
        </w:rPr>
        <w:t>n</w:t>
      </w:r>
      <w:r w:rsidR="00923E72">
        <w:rPr>
          <w:bCs/>
          <w:lang w:val="fr-FR"/>
        </w:rPr>
        <w:t>’</w:t>
      </w:r>
      <w:r w:rsidR="00C218BF" w:rsidRPr="005801C3">
        <w:rPr>
          <w:bCs/>
          <w:lang w:val="fr-FR"/>
        </w:rPr>
        <w:t xml:space="preserve">avait </w:t>
      </w:r>
      <w:r w:rsidR="00394FBB" w:rsidRPr="005801C3">
        <w:rPr>
          <w:bCs/>
          <w:lang w:val="fr-FR"/>
        </w:rPr>
        <w:t xml:space="preserve">aucune </w:t>
      </w:r>
      <w:r w:rsidR="00C218BF" w:rsidRPr="005801C3">
        <w:rPr>
          <w:bCs/>
          <w:lang w:val="fr-FR"/>
        </w:rPr>
        <w:t>objection.</w:t>
      </w:r>
    </w:p>
    <w:p w14:paraId="22FA65EE" w14:textId="4EB10D8C" w:rsidR="00C218BF" w:rsidRPr="00702497" w:rsidRDefault="00394FBB" w:rsidP="00AA7EE4">
      <w:pPr>
        <w:pStyle w:val="Orateurengris"/>
        <w:numPr>
          <w:ilvl w:val="0"/>
          <w:numId w:val="20"/>
        </w:numPr>
        <w:tabs>
          <w:tab w:val="clear" w:pos="567"/>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la France et a signalé que le </w:t>
      </w:r>
      <w:r w:rsidRPr="00394FBB">
        <w:rPr>
          <w:bCs/>
          <w:color w:val="000000" w:themeColor="text1"/>
          <w:lang w:val="fr-FR"/>
        </w:rPr>
        <w:t>Comité</w:t>
      </w:r>
      <w:r>
        <w:rPr>
          <w:bCs/>
          <w:color w:val="000000" w:themeColor="text1"/>
          <w:lang w:val="fr-FR"/>
        </w:rPr>
        <w:t xml:space="preserve"> semblait être d</w:t>
      </w:r>
      <w:r w:rsidR="00923E72">
        <w:rPr>
          <w:bCs/>
          <w:color w:val="000000" w:themeColor="text1"/>
          <w:lang w:val="fr-FR"/>
        </w:rPr>
        <w:t>’</w:t>
      </w:r>
      <w:r>
        <w:rPr>
          <w:bCs/>
          <w:color w:val="000000" w:themeColor="text1"/>
          <w:lang w:val="fr-FR"/>
        </w:rPr>
        <w:t>accord avec le texte proposé par le Secrétariat.</w:t>
      </w:r>
    </w:p>
    <w:p w14:paraId="14DDEDAE" w14:textId="79618F0B" w:rsidR="00394FBB" w:rsidRDefault="00394FBB" w:rsidP="00AA7EE4">
      <w:pPr>
        <w:pStyle w:val="Orateurengris"/>
        <w:numPr>
          <w:ilvl w:val="0"/>
          <w:numId w:val="20"/>
        </w:numPr>
        <w:tabs>
          <w:tab w:val="clear" w:pos="567"/>
        </w:tabs>
        <w:spacing w:before="120"/>
        <w:ind w:left="709" w:hanging="709"/>
        <w:rPr>
          <w:bCs/>
          <w:lang w:val="fr-FR"/>
        </w:rPr>
      </w:pPr>
      <w:r>
        <w:rPr>
          <w:bCs/>
          <w:lang w:val="fr-FR"/>
        </w:rPr>
        <w:t xml:space="preserve">La </w:t>
      </w:r>
      <w:r w:rsidRPr="00394FBB">
        <w:rPr>
          <w:bCs/>
          <w:lang w:val="fr-FR"/>
        </w:rPr>
        <w:t>délégation</w:t>
      </w:r>
      <w:r>
        <w:rPr>
          <w:bCs/>
          <w:lang w:val="fr-FR"/>
        </w:rPr>
        <w:t xml:space="preserve"> du </w:t>
      </w:r>
      <w:r w:rsidRPr="00702497">
        <w:rPr>
          <w:b/>
          <w:lang w:val="fr-FR"/>
        </w:rPr>
        <w:t>Maroc</w:t>
      </w:r>
      <w:r>
        <w:rPr>
          <w:bCs/>
          <w:lang w:val="fr-FR"/>
        </w:rPr>
        <w:t xml:space="preserve"> souhaitait remplacer « la présente session » par « la dix</w:t>
      </w:r>
      <w:r>
        <w:rPr>
          <w:bCs/>
          <w:lang w:val="fr-FR"/>
        </w:rPr>
        <w:noBreakHyphen/>
        <w:t>septième session » afin de faciliter la référence à la décision à l</w:t>
      </w:r>
      <w:r w:rsidR="00923E72">
        <w:rPr>
          <w:bCs/>
          <w:lang w:val="fr-FR"/>
        </w:rPr>
        <w:t>’</w:t>
      </w:r>
      <w:r>
        <w:rPr>
          <w:bCs/>
          <w:lang w:val="fr-FR"/>
        </w:rPr>
        <w:t>avenir.</w:t>
      </w:r>
    </w:p>
    <w:p w14:paraId="1ACFC5D4" w14:textId="3AB7125C" w:rsidR="00394FBB" w:rsidRDefault="00394FBB" w:rsidP="00AA7EE4">
      <w:pPr>
        <w:pStyle w:val="Orateurengris"/>
        <w:numPr>
          <w:ilvl w:val="0"/>
          <w:numId w:val="20"/>
        </w:numPr>
        <w:tabs>
          <w:tab w:val="clear" w:pos="567"/>
        </w:tabs>
        <w:spacing w:before="120"/>
        <w:ind w:left="709" w:hanging="709"/>
        <w:rPr>
          <w:bCs/>
          <w:lang w:val="fr-FR"/>
        </w:rPr>
      </w:pPr>
      <w:r w:rsidRPr="00394FBB">
        <w:rPr>
          <w:bCs/>
          <w:lang w:val="fr-FR"/>
        </w:rPr>
        <w:t xml:space="preserve">Le </w:t>
      </w:r>
      <w:r w:rsidRPr="00702497">
        <w:rPr>
          <w:b/>
          <w:lang w:val="fr-FR"/>
        </w:rPr>
        <w:t>Président</w:t>
      </w:r>
      <w:r w:rsidRPr="00394FBB">
        <w:rPr>
          <w:bCs/>
          <w:lang w:val="fr-FR"/>
        </w:rPr>
        <w:t xml:space="preserve"> a constaté qu</w:t>
      </w:r>
      <w:r w:rsidR="00923E72">
        <w:rPr>
          <w:bCs/>
          <w:lang w:val="fr-FR"/>
        </w:rPr>
        <w:t>’</w:t>
      </w:r>
      <w:r w:rsidRPr="00394FBB">
        <w:rPr>
          <w:bCs/>
          <w:lang w:val="fr-FR"/>
        </w:rPr>
        <w:t>il n</w:t>
      </w:r>
      <w:r w:rsidR="00923E72">
        <w:rPr>
          <w:bCs/>
          <w:lang w:val="fr-FR"/>
        </w:rPr>
        <w:t>’</w:t>
      </w:r>
      <w:r w:rsidRPr="00394FBB">
        <w:rPr>
          <w:bCs/>
          <w:lang w:val="fr-FR"/>
        </w:rPr>
        <w:t>y avait pas d</w:t>
      </w:r>
      <w:r w:rsidR="00923E72">
        <w:rPr>
          <w:bCs/>
          <w:lang w:val="fr-FR"/>
        </w:rPr>
        <w:t>’</w:t>
      </w:r>
      <w:r w:rsidRPr="00394FBB">
        <w:rPr>
          <w:bCs/>
          <w:lang w:val="fr-FR"/>
        </w:rPr>
        <w:t>objection au paragraphe</w:t>
      </w:r>
      <w:r w:rsidR="00C25B3D">
        <w:rPr>
          <w:bCs/>
          <w:lang w:val="fr-FR"/>
        </w:rPr>
        <w:t> </w:t>
      </w:r>
      <w:r w:rsidRPr="00394FBB">
        <w:rPr>
          <w:bCs/>
          <w:lang w:val="fr-FR"/>
        </w:rPr>
        <w:t>10 tel que proposé, qui a été dûment adopté. Il est passé au paragraphe</w:t>
      </w:r>
      <w:r w:rsidR="00C25B3D">
        <w:rPr>
          <w:bCs/>
          <w:lang w:val="fr-FR"/>
        </w:rPr>
        <w:t> </w:t>
      </w:r>
      <w:r w:rsidRPr="00394FBB">
        <w:rPr>
          <w:bCs/>
          <w:lang w:val="fr-FR"/>
        </w:rPr>
        <w:t>11</w:t>
      </w:r>
      <w:r w:rsidR="00CA41DD">
        <w:rPr>
          <w:bCs/>
          <w:lang w:val="fr-FR"/>
        </w:rPr>
        <w:t>,</w:t>
      </w:r>
      <w:r w:rsidRPr="00394FBB">
        <w:rPr>
          <w:bCs/>
          <w:lang w:val="fr-FR"/>
        </w:rPr>
        <w:t xml:space="preserve"> la décision de retirer </w:t>
      </w:r>
      <w:r>
        <w:rPr>
          <w:bCs/>
          <w:lang w:val="fr-FR"/>
        </w:rPr>
        <w:t>« </w:t>
      </w:r>
      <w:r w:rsidRPr="00394FBB">
        <w:rPr>
          <w:bCs/>
          <w:lang w:val="fr-FR"/>
        </w:rPr>
        <w:t>la Ducasse d</w:t>
      </w:r>
      <w:r w:rsidR="00923E72">
        <w:rPr>
          <w:bCs/>
          <w:lang w:val="fr-FR"/>
        </w:rPr>
        <w:t>’</w:t>
      </w:r>
      <w:r w:rsidRPr="00394FBB">
        <w:rPr>
          <w:bCs/>
          <w:lang w:val="fr-FR"/>
        </w:rPr>
        <w:t>Ath</w:t>
      </w:r>
      <w:r>
        <w:rPr>
          <w:bCs/>
          <w:lang w:val="fr-FR"/>
        </w:rPr>
        <w:t> »</w:t>
      </w:r>
      <w:r w:rsidRPr="00394FBB">
        <w:rPr>
          <w:bCs/>
          <w:lang w:val="fr-FR"/>
        </w:rPr>
        <w:t xml:space="preserve"> de la </w:t>
      </w:r>
      <w:r>
        <w:rPr>
          <w:bCs/>
          <w:lang w:val="fr-FR"/>
        </w:rPr>
        <w:t>L</w:t>
      </w:r>
      <w:r w:rsidRPr="00394FBB">
        <w:rPr>
          <w:bCs/>
          <w:lang w:val="fr-FR"/>
        </w:rPr>
        <w:t>iste, qui se</w:t>
      </w:r>
      <w:r>
        <w:rPr>
          <w:bCs/>
          <w:lang w:val="fr-FR"/>
        </w:rPr>
        <w:t>rait ainsi rédigé : « </w:t>
      </w:r>
      <w:r w:rsidRPr="00394FBB">
        <w:rPr>
          <w:bCs/>
          <w:lang w:val="fr-FR"/>
        </w:rPr>
        <w:t xml:space="preserve">Décide de retirer </w:t>
      </w:r>
      <w:r>
        <w:rPr>
          <w:bCs/>
          <w:lang w:val="fr-FR"/>
        </w:rPr>
        <w:t>de la Liste du patrimoine culturel immatériel de l</w:t>
      </w:r>
      <w:r w:rsidR="00923E72">
        <w:rPr>
          <w:bCs/>
          <w:lang w:val="fr-FR"/>
        </w:rPr>
        <w:t>’</w:t>
      </w:r>
      <w:r>
        <w:rPr>
          <w:bCs/>
          <w:lang w:val="fr-FR"/>
        </w:rPr>
        <w:t xml:space="preserve">humanité </w:t>
      </w:r>
      <w:r w:rsidRPr="00394FBB">
        <w:rPr>
          <w:bCs/>
          <w:lang w:val="fr-FR"/>
        </w:rPr>
        <w:t xml:space="preserve">la </w:t>
      </w:r>
      <w:r w:rsidR="00C25B3D">
        <w:rPr>
          <w:bCs/>
          <w:color w:val="000000" w:themeColor="text1"/>
          <w:lang w:val="fr-FR"/>
        </w:rPr>
        <w:t>" Ducasse d</w:t>
      </w:r>
      <w:r w:rsidR="00923E72">
        <w:rPr>
          <w:bCs/>
          <w:color w:val="000000" w:themeColor="text1"/>
          <w:lang w:val="fr-FR"/>
        </w:rPr>
        <w:t>’</w:t>
      </w:r>
      <w:r w:rsidR="00C25B3D">
        <w:rPr>
          <w:bCs/>
          <w:color w:val="000000" w:themeColor="text1"/>
          <w:lang w:val="fr-FR"/>
        </w:rPr>
        <w:t xml:space="preserve">Ath " </w:t>
      </w:r>
      <w:r w:rsidRPr="00394FBB">
        <w:rPr>
          <w:bCs/>
          <w:lang w:val="fr-FR"/>
        </w:rPr>
        <w:t>de l</w:t>
      </w:r>
      <w:r w:rsidR="00923E72">
        <w:rPr>
          <w:bCs/>
          <w:lang w:val="fr-FR"/>
        </w:rPr>
        <w:t>’</w:t>
      </w:r>
      <w:r w:rsidRPr="00394FBB">
        <w:rPr>
          <w:bCs/>
          <w:lang w:val="fr-FR"/>
        </w:rPr>
        <w:t>élément</w:t>
      </w:r>
      <w:r>
        <w:rPr>
          <w:bCs/>
          <w:lang w:val="fr-FR"/>
        </w:rPr>
        <w:t xml:space="preserve"> les</w:t>
      </w:r>
      <w:r w:rsidRPr="00394FBB">
        <w:rPr>
          <w:bCs/>
          <w:lang w:val="fr-FR"/>
        </w:rPr>
        <w:t xml:space="preserve"> </w:t>
      </w:r>
      <w:r w:rsidR="00C25B3D">
        <w:rPr>
          <w:bCs/>
          <w:color w:val="000000" w:themeColor="text1"/>
          <w:lang w:val="fr-FR"/>
        </w:rPr>
        <w:t>" Géants et dragons processionnels de Belgique et de France "</w:t>
      </w:r>
      <w:r w:rsidR="00C25B3D">
        <w:rPr>
          <w:bCs/>
          <w:lang w:val="fr-FR"/>
        </w:rPr>
        <w:t> </w:t>
      </w:r>
      <w:r>
        <w:rPr>
          <w:bCs/>
          <w:lang w:val="fr-FR"/>
        </w:rPr>
        <w:t xml:space="preserve">». </w:t>
      </w:r>
      <w:r w:rsidRPr="00394FBB">
        <w:rPr>
          <w:bCs/>
          <w:lang w:val="fr-FR"/>
        </w:rPr>
        <w:t>Les mêmes membres du Comité (que pour le paragraphe</w:t>
      </w:r>
      <w:r w:rsidR="00C25B3D">
        <w:rPr>
          <w:bCs/>
          <w:lang w:val="fr-FR"/>
        </w:rPr>
        <w:t> </w:t>
      </w:r>
      <w:r w:rsidRPr="00394FBB">
        <w:rPr>
          <w:bCs/>
          <w:lang w:val="fr-FR"/>
        </w:rPr>
        <w:t>9) se sont portés coauteurs de l</w:t>
      </w:r>
      <w:r w:rsidR="00923E72">
        <w:rPr>
          <w:bCs/>
          <w:lang w:val="fr-FR"/>
        </w:rPr>
        <w:t>’</w:t>
      </w:r>
      <w:r w:rsidRPr="00394FBB">
        <w:rPr>
          <w:bCs/>
          <w:lang w:val="fr-FR"/>
        </w:rPr>
        <w:t>amendement.</w:t>
      </w:r>
    </w:p>
    <w:p w14:paraId="7404C471" w14:textId="5F01AA70" w:rsidR="00CA41DD" w:rsidRDefault="00CA41DD" w:rsidP="00AA7EE4">
      <w:pPr>
        <w:pStyle w:val="Orateurengris"/>
        <w:numPr>
          <w:ilvl w:val="0"/>
          <w:numId w:val="20"/>
        </w:numPr>
        <w:tabs>
          <w:tab w:val="clear" w:pos="567"/>
        </w:tabs>
        <w:spacing w:before="120"/>
        <w:ind w:left="709" w:hanging="709"/>
        <w:rPr>
          <w:bCs/>
          <w:lang w:val="fr-FR"/>
        </w:rPr>
      </w:pPr>
      <w:r w:rsidRPr="00CA41DD">
        <w:rPr>
          <w:bCs/>
          <w:lang w:val="fr-FR"/>
        </w:rPr>
        <w:lastRenderedPageBreak/>
        <w:t xml:space="preserve">La délégation de la </w:t>
      </w:r>
      <w:r w:rsidRPr="00702497">
        <w:rPr>
          <w:b/>
          <w:lang w:val="fr-FR"/>
        </w:rPr>
        <w:t>Suisse</w:t>
      </w:r>
      <w:r w:rsidRPr="00CA41DD">
        <w:rPr>
          <w:bCs/>
          <w:lang w:val="fr-FR"/>
        </w:rPr>
        <w:t xml:space="preserve"> a fait part d</w:t>
      </w:r>
      <w:r w:rsidR="00923E72">
        <w:rPr>
          <w:bCs/>
          <w:lang w:val="fr-FR"/>
        </w:rPr>
        <w:t>’</w:t>
      </w:r>
      <w:r w:rsidRPr="00CA41DD">
        <w:rPr>
          <w:bCs/>
          <w:lang w:val="fr-FR"/>
        </w:rPr>
        <w:t>une discussion menée avec ses propres experts en vue d</w:t>
      </w:r>
      <w:r w:rsidR="00923E72">
        <w:rPr>
          <w:bCs/>
          <w:lang w:val="fr-FR"/>
        </w:rPr>
        <w:t>’</w:t>
      </w:r>
      <w:r w:rsidRPr="00CA41DD">
        <w:rPr>
          <w:bCs/>
          <w:lang w:val="fr-FR"/>
        </w:rPr>
        <w:t>ajouter</w:t>
      </w:r>
      <w:r w:rsidR="007121BA">
        <w:rPr>
          <w:bCs/>
          <w:lang w:val="fr-FR"/>
        </w:rPr>
        <w:t xml:space="preserve"> </w:t>
      </w:r>
      <w:r w:rsidRPr="00CA41DD">
        <w:rPr>
          <w:bCs/>
          <w:lang w:val="fr-FR"/>
        </w:rPr>
        <w:t>au paragraphe</w:t>
      </w:r>
      <w:r w:rsidR="008F5CA2">
        <w:rPr>
          <w:bCs/>
          <w:lang w:val="fr-FR"/>
        </w:rPr>
        <w:t> </w:t>
      </w:r>
      <w:r w:rsidRPr="00CA41DD">
        <w:rPr>
          <w:bCs/>
          <w:lang w:val="fr-FR"/>
        </w:rPr>
        <w:t xml:space="preserve">11, </w:t>
      </w:r>
      <w:r>
        <w:rPr>
          <w:bCs/>
          <w:lang w:val="fr-FR"/>
        </w:rPr>
        <w:t>« </w:t>
      </w:r>
      <w:r w:rsidRPr="00394FBB">
        <w:rPr>
          <w:bCs/>
          <w:lang w:val="fr-FR"/>
        </w:rPr>
        <w:t xml:space="preserve">Décide de retirer </w:t>
      </w:r>
      <w:r>
        <w:rPr>
          <w:bCs/>
          <w:lang w:val="fr-FR"/>
        </w:rPr>
        <w:t>de la Liste du patrimoine culturel immatériel de l</w:t>
      </w:r>
      <w:r w:rsidR="00923E72">
        <w:rPr>
          <w:bCs/>
          <w:lang w:val="fr-FR"/>
        </w:rPr>
        <w:t>’</w:t>
      </w:r>
      <w:r>
        <w:rPr>
          <w:bCs/>
          <w:lang w:val="fr-FR"/>
        </w:rPr>
        <w:t xml:space="preserve">humanité </w:t>
      </w:r>
      <w:r w:rsidRPr="00394FBB">
        <w:rPr>
          <w:bCs/>
          <w:lang w:val="fr-FR"/>
        </w:rPr>
        <w:t xml:space="preserve">la </w:t>
      </w:r>
      <w:r w:rsidR="00C25B3D">
        <w:rPr>
          <w:bCs/>
          <w:color w:val="000000" w:themeColor="text1"/>
          <w:lang w:val="fr-FR"/>
        </w:rPr>
        <w:t>" Ducasse d</w:t>
      </w:r>
      <w:r w:rsidR="00923E72">
        <w:rPr>
          <w:bCs/>
          <w:color w:val="000000" w:themeColor="text1"/>
          <w:lang w:val="fr-FR"/>
        </w:rPr>
        <w:t>’</w:t>
      </w:r>
      <w:r w:rsidR="00C25B3D">
        <w:rPr>
          <w:bCs/>
          <w:color w:val="000000" w:themeColor="text1"/>
          <w:lang w:val="fr-FR"/>
        </w:rPr>
        <w:t xml:space="preserve">Ath " </w:t>
      </w:r>
      <w:r w:rsidR="00C25B3D" w:rsidRPr="00394FBB">
        <w:rPr>
          <w:bCs/>
          <w:lang w:val="fr-FR"/>
        </w:rPr>
        <w:t>de l</w:t>
      </w:r>
      <w:r w:rsidR="00923E72">
        <w:rPr>
          <w:bCs/>
          <w:lang w:val="fr-FR"/>
        </w:rPr>
        <w:t>’</w:t>
      </w:r>
      <w:r w:rsidR="00C25B3D" w:rsidRPr="00394FBB">
        <w:rPr>
          <w:bCs/>
          <w:lang w:val="fr-FR"/>
        </w:rPr>
        <w:t>élément</w:t>
      </w:r>
      <w:r w:rsidR="00C25B3D">
        <w:rPr>
          <w:bCs/>
          <w:lang w:val="fr-FR"/>
        </w:rPr>
        <w:t xml:space="preserve"> les</w:t>
      </w:r>
      <w:r w:rsidR="00C25B3D" w:rsidRPr="00394FBB">
        <w:rPr>
          <w:bCs/>
          <w:lang w:val="fr-FR"/>
        </w:rPr>
        <w:t xml:space="preserve"> </w:t>
      </w:r>
      <w:r w:rsidR="00C25B3D">
        <w:rPr>
          <w:bCs/>
          <w:color w:val="000000" w:themeColor="text1"/>
          <w:lang w:val="fr-FR"/>
        </w:rPr>
        <w:t>" Géants et dragons processionnels de Belgique et de France "</w:t>
      </w:r>
      <w:r w:rsidR="00C25B3D">
        <w:rPr>
          <w:bCs/>
          <w:lang w:val="fr-FR"/>
        </w:rPr>
        <w:t xml:space="preserve"> </w:t>
      </w:r>
      <w:r w:rsidRPr="00702497">
        <w:rPr>
          <w:bCs/>
          <w:u w:val="single"/>
          <w:lang w:val="fr-FR"/>
        </w:rPr>
        <w:t xml:space="preserve">et exprime </w:t>
      </w:r>
      <w:r>
        <w:rPr>
          <w:bCs/>
          <w:u w:val="single"/>
          <w:lang w:val="fr-FR"/>
        </w:rPr>
        <w:t xml:space="preserve">fortement </w:t>
      </w:r>
      <w:r w:rsidRPr="00702497">
        <w:rPr>
          <w:bCs/>
          <w:u w:val="single"/>
          <w:lang w:val="fr-FR"/>
        </w:rPr>
        <w:t xml:space="preserve">le souhait que le </w:t>
      </w:r>
      <w:r>
        <w:rPr>
          <w:bCs/>
          <w:u w:val="single"/>
          <w:lang w:val="fr-FR"/>
        </w:rPr>
        <w:t xml:space="preserve">personnage </w:t>
      </w:r>
      <w:r w:rsidRPr="00702497">
        <w:rPr>
          <w:bCs/>
          <w:u w:val="single"/>
          <w:lang w:val="fr-FR"/>
        </w:rPr>
        <w:t xml:space="preserve">du </w:t>
      </w:r>
      <w:r w:rsidR="00C25B3D">
        <w:rPr>
          <w:bCs/>
          <w:u w:val="single"/>
          <w:lang w:val="fr-FR"/>
        </w:rPr>
        <w:t>"</w:t>
      </w:r>
      <w:r>
        <w:rPr>
          <w:bCs/>
          <w:u w:val="single"/>
          <w:lang w:val="fr-FR"/>
        </w:rPr>
        <w:t> </w:t>
      </w:r>
      <w:r w:rsidRPr="00702497">
        <w:rPr>
          <w:bCs/>
          <w:u w:val="single"/>
          <w:lang w:val="fr-FR"/>
        </w:rPr>
        <w:t>Sauvage</w:t>
      </w:r>
      <w:r>
        <w:rPr>
          <w:bCs/>
          <w:u w:val="single"/>
          <w:lang w:val="fr-FR"/>
        </w:rPr>
        <w:t> </w:t>
      </w:r>
      <w:r w:rsidR="00C25B3D">
        <w:rPr>
          <w:bCs/>
          <w:u w:val="single"/>
          <w:lang w:val="fr-FR"/>
        </w:rPr>
        <w:t>"</w:t>
      </w:r>
      <w:r w:rsidRPr="00702497">
        <w:rPr>
          <w:bCs/>
          <w:u w:val="single"/>
          <w:lang w:val="fr-FR"/>
        </w:rPr>
        <w:t xml:space="preserve"> soit </w:t>
      </w:r>
      <w:r w:rsidR="00514337">
        <w:rPr>
          <w:bCs/>
          <w:u w:val="single"/>
          <w:lang w:val="fr-FR"/>
        </w:rPr>
        <w:t xml:space="preserve">retiré </w:t>
      </w:r>
      <w:r w:rsidRPr="00702497">
        <w:rPr>
          <w:bCs/>
          <w:u w:val="single"/>
          <w:lang w:val="fr-FR"/>
        </w:rPr>
        <w:t>de la Ducasse d</w:t>
      </w:r>
      <w:r w:rsidR="00923E72">
        <w:rPr>
          <w:bCs/>
          <w:u w:val="single"/>
          <w:lang w:val="fr-FR"/>
        </w:rPr>
        <w:t>’</w:t>
      </w:r>
      <w:r w:rsidRPr="00702497">
        <w:rPr>
          <w:bCs/>
          <w:u w:val="single"/>
          <w:lang w:val="fr-FR"/>
        </w:rPr>
        <w:t>Ath</w:t>
      </w:r>
      <w:r>
        <w:rPr>
          <w:bCs/>
          <w:u w:val="single"/>
          <w:lang w:val="fr-FR"/>
        </w:rPr>
        <w:t>.</w:t>
      </w:r>
      <w:r>
        <w:rPr>
          <w:bCs/>
          <w:lang w:val="fr-FR"/>
        </w:rPr>
        <w:t> »</w:t>
      </w:r>
      <w:r w:rsidRPr="00CA41DD">
        <w:rPr>
          <w:bCs/>
          <w:lang w:val="fr-FR"/>
        </w:rPr>
        <w:t>. La délégation a expliqué que la discussion portait sur l</w:t>
      </w:r>
      <w:r w:rsidR="00923E72">
        <w:rPr>
          <w:bCs/>
          <w:lang w:val="fr-FR"/>
        </w:rPr>
        <w:t>’</w:t>
      </w:r>
      <w:r w:rsidRPr="00CA41DD">
        <w:rPr>
          <w:bCs/>
          <w:lang w:val="fr-FR"/>
        </w:rPr>
        <w:t>expression par le Comité de ce souhait fort, étant donné que cette partie de l</w:t>
      </w:r>
      <w:r w:rsidR="00923E72">
        <w:rPr>
          <w:bCs/>
          <w:lang w:val="fr-FR"/>
        </w:rPr>
        <w:t>’</w:t>
      </w:r>
      <w:r w:rsidRPr="00CA41DD">
        <w:rPr>
          <w:bCs/>
          <w:lang w:val="fr-FR"/>
        </w:rPr>
        <w:t>élément était désormais retirée.</w:t>
      </w:r>
    </w:p>
    <w:p w14:paraId="22057755" w14:textId="669A8C4F" w:rsidR="00CA41DD" w:rsidRDefault="00CA41DD" w:rsidP="00AA7EE4">
      <w:pPr>
        <w:pStyle w:val="Orateurengris"/>
        <w:numPr>
          <w:ilvl w:val="0"/>
          <w:numId w:val="20"/>
        </w:numPr>
        <w:tabs>
          <w:tab w:val="clear" w:pos="567"/>
        </w:tabs>
        <w:spacing w:before="120"/>
        <w:ind w:left="709" w:hanging="709"/>
        <w:rPr>
          <w:bCs/>
          <w:lang w:val="fr-FR"/>
        </w:rPr>
      </w:pPr>
      <w:r w:rsidRPr="00CA41DD">
        <w:rPr>
          <w:bCs/>
          <w:lang w:val="fr-FR"/>
        </w:rPr>
        <w:t xml:space="preserve">Le </w:t>
      </w:r>
      <w:r w:rsidRPr="00702497">
        <w:rPr>
          <w:b/>
          <w:lang w:val="fr-FR"/>
        </w:rPr>
        <w:t>Président</w:t>
      </w:r>
      <w:r w:rsidRPr="00CA41DD">
        <w:rPr>
          <w:bCs/>
          <w:lang w:val="fr-FR"/>
        </w:rPr>
        <w:t xml:space="preserve"> comprenait que le Comité puisse exprimer un souhait après </w:t>
      </w:r>
      <w:r w:rsidR="003D4658">
        <w:rPr>
          <w:bCs/>
          <w:lang w:val="fr-FR"/>
        </w:rPr>
        <w:t xml:space="preserve">le </w:t>
      </w:r>
      <w:r w:rsidRPr="00CA41DD">
        <w:rPr>
          <w:bCs/>
          <w:lang w:val="fr-FR"/>
        </w:rPr>
        <w:t>retrait de la Liste, mais il s</w:t>
      </w:r>
      <w:r w:rsidR="00923E72">
        <w:rPr>
          <w:bCs/>
          <w:lang w:val="fr-FR"/>
        </w:rPr>
        <w:t>’</w:t>
      </w:r>
      <w:r w:rsidRPr="00CA41DD">
        <w:rPr>
          <w:bCs/>
          <w:lang w:val="fr-FR"/>
        </w:rPr>
        <w:t>agissait également d</w:t>
      </w:r>
      <w:r w:rsidR="00923E72">
        <w:rPr>
          <w:bCs/>
          <w:lang w:val="fr-FR"/>
        </w:rPr>
        <w:t>’</w:t>
      </w:r>
      <w:r w:rsidRPr="00CA41DD">
        <w:rPr>
          <w:bCs/>
          <w:lang w:val="fr-FR"/>
        </w:rPr>
        <w:t xml:space="preserve">une affaire interne concernant la souveraineté de la Belgique, dans laquelle le Comité ne pouvait pas intervenir. En outre, </w:t>
      </w:r>
      <w:r w:rsidR="003D4658">
        <w:rPr>
          <w:bCs/>
          <w:lang w:val="fr-FR"/>
        </w:rPr>
        <w:t xml:space="preserve">le </w:t>
      </w:r>
      <w:r w:rsidRPr="00CA41DD">
        <w:rPr>
          <w:bCs/>
          <w:lang w:val="fr-FR"/>
        </w:rPr>
        <w:t>retrait envoyait déjà un message très clair et très fort, et le Comité n</w:t>
      </w:r>
      <w:r w:rsidR="00923E72">
        <w:rPr>
          <w:bCs/>
          <w:lang w:val="fr-FR"/>
        </w:rPr>
        <w:t>’</w:t>
      </w:r>
      <w:r w:rsidRPr="00CA41DD">
        <w:rPr>
          <w:bCs/>
          <w:lang w:val="fr-FR"/>
        </w:rPr>
        <w:t>avait donc pas besoin d</w:t>
      </w:r>
      <w:r w:rsidR="00923E72">
        <w:rPr>
          <w:bCs/>
          <w:lang w:val="fr-FR"/>
        </w:rPr>
        <w:t>’</w:t>
      </w:r>
      <w:r w:rsidRPr="00CA41DD">
        <w:rPr>
          <w:bCs/>
          <w:lang w:val="fr-FR"/>
        </w:rPr>
        <w:t>exprimer un souhait, notamment parce que sa position avait été proclamée à la face du monde. Il appartenait désormais à la Belgique de voir quelle suite elle souhaitait donner à ce cortège. Néanmoins, le Président n</w:t>
      </w:r>
      <w:r w:rsidR="00923E72">
        <w:rPr>
          <w:bCs/>
          <w:lang w:val="fr-FR"/>
        </w:rPr>
        <w:t>’</w:t>
      </w:r>
      <w:r w:rsidRPr="00CA41DD">
        <w:rPr>
          <w:bCs/>
          <w:lang w:val="fr-FR"/>
        </w:rPr>
        <w:t>avait pas d</w:t>
      </w:r>
      <w:r w:rsidR="00923E72">
        <w:rPr>
          <w:bCs/>
          <w:lang w:val="fr-FR"/>
        </w:rPr>
        <w:t>’</w:t>
      </w:r>
      <w:r w:rsidRPr="00CA41DD">
        <w:rPr>
          <w:bCs/>
          <w:lang w:val="fr-FR"/>
        </w:rPr>
        <w:t>objection à la proposition de la Suisse si le Comité était d</w:t>
      </w:r>
      <w:r w:rsidR="00923E72">
        <w:rPr>
          <w:bCs/>
          <w:lang w:val="fr-FR"/>
        </w:rPr>
        <w:t>’</w:t>
      </w:r>
      <w:r w:rsidRPr="00CA41DD">
        <w:rPr>
          <w:bCs/>
          <w:lang w:val="fr-FR"/>
        </w:rPr>
        <w:t>accord.</w:t>
      </w:r>
    </w:p>
    <w:p w14:paraId="122E59EE" w14:textId="3A9F93C9" w:rsidR="003D4658" w:rsidRDefault="003D4658" w:rsidP="00AA7EE4">
      <w:pPr>
        <w:pStyle w:val="Orateurengris"/>
        <w:numPr>
          <w:ilvl w:val="0"/>
          <w:numId w:val="20"/>
        </w:numPr>
        <w:tabs>
          <w:tab w:val="clear" w:pos="567"/>
        </w:tabs>
        <w:spacing w:before="120"/>
        <w:ind w:left="709" w:hanging="709"/>
        <w:rPr>
          <w:bCs/>
          <w:lang w:val="fr-FR"/>
        </w:rPr>
      </w:pPr>
      <w:r w:rsidRPr="003D4658">
        <w:rPr>
          <w:bCs/>
          <w:lang w:val="fr-FR"/>
        </w:rPr>
        <w:t xml:space="preserve">La délégation de la </w:t>
      </w:r>
      <w:r w:rsidRPr="00702497">
        <w:rPr>
          <w:b/>
          <w:lang w:val="fr-FR"/>
        </w:rPr>
        <w:t>Suisse</w:t>
      </w:r>
      <w:r w:rsidRPr="003D4658">
        <w:rPr>
          <w:bCs/>
          <w:lang w:val="fr-FR"/>
        </w:rPr>
        <w:t xml:space="preserve"> comprenait parfaitement les remarques du Président, mais elle souhaitait tout de même entendre l</w:t>
      </w:r>
      <w:r w:rsidR="00923E72">
        <w:rPr>
          <w:bCs/>
          <w:lang w:val="fr-FR"/>
        </w:rPr>
        <w:t>’</w:t>
      </w:r>
      <w:r w:rsidRPr="003D4658">
        <w:rPr>
          <w:bCs/>
          <w:lang w:val="fr-FR"/>
        </w:rPr>
        <w:t xml:space="preserve">avis des autres membres du Comité pour maintenir au moins </w:t>
      </w:r>
      <w:r>
        <w:rPr>
          <w:bCs/>
          <w:lang w:val="fr-FR"/>
        </w:rPr>
        <w:t>le</w:t>
      </w:r>
      <w:r w:rsidRPr="003D4658">
        <w:rPr>
          <w:bCs/>
          <w:lang w:val="fr-FR"/>
        </w:rPr>
        <w:t xml:space="preserve"> </w:t>
      </w:r>
      <w:r w:rsidR="00D843B7">
        <w:rPr>
          <w:bCs/>
          <w:lang w:val="fr-FR"/>
        </w:rPr>
        <w:t xml:space="preserve">vif </w:t>
      </w:r>
      <w:r w:rsidRPr="003D4658">
        <w:rPr>
          <w:bCs/>
          <w:lang w:val="fr-FR"/>
        </w:rPr>
        <w:t xml:space="preserve">souhait que le personnage du </w:t>
      </w:r>
      <w:r>
        <w:rPr>
          <w:bCs/>
          <w:lang w:val="fr-FR"/>
        </w:rPr>
        <w:t>« </w:t>
      </w:r>
      <w:r w:rsidRPr="003D4658">
        <w:rPr>
          <w:bCs/>
          <w:lang w:val="fr-FR"/>
        </w:rPr>
        <w:t>Sauvage</w:t>
      </w:r>
      <w:r>
        <w:rPr>
          <w:bCs/>
          <w:lang w:val="fr-FR"/>
        </w:rPr>
        <w:t> »</w:t>
      </w:r>
      <w:r w:rsidRPr="003D4658">
        <w:rPr>
          <w:bCs/>
          <w:lang w:val="fr-FR"/>
        </w:rPr>
        <w:t xml:space="preserve"> soit </w:t>
      </w:r>
      <w:r w:rsidR="00514337">
        <w:rPr>
          <w:bCs/>
          <w:lang w:val="fr-FR"/>
        </w:rPr>
        <w:t xml:space="preserve">retiré </w:t>
      </w:r>
      <w:r w:rsidRPr="003D4658">
        <w:rPr>
          <w:bCs/>
          <w:lang w:val="fr-FR"/>
        </w:rPr>
        <w:t>de la Ducasse d</w:t>
      </w:r>
      <w:r w:rsidR="00923E72">
        <w:rPr>
          <w:bCs/>
          <w:lang w:val="fr-FR"/>
        </w:rPr>
        <w:t>’</w:t>
      </w:r>
      <w:r w:rsidRPr="003D4658">
        <w:rPr>
          <w:bCs/>
          <w:lang w:val="fr-FR"/>
        </w:rPr>
        <w:t>Ath.</w:t>
      </w:r>
    </w:p>
    <w:p w14:paraId="04D1D2C4" w14:textId="78449CF5" w:rsidR="003D4658" w:rsidRDefault="003D4658" w:rsidP="00AA7EE4">
      <w:pPr>
        <w:pStyle w:val="Orateurengris"/>
        <w:numPr>
          <w:ilvl w:val="0"/>
          <w:numId w:val="20"/>
        </w:numPr>
        <w:tabs>
          <w:tab w:val="clear" w:pos="567"/>
        </w:tabs>
        <w:spacing w:before="120"/>
        <w:ind w:left="709" w:hanging="709"/>
        <w:rPr>
          <w:bCs/>
          <w:lang w:val="fr-FR"/>
        </w:rPr>
      </w:pPr>
      <w:r w:rsidRPr="003D4658">
        <w:rPr>
          <w:bCs/>
          <w:lang w:val="fr-FR"/>
        </w:rPr>
        <w:t xml:space="preserve">La délégation du </w:t>
      </w:r>
      <w:r w:rsidRPr="00702497">
        <w:rPr>
          <w:b/>
          <w:lang w:val="fr-FR"/>
        </w:rPr>
        <w:t>Pérou</w:t>
      </w:r>
      <w:r w:rsidRPr="003D4658">
        <w:rPr>
          <w:bCs/>
          <w:lang w:val="fr-FR"/>
        </w:rPr>
        <w:t xml:space="preserve"> ne voyait pas d</w:t>
      </w:r>
      <w:r w:rsidR="00923E72">
        <w:rPr>
          <w:bCs/>
          <w:lang w:val="fr-FR"/>
        </w:rPr>
        <w:t>’</w:t>
      </w:r>
      <w:r w:rsidRPr="003D4658">
        <w:rPr>
          <w:bCs/>
          <w:lang w:val="fr-FR"/>
        </w:rPr>
        <w:t>objection et soutenait les remarques de la Suisse et le retrait de l</w:t>
      </w:r>
      <w:r w:rsidR="00923E72">
        <w:rPr>
          <w:bCs/>
          <w:lang w:val="fr-FR"/>
        </w:rPr>
        <w:t>’</w:t>
      </w:r>
      <w:r w:rsidRPr="003D4658">
        <w:rPr>
          <w:bCs/>
          <w:lang w:val="fr-FR"/>
        </w:rPr>
        <w:t>élément. Toutefois, le Comité et l</w:t>
      </w:r>
      <w:r w:rsidR="00923E72">
        <w:rPr>
          <w:bCs/>
          <w:lang w:val="fr-FR"/>
        </w:rPr>
        <w:t>’</w:t>
      </w:r>
      <w:r w:rsidRPr="003D4658">
        <w:rPr>
          <w:bCs/>
          <w:lang w:val="fr-FR"/>
        </w:rPr>
        <w:t xml:space="preserve">UNESCO ne pouvaient pas se soustraire à leur responsabilité et </w:t>
      </w:r>
      <w:r>
        <w:rPr>
          <w:bCs/>
          <w:lang w:val="fr-FR"/>
        </w:rPr>
        <w:t xml:space="preserve">devaient </w:t>
      </w:r>
      <w:r w:rsidRPr="003D4658">
        <w:rPr>
          <w:bCs/>
          <w:lang w:val="fr-FR"/>
        </w:rPr>
        <w:t>exprime</w:t>
      </w:r>
      <w:r>
        <w:rPr>
          <w:bCs/>
          <w:lang w:val="fr-FR"/>
        </w:rPr>
        <w:t>r</w:t>
      </w:r>
      <w:r w:rsidRPr="003D4658">
        <w:rPr>
          <w:bCs/>
          <w:lang w:val="fr-FR"/>
        </w:rPr>
        <w:t xml:space="preserve"> le souhait et la demande que la communauté fasse les efforts nécessaires pour </w:t>
      </w:r>
      <w:r w:rsidR="00514337">
        <w:rPr>
          <w:bCs/>
          <w:lang w:val="fr-FR"/>
        </w:rPr>
        <w:t xml:space="preserve">retirer </w:t>
      </w:r>
      <w:r w:rsidRPr="003D4658">
        <w:rPr>
          <w:bCs/>
          <w:lang w:val="fr-FR"/>
        </w:rPr>
        <w:t xml:space="preserve">également le personnage du </w:t>
      </w:r>
      <w:r>
        <w:rPr>
          <w:bCs/>
          <w:lang w:val="fr-FR"/>
        </w:rPr>
        <w:t>« </w:t>
      </w:r>
      <w:r w:rsidRPr="003D4658">
        <w:rPr>
          <w:bCs/>
          <w:lang w:val="fr-FR"/>
        </w:rPr>
        <w:t>Sauvage</w:t>
      </w:r>
      <w:r>
        <w:rPr>
          <w:bCs/>
          <w:lang w:val="fr-FR"/>
        </w:rPr>
        <w:t> »</w:t>
      </w:r>
      <w:r w:rsidRPr="003D4658">
        <w:rPr>
          <w:bCs/>
          <w:lang w:val="fr-FR"/>
        </w:rPr>
        <w:t xml:space="preserve"> de l</w:t>
      </w:r>
      <w:r w:rsidR="00923E72">
        <w:rPr>
          <w:bCs/>
          <w:lang w:val="fr-FR"/>
        </w:rPr>
        <w:t>’</w:t>
      </w:r>
      <w:r w:rsidRPr="003D4658">
        <w:rPr>
          <w:bCs/>
          <w:lang w:val="fr-FR"/>
        </w:rPr>
        <w:t>élément.</w:t>
      </w:r>
    </w:p>
    <w:p w14:paraId="661C7935" w14:textId="689EF360" w:rsidR="003D4658" w:rsidRDefault="0085773C" w:rsidP="00AA7EE4">
      <w:pPr>
        <w:pStyle w:val="Orateurengris"/>
        <w:numPr>
          <w:ilvl w:val="0"/>
          <w:numId w:val="20"/>
        </w:numPr>
        <w:tabs>
          <w:tab w:val="clear" w:pos="567"/>
        </w:tabs>
        <w:spacing w:before="120"/>
        <w:ind w:left="709" w:hanging="709"/>
        <w:rPr>
          <w:bCs/>
          <w:lang w:val="fr-FR"/>
        </w:rPr>
      </w:pPr>
      <w:r w:rsidRPr="0085773C">
        <w:rPr>
          <w:bCs/>
          <w:lang w:val="fr-FR"/>
        </w:rPr>
        <w:t>La délégation de l</w:t>
      </w:r>
      <w:r w:rsidR="00923E72">
        <w:rPr>
          <w:bCs/>
          <w:lang w:val="fr-FR"/>
        </w:rPr>
        <w:t>’</w:t>
      </w:r>
      <w:r w:rsidRPr="00702497">
        <w:rPr>
          <w:b/>
          <w:lang w:val="fr-FR"/>
        </w:rPr>
        <w:t>Éthiopie</w:t>
      </w:r>
      <w:r w:rsidRPr="0085773C">
        <w:rPr>
          <w:bCs/>
          <w:lang w:val="fr-FR"/>
        </w:rPr>
        <w:t xml:space="preserve"> estimait que le Comité ne disposait pas du mandat nécessaire pour souhaiter ou contraindre un État partie à faire quelque chose, ajoutant qu</w:t>
      </w:r>
      <w:r w:rsidR="00923E72">
        <w:rPr>
          <w:bCs/>
          <w:lang w:val="fr-FR"/>
        </w:rPr>
        <w:t>’</w:t>
      </w:r>
      <w:r w:rsidRPr="0085773C">
        <w:rPr>
          <w:bCs/>
          <w:lang w:val="fr-FR"/>
        </w:rPr>
        <w:t>il serait préférable d</w:t>
      </w:r>
      <w:r w:rsidR="00923E72">
        <w:rPr>
          <w:bCs/>
          <w:lang w:val="fr-FR"/>
        </w:rPr>
        <w:t>’</w:t>
      </w:r>
      <w:r w:rsidRPr="0085773C">
        <w:rPr>
          <w:bCs/>
          <w:lang w:val="fr-FR"/>
        </w:rPr>
        <w:t>adopter le paragraphe en l</w:t>
      </w:r>
      <w:r w:rsidR="00923E72">
        <w:rPr>
          <w:bCs/>
          <w:lang w:val="fr-FR"/>
        </w:rPr>
        <w:t>’</w:t>
      </w:r>
      <w:r w:rsidRPr="0085773C">
        <w:rPr>
          <w:bCs/>
          <w:lang w:val="fr-FR"/>
        </w:rPr>
        <w:t>état, notamment parce que le Comité était parvenu à sa décision à l</w:t>
      </w:r>
      <w:r w:rsidR="00923E72">
        <w:rPr>
          <w:bCs/>
          <w:lang w:val="fr-FR"/>
        </w:rPr>
        <w:t>’</w:t>
      </w:r>
      <w:r w:rsidRPr="0085773C">
        <w:rPr>
          <w:bCs/>
          <w:lang w:val="fr-FR"/>
        </w:rPr>
        <w:t>issue d</w:t>
      </w:r>
      <w:r w:rsidR="00923E72">
        <w:rPr>
          <w:bCs/>
          <w:lang w:val="fr-FR"/>
        </w:rPr>
        <w:t>’</w:t>
      </w:r>
      <w:r w:rsidRPr="0085773C">
        <w:rPr>
          <w:bCs/>
          <w:lang w:val="fr-FR"/>
        </w:rPr>
        <w:t>un long débat et qu</w:t>
      </w:r>
      <w:r w:rsidR="00923E72">
        <w:rPr>
          <w:bCs/>
          <w:lang w:val="fr-FR"/>
        </w:rPr>
        <w:t>’</w:t>
      </w:r>
      <w:r w:rsidRPr="0085773C">
        <w:rPr>
          <w:bCs/>
          <w:lang w:val="fr-FR"/>
        </w:rPr>
        <w:t>il avait disposé du temps nécessaire pour corriger cette situation.</w:t>
      </w:r>
    </w:p>
    <w:p w14:paraId="1BA23F15" w14:textId="3AF97B01" w:rsidR="00D843B7" w:rsidRDefault="00D843B7" w:rsidP="00AA7EE4">
      <w:pPr>
        <w:pStyle w:val="Orateurengris"/>
        <w:numPr>
          <w:ilvl w:val="0"/>
          <w:numId w:val="20"/>
        </w:numPr>
        <w:tabs>
          <w:tab w:val="clear" w:pos="567"/>
        </w:tabs>
        <w:spacing w:before="120"/>
        <w:ind w:left="709" w:hanging="709"/>
        <w:rPr>
          <w:bCs/>
          <w:lang w:val="fr-FR"/>
        </w:rPr>
      </w:pPr>
      <w:r w:rsidRPr="00D843B7">
        <w:rPr>
          <w:bCs/>
          <w:lang w:val="fr-FR"/>
        </w:rPr>
        <w:t xml:space="preserve">Le </w:t>
      </w:r>
      <w:r w:rsidRPr="00702497">
        <w:rPr>
          <w:b/>
          <w:lang w:val="fr-FR"/>
        </w:rPr>
        <w:t>Président</w:t>
      </w:r>
      <w:r w:rsidRPr="00D843B7">
        <w:rPr>
          <w:bCs/>
          <w:lang w:val="fr-FR"/>
        </w:rPr>
        <w:t xml:space="preserve"> a souscrit à cette interprétation en ce qui concerne le mandat du Comité.</w:t>
      </w:r>
    </w:p>
    <w:p w14:paraId="68113238" w14:textId="7F092F10" w:rsidR="0085773C" w:rsidRDefault="0085773C" w:rsidP="00AA7EE4">
      <w:pPr>
        <w:pStyle w:val="Orateurengris"/>
        <w:numPr>
          <w:ilvl w:val="0"/>
          <w:numId w:val="20"/>
        </w:numPr>
        <w:tabs>
          <w:tab w:val="clear" w:pos="567"/>
        </w:tabs>
        <w:spacing w:before="120"/>
        <w:ind w:left="709" w:hanging="709"/>
        <w:rPr>
          <w:bCs/>
          <w:lang w:val="fr-FR"/>
        </w:rPr>
      </w:pPr>
      <w:r w:rsidRPr="0085773C">
        <w:rPr>
          <w:bCs/>
          <w:lang w:val="fr-FR"/>
        </w:rPr>
        <w:t>La délégation de l</w:t>
      </w:r>
      <w:r w:rsidR="00923E72">
        <w:rPr>
          <w:bCs/>
          <w:lang w:val="fr-FR"/>
        </w:rPr>
        <w:t>’</w:t>
      </w:r>
      <w:r w:rsidRPr="00702497">
        <w:rPr>
          <w:b/>
          <w:lang w:val="fr-FR"/>
        </w:rPr>
        <w:t>Allemagne</w:t>
      </w:r>
      <w:r w:rsidRPr="0085773C">
        <w:rPr>
          <w:bCs/>
          <w:lang w:val="fr-FR"/>
        </w:rPr>
        <w:t xml:space="preserve"> comprenait parfaitement qu</w:t>
      </w:r>
      <w:r w:rsidR="00923E72">
        <w:rPr>
          <w:bCs/>
          <w:lang w:val="fr-FR"/>
        </w:rPr>
        <w:t>’</w:t>
      </w:r>
      <w:r w:rsidRPr="0085773C">
        <w:rPr>
          <w:bCs/>
          <w:lang w:val="fr-FR"/>
        </w:rPr>
        <w:t>il ne relevait pas du mandat du Comité d</w:t>
      </w:r>
      <w:r w:rsidR="00923E72">
        <w:rPr>
          <w:bCs/>
          <w:lang w:val="fr-FR"/>
        </w:rPr>
        <w:t>’</w:t>
      </w:r>
      <w:r w:rsidRPr="0085773C">
        <w:rPr>
          <w:bCs/>
          <w:lang w:val="fr-FR"/>
        </w:rPr>
        <w:t>exprimer un souhait après la radiation</w:t>
      </w:r>
      <w:r w:rsidR="00514337">
        <w:rPr>
          <w:bCs/>
          <w:lang w:val="fr-FR"/>
        </w:rPr>
        <w:t xml:space="preserve"> de la Liste</w:t>
      </w:r>
      <w:r w:rsidRPr="0085773C">
        <w:rPr>
          <w:bCs/>
          <w:lang w:val="fr-FR"/>
        </w:rPr>
        <w:t>. Elle soutenait néanmoins la position de la Suisse</w:t>
      </w:r>
      <w:r w:rsidR="00C25B3D">
        <w:rPr>
          <w:bCs/>
          <w:lang w:val="fr-FR"/>
        </w:rPr>
        <w:t>,</w:t>
      </w:r>
      <w:r w:rsidRPr="0085773C">
        <w:rPr>
          <w:bCs/>
          <w:lang w:val="fr-FR"/>
        </w:rPr>
        <w:t xml:space="preserve"> car elle s</w:t>
      </w:r>
      <w:r w:rsidR="00923E72">
        <w:rPr>
          <w:bCs/>
          <w:lang w:val="fr-FR"/>
        </w:rPr>
        <w:t>’</w:t>
      </w:r>
      <w:r w:rsidRPr="0085773C">
        <w:rPr>
          <w:bCs/>
          <w:lang w:val="fr-FR"/>
        </w:rPr>
        <w:t>inscrivait dans la logique exprimée lors de cette session en matière d</w:t>
      </w:r>
      <w:r w:rsidR="00923E72">
        <w:rPr>
          <w:bCs/>
          <w:lang w:val="fr-FR"/>
        </w:rPr>
        <w:t>’</w:t>
      </w:r>
      <w:r w:rsidRPr="0085773C">
        <w:rPr>
          <w:bCs/>
          <w:lang w:val="fr-FR"/>
        </w:rPr>
        <w:t>éthique. Le Comité ne quitterait pas des yeux la Ducasse d</w:t>
      </w:r>
      <w:r w:rsidR="00923E72">
        <w:rPr>
          <w:bCs/>
          <w:lang w:val="fr-FR"/>
        </w:rPr>
        <w:t>’</w:t>
      </w:r>
      <w:r w:rsidRPr="0085773C">
        <w:rPr>
          <w:bCs/>
          <w:lang w:val="fr-FR"/>
        </w:rPr>
        <w:t>Ath et continuerait à observer ce qui se passe. Il ne disposait pas d</w:t>
      </w:r>
      <w:r w:rsidR="00923E72">
        <w:rPr>
          <w:bCs/>
          <w:lang w:val="fr-FR"/>
        </w:rPr>
        <w:t>’</w:t>
      </w:r>
      <w:r w:rsidRPr="0085773C">
        <w:rPr>
          <w:bCs/>
          <w:lang w:val="fr-FR"/>
        </w:rPr>
        <w:t>un mandat lui permettant de demander quelque chose, mais le Comité continuerait néanmoins à s</w:t>
      </w:r>
      <w:r w:rsidR="00923E72">
        <w:rPr>
          <w:bCs/>
          <w:lang w:val="fr-FR"/>
        </w:rPr>
        <w:t>’</w:t>
      </w:r>
      <w:r w:rsidRPr="0085773C">
        <w:rPr>
          <w:bCs/>
          <w:lang w:val="fr-FR"/>
        </w:rPr>
        <w:t xml:space="preserve">intéresser à cet élément, car il ne pouvait pas le laisser de côté. Il ne pouvait pas déléguer sa responsabilité à la Belgique ou à la Wallonie. Le Comité </w:t>
      </w:r>
      <w:r>
        <w:rPr>
          <w:bCs/>
          <w:lang w:val="fr-FR"/>
        </w:rPr>
        <w:t xml:space="preserve">était toujours </w:t>
      </w:r>
      <w:r w:rsidRPr="0085773C">
        <w:rPr>
          <w:bCs/>
          <w:lang w:val="fr-FR"/>
        </w:rPr>
        <w:t>préoccupé par cette question et devait exprimer son désaccord sous la forme d</w:t>
      </w:r>
      <w:r w:rsidR="00923E72">
        <w:rPr>
          <w:bCs/>
          <w:lang w:val="fr-FR"/>
        </w:rPr>
        <w:t>’</w:t>
      </w:r>
      <w:r w:rsidRPr="0085773C">
        <w:rPr>
          <w:bCs/>
          <w:lang w:val="fr-FR"/>
        </w:rPr>
        <w:t>un souhait</w:t>
      </w:r>
      <w:r w:rsidR="00EF61CC">
        <w:rPr>
          <w:bCs/>
          <w:lang w:val="fr-FR"/>
        </w:rPr>
        <w:t>,</w:t>
      </w:r>
      <w:r w:rsidRPr="0085773C">
        <w:rPr>
          <w:bCs/>
          <w:lang w:val="fr-FR"/>
        </w:rPr>
        <w:t xml:space="preserve"> puisq</w:t>
      </w:r>
      <w:r w:rsidR="00EF61CC">
        <w:rPr>
          <w:bCs/>
          <w:lang w:val="fr-FR"/>
        </w:rPr>
        <w:t>u</w:t>
      </w:r>
      <w:r w:rsidR="00923E72">
        <w:rPr>
          <w:bCs/>
          <w:lang w:val="fr-FR"/>
        </w:rPr>
        <w:t>’</w:t>
      </w:r>
      <w:r w:rsidRPr="0085773C">
        <w:rPr>
          <w:bCs/>
          <w:lang w:val="fr-FR"/>
        </w:rPr>
        <w:t>il n</w:t>
      </w:r>
      <w:r w:rsidR="00923E72">
        <w:rPr>
          <w:bCs/>
          <w:lang w:val="fr-FR"/>
        </w:rPr>
        <w:t>’</w:t>
      </w:r>
      <w:r w:rsidRPr="0085773C">
        <w:rPr>
          <w:bCs/>
          <w:lang w:val="fr-FR"/>
        </w:rPr>
        <w:t>y avait pas d</w:t>
      </w:r>
      <w:r w:rsidR="00923E72">
        <w:rPr>
          <w:bCs/>
          <w:lang w:val="fr-FR"/>
        </w:rPr>
        <w:t>’</w:t>
      </w:r>
      <w:r w:rsidRPr="0085773C">
        <w:rPr>
          <w:bCs/>
          <w:lang w:val="fr-FR"/>
        </w:rPr>
        <w:t>autre moyen.</w:t>
      </w:r>
    </w:p>
    <w:p w14:paraId="62D2EDD5" w14:textId="3AF3C820" w:rsidR="0085773C" w:rsidRDefault="00D843B7" w:rsidP="00AA7EE4">
      <w:pPr>
        <w:pStyle w:val="Orateurengris"/>
        <w:numPr>
          <w:ilvl w:val="0"/>
          <w:numId w:val="20"/>
        </w:numPr>
        <w:tabs>
          <w:tab w:val="clear" w:pos="567"/>
        </w:tabs>
        <w:spacing w:before="120"/>
        <w:ind w:left="709" w:hanging="709"/>
        <w:rPr>
          <w:bCs/>
          <w:lang w:val="fr-FR"/>
        </w:rPr>
      </w:pPr>
      <w:r w:rsidRPr="00D843B7">
        <w:rPr>
          <w:bCs/>
          <w:lang w:val="fr-FR"/>
        </w:rPr>
        <w:t xml:space="preserve">Le </w:t>
      </w:r>
      <w:r w:rsidRPr="006E3034">
        <w:rPr>
          <w:b/>
          <w:lang w:val="fr-FR"/>
        </w:rPr>
        <w:t xml:space="preserve">Président </w:t>
      </w:r>
      <w:r w:rsidRPr="00D843B7">
        <w:rPr>
          <w:bCs/>
          <w:lang w:val="fr-FR"/>
        </w:rPr>
        <w:t xml:space="preserve">a noté que </w:t>
      </w:r>
      <w:r w:rsidRPr="006251F1">
        <w:rPr>
          <w:bCs/>
          <w:lang w:val="fr-FR"/>
        </w:rPr>
        <w:t>l</w:t>
      </w:r>
      <w:r w:rsidR="00923E72" w:rsidRPr="006E3034">
        <w:rPr>
          <w:bCs/>
          <w:lang w:val="fr-FR"/>
        </w:rPr>
        <w:t>’</w:t>
      </w:r>
      <w:r w:rsidRPr="006E3034">
        <w:rPr>
          <w:bCs/>
          <w:lang w:val="fr-FR"/>
        </w:rPr>
        <w:t>Allemagne</w:t>
      </w:r>
      <w:r w:rsidRPr="00D843B7">
        <w:rPr>
          <w:bCs/>
          <w:lang w:val="fr-FR"/>
        </w:rPr>
        <w:t xml:space="preserve"> proposait d</w:t>
      </w:r>
      <w:r w:rsidR="00923E72">
        <w:rPr>
          <w:bCs/>
          <w:lang w:val="fr-FR"/>
        </w:rPr>
        <w:t>’</w:t>
      </w:r>
      <w:r w:rsidRPr="00D843B7">
        <w:rPr>
          <w:bCs/>
          <w:lang w:val="fr-FR"/>
        </w:rPr>
        <w:t>adopter le paragraphe</w:t>
      </w:r>
      <w:r>
        <w:rPr>
          <w:bCs/>
          <w:lang w:val="fr-FR"/>
        </w:rPr>
        <w:t> </w:t>
      </w:r>
      <w:r w:rsidRPr="00D843B7">
        <w:rPr>
          <w:bCs/>
          <w:lang w:val="fr-FR"/>
        </w:rPr>
        <w:t>11 en l</w:t>
      </w:r>
      <w:r w:rsidR="00923E72">
        <w:rPr>
          <w:bCs/>
          <w:lang w:val="fr-FR"/>
        </w:rPr>
        <w:t>’</w:t>
      </w:r>
      <w:r w:rsidRPr="00D843B7">
        <w:rPr>
          <w:bCs/>
          <w:lang w:val="fr-FR"/>
        </w:rPr>
        <w:t>état et d</w:t>
      </w:r>
      <w:r w:rsidR="00923E72">
        <w:rPr>
          <w:bCs/>
          <w:lang w:val="fr-FR"/>
        </w:rPr>
        <w:t>’</w:t>
      </w:r>
      <w:r w:rsidRPr="00D843B7">
        <w:rPr>
          <w:bCs/>
          <w:lang w:val="fr-FR"/>
        </w:rPr>
        <w:t>ajouter un autre paragraphe</w:t>
      </w:r>
      <w:r w:rsidR="008F5CA2">
        <w:rPr>
          <w:bCs/>
          <w:lang w:val="fr-FR"/>
        </w:rPr>
        <w:t> </w:t>
      </w:r>
      <w:r w:rsidRPr="00D843B7">
        <w:rPr>
          <w:bCs/>
          <w:lang w:val="fr-FR"/>
        </w:rPr>
        <w:t xml:space="preserve">12 dans lequel le Comité exprimerait ce souhait, comme proposé par la Suisse. Il </w:t>
      </w:r>
      <w:r>
        <w:rPr>
          <w:bCs/>
          <w:lang w:val="fr-FR"/>
        </w:rPr>
        <w:t xml:space="preserve">a </w:t>
      </w:r>
      <w:r w:rsidRPr="00D843B7">
        <w:rPr>
          <w:bCs/>
          <w:lang w:val="fr-FR"/>
        </w:rPr>
        <w:t>d</w:t>
      </w:r>
      <w:r w:rsidR="00923E72">
        <w:rPr>
          <w:bCs/>
          <w:lang w:val="fr-FR"/>
        </w:rPr>
        <w:t>’</w:t>
      </w:r>
      <w:r w:rsidRPr="00D843B7">
        <w:rPr>
          <w:bCs/>
          <w:lang w:val="fr-FR"/>
        </w:rPr>
        <w:t xml:space="preserve">abord </w:t>
      </w:r>
      <w:r>
        <w:rPr>
          <w:bCs/>
          <w:lang w:val="fr-FR"/>
        </w:rPr>
        <w:t>abordé le</w:t>
      </w:r>
      <w:r w:rsidRPr="00D843B7">
        <w:rPr>
          <w:bCs/>
          <w:lang w:val="fr-FR"/>
        </w:rPr>
        <w:t xml:space="preserve"> paragraphe</w:t>
      </w:r>
      <w:r w:rsidR="00C25B3D">
        <w:rPr>
          <w:bCs/>
          <w:lang w:val="fr-FR"/>
        </w:rPr>
        <w:t> </w:t>
      </w:r>
      <w:r w:rsidRPr="00D843B7">
        <w:rPr>
          <w:bCs/>
          <w:lang w:val="fr-FR"/>
        </w:rPr>
        <w:t>11 et</w:t>
      </w:r>
      <w:r>
        <w:rPr>
          <w:bCs/>
          <w:lang w:val="fr-FR"/>
        </w:rPr>
        <w:t xml:space="preserve"> </w:t>
      </w:r>
      <w:r w:rsidRPr="00D843B7">
        <w:rPr>
          <w:bCs/>
          <w:lang w:val="fr-FR"/>
        </w:rPr>
        <w:t xml:space="preserve">la correction de </w:t>
      </w:r>
      <w:r>
        <w:rPr>
          <w:bCs/>
          <w:lang w:val="fr-FR"/>
        </w:rPr>
        <w:t>« </w:t>
      </w:r>
      <w:r w:rsidRPr="00D843B7">
        <w:rPr>
          <w:bCs/>
          <w:lang w:val="fr-FR"/>
        </w:rPr>
        <w:t>la Liste représentative du patrimoine culturel immatériel de l</w:t>
      </w:r>
      <w:r w:rsidR="00923E72">
        <w:rPr>
          <w:bCs/>
          <w:lang w:val="fr-FR"/>
        </w:rPr>
        <w:t>’</w:t>
      </w:r>
      <w:r w:rsidRPr="00D843B7">
        <w:rPr>
          <w:bCs/>
          <w:lang w:val="fr-FR"/>
        </w:rPr>
        <w:t>humanité</w:t>
      </w:r>
      <w:r>
        <w:rPr>
          <w:bCs/>
          <w:lang w:val="fr-FR"/>
        </w:rPr>
        <w:t> »</w:t>
      </w:r>
      <w:r w:rsidRPr="00D843B7">
        <w:rPr>
          <w:bCs/>
          <w:lang w:val="fr-FR"/>
        </w:rPr>
        <w:t>. En l</w:t>
      </w:r>
      <w:r w:rsidR="00923E72">
        <w:rPr>
          <w:bCs/>
          <w:lang w:val="fr-FR"/>
        </w:rPr>
        <w:t>’</w:t>
      </w:r>
      <w:r w:rsidRPr="00D843B7">
        <w:rPr>
          <w:bCs/>
          <w:lang w:val="fr-FR"/>
        </w:rPr>
        <w:t>absence d</w:t>
      </w:r>
      <w:r w:rsidR="00923E72">
        <w:rPr>
          <w:bCs/>
          <w:lang w:val="fr-FR"/>
        </w:rPr>
        <w:t>’</w:t>
      </w:r>
      <w:r w:rsidRPr="00D843B7">
        <w:rPr>
          <w:bCs/>
          <w:lang w:val="fr-FR"/>
        </w:rPr>
        <w:t>objection, le paragraphe</w:t>
      </w:r>
      <w:r w:rsidR="00C25B3D">
        <w:rPr>
          <w:bCs/>
          <w:lang w:val="fr-FR"/>
        </w:rPr>
        <w:t> </w:t>
      </w:r>
      <w:r w:rsidRPr="00D843B7">
        <w:rPr>
          <w:bCs/>
          <w:lang w:val="fr-FR"/>
        </w:rPr>
        <w:t xml:space="preserve">11 a été dûment adopté. Le Président </w:t>
      </w:r>
      <w:r>
        <w:rPr>
          <w:bCs/>
          <w:lang w:val="fr-FR"/>
        </w:rPr>
        <w:t xml:space="preserve">a </w:t>
      </w:r>
      <w:r w:rsidRPr="00D843B7">
        <w:rPr>
          <w:bCs/>
          <w:lang w:val="fr-FR"/>
        </w:rPr>
        <w:t>invit</w:t>
      </w:r>
      <w:r>
        <w:rPr>
          <w:bCs/>
          <w:lang w:val="fr-FR"/>
        </w:rPr>
        <w:t>é</w:t>
      </w:r>
      <w:r w:rsidRPr="00D843B7">
        <w:rPr>
          <w:bCs/>
          <w:lang w:val="fr-FR"/>
        </w:rPr>
        <w:t xml:space="preserve"> la Suisse à présenter son amendement.</w:t>
      </w:r>
    </w:p>
    <w:p w14:paraId="192E0F94" w14:textId="3551460C" w:rsidR="00D843B7" w:rsidRDefault="00D843B7" w:rsidP="00AA7EE4">
      <w:pPr>
        <w:pStyle w:val="Orateurengris"/>
        <w:numPr>
          <w:ilvl w:val="0"/>
          <w:numId w:val="20"/>
        </w:numPr>
        <w:tabs>
          <w:tab w:val="clear" w:pos="567"/>
        </w:tabs>
        <w:spacing w:before="120"/>
        <w:ind w:left="709" w:hanging="709"/>
        <w:rPr>
          <w:bCs/>
          <w:lang w:val="fr-FR"/>
        </w:rPr>
      </w:pPr>
      <w:r>
        <w:rPr>
          <w:bCs/>
          <w:lang w:val="fr-FR"/>
        </w:rPr>
        <w:t xml:space="preserve">La </w:t>
      </w:r>
      <w:r w:rsidRPr="00D843B7">
        <w:rPr>
          <w:bCs/>
          <w:lang w:val="fr-FR"/>
        </w:rPr>
        <w:t>délégation</w:t>
      </w:r>
      <w:r>
        <w:rPr>
          <w:bCs/>
          <w:lang w:val="fr-FR"/>
        </w:rPr>
        <w:t xml:space="preserve"> de la </w:t>
      </w:r>
      <w:r w:rsidRPr="00702497">
        <w:rPr>
          <w:b/>
          <w:lang w:val="fr-FR"/>
        </w:rPr>
        <w:t>Suisse</w:t>
      </w:r>
      <w:r>
        <w:rPr>
          <w:bCs/>
          <w:lang w:val="fr-FR"/>
        </w:rPr>
        <w:t xml:space="preserve"> proposait un </w:t>
      </w:r>
      <w:r w:rsidRPr="00D843B7">
        <w:rPr>
          <w:bCs/>
          <w:lang w:val="fr-FR"/>
        </w:rPr>
        <w:t>paragraphe</w:t>
      </w:r>
      <w:r>
        <w:rPr>
          <w:bCs/>
          <w:lang w:val="fr-FR"/>
        </w:rPr>
        <w:t> 12</w:t>
      </w:r>
      <w:r w:rsidR="00231DCF">
        <w:rPr>
          <w:bCs/>
          <w:lang w:val="fr-FR"/>
        </w:rPr>
        <w:t xml:space="preserve">, </w:t>
      </w:r>
      <w:r>
        <w:rPr>
          <w:bCs/>
          <w:lang w:val="fr-FR"/>
        </w:rPr>
        <w:t xml:space="preserve">qui serait ainsi rédigé : « Exprime néanmoins le vif souhait que le personnage du </w:t>
      </w:r>
      <w:r w:rsidR="00C25B3D">
        <w:rPr>
          <w:bCs/>
          <w:lang w:val="fr-FR"/>
        </w:rPr>
        <w:t>"</w:t>
      </w:r>
      <w:r>
        <w:rPr>
          <w:bCs/>
          <w:lang w:val="fr-FR"/>
        </w:rPr>
        <w:t> Sauvage </w:t>
      </w:r>
      <w:r w:rsidR="00C25B3D">
        <w:rPr>
          <w:bCs/>
          <w:lang w:val="fr-FR"/>
        </w:rPr>
        <w:t>"</w:t>
      </w:r>
      <w:r>
        <w:rPr>
          <w:bCs/>
          <w:lang w:val="fr-FR"/>
        </w:rPr>
        <w:t xml:space="preserve"> soit retiré de la</w:t>
      </w:r>
      <w:r w:rsidR="00514337">
        <w:rPr>
          <w:bCs/>
          <w:lang w:val="fr-FR"/>
        </w:rPr>
        <w:t xml:space="preserve"> </w:t>
      </w:r>
      <w:r>
        <w:rPr>
          <w:bCs/>
          <w:lang w:val="fr-FR"/>
        </w:rPr>
        <w:t>Ducasse d</w:t>
      </w:r>
      <w:r w:rsidR="00923E72">
        <w:rPr>
          <w:bCs/>
          <w:lang w:val="fr-FR"/>
        </w:rPr>
        <w:t>’</w:t>
      </w:r>
      <w:r>
        <w:rPr>
          <w:bCs/>
          <w:lang w:val="fr-FR"/>
        </w:rPr>
        <w:t>Ath</w:t>
      </w:r>
      <w:r w:rsidR="0090417B">
        <w:rPr>
          <w:bCs/>
          <w:lang w:val="fr-FR"/>
        </w:rPr>
        <w:t>.</w:t>
      </w:r>
      <w:r>
        <w:rPr>
          <w:bCs/>
          <w:lang w:val="fr-FR"/>
        </w:rPr>
        <w:t> »</w:t>
      </w:r>
    </w:p>
    <w:p w14:paraId="122095E2" w14:textId="600C2451" w:rsidR="00F71C63" w:rsidRDefault="00F71C63" w:rsidP="00AA7EE4">
      <w:pPr>
        <w:pStyle w:val="Orateurengris"/>
        <w:numPr>
          <w:ilvl w:val="0"/>
          <w:numId w:val="20"/>
        </w:numPr>
        <w:tabs>
          <w:tab w:val="clear" w:pos="567"/>
        </w:tabs>
        <w:spacing w:before="120"/>
        <w:ind w:left="709" w:hanging="709"/>
        <w:rPr>
          <w:bCs/>
          <w:lang w:val="fr-FR"/>
        </w:rPr>
      </w:pPr>
      <w:r w:rsidRPr="00F71C63">
        <w:rPr>
          <w:bCs/>
          <w:lang w:val="fr-FR"/>
        </w:rPr>
        <w:t xml:space="preserve">La délégation de la </w:t>
      </w:r>
      <w:r w:rsidRPr="00702497">
        <w:rPr>
          <w:b/>
          <w:lang w:val="fr-FR"/>
        </w:rPr>
        <w:t>Côte</w:t>
      </w:r>
      <w:r>
        <w:rPr>
          <w:b/>
          <w:lang w:val="fr-FR"/>
        </w:rPr>
        <w:t> </w:t>
      </w:r>
      <w:r w:rsidRPr="00702497">
        <w:rPr>
          <w:b/>
          <w:lang w:val="fr-FR"/>
        </w:rPr>
        <w:t>d</w:t>
      </w:r>
      <w:r w:rsidR="00923E72">
        <w:rPr>
          <w:b/>
          <w:lang w:val="fr-FR"/>
        </w:rPr>
        <w:t>’</w:t>
      </w:r>
      <w:r w:rsidRPr="00702497">
        <w:rPr>
          <w:b/>
          <w:lang w:val="fr-FR"/>
        </w:rPr>
        <w:t>Ivoire</w:t>
      </w:r>
      <w:r w:rsidRPr="00F71C63">
        <w:rPr>
          <w:bCs/>
          <w:lang w:val="fr-FR"/>
        </w:rPr>
        <w:t xml:space="preserve"> estimait que le vif désir de retirer ce personnage n</w:t>
      </w:r>
      <w:r w:rsidR="00923E72">
        <w:rPr>
          <w:bCs/>
          <w:lang w:val="fr-FR"/>
        </w:rPr>
        <w:t>’</w:t>
      </w:r>
      <w:r w:rsidRPr="00F71C63">
        <w:rPr>
          <w:bCs/>
          <w:lang w:val="fr-FR"/>
        </w:rPr>
        <w:t xml:space="preserve">était pas clair, et souhaitait ajouter </w:t>
      </w:r>
      <w:r>
        <w:rPr>
          <w:bCs/>
          <w:lang w:val="fr-FR"/>
        </w:rPr>
        <w:t xml:space="preserve">« dans la </w:t>
      </w:r>
      <w:r w:rsidRPr="00F71C63">
        <w:rPr>
          <w:bCs/>
          <w:lang w:val="fr-FR"/>
        </w:rPr>
        <w:t>perspective</w:t>
      </w:r>
      <w:r>
        <w:rPr>
          <w:bCs/>
          <w:lang w:val="fr-FR"/>
        </w:rPr>
        <w:t xml:space="preserve"> </w:t>
      </w:r>
      <w:r w:rsidRPr="00F71C63">
        <w:rPr>
          <w:bCs/>
          <w:lang w:val="fr-FR"/>
        </w:rPr>
        <w:t>d</w:t>
      </w:r>
      <w:r w:rsidR="00923E72">
        <w:rPr>
          <w:bCs/>
          <w:lang w:val="fr-FR"/>
        </w:rPr>
        <w:t>’</w:t>
      </w:r>
      <w:r w:rsidRPr="00F71C63">
        <w:rPr>
          <w:bCs/>
          <w:lang w:val="fr-FR"/>
        </w:rPr>
        <w:t>une nouvelle demande d</w:t>
      </w:r>
      <w:r w:rsidR="00923E72">
        <w:rPr>
          <w:bCs/>
          <w:lang w:val="fr-FR"/>
        </w:rPr>
        <w:t>’</w:t>
      </w:r>
      <w:r w:rsidRPr="00F71C63">
        <w:rPr>
          <w:bCs/>
          <w:lang w:val="fr-FR"/>
        </w:rPr>
        <w:t>extension</w:t>
      </w:r>
      <w:r>
        <w:rPr>
          <w:bCs/>
          <w:lang w:val="fr-FR"/>
        </w:rPr>
        <w:t xml:space="preserve"> » à la fin du </w:t>
      </w:r>
      <w:r w:rsidRPr="00F71C63">
        <w:rPr>
          <w:bCs/>
          <w:lang w:val="fr-FR"/>
        </w:rPr>
        <w:t>paragraphe.</w:t>
      </w:r>
    </w:p>
    <w:p w14:paraId="7C47BB2A" w14:textId="60E6FDE2" w:rsidR="00F71C63" w:rsidRDefault="005953FC" w:rsidP="00AA7EE4">
      <w:pPr>
        <w:pStyle w:val="Orateurengris"/>
        <w:numPr>
          <w:ilvl w:val="0"/>
          <w:numId w:val="20"/>
        </w:numPr>
        <w:tabs>
          <w:tab w:val="clear" w:pos="567"/>
        </w:tabs>
        <w:spacing w:before="120"/>
        <w:ind w:left="709" w:hanging="709"/>
        <w:rPr>
          <w:bCs/>
          <w:lang w:val="fr-FR"/>
        </w:rPr>
      </w:pPr>
      <w:r w:rsidRPr="005953FC">
        <w:rPr>
          <w:bCs/>
          <w:lang w:val="fr-FR"/>
        </w:rPr>
        <w:t xml:space="preserve">Le </w:t>
      </w:r>
      <w:r w:rsidRPr="00702497">
        <w:rPr>
          <w:b/>
          <w:lang w:val="fr-FR"/>
        </w:rPr>
        <w:t>Conseiller juridique</w:t>
      </w:r>
      <w:r w:rsidRPr="005953FC">
        <w:rPr>
          <w:bCs/>
          <w:lang w:val="fr-FR"/>
        </w:rPr>
        <w:t xml:space="preserve"> n</w:t>
      </w:r>
      <w:r w:rsidR="00923E72">
        <w:rPr>
          <w:bCs/>
          <w:lang w:val="fr-FR"/>
        </w:rPr>
        <w:t>’</w:t>
      </w:r>
      <w:r w:rsidRPr="005953FC">
        <w:rPr>
          <w:bCs/>
          <w:lang w:val="fr-FR"/>
        </w:rPr>
        <w:t>avait pas d</w:t>
      </w:r>
      <w:r w:rsidR="00923E72">
        <w:rPr>
          <w:bCs/>
          <w:lang w:val="fr-FR"/>
        </w:rPr>
        <w:t>’</w:t>
      </w:r>
      <w:r w:rsidRPr="005953FC">
        <w:rPr>
          <w:bCs/>
          <w:lang w:val="fr-FR"/>
        </w:rPr>
        <w:t>avis juridique spécifique sur la proposition. C</w:t>
      </w:r>
      <w:r w:rsidR="00923E72">
        <w:rPr>
          <w:bCs/>
          <w:lang w:val="fr-FR"/>
        </w:rPr>
        <w:t>’</w:t>
      </w:r>
      <w:r w:rsidRPr="005953FC">
        <w:rPr>
          <w:bCs/>
          <w:lang w:val="fr-FR"/>
        </w:rPr>
        <w:t>était une question basée sur l</w:t>
      </w:r>
      <w:r w:rsidR="00923E72">
        <w:rPr>
          <w:bCs/>
          <w:lang w:val="fr-FR"/>
        </w:rPr>
        <w:t>’</w:t>
      </w:r>
      <w:r w:rsidRPr="005953FC">
        <w:rPr>
          <w:bCs/>
          <w:lang w:val="fr-FR"/>
        </w:rPr>
        <w:t>intention du Comité, c</w:t>
      </w:r>
      <w:r w:rsidR="00923E72">
        <w:rPr>
          <w:bCs/>
          <w:lang w:val="fr-FR"/>
        </w:rPr>
        <w:t>’</w:t>
      </w:r>
      <w:r w:rsidRPr="005953FC">
        <w:rPr>
          <w:bCs/>
          <w:lang w:val="fr-FR"/>
        </w:rPr>
        <w:t>est-à-dire ce que le Comité entendait souligner avec ce paragraphe. Si, à un moment donné, le Comité et l</w:t>
      </w:r>
      <w:r w:rsidR="00923E72">
        <w:rPr>
          <w:bCs/>
          <w:lang w:val="fr-FR"/>
        </w:rPr>
        <w:t>’</w:t>
      </w:r>
      <w:r w:rsidRPr="005953FC">
        <w:rPr>
          <w:bCs/>
          <w:lang w:val="fr-FR"/>
        </w:rPr>
        <w:t>État partie souhaitaient demander une extension, il s</w:t>
      </w:r>
      <w:r w:rsidR="00923E72">
        <w:rPr>
          <w:bCs/>
          <w:lang w:val="fr-FR"/>
        </w:rPr>
        <w:t>’</w:t>
      </w:r>
      <w:r w:rsidRPr="005953FC">
        <w:rPr>
          <w:bCs/>
          <w:lang w:val="fr-FR"/>
        </w:rPr>
        <w:t>agirait d</w:t>
      </w:r>
      <w:r w:rsidR="00923E72">
        <w:rPr>
          <w:bCs/>
          <w:lang w:val="fr-FR"/>
        </w:rPr>
        <w:t>’</w:t>
      </w:r>
      <w:r w:rsidRPr="005953FC">
        <w:rPr>
          <w:bCs/>
          <w:lang w:val="fr-FR"/>
        </w:rPr>
        <w:t>une question distincte.</w:t>
      </w:r>
    </w:p>
    <w:p w14:paraId="79761264" w14:textId="6D11BC22" w:rsidR="005953FC" w:rsidRDefault="005953FC" w:rsidP="00AA7EE4">
      <w:pPr>
        <w:pStyle w:val="Orateurengris"/>
        <w:numPr>
          <w:ilvl w:val="0"/>
          <w:numId w:val="20"/>
        </w:numPr>
        <w:tabs>
          <w:tab w:val="clear" w:pos="567"/>
        </w:tabs>
        <w:spacing w:before="120"/>
        <w:ind w:left="709" w:hanging="709"/>
        <w:rPr>
          <w:bCs/>
          <w:lang w:val="fr-FR"/>
        </w:rPr>
      </w:pPr>
      <w:r w:rsidRPr="005953FC">
        <w:rPr>
          <w:bCs/>
          <w:lang w:val="fr-FR"/>
        </w:rPr>
        <w:lastRenderedPageBreak/>
        <w:t xml:space="preserve">Le </w:t>
      </w:r>
      <w:r w:rsidRPr="00702497">
        <w:rPr>
          <w:b/>
          <w:lang w:val="fr-FR"/>
        </w:rPr>
        <w:t>Président</w:t>
      </w:r>
      <w:r w:rsidRPr="005953FC">
        <w:rPr>
          <w:bCs/>
          <w:lang w:val="fr-FR"/>
        </w:rPr>
        <w:t xml:space="preserve"> souscrivait pleinement à l</w:t>
      </w:r>
      <w:r w:rsidR="00923E72">
        <w:rPr>
          <w:bCs/>
          <w:lang w:val="fr-FR"/>
        </w:rPr>
        <w:t>’</w:t>
      </w:r>
      <w:r w:rsidRPr="005953FC">
        <w:rPr>
          <w:bCs/>
          <w:lang w:val="fr-FR"/>
        </w:rPr>
        <w:t>avis du Conseiller juridique. Ce paragraphe, tel que formulé par la Suisse, avait saisi l</w:t>
      </w:r>
      <w:r w:rsidR="00923E72">
        <w:rPr>
          <w:bCs/>
          <w:lang w:val="fr-FR"/>
        </w:rPr>
        <w:t>’</w:t>
      </w:r>
      <w:r w:rsidRPr="005953FC">
        <w:rPr>
          <w:bCs/>
          <w:lang w:val="fr-FR"/>
        </w:rPr>
        <w:t>esprit du Comité dans cette décision sans entrer dans d</w:t>
      </w:r>
      <w:r w:rsidR="00923E72">
        <w:rPr>
          <w:bCs/>
          <w:lang w:val="fr-FR"/>
        </w:rPr>
        <w:t>’</w:t>
      </w:r>
      <w:r w:rsidRPr="005953FC">
        <w:rPr>
          <w:bCs/>
          <w:lang w:val="fr-FR"/>
        </w:rPr>
        <w:t>autres considérations. En outre, le Comité n</w:t>
      </w:r>
      <w:r w:rsidR="00923E72">
        <w:rPr>
          <w:bCs/>
          <w:lang w:val="fr-FR"/>
        </w:rPr>
        <w:t>’</w:t>
      </w:r>
      <w:r w:rsidRPr="005953FC">
        <w:rPr>
          <w:bCs/>
          <w:lang w:val="fr-FR"/>
        </w:rPr>
        <w:t>avait pas le droit de devancer une situation, et il fallait également laisser à l</w:t>
      </w:r>
      <w:r w:rsidR="00923E72">
        <w:rPr>
          <w:bCs/>
          <w:lang w:val="fr-FR"/>
        </w:rPr>
        <w:t>’</w:t>
      </w:r>
      <w:r w:rsidRPr="005953FC">
        <w:rPr>
          <w:bCs/>
          <w:lang w:val="fr-FR"/>
        </w:rPr>
        <w:t>État soumissionnaire le soin de tenir compte de la décision du Comité.</w:t>
      </w:r>
    </w:p>
    <w:p w14:paraId="1E3FD4B5" w14:textId="62222CFA" w:rsidR="00E50BD6" w:rsidRDefault="00E50BD6" w:rsidP="00AA7EE4">
      <w:pPr>
        <w:pStyle w:val="Orateurengris"/>
        <w:numPr>
          <w:ilvl w:val="0"/>
          <w:numId w:val="20"/>
        </w:numPr>
        <w:tabs>
          <w:tab w:val="clear" w:pos="567"/>
        </w:tabs>
        <w:spacing w:before="120"/>
        <w:ind w:left="709" w:hanging="709"/>
        <w:rPr>
          <w:bCs/>
          <w:lang w:val="fr-FR"/>
        </w:rPr>
      </w:pPr>
      <w:r>
        <w:rPr>
          <w:bCs/>
          <w:lang w:val="fr-FR"/>
        </w:rPr>
        <w:t xml:space="preserve">La </w:t>
      </w:r>
      <w:r w:rsidRPr="00E50BD6">
        <w:rPr>
          <w:bCs/>
          <w:lang w:val="fr-FR"/>
        </w:rPr>
        <w:t>délégation</w:t>
      </w:r>
      <w:r>
        <w:rPr>
          <w:bCs/>
          <w:lang w:val="fr-FR"/>
        </w:rPr>
        <w:t xml:space="preserve"> de l</w:t>
      </w:r>
      <w:r w:rsidR="00923E72">
        <w:rPr>
          <w:bCs/>
          <w:lang w:val="fr-FR"/>
        </w:rPr>
        <w:t>’</w:t>
      </w:r>
      <w:r w:rsidRPr="00702497">
        <w:rPr>
          <w:b/>
          <w:lang w:val="fr-FR"/>
        </w:rPr>
        <w:t>Éthiopie</w:t>
      </w:r>
      <w:r>
        <w:rPr>
          <w:bCs/>
          <w:lang w:val="fr-FR"/>
        </w:rPr>
        <w:t xml:space="preserve"> a demandé à la Suisse d</w:t>
      </w:r>
      <w:r w:rsidR="00923E72">
        <w:rPr>
          <w:bCs/>
          <w:lang w:val="fr-FR"/>
        </w:rPr>
        <w:t>’</w:t>
      </w:r>
      <w:r>
        <w:rPr>
          <w:bCs/>
          <w:lang w:val="fr-FR"/>
        </w:rPr>
        <w:t>expliquer le « vif souhait » s</w:t>
      </w:r>
      <w:r w:rsidR="00923E72">
        <w:rPr>
          <w:bCs/>
          <w:lang w:val="fr-FR"/>
        </w:rPr>
        <w:t>’</w:t>
      </w:r>
      <w:r>
        <w:rPr>
          <w:bCs/>
          <w:lang w:val="fr-FR"/>
        </w:rPr>
        <w:t>agissant du personnage et de préciser ce que cela impliquait et quel était le message véritable adressé à la Belgique.</w:t>
      </w:r>
    </w:p>
    <w:p w14:paraId="6EE7C1A4" w14:textId="515FC8B4" w:rsidR="00E50BD6" w:rsidRDefault="00E50BD6" w:rsidP="00E50BD6">
      <w:pPr>
        <w:pStyle w:val="Orateurengris"/>
        <w:numPr>
          <w:ilvl w:val="0"/>
          <w:numId w:val="20"/>
        </w:numPr>
        <w:tabs>
          <w:tab w:val="clear" w:pos="567"/>
          <w:tab w:val="left" w:pos="5954"/>
        </w:tabs>
        <w:spacing w:before="120"/>
        <w:ind w:left="709" w:hanging="709"/>
        <w:rPr>
          <w:bCs/>
          <w:lang w:val="fr-FR"/>
        </w:rPr>
      </w:pPr>
      <w:r w:rsidRPr="00E50BD6">
        <w:rPr>
          <w:bCs/>
          <w:lang w:val="fr-FR"/>
        </w:rPr>
        <w:t xml:space="preserve">La délégation de la </w:t>
      </w:r>
      <w:r w:rsidRPr="00702497">
        <w:rPr>
          <w:b/>
          <w:lang w:val="fr-FR"/>
        </w:rPr>
        <w:t>Suisse</w:t>
      </w:r>
      <w:r w:rsidRPr="00E50BD6">
        <w:rPr>
          <w:bCs/>
          <w:lang w:val="fr-FR"/>
        </w:rPr>
        <w:t xml:space="preserve"> a expliqué que l</w:t>
      </w:r>
      <w:r w:rsidR="00923E72">
        <w:rPr>
          <w:bCs/>
          <w:lang w:val="fr-FR"/>
        </w:rPr>
        <w:t>’</w:t>
      </w:r>
      <w:r w:rsidRPr="00E50BD6">
        <w:rPr>
          <w:bCs/>
          <w:lang w:val="fr-FR"/>
        </w:rPr>
        <w:t xml:space="preserve">intention était de </w:t>
      </w:r>
      <w:r w:rsidR="00514337">
        <w:rPr>
          <w:bCs/>
          <w:lang w:val="fr-FR"/>
        </w:rPr>
        <w:t xml:space="preserve">pouvoir </w:t>
      </w:r>
      <w:r>
        <w:rPr>
          <w:bCs/>
          <w:lang w:val="fr-FR"/>
        </w:rPr>
        <w:t>« </w:t>
      </w:r>
      <w:r w:rsidRPr="00E50BD6">
        <w:rPr>
          <w:bCs/>
          <w:lang w:val="fr-FR"/>
        </w:rPr>
        <w:t>demander</w:t>
      </w:r>
      <w:r>
        <w:rPr>
          <w:bCs/>
          <w:lang w:val="fr-FR"/>
        </w:rPr>
        <w:t> »</w:t>
      </w:r>
      <w:r w:rsidRPr="00E50BD6">
        <w:rPr>
          <w:bCs/>
          <w:lang w:val="fr-FR"/>
        </w:rPr>
        <w:t xml:space="preserve"> aux autorités belges de retirer la partie </w:t>
      </w:r>
      <w:r w:rsidR="00662BE0">
        <w:rPr>
          <w:bCs/>
          <w:lang w:val="fr-FR"/>
        </w:rPr>
        <w:t>« </w:t>
      </w:r>
      <w:r w:rsidRPr="00E50BD6">
        <w:rPr>
          <w:bCs/>
          <w:lang w:val="fr-FR"/>
        </w:rPr>
        <w:t>Ducasse d</w:t>
      </w:r>
      <w:r w:rsidR="00923E72">
        <w:rPr>
          <w:bCs/>
          <w:lang w:val="fr-FR"/>
        </w:rPr>
        <w:t>’</w:t>
      </w:r>
      <w:r w:rsidRPr="00E50BD6">
        <w:rPr>
          <w:bCs/>
          <w:lang w:val="fr-FR"/>
        </w:rPr>
        <w:t>Ath</w:t>
      </w:r>
      <w:r w:rsidR="00662BE0">
        <w:rPr>
          <w:bCs/>
          <w:lang w:val="fr-FR"/>
        </w:rPr>
        <w:t> »</w:t>
      </w:r>
      <w:r w:rsidRPr="00E50BD6">
        <w:rPr>
          <w:bCs/>
          <w:lang w:val="fr-FR"/>
        </w:rPr>
        <w:t xml:space="preserve"> de l</w:t>
      </w:r>
      <w:r w:rsidR="00923E72">
        <w:rPr>
          <w:bCs/>
          <w:lang w:val="fr-FR"/>
        </w:rPr>
        <w:t>’</w:t>
      </w:r>
      <w:r w:rsidRPr="00E50BD6">
        <w:rPr>
          <w:bCs/>
          <w:lang w:val="fr-FR"/>
        </w:rPr>
        <w:t>élément</w:t>
      </w:r>
      <w:r>
        <w:rPr>
          <w:bCs/>
          <w:lang w:val="fr-FR"/>
        </w:rPr>
        <w:t>,</w:t>
      </w:r>
      <w:r w:rsidRPr="00E50BD6">
        <w:rPr>
          <w:bCs/>
          <w:lang w:val="fr-FR"/>
        </w:rPr>
        <w:t xml:space="preserve"> car le Comité n</w:t>
      </w:r>
      <w:r w:rsidR="00923E72">
        <w:rPr>
          <w:bCs/>
          <w:lang w:val="fr-FR"/>
        </w:rPr>
        <w:t>’</w:t>
      </w:r>
      <w:r w:rsidRPr="00E50BD6">
        <w:rPr>
          <w:bCs/>
          <w:lang w:val="fr-FR"/>
        </w:rPr>
        <w:t>avait plus la possibilité de demander à l</w:t>
      </w:r>
      <w:r w:rsidR="00923E72">
        <w:rPr>
          <w:bCs/>
          <w:lang w:val="fr-FR"/>
        </w:rPr>
        <w:t>’</w:t>
      </w:r>
      <w:r w:rsidRPr="00E50BD6">
        <w:rPr>
          <w:bCs/>
          <w:lang w:val="fr-FR"/>
        </w:rPr>
        <w:t xml:space="preserve">État partie de faire quelque chose. Pour cette raison, la formulation choisie </w:t>
      </w:r>
      <w:r>
        <w:rPr>
          <w:bCs/>
          <w:lang w:val="fr-FR"/>
        </w:rPr>
        <w:t>était</w:t>
      </w:r>
      <w:r w:rsidRPr="00E50BD6">
        <w:rPr>
          <w:bCs/>
          <w:lang w:val="fr-FR"/>
        </w:rPr>
        <w:t xml:space="preserve"> celle d</w:t>
      </w:r>
      <w:r w:rsidR="00923E72">
        <w:rPr>
          <w:bCs/>
          <w:lang w:val="fr-FR"/>
        </w:rPr>
        <w:t>’</w:t>
      </w:r>
      <w:r w:rsidRPr="00E50BD6">
        <w:rPr>
          <w:bCs/>
          <w:lang w:val="fr-FR"/>
        </w:rPr>
        <w:t xml:space="preserve">un </w:t>
      </w:r>
      <w:r>
        <w:rPr>
          <w:bCs/>
          <w:lang w:val="fr-FR"/>
        </w:rPr>
        <w:t xml:space="preserve">très fort </w:t>
      </w:r>
      <w:r w:rsidRPr="00E50BD6">
        <w:rPr>
          <w:bCs/>
          <w:lang w:val="fr-FR"/>
        </w:rPr>
        <w:t>souhait</w:t>
      </w:r>
      <w:r>
        <w:rPr>
          <w:bCs/>
          <w:lang w:val="fr-FR"/>
        </w:rPr>
        <w:t>.</w:t>
      </w:r>
      <w:r w:rsidRPr="00E50BD6">
        <w:rPr>
          <w:bCs/>
          <w:lang w:val="fr-FR"/>
        </w:rPr>
        <w:t xml:space="preserve"> La délégation était ouverte à une meilleure formulation conforme au cadre juridique, mais a estimé que </w:t>
      </w:r>
      <w:r>
        <w:rPr>
          <w:bCs/>
          <w:lang w:val="fr-FR"/>
        </w:rPr>
        <w:t xml:space="preserve">« vif </w:t>
      </w:r>
      <w:r w:rsidRPr="00E50BD6">
        <w:rPr>
          <w:bCs/>
          <w:lang w:val="fr-FR"/>
        </w:rPr>
        <w:t>souhait</w:t>
      </w:r>
      <w:r>
        <w:rPr>
          <w:bCs/>
          <w:lang w:val="fr-FR"/>
        </w:rPr>
        <w:t> »</w:t>
      </w:r>
      <w:r w:rsidRPr="00E50BD6">
        <w:rPr>
          <w:bCs/>
          <w:lang w:val="fr-FR"/>
        </w:rPr>
        <w:t xml:space="preserve"> était la formulation la plus forte possible pour exprimer son désir de voir cet élément retiré.</w:t>
      </w:r>
    </w:p>
    <w:p w14:paraId="7F0758B1" w14:textId="62A380EC" w:rsidR="000A0A57" w:rsidRDefault="00514337" w:rsidP="000A0A57">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signalé que le </w:t>
      </w:r>
      <w:r w:rsidRPr="00514337">
        <w:rPr>
          <w:bCs/>
          <w:lang w:val="fr-FR"/>
        </w:rPr>
        <w:t>Secrétaire</w:t>
      </w:r>
      <w:r>
        <w:rPr>
          <w:bCs/>
          <w:lang w:val="fr-FR"/>
        </w:rPr>
        <w:t xml:space="preserve"> suggérait </w:t>
      </w:r>
      <w:r w:rsidR="000A0A57">
        <w:rPr>
          <w:bCs/>
          <w:lang w:val="fr-FR"/>
        </w:rPr>
        <w:t>« prie instamment », mais il n</w:t>
      </w:r>
      <w:r w:rsidR="00923E72">
        <w:rPr>
          <w:bCs/>
          <w:lang w:val="fr-FR"/>
        </w:rPr>
        <w:t>’</w:t>
      </w:r>
      <w:r w:rsidR="000A0A57">
        <w:rPr>
          <w:bCs/>
          <w:lang w:val="fr-FR"/>
        </w:rPr>
        <w:t>était pas certain que cela saisisse bien le sentiment général du Comité.</w:t>
      </w:r>
    </w:p>
    <w:p w14:paraId="5FFD1ABB" w14:textId="4F174CE3" w:rsidR="000A0A57" w:rsidRDefault="000A0A57" w:rsidP="000A0A57">
      <w:pPr>
        <w:pStyle w:val="Orateurengris"/>
        <w:numPr>
          <w:ilvl w:val="0"/>
          <w:numId w:val="20"/>
        </w:numPr>
        <w:tabs>
          <w:tab w:val="clear" w:pos="567"/>
          <w:tab w:val="left" w:pos="5954"/>
        </w:tabs>
        <w:spacing w:before="120"/>
        <w:ind w:left="709" w:hanging="709"/>
        <w:rPr>
          <w:bCs/>
          <w:lang w:val="fr-FR"/>
        </w:rPr>
      </w:pPr>
      <w:r>
        <w:rPr>
          <w:bCs/>
          <w:lang w:val="fr-FR"/>
        </w:rPr>
        <w:t xml:space="preserve">La </w:t>
      </w:r>
      <w:r w:rsidRPr="000A0A57">
        <w:rPr>
          <w:bCs/>
          <w:lang w:val="fr-FR"/>
        </w:rPr>
        <w:t>délégation</w:t>
      </w:r>
      <w:r>
        <w:rPr>
          <w:bCs/>
          <w:lang w:val="fr-FR"/>
        </w:rPr>
        <w:t xml:space="preserve"> de l</w:t>
      </w:r>
      <w:r w:rsidR="00923E72">
        <w:rPr>
          <w:bCs/>
          <w:lang w:val="fr-FR"/>
        </w:rPr>
        <w:t>’</w:t>
      </w:r>
      <w:r w:rsidRPr="00702497">
        <w:rPr>
          <w:b/>
          <w:lang w:val="fr-FR"/>
        </w:rPr>
        <w:t>Éthiopie</w:t>
      </w:r>
      <w:r>
        <w:rPr>
          <w:bCs/>
          <w:lang w:val="fr-FR"/>
        </w:rPr>
        <w:t xml:space="preserve"> souhaitait que soit exprimée la volonté que le </w:t>
      </w:r>
      <w:r w:rsidRPr="000A0A57">
        <w:rPr>
          <w:bCs/>
          <w:lang w:val="fr-FR"/>
        </w:rPr>
        <w:t>Gouvernement</w:t>
      </w:r>
      <w:r>
        <w:rPr>
          <w:bCs/>
          <w:lang w:val="fr-FR"/>
        </w:rPr>
        <w:t xml:space="preserve"> belge prenne les mesures appropriées </w:t>
      </w:r>
      <w:r w:rsidRPr="000A0A57">
        <w:rPr>
          <w:bCs/>
          <w:lang w:val="fr-FR"/>
        </w:rPr>
        <w:t>conformément</w:t>
      </w:r>
      <w:r>
        <w:rPr>
          <w:bCs/>
          <w:lang w:val="fr-FR"/>
        </w:rPr>
        <w:t xml:space="preserve"> à l</w:t>
      </w:r>
      <w:r w:rsidR="00923E72">
        <w:rPr>
          <w:bCs/>
          <w:lang w:val="fr-FR"/>
        </w:rPr>
        <w:t>’</w:t>
      </w:r>
      <w:r>
        <w:rPr>
          <w:bCs/>
          <w:lang w:val="fr-FR"/>
        </w:rPr>
        <w:t xml:space="preserve">esprit de la </w:t>
      </w:r>
      <w:r w:rsidRPr="000A0A57">
        <w:rPr>
          <w:bCs/>
          <w:lang w:val="fr-FR"/>
        </w:rPr>
        <w:t>Convention</w:t>
      </w:r>
      <w:r>
        <w:rPr>
          <w:bCs/>
          <w:lang w:val="fr-FR"/>
        </w:rPr>
        <w:t>.</w:t>
      </w:r>
    </w:p>
    <w:p w14:paraId="221F02F6" w14:textId="7B7BF8D0" w:rsidR="000A0A57" w:rsidRDefault="000A0A57" w:rsidP="000A0A57">
      <w:pPr>
        <w:pStyle w:val="Orateurengris"/>
        <w:numPr>
          <w:ilvl w:val="0"/>
          <w:numId w:val="20"/>
        </w:numPr>
        <w:tabs>
          <w:tab w:val="clear" w:pos="567"/>
          <w:tab w:val="left" w:pos="5954"/>
        </w:tabs>
        <w:spacing w:before="120"/>
        <w:ind w:left="709" w:hanging="709"/>
        <w:rPr>
          <w:bCs/>
          <w:lang w:val="fr-FR"/>
        </w:rPr>
      </w:pPr>
      <w:r w:rsidRPr="000A0A57">
        <w:rPr>
          <w:bCs/>
          <w:lang w:val="fr-FR"/>
        </w:rPr>
        <w:t xml:space="preserve">Le </w:t>
      </w:r>
      <w:r w:rsidRPr="00702497">
        <w:rPr>
          <w:b/>
          <w:lang w:val="fr-FR"/>
        </w:rPr>
        <w:t>Président</w:t>
      </w:r>
      <w:r w:rsidRPr="000A0A57">
        <w:rPr>
          <w:bCs/>
          <w:lang w:val="fr-FR"/>
        </w:rPr>
        <w:t xml:space="preserve"> a précisé que la décision ne s</w:t>
      </w:r>
      <w:r w:rsidR="00923E72">
        <w:rPr>
          <w:bCs/>
          <w:lang w:val="fr-FR"/>
        </w:rPr>
        <w:t>’</w:t>
      </w:r>
      <w:r w:rsidRPr="000A0A57">
        <w:rPr>
          <w:bCs/>
          <w:lang w:val="fr-FR"/>
        </w:rPr>
        <w:t>adressait pas à la Belgique mais aux communautés concernées. En effet, l</w:t>
      </w:r>
      <w:r w:rsidR="00923E72">
        <w:rPr>
          <w:bCs/>
          <w:lang w:val="fr-FR"/>
        </w:rPr>
        <w:t>’</w:t>
      </w:r>
      <w:r w:rsidRPr="000A0A57">
        <w:rPr>
          <w:bCs/>
          <w:lang w:val="fr-FR"/>
        </w:rPr>
        <w:t>État belge avait fait cette demande particulière à la communauté</w:t>
      </w:r>
      <w:r w:rsidR="00A754C4">
        <w:rPr>
          <w:bCs/>
          <w:lang w:val="fr-FR"/>
        </w:rPr>
        <w:t xml:space="preserve"> car, étant parfaitement conscient du problème, il avait </w:t>
      </w:r>
      <w:r w:rsidRPr="000A0A57">
        <w:rPr>
          <w:bCs/>
          <w:lang w:val="fr-FR"/>
        </w:rPr>
        <w:t>demand</w:t>
      </w:r>
      <w:r w:rsidR="00662BE0">
        <w:rPr>
          <w:bCs/>
          <w:lang w:val="fr-FR"/>
        </w:rPr>
        <w:t>é</w:t>
      </w:r>
      <w:r w:rsidRPr="000A0A57">
        <w:rPr>
          <w:bCs/>
          <w:lang w:val="fr-FR"/>
        </w:rPr>
        <w:t xml:space="preserve"> le retrait de l</w:t>
      </w:r>
      <w:r w:rsidR="00923E72">
        <w:rPr>
          <w:bCs/>
          <w:lang w:val="fr-FR"/>
        </w:rPr>
        <w:t>’</w:t>
      </w:r>
      <w:r w:rsidRPr="000A0A57">
        <w:rPr>
          <w:bCs/>
          <w:lang w:val="fr-FR"/>
        </w:rPr>
        <w:t>élémen</w:t>
      </w:r>
      <w:r w:rsidR="00A754C4">
        <w:rPr>
          <w:bCs/>
          <w:lang w:val="fr-FR"/>
        </w:rPr>
        <w:t>t</w:t>
      </w:r>
      <w:r w:rsidRPr="000A0A57">
        <w:rPr>
          <w:bCs/>
          <w:lang w:val="fr-FR"/>
        </w:rPr>
        <w:t>. Le Président a mis en garde contre un ciblage de la Belgique, notant qu</w:t>
      </w:r>
      <w:r w:rsidR="00923E72">
        <w:rPr>
          <w:bCs/>
          <w:lang w:val="fr-FR"/>
        </w:rPr>
        <w:t>’</w:t>
      </w:r>
      <w:r w:rsidRPr="000A0A57">
        <w:rPr>
          <w:bCs/>
          <w:lang w:val="fr-FR"/>
        </w:rPr>
        <w:t>il s</w:t>
      </w:r>
      <w:r w:rsidR="00923E72">
        <w:rPr>
          <w:bCs/>
          <w:lang w:val="fr-FR"/>
        </w:rPr>
        <w:t>’</w:t>
      </w:r>
      <w:r w:rsidRPr="000A0A57">
        <w:rPr>
          <w:bCs/>
          <w:lang w:val="fr-FR"/>
        </w:rPr>
        <w:t>agissait d</w:t>
      </w:r>
      <w:r w:rsidR="00923E72">
        <w:rPr>
          <w:bCs/>
          <w:lang w:val="fr-FR"/>
        </w:rPr>
        <w:t>’</w:t>
      </w:r>
      <w:r w:rsidRPr="000A0A57">
        <w:rPr>
          <w:bCs/>
          <w:lang w:val="fr-FR"/>
        </w:rPr>
        <w:t>une question délicate et que le Comité ne devait pas préjuger de la situation.</w:t>
      </w:r>
    </w:p>
    <w:p w14:paraId="6BE25344" w14:textId="5EB44B8F" w:rsidR="000A0A57" w:rsidRDefault="000A0A57" w:rsidP="000A0A57">
      <w:pPr>
        <w:pStyle w:val="Orateurengris"/>
        <w:numPr>
          <w:ilvl w:val="0"/>
          <w:numId w:val="20"/>
        </w:numPr>
        <w:tabs>
          <w:tab w:val="clear" w:pos="567"/>
          <w:tab w:val="left" w:pos="5954"/>
        </w:tabs>
        <w:spacing w:before="120"/>
        <w:ind w:left="709" w:hanging="709"/>
        <w:rPr>
          <w:bCs/>
          <w:lang w:val="fr-FR"/>
        </w:rPr>
      </w:pPr>
      <w:r>
        <w:rPr>
          <w:bCs/>
          <w:lang w:val="fr-FR"/>
        </w:rPr>
        <w:t xml:space="preserve">La </w:t>
      </w:r>
      <w:r w:rsidRPr="000A0A57">
        <w:rPr>
          <w:bCs/>
          <w:lang w:val="fr-FR"/>
        </w:rPr>
        <w:t>délégation</w:t>
      </w:r>
      <w:r>
        <w:rPr>
          <w:bCs/>
          <w:lang w:val="fr-FR"/>
        </w:rPr>
        <w:t xml:space="preserve"> du </w:t>
      </w:r>
      <w:r w:rsidRPr="00702497">
        <w:rPr>
          <w:b/>
          <w:lang w:val="fr-FR"/>
        </w:rPr>
        <w:t>Rwanda</w:t>
      </w:r>
      <w:r>
        <w:rPr>
          <w:bCs/>
          <w:lang w:val="fr-FR"/>
        </w:rPr>
        <w:t xml:space="preserve"> a remercié la Suisse pour sa </w:t>
      </w:r>
      <w:r w:rsidRPr="000A0A57">
        <w:rPr>
          <w:bCs/>
          <w:lang w:val="fr-FR"/>
        </w:rPr>
        <w:t>proposition</w:t>
      </w:r>
      <w:r>
        <w:rPr>
          <w:bCs/>
          <w:lang w:val="fr-FR"/>
        </w:rPr>
        <w:t>, exprimant le souhait que le personnage du « Sauvage » soit retiré. Elle a suggéré de supprimer « néanmoins ».</w:t>
      </w:r>
    </w:p>
    <w:p w14:paraId="2C3320C4" w14:textId="7D9502B8" w:rsidR="000A0A57" w:rsidRDefault="000A0A57" w:rsidP="000A0A57">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pris note de cette très bonne remarque.</w:t>
      </w:r>
    </w:p>
    <w:p w14:paraId="58963717" w14:textId="4C9040D6" w:rsidR="000A0A57" w:rsidRDefault="000A0A57" w:rsidP="000A0A57">
      <w:pPr>
        <w:pStyle w:val="Orateurengris"/>
        <w:numPr>
          <w:ilvl w:val="0"/>
          <w:numId w:val="20"/>
        </w:numPr>
        <w:tabs>
          <w:tab w:val="clear" w:pos="567"/>
          <w:tab w:val="left" w:pos="5954"/>
        </w:tabs>
        <w:spacing w:before="120"/>
        <w:ind w:left="709" w:hanging="709"/>
        <w:rPr>
          <w:bCs/>
          <w:lang w:val="fr-FR"/>
        </w:rPr>
      </w:pPr>
      <w:r w:rsidRPr="000A0A57">
        <w:rPr>
          <w:bCs/>
          <w:lang w:val="fr-FR"/>
        </w:rPr>
        <w:t>La délégation de l</w:t>
      </w:r>
      <w:r w:rsidR="00923E72">
        <w:rPr>
          <w:bCs/>
          <w:lang w:val="fr-FR"/>
        </w:rPr>
        <w:t>’</w:t>
      </w:r>
      <w:r w:rsidRPr="00702497">
        <w:rPr>
          <w:b/>
          <w:lang w:val="fr-FR"/>
        </w:rPr>
        <w:t>Inde</w:t>
      </w:r>
      <w:r w:rsidRPr="000A0A57">
        <w:rPr>
          <w:bCs/>
          <w:lang w:val="fr-FR"/>
        </w:rPr>
        <w:t xml:space="preserve"> ne jugeait pas opportun de demander à l</w:t>
      </w:r>
      <w:r w:rsidR="00923E72">
        <w:rPr>
          <w:bCs/>
          <w:lang w:val="fr-FR"/>
        </w:rPr>
        <w:t>’</w:t>
      </w:r>
      <w:r w:rsidRPr="000A0A57">
        <w:rPr>
          <w:bCs/>
          <w:lang w:val="fr-FR"/>
        </w:rPr>
        <w:t xml:space="preserve">État partie de retirer le </w:t>
      </w:r>
      <w:r>
        <w:rPr>
          <w:bCs/>
          <w:lang w:val="fr-FR"/>
        </w:rPr>
        <w:t>« </w:t>
      </w:r>
      <w:r w:rsidRPr="000A0A57">
        <w:rPr>
          <w:bCs/>
          <w:lang w:val="fr-FR"/>
        </w:rPr>
        <w:t>Sauvage</w:t>
      </w:r>
      <w:r>
        <w:rPr>
          <w:bCs/>
          <w:lang w:val="fr-FR"/>
        </w:rPr>
        <w:t> »</w:t>
      </w:r>
      <w:r w:rsidRPr="000A0A57">
        <w:rPr>
          <w:bCs/>
          <w:lang w:val="fr-FR"/>
        </w:rPr>
        <w:t xml:space="preserve"> des célébrations. En effet, il faudrait inclure toutes les caractéristiques qui ont des connotations racistes. Il appartenait à l</w:t>
      </w:r>
      <w:r w:rsidR="00923E72">
        <w:rPr>
          <w:bCs/>
          <w:lang w:val="fr-FR"/>
        </w:rPr>
        <w:t>’</w:t>
      </w:r>
      <w:r w:rsidRPr="000A0A57">
        <w:rPr>
          <w:bCs/>
          <w:lang w:val="fr-FR"/>
        </w:rPr>
        <w:t>État partie de relever tous les éléments défectueux de la pratique et non au Comité de le lui dire. C</w:t>
      </w:r>
      <w:r w:rsidR="00923E72">
        <w:rPr>
          <w:bCs/>
          <w:lang w:val="fr-FR"/>
        </w:rPr>
        <w:t>’</w:t>
      </w:r>
      <w:r w:rsidRPr="000A0A57">
        <w:rPr>
          <w:bCs/>
          <w:lang w:val="fr-FR"/>
        </w:rPr>
        <w:t xml:space="preserve">était la seule façon de réintroduire la candidature après avoir supprimé les éléments à connotation raciste. Hormis le </w:t>
      </w:r>
      <w:r w:rsidR="00D70452">
        <w:rPr>
          <w:bCs/>
          <w:lang w:val="fr-FR"/>
        </w:rPr>
        <w:t>« </w:t>
      </w:r>
      <w:r w:rsidRPr="000A0A57">
        <w:rPr>
          <w:bCs/>
          <w:lang w:val="fr-FR"/>
        </w:rPr>
        <w:t>Sauvage</w:t>
      </w:r>
      <w:r w:rsidR="00D70452">
        <w:rPr>
          <w:bCs/>
          <w:lang w:val="fr-FR"/>
        </w:rPr>
        <w:t> »</w:t>
      </w:r>
      <w:r w:rsidRPr="000A0A57">
        <w:rPr>
          <w:bCs/>
          <w:lang w:val="fr-FR"/>
        </w:rPr>
        <w:t>, tout le reste de la candidature semblait correct.</w:t>
      </w:r>
    </w:p>
    <w:p w14:paraId="16448A99" w14:textId="5DBFD67C" w:rsidR="00D70452" w:rsidRDefault="00D70452" w:rsidP="000A0A57">
      <w:pPr>
        <w:pStyle w:val="Orateurengris"/>
        <w:numPr>
          <w:ilvl w:val="0"/>
          <w:numId w:val="20"/>
        </w:numPr>
        <w:tabs>
          <w:tab w:val="clear" w:pos="567"/>
          <w:tab w:val="left" w:pos="5954"/>
        </w:tabs>
        <w:spacing w:before="120"/>
        <w:ind w:left="709" w:hanging="709"/>
        <w:rPr>
          <w:bCs/>
          <w:lang w:val="fr-FR"/>
        </w:rPr>
      </w:pPr>
      <w:r w:rsidRPr="00D70452">
        <w:rPr>
          <w:bCs/>
          <w:lang w:val="fr-FR"/>
        </w:rPr>
        <w:t xml:space="preserve">Le </w:t>
      </w:r>
      <w:r w:rsidRPr="00702497">
        <w:rPr>
          <w:b/>
          <w:lang w:val="fr-FR"/>
        </w:rPr>
        <w:t>Président</w:t>
      </w:r>
      <w:r w:rsidRPr="00D70452">
        <w:rPr>
          <w:bCs/>
          <w:lang w:val="fr-FR"/>
        </w:rPr>
        <w:t xml:space="preserve"> a convenu avec l</w:t>
      </w:r>
      <w:r w:rsidR="00923E72">
        <w:rPr>
          <w:bCs/>
          <w:lang w:val="fr-FR"/>
        </w:rPr>
        <w:t>’</w:t>
      </w:r>
      <w:r w:rsidRPr="00D70452">
        <w:rPr>
          <w:bCs/>
          <w:lang w:val="fr-FR"/>
        </w:rPr>
        <w:t>Inde que cela ne relevait pas du mandat du Comité. Il devrait s</w:t>
      </w:r>
      <w:r w:rsidR="00923E72">
        <w:rPr>
          <w:bCs/>
          <w:lang w:val="fr-FR"/>
        </w:rPr>
        <w:t>’</w:t>
      </w:r>
      <w:r w:rsidRPr="00D70452">
        <w:rPr>
          <w:bCs/>
          <w:lang w:val="fr-FR"/>
        </w:rPr>
        <w:t>en tenir à l</w:t>
      </w:r>
      <w:r w:rsidR="00923E72">
        <w:rPr>
          <w:bCs/>
          <w:lang w:val="fr-FR"/>
        </w:rPr>
        <w:t>’</w:t>
      </w:r>
      <w:r w:rsidRPr="00D70452">
        <w:rPr>
          <w:bCs/>
          <w:lang w:val="fr-FR"/>
        </w:rPr>
        <w:t>élément discuté et à la partie de l</w:t>
      </w:r>
      <w:r w:rsidR="00923E72">
        <w:rPr>
          <w:bCs/>
          <w:lang w:val="fr-FR"/>
        </w:rPr>
        <w:t>’</w:t>
      </w:r>
      <w:r w:rsidRPr="00D70452">
        <w:rPr>
          <w:bCs/>
          <w:lang w:val="fr-FR"/>
        </w:rPr>
        <w:t>élément qui posait problème et ne pas ouvrir d</w:t>
      </w:r>
      <w:r w:rsidR="00923E72">
        <w:rPr>
          <w:bCs/>
          <w:lang w:val="fr-FR"/>
        </w:rPr>
        <w:t>’</w:t>
      </w:r>
      <w:r w:rsidRPr="00D70452">
        <w:rPr>
          <w:bCs/>
          <w:lang w:val="fr-FR"/>
        </w:rPr>
        <w:t>autres portes. Le Comité devrait donc se limiter à ce qu</w:t>
      </w:r>
      <w:r w:rsidR="00923E72">
        <w:rPr>
          <w:bCs/>
          <w:lang w:val="fr-FR"/>
        </w:rPr>
        <w:t>’</w:t>
      </w:r>
      <w:r w:rsidRPr="00D70452">
        <w:rPr>
          <w:bCs/>
          <w:lang w:val="fr-FR"/>
        </w:rPr>
        <w:t>il avait réalisé</w:t>
      </w:r>
      <w:r>
        <w:rPr>
          <w:bCs/>
          <w:lang w:val="fr-FR"/>
        </w:rPr>
        <w:t xml:space="preserve"> ce jour</w:t>
      </w:r>
      <w:r w:rsidRPr="00D70452">
        <w:rPr>
          <w:bCs/>
          <w:lang w:val="fr-FR"/>
        </w:rPr>
        <w:t>. Le Président était d</w:t>
      </w:r>
      <w:r w:rsidR="00923E72">
        <w:rPr>
          <w:bCs/>
          <w:lang w:val="fr-FR"/>
        </w:rPr>
        <w:t>’</w:t>
      </w:r>
      <w:r w:rsidRPr="00D70452">
        <w:rPr>
          <w:bCs/>
          <w:lang w:val="fr-FR"/>
        </w:rPr>
        <w:t>avis que le Comité devrait adopter cette décision telle que proposée sans entrer dans d</w:t>
      </w:r>
      <w:r w:rsidR="00923E72">
        <w:rPr>
          <w:bCs/>
          <w:lang w:val="fr-FR"/>
        </w:rPr>
        <w:t>’</w:t>
      </w:r>
      <w:r w:rsidRPr="00D70452">
        <w:rPr>
          <w:bCs/>
          <w:lang w:val="fr-FR"/>
        </w:rPr>
        <w:t>autres considérations. Il est ensuite passé au paragraphe</w:t>
      </w:r>
      <w:r w:rsidR="008F5CA2">
        <w:rPr>
          <w:bCs/>
          <w:lang w:val="fr-FR"/>
        </w:rPr>
        <w:t> </w:t>
      </w:r>
      <w:r w:rsidRPr="00D70452">
        <w:rPr>
          <w:bCs/>
          <w:lang w:val="fr-FR"/>
        </w:rPr>
        <w:t>12, tel que proposé par la Suisse. En l</w:t>
      </w:r>
      <w:r w:rsidR="00923E72">
        <w:rPr>
          <w:bCs/>
          <w:lang w:val="fr-FR"/>
        </w:rPr>
        <w:t>’</w:t>
      </w:r>
      <w:r w:rsidRPr="00D70452">
        <w:rPr>
          <w:bCs/>
          <w:lang w:val="fr-FR"/>
        </w:rPr>
        <w:t>absence d</w:t>
      </w:r>
      <w:r w:rsidR="00923E72">
        <w:rPr>
          <w:bCs/>
          <w:lang w:val="fr-FR"/>
        </w:rPr>
        <w:t>’</w:t>
      </w:r>
      <w:r w:rsidRPr="00D70452">
        <w:rPr>
          <w:bCs/>
          <w:lang w:val="fr-FR"/>
        </w:rPr>
        <w:t>objection</w:t>
      </w:r>
      <w:r>
        <w:rPr>
          <w:bCs/>
          <w:lang w:val="fr-FR"/>
        </w:rPr>
        <w:t>s</w:t>
      </w:r>
      <w:r w:rsidRPr="00D70452">
        <w:rPr>
          <w:bCs/>
          <w:lang w:val="fr-FR"/>
        </w:rPr>
        <w:t>, il a été dûment adopté. Le paragraphe</w:t>
      </w:r>
      <w:r w:rsidR="008F5CA2">
        <w:rPr>
          <w:bCs/>
          <w:lang w:val="fr-FR"/>
        </w:rPr>
        <w:t> </w:t>
      </w:r>
      <w:r w:rsidRPr="00D70452">
        <w:rPr>
          <w:bCs/>
          <w:lang w:val="fr-FR"/>
        </w:rPr>
        <w:t>13 [le paragraphe</w:t>
      </w:r>
      <w:r w:rsidR="008F5CA2">
        <w:rPr>
          <w:bCs/>
          <w:lang w:val="fr-FR"/>
        </w:rPr>
        <w:t> </w:t>
      </w:r>
      <w:r w:rsidRPr="00D70452">
        <w:rPr>
          <w:bCs/>
          <w:lang w:val="fr-FR"/>
        </w:rPr>
        <w:t xml:space="preserve">11 initial] a donc été supprimé. Le </w:t>
      </w:r>
      <w:r w:rsidRPr="00702497">
        <w:rPr>
          <w:b/>
          <w:lang w:val="fr-FR"/>
        </w:rPr>
        <w:t>Président a déclaré la décision</w:t>
      </w:r>
      <w:r w:rsidR="00C25B3D">
        <w:rPr>
          <w:b/>
          <w:lang w:val="fr-FR"/>
        </w:rPr>
        <w:t> </w:t>
      </w:r>
      <w:hyperlink r:id="rId88" w:history="1">
        <w:r w:rsidRPr="0001510D">
          <w:rPr>
            <w:rStyle w:val="Hyperlink"/>
            <w:b/>
            <w:bCs/>
          </w:rPr>
          <w:t>17.COM</w:t>
        </w:r>
        <w:r>
          <w:rPr>
            <w:rStyle w:val="Hyperlink"/>
            <w:b/>
            <w:bCs/>
          </w:rPr>
          <w:t> </w:t>
        </w:r>
        <w:r w:rsidRPr="0001510D">
          <w:rPr>
            <w:rStyle w:val="Hyperlink"/>
            <w:b/>
            <w:bCs/>
          </w:rPr>
          <w:t>8.a</w:t>
        </w:r>
      </w:hyperlink>
      <w:r>
        <w:rPr>
          <w:b/>
          <w:lang w:val="fr-FR"/>
        </w:rPr>
        <w:t xml:space="preserve"> </w:t>
      </w:r>
      <w:r w:rsidRPr="00702497">
        <w:rPr>
          <w:b/>
          <w:lang w:val="fr-FR"/>
        </w:rPr>
        <w:t>adoptée</w:t>
      </w:r>
      <w:r w:rsidRPr="00D70452">
        <w:rPr>
          <w:bCs/>
          <w:lang w:val="fr-FR"/>
        </w:rPr>
        <w:t>.</w:t>
      </w:r>
    </w:p>
    <w:p w14:paraId="6B30C43E" w14:textId="632849A0" w:rsidR="00D70452" w:rsidRDefault="00D70452" w:rsidP="000A0A57">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félicité tous les membres du Comité pour leur esprit de solidarité, d</w:t>
      </w:r>
      <w:r w:rsidR="00923E72">
        <w:rPr>
          <w:bCs/>
          <w:lang w:val="fr-FR"/>
        </w:rPr>
        <w:t>’</w:t>
      </w:r>
      <w:r>
        <w:rPr>
          <w:bCs/>
          <w:lang w:val="fr-FR"/>
        </w:rPr>
        <w:t>amitié et de fraternité en accord avec les valeurs de l</w:t>
      </w:r>
      <w:r w:rsidR="00923E72">
        <w:rPr>
          <w:bCs/>
          <w:lang w:val="fr-FR"/>
        </w:rPr>
        <w:t>’</w:t>
      </w:r>
      <w:r w:rsidRPr="00D70452">
        <w:rPr>
          <w:bCs/>
          <w:lang w:val="fr-FR"/>
        </w:rPr>
        <w:t>UNESCO</w:t>
      </w:r>
      <w:r>
        <w:rPr>
          <w:bCs/>
          <w:lang w:val="fr-FR"/>
        </w:rPr>
        <w:t>. Il a remercié la Belgique de sa décision de retirer l</w:t>
      </w:r>
      <w:r w:rsidR="00923E72">
        <w:rPr>
          <w:bCs/>
          <w:lang w:val="fr-FR"/>
        </w:rPr>
        <w:t>’</w:t>
      </w:r>
      <w:r>
        <w:rPr>
          <w:bCs/>
          <w:lang w:val="fr-FR"/>
        </w:rPr>
        <w:t>élément.</w:t>
      </w:r>
    </w:p>
    <w:p w14:paraId="37942081" w14:textId="4DA457FC" w:rsidR="00DC3313" w:rsidRDefault="00D70452" w:rsidP="00D70452">
      <w:pPr>
        <w:pStyle w:val="Orateurengris"/>
        <w:numPr>
          <w:ilvl w:val="0"/>
          <w:numId w:val="20"/>
        </w:numPr>
        <w:tabs>
          <w:tab w:val="clear" w:pos="567"/>
          <w:tab w:val="left" w:pos="5954"/>
        </w:tabs>
        <w:spacing w:before="120"/>
        <w:ind w:left="709" w:hanging="709"/>
        <w:rPr>
          <w:bCs/>
          <w:lang w:val="fr-FR"/>
        </w:rPr>
      </w:pPr>
      <w:r w:rsidRPr="00D70452">
        <w:rPr>
          <w:bCs/>
          <w:lang w:val="fr-FR"/>
        </w:rPr>
        <w:t xml:space="preserve">La délégation de la </w:t>
      </w:r>
      <w:r w:rsidRPr="00702497">
        <w:rPr>
          <w:b/>
          <w:lang w:val="fr-FR"/>
        </w:rPr>
        <w:t>Belgique</w:t>
      </w:r>
      <w:r w:rsidRPr="00D70452">
        <w:rPr>
          <w:bCs/>
          <w:lang w:val="fr-FR"/>
        </w:rPr>
        <w:t xml:space="preserve"> a assuré le Comité que la Belgique poursuivrait son travail de sensibilisation contre le racisme et veillerait à ce que cette expérience serve de leçon pour l</w:t>
      </w:r>
      <w:r w:rsidR="00923E72">
        <w:rPr>
          <w:bCs/>
          <w:lang w:val="fr-FR"/>
        </w:rPr>
        <w:t>’</w:t>
      </w:r>
      <w:r w:rsidRPr="00D70452">
        <w:rPr>
          <w:bCs/>
          <w:lang w:val="fr-FR"/>
        </w:rPr>
        <w:t xml:space="preserve">avenir, conduisant à un changement durable des mentalités conformément aux principes de la Convention. La délégation prendrait en </w:t>
      </w:r>
      <w:r w:rsidR="00E55044">
        <w:rPr>
          <w:bCs/>
          <w:lang w:val="fr-FR"/>
        </w:rPr>
        <w:t xml:space="preserve">considération </w:t>
      </w:r>
      <w:r w:rsidRPr="00D70452">
        <w:rPr>
          <w:bCs/>
          <w:lang w:val="fr-FR"/>
        </w:rPr>
        <w:t>les débats qui s</w:t>
      </w:r>
      <w:r w:rsidR="00923E72">
        <w:rPr>
          <w:bCs/>
          <w:lang w:val="fr-FR"/>
        </w:rPr>
        <w:t>’</w:t>
      </w:r>
      <w:r w:rsidRPr="00D70452">
        <w:rPr>
          <w:bCs/>
          <w:lang w:val="fr-FR"/>
        </w:rPr>
        <w:t>étaient tenus au cours de cette session. Ce travail ne se faisait pas</w:t>
      </w:r>
      <w:r w:rsidR="00E55044">
        <w:rPr>
          <w:bCs/>
          <w:lang w:val="fr-FR"/>
        </w:rPr>
        <w:t xml:space="preserve"> en vase clos</w:t>
      </w:r>
      <w:r w:rsidRPr="00D70452">
        <w:rPr>
          <w:bCs/>
          <w:lang w:val="fr-FR"/>
        </w:rPr>
        <w:t>. Le processus de réflexion mobilisait l</w:t>
      </w:r>
      <w:r w:rsidR="00923E72">
        <w:rPr>
          <w:bCs/>
          <w:lang w:val="fr-FR"/>
        </w:rPr>
        <w:t>’</w:t>
      </w:r>
      <w:r w:rsidRPr="00D70452">
        <w:rPr>
          <w:bCs/>
          <w:lang w:val="fr-FR"/>
        </w:rPr>
        <w:t>ensemble de la société belge et se traduisait par un cadre d</w:t>
      </w:r>
      <w:r w:rsidR="00923E72">
        <w:rPr>
          <w:bCs/>
          <w:lang w:val="fr-FR"/>
        </w:rPr>
        <w:t>’</w:t>
      </w:r>
      <w:r w:rsidRPr="00D70452">
        <w:rPr>
          <w:bCs/>
          <w:lang w:val="fr-FR"/>
        </w:rPr>
        <w:t xml:space="preserve">action politique ambitieux, comme en témoignait la réforme en cours de la législation sur le patrimoine immatériel dans la </w:t>
      </w:r>
      <w:r w:rsidR="00E55044">
        <w:rPr>
          <w:bCs/>
          <w:lang w:val="fr-FR"/>
        </w:rPr>
        <w:t>F</w:t>
      </w:r>
      <w:r w:rsidRPr="00D70452">
        <w:rPr>
          <w:bCs/>
          <w:lang w:val="fr-FR"/>
        </w:rPr>
        <w:t xml:space="preserve">édération Wallonie-Bruxelles de Belgique, </w:t>
      </w:r>
      <w:r w:rsidR="00E55044">
        <w:rPr>
          <w:bCs/>
          <w:lang w:val="fr-FR"/>
        </w:rPr>
        <w:t xml:space="preserve">prévoyant </w:t>
      </w:r>
      <w:r w:rsidRPr="00D70452">
        <w:rPr>
          <w:bCs/>
          <w:lang w:val="fr-FR"/>
        </w:rPr>
        <w:t>des principes éthiques conformes aux exigences de l</w:t>
      </w:r>
      <w:r w:rsidR="00923E72">
        <w:rPr>
          <w:bCs/>
          <w:lang w:val="fr-FR"/>
        </w:rPr>
        <w:t>’</w:t>
      </w:r>
      <w:r w:rsidRPr="00D70452">
        <w:rPr>
          <w:bCs/>
          <w:lang w:val="fr-FR"/>
        </w:rPr>
        <w:t xml:space="preserve">UNESCO, notamment le respect mutuel entre les </w:t>
      </w:r>
      <w:r w:rsidRPr="00D70452">
        <w:rPr>
          <w:bCs/>
          <w:lang w:val="fr-FR"/>
        </w:rPr>
        <w:lastRenderedPageBreak/>
        <w:t>communautés et, plus largement, par l</w:t>
      </w:r>
      <w:r w:rsidR="00923E72">
        <w:rPr>
          <w:bCs/>
          <w:lang w:val="fr-FR"/>
        </w:rPr>
        <w:t>’</w:t>
      </w:r>
      <w:r w:rsidRPr="00D70452">
        <w:rPr>
          <w:bCs/>
          <w:lang w:val="fr-FR"/>
        </w:rPr>
        <w:t>élaboration d</w:t>
      </w:r>
      <w:r w:rsidR="00923E72">
        <w:rPr>
          <w:bCs/>
          <w:lang w:val="fr-FR"/>
        </w:rPr>
        <w:t>’</w:t>
      </w:r>
      <w:r w:rsidRPr="00D70452">
        <w:rPr>
          <w:bCs/>
          <w:lang w:val="fr-FR"/>
        </w:rPr>
        <w:t>un plan d</w:t>
      </w:r>
      <w:r w:rsidR="00923E72">
        <w:rPr>
          <w:bCs/>
          <w:lang w:val="fr-FR"/>
        </w:rPr>
        <w:t>’</w:t>
      </w:r>
      <w:r w:rsidRPr="00D70452">
        <w:rPr>
          <w:bCs/>
          <w:lang w:val="fr-FR"/>
        </w:rPr>
        <w:t>action interfédéral de lutte contre le racisme et la xénophobie. La Belgique a rappelé avec la plus grande fermeté sa condamnation du racisme et de la discrimination sous toutes ses formes. De telles pratiques ne cesser</w:t>
      </w:r>
      <w:r w:rsidR="00E55044">
        <w:rPr>
          <w:bCs/>
          <w:lang w:val="fr-FR"/>
        </w:rPr>
        <w:t>aient</w:t>
      </w:r>
      <w:r w:rsidRPr="00D70452">
        <w:rPr>
          <w:bCs/>
          <w:lang w:val="fr-FR"/>
        </w:rPr>
        <w:t xml:space="preserve"> que grâce à une approche guidée par l</w:t>
      </w:r>
      <w:r w:rsidR="00923E72">
        <w:rPr>
          <w:bCs/>
          <w:lang w:val="fr-FR"/>
        </w:rPr>
        <w:t>’</w:t>
      </w:r>
      <w:r w:rsidRPr="00D70452">
        <w:rPr>
          <w:bCs/>
          <w:lang w:val="fr-FR"/>
        </w:rPr>
        <w:t>ouverture et le vivre-ensemble.</w:t>
      </w:r>
    </w:p>
    <w:p w14:paraId="43687E57" w14:textId="15A2FD48" w:rsidR="00D70452" w:rsidRDefault="00E55044" w:rsidP="00D70452">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et félicité la Belgique.</w:t>
      </w:r>
    </w:p>
    <w:p w14:paraId="28DB5D91" w14:textId="1A9D50A3" w:rsidR="00E55044" w:rsidRDefault="00E55044" w:rsidP="00D70452">
      <w:pPr>
        <w:pStyle w:val="Orateurengris"/>
        <w:numPr>
          <w:ilvl w:val="0"/>
          <w:numId w:val="20"/>
        </w:numPr>
        <w:tabs>
          <w:tab w:val="clear" w:pos="567"/>
          <w:tab w:val="left" w:pos="5954"/>
        </w:tabs>
        <w:spacing w:before="120"/>
        <w:ind w:left="709" w:hanging="709"/>
        <w:rPr>
          <w:bCs/>
          <w:lang w:val="fr-FR"/>
        </w:rPr>
      </w:pPr>
      <w:r w:rsidRPr="00E55044">
        <w:rPr>
          <w:bCs/>
          <w:lang w:val="fr-FR"/>
        </w:rPr>
        <w:t xml:space="preserve">La délégation de la </w:t>
      </w:r>
      <w:r w:rsidRPr="00702497">
        <w:rPr>
          <w:b/>
          <w:lang w:val="fr-FR"/>
        </w:rPr>
        <w:t>France</w:t>
      </w:r>
      <w:r w:rsidRPr="00E55044">
        <w:rPr>
          <w:bCs/>
          <w:lang w:val="fr-FR"/>
        </w:rPr>
        <w:t xml:space="preserve"> </w:t>
      </w:r>
      <w:r>
        <w:rPr>
          <w:bCs/>
          <w:lang w:val="fr-FR"/>
        </w:rPr>
        <w:t xml:space="preserve">a salué </w:t>
      </w:r>
      <w:r w:rsidRPr="00E55044">
        <w:rPr>
          <w:bCs/>
          <w:lang w:val="fr-FR"/>
        </w:rPr>
        <w:t xml:space="preserve">la décision du Comité, qui était un aboutissement logique, compte tenu des discussions importantes, animées et </w:t>
      </w:r>
      <w:r>
        <w:rPr>
          <w:bCs/>
          <w:lang w:val="fr-FR"/>
        </w:rPr>
        <w:t>chargées d</w:t>
      </w:r>
      <w:r w:rsidR="00923E72">
        <w:rPr>
          <w:bCs/>
          <w:lang w:val="fr-FR"/>
        </w:rPr>
        <w:t>’</w:t>
      </w:r>
      <w:r w:rsidRPr="00E55044">
        <w:rPr>
          <w:bCs/>
          <w:lang w:val="fr-FR"/>
        </w:rPr>
        <w:t>émotion</w:t>
      </w:r>
      <w:r>
        <w:rPr>
          <w:bCs/>
          <w:lang w:val="fr-FR"/>
        </w:rPr>
        <w:t xml:space="preserve"> </w:t>
      </w:r>
      <w:r w:rsidRPr="00E55044">
        <w:rPr>
          <w:bCs/>
          <w:lang w:val="fr-FR"/>
        </w:rPr>
        <w:t>qui avaient rappelé les principes essentiels de l</w:t>
      </w:r>
      <w:r w:rsidR="00923E72">
        <w:rPr>
          <w:bCs/>
          <w:lang w:val="fr-FR"/>
        </w:rPr>
        <w:t>’</w:t>
      </w:r>
      <w:r w:rsidRPr="00E55044">
        <w:rPr>
          <w:bCs/>
          <w:lang w:val="fr-FR"/>
        </w:rPr>
        <w:t xml:space="preserve">UNESCO. Il était vrai que le Comité </w:t>
      </w:r>
      <w:r>
        <w:rPr>
          <w:bCs/>
          <w:lang w:val="fr-FR"/>
        </w:rPr>
        <w:t xml:space="preserve">avait </w:t>
      </w:r>
      <w:r w:rsidRPr="00E55044">
        <w:rPr>
          <w:bCs/>
          <w:lang w:val="fr-FR"/>
        </w:rPr>
        <w:t>souhait</w:t>
      </w:r>
      <w:r>
        <w:rPr>
          <w:bCs/>
          <w:lang w:val="fr-FR"/>
        </w:rPr>
        <w:t>é</w:t>
      </w:r>
      <w:r w:rsidRPr="00E55044">
        <w:rPr>
          <w:bCs/>
          <w:lang w:val="fr-FR"/>
        </w:rPr>
        <w:t xml:space="preserve"> transmettre à la communauté concernée le message que ce personnage du </w:t>
      </w:r>
      <w:r>
        <w:rPr>
          <w:bCs/>
          <w:lang w:val="fr-FR"/>
        </w:rPr>
        <w:t>« </w:t>
      </w:r>
      <w:r w:rsidRPr="00E55044">
        <w:rPr>
          <w:bCs/>
          <w:lang w:val="fr-FR"/>
        </w:rPr>
        <w:t>Sauvage</w:t>
      </w:r>
      <w:r>
        <w:rPr>
          <w:bCs/>
          <w:lang w:val="fr-FR"/>
        </w:rPr>
        <w:t> »</w:t>
      </w:r>
      <w:r w:rsidRPr="00E55044">
        <w:rPr>
          <w:bCs/>
          <w:lang w:val="fr-FR"/>
        </w:rPr>
        <w:t xml:space="preserve"> devait être retiré, mais la préoccupation actuelle était que, du fait que ce</w:t>
      </w:r>
      <w:r w:rsidR="00AB0F35">
        <w:rPr>
          <w:bCs/>
          <w:lang w:val="fr-FR"/>
        </w:rPr>
        <w:t>tte procession</w:t>
      </w:r>
      <w:r w:rsidRPr="00E55044">
        <w:rPr>
          <w:bCs/>
          <w:lang w:val="fr-FR"/>
        </w:rPr>
        <w:t xml:space="preserve"> avait été retiré</w:t>
      </w:r>
      <w:r w:rsidR="00AB0F35">
        <w:rPr>
          <w:bCs/>
          <w:lang w:val="fr-FR"/>
        </w:rPr>
        <w:t>e</w:t>
      </w:r>
      <w:r w:rsidRPr="00E55044">
        <w:rPr>
          <w:bCs/>
          <w:lang w:val="fr-FR"/>
        </w:rPr>
        <w:t xml:space="preserve"> de la Liste, l</w:t>
      </w:r>
      <w:r w:rsidR="00923E72">
        <w:rPr>
          <w:bCs/>
          <w:lang w:val="fr-FR"/>
        </w:rPr>
        <w:t>’</w:t>
      </w:r>
      <w:r w:rsidRPr="00E55044">
        <w:rPr>
          <w:bCs/>
          <w:lang w:val="fr-FR"/>
        </w:rPr>
        <w:t>UNESCO et la communauté internationale n</w:t>
      </w:r>
      <w:r w:rsidR="00923E72">
        <w:rPr>
          <w:bCs/>
          <w:lang w:val="fr-FR"/>
        </w:rPr>
        <w:t>’</w:t>
      </w:r>
      <w:r w:rsidRPr="00E55044">
        <w:rPr>
          <w:bCs/>
          <w:lang w:val="fr-FR"/>
        </w:rPr>
        <w:t>avaient plus aucun moyen de pression pour exiger le retrait de ce personnage totalement inacceptable. Cela avait déjà été constaté dans le précédent du carnaval d</w:t>
      </w:r>
      <w:r w:rsidR="00923E72">
        <w:rPr>
          <w:bCs/>
          <w:lang w:val="fr-FR"/>
        </w:rPr>
        <w:t>’</w:t>
      </w:r>
      <w:r w:rsidRPr="00E55044">
        <w:rPr>
          <w:bCs/>
          <w:lang w:val="fr-FR"/>
        </w:rPr>
        <w:t>Alost, qui avait été retiré de la liste en</w:t>
      </w:r>
      <w:r w:rsidR="00AF6B98">
        <w:rPr>
          <w:bCs/>
          <w:lang w:val="fr-FR"/>
        </w:rPr>
        <w:t> </w:t>
      </w:r>
      <w:r w:rsidRPr="00E55044">
        <w:rPr>
          <w:bCs/>
          <w:lang w:val="fr-FR"/>
        </w:rPr>
        <w:t>2019, avec des sanctions extrêmes conduisant parfois à une radicalisation excessive. La délégation avait été surprise d</w:t>
      </w:r>
      <w:r w:rsidR="00923E72">
        <w:rPr>
          <w:bCs/>
          <w:lang w:val="fr-FR"/>
        </w:rPr>
        <w:t>’</w:t>
      </w:r>
      <w:r w:rsidRPr="00E55044">
        <w:rPr>
          <w:bCs/>
          <w:lang w:val="fr-FR"/>
        </w:rPr>
        <w:t>entendre que le Comité n</w:t>
      </w:r>
      <w:r w:rsidR="00923E72">
        <w:rPr>
          <w:bCs/>
          <w:lang w:val="fr-FR"/>
        </w:rPr>
        <w:t>’</w:t>
      </w:r>
      <w:r w:rsidRPr="00E55044">
        <w:rPr>
          <w:bCs/>
          <w:lang w:val="fr-FR"/>
        </w:rPr>
        <w:t xml:space="preserve">était pas le lieu de la pédagogie. </w:t>
      </w:r>
      <w:r w:rsidR="00AB0F35">
        <w:rPr>
          <w:bCs/>
          <w:lang w:val="fr-FR"/>
        </w:rPr>
        <w:t xml:space="preserve">Or, </w:t>
      </w:r>
      <w:r w:rsidRPr="00E55044">
        <w:rPr>
          <w:bCs/>
          <w:lang w:val="fr-FR"/>
        </w:rPr>
        <w:t xml:space="preserve">quelle organisation internationale </w:t>
      </w:r>
      <w:r w:rsidR="00AB0F35">
        <w:rPr>
          <w:bCs/>
          <w:lang w:val="fr-FR"/>
        </w:rPr>
        <w:t xml:space="preserve">avec </w:t>
      </w:r>
      <w:r w:rsidRPr="00E55044">
        <w:rPr>
          <w:bCs/>
          <w:lang w:val="fr-FR"/>
        </w:rPr>
        <w:t>un mandat dans le domaine de l</w:t>
      </w:r>
      <w:r w:rsidR="00923E72">
        <w:rPr>
          <w:bCs/>
          <w:lang w:val="fr-FR"/>
        </w:rPr>
        <w:t>’</w:t>
      </w:r>
      <w:r w:rsidRPr="00E55044">
        <w:rPr>
          <w:bCs/>
          <w:lang w:val="fr-FR"/>
        </w:rPr>
        <w:t>éducation était mieux placée que l</w:t>
      </w:r>
      <w:r w:rsidR="00923E72">
        <w:rPr>
          <w:bCs/>
          <w:lang w:val="fr-FR"/>
        </w:rPr>
        <w:t>’</w:t>
      </w:r>
      <w:r w:rsidRPr="00E55044">
        <w:rPr>
          <w:bCs/>
          <w:lang w:val="fr-FR"/>
        </w:rPr>
        <w:t>UNESCO pour la pédagogie. Certains avaient parlé de deux poids deux mesures, mais ces deux poids deux mesures s</w:t>
      </w:r>
      <w:r w:rsidR="00923E72">
        <w:rPr>
          <w:bCs/>
          <w:lang w:val="fr-FR"/>
        </w:rPr>
        <w:t>’</w:t>
      </w:r>
      <w:r w:rsidR="000208E0">
        <w:rPr>
          <w:bCs/>
          <w:lang w:val="fr-FR"/>
        </w:rPr>
        <w:t xml:space="preserve">étaient </w:t>
      </w:r>
      <w:r w:rsidRPr="00E55044">
        <w:rPr>
          <w:bCs/>
          <w:lang w:val="fr-FR"/>
        </w:rPr>
        <w:t>appliqu</w:t>
      </w:r>
      <w:r w:rsidR="000208E0">
        <w:rPr>
          <w:bCs/>
          <w:lang w:val="fr-FR"/>
        </w:rPr>
        <w:t>és</w:t>
      </w:r>
      <w:r w:rsidRPr="00E55044">
        <w:rPr>
          <w:bCs/>
          <w:lang w:val="fr-FR"/>
        </w:rPr>
        <w:t xml:space="preserve"> très souvent dans de nombreuses négociations récentes sur d</w:t>
      </w:r>
      <w:r w:rsidR="00923E72">
        <w:rPr>
          <w:bCs/>
          <w:lang w:val="fr-FR"/>
        </w:rPr>
        <w:t>’</w:t>
      </w:r>
      <w:r w:rsidRPr="00E55044">
        <w:rPr>
          <w:bCs/>
          <w:lang w:val="fr-FR"/>
        </w:rPr>
        <w:t>autres sujets. Des condamnations fermes avaient été exigées par certains, tandis que d</w:t>
      </w:r>
      <w:r w:rsidR="00923E72">
        <w:rPr>
          <w:bCs/>
          <w:lang w:val="fr-FR"/>
        </w:rPr>
        <w:t>’</w:t>
      </w:r>
      <w:r w:rsidRPr="00E55044">
        <w:rPr>
          <w:bCs/>
          <w:lang w:val="fr-FR"/>
        </w:rPr>
        <w:t>autres avaient prôné la pédagogie et relativisé la gravité des faits incriminés.</w:t>
      </w:r>
    </w:p>
    <w:p w14:paraId="2DE9D906" w14:textId="14948B1D" w:rsidR="00AB0F35" w:rsidRDefault="00AB0F35" w:rsidP="00D70452">
      <w:pPr>
        <w:pStyle w:val="Orateurengris"/>
        <w:numPr>
          <w:ilvl w:val="0"/>
          <w:numId w:val="20"/>
        </w:numPr>
        <w:tabs>
          <w:tab w:val="clear" w:pos="567"/>
          <w:tab w:val="left" w:pos="5954"/>
        </w:tabs>
        <w:spacing w:before="120"/>
        <w:ind w:left="709" w:hanging="709"/>
        <w:rPr>
          <w:bCs/>
          <w:lang w:val="fr-FR"/>
        </w:rPr>
      </w:pPr>
      <w:r w:rsidRPr="00AB0F35">
        <w:rPr>
          <w:bCs/>
          <w:lang w:val="fr-FR"/>
        </w:rPr>
        <w:t xml:space="preserve">Le </w:t>
      </w:r>
      <w:r w:rsidRPr="00702497">
        <w:rPr>
          <w:b/>
          <w:lang w:val="fr-FR"/>
        </w:rPr>
        <w:t>Président</w:t>
      </w:r>
      <w:r w:rsidRPr="00AB0F35">
        <w:rPr>
          <w:bCs/>
          <w:lang w:val="fr-FR"/>
        </w:rPr>
        <w:t xml:space="preserve"> a remercié la </w:t>
      </w:r>
      <w:r>
        <w:rPr>
          <w:bCs/>
          <w:lang w:val="fr-FR"/>
        </w:rPr>
        <w:t xml:space="preserve">France. Toutefois, il </w:t>
      </w:r>
      <w:r w:rsidRPr="00AB0F35">
        <w:rPr>
          <w:bCs/>
          <w:lang w:val="fr-FR"/>
        </w:rPr>
        <w:t xml:space="preserve">ne croyait pas que le Comité </w:t>
      </w:r>
      <w:r>
        <w:rPr>
          <w:bCs/>
          <w:lang w:val="fr-FR"/>
        </w:rPr>
        <w:t xml:space="preserve">ait </w:t>
      </w:r>
      <w:r w:rsidRPr="00AB0F35">
        <w:rPr>
          <w:bCs/>
          <w:lang w:val="fr-FR"/>
        </w:rPr>
        <w:t>dit au cours de la discussion que l</w:t>
      </w:r>
      <w:r w:rsidR="00923E72">
        <w:rPr>
          <w:bCs/>
          <w:lang w:val="fr-FR"/>
        </w:rPr>
        <w:t>’</w:t>
      </w:r>
      <w:r w:rsidRPr="00AB0F35">
        <w:rPr>
          <w:bCs/>
          <w:lang w:val="fr-FR"/>
        </w:rPr>
        <w:t>UNESCO n</w:t>
      </w:r>
      <w:r w:rsidR="00923E72">
        <w:rPr>
          <w:bCs/>
          <w:lang w:val="fr-FR"/>
        </w:rPr>
        <w:t>’</w:t>
      </w:r>
      <w:r>
        <w:rPr>
          <w:bCs/>
          <w:lang w:val="fr-FR"/>
        </w:rPr>
        <w:t>était</w:t>
      </w:r>
      <w:r w:rsidRPr="00AB0F35">
        <w:rPr>
          <w:bCs/>
          <w:lang w:val="fr-FR"/>
        </w:rPr>
        <w:t xml:space="preserve"> pas un lieu pour la pédagogie. En réalité, il était d</w:t>
      </w:r>
      <w:r w:rsidR="00923E72">
        <w:rPr>
          <w:bCs/>
          <w:lang w:val="fr-FR"/>
        </w:rPr>
        <w:t>’</w:t>
      </w:r>
      <w:r w:rsidRPr="00AB0F35">
        <w:rPr>
          <w:bCs/>
          <w:lang w:val="fr-FR"/>
        </w:rPr>
        <w:t>accord pour dire que l</w:t>
      </w:r>
      <w:r w:rsidR="00923E72">
        <w:rPr>
          <w:bCs/>
          <w:lang w:val="fr-FR"/>
        </w:rPr>
        <w:t>’</w:t>
      </w:r>
      <w:r w:rsidRPr="00AB0F35">
        <w:rPr>
          <w:bCs/>
          <w:lang w:val="fr-FR"/>
        </w:rPr>
        <w:t xml:space="preserve">UNESCO </w:t>
      </w:r>
      <w:r>
        <w:rPr>
          <w:bCs/>
          <w:lang w:val="fr-FR"/>
        </w:rPr>
        <w:t xml:space="preserve">était </w:t>
      </w:r>
      <w:r w:rsidRPr="00AB0F35">
        <w:rPr>
          <w:bCs/>
          <w:lang w:val="fr-FR"/>
        </w:rPr>
        <w:t>un forum pour la pédagogie. Ce dont on avait débattu, c</w:t>
      </w:r>
      <w:r w:rsidR="00923E72">
        <w:rPr>
          <w:bCs/>
          <w:lang w:val="fr-FR"/>
        </w:rPr>
        <w:t>’</w:t>
      </w:r>
      <w:r w:rsidRPr="00AB0F35">
        <w:rPr>
          <w:bCs/>
          <w:lang w:val="fr-FR"/>
        </w:rPr>
        <w:t>était qu</w:t>
      </w:r>
      <w:r w:rsidR="00923E72">
        <w:rPr>
          <w:bCs/>
          <w:lang w:val="fr-FR"/>
        </w:rPr>
        <w:t>’</w:t>
      </w:r>
      <w:r w:rsidRPr="00AB0F35">
        <w:rPr>
          <w:bCs/>
          <w:lang w:val="fr-FR"/>
        </w:rPr>
        <w:t>à partir du moment où le Comité adoptait sa décision de retirer l</w:t>
      </w:r>
      <w:r w:rsidR="00923E72">
        <w:rPr>
          <w:bCs/>
          <w:lang w:val="fr-FR"/>
        </w:rPr>
        <w:t>’</w:t>
      </w:r>
      <w:r w:rsidRPr="00AB0F35">
        <w:rPr>
          <w:bCs/>
          <w:lang w:val="fr-FR"/>
        </w:rPr>
        <w:t xml:space="preserve">élément, ce qui relevait du </w:t>
      </w:r>
      <w:r>
        <w:rPr>
          <w:bCs/>
          <w:lang w:val="fr-FR"/>
        </w:rPr>
        <w:t xml:space="preserve">domaine </w:t>
      </w:r>
      <w:r w:rsidRPr="00AB0F35">
        <w:rPr>
          <w:bCs/>
          <w:lang w:val="fr-FR"/>
        </w:rPr>
        <w:t>de compétence du Comité, il ne devait pas interférer avec la souveraineté des États membres et la respecter. Le Président a remercié tous les membres du Comité et a levé la séance du matin.</w:t>
      </w:r>
    </w:p>
    <w:p w14:paraId="15443EE9" w14:textId="77777777" w:rsidR="000208E0" w:rsidRDefault="000208E0" w:rsidP="00702497">
      <w:pPr>
        <w:pStyle w:val="Orateurengris"/>
        <w:tabs>
          <w:tab w:val="left" w:pos="5954"/>
        </w:tabs>
        <w:spacing w:before="120"/>
        <w:ind w:left="709"/>
        <w:rPr>
          <w:bCs/>
          <w:lang w:val="fr-FR"/>
        </w:rPr>
      </w:pPr>
    </w:p>
    <w:p w14:paraId="1D5D60AF" w14:textId="21A99F3E" w:rsidR="000208E0" w:rsidRPr="00702497" w:rsidRDefault="000208E0" w:rsidP="00702497">
      <w:pPr>
        <w:pStyle w:val="Orateurengris"/>
        <w:tabs>
          <w:tab w:val="left" w:pos="5954"/>
        </w:tabs>
        <w:spacing w:before="120"/>
        <w:ind w:left="709"/>
        <w:jc w:val="center"/>
        <w:rPr>
          <w:bCs/>
          <w:i/>
          <w:iCs/>
          <w:lang w:val="fr-FR"/>
        </w:rPr>
      </w:pPr>
      <w:r w:rsidRPr="00702497">
        <w:rPr>
          <w:bCs/>
          <w:i/>
          <w:iCs/>
          <w:lang w:val="fr-FR"/>
        </w:rPr>
        <w:t>[Vendredi 2 décembre</w:t>
      </w:r>
      <w:r w:rsidR="001A7AF7">
        <w:rPr>
          <w:bCs/>
          <w:i/>
          <w:iCs/>
          <w:lang w:val="fr-FR"/>
        </w:rPr>
        <w:t> </w:t>
      </w:r>
      <w:r w:rsidRPr="00702497">
        <w:rPr>
          <w:bCs/>
          <w:i/>
          <w:iCs/>
          <w:lang w:val="fr-FR"/>
        </w:rPr>
        <w:t>2022, séance de l</w:t>
      </w:r>
      <w:r w:rsidR="00923E72">
        <w:rPr>
          <w:bCs/>
          <w:i/>
          <w:iCs/>
          <w:lang w:val="fr-FR"/>
        </w:rPr>
        <w:t>’</w:t>
      </w:r>
      <w:r w:rsidRPr="00702497">
        <w:rPr>
          <w:bCs/>
          <w:i/>
          <w:iCs/>
          <w:lang w:val="fr-FR"/>
        </w:rPr>
        <w:t>ap</w:t>
      </w:r>
      <w:r>
        <w:rPr>
          <w:bCs/>
          <w:i/>
          <w:iCs/>
          <w:lang w:val="fr-FR"/>
        </w:rPr>
        <w:t>r</w:t>
      </w:r>
      <w:r w:rsidRPr="00702497">
        <w:rPr>
          <w:bCs/>
          <w:i/>
          <w:iCs/>
          <w:lang w:val="fr-FR"/>
        </w:rPr>
        <w:t>ès-midi]</w:t>
      </w:r>
    </w:p>
    <w:p w14:paraId="125CE814" w14:textId="034EE0D9" w:rsidR="006375BC" w:rsidRPr="004877F0" w:rsidRDefault="006375BC" w:rsidP="00702497">
      <w:pPr>
        <w:pStyle w:val="Marge"/>
        <w:keepNext/>
        <w:tabs>
          <w:tab w:val="clear" w:pos="567"/>
          <w:tab w:val="left" w:pos="709"/>
          <w:tab w:val="left" w:pos="1418"/>
          <w:tab w:val="left" w:pos="2126"/>
          <w:tab w:val="left" w:pos="2835"/>
        </w:tabs>
        <w:spacing w:before="360" w:after="60"/>
        <w:jc w:val="left"/>
        <w:outlineLvl w:val="0"/>
        <w:rPr>
          <w:rFonts w:eastAsiaTheme="minorHAnsi" w:cs="Arial"/>
          <w:b/>
          <w:color w:val="000000" w:themeColor="text1"/>
          <w:szCs w:val="22"/>
        </w:rPr>
      </w:pPr>
      <w:r w:rsidRPr="00AA7EE4">
        <w:rPr>
          <w:rFonts w:eastAsiaTheme="minorHAnsi" w:cs="Arial"/>
          <w:b/>
          <w:color w:val="000000" w:themeColor="text1"/>
          <w:szCs w:val="22"/>
          <w:u w:val="single"/>
        </w:rPr>
        <w:t>POINT</w:t>
      </w:r>
      <w:r w:rsidR="0073323E">
        <w:rPr>
          <w:rFonts w:eastAsiaTheme="minorHAnsi" w:cs="Arial"/>
          <w:b/>
          <w:color w:val="000000" w:themeColor="text1"/>
          <w:szCs w:val="22"/>
          <w:u w:val="single"/>
        </w:rPr>
        <w:t> </w:t>
      </w:r>
      <w:r w:rsidRPr="00AA7EE4">
        <w:rPr>
          <w:rFonts w:eastAsiaTheme="minorHAnsi" w:cs="Arial"/>
          <w:b/>
          <w:color w:val="000000" w:themeColor="text1"/>
          <w:szCs w:val="22"/>
          <w:u w:val="single"/>
        </w:rPr>
        <w:t>8 DE L</w:t>
      </w:r>
      <w:r w:rsidR="00923E72">
        <w:rPr>
          <w:rFonts w:eastAsiaTheme="minorHAnsi" w:cs="Arial"/>
          <w:b/>
          <w:color w:val="000000" w:themeColor="text1"/>
          <w:szCs w:val="22"/>
          <w:u w:val="single"/>
        </w:rPr>
        <w:t>’</w:t>
      </w:r>
      <w:r w:rsidRPr="00AA7EE4">
        <w:rPr>
          <w:rFonts w:eastAsiaTheme="minorHAnsi" w:cs="Arial"/>
          <w:b/>
          <w:color w:val="000000" w:themeColor="text1"/>
          <w:szCs w:val="22"/>
          <w:u w:val="single"/>
        </w:rPr>
        <w:t>ORDRE DU JOUR</w:t>
      </w:r>
      <w:r>
        <w:rPr>
          <w:rFonts w:eastAsiaTheme="minorHAnsi" w:cs="Arial"/>
          <w:b/>
          <w:color w:val="000000" w:themeColor="text1"/>
          <w:szCs w:val="22"/>
          <w:u w:val="single"/>
        </w:rPr>
        <w:t> [SUITE]</w:t>
      </w:r>
      <w:r w:rsidRPr="00AA7EE4">
        <w:rPr>
          <w:rFonts w:eastAsiaTheme="minorHAnsi" w:cs="Arial"/>
          <w:b/>
          <w:color w:val="000000" w:themeColor="text1"/>
          <w:szCs w:val="22"/>
        </w:rPr>
        <w:t> :</w:t>
      </w:r>
    </w:p>
    <w:p w14:paraId="113FF533" w14:textId="77777777" w:rsidR="006375BC" w:rsidRPr="004877F0" w:rsidRDefault="006375BC" w:rsidP="00702497">
      <w:pPr>
        <w:pStyle w:val="Orateurengris"/>
        <w:keepNext/>
        <w:tabs>
          <w:tab w:val="clear" w:pos="709"/>
          <w:tab w:val="clear" w:pos="1418"/>
          <w:tab w:val="clear" w:pos="2126"/>
          <w:tab w:val="clear" w:pos="2835"/>
        </w:tabs>
        <w:outlineLvl w:val="0"/>
        <w:rPr>
          <w:b/>
          <w:color w:val="000000" w:themeColor="text1"/>
          <w:lang w:val="fr-FR"/>
        </w:rPr>
      </w:pPr>
      <w:r w:rsidRPr="00AA7EE4">
        <w:rPr>
          <w:b/>
          <w:color w:val="000000" w:themeColor="text1"/>
          <w:lang w:val="fr-FR"/>
        </w:rPr>
        <w:t xml:space="preserve">SUIVI DES ÉLÉMENTS </w:t>
      </w:r>
      <w:r>
        <w:rPr>
          <w:b/>
          <w:color w:val="000000" w:themeColor="text1"/>
          <w:lang w:val="fr-FR"/>
        </w:rPr>
        <w:t xml:space="preserve">INSCRITS SUR LES LISTES DE LA </w:t>
      </w:r>
      <w:r w:rsidRPr="00AA7EE4">
        <w:rPr>
          <w:b/>
          <w:color w:val="000000" w:themeColor="text1"/>
          <w:lang w:val="fr-FR"/>
        </w:rPr>
        <w:t>CONVENTION</w:t>
      </w:r>
    </w:p>
    <w:p w14:paraId="6E356B29" w14:textId="0F3E4518" w:rsidR="006375BC" w:rsidRDefault="006375BC" w:rsidP="00D70452">
      <w:pPr>
        <w:pStyle w:val="Orateurengris"/>
        <w:numPr>
          <w:ilvl w:val="0"/>
          <w:numId w:val="20"/>
        </w:numPr>
        <w:tabs>
          <w:tab w:val="clear" w:pos="567"/>
          <w:tab w:val="left" w:pos="5954"/>
        </w:tabs>
        <w:spacing w:before="120"/>
        <w:ind w:left="709" w:hanging="709"/>
        <w:rPr>
          <w:bCs/>
          <w:lang w:val="fr-FR"/>
        </w:rPr>
      </w:pPr>
      <w:r w:rsidRPr="006375BC">
        <w:rPr>
          <w:bCs/>
          <w:lang w:val="fr-FR"/>
        </w:rPr>
        <w:t xml:space="preserve">Le </w:t>
      </w:r>
      <w:r w:rsidRPr="00702497">
        <w:rPr>
          <w:b/>
          <w:lang w:val="fr-FR"/>
        </w:rPr>
        <w:t>Président</w:t>
      </w:r>
      <w:r w:rsidRPr="006375BC">
        <w:rPr>
          <w:bCs/>
          <w:lang w:val="fr-FR"/>
        </w:rPr>
        <w:t xml:space="preserve"> a souhaité la bienvenue aux délégués pour la séance de l</w:t>
      </w:r>
      <w:r w:rsidR="00923E72">
        <w:rPr>
          <w:bCs/>
          <w:lang w:val="fr-FR"/>
        </w:rPr>
        <w:t>’</w:t>
      </w:r>
      <w:r w:rsidRPr="006375BC">
        <w:rPr>
          <w:bCs/>
          <w:lang w:val="fr-FR"/>
        </w:rPr>
        <w:t>après-midi, rappelant la discussion significative et importante sur le point</w:t>
      </w:r>
      <w:r w:rsidR="000208E0">
        <w:rPr>
          <w:bCs/>
          <w:lang w:val="fr-FR"/>
        </w:rPr>
        <w:t> </w:t>
      </w:r>
      <w:r w:rsidRPr="006375BC">
        <w:rPr>
          <w:bCs/>
          <w:lang w:val="fr-FR"/>
        </w:rPr>
        <w:t>8.a de l</w:t>
      </w:r>
      <w:r w:rsidR="00923E72">
        <w:rPr>
          <w:bCs/>
          <w:lang w:val="fr-FR"/>
        </w:rPr>
        <w:t>’</w:t>
      </w:r>
      <w:r w:rsidRPr="006375BC">
        <w:rPr>
          <w:bCs/>
          <w:lang w:val="fr-FR"/>
        </w:rPr>
        <w:t xml:space="preserve">ordre du jour et remerciant les membres du Comité pour leur esprit de collaboration et </w:t>
      </w:r>
      <w:r w:rsidR="00390221">
        <w:rPr>
          <w:bCs/>
          <w:lang w:val="fr-FR"/>
        </w:rPr>
        <w:t>d</w:t>
      </w:r>
      <w:r w:rsidR="00923E72">
        <w:rPr>
          <w:bCs/>
          <w:lang w:val="fr-FR"/>
        </w:rPr>
        <w:t>’</w:t>
      </w:r>
      <w:r w:rsidRPr="006375BC">
        <w:rPr>
          <w:bCs/>
          <w:lang w:val="fr-FR"/>
        </w:rPr>
        <w:t>être parvenus à trouver un terrain d</w:t>
      </w:r>
      <w:r w:rsidR="00923E72">
        <w:rPr>
          <w:bCs/>
          <w:lang w:val="fr-FR"/>
        </w:rPr>
        <w:t>’</w:t>
      </w:r>
      <w:r w:rsidRPr="006375BC">
        <w:rPr>
          <w:bCs/>
          <w:lang w:val="fr-FR"/>
        </w:rPr>
        <w:t>entente. Le Comité était également très satisfait de la décision de tenir la prochaine session du Comité au Botswana ainsi que de l</w:t>
      </w:r>
      <w:r w:rsidR="00923E72">
        <w:rPr>
          <w:bCs/>
          <w:lang w:val="fr-FR"/>
        </w:rPr>
        <w:t>’</w:t>
      </w:r>
      <w:r w:rsidRPr="006375BC">
        <w:rPr>
          <w:bCs/>
          <w:lang w:val="fr-FR"/>
        </w:rPr>
        <w:t>élection des nouveaux membres du Bureau. Le Président s</w:t>
      </w:r>
      <w:r w:rsidR="00923E72">
        <w:rPr>
          <w:bCs/>
          <w:lang w:val="fr-FR"/>
        </w:rPr>
        <w:t>’</w:t>
      </w:r>
      <w:r w:rsidRPr="006375BC">
        <w:rPr>
          <w:bCs/>
          <w:lang w:val="fr-FR"/>
        </w:rPr>
        <w:t>est réjoui de pouvoir profiter de la riche culture et de l</w:t>
      </w:r>
      <w:r w:rsidR="00923E72">
        <w:rPr>
          <w:bCs/>
          <w:lang w:val="fr-FR"/>
        </w:rPr>
        <w:t>’</w:t>
      </w:r>
      <w:r w:rsidRPr="006375BC">
        <w:rPr>
          <w:bCs/>
          <w:lang w:val="fr-FR"/>
        </w:rPr>
        <w:t>hospitalité du Botswana en</w:t>
      </w:r>
      <w:r w:rsidR="00CB5654">
        <w:rPr>
          <w:bCs/>
          <w:lang w:val="fr-FR"/>
        </w:rPr>
        <w:t> </w:t>
      </w:r>
      <w:r w:rsidRPr="006375BC">
        <w:rPr>
          <w:bCs/>
          <w:lang w:val="fr-FR"/>
        </w:rPr>
        <w:t>2023. Il est ensuite passé à la deuxième partie du point</w:t>
      </w:r>
      <w:r>
        <w:rPr>
          <w:bCs/>
          <w:lang w:val="fr-FR"/>
        </w:rPr>
        <w:t> </w:t>
      </w:r>
      <w:r w:rsidRPr="006375BC">
        <w:rPr>
          <w:bCs/>
          <w:lang w:val="fr-FR"/>
        </w:rPr>
        <w:t>8 de l</w:t>
      </w:r>
      <w:r w:rsidR="00923E72">
        <w:rPr>
          <w:bCs/>
          <w:lang w:val="fr-FR"/>
        </w:rPr>
        <w:t>’</w:t>
      </w:r>
      <w:r w:rsidRPr="006375BC">
        <w:rPr>
          <w:bCs/>
          <w:lang w:val="fr-FR"/>
        </w:rPr>
        <w:t>ordre du jour et au sous</w:t>
      </w:r>
      <w:r>
        <w:rPr>
          <w:bCs/>
          <w:lang w:val="fr-FR"/>
        </w:rPr>
        <w:noBreakHyphen/>
      </w:r>
      <w:r w:rsidRPr="006375BC">
        <w:rPr>
          <w:bCs/>
          <w:lang w:val="fr-FR"/>
        </w:rPr>
        <w:t>point</w:t>
      </w:r>
      <w:r>
        <w:rPr>
          <w:bCs/>
          <w:lang w:val="fr-FR"/>
        </w:rPr>
        <w:t> </w:t>
      </w:r>
      <w:r w:rsidRPr="006375BC">
        <w:rPr>
          <w:bCs/>
          <w:lang w:val="fr-FR"/>
        </w:rPr>
        <w:t>8.b [concernant la correspondance sur deux autres éléments], proposant d</w:t>
      </w:r>
      <w:r w:rsidR="00923E72">
        <w:rPr>
          <w:bCs/>
          <w:lang w:val="fr-FR"/>
        </w:rPr>
        <w:t>’</w:t>
      </w:r>
      <w:r w:rsidRPr="006375BC">
        <w:rPr>
          <w:bCs/>
          <w:lang w:val="fr-FR"/>
        </w:rPr>
        <w:t>adopter le projet de décision paragraphe par paragraphe. En l</w:t>
      </w:r>
      <w:r w:rsidR="00923E72">
        <w:rPr>
          <w:bCs/>
          <w:lang w:val="fr-FR"/>
        </w:rPr>
        <w:t>’</w:t>
      </w:r>
      <w:r w:rsidRPr="006375BC">
        <w:rPr>
          <w:bCs/>
          <w:lang w:val="fr-FR"/>
        </w:rPr>
        <w:t>absence de commentaires ou d</w:t>
      </w:r>
      <w:r w:rsidR="00923E72">
        <w:rPr>
          <w:bCs/>
          <w:lang w:val="fr-FR"/>
        </w:rPr>
        <w:t>’</w:t>
      </w:r>
      <w:r w:rsidRPr="006375BC">
        <w:rPr>
          <w:bCs/>
          <w:lang w:val="fr-FR"/>
        </w:rPr>
        <w:t>objections, les paragraphes</w:t>
      </w:r>
      <w:r>
        <w:rPr>
          <w:bCs/>
          <w:lang w:val="fr-FR"/>
        </w:rPr>
        <w:t> </w:t>
      </w:r>
      <w:r w:rsidRPr="006375BC">
        <w:rPr>
          <w:bCs/>
          <w:lang w:val="fr-FR"/>
        </w:rPr>
        <w:t>1 à</w:t>
      </w:r>
      <w:r>
        <w:rPr>
          <w:bCs/>
          <w:lang w:val="fr-FR"/>
        </w:rPr>
        <w:t> </w:t>
      </w:r>
      <w:r w:rsidRPr="006375BC">
        <w:rPr>
          <w:bCs/>
          <w:lang w:val="fr-FR"/>
        </w:rPr>
        <w:t xml:space="preserve">4 ont été dûment adoptés. Le </w:t>
      </w:r>
      <w:r w:rsidRPr="00702497">
        <w:rPr>
          <w:b/>
          <w:lang w:val="fr-FR"/>
        </w:rPr>
        <w:t>Président a déclaré la décision</w:t>
      </w:r>
      <w:r w:rsidR="000208E0">
        <w:rPr>
          <w:b/>
          <w:lang w:val="fr-FR"/>
        </w:rPr>
        <w:t> </w:t>
      </w:r>
      <w:hyperlink r:id="rId89" w:history="1">
        <w:r w:rsidRPr="00702497">
          <w:rPr>
            <w:rStyle w:val="Hyperlink"/>
            <w:b/>
          </w:rPr>
          <w:t>17.COM</w:t>
        </w:r>
        <w:r>
          <w:rPr>
            <w:rStyle w:val="Hyperlink"/>
            <w:b/>
          </w:rPr>
          <w:t> </w:t>
        </w:r>
        <w:r w:rsidRPr="00702497">
          <w:rPr>
            <w:rStyle w:val="Hyperlink"/>
            <w:b/>
          </w:rPr>
          <w:t>8.b</w:t>
        </w:r>
      </w:hyperlink>
      <w:r>
        <w:rPr>
          <w:b/>
          <w:lang w:val="fr-FR"/>
        </w:rPr>
        <w:t xml:space="preserve"> </w:t>
      </w:r>
      <w:r w:rsidRPr="00702497">
        <w:rPr>
          <w:b/>
          <w:lang w:val="fr-FR"/>
        </w:rPr>
        <w:t>adoptée</w:t>
      </w:r>
      <w:r w:rsidRPr="006375BC">
        <w:rPr>
          <w:bCs/>
          <w:lang w:val="fr-FR"/>
        </w:rPr>
        <w:t>.</w:t>
      </w:r>
    </w:p>
    <w:p w14:paraId="2917BA2E" w14:textId="62ED68CE" w:rsidR="006375BC" w:rsidRPr="00702497" w:rsidRDefault="006375BC" w:rsidP="00702497">
      <w:pPr>
        <w:pStyle w:val="Marge"/>
        <w:keepNext/>
        <w:tabs>
          <w:tab w:val="clear" w:pos="567"/>
          <w:tab w:val="left" w:pos="709"/>
          <w:tab w:val="left" w:pos="1418"/>
          <w:tab w:val="left" w:pos="2126"/>
          <w:tab w:val="left" w:pos="2835"/>
        </w:tabs>
        <w:spacing w:before="360" w:after="60"/>
        <w:jc w:val="left"/>
        <w:outlineLvl w:val="0"/>
        <w:rPr>
          <w:rFonts w:eastAsiaTheme="minorHAnsi" w:cs="Arial"/>
          <w:b/>
          <w:color w:val="000000" w:themeColor="text1"/>
          <w:szCs w:val="22"/>
        </w:rPr>
      </w:pPr>
      <w:r>
        <w:rPr>
          <w:rFonts w:eastAsiaTheme="minorHAnsi" w:cs="Arial"/>
          <w:b/>
          <w:color w:val="000000" w:themeColor="text1"/>
          <w:szCs w:val="22"/>
          <w:u w:val="single"/>
        </w:rPr>
        <w:t>POINT</w:t>
      </w:r>
      <w:r w:rsidR="0073323E">
        <w:rPr>
          <w:rFonts w:eastAsiaTheme="minorHAnsi" w:cs="Arial"/>
          <w:b/>
          <w:color w:val="000000" w:themeColor="text1"/>
          <w:szCs w:val="22"/>
          <w:u w:val="single"/>
        </w:rPr>
        <w:t> </w:t>
      </w:r>
      <w:r>
        <w:rPr>
          <w:rFonts w:eastAsiaTheme="minorHAnsi" w:cs="Arial"/>
          <w:b/>
          <w:color w:val="000000" w:themeColor="text1"/>
          <w:szCs w:val="22"/>
          <w:u w:val="single"/>
        </w:rPr>
        <w:t>9 DE L</w:t>
      </w:r>
      <w:r w:rsidR="00923E72">
        <w:rPr>
          <w:rFonts w:eastAsiaTheme="minorHAnsi" w:cs="Arial"/>
          <w:b/>
          <w:color w:val="000000" w:themeColor="text1"/>
          <w:szCs w:val="22"/>
          <w:u w:val="single"/>
        </w:rPr>
        <w:t>’</w:t>
      </w:r>
      <w:r w:rsidRPr="006375BC">
        <w:rPr>
          <w:rFonts w:eastAsiaTheme="minorHAnsi" w:cs="Arial"/>
          <w:b/>
          <w:color w:val="000000" w:themeColor="text1"/>
          <w:szCs w:val="22"/>
          <w:u w:val="single"/>
        </w:rPr>
        <w:t>ORDRE DU JOUR</w:t>
      </w:r>
      <w:r w:rsidRPr="006375BC">
        <w:rPr>
          <w:rFonts w:eastAsiaTheme="minorHAnsi" w:cs="Arial"/>
          <w:b/>
          <w:color w:val="000000" w:themeColor="text1"/>
          <w:szCs w:val="22"/>
        </w:rPr>
        <w:t> </w:t>
      </w:r>
      <w:r>
        <w:rPr>
          <w:rFonts w:eastAsiaTheme="minorHAnsi" w:cs="Arial"/>
          <w:b/>
          <w:color w:val="000000" w:themeColor="text1"/>
          <w:szCs w:val="22"/>
        </w:rPr>
        <w:t>:</w:t>
      </w:r>
    </w:p>
    <w:p w14:paraId="0E4E44DD" w14:textId="44C04252" w:rsidR="006375BC" w:rsidRPr="006375BC" w:rsidRDefault="006375BC" w:rsidP="00702497">
      <w:pPr>
        <w:pStyle w:val="Marge"/>
        <w:keepNext/>
        <w:tabs>
          <w:tab w:val="clear" w:pos="567"/>
          <w:tab w:val="left" w:pos="709"/>
          <w:tab w:val="left" w:pos="1418"/>
          <w:tab w:val="left" w:pos="2126"/>
          <w:tab w:val="left" w:pos="2835"/>
        </w:tabs>
        <w:spacing w:after="120"/>
        <w:jc w:val="left"/>
        <w:outlineLvl w:val="0"/>
        <w:rPr>
          <w:b/>
          <w:color w:val="000000" w:themeColor="text1"/>
        </w:rPr>
      </w:pPr>
      <w:r w:rsidRPr="006375BC">
        <w:rPr>
          <w:b/>
          <w:color w:val="000000" w:themeColor="text1"/>
        </w:rPr>
        <w:t>R</w:t>
      </w:r>
      <w:r>
        <w:rPr>
          <w:b/>
          <w:color w:val="000000" w:themeColor="text1"/>
        </w:rPr>
        <w:t xml:space="preserve">APPORT DU FORUM DES </w:t>
      </w:r>
      <w:r w:rsidRPr="006375BC">
        <w:rPr>
          <w:b/>
          <w:color w:val="000000" w:themeColor="text1"/>
        </w:rPr>
        <w:t>ORGANISATIO</w:t>
      </w:r>
      <w:r>
        <w:rPr>
          <w:b/>
          <w:color w:val="000000" w:themeColor="text1"/>
        </w:rPr>
        <w:t xml:space="preserve">NS NON </w:t>
      </w:r>
      <w:r w:rsidRPr="006375BC">
        <w:rPr>
          <w:b/>
          <w:color w:val="000000" w:themeColor="text1"/>
        </w:rPr>
        <w:t>GOUVERNEMEN</w:t>
      </w:r>
      <w:r>
        <w:rPr>
          <w:b/>
          <w:color w:val="000000" w:themeColor="text1"/>
        </w:rPr>
        <w:t>TALES</w:t>
      </w:r>
    </w:p>
    <w:p w14:paraId="6BB49711" w14:textId="1C905757" w:rsidR="006375BC" w:rsidRPr="006375BC" w:rsidRDefault="006375BC" w:rsidP="00702497">
      <w:pPr>
        <w:pStyle w:val="Orateurengris"/>
        <w:tabs>
          <w:tab w:val="clear" w:pos="709"/>
          <w:tab w:val="clear" w:pos="1418"/>
          <w:tab w:val="clear" w:pos="2126"/>
          <w:tab w:val="clear" w:pos="2835"/>
        </w:tabs>
        <w:spacing w:after="0"/>
        <w:ind w:left="567" w:firstLine="142"/>
        <w:rPr>
          <w:lang w:val="fr-FR"/>
        </w:rPr>
      </w:pPr>
      <w:r w:rsidRPr="006375BC">
        <w:rPr>
          <w:b/>
          <w:color w:val="000000" w:themeColor="text1"/>
          <w:lang w:val="fr-FR"/>
        </w:rPr>
        <w:t>Document</w:t>
      </w:r>
      <w:r>
        <w:rPr>
          <w:b/>
          <w:color w:val="000000" w:themeColor="text1"/>
          <w:lang w:val="fr-FR"/>
        </w:rPr>
        <w:t> </w:t>
      </w:r>
      <w:r w:rsidRPr="006375BC">
        <w:rPr>
          <w:b/>
          <w:color w:val="000000" w:themeColor="text1"/>
          <w:lang w:val="fr-FR"/>
        </w:rPr>
        <w:t>:</w:t>
      </w:r>
      <w:r w:rsidRPr="006375BC">
        <w:rPr>
          <w:b/>
          <w:iCs/>
          <w:color w:val="000000" w:themeColor="text1"/>
          <w:lang w:val="fr-FR"/>
        </w:rPr>
        <w:tab/>
      </w:r>
      <w:hyperlink r:id="rId90" w:history="1">
        <w:r w:rsidRPr="006375BC">
          <w:rPr>
            <w:rStyle w:val="Hyperlink"/>
            <w:i/>
            <w:lang w:val="fr-FR"/>
          </w:rPr>
          <w:t>LHE/22/17.COM/9</w:t>
        </w:r>
      </w:hyperlink>
    </w:p>
    <w:p w14:paraId="0A145DA4" w14:textId="0188CDF1" w:rsidR="006375BC" w:rsidRPr="006375BC" w:rsidRDefault="006375BC" w:rsidP="00702497">
      <w:pPr>
        <w:pStyle w:val="ListParagraph"/>
        <w:widowControl w:val="0"/>
        <w:autoSpaceDE w:val="0"/>
        <w:autoSpaceDN w:val="0"/>
        <w:adjustRightInd w:val="0"/>
        <w:spacing w:before="60" w:after="240"/>
        <w:ind w:left="567" w:firstLine="142"/>
        <w:rPr>
          <w:i/>
          <w:color w:val="0000FF"/>
          <w:u w:val="single"/>
        </w:rPr>
      </w:pPr>
      <w:r w:rsidRPr="00702497">
        <w:rPr>
          <w:rFonts w:ascii="Arial" w:eastAsiaTheme="minorHAnsi" w:hAnsi="Arial"/>
          <w:b/>
          <w:color w:val="000000" w:themeColor="text1"/>
          <w:sz w:val="22"/>
          <w:lang w:eastAsia="en-US"/>
        </w:rPr>
        <w:t>D</w:t>
      </w:r>
      <w:r>
        <w:rPr>
          <w:rFonts w:ascii="Arial" w:eastAsiaTheme="minorHAnsi" w:hAnsi="Arial"/>
          <w:b/>
          <w:color w:val="000000" w:themeColor="text1"/>
          <w:sz w:val="22"/>
          <w:lang w:eastAsia="en-US"/>
        </w:rPr>
        <w:t>é</w:t>
      </w:r>
      <w:r w:rsidRPr="00702497">
        <w:rPr>
          <w:rFonts w:ascii="Arial" w:eastAsiaTheme="minorHAnsi" w:hAnsi="Arial"/>
          <w:b/>
          <w:color w:val="000000" w:themeColor="text1"/>
          <w:sz w:val="22"/>
          <w:lang w:eastAsia="en-US"/>
        </w:rPr>
        <w:t>cision</w:t>
      </w:r>
      <w:r>
        <w:rPr>
          <w:rFonts w:ascii="Arial" w:eastAsiaTheme="minorHAnsi" w:hAnsi="Arial"/>
          <w:b/>
          <w:color w:val="000000" w:themeColor="text1"/>
          <w:sz w:val="22"/>
          <w:lang w:eastAsia="en-US"/>
        </w:rPr>
        <w:t> </w:t>
      </w:r>
      <w:r w:rsidRPr="006375BC">
        <w:rPr>
          <w:b/>
          <w:color w:val="000000" w:themeColor="text1"/>
        </w:rPr>
        <w:t>:</w:t>
      </w:r>
      <w:r w:rsidRPr="006375BC">
        <w:rPr>
          <w:bCs/>
          <w:color w:val="000000" w:themeColor="text1"/>
        </w:rPr>
        <w:tab/>
      </w:r>
      <w:hyperlink r:id="rId91" w:history="1">
        <w:r w:rsidRPr="006375BC">
          <w:rPr>
            <w:rStyle w:val="Hyperlink"/>
            <w:rFonts w:asciiTheme="minorBidi" w:hAnsiTheme="minorBidi" w:cstheme="minorBidi"/>
            <w:i/>
            <w:sz w:val="22"/>
            <w:szCs w:val="22"/>
          </w:rPr>
          <w:t>17.COM</w:t>
        </w:r>
        <w:r w:rsidR="00390221">
          <w:rPr>
            <w:rStyle w:val="Hyperlink"/>
            <w:rFonts w:asciiTheme="minorBidi" w:hAnsiTheme="minorBidi" w:cstheme="minorBidi"/>
            <w:i/>
            <w:sz w:val="22"/>
            <w:szCs w:val="22"/>
          </w:rPr>
          <w:t> </w:t>
        </w:r>
        <w:r w:rsidRPr="006375BC">
          <w:rPr>
            <w:rStyle w:val="Hyperlink"/>
            <w:rFonts w:asciiTheme="minorBidi" w:hAnsiTheme="minorBidi" w:cstheme="minorBidi"/>
            <w:i/>
            <w:sz w:val="22"/>
            <w:szCs w:val="22"/>
          </w:rPr>
          <w:t>9</w:t>
        </w:r>
      </w:hyperlink>
    </w:p>
    <w:p w14:paraId="258DFFDC" w14:textId="48DAA4CA" w:rsidR="006375BC" w:rsidRDefault="00ED2E52" w:rsidP="00D70452">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point</w:t>
      </w:r>
      <w:r w:rsidR="000208E0">
        <w:rPr>
          <w:bCs/>
          <w:lang w:val="fr-FR"/>
        </w:rPr>
        <w:t> </w:t>
      </w:r>
      <w:r>
        <w:rPr>
          <w:bCs/>
          <w:lang w:val="fr-FR"/>
        </w:rPr>
        <w:t>9 de l</w:t>
      </w:r>
      <w:r w:rsidR="00923E72">
        <w:rPr>
          <w:bCs/>
          <w:lang w:val="fr-FR"/>
        </w:rPr>
        <w:t>’</w:t>
      </w:r>
      <w:r w:rsidRPr="00ED2E52">
        <w:rPr>
          <w:bCs/>
          <w:lang w:val="fr-FR"/>
        </w:rPr>
        <w:t>ordre du jour</w:t>
      </w:r>
      <w:r>
        <w:rPr>
          <w:bCs/>
          <w:lang w:val="fr-FR"/>
        </w:rPr>
        <w:t>, le rapport du Forum des ONG.</w:t>
      </w:r>
    </w:p>
    <w:p w14:paraId="5C11A14D" w14:textId="573EE8B6" w:rsidR="00ED2E52" w:rsidRDefault="00915774">
      <w:pPr>
        <w:pStyle w:val="Orateurengris"/>
        <w:numPr>
          <w:ilvl w:val="0"/>
          <w:numId w:val="20"/>
        </w:numPr>
        <w:tabs>
          <w:tab w:val="clear" w:pos="567"/>
          <w:tab w:val="left" w:pos="5954"/>
        </w:tabs>
        <w:spacing w:before="120"/>
        <w:ind w:left="709" w:hanging="709"/>
        <w:rPr>
          <w:bCs/>
          <w:lang w:val="fr-FR"/>
        </w:rPr>
      </w:pPr>
      <w:r>
        <w:rPr>
          <w:bCs/>
          <w:lang w:val="fr-FR"/>
        </w:rPr>
        <w:lastRenderedPageBreak/>
        <w:t xml:space="preserve">Le </w:t>
      </w:r>
      <w:r w:rsidRPr="00702497">
        <w:rPr>
          <w:b/>
          <w:lang w:val="fr-FR"/>
        </w:rPr>
        <w:t>Secrétaire</w:t>
      </w:r>
      <w:r>
        <w:rPr>
          <w:bCs/>
          <w:lang w:val="fr-FR"/>
        </w:rPr>
        <w:t xml:space="preserve"> a rappelé que c</w:t>
      </w:r>
      <w:r w:rsidR="00923E72">
        <w:rPr>
          <w:bCs/>
          <w:lang w:val="fr-FR"/>
        </w:rPr>
        <w:t>’</w:t>
      </w:r>
      <w:r>
        <w:rPr>
          <w:bCs/>
          <w:lang w:val="fr-FR"/>
        </w:rPr>
        <w:t xml:space="preserve">était la troisième session consécutive au cours de laquelle le Comité examinerait le rapport du Forum des </w:t>
      </w:r>
      <w:r w:rsidR="007121BA">
        <w:rPr>
          <w:bCs/>
          <w:lang w:val="fr-FR"/>
        </w:rPr>
        <w:t xml:space="preserve">organisations non gouvernementales </w:t>
      </w:r>
      <w:r>
        <w:rPr>
          <w:bCs/>
          <w:lang w:val="fr-FR"/>
        </w:rPr>
        <w:t>sous forme de point de l</w:t>
      </w:r>
      <w:r w:rsidR="00923E72">
        <w:rPr>
          <w:bCs/>
          <w:lang w:val="fr-FR"/>
        </w:rPr>
        <w:t>’</w:t>
      </w:r>
      <w:r w:rsidRPr="00915774">
        <w:rPr>
          <w:bCs/>
          <w:lang w:val="fr-FR"/>
        </w:rPr>
        <w:t>ordre du jour</w:t>
      </w:r>
      <w:r>
        <w:rPr>
          <w:bCs/>
          <w:lang w:val="fr-FR"/>
        </w:rPr>
        <w:t xml:space="preserve"> à part entière. Cette décision reconnaissait le rôle important joué par les ONG dans la mise en œuvre de la Convention.</w:t>
      </w:r>
    </w:p>
    <w:p w14:paraId="1EB7C0D6" w14:textId="35E506FE" w:rsidR="00915774" w:rsidRDefault="00251FAC">
      <w:pPr>
        <w:pStyle w:val="Orateurengris"/>
        <w:numPr>
          <w:ilvl w:val="0"/>
          <w:numId w:val="20"/>
        </w:numPr>
        <w:tabs>
          <w:tab w:val="clear" w:pos="567"/>
          <w:tab w:val="left" w:pos="5954"/>
        </w:tabs>
        <w:spacing w:before="120"/>
        <w:ind w:left="709" w:hanging="709"/>
        <w:rPr>
          <w:bCs/>
          <w:lang w:val="fr-FR"/>
        </w:rPr>
      </w:pPr>
      <w:r w:rsidRPr="006E3034">
        <w:rPr>
          <w:bCs/>
          <w:lang w:val="fr-FR"/>
        </w:rPr>
        <w:t>M. Leandro Peredo,</w:t>
      </w:r>
      <w:r w:rsidRPr="00702497">
        <w:rPr>
          <w:b/>
          <w:lang w:val="fr-FR"/>
        </w:rPr>
        <w:t xml:space="preserve"> du Secrétariat</w:t>
      </w:r>
      <w:r w:rsidRPr="00251FAC">
        <w:rPr>
          <w:bCs/>
          <w:lang w:val="fr-FR"/>
        </w:rPr>
        <w:t xml:space="preserve">, a expliqué que le rapport figurait </w:t>
      </w:r>
      <w:r w:rsidR="007121BA">
        <w:rPr>
          <w:bCs/>
          <w:lang w:val="fr-FR"/>
        </w:rPr>
        <w:t>dans l</w:t>
      </w:r>
      <w:r w:rsidR="00923E72">
        <w:rPr>
          <w:bCs/>
          <w:lang w:val="fr-FR"/>
        </w:rPr>
        <w:t>’</w:t>
      </w:r>
      <w:r w:rsidRPr="00251FAC">
        <w:rPr>
          <w:bCs/>
          <w:lang w:val="fr-FR"/>
        </w:rPr>
        <w:t>annexe du document de travail. Le rapport présentait une vue d</w:t>
      </w:r>
      <w:r w:rsidR="00923E72">
        <w:rPr>
          <w:bCs/>
          <w:lang w:val="fr-FR"/>
        </w:rPr>
        <w:t>’</w:t>
      </w:r>
      <w:r w:rsidRPr="00251FAC">
        <w:rPr>
          <w:bCs/>
          <w:lang w:val="fr-FR"/>
        </w:rPr>
        <w:t>ensemble des activités entreprises par le Forum au cours des années</w:t>
      </w:r>
      <w:r w:rsidR="00E451FB">
        <w:rPr>
          <w:bCs/>
          <w:lang w:val="fr-FR"/>
        </w:rPr>
        <w:t> </w:t>
      </w:r>
      <w:r w:rsidRPr="00251FAC">
        <w:rPr>
          <w:bCs/>
          <w:lang w:val="fr-FR"/>
        </w:rPr>
        <w:t>2021 et</w:t>
      </w:r>
      <w:r w:rsidR="00E451FB">
        <w:rPr>
          <w:bCs/>
          <w:lang w:val="fr-FR"/>
        </w:rPr>
        <w:t> </w:t>
      </w:r>
      <w:r w:rsidRPr="00251FAC">
        <w:rPr>
          <w:bCs/>
          <w:lang w:val="fr-FR"/>
        </w:rPr>
        <w:t>2022, avec notamment</w:t>
      </w:r>
      <w:r>
        <w:rPr>
          <w:bCs/>
          <w:lang w:val="fr-FR"/>
        </w:rPr>
        <w:t xml:space="preserve"> : </w:t>
      </w:r>
      <w:r w:rsidRPr="00251FAC">
        <w:rPr>
          <w:bCs/>
          <w:lang w:val="fr-FR"/>
        </w:rPr>
        <w:t>i)</w:t>
      </w:r>
      <w:r w:rsidR="00E451FB">
        <w:rPr>
          <w:bCs/>
          <w:lang w:val="fr-FR"/>
        </w:rPr>
        <w:t> </w:t>
      </w:r>
      <w:r w:rsidRPr="00251FAC">
        <w:rPr>
          <w:bCs/>
          <w:lang w:val="fr-FR"/>
        </w:rPr>
        <w:t>des initiatives au niveau international associées aux travaux des organes directeurs de la Convention</w:t>
      </w:r>
      <w:r>
        <w:rPr>
          <w:bCs/>
          <w:lang w:val="fr-FR"/>
        </w:rPr>
        <w:t> </w:t>
      </w:r>
      <w:r w:rsidRPr="00251FAC">
        <w:rPr>
          <w:bCs/>
          <w:lang w:val="fr-FR"/>
        </w:rPr>
        <w:t>; ii)</w:t>
      </w:r>
      <w:r w:rsidR="00E451FB">
        <w:rPr>
          <w:bCs/>
          <w:lang w:val="fr-FR"/>
        </w:rPr>
        <w:t> </w:t>
      </w:r>
      <w:r w:rsidRPr="00251FAC">
        <w:rPr>
          <w:bCs/>
          <w:lang w:val="fr-FR"/>
        </w:rPr>
        <w:t>des activités visant à accroître le nombre d</w:t>
      </w:r>
      <w:r w:rsidR="00923E72">
        <w:rPr>
          <w:bCs/>
          <w:lang w:val="fr-FR"/>
        </w:rPr>
        <w:t>’</w:t>
      </w:r>
      <w:r w:rsidRPr="00251FAC">
        <w:rPr>
          <w:bCs/>
          <w:lang w:val="fr-FR"/>
        </w:rPr>
        <w:t>ONG issues de régions sous-représentées</w:t>
      </w:r>
      <w:r>
        <w:rPr>
          <w:bCs/>
          <w:lang w:val="fr-FR"/>
        </w:rPr>
        <w:t> </w:t>
      </w:r>
      <w:r w:rsidRPr="00251FAC">
        <w:rPr>
          <w:bCs/>
          <w:lang w:val="fr-FR"/>
        </w:rPr>
        <w:t>; iii)</w:t>
      </w:r>
      <w:r>
        <w:rPr>
          <w:bCs/>
          <w:lang w:val="fr-FR"/>
        </w:rPr>
        <w:t> </w:t>
      </w:r>
      <w:r w:rsidRPr="00251FAC">
        <w:rPr>
          <w:bCs/>
          <w:lang w:val="fr-FR"/>
        </w:rPr>
        <w:t>les récent</w:t>
      </w:r>
      <w:r w:rsidR="007D0803">
        <w:rPr>
          <w:bCs/>
          <w:lang w:val="fr-FR"/>
        </w:rPr>
        <w:t>e</w:t>
      </w:r>
      <w:r w:rsidRPr="00251FAC">
        <w:rPr>
          <w:bCs/>
          <w:lang w:val="fr-FR"/>
        </w:rPr>
        <w:t xml:space="preserve">s </w:t>
      </w:r>
      <w:r w:rsidR="007D0803">
        <w:rPr>
          <w:bCs/>
          <w:lang w:val="fr-FR"/>
        </w:rPr>
        <w:t xml:space="preserve">évolutions </w:t>
      </w:r>
      <w:r w:rsidRPr="00251FAC">
        <w:rPr>
          <w:bCs/>
          <w:lang w:val="fr-FR"/>
        </w:rPr>
        <w:t>du Forum</w:t>
      </w:r>
      <w:r w:rsidR="007D0803">
        <w:rPr>
          <w:bCs/>
          <w:lang w:val="fr-FR"/>
        </w:rPr>
        <w:t xml:space="preserve"> concernant s</w:t>
      </w:r>
      <w:r w:rsidR="00806D37">
        <w:rPr>
          <w:bCs/>
          <w:lang w:val="fr-FR"/>
        </w:rPr>
        <w:t>a structure</w:t>
      </w:r>
      <w:r w:rsidR="007D0803">
        <w:rPr>
          <w:bCs/>
          <w:lang w:val="fr-FR"/>
        </w:rPr>
        <w:t xml:space="preserve"> </w:t>
      </w:r>
      <w:r w:rsidR="007D0803" w:rsidRPr="007D0803">
        <w:rPr>
          <w:bCs/>
          <w:lang w:val="fr-FR"/>
        </w:rPr>
        <w:t>organisation</w:t>
      </w:r>
      <w:r w:rsidR="00806D37">
        <w:rPr>
          <w:bCs/>
          <w:lang w:val="fr-FR"/>
        </w:rPr>
        <w:t>nelle</w:t>
      </w:r>
      <w:r>
        <w:rPr>
          <w:bCs/>
          <w:lang w:val="fr-FR"/>
        </w:rPr>
        <w:t> </w:t>
      </w:r>
      <w:r w:rsidRPr="00251FAC">
        <w:rPr>
          <w:bCs/>
          <w:lang w:val="fr-FR"/>
        </w:rPr>
        <w:t>; et iv)</w:t>
      </w:r>
      <w:r>
        <w:rPr>
          <w:bCs/>
          <w:lang w:val="fr-FR"/>
        </w:rPr>
        <w:t> </w:t>
      </w:r>
      <w:r w:rsidRPr="00251FAC">
        <w:rPr>
          <w:bCs/>
          <w:lang w:val="fr-FR"/>
        </w:rPr>
        <w:t>les points de vue et les p</w:t>
      </w:r>
      <w:r w:rsidR="00E451FB">
        <w:rPr>
          <w:bCs/>
          <w:lang w:val="fr-FR"/>
        </w:rPr>
        <w:t>rojets</w:t>
      </w:r>
      <w:r w:rsidRPr="00251FAC">
        <w:rPr>
          <w:bCs/>
          <w:lang w:val="fr-FR"/>
        </w:rPr>
        <w:t xml:space="preserve"> du Forum </w:t>
      </w:r>
      <w:r>
        <w:rPr>
          <w:bCs/>
          <w:lang w:val="fr-FR"/>
        </w:rPr>
        <w:t xml:space="preserve">des </w:t>
      </w:r>
      <w:r w:rsidRPr="00251FAC">
        <w:rPr>
          <w:bCs/>
          <w:lang w:val="fr-FR"/>
        </w:rPr>
        <w:t>ONG du PCI pour faire en sorte que les ONG accréditées contribuent de manière plus substantielle aux travaux de la Convention. Lors de sa quatorzième session en</w:t>
      </w:r>
      <w:r w:rsidR="00AF6B98">
        <w:rPr>
          <w:bCs/>
          <w:lang w:val="fr-FR"/>
        </w:rPr>
        <w:t> </w:t>
      </w:r>
      <w:r w:rsidRPr="00251FAC">
        <w:rPr>
          <w:bCs/>
          <w:lang w:val="fr-FR"/>
        </w:rPr>
        <w:t>2019, dans sa décision</w:t>
      </w:r>
      <w:r w:rsidR="00E451FB">
        <w:rPr>
          <w:bCs/>
          <w:lang w:val="fr-FR"/>
        </w:rPr>
        <w:t> </w:t>
      </w:r>
      <w:hyperlink r:id="rId92" w:history="1">
        <w:r w:rsidRPr="006E3034">
          <w:rPr>
            <w:rStyle w:val="Hyperlink"/>
            <w:bCs/>
            <w:lang w:val="fr-FR"/>
          </w:rPr>
          <w:t>14.COM 15</w:t>
        </w:r>
      </w:hyperlink>
      <w:r w:rsidRPr="00251FAC">
        <w:rPr>
          <w:bCs/>
          <w:lang w:val="fr-FR"/>
        </w:rPr>
        <w:t xml:space="preserve">, le Comité avait demandé au Secrétariat de </w:t>
      </w:r>
      <w:r w:rsidR="00E451FB">
        <w:rPr>
          <w:bCs/>
          <w:lang w:val="fr-FR"/>
        </w:rPr>
        <w:t>réaliser une cartographie d</w:t>
      </w:r>
      <w:r w:rsidRPr="00251FAC">
        <w:rPr>
          <w:bCs/>
          <w:lang w:val="fr-FR"/>
        </w:rPr>
        <w:t>es domaines de compétences des ONG accréditées afin d</w:t>
      </w:r>
      <w:r w:rsidR="00923E72">
        <w:rPr>
          <w:bCs/>
          <w:lang w:val="fr-FR"/>
        </w:rPr>
        <w:t>’</w:t>
      </w:r>
      <w:r w:rsidRPr="00251FAC">
        <w:rPr>
          <w:bCs/>
          <w:lang w:val="fr-FR"/>
        </w:rPr>
        <w:t>explorer leur potentiel inexploité pour fournir des services consultatifs au Comité. En réponse, le Secrétariat avait établi un partenariat avec le Forum des ONG du PCI pour entreprendre cet exercice de cartographie. Pour des raisons pratiques et dans un premier temps, il avait été décidé que l</w:t>
      </w:r>
      <w:r w:rsidR="00923E72">
        <w:rPr>
          <w:bCs/>
          <w:lang w:val="fr-FR"/>
        </w:rPr>
        <w:t>’</w:t>
      </w:r>
      <w:r w:rsidRPr="00251FAC">
        <w:rPr>
          <w:bCs/>
          <w:lang w:val="fr-FR"/>
        </w:rPr>
        <w:t>exercice de cartographie porterait sur soixante</w:t>
      </w:r>
      <w:r w:rsidR="00E451FB">
        <w:rPr>
          <w:bCs/>
          <w:lang w:val="fr-FR"/>
        </w:rPr>
        <w:noBreakHyphen/>
      </w:r>
      <w:r w:rsidRPr="00251FAC">
        <w:rPr>
          <w:bCs/>
          <w:lang w:val="fr-FR"/>
        </w:rPr>
        <w:t>cinq ONG (un tiers du nombre total d</w:t>
      </w:r>
      <w:r w:rsidR="00923E72">
        <w:rPr>
          <w:bCs/>
          <w:lang w:val="fr-FR"/>
        </w:rPr>
        <w:t>’</w:t>
      </w:r>
      <w:r w:rsidRPr="00251FAC">
        <w:rPr>
          <w:bCs/>
          <w:lang w:val="fr-FR"/>
        </w:rPr>
        <w:t>ONG accréditées à l</w:t>
      </w:r>
      <w:r w:rsidR="00923E72">
        <w:rPr>
          <w:bCs/>
          <w:lang w:val="fr-FR"/>
        </w:rPr>
        <w:t>’</w:t>
      </w:r>
      <w:r w:rsidRPr="00251FAC">
        <w:rPr>
          <w:bCs/>
          <w:lang w:val="fr-FR"/>
        </w:rPr>
        <w:t xml:space="preserve">époque où la cartographie avait été lancée). Les résultats avaient mis en évidence la </w:t>
      </w:r>
      <w:r w:rsidR="007D0803">
        <w:rPr>
          <w:bCs/>
          <w:lang w:val="fr-FR"/>
        </w:rPr>
        <w:t xml:space="preserve">qualité </w:t>
      </w:r>
      <w:r w:rsidRPr="00251FAC">
        <w:rPr>
          <w:bCs/>
          <w:lang w:val="fr-FR"/>
        </w:rPr>
        <w:t>et l</w:t>
      </w:r>
      <w:r w:rsidR="00923E72">
        <w:rPr>
          <w:bCs/>
          <w:lang w:val="fr-FR"/>
        </w:rPr>
        <w:t>’</w:t>
      </w:r>
      <w:r w:rsidRPr="00251FAC">
        <w:rPr>
          <w:bCs/>
          <w:lang w:val="fr-FR"/>
        </w:rPr>
        <w:t>étendue des compétences et de l</w:t>
      </w:r>
      <w:r w:rsidR="00923E72">
        <w:rPr>
          <w:bCs/>
          <w:lang w:val="fr-FR"/>
        </w:rPr>
        <w:t>’</w:t>
      </w:r>
      <w:r w:rsidRPr="00251FAC">
        <w:rPr>
          <w:bCs/>
          <w:lang w:val="fr-FR"/>
        </w:rPr>
        <w:t>expertise des ONG ainsi que les domaines méritant d</w:t>
      </w:r>
      <w:r w:rsidR="00923E72">
        <w:rPr>
          <w:bCs/>
          <w:lang w:val="fr-FR"/>
        </w:rPr>
        <w:t>’</w:t>
      </w:r>
      <w:r w:rsidRPr="00251FAC">
        <w:rPr>
          <w:bCs/>
          <w:lang w:val="fr-FR"/>
        </w:rPr>
        <w:t>être développés davantage. Cette initiative comprenait la production d</w:t>
      </w:r>
      <w:r w:rsidR="00923E72">
        <w:rPr>
          <w:bCs/>
          <w:lang w:val="fr-FR"/>
        </w:rPr>
        <w:t>’</w:t>
      </w:r>
      <w:r w:rsidRPr="00251FAC">
        <w:rPr>
          <w:bCs/>
          <w:lang w:val="fr-FR"/>
        </w:rPr>
        <w:t>infographies individuelles pour chaque ONG accréditée, présent</w:t>
      </w:r>
      <w:r w:rsidR="00977B2D">
        <w:rPr>
          <w:bCs/>
          <w:lang w:val="fr-FR"/>
        </w:rPr>
        <w:t>a</w:t>
      </w:r>
      <w:r w:rsidRPr="00251FAC">
        <w:rPr>
          <w:bCs/>
          <w:lang w:val="fr-FR"/>
        </w:rPr>
        <w:t>nt une vue d</w:t>
      </w:r>
      <w:r w:rsidR="00923E72">
        <w:rPr>
          <w:bCs/>
          <w:lang w:val="fr-FR"/>
        </w:rPr>
        <w:t>’</w:t>
      </w:r>
      <w:r w:rsidRPr="00251FAC">
        <w:rPr>
          <w:bCs/>
          <w:lang w:val="fr-FR"/>
        </w:rPr>
        <w:t>ensemble des principaux domaines d</w:t>
      </w:r>
      <w:r w:rsidR="00923E72">
        <w:rPr>
          <w:bCs/>
          <w:lang w:val="fr-FR"/>
        </w:rPr>
        <w:t>’</w:t>
      </w:r>
      <w:r w:rsidRPr="00251FAC">
        <w:rPr>
          <w:bCs/>
          <w:lang w:val="fr-FR"/>
        </w:rPr>
        <w:t>expertise et de compétences de l</w:t>
      </w:r>
      <w:r w:rsidR="00923E72">
        <w:rPr>
          <w:bCs/>
          <w:lang w:val="fr-FR"/>
        </w:rPr>
        <w:t>’</w:t>
      </w:r>
      <w:r w:rsidRPr="00251FAC">
        <w:rPr>
          <w:bCs/>
          <w:lang w:val="fr-FR"/>
        </w:rPr>
        <w:t>ONG accréditée concernée par l</w:t>
      </w:r>
      <w:r w:rsidR="00923E72">
        <w:rPr>
          <w:bCs/>
          <w:lang w:val="fr-FR"/>
        </w:rPr>
        <w:t>’</w:t>
      </w:r>
      <w:r w:rsidRPr="00251FAC">
        <w:rPr>
          <w:bCs/>
          <w:lang w:val="fr-FR"/>
        </w:rPr>
        <w:t>exercice de cartographie. M.</w:t>
      </w:r>
      <w:r w:rsidR="00977B2D">
        <w:rPr>
          <w:bCs/>
          <w:lang w:val="fr-FR"/>
        </w:rPr>
        <w:t> </w:t>
      </w:r>
      <w:r w:rsidRPr="00251FAC">
        <w:rPr>
          <w:bCs/>
          <w:lang w:val="fr-FR"/>
        </w:rPr>
        <w:t xml:space="preserve">Peredo </w:t>
      </w:r>
      <w:r w:rsidR="007D0803">
        <w:rPr>
          <w:bCs/>
          <w:lang w:val="fr-FR"/>
        </w:rPr>
        <w:t>était heureux</w:t>
      </w:r>
      <w:r w:rsidRPr="00251FAC">
        <w:rPr>
          <w:bCs/>
          <w:lang w:val="fr-FR"/>
        </w:rPr>
        <w:t xml:space="preserve"> d</w:t>
      </w:r>
      <w:r w:rsidR="00923E72">
        <w:rPr>
          <w:bCs/>
          <w:lang w:val="fr-FR"/>
        </w:rPr>
        <w:t>’</w:t>
      </w:r>
      <w:r w:rsidR="00977B2D">
        <w:rPr>
          <w:bCs/>
          <w:lang w:val="fr-FR"/>
        </w:rPr>
        <w:t>afficher à l</w:t>
      </w:r>
      <w:r w:rsidR="00923E72">
        <w:rPr>
          <w:bCs/>
          <w:lang w:val="fr-FR"/>
        </w:rPr>
        <w:t>’</w:t>
      </w:r>
      <w:r w:rsidR="00977B2D">
        <w:rPr>
          <w:bCs/>
          <w:lang w:val="fr-FR"/>
        </w:rPr>
        <w:t xml:space="preserve">écran </w:t>
      </w:r>
      <w:r w:rsidRPr="00251FAC">
        <w:rPr>
          <w:bCs/>
          <w:lang w:val="fr-FR"/>
        </w:rPr>
        <w:t>un exemple des résultats. Il était prévu de mettre toutes les infographies à disposition du public pour consultation sur la page web de la Convention et du Forum des ONG du PCI</w:t>
      </w:r>
      <w:r w:rsidR="00977B2D">
        <w:rPr>
          <w:rStyle w:val="FootnoteReference"/>
          <w:bCs/>
          <w:lang w:val="fr-FR"/>
        </w:rPr>
        <w:footnoteReference w:id="27"/>
      </w:r>
      <w:r w:rsidRPr="00251FAC">
        <w:rPr>
          <w:bCs/>
          <w:lang w:val="fr-FR"/>
        </w:rPr>
        <w:t>.</w:t>
      </w:r>
    </w:p>
    <w:p w14:paraId="48FFEE7C" w14:textId="09E6281E" w:rsidR="00977B2D" w:rsidRDefault="00977B2D">
      <w:pPr>
        <w:pStyle w:val="Orateurengris"/>
        <w:numPr>
          <w:ilvl w:val="0"/>
          <w:numId w:val="20"/>
        </w:numPr>
        <w:tabs>
          <w:tab w:val="clear" w:pos="567"/>
          <w:tab w:val="left" w:pos="5954"/>
        </w:tabs>
        <w:spacing w:before="120"/>
        <w:ind w:left="709" w:hanging="709"/>
        <w:rPr>
          <w:bCs/>
          <w:lang w:val="fr-FR"/>
        </w:rPr>
      </w:pPr>
      <w:r w:rsidRPr="00977B2D">
        <w:rPr>
          <w:bCs/>
          <w:lang w:val="fr-FR"/>
        </w:rPr>
        <w:t xml:space="preserve">Le </w:t>
      </w:r>
      <w:r w:rsidRPr="00702497">
        <w:rPr>
          <w:b/>
          <w:lang w:val="fr-FR"/>
        </w:rPr>
        <w:t>Secrétaire</w:t>
      </w:r>
      <w:r w:rsidRPr="00977B2D">
        <w:rPr>
          <w:bCs/>
          <w:lang w:val="fr-FR"/>
        </w:rPr>
        <w:t xml:space="preserve"> a ajouté que le Forum des ONG du PCI ne bénéficiait pas d</w:t>
      </w:r>
      <w:r w:rsidR="00923E72">
        <w:rPr>
          <w:bCs/>
          <w:lang w:val="fr-FR"/>
        </w:rPr>
        <w:t>’</w:t>
      </w:r>
      <w:r w:rsidRPr="00977B2D">
        <w:rPr>
          <w:bCs/>
          <w:lang w:val="fr-FR"/>
        </w:rPr>
        <w:t>un soutien financier régulier pour assurer sa viabilité opérationnelle. Le Comité pourrait donc souhaiter encourager les États parties et d</w:t>
      </w:r>
      <w:r w:rsidR="00923E72">
        <w:rPr>
          <w:bCs/>
          <w:lang w:val="fr-FR"/>
        </w:rPr>
        <w:t>’</w:t>
      </w:r>
      <w:r w:rsidRPr="00977B2D">
        <w:rPr>
          <w:bCs/>
          <w:lang w:val="fr-FR"/>
        </w:rPr>
        <w:t xml:space="preserve">autres partenaires potentiels à envisager de </w:t>
      </w:r>
      <w:r>
        <w:rPr>
          <w:bCs/>
          <w:lang w:val="fr-FR"/>
        </w:rPr>
        <w:t xml:space="preserve">verser </w:t>
      </w:r>
      <w:r w:rsidRPr="00977B2D">
        <w:rPr>
          <w:bCs/>
          <w:lang w:val="fr-FR"/>
        </w:rPr>
        <w:t>des contributions financières au Forum par le biais de la modalité de leur choix. Il a ensuite invité M.</w:t>
      </w:r>
      <w:r>
        <w:rPr>
          <w:bCs/>
          <w:lang w:val="fr-FR"/>
        </w:rPr>
        <w:t> </w:t>
      </w:r>
      <w:r w:rsidRPr="00977B2D">
        <w:rPr>
          <w:bCs/>
          <w:lang w:val="fr-FR"/>
        </w:rPr>
        <w:t xml:space="preserve">Laurier Turgeon, Président du Comité </w:t>
      </w:r>
      <w:r w:rsidR="00357512">
        <w:rPr>
          <w:bCs/>
          <w:lang w:val="fr-FR"/>
        </w:rPr>
        <w:t xml:space="preserve">de pilotage </w:t>
      </w:r>
      <w:r w:rsidRPr="00977B2D">
        <w:rPr>
          <w:bCs/>
          <w:lang w:val="fr-FR"/>
        </w:rPr>
        <w:t xml:space="preserve">du Forum </w:t>
      </w:r>
      <w:r w:rsidR="00E451FB">
        <w:rPr>
          <w:bCs/>
          <w:lang w:val="fr-FR"/>
        </w:rPr>
        <w:t xml:space="preserve">des </w:t>
      </w:r>
      <w:r w:rsidRPr="00977B2D">
        <w:rPr>
          <w:bCs/>
          <w:lang w:val="fr-FR"/>
        </w:rPr>
        <w:t>ONG du PCI, et M</w:t>
      </w:r>
      <w:r w:rsidRPr="00702497">
        <w:rPr>
          <w:bCs/>
          <w:vertAlign w:val="superscript"/>
          <w:lang w:val="fr-FR"/>
        </w:rPr>
        <w:t>me</w:t>
      </w:r>
      <w:r>
        <w:rPr>
          <w:bCs/>
          <w:lang w:val="fr-FR"/>
        </w:rPr>
        <w:t> </w:t>
      </w:r>
      <w:r w:rsidRPr="00977B2D">
        <w:rPr>
          <w:bCs/>
          <w:lang w:val="fr-FR"/>
        </w:rPr>
        <w:t>Janet Blake, membre du Comité</w:t>
      </w:r>
      <w:r w:rsidR="00357512">
        <w:rPr>
          <w:bCs/>
          <w:lang w:val="fr-FR"/>
        </w:rPr>
        <w:t xml:space="preserve"> de pilotage</w:t>
      </w:r>
      <w:r w:rsidRPr="00977B2D">
        <w:rPr>
          <w:bCs/>
          <w:lang w:val="fr-FR"/>
        </w:rPr>
        <w:t>, à présenter une brève vue d</w:t>
      </w:r>
      <w:r w:rsidR="00923E72">
        <w:rPr>
          <w:bCs/>
          <w:lang w:val="fr-FR"/>
        </w:rPr>
        <w:t>’</w:t>
      </w:r>
      <w:r w:rsidRPr="00977B2D">
        <w:rPr>
          <w:bCs/>
          <w:lang w:val="fr-FR"/>
        </w:rPr>
        <w:t>ensemble du rapport des ONG.</w:t>
      </w:r>
    </w:p>
    <w:p w14:paraId="5C58B3C4" w14:textId="42A96013" w:rsidR="00977B2D" w:rsidRDefault="007166AF">
      <w:pPr>
        <w:pStyle w:val="Orateurengris"/>
        <w:numPr>
          <w:ilvl w:val="0"/>
          <w:numId w:val="20"/>
        </w:numPr>
        <w:tabs>
          <w:tab w:val="clear" w:pos="567"/>
          <w:tab w:val="left" w:pos="5954"/>
        </w:tabs>
        <w:spacing w:before="120"/>
        <w:ind w:left="709" w:hanging="709"/>
        <w:rPr>
          <w:bCs/>
          <w:lang w:val="fr-FR"/>
        </w:rPr>
      </w:pPr>
      <w:r w:rsidRPr="006E3034">
        <w:rPr>
          <w:bCs/>
          <w:lang w:val="fr-FR"/>
        </w:rPr>
        <w:t>M. Laurier Turgeon</w:t>
      </w:r>
      <w:r w:rsidRPr="006251F1">
        <w:rPr>
          <w:bCs/>
          <w:lang w:val="fr-FR"/>
        </w:rPr>
        <w:t>,</w:t>
      </w:r>
      <w:r w:rsidRPr="007166AF">
        <w:rPr>
          <w:bCs/>
          <w:lang w:val="fr-FR"/>
        </w:rPr>
        <w:t xml:space="preserve"> </w:t>
      </w:r>
      <w:r w:rsidRPr="006E3034">
        <w:rPr>
          <w:b/>
          <w:lang w:val="fr-FR"/>
        </w:rPr>
        <w:t xml:space="preserve">Président du Comité </w:t>
      </w:r>
      <w:r w:rsidR="00357512" w:rsidRPr="006E3034">
        <w:rPr>
          <w:b/>
          <w:lang w:val="fr-FR"/>
        </w:rPr>
        <w:t xml:space="preserve">de pilotage </w:t>
      </w:r>
      <w:r w:rsidRPr="006E3034">
        <w:rPr>
          <w:b/>
          <w:lang w:val="fr-FR"/>
        </w:rPr>
        <w:t>du Forum des ONG</w:t>
      </w:r>
      <w:r w:rsidRPr="007166AF">
        <w:rPr>
          <w:bCs/>
          <w:lang w:val="fr-FR"/>
        </w:rPr>
        <w:t xml:space="preserve">, a remercié les autres membres du Conseil exécutif pour leur travail acharné, leur dévouement, leur efficacité, leur esprit de collaboration et leur collégialité. </w:t>
      </w:r>
      <w:r w:rsidRPr="00977B2D">
        <w:rPr>
          <w:bCs/>
          <w:lang w:val="fr-FR"/>
        </w:rPr>
        <w:t>M</w:t>
      </w:r>
      <w:r w:rsidRPr="004877F0">
        <w:rPr>
          <w:bCs/>
          <w:vertAlign w:val="superscript"/>
          <w:lang w:val="fr-FR"/>
        </w:rPr>
        <w:t>me</w:t>
      </w:r>
      <w:r>
        <w:rPr>
          <w:bCs/>
          <w:lang w:val="fr-FR"/>
        </w:rPr>
        <w:t> </w:t>
      </w:r>
      <w:r w:rsidRPr="00977B2D">
        <w:rPr>
          <w:bCs/>
          <w:lang w:val="fr-FR"/>
        </w:rPr>
        <w:t>Janet Blake</w:t>
      </w:r>
      <w:r w:rsidRPr="007166AF">
        <w:rPr>
          <w:bCs/>
          <w:lang w:val="fr-FR"/>
        </w:rPr>
        <w:t xml:space="preserve"> était la Vice-Présidente</w:t>
      </w:r>
      <w:r w:rsidR="00D87EA2">
        <w:rPr>
          <w:bCs/>
          <w:lang w:val="fr-FR"/>
        </w:rPr>
        <w:t xml:space="preserve"> et </w:t>
      </w:r>
      <w:r w:rsidRPr="007166AF">
        <w:rPr>
          <w:bCs/>
          <w:lang w:val="fr-FR"/>
        </w:rPr>
        <w:t>représenta</w:t>
      </w:r>
      <w:r w:rsidR="00D87EA2">
        <w:rPr>
          <w:bCs/>
          <w:lang w:val="fr-FR"/>
        </w:rPr>
        <w:t>i</w:t>
      </w:r>
      <w:r w:rsidRPr="007166AF">
        <w:rPr>
          <w:bCs/>
          <w:lang w:val="fr-FR"/>
        </w:rPr>
        <w:t>t le Groupe électoral Asie-Pacifique, M.</w:t>
      </w:r>
      <w:r>
        <w:rPr>
          <w:bCs/>
          <w:lang w:val="fr-FR"/>
        </w:rPr>
        <w:t> </w:t>
      </w:r>
      <w:r w:rsidRPr="007166AF">
        <w:rPr>
          <w:bCs/>
          <w:lang w:val="fr-FR"/>
        </w:rPr>
        <w:t>Robert Baron occupait le poste de Secrétaire</w:t>
      </w:r>
      <w:r w:rsidR="00D87EA2">
        <w:rPr>
          <w:bCs/>
          <w:lang w:val="fr-FR"/>
        </w:rPr>
        <w:t xml:space="preserve"> et représentait les ONG </w:t>
      </w:r>
      <w:r w:rsidR="00D87EA2" w:rsidRPr="00D87EA2">
        <w:rPr>
          <w:bCs/>
          <w:lang w:val="fr-FR"/>
        </w:rPr>
        <w:t>international</w:t>
      </w:r>
      <w:r w:rsidR="00D87EA2">
        <w:rPr>
          <w:bCs/>
          <w:lang w:val="fr-FR"/>
        </w:rPr>
        <w:t>es</w:t>
      </w:r>
      <w:r w:rsidRPr="007166AF">
        <w:rPr>
          <w:bCs/>
          <w:lang w:val="fr-FR"/>
        </w:rPr>
        <w:t>, M.</w:t>
      </w:r>
      <w:r>
        <w:rPr>
          <w:bCs/>
          <w:lang w:val="fr-FR"/>
        </w:rPr>
        <w:t> </w:t>
      </w:r>
      <w:r w:rsidRPr="007166AF">
        <w:rPr>
          <w:bCs/>
          <w:lang w:val="fr-FR"/>
        </w:rPr>
        <w:t xml:space="preserve">Martín Andrade-Pérez occupait le poste de </w:t>
      </w:r>
      <w:r w:rsidR="00D87EA2">
        <w:rPr>
          <w:bCs/>
          <w:lang w:val="fr-FR"/>
        </w:rPr>
        <w:t>T</w:t>
      </w:r>
      <w:r w:rsidRPr="007166AF">
        <w:rPr>
          <w:bCs/>
          <w:lang w:val="fr-FR"/>
        </w:rPr>
        <w:t>résorier</w:t>
      </w:r>
      <w:r w:rsidR="00D87EA2">
        <w:rPr>
          <w:bCs/>
          <w:lang w:val="fr-FR"/>
        </w:rPr>
        <w:t xml:space="preserve"> et</w:t>
      </w:r>
      <w:r w:rsidRPr="007166AF">
        <w:rPr>
          <w:bCs/>
          <w:lang w:val="fr-FR"/>
        </w:rPr>
        <w:t xml:space="preserve"> représenta</w:t>
      </w:r>
      <w:r w:rsidR="00D87EA2">
        <w:rPr>
          <w:bCs/>
          <w:lang w:val="fr-FR"/>
        </w:rPr>
        <w:t>i</w:t>
      </w:r>
      <w:r w:rsidRPr="007166AF">
        <w:rPr>
          <w:bCs/>
          <w:lang w:val="fr-FR"/>
        </w:rPr>
        <w:t>t l</w:t>
      </w:r>
      <w:r w:rsidR="00923E72">
        <w:rPr>
          <w:bCs/>
          <w:lang w:val="fr-FR"/>
        </w:rPr>
        <w:t>’</w:t>
      </w:r>
      <w:r w:rsidRPr="007166AF">
        <w:rPr>
          <w:bCs/>
          <w:lang w:val="fr-FR"/>
        </w:rPr>
        <w:t>Amérique latine et les Caraïbes, M.</w:t>
      </w:r>
      <w:r>
        <w:rPr>
          <w:bCs/>
          <w:lang w:val="fr-FR"/>
        </w:rPr>
        <w:t> </w:t>
      </w:r>
      <w:r w:rsidRPr="007166AF">
        <w:rPr>
          <w:bCs/>
          <w:lang w:val="fr-FR"/>
        </w:rPr>
        <w:t>Sekou Berte représentait l</w:t>
      </w:r>
      <w:r w:rsidR="00923E72">
        <w:rPr>
          <w:bCs/>
          <w:lang w:val="fr-FR"/>
        </w:rPr>
        <w:t>’</w:t>
      </w:r>
      <w:r w:rsidRPr="007166AF">
        <w:rPr>
          <w:bCs/>
          <w:lang w:val="fr-FR"/>
        </w:rPr>
        <w:t xml:space="preserve">Afrique, </w:t>
      </w:r>
      <w:r w:rsidRPr="00977B2D">
        <w:rPr>
          <w:bCs/>
          <w:lang w:val="fr-FR"/>
        </w:rPr>
        <w:t>M</w:t>
      </w:r>
      <w:r w:rsidRPr="004877F0">
        <w:rPr>
          <w:bCs/>
          <w:vertAlign w:val="superscript"/>
          <w:lang w:val="fr-FR"/>
        </w:rPr>
        <w:t>me</w:t>
      </w:r>
      <w:r>
        <w:rPr>
          <w:bCs/>
          <w:lang w:val="fr-FR"/>
        </w:rPr>
        <w:t> </w:t>
      </w:r>
      <w:r w:rsidRPr="007166AF">
        <w:rPr>
          <w:bCs/>
          <w:lang w:val="fr-FR"/>
        </w:rPr>
        <w:t xml:space="preserve">Tamara </w:t>
      </w:r>
      <w:proofErr w:type="spellStart"/>
      <w:r w:rsidR="004E08DD" w:rsidRPr="006E3034">
        <w:rPr>
          <w:rFonts w:asciiTheme="minorBidi" w:hAnsiTheme="minorBidi" w:cstheme="minorBidi"/>
          <w:color w:val="000000"/>
          <w:lang w:val="fr-FR"/>
        </w:rPr>
        <w:t>Nikolić</w:t>
      </w:r>
      <w:proofErr w:type="spellEnd"/>
      <w:r w:rsidR="004E08DD" w:rsidRPr="006E3034">
        <w:rPr>
          <w:rFonts w:asciiTheme="minorBidi" w:hAnsiTheme="minorBidi" w:cstheme="minorBidi"/>
          <w:color w:val="000000"/>
          <w:lang w:val="fr-FR"/>
        </w:rPr>
        <w:t xml:space="preserve"> </w:t>
      </w:r>
      <w:proofErr w:type="spellStart"/>
      <w:r w:rsidR="004E08DD" w:rsidRPr="006E3034">
        <w:rPr>
          <w:rFonts w:asciiTheme="minorBidi" w:hAnsiTheme="minorBidi" w:cstheme="minorBidi"/>
          <w:color w:val="000000"/>
          <w:lang w:val="fr-FR"/>
        </w:rPr>
        <w:t>Đerić</w:t>
      </w:r>
      <w:proofErr w:type="spellEnd"/>
      <w:r w:rsidR="004E08DD" w:rsidRPr="007166AF">
        <w:rPr>
          <w:bCs/>
          <w:lang w:val="fr-FR"/>
        </w:rPr>
        <w:t xml:space="preserve"> </w:t>
      </w:r>
      <w:r w:rsidRPr="007166AF">
        <w:rPr>
          <w:bCs/>
          <w:lang w:val="fr-FR"/>
        </w:rPr>
        <w:t>représentait l</w:t>
      </w:r>
      <w:r w:rsidR="00923E72">
        <w:rPr>
          <w:bCs/>
          <w:lang w:val="fr-FR"/>
        </w:rPr>
        <w:t>’</w:t>
      </w:r>
      <w:r w:rsidRPr="007166AF">
        <w:rPr>
          <w:bCs/>
          <w:lang w:val="fr-FR"/>
        </w:rPr>
        <w:t>Europe de l</w:t>
      </w:r>
      <w:r w:rsidR="00923E72">
        <w:rPr>
          <w:bCs/>
          <w:lang w:val="fr-FR"/>
        </w:rPr>
        <w:t>’</w:t>
      </w:r>
      <w:r w:rsidRPr="007166AF">
        <w:rPr>
          <w:bCs/>
          <w:lang w:val="fr-FR"/>
        </w:rPr>
        <w:t>Est et M.</w:t>
      </w:r>
      <w:r w:rsidR="00E451FB">
        <w:rPr>
          <w:bCs/>
          <w:lang w:val="fr-FR"/>
        </w:rPr>
        <w:t> </w:t>
      </w:r>
      <w:r w:rsidRPr="007166AF">
        <w:rPr>
          <w:bCs/>
          <w:lang w:val="fr-FR"/>
        </w:rPr>
        <w:t xml:space="preserve">Mohammed Mohamed </w:t>
      </w:r>
      <w:proofErr w:type="spellStart"/>
      <w:r w:rsidRPr="007166AF">
        <w:rPr>
          <w:bCs/>
          <w:lang w:val="fr-FR"/>
        </w:rPr>
        <w:t>Lemine</w:t>
      </w:r>
      <w:proofErr w:type="spellEnd"/>
      <w:r w:rsidRPr="007166AF">
        <w:rPr>
          <w:bCs/>
          <w:lang w:val="fr-FR"/>
        </w:rPr>
        <w:t xml:space="preserve"> </w:t>
      </w:r>
      <w:proofErr w:type="spellStart"/>
      <w:r w:rsidRPr="007166AF">
        <w:rPr>
          <w:bCs/>
          <w:lang w:val="fr-FR"/>
        </w:rPr>
        <w:t>Beidieu</w:t>
      </w:r>
      <w:proofErr w:type="spellEnd"/>
      <w:r w:rsidRPr="007166AF">
        <w:rPr>
          <w:bCs/>
          <w:lang w:val="fr-FR"/>
        </w:rPr>
        <w:t xml:space="preserve"> représentait les </w:t>
      </w:r>
      <w:r>
        <w:rPr>
          <w:bCs/>
          <w:lang w:val="fr-FR"/>
        </w:rPr>
        <w:t>É</w:t>
      </w:r>
      <w:r w:rsidRPr="007166AF">
        <w:rPr>
          <w:bCs/>
          <w:lang w:val="fr-FR"/>
        </w:rPr>
        <w:t xml:space="preserve">tats arabes. Les sept membres </w:t>
      </w:r>
      <w:r w:rsidR="007816B4">
        <w:rPr>
          <w:bCs/>
          <w:lang w:val="fr-FR"/>
        </w:rPr>
        <w:t xml:space="preserve">du Conseil exécutif </w:t>
      </w:r>
      <w:r w:rsidRPr="007166AF">
        <w:rPr>
          <w:bCs/>
          <w:lang w:val="fr-FR"/>
        </w:rPr>
        <w:t>représenta</w:t>
      </w:r>
      <w:r w:rsidR="00357512">
        <w:rPr>
          <w:bCs/>
          <w:lang w:val="fr-FR"/>
        </w:rPr>
        <w:t xml:space="preserve">ient avec équité </w:t>
      </w:r>
      <w:r w:rsidRPr="007166AF">
        <w:rPr>
          <w:bCs/>
          <w:lang w:val="fr-FR"/>
        </w:rPr>
        <w:t>toutes les régions</w:t>
      </w:r>
      <w:r w:rsidR="007816B4">
        <w:rPr>
          <w:bCs/>
          <w:lang w:val="fr-FR"/>
        </w:rPr>
        <w:t xml:space="preserve"> du Conseil électora</w:t>
      </w:r>
      <w:r w:rsidR="00A765D6">
        <w:rPr>
          <w:bCs/>
          <w:lang w:val="fr-FR"/>
        </w:rPr>
        <w:t>l</w:t>
      </w:r>
      <w:r w:rsidR="00A52C83">
        <w:rPr>
          <w:rStyle w:val="FootnoteReference"/>
          <w:bCs/>
          <w:lang w:val="fr-FR"/>
        </w:rPr>
        <w:footnoteReference w:id="28"/>
      </w:r>
      <w:r w:rsidRPr="007166AF">
        <w:rPr>
          <w:bCs/>
          <w:lang w:val="fr-FR"/>
        </w:rPr>
        <w:t>. Le Forum des ONG du PCI a remercié le Maroc d</w:t>
      </w:r>
      <w:r w:rsidR="00923E72">
        <w:rPr>
          <w:bCs/>
          <w:lang w:val="fr-FR"/>
        </w:rPr>
        <w:t>’</w:t>
      </w:r>
      <w:r w:rsidRPr="007166AF">
        <w:rPr>
          <w:bCs/>
          <w:lang w:val="fr-FR"/>
        </w:rPr>
        <w:t>accueillir cette dix</w:t>
      </w:r>
      <w:r w:rsidR="007816B4">
        <w:rPr>
          <w:bCs/>
          <w:lang w:val="fr-FR"/>
        </w:rPr>
        <w:noBreakHyphen/>
      </w:r>
      <w:r w:rsidRPr="007166AF">
        <w:rPr>
          <w:bCs/>
          <w:lang w:val="fr-FR"/>
        </w:rPr>
        <w:t>septième session du Comité. Les membres du Forum appréciaient grandement l</w:t>
      </w:r>
      <w:r w:rsidR="00923E72">
        <w:rPr>
          <w:bCs/>
          <w:lang w:val="fr-FR"/>
        </w:rPr>
        <w:t>’</w:t>
      </w:r>
      <w:r w:rsidRPr="007166AF">
        <w:rPr>
          <w:bCs/>
          <w:lang w:val="fr-FR"/>
        </w:rPr>
        <w:t>hospitalité du peuple marocain, et ont remercié le Comité pour l</w:t>
      </w:r>
      <w:r w:rsidR="00923E72">
        <w:rPr>
          <w:bCs/>
          <w:lang w:val="fr-FR"/>
        </w:rPr>
        <w:t>’</w:t>
      </w:r>
      <w:r w:rsidRPr="007166AF">
        <w:rPr>
          <w:bCs/>
          <w:lang w:val="fr-FR"/>
        </w:rPr>
        <w:t>occasion qui leur était donnée de présenter leur rapport annuel.</w:t>
      </w:r>
    </w:p>
    <w:p w14:paraId="177AE4A8" w14:textId="4253A034" w:rsidR="007166AF" w:rsidRDefault="007166AF">
      <w:pPr>
        <w:pStyle w:val="Orateurengris"/>
        <w:numPr>
          <w:ilvl w:val="0"/>
          <w:numId w:val="20"/>
        </w:numPr>
        <w:tabs>
          <w:tab w:val="clear" w:pos="567"/>
          <w:tab w:val="left" w:pos="5954"/>
        </w:tabs>
        <w:spacing w:before="120"/>
        <w:ind w:left="709" w:hanging="709"/>
        <w:rPr>
          <w:bCs/>
          <w:lang w:val="fr-FR"/>
        </w:rPr>
      </w:pPr>
      <w:r w:rsidRPr="00702497">
        <w:rPr>
          <w:b/>
          <w:lang w:val="fr-FR"/>
        </w:rPr>
        <w:t>M</w:t>
      </w:r>
      <w:r w:rsidRPr="00702497">
        <w:rPr>
          <w:b/>
          <w:vertAlign w:val="superscript"/>
          <w:lang w:val="fr-FR"/>
        </w:rPr>
        <w:t>me</w:t>
      </w:r>
      <w:r w:rsidRPr="00702497">
        <w:rPr>
          <w:b/>
          <w:lang w:val="fr-FR"/>
        </w:rPr>
        <w:t> Janet Blake</w:t>
      </w:r>
      <w:r w:rsidRPr="007166AF">
        <w:rPr>
          <w:bCs/>
          <w:lang w:val="fr-FR"/>
        </w:rPr>
        <w:t xml:space="preserve"> a expliqué que le Forum des ONG regroupait </w:t>
      </w:r>
      <w:r w:rsidR="00FE4577">
        <w:rPr>
          <w:bCs/>
          <w:lang w:val="fr-FR"/>
        </w:rPr>
        <w:t>à ce jour</w:t>
      </w:r>
      <w:r w:rsidR="00806D37">
        <w:rPr>
          <w:bCs/>
          <w:lang w:val="fr-FR"/>
        </w:rPr>
        <w:t> </w:t>
      </w:r>
      <w:r w:rsidRPr="007166AF">
        <w:rPr>
          <w:bCs/>
          <w:lang w:val="fr-FR"/>
        </w:rPr>
        <w:t xml:space="preserve">217 ONG accréditées travaillant dans le monde entier, avec une multitude de compétences différentes dans le domaine de la sauvegarde du patrimoine culturel immatériel. Ses activités étaient menées avec la participation des communautés et soutenaient les communautés, les groupes et les individus qui pratiquent, exécutent et transmettent le patrimoine culturel </w:t>
      </w:r>
      <w:r w:rsidRPr="007166AF">
        <w:rPr>
          <w:bCs/>
          <w:lang w:val="fr-FR"/>
        </w:rPr>
        <w:lastRenderedPageBreak/>
        <w:t>immatériel. Les membres du Forum étaient aussi bien des organisations communautaires que des ONG plus importantes qui soutiennent la mise en œuvre de la Convention au niveau national et international et s</w:t>
      </w:r>
      <w:r w:rsidR="00923E72">
        <w:rPr>
          <w:bCs/>
          <w:lang w:val="fr-FR"/>
        </w:rPr>
        <w:t>’</w:t>
      </w:r>
      <w:r w:rsidRPr="007166AF">
        <w:rPr>
          <w:bCs/>
          <w:lang w:val="fr-FR"/>
        </w:rPr>
        <w:t>engagent dans l</w:t>
      </w:r>
      <w:r w:rsidR="00923E72">
        <w:rPr>
          <w:bCs/>
          <w:lang w:val="fr-FR"/>
        </w:rPr>
        <w:t>’</w:t>
      </w:r>
      <w:r w:rsidRPr="007166AF">
        <w:rPr>
          <w:bCs/>
          <w:lang w:val="fr-FR"/>
        </w:rPr>
        <w:t xml:space="preserve">élaboration de politiques. En tant que tel, il apportait à la Convention une expérience et une expertise étendues et très diverses en matière de sauvegarde, ce qui le plaçait dans une position privilégiée pour </w:t>
      </w:r>
      <w:r w:rsidR="00D87EA2">
        <w:rPr>
          <w:bCs/>
          <w:lang w:val="fr-FR"/>
        </w:rPr>
        <w:t xml:space="preserve">avoir </w:t>
      </w:r>
      <w:r w:rsidRPr="007166AF">
        <w:rPr>
          <w:bCs/>
          <w:lang w:val="fr-FR"/>
        </w:rPr>
        <w:t>des fonctions consultatives auprès du Comité, comme le prévoit l</w:t>
      </w:r>
      <w:r w:rsidR="00923E72">
        <w:rPr>
          <w:bCs/>
          <w:lang w:val="fr-FR"/>
        </w:rPr>
        <w:t>’</w:t>
      </w:r>
      <w:r w:rsidRPr="007166AF">
        <w:rPr>
          <w:bCs/>
          <w:lang w:val="fr-FR"/>
        </w:rPr>
        <w:t>article</w:t>
      </w:r>
      <w:r w:rsidR="006773EF">
        <w:rPr>
          <w:bCs/>
          <w:lang w:val="fr-FR"/>
        </w:rPr>
        <w:t> </w:t>
      </w:r>
      <w:r w:rsidRPr="007166AF">
        <w:rPr>
          <w:bCs/>
          <w:lang w:val="fr-FR"/>
        </w:rPr>
        <w:t>9 de la Convention. Compte tenu de la très grande diversité des éléments du patrimoine culturel immatériel et des communautés qui y sont attachées, aucune organisation n</w:t>
      </w:r>
      <w:r w:rsidR="00923E72">
        <w:rPr>
          <w:bCs/>
          <w:lang w:val="fr-FR"/>
        </w:rPr>
        <w:t>’</w:t>
      </w:r>
      <w:r w:rsidRPr="007166AF">
        <w:rPr>
          <w:bCs/>
          <w:lang w:val="fr-FR"/>
        </w:rPr>
        <w:t xml:space="preserve">était en mesure, à elle seule, de </w:t>
      </w:r>
      <w:r w:rsidR="00A52C83">
        <w:rPr>
          <w:bCs/>
          <w:lang w:val="fr-FR"/>
        </w:rPr>
        <w:t xml:space="preserve">dispenser </w:t>
      </w:r>
      <w:r w:rsidRPr="007166AF">
        <w:rPr>
          <w:bCs/>
          <w:lang w:val="fr-FR"/>
        </w:rPr>
        <w:t>de tels conseils ou de s</w:t>
      </w:r>
      <w:r w:rsidR="00923E72">
        <w:rPr>
          <w:bCs/>
          <w:lang w:val="fr-FR"/>
        </w:rPr>
        <w:t>’</w:t>
      </w:r>
      <w:r w:rsidRPr="007166AF">
        <w:rPr>
          <w:bCs/>
          <w:lang w:val="fr-FR"/>
        </w:rPr>
        <w:t>engager dans l</w:t>
      </w:r>
      <w:r w:rsidR="00923E72">
        <w:rPr>
          <w:bCs/>
          <w:lang w:val="fr-FR"/>
        </w:rPr>
        <w:t>’</w:t>
      </w:r>
      <w:r w:rsidRPr="007166AF">
        <w:rPr>
          <w:bCs/>
          <w:lang w:val="fr-FR"/>
        </w:rPr>
        <w:t>évaluation et les autres activités du Comité. Il s</w:t>
      </w:r>
      <w:r w:rsidR="00923E72">
        <w:rPr>
          <w:bCs/>
          <w:lang w:val="fr-FR"/>
        </w:rPr>
        <w:t>’</w:t>
      </w:r>
      <w:r w:rsidRPr="007166AF">
        <w:rPr>
          <w:bCs/>
          <w:lang w:val="fr-FR"/>
        </w:rPr>
        <w:t>agissait là d</w:t>
      </w:r>
      <w:r w:rsidR="00923E72">
        <w:rPr>
          <w:bCs/>
          <w:lang w:val="fr-FR"/>
        </w:rPr>
        <w:t>’</w:t>
      </w:r>
      <w:r w:rsidRPr="007166AF">
        <w:rPr>
          <w:bCs/>
          <w:lang w:val="fr-FR"/>
        </w:rPr>
        <w:t>une caractéristique hautement significative et distinctive du Forum des ONG du PCI, qui l</w:t>
      </w:r>
      <w:r w:rsidR="00D87EA2">
        <w:rPr>
          <w:bCs/>
          <w:lang w:val="fr-FR"/>
        </w:rPr>
        <w:t>a</w:t>
      </w:r>
      <w:r w:rsidRPr="007166AF">
        <w:rPr>
          <w:bCs/>
          <w:lang w:val="fr-FR"/>
        </w:rPr>
        <w:t xml:space="preserve"> distinguait de nombreuses grandes ONG nationales opérant dans le cadre d</w:t>
      </w:r>
      <w:r w:rsidR="00923E72">
        <w:rPr>
          <w:bCs/>
          <w:lang w:val="fr-FR"/>
        </w:rPr>
        <w:t>’</w:t>
      </w:r>
      <w:r w:rsidRPr="007166AF">
        <w:rPr>
          <w:bCs/>
          <w:lang w:val="fr-FR"/>
        </w:rPr>
        <w:t>autres traités internationaux. Les rôles potentiels des ONG accréditées dans le cadre de la Convention n</w:t>
      </w:r>
      <w:r w:rsidR="00923E72">
        <w:rPr>
          <w:bCs/>
          <w:lang w:val="fr-FR"/>
        </w:rPr>
        <w:t>’</w:t>
      </w:r>
      <w:r w:rsidRPr="007166AF">
        <w:rPr>
          <w:bCs/>
          <w:lang w:val="fr-FR"/>
        </w:rPr>
        <w:t>avaient pas été précisés au moment de la rédaction du texte. Mais le Forum avait commencé à se faire une place dans la pratique au cours des douze dernières années et donnait activement la parole aux communautés culturelles qu</w:t>
      </w:r>
      <w:r w:rsidR="00923E72">
        <w:rPr>
          <w:bCs/>
          <w:lang w:val="fr-FR"/>
        </w:rPr>
        <w:t>’</w:t>
      </w:r>
      <w:r w:rsidRPr="007166AF">
        <w:rPr>
          <w:bCs/>
          <w:lang w:val="fr-FR"/>
        </w:rPr>
        <w:t>il représentait. S</w:t>
      </w:r>
      <w:r w:rsidR="00923E72">
        <w:rPr>
          <w:bCs/>
          <w:lang w:val="fr-FR"/>
        </w:rPr>
        <w:t>’</w:t>
      </w:r>
      <w:r w:rsidRPr="007166AF">
        <w:rPr>
          <w:bCs/>
          <w:lang w:val="fr-FR"/>
        </w:rPr>
        <w:t>agissant des activités et de l</w:t>
      </w:r>
      <w:r w:rsidR="00923E72">
        <w:rPr>
          <w:bCs/>
          <w:lang w:val="fr-FR"/>
        </w:rPr>
        <w:t>’</w:t>
      </w:r>
      <w:r w:rsidRPr="007166AF">
        <w:rPr>
          <w:bCs/>
          <w:lang w:val="fr-FR"/>
        </w:rPr>
        <w:t>engagement accrus en</w:t>
      </w:r>
      <w:r w:rsidR="00D55C2A">
        <w:rPr>
          <w:bCs/>
          <w:lang w:val="fr-FR"/>
        </w:rPr>
        <w:t> </w:t>
      </w:r>
      <w:r w:rsidRPr="007166AF">
        <w:rPr>
          <w:bCs/>
          <w:lang w:val="fr-FR"/>
        </w:rPr>
        <w:t>2021</w:t>
      </w:r>
      <w:r w:rsidR="00D87EA2">
        <w:rPr>
          <w:bCs/>
          <w:lang w:val="fr-FR"/>
        </w:rPr>
        <w:noBreakHyphen/>
      </w:r>
      <w:r w:rsidRPr="007166AF">
        <w:rPr>
          <w:bCs/>
          <w:lang w:val="fr-FR"/>
        </w:rPr>
        <w:t>2022, le Forum des ONG du PCI avait achevé un projet majeur comprenant une enquête systématique auprès des ONG accréditées dans le monde entier et avait mis en œuvre un solide programme de nouvelles activités en</w:t>
      </w:r>
      <w:r w:rsidR="00D55C2A">
        <w:rPr>
          <w:bCs/>
          <w:lang w:val="fr-FR"/>
        </w:rPr>
        <w:t> </w:t>
      </w:r>
      <w:r w:rsidRPr="007166AF">
        <w:rPr>
          <w:bCs/>
          <w:lang w:val="fr-FR"/>
        </w:rPr>
        <w:t>2021</w:t>
      </w:r>
      <w:r w:rsidR="00D87EA2">
        <w:rPr>
          <w:bCs/>
          <w:lang w:val="fr-FR"/>
        </w:rPr>
        <w:noBreakHyphen/>
      </w:r>
      <w:r w:rsidRPr="007166AF">
        <w:rPr>
          <w:bCs/>
          <w:lang w:val="fr-FR"/>
        </w:rPr>
        <w:t>2022 afin d</w:t>
      </w:r>
      <w:r w:rsidR="00923E72">
        <w:rPr>
          <w:bCs/>
          <w:lang w:val="fr-FR"/>
        </w:rPr>
        <w:t>’</w:t>
      </w:r>
      <w:r w:rsidRPr="007166AF">
        <w:rPr>
          <w:bCs/>
          <w:lang w:val="fr-FR"/>
        </w:rPr>
        <w:t>améliorer sa structure organisationnelle et de répondre aux besoins croissants des ONG accréditées, du Secrétariat et du Comité. Les activités organisées par le Forum des ONG du PCI avaient suscité la participation enthousiaste du plus grand nombre jamais atteint d</w:t>
      </w:r>
      <w:r w:rsidR="00923E72">
        <w:rPr>
          <w:bCs/>
          <w:lang w:val="fr-FR"/>
        </w:rPr>
        <w:t>’</w:t>
      </w:r>
      <w:r w:rsidRPr="007166AF">
        <w:rPr>
          <w:bCs/>
          <w:lang w:val="fr-FR"/>
        </w:rPr>
        <w:t>ONG accréditées lors des réunions du Comité en</w:t>
      </w:r>
      <w:r w:rsidR="00D55C2A">
        <w:rPr>
          <w:bCs/>
          <w:lang w:val="fr-FR"/>
        </w:rPr>
        <w:t> </w:t>
      </w:r>
      <w:r w:rsidRPr="007166AF">
        <w:rPr>
          <w:bCs/>
          <w:lang w:val="fr-FR"/>
        </w:rPr>
        <w:t>2021 et de la présente réunion en</w:t>
      </w:r>
      <w:r w:rsidR="00D55C2A">
        <w:rPr>
          <w:bCs/>
          <w:lang w:val="fr-FR"/>
        </w:rPr>
        <w:t> </w:t>
      </w:r>
      <w:r w:rsidRPr="007166AF">
        <w:rPr>
          <w:bCs/>
          <w:lang w:val="fr-FR"/>
        </w:rPr>
        <w:t>2022. Le format en ligne avait stimulé la participation de ses membres à un niveau record de deux tiers de toutes les ONG accréditées lors des réunions statutaires de</w:t>
      </w:r>
      <w:r w:rsidR="00D55C2A">
        <w:rPr>
          <w:bCs/>
          <w:lang w:val="fr-FR"/>
        </w:rPr>
        <w:t> </w:t>
      </w:r>
      <w:r w:rsidRPr="007166AF">
        <w:rPr>
          <w:bCs/>
          <w:lang w:val="fr-FR"/>
        </w:rPr>
        <w:t>2021 et</w:t>
      </w:r>
      <w:r w:rsidR="00D55C2A">
        <w:rPr>
          <w:bCs/>
          <w:lang w:val="fr-FR"/>
        </w:rPr>
        <w:t> </w:t>
      </w:r>
      <w:r w:rsidRPr="007166AF">
        <w:rPr>
          <w:bCs/>
          <w:lang w:val="fr-FR"/>
        </w:rPr>
        <w:t>2022. Les sessions en ligne du Forum avaient inclus de nombreuses ONG qui n</w:t>
      </w:r>
      <w:r w:rsidR="00923E72">
        <w:rPr>
          <w:bCs/>
          <w:lang w:val="fr-FR"/>
        </w:rPr>
        <w:t>’</w:t>
      </w:r>
      <w:r w:rsidRPr="007166AF">
        <w:rPr>
          <w:bCs/>
          <w:lang w:val="fr-FR"/>
        </w:rPr>
        <w:t>avaient pas eu l</w:t>
      </w:r>
      <w:r w:rsidR="00923E72">
        <w:rPr>
          <w:bCs/>
          <w:lang w:val="fr-FR"/>
        </w:rPr>
        <w:t>’</w:t>
      </w:r>
      <w:r w:rsidRPr="007166AF">
        <w:rPr>
          <w:bCs/>
          <w:lang w:val="fr-FR"/>
        </w:rPr>
        <w:t>occasion de participer en</w:t>
      </w:r>
      <w:r w:rsidR="00A92820">
        <w:rPr>
          <w:bCs/>
          <w:lang w:val="fr-FR"/>
        </w:rPr>
        <w:t xml:space="preserve"> présentiel</w:t>
      </w:r>
      <w:r w:rsidRPr="007166AF">
        <w:rPr>
          <w:bCs/>
          <w:lang w:val="fr-FR"/>
        </w:rPr>
        <w:t>, leur perm</w:t>
      </w:r>
      <w:r w:rsidR="00806D37">
        <w:rPr>
          <w:bCs/>
          <w:lang w:val="fr-FR"/>
        </w:rPr>
        <w:t>ettant ainsi</w:t>
      </w:r>
      <w:r w:rsidRPr="007166AF">
        <w:rPr>
          <w:bCs/>
          <w:lang w:val="fr-FR"/>
        </w:rPr>
        <w:t xml:space="preserve"> de s</w:t>
      </w:r>
      <w:r w:rsidR="00923E72">
        <w:rPr>
          <w:bCs/>
          <w:lang w:val="fr-FR"/>
        </w:rPr>
        <w:t>’</w:t>
      </w:r>
      <w:r w:rsidRPr="007166AF">
        <w:rPr>
          <w:bCs/>
          <w:lang w:val="fr-FR"/>
        </w:rPr>
        <w:t>engager activement dans le Forum. Cette augmentation de la participation reflétait un éventail plus large de services et de possibilités offerts par le Forum à ses membres. En</w:t>
      </w:r>
      <w:r w:rsidR="00246428">
        <w:rPr>
          <w:bCs/>
          <w:lang w:val="fr-FR"/>
        </w:rPr>
        <w:t> </w:t>
      </w:r>
      <w:r w:rsidRPr="007166AF">
        <w:rPr>
          <w:bCs/>
          <w:lang w:val="fr-FR"/>
        </w:rPr>
        <w:t>2022, le Forum s</w:t>
      </w:r>
      <w:r w:rsidR="00923E72">
        <w:rPr>
          <w:bCs/>
          <w:lang w:val="fr-FR"/>
        </w:rPr>
        <w:t>’</w:t>
      </w:r>
      <w:r w:rsidRPr="007166AF">
        <w:rPr>
          <w:bCs/>
          <w:lang w:val="fr-FR"/>
        </w:rPr>
        <w:t>était fixé comme priorité de remédier au déséquilibre géographique des ONG accréditées et d</w:t>
      </w:r>
      <w:r w:rsidR="00923E72">
        <w:rPr>
          <w:bCs/>
          <w:lang w:val="fr-FR"/>
        </w:rPr>
        <w:t>’</w:t>
      </w:r>
      <w:r w:rsidRPr="007166AF">
        <w:rPr>
          <w:bCs/>
          <w:lang w:val="fr-FR"/>
        </w:rPr>
        <w:t>accroître la participation des ONG des régions sous-représentées. Une série d</w:t>
      </w:r>
      <w:r w:rsidR="00923E72">
        <w:rPr>
          <w:bCs/>
          <w:lang w:val="fr-FR"/>
        </w:rPr>
        <w:t>’</w:t>
      </w:r>
      <w:r w:rsidRPr="007166AF">
        <w:rPr>
          <w:bCs/>
          <w:lang w:val="fr-FR"/>
        </w:rPr>
        <w:t>actions concrètes avaient également été menées en</w:t>
      </w:r>
      <w:r w:rsidR="00246428">
        <w:rPr>
          <w:bCs/>
          <w:lang w:val="fr-FR"/>
        </w:rPr>
        <w:t> </w:t>
      </w:r>
      <w:r w:rsidRPr="007166AF">
        <w:rPr>
          <w:bCs/>
          <w:lang w:val="fr-FR"/>
        </w:rPr>
        <w:t>2022 pour augmenter le nombre d</w:t>
      </w:r>
      <w:r w:rsidR="00923E72">
        <w:rPr>
          <w:bCs/>
          <w:lang w:val="fr-FR"/>
        </w:rPr>
        <w:t>’</w:t>
      </w:r>
      <w:r w:rsidRPr="007166AF">
        <w:rPr>
          <w:bCs/>
          <w:lang w:val="fr-FR"/>
        </w:rPr>
        <w:t xml:space="preserve">ONG accréditées dans les régions sous-représentées, </w:t>
      </w:r>
      <w:r w:rsidR="00806D37">
        <w:rPr>
          <w:bCs/>
          <w:lang w:val="fr-FR"/>
        </w:rPr>
        <w:t xml:space="preserve">des actions </w:t>
      </w:r>
      <w:r w:rsidRPr="007166AF">
        <w:rPr>
          <w:bCs/>
          <w:lang w:val="fr-FR"/>
        </w:rPr>
        <w:t>mises en</w:t>
      </w:r>
      <w:r w:rsidR="00B752E7">
        <w:rPr>
          <w:bCs/>
          <w:lang w:val="fr-FR"/>
        </w:rPr>
        <w:t xml:space="preserve"> œuvre</w:t>
      </w:r>
      <w:r w:rsidRPr="007166AF">
        <w:rPr>
          <w:bCs/>
          <w:lang w:val="fr-FR"/>
        </w:rPr>
        <w:t xml:space="preserve"> par le groupe de travail du Forum consacré à une représentation géographique plus équilibrée des ONG. Ces efforts portaient notamment sur l</w:t>
      </w:r>
      <w:r w:rsidR="00923E72">
        <w:rPr>
          <w:bCs/>
          <w:lang w:val="fr-FR"/>
        </w:rPr>
        <w:t>’</w:t>
      </w:r>
      <w:r w:rsidRPr="007166AF">
        <w:rPr>
          <w:bCs/>
          <w:lang w:val="fr-FR"/>
        </w:rPr>
        <w:t>engagement auprès des réseaux régionaux pour promouvoir l</w:t>
      </w:r>
      <w:r w:rsidR="00923E72">
        <w:rPr>
          <w:bCs/>
          <w:lang w:val="fr-FR"/>
        </w:rPr>
        <w:t>’</w:t>
      </w:r>
      <w:r w:rsidRPr="007166AF">
        <w:rPr>
          <w:bCs/>
          <w:lang w:val="fr-FR"/>
        </w:rPr>
        <w:t>accréditation</w:t>
      </w:r>
      <w:r w:rsidR="00B752E7">
        <w:rPr>
          <w:bCs/>
          <w:lang w:val="fr-FR"/>
        </w:rPr>
        <w:t>,</w:t>
      </w:r>
      <w:r w:rsidRPr="007166AF">
        <w:rPr>
          <w:bCs/>
          <w:lang w:val="fr-FR"/>
        </w:rPr>
        <w:t xml:space="preserve"> et pouvaient également inclure des ateliers, des séminaires et la participation des centres de catégorie</w:t>
      </w:r>
      <w:r w:rsidR="003A0260">
        <w:rPr>
          <w:bCs/>
          <w:lang w:val="fr-FR"/>
        </w:rPr>
        <w:t> </w:t>
      </w:r>
      <w:r w:rsidRPr="007166AF">
        <w:rPr>
          <w:bCs/>
          <w:lang w:val="fr-FR"/>
        </w:rPr>
        <w:t>2 et d</w:t>
      </w:r>
      <w:r w:rsidR="00923E72">
        <w:rPr>
          <w:bCs/>
          <w:lang w:val="fr-FR"/>
        </w:rPr>
        <w:t>’</w:t>
      </w:r>
      <w:r w:rsidRPr="007166AF">
        <w:rPr>
          <w:bCs/>
          <w:lang w:val="fr-FR"/>
        </w:rPr>
        <w:t>autres ONG accréditées pour encourager les ONG non accréditées de leur région à postuler au prochain cycle d</w:t>
      </w:r>
      <w:r w:rsidR="00923E72">
        <w:rPr>
          <w:bCs/>
          <w:lang w:val="fr-FR"/>
        </w:rPr>
        <w:t>’</w:t>
      </w:r>
      <w:r w:rsidRPr="007166AF">
        <w:rPr>
          <w:bCs/>
          <w:lang w:val="fr-FR"/>
        </w:rPr>
        <w:t>accréditation, qui s</w:t>
      </w:r>
      <w:r w:rsidR="00923E72">
        <w:rPr>
          <w:bCs/>
          <w:lang w:val="fr-FR"/>
        </w:rPr>
        <w:t>’</w:t>
      </w:r>
      <w:r w:rsidRPr="007166AF">
        <w:rPr>
          <w:bCs/>
          <w:lang w:val="fr-FR"/>
        </w:rPr>
        <w:t>était déroulé en avril</w:t>
      </w:r>
      <w:r w:rsidR="003A0260">
        <w:rPr>
          <w:bCs/>
          <w:lang w:val="fr-FR"/>
        </w:rPr>
        <w:t> </w:t>
      </w:r>
      <w:r w:rsidRPr="007166AF">
        <w:rPr>
          <w:bCs/>
          <w:lang w:val="fr-FR"/>
        </w:rPr>
        <w:t xml:space="preserve">2022. Les activités du Forum avaient permis de présenter des </w:t>
      </w:r>
      <w:r w:rsidR="00A65C9A">
        <w:rPr>
          <w:bCs/>
          <w:lang w:val="fr-FR"/>
        </w:rPr>
        <w:t xml:space="preserve">orientations </w:t>
      </w:r>
      <w:r w:rsidRPr="007166AF">
        <w:rPr>
          <w:bCs/>
          <w:lang w:val="fr-FR"/>
        </w:rPr>
        <w:t>spécifiques sur le processus d</w:t>
      </w:r>
      <w:r w:rsidR="00923E72">
        <w:rPr>
          <w:bCs/>
          <w:lang w:val="fr-FR"/>
        </w:rPr>
        <w:t>’</w:t>
      </w:r>
      <w:r w:rsidRPr="007166AF">
        <w:rPr>
          <w:bCs/>
          <w:lang w:val="fr-FR"/>
        </w:rPr>
        <w:t xml:space="preserve">accréditation, </w:t>
      </w:r>
      <w:r w:rsidR="00A3101E">
        <w:rPr>
          <w:bCs/>
          <w:lang w:val="fr-FR"/>
        </w:rPr>
        <w:t xml:space="preserve">sur </w:t>
      </w:r>
      <w:r w:rsidRPr="007166AF">
        <w:rPr>
          <w:bCs/>
          <w:lang w:val="fr-FR"/>
        </w:rPr>
        <w:t>la manière de remplir le formulaire d</w:t>
      </w:r>
      <w:r w:rsidR="00923E72">
        <w:rPr>
          <w:bCs/>
          <w:lang w:val="fr-FR"/>
        </w:rPr>
        <w:t>’</w:t>
      </w:r>
      <w:r w:rsidRPr="007166AF">
        <w:rPr>
          <w:bCs/>
          <w:lang w:val="fr-FR"/>
        </w:rPr>
        <w:t xml:space="preserve">accréditation ainsi que </w:t>
      </w:r>
      <w:r w:rsidR="00A3101E">
        <w:rPr>
          <w:bCs/>
          <w:lang w:val="fr-FR"/>
        </w:rPr>
        <w:t xml:space="preserve">sur </w:t>
      </w:r>
      <w:r w:rsidRPr="007166AF">
        <w:rPr>
          <w:bCs/>
          <w:lang w:val="fr-FR"/>
        </w:rPr>
        <w:t>les avantages de l</w:t>
      </w:r>
      <w:r w:rsidR="00923E72">
        <w:rPr>
          <w:bCs/>
          <w:lang w:val="fr-FR"/>
        </w:rPr>
        <w:t>’</w:t>
      </w:r>
      <w:r w:rsidRPr="007166AF">
        <w:rPr>
          <w:bCs/>
          <w:lang w:val="fr-FR"/>
        </w:rPr>
        <w:t>accréditation.</w:t>
      </w:r>
    </w:p>
    <w:p w14:paraId="5AFBE651" w14:textId="5BCCD537" w:rsidR="00B752E7" w:rsidRDefault="004E08DD">
      <w:pPr>
        <w:pStyle w:val="Orateurengris"/>
        <w:numPr>
          <w:ilvl w:val="0"/>
          <w:numId w:val="20"/>
        </w:numPr>
        <w:tabs>
          <w:tab w:val="clear" w:pos="567"/>
          <w:tab w:val="left" w:pos="5954"/>
        </w:tabs>
        <w:spacing w:before="120"/>
        <w:ind w:left="709" w:hanging="709"/>
        <w:rPr>
          <w:bCs/>
          <w:lang w:val="fr-FR"/>
        </w:rPr>
      </w:pPr>
      <w:r w:rsidRPr="004877F0">
        <w:rPr>
          <w:b/>
          <w:lang w:val="fr-FR"/>
        </w:rPr>
        <w:t>M</w:t>
      </w:r>
      <w:r w:rsidRPr="004877F0">
        <w:rPr>
          <w:b/>
          <w:vertAlign w:val="superscript"/>
          <w:lang w:val="fr-FR"/>
        </w:rPr>
        <w:t>me</w:t>
      </w:r>
      <w:r w:rsidRPr="004877F0">
        <w:rPr>
          <w:b/>
          <w:lang w:val="fr-FR"/>
        </w:rPr>
        <w:t> Janet Blake</w:t>
      </w:r>
      <w:r w:rsidRPr="007166AF">
        <w:rPr>
          <w:bCs/>
          <w:lang w:val="fr-FR"/>
        </w:rPr>
        <w:t xml:space="preserve"> </w:t>
      </w:r>
      <w:r w:rsidRPr="004E08DD">
        <w:rPr>
          <w:bCs/>
          <w:lang w:val="fr-FR"/>
        </w:rPr>
        <w:t>a ensuite évoqué la commande passée en août</w:t>
      </w:r>
      <w:r w:rsidR="003A0260">
        <w:rPr>
          <w:bCs/>
          <w:lang w:val="fr-FR"/>
        </w:rPr>
        <w:t> </w:t>
      </w:r>
      <w:r w:rsidRPr="004E08DD">
        <w:rPr>
          <w:bCs/>
          <w:lang w:val="fr-FR"/>
        </w:rPr>
        <w:t>2021 au Forum des ONG du PCI d</w:t>
      </w:r>
      <w:r w:rsidR="00923E72">
        <w:rPr>
          <w:bCs/>
          <w:lang w:val="fr-FR"/>
        </w:rPr>
        <w:t>’</w:t>
      </w:r>
      <w:r w:rsidRPr="004E08DD">
        <w:rPr>
          <w:bCs/>
          <w:lang w:val="fr-FR"/>
        </w:rPr>
        <w:t>un projet de cartographie pour le compte du Secrétariat. Il s</w:t>
      </w:r>
      <w:r w:rsidR="00923E72">
        <w:rPr>
          <w:bCs/>
          <w:lang w:val="fr-FR"/>
        </w:rPr>
        <w:t>’</w:t>
      </w:r>
      <w:r w:rsidRPr="004E08DD">
        <w:rPr>
          <w:bCs/>
          <w:lang w:val="fr-FR"/>
        </w:rPr>
        <w:t>agissait d</w:t>
      </w:r>
      <w:r w:rsidR="00923E72">
        <w:rPr>
          <w:bCs/>
          <w:lang w:val="fr-FR"/>
        </w:rPr>
        <w:t>’</w:t>
      </w:r>
      <w:r w:rsidRPr="004E08DD">
        <w:rPr>
          <w:bCs/>
          <w:lang w:val="fr-FR"/>
        </w:rPr>
        <w:t xml:space="preserve">une </w:t>
      </w:r>
      <w:r>
        <w:rPr>
          <w:bCs/>
          <w:lang w:val="fr-FR"/>
        </w:rPr>
        <w:t xml:space="preserve">activité </w:t>
      </w:r>
      <w:r w:rsidRPr="004E08DD">
        <w:rPr>
          <w:bCs/>
          <w:lang w:val="fr-FR"/>
        </w:rPr>
        <w:t>hautement prioritaire du Conseil exécutif, qui avait duré un an. Le projet de cartographie avait débouché sur des propositions de révision des formulaires d</w:t>
      </w:r>
      <w:r w:rsidR="00923E72">
        <w:rPr>
          <w:bCs/>
          <w:lang w:val="fr-FR"/>
        </w:rPr>
        <w:t>’</w:t>
      </w:r>
      <w:r w:rsidRPr="004E08DD">
        <w:rPr>
          <w:bCs/>
          <w:lang w:val="fr-FR"/>
        </w:rPr>
        <w:t>accréditation et d</w:t>
      </w:r>
      <w:r w:rsidR="00923E72">
        <w:rPr>
          <w:bCs/>
          <w:lang w:val="fr-FR"/>
        </w:rPr>
        <w:t>’</w:t>
      </w:r>
      <w:r w:rsidRPr="004E08DD">
        <w:rPr>
          <w:bCs/>
          <w:lang w:val="fr-FR"/>
        </w:rPr>
        <w:t>évaluation (ICH</w:t>
      </w:r>
      <w:r>
        <w:rPr>
          <w:bCs/>
          <w:lang w:val="fr-FR"/>
        </w:rPr>
        <w:noBreakHyphen/>
      </w:r>
      <w:r w:rsidRPr="004E08DD">
        <w:rPr>
          <w:bCs/>
          <w:lang w:val="fr-FR"/>
        </w:rPr>
        <w:t>08 et ICH</w:t>
      </w:r>
      <w:r>
        <w:rPr>
          <w:bCs/>
          <w:lang w:val="fr-FR"/>
        </w:rPr>
        <w:noBreakHyphen/>
      </w:r>
      <w:r w:rsidRPr="004E08DD">
        <w:rPr>
          <w:bCs/>
          <w:lang w:val="fr-FR"/>
        </w:rPr>
        <w:t>09), qui permettraient d</w:t>
      </w:r>
      <w:r w:rsidR="00923E72">
        <w:rPr>
          <w:bCs/>
          <w:lang w:val="fr-FR"/>
        </w:rPr>
        <w:t>’</w:t>
      </w:r>
      <w:r w:rsidRPr="004E08DD">
        <w:rPr>
          <w:bCs/>
          <w:lang w:val="fr-FR"/>
        </w:rPr>
        <w:t xml:space="preserve">identifier plus efficacement les ONG les mieux à même de soutenir les États parties et le Secrétariat dans la sauvegarde du patrimoine culturel immatériel. </w:t>
      </w:r>
      <w:r>
        <w:rPr>
          <w:bCs/>
          <w:lang w:val="fr-FR"/>
        </w:rPr>
        <w:t>Cela</w:t>
      </w:r>
      <w:r w:rsidRPr="004E08DD">
        <w:rPr>
          <w:bCs/>
          <w:lang w:val="fr-FR"/>
        </w:rPr>
        <w:t xml:space="preserve"> avait permis d</w:t>
      </w:r>
      <w:r w:rsidR="00923E72">
        <w:rPr>
          <w:bCs/>
          <w:lang w:val="fr-FR"/>
        </w:rPr>
        <w:t>’</w:t>
      </w:r>
      <w:r w:rsidRPr="004E08DD">
        <w:rPr>
          <w:bCs/>
          <w:lang w:val="fr-FR"/>
        </w:rPr>
        <w:t>élargir considérablement les catégories et les termes des vocabulaires utilisés pour répertorier les ONG accréditées, et les résultats des projets contenaient de nombreuses informations sur les compétences et l</w:t>
      </w:r>
      <w:r w:rsidR="00923E72">
        <w:rPr>
          <w:bCs/>
          <w:lang w:val="fr-FR"/>
        </w:rPr>
        <w:t>’</w:t>
      </w:r>
      <w:r w:rsidRPr="004E08DD">
        <w:rPr>
          <w:bCs/>
          <w:lang w:val="fr-FR"/>
        </w:rPr>
        <w:t>expertise des ONG accréditées</w:t>
      </w:r>
      <w:r w:rsidR="00A65C9A">
        <w:rPr>
          <w:bCs/>
          <w:lang w:val="fr-FR"/>
        </w:rPr>
        <w:t>,</w:t>
      </w:r>
      <w:r w:rsidRPr="004E08DD">
        <w:rPr>
          <w:bCs/>
          <w:lang w:val="fr-FR"/>
        </w:rPr>
        <w:t xml:space="preserve"> qui pouvaient être facilement partagées avec d</w:t>
      </w:r>
      <w:r w:rsidR="00923E72">
        <w:rPr>
          <w:bCs/>
          <w:lang w:val="fr-FR"/>
        </w:rPr>
        <w:t>’</w:t>
      </w:r>
      <w:r w:rsidRPr="004E08DD">
        <w:rPr>
          <w:bCs/>
          <w:lang w:val="fr-FR"/>
        </w:rPr>
        <w:t>autres ONG et d</w:t>
      </w:r>
      <w:r w:rsidR="00923E72">
        <w:rPr>
          <w:bCs/>
          <w:lang w:val="fr-FR"/>
        </w:rPr>
        <w:t>’</w:t>
      </w:r>
      <w:r w:rsidRPr="004E08DD">
        <w:rPr>
          <w:bCs/>
          <w:lang w:val="fr-FR"/>
        </w:rPr>
        <w:t>autres parties prenantes de la Convention. En outre, le projet de cartographie avait permis au Conseil exécutif d</w:t>
      </w:r>
      <w:r w:rsidR="00923E72">
        <w:rPr>
          <w:bCs/>
          <w:lang w:val="fr-FR"/>
        </w:rPr>
        <w:t>’</w:t>
      </w:r>
      <w:r w:rsidRPr="004E08DD">
        <w:rPr>
          <w:bCs/>
          <w:lang w:val="fr-FR"/>
        </w:rPr>
        <w:t>augmenter son budget de fonctionnement pour développer et financer de nouveaux projets. L</w:t>
      </w:r>
      <w:r w:rsidR="00923E72">
        <w:rPr>
          <w:bCs/>
          <w:lang w:val="fr-FR"/>
        </w:rPr>
        <w:t>’</w:t>
      </w:r>
      <w:r w:rsidRPr="004E08DD">
        <w:rPr>
          <w:bCs/>
          <w:lang w:val="fr-FR"/>
        </w:rPr>
        <w:t>un d</w:t>
      </w:r>
      <w:r w:rsidR="00923E72">
        <w:rPr>
          <w:bCs/>
          <w:lang w:val="fr-FR"/>
        </w:rPr>
        <w:t>’</w:t>
      </w:r>
      <w:r w:rsidRPr="004E08DD">
        <w:rPr>
          <w:bCs/>
          <w:lang w:val="fr-FR"/>
        </w:rPr>
        <w:t xml:space="preserve">entre eux était la création du </w:t>
      </w:r>
      <w:r w:rsidR="004F31F7">
        <w:rPr>
          <w:bCs/>
          <w:lang w:val="fr-FR"/>
        </w:rPr>
        <w:t>p</w:t>
      </w:r>
      <w:r w:rsidRPr="004E08DD">
        <w:rPr>
          <w:bCs/>
          <w:lang w:val="fr-FR"/>
        </w:rPr>
        <w:t>rix</w:t>
      </w:r>
      <w:r w:rsidR="003A094F">
        <w:rPr>
          <w:bCs/>
          <w:lang w:val="fr-FR"/>
        </w:rPr>
        <w:t> </w:t>
      </w:r>
      <w:r w:rsidRPr="004E08DD">
        <w:rPr>
          <w:bCs/>
          <w:lang w:val="fr-FR"/>
        </w:rPr>
        <w:t xml:space="preserve">Albert van der </w:t>
      </w:r>
      <w:proofErr w:type="spellStart"/>
      <w:r w:rsidRPr="004E08DD">
        <w:rPr>
          <w:bCs/>
          <w:lang w:val="fr-FR"/>
        </w:rPr>
        <w:t>Zeiden</w:t>
      </w:r>
      <w:proofErr w:type="spellEnd"/>
      <w:r>
        <w:rPr>
          <w:bCs/>
          <w:lang w:val="fr-FR"/>
        </w:rPr>
        <w:t>,</w:t>
      </w:r>
      <w:r w:rsidRPr="004E08DD">
        <w:rPr>
          <w:bCs/>
          <w:lang w:val="fr-FR"/>
        </w:rPr>
        <w:t xml:space="preserve"> </w:t>
      </w:r>
      <w:r w:rsidR="00D87EA2">
        <w:rPr>
          <w:bCs/>
          <w:lang w:val="fr-FR"/>
        </w:rPr>
        <w:t>à la</w:t>
      </w:r>
      <w:r w:rsidRPr="004E08DD">
        <w:rPr>
          <w:bCs/>
          <w:lang w:val="fr-FR"/>
        </w:rPr>
        <w:t xml:space="preserve"> mémoire d</w:t>
      </w:r>
      <w:r w:rsidR="00923E72">
        <w:rPr>
          <w:bCs/>
          <w:lang w:val="fr-FR"/>
        </w:rPr>
        <w:t>’</w:t>
      </w:r>
      <w:r w:rsidRPr="004E08DD">
        <w:rPr>
          <w:bCs/>
          <w:lang w:val="fr-FR"/>
        </w:rPr>
        <w:t>Albert</w:t>
      </w:r>
      <w:r w:rsidR="003A094F">
        <w:rPr>
          <w:bCs/>
          <w:lang w:val="fr-FR"/>
        </w:rPr>
        <w:t xml:space="preserve"> </w:t>
      </w:r>
      <w:r w:rsidRPr="004E08DD">
        <w:rPr>
          <w:bCs/>
          <w:lang w:val="fr-FR"/>
        </w:rPr>
        <w:t>malheureusement décédé en</w:t>
      </w:r>
      <w:r w:rsidR="00D55C2A">
        <w:rPr>
          <w:bCs/>
          <w:lang w:val="fr-FR"/>
        </w:rPr>
        <w:t> </w:t>
      </w:r>
      <w:r w:rsidRPr="004E08DD">
        <w:rPr>
          <w:bCs/>
          <w:lang w:val="fr-FR"/>
        </w:rPr>
        <w:t xml:space="preserve">2021, </w:t>
      </w:r>
      <w:r w:rsidR="00D87EA2">
        <w:rPr>
          <w:bCs/>
          <w:lang w:val="fr-FR"/>
        </w:rPr>
        <w:t xml:space="preserve">qui récompense </w:t>
      </w:r>
      <w:r w:rsidRPr="004E08DD">
        <w:rPr>
          <w:bCs/>
          <w:lang w:val="fr-FR"/>
        </w:rPr>
        <w:t>le meilleur article publié par un auteur de moins de trente</w:t>
      </w:r>
      <w:r w:rsidR="003A094F">
        <w:rPr>
          <w:bCs/>
          <w:lang w:val="fr-FR"/>
        </w:rPr>
        <w:noBreakHyphen/>
      </w:r>
      <w:r w:rsidRPr="004E08DD">
        <w:rPr>
          <w:bCs/>
          <w:lang w:val="fr-FR"/>
        </w:rPr>
        <w:t xml:space="preserve">cinq ans dans la revue </w:t>
      </w:r>
      <w:hyperlink r:id="rId93" w:history="1">
        <w:r w:rsidR="003A094F" w:rsidRPr="006E3034">
          <w:rPr>
            <w:rStyle w:val="Hyperlink"/>
            <w:bCs/>
            <w:lang w:val="fr-FR"/>
          </w:rPr>
          <w:t>#HeritageAlive</w:t>
        </w:r>
      </w:hyperlink>
      <w:r w:rsidRPr="004E08DD">
        <w:rPr>
          <w:bCs/>
          <w:lang w:val="fr-FR"/>
        </w:rPr>
        <w:t xml:space="preserve">. Le prix </w:t>
      </w:r>
      <w:r w:rsidRPr="004E08DD">
        <w:rPr>
          <w:bCs/>
          <w:lang w:val="fr-FR"/>
        </w:rPr>
        <w:lastRenderedPageBreak/>
        <w:t>s</w:t>
      </w:r>
      <w:r w:rsidR="00923E72">
        <w:rPr>
          <w:bCs/>
          <w:lang w:val="fr-FR"/>
        </w:rPr>
        <w:t>’</w:t>
      </w:r>
      <w:r w:rsidRPr="004E08DD">
        <w:rPr>
          <w:bCs/>
          <w:lang w:val="fr-FR"/>
        </w:rPr>
        <w:t>élevait à 500 euros et serait décerné pour chacun des trois prochains numéros de la revue. La lauréate du prix</w:t>
      </w:r>
      <w:r w:rsidR="00D55C2A">
        <w:rPr>
          <w:bCs/>
          <w:lang w:val="fr-FR"/>
        </w:rPr>
        <w:t> </w:t>
      </w:r>
      <w:r w:rsidRPr="004E08DD">
        <w:rPr>
          <w:bCs/>
          <w:lang w:val="fr-FR"/>
        </w:rPr>
        <w:t>2022, M</w:t>
      </w:r>
      <w:r w:rsidRPr="00702497">
        <w:rPr>
          <w:bCs/>
          <w:vertAlign w:val="superscript"/>
          <w:lang w:val="fr-FR"/>
        </w:rPr>
        <w:t>me</w:t>
      </w:r>
      <w:r>
        <w:rPr>
          <w:bCs/>
          <w:lang w:val="fr-FR"/>
        </w:rPr>
        <w:t> </w:t>
      </w:r>
      <w:r w:rsidRPr="004E08DD">
        <w:rPr>
          <w:bCs/>
          <w:lang w:val="fr-FR"/>
        </w:rPr>
        <w:t xml:space="preserve">Laura Lopez, avait reçu le prix le </w:t>
      </w:r>
      <w:r>
        <w:rPr>
          <w:bCs/>
          <w:lang w:val="fr-FR"/>
        </w:rPr>
        <w:t>1</w:t>
      </w:r>
      <w:r w:rsidRPr="00702497">
        <w:rPr>
          <w:bCs/>
          <w:vertAlign w:val="superscript"/>
          <w:lang w:val="fr-FR"/>
        </w:rPr>
        <w:t>er</w:t>
      </w:r>
      <w:r w:rsidR="001A7AF7">
        <w:rPr>
          <w:bCs/>
          <w:lang w:val="fr-FR"/>
        </w:rPr>
        <w:t> </w:t>
      </w:r>
      <w:r w:rsidRPr="004E08DD">
        <w:rPr>
          <w:bCs/>
          <w:lang w:val="fr-FR"/>
        </w:rPr>
        <w:t>décembre</w:t>
      </w:r>
      <w:r w:rsidR="00F7548F">
        <w:rPr>
          <w:rStyle w:val="FootnoteReference"/>
          <w:bCs/>
          <w:lang w:val="fr-FR"/>
        </w:rPr>
        <w:footnoteReference w:id="29"/>
      </w:r>
      <w:r w:rsidRPr="004E08DD">
        <w:rPr>
          <w:bCs/>
          <w:lang w:val="fr-FR"/>
        </w:rPr>
        <w:t>.</w:t>
      </w:r>
    </w:p>
    <w:p w14:paraId="713D824A" w14:textId="4D9CB2EF" w:rsidR="004E08DD" w:rsidRDefault="00F7548F">
      <w:pPr>
        <w:pStyle w:val="Orateurengris"/>
        <w:numPr>
          <w:ilvl w:val="0"/>
          <w:numId w:val="20"/>
        </w:numPr>
        <w:tabs>
          <w:tab w:val="clear" w:pos="567"/>
          <w:tab w:val="left" w:pos="5954"/>
        </w:tabs>
        <w:spacing w:before="120"/>
        <w:ind w:left="709" w:hanging="709"/>
        <w:rPr>
          <w:bCs/>
          <w:lang w:val="fr-FR"/>
        </w:rPr>
      </w:pPr>
      <w:r w:rsidRPr="004877F0">
        <w:rPr>
          <w:b/>
          <w:lang w:val="fr-FR"/>
        </w:rPr>
        <w:t>M</w:t>
      </w:r>
      <w:r w:rsidRPr="004877F0">
        <w:rPr>
          <w:b/>
          <w:vertAlign w:val="superscript"/>
          <w:lang w:val="fr-FR"/>
        </w:rPr>
        <w:t>me</w:t>
      </w:r>
      <w:r w:rsidRPr="004877F0">
        <w:rPr>
          <w:b/>
          <w:lang w:val="fr-FR"/>
        </w:rPr>
        <w:t> Janet Blake</w:t>
      </w:r>
      <w:r w:rsidRPr="007166AF">
        <w:rPr>
          <w:bCs/>
          <w:lang w:val="fr-FR"/>
        </w:rPr>
        <w:t xml:space="preserve"> </w:t>
      </w:r>
      <w:r w:rsidRPr="00F7548F">
        <w:rPr>
          <w:bCs/>
          <w:lang w:val="fr-FR"/>
        </w:rPr>
        <w:t>a ensuite précisé que le Forum des ONG du PCI avait participé à un certain nombre de réunions et d</w:t>
      </w:r>
      <w:r w:rsidR="00923E72">
        <w:rPr>
          <w:bCs/>
          <w:lang w:val="fr-FR"/>
        </w:rPr>
        <w:t>’</w:t>
      </w:r>
      <w:r w:rsidRPr="00F7548F">
        <w:rPr>
          <w:bCs/>
          <w:lang w:val="fr-FR"/>
        </w:rPr>
        <w:t>initiatives visant à aider les ONG et les communautés dans les situations d</w:t>
      </w:r>
      <w:r w:rsidR="00923E72">
        <w:rPr>
          <w:bCs/>
          <w:lang w:val="fr-FR"/>
        </w:rPr>
        <w:t>’</w:t>
      </w:r>
      <w:r w:rsidRPr="00F7548F">
        <w:rPr>
          <w:bCs/>
          <w:lang w:val="fr-FR"/>
        </w:rPr>
        <w:t>urgence. Par exemple, le Conseil exécutif avait participé à une réunion convoquée par l</w:t>
      </w:r>
      <w:r w:rsidR="00923E72">
        <w:rPr>
          <w:bCs/>
          <w:lang w:val="fr-FR"/>
        </w:rPr>
        <w:t>’</w:t>
      </w:r>
      <w:r w:rsidRPr="00F7548F">
        <w:rPr>
          <w:bCs/>
          <w:lang w:val="fr-FR"/>
        </w:rPr>
        <w:t>UNESCO le 17</w:t>
      </w:r>
      <w:r w:rsidR="00EE62A6">
        <w:rPr>
          <w:bCs/>
          <w:lang w:val="fr-FR"/>
        </w:rPr>
        <w:t> </w:t>
      </w:r>
      <w:r w:rsidRPr="00F7548F">
        <w:rPr>
          <w:bCs/>
          <w:lang w:val="fr-FR"/>
        </w:rPr>
        <w:t xml:space="preserve">mars pour </w:t>
      </w:r>
      <w:r w:rsidR="00EE62A6">
        <w:rPr>
          <w:bCs/>
          <w:lang w:val="fr-FR"/>
        </w:rPr>
        <w:t xml:space="preserve">débattre </w:t>
      </w:r>
      <w:r w:rsidRPr="00F7548F">
        <w:rPr>
          <w:bCs/>
          <w:lang w:val="fr-FR"/>
        </w:rPr>
        <w:t>de la sauvegarde du patrimoine en Ukraine en cette période de conflit armé, et av</w:t>
      </w:r>
      <w:r w:rsidR="00EE62A6">
        <w:rPr>
          <w:bCs/>
          <w:lang w:val="fr-FR"/>
        </w:rPr>
        <w:t>a</w:t>
      </w:r>
      <w:r w:rsidRPr="00F7548F">
        <w:rPr>
          <w:bCs/>
          <w:lang w:val="fr-FR"/>
        </w:rPr>
        <w:t xml:space="preserve">it </w:t>
      </w:r>
      <w:r w:rsidR="00EE62A6">
        <w:rPr>
          <w:bCs/>
          <w:lang w:val="fr-FR"/>
        </w:rPr>
        <w:t>rendu compte des</w:t>
      </w:r>
      <w:r w:rsidRPr="00F7548F">
        <w:rPr>
          <w:bCs/>
          <w:lang w:val="fr-FR"/>
        </w:rPr>
        <w:t xml:space="preserve"> efforts déployés par le Forum pour sauvegarder le patrimoine culturel immatériel dans de telles circonstances. La situation en Ukraine avait </w:t>
      </w:r>
      <w:r w:rsidR="00EE62A6">
        <w:rPr>
          <w:bCs/>
          <w:lang w:val="fr-FR"/>
        </w:rPr>
        <w:t xml:space="preserve">incité </w:t>
      </w:r>
      <w:r w:rsidRPr="00F7548F">
        <w:rPr>
          <w:bCs/>
          <w:lang w:val="fr-FR"/>
        </w:rPr>
        <w:t>le Comité d</w:t>
      </w:r>
      <w:r w:rsidR="00357512">
        <w:rPr>
          <w:bCs/>
          <w:lang w:val="fr-FR"/>
        </w:rPr>
        <w:t>e pilotage</w:t>
      </w:r>
      <w:r w:rsidRPr="00F7548F">
        <w:rPr>
          <w:bCs/>
          <w:lang w:val="fr-FR"/>
        </w:rPr>
        <w:t xml:space="preserve"> à réfléchir à la manière dont le Forum peut soutenir le patrimoine culturel immatériel menacé par des situations de conflit ou de catastrophe naturelle. Une campagne de collecte de fonds avait été lancée à l</w:t>
      </w:r>
      <w:r w:rsidR="00923E72">
        <w:rPr>
          <w:bCs/>
          <w:lang w:val="fr-FR"/>
        </w:rPr>
        <w:t>’</w:t>
      </w:r>
      <w:r w:rsidRPr="00F7548F">
        <w:rPr>
          <w:bCs/>
          <w:lang w:val="fr-FR"/>
        </w:rPr>
        <w:t>automne</w:t>
      </w:r>
      <w:r w:rsidR="00246428">
        <w:rPr>
          <w:bCs/>
          <w:lang w:val="fr-FR"/>
        </w:rPr>
        <w:t> 2022</w:t>
      </w:r>
      <w:r w:rsidRPr="00F7548F">
        <w:rPr>
          <w:bCs/>
          <w:lang w:val="fr-FR"/>
        </w:rPr>
        <w:t xml:space="preserve"> afin de recueillir des fonds pour aider le patrimoine culturel immatériel dans tous les pays du monde connaissant de telles situations de crise ou de catastrophe. Les dons pouvaient être envoyés en consultant le </w:t>
      </w:r>
      <w:hyperlink r:id="rId94" w:history="1">
        <w:r w:rsidR="00EE62A6" w:rsidRPr="003A094F">
          <w:rPr>
            <w:rStyle w:val="Hyperlink"/>
            <w:bCs/>
            <w:lang w:val="fr-FR"/>
          </w:rPr>
          <w:t>s</w:t>
        </w:r>
        <w:r w:rsidRPr="003A094F">
          <w:rPr>
            <w:rStyle w:val="Hyperlink"/>
            <w:bCs/>
            <w:lang w:val="fr-FR"/>
          </w:rPr>
          <w:t>ite web des ONG du PCI</w:t>
        </w:r>
      </w:hyperlink>
      <w:r w:rsidRPr="00F7548F">
        <w:rPr>
          <w:bCs/>
          <w:lang w:val="fr-FR"/>
        </w:rPr>
        <w:t xml:space="preserve"> ou en contactant le Président du Conseil exécutif du Forum. Le groupe de travail consacré à la recherche avait conçu un dossier web et une boîte à outils dernier cri sur le patrimoine culturel immatériel et le tourisme durable</w:t>
      </w:r>
      <w:r w:rsidR="00736424">
        <w:rPr>
          <w:rStyle w:val="FootnoteReference"/>
          <w:bCs/>
          <w:lang w:val="fr-FR"/>
        </w:rPr>
        <w:footnoteReference w:id="30"/>
      </w:r>
      <w:r w:rsidRPr="00F7548F">
        <w:rPr>
          <w:bCs/>
          <w:lang w:val="fr-FR"/>
        </w:rPr>
        <w:t>. La boîte à outils avait été lancée en ligne lors d</w:t>
      </w:r>
      <w:r w:rsidR="00923E72">
        <w:rPr>
          <w:bCs/>
          <w:lang w:val="fr-FR"/>
        </w:rPr>
        <w:t>’</w:t>
      </w:r>
      <w:r w:rsidRPr="00F7548F">
        <w:rPr>
          <w:bCs/>
          <w:lang w:val="fr-FR"/>
        </w:rPr>
        <w:t>un webinaire le 27</w:t>
      </w:r>
      <w:r w:rsidR="00EE62A6">
        <w:rPr>
          <w:bCs/>
          <w:lang w:val="fr-FR"/>
        </w:rPr>
        <w:t> </w:t>
      </w:r>
      <w:r w:rsidRPr="00F7548F">
        <w:rPr>
          <w:bCs/>
          <w:lang w:val="fr-FR"/>
        </w:rPr>
        <w:t>octobre et était désormais disponible sur le</w:t>
      </w:r>
      <w:r w:rsidR="003A094F">
        <w:rPr>
          <w:bCs/>
          <w:lang w:val="fr-FR"/>
        </w:rPr>
        <w:t xml:space="preserve"> site web des ONG du PCI</w:t>
      </w:r>
      <w:r w:rsidRPr="00F7548F">
        <w:rPr>
          <w:bCs/>
          <w:lang w:val="fr-FR"/>
        </w:rPr>
        <w:t xml:space="preserve">. Cette ressource expliquait les concepts de base des premières connaissances pratiques et partageait des expériences concrètes pour aider les communautés du patrimoine à tirer le </w:t>
      </w:r>
      <w:r w:rsidR="00EE62A6">
        <w:rPr>
          <w:bCs/>
          <w:lang w:val="fr-FR"/>
        </w:rPr>
        <w:t xml:space="preserve">meilleur parti </w:t>
      </w:r>
      <w:r w:rsidRPr="00F7548F">
        <w:rPr>
          <w:bCs/>
          <w:lang w:val="fr-FR"/>
        </w:rPr>
        <w:t>de</w:t>
      </w:r>
      <w:r w:rsidR="00EE62A6">
        <w:rPr>
          <w:bCs/>
          <w:lang w:val="fr-FR"/>
        </w:rPr>
        <w:t>s</w:t>
      </w:r>
      <w:r w:rsidRPr="00F7548F">
        <w:rPr>
          <w:bCs/>
          <w:lang w:val="fr-FR"/>
        </w:rPr>
        <w:t xml:space="preserve"> bénéfices </w:t>
      </w:r>
      <w:r w:rsidR="00EE62A6">
        <w:rPr>
          <w:bCs/>
          <w:lang w:val="fr-FR"/>
        </w:rPr>
        <w:t>liés au</w:t>
      </w:r>
      <w:r w:rsidRPr="00F7548F">
        <w:rPr>
          <w:bCs/>
          <w:lang w:val="fr-FR"/>
        </w:rPr>
        <w:t xml:space="preserve"> développement du tourisme durable à partir de leur patrimoine culturel immatériel. Elle avait déjà donné lieu à deux contrats avec le Centre du patrimoine mondial</w:t>
      </w:r>
      <w:r w:rsidR="00231DCF">
        <w:rPr>
          <w:bCs/>
          <w:lang w:val="fr-FR"/>
        </w:rPr>
        <w:t>,</w:t>
      </w:r>
      <w:r w:rsidRPr="00F7548F">
        <w:rPr>
          <w:bCs/>
          <w:lang w:val="fr-FR"/>
        </w:rPr>
        <w:t xml:space="preserve"> qui souhaitait particulièrement l</w:t>
      </w:r>
      <w:r w:rsidR="00923E72">
        <w:rPr>
          <w:bCs/>
          <w:lang w:val="fr-FR"/>
        </w:rPr>
        <w:t>’</w:t>
      </w:r>
      <w:r w:rsidRPr="00F7548F">
        <w:rPr>
          <w:bCs/>
          <w:lang w:val="fr-FR"/>
        </w:rPr>
        <w:t>utiliser pour mieux gérer les sites du patrimoine mondial.</w:t>
      </w:r>
    </w:p>
    <w:p w14:paraId="726302D0" w14:textId="031EB0A0" w:rsidR="004F31F7" w:rsidRDefault="004F31F7">
      <w:pPr>
        <w:pStyle w:val="Orateurengris"/>
        <w:numPr>
          <w:ilvl w:val="0"/>
          <w:numId w:val="20"/>
        </w:numPr>
        <w:tabs>
          <w:tab w:val="clear" w:pos="567"/>
          <w:tab w:val="left" w:pos="5954"/>
        </w:tabs>
        <w:spacing w:before="120"/>
        <w:ind w:left="709" w:hanging="709"/>
        <w:rPr>
          <w:bCs/>
          <w:lang w:val="fr-FR"/>
        </w:rPr>
      </w:pPr>
      <w:r w:rsidRPr="00702497">
        <w:rPr>
          <w:b/>
          <w:lang w:val="fr-FR"/>
        </w:rPr>
        <w:t>M. Laurier Turgeon</w:t>
      </w:r>
      <w:r w:rsidRPr="004F31F7">
        <w:rPr>
          <w:bCs/>
          <w:lang w:val="fr-FR"/>
        </w:rPr>
        <w:t xml:space="preserve"> est passé à la troisième partie du rapport et aux projets </w:t>
      </w:r>
      <w:r w:rsidR="007828E8">
        <w:rPr>
          <w:bCs/>
          <w:lang w:val="fr-FR"/>
        </w:rPr>
        <w:t>d</w:t>
      </w:r>
      <w:r w:rsidR="00923E72">
        <w:rPr>
          <w:bCs/>
          <w:lang w:val="fr-FR"/>
        </w:rPr>
        <w:t>’</w:t>
      </w:r>
      <w:r w:rsidRPr="004F31F7">
        <w:rPr>
          <w:bCs/>
          <w:lang w:val="fr-FR"/>
        </w:rPr>
        <w:t>avenir. Le Forum des ONG du PCI avait réuni en très peu de temps un nombre toujours croissant d</w:t>
      </w:r>
      <w:r w:rsidR="00923E72">
        <w:rPr>
          <w:bCs/>
          <w:lang w:val="fr-FR"/>
        </w:rPr>
        <w:t>’</w:t>
      </w:r>
      <w:r w:rsidRPr="004F31F7">
        <w:rPr>
          <w:bCs/>
          <w:lang w:val="fr-FR"/>
        </w:rPr>
        <w:t xml:space="preserve">ONG accréditées auprès de la Convention, devenant leur organe directeur représentatif, </w:t>
      </w:r>
      <w:r w:rsidR="007828E8">
        <w:rPr>
          <w:bCs/>
          <w:lang w:val="fr-FR"/>
        </w:rPr>
        <w:t xml:space="preserve">celui </w:t>
      </w:r>
      <w:r w:rsidRPr="004F31F7">
        <w:rPr>
          <w:bCs/>
          <w:lang w:val="fr-FR"/>
        </w:rPr>
        <w:t>qu</w:t>
      </w:r>
      <w:r w:rsidR="00923E72">
        <w:rPr>
          <w:bCs/>
          <w:lang w:val="fr-FR"/>
        </w:rPr>
        <w:t>’</w:t>
      </w:r>
      <w:r w:rsidRPr="004F31F7">
        <w:rPr>
          <w:bCs/>
          <w:lang w:val="fr-FR"/>
        </w:rPr>
        <w:t>elles consid</w:t>
      </w:r>
      <w:r w:rsidR="004552EE">
        <w:rPr>
          <w:bCs/>
          <w:lang w:val="fr-FR"/>
        </w:rPr>
        <w:t>èrent</w:t>
      </w:r>
      <w:r w:rsidRPr="004F31F7">
        <w:rPr>
          <w:bCs/>
          <w:lang w:val="fr-FR"/>
        </w:rPr>
        <w:t xml:space="preserve"> désormais comme le leur. Le Forum avait été créé pour répondre à un besoin de représentation collective des ONG, des communautés, des groupes et des individus au sein de la Convention, et </w:t>
      </w:r>
      <w:r w:rsidR="007828E8">
        <w:rPr>
          <w:bCs/>
          <w:lang w:val="fr-FR"/>
        </w:rPr>
        <w:t xml:space="preserve">il </w:t>
      </w:r>
      <w:r w:rsidRPr="004F31F7">
        <w:rPr>
          <w:bCs/>
          <w:lang w:val="fr-FR"/>
        </w:rPr>
        <w:t>se développait par la pratique. Il avait établi des pratiques de gouvernance solides, avec des statuts bien définis et des règles d</w:t>
      </w:r>
      <w:r w:rsidR="00923E72">
        <w:rPr>
          <w:bCs/>
          <w:lang w:val="fr-FR"/>
        </w:rPr>
        <w:t>’</w:t>
      </w:r>
      <w:r w:rsidRPr="004F31F7">
        <w:rPr>
          <w:bCs/>
          <w:lang w:val="fr-FR"/>
        </w:rPr>
        <w:t>élection qui évoluaient et s</w:t>
      </w:r>
      <w:r w:rsidR="00923E72">
        <w:rPr>
          <w:bCs/>
          <w:lang w:val="fr-FR"/>
        </w:rPr>
        <w:t>’</w:t>
      </w:r>
      <w:r w:rsidRPr="004F31F7">
        <w:rPr>
          <w:bCs/>
          <w:lang w:val="fr-FR"/>
        </w:rPr>
        <w:t>amélioraient en permanence. Son Conseil exécutif organisait chaque année des élections pour élire des candidats de chaque région électorale et d</w:t>
      </w:r>
      <w:r w:rsidR="00923E72">
        <w:rPr>
          <w:bCs/>
          <w:lang w:val="fr-FR"/>
        </w:rPr>
        <w:t>’</w:t>
      </w:r>
      <w:r w:rsidRPr="004F31F7">
        <w:rPr>
          <w:bCs/>
          <w:lang w:val="fr-FR"/>
        </w:rPr>
        <w:t xml:space="preserve">une ONG internationale, de sorte que la représentation géographique </w:t>
      </w:r>
      <w:r w:rsidR="007828E8">
        <w:rPr>
          <w:bCs/>
          <w:lang w:val="fr-FR"/>
        </w:rPr>
        <w:t xml:space="preserve">était </w:t>
      </w:r>
      <w:r w:rsidRPr="004F31F7">
        <w:rPr>
          <w:bCs/>
          <w:lang w:val="fr-FR"/>
        </w:rPr>
        <w:t>parfaitement assurée au sein de cet organe de gouvernance. Le Forum organisait des symposiums, des conférences, des ateliers et des événements parallèles sur des thèmes stratégiques lors des réunions intergouvernementales et de l</w:t>
      </w:r>
      <w:r w:rsidR="00923E72">
        <w:rPr>
          <w:bCs/>
          <w:lang w:val="fr-FR"/>
        </w:rPr>
        <w:t>’</w:t>
      </w:r>
      <w:r w:rsidRPr="004F31F7">
        <w:rPr>
          <w:bCs/>
          <w:lang w:val="fr-FR"/>
        </w:rPr>
        <w:t>Assemblée générale, pour ses membres mais également pour les délégués, les membres du Comité et les observateurs participant à ces activités. Le Forum disposait d</w:t>
      </w:r>
      <w:r w:rsidR="00923E72">
        <w:rPr>
          <w:bCs/>
          <w:lang w:val="fr-FR"/>
        </w:rPr>
        <w:t>’</w:t>
      </w:r>
      <w:r w:rsidRPr="004F31F7">
        <w:rPr>
          <w:bCs/>
          <w:lang w:val="fr-FR"/>
        </w:rPr>
        <w:t xml:space="preserve">un site </w:t>
      </w:r>
      <w:r w:rsidR="004D4983">
        <w:rPr>
          <w:bCs/>
          <w:lang w:val="fr-FR"/>
        </w:rPr>
        <w:t>w</w:t>
      </w:r>
      <w:r w:rsidRPr="004F31F7">
        <w:rPr>
          <w:bCs/>
          <w:lang w:val="fr-FR"/>
        </w:rPr>
        <w:t>eb</w:t>
      </w:r>
      <w:r w:rsidR="007828E8">
        <w:rPr>
          <w:bCs/>
          <w:lang w:val="fr-FR"/>
        </w:rPr>
        <w:t xml:space="preserve"> très élaboré</w:t>
      </w:r>
      <w:r w:rsidR="004552EE">
        <w:rPr>
          <w:bCs/>
          <w:lang w:val="fr-FR"/>
        </w:rPr>
        <w:t xml:space="preserve"> </w:t>
      </w:r>
      <w:r w:rsidRPr="004F31F7">
        <w:rPr>
          <w:bCs/>
          <w:lang w:val="fr-FR"/>
        </w:rPr>
        <w:t>et d</w:t>
      </w:r>
      <w:r w:rsidR="00923E72">
        <w:rPr>
          <w:bCs/>
          <w:lang w:val="fr-FR"/>
        </w:rPr>
        <w:t>’</w:t>
      </w:r>
      <w:r w:rsidRPr="004F31F7">
        <w:rPr>
          <w:bCs/>
          <w:lang w:val="fr-FR"/>
        </w:rPr>
        <w:t>un</w:t>
      </w:r>
      <w:r w:rsidR="007828E8">
        <w:rPr>
          <w:bCs/>
          <w:lang w:val="fr-FR"/>
        </w:rPr>
        <w:t>e newsletter</w:t>
      </w:r>
      <w:r w:rsidRPr="004F31F7">
        <w:rPr>
          <w:bCs/>
          <w:lang w:val="fr-FR"/>
        </w:rPr>
        <w:t xml:space="preserve"> destiné</w:t>
      </w:r>
      <w:r w:rsidR="007828E8">
        <w:rPr>
          <w:bCs/>
          <w:lang w:val="fr-FR"/>
        </w:rPr>
        <w:t>e</w:t>
      </w:r>
      <w:r w:rsidRPr="004F31F7">
        <w:rPr>
          <w:bCs/>
          <w:lang w:val="fr-FR"/>
        </w:rPr>
        <w:t xml:space="preserve"> à tenir ses membres informés et à faciliter la communication entre eux. </w:t>
      </w:r>
      <w:r w:rsidR="000B7D47">
        <w:rPr>
          <w:bCs/>
          <w:lang w:val="fr-FR"/>
        </w:rPr>
        <w:t>Il</w:t>
      </w:r>
      <w:r w:rsidRPr="004F31F7">
        <w:rPr>
          <w:bCs/>
          <w:lang w:val="fr-FR"/>
        </w:rPr>
        <w:t xml:space="preserve"> </w:t>
      </w:r>
      <w:r w:rsidR="000B7D47">
        <w:rPr>
          <w:bCs/>
          <w:lang w:val="fr-FR"/>
        </w:rPr>
        <w:t xml:space="preserve">avait gagné le </w:t>
      </w:r>
      <w:r w:rsidRPr="004F31F7">
        <w:rPr>
          <w:bCs/>
          <w:lang w:val="fr-FR"/>
        </w:rPr>
        <w:t>respec</w:t>
      </w:r>
      <w:r w:rsidR="000B7D47">
        <w:rPr>
          <w:bCs/>
          <w:lang w:val="fr-FR"/>
        </w:rPr>
        <w:t>t des</w:t>
      </w:r>
      <w:r w:rsidRPr="004F31F7">
        <w:rPr>
          <w:bCs/>
          <w:lang w:val="fr-FR"/>
        </w:rPr>
        <w:t xml:space="preserve"> ONG accréditées qui y participent, comme en témoign</w:t>
      </w:r>
      <w:r w:rsidR="004552EE">
        <w:rPr>
          <w:bCs/>
          <w:lang w:val="fr-FR"/>
        </w:rPr>
        <w:t>e</w:t>
      </w:r>
      <w:r w:rsidRPr="004F31F7">
        <w:rPr>
          <w:bCs/>
          <w:lang w:val="fr-FR"/>
        </w:rPr>
        <w:t xml:space="preserve"> le nombre croissant d</w:t>
      </w:r>
      <w:r w:rsidR="00923E72">
        <w:rPr>
          <w:bCs/>
          <w:lang w:val="fr-FR"/>
        </w:rPr>
        <w:t>’</w:t>
      </w:r>
      <w:r w:rsidRPr="004F31F7">
        <w:rPr>
          <w:bCs/>
          <w:lang w:val="fr-FR"/>
        </w:rPr>
        <w:t>ONG inscrites à ses réunions annuelles. Dans les prochaines années, le Forum souhaitait renforcer ses fonctions consultatives en prenant en charge de nouveaux projets pour le Secrétariat, le Comité et les États parties</w:t>
      </w:r>
      <w:r w:rsidR="000B7D47">
        <w:rPr>
          <w:bCs/>
          <w:lang w:val="fr-FR"/>
        </w:rPr>
        <w:t>, et en collaboration avec ceux-ci</w:t>
      </w:r>
      <w:r w:rsidRPr="004F31F7">
        <w:rPr>
          <w:bCs/>
          <w:lang w:val="fr-FR"/>
        </w:rPr>
        <w:t xml:space="preserve">. </w:t>
      </w:r>
      <w:r w:rsidR="000B7D47">
        <w:rPr>
          <w:bCs/>
          <w:lang w:val="fr-FR"/>
        </w:rPr>
        <w:t xml:space="preserve">M. Turgeon pensait </w:t>
      </w:r>
      <w:r w:rsidRPr="004F31F7">
        <w:rPr>
          <w:bCs/>
          <w:lang w:val="fr-FR"/>
        </w:rPr>
        <w:t xml:space="preserve">que le Forum pourrait grandement contribuer à la réflexion </w:t>
      </w:r>
      <w:r w:rsidR="000B7D47">
        <w:rPr>
          <w:bCs/>
          <w:lang w:val="fr-FR"/>
        </w:rPr>
        <w:t xml:space="preserve">à venir </w:t>
      </w:r>
      <w:r w:rsidRPr="004F31F7">
        <w:rPr>
          <w:bCs/>
          <w:lang w:val="fr-FR"/>
        </w:rPr>
        <w:t xml:space="preserve">sur la mise en œuvre </w:t>
      </w:r>
      <w:r w:rsidR="003500FF">
        <w:rPr>
          <w:bCs/>
          <w:lang w:val="fr-FR"/>
        </w:rPr>
        <w:t xml:space="preserve">plus large </w:t>
      </w:r>
      <w:r w:rsidRPr="004F31F7">
        <w:rPr>
          <w:bCs/>
          <w:lang w:val="fr-FR"/>
        </w:rPr>
        <w:t>de l</w:t>
      </w:r>
      <w:r w:rsidR="00923E72">
        <w:rPr>
          <w:bCs/>
          <w:lang w:val="fr-FR"/>
        </w:rPr>
        <w:t>’</w:t>
      </w:r>
      <w:r w:rsidRPr="004F31F7">
        <w:rPr>
          <w:bCs/>
          <w:lang w:val="fr-FR"/>
        </w:rPr>
        <w:t>article</w:t>
      </w:r>
      <w:r w:rsidR="000B7D47">
        <w:rPr>
          <w:bCs/>
          <w:lang w:val="fr-FR"/>
        </w:rPr>
        <w:t> </w:t>
      </w:r>
      <w:r w:rsidRPr="004F31F7">
        <w:rPr>
          <w:bCs/>
          <w:lang w:val="fr-FR"/>
        </w:rPr>
        <w:t xml:space="preserve">18 de la Convention, </w:t>
      </w:r>
      <w:r w:rsidR="000B7D47">
        <w:rPr>
          <w:bCs/>
          <w:lang w:val="fr-FR"/>
        </w:rPr>
        <w:t xml:space="preserve">en se fondant sur </w:t>
      </w:r>
      <w:r w:rsidRPr="004F31F7">
        <w:rPr>
          <w:bCs/>
          <w:lang w:val="fr-FR"/>
        </w:rPr>
        <w:t>son inventaire systématique des bonnes pratiques en matière de sauvegarde grâce au projet de cartographie qui venait d</w:t>
      </w:r>
      <w:r w:rsidR="00923E72">
        <w:rPr>
          <w:bCs/>
          <w:lang w:val="fr-FR"/>
        </w:rPr>
        <w:t>’</w:t>
      </w:r>
      <w:r w:rsidRPr="004F31F7">
        <w:rPr>
          <w:bCs/>
          <w:lang w:val="fr-FR"/>
        </w:rPr>
        <w:t xml:space="preserve">être achevé. En </w:t>
      </w:r>
      <w:r w:rsidR="000B7D47">
        <w:rPr>
          <w:bCs/>
          <w:lang w:val="fr-FR"/>
        </w:rPr>
        <w:t>prenant en considération le</w:t>
      </w:r>
      <w:r w:rsidRPr="004F31F7">
        <w:rPr>
          <w:bCs/>
          <w:lang w:val="fr-FR"/>
        </w:rPr>
        <w:t xml:space="preserve">s diverses expériences des ONG accréditées et </w:t>
      </w:r>
      <w:r w:rsidR="000B7D47">
        <w:rPr>
          <w:bCs/>
          <w:lang w:val="fr-FR"/>
        </w:rPr>
        <w:t>l</w:t>
      </w:r>
      <w:r w:rsidRPr="004F31F7">
        <w:rPr>
          <w:bCs/>
          <w:lang w:val="fr-FR"/>
        </w:rPr>
        <w:t>es travaux internes en cours du groupe de travail consacré à la recherche, le Forum pourrait aider le Secrétariat dans ses travaux actuels sur les trois domaines thématiques</w:t>
      </w:r>
      <w:r w:rsidR="004552EE">
        <w:rPr>
          <w:bCs/>
          <w:lang w:val="fr-FR"/>
        </w:rPr>
        <w:t>,</w:t>
      </w:r>
      <w:r w:rsidRPr="004F31F7">
        <w:rPr>
          <w:bCs/>
          <w:lang w:val="fr-FR"/>
        </w:rPr>
        <w:t xml:space="preserve"> qui visent à élaborer une approche globale de la sauvegarde du patrimoine culturel immatériel et du développement durable, à savoir</w:t>
      </w:r>
      <w:r w:rsidR="000B7D47">
        <w:rPr>
          <w:bCs/>
          <w:lang w:val="fr-FR"/>
        </w:rPr>
        <w:t> </w:t>
      </w:r>
      <w:r w:rsidRPr="004F31F7">
        <w:rPr>
          <w:bCs/>
          <w:lang w:val="fr-FR"/>
        </w:rPr>
        <w:t>: i)</w:t>
      </w:r>
      <w:r w:rsidR="000B7D47">
        <w:rPr>
          <w:bCs/>
          <w:lang w:val="fr-FR"/>
        </w:rPr>
        <w:t> </w:t>
      </w:r>
      <w:r w:rsidRPr="004F31F7">
        <w:rPr>
          <w:bCs/>
          <w:lang w:val="fr-FR"/>
        </w:rPr>
        <w:t xml:space="preserve">les dimensions économiques de la sauvegarde du </w:t>
      </w:r>
      <w:r w:rsidR="000B7D47">
        <w:rPr>
          <w:bCs/>
          <w:lang w:val="fr-FR"/>
        </w:rPr>
        <w:t xml:space="preserve">patrimoine culturel </w:t>
      </w:r>
      <w:r w:rsidR="000B7D47">
        <w:rPr>
          <w:bCs/>
          <w:lang w:val="fr-FR"/>
        </w:rPr>
        <w:lastRenderedPageBreak/>
        <w:t>immatériel </w:t>
      </w:r>
      <w:r w:rsidRPr="004F31F7">
        <w:rPr>
          <w:bCs/>
          <w:lang w:val="fr-FR"/>
        </w:rPr>
        <w:t>; ii)</w:t>
      </w:r>
      <w:r w:rsidR="000B7D47">
        <w:rPr>
          <w:bCs/>
          <w:lang w:val="fr-FR"/>
        </w:rPr>
        <w:t> </w:t>
      </w:r>
      <w:r w:rsidRPr="004F31F7">
        <w:rPr>
          <w:bCs/>
          <w:lang w:val="fr-FR"/>
        </w:rPr>
        <w:t>la sauvegarde du patrimoine culturel immatériel et le changement climatique</w:t>
      </w:r>
      <w:r w:rsidR="000B7D47">
        <w:rPr>
          <w:bCs/>
          <w:lang w:val="fr-FR"/>
        </w:rPr>
        <w:t> ;</w:t>
      </w:r>
      <w:r w:rsidRPr="004F31F7">
        <w:rPr>
          <w:bCs/>
          <w:lang w:val="fr-FR"/>
        </w:rPr>
        <w:t xml:space="preserve"> et iii)</w:t>
      </w:r>
      <w:r w:rsidR="004552EE">
        <w:rPr>
          <w:bCs/>
          <w:lang w:val="fr-FR"/>
        </w:rPr>
        <w:t> </w:t>
      </w:r>
      <w:r w:rsidRPr="004F31F7">
        <w:rPr>
          <w:bCs/>
          <w:lang w:val="fr-FR"/>
        </w:rPr>
        <w:t>la sauvegarde du patrimoine culturel immatériel dans les contextes urbains.</w:t>
      </w:r>
    </w:p>
    <w:p w14:paraId="30C6052A" w14:textId="2B505CCB" w:rsidR="000B7D47" w:rsidRDefault="000B7D47">
      <w:pPr>
        <w:pStyle w:val="Orateurengris"/>
        <w:numPr>
          <w:ilvl w:val="0"/>
          <w:numId w:val="20"/>
        </w:numPr>
        <w:tabs>
          <w:tab w:val="clear" w:pos="567"/>
          <w:tab w:val="left" w:pos="5954"/>
        </w:tabs>
        <w:spacing w:before="120"/>
        <w:ind w:left="709" w:hanging="709"/>
        <w:rPr>
          <w:bCs/>
          <w:lang w:val="fr-FR"/>
        </w:rPr>
      </w:pPr>
      <w:r w:rsidRPr="00702497">
        <w:rPr>
          <w:b/>
          <w:lang w:val="fr-FR"/>
        </w:rPr>
        <w:t>M. Laurier Turgeon</w:t>
      </w:r>
      <w:r w:rsidRPr="000B7D47">
        <w:rPr>
          <w:bCs/>
          <w:lang w:val="fr-FR"/>
        </w:rPr>
        <w:t xml:space="preserve"> a expliqué que le symposium organisé par le Forum en</w:t>
      </w:r>
      <w:r w:rsidR="00246428">
        <w:rPr>
          <w:bCs/>
          <w:lang w:val="fr-FR"/>
        </w:rPr>
        <w:t> </w:t>
      </w:r>
      <w:r w:rsidRPr="000B7D47">
        <w:rPr>
          <w:bCs/>
          <w:lang w:val="fr-FR"/>
        </w:rPr>
        <w:t>2022 était consacré au patrimoine vivant, au changement climatique et à l</w:t>
      </w:r>
      <w:r w:rsidR="00923E72">
        <w:rPr>
          <w:bCs/>
          <w:lang w:val="fr-FR"/>
        </w:rPr>
        <w:t>’</w:t>
      </w:r>
      <w:r w:rsidRPr="000B7D47">
        <w:rPr>
          <w:bCs/>
          <w:lang w:val="fr-FR"/>
        </w:rPr>
        <w:t>environnement, en espérant qu</w:t>
      </w:r>
      <w:r w:rsidR="00923E72">
        <w:rPr>
          <w:bCs/>
          <w:lang w:val="fr-FR"/>
        </w:rPr>
        <w:t>’</w:t>
      </w:r>
      <w:r w:rsidRPr="000B7D47">
        <w:rPr>
          <w:bCs/>
          <w:lang w:val="fr-FR"/>
        </w:rPr>
        <w:t>il contribuerait à une réflexion sur ce thème stratégique. Malgré l</w:t>
      </w:r>
      <w:r w:rsidR="00923E72">
        <w:rPr>
          <w:bCs/>
          <w:lang w:val="fr-FR"/>
        </w:rPr>
        <w:t>’</w:t>
      </w:r>
      <w:r w:rsidRPr="000B7D47">
        <w:rPr>
          <w:bCs/>
          <w:lang w:val="fr-FR"/>
        </w:rPr>
        <w:t>accent mis dans la Convention sur la participation des acteurs non gouvernementaux, en particulier les ONG et les communautés, les ONG n</w:t>
      </w:r>
      <w:r w:rsidR="00923E72">
        <w:rPr>
          <w:bCs/>
          <w:lang w:val="fr-FR"/>
        </w:rPr>
        <w:t>’</w:t>
      </w:r>
      <w:r w:rsidRPr="000B7D47">
        <w:rPr>
          <w:bCs/>
          <w:lang w:val="fr-FR"/>
        </w:rPr>
        <w:t>étaient pas directement impliquées dans la gouvernance de la Convention. Ces dernières années, le Forum des ONG avait été invité à présenter son rapport annuel au Comité et à l</w:t>
      </w:r>
      <w:r w:rsidR="00923E72">
        <w:rPr>
          <w:bCs/>
          <w:lang w:val="fr-FR"/>
        </w:rPr>
        <w:t>’</w:t>
      </w:r>
      <w:r w:rsidRPr="000B7D47">
        <w:rPr>
          <w:bCs/>
          <w:lang w:val="fr-FR"/>
        </w:rPr>
        <w:t>Assemblée générale. Cette opportunité de présenter son rapport lors de ces réunions était très appréciée et permettait d</w:t>
      </w:r>
      <w:r w:rsidR="00923E72">
        <w:rPr>
          <w:bCs/>
          <w:lang w:val="fr-FR"/>
        </w:rPr>
        <w:t>’</w:t>
      </w:r>
      <w:r w:rsidRPr="000B7D47">
        <w:rPr>
          <w:bCs/>
          <w:lang w:val="fr-FR"/>
        </w:rPr>
        <w:t>améliorer la communication entre les ONG, les États parties et le Secrétariat. Cependant, M. Turgeon a regretté que les membres du Forum ne puissent pas participer aux discussions, ni même répondre aux questions qui suivaient souvent la présentation du rapport aux États parties. Les ONG si</w:t>
      </w:r>
      <w:r w:rsidR="00064444">
        <w:rPr>
          <w:bCs/>
          <w:lang w:val="fr-FR"/>
        </w:rPr>
        <w:t>é</w:t>
      </w:r>
      <w:r w:rsidRPr="000B7D47">
        <w:rPr>
          <w:bCs/>
          <w:lang w:val="fr-FR"/>
        </w:rPr>
        <w:t>geaien</w:t>
      </w:r>
      <w:r w:rsidR="00064444">
        <w:rPr>
          <w:bCs/>
          <w:lang w:val="fr-FR"/>
        </w:rPr>
        <w:t>t</w:t>
      </w:r>
      <w:r w:rsidRPr="000B7D47">
        <w:rPr>
          <w:bCs/>
          <w:lang w:val="fr-FR"/>
        </w:rPr>
        <w:t xml:space="preserve"> à l</w:t>
      </w:r>
      <w:r w:rsidR="00923E72">
        <w:rPr>
          <w:bCs/>
          <w:lang w:val="fr-FR"/>
        </w:rPr>
        <w:t>’</w:t>
      </w:r>
      <w:r w:rsidRPr="000B7D47">
        <w:rPr>
          <w:bCs/>
          <w:lang w:val="fr-FR"/>
        </w:rPr>
        <w:t>Organe d</w:t>
      </w:r>
      <w:r w:rsidR="00923E72">
        <w:rPr>
          <w:bCs/>
          <w:lang w:val="fr-FR"/>
        </w:rPr>
        <w:t>’</w:t>
      </w:r>
      <w:r w:rsidRPr="000B7D47">
        <w:rPr>
          <w:bCs/>
          <w:lang w:val="fr-FR"/>
        </w:rPr>
        <w:t>évaluation en charge d</w:t>
      </w:r>
      <w:r w:rsidR="00923E72">
        <w:rPr>
          <w:bCs/>
          <w:lang w:val="fr-FR"/>
        </w:rPr>
        <w:t>’</w:t>
      </w:r>
      <w:r w:rsidRPr="000B7D47">
        <w:rPr>
          <w:bCs/>
          <w:lang w:val="fr-FR"/>
        </w:rPr>
        <w:t>évaluer les demandes d</w:t>
      </w:r>
      <w:r w:rsidR="00923E72">
        <w:rPr>
          <w:bCs/>
          <w:lang w:val="fr-FR"/>
        </w:rPr>
        <w:t>’</w:t>
      </w:r>
      <w:r w:rsidRPr="000B7D47">
        <w:rPr>
          <w:bCs/>
          <w:lang w:val="fr-FR"/>
        </w:rPr>
        <w:t>inscription d</w:t>
      </w:r>
      <w:r w:rsidR="00923E72">
        <w:rPr>
          <w:bCs/>
          <w:lang w:val="fr-FR"/>
        </w:rPr>
        <w:t>’</w:t>
      </w:r>
      <w:r w:rsidRPr="000B7D47">
        <w:rPr>
          <w:bCs/>
          <w:lang w:val="fr-FR"/>
        </w:rPr>
        <w:t>éléments sur les listes et les demandes d</w:t>
      </w:r>
      <w:r w:rsidR="00923E72">
        <w:rPr>
          <w:bCs/>
          <w:lang w:val="fr-FR"/>
        </w:rPr>
        <w:t>’</w:t>
      </w:r>
      <w:r w:rsidRPr="000B7D47">
        <w:rPr>
          <w:bCs/>
          <w:lang w:val="fr-FR"/>
        </w:rPr>
        <w:t xml:space="preserve">assistance financière. Cependant, il a été souligné que leur rôle était largement technique et restreint, consistant à appliquer objectivement des critères dans </w:t>
      </w:r>
      <w:r w:rsidR="00064444">
        <w:rPr>
          <w:bCs/>
          <w:lang w:val="fr-FR"/>
        </w:rPr>
        <w:t>le cadre d</w:t>
      </w:r>
      <w:r w:rsidR="00923E72">
        <w:rPr>
          <w:bCs/>
          <w:lang w:val="fr-FR"/>
        </w:rPr>
        <w:t>’</w:t>
      </w:r>
      <w:r w:rsidRPr="000B7D47">
        <w:rPr>
          <w:bCs/>
          <w:lang w:val="fr-FR"/>
        </w:rPr>
        <w:t>un processus de sélection. Ce n</w:t>
      </w:r>
      <w:r w:rsidR="00923E72">
        <w:rPr>
          <w:bCs/>
          <w:lang w:val="fr-FR"/>
        </w:rPr>
        <w:t>’</w:t>
      </w:r>
      <w:r w:rsidRPr="000B7D47">
        <w:rPr>
          <w:bCs/>
          <w:lang w:val="fr-FR"/>
        </w:rPr>
        <w:t>était pas un rôle prospectif visant à développer la Convention. Une présence plus forte et plus efficace des ONG accréditées dans les travaux de la Convention devait être identifiée et formalisée de manière concrète. Le projet de cartographie démontrait clairement que le Forum des ONG du PCI, par la diversité de ses membres, offrait un éventail d</w:t>
      </w:r>
      <w:r w:rsidR="00923E72">
        <w:rPr>
          <w:bCs/>
          <w:lang w:val="fr-FR"/>
        </w:rPr>
        <w:t>’</w:t>
      </w:r>
      <w:r w:rsidRPr="000B7D47">
        <w:rPr>
          <w:bCs/>
          <w:lang w:val="fr-FR"/>
        </w:rPr>
        <w:t>expertise</w:t>
      </w:r>
      <w:r w:rsidR="00BD0EE5">
        <w:rPr>
          <w:bCs/>
          <w:lang w:val="fr-FR"/>
        </w:rPr>
        <w:t>s</w:t>
      </w:r>
      <w:r w:rsidRPr="000B7D47">
        <w:rPr>
          <w:bCs/>
          <w:lang w:val="fr-FR"/>
        </w:rPr>
        <w:t xml:space="preserve"> et d</w:t>
      </w:r>
      <w:r w:rsidR="00923E72">
        <w:rPr>
          <w:bCs/>
          <w:lang w:val="fr-FR"/>
        </w:rPr>
        <w:t>’</w:t>
      </w:r>
      <w:r w:rsidRPr="000B7D47">
        <w:rPr>
          <w:bCs/>
          <w:lang w:val="fr-FR"/>
        </w:rPr>
        <w:t>expérience</w:t>
      </w:r>
      <w:r w:rsidR="00BD0EE5">
        <w:rPr>
          <w:bCs/>
          <w:lang w:val="fr-FR"/>
        </w:rPr>
        <w:t>s</w:t>
      </w:r>
      <w:r w:rsidRPr="000B7D47">
        <w:rPr>
          <w:bCs/>
          <w:lang w:val="fr-FR"/>
        </w:rPr>
        <w:t xml:space="preserve"> qui le rendait particulièrement apte à contribuer de manière plus substantielle au fonctionnement de la Convention. Une représentation plus active et plus directe des ONG accréditées dans les réunions intergouvernementales de la Convention renforcerait également considérablement leur capacité à contribuer de manière positive et efficace au fonctionnement de la Convention. Le Forum estimait que le moment était venu de réfléchir au rôle permanent que les ONG accréditées </w:t>
      </w:r>
      <w:r w:rsidR="00BD0EE5">
        <w:rPr>
          <w:bCs/>
          <w:lang w:val="fr-FR"/>
        </w:rPr>
        <w:t xml:space="preserve">peuvent </w:t>
      </w:r>
      <w:r w:rsidRPr="000B7D47">
        <w:rPr>
          <w:bCs/>
          <w:lang w:val="fr-FR"/>
        </w:rPr>
        <w:t xml:space="preserve">jouer dans la mise en œuvre de la Convention aux niveaux national et international, comme proposé par le Comité, </w:t>
      </w:r>
      <w:r w:rsidR="00BD0EE5">
        <w:rPr>
          <w:bCs/>
          <w:lang w:val="fr-FR"/>
        </w:rPr>
        <w:t xml:space="preserve">une réflexion </w:t>
      </w:r>
      <w:r w:rsidR="00064444">
        <w:rPr>
          <w:bCs/>
          <w:lang w:val="fr-FR"/>
        </w:rPr>
        <w:t>entamé</w:t>
      </w:r>
      <w:r w:rsidR="00BD0EE5">
        <w:rPr>
          <w:bCs/>
          <w:lang w:val="fr-FR"/>
        </w:rPr>
        <w:t>e</w:t>
      </w:r>
      <w:r w:rsidRPr="000B7D47">
        <w:rPr>
          <w:bCs/>
          <w:lang w:val="fr-FR"/>
        </w:rPr>
        <w:t xml:space="preserve"> en</w:t>
      </w:r>
      <w:r w:rsidR="001A7AF7">
        <w:rPr>
          <w:bCs/>
          <w:lang w:val="fr-FR"/>
        </w:rPr>
        <w:t> </w:t>
      </w:r>
      <w:r w:rsidRPr="000B7D47">
        <w:rPr>
          <w:bCs/>
          <w:lang w:val="fr-FR"/>
        </w:rPr>
        <w:t xml:space="preserve">2017 pour </w:t>
      </w:r>
      <w:r w:rsidR="00064444">
        <w:rPr>
          <w:bCs/>
          <w:lang w:val="fr-FR"/>
        </w:rPr>
        <w:t xml:space="preserve">parvenir </w:t>
      </w:r>
      <w:r w:rsidRPr="000B7D47">
        <w:rPr>
          <w:bCs/>
          <w:lang w:val="fr-FR"/>
        </w:rPr>
        <w:t>à une conclusion positive. Ce rôle devait être défini en termes spécifiques et concrets, et codifié dans les Directives opérationnelles de la Convention.</w:t>
      </w:r>
    </w:p>
    <w:p w14:paraId="23EA96AB" w14:textId="42A98338" w:rsidR="00064444" w:rsidRDefault="00064444">
      <w:pPr>
        <w:pStyle w:val="Orateurengris"/>
        <w:numPr>
          <w:ilvl w:val="0"/>
          <w:numId w:val="20"/>
        </w:numPr>
        <w:tabs>
          <w:tab w:val="clear" w:pos="567"/>
          <w:tab w:val="left" w:pos="5954"/>
        </w:tabs>
        <w:spacing w:before="120"/>
        <w:ind w:left="709" w:hanging="709"/>
        <w:rPr>
          <w:bCs/>
          <w:lang w:val="fr-FR"/>
        </w:rPr>
      </w:pPr>
      <w:r w:rsidRPr="00064444">
        <w:rPr>
          <w:bCs/>
          <w:lang w:val="fr-FR"/>
        </w:rPr>
        <w:t xml:space="preserve">Le </w:t>
      </w:r>
      <w:r w:rsidRPr="00702497">
        <w:rPr>
          <w:b/>
          <w:lang w:val="fr-FR"/>
        </w:rPr>
        <w:t>Président</w:t>
      </w:r>
      <w:r w:rsidRPr="00064444">
        <w:rPr>
          <w:bCs/>
          <w:lang w:val="fr-FR"/>
        </w:rPr>
        <w:t xml:space="preserve"> a remercié les deux représentants du Forum pour leur présentation très complète. Le rapport démontrait clairement le rôle important de coordination que le Forum jouait dans son travail avec les ONG accréditées auprès de la Convention</w:t>
      </w:r>
      <w:r w:rsidR="00777C86">
        <w:rPr>
          <w:bCs/>
          <w:lang w:val="fr-FR"/>
        </w:rPr>
        <w:t>,</w:t>
      </w:r>
      <w:r w:rsidRPr="00064444">
        <w:rPr>
          <w:bCs/>
          <w:lang w:val="fr-FR"/>
        </w:rPr>
        <w:t xml:space="preserve"> et les suggestions formulées dans le rapport étaient extrêmement bienvenues. Le Président a invité les délégations à faire part de leurs commentaires.</w:t>
      </w:r>
    </w:p>
    <w:p w14:paraId="05242FF1" w14:textId="64697E53" w:rsidR="00064444" w:rsidRDefault="00286E6E">
      <w:pPr>
        <w:pStyle w:val="Orateurengris"/>
        <w:numPr>
          <w:ilvl w:val="0"/>
          <w:numId w:val="20"/>
        </w:numPr>
        <w:tabs>
          <w:tab w:val="clear" w:pos="567"/>
          <w:tab w:val="left" w:pos="5954"/>
        </w:tabs>
        <w:spacing w:before="120"/>
        <w:ind w:left="709" w:hanging="709"/>
        <w:rPr>
          <w:bCs/>
          <w:lang w:val="fr-FR"/>
        </w:rPr>
      </w:pPr>
      <w:r w:rsidRPr="00286E6E">
        <w:rPr>
          <w:bCs/>
          <w:lang w:val="fr-FR"/>
        </w:rPr>
        <w:t xml:space="preserve">La délégation de la </w:t>
      </w:r>
      <w:r w:rsidRPr="00702497">
        <w:rPr>
          <w:b/>
          <w:lang w:val="fr-FR"/>
        </w:rPr>
        <w:t>Suède</w:t>
      </w:r>
      <w:r w:rsidRPr="00286E6E">
        <w:rPr>
          <w:bCs/>
          <w:lang w:val="fr-FR"/>
        </w:rPr>
        <w:t xml:space="preserve"> a remercié le Forum pour son rapport intéressant et les </w:t>
      </w:r>
      <w:r>
        <w:rPr>
          <w:bCs/>
          <w:lang w:val="fr-FR"/>
        </w:rPr>
        <w:t xml:space="preserve">importants </w:t>
      </w:r>
      <w:r w:rsidRPr="00286E6E">
        <w:rPr>
          <w:bCs/>
          <w:lang w:val="fr-FR"/>
        </w:rPr>
        <w:t>résultats obtenus. Elle était heureuse de constater que le travail au sein du Forum s</w:t>
      </w:r>
      <w:r w:rsidR="00923E72">
        <w:rPr>
          <w:bCs/>
          <w:lang w:val="fr-FR"/>
        </w:rPr>
        <w:t>’</w:t>
      </w:r>
      <w:r w:rsidRPr="00286E6E">
        <w:rPr>
          <w:bCs/>
          <w:lang w:val="fr-FR"/>
        </w:rPr>
        <w:t>était développé dans plusieurs domaines importants et qu</w:t>
      </w:r>
      <w:r w:rsidR="00923E72">
        <w:rPr>
          <w:bCs/>
          <w:lang w:val="fr-FR"/>
        </w:rPr>
        <w:t>’</w:t>
      </w:r>
      <w:r w:rsidRPr="00286E6E">
        <w:rPr>
          <w:bCs/>
          <w:lang w:val="fr-FR"/>
        </w:rPr>
        <w:t>il avait été réalisé en conformité avec les principes fondamentaux de la Convention. La délégation avait particulièrement noté le travail de sauvegarde du patrimoine vivant dans les situations d</w:t>
      </w:r>
      <w:r w:rsidR="00923E72">
        <w:rPr>
          <w:bCs/>
          <w:lang w:val="fr-FR"/>
        </w:rPr>
        <w:t>’</w:t>
      </w:r>
      <w:r w:rsidRPr="00286E6E">
        <w:rPr>
          <w:bCs/>
          <w:lang w:val="fr-FR"/>
        </w:rPr>
        <w:t>urgence, les initiatives visant à augmenter le nombre d</w:t>
      </w:r>
      <w:r w:rsidR="00923E72">
        <w:rPr>
          <w:bCs/>
          <w:lang w:val="fr-FR"/>
        </w:rPr>
        <w:t>’</w:t>
      </w:r>
      <w:r w:rsidRPr="00286E6E">
        <w:rPr>
          <w:bCs/>
          <w:lang w:val="fr-FR"/>
        </w:rPr>
        <w:t>ONG accréditées provenant de régions sous-représentées et la cartographie des domaines de compétences des ONG en collaboration avec le Secrétariat. L</w:t>
      </w:r>
      <w:r w:rsidR="00923E72">
        <w:rPr>
          <w:bCs/>
          <w:lang w:val="fr-FR"/>
        </w:rPr>
        <w:t>’</w:t>
      </w:r>
      <w:r w:rsidRPr="00286E6E">
        <w:rPr>
          <w:bCs/>
          <w:lang w:val="fr-FR"/>
        </w:rPr>
        <w:t xml:space="preserve">une des conclusions du rapport était que le projet de cartographie démontrait clairement que le Forum </w:t>
      </w:r>
      <w:r>
        <w:rPr>
          <w:bCs/>
          <w:lang w:val="fr-FR"/>
        </w:rPr>
        <w:t>« </w:t>
      </w:r>
      <w:r w:rsidRPr="00286E6E">
        <w:rPr>
          <w:bCs/>
          <w:lang w:val="fr-FR"/>
        </w:rPr>
        <w:t>offre un</w:t>
      </w:r>
      <w:r>
        <w:rPr>
          <w:bCs/>
          <w:lang w:val="fr-FR"/>
        </w:rPr>
        <w:t xml:space="preserve">e gamme </w:t>
      </w:r>
      <w:r w:rsidRPr="00286E6E">
        <w:rPr>
          <w:bCs/>
          <w:lang w:val="fr-FR"/>
        </w:rPr>
        <w:t>d</w:t>
      </w:r>
      <w:r w:rsidR="00923E72">
        <w:rPr>
          <w:bCs/>
          <w:lang w:val="fr-FR"/>
        </w:rPr>
        <w:t>’</w:t>
      </w:r>
      <w:r w:rsidRPr="00286E6E">
        <w:rPr>
          <w:bCs/>
          <w:lang w:val="fr-FR"/>
        </w:rPr>
        <w:t>expertise et d</w:t>
      </w:r>
      <w:r w:rsidR="00923E72">
        <w:rPr>
          <w:bCs/>
          <w:lang w:val="fr-FR"/>
        </w:rPr>
        <w:t>’</w:t>
      </w:r>
      <w:r w:rsidRPr="00286E6E">
        <w:rPr>
          <w:bCs/>
          <w:lang w:val="fr-FR"/>
        </w:rPr>
        <w:t>expérience</w:t>
      </w:r>
      <w:r w:rsidR="003945E3">
        <w:rPr>
          <w:bCs/>
          <w:lang w:val="fr-FR"/>
        </w:rPr>
        <w:t xml:space="preserve"> </w:t>
      </w:r>
      <w:r w:rsidRPr="00286E6E">
        <w:rPr>
          <w:bCs/>
          <w:lang w:val="fr-FR"/>
        </w:rPr>
        <w:t>qui le rend éminemment apte à contribuer</w:t>
      </w:r>
      <w:r>
        <w:rPr>
          <w:bCs/>
          <w:lang w:val="fr-FR"/>
        </w:rPr>
        <w:t xml:space="preserve"> </w:t>
      </w:r>
      <w:r w:rsidRPr="00286E6E">
        <w:rPr>
          <w:bCs/>
          <w:lang w:val="fr-FR"/>
        </w:rPr>
        <w:t>plus substantielle</w:t>
      </w:r>
      <w:r>
        <w:rPr>
          <w:bCs/>
          <w:lang w:val="fr-FR"/>
        </w:rPr>
        <w:t>ment</w:t>
      </w:r>
      <w:r w:rsidRPr="00286E6E">
        <w:rPr>
          <w:bCs/>
          <w:lang w:val="fr-FR"/>
        </w:rPr>
        <w:t xml:space="preserve"> au fonctionnement de la Convention</w:t>
      </w:r>
      <w:r w:rsidR="003945E3">
        <w:rPr>
          <w:bCs/>
          <w:lang w:val="fr-FR"/>
        </w:rPr>
        <w:t>.</w:t>
      </w:r>
      <w:r>
        <w:rPr>
          <w:bCs/>
          <w:lang w:val="fr-FR"/>
        </w:rPr>
        <w:t> »</w:t>
      </w:r>
      <w:r w:rsidRPr="00286E6E">
        <w:rPr>
          <w:bCs/>
          <w:lang w:val="fr-FR"/>
        </w:rPr>
        <w:t xml:space="preserve"> La question de savoir comment accroître la participation des ONG à la mise en œuvre de la Convention était importante pour l</w:t>
      </w:r>
      <w:r w:rsidR="00923E72">
        <w:rPr>
          <w:bCs/>
          <w:lang w:val="fr-FR"/>
        </w:rPr>
        <w:t>’</w:t>
      </w:r>
      <w:r w:rsidRPr="00286E6E">
        <w:rPr>
          <w:bCs/>
          <w:lang w:val="fr-FR"/>
        </w:rPr>
        <w:t>avenir de cette dernière, et la Suède se réjouissait d</w:t>
      </w:r>
      <w:r w:rsidR="00923E72">
        <w:rPr>
          <w:bCs/>
          <w:lang w:val="fr-FR"/>
        </w:rPr>
        <w:t>’</w:t>
      </w:r>
      <w:r w:rsidRPr="00286E6E">
        <w:rPr>
          <w:bCs/>
          <w:lang w:val="fr-FR"/>
        </w:rPr>
        <w:t>en discuter plus avant au cours de la réflexion sur une mise en œuvre plus large de l</w:t>
      </w:r>
      <w:r w:rsidR="00923E72">
        <w:rPr>
          <w:bCs/>
          <w:lang w:val="fr-FR"/>
        </w:rPr>
        <w:t>’</w:t>
      </w:r>
      <w:r w:rsidRPr="00286E6E">
        <w:rPr>
          <w:bCs/>
          <w:lang w:val="fr-FR"/>
        </w:rPr>
        <w:t>article</w:t>
      </w:r>
      <w:r w:rsidR="00777C86">
        <w:rPr>
          <w:bCs/>
          <w:lang w:val="fr-FR"/>
        </w:rPr>
        <w:t> </w:t>
      </w:r>
      <w:r w:rsidRPr="00286E6E">
        <w:rPr>
          <w:bCs/>
          <w:lang w:val="fr-FR"/>
        </w:rPr>
        <w:t>18 de la Convention.</w:t>
      </w:r>
    </w:p>
    <w:p w14:paraId="28D034B7" w14:textId="730CA9BF" w:rsidR="00286E6E" w:rsidRDefault="00286E6E">
      <w:pPr>
        <w:pStyle w:val="Orateurengris"/>
        <w:numPr>
          <w:ilvl w:val="0"/>
          <w:numId w:val="20"/>
        </w:numPr>
        <w:tabs>
          <w:tab w:val="clear" w:pos="567"/>
          <w:tab w:val="left" w:pos="5954"/>
        </w:tabs>
        <w:spacing w:before="120"/>
        <w:ind w:left="709" w:hanging="709"/>
        <w:rPr>
          <w:bCs/>
          <w:lang w:val="fr-FR"/>
        </w:rPr>
      </w:pPr>
      <w:r w:rsidRPr="00286E6E">
        <w:rPr>
          <w:bCs/>
          <w:lang w:val="fr-FR"/>
        </w:rPr>
        <w:t>La délégation de l</w:t>
      </w:r>
      <w:r w:rsidR="00923E72">
        <w:rPr>
          <w:bCs/>
          <w:lang w:val="fr-FR"/>
        </w:rPr>
        <w:t>’</w:t>
      </w:r>
      <w:r w:rsidRPr="00702497">
        <w:rPr>
          <w:b/>
          <w:lang w:val="fr-FR"/>
        </w:rPr>
        <w:t>Arabie</w:t>
      </w:r>
      <w:r>
        <w:rPr>
          <w:b/>
          <w:lang w:val="fr-FR"/>
        </w:rPr>
        <w:t> </w:t>
      </w:r>
      <w:r w:rsidRPr="00702497">
        <w:rPr>
          <w:b/>
          <w:lang w:val="fr-FR"/>
        </w:rPr>
        <w:t xml:space="preserve">saoudite </w:t>
      </w:r>
      <w:r w:rsidRPr="00286E6E">
        <w:rPr>
          <w:bCs/>
          <w:lang w:val="fr-FR"/>
        </w:rPr>
        <w:t>avait pris note du rapport du Forum sur le nombre de régions sous-représentées, l</w:t>
      </w:r>
      <w:r w:rsidR="00923E72">
        <w:rPr>
          <w:bCs/>
          <w:lang w:val="fr-FR"/>
        </w:rPr>
        <w:t>’</w:t>
      </w:r>
      <w:r w:rsidRPr="00286E6E">
        <w:rPr>
          <w:bCs/>
          <w:lang w:val="fr-FR"/>
        </w:rPr>
        <w:t>Europe de l</w:t>
      </w:r>
      <w:r w:rsidR="00923E72">
        <w:rPr>
          <w:bCs/>
          <w:lang w:val="fr-FR"/>
        </w:rPr>
        <w:t>’</w:t>
      </w:r>
      <w:r w:rsidRPr="00286E6E">
        <w:rPr>
          <w:bCs/>
          <w:lang w:val="fr-FR"/>
        </w:rPr>
        <w:t xml:space="preserve">Est </w:t>
      </w:r>
      <w:r w:rsidR="00103FAC">
        <w:rPr>
          <w:bCs/>
          <w:lang w:val="fr-FR"/>
        </w:rPr>
        <w:t>comptant</w:t>
      </w:r>
      <w:r w:rsidR="009A34A8">
        <w:rPr>
          <w:bCs/>
          <w:lang w:val="fr-FR"/>
        </w:rPr>
        <w:t> </w:t>
      </w:r>
      <w:r w:rsidRPr="00286E6E">
        <w:rPr>
          <w:bCs/>
          <w:lang w:val="fr-FR"/>
        </w:rPr>
        <w:t>11</w:t>
      </w:r>
      <w:r w:rsidR="00103FAC">
        <w:rPr>
          <w:bCs/>
          <w:lang w:val="fr-FR"/>
        </w:rPr>
        <w:t> </w:t>
      </w:r>
      <w:r w:rsidRPr="00286E6E">
        <w:rPr>
          <w:bCs/>
          <w:lang w:val="fr-FR"/>
        </w:rPr>
        <w:t>%</w:t>
      </w:r>
      <w:r w:rsidR="00573499">
        <w:rPr>
          <w:bCs/>
          <w:lang w:val="fr-FR"/>
        </w:rPr>
        <w:t xml:space="preserve"> des ONG accréditées</w:t>
      </w:r>
      <w:r w:rsidRPr="00286E6E">
        <w:rPr>
          <w:bCs/>
          <w:lang w:val="fr-FR"/>
        </w:rPr>
        <w:t>, l</w:t>
      </w:r>
      <w:r w:rsidR="00923E72">
        <w:rPr>
          <w:bCs/>
          <w:lang w:val="fr-FR"/>
        </w:rPr>
        <w:t>’</w:t>
      </w:r>
      <w:r w:rsidRPr="00286E6E">
        <w:rPr>
          <w:bCs/>
          <w:lang w:val="fr-FR"/>
        </w:rPr>
        <w:t>Amérique latine et les Caraïbes</w:t>
      </w:r>
      <w:r w:rsidR="009A34A8">
        <w:rPr>
          <w:bCs/>
          <w:lang w:val="fr-FR"/>
        </w:rPr>
        <w:t> </w:t>
      </w:r>
      <w:r w:rsidRPr="00286E6E">
        <w:rPr>
          <w:bCs/>
          <w:lang w:val="fr-FR"/>
        </w:rPr>
        <w:t>5</w:t>
      </w:r>
      <w:r w:rsidR="00103FAC">
        <w:rPr>
          <w:bCs/>
          <w:lang w:val="fr-FR"/>
        </w:rPr>
        <w:t> </w:t>
      </w:r>
      <w:r w:rsidRPr="00286E6E">
        <w:rPr>
          <w:bCs/>
          <w:lang w:val="fr-FR"/>
        </w:rPr>
        <w:t>% et les États arabes</w:t>
      </w:r>
      <w:r w:rsidR="009A34A8">
        <w:rPr>
          <w:bCs/>
          <w:lang w:val="fr-FR"/>
        </w:rPr>
        <w:t> </w:t>
      </w:r>
      <w:r w:rsidRPr="00286E6E">
        <w:rPr>
          <w:bCs/>
          <w:lang w:val="fr-FR"/>
        </w:rPr>
        <w:t>4</w:t>
      </w:r>
      <w:r w:rsidR="00103FAC">
        <w:rPr>
          <w:bCs/>
          <w:lang w:val="fr-FR"/>
        </w:rPr>
        <w:t> </w:t>
      </w:r>
      <w:r w:rsidRPr="00286E6E">
        <w:rPr>
          <w:bCs/>
          <w:lang w:val="fr-FR"/>
        </w:rPr>
        <w:t>%. La délégation a souligné que l</w:t>
      </w:r>
      <w:r w:rsidR="00923E72">
        <w:rPr>
          <w:bCs/>
          <w:lang w:val="fr-FR"/>
        </w:rPr>
        <w:t>’</w:t>
      </w:r>
      <w:r w:rsidRPr="00286E6E">
        <w:rPr>
          <w:bCs/>
          <w:lang w:val="fr-FR"/>
        </w:rPr>
        <w:t>Arabie</w:t>
      </w:r>
      <w:r w:rsidR="001A57D1">
        <w:rPr>
          <w:bCs/>
          <w:lang w:val="fr-FR"/>
        </w:rPr>
        <w:t> </w:t>
      </w:r>
      <w:r w:rsidRPr="00286E6E">
        <w:rPr>
          <w:bCs/>
          <w:lang w:val="fr-FR"/>
        </w:rPr>
        <w:t>saoudite dispos</w:t>
      </w:r>
      <w:r w:rsidR="004273B1">
        <w:rPr>
          <w:bCs/>
          <w:lang w:val="fr-FR"/>
        </w:rPr>
        <w:t>e</w:t>
      </w:r>
      <w:r w:rsidRPr="00286E6E">
        <w:rPr>
          <w:bCs/>
          <w:lang w:val="fr-FR"/>
        </w:rPr>
        <w:t xml:space="preserve"> d</w:t>
      </w:r>
      <w:r w:rsidR="00923E72">
        <w:rPr>
          <w:bCs/>
          <w:lang w:val="fr-FR"/>
        </w:rPr>
        <w:t>’</w:t>
      </w:r>
      <w:r w:rsidRPr="00286E6E">
        <w:rPr>
          <w:bCs/>
          <w:lang w:val="fr-FR"/>
        </w:rPr>
        <w:t>unités et de fonds dédiés au sein de ses secteurs gouvernementaux pour soutenir les ONG en général. Ainsi, vingt</w:t>
      </w:r>
      <w:r w:rsidR="004273B1">
        <w:rPr>
          <w:bCs/>
          <w:lang w:val="fr-FR"/>
        </w:rPr>
        <w:noBreakHyphen/>
      </w:r>
      <w:r w:rsidRPr="00286E6E">
        <w:rPr>
          <w:bCs/>
          <w:lang w:val="fr-FR"/>
        </w:rPr>
        <w:t xml:space="preserve">six ONG spécialisées dans </w:t>
      </w:r>
      <w:r w:rsidRPr="00286E6E">
        <w:rPr>
          <w:bCs/>
          <w:lang w:val="fr-FR"/>
        </w:rPr>
        <w:lastRenderedPageBreak/>
        <w:t>le patrimoine culturel étaient établies dans le but de soutenir les besoins des communautés locales par le biais de la recherche, de l</w:t>
      </w:r>
      <w:r w:rsidR="00923E72">
        <w:rPr>
          <w:bCs/>
          <w:lang w:val="fr-FR"/>
        </w:rPr>
        <w:t>’</w:t>
      </w:r>
      <w:r w:rsidRPr="00286E6E">
        <w:rPr>
          <w:bCs/>
          <w:lang w:val="fr-FR"/>
        </w:rPr>
        <w:t>éducation et de la sensibilisation. Le ministère de la Culture et ses commissions soutenaient la</w:t>
      </w:r>
      <w:r w:rsidR="004273B1">
        <w:rPr>
          <w:bCs/>
          <w:lang w:val="fr-FR"/>
        </w:rPr>
        <w:t xml:space="preserve"> </w:t>
      </w:r>
      <w:r w:rsidR="00103FAC" w:rsidRPr="006E3034">
        <w:rPr>
          <w:bCs/>
          <w:lang w:val="fr-FR"/>
        </w:rPr>
        <w:t xml:space="preserve">Saudi Heritage </w:t>
      </w:r>
      <w:proofErr w:type="spellStart"/>
      <w:r w:rsidR="00103FAC" w:rsidRPr="006E3034">
        <w:rPr>
          <w:bCs/>
          <w:lang w:val="fr-FR"/>
        </w:rPr>
        <w:t>Preservation</w:t>
      </w:r>
      <w:proofErr w:type="spellEnd"/>
      <w:r w:rsidR="00103FAC" w:rsidRPr="006E3034">
        <w:rPr>
          <w:bCs/>
          <w:lang w:val="fr-FR"/>
        </w:rPr>
        <w:t xml:space="preserve"> Society</w:t>
      </w:r>
      <w:r w:rsidRPr="00286E6E">
        <w:rPr>
          <w:bCs/>
          <w:lang w:val="fr-FR"/>
        </w:rPr>
        <w:t>, une ONG accréditée auprès du Comité, avec plus de huit projets faisant partie intégrante de la mise en œuvre de la Convention. Il s</w:t>
      </w:r>
      <w:r w:rsidR="00923E72">
        <w:rPr>
          <w:bCs/>
          <w:lang w:val="fr-FR"/>
        </w:rPr>
        <w:t>’</w:t>
      </w:r>
      <w:r w:rsidRPr="00286E6E">
        <w:rPr>
          <w:bCs/>
          <w:lang w:val="fr-FR"/>
        </w:rPr>
        <w:t>agissait notamment d</w:t>
      </w:r>
      <w:r w:rsidR="00923E72">
        <w:rPr>
          <w:bCs/>
          <w:lang w:val="fr-FR"/>
        </w:rPr>
        <w:t>’</w:t>
      </w:r>
      <w:r w:rsidRPr="00286E6E">
        <w:rPr>
          <w:bCs/>
          <w:lang w:val="fr-FR"/>
        </w:rPr>
        <w:t>inventorier les arts du spectacle, les arts culinaires</w:t>
      </w:r>
      <w:r w:rsidR="004273B1">
        <w:rPr>
          <w:bCs/>
          <w:lang w:val="fr-FR"/>
        </w:rPr>
        <w:t xml:space="preserve">, </w:t>
      </w:r>
      <w:r w:rsidRPr="00286E6E">
        <w:rPr>
          <w:bCs/>
          <w:lang w:val="fr-FR"/>
        </w:rPr>
        <w:t>les traditions orales et les programmes de renforcement des capacités. La délégation encourageait les États d</w:t>
      </w:r>
      <w:r w:rsidR="00923E72">
        <w:rPr>
          <w:bCs/>
          <w:lang w:val="fr-FR"/>
        </w:rPr>
        <w:t>’</w:t>
      </w:r>
      <w:r w:rsidRPr="00286E6E">
        <w:rPr>
          <w:bCs/>
          <w:lang w:val="fr-FR"/>
        </w:rPr>
        <w:t>Europe de l</w:t>
      </w:r>
      <w:r w:rsidR="00923E72">
        <w:rPr>
          <w:bCs/>
          <w:lang w:val="fr-FR"/>
        </w:rPr>
        <w:t>’</w:t>
      </w:r>
      <w:r w:rsidRPr="00286E6E">
        <w:rPr>
          <w:bCs/>
          <w:lang w:val="fr-FR"/>
        </w:rPr>
        <w:t>Est, d</w:t>
      </w:r>
      <w:r w:rsidR="00923E72">
        <w:rPr>
          <w:bCs/>
          <w:lang w:val="fr-FR"/>
        </w:rPr>
        <w:t>’</w:t>
      </w:r>
      <w:r w:rsidRPr="00286E6E">
        <w:rPr>
          <w:bCs/>
          <w:lang w:val="fr-FR"/>
        </w:rPr>
        <w:t xml:space="preserve">Amérique latine et des Caraïbes ainsi que les États arabes, qui </w:t>
      </w:r>
      <w:r w:rsidR="004273B1">
        <w:rPr>
          <w:bCs/>
          <w:lang w:val="fr-FR"/>
        </w:rPr>
        <w:t xml:space="preserve">sont </w:t>
      </w:r>
      <w:r w:rsidRPr="00286E6E">
        <w:rPr>
          <w:bCs/>
          <w:lang w:val="fr-FR"/>
        </w:rPr>
        <w:t xml:space="preserve">traditionnellement sous-représentés selon le rapport, à soutenir les ONG </w:t>
      </w:r>
      <w:r w:rsidR="00573499">
        <w:rPr>
          <w:bCs/>
          <w:lang w:val="fr-FR"/>
        </w:rPr>
        <w:t>et à les inciter à</w:t>
      </w:r>
      <w:r w:rsidRPr="00286E6E">
        <w:rPr>
          <w:bCs/>
          <w:lang w:val="fr-FR"/>
        </w:rPr>
        <w:t xml:space="preserve"> demander une accréditation dans le domaine du patrimoine culturel immatériel, car les résultats </w:t>
      </w:r>
      <w:r w:rsidR="004273B1">
        <w:rPr>
          <w:bCs/>
          <w:lang w:val="fr-FR"/>
        </w:rPr>
        <w:t xml:space="preserve">sont </w:t>
      </w:r>
      <w:r w:rsidRPr="00286E6E">
        <w:rPr>
          <w:bCs/>
          <w:lang w:val="fr-FR"/>
        </w:rPr>
        <w:t>bénéfiques pour les communautés locales en matière de sauvegarde de leur patrimoine culturel immatériel. Elle a remercié le Forum pour ses efforts motivants en faveur de la sauvegarde du patrimoine culturel immatériel et pour la création de ce réseau</w:t>
      </w:r>
      <w:r w:rsidR="00231DCF">
        <w:rPr>
          <w:bCs/>
          <w:lang w:val="fr-FR"/>
        </w:rPr>
        <w:t>,</w:t>
      </w:r>
      <w:r w:rsidRPr="00286E6E">
        <w:rPr>
          <w:bCs/>
          <w:lang w:val="fr-FR"/>
        </w:rPr>
        <w:t xml:space="preserve"> qui permet</w:t>
      </w:r>
      <w:r w:rsidR="00103FAC">
        <w:rPr>
          <w:bCs/>
          <w:lang w:val="fr-FR"/>
        </w:rPr>
        <w:t xml:space="preserve"> </w:t>
      </w:r>
      <w:r w:rsidRPr="00286E6E">
        <w:rPr>
          <w:bCs/>
          <w:lang w:val="fr-FR"/>
        </w:rPr>
        <w:t>l</w:t>
      </w:r>
      <w:r w:rsidR="00923E72">
        <w:rPr>
          <w:bCs/>
          <w:lang w:val="fr-FR"/>
        </w:rPr>
        <w:t>’</w:t>
      </w:r>
      <w:r w:rsidRPr="00286E6E">
        <w:rPr>
          <w:bCs/>
          <w:lang w:val="fr-FR"/>
        </w:rPr>
        <w:t>échange de connaissances entre les ONG du monde entier.</w:t>
      </w:r>
    </w:p>
    <w:p w14:paraId="43C74025" w14:textId="439CD7B6" w:rsidR="00103FAC" w:rsidRDefault="00103FAC">
      <w:pPr>
        <w:pStyle w:val="Orateurengris"/>
        <w:numPr>
          <w:ilvl w:val="0"/>
          <w:numId w:val="20"/>
        </w:numPr>
        <w:tabs>
          <w:tab w:val="clear" w:pos="567"/>
          <w:tab w:val="left" w:pos="5954"/>
        </w:tabs>
        <w:spacing w:before="120"/>
        <w:ind w:left="709" w:hanging="709"/>
        <w:rPr>
          <w:bCs/>
          <w:lang w:val="fr-FR"/>
        </w:rPr>
      </w:pPr>
      <w:r w:rsidRPr="00103FAC">
        <w:rPr>
          <w:bCs/>
          <w:lang w:val="fr-FR"/>
        </w:rPr>
        <w:t xml:space="preserve">La délégation de la </w:t>
      </w:r>
      <w:r w:rsidRPr="00702497">
        <w:rPr>
          <w:b/>
          <w:lang w:val="fr-FR"/>
        </w:rPr>
        <w:t>Slovaquie</w:t>
      </w:r>
      <w:r w:rsidRPr="00103FAC">
        <w:rPr>
          <w:bCs/>
          <w:lang w:val="fr-FR"/>
        </w:rPr>
        <w:t xml:space="preserve"> a remercié le Forum pour le rapport sur ses activités, qui mettait en évidence le renforcement et l</w:t>
      </w:r>
      <w:r w:rsidR="00923E72">
        <w:rPr>
          <w:bCs/>
          <w:lang w:val="fr-FR"/>
        </w:rPr>
        <w:t>’</w:t>
      </w:r>
      <w:r w:rsidRPr="00103FAC">
        <w:rPr>
          <w:bCs/>
          <w:lang w:val="fr-FR"/>
        </w:rPr>
        <w:t xml:space="preserve">action de </w:t>
      </w:r>
      <w:r w:rsidR="009C5353">
        <w:rPr>
          <w:bCs/>
          <w:lang w:val="fr-FR"/>
        </w:rPr>
        <w:t xml:space="preserve">parrainage </w:t>
      </w:r>
      <w:r w:rsidRPr="00103FAC">
        <w:rPr>
          <w:bCs/>
          <w:lang w:val="fr-FR"/>
        </w:rPr>
        <w:t>de sa structure organisationnelle</w:t>
      </w:r>
      <w:r w:rsidR="009C5353">
        <w:rPr>
          <w:bCs/>
          <w:lang w:val="fr-FR"/>
        </w:rPr>
        <w:t xml:space="preserve"> ainsi que le</w:t>
      </w:r>
      <w:r w:rsidRPr="00103FAC">
        <w:rPr>
          <w:bCs/>
          <w:lang w:val="fr-FR"/>
        </w:rPr>
        <w:t xml:space="preserve"> concept même du Forum des ONG du PCI. Il avait renforcé sa position en tant que partenaire fiable et pertinent de la Convention. La délégation avait particulièrement apprécié le travail considérable du Comité</w:t>
      </w:r>
      <w:r w:rsidR="00357512">
        <w:rPr>
          <w:bCs/>
          <w:lang w:val="fr-FR"/>
        </w:rPr>
        <w:t xml:space="preserve"> de pilotage</w:t>
      </w:r>
      <w:r w:rsidRPr="00103FAC">
        <w:rPr>
          <w:bCs/>
          <w:lang w:val="fr-FR"/>
        </w:rPr>
        <w:t>, notant que son groupe de travail s</w:t>
      </w:r>
      <w:r w:rsidR="00923E72">
        <w:rPr>
          <w:bCs/>
          <w:lang w:val="fr-FR"/>
        </w:rPr>
        <w:t>’</w:t>
      </w:r>
      <w:r w:rsidRPr="00103FAC">
        <w:rPr>
          <w:bCs/>
          <w:lang w:val="fr-FR"/>
        </w:rPr>
        <w:t>était systématiquement penché sur les questions brûlantes, telles que le déséquilibre régional parmi les membres des ONG accréditées. Elle reconnaissait également les réels efforts déployés pour répondre aux situations d</w:t>
      </w:r>
      <w:r w:rsidR="00923E72">
        <w:rPr>
          <w:bCs/>
          <w:lang w:val="fr-FR"/>
        </w:rPr>
        <w:t>’</w:t>
      </w:r>
      <w:r w:rsidRPr="00103FAC">
        <w:rPr>
          <w:bCs/>
          <w:lang w:val="fr-FR"/>
        </w:rPr>
        <w:t>urgence et se félicitait de la manière dont le Forum avait, sans hésitation, fait face aux menaces pesant sur le patrimoine culturel immatériel en raison du conflit armé en Ukraine en lançant l</w:t>
      </w:r>
      <w:r w:rsidR="00923E72">
        <w:rPr>
          <w:bCs/>
          <w:lang w:val="fr-FR"/>
        </w:rPr>
        <w:t>’</w:t>
      </w:r>
      <w:r w:rsidRPr="00103FAC">
        <w:rPr>
          <w:bCs/>
          <w:lang w:val="fr-FR"/>
        </w:rPr>
        <w:t>initiative</w:t>
      </w:r>
      <w:r w:rsidR="009C5353">
        <w:rPr>
          <w:bCs/>
          <w:lang w:val="fr-FR"/>
        </w:rPr>
        <w:t xml:space="preserve"> </w:t>
      </w:r>
      <w:r w:rsidR="00A465FE">
        <w:rPr>
          <w:bCs/>
          <w:lang w:val="fr-FR"/>
        </w:rPr>
        <w:t>« </w:t>
      </w:r>
      <w:r w:rsidRPr="00103FAC">
        <w:rPr>
          <w:bCs/>
          <w:lang w:val="fr-FR"/>
        </w:rPr>
        <w:t>Patrimoine vivant pour la paix</w:t>
      </w:r>
      <w:r w:rsidR="00A465FE">
        <w:rPr>
          <w:bCs/>
          <w:lang w:val="fr-FR"/>
        </w:rPr>
        <w:t> »</w:t>
      </w:r>
      <w:r w:rsidR="009C5353">
        <w:rPr>
          <w:rStyle w:val="FootnoteReference"/>
          <w:bCs/>
          <w:lang w:val="fr-FR"/>
        </w:rPr>
        <w:footnoteReference w:id="31"/>
      </w:r>
      <w:r w:rsidRPr="00103FAC">
        <w:rPr>
          <w:bCs/>
          <w:lang w:val="fr-FR"/>
        </w:rPr>
        <w:t>. Il avait mis en place un fonds pour soutenir le patrimoine culturel immatériel et créé une plateforme pour une réflexion efficace sur d</w:t>
      </w:r>
      <w:r w:rsidR="00923E72">
        <w:rPr>
          <w:bCs/>
          <w:lang w:val="fr-FR"/>
        </w:rPr>
        <w:t>’</w:t>
      </w:r>
      <w:r w:rsidRPr="00103FAC">
        <w:rPr>
          <w:bCs/>
          <w:lang w:val="fr-FR"/>
        </w:rPr>
        <w:t>autres questions actuelles et urgentes. Rappelant le débat sur le tourisme durable et l</w:t>
      </w:r>
      <w:r w:rsidR="00923E72">
        <w:rPr>
          <w:bCs/>
          <w:lang w:val="fr-FR"/>
        </w:rPr>
        <w:t>’</w:t>
      </w:r>
      <w:r w:rsidRPr="00103FAC">
        <w:rPr>
          <w:bCs/>
          <w:lang w:val="fr-FR"/>
        </w:rPr>
        <w:t>importante question soulevée précédemment par le Panama, la délégation a souligné l</w:t>
      </w:r>
      <w:r w:rsidR="00923E72">
        <w:rPr>
          <w:bCs/>
          <w:lang w:val="fr-FR"/>
        </w:rPr>
        <w:t>’</w:t>
      </w:r>
      <w:r w:rsidRPr="00103FAC">
        <w:rPr>
          <w:bCs/>
          <w:lang w:val="fr-FR"/>
        </w:rPr>
        <w:t>importance de la création</w:t>
      </w:r>
      <w:r w:rsidR="00B4457D">
        <w:rPr>
          <w:bCs/>
          <w:lang w:val="fr-FR"/>
        </w:rPr>
        <w:t>, en octobre</w:t>
      </w:r>
      <w:r w:rsidR="003A0260">
        <w:rPr>
          <w:bCs/>
          <w:lang w:val="fr-FR"/>
        </w:rPr>
        <w:t> </w:t>
      </w:r>
      <w:r w:rsidR="00B4457D">
        <w:rPr>
          <w:bCs/>
          <w:lang w:val="fr-FR"/>
        </w:rPr>
        <w:t>2022,</w:t>
      </w:r>
      <w:r w:rsidRPr="00103FAC">
        <w:rPr>
          <w:bCs/>
          <w:lang w:val="fr-FR"/>
        </w:rPr>
        <w:t xml:space="preserve"> de la boîte à outils sur le patrimoine culturel immatériel et le tourisme durable</w:t>
      </w:r>
      <w:r w:rsidR="00B4457D">
        <w:rPr>
          <w:bCs/>
          <w:lang w:val="fr-FR"/>
        </w:rPr>
        <w:t>.</w:t>
      </w:r>
      <w:r w:rsidRPr="00103FAC">
        <w:rPr>
          <w:bCs/>
          <w:lang w:val="fr-FR"/>
        </w:rPr>
        <w:t xml:space="preserve"> Elle a également salué les activités du Forum en matière de publication et a félicité </w:t>
      </w:r>
      <w:r w:rsidR="00B4457D" w:rsidRPr="004E08DD">
        <w:rPr>
          <w:bCs/>
          <w:lang w:val="fr-FR"/>
        </w:rPr>
        <w:t>M</w:t>
      </w:r>
      <w:r w:rsidR="00B4457D" w:rsidRPr="00F928B2">
        <w:rPr>
          <w:bCs/>
          <w:vertAlign w:val="superscript"/>
          <w:lang w:val="fr-FR"/>
        </w:rPr>
        <w:t>me</w:t>
      </w:r>
      <w:r w:rsidR="00B4457D">
        <w:rPr>
          <w:bCs/>
          <w:lang w:val="fr-FR"/>
        </w:rPr>
        <w:t> </w:t>
      </w:r>
      <w:r w:rsidR="00B4457D" w:rsidRPr="004E08DD">
        <w:rPr>
          <w:bCs/>
          <w:lang w:val="fr-FR"/>
        </w:rPr>
        <w:t>Laura Lopez</w:t>
      </w:r>
      <w:r w:rsidRPr="00103FAC">
        <w:rPr>
          <w:bCs/>
          <w:lang w:val="fr-FR"/>
        </w:rPr>
        <w:t xml:space="preserve"> d</w:t>
      </w:r>
      <w:r w:rsidR="00923E72">
        <w:rPr>
          <w:bCs/>
          <w:lang w:val="fr-FR"/>
        </w:rPr>
        <w:t>’</w:t>
      </w:r>
      <w:r w:rsidRPr="00103FAC">
        <w:rPr>
          <w:bCs/>
          <w:lang w:val="fr-FR"/>
        </w:rPr>
        <w:t>avoir reçu le prix</w:t>
      </w:r>
      <w:r w:rsidR="004273B1">
        <w:rPr>
          <w:bCs/>
          <w:lang w:val="fr-FR"/>
        </w:rPr>
        <w:t> </w:t>
      </w:r>
      <w:r w:rsidRPr="00103FAC">
        <w:rPr>
          <w:bCs/>
          <w:lang w:val="fr-FR"/>
        </w:rPr>
        <w:t xml:space="preserve">Albert van der </w:t>
      </w:r>
      <w:proofErr w:type="spellStart"/>
      <w:r w:rsidRPr="00103FAC">
        <w:rPr>
          <w:bCs/>
          <w:lang w:val="fr-FR"/>
        </w:rPr>
        <w:t>Zeiden</w:t>
      </w:r>
      <w:proofErr w:type="spellEnd"/>
      <w:r w:rsidRPr="00103FAC">
        <w:rPr>
          <w:bCs/>
          <w:lang w:val="fr-FR"/>
        </w:rPr>
        <w:t>, nouvellement créé. Notant la nécessité de coopérer et de soutenir les communautés et les États parties dans différents domaines de sauvegarde, la délégation a évoqué la manière dont la cartographie des domaines de compétences des ONG accréditées permettait de renforcer une coopération concrète et fructueuse.</w:t>
      </w:r>
    </w:p>
    <w:p w14:paraId="1A61B861" w14:textId="1168032E" w:rsidR="001B36DF" w:rsidRDefault="00F577EB">
      <w:pPr>
        <w:pStyle w:val="Orateurengris"/>
        <w:numPr>
          <w:ilvl w:val="0"/>
          <w:numId w:val="20"/>
        </w:numPr>
        <w:tabs>
          <w:tab w:val="clear" w:pos="567"/>
          <w:tab w:val="left" w:pos="5954"/>
        </w:tabs>
        <w:spacing w:before="120"/>
        <w:ind w:left="709" w:hanging="709"/>
        <w:rPr>
          <w:bCs/>
          <w:lang w:val="fr-FR"/>
        </w:rPr>
      </w:pPr>
      <w:r w:rsidRPr="00F577EB">
        <w:rPr>
          <w:bCs/>
          <w:lang w:val="fr-FR"/>
        </w:rPr>
        <w:t xml:space="preserve">La délégation du </w:t>
      </w:r>
      <w:r w:rsidRPr="00702497">
        <w:rPr>
          <w:b/>
          <w:lang w:val="fr-FR"/>
        </w:rPr>
        <w:t>Burkina Faso</w:t>
      </w:r>
      <w:r w:rsidRPr="00F577EB">
        <w:rPr>
          <w:bCs/>
          <w:lang w:val="fr-FR"/>
        </w:rPr>
        <w:t xml:space="preserve"> a félicité le Forum des ONG pour son rapport</w:t>
      </w:r>
      <w:r w:rsidR="00231DCF">
        <w:rPr>
          <w:bCs/>
          <w:lang w:val="fr-FR"/>
        </w:rPr>
        <w:t>,</w:t>
      </w:r>
      <w:r w:rsidRPr="00F577EB">
        <w:rPr>
          <w:bCs/>
          <w:lang w:val="fr-FR"/>
        </w:rPr>
        <w:t xml:space="preserve"> qui démontrait une fois de plus l</w:t>
      </w:r>
      <w:r w:rsidR="00923E72">
        <w:rPr>
          <w:bCs/>
          <w:lang w:val="fr-FR"/>
        </w:rPr>
        <w:t>’</w:t>
      </w:r>
      <w:r w:rsidRPr="00F577EB">
        <w:rPr>
          <w:bCs/>
          <w:lang w:val="fr-FR"/>
        </w:rPr>
        <w:t>importance des ONG dans la mise en œuvre de la Convention</w:t>
      </w:r>
      <w:r w:rsidR="005E2BFA">
        <w:rPr>
          <w:bCs/>
          <w:lang w:val="fr-FR"/>
        </w:rPr>
        <w:t>,</w:t>
      </w:r>
      <w:r w:rsidRPr="00F577EB">
        <w:rPr>
          <w:bCs/>
          <w:lang w:val="fr-FR"/>
        </w:rPr>
        <w:t xml:space="preserve"> </w:t>
      </w:r>
      <w:r>
        <w:rPr>
          <w:bCs/>
          <w:lang w:val="fr-FR"/>
        </w:rPr>
        <w:t>et a</w:t>
      </w:r>
      <w:r w:rsidRPr="00F577EB">
        <w:rPr>
          <w:bCs/>
          <w:lang w:val="fr-FR"/>
        </w:rPr>
        <w:t xml:space="preserve"> soulign</w:t>
      </w:r>
      <w:r>
        <w:rPr>
          <w:bCs/>
          <w:lang w:val="fr-FR"/>
        </w:rPr>
        <w:t>é</w:t>
      </w:r>
      <w:r w:rsidRPr="00F577EB">
        <w:rPr>
          <w:bCs/>
          <w:lang w:val="fr-FR"/>
        </w:rPr>
        <w:t xml:space="preserve"> le rôle important qu</w:t>
      </w:r>
      <w:r w:rsidR="00923E72">
        <w:rPr>
          <w:bCs/>
          <w:lang w:val="fr-FR"/>
        </w:rPr>
        <w:t>’</w:t>
      </w:r>
      <w:r w:rsidRPr="00F577EB">
        <w:rPr>
          <w:bCs/>
          <w:lang w:val="fr-FR"/>
        </w:rPr>
        <w:t>elles jouent dans les pays africains. Elle a salué l</w:t>
      </w:r>
      <w:r w:rsidR="00923E72">
        <w:rPr>
          <w:bCs/>
          <w:lang w:val="fr-FR"/>
        </w:rPr>
        <w:t>’</w:t>
      </w:r>
      <w:r w:rsidRPr="00F577EB">
        <w:rPr>
          <w:bCs/>
          <w:lang w:val="fr-FR"/>
        </w:rPr>
        <w:t xml:space="preserve">engagement des ONG accréditées aux côtés des organes directeurs de la Convention. </w:t>
      </w:r>
      <w:r>
        <w:rPr>
          <w:bCs/>
          <w:lang w:val="fr-FR"/>
        </w:rPr>
        <w:t>En outre, l</w:t>
      </w:r>
      <w:r w:rsidRPr="00F577EB">
        <w:rPr>
          <w:bCs/>
          <w:lang w:val="fr-FR"/>
        </w:rPr>
        <w:t>e Burkina</w:t>
      </w:r>
      <w:r w:rsidR="00573499">
        <w:rPr>
          <w:bCs/>
          <w:lang w:val="fr-FR"/>
        </w:rPr>
        <w:t> </w:t>
      </w:r>
      <w:r w:rsidRPr="00F577EB">
        <w:rPr>
          <w:bCs/>
          <w:lang w:val="fr-FR"/>
        </w:rPr>
        <w:t>Faso a encouragé les États qui en ont la possibilité à soutenir les efforts de ces organisations pour le concours considérable qu</w:t>
      </w:r>
      <w:r w:rsidR="00923E72">
        <w:rPr>
          <w:bCs/>
          <w:lang w:val="fr-FR"/>
        </w:rPr>
        <w:t>’</w:t>
      </w:r>
      <w:r w:rsidRPr="00F577EB">
        <w:rPr>
          <w:bCs/>
          <w:lang w:val="fr-FR"/>
        </w:rPr>
        <w:t xml:space="preserve">elles </w:t>
      </w:r>
      <w:r>
        <w:rPr>
          <w:bCs/>
          <w:lang w:val="fr-FR"/>
        </w:rPr>
        <w:t xml:space="preserve">apportent </w:t>
      </w:r>
      <w:r w:rsidRPr="00F577EB">
        <w:rPr>
          <w:bCs/>
          <w:lang w:val="fr-FR"/>
        </w:rPr>
        <w:t>à la Convention. La délégation</w:t>
      </w:r>
      <w:r>
        <w:rPr>
          <w:bCs/>
          <w:lang w:val="fr-FR"/>
        </w:rPr>
        <w:t xml:space="preserve"> </w:t>
      </w:r>
      <w:r w:rsidRPr="00F577EB">
        <w:rPr>
          <w:bCs/>
          <w:lang w:val="fr-FR"/>
        </w:rPr>
        <w:t xml:space="preserve">salué le soutien du Forum des ONG au Secrétariat </w:t>
      </w:r>
      <w:r w:rsidR="00573499">
        <w:rPr>
          <w:bCs/>
          <w:lang w:val="fr-FR"/>
        </w:rPr>
        <w:t>pour mettre en œuvre</w:t>
      </w:r>
      <w:r w:rsidRPr="00F577EB">
        <w:rPr>
          <w:bCs/>
          <w:lang w:val="fr-FR"/>
        </w:rPr>
        <w:t xml:space="preserve"> l</w:t>
      </w:r>
      <w:r w:rsidR="00923E72">
        <w:rPr>
          <w:bCs/>
          <w:lang w:val="fr-FR"/>
        </w:rPr>
        <w:t>’</w:t>
      </w:r>
      <w:r w:rsidRPr="00F577EB">
        <w:rPr>
          <w:bCs/>
          <w:lang w:val="fr-FR"/>
        </w:rPr>
        <w:t>article</w:t>
      </w:r>
      <w:r>
        <w:rPr>
          <w:bCs/>
          <w:lang w:val="fr-FR"/>
        </w:rPr>
        <w:t> </w:t>
      </w:r>
      <w:r w:rsidRPr="00F577EB">
        <w:rPr>
          <w:bCs/>
          <w:lang w:val="fr-FR"/>
        </w:rPr>
        <w:t xml:space="preserve">18 de la Convention et </w:t>
      </w:r>
      <w:r w:rsidR="00573499">
        <w:rPr>
          <w:bCs/>
          <w:lang w:val="fr-FR"/>
        </w:rPr>
        <w:t>l</w:t>
      </w:r>
      <w:r w:rsidRPr="00F577EB">
        <w:rPr>
          <w:bCs/>
          <w:lang w:val="fr-FR"/>
        </w:rPr>
        <w:t>es initiatives thématiques sur le patrimoine vivant et le développement durable.</w:t>
      </w:r>
    </w:p>
    <w:p w14:paraId="365431F2" w14:textId="117C2F68" w:rsidR="00F577EB" w:rsidRDefault="00F577EB">
      <w:pPr>
        <w:pStyle w:val="Orateurengris"/>
        <w:numPr>
          <w:ilvl w:val="0"/>
          <w:numId w:val="20"/>
        </w:numPr>
        <w:tabs>
          <w:tab w:val="clear" w:pos="567"/>
          <w:tab w:val="left" w:pos="5954"/>
        </w:tabs>
        <w:spacing w:before="120"/>
        <w:ind w:left="709" w:hanging="709"/>
        <w:rPr>
          <w:bCs/>
          <w:lang w:val="fr-FR"/>
        </w:rPr>
      </w:pPr>
      <w:r w:rsidRPr="00F577EB">
        <w:rPr>
          <w:bCs/>
          <w:lang w:val="fr-FR"/>
        </w:rPr>
        <w:t xml:space="preserve">La délégation du </w:t>
      </w:r>
      <w:r w:rsidRPr="00702497">
        <w:rPr>
          <w:b/>
          <w:lang w:val="fr-FR"/>
        </w:rPr>
        <w:t>Bangladesh</w:t>
      </w:r>
      <w:r w:rsidRPr="00F577EB">
        <w:rPr>
          <w:bCs/>
          <w:lang w:val="fr-FR"/>
        </w:rPr>
        <w:t xml:space="preserve"> a remercié le Forum des ONG pour le travail </w:t>
      </w:r>
      <w:r w:rsidR="005E2BFA">
        <w:rPr>
          <w:bCs/>
          <w:lang w:val="fr-FR"/>
        </w:rPr>
        <w:t xml:space="preserve">fort </w:t>
      </w:r>
      <w:r w:rsidRPr="00F577EB">
        <w:rPr>
          <w:bCs/>
          <w:lang w:val="fr-FR"/>
        </w:rPr>
        <w:t xml:space="preserve">utile </w:t>
      </w:r>
      <w:r w:rsidR="005E2BFA">
        <w:rPr>
          <w:bCs/>
          <w:lang w:val="fr-FR"/>
        </w:rPr>
        <w:t>réalisé</w:t>
      </w:r>
      <w:r w:rsidRPr="00F577EB">
        <w:rPr>
          <w:bCs/>
          <w:lang w:val="fr-FR"/>
        </w:rPr>
        <w:t>. S</w:t>
      </w:r>
      <w:r w:rsidR="00923E72">
        <w:rPr>
          <w:bCs/>
          <w:lang w:val="fr-FR"/>
        </w:rPr>
        <w:t>’</w:t>
      </w:r>
      <w:r w:rsidRPr="00F577EB">
        <w:rPr>
          <w:bCs/>
          <w:lang w:val="fr-FR"/>
        </w:rPr>
        <w:t>agissant de l</w:t>
      </w:r>
      <w:r w:rsidR="00923E72">
        <w:rPr>
          <w:bCs/>
          <w:lang w:val="fr-FR"/>
        </w:rPr>
        <w:t>’</w:t>
      </w:r>
      <w:r w:rsidR="00ED3711">
        <w:rPr>
          <w:bCs/>
          <w:lang w:val="fr-FR"/>
        </w:rPr>
        <w:t xml:space="preserve">aspect </w:t>
      </w:r>
      <w:r w:rsidRPr="00F577EB">
        <w:rPr>
          <w:bCs/>
          <w:lang w:val="fr-FR"/>
        </w:rPr>
        <w:t>économique du patrimoine culturel immatériel, ce travail devrait être fait à la fois par le Forum des ONG et par les communautés de manière à ce qu</w:t>
      </w:r>
      <w:r w:rsidR="00923E72">
        <w:rPr>
          <w:bCs/>
          <w:lang w:val="fr-FR"/>
        </w:rPr>
        <w:t>’</w:t>
      </w:r>
      <w:r w:rsidRPr="00F577EB">
        <w:rPr>
          <w:bCs/>
          <w:lang w:val="fr-FR"/>
        </w:rPr>
        <w:t>il soit réalisé de manière complémentaire. Le premier patrimoine culturel immatériel était l</w:t>
      </w:r>
      <w:r w:rsidR="00923E72">
        <w:rPr>
          <w:bCs/>
          <w:lang w:val="fr-FR"/>
        </w:rPr>
        <w:t>’</w:t>
      </w:r>
      <w:r w:rsidRPr="00F577EB">
        <w:rPr>
          <w:bCs/>
          <w:lang w:val="fr-FR"/>
        </w:rPr>
        <w:t>interpréta</w:t>
      </w:r>
      <w:r w:rsidR="00ED3711">
        <w:rPr>
          <w:bCs/>
          <w:lang w:val="fr-FR"/>
        </w:rPr>
        <w:t>ti</w:t>
      </w:r>
      <w:r w:rsidRPr="00F577EB">
        <w:rPr>
          <w:bCs/>
          <w:lang w:val="fr-FR"/>
        </w:rPr>
        <w:t>on orale, dont l</w:t>
      </w:r>
      <w:r w:rsidR="00923E72">
        <w:rPr>
          <w:bCs/>
          <w:lang w:val="fr-FR"/>
        </w:rPr>
        <w:t>’</w:t>
      </w:r>
      <w:r w:rsidRPr="00F577EB">
        <w:rPr>
          <w:bCs/>
          <w:lang w:val="fr-FR"/>
        </w:rPr>
        <w:t>expression initiale dans sa langue maternelle est un symbole de l</w:t>
      </w:r>
      <w:r w:rsidR="00923E72">
        <w:rPr>
          <w:bCs/>
          <w:lang w:val="fr-FR"/>
        </w:rPr>
        <w:t>’</w:t>
      </w:r>
      <w:r w:rsidRPr="00F577EB">
        <w:rPr>
          <w:bCs/>
          <w:lang w:val="fr-FR"/>
        </w:rPr>
        <w:t>identité d</w:t>
      </w:r>
      <w:r w:rsidR="00923E72">
        <w:rPr>
          <w:bCs/>
          <w:lang w:val="fr-FR"/>
        </w:rPr>
        <w:t>’</w:t>
      </w:r>
      <w:r w:rsidRPr="00F577EB">
        <w:rPr>
          <w:bCs/>
          <w:lang w:val="fr-FR"/>
        </w:rPr>
        <w:t>un individu, d</w:t>
      </w:r>
      <w:r w:rsidR="00923E72">
        <w:rPr>
          <w:bCs/>
          <w:lang w:val="fr-FR"/>
        </w:rPr>
        <w:t>’</w:t>
      </w:r>
      <w:r w:rsidRPr="00F577EB">
        <w:rPr>
          <w:bCs/>
          <w:lang w:val="fr-FR"/>
        </w:rPr>
        <w:t>une communauté et d</w:t>
      </w:r>
      <w:r w:rsidR="00923E72">
        <w:rPr>
          <w:bCs/>
          <w:lang w:val="fr-FR"/>
        </w:rPr>
        <w:t>’</w:t>
      </w:r>
      <w:r w:rsidRPr="00F577EB">
        <w:rPr>
          <w:bCs/>
          <w:lang w:val="fr-FR"/>
        </w:rPr>
        <w:t>une nation. Le Bangladesh devait son indépendance à sa langue maternelle, le b</w:t>
      </w:r>
      <w:r w:rsidR="00ED3711">
        <w:rPr>
          <w:bCs/>
          <w:lang w:val="fr-FR"/>
        </w:rPr>
        <w:t>engali ;</w:t>
      </w:r>
      <w:r w:rsidRPr="00F577EB">
        <w:rPr>
          <w:bCs/>
          <w:lang w:val="fr-FR"/>
        </w:rPr>
        <w:t xml:space="preserve"> une indépendance conquise par des mouvements, des luttes et une guerre de libération de</w:t>
      </w:r>
      <w:r w:rsidR="00573499">
        <w:rPr>
          <w:bCs/>
          <w:lang w:val="fr-FR"/>
        </w:rPr>
        <w:t> </w:t>
      </w:r>
      <w:r w:rsidRPr="00F577EB">
        <w:rPr>
          <w:bCs/>
          <w:lang w:val="fr-FR"/>
        </w:rPr>
        <w:t>1952 à</w:t>
      </w:r>
      <w:r w:rsidR="00573499">
        <w:rPr>
          <w:bCs/>
          <w:lang w:val="fr-FR"/>
        </w:rPr>
        <w:t> </w:t>
      </w:r>
      <w:r w:rsidRPr="00F577EB">
        <w:rPr>
          <w:bCs/>
          <w:lang w:val="fr-FR"/>
        </w:rPr>
        <w:t>1971. Le patrimoine culturel immatériel était un instrument décisif de l</w:t>
      </w:r>
      <w:r w:rsidR="00923E72">
        <w:rPr>
          <w:bCs/>
          <w:lang w:val="fr-FR"/>
        </w:rPr>
        <w:t>’</w:t>
      </w:r>
      <w:r w:rsidRPr="00F577EB">
        <w:rPr>
          <w:bCs/>
          <w:lang w:val="fr-FR"/>
        </w:rPr>
        <w:t>identité humaine au niveau national par le biais du rituel et de la créativité. Afin de rendre le patrimoine culturel immatériel gratifiant pour l</w:t>
      </w:r>
      <w:r w:rsidR="00923E72">
        <w:rPr>
          <w:bCs/>
          <w:lang w:val="fr-FR"/>
        </w:rPr>
        <w:t>’</w:t>
      </w:r>
      <w:r w:rsidRPr="00F577EB">
        <w:rPr>
          <w:bCs/>
          <w:lang w:val="fr-FR"/>
        </w:rPr>
        <w:t>humanité, l</w:t>
      </w:r>
      <w:r w:rsidR="00923E72">
        <w:rPr>
          <w:bCs/>
          <w:lang w:val="fr-FR"/>
        </w:rPr>
        <w:t>’</w:t>
      </w:r>
      <w:r w:rsidR="00ED3711">
        <w:rPr>
          <w:bCs/>
          <w:lang w:val="fr-FR"/>
        </w:rPr>
        <w:t xml:space="preserve">aspect </w:t>
      </w:r>
      <w:r w:rsidRPr="00F577EB">
        <w:rPr>
          <w:bCs/>
          <w:lang w:val="fr-FR"/>
        </w:rPr>
        <w:t xml:space="preserve">économique du patrimoine culturel immatériel pour les individus et les communautés était un </w:t>
      </w:r>
      <w:r w:rsidRPr="00F577EB">
        <w:rPr>
          <w:bCs/>
          <w:lang w:val="fr-FR"/>
        </w:rPr>
        <w:lastRenderedPageBreak/>
        <w:t xml:space="preserve">besoin immédiat. </w:t>
      </w:r>
      <w:r w:rsidR="00ED3711">
        <w:rPr>
          <w:bCs/>
          <w:lang w:val="fr-FR"/>
        </w:rPr>
        <w:t xml:space="preserve">Il </w:t>
      </w:r>
      <w:r w:rsidRPr="00F577EB">
        <w:rPr>
          <w:bCs/>
          <w:lang w:val="fr-FR"/>
        </w:rPr>
        <w:t xml:space="preserve">était clairement lié aux droits de propriété intellectuelle pour les éléments créatifs et industriels, que ce soit pour des formes immatérielles ou matérielles. </w:t>
      </w:r>
      <w:r w:rsidR="00ED3711">
        <w:rPr>
          <w:bCs/>
          <w:lang w:val="fr-FR"/>
        </w:rPr>
        <w:t xml:space="preserve">Il </w:t>
      </w:r>
      <w:r w:rsidRPr="00F577EB">
        <w:rPr>
          <w:bCs/>
          <w:lang w:val="fr-FR"/>
        </w:rPr>
        <w:t>était implicite dans les critères d</w:t>
      </w:r>
      <w:r w:rsidR="00923E72">
        <w:rPr>
          <w:bCs/>
          <w:lang w:val="fr-FR"/>
        </w:rPr>
        <w:t>’</w:t>
      </w:r>
      <w:r w:rsidRPr="00F577EB">
        <w:rPr>
          <w:bCs/>
          <w:lang w:val="fr-FR"/>
        </w:rPr>
        <w:t>inscription d</w:t>
      </w:r>
      <w:r w:rsidR="00923E72">
        <w:rPr>
          <w:bCs/>
          <w:lang w:val="fr-FR"/>
        </w:rPr>
        <w:t>’</w:t>
      </w:r>
      <w:r w:rsidRPr="00F577EB">
        <w:rPr>
          <w:bCs/>
          <w:lang w:val="fr-FR"/>
        </w:rPr>
        <w:t>un élément du patrimoine culturel immatériel en ce qui concerne le critère</w:t>
      </w:r>
      <w:r w:rsidR="00ED3711">
        <w:rPr>
          <w:bCs/>
          <w:lang w:val="fr-FR"/>
        </w:rPr>
        <w:t> </w:t>
      </w:r>
      <w:r w:rsidRPr="00F577EB">
        <w:rPr>
          <w:bCs/>
          <w:lang w:val="fr-FR"/>
        </w:rPr>
        <w:t xml:space="preserve">4, le consentement préalable et </w:t>
      </w:r>
      <w:r w:rsidR="00ED3711">
        <w:rPr>
          <w:bCs/>
          <w:lang w:val="fr-FR"/>
        </w:rPr>
        <w:t xml:space="preserve">informé </w:t>
      </w:r>
      <w:r w:rsidRPr="00F577EB">
        <w:rPr>
          <w:bCs/>
          <w:lang w:val="fr-FR"/>
        </w:rPr>
        <w:t>et, en particulier, la commercialisation pour une croissance économique durable. C</w:t>
      </w:r>
      <w:r w:rsidR="00923E72">
        <w:rPr>
          <w:bCs/>
          <w:lang w:val="fr-FR"/>
        </w:rPr>
        <w:t>’</w:t>
      </w:r>
      <w:r w:rsidRPr="00F577EB">
        <w:rPr>
          <w:bCs/>
          <w:lang w:val="fr-FR"/>
        </w:rPr>
        <w:t xml:space="preserve">était également le moyen de </w:t>
      </w:r>
      <w:r w:rsidR="00DB452B">
        <w:rPr>
          <w:bCs/>
          <w:lang w:val="fr-FR"/>
        </w:rPr>
        <w:t xml:space="preserve">préserver </w:t>
      </w:r>
      <w:r w:rsidRPr="00F577EB">
        <w:rPr>
          <w:bCs/>
          <w:lang w:val="fr-FR"/>
        </w:rPr>
        <w:t>de la disparition des éléments du patrimoine en danger, tels qu</w:t>
      </w:r>
      <w:r w:rsidR="00923E72">
        <w:rPr>
          <w:bCs/>
          <w:lang w:val="fr-FR"/>
        </w:rPr>
        <w:t>’</w:t>
      </w:r>
      <w:r w:rsidRPr="00F577EB">
        <w:rPr>
          <w:bCs/>
          <w:lang w:val="fr-FR"/>
        </w:rPr>
        <w:t>ils sont inscrits dans la mémoire humaine. La délégation a appelé toutes les personnes impliquées dans ces interactions à mettre en place une protection juridique en vue d</w:t>
      </w:r>
      <w:r w:rsidR="00923E72">
        <w:rPr>
          <w:bCs/>
          <w:lang w:val="fr-FR"/>
        </w:rPr>
        <w:t>’</w:t>
      </w:r>
      <w:r w:rsidRPr="00F577EB">
        <w:rPr>
          <w:bCs/>
          <w:lang w:val="fr-FR"/>
        </w:rPr>
        <w:t>une distribution équitable et d</w:t>
      </w:r>
      <w:r w:rsidR="00923E72">
        <w:rPr>
          <w:bCs/>
          <w:lang w:val="fr-FR"/>
        </w:rPr>
        <w:t>’</w:t>
      </w:r>
      <w:r w:rsidRPr="00F577EB">
        <w:rPr>
          <w:bCs/>
          <w:lang w:val="fr-FR"/>
        </w:rPr>
        <w:t>un partage des avantages pour toutes les parties concernées.</w:t>
      </w:r>
    </w:p>
    <w:p w14:paraId="27A9737F" w14:textId="0BA00EE2" w:rsidR="00ED3711" w:rsidRDefault="00ED3711">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invité les </w:t>
      </w:r>
      <w:r w:rsidRPr="00ED3711">
        <w:rPr>
          <w:bCs/>
          <w:lang w:val="fr-FR"/>
        </w:rPr>
        <w:t>représenta</w:t>
      </w:r>
      <w:r>
        <w:rPr>
          <w:bCs/>
          <w:lang w:val="fr-FR"/>
        </w:rPr>
        <w:t>nts du Forum des ONG à répondre.</w:t>
      </w:r>
    </w:p>
    <w:p w14:paraId="6A063805" w14:textId="5D48DAC5" w:rsidR="00ED3711" w:rsidRDefault="00ED3711">
      <w:pPr>
        <w:pStyle w:val="Orateurengris"/>
        <w:numPr>
          <w:ilvl w:val="0"/>
          <w:numId w:val="20"/>
        </w:numPr>
        <w:tabs>
          <w:tab w:val="clear" w:pos="567"/>
          <w:tab w:val="left" w:pos="5954"/>
        </w:tabs>
        <w:spacing w:before="120"/>
        <w:ind w:left="709" w:hanging="709"/>
        <w:rPr>
          <w:bCs/>
          <w:lang w:val="fr-FR"/>
        </w:rPr>
      </w:pPr>
      <w:r w:rsidRPr="00702497">
        <w:rPr>
          <w:b/>
          <w:lang w:val="fr-FR"/>
        </w:rPr>
        <w:t>M. Laurier Turgeon</w:t>
      </w:r>
      <w:r w:rsidRPr="00ED3711">
        <w:rPr>
          <w:bCs/>
          <w:lang w:val="fr-FR"/>
        </w:rPr>
        <w:t xml:space="preserve"> a remercié tous les intervenants pour leur confiance et leur reconnaissance du travail du Forum, qui étaient très appréciées. Comme l</w:t>
      </w:r>
      <w:r w:rsidR="00923E72">
        <w:rPr>
          <w:bCs/>
          <w:lang w:val="fr-FR"/>
        </w:rPr>
        <w:t>’</w:t>
      </w:r>
      <w:r w:rsidRPr="00ED3711">
        <w:rPr>
          <w:bCs/>
          <w:lang w:val="fr-FR"/>
        </w:rPr>
        <w:t xml:space="preserve">avaient souligné plusieurs des interventions, le Forum avait beaucoup travaillé sur le déséquilibre géographique, rappelant au Comité la </w:t>
      </w:r>
      <w:r w:rsidR="005E2BFA">
        <w:rPr>
          <w:bCs/>
          <w:lang w:val="fr-FR"/>
        </w:rPr>
        <w:t xml:space="preserve">parfaite </w:t>
      </w:r>
      <w:r w:rsidRPr="00ED3711">
        <w:rPr>
          <w:bCs/>
          <w:lang w:val="fr-FR"/>
        </w:rPr>
        <w:t>représentation géographique dans les organes d</w:t>
      </w:r>
      <w:r>
        <w:rPr>
          <w:bCs/>
          <w:lang w:val="fr-FR"/>
        </w:rPr>
        <w:t>i</w:t>
      </w:r>
      <w:r w:rsidRPr="00ED3711">
        <w:rPr>
          <w:bCs/>
          <w:lang w:val="fr-FR"/>
        </w:rPr>
        <w:t>recteurs du Forum</w:t>
      </w:r>
      <w:r>
        <w:rPr>
          <w:bCs/>
          <w:lang w:val="fr-FR"/>
        </w:rPr>
        <w:t>, c</w:t>
      </w:r>
      <w:r w:rsidRPr="00ED3711">
        <w:rPr>
          <w:bCs/>
          <w:lang w:val="fr-FR"/>
        </w:rPr>
        <w:t>haque région éta</w:t>
      </w:r>
      <w:r>
        <w:rPr>
          <w:bCs/>
          <w:lang w:val="fr-FR"/>
        </w:rPr>
        <w:t>n</w:t>
      </w:r>
      <w:r w:rsidRPr="00ED3711">
        <w:rPr>
          <w:bCs/>
          <w:lang w:val="fr-FR"/>
        </w:rPr>
        <w:t>t représentée par un siège. Cela avait permis de traiter, au moins partiellement, le déséquilibre géographique plus général, auquel le Forum avait consacré beaucoup de temps. Le Forum avait un groupe de travail spécialement créé en</w:t>
      </w:r>
      <w:r w:rsidR="00D55C2A">
        <w:rPr>
          <w:bCs/>
          <w:lang w:val="fr-FR"/>
        </w:rPr>
        <w:t> </w:t>
      </w:r>
      <w:r w:rsidRPr="00ED3711">
        <w:rPr>
          <w:bCs/>
          <w:lang w:val="fr-FR"/>
        </w:rPr>
        <w:t>2021 pour travailler sur le déséquilibre géographique et sur un plan d</w:t>
      </w:r>
      <w:r w:rsidR="00923E72">
        <w:rPr>
          <w:bCs/>
          <w:lang w:val="fr-FR"/>
        </w:rPr>
        <w:t>’</w:t>
      </w:r>
      <w:r w:rsidRPr="00ED3711">
        <w:rPr>
          <w:bCs/>
          <w:lang w:val="fr-FR"/>
        </w:rPr>
        <w:t>action</w:t>
      </w:r>
      <w:r w:rsidR="00DB452B">
        <w:rPr>
          <w:bCs/>
          <w:lang w:val="fr-FR"/>
        </w:rPr>
        <w:t xml:space="preserve"> dans ce domaine</w:t>
      </w:r>
      <w:r w:rsidRPr="00ED3711">
        <w:rPr>
          <w:bCs/>
          <w:lang w:val="fr-FR"/>
        </w:rPr>
        <w:t>. Le Forum travaillerait également avec certains centres de catégorie</w:t>
      </w:r>
      <w:r w:rsidR="006773EF">
        <w:rPr>
          <w:bCs/>
          <w:lang w:val="fr-FR"/>
        </w:rPr>
        <w:t> </w:t>
      </w:r>
      <w:r w:rsidRPr="00ED3711">
        <w:rPr>
          <w:bCs/>
          <w:lang w:val="fr-FR"/>
        </w:rPr>
        <w:t>2 dans les différentes régions pour les aider à encourager les ONG à postuler au cours de ce cycle, le</w:t>
      </w:r>
      <w:r w:rsidR="005E2BFA">
        <w:rPr>
          <w:bCs/>
          <w:lang w:val="fr-FR"/>
        </w:rPr>
        <w:t> </w:t>
      </w:r>
      <w:r w:rsidRPr="00ED3711">
        <w:rPr>
          <w:bCs/>
          <w:lang w:val="fr-FR"/>
        </w:rPr>
        <w:t>23</w:t>
      </w:r>
      <w:r w:rsidR="001C42C1">
        <w:rPr>
          <w:bCs/>
          <w:lang w:val="fr-FR"/>
        </w:rPr>
        <w:t> </w:t>
      </w:r>
      <w:r w:rsidRPr="00ED3711">
        <w:rPr>
          <w:bCs/>
          <w:lang w:val="fr-FR"/>
        </w:rPr>
        <w:t>avril étant la date butoir pour les candidatures des nouvelles ONG accréditées. Le Forum appréciait beaucoup la volonté des États parties, et en particulier de l</w:t>
      </w:r>
      <w:r w:rsidR="00923E72">
        <w:rPr>
          <w:bCs/>
          <w:lang w:val="fr-FR"/>
        </w:rPr>
        <w:t>’</w:t>
      </w:r>
      <w:r w:rsidRPr="00ED3711">
        <w:rPr>
          <w:bCs/>
          <w:lang w:val="fr-FR"/>
        </w:rPr>
        <w:t>Arabie</w:t>
      </w:r>
      <w:r w:rsidR="00DB452B">
        <w:rPr>
          <w:bCs/>
          <w:lang w:val="fr-FR"/>
        </w:rPr>
        <w:t> </w:t>
      </w:r>
      <w:r w:rsidRPr="00ED3711">
        <w:rPr>
          <w:bCs/>
          <w:lang w:val="fr-FR"/>
        </w:rPr>
        <w:t>saoudite, de soutenir cette initiative. Du point de vue des États parties, cette initiative était très importante</w:t>
      </w:r>
      <w:r w:rsidR="005E2BFA">
        <w:rPr>
          <w:bCs/>
          <w:lang w:val="fr-FR"/>
        </w:rPr>
        <w:t>,</w:t>
      </w:r>
      <w:r w:rsidRPr="00ED3711">
        <w:rPr>
          <w:bCs/>
          <w:lang w:val="fr-FR"/>
        </w:rPr>
        <w:t xml:space="preserve"> car elle aidait le Forum à résoudre ce problème de déséquilibre géographique pour lequel le rôle actif des États parties </w:t>
      </w:r>
      <w:r w:rsidR="005E2BFA">
        <w:rPr>
          <w:bCs/>
          <w:lang w:val="fr-FR"/>
        </w:rPr>
        <w:t xml:space="preserve">est </w:t>
      </w:r>
      <w:r w:rsidRPr="00ED3711">
        <w:rPr>
          <w:bCs/>
          <w:lang w:val="fr-FR"/>
        </w:rPr>
        <w:t>également extrêmement important.</w:t>
      </w:r>
    </w:p>
    <w:p w14:paraId="68D608CC" w14:textId="138C67D6" w:rsidR="001C42C1" w:rsidRDefault="00D124E1">
      <w:pPr>
        <w:pStyle w:val="Orateurengris"/>
        <w:numPr>
          <w:ilvl w:val="0"/>
          <w:numId w:val="20"/>
        </w:numPr>
        <w:tabs>
          <w:tab w:val="clear" w:pos="567"/>
          <w:tab w:val="left" w:pos="5954"/>
        </w:tabs>
        <w:spacing w:before="120"/>
        <w:ind w:left="709" w:hanging="709"/>
        <w:rPr>
          <w:bCs/>
          <w:lang w:val="fr-FR"/>
        </w:rPr>
      </w:pPr>
      <w:r w:rsidRPr="004877F0">
        <w:rPr>
          <w:b/>
          <w:lang w:val="fr-FR"/>
        </w:rPr>
        <w:t>M</w:t>
      </w:r>
      <w:r w:rsidRPr="004877F0">
        <w:rPr>
          <w:b/>
          <w:vertAlign w:val="superscript"/>
          <w:lang w:val="fr-FR"/>
        </w:rPr>
        <w:t>me</w:t>
      </w:r>
      <w:r w:rsidRPr="004877F0">
        <w:rPr>
          <w:b/>
          <w:lang w:val="fr-FR"/>
        </w:rPr>
        <w:t> Janet Blake</w:t>
      </w:r>
      <w:r w:rsidRPr="007166AF">
        <w:rPr>
          <w:bCs/>
          <w:lang w:val="fr-FR"/>
        </w:rPr>
        <w:t xml:space="preserve"> </w:t>
      </w:r>
      <w:r w:rsidRPr="00D124E1">
        <w:rPr>
          <w:bCs/>
          <w:lang w:val="fr-FR"/>
        </w:rPr>
        <w:t>a rappelé au Comité que parmi les ONG accréditées se trouvent des membres qui sont des acteurs de médiation au niveau mondial pour cette Convention, tandis que d</w:t>
      </w:r>
      <w:r w:rsidR="00923E72">
        <w:rPr>
          <w:bCs/>
          <w:lang w:val="fr-FR"/>
        </w:rPr>
        <w:t>’</w:t>
      </w:r>
      <w:r w:rsidRPr="00D124E1">
        <w:rPr>
          <w:bCs/>
          <w:lang w:val="fr-FR"/>
        </w:rPr>
        <w:t xml:space="preserve">autres ont une longue expérience des processus intergouvernementaux de différentes natures et </w:t>
      </w:r>
      <w:r w:rsidR="00A465FE">
        <w:rPr>
          <w:bCs/>
          <w:lang w:val="fr-FR"/>
        </w:rPr>
        <w:t xml:space="preserve">siègent </w:t>
      </w:r>
      <w:r w:rsidRPr="00D124E1">
        <w:rPr>
          <w:bCs/>
          <w:lang w:val="fr-FR"/>
        </w:rPr>
        <w:t>peut-être également derrière la plaque de leur pays dans de telles réunions. En d</w:t>
      </w:r>
      <w:r w:rsidR="00923E72">
        <w:rPr>
          <w:bCs/>
          <w:lang w:val="fr-FR"/>
        </w:rPr>
        <w:t>’</w:t>
      </w:r>
      <w:r w:rsidRPr="00D124E1">
        <w:rPr>
          <w:bCs/>
          <w:lang w:val="fr-FR"/>
        </w:rPr>
        <w:t xml:space="preserve">autres termes, si le Forum était une ressource très importante en </w:t>
      </w:r>
      <w:r w:rsidR="00781A74">
        <w:rPr>
          <w:bCs/>
          <w:lang w:val="fr-FR"/>
        </w:rPr>
        <w:t xml:space="preserve">matière </w:t>
      </w:r>
      <w:r w:rsidRPr="00D124E1">
        <w:rPr>
          <w:bCs/>
          <w:lang w:val="fr-FR"/>
        </w:rPr>
        <w:t>d</w:t>
      </w:r>
      <w:r w:rsidR="00923E72">
        <w:rPr>
          <w:bCs/>
          <w:lang w:val="fr-FR"/>
        </w:rPr>
        <w:t>’</w:t>
      </w:r>
      <w:r w:rsidRPr="00D124E1">
        <w:rPr>
          <w:bCs/>
          <w:lang w:val="fr-FR"/>
        </w:rPr>
        <w:t>activités et de contacts au niveau local, son expertise s</w:t>
      </w:r>
      <w:r w:rsidR="00923E72">
        <w:rPr>
          <w:bCs/>
          <w:lang w:val="fr-FR"/>
        </w:rPr>
        <w:t>’</w:t>
      </w:r>
      <w:r w:rsidRPr="00D124E1">
        <w:rPr>
          <w:bCs/>
          <w:lang w:val="fr-FR"/>
        </w:rPr>
        <w:t>étend</w:t>
      </w:r>
      <w:r w:rsidR="009F2E82">
        <w:rPr>
          <w:bCs/>
          <w:lang w:val="fr-FR"/>
        </w:rPr>
        <w:t>ait</w:t>
      </w:r>
      <w:r w:rsidRPr="00D124E1">
        <w:rPr>
          <w:bCs/>
          <w:lang w:val="fr-FR"/>
        </w:rPr>
        <w:t xml:space="preserve"> également au niveau intergouvernemental.</w:t>
      </w:r>
    </w:p>
    <w:p w14:paraId="7E2BA648" w14:textId="69FAD011" w:rsidR="00A465FE" w:rsidRDefault="00A465FE">
      <w:pPr>
        <w:pStyle w:val="Orateurengris"/>
        <w:numPr>
          <w:ilvl w:val="0"/>
          <w:numId w:val="20"/>
        </w:numPr>
        <w:tabs>
          <w:tab w:val="clear" w:pos="567"/>
          <w:tab w:val="left" w:pos="5954"/>
        </w:tabs>
        <w:spacing w:before="120"/>
        <w:ind w:left="709" w:hanging="709"/>
        <w:rPr>
          <w:bCs/>
          <w:lang w:val="fr-FR"/>
        </w:rPr>
      </w:pPr>
      <w:r w:rsidRPr="00702497">
        <w:rPr>
          <w:bCs/>
          <w:lang w:val="fr-FR"/>
        </w:rPr>
        <w:t xml:space="preserve">Le </w:t>
      </w:r>
      <w:r w:rsidRPr="00A465FE">
        <w:rPr>
          <w:b/>
          <w:lang w:val="fr-FR"/>
        </w:rPr>
        <w:t>Président</w:t>
      </w:r>
      <w:r w:rsidRPr="00702497">
        <w:rPr>
          <w:bCs/>
          <w:lang w:val="fr-FR"/>
        </w:rPr>
        <w:t xml:space="preserve"> a donné la parole aux observateurs.</w:t>
      </w:r>
    </w:p>
    <w:p w14:paraId="560D1329" w14:textId="1C8E8F13" w:rsidR="00A465FE" w:rsidRDefault="00A465FE">
      <w:pPr>
        <w:pStyle w:val="Orateurengris"/>
        <w:numPr>
          <w:ilvl w:val="0"/>
          <w:numId w:val="20"/>
        </w:numPr>
        <w:tabs>
          <w:tab w:val="clear" w:pos="567"/>
          <w:tab w:val="left" w:pos="5954"/>
        </w:tabs>
        <w:spacing w:before="120"/>
        <w:ind w:left="709" w:hanging="709"/>
        <w:rPr>
          <w:bCs/>
          <w:lang w:val="fr-FR"/>
        </w:rPr>
      </w:pPr>
      <w:r w:rsidRPr="00A465FE">
        <w:rPr>
          <w:bCs/>
          <w:lang w:val="fr-FR"/>
        </w:rPr>
        <w:t xml:space="preserve">La délégation de la </w:t>
      </w:r>
      <w:r w:rsidRPr="00702497">
        <w:rPr>
          <w:b/>
          <w:lang w:val="fr-FR"/>
        </w:rPr>
        <w:t>Lituanie</w:t>
      </w:r>
      <w:r w:rsidRPr="00A465FE">
        <w:rPr>
          <w:bCs/>
          <w:lang w:val="fr-FR"/>
        </w:rPr>
        <w:t xml:space="preserve"> a remercié et félicité le Forum des ONG pour son rapport très important et très complet et a salué son travail considérable dans plusieurs domaines, en particulier la réaction rapide du Forum à la situation de guerre en Ukraine et l</w:t>
      </w:r>
      <w:r w:rsidR="00923E72">
        <w:rPr>
          <w:bCs/>
          <w:lang w:val="fr-FR"/>
        </w:rPr>
        <w:t>’</w:t>
      </w:r>
      <w:r w:rsidRPr="00A465FE">
        <w:rPr>
          <w:bCs/>
          <w:lang w:val="fr-FR"/>
        </w:rPr>
        <w:t xml:space="preserve">initiative de solidarité </w:t>
      </w:r>
      <w:r>
        <w:rPr>
          <w:bCs/>
          <w:lang w:val="fr-FR"/>
        </w:rPr>
        <w:t>« </w:t>
      </w:r>
      <w:r w:rsidRPr="00A465FE">
        <w:rPr>
          <w:bCs/>
          <w:lang w:val="fr-FR"/>
        </w:rPr>
        <w:t>Patrimoine vivant pour la paix</w:t>
      </w:r>
      <w:r>
        <w:rPr>
          <w:bCs/>
          <w:lang w:val="fr-FR"/>
        </w:rPr>
        <w:t> »</w:t>
      </w:r>
      <w:r w:rsidRPr="00A465FE">
        <w:rPr>
          <w:bCs/>
          <w:lang w:val="fr-FR"/>
        </w:rPr>
        <w:t>. Elle appréciait tout particulièrement les initiatives prises par le Forum pour augmenter le nombre d</w:t>
      </w:r>
      <w:r w:rsidR="00923E72">
        <w:rPr>
          <w:bCs/>
          <w:lang w:val="fr-FR"/>
        </w:rPr>
        <w:t>’</w:t>
      </w:r>
      <w:r w:rsidRPr="00A465FE">
        <w:rPr>
          <w:bCs/>
          <w:lang w:val="fr-FR"/>
        </w:rPr>
        <w:t>ONG,</w:t>
      </w:r>
      <w:r w:rsidR="009F2E82">
        <w:rPr>
          <w:bCs/>
          <w:lang w:val="fr-FR"/>
        </w:rPr>
        <w:t xml:space="preserve"> ce qui représentait</w:t>
      </w:r>
      <w:r w:rsidRPr="00A465FE">
        <w:rPr>
          <w:bCs/>
          <w:lang w:val="fr-FR"/>
        </w:rPr>
        <w:t xml:space="preserve"> la plus haute priorité dans la mise en œuvre de la Convention. Le déséquilibre géographique </w:t>
      </w:r>
      <w:r>
        <w:rPr>
          <w:bCs/>
          <w:lang w:val="fr-FR"/>
        </w:rPr>
        <w:t xml:space="preserve">entre </w:t>
      </w:r>
      <w:r w:rsidRPr="00A465FE">
        <w:rPr>
          <w:bCs/>
          <w:lang w:val="fr-FR"/>
        </w:rPr>
        <w:t>les ONG accréditées demeurait une préoccupation majeure. La Lituanie n</w:t>
      </w:r>
      <w:r w:rsidR="00923E72">
        <w:rPr>
          <w:bCs/>
          <w:lang w:val="fr-FR"/>
        </w:rPr>
        <w:t>’</w:t>
      </w:r>
      <w:r w:rsidRPr="00A465FE">
        <w:rPr>
          <w:bCs/>
          <w:lang w:val="fr-FR"/>
        </w:rPr>
        <w:t>avait pas encore d</w:t>
      </w:r>
      <w:r w:rsidR="00923E72">
        <w:rPr>
          <w:bCs/>
          <w:lang w:val="fr-FR"/>
        </w:rPr>
        <w:t>’</w:t>
      </w:r>
      <w:r w:rsidRPr="00A465FE">
        <w:rPr>
          <w:bCs/>
          <w:lang w:val="fr-FR"/>
        </w:rPr>
        <w:t>organisations accréditées et son groupe électoral restait sous-représenté. On pouvait toutefois espérer que cette situation changerait dans un avenir proche. La délégation estimait que l</w:t>
      </w:r>
      <w:r w:rsidR="00923E72">
        <w:rPr>
          <w:bCs/>
          <w:lang w:val="fr-FR"/>
        </w:rPr>
        <w:t>’</w:t>
      </w:r>
      <w:r w:rsidRPr="00A465FE">
        <w:rPr>
          <w:bCs/>
          <w:lang w:val="fr-FR"/>
        </w:rPr>
        <w:t>important programme de sensibilisation pourrait probablement s</w:t>
      </w:r>
      <w:r w:rsidR="00923E72">
        <w:rPr>
          <w:bCs/>
          <w:lang w:val="fr-FR"/>
        </w:rPr>
        <w:t>’</w:t>
      </w:r>
      <w:r w:rsidRPr="00A465FE">
        <w:rPr>
          <w:bCs/>
          <w:lang w:val="fr-FR"/>
        </w:rPr>
        <w:t>étendre à l</w:t>
      </w:r>
      <w:r w:rsidR="00923E72">
        <w:rPr>
          <w:bCs/>
          <w:lang w:val="fr-FR"/>
        </w:rPr>
        <w:t>’</w:t>
      </w:r>
      <w:r w:rsidRPr="00A465FE">
        <w:rPr>
          <w:bCs/>
          <w:lang w:val="fr-FR"/>
        </w:rPr>
        <w:t>avenir et inclure non seulement les groupes non représentés, mais également les groupes sous-représentés, de manière plus directe et plus active. Dans ce sens, elle appréciait vivement l</w:t>
      </w:r>
      <w:r w:rsidR="00923E72">
        <w:rPr>
          <w:bCs/>
          <w:lang w:val="fr-FR"/>
        </w:rPr>
        <w:t>’</w:t>
      </w:r>
      <w:r w:rsidRPr="00A465FE">
        <w:rPr>
          <w:bCs/>
          <w:lang w:val="fr-FR"/>
        </w:rPr>
        <w:t>intention du Forum de formuler des recommandations en vue d</w:t>
      </w:r>
      <w:r w:rsidR="00923E72">
        <w:rPr>
          <w:bCs/>
          <w:lang w:val="fr-FR"/>
        </w:rPr>
        <w:t>’</w:t>
      </w:r>
      <w:r w:rsidRPr="00A465FE">
        <w:rPr>
          <w:bCs/>
          <w:lang w:val="fr-FR"/>
        </w:rPr>
        <w:t>une simplification du formulaire</w:t>
      </w:r>
      <w:r w:rsidR="00CB0BEC">
        <w:rPr>
          <w:bCs/>
          <w:lang w:val="fr-FR"/>
        </w:rPr>
        <w:t xml:space="preserve"> d</w:t>
      </w:r>
      <w:r w:rsidR="00923E72">
        <w:rPr>
          <w:bCs/>
          <w:lang w:val="fr-FR"/>
        </w:rPr>
        <w:t>’</w:t>
      </w:r>
      <w:r w:rsidR="00CB0BEC">
        <w:rPr>
          <w:bCs/>
          <w:lang w:val="fr-FR"/>
        </w:rPr>
        <w:t>accréditation</w:t>
      </w:r>
      <w:r w:rsidRPr="00A465FE">
        <w:rPr>
          <w:bCs/>
          <w:lang w:val="fr-FR"/>
        </w:rPr>
        <w:t>. La délégation s</w:t>
      </w:r>
      <w:r w:rsidR="00923E72">
        <w:rPr>
          <w:bCs/>
          <w:lang w:val="fr-FR"/>
        </w:rPr>
        <w:t>’</w:t>
      </w:r>
      <w:r w:rsidRPr="00A465FE">
        <w:rPr>
          <w:bCs/>
          <w:lang w:val="fr-FR"/>
        </w:rPr>
        <w:t>est notamment réjouie de l</w:t>
      </w:r>
      <w:r w:rsidR="00923E72">
        <w:rPr>
          <w:bCs/>
          <w:lang w:val="fr-FR"/>
        </w:rPr>
        <w:t>’</w:t>
      </w:r>
      <w:r w:rsidRPr="00A465FE">
        <w:rPr>
          <w:bCs/>
          <w:lang w:val="fr-FR"/>
        </w:rPr>
        <w:t>impressionnante série de publications de #HeritageAlive</w:t>
      </w:r>
      <w:r w:rsidR="00CB0BEC">
        <w:rPr>
          <w:rStyle w:val="FootnoteReference"/>
          <w:bCs/>
          <w:lang w:val="fr-FR"/>
        </w:rPr>
        <w:footnoteReference w:id="32"/>
      </w:r>
      <w:r w:rsidRPr="00A465FE">
        <w:rPr>
          <w:bCs/>
          <w:lang w:val="fr-FR"/>
        </w:rPr>
        <w:t>, qui fêtait son dixième anniversaire en</w:t>
      </w:r>
      <w:r w:rsidR="00246428">
        <w:rPr>
          <w:bCs/>
          <w:lang w:val="fr-FR"/>
        </w:rPr>
        <w:t> </w:t>
      </w:r>
      <w:r w:rsidRPr="00A465FE">
        <w:rPr>
          <w:bCs/>
          <w:lang w:val="fr-FR"/>
        </w:rPr>
        <w:t>2022. Ces publications transmettaient des connaissances sur tout un</w:t>
      </w:r>
      <w:r w:rsidR="00CB0BEC">
        <w:rPr>
          <w:bCs/>
          <w:lang w:val="fr-FR"/>
        </w:rPr>
        <w:t xml:space="preserve"> éventail </w:t>
      </w:r>
      <w:r w:rsidRPr="00A465FE">
        <w:rPr>
          <w:bCs/>
          <w:lang w:val="fr-FR"/>
        </w:rPr>
        <w:t>de patrimoine culturel immatériel, beaucoup plus vaste et ouvert que le patrimoine culturel immatériel d</w:t>
      </w:r>
      <w:r w:rsidR="00CB0BEC">
        <w:rPr>
          <w:bCs/>
          <w:lang w:val="fr-FR"/>
        </w:rPr>
        <w:t>ont les</w:t>
      </w:r>
      <w:r w:rsidRPr="00A465FE">
        <w:rPr>
          <w:bCs/>
          <w:lang w:val="fr-FR"/>
        </w:rPr>
        <w:t xml:space="preserve"> organisations accréditées</w:t>
      </w:r>
      <w:r w:rsidR="00CB0BEC">
        <w:rPr>
          <w:bCs/>
          <w:lang w:val="fr-FR"/>
        </w:rPr>
        <w:t xml:space="preserve"> étaient des spécialistes et qu</w:t>
      </w:r>
      <w:r w:rsidR="00923E72">
        <w:rPr>
          <w:bCs/>
          <w:lang w:val="fr-FR"/>
        </w:rPr>
        <w:t>’</w:t>
      </w:r>
      <w:r w:rsidR="00CB0BEC">
        <w:rPr>
          <w:bCs/>
          <w:lang w:val="fr-FR"/>
        </w:rPr>
        <w:t>elles sauvegardaient</w:t>
      </w:r>
      <w:r w:rsidRPr="00A465FE">
        <w:rPr>
          <w:bCs/>
          <w:lang w:val="fr-FR"/>
        </w:rPr>
        <w:t xml:space="preserve">. Plusieurs </w:t>
      </w:r>
      <w:r w:rsidRPr="00A465FE">
        <w:rPr>
          <w:bCs/>
          <w:lang w:val="fr-FR"/>
        </w:rPr>
        <w:lastRenderedPageBreak/>
        <w:t>autres activités du Forum étaient très appréciées. La délégation a adressé ses vœux de réussite au Forum pour ses activités futures, en le remerciant une nouvelle fois pour le travail accompli.</w:t>
      </w:r>
    </w:p>
    <w:p w14:paraId="69E8BF18" w14:textId="413407C7" w:rsidR="00CB0BEC" w:rsidRDefault="00767A83">
      <w:pPr>
        <w:pStyle w:val="Orateurengris"/>
        <w:numPr>
          <w:ilvl w:val="0"/>
          <w:numId w:val="20"/>
        </w:numPr>
        <w:tabs>
          <w:tab w:val="clear" w:pos="567"/>
          <w:tab w:val="left" w:pos="5954"/>
        </w:tabs>
        <w:spacing w:before="120"/>
        <w:ind w:left="709" w:hanging="709"/>
        <w:rPr>
          <w:bCs/>
          <w:lang w:val="fr-FR"/>
        </w:rPr>
      </w:pPr>
      <w:r w:rsidRPr="00767A83">
        <w:rPr>
          <w:bCs/>
          <w:lang w:val="fr-FR"/>
        </w:rPr>
        <w:t xml:space="preserve">La délégation de la </w:t>
      </w:r>
      <w:r w:rsidRPr="00702497">
        <w:rPr>
          <w:b/>
          <w:lang w:val="fr-FR"/>
        </w:rPr>
        <w:t>Norvège</w:t>
      </w:r>
      <w:r w:rsidRPr="00767A83">
        <w:rPr>
          <w:bCs/>
          <w:lang w:val="fr-FR"/>
        </w:rPr>
        <w:t xml:space="preserve"> a remercié le Forum pour </w:t>
      </w:r>
      <w:r>
        <w:rPr>
          <w:bCs/>
          <w:lang w:val="fr-FR"/>
        </w:rPr>
        <w:t xml:space="preserve">le </w:t>
      </w:r>
      <w:r w:rsidRPr="00767A83">
        <w:rPr>
          <w:bCs/>
          <w:lang w:val="fr-FR"/>
        </w:rPr>
        <w:t>rapport et son travail. Les ONG étaient des partenaires essentiels dans la mise en œuvre de la Convention, tant au niveau national qu</w:t>
      </w:r>
      <w:r w:rsidR="00923E72">
        <w:rPr>
          <w:bCs/>
          <w:lang w:val="fr-FR"/>
        </w:rPr>
        <w:t>’</w:t>
      </w:r>
      <w:r w:rsidRPr="00767A83">
        <w:rPr>
          <w:bCs/>
          <w:lang w:val="fr-FR"/>
        </w:rPr>
        <w:t>international. Au niveau national, les ONG avaient une approche pratique de la Convention et étaient proches des communautés. Cette approche était conforme à l</w:t>
      </w:r>
      <w:r w:rsidR="00923E72">
        <w:rPr>
          <w:bCs/>
          <w:lang w:val="fr-FR"/>
        </w:rPr>
        <w:t>’</w:t>
      </w:r>
      <w:r w:rsidRPr="00767A83">
        <w:rPr>
          <w:bCs/>
          <w:lang w:val="fr-FR"/>
        </w:rPr>
        <w:t>esprit de la Convention et fai</w:t>
      </w:r>
      <w:r>
        <w:rPr>
          <w:bCs/>
          <w:lang w:val="fr-FR"/>
        </w:rPr>
        <w:t>sai</w:t>
      </w:r>
      <w:r w:rsidRPr="00767A83">
        <w:rPr>
          <w:bCs/>
          <w:lang w:val="fr-FR"/>
        </w:rPr>
        <w:t xml:space="preserve">t des ONG un partenaire de dialogue important pour les États parties dans le cadre de </w:t>
      </w:r>
      <w:r>
        <w:rPr>
          <w:bCs/>
          <w:lang w:val="fr-FR"/>
        </w:rPr>
        <w:t>s</w:t>
      </w:r>
      <w:r w:rsidRPr="00767A83">
        <w:rPr>
          <w:bCs/>
          <w:lang w:val="fr-FR"/>
        </w:rPr>
        <w:t xml:space="preserve">a mise en œuvre. Au niveau international, le Forum et toutes ses activités jouaient un rôle </w:t>
      </w:r>
      <w:r>
        <w:rPr>
          <w:bCs/>
          <w:lang w:val="fr-FR"/>
        </w:rPr>
        <w:t xml:space="preserve">majeur </w:t>
      </w:r>
      <w:r w:rsidRPr="00767A83">
        <w:rPr>
          <w:bCs/>
          <w:lang w:val="fr-FR"/>
        </w:rPr>
        <w:t>dans la sensibilisation aux efforts de sauvegarde. La délégation s</w:t>
      </w:r>
      <w:r w:rsidR="00923E72">
        <w:rPr>
          <w:bCs/>
          <w:lang w:val="fr-FR"/>
        </w:rPr>
        <w:t>’</w:t>
      </w:r>
      <w:r w:rsidRPr="00767A83">
        <w:rPr>
          <w:bCs/>
          <w:lang w:val="fr-FR"/>
        </w:rPr>
        <w:t>est réjouie de suivre à l</w:t>
      </w:r>
      <w:r w:rsidR="00923E72">
        <w:rPr>
          <w:bCs/>
          <w:lang w:val="fr-FR"/>
        </w:rPr>
        <w:t>’</w:t>
      </w:r>
      <w:r w:rsidRPr="00767A83">
        <w:rPr>
          <w:bCs/>
          <w:lang w:val="fr-FR"/>
        </w:rPr>
        <w:t>avenir la discussion sur le rôle des ONG dans les travaux de la Convention.</w:t>
      </w:r>
    </w:p>
    <w:p w14:paraId="7B034873" w14:textId="485B0D8B" w:rsidR="00767A83" w:rsidRDefault="00767A83">
      <w:pPr>
        <w:pStyle w:val="Orateurengris"/>
        <w:numPr>
          <w:ilvl w:val="0"/>
          <w:numId w:val="20"/>
        </w:numPr>
        <w:tabs>
          <w:tab w:val="clear" w:pos="567"/>
          <w:tab w:val="left" w:pos="5954"/>
        </w:tabs>
        <w:spacing w:before="120"/>
        <w:ind w:left="709" w:hanging="709"/>
        <w:rPr>
          <w:bCs/>
          <w:lang w:val="fr-FR"/>
        </w:rPr>
      </w:pPr>
      <w:r w:rsidRPr="00767A83">
        <w:rPr>
          <w:bCs/>
          <w:lang w:val="fr-FR"/>
        </w:rPr>
        <w:t xml:space="preserve">Le </w:t>
      </w:r>
      <w:r w:rsidRPr="00702497">
        <w:rPr>
          <w:b/>
          <w:lang w:val="fr-FR"/>
        </w:rPr>
        <w:t>directeur du CRESPIAL</w:t>
      </w:r>
      <w:r w:rsidRPr="00702497">
        <w:rPr>
          <w:rStyle w:val="FootnoteReference"/>
          <w:bCs/>
          <w:lang w:val="fr-FR"/>
        </w:rPr>
        <w:footnoteReference w:id="33"/>
      </w:r>
      <w:r w:rsidRPr="00767A83">
        <w:rPr>
          <w:bCs/>
          <w:lang w:val="fr-FR"/>
        </w:rPr>
        <w:t>, le centre de catégorie</w:t>
      </w:r>
      <w:r w:rsidR="00DB452B">
        <w:rPr>
          <w:bCs/>
          <w:lang w:val="fr-FR"/>
        </w:rPr>
        <w:t> </w:t>
      </w:r>
      <w:r w:rsidRPr="00767A83">
        <w:rPr>
          <w:bCs/>
          <w:lang w:val="fr-FR"/>
        </w:rPr>
        <w:t xml:space="preserve">2 </w:t>
      </w:r>
      <w:r w:rsidR="00DB452B">
        <w:rPr>
          <w:bCs/>
          <w:lang w:val="fr-FR"/>
        </w:rPr>
        <w:t>d</w:t>
      </w:r>
      <w:r w:rsidR="009F2E82">
        <w:rPr>
          <w:bCs/>
          <w:lang w:val="fr-FR"/>
        </w:rPr>
        <w:t>e l</w:t>
      </w:r>
      <w:r w:rsidR="00923E72">
        <w:rPr>
          <w:bCs/>
          <w:lang w:val="fr-FR"/>
        </w:rPr>
        <w:t>’</w:t>
      </w:r>
      <w:r w:rsidRPr="00767A83">
        <w:rPr>
          <w:bCs/>
          <w:lang w:val="fr-FR"/>
        </w:rPr>
        <w:t>Amérique latine, a remercié le Forum pour son rapport et a informé le Comité qu</w:t>
      </w:r>
      <w:r w:rsidR="00923E72">
        <w:rPr>
          <w:bCs/>
          <w:lang w:val="fr-FR"/>
        </w:rPr>
        <w:t>’</w:t>
      </w:r>
      <w:r w:rsidRPr="00767A83">
        <w:rPr>
          <w:bCs/>
          <w:lang w:val="fr-FR"/>
        </w:rPr>
        <w:t>il avait travaillé en collaboration avec le Forum pour préparer une session de formation destinée aux ONG d</w:t>
      </w:r>
      <w:r w:rsidR="00923E72">
        <w:rPr>
          <w:bCs/>
          <w:lang w:val="fr-FR"/>
        </w:rPr>
        <w:t>’</w:t>
      </w:r>
      <w:r w:rsidRPr="00767A83">
        <w:rPr>
          <w:bCs/>
          <w:lang w:val="fr-FR"/>
        </w:rPr>
        <w:t>Amérique latine afin de les aider à se familiariser avec le mécanisme d</w:t>
      </w:r>
      <w:r w:rsidR="00923E72">
        <w:rPr>
          <w:bCs/>
          <w:lang w:val="fr-FR"/>
        </w:rPr>
        <w:t>’</w:t>
      </w:r>
      <w:r w:rsidRPr="00767A83">
        <w:rPr>
          <w:bCs/>
          <w:lang w:val="fr-FR"/>
        </w:rPr>
        <w:t>accréditation</w:t>
      </w:r>
      <w:r w:rsidR="00652D12">
        <w:rPr>
          <w:bCs/>
          <w:lang w:val="fr-FR"/>
        </w:rPr>
        <w:t xml:space="preserve"> et </w:t>
      </w:r>
      <w:r w:rsidRPr="00767A83">
        <w:rPr>
          <w:bCs/>
          <w:lang w:val="fr-FR"/>
        </w:rPr>
        <w:t>qu</w:t>
      </w:r>
      <w:r w:rsidR="00923E72">
        <w:rPr>
          <w:bCs/>
          <w:lang w:val="fr-FR"/>
        </w:rPr>
        <w:t>’</w:t>
      </w:r>
      <w:r w:rsidRPr="00767A83">
        <w:rPr>
          <w:bCs/>
          <w:lang w:val="fr-FR"/>
        </w:rPr>
        <w:t>elles puissent faire partie du Forum</w:t>
      </w:r>
      <w:r w:rsidR="00652D12">
        <w:rPr>
          <w:bCs/>
          <w:lang w:val="fr-FR"/>
        </w:rPr>
        <w:t>,</w:t>
      </w:r>
      <w:r w:rsidRPr="00767A83">
        <w:rPr>
          <w:bCs/>
          <w:lang w:val="fr-FR"/>
        </w:rPr>
        <w:t xml:space="preserve"> et ainsi remédier au déséquilibre géographique. Le CRESPIAL unissait ses forces avec celles du Forum pour que les communautés d</w:t>
      </w:r>
      <w:r w:rsidR="00923E72">
        <w:rPr>
          <w:bCs/>
          <w:lang w:val="fr-FR"/>
        </w:rPr>
        <w:t>’</w:t>
      </w:r>
      <w:r w:rsidRPr="00767A83">
        <w:rPr>
          <w:bCs/>
          <w:lang w:val="fr-FR"/>
        </w:rPr>
        <w:t>Amérique latine travaillant avec les ONG soient représentées dans cet espace. Elle a profité de l</w:t>
      </w:r>
      <w:r w:rsidR="00923E72">
        <w:rPr>
          <w:bCs/>
          <w:lang w:val="fr-FR"/>
        </w:rPr>
        <w:t>’</w:t>
      </w:r>
      <w:r w:rsidRPr="00767A83">
        <w:rPr>
          <w:bCs/>
          <w:lang w:val="fr-FR"/>
        </w:rPr>
        <w:t>occasion pour remercier l</w:t>
      </w:r>
      <w:r w:rsidR="00923E72">
        <w:rPr>
          <w:bCs/>
          <w:lang w:val="fr-FR"/>
        </w:rPr>
        <w:t>’</w:t>
      </w:r>
      <w:r w:rsidRPr="00767A83">
        <w:rPr>
          <w:bCs/>
          <w:lang w:val="fr-FR"/>
        </w:rPr>
        <w:t>UNESCO et le Gouvernement du Pérou de permettre au CRESPIAL de mener à bien son travail.</w:t>
      </w:r>
    </w:p>
    <w:p w14:paraId="6C704C97" w14:textId="6ECC095F" w:rsidR="00652D12" w:rsidRDefault="00652D12" w:rsidP="00702497">
      <w:pPr>
        <w:pStyle w:val="Orateurengris"/>
        <w:numPr>
          <w:ilvl w:val="0"/>
          <w:numId w:val="21"/>
        </w:numPr>
        <w:tabs>
          <w:tab w:val="clear" w:pos="567"/>
          <w:tab w:val="clear" w:pos="1418"/>
          <w:tab w:val="clear" w:pos="2126"/>
          <w:tab w:val="clear" w:pos="2835"/>
          <w:tab w:val="num" w:pos="709"/>
          <w:tab w:val="left" w:pos="4962"/>
        </w:tabs>
        <w:spacing w:before="120" w:after="0"/>
        <w:ind w:left="709" w:hanging="709"/>
        <w:rPr>
          <w:rFonts w:eastAsia="Malgun Gothic"/>
          <w:bCs/>
          <w:lang w:val="fr-FR"/>
        </w:rPr>
      </w:pPr>
      <w:r w:rsidRPr="00652D12">
        <w:rPr>
          <w:rFonts w:eastAsia="Malgun Gothic"/>
          <w:bCs/>
          <w:lang w:val="fr-FR"/>
        </w:rPr>
        <w:t>Constatant qu</w:t>
      </w:r>
      <w:r w:rsidR="00923E72">
        <w:rPr>
          <w:rFonts w:eastAsia="Malgun Gothic"/>
          <w:bCs/>
          <w:lang w:val="fr-FR"/>
        </w:rPr>
        <w:t>’</w:t>
      </w:r>
      <w:r w:rsidRPr="00652D12">
        <w:rPr>
          <w:rFonts w:eastAsia="Malgun Gothic"/>
          <w:bCs/>
          <w:lang w:val="fr-FR"/>
        </w:rPr>
        <w:t>aucune autre demande de débat n</w:t>
      </w:r>
      <w:r w:rsidR="00923E72">
        <w:rPr>
          <w:rFonts w:eastAsia="Malgun Gothic"/>
          <w:bCs/>
          <w:lang w:val="fr-FR"/>
        </w:rPr>
        <w:t>’</w:t>
      </w:r>
      <w:r w:rsidRPr="00652D12">
        <w:rPr>
          <w:rFonts w:eastAsia="Malgun Gothic"/>
          <w:bCs/>
          <w:lang w:val="fr-FR"/>
        </w:rPr>
        <w:t xml:space="preserve">avait été reçue, le </w:t>
      </w:r>
      <w:r w:rsidRPr="00652D12">
        <w:rPr>
          <w:rFonts w:eastAsia="Malgun Gothic"/>
          <w:b/>
          <w:lang w:val="fr-FR"/>
        </w:rPr>
        <w:t>Président</w:t>
      </w:r>
      <w:r w:rsidRPr="00652D12">
        <w:rPr>
          <w:rFonts w:eastAsia="Malgun Gothic"/>
          <w:bCs/>
          <w:lang w:val="fr-FR"/>
        </w:rPr>
        <w:t xml:space="preserve"> est passé à l</w:t>
      </w:r>
      <w:r w:rsidR="00923E72">
        <w:rPr>
          <w:rFonts w:eastAsia="Malgun Gothic"/>
          <w:bCs/>
          <w:lang w:val="fr-FR"/>
        </w:rPr>
        <w:t>’</w:t>
      </w:r>
      <w:r w:rsidRPr="00652D12">
        <w:rPr>
          <w:rFonts w:eastAsia="Malgun Gothic"/>
          <w:bCs/>
          <w:lang w:val="fr-FR"/>
        </w:rPr>
        <w:t xml:space="preserve">adoption du projet de décision dans son ensemble. Le </w:t>
      </w:r>
      <w:r w:rsidRPr="00652D12">
        <w:rPr>
          <w:rFonts w:eastAsia="Malgun Gothic"/>
          <w:b/>
          <w:lang w:val="fr-FR"/>
        </w:rPr>
        <w:t>Président a déclaré la décision</w:t>
      </w:r>
      <w:r w:rsidR="00DB452B">
        <w:rPr>
          <w:rFonts w:eastAsia="Malgun Gothic"/>
          <w:b/>
          <w:lang w:val="fr-FR"/>
        </w:rPr>
        <w:t> </w:t>
      </w:r>
      <w:hyperlink r:id="rId95" w:history="1">
        <w:r w:rsidRPr="00702497">
          <w:rPr>
            <w:rStyle w:val="Hyperlink"/>
            <w:b/>
            <w:bCs/>
            <w:lang w:val="fr-FR"/>
          </w:rPr>
          <w:t>17.COM 9</w:t>
        </w:r>
      </w:hyperlink>
      <w:r w:rsidRPr="00702497">
        <w:rPr>
          <w:rStyle w:val="Hyperlink"/>
          <w:b/>
          <w:bCs/>
          <w:u w:val="none"/>
          <w:lang w:val="fr-FR"/>
        </w:rPr>
        <w:t xml:space="preserve"> </w:t>
      </w:r>
      <w:r w:rsidRPr="00702497">
        <w:rPr>
          <w:rStyle w:val="Hyperlink"/>
          <w:b/>
          <w:bCs/>
          <w:color w:val="auto"/>
          <w:u w:val="none"/>
          <w:lang w:val="fr-FR"/>
        </w:rPr>
        <w:t>adoptée</w:t>
      </w:r>
      <w:r w:rsidRPr="00702497">
        <w:rPr>
          <w:rFonts w:eastAsia="Malgun Gothic"/>
          <w:bCs/>
          <w:lang w:val="fr-FR"/>
        </w:rPr>
        <w:t>.</w:t>
      </w:r>
    </w:p>
    <w:p w14:paraId="0227DABA" w14:textId="77777777" w:rsidR="00652D12" w:rsidRPr="00652D12" w:rsidRDefault="00652D12" w:rsidP="00702497">
      <w:pPr>
        <w:pStyle w:val="Orateurengris"/>
        <w:tabs>
          <w:tab w:val="clear" w:pos="709"/>
          <w:tab w:val="clear" w:pos="1418"/>
          <w:tab w:val="clear" w:pos="2126"/>
          <w:tab w:val="clear" w:pos="2835"/>
          <w:tab w:val="left" w:pos="4962"/>
        </w:tabs>
        <w:spacing w:before="120" w:after="0"/>
        <w:rPr>
          <w:rFonts w:eastAsia="Malgun Gothic"/>
          <w:bCs/>
          <w:lang w:val="fr-FR"/>
        </w:rPr>
      </w:pPr>
    </w:p>
    <w:p w14:paraId="4DFED288" w14:textId="24907787" w:rsidR="00652D12" w:rsidRPr="00702497" w:rsidRDefault="00652D12" w:rsidP="00652D12">
      <w:pPr>
        <w:pStyle w:val="Marge"/>
        <w:keepNext/>
        <w:tabs>
          <w:tab w:val="clear" w:pos="567"/>
          <w:tab w:val="left" w:pos="709"/>
          <w:tab w:val="left" w:pos="1418"/>
          <w:tab w:val="left" w:pos="2126"/>
          <w:tab w:val="left" w:pos="2835"/>
        </w:tabs>
        <w:spacing w:before="360" w:after="60"/>
        <w:ind w:left="567" w:hanging="567"/>
        <w:jc w:val="left"/>
        <w:outlineLvl w:val="0"/>
        <w:rPr>
          <w:rFonts w:eastAsiaTheme="minorHAnsi"/>
          <w:bCs/>
          <w:color w:val="000000" w:themeColor="text1"/>
        </w:rPr>
      </w:pPr>
      <w:r w:rsidRPr="00652D12">
        <w:rPr>
          <w:rFonts w:eastAsiaTheme="minorHAnsi"/>
          <w:b/>
          <w:color w:val="000000" w:themeColor="text1"/>
          <w:u w:val="single"/>
        </w:rPr>
        <w:t>POINT</w:t>
      </w:r>
      <w:r w:rsidR="006773EF">
        <w:rPr>
          <w:rFonts w:eastAsiaTheme="minorHAnsi"/>
          <w:b/>
          <w:color w:val="000000" w:themeColor="text1"/>
          <w:u w:val="single"/>
        </w:rPr>
        <w:t> </w:t>
      </w:r>
      <w:r w:rsidRPr="00652D12">
        <w:rPr>
          <w:rFonts w:eastAsiaTheme="minorHAnsi"/>
          <w:b/>
          <w:color w:val="000000" w:themeColor="text1"/>
          <w:u w:val="single"/>
        </w:rPr>
        <w:t>10 DE L</w:t>
      </w:r>
      <w:r w:rsidR="00923E72">
        <w:rPr>
          <w:rFonts w:eastAsiaTheme="minorHAnsi"/>
          <w:b/>
          <w:color w:val="000000" w:themeColor="text1"/>
          <w:u w:val="single"/>
        </w:rPr>
        <w:t>’</w:t>
      </w:r>
      <w:r w:rsidRPr="00652D12">
        <w:rPr>
          <w:rFonts w:eastAsiaTheme="minorHAnsi"/>
          <w:b/>
          <w:color w:val="000000" w:themeColor="text1"/>
          <w:u w:val="single"/>
        </w:rPr>
        <w:t>ORDRE DU JOUR</w:t>
      </w:r>
      <w:r w:rsidRPr="00652D12">
        <w:rPr>
          <w:rFonts w:eastAsiaTheme="minorHAnsi"/>
          <w:b/>
          <w:color w:val="000000" w:themeColor="text1"/>
        </w:rPr>
        <w:t> </w:t>
      </w:r>
      <w:r w:rsidRPr="00652D12">
        <w:rPr>
          <w:rFonts w:eastAsiaTheme="minorHAnsi"/>
          <w:bCs/>
          <w:color w:val="000000" w:themeColor="text1"/>
        </w:rPr>
        <w:t>:</w:t>
      </w:r>
    </w:p>
    <w:p w14:paraId="43DF97C1" w14:textId="55462CD1" w:rsidR="00652D12" w:rsidRPr="00702497" w:rsidRDefault="00652D12" w:rsidP="00652D12">
      <w:pPr>
        <w:pStyle w:val="Orateurengris"/>
        <w:tabs>
          <w:tab w:val="clear" w:pos="709"/>
          <w:tab w:val="clear" w:pos="1418"/>
          <w:tab w:val="clear" w:pos="2126"/>
          <w:tab w:val="clear" w:pos="2835"/>
        </w:tabs>
        <w:spacing w:after="0"/>
        <w:outlineLvl w:val="0"/>
        <w:rPr>
          <w:b/>
          <w:color w:val="000000" w:themeColor="text1"/>
          <w:lang w:val="fr-FR"/>
        </w:rPr>
      </w:pPr>
      <w:r w:rsidRPr="00652D12">
        <w:rPr>
          <w:b/>
          <w:color w:val="000000" w:themeColor="text1"/>
          <w:lang w:val="fr-FR"/>
        </w:rPr>
        <w:t xml:space="preserve">POINT SUR LA RÉFLEXION </w:t>
      </w:r>
      <w:r>
        <w:rPr>
          <w:b/>
          <w:color w:val="000000" w:themeColor="text1"/>
          <w:lang w:val="fr-FR"/>
        </w:rPr>
        <w:t>S</w:t>
      </w:r>
      <w:r w:rsidRPr="00652D12">
        <w:rPr>
          <w:b/>
          <w:color w:val="000000" w:themeColor="text1"/>
          <w:lang w:val="fr-FR"/>
        </w:rPr>
        <w:t>UR L</w:t>
      </w:r>
      <w:r>
        <w:rPr>
          <w:b/>
          <w:color w:val="000000" w:themeColor="text1"/>
          <w:lang w:val="fr-FR"/>
        </w:rPr>
        <w:t>A</w:t>
      </w:r>
      <w:r w:rsidRPr="00652D12">
        <w:rPr>
          <w:b/>
          <w:color w:val="000000" w:themeColor="text1"/>
          <w:lang w:val="fr-FR"/>
        </w:rPr>
        <w:t xml:space="preserve"> </w:t>
      </w:r>
      <w:r>
        <w:rPr>
          <w:b/>
          <w:color w:val="000000" w:themeColor="text1"/>
          <w:lang w:val="fr-FR"/>
        </w:rPr>
        <w:t>MISE EN ŒUVRE PLUS LARGE DE L</w:t>
      </w:r>
      <w:r w:rsidR="00923E72">
        <w:rPr>
          <w:b/>
          <w:color w:val="000000" w:themeColor="text1"/>
          <w:lang w:val="fr-FR"/>
        </w:rPr>
        <w:t>’</w:t>
      </w:r>
      <w:r>
        <w:rPr>
          <w:b/>
          <w:color w:val="000000" w:themeColor="text1"/>
          <w:lang w:val="fr-FR"/>
        </w:rPr>
        <w:t xml:space="preserve">ARTICLE 18 DE LA </w:t>
      </w:r>
      <w:r w:rsidRPr="00652D12">
        <w:rPr>
          <w:b/>
          <w:color w:val="000000" w:themeColor="text1"/>
          <w:lang w:val="fr-FR"/>
        </w:rPr>
        <w:t>CONVENTION</w:t>
      </w:r>
    </w:p>
    <w:p w14:paraId="73CDAA9D" w14:textId="389DD76E" w:rsidR="00652D12" w:rsidRPr="00652D12" w:rsidRDefault="00652D12" w:rsidP="00652D12">
      <w:pPr>
        <w:pStyle w:val="Orateurengris"/>
        <w:tabs>
          <w:tab w:val="clear" w:pos="709"/>
          <w:tab w:val="clear" w:pos="1418"/>
          <w:tab w:val="clear" w:pos="2126"/>
          <w:tab w:val="clear" w:pos="2835"/>
        </w:tabs>
        <w:spacing w:after="0"/>
        <w:ind w:left="709"/>
        <w:rPr>
          <w:lang w:val="fr-FR"/>
        </w:rPr>
      </w:pPr>
      <w:r w:rsidRPr="00652D12">
        <w:rPr>
          <w:b/>
          <w:color w:val="000000" w:themeColor="text1"/>
          <w:lang w:val="fr-FR"/>
        </w:rPr>
        <w:t>Document</w:t>
      </w:r>
      <w:r>
        <w:rPr>
          <w:b/>
          <w:color w:val="000000" w:themeColor="text1"/>
          <w:lang w:val="fr-FR"/>
        </w:rPr>
        <w:t> :</w:t>
      </w:r>
      <w:r w:rsidRPr="00652D12">
        <w:rPr>
          <w:b/>
          <w:iCs/>
          <w:color w:val="000000" w:themeColor="text1"/>
          <w:lang w:val="fr-FR"/>
        </w:rPr>
        <w:tab/>
      </w:r>
      <w:hyperlink r:id="rId96" w:history="1">
        <w:r w:rsidRPr="00652D12">
          <w:rPr>
            <w:rStyle w:val="Hyperlink"/>
            <w:i/>
            <w:lang w:val="fr-FR"/>
          </w:rPr>
          <w:t>LHE/22/17.COM/10</w:t>
        </w:r>
      </w:hyperlink>
    </w:p>
    <w:p w14:paraId="341751A1" w14:textId="0796CECC" w:rsidR="00652D12" w:rsidRPr="00652D12" w:rsidRDefault="00652D12" w:rsidP="00652D12">
      <w:pPr>
        <w:pStyle w:val="Orateurengris"/>
        <w:tabs>
          <w:tab w:val="clear" w:pos="709"/>
          <w:tab w:val="clear" w:pos="1418"/>
          <w:tab w:val="clear" w:pos="2126"/>
          <w:tab w:val="clear" w:pos="2835"/>
        </w:tabs>
        <w:spacing w:before="60" w:after="240"/>
        <w:ind w:left="709"/>
        <w:rPr>
          <w:i/>
          <w:lang w:val="fr-FR"/>
        </w:rPr>
      </w:pPr>
      <w:r w:rsidRPr="00702497">
        <w:rPr>
          <w:rFonts w:cs="Times New Roman"/>
          <w:b/>
          <w:snapToGrid/>
          <w:color w:val="000000" w:themeColor="text1"/>
          <w:szCs w:val="24"/>
          <w:lang w:val="fr-FR"/>
        </w:rPr>
        <w:t>D</w:t>
      </w:r>
      <w:r>
        <w:rPr>
          <w:rFonts w:cs="Times New Roman"/>
          <w:b/>
          <w:snapToGrid/>
          <w:color w:val="000000" w:themeColor="text1"/>
          <w:szCs w:val="24"/>
          <w:lang w:val="fr-FR"/>
        </w:rPr>
        <w:t>é</w:t>
      </w:r>
      <w:r w:rsidRPr="00702497">
        <w:rPr>
          <w:rFonts w:cs="Times New Roman"/>
          <w:b/>
          <w:snapToGrid/>
          <w:color w:val="000000" w:themeColor="text1"/>
          <w:szCs w:val="24"/>
          <w:lang w:val="fr-FR"/>
        </w:rPr>
        <w:t>cision</w:t>
      </w:r>
      <w:r>
        <w:rPr>
          <w:rFonts w:cs="Times New Roman"/>
          <w:b/>
          <w:snapToGrid/>
          <w:color w:val="000000" w:themeColor="text1"/>
          <w:szCs w:val="24"/>
          <w:lang w:val="fr-FR"/>
        </w:rPr>
        <w:t> :</w:t>
      </w:r>
      <w:r w:rsidRPr="00652D12">
        <w:rPr>
          <w:bCs/>
          <w:color w:val="000000" w:themeColor="text1"/>
          <w:lang w:val="fr-FR"/>
        </w:rPr>
        <w:tab/>
      </w:r>
      <w:hyperlink r:id="rId97" w:history="1">
        <w:r w:rsidRPr="00652D12">
          <w:rPr>
            <w:rStyle w:val="Hyperlink"/>
            <w:i/>
            <w:lang w:val="fr-FR"/>
          </w:rPr>
          <w:t>17.COM</w:t>
        </w:r>
        <w:r w:rsidR="00CF319C">
          <w:rPr>
            <w:rStyle w:val="Hyperlink"/>
            <w:i/>
            <w:lang w:val="fr-FR"/>
          </w:rPr>
          <w:t> </w:t>
        </w:r>
        <w:r w:rsidRPr="00652D12">
          <w:rPr>
            <w:rStyle w:val="Hyperlink"/>
            <w:i/>
            <w:lang w:val="fr-FR"/>
          </w:rPr>
          <w:t>10</w:t>
        </w:r>
      </w:hyperlink>
    </w:p>
    <w:p w14:paraId="34282A30" w14:textId="1DE78A7E" w:rsidR="00767A83" w:rsidRDefault="00652D12">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à un point important de l</w:t>
      </w:r>
      <w:r w:rsidR="00923E72">
        <w:rPr>
          <w:bCs/>
          <w:lang w:val="fr-FR"/>
        </w:rPr>
        <w:t>’</w:t>
      </w:r>
      <w:r w:rsidRPr="00652D12">
        <w:rPr>
          <w:bCs/>
          <w:lang w:val="fr-FR"/>
        </w:rPr>
        <w:t>ordre du jour</w:t>
      </w:r>
      <w:r>
        <w:rPr>
          <w:bCs/>
          <w:lang w:val="fr-FR"/>
        </w:rPr>
        <w:t>, le point 10, le point sur la réflexion sur la mise en œuvre plus large de l</w:t>
      </w:r>
      <w:r w:rsidR="00923E72">
        <w:rPr>
          <w:bCs/>
          <w:lang w:val="fr-FR"/>
        </w:rPr>
        <w:t>’</w:t>
      </w:r>
      <w:r w:rsidRPr="00652D12">
        <w:rPr>
          <w:bCs/>
          <w:lang w:val="fr-FR"/>
        </w:rPr>
        <w:t>article</w:t>
      </w:r>
      <w:r>
        <w:rPr>
          <w:bCs/>
          <w:lang w:val="fr-FR"/>
        </w:rPr>
        <w:t xml:space="preserve"> 18 de la </w:t>
      </w:r>
      <w:r w:rsidRPr="00652D12">
        <w:rPr>
          <w:bCs/>
          <w:lang w:val="fr-FR"/>
        </w:rPr>
        <w:t>Convention</w:t>
      </w:r>
      <w:r>
        <w:rPr>
          <w:bCs/>
          <w:lang w:val="fr-FR"/>
        </w:rPr>
        <w:t>.</w:t>
      </w:r>
    </w:p>
    <w:p w14:paraId="04796ADC" w14:textId="7ADAFE37" w:rsidR="00652D12" w:rsidRDefault="00652D12">
      <w:pPr>
        <w:pStyle w:val="Orateurengris"/>
        <w:numPr>
          <w:ilvl w:val="0"/>
          <w:numId w:val="20"/>
        </w:numPr>
        <w:tabs>
          <w:tab w:val="clear" w:pos="567"/>
          <w:tab w:val="left" w:pos="5954"/>
        </w:tabs>
        <w:spacing w:before="120"/>
        <w:ind w:left="709" w:hanging="709"/>
        <w:rPr>
          <w:bCs/>
          <w:lang w:val="fr-FR"/>
        </w:rPr>
      </w:pPr>
      <w:r w:rsidRPr="00652D12">
        <w:rPr>
          <w:bCs/>
          <w:lang w:val="fr-FR"/>
        </w:rPr>
        <w:t xml:space="preserve">Le </w:t>
      </w:r>
      <w:r w:rsidRPr="00702497">
        <w:rPr>
          <w:b/>
          <w:lang w:val="fr-FR"/>
        </w:rPr>
        <w:t>Secrétaire</w:t>
      </w:r>
      <w:r w:rsidRPr="00652D12">
        <w:rPr>
          <w:bCs/>
          <w:lang w:val="fr-FR"/>
        </w:rPr>
        <w:t xml:space="preserve"> a rappelé que ce point était un résultat de la réflexion globale sur les mécanismes d</w:t>
      </w:r>
      <w:r w:rsidR="00923E72">
        <w:rPr>
          <w:bCs/>
          <w:lang w:val="fr-FR"/>
        </w:rPr>
        <w:t>’</w:t>
      </w:r>
      <w:r w:rsidRPr="00652D12">
        <w:rPr>
          <w:bCs/>
          <w:lang w:val="fr-FR"/>
        </w:rPr>
        <w:t>inscription de la Convention. En effet, dans le cadre des discussions de sa seizième session, le Comité avait décidé d</w:t>
      </w:r>
      <w:r w:rsidR="00923E72">
        <w:rPr>
          <w:bCs/>
          <w:lang w:val="fr-FR"/>
        </w:rPr>
        <w:t>’</w:t>
      </w:r>
      <w:r w:rsidRPr="00652D12">
        <w:rPr>
          <w:bCs/>
          <w:lang w:val="fr-FR"/>
        </w:rPr>
        <w:t>entamer une nouvelle réflexion pour une mise en œuvre plus large de l</w:t>
      </w:r>
      <w:r w:rsidR="00923E72">
        <w:rPr>
          <w:bCs/>
          <w:lang w:val="fr-FR"/>
        </w:rPr>
        <w:t>’</w:t>
      </w:r>
      <w:r w:rsidRPr="00652D12">
        <w:rPr>
          <w:bCs/>
          <w:lang w:val="fr-FR"/>
        </w:rPr>
        <w:t>article</w:t>
      </w:r>
      <w:r w:rsidR="006773EF">
        <w:rPr>
          <w:bCs/>
          <w:lang w:val="fr-FR"/>
        </w:rPr>
        <w:t> </w:t>
      </w:r>
      <w:r w:rsidRPr="00652D12">
        <w:rPr>
          <w:bCs/>
          <w:lang w:val="fr-FR"/>
        </w:rPr>
        <w:t xml:space="preserve">18 de la Convention, ce qui était rendu possible grâce à la généreuse contribution de la Suède. </w:t>
      </w:r>
      <w:r w:rsidR="00723470">
        <w:rPr>
          <w:bCs/>
          <w:lang w:val="fr-FR"/>
        </w:rPr>
        <w:t>Aux termes de</w:t>
      </w:r>
      <w:r w:rsidRPr="00652D12">
        <w:rPr>
          <w:bCs/>
          <w:lang w:val="fr-FR"/>
        </w:rPr>
        <w:t xml:space="preserve"> l</w:t>
      </w:r>
      <w:r w:rsidR="00923E72">
        <w:rPr>
          <w:bCs/>
          <w:lang w:val="fr-FR"/>
        </w:rPr>
        <w:t>’</w:t>
      </w:r>
      <w:r w:rsidRPr="00652D12">
        <w:rPr>
          <w:bCs/>
          <w:lang w:val="fr-FR"/>
        </w:rPr>
        <w:t>article</w:t>
      </w:r>
      <w:r w:rsidR="00723470">
        <w:rPr>
          <w:bCs/>
          <w:lang w:val="fr-FR"/>
        </w:rPr>
        <w:t> </w:t>
      </w:r>
      <w:r w:rsidRPr="00652D12">
        <w:rPr>
          <w:bCs/>
          <w:lang w:val="fr-FR"/>
        </w:rPr>
        <w:t xml:space="preserve">18 de la Convention, le Comité </w:t>
      </w:r>
      <w:r w:rsidR="0091603C">
        <w:rPr>
          <w:bCs/>
          <w:lang w:val="fr-FR"/>
        </w:rPr>
        <w:t>« </w:t>
      </w:r>
      <w:r w:rsidRPr="00652D12">
        <w:rPr>
          <w:bCs/>
          <w:lang w:val="fr-FR"/>
        </w:rPr>
        <w:t xml:space="preserve">sélectionne </w:t>
      </w:r>
      <w:r w:rsidR="0091603C">
        <w:rPr>
          <w:bCs/>
          <w:lang w:val="fr-FR"/>
        </w:rPr>
        <w:t xml:space="preserve">périodiquement </w:t>
      </w:r>
      <w:r w:rsidRPr="00652D12">
        <w:rPr>
          <w:bCs/>
          <w:lang w:val="fr-FR"/>
        </w:rPr>
        <w:t xml:space="preserve">et </w:t>
      </w:r>
      <w:r w:rsidR="0091603C">
        <w:rPr>
          <w:bCs/>
          <w:lang w:val="fr-FR"/>
        </w:rPr>
        <w:t>fait la promotion d</w:t>
      </w:r>
      <w:r w:rsidRPr="00652D12">
        <w:rPr>
          <w:bCs/>
          <w:lang w:val="fr-FR"/>
        </w:rPr>
        <w:t xml:space="preserve">es programmes, projets et activités </w:t>
      </w:r>
      <w:r w:rsidR="0091603C">
        <w:rPr>
          <w:bCs/>
          <w:lang w:val="fr-FR"/>
        </w:rPr>
        <w:t xml:space="preserve">de caractère </w:t>
      </w:r>
      <w:r w:rsidRPr="00652D12">
        <w:rPr>
          <w:bCs/>
          <w:lang w:val="fr-FR"/>
        </w:rPr>
        <w:t>nationa</w:t>
      </w:r>
      <w:r w:rsidR="0091603C">
        <w:rPr>
          <w:bCs/>
          <w:lang w:val="fr-FR"/>
        </w:rPr>
        <w:t>l</w:t>
      </w:r>
      <w:r w:rsidRPr="00652D12">
        <w:rPr>
          <w:bCs/>
          <w:lang w:val="fr-FR"/>
        </w:rPr>
        <w:t>, sous-régiona</w:t>
      </w:r>
      <w:r w:rsidR="0091603C">
        <w:rPr>
          <w:bCs/>
          <w:lang w:val="fr-FR"/>
        </w:rPr>
        <w:t>l</w:t>
      </w:r>
      <w:r w:rsidRPr="00652D12">
        <w:rPr>
          <w:bCs/>
          <w:lang w:val="fr-FR"/>
        </w:rPr>
        <w:t xml:space="preserve"> </w:t>
      </w:r>
      <w:r w:rsidR="0091603C">
        <w:rPr>
          <w:bCs/>
          <w:lang w:val="fr-FR"/>
        </w:rPr>
        <w:t>ou</w:t>
      </w:r>
      <w:r w:rsidRPr="00652D12">
        <w:rPr>
          <w:bCs/>
          <w:lang w:val="fr-FR"/>
        </w:rPr>
        <w:t xml:space="preserve"> régiona</w:t>
      </w:r>
      <w:r w:rsidR="0091603C">
        <w:rPr>
          <w:bCs/>
          <w:lang w:val="fr-FR"/>
        </w:rPr>
        <w:t>l</w:t>
      </w:r>
      <w:r w:rsidRPr="00652D12">
        <w:rPr>
          <w:bCs/>
          <w:lang w:val="fr-FR"/>
        </w:rPr>
        <w:t xml:space="preserve"> de sauvegarde du patrimoine qu</w:t>
      </w:r>
      <w:r w:rsidR="00923E72">
        <w:rPr>
          <w:bCs/>
          <w:lang w:val="fr-FR"/>
        </w:rPr>
        <w:t>’</w:t>
      </w:r>
      <w:r w:rsidRPr="00652D12">
        <w:rPr>
          <w:bCs/>
          <w:lang w:val="fr-FR"/>
        </w:rPr>
        <w:t xml:space="preserve">il </w:t>
      </w:r>
      <w:r w:rsidR="0091603C">
        <w:rPr>
          <w:bCs/>
          <w:lang w:val="fr-FR"/>
        </w:rPr>
        <w:t xml:space="preserve">estime </w:t>
      </w:r>
      <w:r w:rsidRPr="00652D12">
        <w:rPr>
          <w:bCs/>
          <w:lang w:val="fr-FR"/>
        </w:rPr>
        <w:t>reflét</w:t>
      </w:r>
      <w:r w:rsidR="0091603C">
        <w:rPr>
          <w:bCs/>
          <w:lang w:val="fr-FR"/>
        </w:rPr>
        <w:t>er</w:t>
      </w:r>
      <w:r w:rsidRPr="00652D12">
        <w:rPr>
          <w:bCs/>
          <w:lang w:val="fr-FR"/>
        </w:rPr>
        <w:t xml:space="preserve"> le mieux les principes et objectifs de la présente Convention</w:t>
      </w:r>
      <w:r w:rsidR="0091603C">
        <w:rPr>
          <w:bCs/>
          <w:lang w:val="fr-FR"/>
        </w:rPr>
        <w:t> »</w:t>
      </w:r>
      <w:r w:rsidRPr="00652D12">
        <w:rPr>
          <w:bCs/>
          <w:lang w:val="fr-FR"/>
        </w:rPr>
        <w:t>. Afin de mettre en œuvre cette disposition, un mécanisme de Registre de bonnes pratiques de sauvegarde avait été mis en place en 2009, peu après l</w:t>
      </w:r>
      <w:r w:rsidR="00923E72">
        <w:rPr>
          <w:bCs/>
          <w:lang w:val="fr-FR"/>
        </w:rPr>
        <w:t>’</w:t>
      </w:r>
      <w:r w:rsidRPr="00652D12">
        <w:rPr>
          <w:bCs/>
          <w:lang w:val="fr-FR"/>
        </w:rPr>
        <w:t>entrée en vigueur de la Convention. Toutefois, le Comité avait souligné à maintes reprises que le Registre était nettement sous-utilisé par rapport aux deux autres listes de la Convention. Cette question avait été soulevée à nouveau lors de la réflexion globale sur les mécanismes d</w:t>
      </w:r>
      <w:r w:rsidR="00923E72">
        <w:rPr>
          <w:bCs/>
          <w:lang w:val="fr-FR"/>
        </w:rPr>
        <w:t>’</w:t>
      </w:r>
      <w:r w:rsidRPr="00652D12">
        <w:rPr>
          <w:bCs/>
          <w:lang w:val="fr-FR"/>
        </w:rPr>
        <w:t>inscription. Il avait donc été demandé au Comité d</w:t>
      </w:r>
      <w:r w:rsidR="00923E72">
        <w:rPr>
          <w:bCs/>
          <w:lang w:val="fr-FR"/>
        </w:rPr>
        <w:t>’</w:t>
      </w:r>
      <w:r w:rsidRPr="00652D12">
        <w:rPr>
          <w:bCs/>
          <w:lang w:val="fr-FR"/>
        </w:rPr>
        <w:t xml:space="preserve">établir de manière formelle les principaux </w:t>
      </w:r>
      <w:r w:rsidR="0091603C">
        <w:rPr>
          <w:bCs/>
          <w:lang w:val="fr-FR"/>
        </w:rPr>
        <w:t xml:space="preserve">sujets </w:t>
      </w:r>
      <w:r w:rsidRPr="00652D12">
        <w:rPr>
          <w:bCs/>
          <w:lang w:val="fr-FR"/>
        </w:rPr>
        <w:t>de réflexion initiale sur la mise en œuvre plus large de l</w:t>
      </w:r>
      <w:r w:rsidR="00923E72">
        <w:rPr>
          <w:bCs/>
          <w:lang w:val="fr-FR"/>
        </w:rPr>
        <w:t>’</w:t>
      </w:r>
      <w:r w:rsidRPr="00652D12">
        <w:rPr>
          <w:bCs/>
          <w:lang w:val="fr-FR"/>
        </w:rPr>
        <w:t>article</w:t>
      </w:r>
      <w:r w:rsidR="00723470">
        <w:rPr>
          <w:bCs/>
          <w:lang w:val="fr-FR"/>
        </w:rPr>
        <w:t> </w:t>
      </w:r>
      <w:r w:rsidRPr="00652D12">
        <w:rPr>
          <w:bCs/>
          <w:lang w:val="fr-FR"/>
        </w:rPr>
        <w:t xml:space="preserve">18 de la Convention. </w:t>
      </w:r>
      <w:r w:rsidR="00DB317F" w:rsidRPr="006E3034">
        <w:rPr>
          <w:bCs/>
          <w:lang w:val="fr-FR"/>
        </w:rPr>
        <w:t>A</w:t>
      </w:r>
      <w:r w:rsidRPr="006E3034">
        <w:rPr>
          <w:bCs/>
          <w:lang w:val="fr-FR"/>
        </w:rPr>
        <w:t>mélior</w:t>
      </w:r>
      <w:r w:rsidR="0091603C" w:rsidRPr="006E3034">
        <w:rPr>
          <w:bCs/>
          <w:lang w:val="fr-FR"/>
        </w:rPr>
        <w:t>er</w:t>
      </w:r>
      <w:r w:rsidRPr="006E3034">
        <w:rPr>
          <w:bCs/>
          <w:lang w:val="fr-FR"/>
        </w:rPr>
        <w:t xml:space="preserve"> l</w:t>
      </w:r>
      <w:r w:rsidR="00923E72" w:rsidRPr="006E3034">
        <w:rPr>
          <w:bCs/>
          <w:lang w:val="fr-FR"/>
        </w:rPr>
        <w:t>’</w:t>
      </w:r>
      <w:r w:rsidRPr="006E3034">
        <w:rPr>
          <w:bCs/>
          <w:lang w:val="fr-FR"/>
        </w:rPr>
        <w:t xml:space="preserve">accès </w:t>
      </w:r>
      <w:r w:rsidR="0091603C" w:rsidRPr="006E3034">
        <w:rPr>
          <w:bCs/>
          <w:lang w:val="fr-FR"/>
        </w:rPr>
        <w:t>et augmenter la visibilité du</w:t>
      </w:r>
      <w:r w:rsidRPr="006E3034">
        <w:rPr>
          <w:bCs/>
          <w:lang w:val="fr-FR"/>
        </w:rPr>
        <w:t xml:space="preserve"> Registre de bonnes pratiques de sauvegarde</w:t>
      </w:r>
      <w:r w:rsidR="00DB317F">
        <w:rPr>
          <w:bCs/>
          <w:lang w:val="fr-FR"/>
        </w:rPr>
        <w:t>,</w:t>
      </w:r>
      <w:r w:rsidRPr="00652D12">
        <w:rPr>
          <w:bCs/>
          <w:lang w:val="fr-FR"/>
        </w:rPr>
        <w:t xml:space="preserve"> dans le but d</w:t>
      </w:r>
      <w:r w:rsidR="00923E72">
        <w:rPr>
          <w:bCs/>
          <w:lang w:val="fr-FR"/>
        </w:rPr>
        <w:t>’</w:t>
      </w:r>
      <w:r w:rsidRPr="00652D12">
        <w:rPr>
          <w:bCs/>
          <w:lang w:val="fr-FR"/>
        </w:rPr>
        <w:t>améliorer l</w:t>
      </w:r>
      <w:r w:rsidR="00923E72">
        <w:rPr>
          <w:bCs/>
          <w:lang w:val="fr-FR"/>
        </w:rPr>
        <w:t>’</w:t>
      </w:r>
      <w:r w:rsidRPr="00652D12">
        <w:rPr>
          <w:bCs/>
          <w:lang w:val="fr-FR"/>
        </w:rPr>
        <w:t>utilisation du Registre lui-même</w:t>
      </w:r>
      <w:r w:rsidR="00DB317F">
        <w:rPr>
          <w:bCs/>
          <w:lang w:val="fr-FR"/>
        </w:rPr>
        <w:t>, était le premier sujet</w:t>
      </w:r>
      <w:r w:rsidRPr="00652D12">
        <w:rPr>
          <w:bCs/>
          <w:lang w:val="fr-FR"/>
        </w:rPr>
        <w:t xml:space="preserve">. Lors de la réflexion globale, le critère de </w:t>
      </w:r>
      <w:r w:rsidRPr="00652D12">
        <w:rPr>
          <w:bCs/>
          <w:lang w:val="fr-FR"/>
        </w:rPr>
        <w:lastRenderedPageBreak/>
        <w:t>sélection</w:t>
      </w:r>
      <w:r w:rsidR="00B97E81">
        <w:rPr>
          <w:bCs/>
          <w:lang w:val="fr-FR"/>
        </w:rPr>
        <w:t> </w:t>
      </w:r>
      <w:r w:rsidRPr="00652D12">
        <w:rPr>
          <w:bCs/>
          <w:lang w:val="fr-FR"/>
        </w:rPr>
        <w:t>P.9</w:t>
      </w:r>
      <w:r w:rsidR="00B97E81">
        <w:rPr>
          <w:rStyle w:val="FootnoteReference"/>
          <w:bCs/>
          <w:lang w:val="fr-FR"/>
        </w:rPr>
        <w:footnoteReference w:id="34"/>
      </w:r>
      <w:r w:rsidRPr="00652D12">
        <w:rPr>
          <w:bCs/>
          <w:lang w:val="fr-FR"/>
        </w:rPr>
        <w:t xml:space="preserve"> avait fait l</w:t>
      </w:r>
      <w:r w:rsidR="00923E72">
        <w:rPr>
          <w:bCs/>
          <w:lang w:val="fr-FR"/>
        </w:rPr>
        <w:t>’</w:t>
      </w:r>
      <w:r w:rsidRPr="00652D12">
        <w:rPr>
          <w:bCs/>
          <w:lang w:val="fr-FR"/>
        </w:rPr>
        <w:t>objet d</w:t>
      </w:r>
      <w:r w:rsidR="00923E72">
        <w:rPr>
          <w:bCs/>
          <w:lang w:val="fr-FR"/>
        </w:rPr>
        <w:t>’</w:t>
      </w:r>
      <w:r w:rsidRPr="00652D12">
        <w:rPr>
          <w:bCs/>
          <w:lang w:val="fr-FR"/>
        </w:rPr>
        <w:t>une discussion et il avait été décidé de le supprimer. Toutefois, le groupe de travail à composition non limitée avait estimé qu</w:t>
      </w:r>
      <w:r w:rsidR="00923E72">
        <w:rPr>
          <w:bCs/>
          <w:lang w:val="fr-FR"/>
        </w:rPr>
        <w:t>’</w:t>
      </w:r>
      <w:r w:rsidRPr="00652D12">
        <w:rPr>
          <w:bCs/>
          <w:lang w:val="fr-FR"/>
        </w:rPr>
        <w:t>une discussion plus approfondie était nécessaire pour les autres critères. La possibilité de réduire ou d</w:t>
      </w:r>
      <w:r w:rsidR="00923E72">
        <w:rPr>
          <w:bCs/>
          <w:lang w:val="fr-FR"/>
        </w:rPr>
        <w:t>’</w:t>
      </w:r>
      <w:r w:rsidRPr="00652D12">
        <w:rPr>
          <w:bCs/>
          <w:lang w:val="fr-FR"/>
        </w:rPr>
        <w:t>affiner les critères pouvait donc être abordée dans le cadre de la nouvelle réflexion.</w:t>
      </w:r>
    </w:p>
    <w:p w14:paraId="0446890C" w14:textId="7893F552" w:rsidR="00B97E81" w:rsidRDefault="00B97E81" w:rsidP="00702497">
      <w:pPr>
        <w:pStyle w:val="Orateurengris"/>
        <w:numPr>
          <w:ilvl w:val="0"/>
          <w:numId w:val="20"/>
        </w:numPr>
        <w:tabs>
          <w:tab w:val="clear" w:pos="567"/>
          <w:tab w:val="left" w:pos="5954"/>
        </w:tabs>
        <w:spacing w:before="120"/>
        <w:ind w:left="709" w:hanging="709"/>
        <w:rPr>
          <w:bCs/>
          <w:lang w:val="fr-FR"/>
        </w:rPr>
      </w:pPr>
      <w:r w:rsidRPr="00B97E81">
        <w:rPr>
          <w:bCs/>
          <w:lang w:val="fr-FR"/>
        </w:rPr>
        <w:t xml:space="preserve">Le </w:t>
      </w:r>
      <w:r w:rsidRPr="00702497">
        <w:rPr>
          <w:b/>
          <w:lang w:val="fr-FR"/>
        </w:rPr>
        <w:t>Secrétaire</w:t>
      </w:r>
      <w:r w:rsidRPr="00B97E81">
        <w:rPr>
          <w:bCs/>
          <w:lang w:val="fr-FR"/>
        </w:rPr>
        <w:t xml:space="preserve"> a expliqué que le deuxième sujet concernait la possibilité de </w:t>
      </w:r>
      <w:r w:rsidRPr="006E3034">
        <w:rPr>
          <w:bCs/>
          <w:lang w:val="fr-FR"/>
        </w:rPr>
        <w:t xml:space="preserve">créer un </w:t>
      </w:r>
      <w:r w:rsidR="00DB317F" w:rsidRPr="006E3034">
        <w:rPr>
          <w:bCs/>
          <w:lang w:val="fr-FR"/>
        </w:rPr>
        <w:t>« </w:t>
      </w:r>
      <w:r w:rsidRPr="006E3034">
        <w:rPr>
          <w:bCs/>
          <w:lang w:val="fr-FR"/>
        </w:rPr>
        <w:t>observatoire</w:t>
      </w:r>
      <w:r w:rsidR="00DB317F" w:rsidRPr="006E3034">
        <w:rPr>
          <w:bCs/>
          <w:lang w:val="fr-FR"/>
        </w:rPr>
        <w:t> »</w:t>
      </w:r>
      <w:r w:rsidRPr="006E3034">
        <w:rPr>
          <w:bCs/>
          <w:lang w:val="fr-FR"/>
        </w:rPr>
        <w:t xml:space="preserve"> </w:t>
      </w:r>
      <w:r w:rsidR="00DB317F" w:rsidRPr="006E3034">
        <w:rPr>
          <w:bCs/>
          <w:lang w:val="fr-FR"/>
        </w:rPr>
        <w:t xml:space="preserve">de partage de </w:t>
      </w:r>
      <w:r w:rsidRPr="006E3034">
        <w:rPr>
          <w:bCs/>
          <w:lang w:val="fr-FR"/>
        </w:rPr>
        <w:t>bonnes pratiques de sauvegarde</w:t>
      </w:r>
      <w:r w:rsidRPr="008A1DFC">
        <w:rPr>
          <w:bCs/>
          <w:lang w:val="fr-FR"/>
        </w:rPr>
        <w:t>,</w:t>
      </w:r>
      <w:r w:rsidRPr="00B97E81">
        <w:rPr>
          <w:bCs/>
          <w:lang w:val="fr-FR"/>
        </w:rPr>
        <w:t xml:space="preserve"> qui pourrait être exploré</w:t>
      </w:r>
      <w:r w:rsidR="00723470">
        <w:rPr>
          <w:bCs/>
          <w:lang w:val="fr-FR"/>
        </w:rPr>
        <w:t>e</w:t>
      </w:r>
      <w:r w:rsidRPr="00B97E81">
        <w:rPr>
          <w:bCs/>
          <w:lang w:val="fr-FR"/>
        </w:rPr>
        <w:t xml:space="preserve"> plus avant comme un moyen d</w:t>
      </w:r>
      <w:r w:rsidR="00923E72">
        <w:rPr>
          <w:bCs/>
          <w:lang w:val="fr-FR"/>
        </w:rPr>
        <w:t>’</w:t>
      </w:r>
      <w:r w:rsidRPr="00B97E81">
        <w:rPr>
          <w:bCs/>
          <w:lang w:val="fr-FR"/>
        </w:rPr>
        <w:t>encourager le dialogue et la communication entre les parties prenantes de la Convention dans le but de partager les bonnes pratiques de sauvegarde. Cela pourrait inclure les communautés dont les éléments sont inscrits sur les listes ainsi que d</w:t>
      </w:r>
      <w:r w:rsidR="00923E72">
        <w:rPr>
          <w:bCs/>
          <w:lang w:val="fr-FR"/>
        </w:rPr>
        <w:t>’</w:t>
      </w:r>
      <w:r w:rsidRPr="00B97E81">
        <w:rPr>
          <w:bCs/>
          <w:lang w:val="fr-FR"/>
        </w:rPr>
        <w:t>autres acteurs de la sauvegarde. Cette considération faisait suite à la demande du Comité (</w:t>
      </w:r>
      <w:r w:rsidR="00DB317F">
        <w:rPr>
          <w:bCs/>
          <w:lang w:val="fr-FR"/>
        </w:rPr>
        <w:t>d</w:t>
      </w:r>
      <w:r w:rsidRPr="00B97E81">
        <w:rPr>
          <w:bCs/>
          <w:lang w:val="fr-FR"/>
        </w:rPr>
        <w:t>écision</w:t>
      </w:r>
      <w:r w:rsidR="00723470">
        <w:rPr>
          <w:bCs/>
          <w:lang w:val="fr-FR"/>
        </w:rPr>
        <w:t> </w:t>
      </w:r>
      <w:hyperlink r:id="rId98" w:history="1">
        <w:r w:rsidR="00DB317F" w:rsidRPr="006E3034">
          <w:rPr>
            <w:rStyle w:val="Hyperlink"/>
            <w:lang w:val="fr-FR"/>
          </w:rPr>
          <w:t>16.COM 14</w:t>
        </w:r>
      </w:hyperlink>
      <w:r w:rsidRPr="00B97E81">
        <w:rPr>
          <w:bCs/>
          <w:lang w:val="fr-FR"/>
        </w:rPr>
        <w:t>) et faisait écho au paragraphe</w:t>
      </w:r>
      <w:r w:rsidR="006773EF">
        <w:rPr>
          <w:bCs/>
          <w:lang w:val="fr-FR"/>
        </w:rPr>
        <w:t> </w:t>
      </w:r>
      <w:r w:rsidRPr="00B97E81">
        <w:rPr>
          <w:bCs/>
          <w:lang w:val="fr-FR"/>
        </w:rPr>
        <w:t>3 de l</w:t>
      </w:r>
      <w:r w:rsidR="00923E72">
        <w:rPr>
          <w:bCs/>
          <w:lang w:val="fr-FR"/>
        </w:rPr>
        <w:t>’</w:t>
      </w:r>
      <w:r w:rsidRPr="00B97E81">
        <w:rPr>
          <w:bCs/>
          <w:lang w:val="fr-FR"/>
        </w:rPr>
        <w:t>article</w:t>
      </w:r>
      <w:r w:rsidR="00723470">
        <w:rPr>
          <w:bCs/>
          <w:lang w:val="fr-FR"/>
        </w:rPr>
        <w:t> </w:t>
      </w:r>
      <w:r w:rsidRPr="00B97E81">
        <w:rPr>
          <w:bCs/>
          <w:lang w:val="fr-FR"/>
        </w:rPr>
        <w:t xml:space="preserve">18 de la Convention, qui stipule que </w:t>
      </w:r>
      <w:r w:rsidR="00DB317F">
        <w:rPr>
          <w:bCs/>
          <w:lang w:val="fr-FR"/>
        </w:rPr>
        <w:t>« </w:t>
      </w:r>
      <w:r w:rsidRPr="00B97E81">
        <w:rPr>
          <w:bCs/>
          <w:lang w:val="fr-FR"/>
        </w:rPr>
        <w:t>le Comité accompagne la mise en œuvre desdits programmes, projets et activités par la diffusion des meilleures pratiques selon les modalités qu</w:t>
      </w:r>
      <w:r w:rsidR="00923E72">
        <w:rPr>
          <w:bCs/>
          <w:lang w:val="fr-FR"/>
        </w:rPr>
        <w:t>’</w:t>
      </w:r>
      <w:r w:rsidRPr="00B97E81">
        <w:rPr>
          <w:bCs/>
          <w:lang w:val="fr-FR"/>
        </w:rPr>
        <w:t>il aura déterminées</w:t>
      </w:r>
      <w:r w:rsidR="003945E3">
        <w:rPr>
          <w:bCs/>
          <w:lang w:val="fr-FR"/>
        </w:rPr>
        <w:t>.</w:t>
      </w:r>
      <w:r w:rsidR="00DB317F">
        <w:rPr>
          <w:bCs/>
          <w:lang w:val="fr-FR"/>
        </w:rPr>
        <w:t> »</w:t>
      </w:r>
      <w:r w:rsidRPr="00B97E81">
        <w:rPr>
          <w:bCs/>
          <w:lang w:val="fr-FR"/>
        </w:rPr>
        <w:t xml:space="preserve"> Le troisième sujet</w:t>
      </w:r>
      <w:r w:rsidR="00DB317F">
        <w:rPr>
          <w:bCs/>
          <w:lang w:val="fr-FR"/>
        </w:rPr>
        <w:t xml:space="preserve"> était</w:t>
      </w:r>
      <w:r w:rsidRPr="00B97E81">
        <w:rPr>
          <w:bCs/>
          <w:lang w:val="fr-FR"/>
        </w:rPr>
        <w:t xml:space="preserve"> intentionnellement laissé ouvert pour donner aux membres du Comité et aux participants à la réflexion la possibilité d</w:t>
      </w:r>
      <w:r w:rsidR="00923E72">
        <w:rPr>
          <w:bCs/>
          <w:lang w:val="fr-FR"/>
        </w:rPr>
        <w:t>’</w:t>
      </w:r>
      <w:r w:rsidRPr="00B97E81">
        <w:rPr>
          <w:bCs/>
          <w:lang w:val="fr-FR"/>
        </w:rPr>
        <w:t xml:space="preserve">examiner </w:t>
      </w:r>
      <w:r w:rsidRPr="006E3034">
        <w:rPr>
          <w:bCs/>
          <w:lang w:val="fr-FR"/>
        </w:rPr>
        <w:t>d</w:t>
      </w:r>
      <w:r w:rsidR="00923E72" w:rsidRPr="006E3034">
        <w:rPr>
          <w:bCs/>
          <w:lang w:val="fr-FR"/>
        </w:rPr>
        <w:t>’</w:t>
      </w:r>
      <w:r w:rsidRPr="006E3034">
        <w:rPr>
          <w:bCs/>
          <w:lang w:val="fr-FR"/>
        </w:rPr>
        <w:t>autres questions qui n</w:t>
      </w:r>
      <w:r w:rsidR="00923E72" w:rsidRPr="006E3034">
        <w:rPr>
          <w:bCs/>
          <w:lang w:val="fr-FR"/>
        </w:rPr>
        <w:t>’</w:t>
      </w:r>
      <w:r w:rsidRPr="006E3034">
        <w:rPr>
          <w:bCs/>
          <w:lang w:val="fr-FR"/>
        </w:rPr>
        <w:t>auraient pas encore été identifiées</w:t>
      </w:r>
      <w:r w:rsidRPr="008A1DFC">
        <w:rPr>
          <w:bCs/>
          <w:lang w:val="fr-FR"/>
        </w:rPr>
        <w:t>.</w:t>
      </w:r>
      <w:r w:rsidRPr="00B97E81">
        <w:rPr>
          <w:bCs/>
          <w:lang w:val="fr-FR"/>
        </w:rPr>
        <w:t xml:space="preserve"> En </w:t>
      </w:r>
      <w:r w:rsidR="00723470">
        <w:rPr>
          <w:bCs/>
          <w:lang w:val="fr-FR"/>
        </w:rPr>
        <w:t>c</w:t>
      </w:r>
      <w:r w:rsidRPr="00B97E81">
        <w:rPr>
          <w:bCs/>
          <w:lang w:val="fr-FR"/>
        </w:rPr>
        <w:t xml:space="preserve">e qui concerne les voies à suivre, comme indiqué dans le document de travail, il </w:t>
      </w:r>
      <w:r w:rsidR="00DB317F">
        <w:rPr>
          <w:bCs/>
          <w:lang w:val="fr-FR"/>
        </w:rPr>
        <w:t>était</w:t>
      </w:r>
      <w:r w:rsidRPr="00B97E81">
        <w:rPr>
          <w:bCs/>
          <w:lang w:val="fr-FR"/>
        </w:rPr>
        <w:t xml:space="preserve"> proposé que le processus de réflexion suive une approche en plusieurs étapes</w:t>
      </w:r>
      <w:r w:rsidR="00DB317F">
        <w:rPr>
          <w:bCs/>
          <w:lang w:val="fr-FR"/>
        </w:rPr>
        <w:t>,</w:t>
      </w:r>
      <w:r w:rsidRPr="00B97E81">
        <w:rPr>
          <w:bCs/>
          <w:lang w:val="fr-FR"/>
        </w:rPr>
        <w:t xml:space="preserve"> similaire à celle du processus de réflexion globale sur les mécanismes d</w:t>
      </w:r>
      <w:r w:rsidR="00923E72">
        <w:rPr>
          <w:bCs/>
          <w:lang w:val="fr-FR"/>
        </w:rPr>
        <w:t>’</w:t>
      </w:r>
      <w:r w:rsidRPr="00B97E81">
        <w:rPr>
          <w:bCs/>
          <w:lang w:val="fr-FR"/>
        </w:rPr>
        <w:t>inscription, c</w:t>
      </w:r>
      <w:r w:rsidR="00923E72">
        <w:rPr>
          <w:bCs/>
          <w:lang w:val="fr-FR"/>
        </w:rPr>
        <w:t>’</w:t>
      </w:r>
      <w:r w:rsidRPr="00B97E81">
        <w:rPr>
          <w:bCs/>
          <w:lang w:val="fr-FR"/>
        </w:rPr>
        <w:t>est-à-dire que si le Comité accept</w:t>
      </w:r>
      <w:r w:rsidR="00723470">
        <w:rPr>
          <w:bCs/>
          <w:lang w:val="fr-FR"/>
        </w:rPr>
        <w:t>ait</w:t>
      </w:r>
      <w:r w:rsidRPr="00B97E81">
        <w:rPr>
          <w:bCs/>
          <w:lang w:val="fr-FR"/>
        </w:rPr>
        <w:t xml:space="preserve"> le calendrier suggéré, une réunion d</w:t>
      </w:r>
      <w:r w:rsidR="00923E72">
        <w:rPr>
          <w:bCs/>
          <w:lang w:val="fr-FR"/>
        </w:rPr>
        <w:t>’</w:t>
      </w:r>
      <w:r w:rsidRPr="00B97E81">
        <w:rPr>
          <w:bCs/>
          <w:lang w:val="fr-FR"/>
        </w:rPr>
        <w:t>experts de catégorie</w:t>
      </w:r>
      <w:r w:rsidR="00723470">
        <w:rPr>
          <w:bCs/>
          <w:lang w:val="fr-FR"/>
        </w:rPr>
        <w:t> </w:t>
      </w:r>
      <w:r w:rsidRPr="00B97E81">
        <w:rPr>
          <w:bCs/>
          <w:lang w:val="fr-FR"/>
        </w:rPr>
        <w:t>VI serait convoquée au cours du premier semestre</w:t>
      </w:r>
      <w:r w:rsidR="00723470">
        <w:rPr>
          <w:bCs/>
          <w:lang w:val="fr-FR"/>
        </w:rPr>
        <w:t> </w:t>
      </w:r>
      <w:r w:rsidRPr="00B97E81">
        <w:rPr>
          <w:bCs/>
          <w:lang w:val="fr-FR"/>
        </w:rPr>
        <w:t xml:space="preserve">2023. Cette réunion </w:t>
      </w:r>
      <w:r w:rsidR="00DB317F">
        <w:rPr>
          <w:bCs/>
          <w:lang w:val="fr-FR"/>
        </w:rPr>
        <w:t>établirait</w:t>
      </w:r>
      <w:r w:rsidRPr="00B97E81">
        <w:rPr>
          <w:bCs/>
          <w:lang w:val="fr-FR"/>
        </w:rPr>
        <w:t xml:space="preserve"> les bases de la réunion d</w:t>
      </w:r>
      <w:r w:rsidR="00923E72">
        <w:rPr>
          <w:bCs/>
          <w:lang w:val="fr-FR"/>
        </w:rPr>
        <w:t>’</w:t>
      </w:r>
      <w:r w:rsidRPr="00B97E81">
        <w:rPr>
          <w:bCs/>
          <w:lang w:val="fr-FR"/>
        </w:rPr>
        <w:t>un groupe de travail intergouvernemental à composition non limitée au cours du second semestre</w:t>
      </w:r>
      <w:r w:rsidR="00723470">
        <w:rPr>
          <w:bCs/>
          <w:lang w:val="fr-FR"/>
        </w:rPr>
        <w:t> </w:t>
      </w:r>
      <w:r w:rsidRPr="00B97E81">
        <w:rPr>
          <w:bCs/>
          <w:lang w:val="fr-FR"/>
        </w:rPr>
        <w:t>2023. Cela serait suivi par des discussions intergouvernementales supplémentaires lors de la dix</w:t>
      </w:r>
      <w:r w:rsidR="00723470">
        <w:rPr>
          <w:bCs/>
          <w:lang w:val="fr-FR"/>
        </w:rPr>
        <w:noBreakHyphen/>
      </w:r>
      <w:r w:rsidRPr="00B97E81">
        <w:rPr>
          <w:bCs/>
          <w:lang w:val="fr-FR"/>
        </w:rPr>
        <w:t>huitième session du Comité au Botswana en</w:t>
      </w:r>
      <w:r w:rsidR="00CB5654">
        <w:rPr>
          <w:bCs/>
          <w:lang w:val="fr-FR"/>
        </w:rPr>
        <w:t> </w:t>
      </w:r>
      <w:r w:rsidRPr="00B97E81">
        <w:rPr>
          <w:bCs/>
          <w:lang w:val="fr-FR"/>
        </w:rPr>
        <w:t>2023. En fonction de ces discussions, le Comité déterminerait si le processus pourrait être achevé d</w:t>
      </w:r>
      <w:r w:rsidR="00923E72">
        <w:rPr>
          <w:bCs/>
          <w:lang w:val="fr-FR"/>
        </w:rPr>
        <w:t>’</w:t>
      </w:r>
      <w:r w:rsidRPr="00B97E81">
        <w:rPr>
          <w:bCs/>
          <w:lang w:val="fr-FR"/>
        </w:rPr>
        <w:t>ici la dixième session de l</w:t>
      </w:r>
      <w:r w:rsidR="00923E72">
        <w:rPr>
          <w:bCs/>
          <w:lang w:val="fr-FR"/>
        </w:rPr>
        <w:t>’</w:t>
      </w:r>
      <w:r w:rsidRPr="00B97E81">
        <w:rPr>
          <w:bCs/>
          <w:lang w:val="fr-FR"/>
        </w:rPr>
        <w:t>Assemblée générale à la mi</w:t>
      </w:r>
      <w:r w:rsidR="00B60D29">
        <w:rPr>
          <w:bCs/>
          <w:lang w:val="fr-FR"/>
        </w:rPr>
        <w:noBreakHyphen/>
      </w:r>
      <w:r w:rsidRPr="00B97E81">
        <w:rPr>
          <w:bCs/>
          <w:lang w:val="fr-FR"/>
        </w:rPr>
        <w:t>2024. Cette session de l</w:t>
      </w:r>
      <w:r w:rsidR="00923E72">
        <w:rPr>
          <w:bCs/>
          <w:lang w:val="fr-FR"/>
        </w:rPr>
        <w:t>’</w:t>
      </w:r>
      <w:r w:rsidRPr="00B97E81">
        <w:rPr>
          <w:bCs/>
          <w:lang w:val="fr-FR"/>
        </w:rPr>
        <w:t>Assemblée examinerait alors les projets d</w:t>
      </w:r>
      <w:r w:rsidR="00923E72">
        <w:rPr>
          <w:bCs/>
          <w:lang w:val="fr-FR"/>
        </w:rPr>
        <w:t>’</w:t>
      </w:r>
      <w:r w:rsidRPr="00B97E81">
        <w:rPr>
          <w:bCs/>
          <w:lang w:val="fr-FR"/>
        </w:rPr>
        <w:t>amendements aux Directives opérationnelles. En effet, le potentiel du Registre devait encore être pleinement exploré</w:t>
      </w:r>
      <w:r w:rsidR="00B60D29">
        <w:rPr>
          <w:bCs/>
          <w:lang w:val="fr-FR"/>
        </w:rPr>
        <w:t>,</w:t>
      </w:r>
      <w:r w:rsidRPr="00B97E81">
        <w:rPr>
          <w:bCs/>
          <w:lang w:val="fr-FR"/>
        </w:rPr>
        <w:t xml:space="preserve"> car la mise en œuvre de l</w:t>
      </w:r>
      <w:r w:rsidR="00923E72">
        <w:rPr>
          <w:bCs/>
          <w:lang w:val="fr-FR"/>
        </w:rPr>
        <w:t>’</w:t>
      </w:r>
      <w:r w:rsidRPr="00B97E81">
        <w:rPr>
          <w:bCs/>
          <w:lang w:val="fr-FR"/>
        </w:rPr>
        <w:t>article</w:t>
      </w:r>
      <w:r w:rsidR="00723470">
        <w:rPr>
          <w:bCs/>
          <w:lang w:val="fr-FR"/>
        </w:rPr>
        <w:t> </w:t>
      </w:r>
      <w:r w:rsidRPr="00B97E81">
        <w:rPr>
          <w:bCs/>
          <w:lang w:val="fr-FR"/>
        </w:rPr>
        <w:t>18 allait au-delà de ce seul mécanisme. Le Secrétariat était impatient d</w:t>
      </w:r>
      <w:r w:rsidR="00923E72">
        <w:rPr>
          <w:bCs/>
          <w:lang w:val="fr-FR"/>
        </w:rPr>
        <w:t>’</w:t>
      </w:r>
      <w:r w:rsidRPr="00B97E81">
        <w:rPr>
          <w:bCs/>
          <w:lang w:val="fr-FR"/>
        </w:rPr>
        <w:t>entamer une nouvelle réflexion qui, il l</w:t>
      </w:r>
      <w:r w:rsidR="00923E72">
        <w:rPr>
          <w:bCs/>
          <w:lang w:val="fr-FR"/>
        </w:rPr>
        <w:t>’</w:t>
      </w:r>
      <w:r w:rsidRPr="00B97E81">
        <w:rPr>
          <w:bCs/>
          <w:lang w:val="fr-FR"/>
        </w:rPr>
        <w:t>espérait, permettrait de développer davantage la portée et l</w:t>
      </w:r>
      <w:r w:rsidR="00923E72">
        <w:rPr>
          <w:bCs/>
          <w:lang w:val="fr-FR"/>
        </w:rPr>
        <w:t>’</w:t>
      </w:r>
      <w:r w:rsidRPr="00B97E81">
        <w:rPr>
          <w:bCs/>
          <w:lang w:val="fr-FR"/>
        </w:rPr>
        <w:t>utilité de la Convention.</w:t>
      </w:r>
    </w:p>
    <w:p w14:paraId="3E2B9C79" w14:textId="30E0DA54" w:rsidR="00B60D29" w:rsidRDefault="00B60D29">
      <w:pPr>
        <w:pStyle w:val="Orateurengris"/>
        <w:numPr>
          <w:ilvl w:val="0"/>
          <w:numId w:val="20"/>
        </w:numPr>
        <w:tabs>
          <w:tab w:val="clear" w:pos="567"/>
          <w:tab w:val="left" w:pos="5954"/>
        </w:tabs>
        <w:spacing w:before="120"/>
        <w:ind w:left="709" w:hanging="709"/>
        <w:rPr>
          <w:bCs/>
          <w:lang w:val="fr-FR"/>
        </w:rPr>
      </w:pPr>
      <w:r>
        <w:rPr>
          <w:bCs/>
          <w:lang w:val="fr-FR"/>
        </w:rPr>
        <w:t xml:space="preserve">La </w:t>
      </w:r>
      <w:r w:rsidRPr="00B60D29">
        <w:rPr>
          <w:bCs/>
          <w:lang w:val="fr-FR"/>
        </w:rPr>
        <w:t>délégation</w:t>
      </w:r>
      <w:r>
        <w:rPr>
          <w:bCs/>
          <w:lang w:val="fr-FR"/>
        </w:rPr>
        <w:t xml:space="preserve"> de la </w:t>
      </w:r>
      <w:r w:rsidRPr="00702497">
        <w:rPr>
          <w:b/>
          <w:lang w:val="fr-FR"/>
        </w:rPr>
        <w:t>Suède</w:t>
      </w:r>
      <w:r>
        <w:rPr>
          <w:bCs/>
          <w:lang w:val="fr-FR"/>
        </w:rPr>
        <w:t xml:space="preserve"> était </w:t>
      </w:r>
      <w:r w:rsidRPr="00B60D29">
        <w:rPr>
          <w:bCs/>
          <w:lang w:val="fr-FR"/>
        </w:rPr>
        <w:t>reconnaissan</w:t>
      </w:r>
      <w:r>
        <w:rPr>
          <w:bCs/>
          <w:lang w:val="fr-FR"/>
        </w:rPr>
        <w:t xml:space="preserve">te au </w:t>
      </w:r>
      <w:r w:rsidRPr="00B60D29">
        <w:rPr>
          <w:bCs/>
          <w:lang w:val="fr-FR"/>
        </w:rPr>
        <w:t>Secrétaire</w:t>
      </w:r>
      <w:r>
        <w:rPr>
          <w:bCs/>
          <w:lang w:val="fr-FR"/>
        </w:rPr>
        <w:t xml:space="preserve"> et au </w:t>
      </w:r>
      <w:r w:rsidRPr="00B60D29">
        <w:rPr>
          <w:bCs/>
          <w:lang w:val="fr-FR"/>
        </w:rPr>
        <w:t>Secréta</w:t>
      </w:r>
      <w:r>
        <w:rPr>
          <w:bCs/>
          <w:lang w:val="fr-FR"/>
        </w:rPr>
        <w:t xml:space="preserve">riat </w:t>
      </w:r>
      <w:r w:rsidR="00723470">
        <w:rPr>
          <w:bCs/>
          <w:lang w:val="fr-FR"/>
        </w:rPr>
        <w:t xml:space="preserve">de </w:t>
      </w:r>
      <w:r>
        <w:rPr>
          <w:bCs/>
          <w:lang w:val="fr-FR"/>
        </w:rPr>
        <w:t>la présentation de ce point.</w:t>
      </w:r>
      <w:r w:rsidRPr="006E3034">
        <w:rPr>
          <w:lang w:val="fr-FR"/>
        </w:rPr>
        <w:t xml:space="preserve"> </w:t>
      </w:r>
      <w:r w:rsidRPr="00B60D29">
        <w:rPr>
          <w:bCs/>
          <w:lang w:val="fr-FR"/>
        </w:rPr>
        <w:t>La Suède a souligné l</w:t>
      </w:r>
      <w:r w:rsidR="00923E72">
        <w:rPr>
          <w:bCs/>
          <w:lang w:val="fr-FR"/>
        </w:rPr>
        <w:t>’</w:t>
      </w:r>
      <w:r w:rsidRPr="00B60D29">
        <w:rPr>
          <w:bCs/>
          <w:lang w:val="fr-FR"/>
        </w:rPr>
        <w:t>importance du processus de réflexion sur l</w:t>
      </w:r>
      <w:r w:rsidR="00923E72">
        <w:rPr>
          <w:bCs/>
          <w:lang w:val="fr-FR"/>
        </w:rPr>
        <w:t>’</w:t>
      </w:r>
      <w:r w:rsidRPr="00B60D29">
        <w:rPr>
          <w:bCs/>
          <w:lang w:val="fr-FR"/>
        </w:rPr>
        <w:t>article</w:t>
      </w:r>
      <w:r>
        <w:rPr>
          <w:bCs/>
          <w:lang w:val="fr-FR"/>
        </w:rPr>
        <w:t> </w:t>
      </w:r>
      <w:r w:rsidRPr="00B60D29">
        <w:rPr>
          <w:bCs/>
          <w:lang w:val="fr-FR"/>
        </w:rPr>
        <w:t xml:space="preserve">18, une partie essentielle mais sous-utilisée de la Convention. </w:t>
      </w:r>
      <w:r>
        <w:rPr>
          <w:bCs/>
          <w:lang w:val="fr-FR"/>
        </w:rPr>
        <w:t>Cet aspect de la Convention</w:t>
      </w:r>
      <w:r w:rsidRPr="00B60D29">
        <w:rPr>
          <w:bCs/>
          <w:lang w:val="fr-FR"/>
        </w:rPr>
        <w:t xml:space="preserve"> avait un rôle important à jouer pour les États parties ainsi que pour les ONG, les communautés et les praticiens afin de partager les expériences, d</w:t>
      </w:r>
      <w:r w:rsidR="00923E72">
        <w:rPr>
          <w:bCs/>
          <w:lang w:val="fr-FR"/>
        </w:rPr>
        <w:t>’</w:t>
      </w:r>
      <w:r w:rsidRPr="00B60D29">
        <w:rPr>
          <w:bCs/>
          <w:lang w:val="fr-FR"/>
        </w:rPr>
        <w:t>accroître la visibilité et d</w:t>
      </w:r>
      <w:r w:rsidR="00923E72">
        <w:rPr>
          <w:bCs/>
          <w:lang w:val="fr-FR"/>
        </w:rPr>
        <w:t>’</w:t>
      </w:r>
      <w:r w:rsidRPr="00B60D29">
        <w:rPr>
          <w:bCs/>
          <w:lang w:val="fr-FR"/>
        </w:rPr>
        <w:t>apprendre des différentes pratiques de sauvegarde. La Suède, qui était ravie de pouvoir soutenir le processus de réflexion, s</w:t>
      </w:r>
      <w:r w:rsidR="00923E72">
        <w:rPr>
          <w:bCs/>
          <w:lang w:val="fr-FR"/>
        </w:rPr>
        <w:t>’</w:t>
      </w:r>
      <w:r w:rsidRPr="00B60D29">
        <w:rPr>
          <w:bCs/>
          <w:lang w:val="fr-FR"/>
        </w:rPr>
        <w:t>est réjouie à l</w:t>
      </w:r>
      <w:r w:rsidR="00923E72">
        <w:rPr>
          <w:bCs/>
          <w:lang w:val="fr-FR"/>
        </w:rPr>
        <w:t>’</w:t>
      </w:r>
      <w:r w:rsidRPr="00B60D29">
        <w:rPr>
          <w:bCs/>
          <w:lang w:val="fr-FR"/>
        </w:rPr>
        <w:t>idée de poursuivre les discussions avec les experts, les États parties et d</w:t>
      </w:r>
      <w:r w:rsidR="00923E72">
        <w:rPr>
          <w:bCs/>
          <w:lang w:val="fr-FR"/>
        </w:rPr>
        <w:t>’</w:t>
      </w:r>
      <w:r w:rsidRPr="00B60D29">
        <w:rPr>
          <w:bCs/>
          <w:lang w:val="fr-FR"/>
        </w:rPr>
        <w:t>autres</w:t>
      </w:r>
      <w:r>
        <w:rPr>
          <w:bCs/>
          <w:lang w:val="fr-FR"/>
        </w:rPr>
        <w:t xml:space="preserve"> </w:t>
      </w:r>
      <w:r w:rsidRPr="00B60D29">
        <w:rPr>
          <w:bCs/>
          <w:lang w:val="fr-FR"/>
        </w:rPr>
        <w:t>parties prenantes. La Suède était heureuse d</w:t>
      </w:r>
      <w:r w:rsidR="00923E72">
        <w:rPr>
          <w:bCs/>
          <w:lang w:val="fr-FR"/>
        </w:rPr>
        <w:t>’</w:t>
      </w:r>
      <w:r w:rsidRPr="00B60D29">
        <w:rPr>
          <w:bCs/>
          <w:lang w:val="fr-FR"/>
        </w:rPr>
        <w:t>accueillir la réunion de catégorie</w:t>
      </w:r>
      <w:r w:rsidR="00723470">
        <w:rPr>
          <w:bCs/>
          <w:lang w:val="fr-FR"/>
        </w:rPr>
        <w:t> </w:t>
      </w:r>
      <w:r w:rsidRPr="00B60D29">
        <w:rPr>
          <w:bCs/>
          <w:lang w:val="fr-FR"/>
        </w:rPr>
        <w:t>VI à Stockholm</w:t>
      </w:r>
      <w:r w:rsidR="00723470">
        <w:rPr>
          <w:bCs/>
          <w:lang w:val="fr-FR"/>
        </w:rPr>
        <w:t>,</w:t>
      </w:r>
      <w:r w:rsidRPr="00B60D29">
        <w:rPr>
          <w:bCs/>
          <w:lang w:val="fr-FR"/>
        </w:rPr>
        <w:t xml:space="preserve"> au premier trimestre</w:t>
      </w:r>
      <w:r w:rsidR="00723470">
        <w:rPr>
          <w:bCs/>
          <w:lang w:val="fr-FR"/>
        </w:rPr>
        <w:t> </w:t>
      </w:r>
      <w:r w:rsidRPr="00B60D29">
        <w:rPr>
          <w:bCs/>
          <w:lang w:val="fr-FR"/>
        </w:rPr>
        <w:t>2023. Elle était également heureuse de présider le groupe de travail intergouvernemental qui se tiendrait à Paris plus tard en</w:t>
      </w:r>
      <w:r w:rsidR="00723470">
        <w:rPr>
          <w:bCs/>
          <w:lang w:val="fr-FR"/>
        </w:rPr>
        <w:t> </w:t>
      </w:r>
      <w:r w:rsidRPr="00B60D29">
        <w:rPr>
          <w:bCs/>
          <w:lang w:val="fr-FR"/>
        </w:rPr>
        <w:t>2023.</w:t>
      </w:r>
    </w:p>
    <w:p w14:paraId="5EF50A59" w14:textId="71D362B6" w:rsidR="00B60D29" w:rsidRDefault="00481AB8">
      <w:pPr>
        <w:pStyle w:val="Orateurengris"/>
        <w:numPr>
          <w:ilvl w:val="0"/>
          <w:numId w:val="20"/>
        </w:numPr>
        <w:tabs>
          <w:tab w:val="clear" w:pos="567"/>
          <w:tab w:val="left" w:pos="5954"/>
        </w:tabs>
        <w:spacing w:before="120"/>
        <w:ind w:left="709" w:hanging="709"/>
        <w:rPr>
          <w:bCs/>
          <w:lang w:val="fr-FR"/>
        </w:rPr>
      </w:pPr>
      <w:r w:rsidRPr="00481AB8">
        <w:rPr>
          <w:bCs/>
          <w:lang w:val="fr-FR"/>
        </w:rPr>
        <w:t xml:space="preserve">La délégation de la </w:t>
      </w:r>
      <w:r w:rsidRPr="00702497">
        <w:rPr>
          <w:b/>
          <w:lang w:val="fr-FR"/>
        </w:rPr>
        <w:t>République de Corée</w:t>
      </w:r>
      <w:r w:rsidRPr="00481AB8">
        <w:rPr>
          <w:bCs/>
          <w:lang w:val="fr-FR"/>
        </w:rPr>
        <w:t xml:space="preserve"> était </w:t>
      </w:r>
      <w:r>
        <w:rPr>
          <w:bCs/>
          <w:lang w:val="fr-FR"/>
        </w:rPr>
        <w:t xml:space="preserve">résolument </w:t>
      </w:r>
      <w:r w:rsidRPr="00481AB8">
        <w:rPr>
          <w:bCs/>
          <w:lang w:val="fr-FR"/>
        </w:rPr>
        <w:t>convaincue que la nouvelle réflexion sur la mise en œuvre plus large de l</w:t>
      </w:r>
      <w:r w:rsidR="00923E72">
        <w:rPr>
          <w:bCs/>
          <w:lang w:val="fr-FR"/>
        </w:rPr>
        <w:t>’</w:t>
      </w:r>
      <w:r w:rsidRPr="00481AB8">
        <w:rPr>
          <w:bCs/>
          <w:lang w:val="fr-FR"/>
        </w:rPr>
        <w:t>article</w:t>
      </w:r>
      <w:r w:rsidR="006773EF">
        <w:rPr>
          <w:bCs/>
          <w:lang w:val="fr-FR"/>
        </w:rPr>
        <w:t> </w:t>
      </w:r>
      <w:r w:rsidRPr="00481AB8">
        <w:rPr>
          <w:bCs/>
          <w:lang w:val="fr-FR"/>
        </w:rPr>
        <w:t>18 de la Convention visait véritablement à remplir le mandat de la Convention, à savoir</w:t>
      </w:r>
      <w:r w:rsidR="00634ABB">
        <w:rPr>
          <w:bCs/>
          <w:lang w:val="fr-FR"/>
        </w:rPr>
        <w:t xml:space="preserve">, </w:t>
      </w:r>
      <w:r w:rsidRPr="00481AB8">
        <w:rPr>
          <w:bCs/>
          <w:lang w:val="fr-FR"/>
        </w:rPr>
        <w:t>sauvegarde</w:t>
      </w:r>
      <w:r w:rsidR="00634ABB">
        <w:rPr>
          <w:bCs/>
          <w:lang w:val="fr-FR"/>
        </w:rPr>
        <w:t>r le</w:t>
      </w:r>
      <w:r w:rsidRPr="00481AB8">
        <w:rPr>
          <w:bCs/>
          <w:lang w:val="fr-FR"/>
        </w:rPr>
        <w:t xml:space="preserve"> patrimoine culturel immatériel. Pour cette raison, elle soutenait fermement cette réflexion engagée par la Suède. La République de Corée était disposée à participer activement à ce projet, en partageant ses idées et ses expériences en matière de sauvegarde du patrimoine culturel immatériel. Elle estimait qu</w:t>
      </w:r>
      <w:r w:rsidR="00923E72">
        <w:rPr>
          <w:bCs/>
          <w:lang w:val="fr-FR"/>
        </w:rPr>
        <w:t>’</w:t>
      </w:r>
      <w:r w:rsidRPr="00481AB8">
        <w:rPr>
          <w:bCs/>
          <w:lang w:val="fr-FR"/>
        </w:rPr>
        <w:t>il fallait tenir compte de la grande diversité des situations de sauvegarde du patrimoine culturel immatériel dans les différentes parties du monde et elle s</w:t>
      </w:r>
      <w:r w:rsidR="00923E72">
        <w:rPr>
          <w:bCs/>
          <w:lang w:val="fr-FR"/>
        </w:rPr>
        <w:t>’</w:t>
      </w:r>
      <w:r w:rsidRPr="00481AB8">
        <w:rPr>
          <w:bCs/>
          <w:lang w:val="fr-FR"/>
        </w:rPr>
        <w:t>est réjouie de voir les nombreuses bonnes pratiques de sauvegarde partagées</w:t>
      </w:r>
      <w:r w:rsidR="00723470">
        <w:rPr>
          <w:bCs/>
          <w:lang w:val="fr-FR"/>
        </w:rPr>
        <w:t xml:space="preserve"> et</w:t>
      </w:r>
      <w:r w:rsidRPr="00481AB8">
        <w:rPr>
          <w:bCs/>
          <w:lang w:val="fr-FR"/>
        </w:rPr>
        <w:t xml:space="preserve"> adaptées aux différents contextes de chaque société.</w:t>
      </w:r>
    </w:p>
    <w:p w14:paraId="4D1E5C69" w14:textId="117BD723" w:rsidR="00634ABB" w:rsidRDefault="00634ABB">
      <w:pPr>
        <w:pStyle w:val="Orateurengris"/>
        <w:numPr>
          <w:ilvl w:val="0"/>
          <w:numId w:val="20"/>
        </w:numPr>
        <w:tabs>
          <w:tab w:val="clear" w:pos="567"/>
          <w:tab w:val="left" w:pos="5954"/>
        </w:tabs>
        <w:spacing w:before="120"/>
        <w:ind w:left="709" w:hanging="709"/>
        <w:rPr>
          <w:bCs/>
          <w:lang w:val="fr-FR"/>
        </w:rPr>
      </w:pPr>
      <w:r w:rsidRPr="00634ABB">
        <w:rPr>
          <w:bCs/>
          <w:lang w:val="fr-FR"/>
        </w:rPr>
        <w:lastRenderedPageBreak/>
        <w:t>La délégation de l</w:t>
      </w:r>
      <w:r w:rsidR="00923E72">
        <w:rPr>
          <w:bCs/>
          <w:lang w:val="fr-FR"/>
        </w:rPr>
        <w:t>’</w:t>
      </w:r>
      <w:r w:rsidRPr="00702497">
        <w:rPr>
          <w:b/>
          <w:lang w:val="fr-FR"/>
        </w:rPr>
        <w:t>Allemagne</w:t>
      </w:r>
      <w:r w:rsidRPr="00634ABB">
        <w:rPr>
          <w:bCs/>
          <w:lang w:val="fr-FR"/>
        </w:rPr>
        <w:t xml:space="preserve"> a remercié la Suède pour son soutien à cette réflexion ainsi que le Secrétariat pour le travail précieux réalisé jusqu</w:t>
      </w:r>
      <w:r w:rsidR="00923E72">
        <w:rPr>
          <w:bCs/>
          <w:lang w:val="fr-FR"/>
        </w:rPr>
        <w:t>’</w:t>
      </w:r>
      <w:r w:rsidRPr="00634ABB">
        <w:rPr>
          <w:bCs/>
          <w:lang w:val="fr-FR"/>
        </w:rPr>
        <w:t xml:space="preserve">à présent sur ce sujet. </w:t>
      </w:r>
      <w:r>
        <w:rPr>
          <w:bCs/>
          <w:lang w:val="fr-FR"/>
        </w:rPr>
        <w:t>S</w:t>
      </w:r>
      <w:r w:rsidRPr="00634ABB">
        <w:rPr>
          <w:bCs/>
          <w:lang w:val="fr-FR"/>
        </w:rPr>
        <w:t>e félicit</w:t>
      </w:r>
      <w:r>
        <w:rPr>
          <w:bCs/>
          <w:lang w:val="fr-FR"/>
        </w:rPr>
        <w:t>ant</w:t>
      </w:r>
      <w:r w:rsidRPr="00634ABB">
        <w:rPr>
          <w:bCs/>
          <w:lang w:val="fr-FR"/>
        </w:rPr>
        <w:t xml:space="preserve"> de la suppression du critère</w:t>
      </w:r>
      <w:r>
        <w:rPr>
          <w:bCs/>
          <w:lang w:val="fr-FR"/>
        </w:rPr>
        <w:t> </w:t>
      </w:r>
      <w:r w:rsidRPr="00634ABB">
        <w:rPr>
          <w:bCs/>
          <w:lang w:val="fr-FR"/>
        </w:rPr>
        <w:t>P.9 par l</w:t>
      </w:r>
      <w:r w:rsidR="00923E72">
        <w:rPr>
          <w:bCs/>
          <w:lang w:val="fr-FR"/>
        </w:rPr>
        <w:t>’</w:t>
      </w:r>
      <w:r w:rsidRPr="00634ABB">
        <w:rPr>
          <w:bCs/>
          <w:lang w:val="fr-FR"/>
        </w:rPr>
        <w:t>Assemblée générale en</w:t>
      </w:r>
      <w:r w:rsidR="00246428">
        <w:rPr>
          <w:bCs/>
          <w:lang w:val="fr-FR"/>
        </w:rPr>
        <w:t> </w:t>
      </w:r>
      <w:r w:rsidRPr="00634ABB">
        <w:rPr>
          <w:bCs/>
          <w:lang w:val="fr-FR"/>
        </w:rPr>
        <w:t>2022</w:t>
      </w:r>
      <w:r>
        <w:rPr>
          <w:bCs/>
          <w:lang w:val="fr-FR"/>
        </w:rPr>
        <w:t>,</w:t>
      </w:r>
      <w:r w:rsidRPr="00634ABB">
        <w:rPr>
          <w:bCs/>
          <w:lang w:val="fr-FR"/>
        </w:rPr>
        <w:t xml:space="preserve"> </w:t>
      </w:r>
      <w:r>
        <w:rPr>
          <w:bCs/>
          <w:lang w:val="fr-FR"/>
        </w:rPr>
        <w:t>elle</w:t>
      </w:r>
      <w:r w:rsidRPr="00634ABB">
        <w:rPr>
          <w:bCs/>
          <w:lang w:val="fr-FR"/>
        </w:rPr>
        <w:t xml:space="preserve"> encourageait la poursuite du dialogue et des actions visant à approfondir la réflexion et à ajuster les autre</w:t>
      </w:r>
      <w:r>
        <w:rPr>
          <w:bCs/>
          <w:lang w:val="fr-FR"/>
        </w:rPr>
        <w:t>s</w:t>
      </w:r>
      <w:r w:rsidRPr="00634ABB">
        <w:rPr>
          <w:bCs/>
          <w:lang w:val="fr-FR"/>
        </w:rPr>
        <w:t xml:space="preserve"> critères. La délégation espérait une meilleure interconnexion entre les listes et le Registre</w:t>
      </w:r>
      <w:r w:rsidR="00723470">
        <w:rPr>
          <w:bCs/>
          <w:lang w:val="fr-FR"/>
        </w:rPr>
        <w:t>,</w:t>
      </w:r>
      <w:r w:rsidRPr="00634ABB">
        <w:rPr>
          <w:bCs/>
          <w:lang w:val="fr-FR"/>
        </w:rPr>
        <w:t xml:space="preserve"> et l</w:t>
      </w:r>
      <w:r w:rsidR="00923E72">
        <w:rPr>
          <w:bCs/>
          <w:lang w:val="fr-FR"/>
        </w:rPr>
        <w:t>’</w:t>
      </w:r>
      <w:r w:rsidRPr="00634ABB">
        <w:rPr>
          <w:bCs/>
          <w:lang w:val="fr-FR"/>
        </w:rPr>
        <w:t>enrichissement des mécanismes d</w:t>
      </w:r>
      <w:r w:rsidR="00923E72">
        <w:rPr>
          <w:bCs/>
          <w:lang w:val="fr-FR"/>
        </w:rPr>
        <w:t>’</w:t>
      </w:r>
      <w:r w:rsidRPr="00634ABB">
        <w:rPr>
          <w:bCs/>
          <w:lang w:val="fr-FR"/>
        </w:rPr>
        <w:t>inscription par des exemples qui puissent être source d</w:t>
      </w:r>
      <w:r w:rsidR="00923E72">
        <w:rPr>
          <w:bCs/>
          <w:lang w:val="fr-FR"/>
        </w:rPr>
        <w:t>’</w:t>
      </w:r>
      <w:r w:rsidRPr="00634ABB">
        <w:rPr>
          <w:bCs/>
          <w:lang w:val="fr-FR"/>
        </w:rPr>
        <w:t>inspiration. Elle s</w:t>
      </w:r>
      <w:r w:rsidR="00923E72">
        <w:rPr>
          <w:bCs/>
          <w:lang w:val="fr-FR"/>
        </w:rPr>
        <w:t>’</w:t>
      </w:r>
      <w:r w:rsidRPr="00634ABB">
        <w:rPr>
          <w:bCs/>
          <w:lang w:val="fr-FR"/>
        </w:rPr>
        <w:t>est également félicitée des trois sujets de réflexion proposés. La délégation a invité les futurs participants à cette réunion à réfléchir à la manière d</w:t>
      </w:r>
      <w:r w:rsidR="00923E72">
        <w:rPr>
          <w:bCs/>
          <w:lang w:val="fr-FR"/>
        </w:rPr>
        <w:t>’</w:t>
      </w:r>
      <w:r w:rsidRPr="00634ABB">
        <w:rPr>
          <w:bCs/>
          <w:lang w:val="fr-FR"/>
        </w:rPr>
        <w:t xml:space="preserve">accroître la visibilité des bonnes pratiques de sauvegarde qui favorisent davantage les principes éthiques </w:t>
      </w:r>
      <w:r w:rsidR="007816B4">
        <w:rPr>
          <w:bCs/>
          <w:lang w:val="fr-FR"/>
        </w:rPr>
        <w:t xml:space="preserve">adoptés </w:t>
      </w:r>
      <w:r w:rsidRPr="00634ABB">
        <w:rPr>
          <w:bCs/>
          <w:lang w:val="fr-FR"/>
        </w:rPr>
        <w:t>lors de la session du Comité en</w:t>
      </w:r>
      <w:r w:rsidR="00A3101E">
        <w:rPr>
          <w:bCs/>
          <w:lang w:val="fr-FR"/>
        </w:rPr>
        <w:t> </w:t>
      </w:r>
      <w:r w:rsidRPr="00634ABB">
        <w:rPr>
          <w:bCs/>
          <w:lang w:val="fr-FR"/>
        </w:rPr>
        <w:t>2015 et, en particulier, l</w:t>
      </w:r>
      <w:r w:rsidR="00923E72">
        <w:rPr>
          <w:bCs/>
          <w:lang w:val="fr-FR"/>
        </w:rPr>
        <w:t>’</w:t>
      </w:r>
      <w:r w:rsidRPr="00634ABB">
        <w:rPr>
          <w:bCs/>
          <w:lang w:val="fr-FR"/>
        </w:rPr>
        <w:t xml:space="preserve">attention spécifique portée aux questions </w:t>
      </w:r>
      <w:r w:rsidR="002F3DEE">
        <w:rPr>
          <w:bCs/>
          <w:lang w:val="fr-FR"/>
        </w:rPr>
        <w:t xml:space="preserve">en lien avec les priorités </w:t>
      </w:r>
      <w:r w:rsidRPr="00634ABB">
        <w:rPr>
          <w:bCs/>
          <w:lang w:val="fr-FR"/>
        </w:rPr>
        <w:t>de l</w:t>
      </w:r>
      <w:r w:rsidR="00923E72">
        <w:rPr>
          <w:bCs/>
          <w:lang w:val="fr-FR"/>
        </w:rPr>
        <w:t>’</w:t>
      </w:r>
      <w:r w:rsidRPr="00634ABB">
        <w:rPr>
          <w:bCs/>
          <w:lang w:val="fr-FR"/>
        </w:rPr>
        <w:t>UNESCO ainsi que la conception et la mise en œuvre des mesures de sauvegarde.</w:t>
      </w:r>
    </w:p>
    <w:p w14:paraId="325C564B" w14:textId="56F9271D" w:rsidR="002F3DEE" w:rsidRDefault="002F3DEE">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donné la parole aux </w:t>
      </w:r>
      <w:r w:rsidRPr="002F3DEE">
        <w:rPr>
          <w:bCs/>
          <w:lang w:val="fr-FR"/>
        </w:rPr>
        <w:t>observateurs</w:t>
      </w:r>
      <w:r>
        <w:rPr>
          <w:bCs/>
          <w:lang w:val="fr-FR"/>
        </w:rPr>
        <w:t xml:space="preserve"> afin qu</w:t>
      </w:r>
      <w:r w:rsidR="00923E72">
        <w:rPr>
          <w:bCs/>
          <w:lang w:val="fr-FR"/>
        </w:rPr>
        <w:t>’</w:t>
      </w:r>
      <w:r>
        <w:rPr>
          <w:bCs/>
          <w:lang w:val="fr-FR"/>
        </w:rPr>
        <w:t xml:space="preserve">ils </w:t>
      </w:r>
      <w:r w:rsidR="00AE5509">
        <w:rPr>
          <w:bCs/>
          <w:lang w:val="fr-FR"/>
        </w:rPr>
        <w:t xml:space="preserve">fassent part de leurs </w:t>
      </w:r>
      <w:r w:rsidRPr="002F3DEE">
        <w:rPr>
          <w:bCs/>
          <w:lang w:val="fr-FR"/>
        </w:rPr>
        <w:t>commentaires</w:t>
      </w:r>
      <w:r>
        <w:rPr>
          <w:bCs/>
          <w:lang w:val="fr-FR"/>
        </w:rPr>
        <w:t>.</w:t>
      </w:r>
    </w:p>
    <w:p w14:paraId="5B2156E9" w14:textId="7CB3E7D2" w:rsidR="002F3DEE" w:rsidRDefault="002F3DEE">
      <w:pPr>
        <w:pStyle w:val="Orateurengris"/>
        <w:numPr>
          <w:ilvl w:val="0"/>
          <w:numId w:val="20"/>
        </w:numPr>
        <w:tabs>
          <w:tab w:val="clear" w:pos="567"/>
          <w:tab w:val="left" w:pos="5954"/>
        </w:tabs>
        <w:spacing w:before="120"/>
        <w:ind w:left="709" w:hanging="709"/>
        <w:rPr>
          <w:bCs/>
          <w:lang w:val="fr-FR"/>
        </w:rPr>
      </w:pPr>
      <w:r w:rsidRPr="002F3DEE">
        <w:rPr>
          <w:bCs/>
          <w:lang w:val="fr-FR"/>
        </w:rPr>
        <w:t xml:space="preserve">La délégation de la </w:t>
      </w:r>
      <w:r w:rsidRPr="00702497">
        <w:rPr>
          <w:b/>
          <w:lang w:val="fr-FR"/>
        </w:rPr>
        <w:t>Belgique</w:t>
      </w:r>
      <w:r w:rsidRPr="002F3DEE">
        <w:rPr>
          <w:bCs/>
          <w:lang w:val="fr-FR"/>
        </w:rPr>
        <w:t xml:space="preserve"> a applaudi cette initiative, convenant que le Registre était sous utilisé mais que l</w:t>
      </w:r>
      <w:r w:rsidR="00923E72">
        <w:rPr>
          <w:bCs/>
          <w:lang w:val="fr-FR"/>
        </w:rPr>
        <w:t>’</w:t>
      </w:r>
      <w:r w:rsidRPr="002F3DEE">
        <w:rPr>
          <w:bCs/>
          <w:lang w:val="fr-FR"/>
        </w:rPr>
        <w:t>article</w:t>
      </w:r>
      <w:r>
        <w:rPr>
          <w:bCs/>
          <w:lang w:val="fr-FR"/>
        </w:rPr>
        <w:t> </w:t>
      </w:r>
      <w:r w:rsidRPr="002F3DEE">
        <w:rPr>
          <w:bCs/>
          <w:lang w:val="fr-FR"/>
        </w:rPr>
        <w:t>18 l</w:t>
      </w:r>
      <w:r w:rsidR="00923E72">
        <w:rPr>
          <w:bCs/>
          <w:lang w:val="fr-FR"/>
        </w:rPr>
        <w:t>’</w:t>
      </w:r>
      <w:r w:rsidRPr="002F3DEE">
        <w:rPr>
          <w:bCs/>
          <w:lang w:val="fr-FR"/>
        </w:rPr>
        <w:t xml:space="preserve">était également. Par exemple, la </w:t>
      </w:r>
      <w:r>
        <w:rPr>
          <w:bCs/>
          <w:lang w:val="fr-FR"/>
        </w:rPr>
        <w:t>d</w:t>
      </w:r>
      <w:r w:rsidRPr="002F3DEE">
        <w:rPr>
          <w:bCs/>
          <w:lang w:val="fr-FR"/>
        </w:rPr>
        <w:t>irective opérationnelle</w:t>
      </w:r>
      <w:r>
        <w:rPr>
          <w:bCs/>
          <w:lang w:val="fr-FR"/>
        </w:rPr>
        <w:t> </w:t>
      </w:r>
      <w:r w:rsidRPr="002F3DEE">
        <w:rPr>
          <w:bCs/>
          <w:lang w:val="fr-FR"/>
        </w:rPr>
        <w:t>I.3</w:t>
      </w:r>
      <w:r>
        <w:rPr>
          <w:bCs/>
          <w:lang w:val="fr-FR"/>
        </w:rPr>
        <w:t>,</w:t>
      </w:r>
      <w:r w:rsidRPr="002F3DEE">
        <w:rPr>
          <w:bCs/>
          <w:lang w:val="fr-FR"/>
        </w:rPr>
        <w:t xml:space="preserve"> paragraphe</w:t>
      </w:r>
      <w:r w:rsidR="006773EF">
        <w:rPr>
          <w:bCs/>
          <w:lang w:val="fr-FR"/>
        </w:rPr>
        <w:t> </w:t>
      </w:r>
      <w:r w:rsidRPr="002F3DEE">
        <w:rPr>
          <w:bCs/>
          <w:lang w:val="fr-FR"/>
        </w:rPr>
        <w:t>4 en sommeil, qui existait depuis</w:t>
      </w:r>
      <w:r w:rsidR="006773EF">
        <w:rPr>
          <w:bCs/>
          <w:lang w:val="fr-FR"/>
        </w:rPr>
        <w:t> </w:t>
      </w:r>
      <w:r w:rsidRPr="002F3DEE">
        <w:rPr>
          <w:bCs/>
          <w:lang w:val="fr-FR"/>
        </w:rPr>
        <w:t>2008, stipulait qu</w:t>
      </w:r>
      <w:r w:rsidR="00923E72">
        <w:rPr>
          <w:bCs/>
          <w:lang w:val="fr-FR"/>
        </w:rPr>
        <w:t>’</w:t>
      </w:r>
      <w:r>
        <w:rPr>
          <w:bCs/>
          <w:lang w:val="fr-FR"/>
        </w:rPr>
        <w:t>« À chaque</w:t>
      </w:r>
      <w:r w:rsidRPr="002F3DEE">
        <w:rPr>
          <w:bCs/>
          <w:lang w:val="fr-FR"/>
        </w:rPr>
        <w:t xml:space="preserve"> session, le Comité peut </w:t>
      </w:r>
      <w:r>
        <w:rPr>
          <w:bCs/>
          <w:lang w:val="fr-FR"/>
        </w:rPr>
        <w:t xml:space="preserve">lancer un </w:t>
      </w:r>
      <w:r w:rsidRPr="002F3DEE">
        <w:rPr>
          <w:bCs/>
          <w:lang w:val="fr-FR"/>
        </w:rPr>
        <w:t xml:space="preserve">appel </w:t>
      </w:r>
      <w:r>
        <w:rPr>
          <w:bCs/>
          <w:lang w:val="fr-FR"/>
        </w:rPr>
        <w:t xml:space="preserve">spécifique </w:t>
      </w:r>
      <w:r w:rsidRPr="002F3DEE">
        <w:rPr>
          <w:bCs/>
          <w:lang w:val="fr-FR"/>
        </w:rPr>
        <w:t xml:space="preserve">à propositions </w:t>
      </w:r>
      <w:r>
        <w:rPr>
          <w:bCs/>
          <w:lang w:val="fr-FR"/>
        </w:rPr>
        <w:t xml:space="preserve">reflétant </w:t>
      </w:r>
      <w:r w:rsidRPr="002F3DEE">
        <w:rPr>
          <w:bCs/>
          <w:lang w:val="fr-FR"/>
        </w:rPr>
        <w:t>la coopération internationale</w:t>
      </w:r>
      <w:r w:rsidR="00FE7D91">
        <w:rPr>
          <w:bCs/>
          <w:lang w:val="fr-FR"/>
        </w:rPr>
        <w:t xml:space="preserve"> comme</w:t>
      </w:r>
      <w:r w:rsidRPr="002F3DEE">
        <w:rPr>
          <w:bCs/>
          <w:lang w:val="fr-FR"/>
        </w:rPr>
        <w:t xml:space="preserve"> mentionné à l</w:t>
      </w:r>
      <w:r w:rsidR="00923E72">
        <w:rPr>
          <w:bCs/>
          <w:lang w:val="fr-FR"/>
        </w:rPr>
        <w:t>’</w:t>
      </w:r>
      <w:r w:rsidRPr="002F3DEE">
        <w:rPr>
          <w:bCs/>
          <w:lang w:val="fr-FR"/>
        </w:rPr>
        <w:t>article</w:t>
      </w:r>
      <w:r w:rsidR="006E2130">
        <w:rPr>
          <w:bCs/>
          <w:lang w:val="fr-FR"/>
        </w:rPr>
        <w:t> </w:t>
      </w:r>
      <w:r w:rsidRPr="002F3DEE">
        <w:rPr>
          <w:bCs/>
          <w:lang w:val="fr-FR"/>
        </w:rPr>
        <w:t xml:space="preserve">19 de la Convention, et/ou </w:t>
      </w:r>
      <w:r w:rsidR="00FE7D91">
        <w:rPr>
          <w:bCs/>
          <w:lang w:val="fr-FR"/>
        </w:rPr>
        <w:t xml:space="preserve">se concentrant </w:t>
      </w:r>
      <w:r w:rsidRPr="002F3DEE">
        <w:rPr>
          <w:bCs/>
          <w:lang w:val="fr-FR"/>
        </w:rPr>
        <w:t xml:space="preserve">sur des aspects </w:t>
      </w:r>
      <w:r w:rsidR="00FE7D91">
        <w:rPr>
          <w:bCs/>
          <w:lang w:val="fr-FR"/>
        </w:rPr>
        <w:t xml:space="preserve">spécifiques </w:t>
      </w:r>
      <w:r w:rsidRPr="002F3DEE">
        <w:rPr>
          <w:bCs/>
          <w:lang w:val="fr-FR"/>
        </w:rPr>
        <w:t>prioritaires de la sauvegarde</w:t>
      </w:r>
      <w:r w:rsidR="003945E3">
        <w:rPr>
          <w:bCs/>
          <w:lang w:val="fr-FR"/>
        </w:rPr>
        <w:t>.</w:t>
      </w:r>
      <w:r w:rsidR="00FE7D91">
        <w:rPr>
          <w:bCs/>
          <w:lang w:val="fr-FR"/>
        </w:rPr>
        <w:t> »</w:t>
      </w:r>
      <w:r w:rsidRPr="002F3DEE">
        <w:rPr>
          <w:bCs/>
          <w:lang w:val="fr-FR"/>
        </w:rPr>
        <w:t xml:space="preserve"> Quatorze ans plus tard, cette </w:t>
      </w:r>
      <w:r w:rsidR="00FE7D91">
        <w:rPr>
          <w:bCs/>
          <w:lang w:val="fr-FR"/>
        </w:rPr>
        <w:t>d</w:t>
      </w:r>
      <w:r w:rsidRPr="002F3DEE">
        <w:rPr>
          <w:bCs/>
          <w:lang w:val="fr-FR"/>
        </w:rPr>
        <w:t>irective opérationnelle n</w:t>
      </w:r>
      <w:r w:rsidR="00923E72">
        <w:rPr>
          <w:bCs/>
          <w:lang w:val="fr-FR"/>
        </w:rPr>
        <w:t>’</w:t>
      </w:r>
      <w:r w:rsidRPr="002F3DEE">
        <w:rPr>
          <w:bCs/>
          <w:lang w:val="fr-FR"/>
        </w:rPr>
        <w:t>avait pas encore été utilisée par le Comité</w:t>
      </w:r>
      <w:r w:rsidR="00366642">
        <w:rPr>
          <w:bCs/>
          <w:lang w:val="fr-FR"/>
        </w:rPr>
        <w:t>,</w:t>
      </w:r>
      <w:r w:rsidRPr="002F3DEE">
        <w:rPr>
          <w:bCs/>
          <w:lang w:val="fr-FR"/>
        </w:rPr>
        <w:t xml:space="preserve"> alors qu</w:t>
      </w:r>
      <w:r w:rsidR="00923E72">
        <w:rPr>
          <w:bCs/>
          <w:lang w:val="fr-FR"/>
        </w:rPr>
        <w:t>’</w:t>
      </w:r>
      <w:r w:rsidRPr="002F3DEE">
        <w:rPr>
          <w:bCs/>
          <w:lang w:val="fr-FR"/>
        </w:rPr>
        <w:t xml:space="preserve">elle lui offrait des outils </w:t>
      </w:r>
      <w:r w:rsidR="00FE7D91">
        <w:rPr>
          <w:bCs/>
          <w:lang w:val="fr-FR"/>
        </w:rPr>
        <w:t xml:space="preserve">pour </w:t>
      </w:r>
      <w:r w:rsidRPr="002F3DEE">
        <w:rPr>
          <w:bCs/>
          <w:lang w:val="fr-FR"/>
        </w:rPr>
        <w:t>pilot</w:t>
      </w:r>
      <w:r w:rsidR="00FE7D91">
        <w:rPr>
          <w:bCs/>
          <w:lang w:val="fr-FR"/>
        </w:rPr>
        <w:t>er</w:t>
      </w:r>
      <w:r w:rsidRPr="002F3DEE">
        <w:rPr>
          <w:bCs/>
          <w:lang w:val="fr-FR"/>
        </w:rPr>
        <w:t>, inspir</w:t>
      </w:r>
      <w:r w:rsidR="00FE7D91">
        <w:rPr>
          <w:bCs/>
          <w:lang w:val="fr-FR"/>
        </w:rPr>
        <w:t>er</w:t>
      </w:r>
      <w:r w:rsidRPr="002F3DEE">
        <w:rPr>
          <w:bCs/>
          <w:lang w:val="fr-FR"/>
        </w:rPr>
        <w:t xml:space="preserve"> et</w:t>
      </w:r>
      <w:r w:rsidR="00FE7D91">
        <w:rPr>
          <w:bCs/>
          <w:lang w:val="fr-FR"/>
        </w:rPr>
        <w:t xml:space="preserve"> </w:t>
      </w:r>
      <w:r w:rsidRPr="002F3DEE">
        <w:rPr>
          <w:bCs/>
          <w:lang w:val="fr-FR"/>
        </w:rPr>
        <w:t>influence</w:t>
      </w:r>
      <w:r w:rsidR="00FE7D91">
        <w:rPr>
          <w:bCs/>
          <w:lang w:val="fr-FR"/>
        </w:rPr>
        <w:t>r</w:t>
      </w:r>
      <w:r w:rsidRPr="002F3DEE">
        <w:rPr>
          <w:bCs/>
          <w:lang w:val="fr-FR"/>
        </w:rPr>
        <w:t>. Le libellé de l</w:t>
      </w:r>
      <w:r w:rsidR="00923E72">
        <w:rPr>
          <w:bCs/>
          <w:lang w:val="fr-FR"/>
        </w:rPr>
        <w:t>’</w:t>
      </w:r>
      <w:r w:rsidRPr="002F3DEE">
        <w:rPr>
          <w:bCs/>
          <w:lang w:val="fr-FR"/>
        </w:rPr>
        <w:t>article</w:t>
      </w:r>
      <w:r w:rsidR="006E2130">
        <w:rPr>
          <w:bCs/>
          <w:lang w:val="fr-FR"/>
        </w:rPr>
        <w:t> </w:t>
      </w:r>
      <w:r w:rsidRPr="002F3DEE">
        <w:rPr>
          <w:bCs/>
          <w:lang w:val="fr-FR"/>
        </w:rPr>
        <w:t>18 o</w:t>
      </w:r>
      <w:r w:rsidR="00FE7D91">
        <w:rPr>
          <w:bCs/>
          <w:lang w:val="fr-FR"/>
        </w:rPr>
        <w:t>uvrait de</w:t>
      </w:r>
      <w:r w:rsidRPr="002F3DEE">
        <w:rPr>
          <w:bCs/>
          <w:lang w:val="fr-FR"/>
        </w:rPr>
        <w:t xml:space="preserve"> grandes possibilités</w:t>
      </w:r>
      <w:r w:rsidR="00366642">
        <w:rPr>
          <w:bCs/>
          <w:lang w:val="fr-FR"/>
        </w:rPr>
        <w:t>,</w:t>
      </w:r>
      <w:r w:rsidRPr="002F3DEE">
        <w:rPr>
          <w:bCs/>
          <w:lang w:val="fr-FR"/>
        </w:rPr>
        <w:t xml:space="preserve"> car il ne mentionnait pas explicitement un registre, mais invit</w:t>
      </w:r>
      <w:r w:rsidR="00FE7D91">
        <w:rPr>
          <w:bCs/>
          <w:lang w:val="fr-FR"/>
        </w:rPr>
        <w:t>er le</w:t>
      </w:r>
      <w:r w:rsidRPr="002F3DEE">
        <w:rPr>
          <w:bCs/>
          <w:lang w:val="fr-FR"/>
        </w:rPr>
        <w:t xml:space="preserve"> Comité</w:t>
      </w:r>
      <w:r w:rsidR="00FE7D91">
        <w:rPr>
          <w:bCs/>
          <w:lang w:val="fr-FR"/>
        </w:rPr>
        <w:t xml:space="preserve"> à </w:t>
      </w:r>
      <w:r w:rsidRPr="002F3DEE">
        <w:rPr>
          <w:bCs/>
          <w:lang w:val="fr-FR"/>
        </w:rPr>
        <w:t>sélectionne</w:t>
      </w:r>
      <w:r w:rsidR="00FE7D91">
        <w:rPr>
          <w:bCs/>
          <w:lang w:val="fr-FR"/>
        </w:rPr>
        <w:t>r</w:t>
      </w:r>
      <w:r w:rsidRPr="002F3DEE">
        <w:rPr>
          <w:bCs/>
          <w:lang w:val="fr-FR"/>
        </w:rPr>
        <w:t xml:space="preserve"> périodiquement et </w:t>
      </w:r>
      <w:r w:rsidR="00FE7D91">
        <w:rPr>
          <w:bCs/>
          <w:lang w:val="fr-FR"/>
        </w:rPr>
        <w:t xml:space="preserve">faire </w:t>
      </w:r>
      <w:r w:rsidRPr="002F3DEE">
        <w:rPr>
          <w:bCs/>
          <w:lang w:val="fr-FR"/>
        </w:rPr>
        <w:t>la promotion des programmes, projets et activités de caractère national, régional et sous-régional. On pouvait espérer que, dans le cadre du troisième sujet, la réflexion irait au-delà d</w:t>
      </w:r>
      <w:r w:rsidR="00923E72">
        <w:rPr>
          <w:bCs/>
          <w:lang w:val="fr-FR"/>
        </w:rPr>
        <w:t>’</w:t>
      </w:r>
      <w:r w:rsidRPr="002F3DEE">
        <w:rPr>
          <w:bCs/>
          <w:lang w:val="fr-FR"/>
        </w:rPr>
        <w:t>un seul registre et d</w:t>
      </w:r>
      <w:r w:rsidR="00923E72">
        <w:rPr>
          <w:bCs/>
          <w:lang w:val="fr-FR"/>
        </w:rPr>
        <w:t>’</w:t>
      </w:r>
      <w:r w:rsidRPr="002F3DEE">
        <w:rPr>
          <w:bCs/>
          <w:lang w:val="fr-FR"/>
        </w:rPr>
        <w:t>un seul observatoire,</w:t>
      </w:r>
      <w:r w:rsidR="00FE7D91">
        <w:rPr>
          <w:bCs/>
          <w:lang w:val="fr-FR"/>
        </w:rPr>
        <w:t xml:space="preserve"> par exemple, </w:t>
      </w:r>
      <w:r w:rsidRPr="002F3DEE">
        <w:rPr>
          <w:bCs/>
          <w:lang w:val="fr-FR"/>
        </w:rPr>
        <w:t xml:space="preserve">en recensant les enseignements tirés et les programmes, projets et activités intéressants </w:t>
      </w:r>
      <w:r w:rsidR="00FE7D91">
        <w:rPr>
          <w:bCs/>
          <w:lang w:val="fr-FR"/>
        </w:rPr>
        <w:t>signalés à l</w:t>
      </w:r>
      <w:r w:rsidR="00923E72">
        <w:rPr>
          <w:bCs/>
          <w:lang w:val="fr-FR"/>
        </w:rPr>
        <w:t>’</w:t>
      </w:r>
      <w:r w:rsidR="00FE7D91">
        <w:rPr>
          <w:bCs/>
          <w:lang w:val="fr-FR"/>
        </w:rPr>
        <w:t>occasion de</w:t>
      </w:r>
      <w:r w:rsidRPr="002F3DEE">
        <w:rPr>
          <w:bCs/>
          <w:lang w:val="fr-FR"/>
        </w:rPr>
        <w:t xml:space="preserve"> l</w:t>
      </w:r>
      <w:r w:rsidR="00923E72">
        <w:rPr>
          <w:bCs/>
          <w:lang w:val="fr-FR"/>
        </w:rPr>
        <w:t>’</w:t>
      </w:r>
      <w:r w:rsidRPr="002F3DEE">
        <w:rPr>
          <w:bCs/>
          <w:lang w:val="fr-FR"/>
        </w:rPr>
        <w:t>examen des rapports périodiques, désormais inspirés par le cadre global de résultats. En outre, il conviendrait d</w:t>
      </w:r>
      <w:r w:rsidR="00923E72">
        <w:rPr>
          <w:bCs/>
          <w:lang w:val="fr-FR"/>
        </w:rPr>
        <w:t>’</w:t>
      </w:r>
      <w:r w:rsidRPr="002F3DEE">
        <w:rPr>
          <w:bCs/>
          <w:lang w:val="fr-FR"/>
        </w:rPr>
        <w:t>exp</w:t>
      </w:r>
      <w:r w:rsidR="00FE7D91">
        <w:rPr>
          <w:bCs/>
          <w:lang w:val="fr-FR"/>
        </w:rPr>
        <w:t>loiter</w:t>
      </w:r>
      <w:r w:rsidR="006E2130">
        <w:rPr>
          <w:bCs/>
          <w:lang w:val="fr-FR"/>
        </w:rPr>
        <w:t>,</w:t>
      </w:r>
      <w:r w:rsidR="00FE7D91">
        <w:rPr>
          <w:bCs/>
          <w:lang w:val="fr-FR"/>
        </w:rPr>
        <w:t xml:space="preserve"> </w:t>
      </w:r>
      <w:r w:rsidR="006E2130">
        <w:rPr>
          <w:bCs/>
          <w:lang w:val="fr-FR"/>
        </w:rPr>
        <w:t>d</w:t>
      </w:r>
      <w:r w:rsidR="00923E72">
        <w:rPr>
          <w:bCs/>
          <w:lang w:val="fr-FR"/>
        </w:rPr>
        <w:t>’</w:t>
      </w:r>
      <w:r w:rsidR="006E2130">
        <w:rPr>
          <w:bCs/>
          <w:lang w:val="fr-FR"/>
        </w:rPr>
        <w:t xml:space="preserve">une part, </w:t>
      </w:r>
      <w:r w:rsidRPr="002F3DEE">
        <w:rPr>
          <w:bCs/>
          <w:lang w:val="fr-FR"/>
        </w:rPr>
        <w:t>les possibilités offertes par les plateformes électroniques et</w:t>
      </w:r>
      <w:r w:rsidR="006E2130">
        <w:rPr>
          <w:bCs/>
          <w:lang w:val="fr-FR"/>
        </w:rPr>
        <w:t>, d</w:t>
      </w:r>
      <w:r w:rsidR="00923E72">
        <w:rPr>
          <w:bCs/>
          <w:lang w:val="fr-FR"/>
        </w:rPr>
        <w:t>’</w:t>
      </w:r>
      <w:r w:rsidR="006E2130">
        <w:rPr>
          <w:bCs/>
          <w:lang w:val="fr-FR"/>
        </w:rPr>
        <w:t>autre part,</w:t>
      </w:r>
      <w:r w:rsidRPr="002F3DEE">
        <w:rPr>
          <w:bCs/>
          <w:lang w:val="fr-FR"/>
        </w:rPr>
        <w:t xml:space="preserve"> </w:t>
      </w:r>
      <w:r w:rsidR="006E2130">
        <w:rPr>
          <w:bCs/>
          <w:lang w:val="fr-FR"/>
        </w:rPr>
        <w:t xml:space="preserve">tous </w:t>
      </w:r>
      <w:r w:rsidRPr="002F3DEE">
        <w:rPr>
          <w:bCs/>
          <w:lang w:val="fr-FR"/>
        </w:rPr>
        <w:t xml:space="preserve">les moyens </w:t>
      </w:r>
      <w:r w:rsidR="006E2130">
        <w:rPr>
          <w:bCs/>
          <w:lang w:val="fr-FR"/>
        </w:rPr>
        <w:t>permettant d</w:t>
      </w:r>
      <w:r w:rsidR="00923E72">
        <w:rPr>
          <w:bCs/>
          <w:lang w:val="fr-FR"/>
        </w:rPr>
        <w:t>’</w:t>
      </w:r>
      <w:r w:rsidRPr="002F3DEE">
        <w:rPr>
          <w:bCs/>
          <w:lang w:val="fr-FR"/>
        </w:rPr>
        <w:t>impliquer les ONG, les chaires UNESCO et d</w:t>
      </w:r>
      <w:r w:rsidR="00923E72">
        <w:rPr>
          <w:bCs/>
          <w:lang w:val="fr-FR"/>
        </w:rPr>
        <w:t>’</w:t>
      </w:r>
      <w:r w:rsidRPr="002F3DEE">
        <w:rPr>
          <w:bCs/>
          <w:lang w:val="fr-FR"/>
        </w:rPr>
        <w:t>autres acteurs. La délégation a remercié la Suède, ajoutant que le troisième sujet pourrait être le meilleur cadeau d</w:t>
      </w:r>
      <w:r w:rsidR="00923E72">
        <w:rPr>
          <w:bCs/>
          <w:lang w:val="fr-FR"/>
        </w:rPr>
        <w:t>’</w:t>
      </w:r>
      <w:r w:rsidRPr="002F3DEE">
        <w:rPr>
          <w:bCs/>
          <w:lang w:val="fr-FR"/>
        </w:rPr>
        <w:t xml:space="preserve">anniversaire </w:t>
      </w:r>
      <w:r w:rsidR="006E2130">
        <w:rPr>
          <w:bCs/>
          <w:lang w:val="fr-FR"/>
        </w:rPr>
        <w:t>pour les</w:t>
      </w:r>
      <w:r w:rsidRPr="002F3DEE">
        <w:rPr>
          <w:bCs/>
          <w:lang w:val="fr-FR"/>
        </w:rPr>
        <w:t xml:space="preserve"> vingt ans de cette Convention.</w:t>
      </w:r>
    </w:p>
    <w:p w14:paraId="2436D4DE" w14:textId="4F48B86D" w:rsidR="00FE7D91" w:rsidRDefault="00FE7D91">
      <w:pPr>
        <w:pStyle w:val="Orateurengris"/>
        <w:numPr>
          <w:ilvl w:val="0"/>
          <w:numId w:val="20"/>
        </w:numPr>
        <w:tabs>
          <w:tab w:val="clear" w:pos="567"/>
          <w:tab w:val="left" w:pos="5954"/>
        </w:tabs>
        <w:spacing w:before="120"/>
        <w:ind w:left="709" w:hanging="709"/>
        <w:rPr>
          <w:bCs/>
          <w:lang w:val="fr-FR"/>
        </w:rPr>
      </w:pPr>
      <w:r w:rsidRPr="00FE7D91">
        <w:rPr>
          <w:bCs/>
          <w:lang w:val="fr-FR"/>
        </w:rPr>
        <w:t xml:space="preserve">La délégation des </w:t>
      </w:r>
      <w:r w:rsidRPr="00702497">
        <w:rPr>
          <w:b/>
          <w:lang w:val="fr-FR"/>
        </w:rPr>
        <w:t>Pays</w:t>
      </w:r>
      <w:r w:rsidR="006E2130">
        <w:rPr>
          <w:b/>
          <w:lang w:val="fr-FR"/>
        </w:rPr>
        <w:noBreakHyphen/>
      </w:r>
      <w:r w:rsidRPr="00702497">
        <w:rPr>
          <w:b/>
          <w:lang w:val="fr-FR"/>
        </w:rPr>
        <w:t>Bas</w:t>
      </w:r>
      <w:r w:rsidRPr="00FE7D91">
        <w:rPr>
          <w:bCs/>
          <w:lang w:val="fr-FR"/>
        </w:rPr>
        <w:t xml:space="preserve"> a remercié le Président pour son leadership et le Maroc pour son hospitalité. Les Pays</w:t>
      </w:r>
      <w:r w:rsidR="006E2130">
        <w:rPr>
          <w:bCs/>
          <w:lang w:val="fr-FR"/>
        </w:rPr>
        <w:noBreakHyphen/>
      </w:r>
      <w:r w:rsidRPr="00FE7D91">
        <w:rPr>
          <w:bCs/>
          <w:lang w:val="fr-FR"/>
        </w:rPr>
        <w:t xml:space="preserve">Bas avaient toujours soutenu des moyens alternatifs et plus légers de partager les bonnes pratiques de sauvegarde des </w:t>
      </w:r>
      <w:r w:rsidR="00382265">
        <w:rPr>
          <w:bCs/>
          <w:lang w:val="fr-FR"/>
        </w:rPr>
        <w:t>l</w:t>
      </w:r>
      <w:r w:rsidRPr="00FE7D91">
        <w:rPr>
          <w:bCs/>
          <w:lang w:val="fr-FR"/>
        </w:rPr>
        <w:t>istes, y compris le Registre. Ils ont remercié la Suède d</w:t>
      </w:r>
      <w:r w:rsidR="00923E72">
        <w:rPr>
          <w:bCs/>
          <w:lang w:val="fr-FR"/>
        </w:rPr>
        <w:t>’</w:t>
      </w:r>
      <w:r w:rsidRPr="00FE7D91">
        <w:rPr>
          <w:bCs/>
          <w:lang w:val="fr-FR"/>
        </w:rPr>
        <w:t>avoir organisé une réflexion distincte sur l</w:t>
      </w:r>
      <w:r w:rsidR="00923E72">
        <w:rPr>
          <w:bCs/>
          <w:lang w:val="fr-FR"/>
        </w:rPr>
        <w:t>’</w:t>
      </w:r>
      <w:r w:rsidRPr="00FE7D91">
        <w:rPr>
          <w:bCs/>
          <w:lang w:val="fr-FR"/>
        </w:rPr>
        <w:t>article</w:t>
      </w:r>
      <w:r w:rsidR="006E2130">
        <w:rPr>
          <w:bCs/>
          <w:lang w:val="fr-FR"/>
        </w:rPr>
        <w:t> </w:t>
      </w:r>
      <w:r w:rsidRPr="00FE7D91">
        <w:rPr>
          <w:bCs/>
          <w:lang w:val="fr-FR"/>
        </w:rPr>
        <w:t xml:space="preserve">18 de la Convention et ont </w:t>
      </w:r>
      <w:r w:rsidR="006E2130">
        <w:rPr>
          <w:bCs/>
          <w:lang w:val="fr-FR"/>
        </w:rPr>
        <w:t xml:space="preserve">manifesté </w:t>
      </w:r>
      <w:r w:rsidRPr="00FE7D91">
        <w:rPr>
          <w:bCs/>
          <w:lang w:val="fr-FR"/>
        </w:rPr>
        <w:t>leur intérêt à participer à la prochaine réflexion. Les Pays</w:t>
      </w:r>
      <w:r w:rsidR="006E2130">
        <w:rPr>
          <w:bCs/>
          <w:lang w:val="fr-FR"/>
        </w:rPr>
        <w:noBreakHyphen/>
      </w:r>
      <w:r w:rsidRPr="00FE7D91">
        <w:rPr>
          <w:bCs/>
          <w:lang w:val="fr-FR"/>
        </w:rPr>
        <w:t>Bas soutenaient les sujets de réflexion initiaux et espéraient que cette réflexion déboucherait sur des méthodes améliorées de promotion et de diffusion des bonnes pratiques de sauvegarde, qu</w:t>
      </w:r>
      <w:r w:rsidR="00923E72">
        <w:rPr>
          <w:bCs/>
          <w:lang w:val="fr-FR"/>
        </w:rPr>
        <w:t>’</w:t>
      </w:r>
      <w:r w:rsidRPr="00FE7D91">
        <w:rPr>
          <w:bCs/>
          <w:lang w:val="fr-FR"/>
        </w:rPr>
        <w:t xml:space="preserve">elles figurent ou non </w:t>
      </w:r>
      <w:r w:rsidR="00366642">
        <w:rPr>
          <w:bCs/>
          <w:lang w:val="fr-FR"/>
        </w:rPr>
        <w:t>au</w:t>
      </w:r>
      <w:r w:rsidRPr="00FE7D91">
        <w:rPr>
          <w:bCs/>
          <w:lang w:val="fr-FR"/>
        </w:rPr>
        <w:t xml:space="preserve"> Registre. La délégation soutenait également une nouvelle réduction des critères dans le but d</w:t>
      </w:r>
      <w:r w:rsidR="00923E72">
        <w:rPr>
          <w:bCs/>
          <w:lang w:val="fr-FR"/>
        </w:rPr>
        <w:t>’</w:t>
      </w:r>
      <w:r w:rsidRPr="00FE7D91">
        <w:rPr>
          <w:bCs/>
          <w:lang w:val="fr-FR"/>
        </w:rPr>
        <w:t>établir un mécanisme de filtrage et de validation plus léger permettant de partager le plus grand nombre possible de bons exemples. Ce processus de réflexion était l</w:t>
      </w:r>
      <w:r w:rsidR="00923E72">
        <w:rPr>
          <w:bCs/>
          <w:lang w:val="fr-FR"/>
        </w:rPr>
        <w:t>’</w:t>
      </w:r>
      <w:r w:rsidRPr="00FE7D91">
        <w:rPr>
          <w:bCs/>
          <w:lang w:val="fr-FR"/>
        </w:rPr>
        <w:t>occasion d</w:t>
      </w:r>
      <w:r w:rsidR="00382265">
        <w:rPr>
          <w:bCs/>
          <w:lang w:val="fr-FR"/>
        </w:rPr>
        <w:t>e concevoir</w:t>
      </w:r>
      <w:r w:rsidRPr="00FE7D91">
        <w:rPr>
          <w:bCs/>
          <w:lang w:val="fr-FR"/>
        </w:rPr>
        <w:t xml:space="preserve"> un outil présentant l</w:t>
      </w:r>
      <w:r w:rsidR="00923E72">
        <w:rPr>
          <w:bCs/>
          <w:lang w:val="fr-FR"/>
        </w:rPr>
        <w:t>’</w:t>
      </w:r>
      <w:r w:rsidRPr="00FE7D91">
        <w:rPr>
          <w:bCs/>
          <w:lang w:val="fr-FR"/>
        </w:rPr>
        <w:t>étendue des informations relatives à la sauvegarde du patrimoine immatériel. Aux Pays</w:t>
      </w:r>
      <w:r w:rsidR="006E2130">
        <w:rPr>
          <w:bCs/>
          <w:lang w:val="fr-FR"/>
        </w:rPr>
        <w:noBreakHyphen/>
      </w:r>
      <w:r w:rsidRPr="00FE7D91">
        <w:rPr>
          <w:bCs/>
          <w:lang w:val="fr-FR"/>
        </w:rPr>
        <w:t>Bas, les communautés étaient très désireuses de tirer des enseignements des exemples internationaux, en particulier lorsqu</w:t>
      </w:r>
      <w:r w:rsidR="00923E72">
        <w:rPr>
          <w:bCs/>
          <w:lang w:val="fr-FR"/>
        </w:rPr>
        <w:t>’</w:t>
      </w:r>
      <w:r w:rsidRPr="00FE7D91">
        <w:rPr>
          <w:bCs/>
          <w:lang w:val="fr-FR"/>
        </w:rPr>
        <w:t>elles rencontraient des difficultés au cours de leur travail de sauvegarde. En même temps, les communautés, et parfois les ONG, avaient l</w:t>
      </w:r>
      <w:r w:rsidR="00923E72">
        <w:rPr>
          <w:bCs/>
          <w:lang w:val="fr-FR"/>
        </w:rPr>
        <w:t>’</w:t>
      </w:r>
      <w:r w:rsidRPr="00FE7D91">
        <w:rPr>
          <w:bCs/>
          <w:lang w:val="fr-FR"/>
        </w:rPr>
        <w:t xml:space="preserve">impression que les informations et les outils sur le site </w:t>
      </w:r>
      <w:r w:rsidR="006E2130">
        <w:rPr>
          <w:bCs/>
          <w:lang w:val="fr-FR"/>
        </w:rPr>
        <w:t>w</w:t>
      </w:r>
      <w:r w:rsidRPr="00FE7D91">
        <w:rPr>
          <w:bCs/>
          <w:lang w:val="fr-FR"/>
        </w:rPr>
        <w:t>eb de l</w:t>
      </w:r>
      <w:r w:rsidR="00923E72">
        <w:rPr>
          <w:bCs/>
          <w:lang w:val="fr-FR"/>
        </w:rPr>
        <w:t>’</w:t>
      </w:r>
      <w:r w:rsidRPr="00FE7D91">
        <w:rPr>
          <w:bCs/>
          <w:lang w:val="fr-FR"/>
        </w:rPr>
        <w:t>UNESCO ne leur étaient pas destinés et, par conséquent, elles ne les utilisaient pas. La délégation s</w:t>
      </w:r>
      <w:r w:rsidR="00923E72">
        <w:rPr>
          <w:bCs/>
          <w:lang w:val="fr-FR"/>
        </w:rPr>
        <w:t>’</w:t>
      </w:r>
      <w:r w:rsidRPr="00FE7D91">
        <w:rPr>
          <w:bCs/>
          <w:lang w:val="fr-FR"/>
        </w:rPr>
        <w:t>est réjouie de pouvoir contribuer à la mise en place d</w:t>
      </w:r>
      <w:r w:rsidR="00923E72">
        <w:rPr>
          <w:bCs/>
          <w:lang w:val="fr-FR"/>
        </w:rPr>
        <w:t>’</w:t>
      </w:r>
      <w:r w:rsidRPr="00FE7D91">
        <w:rPr>
          <w:bCs/>
          <w:lang w:val="fr-FR"/>
        </w:rPr>
        <w:t>une plateforme en ligne à l</w:t>
      </w:r>
      <w:r w:rsidR="00923E72">
        <w:rPr>
          <w:bCs/>
          <w:lang w:val="fr-FR"/>
        </w:rPr>
        <w:t>’</w:t>
      </w:r>
      <w:r w:rsidRPr="00FE7D91">
        <w:rPr>
          <w:bCs/>
          <w:lang w:val="fr-FR"/>
        </w:rPr>
        <w:t>échelle mondiale avec des règles régionales, qui devrait être développée en fonction des besoins des communautés. Elle a encouragé le Secrétariat à impliquer les ONG dans ce projet.</w:t>
      </w:r>
    </w:p>
    <w:p w14:paraId="28D1BE5E" w14:textId="1E7AFF56" w:rsidR="00382265" w:rsidRDefault="00382265">
      <w:pPr>
        <w:pStyle w:val="Orateurengris"/>
        <w:numPr>
          <w:ilvl w:val="0"/>
          <w:numId w:val="20"/>
        </w:numPr>
        <w:tabs>
          <w:tab w:val="clear" w:pos="567"/>
          <w:tab w:val="left" w:pos="5954"/>
        </w:tabs>
        <w:spacing w:before="120"/>
        <w:ind w:left="709" w:hanging="709"/>
        <w:rPr>
          <w:bCs/>
          <w:lang w:val="fr-FR"/>
        </w:rPr>
      </w:pPr>
      <w:r w:rsidRPr="00382265">
        <w:rPr>
          <w:bCs/>
          <w:lang w:val="fr-FR"/>
        </w:rPr>
        <w:lastRenderedPageBreak/>
        <w:t xml:space="preserve">Le </w:t>
      </w:r>
      <w:r w:rsidRPr="00702497">
        <w:rPr>
          <w:b/>
          <w:lang w:val="fr-FR"/>
        </w:rPr>
        <w:t>Secrétaire</w:t>
      </w:r>
      <w:r w:rsidRPr="00382265">
        <w:rPr>
          <w:bCs/>
          <w:lang w:val="fr-FR"/>
        </w:rPr>
        <w:t xml:space="preserve"> a remercié les membres du Comité et les observateurs pour leurs réactions et commentaires encourageants. Il a convenu qu</w:t>
      </w:r>
      <w:r w:rsidR="00923E72">
        <w:rPr>
          <w:bCs/>
          <w:lang w:val="fr-FR"/>
        </w:rPr>
        <w:t>’</w:t>
      </w:r>
      <w:r w:rsidRPr="00382265">
        <w:rPr>
          <w:bCs/>
          <w:lang w:val="fr-FR"/>
        </w:rPr>
        <w:t>il y avait encore de nombreuses questions à débattre, mais que l</w:t>
      </w:r>
      <w:r w:rsidR="00923E72">
        <w:rPr>
          <w:bCs/>
          <w:lang w:val="fr-FR"/>
        </w:rPr>
        <w:t>’</w:t>
      </w:r>
      <w:r w:rsidRPr="00382265">
        <w:rPr>
          <w:bCs/>
          <w:lang w:val="fr-FR"/>
        </w:rPr>
        <w:t xml:space="preserve">utilisation des possibilités en ligne, un sujet sur lequel le Secrétariat avait beaucoup appris au cours des deux ou trois dernières années, avait permis de créer des réseaux et des connexions </w:t>
      </w:r>
      <w:r w:rsidR="00E47294">
        <w:rPr>
          <w:bCs/>
          <w:lang w:val="fr-FR"/>
        </w:rPr>
        <w:t xml:space="preserve">qui étaient </w:t>
      </w:r>
      <w:r w:rsidRPr="00382265">
        <w:rPr>
          <w:bCs/>
          <w:lang w:val="fr-FR"/>
        </w:rPr>
        <w:t>désormais plus faciles. Le Secrétariat estimait que l</w:t>
      </w:r>
      <w:r w:rsidR="00923E72">
        <w:rPr>
          <w:bCs/>
          <w:lang w:val="fr-FR"/>
        </w:rPr>
        <w:t>’</w:t>
      </w:r>
      <w:r w:rsidR="00F81D41">
        <w:rPr>
          <w:bCs/>
          <w:lang w:val="fr-FR"/>
        </w:rPr>
        <w:t>« </w:t>
      </w:r>
      <w:r w:rsidRPr="00382265">
        <w:rPr>
          <w:bCs/>
          <w:lang w:val="fr-FR"/>
        </w:rPr>
        <w:t>observatoire</w:t>
      </w:r>
      <w:r w:rsidR="00F81D41">
        <w:rPr>
          <w:bCs/>
          <w:lang w:val="fr-FR"/>
        </w:rPr>
        <w:t xml:space="preserve"> » </w:t>
      </w:r>
      <w:r w:rsidRPr="00382265">
        <w:rPr>
          <w:bCs/>
          <w:lang w:val="fr-FR"/>
        </w:rPr>
        <w:t>allait dans le sens de la création d</w:t>
      </w:r>
      <w:r w:rsidR="00923E72">
        <w:rPr>
          <w:bCs/>
          <w:lang w:val="fr-FR"/>
        </w:rPr>
        <w:t>’</w:t>
      </w:r>
      <w:r w:rsidRPr="00382265">
        <w:rPr>
          <w:bCs/>
          <w:lang w:val="fr-FR"/>
        </w:rPr>
        <w:t>une plateforme d</w:t>
      </w:r>
      <w:r w:rsidR="00923E72">
        <w:rPr>
          <w:bCs/>
          <w:lang w:val="fr-FR"/>
        </w:rPr>
        <w:t>’</w:t>
      </w:r>
      <w:r w:rsidRPr="00382265">
        <w:rPr>
          <w:bCs/>
          <w:lang w:val="fr-FR"/>
        </w:rPr>
        <w:t>échange, d</w:t>
      </w:r>
      <w:r w:rsidR="00923E72">
        <w:rPr>
          <w:bCs/>
          <w:lang w:val="fr-FR"/>
        </w:rPr>
        <w:t>’</w:t>
      </w:r>
      <w:r w:rsidRPr="00382265">
        <w:rPr>
          <w:bCs/>
          <w:lang w:val="fr-FR"/>
        </w:rPr>
        <w:t xml:space="preserve">un mécanisme en ligne. Le Secrétaire </w:t>
      </w:r>
      <w:r w:rsidR="00F81D41">
        <w:rPr>
          <w:bCs/>
          <w:lang w:val="fr-FR"/>
        </w:rPr>
        <w:t>avait pris</w:t>
      </w:r>
      <w:r w:rsidRPr="00382265">
        <w:rPr>
          <w:bCs/>
          <w:lang w:val="fr-FR"/>
        </w:rPr>
        <w:t xml:space="preserve"> note des remarques sur le site </w:t>
      </w:r>
      <w:r w:rsidR="006E2130">
        <w:rPr>
          <w:bCs/>
          <w:lang w:val="fr-FR"/>
        </w:rPr>
        <w:t>w</w:t>
      </w:r>
      <w:r w:rsidRPr="00382265">
        <w:rPr>
          <w:bCs/>
          <w:lang w:val="fr-FR"/>
        </w:rPr>
        <w:t>eb de la Convention. Le Secrétariat s</w:t>
      </w:r>
      <w:r w:rsidR="00923E72">
        <w:rPr>
          <w:bCs/>
          <w:lang w:val="fr-FR"/>
        </w:rPr>
        <w:t>’</w:t>
      </w:r>
      <w:r w:rsidRPr="00382265">
        <w:rPr>
          <w:bCs/>
          <w:lang w:val="fr-FR"/>
        </w:rPr>
        <w:t>efforçait de présenter les informations d</w:t>
      </w:r>
      <w:r w:rsidR="00923E72">
        <w:rPr>
          <w:bCs/>
          <w:lang w:val="fr-FR"/>
        </w:rPr>
        <w:t>’</w:t>
      </w:r>
      <w:r w:rsidRPr="00382265">
        <w:rPr>
          <w:bCs/>
          <w:lang w:val="fr-FR"/>
        </w:rPr>
        <w:t>une manière plus accessible mais, bien entendu, les documents statutaires n</w:t>
      </w:r>
      <w:r w:rsidR="00923E72">
        <w:rPr>
          <w:bCs/>
          <w:lang w:val="fr-FR"/>
        </w:rPr>
        <w:t>’</w:t>
      </w:r>
      <w:r w:rsidRPr="00382265">
        <w:rPr>
          <w:bCs/>
          <w:lang w:val="fr-FR"/>
        </w:rPr>
        <w:t xml:space="preserve">étaient pas nécessairement accessibles aux communautés dans </w:t>
      </w:r>
      <w:r w:rsidR="00F81D41">
        <w:rPr>
          <w:bCs/>
          <w:lang w:val="fr-FR"/>
        </w:rPr>
        <w:t>une</w:t>
      </w:r>
      <w:r w:rsidRPr="00382265">
        <w:rPr>
          <w:bCs/>
          <w:lang w:val="fr-FR"/>
        </w:rPr>
        <w:t xml:space="preserve"> langue qu</w:t>
      </w:r>
      <w:r w:rsidR="00923E72">
        <w:rPr>
          <w:bCs/>
          <w:lang w:val="fr-FR"/>
        </w:rPr>
        <w:t>’</w:t>
      </w:r>
      <w:r w:rsidRPr="00382265">
        <w:rPr>
          <w:bCs/>
          <w:lang w:val="fr-FR"/>
        </w:rPr>
        <w:t>elles comprenaient. Le Secrétaire a remercié les orateurs pour leurs idées, en les rassurant sur le fait que leurs commentaires s</w:t>
      </w:r>
      <w:r w:rsidR="00923E72">
        <w:rPr>
          <w:bCs/>
          <w:lang w:val="fr-FR"/>
        </w:rPr>
        <w:t>’</w:t>
      </w:r>
      <w:r w:rsidRPr="00382265">
        <w:rPr>
          <w:bCs/>
          <w:lang w:val="fr-FR"/>
        </w:rPr>
        <w:t>inscrivaient dans le droit fil des sujets de réflexion proposés par le Secrétariat. En effet, c</w:t>
      </w:r>
      <w:r w:rsidR="00923E72">
        <w:rPr>
          <w:bCs/>
          <w:lang w:val="fr-FR"/>
        </w:rPr>
        <w:t>’</w:t>
      </w:r>
      <w:r w:rsidRPr="00382265">
        <w:rPr>
          <w:bCs/>
          <w:lang w:val="fr-FR"/>
        </w:rPr>
        <w:t xml:space="preserve">était un moment passionnant pour </w:t>
      </w:r>
      <w:r w:rsidR="00F81D41">
        <w:rPr>
          <w:bCs/>
          <w:lang w:val="fr-FR"/>
        </w:rPr>
        <w:t xml:space="preserve">penser différemment, être créatif </w:t>
      </w:r>
      <w:r w:rsidRPr="00382265">
        <w:rPr>
          <w:bCs/>
          <w:lang w:val="fr-FR"/>
        </w:rPr>
        <w:t>et voir comment la Convention pouvait devenir une plateforme pour un plus grand échange et un meilleur partage des bonnes pratiques de sauvegarde</w:t>
      </w:r>
      <w:r w:rsidR="00A3101E">
        <w:rPr>
          <w:bCs/>
          <w:lang w:val="fr-FR"/>
        </w:rPr>
        <w:t>,</w:t>
      </w:r>
      <w:r w:rsidRPr="00382265">
        <w:rPr>
          <w:bCs/>
          <w:lang w:val="fr-FR"/>
        </w:rPr>
        <w:t xml:space="preserve"> ainsi que pour plus d</w:t>
      </w:r>
      <w:r w:rsidR="00923E72">
        <w:rPr>
          <w:bCs/>
          <w:lang w:val="fr-FR"/>
        </w:rPr>
        <w:t>’</w:t>
      </w:r>
      <w:r w:rsidRPr="00382265">
        <w:rPr>
          <w:bCs/>
          <w:lang w:val="fr-FR"/>
        </w:rPr>
        <w:t xml:space="preserve">échanges entre les personnes </w:t>
      </w:r>
      <w:r w:rsidR="009D213F">
        <w:rPr>
          <w:bCs/>
          <w:lang w:val="fr-FR"/>
        </w:rPr>
        <w:t>qui, dans le</w:t>
      </w:r>
      <w:r w:rsidRPr="00382265">
        <w:rPr>
          <w:bCs/>
          <w:lang w:val="fr-FR"/>
        </w:rPr>
        <w:t xml:space="preserve"> monde entier</w:t>
      </w:r>
      <w:r w:rsidR="009D213F">
        <w:rPr>
          <w:bCs/>
          <w:lang w:val="fr-FR"/>
        </w:rPr>
        <w:t>,</w:t>
      </w:r>
      <w:r w:rsidRPr="00382265">
        <w:rPr>
          <w:bCs/>
          <w:lang w:val="fr-FR"/>
        </w:rPr>
        <w:t xml:space="preserve"> s</w:t>
      </w:r>
      <w:r w:rsidR="00923E72">
        <w:rPr>
          <w:bCs/>
          <w:lang w:val="fr-FR"/>
        </w:rPr>
        <w:t>’</w:t>
      </w:r>
      <w:r w:rsidRPr="00382265">
        <w:rPr>
          <w:bCs/>
          <w:lang w:val="fr-FR"/>
        </w:rPr>
        <w:t>engagent à sauvegarder le patrimoine vivant.</w:t>
      </w:r>
    </w:p>
    <w:p w14:paraId="30AA40CA" w14:textId="3D733AAE" w:rsidR="00F81D41" w:rsidRDefault="00F81D41">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projet de décision dans son ensemble. </w:t>
      </w:r>
      <w:r w:rsidRPr="00F81D41">
        <w:rPr>
          <w:bCs/>
          <w:lang w:val="fr-FR"/>
        </w:rPr>
        <w:t>En l</w:t>
      </w:r>
      <w:r w:rsidR="00923E72">
        <w:rPr>
          <w:bCs/>
          <w:lang w:val="fr-FR"/>
        </w:rPr>
        <w:t>’</w:t>
      </w:r>
      <w:r w:rsidRPr="00F81D41">
        <w:rPr>
          <w:bCs/>
          <w:lang w:val="fr-FR"/>
        </w:rPr>
        <w:t>absence</w:t>
      </w:r>
      <w:r>
        <w:rPr>
          <w:bCs/>
          <w:lang w:val="fr-FR"/>
        </w:rPr>
        <w:t xml:space="preserve"> d</w:t>
      </w:r>
      <w:r w:rsidR="00923E72">
        <w:rPr>
          <w:bCs/>
          <w:lang w:val="fr-FR"/>
        </w:rPr>
        <w:t>’</w:t>
      </w:r>
      <w:r w:rsidRPr="00F81D41">
        <w:rPr>
          <w:bCs/>
          <w:lang w:val="fr-FR"/>
        </w:rPr>
        <w:t>objections</w:t>
      </w:r>
      <w:r>
        <w:rPr>
          <w:bCs/>
          <w:lang w:val="fr-FR"/>
        </w:rPr>
        <w:t xml:space="preserve">, le </w:t>
      </w:r>
      <w:r w:rsidRPr="00702497">
        <w:rPr>
          <w:b/>
          <w:lang w:val="fr-FR"/>
        </w:rPr>
        <w:t>Président a déclaré la décision</w:t>
      </w:r>
      <w:hyperlink r:id="rId99" w:history="1">
        <w:r w:rsidRPr="006E3034">
          <w:rPr>
            <w:rStyle w:val="Hyperlink"/>
            <w:b/>
            <w:lang w:val="fr-FR"/>
          </w:rPr>
          <w:t> 17.COM 10</w:t>
        </w:r>
      </w:hyperlink>
      <w:r w:rsidRPr="00702497">
        <w:rPr>
          <w:b/>
          <w:lang w:val="fr-FR"/>
        </w:rPr>
        <w:t xml:space="preserve"> adoptée</w:t>
      </w:r>
      <w:r>
        <w:rPr>
          <w:bCs/>
          <w:lang w:val="fr-FR"/>
        </w:rPr>
        <w:t>.</w:t>
      </w:r>
    </w:p>
    <w:p w14:paraId="30D44415" w14:textId="089EFD68" w:rsidR="00F81D41" w:rsidRPr="00702497" w:rsidRDefault="00F0166C" w:rsidP="00702497">
      <w:pPr>
        <w:pStyle w:val="Marge"/>
        <w:keepNext/>
        <w:tabs>
          <w:tab w:val="clear" w:pos="567"/>
          <w:tab w:val="left" w:pos="709"/>
          <w:tab w:val="left" w:pos="1418"/>
          <w:tab w:val="left" w:pos="2126"/>
          <w:tab w:val="left" w:pos="2835"/>
        </w:tabs>
        <w:spacing w:before="360" w:after="60"/>
        <w:jc w:val="left"/>
        <w:outlineLvl w:val="0"/>
        <w:rPr>
          <w:rFonts w:eastAsiaTheme="minorHAnsi"/>
          <w:b/>
          <w:color w:val="000000" w:themeColor="text1"/>
        </w:rPr>
      </w:pPr>
      <w:r w:rsidRPr="00F0166C">
        <w:rPr>
          <w:rFonts w:eastAsiaTheme="minorHAnsi"/>
          <w:b/>
          <w:color w:val="000000" w:themeColor="text1"/>
          <w:u w:val="single"/>
        </w:rPr>
        <w:t>POINT</w:t>
      </w:r>
      <w:r w:rsidR="0073323E">
        <w:rPr>
          <w:rFonts w:eastAsiaTheme="minorHAnsi"/>
          <w:b/>
          <w:color w:val="000000" w:themeColor="text1"/>
          <w:u w:val="single"/>
        </w:rPr>
        <w:t> </w:t>
      </w:r>
      <w:r w:rsidRPr="00F0166C">
        <w:rPr>
          <w:rFonts w:eastAsiaTheme="minorHAnsi"/>
          <w:b/>
          <w:color w:val="000000" w:themeColor="text1"/>
          <w:u w:val="single"/>
        </w:rPr>
        <w:t>11 DE L</w:t>
      </w:r>
      <w:r w:rsidR="00923E72">
        <w:rPr>
          <w:rFonts w:eastAsiaTheme="minorHAnsi"/>
          <w:b/>
          <w:color w:val="000000" w:themeColor="text1"/>
          <w:u w:val="single"/>
        </w:rPr>
        <w:t>’</w:t>
      </w:r>
      <w:r w:rsidRPr="00F0166C">
        <w:rPr>
          <w:rFonts w:eastAsiaTheme="minorHAnsi"/>
          <w:b/>
          <w:color w:val="000000" w:themeColor="text1"/>
          <w:u w:val="single"/>
        </w:rPr>
        <w:t>ORDRE DU JOUR</w:t>
      </w:r>
      <w:r w:rsidRPr="00F0166C">
        <w:rPr>
          <w:rFonts w:eastAsiaTheme="minorHAnsi"/>
          <w:b/>
          <w:color w:val="000000" w:themeColor="text1"/>
        </w:rPr>
        <w:t> :</w:t>
      </w:r>
    </w:p>
    <w:p w14:paraId="5A44B411" w14:textId="43B27A65" w:rsidR="00F81D41" w:rsidRPr="00702497" w:rsidRDefault="00F0166C" w:rsidP="00702497">
      <w:pPr>
        <w:pStyle w:val="Orateurengris"/>
        <w:tabs>
          <w:tab w:val="clear" w:pos="709"/>
          <w:tab w:val="clear" w:pos="1418"/>
          <w:tab w:val="clear" w:pos="2126"/>
          <w:tab w:val="clear" w:pos="2835"/>
        </w:tabs>
        <w:spacing w:after="0"/>
        <w:outlineLvl w:val="0"/>
        <w:rPr>
          <w:b/>
          <w:color w:val="000000" w:themeColor="text1"/>
          <w:lang w:val="fr-FR"/>
        </w:rPr>
      </w:pPr>
      <w:r w:rsidRPr="00F0166C">
        <w:rPr>
          <w:b/>
          <w:color w:val="000000" w:themeColor="text1"/>
          <w:lang w:val="fr-FR"/>
        </w:rPr>
        <w:t>STRATÉGIE POUR LE SUIVI, L</w:t>
      </w:r>
      <w:r w:rsidR="00923E72">
        <w:rPr>
          <w:b/>
          <w:color w:val="000000" w:themeColor="text1"/>
          <w:lang w:val="fr-FR"/>
        </w:rPr>
        <w:t>’</w:t>
      </w:r>
      <w:r w:rsidRPr="00F0166C">
        <w:rPr>
          <w:b/>
          <w:color w:val="000000" w:themeColor="text1"/>
          <w:lang w:val="fr-FR"/>
        </w:rPr>
        <w:t>ÉVALUATION ET L</w:t>
      </w:r>
      <w:r w:rsidR="00923E72">
        <w:rPr>
          <w:b/>
          <w:color w:val="000000" w:themeColor="text1"/>
          <w:lang w:val="fr-FR"/>
        </w:rPr>
        <w:t>’</w:t>
      </w:r>
      <w:r w:rsidRPr="00F0166C">
        <w:rPr>
          <w:b/>
          <w:color w:val="000000" w:themeColor="text1"/>
          <w:lang w:val="fr-FR"/>
        </w:rPr>
        <w:t>IDENTIFICATION DES ENSEIGNEMENTS TIR</w:t>
      </w:r>
      <w:r>
        <w:rPr>
          <w:b/>
          <w:color w:val="000000" w:themeColor="text1"/>
          <w:lang w:val="fr-FR"/>
        </w:rPr>
        <w:t>É</w:t>
      </w:r>
      <w:r w:rsidRPr="00F0166C">
        <w:rPr>
          <w:b/>
          <w:color w:val="000000" w:themeColor="text1"/>
          <w:lang w:val="fr-FR"/>
        </w:rPr>
        <w:t>S DES PROJETS D</w:t>
      </w:r>
      <w:r w:rsidR="00923E72">
        <w:rPr>
          <w:b/>
          <w:color w:val="000000" w:themeColor="text1"/>
          <w:lang w:val="fr-FR"/>
        </w:rPr>
        <w:t>’</w:t>
      </w:r>
      <w:r>
        <w:rPr>
          <w:b/>
          <w:color w:val="000000" w:themeColor="text1"/>
          <w:lang w:val="fr-FR"/>
        </w:rPr>
        <w:t>ASSISTANCE INTERNATIONALE</w:t>
      </w:r>
    </w:p>
    <w:p w14:paraId="18BCD33C" w14:textId="306CE127" w:rsidR="00F81D41" w:rsidRPr="00F0166C" w:rsidRDefault="00F81D41" w:rsidP="00702497">
      <w:pPr>
        <w:pStyle w:val="Orateurengris"/>
        <w:tabs>
          <w:tab w:val="clear" w:pos="709"/>
          <w:tab w:val="clear" w:pos="1418"/>
          <w:tab w:val="clear" w:pos="2126"/>
          <w:tab w:val="clear" w:pos="2835"/>
        </w:tabs>
        <w:spacing w:after="0"/>
        <w:ind w:left="567" w:firstLine="142"/>
        <w:rPr>
          <w:lang w:val="fr-FR"/>
        </w:rPr>
      </w:pPr>
      <w:r w:rsidRPr="00F0166C">
        <w:rPr>
          <w:b/>
          <w:color w:val="000000" w:themeColor="text1"/>
          <w:lang w:val="fr-FR"/>
        </w:rPr>
        <w:t>Document</w:t>
      </w:r>
      <w:r w:rsidR="00866A3B" w:rsidRPr="00F0166C">
        <w:rPr>
          <w:b/>
          <w:color w:val="000000" w:themeColor="text1"/>
          <w:lang w:val="fr-FR"/>
        </w:rPr>
        <w:t> :</w:t>
      </w:r>
      <w:r w:rsidRPr="00F0166C">
        <w:rPr>
          <w:b/>
          <w:iCs/>
          <w:color w:val="000000" w:themeColor="text1"/>
          <w:lang w:val="fr-FR"/>
        </w:rPr>
        <w:tab/>
      </w:r>
      <w:hyperlink r:id="rId100" w:history="1">
        <w:r w:rsidRPr="00F0166C">
          <w:rPr>
            <w:rStyle w:val="Hyperlink"/>
            <w:i/>
            <w:lang w:val="fr-FR"/>
          </w:rPr>
          <w:t>LHE/22/17.COM/11</w:t>
        </w:r>
      </w:hyperlink>
    </w:p>
    <w:p w14:paraId="1F005D38" w14:textId="513996CE" w:rsidR="00F81D41" w:rsidRPr="00F0166C" w:rsidRDefault="00F81D41" w:rsidP="00702497">
      <w:pPr>
        <w:pStyle w:val="Orateurengris"/>
        <w:tabs>
          <w:tab w:val="clear" w:pos="709"/>
          <w:tab w:val="clear" w:pos="1418"/>
          <w:tab w:val="clear" w:pos="2126"/>
          <w:tab w:val="clear" w:pos="2835"/>
        </w:tabs>
        <w:spacing w:before="60" w:after="240"/>
        <w:ind w:left="567" w:firstLine="142"/>
        <w:rPr>
          <w:rStyle w:val="Hyperlink"/>
          <w:i/>
          <w:lang w:val="fr-FR"/>
        </w:rPr>
      </w:pPr>
      <w:r w:rsidRPr="00702497">
        <w:rPr>
          <w:b/>
          <w:color w:val="000000" w:themeColor="text1"/>
          <w:lang w:val="fr-FR"/>
        </w:rPr>
        <w:t>D</w:t>
      </w:r>
      <w:r w:rsidR="00866A3B" w:rsidRPr="00F0166C">
        <w:rPr>
          <w:b/>
          <w:color w:val="000000" w:themeColor="text1"/>
          <w:lang w:val="fr-FR"/>
        </w:rPr>
        <w:t>é</w:t>
      </w:r>
      <w:r w:rsidRPr="00F0166C">
        <w:rPr>
          <w:b/>
          <w:color w:val="000000" w:themeColor="text1"/>
          <w:lang w:val="fr-FR"/>
        </w:rPr>
        <w:t>cision</w:t>
      </w:r>
      <w:r w:rsidR="00866A3B" w:rsidRPr="00F0166C">
        <w:rPr>
          <w:b/>
          <w:color w:val="000000" w:themeColor="text1"/>
          <w:lang w:val="fr-FR"/>
        </w:rPr>
        <w:t> :</w:t>
      </w:r>
      <w:r w:rsidRPr="00F0166C">
        <w:rPr>
          <w:bCs/>
          <w:color w:val="000000" w:themeColor="text1"/>
          <w:lang w:val="fr-FR"/>
        </w:rPr>
        <w:tab/>
      </w:r>
      <w:hyperlink r:id="rId101" w:history="1">
        <w:r w:rsidRPr="00F0166C">
          <w:rPr>
            <w:rStyle w:val="Hyperlink"/>
            <w:i/>
            <w:lang w:val="fr-FR"/>
          </w:rPr>
          <w:t>17.COM</w:t>
        </w:r>
        <w:r w:rsidR="009D213F">
          <w:rPr>
            <w:rStyle w:val="Hyperlink"/>
            <w:i/>
            <w:lang w:val="fr-FR"/>
          </w:rPr>
          <w:t> </w:t>
        </w:r>
        <w:r w:rsidRPr="00F0166C">
          <w:rPr>
            <w:rStyle w:val="Hyperlink"/>
            <w:i/>
            <w:lang w:val="fr-FR"/>
          </w:rPr>
          <w:t>11</w:t>
        </w:r>
      </w:hyperlink>
    </w:p>
    <w:p w14:paraId="1BB485FA" w14:textId="27C56433" w:rsidR="00F81D41" w:rsidRDefault="00F0166C">
      <w:pPr>
        <w:pStyle w:val="Orateurengris"/>
        <w:numPr>
          <w:ilvl w:val="0"/>
          <w:numId w:val="20"/>
        </w:numPr>
        <w:tabs>
          <w:tab w:val="clear" w:pos="567"/>
          <w:tab w:val="left" w:pos="5954"/>
        </w:tabs>
        <w:spacing w:before="120"/>
        <w:ind w:left="709" w:hanging="709"/>
        <w:rPr>
          <w:bCs/>
          <w:lang w:val="fr-FR"/>
        </w:rPr>
      </w:pPr>
      <w:r w:rsidRPr="00F0166C">
        <w:rPr>
          <w:bCs/>
          <w:lang w:val="fr-FR"/>
        </w:rPr>
        <w:t xml:space="preserve">Le </w:t>
      </w:r>
      <w:r w:rsidRPr="00702497">
        <w:rPr>
          <w:b/>
          <w:lang w:val="fr-FR"/>
        </w:rPr>
        <w:t>Président</w:t>
      </w:r>
      <w:r w:rsidRPr="00F0166C">
        <w:rPr>
          <w:bCs/>
          <w:lang w:val="fr-FR"/>
        </w:rPr>
        <w:t xml:space="preserve"> est passé au point</w:t>
      </w:r>
      <w:r w:rsidR="009D213F">
        <w:rPr>
          <w:bCs/>
          <w:lang w:val="fr-FR"/>
        </w:rPr>
        <w:t> </w:t>
      </w:r>
      <w:r w:rsidRPr="00F0166C">
        <w:rPr>
          <w:bCs/>
          <w:lang w:val="fr-FR"/>
        </w:rPr>
        <w:t>11 de l</w:t>
      </w:r>
      <w:r w:rsidR="00923E72">
        <w:rPr>
          <w:bCs/>
          <w:lang w:val="fr-FR"/>
        </w:rPr>
        <w:t>’</w:t>
      </w:r>
      <w:r w:rsidRPr="00F0166C">
        <w:rPr>
          <w:bCs/>
          <w:lang w:val="fr-FR"/>
        </w:rPr>
        <w:t>ordre du jour</w:t>
      </w:r>
      <w:r>
        <w:rPr>
          <w:bCs/>
          <w:lang w:val="fr-FR"/>
        </w:rPr>
        <w:t xml:space="preserve">, </w:t>
      </w:r>
      <w:r w:rsidRPr="00F0166C">
        <w:rPr>
          <w:bCs/>
          <w:lang w:val="fr-FR"/>
        </w:rPr>
        <w:t xml:space="preserve">la stratégie </w:t>
      </w:r>
      <w:r>
        <w:rPr>
          <w:bCs/>
          <w:lang w:val="fr-FR"/>
        </w:rPr>
        <w:t>pour le</w:t>
      </w:r>
      <w:r w:rsidRPr="00F0166C">
        <w:rPr>
          <w:bCs/>
          <w:lang w:val="fr-FR"/>
        </w:rPr>
        <w:t xml:space="preserve"> suivi, </w:t>
      </w:r>
      <w:r>
        <w:rPr>
          <w:bCs/>
          <w:lang w:val="fr-FR"/>
        </w:rPr>
        <w:t>l</w:t>
      </w:r>
      <w:r w:rsidR="00923E72">
        <w:rPr>
          <w:bCs/>
          <w:lang w:val="fr-FR"/>
        </w:rPr>
        <w:t>’</w:t>
      </w:r>
      <w:r w:rsidRPr="00F0166C">
        <w:rPr>
          <w:bCs/>
          <w:lang w:val="fr-FR"/>
        </w:rPr>
        <w:t xml:space="preserve">évaluation et </w:t>
      </w:r>
      <w:r>
        <w:rPr>
          <w:bCs/>
          <w:lang w:val="fr-FR"/>
        </w:rPr>
        <w:t>l</w:t>
      </w:r>
      <w:r w:rsidR="00923E72">
        <w:rPr>
          <w:bCs/>
          <w:lang w:val="fr-FR"/>
        </w:rPr>
        <w:t>’</w:t>
      </w:r>
      <w:r w:rsidRPr="00F0166C">
        <w:rPr>
          <w:bCs/>
          <w:lang w:val="fr-FR"/>
        </w:rPr>
        <w:t>identification des enseignements tirés de l</w:t>
      </w:r>
      <w:r w:rsidR="00923E72">
        <w:rPr>
          <w:bCs/>
          <w:lang w:val="fr-FR"/>
        </w:rPr>
        <w:t>’</w:t>
      </w:r>
      <w:r w:rsidRPr="00F0166C">
        <w:rPr>
          <w:bCs/>
          <w:lang w:val="fr-FR"/>
        </w:rPr>
        <w:t>assistance internationale, un des piliers du mécanisme de coopération internationale dans le cadre de la Convention, opérationnel depuis 2008</w:t>
      </w:r>
      <w:r w:rsidR="009D213F">
        <w:rPr>
          <w:bCs/>
          <w:lang w:val="fr-FR"/>
        </w:rPr>
        <w:t xml:space="preserve">. Il a </w:t>
      </w:r>
      <w:r>
        <w:rPr>
          <w:bCs/>
          <w:lang w:val="fr-FR"/>
        </w:rPr>
        <w:t>rappel</w:t>
      </w:r>
      <w:r w:rsidR="009D213F">
        <w:rPr>
          <w:bCs/>
          <w:lang w:val="fr-FR"/>
        </w:rPr>
        <w:t>é</w:t>
      </w:r>
      <w:r>
        <w:rPr>
          <w:bCs/>
          <w:lang w:val="fr-FR"/>
        </w:rPr>
        <w:t xml:space="preserve"> que c</w:t>
      </w:r>
      <w:r w:rsidRPr="00F0166C">
        <w:rPr>
          <w:bCs/>
          <w:lang w:val="fr-FR"/>
        </w:rPr>
        <w:t>ette stratégie constitu</w:t>
      </w:r>
      <w:r>
        <w:rPr>
          <w:bCs/>
          <w:lang w:val="fr-FR"/>
        </w:rPr>
        <w:t>e</w:t>
      </w:r>
      <w:r w:rsidRPr="00F0166C">
        <w:rPr>
          <w:bCs/>
          <w:lang w:val="fr-FR"/>
        </w:rPr>
        <w:t xml:space="preserve"> une étape importante pour le mécanisme d</w:t>
      </w:r>
      <w:r w:rsidR="00923E72">
        <w:rPr>
          <w:bCs/>
          <w:lang w:val="fr-FR"/>
        </w:rPr>
        <w:t>’</w:t>
      </w:r>
      <w:r w:rsidRPr="00F0166C">
        <w:rPr>
          <w:bCs/>
          <w:lang w:val="fr-FR"/>
        </w:rPr>
        <w:t>assistance internationale.</w:t>
      </w:r>
    </w:p>
    <w:p w14:paraId="28D878BF" w14:textId="536A69FD" w:rsidR="00F0166C" w:rsidRDefault="00F0166C">
      <w:pPr>
        <w:pStyle w:val="Orateurengris"/>
        <w:numPr>
          <w:ilvl w:val="0"/>
          <w:numId w:val="20"/>
        </w:numPr>
        <w:tabs>
          <w:tab w:val="clear" w:pos="567"/>
          <w:tab w:val="left" w:pos="5954"/>
        </w:tabs>
        <w:spacing w:before="120"/>
        <w:ind w:left="709" w:hanging="709"/>
        <w:rPr>
          <w:bCs/>
          <w:lang w:val="fr-FR"/>
        </w:rPr>
      </w:pPr>
      <w:r w:rsidRPr="00F0166C">
        <w:rPr>
          <w:bCs/>
          <w:lang w:val="fr-FR"/>
        </w:rPr>
        <w:t xml:space="preserve">Le </w:t>
      </w:r>
      <w:r w:rsidRPr="00702497">
        <w:rPr>
          <w:b/>
          <w:lang w:val="fr-FR"/>
        </w:rPr>
        <w:t>Secrétaire</w:t>
      </w:r>
      <w:r w:rsidRPr="00F0166C">
        <w:rPr>
          <w:bCs/>
          <w:lang w:val="fr-FR"/>
        </w:rPr>
        <w:t xml:space="preserve"> a expliqué que le Secrétariat souhaitait présenter une stratégie pour le suivi et l</w:t>
      </w:r>
      <w:r w:rsidR="00923E72">
        <w:rPr>
          <w:bCs/>
          <w:lang w:val="fr-FR"/>
        </w:rPr>
        <w:t>’</w:t>
      </w:r>
      <w:r w:rsidRPr="00F0166C">
        <w:rPr>
          <w:bCs/>
          <w:lang w:val="fr-FR"/>
        </w:rPr>
        <w:t>évaluation du mécanisme d</w:t>
      </w:r>
      <w:r w:rsidR="00923E72">
        <w:rPr>
          <w:bCs/>
          <w:lang w:val="fr-FR"/>
        </w:rPr>
        <w:t>’</w:t>
      </w:r>
      <w:r w:rsidRPr="00F0166C">
        <w:rPr>
          <w:bCs/>
          <w:lang w:val="fr-FR"/>
        </w:rPr>
        <w:t>assistance internationale</w:t>
      </w:r>
      <w:r w:rsidR="00816E24">
        <w:rPr>
          <w:bCs/>
          <w:lang w:val="fr-FR"/>
        </w:rPr>
        <w:t>,</w:t>
      </w:r>
      <w:r w:rsidRPr="00F0166C">
        <w:rPr>
          <w:bCs/>
          <w:lang w:val="fr-FR"/>
        </w:rPr>
        <w:t xml:space="preserve"> qui était devenu opérationnel pour la première fois en 2008 mais qui avait fait l</w:t>
      </w:r>
      <w:r w:rsidR="00923E72">
        <w:rPr>
          <w:bCs/>
          <w:lang w:val="fr-FR"/>
        </w:rPr>
        <w:t>’</w:t>
      </w:r>
      <w:r w:rsidRPr="00F0166C">
        <w:rPr>
          <w:bCs/>
          <w:lang w:val="fr-FR"/>
        </w:rPr>
        <w:t>objet d</w:t>
      </w:r>
      <w:r w:rsidR="00923E72">
        <w:rPr>
          <w:bCs/>
          <w:lang w:val="fr-FR"/>
        </w:rPr>
        <w:t>’</w:t>
      </w:r>
      <w:r w:rsidRPr="00F0166C">
        <w:rPr>
          <w:bCs/>
          <w:lang w:val="fr-FR"/>
        </w:rPr>
        <w:t>une réforme importante en</w:t>
      </w:r>
      <w:r w:rsidR="001A7AF7">
        <w:rPr>
          <w:bCs/>
          <w:lang w:val="fr-FR"/>
        </w:rPr>
        <w:t> </w:t>
      </w:r>
      <w:r w:rsidRPr="00F0166C">
        <w:rPr>
          <w:bCs/>
          <w:lang w:val="fr-FR"/>
        </w:rPr>
        <w:t>2017 et</w:t>
      </w:r>
      <w:r w:rsidR="001A7AF7">
        <w:rPr>
          <w:bCs/>
          <w:lang w:val="fr-FR"/>
        </w:rPr>
        <w:t> </w:t>
      </w:r>
      <w:r w:rsidRPr="00F0166C">
        <w:rPr>
          <w:bCs/>
          <w:lang w:val="fr-FR"/>
        </w:rPr>
        <w:t>2018, lorsqu</w:t>
      </w:r>
      <w:r w:rsidR="00923E72">
        <w:rPr>
          <w:bCs/>
          <w:lang w:val="fr-FR"/>
        </w:rPr>
        <w:t>’</w:t>
      </w:r>
      <w:r w:rsidRPr="00F0166C">
        <w:rPr>
          <w:bCs/>
          <w:lang w:val="fr-FR"/>
        </w:rPr>
        <w:t>une équipe avait été créée. En effet, l</w:t>
      </w:r>
      <w:r w:rsidR="00923E72">
        <w:rPr>
          <w:bCs/>
          <w:lang w:val="fr-FR"/>
        </w:rPr>
        <w:t>’</w:t>
      </w:r>
      <w:r w:rsidRPr="00F0166C">
        <w:rPr>
          <w:bCs/>
          <w:lang w:val="fr-FR"/>
        </w:rPr>
        <w:t>assistance internationale devenait un outil de plus en plus important, d</w:t>
      </w:r>
      <w:r w:rsidR="00923E72">
        <w:rPr>
          <w:bCs/>
          <w:lang w:val="fr-FR"/>
        </w:rPr>
        <w:t>’</w:t>
      </w:r>
      <w:r w:rsidRPr="00F0166C">
        <w:rPr>
          <w:bCs/>
          <w:lang w:val="fr-FR"/>
        </w:rPr>
        <w:t>une part, pour soutenir les actions de sauvegarde au niveau des pays et, d</w:t>
      </w:r>
      <w:r w:rsidR="00923E72">
        <w:rPr>
          <w:bCs/>
          <w:lang w:val="fr-FR"/>
        </w:rPr>
        <w:t>’</w:t>
      </w:r>
      <w:r w:rsidRPr="00F0166C">
        <w:rPr>
          <w:bCs/>
          <w:lang w:val="fr-FR"/>
        </w:rPr>
        <w:t>autre part, pour obtenir des informations utiles concernant la mise en œuvre de la Convention. À travers les demandes reçues, le Secrétariat constatait l</w:t>
      </w:r>
      <w:r w:rsidR="00923E72">
        <w:rPr>
          <w:bCs/>
          <w:lang w:val="fr-FR"/>
        </w:rPr>
        <w:t>’</w:t>
      </w:r>
      <w:r w:rsidRPr="00F0166C">
        <w:rPr>
          <w:bCs/>
          <w:lang w:val="fr-FR"/>
        </w:rPr>
        <w:t xml:space="preserve">intérêt des communautés et des </w:t>
      </w:r>
      <w:r w:rsidR="00816E24">
        <w:rPr>
          <w:bCs/>
          <w:lang w:val="fr-FR"/>
        </w:rPr>
        <w:t>É</w:t>
      </w:r>
      <w:r w:rsidRPr="00F0166C">
        <w:rPr>
          <w:bCs/>
          <w:lang w:val="fr-FR"/>
        </w:rPr>
        <w:t>tats pour la mise en œuvre de la Convention. Le Secrétariat estimait donc qu</w:t>
      </w:r>
      <w:r w:rsidR="00923E72">
        <w:rPr>
          <w:bCs/>
          <w:lang w:val="fr-FR"/>
        </w:rPr>
        <w:t>’</w:t>
      </w:r>
      <w:r w:rsidRPr="00F0166C">
        <w:rPr>
          <w:bCs/>
          <w:lang w:val="fr-FR"/>
        </w:rPr>
        <w:t>il était important d</w:t>
      </w:r>
      <w:r w:rsidR="00923E72">
        <w:rPr>
          <w:bCs/>
          <w:lang w:val="fr-FR"/>
        </w:rPr>
        <w:t>’</w:t>
      </w:r>
      <w:r w:rsidRPr="00F0166C">
        <w:rPr>
          <w:bCs/>
          <w:lang w:val="fr-FR"/>
        </w:rPr>
        <w:t xml:space="preserve">établir un système </w:t>
      </w:r>
      <w:r w:rsidR="00816E24">
        <w:rPr>
          <w:bCs/>
          <w:lang w:val="fr-FR"/>
        </w:rPr>
        <w:t>de</w:t>
      </w:r>
      <w:r w:rsidRPr="00F0166C">
        <w:rPr>
          <w:bCs/>
          <w:lang w:val="fr-FR"/>
        </w:rPr>
        <w:t xml:space="preserve"> suivi et </w:t>
      </w:r>
      <w:r w:rsidR="00816E24">
        <w:rPr>
          <w:bCs/>
          <w:lang w:val="fr-FR"/>
        </w:rPr>
        <w:t>d</w:t>
      </w:r>
      <w:r w:rsidR="00923E72">
        <w:rPr>
          <w:bCs/>
          <w:lang w:val="fr-FR"/>
        </w:rPr>
        <w:t>’</w:t>
      </w:r>
      <w:r w:rsidRPr="00F0166C">
        <w:rPr>
          <w:bCs/>
          <w:lang w:val="fr-FR"/>
        </w:rPr>
        <w:t xml:space="preserve">évaluation </w:t>
      </w:r>
      <w:r w:rsidR="009D213F">
        <w:rPr>
          <w:bCs/>
          <w:lang w:val="fr-FR"/>
        </w:rPr>
        <w:t xml:space="preserve">solide </w:t>
      </w:r>
      <w:r w:rsidR="0015271B">
        <w:rPr>
          <w:bCs/>
          <w:lang w:val="fr-FR"/>
        </w:rPr>
        <w:t xml:space="preserve">et systématique </w:t>
      </w:r>
      <w:r w:rsidRPr="00F0166C">
        <w:rPr>
          <w:bCs/>
          <w:lang w:val="fr-FR"/>
        </w:rPr>
        <w:t>de la mise en œuvre de ce mécanisme, afin de compléter les rapports soumis par les États ayant reçu une assistance. Cette initiative était soutenue, d</w:t>
      </w:r>
      <w:r w:rsidR="00923E72">
        <w:rPr>
          <w:bCs/>
          <w:lang w:val="fr-FR"/>
        </w:rPr>
        <w:t>’</w:t>
      </w:r>
      <w:r w:rsidRPr="00F0166C">
        <w:rPr>
          <w:bCs/>
          <w:lang w:val="fr-FR"/>
        </w:rPr>
        <w:t>une part, par la recommandation de l</w:t>
      </w:r>
      <w:r w:rsidR="00923E72">
        <w:rPr>
          <w:bCs/>
          <w:lang w:val="fr-FR"/>
        </w:rPr>
        <w:t>’</w:t>
      </w:r>
      <w:r w:rsidRPr="00F0166C">
        <w:rPr>
          <w:bCs/>
          <w:lang w:val="fr-FR"/>
        </w:rPr>
        <w:t>IOS de</w:t>
      </w:r>
      <w:r w:rsidR="009D213F">
        <w:rPr>
          <w:bCs/>
          <w:lang w:val="fr-FR"/>
        </w:rPr>
        <w:t> </w:t>
      </w:r>
      <w:r w:rsidRPr="00F0166C">
        <w:rPr>
          <w:bCs/>
          <w:lang w:val="fr-FR"/>
        </w:rPr>
        <w:t>2021 sur l</w:t>
      </w:r>
      <w:r w:rsidR="00923E72">
        <w:rPr>
          <w:bCs/>
          <w:lang w:val="fr-FR"/>
        </w:rPr>
        <w:t>’</w:t>
      </w:r>
      <w:r w:rsidRPr="00F0166C">
        <w:rPr>
          <w:bCs/>
          <w:lang w:val="fr-FR"/>
        </w:rPr>
        <w:t>évaluation de l</w:t>
      </w:r>
      <w:r w:rsidR="00923E72">
        <w:rPr>
          <w:bCs/>
          <w:lang w:val="fr-FR"/>
        </w:rPr>
        <w:t>’</w:t>
      </w:r>
      <w:r w:rsidRPr="00F0166C">
        <w:rPr>
          <w:bCs/>
          <w:lang w:val="fr-FR"/>
        </w:rPr>
        <w:t>action de l</w:t>
      </w:r>
      <w:r w:rsidR="00923E72">
        <w:rPr>
          <w:bCs/>
          <w:lang w:val="fr-FR"/>
        </w:rPr>
        <w:t>’</w:t>
      </w:r>
      <w:r w:rsidRPr="00F0166C">
        <w:rPr>
          <w:bCs/>
          <w:lang w:val="fr-FR"/>
        </w:rPr>
        <w:t>UNESCO dans le cadre de la Convention et, d</w:t>
      </w:r>
      <w:r w:rsidR="00923E72">
        <w:rPr>
          <w:bCs/>
          <w:lang w:val="fr-FR"/>
        </w:rPr>
        <w:t>’</w:t>
      </w:r>
      <w:r w:rsidRPr="00F0166C">
        <w:rPr>
          <w:bCs/>
          <w:lang w:val="fr-FR"/>
        </w:rPr>
        <w:t>autre part, par la décision de l</w:t>
      </w:r>
      <w:r w:rsidR="00923E72">
        <w:rPr>
          <w:bCs/>
          <w:lang w:val="fr-FR"/>
        </w:rPr>
        <w:t>’</w:t>
      </w:r>
      <w:r w:rsidRPr="00F0166C">
        <w:rPr>
          <w:bCs/>
          <w:lang w:val="fr-FR"/>
        </w:rPr>
        <w:t>Assemblée générale lors de sa septième session autorisant l</w:t>
      </w:r>
      <w:r w:rsidR="00923E72">
        <w:rPr>
          <w:bCs/>
          <w:lang w:val="fr-FR"/>
        </w:rPr>
        <w:t>’</w:t>
      </w:r>
      <w:r w:rsidRPr="00F0166C">
        <w:rPr>
          <w:bCs/>
          <w:lang w:val="fr-FR"/>
        </w:rPr>
        <w:t>utilisation, à titre expérimental, d</w:t>
      </w:r>
      <w:r w:rsidR="00923E72">
        <w:rPr>
          <w:bCs/>
          <w:lang w:val="fr-FR"/>
        </w:rPr>
        <w:t>’</w:t>
      </w:r>
      <w:r w:rsidRPr="00F0166C">
        <w:rPr>
          <w:bCs/>
          <w:lang w:val="fr-FR"/>
        </w:rPr>
        <w:t>un montant ne dépassant pas</w:t>
      </w:r>
      <w:r w:rsidR="009D213F">
        <w:rPr>
          <w:bCs/>
          <w:lang w:val="fr-FR"/>
        </w:rPr>
        <w:t> </w:t>
      </w:r>
      <w:r w:rsidRPr="00F0166C">
        <w:rPr>
          <w:bCs/>
          <w:lang w:val="fr-FR"/>
        </w:rPr>
        <w:t>10</w:t>
      </w:r>
      <w:r w:rsidR="00816E24">
        <w:rPr>
          <w:bCs/>
          <w:lang w:val="fr-FR"/>
        </w:rPr>
        <w:t> </w:t>
      </w:r>
      <w:r w:rsidRPr="00F0166C">
        <w:rPr>
          <w:bCs/>
          <w:lang w:val="fr-FR"/>
        </w:rPr>
        <w:t>% du budget approuvé de chaque projet d</w:t>
      </w:r>
      <w:r w:rsidR="00923E72">
        <w:rPr>
          <w:bCs/>
          <w:lang w:val="fr-FR"/>
        </w:rPr>
        <w:t>’</w:t>
      </w:r>
      <w:r w:rsidRPr="00F0166C">
        <w:rPr>
          <w:bCs/>
          <w:lang w:val="fr-FR"/>
        </w:rPr>
        <w:t>assistance internationale pour suivre et évaluer l</w:t>
      </w:r>
      <w:r w:rsidR="00923E72">
        <w:rPr>
          <w:bCs/>
          <w:lang w:val="fr-FR"/>
        </w:rPr>
        <w:t>’</w:t>
      </w:r>
      <w:r w:rsidRPr="00F0166C">
        <w:rPr>
          <w:bCs/>
          <w:lang w:val="fr-FR"/>
        </w:rPr>
        <w:t>impact des projets soutenus par le Fonds.</w:t>
      </w:r>
    </w:p>
    <w:p w14:paraId="027D6B2C" w14:textId="71E7AC2D" w:rsidR="00816E24" w:rsidRDefault="00816E24">
      <w:pPr>
        <w:pStyle w:val="Orateurengris"/>
        <w:numPr>
          <w:ilvl w:val="0"/>
          <w:numId w:val="20"/>
        </w:numPr>
        <w:tabs>
          <w:tab w:val="clear" w:pos="567"/>
          <w:tab w:val="left" w:pos="5954"/>
        </w:tabs>
        <w:spacing w:before="120"/>
        <w:ind w:left="709" w:hanging="709"/>
        <w:rPr>
          <w:bCs/>
          <w:lang w:val="fr-FR"/>
        </w:rPr>
      </w:pPr>
      <w:r w:rsidRPr="006E3034">
        <w:rPr>
          <w:bCs/>
          <w:lang w:val="fr-FR"/>
        </w:rPr>
        <w:t>M</w:t>
      </w:r>
      <w:r w:rsidRPr="006E3034">
        <w:rPr>
          <w:bCs/>
          <w:vertAlign w:val="superscript"/>
          <w:lang w:val="fr-FR"/>
        </w:rPr>
        <w:t>me</w:t>
      </w:r>
      <w:r w:rsidRPr="006E3034">
        <w:rPr>
          <w:bCs/>
          <w:lang w:val="fr-FR"/>
        </w:rPr>
        <w:t> Juliana Forero</w:t>
      </w:r>
      <w:r w:rsidR="00406E6B" w:rsidRPr="006E3034">
        <w:rPr>
          <w:bCs/>
          <w:lang w:val="fr-FR"/>
        </w:rPr>
        <w:t>, du</w:t>
      </w:r>
      <w:r w:rsidR="00406E6B">
        <w:rPr>
          <w:b/>
          <w:lang w:val="fr-FR"/>
        </w:rPr>
        <w:t xml:space="preserve"> Secrétariat,</w:t>
      </w:r>
      <w:r w:rsidRPr="00816E24">
        <w:rPr>
          <w:bCs/>
          <w:lang w:val="fr-FR"/>
        </w:rPr>
        <w:t xml:space="preserve"> a présenté l</w:t>
      </w:r>
      <w:r w:rsidR="00923E72">
        <w:rPr>
          <w:bCs/>
          <w:lang w:val="fr-FR"/>
        </w:rPr>
        <w:t>’</w:t>
      </w:r>
      <w:r w:rsidRPr="00816E24">
        <w:rPr>
          <w:bCs/>
          <w:lang w:val="fr-FR"/>
        </w:rPr>
        <w:t xml:space="preserve">objectif et les actions prévues dans le cadre de la </w:t>
      </w:r>
      <w:r w:rsidR="009D213F">
        <w:rPr>
          <w:bCs/>
          <w:lang w:val="fr-FR"/>
        </w:rPr>
        <w:t>s</w:t>
      </w:r>
      <w:r w:rsidRPr="00816E24">
        <w:rPr>
          <w:bCs/>
          <w:lang w:val="fr-FR"/>
        </w:rPr>
        <w:t>tratégie pour le suivi et l</w:t>
      </w:r>
      <w:r w:rsidR="00923E72">
        <w:rPr>
          <w:bCs/>
          <w:lang w:val="fr-FR"/>
        </w:rPr>
        <w:t>’</w:t>
      </w:r>
      <w:r w:rsidRPr="00816E24">
        <w:rPr>
          <w:bCs/>
          <w:lang w:val="fr-FR"/>
        </w:rPr>
        <w:t>évaluation du mécanisme d</w:t>
      </w:r>
      <w:r w:rsidR="00923E72">
        <w:rPr>
          <w:bCs/>
          <w:lang w:val="fr-FR"/>
        </w:rPr>
        <w:t>’</w:t>
      </w:r>
      <w:r w:rsidRPr="00816E24">
        <w:rPr>
          <w:bCs/>
          <w:lang w:val="fr-FR"/>
        </w:rPr>
        <w:t>assistance internationale</w:t>
      </w:r>
      <w:r w:rsidR="00CB49F4">
        <w:rPr>
          <w:bCs/>
          <w:lang w:val="fr-FR"/>
        </w:rPr>
        <w:t>. L</w:t>
      </w:r>
      <w:r w:rsidR="00923E72">
        <w:rPr>
          <w:bCs/>
          <w:lang w:val="fr-FR"/>
        </w:rPr>
        <w:t>’</w:t>
      </w:r>
      <w:r w:rsidRPr="00816E24">
        <w:rPr>
          <w:bCs/>
          <w:lang w:val="fr-FR"/>
        </w:rPr>
        <w:t xml:space="preserve">objectif de cette stratégie </w:t>
      </w:r>
      <w:r w:rsidR="00CB49F4">
        <w:rPr>
          <w:bCs/>
          <w:lang w:val="fr-FR"/>
        </w:rPr>
        <w:t xml:space="preserve">était </w:t>
      </w:r>
      <w:r w:rsidRPr="00816E24">
        <w:rPr>
          <w:bCs/>
          <w:lang w:val="fr-FR"/>
        </w:rPr>
        <w:t>d</w:t>
      </w:r>
      <w:r w:rsidR="00923E72">
        <w:rPr>
          <w:bCs/>
          <w:lang w:val="fr-FR"/>
        </w:rPr>
        <w:t>’</w:t>
      </w:r>
      <w:r w:rsidRPr="00816E24">
        <w:rPr>
          <w:bCs/>
          <w:lang w:val="fr-FR"/>
        </w:rPr>
        <w:t>établir une approche systématisée par laquelle le suivi et l</w:t>
      </w:r>
      <w:r w:rsidR="00923E72">
        <w:rPr>
          <w:bCs/>
          <w:lang w:val="fr-FR"/>
        </w:rPr>
        <w:t>’</w:t>
      </w:r>
      <w:r w:rsidRPr="00816E24">
        <w:rPr>
          <w:bCs/>
          <w:lang w:val="fr-FR"/>
        </w:rPr>
        <w:t>évaluation de chaque projet individuel d</w:t>
      </w:r>
      <w:r w:rsidR="00923E72">
        <w:rPr>
          <w:bCs/>
          <w:lang w:val="fr-FR"/>
        </w:rPr>
        <w:t>’</w:t>
      </w:r>
      <w:r w:rsidRPr="00816E24">
        <w:rPr>
          <w:bCs/>
          <w:lang w:val="fr-FR"/>
        </w:rPr>
        <w:t>assistance internationale ser</w:t>
      </w:r>
      <w:r w:rsidR="00CB49F4">
        <w:rPr>
          <w:bCs/>
          <w:lang w:val="fr-FR"/>
        </w:rPr>
        <w:t>aie</w:t>
      </w:r>
      <w:r w:rsidRPr="00816E24">
        <w:rPr>
          <w:bCs/>
          <w:lang w:val="fr-FR"/>
        </w:rPr>
        <w:t>nt intégrés dans le suivi et l</w:t>
      </w:r>
      <w:r w:rsidR="00923E72">
        <w:rPr>
          <w:bCs/>
          <w:lang w:val="fr-FR"/>
        </w:rPr>
        <w:t>’</w:t>
      </w:r>
      <w:r w:rsidRPr="00816E24">
        <w:rPr>
          <w:bCs/>
          <w:lang w:val="fr-FR"/>
        </w:rPr>
        <w:t>évaluation globaux du mécanisme d</w:t>
      </w:r>
      <w:r w:rsidR="00923E72">
        <w:rPr>
          <w:bCs/>
          <w:lang w:val="fr-FR"/>
        </w:rPr>
        <w:t>’</w:t>
      </w:r>
      <w:r w:rsidRPr="00816E24">
        <w:rPr>
          <w:bCs/>
          <w:lang w:val="fr-FR"/>
        </w:rPr>
        <w:t>assistance internationale. Le but était de mieux suivre l</w:t>
      </w:r>
      <w:r w:rsidR="00923E72">
        <w:rPr>
          <w:bCs/>
          <w:lang w:val="fr-FR"/>
        </w:rPr>
        <w:t>’</w:t>
      </w:r>
      <w:r w:rsidRPr="00816E24">
        <w:rPr>
          <w:bCs/>
          <w:lang w:val="fr-FR"/>
        </w:rPr>
        <w:t>efficacité du mécanisme dans sa contribution à la mise en œuvre de la Convention, et ce</w:t>
      </w:r>
      <w:r w:rsidR="001F0801">
        <w:rPr>
          <w:bCs/>
          <w:lang w:val="fr-FR"/>
        </w:rPr>
        <w:t>,</w:t>
      </w:r>
      <w:r w:rsidRPr="00816E24">
        <w:rPr>
          <w:bCs/>
          <w:lang w:val="fr-FR"/>
        </w:rPr>
        <w:t xml:space="preserve"> en alignant son suivi et son évaluation sur les vingt</w:t>
      </w:r>
      <w:r w:rsidR="009D213F">
        <w:rPr>
          <w:bCs/>
          <w:lang w:val="fr-FR"/>
        </w:rPr>
        <w:noBreakHyphen/>
      </w:r>
      <w:r w:rsidRPr="00816E24">
        <w:rPr>
          <w:bCs/>
          <w:lang w:val="fr-FR"/>
        </w:rPr>
        <w:t xml:space="preserve">six indicateurs de base du cadre </w:t>
      </w:r>
      <w:r w:rsidRPr="00816E24">
        <w:rPr>
          <w:bCs/>
          <w:lang w:val="fr-FR"/>
        </w:rPr>
        <w:lastRenderedPageBreak/>
        <w:t xml:space="preserve">de résultats global de la Convention, </w:t>
      </w:r>
      <w:r w:rsidR="001F0801" w:rsidRPr="001F0801">
        <w:rPr>
          <w:bCs/>
          <w:lang w:val="fr-FR"/>
        </w:rPr>
        <w:t>conformément</w:t>
      </w:r>
      <w:r w:rsidR="001F0801">
        <w:rPr>
          <w:bCs/>
          <w:lang w:val="fr-FR"/>
        </w:rPr>
        <w:t xml:space="preserve"> à</w:t>
      </w:r>
      <w:r w:rsidRPr="00816E24">
        <w:rPr>
          <w:bCs/>
          <w:lang w:val="fr-FR"/>
        </w:rPr>
        <w:t xml:space="preserve"> la recommandation 6</w:t>
      </w:r>
      <w:r w:rsidR="004126AE">
        <w:rPr>
          <w:rStyle w:val="FootnoteReference"/>
          <w:bCs/>
          <w:lang w:val="fr-FR"/>
        </w:rPr>
        <w:footnoteReference w:id="35"/>
      </w:r>
      <w:r w:rsidRPr="00816E24">
        <w:rPr>
          <w:bCs/>
          <w:lang w:val="fr-FR"/>
        </w:rPr>
        <w:t xml:space="preserve"> de l</w:t>
      </w:r>
      <w:r w:rsidR="00923E72">
        <w:rPr>
          <w:bCs/>
          <w:lang w:val="fr-FR"/>
        </w:rPr>
        <w:t>’</w:t>
      </w:r>
      <w:r w:rsidRPr="00816E24">
        <w:rPr>
          <w:bCs/>
          <w:lang w:val="fr-FR"/>
        </w:rPr>
        <w:t>évaluation de l</w:t>
      </w:r>
      <w:r w:rsidR="00923E72">
        <w:rPr>
          <w:bCs/>
          <w:lang w:val="fr-FR"/>
        </w:rPr>
        <w:t>’</w:t>
      </w:r>
      <w:r w:rsidRPr="00816E24">
        <w:rPr>
          <w:bCs/>
          <w:lang w:val="fr-FR"/>
        </w:rPr>
        <w:t>IOS de</w:t>
      </w:r>
      <w:r w:rsidR="00D55C2A">
        <w:rPr>
          <w:bCs/>
          <w:lang w:val="fr-FR"/>
        </w:rPr>
        <w:t> </w:t>
      </w:r>
      <w:r w:rsidRPr="00816E24">
        <w:rPr>
          <w:bCs/>
          <w:lang w:val="fr-FR"/>
        </w:rPr>
        <w:t xml:space="preserve">2021. </w:t>
      </w:r>
      <w:r w:rsidR="00431EDE">
        <w:rPr>
          <w:bCs/>
          <w:lang w:val="fr-FR"/>
        </w:rPr>
        <w:t>Parmi l</w:t>
      </w:r>
      <w:r w:rsidRPr="00816E24">
        <w:rPr>
          <w:bCs/>
          <w:lang w:val="fr-FR"/>
        </w:rPr>
        <w:t>es actions prévues pour améliorer le suivi</w:t>
      </w:r>
      <w:r w:rsidR="00431EDE">
        <w:rPr>
          <w:bCs/>
          <w:lang w:val="fr-FR"/>
        </w:rPr>
        <w:t xml:space="preserve">, on pouvait citer </w:t>
      </w:r>
      <w:r w:rsidRPr="00816E24">
        <w:rPr>
          <w:bCs/>
          <w:lang w:val="fr-FR"/>
        </w:rPr>
        <w:t xml:space="preserve">la révision </w:t>
      </w:r>
      <w:r w:rsidRPr="005801C3">
        <w:rPr>
          <w:bCs/>
          <w:lang w:val="fr-FR"/>
        </w:rPr>
        <w:t>d</w:t>
      </w:r>
      <w:r w:rsidR="005326B8" w:rsidRPr="005801C3">
        <w:rPr>
          <w:bCs/>
          <w:lang w:val="fr-FR"/>
        </w:rPr>
        <w:t>es</w:t>
      </w:r>
      <w:r w:rsidRPr="005801C3">
        <w:rPr>
          <w:bCs/>
          <w:lang w:val="fr-FR"/>
        </w:rPr>
        <w:t xml:space="preserve"> formulaire</w:t>
      </w:r>
      <w:r w:rsidR="005326B8" w:rsidRPr="005801C3">
        <w:rPr>
          <w:bCs/>
          <w:lang w:val="fr-FR"/>
        </w:rPr>
        <w:t>s</w:t>
      </w:r>
      <w:r w:rsidRPr="005801C3">
        <w:rPr>
          <w:bCs/>
          <w:lang w:val="fr-FR"/>
        </w:rPr>
        <w:t xml:space="preserve"> ICH</w:t>
      </w:r>
      <w:r w:rsidR="0054138F" w:rsidRPr="005801C3">
        <w:rPr>
          <w:bCs/>
          <w:lang w:val="fr-FR"/>
        </w:rPr>
        <w:noBreakHyphen/>
      </w:r>
      <w:r w:rsidRPr="005801C3">
        <w:rPr>
          <w:bCs/>
          <w:lang w:val="fr-FR"/>
        </w:rPr>
        <w:t>04</w:t>
      </w:r>
      <w:r w:rsidRPr="00816E24">
        <w:rPr>
          <w:bCs/>
          <w:lang w:val="fr-FR"/>
        </w:rPr>
        <w:t xml:space="preserve"> pour </w:t>
      </w:r>
      <w:r w:rsidR="0054138F">
        <w:rPr>
          <w:bCs/>
          <w:lang w:val="fr-FR"/>
        </w:rPr>
        <w:t xml:space="preserve">soumettre et rendre compte </w:t>
      </w:r>
      <w:r w:rsidRPr="00816E24">
        <w:rPr>
          <w:bCs/>
          <w:lang w:val="fr-FR"/>
        </w:rPr>
        <w:t>des projets</w:t>
      </w:r>
      <w:r w:rsidR="001F0801">
        <w:rPr>
          <w:bCs/>
          <w:lang w:val="fr-FR"/>
        </w:rPr>
        <w:t>,</w:t>
      </w:r>
      <w:r w:rsidRPr="00816E24">
        <w:rPr>
          <w:bCs/>
          <w:lang w:val="fr-FR"/>
        </w:rPr>
        <w:t xml:space="preserve"> </w:t>
      </w:r>
      <w:r w:rsidR="005326B8">
        <w:rPr>
          <w:bCs/>
          <w:lang w:val="fr-FR"/>
        </w:rPr>
        <w:t xml:space="preserve">ce qui </w:t>
      </w:r>
      <w:r w:rsidRPr="00816E24">
        <w:rPr>
          <w:bCs/>
          <w:lang w:val="fr-FR"/>
        </w:rPr>
        <w:t>permettr</w:t>
      </w:r>
      <w:r w:rsidR="005326B8">
        <w:rPr>
          <w:bCs/>
          <w:lang w:val="fr-FR"/>
        </w:rPr>
        <w:t>ait</w:t>
      </w:r>
      <w:r w:rsidRPr="00816E24">
        <w:rPr>
          <w:bCs/>
          <w:lang w:val="fr-FR"/>
        </w:rPr>
        <w:t xml:space="preserve"> la collecte de données qualitatives et quantitatives significatives, au niveau du projet individuel, sur le développement durable et l</w:t>
      </w:r>
      <w:r w:rsidR="00923E72">
        <w:rPr>
          <w:bCs/>
          <w:lang w:val="fr-FR"/>
        </w:rPr>
        <w:t>’</w:t>
      </w:r>
      <w:r w:rsidRPr="00816E24">
        <w:rPr>
          <w:bCs/>
          <w:lang w:val="fr-FR"/>
        </w:rPr>
        <w:t>égalité des genres, entre autres domaines. Le suivi serait assuré à la fois par l</w:t>
      </w:r>
      <w:r w:rsidR="00923E72">
        <w:rPr>
          <w:bCs/>
          <w:lang w:val="fr-FR"/>
        </w:rPr>
        <w:t>’</w:t>
      </w:r>
      <w:r w:rsidRPr="00816E24">
        <w:rPr>
          <w:bCs/>
          <w:lang w:val="fr-FR"/>
        </w:rPr>
        <w:t>agence chargée de la mise en œuvre et par le Secrétariat, l</w:t>
      </w:r>
      <w:r w:rsidR="00923E72">
        <w:rPr>
          <w:bCs/>
          <w:lang w:val="fr-FR"/>
        </w:rPr>
        <w:t>’</w:t>
      </w:r>
      <w:r w:rsidRPr="00816E24">
        <w:rPr>
          <w:bCs/>
          <w:lang w:val="fr-FR"/>
        </w:rPr>
        <w:t>idée étant que les communautés et les parties prenantes impliquées dans le projet joue</w:t>
      </w:r>
      <w:r w:rsidR="0064693E">
        <w:rPr>
          <w:bCs/>
          <w:lang w:val="fr-FR"/>
        </w:rPr>
        <w:t>nt</w:t>
      </w:r>
      <w:r w:rsidRPr="00816E24">
        <w:rPr>
          <w:bCs/>
          <w:lang w:val="fr-FR"/>
        </w:rPr>
        <w:t xml:space="preserve"> un rôle central dans son suivi afin que leurs préoccupations et leurs aspirations puissent être prises en compte. Les actions liées à l</w:t>
      </w:r>
      <w:r w:rsidR="00923E72">
        <w:rPr>
          <w:bCs/>
          <w:lang w:val="fr-FR"/>
        </w:rPr>
        <w:t>’</w:t>
      </w:r>
      <w:r w:rsidRPr="00816E24">
        <w:rPr>
          <w:bCs/>
          <w:lang w:val="fr-FR"/>
        </w:rPr>
        <w:t>amélioration de l</w:t>
      </w:r>
      <w:r w:rsidR="00923E72">
        <w:rPr>
          <w:bCs/>
          <w:lang w:val="fr-FR"/>
        </w:rPr>
        <w:t>’</w:t>
      </w:r>
      <w:r w:rsidRPr="00816E24">
        <w:rPr>
          <w:bCs/>
          <w:lang w:val="fr-FR"/>
        </w:rPr>
        <w:t>évaluation se dérouleraient au niveau du projet. L</w:t>
      </w:r>
      <w:r w:rsidR="00923E72">
        <w:rPr>
          <w:bCs/>
          <w:lang w:val="fr-FR"/>
        </w:rPr>
        <w:t>’</w:t>
      </w:r>
      <w:r w:rsidRPr="00816E24">
        <w:rPr>
          <w:bCs/>
          <w:lang w:val="fr-FR"/>
        </w:rPr>
        <w:t xml:space="preserve">évaluation serait </w:t>
      </w:r>
      <w:r w:rsidR="0089348C">
        <w:rPr>
          <w:bCs/>
          <w:lang w:val="fr-FR"/>
        </w:rPr>
        <w:t xml:space="preserve">dirigée </w:t>
      </w:r>
      <w:r w:rsidRPr="00816E24">
        <w:rPr>
          <w:bCs/>
          <w:lang w:val="fr-FR"/>
        </w:rPr>
        <w:t>par des experts identifiés par le Secrétariat. Un nouveau formulaire d</w:t>
      </w:r>
      <w:r w:rsidR="00923E72">
        <w:rPr>
          <w:bCs/>
          <w:lang w:val="fr-FR"/>
        </w:rPr>
        <w:t>’</w:t>
      </w:r>
      <w:r w:rsidRPr="00816E24">
        <w:rPr>
          <w:bCs/>
          <w:lang w:val="fr-FR"/>
        </w:rPr>
        <w:t xml:space="preserve">évaluation avait été conçu pour soutenir la stratégie et </w:t>
      </w:r>
      <w:r w:rsidR="0089348C">
        <w:rPr>
          <w:bCs/>
          <w:lang w:val="fr-FR"/>
        </w:rPr>
        <w:t>s</w:t>
      </w:r>
      <w:r w:rsidR="00923E72">
        <w:rPr>
          <w:bCs/>
          <w:lang w:val="fr-FR"/>
        </w:rPr>
        <w:t>’</w:t>
      </w:r>
      <w:r w:rsidR="0089348C">
        <w:rPr>
          <w:bCs/>
          <w:lang w:val="fr-FR"/>
        </w:rPr>
        <w:t>assurer qu</w:t>
      </w:r>
      <w:r w:rsidR="00923E72">
        <w:rPr>
          <w:bCs/>
          <w:lang w:val="fr-FR"/>
        </w:rPr>
        <w:t>’</w:t>
      </w:r>
      <w:r w:rsidRPr="00816E24">
        <w:rPr>
          <w:bCs/>
          <w:lang w:val="fr-FR"/>
        </w:rPr>
        <w:t xml:space="preserve">un cadre commun </w:t>
      </w:r>
      <w:r w:rsidR="0089348C">
        <w:rPr>
          <w:bCs/>
          <w:lang w:val="fr-FR"/>
        </w:rPr>
        <w:t xml:space="preserve">est utilisé </w:t>
      </w:r>
      <w:r w:rsidRPr="00816E24">
        <w:rPr>
          <w:bCs/>
          <w:lang w:val="fr-FR"/>
        </w:rPr>
        <w:t>pour les évaluations. En outre, l</w:t>
      </w:r>
      <w:r w:rsidR="00923E72">
        <w:rPr>
          <w:bCs/>
          <w:lang w:val="fr-FR"/>
        </w:rPr>
        <w:t>’</w:t>
      </w:r>
      <w:r w:rsidRPr="00816E24">
        <w:rPr>
          <w:bCs/>
          <w:lang w:val="fr-FR"/>
        </w:rPr>
        <w:t xml:space="preserve">expansion du système de gestion des connaissances de la Convention constituerait une partie importante de la stratégie afin de gérer une grande quantité de données qualitatives et quantitatives. </w:t>
      </w:r>
      <w:r w:rsidR="0064576F">
        <w:rPr>
          <w:bCs/>
          <w:lang w:val="fr-FR"/>
        </w:rPr>
        <w:t>Ce</w:t>
      </w:r>
      <w:r w:rsidRPr="00816E24">
        <w:rPr>
          <w:bCs/>
          <w:lang w:val="fr-FR"/>
        </w:rPr>
        <w:t xml:space="preserve"> système amélioré servirait à consolider les résultats combinés des projets individuels et à mieux diffuser les résultats, l</w:t>
      </w:r>
      <w:r w:rsidR="00923E72">
        <w:rPr>
          <w:bCs/>
          <w:lang w:val="fr-FR"/>
        </w:rPr>
        <w:t>’</w:t>
      </w:r>
      <w:r w:rsidRPr="00816E24">
        <w:rPr>
          <w:bCs/>
          <w:lang w:val="fr-FR"/>
        </w:rPr>
        <w:t>impact, les enseignements tirés et les bonnes pratiques du mécanisme d</w:t>
      </w:r>
      <w:r w:rsidR="00923E72">
        <w:rPr>
          <w:bCs/>
          <w:lang w:val="fr-FR"/>
        </w:rPr>
        <w:t>’</w:t>
      </w:r>
      <w:r w:rsidRPr="00816E24">
        <w:rPr>
          <w:bCs/>
          <w:lang w:val="fr-FR"/>
        </w:rPr>
        <w:t>assistance internationale. La mise en œuvre de la stratégie commencerait à partir de janvier</w:t>
      </w:r>
      <w:r w:rsidR="0064693E">
        <w:rPr>
          <w:bCs/>
          <w:lang w:val="fr-FR"/>
        </w:rPr>
        <w:t> </w:t>
      </w:r>
      <w:r w:rsidRPr="00816E24">
        <w:rPr>
          <w:bCs/>
          <w:lang w:val="fr-FR"/>
        </w:rPr>
        <w:t>2023 pour évaluer les projets finalisés au cours du second semestre</w:t>
      </w:r>
      <w:r w:rsidR="0064693E">
        <w:rPr>
          <w:bCs/>
          <w:lang w:val="fr-FR"/>
        </w:rPr>
        <w:t> </w:t>
      </w:r>
      <w:r w:rsidR="0064576F">
        <w:rPr>
          <w:bCs/>
          <w:lang w:val="fr-FR"/>
        </w:rPr>
        <w:t>2022</w:t>
      </w:r>
      <w:r w:rsidRPr="00816E24">
        <w:rPr>
          <w:bCs/>
          <w:lang w:val="fr-FR"/>
        </w:rPr>
        <w:t>. Les implications financières de la stratégie feraient l</w:t>
      </w:r>
      <w:r w:rsidR="00923E72">
        <w:rPr>
          <w:bCs/>
          <w:lang w:val="fr-FR"/>
        </w:rPr>
        <w:t>’</w:t>
      </w:r>
      <w:r w:rsidRPr="00816E24">
        <w:rPr>
          <w:bCs/>
          <w:lang w:val="fr-FR"/>
        </w:rPr>
        <w:t>objet d</w:t>
      </w:r>
      <w:r w:rsidR="00923E72">
        <w:rPr>
          <w:bCs/>
          <w:lang w:val="fr-FR"/>
        </w:rPr>
        <w:t>’</w:t>
      </w:r>
      <w:r w:rsidRPr="00816E24">
        <w:rPr>
          <w:bCs/>
          <w:lang w:val="fr-FR"/>
        </w:rPr>
        <w:t>un rapport semestriel dans le cadre du rapport financier sur l</w:t>
      </w:r>
      <w:r w:rsidR="00923E72">
        <w:rPr>
          <w:bCs/>
          <w:lang w:val="fr-FR"/>
        </w:rPr>
        <w:t>’</w:t>
      </w:r>
      <w:r w:rsidRPr="00816E24">
        <w:rPr>
          <w:bCs/>
          <w:lang w:val="fr-FR"/>
        </w:rPr>
        <w:t>utilisation du Fonds du patrimoine culturel immatériel. En résumé, l</w:t>
      </w:r>
      <w:r w:rsidR="00923E72">
        <w:rPr>
          <w:bCs/>
          <w:lang w:val="fr-FR"/>
        </w:rPr>
        <w:t>’</w:t>
      </w:r>
      <w:r w:rsidRPr="00816E24">
        <w:rPr>
          <w:bCs/>
          <w:lang w:val="fr-FR"/>
        </w:rPr>
        <w:t xml:space="preserve">expérience </w:t>
      </w:r>
      <w:r w:rsidR="0004694C">
        <w:rPr>
          <w:bCs/>
          <w:lang w:val="fr-FR"/>
        </w:rPr>
        <w:t xml:space="preserve">combinée </w:t>
      </w:r>
      <w:r w:rsidRPr="00816E24">
        <w:rPr>
          <w:bCs/>
          <w:lang w:val="fr-FR"/>
        </w:rPr>
        <w:t xml:space="preserve">de sauvegarde de différents projets individuels </w:t>
      </w:r>
      <w:r w:rsidR="0064576F">
        <w:rPr>
          <w:bCs/>
          <w:lang w:val="fr-FR"/>
        </w:rPr>
        <w:t xml:space="preserve">rendrait « opérationnel » </w:t>
      </w:r>
      <w:r w:rsidRPr="00816E24">
        <w:rPr>
          <w:bCs/>
          <w:lang w:val="fr-FR"/>
        </w:rPr>
        <w:t>l</w:t>
      </w:r>
      <w:r w:rsidR="0064576F">
        <w:rPr>
          <w:bCs/>
          <w:lang w:val="fr-FR"/>
        </w:rPr>
        <w:t xml:space="preserve">e </w:t>
      </w:r>
      <w:r w:rsidRPr="00816E24">
        <w:rPr>
          <w:bCs/>
          <w:lang w:val="fr-FR"/>
        </w:rPr>
        <w:t xml:space="preserve">mécanisme </w:t>
      </w:r>
      <w:r w:rsidR="0064576F">
        <w:rPr>
          <w:bCs/>
          <w:lang w:val="fr-FR"/>
        </w:rPr>
        <w:t xml:space="preserve">au regard de sa </w:t>
      </w:r>
      <w:r w:rsidRPr="00816E24">
        <w:rPr>
          <w:bCs/>
          <w:lang w:val="fr-FR"/>
        </w:rPr>
        <w:t>contribution à la mise en œuvre de la Convention dans son ensemble.</w:t>
      </w:r>
    </w:p>
    <w:p w14:paraId="0FB27E19" w14:textId="27C3BA41" w:rsidR="0064576F" w:rsidRPr="00702497" w:rsidRDefault="0064576F">
      <w:pPr>
        <w:pStyle w:val="Orateurengris"/>
        <w:numPr>
          <w:ilvl w:val="0"/>
          <w:numId w:val="20"/>
        </w:numPr>
        <w:tabs>
          <w:tab w:val="clear" w:pos="567"/>
          <w:tab w:val="left" w:pos="5954"/>
        </w:tabs>
        <w:spacing w:before="120"/>
        <w:ind w:left="709" w:hanging="709"/>
        <w:rPr>
          <w:bCs/>
          <w:lang w:val="fr-FR"/>
        </w:rPr>
      </w:pPr>
      <w:r>
        <w:rPr>
          <w:bCs/>
          <w:lang w:val="fr-FR"/>
        </w:rPr>
        <w:t>En l</w:t>
      </w:r>
      <w:r w:rsidR="00923E72">
        <w:rPr>
          <w:bCs/>
          <w:lang w:val="fr-FR"/>
        </w:rPr>
        <w:t>’</w:t>
      </w:r>
      <w:r>
        <w:rPr>
          <w:bCs/>
          <w:lang w:val="fr-FR"/>
        </w:rPr>
        <w:t xml:space="preserve">absence de demande de prise de parole de la part du </w:t>
      </w:r>
      <w:r w:rsidRPr="0064576F">
        <w:rPr>
          <w:bCs/>
          <w:color w:val="000000" w:themeColor="text1"/>
          <w:lang w:val="fr-FR"/>
        </w:rPr>
        <w:t>Comité</w:t>
      </w:r>
      <w:r>
        <w:rPr>
          <w:bCs/>
          <w:color w:val="000000" w:themeColor="text1"/>
          <w:lang w:val="fr-FR"/>
        </w:rPr>
        <w:t xml:space="preserve">, le </w:t>
      </w:r>
      <w:r w:rsidRPr="00702497">
        <w:rPr>
          <w:b/>
          <w:color w:val="000000" w:themeColor="text1"/>
          <w:lang w:val="fr-FR"/>
        </w:rPr>
        <w:t>Président</w:t>
      </w:r>
      <w:r>
        <w:rPr>
          <w:bCs/>
          <w:color w:val="000000" w:themeColor="text1"/>
          <w:lang w:val="fr-FR"/>
        </w:rPr>
        <w:t xml:space="preserve"> a donné la parole aux </w:t>
      </w:r>
      <w:r w:rsidRPr="0064576F">
        <w:rPr>
          <w:bCs/>
          <w:color w:val="000000" w:themeColor="text1"/>
          <w:lang w:val="fr-FR"/>
        </w:rPr>
        <w:t>observateurs</w:t>
      </w:r>
      <w:r>
        <w:rPr>
          <w:bCs/>
          <w:color w:val="000000" w:themeColor="text1"/>
          <w:lang w:val="fr-FR"/>
        </w:rPr>
        <w:t xml:space="preserve"> afin qu</w:t>
      </w:r>
      <w:r w:rsidR="00923E72">
        <w:rPr>
          <w:bCs/>
          <w:color w:val="000000" w:themeColor="text1"/>
          <w:lang w:val="fr-FR"/>
        </w:rPr>
        <w:t>’</w:t>
      </w:r>
      <w:r>
        <w:rPr>
          <w:bCs/>
          <w:color w:val="000000" w:themeColor="text1"/>
          <w:lang w:val="fr-FR"/>
        </w:rPr>
        <w:t xml:space="preserve">ils </w:t>
      </w:r>
      <w:r w:rsidR="00AE5509">
        <w:rPr>
          <w:bCs/>
          <w:lang w:val="fr-FR"/>
        </w:rPr>
        <w:t>fassent part de leurs</w:t>
      </w:r>
      <w:r>
        <w:rPr>
          <w:bCs/>
          <w:color w:val="000000" w:themeColor="text1"/>
          <w:lang w:val="fr-FR"/>
        </w:rPr>
        <w:t xml:space="preserve"> </w:t>
      </w:r>
      <w:r w:rsidRPr="0064576F">
        <w:rPr>
          <w:bCs/>
          <w:color w:val="000000" w:themeColor="text1"/>
          <w:lang w:val="fr-FR"/>
        </w:rPr>
        <w:t>commentaires</w:t>
      </w:r>
      <w:r>
        <w:rPr>
          <w:bCs/>
          <w:color w:val="000000" w:themeColor="text1"/>
          <w:lang w:val="fr-FR"/>
        </w:rPr>
        <w:t>.</w:t>
      </w:r>
    </w:p>
    <w:p w14:paraId="0AFFE7A1" w14:textId="76A0ADF1" w:rsidR="0064576F" w:rsidRPr="002E0C22" w:rsidRDefault="0004694C">
      <w:pPr>
        <w:pStyle w:val="Orateurengris"/>
        <w:numPr>
          <w:ilvl w:val="0"/>
          <w:numId w:val="20"/>
        </w:numPr>
        <w:tabs>
          <w:tab w:val="clear" w:pos="567"/>
          <w:tab w:val="left" w:pos="5954"/>
        </w:tabs>
        <w:spacing w:before="120"/>
        <w:ind w:left="709" w:hanging="709"/>
        <w:rPr>
          <w:bCs/>
          <w:lang w:val="fr-FR"/>
        </w:rPr>
      </w:pPr>
      <w:r w:rsidRPr="002E0C22">
        <w:rPr>
          <w:bCs/>
          <w:lang w:val="fr-FR"/>
        </w:rPr>
        <w:t xml:space="preserve">La délégation des </w:t>
      </w:r>
      <w:r w:rsidRPr="00702497">
        <w:rPr>
          <w:b/>
          <w:lang w:val="fr-FR"/>
        </w:rPr>
        <w:t>Pays</w:t>
      </w:r>
      <w:r w:rsidRPr="00702497">
        <w:rPr>
          <w:b/>
          <w:lang w:val="fr-FR"/>
        </w:rPr>
        <w:noBreakHyphen/>
        <w:t>Bas</w:t>
      </w:r>
      <w:r w:rsidRPr="002E0C22">
        <w:rPr>
          <w:bCs/>
          <w:lang w:val="fr-FR"/>
        </w:rPr>
        <w:t xml:space="preserve"> a repris la première phrase du document de travail, selon laquelle « L</w:t>
      </w:r>
      <w:r w:rsidR="00923E72">
        <w:rPr>
          <w:bCs/>
          <w:lang w:val="fr-FR"/>
        </w:rPr>
        <w:t>’</w:t>
      </w:r>
      <w:r w:rsidRPr="002E0C22">
        <w:rPr>
          <w:bCs/>
          <w:lang w:val="fr-FR"/>
        </w:rPr>
        <w:t>assistance internationale est l</w:t>
      </w:r>
      <w:r w:rsidR="00923E72">
        <w:rPr>
          <w:bCs/>
          <w:lang w:val="fr-FR"/>
        </w:rPr>
        <w:t>’</w:t>
      </w:r>
      <w:r w:rsidRPr="002E0C22">
        <w:rPr>
          <w:bCs/>
          <w:lang w:val="fr-FR"/>
        </w:rPr>
        <w:t>un des piliers du mécanisme de coopération internationale en vertu de la Convention de</w:t>
      </w:r>
      <w:r w:rsidR="006773EF">
        <w:rPr>
          <w:bCs/>
          <w:lang w:val="fr-FR"/>
        </w:rPr>
        <w:t> </w:t>
      </w:r>
      <w:r w:rsidRPr="002E0C22">
        <w:rPr>
          <w:bCs/>
          <w:lang w:val="fr-FR"/>
        </w:rPr>
        <w:t>2003 », ajoutant qu</w:t>
      </w:r>
      <w:r w:rsidR="00923E72">
        <w:rPr>
          <w:bCs/>
          <w:lang w:val="fr-FR"/>
        </w:rPr>
        <w:t>’</w:t>
      </w:r>
      <w:r w:rsidRPr="002E0C22">
        <w:rPr>
          <w:bCs/>
          <w:lang w:val="fr-FR"/>
        </w:rPr>
        <w:t>elle soutenait fermement la stratégie. L</w:t>
      </w:r>
      <w:r w:rsidR="00923E72">
        <w:rPr>
          <w:bCs/>
          <w:lang w:val="fr-FR"/>
        </w:rPr>
        <w:t>’</w:t>
      </w:r>
      <w:r w:rsidRPr="002E0C22">
        <w:rPr>
          <w:bCs/>
          <w:lang w:val="fr-FR"/>
        </w:rPr>
        <w:t>analyse de l</w:t>
      </w:r>
      <w:r w:rsidR="00923E72">
        <w:rPr>
          <w:bCs/>
          <w:lang w:val="fr-FR"/>
        </w:rPr>
        <w:t>’</w:t>
      </w:r>
      <w:r w:rsidRPr="002E0C22">
        <w:rPr>
          <w:bCs/>
          <w:lang w:val="fr-FR"/>
        </w:rPr>
        <w:t>impact de ces projets permettrait aux communautés de sauvegarder leur patrimoine immatériel à long terme. Les Pays</w:t>
      </w:r>
      <w:r w:rsidR="0064693E" w:rsidRPr="002E0C22">
        <w:rPr>
          <w:bCs/>
          <w:lang w:val="fr-FR"/>
        </w:rPr>
        <w:noBreakHyphen/>
      </w:r>
      <w:r w:rsidRPr="002E0C22">
        <w:rPr>
          <w:bCs/>
          <w:lang w:val="fr-FR"/>
        </w:rPr>
        <w:t>Bas avaient demandé au Secrétariat d</w:t>
      </w:r>
      <w:r w:rsidR="00923E72">
        <w:rPr>
          <w:bCs/>
          <w:lang w:val="fr-FR"/>
        </w:rPr>
        <w:t>’</w:t>
      </w:r>
      <w:r w:rsidRPr="002E0C22">
        <w:rPr>
          <w:bCs/>
          <w:lang w:val="fr-FR"/>
        </w:rPr>
        <w:t>ajuster une des parties de la stratégie. Ils étaient très favorables à l</w:t>
      </w:r>
      <w:r w:rsidR="00923E72">
        <w:rPr>
          <w:bCs/>
          <w:lang w:val="fr-FR"/>
        </w:rPr>
        <w:t>’</w:t>
      </w:r>
      <w:r w:rsidRPr="002E0C22">
        <w:rPr>
          <w:bCs/>
          <w:lang w:val="fr-FR"/>
        </w:rPr>
        <w:t>idée de donner aux communautés et aux ONG un rôle plus central dans la stratégie et pas seulement aux États parties, comme cela était indiqué dans le document au paragraphe</w:t>
      </w:r>
      <w:r w:rsidR="0064693E" w:rsidRPr="002E0C22">
        <w:rPr>
          <w:bCs/>
          <w:lang w:val="fr-FR"/>
        </w:rPr>
        <w:t> </w:t>
      </w:r>
      <w:r w:rsidRPr="002E0C22">
        <w:rPr>
          <w:bCs/>
          <w:lang w:val="fr-FR"/>
        </w:rPr>
        <w:t xml:space="preserve">13. </w:t>
      </w:r>
      <w:r w:rsidR="00C22D0A">
        <w:rPr>
          <w:bCs/>
          <w:lang w:val="fr-FR"/>
        </w:rPr>
        <w:t>C</w:t>
      </w:r>
      <w:r w:rsidRPr="002E0C22">
        <w:rPr>
          <w:bCs/>
          <w:lang w:val="fr-FR"/>
        </w:rPr>
        <w:t xml:space="preserve">ette proposition, </w:t>
      </w:r>
      <w:r w:rsidR="00C22D0A">
        <w:rPr>
          <w:bCs/>
          <w:lang w:val="fr-FR"/>
        </w:rPr>
        <w:t xml:space="preserve">impliquait que </w:t>
      </w:r>
      <w:r w:rsidRPr="002E0C22">
        <w:rPr>
          <w:bCs/>
          <w:lang w:val="fr-FR"/>
        </w:rPr>
        <w:t>l</w:t>
      </w:r>
      <w:r w:rsidR="00923E72">
        <w:rPr>
          <w:bCs/>
          <w:lang w:val="fr-FR"/>
        </w:rPr>
        <w:t>’</w:t>
      </w:r>
      <w:r w:rsidRPr="002E0C22">
        <w:rPr>
          <w:bCs/>
          <w:lang w:val="fr-FR"/>
        </w:rPr>
        <w:t xml:space="preserve">ensemble du processus </w:t>
      </w:r>
      <w:r w:rsidR="00C22D0A">
        <w:rPr>
          <w:bCs/>
          <w:lang w:val="fr-FR"/>
        </w:rPr>
        <w:t xml:space="preserve">soit </w:t>
      </w:r>
      <w:r w:rsidRPr="002E0C22">
        <w:rPr>
          <w:bCs/>
          <w:lang w:val="fr-FR"/>
        </w:rPr>
        <w:t xml:space="preserve">conçu </w:t>
      </w:r>
      <w:r w:rsidR="000532F1">
        <w:rPr>
          <w:bCs/>
          <w:lang w:val="fr-FR"/>
        </w:rPr>
        <w:t>en ayant à l</w:t>
      </w:r>
      <w:r w:rsidR="00923E72">
        <w:rPr>
          <w:bCs/>
          <w:lang w:val="fr-FR"/>
        </w:rPr>
        <w:t>’</w:t>
      </w:r>
      <w:r w:rsidR="000532F1">
        <w:rPr>
          <w:bCs/>
          <w:lang w:val="fr-FR"/>
        </w:rPr>
        <w:t xml:space="preserve">esprit </w:t>
      </w:r>
      <w:r w:rsidRPr="002E0C22">
        <w:rPr>
          <w:bCs/>
          <w:lang w:val="fr-FR"/>
        </w:rPr>
        <w:t>cet objectif supplémentaire. La délégation a demandé au Secrétariat d</w:t>
      </w:r>
      <w:r w:rsidR="00923E72">
        <w:rPr>
          <w:bCs/>
          <w:lang w:val="fr-FR"/>
        </w:rPr>
        <w:t>’</w:t>
      </w:r>
      <w:r w:rsidRPr="002E0C22">
        <w:rPr>
          <w:bCs/>
          <w:lang w:val="fr-FR"/>
        </w:rPr>
        <w:t xml:space="preserve">utiliser les riches données que la stratégie produirait pour développer des connaissances et des outils qui bénéficient directement aux communautés et aux ONG. </w:t>
      </w:r>
      <w:r w:rsidR="002E0C22">
        <w:rPr>
          <w:bCs/>
          <w:lang w:val="fr-FR"/>
        </w:rPr>
        <w:t>En outre, l</w:t>
      </w:r>
      <w:r w:rsidRPr="002E0C22">
        <w:rPr>
          <w:bCs/>
          <w:lang w:val="fr-FR"/>
        </w:rPr>
        <w:t>es Pays</w:t>
      </w:r>
      <w:r w:rsidRPr="002E0C22">
        <w:rPr>
          <w:bCs/>
          <w:lang w:val="fr-FR"/>
        </w:rPr>
        <w:noBreakHyphen/>
        <w:t xml:space="preserve">Bas </w:t>
      </w:r>
      <w:r w:rsidR="00D149FE" w:rsidRPr="002E0C22">
        <w:rPr>
          <w:bCs/>
          <w:lang w:val="fr-FR"/>
        </w:rPr>
        <w:t xml:space="preserve">percevaient </w:t>
      </w:r>
      <w:r w:rsidRPr="002E0C22">
        <w:rPr>
          <w:bCs/>
          <w:lang w:val="fr-FR"/>
        </w:rPr>
        <w:t>des liens intéressants entre les informations et les outils envisageables axés sur les communautés du patrimoine et les ONG</w:t>
      </w:r>
      <w:r w:rsidR="000532F1">
        <w:rPr>
          <w:bCs/>
          <w:lang w:val="fr-FR"/>
        </w:rPr>
        <w:t>,</w:t>
      </w:r>
      <w:r w:rsidRPr="002E0C22">
        <w:rPr>
          <w:bCs/>
          <w:lang w:val="fr-FR"/>
        </w:rPr>
        <w:t xml:space="preserve"> </w:t>
      </w:r>
      <w:r w:rsidR="000532F1">
        <w:rPr>
          <w:bCs/>
          <w:lang w:val="fr-FR"/>
        </w:rPr>
        <w:t>d</w:t>
      </w:r>
      <w:r w:rsidR="00D149FE" w:rsidRPr="002E0C22">
        <w:rPr>
          <w:bCs/>
          <w:lang w:val="fr-FR"/>
        </w:rPr>
        <w:t xml:space="preserve">es liens issus </w:t>
      </w:r>
      <w:r w:rsidRPr="002E0C22">
        <w:rPr>
          <w:bCs/>
          <w:lang w:val="fr-FR"/>
        </w:rPr>
        <w:t>de la stratégie et de l</w:t>
      </w:r>
      <w:r w:rsidR="00923E72">
        <w:rPr>
          <w:bCs/>
          <w:lang w:val="fr-FR"/>
        </w:rPr>
        <w:t>’</w:t>
      </w:r>
      <w:r w:rsidRPr="002E0C22">
        <w:rPr>
          <w:bCs/>
          <w:lang w:val="fr-FR"/>
        </w:rPr>
        <w:t>observatoire en ligne de la sauvegarde du patrimoine culturel immatériel proposé dans le cadre de la réflexion sur l</w:t>
      </w:r>
      <w:r w:rsidR="00923E72">
        <w:rPr>
          <w:bCs/>
          <w:lang w:val="fr-FR"/>
        </w:rPr>
        <w:t>’</w:t>
      </w:r>
      <w:r w:rsidRPr="002E0C22">
        <w:rPr>
          <w:bCs/>
          <w:lang w:val="fr-FR"/>
        </w:rPr>
        <w:t>article</w:t>
      </w:r>
      <w:r w:rsidR="002E0C22">
        <w:rPr>
          <w:bCs/>
          <w:lang w:val="fr-FR"/>
        </w:rPr>
        <w:t> 18.</w:t>
      </w:r>
      <w:r w:rsidRPr="002E0C22">
        <w:rPr>
          <w:bCs/>
          <w:lang w:val="fr-FR"/>
        </w:rPr>
        <w:t xml:space="preserve"> Ils estimaient que cela renforcerait la visibilité et l</w:t>
      </w:r>
      <w:r w:rsidR="00923E72">
        <w:rPr>
          <w:bCs/>
          <w:lang w:val="fr-FR"/>
        </w:rPr>
        <w:t>’</w:t>
      </w:r>
      <w:r w:rsidRPr="002E0C22">
        <w:rPr>
          <w:bCs/>
          <w:lang w:val="fr-FR"/>
        </w:rPr>
        <w:t xml:space="preserve">utilisation des connaissances inestimables </w:t>
      </w:r>
      <w:r w:rsidR="00D149FE" w:rsidRPr="002E0C22">
        <w:rPr>
          <w:bCs/>
          <w:lang w:val="fr-FR"/>
        </w:rPr>
        <w:t xml:space="preserve">résultant </w:t>
      </w:r>
      <w:r w:rsidRPr="002E0C22">
        <w:rPr>
          <w:bCs/>
          <w:lang w:val="fr-FR"/>
        </w:rPr>
        <w:t>de cette stratégie. Elle espérait que ce lien serait pris en compte lors de la réflexion sur l</w:t>
      </w:r>
      <w:r w:rsidR="00923E72">
        <w:rPr>
          <w:bCs/>
          <w:lang w:val="fr-FR"/>
        </w:rPr>
        <w:t>’</w:t>
      </w:r>
      <w:r w:rsidRPr="002E0C22">
        <w:rPr>
          <w:bCs/>
          <w:lang w:val="fr-FR"/>
        </w:rPr>
        <w:t>article</w:t>
      </w:r>
      <w:r w:rsidR="000532F1">
        <w:rPr>
          <w:bCs/>
          <w:lang w:val="fr-FR"/>
        </w:rPr>
        <w:t> </w:t>
      </w:r>
      <w:r w:rsidRPr="002E0C22">
        <w:rPr>
          <w:bCs/>
          <w:lang w:val="fr-FR"/>
        </w:rPr>
        <w:t>18.</w:t>
      </w:r>
    </w:p>
    <w:p w14:paraId="458CBA65" w14:textId="2D1201E3" w:rsidR="00D149FE" w:rsidRDefault="00D149FE">
      <w:pPr>
        <w:pStyle w:val="Orateurengris"/>
        <w:numPr>
          <w:ilvl w:val="0"/>
          <w:numId w:val="20"/>
        </w:numPr>
        <w:tabs>
          <w:tab w:val="clear" w:pos="567"/>
          <w:tab w:val="left" w:pos="5954"/>
        </w:tabs>
        <w:spacing w:before="120"/>
        <w:ind w:left="709" w:hanging="709"/>
        <w:rPr>
          <w:bCs/>
          <w:lang w:val="fr-FR"/>
        </w:rPr>
      </w:pPr>
      <w:r w:rsidRPr="00D149FE">
        <w:rPr>
          <w:bCs/>
          <w:lang w:val="fr-FR"/>
        </w:rPr>
        <w:t xml:space="preserve">La délégation de la </w:t>
      </w:r>
      <w:r w:rsidRPr="00702497">
        <w:rPr>
          <w:b/>
          <w:lang w:val="fr-FR"/>
        </w:rPr>
        <w:t>Jamaïque</w:t>
      </w:r>
      <w:r>
        <w:rPr>
          <w:bCs/>
          <w:lang w:val="fr-FR"/>
        </w:rPr>
        <w:t>, qui appréciait l</w:t>
      </w:r>
      <w:r w:rsidR="00923E72">
        <w:rPr>
          <w:bCs/>
          <w:lang w:val="fr-FR"/>
        </w:rPr>
        <w:t>’</w:t>
      </w:r>
      <w:r>
        <w:rPr>
          <w:bCs/>
          <w:lang w:val="fr-FR"/>
        </w:rPr>
        <w:t xml:space="preserve">hospitalité du Maroc, </w:t>
      </w:r>
      <w:r w:rsidRPr="00D149FE">
        <w:rPr>
          <w:bCs/>
          <w:lang w:val="fr-FR"/>
        </w:rPr>
        <w:t>a félicité le Président pour la conduite avisée de cette réunion. Elle avait pris note du fait que les projets d</w:t>
      </w:r>
      <w:r w:rsidR="00923E72">
        <w:rPr>
          <w:bCs/>
          <w:lang w:val="fr-FR"/>
        </w:rPr>
        <w:t>’</w:t>
      </w:r>
      <w:r w:rsidRPr="00D149FE">
        <w:rPr>
          <w:bCs/>
          <w:lang w:val="fr-FR"/>
        </w:rPr>
        <w:t>assistance internationale n</w:t>
      </w:r>
      <w:r w:rsidR="00923E72">
        <w:rPr>
          <w:bCs/>
          <w:lang w:val="fr-FR"/>
        </w:rPr>
        <w:t>’</w:t>
      </w:r>
      <w:r w:rsidRPr="00D149FE">
        <w:rPr>
          <w:bCs/>
          <w:lang w:val="fr-FR"/>
        </w:rPr>
        <w:t xml:space="preserve">étaient pas seulement un mécanisme budgétaire mais également un </w:t>
      </w:r>
      <w:r>
        <w:rPr>
          <w:bCs/>
          <w:lang w:val="fr-FR"/>
        </w:rPr>
        <w:t xml:space="preserve">outil </w:t>
      </w:r>
      <w:r w:rsidRPr="00D149FE">
        <w:rPr>
          <w:bCs/>
          <w:lang w:val="fr-FR"/>
        </w:rPr>
        <w:t xml:space="preserve">pédagogique sur tous les aspects clés de la Convention, constituant ainsi une boîte à outils avec les informations nécessaires à la sauvegarde de la Convention. Elle </w:t>
      </w:r>
      <w:r>
        <w:rPr>
          <w:bCs/>
          <w:lang w:val="fr-FR"/>
        </w:rPr>
        <w:t xml:space="preserve">était impatiente de participer à </w:t>
      </w:r>
      <w:r w:rsidRPr="00D149FE">
        <w:rPr>
          <w:bCs/>
          <w:lang w:val="fr-FR"/>
        </w:rPr>
        <w:t>la mise en œuvre réussie de la réflexion en</w:t>
      </w:r>
      <w:r w:rsidR="00246428">
        <w:rPr>
          <w:bCs/>
          <w:lang w:val="fr-FR"/>
        </w:rPr>
        <w:t> </w:t>
      </w:r>
      <w:r w:rsidRPr="00D149FE">
        <w:rPr>
          <w:bCs/>
          <w:lang w:val="fr-FR"/>
        </w:rPr>
        <w:t xml:space="preserve">2023. La </w:t>
      </w:r>
      <w:r w:rsidRPr="00D149FE">
        <w:rPr>
          <w:bCs/>
          <w:lang w:val="fr-FR"/>
        </w:rPr>
        <w:lastRenderedPageBreak/>
        <w:t>Jamaïque et</w:t>
      </w:r>
      <w:r>
        <w:rPr>
          <w:bCs/>
          <w:lang w:val="fr-FR"/>
        </w:rPr>
        <w:t>,</w:t>
      </w:r>
      <w:r w:rsidRPr="00D149FE">
        <w:rPr>
          <w:bCs/>
          <w:lang w:val="fr-FR"/>
        </w:rPr>
        <w:t xml:space="preserve"> bien sûr, une grande partie des Caraïbes bénéficiaient de projets dans le cadre de cette initiative</w:t>
      </w:r>
      <w:r w:rsidR="00DE73C8">
        <w:rPr>
          <w:bCs/>
          <w:lang w:val="fr-FR"/>
        </w:rPr>
        <w:t>,</w:t>
      </w:r>
      <w:r w:rsidRPr="00D149FE">
        <w:rPr>
          <w:bCs/>
          <w:lang w:val="fr-FR"/>
        </w:rPr>
        <w:t xml:space="preserve"> et elle s</w:t>
      </w:r>
      <w:r w:rsidR="00923E72">
        <w:rPr>
          <w:bCs/>
          <w:lang w:val="fr-FR"/>
        </w:rPr>
        <w:t>’</w:t>
      </w:r>
      <w:r w:rsidRPr="00D149FE">
        <w:rPr>
          <w:bCs/>
          <w:lang w:val="fr-FR"/>
        </w:rPr>
        <w:t>est félicitée de pouvoir participer à la future réflexion.</w:t>
      </w:r>
    </w:p>
    <w:p w14:paraId="4736167B" w14:textId="5B3844EC" w:rsidR="00D149FE" w:rsidRDefault="00D149FE" w:rsidP="00D149FE">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2D2DD4">
        <w:rPr>
          <w:b/>
          <w:lang w:val="fr-FR"/>
        </w:rPr>
        <w:t>Président</w:t>
      </w:r>
      <w:r>
        <w:rPr>
          <w:bCs/>
          <w:lang w:val="fr-FR"/>
        </w:rPr>
        <w:t xml:space="preserve"> est passé au projet de décision dans son ensemble. </w:t>
      </w:r>
      <w:r w:rsidRPr="00F81D41">
        <w:rPr>
          <w:bCs/>
          <w:lang w:val="fr-FR"/>
        </w:rPr>
        <w:t>En l</w:t>
      </w:r>
      <w:r w:rsidR="00923E72">
        <w:rPr>
          <w:bCs/>
          <w:lang w:val="fr-FR"/>
        </w:rPr>
        <w:t>’</w:t>
      </w:r>
      <w:r w:rsidRPr="00F81D41">
        <w:rPr>
          <w:bCs/>
          <w:lang w:val="fr-FR"/>
        </w:rPr>
        <w:t>absence</w:t>
      </w:r>
      <w:r>
        <w:rPr>
          <w:bCs/>
          <w:lang w:val="fr-FR"/>
        </w:rPr>
        <w:t xml:space="preserve"> d</w:t>
      </w:r>
      <w:r w:rsidR="00923E72">
        <w:rPr>
          <w:bCs/>
          <w:lang w:val="fr-FR"/>
        </w:rPr>
        <w:t>’</w:t>
      </w:r>
      <w:r w:rsidRPr="00F81D41">
        <w:rPr>
          <w:bCs/>
          <w:lang w:val="fr-FR"/>
        </w:rPr>
        <w:t>objections</w:t>
      </w:r>
      <w:r>
        <w:rPr>
          <w:bCs/>
          <w:lang w:val="fr-FR"/>
        </w:rPr>
        <w:t xml:space="preserve">, le </w:t>
      </w:r>
      <w:r w:rsidRPr="002D2DD4">
        <w:rPr>
          <w:b/>
          <w:lang w:val="fr-FR"/>
        </w:rPr>
        <w:t>Président a déclaré la décision</w:t>
      </w:r>
      <w:hyperlink r:id="rId102" w:history="1">
        <w:r w:rsidR="00237348" w:rsidRPr="006E3034">
          <w:rPr>
            <w:rStyle w:val="Hyperlink"/>
            <w:b/>
            <w:lang w:val="fr-FR"/>
          </w:rPr>
          <w:t> 17.COM 11</w:t>
        </w:r>
      </w:hyperlink>
      <w:r w:rsidRPr="002D2DD4">
        <w:rPr>
          <w:b/>
          <w:lang w:val="fr-FR"/>
        </w:rPr>
        <w:t xml:space="preserve"> adoptée</w:t>
      </w:r>
      <w:r>
        <w:rPr>
          <w:bCs/>
          <w:lang w:val="fr-FR"/>
        </w:rPr>
        <w:t>.</w:t>
      </w:r>
    </w:p>
    <w:p w14:paraId="343E550C" w14:textId="18B8FFF5" w:rsidR="00237348" w:rsidRPr="00702497" w:rsidRDefault="00237348" w:rsidP="00702497">
      <w:pPr>
        <w:pStyle w:val="Marge"/>
        <w:keepNext/>
        <w:tabs>
          <w:tab w:val="clear" w:pos="567"/>
          <w:tab w:val="left" w:pos="709"/>
          <w:tab w:val="left" w:pos="1418"/>
          <w:tab w:val="left" w:pos="2126"/>
          <w:tab w:val="left" w:pos="2835"/>
        </w:tabs>
        <w:spacing w:before="360" w:after="60"/>
        <w:jc w:val="left"/>
        <w:outlineLvl w:val="0"/>
        <w:rPr>
          <w:rFonts w:eastAsiaTheme="minorHAnsi" w:cs="Arial"/>
          <w:b/>
          <w:color w:val="000000" w:themeColor="text1"/>
          <w:szCs w:val="22"/>
        </w:rPr>
      </w:pPr>
      <w:r>
        <w:rPr>
          <w:rFonts w:eastAsiaTheme="minorHAnsi" w:cs="Arial"/>
          <w:b/>
          <w:color w:val="000000" w:themeColor="text1"/>
          <w:szCs w:val="22"/>
          <w:u w:val="single"/>
        </w:rPr>
        <w:t>POINT</w:t>
      </w:r>
      <w:r w:rsidR="0073323E">
        <w:rPr>
          <w:rFonts w:eastAsiaTheme="minorHAnsi" w:cs="Arial"/>
          <w:b/>
          <w:color w:val="000000" w:themeColor="text1"/>
          <w:szCs w:val="22"/>
          <w:u w:val="single"/>
        </w:rPr>
        <w:t> </w:t>
      </w:r>
      <w:r>
        <w:rPr>
          <w:rFonts w:eastAsiaTheme="minorHAnsi" w:cs="Arial"/>
          <w:b/>
          <w:color w:val="000000" w:themeColor="text1"/>
          <w:szCs w:val="22"/>
          <w:u w:val="single"/>
        </w:rPr>
        <w:t>12 DE L</w:t>
      </w:r>
      <w:r w:rsidR="00923E72">
        <w:rPr>
          <w:rFonts w:eastAsiaTheme="minorHAnsi" w:cs="Arial"/>
          <w:b/>
          <w:color w:val="000000" w:themeColor="text1"/>
          <w:szCs w:val="22"/>
          <w:u w:val="single"/>
        </w:rPr>
        <w:t>’</w:t>
      </w:r>
      <w:r w:rsidRPr="00237348">
        <w:rPr>
          <w:rFonts w:eastAsiaTheme="minorHAnsi" w:cs="Arial"/>
          <w:b/>
          <w:color w:val="000000" w:themeColor="text1"/>
          <w:szCs w:val="22"/>
          <w:u w:val="single"/>
        </w:rPr>
        <w:t>ORDRE DU JOUR</w:t>
      </w:r>
      <w:r>
        <w:rPr>
          <w:rFonts w:eastAsiaTheme="minorHAnsi" w:cs="Arial"/>
          <w:b/>
          <w:color w:val="000000" w:themeColor="text1"/>
          <w:szCs w:val="22"/>
        </w:rPr>
        <w:t> :</w:t>
      </w:r>
    </w:p>
    <w:p w14:paraId="56516C13" w14:textId="64622F65" w:rsidR="00237348" w:rsidRPr="00237348" w:rsidRDefault="00237348"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Pr>
          <w:rFonts w:eastAsiaTheme="minorHAnsi"/>
          <w:b/>
          <w:color w:val="000000" w:themeColor="text1"/>
        </w:rPr>
        <w:t>FONDS DU PATRIMOINE CULTUREL IMMATÉRIEL :</w:t>
      </w:r>
      <w:r w:rsidR="007D13B3">
        <w:rPr>
          <w:rFonts w:eastAsiaTheme="minorHAnsi"/>
          <w:b/>
          <w:color w:val="000000" w:themeColor="text1"/>
        </w:rPr>
        <w:t xml:space="preserve"> </w:t>
      </w:r>
      <w:r w:rsidRPr="00237348">
        <w:rPr>
          <w:rFonts w:eastAsiaTheme="minorHAnsi"/>
          <w:b/>
          <w:color w:val="000000" w:themeColor="text1"/>
        </w:rPr>
        <w:t>CONTRIBUTIONS</w:t>
      </w:r>
      <w:r>
        <w:rPr>
          <w:rFonts w:eastAsiaTheme="minorHAnsi"/>
          <w:b/>
          <w:color w:val="000000" w:themeColor="text1"/>
        </w:rPr>
        <w:t xml:space="preserve"> VOLONTAIRES </w:t>
      </w:r>
      <w:r w:rsidRPr="00237348">
        <w:rPr>
          <w:rFonts w:eastAsiaTheme="minorHAnsi"/>
          <w:b/>
          <w:color w:val="000000" w:themeColor="text1"/>
        </w:rPr>
        <w:t>SUPPLÉMENTAIR</w:t>
      </w:r>
      <w:r>
        <w:rPr>
          <w:rFonts w:eastAsiaTheme="minorHAnsi"/>
          <w:b/>
          <w:color w:val="000000" w:themeColor="text1"/>
        </w:rPr>
        <w:t>ES ET AUTRES QUESTIONS</w:t>
      </w:r>
    </w:p>
    <w:p w14:paraId="0CABF005" w14:textId="450AD5D0" w:rsidR="00237348" w:rsidRPr="00237348" w:rsidRDefault="00237348" w:rsidP="00702497">
      <w:pPr>
        <w:pStyle w:val="Orateurengris"/>
        <w:tabs>
          <w:tab w:val="clear" w:pos="709"/>
          <w:tab w:val="clear" w:pos="1418"/>
          <w:tab w:val="clear" w:pos="2126"/>
          <w:tab w:val="clear" w:pos="2835"/>
        </w:tabs>
        <w:spacing w:after="0"/>
        <w:ind w:left="567" w:firstLine="142"/>
        <w:rPr>
          <w:lang w:val="fr-FR"/>
        </w:rPr>
      </w:pPr>
      <w:r w:rsidRPr="00237348">
        <w:rPr>
          <w:b/>
          <w:color w:val="000000" w:themeColor="text1"/>
          <w:lang w:val="fr-FR"/>
        </w:rPr>
        <w:t>Document</w:t>
      </w:r>
      <w:r>
        <w:rPr>
          <w:b/>
          <w:color w:val="000000" w:themeColor="text1"/>
          <w:lang w:val="fr-FR"/>
        </w:rPr>
        <w:t> </w:t>
      </w:r>
      <w:r w:rsidRPr="00237348">
        <w:rPr>
          <w:b/>
          <w:color w:val="000000" w:themeColor="text1"/>
          <w:lang w:val="fr-FR"/>
        </w:rPr>
        <w:t>:</w:t>
      </w:r>
      <w:r w:rsidRPr="00237348">
        <w:rPr>
          <w:b/>
          <w:iCs/>
          <w:color w:val="000000" w:themeColor="text1"/>
          <w:lang w:val="fr-FR"/>
        </w:rPr>
        <w:tab/>
      </w:r>
      <w:hyperlink r:id="rId103" w:history="1">
        <w:r w:rsidRPr="00237348">
          <w:rPr>
            <w:rStyle w:val="Hyperlink"/>
            <w:i/>
            <w:lang w:val="fr-FR"/>
          </w:rPr>
          <w:t>LHE/22/17.COM/12</w:t>
        </w:r>
      </w:hyperlink>
    </w:p>
    <w:p w14:paraId="3B239E7F" w14:textId="6E4E8B9E" w:rsidR="00237348" w:rsidRPr="00237348" w:rsidRDefault="00237348" w:rsidP="00702497">
      <w:pPr>
        <w:pStyle w:val="Orateurengris"/>
        <w:tabs>
          <w:tab w:val="clear" w:pos="709"/>
          <w:tab w:val="clear" w:pos="1418"/>
          <w:tab w:val="clear" w:pos="2126"/>
          <w:tab w:val="clear" w:pos="2835"/>
        </w:tabs>
        <w:spacing w:before="60" w:after="240"/>
        <w:ind w:left="567" w:firstLine="142"/>
        <w:rPr>
          <w:i/>
          <w:lang w:val="fr-FR"/>
        </w:rPr>
      </w:pPr>
      <w:r w:rsidRPr="00237348">
        <w:rPr>
          <w:b/>
          <w:color w:val="000000" w:themeColor="text1"/>
          <w:lang w:val="fr-FR"/>
        </w:rPr>
        <w:t>D</w:t>
      </w:r>
      <w:r>
        <w:rPr>
          <w:b/>
          <w:color w:val="000000" w:themeColor="text1"/>
          <w:lang w:val="fr-FR"/>
        </w:rPr>
        <w:t>é</w:t>
      </w:r>
      <w:r w:rsidRPr="00237348">
        <w:rPr>
          <w:b/>
          <w:color w:val="000000" w:themeColor="text1"/>
          <w:lang w:val="fr-FR"/>
        </w:rPr>
        <w:t>cision</w:t>
      </w:r>
      <w:r>
        <w:rPr>
          <w:b/>
          <w:color w:val="000000" w:themeColor="text1"/>
          <w:lang w:val="fr-FR"/>
        </w:rPr>
        <w:t> </w:t>
      </w:r>
      <w:r w:rsidRPr="00237348">
        <w:rPr>
          <w:b/>
          <w:color w:val="000000" w:themeColor="text1"/>
          <w:lang w:val="fr-FR"/>
        </w:rPr>
        <w:t>:</w:t>
      </w:r>
      <w:r w:rsidRPr="00237348">
        <w:rPr>
          <w:bCs/>
          <w:color w:val="000000" w:themeColor="text1"/>
          <w:lang w:val="fr-FR"/>
        </w:rPr>
        <w:tab/>
      </w:r>
      <w:hyperlink r:id="rId104" w:history="1">
        <w:r w:rsidRPr="00237348">
          <w:rPr>
            <w:rStyle w:val="Hyperlink"/>
            <w:i/>
            <w:lang w:val="fr-FR"/>
          </w:rPr>
          <w:t>17.COM 12</w:t>
        </w:r>
      </w:hyperlink>
    </w:p>
    <w:p w14:paraId="54B8C32C" w14:textId="22B4A39E" w:rsidR="00D149FE" w:rsidRDefault="007D13B3">
      <w:pPr>
        <w:pStyle w:val="Orateurengris"/>
        <w:numPr>
          <w:ilvl w:val="0"/>
          <w:numId w:val="20"/>
        </w:numPr>
        <w:tabs>
          <w:tab w:val="clear" w:pos="567"/>
          <w:tab w:val="left" w:pos="5954"/>
        </w:tabs>
        <w:spacing w:before="120"/>
        <w:ind w:left="709" w:hanging="709"/>
        <w:rPr>
          <w:bCs/>
          <w:lang w:val="fr-FR"/>
        </w:rPr>
      </w:pPr>
      <w:r w:rsidRPr="007D13B3">
        <w:rPr>
          <w:bCs/>
          <w:lang w:val="fr-FR"/>
        </w:rPr>
        <w:t xml:space="preserve">Le </w:t>
      </w:r>
      <w:r w:rsidRPr="00702497">
        <w:rPr>
          <w:b/>
          <w:lang w:val="fr-FR"/>
        </w:rPr>
        <w:t>Président</w:t>
      </w:r>
      <w:r w:rsidRPr="007D13B3">
        <w:rPr>
          <w:bCs/>
          <w:lang w:val="fr-FR"/>
        </w:rPr>
        <w:t xml:space="preserve"> est passé au point</w:t>
      </w:r>
      <w:r w:rsidR="0073323E">
        <w:rPr>
          <w:bCs/>
          <w:lang w:val="fr-FR"/>
        </w:rPr>
        <w:t> </w:t>
      </w:r>
      <w:r w:rsidRPr="007D13B3">
        <w:rPr>
          <w:bCs/>
          <w:lang w:val="fr-FR"/>
        </w:rPr>
        <w:t>12 de l</w:t>
      </w:r>
      <w:r w:rsidR="00923E72">
        <w:rPr>
          <w:bCs/>
          <w:lang w:val="fr-FR"/>
        </w:rPr>
        <w:t>’</w:t>
      </w:r>
      <w:r w:rsidRPr="007D13B3">
        <w:rPr>
          <w:bCs/>
          <w:lang w:val="fr-FR"/>
        </w:rPr>
        <w:t>ordre du jour, Fonds du patrimoine culturel immatériel</w:t>
      </w:r>
      <w:r>
        <w:rPr>
          <w:bCs/>
          <w:lang w:val="fr-FR"/>
        </w:rPr>
        <w:t> </w:t>
      </w:r>
      <w:r w:rsidRPr="007D13B3">
        <w:rPr>
          <w:bCs/>
          <w:lang w:val="fr-FR"/>
        </w:rPr>
        <w:t>: contributions volontaires supplémentaires et autres questions. Conformément à l</w:t>
      </w:r>
      <w:r w:rsidR="00923E72">
        <w:rPr>
          <w:bCs/>
          <w:lang w:val="fr-FR"/>
        </w:rPr>
        <w:t>’</w:t>
      </w:r>
      <w:r w:rsidRPr="007D13B3">
        <w:rPr>
          <w:bCs/>
          <w:lang w:val="fr-FR"/>
        </w:rPr>
        <w:t>article</w:t>
      </w:r>
      <w:r>
        <w:rPr>
          <w:bCs/>
          <w:lang w:val="fr-FR"/>
        </w:rPr>
        <w:t> </w:t>
      </w:r>
      <w:r w:rsidRPr="007D13B3">
        <w:rPr>
          <w:bCs/>
          <w:lang w:val="fr-FR"/>
        </w:rPr>
        <w:t>25.5 et à l</w:t>
      </w:r>
      <w:r w:rsidR="00923E72">
        <w:rPr>
          <w:bCs/>
          <w:lang w:val="fr-FR"/>
        </w:rPr>
        <w:t>’</w:t>
      </w:r>
      <w:r w:rsidRPr="007D13B3">
        <w:rPr>
          <w:bCs/>
          <w:lang w:val="fr-FR"/>
        </w:rPr>
        <w:t>article</w:t>
      </w:r>
      <w:r>
        <w:rPr>
          <w:bCs/>
          <w:lang w:val="fr-FR"/>
        </w:rPr>
        <w:t> </w:t>
      </w:r>
      <w:r w:rsidRPr="007D13B3">
        <w:rPr>
          <w:bCs/>
          <w:lang w:val="fr-FR"/>
        </w:rPr>
        <w:t>27 de la Convention, il incombait au Comité d</w:t>
      </w:r>
      <w:r w:rsidR="00923E72">
        <w:rPr>
          <w:bCs/>
          <w:lang w:val="fr-FR"/>
        </w:rPr>
        <w:t>’</w:t>
      </w:r>
      <w:r w:rsidRPr="007D13B3">
        <w:rPr>
          <w:bCs/>
          <w:lang w:val="fr-FR"/>
        </w:rPr>
        <w:t xml:space="preserve">approuver les contributions volontaires supplémentaires au Fonds de la Convention versées par les États parties en </w:t>
      </w:r>
      <w:r>
        <w:rPr>
          <w:bCs/>
          <w:lang w:val="fr-FR"/>
        </w:rPr>
        <w:t>sus</w:t>
      </w:r>
      <w:r w:rsidRPr="007D13B3">
        <w:rPr>
          <w:bCs/>
          <w:lang w:val="fr-FR"/>
        </w:rPr>
        <w:t xml:space="preserve"> de leurs contributions annuelles obligatoires. Il a été rappelé que lors de sa seizième session en</w:t>
      </w:r>
      <w:r w:rsidR="00D55C2A">
        <w:rPr>
          <w:bCs/>
          <w:lang w:val="fr-FR"/>
        </w:rPr>
        <w:t> </w:t>
      </w:r>
      <w:r w:rsidRPr="007D13B3">
        <w:rPr>
          <w:bCs/>
          <w:lang w:val="fr-FR"/>
        </w:rPr>
        <w:t>2021, le Comité avait approuvé deux priorités de financement pour la période</w:t>
      </w:r>
      <w:r w:rsidR="00D55C2A">
        <w:rPr>
          <w:bCs/>
          <w:lang w:val="fr-FR"/>
        </w:rPr>
        <w:t> </w:t>
      </w:r>
      <w:r w:rsidRPr="007D13B3">
        <w:rPr>
          <w:bCs/>
          <w:lang w:val="fr-FR"/>
        </w:rPr>
        <w:t>2022</w:t>
      </w:r>
      <w:r w:rsidR="0068018E">
        <w:rPr>
          <w:bCs/>
          <w:lang w:val="fr-FR"/>
        </w:rPr>
        <w:noBreakHyphen/>
      </w:r>
      <w:r w:rsidRPr="007D13B3">
        <w:rPr>
          <w:bCs/>
          <w:lang w:val="fr-FR"/>
        </w:rPr>
        <w:t>2025, à savoir</w:t>
      </w:r>
      <w:r w:rsidR="00FC0429">
        <w:rPr>
          <w:bCs/>
          <w:lang w:val="fr-FR"/>
        </w:rPr>
        <w:t> </w:t>
      </w:r>
      <w:r w:rsidRPr="007D13B3">
        <w:rPr>
          <w:bCs/>
          <w:lang w:val="fr-FR"/>
        </w:rPr>
        <w:t>: i)</w:t>
      </w:r>
      <w:r w:rsidR="00FC0429">
        <w:rPr>
          <w:bCs/>
          <w:lang w:val="fr-FR"/>
        </w:rPr>
        <w:t> </w:t>
      </w:r>
      <w:r w:rsidR="00B74229">
        <w:rPr>
          <w:bCs/>
          <w:lang w:val="fr-FR"/>
        </w:rPr>
        <w:t>R</w:t>
      </w:r>
      <w:r w:rsidRPr="007D13B3">
        <w:rPr>
          <w:bCs/>
          <w:lang w:val="fr-FR"/>
        </w:rPr>
        <w:t>enforc</w:t>
      </w:r>
      <w:r w:rsidR="00B74229">
        <w:rPr>
          <w:bCs/>
          <w:lang w:val="fr-FR"/>
        </w:rPr>
        <w:t>e</w:t>
      </w:r>
      <w:r w:rsidR="0061370F">
        <w:rPr>
          <w:bCs/>
          <w:lang w:val="fr-FR"/>
        </w:rPr>
        <w:t>ment des</w:t>
      </w:r>
      <w:r w:rsidRPr="007D13B3">
        <w:rPr>
          <w:bCs/>
          <w:lang w:val="fr-FR"/>
        </w:rPr>
        <w:t xml:space="preserve"> capacités de sauvegarde du patrimoine culturel immatériel par le </w:t>
      </w:r>
      <w:r w:rsidR="00FC0429">
        <w:rPr>
          <w:bCs/>
          <w:lang w:val="fr-FR"/>
        </w:rPr>
        <w:t>biais d</w:t>
      </w:r>
      <w:r w:rsidR="00923E72">
        <w:rPr>
          <w:bCs/>
          <w:lang w:val="fr-FR"/>
        </w:rPr>
        <w:t>’</w:t>
      </w:r>
      <w:r w:rsidR="00FC0429">
        <w:rPr>
          <w:bCs/>
          <w:lang w:val="fr-FR"/>
        </w:rPr>
        <w:t>approches multimodales et</w:t>
      </w:r>
      <w:r w:rsidRPr="007D13B3">
        <w:rPr>
          <w:bCs/>
          <w:lang w:val="fr-FR"/>
        </w:rPr>
        <w:t xml:space="preserve"> </w:t>
      </w:r>
      <w:r w:rsidR="0061370F">
        <w:rPr>
          <w:bCs/>
          <w:lang w:val="fr-FR"/>
        </w:rPr>
        <w:t xml:space="preserve">de </w:t>
      </w:r>
      <w:r w:rsidRPr="007D13B3">
        <w:rPr>
          <w:bCs/>
          <w:lang w:val="fr-FR"/>
        </w:rPr>
        <w:t>contribution au développement durable</w:t>
      </w:r>
      <w:r w:rsidR="00FC0429">
        <w:rPr>
          <w:bCs/>
          <w:lang w:val="fr-FR"/>
        </w:rPr>
        <w:t> </w:t>
      </w:r>
      <w:r w:rsidRPr="007D13B3">
        <w:rPr>
          <w:bCs/>
          <w:lang w:val="fr-FR"/>
        </w:rPr>
        <w:t>; et ii)</w:t>
      </w:r>
      <w:r w:rsidR="00FC0429">
        <w:rPr>
          <w:bCs/>
          <w:lang w:val="fr-FR"/>
        </w:rPr>
        <w:t> </w:t>
      </w:r>
      <w:r w:rsidR="0061370F">
        <w:rPr>
          <w:bCs/>
          <w:lang w:val="fr-FR"/>
        </w:rPr>
        <w:t>S</w:t>
      </w:r>
      <w:r w:rsidRPr="007D13B3">
        <w:rPr>
          <w:bCs/>
          <w:lang w:val="fr-FR"/>
        </w:rPr>
        <w:t>auvegarde du patrimoine culturel immatériel dans l</w:t>
      </w:r>
      <w:r w:rsidR="00923E72">
        <w:rPr>
          <w:bCs/>
          <w:lang w:val="fr-FR"/>
        </w:rPr>
        <w:t>’</w:t>
      </w:r>
      <w:r w:rsidRPr="007D13B3">
        <w:rPr>
          <w:bCs/>
          <w:lang w:val="fr-FR"/>
        </w:rPr>
        <w:t>éducation formelle et non formelle.</w:t>
      </w:r>
    </w:p>
    <w:p w14:paraId="4878E0B3" w14:textId="1CA94EA8" w:rsidR="00072679" w:rsidRDefault="0068018E">
      <w:pPr>
        <w:pStyle w:val="Orateurengris"/>
        <w:numPr>
          <w:ilvl w:val="0"/>
          <w:numId w:val="20"/>
        </w:numPr>
        <w:tabs>
          <w:tab w:val="clear" w:pos="567"/>
          <w:tab w:val="left" w:pos="5954"/>
        </w:tabs>
        <w:spacing w:before="120"/>
        <w:ind w:left="709" w:hanging="709"/>
        <w:rPr>
          <w:bCs/>
          <w:lang w:val="fr-FR"/>
        </w:rPr>
      </w:pPr>
      <w:r w:rsidRPr="0068018E">
        <w:rPr>
          <w:bCs/>
          <w:lang w:val="fr-FR"/>
        </w:rPr>
        <w:t xml:space="preserve">Le </w:t>
      </w:r>
      <w:r w:rsidRPr="00702497">
        <w:rPr>
          <w:b/>
          <w:lang w:val="fr-FR"/>
        </w:rPr>
        <w:t>Secrétaire</w:t>
      </w:r>
      <w:r w:rsidRPr="0068018E">
        <w:rPr>
          <w:bCs/>
          <w:lang w:val="fr-FR"/>
        </w:rPr>
        <w:t xml:space="preserve"> a rappelé que, conformément à la décision</w:t>
      </w:r>
      <w:r>
        <w:rPr>
          <w:bCs/>
          <w:lang w:val="fr-FR"/>
        </w:rPr>
        <w:t> </w:t>
      </w:r>
      <w:hyperlink r:id="rId105" w:history="1">
        <w:r w:rsidRPr="006E3034">
          <w:rPr>
            <w:rStyle w:val="Hyperlink"/>
            <w:bCs/>
            <w:lang w:val="fr-FR"/>
          </w:rPr>
          <w:t>16.COM 12</w:t>
        </w:r>
      </w:hyperlink>
      <w:r w:rsidRPr="0068018E">
        <w:rPr>
          <w:bCs/>
          <w:lang w:val="fr-FR"/>
        </w:rPr>
        <w:t xml:space="preserve">, le Secrétariat </w:t>
      </w:r>
      <w:r w:rsidR="00B17F3D">
        <w:rPr>
          <w:bCs/>
          <w:lang w:val="fr-FR"/>
        </w:rPr>
        <w:t xml:space="preserve">était </w:t>
      </w:r>
      <w:r w:rsidRPr="0068018E">
        <w:rPr>
          <w:bCs/>
          <w:lang w:val="fr-FR"/>
        </w:rPr>
        <w:t>prié de rendre compte de</w:t>
      </w:r>
      <w:r>
        <w:rPr>
          <w:bCs/>
          <w:lang w:val="fr-FR"/>
        </w:rPr>
        <w:t xml:space="preserve"> l</w:t>
      </w:r>
      <w:r w:rsidR="00923E72">
        <w:rPr>
          <w:bCs/>
          <w:lang w:val="fr-FR"/>
        </w:rPr>
        <w:t>’</w:t>
      </w:r>
      <w:r>
        <w:rPr>
          <w:bCs/>
          <w:lang w:val="fr-FR"/>
        </w:rPr>
        <w:t xml:space="preserve">avancement réalisé </w:t>
      </w:r>
      <w:r w:rsidRPr="0068018E">
        <w:rPr>
          <w:bCs/>
          <w:lang w:val="fr-FR"/>
        </w:rPr>
        <w:t xml:space="preserve">dans la mise en œuvre </w:t>
      </w:r>
      <w:r>
        <w:rPr>
          <w:bCs/>
          <w:lang w:val="fr-FR"/>
        </w:rPr>
        <w:t xml:space="preserve">de toute </w:t>
      </w:r>
      <w:r w:rsidRPr="0068018E">
        <w:rPr>
          <w:bCs/>
          <w:lang w:val="fr-FR"/>
        </w:rPr>
        <w:t>contribution volontaire supplémentaire au Fonds du PCI qu</w:t>
      </w:r>
      <w:r w:rsidR="00923E72">
        <w:rPr>
          <w:bCs/>
          <w:lang w:val="fr-FR"/>
        </w:rPr>
        <w:t>’</w:t>
      </w:r>
      <w:r w:rsidRPr="0068018E">
        <w:rPr>
          <w:bCs/>
          <w:lang w:val="fr-FR"/>
        </w:rPr>
        <w:t xml:space="preserve">il </w:t>
      </w:r>
      <w:r w:rsidR="00B17F3D">
        <w:rPr>
          <w:bCs/>
          <w:lang w:val="fr-FR"/>
        </w:rPr>
        <w:t xml:space="preserve">avait </w:t>
      </w:r>
      <w:r w:rsidRPr="0068018E">
        <w:rPr>
          <w:bCs/>
          <w:lang w:val="fr-FR"/>
        </w:rPr>
        <w:t xml:space="preserve">pu recevoir depuis </w:t>
      </w:r>
      <w:r w:rsidR="00893C23">
        <w:rPr>
          <w:bCs/>
          <w:lang w:val="fr-FR"/>
        </w:rPr>
        <w:t xml:space="preserve">la seizième </w:t>
      </w:r>
      <w:r w:rsidRPr="0068018E">
        <w:rPr>
          <w:bCs/>
          <w:lang w:val="fr-FR"/>
        </w:rPr>
        <w:t xml:space="preserve">session ainsi que de </w:t>
      </w:r>
      <w:r w:rsidR="00893C23">
        <w:rPr>
          <w:bCs/>
          <w:lang w:val="fr-FR"/>
        </w:rPr>
        <w:t xml:space="preserve">faire rapport </w:t>
      </w:r>
      <w:r w:rsidRPr="0068018E">
        <w:rPr>
          <w:bCs/>
          <w:lang w:val="fr-FR"/>
        </w:rPr>
        <w:t>de toutes les contributions volontaires reçues depuis la précédente session du Comité, conformément à la décision</w:t>
      </w:r>
      <w:hyperlink r:id="rId106" w:history="1">
        <w:r w:rsidR="00893C23" w:rsidRPr="006E3034">
          <w:rPr>
            <w:lang w:val="fr-FR"/>
          </w:rPr>
          <w:t> </w:t>
        </w:r>
        <w:r w:rsidR="00893C23" w:rsidRPr="006E3034">
          <w:rPr>
            <w:rStyle w:val="Hyperlink"/>
            <w:bCs/>
            <w:lang w:val="fr-FR"/>
          </w:rPr>
          <w:t>7.COM 20.1</w:t>
        </w:r>
      </w:hyperlink>
      <w:r w:rsidRPr="0068018E">
        <w:rPr>
          <w:bCs/>
          <w:lang w:val="fr-FR"/>
        </w:rPr>
        <w:t>. Le document de travail</w:t>
      </w:r>
      <w:r w:rsidR="00B17F3D">
        <w:rPr>
          <w:bCs/>
          <w:lang w:val="fr-FR"/>
        </w:rPr>
        <w:t> </w:t>
      </w:r>
      <w:r w:rsidRPr="0068018E">
        <w:rPr>
          <w:bCs/>
          <w:lang w:val="fr-FR"/>
        </w:rPr>
        <w:t>12 présentait une vue d</w:t>
      </w:r>
      <w:r w:rsidR="00923E72">
        <w:rPr>
          <w:bCs/>
          <w:lang w:val="fr-FR"/>
        </w:rPr>
        <w:t>’</w:t>
      </w:r>
      <w:r w:rsidRPr="0068018E">
        <w:rPr>
          <w:bCs/>
          <w:lang w:val="fr-FR"/>
        </w:rPr>
        <w:t>ensemble du soutien reçu par la Convention du</w:t>
      </w:r>
      <w:r w:rsidR="00DE73C8">
        <w:rPr>
          <w:bCs/>
          <w:lang w:val="fr-FR"/>
        </w:rPr>
        <w:t> </w:t>
      </w:r>
      <w:r w:rsidR="00893C23">
        <w:rPr>
          <w:bCs/>
          <w:lang w:val="fr-FR"/>
        </w:rPr>
        <w:t>1</w:t>
      </w:r>
      <w:r w:rsidR="00893C23" w:rsidRPr="00702497">
        <w:rPr>
          <w:bCs/>
          <w:vertAlign w:val="superscript"/>
          <w:lang w:val="fr-FR"/>
        </w:rPr>
        <w:t>er</w:t>
      </w:r>
      <w:r w:rsidR="00893C23">
        <w:rPr>
          <w:bCs/>
          <w:lang w:val="fr-FR"/>
        </w:rPr>
        <w:t> </w:t>
      </w:r>
      <w:r w:rsidRPr="0068018E">
        <w:rPr>
          <w:bCs/>
          <w:lang w:val="fr-FR"/>
        </w:rPr>
        <w:t>janvier au 30</w:t>
      </w:r>
      <w:r w:rsidR="00893C23">
        <w:rPr>
          <w:bCs/>
          <w:lang w:val="fr-FR"/>
        </w:rPr>
        <w:t> </w:t>
      </w:r>
      <w:r w:rsidRPr="0068018E">
        <w:rPr>
          <w:bCs/>
          <w:lang w:val="fr-FR"/>
        </w:rPr>
        <w:t>juin</w:t>
      </w:r>
      <w:r w:rsidR="00893C23">
        <w:rPr>
          <w:bCs/>
          <w:lang w:val="fr-FR"/>
        </w:rPr>
        <w:t> </w:t>
      </w:r>
      <w:r w:rsidRPr="0068018E">
        <w:rPr>
          <w:bCs/>
          <w:lang w:val="fr-FR"/>
        </w:rPr>
        <w:t>2022.</w:t>
      </w:r>
    </w:p>
    <w:p w14:paraId="265AA533" w14:textId="2636DBB4" w:rsidR="00893C23" w:rsidRDefault="002D749E">
      <w:pPr>
        <w:pStyle w:val="Orateurengris"/>
        <w:numPr>
          <w:ilvl w:val="0"/>
          <w:numId w:val="20"/>
        </w:numPr>
        <w:tabs>
          <w:tab w:val="clear" w:pos="567"/>
          <w:tab w:val="left" w:pos="5954"/>
        </w:tabs>
        <w:spacing w:before="120"/>
        <w:ind w:left="709" w:hanging="709"/>
        <w:rPr>
          <w:bCs/>
          <w:lang w:val="fr-FR"/>
        </w:rPr>
      </w:pPr>
      <w:r w:rsidRPr="006E3034">
        <w:rPr>
          <w:bCs/>
          <w:lang w:val="fr-FR"/>
        </w:rPr>
        <w:t>M. Julien Nakata</w:t>
      </w:r>
      <w:r w:rsidR="00E47294" w:rsidRPr="006E3034">
        <w:rPr>
          <w:bCs/>
          <w:lang w:val="fr-FR"/>
        </w:rPr>
        <w:t>,</w:t>
      </w:r>
      <w:r w:rsidRPr="008A1DFC">
        <w:rPr>
          <w:bCs/>
          <w:lang w:val="fr-FR"/>
        </w:rPr>
        <w:t xml:space="preserve"> </w:t>
      </w:r>
      <w:r w:rsidRPr="006E3034">
        <w:rPr>
          <w:bCs/>
          <w:lang w:val="fr-FR"/>
        </w:rPr>
        <w:t>du</w:t>
      </w:r>
      <w:r w:rsidRPr="00702497">
        <w:rPr>
          <w:b/>
          <w:lang w:val="fr-FR"/>
        </w:rPr>
        <w:t xml:space="preserve"> Secrétariat</w:t>
      </w:r>
      <w:r w:rsidR="00E47294">
        <w:rPr>
          <w:b/>
          <w:lang w:val="fr-FR"/>
        </w:rPr>
        <w:t>,</w:t>
      </w:r>
      <w:r w:rsidRPr="002D749E">
        <w:rPr>
          <w:bCs/>
          <w:lang w:val="fr-FR"/>
        </w:rPr>
        <w:t xml:space="preserve"> a expliqué que les contributions volontaires sont principalement destinées à la mise en œuvre des deux priorités de financement approuvées en</w:t>
      </w:r>
      <w:r w:rsidR="001518A9">
        <w:rPr>
          <w:bCs/>
          <w:lang w:val="fr-FR"/>
        </w:rPr>
        <w:t> </w:t>
      </w:r>
      <w:r w:rsidRPr="002D749E">
        <w:rPr>
          <w:bCs/>
          <w:lang w:val="fr-FR"/>
        </w:rPr>
        <w:t>2021, mais aussi à d</w:t>
      </w:r>
      <w:r w:rsidR="00923E72">
        <w:rPr>
          <w:bCs/>
          <w:lang w:val="fr-FR"/>
        </w:rPr>
        <w:t>’</w:t>
      </w:r>
      <w:r w:rsidRPr="002D749E">
        <w:rPr>
          <w:bCs/>
          <w:lang w:val="fr-FR"/>
        </w:rPr>
        <w:t>autres activités qui ne peuvent être financées par les ressources limitées du Programme ordinaire de l</w:t>
      </w:r>
      <w:r w:rsidR="00923E72">
        <w:rPr>
          <w:bCs/>
          <w:lang w:val="fr-FR"/>
        </w:rPr>
        <w:t>’</w:t>
      </w:r>
      <w:r w:rsidRPr="002D749E">
        <w:rPr>
          <w:bCs/>
          <w:lang w:val="fr-FR"/>
        </w:rPr>
        <w:t>UNESCO. Au cours du premier semestre</w:t>
      </w:r>
      <w:r w:rsidR="001518A9">
        <w:rPr>
          <w:bCs/>
          <w:lang w:val="fr-FR"/>
        </w:rPr>
        <w:t> </w:t>
      </w:r>
      <w:r w:rsidRPr="002D749E">
        <w:rPr>
          <w:bCs/>
          <w:lang w:val="fr-FR"/>
        </w:rPr>
        <w:t>2022, trois contributions volontaires supplémentaires avaient été versées au Fonds du PCI pour un montant total de 189</w:t>
      </w:r>
      <w:r>
        <w:rPr>
          <w:bCs/>
          <w:lang w:val="fr-FR"/>
        </w:rPr>
        <w:t> </w:t>
      </w:r>
      <w:r w:rsidRPr="002D749E">
        <w:rPr>
          <w:bCs/>
          <w:lang w:val="fr-FR"/>
        </w:rPr>
        <w:t>277</w:t>
      </w:r>
      <w:r>
        <w:rPr>
          <w:bCs/>
          <w:lang w:val="fr-FR"/>
        </w:rPr>
        <w:t> </w:t>
      </w:r>
      <w:r w:rsidRPr="002D749E">
        <w:rPr>
          <w:bCs/>
          <w:lang w:val="fr-FR"/>
        </w:rPr>
        <w:t>dollars des États-Unis. Le premier semestre</w:t>
      </w:r>
      <w:r w:rsidR="001518A9">
        <w:rPr>
          <w:bCs/>
          <w:lang w:val="fr-FR"/>
        </w:rPr>
        <w:t> </w:t>
      </w:r>
      <w:r w:rsidRPr="002D749E">
        <w:rPr>
          <w:bCs/>
          <w:lang w:val="fr-FR"/>
        </w:rPr>
        <w:t>2022 avait été marqué par une légère augmentation du montant des contributions volontaires supplémentaires par rapport à la même période de l</w:t>
      </w:r>
      <w:r w:rsidR="00923E72">
        <w:rPr>
          <w:bCs/>
          <w:lang w:val="fr-FR"/>
        </w:rPr>
        <w:t>’</w:t>
      </w:r>
      <w:r w:rsidRPr="002D749E">
        <w:rPr>
          <w:bCs/>
          <w:lang w:val="fr-FR"/>
        </w:rPr>
        <w:t>exercice précédent, où les contributions volontaires avaient représenté 102</w:t>
      </w:r>
      <w:r>
        <w:rPr>
          <w:bCs/>
          <w:lang w:val="fr-FR"/>
        </w:rPr>
        <w:t> </w:t>
      </w:r>
      <w:r w:rsidRPr="002D749E">
        <w:rPr>
          <w:bCs/>
          <w:lang w:val="fr-FR"/>
        </w:rPr>
        <w:t>600</w:t>
      </w:r>
      <w:r>
        <w:rPr>
          <w:bCs/>
          <w:lang w:val="fr-FR"/>
        </w:rPr>
        <w:t> </w:t>
      </w:r>
      <w:r w:rsidRPr="002D749E">
        <w:rPr>
          <w:bCs/>
          <w:lang w:val="fr-FR"/>
        </w:rPr>
        <w:t>dollars des États-Unis. S</w:t>
      </w:r>
      <w:r w:rsidR="00923E72">
        <w:rPr>
          <w:bCs/>
          <w:lang w:val="fr-FR"/>
        </w:rPr>
        <w:t>’</w:t>
      </w:r>
      <w:r w:rsidRPr="002D749E">
        <w:rPr>
          <w:bCs/>
          <w:lang w:val="fr-FR"/>
        </w:rPr>
        <w:t>agissant de la</w:t>
      </w:r>
      <w:r w:rsidRPr="008A1DFC">
        <w:rPr>
          <w:bCs/>
          <w:lang w:val="fr-FR"/>
        </w:rPr>
        <w:t xml:space="preserve"> </w:t>
      </w:r>
      <w:r w:rsidRPr="006E3034">
        <w:rPr>
          <w:bCs/>
          <w:lang w:val="fr-FR"/>
        </w:rPr>
        <w:t>priorité 1 de financement sur le programme de renforcement des capacités</w:t>
      </w:r>
      <w:r w:rsidRPr="008A1DFC">
        <w:rPr>
          <w:bCs/>
          <w:lang w:val="fr-FR"/>
        </w:rPr>
        <w:t xml:space="preserve">, </w:t>
      </w:r>
      <w:r w:rsidRPr="002D749E">
        <w:rPr>
          <w:bCs/>
          <w:lang w:val="fr-FR"/>
        </w:rPr>
        <w:t>de janvier à juin</w:t>
      </w:r>
      <w:r w:rsidR="001518A9">
        <w:rPr>
          <w:bCs/>
          <w:lang w:val="fr-FR"/>
        </w:rPr>
        <w:t> </w:t>
      </w:r>
      <w:r w:rsidRPr="002D749E">
        <w:rPr>
          <w:bCs/>
          <w:lang w:val="fr-FR"/>
        </w:rPr>
        <w:t>2022, une seule contribution avait été versée au Fonds par la République de Corée via l</w:t>
      </w:r>
      <w:r w:rsidR="00923E72">
        <w:rPr>
          <w:bCs/>
          <w:lang w:val="fr-FR"/>
        </w:rPr>
        <w:t>’</w:t>
      </w:r>
      <w:r w:rsidRPr="002D749E">
        <w:rPr>
          <w:bCs/>
          <w:lang w:val="fr-FR"/>
        </w:rPr>
        <w:t>ICHCAP</w:t>
      </w:r>
      <w:r>
        <w:rPr>
          <w:rStyle w:val="FootnoteReference"/>
          <w:bCs/>
          <w:lang w:val="fr-FR"/>
        </w:rPr>
        <w:footnoteReference w:id="36"/>
      </w:r>
      <w:r w:rsidRPr="002D749E">
        <w:rPr>
          <w:bCs/>
          <w:lang w:val="fr-FR"/>
        </w:rPr>
        <w:t>, en faveur d</w:t>
      </w:r>
      <w:r w:rsidR="00923E72">
        <w:rPr>
          <w:bCs/>
          <w:lang w:val="fr-FR"/>
        </w:rPr>
        <w:t>’</w:t>
      </w:r>
      <w:r w:rsidRPr="002D749E">
        <w:rPr>
          <w:bCs/>
          <w:lang w:val="fr-FR"/>
        </w:rPr>
        <w:t>un projet de renforcement des capacités pour la mise en œuvre de la Convention en Tanzanie. Le montant de 81</w:t>
      </w:r>
      <w:r w:rsidR="006E4F3A">
        <w:rPr>
          <w:bCs/>
          <w:lang w:val="fr-FR"/>
        </w:rPr>
        <w:t> </w:t>
      </w:r>
      <w:r w:rsidRPr="002D749E">
        <w:rPr>
          <w:bCs/>
          <w:lang w:val="fr-FR"/>
        </w:rPr>
        <w:t>271</w:t>
      </w:r>
      <w:r w:rsidR="006E4F3A">
        <w:rPr>
          <w:bCs/>
          <w:lang w:val="fr-FR"/>
        </w:rPr>
        <w:t> </w:t>
      </w:r>
      <w:r w:rsidRPr="002D749E">
        <w:rPr>
          <w:bCs/>
          <w:lang w:val="fr-FR"/>
        </w:rPr>
        <w:t>dollars des États-Unis représentait</w:t>
      </w:r>
      <w:r w:rsidR="001518A9">
        <w:rPr>
          <w:bCs/>
          <w:lang w:val="fr-FR"/>
        </w:rPr>
        <w:t> </w:t>
      </w:r>
      <w:r w:rsidRPr="002D749E">
        <w:rPr>
          <w:bCs/>
          <w:lang w:val="fr-FR"/>
        </w:rPr>
        <w:t>1,6</w:t>
      </w:r>
      <w:r w:rsidR="001518A9">
        <w:rPr>
          <w:bCs/>
          <w:lang w:val="fr-FR"/>
        </w:rPr>
        <w:t> </w:t>
      </w:r>
      <w:r w:rsidRPr="002D749E">
        <w:rPr>
          <w:bCs/>
          <w:lang w:val="fr-FR"/>
        </w:rPr>
        <w:t>% de l</w:t>
      </w:r>
      <w:r w:rsidR="00923E72">
        <w:rPr>
          <w:bCs/>
          <w:lang w:val="fr-FR"/>
        </w:rPr>
        <w:t>’</w:t>
      </w:r>
      <w:r w:rsidRPr="002D749E">
        <w:rPr>
          <w:bCs/>
          <w:lang w:val="fr-FR"/>
        </w:rPr>
        <w:t>objectif de mobilisation fixé pour la période</w:t>
      </w:r>
      <w:r w:rsidR="001518A9">
        <w:rPr>
          <w:bCs/>
          <w:lang w:val="fr-FR"/>
        </w:rPr>
        <w:t> </w:t>
      </w:r>
      <w:r w:rsidRPr="002D749E">
        <w:rPr>
          <w:bCs/>
          <w:lang w:val="fr-FR"/>
        </w:rPr>
        <w:t>2022</w:t>
      </w:r>
      <w:r w:rsidR="006E4F3A">
        <w:rPr>
          <w:bCs/>
          <w:lang w:val="fr-FR"/>
        </w:rPr>
        <w:noBreakHyphen/>
      </w:r>
      <w:r w:rsidRPr="002D749E">
        <w:rPr>
          <w:bCs/>
          <w:lang w:val="fr-FR"/>
        </w:rPr>
        <w:t xml:space="preserve">2025. Pour donner un aperçu du soutien apporté à cette priorité, </w:t>
      </w:r>
      <w:r w:rsidR="001518A9">
        <w:rPr>
          <w:bCs/>
          <w:lang w:val="fr-FR"/>
        </w:rPr>
        <w:t xml:space="preserve">il convenait de rappeler que </w:t>
      </w:r>
      <w:r w:rsidRPr="002D749E">
        <w:rPr>
          <w:bCs/>
          <w:lang w:val="fr-FR"/>
        </w:rPr>
        <w:t>pas moins de vingt</w:t>
      </w:r>
      <w:r w:rsidR="001518A9">
        <w:rPr>
          <w:bCs/>
          <w:lang w:val="fr-FR"/>
        </w:rPr>
        <w:noBreakHyphen/>
      </w:r>
      <w:r w:rsidRPr="002D749E">
        <w:rPr>
          <w:bCs/>
          <w:lang w:val="fr-FR"/>
        </w:rPr>
        <w:t>sept projets et activités de renforcement des capacités étaient actuellement soutenus par des contributions volontaires sous diverses formes, qu</w:t>
      </w:r>
      <w:r w:rsidR="00923E72">
        <w:rPr>
          <w:bCs/>
          <w:lang w:val="fr-FR"/>
        </w:rPr>
        <w:t>’</w:t>
      </w:r>
      <w:r w:rsidRPr="002D749E">
        <w:rPr>
          <w:bCs/>
          <w:lang w:val="fr-FR"/>
        </w:rPr>
        <w:t>il s</w:t>
      </w:r>
      <w:r w:rsidR="00923E72">
        <w:rPr>
          <w:bCs/>
          <w:lang w:val="fr-FR"/>
        </w:rPr>
        <w:t>’</w:t>
      </w:r>
      <w:r w:rsidRPr="002D749E">
        <w:rPr>
          <w:bCs/>
          <w:lang w:val="fr-FR"/>
        </w:rPr>
        <w:t>agisse de contributions volontaires supplémentaires au Fonds, de fonds-en-dépôt ou de crédits supplémentaires au titre du Programme ordinaire de l</w:t>
      </w:r>
      <w:r w:rsidR="00923E72">
        <w:rPr>
          <w:bCs/>
          <w:lang w:val="fr-FR"/>
        </w:rPr>
        <w:t>’</w:t>
      </w:r>
      <w:r w:rsidRPr="002D749E">
        <w:rPr>
          <w:bCs/>
          <w:lang w:val="fr-FR"/>
        </w:rPr>
        <w:t>UNESCO, de la part de gouvernements, de centres de catégorie</w:t>
      </w:r>
      <w:r w:rsidR="006773EF">
        <w:rPr>
          <w:bCs/>
          <w:lang w:val="fr-FR"/>
        </w:rPr>
        <w:t> </w:t>
      </w:r>
      <w:r w:rsidRPr="002D749E">
        <w:rPr>
          <w:bCs/>
          <w:lang w:val="fr-FR"/>
        </w:rPr>
        <w:t>2, d</w:t>
      </w:r>
      <w:r w:rsidR="00923E72">
        <w:rPr>
          <w:bCs/>
          <w:lang w:val="fr-FR"/>
        </w:rPr>
        <w:t>’</w:t>
      </w:r>
      <w:r w:rsidRPr="002D749E">
        <w:rPr>
          <w:bCs/>
          <w:lang w:val="fr-FR"/>
        </w:rPr>
        <w:t>ONG ou du secteur privé. Six de ces vingt</w:t>
      </w:r>
      <w:r w:rsidR="001518A9">
        <w:rPr>
          <w:bCs/>
          <w:lang w:val="fr-FR"/>
        </w:rPr>
        <w:noBreakHyphen/>
      </w:r>
      <w:r w:rsidRPr="002D749E">
        <w:rPr>
          <w:bCs/>
          <w:lang w:val="fr-FR"/>
        </w:rPr>
        <w:t>sept projets et activités avaient été mis en œuvre par les bureaux hors</w:t>
      </w:r>
      <w:r w:rsidR="006E4F3A">
        <w:rPr>
          <w:bCs/>
          <w:lang w:val="fr-FR"/>
        </w:rPr>
        <w:t> S</w:t>
      </w:r>
      <w:r w:rsidRPr="002D749E">
        <w:rPr>
          <w:bCs/>
          <w:lang w:val="fr-FR"/>
        </w:rPr>
        <w:t xml:space="preserve">iège et le </w:t>
      </w:r>
      <w:r w:rsidR="006E4F3A">
        <w:rPr>
          <w:bCs/>
          <w:lang w:val="fr-FR"/>
        </w:rPr>
        <w:t>S</w:t>
      </w:r>
      <w:r w:rsidRPr="002D749E">
        <w:rPr>
          <w:bCs/>
          <w:lang w:val="fr-FR"/>
        </w:rPr>
        <w:t>iège de l</w:t>
      </w:r>
      <w:r w:rsidR="00923E72">
        <w:rPr>
          <w:bCs/>
          <w:lang w:val="fr-FR"/>
        </w:rPr>
        <w:t>’</w:t>
      </w:r>
      <w:r w:rsidRPr="002D749E">
        <w:rPr>
          <w:bCs/>
          <w:lang w:val="fr-FR"/>
        </w:rPr>
        <w:t>UNESCO au cours de la période concernée, en Asie et dans les États arabes ainsi qu</w:t>
      </w:r>
      <w:r w:rsidR="00923E72">
        <w:rPr>
          <w:bCs/>
          <w:lang w:val="fr-FR"/>
        </w:rPr>
        <w:t>’</w:t>
      </w:r>
      <w:r w:rsidRPr="002D749E">
        <w:rPr>
          <w:bCs/>
          <w:lang w:val="fr-FR"/>
        </w:rPr>
        <w:t>au niveau mondial.</w:t>
      </w:r>
    </w:p>
    <w:p w14:paraId="445AEF55" w14:textId="4AD3E101" w:rsidR="006E4F3A" w:rsidRDefault="001932D0">
      <w:pPr>
        <w:pStyle w:val="Orateurengris"/>
        <w:numPr>
          <w:ilvl w:val="0"/>
          <w:numId w:val="20"/>
        </w:numPr>
        <w:tabs>
          <w:tab w:val="clear" w:pos="567"/>
          <w:tab w:val="left" w:pos="5954"/>
        </w:tabs>
        <w:spacing w:before="120"/>
        <w:ind w:left="709" w:hanging="709"/>
        <w:rPr>
          <w:bCs/>
          <w:lang w:val="fr-FR"/>
        </w:rPr>
      </w:pPr>
      <w:r w:rsidRPr="00702497">
        <w:rPr>
          <w:b/>
          <w:lang w:val="fr-FR"/>
        </w:rPr>
        <w:lastRenderedPageBreak/>
        <w:t>M. Julien Nakata</w:t>
      </w:r>
      <w:r w:rsidRPr="001932D0">
        <w:rPr>
          <w:bCs/>
          <w:lang w:val="fr-FR"/>
        </w:rPr>
        <w:t xml:space="preserve"> a présenté la </w:t>
      </w:r>
      <w:r w:rsidRPr="006E3034">
        <w:rPr>
          <w:bCs/>
          <w:lang w:val="fr-FR"/>
        </w:rPr>
        <w:t>priorité 2 de financement sur le patrimoine culturel immatériel dans l</w:t>
      </w:r>
      <w:r w:rsidR="00923E72" w:rsidRPr="006E3034">
        <w:rPr>
          <w:bCs/>
          <w:lang w:val="fr-FR"/>
        </w:rPr>
        <w:t>’</w:t>
      </w:r>
      <w:r w:rsidRPr="006E3034">
        <w:rPr>
          <w:bCs/>
          <w:lang w:val="fr-FR"/>
        </w:rPr>
        <w:t>éducation</w:t>
      </w:r>
      <w:r w:rsidRPr="008A1DFC">
        <w:rPr>
          <w:bCs/>
          <w:lang w:val="fr-FR"/>
        </w:rPr>
        <w:t>. Bien que les États parties reconnaissent l</w:t>
      </w:r>
      <w:r w:rsidR="00923E72" w:rsidRPr="008A1DFC">
        <w:rPr>
          <w:bCs/>
          <w:lang w:val="fr-FR"/>
        </w:rPr>
        <w:t>’</w:t>
      </w:r>
      <w:r w:rsidRPr="008A1DFC">
        <w:rPr>
          <w:bCs/>
          <w:lang w:val="fr-FR"/>
        </w:rPr>
        <w:t>importance de cette thématique, aucune contribution volontaire supplémentaire au Fonds n</w:t>
      </w:r>
      <w:r w:rsidR="00923E72" w:rsidRPr="008A1DFC">
        <w:rPr>
          <w:bCs/>
          <w:lang w:val="fr-FR"/>
        </w:rPr>
        <w:t>’</w:t>
      </w:r>
      <w:r w:rsidRPr="008A1DFC">
        <w:rPr>
          <w:bCs/>
          <w:lang w:val="fr-FR"/>
        </w:rPr>
        <w:t>a</w:t>
      </w:r>
      <w:r w:rsidR="00885C29" w:rsidRPr="008A1DFC">
        <w:rPr>
          <w:bCs/>
          <w:lang w:val="fr-FR"/>
        </w:rPr>
        <w:t>vait</w:t>
      </w:r>
      <w:r w:rsidRPr="008A1DFC">
        <w:rPr>
          <w:bCs/>
          <w:lang w:val="fr-FR"/>
        </w:rPr>
        <w:t xml:space="preserve"> été versée au cours du premier semestre</w:t>
      </w:r>
      <w:r w:rsidR="00885C29" w:rsidRPr="008A1DFC">
        <w:rPr>
          <w:bCs/>
          <w:lang w:val="fr-FR"/>
        </w:rPr>
        <w:t> </w:t>
      </w:r>
      <w:r w:rsidRPr="008A1DFC">
        <w:rPr>
          <w:bCs/>
          <w:lang w:val="fr-FR"/>
        </w:rPr>
        <w:t>2022. Cependant</w:t>
      </w:r>
      <w:r w:rsidRPr="001932D0">
        <w:rPr>
          <w:bCs/>
          <w:lang w:val="fr-FR"/>
        </w:rPr>
        <w:t xml:space="preserve">, il y avait </w:t>
      </w:r>
      <w:r>
        <w:rPr>
          <w:bCs/>
          <w:lang w:val="fr-FR"/>
        </w:rPr>
        <w:t xml:space="preserve">eu </w:t>
      </w:r>
      <w:r w:rsidRPr="001932D0">
        <w:rPr>
          <w:bCs/>
          <w:lang w:val="fr-FR"/>
        </w:rPr>
        <w:t>une nouvelle contribution volontaire supplémentaire de la Flandre (Belgique) par le biais d</w:t>
      </w:r>
      <w:r w:rsidR="00923E72">
        <w:rPr>
          <w:bCs/>
          <w:lang w:val="fr-FR"/>
        </w:rPr>
        <w:t>’</w:t>
      </w:r>
      <w:r w:rsidRPr="001932D0">
        <w:rPr>
          <w:bCs/>
          <w:lang w:val="fr-FR"/>
        </w:rPr>
        <w:t>un fonds-en-dépôt pour soutenir un projet d</w:t>
      </w:r>
      <w:r w:rsidR="00923E72">
        <w:rPr>
          <w:bCs/>
          <w:lang w:val="fr-FR"/>
        </w:rPr>
        <w:t>’</w:t>
      </w:r>
      <w:r w:rsidRPr="001932D0">
        <w:rPr>
          <w:bCs/>
          <w:lang w:val="fr-FR"/>
        </w:rPr>
        <w:t>intégration du patrimoine culturel immatériel dans l</w:t>
      </w:r>
      <w:r w:rsidR="00923E72">
        <w:rPr>
          <w:bCs/>
          <w:lang w:val="fr-FR"/>
        </w:rPr>
        <w:t>’</w:t>
      </w:r>
      <w:r w:rsidRPr="001932D0">
        <w:rPr>
          <w:bCs/>
          <w:lang w:val="fr-FR"/>
        </w:rPr>
        <w:t xml:space="preserve">éducation formelle et non formelle en Afrique australe. Ce projet était en cours de mise en œuvre par le </w:t>
      </w:r>
      <w:r w:rsidR="00174C67">
        <w:rPr>
          <w:bCs/>
          <w:lang w:val="fr-FR"/>
        </w:rPr>
        <w:t>B</w:t>
      </w:r>
      <w:r w:rsidRPr="001932D0">
        <w:rPr>
          <w:bCs/>
          <w:lang w:val="fr-FR"/>
        </w:rPr>
        <w:t>ureau régional de l</w:t>
      </w:r>
      <w:r w:rsidR="00923E72">
        <w:rPr>
          <w:bCs/>
          <w:lang w:val="fr-FR"/>
        </w:rPr>
        <w:t>’</w:t>
      </w:r>
      <w:r w:rsidRPr="001932D0">
        <w:rPr>
          <w:bCs/>
          <w:lang w:val="fr-FR"/>
        </w:rPr>
        <w:t>UNESCO à Harare. Au cours du premier semestre</w:t>
      </w:r>
      <w:r w:rsidR="00885C29">
        <w:rPr>
          <w:bCs/>
          <w:lang w:val="fr-FR"/>
        </w:rPr>
        <w:t> </w:t>
      </w:r>
      <w:r w:rsidRPr="001932D0">
        <w:rPr>
          <w:bCs/>
          <w:lang w:val="fr-FR"/>
        </w:rPr>
        <w:t xml:space="preserve">2022, la priorité 2 avait été mise en œuvre par le biais de quatre projets en Amérique latine et dans les Caraïbes, en Afrique et en Asie. </w:t>
      </w:r>
      <w:r>
        <w:rPr>
          <w:bCs/>
          <w:lang w:val="fr-FR"/>
        </w:rPr>
        <w:t>S</w:t>
      </w:r>
      <w:r w:rsidR="00923E72">
        <w:rPr>
          <w:bCs/>
          <w:lang w:val="fr-FR"/>
        </w:rPr>
        <w:t>’</w:t>
      </w:r>
      <w:r>
        <w:rPr>
          <w:bCs/>
          <w:lang w:val="fr-FR"/>
        </w:rPr>
        <w:t xml:space="preserve">agissant du </w:t>
      </w:r>
      <w:r w:rsidRPr="001932D0">
        <w:rPr>
          <w:bCs/>
          <w:lang w:val="fr-FR"/>
        </w:rPr>
        <w:t>renforcement des ressources humaines du Secrétariat, en particulier le sous-fonds créé à cet effet depuis la seizième session du Comité en décembre</w:t>
      </w:r>
      <w:r w:rsidR="001A7AF7">
        <w:rPr>
          <w:bCs/>
          <w:lang w:val="fr-FR"/>
        </w:rPr>
        <w:t> </w:t>
      </w:r>
      <w:r w:rsidRPr="001932D0">
        <w:rPr>
          <w:bCs/>
          <w:lang w:val="fr-FR"/>
        </w:rPr>
        <w:t>2021, deux contributions volontaires avaient été reçues de la France et de la Lituanie, pour un montant total de 108</w:t>
      </w:r>
      <w:r w:rsidR="00FD1D41">
        <w:rPr>
          <w:bCs/>
          <w:lang w:val="fr-FR"/>
        </w:rPr>
        <w:t> </w:t>
      </w:r>
      <w:r w:rsidRPr="001932D0">
        <w:rPr>
          <w:bCs/>
          <w:lang w:val="fr-FR"/>
        </w:rPr>
        <w:t>006</w:t>
      </w:r>
      <w:r w:rsidR="00FD1D41">
        <w:rPr>
          <w:bCs/>
          <w:lang w:val="fr-FR"/>
        </w:rPr>
        <w:t> </w:t>
      </w:r>
      <w:r w:rsidRPr="001932D0">
        <w:rPr>
          <w:bCs/>
          <w:lang w:val="fr-FR"/>
        </w:rPr>
        <w:t>dollars des États-Unis, cor</w:t>
      </w:r>
      <w:r w:rsidR="00FD1D41">
        <w:rPr>
          <w:bCs/>
          <w:lang w:val="fr-FR"/>
        </w:rPr>
        <w:t>r</w:t>
      </w:r>
      <w:r w:rsidRPr="001932D0">
        <w:rPr>
          <w:bCs/>
          <w:lang w:val="fr-FR"/>
        </w:rPr>
        <w:t>espondant à</w:t>
      </w:r>
      <w:r w:rsidR="006773EF">
        <w:rPr>
          <w:bCs/>
          <w:lang w:val="fr-FR"/>
        </w:rPr>
        <w:t> </w:t>
      </w:r>
      <w:r w:rsidRPr="001932D0">
        <w:rPr>
          <w:bCs/>
          <w:lang w:val="fr-FR"/>
        </w:rPr>
        <w:t>6</w:t>
      </w:r>
      <w:r w:rsidR="00FD1D41">
        <w:rPr>
          <w:bCs/>
          <w:lang w:val="fr-FR"/>
        </w:rPr>
        <w:t> </w:t>
      </w:r>
      <w:r w:rsidRPr="001932D0">
        <w:rPr>
          <w:bCs/>
          <w:lang w:val="fr-FR"/>
        </w:rPr>
        <w:t>% de l</w:t>
      </w:r>
      <w:r w:rsidR="00923E72">
        <w:rPr>
          <w:bCs/>
          <w:lang w:val="fr-FR"/>
        </w:rPr>
        <w:t>’</w:t>
      </w:r>
      <w:r w:rsidRPr="001932D0">
        <w:rPr>
          <w:bCs/>
          <w:lang w:val="fr-FR"/>
        </w:rPr>
        <w:t>objectif biennal fixé par l</w:t>
      </w:r>
      <w:r w:rsidR="00923E72">
        <w:rPr>
          <w:bCs/>
          <w:lang w:val="fr-FR"/>
        </w:rPr>
        <w:t>’</w:t>
      </w:r>
      <w:r w:rsidRPr="001932D0">
        <w:rPr>
          <w:bCs/>
          <w:lang w:val="fr-FR"/>
        </w:rPr>
        <w:t>Assemblée générale en juin</w:t>
      </w:r>
      <w:r w:rsidR="00885C29">
        <w:rPr>
          <w:bCs/>
          <w:lang w:val="fr-FR"/>
        </w:rPr>
        <w:t> </w:t>
      </w:r>
      <w:r w:rsidRPr="001932D0">
        <w:rPr>
          <w:bCs/>
          <w:lang w:val="fr-FR"/>
        </w:rPr>
        <w:t xml:space="preserve">2020. </w:t>
      </w:r>
      <w:r w:rsidR="00FD1D41">
        <w:rPr>
          <w:bCs/>
          <w:lang w:val="fr-FR"/>
        </w:rPr>
        <w:t xml:space="preserve">Outre </w:t>
      </w:r>
      <w:r w:rsidRPr="001932D0">
        <w:rPr>
          <w:bCs/>
          <w:lang w:val="fr-FR"/>
        </w:rPr>
        <w:t xml:space="preserve">ces deux contributions volontaires, deux contributions en nature </w:t>
      </w:r>
      <w:r w:rsidR="00FD1D41">
        <w:rPr>
          <w:bCs/>
          <w:lang w:val="fr-FR"/>
        </w:rPr>
        <w:t xml:space="preserve">avaient </w:t>
      </w:r>
      <w:r w:rsidRPr="001932D0">
        <w:rPr>
          <w:bCs/>
          <w:lang w:val="fr-FR"/>
        </w:rPr>
        <w:t>été reçues de la Chine en</w:t>
      </w:r>
      <w:r w:rsidR="00D55C2A">
        <w:rPr>
          <w:bCs/>
          <w:lang w:val="fr-FR"/>
        </w:rPr>
        <w:t> </w:t>
      </w:r>
      <w:r w:rsidRPr="001932D0">
        <w:rPr>
          <w:bCs/>
          <w:lang w:val="fr-FR"/>
        </w:rPr>
        <w:t>2022. M.</w:t>
      </w:r>
      <w:r w:rsidR="00FD1D41">
        <w:rPr>
          <w:bCs/>
          <w:lang w:val="fr-FR"/>
        </w:rPr>
        <w:t> </w:t>
      </w:r>
      <w:r w:rsidRPr="001932D0">
        <w:rPr>
          <w:bCs/>
          <w:lang w:val="fr-FR"/>
        </w:rPr>
        <w:t xml:space="preserve">Nakata a conclu </w:t>
      </w:r>
      <w:r w:rsidR="00885C29">
        <w:rPr>
          <w:bCs/>
          <w:lang w:val="fr-FR"/>
        </w:rPr>
        <w:t xml:space="preserve">son </w:t>
      </w:r>
      <w:r w:rsidR="00885C29" w:rsidRPr="00885C29">
        <w:rPr>
          <w:bCs/>
          <w:lang w:val="fr-FR"/>
        </w:rPr>
        <w:t>intervention</w:t>
      </w:r>
      <w:r w:rsidR="00885C29">
        <w:rPr>
          <w:bCs/>
          <w:lang w:val="fr-FR"/>
        </w:rPr>
        <w:t xml:space="preserve"> </w:t>
      </w:r>
      <w:r w:rsidRPr="001932D0">
        <w:rPr>
          <w:bCs/>
          <w:lang w:val="fr-FR"/>
        </w:rPr>
        <w:t>en mentionnant le soutien apporté à la Convention par les gouvernements, les centres de catégorie</w:t>
      </w:r>
      <w:r w:rsidR="006773EF">
        <w:rPr>
          <w:bCs/>
          <w:lang w:val="fr-FR"/>
        </w:rPr>
        <w:t> </w:t>
      </w:r>
      <w:r w:rsidRPr="001932D0">
        <w:rPr>
          <w:bCs/>
          <w:lang w:val="fr-FR"/>
        </w:rPr>
        <w:t>2, les fonds des Nations</w:t>
      </w:r>
      <w:r w:rsidR="00885C29">
        <w:rPr>
          <w:bCs/>
          <w:lang w:val="fr-FR"/>
        </w:rPr>
        <w:t xml:space="preserve"> U</w:t>
      </w:r>
      <w:r w:rsidRPr="001932D0">
        <w:rPr>
          <w:bCs/>
          <w:lang w:val="fr-FR"/>
        </w:rPr>
        <w:t>nies et le secteur privé. Grâce à ces contributions, douze projets étaient en cours de mise en œuvre, en particulier la réflexion sur la mise en œuvre plus large de l</w:t>
      </w:r>
      <w:r w:rsidR="00923E72">
        <w:rPr>
          <w:bCs/>
          <w:lang w:val="fr-FR"/>
        </w:rPr>
        <w:t>’</w:t>
      </w:r>
      <w:r w:rsidRPr="001932D0">
        <w:rPr>
          <w:bCs/>
          <w:lang w:val="fr-FR"/>
        </w:rPr>
        <w:t>article</w:t>
      </w:r>
      <w:r w:rsidR="006773EF">
        <w:rPr>
          <w:bCs/>
          <w:lang w:val="fr-FR"/>
        </w:rPr>
        <w:t> </w:t>
      </w:r>
      <w:r w:rsidRPr="001932D0">
        <w:rPr>
          <w:bCs/>
          <w:lang w:val="fr-FR"/>
        </w:rPr>
        <w:t>18</w:t>
      </w:r>
      <w:r w:rsidR="00885C29">
        <w:rPr>
          <w:bCs/>
          <w:lang w:val="fr-FR"/>
        </w:rPr>
        <w:t>,</w:t>
      </w:r>
      <w:r w:rsidRPr="001932D0">
        <w:rPr>
          <w:bCs/>
          <w:lang w:val="fr-FR"/>
        </w:rPr>
        <w:t xml:space="preserve"> dont il venait d</w:t>
      </w:r>
      <w:r w:rsidR="00923E72">
        <w:rPr>
          <w:bCs/>
          <w:lang w:val="fr-FR"/>
        </w:rPr>
        <w:t>’</w:t>
      </w:r>
      <w:r w:rsidRPr="001932D0">
        <w:rPr>
          <w:bCs/>
          <w:lang w:val="fr-FR"/>
        </w:rPr>
        <w:t>être question, mais également des thèmes aussi vastes que la sauvegarde du patrimoine culturel dans les contextes urbains ou des domaines spécifiques du développement durable, tels que la consolidation de la paix. La période de rapport couverte par le document de travail se terminant en juin</w:t>
      </w:r>
      <w:r w:rsidR="00885C29">
        <w:rPr>
          <w:bCs/>
          <w:lang w:val="fr-FR"/>
        </w:rPr>
        <w:t> </w:t>
      </w:r>
      <w:r w:rsidRPr="001932D0">
        <w:rPr>
          <w:bCs/>
          <w:lang w:val="fr-FR"/>
        </w:rPr>
        <w:t>2022, le Secrétaire souhait</w:t>
      </w:r>
      <w:r w:rsidR="00FD1D41">
        <w:rPr>
          <w:bCs/>
          <w:lang w:val="fr-FR"/>
        </w:rPr>
        <w:t xml:space="preserve">ait </w:t>
      </w:r>
      <w:r w:rsidR="00FD1D41" w:rsidRPr="00FD1D41">
        <w:rPr>
          <w:bCs/>
          <w:color w:val="000000" w:themeColor="text1"/>
          <w:lang w:val="fr-FR"/>
        </w:rPr>
        <w:t>également</w:t>
      </w:r>
      <w:r w:rsidRPr="001932D0">
        <w:rPr>
          <w:bCs/>
          <w:lang w:val="fr-FR"/>
        </w:rPr>
        <w:t xml:space="preserve"> porter à l</w:t>
      </w:r>
      <w:r w:rsidR="00923E72">
        <w:rPr>
          <w:bCs/>
          <w:lang w:val="fr-FR"/>
        </w:rPr>
        <w:t>’</w:t>
      </w:r>
      <w:r w:rsidRPr="001932D0">
        <w:rPr>
          <w:bCs/>
          <w:lang w:val="fr-FR"/>
        </w:rPr>
        <w:t>attention du Comité des contributions volontaires plus ré</w:t>
      </w:r>
      <w:r w:rsidR="00FD1D41">
        <w:rPr>
          <w:bCs/>
          <w:lang w:val="fr-FR"/>
        </w:rPr>
        <w:t>c</w:t>
      </w:r>
      <w:r w:rsidRPr="001932D0">
        <w:rPr>
          <w:bCs/>
          <w:lang w:val="fr-FR"/>
        </w:rPr>
        <w:t>entes.</w:t>
      </w:r>
    </w:p>
    <w:p w14:paraId="67F1BA9B" w14:textId="3D6BD076" w:rsidR="00FD1D41" w:rsidRDefault="00FD1D41">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le </w:t>
      </w:r>
      <w:r w:rsidRPr="00FD1D41">
        <w:rPr>
          <w:bCs/>
          <w:lang w:val="fr-FR"/>
        </w:rPr>
        <w:t>Secréta</w:t>
      </w:r>
      <w:r>
        <w:rPr>
          <w:bCs/>
          <w:lang w:val="fr-FR"/>
        </w:rPr>
        <w:t>riat pour l</w:t>
      </w:r>
      <w:r w:rsidR="00923E72">
        <w:rPr>
          <w:bCs/>
          <w:lang w:val="fr-FR"/>
        </w:rPr>
        <w:t>’</w:t>
      </w:r>
      <w:r>
        <w:rPr>
          <w:bCs/>
          <w:lang w:val="fr-FR"/>
        </w:rPr>
        <w:t xml:space="preserve">excellente présentation et a invité le </w:t>
      </w:r>
      <w:r w:rsidRPr="00FD1D41">
        <w:rPr>
          <w:bCs/>
          <w:lang w:val="fr-FR"/>
        </w:rPr>
        <w:t>Secrétaire</w:t>
      </w:r>
      <w:r>
        <w:rPr>
          <w:bCs/>
          <w:lang w:val="fr-FR"/>
        </w:rPr>
        <w:t xml:space="preserve"> à présenter les récentes </w:t>
      </w:r>
      <w:r w:rsidRPr="00FD1D41">
        <w:rPr>
          <w:bCs/>
          <w:lang w:val="fr-FR"/>
        </w:rPr>
        <w:t>contributions</w:t>
      </w:r>
      <w:r>
        <w:rPr>
          <w:bCs/>
          <w:lang w:val="fr-FR"/>
        </w:rPr>
        <w:t xml:space="preserve"> au Fonds du PCI.</w:t>
      </w:r>
    </w:p>
    <w:p w14:paraId="43900392" w14:textId="7E84A089" w:rsidR="00FD1D41" w:rsidRDefault="00525486">
      <w:pPr>
        <w:pStyle w:val="Orateurengris"/>
        <w:numPr>
          <w:ilvl w:val="0"/>
          <w:numId w:val="20"/>
        </w:numPr>
        <w:tabs>
          <w:tab w:val="clear" w:pos="567"/>
          <w:tab w:val="left" w:pos="5954"/>
        </w:tabs>
        <w:spacing w:before="120"/>
        <w:ind w:left="709" w:hanging="709"/>
        <w:rPr>
          <w:bCs/>
          <w:lang w:val="fr-FR"/>
        </w:rPr>
      </w:pPr>
      <w:r w:rsidRPr="00525486">
        <w:rPr>
          <w:bCs/>
          <w:lang w:val="fr-FR"/>
        </w:rPr>
        <w:t xml:space="preserve">Le </w:t>
      </w:r>
      <w:r w:rsidRPr="00702497">
        <w:rPr>
          <w:b/>
          <w:lang w:val="fr-FR"/>
        </w:rPr>
        <w:t>Secrétaire</w:t>
      </w:r>
      <w:r w:rsidRPr="00525486">
        <w:rPr>
          <w:bCs/>
          <w:lang w:val="fr-FR"/>
        </w:rPr>
        <w:t xml:space="preserve"> a souligné que si la Convention recevait un soutien important, c</w:t>
      </w:r>
      <w:r w:rsidR="00923E72">
        <w:rPr>
          <w:bCs/>
          <w:lang w:val="fr-FR"/>
        </w:rPr>
        <w:t>’</w:t>
      </w:r>
      <w:r w:rsidRPr="00525486">
        <w:rPr>
          <w:bCs/>
          <w:lang w:val="fr-FR"/>
        </w:rPr>
        <w:t>était par le biais de modalités d</w:t>
      </w:r>
      <w:r w:rsidR="00923E72">
        <w:rPr>
          <w:bCs/>
          <w:lang w:val="fr-FR"/>
        </w:rPr>
        <w:t>’</w:t>
      </w:r>
      <w:r w:rsidRPr="00525486">
        <w:rPr>
          <w:bCs/>
          <w:lang w:val="fr-FR"/>
        </w:rPr>
        <w:t>affectation rigoureuses, telles que les accords de fonds-en-dépôt, les objectifs pour les deux priorités de financement n</w:t>
      </w:r>
      <w:r w:rsidR="00923E72">
        <w:rPr>
          <w:bCs/>
          <w:lang w:val="fr-FR"/>
        </w:rPr>
        <w:t>’</w:t>
      </w:r>
      <w:r w:rsidRPr="00525486">
        <w:rPr>
          <w:bCs/>
          <w:lang w:val="fr-FR"/>
        </w:rPr>
        <w:t>étant régulièrement pas atteints en ce qui concerne les contributions volontaires supplémentaires. La situation était identique pour le sous-fonds destiné aux ressources humaines du Secrétariat. Dans ce sens, le Comité pourrait souhaiter encourager les donateurs à soutenir la Convention par des contributions volontaires supplémentaires</w:t>
      </w:r>
      <w:r w:rsidR="001B2C7D">
        <w:rPr>
          <w:bCs/>
          <w:lang w:val="fr-FR"/>
        </w:rPr>
        <w:t xml:space="preserve"> </w:t>
      </w:r>
      <w:r w:rsidRPr="00525486">
        <w:rPr>
          <w:bCs/>
          <w:lang w:val="fr-FR"/>
        </w:rPr>
        <w:t>afin de permettre au Secrétariat de poursuivre la mise en œuvre des projets de sauvegarde du patrimoine vivant et de développer de nouvelles initiatives, avec les moyens adéquats pour atteindre les objectifs fixés par l</w:t>
      </w:r>
      <w:r w:rsidR="00923E72">
        <w:rPr>
          <w:bCs/>
          <w:lang w:val="fr-FR"/>
        </w:rPr>
        <w:t>’</w:t>
      </w:r>
      <w:r w:rsidRPr="00525486">
        <w:rPr>
          <w:bCs/>
          <w:lang w:val="fr-FR"/>
        </w:rPr>
        <w:t>Assemblée générale pour la période quadriennale. Le Secrétaire a rappelé au Comité que le Secrétariat se lançait dans les préparatifs de la soumission de rapports périodiques en Afrique en</w:t>
      </w:r>
      <w:r w:rsidR="00246428">
        <w:rPr>
          <w:bCs/>
          <w:lang w:val="fr-FR"/>
        </w:rPr>
        <w:t> </w:t>
      </w:r>
      <w:r w:rsidRPr="00525486">
        <w:rPr>
          <w:bCs/>
          <w:lang w:val="fr-FR"/>
        </w:rPr>
        <w:t>2023. C</w:t>
      </w:r>
      <w:r w:rsidR="00923E72">
        <w:rPr>
          <w:bCs/>
          <w:lang w:val="fr-FR"/>
        </w:rPr>
        <w:t>’</w:t>
      </w:r>
      <w:r w:rsidRPr="00525486">
        <w:rPr>
          <w:bCs/>
          <w:lang w:val="fr-FR"/>
        </w:rPr>
        <w:t>était une occasion, une fois en six ans, de travailler en étroite collaboration avec tous les ministères de la Culture pour comprendre et renforcer l</w:t>
      </w:r>
      <w:r w:rsidR="00923E72">
        <w:rPr>
          <w:bCs/>
          <w:lang w:val="fr-FR"/>
        </w:rPr>
        <w:t>’</w:t>
      </w:r>
      <w:r w:rsidRPr="00525486">
        <w:rPr>
          <w:bCs/>
          <w:lang w:val="fr-FR"/>
        </w:rPr>
        <w:t>infrastructure institutionnelle de la sauvegarde du patrimoine culturel immatériel dans la région. Le Secrétariat a donc appelé les États, en mesure de le faire, à envisager de soutenir ce processus avec un financement indispensable afin que tous les pays de la région puissent participer et bénéficier de l</w:t>
      </w:r>
      <w:r w:rsidR="00923E72">
        <w:rPr>
          <w:bCs/>
          <w:lang w:val="fr-FR"/>
        </w:rPr>
        <w:t>’</w:t>
      </w:r>
      <w:r w:rsidRPr="00525486">
        <w:rPr>
          <w:bCs/>
          <w:lang w:val="fr-FR"/>
        </w:rPr>
        <w:t>exercice. Le Secrétaire a informé le Comité de plusieurs contributions volontaires supplémentaires récentes après la période couverte par le rapport. Les Pays</w:t>
      </w:r>
      <w:r w:rsidR="00885C29">
        <w:rPr>
          <w:bCs/>
          <w:lang w:val="fr-FR"/>
        </w:rPr>
        <w:noBreakHyphen/>
      </w:r>
      <w:r w:rsidRPr="00525486">
        <w:rPr>
          <w:bCs/>
          <w:lang w:val="fr-FR"/>
        </w:rPr>
        <w:t>Bas avaient soutenu à hauteur de 35</w:t>
      </w:r>
      <w:r w:rsidR="001B2C7D">
        <w:rPr>
          <w:bCs/>
          <w:lang w:val="fr-FR"/>
        </w:rPr>
        <w:t> </w:t>
      </w:r>
      <w:r w:rsidRPr="00525486">
        <w:rPr>
          <w:bCs/>
          <w:lang w:val="fr-FR"/>
        </w:rPr>
        <w:t>000</w:t>
      </w:r>
      <w:r w:rsidR="001B2C7D">
        <w:rPr>
          <w:bCs/>
          <w:lang w:val="fr-FR"/>
        </w:rPr>
        <w:t> </w:t>
      </w:r>
      <w:r w:rsidRPr="00525486">
        <w:rPr>
          <w:bCs/>
          <w:lang w:val="fr-FR"/>
        </w:rPr>
        <w:t xml:space="preserve">euros le renforcement des capacités pour la préparation des dossiers de candidature aux listes de la Convention dans les PEID des Caraïbes. Cette contribution répondait en partie aux préoccupations </w:t>
      </w:r>
      <w:r w:rsidR="00BF5EB1">
        <w:rPr>
          <w:bCs/>
          <w:lang w:val="fr-FR"/>
        </w:rPr>
        <w:t xml:space="preserve">exprimées </w:t>
      </w:r>
      <w:r w:rsidRPr="00525486">
        <w:rPr>
          <w:bCs/>
          <w:lang w:val="fr-FR"/>
        </w:rPr>
        <w:t>par le Comité concernant le déséquilibre géographique des éléments inscrits. On pouvait espérer que des contributions supplémentaires seraient reçues de la part d</w:t>
      </w:r>
      <w:r w:rsidR="00923E72">
        <w:rPr>
          <w:bCs/>
          <w:lang w:val="fr-FR"/>
        </w:rPr>
        <w:t>’</w:t>
      </w:r>
      <w:r w:rsidRPr="00525486">
        <w:rPr>
          <w:bCs/>
          <w:lang w:val="fr-FR"/>
        </w:rPr>
        <w:t>autres donateurs afin de mettre en œuvre des projets similaires dans d</w:t>
      </w:r>
      <w:r w:rsidR="00923E72">
        <w:rPr>
          <w:bCs/>
          <w:lang w:val="fr-FR"/>
        </w:rPr>
        <w:t>’</w:t>
      </w:r>
      <w:r w:rsidRPr="00525486">
        <w:rPr>
          <w:bCs/>
          <w:lang w:val="fr-FR"/>
        </w:rPr>
        <w:t xml:space="preserve">autres régions. Monaco avait </w:t>
      </w:r>
      <w:r w:rsidR="00885C29">
        <w:rPr>
          <w:bCs/>
          <w:lang w:val="fr-FR"/>
        </w:rPr>
        <w:t xml:space="preserve">aussi </w:t>
      </w:r>
      <w:r w:rsidRPr="00525486">
        <w:rPr>
          <w:bCs/>
          <w:lang w:val="fr-FR"/>
        </w:rPr>
        <w:t>généreusement versé 10</w:t>
      </w:r>
      <w:r w:rsidR="001B2C7D">
        <w:rPr>
          <w:bCs/>
          <w:lang w:val="fr-FR"/>
        </w:rPr>
        <w:t> </w:t>
      </w:r>
      <w:r w:rsidRPr="00525486">
        <w:rPr>
          <w:bCs/>
          <w:lang w:val="fr-FR"/>
        </w:rPr>
        <w:t>000</w:t>
      </w:r>
      <w:r w:rsidR="001B2C7D">
        <w:rPr>
          <w:bCs/>
          <w:lang w:val="fr-FR"/>
        </w:rPr>
        <w:t> </w:t>
      </w:r>
      <w:r w:rsidRPr="00525486">
        <w:rPr>
          <w:bCs/>
          <w:lang w:val="fr-FR"/>
        </w:rPr>
        <w:t>euros au sous-fonds afin de renforcer les ressources humaines du Secrétariat. Le Secrétariat a remercié les deux États parties pour leur engagement généreux et renouvelé ainsi que tous les États qui avaient contribué pendant la période couverte par le rapport.</w:t>
      </w:r>
    </w:p>
    <w:p w14:paraId="0082B8F3" w14:textId="29751D92" w:rsidR="001B2C7D" w:rsidRDefault="001B2C7D">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tous le États qui avaient accepté de contribuer à ce fonds</w:t>
      </w:r>
      <w:r w:rsidR="002C7930">
        <w:rPr>
          <w:bCs/>
          <w:lang w:val="fr-FR"/>
        </w:rPr>
        <w:t xml:space="preserve">, </w:t>
      </w:r>
      <w:r>
        <w:rPr>
          <w:bCs/>
          <w:lang w:val="fr-FR"/>
        </w:rPr>
        <w:t xml:space="preserve">qui est extrêmement important et utile pour le fonctionnement et la </w:t>
      </w:r>
      <w:r w:rsidR="00434563" w:rsidRPr="00434563">
        <w:rPr>
          <w:bCs/>
          <w:lang w:val="fr-FR"/>
        </w:rPr>
        <w:t>préservation</w:t>
      </w:r>
      <w:r w:rsidR="00434563">
        <w:rPr>
          <w:bCs/>
          <w:lang w:val="fr-FR"/>
        </w:rPr>
        <w:t xml:space="preserve"> </w:t>
      </w:r>
      <w:r>
        <w:rPr>
          <w:bCs/>
          <w:lang w:val="fr-FR"/>
        </w:rPr>
        <w:t xml:space="preserve">du patrimoine </w:t>
      </w:r>
      <w:r>
        <w:rPr>
          <w:bCs/>
          <w:lang w:val="fr-FR"/>
        </w:rPr>
        <w:lastRenderedPageBreak/>
        <w:t>immatériel. En l</w:t>
      </w:r>
      <w:r w:rsidR="00923E72">
        <w:rPr>
          <w:bCs/>
          <w:lang w:val="fr-FR"/>
        </w:rPr>
        <w:t>’</w:t>
      </w:r>
      <w:r>
        <w:rPr>
          <w:bCs/>
          <w:lang w:val="fr-FR"/>
        </w:rPr>
        <w:t xml:space="preserve">absence de demande de prise de parole, le </w:t>
      </w:r>
      <w:r w:rsidRPr="001B2C7D">
        <w:rPr>
          <w:bCs/>
          <w:lang w:val="fr-FR"/>
        </w:rPr>
        <w:t>Président</w:t>
      </w:r>
      <w:r>
        <w:rPr>
          <w:bCs/>
          <w:lang w:val="fr-FR"/>
        </w:rPr>
        <w:t xml:space="preserve"> est passé à l</w:t>
      </w:r>
      <w:r w:rsidR="00923E72">
        <w:rPr>
          <w:bCs/>
          <w:lang w:val="fr-FR"/>
        </w:rPr>
        <w:t>’</w:t>
      </w:r>
      <w:r>
        <w:rPr>
          <w:bCs/>
          <w:lang w:val="fr-FR"/>
        </w:rPr>
        <w:t>adoption du projet de décision dans son ensemble. En l</w:t>
      </w:r>
      <w:r w:rsidR="00923E72">
        <w:rPr>
          <w:bCs/>
          <w:lang w:val="fr-FR"/>
        </w:rPr>
        <w:t>’</w:t>
      </w:r>
      <w:r>
        <w:rPr>
          <w:bCs/>
          <w:lang w:val="fr-FR"/>
        </w:rPr>
        <w:t>absence d</w:t>
      </w:r>
      <w:r w:rsidR="00923E72">
        <w:rPr>
          <w:bCs/>
          <w:lang w:val="fr-FR"/>
        </w:rPr>
        <w:t>’</w:t>
      </w:r>
      <w:r>
        <w:rPr>
          <w:bCs/>
          <w:lang w:val="fr-FR"/>
        </w:rPr>
        <w:t xml:space="preserve">objections, le </w:t>
      </w:r>
      <w:r w:rsidRPr="00702497">
        <w:rPr>
          <w:b/>
          <w:lang w:val="fr-FR"/>
        </w:rPr>
        <w:t>Président a déclaré la décision</w:t>
      </w:r>
      <w:hyperlink r:id="rId107" w:history="1">
        <w:r w:rsidR="00885C29" w:rsidRPr="006E3034">
          <w:rPr>
            <w:rStyle w:val="Hyperlink"/>
            <w:b/>
            <w:u w:val="none"/>
            <w:lang w:val="fr-FR"/>
          </w:rPr>
          <w:t> </w:t>
        </w:r>
        <w:r w:rsidRPr="006E3034">
          <w:rPr>
            <w:rStyle w:val="Hyperlink"/>
            <w:b/>
            <w:lang w:val="fr-FR"/>
          </w:rPr>
          <w:t>17.COM 12</w:t>
        </w:r>
      </w:hyperlink>
      <w:r w:rsidRPr="00702497">
        <w:rPr>
          <w:b/>
          <w:lang w:val="fr-FR"/>
        </w:rPr>
        <w:t xml:space="preserve"> adoptée</w:t>
      </w:r>
      <w:r>
        <w:rPr>
          <w:bCs/>
          <w:lang w:val="fr-FR"/>
        </w:rPr>
        <w:t>.</w:t>
      </w:r>
    </w:p>
    <w:p w14:paraId="4901882B" w14:textId="02B7CDFC" w:rsidR="00434563" w:rsidRDefault="00434563" w:rsidP="00434563">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noté que l</w:t>
      </w:r>
      <w:r w:rsidR="00923E72">
        <w:rPr>
          <w:bCs/>
          <w:lang w:val="fr-FR"/>
        </w:rPr>
        <w:t>’</w:t>
      </w:r>
      <w:r w:rsidRPr="00434563">
        <w:rPr>
          <w:bCs/>
          <w:lang w:val="fr-FR"/>
        </w:rPr>
        <w:t>ordre du jour</w:t>
      </w:r>
      <w:r>
        <w:rPr>
          <w:bCs/>
          <w:lang w:val="fr-FR"/>
        </w:rPr>
        <w:t xml:space="preserve"> de la journée était achevé et a rappelé au Comité que le vote pour l</w:t>
      </w:r>
      <w:r w:rsidR="00923E72">
        <w:rPr>
          <w:bCs/>
          <w:lang w:val="fr-FR"/>
        </w:rPr>
        <w:t>’</w:t>
      </w:r>
      <w:r>
        <w:rPr>
          <w:bCs/>
          <w:lang w:val="fr-FR"/>
        </w:rPr>
        <w:t>élection de l</w:t>
      </w:r>
      <w:r w:rsidR="00923E72">
        <w:rPr>
          <w:bCs/>
          <w:lang w:val="fr-FR"/>
        </w:rPr>
        <w:t>’</w:t>
      </w:r>
      <w:r>
        <w:rPr>
          <w:bCs/>
          <w:lang w:val="fr-FR"/>
        </w:rPr>
        <w:t>Organe d</w:t>
      </w:r>
      <w:r w:rsidR="00923E72">
        <w:rPr>
          <w:bCs/>
          <w:lang w:val="fr-FR"/>
        </w:rPr>
        <w:t>’</w:t>
      </w:r>
      <w:r>
        <w:rPr>
          <w:bCs/>
          <w:lang w:val="fr-FR"/>
        </w:rPr>
        <w:t>évaluation se tiendrai</w:t>
      </w:r>
      <w:r w:rsidR="00885C29">
        <w:rPr>
          <w:bCs/>
          <w:lang w:val="fr-FR"/>
        </w:rPr>
        <w:t>t</w:t>
      </w:r>
      <w:r>
        <w:rPr>
          <w:bCs/>
          <w:lang w:val="fr-FR"/>
        </w:rPr>
        <w:t xml:space="preserve"> le lendemain au titre du point</w:t>
      </w:r>
      <w:r w:rsidR="00885C29">
        <w:rPr>
          <w:bCs/>
          <w:lang w:val="fr-FR"/>
        </w:rPr>
        <w:t> </w:t>
      </w:r>
      <w:r>
        <w:rPr>
          <w:bCs/>
          <w:lang w:val="fr-FR"/>
        </w:rPr>
        <w:t>14. La séance du jour a été levée.</w:t>
      </w:r>
    </w:p>
    <w:p w14:paraId="2D61D302" w14:textId="77777777" w:rsidR="00434563" w:rsidRDefault="00434563" w:rsidP="00702497">
      <w:pPr>
        <w:pStyle w:val="Orateurengris"/>
        <w:tabs>
          <w:tab w:val="left" w:pos="5954"/>
        </w:tabs>
        <w:spacing w:before="120"/>
        <w:ind w:left="709"/>
        <w:rPr>
          <w:bCs/>
          <w:lang w:val="fr-FR"/>
        </w:rPr>
      </w:pPr>
    </w:p>
    <w:p w14:paraId="3CE02341" w14:textId="0A911639" w:rsidR="00434563" w:rsidRDefault="00434563" w:rsidP="00434563">
      <w:pPr>
        <w:pStyle w:val="Orateurengris"/>
        <w:tabs>
          <w:tab w:val="left" w:pos="5954"/>
        </w:tabs>
        <w:spacing w:before="120"/>
        <w:ind w:left="709"/>
        <w:jc w:val="center"/>
        <w:rPr>
          <w:bCs/>
          <w:i/>
          <w:iCs/>
          <w:lang w:val="fr-FR"/>
        </w:rPr>
      </w:pPr>
      <w:r w:rsidRPr="00702497">
        <w:rPr>
          <w:bCs/>
          <w:i/>
          <w:iCs/>
          <w:lang w:val="fr-FR"/>
        </w:rPr>
        <w:t>[Samedi</w:t>
      </w:r>
      <w:r w:rsidR="00885C29">
        <w:rPr>
          <w:bCs/>
          <w:i/>
          <w:iCs/>
          <w:lang w:val="fr-FR"/>
        </w:rPr>
        <w:t> </w:t>
      </w:r>
      <w:r w:rsidRPr="00702497">
        <w:rPr>
          <w:bCs/>
          <w:i/>
          <w:iCs/>
          <w:lang w:val="fr-FR"/>
        </w:rPr>
        <w:t>3</w:t>
      </w:r>
      <w:r w:rsidR="00885C29">
        <w:rPr>
          <w:bCs/>
          <w:i/>
          <w:iCs/>
          <w:lang w:val="fr-FR"/>
        </w:rPr>
        <w:t> </w:t>
      </w:r>
      <w:r w:rsidRPr="00702497">
        <w:rPr>
          <w:bCs/>
          <w:i/>
          <w:iCs/>
          <w:lang w:val="fr-FR"/>
        </w:rPr>
        <w:t>décembre</w:t>
      </w:r>
      <w:r w:rsidR="00885C29">
        <w:rPr>
          <w:bCs/>
          <w:i/>
          <w:iCs/>
          <w:lang w:val="fr-FR"/>
        </w:rPr>
        <w:t> 2022</w:t>
      </w:r>
      <w:r w:rsidRPr="00702497">
        <w:rPr>
          <w:bCs/>
          <w:i/>
          <w:iCs/>
          <w:lang w:val="fr-FR"/>
        </w:rPr>
        <w:t>, séance du matin]</w:t>
      </w:r>
    </w:p>
    <w:p w14:paraId="26736AFE" w14:textId="77777777" w:rsidR="00434563" w:rsidRPr="00702497" w:rsidRDefault="00434563" w:rsidP="00702497">
      <w:pPr>
        <w:pStyle w:val="Orateurengris"/>
        <w:tabs>
          <w:tab w:val="left" w:pos="5954"/>
        </w:tabs>
        <w:spacing w:before="120"/>
        <w:ind w:left="709"/>
        <w:jc w:val="center"/>
        <w:rPr>
          <w:bCs/>
          <w:i/>
          <w:iCs/>
          <w:lang w:val="fr-FR"/>
        </w:rPr>
      </w:pPr>
    </w:p>
    <w:p w14:paraId="01CDA0FD" w14:textId="66EC0C6A" w:rsidR="00434563" w:rsidRPr="00434563" w:rsidRDefault="00434563" w:rsidP="00434563">
      <w:pPr>
        <w:pStyle w:val="Orateurengris"/>
        <w:numPr>
          <w:ilvl w:val="0"/>
          <w:numId w:val="20"/>
        </w:numPr>
        <w:tabs>
          <w:tab w:val="clear" w:pos="567"/>
          <w:tab w:val="left" w:pos="5954"/>
        </w:tabs>
        <w:spacing w:before="120"/>
        <w:ind w:left="709" w:hanging="709"/>
        <w:rPr>
          <w:bCs/>
          <w:lang w:val="fr-FR"/>
        </w:rPr>
      </w:pPr>
      <w:r w:rsidRPr="00434563">
        <w:rPr>
          <w:bCs/>
          <w:lang w:val="fr-FR"/>
        </w:rPr>
        <w:t xml:space="preserve">Le </w:t>
      </w:r>
      <w:r w:rsidRPr="00702497">
        <w:rPr>
          <w:b/>
          <w:lang w:val="fr-FR"/>
        </w:rPr>
        <w:t>Président</w:t>
      </w:r>
      <w:r w:rsidRPr="00434563">
        <w:rPr>
          <w:bCs/>
          <w:lang w:val="fr-FR"/>
        </w:rPr>
        <w:t xml:space="preserve"> a souhaité la bienvenue aux délégués pour cette dernière journée et a présenté les points restants de l</w:t>
      </w:r>
      <w:r w:rsidR="00923E72">
        <w:rPr>
          <w:bCs/>
          <w:lang w:val="fr-FR"/>
        </w:rPr>
        <w:t>’</w:t>
      </w:r>
      <w:r w:rsidRPr="00434563">
        <w:rPr>
          <w:bCs/>
          <w:lang w:val="fr-FR"/>
        </w:rPr>
        <w:t xml:space="preserve">ordre du jour à examiner. Il a informé le Comité que toutes les décisions avaient été </w:t>
      </w:r>
      <w:r w:rsidR="00B536E1">
        <w:rPr>
          <w:bCs/>
          <w:lang w:val="fr-FR"/>
        </w:rPr>
        <w:t>distribuées plus tôt</w:t>
      </w:r>
      <w:r>
        <w:rPr>
          <w:bCs/>
          <w:lang w:val="fr-FR"/>
        </w:rPr>
        <w:t xml:space="preserve"> </w:t>
      </w:r>
      <w:r w:rsidR="00B536E1">
        <w:rPr>
          <w:bCs/>
          <w:lang w:val="fr-FR"/>
        </w:rPr>
        <w:t xml:space="preserve">dans la journée </w:t>
      </w:r>
      <w:r w:rsidRPr="00434563">
        <w:rPr>
          <w:bCs/>
          <w:lang w:val="fr-FR"/>
        </w:rPr>
        <w:t>et qu</w:t>
      </w:r>
      <w:r w:rsidR="00923E72">
        <w:rPr>
          <w:bCs/>
          <w:lang w:val="fr-FR"/>
        </w:rPr>
        <w:t>’</w:t>
      </w:r>
      <w:r w:rsidRPr="00434563">
        <w:rPr>
          <w:bCs/>
          <w:lang w:val="fr-FR"/>
        </w:rPr>
        <w:t xml:space="preserve">elles seraient adoptées par le Comité plus tard au cours de la </w:t>
      </w:r>
      <w:r>
        <w:rPr>
          <w:bCs/>
          <w:lang w:val="fr-FR"/>
        </w:rPr>
        <w:t xml:space="preserve">séance </w:t>
      </w:r>
      <w:r w:rsidRPr="00434563">
        <w:rPr>
          <w:bCs/>
          <w:lang w:val="fr-FR"/>
        </w:rPr>
        <w:t>d</w:t>
      </w:r>
      <w:r>
        <w:rPr>
          <w:bCs/>
          <w:lang w:val="fr-FR"/>
        </w:rPr>
        <w:t>u</w:t>
      </w:r>
      <w:r w:rsidRPr="00434563">
        <w:rPr>
          <w:bCs/>
          <w:lang w:val="fr-FR"/>
        </w:rPr>
        <w:t xml:space="preserve"> matin. Pour les décisions restantes, le Rapporteur serait chargé de les valider</w:t>
      </w:r>
      <w:r w:rsidR="00B536E1">
        <w:rPr>
          <w:bCs/>
          <w:lang w:val="fr-FR"/>
        </w:rPr>
        <w:t xml:space="preserve"> comme il se doit</w:t>
      </w:r>
      <w:r w:rsidRPr="00434563">
        <w:rPr>
          <w:bCs/>
          <w:lang w:val="fr-FR"/>
        </w:rPr>
        <w:t xml:space="preserve">. Le Secrétariat publierait les </w:t>
      </w:r>
      <w:hyperlink r:id="rId108" w:history="1">
        <w:r w:rsidRPr="00702497">
          <w:rPr>
            <w:rStyle w:val="Hyperlink"/>
            <w:bCs/>
            <w:lang w:val="fr-FR"/>
          </w:rPr>
          <w:t>décisions finales</w:t>
        </w:r>
      </w:hyperlink>
      <w:r>
        <w:rPr>
          <w:bCs/>
          <w:lang w:val="fr-FR"/>
        </w:rPr>
        <w:t xml:space="preserve"> </w:t>
      </w:r>
      <w:r w:rsidRPr="00434563">
        <w:rPr>
          <w:bCs/>
          <w:lang w:val="fr-FR"/>
        </w:rPr>
        <w:t>à la fin de l</w:t>
      </w:r>
      <w:r w:rsidR="00923E72">
        <w:rPr>
          <w:bCs/>
          <w:lang w:val="fr-FR"/>
        </w:rPr>
        <w:t>’</w:t>
      </w:r>
      <w:r w:rsidRPr="00434563">
        <w:rPr>
          <w:bCs/>
          <w:lang w:val="fr-FR"/>
        </w:rPr>
        <w:t>année</w:t>
      </w:r>
      <w:r w:rsidR="00D55C2A">
        <w:rPr>
          <w:bCs/>
          <w:lang w:val="fr-FR"/>
        </w:rPr>
        <w:t> </w:t>
      </w:r>
      <w:r w:rsidRPr="00434563">
        <w:rPr>
          <w:bCs/>
          <w:lang w:val="fr-FR"/>
        </w:rPr>
        <w:t>2022.</w:t>
      </w:r>
    </w:p>
    <w:p w14:paraId="4483F2CC" w14:textId="0DE9995D" w:rsidR="00434563" w:rsidRDefault="00B536E1" w:rsidP="00434563">
      <w:pPr>
        <w:pStyle w:val="Orateurengris"/>
        <w:numPr>
          <w:ilvl w:val="0"/>
          <w:numId w:val="20"/>
        </w:numPr>
        <w:tabs>
          <w:tab w:val="clear" w:pos="567"/>
          <w:tab w:val="left" w:pos="5954"/>
        </w:tabs>
        <w:spacing w:before="120"/>
        <w:ind w:left="709" w:hanging="709"/>
        <w:rPr>
          <w:bCs/>
          <w:lang w:val="fr-FR"/>
        </w:rPr>
      </w:pPr>
      <w:r w:rsidRPr="00B536E1">
        <w:rPr>
          <w:bCs/>
          <w:lang w:val="fr-FR"/>
        </w:rPr>
        <w:t xml:space="preserve">Le </w:t>
      </w:r>
      <w:r w:rsidRPr="00702497">
        <w:rPr>
          <w:b/>
          <w:lang w:val="fr-FR"/>
        </w:rPr>
        <w:t>Secrétaire</w:t>
      </w:r>
      <w:r w:rsidRPr="00B536E1">
        <w:rPr>
          <w:bCs/>
          <w:lang w:val="fr-FR"/>
        </w:rPr>
        <w:t xml:space="preserve"> a corrig</w:t>
      </w:r>
      <w:r w:rsidR="00067781">
        <w:rPr>
          <w:bCs/>
          <w:lang w:val="fr-FR"/>
        </w:rPr>
        <w:t>é</w:t>
      </w:r>
      <w:r w:rsidRPr="00B536E1">
        <w:rPr>
          <w:bCs/>
          <w:lang w:val="fr-FR"/>
        </w:rPr>
        <w:t xml:space="preserve"> une erreur mentionnée précédemment concernant la contribution des Pays</w:t>
      </w:r>
      <w:r w:rsidR="00885C29">
        <w:rPr>
          <w:bCs/>
          <w:lang w:val="fr-FR"/>
        </w:rPr>
        <w:noBreakHyphen/>
      </w:r>
      <w:r w:rsidRPr="00B536E1">
        <w:rPr>
          <w:bCs/>
          <w:lang w:val="fr-FR"/>
        </w:rPr>
        <w:t>Bas, qui s</w:t>
      </w:r>
      <w:r w:rsidR="00923E72">
        <w:rPr>
          <w:bCs/>
          <w:lang w:val="fr-FR"/>
        </w:rPr>
        <w:t>’</w:t>
      </w:r>
      <w:r w:rsidRPr="00B536E1">
        <w:rPr>
          <w:bCs/>
          <w:lang w:val="fr-FR"/>
        </w:rPr>
        <w:t>élevait à 75</w:t>
      </w:r>
      <w:r>
        <w:rPr>
          <w:bCs/>
          <w:lang w:val="fr-FR"/>
        </w:rPr>
        <w:t> </w:t>
      </w:r>
      <w:r w:rsidRPr="00B536E1">
        <w:rPr>
          <w:bCs/>
          <w:lang w:val="fr-FR"/>
        </w:rPr>
        <w:t>000</w:t>
      </w:r>
      <w:r>
        <w:rPr>
          <w:bCs/>
          <w:lang w:val="fr-FR"/>
        </w:rPr>
        <w:t> </w:t>
      </w:r>
      <w:r w:rsidRPr="00B536E1">
        <w:rPr>
          <w:bCs/>
          <w:lang w:val="fr-FR"/>
        </w:rPr>
        <w:t>dollars des États-Unis et non à 35</w:t>
      </w:r>
      <w:r>
        <w:rPr>
          <w:bCs/>
          <w:lang w:val="fr-FR"/>
        </w:rPr>
        <w:t> </w:t>
      </w:r>
      <w:r w:rsidRPr="00B536E1">
        <w:rPr>
          <w:bCs/>
          <w:lang w:val="fr-FR"/>
        </w:rPr>
        <w:t>000</w:t>
      </w:r>
      <w:r>
        <w:rPr>
          <w:bCs/>
          <w:lang w:val="fr-FR"/>
        </w:rPr>
        <w:t> </w:t>
      </w:r>
      <w:r w:rsidRPr="00B536E1">
        <w:rPr>
          <w:bCs/>
          <w:lang w:val="fr-FR"/>
        </w:rPr>
        <w:t>euros comme indiqué</w:t>
      </w:r>
      <w:r w:rsidR="00885C29">
        <w:rPr>
          <w:bCs/>
          <w:lang w:val="fr-FR"/>
        </w:rPr>
        <w:t xml:space="preserve"> la veille</w:t>
      </w:r>
      <w:r w:rsidRPr="00B536E1">
        <w:rPr>
          <w:bCs/>
          <w:lang w:val="fr-FR"/>
        </w:rPr>
        <w:t>. Ce montant était très apprécié et, en tant que contribution non affectée, le Secrétariat serait en mesure d</w:t>
      </w:r>
      <w:r w:rsidR="00923E72">
        <w:rPr>
          <w:bCs/>
          <w:lang w:val="fr-FR"/>
        </w:rPr>
        <w:t>’</w:t>
      </w:r>
      <w:r w:rsidRPr="00B536E1">
        <w:rPr>
          <w:bCs/>
          <w:lang w:val="fr-FR"/>
        </w:rPr>
        <w:t xml:space="preserve">aborder une question spécifique qui avait été soulevée au cours de ce Comité, à savoir la sous-représentation des PEID des Caraïbes. Cette contribution </w:t>
      </w:r>
      <w:r>
        <w:rPr>
          <w:bCs/>
          <w:lang w:val="fr-FR"/>
        </w:rPr>
        <w:t xml:space="preserve">irait </w:t>
      </w:r>
      <w:r w:rsidRPr="00B536E1">
        <w:rPr>
          <w:bCs/>
          <w:lang w:val="fr-FR"/>
        </w:rPr>
        <w:t xml:space="preserve">directement à la formation à la préparation des dossiers de candidature, qui avait déjà été organisée avec le </w:t>
      </w:r>
      <w:r w:rsidR="00174C67">
        <w:rPr>
          <w:bCs/>
          <w:lang w:val="fr-FR"/>
        </w:rPr>
        <w:t>B</w:t>
      </w:r>
      <w:r w:rsidRPr="00B536E1">
        <w:rPr>
          <w:bCs/>
          <w:lang w:val="fr-FR"/>
        </w:rPr>
        <w:t>ureau de l</w:t>
      </w:r>
      <w:r w:rsidR="00923E72">
        <w:rPr>
          <w:bCs/>
          <w:lang w:val="fr-FR"/>
        </w:rPr>
        <w:t>’</w:t>
      </w:r>
      <w:r w:rsidRPr="00B536E1">
        <w:rPr>
          <w:bCs/>
          <w:lang w:val="fr-FR"/>
        </w:rPr>
        <w:t xml:space="preserve">UNESCO à Kingston. </w:t>
      </w:r>
      <w:r w:rsidR="003C5F9B">
        <w:rPr>
          <w:bCs/>
          <w:lang w:val="fr-FR"/>
        </w:rPr>
        <w:t>Par ailleurs, l</w:t>
      </w:r>
      <w:r w:rsidRPr="00B536E1">
        <w:rPr>
          <w:bCs/>
          <w:lang w:val="fr-FR"/>
        </w:rPr>
        <w:t>e Secrétaire a invité les participants à remplir l</w:t>
      </w:r>
      <w:r w:rsidR="00923E72">
        <w:rPr>
          <w:bCs/>
          <w:lang w:val="fr-FR"/>
        </w:rPr>
        <w:t>’</w:t>
      </w:r>
      <w:r w:rsidRPr="00B536E1">
        <w:rPr>
          <w:bCs/>
          <w:lang w:val="fr-FR"/>
        </w:rPr>
        <w:t>enquête de satisfaction sur l</w:t>
      </w:r>
      <w:r w:rsidR="00923E72">
        <w:rPr>
          <w:bCs/>
          <w:lang w:val="fr-FR"/>
        </w:rPr>
        <w:t>’</w:t>
      </w:r>
      <w:r w:rsidRPr="00B536E1">
        <w:rPr>
          <w:bCs/>
          <w:lang w:val="fr-FR"/>
        </w:rPr>
        <w:t>organisation de cette dix</w:t>
      </w:r>
      <w:r w:rsidR="00885C29">
        <w:rPr>
          <w:bCs/>
          <w:lang w:val="fr-FR"/>
        </w:rPr>
        <w:noBreakHyphen/>
      </w:r>
      <w:r w:rsidRPr="00B536E1">
        <w:rPr>
          <w:bCs/>
          <w:lang w:val="fr-FR"/>
        </w:rPr>
        <w:t xml:space="preserve">septième session, </w:t>
      </w:r>
      <w:r w:rsidR="003C5F9B">
        <w:rPr>
          <w:bCs/>
          <w:lang w:val="fr-FR"/>
        </w:rPr>
        <w:t>le</w:t>
      </w:r>
      <w:r w:rsidRPr="00B536E1">
        <w:rPr>
          <w:bCs/>
          <w:lang w:val="fr-FR"/>
        </w:rPr>
        <w:t xml:space="preserve"> retour d</w:t>
      </w:r>
      <w:r w:rsidR="00923E72">
        <w:rPr>
          <w:bCs/>
          <w:lang w:val="fr-FR"/>
        </w:rPr>
        <w:t>’</w:t>
      </w:r>
      <w:r w:rsidRPr="00B536E1">
        <w:rPr>
          <w:bCs/>
          <w:lang w:val="fr-FR"/>
        </w:rPr>
        <w:t xml:space="preserve">information </w:t>
      </w:r>
      <w:r w:rsidR="003C5F9B">
        <w:rPr>
          <w:bCs/>
          <w:lang w:val="fr-FR"/>
        </w:rPr>
        <w:t xml:space="preserve">étant </w:t>
      </w:r>
      <w:r w:rsidR="003C5F9B" w:rsidRPr="003C5F9B">
        <w:rPr>
          <w:bCs/>
          <w:lang w:val="fr-FR"/>
        </w:rPr>
        <w:t>importa</w:t>
      </w:r>
      <w:r w:rsidR="003C5F9B">
        <w:rPr>
          <w:bCs/>
          <w:lang w:val="fr-FR"/>
        </w:rPr>
        <w:t xml:space="preserve">nt pour </w:t>
      </w:r>
      <w:r w:rsidRPr="00B536E1">
        <w:rPr>
          <w:bCs/>
          <w:lang w:val="fr-FR"/>
        </w:rPr>
        <w:t>améliorer les modalités d</w:t>
      </w:r>
      <w:r w:rsidR="00923E72">
        <w:rPr>
          <w:bCs/>
          <w:lang w:val="fr-FR"/>
        </w:rPr>
        <w:t>’</w:t>
      </w:r>
      <w:r w:rsidRPr="00B536E1">
        <w:rPr>
          <w:bCs/>
          <w:lang w:val="fr-FR"/>
        </w:rPr>
        <w:t>organisation de la réunion.</w:t>
      </w:r>
    </w:p>
    <w:p w14:paraId="67ABCDBB" w14:textId="55AD5050" w:rsidR="00174C67" w:rsidRPr="00702497" w:rsidRDefault="00174C67" w:rsidP="00702497">
      <w:pPr>
        <w:pStyle w:val="Marge"/>
        <w:keepNext/>
        <w:tabs>
          <w:tab w:val="clear" w:pos="567"/>
          <w:tab w:val="left" w:pos="709"/>
          <w:tab w:val="left" w:pos="1418"/>
          <w:tab w:val="left" w:pos="2126"/>
          <w:tab w:val="left" w:pos="2835"/>
        </w:tabs>
        <w:spacing w:before="360" w:after="60"/>
        <w:jc w:val="left"/>
        <w:outlineLvl w:val="0"/>
        <w:rPr>
          <w:b/>
          <w:color w:val="000000" w:themeColor="text1"/>
        </w:rPr>
      </w:pPr>
      <w:r w:rsidRPr="00174C67">
        <w:rPr>
          <w:b/>
          <w:color w:val="000000" w:themeColor="text1"/>
          <w:u w:val="single"/>
        </w:rPr>
        <w:t>POINT</w:t>
      </w:r>
      <w:r w:rsidR="0073323E">
        <w:rPr>
          <w:b/>
          <w:color w:val="000000" w:themeColor="text1"/>
          <w:u w:val="single"/>
        </w:rPr>
        <w:t> </w:t>
      </w:r>
      <w:r w:rsidRPr="00174C67">
        <w:rPr>
          <w:b/>
          <w:color w:val="000000" w:themeColor="text1"/>
          <w:u w:val="single"/>
        </w:rPr>
        <w:t>14 DE L</w:t>
      </w:r>
      <w:r w:rsidR="00923E72">
        <w:rPr>
          <w:b/>
          <w:color w:val="000000" w:themeColor="text1"/>
          <w:u w:val="single"/>
        </w:rPr>
        <w:t>’</w:t>
      </w:r>
      <w:r w:rsidRPr="00174C67">
        <w:rPr>
          <w:b/>
          <w:color w:val="000000" w:themeColor="text1"/>
          <w:u w:val="single"/>
        </w:rPr>
        <w:t>ORDRE DU JOUR</w:t>
      </w:r>
      <w:r w:rsidRPr="00174C67">
        <w:rPr>
          <w:b/>
          <w:color w:val="000000" w:themeColor="text1"/>
        </w:rPr>
        <w:t> :</w:t>
      </w:r>
    </w:p>
    <w:p w14:paraId="4500601E" w14:textId="10196FAF" w:rsidR="00174C67" w:rsidRPr="00174C67" w:rsidRDefault="00174C67" w:rsidP="00702497">
      <w:pPr>
        <w:pStyle w:val="Marge"/>
        <w:keepNext/>
        <w:tabs>
          <w:tab w:val="clear" w:pos="567"/>
          <w:tab w:val="left" w:pos="709"/>
          <w:tab w:val="left" w:pos="1418"/>
          <w:tab w:val="left" w:pos="2126"/>
          <w:tab w:val="left" w:pos="2835"/>
        </w:tabs>
        <w:spacing w:after="120"/>
        <w:jc w:val="left"/>
        <w:outlineLvl w:val="0"/>
        <w:rPr>
          <w:b/>
          <w:color w:val="000000" w:themeColor="text1"/>
        </w:rPr>
      </w:pPr>
      <w:r w:rsidRPr="00174C67">
        <w:rPr>
          <w:rFonts w:eastAsiaTheme="minorHAnsi"/>
          <w:b/>
          <w:color w:val="000000" w:themeColor="text1"/>
        </w:rPr>
        <w:t>ÉTABLISSEMENT DE L</w:t>
      </w:r>
      <w:r w:rsidR="00923E72">
        <w:rPr>
          <w:rFonts w:eastAsiaTheme="minorHAnsi"/>
          <w:b/>
          <w:color w:val="000000" w:themeColor="text1"/>
        </w:rPr>
        <w:t>’</w:t>
      </w:r>
      <w:r w:rsidRPr="00174C67">
        <w:rPr>
          <w:rFonts w:eastAsiaTheme="minorHAnsi"/>
          <w:b/>
          <w:color w:val="000000" w:themeColor="text1"/>
        </w:rPr>
        <w:t>ORGANE D</w:t>
      </w:r>
      <w:r w:rsidR="00923E72">
        <w:rPr>
          <w:rFonts w:eastAsiaTheme="minorHAnsi"/>
          <w:b/>
          <w:color w:val="000000" w:themeColor="text1"/>
        </w:rPr>
        <w:t>’</w:t>
      </w:r>
      <w:r w:rsidRPr="00174C67">
        <w:rPr>
          <w:rFonts w:eastAsiaTheme="minorHAnsi"/>
          <w:b/>
          <w:color w:val="000000" w:themeColor="text1"/>
        </w:rPr>
        <w:t>ÉVALUATION POUR LE CYCLE</w:t>
      </w:r>
      <w:r w:rsidR="003C5F9B">
        <w:rPr>
          <w:rFonts w:eastAsiaTheme="minorHAnsi"/>
          <w:b/>
          <w:color w:val="000000" w:themeColor="text1"/>
        </w:rPr>
        <w:t> </w:t>
      </w:r>
      <w:r w:rsidRPr="00174C67">
        <w:rPr>
          <w:rFonts w:eastAsiaTheme="minorHAnsi"/>
          <w:b/>
          <w:color w:val="000000" w:themeColor="text1"/>
        </w:rPr>
        <w:t>2023</w:t>
      </w:r>
    </w:p>
    <w:p w14:paraId="3A7428EE" w14:textId="1D3F8AD6" w:rsidR="00174C67" w:rsidRPr="00702497" w:rsidRDefault="00174C67" w:rsidP="00702497">
      <w:pPr>
        <w:pStyle w:val="Orateurengris"/>
        <w:tabs>
          <w:tab w:val="clear" w:pos="709"/>
          <w:tab w:val="clear" w:pos="1418"/>
          <w:tab w:val="clear" w:pos="2126"/>
          <w:tab w:val="clear" w:pos="2835"/>
        </w:tabs>
        <w:spacing w:after="0"/>
        <w:ind w:left="567" w:firstLine="142"/>
        <w:rPr>
          <w:lang w:val="fr-FR"/>
        </w:rPr>
      </w:pPr>
      <w:r w:rsidRPr="00702497">
        <w:rPr>
          <w:b/>
          <w:color w:val="000000" w:themeColor="text1"/>
          <w:lang w:val="fr-FR"/>
        </w:rPr>
        <w:t>Document :</w:t>
      </w:r>
      <w:r w:rsidRPr="00702497">
        <w:rPr>
          <w:b/>
          <w:iCs/>
          <w:color w:val="000000" w:themeColor="text1"/>
          <w:lang w:val="fr-FR"/>
        </w:rPr>
        <w:tab/>
      </w:r>
      <w:hyperlink r:id="rId109" w:history="1">
        <w:r w:rsidRPr="00702497">
          <w:rPr>
            <w:rStyle w:val="Hyperlink"/>
            <w:i/>
            <w:lang w:val="fr-FR"/>
          </w:rPr>
          <w:t>LHE/22/17.COM/14</w:t>
        </w:r>
      </w:hyperlink>
      <w:r w:rsidRPr="00702497">
        <w:rPr>
          <w:rStyle w:val="Hyperlink"/>
          <w:i/>
          <w:lang w:val="fr-FR"/>
        </w:rPr>
        <w:t xml:space="preserve"> Rev.3</w:t>
      </w:r>
    </w:p>
    <w:p w14:paraId="1552F79F" w14:textId="335D0690" w:rsidR="00174C67" w:rsidRPr="00702497" w:rsidRDefault="00174C67" w:rsidP="00702497">
      <w:pPr>
        <w:pStyle w:val="Orateurengris"/>
        <w:tabs>
          <w:tab w:val="clear" w:pos="709"/>
          <w:tab w:val="clear" w:pos="1418"/>
          <w:tab w:val="clear" w:pos="2126"/>
          <w:tab w:val="clear" w:pos="2835"/>
        </w:tabs>
        <w:spacing w:before="60" w:after="240"/>
        <w:ind w:left="567" w:firstLine="142"/>
        <w:rPr>
          <w:i/>
          <w:lang w:val="fr-FR"/>
        </w:rPr>
      </w:pPr>
      <w:r w:rsidRPr="00702497">
        <w:rPr>
          <w:b/>
          <w:color w:val="000000" w:themeColor="text1"/>
          <w:lang w:val="fr-FR"/>
        </w:rPr>
        <w:t>Décision :</w:t>
      </w:r>
      <w:r w:rsidRPr="00702497">
        <w:rPr>
          <w:bCs/>
          <w:color w:val="000000" w:themeColor="text1"/>
          <w:lang w:val="fr-FR"/>
        </w:rPr>
        <w:tab/>
      </w:r>
      <w:hyperlink r:id="rId110" w:history="1">
        <w:r w:rsidRPr="00702497">
          <w:rPr>
            <w:rStyle w:val="Hyperlink"/>
            <w:i/>
            <w:lang w:val="fr-FR"/>
          </w:rPr>
          <w:t>17.COM 14</w:t>
        </w:r>
      </w:hyperlink>
    </w:p>
    <w:p w14:paraId="7C2DC351" w14:textId="113674ED" w:rsidR="00174C67" w:rsidRDefault="00174C67" w:rsidP="00434563">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point</w:t>
      </w:r>
      <w:r w:rsidR="0073323E">
        <w:rPr>
          <w:bCs/>
          <w:lang w:val="fr-FR"/>
        </w:rPr>
        <w:t> </w:t>
      </w:r>
      <w:r>
        <w:rPr>
          <w:bCs/>
          <w:lang w:val="fr-FR"/>
        </w:rPr>
        <w:t>14 de l</w:t>
      </w:r>
      <w:r w:rsidR="00923E72">
        <w:rPr>
          <w:bCs/>
          <w:lang w:val="fr-FR"/>
        </w:rPr>
        <w:t>’</w:t>
      </w:r>
      <w:r w:rsidRPr="00174C67">
        <w:rPr>
          <w:bCs/>
          <w:lang w:val="fr-FR"/>
        </w:rPr>
        <w:t>ordre du jour</w:t>
      </w:r>
      <w:r>
        <w:rPr>
          <w:bCs/>
          <w:lang w:val="fr-FR"/>
        </w:rPr>
        <w:t>, l</w:t>
      </w:r>
      <w:r w:rsidR="00923E72">
        <w:rPr>
          <w:bCs/>
          <w:lang w:val="fr-FR"/>
        </w:rPr>
        <w:t>’</w:t>
      </w:r>
      <w:r w:rsidRPr="00174C67">
        <w:rPr>
          <w:bCs/>
          <w:lang w:val="fr-FR"/>
        </w:rPr>
        <w:t>établissement</w:t>
      </w:r>
      <w:r>
        <w:rPr>
          <w:bCs/>
          <w:lang w:val="fr-FR"/>
        </w:rPr>
        <w:t xml:space="preserve"> de l</w:t>
      </w:r>
      <w:r w:rsidR="00923E72">
        <w:rPr>
          <w:bCs/>
          <w:lang w:val="fr-FR"/>
        </w:rPr>
        <w:t>’</w:t>
      </w:r>
      <w:r>
        <w:rPr>
          <w:bCs/>
          <w:lang w:val="fr-FR"/>
        </w:rPr>
        <w:t>Organe d</w:t>
      </w:r>
      <w:r w:rsidR="00923E72">
        <w:rPr>
          <w:bCs/>
          <w:lang w:val="fr-FR"/>
        </w:rPr>
        <w:t>’</w:t>
      </w:r>
      <w:r>
        <w:rPr>
          <w:bCs/>
          <w:lang w:val="fr-FR"/>
        </w:rPr>
        <w:t>évaluation.</w:t>
      </w:r>
    </w:p>
    <w:p w14:paraId="3D9D5688" w14:textId="466E1A0B" w:rsidR="00174C67" w:rsidRDefault="00174C67" w:rsidP="00434563">
      <w:pPr>
        <w:pStyle w:val="Orateurengris"/>
        <w:numPr>
          <w:ilvl w:val="0"/>
          <w:numId w:val="20"/>
        </w:numPr>
        <w:tabs>
          <w:tab w:val="clear" w:pos="567"/>
          <w:tab w:val="left" w:pos="5954"/>
        </w:tabs>
        <w:spacing w:before="120"/>
        <w:ind w:left="709" w:hanging="709"/>
        <w:rPr>
          <w:bCs/>
          <w:lang w:val="fr-FR"/>
        </w:rPr>
      </w:pPr>
      <w:r w:rsidRPr="006E3034">
        <w:rPr>
          <w:bCs/>
          <w:lang w:val="fr-FR"/>
        </w:rPr>
        <w:t>M</w:t>
      </w:r>
      <w:r w:rsidRPr="006E3034">
        <w:rPr>
          <w:bCs/>
          <w:vertAlign w:val="superscript"/>
          <w:lang w:val="fr-FR"/>
        </w:rPr>
        <w:t>me</w:t>
      </w:r>
      <w:r w:rsidRPr="006E3034">
        <w:rPr>
          <w:bCs/>
          <w:lang w:val="fr-FR"/>
        </w:rPr>
        <w:t> Fumiko Ohinata</w:t>
      </w:r>
      <w:r w:rsidR="00E47294" w:rsidRPr="006E3034">
        <w:rPr>
          <w:bCs/>
          <w:lang w:val="fr-FR"/>
        </w:rPr>
        <w:t>,</w:t>
      </w:r>
      <w:r w:rsidRPr="008A1DFC">
        <w:rPr>
          <w:bCs/>
          <w:lang w:val="fr-FR"/>
        </w:rPr>
        <w:t xml:space="preserve"> </w:t>
      </w:r>
      <w:r w:rsidR="004428A3" w:rsidRPr="006E3034">
        <w:rPr>
          <w:bCs/>
          <w:lang w:val="fr-FR"/>
        </w:rPr>
        <w:t>du</w:t>
      </w:r>
      <w:r w:rsidR="004428A3" w:rsidRPr="00702497">
        <w:rPr>
          <w:b/>
          <w:lang w:val="fr-FR"/>
        </w:rPr>
        <w:t xml:space="preserve"> Secrétariat</w:t>
      </w:r>
      <w:r w:rsidR="00E47294" w:rsidRPr="00E47294">
        <w:rPr>
          <w:bCs/>
          <w:lang w:val="fr-FR"/>
        </w:rPr>
        <w:t>,</w:t>
      </w:r>
      <w:r w:rsidR="004428A3">
        <w:rPr>
          <w:bCs/>
          <w:lang w:val="fr-FR"/>
        </w:rPr>
        <w:t xml:space="preserve"> </w:t>
      </w:r>
      <w:r w:rsidRPr="00174C67">
        <w:rPr>
          <w:bCs/>
          <w:lang w:val="fr-FR"/>
        </w:rPr>
        <w:t>a expliqué que ce point était divisé en deux parties. La partie</w:t>
      </w:r>
      <w:r>
        <w:rPr>
          <w:bCs/>
          <w:lang w:val="fr-FR"/>
        </w:rPr>
        <w:t> </w:t>
      </w:r>
      <w:r w:rsidR="009E62C0">
        <w:rPr>
          <w:bCs/>
          <w:lang w:val="fr-FR"/>
        </w:rPr>
        <w:t>I</w:t>
      </w:r>
      <w:r w:rsidRPr="00174C67">
        <w:rPr>
          <w:bCs/>
          <w:lang w:val="fr-FR"/>
        </w:rPr>
        <w:t xml:space="preserve"> concernait le vote pour élire les nouveaux membres de l</w:t>
      </w:r>
      <w:r w:rsidR="00923E72">
        <w:rPr>
          <w:bCs/>
          <w:lang w:val="fr-FR"/>
        </w:rPr>
        <w:t>’</w:t>
      </w:r>
      <w:r w:rsidRPr="00174C67">
        <w:rPr>
          <w:bCs/>
          <w:lang w:val="fr-FR"/>
        </w:rPr>
        <w:t>Organe d</w:t>
      </w:r>
      <w:r w:rsidR="00923E72">
        <w:rPr>
          <w:bCs/>
          <w:lang w:val="fr-FR"/>
        </w:rPr>
        <w:t>’</w:t>
      </w:r>
      <w:r w:rsidRPr="00174C67">
        <w:rPr>
          <w:bCs/>
          <w:lang w:val="fr-FR"/>
        </w:rPr>
        <w:t>évaluation pour le cycle</w:t>
      </w:r>
      <w:r w:rsidR="009E62C0">
        <w:rPr>
          <w:bCs/>
          <w:lang w:val="fr-FR"/>
        </w:rPr>
        <w:t> </w:t>
      </w:r>
      <w:r w:rsidRPr="00174C67">
        <w:rPr>
          <w:bCs/>
          <w:lang w:val="fr-FR"/>
        </w:rPr>
        <w:t>2023, et la partie</w:t>
      </w:r>
      <w:r w:rsidR="001A100C">
        <w:rPr>
          <w:bCs/>
          <w:lang w:val="fr-FR"/>
        </w:rPr>
        <w:t> </w:t>
      </w:r>
      <w:r w:rsidRPr="00174C67">
        <w:rPr>
          <w:bCs/>
          <w:lang w:val="fr-FR"/>
        </w:rPr>
        <w:t>II était l</w:t>
      </w:r>
      <w:r w:rsidR="00923E72">
        <w:rPr>
          <w:bCs/>
          <w:lang w:val="fr-FR"/>
        </w:rPr>
        <w:t>’</w:t>
      </w:r>
      <w:r w:rsidRPr="00174C67">
        <w:rPr>
          <w:bCs/>
          <w:lang w:val="fr-FR"/>
        </w:rPr>
        <w:t>annonce des résultats de l</w:t>
      </w:r>
      <w:r w:rsidR="00923E72">
        <w:rPr>
          <w:bCs/>
          <w:lang w:val="fr-FR"/>
        </w:rPr>
        <w:t>’</w:t>
      </w:r>
      <w:r w:rsidRPr="00174C67">
        <w:rPr>
          <w:bCs/>
          <w:lang w:val="fr-FR"/>
        </w:rPr>
        <w:t>élection. Au titre de ce point, le Comité était invité à adopter le</w:t>
      </w:r>
      <w:r w:rsidR="00AF3A35">
        <w:rPr>
          <w:bCs/>
          <w:lang w:val="fr-FR"/>
        </w:rPr>
        <w:t>s termes de référence</w:t>
      </w:r>
      <w:r w:rsidRPr="00174C67">
        <w:rPr>
          <w:bCs/>
          <w:lang w:val="fr-FR"/>
        </w:rPr>
        <w:t xml:space="preserve"> de l</w:t>
      </w:r>
      <w:r w:rsidR="00923E72">
        <w:rPr>
          <w:bCs/>
          <w:lang w:val="fr-FR"/>
        </w:rPr>
        <w:t>’</w:t>
      </w:r>
      <w:r w:rsidRPr="00174C67">
        <w:rPr>
          <w:bCs/>
          <w:lang w:val="fr-FR"/>
        </w:rPr>
        <w:t>Organe d</w:t>
      </w:r>
      <w:r w:rsidR="00923E72">
        <w:rPr>
          <w:bCs/>
          <w:lang w:val="fr-FR"/>
        </w:rPr>
        <w:t>’</w:t>
      </w:r>
      <w:r w:rsidRPr="00174C67">
        <w:rPr>
          <w:bCs/>
          <w:lang w:val="fr-FR"/>
        </w:rPr>
        <w:t>évaluation (à l</w:t>
      </w:r>
      <w:r w:rsidR="00923E72">
        <w:rPr>
          <w:bCs/>
          <w:lang w:val="fr-FR"/>
        </w:rPr>
        <w:t>’</w:t>
      </w:r>
      <w:r w:rsidRPr="00174C67">
        <w:rPr>
          <w:bCs/>
          <w:lang w:val="fr-FR"/>
        </w:rPr>
        <w:t>annexe</w:t>
      </w:r>
      <w:r w:rsidR="009E62C0">
        <w:rPr>
          <w:bCs/>
          <w:lang w:val="fr-FR"/>
        </w:rPr>
        <w:t> </w:t>
      </w:r>
      <w:r w:rsidRPr="00174C67">
        <w:rPr>
          <w:bCs/>
          <w:lang w:val="fr-FR"/>
        </w:rPr>
        <w:t>I du document de travail). Le Comité était également invité à nommer quatre nouveaux membres de l</w:t>
      </w:r>
      <w:r w:rsidR="00923E72">
        <w:rPr>
          <w:bCs/>
          <w:lang w:val="fr-FR"/>
        </w:rPr>
        <w:t>’</w:t>
      </w:r>
      <w:r w:rsidRPr="00174C67">
        <w:rPr>
          <w:bCs/>
          <w:lang w:val="fr-FR"/>
        </w:rPr>
        <w:t>Organe d</w:t>
      </w:r>
      <w:r w:rsidR="00923E72">
        <w:rPr>
          <w:bCs/>
          <w:lang w:val="fr-FR"/>
        </w:rPr>
        <w:t>’</w:t>
      </w:r>
      <w:r w:rsidRPr="00174C67">
        <w:rPr>
          <w:bCs/>
          <w:lang w:val="fr-FR"/>
        </w:rPr>
        <w:t>évaluation. Il y avait quatre sièges vacants à pourvoir</w:t>
      </w:r>
      <w:r w:rsidR="001A100C">
        <w:rPr>
          <w:bCs/>
          <w:lang w:val="fr-FR"/>
        </w:rPr>
        <w:t> </w:t>
      </w:r>
      <w:r w:rsidRPr="00174C67">
        <w:rPr>
          <w:bCs/>
          <w:lang w:val="fr-FR"/>
        </w:rPr>
        <w:t>: un siège pour un expert du Groupe électoral</w:t>
      </w:r>
      <w:r w:rsidR="001A100C">
        <w:rPr>
          <w:bCs/>
          <w:lang w:val="fr-FR"/>
        </w:rPr>
        <w:t> </w:t>
      </w:r>
      <w:r w:rsidRPr="00174C67">
        <w:rPr>
          <w:bCs/>
          <w:lang w:val="fr-FR"/>
        </w:rPr>
        <w:t>I</w:t>
      </w:r>
      <w:r w:rsidR="001A100C">
        <w:rPr>
          <w:bCs/>
          <w:lang w:val="fr-FR"/>
        </w:rPr>
        <w:t> </w:t>
      </w:r>
      <w:r w:rsidRPr="00174C67">
        <w:rPr>
          <w:bCs/>
          <w:lang w:val="fr-FR"/>
        </w:rPr>
        <w:t>; un siège pour un expert du Groupe électoral</w:t>
      </w:r>
      <w:r w:rsidR="001A100C">
        <w:rPr>
          <w:bCs/>
          <w:lang w:val="fr-FR"/>
        </w:rPr>
        <w:t> </w:t>
      </w:r>
      <w:r w:rsidRPr="00174C67">
        <w:rPr>
          <w:bCs/>
          <w:lang w:val="fr-FR"/>
        </w:rPr>
        <w:t>II</w:t>
      </w:r>
      <w:r w:rsidR="001A100C">
        <w:rPr>
          <w:bCs/>
          <w:lang w:val="fr-FR"/>
        </w:rPr>
        <w:t> </w:t>
      </w:r>
      <w:r w:rsidRPr="00174C67">
        <w:rPr>
          <w:bCs/>
          <w:lang w:val="fr-FR"/>
        </w:rPr>
        <w:t>; un siège pour un expert du Groupe électoral</w:t>
      </w:r>
      <w:r w:rsidR="001A100C">
        <w:rPr>
          <w:bCs/>
          <w:lang w:val="fr-FR"/>
        </w:rPr>
        <w:t> </w:t>
      </w:r>
      <w:r w:rsidRPr="00174C67">
        <w:rPr>
          <w:bCs/>
          <w:lang w:val="fr-FR"/>
        </w:rPr>
        <w:t>V(a)</w:t>
      </w:r>
      <w:r w:rsidR="001A100C">
        <w:rPr>
          <w:bCs/>
          <w:lang w:val="fr-FR"/>
        </w:rPr>
        <w:t> </w:t>
      </w:r>
      <w:r w:rsidRPr="00174C67">
        <w:rPr>
          <w:bCs/>
          <w:lang w:val="fr-FR"/>
        </w:rPr>
        <w:t>; et un siège pour une ONG du Groupe électoral</w:t>
      </w:r>
      <w:r w:rsidR="001A100C">
        <w:rPr>
          <w:bCs/>
          <w:lang w:val="fr-FR"/>
        </w:rPr>
        <w:t> </w:t>
      </w:r>
      <w:r w:rsidRPr="00174C67">
        <w:rPr>
          <w:bCs/>
          <w:lang w:val="fr-FR"/>
        </w:rPr>
        <w:t>V(a). Le Comité reconduirait également les huit membres élus les années précédentes. Les candidats étaient proposés par les États parties concernés par l</w:t>
      </w:r>
      <w:r w:rsidR="00923E72">
        <w:rPr>
          <w:bCs/>
          <w:lang w:val="fr-FR"/>
        </w:rPr>
        <w:t>’</w:t>
      </w:r>
      <w:r w:rsidRPr="00174C67">
        <w:rPr>
          <w:bCs/>
          <w:lang w:val="fr-FR"/>
        </w:rPr>
        <w:t>intermédiaire du Président de chaque groupe électoral. Conformément à la décision</w:t>
      </w:r>
      <w:r w:rsidR="009E62C0">
        <w:rPr>
          <w:bCs/>
          <w:lang w:val="fr-FR"/>
        </w:rPr>
        <w:t> </w:t>
      </w:r>
      <w:hyperlink r:id="rId111" w:history="1">
        <w:r w:rsidR="001A100C" w:rsidRPr="006E3034">
          <w:rPr>
            <w:rStyle w:val="Hyperlink"/>
            <w:bCs/>
            <w:lang w:val="fr-FR"/>
          </w:rPr>
          <w:t>9.COM 11</w:t>
        </w:r>
      </w:hyperlink>
      <w:r w:rsidRPr="00174C67">
        <w:rPr>
          <w:bCs/>
          <w:lang w:val="fr-FR"/>
        </w:rPr>
        <w:t>, les États étaient encouragés à veiller à ce qu</w:t>
      </w:r>
      <w:r w:rsidR="00923E72">
        <w:rPr>
          <w:bCs/>
          <w:lang w:val="fr-FR"/>
        </w:rPr>
        <w:t>’</w:t>
      </w:r>
      <w:r w:rsidRPr="00174C67">
        <w:rPr>
          <w:bCs/>
          <w:lang w:val="fr-FR"/>
        </w:rPr>
        <w:t>au moins deux candidat</w:t>
      </w:r>
      <w:r w:rsidR="001A100C">
        <w:rPr>
          <w:bCs/>
          <w:lang w:val="fr-FR"/>
        </w:rPr>
        <w:t>ure</w:t>
      </w:r>
      <w:r w:rsidRPr="00174C67">
        <w:rPr>
          <w:bCs/>
          <w:lang w:val="fr-FR"/>
        </w:rPr>
        <w:t xml:space="preserve">s soient </w:t>
      </w:r>
      <w:r w:rsidR="001A100C">
        <w:rPr>
          <w:bCs/>
          <w:lang w:val="fr-FR"/>
        </w:rPr>
        <w:t xml:space="preserve">envoyées au </w:t>
      </w:r>
      <w:r w:rsidR="001A100C" w:rsidRPr="001A100C">
        <w:rPr>
          <w:bCs/>
          <w:lang w:val="fr-FR"/>
        </w:rPr>
        <w:t>Secréta</w:t>
      </w:r>
      <w:r w:rsidR="001A100C">
        <w:rPr>
          <w:bCs/>
          <w:lang w:val="fr-FR"/>
        </w:rPr>
        <w:t xml:space="preserve">riat </w:t>
      </w:r>
      <w:r w:rsidRPr="00174C67">
        <w:rPr>
          <w:bCs/>
          <w:lang w:val="fr-FR"/>
        </w:rPr>
        <w:t>par le Président du groupe électoral</w:t>
      </w:r>
      <w:r w:rsidR="001A100C">
        <w:rPr>
          <w:bCs/>
          <w:lang w:val="fr-FR"/>
        </w:rPr>
        <w:t xml:space="preserve"> concerné</w:t>
      </w:r>
      <w:r w:rsidRPr="00174C67">
        <w:rPr>
          <w:bCs/>
          <w:lang w:val="fr-FR"/>
        </w:rPr>
        <w:t xml:space="preserve"> et, conformément au paragraphe</w:t>
      </w:r>
      <w:r w:rsidR="001A100C">
        <w:rPr>
          <w:bCs/>
          <w:lang w:val="fr-FR"/>
        </w:rPr>
        <w:t> </w:t>
      </w:r>
      <w:r w:rsidRPr="00174C67">
        <w:rPr>
          <w:bCs/>
          <w:lang w:val="fr-FR"/>
        </w:rPr>
        <w:t>28 des Directives opérationnelles,</w:t>
      </w:r>
      <w:r w:rsidR="001A100C">
        <w:rPr>
          <w:bCs/>
          <w:lang w:val="fr-FR"/>
        </w:rPr>
        <w:t xml:space="preserve"> jusqu</w:t>
      </w:r>
      <w:r w:rsidR="00923E72">
        <w:rPr>
          <w:bCs/>
          <w:lang w:val="fr-FR"/>
        </w:rPr>
        <w:t>’</w:t>
      </w:r>
      <w:r w:rsidR="001A100C">
        <w:rPr>
          <w:bCs/>
          <w:lang w:val="fr-FR"/>
        </w:rPr>
        <w:t xml:space="preserve">à </w:t>
      </w:r>
      <w:r w:rsidRPr="00174C67">
        <w:rPr>
          <w:bCs/>
          <w:lang w:val="fr-FR"/>
        </w:rPr>
        <w:t>trois candidat</w:t>
      </w:r>
      <w:r w:rsidR="001A100C">
        <w:rPr>
          <w:bCs/>
          <w:lang w:val="fr-FR"/>
        </w:rPr>
        <w:t>ure</w:t>
      </w:r>
      <w:r w:rsidRPr="00174C67">
        <w:rPr>
          <w:bCs/>
          <w:lang w:val="fr-FR"/>
        </w:rPr>
        <w:t>s pouvai</w:t>
      </w:r>
      <w:r w:rsidR="001A100C">
        <w:rPr>
          <w:bCs/>
          <w:lang w:val="fr-FR"/>
        </w:rPr>
        <w:t>en</w:t>
      </w:r>
      <w:r w:rsidRPr="00174C67">
        <w:rPr>
          <w:bCs/>
          <w:lang w:val="fr-FR"/>
        </w:rPr>
        <w:t xml:space="preserve">t être </w:t>
      </w:r>
      <w:r w:rsidR="001A100C">
        <w:rPr>
          <w:bCs/>
          <w:lang w:val="fr-FR"/>
        </w:rPr>
        <w:t xml:space="preserve">envoyées au </w:t>
      </w:r>
      <w:r w:rsidR="001A100C" w:rsidRPr="001A100C">
        <w:rPr>
          <w:bCs/>
          <w:lang w:val="fr-FR"/>
        </w:rPr>
        <w:t>Secréta</w:t>
      </w:r>
      <w:r w:rsidR="001A100C">
        <w:rPr>
          <w:bCs/>
          <w:lang w:val="fr-FR"/>
        </w:rPr>
        <w:t>riat</w:t>
      </w:r>
      <w:r w:rsidRPr="00174C67">
        <w:rPr>
          <w:bCs/>
          <w:lang w:val="fr-FR"/>
        </w:rPr>
        <w:t xml:space="preserve">. Les candidatures reçues par groupe électoral étaient les suivantes : trois candidats </w:t>
      </w:r>
      <w:r w:rsidR="001A100C">
        <w:rPr>
          <w:bCs/>
          <w:lang w:val="fr-FR"/>
        </w:rPr>
        <w:t xml:space="preserve">experts </w:t>
      </w:r>
      <w:r w:rsidRPr="00174C67">
        <w:rPr>
          <w:bCs/>
          <w:lang w:val="fr-FR"/>
        </w:rPr>
        <w:t>pour le Groupe</w:t>
      </w:r>
      <w:r w:rsidR="001A100C">
        <w:rPr>
          <w:bCs/>
          <w:lang w:val="fr-FR"/>
        </w:rPr>
        <w:t> </w:t>
      </w:r>
      <w:r w:rsidRPr="00174C67">
        <w:rPr>
          <w:bCs/>
          <w:lang w:val="fr-FR"/>
        </w:rPr>
        <w:t>I</w:t>
      </w:r>
      <w:r w:rsidR="009E62C0">
        <w:rPr>
          <w:bCs/>
          <w:lang w:val="fr-FR"/>
        </w:rPr>
        <w:t> </w:t>
      </w:r>
      <w:r w:rsidRPr="00174C67">
        <w:rPr>
          <w:bCs/>
          <w:lang w:val="fr-FR"/>
        </w:rPr>
        <w:t xml:space="preserve">; trois candidats </w:t>
      </w:r>
      <w:r w:rsidR="001A100C">
        <w:rPr>
          <w:bCs/>
          <w:lang w:val="fr-FR"/>
        </w:rPr>
        <w:t xml:space="preserve">experts </w:t>
      </w:r>
      <w:r w:rsidRPr="00174C67">
        <w:rPr>
          <w:bCs/>
          <w:lang w:val="fr-FR"/>
        </w:rPr>
        <w:t>pour le Groupe</w:t>
      </w:r>
      <w:r w:rsidR="001A100C">
        <w:rPr>
          <w:bCs/>
          <w:lang w:val="fr-FR"/>
        </w:rPr>
        <w:t> </w:t>
      </w:r>
      <w:r w:rsidRPr="00174C67">
        <w:rPr>
          <w:bCs/>
          <w:lang w:val="fr-FR"/>
        </w:rPr>
        <w:t>II</w:t>
      </w:r>
      <w:r w:rsidR="009E62C0">
        <w:rPr>
          <w:bCs/>
          <w:lang w:val="fr-FR"/>
        </w:rPr>
        <w:t> </w:t>
      </w:r>
      <w:r w:rsidRPr="00174C67">
        <w:rPr>
          <w:bCs/>
          <w:lang w:val="fr-FR"/>
        </w:rPr>
        <w:t>; un</w:t>
      </w:r>
      <w:r w:rsidR="001A100C">
        <w:rPr>
          <w:bCs/>
          <w:lang w:val="fr-FR"/>
        </w:rPr>
        <w:t>e</w:t>
      </w:r>
      <w:r w:rsidRPr="00174C67">
        <w:rPr>
          <w:bCs/>
          <w:lang w:val="fr-FR"/>
        </w:rPr>
        <w:t xml:space="preserve"> candidat</w:t>
      </w:r>
      <w:r w:rsidR="001A100C">
        <w:rPr>
          <w:bCs/>
          <w:lang w:val="fr-FR"/>
        </w:rPr>
        <w:t>e</w:t>
      </w:r>
      <w:r w:rsidRPr="00174C67">
        <w:rPr>
          <w:bCs/>
          <w:lang w:val="fr-FR"/>
        </w:rPr>
        <w:t xml:space="preserve"> </w:t>
      </w:r>
      <w:r w:rsidR="001A100C">
        <w:rPr>
          <w:bCs/>
          <w:lang w:val="fr-FR"/>
        </w:rPr>
        <w:t xml:space="preserve">experte </w:t>
      </w:r>
      <w:r w:rsidRPr="00174C67">
        <w:rPr>
          <w:bCs/>
          <w:lang w:val="fr-FR"/>
        </w:rPr>
        <w:t>pour le Groupe</w:t>
      </w:r>
      <w:r w:rsidR="001A100C">
        <w:rPr>
          <w:bCs/>
          <w:lang w:val="fr-FR"/>
        </w:rPr>
        <w:t> </w:t>
      </w:r>
      <w:r w:rsidRPr="00174C67">
        <w:rPr>
          <w:bCs/>
          <w:lang w:val="fr-FR"/>
        </w:rPr>
        <w:t>V(a)</w:t>
      </w:r>
      <w:r w:rsidR="009E62C0">
        <w:rPr>
          <w:bCs/>
          <w:lang w:val="fr-FR"/>
        </w:rPr>
        <w:t> </w:t>
      </w:r>
      <w:r w:rsidRPr="00174C67">
        <w:rPr>
          <w:bCs/>
          <w:lang w:val="fr-FR"/>
        </w:rPr>
        <w:t xml:space="preserve">; et trois </w:t>
      </w:r>
      <w:r w:rsidR="001A100C">
        <w:rPr>
          <w:bCs/>
          <w:lang w:val="fr-FR"/>
        </w:rPr>
        <w:t xml:space="preserve">ONG candidates </w:t>
      </w:r>
      <w:r w:rsidRPr="00174C67">
        <w:rPr>
          <w:bCs/>
          <w:lang w:val="fr-FR"/>
        </w:rPr>
        <w:t>pour le Groupe</w:t>
      </w:r>
      <w:r w:rsidR="001A100C">
        <w:rPr>
          <w:bCs/>
          <w:lang w:val="fr-FR"/>
        </w:rPr>
        <w:t> </w:t>
      </w:r>
      <w:r w:rsidRPr="00174C67">
        <w:rPr>
          <w:bCs/>
          <w:lang w:val="fr-FR"/>
        </w:rPr>
        <w:t>V(a) (voir la liste des candidats à l</w:t>
      </w:r>
      <w:r w:rsidR="00923E72">
        <w:rPr>
          <w:bCs/>
          <w:lang w:val="fr-FR"/>
        </w:rPr>
        <w:t>’</w:t>
      </w:r>
      <w:r w:rsidRPr="00174C67">
        <w:rPr>
          <w:bCs/>
          <w:lang w:val="fr-FR"/>
        </w:rPr>
        <w:t>annexe</w:t>
      </w:r>
      <w:r w:rsidR="00DB6A4B">
        <w:rPr>
          <w:bCs/>
          <w:lang w:val="fr-FR"/>
        </w:rPr>
        <w:t> </w:t>
      </w:r>
      <w:r w:rsidR="001A100C">
        <w:rPr>
          <w:bCs/>
          <w:lang w:val="fr-FR"/>
        </w:rPr>
        <w:t>II</w:t>
      </w:r>
      <w:r w:rsidRPr="00174C67">
        <w:rPr>
          <w:bCs/>
          <w:lang w:val="fr-FR"/>
        </w:rPr>
        <w:t xml:space="preserve"> du document de </w:t>
      </w:r>
      <w:r w:rsidRPr="00174C67">
        <w:rPr>
          <w:bCs/>
          <w:lang w:val="fr-FR"/>
        </w:rPr>
        <w:lastRenderedPageBreak/>
        <w:t>travail</w:t>
      </w:r>
      <w:r w:rsidR="00067781">
        <w:rPr>
          <w:bCs/>
          <w:lang w:val="fr-FR"/>
        </w:rPr>
        <w:t xml:space="preserve"> qui </w:t>
      </w:r>
      <w:r w:rsidRPr="00174C67">
        <w:rPr>
          <w:bCs/>
          <w:lang w:val="fr-FR"/>
        </w:rPr>
        <w:t>présenta</w:t>
      </w:r>
      <w:r w:rsidR="00067781">
        <w:rPr>
          <w:bCs/>
          <w:lang w:val="fr-FR"/>
        </w:rPr>
        <w:t>i</w:t>
      </w:r>
      <w:r w:rsidRPr="00174C67">
        <w:rPr>
          <w:bCs/>
          <w:lang w:val="fr-FR"/>
        </w:rPr>
        <w:t xml:space="preserve">t les sites </w:t>
      </w:r>
      <w:r w:rsidR="001A100C">
        <w:rPr>
          <w:bCs/>
          <w:lang w:val="fr-FR"/>
        </w:rPr>
        <w:t xml:space="preserve">Internet </w:t>
      </w:r>
      <w:r w:rsidRPr="00174C67">
        <w:rPr>
          <w:bCs/>
          <w:lang w:val="fr-FR"/>
        </w:rPr>
        <w:t>et les demandes d</w:t>
      </w:r>
      <w:r w:rsidR="00923E72">
        <w:rPr>
          <w:bCs/>
          <w:lang w:val="fr-FR"/>
        </w:rPr>
        <w:t>’</w:t>
      </w:r>
      <w:r w:rsidRPr="00174C67">
        <w:rPr>
          <w:bCs/>
          <w:lang w:val="fr-FR"/>
        </w:rPr>
        <w:t>accréditation dans le cas des ONG, et les CV dans le cas des experts).</w:t>
      </w:r>
    </w:p>
    <w:p w14:paraId="2B4E48ED" w14:textId="545651A8" w:rsidR="001A100C" w:rsidRDefault="004428A3" w:rsidP="00434563">
      <w:pPr>
        <w:pStyle w:val="Orateurengris"/>
        <w:numPr>
          <w:ilvl w:val="0"/>
          <w:numId w:val="20"/>
        </w:numPr>
        <w:tabs>
          <w:tab w:val="clear" w:pos="567"/>
          <w:tab w:val="left" w:pos="5954"/>
        </w:tabs>
        <w:spacing w:before="120"/>
        <w:ind w:left="709" w:hanging="709"/>
        <w:rPr>
          <w:bCs/>
          <w:lang w:val="fr-FR"/>
        </w:rPr>
      </w:pPr>
      <w:r w:rsidRPr="000B0B21">
        <w:rPr>
          <w:b/>
          <w:lang w:val="fr-FR"/>
        </w:rPr>
        <w:t>M</w:t>
      </w:r>
      <w:r w:rsidRPr="000B0B21">
        <w:rPr>
          <w:b/>
          <w:vertAlign w:val="superscript"/>
          <w:lang w:val="fr-FR"/>
        </w:rPr>
        <w:t>me</w:t>
      </w:r>
      <w:r w:rsidRPr="000B0B21">
        <w:rPr>
          <w:b/>
          <w:lang w:val="fr-FR"/>
        </w:rPr>
        <w:t> Fumiko Ohinata</w:t>
      </w:r>
      <w:r>
        <w:rPr>
          <w:bCs/>
          <w:lang w:val="fr-FR"/>
        </w:rPr>
        <w:t xml:space="preserve"> </w:t>
      </w:r>
      <w:r w:rsidRPr="004428A3">
        <w:rPr>
          <w:bCs/>
          <w:lang w:val="fr-FR"/>
        </w:rPr>
        <w:t>a présenté le</w:t>
      </w:r>
      <w:r w:rsidR="00D8679F">
        <w:rPr>
          <w:bCs/>
          <w:lang w:val="fr-FR"/>
        </w:rPr>
        <w:t>s termes de référence</w:t>
      </w:r>
      <w:r w:rsidRPr="004428A3">
        <w:rPr>
          <w:bCs/>
          <w:lang w:val="fr-FR"/>
        </w:rPr>
        <w:t xml:space="preserve"> de l</w:t>
      </w:r>
      <w:r w:rsidR="00923E72">
        <w:rPr>
          <w:bCs/>
          <w:lang w:val="fr-FR"/>
        </w:rPr>
        <w:t>’</w:t>
      </w:r>
      <w:r w:rsidRPr="004428A3">
        <w:rPr>
          <w:bCs/>
          <w:lang w:val="fr-FR"/>
        </w:rPr>
        <w:t>Organe d</w:t>
      </w:r>
      <w:r w:rsidR="00923E72">
        <w:rPr>
          <w:bCs/>
          <w:lang w:val="fr-FR"/>
        </w:rPr>
        <w:t>’</w:t>
      </w:r>
      <w:r w:rsidRPr="004428A3">
        <w:rPr>
          <w:bCs/>
          <w:lang w:val="fr-FR"/>
        </w:rPr>
        <w:t>évaluation pour le cycle</w:t>
      </w:r>
      <w:r w:rsidR="009E62C0">
        <w:rPr>
          <w:bCs/>
          <w:lang w:val="fr-FR"/>
        </w:rPr>
        <w:t> </w:t>
      </w:r>
      <w:r w:rsidRPr="004428A3">
        <w:rPr>
          <w:bCs/>
          <w:lang w:val="fr-FR"/>
        </w:rPr>
        <w:t>2023. Le</w:t>
      </w:r>
      <w:r w:rsidR="00D8679F">
        <w:rPr>
          <w:bCs/>
          <w:lang w:val="fr-FR"/>
        </w:rPr>
        <w:t>s</w:t>
      </w:r>
      <w:r w:rsidRPr="004428A3">
        <w:rPr>
          <w:bCs/>
          <w:lang w:val="fr-FR"/>
        </w:rPr>
        <w:t xml:space="preserve"> </w:t>
      </w:r>
      <w:r w:rsidR="00D8679F">
        <w:rPr>
          <w:bCs/>
          <w:lang w:val="fr-FR"/>
        </w:rPr>
        <w:t>termes de référence</w:t>
      </w:r>
      <w:r w:rsidR="00D8679F" w:rsidRPr="004428A3">
        <w:rPr>
          <w:bCs/>
          <w:lang w:val="fr-FR"/>
        </w:rPr>
        <w:t xml:space="preserve"> </w:t>
      </w:r>
      <w:r w:rsidRPr="004428A3">
        <w:rPr>
          <w:bCs/>
          <w:lang w:val="fr-FR"/>
        </w:rPr>
        <w:t>de l</w:t>
      </w:r>
      <w:r w:rsidR="00923E72">
        <w:rPr>
          <w:bCs/>
          <w:lang w:val="fr-FR"/>
        </w:rPr>
        <w:t>’</w:t>
      </w:r>
      <w:r w:rsidRPr="004428A3">
        <w:rPr>
          <w:bCs/>
          <w:lang w:val="fr-FR"/>
        </w:rPr>
        <w:t>Organe d</w:t>
      </w:r>
      <w:r w:rsidR="00923E72">
        <w:rPr>
          <w:bCs/>
          <w:lang w:val="fr-FR"/>
        </w:rPr>
        <w:t>’</w:t>
      </w:r>
      <w:r w:rsidRPr="004428A3">
        <w:rPr>
          <w:bCs/>
          <w:lang w:val="fr-FR"/>
        </w:rPr>
        <w:t>évaluation étai</w:t>
      </w:r>
      <w:r w:rsidR="00D8679F">
        <w:rPr>
          <w:bCs/>
          <w:lang w:val="fr-FR"/>
        </w:rPr>
        <w:t>en</w:t>
      </w:r>
      <w:r w:rsidRPr="004428A3">
        <w:rPr>
          <w:bCs/>
          <w:lang w:val="fr-FR"/>
        </w:rPr>
        <w:t>t défini</w:t>
      </w:r>
      <w:r w:rsidR="00D8679F">
        <w:rPr>
          <w:bCs/>
          <w:lang w:val="fr-FR"/>
        </w:rPr>
        <w:t>s</w:t>
      </w:r>
      <w:r w:rsidRPr="004428A3">
        <w:rPr>
          <w:bCs/>
          <w:lang w:val="fr-FR"/>
        </w:rPr>
        <w:t xml:space="preserve"> aux paragraphes</w:t>
      </w:r>
      <w:r>
        <w:rPr>
          <w:bCs/>
          <w:lang w:val="fr-FR"/>
        </w:rPr>
        <w:t> </w:t>
      </w:r>
      <w:r w:rsidRPr="004428A3">
        <w:rPr>
          <w:bCs/>
          <w:lang w:val="fr-FR"/>
        </w:rPr>
        <w:t>27 et</w:t>
      </w:r>
      <w:r w:rsidR="009E62C0">
        <w:rPr>
          <w:bCs/>
          <w:lang w:val="fr-FR"/>
        </w:rPr>
        <w:t> </w:t>
      </w:r>
      <w:r w:rsidRPr="004428A3">
        <w:rPr>
          <w:bCs/>
          <w:lang w:val="fr-FR"/>
        </w:rPr>
        <w:t>30 des Directives opérationnelles. Il</w:t>
      </w:r>
      <w:r w:rsidR="00D8679F">
        <w:rPr>
          <w:bCs/>
          <w:lang w:val="fr-FR"/>
        </w:rPr>
        <w:t>s</w:t>
      </w:r>
      <w:r w:rsidRPr="004428A3">
        <w:rPr>
          <w:bCs/>
          <w:lang w:val="fr-FR"/>
        </w:rPr>
        <w:t xml:space="preserve"> comprenai</w:t>
      </w:r>
      <w:r w:rsidR="00D8679F">
        <w:rPr>
          <w:bCs/>
          <w:lang w:val="fr-FR"/>
        </w:rPr>
        <w:t>en</w:t>
      </w:r>
      <w:r w:rsidRPr="004428A3">
        <w:rPr>
          <w:bCs/>
          <w:lang w:val="fr-FR"/>
        </w:rPr>
        <w:t>t l</w:t>
      </w:r>
      <w:r w:rsidR="00923E72">
        <w:rPr>
          <w:bCs/>
          <w:lang w:val="fr-FR"/>
        </w:rPr>
        <w:t>’</w:t>
      </w:r>
      <w:r w:rsidRPr="004428A3">
        <w:rPr>
          <w:bCs/>
          <w:lang w:val="fr-FR"/>
        </w:rPr>
        <w:t>évaluation des candidatures et des propositions aux listes et au Registre ainsi que celle des demandes d</w:t>
      </w:r>
      <w:r w:rsidR="00923E72">
        <w:rPr>
          <w:bCs/>
          <w:lang w:val="fr-FR"/>
        </w:rPr>
        <w:t>’</w:t>
      </w:r>
      <w:r w:rsidRPr="004428A3">
        <w:rPr>
          <w:bCs/>
          <w:lang w:val="fr-FR"/>
        </w:rPr>
        <w:t>assistance internationale soumises simultanément à des candidatures à la Liste de sauvegarde urgente. En outre, il s</w:t>
      </w:r>
      <w:r w:rsidR="00923E72">
        <w:rPr>
          <w:bCs/>
          <w:lang w:val="fr-FR"/>
        </w:rPr>
        <w:t>’</w:t>
      </w:r>
      <w:r w:rsidRPr="004428A3">
        <w:rPr>
          <w:bCs/>
          <w:lang w:val="fr-FR"/>
        </w:rPr>
        <w:t>agissait du dernier cycle au cours duquel l</w:t>
      </w:r>
      <w:r w:rsidR="00923E72">
        <w:rPr>
          <w:bCs/>
          <w:lang w:val="fr-FR"/>
        </w:rPr>
        <w:t>’</w:t>
      </w:r>
      <w:r w:rsidRPr="004428A3">
        <w:rPr>
          <w:bCs/>
          <w:lang w:val="fr-FR"/>
        </w:rPr>
        <w:t>Organe serait chargé d</w:t>
      </w:r>
      <w:r w:rsidR="00923E72">
        <w:rPr>
          <w:bCs/>
          <w:lang w:val="fr-FR"/>
        </w:rPr>
        <w:t>’</w:t>
      </w:r>
      <w:r w:rsidRPr="004428A3">
        <w:rPr>
          <w:bCs/>
          <w:lang w:val="fr-FR"/>
        </w:rPr>
        <w:t>évaluer les demandes d</w:t>
      </w:r>
      <w:r w:rsidR="00923E72">
        <w:rPr>
          <w:bCs/>
          <w:lang w:val="fr-FR"/>
        </w:rPr>
        <w:t>’</w:t>
      </w:r>
      <w:r w:rsidRPr="004428A3">
        <w:rPr>
          <w:bCs/>
          <w:lang w:val="fr-FR"/>
        </w:rPr>
        <w:t>assistance internationale d</w:t>
      </w:r>
      <w:r w:rsidR="00923E72">
        <w:rPr>
          <w:bCs/>
          <w:lang w:val="fr-FR"/>
        </w:rPr>
        <w:t>’</w:t>
      </w:r>
      <w:r w:rsidRPr="004428A3">
        <w:rPr>
          <w:bCs/>
          <w:lang w:val="fr-FR"/>
        </w:rPr>
        <w:t>un montant supérieur à</w:t>
      </w:r>
      <w:r w:rsidR="00067781">
        <w:rPr>
          <w:bCs/>
          <w:lang w:val="fr-FR"/>
        </w:rPr>
        <w:t> </w:t>
      </w:r>
      <w:r w:rsidRPr="004428A3">
        <w:rPr>
          <w:bCs/>
          <w:lang w:val="fr-FR"/>
        </w:rPr>
        <w:t>100</w:t>
      </w:r>
      <w:r>
        <w:rPr>
          <w:bCs/>
          <w:lang w:val="fr-FR"/>
        </w:rPr>
        <w:t> </w:t>
      </w:r>
      <w:r w:rsidRPr="004428A3">
        <w:rPr>
          <w:bCs/>
          <w:lang w:val="fr-FR"/>
        </w:rPr>
        <w:t>000</w:t>
      </w:r>
      <w:r>
        <w:rPr>
          <w:bCs/>
          <w:lang w:val="fr-FR"/>
        </w:rPr>
        <w:t> </w:t>
      </w:r>
      <w:r w:rsidRPr="004428A3">
        <w:rPr>
          <w:bCs/>
          <w:lang w:val="fr-FR"/>
        </w:rPr>
        <w:t xml:space="preserve">dollars des États-Unis, suite </w:t>
      </w:r>
      <w:r>
        <w:rPr>
          <w:bCs/>
          <w:lang w:val="fr-FR"/>
        </w:rPr>
        <w:t>à</w:t>
      </w:r>
      <w:r w:rsidRPr="004428A3">
        <w:rPr>
          <w:bCs/>
          <w:lang w:val="fr-FR"/>
        </w:rPr>
        <w:t xml:space="preserve"> la révision d</w:t>
      </w:r>
      <w:r w:rsidR="00AF3A35">
        <w:rPr>
          <w:bCs/>
          <w:lang w:val="fr-FR"/>
        </w:rPr>
        <w:t>es termes de référence</w:t>
      </w:r>
      <w:r w:rsidR="00AF3A35" w:rsidRPr="004428A3">
        <w:rPr>
          <w:bCs/>
          <w:lang w:val="fr-FR"/>
        </w:rPr>
        <w:t xml:space="preserve"> </w:t>
      </w:r>
      <w:r w:rsidRPr="004428A3">
        <w:rPr>
          <w:bCs/>
          <w:lang w:val="fr-FR"/>
        </w:rPr>
        <w:t>de l</w:t>
      </w:r>
      <w:r w:rsidR="00923E72">
        <w:rPr>
          <w:bCs/>
          <w:lang w:val="fr-FR"/>
        </w:rPr>
        <w:t>’</w:t>
      </w:r>
      <w:r w:rsidRPr="004428A3">
        <w:rPr>
          <w:bCs/>
          <w:lang w:val="fr-FR"/>
        </w:rPr>
        <w:t>Organe par la neuvième session de l</w:t>
      </w:r>
      <w:r w:rsidR="00923E72">
        <w:rPr>
          <w:bCs/>
          <w:lang w:val="fr-FR"/>
        </w:rPr>
        <w:t>’</w:t>
      </w:r>
      <w:r w:rsidRPr="004428A3">
        <w:rPr>
          <w:bCs/>
          <w:lang w:val="fr-FR"/>
        </w:rPr>
        <w:t xml:space="preserve">Assemblée générale. </w:t>
      </w:r>
      <w:r>
        <w:rPr>
          <w:bCs/>
          <w:lang w:val="fr-FR"/>
        </w:rPr>
        <w:t>Par ailleurs, s</w:t>
      </w:r>
      <w:r w:rsidRPr="004428A3">
        <w:rPr>
          <w:bCs/>
          <w:lang w:val="fr-FR"/>
        </w:rPr>
        <w:t>uite à l</w:t>
      </w:r>
      <w:r w:rsidR="00923E72">
        <w:rPr>
          <w:bCs/>
          <w:lang w:val="fr-FR"/>
        </w:rPr>
        <w:t>’</w:t>
      </w:r>
      <w:r w:rsidRPr="004428A3">
        <w:rPr>
          <w:bCs/>
          <w:lang w:val="fr-FR"/>
        </w:rPr>
        <w:t>achèvement de la réflexion globale sur les mécanismes d</w:t>
      </w:r>
      <w:r w:rsidR="00923E72">
        <w:rPr>
          <w:bCs/>
          <w:lang w:val="fr-FR"/>
        </w:rPr>
        <w:t>’</w:t>
      </w:r>
      <w:r w:rsidRPr="004428A3">
        <w:rPr>
          <w:bCs/>
          <w:lang w:val="fr-FR"/>
        </w:rPr>
        <w:t>inscription de la Convention, le</w:t>
      </w:r>
      <w:r w:rsidR="00AF3A35">
        <w:rPr>
          <w:bCs/>
          <w:lang w:val="fr-FR"/>
        </w:rPr>
        <w:t>s termes de référence</w:t>
      </w:r>
      <w:r w:rsidRPr="004428A3">
        <w:rPr>
          <w:bCs/>
          <w:lang w:val="fr-FR"/>
        </w:rPr>
        <w:t xml:space="preserve"> proposé</w:t>
      </w:r>
      <w:r w:rsidR="00AF3A35">
        <w:rPr>
          <w:bCs/>
          <w:lang w:val="fr-FR"/>
        </w:rPr>
        <w:t>s</w:t>
      </w:r>
      <w:r w:rsidRPr="004428A3">
        <w:rPr>
          <w:bCs/>
          <w:lang w:val="fr-FR"/>
        </w:rPr>
        <w:t xml:space="preserve"> comprenai</w:t>
      </w:r>
      <w:r w:rsidR="00AF3A35">
        <w:rPr>
          <w:bCs/>
          <w:lang w:val="fr-FR"/>
        </w:rPr>
        <w:t>en</w:t>
      </w:r>
      <w:r w:rsidRPr="004428A3">
        <w:rPr>
          <w:bCs/>
          <w:lang w:val="fr-FR"/>
        </w:rPr>
        <w:t>t les quatre nouvelles tâches suivantes attribuées à l</w:t>
      </w:r>
      <w:r w:rsidR="00923E72">
        <w:rPr>
          <w:bCs/>
          <w:lang w:val="fr-FR"/>
        </w:rPr>
        <w:t>’</w:t>
      </w:r>
      <w:r w:rsidRPr="004428A3">
        <w:rPr>
          <w:bCs/>
          <w:lang w:val="fr-FR"/>
        </w:rPr>
        <w:t>Organe conformément aux nouvelles dispositions des Directives opérationnelles</w:t>
      </w:r>
      <w:r>
        <w:rPr>
          <w:bCs/>
          <w:lang w:val="fr-FR"/>
        </w:rPr>
        <w:t> </w:t>
      </w:r>
      <w:r w:rsidRPr="004428A3">
        <w:rPr>
          <w:bCs/>
          <w:lang w:val="fr-FR"/>
        </w:rPr>
        <w:t>: i)</w:t>
      </w:r>
      <w:r>
        <w:rPr>
          <w:bCs/>
          <w:lang w:val="fr-FR"/>
        </w:rPr>
        <w:t> </w:t>
      </w:r>
      <w:r w:rsidRPr="004428A3">
        <w:rPr>
          <w:bCs/>
          <w:lang w:val="fr-FR"/>
        </w:rPr>
        <w:t>l</w:t>
      </w:r>
      <w:r w:rsidR="00923E72">
        <w:rPr>
          <w:bCs/>
          <w:lang w:val="fr-FR"/>
        </w:rPr>
        <w:t>’</w:t>
      </w:r>
      <w:r w:rsidRPr="004428A3">
        <w:rPr>
          <w:bCs/>
          <w:lang w:val="fr-FR"/>
        </w:rPr>
        <w:t xml:space="preserve">évaluation des demandes de transfert </w:t>
      </w:r>
      <w:r>
        <w:rPr>
          <w:bCs/>
          <w:lang w:val="fr-FR"/>
        </w:rPr>
        <w:t>d</w:t>
      </w:r>
      <w:r w:rsidR="00923E72">
        <w:rPr>
          <w:bCs/>
          <w:lang w:val="fr-FR"/>
        </w:rPr>
        <w:t>’</w:t>
      </w:r>
      <w:r>
        <w:rPr>
          <w:bCs/>
          <w:lang w:val="fr-FR"/>
        </w:rPr>
        <w:t>une liste à l</w:t>
      </w:r>
      <w:r w:rsidR="00923E72">
        <w:rPr>
          <w:bCs/>
          <w:lang w:val="fr-FR"/>
        </w:rPr>
        <w:t>’</w:t>
      </w:r>
      <w:r>
        <w:rPr>
          <w:bCs/>
          <w:lang w:val="fr-FR"/>
        </w:rPr>
        <w:t xml:space="preserve">autre </w:t>
      </w:r>
      <w:r w:rsidRPr="004428A3">
        <w:rPr>
          <w:bCs/>
          <w:lang w:val="fr-FR"/>
        </w:rPr>
        <w:t>(paragraphe</w:t>
      </w:r>
      <w:r w:rsidR="009E62C0">
        <w:rPr>
          <w:bCs/>
          <w:lang w:val="fr-FR"/>
        </w:rPr>
        <w:t> </w:t>
      </w:r>
      <w:r w:rsidRPr="004428A3">
        <w:rPr>
          <w:bCs/>
          <w:lang w:val="fr-FR"/>
        </w:rPr>
        <w:t>30 des Directives opérationnelles)</w:t>
      </w:r>
      <w:r w:rsidR="005E452C">
        <w:rPr>
          <w:bCs/>
          <w:lang w:val="fr-FR"/>
        </w:rPr>
        <w:t> </w:t>
      </w:r>
      <w:r w:rsidRPr="004428A3">
        <w:rPr>
          <w:bCs/>
          <w:lang w:val="fr-FR"/>
        </w:rPr>
        <w:t>; ii)</w:t>
      </w:r>
      <w:r w:rsidR="005E452C">
        <w:rPr>
          <w:bCs/>
          <w:lang w:val="fr-FR"/>
        </w:rPr>
        <w:t> </w:t>
      </w:r>
      <w:r w:rsidRPr="004428A3">
        <w:rPr>
          <w:bCs/>
          <w:lang w:val="fr-FR"/>
        </w:rPr>
        <w:t>l</w:t>
      </w:r>
      <w:r w:rsidR="00923E72">
        <w:rPr>
          <w:bCs/>
          <w:lang w:val="fr-FR"/>
        </w:rPr>
        <w:t>’</w:t>
      </w:r>
      <w:r w:rsidRPr="004428A3">
        <w:rPr>
          <w:bCs/>
          <w:lang w:val="fr-FR"/>
        </w:rPr>
        <w:t>évaluation des demandes d</w:t>
      </w:r>
      <w:r w:rsidR="00923E72">
        <w:rPr>
          <w:bCs/>
          <w:lang w:val="fr-FR"/>
        </w:rPr>
        <w:t>’</w:t>
      </w:r>
      <w:r w:rsidRPr="004428A3">
        <w:rPr>
          <w:bCs/>
          <w:lang w:val="fr-FR"/>
        </w:rPr>
        <w:t>assistance internationale soumises dans le cadre d</w:t>
      </w:r>
      <w:r w:rsidR="00923E72">
        <w:rPr>
          <w:bCs/>
          <w:lang w:val="fr-FR"/>
        </w:rPr>
        <w:t>’</w:t>
      </w:r>
      <w:r w:rsidRPr="004428A3">
        <w:rPr>
          <w:bCs/>
          <w:lang w:val="fr-FR"/>
        </w:rPr>
        <w:t>une demande de transfert de la Liste représentative vers la Liste de sauvegarde urgente (paragraphe</w:t>
      </w:r>
      <w:r w:rsidR="005E452C">
        <w:rPr>
          <w:bCs/>
          <w:lang w:val="fr-FR"/>
        </w:rPr>
        <w:t> </w:t>
      </w:r>
      <w:r w:rsidRPr="004428A3">
        <w:rPr>
          <w:bCs/>
          <w:lang w:val="fr-FR"/>
        </w:rPr>
        <w:t>27 des Directives opérationnelles)</w:t>
      </w:r>
      <w:r w:rsidR="005E452C">
        <w:rPr>
          <w:bCs/>
          <w:lang w:val="fr-FR"/>
        </w:rPr>
        <w:t> </w:t>
      </w:r>
      <w:r w:rsidRPr="004428A3">
        <w:rPr>
          <w:bCs/>
          <w:lang w:val="fr-FR"/>
        </w:rPr>
        <w:t>; iii)</w:t>
      </w:r>
      <w:r w:rsidR="005E452C">
        <w:rPr>
          <w:bCs/>
          <w:lang w:val="fr-FR"/>
        </w:rPr>
        <w:t> </w:t>
      </w:r>
      <w:r w:rsidRPr="004428A3">
        <w:rPr>
          <w:bCs/>
          <w:lang w:val="fr-FR"/>
        </w:rPr>
        <w:t>la possibilité d</w:t>
      </w:r>
      <w:r w:rsidR="00923E72">
        <w:rPr>
          <w:bCs/>
          <w:lang w:val="fr-FR"/>
        </w:rPr>
        <w:t>’</w:t>
      </w:r>
      <w:r w:rsidRPr="004428A3">
        <w:rPr>
          <w:bCs/>
          <w:lang w:val="fr-FR"/>
        </w:rPr>
        <w:t>inclure une expérience de sauvegarde réussie dans le Registre des bonnes pratiques de sauvegarde</w:t>
      </w:r>
      <w:r w:rsidR="00067781">
        <w:rPr>
          <w:bCs/>
          <w:lang w:val="fr-FR"/>
        </w:rPr>
        <w:t>,</w:t>
      </w:r>
      <w:r w:rsidRPr="004428A3">
        <w:rPr>
          <w:bCs/>
          <w:lang w:val="fr-FR"/>
        </w:rPr>
        <w:t xml:space="preserve"> à la suite d</w:t>
      </w:r>
      <w:r w:rsidR="00923E72">
        <w:rPr>
          <w:bCs/>
          <w:lang w:val="fr-FR"/>
        </w:rPr>
        <w:t>’</w:t>
      </w:r>
      <w:r w:rsidRPr="004428A3">
        <w:rPr>
          <w:bCs/>
          <w:lang w:val="fr-FR"/>
        </w:rPr>
        <w:t>une demande de transfert (paragraphe</w:t>
      </w:r>
      <w:r w:rsidR="005E452C">
        <w:rPr>
          <w:bCs/>
          <w:lang w:val="fr-FR"/>
        </w:rPr>
        <w:t> </w:t>
      </w:r>
      <w:r w:rsidRPr="004428A3">
        <w:rPr>
          <w:bCs/>
          <w:lang w:val="fr-FR"/>
        </w:rPr>
        <w:t>39.3 des Directives opérationnelles)</w:t>
      </w:r>
      <w:r w:rsidR="005E452C">
        <w:rPr>
          <w:bCs/>
          <w:lang w:val="fr-FR"/>
        </w:rPr>
        <w:t> </w:t>
      </w:r>
      <w:r w:rsidRPr="004428A3">
        <w:rPr>
          <w:bCs/>
          <w:lang w:val="fr-FR"/>
        </w:rPr>
        <w:t>; et iv)</w:t>
      </w:r>
      <w:r w:rsidR="005E452C">
        <w:rPr>
          <w:bCs/>
          <w:lang w:val="fr-FR"/>
        </w:rPr>
        <w:t> </w:t>
      </w:r>
      <w:r w:rsidRPr="004428A3">
        <w:rPr>
          <w:bCs/>
          <w:lang w:val="fr-FR"/>
        </w:rPr>
        <w:t>l</w:t>
      </w:r>
      <w:r w:rsidR="00923E72">
        <w:rPr>
          <w:bCs/>
          <w:lang w:val="fr-FR"/>
        </w:rPr>
        <w:t>’</w:t>
      </w:r>
      <w:r w:rsidRPr="004428A3">
        <w:rPr>
          <w:bCs/>
          <w:lang w:val="fr-FR"/>
        </w:rPr>
        <w:t>évaluation d</w:t>
      </w:r>
      <w:r w:rsidR="00923E72">
        <w:rPr>
          <w:bCs/>
          <w:lang w:val="fr-FR"/>
        </w:rPr>
        <w:t>’</w:t>
      </w:r>
      <w:r w:rsidRPr="004428A3">
        <w:rPr>
          <w:bCs/>
          <w:lang w:val="fr-FR"/>
        </w:rPr>
        <w:t xml:space="preserve">un élément placé sous le statut de </w:t>
      </w:r>
      <w:r w:rsidR="005E452C">
        <w:rPr>
          <w:bCs/>
          <w:lang w:val="fr-FR"/>
        </w:rPr>
        <w:t>« </w:t>
      </w:r>
      <w:r w:rsidRPr="004428A3">
        <w:rPr>
          <w:bCs/>
          <w:lang w:val="fr-FR"/>
        </w:rPr>
        <w:t xml:space="preserve">suivi </w:t>
      </w:r>
      <w:r w:rsidR="005E452C">
        <w:rPr>
          <w:bCs/>
          <w:lang w:val="fr-FR"/>
        </w:rPr>
        <w:t>approfondi »</w:t>
      </w:r>
      <w:r w:rsidRPr="004428A3">
        <w:rPr>
          <w:bCs/>
          <w:lang w:val="fr-FR"/>
        </w:rPr>
        <w:t xml:space="preserve"> (paragraphe</w:t>
      </w:r>
      <w:r w:rsidR="009E62C0">
        <w:rPr>
          <w:bCs/>
          <w:lang w:val="fr-FR"/>
        </w:rPr>
        <w:t> </w:t>
      </w:r>
      <w:r w:rsidRPr="004428A3">
        <w:rPr>
          <w:bCs/>
          <w:lang w:val="fr-FR"/>
        </w:rPr>
        <w:t>40.3(a) des Directives opérationnelles). Le Comité procéderait à un vote à bulletin secret afin de choisir les nouveaux membres de l</w:t>
      </w:r>
      <w:r w:rsidR="00923E72">
        <w:rPr>
          <w:bCs/>
          <w:lang w:val="fr-FR"/>
        </w:rPr>
        <w:t>’</w:t>
      </w:r>
      <w:r w:rsidRPr="004428A3">
        <w:rPr>
          <w:bCs/>
          <w:lang w:val="fr-FR"/>
        </w:rPr>
        <w:t>Organe, et ce</w:t>
      </w:r>
      <w:r w:rsidR="009E62C0">
        <w:rPr>
          <w:bCs/>
          <w:lang w:val="fr-FR"/>
        </w:rPr>
        <w:t>,</w:t>
      </w:r>
      <w:r w:rsidRPr="004428A3">
        <w:rPr>
          <w:bCs/>
          <w:lang w:val="fr-FR"/>
        </w:rPr>
        <w:t xml:space="preserve"> conformément au règlement intérieur du Comité, en particulier la section</w:t>
      </w:r>
      <w:r w:rsidR="009E62C0">
        <w:rPr>
          <w:bCs/>
          <w:lang w:val="fr-FR"/>
        </w:rPr>
        <w:t> </w:t>
      </w:r>
      <w:r w:rsidRPr="004428A3">
        <w:rPr>
          <w:bCs/>
          <w:lang w:val="fr-FR"/>
        </w:rPr>
        <w:t>B de l</w:t>
      </w:r>
      <w:r w:rsidR="00923E72">
        <w:rPr>
          <w:bCs/>
          <w:lang w:val="fr-FR"/>
        </w:rPr>
        <w:t>’</w:t>
      </w:r>
      <w:r w:rsidRPr="004428A3">
        <w:rPr>
          <w:bCs/>
          <w:lang w:val="fr-FR"/>
        </w:rPr>
        <w:t>article</w:t>
      </w:r>
      <w:r w:rsidR="009E62C0">
        <w:rPr>
          <w:bCs/>
          <w:lang w:val="fr-FR"/>
        </w:rPr>
        <w:t> </w:t>
      </w:r>
      <w:r w:rsidRPr="004428A3">
        <w:rPr>
          <w:bCs/>
          <w:lang w:val="fr-FR"/>
        </w:rPr>
        <w:t>39. S</w:t>
      </w:r>
      <w:r w:rsidR="00923E72">
        <w:rPr>
          <w:bCs/>
          <w:lang w:val="fr-FR"/>
        </w:rPr>
        <w:t>’</w:t>
      </w:r>
      <w:r w:rsidRPr="004428A3">
        <w:rPr>
          <w:bCs/>
          <w:lang w:val="fr-FR"/>
        </w:rPr>
        <w:t>agissant du siège d</w:t>
      </w:r>
      <w:r w:rsidR="00923E72">
        <w:rPr>
          <w:bCs/>
          <w:lang w:val="fr-FR"/>
        </w:rPr>
        <w:t>’</w:t>
      </w:r>
      <w:r w:rsidRPr="004428A3">
        <w:rPr>
          <w:bCs/>
          <w:lang w:val="fr-FR"/>
        </w:rPr>
        <w:t>un expert pour le groupe V(a), le nombre de candidats correspondait au nombre de sièges vacant</w:t>
      </w:r>
      <w:r w:rsidR="00221D63">
        <w:rPr>
          <w:bCs/>
          <w:lang w:val="fr-FR"/>
        </w:rPr>
        <w:t>s,</w:t>
      </w:r>
      <w:r w:rsidRPr="004428A3">
        <w:rPr>
          <w:bCs/>
          <w:lang w:val="fr-FR"/>
        </w:rPr>
        <w:t xml:space="preserve"> il s</w:t>
      </w:r>
      <w:r w:rsidR="00923E72">
        <w:rPr>
          <w:bCs/>
          <w:lang w:val="fr-FR"/>
        </w:rPr>
        <w:t>’</w:t>
      </w:r>
      <w:r w:rsidRPr="004428A3">
        <w:rPr>
          <w:bCs/>
          <w:lang w:val="fr-FR"/>
        </w:rPr>
        <w:t>agissait donc d</w:t>
      </w:r>
      <w:r w:rsidR="00923E72">
        <w:rPr>
          <w:bCs/>
          <w:lang w:val="fr-FR"/>
        </w:rPr>
        <w:t>’</w:t>
      </w:r>
      <w:r w:rsidRPr="004428A3">
        <w:rPr>
          <w:bCs/>
          <w:lang w:val="fr-FR"/>
        </w:rPr>
        <w:t>une situation de</w:t>
      </w:r>
      <w:r w:rsidR="005E452C">
        <w:rPr>
          <w:bCs/>
          <w:lang w:val="fr-FR"/>
        </w:rPr>
        <w:t xml:space="preserve"> « liste optimale »</w:t>
      </w:r>
      <w:r w:rsidRPr="004428A3">
        <w:rPr>
          <w:bCs/>
          <w:lang w:val="fr-FR"/>
        </w:rPr>
        <w:t xml:space="preserve"> et, par conséquent, l</w:t>
      </w:r>
      <w:r w:rsidR="00923E72">
        <w:rPr>
          <w:bCs/>
          <w:lang w:val="fr-FR"/>
        </w:rPr>
        <w:t>’</w:t>
      </w:r>
      <w:r w:rsidRPr="004428A3">
        <w:rPr>
          <w:bCs/>
          <w:lang w:val="fr-FR"/>
        </w:rPr>
        <w:t>expert était élu automatiquement sans élection. Ainsi, l</w:t>
      </w:r>
      <w:r w:rsidR="00923E72">
        <w:rPr>
          <w:bCs/>
          <w:lang w:val="fr-FR"/>
        </w:rPr>
        <w:t>’</w:t>
      </w:r>
      <w:r w:rsidRPr="004428A3">
        <w:rPr>
          <w:bCs/>
          <w:lang w:val="fr-FR"/>
        </w:rPr>
        <w:t xml:space="preserve">élection </w:t>
      </w:r>
      <w:r w:rsidR="005E452C">
        <w:rPr>
          <w:bCs/>
          <w:lang w:val="fr-FR"/>
        </w:rPr>
        <w:t xml:space="preserve">à bulletin </w:t>
      </w:r>
      <w:r w:rsidRPr="004428A3">
        <w:rPr>
          <w:bCs/>
          <w:lang w:val="fr-FR"/>
        </w:rPr>
        <w:t>secret ne concernerait que les trois autres sièges vacants. Poursuivant la pratique introduite lors de sa quatorzième session en</w:t>
      </w:r>
      <w:r w:rsidR="00AF6B98">
        <w:rPr>
          <w:bCs/>
          <w:lang w:val="fr-FR"/>
        </w:rPr>
        <w:t> </w:t>
      </w:r>
      <w:r w:rsidRPr="004428A3">
        <w:rPr>
          <w:bCs/>
          <w:lang w:val="fr-FR"/>
        </w:rPr>
        <w:t xml:space="preserve">2019, le Comité </w:t>
      </w:r>
      <w:r w:rsidR="005E452C">
        <w:rPr>
          <w:bCs/>
          <w:lang w:val="fr-FR"/>
        </w:rPr>
        <w:t xml:space="preserve">était </w:t>
      </w:r>
      <w:r w:rsidR="0095583F">
        <w:rPr>
          <w:bCs/>
          <w:lang w:val="fr-FR"/>
        </w:rPr>
        <w:t xml:space="preserve">également </w:t>
      </w:r>
      <w:r w:rsidRPr="004428A3">
        <w:rPr>
          <w:bCs/>
          <w:lang w:val="fr-FR"/>
        </w:rPr>
        <w:t>invité à déterminer l</w:t>
      </w:r>
      <w:r w:rsidR="00923E72">
        <w:rPr>
          <w:bCs/>
          <w:lang w:val="fr-FR"/>
        </w:rPr>
        <w:t>’</w:t>
      </w:r>
      <w:r w:rsidRPr="004428A3">
        <w:rPr>
          <w:bCs/>
          <w:lang w:val="fr-FR"/>
        </w:rPr>
        <w:t>ordre alphabétique dans lequel les dossiers seraient évalués et examinés afin d</w:t>
      </w:r>
      <w:r w:rsidR="00923E72">
        <w:rPr>
          <w:bCs/>
          <w:lang w:val="fr-FR"/>
        </w:rPr>
        <w:t>’</w:t>
      </w:r>
      <w:r w:rsidRPr="004428A3">
        <w:rPr>
          <w:bCs/>
          <w:lang w:val="fr-FR"/>
        </w:rPr>
        <w:t>éviter de suivre le même ordre à chaque fois</w:t>
      </w:r>
      <w:r w:rsidR="00067781">
        <w:rPr>
          <w:bCs/>
          <w:lang w:val="fr-FR"/>
        </w:rPr>
        <w:t>,</w:t>
      </w:r>
      <w:r w:rsidRPr="004428A3">
        <w:rPr>
          <w:bCs/>
          <w:lang w:val="fr-FR"/>
        </w:rPr>
        <w:t xml:space="preserve"> en commençant toujours par les dossiers des États dont la première lettre </w:t>
      </w:r>
      <w:r w:rsidR="00067781">
        <w:rPr>
          <w:bCs/>
          <w:lang w:val="fr-FR"/>
        </w:rPr>
        <w:t>était en tête</w:t>
      </w:r>
      <w:r w:rsidRPr="004428A3">
        <w:rPr>
          <w:bCs/>
          <w:lang w:val="fr-FR"/>
        </w:rPr>
        <w:t xml:space="preserve"> de l</w:t>
      </w:r>
      <w:r w:rsidR="00923E72">
        <w:rPr>
          <w:bCs/>
          <w:lang w:val="fr-FR"/>
        </w:rPr>
        <w:t>’</w:t>
      </w:r>
      <w:r w:rsidRPr="004428A3">
        <w:rPr>
          <w:bCs/>
          <w:lang w:val="fr-FR"/>
        </w:rPr>
        <w:t>alphabet anglais. Concrètement, une lettre serait tirée au sort au titre de ce point.</w:t>
      </w:r>
    </w:p>
    <w:p w14:paraId="19BABBE9" w14:textId="44D9630D" w:rsidR="005E452C" w:rsidRDefault="005E452C" w:rsidP="00434563">
      <w:pPr>
        <w:pStyle w:val="Orateurengris"/>
        <w:numPr>
          <w:ilvl w:val="0"/>
          <w:numId w:val="20"/>
        </w:numPr>
        <w:tabs>
          <w:tab w:val="clear" w:pos="567"/>
          <w:tab w:val="left" w:pos="5954"/>
        </w:tabs>
        <w:spacing w:before="120"/>
        <w:ind w:left="709" w:hanging="709"/>
        <w:rPr>
          <w:bCs/>
          <w:lang w:val="fr-FR"/>
        </w:rPr>
      </w:pPr>
      <w:r w:rsidRPr="005E452C">
        <w:rPr>
          <w:bCs/>
          <w:lang w:val="fr-FR"/>
        </w:rPr>
        <w:t xml:space="preserve">Le </w:t>
      </w:r>
      <w:r w:rsidRPr="00702497">
        <w:rPr>
          <w:b/>
          <w:lang w:val="fr-FR"/>
        </w:rPr>
        <w:t>Président</w:t>
      </w:r>
      <w:r w:rsidRPr="005E452C">
        <w:rPr>
          <w:bCs/>
          <w:lang w:val="fr-FR"/>
        </w:rPr>
        <w:t xml:space="preserve"> a proposé de procéder </w:t>
      </w:r>
      <w:r w:rsidR="0095583F">
        <w:rPr>
          <w:bCs/>
          <w:lang w:val="fr-FR"/>
        </w:rPr>
        <w:t xml:space="preserve">selon </w:t>
      </w:r>
      <w:r w:rsidRPr="005E452C">
        <w:rPr>
          <w:bCs/>
          <w:lang w:val="fr-FR"/>
        </w:rPr>
        <w:t>l</w:t>
      </w:r>
      <w:r w:rsidR="00923E72">
        <w:rPr>
          <w:bCs/>
          <w:lang w:val="fr-FR"/>
        </w:rPr>
        <w:t>’</w:t>
      </w:r>
      <w:r w:rsidRPr="005E452C">
        <w:rPr>
          <w:bCs/>
          <w:lang w:val="fr-FR"/>
        </w:rPr>
        <w:t>ordre dans lequel le Secrétariat avait présenté les travaux</w:t>
      </w:r>
      <w:r w:rsidR="0095583F">
        <w:rPr>
          <w:bCs/>
          <w:lang w:val="fr-FR"/>
        </w:rPr>
        <w:t>,</w:t>
      </w:r>
      <w:r w:rsidRPr="005E452C">
        <w:rPr>
          <w:bCs/>
          <w:lang w:val="fr-FR"/>
        </w:rPr>
        <w:t xml:space="preserve"> en demandant d</w:t>
      </w:r>
      <w:r w:rsidR="00923E72">
        <w:rPr>
          <w:bCs/>
          <w:lang w:val="fr-FR"/>
        </w:rPr>
        <w:t>’</w:t>
      </w:r>
      <w:r w:rsidRPr="005E452C">
        <w:rPr>
          <w:bCs/>
          <w:lang w:val="fr-FR"/>
        </w:rPr>
        <w:t>abord au Comité d</w:t>
      </w:r>
      <w:r w:rsidR="00923E72">
        <w:rPr>
          <w:bCs/>
          <w:lang w:val="fr-FR"/>
        </w:rPr>
        <w:t>’</w:t>
      </w:r>
      <w:r w:rsidRPr="005E452C">
        <w:rPr>
          <w:bCs/>
          <w:lang w:val="fr-FR"/>
        </w:rPr>
        <w:t>adopter le</w:t>
      </w:r>
      <w:r w:rsidR="00D8679F">
        <w:rPr>
          <w:bCs/>
          <w:lang w:val="fr-FR"/>
        </w:rPr>
        <w:t xml:space="preserve">s termes de référence </w:t>
      </w:r>
      <w:r w:rsidRPr="005E452C">
        <w:rPr>
          <w:bCs/>
          <w:lang w:val="fr-FR"/>
        </w:rPr>
        <w:t>de l</w:t>
      </w:r>
      <w:r w:rsidR="00923E72">
        <w:rPr>
          <w:bCs/>
          <w:lang w:val="fr-FR"/>
        </w:rPr>
        <w:t>’</w:t>
      </w:r>
      <w:r w:rsidRPr="005E452C">
        <w:rPr>
          <w:bCs/>
          <w:lang w:val="fr-FR"/>
        </w:rPr>
        <w:t>Organe d</w:t>
      </w:r>
      <w:r w:rsidR="00923E72">
        <w:rPr>
          <w:bCs/>
          <w:lang w:val="fr-FR"/>
        </w:rPr>
        <w:t>’</w:t>
      </w:r>
      <w:r w:rsidRPr="005E452C">
        <w:rPr>
          <w:bCs/>
          <w:lang w:val="fr-FR"/>
        </w:rPr>
        <w:t>évaluation pour le cycle</w:t>
      </w:r>
      <w:r w:rsidR="0095583F">
        <w:rPr>
          <w:bCs/>
          <w:lang w:val="fr-FR"/>
        </w:rPr>
        <w:t> </w:t>
      </w:r>
      <w:r w:rsidRPr="005E452C">
        <w:rPr>
          <w:bCs/>
          <w:lang w:val="fr-FR"/>
        </w:rPr>
        <w:t>2023 (</w:t>
      </w:r>
      <w:r>
        <w:rPr>
          <w:bCs/>
          <w:lang w:val="fr-FR"/>
        </w:rPr>
        <w:t xml:space="preserve">présenté </w:t>
      </w:r>
      <w:r w:rsidRPr="005E452C">
        <w:rPr>
          <w:bCs/>
          <w:lang w:val="fr-FR"/>
        </w:rPr>
        <w:t>à l</w:t>
      </w:r>
      <w:r w:rsidR="00923E72">
        <w:rPr>
          <w:bCs/>
          <w:lang w:val="fr-FR"/>
        </w:rPr>
        <w:t>’</w:t>
      </w:r>
      <w:r w:rsidRPr="005E452C">
        <w:rPr>
          <w:bCs/>
          <w:lang w:val="fr-FR"/>
        </w:rPr>
        <w:t>annexe</w:t>
      </w:r>
      <w:r w:rsidR="0095583F">
        <w:rPr>
          <w:bCs/>
          <w:lang w:val="fr-FR"/>
        </w:rPr>
        <w:t> </w:t>
      </w:r>
      <w:r w:rsidRPr="005E452C">
        <w:rPr>
          <w:bCs/>
          <w:lang w:val="fr-FR"/>
        </w:rPr>
        <w:t xml:space="preserve">l du document de travail). Ensuite, </w:t>
      </w:r>
      <w:r>
        <w:rPr>
          <w:bCs/>
          <w:lang w:val="fr-FR"/>
        </w:rPr>
        <w:t>on</w:t>
      </w:r>
      <w:r w:rsidRPr="005E452C">
        <w:rPr>
          <w:bCs/>
          <w:lang w:val="fr-FR"/>
        </w:rPr>
        <w:t xml:space="preserve"> procéd</w:t>
      </w:r>
      <w:r>
        <w:rPr>
          <w:bCs/>
          <w:lang w:val="fr-FR"/>
        </w:rPr>
        <w:t>erait</w:t>
      </w:r>
      <w:r w:rsidRPr="005E452C">
        <w:rPr>
          <w:bCs/>
          <w:lang w:val="fr-FR"/>
        </w:rPr>
        <w:t xml:space="preserve"> à la désignation des deux scrutateurs chargés de surveiller l</w:t>
      </w:r>
      <w:r w:rsidR="00923E72">
        <w:rPr>
          <w:bCs/>
          <w:lang w:val="fr-FR"/>
        </w:rPr>
        <w:t>’</w:t>
      </w:r>
      <w:r w:rsidRPr="005E452C">
        <w:rPr>
          <w:bCs/>
          <w:lang w:val="fr-FR"/>
        </w:rPr>
        <w:t>élection. Les membres du Comité procéderaient ensuite au vote. Enfin, le point</w:t>
      </w:r>
      <w:r w:rsidR="0095583F">
        <w:rPr>
          <w:bCs/>
          <w:lang w:val="fr-FR"/>
        </w:rPr>
        <w:t> </w:t>
      </w:r>
      <w:r w:rsidRPr="005E452C">
        <w:rPr>
          <w:bCs/>
          <w:lang w:val="fr-FR"/>
        </w:rPr>
        <w:t>14 serait suspendu. Le Président a procédé à l</w:t>
      </w:r>
      <w:r w:rsidR="00923E72">
        <w:rPr>
          <w:bCs/>
          <w:lang w:val="fr-FR"/>
        </w:rPr>
        <w:t>’</w:t>
      </w:r>
      <w:r w:rsidRPr="005E452C">
        <w:rPr>
          <w:bCs/>
          <w:lang w:val="fr-FR"/>
        </w:rPr>
        <w:t>adoption d</w:t>
      </w:r>
      <w:r w:rsidR="00D8679F">
        <w:rPr>
          <w:bCs/>
          <w:lang w:val="fr-FR"/>
        </w:rPr>
        <w:t>es termes de référence</w:t>
      </w:r>
      <w:r w:rsidRPr="005E452C">
        <w:rPr>
          <w:bCs/>
          <w:lang w:val="fr-FR"/>
        </w:rPr>
        <w:t xml:space="preserve">, qui </w:t>
      </w:r>
      <w:r w:rsidR="00494A0C">
        <w:rPr>
          <w:bCs/>
          <w:lang w:val="fr-FR"/>
        </w:rPr>
        <w:t xml:space="preserve">traduisaient </w:t>
      </w:r>
      <w:r w:rsidRPr="005E452C">
        <w:rPr>
          <w:bCs/>
          <w:lang w:val="fr-FR"/>
        </w:rPr>
        <w:t>les révisions des Directives opérationnelles par la neuvième session de l</w:t>
      </w:r>
      <w:r w:rsidR="00923E72">
        <w:rPr>
          <w:bCs/>
          <w:lang w:val="fr-FR"/>
        </w:rPr>
        <w:t>’</w:t>
      </w:r>
      <w:r w:rsidRPr="005E452C">
        <w:rPr>
          <w:bCs/>
          <w:lang w:val="fr-FR"/>
        </w:rPr>
        <w:t>Assemblée générale suite à la réflexion globale sur les mécanismes d</w:t>
      </w:r>
      <w:r w:rsidR="00923E72">
        <w:rPr>
          <w:bCs/>
          <w:lang w:val="fr-FR"/>
        </w:rPr>
        <w:t>’</w:t>
      </w:r>
      <w:r w:rsidRPr="005E452C">
        <w:rPr>
          <w:bCs/>
          <w:lang w:val="fr-FR"/>
        </w:rPr>
        <w:t>inscription. Il a été proposé d</w:t>
      </w:r>
      <w:r w:rsidR="00923E72">
        <w:rPr>
          <w:bCs/>
          <w:lang w:val="fr-FR"/>
        </w:rPr>
        <w:t>’</w:t>
      </w:r>
      <w:r w:rsidRPr="005E452C">
        <w:rPr>
          <w:bCs/>
          <w:lang w:val="fr-FR"/>
        </w:rPr>
        <w:t>adopter l</w:t>
      </w:r>
      <w:r w:rsidR="00D8679F">
        <w:rPr>
          <w:bCs/>
          <w:lang w:val="fr-FR"/>
        </w:rPr>
        <w:t xml:space="preserve">es termes de référence </w:t>
      </w:r>
      <w:r w:rsidRPr="005E452C">
        <w:rPr>
          <w:bCs/>
          <w:lang w:val="fr-FR"/>
        </w:rPr>
        <w:t xml:space="preserve">dans </w:t>
      </w:r>
      <w:r w:rsidR="00D8679F">
        <w:rPr>
          <w:bCs/>
          <w:lang w:val="fr-FR"/>
        </w:rPr>
        <w:t>leur</w:t>
      </w:r>
      <w:r w:rsidRPr="005E452C">
        <w:rPr>
          <w:bCs/>
          <w:lang w:val="fr-FR"/>
        </w:rPr>
        <w:t xml:space="preserve"> ensemble, ce qui a été fait. Le Président a invit</w:t>
      </w:r>
      <w:r>
        <w:rPr>
          <w:bCs/>
          <w:lang w:val="fr-FR"/>
        </w:rPr>
        <w:t>é</w:t>
      </w:r>
      <w:r w:rsidRPr="005E452C">
        <w:rPr>
          <w:bCs/>
          <w:lang w:val="fr-FR"/>
        </w:rPr>
        <w:t xml:space="preserve"> le Secrétariat à expliquer la procédure de vote à bulletin secret.</w:t>
      </w:r>
    </w:p>
    <w:p w14:paraId="5246EF59" w14:textId="7A838A23" w:rsidR="005E452C" w:rsidRDefault="005E452C" w:rsidP="00434563">
      <w:pPr>
        <w:pStyle w:val="Orateurengris"/>
        <w:numPr>
          <w:ilvl w:val="0"/>
          <w:numId w:val="20"/>
        </w:numPr>
        <w:tabs>
          <w:tab w:val="clear" w:pos="567"/>
          <w:tab w:val="left" w:pos="5954"/>
        </w:tabs>
        <w:spacing w:before="120"/>
        <w:ind w:left="709" w:hanging="709"/>
        <w:rPr>
          <w:bCs/>
          <w:lang w:val="fr-FR"/>
        </w:rPr>
      </w:pPr>
      <w:r w:rsidRPr="000B0B21">
        <w:rPr>
          <w:b/>
          <w:lang w:val="fr-FR"/>
        </w:rPr>
        <w:t>M</w:t>
      </w:r>
      <w:r w:rsidRPr="000B0B21">
        <w:rPr>
          <w:b/>
          <w:vertAlign w:val="superscript"/>
          <w:lang w:val="fr-FR"/>
        </w:rPr>
        <w:t>me</w:t>
      </w:r>
      <w:r w:rsidRPr="000B0B21">
        <w:rPr>
          <w:b/>
          <w:lang w:val="fr-FR"/>
        </w:rPr>
        <w:t> Fumiko Ohinata</w:t>
      </w:r>
      <w:r>
        <w:rPr>
          <w:bCs/>
          <w:lang w:val="fr-FR"/>
        </w:rPr>
        <w:t xml:space="preserve"> </w:t>
      </w:r>
      <w:r w:rsidRPr="005E452C">
        <w:rPr>
          <w:bCs/>
          <w:lang w:val="fr-FR"/>
        </w:rPr>
        <w:t>a expliqué que le Secrétariat distribuerait à tous les membres du Comité trois bulletins de vote, un pour chaque siège vacant, ainsi qu</w:t>
      </w:r>
      <w:r w:rsidR="00923E72">
        <w:rPr>
          <w:bCs/>
          <w:lang w:val="fr-FR"/>
        </w:rPr>
        <w:t>’</w:t>
      </w:r>
      <w:r w:rsidRPr="005E452C">
        <w:rPr>
          <w:bCs/>
          <w:lang w:val="fr-FR"/>
        </w:rPr>
        <w:t>une enveloppe. Chaque membre du Comité devait exprimer clairement son choix pour chaque siège vacant, et pas seulement pour le siège vacant de son propre groupe électoral. Le candidat ayant obtenu le plus grand nombre de voix serait élu. Sur chaque bulletin de vote figuraient les noms de tous les candidats pour chaque siège. Les membres étaient priés d</w:t>
      </w:r>
      <w:r w:rsidR="00923E72">
        <w:rPr>
          <w:bCs/>
          <w:lang w:val="fr-FR"/>
        </w:rPr>
        <w:t>’</w:t>
      </w:r>
      <w:r w:rsidRPr="005E452C">
        <w:rPr>
          <w:bCs/>
          <w:lang w:val="fr-FR"/>
        </w:rPr>
        <w:t>entourer les noms des candidats pour lesquels ils souhaitaient voter, puis de plier les bulletins, de les placer dans l</w:t>
      </w:r>
      <w:r w:rsidR="00923E72">
        <w:rPr>
          <w:bCs/>
          <w:lang w:val="fr-FR"/>
        </w:rPr>
        <w:t>’</w:t>
      </w:r>
      <w:r w:rsidRPr="005E452C">
        <w:rPr>
          <w:bCs/>
          <w:lang w:val="fr-FR"/>
        </w:rPr>
        <w:t>enveloppe et de la sceller. L</w:t>
      </w:r>
      <w:r w:rsidR="00923E72">
        <w:rPr>
          <w:bCs/>
          <w:lang w:val="fr-FR"/>
        </w:rPr>
        <w:t>’</w:t>
      </w:r>
      <w:r w:rsidRPr="005E452C">
        <w:rPr>
          <w:bCs/>
          <w:lang w:val="fr-FR"/>
        </w:rPr>
        <w:t>enveloppe ne devait porter aucune inscription. L</w:t>
      </w:r>
      <w:r w:rsidR="00923E72">
        <w:rPr>
          <w:bCs/>
          <w:lang w:val="fr-FR"/>
        </w:rPr>
        <w:t>’</w:t>
      </w:r>
      <w:r w:rsidRPr="005E452C">
        <w:rPr>
          <w:bCs/>
          <w:lang w:val="fr-FR"/>
        </w:rPr>
        <w:t>absence de bulletin dans l</w:t>
      </w:r>
      <w:r w:rsidR="00923E72">
        <w:rPr>
          <w:bCs/>
          <w:lang w:val="fr-FR"/>
        </w:rPr>
        <w:t>’</w:t>
      </w:r>
      <w:r w:rsidRPr="005E452C">
        <w:rPr>
          <w:bCs/>
          <w:lang w:val="fr-FR"/>
        </w:rPr>
        <w:t>enveloppe serait considérée comme une abstention. Les bulletins contenant plus de noms sélectionnés que le nombre de sièges à pourvoir</w:t>
      </w:r>
      <w:r w:rsidR="00A3101E">
        <w:rPr>
          <w:bCs/>
          <w:lang w:val="fr-FR"/>
        </w:rPr>
        <w:t xml:space="preserve"> </w:t>
      </w:r>
      <w:r w:rsidRPr="005E452C">
        <w:rPr>
          <w:bCs/>
          <w:lang w:val="fr-FR"/>
        </w:rPr>
        <w:t>ainsi que les bulletins ne portant aucune mention de l</w:t>
      </w:r>
      <w:r w:rsidR="00923E72">
        <w:rPr>
          <w:bCs/>
          <w:lang w:val="fr-FR"/>
        </w:rPr>
        <w:t>’</w:t>
      </w:r>
      <w:r w:rsidRPr="005E452C">
        <w:rPr>
          <w:bCs/>
          <w:lang w:val="fr-FR"/>
        </w:rPr>
        <w:t>intention de vote seraient considérés comme nuls.</w:t>
      </w:r>
    </w:p>
    <w:p w14:paraId="49D10682" w14:textId="34E4003E" w:rsidR="00812495" w:rsidRDefault="00812495" w:rsidP="00434563">
      <w:pPr>
        <w:pStyle w:val="Orateurengris"/>
        <w:numPr>
          <w:ilvl w:val="0"/>
          <w:numId w:val="20"/>
        </w:numPr>
        <w:tabs>
          <w:tab w:val="clear" w:pos="567"/>
          <w:tab w:val="left" w:pos="5954"/>
        </w:tabs>
        <w:spacing w:before="120"/>
        <w:ind w:left="709" w:hanging="709"/>
        <w:rPr>
          <w:bCs/>
          <w:lang w:val="fr-FR"/>
        </w:rPr>
      </w:pPr>
      <w:r>
        <w:rPr>
          <w:bCs/>
          <w:lang w:val="fr-FR"/>
        </w:rPr>
        <w:lastRenderedPageBreak/>
        <w:t>Const</w:t>
      </w:r>
      <w:r w:rsidR="00494A0C">
        <w:rPr>
          <w:bCs/>
          <w:lang w:val="fr-FR"/>
        </w:rPr>
        <w:t>at</w:t>
      </w:r>
      <w:r>
        <w:rPr>
          <w:bCs/>
          <w:lang w:val="fr-FR"/>
        </w:rPr>
        <w:t>ant qu</w:t>
      </w:r>
      <w:r w:rsidR="00923E72">
        <w:rPr>
          <w:bCs/>
          <w:lang w:val="fr-FR"/>
        </w:rPr>
        <w:t>’</w:t>
      </w:r>
      <w:r>
        <w:rPr>
          <w:bCs/>
          <w:lang w:val="fr-FR"/>
        </w:rPr>
        <w:t>il n</w:t>
      </w:r>
      <w:r w:rsidR="00923E72">
        <w:rPr>
          <w:bCs/>
          <w:lang w:val="fr-FR"/>
        </w:rPr>
        <w:t>’</w:t>
      </w:r>
      <w:r>
        <w:rPr>
          <w:bCs/>
          <w:lang w:val="fr-FR"/>
        </w:rPr>
        <w:t>y avait pas de questions, l</w:t>
      </w:r>
      <w:r w:rsidRPr="00812495">
        <w:rPr>
          <w:bCs/>
          <w:lang w:val="fr-FR"/>
        </w:rPr>
        <w:t xml:space="preserve">e </w:t>
      </w:r>
      <w:r w:rsidRPr="00702497">
        <w:rPr>
          <w:b/>
          <w:lang w:val="fr-FR"/>
        </w:rPr>
        <w:t>Président</w:t>
      </w:r>
      <w:r w:rsidRPr="00812495">
        <w:rPr>
          <w:bCs/>
          <w:lang w:val="fr-FR"/>
        </w:rPr>
        <w:t xml:space="preserve"> </w:t>
      </w:r>
      <w:r>
        <w:rPr>
          <w:bCs/>
          <w:lang w:val="fr-FR"/>
        </w:rPr>
        <w:t>a cherché d</w:t>
      </w:r>
      <w:r w:rsidRPr="00812495">
        <w:rPr>
          <w:bCs/>
          <w:lang w:val="fr-FR"/>
        </w:rPr>
        <w:t>eux volontaires pour assurer les fonctions de scrutateurs. Avec l</w:t>
      </w:r>
      <w:r w:rsidR="00923E72">
        <w:rPr>
          <w:bCs/>
          <w:lang w:val="fr-FR"/>
        </w:rPr>
        <w:t>’</w:t>
      </w:r>
      <w:r w:rsidRPr="00812495">
        <w:rPr>
          <w:bCs/>
          <w:lang w:val="fr-FR"/>
        </w:rPr>
        <w:t xml:space="preserve">aide du Bureau, deux personnes </w:t>
      </w:r>
      <w:r>
        <w:rPr>
          <w:bCs/>
          <w:lang w:val="fr-FR"/>
        </w:rPr>
        <w:t xml:space="preserve">ont été </w:t>
      </w:r>
      <w:r w:rsidRPr="00812495">
        <w:rPr>
          <w:bCs/>
          <w:lang w:val="fr-FR"/>
        </w:rPr>
        <w:t>identifiées</w:t>
      </w:r>
      <w:r>
        <w:rPr>
          <w:bCs/>
          <w:lang w:val="fr-FR"/>
        </w:rPr>
        <w:t> </w:t>
      </w:r>
      <w:r w:rsidRPr="00812495">
        <w:rPr>
          <w:bCs/>
          <w:lang w:val="fr-FR"/>
        </w:rPr>
        <w:t xml:space="preserve">: </w:t>
      </w:r>
      <w:r>
        <w:rPr>
          <w:bCs/>
          <w:lang w:val="fr-FR"/>
        </w:rPr>
        <w:t>M</w:t>
      </w:r>
      <w:r w:rsidRPr="00702497">
        <w:rPr>
          <w:bCs/>
          <w:vertAlign w:val="superscript"/>
          <w:lang w:val="fr-FR"/>
        </w:rPr>
        <w:t>me</w:t>
      </w:r>
      <w:r>
        <w:rPr>
          <w:bCs/>
          <w:lang w:val="fr-FR"/>
        </w:rPr>
        <w:t> </w:t>
      </w:r>
      <w:r w:rsidRPr="00812495">
        <w:rPr>
          <w:bCs/>
          <w:lang w:val="fr-FR"/>
        </w:rPr>
        <w:t>Soukaina Filali du Maroc et M.</w:t>
      </w:r>
      <w:r>
        <w:rPr>
          <w:bCs/>
          <w:lang w:val="fr-FR"/>
        </w:rPr>
        <w:t> </w:t>
      </w:r>
      <w:proofErr w:type="spellStart"/>
      <w:r w:rsidRPr="00812495">
        <w:rPr>
          <w:bCs/>
          <w:lang w:val="fr-FR"/>
        </w:rPr>
        <w:t>Aneish</w:t>
      </w:r>
      <w:proofErr w:type="spellEnd"/>
      <w:r w:rsidRPr="00812495">
        <w:rPr>
          <w:bCs/>
          <w:lang w:val="fr-FR"/>
        </w:rPr>
        <w:t xml:space="preserve"> Rajan de l</w:t>
      </w:r>
      <w:r w:rsidR="00923E72">
        <w:rPr>
          <w:bCs/>
          <w:lang w:val="fr-FR"/>
        </w:rPr>
        <w:t>’</w:t>
      </w:r>
      <w:r w:rsidRPr="00812495">
        <w:rPr>
          <w:bCs/>
          <w:lang w:val="fr-FR"/>
        </w:rPr>
        <w:t xml:space="preserve">Inde, qui </w:t>
      </w:r>
      <w:r>
        <w:rPr>
          <w:bCs/>
          <w:lang w:val="fr-FR"/>
        </w:rPr>
        <w:t xml:space="preserve">ont </w:t>
      </w:r>
      <w:r w:rsidRPr="00812495">
        <w:rPr>
          <w:bCs/>
          <w:lang w:val="fr-FR"/>
        </w:rPr>
        <w:t>rejoi</w:t>
      </w:r>
      <w:r>
        <w:rPr>
          <w:bCs/>
          <w:lang w:val="fr-FR"/>
        </w:rPr>
        <w:t>nt la tribune</w:t>
      </w:r>
      <w:r w:rsidRPr="00812495">
        <w:rPr>
          <w:bCs/>
          <w:lang w:val="fr-FR"/>
        </w:rPr>
        <w:t xml:space="preserve">. Après une pause de </w:t>
      </w:r>
      <w:r>
        <w:rPr>
          <w:bCs/>
          <w:lang w:val="fr-FR"/>
        </w:rPr>
        <w:t>cinq</w:t>
      </w:r>
      <w:r w:rsidRPr="00812495">
        <w:rPr>
          <w:bCs/>
          <w:lang w:val="fr-FR"/>
        </w:rPr>
        <w:t xml:space="preserve"> minutes, le Président </w:t>
      </w:r>
      <w:r>
        <w:rPr>
          <w:bCs/>
          <w:lang w:val="fr-FR"/>
        </w:rPr>
        <w:t xml:space="preserve">a </w:t>
      </w:r>
      <w:r w:rsidRPr="00812495">
        <w:rPr>
          <w:bCs/>
          <w:lang w:val="fr-FR"/>
        </w:rPr>
        <w:t>invit</w:t>
      </w:r>
      <w:r>
        <w:rPr>
          <w:bCs/>
          <w:lang w:val="fr-FR"/>
        </w:rPr>
        <w:t>é</w:t>
      </w:r>
      <w:r w:rsidRPr="00812495">
        <w:rPr>
          <w:bCs/>
          <w:lang w:val="fr-FR"/>
        </w:rPr>
        <w:t xml:space="preserve"> le Secrétariat à procéder à l</w:t>
      </w:r>
      <w:r w:rsidR="00923E72">
        <w:rPr>
          <w:bCs/>
          <w:lang w:val="fr-FR"/>
        </w:rPr>
        <w:t>’</w:t>
      </w:r>
      <w:r w:rsidRPr="00812495">
        <w:rPr>
          <w:bCs/>
          <w:lang w:val="fr-FR"/>
        </w:rPr>
        <w:t xml:space="preserve">appel nominal pour recueillir les bulletins de vote de chaque délégation, qui se </w:t>
      </w:r>
      <w:r>
        <w:rPr>
          <w:bCs/>
          <w:lang w:val="fr-FR"/>
        </w:rPr>
        <w:t>faisait</w:t>
      </w:r>
      <w:r w:rsidRPr="00812495">
        <w:rPr>
          <w:bCs/>
          <w:lang w:val="fr-FR"/>
        </w:rPr>
        <w:t xml:space="preserve"> dans l</w:t>
      </w:r>
      <w:r w:rsidR="00923E72">
        <w:rPr>
          <w:bCs/>
          <w:lang w:val="fr-FR"/>
        </w:rPr>
        <w:t>’</w:t>
      </w:r>
      <w:r w:rsidRPr="00812495">
        <w:rPr>
          <w:bCs/>
          <w:lang w:val="fr-FR"/>
        </w:rPr>
        <w:t>ordre alphabétique français des États membres du Comité.</w:t>
      </w:r>
    </w:p>
    <w:p w14:paraId="6E296E80" w14:textId="35F5C1C6" w:rsidR="00812495" w:rsidRDefault="00812495" w:rsidP="00434563">
      <w:pPr>
        <w:pStyle w:val="Orateurengris"/>
        <w:numPr>
          <w:ilvl w:val="0"/>
          <w:numId w:val="20"/>
        </w:numPr>
        <w:tabs>
          <w:tab w:val="clear" w:pos="567"/>
          <w:tab w:val="left" w:pos="5954"/>
        </w:tabs>
        <w:spacing w:before="120"/>
        <w:ind w:left="709" w:hanging="709"/>
        <w:rPr>
          <w:bCs/>
          <w:lang w:val="fr-FR"/>
        </w:rPr>
      </w:pPr>
      <w:r w:rsidRPr="000B0B21">
        <w:rPr>
          <w:b/>
          <w:lang w:val="fr-FR"/>
        </w:rPr>
        <w:t>M</w:t>
      </w:r>
      <w:r w:rsidRPr="000B0B21">
        <w:rPr>
          <w:b/>
          <w:vertAlign w:val="superscript"/>
          <w:lang w:val="fr-FR"/>
        </w:rPr>
        <w:t>me</w:t>
      </w:r>
      <w:r w:rsidRPr="000B0B21">
        <w:rPr>
          <w:b/>
          <w:lang w:val="fr-FR"/>
        </w:rPr>
        <w:t> Fumiko Ohinata</w:t>
      </w:r>
      <w:r>
        <w:rPr>
          <w:bCs/>
          <w:lang w:val="fr-FR"/>
        </w:rPr>
        <w:t xml:space="preserve"> </w:t>
      </w:r>
      <w:r w:rsidRPr="00812495">
        <w:rPr>
          <w:bCs/>
          <w:lang w:val="fr-FR"/>
        </w:rPr>
        <w:t>a commencé l</w:t>
      </w:r>
      <w:r w:rsidR="00923E72">
        <w:rPr>
          <w:bCs/>
          <w:lang w:val="fr-FR"/>
        </w:rPr>
        <w:t>’</w:t>
      </w:r>
      <w:r w:rsidRPr="00812495">
        <w:rPr>
          <w:bCs/>
          <w:lang w:val="fr-FR"/>
        </w:rPr>
        <w:t>appel nominal</w:t>
      </w:r>
      <w:r w:rsidR="0095583F">
        <w:rPr>
          <w:bCs/>
          <w:lang w:val="fr-FR"/>
        </w:rPr>
        <w:t> </w:t>
      </w:r>
      <w:r w:rsidRPr="00812495">
        <w:rPr>
          <w:bCs/>
          <w:lang w:val="fr-FR"/>
        </w:rPr>
        <w:t>: l</w:t>
      </w:r>
      <w:r w:rsidR="00923E72">
        <w:rPr>
          <w:bCs/>
          <w:lang w:val="fr-FR"/>
        </w:rPr>
        <w:t>’</w:t>
      </w:r>
      <w:r w:rsidRPr="00812495">
        <w:rPr>
          <w:bCs/>
          <w:lang w:val="fr-FR"/>
        </w:rPr>
        <w:t>Allemagne a voté</w:t>
      </w:r>
      <w:r>
        <w:rPr>
          <w:bCs/>
          <w:lang w:val="fr-FR"/>
        </w:rPr>
        <w:t> </w:t>
      </w:r>
      <w:r w:rsidRPr="00812495">
        <w:rPr>
          <w:bCs/>
          <w:lang w:val="fr-FR"/>
        </w:rPr>
        <w:t>; l</w:t>
      </w:r>
      <w:r w:rsidR="00923E72">
        <w:rPr>
          <w:bCs/>
          <w:lang w:val="fr-FR"/>
        </w:rPr>
        <w:t>’</w:t>
      </w:r>
      <w:r w:rsidRPr="00812495">
        <w:rPr>
          <w:bCs/>
          <w:lang w:val="fr-FR"/>
        </w:rPr>
        <w:t>Angola a voté</w:t>
      </w:r>
      <w:r>
        <w:rPr>
          <w:bCs/>
          <w:lang w:val="fr-FR"/>
        </w:rPr>
        <w:t> ;</w:t>
      </w:r>
      <w:r w:rsidRPr="00812495">
        <w:rPr>
          <w:bCs/>
          <w:lang w:val="fr-FR"/>
        </w:rPr>
        <w:t xml:space="preserve"> l</w:t>
      </w:r>
      <w:r w:rsidR="00923E72">
        <w:rPr>
          <w:bCs/>
          <w:lang w:val="fr-FR"/>
        </w:rPr>
        <w:t>’</w:t>
      </w:r>
      <w:r w:rsidRPr="00812495">
        <w:rPr>
          <w:bCs/>
          <w:lang w:val="fr-FR"/>
        </w:rPr>
        <w:t>Arabie</w:t>
      </w:r>
      <w:r>
        <w:rPr>
          <w:bCs/>
          <w:lang w:val="fr-FR"/>
        </w:rPr>
        <w:t> </w:t>
      </w:r>
      <w:r w:rsidRPr="00812495">
        <w:rPr>
          <w:bCs/>
          <w:lang w:val="fr-FR"/>
        </w:rPr>
        <w:t>saoudite a voté</w:t>
      </w:r>
      <w:r>
        <w:rPr>
          <w:bCs/>
          <w:lang w:val="fr-FR"/>
        </w:rPr>
        <w:t> ;</w:t>
      </w:r>
      <w:r w:rsidRPr="00812495">
        <w:rPr>
          <w:bCs/>
          <w:lang w:val="fr-FR"/>
        </w:rPr>
        <w:t xml:space="preserve"> le Bangladesh a voté</w:t>
      </w:r>
      <w:r>
        <w:rPr>
          <w:bCs/>
          <w:lang w:val="fr-FR"/>
        </w:rPr>
        <w:t> ;</w:t>
      </w:r>
      <w:r w:rsidRPr="00812495">
        <w:rPr>
          <w:bCs/>
          <w:lang w:val="fr-FR"/>
        </w:rPr>
        <w:t xml:space="preserve"> le Botswana a voté</w:t>
      </w:r>
      <w:r>
        <w:rPr>
          <w:bCs/>
          <w:lang w:val="fr-FR"/>
        </w:rPr>
        <w:t> ;</w:t>
      </w:r>
      <w:r w:rsidRPr="00812495">
        <w:rPr>
          <w:bCs/>
          <w:lang w:val="fr-FR"/>
        </w:rPr>
        <w:t xml:space="preserve"> le Brésil a voté</w:t>
      </w:r>
      <w:r>
        <w:rPr>
          <w:bCs/>
          <w:lang w:val="fr-FR"/>
        </w:rPr>
        <w:t> ;</w:t>
      </w:r>
      <w:r w:rsidRPr="00812495">
        <w:rPr>
          <w:bCs/>
          <w:lang w:val="fr-FR"/>
        </w:rPr>
        <w:t xml:space="preserve"> le Burkina</w:t>
      </w:r>
      <w:r>
        <w:rPr>
          <w:bCs/>
          <w:lang w:val="fr-FR"/>
        </w:rPr>
        <w:t> </w:t>
      </w:r>
      <w:r w:rsidRPr="00812495">
        <w:rPr>
          <w:bCs/>
          <w:lang w:val="fr-FR"/>
        </w:rPr>
        <w:t>Faso a voté</w:t>
      </w:r>
      <w:r>
        <w:rPr>
          <w:bCs/>
          <w:lang w:val="fr-FR"/>
        </w:rPr>
        <w:t> ;</w:t>
      </w:r>
      <w:r w:rsidRPr="00812495">
        <w:rPr>
          <w:bCs/>
          <w:lang w:val="fr-FR"/>
        </w:rPr>
        <w:t xml:space="preserve"> la Côte</w:t>
      </w:r>
      <w:r>
        <w:rPr>
          <w:bCs/>
          <w:lang w:val="fr-FR"/>
        </w:rPr>
        <w:t> </w:t>
      </w:r>
      <w:r w:rsidRPr="00812495">
        <w:rPr>
          <w:bCs/>
          <w:lang w:val="fr-FR"/>
        </w:rPr>
        <w:t>d</w:t>
      </w:r>
      <w:r w:rsidR="00923E72">
        <w:rPr>
          <w:bCs/>
          <w:lang w:val="fr-FR"/>
        </w:rPr>
        <w:t>’</w:t>
      </w:r>
      <w:r w:rsidRPr="00812495">
        <w:rPr>
          <w:bCs/>
          <w:lang w:val="fr-FR"/>
        </w:rPr>
        <w:t>Ivoire a voté</w:t>
      </w:r>
      <w:r>
        <w:rPr>
          <w:bCs/>
          <w:lang w:val="fr-FR"/>
        </w:rPr>
        <w:t> ;</w:t>
      </w:r>
      <w:r w:rsidRPr="00812495">
        <w:rPr>
          <w:bCs/>
          <w:lang w:val="fr-FR"/>
        </w:rPr>
        <w:t xml:space="preserve"> l</w:t>
      </w:r>
      <w:r w:rsidR="00923E72">
        <w:rPr>
          <w:bCs/>
          <w:lang w:val="fr-FR"/>
        </w:rPr>
        <w:t>’</w:t>
      </w:r>
      <w:r w:rsidRPr="00812495">
        <w:rPr>
          <w:bCs/>
          <w:lang w:val="fr-FR"/>
        </w:rPr>
        <w:t>Éthiopie a voté</w:t>
      </w:r>
      <w:r>
        <w:rPr>
          <w:bCs/>
          <w:lang w:val="fr-FR"/>
        </w:rPr>
        <w:t> ;</w:t>
      </w:r>
      <w:r w:rsidRPr="00812495">
        <w:rPr>
          <w:bCs/>
          <w:lang w:val="fr-FR"/>
        </w:rPr>
        <w:t xml:space="preserve"> l</w:t>
      </w:r>
      <w:r w:rsidR="00923E72">
        <w:rPr>
          <w:bCs/>
          <w:lang w:val="fr-FR"/>
        </w:rPr>
        <w:t>’</w:t>
      </w:r>
      <w:r w:rsidRPr="00812495">
        <w:rPr>
          <w:bCs/>
          <w:lang w:val="fr-FR"/>
        </w:rPr>
        <w:t>Inde a voté</w:t>
      </w:r>
      <w:r>
        <w:rPr>
          <w:bCs/>
          <w:lang w:val="fr-FR"/>
        </w:rPr>
        <w:t xml:space="preserve"> ; </w:t>
      </w:r>
      <w:r w:rsidRPr="00812495">
        <w:rPr>
          <w:bCs/>
          <w:lang w:val="fr-FR"/>
        </w:rPr>
        <w:t>la Malaisie a voté</w:t>
      </w:r>
      <w:r>
        <w:rPr>
          <w:bCs/>
          <w:lang w:val="fr-FR"/>
        </w:rPr>
        <w:t> ;</w:t>
      </w:r>
      <w:r w:rsidRPr="00812495">
        <w:rPr>
          <w:bCs/>
          <w:lang w:val="fr-FR"/>
        </w:rPr>
        <w:t xml:space="preserve"> le Maroc a voté</w:t>
      </w:r>
      <w:r>
        <w:rPr>
          <w:bCs/>
          <w:lang w:val="fr-FR"/>
        </w:rPr>
        <w:t> ;</w:t>
      </w:r>
      <w:r w:rsidRPr="00812495">
        <w:rPr>
          <w:bCs/>
          <w:lang w:val="fr-FR"/>
        </w:rPr>
        <w:t xml:space="preserve"> la Mauritanie a voté</w:t>
      </w:r>
      <w:r>
        <w:rPr>
          <w:bCs/>
          <w:lang w:val="fr-FR"/>
        </w:rPr>
        <w:t> ;</w:t>
      </w:r>
      <w:r w:rsidRPr="00812495">
        <w:rPr>
          <w:bCs/>
          <w:lang w:val="fr-FR"/>
        </w:rPr>
        <w:t xml:space="preserve"> l</w:t>
      </w:r>
      <w:r w:rsidR="00923E72">
        <w:rPr>
          <w:bCs/>
          <w:lang w:val="fr-FR"/>
        </w:rPr>
        <w:t>’</w:t>
      </w:r>
      <w:r w:rsidRPr="00812495">
        <w:rPr>
          <w:bCs/>
          <w:lang w:val="fr-FR"/>
        </w:rPr>
        <w:t>Ouzbékistan a voté</w:t>
      </w:r>
      <w:r>
        <w:rPr>
          <w:bCs/>
          <w:lang w:val="fr-FR"/>
        </w:rPr>
        <w:t> ;</w:t>
      </w:r>
      <w:r w:rsidRPr="00812495">
        <w:rPr>
          <w:bCs/>
          <w:lang w:val="fr-FR"/>
        </w:rPr>
        <w:t xml:space="preserve"> le Panama a voté</w:t>
      </w:r>
      <w:r>
        <w:rPr>
          <w:bCs/>
          <w:lang w:val="fr-FR"/>
        </w:rPr>
        <w:t> ;</w:t>
      </w:r>
      <w:r w:rsidRPr="00812495">
        <w:rPr>
          <w:bCs/>
          <w:lang w:val="fr-FR"/>
        </w:rPr>
        <w:t xml:space="preserve"> le Paraguay a voté</w:t>
      </w:r>
      <w:r>
        <w:rPr>
          <w:bCs/>
          <w:lang w:val="fr-FR"/>
        </w:rPr>
        <w:t xml:space="preserve"> ; </w:t>
      </w:r>
      <w:r w:rsidRPr="00812495">
        <w:rPr>
          <w:bCs/>
          <w:lang w:val="fr-FR"/>
        </w:rPr>
        <w:t>le Pérou a voté</w:t>
      </w:r>
      <w:r>
        <w:rPr>
          <w:bCs/>
          <w:lang w:val="fr-FR"/>
        </w:rPr>
        <w:t> ;</w:t>
      </w:r>
      <w:r w:rsidRPr="00812495">
        <w:rPr>
          <w:bCs/>
          <w:lang w:val="fr-FR"/>
        </w:rPr>
        <w:t xml:space="preserve"> la</w:t>
      </w:r>
      <w:r w:rsidR="0095583F">
        <w:rPr>
          <w:bCs/>
          <w:lang w:val="fr-FR"/>
        </w:rPr>
        <w:t xml:space="preserve"> </w:t>
      </w:r>
      <w:r w:rsidRPr="00812495">
        <w:rPr>
          <w:bCs/>
          <w:lang w:val="fr-FR"/>
        </w:rPr>
        <w:t>République de Corée a voté</w:t>
      </w:r>
      <w:r>
        <w:rPr>
          <w:bCs/>
          <w:lang w:val="fr-FR"/>
        </w:rPr>
        <w:t> ;</w:t>
      </w:r>
      <w:r w:rsidRPr="00812495">
        <w:rPr>
          <w:bCs/>
          <w:lang w:val="fr-FR"/>
        </w:rPr>
        <w:t xml:space="preserve"> le Rwanda a voté</w:t>
      </w:r>
      <w:r>
        <w:rPr>
          <w:bCs/>
          <w:lang w:val="fr-FR"/>
        </w:rPr>
        <w:t> ;</w:t>
      </w:r>
      <w:r w:rsidRPr="00812495">
        <w:rPr>
          <w:bCs/>
          <w:lang w:val="fr-FR"/>
        </w:rPr>
        <w:t xml:space="preserve"> la Slovaquie a voté</w:t>
      </w:r>
      <w:r>
        <w:rPr>
          <w:bCs/>
          <w:lang w:val="fr-FR"/>
        </w:rPr>
        <w:t> ;</w:t>
      </w:r>
      <w:r w:rsidRPr="00812495">
        <w:rPr>
          <w:bCs/>
          <w:lang w:val="fr-FR"/>
        </w:rPr>
        <w:t xml:space="preserve"> la Suède a voté</w:t>
      </w:r>
      <w:r>
        <w:rPr>
          <w:bCs/>
          <w:lang w:val="fr-FR"/>
        </w:rPr>
        <w:t> ;</w:t>
      </w:r>
      <w:r w:rsidRPr="00812495">
        <w:rPr>
          <w:bCs/>
          <w:lang w:val="fr-FR"/>
        </w:rPr>
        <w:t xml:space="preserve"> la Suisse a voté</w:t>
      </w:r>
      <w:r>
        <w:rPr>
          <w:bCs/>
          <w:lang w:val="fr-FR"/>
        </w:rPr>
        <w:t> ;</w:t>
      </w:r>
      <w:r w:rsidRPr="00812495">
        <w:rPr>
          <w:bCs/>
          <w:lang w:val="fr-FR"/>
        </w:rPr>
        <w:t xml:space="preserve"> la Tchéquie a voté</w:t>
      </w:r>
      <w:r>
        <w:rPr>
          <w:bCs/>
          <w:lang w:val="fr-FR"/>
        </w:rPr>
        <w:t> ;</w:t>
      </w:r>
      <w:r w:rsidR="0095583F">
        <w:rPr>
          <w:bCs/>
          <w:lang w:val="fr-FR"/>
        </w:rPr>
        <w:t xml:space="preserve"> </w:t>
      </w:r>
      <w:r>
        <w:rPr>
          <w:bCs/>
          <w:lang w:val="fr-FR"/>
        </w:rPr>
        <w:t>et</w:t>
      </w:r>
      <w:r w:rsidRPr="00812495">
        <w:rPr>
          <w:bCs/>
          <w:lang w:val="fr-FR"/>
        </w:rPr>
        <w:t xml:space="preserve"> le Viêt</w:t>
      </w:r>
      <w:r>
        <w:rPr>
          <w:bCs/>
          <w:lang w:val="fr-FR"/>
        </w:rPr>
        <w:t> </w:t>
      </w:r>
      <w:r w:rsidRPr="00812495">
        <w:rPr>
          <w:bCs/>
          <w:lang w:val="fr-FR"/>
        </w:rPr>
        <w:t>Nam a voté. Les vingt</w:t>
      </w:r>
      <w:r w:rsidR="0095583F">
        <w:rPr>
          <w:bCs/>
          <w:lang w:val="fr-FR"/>
        </w:rPr>
        <w:noBreakHyphen/>
      </w:r>
      <w:r w:rsidRPr="00812495">
        <w:rPr>
          <w:bCs/>
          <w:lang w:val="fr-FR"/>
        </w:rPr>
        <w:t xml:space="preserve">quatre membres du Comité </w:t>
      </w:r>
      <w:r w:rsidR="0095583F">
        <w:rPr>
          <w:bCs/>
          <w:lang w:val="fr-FR"/>
        </w:rPr>
        <w:t xml:space="preserve">ont </w:t>
      </w:r>
      <w:r w:rsidRPr="00812495">
        <w:rPr>
          <w:bCs/>
          <w:lang w:val="fr-FR"/>
        </w:rPr>
        <w:t>tous voté.</w:t>
      </w:r>
    </w:p>
    <w:p w14:paraId="78E2007C" w14:textId="259706AB" w:rsidR="00FB6D00" w:rsidRDefault="00FB6D00" w:rsidP="00434563">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constaté que toutes les enveloppes avaient été récupérées. Le point</w:t>
      </w:r>
      <w:r w:rsidR="0095583F">
        <w:rPr>
          <w:bCs/>
          <w:lang w:val="fr-FR"/>
        </w:rPr>
        <w:t> </w:t>
      </w:r>
      <w:r>
        <w:rPr>
          <w:bCs/>
          <w:lang w:val="fr-FR"/>
        </w:rPr>
        <w:t>14 a été suspendu le temps du dépouillement du vote.</w:t>
      </w:r>
    </w:p>
    <w:p w14:paraId="69221B1B" w14:textId="3017A578" w:rsidR="00FB6D00" w:rsidRPr="00FB6D00" w:rsidRDefault="00FB6D00" w:rsidP="00702497">
      <w:pPr>
        <w:pStyle w:val="Marge"/>
        <w:keepNext/>
        <w:tabs>
          <w:tab w:val="clear" w:pos="567"/>
          <w:tab w:val="left" w:pos="709"/>
          <w:tab w:val="left" w:pos="1418"/>
          <w:tab w:val="left" w:pos="2126"/>
          <w:tab w:val="left" w:pos="2835"/>
        </w:tabs>
        <w:spacing w:before="360" w:after="60"/>
        <w:outlineLvl w:val="0"/>
        <w:rPr>
          <w:b/>
          <w:color w:val="000000" w:themeColor="text1"/>
          <w:u w:val="single"/>
        </w:rPr>
      </w:pPr>
      <w:r>
        <w:rPr>
          <w:b/>
          <w:color w:val="000000" w:themeColor="text1"/>
          <w:u w:val="single"/>
        </w:rPr>
        <w:t>POINT</w:t>
      </w:r>
      <w:r w:rsidR="0073323E">
        <w:rPr>
          <w:b/>
          <w:color w:val="000000" w:themeColor="text1"/>
          <w:u w:val="single"/>
        </w:rPr>
        <w:t> </w:t>
      </w:r>
      <w:r>
        <w:rPr>
          <w:b/>
          <w:color w:val="000000" w:themeColor="text1"/>
          <w:u w:val="single"/>
        </w:rPr>
        <w:t>13 DE L</w:t>
      </w:r>
      <w:r w:rsidR="00923E72">
        <w:rPr>
          <w:b/>
          <w:color w:val="000000" w:themeColor="text1"/>
          <w:u w:val="single"/>
        </w:rPr>
        <w:t>’</w:t>
      </w:r>
      <w:r w:rsidRPr="00FB6D00">
        <w:rPr>
          <w:b/>
          <w:color w:val="000000" w:themeColor="text1"/>
          <w:u w:val="single"/>
        </w:rPr>
        <w:t>ORDRE DU JOUR</w:t>
      </w:r>
      <w:r>
        <w:rPr>
          <w:b/>
          <w:color w:val="000000" w:themeColor="text1"/>
          <w:u w:val="single"/>
        </w:rPr>
        <w:t> </w:t>
      </w:r>
      <w:r>
        <w:rPr>
          <w:b/>
          <w:color w:val="000000" w:themeColor="text1"/>
        </w:rPr>
        <w:t>:</w:t>
      </w:r>
    </w:p>
    <w:p w14:paraId="5C76DA1C" w14:textId="60988A87" w:rsidR="00FB6D00" w:rsidRPr="00FB6D00" w:rsidRDefault="00FB6D00"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FB6D00">
        <w:rPr>
          <w:rFonts w:eastAsiaTheme="minorHAnsi"/>
          <w:b/>
          <w:color w:val="000000" w:themeColor="text1"/>
        </w:rPr>
        <w:t>INITIATIV</w:t>
      </w:r>
      <w:r>
        <w:rPr>
          <w:rFonts w:eastAsiaTheme="minorHAnsi"/>
          <w:b/>
          <w:color w:val="000000" w:themeColor="text1"/>
        </w:rPr>
        <w:t xml:space="preserve">ES THÉMATIQUES SUR LE </w:t>
      </w:r>
      <w:r w:rsidRPr="00FB6D00">
        <w:rPr>
          <w:rFonts w:eastAsiaTheme="minorHAnsi"/>
          <w:b/>
          <w:color w:val="000000" w:themeColor="text1"/>
        </w:rPr>
        <w:t>PATRIMOINE</w:t>
      </w:r>
      <w:r>
        <w:rPr>
          <w:rFonts w:eastAsiaTheme="minorHAnsi"/>
          <w:b/>
          <w:color w:val="000000" w:themeColor="text1"/>
        </w:rPr>
        <w:t xml:space="preserve"> VIVANT ET LE </w:t>
      </w:r>
      <w:r w:rsidRPr="00FB6D00">
        <w:rPr>
          <w:rFonts w:eastAsiaTheme="minorHAnsi"/>
          <w:b/>
          <w:color w:val="000000" w:themeColor="text1"/>
        </w:rPr>
        <w:t>DÉVELOPPEMENT</w:t>
      </w:r>
      <w:r>
        <w:rPr>
          <w:rFonts w:eastAsiaTheme="minorHAnsi"/>
          <w:b/>
          <w:color w:val="000000" w:themeColor="text1"/>
        </w:rPr>
        <w:t xml:space="preserve"> DURABLE</w:t>
      </w:r>
    </w:p>
    <w:p w14:paraId="569A5550" w14:textId="7D765ABA" w:rsidR="00FB6D00" w:rsidRPr="00FB6D00" w:rsidRDefault="00FB6D00" w:rsidP="00702497">
      <w:pPr>
        <w:pStyle w:val="Orateurengris"/>
        <w:keepNext/>
        <w:tabs>
          <w:tab w:val="clear" w:pos="709"/>
          <w:tab w:val="clear" w:pos="1418"/>
          <w:tab w:val="clear" w:pos="2126"/>
          <w:tab w:val="clear" w:pos="2835"/>
        </w:tabs>
        <w:spacing w:after="0"/>
        <w:ind w:firstLine="709"/>
        <w:rPr>
          <w:lang w:val="fr-FR"/>
        </w:rPr>
      </w:pPr>
      <w:r w:rsidRPr="00FB6D00">
        <w:rPr>
          <w:b/>
          <w:color w:val="000000" w:themeColor="text1"/>
          <w:lang w:val="fr-FR"/>
        </w:rPr>
        <w:t>Document</w:t>
      </w:r>
      <w:r>
        <w:rPr>
          <w:b/>
          <w:color w:val="000000" w:themeColor="text1"/>
          <w:lang w:val="fr-FR"/>
        </w:rPr>
        <w:t> </w:t>
      </w:r>
      <w:r w:rsidRPr="00FB6D00">
        <w:rPr>
          <w:b/>
          <w:color w:val="000000" w:themeColor="text1"/>
          <w:lang w:val="fr-FR"/>
        </w:rPr>
        <w:t>:</w:t>
      </w:r>
      <w:r w:rsidRPr="00FB6D00">
        <w:rPr>
          <w:b/>
          <w:iCs/>
          <w:color w:val="000000" w:themeColor="text1"/>
          <w:lang w:val="fr-FR"/>
        </w:rPr>
        <w:tab/>
      </w:r>
      <w:hyperlink r:id="rId112" w:history="1">
        <w:r w:rsidRPr="00FB6D00">
          <w:rPr>
            <w:rStyle w:val="Hyperlink"/>
            <w:i/>
            <w:lang w:val="fr-FR"/>
          </w:rPr>
          <w:t>LHE/22/17.COM/13</w:t>
        </w:r>
      </w:hyperlink>
    </w:p>
    <w:p w14:paraId="79C7C28A" w14:textId="0F71FAA9" w:rsidR="00FB6D00" w:rsidRPr="00FB6D00" w:rsidRDefault="00FB6D00" w:rsidP="00702497">
      <w:pPr>
        <w:pStyle w:val="Orateurengris"/>
        <w:keepNext/>
        <w:tabs>
          <w:tab w:val="clear" w:pos="709"/>
          <w:tab w:val="clear" w:pos="1418"/>
          <w:tab w:val="clear" w:pos="2126"/>
          <w:tab w:val="clear" w:pos="2835"/>
        </w:tabs>
        <w:spacing w:before="60" w:after="240"/>
        <w:ind w:left="567" w:firstLine="142"/>
        <w:rPr>
          <w:i/>
          <w:lang w:val="fr-FR"/>
        </w:rPr>
      </w:pPr>
      <w:r w:rsidRPr="00FB6D00">
        <w:rPr>
          <w:b/>
          <w:color w:val="000000" w:themeColor="text1"/>
          <w:lang w:val="fr-FR"/>
        </w:rPr>
        <w:t>D</w:t>
      </w:r>
      <w:r>
        <w:rPr>
          <w:b/>
          <w:color w:val="000000" w:themeColor="text1"/>
          <w:lang w:val="fr-FR"/>
        </w:rPr>
        <w:t>é</w:t>
      </w:r>
      <w:r w:rsidRPr="00FB6D00">
        <w:rPr>
          <w:b/>
          <w:color w:val="000000" w:themeColor="text1"/>
          <w:lang w:val="fr-FR"/>
        </w:rPr>
        <w:t>cision</w:t>
      </w:r>
      <w:r>
        <w:rPr>
          <w:b/>
          <w:color w:val="000000" w:themeColor="text1"/>
          <w:lang w:val="fr-FR"/>
        </w:rPr>
        <w:t> </w:t>
      </w:r>
      <w:r w:rsidRPr="00FB6D00">
        <w:rPr>
          <w:b/>
          <w:color w:val="000000" w:themeColor="text1"/>
          <w:lang w:val="fr-FR"/>
        </w:rPr>
        <w:t>:</w:t>
      </w:r>
      <w:r w:rsidRPr="00FB6D00">
        <w:rPr>
          <w:bCs/>
          <w:color w:val="000000" w:themeColor="text1"/>
          <w:lang w:val="fr-FR"/>
        </w:rPr>
        <w:tab/>
      </w:r>
      <w:hyperlink r:id="rId113" w:history="1">
        <w:r w:rsidRPr="00FB6D00">
          <w:rPr>
            <w:rStyle w:val="Hyperlink"/>
            <w:i/>
            <w:lang w:val="fr-FR"/>
          </w:rPr>
          <w:t>17.COM 13</w:t>
        </w:r>
      </w:hyperlink>
    </w:p>
    <w:p w14:paraId="4F745074" w14:textId="1633AC96" w:rsidR="00FB6D00" w:rsidRDefault="00FB6D00" w:rsidP="00434563">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point</w:t>
      </w:r>
      <w:r w:rsidR="0073323E">
        <w:rPr>
          <w:bCs/>
          <w:lang w:val="fr-FR"/>
        </w:rPr>
        <w:t> </w:t>
      </w:r>
      <w:r>
        <w:rPr>
          <w:bCs/>
          <w:lang w:val="fr-FR"/>
        </w:rPr>
        <w:t>13 de l</w:t>
      </w:r>
      <w:r w:rsidR="00923E72">
        <w:rPr>
          <w:bCs/>
          <w:lang w:val="fr-FR"/>
        </w:rPr>
        <w:t>’</w:t>
      </w:r>
      <w:r w:rsidRPr="00FB6D00">
        <w:rPr>
          <w:bCs/>
          <w:lang w:val="fr-FR"/>
        </w:rPr>
        <w:t>ordre du jour</w:t>
      </w:r>
      <w:r>
        <w:rPr>
          <w:bCs/>
          <w:lang w:val="fr-FR"/>
        </w:rPr>
        <w:t xml:space="preserve">, les </w:t>
      </w:r>
      <w:r w:rsidRPr="00FB6D00">
        <w:rPr>
          <w:bCs/>
          <w:lang w:val="fr-FR"/>
        </w:rPr>
        <w:t>initiativ</w:t>
      </w:r>
      <w:r>
        <w:rPr>
          <w:bCs/>
          <w:lang w:val="fr-FR"/>
        </w:rPr>
        <w:t xml:space="preserve">es thématiques sur le </w:t>
      </w:r>
      <w:r w:rsidRPr="00FB6D00">
        <w:rPr>
          <w:bCs/>
          <w:lang w:val="fr-FR"/>
        </w:rPr>
        <w:t>patrimoine</w:t>
      </w:r>
      <w:r>
        <w:rPr>
          <w:bCs/>
          <w:lang w:val="fr-FR"/>
        </w:rPr>
        <w:t xml:space="preserve"> vivant et le développement durable.</w:t>
      </w:r>
    </w:p>
    <w:p w14:paraId="128A7ED5" w14:textId="12CB275F" w:rsidR="00FB6D00" w:rsidRPr="00702497" w:rsidRDefault="00AD5CAC" w:rsidP="004666EF">
      <w:pPr>
        <w:pStyle w:val="Orateurengris"/>
        <w:numPr>
          <w:ilvl w:val="0"/>
          <w:numId w:val="20"/>
        </w:numPr>
        <w:tabs>
          <w:tab w:val="clear" w:pos="567"/>
          <w:tab w:val="left" w:pos="5954"/>
        </w:tabs>
        <w:spacing w:before="120"/>
        <w:ind w:left="709" w:hanging="709"/>
        <w:rPr>
          <w:bCs/>
          <w:lang w:val="fr-FR"/>
        </w:rPr>
      </w:pPr>
      <w:r w:rsidRPr="0019736E">
        <w:rPr>
          <w:bCs/>
          <w:lang w:val="fr-FR"/>
        </w:rPr>
        <w:t xml:space="preserve">Le </w:t>
      </w:r>
      <w:r w:rsidRPr="00702497">
        <w:rPr>
          <w:b/>
          <w:lang w:val="fr-FR"/>
        </w:rPr>
        <w:t>Secrétaire</w:t>
      </w:r>
      <w:r w:rsidRPr="0019736E">
        <w:rPr>
          <w:bCs/>
          <w:lang w:val="fr-FR"/>
        </w:rPr>
        <w:t xml:space="preserve"> a rappelé que depuis</w:t>
      </w:r>
      <w:r w:rsidR="0095583F">
        <w:rPr>
          <w:bCs/>
          <w:lang w:val="fr-FR"/>
        </w:rPr>
        <w:t> </w:t>
      </w:r>
      <w:r w:rsidRPr="0019736E">
        <w:rPr>
          <w:bCs/>
          <w:lang w:val="fr-FR"/>
        </w:rPr>
        <w:t xml:space="preserve">2021, le Secrétariat entreprenait des efforts dans des domaines thématiques spécifiques pour contribuer à une approche holistique de la sauvegarde du patrimoine vivant et du développement durable, conformément au chapitre VI des Directives opérationnelles. Les efforts initiaux portaient principalement </w:t>
      </w:r>
      <w:r w:rsidR="001B5074">
        <w:rPr>
          <w:bCs/>
          <w:lang w:val="fr-FR"/>
        </w:rPr>
        <w:t xml:space="preserve">sur </w:t>
      </w:r>
      <w:r w:rsidRPr="0019736E">
        <w:rPr>
          <w:bCs/>
          <w:lang w:val="fr-FR"/>
        </w:rPr>
        <w:t xml:space="preserve">trois domaines spécifiques. </w:t>
      </w:r>
      <w:r w:rsidR="001B5074">
        <w:rPr>
          <w:bCs/>
          <w:lang w:val="fr-FR"/>
        </w:rPr>
        <w:t xml:space="preserve">Ceux-ci correspondaient </w:t>
      </w:r>
      <w:r w:rsidRPr="0019736E">
        <w:rPr>
          <w:bCs/>
          <w:lang w:val="fr-FR"/>
        </w:rPr>
        <w:t>à la fois aux débats qui avaient lieu au sein du Comité</w:t>
      </w:r>
      <w:r w:rsidR="001B5074">
        <w:rPr>
          <w:bCs/>
          <w:lang w:val="fr-FR"/>
        </w:rPr>
        <w:t xml:space="preserve"> et </w:t>
      </w:r>
      <w:r w:rsidRPr="0019736E">
        <w:rPr>
          <w:bCs/>
          <w:lang w:val="fr-FR"/>
        </w:rPr>
        <w:t>à certaines des priorités générales de l</w:t>
      </w:r>
      <w:r w:rsidR="00923E72">
        <w:rPr>
          <w:bCs/>
          <w:lang w:val="fr-FR"/>
        </w:rPr>
        <w:t>’</w:t>
      </w:r>
      <w:r w:rsidRPr="0019736E">
        <w:rPr>
          <w:bCs/>
          <w:lang w:val="fr-FR"/>
        </w:rPr>
        <w:t xml:space="preserve">UNESCO et du Secteur de la culture. Concernant les </w:t>
      </w:r>
      <w:r w:rsidRPr="00702497">
        <w:rPr>
          <w:bCs/>
          <w:u w:val="single"/>
          <w:lang w:val="fr-FR"/>
        </w:rPr>
        <w:t>dimensions économiques de la sauvegarde du patrimoine culturel immatériel</w:t>
      </w:r>
      <w:r w:rsidRPr="0019736E">
        <w:rPr>
          <w:bCs/>
          <w:lang w:val="fr-FR"/>
        </w:rPr>
        <w:t xml:space="preserve">, cette initiative thématique avait été lancée suite à la </w:t>
      </w:r>
      <w:r w:rsidRPr="005801C3">
        <w:rPr>
          <w:bCs/>
          <w:lang w:val="fr-FR"/>
        </w:rPr>
        <w:t>décision </w:t>
      </w:r>
      <w:hyperlink r:id="rId114" w:history="1">
        <w:r w:rsidR="00FA6B02" w:rsidRPr="005801C3">
          <w:rPr>
            <w:rStyle w:val="Hyperlink"/>
            <w:bCs/>
            <w:lang w:val="fr-FR"/>
          </w:rPr>
          <w:t>14.COM</w:t>
        </w:r>
        <w:r w:rsidR="00FA6B02" w:rsidRPr="00702497">
          <w:rPr>
            <w:rStyle w:val="Hyperlink"/>
            <w:bCs/>
            <w:lang w:val="fr-FR"/>
          </w:rPr>
          <w:t> </w:t>
        </w:r>
        <w:r w:rsidR="00FA6B02" w:rsidRPr="005801C3">
          <w:rPr>
            <w:rStyle w:val="Hyperlink"/>
            <w:bCs/>
            <w:lang w:val="fr-FR"/>
          </w:rPr>
          <w:t>10</w:t>
        </w:r>
      </w:hyperlink>
      <w:r w:rsidR="003945E3">
        <w:rPr>
          <w:bCs/>
          <w:lang w:val="fr-FR"/>
        </w:rPr>
        <w:t xml:space="preserve"> </w:t>
      </w:r>
      <w:r w:rsidRPr="0019736E">
        <w:rPr>
          <w:bCs/>
          <w:lang w:val="fr-FR"/>
        </w:rPr>
        <w:t>prise par le Comité en</w:t>
      </w:r>
      <w:r w:rsidR="00AF6B98">
        <w:rPr>
          <w:bCs/>
          <w:lang w:val="fr-FR"/>
        </w:rPr>
        <w:t> </w:t>
      </w:r>
      <w:r w:rsidRPr="0019736E">
        <w:rPr>
          <w:bCs/>
          <w:lang w:val="fr-FR"/>
        </w:rPr>
        <w:t>2019</w:t>
      </w:r>
      <w:r w:rsidR="00720BA6">
        <w:rPr>
          <w:bCs/>
          <w:lang w:val="fr-FR"/>
        </w:rPr>
        <w:t>,</w:t>
      </w:r>
      <w:r w:rsidRPr="0019736E">
        <w:rPr>
          <w:bCs/>
          <w:lang w:val="fr-FR"/>
        </w:rPr>
        <w:t xml:space="preserve"> qui</w:t>
      </w:r>
      <w:r w:rsidR="003945E3">
        <w:rPr>
          <w:bCs/>
          <w:lang w:val="fr-FR"/>
        </w:rPr>
        <w:t xml:space="preserve">, au </w:t>
      </w:r>
      <w:r w:rsidR="003945E3" w:rsidRPr="003945E3">
        <w:rPr>
          <w:bCs/>
          <w:lang w:val="fr-FR"/>
        </w:rPr>
        <w:t>paragraphe</w:t>
      </w:r>
      <w:r w:rsidR="003945E3">
        <w:rPr>
          <w:bCs/>
          <w:lang w:val="fr-FR"/>
        </w:rPr>
        <w:t xml:space="preserve"> 14, </w:t>
      </w:r>
      <w:r w:rsidRPr="0019736E">
        <w:rPr>
          <w:bCs/>
          <w:lang w:val="fr-FR"/>
        </w:rPr>
        <w:t>demandait au Secrétariat « de publier les recommandations de l</w:t>
      </w:r>
      <w:r w:rsidR="00923E72">
        <w:rPr>
          <w:bCs/>
          <w:lang w:val="fr-FR"/>
        </w:rPr>
        <w:t>’</w:t>
      </w:r>
      <w:r w:rsidRPr="0019736E">
        <w:rPr>
          <w:bCs/>
          <w:lang w:val="fr-FR"/>
        </w:rPr>
        <w:t>Organe d</w:t>
      </w:r>
      <w:r w:rsidR="00923E72">
        <w:rPr>
          <w:bCs/>
          <w:lang w:val="fr-FR"/>
        </w:rPr>
        <w:t>’</w:t>
      </w:r>
      <w:r w:rsidRPr="0019736E">
        <w:rPr>
          <w:bCs/>
          <w:lang w:val="fr-FR"/>
        </w:rPr>
        <w:t xml:space="preserve">évaluation sur les mesures de sauvegarde et les bonnes pratiques qui </w:t>
      </w:r>
      <w:r w:rsidR="00FA6B02" w:rsidRPr="0019736E">
        <w:rPr>
          <w:bCs/>
          <w:lang w:val="fr-FR"/>
        </w:rPr>
        <w:t>traitent d</w:t>
      </w:r>
      <w:r w:rsidRPr="0019736E">
        <w:rPr>
          <w:bCs/>
          <w:lang w:val="fr-FR"/>
        </w:rPr>
        <w:t>u risque de décontextualisation et de commercialisation excessive des éléments</w:t>
      </w:r>
      <w:r w:rsidR="0019736E">
        <w:rPr>
          <w:bCs/>
          <w:lang w:val="fr-FR"/>
        </w:rPr>
        <w:t>,</w:t>
      </w:r>
      <w:r w:rsidRPr="0019736E">
        <w:rPr>
          <w:bCs/>
          <w:lang w:val="fr-FR"/>
        </w:rPr>
        <w:t xml:space="preserve"> dans une note d</w:t>
      </w:r>
      <w:r w:rsidR="00923E72">
        <w:rPr>
          <w:bCs/>
          <w:lang w:val="fr-FR"/>
        </w:rPr>
        <w:t>’</w:t>
      </w:r>
      <w:r w:rsidRPr="0019736E">
        <w:rPr>
          <w:bCs/>
          <w:lang w:val="fr-FR"/>
        </w:rPr>
        <w:t xml:space="preserve">orientation </w:t>
      </w:r>
      <w:r w:rsidR="0019736E">
        <w:rPr>
          <w:bCs/>
          <w:lang w:val="fr-FR"/>
        </w:rPr>
        <w:t xml:space="preserve">pour les </w:t>
      </w:r>
      <w:r w:rsidRPr="0019736E">
        <w:rPr>
          <w:bCs/>
          <w:lang w:val="fr-FR"/>
        </w:rPr>
        <w:t xml:space="preserve">communautés et </w:t>
      </w:r>
      <w:r w:rsidR="0019736E">
        <w:rPr>
          <w:bCs/>
          <w:lang w:val="fr-FR"/>
        </w:rPr>
        <w:t>l</w:t>
      </w:r>
      <w:r w:rsidRPr="0019736E">
        <w:rPr>
          <w:bCs/>
          <w:lang w:val="fr-FR"/>
        </w:rPr>
        <w:t>es États parties</w:t>
      </w:r>
      <w:r w:rsidR="00DF4C6A" w:rsidRPr="0019736E">
        <w:rPr>
          <w:bCs/>
          <w:lang w:val="fr-FR"/>
        </w:rPr>
        <w:t> ».</w:t>
      </w:r>
      <w:r w:rsidRPr="0019736E">
        <w:rPr>
          <w:bCs/>
          <w:lang w:val="fr-FR"/>
        </w:rPr>
        <w:t xml:space="preserve"> Le Secrétariat avait d</w:t>
      </w:r>
      <w:r w:rsidR="00923E72">
        <w:rPr>
          <w:bCs/>
          <w:lang w:val="fr-FR"/>
        </w:rPr>
        <w:t>’</w:t>
      </w:r>
      <w:r w:rsidRPr="0019736E">
        <w:rPr>
          <w:bCs/>
          <w:lang w:val="fr-FR"/>
        </w:rPr>
        <w:t>abord procédé à une compilation des décisions antérieures des organes directeurs de la Convention</w:t>
      </w:r>
      <w:r w:rsidR="0019736E">
        <w:rPr>
          <w:bCs/>
          <w:lang w:val="fr-FR"/>
        </w:rPr>
        <w:t xml:space="preserve"> et </w:t>
      </w:r>
      <w:r w:rsidRPr="0019736E">
        <w:rPr>
          <w:bCs/>
          <w:lang w:val="fr-FR"/>
        </w:rPr>
        <w:t>des recommandations des Organes d</w:t>
      </w:r>
      <w:r w:rsidR="00923E72">
        <w:rPr>
          <w:bCs/>
          <w:lang w:val="fr-FR"/>
        </w:rPr>
        <w:t>’</w:t>
      </w:r>
      <w:r w:rsidRPr="0019736E">
        <w:rPr>
          <w:bCs/>
          <w:lang w:val="fr-FR"/>
        </w:rPr>
        <w:t>évaluation, à un examen de la littérature existante et à l</w:t>
      </w:r>
      <w:r w:rsidR="00923E72">
        <w:rPr>
          <w:bCs/>
          <w:lang w:val="fr-FR"/>
        </w:rPr>
        <w:t>’</w:t>
      </w:r>
      <w:r w:rsidRPr="0019736E">
        <w:rPr>
          <w:bCs/>
          <w:lang w:val="fr-FR"/>
        </w:rPr>
        <w:t>élaboration d</w:t>
      </w:r>
      <w:r w:rsidR="00923E72">
        <w:rPr>
          <w:bCs/>
          <w:lang w:val="fr-FR"/>
        </w:rPr>
        <w:t>’</w:t>
      </w:r>
      <w:r w:rsidRPr="0019736E">
        <w:rPr>
          <w:bCs/>
          <w:lang w:val="fr-FR"/>
        </w:rPr>
        <w:t>une première série d</w:t>
      </w:r>
      <w:r w:rsidR="00923E72">
        <w:rPr>
          <w:bCs/>
          <w:lang w:val="fr-FR"/>
        </w:rPr>
        <w:t>’</w:t>
      </w:r>
      <w:r w:rsidRPr="0019736E">
        <w:rPr>
          <w:bCs/>
          <w:lang w:val="fr-FR"/>
        </w:rPr>
        <w:t xml:space="preserve">études de cas provenant de différentes régions du monde afin de mettre en évidence la contribution du patrimoine vivant aux moyens de subsistance durables. Suite à cette première étape, une enquête au niveau mondial avait été </w:t>
      </w:r>
      <w:r w:rsidR="0019736E">
        <w:rPr>
          <w:bCs/>
          <w:lang w:val="fr-FR"/>
        </w:rPr>
        <w:t xml:space="preserve">adressée </w:t>
      </w:r>
      <w:r w:rsidRPr="0019736E">
        <w:rPr>
          <w:bCs/>
          <w:lang w:val="fr-FR"/>
        </w:rPr>
        <w:t>en octobre</w:t>
      </w:r>
      <w:r w:rsidR="001D0B52">
        <w:rPr>
          <w:bCs/>
          <w:lang w:val="fr-FR"/>
        </w:rPr>
        <w:t> </w:t>
      </w:r>
      <w:r w:rsidRPr="0019736E">
        <w:rPr>
          <w:bCs/>
          <w:lang w:val="fr-FR"/>
        </w:rPr>
        <w:t>2022 à plus de</w:t>
      </w:r>
      <w:r w:rsidR="001D0B52">
        <w:rPr>
          <w:bCs/>
          <w:lang w:val="fr-FR"/>
        </w:rPr>
        <w:t> </w:t>
      </w:r>
      <w:r w:rsidRPr="0019736E">
        <w:rPr>
          <w:bCs/>
          <w:lang w:val="fr-FR"/>
        </w:rPr>
        <w:t>1</w:t>
      </w:r>
      <w:r w:rsidR="0019736E">
        <w:rPr>
          <w:bCs/>
          <w:lang w:val="fr-FR"/>
        </w:rPr>
        <w:t> </w:t>
      </w:r>
      <w:r w:rsidRPr="0019736E">
        <w:rPr>
          <w:bCs/>
          <w:lang w:val="fr-FR"/>
        </w:rPr>
        <w:t xml:space="preserve">000 parties prenantes </w:t>
      </w:r>
      <w:r w:rsidR="001D0B52">
        <w:rPr>
          <w:bCs/>
          <w:lang w:val="fr-FR"/>
        </w:rPr>
        <w:t>à</w:t>
      </w:r>
      <w:r w:rsidRPr="0019736E">
        <w:rPr>
          <w:bCs/>
          <w:lang w:val="fr-FR"/>
        </w:rPr>
        <w:t xml:space="preserve"> la Convention, y compris les autorités nationales, les ONG accréditées, les centres de catégorie</w:t>
      </w:r>
      <w:r w:rsidR="001D0B52">
        <w:rPr>
          <w:bCs/>
          <w:lang w:val="fr-FR"/>
        </w:rPr>
        <w:t> </w:t>
      </w:r>
      <w:r w:rsidRPr="0019736E">
        <w:rPr>
          <w:bCs/>
          <w:lang w:val="fr-FR"/>
        </w:rPr>
        <w:t>2</w:t>
      </w:r>
      <w:r w:rsidR="00A3101E">
        <w:rPr>
          <w:bCs/>
          <w:lang w:val="fr-FR"/>
        </w:rPr>
        <w:t xml:space="preserve"> </w:t>
      </w:r>
      <w:r w:rsidRPr="0019736E">
        <w:rPr>
          <w:bCs/>
          <w:lang w:val="fr-FR"/>
        </w:rPr>
        <w:t xml:space="preserve">ainsi que les </w:t>
      </w:r>
      <w:r w:rsidR="0019736E">
        <w:rPr>
          <w:bCs/>
          <w:lang w:val="fr-FR"/>
        </w:rPr>
        <w:t xml:space="preserve">personnes à </w:t>
      </w:r>
      <w:r w:rsidRPr="0019736E">
        <w:rPr>
          <w:bCs/>
          <w:lang w:val="fr-FR"/>
        </w:rPr>
        <w:t>contact</w:t>
      </w:r>
      <w:r w:rsidR="0019736E">
        <w:rPr>
          <w:bCs/>
          <w:lang w:val="fr-FR"/>
        </w:rPr>
        <w:t>er</w:t>
      </w:r>
      <w:r w:rsidRPr="0019736E">
        <w:rPr>
          <w:bCs/>
          <w:lang w:val="fr-FR"/>
        </w:rPr>
        <w:t xml:space="preserve"> pour tous les éléments inscrits sur les listes de la Convention. Le Secrétaire a eu le plaisir d</w:t>
      </w:r>
      <w:r w:rsidR="00923E72">
        <w:rPr>
          <w:bCs/>
          <w:lang w:val="fr-FR"/>
        </w:rPr>
        <w:t>’</w:t>
      </w:r>
      <w:r w:rsidRPr="0019736E">
        <w:rPr>
          <w:bCs/>
          <w:lang w:val="fr-FR"/>
        </w:rPr>
        <w:t>annoncer qu</w:t>
      </w:r>
      <w:r w:rsidR="00923E72">
        <w:rPr>
          <w:bCs/>
          <w:lang w:val="fr-FR"/>
        </w:rPr>
        <w:t>’</w:t>
      </w:r>
      <w:r w:rsidRPr="0019736E">
        <w:rPr>
          <w:bCs/>
          <w:lang w:val="fr-FR"/>
        </w:rPr>
        <w:t>il avait reçu</w:t>
      </w:r>
      <w:r w:rsidR="00AA748F">
        <w:rPr>
          <w:bCs/>
          <w:lang w:val="fr-FR"/>
        </w:rPr>
        <w:t> </w:t>
      </w:r>
      <w:r w:rsidRPr="0019736E">
        <w:rPr>
          <w:bCs/>
          <w:lang w:val="fr-FR"/>
        </w:rPr>
        <w:t>153 réponses provenant d</w:t>
      </w:r>
      <w:r w:rsidR="00923E72">
        <w:rPr>
          <w:bCs/>
          <w:lang w:val="fr-FR"/>
        </w:rPr>
        <w:t>’</w:t>
      </w:r>
      <w:r w:rsidRPr="0019736E">
        <w:rPr>
          <w:bCs/>
          <w:lang w:val="fr-FR"/>
        </w:rPr>
        <w:t>environ soixante</w:t>
      </w:r>
      <w:r w:rsidR="0019736E">
        <w:rPr>
          <w:bCs/>
          <w:lang w:val="fr-FR"/>
        </w:rPr>
        <w:noBreakHyphen/>
      </w:r>
      <w:r w:rsidRPr="0019736E">
        <w:rPr>
          <w:bCs/>
          <w:lang w:val="fr-FR"/>
        </w:rPr>
        <w:t>dix pays. Cela montrait le grand intérêt de la communauté du patrimoine vivant pour cette question particulière. La note d</w:t>
      </w:r>
      <w:r w:rsidR="00923E72">
        <w:rPr>
          <w:bCs/>
          <w:lang w:val="fr-FR"/>
        </w:rPr>
        <w:t>’</w:t>
      </w:r>
      <w:r w:rsidRPr="0019736E">
        <w:rPr>
          <w:bCs/>
          <w:lang w:val="fr-FR"/>
        </w:rPr>
        <w:t>orientation finalisée serait disponible en</w:t>
      </w:r>
      <w:r w:rsidR="001D0B52">
        <w:rPr>
          <w:bCs/>
          <w:lang w:val="fr-FR"/>
        </w:rPr>
        <w:t> </w:t>
      </w:r>
      <w:r w:rsidRPr="0019736E">
        <w:rPr>
          <w:bCs/>
          <w:lang w:val="fr-FR"/>
        </w:rPr>
        <w:t>2023. Cette note d</w:t>
      </w:r>
      <w:r w:rsidR="00923E72">
        <w:rPr>
          <w:bCs/>
          <w:lang w:val="fr-FR"/>
        </w:rPr>
        <w:t>’</w:t>
      </w:r>
      <w:r w:rsidRPr="0019736E">
        <w:rPr>
          <w:bCs/>
          <w:lang w:val="fr-FR"/>
        </w:rPr>
        <w:t>orientation ainsi que l</w:t>
      </w:r>
      <w:r w:rsidR="00923E72">
        <w:rPr>
          <w:bCs/>
          <w:lang w:val="fr-FR"/>
        </w:rPr>
        <w:t>’</w:t>
      </w:r>
      <w:r w:rsidRPr="0019736E">
        <w:rPr>
          <w:bCs/>
          <w:lang w:val="fr-FR"/>
        </w:rPr>
        <w:t>enquête serviraient de base à une réflexion plus approfondie dans le cadre de cette initiative thématique, avec l</w:t>
      </w:r>
      <w:r w:rsidR="00923E72">
        <w:rPr>
          <w:bCs/>
          <w:lang w:val="fr-FR"/>
        </w:rPr>
        <w:t>’</w:t>
      </w:r>
      <w:r w:rsidRPr="0019736E">
        <w:rPr>
          <w:bCs/>
          <w:lang w:val="fr-FR"/>
        </w:rPr>
        <w:t>organisation éventuelle d</w:t>
      </w:r>
      <w:r w:rsidR="00923E72">
        <w:rPr>
          <w:bCs/>
          <w:lang w:val="fr-FR"/>
        </w:rPr>
        <w:t>’</w:t>
      </w:r>
      <w:r w:rsidRPr="0019736E">
        <w:rPr>
          <w:bCs/>
          <w:lang w:val="fr-FR"/>
        </w:rPr>
        <w:t>une réunion d</w:t>
      </w:r>
      <w:r w:rsidR="00923E72">
        <w:rPr>
          <w:bCs/>
          <w:lang w:val="fr-FR"/>
        </w:rPr>
        <w:t>’</w:t>
      </w:r>
      <w:r w:rsidRPr="0019736E">
        <w:rPr>
          <w:bCs/>
          <w:lang w:val="fr-FR"/>
        </w:rPr>
        <w:t>experts sur cette question en</w:t>
      </w:r>
      <w:r w:rsidR="001D0B52">
        <w:rPr>
          <w:bCs/>
          <w:lang w:val="fr-FR"/>
        </w:rPr>
        <w:t> </w:t>
      </w:r>
      <w:r w:rsidRPr="0019736E">
        <w:rPr>
          <w:bCs/>
          <w:lang w:val="fr-FR"/>
        </w:rPr>
        <w:t>2023 ou</w:t>
      </w:r>
      <w:r w:rsidR="001D0B52">
        <w:rPr>
          <w:bCs/>
          <w:lang w:val="fr-FR"/>
        </w:rPr>
        <w:t> </w:t>
      </w:r>
      <w:r w:rsidRPr="0019736E">
        <w:rPr>
          <w:bCs/>
          <w:lang w:val="fr-FR"/>
        </w:rPr>
        <w:t>2024, en fonction de la mobilisation de ressources ou de financements extrabudgétaires.</w:t>
      </w:r>
      <w:r w:rsidR="0019736E" w:rsidRPr="006E3034">
        <w:rPr>
          <w:lang w:val="fr-FR"/>
        </w:rPr>
        <w:t xml:space="preserve"> </w:t>
      </w:r>
    </w:p>
    <w:p w14:paraId="036EBBAC" w14:textId="5C61A3EC" w:rsidR="0019736E" w:rsidRDefault="008602AB" w:rsidP="004666EF">
      <w:pPr>
        <w:pStyle w:val="Orateurengris"/>
        <w:numPr>
          <w:ilvl w:val="0"/>
          <w:numId w:val="20"/>
        </w:numPr>
        <w:tabs>
          <w:tab w:val="clear" w:pos="567"/>
          <w:tab w:val="left" w:pos="5954"/>
        </w:tabs>
        <w:spacing w:before="120"/>
        <w:ind w:left="709" w:hanging="709"/>
        <w:rPr>
          <w:bCs/>
          <w:lang w:val="fr-FR"/>
        </w:rPr>
      </w:pPr>
      <w:r w:rsidRPr="008602AB">
        <w:rPr>
          <w:bCs/>
          <w:lang w:val="fr-FR"/>
        </w:rPr>
        <w:t xml:space="preserve">Le </w:t>
      </w:r>
      <w:r w:rsidRPr="00702497">
        <w:rPr>
          <w:b/>
          <w:lang w:val="fr-FR"/>
        </w:rPr>
        <w:t>Secrétaire</w:t>
      </w:r>
      <w:r w:rsidRPr="008602AB">
        <w:rPr>
          <w:bCs/>
          <w:lang w:val="fr-FR"/>
        </w:rPr>
        <w:t xml:space="preserve"> a ensuite parlé de la </w:t>
      </w:r>
      <w:r w:rsidRPr="00702497">
        <w:rPr>
          <w:bCs/>
          <w:u w:val="single"/>
          <w:lang w:val="fr-FR"/>
        </w:rPr>
        <w:t>sauvegarde du patrimoine culturel immatériel et du changement climatique</w:t>
      </w:r>
      <w:r w:rsidRPr="008602AB">
        <w:rPr>
          <w:bCs/>
          <w:lang w:val="fr-FR"/>
        </w:rPr>
        <w:t>. Conformément au paragraphe</w:t>
      </w:r>
      <w:r w:rsidR="001D0B52">
        <w:rPr>
          <w:bCs/>
          <w:lang w:val="fr-FR"/>
        </w:rPr>
        <w:t> </w:t>
      </w:r>
      <w:r w:rsidRPr="008602AB">
        <w:rPr>
          <w:bCs/>
          <w:lang w:val="fr-FR"/>
        </w:rPr>
        <w:t xml:space="preserve">191 des Directives opérationnelles </w:t>
      </w:r>
      <w:r w:rsidRPr="008602AB">
        <w:rPr>
          <w:bCs/>
          <w:lang w:val="fr-FR"/>
        </w:rPr>
        <w:lastRenderedPageBreak/>
        <w:t>ainsi qu</w:t>
      </w:r>
      <w:r w:rsidR="00923E72">
        <w:rPr>
          <w:bCs/>
          <w:lang w:val="fr-FR"/>
        </w:rPr>
        <w:t>’</w:t>
      </w:r>
      <w:r w:rsidRPr="008602AB">
        <w:rPr>
          <w:bCs/>
          <w:lang w:val="fr-FR"/>
        </w:rPr>
        <w:t xml:space="preserve">aux Principes opérationnels et modalités </w:t>
      </w:r>
      <w:r>
        <w:rPr>
          <w:bCs/>
          <w:lang w:val="fr-FR"/>
        </w:rPr>
        <w:t>de</w:t>
      </w:r>
      <w:r w:rsidRPr="008602AB">
        <w:rPr>
          <w:bCs/>
          <w:lang w:val="fr-FR"/>
        </w:rPr>
        <w:t xml:space="preserve"> sauvegarde du patrimoine culturel immatériel dans les situations d</w:t>
      </w:r>
      <w:r w:rsidR="00923E72">
        <w:rPr>
          <w:bCs/>
          <w:lang w:val="fr-FR"/>
        </w:rPr>
        <w:t>’</w:t>
      </w:r>
      <w:r w:rsidRPr="008602AB">
        <w:rPr>
          <w:bCs/>
          <w:lang w:val="fr-FR"/>
        </w:rPr>
        <w:t xml:space="preserve">urgence, le Secrétariat avait mis en œuvre des projets pilotes, financés par la Suisse, au Honduras et aux Philippines. Ceux-ci réunissaient des experts du patrimoine vivant et des spécialistes de la gestion des catastrophes </w:t>
      </w:r>
      <w:r w:rsidR="00CD2AE2">
        <w:rPr>
          <w:bCs/>
          <w:lang w:val="fr-FR"/>
        </w:rPr>
        <w:t xml:space="preserve">pour </w:t>
      </w:r>
      <w:r w:rsidRPr="008602AB">
        <w:rPr>
          <w:bCs/>
          <w:lang w:val="fr-FR"/>
        </w:rPr>
        <w:t>renforcer les capacités de sauvegarde du patrimoine culturel immatériel dans les contextes de catastrophe. En avril</w:t>
      </w:r>
      <w:r w:rsidR="001D0B52">
        <w:rPr>
          <w:bCs/>
          <w:lang w:val="fr-FR"/>
        </w:rPr>
        <w:t> </w:t>
      </w:r>
      <w:r w:rsidRPr="008602AB">
        <w:rPr>
          <w:bCs/>
          <w:lang w:val="fr-FR"/>
        </w:rPr>
        <w:t xml:space="preserve">2022, un projet triennal, financé par le Japon, avait été lancé pour la sauvegarde du patrimoine vivant </w:t>
      </w:r>
      <w:r w:rsidR="00CD2AE2">
        <w:rPr>
          <w:bCs/>
          <w:lang w:val="fr-FR"/>
        </w:rPr>
        <w:t xml:space="preserve">dans des contextes de catastrophes </w:t>
      </w:r>
      <w:r w:rsidRPr="008602AB">
        <w:rPr>
          <w:bCs/>
          <w:lang w:val="fr-FR"/>
        </w:rPr>
        <w:t>dans cinq PEID du Pacifique et des Caraïbes. Une enquête au niveau mondial avait été lancée sur ce domaine thématique fin octobre</w:t>
      </w:r>
      <w:r w:rsidR="001D0B52">
        <w:rPr>
          <w:bCs/>
          <w:lang w:val="fr-FR"/>
        </w:rPr>
        <w:t> </w:t>
      </w:r>
      <w:r w:rsidRPr="008602AB">
        <w:rPr>
          <w:bCs/>
          <w:lang w:val="fr-FR"/>
        </w:rPr>
        <w:t>2022, sollicitant des exemples et des expériences sur la double nature du patrimoine culturel immatériel d</w:t>
      </w:r>
      <w:r w:rsidR="004E6B5A">
        <w:rPr>
          <w:bCs/>
          <w:lang w:val="fr-FR"/>
        </w:rPr>
        <w:t xml:space="preserve">ans le contexte </w:t>
      </w:r>
      <w:r w:rsidRPr="008602AB">
        <w:rPr>
          <w:bCs/>
          <w:lang w:val="fr-FR"/>
        </w:rPr>
        <w:t>du changement climatique. À ce jour, soixante</w:t>
      </w:r>
      <w:r w:rsidR="001D0B52">
        <w:rPr>
          <w:bCs/>
          <w:lang w:val="fr-FR"/>
        </w:rPr>
        <w:noBreakHyphen/>
      </w:r>
      <w:r w:rsidRPr="008602AB">
        <w:rPr>
          <w:bCs/>
          <w:lang w:val="fr-FR"/>
        </w:rPr>
        <w:t>cinq réponses provenant de vingt</w:t>
      </w:r>
      <w:r w:rsidR="001D0B52">
        <w:rPr>
          <w:bCs/>
          <w:lang w:val="fr-FR"/>
        </w:rPr>
        <w:noBreakHyphen/>
      </w:r>
      <w:r w:rsidRPr="008602AB">
        <w:rPr>
          <w:bCs/>
          <w:lang w:val="fr-FR"/>
        </w:rPr>
        <w:t>neuf pays avaient été reçues. Les résultats de l</w:t>
      </w:r>
      <w:r w:rsidR="00923E72">
        <w:rPr>
          <w:bCs/>
          <w:lang w:val="fr-FR"/>
        </w:rPr>
        <w:t>’</w:t>
      </w:r>
      <w:r w:rsidRPr="008602AB">
        <w:rPr>
          <w:bCs/>
          <w:lang w:val="fr-FR"/>
        </w:rPr>
        <w:t>enquête contribueraient à l</w:t>
      </w:r>
      <w:r w:rsidR="00923E72">
        <w:rPr>
          <w:bCs/>
          <w:lang w:val="fr-FR"/>
        </w:rPr>
        <w:t>’</w:t>
      </w:r>
      <w:r w:rsidRPr="008602AB">
        <w:rPr>
          <w:bCs/>
          <w:lang w:val="fr-FR"/>
        </w:rPr>
        <w:t>élaboration d</w:t>
      </w:r>
      <w:r w:rsidR="00923E72">
        <w:rPr>
          <w:bCs/>
          <w:lang w:val="fr-FR"/>
        </w:rPr>
        <w:t>’</w:t>
      </w:r>
      <w:r w:rsidRPr="008602AB">
        <w:rPr>
          <w:bCs/>
          <w:lang w:val="fr-FR"/>
        </w:rPr>
        <w:t>une note d</w:t>
      </w:r>
      <w:r w:rsidR="00923E72">
        <w:rPr>
          <w:bCs/>
          <w:lang w:val="fr-FR"/>
        </w:rPr>
        <w:t>’</w:t>
      </w:r>
      <w:r w:rsidRPr="008602AB">
        <w:rPr>
          <w:bCs/>
          <w:lang w:val="fr-FR"/>
        </w:rPr>
        <w:t>orientation qui intégrerait les résultats d</w:t>
      </w:r>
      <w:r w:rsidR="00923E72">
        <w:rPr>
          <w:bCs/>
          <w:lang w:val="fr-FR"/>
        </w:rPr>
        <w:t>’</w:t>
      </w:r>
      <w:r w:rsidRPr="008602AB">
        <w:rPr>
          <w:bCs/>
          <w:lang w:val="fr-FR"/>
        </w:rPr>
        <w:t>un examen de la littérature ent</w:t>
      </w:r>
      <w:r w:rsidR="004E6B5A">
        <w:rPr>
          <w:bCs/>
          <w:lang w:val="fr-FR"/>
        </w:rPr>
        <w:t>re</w:t>
      </w:r>
      <w:r w:rsidRPr="008602AB">
        <w:rPr>
          <w:bCs/>
          <w:lang w:val="fr-FR"/>
        </w:rPr>
        <w:t>pris par le Secrétariat au début de l</w:t>
      </w:r>
      <w:r w:rsidR="00923E72">
        <w:rPr>
          <w:bCs/>
          <w:lang w:val="fr-FR"/>
        </w:rPr>
        <w:t>’</w:t>
      </w:r>
      <w:r w:rsidRPr="008602AB">
        <w:rPr>
          <w:bCs/>
          <w:lang w:val="fr-FR"/>
        </w:rPr>
        <w:t>année</w:t>
      </w:r>
      <w:r w:rsidR="001D0B52">
        <w:rPr>
          <w:bCs/>
          <w:lang w:val="fr-FR"/>
        </w:rPr>
        <w:t> </w:t>
      </w:r>
      <w:r w:rsidRPr="008602AB">
        <w:rPr>
          <w:bCs/>
          <w:lang w:val="fr-FR"/>
        </w:rPr>
        <w:t xml:space="preserve">2022. Enfin, en ce qui concerne le troisième domaine thématique, la </w:t>
      </w:r>
      <w:r w:rsidRPr="00702497">
        <w:rPr>
          <w:bCs/>
          <w:u w:val="single"/>
          <w:lang w:val="fr-FR"/>
        </w:rPr>
        <w:t>sauvegarde du patrimoine culturel immatériel dans les contextes urbains</w:t>
      </w:r>
      <w:r w:rsidRPr="008602AB">
        <w:rPr>
          <w:bCs/>
          <w:lang w:val="fr-FR"/>
        </w:rPr>
        <w:t>, le Secrétariat mettait en œuvre depuis</w:t>
      </w:r>
      <w:r w:rsidR="001D0B52">
        <w:rPr>
          <w:bCs/>
          <w:lang w:val="fr-FR"/>
        </w:rPr>
        <w:t> </w:t>
      </w:r>
      <w:r w:rsidRPr="008602AB">
        <w:rPr>
          <w:bCs/>
          <w:lang w:val="fr-FR"/>
        </w:rPr>
        <w:t xml:space="preserve">2018 un projet extrabudgétaire pluriannuel intitulé </w:t>
      </w:r>
      <w:r w:rsidR="004E6B5A">
        <w:rPr>
          <w:bCs/>
          <w:lang w:val="fr-FR"/>
        </w:rPr>
        <w:t>« </w:t>
      </w:r>
      <w:r w:rsidRPr="008602AB">
        <w:rPr>
          <w:bCs/>
          <w:lang w:val="fr-FR"/>
        </w:rPr>
        <w:t>Patrimoine immatériel et créativité pour des villes durables</w:t>
      </w:r>
      <w:r w:rsidR="004E6B5A">
        <w:rPr>
          <w:bCs/>
          <w:lang w:val="fr-FR"/>
        </w:rPr>
        <w:t> »</w:t>
      </w:r>
      <w:r w:rsidRPr="008602AB">
        <w:rPr>
          <w:bCs/>
          <w:lang w:val="fr-FR"/>
        </w:rPr>
        <w:t xml:space="preserve">, dans six villes sélectionnées en Afrique, en Asie, en Europe, en Amérique latine et dans les Caraïbes ainsi que dans les États arabes, grâce au soutien du secteur privé de la République populaire de Chine. Le projet visait à promouvoir le rôle de la culture dans le développement urbain durable et, plus particulièrement, le rôle que le patrimoine vivant peut jouer dans la construction de villes durables. Sur la base des résultats de ces projets pilotes sur les inventaires à participation communautaire dans les villes, le Secrétariat avait commencé à élaborer des </w:t>
      </w:r>
      <w:r w:rsidR="001D0B52" w:rsidRPr="001D0B52">
        <w:rPr>
          <w:bCs/>
          <w:lang w:val="fr-FR"/>
        </w:rPr>
        <w:t>orientations</w:t>
      </w:r>
      <w:r w:rsidR="001D0B52">
        <w:rPr>
          <w:bCs/>
          <w:lang w:val="fr-FR"/>
        </w:rPr>
        <w:t xml:space="preserve"> </w:t>
      </w:r>
      <w:r w:rsidRPr="008602AB">
        <w:rPr>
          <w:bCs/>
          <w:lang w:val="fr-FR"/>
        </w:rPr>
        <w:t>et des recommandations politiques pour la mise en œuvre de la Convention dans les contextes urbains. Cela impliquait également la réalisation d</w:t>
      </w:r>
      <w:r w:rsidR="00923E72">
        <w:rPr>
          <w:bCs/>
          <w:lang w:val="fr-FR"/>
        </w:rPr>
        <w:t>’</w:t>
      </w:r>
      <w:r w:rsidRPr="008602AB">
        <w:rPr>
          <w:bCs/>
          <w:lang w:val="fr-FR"/>
        </w:rPr>
        <w:t>une enquête au niveau mondial entre octobre et novembre</w:t>
      </w:r>
      <w:r w:rsidR="001D0B52">
        <w:rPr>
          <w:bCs/>
          <w:lang w:val="fr-FR"/>
        </w:rPr>
        <w:t> </w:t>
      </w:r>
      <w:r w:rsidRPr="008602AB">
        <w:rPr>
          <w:bCs/>
          <w:lang w:val="fr-FR"/>
        </w:rPr>
        <w:t>2022 pour aborder des questions telles que les moyens d</w:t>
      </w:r>
      <w:r w:rsidR="00923E72">
        <w:rPr>
          <w:bCs/>
          <w:lang w:val="fr-FR"/>
        </w:rPr>
        <w:t>’</w:t>
      </w:r>
      <w:r w:rsidRPr="008602AB">
        <w:rPr>
          <w:bCs/>
          <w:lang w:val="fr-FR"/>
        </w:rPr>
        <w:t>identifier le patrimoine vivant dans les villes</w:t>
      </w:r>
      <w:r w:rsidR="004E6B5A">
        <w:rPr>
          <w:bCs/>
          <w:lang w:val="fr-FR"/>
        </w:rPr>
        <w:t>,</w:t>
      </w:r>
      <w:r w:rsidRPr="008602AB">
        <w:rPr>
          <w:bCs/>
          <w:lang w:val="fr-FR"/>
        </w:rPr>
        <w:t xml:space="preserve"> les menaces pesant sur le patrimoine culturel immatériel dans les contextes urbains ainsi que </w:t>
      </w:r>
      <w:r w:rsidR="004E6B5A">
        <w:rPr>
          <w:bCs/>
          <w:lang w:val="fr-FR"/>
        </w:rPr>
        <w:t>d</w:t>
      </w:r>
      <w:r w:rsidRPr="008602AB">
        <w:rPr>
          <w:bCs/>
          <w:lang w:val="fr-FR"/>
        </w:rPr>
        <w:t>es recommandations potentielles lorsque le patrimoine vivant peut contribuer aux structures écologiques, économiques et sociales des villes. À ce jour, soixante</w:t>
      </w:r>
      <w:r w:rsidR="00B31ADB">
        <w:rPr>
          <w:bCs/>
          <w:lang w:val="fr-FR"/>
        </w:rPr>
        <w:noBreakHyphen/>
      </w:r>
      <w:r w:rsidRPr="008602AB">
        <w:rPr>
          <w:bCs/>
          <w:lang w:val="fr-FR"/>
        </w:rPr>
        <w:t>sept réponses provenant de trente</w:t>
      </w:r>
      <w:r w:rsidR="00B31ADB">
        <w:rPr>
          <w:bCs/>
          <w:lang w:val="fr-FR"/>
        </w:rPr>
        <w:noBreakHyphen/>
      </w:r>
      <w:r w:rsidRPr="008602AB">
        <w:rPr>
          <w:bCs/>
          <w:lang w:val="fr-FR"/>
        </w:rPr>
        <w:t>quatre pays avaient été reçues. Une fois de plus, une note d</w:t>
      </w:r>
      <w:r w:rsidR="00923E72">
        <w:rPr>
          <w:bCs/>
          <w:lang w:val="fr-FR"/>
        </w:rPr>
        <w:t>’</w:t>
      </w:r>
      <w:r w:rsidRPr="008602AB">
        <w:rPr>
          <w:bCs/>
          <w:lang w:val="fr-FR"/>
        </w:rPr>
        <w:t>orientation sur le patrimoine vivant et la planification urbaine était en cours d</w:t>
      </w:r>
      <w:r w:rsidR="00923E72">
        <w:rPr>
          <w:bCs/>
          <w:lang w:val="fr-FR"/>
        </w:rPr>
        <w:t>’</w:t>
      </w:r>
      <w:r w:rsidRPr="008602AB">
        <w:rPr>
          <w:bCs/>
          <w:lang w:val="fr-FR"/>
        </w:rPr>
        <w:t>élaboration et présenterait un cadre pour l</w:t>
      </w:r>
      <w:r w:rsidR="00923E72">
        <w:rPr>
          <w:bCs/>
          <w:lang w:val="fr-FR"/>
        </w:rPr>
        <w:t>’</w:t>
      </w:r>
      <w:r w:rsidRPr="008602AB">
        <w:rPr>
          <w:bCs/>
          <w:lang w:val="fr-FR"/>
        </w:rPr>
        <w:t>intégration du patrimoine vivant dans la planification urbaine</w:t>
      </w:r>
      <w:r w:rsidR="004E6B5A">
        <w:rPr>
          <w:bCs/>
          <w:lang w:val="fr-FR"/>
        </w:rPr>
        <w:t>,</w:t>
      </w:r>
      <w:r w:rsidRPr="008602AB">
        <w:rPr>
          <w:bCs/>
          <w:lang w:val="fr-FR"/>
        </w:rPr>
        <w:t xml:space="preserve"> à l</w:t>
      </w:r>
      <w:r w:rsidR="00923E72">
        <w:rPr>
          <w:bCs/>
          <w:lang w:val="fr-FR"/>
        </w:rPr>
        <w:t>’</w:t>
      </w:r>
      <w:r w:rsidRPr="008602AB">
        <w:rPr>
          <w:bCs/>
          <w:lang w:val="fr-FR"/>
        </w:rPr>
        <w:t>intention des urbanistes, des</w:t>
      </w:r>
      <w:r w:rsidR="004E6B5A">
        <w:rPr>
          <w:bCs/>
          <w:lang w:val="fr-FR"/>
        </w:rPr>
        <w:t xml:space="preserve"> décideurs</w:t>
      </w:r>
      <w:r w:rsidRPr="008602AB">
        <w:rPr>
          <w:bCs/>
          <w:lang w:val="fr-FR"/>
        </w:rPr>
        <w:t>, des communautés du patrimoine vivant et des parties prenantes.</w:t>
      </w:r>
    </w:p>
    <w:p w14:paraId="30ADCAF3" w14:textId="69BB45D0" w:rsidR="00BA49FF" w:rsidRDefault="00BA49FF" w:rsidP="004666EF">
      <w:pPr>
        <w:pStyle w:val="Orateurengris"/>
        <w:numPr>
          <w:ilvl w:val="0"/>
          <w:numId w:val="20"/>
        </w:numPr>
        <w:tabs>
          <w:tab w:val="clear" w:pos="567"/>
          <w:tab w:val="left" w:pos="5954"/>
        </w:tabs>
        <w:spacing w:before="120"/>
        <w:ind w:left="709" w:hanging="709"/>
        <w:rPr>
          <w:bCs/>
          <w:lang w:val="fr-FR"/>
        </w:rPr>
      </w:pPr>
      <w:r w:rsidRPr="00BA49FF">
        <w:rPr>
          <w:bCs/>
          <w:lang w:val="fr-FR"/>
        </w:rPr>
        <w:t xml:space="preserve">Le </w:t>
      </w:r>
      <w:r w:rsidRPr="00702497">
        <w:rPr>
          <w:b/>
          <w:lang w:val="fr-FR"/>
        </w:rPr>
        <w:t>Président</w:t>
      </w:r>
      <w:r w:rsidRPr="00BA49FF">
        <w:rPr>
          <w:bCs/>
          <w:lang w:val="fr-FR"/>
        </w:rPr>
        <w:t xml:space="preserve"> s</w:t>
      </w:r>
      <w:r w:rsidR="00923E72">
        <w:rPr>
          <w:bCs/>
          <w:lang w:val="fr-FR"/>
        </w:rPr>
        <w:t>’</w:t>
      </w:r>
      <w:r w:rsidRPr="00BA49FF">
        <w:rPr>
          <w:bCs/>
          <w:lang w:val="fr-FR"/>
        </w:rPr>
        <w:t>est réjoui du développement de ces nouvelles initiatives</w:t>
      </w:r>
      <w:r w:rsidR="00AA748F">
        <w:rPr>
          <w:bCs/>
          <w:lang w:val="fr-FR"/>
        </w:rPr>
        <w:t>,</w:t>
      </w:r>
      <w:r w:rsidRPr="00BA49FF">
        <w:rPr>
          <w:bCs/>
          <w:lang w:val="fr-FR"/>
        </w:rPr>
        <w:t xml:space="preserve"> qui soulignaient encore davantage l</w:t>
      </w:r>
      <w:r w:rsidR="00923E72">
        <w:rPr>
          <w:bCs/>
          <w:lang w:val="fr-FR"/>
        </w:rPr>
        <w:t>’</w:t>
      </w:r>
      <w:r w:rsidRPr="00BA49FF">
        <w:rPr>
          <w:bCs/>
          <w:lang w:val="fr-FR"/>
        </w:rPr>
        <w:t xml:space="preserve">importance du patrimoine vivant pour le développement durable. Il a donné la parole aux </w:t>
      </w:r>
      <w:r w:rsidR="00AE5509">
        <w:rPr>
          <w:bCs/>
          <w:lang w:val="fr-FR"/>
        </w:rPr>
        <w:t xml:space="preserve">orateurs </w:t>
      </w:r>
      <w:r w:rsidRPr="00BA49FF">
        <w:rPr>
          <w:bCs/>
          <w:lang w:val="fr-FR"/>
        </w:rPr>
        <w:t>afin qu</w:t>
      </w:r>
      <w:r w:rsidR="00923E72">
        <w:rPr>
          <w:bCs/>
          <w:lang w:val="fr-FR"/>
        </w:rPr>
        <w:t>’</w:t>
      </w:r>
      <w:r w:rsidRPr="00BA49FF">
        <w:rPr>
          <w:bCs/>
          <w:lang w:val="fr-FR"/>
        </w:rPr>
        <w:t xml:space="preserve">ils </w:t>
      </w:r>
      <w:r w:rsidR="00AE5509">
        <w:rPr>
          <w:bCs/>
          <w:lang w:val="fr-FR"/>
        </w:rPr>
        <w:t>fassent part de leurs</w:t>
      </w:r>
      <w:r w:rsidRPr="00BA49FF">
        <w:rPr>
          <w:bCs/>
          <w:lang w:val="fr-FR"/>
        </w:rPr>
        <w:t xml:space="preserve"> commentaires.</w:t>
      </w:r>
    </w:p>
    <w:p w14:paraId="0351C937" w14:textId="65CCD0F7" w:rsidR="003D7DA9" w:rsidRDefault="00AD1FA6" w:rsidP="004666EF">
      <w:pPr>
        <w:pStyle w:val="Orateurengris"/>
        <w:numPr>
          <w:ilvl w:val="0"/>
          <w:numId w:val="20"/>
        </w:numPr>
        <w:tabs>
          <w:tab w:val="clear" w:pos="567"/>
          <w:tab w:val="left" w:pos="5954"/>
        </w:tabs>
        <w:spacing w:before="120"/>
        <w:ind w:left="709" w:hanging="709"/>
        <w:rPr>
          <w:bCs/>
          <w:lang w:val="fr-FR"/>
        </w:rPr>
      </w:pPr>
      <w:r w:rsidRPr="00AD1FA6">
        <w:rPr>
          <w:bCs/>
          <w:lang w:val="fr-FR"/>
        </w:rPr>
        <w:t xml:space="preserve">La délégation de la </w:t>
      </w:r>
      <w:r w:rsidRPr="00702497">
        <w:rPr>
          <w:b/>
          <w:lang w:val="fr-FR"/>
        </w:rPr>
        <w:t>République de Corée</w:t>
      </w:r>
      <w:r w:rsidRPr="00AD1FA6">
        <w:rPr>
          <w:bCs/>
          <w:lang w:val="fr-FR"/>
        </w:rPr>
        <w:t xml:space="preserve"> s</w:t>
      </w:r>
      <w:r w:rsidR="00923E72">
        <w:rPr>
          <w:bCs/>
          <w:lang w:val="fr-FR"/>
        </w:rPr>
        <w:t>’</w:t>
      </w:r>
      <w:r w:rsidRPr="00AD1FA6">
        <w:rPr>
          <w:bCs/>
          <w:lang w:val="fr-FR"/>
        </w:rPr>
        <w:t>est félicitée des progrès significatifs réalisés par le Secrétariat dans la mise en œuvre des initiatives thématiques récemment lancées sur la sauvegarde du patrimoine culturel immatériel en relation avec les dimensions économiques, le changement climatique et les contextes urbains. la République de Corée avait tout particulièrement noté que l</w:t>
      </w:r>
      <w:r w:rsidR="00923E72">
        <w:rPr>
          <w:bCs/>
          <w:lang w:val="fr-FR"/>
        </w:rPr>
        <w:t>’</w:t>
      </w:r>
      <w:r w:rsidRPr="00AD1FA6">
        <w:rPr>
          <w:bCs/>
          <w:lang w:val="fr-FR"/>
        </w:rPr>
        <w:t xml:space="preserve">urbanisation influençait de plus en plus notre mode de vie et la sauvegarde du patrimoine culturel immatériel. La délégation a exprimé sa sincère gratitude </w:t>
      </w:r>
      <w:r w:rsidR="00B31ADB">
        <w:rPr>
          <w:bCs/>
          <w:lang w:val="fr-FR"/>
        </w:rPr>
        <w:t xml:space="preserve">au </w:t>
      </w:r>
      <w:r w:rsidR="00B31ADB" w:rsidRPr="00B31ADB">
        <w:rPr>
          <w:bCs/>
          <w:lang w:val="fr-FR"/>
        </w:rPr>
        <w:t>Secréta</w:t>
      </w:r>
      <w:r w:rsidR="00B31ADB">
        <w:rPr>
          <w:bCs/>
          <w:lang w:val="fr-FR"/>
        </w:rPr>
        <w:t xml:space="preserve">riat </w:t>
      </w:r>
      <w:r w:rsidRPr="00AD1FA6">
        <w:rPr>
          <w:bCs/>
          <w:lang w:val="fr-FR"/>
        </w:rPr>
        <w:t xml:space="preserve">pour les efforts </w:t>
      </w:r>
      <w:r w:rsidR="00B31ADB">
        <w:rPr>
          <w:bCs/>
          <w:lang w:val="fr-FR"/>
        </w:rPr>
        <w:t xml:space="preserve">soutenus déployés afin de </w:t>
      </w:r>
      <w:r>
        <w:rPr>
          <w:bCs/>
          <w:lang w:val="fr-FR"/>
        </w:rPr>
        <w:t xml:space="preserve">préparer </w:t>
      </w:r>
      <w:r w:rsidRPr="00AD1FA6">
        <w:rPr>
          <w:bCs/>
          <w:lang w:val="fr-FR"/>
        </w:rPr>
        <w:t>une note d</w:t>
      </w:r>
      <w:r w:rsidR="00923E72">
        <w:rPr>
          <w:bCs/>
          <w:lang w:val="fr-FR"/>
        </w:rPr>
        <w:t>’</w:t>
      </w:r>
      <w:r w:rsidRPr="00AD1FA6">
        <w:rPr>
          <w:bCs/>
          <w:lang w:val="fr-FR"/>
        </w:rPr>
        <w:t>orientation sur le patrimoine vivant dans la planification urbaine. Cette nouvelle initiative devrait permettre de clarifier davantage les différents rôles des communautés dans les futurs plans d</w:t>
      </w:r>
      <w:r w:rsidR="00923E72">
        <w:rPr>
          <w:bCs/>
          <w:lang w:val="fr-FR"/>
        </w:rPr>
        <w:t>’</w:t>
      </w:r>
      <w:r w:rsidRPr="00AD1FA6">
        <w:rPr>
          <w:bCs/>
          <w:lang w:val="fr-FR"/>
        </w:rPr>
        <w:t>urbanisme et d</w:t>
      </w:r>
      <w:r w:rsidR="00923E72">
        <w:rPr>
          <w:bCs/>
          <w:lang w:val="fr-FR"/>
        </w:rPr>
        <w:t>’</w:t>
      </w:r>
      <w:r w:rsidRPr="00AD1FA6">
        <w:rPr>
          <w:bCs/>
          <w:lang w:val="fr-FR"/>
        </w:rPr>
        <w:t>accroître ainsi la participation des différentes parties prenantes du patrimoine culturel immatériel au processus de sauvegarde. Il s</w:t>
      </w:r>
      <w:r w:rsidR="00923E72">
        <w:rPr>
          <w:bCs/>
          <w:lang w:val="fr-FR"/>
        </w:rPr>
        <w:t>’</w:t>
      </w:r>
      <w:r w:rsidRPr="00AD1FA6">
        <w:rPr>
          <w:bCs/>
          <w:lang w:val="fr-FR"/>
        </w:rPr>
        <w:t>agissait là d</w:t>
      </w:r>
      <w:r w:rsidR="00923E72">
        <w:rPr>
          <w:bCs/>
          <w:lang w:val="fr-FR"/>
        </w:rPr>
        <w:t>’</w:t>
      </w:r>
      <w:r w:rsidRPr="00AD1FA6">
        <w:rPr>
          <w:bCs/>
          <w:lang w:val="fr-FR"/>
        </w:rPr>
        <w:t>une tentative d</w:t>
      </w:r>
      <w:r w:rsidR="00923E72">
        <w:rPr>
          <w:bCs/>
          <w:lang w:val="fr-FR"/>
        </w:rPr>
        <w:t>’</w:t>
      </w:r>
      <w:r w:rsidRPr="00AD1FA6">
        <w:rPr>
          <w:bCs/>
          <w:lang w:val="fr-FR"/>
        </w:rPr>
        <w:t>aligner les initiatives de sauvegarde du patrimoine culturel immatériel sur les objectifs plus larges du développement durable. De cette manière, nous réaffirmions la pertinence de la sauvegarde du patrimoine culturel immatériel dans la société globale du</w:t>
      </w:r>
      <w:r w:rsidR="00DF3355">
        <w:rPr>
          <w:bCs/>
          <w:lang w:val="fr-FR"/>
        </w:rPr>
        <w:t> </w:t>
      </w:r>
      <w:r w:rsidRPr="00AD1FA6">
        <w:rPr>
          <w:bCs/>
          <w:lang w:val="fr-FR"/>
        </w:rPr>
        <w:t>XXI</w:t>
      </w:r>
      <w:r w:rsidRPr="00702497">
        <w:rPr>
          <w:bCs/>
          <w:vertAlign w:val="superscript"/>
          <w:lang w:val="fr-FR"/>
        </w:rPr>
        <w:t>e</w:t>
      </w:r>
      <w:r>
        <w:rPr>
          <w:bCs/>
          <w:lang w:val="fr-FR"/>
        </w:rPr>
        <w:t> </w:t>
      </w:r>
      <w:r w:rsidRPr="00AD1FA6">
        <w:rPr>
          <w:bCs/>
          <w:lang w:val="fr-FR"/>
        </w:rPr>
        <w:t>siècle et nous contextualis</w:t>
      </w:r>
      <w:r>
        <w:rPr>
          <w:bCs/>
          <w:lang w:val="fr-FR"/>
        </w:rPr>
        <w:t>i</w:t>
      </w:r>
      <w:r w:rsidRPr="00AD1FA6">
        <w:rPr>
          <w:bCs/>
          <w:lang w:val="fr-FR"/>
        </w:rPr>
        <w:t>ons la sauvegarde du patrimoine culturel immatériel dans le monde dans lequel nous vivions.</w:t>
      </w:r>
    </w:p>
    <w:p w14:paraId="702E69B6" w14:textId="382DB789" w:rsidR="00AD1FA6" w:rsidRDefault="00DB3C2F" w:rsidP="004666EF">
      <w:pPr>
        <w:pStyle w:val="Orateurengris"/>
        <w:numPr>
          <w:ilvl w:val="0"/>
          <w:numId w:val="20"/>
        </w:numPr>
        <w:tabs>
          <w:tab w:val="clear" w:pos="567"/>
          <w:tab w:val="left" w:pos="5954"/>
        </w:tabs>
        <w:spacing w:before="120"/>
        <w:ind w:left="709" w:hanging="709"/>
        <w:rPr>
          <w:bCs/>
          <w:lang w:val="fr-FR"/>
        </w:rPr>
      </w:pPr>
      <w:r w:rsidRPr="00DB3C2F">
        <w:rPr>
          <w:bCs/>
          <w:lang w:val="fr-FR"/>
        </w:rPr>
        <w:t>La délégation de l</w:t>
      </w:r>
      <w:r w:rsidR="00923E72">
        <w:rPr>
          <w:bCs/>
          <w:lang w:val="fr-FR"/>
        </w:rPr>
        <w:t>’</w:t>
      </w:r>
      <w:r w:rsidRPr="00702497">
        <w:rPr>
          <w:b/>
          <w:lang w:val="fr-FR"/>
        </w:rPr>
        <w:t>Éthiopie</w:t>
      </w:r>
      <w:r w:rsidRPr="00DB3C2F">
        <w:rPr>
          <w:bCs/>
          <w:lang w:val="fr-FR"/>
        </w:rPr>
        <w:t xml:space="preserve"> a remercié le Secrétariat pour le rapport et les éclaircissements sur les initiatives thématiques relatives au patrimoine vivant et au développement durable. </w:t>
      </w:r>
      <w:r>
        <w:rPr>
          <w:bCs/>
          <w:lang w:val="fr-FR"/>
        </w:rPr>
        <w:t>Bien que l</w:t>
      </w:r>
      <w:r w:rsidRPr="00DB3C2F">
        <w:rPr>
          <w:bCs/>
          <w:lang w:val="fr-FR"/>
        </w:rPr>
        <w:t xml:space="preserve">e document lui-même </w:t>
      </w:r>
      <w:r>
        <w:rPr>
          <w:bCs/>
          <w:lang w:val="fr-FR"/>
        </w:rPr>
        <w:t xml:space="preserve">soit </w:t>
      </w:r>
      <w:r w:rsidRPr="00DB3C2F">
        <w:rPr>
          <w:bCs/>
          <w:lang w:val="fr-FR"/>
        </w:rPr>
        <w:t xml:space="preserve">très explicite, elle a demandé une clarification </w:t>
      </w:r>
      <w:r w:rsidRPr="00DB3C2F">
        <w:rPr>
          <w:bCs/>
          <w:lang w:val="fr-FR"/>
        </w:rPr>
        <w:lastRenderedPageBreak/>
        <w:t>concernant l</w:t>
      </w:r>
      <w:r w:rsidR="00923E72">
        <w:rPr>
          <w:bCs/>
          <w:lang w:val="fr-FR"/>
        </w:rPr>
        <w:t>’</w:t>
      </w:r>
      <w:r w:rsidRPr="00DB3C2F">
        <w:rPr>
          <w:bCs/>
          <w:lang w:val="fr-FR"/>
        </w:rPr>
        <w:t>enquête mondiale lancée en octobre sur les dimensions économiques de la sauvegarde du patrimoine culturel immatériel. Sur les réponses de 1</w:t>
      </w:r>
      <w:r>
        <w:rPr>
          <w:bCs/>
          <w:lang w:val="fr-FR"/>
        </w:rPr>
        <w:t> </w:t>
      </w:r>
      <w:r w:rsidRPr="00DB3C2F">
        <w:rPr>
          <w:bCs/>
          <w:lang w:val="fr-FR"/>
        </w:rPr>
        <w:t xml:space="preserve">000 parties prenantes </w:t>
      </w:r>
      <w:r>
        <w:rPr>
          <w:bCs/>
          <w:lang w:val="fr-FR"/>
        </w:rPr>
        <w:t>à</w:t>
      </w:r>
      <w:r w:rsidRPr="00DB3C2F">
        <w:rPr>
          <w:bCs/>
          <w:lang w:val="fr-FR"/>
        </w:rPr>
        <w:t xml:space="preserve"> la Convention, la délégation a demandé quels étaient les effets positifs et négatifs de la commercialisation </w:t>
      </w:r>
      <w:r w:rsidR="00DF3355">
        <w:rPr>
          <w:bCs/>
          <w:lang w:val="fr-FR"/>
        </w:rPr>
        <w:t xml:space="preserve">au regard des </w:t>
      </w:r>
      <w:r w:rsidRPr="00DB3C2F">
        <w:rPr>
          <w:bCs/>
          <w:lang w:val="fr-FR"/>
        </w:rPr>
        <w:t>éléments du patrimoine culturel immatériel.</w:t>
      </w:r>
    </w:p>
    <w:p w14:paraId="1329B9E3" w14:textId="636302FA" w:rsidR="00DB3C2F" w:rsidRDefault="00DB3C2F" w:rsidP="004666EF">
      <w:pPr>
        <w:pStyle w:val="Orateurengris"/>
        <w:numPr>
          <w:ilvl w:val="0"/>
          <w:numId w:val="20"/>
        </w:numPr>
        <w:tabs>
          <w:tab w:val="clear" w:pos="567"/>
          <w:tab w:val="left" w:pos="5954"/>
        </w:tabs>
        <w:spacing w:before="120"/>
        <w:ind w:left="709" w:hanging="709"/>
        <w:rPr>
          <w:bCs/>
          <w:lang w:val="fr-FR"/>
        </w:rPr>
      </w:pPr>
      <w:r w:rsidRPr="00DB3C2F">
        <w:rPr>
          <w:bCs/>
          <w:lang w:val="fr-FR"/>
        </w:rPr>
        <w:t xml:space="preserve">La délégation du </w:t>
      </w:r>
      <w:r w:rsidRPr="00702497">
        <w:rPr>
          <w:b/>
          <w:lang w:val="fr-FR"/>
        </w:rPr>
        <w:t>Japon</w:t>
      </w:r>
      <w:r w:rsidRPr="00DB3C2F">
        <w:rPr>
          <w:bCs/>
          <w:lang w:val="fr-FR"/>
        </w:rPr>
        <w:t xml:space="preserve"> a fait remarquer que </w:t>
      </w:r>
      <w:r>
        <w:rPr>
          <w:bCs/>
          <w:lang w:val="fr-FR"/>
        </w:rPr>
        <w:t>son</w:t>
      </w:r>
      <w:r w:rsidRPr="00DB3C2F">
        <w:rPr>
          <w:bCs/>
          <w:lang w:val="fr-FR"/>
        </w:rPr>
        <w:t xml:space="preserve"> pays connaissait de nombreuses catastrophes naturelles et qu</w:t>
      </w:r>
      <w:r w:rsidR="00923E72">
        <w:rPr>
          <w:bCs/>
          <w:lang w:val="fr-FR"/>
        </w:rPr>
        <w:t>’</w:t>
      </w:r>
      <w:r w:rsidRPr="00DB3C2F">
        <w:rPr>
          <w:bCs/>
          <w:lang w:val="fr-FR"/>
        </w:rPr>
        <w:t xml:space="preserve">elle avait pu constater que le patrimoine culturel immatériel jouait un rôle important dans le relèvement des communautés touchées par les catastrophes. Par exemple, sur la côte de </w:t>
      </w:r>
      <w:proofErr w:type="spellStart"/>
      <w:r w:rsidRPr="00DB3C2F">
        <w:rPr>
          <w:bCs/>
          <w:lang w:val="fr-FR"/>
        </w:rPr>
        <w:t>Sanriku</w:t>
      </w:r>
      <w:proofErr w:type="spellEnd"/>
      <w:r w:rsidRPr="00DB3C2F">
        <w:rPr>
          <w:bCs/>
          <w:lang w:val="fr-FR"/>
        </w:rPr>
        <w:t xml:space="preserve">, qui avait été </w:t>
      </w:r>
      <w:r>
        <w:rPr>
          <w:bCs/>
          <w:lang w:val="fr-FR"/>
        </w:rPr>
        <w:t xml:space="preserve">sévèrement dévastée </w:t>
      </w:r>
      <w:r w:rsidRPr="00DB3C2F">
        <w:rPr>
          <w:bCs/>
          <w:lang w:val="fr-FR"/>
        </w:rPr>
        <w:t>par le tsunami de</w:t>
      </w:r>
      <w:r w:rsidR="00B31ADB">
        <w:rPr>
          <w:bCs/>
          <w:lang w:val="fr-FR"/>
        </w:rPr>
        <w:t> </w:t>
      </w:r>
      <w:r w:rsidRPr="00DB3C2F">
        <w:rPr>
          <w:bCs/>
          <w:lang w:val="fr-FR"/>
        </w:rPr>
        <w:t>2011, les personnes touchées, même si elles avaient perdu leurs maisons et ne pouvaient plus vivre dans leurs villes natales, s</w:t>
      </w:r>
      <w:r w:rsidR="00923E72">
        <w:rPr>
          <w:bCs/>
          <w:lang w:val="fr-FR"/>
        </w:rPr>
        <w:t>’</w:t>
      </w:r>
      <w:r w:rsidRPr="00DB3C2F">
        <w:rPr>
          <w:bCs/>
          <w:lang w:val="fr-FR"/>
        </w:rPr>
        <w:t>étaient réunies dans leurs anciennes villes uniquement le jour de la danse traditionnelle du lion et avaient fabriqué des têtes de lion en carton pour exécuter la danse traditionnelle, réunissant ainsi à nouveau les communautés. Fort de cette expérience, le Japon soutenait un projet triennal de sauvegarde du patrimoine vivant en situation d</w:t>
      </w:r>
      <w:r w:rsidR="00923E72">
        <w:rPr>
          <w:bCs/>
          <w:lang w:val="fr-FR"/>
        </w:rPr>
        <w:t>’</w:t>
      </w:r>
      <w:r w:rsidRPr="00DB3C2F">
        <w:rPr>
          <w:bCs/>
          <w:lang w:val="fr-FR"/>
        </w:rPr>
        <w:t>urgence dans cinq États du Pacifique et des Caraïbes, tout particulièrement exposés aux effets du changement climatique. On pouvait espérer que le patrimoine immatériel continuerait d</w:t>
      </w:r>
      <w:r w:rsidR="00923E72">
        <w:rPr>
          <w:bCs/>
          <w:lang w:val="fr-FR"/>
        </w:rPr>
        <w:t>’</w:t>
      </w:r>
      <w:r w:rsidRPr="00DB3C2F">
        <w:rPr>
          <w:bCs/>
          <w:lang w:val="fr-FR"/>
        </w:rPr>
        <w:t>être une source importante de résilience pour les communautés.</w:t>
      </w:r>
    </w:p>
    <w:p w14:paraId="162ADF7F" w14:textId="68762256" w:rsidR="00B02A64" w:rsidRDefault="00B02A64" w:rsidP="004666EF">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invité le </w:t>
      </w:r>
      <w:r w:rsidRPr="00B02A64">
        <w:rPr>
          <w:bCs/>
          <w:lang w:val="fr-FR"/>
        </w:rPr>
        <w:t>Secrétaire</w:t>
      </w:r>
      <w:r>
        <w:rPr>
          <w:bCs/>
          <w:lang w:val="fr-FR"/>
        </w:rPr>
        <w:t xml:space="preserve"> à répondre à la question de l</w:t>
      </w:r>
      <w:r w:rsidR="00923E72">
        <w:rPr>
          <w:bCs/>
          <w:lang w:val="fr-FR"/>
        </w:rPr>
        <w:t>’</w:t>
      </w:r>
      <w:r>
        <w:rPr>
          <w:bCs/>
          <w:lang w:val="fr-FR"/>
        </w:rPr>
        <w:t>Éthiopie.</w:t>
      </w:r>
    </w:p>
    <w:p w14:paraId="5E75BA2D" w14:textId="35EDF22F" w:rsidR="00B02A64" w:rsidRDefault="00B02A64" w:rsidP="004666EF">
      <w:pPr>
        <w:pStyle w:val="Orateurengris"/>
        <w:numPr>
          <w:ilvl w:val="0"/>
          <w:numId w:val="20"/>
        </w:numPr>
        <w:tabs>
          <w:tab w:val="clear" w:pos="567"/>
          <w:tab w:val="left" w:pos="5954"/>
        </w:tabs>
        <w:spacing w:before="120"/>
        <w:ind w:left="709" w:hanging="709"/>
        <w:rPr>
          <w:bCs/>
          <w:lang w:val="fr-FR"/>
        </w:rPr>
      </w:pPr>
      <w:r w:rsidRPr="00B02A64">
        <w:rPr>
          <w:bCs/>
          <w:lang w:val="fr-FR"/>
        </w:rPr>
        <w:t xml:space="preserve">Le </w:t>
      </w:r>
      <w:r w:rsidRPr="00702497">
        <w:rPr>
          <w:b/>
          <w:lang w:val="fr-FR"/>
        </w:rPr>
        <w:t>Secrétaire</w:t>
      </w:r>
      <w:r w:rsidRPr="00B02A64">
        <w:rPr>
          <w:bCs/>
          <w:lang w:val="fr-FR"/>
        </w:rPr>
        <w:t xml:space="preserve"> a remercié l</w:t>
      </w:r>
      <w:r w:rsidR="00923E72">
        <w:rPr>
          <w:bCs/>
          <w:lang w:val="fr-FR"/>
        </w:rPr>
        <w:t>’</w:t>
      </w:r>
      <w:r>
        <w:rPr>
          <w:bCs/>
          <w:lang w:val="fr-FR"/>
        </w:rPr>
        <w:t>É</w:t>
      </w:r>
      <w:r w:rsidRPr="00B02A64">
        <w:rPr>
          <w:bCs/>
          <w:lang w:val="fr-FR"/>
        </w:rPr>
        <w:t>thiopie pour la question concernant les dimensions économiques de la sauvegarde du patrimoine culturel immatériel et les effets positifs et négatifs de l</w:t>
      </w:r>
      <w:r w:rsidR="00923E72">
        <w:rPr>
          <w:bCs/>
          <w:lang w:val="fr-FR"/>
        </w:rPr>
        <w:t>’</w:t>
      </w:r>
      <w:r w:rsidRPr="00B02A64">
        <w:rPr>
          <w:bCs/>
          <w:lang w:val="fr-FR"/>
        </w:rPr>
        <w:t>approche économique.</w:t>
      </w:r>
      <w:r w:rsidR="00A069FA">
        <w:rPr>
          <w:bCs/>
          <w:lang w:val="fr-FR"/>
        </w:rPr>
        <w:t xml:space="preserve"> Bien que</w:t>
      </w:r>
      <w:r w:rsidRPr="00B02A64">
        <w:rPr>
          <w:bCs/>
          <w:lang w:val="fr-FR"/>
        </w:rPr>
        <w:t xml:space="preserve"> </w:t>
      </w:r>
      <w:r w:rsidR="00A069FA">
        <w:rPr>
          <w:bCs/>
          <w:lang w:val="fr-FR"/>
        </w:rPr>
        <w:t>l</w:t>
      </w:r>
      <w:r w:rsidRPr="00B02A64">
        <w:rPr>
          <w:bCs/>
          <w:lang w:val="fr-FR"/>
        </w:rPr>
        <w:t xml:space="preserve">e Secrétariat </w:t>
      </w:r>
      <w:r w:rsidR="00A069FA">
        <w:rPr>
          <w:bCs/>
          <w:lang w:val="fr-FR"/>
        </w:rPr>
        <w:t xml:space="preserve">soit </w:t>
      </w:r>
      <w:r w:rsidRPr="00B02A64">
        <w:rPr>
          <w:bCs/>
          <w:lang w:val="fr-FR"/>
        </w:rPr>
        <w:t>encore en train d</w:t>
      </w:r>
      <w:r w:rsidR="00923E72">
        <w:rPr>
          <w:bCs/>
          <w:lang w:val="fr-FR"/>
        </w:rPr>
        <w:t>’</w:t>
      </w:r>
      <w:r w:rsidRPr="00B02A64">
        <w:rPr>
          <w:bCs/>
          <w:lang w:val="fr-FR"/>
        </w:rPr>
        <w:t xml:space="preserve">analyser toutes les réponses, </w:t>
      </w:r>
      <w:r w:rsidR="00A069FA">
        <w:rPr>
          <w:bCs/>
          <w:lang w:val="fr-FR"/>
        </w:rPr>
        <w:t xml:space="preserve">le </w:t>
      </w:r>
      <w:r w:rsidR="00A069FA" w:rsidRPr="00A069FA">
        <w:rPr>
          <w:bCs/>
          <w:lang w:val="fr-FR"/>
        </w:rPr>
        <w:t>Secrétaire</w:t>
      </w:r>
      <w:r w:rsidRPr="00B02A64">
        <w:rPr>
          <w:bCs/>
          <w:lang w:val="fr-FR"/>
        </w:rPr>
        <w:t xml:space="preserve"> a </w:t>
      </w:r>
      <w:r w:rsidR="00A069FA">
        <w:rPr>
          <w:bCs/>
          <w:lang w:val="fr-FR"/>
        </w:rPr>
        <w:t xml:space="preserve">pu </w:t>
      </w:r>
      <w:r w:rsidRPr="00B02A64">
        <w:rPr>
          <w:bCs/>
          <w:lang w:val="fr-FR"/>
        </w:rPr>
        <w:t>décri</w:t>
      </w:r>
      <w:r w:rsidR="00A069FA">
        <w:rPr>
          <w:bCs/>
          <w:lang w:val="fr-FR"/>
        </w:rPr>
        <w:t>re</w:t>
      </w:r>
      <w:r w:rsidRPr="00B02A64">
        <w:rPr>
          <w:bCs/>
          <w:lang w:val="fr-FR"/>
        </w:rPr>
        <w:t xml:space="preserve"> le contexte et la réponse dans ses grandes lignes. À ce stade, le Secrétariat était encore en train d</w:t>
      </w:r>
      <w:r w:rsidR="00923E72">
        <w:rPr>
          <w:bCs/>
          <w:lang w:val="fr-FR"/>
        </w:rPr>
        <w:t>’</w:t>
      </w:r>
      <w:r w:rsidRPr="00B02A64">
        <w:rPr>
          <w:bCs/>
          <w:lang w:val="fr-FR"/>
        </w:rPr>
        <w:t>affiner les résultats, mais il était clair, d</w:t>
      </w:r>
      <w:r w:rsidR="00923E72">
        <w:rPr>
          <w:bCs/>
          <w:lang w:val="fr-FR"/>
        </w:rPr>
        <w:t>’</w:t>
      </w:r>
      <w:r w:rsidRPr="00B02A64">
        <w:rPr>
          <w:bCs/>
          <w:lang w:val="fr-FR"/>
        </w:rPr>
        <w:t>après les discussions de cette session et des sessions précédentes, qu</w:t>
      </w:r>
      <w:r w:rsidR="00923E72">
        <w:rPr>
          <w:bCs/>
          <w:lang w:val="fr-FR"/>
        </w:rPr>
        <w:t>’</w:t>
      </w:r>
      <w:r w:rsidRPr="00B02A64">
        <w:rPr>
          <w:bCs/>
          <w:lang w:val="fr-FR"/>
        </w:rPr>
        <w:t>il y avait de nombreuses communautés qui ne pouvaient pas continuer à pratiquer leur patrimoine vivant sans qu</w:t>
      </w:r>
      <w:r w:rsidR="00923E72">
        <w:rPr>
          <w:bCs/>
          <w:lang w:val="fr-FR"/>
        </w:rPr>
        <w:t>’</w:t>
      </w:r>
      <w:r w:rsidRPr="00B02A64">
        <w:rPr>
          <w:bCs/>
          <w:lang w:val="fr-FR"/>
        </w:rPr>
        <w:t>il ne leur fournisse une source de subsistance. En ce sens, la dimension économique offrait précisément une perspective de sauvegarde</w:t>
      </w:r>
      <w:r w:rsidR="00A069FA">
        <w:rPr>
          <w:bCs/>
          <w:lang w:val="fr-FR"/>
        </w:rPr>
        <w:t>,</w:t>
      </w:r>
      <w:r w:rsidRPr="00B02A64">
        <w:rPr>
          <w:bCs/>
          <w:lang w:val="fr-FR"/>
        </w:rPr>
        <w:t xml:space="preserve"> puisqu</w:t>
      </w:r>
      <w:r w:rsidR="00923E72">
        <w:rPr>
          <w:bCs/>
          <w:lang w:val="fr-FR"/>
        </w:rPr>
        <w:t>’</w:t>
      </w:r>
      <w:r w:rsidRPr="00B02A64">
        <w:rPr>
          <w:bCs/>
          <w:lang w:val="fr-FR"/>
        </w:rPr>
        <w:t>elle rendait le patrimoine culturel immatériel viable. Dans ce cas, l</w:t>
      </w:r>
      <w:r w:rsidR="00923E72">
        <w:rPr>
          <w:bCs/>
          <w:lang w:val="fr-FR"/>
        </w:rPr>
        <w:t>’</w:t>
      </w:r>
      <w:r w:rsidRPr="00B02A64">
        <w:rPr>
          <w:bCs/>
          <w:lang w:val="fr-FR"/>
        </w:rPr>
        <w:t>approche économique était évidemment bénéfique pour les communautés. C</w:t>
      </w:r>
      <w:r w:rsidR="00923E72">
        <w:rPr>
          <w:bCs/>
          <w:lang w:val="fr-FR"/>
        </w:rPr>
        <w:t>’</w:t>
      </w:r>
      <w:r w:rsidRPr="00B02A64">
        <w:rPr>
          <w:bCs/>
          <w:lang w:val="fr-FR"/>
        </w:rPr>
        <w:t>était particulièrement le cas pour l</w:t>
      </w:r>
      <w:r w:rsidR="00923E72">
        <w:rPr>
          <w:bCs/>
          <w:lang w:val="fr-FR"/>
        </w:rPr>
        <w:t>’</w:t>
      </w:r>
      <w:r w:rsidRPr="00B02A64">
        <w:rPr>
          <w:bCs/>
          <w:lang w:val="fr-FR"/>
        </w:rPr>
        <w:t>artisanat et les arts du spectacle. Si les communautés ne pouvaient pas vivre, beaucoup de ces éléments seraient menacés précisément parce que les communautés ne pourraient pas en vivre, ce qu</w:t>
      </w:r>
      <w:r w:rsidR="00923E72">
        <w:rPr>
          <w:bCs/>
          <w:lang w:val="fr-FR"/>
        </w:rPr>
        <w:t>’</w:t>
      </w:r>
      <w:r w:rsidRPr="00B02A64">
        <w:rPr>
          <w:bCs/>
          <w:lang w:val="fr-FR"/>
        </w:rPr>
        <w:t>elles faisaient depuis des siècles. Il convenait également de se demander quels étaient les effets négatifs. Ils se produisaient lorsque les pratiques du patrimoine culturel immatériel étaient décontextualisées et détournées dans le but de gagner de l</w:t>
      </w:r>
      <w:r w:rsidR="00923E72">
        <w:rPr>
          <w:bCs/>
          <w:lang w:val="fr-FR"/>
        </w:rPr>
        <w:t>’</w:t>
      </w:r>
      <w:r w:rsidRPr="00B02A64">
        <w:rPr>
          <w:bCs/>
          <w:lang w:val="fr-FR"/>
        </w:rPr>
        <w:t>argent. D</w:t>
      </w:r>
      <w:r w:rsidR="00923E72">
        <w:rPr>
          <w:bCs/>
          <w:lang w:val="fr-FR"/>
        </w:rPr>
        <w:t>’</w:t>
      </w:r>
      <w:r w:rsidRPr="00B02A64">
        <w:rPr>
          <w:bCs/>
          <w:lang w:val="fr-FR"/>
        </w:rPr>
        <w:t>où les interrogations suivantes</w:t>
      </w:r>
      <w:r w:rsidR="00EF61CC">
        <w:rPr>
          <w:bCs/>
          <w:lang w:val="fr-FR"/>
        </w:rPr>
        <w:t> </w:t>
      </w:r>
      <w:r w:rsidRPr="00B02A64">
        <w:rPr>
          <w:bCs/>
          <w:lang w:val="fr-FR"/>
        </w:rPr>
        <w:t xml:space="preserve">: </w:t>
      </w:r>
      <w:r w:rsidR="00DF3355">
        <w:rPr>
          <w:bCs/>
          <w:lang w:val="fr-FR"/>
        </w:rPr>
        <w:t>O</w:t>
      </w:r>
      <w:r w:rsidRPr="00B02A64">
        <w:rPr>
          <w:bCs/>
          <w:lang w:val="fr-FR"/>
        </w:rPr>
        <w:t>ù se situent les limites à ne pas franchir</w:t>
      </w:r>
      <w:r w:rsidR="003F440F">
        <w:rPr>
          <w:bCs/>
          <w:lang w:val="fr-FR"/>
        </w:rPr>
        <w:t> </w:t>
      </w:r>
      <w:r w:rsidRPr="00B02A64">
        <w:rPr>
          <w:bCs/>
          <w:lang w:val="fr-FR"/>
        </w:rPr>
        <w:t>?</w:t>
      </w:r>
      <w:r w:rsidR="003F440F">
        <w:rPr>
          <w:bCs/>
          <w:lang w:val="fr-FR"/>
        </w:rPr>
        <w:t xml:space="preserve"> </w:t>
      </w:r>
      <w:r w:rsidRPr="00B02A64">
        <w:rPr>
          <w:bCs/>
          <w:lang w:val="fr-FR"/>
        </w:rPr>
        <w:t>Où faut-il tracer les limites et qu</w:t>
      </w:r>
      <w:r w:rsidR="00923E72">
        <w:rPr>
          <w:bCs/>
          <w:lang w:val="fr-FR"/>
        </w:rPr>
        <w:t>’</w:t>
      </w:r>
      <w:r w:rsidRPr="00B02A64">
        <w:rPr>
          <w:bCs/>
          <w:lang w:val="fr-FR"/>
        </w:rPr>
        <w:t>en est-il des principes</w:t>
      </w:r>
      <w:r w:rsidR="003F440F">
        <w:rPr>
          <w:bCs/>
          <w:lang w:val="fr-FR"/>
        </w:rPr>
        <w:t> </w:t>
      </w:r>
      <w:r w:rsidRPr="00B02A64">
        <w:rPr>
          <w:bCs/>
          <w:lang w:val="fr-FR"/>
        </w:rPr>
        <w:t xml:space="preserve">? Comment la Convention aborde-t-elle cette question de manière cohérente, sans être </w:t>
      </w:r>
      <w:r w:rsidRPr="00702497">
        <w:rPr>
          <w:bCs/>
          <w:i/>
          <w:iCs/>
          <w:lang w:val="fr-FR"/>
        </w:rPr>
        <w:t>ad hoc</w:t>
      </w:r>
      <w:r w:rsidRPr="00B02A64">
        <w:rPr>
          <w:bCs/>
          <w:lang w:val="fr-FR"/>
        </w:rPr>
        <w:t xml:space="preserve"> ou réactive, mais en suivant certaines lignes directrices</w:t>
      </w:r>
      <w:r w:rsidR="003F440F">
        <w:rPr>
          <w:bCs/>
          <w:lang w:val="fr-FR"/>
        </w:rPr>
        <w:t> </w:t>
      </w:r>
      <w:r w:rsidRPr="00B02A64">
        <w:rPr>
          <w:bCs/>
          <w:lang w:val="fr-FR"/>
        </w:rPr>
        <w:t>? C</w:t>
      </w:r>
      <w:r w:rsidR="00923E72">
        <w:rPr>
          <w:bCs/>
          <w:lang w:val="fr-FR"/>
        </w:rPr>
        <w:t>’</w:t>
      </w:r>
      <w:r w:rsidR="00DF3355">
        <w:rPr>
          <w:bCs/>
          <w:lang w:val="fr-FR"/>
        </w:rPr>
        <w:t xml:space="preserve">était </w:t>
      </w:r>
      <w:r w:rsidRPr="00B02A64">
        <w:rPr>
          <w:bCs/>
          <w:lang w:val="fr-FR"/>
        </w:rPr>
        <w:t>ce que le Secrétariat tentait d</w:t>
      </w:r>
      <w:r w:rsidR="00923E72">
        <w:rPr>
          <w:bCs/>
          <w:lang w:val="fr-FR"/>
        </w:rPr>
        <w:t>’</w:t>
      </w:r>
      <w:r w:rsidRPr="00B02A64">
        <w:rPr>
          <w:bCs/>
          <w:lang w:val="fr-FR"/>
        </w:rPr>
        <w:t>élaborer à travers ce processus. Cela pouvait également avoir un impact sur certaines des discussions à propos des candidatures. D</w:t>
      </w:r>
      <w:r w:rsidR="00923E72">
        <w:rPr>
          <w:bCs/>
          <w:lang w:val="fr-FR"/>
        </w:rPr>
        <w:t>’</w:t>
      </w:r>
      <w:r w:rsidRPr="00B02A64">
        <w:rPr>
          <w:bCs/>
          <w:lang w:val="fr-FR"/>
        </w:rPr>
        <w:t>où l</w:t>
      </w:r>
      <w:r w:rsidR="00923E72">
        <w:rPr>
          <w:bCs/>
          <w:lang w:val="fr-FR"/>
        </w:rPr>
        <w:t>’</w:t>
      </w:r>
      <w:r w:rsidRPr="00B02A64">
        <w:rPr>
          <w:bCs/>
          <w:lang w:val="fr-FR"/>
        </w:rPr>
        <w:t>objectif de cet exercice</w:t>
      </w:r>
      <w:r w:rsidR="00755F7E">
        <w:rPr>
          <w:bCs/>
          <w:lang w:val="fr-FR"/>
        </w:rPr>
        <w:t xml:space="preserve">, </w:t>
      </w:r>
      <w:r w:rsidRPr="00B02A64">
        <w:rPr>
          <w:bCs/>
          <w:lang w:val="fr-FR"/>
        </w:rPr>
        <w:t>qui était d</w:t>
      </w:r>
      <w:r w:rsidR="00923E72">
        <w:rPr>
          <w:bCs/>
          <w:lang w:val="fr-FR"/>
        </w:rPr>
        <w:t>’</w:t>
      </w:r>
      <w:r w:rsidRPr="00B02A64">
        <w:rPr>
          <w:bCs/>
          <w:lang w:val="fr-FR"/>
        </w:rPr>
        <w:t>obtenir une réponse complète et détaillée sur ces questions.</w:t>
      </w:r>
    </w:p>
    <w:p w14:paraId="2A083687" w14:textId="78643C6B" w:rsidR="003F440F" w:rsidRDefault="003F440F" w:rsidP="004666EF">
      <w:pPr>
        <w:pStyle w:val="Orateurengris"/>
        <w:numPr>
          <w:ilvl w:val="0"/>
          <w:numId w:val="20"/>
        </w:numPr>
        <w:tabs>
          <w:tab w:val="clear" w:pos="567"/>
          <w:tab w:val="left" w:pos="5954"/>
        </w:tabs>
        <w:spacing w:before="120"/>
        <w:ind w:left="709" w:hanging="709"/>
        <w:rPr>
          <w:bCs/>
          <w:lang w:val="fr-FR"/>
        </w:rPr>
      </w:pPr>
      <w:r w:rsidRPr="003F440F">
        <w:rPr>
          <w:bCs/>
          <w:lang w:val="fr-FR"/>
        </w:rPr>
        <w:t xml:space="preserve">La délégation du </w:t>
      </w:r>
      <w:r w:rsidRPr="00702497">
        <w:rPr>
          <w:b/>
          <w:lang w:val="fr-FR"/>
        </w:rPr>
        <w:t>Panama</w:t>
      </w:r>
      <w:r w:rsidRPr="003F440F">
        <w:rPr>
          <w:bCs/>
          <w:lang w:val="fr-FR"/>
        </w:rPr>
        <w:t xml:space="preserve"> a remercié le Secrétariat pour le rapport et l</w:t>
      </w:r>
      <w:r w:rsidR="00923E72">
        <w:rPr>
          <w:bCs/>
          <w:lang w:val="fr-FR"/>
        </w:rPr>
        <w:t>’</w:t>
      </w:r>
      <w:r w:rsidRPr="003F440F">
        <w:rPr>
          <w:bCs/>
          <w:lang w:val="fr-FR"/>
        </w:rPr>
        <w:t>enquête, expliquant que</w:t>
      </w:r>
      <w:r w:rsidR="009A34A8">
        <w:rPr>
          <w:bCs/>
          <w:lang w:val="fr-FR"/>
        </w:rPr>
        <w:t> </w:t>
      </w:r>
      <w:r w:rsidRPr="003F440F">
        <w:rPr>
          <w:bCs/>
          <w:lang w:val="fr-FR"/>
        </w:rPr>
        <w:t>25</w:t>
      </w:r>
      <w:r>
        <w:rPr>
          <w:bCs/>
          <w:lang w:val="fr-FR"/>
        </w:rPr>
        <w:t> </w:t>
      </w:r>
      <w:r w:rsidRPr="003F440F">
        <w:rPr>
          <w:bCs/>
          <w:lang w:val="fr-FR"/>
        </w:rPr>
        <w:t>% de la population nationale vit dans la capitale, avec une population afro-descendante ou autochtone dans les villes qui ne peut pas exprimer ou pratiquer son patrimoine vivant parce qu</w:t>
      </w:r>
      <w:r w:rsidR="00923E72">
        <w:rPr>
          <w:bCs/>
          <w:lang w:val="fr-FR"/>
        </w:rPr>
        <w:t>’</w:t>
      </w:r>
      <w:r w:rsidRPr="003F440F">
        <w:rPr>
          <w:bCs/>
          <w:lang w:val="fr-FR"/>
        </w:rPr>
        <w:t>elle vit dans les banlieues ou dans ce qu</w:t>
      </w:r>
      <w:r w:rsidR="00923E72">
        <w:rPr>
          <w:bCs/>
          <w:lang w:val="fr-FR"/>
        </w:rPr>
        <w:t>’</w:t>
      </w:r>
      <w:r w:rsidRPr="003F440F">
        <w:rPr>
          <w:bCs/>
          <w:lang w:val="fr-FR"/>
        </w:rPr>
        <w:t xml:space="preserve">on appelle les </w:t>
      </w:r>
      <w:r>
        <w:rPr>
          <w:bCs/>
          <w:lang w:val="fr-FR"/>
        </w:rPr>
        <w:t>« </w:t>
      </w:r>
      <w:r w:rsidRPr="003F440F">
        <w:rPr>
          <w:bCs/>
          <w:lang w:val="fr-FR"/>
        </w:rPr>
        <w:t>zones rouges</w:t>
      </w:r>
      <w:r>
        <w:rPr>
          <w:bCs/>
          <w:lang w:val="fr-FR"/>
        </w:rPr>
        <w:t> »</w:t>
      </w:r>
      <w:r w:rsidRPr="003F440F">
        <w:rPr>
          <w:bCs/>
          <w:lang w:val="fr-FR"/>
        </w:rPr>
        <w:t>. Grâce à cette enquête, le Panama pouvait prendre contact avec les communautés du patrimoine et parler de l</w:t>
      </w:r>
      <w:r w:rsidR="00923E72">
        <w:rPr>
          <w:bCs/>
          <w:lang w:val="fr-FR"/>
        </w:rPr>
        <w:t>’</w:t>
      </w:r>
      <w:r w:rsidRPr="003F440F">
        <w:rPr>
          <w:bCs/>
          <w:lang w:val="fr-FR"/>
        </w:rPr>
        <w:t>importance du patrimoine vivant. La délégation a remercié le Secrétariat pour cette initiative utile.</w:t>
      </w:r>
    </w:p>
    <w:p w14:paraId="1FE5C024" w14:textId="0EE2C34D" w:rsidR="003F440F" w:rsidRDefault="003F440F" w:rsidP="003F440F">
      <w:pPr>
        <w:pStyle w:val="Orateurengris"/>
        <w:numPr>
          <w:ilvl w:val="0"/>
          <w:numId w:val="20"/>
        </w:numPr>
        <w:tabs>
          <w:tab w:val="clear" w:pos="567"/>
          <w:tab w:val="left" w:pos="5954"/>
        </w:tabs>
        <w:spacing w:before="120"/>
        <w:ind w:left="709" w:hanging="709"/>
        <w:rPr>
          <w:bCs/>
          <w:lang w:val="fr-FR"/>
        </w:rPr>
      </w:pPr>
      <w:r w:rsidRPr="003F440F">
        <w:rPr>
          <w:bCs/>
          <w:lang w:val="fr-FR"/>
        </w:rPr>
        <w:t>En l</w:t>
      </w:r>
      <w:r w:rsidR="00923E72">
        <w:rPr>
          <w:bCs/>
          <w:lang w:val="fr-FR"/>
        </w:rPr>
        <w:t>’</w:t>
      </w:r>
      <w:r w:rsidRPr="003F440F">
        <w:rPr>
          <w:bCs/>
          <w:lang w:val="fr-FR"/>
        </w:rPr>
        <w:t>absence</w:t>
      </w:r>
      <w:r>
        <w:rPr>
          <w:bCs/>
          <w:lang w:val="fr-FR"/>
        </w:rPr>
        <w:t xml:space="preserve"> d</w:t>
      </w:r>
      <w:r w:rsidR="00923E72">
        <w:rPr>
          <w:bCs/>
          <w:lang w:val="fr-FR"/>
        </w:rPr>
        <w:t>’</w:t>
      </w:r>
      <w:r>
        <w:rPr>
          <w:bCs/>
          <w:lang w:val="fr-FR"/>
        </w:rPr>
        <w:t xml:space="preserve">autres </w:t>
      </w:r>
      <w:r w:rsidRPr="003F440F">
        <w:rPr>
          <w:bCs/>
          <w:lang w:val="fr-FR"/>
        </w:rPr>
        <w:t>commentaires</w:t>
      </w:r>
      <w:r>
        <w:rPr>
          <w:bCs/>
          <w:lang w:val="fr-FR"/>
        </w:rPr>
        <w:t xml:space="preserve">, le </w:t>
      </w:r>
      <w:r w:rsidRPr="00702497">
        <w:rPr>
          <w:b/>
          <w:lang w:val="fr-FR"/>
        </w:rPr>
        <w:t>Président</w:t>
      </w:r>
      <w:r>
        <w:rPr>
          <w:bCs/>
          <w:lang w:val="fr-FR"/>
        </w:rPr>
        <w:t xml:space="preserve"> a donné la parole aux </w:t>
      </w:r>
      <w:r w:rsidRPr="003F440F">
        <w:rPr>
          <w:bCs/>
          <w:lang w:val="fr-FR"/>
        </w:rPr>
        <w:t>observateurs</w:t>
      </w:r>
      <w:r>
        <w:rPr>
          <w:bCs/>
          <w:lang w:val="fr-FR"/>
        </w:rPr>
        <w:t>.</w:t>
      </w:r>
    </w:p>
    <w:p w14:paraId="67A5C95E" w14:textId="46450583" w:rsidR="003F440F" w:rsidRDefault="003F440F" w:rsidP="003F440F">
      <w:pPr>
        <w:pStyle w:val="Orateurengris"/>
        <w:numPr>
          <w:ilvl w:val="0"/>
          <w:numId w:val="20"/>
        </w:numPr>
        <w:tabs>
          <w:tab w:val="clear" w:pos="567"/>
          <w:tab w:val="left" w:pos="5954"/>
        </w:tabs>
        <w:spacing w:before="120"/>
        <w:ind w:left="709" w:hanging="709"/>
        <w:rPr>
          <w:bCs/>
          <w:lang w:val="fr-FR"/>
        </w:rPr>
      </w:pPr>
      <w:r w:rsidRPr="003F440F">
        <w:rPr>
          <w:bCs/>
          <w:lang w:val="fr-FR"/>
        </w:rPr>
        <w:t xml:space="preserve">La délégation de la </w:t>
      </w:r>
      <w:r w:rsidRPr="00702497">
        <w:rPr>
          <w:b/>
          <w:lang w:val="fr-FR"/>
        </w:rPr>
        <w:t>Jamaïque</w:t>
      </w:r>
      <w:r w:rsidRPr="003F440F">
        <w:rPr>
          <w:bCs/>
          <w:lang w:val="fr-FR"/>
        </w:rPr>
        <w:t xml:space="preserve"> a pris note des travaux mis en œuvre dans le cadre des initiatives thématiques et a remercié le Secrétariat pour le rapport. La Jamaïque était particulièrement intéressée par les initiatives qui impliquaient les systèmes de savoirs traditionnels, non seulement pour accroître la résilience des communautés, mais également pour comprendre de quelle façon le changement climatique peut</w:t>
      </w:r>
      <w:r w:rsidR="00EF61CC">
        <w:rPr>
          <w:bCs/>
          <w:lang w:val="fr-FR"/>
        </w:rPr>
        <w:t>,</w:t>
      </w:r>
      <w:r w:rsidRPr="003F440F">
        <w:rPr>
          <w:bCs/>
          <w:lang w:val="fr-FR"/>
        </w:rPr>
        <w:t xml:space="preserve"> en fait</w:t>
      </w:r>
      <w:r w:rsidR="00EF61CC">
        <w:rPr>
          <w:bCs/>
          <w:lang w:val="fr-FR"/>
        </w:rPr>
        <w:t>,</w:t>
      </w:r>
      <w:r w:rsidRPr="003F440F">
        <w:rPr>
          <w:bCs/>
          <w:lang w:val="fr-FR"/>
        </w:rPr>
        <w:t xml:space="preserve"> </w:t>
      </w:r>
      <w:r w:rsidR="00DF3355">
        <w:rPr>
          <w:bCs/>
          <w:lang w:val="fr-FR"/>
        </w:rPr>
        <w:t xml:space="preserve">réduire à néant </w:t>
      </w:r>
      <w:r w:rsidRPr="003F440F">
        <w:rPr>
          <w:bCs/>
          <w:lang w:val="fr-FR"/>
        </w:rPr>
        <w:t>les détenteurs de savoirs</w:t>
      </w:r>
      <w:r w:rsidR="00EF61CC">
        <w:rPr>
          <w:bCs/>
          <w:lang w:val="fr-FR"/>
        </w:rPr>
        <w:t xml:space="preserve"> ainsi que </w:t>
      </w:r>
      <w:r w:rsidRPr="003F440F">
        <w:rPr>
          <w:bCs/>
          <w:lang w:val="fr-FR"/>
        </w:rPr>
        <w:t xml:space="preserve">les traditions et les sites culturels qui y sont associés. Elle a </w:t>
      </w:r>
      <w:r w:rsidRPr="003F440F">
        <w:rPr>
          <w:bCs/>
          <w:lang w:val="fr-FR"/>
        </w:rPr>
        <w:lastRenderedPageBreak/>
        <w:t>également remercié l</w:t>
      </w:r>
      <w:r w:rsidR="00923E72">
        <w:rPr>
          <w:bCs/>
          <w:lang w:val="fr-FR"/>
        </w:rPr>
        <w:t>’</w:t>
      </w:r>
      <w:r w:rsidRPr="003F440F">
        <w:rPr>
          <w:bCs/>
          <w:lang w:val="fr-FR"/>
        </w:rPr>
        <w:t>UNESCO d</w:t>
      </w:r>
      <w:r w:rsidR="00923E72">
        <w:rPr>
          <w:bCs/>
          <w:lang w:val="fr-FR"/>
        </w:rPr>
        <w:t>’</w:t>
      </w:r>
      <w:r w:rsidRPr="003F440F">
        <w:rPr>
          <w:bCs/>
          <w:lang w:val="fr-FR"/>
        </w:rPr>
        <w:t xml:space="preserve">avoir inclus Kingston </w:t>
      </w:r>
      <w:r w:rsidR="00617774">
        <w:rPr>
          <w:bCs/>
          <w:lang w:val="fr-FR"/>
        </w:rPr>
        <w:t>sur la liste</w:t>
      </w:r>
      <w:r w:rsidRPr="003F440F">
        <w:rPr>
          <w:bCs/>
          <w:lang w:val="fr-FR"/>
        </w:rPr>
        <w:t xml:space="preserve"> des villes pilotes du projet </w:t>
      </w:r>
      <w:r w:rsidR="00B03B89">
        <w:rPr>
          <w:bCs/>
          <w:lang w:val="fr-FR"/>
        </w:rPr>
        <w:t>« </w:t>
      </w:r>
      <w:r w:rsidRPr="003F440F">
        <w:rPr>
          <w:bCs/>
          <w:lang w:val="fr-FR"/>
        </w:rPr>
        <w:t>Patrimoine immatériel et créativité pour des villes durables</w:t>
      </w:r>
      <w:r w:rsidR="00B03B89">
        <w:rPr>
          <w:bCs/>
          <w:lang w:val="fr-FR"/>
        </w:rPr>
        <w:t> »</w:t>
      </w:r>
      <w:r w:rsidRPr="003F440F">
        <w:rPr>
          <w:bCs/>
          <w:lang w:val="fr-FR"/>
        </w:rPr>
        <w:t>. En effet, des bénéfices significatifs avaient été observés tout au long de ce projet parmi les parties prenantes. La délégation estimait qu</w:t>
      </w:r>
      <w:r w:rsidR="00923E72">
        <w:rPr>
          <w:bCs/>
          <w:lang w:val="fr-FR"/>
        </w:rPr>
        <w:t>’</w:t>
      </w:r>
      <w:r w:rsidRPr="003F440F">
        <w:rPr>
          <w:bCs/>
          <w:lang w:val="fr-FR"/>
        </w:rPr>
        <w:t>il était important de débattre des avantages économiques associés aux pratiques du patrimoine immatériel, et elle a reconnu que de nombreuses communautés en avaient besoin pour maintenir leurs moyens de subsistance. C</w:t>
      </w:r>
      <w:r w:rsidR="00923E72">
        <w:rPr>
          <w:bCs/>
          <w:lang w:val="fr-FR"/>
        </w:rPr>
        <w:t>’</w:t>
      </w:r>
      <w:r w:rsidRPr="003F440F">
        <w:rPr>
          <w:bCs/>
          <w:lang w:val="fr-FR"/>
        </w:rPr>
        <w:t>était le cas dans les Caraïbes</w:t>
      </w:r>
      <w:r w:rsidR="00B03B89">
        <w:rPr>
          <w:bCs/>
          <w:lang w:val="fr-FR"/>
        </w:rPr>
        <w:t>,</w:t>
      </w:r>
      <w:r w:rsidRPr="003F440F">
        <w:rPr>
          <w:bCs/>
          <w:lang w:val="fr-FR"/>
        </w:rPr>
        <w:t xml:space="preserve"> et il était probable que de nombreuses autres régions ne soient pas en mesure de pratiquer leurs traditions sans les nombreux avantages économiques qu</w:t>
      </w:r>
      <w:r w:rsidR="00923E72">
        <w:rPr>
          <w:bCs/>
          <w:lang w:val="fr-FR"/>
        </w:rPr>
        <w:t>’</w:t>
      </w:r>
      <w:r w:rsidRPr="003F440F">
        <w:rPr>
          <w:bCs/>
          <w:lang w:val="fr-FR"/>
        </w:rPr>
        <w:t>elles en retiraient.</w:t>
      </w:r>
    </w:p>
    <w:p w14:paraId="2E739A11" w14:textId="54966C8E" w:rsidR="00B03B89" w:rsidRDefault="00B03B89" w:rsidP="003F440F">
      <w:pPr>
        <w:pStyle w:val="Orateurengris"/>
        <w:numPr>
          <w:ilvl w:val="0"/>
          <w:numId w:val="20"/>
        </w:numPr>
        <w:tabs>
          <w:tab w:val="clear" w:pos="567"/>
          <w:tab w:val="left" w:pos="5954"/>
        </w:tabs>
        <w:spacing w:before="120"/>
        <w:ind w:left="709" w:hanging="709"/>
        <w:rPr>
          <w:bCs/>
          <w:lang w:val="fr-FR"/>
        </w:rPr>
      </w:pPr>
      <w:r w:rsidRPr="00B03B89">
        <w:rPr>
          <w:bCs/>
          <w:lang w:val="fr-FR"/>
        </w:rPr>
        <w:t xml:space="preserve">La délégation de </w:t>
      </w:r>
      <w:r w:rsidRPr="00702497">
        <w:rPr>
          <w:b/>
          <w:lang w:val="fr-FR"/>
        </w:rPr>
        <w:t>Samoa</w:t>
      </w:r>
      <w:r w:rsidRPr="00B03B89">
        <w:rPr>
          <w:bCs/>
          <w:lang w:val="fr-FR"/>
        </w:rPr>
        <w:t xml:space="preserve"> a exprimé sa gratitude au Maroc pour sa chaleureuse hospitalité. Grâce à son nouveau plan national, le Gouvernement accordait la priorité à la promotion du patrimoine immatériel. Il soutenait les nouvelles initiatives du Comité en faveur du patrimoine vivant pour le développement durable. Samoa poursuivait ses efforts pour sauvegarder son patrimoine culturel immatériel et </w:t>
      </w:r>
      <w:r w:rsidR="00AE1B5E">
        <w:rPr>
          <w:bCs/>
          <w:lang w:val="fr-FR"/>
        </w:rPr>
        <w:t>soumettre d</w:t>
      </w:r>
      <w:r w:rsidRPr="00B03B89">
        <w:rPr>
          <w:bCs/>
          <w:lang w:val="fr-FR"/>
        </w:rPr>
        <w:t xml:space="preserve">es candidatures à la Convention. Samoa avait pris note avec gratitude des discussions et des informations échangées au cours de cette réunion. Il a toutefois demandé au Comité de prendre note des défis auxquels sont confrontés les PEID en matière de renforcement des capacités, non seulement en </w:t>
      </w:r>
      <w:r w:rsidR="008F2E6F">
        <w:rPr>
          <w:bCs/>
          <w:lang w:val="fr-FR"/>
        </w:rPr>
        <w:t>ce qui concerne les</w:t>
      </w:r>
      <w:r w:rsidRPr="00B03B89">
        <w:rPr>
          <w:bCs/>
          <w:lang w:val="fr-FR"/>
        </w:rPr>
        <w:t xml:space="preserve"> ressources techniques</w:t>
      </w:r>
      <w:r w:rsidR="00AE1B5E">
        <w:rPr>
          <w:bCs/>
          <w:lang w:val="fr-FR"/>
        </w:rPr>
        <w:t xml:space="preserve">, </w:t>
      </w:r>
      <w:r w:rsidRPr="00B03B89">
        <w:rPr>
          <w:bCs/>
          <w:lang w:val="fr-FR"/>
        </w:rPr>
        <w:t xml:space="preserve">mais également </w:t>
      </w:r>
      <w:r w:rsidR="008F2E6F">
        <w:rPr>
          <w:bCs/>
          <w:lang w:val="fr-FR"/>
        </w:rPr>
        <w:t>les</w:t>
      </w:r>
      <w:r w:rsidRPr="00B03B89">
        <w:rPr>
          <w:bCs/>
          <w:lang w:val="fr-FR"/>
        </w:rPr>
        <w:t xml:space="preserve"> ressources humaines.</w:t>
      </w:r>
    </w:p>
    <w:p w14:paraId="5EDF2F86" w14:textId="252D5CB4" w:rsidR="008F2E6F" w:rsidRDefault="008F2E6F" w:rsidP="003F440F">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projet de décision dans son ensemble. </w:t>
      </w:r>
      <w:r w:rsidRPr="008F2E6F">
        <w:rPr>
          <w:bCs/>
          <w:lang w:val="fr-FR"/>
        </w:rPr>
        <w:t>En l</w:t>
      </w:r>
      <w:r w:rsidR="00923E72">
        <w:rPr>
          <w:bCs/>
          <w:lang w:val="fr-FR"/>
        </w:rPr>
        <w:t>’</w:t>
      </w:r>
      <w:r w:rsidRPr="008F2E6F">
        <w:rPr>
          <w:bCs/>
          <w:lang w:val="fr-FR"/>
        </w:rPr>
        <w:t>absence</w:t>
      </w:r>
      <w:r>
        <w:rPr>
          <w:bCs/>
          <w:lang w:val="fr-FR"/>
        </w:rPr>
        <w:t xml:space="preserve"> d</w:t>
      </w:r>
      <w:r w:rsidR="00923E72">
        <w:rPr>
          <w:bCs/>
          <w:lang w:val="fr-FR"/>
        </w:rPr>
        <w:t>’</w:t>
      </w:r>
      <w:r>
        <w:rPr>
          <w:bCs/>
          <w:lang w:val="fr-FR"/>
        </w:rPr>
        <w:t xml:space="preserve">objections, le </w:t>
      </w:r>
      <w:r w:rsidRPr="00702497">
        <w:rPr>
          <w:b/>
          <w:lang w:val="fr-FR"/>
        </w:rPr>
        <w:t>Président a déclaré la décision </w:t>
      </w:r>
      <w:hyperlink r:id="rId115" w:history="1">
        <w:r w:rsidRPr="006E3034">
          <w:rPr>
            <w:rStyle w:val="Hyperlink"/>
            <w:b/>
            <w:lang w:val="fr-FR"/>
          </w:rPr>
          <w:t>17.COM 13</w:t>
        </w:r>
      </w:hyperlink>
      <w:r w:rsidRPr="00702497">
        <w:rPr>
          <w:b/>
          <w:lang w:val="fr-FR"/>
        </w:rPr>
        <w:t xml:space="preserve"> adoptée</w:t>
      </w:r>
      <w:r>
        <w:rPr>
          <w:bCs/>
          <w:lang w:val="fr-FR"/>
        </w:rPr>
        <w:t>.</w:t>
      </w:r>
    </w:p>
    <w:p w14:paraId="14F45B35" w14:textId="584A224E" w:rsidR="008F2E6F" w:rsidRPr="00702497" w:rsidRDefault="008F2E6F" w:rsidP="00702497">
      <w:pPr>
        <w:pStyle w:val="Marge"/>
        <w:keepNext/>
        <w:tabs>
          <w:tab w:val="clear" w:pos="567"/>
          <w:tab w:val="left" w:pos="709"/>
          <w:tab w:val="left" w:pos="1418"/>
          <w:tab w:val="left" w:pos="2126"/>
          <w:tab w:val="left" w:pos="2835"/>
        </w:tabs>
        <w:spacing w:before="360" w:after="60"/>
        <w:jc w:val="left"/>
        <w:outlineLvl w:val="0"/>
        <w:rPr>
          <w:b/>
          <w:color w:val="000000" w:themeColor="text1"/>
        </w:rPr>
      </w:pPr>
      <w:r>
        <w:rPr>
          <w:b/>
          <w:color w:val="000000" w:themeColor="text1"/>
          <w:u w:val="single"/>
        </w:rPr>
        <w:t>POINT</w:t>
      </w:r>
      <w:r w:rsidR="0073323E">
        <w:rPr>
          <w:b/>
          <w:color w:val="000000" w:themeColor="text1"/>
          <w:u w:val="single"/>
        </w:rPr>
        <w:t> </w:t>
      </w:r>
      <w:r>
        <w:rPr>
          <w:b/>
          <w:color w:val="000000" w:themeColor="text1"/>
          <w:u w:val="single"/>
        </w:rPr>
        <w:t>15 DE L</w:t>
      </w:r>
      <w:r w:rsidR="00923E72">
        <w:rPr>
          <w:b/>
          <w:color w:val="000000" w:themeColor="text1"/>
          <w:u w:val="single"/>
        </w:rPr>
        <w:t>’</w:t>
      </w:r>
      <w:r w:rsidRPr="008F2E6F">
        <w:rPr>
          <w:b/>
          <w:color w:val="000000" w:themeColor="text1"/>
          <w:u w:val="single"/>
        </w:rPr>
        <w:t>ORDRE DU JOUR</w:t>
      </w:r>
      <w:r w:rsidRPr="008F2E6F">
        <w:rPr>
          <w:b/>
          <w:color w:val="000000" w:themeColor="text1"/>
        </w:rPr>
        <w:t> </w:t>
      </w:r>
      <w:r>
        <w:rPr>
          <w:b/>
          <w:color w:val="000000" w:themeColor="text1"/>
        </w:rPr>
        <w:t>:</w:t>
      </w:r>
    </w:p>
    <w:p w14:paraId="7D5BB8D2" w14:textId="1D5A5B24" w:rsidR="008F2E6F" w:rsidRPr="00BF64BF" w:rsidRDefault="008F2E6F" w:rsidP="00702497">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BF64BF">
        <w:rPr>
          <w:rFonts w:eastAsiaTheme="minorHAnsi"/>
          <w:b/>
          <w:color w:val="000000" w:themeColor="text1"/>
        </w:rPr>
        <w:t>N</w:t>
      </w:r>
      <w:r>
        <w:rPr>
          <w:rFonts w:eastAsiaTheme="minorHAnsi"/>
          <w:b/>
          <w:color w:val="000000" w:themeColor="text1"/>
        </w:rPr>
        <w:t>OMBRE DE DOSSIERS SOUMIS POUR LES CYCLES</w:t>
      </w:r>
      <w:r w:rsidR="0073323E">
        <w:rPr>
          <w:rFonts w:eastAsiaTheme="minorHAnsi"/>
          <w:b/>
          <w:color w:val="000000" w:themeColor="text1"/>
        </w:rPr>
        <w:t> </w:t>
      </w:r>
      <w:r>
        <w:rPr>
          <w:rFonts w:eastAsiaTheme="minorHAnsi"/>
          <w:b/>
          <w:color w:val="000000" w:themeColor="text1"/>
        </w:rPr>
        <w:t>2022 ET</w:t>
      </w:r>
      <w:r w:rsidR="0073323E">
        <w:rPr>
          <w:rFonts w:eastAsiaTheme="minorHAnsi"/>
          <w:b/>
          <w:color w:val="000000" w:themeColor="text1"/>
        </w:rPr>
        <w:t> </w:t>
      </w:r>
      <w:r>
        <w:rPr>
          <w:rFonts w:eastAsiaTheme="minorHAnsi"/>
          <w:b/>
          <w:color w:val="000000" w:themeColor="text1"/>
        </w:rPr>
        <w:t>2023 ET NOMBRE DE DOSSIERS POUVANT ÊTRE TRAITÉS POUR LES CYCLES</w:t>
      </w:r>
      <w:r w:rsidR="0073323E">
        <w:rPr>
          <w:rFonts w:eastAsiaTheme="minorHAnsi"/>
          <w:b/>
          <w:color w:val="000000" w:themeColor="text1"/>
        </w:rPr>
        <w:t> </w:t>
      </w:r>
      <w:r>
        <w:rPr>
          <w:rFonts w:eastAsiaTheme="minorHAnsi"/>
          <w:b/>
          <w:color w:val="000000" w:themeColor="text1"/>
        </w:rPr>
        <w:t>2024 ET</w:t>
      </w:r>
      <w:r w:rsidR="0073323E">
        <w:rPr>
          <w:rFonts w:eastAsiaTheme="minorHAnsi"/>
          <w:b/>
          <w:color w:val="000000" w:themeColor="text1"/>
        </w:rPr>
        <w:t> </w:t>
      </w:r>
      <w:r>
        <w:rPr>
          <w:rFonts w:eastAsiaTheme="minorHAnsi"/>
          <w:b/>
          <w:color w:val="000000" w:themeColor="text1"/>
        </w:rPr>
        <w:t>2025</w:t>
      </w:r>
    </w:p>
    <w:p w14:paraId="42CE55D0" w14:textId="1EED4810" w:rsidR="008F2E6F" w:rsidRPr="0069758D" w:rsidRDefault="008F2E6F" w:rsidP="00702497">
      <w:pPr>
        <w:pStyle w:val="Orateurengris"/>
        <w:tabs>
          <w:tab w:val="clear" w:pos="709"/>
          <w:tab w:val="clear" w:pos="1418"/>
          <w:tab w:val="clear" w:pos="2126"/>
          <w:tab w:val="clear" w:pos="2835"/>
        </w:tabs>
        <w:spacing w:after="0"/>
        <w:ind w:left="567" w:firstLine="142"/>
        <w:rPr>
          <w:lang w:val="fr-FR"/>
        </w:rPr>
      </w:pPr>
      <w:r w:rsidRPr="0069758D">
        <w:rPr>
          <w:b/>
          <w:color w:val="000000" w:themeColor="text1"/>
          <w:lang w:val="fr-FR"/>
        </w:rPr>
        <w:t>Document</w:t>
      </w:r>
      <w:r>
        <w:rPr>
          <w:b/>
          <w:color w:val="000000" w:themeColor="text1"/>
          <w:lang w:val="fr-FR"/>
        </w:rPr>
        <w:t> </w:t>
      </w:r>
      <w:r w:rsidRPr="0069758D">
        <w:rPr>
          <w:b/>
          <w:color w:val="000000" w:themeColor="text1"/>
          <w:lang w:val="fr-FR"/>
        </w:rPr>
        <w:t>:</w:t>
      </w:r>
      <w:r w:rsidRPr="0069758D">
        <w:rPr>
          <w:b/>
          <w:iCs/>
          <w:color w:val="000000" w:themeColor="text1"/>
          <w:lang w:val="fr-FR"/>
        </w:rPr>
        <w:tab/>
      </w:r>
      <w:hyperlink r:id="rId116" w:history="1">
        <w:r w:rsidRPr="0069758D">
          <w:rPr>
            <w:rStyle w:val="Hyperlink"/>
            <w:i/>
            <w:lang w:val="fr-FR"/>
          </w:rPr>
          <w:t>LHE/22/17.COM/15</w:t>
        </w:r>
      </w:hyperlink>
    </w:p>
    <w:p w14:paraId="00BEDA6B" w14:textId="7B589D3E" w:rsidR="008F2E6F" w:rsidRPr="0069758D" w:rsidRDefault="008F2E6F" w:rsidP="00702497">
      <w:pPr>
        <w:pStyle w:val="Orateurengris"/>
        <w:tabs>
          <w:tab w:val="clear" w:pos="709"/>
          <w:tab w:val="clear" w:pos="1418"/>
          <w:tab w:val="clear" w:pos="2126"/>
          <w:tab w:val="clear" w:pos="2835"/>
        </w:tabs>
        <w:spacing w:before="60" w:after="240"/>
        <w:ind w:left="567" w:firstLine="142"/>
        <w:rPr>
          <w:i/>
          <w:lang w:val="fr-FR"/>
        </w:rPr>
      </w:pPr>
      <w:r w:rsidRPr="0069758D">
        <w:rPr>
          <w:b/>
          <w:color w:val="000000" w:themeColor="text1"/>
          <w:lang w:val="fr-FR"/>
        </w:rPr>
        <w:t>D</w:t>
      </w:r>
      <w:r>
        <w:rPr>
          <w:b/>
          <w:color w:val="000000" w:themeColor="text1"/>
          <w:lang w:val="fr-FR"/>
        </w:rPr>
        <w:t>é</w:t>
      </w:r>
      <w:r w:rsidRPr="0069758D">
        <w:rPr>
          <w:b/>
          <w:color w:val="000000" w:themeColor="text1"/>
          <w:lang w:val="fr-FR"/>
        </w:rPr>
        <w:t>cision</w:t>
      </w:r>
      <w:r>
        <w:rPr>
          <w:b/>
          <w:color w:val="000000" w:themeColor="text1"/>
          <w:lang w:val="fr-FR"/>
        </w:rPr>
        <w:t> </w:t>
      </w:r>
      <w:r w:rsidRPr="0069758D">
        <w:rPr>
          <w:b/>
          <w:color w:val="000000" w:themeColor="text1"/>
          <w:lang w:val="fr-FR"/>
        </w:rPr>
        <w:t>:</w:t>
      </w:r>
      <w:r w:rsidRPr="0069758D">
        <w:rPr>
          <w:bCs/>
          <w:color w:val="000000" w:themeColor="text1"/>
          <w:lang w:val="fr-FR"/>
        </w:rPr>
        <w:tab/>
      </w:r>
      <w:hyperlink r:id="rId117" w:history="1">
        <w:r w:rsidRPr="0069758D">
          <w:rPr>
            <w:rStyle w:val="Hyperlink"/>
            <w:i/>
            <w:lang w:val="fr-FR"/>
          </w:rPr>
          <w:t>17.COM 15</w:t>
        </w:r>
      </w:hyperlink>
    </w:p>
    <w:p w14:paraId="0D10219F" w14:textId="52AE3FD1" w:rsidR="008F2E6F" w:rsidRDefault="008F2E6F" w:rsidP="003F440F">
      <w:pPr>
        <w:pStyle w:val="Orateurengris"/>
        <w:numPr>
          <w:ilvl w:val="0"/>
          <w:numId w:val="20"/>
        </w:numPr>
        <w:tabs>
          <w:tab w:val="clear" w:pos="567"/>
          <w:tab w:val="left" w:pos="5954"/>
        </w:tabs>
        <w:spacing w:before="120"/>
        <w:ind w:left="709" w:hanging="709"/>
        <w:rPr>
          <w:bCs/>
          <w:lang w:val="fr-FR"/>
        </w:rPr>
      </w:pPr>
      <w:r w:rsidRPr="008F2E6F">
        <w:rPr>
          <w:bCs/>
          <w:lang w:val="fr-FR"/>
        </w:rPr>
        <w:t xml:space="preserve">Le </w:t>
      </w:r>
      <w:r w:rsidRPr="00702497">
        <w:rPr>
          <w:b/>
          <w:lang w:val="fr-FR"/>
        </w:rPr>
        <w:t>Président</w:t>
      </w:r>
      <w:r w:rsidRPr="008F2E6F">
        <w:rPr>
          <w:bCs/>
          <w:lang w:val="fr-FR"/>
        </w:rPr>
        <w:t xml:space="preserve"> est passé au point</w:t>
      </w:r>
      <w:r w:rsidR="00EA515D">
        <w:rPr>
          <w:bCs/>
          <w:lang w:val="fr-FR"/>
        </w:rPr>
        <w:t> </w:t>
      </w:r>
      <w:r w:rsidRPr="008F2E6F">
        <w:rPr>
          <w:bCs/>
          <w:lang w:val="fr-FR"/>
        </w:rPr>
        <w:t>15 de l</w:t>
      </w:r>
      <w:r w:rsidR="00923E72">
        <w:rPr>
          <w:bCs/>
          <w:lang w:val="fr-FR"/>
        </w:rPr>
        <w:t>’</w:t>
      </w:r>
      <w:r w:rsidRPr="008F2E6F">
        <w:rPr>
          <w:bCs/>
          <w:lang w:val="fr-FR"/>
        </w:rPr>
        <w:t>ordre du jour, le nombre de dossiers soumis pour les cycles</w:t>
      </w:r>
      <w:r w:rsidR="00EA515D">
        <w:rPr>
          <w:bCs/>
          <w:lang w:val="fr-FR"/>
        </w:rPr>
        <w:t> </w:t>
      </w:r>
      <w:r w:rsidRPr="008F2E6F">
        <w:rPr>
          <w:bCs/>
          <w:lang w:val="fr-FR"/>
        </w:rPr>
        <w:t>2022 et</w:t>
      </w:r>
      <w:r w:rsidR="00EA515D">
        <w:rPr>
          <w:bCs/>
          <w:lang w:val="fr-FR"/>
        </w:rPr>
        <w:t> </w:t>
      </w:r>
      <w:r w:rsidRPr="008F2E6F">
        <w:rPr>
          <w:bCs/>
          <w:lang w:val="fr-FR"/>
        </w:rPr>
        <w:t>2023</w:t>
      </w:r>
      <w:r>
        <w:rPr>
          <w:bCs/>
          <w:lang w:val="fr-FR"/>
        </w:rPr>
        <w:t xml:space="preserve"> et </w:t>
      </w:r>
      <w:r w:rsidRPr="008F2E6F">
        <w:rPr>
          <w:bCs/>
          <w:lang w:val="fr-FR"/>
        </w:rPr>
        <w:t>le nombre de dossiers pouvant être traités pour les cycles</w:t>
      </w:r>
      <w:r w:rsidR="00EA515D">
        <w:rPr>
          <w:bCs/>
          <w:lang w:val="fr-FR"/>
        </w:rPr>
        <w:t> </w:t>
      </w:r>
      <w:r w:rsidRPr="008F2E6F">
        <w:rPr>
          <w:bCs/>
          <w:lang w:val="fr-FR"/>
        </w:rPr>
        <w:t>2024 et</w:t>
      </w:r>
      <w:r w:rsidR="00EA515D">
        <w:rPr>
          <w:bCs/>
          <w:lang w:val="fr-FR"/>
        </w:rPr>
        <w:t> </w:t>
      </w:r>
      <w:r w:rsidRPr="008F2E6F">
        <w:rPr>
          <w:bCs/>
          <w:lang w:val="fr-FR"/>
        </w:rPr>
        <w:t>2025. Il s</w:t>
      </w:r>
      <w:r w:rsidR="00923E72">
        <w:rPr>
          <w:bCs/>
          <w:lang w:val="fr-FR"/>
        </w:rPr>
        <w:t>’</w:t>
      </w:r>
      <w:r w:rsidRPr="008F2E6F">
        <w:rPr>
          <w:bCs/>
          <w:lang w:val="fr-FR"/>
        </w:rPr>
        <w:t>agissait d</w:t>
      </w:r>
      <w:r w:rsidR="00923E72">
        <w:rPr>
          <w:bCs/>
          <w:lang w:val="fr-FR"/>
        </w:rPr>
        <w:t>’</w:t>
      </w:r>
      <w:r w:rsidRPr="008F2E6F">
        <w:rPr>
          <w:bCs/>
          <w:lang w:val="fr-FR"/>
        </w:rPr>
        <w:t>une question importante qui avait fait l</w:t>
      </w:r>
      <w:r w:rsidR="00923E72">
        <w:rPr>
          <w:bCs/>
          <w:lang w:val="fr-FR"/>
        </w:rPr>
        <w:t>’</w:t>
      </w:r>
      <w:r w:rsidRPr="008F2E6F">
        <w:rPr>
          <w:bCs/>
          <w:lang w:val="fr-FR"/>
        </w:rPr>
        <w:t>objet de longues discussions au sein du Comité et du groupe de travail à composition non limitée dans le cadre de la réflexion globale sur les mécanismes d</w:t>
      </w:r>
      <w:r w:rsidR="00923E72">
        <w:rPr>
          <w:bCs/>
          <w:lang w:val="fr-FR"/>
        </w:rPr>
        <w:t>’</w:t>
      </w:r>
      <w:r w:rsidRPr="008F2E6F">
        <w:rPr>
          <w:bCs/>
          <w:lang w:val="fr-FR"/>
        </w:rPr>
        <w:t>inscription. Lors de sa neuvième session en juillet</w:t>
      </w:r>
      <w:r w:rsidR="00EA515D">
        <w:rPr>
          <w:bCs/>
          <w:lang w:val="fr-FR"/>
        </w:rPr>
        <w:t> </w:t>
      </w:r>
      <w:r w:rsidRPr="008F2E6F">
        <w:rPr>
          <w:bCs/>
          <w:lang w:val="fr-FR"/>
        </w:rPr>
        <w:t>2022, l</w:t>
      </w:r>
      <w:r w:rsidR="00923E72">
        <w:rPr>
          <w:bCs/>
          <w:lang w:val="fr-FR"/>
        </w:rPr>
        <w:t>’</w:t>
      </w:r>
      <w:r w:rsidRPr="008F2E6F">
        <w:rPr>
          <w:bCs/>
          <w:lang w:val="fr-FR"/>
        </w:rPr>
        <w:t xml:space="preserve">Assemblée générale avait fixé à </w:t>
      </w:r>
      <w:r w:rsidR="004666EF">
        <w:rPr>
          <w:bCs/>
          <w:lang w:val="fr-FR"/>
        </w:rPr>
        <w:t xml:space="preserve">un maximum de </w:t>
      </w:r>
      <w:r w:rsidRPr="008F2E6F">
        <w:rPr>
          <w:bCs/>
          <w:lang w:val="fr-FR"/>
        </w:rPr>
        <w:t>soixante le nombre de dossiers pouvant être traités au cours d</w:t>
      </w:r>
      <w:r w:rsidR="00923E72">
        <w:rPr>
          <w:bCs/>
          <w:lang w:val="fr-FR"/>
        </w:rPr>
        <w:t>’</w:t>
      </w:r>
      <w:r w:rsidRPr="008F2E6F">
        <w:rPr>
          <w:bCs/>
          <w:lang w:val="fr-FR"/>
        </w:rPr>
        <w:t>un cycle donné.</w:t>
      </w:r>
    </w:p>
    <w:p w14:paraId="17B6A2A0" w14:textId="476BB940" w:rsidR="00CA6C06" w:rsidRDefault="006513EA" w:rsidP="003F440F">
      <w:pPr>
        <w:pStyle w:val="Orateurengris"/>
        <w:numPr>
          <w:ilvl w:val="0"/>
          <w:numId w:val="20"/>
        </w:numPr>
        <w:tabs>
          <w:tab w:val="clear" w:pos="567"/>
          <w:tab w:val="left" w:pos="5954"/>
        </w:tabs>
        <w:spacing w:before="120"/>
        <w:ind w:left="709" w:hanging="709"/>
        <w:rPr>
          <w:bCs/>
          <w:lang w:val="fr-FR"/>
        </w:rPr>
      </w:pPr>
      <w:r w:rsidRPr="006513EA">
        <w:rPr>
          <w:bCs/>
          <w:lang w:val="fr-FR"/>
        </w:rPr>
        <w:t xml:space="preserve">Le </w:t>
      </w:r>
      <w:r w:rsidRPr="00702497">
        <w:rPr>
          <w:b/>
          <w:lang w:val="fr-FR"/>
        </w:rPr>
        <w:t>Secrétaire</w:t>
      </w:r>
      <w:r w:rsidRPr="006513EA">
        <w:rPr>
          <w:bCs/>
          <w:lang w:val="fr-FR"/>
        </w:rPr>
        <w:t xml:space="preserve"> a rappelé que l</w:t>
      </w:r>
      <w:r w:rsidR="00923E72">
        <w:rPr>
          <w:bCs/>
          <w:lang w:val="fr-FR"/>
        </w:rPr>
        <w:t>’</w:t>
      </w:r>
      <w:r w:rsidRPr="006513EA">
        <w:rPr>
          <w:bCs/>
          <w:lang w:val="fr-FR"/>
        </w:rPr>
        <w:t>Assemblée générale avait adopté une décision et une révision des Directives opérationnelles. Le document de travail se composait de deux parties</w:t>
      </w:r>
      <w:r w:rsidR="00EA515D">
        <w:rPr>
          <w:bCs/>
          <w:lang w:val="fr-FR"/>
        </w:rPr>
        <w:t> </w:t>
      </w:r>
      <w:r w:rsidRPr="006513EA">
        <w:rPr>
          <w:bCs/>
          <w:lang w:val="fr-FR"/>
        </w:rPr>
        <w:t>: un rapport sur les deux cycles de candidature en cours,</w:t>
      </w:r>
      <w:r w:rsidR="00EA515D">
        <w:rPr>
          <w:bCs/>
          <w:lang w:val="fr-FR"/>
        </w:rPr>
        <w:t> </w:t>
      </w:r>
      <w:r w:rsidRPr="006513EA">
        <w:rPr>
          <w:bCs/>
          <w:lang w:val="fr-FR"/>
        </w:rPr>
        <w:t>2022 et</w:t>
      </w:r>
      <w:r w:rsidR="00EA515D">
        <w:rPr>
          <w:bCs/>
          <w:lang w:val="fr-FR"/>
        </w:rPr>
        <w:t> </w:t>
      </w:r>
      <w:r w:rsidRPr="006513EA">
        <w:rPr>
          <w:bCs/>
          <w:lang w:val="fr-FR"/>
        </w:rPr>
        <w:t>2023</w:t>
      </w:r>
      <w:r>
        <w:rPr>
          <w:bCs/>
          <w:lang w:val="fr-FR"/>
        </w:rPr>
        <w:t> ;</w:t>
      </w:r>
      <w:r w:rsidRPr="006513EA">
        <w:rPr>
          <w:bCs/>
          <w:lang w:val="fr-FR"/>
        </w:rPr>
        <w:t xml:space="preserve"> et une proposition concernant le nombre de dossiers pouvant être traités au cours des deux prochains cycles, à savoir</w:t>
      </w:r>
      <w:r w:rsidR="00EA515D">
        <w:rPr>
          <w:bCs/>
          <w:lang w:val="fr-FR"/>
        </w:rPr>
        <w:t> </w:t>
      </w:r>
      <w:r w:rsidRPr="006513EA">
        <w:rPr>
          <w:bCs/>
          <w:lang w:val="fr-FR"/>
        </w:rPr>
        <w:t>2024 et</w:t>
      </w:r>
      <w:r w:rsidR="00EA515D">
        <w:rPr>
          <w:bCs/>
          <w:lang w:val="fr-FR"/>
        </w:rPr>
        <w:t> </w:t>
      </w:r>
      <w:r w:rsidRPr="006513EA">
        <w:rPr>
          <w:bCs/>
          <w:lang w:val="fr-FR"/>
        </w:rPr>
        <w:t>2025. Le document de travail présentait des informations sur les cinquante</w:t>
      </w:r>
      <w:r>
        <w:rPr>
          <w:bCs/>
          <w:lang w:val="fr-FR"/>
        </w:rPr>
        <w:noBreakHyphen/>
      </w:r>
      <w:r w:rsidRPr="006513EA">
        <w:rPr>
          <w:bCs/>
          <w:lang w:val="fr-FR"/>
        </w:rPr>
        <w:t>neuf dossiers et les soixante dossiers traités respectivement en</w:t>
      </w:r>
      <w:r w:rsidR="00D55C2A">
        <w:rPr>
          <w:bCs/>
          <w:lang w:val="fr-FR"/>
        </w:rPr>
        <w:t> </w:t>
      </w:r>
      <w:r w:rsidRPr="006513EA">
        <w:rPr>
          <w:bCs/>
          <w:lang w:val="fr-FR"/>
        </w:rPr>
        <w:t>2022 et</w:t>
      </w:r>
      <w:r w:rsidR="00D55C2A">
        <w:rPr>
          <w:bCs/>
          <w:lang w:val="fr-FR"/>
        </w:rPr>
        <w:t> </w:t>
      </w:r>
      <w:r w:rsidRPr="006513EA">
        <w:rPr>
          <w:bCs/>
          <w:lang w:val="fr-FR"/>
        </w:rPr>
        <w:t>2023. Le Secrétaire souhaitait exposer certaines des principales tendances de ces cycles passés. Après une augmentation continue du nombre de dossiers jusqu</w:t>
      </w:r>
      <w:r w:rsidR="00923E72">
        <w:rPr>
          <w:bCs/>
          <w:lang w:val="fr-FR"/>
        </w:rPr>
        <w:t>’</w:t>
      </w:r>
      <w:r w:rsidRPr="006513EA">
        <w:rPr>
          <w:bCs/>
          <w:lang w:val="fr-FR"/>
        </w:rPr>
        <w:t>au cycle</w:t>
      </w:r>
      <w:r w:rsidR="00EA515D">
        <w:rPr>
          <w:bCs/>
          <w:lang w:val="fr-FR"/>
        </w:rPr>
        <w:t> </w:t>
      </w:r>
      <w:r w:rsidRPr="006513EA">
        <w:rPr>
          <w:bCs/>
          <w:lang w:val="fr-FR"/>
        </w:rPr>
        <w:t>2021, le nombre de dossiers de candidature soumis chaque année semblait s</w:t>
      </w:r>
      <w:r w:rsidR="00923E72">
        <w:rPr>
          <w:bCs/>
          <w:lang w:val="fr-FR"/>
        </w:rPr>
        <w:t>’</w:t>
      </w:r>
      <w:r w:rsidRPr="006513EA">
        <w:rPr>
          <w:bCs/>
          <w:lang w:val="fr-FR"/>
        </w:rPr>
        <w:t xml:space="preserve">être stabilisé à un niveau </w:t>
      </w:r>
      <w:r>
        <w:rPr>
          <w:bCs/>
          <w:lang w:val="fr-FR"/>
        </w:rPr>
        <w:t xml:space="preserve">avoisinant les soixante dossiers, voire </w:t>
      </w:r>
      <w:r w:rsidRPr="006513EA">
        <w:rPr>
          <w:bCs/>
          <w:lang w:val="fr-FR"/>
        </w:rPr>
        <w:t>légèrement supérieur. En</w:t>
      </w:r>
      <w:r w:rsidR="00EA515D">
        <w:rPr>
          <w:bCs/>
          <w:lang w:val="fr-FR"/>
        </w:rPr>
        <w:t> </w:t>
      </w:r>
      <w:r w:rsidRPr="006513EA">
        <w:rPr>
          <w:bCs/>
          <w:lang w:val="fr-FR"/>
        </w:rPr>
        <w:t>2022, soixante dossiers avaient été soumis, et soixante</w:t>
      </w:r>
      <w:r>
        <w:rPr>
          <w:bCs/>
          <w:lang w:val="fr-FR"/>
        </w:rPr>
        <w:noBreakHyphen/>
      </w:r>
      <w:r w:rsidRPr="006513EA">
        <w:rPr>
          <w:bCs/>
          <w:lang w:val="fr-FR"/>
        </w:rPr>
        <w:t>sept dossiers étaient soumis pour</w:t>
      </w:r>
      <w:r w:rsidR="00EA515D">
        <w:rPr>
          <w:bCs/>
          <w:lang w:val="fr-FR"/>
        </w:rPr>
        <w:t> </w:t>
      </w:r>
      <w:r w:rsidRPr="006513EA">
        <w:rPr>
          <w:bCs/>
          <w:lang w:val="fr-FR"/>
        </w:rPr>
        <w:t>202</w:t>
      </w:r>
      <w:r>
        <w:rPr>
          <w:bCs/>
          <w:lang w:val="fr-FR"/>
        </w:rPr>
        <w:t>3</w:t>
      </w:r>
      <w:r w:rsidRPr="006513EA">
        <w:rPr>
          <w:bCs/>
          <w:lang w:val="fr-FR"/>
        </w:rPr>
        <w:t>. Le nombre d</w:t>
      </w:r>
      <w:r w:rsidR="00923E72">
        <w:rPr>
          <w:bCs/>
          <w:lang w:val="fr-FR"/>
        </w:rPr>
        <w:t>’</w:t>
      </w:r>
      <w:r w:rsidRPr="006513EA">
        <w:rPr>
          <w:bCs/>
          <w:lang w:val="fr-FR"/>
        </w:rPr>
        <w:t>États parties traités au titre de la priorité</w:t>
      </w:r>
      <w:r w:rsidR="005C68F1">
        <w:rPr>
          <w:bCs/>
          <w:lang w:val="fr-FR"/>
        </w:rPr>
        <w:t> </w:t>
      </w:r>
      <w:r w:rsidRPr="006513EA">
        <w:rPr>
          <w:bCs/>
          <w:lang w:val="fr-FR"/>
        </w:rPr>
        <w:t>(0) était également stable ou commençait à se stabiliser, avec trente</w:t>
      </w:r>
      <w:r>
        <w:rPr>
          <w:bCs/>
          <w:lang w:val="fr-FR"/>
        </w:rPr>
        <w:noBreakHyphen/>
      </w:r>
      <w:r w:rsidRPr="006513EA">
        <w:rPr>
          <w:bCs/>
          <w:lang w:val="fr-FR"/>
        </w:rPr>
        <w:t>huit États pour le cycle</w:t>
      </w:r>
      <w:r w:rsidR="00EA515D">
        <w:rPr>
          <w:bCs/>
          <w:lang w:val="fr-FR"/>
        </w:rPr>
        <w:t> </w:t>
      </w:r>
      <w:r w:rsidRPr="006513EA">
        <w:rPr>
          <w:bCs/>
          <w:lang w:val="fr-FR"/>
        </w:rPr>
        <w:t>2022 et quarante</w:t>
      </w:r>
      <w:r>
        <w:rPr>
          <w:bCs/>
          <w:lang w:val="fr-FR"/>
        </w:rPr>
        <w:noBreakHyphen/>
      </w:r>
      <w:r w:rsidRPr="006513EA">
        <w:rPr>
          <w:bCs/>
          <w:lang w:val="fr-FR"/>
        </w:rPr>
        <w:t>quatre pour le cycle</w:t>
      </w:r>
      <w:r w:rsidR="00EA515D">
        <w:rPr>
          <w:bCs/>
          <w:lang w:val="fr-FR"/>
        </w:rPr>
        <w:t> </w:t>
      </w:r>
      <w:r w:rsidRPr="006513EA">
        <w:rPr>
          <w:bCs/>
          <w:lang w:val="fr-FR"/>
        </w:rPr>
        <w:t>2023. Cela signifia</w:t>
      </w:r>
      <w:r>
        <w:rPr>
          <w:bCs/>
          <w:lang w:val="fr-FR"/>
        </w:rPr>
        <w:t>i</w:t>
      </w:r>
      <w:r w:rsidRPr="006513EA">
        <w:rPr>
          <w:bCs/>
          <w:lang w:val="fr-FR"/>
        </w:rPr>
        <w:t>t que tous les États ayant soumis un dossier avaient pu voir au moins un dossier national traité au cours de la période de deux ans. Sur cette même période de deux ans, toutes les candidatures à la Liste de sauvegarde urgente, les candidatures des États n</w:t>
      </w:r>
      <w:r w:rsidR="00923E72">
        <w:rPr>
          <w:bCs/>
          <w:lang w:val="fr-FR"/>
        </w:rPr>
        <w:t>’</w:t>
      </w:r>
      <w:r w:rsidRPr="006513EA">
        <w:rPr>
          <w:bCs/>
          <w:lang w:val="fr-FR"/>
        </w:rPr>
        <w:t>ayant pas d</w:t>
      </w:r>
      <w:r w:rsidR="00923E72">
        <w:rPr>
          <w:bCs/>
          <w:lang w:val="fr-FR"/>
        </w:rPr>
        <w:t>’</w:t>
      </w:r>
      <w:r w:rsidRPr="006513EA">
        <w:rPr>
          <w:bCs/>
          <w:lang w:val="fr-FR"/>
        </w:rPr>
        <w:t>élément inscrit et les dossiers multinationaux avaient pu être traités au titre de la priorité</w:t>
      </w:r>
      <w:r w:rsidR="005C68F1">
        <w:rPr>
          <w:bCs/>
          <w:lang w:val="fr-FR"/>
        </w:rPr>
        <w:t> </w:t>
      </w:r>
      <w:r w:rsidRPr="006513EA">
        <w:rPr>
          <w:bCs/>
          <w:lang w:val="fr-FR"/>
        </w:rPr>
        <w:t>(i) et de la priorité</w:t>
      </w:r>
      <w:r w:rsidR="005C68F1">
        <w:rPr>
          <w:bCs/>
          <w:lang w:val="fr-FR"/>
        </w:rPr>
        <w:t> </w:t>
      </w:r>
      <w:r w:rsidRPr="006513EA">
        <w:rPr>
          <w:bCs/>
          <w:lang w:val="fr-FR"/>
        </w:rPr>
        <w:t>(ii). Le nombre de dossiers multinationaux traités dans chacun des deux cycles était resté élevé (dix</w:t>
      </w:r>
      <w:r>
        <w:rPr>
          <w:bCs/>
          <w:lang w:val="fr-FR"/>
        </w:rPr>
        <w:noBreakHyphen/>
      </w:r>
      <w:r w:rsidRPr="006513EA">
        <w:rPr>
          <w:bCs/>
          <w:lang w:val="fr-FR"/>
        </w:rPr>
        <w:t xml:space="preserve">neuf </w:t>
      </w:r>
      <w:r>
        <w:rPr>
          <w:bCs/>
          <w:lang w:val="fr-FR"/>
        </w:rPr>
        <w:t xml:space="preserve">pour </w:t>
      </w:r>
      <w:r w:rsidRPr="006513EA">
        <w:rPr>
          <w:bCs/>
          <w:lang w:val="fr-FR"/>
        </w:rPr>
        <w:t>le cycle</w:t>
      </w:r>
      <w:r w:rsidR="00EA515D">
        <w:rPr>
          <w:bCs/>
          <w:lang w:val="fr-FR"/>
        </w:rPr>
        <w:t> </w:t>
      </w:r>
      <w:r w:rsidRPr="006513EA">
        <w:rPr>
          <w:bCs/>
          <w:lang w:val="fr-FR"/>
        </w:rPr>
        <w:t xml:space="preserve">2022, treize </w:t>
      </w:r>
      <w:r>
        <w:rPr>
          <w:bCs/>
          <w:lang w:val="fr-FR"/>
        </w:rPr>
        <w:t xml:space="preserve">pour </w:t>
      </w:r>
      <w:r w:rsidRPr="006513EA">
        <w:rPr>
          <w:bCs/>
          <w:lang w:val="fr-FR"/>
        </w:rPr>
        <w:t>le cycle</w:t>
      </w:r>
      <w:r w:rsidR="00EA515D">
        <w:rPr>
          <w:bCs/>
          <w:lang w:val="fr-FR"/>
        </w:rPr>
        <w:t> </w:t>
      </w:r>
      <w:r w:rsidRPr="006513EA">
        <w:rPr>
          <w:bCs/>
          <w:lang w:val="fr-FR"/>
        </w:rPr>
        <w:t>2023), représentant en moyenne un quart de l</w:t>
      </w:r>
      <w:r w:rsidR="00923E72">
        <w:rPr>
          <w:bCs/>
          <w:lang w:val="fr-FR"/>
        </w:rPr>
        <w:t>’</w:t>
      </w:r>
      <w:r w:rsidRPr="006513EA">
        <w:rPr>
          <w:bCs/>
          <w:lang w:val="fr-FR"/>
        </w:rPr>
        <w:t xml:space="preserve">ensemble des dossiers </w:t>
      </w:r>
      <w:r>
        <w:rPr>
          <w:bCs/>
          <w:lang w:val="fr-FR"/>
        </w:rPr>
        <w:t>d</w:t>
      </w:r>
      <w:r w:rsidR="00923E72">
        <w:rPr>
          <w:bCs/>
          <w:lang w:val="fr-FR"/>
        </w:rPr>
        <w:t>’</w:t>
      </w:r>
      <w:r w:rsidRPr="006513EA">
        <w:rPr>
          <w:bCs/>
          <w:lang w:val="fr-FR"/>
        </w:rPr>
        <w:t xml:space="preserve">un cycle. Le nombre croissant de dossiers </w:t>
      </w:r>
      <w:r w:rsidRPr="006513EA">
        <w:rPr>
          <w:bCs/>
          <w:lang w:val="fr-FR"/>
        </w:rPr>
        <w:lastRenderedPageBreak/>
        <w:t>multinationaux démontrait le succès de la Convention en tant que plateforme de coopération internationale entre les États et les communautés. Toutefois, leur nombre croissant pourrait conduire à une situation dans laquelle les États n</w:t>
      </w:r>
      <w:r w:rsidR="00923E72">
        <w:rPr>
          <w:bCs/>
          <w:lang w:val="fr-FR"/>
        </w:rPr>
        <w:t>’</w:t>
      </w:r>
      <w:r w:rsidRPr="006513EA">
        <w:rPr>
          <w:bCs/>
          <w:lang w:val="fr-FR"/>
        </w:rPr>
        <w:t>ayant qu</w:t>
      </w:r>
      <w:r w:rsidR="00923E72">
        <w:rPr>
          <w:bCs/>
          <w:lang w:val="fr-FR"/>
        </w:rPr>
        <w:t>’</w:t>
      </w:r>
      <w:r w:rsidRPr="006513EA">
        <w:rPr>
          <w:bCs/>
          <w:lang w:val="fr-FR"/>
        </w:rPr>
        <w:t>un seul élément inscrit ne pourraient plus être inclus dans un cycle. Comme il avait été observé que, dans certains cas, les mêmes États avaient tendance à soumettre plusieurs dossiers multinationaux, un système de priorité au sein des dossiers multinationaux était proposé dans le projet de décision afin d</w:t>
      </w:r>
      <w:r w:rsidR="00923E72">
        <w:rPr>
          <w:bCs/>
          <w:lang w:val="fr-FR"/>
        </w:rPr>
        <w:t>’</w:t>
      </w:r>
      <w:r w:rsidRPr="006513EA">
        <w:rPr>
          <w:bCs/>
          <w:lang w:val="fr-FR"/>
        </w:rPr>
        <w:t>encourager un plus grand nombre d</w:t>
      </w:r>
      <w:r w:rsidR="00923E72">
        <w:rPr>
          <w:bCs/>
          <w:lang w:val="fr-FR"/>
        </w:rPr>
        <w:t>’</w:t>
      </w:r>
      <w:r w:rsidRPr="006513EA">
        <w:rPr>
          <w:bCs/>
          <w:lang w:val="fr-FR"/>
        </w:rPr>
        <w:t>États à</w:t>
      </w:r>
      <w:r w:rsidR="00CB1812">
        <w:rPr>
          <w:bCs/>
          <w:lang w:val="fr-FR"/>
        </w:rPr>
        <w:t xml:space="preserve"> faire traiter </w:t>
      </w:r>
      <w:r w:rsidRPr="006513EA">
        <w:rPr>
          <w:bCs/>
          <w:lang w:val="fr-FR"/>
        </w:rPr>
        <w:t>un dossier. En ce qui concerne les cycles</w:t>
      </w:r>
      <w:r w:rsidR="00EA515D">
        <w:rPr>
          <w:bCs/>
          <w:lang w:val="fr-FR"/>
        </w:rPr>
        <w:t> </w:t>
      </w:r>
      <w:r w:rsidRPr="006513EA">
        <w:rPr>
          <w:bCs/>
          <w:lang w:val="fr-FR"/>
        </w:rPr>
        <w:t>2024 et</w:t>
      </w:r>
      <w:r w:rsidR="00EA515D">
        <w:rPr>
          <w:bCs/>
          <w:lang w:val="fr-FR"/>
        </w:rPr>
        <w:t> </w:t>
      </w:r>
      <w:r w:rsidRPr="006513EA">
        <w:rPr>
          <w:bCs/>
          <w:lang w:val="fr-FR"/>
        </w:rPr>
        <w:t>2025, le processus de réflexion globale sur les mécanismes d</w:t>
      </w:r>
      <w:r w:rsidR="00923E72">
        <w:rPr>
          <w:bCs/>
          <w:lang w:val="fr-FR"/>
        </w:rPr>
        <w:t>’</w:t>
      </w:r>
      <w:r w:rsidRPr="006513EA">
        <w:rPr>
          <w:bCs/>
          <w:lang w:val="fr-FR"/>
        </w:rPr>
        <w:t>inscription aurait des implications majeures sur ces cycles.</w:t>
      </w:r>
    </w:p>
    <w:p w14:paraId="3B888A74" w14:textId="06762CAF" w:rsidR="00CB1812" w:rsidRDefault="004666EF">
      <w:pPr>
        <w:pStyle w:val="Orateurengris"/>
        <w:numPr>
          <w:ilvl w:val="0"/>
          <w:numId w:val="20"/>
        </w:numPr>
        <w:tabs>
          <w:tab w:val="clear" w:pos="567"/>
          <w:tab w:val="left" w:pos="5954"/>
        </w:tabs>
        <w:spacing w:before="120"/>
        <w:ind w:left="709" w:hanging="709"/>
        <w:rPr>
          <w:bCs/>
          <w:lang w:val="fr-FR"/>
        </w:rPr>
      </w:pPr>
      <w:r w:rsidRPr="004666EF">
        <w:rPr>
          <w:bCs/>
          <w:lang w:val="fr-FR"/>
        </w:rPr>
        <w:t xml:space="preserve">Le </w:t>
      </w:r>
      <w:r w:rsidRPr="00702497">
        <w:rPr>
          <w:b/>
          <w:lang w:val="fr-FR"/>
        </w:rPr>
        <w:t>Secrétaire</w:t>
      </w:r>
      <w:r w:rsidRPr="004666EF">
        <w:rPr>
          <w:bCs/>
          <w:lang w:val="fr-FR"/>
        </w:rPr>
        <w:t xml:space="preserve"> a présenté les principales modifications apportées aux Directives opérationnelles. Premièrement, le plafond annuel de dossiers à inclure dans un cycle donné figurait désormais dans les Directives opérationnelles et était fixé à</w:t>
      </w:r>
      <w:r w:rsidR="005C68F1">
        <w:rPr>
          <w:bCs/>
          <w:lang w:val="fr-FR"/>
        </w:rPr>
        <w:t> « un maximum de soixante »</w:t>
      </w:r>
      <w:r w:rsidRPr="004666EF">
        <w:rPr>
          <w:bCs/>
          <w:lang w:val="fr-FR"/>
        </w:rPr>
        <w:t>. Deuxièmement, la pratique de la priorité</w:t>
      </w:r>
      <w:r w:rsidR="005C68F1">
        <w:rPr>
          <w:bCs/>
          <w:lang w:val="fr-FR"/>
        </w:rPr>
        <w:t> </w:t>
      </w:r>
      <w:r w:rsidRPr="004666EF">
        <w:rPr>
          <w:bCs/>
          <w:lang w:val="fr-FR"/>
        </w:rPr>
        <w:t>(0) appliquée par les décisions successives du Comité depuis</w:t>
      </w:r>
      <w:r w:rsidR="00EA515D">
        <w:rPr>
          <w:bCs/>
          <w:lang w:val="fr-FR"/>
        </w:rPr>
        <w:t> </w:t>
      </w:r>
      <w:r w:rsidRPr="004666EF">
        <w:rPr>
          <w:bCs/>
          <w:lang w:val="fr-FR"/>
        </w:rPr>
        <w:t>2014 était désormais introduite de façon formelle dans les Directives opérationnelles (paragraphe</w:t>
      </w:r>
      <w:r w:rsidR="005C68F1">
        <w:rPr>
          <w:bCs/>
          <w:lang w:val="fr-FR"/>
        </w:rPr>
        <w:t> </w:t>
      </w:r>
      <w:r w:rsidRPr="004666EF">
        <w:rPr>
          <w:bCs/>
          <w:lang w:val="fr-FR"/>
        </w:rPr>
        <w:t xml:space="preserve">34). </w:t>
      </w:r>
      <w:r w:rsidR="00EA515D">
        <w:rPr>
          <w:bCs/>
          <w:lang w:val="fr-FR"/>
        </w:rPr>
        <w:t>En outre, à</w:t>
      </w:r>
      <w:r w:rsidRPr="004666EF">
        <w:rPr>
          <w:bCs/>
          <w:lang w:val="fr-FR"/>
        </w:rPr>
        <w:t xml:space="preserve"> partir du cycle</w:t>
      </w:r>
      <w:r w:rsidR="002B668C">
        <w:rPr>
          <w:bCs/>
          <w:lang w:val="fr-FR"/>
        </w:rPr>
        <w:t> </w:t>
      </w:r>
      <w:r w:rsidRPr="004666EF">
        <w:rPr>
          <w:bCs/>
          <w:lang w:val="fr-FR"/>
        </w:rPr>
        <w:t>2024, le Comité n</w:t>
      </w:r>
      <w:r w:rsidR="00923E72">
        <w:rPr>
          <w:bCs/>
          <w:lang w:val="fr-FR"/>
        </w:rPr>
        <w:t>’</w:t>
      </w:r>
      <w:r w:rsidRPr="004666EF">
        <w:rPr>
          <w:bCs/>
          <w:lang w:val="fr-FR"/>
        </w:rPr>
        <w:t>examinerait plus les demandes autonomes d</w:t>
      </w:r>
      <w:r w:rsidR="00923E72">
        <w:rPr>
          <w:bCs/>
          <w:lang w:val="fr-FR"/>
        </w:rPr>
        <w:t>’</w:t>
      </w:r>
      <w:r w:rsidRPr="004666EF">
        <w:rPr>
          <w:bCs/>
          <w:lang w:val="fr-FR"/>
        </w:rPr>
        <w:t>assistance internationale, qui seraient toutes traitées par le Bureau. Seules les demandes assorties de candidatures à la Liste de sauvegarde urgente, c</w:t>
      </w:r>
      <w:r w:rsidR="00923E72">
        <w:rPr>
          <w:bCs/>
          <w:lang w:val="fr-FR"/>
        </w:rPr>
        <w:t>’</w:t>
      </w:r>
      <w:r w:rsidRPr="004666EF">
        <w:rPr>
          <w:bCs/>
          <w:lang w:val="fr-FR"/>
        </w:rPr>
        <w:t>est-à-dire les demandes combinées, ser</w:t>
      </w:r>
      <w:r w:rsidR="005C68F1">
        <w:rPr>
          <w:bCs/>
          <w:lang w:val="fr-FR"/>
        </w:rPr>
        <w:t>aie</w:t>
      </w:r>
      <w:r w:rsidRPr="004666EF">
        <w:rPr>
          <w:bCs/>
          <w:lang w:val="fr-FR"/>
        </w:rPr>
        <w:t>nt soumises à l</w:t>
      </w:r>
      <w:r w:rsidR="00923E72">
        <w:rPr>
          <w:bCs/>
          <w:lang w:val="fr-FR"/>
        </w:rPr>
        <w:t>’</w:t>
      </w:r>
      <w:r w:rsidRPr="004666EF">
        <w:rPr>
          <w:bCs/>
          <w:lang w:val="fr-FR"/>
        </w:rPr>
        <w:t xml:space="preserve">examen du Comité. Plusieurs nouveaux types de procédures seraient traités en dehors du plafond annuel, notamment les demandes de transfert entre les listes, et entre la Liste de sauvegarde urgente et le Registre, le suivi des éléments inscrits, et les candidatures sur une base </w:t>
      </w:r>
      <w:r w:rsidR="005C68F1">
        <w:rPr>
          <w:bCs/>
          <w:lang w:val="fr-FR"/>
        </w:rPr>
        <w:t xml:space="preserve">élargie </w:t>
      </w:r>
      <w:r w:rsidRPr="004666EF">
        <w:rPr>
          <w:bCs/>
          <w:lang w:val="fr-FR"/>
        </w:rPr>
        <w:t>ou réduite. L</w:t>
      </w:r>
      <w:r w:rsidR="00923E72">
        <w:rPr>
          <w:bCs/>
          <w:lang w:val="fr-FR"/>
        </w:rPr>
        <w:t>’</w:t>
      </w:r>
      <w:r w:rsidRPr="004666EF">
        <w:rPr>
          <w:bCs/>
          <w:lang w:val="fr-FR"/>
        </w:rPr>
        <w:t>impact de ces nouvelles procédures sur la charge de travail du Comité, de l</w:t>
      </w:r>
      <w:r w:rsidR="00923E72">
        <w:rPr>
          <w:bCs/>
          <w:lang w:val="fr-FR"/>
        </w:rPr>
        <w:t>’</w:t>
      </w:r>
      <w:r w:rsidRPr="004666EF">
        <w:rPr>
          <w:bCs/>
          <w:lang w:val="fr-FR"/>
        </w:rPr>
        <w:t>Organe d</w:t>
      </w:r>
      <w:r w:rsidR="00923E72">
        <w:rPr>
          <w:bCs/>
          <w:lang w:val="fr-FR"/>
        </w:rPr>
        <w:t>’</w:t>
      </w:r>
      <w:r w:rsidRPr="004666EF">
        <w:rPr>
          <w:bCs/>
          <w:lang w:val="fr-FR"/>
        </w:rPr>
        <w:t>évaluation et du Secrétariat ferait l</w:t>
      </w:r>
      <w:r w:rsidR="00923E72">
        <w:rPr>
          <w:bCs/>
          <w:lang w:val="fr-FR"/>
        </w:rPr>
        <w:t>’</w:t>
      </w:r>
      <w:r w:rsidRPr="004666EF">
        <w:rPr>
          <w:bCs/>
          <w:lang w:val="fr-FR"/>
        </w:rPr>
        <w:t>objet d</w:t>
      </w:r>
      <w:r w:rsidR="00923E72">
        <w:rPr>
          <w:bCs/>
          <w:lang w:val="fr-FR"/>
        </w:rPr>
        <w:t>’</w:t>
      </w:r>
      <w:r w:rsidRPr="004666EF">
        <w:rPr>
          <w:bCs/>
          <w:lang w:val="fr-FR"/>
        </w:rPr>
        <w:t>un suivi et d</w:t>
      </w:r>
      <w:r w:rsidR="00923E72">
        <w:rPr>
          <w:bCs/>
          <w:lang w:val="fr-FR"/>
        </w:rPr>
        <w:t>’</w:t>
      </w:r>
      <w:r w:rsidRPr="004666EF">
        <w:rPr>
          <w:bCs/>
          <w:lang w:val="fr-FR"/>
        </w:rPr>
        <w:t>un rapport lors de la dixième session de l</w:t>
      </w:r>
      <w:r w:rsidR="00923E72">
        <w:rPr>
          <w:bCs/>
          <w:lang w:val="fr-FR"/>
        </w:rPr>
        <w:t>’</w:t>
      </w:r>
      <w:r w:rsidRPr="004666EF">
        <w:rPr>
          <w:bCs/>
          <w:lang w:val="fr-FR"/>
        </w:rPr>
        <w:t>Assemblée générale en</w:t>
      </w:r>
      <w:r w:rsidR="00EA515D">
        <w:rPr>
          <w:bCs/>
          <w:lang w:val="fr-FR"/>
        </w:rPr>
        <w:t> </w:t>
      </w:r>
      <w:r w:rsidRPr="004666EF">
        <w:rPr>
          <w:bCs/>
          <w:lang w:val="fr-FR"/>
        </w:rPr>
        <w:t>2024. Faisant le point sur les nouvelles révisions pour les cycles</w:t>
      </w:r>
      <w:r w:rsidR="00EA515D">
        <w:rPr>
          <w:bCs/>
          <w:lang w:val="fr-FR"/>
        </w:rPr>
        <w:t> </w:t>
      </w:r>
      <w:r w:rsidRPr="004666EF">
        <w:rPr>
          <w:bCs/>
          <w:lang w:val="fr-FR"/>
        </w:rPr>
        <w:t>2024 et</w:t>
      </w:r>
      <w:r w:rsidR="00EA515D">
        <w:rPr>
          <w:bCs/>
          <w:lang w:val="fr-FR"/>
        </w:rPr>
        <w:t> </w:t>
      </w:r>
      <w:r w:rsidRPr="004666EF">
        <w:rPr>
          <w:bCs/>
          <w:lang w:val="fr-FR"/>
        </w:rPr>
        <w:t>2025, le document de travail propos</w:t>
      </w:r>
      <w:r w:rsidR="00B15FCC">
        <w:rPr>
          <w:bCs/>
          <w:lang w:val="fr-FR"/>
        </w:rPr>
        <w:t>ait</w:t>
      </w:r>
      <w:r w:rsidRPr="004666EF">
        <w:rPr>
          <w:bCs/>
          <w:lang w:val="fr-FR"/>
        </w:rPr>
        <w:t xml:space="preserve"> de fixer à </w:t>
      </w:r>
      <w:r w:rsidR="00B15FCC">
        <w:rPr>
          <w:bCs/>
          <w:lang w:val="fr-FR"/>
        </w:rPr>
        <w:t>« un maximum de soixante »</w:t>
      </w:r>
      <w:r w:rsidRPr="004666EF">
        <w:rPr>
          <w:bCs/>
          <w:lang w:val="fr-FR"/>
        </w:rPr>
        <w:t xml:space="preserve"> le nombre de dossiers pouvant être traités pour chacun des cycles</w:t>
      </w:r>
      <w:r w:rsidR="00B15FCC">
        <w:rPr>
          <w:bCs/>
          <w:lang w:val="fr-FR"/>
        </w:rPr>
        <w:t> </w:t>
      </w:r>
      <w:r w:rsidRPr="004666EF">
        <w:rPr>
          <w:bCs/>
          <w:lang w:val="fr-FR"/>
        </w:rPr>
        <w:t>2024 et</w:t>
      </w:r>
      <w:r w:rsidR="00EA515D">
        <w:rPr>
          <w:bCs/>
          <w:lang w:val="fr-FR"/>
        </w:rPr>
        <w:t> </w:t>
      </w:r>
      <w:r w:rsidRPr="004666EF">
        <w:rPr>
          <w:bCs/>
          <w:lang w:val="fr-FR"/>
        </w:rPr>
        <w:t>2025, comme stipulé au paragraphe</w:t>
      </w:r>
      <w:r w:rsidR="00B15FCC">
        <w:rPr>
          <w:bCs/>
          <w:lang w:val="fr-FR"/>
        </w:rPr>
        <w:t> </w:t>
      </w:r>
      <w:r w:rsidRPr="004666EF">
        <w:rPr>
          <w:bCs/>
          <w:lang w:val="fr-FR"/>
        </w:rPr>
        <w:t>33 des Directives opérationnelles. Cela permettrait également de veiller à ce que tous les dossiers relevant de la priorité</w:t>
      </w:r>
      <w:r w:rsidR="00B15FCC">
        <w:rPr>
          <w:bCs/>
          <w:lang w:val="fr-FR"/>
        </w:rPr>
        <w:t> </w:t>
      </w:r>
      <w:r w:rsidRPr="004666EF">
        <w:rPr>
          <w:bCs/>
          <w:lang w:val="fr-FR"/>
        </w:rPr>
        <w:t>(0) soient pris en compte. Il proposait également d</w:t>
      </w:r>
      <w:r w:rsidR="00923E72">
        <w:rPr>
          <w:bCs/>
          <w:lang w:val="fr-FR"/>
        </w:rPr>
        <w:t>’</w:t>
      </w:r>
      <w:r w:rsidRPr="004666EF">
        <w:rPr>
          <w:bCs/>
          <w:lang w:val="fr-FR"/>
        </w:rPr>
        <w:t>envisager un système de priorité au sein des dossiers multinationaux, si jamais l</w:t>
      </w:r>
      <w:r w:rsidR="00923E72">
        <w:rPr>
          <w:bCs/>
          <w:lang w:val="fr-FR"/>
        </w:rPr>
        <w:t>’</w:t>
      </w:r>
      <w:r w:rsidRPr="004666EF">
        <w:rPr>
          <w:bCs/>
          <w:lang w:val="fr-FR"/>
        </w:rPr>
        <w:t>inclusion de tous les dossiers multinationaux relevant de la priorité</w:t>
      </w:r>
      <w:r w:rsidR="00B15FCC">
        <w:rPr>
          <w:bCs/>
          <w:lang w:val="fr-FR"/>
        </w:rPr>
        <w:t> </w:t>
      </w:r>
      <w:r w:rsidRPr="004666EF">
        <w:rPr>
          <w:bCs/>
          <w:lang w:val="fr-FR"/>
        </w:rPr>
        <w:t xml:space="preserve">(ii) portait le nombre total de dossiers pour un </w:t>
      </w:r>
      <w:r w:rsidR="002B4D95">
        <w:rPr>
          <w:bCs/>
          <w:lang w:val="fr-FR"/>
        </w:rPr>
        <w:t xml:space="preserve">même </w:t>
      </w:r>
      <w:r w:rsidRPr="004666EF">
        <w:rPr>
          <w:bCs/>
          <w:lang w:val="fr-FR"/>
        </w:rPr>
        <w:t xml:space="preserve">cycle à plus de </w:t>
      </w:r>
      <w:r w:rsidR="00B15FCC">
        <w:rPr>
          <w:bCs/>
          <w:lang w:val="fr-FR"/>
        </w:rPr>
        <w:t>soixante</w:t>
      </w:r>
      <w:r w:rsidRPr="004666EF">
        <w:rPr>
          <w:bCs/>
          <w:lang w:val="fr-FR"/>
        </w:rPr>
        <w:t>. La priorité serait d</w:t>
      </w:r>
      <w:r w:rsidR="00923E72">
        <w:rPr>
          <w:bCs/>
          <w:lang w:val="fr-FR"/>
        </w:rPr>
        <w:t>’</w:t>
      </w:r>
      <w:r w:rsidRPr="004666EF">
        <w:rPr>
          <w:bCs/>
          <w:lang w:val="fr-FR"/>
        </w:rPr>
        <w:t xml:space="preserve">abord accordée aux dossiers </w:t>
      </w:r>
      <w:r w:rsidR="00B15FCC">
        <w:rPr>
          <w:bCs/>
          <w:lang w:val="fr-FR"/>
        </w:rPr>
        <w:t xml:space="preserve">multinationaux </w:t>
      </w:r>
      <w:r w:rsidRPr="004666EF">
        <w:rPr>
          <w:bCs/>
          <w:lang w:val="fr-FR"/>
        </w:rPr>
        <w:t xml:space="preserve">impliquant au moins un État </w:t>
      </w:r>
      <w:r w:rsidR="00B15FCC">
        <w:rPr>
          <w:bCs/>
          <w:lang w:val="fr-FR"/>
        </w:rPr>
        <w:t xml:space="preserve">soumissionnaire </w:t>
      </w:r>
      <w:r w:rsidRPr="004666EF">
        <w:rPr>
          <w:bCs/>
          <w:lang w:val="fr-FR"/>
        </w:rPr>
        <w:t>sans élément national inscrit, puis aux dossiers comportant le moins d</w:t>
      </w:r>
      <w:r w:rsidR="00923E72">
        <w:rPr>
          <w:bCs/>
          <w:lang w:val="fr-FR"/>
        </w:rPr>
        <w:t>’</w:t>
      </w:r>
      <w:r w:rsidRPr="004666EF">
        <w:rPr>
          <w:bCs/>
          <w:lang w:val="fr-FR"/>
        </w:rPr>
        <w:t xml:space="preserve">éléments inscrits par État </w:t>
      </w:r>
      <w:r w:rsidR="00B15FCC">
        <w:rPr>
          <w:bCs/>
          <w:lang w:val="fr-FR"/>
        </w:rPr>
        <w:t xml:space="preserve">soumissionnaire </w:t>
      </w:r>
      <w:r w:rsidRPr="004666EF">
        <w:rPr>
          <w:bCs/>
          <w:lang w:val="fr-FR"/>
        </w:rPr>
        <w:t>concerné. Ce système ne serait pas nécessairement appliqué à chaque cycle, mais étant donné que cette situation s</w:t>
      </w:r>
      <w:r w:rsidR="00923E72">
        <w:rPr>
          <w:bCs/>
          <w:lang w:val="fr-FR"/>
        </w:rPr>
        <w:t>’</w:t>
      </w:r>
      <w:r w:rsidRPr="004666EF">
        <w:rPr>
          <w:bCs/>
          <w:lang w:val="fr-FR"/>
        </w:rPr>
        <w:t xml:space="preserve">était produite </w:t>
      </w:r>
      <w:r w:rsidR="00EA515D">
        <w:rPr>
          <w:bCs/>
          <w:lang w:val="fr-FR"/>
        </w:rPr>
        <w:t xml:space="preserve">à </w:t>
      </w:r>
      <w:r w:rsidRPr="004666EF">
        <w:rPr>
          <w:bCs/>
          <w:lang w:val="fr-FR"/>
        </w:rPr>
        <w:t xml:space="preserve">deux </w:t>
      </w:r>
      <w:r w:rsidR="00EA515D">
        <w:rPr>
          <w:bCs/>
          <w:lang w:val="fr-FR"/>
        </w:rPr>
        <w:t xml:space="preserve">reprises </w:t>
      </w:r>
      <w:r w:rsidRPr="004666EF">
        <w:rPr>
          <w:bCs/>
          <w:lang w:val="fr-FR"/>
        </w:rPr>
        <w:t xml:space="preserve">au cours des trois derniers cycles, on </w:t>
      </w:r>
      <w:r w:rsidR="00B15FCC">
        <w:rPr>
          <w:bCs/>
          <w:lang w:val="fr-FR"/>
        </w:rPr>
        <w:t xml:space="preserve">estimait </w:t>
      </w:r>
      <w:r w:rsidRPr="004666EF">
        <w:rPr>
          <w:bCs/>
          <w:lang w:val="fr-FR"/>
        </w:rPr>
        <w:t>qu</w:t>
      </w:r>
      <w:r w:rsidR="00923E72">
        <w:rPr>
          <w:bCs/>
          <w:lang w:val="fr-FR"/>
        </w:rPr>
        <w:t>’</w:t>
      </w:r>
      <w:r w:rsidRPr="004666EF">
        <w:rPr>
          <w:bCs/>
          <w:lang w:val="fr-FR"/>
        </w:rPr>
        <w:t xml:space="preserve">il était important </w:t>
      </w:r>
      <w:r w:rsidR="00EA515D">
        <w:rPr>
          <w:bCs/>
          <w:lang w:val="fr-FR"/>
        </w:rPr>
        <w:t>que le</w:t>
      </w:r>
      <w:r w:rsidRPr="004666EF">
        <w:rPr>
          <w:bCs/>
          <w:lang w:val="fr-FR"/>
        </w:rPr>
        <w:t xml:space="preserve"> Comité </w:t>
      </w:r>
      <w:r w:rsidR="00EA515D">
        <w:rPr>
          <w:bCs/>
          <w:lang w:val="fr-FR"/>
        </w:rPr>
        <w:t xml:space="preserve">définisse des </w:t>
      </w:r>
      <w:r w:rsidR="00EA515D" w:rsidRPr="00EA515D">
        <w:rPr>
          <w:bCs/>
          <w:lang w:val="fr-FR"/>
        </w:rPr>
        <w:t>orientations</w:t>
      </w:r>
      <w:r w:rsidR="00EA515D">
        <w:rPr>
          <w:bCs/>
          <w:lang w:val="fr-FR"/>
        </w:rPr>
        <w:t xml:space="preserve"> </w:t>
      </w:r>
      <w:r w:rsidRPr="004666EF">
        <w:rPr>
          <w:bCs/>
          <w:lang w:val="fr-FR"/>
        </w:rPr>
        <w:t>sur la manière de traiter de tels cas. Troisièmement, les États parties étaient encouragés à s</w:t>
      </w:r>
      <w:r w:rsidR="00923E72">
        <w:rPr>
          <w:bCs/>
          <w:lang w:val="fr-FR"/>
        </w:rPr>
        <w:t>’</w:t>
      </w:r>
      <w:r w:rsidRPr="004666EF">
        <w:rPr>
          <w:bCs/>
          <w:lang w:val="fr-FR"/>
        </w:rPr>
        <w:t>abstenir de soumettre plusieurs dossiers multinationaux au cours d</w:t>
      </w:r>
      <w:r w:rsidR="00923E72">
        <w:rPr>
          <w:bCs/>
          <w:lang w:val="fr-FR"/>
        </w:rPr>
        <w:t>’</w:t>
      </w:r>
      <w:r w:rsidRPr="004666EF">
        <w:rPr>
          <w:bCs/>
          <w:lang w:val="fr-FR"/>
        </w:rPr>
        <w:t>un même cycle afin de parvenir à une meilleure représentation des listes. Le Secrétaire a informé le Comité que le Secrétariat finalisait actuellement la révision des formulaires existants ainsi que l</w:t>
      </w:r>
      <w:r w:rsidR="00923E72">
        <w:rPr>
          <w:bCs/>
          <w:lang w:val="fr-FR"/>
        </w:rPr>
        <w:t>’</w:t>
      </w:r>
      <w:r w:rsidRPr="004666EF">
        <w:rPr>
          <w:bCs/>
          <w:lang w:val="fr-FR"/>
        </w:rPr>
        <w:t>élaboration de nouveaux formulaires pour refléter les changements apportés</w:t>
      </w:r>
      <w:r w:rsidR="00626692">
        <w:rPr>
          <w:bCs/>
          <w:lang w:val="fr-FR"/>
        </w:rPr>
        <w:t xml:space="preserve"> aux</w:t>
      </w:r>
      <w:r w:rsidRPr="004666EF">
        <w:rPr>
          <w:bCs/>
          <w:lang w:val="fr-FR"/>
        </w:rPr>
        <w:t xml:space="preserve"> Directives opérationnelles et la mise </w:t>
      </w:r>
      <w:r w:rsidR="00B15FCC">
        <w:rPr>
          <w:bCs/>
          <w:lang w:val="fr-FR"/>
        </w:rPr>
        <w:t xml:space="preserve">en place </w:t>
      </w:r>
      <w:r w:rsidRPr="004666EF">
        <w:rPr>
          <w:bCs/>
          <w:lang w:val="fr-FR"/>
        </w:rPr>
        <w:t>de nouvelles procédures. Ces formulaires révisés seraient utilisés pour la première fois pour les cycles</w:t>
      </w:r>
      <w:r w:rsidR="00B15FCC">
        <w:rPr>
          <w:bCs/>
          <w:lang w:val="fr-FR"/>
        </w:rPr>
        <w:t> </w:t>
      </w:r>
      <w:r w:rsidRPr="004666EF">
        <w:rPr>
          <w:bCs/>
          <w:lang w:val="fr-FR"/>
        </w:rPr>
        <w:t>2024 et</w:t>
      </w:r>
      <w:r w:rsidR="00B15FCC">
        <w:rPr>
          <w:bCs/>
          <w:lang w:val="fr-FR"/>
        </w:rPr>
        <w:t> </w:t>
      </w:r>
      <w:r w:rsidRPr="004666EF">
        <w:rPr>
          <w:bCs/>
          <w:lang w:val="fr-FR"/>
        </w:rPr>
        <w:t>2025. Ces formulaires étaient destinés à toute soumission potentielle avant le</w:t>
      </w:r>
      <w:r w:rsidR="00626692">
        <w:rPr>
          <w:bCs/>
          <w:lang w:val="fr-FR"/>
        </w:rPr>
        <w:t> </w:t>
      </w:r>
      <w:r w:rsidRPr="004666EF">
        <w:rPr>
          <w:bCs/>
          <w:lang w:val="fr-FR"/>
        </w:rPr>
        <w:t>31</w:t>
      </w:r>
      <w:r w:rsidR="00B15FCC">
        <w:rPr>
          <w:bCs/>
          <w:lang w:val="fr-FR"/>
        </w:rPr>
        <w:t> </w:t>
      </w:r>
      <w:r w:rsidRPr="004666EF">
        <w:rPr>
          <w:bCs/>
          <w:lang w:val="fr-FR"/>
        </w:rPr>
        <w:t>mars</w:t>
      </w:r>
      <w:r w:rsidR="00B15FCC">
        <w:rPr>
          <w:bCs/>
          <w:lang w:val="fr-FR"/>
        </w:rPr>
        <w:t> </w:t>
      </w:r>
      <w:r w:rsidRPr="004666EF">
        <w:rPr>
          <w:bCs/>
          <w:lang w:val="fr-FR"/>
        </w:rPr>
        <w:t>2023 et concernaient les candidatures aux deux listes (y compris les transferts entre les listes et les candidatures sur une base élargie ou réduite). Ils seraient également applicables aux propositions au Registre et à l</w:t>
      </w:r>
      <w:r w:rsidR="00923E72">
        <w:rPr>
          <w:bCs/>
          <w:lang w:val="fr-FR"/>
        </w:rPr>
        <w:t>’</w:t>
      </w:r>
      <w:r w:rsidR="00B15FCC">
        <w:rPr>
          <w:bCs/>
          <w:lang w:val="fr-FR"/>
        </w:rPr>
        <w:t>a</w:t>
      </w:r>
      <w:r w:rsidRPr="004666EF">
        <w:rPr>
          <w:bCs/>
          <w:lang w:val="fr-FR"/>
        </w:rPr>
        <w:t>ssistance préparatoire. On pouvait espérer que les simplifications proposées dans les formulaires faciliteraient la préparation des dossiers par les communautés, bien qu</w:t>
      </w:r>
      <w:r w:rsidR="00923E72">
        <w:rPr>
          <w:bCs/>
          <w:lang w:val="fr-FR"/>
        </w:rPr>
        <w:t>’</w:t>
      </w:r>
      <w:r w:rsidRPr="004666EF">
        <w:rPr>
          <w:bCs/>
          <w:lang w:val="fr-FR"/>
        </w:rPr>
        <w:t>il faille attendre au moins deux ans pour qu</w:t>
      </w:r>
      <w:r w:rsidR="00923E72">
        <w:rPr>
          <w:bCs/>
          <w:lang w:val="fr-FR"/>
        </w:rPr>
        <w:t>’</w:t>
      </w:r>
      <w:r w:rsidRPr="004666EF">
        <w:rPr>
          <w:bCs/>
          <w:lang w:val="fr-FR"/>
        </w:rPr>
        <w:t>elles aient un impact réel.</w:t>
      </w:r>
    </w:p>
    <w:p w14:paraId="779BF5CD" w14:textId="67404B64" w:rsidR="00B15FCC" w:rsidRDefault="00B15FCC">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fait observer que ces questions importantes avaient fait l</w:t>
      </w:r>
      <w:r w:rsidR="00923E72">
        <w:rPr>
          <w:bCs/>
          <w:lang w:val="fr-FR"/>
        </w:rPr>
        <w:t>’</w:t>
      </w:r>
      <w:r>
        <w:rPr>
          <w:bCs/>
          <w:lang w:val="fr-FR"/>
        </w:rPr>
        <w:t>objet de longues discussions lors des travaux du groupe de travail à composition non limitée. Il a donné la parole aux orateurs afin qu</w:t>
      </w:r>
      <w:r w:rsidR="00923E72">
        <w:rPr>
          <w:bCs/>
          <w:lang w:val="fr-FR"/>
        </w:rPr>
        <w:t>’</w:t>
      </w:r>
      <w:r>
        <w:rPr>
          <w:bCs/>
          <w:lang w:val="fr-FR"/>
        </w:rPr>
        <w:t xml:space="preserve">ils </w:t>
      </w:r>
      <w:r w:rsidR="00AE5509">
        <w:rPr>
          <w:bCs/>
          <w:lang w:val="fr-FR"/>
        </w:rPr>
        <w:t xml:space="preserve">fassent part de leurs </w:t>
      </w:r>
      <w:r w:rsidRPr="00B15FCC">
        <w:rPr>
          <w:bCs/>
          <w:lang w:val="fr-FR"/>
        </w:rPr>
        <w:t>commentaires</w:t>
      </w:r>
      <w:r>
        <w:rPr>
          <w:bCs/>
          <w:lang w:val="fr-FR"/>
        </w:rPr>
        <w:t>.</w:t>
      </w:r>
    </w:p>
    <w:p w14:paraId="6F41E0BB" w14:textId="163B0F02" w:rsidR="00B15FCC" w:rsidRDefault="00B15FCC">
      <w:pPr>
        <w:pStyle w:val="Orateurengris"/>
        <w:numPr>
          <w:ilvl w:val="0"/>
          <w:numId w:val="20"/>
        </w:numPr>
        <w:tabs>
          <w:tab w:val="clear" w:pos="567"/>
          <w:tab w:val="left" w:pos="5954"/>
        </w:tabs>
        <w:spacing w:before="120"/>
        <w:ind w:left="709" w:hanging="709"/>
        <w:rPr>
          <w:bCs/>
          <w:lang w:val="fr-FR"/>
        </w:rPr>
      </w:pPr>
      <w:r w:rsidRPr="00B15FCC">
        <w:rPr>
          <w:bCs/>
          <w:lang w:val="fr-FR"/>
        </w:rPr>
        <w:t>La délégation de l</w:t>
      </w:r>
      <w:r w:rsidR="00923E72">
        <w:rPr>
          <w:bCs/>
          <w:lang w:val="fr-FR"/>
        </w:rPr>
        <w:t>’</w:t>
      </w:r>
      <w:r w:rsidRPr="00702497">
        <w:rPr>
          <w:b/>
          <w:lang w:val="fr-FR"/>
        </w:rPr>
        <w:t>Allemagne</w:t>
      </w:r>
      <w:r w:rsidRPr="00B15FCC">
        <w:rPr>
          <w:bCs/>
          <w:lang w:val="fr-FR"/>
        </w:rPr>
        <w:t xml:space="preserve"> a remercié le Secrétaire pour son rapport bien conçu, insistant sur la nécessité d</w:t>
      </w:r>
      <w:r w:rsidR="00923E72">
        <w:rPr>
          <w:bCs/>
          <w:lang w:val="fr-FR"/>
        </w:rPr>
        <w:t>’</w:t>
      </w:r>
      <w:r w:rsidRPr="00B15FCC">
        <w:rPr>
          <w:bCs/>
          <w:lang w:val="fr-FR"/>
        </w:rPr>
        <w:t xml:space="preserve">inscrire autant de candidatures multinationales que possible, entre autres </w:t>
      </w:r>
      <w:r w:rsidRPr="00B15FCC">
        <w:rPr>
          <w:bCs/>
          <w:lang w:val="fr-FR"/>
        </w:rPr>
        <w:lastRenderedPageBreak/>
        <w:t>parce qu</w:t>
      </w:r>
      <w:r w:rsidR="00923E72">
        <w:rPr>
          <w:bCs/>
          <w:lang w:val="fr-FR"/>
        </w:rPr>
        <w:t>’</w:t>
      </w:r>
      <w:r w:rsidRPr="00B15FCC">
        <w:rPr>
          <w:bCs/>
          <w:lang w:val="fr-FR"/>
        </w:rPr>
        <w:t>elles sont pleinement conformes à l</w:t>
      </w:r>
      <w:r w:rsidR="00923E72">
        <w:rPr>
          <w:bCs/>
          <w:lang w:val="fr-FR"/>
        </w:rPr>
        <w:t>’</w:t>
      </w:r>
      <w:r w:rsidRPr="00B15FCC">
        <w:rPr>
          <w:bCs/>
          <w:lang w:val="fr-FR"/>
        </w:rPr>
        <w:t>objectif de l</w:t>
      </w:r>
      <w:r w:rsidR="00923E72">
        <w:rPr>
          <w:bCs/>
          <w:lang w:val="fr-FR"/>
        </w:rPr>
        <w:t>’</w:t>
      </w:r>
      <w:r w:rsidRPr="00B15FCC">
        <w:rPr>
          <w:bCs/>
          <w:lang w:val="fr-FR"/>
        </w:rPr>
        <w:t>UNESCO en matière de patrimoine culturel immatériel. Le Comité devrait donc faire tout son possible pour trouver des solutions multinationales. La délégation avait pris note du chiffre fixé à soixante, mais elle estimait que le Comité ne devrait pas se limiter, en particulier pour les candidatures qui en valent vraiment la peine. Néanmoins, compte tenu du travail de l</w:t>
      </w:r>
      <w:r w:rsidR="00923E72">
        <w:rPr>
          <w:bCs/>
          <w:lang w:val="fr-FR"/>
        </w:rPr>
        <w:t>’</w:t>
      </w:r>
      <w:r w:rsidRPr="00B15FCC">
        <w:rPr>
          <w:bCs/>
          <w:lang w:val="fr-FR"/>
        </w:rPr>
        <w:t>Organe d</w:t>
      </w:r>
      <w:r w:rsidR="00923E72">
        <w:rPr>
          <w:bCs/>
          <w:lang w:val="fr-FR"/>
        </w:rPr>
        <w:t>’</w:t>
      </w:r>
      <w:r w:rsidRPr="00B15FCC">
        <w:rPr>
          <w:bCs/>
          <w:lang w:val="fr-FR"/>
        </w:rPr>
        <w:t>évaluation, ce chiffre lui semblait acceptable.</w:t>
      </w:r>
    </w:p>
    <w:p w14:paraId="663A4F27" w14:textId="29B0BB3F" w:rsidR="006476D8" w:rsidRDefault="006476D8">
      <w:pPr>
        <w:pStyle w:val="Orateurengris"/>
        <w:numPr>
          <w:ilvl w:val="0"/>
          <w:numId w:val="20"/>
        </w:numPr>
        <w:tabs>
          <w:tab w:val="clear" w:pos="567"/>
          <w:tab w:val="left" w:pos="5954"/>
        </w:tabs>
        <w:spacing w:before="120"/>
        <w:ind w:left="709" w:hanging="709"/>
        <w:rPr>
          <w:bCs/>
          <w:lang w:val="fr-FR"/>
        </w:rPr>
      </w:pPr>
      <w:r w:rsidRPr="006476D8">
        <w:rPr>
          <w:bCs/>
          <w:lang w:val="fr-FR"/>
        </w:rPr>
        <w:t xml:space="preserve">La délégation de la </w:t>
      </w:r>
      <w:r w:rsidRPr="00702497">
        <w:rPr>
          <w:b/>
          <w:lang w:val="fr-FR"/>
        </w:rPr>
        <w:t>Suède</w:t>
      </w:r>
      <w:r w:rsidRPr="006476D8">
        <w:rPr>
          <w:bCs/>
          <w:lang w:val="fr-FR"/>
        </w:rPr>
        <w:t xml:space="preserve"> a remercié le Secrétariat pour sa présentation, ajoutant qu</w:t>
      </w:r>
      <w:r w:rsidR="00923E72">
        <w:rPr>
          <w:bCs/>
          <w:lang w:val="fr-FR"/>
        </w:rPr>
        <w:t>’</w:t>
      </w:r>
      <w:r w:rsidRPr="006476D8">
        <w:rPr>
          <w:bCs/>
          <w:lang w:val="fr-FR"/>
        </w:rPr>
        <w:t>elle soutenait pleinement le projet de décision. Comme le montrait le document, le Comité était toujours confronté à des défis quant au nombre de dossiers. Bien qu</w:t>
      </w:r>
      <w:r w:rsidR="00923E72">
        <w:rPr>
          <w:bCs/>
          <w:lang w:val="fr-FR"/>
        </w:rPr>
        <w:t>’</w:t>
      </w:r>
      <w:r w:rsidRPr="006476D8">
        <w:rPr>
          <w:bCs/>
          <w:lang w:val="fr-FR"/>
        </w:rPr>
        <w:t>il soit dans une meilleure position, grâce aux résultats de la réflexion globale sur le</w:t>
      </w:r>
      <w:r w:rsidR="00626692">
        <w:rPr>
          <w:bCs/>
          <w:lang w:val="fr-FR"/>
        </w:rPr>
        <w:t>s</w:t>
      </w:r>
      <w:r w:rsidRPr="006476D8">
        <w:rPr>
          <w:bCs/>
          <w:lang w:val="fr-FR"/>
        </w:rPr>
        <w:t xml:space="preserve"> mécanisme</w:t>
      </w:r>
      <w:r w:rsidR="00626692">
        <w:rPr>
          <w:bCs/>
          <w:lang w:val="fr-FR"/>
        </w:rPr>
        <w:t>s</w:t>
      </w:r>
      <w:r w:rsidRPr="006476D8">
        <w:rPr>
          <w:bCs/>
          <w:lang w:val="fr-FR"/>
        </w:rPr>
        <w:t xml:space="preserve"> d</w:t>
      </w:r>
      <w:r w:rsidR="00923E72">
        <w:rPr>
          <w:bCs/>
          <w:lang w:val="fr-FR"/>
        </w:rPr>
        <w:t>’</w:t>
      </w:r>
      <w:r w:rsidRPr="006476D8">
        <w:rPr>
          <w:bCs/>
          <w:lang w:val="fr-FR"/>
        </w:rPr>
        <w:t>inscription, il était également vrai que les ressources financières et humaines au sein du Secrétariat et de l</w:t>
      </w:r>
      <w:r w:rsidR="00923E72">
        <w:rPr>
          <w:bCs/>
          <w:lang w:val="fr-FR"/>
        </w:rPr>
        <w:t>’</w:t>
      </w:r>
      <w:r w:rsidRPr="006476D8">
        <w:rPr>
          <w:bCs/>
          <w:lang w:val="fr-FR"/>
        </w:rPr>
        <w:t>Organe d</w:t>
      </w:r>
      <w:r w:rsidR="00923E72">
        <w:rPr>
          <w:bCs/>
          <w:lang w:val="fr-FR"/>
        </w:rPr>
        <w:t>’</w:t>
      </w:r>
      <w:r w:rsidRPr="006476D8">
        <w:rPr>
          <w:bCs/>
          <w:lang w:val="fr-FR"/>
        </w:rPr>
        <w:t xml:space="preserve">évaluation étaient limitées. </w:t>
      </w:r>
      <w:r w:rsidR="00C2631B">
        <w:rPr>
          <w:bCs/>
          <w:lang w:val="fr-FR"/>
        </w:rPr>
        <w:t>Outre « un maximum de soixante</w:t>
      </w:r>
      <w:r w:rsidRPr="006476D8">
        <w:rPr>
          <w:bCs/>
          <w:lang w:val="fr-FR"/>
        </w:rPr>
        <w:t xml:space="preserve"> dossiers</w:t>
      </w:r>
      <w:r w:rsidR="00C2631B">
        <w:rPr>
          <w:bCs/>
          <w:lang w:val="fr-FR"/>
        </w:rPr>
        <w:t> »</w:t>
      </w:r>
      <w:r w:rsidRPr="006476D8">
        <w:rPr>
          <w:bCs/>
          <w:lang w:val="fr-FR"/>
        </w:rPr>
        <w:t>, l</w:t>
      </w:r>
      <w:r w:rsidR="00923E72">
        <w:rPr>
          <w:bCs/>
          <w:lang w:val="fr-FR"/>
        </w:rPr>
        <w:t>’</w:t>
      </w:r>
      <w:r w:rsidRPr="006476D8">
        <w:rPr>
          <w:bCs/>
          <w:lang w:val="fr-FR"/>
        </w:rPr>
        <w:t>introduction des nouvelles procédures dans les Directives opérationnelles entraînerait une augmentation de la charge de travail. Le rapport mettait également clairement en évidence les défis liés aux dossiers multinationaux. Tous les États parties devaient en tenir compte lors de la soumission de nouvelles candidatures. La Suède a remercié le Secrétariat pour ses efforts de présentation d</w:t>
      </w:r>
      <w:r w:rsidR="00923E72">
        <w:rPr>
          <w:bCs/>
          <w:lang w:val="fr-FR"/>
        </w:rPr>
        <w:t>’</w:t>
      </w:r>
      <w:r w:rsidRPr="006476D8">
        <w:rPr>
          <w:bCs/>
          <w:lang w:val="fr-FR"/>
        </w:rPr>
        <w:t>une proposition acceptable qui autorise une certaine flexibilité et permette une plus grande équité entre les États soumissionnaires ainsi qu</w:t>
      </w:r>
      <w:r w:rsidR="00923E72">
        <w:rPr>
          <w:bCs/>
          <w:lang w:val="fr-FR"/>
        </w:rPr>
        <w:t>’</w:t>
      </w:r>
      <w:r w:rsidRPr="006476D8">
        <w:rPr>
          <w:bCs/>
          <w:lang w:val="fr-FR"/>
        </w:rPr>
        <w:t>un système de priorité pour les dossiers multinationaux. Les États parties devraient donc tenir compte de la décision et de la situation actuelles en ce qui concerne la soumission de dossiers multinationaux pour les cycles à venir et faire preuve de modération à cet égard</w:t>
      </w:r>
      <w:r w:rsidR="00A035FC">
        <w:rPr>
          <w:bCs/>
          <w:lang w:val="fr-FR"/>
        </w:rPr>
        <w:t>,</w:t>
      </w:r>
      <w:r w:rsidRPr="006476D8">
        <w:rPr>
          <w:bCs/>
          <w:lang w:val="fr-FR"/>
        </w:rPr>
        <w:t xml:space="preserve"> dans l</w:t>
      </w:r>
      <w:r w:rsidR="00923E72">
        <w:rPr>
          <w:bCs/>
          <w:lang w:val="fr-FR"/>
        </w:rPr>
        <w:t>’</w:t>
      </w:r>
      <w:r w:rsidRPr="006476D8">
        <w:rPr>
          <w:bCs/>
          <w:lang w:val="fr-FR"/>
        </w:rPr>
        <w:t>intérêt d</w:t>
      </w:r>
      <w:r w:rsidR="00923E72">
        <w:rPr>
          <w:bCs/>
          <w:lang w:val="fr-FR"/>
        </w:rPr>
        <w:t>’</w:t>
      </w:r>
      <w:r w:rsidRPr="006476D8">
        <w:rPr>
          <w:bCs/>
          <w:lang w:val="fr-FR"/>
        </w:rPr>
        <w:t>une meilleure représentation.</w:t>
      </w:r>
    </w:p>
    <w:p w14:paraId="62B5EAB3" w14:textId="3F6D7768" w:rsidR="00A035FC" w:rsidRDefault="00A035FC">
      <w:pPr>
        <w:pStyle w:val="Orateurengris"/>
        <w:numPr>
          <w:ilvl w:val="0"/>
          <w:numId w:val="20"/>
        </w:numPr>
        <w:tabs>
          <w:tab w:val="clear" w:pos="567"/>
          <w:tab w:val="left" w:pos="5954"/>
        </w:tabs>
        <w:spacing w:before="120"/>
        <w:ind w:left="709" w:hanging="709"/>
        <w:rPr>
          <w:bCs/>
          <w:lang w:val="fr-FR"/>
        </w:rPr>
      </w:pPr>
      <w:r w:rsidRPr="00A035FC">
        <w:rPr>
          <w:bCs/>
          <w:lang w:val="fr-FR"/>
        </w:rPr>
        <w:t xml:space="preserve">La délégation de la </w:t>
      </w:r>
      <w:r w:rsidRPr="00702497">
        <w:rPr>
          <w:b/>
          <w:lang w:val="fr-FR"/>
        </w:rPr>
        <w:t>Tchéquie</w:t>
      </w:r>
      <w:r w:rsidRPr="00A035FC">
        <w:rPr>
          <w:bCs/>
          <w:lang w:val="fr-FR"/>
        </w:rPr>
        <w:t xml:space="preserve"> a remercié le Secrétariat pour son analyse de la situation actuelle et pour sa proposition sur la manière de procéder pour le prochain exercice biennal. Au cours de cette session, l</w:t>
      </w:r>
      <w:r w:rsidR="00923E72">
        <w:rPr>
          <w:bCs/>
          <w:lang w:val="fr-FR"/>
        </w:rPr>
        <w:t>’</w:t>
      </w:r>
      <w:r w:rsidRPr="00A035FC">
        <w:rPr>
          <w:bCs/>
          <w:lang w:val="fr-FR"/>
        </w:rPr>
        <w:t>Organe d</w:t>
      </w:r>
      <w:r w:rsidR="00923E72">
        <w:rPr>
          <w:bCs/>
          <w:lang w:val="fr-FR"/>
        </w:rPr>
        <w:t>’</w:t>
      </w:r>
      <w:r w:rsidRPr="00A035FC">
        <w:rPr>
          <w:bCs/>
          <w:lang w:val="fr-FR"/>
        </w:rPr>
        <w:t>évaluation avait évoqué le temps considérable nécessaire à l</w:t>
      </w:r>
      <w:r w:rsidR="00923E72">
        <w:rPr>
          <w:bCs/>
          <w:lang w:val="fr-FR"/>
        </w:rPr>
        <w:t>’</w:t>
      </w:r>
      <w:r w:rsidRPr="00A035FC">
        <w:rPr>
          <w:bCs/>
          <w:lang w:val="fr-FR"/>
        </w:rPr>
        <w:t>évaluation approfondie de chaque candidature et le fait que toute nouvelle augmentation du plafond annuel aurait un impact négatif sur la qualité du processus d</w:t>
      </w:r>
      <w:r w:rsidR="00923E72">
        <w:rPr>
          <w:bCs/>
          <w:lang w:val="fr-FR"/>
        </w:rPr>
        <w:t>’</w:t>
      </w:r>
      <w:r w:rsidRPr="00A035FC">
        <w:rPr>
          <w:bCs/>
          <w:lang w:val="fr-FR"/>
        </w:rPr>
        <w:t>évaluation. Compte tenu des discussions sur le mécanisme de dialogue</w:t>
      </w:r>
      <w:r w:rsidR="00B23A67">
        <w:rPr>
          <w:bCs/>
          <w:lang w:val="fr-FR"/>
        </w:rPr>
        <w:t xml:space="preserve"> </w:t>
      </w:r>
      <w:r w:rsidRPr="00A035FC">
        <w:rPr>
          <w:bCs/>
          <w:lang w:val="fr-FR"/>
        </w:rPr>
        <w:t>qui</w:t>
      </w:r>
      <w:r w:rsidR="00B23A67">
        <w:rPr>
          <w:bCs/>
          <w:lang w:val="fr-FR"/>
        </w:rPr>
        <w:t>,</w:t>
      </w:r>
      <w:r w:rsidRPr="00A035FC">
        <w:rPr>
          <w:bCs/>
          <w:lang w:val="fr-FR"/>
        </w:rPr>
        <w:t xml:space="preserve"> </w:t>
      </w:r>
      <w:r w:rsidR="00B23A67" w:rsidRPr="00A035FC">
        <w:rPr>
          <w:bCs/>
          <w:lang w:val="fr-FR"/>
        </w:rPr>
        <w:t>pour des raisons de capacité</w:t>
      </w:r>
      <w:r w:rsidR="00B23A67">
        <w:rPr>
          <w:bCs/>
          <w:lang w:val="fr-FR"/>
        </w:rPr>
        <w:t xml:space="preserve">, </w:t>
      </w:r>
      <w:r w:rsidRPr="00A035FC">
        <w:rPr>
          <w:bCs/>
          <w:lang w:val="fr-FR"/>
        </w:rPr>
        <w:t>ne pouvait être utilisé pour toutes les questions identifiées par l</w:t>
      </w:r>
      <w:r w:rsidR="00923E72">
        <w:rPr>
          <w:bCs/>
          <w:lang w:val="fr-FR"/>
        </w:rPr>
        <w:t>’</w:t>
      </w:r>
      <w:r w:rsidRPr="00A035FC">
        <w:rPr>
          <w:bCs/>
          <w:lang w:val="fr-FR"/>
        </w:rPr>
        <w:t>Organe d</w:t>
      </w:r>
      <w:r w:rsidR="00923E72">
        <w:rPr>
          <w:bCs/>
          <w:lang w:val="fr-FR"/>
        </w:rPr>
        <w:t>’</w:t>
      </w:r>
      <w:r w:rsidRPr="00A035FC">
        <w:rPr>
          <w:bCs/>
          <w:lang w:val="fr-FR"/>
        </w:rPr>
        <w:t>évaluation dans les dossiers</w:t>
      </w:r>
      <w:r w:rsidR="00B23A67">
        <w:rPr>
          <w:bCs/>
          <w:lang w:val="fr-FR"/>
        </w:rPr>
        <w:t xml:space="preserve">, </w:t>
      </w:r>
      <w:r w:rsidRPr="00A035FC">
        <w:rPr>
          <w:bCs/>
          <w:lang w:val="fr-FR"/>
        </w:rPr>
        <w:t>il était évident qu</w:t>
      </w:r>
      <w:r w:rsidR="00923E72">
        <w:rPr>
          <w:bCs/>
          <w:lang w:val="fr-FR"/>
        </w:rPr>
        <w:t>’</w:t>
      </w:r>
      <w:r w:rsidRPr="00A035FC">
        <w:rPr>
          <w:bCs/>
          <w:lang w:val="fr-FR"/>
        </w:rPr>
        <w:t xml:space="preserve">une nouvelle augmentation </w:t>
      </w:r>
      <w:r w:rsidR="00B23A67">
        <w:rPr>
          <w:bCs/>
          <w:lang w:val="fr-FR"/>
        </w:rPr>
        <w:t xml:space="preserve">du nombre de dossiers </w:t>
      </w:r>
      <w:r w:rsidRPr="00A035FC">
        <w:rPr>
          <w:bCs/>
          <w:lang w:val="fr-FR"/>
        </w:rPr>
        <w:t xml:space="preserve">ne serait ni possible ni </w:t>
      </w:r>
      <w:r w:rsidR="00246F16">
        <w:rPr>
          <w:bCs/>
          <w:lang w:val="fr-FR"/>
        </w:rPr>
        <w:t>dur</w:t>
      </w:r>
      <w:r w:rsidRPr="00A035FC">
        <w:rPr>
          <w:bCs/>
          <w:lang w:val="fr-FR"/>
        </w:rPr>
        <w:t>able. Il a</w:t>
      </w:r>
      <w:r w:rsidR="00246F16">
        <w:rPr>
          <w:bCs/>
          <w:lang w:val="fr-FR"/>
        </w:rPr>
        <w:t>vait</w:t>
      </w:r>
      <w:r w:rsidRPr="00A035FC">
        <w:rPr>
          <w:bCs/>
          <w:lang w:val="fr-FR"/>
        </w:rPr>
        <w:t xml:space="preserve"> également été </w:t>
      </w:r>
      <w:r w:rsidR="00246F16">
        <w:rPr>
          <w:bCs/>
          <w:lang w:val="fr-FR"/>
        </w:rPr>
        <w:t xml:space="preserve">précisé </w:t>
      </w:r>
      <w:r w:rsidRPr="00A035FC">
        <w:rPr>
          <w:bCs/>
          <w:lang w:val="fr-FR"/>
        </w:rPr>
        <w:t>que l</w:t>
      </w:r>
      <w:r w:rsidR="00923E72">
        <w:rPr>
          <w:bCs/>
          <w:lang w:val="fr-FR"/>
        </w:rPr>
        <w:t>’</w:t>
      </w:r>
      <w:r w:rsidRPr="00A035FC">
        <w:rPr>
          <w:bCs/>
          <w:lang w:val="fr-FR"/>
        </w:rPr>
        <w:t>introduction de nouvelles procédures dans les Directives opérationnelles, telles que l</w:t>
      </w:r>
      <w:r w:rsidR="00923E72">
        <w:rPr>
          <w:bCs/>
          <w:lang w:val="fr-FR"/>
        </w:rPr>
        <w:t>’</w:t>
      </w:r>
      <w:r w:rsidRPr="00A035FC">
        <w:rPr>
          <w:bCs/>
          <w:lang w:val="fr-FR"/>
        </w:rPr>
        <w:t>élargissement ou la réduction d</w:t>
      </w:r>
      <w:r w:rsidR="00923E72">
        <w:rPr>
          <w:bCs/>
          <w:lang w:val="fr-FR"/>
        </w:rPr>
        <w:t>’</w:t>
      </w:r>
      <w:r w:rsidRPr="00A035FC">
        <w:rPr>
          <w:bCs/>
          <w:lang w:val="fr-FR"/>
        </w:rPr>
        <w:t>un élément ou son transfert, augmenterait la charge de travail du Comité, de l</w:t>
      </w:r>
      <w:r w:rsidR="00923E72">
        <w:rPr>
          <w:bCs/>
          <w:lang w:val="fr-FR"/>
        </w:rPr>
        <w:t>’</w:t>
      </w:r>
      <w:r w:rsidRPr="00A035FC">
        <w:rPr>
          <w:bCs/>
          <w:lang w:val="fr-FR"/>
        </w:rPr>
        <w:t>Organe d</w:t>
      </w:r>
      <w:r w:rsidR="00923E72">
        <w:rPr>
          <w:bCs/>
          <w:lang w:val="fr-FR"/>
        </w:rPr>
        <w:t>’</w:t>
      </w:r>
      <w:r w:rsidRPr="00A035FC">
        <w:rPr>
          <w:bCs/>
          <w:lang w:val="fr-FR"/>
        </w:rPr>
        <w:t>évaluation et du Secrétariat bien qu</w:t>
      </w:r>
      <w:r w:rsidR="00923E72">
        <w:rPr>
          <w:bCs/>
          <w:lang w:val="fr-FR"/>
        </w:rPr>
        <w:t>’</w:t>
      </w:r>
      <w:r w:rsidRPr="00A035FC">
        <w:rPr>
          <w:bCs/>
          <w:lang w:val="fr-FR"/>
        </w:rPr>
        <w:t>ils aient atteint la limite de leurs capacités. Pour cette raison, la délégation soutenait le projet de décision, y compris l</w:t>
      </w:r>
      <w:r w:rsidR="00923E72">
        <w:rPr>
          <w:bCs/>
          <w:lang w:val="fr-FR"/>
        </w:rPr>
        <w:t>’</w:t>
      </w:r>
      <w:r w:rsidRPr="00A035FC">
        <w:rPr>
          <w:bCs/>
          <w:lang w:val="fr-FR"/>
        </w:rPr>
        <w:t>invitation faite aux États soumettant davantage de candidatures multinationales de tenir compte de la situation actuelle afin que d</w:t>
      </w:r>
      <w:r w:rsidR="00923E72">
        <w:rPr>
          <w:bCs/>
          <w:lang w:val="fr-FR"/>
        </w:rPr>
        <w:t>’</w:t>
      </w:r>
      <w:r w:rsidRPr="00A035FC">
        <w:rPr>
          <w:bCs/>
          <w:lang w:val="fr-FR"/>
        </w:rPr>
        <w:t>autres États aient la possibilité de proposer leurs éléments, ce qui garantirait une plus grande représentation des États soumissionnaires et de leur patrimoine culturel immatériel.</w:t>
      </w:r>
    </w:p>
    <w:p w14:paraId="14040919" w14:textId="32541815" w:rsidR="00246F16" w:rsidRDefault="00246F16">
      <w:pPr>
        <w:pStyle w:val="Orateurengris"/>
        <w:numPr>
          <w:ilvl w:val="0"/>
          <w:numId w:val="20"/>
        </w:numPr>
        <w:tabs>
          <w:tab w:val="clear" w:pos="567"/>
          <w:tab w:val="left" w:pos="5954"/>
        </w:tabs>
        <w:spacing w:before="120"/>
        <w:ind w:left="709" w:hanging="709"/>
        <w:rPr>
          <w:bCs/>
          <w:lang w:val="fr-FR"/>
        </w:rPr>
      </w:pPr>
      <w:r w:rsidRPr="00246F16">
        <w:rPr>
          <w:bCs/>
          <w:lang w:val="fr-FR"/>
        </w:rPr>
        <w:t>La délégation de l</w:t>
      </w:r>
      <w:r w:rsidR="00923E72">
        <w:rPr>
          <w:bCs/>
          <w:lang w:val="fr-FR"/>
        </w:rPr>
        <w:t>’</w:t>
      </w:r>
      <w:r w:rsidRPr="00702497">
        <w:rPr>
          <w:b/>
          <w:lang w:val="fr-FR"/>
        </w:rPr>
        <w:t>Inde</w:t>
      </w:r>
      <w:r w:rsidRPr="00246F16">
        <w:rPr>
          <w:bCs/>
          <w:lang w:val="fr-FR"/>
        </w:rPr>
        <w:t xml:space="preserve"> appréciait le travail du Secrétariat et de l</w:t>
      </w:r>
      <w:r w:rsidR="00923E72">
        <w:rPr>
          <w:bCs/>
          <w:lang w:val="fr-FR"/>
        </w:rPr>
        <w:t>’</w:t>
      </w:r>
      <w:r w:rsidRPr="00246F16">
        <w:rPr>
          <w:bCs/>
          <w:lang w:val="fr-FR"/>
        </w:rPr>
        <w:t>Organe d</w:t>
      </w:r>
      <w:r w:rsidR="00923E72">
        <w:rPr>
          <w:bCs/>
          <w:lang w:val="fr-FR"/>
        </w:rPr>
        <w:t>’</w:t>
      </w:r>
      <w:r w:rsidRPr="00246F16">
        <w:rPr>
          <w:bCs/>
          <w:lang w:val="fr-FR"/>
        </w:rPr>
        <w:t>évaluation ainsi que le rapport soumis par le Secrétariat. Bien qu</w:t>
      </w:r>
      <w:r w:rsidR="00923E72">
        <w:rPr>
          <w:bCs/>
          <w:lang w:val="fr-FR"/>
        </w:rPr>
        <w:t>’</w:t>
      </w:r>
      <w:r w:rsidRPr="00246F16">
        <w:rPr>
          <w:bCs/>
          <w:lang w:val="fr-FR"/>
        </w:rPr>
        <w:t>elle trouve le chiffre de soixante raisonnable, elle souhaitait un plus grand dialogue et de plus amples consultations avec les nouveaux membres du Comité avant que des changements ne soient apportés aux Directives opérationnelles. Elle a repris la remarque de l</w:t>
      </w:r>
      <w:r w:rsidR="00923E72">
        <w:rPr>
          <w:bCs/>
          <w:lang w:val="fr-FR"/>
        </w:rPr>
        <w:t>’</w:t>
      </w:r>
      <w:r w:rsidRPr="00246F16">
        <w:rPr>
          <w:bCs/>
          <w:lang w:val="fr-FR"/>
        </w:rPr>
        <w:t>Allemagne selon laquelle aucun dossier méritant de figurer sur la Liste ne devrait se voir refuser une opportunité parce qu</w:t>
      </w:r>
      <w:r w:rsidR="00923E72">
        <w:rPr>
          <w:bCs/>
          <w:lang w:val="fr-FR"/>
        </w:rPr>
        <w:t>’</w:t>
      </w:r>
      <w:r w:rsidRPr="00246F16">
        <w:rPr>
          <w:bCs/>
          <w:lang w:val="fr-FR"/>
        </w:rPr>
        <w:t>un nombre précis de dossiers avait déjà été atteint. Il fallait une certaine flexibilité plutôt que des restrictions imposées aux États membres. D</w:t>
      </w:r>
      <w:r w:rsidR="00923E72">
        <w:rPr>
          <w:bCs/>
          <w:lang w:val="fr-FR"/>
        </w:rPr>
        <w:t>’</w:t>
      </w:r>
      <w:r w:rsidRPr="00246F16">
        <w:rPr>
          <w:bCs/>
          <w:lang w:val="fr-FR"/>
        </w:rPr>
        <w:t>une manière générale, la délégation soutenait globalement cette limite, car le nombre d</w:t>
      </w:r>
      <w:r w:rsidR="00923E72">
        <w:rPr>
          <w:bCs/>
          <w:lang w:val="fr-FR"/>
        </w:rPr>
        <w:t>’</w:t>
      </w:r>
      <w:r w:rsidRPr="00246F16">
        <w:rPr>
          <w:bCs/>
          <w:lang w:val="fr-FR"/>
        </w:rPr>
        <w:t xml:space="preserve">environ </w:t>
      </w:r>
      <w:r w:rsidR="00F02243">
        <w:rPr>
          <w:bCs/>
          <w:lang w:val="fr-FR"/>
        </w:rPr>
        <w:t>soixante</w:t>
      </w:r>
      <w:r w:rsidRPr="00246F16">
        <w:rPr>
          <w:bCs/>
          <w:lang w:val="fr-FR"/>
        </w:rPr>
        <w:t xml:space="preserve"> semblait s</w:t>
      </w:r>
      <w:r w:rsidR="00923E72">
        <w:rPr>
          <w:bCs/>
          <w:lang w:val="fr-FR"/>
        </w:rPr>
        <w:t>’</w:t>
      </w:r>
      <w:r w:rsidRPr="00246F16">
        <w:rPr>
          <w:bCs/>
          <w:lang w:val="fr-FR"/>
        </w:rPr>
        <w:t>être stabilisé au cours des dernières années.</w:t>
      </w:r>
    </w:p>
    <w:p w14:paraId="35D58D9B" w14:textId="6971A182" w:rsidR="00F02243" w:rsidRDefault="00F02243">
      <w:pPr>
        <w:pStyle w:val="Orateurengris"/>
        <w:numPr>
          <w:ilvl w:val="0"/>
          <w:numId w:val="20"/>
        </w:numPr>
        <w:tabs>
          <w:tab w:val="clear" w:pos="567"/>
          <w:tab w:val="left" w:pos="5954"/>
        </w:tabs>
        <w:spacing w:before="120"/>
        <w:ind w:left="709" w:hanging="709"/>
        <w:rPr>
          <w:bCs/>
          <w:lang w:val="fr-FR"/>
        </w:rPr>
      </w:pPr>
      <w:r w:rsidRPr="00F02243">
        <w:rPr>
          <w:bCs/>
          <w:lang w:val="fr-FR"/>
        </w:rPr>
        <w:t xml:space="preserve">La délégation de la </w:t>
      </w:r>
      <w:r w:rsidRPr="00702497">
        <w:rPr>
          <w:b/>
          <w:lang w:val="fr-FR"/>
        </w:rPr>
        <w:t>Suisse</w:t>
      </w:r>
      <w:r w:rsidRPr="00F02243">
        <w:rPr>
          <w:bCs/>
          <w:lang w:val="fr-FR"/>
        </w:rPr>
        <w:t xml:space="preserve"> a fait remarquer que la question du plafond du nombre de dossiers avait déjà fait l</w:t>
      </w:r>
      <w:r w:rsidR="00923E72">
        <w:rPr>
          <w:bCs/>
          <w:lang w:val="fr-FR"/>
        </w:rPr>
        <w:t>’</w:t>
      </w:r>
      <w:r w:rsidRPr="00F02243">
        <w:rPr>
          <w:bCs/>
          <w:lang w:val="fr-FR"/>
        </w:rPr>
        <w:t>objet d</w:t>
      </w:r>
      <w:r w:rsidR="00923E72">
        <w:rPr>
          <w:bCs/>
          <w:lang w:val="fr-FR"/>
        </w:rPr>
        <w:t>’</w:t>
      </w:r>
      <w:r w:rsidRPr="00F02243">
        <w:rPr>
          <w:bCs/>
          <w:lang w:val="fr-FR"/>
        </w:rPr>
        <w:t>un vaste débat et que la réalisation d</w:t>
      </w:r>
      <w:r w:rsidR="00923E72">
        <w:rPr>
          <w:bCs/>
          <w:lang w:val="fr-FR"/>
        </w:rPr>
        <w:t>’</w:t>
      </w:r>
      <w:r w:rsidRPr="00F02243">
        <w:rPr>
          <w:bCs/>
          <w:lang w:val="fr-FR"/>
        </w:rPr>
        <w:t>un travail de qualité était liée à la capacité de l</w:t>
      </w:r>
      <w:r w:rsidR="00923E72">
        <w:rPr>
          <w:bCs/>
          <w:lang w:val="fr-FR"/>
        </w:rPr>
        <w:t>’</w:t>
      </w:r>
      <w:r w:rsidRPr="00F02243">
        <w:rPr>
          <w:bCs/>
          <w:lang w:val="fr-FR"/>
        </w:rPr>
        <w:t>Organe d</w:t>
      </w:r>
      <w:r w:rsidR="00923E72">
        <w:rPr>
          <w:bCs/>
          <w:lang w:val="fr-FR"/>
        </w:rPr>
        <w:t>’</w:t>
      </w:r>
      <w:r w:rsidRPr="00F02243">
        <w:rPr>
          <w:bCs/>
          <w:lang w:val="fr-FR"/>
        </w:rPr>
        <w:t xml:space="preserve">évaluation. Les discussions </w:t>
      </w:r>
      <w:r>
        <w:rPr>
          <w:bCs/>
          <w:lang w:val="fr-FR"/>
        </w:rPr>
        <w:t xml:space="preserve">au cours </w:t>
      </w:r>
      <w:r w:rsidRPr="00F02243">
        <w:rPr>
          <w:bCs/>
          <w:lang w:val="fr-FR"/>
        </w:rPr>
        <w:t>de cette session avaient démontré ce que le Comité entendait par travail de qualité, avec le souhait que l</w:t>
      </w:r>
      <w:r w:rsidR="00923E72">
        <w:rPr>
          <w:bCs/>
          <w:lang w:val="fr-FR"/>
        </w:rPr>
        <w:t>’</w:t>
      </w:r>
      <w:r w:rsidRPr="00F02243">
        <w:rPr>
          <w:bCs/>
          <w:lang w:val="fr-FR"/>
        </w:rPr>
        <w:t>Organe d</w:t>
      </w:r>
      <w:r w:rsidR="00923E72">
        <w:rPr>
          <w:bCs/>
          <w:lang w:val="fr-FR"/>
        </w:rPr>
        <w:t>’</w:t>
      </w:r>
      <w:r w:rsidRPr="00F02243">
        <w:rPr>
          <w:bCs/>
          <w:lang w:val="fr-FR"/>
        </w:rPr>
        <w:t xml:space="preserve">évaluation engage autant de </w:t>
      </w:r>
      <w:r>
        <w:rPr>
          <w:bCs/>
          <w:lang w:val="fr-FR"/>
        </w:rPr>
        <w:t>« </w:t>
      </w:r>
      <w:r w:rsidRPr="00F02243">
        <w:rPr>
          <w:bCs/>
          <w:lang w:val="fr-FR"/>
        </w:rPr>
        <w:t>dialogues</w:t>
      </w:r>
      <w:r>
        <w:rPr>
          <w:bCs/>
          <w:lang w:val="fr-FR"/>
        </w:rPr>
        <w:t> »</w:t>
      </w:r>
      <w:r w:rsidRPr="00F02243">
        <w:rPr>
          <w:bCs/>
          <w:lang w:val="fr-FR"/>
        </w:rPr>
        <w:t xml:space="preserve"> que possible dans le cadre actuel des Directives </w:t>
      </w:r>
      <w:r w:rsidRPr="00F02243">
        <w:rPr>
          <w:bCs/>
          <w:lang w:val="fr-FR"/>
        </w:rPr>
        <w:lastRenderedPageBreak/>
        <w:t>opérationnelles. Il ne serait pas judicieux que le Comité modifie à nouveau la limite supérieure de soixante candidatures fixée récemment. La Suisse soutenait donc le maintien de ce nombre et le fait de se concentrer plutôt sur la qualité des évaluations, qui était importante.</w:t>
      </w:r>
    </w:p>
    <w:p w14:paraId="252229A0" w14:textId="1405E88D" w:rsidR="00F02243" w:rsidRDefault="00F02243">
      <w:pPr>
        <w:pStyle w:val="Orateurengris"/>
        <w:numPr>
          <w:ilvl w:val="0"/>
          <w:numId w:val="20"/>
        </w:numPr>
        <w:tabs>
          <w:tab w:val="clear" w:pos="567"/>
          <w:tab w:val="left" w:pos="5954"/>
        </w:tabs>
        <w:spacing w:before="120"/>
        <w:ind w:left="709" w:hanging="709"/>
        <w:rPr>
          <w:bCs/>
          <w:lang w:val="fr-FR"/>
        </w:rPr>
      </w:pPr>
      <w:r w:rsidRPr="00F02243">
        <w:rPr>
          <w:bCs/>
          <w:lang w:val="fr-FR"/>
        </w:rPr>
        <w:t xml:space="preserve">Le </w:t>
      </w:r>
      <w:r w:rsidRPr="00702497">
        <w:rPr>
          <w:b/>
          <w:lang w:val="fr-FR"/>
        </w:rPr>
        <w:t>Président</w:t>
      </w:r>
      <w:r w:rsidRPr="00F02243">
        <w:rPr>
          <w:bCs/>
          <w:lang w:val="fr-FR"/>
        </w:rPr>
        <w:t xml:space="preserve"> a pris note que les membres du Comité ne remettaient pas en cause le plafond de soixante, mais qu</w:t>
      </w:r>
      <w:r w:rsidR="00923E72">
        <w:rPr>
          <w:bCs/>
          <w:lang w:val="fr-FR"/>
        </w:rPr>
        <w:t>’</w:t>
      </w:r>
      <w:r w:rsidRPr="00F02243">
        <w:rPr>
          <w:bCs/>
          <w:lang w:val="fr-FR"/>
        </w:rPr>
        <w:t>ils parlaient plutôt de flexibilité et qu</w:t>
      </w:r>
      <w:r w:rsidR="00923E72">
        <w:rPr>
          <w:bCs/>
          <w:lang w:val="fr-FR"/>
        </w:rPr>
        <w:t>’</w:t>
      </w:r>
      <w:r w:rsidRPr="00F02243">
        <w:rPr>
          <w:bCs/>
          <w:lang w:val="fr-FR"/>
        </w:rPr>
        <w:t>il ne serait pas bon que le Comité ait les mains complètement liées. Toutefois, il était évident que tous les membres étaient d</w:t>
      </w:r>
      <w:r w:rsidR="00923E72">
        <w:rPr>
          <w:bCs/>
          <w:lang w:val="fr-FR"/>
        </w:rPr>
        <w:t>’</w:t>
      </w:r>
      <w:r w:rsidRPr="00F02243">
        <w:rPr>
          <w:bCs/>
          <w:lang w:val="fr-FR"/>
        </w:rPr>
        <w:t>accord sur le nombre de soixante.</w:t>
      </w:r>
    </w:p>
    <w:p w14:paraId="776E87C9" w14:textId="51A9ED3E" w:rsidR="00F02243" w:rsidRDefault="00F02243">
      <w:pPr>
        <w:pStyle w:val="Orateurengris"/>
        <w:numPr>
          <w:ilvl w:val="0"/>
          <w:numId w:val="20"/>
        </w:numPr>
        <w:tabs>
          <w:tab w:val="clear" w:pos="567"/>
          <w:tab w:val="left" w:pos="5954"/>
        </w:tabs>
        <w:spacing w:before="120"/>
        <w:ind w:left="709" w:hanging="709"/>
        <w:rPr>
          <w:bCs/>
          <w:lang w:val="fr-FR"/>
        </w:rPr>
      </w:pPr>
      <w:r w:rsidRPr="00F02243">
        <w:rPr>
          <w:bCs/>
          <w:lang w:val="fr-FR"/>
        </w:rPr>
        <w:t xml:space="preserve">Le </w:t>
      </w:r>
      <w:r w:rsidRPr="00702497">
        <w:rPr>
          <w:b/>
          <w:lang w:val="fr-FR"/>
        </w:rPr>
        <w:t>Secrétaire</w:t>
      </w:r>
      <w:r w:rsidRPr="00F02243">
        <w:rPr>
          <w:bCs/>
          <w:lang w:val="fr-FR"/>
        </w:rPr>
        <w:t xml:space="preserve"> a précisé que le nombre de soixante avait été atteint après deux ans de débats et qu</w:t>
      </w:r>
      <w:r w:rsidR="00923E72">
        <w:rPr>
          <w:bCs/>
          <w:lang w:val="fr-FR"/>
        </w:rPr>
        <w:t>’</w:t>
      </w:r>
      <w:r w:rsidRPr="00F02243">
        <w:rPr>
          <w:bCs/>
          <w:lang w:val="fr-FR"/>
        </w:rPr>
        <w:t>il avait effectivement été adopté par l</w:t>
      </w:r>
      <w:r w:rsidR="00923E72">
        <w:rPr>
          <w:bCs/>
          <w:lang w:val="fr-FR"/>
        </w:rPr>
        <w:t>’</w:t>
      </w:r>
      <w:r w:rsidRPr="00F02243">
        <w:rPr>
          <w:bCs/>
          <w:lang w:val="fr-FR"/>
        </w:rPr>
        <w:t>Assemblée générale, la formulation utilisée dans le projet de décision reflétant précisément ce fait. S</w:t>
      </w:r>
      <w:r w:rsidR="00923E72">
        <w:rPr>
          <w:bCs/>
          <w:lang w:val="fr-FR"/>
        </w:rPr>
        <w:t>’</w:t>
      </w:r>
      <w:r w:rsidRPr="00F02243">
        <w:rPr>
          <w:bCs/>
          <w:lang w:val="fr-FR"/>
        </w:rPr>
        <w:t>agissant des dossiers multinationaux, le nouveau système faisait preuve d</w:t>
      </w:r>
      <w:r w:rsidR="00923E72">
        <w:rPr>
          <w:bCs/>
          <w:lang w:val="fr-FR"/>
        </w:rPr>
        <w:t>’</w:t>
      </w:r>
      <w:r w:rsidRPr="00F02243">
        <w:rPr>
          <w:bCs/>
          <w:lang w:val="fr-FR"/>
        </w:rPr>
        <w:t>une grande souplesse. Il était désormais possible pour les États et les communautés de se joindre à des inscriptions déjà existantes et d</w:t>
      </w:r>
      <w:r w:rsidR="00923E72">
        <w:rPr>
          <w:bCs/>
          <w:lang w:val="fr-FR"/>
        </w:rPr>
        <w:t>’</w:t>
      </w:r>
      <w:r w:rsidRPr="00F02243">
        <w:rPr>
          <w:bCs/>
          <w:lang w:val="fr-FR"/>
        </w:rPr>
        <w:t>élargir les candidatures multinationales, ce qui se ferait en dehors de la limite de soixante</w:t>
      </w:r>
      <w:r>
        <w:rPr>
          <w:bCs/>
          <w:lang w:val="fr-FR"/>
        </w:rPr>
        <w:t xml:space="preserve"> dossiers</w:t>
      </w:r>
      <w:r w:rsidRPr="00F02243">
        <w:rPr>
          <w:bCs/>
          <w:lang w:val="fr-FR"/>
        </w:rPr>
        <w:t>. Ainsi, l</w:t>
      </w:r>
      <w:r w:rsidR="00923E72">
        <w:rPr>
          <w:bCs/>
          <w:lang w:val="fr-FR"/>
        </w:rPr>
        <w:t>’</w:t>
      </w:r>
      <w:r w:rsidRPr="00F02243">
        <w:rPr>
          <w:bCs/>
          <w:lang w:val="fr-FR"/>
        </w:rPr>
        <w:t>approche multinationale de la sauvegarde du patrimoine culturel immatériel n</w:t>
      </w:r>
      <w:r w:rsidR="00923E72">
        <w:rPr>
          <w:bCs/>
          <w:lang w:val="fr-FR"/>
        </w:rPr>
        <w:t>’</w:t>
      </w:r>
      <w:r w:rsidRPr="00F02243">
        <w:rPr>
          <w:bCs/>
          <w:lang w:val="fr-FR"/>
        </w:rPr>
        <w:t>avait en aucun cas été</w:t>
      </w:r>
      <w:r>
        <w:rPr>
          <w:bCs/>
          <w:lang w:val="fr-FR"/>
        </w:rPr>
        <w:t xml:space="preserve"> restreinte</w:t>
      </w:r>
      <w:r w:rsidRPr="00F02243">
        <w:rPr>
          <w:bCs/>
          <w:lang w:val="fr-FR"/>
        </w:rPr>
        <w:t>, mais plutôt encouragée et soutenue, puisque le fait de réunir des dossiers déjà existants n</w:t>
      </w:r>
      <w:r w:rsidR="00923E72">
        <w:rPr>
          <w:bCs/>
          <w:lang w:val="fr-FR"/>
        </w:rPr>
        <w:t>’</w:t>
      </w:r>
      <w:r w:rsidRPr="00F02243">
        <w:rPr>
          <w:bCs/>
          <w:lang w:val="fr-FR"/>
        </w:rPr>
        <w:t>était pas inclus dans la limite de soixante dossiers par an.</w:t>
      </w:r>
    </w:p>
    <w:p w14:paraId="50FE97BD" w14:textId="044E878D" w:rsidR="00F02243" w:rsidRDefault="00F02243">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le </w:t>
      </w:r>
      <w:r w:rsidRPr="00F02243">
        <w:rPr>
          <w:bCs/>
          <w:lang w:val="fr-FR"/>
        </w:rPr>
        <w:t>Secrétaire</w:t>
      </w:r>
      <w:r>
        <w:rPr>
          <w:bCs/>
          <w:lang w:val="fr-FR"/>
        </w:rPr>
        <w:t xml:space="preserve"> pour la clarification et a donné la parole aux </w:t>
      </w:r>
      <w:r w:rsidRPr="00F02243">
        <w:rPr>
          <w:bCs/>
          <w:lang w:val="fr-FR"/>
        </w:rPr>
        <w:t>observateurs</w:t>
      </w:r>
      <w:r>
        <w:rPr>
          <w:bCs/>
          <w:lang w:val="fr-FR"/>
        </w:rPr>
        <w:t>.</w:t>
      </w:r>
    </w:p>
    <w:p w14:paraId="53B2E086" w14:textId="1F516E51" w:rsidR="00F02243" w:rsidRDefault="00F02243">
      <w:pPr>
        <w:pStyle w:val="Orateurengris"/>
        <w:numPr>
          <w:ilvl w:val="0"/>
          <w:numId w:val="20"/>
        </w:numPr>
        <w:tabs>
          <w:tab w:val="clear" w:pos="567"/>
          <w:tab w:val="left" w:pos="5954"/>
        </w:tabs>
        <w:spacing w:before="120"/>
        <w:ind w:left="709" w:hanging="709"/>
        <w:rPr>
          <w:bCs/>
          <w:lang w:val="fr-FR"/>
        </w:rPr>
      </w:pPr>
      <w:r w:rsidRPr="00F02243">
        <w:rPr>
          <w:bCs/>
          <w:lang w:val="fr-FR"/>
        </w:rPr>
        <w:t xml:space="preserve">La délégation de la </w:t>
      </w:r>
      <w:r w:rsidRPr="00702497">
        <w:rPr>
          <w:b/>
          <w:lang w:val="fr-FR"/>
        </w:rPr>
        <w:t>France</w:t>
      </w:r>
      <w:r w:rsidRPr="00F02243">
        <w:rPr>
          <w:bCs/>
          <w:lang w:val="fr-FR"/>
        </w:rPr>
        <w:t xml:space="preserve"> comprenait parfaitement les contraintes liées aux candidatures multinationales ainsi que la charge de travail pesant sur le Secrétariat et l</w:t>
      </w:r>
      <w:r w:rsidR="00923E72">
        <w:rPr>
          <w:bCs/>
          <w:lang w:val="fr-FR"/>
        </w:rPr>
        <w:t>’</w:t>
      </w:r>
      <w:r w:rsidRPr="00F02243">
        <w:rPr>
          <w:bCs/>
          <w:lang w:val="fr-FR"/>
        </w:rPr>
        <w:t>Organe d</w:t>
      </w:r>
      <w:r w:rsidR="00923E72">
        <w:rPr>
          <w:bCs/>
          <w:lang w:val="fr-FR"/>
        </w:rPr>
        <w:t>’</w:t>
      </w:r>
      <w:r w:rsidRPr="00F02243">
        <w:rPr>
          <w:bCs/>
          <w:lang w:val="fr-FR"/>
        </w:rPr>
        <w:t>évaluation</w:t>
      </w:r>
      <w:r w:rsidR="0004079F">
        <w:rPr>
          <w:bCs/>
          <w:lang w:val="fr-FR"/>
        </w:rPr>
        <w:t>. Elle a toutefois</w:t>
      </w:r>
      <w:r w:rsidRPr="00F02243">
        <w:rPr>
          <w:bCs/>
          <w:lang w:val="fr-FR"/>
        </w:rPr>
        <w:t xml:space="preserve"> not</w:t>
      </w:r>
      <w:r w:rsidR="0004079F">
        <w:rPr>
          <w:bCs/>
          <w:lang w:val="fr-FR"/>
        </w:rPr>
        <w:t>é</w:t>
      </w:r>
      <w:r w:rsidRPr="00F02243">
        <w:rPr>
          <w:bCs/>
          <w:lang w:val="fr-FR"/>
        </w:rPr>
        <w:t xml:space="preserve"> que ces candidatures ne permettaient pas nécessairement une meilleure représentation géographique. La délégation a reconnu que la France avait deux candidatures, d</w:t>
      </w:r>
      <w:r w:rsidR="00923E72">
        <w:rPr>
          <w:bCs/>
          <w:lang w:val="fr-FR"/>
        </w:rPr>
        <w:t>’</w:t>
      </w:r>
      <w:r w:rsidRPr="00F02243">
        <w:rPr>
          <w:bCs/>
          <w:lang w:val="fr-FR"/>
        </w:rPr>
        <w:t xml:space="preserve">autres États en ayant davantage. Cependant, on pouvait clairement constater que ces candidatures multinationales </w:t>
      </w:r>
      <w:r w:rsidR="0004079F">
        <w:rPr>
          <w:bCs/>
          <w:lang w:val="fr-FR"/>
        </w:rPr>
        <w:t xml:space="preserve">constituaient </w:t>
      </w:r>
      <w:r w:rsidRPr="00F02243">
        <w:rPr>
          <w:bCs/>
          <w:lang w:val="fr-FR"/>
        </w:rPr>
        <w:t xml:space="preserve">un </w:t>
      </w:r>
      <w:r w:rsidR="0004079F">
        <w:rPr>
          <w:bCs/>
          <w:lang w:val="fr-FR"/>
        </w:rPr>
        <w:t xml:space="preserve">beau </w:t>
      </w:r>
      <w:r w:rsidRPr="00F02243">
        <w:rPr>
          <w:bCs/>
          <w:lang w:val="fr-FR"/>
        </w:rPr>
        <w:t>mécanisme de coopération, qui s</w:t>
      </w:r>
      <w:r w:rsidR="00923E72">
        <w:rPr>
          <w:bCs/>
          <w:lang w:val="fr-FR"/>
        </w:rPr>
        <w:t>’</w:t>
      </w:r>
      <w:r w:rsidRPr="00F02243">
        <w:rPr>
          <w:bCs/>
          <w:lang w:val="fr-FR"/>
        </w:rPr>
        <w:t>inscrivait parfaitement dans l</w:t>
      </w:r>
      <w:r w:rsidR="00923E72">
        <w:rPr>
          <w:bCs/>
          <w:lang w:val="fr-FR"/>
        </w:rPr>
        <w:t>’</w:t>
      </w:r>
      <w:r w:rsidRPr="00F02243">
        <w:rPr>
          <w:bCs/>
          <w:lang w:val="fr-FR"/>
        </w:rPr>
        <w:t>esprit de la Convention, surtout lorsqu</w:t>
      </w:r>
      <w:r w:rsidR="00923E72">
        <w:rPr>
          <w:bCs/>
          <w:lang w:val="fr-FR"/>
        </w:rPr>
        <w:t>’</w:t>
      </w:r>
      <w:r w:rsidRPr="00F02243">
        <w:rPr>
          <w:bCs/>
          <w:lang w:val="fr-FR"/>
        </w:rPr>
        <w:t>elles aboutissaient à la mise en place de mesures de sauvegarde communes. La délégation appelait également à la flexibilité pour préserver ce type de coopération.</w:t>
      </w:r>
    </w:p>
    <w:p w14:paraId="0DF89F87" w14:textId="6A244B54" w:rsidR="0004079F" w:rsidRDefault="0004079F">
      <w:pPr>
        <w:pStyle w:val="Orateurengris"/>
        <w:numPr>
          <w:ilvl w:val="0"/>
          <w:numId w:val="20"/>
        </w:numPr>
        <w:tabs>
          <w:tab w:val="clear" w:pos="567"/>
          <w:tab w:val="left" w:pos="5954"/>
        </w:tabs>
        <w:spacing w:before="120"/>
        <w:ind w:left="709" w:hanging="709"/>
        <w:rPr>
          <w:bCs/>
          <w:lang w:val="fr-FR"/>
        </w:rPr>
      </w:pPr>
      <w:r w:rsidRPr="0004079F">
        <w:rPr>
          <w:bCs/>
          <w:lang w:val="fr-FR"/>
        </w:rPr>
        <w:t xml:space="preserve">La délégation de la </w:t>
      </w:r>
      <w:r w:rsidRPr="00702497">
        <w:rPr>
          <w:b/>
          <w:lang w:val="fr-FR"/>
        </w:rPr>
        <w:t>Jamaïque</w:t>
      </w:r>
      <w:r w:rsidRPr="0004079F">
        <w:rPr>
          <w:bCs/>
          <w:lang w:val="fr-FR"/>
        </w:rPr>
        <w:t xml:space="preserve"> a souligné la nécessité d</w:t>
      </w:r>
      <w:r w:rsidR="00923E72">
        <w:rPr>
          <w:bCs/>
          <w:lang w:val="fr-FR"/>
        </w:rPr>
        <w:t>’</w:t>
      </w:r>
      <w:r w:rsidRPr="0004079F">
        <w:rPr>
          <w:bCs/>
          <w:lang w:val="fr-FR"/>
        </w:rPr>
        <w:t>insister sur l</w:t>
      </w:r>
      <w:r w:rsidR="00923E72">
        <w:rPr>
          <w:bCs/>
          <w:lang w:val="fr-FR"/>
        </w:rPr>
        <w:t>’</w:t>
      </w:r>
      <w:r w:rsidRPr="0004079F">
        <w:rPr>
          <w:bCs/>
          <w:lang w:val="fr-FR"/>
        </w:rPr>
        <w:t xml:space="preserve">importance du renforcement des capacités dans tous les domaines de la Convention, ce qui aiderait les États parties à être plus précis dans la description des éléments. Elle a encouragé le Comité à rechercher un équilibre entre les règles de la Convention et les éléments </w:t>
      </w:r>
      <w:r>
        <w:rPr>
          <w:bCs/>
          <w:lang w:val="fr-FR"/>
        </w:rPr>
        <w:t xml:space="preserve">plus </w:t>
      </w:r>
      <w:r w:rsidRPr="0004079F">
        <w:rPr>
          <w:bCs/>
          <w:lang w:val="fr-FR"/>
        </w:rPr>
        <w:t>humains associés aux demandes des communautés, ce qui pourrait conduire à une répartition géographique plus équilibrée des éléments.</w:t>
      </w:r>
    </w:p>
    <w:p w14:paraId="44B6712A" w14:textId="55485484" w:rsidR="0004079F" w:rsidRDefault="0004079F">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projet de décision dans son ensemble. </w:t>
      </w:r>
      <w:r w:rsidRPr="0004079F">
        <w:rPr>
          <w:bCs/>
          <w:lang w:val="fr-FR"/>
        </w:rPr>
        <w:t>En l</w:t>
      </w:r>
      <w:r w:rsidR="00923E72">
        <w:rPr>
          <w:bCs/>
          <w:lang w:val="fr-FR"/>
        </w:rPr>
        <w:t>’</w:t>
      </w:r>
      <w:r w:rsidRPr="0004079F">
        <w:rPr>
          <w:bCs/>
          <w:lang w:val="fr-FR"/>
        </w:rPr>
        <w:t>absence</w:t>
      </w:r>
      <w:r>
        <w:rPr>
          <w:bCs/>
          <w:lang w:val="fr-FR"/>
        </w:rPr>
        <w:t xml:space="preserve"> d</w:t>
      </w:r>
      <w:r w:rsidR="00923E72">
        <w:rPr>
          <w:bCs/>
          <w:lang w:val="fr-FR"/>
        </w:rPr>
        <w:t>’</w:t>
      </w:r>
      <w:r>
        <w:rPr>
          <w:bCs/>
          <w:lang w:val="fr-FR"/>
        </w:rPr>
        <w:t xml:space="preserve">objections, le </w:t>
      </w:r>
      <w:r w:rsidRPr="00702497">
        <w:rPr>
          <w:b/>
          <w:lang w:val="fr-FR"/>
        </w:rPr>
        <w:t>Président a déclaré la décision</w:t>
      </w:r>
      <w:r w:rsidR="003962E5">
        <w:rPr>
          <w:b/>
          <w:lang w:val="fr-FR"/>
        </w:rPr>
        <w:t> </w:t>
      </w:r>
      <w:hyperlink r:id="rId118" w:history="1">
        <w:r w:rsidRPr="006E3034">
          <w:rPr>
            <w:rStyle w:val="Hyperlink"/>
            <w:b/>
            <w:lang w:val="fr-FR"/>
          </w:rPr>
          <w:t>17.COM 15</w:t>
        </w:r>
      </w:hyperlink>
      <w:r w:rsidRPr="00702497">
        <w:rPr>
          <w:b/>
          <w:lang w:val="fr-FR"/>
        </w:rPr>
        <w:t xml:space="preserve"> adoptée</w:t>
      </w:r>
      <w:r>
        <w:rPr>
          <w:bCs/>
          <w:lang w:val="fr-FR"/>
        </w:rPr>
        <w:t>.</w:t>
      </w:r>
    </w:p>
    <w:p w14:paraId="01F5A253" w14:textId="52DF3706" w:rsidR="0004079F" w:rsidRPr="00702497" w:rsidRDefault="0004079F" w:rsidP="00702497">
      <w:pPr>
        <w:pStyle w:val="Marge"/>
        <w:keepNext/>
        <w:tabs>
          <w:tab w:val="clear" w:pos="567"/>
          <w:tab w:val="left" w:pos="709"/>
          <w:tab w:val="left" w:pos="1418"/>
          <w:tab w:val="left" w:pos="2126"/>
          <w:tab w:val="left" w:pos="2835"/>
        </w:tabs>
        <w:spacing w:before="360" w:after="60"/>
        <w:jc w:val="left"/>
        <w:outlineLvl w:val="0"/>
        <w:rPr>
          <w:b/>
          <w:color w:val="000000" w:themeColor="text1"/>
        </w:rPr>
      </w:pPr>
      <w:r>
        <w:rPr>
          <w:b/>
          <w:color w:val="000000" w:themeColor="text1"/>
          <w:u w:val="single"/>
        </w:rPr>
        <w:t>POINT</w:t>
      </w:r>
      <w:r w:rsidR="0073323E">
        <w:rPr>
          <w:b/>
          <w:color w:val="000000" w:themeColor="text1"/>
          <w:u w:val="single"/>
        </w:rPr>
        <w:t> </w:t>
      </w:r>
      <w:r>
        <w:rPr>
          <w:b/>
          <w:color w:val="000000" w:themeColor="text1"/>
          <w:u w:val="single"/>
        </w:rPr>
        <w:t>18 DE L</w:t>
      </w:r>
      <w:r w:rsidR="00923E72">
        <w:rPr>
          <w:b/>
          <w:color w:val="000000" w:themeColor="text1"/>
          <w:u w:val="single"/>
        </w:rPr>
        <w:t>’</w:t>
      </w:r>
      <w:r w:rsidRPr="0004079F">
        <w:rPr>
          <w:b/>
          <w:color w:val="000000" w:themeColor="text1"/>
          <w:u w:val="single"/>
        </w:rPr>
        <w:t>ORDRE DU JOUR</w:t>
      </w:r>
      <w:r w:rsidRPr="0004079F">
        <w:rPr>
          <w:b/>
          <w:color w:val="000000" w:themeColor="text1"/>
        </w:rPr>
        <w:t> </w:t>
      </w:r>
      <w:r>
        <w:rPr>
          <w:b/>
          <w:color w:val="000000" w:themeColor="text1"/>
        </w:rPr>
        <w:t>:</w:t>
      </w:r>
    </w:p>
    <w:p w14:paraId="47610A4A" w14:textId="689EFE9B" w:rsidR="0004079F" w:rsidRPr="006E6AA2" w:rsidRDefault="0004079F" w:rsidP="00702497">
      <w:pPr>
        <w:pStyle w:val="Marge"/>
        <w:keepNext/>
        <w:tabs>
          <w:tab w:val="clear" w:pos="567"/>
          <w:tab w:val="left" w:pos="709"/>
          <w:tab w:val="left" w:pos="1418"/>
          <w:tab w:val="left" w:pos="2126"/>
          <w:tab w:val="left" w:pos="2835"/>
        </w:tabs>
        <w:jc w:val="left"/>
        <w:outlineLvl w:val="0"/>
      </w:pPr>
      <w:r>
        <w:rPr>
          <w:rFonts w:eastAsiaTheme="minorHAnsi"/>
          <w:b/>
          <w:color w:val="000000" w:themeColor="text1"/>
        </w:rPr>
        <w:t>QUESTIONS DIVERSES</w:t>
      </w:r>
    </w:p>
    <w:p w14:paraId="44F032BE" w14:textId="62A83B1C" w:rsidR="0004079F" w:rsidRDefault="0004079F">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est passé au point</w:t>
      </w:r>
      <w:r w:rsidR="003962E5">
        <w:rPr>
          <w:bCs/>
          <w:lang w:val="fr-FR"/>
        </w:rPr>
        <w:t> </w:t>
      </w:r>
      <w:r>
        <w:rPr>
          <w:bCs/>
          <w:lang w:val="fr-FR"/>
        </w:rPr>
        <w:t>18 de l</w:t>
      </w:r>
      <w:r w:rsidR="00923E72">
        <w:rPr>
          <w:bCs/>
          <w:lang w:val="fr-FR"/>
        </w:rPr>
        <w:t>’</w:t>
      </w:r>
      <w:r w:rsidRPr="0004079F">
        <w:rPr>
          <w:bCs/>
          <w:lang w:val="fr-FR"/>
        </w:rPr>
        <w:t>ordre du jour</w:t>
      </w:r>
      <w:r>
        <w:rPr>
          <w:bCs/>
          <w:lang w:val="fr-FR"/>
        </w:rPr>
        <w:t xml:space="preserve"> et a invité les </w:t>
      </w:r>
      <w:r w:rsidRPr="0004079F">
        <w:rPr>
          <w:bCs/>
          <w:lang w:val="fr-FR"/>
        </w:rPr>
        <w:t>membr</w:t>
      </w:r>
      <w:r>
        <w:rPr>
          <w:bCs/>
          <w:lang w:val="fr-FR"/>
        </w:rPr>
        <w:t>es du Comité à débattre de toute question qu</w:t>
      </w:r>
      <w:r w:rsidR="00923E72">
        <w:rPr>
          <w:bCs/>
          <w:lang w:val="fr-FR"/>
        </w:rPr>
        <w:t>’</w:t>
      </w:r>
      <w:r>
        <w:rPr>
          <w:bCs/>
          <w:lang w:val="fr-FR"/>
        </w:rPr>
        <w:t xml:space="preserve">ils </w:t>
      </w:r>
      <w:r w:rsidR="002D6FA8">
        <w:rPr>
          <w:bCs/>
          <w:lang w:val="fr-FR"/>
        </w:rPr>
        <w:t>souhaiteraient aborder.</w:t>
      </w:r>
    </w:p>
    <w:p w14:paraId="37E5898F" w14:textId="739A96CB" w:rsidR="002D6FA8" w:rsidRDefault="002D6FA8">
      <w:pPr>
        <w:pStyle w:val="Orateurengris"/>
        <w:numPr>
          <w:ilvl w:val="0"/>
          <w:numId w:val="20"/>
        </w:numPr>
        <w:tabs>
          <w:tab w:val="clear" w:pos="567"/>
          <w:tab w:val="left" w:pos="5954"/>
        </w:tabs>
        <w:spacing w:before="120"/>
        <w:ind w:left="709" w:hanging="709"/>
        <w:rPr>
          <w:bCs/>
          <w:lang w:val="fr-FR"/>
        </w:rPr>
      </w:pPr>
      <w:r w:rsidRPr="002D6FA8">
        <w:rPr>
          <w:bCs/>
          <w:lang w:val="fr-FR"/>
        </w:rPr>
        <w:t xml:space="preserve">La délégation du </w:t>
      </w:r>
      <w:r w:rsidRPr="00702497">
        <w:rPr>
          <w:b/>
          <w:lang w:val="fr-FR"/>
        </w:rPr>
        <w:t>Sénégal</w:t>
      </w:r>
      <w:r w:rsidRPr="002D6FA8">
        <w:rPr>
          <w:bCs/>
          <w:lang w:val="fr-FR"/>
        </w:rPr>
        <w:t xml:space="preserve"> a fait remarquer que le Comité se réunissait dans le contexte du patrimoine culturel immatériel et</w:t>
      </w:r>
      <w:r w:rsidR="006E1C49">
        <w:rPr>
          <w:bCs/>
          <w:lang w:val="fr-FR"/>
        </w:rPr>
        <w:t xml:space="preserve"> qu</w:t>
      </w:r>
      <w:r w:rsidR="00923E72">
        <w:rPr>
          <w:bCs/>
          <w:lang w:val="fr-FR"/>
        </w:rPr>
        <w:t>’</w:t>
      </w:r>
      <w:r w:rsidRPr="002D6FA8">
        <w:rPr>
          <w:bCs/>
          <w:lang w:val="fr-FR"/>
        </w:rPr>
        <w:t>aucun moment n</w:t>
      </w:r>
      <w:r w:rsidR="00923E72">
        <w:rPr>
          <w:bCs/>
          <w:lang w:val="fr-FR"/>
        </w:rPr>
        <w:t>’</w:t>
      </w:r>
      <w:r>
        <w:rPr>
          <w:bCs/>
          <w:lang w:val="fr-FR"/>
        </w:rPr>
        <w:t xml:space="preserve">avait </w:t>
      </w:r>
      <w:r w:rsidR="006E1C49">
        <w:rPr>
          <w:bCs/>
          <w:lang w:val="fr-FR"/>
        </w:rPr>
        <w:t xml:space="preserve">toutefois </w:t>
      </w:r>
      <w:r>
        <w:rPr>
          <w:bCs/>
          <w:lang w:val="fr-FR"/>
        </w:rPr>
        <w:t>été prévu</w:t>
      </w:r>
      <w:r w:rsidRPr="002D6FA8">
        <w:rPr>
          <w:bCs/>
          <w:lang w:val="fr-FR"/>
        </w:rPr>
        <w:t xml:space="preserve"> dans le programme </w:t>
      </w:r>
      <w:r>
        <w:rPr>
          <w:bCs/>
          <w:lang w:val="fr-FR"/>
        </w:rPr>
        <w:t xml:space="preserve">établi </w:t>
      </w:r>
      <w:r w:rsidRPr="002D6FA8">
        <w:rPr>
          <w:bCs/>
          <w:lang w:val="fr-FR"/>
        </w:rPr>
        <w:t>pour visiter des sites culturels au cours de la présente session</w:t>
      </w:r>
      <w:r w:rsidR="006E1C49">
        <w:rPr>
          <w:bCs/>
          <w:lang w:val="fr-FR"/>
        </w:rPr>
        <w:t>. I</w:t>
      </w:r>
      <w:r w:rsidRPr="002D6FA8">
        <w:rPr>
          <w:bCs/>
          <w:lang w:val="fr-FR"/>
        </w:rPr>
        <w:t xml:space="preserve">l </w:t>
      </w:r>
      <w:r>
        <w:rPr>
          <w:bCs/>
          <w:lang w:val="fr-FR"/>
        </w:rPr>
        <w:t>serait bien de l</w:t>
      </w:r>
      <w:r w:rsidR="00923E72">
        <w:rPr>
          <w:bCs/>
          <w:lang w:val="fr-FR"/>
        </w:rPr>
        <w:t>’</w:t>
      </w:r>
      <w:r>
        <w:rPr>
          <w:bCs/>
          <w:lang w:val="fr-FR"/>
        </w:rPr>
        <w:t xml:space="preserve">envisager pour le </w:t>
      </w:r>
      <w:r w:rsidRPr="002D6FA8">
        <w:rPr>
          <w:bCs/>
          <w:lang w:val="fr-FR"/>
        </w:rPr>
        <w:t>Botswana</w:t>
      </w:r>
      <w:r>
        <w:rPr>
          <w:bCs/>
          <w:lang w:val="fr-FR"/>
        </w:rPr>
        <w:t>,</w:t>
      </w:r>
      <w:r w:rsidRPr="002D6FA8">
        <w:rPr>
          <w:bCs/>
          <w:lang w:val="fr-FR"/>
        </w:rPr>
        <w:t xml:space="preserve"> lors de la prochaine session. Il serait donc intéressant pour les participants d</w:t>
      </w:r>
      <w:r w:rsidR="00923E72">
        <w:rPr>
          <w:bCs/>
          <w:lang w:val="fr-FR"/>
        </w:rPr>
        <w:t>’</w:t>
      </w:r>
      <w:r w:rsidRPr="002D6FA8">
        <w:rPr>
          <w:bCs/>
          <w:lang w:val="fr-FR"/>
        </w:rPr>
        <w:t>avoir à l</w:t>
      </w:r>
      <w:r w:rsidR="00923E72">
        <w:rPr>
          <w:bCs/>
          <w:lang w:val="fr-FR"/>
        </w:rPr>
        <w:t>’</w:t>
      </w:r>
      <w:r w:rsidRPr="002D6FA8">
        <w:rPr>
          <w:bCs/>
          <w:lang w:val="fr-FR"/>
        </w:rPr>
        <w:t>avenir la possibilité de découvrir la culture du pays d</w:t>
      </w:r>
      <w:r w:rsidR="00923E72">
        <w:rPr>
          <w:bCs/>
          <w:lang w:val="fr-FR"/>
        </w:rPr>
        <w:t>’</w:t>
      </w:r>
      <w:r w:rsidRPr="002D6FA8">
        <w:rPr>
          <w:bCs/>
          <w:lang w:val="fr-FR"/>
        </w:rPr>
        <w:t>accueil lors des prochaines sessions.</w:t>
      </w:r>
    </w:p>
    <w:p w14:paraId="6BAAF63D" w14:textId="45FE0D94" w:rsidR="002D6FA8" w:rsidRDefault="002D6FA8">
      <w:pPr>
        <w:pStyle w:val="Orateurengris"/>
        <w:numPr>
          <w:ilvl w:val="0"/>
          <w:numId w:val="20"/>
        </w:numPr>
        <w:tabs>
          <w:tab w:val="clear" w:pos="567"/>
          <w:tab w:val="left" w:pos="5954"/>
        </w:tabs>
        <w:spacing w:before="120"/>
        <w:ind w:left="709" w:hanging="709"/>
        <w:rPr>
          <w:bCs/>
          <w:lang w:val="fr-FR"/>
        </w:rPr>
      </w:pPr>
      <w:r w:rsidRPr="002D6FA8">
        <w:rPr>
          <w:bCs/>
          <w:lang w:val="fr-FR"/>
        </w:rPr>
        <w:t xml:space="preserve">Le </w:t>
      </w:r>
      <w:r w:rsidRPr="00702497">
        <w:rPr>
          <w:b/>
          <w:lang w:val="fr-FR"/>
        </w:rPr>
        <w:t>Président</w:t>
      </w:r>
      <w:r w:rsidRPr="002D6FA8">
        <w:rPr>
          <w:bCs/>
          <w:lang w:val="fr-FR"/>
        </w:rPr>
        <w:t xml:space="preserve"> a abondé dans le sens du Sénégal et convenu que les journées avaient effectivement été longues</w:t>
      </w:r>
      <w:r w:rsidR="006E1C49">
        <w:rPr>
          <w:bCs/>
          <w:lang w:val="fr-FR"/>
        </w:rPr>
        <w:t>,</w:t>
      </w:r>
      <w:r w:rsidRPr="002D6FA8">
        <w:rPr>
          <w:bCs/>
          <w:lang w:val="fr-FR"/>
        </w:rPr>
        <w:t xml:space="preserve"> avec un programme de travail chargé. Néanmoins, les visiteurs avaient </w:t>
      </w:r>
      <w:r w:rsidR="006E1C49">
        <w:rPr>
          <w:bCs/>
          <w:lang w:val="fr-FR"/>
        </w:rPr>
        <w:t xml:space="preserve">eu </w:t>
      </w:r>
      <w:r w:rsidRPr="002D6FA8">
        <w:rPr>
          <w:bCs/>
          <w:lang w:val="fr-FR"/>
        </w:rPr>
        <w:t>la possibilité de découvrir la ville après les sessions</w:t>
      </w:r>
      <w:r w:rsidR="006E1C49">
        <w:rPr>
          <w:bCs/>
          <w:lang w:val="fr-FR"/>
        </w:rPr>
        <w:t xml:space="preserve">. </w:t>
      </w:r>
      <w:r w:rsidR="007865DF">
        <w:rPr>
          <w:bCs/>
          <w:lang w:val="fr-FR"/>
        </w:rPr>
        <w:t>U</w:t>
      </w:r>
      <w:r w:rsidRPr="002D6FA8">
        <w:rPr>
          <w:bCs/>
          <w:lang w:val="fr-FR"/>
        </w:rPr>
        <w:t xml:space="preserve">ne formule pourrait </w:t>
      </w:r>
      <w:r w:rsidR="007865DF">
        <w:rPr>
          <w:bCs/>
          <w:lang w:val="fr-FR"/>
        </w:rPr>
        <w:t xml:space="preserve">effectivement </w:t>
      </w:r>
      <w:r w:rsidRPr="002D6FA8">
        <w:rPr>
          <w:bCs/>
          <w:lang w:val="fr-FR"/>
        </w:rPr>
        <w:t>être envisagée à l</w:t>
      </w:r>
      <w:r w:rsidR="00923E72">
        <w:rPr>
          <w:bCs/>
          <w:lang w:val="fr-FR"/>
        </w:rPr>
        <w:t>’</w:t>
      </w:r>
      <w:r w:rsidRPr="002D6FA8">
        <w:rPr>
          <w:bCs/>
          <w:lang w:val="fr-FR"/>
        </w:rPr>
        <w:t xml:space="preserve">avenir afin que du temps soit consacré à des visites </w:t>
      </w:r>
      <w:r w:rsidRPr="002D6FA8">
        <w:rPr>
          <w:bCs/>
          <w:lang w:val="fr-FR"/>
        </w:rPr>
        <w:lastRenderedPageBreak/>
        <w:t>culturelles et à des moments de découverte pour ceux qui visitent les pays d</w:t>
      </w:r>
      <w:r w:rsidR="00923E72">
        <w:rPr>
          <w:bCs/>
          <w:lang w:val="fr-FR"/>
        </w:rPr>
        <w:t>’</w:t>
      </w:r>
      <w:r w:rsidRPr="002D6FA8">
        <w:rPr>
          <w:bCs/>
          <w:lang w:val="fr-FR"/>
        </w:rPr>
        <w:t>accueil. Il appartiendrait au Secrétariat d</w:t>
      </w:r>
      <w:r w:rsidR="00923E72">
        <w:rPr>
          <w:bCs/>
          <w:lang w:val="fr-FR"/>
        </w:rPr>
        <w:t>’</w:t>
      </w:r>
      <w:r w:rsidRPr="002D6FA8">
        <w:rPr>
          <w:bCs/>
          <w:lang w:val="fr-FR"/>
        </w:rPr>
        <w:t>y réfléchir avec les membres du Comité pour les prochaines sessions, et au Botswana d</w:t>
      </w:r>
      <w:r w:rsidR="00923E72">
        <w:rPr>
          <w:bCs/>
          <w:lang w:val="fr-FR"/>
        </w:rPr>
        <w:t>’</w:t>
      </w:r>
      <w:r w:rsidR="007865DF">
        <w:rPr>
          <w:bCs/>
          <w:lang w:val="fr-FR"/>
        </w:rPr>
        <w:t>y penser pour</w:t>
      </w:r>
      <w:r w:rsidRPr="002D6FA8">
        <w:rPr>
          <w:bCs/>
          <w:lang w:val="fr-FR"/>
        </w:rPr>
        <w:t xml:space="preserve"> </w:t>
      </w:r>
      <w:r w:rsidR="007865DF">
        <w:rPr>
          <w:bCs/>
          <w:lang w:val="fr-FR"/>
        </w:rPr>
        <w:t xml:space="preserve">le </w:t>
      </w:r>
      <w:r w:rsidRPr="002D6FA8">
        <w:rPr>
          <w:bCs/>
          <w:lang w:val="fr-FR"/>
        </w:rPr>
        <w:t xml:space="preserve">programme </w:t>
      </w:r>
      <w:r w:rsidR="007865DF">
        <w:rPr>
          <w:bCs/>
          <w:lang w:val="fr-FR"/>
        </w:rPr>
        <w:t xml:space="preserve">de </w:t>
      </w:r>
      <w:r w:rsidRPr="002D6FA8">
        <w:rPr>
          <w:bCs/>
          <w:lang w:val="fr-FR"/>
        </w:rPr>
        <w:t>la prochaine session</w:t>
      </w:r>
      <w:r w:rsidR="007865DF">
        <w:rPr>
          <w:bCs/>
          <w:lang w:val="fr-FR"/>
        </w:rPr>
        <w:t>,</w:t>
      </w:r>
      <w:r w:rsidRPr="002D6FA8">
        <w:rPr>
          <w:bCs/>
          <w:lang w:val="fr-FR"/>
        </w:rPr>
        <w:t xml:space="preserve"> en</w:t>
      </w:r>
      <w:r w:rsidR="007865DF">
        <w:rPr>
          <w:bCs/>
          <w:lang w:val="fr-FR"/>
        </w:rPr>
        <w:t> </w:t>
      </w:r>
      <w:r w:rsidRPr="002D6FA8">
        <w:rPr>
          <w:bCs/>
          <w:lang w:val="fr-FR"/>
        </w:rPr>
        <w:t>2023.</w:t>
      </w:r>
    </w:p>
    <w:p w14:paraId="324AB90C" w14:textId="3E5BBC09" w:rsidR="002D6FA8" w:rsidRPr="005757F9" w:rsidRDefault="002D6FA8" w:rsidP="00702497">
      <w:pPr>
        <w:pStyle w:val="Marge"/>
        <w:keepNext/>
        <w:tabs>
          <w:tab w:val="clear" w:pos="567"/>
          <w:tab w:val="left" w:pos="709"/>
          <w:tab w:val="left" w:pos="1418"/>
          <w:tab w:val="left" w:pos="2126"/>
          <w:tab w:val="left" w:pos="2835"/>
        </w:tabs>
        <w:spacing w:before="360" w:after="60"/>
        <w:outlineLvl w:val="0"/>
        <w:rPr>
          <w:b/>
          <w:color w:val="000000" w:themeColor="text1"/>
        </w:rPr>
      </w:pPr>
      <w:r w:rsidRPr="00174C67">
        <w:rPr>
          <w:b/>
          <w:color w:val="000000" w:themeColor="text1"/>
          <w:u w:val="single"/>
        </w:rPr>
        <w:t>POINT</w:t>
      </w:r>
      <w:r w:rsidR="0073323E">
        <w:rPr>
          <w:b/>
          <w:color w:val="000000" w:themeColor="text1"/>
          <w:u w:val="single"/>
        </w:rPr>
        <w:t> </w:t>
      </w:r>
      <w:r w:rsidRPr="00174C67">
        <w:rPr>
          <w:b/>
          <w:color w:val="000000" w:themeColor="text1"/>
          <w:u w:val="single"/>
        </w:rPr>
        <w:t>14 DE L</w:t>
      </w:r>
      <w:r w:rsidR="00923E72">
        <w:rPr>
          <w:b/>
          <w:color w:val="000000" w:themeColor="text1"/>
          <w:u w:val="single"/>
        </w:rPr>
        <w:t>’</w:t>
      </w:r>
      <w:r w:rsidRPr="00174C67">
        <w:rPr>
          <w:b/>
          <w:color w:val="000000" w:themeColor="text1"/>
          <w:u w:val="single"/>
        </w:rPr>
        <w:t>ORDRE DU JOUR</w:t>
      </w:r>
      <w:r>
        <w:rPr>
          <w:b/>
          <w:color w:val="000000" w:themeColor="text1"/>
          <w:u w:val="single"/>
        </w:rPr>
        <w:t xml:space="preserve"> [SUITE]</w:t>
      </w:r>
      <w:r w:rsidRPr="00174C67">
        <w:rPr>
          <w:b/>
          <w:color w:val="000000" w:themeColor="text1"/>
        </w:rPr>
        <w:t> :</w:t>
      </w:r>
    </w:p>
    <w:p w14:paraId="77A9BE33" w14:textId="7CEEFA3D" w:rsidR="002D6FA8" w:rsidRPr="00174C67" w:rsidRDefault="002D6FA8" w:rsidP="00702497">
      <w:pPr>
        <w:pStyle w:val="Marge"/>
        <w:keepNext/>
        <w:tabs>
          <w:tab w:val="clear" w:pos="567"/>
          <w:tab w:val="left" w:pos="709"/>
          <w:tab w:val="left" w:pos="1418"/>
          <w:tab w:val="left" w:pos="2126"/>
          <w:tab w:val="left" w:pos="2835"/>
        </w:tabs>
        <w:spacing w:after="120"/>
        <w:outlineLvl w:val="0"/>
        <w:rPr>
          <w:b/>
          <w:color w:val="000000" w:themeColor="text1"/>
        </w:rPr>
      </w:pPr>
      <w:r w:rsidRPr="00174C67">
        <w:rPr>
          <w:rFonts w:eastAsiaTheme="minorHAnsi"/>
          <w:b/>
          <w:color w:val="000000" w:themeColor="text1"/>
        </w:rPr>
        <w:t>ÉTABLISSEMENT DE L</w:t>
      </w:r>
      <w:r w:rsidR="00923E72">
        <w:rPr>
          <w:rFonts w:eastAsiaTheme="minorHAnsi"/>
          <w:b/>
          <w:color w:val="000000" w:themeColor="text1"/>
        </w:rPr>
        <w:t>’</w:t>
      </w:r>
      <w:r w:rsidRPr="00174C67">
        <w:rPr>
          <w:rFonts w:eastAsiaTheme="minorHAnsi"/>
          <w:b/>
          <w:color w:val="000000" w:themeColor="text1"/>
        </w:rPr>
        <w:t>ORGANE D</w:t>
      </w:r>
      <w:r w:rsidR="00923E72">
        <w:rPr>
          <w:rFonts w:eastAsiaTheme="minorHAnsi"/>
          <w:b/>
          <w:color w:val="000000" w:themeColor="text1"/>
        </w:rPr>
        <w:t>’</w:t>
      </w:r>
      <w:r w:rsidRPr="00174C67">
        <w:rPr>
          <w:rFonts w:eastAsiaTheme="minorHAnsi"/>
          <w:b/>
          <w:color w:val="000000" w:themeColor="text1"/>
        </w:rPr>
        <w:t>ÉVALUATION POUR LE CYCLE</w:t>
      </w:r>
      <w:r w:rsidR="007865DF">
        <w:rPr>
          <w:rFonts w:eastAsiaTheme="minorHAnsi"/>
          <w:b/>
          <w:color w:val="000000" w:themeColor="text1"/>
        </w:rPr>
        <w:t> </w:t>
      </w:r>
      <w:r w:rsidRPr="00174C67">
        <w:rPr>
          <w:rFonts w:eastAsiaTheme="minorHAnsi"/>
          <w:b/>
          <w:color w:val="000000" w:themeColor="text1"/>
        </w:rPr>
        <w:t>2023</w:t>
      </w:r>
    </w:p>
    <w:p w14:paraId="23474BED" w14:textId="06F4D3A1" w:rsidR="002D6FA8" w:rsidRDefault="008173C3">
      <w:pPr>
        <w:pStyle w:val="Orateurengris"/>
        <w:numPr>
          <w:ilvl w:val="0"/>
          <w:numId w:val="20"/>
        </w:numPr>
        <w:tabs>
          <w:tab w:val="clear" w:pos="567"/>
          <w:tab w:val="left" w:pos="5954"/>
        </w:tabs>
        <w:spacing w:before="120"/>
        <w:ind w:left="709" w:hanging="709"/>
        <w:rPr>
          <w:bCs/>
          <w:lang w:val="fr-FR"/>
        </w:rPr>
      </w:pPr>
      <w:r w:rsidRPr="008173C3">
        <w:rPr>
          <w:bCs/>
          <w:lang w:val="fr-FR"/>
        </w:rPr>
        <w:t xml:space="preserve">Le </w:t>
      </w:r>
      <w:r w:rsidRPr="00702497">
        <w:rPr>
          <w:b/>
          <w:lang w:val="fr-FR"/>
        </w:rPr>
        <w:t>Président</w:t>
      </w:r>
      <w:r w:rsidRPr="008173C3">
        <w:rPr>
          <w:bCs/>
          <w:lang w:val="fr-FR"/>
        </w:rPr>
        <w:t xml:space="preserve"> est passé au point</w:t>
      </w:r>
      <w:r w:rsidR="007865DF">
        <w:rPr>
          <w:bCs/>
          <w:lang w:val="fr-FR"/>
        </w:rPr>
        <w:t> </w:t>
      </w:r>
      <w:r w:rsidRPr="008173C3">
        <w:rPr>
          <w:bCs/>
          <w:lang w:val="fr-FR"/>
        </w:rPr>
        <w:t>14 de l</w:t>
      </w:r>
      <w:r w:rsidR="00923E72">
        <w:rPr>
          <w:bCs/>
          <w:lang w:val="fr-FR"/>
        </w:rPr>
        <w:t>’</w:t>
      </w:r>
      <w:r w:rsidRPr="008173C3">
        <w:rPr>
          <w:bCs/>
          <w:lang w:val="fr-FR"/>
        </w:rPr>
        <w:t>ordre du jour, l</w:t>
      </w:r>
      <w:r w:rsidR="00923E72">
        <w:rPr>
          <w:bCs/>
          <w:lang w:val="fr-FR"/>
        </w:rPr>
        <w:t>’</w:t>
      </w:r>
      <w:r w:rsidRPr="008173C3">
        <w:rPr>
          <w:bCs/>
          <w:lang w:val="fr-FR"/>
        </w:rPr>
        <w:t>établissement de l</w:t>
      </w:r>
      <w:r w:rsidR="00923E72">
        <w:rPr>
          <w:bCs/>
          <w:lang w:val="fr-FR"/>
        </w:rPr>
        <w:t>’</w:t>
      </w:r>
      <w:r w:rsidRPr="008173C3">
        <w:rPr>
          <w:bCs/>
          <w:lang w:val="fr-FR"/>
        </w:rPr>
        <w:t>Organe d</w:t>
      </w:r>
      <w:r w:rsidR="00923E72">
        <w:rPr>
          <w:bCs/>
          <w:lang w:val="fr-FR"/>
        </w:rPr>
        <w:t>’</w:t>
      </w:r>
      <w:r w:rsidRPr="008173C3">
        <w:rPr>
          <w:bCs/>
          <w:lang w:val="fr-FR"/>
        </w:rPr>
        <w:t>évaluation pour le cycle</w:t>
      </w:r>
      <w:r w:rsidR="007865DF">
        <w:rPr>
          <w:bCs/>
          <w:lang w:val="fr-FR"/>
        </w:rPr>
        <w:t> </w:t>
      </w:r>
      <w:r w:rsidRPr="008173C3">
        <w:rPr>
          <w:bCs/>
          <w:lang w:val="fr-FR"/>
        </w:rPr>
        <w:t>2023 et a informé le Comité que l</w:t>
      </w:r>
      <w:r w:rsidR="00923E72">
        <w:rPr>
          <w:bCs/>
          <w:lang w:val="fr-FR"/>
        </w:rPr>
        <w:t>’</w:t>
      </w:r>
      <w:r w:rsidRPr="008173C3">
        <w:rPr>
          <w:bCs/>
          <w:lang w:val="fr-FR"/>
        </w:rPr>
        <w:t>élection pour le cycle</w:t>
      </w:r>
      <w:r w:rsidR="007865DF">
        <w:rPr>
          <w:bCs/>
          <w:lang w:val="fr-FR"/>
        </w:rPr>
        <w:t> </w:t>
      </w:r>
      <w:r w:rsidRPr="008173C3">
        <w:rPr>
          <w:bCs/>
          <w:lang w:val="fr-FR"/>
        </w:rPr>
        <w:t xml:space="preserve">2023 était terminée. Il a remercié les deux scrutateurs, </w:t>
      </w:r>
      <w:r>
        <w:rPr>
          <w:bCs/>
          <w:lang w:val="fr-FR"/>
        </w:rPr>
        <w:t>M</w:t>
      </w:r>
      <w:r w:rsidRPr="00702497">
        <w:rPr>
          <w:bCs/>
          <w:vertAlign w:val="superscript"/>
          <w:lang w:val="fr-FR"/>
        </w:rPr>
        <w:t>me</w:t>
      </w:r>
      <w:r>
        <w:rPr>
          <w:bCs/>
          <w:lang w:val="fr-FR"/>
        </w:rPr>
        <w:t> </w:t>
      </w:r>
      <w:r w:rsidRPr="008173C3">
        <w:rPr>
          <w:bCs/>
          <w:lang w:val="fr-FR"/>
        </w:rPr>
        <w:t>Soukaina Filali du Maroc et M.</w:t>
      </w:r>
      <w:r>
        <w:rPr>
          <w:bCs/>
          <w:lang w:val="fr-FR"/>
        </w:rPr>
        <w:t> </w:t>
      </w:r>
      <w:proofErr w:type="spellStart"/>
      <w:r w:rsidRPr="008173C3">
        <w:rPr>
          <w:bCs/>
          <w:lang w:val="fr-FR"/>
        </w:rPr>
        <w:t>Aneish</w:t>
      </w:r>
      <w:proofErr w:type="spellEnd"/>
      <w:r w:rsidRPr="008173C3">
        <w:rPr>
          <w:bCs/>
          <w:lang w:val="fr-FR"/>
        </w:rPr>
        <w:t xml:space="preserve"> Rajan de l</w:t>
      </w:r>
      <w:r w:rsidR="00923E72">
        <w:rPr>
          <w:bCs/>
          <w:lang w:val="fr-FR"/>
        </w:rPr>
        <w:t>’</w:t>
      </w:r>
      <w:r w:rsidRPr="008173C3">
        <w:rPr>
          <w:bCs/>
          <w:lang w:val="fr-FR"/>
        </w:rPr>
        <w:t>Inde, pour leur bonne volonté au service du Comité.</w:t>
      </w:r>
    </w:p>
    <w:p w14:paraId="10B607F0" w14:textId="12412344" w:rsidR="008173C3" w:rsidRDefault="008173C3">
      <w:pPr>
        <w:pStyle w:val="Orateurengris"/>
        <w:numPr>
          <w:ilvl w:val="0"/>
          <w:numId w:val="20"/>
        </w:numPr>
        <w:tabs>
          <w:tab w:val="clear" w:pos="567"/>
          <w:tab w:val="left" w:pos="5954"/>
        </w:tabs>
        <w:spacing w:before="120"/>
        <w:ind w:left="709" w:hanging="709"/>
        <w:rPr>
          <w:bCs/>
          <w:lang w:val="fr-FR"/>
        </w:rPr>
      </w:pPr>
      <w:r w:rsidRPr="00702497">
        <w:rPr>
          <w:b/>
          <w:lang w:val="fr-FR"/>
        </w:rPr>
        <w:t>M</w:t>
      </w:r>
      <w:r w:rsidRPr="00702497">
        <w:rPr>
          <w:b/>
          <w:vertAlign w:val="superscript"/>
          <w:lang w:val="fr-FR"/>
        </w:rPr>
        <w:t>me</w:t>
      </w:r>
      <w:r w:rsidRPr="00702497">
        <w:rPr>
          <w:b/>
          <w:lang w:val="fr-FR"/>
        </w:rPr>
        <w:t> Fumiko Ohinata</w:t>
      </w:r>
      <w:r w:rsidRPr="008173C3">
        <w:rPr>
          <w:bCs/>
          <w:lang w:val="fr-FR"/>
        </w:rPr>
        <w:t xml:space="preserve"> a rappelé que </w:t>
      </w:r>
      <w:r w:rsidRPr="006E3034">
        <w:rPr>
          <w:bCs/>
          <w:lang w:val="fr-FR"/>
        </w:rPr>
        <w:t>M</w:t>
      </w:r>
      <w:r w:rsidRPr="006E3034">
        <w:rPr>
          <w:bCs/>
          <w:vertAlign w:val="superscript"/>
          <w:lang w:val="fr-FR"/>
        </w:rPr>
        <w:t>me</w:t>
      </w:r>
      <w:r w:rsidRPr="006E3034">
        <w:rPr>
          <w:bCs/>
          <w:lang w:val="fr-FR"/>
        </w:rPr>
        <w:t> Tiana Lalaina Razafimanantsoa de Madagascar</w:t>
      </w:r>
      <w:r w:rsidRPr="008173C3">
        <w:rPr>
          <w:bCs/>
          <w:lang w:val="fr-FR"/>
        </w:rPr>
        <w:t xml:space="preserve"> était la seule candidate </w:t>
      </w:r>
      <w:r w:rsidR="00366386">
        <w:rPr>
          <w:bCs/>
          <w:lang w:val="fr-FR"/>
        </w:rPr>
        <w:t xml:space="preserve">experte </w:t>
      </w:r>
      <w:r w:rsidRPr="008173C3">
        <w:rPr>
          <w:bCs/>
          <w:lang w:val="fr-FR"/>
        </w:rPr>
        <w:t xml:space="preserve">du </w:t>
      </w:r>
      <w:r w:rsidR="00366386">
        <w:rPr>
          <w:bCs/>
          <w:lang w:val="fr-FR"/>
        </w:rPr>
        <w:t>G</w:t>
      </w:r>
      <w:r w:rsidRPr="008173C3">
        <w:rPr>
          <w:bCs/>
          <w:lang w:val="fr-FR"/>
        </w:rPr>
        <w:t>roupe électoral</w:t>
      </w:r>
      <w:r w:rsidR="00616505">
        <w:rPr>
          <w:bCs/>
          <w:lang w:val="fr-FR"/>
        </w:rPr>
        <w:t> </w:t>
      </w:r>
      <w:r w:rsidRPr="008173C3">
        <w:rPr>
          <w:bCs/>
          <w:lang w:val="fr-FR"/>
        </w:rPr>
        <w:t>V(a) et qu</w:t>
      </w:r>
      <w:r w:rsidR="00923E72">
        <w:rPr>
          <w:bCs/>
          <w:lang w:val="fr-FR"/>
        </w:rPr>
        <w:t>’</w:t>
      </w:r>
      <w:r w:rsidRPr="008173C3">
        <w:rPr>
          <w:bCs/>
          <w:lang w:val="fr-FR"/>
        </w:rPr>
        <w:t>elle était donc automatiquement élue. Vingt</w:t>
      </w:r>
      <w:r w:rsidR="00616505">
        <w:rPr>
          <w:bCs/>
          <w:lang w:val="fr-FR"/>
        </w:rPr>
        <w:noBreakHyphen/>
      </w:r>
      <w:r w:rsidRPr="008173C3">
        <w:rPr>
          <w:bCs/>
          <w:lang w:val="fr-FR"/>
        </w:rPr>
        <w:t xml:space="preserve">quatre membres du Comité étaient présents et avaient voté pour les </w:t>
      </w:r>
      <w:r w:rsidR="00366386">
        <w:rPr>
          <w:bCs/>
          <w:lang w:val="fr-FR"/>
        </w:rPr>
        <w:t>G</w:t>
      </w:r>
      <w:r w:rsidRPr="008173C3">
        <w:rPr>
          <w:bCs/>
          <w:lang w:val="fr-FR"/>
        </w:rPr>
        <w:t>roupes électoraux</w:t>
      </w:r>
      <w:r w:rsidR="00616505">
        <w:rPr>
          <w:bCs/>
          <w:lang w:val="fr-FR"/>
        </w:rPr>
        <w:t> </w:t>
      </w:r>
      <w:r w:rsidRPr="008173C3">
        <w:rPr>
          <w:bCs/>
          <w:lang w:val="fr-FR"/>
        </w:rPr>
        <w:t>I,</w:t>
      </w:r>
      <w:r w:rsidR="00616505">
        <w:rPr>
          <w:bCs/>
          <w:lang w:val="fr-FR"/>
        </w:rPr>
        <w:t> </w:t>
      </w:r>
      <w:r w:rsidRPr="008173C3">
        <w:rPr>
          <w:bCs/>
          <w:lang w:val="fr-FR"/>
        </w:rPr>
        <w:t>II et</w:t>
      </w:r>
      <w:r w:rsidR="00616505">
        <w:rPr>
          <w:bCs/>
          <w:lang w:val="fr-FR"/>
        </w:rPr>
        <w:t> </w:t>
      </w:r>
      <w:r w:rsidRPr="008173C3">
        <w:rPr>
          <w:bCs/>
          <w:lang w:val="fr-FR"/>
        </w:rPr>
        <w:t xml:space="preserve">V(a). Il y avait eu deux bulletins nuls pour le </w:t>
      </w:r>
      <w:r w:rsidR="00366386">
        <w:rPr>
          <w:bCs/>
          <w:lang w:val="fr-FR"/>
        </w:rPr>
        <w:t>G</w:t>
      </w:r>
      <w:r w:rsidRPr="008173C3">
        <w:rPr>
          <w:bCs/>
          <w:lang w:val="fr-FR"/>
        </w:rPr>
        <w:t>roupe électoral</w:t>
      </w:r>
      <w:r w:rsidR="00616505">
        <w:rPr>
          <w:bCs/>
          <w:lang w:val="fr-FR"/>
        </w:rPr>
        <w:t> </w:t>
      </w:r>
      <w:r w:rsidRPr="008173C3">
        <w:rPr>
          <w:bCs/>
          <w:lang w:val="fr-FR"/>
        </w:rPr>
        <w:t xml:space="preserve">V(a). Les candidats avaient obtenu </w:t>
      </w:r>
      <w:r w:rsidR="00366386">
        <w:rPr>
          <w:bCs/>
          <w:lang w:val="fr-FR"/>
        </w:rPr>
        <w:t xml:space="preserve">les </w:t>
      </w:r>
      <w:r w:rsidRPr="008173C3">
        <w:rPr>
          <w:bCs/>
          <w:lang w:val="fr-FR"/>
        </w:rPr>
        <w:t>voix</w:t>
      </w:r>
      <w:r w:rsidR="00366386">
        <w:rPr>
          <w:bCs/>
          <w:lang w:val="fr-FR"/>
        </w:rPr>
        <w:t xml:space="preserve"> suivantes :</w:t>
      </w:r>
      <w:r w:rsidRPr="008173C3">
        <w:rPr>
          <w:bCs/>
          <w:lang w:val="fr-FR"/>
        </w:rPr>
        <w:t xml:space="preserve"> Groupe électoral</w:t>
      </w:r>
      <w:r w:rsidR="00616505">
        <w:rPr>
          <w:bCs/>
          <w:lang w:val="fr-FR"/>
        </w:rPr>
        <w:t> </w:t>
      </w:r>
      <w:r w:rsidRPr="008173C3">
        <w:rPr>
          <w:bCs/>
          <w:lang w:val="fr-FR"/>
        </w:rPr>
        <w:t>I, siège pour un expert</w:t>
      </w:r>
      <w:r w:rsidR="00366386">
        <w:rPr>
          <w:bCs/>
          <w:lang w:val="fr-FR"/>
        </w:rPr>
        <w:t> </w:t>
      </w:r>
      <w:r w:rsidRPr="008173C3">
        <w:rPr>
          <w:bCs/>
          <w:lang w:val="fr-FR"/>
        </w:rPr>
        <w:t>:</w:t>
      </w:r>
      <w:r w:rsidR="00366386">
        <w:rPr>
          <w:bCs/>
          <w:lang w:val="fr-FR"/>
        </w:rPr>
        <w:t xml:space="preserve"> M</w:t>
      </w:r>
      <w:r w:rsidR="00366386" w:rsidRPr="005757F9">
        <w:rPr>
          <w:bCs/>
          <w:vertAlign w:val="superscript"/>
          <w:lang w:val="fr-FR"/>
        </w:rPr>
        <w:t>me</w:t>
      </w:r>
      <w:r w:rsidR="00366386">
        <w:rPr>
          <w:bCs/>
          <w:lang w:val="fr-FR"/>
        </w:rPr>
        <w:t> </w:t>
      </w:r>
      <w:r w:rsidRPr="008173C3">
        <w:rPr>
          <w:bCs/>
          <w:lang w:val="fr-FR"/>
        </w:rPr>
        <w:t xml:space="preserve">Sophie </w:t>
      </w:r>
      <w:proofErr w:type="spellStart"/>
      <w:r w:rsidRPr="008173C3">
        <w:rPr>
          <w:bCs/>
          <w:lang w:val="fr-FR"/>
        </w:rPr>
        <w:t>Elpers</w:t>
      </w:r>
      <w:proofErr w:type="spellEnd"/>
      <w:r w:rsidRPr="008173C3">
        <w:rPr>
          <w:bCs/>
          <w:lang w:val="fr-FR"/>
        </w:rPr>
        <w:t xml:space="preserve"> (Pays</w:t>
      </w:r>
      <w:r w:rsidR="00366386">
        <w:rPr>
          <w:bCs/>
          <w:lang w:val="fr-FR"/>
        </w:rPr>
        <w:noBreakHyphen/>
      </w:r>
      <w:r w:rsidRPr="008173C3">
        <w:rPr>
          <w:bCs/>
          <w:lang w:val="fr-FR"/>
        </w:rPr>
        <w:t>Bas) avait obtenu neuf voix</w:t>
      </w:r>
      <w:r w:rsidR="00366386">
        <w:rPr>
          <w:bCs/>
          <w:lang w:val="fr-FR"/>
        </w:rPr>
        <w:t> </w:t>
      </w:r>
      <w:r w:rsidRPr="008173C3">
        <w:rPr>
          <w:bCs/>
          <w:lang w:val="fr-FR"/>
        </w:rPr>
        <w:t>; M.</w:t>
      </w:r>
      <w:r w:rsidR="00366386">
        <w:rPr>
          <w:bCs/>
          <w:lang w:val="fr-FR"/>
        </w:rPr>
        <w:t> </w:t>
      </w:r>
      <w:r w:rsidRPr="008173C3">
        <w:rPr>
          <w:bCs/>
          <w:lang w:val="fr-FR"/>
        </w:rPr>
        <w:t xml:space="preserve">Luis Pablo </w:t>
      </w:r>
      <w:proofErr w:type="spellStart"/>
      <w:r w:rsidRPr="008173C3">
        <w:rPr>
          <w:bCs/>
          <w:lang w:val="fr-FR"/>
        </w:rPr>
        <w:t>Martínez-Sanmartín</w:t>
      </w:r>
      <w:proofErr w:type="spellEnd"/>
      <w:r w:rsidRPr="008173C3">
        <w:rPr>
          <w:bCs/>
          <w:lang w:val="fr-FR"/>
        </w:rPr>
        <w:t xml:space="preserve"> (Espagne) avait obtenu deux voix</w:t>
      </w:r>
      <w:r w:rsidR="00366386">
        <w:rPr>
          <w:bCs/>
          <w:lang w:val="fr-FR"/>
        </w:rPr>
        <w:t> </w:t>
      </w:r>
      <w:r w:rsidRPr="008173C3">
        <w:rPr>
          <w:bCs/>
          <w:lang w:val="fr-FR"/>
        </w:rPr>
        <w:t xml:space="preserve">; </w:t>
      </w:r>
      <w:r w:rsidR="00366386" w:rsidRPr="006E3034">
        <w:rPr>
          <w:bCs/>
          <w:lang w:val="fr-FR"/>
        </w:rPr>
        <w:t>M</w:t>
      </w:r>
      <w:r w:rsidR="00366386" w:rsidRPr="006E3034">
        <w:rPr>
          <w:bCs/>
          <w:vertAlign w:val="superscript"/>
          <w:lang w:val="fr-FR"/>
        </w:rPr>
        <w:t>me</w:t>
      </w:r>
      <w:r w:rsidR="00366386" w:rsidRPr="006E3034">
        <w:rPr>
          <w:bCs/>
          <w:lang w:val="fr-FR"/>
        </w:rPr>
        <w:t> </w:t>
      </w:r>
      <w:proofErr w:type="spellStart"/>
      <w:r w:rsidRPr="006E3034">
        <w:rPr>
          <w:bCs/>
          <w:lang w:val="fr-FR"/>
        </w:rPr>
        <w:t>Evrim</w:t>
      </w:r>
      <w:proofErr w:type="spellEnd"/>
      <w:r w:rsidRPr="006E3034">
        <w:rPr>
          <w:bCs/>
          <w:lang w:val="fr-FR"/>
        </w:rPr>
        <w:t xml:space="preserve"> </w:t>
      </w:r>
      <w:proofErr w:type="spellStart"/>
      <w:r w:rsidRPr="006E3034">
        <w:rPr>
          <w:bCs/>
          <w:lang w:val="fr-FR"/>
        </w:rPr>
        <w:t>Ölçer</w:t>
      </w:r>
      <w:proofErr w:type="spellEnd"/>
      <w:r w:rsidRPr="006E3034">
        <w:rPr>
          <w:bCs/>
          <w:lang w:val="fr-FR"/>
        </w:rPr>
        <w:t xml:space="preserve"> </w:t>
      </w:r>
      <w:proofErr w:type="spellStart"/>
      <w:r w:rsidRPr="006E3034">
        <w:rPr>
          <w:bCs/>
          <w:lang w:val="fr-FR"/>
        </w:rPr>
        <w:t>Özünel</w:t>
      </w:r>
      <w:proofErr w:type="spellEnd"/>
      <w:r w:rsidRPr="006E3034">
        <w:rPr>
          <w:bCs/>
          <w:lang w:val="fr-FR"/>
        </w:rPr>
        <w:t xml:space="preserve"> </w:t>
      </w:r>
      <w:r w:rsidR="00366386" w:rsidRPr="006E3034">
        <w:rPr>
          <w:bCs/>
          <w:lang w:val="fr-FR"/>
        </w:rPr>
        <w:t xml:space="preserve">de </w:t>
      </w:r>
      <w:r w:rsidRPr="006E3034">
        <w:rPr>
          <w:bCs/>
          <w:lang w:val="fr-FR"/>
        </w:rPr>
        <w:t>T</w:t>
      </w:r>
      <w:r w:rsidR="00D8679F" w:rsidRPr="006E3034">
        <w:rPr>
          <w:bCs/>
          <w:lang w:val="fr-FR"/>
        </w:rPr>
        <w:t>ürkiye</w:t>
      </w:r>
      <w:r w:rsidRPr="008173C3">
        <w:rPr>
          <w:bCs/>
          <w:lang w:val="fr-FR"/>
        </w:rPr>
        <w:t xml:space="preserve"> avait obtenu treize voix et était donc élue. Pour le Groupe électoral</w:t>
      </w:r>
      <w:r w:rsidR="00616505">
        <w:rPr>
          <w:bCs/>
          <w:lang w:val="fr-FR"/>
        </w:rPr>
        <w:t> </w:t>
      </w:r>
      <w:r w:rsidRPr="008173C3">
        <w:rPr>
          <w:bCs/>
          <w:lang w:val="fr-FR"/>
        </w:rPr>
        <w:t>II, siège pour un expert</w:t>
      </w:r>
      <w:r w:rsidR="00366386">
        <w:rPr>
          <w:bCs/>
          <w:lang w:val="fr-FR"/>
        </w:rPr>
        <w:t> </w:t>
      </w:r>
      <w:r w:rsidRPr="008173C3">
        <w:rPr>
          <w:bCs/>
          <w:lang w:val="fr-FR"/>
        </w:rPr>
        <w:t>:</w:t>
      </w:r>
      <w:r w:rsidR="00366386">
        <w:rPr>
          <w:bCs/>
          <w:lang w:val="fr-FR"/>
        </w:rPr>
        <w:t xml:space="preserve"> M</w:t>
      </w:r>
      <w:r w:rsidR="00366386" w:rsidRPr="005757F9">
        <w:rPr>
          <w:bCs/>
          <w:vertAlign w:val="superscript"/>
          <w:lang w:val="fr-FR"/>
        </w:rPr>
        <w:t>me</w:t>
      </w:r>
      <w:r w:rsidR="00366386">
        <w:rPr>
          <w:bCs/>
          <w:lang w:val="fr-FR"/>
        </w:rPr>
        <w:t> </w:t>
      </w:r>
      <w:r w:rsidR="00366386" w:rsidRPr="008173C3">
        <w:rPr>
          <w:bCs/>
          <w:lang w:val="fr-FR"/>
        </w:rPr>
        <w:t>Iana</w:t>
      </w:r>
      <w:r w:rsidRPr="008173C3">
        <w:rPr>
          <w:bCs/>
          <w:lang w:val="fr-FR"/>
        </w:rPr>
        <w:t xml:space="preserve"> Otilia Baskerville de Roumanie avait obtenu cinq voix</w:t>
      </w:r>
      <w:r w:rsidR="00221D63">
        <w:rPr>
          <w:bCs/>
          <w:lang w:val="fr-FR"/>
        </w:rPr>
        <w:t> </w:t>
      </w:r>
      <w:r w:rsidRPr="008173C3">
        <w:rPr>
          <w:bCs/>
          <w:lang w:val="fr-FR"/>
        </w:rPr>
        <w:t xml:space="preserve">; </w:t>
      </w:r>
      <w:r w:rsidR="00366386">
        <w:rPr>
          <w:bCs/>
          <w:lang w:val="fr-FR"/>
        </w:rPr>
        <w:t>M</w:t>
      </w:r>
      <w:r w:rsidR="00366386" w:rsidRPr="005757F9">
        <w:rPr>
          <w:bCs/>
          <w:vertAlign w:val="superscript"/>
          <w:lang w:val="fr-FR"/>
        </w:rPr>
        <w:t>me</w:t>
      </w:r>
      <w:r w:rsidR="00366386">
        <w:rPr>
          <w:bCs/>
          <w:lang w:val="fr-FR"/>
        </w:rPr>
        <w:t> </w:t>
      </w:r>
      <w:r w:rsidRPr="008173C3">
        <w:rPr>
          <w:bCs/>
          <w:lang w:val="fr-FR"/>
        </w:rPr>
        <w:t xml:space="preserve">Meri </w:t>
      </w:r>
      <w:proofErr w:type="spellStart"/>
      <w:r w:rsidRPr="008173C3">
        <w:rPr>
          <w:bCs/>
          <w:lang w:val="fr-FR"/>
        </w:rPr>
        <w:t>Kumbe</w:t>
      </w:r>
      <w:proofErr w:type="spellEnd"/>
      <w:r w:rsidRPr="008173C3">
        <w:rPr>
          <w:bCs/>
          <w:lang w:val="fr-FR"/>
        </w:rPr>
        <w:t xml:space="preserve"> d</w:t>
      </w:r>
      <w:r w:rsidR="00923E72">
        <w:rPr>
          <w:bCs/>
          <w:lang w:val="fr-FR"/>
        </w:rPr>
        <w:t>’</w:t>
      </w:r>
      <w:r w:rsidRPr="008173C3">
        <w:rPr>
          <w:bCs/>
          <w:lang w:val="fr-FR"/>
        </w:rPr>
        <w:t>Albanie avait obtenu zéro voix</w:t>
      </w:r>
      <w:r w:rsidR="00366386">
        <w:rPr>
          <w:bCs/>
          <w:lang w:val="fr-FR"/>
        </w:rPr>
        <w:t> </w:t>
      </w:r>
      <w:r w:rsidRPr="008173C3">
        <w:rPr>
          <w:bCs/>
          <w:lang w:val="fr-FR"/>
        </w:rPr>
        <w:t xml:space="preserve">; </w:t>
      </w:r>
      <w:r w:rsidRPr="006E3034">
        <w:rPr>
          <w:bCs/>
          <w:lang w:val="fr-FR"/>
        </w:rPr>
        <w:t>M.</w:t>
      </w:r>
      <w:r w:rsidR="00366386" w:rsidRPr="006E3034">
        <w:rPr>
          <w:bCs/>
          <w:lang w:val="fr-FR"/>
        </w:rPr>
        <w:t> </w:t>
      </w:r>
      <w:proofErr w:type="spellStart"/>
      <w:r w:rsidRPr="006E3034">
        <w:rPr>
          <w:bCs/>
          <w:lang w:val="fr-FR"/>
        </w:rPr>
        <w:t>Rimvydas</w:t>
      </w:r>
      <w:proofErr w:type="spellEnd"/>
      <w:r w:rsidRPr="006E3034">
        <w:rPr>
          <w:bCs/>
          <w:lang w:val="fr-FR"/>
        </w:rPr>
        <w:t xml:space="preserve"> </w:t>
      </w:r>
      <w:proofErr w:type="spellStart"/>
      <w:r w:rsidRPr="006E3034">
        <w:rPr>
          <w:bCs/>
          <w:lang w:val="fr-FR"/>
        </w:rPr>
        <w:t>Laužikas</w:t>
      </w:r>
      <w:proofErr w:type="spellEnd"/>
      <w:r w:rsidRPr="006E3034">
        <w:rPr>
          <w:bCs/>
          <w:lang w:val="fr-FR"/>
        </w:rPr>
        <w:t xml:space="preserve"> de Lituanie</w:t>
      </w:r>
      <w:r w:rsidRPr="008173C3">
        <w:rPr>
          <w:bCs/>
          <w:lang w:val="fr-FR"/>
        </w:rPr>
        <w:t xml:space="preserve"> avait obtenu dix</w:t>
      </w:r>
      <w:r w:rsidR="00366386">
        <w:rPr>
          <w:bCs/>
          <w:lang w:val="fr-FR"/>
        </w:rPr>
        <w:noBreakHyphen/>
      </w:r>
      <w:r w:rsidRPr="008173C3">
        <w:rPr>
          <w:bCs/>
          <w:lang w:val="fr-FR"/>
        </w:rPr>
        <w:t>neuf voix et était donc élu. Pour le Groupe électoral</w:t>
      </w:r>
      <w:r w:rsidR="00616505">
        <w:rPr>
          <w:bCs/>
          <w:lang w:val="fr-FR"/>
        </w:rPr>
        <w:t> </w:t>
      </w:r>
      <w:r w:rsidRPr="008173C3">
        <w:rPr>
          <w:bCs/>
          <w:lang w:val="fr-FR"/>
        </w:rPr>
        <w:t>V(a), siège pour une ONG accréditée</w:t>
      </w:r>
      <w:r w:rsidR="00366386">
        <w:rPr>
          <w:bCs/>
          <w:lang w:val="fr-FR"/>
        </w:rPr>
        <w:t> </w:t>
      </w:r>
      <w:r w:rsidRPr="008173C3">
        <w:rPr>
          <w:bCs/>
          <w:lang w:val="fr-FR"/>
        </w:rPr>
        <w:t xml:space="preserve">: </w:t>
      </w:r>
      <w:proofErr w:type="spellStart"/>
      <w:r w:rsidRPr="008173C3">
        <w:rPr>
          <w:bCs/>
          <w:lang w:val="fr-FR"/>
        </w:rPr>
        <w:t>Amagugu</w:t>
      </w:r>
      <w:proofErr w:type="spellEnd"/>
      <w:r w:rsidRPr="008173C3">
        <w:rPr>
          <w:bCs/>
          <w:lang w:val="fr-FR"/>
        </w:rPr>
        <w:t xml:space="preserve"> International Heritage Center avait obtenu sept voix</w:t>
      </w:r>
      <w:r w:rsidR="00366386">
        <w:rPr>
          <w:bCs/>
          <w:lang w:val="fr-FR"/>
        </w:rPr>
        <w:t> </w:t>
      </w:r>
      <w:r w:rsidRPr="008173C3">
        <w:rPr>
          <w:bCs/>
          <w:lang w:val="fr-FR"/>
        </w:rPr>
        <w:t xml:space="preserve">; Global Development for </w:t>
      </w:r>
      <w:proofErr w:type="spellStart"/>
      <w:r w:rsidRPr="008173C3">
        <w:rPr>
          <w:bCs/>
          <w:lang w:val="fr-FR"/>
        </w:rPr>
        <w:t>Pygmee</w:t>
      </w:r>
      <w:proofErr w:type="spellEnd"/>
      <w:r w:rsidRPr="008173C3">
        <w:rPr>
          <w:bCs/>
          <w:lang w:val="fr-FR"/>
        </w:rPr>
        <w:t xml:space="preserve"> </w:t>
      </w:r>
      <w:proofErr w:type="spellStart"/>
      <w:r w:rsidRPr="008173C3">
        <w:rPr>
          <w:bCs/>
          <w:lang w:val="fr-FR"/>
        </w:rPr>
        <w:t>Minorities</w:t>
      </w:r>
      <w:proofErr w:type="spellEnd"/>
      <w:r w:rsidRPr="008173C3">
        <w:rPr>
          <w:bCs/>
          <w:lang w:val="fr-FR"/>
        </w:rPr>
        <w:t xml:space="preserve"> (GLODEPM) avait obtenu trois voix</w:t>
      </w:r>
      <w:r w:rsidR="00366386">
        <w:rPr>
          <w:bCs/>
          <w:lang w:val="fr-FR"/>
        </w:rPr>
        <w:t> </w:t>
      </w:r>
      <w:r w:rsidRPr="008173C3">
        <w:rPr>
          <w:bCs/>
          <w:lang w:val="fr-FR"/>
        </w:rPr>
        <w:t xml:space="preserve">; et la </w:t>
      </w:r>
      <w:r w:rsidRPr="006E3034">
        <w:rPr>
          <w:bCs/>
          <w:lang w:val="fr-FR"/>
        </w:rPr>
        <w:t xml:space="preserve">Cross-Cultural </w:t>
      </w:r>
      <w:proofErr w:type="spellStart"/>
      <w:r w:rsidRPr="006E3034">
        <w:rPr>
          <w:bCs/>
          <w:lang w:val="fr-FR"/>
        </w:rPr>
        <w:t>Foundation</w:t>
      </w:r>
      <w:proofErr w:type="spellEnd"/>
      <w:r w:rsidRPr="006E3034">
        <w:rPr>
          <w:bCs/>
          <w:lang w:val="fr-FR"/>
        </w:rPr>
        <w:t xml:space="preserve"> of Uganda (CCFU)</w:t>
      </w:r>
      <w:r w:rsidRPr="00702497">
        <w:rPr>
          <w:b/>
          <w:lang w:val="fr-FR"/>
        </w:rPr>
        <w:t xml:space="preserve"> </w:t>
      </w:r>
      <w:r w:rsidRPr="008173C3">
        <w:rPr>
          <w:bCs/>
          <w:lang w:val="fr-FR"/>
        </w:rPr>
        <w:t>avait obtenu douze voix et était donc élue.</w:t>
      </w:r>
    </w:p>
    <w:p w14:paraId="63361137" w14:textId="3BA1A005" w:rsidR="00366386" w:rsidRDefault="00366386">
      <w:pPr>
        <w:pStyle w:val="Orateurengris"/>
        <w:numPr>
          <w:ilvl w:val="0"/>
          <w:numId w:val="20"/>
        </w:numPr>
        <w:tabs>
          <w:tab w:val="clear" w:pos="567"/>
          <w:tab w:val="left" w:pos="5954"/>
        </w:tabs>
        <w:spacing w:before="120"/>
        <w:ind w:left="709" w:hanging="709"/>
        <w:rPr>
          <w:bCs/>
          <w:lang w:val="fr-FR"/>
        </w:rPr>
      </w:pPr>
      <w:r w:rsidRPr="00366386">
        <w:rPr>
          <w:bCs/>
          <w:lang w:val="fr-FR"/>
        </w:rPr>
        <w:t xml:space="preserve">Le </w:t>
      </w:r>
      <w:r w:rsidRPr="00702497">
        <w:rPr>
          <w:b/>
          <w:lang w:val="fr-FR"/>
        </w:rPr>
        <w:t>Président</w:t>
      </w:r>
      <w:r w:rsidRPr="00366386">
        <w:rPr>
          <w:bCs/>
          <w:lang w:val="fr-FR"/>
        </w:rPr>
        <w:t xml:space="preserve"> a pris note des noms des quatre nouveaux membres de l</w:t>
      </w:r>
      <w:r w:rsidR="00923E72">
        <w:rPr>
          <w:bCs/>
          <w:lang w:val="fr-FR"/>
        </w:rPr>
        <w:t>’</w:t>
      </w:r>
      <w:r w:rsidRPr="00366386">
        <w:rPr>
          <w:bCs/>
          <w:lang w:val="fr-FR"/>
        </w:rPr>
        <w:t>Organe d</w:t>
      </w:r>
      <w:r w:rsidR="00923E72">
        <w:rPr>
          <w:bCs/>
          <w:lang w:val="fr-FR"/>
        </w:rPr>
        <w:t>’</w:t>
      </w:r>
      <w:r w:rsidRPr="00366386">
        <w:rPr>
          <w:bCs/>
          <w:lang w:val="fr-FR"/>
        </w:rPr>
        <w:t xml:space="preserve">évaluation, les félicitant ainsi que tous les autres candidats. Le Comité avait </w:t>
      </w:r>
      <w:r w:rsidRPr="00366386">
        <w:rPr>
          <w:bCs/>
          <w:color w:val="000000" w:themeColor="text1"/>
          <w:lang w:val="fr-FR"/>
        </w:rPr>
        <w:t>également</w:t>
      </w:r>
      <w:r>
        <w:rPr>
          <w:bCs/>
          <w:color w:val="000000" w:themeColor="text1"/>
          <w:lang w:val="fr-FR"/>
        </w:rPr>
        <w:t xml:space="preserve"> </w:t>
      </w:r>
      <w:r w:rsidRPr="00366386">
        <w:rPr>
          <w:bCs/>
          <w:lang w:val="fr-FR"/>
        </w:rPr>
        <w:t>convenu de modifier l</w:t>
      </w:r>
      <w:r w:rsidR="00923E72">
        <w:rPr>
          <w:bCs/>
          <w:lang w:val="fr-FR"/>
        </w:rPr>
        <w:t>’</w:t>
      </w:r>
      <w:r w:rsidRPr="00366386">
        <w:rPr>
          <w:bCs/>
          <w:lang w:val="fr-FR"/>
        </w:rPr>
        <w:t>ordre dans lequel les dossiers de candidature s</w:t>
      </w:r>
      <w:r>
        <w:rPr>
          <w:bCs/>
          <w:lang w:val="fr-FR"/>
        </w:rPr>
        <w:t>eraient</w:t>
      </w:r>
      <w:r w:rsidRPr="00366386">
        <w:rPr>
          <w:bCs/>
          <w:lang w:val="fr-FR"/>
        </w:rPr>
        <w:t xml:space="preserve"> examinés par l</w:t>
      </w:r>
      <w:r w:rsidR="00923E72">
        <w:rPr>
          <w:bCs/>
          <w:lang w:val="fr-FR"/>
        </w:rPr>
        <w:t>’</w:t>
      </w:r>
      <w:r w:rsidRPr="00366386">
        <w:rPr>
          <w:bCs/>
          <w:lang w:val="fr-FR"/>
        </w:rPr>
        <w:t>Organe d</w:t>
      </w:r>
      <w:r w:rsidR="00923E72">
        <w:rPr>
          <w:bCs/>
          <w:lang w:val="fr-FR"/>
        </w:rPr>
        <w:t>’</w:t>
      </w:r>
      <w:r w:rsidRPr="00366386">
        <w:rPr>
          <w:bCs/>
          <w:lang w:val="fr-FR"/>
        </w:rPr>
        <w:t xml:space="preserve">évaluation et le Comité. La boîte contenait les lettres de A à Z. </w:t>
      </w:r>
      <w:r>
        <w:rPr>
          <w:bCs/>
          <w:lang w:val="fr-FR"/>
        </w:rPr>
        <w:t>M</w:t>
      </w:r>
      <w:r w:rsidRPr="005757F9">
        <w:rPr>
          <w:bCs/>
          <w:vertAlign w:val="superscript"/>
          <w:lang w:val="fr-FR"/>
        </w:rPr>
        <w:t>me</w:t>
      </w:r>
      <w:r>
        <w:rPr>
          <w:bCs/>
          <w:lang w:val="fr-FR"/>
        </w:rPr>
        <w:t> </w:t>
      </w:r>
      <w:r w:rsidRPr="00366386">
        <w:rPr>
          <w:bCs/>
          <w:lang w:val="fr-FR"/>
        </w:rPr>
        <w:t>Basma Meski</w:t>
      </w:r>
      <w:r>
        <w:rPr>
          <w:bCs/>
          <w:lang w:val="fr-FR"/>
        </w:rPr>
        <w:t>,</w:t>
      </w:r>
      <w:r w:rsidRPr="00366386">
        <w:rPr>
          <w:bCs/>
          <w:lang w:val="fr-FR"/>
        </w:rPr>
        <w:t xml:space="preserve"> du Bureau de l</w:t>
      </w:r>
      <w:r w:rsidR="00923E72">
        <w:rPr>
          <w:bCs/>
          <w:lang w:val="fr-FR"/>
        </w:rPr>
        <w:t>’</w:t>
      </w:r>
      <w:r w:rsidRPr="00366386">
        <w:rPr>
          <w:bCs/>
          <w:lang w:val="fr-FR"/>
        </w:rPr>
        <w:t>UNESCO à Rabat</w:t>
      </w:r>
      <w:r>
        <w:rPr>
          <w:bCs/>
          <w:lang w:val="fr-FR"/>
        </w:rPr>
        <w:t>,</w:t>
      </w:r>
      <w:r w:rsidRPr="00366386">
        <w:rPr>
          <w:bCs/>
          <w:lang w:val="fr-FR"/>
        </w:rPr>
        <w:t xml:space="preserve"> a tiré une lettre de la boîte.</w:t>
      </w:r>
    </w:p>
    <w:p w14:paraId="709A5F3E" w14:textId="6A9C0D32" w:rsidR="00366386" w:rsidRDefault="00366386">
      <w:pPr>
        <w:pStyle w:val="Orateurengris"/>
        <w:numPr>
          <w:ilvl w:val="0"/>
          <w:numId w:val="20"/>
        </w:numPr>
        <w:tabs>
          <w:tab w:val="clear" w:pos="567"/>
          <w:tab w:val="left" w:pos="5954"/>
        </w:tabs>
        <w:spacing w:before="120"/>
        <w:ind w:left="709" w:hanging="709"/>
        <w:rPr>
          <w:bCs/>
          <w:lang w:val="fr-FR"/>
        </w:rPr>
      </w:pPr>
      <w:r w:rsidRPr="006E3034">
        <w:rPr>
          <w:bCs/>
          <w:lang w:val="fr-FR"/>
        </w:rPr>
        <w:t>M</w:t>
      </w:r>
      <w:r w:rsidRPr="006E3034">
        <w:rPr>
          <w:bCs/>
          <w:vertAlign w:val="superscript"/>
          <w:lang w:val="fr-FR"/>
        </w:rPr>
        <w:t>me</w:t>
      </w:r>
      <w:r w:rsidRPr="006E3034">
        <w:rPr>
          <w:bCs/>
          <w:lang w:val="fr-FR"/>
        </w:rPr>
        <w:t> Basma Meski</w:t>
      </w:r>
      <w:r>
        <w:rPr>
          <w:bCs/>
          <w:lang w:val="fr-FR"/>
        </w:rPr>
        <w:t xml:space="preserve"> </w:t>
      </w:r>
      <w:r w:rsidR="007121BA" w:rsidRPr="00501065">
        <w:rPr>
          <w:bCs/>
          <w:lang w:val="fr-FR"/>
        </w:rPr>
        <w:t>du</w:t>
      </w:r>
      <w:r w:rsidR="007121BA" w:rsidRPr="006E3034">
        <w:rPr>
          <w:b/>
          <w:lang w:val="fr-FR"/>
        </w:rPr>
        <w:t xml:space="preserve"> </w:t>
      </w:r>
      <w:proofErr w:type="spellStart"/>
      <w:r w:rsidR="007121BA" w:rsidRPr="006E3034">
        <w:rPr>
          <w:b/>
          <w:lang w:val="fr-FR"/>
        </w:rPr>
        <w:t>Secretariat</w:t>
      </w:r>
      <w:proofErr w:type="spellEnd"/>
      <w:r w:rsidR="007121BA">
        <w:rPr>
          <w:bCs/>
          <w:lang w:val="fr-FR"/>
        </w:rPr>
        <w:t xml:space="preserve"> </w:t>
      </w:r>
      <w:r>
        <w:rPr>
          <w:bCs/>
          <w:lang w:val="fr-FR"/>
        </w:rPr>
        <w:t>a</w:t>
      </w:r>
      <w:r w:rsidR="00D8679F">
        <w:rPr>
          <w:bCs/>
          <w:lang w:val="fr-FR"/>
        </w:rPr>
        <w:t xml:space="preserve"> </w:t>
      </w:r>
      <w:r>
        <w:rPr>
          <w:bCs/>
          <w:lang w:val="fr-FR"/>
        </w:rPr>
        <w:t xml:space="preserve">tiré la lettre </w:t>
      </w:r>
      <w:r w:rsidR="005E3160">
        <w:rPr>
          <w:bCs/>
          <w:lang w:val="fr-FR"/>
        </w:rPr>
        <w:t>« </w:t>
      </w:r>
      <w:r>
        <w:rPr>
          <w:bCs/>
          <w:lang w:val="fr-FR"/>
        </w:rPr>
        <w:t>N</w:t>
      </w:r>
      <w:r w:rsidR="005E3160">
        <w:rPr>
          <w:bCs/>
          <w:lang w:val="fr-FR"/>
        </w:rPr>
        <w:t> »</w:t>
      </w:r>
      <w:r>
        <w:rPr>
          <w:bCs/>
          <w:lang w:val="fr-FR"/>
        </w:rPr>
        <w:t>.</w:t>
      </w:r>
    </w:p>
    <w:p w14:paraId="59BF0208" w14:textId="59517DDF" w:rsidR="00366386" w:rsidRDefault="00D8679F">
      <w:pPr>
        <w:pStyle w:val="Orateurengris"/>
        <w:numPr>
          <w:ilvl w:val="0"/>
          <w:numId w:val="20"/>
        </w:numPr>
        <w:tabs>
          <w:tab w:val="clear" w:pos="567"/>
          <w:tab w:val="left" w:pos="5954"/>
        </w:tabs>
        <w:spacing w:before="120"/>
        <w:ind w:left="709" w:hanging="709"/>
        <w:rPr>
          <w:bCs/>
          <w:lang w:val="fr-FR"/>
        </w:rPr>
      </w:pPr>
      <w:r w:rsidRPr="00D8679F">
        <w:rPr>
          <w:bCs/>
          <w:lang w:val="fr-FR"/>
        </w:rPr>
        <w:t xml:space="preserve">Le </w:t>
      </w:r>
      <w:r w:rsidRPr="00702497">
        <w:rPr>
          <w:b/>
          <w:lang w:val="fr-FR"/>
        </w:rPr>
        <w:t>Président</w:t>
      </w:r>
      <w:r w:rsidRPr="00D8679F">
        <w:rPr>
          <w:bCs/>
          <w:lang w:val="fr-FR"/>
        </w:rPr>
        <w:t xml:space="preserve"> a confirmé que le Comité commencerait le processus d</w:t>
      </w:r>
      <w:r w:rsidR="00923E72">
        <w:rPr>
          <w:bCs/>
          <w:lang w:val="fr-FR"/>
        </w:rPr>
        <w:t>’</w:t>
      </w:r>
      <w:r w:rsidRPr="00D8679F">
        <w:rPr>
          <w:bCs/>
          <w:lang w:val="fr-FR"/>
        </w:rPr>
        <w:t>examen en</w:t>
      </w:r>
      <w:r w:rsidR="00246428">
        <w:rPr>
          <w:bCs/>
          <w:lang w:val="fr-FR"/>
        </w:rPr>
        <w:t> </w:t>
      </w:r>
      <w:r w:rsidRPr="00D8679F">
        <w:rPr>
          <w:bCs/>
          <w:lang w:val="fr-FR"/>
        </w:rPr>
        <w:t xml:space="preserve">2023 avec les dossiers commençant par la lettre N, en </w:t>
      </w:r>
      <w:r w:rsidR="00616505">
        <w:rPr>
          <w:bCs/>
          <w:lang w:val="fr-FR"/>
        </w:rPr>
        <w:t>suivant l</w:t>
      </w:r>
      <w:r w:rsidR="00923E72">
        <w:rPr>
          <w:bCs/>
          <w:lang w:val="fr-FR"/>
        </w:rPr>
        <w:t>’</w:t>
      </w:r>
      <w:r w:rsidRPr="00D8679F">
        <w:rPr>
          <w:bCs/>
          <w:lang w:val="fr-FR"/>
        </w:rPr>
        <w:t>ordre alphabétique. Il a été proposé d</w:t>
      </w:r>
      <w:r w:rsidR="00923E72">
        <w:rPr>
          <w:bCs/>
          <w:lang w:val="fr-FR"/>
        </w:rPr>
        <w:t>’</w:t>
      </w:r>
      <w:r w:rsidRPr="00D8679F">
        <w:rPr>
          <w:bCs/>
          <w:lang w:val="fr-FR"/>
        </w:rPr>
        <w:t>utiliser la même lettre pour la disposition des sièges des États parties non</w:t>
      </w:r>
      <w:r w:rsidR="004D4983">
        <w:rPr>
          <w:bCs/>
          <w:lang w:val="fr-FR"/>
        </w:rPr>
        <w:t xml:space="preserve"> </w:t>
      </w:r>
      <w:r w:rsidRPr="00D8679F">
        <w:rPr>
          <w:bCs/>
          <w:lang w:val="fr-FR"/>
        </w:rPr>
        <w:t>membres du Comité lors de sa prochaine session ainsi que pour la disposition des sièges des États parties lors de l</w:t>
      </w:r>
      <w:r w:rsidR="00923E72">
        <w:rPr>
          <w:bCs/>
          <w:lang w:val="fr-FR"/>
        </w:rPr>
        <w:t>’</w:t>
      </w:r>
      <w:r w:rsidRPr="00D8679F">
        <w:rPr>
          <w:bCs/>
          <w:lang w:val="fr-FR"/>
        </w:rPr>
        <w:t>Assemblée générale. En l</w:t>
      </w:r>
      <w:r w:rsidR="00923E72">
        <w:rPr>
          <w:bCs/>
          <w:lang w:val="fr-FR"/>
        </w:rPr>
        <w:t>’</w:t>
      </w:r>
      <w:r w:rsidRPr="00D8679F">
        <w:rPr>
          <w:bCs/>
          <w:lang w:val="fr-FR"/>
        </w:rPr>
        <w:t>absence d</w:t>
      </w:r>
      <w:r w:rsidR="00923E72">
        <w:rPr>
          <w:bCs/>
          <w:lang w:val="fr-FR"/>
        </w:rPr>
        <w:t>’</w:t>
      </w:r>
      <w:r w:rsidRPr="00D8679F">
        <w:rPr>
          <w:bCs/>
          <w:lang w:val="fr-FR"/>
        </w:rPr>
        <w:t xml:space="preserve">autres commentaires, le Président </w:t>
      </w:r>
      <w:r>
        <w:rPr>
          <w:bCs/>
          <w:lang w:val="fr-FR"/>
        </w:rPr>
        <w:t xml:space="preserve">est </w:t>
      </w:r>
      <w:r w:rsidRPr="00D8679F">
        <w:rPr>
          <w:bCs/>
          <w:lang w:val="fr-FR"/>
        </w:rPr>
        <w:t>pass</w:t>
      </w:r>
      <w:r w:rsidR="00616505">
        <w:rPr>
          <w:bCs/>
          <w:lang w:val="fr-FR"/>
        </w:rPr>
        <w:t>é</w:t>
      </w:r>
      <w:r w:rsidRPr="00D8679F">
        <w:rPr>
          <w:bCs/>
          <w:lang w:val="fr-FR"/>
        </w:rPr>
        <w:t xml:space="preserve"> à l</w:t>
      </w:r>
      <w:r w:rsidR="00923E72">
        <w:rPr>
          <w:bCs/>
          <w:lang w:val="fr-FR"/>
        </w:rPr>
        <w:t>’</w:t>
      </w:r>
      <w:r w:rsidRPr="00D8679F">
        <w:rPr>
          <w:bCs/>
          <w:lang w:val="fr-FR"/>
        </w:rPr>
        <w:t xml:space="preserve">adoption du projet de décision. Le </w:t>
      </w:r>
      <w:r w:rsidRPr="00702497">
        <w:rPr>
          <w:b/>
          <w:lang w:val="fr-FR"/>
        </w:rPr>
        <w:t>Président a déclaré la décision</w:t>
      </w:r>
      <w:r w:rsidR="00616505">
        <w:rPr>
          <w:b/>
          <w:lang w:val="fr-FR"/>
        </w:rPr>
        <w:t> </w:t>
      </w:r>
      <w:hyperlink r:id="rId119" w:history="1">
        <w:r w:rsidRPr="00702497">
          <w:rPr>
            <w:rStyle w:val="Hyperlink"/>
            <w:b/>
          </w:rPr>
          <w:t>17.COM 14</w:t>
        </w:r>
      </w:hyperlink>
      <w:r w:rsidRPr="00702497">
        <w:rPr>
          <w:b/>
          <w:lang w:val="fr-FR"/>
        </w:rPr>
        <w:t xml:space="preserve"> adoptée</w:t>
      </w:r>
      <w:r w:rsidRPr="00D8679F">
        <w:rPr>
          <w:bCs/>
          <w:lang w:val="fr-FR"/>
        </w:rPr>
        <w:t>.</w:t>
      </w:r>
    </w:p>
    <w:p w14:paraId="0C49FF45" w14:textId="2656A78F" w:rsidR="00D8679F" w:rsidRPr="00702497" w:rsidRDefault="00D8679F" w:rsidP="00702497">
      <w:pPr>
        <w:pStyle w:val="Marge"/>
        <w:keepNext/>
        <w:tabs>
          <w:tab w:val="clear" w:pos="567"/>
          <w:tab w:val="left" w:pos="709"/>
          <w:tab w:val="left" w:pos="1418"/>
          <w:tab w:val="left" w:pos="2126"/>
          <w:tab w:val="left" w:pos="2835"/>
        </w:tabs>
        <w:spacing w:before="360" w:after="60"/>
        <w:jc w:val="left"/>
        <w:outlineLvl w:val="0"/>
        <w:rPr>
          <w:b/>
          <w:color w:val="000000" w:themeColor="text1"/>
        </w:rPr>
      </w:pPr>
      <w:r>
        <w:rPr>
          <w:b/>
          <w:color w:val="000000" w:themeColor="text1"/>
          <w:u w:val="single"/>
        </w:rPr>
        <w:t>POINT</w:t>
      </w:r>
      <w:r w:rsidR="0073323E">
        <w:rPr>
          <w:b/>
          <w:color w:val="000000" w:themeColor="text1"/>
          <w:u w:val="single"/>
        </w:rPr>
        <w:t> </w:t>
      </w:r>
      <w:r>
        <w:rPr>
          <w:b/>
          <w:color w:val="000000" w:themeColor="text1"/>
          <w:u w:val="single"/>
        </w:rPr>
        <w:t>19 DE L</w:t>
      </w:r>
      <w:r w:rsidR="00923E72">
        <w:rPr>
          <w:b/>
          <w:color w:val="000000" w:themeColor="text1"/>
          <w:u w:val="single"/>
        </w:rPr>
        <w:t>’</w:t>
      </w:r>
      <w:r w:rsidRPr="00D8679F">
        <w:rPr>
          <w:b/>
          <w:color w:val="000000" w:themeColor="text1"/>
          <w:u w:val="single"/>
        </w:rPr>
        <w:t>ORDRE DU JOUR</w:t>
      </w:r>
      <w:r w:rsidRPr="00D8679F">
        <w:rPr>
          <w:b/>
          <w:color w:val="000000" w:themeColor="text1"/>
        </w:rPr>
        <w:t> </w:t>
      </w:r>
      <w:r>
        <w:rPr>
          <w:b/>
          <w:color w:val="000000" w:themeColor="text1"/>
        </w:rPr>
        <w:t>:</w:t>
      </w:r>
    </w:p>
    <w:p w14:paraId="0DD2C081" w14:textId="40CEBCF0" w:rsidR="00D8679F" w:rsidRPr="006E6AA2" w:rsidRDefault="00D8679F" w:rsidP="00702497">
      <w:pPr>
        <w:pStyle w:val="Marge"/>
        <w:keepNext/>
        <w:tabs>
          <w:tab w:val="clear" w:pos="567"/>
          <w:tab w:val="left" w:pos="709"/>
          <w:tab w:val="left" w:pos="1418"/>
          <w:tab w:val="left" w:pos="2126"/>
          <w:tab w:val="left" w:pos="2835"/>
        </w:tabs>
        <w:jc w:val="left"/>
        <w:outlineLvl w:val="0"/>
        <w:rPr>
          <w:b/>
          <w:color w:val="000000" w:themeColor="text1"/>
        </w:rPr>
      </w:pPr>
      <w:r w:rsidRPr="005757F9">
        <w:rPr>
          <w:rFonts w:eastAsiaTheme="minorHAnsi"/>
          <w:b/>
          <w:color w:val="000000" w:themeColor="text1"/>
        </w:rPr>
        <w:t xml:space="preserve">ADOPTION </w:t>
      </w:r>
      <w:r>
        <w:rPr>
          <w:rFonts w:eastAsiaTheme="minorHAnsi"/>
          <w:b/>
          <w:color w:val="000000" w:themeColor="text1"/>
        </w:rPr>
        <w:t>DE LA LISTE DES DÉCISIONS</w:t>
      </w:r>
    </w:p>
    <w:p w14:paraId="6D148026" w14:textId="41323D40" w:rsidR="00D8679F" w:rsidRDefault="00585F0F" w:rsidP="00D8679F">
      <w:pPr>
        <w:pStyle w:val="Orateurengris"/>
        <w:numPr>
          <w:ilvl w:val="0"/>
          <w:numId w:val="20"/>
        </w:numPr>
        <w:tabs>
          <w:tab w:val="clear" w:pos="567"/>
          <w:tab w:val="left" w:pos="5954"/>
        </w:tabs>
        <w:spacing w:before="120"/>
        <w:ind w:left="709" w:hanging="709"/>
        <w:rPr>
          <w:bCs/>
          <w:lang w:val="fr-FR"/>
        </w:rPr>
      </w:pPr>
      <w:r w:rsidRPr="00585F0F">
        <w:rPr>
          <w:bCs/>
          <w:lang w:val="fr-FR"/>
        </w:rPr>
        <w:t xml:space="preserve">Le </w:t>
      </w:r>
      <w:r w:rsidRPr="00702497">
        <w:rPr>
          <w:b/>
          <w:lang w:val="fr-FR"/>
        </w:rPr>
        <w:t>Président</w:t>
      </w:r>
      <w:r w:rsidRPr="00585F0F">
        <w:rPr>
          <w:bCs/>
          <w:lang w:val="fr-FR"/>
        </w:rPr>
        <w:t xml:space="preserve"> est passé au point</w:t>
      </w:r>
      <w:r w:rsidR="00616505">
        <w:rPr>
          <w:bCs/>
          <w:lang w:val="fr-FR"/>
        </w:rPr>
        <w:t> </w:t>
      </w:r>
      <w:r w:rsidRPr="00585F0F">
        <w:rPr>
          <w:bCs/>
          <w:lang w:val="fr-FR"/>
        </w:rPr>
        <w:t>19 de l</w:t>
      </w:r>
      <w:r w:rsidR="00923E72">
        <w:rPr>
          <w:bCs/>
          <w:lang w:val="fr-FR"/>
        </w:rPr>
        <w:t>’</w:t>
      </w:r>
      <w:r w:rsidRPr="00585F0F">
        <w:rPr>
          <w:bCs/>
          <w:lang w:val="fr-FR"/>
        </w:rPr>
        <w:t>ordre du jour, l</w:t>
      </w:r>
      <w:r w:rsidR="00923E72">
        <w:rPr>
          <w:bCs/>
          <w:lang w:val="fr-FR"/>
        </w:rPr>
        <w:t>’</w:t>
      </w:r>
      <w:r w:rsidRPr="00585F0F">
        <w:rPr>
          <w:bCs/>
          <w:lang w:val="fr-FR"/>
        </w:rPr>
        <w:t>adoption de la liste des décisions, rappelant que conformément à l</w:t>
      </w:r>
      <w:r w:rsidR="00923E72">
        <w:rPr>
          <w:bCs/>
          <w:lang w:val="fr-FR"/>
        </w:rPr>
        <w:t>’</w:t>
      </w:r>
      <w:r w:rsidRPr="00585F0F">
        <w:rPr>
          <w:bCs/>
          <w:lang w:val="fr-FR"/>
        </w:rPr>
        <w:t>article</w:t>
      </w:r>
      <w:r>
        <w:rPr>
          <w:bCs/>
          <w:lang w:val="fr-FR"/>
        </w:rPr>
        <w:t> </w:t>
      </w:r>
      <w:r w:rsidRPr="00585F0F">
        <w:rPr>
          <w:bCs/>
          <w:lang w:val="fr-FR"/>
        </w:rPr>
        <w:t>43 du Règlement intérieur, le Comité adopte son rapport de la présente session sous la forme d</w:t>
      </w:r>
      <w:r w:rsidR="00923E72">
        <w:rPr>
          <w:bCs/>
          <w:lang w:val="fr-FR"/>
        </w:rPr>
        <w:t>’</w:t>
      </w:r>
      <w:r w:rsidRPr="00585F0F">
        <w:rPr>
          <w:bCs/>
          <w:lang w:val="fr-FR"/>
        </w:rPr>
        <w:t>une liste de décisions. Le Secrétariat avait compilé les décisions adoptées au cours de cette semaine</w:t>
      </w:r>
      <w:r>
        <w:rPr>
          <w:bCs/>
          <w:lang w:val="fr-FR"/>
        </w:rPr>
        <w:t>,</w:t>
      </w:r>
      <w:r w:rsidRPr="00585F0F">
        <w:rPr>
          <w:bCs/>
          <w:lang w:val="fr-FR"/>
        </w:rPr>
        <w:t xml:space="preserve"> jusqu</w:t>
      </w:r>
      <w:r w:rsidR="00923E72">
        <w:rPr>
          <w:bCs/>
          <w:lang w:val="fr-FR"/>
        </w:rPr>
        <w:t>’</w:t>
      </w:r>
      <w:r w:rsidRPr="00585F0F">
        <w:rPr>
          <w:bCs/>
          <w:lang w:val="fr-FR"/>
        </w:rPr>
        <w:t>à</w:t>
      </w:r>
      <w:r>
        <w:rPr>
          <w:bCs/>
          <w:lang w:val="fr-FR"/>
        </w:rPr>
        <w:t xml:space="preserve"> </w:t>
      </w:r>
      <w:r w:rsidRPr="00585F0F">
        <w:rPr>
          <w:bCs/>
          <w:lang w:val="fr-FR"/>
        </w:rPr>
        <w:t>vendredi</w:t>
      </w:r>
      <w:r>
        <w:rPr>
          <w:bCs/>
          <w:lang w:val="fr-FR"/>
        </w:rPr>
        <w:t xml:space="preserve"> soir</w:t>
      </w:r>
      <w:r w:rsidRPr="00585F0F">
        <w:rPr>
          <w:bCs/>
          <w:lang w:val="fr-FR"/>
        </w:rPr>
        <w:t>. Cette liste avait été distribuée à tous les membres du Comité pour leur permettre de lire les décisions. Le Président a donc demandé que le Comité délègue au Rapporteur la responsabilité de valider les décisions sur les points de l</w:t>
      </w:r>
      <w:r w:rsidR="00923E72">
        <w:rPr>
          <w:bCs/>
          <w:lang w:val="fr-FR"/>
        </w:rPr>
        <w:t>’</w:t>
      </w:r>
      <w:r w:rsidRPr="00585F0F">
        <w:rPr>
          <w:bCs/>
          <w:lang w:val="fr-FR"/>
        </w:rPr>
        <w:t xml:space="preserve">ordre du jour précédemment adoptés. Le Secrétariat incorporerait ces décisions dans le document avant sa publication en ligne. Selon la pratique habituelle, le Secrétariat pourrait également procéder à des corrections linguistiques. </w:t>
      </w:r>
      <w:r w:rsidR="00616505">
        <w:rPr>
          <w:bCs/>
          <w:lang w:val="fr-FR"/>
        </w:rPr>
        <w:t>C</w:t>
      </w:r>
      <w:r w:rsidR="00923E72">
        <w:rPr>
          <w:bCs/>
          <w:lang w:val="fr-FR"/>
        </w:rPr>
        <w:t>’</w:t>
      </w:r>
      <w:r w:rsidR="00616505">
        <w:rPr>
          <w:bCs/>
          <w:lang w:val="fr-FR"/>
        </w:rPr>
        <w:t>était maintenant l</w:t>
      </w:r>
      <w:r w:rsidR="00923E72">
        <w:rPr>
          <w:bCs/>
          <w:lang w:val="fr-FR"/>
        </w:rPr>
        <w:t>’</w:t>
      </w:r>
      <w:r w:rsidR="00616505">
        <w:rPr>
          <w:bCs/>
          <w:lang w:val="fr-FR"/>
        </w:rPr>
        <w:t xml:space="preserve">occasion </w:t>
      </w:r>
      <w:r w:rsidRPr="00585F0F">
        <w:rPr>
          <w:bCs/>
          <w:lang w:val="fr-FR"/>
        </w:rPr>
        <w:t>de vérifier que le Secrétariat n</w:t>
      </w:r>
      <w:r w:rsidR="00923E72">
        <w:rPr>
          <w:bCs/>
          <w:lang w:val="fr-FR"/>
        </w:rPr>
        <w:t>’</w:t>
      </w:r>
      <w:r w:rsidRPr="00585F0F">
        <w:rPr>
          <w:bCs/>
          <w:lang w:val="fr-FR"/>
        </w:rPr>
        <w:t xml:space="preserve">avait commis </w:t>
      </w:r>
      <w:r w:rsidR="00616505">
        <w:rPr>
          <w:bCs/>
          <w:lang w:val="fr-FR"/>
        </w:rPr>
        <w:t xml:space="preserve">aucune </w:t>
      </w:r>
      <w:r w:rsidRPr="00585F0F">
        <w:rPr>
          <w:bCs/>
          <w:lang w:val="fr-FR"/>
        </w:rPr>
        <w:t>erreur technique. En l</w:t>
      </w:r>
      <w:r w:rsidR="00923E72">
        <w:rPr>
          <w:bCs/>
          <w:lang w:val="fr-FR"/>
        </w:rPr>
        <w:t>’</w:t>
      </w:r>
      <w:r w:rsidRPr="00585F0F">
        <w:rPr>
          <w:bCs/>
          <w:lang w:val="fr-FR"/>
        </w:rPr>
        <w:t>absence de commentaires ou d</w:t>
      </w:r>
      <w:r w:rsidR="00923E72">
        <w:rPr>
          <w:bCs/>
          <w:lang w:val="fr-FR"/>
        </w:rPr>
        <w:t>’</w:t>
      </w:r>
      <w:r w:rsidRPr="00585F0F">
        <w:rPr>
          <w:bCs/>
          <w:lang w:val="fr-FR"/>
        </w:rPr>
        <w:t xml:space="preserve">objections, le Président a estimé que la liste des </w:t>
      </w:r>
      <w:r w:rsidRPr="00585F0F">
        <w:rPr>
          <w:bCs/>
          <w:lang w:val="fr-FR"/>
        </w:rPr>
        <w:lastRenderedPageBreak/>
        <w:t>décisions était approuvée, sous réserve des ajouts effectués par le Rapporteur</w:t>
      </w:r>
      <w:r w:rsidR="00B23A67">
        <w:rPr>
          <w:bCs/>
          <w:lang w:val="fr-FR"/>
        </w:rPr>
        <w:t xml:space="preserve"> </w:t>
      </w:r>
      <w:r w:rsidRPr="00585F0F">
        <w:rPr>
          <w:bCs/>
          <w:lang w:val="fr-FR"/>
        </w:rPr>
        <w:t>ainsi que des révisions linguistiques apportées par le Secrétariat.</w:t>
      </w:r>
    </w:p>
    <w:p w14:paraId="3C4466C1" w14:textId="3F648B07" w:rsidR="00585F0F" w:rsidRPr="00702497" w:rsidRDefault="00585F0F" w:rsidP="00702497">
      <w:pPr>
        <w:pStyle w:val="Marge"/>
        <w:keepNext/>
        <w:tabs>
          <w:tab w:val="clear" w:pos="567"/>
          <w:tab w:val="left" w:pos="709"/>
          <w:tab w:val="left" w:pos="1418"/>
          <w:tab w:val="left" w:pos="2126"/>
          <w:tab w:val="left" w:pos="2835"/>
        </w:tabs>
        <w:spacing w:before="360" w:after="60"/>
        <w:jc w:val="left"/>
        <w:outlineLvl w:val="0"/>
        <w:rPr>
          <w:b/>
          <w:color w:val="000000" w:themeColor="text1"/>
        </w:rPr>
      </w:pPr>
      <w:r>
        <w:rPr>
          <w:b/>
          <w:color w:val="000000" w:themeColor="text1"/>
          <w:u w:val="single"/>
        </w:rPr>
        <w:t>POINT</w:t>
      </w:r>
      <w:r w:rsidR="0073323E">
        <w:rPr>
          <w:b/>
          <w:color w:val="000000" w:themeColor="text1"/>
          <w:u w:val="single"/>
        </w:rPr>
        <w:t> </w:t>
      </w:r>
      <w:r>
        <w:rPr>
          <w:b/>
          <w:color w:val="000000" w:themeColor="text1"/>
          <w:u w:val="single"/>
        </w:rPr>
        <w:t>20 DE L</w:t>
      </w:r>
      <w:r w:rsidR="00923E72">
        <w:rPr>
          <w:b/>
          <w:color w:val="000000" w:themeColor="text1"/>
          <w:u w:val="single"/>
        </w:rPr>
        <w:t>’</w:t>
      </w:r>
      <w:r w:rsidRPr="00585F0F">
        <w:rPr>
          <w:b/>
          <w:color w:val="000000" w:themeColor="text1"/>
          <w:u w:val="single"/>
        </w:rPr>
        <w:t>ORDRE DU JOUR</w:t>
      </w:r>
      <w:r w:rsidRPr="00585F0F">
        <w:rPr>
          <w:b/>
          <w:color w:val="000000" w:themeColor="text1"/>
        </w:rPr>
        <w:t> </w:t>
      </w:r>
      <w:r>
        <w:rPr>
          <w:b/>
          <w:color w:val="000000" w:themeColor="text1"/>
        </w:rPr>
        <w:t>:</w:t>
      </w:r>
    </w:p>
    <w:p w14:paraId="2726D05C" w14:textId="418FACBA" w:rsidR="00585F0F" w:rsidRPr="006E6AA2" w:rsidRDefault="00585F0F" w:rsidP="00702497">
      <w:pPr>
        <w:pStyle w:val="Marge"/>
        <w:keepNext/>
        <w:tabs>
          <w:tab w:val="clear" w:pos="567"/>
          <w:tab w:val="left" w:pos="709"/>
          <w:tab w:val="left" w:pos="1418"/>
          <w:tab w:val="left" w:pos="2126"/>
          <w:tab w:val="left" w:pos="2835"/>
        </w:tabs>
        <w:jc w:val="left"/>
        <w:outlineLvl w:val="0"/>
      </w:pPr>
      <w:r w:rsidRPr="005757F9">
        <w:rPr>
          <w:rFonts w:eastAsiaTheme="minorHAnsi"/>
          <w:b/>
          <w:color w:val="000000" w:themeColor="text1"/>
        </w:rPr>
        <w:t>CL</w:t>
      </w:r>
      <w:r>
        <w:rPr>
          <w:rFonts w:eastAsiaTheme="minorHAnsi"/>
          <w:b/>
          <w:color w:val="000000" w:themeColor="text1"/>
        </w:rPr>
        <w:t>ÔTURE</w:t>
      </w:r>
    </w:p>
    <w:p w14:paraId="64B57513" w14:textId="0281710A" w:rsidR="00585F0F" w:rsidRDefault="00585F0F" w:rsidP="00D8679F">
      <w:pPr>
        <w:pStyle w:val="Orateurengris"/>
        <w:numPr>
          <w:ilvl w:val="0"/>
          <w:numId w:val="20"/>
        </w:numPr>
        <w:tabs>
          <w:tab w:val="clear" w:pos="567"/>
          <w:tab w:val="left" w:pos="5954"/>
        </w:tabs>
        <w:spacing w:before="120"/>
        <w:ind w:left="709" w:hanging="709"/>
        <w:rPr>
          <w:bCs/>
          <w:lang w:val="fr-FR"/>
        </w:rPr>
      </w:pPr>
      <w:r w:rsidRPr="00585F0F">
        <w:rPr>
          <w:bCs/>
          <w:lang w:val="fr-FR"/>
        </w:rPr>
        <w:t xml:space="preserve">Le </w:t>
      </w:r>
      <w:r w:rsidRPr="00702497">
        <w:rPr>
          <w:b/>
          <w:lang w:val="fr-FR"/>
        </w:rPr>
        <w:t>Président</w:t>
      </w:r>
      <w:r w:rsidRPr="00585F0F">
        <w:rPr>
          <w:bCs/>
          <w:lang w:val="fr-FR"/>
        </w:rPr>
        <w:t xml:space="preserve"> est passé à la clôture de la session après une semaine intense et extrêmement productive, remerciant les délégués pour leur coopération et leur solide engagement, eux qui avaient travaillé ensemble dans un esprit de consensus. Il a exprimé sa gratitude particulière aux Vice-Président(e)s et au Rapporteur, dont le soutien tout au long de l</w:t>
      </w:r>
      <w:r w:rsidR="00923E72">
        <w:rPr>
          <w:bCs/>
          <w:lang w:val="fr-FR"/>
        </w:rPr>
        <w:t>’</w:t>
      </w:r>
      <w:r w:rsidRPr="00585F0F">
        <w:rPr>
          <w:bCs/>
          <w:lang w:val="fr-FR"/>
        </w:rPr>
        <w:t>année avait grandement contribué au succès de cette session. Il a résumé certains des principaux résultats des travaux du Comité. Au total, 1</w:t>
      </w:r>
      <w:r w:rsidR="00AD322F">
        <w:rPr>
          <w:bCs/>
          <w:lang w:val="fr-FR"/>
        </w:rPr>
        <w:t> </w:t>
      </w:r>
      <w:r w:rsidRPr="00585F0F">
        <w:rPr>
          <w:bCs/>
          <w:lang w:val="fr-FR"/>
        </w:rPr>
        <w:t>197 participants de 132 pays différents s</w:t>
      </w:r>
      <w:r w:rsidR="00923E72">
        <w:rPr>
          <w:bCs/>
          <w:lang w:val="fr-FR"/>
        </w:rPr>
        <w:t>’</w:t>
      </w:r>
      <w:r w:rsidRPr="00585F0F">
        <w:rPr>
          <w:bCs/>
          <w:lang w:val="fr-FR"/>
        </w:rPr>
        <w:t>étaient inscrits. Sur les quarante-huit dossiers examinés, quatre avaient été inscrits sur la Liste de sauvegarde urgente et trente-neuf sur la Liste représentative. Une demande d</w:t>
      </w:r>
      <w:r w:rsidR="00923E72">
        <w:rPr>
          <w:bCs/>
          <w:lang w:val="fr-FR"/>
        </w:rPr>
        <w:t>’</w:t>
      </w:r>
      <w:r w:rsidRPr="00585F0F">
        <w:rPr>
          <w:bCs/>
          <w:lang w:val="fr-FR"/>
        </w:rPr>
        <w:t>assistance internationale avait été approuvée et quatre programmes avaient été inclus dans le Registre des bonnes pratiques de sauvegarde. Le Comité avait également examiné vingt</w:t>
      </w:r>
      <w:r w:rsidR="005410EA">
        <w:rPr>
          <w:bCs/>
          <w:lang w:val="fr-FR"/>
        </w:rPr>
        <w:noBreakHyphen/>
      </w:r>
      <w:r w:rsidRPr="00585F0F">
        <w:rPr>
          <w:bCs/>
          <w:lang w:val="fr-FR"/>
        </w:rPr>
        <w:t>quatre rapports sur l</w:t>
      </w:r>
      <w:r w:rsidR="00923E72">
        <w:rPr>
          <w:bCs/>
          <w:lang w:val="fr-FR"/>
        </w:rPr>
        <w:t>’</w:t>
      </w:r>
      <w:r w:rsidRPr="00585F0F">
        <w:rPr>
          <w:bCs/>
          <w:lang w:val="fr-FR"/>
        </w:rPr>
        <w:t>état des éléments inscrits sur la Liste de sauvegarde urgente ainsi que le premier cycle régional de rapports périodiques sur la mise en œuvre de la Convention par les États parties d</w:t>
      </w:r>
      <w:r w:rsidR="00923E72">
        <w:rPr>
          <w:bCs/>
          <w:lang w:val="fr-FR"/>
        </w:rPr>
        <w:t>’</w:t>
      </w:r>
      <w:r w:rsidRPr="00585F0F">
        <w:rPr>
          <w:bCs/>
          <w:lang w:val="fr-FR"/>
        </w:rPr>
        <w:t>Europe. Un nouvel Organe d</w:t>
      </w:r>
      <w:r w:rsidR="00923E72">
        <w:rPr>
          <w:bCs/>
          <w:lang w:val="fr-FR"/>
        </w:rPr>
        <w:t>’</w:t>
      </w:r>
      <w:r w:rsidRPr="00585F0F">
        <w:rPr>
          <w:bCs/>
          <w:lang w:val="fr-FR"/>
        </w:rPr>
        <w:t>évaluation pour le cycle</w:t>
      </w:r>
      <w:r w:rsidR="00246428">
        <w:rPr>
          <w:bCs/>
          <w:lang w:val="fr-FR"/>
        </w:rPr>
        <w:t> </w:t>
      </w:r>
      <w:r w:rsidRPr="00585F0F">
        <w:rPr>
          <w:bCs/>
          <w:lang w:val="fr-FR"/>
        </w:rPr>
        <w:t>2023 avait été établi, intégrant quatre nouveaux membres (trois experts et une ONG). Le Président a exprimé ses remerciements et sa reconnaissance à l</w:t>
      </w:r>
      <w:r w:rsidR="00923E72">
        <w:rPr>
          <w:bCs/>
          <w:lang w:val="fr-FR"/>
        </w:rPr>
        <w:t>’</w:t>
      </w:r>
      <w:r w:rsidRPr="00585F0F">
        <w:rPr>
          <w:bCs/>
          <w:lang w:val="fr-FR"/>
        </w:rPr>
        <w:t>Organe d</w:t>
      </w:r>
      <w:r w:rsidR="00923E72">
        <w:rPr>
          <w:bCs/>
          <w:lang w:val="fr-FR"/>
        </w:rPr>
        <w:t>’</w:t>
      </w:r>
      <w:r w:rsidRPr="00585F0F">
        <w:rPr>
          <w:bCs/>
          <w:lang w:val="fr-FR"/>
        </w:rPr>
        <w:t xml:space="preserve">évaluation </w:t>
      </w:r>
      <w:r w:rsidR="00AD322F">
        <w:rPr>
          <w:bCs/>
          <w:lang w:val="fr-FR"/>
        </w:rPr>
        <w:t>de</w:t>
      </w:r>
      <w:r w:rsidR="006E0623">
        <w:rPr>
          <w:bCs/>
          <w:lang w:val="fr-FR"/>
        </w:rPr>
        <w:t> </w:t>
      </w:r>
      <w:r w:rsidRPr="00585F0F">
        <w:rPr>
          <w:bCs/>
          <w:lang w:val="fr-FR"/>
        </w:rPr>
        <w:t>2022 pour son travail et son engagement</w:t>
      </w:r>
      <w:r w:rsidR="00AD322F">
        <w:rPr>
          <w:bCs/>
          <w:lang w:val="fr-FR"/>
        </w:rPr>
        <w:t xml:space="preserve"> </w:t>
      </w:r>
      <w:r w:rsidRPr="00585F0F">
        <w:rPr>
          <w:bCs/>
          <w:lang w:val="fr-FR"/>
        </w:rPr>
        <w:t>dans la sauvegarde du patrimoine vivant et de leurs communautés. Il a exprimé sa gratitude aux artistes, aux techniciens et à toute l</w:t>
      </w:r>
      <w:r w:rsidR="00923E72">
        <w:rPr>
          <w:bCs/>
          <w:lang w:val="fr-FR"/>
        </w:rPr>
        <w:t>’</w:t>
      </w:r>
      <w:r w:rsidRPr="00585F0F">
        <w:rPr>
          <w:bCs/>
          <w:lang w:val="fr-FR"/>
        </w:rPr>
        <w:t>équipe en coulisses pour le déroulement sans heurts de cette session. Le Président a remercié la Directrice générale de l</w:t>
      </w:r>
      <w:r w:rsidR="00923E72">
        <w:rPr>
          <w:bCs/>
          <w:lang w:val="fr-FR"/>
        </w:rPr>
        <w:t>’</w:t>
      </w:r>
      <w:r w:rsidRPr="00585F0F">
        <w:rPr>
          <w:bCs/>
          <w:lang w:val="fr-FR"/>
        </w:rPr>
        <w:t xml:space="preserve">UNESCO, </w:t>
      </w:r>
      <w:r w:rsidR="00AD322F">
        <w:rPr>
          <w:bCs/>
          <w:lang w:val="fr-FR"/>
        </w:rPr>
        <w:t>Mme </w:t>
      </w:r>
      <w:r w:rsidRPr="00585F0F">
        <w:rPr>
          <w:bCs/>
          <w:lang w:val="fr-FR"/>
        </w:rPr>
        <w:t>Audrey Azoulay, le Sous-Directeur général pour la culture, le Secrétaire et toute son équipe pour le merveilleux travail et leur</w:t>
      </w:r>
      <w:r w:rsidR="006E0623">
        <w:rPr>
          <w:bCs/>
          <w:lang w:val="fr-FR"/>
        </w:rPr>
        <w:t xml:space="preserve">s efforts </w:t>
      </w:r>
      <w:r w:rsidRPr="00585F0F">
        <w:rPr>
          <w:bCs/>
          <w:lang w:val="fr-FR"/>
        </w:rPr>
        <w:t>inlassable</w:t>
      </w:r>
      <w:r w:rsidR="006E0623">
        <w:rPr>
          <w:bCs/>
          <w:lang w:val="fr-FR"/>
        </w:rPr>
        <w:t>s</w:t>
      </w:r>
      <w:r w:rsidR="00A87CFB">
        <w:rPr>
          <w:bCs/>
          <w:lang w:val="fr-FR"/>
        </w:rPr>
        <w:t>,</w:t>
      </w:r>
      <w:r w:rsidRPr="00585F0F">
        <w:rPr>
          <w:bCs/>
          <w:lang w:val="fr-FR"/>
        </w:rPr>
        <w:t xml:space="preserve"> qui avai</w:t>
      </w:r>
      <w:r w:rsidR="006E0623">
        <w:rPr>
          <w:bCs/>
          <w:lang w:val="fr-FR"/>
        </w:rPr>
        <w:t>en</w:t>
      </w:r>
      <w:r w:rsidRPr="00585F0F">
        <w:rPr>
          <w:bCs/>
          <w:lang w:val="fr-FR"/>
        </w:rPr>
        <w:t>t fait de la réunion du Comité une expérience riche et intéressante.</w:t>
      </w:r>
    </w:p>
    <w:p w14:paraId="0714DC00" w14:textId="15DE1AE4" w:rsidR="00AD322F" w:rsidRDefault="00AD322F" w:rsidP="00D8679F">
      <w:pPr>
        <w:pStyle w:val="Orateurengris"/>
        <w:numPr>
          <w:ilvl w:val="0"/>
          <w:numId w:val="20"/>
        </w:numPr>
        <w:tabs>
          <w:tab w:val="clear" w:pos="567"/>
          <w:tab w:val="left" w:pos="5954"/>
        </w:tabs>
        <w:spacing w:before="120"/>
        <w:ind w:left="709" w:hanging="709"/>
        <w:rPr>
          <w:bCs/>
          <w:lang w:val="fr-FR"/>
        </w:rPr>
      </w:pPr>
      <w:r w:rsidRPr="00AD322F">
        <w:rPr>
          <w:bCs/>
          <w:lang w:val="fr-FR"/>
        </w:rPr>
        <w:t xml:space="preserve">La délégation du </w:t>
      </w:r>
      <w:r w:rsidRPr="00702497">
        <w:rPr>
          <w:b/>
          <w:lang w:val="fr-FR"/>
        </w:rPr>
        <w:t>Burkina</w:t>
      </w:r>
      <w:r>
        <w:rPr>
          <w:b/>
          <w:lang w:val="fr-FR"/>
        </w:rPr>
        <w:t> </w:t>
      </w:r>
      <w:r w:rsidRPr="00702497">
        <w:rPr>
          <w:b/>
          <w:lang w:val="fr-FR"/>
        </w:rPr>
        <w:t>Faso</w:t>
      </w:r>
      <w:r w:rsidRPr="00AD322F">
        <w:rPr>
          <w:bCs/>
          <w:lang w:val="fr-FR"/>
        </w:rPr>
        <w:t xml:space="preserve"> avait entamé son premier mandat fort intense au sein du Comité, partageant des moments d</w:t>
      </w:r>
      <w:r w:rsidR="00923E72">
        <w:rPr>
          <w:bCs/>
          <w:lang w:val="fr-FR"/>
        </w:rPr>
        <w:t>’</w:t>
      </w:r>
      <w:r w:rsidRPr="00AD322F">
        <w:rPr>
          <w:bCs/>
          <w:lang w:val="fr-FR"/>
        </w:rPr>
        <w:t>échange</w:t>
      </w:r>
      <w:r>
        <w:rPr>
          <w:bCs/>
          <w:lang w:val="fr-FR"/>
        </w:rPr>
        <w:t xml:space="preserve">s </w:t>
      </w:r>
      <w:r w:rsidRPr="00AD322F">
        <w:rPr>
          <w:bCs/>
          <w:lang w:val="fr-FR"/>
        </w:rPr>
        <w:t>positif</w:t>
      </w:r>
      <w:r>
        <w:rPr>
          <w:bCs/>
          <w:lang w:val="fr-FR"/>
        </w:rPr>
        <w:t>s</w:t>
      </w:r>
      <w:r w:rsidRPr="00AD322F">
        <w:rPr>
          <w:bCs/>
          <w:lang w:val="fr-FR"/>
        </w:rPr>
        <w:t xml:space="preserve">. Elle a félicité le Président pour son excellent leadership et la brillante manière dont il avait conduit les travaux, réitérant ses remerciements au Gouvernement du Maroc pour </w:t>
      </w:r>
      <w:r>
        <w:rPr>
          <w:bCs/>
          <w:lang w:val="fr-FR"/>
        </w:rPr>
        <w:t xml:space="preserve">la réussite de </w:t>
      </w:r>
      <w:r w:rsidRPr="00AD322F">
        <w:rPr>
          <w:bCs/>
          <w:lang w:val="fr-FR"/>
        </w:rPr>
        <w:t>son accueil</w:t>
      </w:r>
      <w:r w:rsidR="006E0623">
        <w:rPr>
          <w:bCs/>
          <w:lang w:val="fr-FR"/>
        </w:rPr>
        <w:t>,</w:t>
      </w:r>
      <w:r w:rsidRPr="00AD322F">
        <w:rPr>
          <w:bCs/>
          <w:lang w:val="fr-FR"/>
        </w:rPr>
        <w:t xml:space="preserve"> ainsi qu</w:t>
      </w:r>
      <w:r w:rsidR="00923E72">
        <w:rPr>
          <w:bCs/>
          <w:lang w:val="fr-FR"/>
        </w:rPr>
        <w:t>’</w:t>
      </w:r>
      <w:r w:rsidRPr="00AD322F">
        <w:rPr>
          <w:bCs/>
          <w:lang w:val="fr-FR"/>
        </w:rPr>
        <w:t>à l</w:t>
      </w:r>
      <w:r w:rsidR="00923E72">
        <w:rPr>
          <w:bCs/>
          <w:lang w:val="fr-FR"/>
        </w:rPr>
        <w:t>’</w:t>
      </w:r>
      <w:r w:rsidRPr="00AD322F">
        <w:rPr>
          <w:bCs/>
          <w:lang w:val="fr-FR"/>
        </w:rPr>
        <w:t>ensemble du Secrétariat et du Secteur de la culture. Le Burkina Faso a réitéré ses félicitations à tous les États parties dont un élément avait été inscrit sur les listes et a encouragé les autres États parties</w:t>
      </w:r>
      <w:r w:rsidR="006C60E6">
        <w:rPr>
          <w:bCs/>
          <w:lang w:val="fr-FR"/>
        </w:rPr>
        <w:t>, qu</w:t>
      </w:r>
      <w:r w:rsidR="00923E72">
        <w:rPr>
          <w:bCs/>
          <w:lang w:val="fr-FR"/>
        </w:rPr>
        <w:t>’</w:t>
      </w:r>
      <w:r w:rsidR="006C60E6">
        <w:rPr>
          <w:bCs/>
          <w:lang w:val="fr-FR"/>
        </w:rPr>
        <w:t>ils soient dans la procédure d</w:t>
      </w:r>
      <w:r w:rsidR="00923E72">
        <w:rPr>
          <w:bCs/>
          <w:lang w:val="fr-FR"/>
        </w:rPr>
        <w:t>’</w:t>
      </w:r>
      <w:r w:rsidR="006C60E6">
        <w:rPr>
          <w:bCs/>
          <w:lang w:val="fr-FR"/>
        </w:rPr>
        <w:t>inscription ou qu</w:t>
      </w:r>
      <w:r w:rsidR="00923E72">
        <w:rPr>
          <w:bCs/>
          <w:lang w:val="fr-FR"/>
        </w:rPr>
        <w:t>’</w:t>
      </w:r>
      <w:r w:rsidR="006C60E6">
        <w:rPr>
          <w:bCs/>
          <w:lang w:val="fr-FR"/>
        </w:rPr>
        <w:t>ils doivent</w:t>
      </w:r>
      <w:r w:rsidRPr="00AD322F">
        <w:rPr>
          <w:bCs/>
          <w:lang w:val="fr-FR"/>
        </w:rPr>
        <w:t xml:space="preserve"> soumettre à nouveau leurs candidatures. Il a félicité le Botswana d</w:t>
      </w:r>
      <w:r w:rsidR="00923E72">
        <w:rPr>
          <w:bCs/>
          <w:lang w:val="fr-FR"/>
        </w:rPr>
        <w:t>’</w:t>
      </w:r>
      <w:r w:rsidRPr="00AD322F">
        <w:rPr>
          <w:bCs/>
          <w:lang w:val="fr-FR"/>
        </w:rPr>
        <w:t>accueillir la prochaine session du Comité.</w:t>
      </w:r>
    </w:p>
    <w:p w14:paraId="526AB6B0" w14:textId="7CD538EA" w:rsidR="00AD322F" w:rsidRDefault="007C6333" w:rsidP="00D8679F">
      <w:pPr>
        <w:pStyle w:val="Orateurengris"/>
        <w:numPr>
          <w:ilvl w:val="0"/>
          <w:numId w:val="20"/>
        </w:numPr>
        <w:tabs>
          <w:tab w:val="clear" w:pos="567"/>
          <w:tab w:val="left" w:pos="5954"/>
        </w:tabs>
        <w:spacing w:before="120"/>
        <w:ind w:left="709" w:hanging="709"/>
        <w:rPr>
          <w:bCs/>
          <w:lang w:val="fr-FR"/>
        </w:rPr>
      </w:pPr>
      <w:r w:rsidRPr="007C6333">
        <w:rPr>
          <w:bCs/>
          <w:lang w:val="fr-FR"/>
        </w:rPr>
        <w:t>La délégation de l</w:t>
      </w:r>
      <w:r w:rsidR="00923E72">
        <w:rPr>
          <w:bCs/>
          <w:lang w:val="fr-FR"/>
        </w:rPr>
        <w:t>’</w:t>
      </w:r>
      <w:r w:rsidRPr="00702497">
        <w:rPr>
          <w:b/>
          <w:lang w:val="fr-FR"/>
        </w:rPr>
        <w:t>Allemagne</w:t>
      </w:r>
      <w:r w:rsidRPr="007C6333">
        <w:rPr>
          <w:bCs/>
          <w:lang w:val="fr-FR"/>
        </w:rPr>
        <w:t xml:space="preserve"> a remercié le Maroc d</w:t>
      </w:r>
      <w:r w:rsidR="00923E72">
        <w:rPr>
          <w:bCs/>
          <w:lang w:val="fr-FR"/>
        </w:rPr>
        <w:t>’</w:t>
      </w:r>
      <w:r w:rsidRPr="007C6333">
        <w:rPr>
          <w:bCs/>
          <w:lang w:val="fr-FR"/>
        </w:rPr>
        <w:t>avoir accueilli la session</w:t>
      </w:r>
      <w:r w:rsidR="006E0623">
        <w:rPr>
          <w:bCs/>
          <w:lang w:val="fr-FR"/>
        </w:rPr>
        <w:t>,</w:t>
      </w:r>
      <w:r w:rsidRPr="007C6333">
        <w:rPr>
          <w:bCs/>
          <w:lang w:val="fr-FR"/>
        </w:rPr>
        <w:t xml:space="preserve"> et le Président</w:t>
      </w:r>
      <w:r w:rsidR="006E0623">
        <w:rPr>
          <w:bCs/>
          <w:lang w:val="fr-FR"/>
        </w:rPr>
        <w:t>,</w:t>
      </w:r>
      <w:r w:rsidRPr="007C6333">
        <w:rPr>
          <w:bCs/>
          <w:lang w:val="fr-FR"/>
        </w:rPr>
        <w:t xml:space="preserve"> en particulier</w:t>
      </w:r>
      <w:r w:rsidR="006E0623">
        <w:rPr>
          <w:bCs/>
          <w:lang w:val="fr-FR"/>
        </w:rPr>
        <w:t>,</w:t>
      </w:r>
      <w:r w:rsidRPr="007C6333">
        <w:rPr>
          <w:bCs/>
          <w:lang w:val="fr-FR"/>
        </w:rPr>
        <w:t xml:space="preserve"> pour la patience dont il avait fait preuve en gérant les moments difficiles. Elle a remercié le Secrétariat et tous ceux qui avaient travaillé en amont et en coulisses, en particulier le Sous-Directeur général et le Secrétaire pour leur incroyable travail qui avait permis de piloter le Comité dans ses décisions.</w:t>
      </w:r>
    </w:p>
    <w:p w14:paraId="75BC2AD7" w14:textId="240D8767" w:rsidR="007C6333" w:rsidRDefault="007C6333" w:rsidP="00D8679F">
      <w:pPr>
        <w:pStyle w:val="Orateurengris"/>
        <w:numPr>
          <w:ilvl w:val="0"/>
          <w:numId w:val="20"/>
        </w:numPr>
        <w:tabs>
          <w:tab w:val="clear" w:pos="567"/>
          <w:tab w:val="left" w:pos="5954"/>
        </w:tabs>
        <w:spacing w:before="120"/>
        <w:ind w:left="709" w:hanging="709"/>
        <w:rPr>
          <w:bCs/>
          <w:lang w:val="fr-FR"/>
        </w:rPr>
      </w:pPr>
      <w:r w:rsidRPr="007C6333">
        <w:rPr>
          <w:bCs/>
          <w:lang w:val="fr-FR"/>
        </w:rPr>
        <w:t>La délégation de l</w:t>
      </w:r>
      <w:r w:rsidR="00923E72">
        <w:rPr>
          <w:bCs/>
          <w:lang w:val="fr-FR"/>
        </w:rPr>
        <w:t>’</w:t>
      </w:r>
      <w:r w:rsidRPr="00702497">
        <w:rPr>
          <w:b/>
          <w:lang w:val="fr-FR"/>
        </w:rPr>
        <w:t xml:space="preserve">Arabie saoudite </w:t>
      </w:r>
      <w:r w:rsidRPr="007C6333">
        <w:rPr>
          <w:bCs/>
          <w:lang w:val="fr-FR"/>
        </w:rPr>
        <w:t>a évoqué la chaleur, l</w:t>
      </w:r>
      <w:r w:rsidR="00923E72">
        <w:rPr>
          <w:bCs/>
          <w:lang w:val="fr-FR"/>
        </w:rPr>
        <w:t>’</w:t>
      </w:r>
      <w:r w:rsidRPr="007C6333">
        <w:rPr>
          <w:bCs/>
          <w:lang w:val="fr-FR"/>
        </w:rPr>
        <w:t>ouverture et la beauté de Raba</w:t>
      </w:r>
      <w:r w:rsidR="005410EA">
        <w:rPr>
          <w:bCs/>
          <w:lang w:val="fr-FR"/>
        </w:rPr>
        <w:t>t</w:t>
      </w:r>
      <w:r w:rsidRPr="007C6333">
        <w:rPr>
          <w:bCs/>
          <w:lang w:val="fr-FR"/>
        </w:rPr>
        <w:t xml:space="preserve"> ainsi que l</w:t>
      </w:r>
      <w:r w:rsidR="00923E72">
        <w:rPr>
          <w:bCs/>
          <w:lang w:val="fr-FR"/>
        </w:rPr>
        <w:t>’</w:t>
      </w:r>
      <w:r w:rsidRPr="007C6333">
        <w:rPr>
          <w:bCs/>
          <w:lang w:val="fr-FR"/>
        </w:rPr>
        <w:t>extraordinaire préparation, l</w:t>
      </w:r>
      <w:r w:rsidR="00923E72">
        <w:rPr>
          <w:bCs/>
          <w:lang w:val="fr-FR"/>
        </w:rPr>
        <w:t>’</w:t>
      </w:r>
      <w:r w:rsidRPr="007C6333">
        <w:rPr>
          <w:bCs/>
          <w:lang w:val="fr-FR"/>
        </w:rPr>
        <w:t>accueil et la cérémonie d</w:t>
      </w:r>
      <w:r w:rsidR="00923E72">
        <w:rPr>
          <w:bCs/>
          <w:lang w:val="fr-FR"/>
        </w:rPr>
        <w:t>’</w:t>
      </w:r>
      <w:r w:rsidRPr="007C6333">
        <w:rPr>
          <w:bCs/>
          <w:lang w:val="fr-FR"/>
        </w:rPr>
        <w:t>ouverture. Elle a remercié le Secrétariat, le Sous-Directeur général et le Secrétaire, ajoutant que les travaux du patrimoine culturel immatériel s</w:t>
      </w:r>
      <w:r w:rsidR="00923E72">
        <w:rPr>
          <w:bCs/>
          <w:lang w:val="fr-FR"/>
        </w:rPr>
        <w:t>’</w:t>
      </w:r>
      <w:r w:rsidRPr="007C6333">
        <w:rPr>
          <w:bCs/>
          <w:lang w:val="fr-FR"/>
        </w:rPr>
        <w:t>étaient déroulés sans heurts grâce à l</w:t>
      </w:r>
      <w:r w:rsidR="00923E72">
        <w:rPr>
          <w:bCs/>
          <w:lang w:val="fr-FR"/>
        </w:rPr>
        <w:t>’</w:t>
      </w:r>
      <w:r w:rsidRPr="007C6333">
        <w:rPr>
          <w:bCs/>
          <w:lang w:val="fr-FR"/>
        </w:rPr>
        <w:t>ouverture d</w:t>
      </w:r>
      <w:r w:rsidR="00923E72">
        <w:rPr>
          <w:bCs/>
          <w:lang w:val="fr-FR"/>
        </w:rPr>
        <w:t>’</w:t>
      </w:r>
      <w:r w:rsidRPr="007C6333">
        <w:rPr>
          <w:bCs/>
          <w:lang w:val="fr-FR"/>
        </w:rPr>
        <w:t>esprit du Secrétaire et sa volonté d</w:t>
      </w:r>
      <w:r w:rsidR="00923E72">
        <w:rPr>
          <w:bCs/>
          <w:lang w:val="fr-FR"/>
        </w:rPr>
        <w:t>’</w:t>
      </w:r>
      <w:r w:rsidRPr="007C6333">
        <w:rPr>
          <w:bCs/>
          <w:lang w:val="fr-FR"/>
        </w:rPr>
        <w:t>aller à la rencontre des États membres, en proposant toujours des solutions pratiques. La délégation a remercié les membres du Comité et les observateurs pour leur engagement</w:t>
      </w:r>
      <w:r>
        <w:rPr>
          <w:bCs/>
          <w:lang w:val="fr-FR"/>
        </w:rPr>
        <w:t xml:space="preserve"> plein d</w:t>
      </w:r>
      <w:r w:rsidR="00923E72">
        <w:rPr>
          <w:bCs/>
          <w:lang w:val="fr-FR"/>
        </w:rPr>
        <w:t>’</w:t>
      </w:r>
      <w:r>
        <w:rPr>
          <w:bCs/>
          <w:lang w:val="fr-FR"/>
        </w:rPr>
        <w:t>enthousiasme</w:t>
      </w:r>
      <w:r w:rsidRPr="007C6333">
        <w:rPr>
          <w:bCs/>
          <w:lang w:val="fr-FR"/>
        </w:rPr>
        <w:t>, ce qui correspond à la beauté et à la passion du patrimoine culturel immatériel lorsqu</w:t>
      </w:r>
      <w:r w:rsidR="00923E72">
        <w:rPr>
          <w:bCs/>
          <w:lang w:val="fr-FR"/>
        </w:rPr>
        <w:t>’</w:t>
      </w:r>
      <w:r w:rsidRPr="007C6333">
        <w:rPr>
          <w:bCs/>
          <w:lang w:val="fr-FR"/>
        </w:rPr>
        <w:t>il s</w:t>
      </w:r>
      <w:r w:rsidR="00923E72">
        <w:rPr>
          <w:bCs/>
          <w:lang w:val="fr-FR"/>
        </w:rPr>
        <w:t>’</w:t>
      </w:r>
      <w:r w:rsidRPr="007C6333">
        <w:rPr>
          <w:bCs/>
          <w:lang w:val="fr-FR"/>
        </w:rPr>
        <w:t>agit de promouvoir et de sauvegarder de belles manifestations de l</w:t>
      </w:r>
      <w:r w:rsidR="00923E72">
        <w:rPr>
          <w:bCs/>
          <w:lang w:val="fr-FR"/>
        </w:rPr>
        <w:t>’</w:t>
      </w:r>
      <w:r w:rsidRPr="007C6333">
        <w:rPr>
          <w:bCs/>
          <w:lang w:val="fr-FR"/>
        </w:rPr>
        <w:t>humanité. Elle a félicité tous les États membres dont les dossiers avaient été inscrits, remerciant l</w:t>
      </w:r>
      <w:r w:rsidR="00923E72">
        <w:rPr>
          <w:bCs/>
          <w:lang w:val="fr-FR"/>
        </w:rPr>
        <w:t>’</w:t>
      </w:r>
      <w:r w:rsidRPr="007C6333">
        <w:rPr>
          <w:bCs/>
          <w:lang w:val="fr-FR"/>
        </w:rPr>
        <w:t>UNESCO et le Maroc ainsi que tous ceux qui travaillaient dans les coulisses. La délégation a remercié le Président pour son pragmatisme et son humanité</w:t>
      </w:r>
      <w:r>
        <w:rPr>
          <w:bCs/>
          <w:lang w:val="fr-FR"/>
        </w:rPr>
        <w:t xml:space="preserve"> </w:t>
      </w:r>
      <w:r w:rsidRPr="007C6333">
        <w:rPr>
          <w:bCs/>
          <w:lang w:val="fr-FR"/>
        </w:rPr>
        <w:t>qui avaient contribué à la réussite de la réunion, et a félicité le Botswana qui allait accueillir le Comité.</w:t>
      </w:r>
    </w:p>
    <w:p w14:paraId="09B667BA" w14:textId="3847BA88" w:rsidR="007C6333" w:rsidRDefault="007C6333" w:rsidP="00D8679F">
      <w:pPr>
        <w:pStyle w:val="Orateurengris"/>
        <w:numPr>
          <w:ilvl w:val="0"/>
          <w:numId w:val="20"/>
        </w:numPr>
        <w:tabs>
          <w:tab w:val="clear" w:pos="567"/>
          <w:tab w:val="left" w:pos="5954"/>
        </w:tabs>
        <w:spacing w:before="120"/>
        <w:ind w:left="709" w:hanging="709"/>
        <w:rPr>
          <w:bCs/>
          <w:lang w:val="fr-FR"/>
        </w:rPr>
      </w:pPr>
      <w:r w:rsidRPr="007C6333">
        <w:rPr>
          <w:bCs/>
          <w:lang w:val="fr-FR"/>
        </w:rPr>
        <w:lastRenderedPageBreak/>
        <w:t xml:space="preserve">La délégation du </w:t>
      </w:r>
      <w:r w:rsidRPr="00702497">
        <w:rPr>
          <w:b/>
          <w:lang w:val="fr-FR"/>
        </w:rPr>
        <w:t>Brésil</w:t>
      </w:r>
      <w:r w:rsidRPr="007C6333">
        <w:rPr>
          <w:bCs/>
          <w:lang w:val="fr-FR"/>
        </w:rPr>
        <w:t xml:space="preserve"> a remercié le Secrétariat pour ses rapports détaillés et tous les États membres qui soutiennent </w:t>
      </w:r>
      <w:r w:rsidR="00CF4F7F">
        <w:rPr>
          <w:bCs/>
          <w:lang w:val="fr-FR"/>
        </w:rPr>
        <w:t xml:space="preserve">résolument </w:t>
      </w:r>
      <w:r w:rsidRPr="007C6333">
        <w:rPr>
          <w:bCs/>
          <w:lang w:val="fr-FR"/>
        </w:rPr>
        <w:t>la Convention, en particulier les récents mécanismes de réflexion en faveur de la création de nouveaux équilibres. Elle a remercié le Maroc d</w:t>
      </w:r>
      <w:r w:rsidR="00923E72">
        <w:rPr>
          <w:bCs/>
          <w:lang w:val="fr-FR"/>
        </w:rPr>
        <w:t>’</w:t>
      </w:r>
      <w:r w:rsidRPr="007C6333">
        <w:rPr>
          <w:bCs/>
          <w:lang w:val="fr-FR"/>
        </w:rPr>
        <w:t xml:space="preserve">avoir accueilli les délégués avec </w:t>
      </w:r>
      <w:r w:rsidR="00CF4F7F">
        <w:rPr>
          <w:bCs/>
          <w:lang w:val="fr-FR"/>
        </w:rPr>
        <w:t xml:space="preserve">attention </w:t>
      </w:r>
      <w:r w:rsidRPr="007C6333">
        <w:rPr>
          <w:bCs/>
          <w:lang w:val="fr-FR"/>
        </w:rPr>
        <w:t>et hospitalité. La délégation a félicité le Botswana d</w:t>
      </w:r>
      <w:r w:rsidR="00923E72">
        <w:rPr>
          <w:bCs/>
          <w:lang w:val="fr-FR"/>
        </w:rPr>
        <w:t>’</w:t>
      </w:r>
      <w:r w:rsidRPr="007C6333">
        <w:rPr>
          <w:bCs/>
          <w:lang w:val="fr-FR"/>
        </w:rPr>
        <w:t>accueillir la dix</w:t>
      </w:r>
      <w:r w:rsidR="00CF4F7F">
        <w:rPr>
          <w:bCs/>
          <w:lang w:val="fr-FR"/>
        </w:rPr>
        <w:noBreakHyphen/>
      </w:r>
      <w:r w:rsidRPr="007C6333">
        <w:rPr>
          <w:bCs/>
          <w:lang w:val="fr-FR"/>
        </w:rPr>
        <w:t xml:space="preserve">huitième session du Comité, qui serait la dernière réunion du Brésil dans le cycle actuel en tant que membre du Comité. Le Brésil a félicité tous les États parties qui avaient vu leur élément inscrit sur les listes et a exprimé sa satisfaction de </w:t>
      </w:r>
      <w:r w:rsidR="00CF4F7F">
        <w:rPr>
          <w:bCs/>
          <w:lang w:val="fr-FR"/>
        </w:rPr>
        <w:t xml:space="preserve">constater </w:t>
      </w:r>
      <w:r w:rsidRPr="007C6333">
        <w:rPr>
          <w:bCs/>
          <w:lang w:val="fr-FR"/>
        </w:rPr>
        <w:t>des améliorations da</w:t>
      </w:r>
      <w:r w:rsidR="00CF4F7F">
        <w:rPr>
          <w:bCs/>
          <w:lang w:val="fr-FR"/>
        </w:rPr>
        <w:t>ns le domaine</w:t>
      </w:r>
      <w:r w:rsidRPr="007C6333">
        <w:rPr>
          <w:bCs/>
          <w:lang w:val="fr-FR"/>
        </w:rPr>
        <w:t xml:space="preserve"> </w:t>
      </w:r>
      <w:r w:rsidR="00CF4F7F">
        <w:rPr>
          <w:bCs/>
          <w:lang w:val="fr-FR"/>
        </w:rPr>
        <w:t xml:space="preserve">du </w:t>
      </w:r>
      <w:r w:rsidRPr="007C6333">
        <w:rPr>
          <w:bCs/>
          <w:lang w:val="fr-FR"/>
        </w:rPr>
        <w:t xml:space="preserve">patrimoine immatériel et </w:t>
      </w:r>
      <w:r w:rsidR="00CF4F7F">
        <w:rPr>
          <w:bCs/>
          <w:lang w:val="fr-FR"/>
        </w:rPr>
        <w:t>d</w:t>
      </w:r>
      <w:r w:rsidRPr="007C6333">
        <w:rPr>
          <w:bCs/>
          <w:lang w:val="fr-FR"/>
        </w:rPr>
        <w:t>es droits de l</w:t>
      </w:r>
      <w:r w:rsidR="00923E72">
        <w:rPr>
          <w:bCs/>
          <w:lang w:val="fr-FR"/>
        </w:rPr>
        <w:t>’</w:t>
      </w:r>
      <w:r w:rsidRPr="007C6333">
        <w:rPr>
          <w:bCs/>
          <w:lang w:val="fr-FR"/>
        </w:rPr>
        <w:t>homme. Malgré sa dernière année en</w:t>
      </w:r>
      <w:r w:rsidR="00246428">
        <w:rPr>
          <w:bCs/>
          <w:lang w:val="fr-FR"/>
        </w:rPr>
        <w:t> </w:t>
      </w:r>
      <w:r w:rsidRPr="007C6333">
        <w:rPr>
          <w:bCs/>
          <w:lang w:val="fr-FR"/>
        </w:rPr>
        <w:t xml:space="preserve">2023, le Brésil serait toujours disponible pour les États parties </w:t>
      </w:r>
      <w:r w:rsidR="00EA53A1">
        <w:rPr>
          <w:bCs/>
          <w:lang w:val="fr-FR"/>
        </w:rPr>
        <w:t xml:space="preserve">désireux </w:t>
      </w:r>
      <w:r w:rsidR="00CF4F7F">
        <w:rPr>
          <w:bCs/>
          <w:lang w:val="fr-FR"/>
        </w:rPr>
        <w:t xml:space="preserve">de </w:t>
      </w:r>
      <w:r w:rsidRPr="007C6333">
        <w:rPr>
          <w:bCs/>
          <w:lang w:val="fr-FR"/>
        </w:rPr>
        <w:t xml:space="preserve">célébrer la collaboration et les partenariats </w:t>
      </w:r>
      <w:r w:rsidR="00CF4F7F">
        <w:rPr>
          <w:bCs/>
          <w:lang w:val="fr-FR"/>
        </w:rPr>
        <w:t xml:space="preserve">visant à contribuer </w:t>
      </w:r>
      <w:r w:rsidRPr="007C6333">
        <w:rPr>
          <w:bCs/>
          <w:lang w:val="fr-FR"/>
        </w:rPr>
        <w:t>à la compréhension locale du patrimoine immatériel</w:t>
      </w:r>
      <w:r w:rsidR="00CF4F7F">
        <w:rPr>
          <w:bCs/>
          <w:lang w:val="fr-FR"/>
        </w:rPr>
        <w:t>,</w:t>
      </w:r>
      <w:r w:rsidRPr="007C6333">
        <w:rPr>
          <w:bCs/>
          <w:lang w:val="fr-FR"/>
        </w:rPr>
        <w:t xml:space="preserve"> avec la participation des communautés et des ONG pour un dialogue renouvelé, </w:t>
      </w:r>
      <w:r w:rsidR="00CF4F7F">
        <w:rPr>
          <w:bCs/>
          <w:lang w:val="fr-FR"/>
        </w:rPr>
        <w:t xml:space="preserve">participant </w:t>
      </w:r>
      <w:r w:rsidRPr="007C6333">
        <w:rPr>
          <w:bCs/>
          <w:lang w:val="fr-FR"/>
        </w:rPr>
        <w:t>ainsi à l</w:t>
      </w:r>
      <w:r w:rsidR="00923E72">
        <w:rPr>
          <w:bCs/>
          <w:lang w:val="fr-FR"/>
        </w:rPr>
        <w:t>’</w:t>
      </w:r>
      <w:r w:rsidRPr="007C6333">
        <w:rPr>
          <w:bCs/>
          <w:lang w:val="fr-FR"/>
        </w:rPr>
        <w:t>enrichissement de la diversité culturelle et de la créativité humaine.</w:t>
      </w:r>
    </w:p>
    <w:p w14:paraId="139B2637" w14:textId="1BE6DADA" w:rsidR="00CF4F7F" w:rsidRDefault="00CF4F7F" w:rsidP="00D8679F">
      <w:pPr>
        <w:pStyle w:val="Orateurengris"/>
        <w:numPr>
          <w:ilvl w:val="0"/>
          <w:numId w:val="20"/>
        </w:numPr>
        <w:tabs>
          <w:tab w:val="clear" w:pos="567"/>
          <w:tab w:val="left" w:pos="5954"/>
        </w:tabs>
        <w:spacing w:before="120"/>
        <w:ind w:left="709" w:hanging="709"/>
        <w:rPr>
          <w:bCs/>
          <w:lang w:val="fr-FR"/>
        </w:rPr>
      </w:pPr>
      <w:r w:rsidRPr="00CF4F7F">
        <w:rPr>
          <w:bCs/>
          <w:lang w:val="fr-FR"/>
        </w:rPr>
        <w:t xml:space="preserve">La délégation </w:t>
      </w:r>
      <w:r>
        <w:rPr>
          <w:bCs/>
          <w:lang w:val="fr-FR"/>
        </w:rPr>
        <w:t xml:space="preserve">de la </w:t>
      </w:r>
      <w:r w:rsidRPr="00702497">
        <w:rPr>
          <w:b/>
          <w:lang w:val="fr-FR"/>
        </w:rPr>
        <w:t>Slovaquie</w:t>
      </w:r>
      <w:r w:rsidRPr="00CF4F7F">
        <w:rPr>
          <w:bCs/>
          <w:lang w:val="fr-FR"/>
        </w:rPr>
        <w:t xml:space="preserve"> a évoqué sa première réunion historique en tant que membre du Comité, qui était riche en expériences et en émotions. Elle a félicité les membres du Comité pour cette réunion réussie quant à la conduite des travaux. La délégation a remercié le Président et les Vice-Président(e)s pour leur parfaite maîtrise dans la conduite des sessions, qui avait permis d</w:t>
      </w:r>
      <w:r w:rsidR="00923E72">
        <w:rPr>
          <w:bCs/>
          <w:lang w:val="fr-FR"/>
        </w:rPr>
        <w:t>’</w:t>
      </w:r>
      <w:r w:rsidRPr="00CF4F7F">
        <w:rPr>
          <w:bCs/>
          <w:lang w:val="fr-FR"/>
        </w:rPr>
        <w:t>aboutir à l</w:t>
      </w:r>
      <w:r w:rsidR="00923E72">
        <w:rPr>
          <w:bCs/>
          <w:lang w:val="fr-FR"/>
        </w:rPr>
        <w:t>’</w:t>
      </w:r>
      <w:r w:rsidRPr="00CF4F7F">
        <w:rPr>
          <w:bCs/>
          <w:lang w:val="fr-FR"/>
        </w:rPr>
        <w:t>approbation des décisions par consensus en tenant compte du contexte, notamment dans certains pays et régions, ce qui montrait la sagesse du Comité et renforçait davantage la crédibilité de la Convention. Elle a salué le travail de très haut niveau de l</w:t>
      </w:r>
      <w:r w:rsidR="00923E72">
        <w:rPr>
          <w:bCs/>
          <w:lang w:val="fr-FR"/>
        </w:rPr>
        <w:t>’</w:t>
      </w:r>
      <w:r w:rsidRPr="00CF4F7F">
        <w:rPr>
          <w:bCs/>
          <w:lang w:val="fr-FR"/>
        </w:rPr>
        <w:t>Organe d</w:t>
      </w:r>
      <w:r w:rsidR="00923E72">
        <w:rPr>
          <w:bCs/>
          <w:lang w:val="fr-FR"/>
        </w:rPr>
        <w:t>’</w:t>
      </w:r>
      <w:r w:rsidRPr="00CF4F7F">
        <w:rPr>
          <w:bCs/>
          <w:lang w:val="fr-FR"/>
        </w:rPr>
        <w:t>évaluation</w:t>
      </w:r>
      <w:r w:rsidR="00EA53A1">
        <w:rPr>
          <w:bCs/>
          <w:lang w:val="fr-FR"/>
        </w:rPr>
        <w:t>,</w:t>
      </w:r>
      <w:r w:rsidR="005B684A">
        <w:rPr>
          <w:bCs/>
          <w:lang w:val="fr-FR"/>
        </w:rPr>
        <w:t xml:space="preserve"> </w:t>
      </w:r>
      <w:r w:rsidRPr="00CF4F7F">
        <w:rPr>
          <w:bCs/>
          <w:lang w:val="fr-FR"/>
        </w:rPr>
        <w:t>qui devait rester le guide suprême des délibérations du Comité. La délégation a également exprimé sa gratitude au Secrétariat, au Sous-Directeur général, au Secrétaire et à son équipe ainsi qu</w:t>
      </w:r>
      <w:r w:rsidR="00923E72">
        <w:rPr>
          <w:bCs/>
          <w:lang w:val="fr-FR"/>
        </w:rPr>
        <w:t>’</w:t>
      </w:r>
      <w:r w:rsidRPr="00CF4F7F">
        <w:rPr>
          <w:bCs/>
          <w:lang w:val="fr-FR"/>
        </w:rPr>
        <w:t>à tous les organisateurs, techniciens et interprètes pour le grand succès de la réunion. Elle a remercié le Botswana pour sa proposition d</w:t>
      </w:r>
      <w:r w:rsidR="00923E72">
        <w:rPr>
          <w:bCs/>
          <w:lang w:val="fr-FR"/>
        </w:rPr>
        <w:t>’</w:t>
      </w:r>
      <w:r w:rsidRPr="00CF4F7F">
        <w:rPr>
          <w:bCs/>
          <w:lang w:val="fr-FR"/>
        </w:rPr>
        <w:t>accueillir la prochaine session. Elle a remercié le Président pour la découverte de Rabat et de la Médina</w:t>
      </w:r>
      <w:r w:rsidR="00676D7E">
        <w:rPr>
          <w:bCs/>
          <w:lang w:val="fr-FR"/>
        </w:rPr>
        <w:t>,</w:t>
      </w:r>
      <w:r w:rsidRPr="00CF4F7F">
        <w:rPr>
          <w:bCs/>
          <w:lang w:val="fr-FR"/>
        </w:rPr>
        <w:t xml:space="preserve"> où elle avait </w:t>
      </w:r>
      <w:r w:rsidR="00487761">
        <w:rPr>
          <w:bCs/>
          <w:lang w:val="fr-FR"/>
        </w:rPr>
        <w:t xml:space="preserve">découvert </w:t>
      </w:r>
      <w:r w:rsidRPr="00CF4F7F">
        <w:rPr>
          <w:bCs/>
          <w:lang w:val="fr-FR"/>
        </w:rPr>
        <w:t>la véritable histoire, les traditions et l</w:t>
      </w:r>
      <w:r w:rsidR="00923E72">
        <w:rPr>
          <w:bCs/>
          <w:lang w:val="fr-FR"/>
        </w:rPr>
        <w:t>’</w:t>
      </w:r>
      <w:r w:rsidRPr="00CF4F7F">
        <w:rPr>
          <w:bCs/>
          <w:lang w:val="fr-FR"/>
        </w:rPr>
        <w:t>atmosphère authentique de cette ville et de ce pays. Elle avait noté en particulier le grand respect, la gentillesse et la solidarité qui régnaient dans toute la ville parmi les concitoyens.</w:t>
      </w:r>
    </w:p>
    <w:p w14:paraId="0F809DF0" w14:textId="1A841536" w:rsidR="00487761" w:rsidRDefault="00487761" w:rsidP="00D8679F">
      <w:pPr>
        <w:pStyle w:val="Orateurengris"/>
        <w:numPr>
          <w:ilvl w:val="0"/>
          <w:numId w:val="20"/>
        </w:numPr>
        <w:tabs>
          <w:tab w:val="clear" w:pos="567"/>
          <w:tab w:val="left" w:pos="5954"/>
        </w:tabs>
        <w:spacing w:before="120"/>
        <w:ind w:left="709" w:hanging="709"/>
        <w:rPr>
          <w:bCs/>
          <w:lang w:val="fr-FR"/>
        </w:rPr>
      </w:pPr>
      <w:r w:rsidRPr="00487761">
        <w:rPr>
          <w:bCs/>
          <w:lang w:val="fr-FR"/>
        </w:rPr>
        <w:t xml:space="preserve">Le </w:t>
      </w:r>
      <w:r w:rsidRPr="00702497">
        <w:rPr>
          <w:b/>
          <w:lang w:val="fr-FR"/>
        </w:rPr>
        <w:t>Président</w:t>
      </w:r>
      <w:r w:rsidRPr="00487761">
        <w:rPr>
          <w:bCs/>
          <w:lang w:val="fr-FR"/>
        </w:rPr>
        <w:t xml:space="preserve"> a remercié la Slovaquie pour ses paroles sincères, en remarquant que tout le monde avait effectivement eu l</w:t>
      </w:r>
      <w:r w:rsidR="00923E72">
        <w:rPr>
          <w:bCs/>
          <w:lang w:val="fr-FR"/>
        </w:rPr>
        <w:t>’</w:t>
      </w:r>
      <w:r w:rsidRPr="00487761">
        <w:rPr>
          <w:bCs/>
          <w:lang w:val="fr-FR"/>
        </w:rPr>
        <w:t>occasion de faire l</w:t>
      </w:r>
      <w:r w:rsidR="00923E72">
        <w:rPr>
          <w:bCs/>
          <w:lang w:val="fr-FR"/>
        </w:rPr>
        <w:t>’</w:t>
      </w:r>
      <w:r w:rsidRPr="00487761">
        <w:rPr>
          <w:bCs/>
          <w:lang w:val="fr-FR"/>
        </w:rPr>
        <w:t>expérience de la gentillesse et de l</w:t>
      </w:r>
      <w:r w:rsidR="00923E72">
        <w:rPr>
          <w:bCs/>
          <w:lang w:val="fr-FR"/>
        </w:rPr>
        <w:t>’</w:t>
      </w:r>
      <w:r w:rsidRPr="00487761">
        <w:rPr>
          <w:bCs/>
          <w:lang w:val="fr-FR"/>
        </w:rPr>
        <w:t>hospitalité du Maroc, un trait de sa culture. Que ce soit dans les quartiers riches ou plus populaires, l</w:t>
      </w:r>
      <w:r w:rsidR="00923E72">
        <w:rPr>
          <w:bCs/>
          <w:lang w:val="fr-FR"/>
        </w:rPr>
        <w:t>’</w:t>
      </w:r>
      <w:r w:rsidRPr="00487761">
        <w:rPr>
          <w:bCs/>
          <w:lang w:val="fr-FR"/>
        </w:rPr>
        <w:t>esprit était le même, le cœur était le même, l</w:t>
      </w:r>
      <w:r w:rsidR="00923E72">
        <w:rPr>
          <w:bCs/>
          <w:lang w:val="fr-FR"/>
        </w:rPr>
        <w:t>’</w:t>
      </w:r>
      <w:r w:rsidRPr="00487761">
        <w:rPr>
          <w:bCs/>
          <w:lang w:val="fr-FR"/>
        </w:rPr>
        <w:t>approche des autres était la même, avec une ouverture aux autres dont il était très fier et qui faisait partie de l</w:t>
      </w:r>
      <w:r w:rsidR="00923E72">
        <w:rPr>
          <w:bCs/>
          <w:lang w:val="fr-FR"/>
        </w:rPr>
        <w:t>’</w:t>
      </w:r>
      <w:r w:rsidRPr="00487761">
        <w:rPr>
          <w:bCs/>
          <w:lang w:val="fr-FR"/>
        </w:rPr>
        <w:t>identité marocaine.</w:t>
      </w:r>
    </w:p>
    <w:p w14:paraId="4F447301" w14:textId="43E375F5" w:rsidR="00487761" w:rsidRDefault="00487761" w:rsidP="00D8679F">
      <w:pPr>
        <w:pStyle w:val="Orateurengris"/>
        <w:numPr>
          <w:ilvl w:val="0"/>
          <w:numId w:val="20"/>
        </w:numPr>
        <w:tabs>
          <w:tab w:val="clear" w:pos="567"/>
          <w:tab w:val="left" w:pos="5954"/>
        </w:tabs>
        <w:spacing w:before="120"/>
        <w:ind w:left="709" w:hanging="709"/>
        <w:rPr>
          <w:bCs/>
          <w:lang w:val="fr-FR"/>
        </w:rPr>
      </w:pPr>
      <w:r w:rsidRPr="00487761">
        <w:rPr>
          <w:bCs/>
          <w:lang w:val="fr-FR"/>
        </w:rPr>
        <w:t xml:space="preserve">La délégation du </w:t>
      </w:r>
      <w:r w:rsidRPr="00702497">
        <w:rPr>
          <w:b/>
          <w:lang w:val="fr-FR"/>
        </w:rPr>
        <w:t>Bangladesh</w:t>
      </w:r>
      <w:r w:rsidRPr="00487761">
        <w:rPr>
          <w:bCs/>
          <w:lang w:val="fr-FR"/>
        </w:rPr>
        <w:t xml:space="preserve"> a </w:t>
      </w:r>
      <w:r w:rsidR="005F3CEE">
        <w:rPr>
          <w:bCs/>
          <w:lang w:val="fr-FR"/>
        </w:rPr>
        <w:t>évoqué le</w:t>
      </w:r>
      <w:r w:rsidRPr="00487761">
        <w:rPr>
          <w:bCs/>
          <w:lang w:val="fr-FR"/>
        </w:rPr>
        <w:t xml:space="preserve"> privilège d</w:t>
      </w:r>
      <w:r w:rsidR="00923E72">
        <w:rPr>
          <w:bCs/>
          <w:lang w:val="fr-FR"/>
        </w:rPr>
        <w:t>’</w:t>
      </w:r>
      <w:r w:rsidR="0024499B">
        <w:rPr>
          <w:bCs/>
          <w:lang w:val="fr-FR"/>
        </w:rPr>
        <w:t xml:space="preserve">être </w:t>
      </w:r>
      <w:r w:rsidRPr="00487761">
        <w:rPr>
          <w:bCs/>
          <w:lang w:val="fr-FR"/>
        </w:rPr>
        <w:t>à Rabat pour profiter de la chaleur du peuple marocain, le remerciant pour son extraordinaire hospitalité</w:t>
      </w:r>
      <w:r w:rsidR="0024499B">
        <w:rPr>
          <w:bCs/>
          <w:lang w:val="fr-FR"/>
        </w:rPr>
        <w:t xml:space="preserve">. Elle a </w:t>
      </w:r>
      <w:r w:rsidR="0024499B" w:rsidRPr="0024499B">
        <w:rPr>
          <w:bCs/>
          <w:color w:val="000000" w:themeColor="text1"/>
          <w:lang w:val="fr-FR"/>
        </w:rPr>
        <w:t>également</w:t>
      </w:r>
      <w:r w:rsidR="0024499B">
        <w:rPr>
          <w:bCs/>
          <w:color w:val="000000" w:themeColor="text1"/>
          <w:lang w:val="fr-FR"/>
        </w:rPr>
        <w:t xml:space="preserve"> remercié </w:t>
      </w:r>
      <w:r w:rsidRPr="00487761">
        <w:rPr>
          <w:bCs/>
          <w:lang w:val="fr-FR"/>
        </w:rPr>
        <w:t>tous les ministres et son Altesse Royale</w:t>
      </w:r>
      <w:r w:rsidR="0024499B">
        <w:rPr>
          <w:bCs/>
          <w:lang w:val="fr-FR"/>
        </w:rPr>
        <w:t>,</w:t>
      </w:r>
      <w:r w:rsidRPr="00487761">
        <w:rPr>
          <w:bCs/>
          <w:lang w:val="fr-FR"/>
        </w:rPr>
        <w:t xml:space="preserve"> que les membres du Comité avaient eu le plaisir de rencontrer</w:t>
      </w:r>
      <w:r w:rsidR="0024499B">
        <w:rPr>
          <w:bCs/>
          <w:lang w:val="fr-FR"/>
        </w:rPr>
        <w:t>, pour leur gentillesse</w:t>
      </w:r>
      <w:r w:rsidRPr="00487761">
        <w:rPr>
          <w:bCs/>
          <w:lang w:val="fr-FR"/>
        </w:rPr>
        <w:t xml:space="preserve">. </w:t>
      </w:r>
      <w:r w:rsidR="00676D7E">
        <w:rPr>
          <w:bCs/>
          <w:lang w:val="fr-FR"/>
        </w:rPr>
        <w:t xml:space="preserve">La </w:t>
      </w:r>
      <w:r w:rsidR="00676D7E" w:rsidRPr="00676D7E">
        <w:rPr>
          <w:bCs/>
          <w:lang w:val="fr-FR"/>
        </w:rPr>
        <w:t>délégation</w:t>
      </w:r>
      <w:r w:rsidR="00676D7E">
        <w:rPr>
          <w:bCs/>
          <w:lang w:val="fr-FR"/>
        </w:rPr>
        <w:t xml:space="preserve"> </w:t>
      </w:r>
      <w:r w:rsidRPr="00487761">
        <w:rPr>
          <w:bCs/>
          <w:lang w:val="fr-FR"/>
        </w:rPr>
        <w:t>s</w:t>
      </w:r>
      <w:r w:rsidR="00923E72">
        <w:rPr>
          <w:bCs/>
          <w:lang w:val="fr-FR"/>
        </w:rPr>
        <w:t>’</w:t>
      </w:r>
      <w:r w:rsidRPr="00487761">
        <w:rPr>
          <w:bCs/>
          <w:lang w:val="fr-FR"/>
        </w:rPr>
        <w:t>est associée aux remarques formulées par la Slovaquie concernant les sentiments chaleureux suscités par l</w:t>
      </w:r>
      <w:r w:rsidR="00923E72">
        <w:rPr>
          <w:bCs/>
          <w:lang w:val="fr-FR"/>
        </w:rPr>
        <w:t>’</w:t>
      </w:r>
      <w:r w:rsidRPr="00487761">
        <w:rPr>
          <w:bCs/>
          <w:lang w:val="fr-FR"/>
        </w:rPr>
        <w:t xml:space="preserve">expérience de Rabat et le plaisir </w:t>
      </w:r>
      <w:r w:rsidR="005F3CEE">
        <w:rPr>
          <w:bCs/>
          <w:lang w:val="fr-FR"/>
        </w:rPr>
        <w:t xml:space="preserve">ressenti </w:t>
      </w:r>
      <w:r w:rsidR="0024499B">
        <w:rPr>
          <w:bCs/>
          <w:lang w:val="fr-FR"/>
        </w:rPr>
        <w:t>dans cette ville</w:t>
      </w:r>
      <w:r w:rsidRPr="00487761">
        <w:rPr>
          <w:bCs/>
          <w:lang w:val="fr-FR"/>
        </w:rPr>
        <w:t>. La délégation a remercié le Gouvernement et le peuple du Maroc pour les préparatifs impeccables</w:t>
      </w:r>
      <w:r w:rsidR="005F3CEE">
        <w:rPr>
          <w:bCs/>
          <w:lang w:val="fr-FR"/>
        </w:rPr>
        <w:t>,</w:t>
      </w:r>
      <w:r w:rsidR="005410EA">
        <w:rPr>
          <w:bCs/>
          <w:lang w:val="fr-FR"/>
        </w:rPr>
        <w:t xml:space="preserve"> </w:t>
      </w:r>
      <w:r w:rsidRPr="00487761">
        <w:rPr>
          <w:bCs/>
          <w:lang w:val="fr-FR"/>
        </w:rPr>
        <w:t>ainsi que tous ceux qui avaient œuvré jour et nuit pour faire de cette réunion un grand succès. Elle a remercié le Sous-Directeur général, le Secrétaire et l</w:t>
      </w:r>
      <w:r w:rsidR="00923E72">
        <w:rPr>
          <w:bCs/>
          <w:lang w:val="fr-FR"/>
        </w:rPr>
        <w:t>’</w:t>
      </w:r>
      <w:r w:rsidRPr="00487761">
        <w:rPr>
          <w:bCs/>
          <w:lang w:val="fr-FR"/>
        </w:rPr>
        <w:t>ensemble du Secrétariat</w:t>
      </w:r>
      <w:r w:rsidR="00EA53A1">
        <w:rPr>
          <w:bCs/>
          <w:lang w:val="fr-FR"/>
        </w:rPr>
        <w:t>,</w:t>
      </w:r>
      <w:r w:rsidRPr="00487761">
        <w:rPr>
          <w:bCs/>
          <w:lang w:val="fr-FR"/>
        </w:rPr>
        <w:t xml:space="preserve"> qui avaient travaillé sans relâche à la production et à la préparation des documents et de la réunion. En effet, cette réunion était l</w:t>
      </w:r>
      <w:r w:rsidR="00923E72">
        <w:rPr>
          <w:bCs/>
          <w:lang w:val="fr-FR"/>
        </w:rPr>
        <w:t>’</w:t>
      </w:r>
      <w:r w:rsidRPr="00487761">
        <w:rPr>
          <w:bCs/>
          <w:lang w:val="fr-FR"/>
        </w:rPr>
        <w:t>une des meilleures réunions internationales auxquelles elle ait jamais participé. En tant que membre du Comité pour la première fois, cette expérience avait été riche d</w:t>
      </w:r>
      <w:r w:rsidR="00923E72">
        <w:rPr>
          <w:bCs/>
          <w:lang w:val="fr-FR"/>
        </w:rPr>
        <w:t>’</w:t>
      </w:r>
      <w:r w:rsidRPr="00487761">
        <w:rPr>
          <w:bCs/>
          <w:lang w:val="fr-FR"/>
        </w:rPr>
        <w:t>enseignements. La délégation</w:t>
      </w:r>
      <w:r w:rsidR="00DA6019">
        <w:rPr>
          <w:bCs/>
          <w:lang w:val="fr-FR"/>
        </w:rPr>
        <w:t>, qui</w:t>
      </w:r>
      <w:r w:rsidRPr="00487761">
        <w:rPr>
          <w:bCs/>
          <w:lang w:val="fr-FR"/>
        </w:rPr>
        <w:t xml:space="preserve"> avait pris conscience de la difficulté du travail de l</w:t>
      </w:r>
      <w:r w:rsidR="00923E72">
        <w:rPr>
          <w:bCs/>
          <w:lang w:val="fr-FR"/>
        </w:rPr>
        <w:t>’</w:t>
      </w:r>
      <w:r w:rsidRPr="00487761">
        <w:rPr>
          <w:bCs/>
          <w:lang w:val="fr-FR"/>
        </w:rPr>
        <w:t>Organe d</w:t>
      </w:r>
      <w:r w:rsidR="00923E72">
        <w:rPr>
          <w:bCs/>
          <w:lang w:val="fr-FR"/>
        </w:rPr>
        <w:t>’</w:t>
      </w:r>
      <w:r w:rsidRPr="00487761">
        <w:rPr>
          <w:bCs/>
          <w:lang w:val="fr-FR"/>
        </w:rPr>
        <w:t>évaluation</w:t>
      </w:r>
      <w:r w:rsidR="00DA6019">
        <w:rPr>
          <w:bCs/>
          <w:lang w:val="fr-FR"/>
        </w:rPr>
        <w:t xml:space="preserve">, </w:t>
      </w:r>
      <w:r w:rsidRPr="00487761">
        <w:rPr>
          <w:bCs/>
          <w:lang w:val="fr-FR"/>
        </w:rPr>
        <w:t>a remercié les experts pour la diligence dont ils avaient fait preuve. Elle avait également constaté que les méthodes de travail du Comité pou</w:t>
      </w:r>
      <w:r w:rsidR="00DA6019">
        <w:rPr>
          <w:bCs/>
          <w:lang w:val="fr-FR"/>
        </w:rPr>
        <w:t>rr</w:t>
      </w:r>
      <w:r w:rsidRPr="00487761">
        <w:rPr>
          <w:bCs/>
          <w:lang w:val="fr-FR"/>
        </w:rPr>
        <w:t>aient être améliorées</w:t>
      </w:r>
      <w:r w:rsidR="00DA6019">
        <w:rPr>
          <w:bCs/>
          <w:lang w:val="fr-FR"/>
        </w:rPr>
        <w:t>,</w:t>
      </w:r>
      <w:r w:rsidRPr="00487761">
        <w:rPr>
          <w:bCs/>
          <w:lang w:val="fr-FR"/>
        </w:rPr>
        <w:t xml:space="preserve"> et elle restait déterminée à contribuer à </w:t>
      </w:r>
      <w:r w:rsidR="00DA6019">
        <w:rPr>
          <w:bCs/>
          <w:lang w:val="fr-FR"/>
        </w:rPr>
        <w:t xml:space="preserve">des </w:t>
      </w:r>
      <w:r w:rsidRPr="00487761">
        <w:rPr>
          <w:bCs/>
          <w:lang w:val="fr-FR"/>
        </w:rPr>
        <w:t>amélioration</w:t>
      </w:r>
      <w:r w:rsidR="00DA6019">
        <w:rPr>
          <w:bCs/>
          <w:lang w:val="fr-FR"/>
        </w:rPr>
        <w:t>s</w:t>
      </w:r>
      <w:r w:rsidRPr="00487761">
        <w:rPr>
          <w:bCs/>
          <w:lang w:val="fr-FR"/>
        </w:rPr>
        <w:t xml:space="preserve"> d</w:t>
      </w:r>
      <w:r w:rsidR="00DA6019">
        <w:rPr>
          <w:bCs/>
          <w:lang w:val="fr-FR"/>
        </w:rPr>
        <w:t>ans</w:t>
      </w:r>
      <w:r w:rsidRPr="00487761">
        <w:rPr>
          <w:bCs/>
          <w:lang w:val="fr-FR"/>
        </w:rPr>
        <w:t xml:space="preserve"> ces domaines. La délégation s</w:t>
      </w:r>
      <w:r w:rsidR="00923E72">
        <w:rPr>
          <w:bCs/>
          <w:lang w:val="fr-FR"/>
        </w:rPr>
        <w:t>’</w:t>
      </w:r>
      <w:r w:rsidRPr="00487761">
        <w:rPr>
          <w:bCs/>
          <w:lang w:val="fr-FR"/>
        </w:rPr>
        <w:t>est réjouie à l</w:t>
      </w:r>
      <w:r w:rsidR="00923E72">
        <w:rPr>
          <w:bCs/>
          <w:lang w:val="fr-FR"/>
        </w:rPr>
        <w:t>’</w:t>
      </w:r>
      <w:r w:rsidRPr="00487761">
        <w:rPr>
          <w:bCs/>
          <w:lang w:val="fr-FR"/>
        </w:rPr>
        <w:t>idée de se rendre au Botswana et a félicité le futur Président et le pays. Elle a conclu son intervention en remerciant le Président pour la qualité et la constance de son leadership ainsi que pour le calme dont il avait fait preuve face à des situations difficiles et à des émotions débordantes, ce qui faisait de cette réunion un succès.</w:t>
      </w:r>
    </w:p>
    <w:p w14:paraId="3D314977" w14:textId="08311478" w:rsidR="00DA6019" w:rsidRDefault="00DA6019" w:rsidP="00D8679F">
      <w:pPr>
        <w:pStyle w:val="Orateurengris"/>
        <w:numPr>
          <w:ilvl w:val="0"/>
          <w:numId w:val="20"/>
        </w:numPr>
        <w:tabs>
          <w:tab w:val="clear" w:pos="567"/>
          <w:tab w:val="left" w:pos="5954"/>
        </w:tabs>
        <w:spacing w:before="120"/>
        <w:ind w:left="709" w:hanging="709"/>
        <w:rPr>
          <w:bCs/>
          <w:lang w:val="fr-FR"/>
        </w:rPr>
      </w:pPr>
      <w:r>
        <w:rPr>
          <w:bCs/>
          <w:lang w:val="fr-FR"/>
        </w:rPr>
        <w:lastRenderedPageBreak/>
        <w:t xml:space="preserve">Le </w:t>
      </w:r>
      <w:r w:rsidRPr="00702497">
        <w:rPr>
          <w:b/>
          <w:lang w:val="fr-FR"/>
        </w:rPr>
        <w:t>Président</w:t>
      </w:r>
      <w:r>
        <w:rPr>
          <w:bCs/>
          <w:lang w:val="fr-FR"/>
        </w:rPr>
        <w:t xml:space="preserve"> a convenu que cette session avait été pleine d</w:t>
      </w:r>
      <w:r w:rsidR="00923E72">
        <w:rPr>
          <w:bCs/>
          <w:lang w:val="fr-FR"/>
        </w:rPr>
        <w:t>’</w:t>
      </w:r>
      <w:r>
        <w:rPr>
          <w:bCs/>
          <w:lang w:val="fr-FR"/>
        </w:rPr>
        <w:t>émotions et a remercié le Bangladesh et tous les délégués.</w:t>
      </w:r>
    </w:p>
    <w:p w14:paraId="1ADFBB62" w14:textId="719CF06E" w:rsidR="00DA6019" w:rsidRDefault="00DA6019" w:rsidP="00D8679F">
      <w:pPr>
        <w:pStyle w:val="Orateurengris"/>
        <w:numPr>
          <w:ilvl w:val="0"/>
          <w:numId w:val="20"/>
        </w:numPr>
        <w:tabs>
          <w:tab w:val="clear" w:pos="567"/>
          <w:tab w:val="left" w:pos="5954"/>
        </w:tabs>
        <w:spacing w:before="120"/>
        <w:ind w:left="709" w:hanging="709"/>
        <w:rPr>
          <w:bCs/>
          <w:lang w:val="fr-FR"/>
        </w:rPr>
      </w:pPr>
      <w:r w:rsidRPr="00DA6019">
        <w:rPr>
          <w:bCs/>
          <w:lang w:val="fr-FR"/>
        </w:rPr>
        <w:t>La délégation de l</w:t>
      </w:r>
      <w:r w:rsidR="00923E72">
        <w:rPr>
          <w:bCs/>
          <w:lang w:val="fr-FR"/>
        </w:rPr>
        <w:t>’</w:t>
      </w:r>
      <w:r w:rsidRPr="00702497">
        <w:rPr>
          <w:b/>
          <w:lang w:val="fr-FR"/>
        </w:rPr>
        <w:t>Ouzbékistan</w:t>
      </w:r>
      <w:r w:rsidRPr="00DA6019">
        <w:rPr>
          <w:bCs/>
          <w:lang w:val="fr-FR"/>
        </w:rPr>
        <w:t xml:space="preserve"> a souscrit à tout ce qui avait été dit et a fait remarquer qu</w:t>
      </w:r>
      <w:r w:rsidR="00923E72">
        <w:rPr>
          <w:bCs/>
          <w:lang w:val="fr-FR"/>
        </w:rPr>
        <w:t>’</w:t>
      </w:r>
      <w:r w:rsidRPr="00DA6019">
        <w:rPr>
          <w:bCs/>
          <w:lang w:val="fr-FR"/>
        </w:rPr>
        <w:t>elle était extrêmement émue de siéger pour la première fois en tant que membre du Comité. Elle a félicité le Président pour sa conduite efficace et exemplaire de la réunion et pour son leadership, soulignant</w:t>
      </w:r>
      <w:r w:rsidR="00EA53A1">
        <w:rPr>
          <w:bCs/>
          <w:lang w:val="fr-FR"/>
        </w:rPr>
        <w:t>,</w:t>
      </w:r>
      <w:r w:rsidRPr="00DA6019">
        <w:rPr>
          <w:bCs/>
          <w:lang w:val="fr-FR"/>
        </w:rPr>
        <w:t xml:space="preserve"> en particulier</w:t>
      </w:r>
      <w:r w:rsidR="00EA53A1">
        <w:rPr>
          <w:bCs/>
          <w:lang w:val="fr-FR"/>
        </w:rPr>
        <w:t>,</w:t>
      </w:r>
      <w:r w:rsidRPr="00DA6019">
        <w:rPr>
          <w:bCs/>
          <w:lang w:val="fr-FR"/>
        </w:rPr>
        <w:t xml:space="preserve"> </w:t>
      </w:r>
      <w:r w:rsidR="005F3CEE">
        <w:rPr>
          <w:bCs/>
          <w:lang w:val="fr-FR"/>
        </w:rPr>
        <w:t>l</w:t>
      </w:r>
      <w:r w:rsidR="00923E72">
        <w:rPr>
          <w:bCs/>
          <w:lang w:val="fr-FR"/>
        </w:rPr>
        <w:t>’</w:t>
      </w:r>
      <w:r w:rsidR="005F3CEE">
        <w:rPr>
          <w:bCs/>
          <w:lang w:val="fr-FR"/>
        </w:rPr>
        <w:t xml:space="preserve">accueil </w:t>
      </w:r>
      <w:r w:rsidRPr="00DA6019">
        <w:rPr>
          <w:bCs/>
          <w:lang w:val="fr-FR"/>
        </w:rPr>
        <w:t>reçu à Rabat. La délégation a félicité le Secrétariat, le Secrétaire et le Sous-Directeur général pour les quarante</w:t>
      </w:r>
      <w:r>
        <w:rPr>
          <w:bCs/>
          <w:lang w:val="fr-FR"/>
        </w:rPr>
        <w:noBreakHyphen/>
      </w:r>
      <w:r w:rsidRPr="00DA6019">
        <w:rPr>
          <w:bCs/>
          <w:lang w:val="fr-FR"/>
        </w:rPr>
        <w:t xml:space="preserve">sept nouveaux éléments inscrits sur les </w:t>
      </w:r>
      <w:r>
        <w:rPr>
          <w:bCs/>
          <w:lang w:val="fr-FR"/>
        </w:rPr>
        <w:t>l</w:t>
      </w:r>
      <w:r w:rsidRPr="00DA6019">
        <w:rPr>
          <w:bCs/>
          <w:lang w:val="fr-FR"/>
        </w:rPr>
        <w:t>istes, liés à jamais à Rabat par les communautés et les États, qui se rappelleraient toujours l</w:t>
      </w:r>
      <w:r w:rsidR="00923E72">
        <w:rPr>
          <w:bCs/>
          <w:lang w:val="fr-FR"/>
        </w:rPr>
        <w:t>’</w:t>
      </w:r>
      <w:r w:rsidRPr="00DA6019">
        <w:rPr>
          <w:bCs/>
          <w:lang w:val="fr-FR"/>
        </w:rPr>
        <w:t>hospitalité de ce grand pays. Il était certain que les</w:t>
      </w:r>
      <w:r w:rsidR="005F3CEE">
        <w:rPr>
          <w:bCs/>
          <w:lang w:val="fr-FR"/>
        </w:rPr>
        <w:t> </w:t>
      </w:r>
      <w:r w:rsidRPr="00DA6019">
        <w:rPr>
          <w:bCs/>
          <w:lang w:val="fr-FR"/>
        </w:rPr>
        <w:t>122 pays représentés regagneraient leur pays et parleraient de cette merveilleuse réunion. Il a adressé ses vœux de réussite pour le prochain cycle à l</w:t>
      </w:r>
      <w:r w:rsidR="00923E72">
        <w:rPr>
          <w:bCs/>
          <w:lang w:val="fr-FR"/>
        </w:rPr>
        <w:t>’</w:t>
      </w:r>
      <w:r w:rsidRPr="00DA6019">
        <w:rPr>
          <w:bCs/>
          <w:lang w:val="fr-FR"/>
        </w:rPr>
        <w:t>Organe d</w:t>
      </w:r>
      <w:r w:rsidR="00923E72">
        <w:rPr>
          <w:bCs/>
          <w:lang w:val="fr-FR"/>
        </w:rPr>
        <w:t>’</w:t>
      </w:r>
      <w:r w:rsidRPr="00DA6019">
        <w:rPr>
          <w:bCs/>
          <w:lang w:val="fr-FR"/>
        </w:rPr>
        <w:t>évaluation nouvellement élu ainsi qu</w:t>
      </w:r>
      <w:r w:rsidR="00923E72">
        <w:rPr>
          <w:bCs/>
          <w:lang w:val="fr-FR"/>
        </w:rPr>
        <w:t>’</w:t>
      </w:r>
      <w:r w:rsidRPr="00DA6019">
        <w:rPr>
          <w:bCs/>
          <w:lang w:val="fr-FR"/>
        </w:rPr>
        <w:t>au Botswana.</w:t>
      </w:r>
    </w:p>
    <w:p w14:paraId="3E3F4211" w14:textId="28FE8F63" w:rsidR="00DA6019" w:rsidRDefault="00DA6019" w:rsidP="00D8679F">
      <w:pPr>
        <w:pStyle w:val="Orateurengris"/>
        <w:numPr>
          <w:ilvl w:val="0"/>
          <w:numId w:val="20"/>
        </w:numPr>
        <w:tabs>
          <w:tab w:val="clear" w:pos="567"/>
          <w:tab w:val="left" w:pos="5954"/>
        </w:tabs>
        <w:spacing w:before="120"/>
        <w:ind w:left="709" w:hanging="709"/>
        <w:rPr>
          <w:bCs/>
          <w:lang w:val="fr-FR"/>
        </w:rPr>
      </w:pPr>
      <w:r w:rsidRPr="00DA6019">
        <w:rPr>
          <w:bCs/>
          <w:lang w:val="fr-FR"/>
        </w:rPr>
        <w:t xml:space="preserve">Le </w:t>
      </w:r>
      <w:r w:rsidRPr="00702497">
        <w:rPr>
          <w:b/>
          <w:lang w:val="fr-FR"/>
        </w:rPr>
        <w:t>Président</w:t>
      </w:r>
      <w:r w:rsidRPr="00DA6019">
        <w:rPr>
          <w:bCs/>
          <w:lang w:val="fr-FR"/>
        </w:rPr>
        <w:t xml:space="preserve"> a remercié l</w:t>
      </w:r>
      <w:r w:rsidR="00923E72">
        <w:rPr>
          <w:bCs/>
          <w:lang w:val="fr-FR"/>
        </w:rPr>
        <w:t>’</w:t>
      </w:r>
      <w:r w:rsidRPr="00DA6019">
        <w:rPr>
          <w:bCs/>
          <w:lang w:val="fr-FR"/>
        </w:rPr>
        <w:t xml:space="preserve">Ouzbékistan pour ses </w:t>
      </w:r>
      <w:r>
        <w:rPr>
          <w:bCs/>
          <w:lang w:val="fr-FR"/>
        </w:rPr>
        <w:t xml:space="preserve">paroles </w:t>
      </w:r>
      <w:r w:rsidRPr="00DA6019">
        <w:rPr>
          <w:bCs/>
          <w:lang w:val="fr-FR"/>
        </w:rPr>
        <w:t>aimables, ajoutant qu</w:t>
      </w:r>
      <w:r w:rsidR="00923E72">
        <w:rPr>
          <w:bCs/>
          <w:lang w:val="fr-FR"/>
        </w:rPr>
        <w:t>’</w:t>
      </w:r>
      <w:r w:rsidRPr="00DA6019">
        <w:rPr>
          <w:bCs/>
          <w:lang w:val="fr-FR"/>
        </w:rPr>
        <w:t>il était très reconnaissant et content d</w:t>
      </w:r>
      <w:r w:rsidR="00923E72">
        <w:rPr>
          <w:bCs/>
          <w:lang w:val="fr-FR"/>
        </w:rPr>
        <w:t>’</w:t>
      </w:r>
      <w:r w:rsidRPr="00DA6019">
        <w:rPr>
          <w:bCs/>
          <w:lang w:val="fr-FR"/>
        </w:rPr>
        <w:t>avoir travaillé avec toutes les personnes réunies dans cet esprit incroyable, ce qui était un honneur pour lui et pour le Maroc. Cette session marquerait un tournant dans la Convention et la session au Botswana serait tout aussi incroyable.</w:t>
      </w:r>
    </w:p>
    <w:p w14:paraId="41AC4CFA" w14:textId="6558D85D" w:rsidR="00D774DF" w:rsidRDefault="00D774DF" w:rsidP="00D8679F">
      <w:pPr>
        <w:pStyle w:val="Orateurengris"/>
        <w:numPr>
          <w:ilvl w:val="0"/>
          <w:numId w:val="20"/>
        </w:numPr>
        <w:tabs>
          <w:tab w:val="clear" w:pos="567"/>
          <w:tab w:val="left" w:pos="5954"/>
        </w:tabs>
        <w:spacing w:before="120"/>
        <w:ind w:left="709" w:hanging="709"/>
        <w:rPr>
          <w:bCs/>
          <w:lang w:val="fr-FR"/>
        </w:rPr>
      </w:pPr>
      <w:r w:rsidRPr="00D774DF">
        <w:rPr>
          <w:bCs/>
          <w:lang w:val="fr-FR"/>
        </w:rPr>
        <w:t xml:space="preserve">La délégation de la </w:t>
      </w:r>
      <w:r w:rsidRPr="00702497">
        <w:rPr>
          <w:b/>
          <w:lang w:val="fr-FR"/>
        </w:rPr>
        <w:t>République de Corée</w:t>
      </w:r>
      <w:r w:rsidRPr="00D774DF">
        <w:rPr>
          <w:bCs/>
          <w:lang w:val="fr-FR"/>
        </w:rPr>
        <w:t xml:space="preserve"> a remercié le Président et le Secrétariat pour </w:t>
      </w:r>
      <w:r w:rsidR="00B31848">
        <w:rPr>
          <w:bCs/>
          <w:lang w:val="fr-FR"/>
        </w:rPr>
        <w:t xml:space="preserve">cette réunion, dont la </w:t>
      </w:r>
      <w:r w:rsidRPr="00D774DF">
        <w:rPr>
          <w:bCs/>
          <w:lang w:val="fr-FR"/>
        </w:rPr>
        <w:t>préparation</w:t>
      </w:r>
      <w:r w:rsidR="00B31848">
        <w:rPr>
          <w:bCs/>
          <w:lang w:val="fr-FR"/>
        </w:rPr>
        <w:t xml:space="preserve"> était</w:t>
      </w:r>
      <w:r w:rsidRPr="00D774DF">
        <w:rPr>
          <w:bCs/>
          <w:lang w:val="fr-FR"/>
        </w:rPr>
        <w:t xml:space="preserve"> marquée par la compétence</w:t>
      </w:r>
      <w:r w:rsidR="00B31848">
        <w:rPr>
          <w:bCs/>
          <w:lang w:val="fr-FR"/>
        </w:rPr>
        <w:t xml:space="preserve"> et l</w:t>
      </w:r>
      <w:r w:rsidR="00923E72">
        <w:rPr>
          <w:bCs/>
          <w:lang w:val="fr-FR"/>
        </w:rPr>
        <w:t>’</w:t>
      </w:r>
      <w:r w:rsidR="00B31848">
        <w:rPr>
          <w:bCs/>
          <w:lang w:val="fr-FR"/>
        </w:rPr>
        <w:t>excellence,</w:t>
      </w:r>
      <w:r w:rsidRPr="00D774DF">
        <w:rPr>
          <w:bCs/>
          <w:lang w:val="fr-FR"/>
        </w:rPr>
        <w:t xml:space="preserve"> </w:t>
      </w:r>
      <w:r>
        <w:rPr>
          <w:bCs/>
          <w:lang w:val="fr-FR"/>
        </w:rPr>
        <w:t xml:space="preserve">ce </w:t>
      </w:r>
      <w:r w:rsidRPr="00D774DF">
        <w:rPr>
          <w:bCs/>
          <w:lang w:val="fr-FR"/>
        </w:rPr>
        <w:t>qui avait permis d</w:t>
      </w:r>
      <w:r w:rsidR="00923E72">
        <w:rPr>
          <w:bCs/>
          <w:lang w:val="fr-FR"/>
        </w:rPr>
        <w:t>’</w:t>
      </w:r>
      <w:r w:rsidRPr="00D774DF">
        <w:rPr>
          <w:bCs/>
          <w:lang w:val="fr-FR"/>
        </w:rPr>
        <w:t>en assurer le succès. Elle a remercié tout particulièrement le Maroc pour sa chaleureuse et très aimable hospitalité, qui constitue en soi un élément du patrimoine culturel immatériel. La réunion avait été ponctuée de plusieurs moments émouvants</w:t>
      </w:r>
      <w:r w:rsidR="00720BA6">
        <w:rPr>
          <w:bCs/>
          <w:lang w:val="fr-FR"/>
        </w:rPr>
        <w:t>,</w:t>
      </w:r>
      <w:r w:rsidRPr="00D774DF">
        <w:rPr>
          <w:bCs/>
          <w:lang w:val="fr-FR"/>
        </w:rPr>
        <w:t xml:space="preserve"> qui confirmaient la solidarité de l</w:t>
      </w:r>
      <w:r w:rsidR="00923E72">
        <w:rPr>
          <w:bCs/>
          <w:lang w:val="fr-FR"/>
        </w:rPr>
        <w:t>’</w:t>
      </w:r>
      <w:r w:rsidRPr="00D774DF">
        <w:rPr>
          <w:bCs/>
          <w:lang w:val="fr-FR"/>
        </w:rPr>
        <w:t>humanité. La République de Corée était extrêmement heureuse de constater que la Convention est pertinente</w:t>
      </w:r>
      <w:r w:rsidR="00BD2C06">
        <w:rPr>
          <w:bCs/>
          <w:lang w:val="fr-FR"/>
        </w:rPr>
        <w:t xml:space="preserve"> et</w:t>
      </w:r>
      <w:r w:rsidRPr="00D774DF">
        <w:rPr>
          <w:bCs/>
          <w:lang w:val="fr-FR"/>
        </w:rPr>
        <w:t xml:space="preserve"> forte</w:t>
      </w:r>
      <w:r w:rsidR="00BD2C06">
        <w:rPr>
          <w:bCs/>
          <w:lang w:val="fr-FR"/>
        </w:rPr>
        <w:t>,</w:t>
      </w:r>
      <w:r w:rsidRPr="00D774DF">
        <w:rPr>
          <w:bCs/>
          <w:lang w:val="fr-FR"/>
        </w:rPr>
        <w:t xml:space="preserve"> et qu</w:t>
      </w:r>
      <w:r w:rsidR="00BD2C06">
        <w:rPr>
          <w:bCs/>
          <w:lang w:val="fr-FR"/>
        </w:rPr>
        <w:t xml:space="preserve">e son </w:t>
      </w:r>
      <w:r w:rsidR="00BD2C06" w:rsidRPr="00BD2C06">
        <w:rPr>
          <w:bCs/>
          <w:lang w:val="fr-FR"/>
        </w:rPr>
        <w:t>développement</w:t>
      </w:r>
      <w:r w:rsidR="00BD2C06">
        <w:rPr>
          <w:bCs/>
          <w:lang w:val="fr-FR"/>
        </w:rPr>
        <w:t xml:space="preserve"> se poursuit</w:t>
      </w:r>
      <w:r w:rsidRPr="00D774DF">
        <w:rPr>
          <w:bCs/>
          <w:lang w:val="fr-FR"/>
        </w:rPr>
        <w:t>.</w:t>
      </w:r>
    </w:p>
    <w:p w14:paraId="4D641506" w14:textId="1C715662" w:rsidR="00D774DF" w:rsidRDefault="00D774DF" w:rsidP="00D774DF">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félicité l</w:t>
      </w:r>
      <w:r w:rsidR="00923E72">
        <w:rPr>
          <w:bCs/>
          <w:lang w:val="fr-FR"/>
        </w:rPr>
        <w:t>’</w:t>
      </w:r>
      <w:r>
        <w:rPr>
          <w:bCs/>
          <w:lang w:val="fr-FR"/>
        </w:rPr>
        <w:t xml:space="preserve">équipe de la </w:t>
      </w:r>
      <w:r w:rsidRPr="00D774DF">
        <w:rPr>
          <w:bCs/>
          <w:lang w:val="fr-FR"/>
        </w:rPr>
        <w:t>République</w:t>
      </w:r>
      <w:r>
        <w:rPr>
          <w:bCs/>
          <w:lang w:val="fr-FR"/>
        </w:rPr>
        <w:t xml:space="preserve"> de Corée et toutes les autres équipes des membres du Comité</w:t>
      </w:r>
      <w:r w:rsidR="00B31848">
        <w:rPr>
          <w:bCs/>
          <w:lang w:val="fr-FR"/>
        </w:rPr>
        <w:t>, du</w:t>
      </w:r>
      <w:r>
        <w:rPr>
          <w:bCs/>
          <w:lang w:val="fr-FR"/>
        </w:rPr>
        <w:t xml:space="preserve"> Brésil, </w:t>
      </w:r>
      <w:r w:rsidR="00B31848">
        <w:rPr>
          <w:bCs/>
          <w:lang w:val="fr-FR"/>
        </w:rPr>
        <w:t>du</w:t>
      </w:r>
      <w:r>
        <w:rPr>
          <w:bCs/>
          <w:lang w:val="fr-FR"/>
        </w:rPr>
        <w:t xml:space="preserve"> Maroc</w:t>
      </w:r>
      <w:r w:rsidR="00B31848">
        <w:rPr>
          <w:bCs/>
          <w:lang w:val="fr-FR"/>
        </w:rPr>
        <w:t xml:space="preserve">, de </w:t>
      </w:r>
      <w:r>
        <w:rPr>
          <w:bCs/>
          <w:lang w:val="fr-FR"/>
        </w:rPr>
        <w:t xml:space="preserve">la Suisse </w:t>
      </w:r>
      <w:r w:rsidR="00B31848">
        <w:rPr>
          <w:bCs/>
          <w:lang w:val="fr-FR"/>
        </w:rPr>
        <w:t xml:space="preserve">et </w:t>
      </w:r>
      <w:r>
        <w:rPr>
          <w:bCs/>
          <w:lang w:val="fr-FR"/>
        </w:rPr>
        <w:t>tou</w:t>
      </w:r>
      <w:r w:rsidR="00B31848">
        <w:rPr>
          <w:bCs/>
          <w:lang w:val="fr-FR"/>
        </w:rPr>
        <w:t>s</w:t>
      </w:r>
      <w:r>
        <w:rPr>
          <w:bCs/>
          <w:lang w:val="fr-FR"/>
        </w:rPr>
        <w:t xml:space="preserve"> les autres.</w:t>
      </w:r>
    </w:p>
    <w:p w14:paraId="5904872A" w14:textId="7D2AF05C" w:rsidR="00D774DF" w:rsidRDefault="00551963" w:rsidP="00D774DF">
      <w:pPr>
        <w:pStyle w:val="Orateurengris"/>
        <w:numPr>
          <w:ilvl w:val="0"/>
          <w:numId w:val="20"/>
        </w:numPr>
        <w:tabs>
          <w:tab w:val="clear" w:pos="567"/>
          <w:tab w:val="left" w:pos="5954"/>
        </w:tabs>
        <w:spacing w:before="120"/>
        <w:ind w:left="709" w:hanging="709"/>
        <w:rPr>
          <w:bCs/>
          <w:lang w:val="fr-FR"/>
        </w:rPr>
      </w:pPr>
      <w:r w:rsidRPr="00551963">
        <w:rPr>
          <w:bCs/>
          <w:lang w:val="fr-FR"/>
        </w:rPr>
        <w:t xml:space="preserve">La délégation de la </w:t>
      </w:r>
      <w:r w:rsidRPr="00702497">
        <w:rPr>
          <w:b/>
          <w:lang w:val="fr-FR"/>
        </w:rPr>
        <w:t>Malaisie</w:t>
      </w:r>
      <w:r w:rsidRPr="00551963">
        <w:rPr>
          <w:bCs/>
          <w:lang w:val="fr-FR"/>
        </w:rPr>
        <w:t xml:space="preserve"> a souligné l</w:t>
      </w:r>
      <w:r w:rsidR="00923E72">
        <w:rPr>
          <w:bCs/>
          <w:lang w:val="fr-FR"/>
        </w:rPr>
        <w:t>’</w:t>
      </w:r>
      <w:r w:rsidRPr="00551963">
        <w:rPr>
          <w:bCs/>
          <w:lang w:val="fr-FR"/>
        </w:rPr>
        <w:t xml:space="preserve">expérience intéressante, colorée et enchanteresse, qui laisserait de beaux souvenirs de cette culture étonnante. En tant que membre du Comité pour la première fois, elle croyait véritablement que les échanges et les points de vue partagés tout au long de la semaine signifiaient que, bien que certaines décisions aient été prises au terme de grandes délibérations et </w:t>
      </w:r>
      <w:r>
        <w:rPr>
          <w:bCs/>
          <w:lang w:val="fr-FR"/>
        </w:rPr>
        <w:t>en relevant</w:t>
      </w:r>
      <w:r w:rsidRPr="00551963">
        <w:rPr>
          <w:bCs/>
          <w:lang w:val="fr-FR"/>
        </w:rPr>
        <w:t xml:space="preserve"> de nombreux défis, elles avaient été prises de bonne foi dans l</w:t>
      </w:r>
      <w:r w:rsidR="00923E72">
        <w:rPr>
          <w:bCs/>
          <w:lang w:val="fr-FR"/>
        </w:rPr>
        <w:t>’</w:t>
      </w:r>
      <w:r w:rsidRPr="00551963">
        <w:rPr>
          <w:bCs/>
          <w:lang w:val="fr-FR"/>
        </w:rPr>
        <w:t>esprit de la Convention. Cette expérience s</w:t>
      </w:r>
      <w:r w:rsidR="00923E72">
        <w:rPr>
          <w:bCs/>
          <w:lang w:val="fr-FR"/>
        </w:rPr>
        <w:t>’</w:t>
      </w:r>
      <w:r w:rsidRPr="00551963">
        <w:rPr>
          <w:bCs/>
          <w:lang w:val="fr-FR"/>
        </w:rPr>
        <w:t>était avérée très enrichissante. La Malaisie a félicité tous les États parties qui étaient parvenus à inscrire leurs éléments ainsi que les membres nouvellement élus de l</w:t>
      </w:r>
      <w:r w:rsidR="00923E72">
        <w:rPr>
          <w:bCs/>
          <w:lang w:val="fr-FR"/>
        </w:rPr>
        <w:t>’</w:t>
      </w:r>
      <w:r w:rsidRPr="00551963">
        <w:rPr>
          <w:bCs/>
          <w:lang w:val="fr-FR"/>
        </w:rPr>
        <w:t>Organe d</w:t>
      </w:r>
      <w:r w:rsidR="00923E72">
        <w:rPr>
          <w:bCs/>
          <w:lang w:val="fr-FR"/>
        </w:rPr>
        <w:t>’</w:t>
      </w:r>
      <w:r w:rsidRPr="00551963">
        <w:rPr>
          <w:bCs/>
          <w:lang w:val="fr-FR"/>
        </w:rPr>
        <w:t>évaluation. Elle a remercié tous les membres du Comité pour leurs contributions motivantes et leur apport dans un esprit de solidarité et de coopération. La délégation a souligné la sagesse, la chaleur et la méthode remarquable du Président ainsi que sa préparation minutieuse</w:t>
      </w:r>
      <w:r w:rsidR="00CF714A">
        <w:rPr>
          <w:bCs/>
          <w:lang w:val="fr-FR"/>
        </w:rPr>
        <w:t xml:space="preserve"> de la session</w:t>
      </w:r>
      <w:r w:rsidRPr="00551963">
        <w:rPr>
          <w:bCs/>
          <w:lang w:val="fr-FR"/>
        </w:rPr>
        <w:t xml:space="preserve">, qui </w:t>
      </w:r>
      <w:r w:rsidR="00CF714A">
        <w:rPr>
          <w:bCs/>
          <w:lang w:val="fr-FR"/>
        </w:rPr>
        <w:t xml:space="preserve">lui </w:t>
      </w:r>
      <w:r w:rsidRPr="00551963">
        <w:rPr>
          <w:bCs/>
          <w:lang w:val="fr-FR"/>
        </w:rPr>
        <w:t>avaient permis de diriger avec succès la réunion dans le véritable esprit de l</w:t>
      </w:r>
      <w:r w:rsidR="00923E72">
        <w:rPr>
          <w:bCs/>
          <w:lang w:val="fr-FR"/>
        </w:rPr>
        <w:t>’</w:t>
      </w:r>
      <w:r w:rsidRPr="00551963">
        <w:rPr>
          <w:bCs/>
          <w:lang w:val="fr-FR"/>
        </w:rPr>
        <w:t>hospitalité et de la culture marocaines. La Malaisie a exprimé sa profonde gratitude au Sous-Directeur général, au Secrétaire et à l</w:t>
      </w:r>
      <w:r w:rsidR="00923E72">
        <w:rPr>
          <w:bCs/>
          <w:lang w:val="fr-FR"/>
        </w:rPr>
        <w:t>’</w:t>
      </w:r>
      <w:r w:rsidRPr="00551963">
        <w:rPr>
          <w:bCs/>
          <w:lang w:val="fr-FR"/>
        </w:rPr>
        <w:t>ensemble du Secrétariat, à l</w:t>
      </w:r>
      <w:r w:rsidR="00923E72">
        <w:rPr>
          <w:bCs/>
          <w:lang w:val="fr-FR"/>
        </w:rPr>
        <w:t>’</w:t>
      </w:r>
      <w:r w:rsidRPr="00551963">
        <w:rPr>
          <w:bCs/>
          <w:lang w:val="fr-FR"/>
        </w:rPr>
        <w:t>Organe d</w:t>
      </w:r>
      <w:r w:rsidR="00923E72">
        <w:rPr>
          <w:bCs/>
          <w:lang w:val="fr-FR"/>
        </w:rPr>
        <w:t>’</w:t>
      </w:r>
      <w:r w:rsidRPr="00551963">
        <w:rPr>
          <w:bCs/>
          <w:lang w:val="fr-FR"/>
        </w:rPr>
        <w:t>évaluation, aux interprètes et à tous ceux qui, dans les coulisses, avaient travaillé sans relâche tout au long de l</w:t>
      </w:r>
      <w:r w:rsidR="00923E72">
        <w:rPr>
          <w:bCs/>
          <w:lang w:val="fr-FR"/>
        </w:rPr>
        <w:t>’</w:t>
      </w:r>
      <w:r w:rsidRPr="00551963">
        <w:rPr>
          <w:bCs/>
          <w:lang w:val="fr-FR"/>
        </w:rPr>
        <w:t>année</w:t>
      </w:r>
      <w:r w:rsidR="005410EA">
        <w:rPr>
          <w:bCs/>
          <w:lang w:val="fr-FR"/>
        </w:rPr>
        <w:t xml:space="preserve"> </w:t>
      </w:r>
      <w:r w:rsidRPr="00551963">
        <w:rPr>
          <w:bCs/>
          <w:lang w:val="fr-FR"/>
        </w:rPr>
        <w:t xml:space="preserve">ainsi que </w:t>
      </w:r>
      <w:r w:rsidR="00CF714A">
        <w:rPr>
          <w:bCs/>
          <w:lang w:val="fr-FR"/>
        </w:rPr>
        <w:t xml:space="preserve">pour </w:t>
      </w:r>
      <w:r w:rsidRPr="00551963">
        <w:rPr>
          <w:bCs/>
          <w:lang w:val="fr-FR"/>
        </w:rPr>
        <w:t>la préparation de l</w:t>
      </w:r>
      <w:r w:rsidR="00923E72">
        <w:rPr>
          <w:bCs/>
          <w:lang w:val="fr-FR"/>
        </w:rPr>
        <w:t>’</w:t>
      </w:r>
      <w:r w:rsidRPr="00551963">
        <w:rPr>
          <w:bCs/>
          <w:lang w:val="fr-FR"/>
        </w:rPr>
        <w:t>Assemblée générale. Cette réunion n</w:t>
      </w:r>
      <w:r w:rsidR="00923E72">
        <w:rPr>
          <w:bCs/>
          <w:lang w:val="fr-FR"/>
        </w:rPr>
        <w:t>’</w:t>
      </w:r>
      <w:r w:rsidRPr="00551963">
        <w:rPr>
          <w:bCs/>
          <w:lang w:val="fr-FR"/>
        </w:rPr>
        <w:t>aurait pas été possible sans l</w:t>
      </w:r>
      <w:r w:rsidR="00923E72">
        <w:rPr>
          <w:bCs/>
          <w:lang w:val="fr-FR"/>
        </w:rPr>
        <w:t>’</w:t>
      </w:r>
      <w:r w:rsidRPr="00551963">
        <w:rPr>
          <w:bCs/>
          <w:lang w:val="fr-FR"/>
        </w:rPr>
        <w:t>immense contribution de l</w:t>
      </w:r>
      <w:r w:rsidR="00923E72">
        <w:rPr>
          <w:bCs/>
          <w:lang w:val="fr-FR"/>
        </w:rPr>
        <w:t>’</w:t>
      </w:r>
      <w:r w:rsidRPr="00551963">
        <w:rPr>
          <w:bCs/>
          <w:lang w:val="fr-FR"/>
        </w:rPr>
        <w:t>Organe d</w:t>
      </w:r>
      <w:r w:rsidR="00923E72">
        <w:rPr>
          <w:bCs/>
          <w:lang w:val="fr-FR"/>
        </w:rPr>
        <w:t>’</w:t>
      </w:r>
      <w:r w:rsidRPr="00551963">
        <w:rPr>
          <w:bCs/>
          <w:lang w:val="fr-FR"/>
        </w:rPr>
        <w:t>évaluation. La Malaisie a partagé une phrase du Pantun [en malais], sa candidature conjointe avec l</w:t>
      </w:r>
      <w:r w:rsidR="00923E72">
        <w:rPr>
          <w:bCs/>
          <w:lang w:val="fr-FR"/>
        </w:rPr>
        <w:t>’</w:t>
      </w:r>
      <w:r w:rsidRPr="00551963">
        <w:rPr>
          <w:bCs/>
          <w:lang w:val="fr-FR"/>
        </w:rPr>
        <w:t>Indonésie inscrite sur la Liste représentative en</w:t>
      </w:r>
      <w:r w:rsidR="00AF6B98">
        <w:rPr>
          <w:bCs/>
          <w:lang w:val="fr-FR"/>
        </w:rPr>
        <w:t> </w:t>
      </w:r>
      <w:r w:rsidRPr="00551963">
        <w:rPr>
          <w:bCs/>
          <w:lang w:val="fr-FR"/>
        </w:rPr>
        <w:t>2020, pour souhaiter se retrouver au Botswana, en formulant des vœux de réussite à son attention pour l</w:t>
      </w:r>
      <w:r w:rsidR="00923E72">
        <w:rPr>
          <w:bCs/>
          <w:lang w:val="fr-FR"/>
        </w:rPr>
        <w:t>’</w:t>
      </w:r>
      <w:r w:rsidRPr="00551963">
        <w:rPr>
          <w:bCs/>
          <w:lang w:val="fr-FR"/>
        </w:rPr>
        <w:t>accueil de la prochaine session.</w:t>
      </w:r>
    </w:p>
    <w:p w14:paraId="5CEEDD3D" w14:textId="3B188FE8" w:rsidR="00CF714A" w:rsidRDefault="00CF714A" w:rsidP="00D774DF">
      <w:pPr>
        <w:pStyle w:val="Orateurengris"/>
        <w:numPr>
          <w:ilvl w:val="0"/>
          <w:numId w:val="20"/>
        </w:numPr>
        <w:tabs>
          <w:tab w:val="clear" w:pos="567"/>
          <w:tab w:val="left" w:pos="5954"/>
        </w:tabs>
        <w:spacing w:before="120"/>
        <w:ind w:left="709" w:hanging="709"/>
        <w:rPr>
          <w:bCs/>
          <w:lang w:val="fr-FR"/>
        </w:rPr>
      </w:pPr>
      <w:r w:rsidRPr="00CF714A">
        <w:rPr>
          <w:bCs/>
          <w:lang w:val="fr-FR"/>
        </w:rPr>
        <w:t xml:space="preserve">La délégation du </w:t>
      </w:r>
      <w:r w:rsidRPr="00702497">
        <w:rPr>
          <w:b/>
          <w:lang w:val="fr-FR"/>
        </w:rPr>
        <w:t>Paraguay</w:t>
      </w:r>
      <w:r w:rsidRPr="00CF714A">
        <w:rPr>
          <w:bCs/>
          <w:lang w:val="fr-FR"/>
        </w:rPr>
        <w:t xml:space="preserve"> a repris à son compte les remerciements et, comme il s</w:t>
      </w:r>
      <w:r w:rsidR="00923E72">
        <w:rPr>
          <w:bCs/>
          <w:lang w:val="fr-FR"/>
        </w:rPr>
        <w:t>’</w:t>
      </w:r>
      <w:r w:rsidRPr="00CF714A">
        <w:rPr>
          <w:bCs/>
          <w:lang w:val="fr-FR"/>
        </w:rPr>
        <w:t>agissait de sa première expérience au sein du Comité, elle garderait dans son cœur la grâce de la réunion. Elle a déclaré en guarani qu</w:t>
      </w:r>
      <w:r w:rsidR="00923E72">
        <w:rPr>
          <w:bCs/>
          <w:lang w:val="fr-FR"/>
        </w:rPr>
        <w:t>’</w:t>
      </w:r>
      <w:r w:rsidRPr="00CF714A">
        <w:rPr>
          <w:bCs/>
          <w:lang w:val="fr-FR"/>
        </w:rPr>
        <w:t>elle était reconnaissante au noble pays qu</w:t>
      </w:r>
      <w:r w:rsidR="00923E72">
        <w:rPr>
          <w:bCs/>
          <w:lang w:val="fr-FR"/>
        </w:rPr>
        <w:t>’</w:t>
      </w:r>
      <w:r w:rsidRPr="00CF714A">
        <w:rPr>
          <w:bCs/>
          <w:lang w:val="fr-FR"/>
        </w:rPr>
        <w:t>est le Maroc d</w:t>
      </w:r>
      <w:r w:rsidR="00923E72">
        <w:rPr>
          <w:bCs/>
          <w:lang w:val="fr-FR"/>
        </w:rPr>
        <w:t>’</w:t>
      </w:r>
      <w:r w:rsidRPr="00CF714A">
        <w:rPr>
          <w:bCs/>
          <w:lang w:val="fr-FR"/>
        </w:rPr>
        <w:t>avoir accueilli le Comité et d</w:t>
      </w:r>
      <w:r w:rsidR="00923E72">
        <w:rPr>
          <w:bCs/>
          <w:lang w:val="fr-FR"/>
        </w:rPr>
        <w:t>’</w:t>
      </w:r>
      <w:r w:rsidRPr="00CF714A">
        <w:rPr>
          <w:bCs/>
          <w:lang w:val="fr-FR"/>
        </w:rPr>
        <w:t>avoir permis aux délégués de vivre l</w:t>
      </w:r>
      <w:r w:rsidR="00923E72">
        <w:rPr>
          <w:bCs/>
          <w:lang w:val="fr-FR"/>
        </w:rPr>
        <w:t>’</w:t>
      </w:r>
      <w:r w:rsidRPr="00CF714A">
        <w:rPr>
          <w:bCs/>
          <w:lang w:val="fr-FR"/>
        </w:rPr>
        <w:t>expérience de Rabat. La délégation a remercié toute l</w:t>
      </w:r>
      <w:r w:rsidR="00923E72">
        <w:rPr>
          <w:bCs/>
          <w:lang w:val="fr-FR"/>
        </w:rPr>
        <w:t>’</w:t>
      </w:r>
      <w:r w:rsidRPr="00CF714A">
        <w:rPr>
          <w:bCs/>
          <w:lang w:val="fr-FR"/>
        </w:rPr>
        <w:t>Organisation, le Secrétariat, l</w:t>
      </w:r>
      <w:r w:rsidR="00923E72">
        <w:rPr>
          <w:bCs/>
          <w:lang w:val="fr-FR"/>
        </w:rPr>
        <w:t>’</w:t>
      </w:r>
      <w:r w:rsidRPr="00CF714A">
        <w:rPr>
          <w:bCs/>
          <w:lang w:val="fr-FR"/>
        </w:rPr>
        <w:t>Organe d</w:t>
      </w:r>
      <w:r w:rsidR="00923E72">
        <w:rPr>
          <w:bCs/>
          <w:lang w:val="fr-FR"/>
        </w:rPr>
        <w:t>’</w:t>
      </w:r>
      <w:r w:rsidRPr="00CF714A">
        <w:rPr>
          <w:bCs/>
          <w:lang w:val="fr-FR"/>
        </w:rPr>
        <w:t>évaluation et tous ceux qui avaient travaillé pour cette réunion et avaient offert un véritable festival du patrimoine culturel immatériel, dont la passion et l</w:t>
      </w:r>
      <w:r w:rsidR="00923E72">
        <w:rPr>
          <w:bCs/>
          <w:lang w:val="fr-FR"/>
        </w:rPr>
        <w:t>’</w:t>
      </w:r>
      <w:r w:rsidRPr="00CF714A">
        <w:rPr>
          <w:bCs/>
          <w:lang w:val="fr-FR"/>
        </w:rPr>
        <w:t>engagement avaient été ressentis et vécus au cours de ces quelques jours. La délégation a souligné la générosité d</w:t>
      </w:r>
      <w:r>
        <w:rPr>
          <w:bCs/>
          <w:lang w:val="fr-FR"/>
        </w:rPr>
        <w:t xml:space="preserve">u savoir </w:t>
      </w:r>
      <w:r w:rsidRPr="00CF714A">
        <w:rPr>
          <w:bCs/>
          <w:lang w:val="fr-FR"/>
        </w:rPr>
        <w:t xml:space="preserve">et la patience dont </w:t>
      </w:r>
      <w:r w:rsidRPr="00CF714A">
        <w:rPr>
          <w:bCs/>
          <w:lang w:val="fr-FR"/>
        </w:rPr>
        <w:lastRenderedPageBreak/>
        <w:t>avait fait preuve le Président dans la manière dont il avait présidé les travaux, ce dont elle lui était extrêmement reconnaissante. Elle était émerveillée par la beauté de Rabat et de ses habitants</w:t>
      </w:r>
      <w:r w:rsidR="00720BA6">
        <w:rPr>
          <w:bCs/>
          <w:lang w:val="fr-FR"/>
        </w:rPr>
        <w:t>,</w:t>
      </w:r>
      <w:r w:rsidRPr="00CF714A">
        <w:rPr>
          <w:bCs/>
          <w:lang w:val="fr-FR"/>
        </w:rPr>
        <w:t xml:space="preserve"> qui avaient accueilli les délégués avec tant d</w:t>
      </w:r>
      <w:r w:rsidR="00923E72">
        <w:rPr>
          <w:bCs/>
          <w:lang w:val="fr-FR"/>
        </w:rPr>
        <w:t>’</w:t>
      </w:r>
      <w:r w:rsidRPr="00CF714A">
        <w:rPr>
          <w:bCs/>
          <w:lang w:val="fr-FR"/>
        </w:rPr>
        <w:t>hospitalité et de gentillesse. Les délégations repartiraient le cœur plein de bonheur après cette expérience incroyable et inoubliable.</w:t>
      </w:r>
    </w:p>
    <w:p w14:paraId="614A202A" w14:textId="6BD6AD83" w:rsidR="00CF714A" w:rsidRDefault="00CF714A" w:rsidP="00D774DF">
      <w:pPr>
        <w:pStyle w:val="Orateurengris"/>
        <w:numPr>
          <w:ilvl w:val="0"/>
          <w:numId w:val="20"/>
        </w:numPr>
        <w:tabs>
          <w:tab w:val="clear" w:pos="567"/>
          <w:tab w:val="left" w:pos="5954"/>
        </w:tabs>
        <w:spacing w:before="120"/>
        <w:ind w:left="709" w:hanging="709"/>
        <w:rPr>
          <w:bCs/>
          <w:lang w:val="fr-FR"/>
        </w:rPr>
      </w:pPr>
      <w:r w:rsidRPr="00CF714A">
        <w:rPr>
          <w:bCs/>
          <w:lang w:val="fr-FR"/>
        </w:rPr>
        <w:t xml:space="preserve">Le </w:t>
      </w:r>
      <w:r w:rsidRPr="00702497">
        <w:rPr>
          <w:b/>
          <w:lang w:val="fr-FR"/>
        </w:rPr>
        <w:t>Président</w:t>
      </w:r>
      <w:r w:rsidRPr="00CF714A">
        <w:rPr>
          <w:bCs/>
          <w:lang w:val="fr-FR"/>
        </w:rPr>
        <w:t xml:space="preserve"> a remercié le Paraguay pour le moment émouvant, touchant et inoubliable </w:t>
      </w:r>
      <w:r w:rsidR="00AF0987">
        <w:rPr>
          <w:bCs/>
          <w:lang w:val="fr-FR"/>
        </w:rPr>
        <w:t xml:space="preserve">vécu </w:t>
      </w:r>
      <w:r w:rsidRPr="00CF714A">
        <w:rPr>
          <w:bCs/>
          <w:lang w:val="fr-FR"/>
        </w:rPr>
        <w:t>la veille.</w:t>
      </w:r>
    </w:p>
    <w:p w14:paraId="22B4E818" w14:textId="6D212C1E" w:rsidR="00CF714A" w:rsidRDefault="0001230A">
      <w:pPr>
        <w:pStyle w:val="Orateurengris"/>
        <w:numPr>
          <w:ilvl w:val="0"/>
          <w:numId w:val="20"/>
        </w:numPr>
        <w:tabs>
          <w:tab w:val="clear" w:pos="567"/>
          <w:tab w:val="left" w:pos="5954"/>
        </w:tabs>
        <w:spacing w:before="120"/>
        <w:ind w:left="709" w:hanging="709"/>
        <w:rPr>
          <w:bCs/>
          <w:lang w:val="fr-FR"/>
        </w:rPr>
      </w:pPr>
      <w:r w:rsidRPr="0001230A">
        <w:rPr>
          <w:bCs/>
          <w:lang w:val="fr-FR"/>
        </w:rPr>
        <w:t xml:space="preserve">La délégation du </w:t>
      </w:r>
      <w:r w:rsidRPr="00702497">
        <w:rPr>
          <w:b/>
          <w:lang w:val="fr-FR"/>
        </w:rPr>
        <w:t>Panama</w:t>
      </w:r>
      <w:r w:rsidRPr="0001230A">
        <w:rPr>
          <w:bCs/>
          <w:lang w:val="fr-FR"/>
        </w:rPr>
        <w:t xml:space="preserve"> a évoqué sa première session en </w:t>
      </w:r>
      <w:r w:rsidR="00080E9A">
        <w:rPr>
          <w:bCs/>
          <w:lang w:val="fr-FR"/>
        </w:rPr>
        <w:t xml:space="preserve">personne </w:t>
      </w:r>
      <w:r w:rsidRPr="0001230A">
        <w:rPr>
          <w:bCs/>
          <w:lang w:val="fr-FR"/>
        </w:rPr>
        <w:t>en tant que membre du Comité, vécue à Rabat au contact de la chaleur de son peuple</w:t>
      </w:r>
      <w:r>
        <w:rPr>
          <w:bCs/>
          <w:lang w:val="fr-FR"/>
        </w:rPr>
        <w:t xml:space="preserve">, </w:t>
      </w:r>
      <w:r w:rsidRPr="0001230A">
        <w:rPr>
          <w:bCs/>
          <w:lang w:val="fr-FR"/>
        </w:rPr>
        <w:t>où elle avait pu défendre et représenter le patrimoine vivant du monde. Le Maroc avait donné cette opportunité au Comité, et la délégation a remercié tous ceux qui avaient rendu cette expérience possible, qu</w:t>
      </w:r>
      <w:r w:rsidR="00923E72">
        <w:rPr>
          <w:bCs/>
          <w:lang w:val="fr-FR"/>
        </w:rPr>
        <w:t>’</w:t>
      </w:r>
      <w:r w:rsidRPr="0001230A">
        <w:rPr>
          <w:bCs/>
          <w:lang w:val="fr-FR"/>
        </w:rPr>
        <w:t>il s</w:t>
      </w:r>
      <w:r w:rsidR="00923E72">
        <w:rPr>
          <w:bCs/>
          <w:lang w:val="fr-FR"/>
        </w:rPr>
        <w:t>’</w:t>
      </w:r>
      <w:r w:rsidRPr="0001230A">
        <w:rPr>
          <w:bCs/>
          <w:lang w:val="fr-FR"/>
        </w:rPr>
        <w:t>agisse des personnes travaillant dans les coulisses, du Secrétariat pour son soutien tout au long du processus, et de tous les membres du Bureau</w:t>
      </w:r>
      <w:r w:rsidR="00080E9A">
        <w:rPr>
          <w:bCs/>
          <w:lang w:val="fr-FR"/>
        </w:rPr>
        <w:t>,</w:t>
      </w:r>
      <w:r w:rsidRPr="0001230A">
        <w:rPr>
          <w:bCs/>
          <w:lang w:val="fr-FR"/>
        </w:rPr>
        <w:t xml:space="preserve"> qui travaillaient dans un véritable esprit de consensus, en ne faisant qu</w:t>
      </w:r>
      <w:r w:rsidR="00923E72">
        <w:rPr>
          <w:bCs/>
          <w:lang w:val="fr-FR"/>
        </w:rPr>
        <w:t>’</w:t>
      </w:r>
      <w:r w:rsidRPr="0001230A">
        <w:rPr>
          <w:bCs/>
          <w:lang w:val="fr-FR"/>
        </w:rPr>
        <w:t>un. La délégation a également remercié les membres du Comité et les observateurs. Lors des débats du Comité, les membres avaient toujours à l</w:t>
      </w:r>
      <w:r w:rsidR="00923E72">
        <w:rPr>
          <w:bCs/>
          <w:lang w:val="fr-FR"/>
        </w:rPr>
        <w:t>’</w:t>
      </w:r>
      <w:r w:rsidRPr="0001230A">
        <w:rPr>
          <w:bCs/>
          <w:lang w:val="fr-FR"/>
        </w:rPr>
        <w:t>esprit les communautés et leur culture vivante, ce qui était le plus important. Elle a remercié le Président pour son excellente conduite des débats, qui avait permis le bon déroulement de la session. La délégation a également remercié les experts pour les débats intéressants qu</w:t>
      </w:r>
      <w:r w:rsidR="00923E72">
        <w:rPr>
          <w:bCs/>
          <w:lang w:val="fr-FR"/>
        </w:rPr>
        <w:t>’</w:t>
      </w:r>
      <w:r w:rsidRPr="0001230A">
        <w:rPr>
          <w:bCs/>
          <w:lang w:val="fr-FR"/>
        </w:rPr>
        <w:t>ils avaient suscités et pour leurs recommandations</w:t>
      </w:r>
      <w:r w:rsidR="00720BA6">
        <w:rPr>
          <w:bCs/>
          <w:lang w:val="fr-FR"/>
        </w:rPr>
        <w:t>,</w:t>
      </w:r>
      <w:r w:rsidRPr="0001230A">
        <w:rPr>
          <w:bCs/>
          <w:lang w:val="fr-FR"/>
        </w:rPr>
        <w:t xml:space="preserve"> qui seraient prises en compte à l</w:t>
      </w:r>
      <w:r w:rsidR="00923E72">
        <w:rPr>
          <w:bCs/>
          <w:lang w:val="fr-FR"/>
        </w:rPr>
        <w:t>’</w:t>
      </w:r>
      <w:r w:rsidRPr="0001230A">
        <w:rPr>
          <w:bCs/>
          <w:lang w:val="fr-FR"/>
        </w:rPr>
        <w:t>avenir. Elle a également témoigné de l</w:t>
      </w:r>
      <w:r w:rsidR="00923E72">
        <w:rPr>
          <w:bCs/>
          <w:lang w:val="fr-FR"/>
        </w:rPr>
        <w:t>’</w:t>
      </w:r>
      <w:r w:rsidRPr="0001230A">
        <w:rPr>
          <w:bCs/>
          <w:lang w:val="fr-FR"/>
        </w:rPr>
        <w:t>importance des rapports périodiques, une opportunité de réflexion et de voir la direction que prendrait la Convention à l</w:t>
      </w:r>
      <w:r w:rsidR="00923E72">
        <w:rPr>
          <w:bCs/>
          <w:lang w:val="fr-FR"/>
        </w:rPr>
        <w:t>’</w:t>
      </w:r>
      <w:r w:rsidRPr="0001230A">
        <w:rPr>
          <w:bCs/>
          <w:lang w:val="fr-FR"/>
        </w:rPr>
        <w:t>avenir. La délégation a félicité tous les pays pour l</w:t>
      </w:r>
      <w:r w:rsidR="00923E72">
        <w:rPr>
          <w:bCs/>
          <w:lang w:val="fr-FR"/>
        </w:rPr>
        <w:t>’</w:t>
      </w:r>
      <w:r w:rsidRPr="0001230A">
        <w:rPr>
          <w:bCs/>
          <w:lang w:val="fr-FR"/>
        </w:rPr>
        <w:t xml:space="preserve">inscription de leurs différents éléments </w:t>
      </w:r>
      <w:r>
        <w:rPr>
          <w:bCs/>
          <w:lang w:val="fr-FR"/>
        </w:rPr>
        <w:t>lors de</w:t>
      </w:r>
      <w:r w:rsidRPr="0001230A">
        <w:rPr>
          <w:bCs/>
          <w:lang w:val="fr-FR"/>
        </w:rPr>
        <w:t xml:space="preserve"> cette session</w:t>
      </w:r>
      <w:r w:rsidR="00080E9A">
        <w:rPr>
          <w:bCs/>
          <w:lang w:val="fr-FR"/>
        </w:rPr>
        <w:t xml:space="preserve"> et a</w:t>
      </w:r>
      <w:r w:rsidRPr="0001230A">
        <w:rPr>
          <w:bCs/>
          <w:lang w:val="fr-FR"/>
        </w:rPr>
        <w:t xml:space="preserve"> adress</w:t>
      </w:r>
      <w:r w:rsidR="00080E9A">
        <w:rPr>
          <w:bCs/>
          <w:lang w:val="fr-FR"/>
        </w:rPr>
        <w:t>é</w:t>
      </w:r>
      <w:r w:rsidRPr="0001230A">
        <w:rPr>
          <w:bCs/>
          <w:lang w:val="fr-FR"/>
        </w:rPr>
        <w:t xml:space="preserve"> tous ses vœux au Botswana pour la prochaine session.</w:t>
      </w:r>
    </w:p>
    <w:p w14:paraId="355F2710" w14:textId="2CA65CD5" w:rsidR="0001230A" w:rsidRDefault="0001230A">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w:t>
      </w:r>
      <w:r>
        <w:rPr>
          <w:b/>
          <w:lang w:val="fr-FR"/>
        </w:rPr>
        <w:t>t</w:t>
      </w:r>
      <w:r>
        <w:rPr>
          <w:bCs/>
          <w:lang w:val="fr-FR"/>
        </w:rPr>
        <w:t xml:space="preserve"> a remercié le Panama, le Paraguay et toutes le </w:t>
      </w:r>
      <w:r w:rsidRPr="0001230A">
        <w:rPr>
          <w:bCs/>
          <w:lang w:val="fr-FR"/>
        </w:rPr>
        <w:t>délégatio</w:t>
      </w:r>
      <w:r>
        <w:rPr>
          <w:bCs/>
          <w:lang w:val="fr-FR"/>
        </w:rPr>
        <w:t>ns pour l</w:t>
      </w:r>
      <w:r w:rsidR="00923E72">
        <w:rPr>
          <w:bCs/>
          <w:lang w:val="fr-FR"/>
        </w:rPr>
        <w:t>’</w:t>
      </w:r>
      <w:r>
        <w:rPr>
          <w:bCs/>
          <w:lang w:val="fr-FR"/>
        </w:rPr>
        <w:t xml:space="preserve">excellent travail accompli et leur esprit de </w:t>
      </w:r>
      <w:r w:rsidRPr="0001230A">
        <w:rPr>
          <w:bCs/>
          <w:lang w:val="fr-FR"/>
        </w:rPr>
        <w:t>coopération</w:t>
      </w:r>
      <w:r>
        <w:rPr>
          <w:bCs/>
          <w:lang w:val="fr-FR"/>
        </w:rPr>
        <w:t>.</w:t>
      </w:r>
    </w:p>
    <w:p w14:paraId="2A6F238D" w14:textId="46FD317D" w:rsidR="0001230A" w:rsidRDefault="004B3DFE">
      <w:pPr>
        <w:pStyle w:val="Orateurengris"/>
        <w:numPr>
          <w:ilvl w:val="0"/>
          <w:numId w:val="20"/>
        </w:numPr>
        <w:tabs>
          <w:tab w:val="clear" w:pos="567"/>
          <w:tab w:val="left" w:pos="5954"/>
        </w:tabs>
        <w:spacing w:before="120"/>
        <w:ind w:left="709" w:hanging="709"/>
        <w:rPr>
          <w:bCs/>
          <w:lang w:val="fr-FR"/>
        </w:rPr>
      </w:pPr>
      <w:r w:rsidRPr="004B3DFE">
        <w:rPr>
          <w:bCs/>
          <w:lang w:val="fr-FR"/>
        </w:rPr>
        <w:t xml:space="preserve">La délégation du </w:t>
      </w:r>
      <w:r w:rsidRPr="00702497">
        <w:rPr>
          <w:b/>
          <w:lang w:val="fr-FR"/>
        </w:rPr>
        <w:t>Pérou</w:t>
      </w:r>
      <w:r w:rsidRPr="004B3DFE">
        <w:rPr>
          <w:bCs/>
          <w:lang w:val="fr-FR"/>
        </w:rPr>
        <w:t xml:space="preserve"> s</w:t>
      </w:r>
      <w:r w:rsidR="00923E72">
        <w:rPr>
          <w:bCs/>
          <w:lang w:val="fr-FR"/>
        </w:rPr>
        <w:t>’</w:t>
      </w:r>
      <w:r w:rsidRPr="004B3DFE">
        <w:rPr>
          <w:bCs/>
          <w:lang w:val="fr-FR"/>
        </w:rPr>
        <w:t>est fait l</w:t>
      </w:r>
      <w:r w:rsidR="00923E72">
        <w:rPr>
          <w:bCs/>
          <w:lang w:val="fr-FR"/>
        </w:rPr>
        <w:t>’</w:t>
      </w:r>
      <w:r w:rsidRPr="004B3DFE">
        <w:rPr>
          <w:bCs/>
          <w:lang w:val="fr-FR"/>
        </w:rPr>
        <w:t>écho des remerciements adressés au Maroc pour son hospitalité et son accueil, un pays riche de culture et de diversité, et également de la chaleur de son peuple. Elle a félicité le Président pour sa conduite impeccable des travaux du Comité, son leadership ayant véritablement permis au Comité d</w:t>
      </w:r>
      <w:r w:rsidR="00923E72">
        <w:rPr>
          <w:bCs/>
          <w:lang w:val="fr-FR"/>
        </w:rPr>
        <w:t>’</w:t>
      </w:r>
      <w:r w:rsidRPr="004B3DFE">
        <w:rPr>
          <w:bCs/>
          <w:lang w:val="fr-FR"/>
        </w:rPr>
        <w:t>atteindre les objectifs de la réunion. La délégation a félicité l</w:t>
      </w:r>
      <w:r w:rsidR="00923E72">
        <w:rPr>
          <w:bCs/>
          <w:lang w:val="fr-FR"/>
        </w:rPr>
        <w:t>’</w:t>
      </w:r>
      <w:r w:rsidRPr="004B3DFE">
        <w:rPr>
          <w:bCs/>
          <w:lang w:val="fr-FR"/>
        </w:rPr>
        <w:t>équipe de l</w:t>
      </w:r>
      <w:r w:rsidR="00923E72">
        <w:rPr>
          <w:bCs/>
          <w:lang w:val="fr-FR"/>
        </w:rPr>
        <w:t>’</w:t>
      </w:r>
      <w:r w:rsidRPr="004B3DFE">
        <w:rPr>
          <w:bCs/>
          <w:lang w:val="fr-FR"/>
        </w:rPr>
        <w:t>UNESCO, le Secrétariat, les membres du Comité et tous ceux qui avaient participé à cette réunion. Elle a félicité tous les États et communautés qui avaient pu inscrire leurs éléments sur les listes de la Convention. La délégation s</w:t>
      </w:r>
      <w:r w:rsidR="00923E72">
        <w:rPr>
          <w:bCs/>
          <w:lang w:val="fr-FR"/>
        </w:rPr>
        <w:t>’</w:t>
      </w:r>
      <w:r w:rsidRPr="004B3DFE">
        <w:rPr>
          <w:bCs/>
          <w:lang w:val="fr-FR"/>
        </w:rPr>
        <w:t>est réjouie que le Botswana accueille la prochaine session du Comité et lui a adressé tous ses vœux de réussite. Elle a remercié l</w:t>
      </w:r>
      <w:r w:rsidR="00923E72">
        <w:rPr>
          <w:bCs/>
          <w:lang w:val="fr-FR"/>
        </w:rPr>
        <w:t>’</w:t>
      </w:r>
      <w:r w:rsidRPr="004B3DFE">
        <w:rPr>
          <w:bCs/>
          <w:lang w:val="fr-FR"/>
        </w:rPr>
        <w:t>Espagne d</w:t>
      </w:r>
      <w:r w:rsidR="00923E72">
        <w:rPr>
          <w:bCs/>
          <w:lang w:val="fr-FR"/>
        </w:rPr>
        <w:t>’</w:t>
      </w:r>
      <w:r w:rsidRPr="004B3DFE">
        <w:rPr>
          <w:bCs/>
          <w:lang w:val="fr-FR"/>
        </w:rPr>
        <w:t>avoir soutenu les États hispanophones afin qu</w:t>
      </w:r>
      <w:r w:rsidR="00923E72">
        <w:rPr>
          <w:bCs/>
          <w:lang w:val="fr-FR"/>
        </w:rPr>
        <w:t>’</w:t>
      </w:r>
      <w:r w:rsidRPr="004B3DFE">
        <w:rPr>
          <w:bCs/>
          <w:lang w:val="fr-FR"/>
        </w:rPr>
        <w:t>ils puissent s</w:t>
      </w:r>
      <w:r w:rsidR="00923E72">
        <w:rPr>
          <w:bCs/>
          <w:lang w:val="fr-FR"/>
        </w:rPr>
        <w:t>’</w:t>
      </w:r>
      <w:r w:rsidRPr="004B3DFE">
        <w:rPr>
          <w:bCs/>
          <w:lang w:val="fr-FR"/>
        </w:rPr>
        <w:t>exprimer dans leur propre langue et a remercié les interprètes pour leur excellent travail.</w:t>
      </w:r>
    </w:p>
    <w:p w14:paraId="38D582D4" w14:textId="2F29E40C" w:rsidR="004B3DFE" w:rsidRDefault="004B3DFE">
      <w:pPr>
        <w:pStyle w:val="Orateurengris"/>
        <w:numPr>
          <w:ilvl w:val="0"/>
          <w:numId w:val="20"/>
        </w:numPr>
        <w:tabs>
          <w:tab w:val="clear" w:pos="567"/>
          <w:tab w:val="left" w:pos="5954"/>
        </w:tabs>
        <w:spacing w:before="120"/>
        <w:ind w:left="709" w:hanging="709"/>
        <w:rPr>
          <w:bCs/>
          <w:lang w:val="fr-FR"/>
        </w:rPr>
      </w:pPr>
      <w:r w:rsidRPr="004B3DFE">
        <w:rPr>
          <w:bCs/>
          <w:lang w:val="fr-FR"/>
        </w:rPr>
        <w:t xml:space="preserve">La délégation de la </w:t>
      </w:r>
      <w:r w:rsidRPr="00702497">
        <w:rPr>
          <w:b/>
          <w:lang w:val="fr-FR"/>
        </w:rPr>
        <w:t>Côte d</w:t>
      </w:r>
      <w:r w:rsidR="00923E72">
        <w:rPr>
          <w:b/>
          <w:lang w:val="fr-FR"/>
        </w:rPr>
        <w:t>’</w:t>
      </w:r>
      <w:r w:rsidRPr="00702497">
        <w:rPr>
          <w:b/>
          <w:lang w:val="fr-FR"/>
        </w:rPr>
        <w:t>Ivoire</w:t>
      </w:r>
      <w:r w:rsidRPr="004B3DFE">
        <w:rPr>
          <w:bCs/>
          <w:lang w:val="fr-FR"/>
        </w:rPr>
        <w:t xml:space="preserve"> a exprimé sa satisfaction quant </w:t>
      </w:r>
      <w:r w:rsidR="008A6BEA">
        <w:rPr>
          <w:bCs/>
          <w:lang w:val="fr-FR"/>
        </w:rPr>
        <w:t xml:space="preserve">à la façon </w:t>
      </w:r>
      <w:r w:rsidRPr="004B3DFE">
        <w:rPr>
          <w:bCs/>
          <w:lang w:val="fr-FR"/>
        </w:rPr>
        <w:t>équilibr</w:t>
      </w:r>
      <w:r w:rsidR="008A6BEA">
        <w:rPr>
          <w:bCs/>
          <w:lang w:val="fr-FR"/>
        </w:rPr>
        <w:t xml:space="preserve">ée et calme dont </w:t>
      </w:r>
      <w:r w:rsidRPr="004B3DFE">
        <w:rPr>
          <w:bCs/>
          <w:lang w:val="fr-FR"/>
        </w:rPr>
        <w:t>le Président avait</w:t>
      </w:r>
      <w:r w:rsidR="008A6BEA">
        <w:rPr>
          <w:bCs/>
          <w:lang w:val="fr-FR"/>
        </w:rPr>
        <w:t xml:space="preserve"> conduit </w:t>
      </w:r>
      <w:r w:rsidRPr="004B3DFE">
        <w:rPr>
          <w:bCs/>
          <w:lang w:val="fr-FR"/>
        </w:rPr>
        <w:t>les travaux du Comité, en félicitant l</w:t>
      </w:r>
      <w:r w:rsidR="00923E72">
        <w:rPr>
          <w:bCs/>
          <w:lang w:val="fr-FR"/>
        </w:rPr>
        <w:t>’</w:t>
      </w:r>
      <w:r w:rsidRPr="004B3DFE">
        <w:rPr>
          <w:bCs/>
          <w:lang w:val="fr-FR"/>
        </w:rPr>
        <w:t>Organe d</w:t>
      </w:r>
      <w:r w:rsidR="00923E72">
        <w:rPr>
          <w:bCs/>
          <w:lang w:val="fr-FR"/>
        </w:rPr>
        <w:t>’</w:t>
      </w:r>
      <w:r w:rsidRPr="004B3DFE">
        <w:rPr>
          <w:bCs/>
          <w:lang w:val="fr-FR"/>
        </w:rPr>
        <w:t xml:space="preserve">évaluation pour son analyse minutieuse et méthodique des dossiers. En effet, ce travail avait permis non seulement de mettre en exergue </w:t>
      </w:r>
      <w:r w:rsidR="001E4B44">
        <w:rPr>
          <w:bCs/>
          <w:lang w:val="fr-FR"/>
        </w:rPr>
        <w:t>d</w:t>
      </w:r>
      <w:r w:rsidRPr="004B3DFE">
        <w:rPr>
          <w:bCs/>
          <w:lang w:val="fr-FR"/>
        </w:rPr>
        <w:t>es aspects encourageants dans les efforts de sauvegarde entrepris par les États parties, mais également de mettre l</w:t>
      </w:r>
      <w:r w:rsidR="00923E72">
        <w:rPr>
          <w:bCs/>
          <w:lang w:val="fr-FR"/>
        </w:rPr>
        <w:t>’</w:t>
      </w:r>
      <w:r w:rsidRPr="004B3DFE">
        <w:rPr>
          <w:bCs/>
          <w:lang w:val="fr-FR"/>
        </w:rPr>
        <w:t xml:space="preserve">accent sur les </w:t>
      </w:r>
      <w:r w:rsidR="008A6BEA">
        <w:rPr>
          <w:bCs/>
          <w:lang w:val="fr-FR"/>
        </w:rPr>
        <w:t xml:space="preserve">insuffisances </w:t>
      </w:r>
      <w:r w:rsidRPr="004B3DFE">
        <w:rPr>
          <w:bCs/>
          <w:lang w:val="fr-FR"/>
        </w:rPr>
        <w:t>récurrentes dans les dossiers soumis au cours de ce cycle. À cet égard, la Côte d</w:t>
      </w:r>
      <w:r w:rsidR="00923E72">
        <w:rPr>
          <w:bCs/>
          <w:lang w:val="fr-FR"/>
        </w:rPr>
        <w:t>’</w:t>
      </w:r>
      <w:r w:rsidRPr="004B3DFE">
        <w:rPr>
          <w:bCs/>
          <w:lang w:val="fr-FR"/>
        </w:rPr>
        <w:t>Ivoire estimait qu</w:t>
      </w:r>
      <w:r w:rsidR="00923E72">
        <w:rPr>
          <w:bCs/>
          <w:lang w:val="fr-FR"/>
        </w:rPr>
        <w:t>’</w:t>
      </w:r>
      <w:r w:rsidRPr="004B3DFE">
        <w:rPr>
          <w:bCs/>
          <w:lang w:val="fr-FR"/>
        </w:rPr>
        <w:t xml:space="preserve">une nouvelle réflexion était nécessaire pour apporter des </w:t>
      </w:r>
      <w:r w:rsidR="008A6BEA">
        <w:rPr>
          <w:bCs/>
          <w:lang w:val="fr-FR"/>
        </w:rPr>
        <w:t xml:space="preserve">précisions </w:t>
      </w:r>
      <w:r w:rsidRPr="004B3DFE">
        <w:rPr>
          <w:bCs/>
          <w:lang w:val="fr-FR"/>
        </w:rPr>
        <w:t>au mécanisme de dialogue afin d</w:t>
      </w:r>
      <w:r w:rsidR="00923E72">
        <w:rPr>
          <w:bCs/>
          <w:lang w:val="fr-FR"/>
        </w:rPr>
        <w:t>’</w:t>
      </w:r>
      <w:r w:rsidRPr="004B3DFE">
        <w:rPr>
          <w:bCs/>
          <w:lang w:val="fr-FR"/>
        </w:rPr>
        <w:t>améliorer la fluidité, l</w:t>
      </w:r>
      <w:r w:rsidR="00923E72">
        <w:rPr>
          <w:bCs/>
          <w:lang w:val="fr-FR"/>
        </w:rPr>
        <w:t>’</w:t>
      </w:r>
      <w:r w:rsidRPr="004B3DFE">
        <w:rPr>
          <w:bCs/>
          <w:lang w:val="fr-FR"/>
        </w:rPr>
        <w:t>objectivité et la compréhension des dossiers. La délégation a remercié le Secrétariat pour son travail sans relâche, colossal et bien organisé. Elle a également remercié le Maroc pour son hospitalité et pour la belle cérémonie d</w:t>
      </w:r>
      <w:r w:rsidR="00923E72">
        <w:rPr>
          <w:bCs/>
          <w:lang w:val="fr-FR"/>
        </w:rPr>
        <w:t>’</w:t>
      </w:r>
      <w:r w:rsidRPr="004B3DFE">
        <w:rPr>
          <w:bCs/>
          <w:lang w:val="fr-FR"/>
        </w:rPr>
        <w:t>ouverture. La délégation a rappelé le débat chargé d</w:t>
      </w:r>
      <w:r w:rsidR="00923E72">
        <w:rPr>
          <w:bCs/>
          <w:lang w:val="fr-FR"/>
        </w:rPr>
        <w:t>’</w:t>
      </w:r>
      <w:r w:rsidRPr="004B3DFE">
        <w:rPr>
          <w:bCs/>
          <w:lang w:val="fr-FR"/>
        </w:rPr>
        <w:t>émotion concernant le point</w:t>
      </w:r>
      <w:r w:rsidR="00080E9A">
        <w:rPr>
          <w:bCs/>
          <w:lang w:val="fr-FR"/>
        </w:rPr>
        <w:t> </w:t>
      </w:r>
      <w:r w:rsidRPr="004B3DFE">
        <w:rPr>
          <w:bCs/>
          <w:lang w:val="fr-FR"/>
        </w:rPr>
        <w:t>8</w:t>
      </w:r>
      <w:r w:rsidR="001E4B44">
        <w:rPr>
          <w:bCs/>
          <w:lang w:val="fr-FR"/>
        </w:rPr>
        <w:t>.</w:t>
      </w:r>
      <w:r w:rsidRPr="004B3DFE">
        <w:rPr>
          <w:bCs/>
          <w:lang w:val="fr-FR"/>
        </w:rPr>
        <w:t>a de l</w:t>
      </w:r>
      <w:r w:rsidR="00923E72">
        <w:rPr>
          <w:bCs/>
          <w:lang w:val="fr-FR"/>
        </w:rPr>
        <w:t>’</w:t>
      </w:r>
      <w:r w:rsidRPr="004B3DFE">
        <w:rPr>
          <w:bCs/>
          <w:lang w:val="fr-FR"/>
        </w:rPr>
        <w:t>ordre du jour, mais s</w:t>
      </w:r>
      <w:r w:rsidR="00923E72">
        <w:rPr>
          <w:bCs/>
          <w:lang w:val="fr-FR"/>
        </w:rPr>
        <w:t>’</w:t>
      </w:r>
      <w:r w:rsidRPr="004B3DFE">
        <w:rPr>
          <w:bCs/>
          <w:lang w:val="fr-FR"/>
        </w:rPr>
        <w:t xml:space="preserve">est </w:t>
      </w:r>
      <w:r w:rsidR="00BB59FA">
        <w:rPr>
          <w:bCs/>
          <w:lang w:val="fr-FR"/>
        </w:rPr>
        <w:t xml:space="preserve">réjouie </w:t>
      </w:r>
      <w:r w:rsidRPr="004B3DFE">
        <w:rPr>
          <w:bCs/>
          <w:lang w:val="fr-FR"/>
        </w:rPr>
        <w:t>de la meilleure réaction possible de la part de l</w:t>
      </w:r>
      <w:r w:rsidR="00923E72">
        <w:rPr>
          <w:bCs/>
          <w:lang w:val="fr-FR"/>
        </w:rPr>
        <w:t>’</w:t>
      </w:r>
      <w:r w:rsidRPr="004B3DFE">
        <w:rPr>
          <w:bCs/>
          <w:lang w:val="fr-FR"/>
        </w:rPr>
        <w:t>État partie concerné et a félicité la Belgique pour son esprit de collaboration</w:t>
      </w:r>
      <w:r w:rsidR="00BB59FA">
        <w:rPr>
          <w:bCs/>
          <w:lang w:val="fr-FR"/>
        </w:rPr>
        <w:t>,</w:t>
      </w:r>
      <w:r w:rsidRPr="004B3DFE">
        <w:rPr>
          <w:bCs/>
          <w:lang w:val="fr-FR"/>
        </w:rPr>
        <w:t xml:space="preserve"> qui avait contribué à maintenir la cohésion au sein du Comité.</w:t>
      </w:r>
    </w:p>
    <w:p w14:paraId="6C1C146F" w14:textId="159E62F7" w:rsidR="001E4B44" w:rsidRDefault="001E4B44">
      <w:pPr>
        <w:pStyle w:val="Orateurengris"/>
        <w:numPr>
          <w:ilvl w:val="0"/>
          <w:numId w:val="20"/>
        </w:numPr>
        <w:tabs>
          <w:tab w:val="clear" w:pos="567"/>
          <w:tab w:val="left" w:pos="5954"/>
        </w:tabs>
        <w:spacing w:before="120"/>
        <w:ind w:left="709" w:hanging="709"/>
        <w:rPr>
          <w:bCs/>
          <w:lang w:val="fr-FR"/>
        </w:rPr>
      </w:pPr>
      <w:r w:rsidRPr="001E4B44">
        <w:rPr>
          <w:bCs/>
          <w:lang w:val="fr-FR"/>
        </w:rPr>
        <w:t xml:space="preserve">La délégation de la </w:t>
      </w:r>
      <w:r w:rsidRPr="00702497">
        <w:rPr>
          <w:b/>
          <w:lang w:val="fr-FR"/>
        </w:rPr>
        <w:t>Tchéquie</w:t>
      </w:r>
      <w:r w:rsidRPr="001E4B44">
        <w:rPr>
          <w:bCs/>
          <w:lang w:val="fr-FR"/>
        </w:rPr>
        <w:t xml:space="preserve"> a souscrit à tout ce qui avait été dit dans les interventions</w:t>
      </w:r>
      <w:r w:rsidR="008A6BEA">
        <w:rPr>
          <w:bCs/>
          <w:lang w:val="fr-FR"/>
        </w:rPr>
        <w:t xml:space="preserve"> précédentes</w:t>
      </w:r>
      <w:r w:rsidRPr="001E4B44">
        <w:rPr>
          <w:bCs/>
          <w:lang w:val="fr-FR"/>
        </w:rPr>
        <w:t>, s</w:t>
      </w:r>
      <w:r w:rsidR="00923E72">
        <w:rPr>
          <w:bCs/>
          <w:lang w:val="fr-FR"/>
        </w:rPr>
        <w:t>’</w:t>
      </w:r>
      <w:r w:rsidRPr="001E4B44">
        <w:rPr>
          <w:bCs/>
          <w:lang w:val="fr-FR"/>
        </w:rPr>
        <w:t>associant aux remerciements adressés au Maroc et au Président pour ses gestes d</w:t>
      </w:r>
      <w:r w:rsidR="00923E72">
        <w:rPr>
          <w:bCs/>
          <w:lang w:val="fr-FR"/>
        </w:rPr>
        <w:t>’</w:t>
      </w:r>
      <w:r w:rsidRPr="001E4B44">
        <w:rPr>
          <w:bCs/>
          <w:lang w:val="fr-FR"/>
        </w:rPr>
        <w:t>affection. Elle a remercié le Secrétaire et toute son équipe</w:t>
      </w:r>
      <w:r w:rsidR="005B684A">
        <w:rPr>
          <w:bCs/>
          <w:lang w:val="fr-FR"/>
        </w:rPr>
        <w:t xml:space="preserve">, </w:t>
      </w:r>
      <w:r w:rsidRPr="001E4B44">
        <w:rPr>
          <w:bCs/>
          <w:lang w:val="fr-FR"/>
        </w:rPr>
        <w:t xml:space="preserve">qui avaient travaillé très </w:t>
      </w:r>
      <w:r w:rsidRPr="001E4B44">
        <w:rPr>
          <w:bCs/>
          <w:lang w:val="fr-FR"/>
        </w:rPr>
        <w:lastRenderedPageBreak/>
        <w:t>dur, ainsi que l</w:t>
      </w:r>
      <w:r w:rsidR="00923E72">
        <w:rPr>
          <w:bCs/>
          <w:lang w:val="fr-FR"/>
        </w:rPr>
        <w:t>’</w:t>
      </w:r>
      <w:r w:rsidRPr="001E4B44">
        <w:rPr>
          <w:bCs/>
          <w:lang w:val="fr-FR"/>
        </w:rPr>
        <w:t>Organe d</w:t>
      </w:r>
      <w:r w:rsidR="00923E72">
        <w:rPr>
          <w:bCs/>
          <w:lang w:val="fr-FR"/>
        </w:rPr>
        <w:t>’</w:t>
      </w:r>
      <w:r w:rsidRPr="001E4B44">
        <w:rPr>
          <w:bCs/>
          <w:lang w:val="fr-FR"/>
        </w:rPr>
        <w:t xml:space="preserve">évaluation pour la préparation des excellents dossiers. La délégation a remercié les interprètes et toutes les personnes qui accueillaient les délégués, toujours avec le sourire. Elle </w:t>
      </w:r>
      <w:r>
        <w:rPr>
          <w:bCs/>
          <w:lang w:val="fr-FR"/>
        </w:rPr>
        <w:t xml:space="preserve">a </w:t>
      </w:r>
      <w:r w:rsidR="00645C35">
        <w:rPr>
          <w:bCs/>
          <w:lang w:val="fr-FR"/>
        </w:rPr>
        <w:t xml:space="preserve">évoqué </w:t>
      </w:r>
      <w:r>
        <w:rPr>
          <w:bCs/>
          <w:lang w:val="fr-FR"/>
        </w:rPr>
        <w:t xml:space="preserve">son bonheur </w:t>
      </w:r>
      <w:r w:rsidRPr="001E4B44">
        <w:rPr>
          <w:bCs/>
          <w:lang w:val="fr-FR"/>
        </w:rPr>
        <w:t>de s</w:t>
      </w:r>
      <w:r>
        <w:rPr>
          <w:bCs/>
          <w:lang w:val="fr-FR"/>
        </w:rPr>
        <w:t>e retrouver</w:t>
      </w:r>
      <w:r w:rsidRPr="001E4B44">
        <w:rPr>
          <w:bCs/>
          <w:lang w:val="fr-FR"/>
        </w:rPr>
        <w:t xml:space="preserve"> </w:t>
      </w:r>
      <w:r>
        <w:rPr>
          <w:bCs/>
          <w:lang w:val="fr-FR"/>
        </w:rPr>
        <w:t xml:space="preserve">en </w:t>
      </w:r>
      <w:r w:rsidRPr="001E4B44">
        <w:rPr>
          <w:bCs/>
          <w:lang w:val="fr-FR"/>
        </w:rPr>
        <w:t>face à face après deux années de sessions virtuelles et d</w:t>
      </w:r>
      <w:r>
        <w:rPr>
          <w:bCs/>
          <w:lang w:val="fr-FR"/>
        </w:rPr>
        <w:t xml:space="preserve">e faire </w:t>
      </w:r>
      <w:r w:rsidRPr="001E4B44">
        <w:rPr>
          <w:bCs/>
          <w:lang w:val="fr-FR"/>
        </w:rPr>
        <w:t>l</w:t>
      </w:r>
      <w:r w:rsidR="00923E72">
        <w:rPr>
          <w:bCs/>
          <w:lang w:val="fr-FR"/>
        </w:rPr>
        <w:t>’</w:t>
      </w:r>
      <w:r w:rsidRPr="001E4B44">
        <w:rPr>
          <w:bCs/>
          <w:lang w:val="fr-FR"/>
        </w:rPr>
        <w:t>expérience de l</w:t>
      </w:r>
      <w:r w:rsidR="00923E72">
        <w:rPr>
          <w:bCs/>
          <w:lang w:val="fr-FR"/>
        </w:rPr>
        <w:t>’</w:t>
      </w:r>
      <w:r w:rsidRPr="001E4B44">
        <w:rPr>
          <w:bCs/>
          <w:lang w:val="fr-FR"/>
        </w:rPr>
        <w:t>hospitalité du Maroc. La délégation a remercié toutes les personnes qui avaient contribué au succès de la réunion et s</w:t>
      </w:r>
      <w:r w:rsidR="00923E72">
        <w:rPr>
          <w:bCs/>
          <w:lang w:val="fr-FR"/>
        </w:rPr>
        <w:t>’</w:t>
      </w:r>
      <w:r w:rsidRPr="001E4B44">
        <w:rPr>
          <w:bCs/>
          <w:lang w:val="fr-FR"/>
        </w:rPr>
        <w:t>est réjouie de se retrouver à nouveau au Botswana, qu</w:t>
      </w:r>
      <w:r w:rsidR="00923E72">
        <w:rPr>
          <w:bCs/>
          <w:lang w:val="fr-FR"/>
        </w:rPr>
        <w:t>’</w:t>
      </w:r>
      <w:r w:rsidRPr="001E4B44">
        <w:rPr>
          <w:bCs/>
          <w:lang w:val="fr-FR"/>
        </w:rPr>
        <w:t xml:space="preserve">elle </w:t>
      </w:r>
      <w:r w:rsidR="00645C35">
        <w:rPr>
          <w:bCs/>
          <w:lang w:val="fr-FR"/>
        </w:rPr>
        <w:t xml:space="preserve">a remercié </w:t>
      </w:r>
      <w:r w:rsidRPr="001E4B44">
        <w:rPr>
          <w:bCs/>
          <w:lang w:val="fr-FR"/>
        </w:rPr>
        <w:t>d</w:t>
      </w:r>
      <w:r w:rsidR="00923E72">
        <w:rPr>
          <w:bCs/>
          <w:lang w:val="fr-FR"/>
        </w:rPr>
        <w:t>’</w:t>
      </w:r>
      <w:r w:rsidRPr="001E4B44">
        <w:rPr>
          <w:bCs/>
          <w:lang w:val="fr-FR"/>
        </w:rPr>
        <w:t>accueillir la prochaine réunion.</w:t>
      </w:r>
    </w:p>
    <w:p w14:paraId="37564496" w14:textId="621975A0" w:rsidR="00645C35" w:rsidRDefault="00B124A7">
      <w:pPr>
        <w:pStyle w:val="Orateurengris"/>
        <w:numPr>
          <w:ilvl w:val="0"/>
          <w:numId w:val="20"/>
        </w:numPr>
        <w:tabs>
          <w:tab w:val="clear" w:pos="567"/>
          <w:tab w:val="left" w:pos="5954"/>
        </w:tabs>
        <w:spacing w:before="120"/>
        <w:ind w:left="709" w:hanging="709"/>
        <w:rPr>
          <w:bCs/>
          <w:lang w:val="fr-FR"/>
        </w:rPr>
      </w:pPr>
      <w:r w:rsidRPr="00B124A7">
        <w:rPr>
          <w:bCs/>
          <w:lang w:val="fr-FR"/>
        </w:rPr>
        <w:t>L</w:t>
      </w:r>
      <w:r w:rsidR="00BB59FA">
        <w:rPr>
          <w:bCs/>
          <w:lang w:val="fr-FR"/>
        </w:rPr>
        <w:t>e représentant de la</w:t>
      </w:r>
      <w:r w:rsidRPr="00B124A7">
        <w:rPr>
          <w:bCs/>
          <w:lang w:val="fr-FR"/>
        </w:rPr>
        <w:t xml:space="preserve"> délégation de l</w:t>
      </w:r>
      <w:r w:rsidR="00923E72">
        <w:rPr>
          <w:bCs/>
          <w:lang w:val="fr-FR"/>
        </w:rPr>
        <w:t>’</w:t>
      </w:r>
      <w:r w:rsidRPr="00702497">
        <w:rPr>
          <w:b/>
          <w:lang w:val="fr-FR"/>
        </w:rPr>
        <w:t>Inde</w:t>
      </w:r>
      <w:r w:rsidRPr="00B124A7">
        <w:rPr>
          <w:bCs/>
          <w:lang w:val="fr-FR"/>
        </w:rPr>
        <w:t xml:space="preserve"> s</w:t>
      </w:r>
      <w:r w:rsidR="00923E72">
        <w:rPr>
          <w:bCs/>
          <w:lang w:val="fr-FR"/>
        </w:rPr>
        <w:t>’</w:t>
      </w:r>
      <w:r w:rsidRPr="00B124A7">
        <w:rPr>
          <w:bCs/>
          <w:lang w:val="fr-FR"/>
        </w:rPr>
        <w:t xml:space="preserve">est souvenu [à titre personnel] de </w:t>
      </w:r>
      <w:r w:rsidR="00BB59FA">
        <w:rPr>
          <w:bCs/>
          <w:lang w:val="fr-FR"/>
        </w:rPr>
        <w:t>sa</w:t>
      </w:r>
      <w:r w:rsidRPr="00B124A7">
        <w:rPr>
          <w:bCs/>
          <w:lang w:val="fr-FR"/>
        </w:rPr>
        <w:t xml:space="preserve"> première </w:t>
      </w:r>
      <w:r w:rsidR="00BB59FA">
        <w:rPr>
          <w:bCs/>
          <w:lang w:val="fr-FR"/>
        </w:rPr>
        <w:t xml:space="preserve">invitation à dîner chez </w:t>
      </w:r>
      <w:r w:rsidRPr="00B124A7">
        <w:rPr>
          <w:bCs/>
          <w:lang w:val="fr-FR"/>
        </w:rPr>
        <w:t>le Président</w:t>
      </w:r>
      <w:r w:rsidR="00BB59FA">
        <w:rPr>
          <w:bCs/>
          <w:lang w:val="fr-FR"/>
        </w:rPr>
        <w:t xml:space="preserve">, </w:t>
      </w:r>
      <w:r w:rsidRPr="00B124A7">
        <w:rPr>
          <w:bCs/>
          <w:lang w:val="fr-FR"/>
        </w:rPr>
        <w:t xml:space="preserve">à Paris. </w:t>
      </w:r>
      <w:r w:rsidR="00BB59FA">
        <w:rPr>
          <w:bCs/>
          <w:lang w:val="fr-FR"/>
        </w:rPr>
        <w:t>Le délégué indien</w:t>
      </w:r>
      <w:r w:rsidRPr="00B124A7">
        <w:rPr>
          <w:bCs/>
          <w:lang w:val="fr-FR"/>
        </w:rPr>
        <w:t xml:space="preserve"> lui avait dit qu</w:t>
      </w:r>
      <w:r w:rsidR="00923E72">
        <w:rPr>
          <w:bCs/>
          <w:lang w:val="fr-FR"/>
        </w:rPr>
        <w:t>’</w:t>
      </w:r>
      <w:r w:rsidRPr="00B124A7">
        <w:rPr>
          <w:bCs/>
          <w:lang w:val="fr-FR"/>
        </w:rPr>
        <w:t xml:space="preserve">il était végétarien, mais au lieu de lui </w:t>
      </w:r>
      <w:r w:rsidR="00BB59FA">
        <w:rPr>
          <w:bCs/>
          <w:lang w:val="fr-FR"/>
        </w:rPr>
        <w:t>répondre : « A</w:t>
      </w:r>
      <w:r w:rsidRPr="00B124A7">
        <w:rPr>
          <w:bCs/>
          <w:lang w:val="fr-FR"/>
        </w:rPr>
        <w:t>lors, que mangez-vous</w:t>
      </w:r>
      <w:r w:rsidR="00270279">
        <w:rPr>
          <w:bCs/>
          <w:lang w:val="fr-FR"/>
        </w:rPr>
        <w:t> </w:t>
      </w:r>
      <w:r w:rsidRPr="00B124A7">
        <w:rPr>
          <w:bCs/>
          <w:lang w:val="fr-FR"/>
        </w:rPr>
        <w:t>?</w:t>
      </w:r>
      <w:r w:rsidR="00BB59FA">
        <w:rPr>
          <w:bCs/>
          <w:lang w:val="fr-FR"/>
        </w:rPr>
        <w:t> »</w:t>
      </w:r>
      <w:r w:rsidRPr="00B124A7">
        <w:rPr>
          <w:bCs/>
          <w:lang w:val="fr-FR"/>
        </w:rPr>
        <w:t xml:space="preserve">, </w:t>
      </w:r>
      <w:r w:rsidR="00BB59FA">
        <w:rPr>
          <w:bCs/>
          <w:lang w:val="fr-FR"/>
        </w:rPr>
        <w:t>le Président</w:t>
      </w:r>
      <w:r w:rsidRPr="00B124A7">
        <w:rPr>
          <w:bCs/>
          <w:lang w:val="fr-FR"/>
        </w:rPr>
        <w:t xml:space="preserve"> lui avait présenté un large éventail de plats marocains végétariens et de l</w:t>
      </w:r>
      <w:r w:rsidR="00923E72">
        <w:rPr>
          <w:bCs/>
          <w:lang w:val="fr-FR"/>
        </w:rPr>
        <w:t>’</w:t>
      </w:r>
      <w:r w:rsidRPr="00B124A7">
        <w:rPr>
          <w:bCs/>
          <w:lang w:val="fr-FR"/>
        </w:rPr>
        <w:t>hospitalité marocaine. Ce</w:t>
      </w:r>
      <w:r w:rsidR="00BB59FA">
        <w:rPr>
          <w:bCs/>
          <w:lang w:val="fr-FR"/>
        </w:rPr>
        <w:t>la avait été</w:t>
      </w:r>
      <w:r w:rsidRPr="00B124A7">
        <w:rPr>
          <w:bCs/>
          <w:lang w:val="fr-FR"/>
        </w:rPr>
        <w:t xml:space="preserve"> une expérience inoubliable</w:t>
      </w:r>
      <w:r w:rsidR="00BB59FA">
        <w:rPr>
          <w:bCs/>
          <w:lang w:val="fr-FR"/>
        </w:rPr>
        <w:t>,</w:t>
      </w:r>
      <w:r w:rsidR="005B684A">
        <w:rPr>
          <w:bCs/>
          <w:lang w:val="fr-FR"/>
        </w:rPr>
        <w:t xml:space="preserve"> </w:t>
      </w:r>
      <w:r w:rsidRPr="00B124A7">
        <w:rPr>
          <w:bCs/>
          <w:lang w:val="fr-FR"/>
        </w:rPr>
        <w:t>qui s</w:t>
      </w:r>
      <w:r w:rsidR="00923E72">
        <w:rPr>
          <w:bCs/>
          <w:lang w:val="fr-FR"/>
        </w:rPr>
        <w:t>’</w:t>
      </w:r>
      <w:r w:rsidRPr="00B124A7">
        <w:rPr>
          <w:bCs/>
          <w:lang w:val="fr-FR"/>
        </w:rPr>
        <w:t>était encore prolongée au Maroc lors de son premier séjour dans le pays</w:t>
      </w:r>
      <w:r w:rsidR="00BB59FA">
        <w:rPr>
          <w:bCs/>
          <w:lang w:val="fr-FR"/>
        </w:rPr>
        <w:t>. Il a</w:t>
      </w:r>
      <w:r w:rsidRPr="00B124A7">
        <w:rPr>
          <w:bCs/>
          <w:lang w:val="fr-FR"/>
        </w:rPr>
        <w:t xml:space="preserve"> remerci</w:t>
      </w:r>
      <w:r w:rsidR="00BB59FA">
        <w:rPr>
          <w:bCs/>
          <w:lang w:val="fr-FR"/>
        </w:rPr>
        <w:t xml:space="preserve">é </w:t>
      </w:r>
      <w:r w:rsidRPr="00B124A7">
        <w:rPr>
          <w:bCs/>
          <w:lang w:val="fr-FR"/>
        </w:rPr>
        <w:t>le Président pour son amitié et sa</w:t>
      </w:r>
      <w:r w:rsidR="008A6BEA">
        <w:rPr>
          <w:bCs/>
          <w:lang w:val="fr-FR"/>
        </w:rPr>
        <w:t xml:space="preserve"> cordialité</w:t>
      </w:r>
      <w:r w:rsidRPr="00B124A7">
        <w:rPr>
          <w:bCs/>
          <w:lang w:val="fr-FR"/>
        </w:rPr>
        <w:t>. Il a rappelé que l</w:t>
      </w:r>
      <w:r w:rsidR="00923E72">
        <w:rPr>
          <w:bCs/>
          <w:lang w:val="fr-FR"/>
        </w:rPr>
        <w:t>’</w:t>
      </w:r>
      <w:r w:rsidRPr="00B124A7">
        <w:rPr>
          <w:bCs/>
          <w:lang w:val="fr-FR"/>
        </w:rPr>
        <w:t>UNESCO est l</w:t>
      </w:r>
      <w:r w:rsidR="00923E72">
        <w:rPr>
          <w:bCs/>
          <w:lang w:val="fr-FR"/>
        </w:rPr>
        <w:t>’</w:t>
      </w:r>
      <w:r w:rsidRPr="00B124A7">
        <w:rPr>
          <w:bCs/>
          <w:lang w:val="fr-FR"/>
        </w:rPr>
        <w:t>une des plus belles organisations de la famille des Nations Unies, dont la chaleur authentique et l</w:t>
      </w:r>
      <w:r w:rsidR="00923E72">
        <w:rPr>
          <w:bCs/>
          <w:lang w:val="fr-FR"/>
        </w:rPr>
        <w:t>’</w:t>
      </w:r>
      <w:r w:rsidRPr="00B124A7">
        <w:rPr>
          <w:bCs/>
          <w:lang w:val="fr-FR"/>
        </w:rPr>
        <w:t>hospitalité entre les ambassadeurs sont incomparables. La délégation a remercié le Président et le Gouvernement du Maroc pour les merveilleux gestes à l</w:t>
      </w:r>
      <w:r w:rsidR="00923E72">
        <w:rPr>
          <w:bCs/>
          <w:lang w:val="fr-FR"/>
        </w:rPr>
        <w:t>’</w:t>
      </w:r>
      <w:r w:rsidRPr="00B124A7">
        <w:rPr>
          <w:bCs/>
          <w:lang w:val="fr-FR"/>
        </w:rPr>
        <w:t xml:space="preserve">égard des membres du Comité. Elle a remercié le Secrétariat pour son efficacité et le Secrétaire pour son énergie, </w:t>
      </w:r>
      <w:r w:rsidR="00AB72D8">
        <w:rPr>
          <w:bCs/>
          <w:lang w:val="fr-FR"/>
        </w:rPr>
        <w:t>ajoutant qu</w:t>
      </w:r>
      <w:r w:rsidR="00923E72">
        <w:rPr>
          <w:bCs/>
          <w:lang w:val="fr-FR"/>
        </w:rPr>
        <w:t>’</w:t>
      </w:r>
      <w:r w:rsidR="00AB72D8">
        <w:rPr>
          <w:bCs/>
          <w:lang w:val="fr-FR"/>
        </w:rPr>
        <w:t>il était toujours</w:t>
      </w:r>
      <w:r w:rsidRPr="00B124A7">
        <w:rPr>
          <w:bCs/>
          <w:lang w:val="fr-FR"/>
        </w:rPr>
        <w:t xml:space="preserve"> disponible pour donner des conseils. </w:t>
      </w:r>
      <w:r w:rsidRPr="00176275">
        <w:rPr>
          <w:bCs/>
          <w:lang w:val="fr-FR"/>
        </w:rPr>
        <w:t>La délégation a remercié l</w:t>
      </w:r>
      <w:r w:rsidR="00923E72">
        <w:rPr>
          <w:bCs/>
          <w:lang w:val="fr-FR"/>
        </w:rPr>
        <w:t>’</w:t>
      </w:r>
      <w:r w:rsidRPr="00176275">
        <w:rPr>
          <w:bCs/>
          <w:lang w:val="fr-FR"/>
        </w:rPr>
        <w:t>Organe d</w:t>
      </w:r>
      <w:r w:rsidR="00923E72">
        <w:rPr>
          <w:bCs/>
          <w:lang w:val="fr-FR"/>
        </w:rPr>
        <w:t>’</w:t>
      </w:r>
      <w:r w:rsidRPr="00176275">
        <w:rPr>
          <w:bCs/>
          <w:lang w:val="fr-FR"/>
        </w:rPr>
        <w:t xml:space="preserve">évaluation </w:t>
      </w:r>
      <w:r w:rsidR="00176275" w:rsidRPr="00702497">
        <w:rPr>
          <w:bCs/>
          <w:lang w:val="fr-FR"/>
        </w:rPr>
        <w:t xml:space="preserve">pour son </w:t>
      </w:r>
      <w:r w:rsidRPr="00176275">
        <w:rPr>
          <w:bCs/>
          <w:lang w:val="fr-FR"/>
        </w:rPr>
        <w:t>excellent travail</w:t>
      </w:r>
      <w:r w:rsidR="008F5D36">
        <w:rPr>
          <w:bCs/>
          <w:lang w:val="fr-FR"/>
        </w:rPr>
        <w:t xml:space="preserve"> dont</w:t>
      </w:r>
      <w:r w:rsidRPr="00176275">
        <w:rPr>
          <w:bCs/>
          <w:lang w:val="fr-FR"/>
        </w:rPr>
        <w:t>, en dépit de certaines décisions divergentes,</w:t>
      </w:r>
      <w:r w:rsidR="008F5D36">
        <w:rPr>
          <w:bCs/>
          <w:lang w:val="fr-FR"/>
        </w:rPr>
        <w:t xml:space="preserve"> </w:t>
      </w:r>
      <w:r w:rsidRPr="00176275">
        <w:rPr>
          <w:bCs/>
          <w:lang w:val="fr-FR"/>
        </w:rPr>
        <w:t xml:space="preserve">elle </w:t>
      </w:r>
      <w:r w:rsidR="00176275">
        <w:rPr>
          <w:bCs/>
          <w:lang w:val="fr-FR"/>
        </w:rPr>
        <w:t xml:space="preserve">lui </w:t>
      </w:r>
      <w:r w:rsidRPr="00176275">
        <w:rPr>
          <w:bCs/>
          <w:lang w:val="fr-FR"/>
        </w:rPr>
        <w:t>était très</w:t>
      </w:r>
      <w:r w:rsidR="00176275">
        <w:rPr>
          <w:bCs/>
          <w:lang w:val="fr-FR"/>
        </w:rPr>
        <w:t xml:space="preserve"> reconnaissante</w:t>
      </w:r>
      <w:r w:rsidRPr="00176275">
        <w:rPr>
          <w:bCs/>
          <w:lang w:val="fr-FR"/>
        </w:rPr>
        <w:t>. Elle</w:t>
      </w:r>
      <w:r w:rsidRPr="00B124A7">
        <w:rPr>
          <w:bCs/>
          <w:lang w:val="fr-FR"/>
        </w:rPr>
        <w:t xml:space="preserve"> </w:t>
      </w:r>
      <w:r w:rsidR="008F5D36">
        <w:rPr>
          <w:bCs/>
          <w:lang w:val="fr-FR"/>
        </w:rPr>
        <w:t>s</w:t>
      </w:r>
      <w:r w:rsidR="00923E72">
        <w:rPr>
          <w:bCs/>
          <w:lang w:val="fr-FR"/>
        </w:rPr>
        <w:t>’</w:t>
      </w:r>
      <w:r w:rsidR="008F5D36">
        <w:rPr>
          <w:bCs/>
          <w:lang w:val="fr-FR"/>
        </w:rPr>
        <w:t xml:space="preserve">est </w:t>
      </w:r>
      <w:r w:rsidR="008F5D36" w:rsidRPr="008F5D36">
        <w:rPr>
          <w:bCs/>
          <w:color w:val="000000" w:themeColor="text1"/>
          <w:lang w:val="fr-FR"/>
        </w:rPr>
        <w:t>également</w:t>
      </w:r>
      <w:r w:rsidR="008F5D36">
        <w:rPr>
          <w:bCs/>
          <w:color w:val="000000" w:themeColor="text1"/>
          <w:lang w:val="fr-FR"/>
        </w:rPr>
        <w:t xml:space="preserve"> </w:t>
      </w:r>
      <w:r w:rsidR="008F5D36">
        <w:rPr>
          <w:bCs/>
          <w:lang w:val="fr-FR"/>
        </w:rPr>
        <w:t>félicitée des</w:t>
      </w:r>
      <w:r w:rsidRPr="00B124A7">
        <w:rPr>
          <w:bCs/>
          <w:lang w:val="fr-FR"/>
        </w:rPr>
        <w:t xml:space="preserve"> merveilleux éléments du patrimoine culturel immatériel présentés au Comité et</w:t>
      </w:r>
      <w:r w:rsidR="008F5D36">
        <w:rPr>
          <w:bCs/>
          <w:lang w:val="fr-FR"/>
        </w:rPr>
        <w:t>,</w:t>
      </w:r>
      <w:r w:rsidRPr="00B124A7">
        <w:rPr>
          <w:bCs/>
          <w:lang w:val="fr-FR"/>
        </w:rPr>
        <w:t xml:space="preserve"> bien que l</w:t>
      </w:r>
      <w:r w:rsidR="00923E72">
        <w:rPr>
          <w:bCs/>
          <w:lang w:val="fr-FR"/>
        </w:rPr>
        <w:t>’</w:t>
      </w:r>
      <w:r w:rsidRPr="00B124A7">
        <w:rPr>
          <w:bCs/>
          <w:lang w:val="fr-FR"/>
        </w:rPr>
        <w:t>un des éléments ait été retiré, elle espérait que ce n</w:t>
      </w:r>
      <w:r w:rsidR="00923E72">
        <w:rPr>
          <w:bCs/>
          <w:lang w:val="fr-FR"/>
        </w:rPr>
        <w:t>’</w:t>
      </w:r>
      <w:r w:rsidRPr="00B124A7">
        <w:rPr>
          <w:bCs/>
          <w:lang w:val="fr-FR"/>
        </w:rPr>
        <w:t>était que temporaire et serait heureuse de le voir revenir. La délégation a conclu son intervention en soulignant la merveilleuse expérience de camaraderie, de fraternité et de solidarité universelle qui caractérise les Nations Unies.</w:t>
      </w:r>
    </w:p>
    <w:p w14:paraId="2B9FF190" w14:textId="51F59EEC" w:rsidR="00B7288B" w:rsidRDefault="00B7288B">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remercié l</w:t>
      </w:r>
      <w:r w:rsidR="00923E72">
        <w:rPr>
          <w:bCs/>
          <w:lang w:val="fr-FR"/>
        </w:rPr>
        <w:t>’</w:t>
      </w:r>
      <w:r>
        <w:rPr>
          <w:bCs/>
          <w:lang w:val="fr-FR"/>
        </w:rPr>
        <w:t>Inde d</w:t>
      </w:r>
      <w:r w:rsidR="00923E72">
        <w:rPr>
          <w:bCs/>
          <w:lang w:val="fr-FR"/>
        </w:rPr>
        <w:t>’</w:t>
      </w:r>
      <w:r>
        <w:rPr>
          <w:bCs/>
          <w:lang w:val="fr-FR"/>
        </w:rPr>
        <w:t>avoir exprimé le véritable esprit de cette Convention, notant que l</w:t>
      </w:r>
      <w:r w:rsidR="00923E72">
        <w:rPr>
          <w:bCs/>
          <w:lang w:val="fr-FR"/>
        </w:rPr>
        <w:t>’</w:t>
      </w:r>
      <w:r>
        <w:rPr>
          <w:bCs/>
          <w:lang w:val="fr-FR"/>
        </w:rPr>
        <w:t>ambassadeur avait été rejoint par son jeune fils.</w:t>
      </w:r>
    </w:p>
    <w:p w14:paraId="60B8CFE8" w14:textId="6DA461DE" w:rsidR="00B7288B" w:rsidRPr="00702497" w:rsidRDefault="00B7288B">
      <w:pPr>
        <w:pStyle w:val="Orateurengris"/>
        <w:numPr>
          <w:ilvl w:val="0"/>
          <w:numId w:val="20"/>
        </w:numPr>
        <w:tabs>
          <w:tab w:val="clear" w:pos="567"/>
          <w:tab w:val="left" w:pos="5954"/>
        </w:tabs>
        <w:spacing w:before="120"/>
        <w:ind w:left="709" w:hanging="709"/>
        <w:rPr>
          <w:bCs/>
          <w:lang w:val="fr-FR"/>
        </w:rPr>
      </w:pPr>
      <w:r>
        <w:rPr>
          <w:bCs/>
          <w:lang w:val="fr-FR"/>
        </w:rPr>
        <w:t xml:space="preserve">La </w:t>
      </w:r>
      <w:r w:rsidRPr="00B7288B">
        <w:rPr>
          <w:bCs/>
          <w:lang w:val="fr-FR"/>
        </w:rPr>
        <w:t>délégation</w:t>
      </w:r>
      <w:r>
        <w:rPr>
          <w:bCs/>
          <w:lang w:val="fr-FR"/>
        </w:rPr>
        <w:t xml:space="preserve"> de l</w:t>
      </w:r>
      <w:r w:rsidR="00923E72">
        <w:rPr>
          <w:bCs/>
          <w:lang w:val="fr-FR"/>
        </w:rPr>
        <w:t>’</w:t>
      </w:r>
      <w:r w:rsidRPr="00702497">
        <w:rPr>
          <w:b/>
          <w:lang w:val="fr-FR"/>
        </w:rPr>
        <w:t>Inde</w:t>
      </w:r>
      <w:r>
        <w:rPr>
          <w:bCs/>
          <w:lang w:val="fr-FR"/>
        </w:rPr>
        <w:t xml:space="preserve"> [à titre personnel] a expliqué qu</w:t>
      </w:r>
      <w:r w:rsidR="00923E72">
        <w:rPr>
          <w:bCs/>
          <w:lang w:val="fr-FR"/>
        </w:rPr>
        <w:t>’</w:t>
      </w:r>
      <w:r>
        <w:rPr>
          <w:bCs/>
          <w:lang w:val="fr-FR"/>
        </w:rPr>
        <w:t xml:space="preserve">il faisait </w:t>
      </w:r>
      <w:r w:rsidRPr="00B7288B">
        <w:rPr>
          <w:bCs/>
          <w:color w:val="000000" w:themeColor="text1"/>
          <w:lang w:val="fr-FR"/>
        </w:rPr>
        <w:t>également</w:t>
      </w:r>
      <w:r>
        <w:rPr>
          <w:bCs/>
          <w:color w:val="000000" w:themeColor="text1"/>
          <w:lang w:val="fr-FR"/>
        </w:rPr>
        <w:t xml:space="preserve"> office de baby-sitter, car sa femme était tellement amoureuse de Rabat, d</w:t>
      </w:r>
      <w:r w:rsidR="00923E72">
        <w:rPr>
          <w:bCs/>
          <w:color w:val="000000" w:themeColor="text1"/>
          <w:lang w:val="fr-FR"/>
        </w:rPr>
        <w:t>’</w:t>
      </w:r>
      <w:r>
        <w:rPr>
          <w:bCs/>
          <w:color w:val="000000" w:themeColor="text1"/>
          <w:lang w:val="fr-FR"/>
        </w:rPr>
        <w:t>où l</w:t>
      </w:r>
      <w:r w:rsidR="00923E72">
        <w:rPr>
          <w:bCs/>
          <w:color w:val="000000" w:themeColor="text1"/>
          <w:lang w:val="fr-FR"/>
        </w:rPr>
        <w:t>’</w:t>
      </w:r>
      <w:r>
        <w:rPr>
          <w:bCs/>
          <w:color w:val="000000" w:themeColor="text1"/>
          <w:lang w:val="fr-FR"/>
        </w:rPr>
        <w:t>égalité des genres !</w:t>
      </w:r>
    </w:p>
    <w:p w14:paraId="631F3ABB" w14:textId="613C6B35" w:rsidR="00B7288B" w:rsidRDefault="00B7288B">
      <w:pPr>
        <w:pStyle w:val="Orateurengris"/>
        <w:numPr>
          <w:ilvl w:val="0"/>
          <w:numId w:val="20"/>
        </w:numPr>
        <w:tabs>
          <w:tab w:val="clear" w:pos="567"/>
          <w:tab w:val="left" w:pos="5954"/>
        </w:tabs>
        <w:spacing w:before="120"/>
        <w:ind w:left="709" w:hanging="709"/>
        <w:rPr>
          <w:bCs/>
          <w:lang w:val="fr-FR"/>
        </w:rPr>
      </w:pPr>
      <w:r>
        <w:rPr>
          <w:bCs/>
          <w:lang w:val="fr-FR"/>
        </w:rPr>
        <w:t xml:space="preserve">Le </w:t>
      </w:r>
      <w:r w:rsidRPr="00702497">
        <w:rPr>
          <w:b/>
          <w:lang w:val="fr-FR"/>
        </w:rPr>
        <w:t>Président</w:t>
      </w:r>
      <w:r>
        <w:rPr>
          <w:bCs/>
          <w:lang w:val="fr-FR"/>
        </w:rPr>
        <w:t xml:space="preserve"> a rappelé les intéressantes discussions avec l</w:t>
      </w:r>
      <w:r w:rsidR="00923E72">
        <w:rPr>
          <w:bCs/>
          <w:lang w:val="fr-FR"/>
        </w:rPr>
        <w:t>’</w:t>
      </w:r>
      <w:r>
        <w:rPr>
          <w:bCs/>
          <w:lang w:val="fr-FR"/>
        </w:rPr>
        <w:t>ambassadeur de l</w:t>
      </w:r>
      <w:r w:rsidR="00923E72">
        <w:rPr>
          <w:bCs/>
          <w:lang w:val="fr-FR"/>
        </w:rPr>
        <w:t>’</w:t>
      </w:r>
      <w:r>
        <w:rPr>
          <w:bCs/>
          <w:lang w:val="fr-FR"/>
        </w:rPr>
        <w:t>Inde sur la vie, le monde spirituel et la religion, ajoutant que la grande famille de l</w:t>
      </w:r>
      <w:r w:rsidR="00923E72">
        <w:rPr>
          <w:bCs/>
          <w:lang w:val="fr-FR"/>
        </w:rPr>
        <w:t>’</w:t>
      </w:r>
      <w:r>
        <w:rPr>
          <w:bCs/>
          <w:lang w:val="fr-FR"/>
        </w:rPr>
        <w:t>UNESCO était chanceuse de l</w:t>
      </w:r>
      <w:r w:rsidR="00923E72">
        <w:rPr>
          <w:bCs/>
          <w:lang w:val="fr-FR"/>
        </w:rPr>
        <w:t>’</w:t>
      </w:r>
      <w:r>
        <w:rPr>
          <w:bCs/>
          <w:lang w:val="fr-FR"/>
        </w:rPr>
        <w:t>avoir à ses côtés.</w:t>
      </w:r>
    </w:p>
    <w:p w14:paraId="18B2F090" w14:textId="3738373C" w:rsidR="00B7288B" w:rsidRDefault="00B7288B">
      <w:pPr>
        <w:pStyle w:val="Orateurengris"/>
        <w:numPr>
          <w:ilvl w:val="0"/>
          <w:numId w:val="20"/>
        </w:numPr>
        <w:tabs>
          <w:tab w:val="clear" w:pos="567"/>
          <w:tab w:val="left" w:pos="5954"/>
        </w:tabs>
        <w:spacing w:before="120"/>
        <w:ind w:left="709" w:hanging="709"/>
        <w:rPr>
          <w:bCs/>
          <w:lang w:val="fr-FR"/>
        </w:rPr>
      </w:pPr>
      <w:r w:rsidRPr="00B7288B">
        <w:rPr>
          <w:bCs/>
          <w:lang w:val="fr-FR"/>
        </w:rPr>
        <w:t>La délégation de l</w:t>
      </w:r>
      <w:r w:rsidR="00923E72">
        <w:rPr>
          <w:bCs/>
          <w:lang w:val="fr-FR"/>
        </w:rPr>
        <w:t>’</w:t>
      </w:r>
      <w:r w:rsidRPr="00702497">
        <w:rPr>
          <w:b/>
          <w:lang w:val="fr-FR"/>
        </w:rPr>
        <w:t>Angola</w:t>
      </w:r>
      <w:r w:rsidRPr="00B7288B">
        <w:rPr>
          <w:bCs/>
          <w:lang w:val="fr-FR"/>
        </w:rPr>
        <w:t xml:space="preserve"> a félicité le Président pour sa conduite des travaux</w:t>
      </w:r>
      <w:r w:rsidR="001138B7">
        <w:rPr>
          <w:bCs/>
          <w:lang w:val="fr-FR"/>
        </w:rPr>
        <w:t xml:space="preserve"> et</w:t>
      </w:r>
      <w:r w:rsidRPr="00B7288B">
        <w:rPr>
          <w:bCs/>
          <w:lang w:val="fr-FR"/>
        </w:rPr>
        <w:t xml:space="preserve"> sa sagesse</w:t>
      </w:r>
      <w:r w:rsidR="001138B7">
        <w:rPr>
          <w:bCs/>
          <w:lang w:val="fr-FR"/>
        </w:rPr>
        <w:t>,</w:t>
      </w:r>
      <w:r w:rsidRPr="00B7288B">
        <w:rPr>
          <w:bCs/>
          <w:lang w:val="fr-FR"/>
        </w:rPr>
        <w:t xml:space="preserve"> et pour avoir guidé le Comité dans les moments les plus difficiles. Elle a remercié le Sous-Directeur général et le Secrétaire pour leur engagement envers la Convention ainsi que le Secrétariat pour son immense travail. La délégation a remercié l</w:t>
      </w:r>
      <w:r w:rsidR="00923E72">
        <w:rPr>
          <w:bCs/>
          <w:lang w:val="fr-FR"/>
        </w:rPr>
        <w:t>’</w:t>
      </w:r>
      <w:r w:rsidRPr="00B7288B">
        <w:rPr>
          <w:bCs/>
          <w:lang w:val="fr-FR"/>
        </w:rPr>
        <w:t>Organe d</w:t>
      </w:r>
      <w:r w:rsidR="00923E72">
        <w:rPr>
          <w:bCs/>
          <w:lang w:val="fr-FR"/>
        </w:rPr>
        <w:t>’</w:t>
      </w:r>
      <w:r w:rsidRPr="00B7288B">
        <w:rPr>
          <w:bCs/>
          <w:lang w:val="fr-FR"/>
        </w:rPr>
        <w:t>évaluation pour son sens des responsabilités dans sa mission d</w:t>
      </w:r>
      <w:r w:rsidR="00923E72">
        <w:rPr>
          <w:bCs/>
          <w:lang w:val="fr-FR"/>
        </w:rPr>
        <w:t>’</w:t>
      </w:r>
      <w:r w:rsidRPr="00B7288B">
        <w:rPr>
          <w:bCs/>
          <w:lang w:val="fr-FR"/>
        </w:rPr>
        <w:t>évaluation des dossiers. Elle a remercié le Gouvernement du Maroc pour son hospitalité. C</w:t>
      </w:r>
      <w:r w:rsidR="00923E72">
        <w:rPr>
          <w:bCs/>
          <w:lang w:val="fr-FR"/>
        </w:rPr>
        <w:t>’</w:t>
      </w:r>
      <w:r w:rsidRPr="00B7288B">
        <w:rPr>
          <w:bCs/>
          <w:lang w:val="fr-FR"/>
        </w:rPr>
        <w:t>était la première expérience de l</w:t>
      </w:r>
      <w:r w:rsidR="00923E72">
        <w:rPr>
          <w:bCs/>
          <w:lang w:val="fr-FR"/>
        </w:rPr>
        <w:t>’</w:t>
      </w:r>
      <w:r w:rsidRPr="00B7288B">
        <w:rPr>
          <w:bCs/>
          <w:lang w:val="fr-FR"/>
        </w:rPr>
        <w:t>Angola en tant que membre du Comité, une expérience très enrichissante et une célébration du patrimoine culturel immatériel. La délégation a félicité le Botswana pour son élection et l</w:t>
      </w:r>
      <w:r w:rsidR="00923E72">
        <w:rPr>
          <w:bCs/>
          <w:lang w:val="fr-FR"/>
        </w:rPr>
        <w:t>’</w:t>
      </w:r>
      <w:r w:rsidRPr="00B7288B">
        <w:rPr>
          <w:bCs/>
          <w:lang w:val="fr-FR"/>
        </w:rPr>
        <w:t>accueil de la prochaine session.</w:t>
      </w:r>
    </w:p>
    <w:p w14:paraId="5C3454E9" w14:textId="1F29AE11" w:rsidR="00EA6C8B" w:rsidRDefault="00D57A92">
      <w:pPr>
        <w:pStyle w:val="Orateurengris"/>
        <w:numPr>
          <w:ilvl w:val="0"/>
          <w:numId w:val="20"/>
        </w:numPr>
        <w:tabs>
          <w:tab w:val="clear" w:pos="567"/>
          <w:tab w:val="left" w:pos="5954"/>
        </w:tabs>
        <w:spacing w:before="120"/>
        <w:ind w:left="709" w:hanging="709"/>
        <w:rPr>
          <w:bCs/>
          <w:lang w:val="fr-FR"/>
        </w:rPr>
      </w:pPr>
      <w:r w:rsidRPr="00D57A92">
        <w:rPr>
          <w:bCs/>
          <w:lang w:val="fr-FR"/>
        </w:rPr>
        <w:t xml:space="preserve">La délégation de la </w:t>
      </w:r>
      <w:r w:rsidRPr="00702497">
        <w:rPr>
          <w:b/>
          <w:lang w:val="fr-FR"/>
        </w:rPr>
        <w:t>Mauritanie</w:t>
      </w:r>
      <w:r w:rsidRPr="00D57A92">
        <w:rPr>
          <w:bCs/>
          <w:lang w:val="fr-FR"/>
        </w:rPr>
        <w:t xml:space="preserve"> a adressé ses plus </w:t>
      </w:r>
      <w:r>
        <w:rPr>
          <w:bCs/>
          <w:lang w:val="fr-FR"/>
        </w:rPr>
        <w:t xml:space="preserve">sincères </w:t>
      </w:r>
      <w:r w:rsidRPr="00D57A92">
        <w:rPr>
          <w:bCs/>
          <w:lang w:val="fr-FR"/>
        </w:rPr>
        <w:t>remerciements au Maroc pour l</w:t>
      </w:r>
      <w:r w:rsidR="00923E72">
        <w:rPr>
          <w:bCs/>
          <w:lang w:val="fr-FR"/>
        </w:rPr>
        <w:t>’</w:t>
      </w:r>
      <w:r w:rsidRPr="00D57A92">
        <w:rPr>
          <w:bCs/>
          <w:lang w:val="fr-FR"/>
        </w:rPr>
        <w:t xml:space="preserve">organisation de cette importante réunion. </w:t>
      </w:r>
      <w:r>
        <w:rPr>
          <w:bCs/>
          <w:lang w:val="fr-FR"/>
        </w:rPr>
        <w:t>L</w:t>
      </w:r>
      <w:r w:rsidRPr="00D57A92">
        <w:rPr>
          <w:bCs/>
          <w:lang w:val="fr-FR"/>
        </w:rPr>
        <w:t>e Maroc devrait se voir attribuer la Coupe internationale du patrimoine culturel immatériel avant la Coupe du monde au Qatar</w:t>
      </w:r>
      <w:r>
        <w:rPr>
          <w:bCs/>
          <w:lang w:val="fr-FR"/>
        </w:rPr>
        <w:t> </w:t>
      </w:r>
      <w:r w:rsidRPr="00D57A92">
        <w:rPr>
          <w:bCs/>
          <w:lang w:val="fr-FR"/>
        </w:rPr>
        <w:t>! Rabat n</w:t>
      </w:r>
      <w:r w:rsidR="00923E72">
        <w:rPr>
          <w:bCs/>
          <w:lang w:val="fr-FR"/>
        </w:rPr>
        <w:t>’</w:t>
      </w:r>
      <w:r w:rsidRPr="00D57A92">
        <w:rPr>
          <w:bCs/>
          <w:lang w:val="fr-FR"/>
        </w:rPr>
        <w:t>était pas seulement une capitale de la culture du monde islamique, elle était également une capitale du sport, une capitale du patrimoine sans frontières et une capitale des poètes. Les délégués quitteraient le Maroc avec un sentiment de paix, de sécurité et de tranquillité. Le Président était l</w:t>
      </w:r>
      <w:r w:rsidR="00923E72">
        <w:rPr>
          <w:bCs/>
          <w:lang w:val="fr-FR"/>
        </w:rPr>
        <w:t>’</w:t>
      </w:r>
      <w:r w:rsidRPr="00D57A92">
        <w:rPr>
          <w:bCs/>
          <w:lang w:val="fr-FR"/>
        </w:rPr>
        <w:t>un des meilleurs ambassadeurs du Maroc, un doyen de la diplomatie. La délégation a rappelé ses larmes face aux difficultés qui menaçaient les valeurs du monde d</w:t>
      </w:r>
      <w:r w:rsidR="00923E72">
        <w:rPr>
          <w:bCs/>
          <w:lang w:val="fr-FR"/>
        </w:rPr>
        <w:t>’</w:t>
      </w:r>
      <w:r w:rsidRPr="00D57A92">
        <w:rPr>
          <w:bCs/>
          <w:lang w:val="fr-FR"/>
        </w:rPr>
        <w:t>aujourd</w:t>
      </w:r>
      <w:r w:rsidR="00923E72">
        <w:rPr>
          <w:bCs/>
          <w:lang w:val="fr-FR"/>
        </w:rPr>
        <w:t>’</w:t>
      </w:r>
      <w:r w:rsidRPr="00D57A92">
        <w:rPr>
          <w:bCs/>
          <w:lang w:val="fr-FR"/>
        </w:rPr>
        <w:t>hui, notamment sur le continent africain. C</w:t>
      </w:r>
      <w:r w:rsidR="00923E72">
        <w:rPr>
          <w:bCs/>
          <w:lang w:val="fr-FR"/>
        </w:rPr>
        <w:t>’</w:t>
      </w:r>
      <w:r w:rsidRPr="00D57A92">
        <w:rPr>
          <w:bCs/>
          <w:lang w:val="fr-FR"/>
        </w:rPr>
        <w:t>était un symbole de la diplomatie marocaine.</w:t>
      </w:r>
    </w:p>
    <w:p w14:paraId="0A6F1A8D" w14:textId="1B0E4A91" w:rsidR="00DE1010" w:rsidRDefault="00DE1010">
      <w:pPr>
        <w:pStyle w:val="Orateurengris"/>
        <w:numPr>
          <w:ilvl w:val="0"/>
          <w:numId w:val="20"/>
        </w:numPr>
        <w:tabs>
          <w:tab w:val="clear" w:pos="567"/>
          <w:tab w:val="left" w:pos="5954"/>
        </w:tabs>
        <w:spacing w:before="120"/>
        <w:ind w:left="709" w:hanging="709"/>
        <w:rPr>
          <w:bCs/>
          <w:lang w:val="fr-FR"/>
        </w:rPr>
      </w:pPr>
      <w:r w:rsidRPr="00DE1010">
        <w:rPr>
          <w:bCs/>
          <w:lang w:val="fr-FR"/>
        </w:rPr>
        <w:lastRenderedPageBreak/>
        <w:t xml:space="preserve">Le </w:t>
      </w:r>
      <w:r w:rsidRPr="00702497">
        <w:rPr>
          <w:b/>
          <w:lang w:val="fr-FR"/>
        </w:rPr>
        <w:t>Président</w:t>
      </w:r>
      <w:r w:rsidRPr="00DE1010">
        <w:rPr>
          <w:bCs/>
          <w:lang w:val="fr-FR"/>
        </w:rPr>
        <w:t xml:space="preserve"> a répondu que le représentant de la Mauritanie était également un grand poète, que le Groupe arabe était heureux de l</w:t>
      </w:r>
      <w:r w:rsidR="00923E72">
        <w:rPr>
          <w:bCs/>
          <w:lang w:val="fr-FR"/>
        </w:rPr>
        <w:t>’</w:t>
      </w:r>
      <w:r w:rsidRPr="00DE1010">
        <w:rPr>
          <w:bCs/>
          <w:lang w:val="fr-FR"/>
        </w:rPr>
        <w:t xml:space="preserve">avoir </w:t>
      </w:r>
      <w:r w:rsidR="00AB72D8">
        <w:rPr>
          <w:bCs/>
          <w:lang w:val="fr-FR"/>
        </w:rPr>
        <w:t xml:space="preserve">et </w:t>
      </w:r>
      <w:r w:rsidRPr="00DE1010">
        <w:rPr>
          <w:bCs/>
          <w:lang w:val="fr-FR"/>
        </w:rPr>
        <w:t>qu</w:t>
      </w:r>
      <w:r w:rsidR="00923E72">
        <w:rPr>
          <w:bCs/>
          <w:lang w:val="fr-FR"/>
        </w:rPr>
        <w:t>’</w:t>
      </w:r>
      <w:r w:rsidRPr="00DE1010">
        <w:rPr>
          <w:bCs/>
          <w:lang w:val="fr-FR"/>
        </w:rPr>
        <w:t>il apaisait toujours la situation avec ses poèmes. Le Président l</w:t>
      </w:r>
      <w:r w:rsidR="00923E72">
        <w:rPr>
          <w:bCs/>
          <w:lang w:val="fr-FR"/>
        </w:rPr>
        <w:t>’</w:t>
      </w:r>
      <w:r w:rsidRPr="00DE1010">
        <w:rPr>
          <w:bCs/>
          <w:lang w:val="fr-FR"/>
        </w:rPr>
        <w:t>a remercié pour son amitié ainsi que toute la Mauritanie.</w:t>
      </w:r>
    </w:p>
    <w:p w14:paraId="1B1F480A" w14:textId="135BC209" w:rsidR="00DE1010" w:rsidRDefault="00DE1010">
      <w:pPr>
        <w:pStyle w:val="Orateurengris"/>
        <w:numPr>
          <w:ilvl w:val="0"/>
          <w:numId w:val="20"/>
        </w:numPr>
        <w:tabs>
          <w:tab w:val="clear" w:pos="567"/>
          <w:tab w:val="left" w:pos="5954"/>
        </w:tabs>
        <w:spacing w:before="120"/>
        <w:ind w:left="709" w:hanging="709"/>
        <w:rPr>
          <w:bCs/>
          <w:lang w:val="fr-FR"/>
        </w:rPr>
      </w:pPr>
      <w:r w:rsidRPr="00DE1010">
        <w:rPr>
          <w:bCs/>
          <w:lang w:val="fr-FR"/>
        </w:rPr>
        <w:t xml:space="preserve">La délégation du </w:t>
      </w:r>
      <w:r w:rsidRPr="00702497">
        <w:rPr>
          <w:b/>
          <w:lang w:val="fr-FR"/>
        </w:rPr>
        <w:t>Rwanda</w:t>
      </w:r>
      <w:r w:rsidRPr="00DE1010">
        <w:rPr>
          <w:bCs/>
          <w:lang w:val="fr-FR"/>
        </w:rPr>
        <w:t xml:space="preserve"> a fait remarquer que c</w:t>
      </w:r>
      <w:r w:rsidR="00923E72">
        <w:rPr>
          <w:bCs/>
          <w:lang w:val="fr-FR"/>
        </w:rPr>
        <w:t>’</w:t>
      </w:r>
      <w:r w:rsidRPr="00DE1010">
        <w:rPr>
          <w:bCs/>
          <w:lang w:val="fr-FR"/>
        </w:rPr>
        <w:t>était le dernier jour d</w:t>
      </w:r>
      <w:r w:rsidR="00923E72">
        <w:rPr>
          <w:bCs/>
          <w:lang w:val="fr-FR"/>
        </w:rPr>
        <w:t>’</w:t>
      </w:r>
      <w:r w:rsidRPr="00DE1010">
        <w:rPr>
          <w:bCs/>
          <w:lang w:val="fr-FR"/>
        </w:rPr>
        <w:t>émotion</w:t>
      </w:r>
      <w:r w:rsidR="001138B7">
        <w:rPr>
          <w:bCs/>
          <w:lang w:val="fr-FR"/>
        </w:rPr>
        <w:t>,</w:t>
      </w:r>
      <w:r w:rsidRPr="00DE1010">
        <w:rPr>
          <w:bCs/>
          <w:lang w:val="fr-FR"/>
        </w:rPr>
        <w:t xml:space="preserve"> où tout avait été dit. Elle a remercié le Comité et toutes les personnes présentes pour cette semaine inoubliable et pour l</w:t>
      </w:r>
      <w:r w:rsidR="00923E72">
        <w:rPr>
          <w:bCs/>
          <w:lang w:val="fr-FR"/>
        </w:rPr>
        <w:t>’</w:t>
      </w:r>
      <w:r w:rsidRPr="00DE1010">
        <w:rPr>
          <w:bCs/>
          <w:lang w:val="fr-FR"/>
        </w:rPr>
        <w:t>excellente organisation des sessions, riches en échanges et fondées sur un esprit de consensus. La délégation a remercié le Président pour son leadership et sa sagesse</w:t>
      </w:r>
      <w:r w:rsidR="004F368D">
        <w:rPr>
          <w:bCs/>
          <w:lang w:val="fr-FR"/>
        </w:rPr>
        <w:t>,</w:t>
      </w:r>
      <w:r w:rsidRPr="00DE1010">
        <w:rPr>
          <w:bCs/>
          <w:lang w:val="fr-FR"/>
        </w:rPr>
        <w:t xml:space="preserve"> qui avaient </w:t>
      </w:r>
      <w:r>
        <w:rPr>
          <w:bCs/>
          <w:lang w:val="fr-FR"/>
        </w:rPr>
        <w:t xml:space="preserve">fait de cette </w:t>
      </w:r>
      <w:r w:rsidRPr="00DE1010">
        <w:rPr>
          <w:bCs/>
          <w:lang w:val="fr-FR"/>
        </w:rPr>
        <w:t>réunion</w:t>
      </w:r>
      <w:r>
        <w:rPr>
          <w:bCs/>
          <w:lang w:val="fr-FR"/>
        </w:rPr>
        <w:t xml:space="preserve"> un succès</w:t>
      </w:r>
      <w:r w:rsidRPr="00DE1010">
        <w:rPr>
          <w:bCs/>
          <w:lang w:val="fr-FR"/>
        </w:rPr>
        <w:t>. Elle a également remercié le Secrétaire</w:t>
      </w:r>
      <w:r w:rsidR="005410EA">
        <w:rPr>
          <w:bCs/>
          <w:lang w:val="fr-FR"/>
        </w:rPr>
        <w:t xml:space="preserve"> et </w:t>
      </w:r>
      <w:r w:rsidRPr="00DE1010">
        <w:rPr>
          <w:bCs/>
          <w:lang w:val="fr-FR"/>
        </w:rPr>
        <w:t>son équipe ainsi que le Sous-Directeur général pour le travail remarquable qu</w:t>
      </w:r>
      <w:r w:rsidR="00923E72">
        <w:rPr>
          <w:bCs/>
          <w:lang w:val="fr-FR"/>
        </w:rPr>
        <w:t>’</w:t>
      </w:r>
      <w:r w:rsidRPr="00DE1010">
        <w:rPr>
          <w:bCs/>
          <w:lang w:val="fr-FR"/>
        </w:rPr>
        <w:t>ils avaient accompli tout au long de la semaine. La délégation attendait avec impatience la prochaine session dans la belle ville de Gaborone, au Botswana, avec sa merveilleuse hospitalité, ajoutant qu</w:t>
      </w:r>
      <w:r w:rsidR="00923E72">
        <w:rPr>
          <w:bCs/>
          <w:lang w:val="fr-FR"/>
        </w:rPr>
        <w:t>’</w:t>
      </w:r>
      <w:r w:rsidRPr="00DE1010">
        <w:rPr>
          <w:bCs/>
          <w:lang w:val="fr-FR"/>
        </w:rPr>
        <w:t>elle espérait accueillir un jour le Comité à Kigali.</w:t>
      </w:r>
    </w:p>
    <w:p w14:paraId="51E6C0D4" w14:textId="261249B9" w:rsidR="00DE1010" w:rsidRDefault="00DE1010">
      <w:pPr>
        <w:pStyle w:val="Orateurengris"/>
        <w:numPr>
          <w:ilvl w:val="0"/>
          <w:numId w:val="20"/>
        </w:numPr>
        <w:tabs>
          <w:tab w:val="clear" w:pos="567"/>
          <w:tab w:val="left" w:pos="5954"/>
        </w:tabs>
        <w:spacing w:before="120"/>
        <w:ind w:left="709" w:hanging="709"/>
        <w:rPr>
          <w:bCs/>
          <w:lang w:val="fr-FR"/>
        </w:rPr>
      </w:pPr>
      <w:r w:rsidRPr="00DE1010">
        <w:rPr>
          <w:bCs/>
          <w:lang w:val="fr-FR"/>
        </w:rPr>
        <w:t>La délégation de l</w:t>
      </w:r>
      <w:r w:rsidR="00923E72">
        <w:rPr>
          <w:bCs/>
          <w:lang w:val="fr-FR"/>
        </w:rPr>
        <w:t>’</w:t>
      </w:r>
      <w:r w:rsidRPr="00702497">
        <w:rPr>
          <w:b/>
          <w:lang w:val="fr-FR"/>
        </w:rPr>
        <w:t>Éthiopie</w:t>
      </w:r>
      <w:r w:rsidRPr="00DE1010">
        <w:rPr>
          <w:bCs/>
          <w:lang w:val="fr-FR"/>
        </w:rPr>
        <w:t xml:space="preserve"> a rappelé que la dernière session organisée par le Maroc et le Secrétariat s</w:t>
      </w:r>
      <w:r w:rsidR="00923E72">
        <w:rPr>
          <w:bCs/>
          <w:lang w:val="fr-FR"/>
        </w:rPr>
        <w:t>’</w:t>
      </w:r>
      <w:r w:rsidRPr="00DE1010">
        <w:rPr>
          <w:bCs/>
          <w:lang w:val="fr-FR"/>
        </w:rPr>
        <w:t>était déroulée en ligne, se souvenant des excellentes informations qui avaient été partagées. Elle a félicité le Maroc pour les deux événements merveilleux et historiques de cette semaine</w:t>
      </w:r>
      <w:r w:rsidR="00CD221A">
        <w:rPr>
          <w:bCs/>
          <w:lang w:val="fr-FR"/>
        </w:rPr>
        <w:t> </w:t>
      </w:r>
      <w:r w:rsidRPr="00DE1010">
        <w:rPr>
          <w:bCs/>
          <w:lang w:val="fr-FR"/>
        </w:rPr>
        <w:t>: l</w:t>
      </w:r>
      <w:r w:rsidR="00923E72">
        <w:rPr>
          <w:bCs/>
          <w:lang w:val="fr-FR"/>
        </w:rPr>
        <w:t>’</w:t>
      </w:r>
      <w:r w:rsidRPr="00DE1010">
        <w:rPr>
          <w:bCs/>
          <w:lang w:val="fr-FR"/>
        </w:rPr>
        <w:t>organisation de cette session et l</w:t>
      </w:r>
      <w:r w:rsidR="00CD221A">
        <w:rPr>
          <w:bCs/>
          <w:lang w:val="fr-FR"/>
        </w:rPr>
        <w:t xml:space="preserve">a qualification </w:t>
      </w:r>
      <w:r w:rsidRPr="00DE1010">
        <w:rPr>
          <w:bCs/>
          <w:lang w:val="fr-FR"/>
        </w:rPr>
        <w:t xml:space="preserve">du Maroc </w:t>
      </w:r>
      <w:r w:rsidR="00CD221A">
        <w:rPr>
          <w:bCs/>
          <w:lang w:val="fr-FR"/>
        </w:rPr>
        <w:t xml:space="preserve">pour le </w:t>
      </w:r>
      <w:r w:rsidRPr="00DE1010">
        <w:rPr>
          <w:bCs/>
          <w:lang w:val="fr-FR"/>
        </w:rPr>
        <w:t>deuxième tour de la Coupe du monde</w:t>
      </w:r>
      <w:r w:rsidR="00CD221A">
        <w:rPr>
          <w:bCs/>
          <w:lang w:val="fr-FR"/>
        </w:rPr>
        <w:t> </w:t>
      </w:r>
      <w:r w:rsidRPr="00DE1010">
        <w:rPr>
          <w:bCs/>
          <w:lang w:val="fr-FR"/>
        </w:rPr>
        <w:t>! La délégation a remercié le Secrétariat pour la préparation de la réunion, après deux réunions consécutives en ligne, ainsi que tous ceux qui avaient contribué à rendre cette session plus facile, en particulier les membres du Bureau et de l</w:t>
      </w:r>
      <w:r w:rsidR="00923E72">
        <w:rPr>
          <w:bCs/>
          <w:lang w:val="fr-FR"/>
        </w:rPr>
        <w:t>’</w:t>
      </w:r>
      <w:r w:rsidRPr="00DE1010">
        <w:rPr>
          <w:bCs/>
          <w:lang w:val="fr-FR"/>
        </w:rPr>
        <w:t>Organe d</w:t>
      </w:r>
      <w:r w:rsidR="00923E72">
        <w:rPr>
          <w:bCs/>
          <w:lang w:val="fr-FR"/>
        </w:rPr>
        <w:t>’</w:t>
      </w:r>
      <w:r w:rsidRPr="00DE1010">
        <w:rPr>
          <w:bCs/>
          <w:lang w:val="fr-FR"/>
        </w:rPr>
        <w:t>évaluation. Elle a également remercié les agences responsables de la logistique, l</w:t>
      </w:r>
      <w:r w:rsidR="00923E72">
        <w:rPr>
          <w:bCs/>
          <w:lang w:val="fr-FR"/>
        </w:rPr>
        <w:t>’</w:t>
      </w:r>
      <w:r w:rsidRPr="00DE1010">
        <w:rPr>
          <w:bCs/>
          <w:lang w:val="fr-FR"/>
        </w:rPr>
        <w:t>hôtel, la sécurité ainsi que les groupes d</w:t>
      </w:r>
      <w:r w:rsidR="00923E72">
        <w:rPr>
          <w:bCs/>
          <w:lang w:val="fr-FR"/>
        </w:rPr>
        <w:t>’</w:t>
      </w:r>
      <w:r w:rsidRPr="00DE1010">
        <w:rPr>
          <w:bCs/>
          <w:lang w:val="fr-FR"/>
        </w:rPr>
        <w:t>arts du spectacle et les organisateurs de l</w:t>
      </w:r>
      <w:r w:rsidR="00923E72">
        <w:rPr>
          <w:bCs/>
          <w:lang w:val="fr-FR"/>
        </w:rPr>
        <w:t>’</w:t>
      </w:r>
      <w:r w:rsidRPr="00DE1010">
        <w:rPr>
          <w:bCs/>
          <w:lang w:val="fr-FR"/>
        </w:rPr>
        <w:t xml:space="preserve">événement. La délégation a conclu </w:t>
      </w:r>
      <w:r w:rsidR="00CD221A">
        <w:rPr>
          <w:bCs/>
          <w:lang w:val="fr-FR"/>
        </w:rPr>
        <w:t xml:space="preserve">son </w:t>
      </w:r>
      <w:r w:rsidR="00CD221A" w:rsidRPr="00CD221A">
        <w:rPr>
          <w:bCs/>
          <w:lang w:val="fr-FR"/>
        </w:rPr>
        <w:t>intervention</w:t>
      </w:r>
      <w:r w:rsidR="00CD221A">
        <w:rPr>
          <w:bCs/>
          <w:lang w:val="fr-FR"/>
        </w:rPr>
        <w:t xml:space="preserve"> </w:t>
      </w:r>
      <w:r w:rsidRPr="00DE1010">
        <w:rPr>
          <w:bCs/>
          <w:lang w:val="fr-FR"/>
        </w:rPr>
        <w:t>en adressant tous ses vœux de réussite au Botswana pour la prochaine session</w:t>
      </w:r>
      <w:r w:rsidR="001138B7">
        <w:rPr>
          <w:bCs/>
          <w:lang w:val="fr-FR"/>
        </w:rPr>
        <w:t xml:space="preserve">, </w:t>
      </w:r>
      <w:r w:rsidRPr="00DE1010">
        <w:rPr>
          <w:bCs/>
          <w:lang w:val="fr-FR"/>
        </w:rPr>
        <w:t>en</w:t>
      </w:r>
      <w:r w:rsidR="00246428">
        <w:rPr>
          <w:bCs/>
          <w:lang w:val="fr-FR"/>
        </w:rPr>
        <w:t> </w:t>
      </w:r>
      <w:r w:rsidRPr="00DE1010">
        <w:rPr>
          <w:bCs/>
          <w:lang w:val="fr-FR"/>
        </w:rPr>
        <w:t>2023.</w:t>
      </w:r>
    </w:p>
    <w:p w14:paraId="54F83809" w14:textId="43D9F42D" w:rsidR="00CD221A" w:rsidRDefault="00CD221A">
      <w:pPr>
        <w:pStyle w:val="Orateurengris"/>
        <w:numPr>
          <w:ilvl w:val="0"/>
          <w:numId w:val="20"/>
        </w:numPr>
        <w:tabs>
          <w:tab w:val="clear" w:pos="567"/>
          <w:tab w:val="left" w:pos="5954"/>
        </w:tabs>
        <w:spacing w:before="120"/>
        <w:ind w:left="709" w:hanging="709"/>
        <w:rPr>
          <w:bCs/>
          <w:lang w:val="fr-FR"/>
        </w:rPr>
      </w:pPr>
      <w:r w:rsidRPr="00CD221A">
        <w:rPr>
          <w:bCs/>
          <w:lang w:val="fr-FR"/>
        </w:rPr>
        <w:t xml:space="preserve">La délégation de la </w:t>
      </w:r>
      <w:r w:rsidRPr="00702497">
        <w:rPr>
          <w:b/>
          <w:lang w:val="fr-FR"/>
        </w:rPr>
        <w:t>Suède</w:t>
      </w:r>
      <w:r w:rsidRPr="00CD221A">
        <w:rPr>
          <w:bCs/>
          <w:lang w:val="fr-FR"/>
        </w:rPr>
        <w:t xml:space="preserve"> a remercié le Maroc et le Président pour sa conduite des travaux du Comit</w:t>
      </w:r>
      <w:r w:rsidR="005410EA">
        <w:rPr>
          <w:bCs/>
          <w:lang w:val="fr-FR"/>
        </w:rPr>
        <w:t>é</w:t>
      </w:r>
      <w:r w:rsidRPr="00CD221A">
        <w:rPr>
          <w:bCs/>
          <w:lang w:val="fr-FR"/>
        </w:rPr>
        <w:t xml:space="preserve"> ainsi que pour la chaleur et la générosité dont il a</w:t>
      </w:r>
      <w:r>
        <w:rPr>
          <w:bCs/>
          <w:lang w:val="fr-FR"/>
        </w:rPr>
        <w:t>vait</w:t>
      </w:r>
      <w:r w:rsidRPr="00CD221A">
        <w:rPr>
          <w:bCs/>
          <w:lang w:val="fr-FR"/>
        </w:rPr>
        <w:t xml:space="preserve"> fait preuve à l</w:t>
      </w:r>
      <w:r w:rsidR="00923E72">
        <w:rPr>
          <w:bCs/>
          <w:lang w:val="fr-FR"/>
        </w:rPr>
        <w:t>’</w:t>
      </w:r>
      <w:r w:rsidRPr="00CD221A">
        <w:rPr>
          <w:bCs/>
          <w:lang w:val="fr-FR"/>
        </w:rPr>
        <w:t>égard de tous au cours de cette réunion. Elle a remercié le personnel d</w:t>
      </w:r>
      <w:r w:rsidR="00923E72">
        <w:rPr>
          <w:bCs/>
          <w:lang w:val="fr-FR"/>
        </w:rPr>
        <w:t>’</w:t>
      </w:r>
      <w:r w:rsidRPr="00CD221A">
        <w:rPr>
          <w:bCs/>
          <w:lang w:val="fr-FR"/>
        </w:rPr>
        <w:t xml:space="preserve">accueil, les chauffeurs et les interprètes pour leur professionnalisme et leur patience. Elle a vivement remercié le Secrétariat, le Sous-Directeur général, le Secrétaire et </w:t>
      </w:r>
      <w:r>
        <w:rPr>
          <w:bCs/>
          <w:lang w:val="fr-FR"/>
        </w:rPr>
        <w:t>M</w:t>
      </w:r>
      <w:r w:rsidRPr="00702497">
        <w:rPr>
          <w:bCs/>
          <w:vertAlign w:val="superscript"/>
          <w:lang w:val="fr-FR"/>
        </w:rPr>
        <w:t>me</w:t>
      </w:r>
      <w:r>
        <w:rPr>
          <w:bCs/>
          <w:lang w:val="fr-FR"/>
        </w:rPr>
        <w:t> </w:t>
      </w:r>
      <w:r w:rsidRPr="00CD221A">
        <w:rPr>
          <w:bCs/>
          <w:lang w:val="fr-FR"/>
        </w:rPr>
        <w:t>Fumiko Ohinata et leur équipe qui fournissent toujours une documentation bien rédigée, des réponses à toutes les questions et de très bons conseils. La délégation a remercié l</w:t>
      </w:r>
      <w:r w:rsidR="00923E72">
        <w:rPr>
          <w:bCs/>
          <w:lang w:val="fr-FR"/>
        </w:rPr>
        <w:t>’</w:t>
      </w:r>
      <w:r w:rsidRPr="00CD221A">
        <w:rPr>
          <w:bCs/>
          <w:lang w:val="fr-FR"/>
        </w:rPr>
        <w:t>Organe d</w:t>
      </w:r>
      <w:r w:rsidR="00923E72">
        <w:rPr>
          <w:bCs/>
          <w:lang w:val="fr-FR"/>
        </w:rPr>
        <w:t>’</w:t>
      </w:r>
      <w:r w:rsidRPr="00CD221A">
        <w:rPr>
          <w:bCs/>
          <w:lang w:val="fr-FR"/>
        </w:rPr>
        <w:t>évaluation et le Forum des ONG du PCI d</w:t>
      </w:r>
      <w:r w:rsidR="00923E72">
        <w:rPr>
          <w:bCs/>
          <w:lang w:val="fr-FR"/>
        </w:rPr>
        <w:t>’</w:t>
      </w:r>
      <w:r w:rsidRPr="00CD221A">
        <w:rPr>
          <w:bCs/>
          <w:lang w:val="fr-FR"/>
        </w:rPr>
        <w:t>avoir partagé leurs connaissances et leur expertise. Elle attendait avec impatience</w:t>
      </w:r>
      <w:r w:rsidR="00985543">
        <w:rPr>
          <w:bCs/>
          <w:lang w:val="fr-FR"/>
        </w:rPr>
        <w:t> </w:t>
      </w:r>
      <w:r w:rsidRPr="00CD221A">
        <w:rPr>
          <w:bCs/>
          <w:lang w:val="fr-FR"/>
        </w:rPr>
        <w:t>2023 et le processus de réflexion sur l</w:t>
      </w:r>
      <w:r w:rsidR="00923E72">
        <w:rPr>
          <w:bCs/>
          <w:lang w:val="fr-FR"/>
        </w:rPr>
        <w:t>’</w:t>
      </w:r>
      <w:r w:rsidRPr="00CD221A">
        <w:rPr>
          <w:bCs/>
          <w:lang w:val="fr-FR"/>
        </w:rPr>
        <w:t>article</w:t>
      </w:r>
      <w:r>
        <w:rPr>
          <w:bCs/>
          <w:lang w:val="fr-FR"/>
        </w:rPr>
        <w:t> </w:t>
      </w:r>
      <w:r w:rsidRPr="00CD221A">
        <w:rPr>
          <w:bCs/>
          <w:lang w:val="fr-FR"/>
        </w:rPr>
        <w:t>18 ainsi que la prochaine réunion du Comité au Botswana.</w:t>
      </w:r>
    </w:p>
    <w:p w14:paraId="381F0AA0" w14:textId="1AC8028F" w:rsidR="00CD221A" w:rsidRDefault="00CD221A">
      <w:pPr>
        <w:pStyle w:val="Orateurengris"/>
        <w:numPr>
          <w:ilvl w:val="0"/>
          <w:numId w:val="20"/>
        </w:numPr>
        <w:tabs>
          <w:tab w:val="clear" w:pos="567"/>
          <w:tab w:val="left" w:pos="5954"/>
        </w:tabs>
        <w:spacing w:before="120"/>
        <w:ind w:left="709" w:hanging="709"/>
        <w:rPr>
          <w:bCs/>
          <w:lang w:val="fr-FR"/>
        </w:rPr>
      </w:pPr>
      <w:r w:rsidRPr="00CD221A">
        <w:rPr>
          <w:bCs/>
          <w:lang w:val="fr-FR"/>
        </w:rPr>
        <w:t xml:space="preserve">La délégation du </w:t>
      </w:r>
      <w:r w:rsidRPr="00702497">
        <w:rPr>
          <w:b/>
          <w:lang w:val="fr-FR"/>
        </w:rPr>
        <w:t xml:space="preserve">Viet Nam </w:t>
      </w:r>
      <w:r w:rsidRPr="00CD221A">
        <w:rPr>
          <w:bCs/>
          <w:lang w:val="fr-FR"/>
        </w:rPr>
        <w:t>s</w:t>
      </w:r>
      <w:r w:rsidR="00923E72">
        <w:rPr>
          <w:bCs/>
          <w:lang w:val="fr-FR"/>
        </w:rPr>
        <w:t>’</w:t>
      </w:r>
      <w:r w:rsidRPr="00CD221A">
        <w:rPr>
          <w:bCs/>
          <w:lang w:val="fr-FR"/>
        </w:rPr>
        <w:t>est jointe à ses collègues intervenus précédemment pour féliciter le Président pour son excellente direction et sa sagesse, et pour remercier le Maroc de sa chaleureuse hospitalité et de son excellente organisation. Elle était réellement touchée par la chaleur et l</w:t>
      </w:r>
      <w:r w:rsidR="00923E72">
        <w:rPr>
          <w:bCs/>
          <w:lang w:val="fr-FR"/>
        </w:rPr>
        <w:t>’</w:t>
      </w:r>
      <w:r w:rsidRPr="00CD221A">
        <w:rPr>
          <w:bCs/>
          <w:lang w:val="fr-FR"/>
        </w:rPr>
        <w:t>amitié sincère du peuple marocain, et heureuse d</w:t>
      </w:r>
      <w:r w:rsidR="00923E72">
        <w:rPr>
          <w:bCs/>
          <w:lang w:val="fr-FR"/>
        </w:rPr>
        <w:t>’</w:t>
      </w:r>
      <w:r w:rsidRPr="00CD221A">
        <w:rPr>
          <w:bCs/>
          <w:lang w:val="fr-FR"/>
        </w:rPr>
        <w:t>avoir eu l</w:t>
      </w:r>
      <w:r w:rsidR="00923E72">
        <w:rPr>
          <w:bCs/>
          <w:lang w:val="fr-FR"/>
        </w:rPr>
        <w:t>’</w:t>
      </w:r>
      <w:r w:rsidRPr="00CD221A">
        <w:rPr>
          <w:bCs/>
          <w:lang w:val="fr-FR"/>
        </w:rPr>
        <w:t>occasion de s</w:t>
      </w:r>
      <w:r w:rsidR="00923E72">
        <w:rPr>
          <w:bCs/>
          <w:lang w:val="fr-FR"/>
        </w:rPr>
        <w:t>’</w:t>
      </w:r>
      <w:r w:rsidRPr="00CD221A">
        <w:rPr>
          <w:bCs/>
          <w:lang w:val="fr-FR"/>
        </w:rPr>
        <w:t>immerger dans la diversité de la culture et de la beauté uniques du Maroc. La délégation a exprimé ses sincères remerciements aux membres du Comité pour leur travail acharné, à l</w:t>
      </w:r>
      <w:r w:rsidR="00923E72">
        <w:rPr>
          <w:bCs/>
          <w:lang w:val="fr-FR"/>
        </w:rPr>
        <w:t>’</w:t>
      </w:r>
      <w:r w:rsidRPr="00CD221A">
        <w:rPr>
          <w:bCs/>
          <w:lang w:val="fr-FR"/>
        </w:rPr>
        <w:t>Organe d</w:t>
      </w:r>
      <w:r w:rsidR="00923E72">
        <w:rPr>
          <w:bCs/>
          <w:lang w:val="fr-FR"/>
        </w:rPr>
        <w:t>’</w:t>
      </w:r>
      <w:r w:rsidRPr="00CD221A">
        <w:rPr>
          <w:bCs/>
          <w:lang w:val="fr-FR"/>
        </w:rPr>
        <w:t>évaluation pour sa grande contribution, et elle a vivement félicité le Directeur général, le Sous-Directeur général, le Secrétariat, et en particulier le Secrétaire, pour leurs préparatifs minutieux et leur professionnalisme, grâce auxquels la réunion avait été un grand succès. Elle a félicité les nouveaux éléments inscrits au cours de cette session, qui montraient vraiment que le patrimoine culturel immatériel est non seulement une source vitale de diversité culturelle, de créativité, de dialogue interculturel et de cohésion sociale, mais également un moteur du développement durable et de la résilience. La délégation s</w:t>
      </w:r>
      <w:r w:rsidR="00923E72">
        <w:rPr>
          <w:bCs/>
          <w:lang w:val="fr-FR"/>
        </w:rPr>
        <w:t>’</w:t>
      </w:r>
      <w:r w:rsidRPr="00CD221A">
        <w:rPr>
          <w:bCs/>
          <w:lang w:val="fr-FR"/>
        </w:rPr>
        <w:t>est réjouie de se retrouver à Gaborone, au Botswana, remerciant l</w:t>
      </w:r>
      <w:r w:rsidR="00923E72">
        <w:rPr>
          <w:bCs/>
          <w:lang w:val="fr-FR"/>
        </w:rPr>
        <w:t>’</w:t>
      </w:r>
      <w:r w:rsidRPr="00CD221A">
        <w:rPr>
          <w:bCs/>
          <w:lang w:val="fr-FR"/>
        </w:rPr>
        <w:t xml:space="preserve">ambassadeur, </w:t>
      </w:r>
      <w:r w:rsidR="008C2B62">
        <w:rPr>
          <w:bCs/>
          <w:lang w:val="fr-FR"/>
        </w:rPr>
        <w:t>S. E</w:t>
      </w:r>
      <w:r w:rsidR="00F846ED">
        <w:rPr>
          <w:bCs/>
          <w:lang w:val="fr-FR"/>
        </w:rPr>
        <w:t>xc</w:t>
      </w:r>
      <w:r w:rsidR="008C2B62">
        <w:rPr>
          <w:bCs/>
          <w:lang w:val="fr-FR"/>
        </w:rPr>
        <w:t xml:space="preserve">. </w:t>
      </w:r>
      <w:r w:rsidRPr="00CD221A">
        <w:rPr>
          <w:bCs/>
          <w:lang w:val="fr-FR"/>
        </w:rPr>
        <w:t>M.</w:t>
      </w:r>
      <w:r w:rsidR="002D6EF5">
        <w:rPr>
          <w:bCs/>
          <w:lang w:val="fr-FR"/>
        </w:rPr>
        <w:t> </w:t>
      </w:r>
      <w:r w:rsidRPr="00CD221A">
        <w:rPr>
          <w:bCs/>
          <w:lang w:val="fr-FR"/>
        </w:rPr>
        <w:t>Mustaq Moorad, d</w:t>
      </w:r>
      <w:r w:rsidR="00923E72">
        <w:rPr>
          <w:bCs/>
          <w:lang w:val="fr-FR"/>
        </w:rPr>
        <w:t>’</w:t>
      </w:r>
      <w:r w:rsidRPr="00CD221A">
        <w:rPr>
          <w:bCs/>
          <w:lang w:val="fr-FR"/>
        </w:rPr>
        <w:t>accueillir la prochaine session, qui marquerait une nouvelle étape dans les efforts de sauvegarde du patrimoine culturel immatériel alors que la Convention célébrerait son vingtième anniversaire.</w:t>
      </w:r>
    </w:p>
    <w:p w14:paraId="08A16A5A" w14:textId="503C2113" w:rsidR="002D6EF5" w:rsidRDefault="002D6EF5">
      <w:pPr>
        <w:pStyle w:val="Orateurengris"/>
        <w:numPr>
          <w:ilvl w:val="0"/>
          <w:numId w:val="20"/>
        </w:numPr>
        <w:tabs>
          <w:tab w:val="clear" w:pos="567"/>
          <w:tab w:val="left" w:pos="5954"/>
        </w:tabs>
        <w:spacing w:before="120"/>
        <w:ind w:left="709" w:hanging="709"/>
        <w:rPr>
          <w:bCs/>
          <w:lang w:val="fr-FR"/>
        </w:rPr>
      </w:pPr>
      <w:r w:rsidRPr="002D6EF5">
        <w:rPr>
          <w:bCs/>
          <w:lang w:val="fr-FR"/>
        </w:rPr>
        <w:t xml:space="preserve">La délégation de la </w:t>
      </w:r>
      <w:r w:rsidRPr="00702497">
        <w:rPr>
          <w:b/>
          <w:lang w:val="fr-FR"/>
        </w:rPr>
        <w:t>Suisse</w:t>
      </w:r>
      <w:r w:rsidRPr="002D6EF5">
        <w:rPr>
          <w:bCs/>
          <w:lang w:val="fr-FR"/>
        </w:rPr>
        <w:t xml:space="preserve"> a commenté la remarquable éloquence avec laquelle les collègues avaient exprimé leurs remerciements, ajoutant que le Président avait fait en sorte que les délégations se sentent comme faisant partie de sa famille. Les délégations avaient été accueillies chaque jour avec chaleur, car </w:t>
      </w:r>
      <w:r>
        <w:rPr>
          <w:bCs/>
          <w:lang w:val="fr-FR"/>
        </w:rPr>
        <w:t xml:space="preserve">il </w:t>
      </w:r>
      <w:r w:rsidRPr="002D6EF5">
        <w:rPr>
          <w:bCs/>
          <w:lang w:val="fr-FR"/>
        </w:rPr>
        <w:t xml:space="preserve">dirigeait le Comité avec un grand </w:t>
      </w:r>
      <w:r w:rsidRPr="002D6EF5">
        <w:rPr>
          <w:bCs/>
          <w:lang w:val="fr-FR"/>
        </w:rPr>
        <w:lastRenderedPageBreak/>
        <w:t>professionnalisme. La délégation a remercié le Président pour l</w:t>
      </w:r>
      <w:r w:rsidR="00923E72">
        <w:rPr>
          <w:bCs/>
          <w:lang w:val="fr-FR"/>
        </w:rPr>
        <w:t>’</w:t>
      </w:r>
      <w:r w:rsidRPr="002D6EF5">
        <w:rPr>
          <w:bCs/>
          <w:lang w:val="fr-FR"/>
        </w:rPr>
        <w:t>accueil exceptionnel qui lui avait été réservé dans ce grand pays</w:t>
      </w:r>
      <w:r w:rsidR="009723F8">
        <w:rPr>
          <w:bCs/>
          <w:lang w:val="fr-FR"/>
        </w:rPr>
        <w:t xml:space="preserve">, </w:t>
      </w:r>
      <w:r w:rsidRPr="002D6EF5">
        <w:rPr>
          <w:bCs/>
          <w:lang w:val="fr-FR"/>
        </w:rPr>
        <w:t>qui recèle d</w:t>
      </w:r>
      <w:r w:rsidR="00923E72">
        <w:rPr>
          <w:bCs/>
          <w:lang w:val="fr-FR"/>
        </w:rPr>
        <w:t>’</w:t>
      </w:r>
      <w:r w:rsidRPr="002D6EF5">
        <w:rPr>
          <w:bCs/>
          <w:lang w:val="fr-FR"/>
        </w:rPr>
        <w:t xml:space="preserve">immenses richesses culturelles. Elle a remercié chaleureusement les </w:t>
      </w:r>
      <w:r>
        <w:rPr>
          <w:bCs/>
          <w:lang w:val="fr-FR"/>
        </w:rPr>
        <w:t xml:space="preserve">volontaires </w:t>
      </w:r>
      <w:r w:rsidRPr="002D6EF5">
        <w:rPr>
          <w:bCs/>
          <w:lang w:val="fr-FR"/>
        </w:rPr>
        <w:t>qui avaient guidé les délégués, les agents de sécurité toujours souriants, les chauffeurs et l</w:t>
      </w:r>
      <w:r w:rsidR="00923E72">
        <w:rPr>
          <w:bCs/>
          <w:lang w:val="fr-FR"/>
        </w:rPr>
        <w:t>’</w:t>
      </w:r>
      <w:r w:rsidRPr="002D6EF5">
        <w:rPr>
          <w:bCs/>
          <w:lang w:val="fr-FR"/>
        </w:rPr>
        <w:t>ensemble du personnel. La délégation a souligné l</w:t>
      </w:r>
      <w:r w:rsidR="00923E72">
        <w:rPr>
          <w:bCs/>
          <w:lang w:val="fr-FR"/>
        </w:rPr>
        <w:t>’</w:t>
      </w:r>
      <w:r w:rsidRPr="002D6EF5">
        <w:rPr>
          <w:bCs/>
          <w:lang w:val="fr-FR"/>
        </w:rPr>
        <w:t>extrême professionnalisme du Secrétariat, qui avait permis au Comité de travailler en toute confiance, sachant que tout avait été mis en œuvre, sans relâche, pour faciliter son travail et ses décisions. Des remerciements ont été adressés au Secrétaire et à toute son équipe ainsi qu</w:t>
      </w:r>
      <w:r w:rsidR="00923E72">
        <w:rPr>
          <w:bCs/>
          <w:lang w:val="fr-FR"/>
        </w:rPr>
        <w:t>’</w:t>
      </w:r>
      <w:r w:rsidRPr="002D6EF5">
        <w:rPr>
          <w:bCs/>
          <w:lang w:val="fr-FR"/>
        </w:rPr>
        <w:t>aux membres de l</w:t>
      </w:r>
      <w:r w:rsidR="00923E72">
        <w:rPr>
          <w:bCs/>
          <w:lang w:val="fr-FR"/>
        </w:rPr>
        <w:t>’</w:t>
      </w:r>
      <w:r w:rsidRPr="002D6EF5">
        <w:rPr>
          <w:bCs/>
          <w:lang w:val="fr-FR"/>
        </w:rPr>
        <w:t>Organe d</w:t>
      </w:r>
      <w:r w:rsidR="00923E72">
        <w:rPr>
          <w:bCs/>
          <w:lang w:val="fr-FR"/>
        </w:rPr>
        <w:t>’</w:t>
      </w:r>
      <w:r w:rsidRPr="002D6EF5">
        <w:rPr>
          <w:bCs/>
          <w:lang w:val="fr-FR"/>
        </w:rPr>
        <w:t>évaluation pour leur présence et leur ouverture au dialogue, exemplaires dans le cadre des différentes conventions.</w:t>
      </w:r>
    </w:p>
    <w:p w14:paraId="743E9FDC" w14:textId="3550F2A0" w:rsidR="002D6EF5" w:rsidRDefault="002D6EF5">
      <w:pPr>
        <w:pStyle w:val="Orateurengris"/>
        <w:numPr>
          <w:ilvl w:val="0"/>
          <w:numId w:val="20"/>
        </w:numPr>
        <w:tabs>
          <w:tab w:val="clear" w:pos="567"/>
          <w:tab w:val="left" w:pos="5954"/>
        </w:tabs>
        <w:spacing w:before="120"/>
        <w:ind w:left="709" w:hanging="709"/>
        <w:rPr>
          <w:bCs/>
          <w:lang w:val="fr-FR"/>
        </w:rPr>
      </w:pPr>
      <w:r w:rsidRPr="002D6EF5">
        <w:rPr>
          <w:bCs/>
          <w:lang w:val="fr-FR"/>
        </w:rPr>
        <w:t xml:space="preserve">La délégation du </w:t>
      </w:r>
      <w:r w:rsidRPr="00702497">
        <w:rPr>
          <w:b/>
          <w:lang w:val="fr-FR"/>
        </w:rPr>
        <w:t>Maroc</w:t>
      </w:r>
      <w:r w:rsidRPr="002D6EF5">
        <w:rPr>
          <w:bCs/>
          <w:lang w:val="fr-FR"/>
        </w:rPr>
        <w:t xml:space="preserve"> était très émue d</w:t>
      </w:r>
      <w:r w:rsidR="00923E72">
        <w:rPr>
          <w:bCs/>
          <w:lang w:val="fr-FR"/>
        </w:rPr>
        <w:t>’</w:t>
      </w:r>
      <w:r w:rsidRPr="002D6EF5">
        <w:rPr>
          <w:bCs/>
          <w:lang w:val="fr-FR"/>
        </w:rPr>
        <w:t>entendre les témoignages positifs et chaleureux des délégations présentes. Elle était satisfaite et fière de tout le travail accompli</w:t>
      </w:r>
      <w:r w:rsidR="004F368D">
        <w:rPr>
          <w:bCs/>
          <w:lang w:val="fr-FR"/>
        </w:rPr>
        <w:t>,</w:t>
      </w:r>
      <w:r w:rsidRPr="002D6EF5">
        <w:rPr>
          <w:bCs/>
          <w:lang w:val="fr-FR"/>
        </w:rPr>
        <w:t xml:space="preserve"> qui avait permis la réussite de cette session riche en émotion, en décisions importantes et en énergie positive et collective. La délégation a remercié les différentes autorités marocaines et toutes les personnes qui avaient participé à l</w:t>
      </w:r>
      <w:r w:rsidR="00923E72">
        <w:rPr>
          <w:bCs/>
          <w:lang w:val="fr-FR"/>
        </w:rPr>
        <w:t>’</w:t>
      </w:r>
      <w:r w:rsidRPr="002D6EF5">
        <w:rPr>
          <w:bCs/>
          <w:lang w:val="fr-FR"/>
        </w:rPr>
        <w:t>excellente organisation sans faille de cette session. Elle a vivement remercié le Sous-Directeur général, le Secrétaire et toute son équipe pour leurs efforts remarquables et</w:t>
      </w:r>
      <w:r w:rsidR="005C2B41">
        <w:rPr>
          <w:bCs/>
          <w:lang w:val="fr-FR"/>
        </w:rPr>
        <w:t xml:space="preserve"> inlassables</w:t>
      </w:r>
      <w:r w:rsidRPr="002D6EF5">
        <w:rPr>
          <w:bCs/>
          <w:lang w:val="fr-FR"/>
        </w:rPr>
        <w:t>, leur engagement et leur disponibilité. La délégation a remercié les interprètes pour leur travail et leur patience ainsi que tous les États parties et les délégués qui s</w:t>
      </w:r>
      <w:r w:rsidR="00923E72">
        <w:rPr>
          <w:bCs/>
          <w:lang w:val="fr-FR"/>
        </w:rPr>
        <w:t>’</w:t>
      </w:r>
      <w:r w:rsidRPr="002D6EF5">
        <w:rPr>
          <w:bCs/>
          <w:lang w:val="fr-FR"/>
        </w:rPr>
        <w:t>étaient déplacés à Rabat pour participer à la réunion. Elle a félicité le Président pour la sagesse et l</w:t>
      </w:r>
      <w:r w:rsidR="00923E72">
        <w:rPr>
          <w:bCs/>
          <w:lang w:val="fr-FR"/>
        </w:rPr>
        <w:t>’</w:t>
      </w:r>
      <w:r w:rsidRPr="002D6EF5">
        <w:rPr>
          <w:bCs/>
          <w:lang w:val="fr-FR"/>
        </w:rPr>
        <w:t>efficacité avec lesquelles il avait conduit les travaux, marqués par un calendrier aussi chargé, ajoutant que le Maroc attendait avec impatience le rendez-vous de</w:t>
      </w:r>
      <w:r w:rsidR="00905ADA">
        <w:rPr>
          <w:bCs/>
          <w:lang w:val="fr-FR"/>
        </w:rPr>
        <w:t> </w:t>
      </w:r>
      <w:r w:rsidRPr="002D6EF5">
        <w:rPr>
          <w:bCs/>
          <w:lang w:val="fr-FR"/>
        </w:rPr>
        <w:t>2023 au Botswana.</w:t>
      </w:r>
    </w:p>
    <w:p w14:paraId="5453E124" w14:textId="1542FCBB" w:rsidR="005C2B41" w:rsidRDefault="005C2B41">
      <w:pPr>
        <w:pStyle w:val="Orateurengris"/>
        <w:numPr>
          <w:ilvl w:val="0"/>
          <w:numId w:val="20"/>
        </w:numPr>
        <w:tabs>
          <w:tab w:val="clear" w:pos="567"/>
          <w:tab w:val="left" w:pos="5954"/>
        </w:tabs>
        <w:spacing w:before="120"/>
        <w:ind w:left="709" w:hanging="709"/>
        <w:rPr>
          <w:bCs/>
          <w:lang w:val="fr-FR"/>
        </w:rPr>
      </w:pPr>
      <w:r w:rsidRPr="005C2B41">
        <w:rPr>
          <w:bCs/>
          <w:lang w:val="fr-FR"/>
        </w:rPr>
        <w:t xml:space="preserve">La délégation du </w:t>
      </w:r>
      <w:r w:rsidRPr="00702497">
        <w:rPr>
          <w:b/>
          <w:lang w:val="fr-FR"/>
        </w:rPr>
        <w:t>Botswana</w:t>
      </w:r>
      <w:r w:rsidRPr="005C2B41">
        <w:rPr>
          <w:bCs/>
          <w:lang w:val="fr-FR"/>
        </w:rPr>
        <w:t xml:space="preserve"> a évoqué le mot </w:t>
      </w:r>
      <w:r>
        <w:rPr>
          <w:bCs/>
          <w:i/>
          <w:iCs/>
          <w:lang w:val="fr-FR"/>
        </w:rPr>
        <w:t>p</w:t>
      </w:r>
      <w:r w:rsidRPr="00702497">
        <w:rPr>
          <w:bCs/>
          <w:i/>
          <w:iCs/>
          <w:lang w:val="fr-FR"/>
        </w:rPr>
        <w:t>ula</w:t>
      </w:r>
      <w:r w:rsidRPr="005C2B41">
        <w:rPr>
          <w:bCs/>
          <w:lang w:val="fr-FR"/>
        </w:rPr>
        <w:t xml:space="preserve"> ! Un mot que les délégués entendraient souvent au Botswana, car </w:t>
      </w:r>
      <w:r>
        <w:rPr>
          <w:bCs/>
          <w:i/>
          <w:iCs/>
          <w:lang w:val="fr-FR"/>
        </w:rPr>
        <w:t>p</w:t>
      </w:r>
      <w:r w:rsidRPr="00702497">
        <w:rPr>
          <w:bCs/>
          <w:i/>
          <w:iCs/>
          <w:lang w:val="fr-FR"/>
        </w:rPr>
        <w:t>ula</w:t>
      </w:r>
      <w:r w:rsidRPr="005C2B41">
        <w:rPr>
          <w:bCs/>
          <w:lang w:val="fr-FR"/>
        </w:rPr>
        <w:t xml:space="preserve"> était très important pour les Botswanais. C</w:t>
      </w:r>
      <w:r w:rsidR="00923E72">
        <w:rPr>
          <w:bCs/>
          <w:lang w:val="fr-FR"/>
        </w:rPr>
        <w:t>’</w:t>
      </w:r>
      <w:r w:rsidRPr="005C2B41">
        <w:rPr>
          <w:bCs/>
          <w:lang w:val="fr-FR"/>
        </w:rPr>
        <w:t xml:space="preserve">était la vie. Le Botswana était un pays sec et </w:t>
      </w:r>
      <w:r w:rsidRPr="00702497">
        <w:rPr>
          <w:bCs/>
          <w:i/>
          <w:iCs/>
          <w:lang w:val="fr-FR"/>
        </w:rPr>
        <w:t>pula</w:t>
      </w:r>
      <w:r w:rsidRPr="005C2B41">
        <w:rPr>
          <w:bCs/>
          <w:lang w:val="fr-FR"/>
        </w:rPr>
        <w:t xml:space="preserve"> signifiait la pluie. Il signifiait la paix et toutes les bonnes choses que vous pouvez souhaiter à quelqu</w:t>
      </w:r>
      <w:r w:rsidR="00923E72">
        <w:rPr>
          <w:bCs/>
          <w:lang w:val="fr-FR"/>
        </w:rPr>
        <w:t>’</w:t>
      </w:r>
      <w:r w:rsidRPr="005C2B41">
        <w:rPr>
          <w:bCs/>
          <w:lang w:val="fr-FR"/>
        </w:rPr>
        <w:t>un. Il serait difficile de remplacer le Président</w:t>
      </w:r>
      <w:r w:rsidR="00905ADA">
        <w:rPr>
          <w:bCs/>
          <w:lang w:val="fr-FR"/>
        </w:rPr>
        <w:t>,</w:t>
      </w:r>
      <w:r w:rsidRPr="005C2B41">
        <w:rPr>
          <w:bCs/>
          <w:lang w:val="fr-FR"/>
        </w:rPr>
        <w:t xml:space="preserve"> tant les délégations avaient été traitées royalement par les habitants de ce beau pays. La délégation a remercié le Gouvernement et le peuple du Maroc pour leur chaleureuse et généreuse hospitalité. Elle a remercié l</w:t>
      </w:r>
      <w:r w:rsidR="00923E72">
        <w:rPr>
          <w:bCs/>
          <w:lang w:val="fr-FR"/>
        </w:rPr>
        <w:t>’</w:t>
      </w:r>
      <w:r w:rsidRPr="005C2B41">
        <w:rPr>
          <w:bCs/>
          <w:lang w:val="fr-FR"/>
        </w:rPr>
        <w:t>Organe d</w:t>
      </w:r>
      <w:r w:rsidR="00923E72">
        <w:rPr>
          <w:bCs/>
          <w:lang w:val="fr-FR"/>
        </w:rPr>
        <w:t>’</w:t>
      </w:r>
      <w:r w:rsidRPr="005C2B41">
        <w:rPr>
          <w:bCs/>
          <w:lang w:val="fr-FR"/>
        </w:rPr>
        <w:t>évaluation d</w:t>
      </w:r>
      <w:r w:rsidR="00923E72">
        <w:rPr>
          <w:bCs/>
          <w:lang w:val="fr-FR"/>
        </w:rPr>
        <w:t>’</w:t>
      </w:r>
      <w:r w:rsidRPr="005C2B41">
        <w:rPr>
          <w:bCs/>
          <w:lang w:val="fr-FR"/>
        </w:rPr>
        <w:t>avoir guidé le Comité dans son travail, malgré les moments difficiles, ainsi que le Secrétariat, les interprètes, les agents de sécurité et les équipiers</w:t>
      </w:r>
      <w:r w:rsidR="004F368D">
        <w:rPr>
          <w:bCs/>
          <w:lang w:val="fr-FR"/>
        </w:rPr>
        <w:t>,</w:t>
      </w:r>
      <w:r w:rsidRPr="005C2B41">
        <w:rPr>
          <w:bCs/>
          <w:lang w:val="fr-FR"/>
        </w:rPr>
        <w:t xml:space="preserve"> qui avaient toujours le sourire. La délégation a remercié tous ceux qui avaient contribué à cette merveilleuse expérience dans ce pays inoubliable, en souhaitant bonne chance à l</w:t>
      </w:r>
      <w:r w:rsidR="00923E72">
        <w:rPr>
          <w:bCs/>
          <w:lang w:val="fr-FR"/>
        </w:rPr>
        <w:t>’</w:t>
      </w:r>
      <w:r w:rsidRPr="005C2B41">
        <w:rPr>
          <w:bCs/>
          <w:lang w:val="fr-FR"/>
        </w:rPr>
        <w:t>équipe nationale pour le prochain tour de la Coupe du monde, car elle portait également haut les couleurs de l</w:t>
      </w:r>
      <w:r w:rsidR="00923E72">
        <w:rPr>
          <w:bCs/>
          <w:lang w:val="fr-FR"/>
        </w:rPr>
        <w:t>’</w:t>
      </w:r>
      <w:r w:rsidRPr="005C2B41">
        <w:rPr>
          <w:bCs/>
          <w:lang w:val="fr-FR"/>
        </w:rPr>
        <w:t>Afrique. La délégation a remercié le Comité d</w:t>
      </w:r>
      <w:r w:rsidR="00923E72">
        <w:rPr>
          <w:bCs/>
          <w:lang w:val="fr-FR"/>
        </w:rPr>
        <w:t>’</w:t>
      </w:r>
      <w:r w:rsidRPr="005C2B41">
        <w:rPr>
          <w:bCs/>
          <w:lang w:val="fr-FR"/>
        </w:rPr>
        <w:t xml:space="preserve">avoir choisi le Botswana pour accueillir la prochaine session, un pays dont la faune et la flore occuperaient les délégués en lieu et place du football. Le Botswana les accueillerait à bras ouverts pour une expérience tout aussi mémorable. </w:t>
      </w:r>
      <w:r w:rsidRPr="00702497">
        <w:rPr>
          <w:bCs/>
          <w:i/>
          <w:iCs/>
          <w:lang w:val="fr-FR"/>
        </w:rPr>
        <w:t>Pula</w:t>
      </w:r>
      <w:r w:rsidRPr="005C2B41">
        <w:rPr>
          <w:bCs/>
          <w:lang w:val="fr-FR"/>
        </w:rPr>
        <w:t xml:space="preserve"> !</w:t>
      </w:r>
    </w:p>
    <w:p w14:paraId="32B1376A" w14:textId="46137B7F" w:rsidR="005C2B41" w:rsidRDefault="008B6034">
      <w:pPr>
        <w:pStyle w:val="Orateurengris"/>
        <w:numPr>
          <w:ilvl w:val="0"/>
          <w:numId w:val="20"/>
        </w:numPr>
        <w:tabs>
          <w:tab w:val="clear" w:pos="567"/>
          <w:tab w:val="left" w:pos="5954"/>
        </w:tabs>
        <w:spacing w:before="120"/>
        <w:ind w:left="709" w:hanging="709"/>
        <w:rPr>
          <w:bCs/>
          <w:lang w:val="fr-FR"/>
        </w:rPr>
      </w:pPr>
      <w:r w:rsidRPr="008B6034">
        <w:rPr>
          <w:bCs/>
          <w:lang w:val="fr-FR"/>
        </w:rPr>
        <w:t xml:space="preserve">Après avoir remercié le Botswana, le </w:t>
      </w:r>
      <w:r w:rsidRPr="00702497">
        <w:rPr>
          <w:b/>
          <w:lang w:val="fr-FR"/>
        </w:rPr>
        <w:t>Président</w:t>
      </w:r>
      <w:r w:rsidRPr="008B6034">
        <w:rPr>
          <w:bCs/>
          <w:lang w:val="fr-FR"/>
        </w:rPr>
        <w:t xml:space="preserve"> s</w:t>
      </w:r>
      <w:r w:rsidR="00923E72">
        <w:rPr>
          <w:bCs/>
          <w:lang w:val="fr-FR"/>
        </w:rPr>
        <w:t>’</w:t>
      </w:r>
      <w:r w:rsidRPr="008B6034">
        <w:rPr>
          <w:bCs/>
          <w:lang w:val="fr-FR"/>
        </w:rPr>
        <w:t>est dit convaincu que la dix</w:t>
      </w:r>
      <w:r>
        <w:rPr>
          <w:bCs/>
          <w:lang w:val="fr-FR"/>
        </w:rPr>
        <w:noBreakHyphen/>
      </w:r>
      <w:r w:rsidRPr="008B6034">
        <w:rPr>
          <w:bCs/>
          <w:lang w:val="fr-FR"/>
        </w:rPr>
        <w:t xml:space="preserve">huitième session du Comité serait un événement mémorable. Un grand pays et un peuple merveilleux attendaient le Comité, magnifiquement représenté par le futur Président, </w:t>
      </w:r>
      <w:r w:rsidR="008C2B62">
        <w:rPr>
          <w:bCs/>
          <w:lang w:val="fr-FR"/>
        </w:rPr>
        <w:t>S E</w:t>
      </w:r>
      <w:r w:rsidR="00F846ED">
        <w:rPr>
          <w:bCs/>
          <w:lang w:val="fr-FR"/>
        </w:rPr>
        <w:t>xc</w:t>
      </w:r>
      <w:r w:rsidR="008C2B62">
        <w:rPr>
          <w:bCs/>
          <w:lang w:val="fr-FR"/>
        </w:rPr>
        <w:t xml:space="preserve">. </w:t>
      </w:r>
      <w:r w:rsidRPr="008B6034">
        <w:rPr>
          <w:bCs/>
          <w:lang w:val="fr-FR"/>
        </w:rPr>
        <w:t>M.</w:t>
      </w:r>
      <w:r>
        <w:rPr>
          <w:bCs/>
          <w:lang w:val="fr-FR"/>
        </w:rPr>
        <w:t> </w:t>
      </w:r>
      <w:r w:rsidRPr="008B6034">
        <w:rPr>
          <w:bCs/>
          <w:lang w:val="fr-FR"/>
        </w:rPr>
        <w:t xml:space="preserve">Mustaq Moorad. Le Président lui a </w:t>
      </w:r>
      <w:r>
        <w:rPr>
          <w:bCs/>
          <w:lang w:val="fr-FR"/>
        </w:rPr>
        <w:t>adressé tous ses vœux de réussite</w:t>
      </w:r>
      <w:r w:rsidRPr="008B6034">
        <w:rPr>
          <w:bCs/>
          <w:lang w:val="fr-FR"/>
        </w:rPr>
        <w:t>, ajoutant qu</w:t>
      </w:r>
      <w:r w:rsidR="00923E72">
        <w:rPr>
          <w:bCs/>
          <w:lang w:val="fr-FR"/>
        </w:rPr>
        <w:t>’</w:t>
      </w:r>
      <w:r w:rsidRPr="008B6034">
        <w:rPr>
          <w:bCs/>
          <w:lang w:val="fr-FR"/>
        </w:rPr>
        <w:t>il pouvait compter sur lui pour œuvrer au succès de la prochaine session. C</w:t>
      </w:r>
      <w:r w:rsidR="00923E72">
        <w:rPr>
          <w:bCs/>
          <w:lang w:val="fr-FR"/>
        </w:rPr>
        <w:t>’</w:t>
      </w:r>
      <w:r w:rsidRPr="008B6034">
        <w:rPr>
          <w:bCs/>
          <w:lang w:val="fr-FR"/>
        </w:rPr>
        <w:t>était un plaisir et un honneur d</w:t>
      </w:r>
      <w:r w:rsidR="00923E72">
        <w:rPr>
          <w:bCs/>
          <w:lang w:val="fr-FR"/>
        </w:rPr>
        <w:t>’</w:t>
      </w:r>
      <w:r w:rsidRPr="008B6034">
        <w:rPr>
          <w:bCs/>
          <w:lang w:val="fr-FR"/>
        </w:rPr>
        <w:t xml:space="preserve">avoir accueilli le ministre, </w:t>
      </w:r>
      <w:r w:rsidR="006C3B58">
        <w:rPr>
          <w:bCs/>
          <w:lang w:val="fr-FR"/>
        </w:rPr>
        <w:t>S.</w:t>
      </w:r>
      <w:r w:rsidR="00090E6E">
        <w:rPr>
          <w:bCs/>
          <w:lang w:val="fr-FR"/>
        </w:rPr>
        <w:t> </w:t>
      </w:r>
      <w:r w:rsidR="006C3B58">
        <w:rPr>
          <w:bCs/>
          <w:lang w:val="fr-FR"/>
        </w:rPr>
        <w:t>E</w:t>
      </w:r>
      <w:r w:rsidR="00F846ED">
        <w:rPr>
          <w:bCs/>
          <w:lang w:val="fr-FR"/>
        </w:rPr>
        <w:t>xc</w:t>
      </w:r>
      <w:r w:rsidR="006C3B58">
        <w:rPr>
          <w:bCs/>
          <w:lang w:val="fr-FR"/>
        </w:rPr>
        <w:t xml:space="preserve">. </w:t>
      </w:r>
      <w:r w:rsidRPr="008B6034">
        <w:rPr>
          <w:bCs/>
          <w:lang w:val="fr-FR"/>
        </w:rPr>
        <w:t>M.</w:t>
      </w:r>
      <w:r>
        <w:rPr>
          <w:bCs/>
          <w:lang w:val="fr-FR"/>
        </w:rPr>
        <w:t> </w:t>
      </w:r>
      <w:proofErr w:type="spellStart"/>
      <w:r w:rsidRPr="008B6034">
        <w:rPr>
          <w:bCs/>
          <w:lang w:val="fr-FR"/>
        </w:rPr>
        <w:t>Tumis</w:t>
      </w:r>
      <w:r w:rsidR="00035B41">
        <w:rPr>
          <w:bCs/>
          <w:lang w:val="fr-FR"/>
        </w:rPr>
        <w:t>o</w:t>
      </w:r>
      <w:proofErr w:type="spellEnd"/>
      <w:r w:rsidRPr="008B6034">
        <w:rPr>
          <w:bCs/>
          <w:lang w:val="fr-FR"/>
        </w:rPr>
        <w:t xml:space="preserve"> </w:t>
      </w:r>
      <w:proofErr w:type="spellStart"/>
      <w:r w:rsidRPr="008B6034">
        <w:rPr>
          <w:bCs/>
          <w:lang w:val="fr-FR"/>
        </w:rPr>
        <w:t>Rakgare</w:t>
      </w:r>
      <w:proofErr w:type="spellEnd"/>
      <w:r w:rsidRPr="008B6034">
        <w:rPr>
          <w:bCs/>
          <w:lang w:val="fr-FR"/>
        </w:rPr>
        <w:t>, et toute l</w:t>
      </w:r>
      <w:r w:rsidR="00923E72">
        <w:rPr>
          <w:bCs/>
          <w:lang w:val="fr-FR"/>
        </w:rPr>
        <w:t>’</w:t>
      </w:r>
      <w:r w:rsidRPr="008B6034">
        <w:rPr>
          <w:bCs/>
          <w:lang w:val="fr-FR"/>
        </w:rPr>
        <w:t xml:space="preserve">équipe du Botswana, et il a remercié </w:t>
      </w:r>
      <w:r w:rsidR="00F846ED">
        <w:rPr>
          <w:bCs/>
          <w:lang w:val="fr-FR"/>
        </w:rPr>
        <w:t xml:space="preserve">S. Exc. </w:t>
      </w:r>
      <w:r w:rsidRPr="008B6034">
        <w:rPr>
          <w:bCs/>
          <w:lang w:val="fr-FR"/>
        </w:rPr>
        <w:t>M.</w:t>
      </w:r>
      <w:r>
        <w:rPr>
          <w:bCs/>
          <w:lang w:val="fr-FR"/>
        </w:rPr>
        <w:t> </w:t>
      </w:r>
      <w:r w:rsidRPr="008B6034">
        <w:rPr>
          <w:bCs/>
          <w:lang w:val="fr-FR"/>
        </w:rPr>
        <w:t>Moorad pour son esprit exceptionnel, sa fraternité, son ouverture et son amitié. Au nom de Sa Majesté le Roi, Mohammed</w:t>
      </w:r>
      <w:r>
        <w:rPr>
          <w:bCs/>
          <w:lang w:val="fr-FR"/>
        </w:rPr>
        <w:t> </w:t>
      </w:r>
      <w:r w:rsidRPr="008B6034">
        <w:rPr>
          <w:bCs/>
          <w:lang w:val="fr-FR"/>
        </w:rPr>
        <w:t>VI, et du Gouvernement du Maroc, le Président a remercié tous les délégués pour leur travail acharné, ajoutant que tout ce qu</w:t>
      </w:r>
      <w:r w:rsidR="00923E72">
        <w:rPr>
          <w:bCs/>
          <w:lang w:val="fr-FR"/>
        </w:rPr>
        <w:t>’</w:t>
      </w:r>
      <w:r w:rsidRPr="008B6034">
        <w:rPr>
          <w:bCs/>
          <w:lang w:val="fr-FR"/>
        </w:rPr>
        <w:t>ils avaient vu, cet esprit, cette vision et cette ambition que l</w:t>
      </w:r>
      <w:r w:rsidR="00923E72">
        <w:rPr>
          <w:bCs/>
          <w:lang w:val="fr-FR"/>
        </w:rPr>
        <w:t>’</w:t>
      </w:r>
      <w:r w:rsidRPr="008B6034">
        <w:rPr>
          <w:bCs/>
          <w:lang w:val="fr-FR"/>
        </w:rPr>
        <w:t>on p</w:t>
      </w:r>
      <w:r>
        <w:rPr>
          <w:bCs/>
          <w:lang w:val="fr-FR"/>
        </w:rPr>
        <w:t xml:space="preserve">ouvait </w:t>
      </w:r>
      <w:r w:rsidRPr="008B6034">
        <w:rPr>
          <w:bCs/>
          <w:lang w:val="fr-FR"/>
        </w:rPr>
        <w:t>voir à Rabat, et depuis les vingt à vingt</w:t>
      </w:r>
      <w:r>
        <w:rPr>
          <w:bCs/>
          <w:lang w:val="fr-FR"/>
        </w:rPr>
        <w:noBreakHyphen/>
      </w:r>
      <w:r w:rsidRPr="008B6034">
        <w:rPr>
          <w:bCs/>
          <w:lang w:val="fr-FR"/>
        </w:rPr>
        <w:t>cinq dernières années, était possible grâce à la vision claire et à l</w:t>
      </w:r>
      <w:r w:rsidR="00923E72">
        <w:rPr>
          <w:bCs/>
          <w:lang w:val="fr-FR"/>
        </w:rPr>
        <w:t>’</w:t>
      </w:r>
      <w:r w:rsidRPr="008B6034">
        <w:rPr>
          <w:bCs/>
          <w:lang w:val="fr-FR"/>
        </w:rPr>
        <w:t>ambition du magnifique Roi pour ce pays</w:t>
      </w:r>
      <w:r>
        <w:rPr>
          <w:bCs/>
          <w:lang w:val="fr-FR"/>
        </w:rPr>
        <w:t xml:space="preserve">, </w:t>
      </w:r>
      <w:r w:rsidRPr="008B6034">
        <w:rPr>
          <w:bCs/>
          <w:lang w:val="fr-FR"/>
        </w:rPr>
        <w:t>qui avait conduit le pays là où il se trouvait</w:t>
      </w:r>
      <w:r>
        <w:rPr>
          <w:bCs/>
          <w:lang w:val="fr-FR"/>
        </w:rPr>
        <w:t xml:space="preserve"> désormais</w:t>
      </w:r>
      <w:r w:rsidRPr="008B6034">
        <w:rPr>
          <w:bCs/>
          <w:lang w:val="fr-FR"/>
        </w:rPr>
        <w:t>. Le Maroc était un pays à revenu moyen</w:t>
      </w:r>
      <w:r w:rsidR="00221804">
        <w:rPr>
          <w:bCs/>
          <w:lang w:val="fr-FR"/>
        </w:rPr>
        <w:t xml:space="preserve">, </w:t>
      </w:r>
      <w:r w:rsidRPr="008B6034">
        <w:rPr>
          <w:bCs/>
          <w:lang w:val="fr-FR"/>
        </w:rPr>
        <w:t>mais un pays émergent. Il n</w:t>
      </w:r>
      <w:r w:rsidR="00923E72">
        <w:rPr>
          <w:bCs/>
          <w:lang w:val="fr-FR"/>
        </w:rPr>
        <w:t>’</w:t>
      </w:r>
      <w:r w:rsidRPr="008B6034">
        <w:rPr>
          <w:bCs/>
          <w:lang w:val="fr-FR"/>
        </w:rPr>
        <w:t>avait</w:t>
      </w:r>
      <w:r w:rsidR="00905ADA">
        <w:rPr>
          <w:bCs/>
          <w:lang w:val="fr-FR"/>
        </w:rPr>
        <w:t xml:space="preserve"> ni</w:t>
      </w:r>
      <w:r w:rsidRPr="008B6034">
        <w:rPr>
          <w:bCs/>
          <w:lang w:val="fr-FR"/>
        </w:rPr>
        <w:t xml:space="preserve"> gaz ni pétrole, mais il avait une ambition et une vision, et un peuple engagé autour de son roi. C</w:t>
      </w:r>
      <w:r w:rsidR="00923E72">
        <w:rPr>
          <w:bCs/>
          <w:lang w:val="fr-FR"/>
        </w:rPr>
        <w:t>’</w:t>
      </w:r>
      <w:r w:rsidRPr="008B6034">
        <w:rPr>
          <w:bCs/>
          <w:lang w:val="fr-FR"/>
        </w:rPr>
        <w:t>est ce qui expliquait le succès du modèle marocain et ce qui faisait la fierté des Marocains.</w:t>
      </w:r>
    </w:p>
    <w:p w14:paraId="033E3870" w14:textId="08AEB7A6" w:rsidR="008B6034" w:rsidRDefault="008B6034" w:rsidP="006E3034">
      <w:pPr>
        <w:pStyle w:val="Orateurengris"/>
        <w:numPr>
          <w:ilvl w:val="0"/>
          <w:numId w:val="20"/>
        </w:numPr>
        <w:tabs>
          <w:tab w:val="clear" w:pos="567"/>
          <w:tab w:val="left" w:pos="5954"/>
        </w:tabs>
        <w:spacing w:before="120" w:after="360"/>
        <w:ind w:left="709" w:hanging="709"/>
        <w:rPr>
          <w:bCs/>
          <w:lang w:val="fr-FR"/>
        </w:rPr>
      </w:pPr>
      <w:r w:rsidRPr="008B6034">
        <w:rPr>
          <w:bCs/>
          <w:lang w:val="fr-FR"/>
        </w:rPr>
        <w:t xml:space="preserve">Le </w:t>
      </w:r>
      <w:r w:rsidRPr="00702497">
        <w:rPr>
          <w:b/>
          <w:lang w:val="fr-FR"/>
        </w:rPr>
        <w:t>Président</w:t>
      </w:r>
      <w:r w:rsidRPr="008B6034">
        <w:rPr>
          <w:bCs/>
          <w:lang w:val="fr-FR"/>
        </w:rPr>
        <w:t xml:space="preserve"> était très heureux d</w:t>
      </w:r>
      <w:r w:rsidR="00923E72">
        <w:rPr>
          <w:bCs/>
          <w:lang w:val="fr-FR"/>
        </w:rPr>
        <w:t>’</w:t>
      </w:r>
      <w:r w:rsidRPr="008B6034">
        <w:rPr>
          <w:bCs/>
          <w:lang w:val="fr-FR"/>
        </w:rPr>
        <w:t>avoir reçu les délégués au nom du Royaume du Maroc et du Gouvernement. Il a félicité l</w:t>
      </w:r>
      <w:r>
        <w:rPr>
          <w:bCs/>
          <w:lang w:val="fr-FR"/>
        </w:rPr>
        <w:t>a Directrice</w:t>
      </w:r>
      <w:r w:rsidRPr="008B6034">
        <w:rPr>
          <w:bCs/>
          <w:lang w:val="fr-FR"/>
        </w:rPr>
        <w:t xml:space="preserve"> de l</w:t>
      </w:r>
      <w:r w:rsidR="00923E72">
        <w:rPr>
          <w:bCs/>
          <w:lang w:val="fr-FR"/>
        </w:rPr>
        <w:t>’</w:t>
      </w:r>
      <w:r w:rsidRPr="008B6034">
        <w:rPr>
          <w:bCs/>
          <w:lang w:val="fr-FR"/>
        </w:rPr>
        <w:t xml:space="preserve">Action culturelle, dont le travail avait contribué à la réussite de cet événement. Il a remercié Avant-Scène, le ministère de la Culture, pour </w:t>
      </w:r>
      <w:r w:rsidRPr="008B6034">
        <w:rPr>
          <w:bCs/>
          <w:lang w:val="fr-FR"/>
        </w:rPr>
        <w:lastRenderedPageBreak/>
        <w:t xml:space="preserve">son merveilleux travail, en particulier le ministre, </w:t>
      </w:r>
      <w:r w:rsidR="00090E6E">
        <w:rPr>
          <w:bCs/>
          <w:lang w:val="fr-FR"/>
        </w:rPr>
        <w:t>S. E</w:t>
      </w:r>
      <w:r w:rsidR="00F846ED">
        <w:rPr>
          <w:bCs/>
          <w:lang w:val="fr-FR"/>
        </w:rPr>
        <w:t>xc</w:t>
      </w:r>
      <w:r w:rsidR="00090E6E">
        <w:rPr>
          <w:bCs/>
          <w:lang w:val="fr-FR"/>
        </w:rPr>
        <w:t xml:space="preserve">. </w:t>
      </w:r>
      <w:r w:rsidRPr="008B6034">
        <w:rPr>
          <w:bCs/>
          <w:lang w:val="fr-FR"/>
        </w:rPr>
        <w:t>M.</w:t>
      </w:r>
      <w:r>
        <w:rPr>
          <w:bCs/>
          <w:lang w:val="fr-FR"/>
        </w:rPr>
        <w:t> </w:t>
      </w:r>
      <w:r w:rsidRPr="008B6034">
        <w:rPr>
          <w:bCs/>
          <w:lang w:val="fr-FR"/>
        </w:rPr>
        <w:t xml:space="preserve">Mohammed Mehdi </w:t>
      </w:r>
      <w:proofErr w:type="spellStart"/>
      <w:r w:rsidRPr="008B6034">
        <w:rPr>
          <w:bCs/>
          <w:lang w:val="fr-FR"/>
        </w:rPr>
        <w:t>Bensaid</w:t>
      </w:r>
      <w:proofErr w:type="spellEnd"/>
      <w:r w:rsidRPr="008B6034">
        <w:rPr>
          <w:bCs/>
          <w:lang w:val="fr-FR"/>
        </w:rPr>
        <w:t xml:space="preserve">, qui </w:t>
      </w:r>
      <w:r>
        <w:rPr>
          <w:bCs/>
          <w:lang w:val="fr-FR"/>
        </w:rPr>
        <w:t>s</w:t>
      </w:r>
      <w:r w:rsidR="00923E72">
        <w:rPr>
          <w:bCs/>
          <w:lang w:val="fr-FR"/>
        </w:rPr>
        <w:t>’</w:t>
      </w:r>
      <w:r w:rsidRPr="008B6034">
        <w:rPr>
          <w:bCs/>
          <w:lang w:val="fr-FR"/>
        </w:rPr>
        <w:t xml:space="preserve">était fortement engagé pour la réussite de cet événement. Le Président a remercié le ministre des Affaires étrangères, </w:t>
      </w:r>
      <w:r w:rsidR="00090E6E">
        <w:rPr>
          <w:bCs/>
          <w:lang w:val="fr-FR"/>
        </w:rPr>
        <w:t>S. E</w:t>
      </w:r>
      <w:r w:rsidR="00F846ED">
        <w:rPr>
          <w:bCs/>
          <w:lang w:val="fr-FR"/>
        </w:rPr>
        <w:t>xc</w:t>
      </w:r>
      <w:r w:rsidR="00090E6E">
        <w:rPr>
          <w:bCs/>
          <w:lang w:val="fr-FR"/>
        </w:rPr>
        <w:t xml:space="preserve">. </w:t>
      </w:r>
      <w:r w:rsidRPr="008B6034">
        <w:rPr>
          <w:bCs/>
          <w:lang w:val="fr-FR"/>
        </w:rPr>
        <w:t>M.</w:t>
      </w:r>
      <w:r>
        <w:rPr>
          <w:bCs/>
          <w:lang w:val="fr-FR"/>
        </w:rPr>
        <w:t> </w:t>
      </w:r>
      <w:r w:rsidRPr="008B6034">
        <w:rPr>
          <w:bCs/>
          <w:lang w:val="fr-FR"/>
        </w:rPr>
        <w:t xml:space="preserve">Nasser </w:t>
      </w:r>
      <w:proofErr w:type="spellStart"/>
      <w:r w:rsidRPr="008B6034">
        <w:rPr>
          <w:bCs/>
          <w:lang w:val="fr-FR"/>
        </w:rPr>
        <w:t>Bourita</w:t>
      </w:r>
      <w:proofErr w:type="spellEnd"/>
      <w:r w:rsidRPr="008B6034">
        <w:rPr>
          <w:bCs/>
          <w:lang w:val="fr-FR"/>
        </w:rPr>
        <w:t>, pour le soutien incroyable qu</w:t>
      </w:r>
      <w:r w:rsidR="00923E72">
        <w:rPr>
          <w:bCs/>
          <w:lang w:val="fr-FR"/>
        </w:rPr>
        <w:t>’</w:t>
      </w:r>
      <w:r w:rsidRPr="008B6034">
        <w:rPr>
          <w:bCs/>
          <w:lang w:val="fr-FR"/>
        </w:rPr>
        <w:t>il avait apporté à l</w:t>
      </w:r>
      <w:r w:rsidR="00923E72">
        <w:rPr>
          <w:bCs/>
          <w:lang w:val="fr-FR"/>
        </w:rPr>
        <w:t>’</w:t>
      </w:r>
      <w:r w:rsidRPr="008B6034">
        <w:rPr>
          <w:bCs/>
          <w:lang w:val="fr-FR"/>
        </w:rPr>
        <w:t xml:space="preserve">organisation de cet événement, en prenant les contacts nécessaires pour faciliter la tâche. Il a remercié une fois de plus les ministres. Il a remercié tous ceux qui avaient œuvré de près ou de loin à la réussite de cet événement, le Secrétariat et toutes les équipes pour leur travail exceptionnel, </w:t>
      </w:r>
      <w:r w:rsidR="009C4402">
        <w:rPr>
          <w:bCs/>
          <w:lang w:val="fr-FR"/>
        </w:rPr>
        <w:t xml:space="preserve">et </w:t>
      </w:r>
      <w:r w:rsidRPr="008B6034">
        <w:rPr>
          <w:bCs/>
          <w:lang w:val="fr-FR"/>
        </w:rPr>
        <w:t xml:space="preserve">les membres du Comité </w:t>
      </w:r>
      <w:r w:rsidR="00221804">
        <w:rPr>
          <w:bCs/>
          <w:lang w:val="fr-FR"/>
        </w:rPr>
        <w:t xml:space="preserve">aux côtés desquels </w:t>
      </w:r>
      <w:r w:rsidRPr="008B6034">
        <w:rPr>
          <w:bCs/>
          <w:lang w:val="fr-FR"/>
        </w:rPr>
        <w:t>ce</w:t>
      </w:r>
      <w:r w:rsidR="00221804">
        <w:rPr>
          <w:bCs/>
          <w:lang w:val="fr-FR"/>
        </w:rPr>
        <w:t>la avait été</w:t>
      </w:r>
      <w:r w:rsidRPr="008B6034">
        <w:rPr>
          <w:bCs/>
          <w:lang w:val="fr-FR"/>
        </w:rPr>
        <w:t xml:space="preserve"> un plaisir et un honneur de travailler. Le Président a clôturé la dix</w:t>
      </w:r>
      <w:r w:rsidR="009C4402">
        <w:rPr>
          <w:bCs/>
          <w:lang w:val="fr-FR"/>
        </w:rPr>
        <w:noBreakHyphen/>
      </w:r>
      <w:r w:rsidRPr="008B6034">
        <w:rPr>
          <w:bCs/>
          <w:lang w:val="fr-FR"/>
        </w:rPr>
        <w:t xml:space="preserve">septième session du Comité intergouvernemental </w:t>
      </w:r>
      <w:r w:rsidR="00805FB2">
        <w:rPr>
          <w:bCs/>
          <w:lang w:val="fr-FR"/>
        </w:rPr>
        <w:t>de</w:t>
      </w:r>
      <w:r w:rsidRPr="008B6034">
        <w:rPr>
          <w:bCs/>
          <w:lang w:val="fr-FR"/>
        </w:rPr>
        <w:t xml:space="preserve"> sauvegarde du patrimoine culturel immatériel.</w:t>
      </w:r>
    </w:p>
    <w:p w14:paraId="74DEE81D" w14:textId="76AE76C4" w:rsidR="00035B41" w:rsidRPr="006E3034" w:rsidRDefault="00035B41" w:rsidP="006E3034">
      <w:pPr>
        <w:pStyle w:val="Orateurengris"/>
        <w:tabs>
          <w:tab w:val="left" w:pos="5954"/>
        </w:tabs>
        <w:spacing w:before="240"/>
        <w:ind w:left="709"/>
        <w:contextualSpacing/>
        <w:jc w:val="center"/>
        <w:rPr>
          <w:bCs/>
          <w:i/>
          <w:iCs/>
          <w:lang w:val="fr-FR"/>
        </w:rPr>
      </w:pPr>
      <w:r w:rsidRPr="006E3034">
        <w:rPr>
          <w:bCs/>
          <w:i/>
          <w:iCs/>
          <w:lang w:val="fr-FR"/>
        </w:rPr>
        <w:t xml:space="preserve">[Clôture de la dix-septième </w:t>
      </w:r>
      <w:r w:rsidRPr="006E3034">
        <w:rPr>
          <w:rFonts w:eastAsiaTheme="minorEastAsia"/>
          <w:i/>
          <w:lang w:val="fr-FR" w:eastAsia="en-GB"/>
        </w:rPr>
        <w:t>session</w:t>
      </w:r>
      <w:r w:rsidRPr="006E3034">
        <w:rPr>
          <w:bCs/>
          <w:i/>
          <w:iCs/>
          <w:lang w:val="fr-FR"/>
        </w:rPr>
        <w:t xml:space="preserve"> du Comité intergouvernemental</w:t>
      </w:r>
    </w:p>
    <w:p w14:paraId="267B8624" w14:textId="5A63F0E6" w:rsidR="00035B41" w:rsidRDefault="00847D9F" w:rsidP="001A315B">
      <w:pPr>
        <w:pStyle w:val="Orateurengris"/>
        <w:tabs>
          <w:tab w:val="left" w:pos="5954"/>
        </w:tabs>
        <w:spacing w:before="120"/>
        <w:ind w:left="709"/>
        <w:jc w:val="center"/>
        <w:rPr>
          <w:bCs/>
          <w:i/>
          <w:iCs/>
          <w:lang w:val="fr-FR"/>
        </w:rPr>
      </w:pPr>
      <w:r>
        <w:rPr>
          <w:bCs/>
          <w:i/>
          <w:iCs/>
          <w:lang w:val="fr-FR"/>
        </w:rPr>
        <w:t>de</w:t>
      </w:r>
      <w:r w:rsidR="00035B41" w:rsidRPr="006E3034">
        <w:rPr>
          <w:bCs/>
          <w:i/>
          <w:iCs/>
          <w:lang w:val="fr-FR"/>
        </w:rPr>
        <w:t xml:space="preserve"> sauvegarde du patrimoine culturel immatériel]</w:t>
      </w:r>
    </w:p>
    <w:sectPr w:rsidR="00035B41" w:rsidSect="005E3E4B">
      <w:headerReference w:type="even" r:id="rId120"/>
      <w:headerReference w:type="default" r:id="rId121"/>
      <w:headerReference w:type="first" r:id="rId12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E94F" w14:textId="7CB018EB" w:rsidR="00CB1916" w:rsidRPr="001A315B" w:rsidRDefault="00CB1916" w:rsidP="001A315B">
      <w:pPr>
        <w:pStyle w:val="Footer"/>
      </w:pPr>
    </w:p>
  </w:endnote>
  <w:endnote w:type="continuationSeparator" w:id="0">
    <w:p w14:paraId="73188002" w14:textId="77777777" w:rsidR="00CB1916" w:rsidRDefault="00CB1916" w:rsidP="00655736">
      <w:r>
        <w:continuationSeparator/>
      </w:r>
    </w:p>
    <w:p w14:paraId="0DF3D373" w14:textId="77777777" w:rsidR="00CB1916" w:rsidRDefault="00CB1916"/>
    <w:p w14:paraId="5E03AD08" w14:textId="77777777" w:rsidR="00CB1916" w:rsidRDefault="00CB1916" w:rsidP="002E58D4"/>
    <w:p w14:paraId="4E11E5F8" w14:textId="77777777" w:rsidR="00CB1916" w:rsidRDefault="00CB1916" w:rsidP="002E58D4"/>
    <w:p w14:paraId="1FB041AC" w14:textId="77777777" w:rsidR="00CB1916" w:rsidRDefault="00CB1916" w:rsidP="002E58D4"/>
  </w:endnote>
  <w:endnote w:id="1">
    <w:p w14:paraId="0FD9D41E" w14:textId="1C891BCC" w:rsidR="00FD31E3" w:rsidRPr="00702497" w:rsidRDefault="00FD31E3">
      <w:pPr>
        <w:pStyle w:val="EndnoteText"/>
        <w:rPr>
          <w:rFonts w:ascii="Arial" w:hAnsi="Arial"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F27C" w14:textId="77777777" w:rsidR="00CB1916" w:rsidRDefault="00CB1916" w:rsidP="00655736">
      <w:r>
        <w:separator/>
      </w:r>
    </w:p>
  </w:footnote>
  <w:footnote w:type="continuationSeparator" w:id="0">
    <w:p w14:paraId="290C1070" w14:textId="77777777" w:rsidR="00CB1916" w:rsidRDefault="00CB1916" w:rsidP="00655736">
      <w:r>
        <w:continuationSeparator/>
      </w:r>
    </w:p>
    <w:p w14:paraId="4EDF669D" w14:textId="77777777" w:rsidR="00CB1916" w:rsidRDefault="00CB1916"/>
    <w:p w14:paraId="6B706B46" w14:textId="77777777" w:rsidR="00CB1916" w:rsidRDefault="00CB1916" w:rsidP="002E58D4"/>
    <w:p w14:paraId="52D05F41" w14:textId="77777777" w:rsidR="00CB1916" w:rsidRDefault="00CB1916" w:rsidP="002E58D4"/>
    <w:p w14:paraId="1EE32026" w14:textId="77777777" w:rsidR="00CB1916" w:rsidRDefault="00CB1916" w:rsidP="002E58D4"/>
  </w:footnote>
  <w:footnote w:id="1">
    <w:p w14:paraId="48EE68DE" w14:textId="3E35C820" w:rsidR="00DB4C4C" w:rsidRPr="005027E8" w:rsidRDefault="00DB4C4C">
      <w:pPr>
        <w:pStyle w:val="FootnoteText"/>
        <w:rPr>
          <w:rFonts w:asciiTheme="minorBidi" w:hAnsiTheme="minorBidi" w:cstheme="minorBidi"/>
        </w:rPr>
      </w:pPr>
      <w:r w:rsidRPr="006E3034">
        <w:rPr>
          <w:rStyle w:val="FootnoteReference"/>
          <w:rFonts w:asciiTheme="minorBidi" w:hAnsiTheme="minorBidi" w:cstheme="minorBidi"/>
        </w:rPr>
        <w:footnoteRef/>
      </w:r>
      <w:r w:rsidRPr="006E3034">
        <w:rPr>
          <w:rFonts w:asciiTheme="minorBidi" w:hAnsiTheme="minorBidi" w:cstheme="minorBidi"/>
        </w:rPr>
        <w:t xml:space="preserve"> </w:t>
      </w:r>
      <w:r w:rsidRPr="006E3034">
        <w:rPr>
          <w:rFonts w:asciiTheme="minorBidi" w:hAnsiTheme="minorBidi" w:cstheme="minorBidi"/>
          <w:sz w:val="18"/>
          <w:szCs w:val="18"/>
        </w:rPr>
        <w:t>Voir le calendrier des événements de la dix</w:t>
      </w:r>
      <w:r w:rsidRPr="006E3034">
        <w:rPr>
          <w:rFonts w:asciiTheme="minorBidi" w:hAnsiTheme="minorBidi" w:cstheme="minorBidi"/>
          <w:sz w:val="18"/>
          <w:szCs w:val="18"/>
        </w:rPr>
        <w:noBreakHyphen/>
        <w:t xml:space="preserve">septième session </w:t>
      </w:r>
      <w:hyperlink r:id="rId1" w:history="1">
        <w:r w:rsidRPr="005027E8">
          <w:rPr>
            <w:rStyle w:val="Hyperlink"/>
            <w:rFonts w:asciiTheme="minorBidi" w:hAnsiTheme="minorBidi" w:cstheme="minorBidi"/>
            <w:sz w:val="18"/>
            <w:szCs w:val="18"/>
          </w:rPr>
          <w:t>ici</w:t>
        </w:r>
      </w:hyperlink>
      <w:r w:rsidRPr="005027E8">
        <w:rPr>
          <w:rFonts w:asciiTheme="minorBidi" w:hAnsiTheme="minorBidi" w:cstheme="minorBidi"/>
          <w:sz w:val="18"/>
          <w:szCs w:val="18"/>
        </w:rPr>
        <w:t>.</w:t>
      </w:r>
    </w:p>
  </w:footnote>
  <w:footnote w:id="2">
    <w:p w14:paraId="23F23657" w14:textId="1BC38258"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 xml:space="preserve">Consultez tous les formulaires de candidature </w:t>
      </w:r>
      <w:hyperlink r:id="rId2" w:history="1">
        <w:r w:rsidRPr="00702497">
          <w:rPr>
            <w:rStyle w:val="Hyperlink"/>
            <w:rFonts w:ascii="Arial" w:hAnsi="Arial" w:cs="Arial"/>
            <w:sz w:val="18"/>
            <w:szCs w:val="18"/>
          </w:rPr>
          <w:t>ici</w:t>
        </w:r>
      </w:hyperlink>
      <w:r w:rsidRPr="00702497">
        <w:rPr>
          <w:rFonts w:ascii="Arial" w:hAnsi="Arial" w:cs="Arial"/>
          <w:sz w:val="18"/>
          <w:szCs w:val="18"/>
        </w:rPr>
        <w:t>.</w:t>
      </w:r>
    </w:p>
  </w:footnote>
  <w:footnote w:id="3">
    <w:p w14:paraId="1DE3F1BD" w14:textId="75B70C4F"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 xml:space="preserve">Concernant les « Programmes, projets et activités de </w:t>
      </w:r>
      <w:r w:rsidRPr="00702497">
        <w:rPr>
          <w:rFonts w:ascii="Arial" w:hAnsi="Arial" w:cs="Arial"/>
          <w:bCs/>
          <w:color w:val="000000" w:themeColor="text1"/>
          <w:sz w:val="18"/>
          <w:szCs w:val="18"/>
        </w:rPr>
        <w:t>sauvegarde du patrimoine culturel immatériel »</w:t>
      </w:r>
      <w:r>
        <w:rPr>
          <w:rFonts w:ascii="Arial" w:hAnsi="Arial" w:cs="Arial"/>
          <w:bCs/>
          <w:color w:val="000000" w:themeColor="text1"/>
          <w:sz w:val="18"/>
          <w:szCs w:val="18"/>
        </w:rPr>
        <w:t>.</w:t>
      </w:r>
    </w:p>
  </w:footnote>
  <w:footnote w:id="4">
    <w:p w14:paraId="56BF851E" w14:textId="0ADA340E" w:rsidR="00F846ED" w:rsidRPr="00424E04" w:rsidRDefault="00F846ED">
      <w:pPr>
        <w:pStyle w:val="FootnoteText"/>
        <w:rPr>
          <w:rFonts w:ascii="Arial" w:hAnsi="Arial" w:cs="Arial"/>
          <w:sz w:val="18"/>
          <w:szCs w:val="18"/>
        </w:rPr>
      </w:pPr>
      <w:r w:rsidRPr="00424E04">
        <w:rPr>
          <w:rStyle w:val="FootnoteReference"/>
          <w:rFonts w:ascii="Arial" w:hAnsi="Arial" w:cs="Arial"/>
          <w:sz w:val="18"/>
          <w:szCs w:val="18"/>
        </w:rPr>
        <w:footnoteRef/>
      </w:r>
      <w:r w:rsidRPr="00424E04">
        <w:rPr>
          <w:rFonts w:ascii="Arial" w:hAnsi="Arial" w:cs="Arial"/>
          <w:sz w:val="18"/>
          <w:szCs w:val="18"/>
        </w:rPr>
        <w:t xml:space="preserve"> </w:t>
      </w:r>
      <w:r>
        <w:rPr>
          <w:rFonts w:ascii="Arial" w:hAnsi="Arial" w:cs="Arial"/>
          <w:sz w:val="18"/>
          <w:szCs w:val="18"/>
        </w:rPr>
        <w:tab/>
      </w:r>
      <w:r w:rsidRPr="00424E04">
        <w:rPr>
          <w:rFonts w:ascii="Arial" w:hAnsi="Arial" w:cs="Arial"/>
          <w:sz w:val="18"/>
          <w:szCs w:val="18"/>
        </w:rPr>
        <w:t xml:space="preserve">Consultez le site web consacré aux rapports périodiques </w:t>
      </w:r>
      <w:hyperlink r:id="rId3" w:history="1">
        <w:r w:rsidRPr="00424E04">
          <w:rPr>
            <w:rStyle w:val="Hyperlink"/>
            <w:rFonts w:ascii="Arial" w:hAnsi="Arial" w:cs="Arial"/>
            <w:sz w:val="18"/>
            <w:szCs w:val="18"/>
          </w:rPr>
          <w:t>ici</w:t>
        </w:r>
      </w:hyperlink>
      <w:r w:rsidRPr="00424E04">
        <w:rPr>
          <w:rFonts w:ascii="Arial" w:hAnsi="Arial" w:cs="Arial"/>
          <w:sz w:val="18"/>
          <w:szCs w:val="18"/>
        </w:rPr>
        <w:t>.</w:t>
      </w:r>
    </w:p>
  </w:footnote>
  <w:footnote w:id="5">
    <w:p w14:paraId="77B92DE9" w14:textId="464FCD14"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 xml:space="preserve">Voir le réseau global des facilitateurs </w:t>
      </w:r>
      <w:hyperlink r:id="rId4" w:history="1">
        <w:r w:rsidRPr="00702497">
          <w:rPr>
            <w:rStyle w:val="Hyperlink"/>
            <w:rFonts w:ascii="Arial" w:hAnsi="Arial" w:cs="Arial"/>
            <w:sz w:val="18"/>
            <w:szCs w:val="18"/>
          </w:rPr>
          <w:t>ici</w:t>
        </w:r>
      </w:hyperlink>
      <w:r w:rsidRPr="00702497">
        <w:rPr>
          <w:rFonts w:ascii="Arial" w:hAnsi="Arial" w:cs="Arial"/>
          <w:sz w:val="18"/>
          <w:szCs w:val="18"/>
        </w:rPr>
        <w:t>.</w:t>
      </w:r>
    </w:p>
  </w:footnote>
  <w:footnote w:id="6">
    <w:p w14:paraId="387A8A73" w14:textId="150FAC63" w:rsidR="00F846ED" w:rsidRPr="002B285B" w:rsidRDefault="00F846ED" w:rsidP="00702497">
      <w:pPr>
        <w:pStyle w:val="FootnoteText"/>
        <w:ind w:left="709" w:hanging="709"/>
        <w:rPr>
          <w:rFonts w:ascii="Arial" w:hAnsi="Arial" w:cs="Arial"/>
          <w:sz w:val="18"/>
          <w:szCs w:val="18"/>
        </w:rPr>
      </w:pPr>
      <w:r w:rsidRPr="002B285B">
        <w:rPr>
          <w:rStyle w:val="FootnoteReference"/>
          <w:rFonts w:ascii="Arial" w:hAnsi="Arial" w:cs="Arial"/>
          <w:sz w:val="18"/>
          <w:szCs w:val="18"/>
        </w:rPr>
        <w:footnoteRef/>
      </w:r>
      <w:r w:rsidRPr="002B285B">
        <w:rPr>
          <w:rFonts w:ascii="Arial" w:hAnsi="Arial" w:cs="Arial"/>
          <w:sz w:val="18"/>
          <w:szCs w:val="18"/>
        </w:rPr>
        <w:t xml:space="preserve"> </w:t>
      </w:r>
      <w:r>
        <w:rPr>
          <w:rFonts w:ascii="Arial" w:hAnsi="Arial" w:cs="Arial"/>
          <w:sz w:val="18"/>
          <w:szCs w:val="18"/>
        </w:rPr>
        <w:tab/>
      </w:r>
      <w:r w:rsidRPr="002B285B">
        <w:rPr>
          <w:rFonts w:ascii="Arial" w:hAnsi="Arial" w:cs="Arial"/>
          <w:sz w:val="18"/>
          <w:szCs w:val="18"/>
        </w:rPr>
        <w:t xml:space="preserve">Centre international d’information et de </w:t>
      </w:r>
      <w:r>
        <w:rPr>
          <w:rFonts w:ascii="Arial" w:hAnsi="Arial" w:cs="Arial"/>
          <w:sz w:val="18"/>
          <w:szCs w:val="18"/>
        </w:rPr>
        <w:t>travail</w:t>
      </w:r>
      <w:r w:rsidRPr="002B285B">
        <w:rPr>
          <w:rFonts w:ascii="Arial" w:hAnsi="Arial" w:cs="Arial"/>
          <w:sz w:val="18"/>
          <w:szCs w:val="18"/>
        </w:rPr>
        <w:t xml:space="preserve"> en réseau </w:t>
      </w:r>
      <w:r>
        <w:rPr>
          <w:rFonts w:ascii="Arial" w:hAnsi="Arial" w:cs="Arial"/>
          <w:sz w:val="18"/>
          <w:szCs w:val="18"/>
        </w:rPr>
        <w:t>sur</w:t>
      </w:r>
      <w:r w:rsidRPr="002B285B">
        <w:rPr>
          <w:rFonts w:ascii="Arial" w:hAnsi="Arial" w:cs="Arial"/>
          <w:sz w:val="18"/>
          <w:szCs w:val="18"/>
        </w:rPr>
        <w:t xml:space="preserve"> le patrimoine culturel immatériel dans la région Asie-Pacifique</w:t>
      </w:r>
      <w:r w:rsidR="005027E8">
        <w:rPr>
          <w:rFonts w:ascii="Arial" w:hAnsi="Arial" w:cs="Arial"/>
          <w:sz w:val="18"/>
          <w:szCs w:val="18"/>
        </w:rPr>
        <w:t xml:space="preserve"> </w:t>
      </w:r>
      <w:r w:rsidRPr="002B285B">
        <w:rPr>
          <w:rFonts w:ascii="Arial" w:hAnsi="Arial" w:cs="Arial"/>
          <w:sz w:val="18"/>
          <w:szCs w:val="18"/>
        </w:rPr>
        <w:t xml:space="preserve">: </w:t>
      </w:r>
      <w:hyperlink r:id="rId5" w:history="1">
        <w:r w:rsidRPr="009074B8">
          <w:rPr>
            <w:rStyle w:val="Hyperlink"/>
            <w:rFonts w:ascii="Arial" w:hAnsi="Arial" w:cs="Arial"/>
            <w:sz w:val="18"/>
            <w:szCs w:val="18"/>
          </w:rPr>
          <w:t>http://www.ichcap.org/</w:t>
        </w:r>
      </w:hyperlink>
      <w:r>
        <w:rPr>
          <w:rFonts w:ascii="Arial" w:hAnsi="Arial" w:cs="Arial"/>
          <w:sz w:val="18"/>
          <w:szCs w:val="18"/>
        </w:rPr>
        <w:t xml:space="preserve"> </w:t>
      </w:r>
      <w:r w:rsidRPr="002B285B">
        <w:rPr>
          <w:rFonts w:ascii="Arial" w:hAnsi="Arial" w:cs="Arial"/>
          <w:sz w:val="18"/>
          <w:szCs w:val="18"/>
        </w:rPr>
        <w:t>(site en anglais et en coréen)</w:t>
      </w:r>
      <w:r>
        <w:rPr>
          <w:rFonts w:ascii="Arial" w:hAnsi="Arial" w:cs="Arial"/>
          <w:sz w:val="18"/>
          <w:szCs w:val="18"/>
        </w:rPr>
        <w:t>.</w:t>
      </w:r>
    </w:p>
  </w:footnote>
  <w:footnote w:id="7">
    <w:p w14:paraId="6AEC7A80" w14:textId="77777777" w:rsidR="00F846ED" w:rsidRPr="00BE49F5" w:rsidRDefault="00F846ED" w:rsidP="00702497">
      <w:pPr>
        <w:pStyle w:val="FootnoteText"/>
        <w:ind w:left="567" w:hanging="567"/>
        <w:rPr>
          <w:rFonts w:ascii="Arial" w:hAnsi="Arial" w:cs="Arial"/>
          <w:sz w:val="18"/>
          <w:szCs w:val="18"/>
        </w:rPr>
      </w:pPr>
      <w:r w:rsidRPr="00BE49F5">
        <w:rPr>
          <w:rStyle w:val="FootnoteReference"/>
          <w:rFonts w:ascii="Arial" w:hAnsi="Arial" w:cs="Arial"/>
          <w:sz w:val="18"/>
          <w:szCs w:val="18"/>
        </w:rPr>
        <w:footnoteRef/>
      </w:r>
      <w:r w:rsidRPr="00BE49F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BE49F5">
        <w:rPr>
          <w:rFonts w:ascii="Arial" w:hAnsi="Arial" w:cs="Arial"/>
          <w:sz w:val="18"/>
          <w:szCs w:val="18"/>
        </w:rPr>
        <w:t xml:space="preserve">Pour en savoir plus sur le MOOC, cliquez </w:t>
      </w:r>
      <w:hyperlink r:id="rId6" w:history="1">
        <w:r w:rsidRPr="00BE49F5">
          <w:rPr>
            <w:rStyle w:val="Hyperlink"/>
            <w:rFonts w:ascii="Arial" w:hAnsi="Arial" w:cs="Arial"/>
            <w:sz w:val="18"/>
            <w:szCs w:val="18"/>
          </w:rPr>
          <w:t>ici</w:t>
        </w:r>
      </w:hyperlink>
      <w:r w:rsidRPr="00BE49F5">
        <w:rPr>
          <w:rFonts w:ascii="Arial" w:hAnsi="Arial" w:cs="Arial"/>
          <w:sz w:val="18"/>
          <w:szCs w:val="18"/>
        </w:rPr>
        <w:t>.</w:t>
      </w:r>
    </w:p>
  </w:footnote>
  <w:footnote w:id="8">
    <w:p w14:paraId="39806B71" w14:textId="138CC238" w:rsidR="00F846ED" w:rsidRPr="00135B06" w:rsidRDefault="00F846ED" w:rsidP="00702497">
      <w:pPr>
        <w:pStyle w:val="FootnoteText"/>
        <w:ind w:left="709" w:hanging="709"/>
        <w:rPr>
          <w:rFonts w:ascii="Arial" w:hAnsi="Arial" w:cs="Arial"/>
          <w:sz w:val="18"/>
          <w:szCs w:val="18"/>
        </w:rPr>
      </w:pPr>
      <w:r w:rsidRPr="00135B06">
        <w:rPr>
          <w:rStyle w:val="FootnoteReference"/>
          <w:rFonts w:ascii="Arial" w:hAnsi="Arial" w:cs="Arial"/>
          <w:sz w:val="18"/>
          <w:szCs w:val="18"/>
        </w:rPr>
        <w:footnoteRef/>
      </w:r>
      <w:r w:rsidRPr="00135B06">
        <w:rPr>
          <w:rFonts w:ascii="Arial" w:hAnsi="Arial" w:cs="Arial"/>
          <w:sz w:val="18"/>
          <w:szCs w:val="18"/>
        </w:rPr>
        <w:t xml:space="preserve"> </w:t>
      </w:r>
      <w:r>
        <w:rPr>
          <w:rFonts w:ascii="Arial" w:hAnsi="Arial" w:cs="Arial"/>
          <w:sz w:val="18"/>
          <w:szCs w:val="18"/>
        </w:rPr>
        <w:tab/>
      </w:r>
      <w:r w:rsidRPr="00135B06">
        <w:rPr>
          <w:rFonts w:ascii="Arial" w:hAnsi="Arial" w:cs="Arial"/>
          <w:sz w:val="18"/>
          <w:szCs w:val="18"/>
        </w:rPr>
        <w:t xml:space="preserve">Pour en savoir plus sur la Recommandation de 1974, cliquez </w:t>
      </w:r>
      <w:hyperlink r:id="rId7" w:anchor=":~:text=The%201974%20Recommendation%20calls%20on,Human%20Rights%20(Article%2026)." w:history="1">
        <w:r w:rsidRPr="00135B06">
          <w:rPr>
            <w:rStyle w:val="Hyperlink"/>
            <w:rFonts w:ascii="Arial" w:hAnsi="Arial" w:cs="Arial"/>
            <w:sz w:val="18"/>
            <w:szCs w:val="18"/>
          </w:rPr>
          <w:t>ici</w:t>
        </w:r>
      </w:hyperlink>
      <w:r w:rsidRPr="00135B06">
        <w:rPr>
          <w:rFonts w:ascii="Arial" w:hAnsi="Arial" w:cs="Arial"/>
          <w:sz w:val="18"/>
          <w:szCs w:val="18"/>
        </w:rPr>
        <w:t>.</w:t>
      </w:r>
    </w:p>
  </w:footnote>
  <w:footnote w:id="9">
    <w:p w14:paraId="0865D923" w14:textId="603CBDBB" w:rsidR="00F846ED" w:rsidRPr="008B4F8D" w:rsidRDefault="00F846ED" w:rsidP="00702497">
      <w:pPr>
        <w:pStyle w:val="FootnoteText"/>
        <w:ind w:left="709" w:hanging="709"/>
        <w:rPr>
          <w:rFonts w:ascii="Arial" w:hAnsi="Arial" w:cs="Arial"/>
          <w:sz w:val="18"/>
          <w:szCs w:val="18"/>
        </w:rPr>
      </w:pPr>
      <w:r w:rsidRPr="008B4F8D">
        <w:rPr>
          <w:rStyle w:val="FootnoteReference"/>
          <w:rFonts w:ascii="Arial" w:hAnsi="Arial" w:cs="Arial"/>
          <w:sz w:val="18"/>
          <w:szCs w:val="18"/>
        </w:rPr>
        <w:footnoteRef/>
      </w:r>
      <w:r w:rsidRPr="008B4F8D">
        <w:rPr>
          <w:rFonts w:ascii="Arial" w:hAnsi="Arial" w:cs="Arial"/>
          <w:sz w:val="18"/>
          <w:szCs w:val="18"/>
        </w:rPr>
        <w:t xml:space="preserve"> </w:t>
      </w:r>
      <w:r>
        <w:rPr>
          <w:rFonts w:ascii="Arial" w:hAnsi="Arial" w:cs="Arial"/>
          <w:sz w:val="18"/>
          <w:szCs w:val="18"/>
        </w:rPr>
        <w:tab/>
      </w:r>
      <w:r w:rsidRPr="008B4F8D">
        <w:rPr>
          <w:rFonts w:ascii="Arial" w:hAnsi="Arial" w:cs="Arial"/>
          <w:sz w:val="18"/>
          <w:szCs w:val="18"/>
        </w:rPr>
        <w:t xml:space="preserve">Pour en savoir plus sur les Journées européennes du patrimoine, cliquez </w:t>
      </w:r>
      <w:hyperlink r:id="rId8" w:history="1">
        <w:r w:rsidRPr="008B4F8D">
          <w:rPr>
            <w:rStyle w:val="Hyperlink"/>
            <w:rFonts w:ascii="Arial" w:hAnsi="Arial" w:cs="Arial"/>
            <w:sz w:val="18"/>
            <w:szCs w:val="18"/>
          </w:rPr>
          <w:t>ici</w:t>
        </w:r>
      </w:hyperlink>
      <w:r w:rsidRPr="008B4F8D">
        <w:rPr>
          <w:rFonts w:ascii="Arial" w:hAnsi="Arial" w:cs="Arial"/>
          <w:sz w:val="18"/>
          <w:szCs w:val="18"/>
        </w:rPr>
        <w:t>.</w:t>
      </w:r>
    </w:p>
  </w:footnote>
  <w:footnote w:id="10">
    <w:p w14:paraId="2E1F994D" w14:textId="7577CF77" w:rsidR="00F846ED" w:rsidRPr="00160000" w:rsidRDefault="00F846ED">
      <w:pPr>
        <w:pStyle w:val="FootnoteText"/>
        <w:rPr>
          <w:rFonts w:ascii="Arial" w:hAnsi="Arial" w:cs="Arial"/>
          <w:sz w:val="18"/>
          <w:szCs w:val="18"/>
        </w:rPr>
      </w:pPr>
      <w:r w:rsidRPr="00160000">
        <w:rPr>
          <w:rStyle w:val="FootnoteReference"/>
          <w:rFonts w:ascii="Arial" w:hAnsi="Arial" w:cs="Arial"/>
          <w:sz w:val="18"/>
          <w:szCs w:val="18"/>
        </w:rPr>
        <w:footnoteRef/>
      </w:r>
      <w:r w:rsidRPr="00160000">
        <w:rPr>
          <w:rFonts w:ascii="Arial" w:hAnsi="Arial" w:cs="Arial"/>
          <w:sz w:val="18"/>
          <w:szCs w:val="18"/>
        </w:rPr>
        <w:t xml:space="preserve"> </w:t>
      </w:r>
      <w:r>
        <w:rPr>
          <w:rFonts w:ascii="Arial" w:hAnsi="Arial" w:cs="Arial"/>
          <w:sz w:val="18"/>
          <w:szCs w:val="18"/>
        </w:rPr>
        <w:tab/>
      </w:r>
      <w:r w:rsidRPr="00160000">
        <w:rPr>
          <w:rFonts w:ascii="Arial" w:hAnsi="Arial" w:cs="Arial"/>
          <w:sz w:val="18"/>
          <w:szCs w:val="18"/>
        </w:rPr>
        <w:t>Pour lire la Déclaration</w:t>
      </w:r>
      <w:r>
        <w:rPr>
          <w:rFonts w:ascii="Arial" w:hAnsi="Arial" w:cs="Arial"/>
          <w:sz w:val="18"/>
          <w:szCs w:val="18"/>
        </w:rPr>
        <w:t xml:space="preserve"> finale de la conférence</w:t>
      </w:r>
      <w:r w:rsidRPr="00160000">
        <w:rPr>
          <w:rFonts w:ascii="Arial" w:hAnsi="Arial" w:cs="Arial"/>
          <w:sz w:val="18"/>
          <w:szCs w:val="18"/>
        </w:rPr>
        <w:t xml:space="preserve"> MONDIACULT, cliquez </w:t>
      </w:r>
      <w:hyperlink r:id="rId9" w:history="1">
        <w:r w:rsidRPr="00160000">
          <w:rPr>
            <w:rStyle w:val="Hyperlink"/>
            <w:rFonts w:ascii="Arial" w:hAnsi="Arial" w:cs="Arial"/>
            <w:sz w:val="18"/>
            <w:szCs w:val="18"/>
          </w:rPr>
          <w:t>ici</w:t>
        </w:r>
      </w:hyperlink>
      <w:r w:rsidRPr="00160000">
        <w:rPr>
          <w:rFonts w:ascii="Arial" w:hAnsi="Arial" w:cs="Arial"/>
          <w:sz w:val="18"/>
          <w:szCs w:val="18"/>
        </w:rPr>
        <w:t>.</w:t>
      </w:r>
    </w:p>
  </w:footnote>
  <w:footnote w:id="11">
    <w:p w14:paraId="4C9F3C7F" w14:textId="105EF4F4" w:rsidR="00F846ED" w:rsidRPr="00702497" w:rsidRDefault="00F846ED" w:rsidP="00702497">
      <w:pPr>
        <w:pStyle w:val="FootnoteText"/>
        <w:ind w:left="709" w:hanging="709"/>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 xml:space="preserve">Pour en savoir plus sur la Convention de 2005 sur la protection et la promotion de la diversité des expressions culturelles, cliquez </w:t>
      </w:r>
      <w:hyperlink r:id="rId10" w:history="1">
        <w:r w:rsidRPr="00702497">
          <w:rPr>
            <w:rStyle w:val="Hyperlink"/>
            <w:rFonts w:ascii="Arial" w:hAnsi="Arial" w:cs="Arial"/>
            <w:sz w:val="18"/>
            <w:szCs w:val="18"/>
          </w:rPr>
          <w:t>ici</w:t>
        </w:r>
      </w:hyperlink>
      <w:r w:rsidRPr="00702497">
        <w:rPr>
          <w:rFonts w:ascii="Arial" w:hAnsi="Arial" w:cs="Arial"/>
          <w:sz w:val="18"/>
          <w:szCs w:val="18"/>
        </w:rPr>
        <w:t>.</w:t>
      </w:r>
    </w:p>
  </w:footnote>
  <w:footnote w:id="12">
    <w:p w14:paraId="104BCC7A" w14:textId="6A4E431F" w:rsidR="00F846ED" w:rsidRPr="00160000" w:rsidRDefault="00F846ED" w:rsidP="00702497">
      <w:pPr>
        <w:pStyle w:val="FootnoteText"/>
        <w:ind w:left="567" w:hanging="567"/>
        <w:rPr>
          <w:rFonts w:ascii="Arial" w:hAnsi="Arial" w:cs="Arial"/>
          <w:sz w:val="18"/>
          <w:szCs w:val="18"/>
        </w:rPr>
      </w:pPr>
      <w:r w:rsidRPr="00160000">
        <w:rPr>
          <w:rStyle w:val="FootnoteReference"/>
          <w:rFonts w:ascii="Arial" w:hAnsi="Arial" w:cs="Arial"/>
          <w:sz w:val="18"/>
          <w:szCs w:val="18"/>
        </w:rPr>
        <w:footnoteRef/>
      </w:r>
      <w:r w:rsidRPr="00160000">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160000">
        <w:rPr>
          <w:rFonts w:ascii="Arial" w:hAnsi="Arial" w:cs="Arial"/>
          <w:sz w:val="18"/>
          <w:szCs w:val="18"/>
        </w:rPr>
        <w:t xml:space="preserve">Pour en savoir plus sur le projet </w:t>
      </w:r>
      <w:r>
        <w:rPr>
          <w:rFonts w:ascii="Arial" w:hAnsi="Arial" w:cs="Arial"/>
          <w:sz w:val="18"/>
          <w:szCs w:val="18"/>
        </w:rPr>
        <w:t>« </w:t>
      </w:r>
      <w:r w:rsidRPr="00160000">
        <w:rPr>
          <w:rFonts w:ascii="Arial" w:hAnsi="Arial" w:cs="Arial"/>
          <w:sz w:val="18"/>
          <w:szCs w:val="18"/>
        </w:rPr>
        <w:t>Livind</w:t>
      </w:r>
      <w:r>
        <w:rPr>
          <w:rFonts w:ascii="Arial" w:hAnsi="Arial" w:cs="Arial"/>
          <w:sz w:val="18"/>
          <w:szCs w:val="18"/>
        </w:rPr>
        <w:t> »</w:t>
      </w:r>
      <w:r w:rsidRPr="00160000">
        <w:rPr>
          <w:rFonts w:ascii="Arial" w:hAnsi="Arial" w:cs="Arial"/>
          <w:sz w:val="18"/>
          <w:szCs w:val="18"/>
        </w:rPr>
        <w:t xml:space="preserve">, cliquez </w:t>
      </w:r>
      <w:hyperlink r:id="rId11" w:history="1">
        <w:r w:rsidRPr="00160000">
          <w:rPr>
            <w:rStyle w:val="Hyperlink"/>
            <w:rFonts w:ascii="Arial" w:hAnsi="Arial" w:cs="Arial"/>
            <w:sz w:val="18"/>
            <w:szCs w:val="18"/>
          </w:rPr>
          <w:t>ici</w:t>
        </w:r>
      </w:hyperlink>
      <w:r w:rsidRPr="00160000">
        <w:rPr>
          <w:rFonts w:ascii="Arial" w:hAnsi="Arial" w:cs="Arial"/>
          <w:sz w:val="18"/>
          <w:szCs w:val="18"/>
        </w:rPr>
        <w:t xml:space="preserve"> (</w:t>
      </w:r>
      <w:r>
        <w:rPr>
          <w:rFonts w:ascii="Arial" w:hAnsi="Arial" w:cs="Arial"/>
          <w:sz w:val="18"/>
          <w:szCs w:val="18"/>
        </w:rPr>
        <w:t xml:space="preserve">site </w:t>
      </w:r>
      <w:r w:rsidRPr="00160000">
        <w:rPr>
          <w:rFonts w:ascii="Arial" w:hAnsi="Arial" w:cs="Arial"/>
          <w:sz w:val="18"/>
          <w:szCs w:val="18"/>
        </w:rPr>
        <w:t>en anglais, finlandais et suédois).</w:t>
      </w:r>
    </w:p>
  </w:footnote>
  <w:footnote w:id="13">
    <w:p w14:paraId="21339D0F" w14:textId="4D252EE4" w:rsidR="00F846ED" w:rsidRPr="002605E9" w:rsidRDefault="00F846ED" w:rsidP="00702497">
      <w:pPr>
        <w:pStyle w:val="FootnoteText"/>
        <w:ind w:left="567" w:hanging="567"/>
        <w:rPr>
          <w:rFonts w:ascii="Arial" w:hAnsi="Arial" w:cs="Arial"/>
          <w:sz w:val="18"/>
          <w:szCs w:val="18"/>
        </w:rPr>
      </w:pPr>
      <w:r w:rsidRPr="002605E9">
        <w:rPr>
          <w:rStyle w:val="FootnoteReference"/>
          <w:rFonts w:ascii="Arial" w:hAnsi="Arial" w:cs="Arial"/>
          <w:sz w:val="18"/>
          <w:szCs w:val="18"/>
        </w:rPr>
        <w:footnoteRef/>
      </w:r>
      <w:r w:rsidRPr="002605E9">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2605E9">
        <w:rPr>
          <w:rFonts w:ascii="Arial" w:hAnsi="Arial" w:cs="Arial"/>
          <w:sz w:val="18"/>
          <w:szCs w:val="18"/>
        </w:rPr>
        <w:t>Pour en savoir plus sur les Indicateurs Culture/2030 de l’UNESCO</w:t>
      </w:r>
      <w:r>
        <w:rPr>
          <w:rFonts w:ascii="Arial" w:hAnsi="Arial" w:cs="Arial"/>
          <w:sz w:val="18"/>
          <w:szCs w:val="18"/>
        </w:rPr>
        <w:t xml:space="preserve"> en Serbie</w:t>
      </w:r>
      <w:r w:rsidRPr="002605E9">
        <w:rPr>
          <w:rFonts w:ascii="Arial" w:hAnsi="Arial" w:cs="Arial"/>
          <w:sz w:val="18"/>
          <w:szCs w:val="18"/>
        </w:rPr>
        <w:t xml:space="preserve">, cliquez </w:t>
      </w:r>
      <w:hyperlink r:id="rId12" w:history="1">
        <w:r w:rsidRPr="002605E9">
          <w:rPr>
            <w:rStyle w:val="Hyperlink"/>
            <w:rFonts w:ascii="Arial" w:hAnsi="Arial" w:cs="Arial"/>
            <w:sz w:val="18"/>
            <w:szCs w:val="18"/>
          </w:rPr>
          <w:t>ici</w:t>
        </w:r>
      </w:hyperlink>
      <w:r w:rsidRPr="002605E9">
        <w:rPr>
          <w:rFonts w:ascii="Arial" w:hAnsi="Arial" w:cs="Arial"/>
          <w:sz w:val="18"/>
          <w:szCs w:val="18"/>
        </w:rPr>
        <w:t>.</w:t>
      </w:r>
    </w:p>
  </w:footnote>
  <w:footnote w:id="14">
    <w:p w14:paraId="3B0295A7" w14:textId="1554FC61" w:rsidR="00F846ED" w:rsidRPr="00750546" w:rsidRDefault="00F846ED">
      <w:pPr>
        <w:pStyle w:val="FootnoteText"/>
        <w:rPr>
          <w:rFonts w:ascii="Arial" w:hAnsi="Arial" w:cs="Arial"/>
          <w:sz w:val="18"/>
          <w:szCs w:val="18"/>
        </w:rPr>
      </w:pPr>
      <w:r w:rsidRPr="00750546">
        <w:rPr>
          <w:rStyle w:val="FootnoteReference"/>
          <w:rFonts w:ascii="Arial" w:hAnsi="Arial" w:cs="Arial"/>
          <w:sz w:val="18"/>
          <w:szCs w:val="18"/>
        </w:rPr>
        <w:footnoteRef/>
      </w:r>
      <w:r w:rsidRPr="00750546">
        <w:rPr>
          <w:rFonts w:ascii="Arial" w:hAnsi="Arial" w:cs="Arial"/>
          <w:sz w:val="18"/>
          <w:szCs w:val="18"/>
        </w:rPr>
        <w:t xml:space="preserve"> </w:t>
      </w:r>
      <w:r>
        <w:rPr>
          <w:rFonts w:ascii="Arial" w:hAnsi="Arial" w:cs="Arial"/>
          <w:sz w:val="18"/>
          <w:szCs w:val="18"/>
        </w:rPr>
        <w:tab/>
      </w:r>
      <w:r w:rsidRPr="00750546">
        <w:rPr>
          <w:rFonts w:ascii="Arial" w:hAnsi="Arial" w:cs="Arial"/>
          <w:sz w:val="18"/>
          <w:szCs w:val="18"/>
        </w:rPr>
        <w:t xml:space="preserve">Pour en savoir plus sur la Décennie, cliquez </w:t>
      </w:r>
      <w:hyperlink r:id="rId13" w:history="1">
        <w:r w:rsidRPr="00750546">
          <w:rPr>
            <w:rStyle w:val="Hyperlink"/>
            <w:rFonts w:ascii="Arial" w:hAnsi="Arial" w:cs="Arial"/>
            <w:sz w:val="18"/>
            <w:szCs w:val="18"/>
          </w:rPr>
          <w:t>ici</w:t>
        </w:r>
      </w:hyperlink>
      <w:r w:rsidRPr="00750546">
        <w:rPr>
          <w:rFonts w:ascii="Arial" w:hAnsi="Arial" w:cs="Arial"/>
          <w:sz w:val="18"/>
          <w:szCs w:val="18"/>
        </w:rPr>
        <w:t>.</w:t>
      </w:r>
    </w:p>
  </w:footnote>
  <w:footnote w:id="15">
    <w:p w14:paraId="42447253" w14:textId="7FA132D3" w:rsidR="00F846ED" w:rsidRPr="006E3034" w:rsidRDefault="00F846ED">
      <w:pPr>
        <w:pStyle w:val="FootnoteText"/>
        <w:rPr>
          <w:rFonts w:asciiTheme="minorBidi" w:hAnsiTheme="minorBidi" w:cstheme="minorBidi"/>
          <w:sz w:val="18"/>
          <w:szCs w:val="18"/>
        </w:rPr>
      </w:pPr>
      <w:r w:rsidRPr="006E3034">
        <w:rPr>
          <w:rStyle w:val="FootnoteReference"/>
          <w:rFonts w:asciiTheme="minorBidi" w:hAnsiTheme="minorBidi" w:cstheme="minorBidi"/>
          <w:sz w:val="18"/>
          <w:szCs w:val="18"/>
        </w:rPr>
        <w:footnoteRef/>
      </w:r>
      <w:r w:rsidRPr="006E3034">
        <w:rPr>
          <w:rFonts w:asciiTheme="minorBidi" w:hAnsiTheme="minorBidi" w:cstheme="minorBidi"/>
          <w:sz w:val="18"/>
          <w:szCs w:val="18"/>
        </w:rPr>
        <w:t xml:space="preserve"> </w:t>
      </w:r>
      <w:r w:rsidRPr="006E3034">
        <w:rPr>
          <w:rFonts w:asciiTheme="minorBidi" w:hAnsiTheme="minorBidi" w:cstheme="minorBidi"/>
          <w:sz w:val="18"/>
          <w:szCs w:val="18"/>
        </w:rPr>
        <w:tab/>
        <w:t xml:space="preserve">Organisation arabe pour l’éducation, la culture et les sciences : </w:t>
      </w:r>
      <w:hyperlink r:id="rId14" w:history="1">
        <w:r w:rsidRPr="006E3034">
          <w:rPr>
            <w:rStyle w:val="Hyperlink"/>
            <w:rFonts w:asciiTheme="minorBidi" w:hAnsiTheme="minorBidi" w:cstheme="minorBidi"/>
            <w:sz w:val="18"/>
            <w:szCs w:val="18"/>
          </w:rPr>
          <w:t>http://www.alecso.org/nsite/fr/</w:t>
        </w:r>
      </w:hyperlink>
      <w:r w:rsidRPr="006E3034">
        <w:rPr>
          <w:rFonts w:asciiTheme="minorBidi" w:hAnsiTheme="minorBidi" w:cstheme="minorBidi"/>
          <w:sz w:val="18"/>
          <w:szCs w:val="18"/>
        </w:rPr>
        <w:t xml:space="preserve"> </w:t>
      </w:r>
    </w:p>
  </w:footnote>
  <w:footnote w:id="16">
    <w:p w14:paraId="3B39846B" w14:textId="6627B645" w:rsidR="00F846ED" w:rsidRPr="006E3034" w:rsidRDefault="00F846ED" w:rsidP="00702497">
      <w:pPr>
        <w:pStyle w:val="FootnoteText"/>
        <w:ind w:left="709" w:hanging="709"/>
        <w:jc w:val="both"/>
        <w:rPr>
          <w:rFonts w:asciiTheme="minorBidi" w:hAnsiTheme="minorBidi" w:cstheme="minorBidi"/>
          <w:sz w:val="18"/>
          <w:szCs w:val="18"/>
        </w:rPr>
      </w:pPr>
      <w:r w:rsidRPr="006E3034">
        <w:rPr>
          <w:rStyle w:val="FootnoteReference"/>
          <w:rFonts w:asciiTheme="minorBidi" w:hAnsiTheme="minorBidi" w:cstheme="minorBidi"/>
          <w:sz w:val="18"/>
          <w:szCs w:val="18"/>
        </w:rPr>
        <w:footnoteRef/>
      </w:r>
      <w:r w:rsidRPr="006E3034">
        <w:rPr>
          <w:rFonts w:asciiTheme="minorBidi" w:hAnsiTheme="minorBidi" w:cstheme="minorBidi"/>
          <w:sz w:val="18"/>
          <w:szCs w:val="18"/>
        </w:rPr>
        <w:t xml:space="preserve"> </w:t>
      </w:r>
      <w:r w:rsidRPr="006E3034">
        <w:rPr>
          <w:rFonts w:asciiTheme="minorBidi" w:hAnsiTheme="minorBidi" w:cstheme="minorBidi"/>
          <w:sz w:val="18"/>
          <w:szCs w:val="18"/>
        </w:rPr>
        <w:tab/>
        <w:t xml:space="preserve">Organisation du monde islamique pour l’éducation, les sciences et la culture : </w:t>
      </w:r>
      <w:hyperlink r:id="rId15" w:history="1">
        <w:r w:rsidRPr="006E3034">
          <w:rPr>
            <w:rStyle w:val="Hyperlink"/>
            <w:rFonts w:asciiTheme="minorBidi" w:hAnsiTheme="minorBidi" w:cstheme="minorBidi"/>
            <w:sz w:val="18"/>
            <w:szCs w:val="18"/>
          </w:rPr>
          <w:t>https://www.icesco.org/fr/</w:t>
        </w:r>
      </w:hyperlink>
      <w:r w:rsidRPr="006E3034">
        <w:rPr>
          <w:rFonts w:asciiTheme="minorBidi" w:hAnsiTheme="minorBidi" w:cstheme="minorBidi"/>
          <w:sz w:val="18"/>
          <w:szCs w:val="18"/>
        </w:rPr>
        <w:t xml:space="preserve"> </w:t>
      </w:r>
    </w:p>
  </w:footnote>
  <w:footnote w:id="17">
    <w:p w14:paraId="5605EB33" w14:textId="758FB023"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 xml:space="preserve">Voir la liste des formulaires à utiliser pour les candidatures </w:t>
      </w:r>
      <w:hyperlink r:id="rId16" w:history="1">
        <w:r w:rsidRPr="00702497">
          <w:rPr>
            <w:rStyle w:val="Hyperlink"/>
            <w:rFonts w:ascii="Arial" w:hAnsi="Arial" w:cs="Arial"/>
            <w:sz w:val="18"/>
            <w:szCs w:val="18"/>
          </w:rPr>
          <w:t>ici</w:t>
        </w:r>
      </w:hyperlink>
      <w:r w:rsidRPr="00702497">
        <w:rPr>
          <w:rFonts w:ascii="Arial" w:hAnsi="Arial" w:cs="Arial"/>
          <w:sz w:val="18"/>
          <w:szCs w:val="18"/>
        </w:rPr>
        <w:t>.</w:t>
      </w:r>
    </w:p>
  </w:footnote>
  <w:footnote w:id="18">
    <w:p w14:paraId="4E74C187" w14:textId="3A360267" w:rsidR="00F846ED" w:rsidRPr="00244F2C" w:rsidRDefault="00F846ED" w:rsidP="00702497">
      <w:pPr>
        <w:pStyle w:val="FootnoteText"/>
        <w:ind w:left="709" w:hanging="709"/>
        <w:jc w:val="both"/>
        <w:rPr>
          <w:rFonts w:ascii="Arial" w:hAnsi="Arial" w:cs="Arial"/>
          <w:sz w:val="18"/>
          <w:szCs w:val="18"/>
        </w:rPr>
      </w:pPr>
      <w:r w:rsidRPr="00244F2C">
        <w:rPr>
          <w:rStyle w:val="FootnoteReference"/>
          <w:rFonts w:ascii="Arial" w:hAnsi="Arial" w:cs="Arial"/>
          <w:sz w:val="18"/>
          <w:szCs w:val="18"/>
        </w:rPr>
        <w:footnoteRef/>
      </w:r>
      <w:r w:rsidRPr="00244F2C">
        <w:rPr>
          <w:rFonts w:ascii="Arial" w:hAnsi="Arial" w:cs="Arial"/>
          <w:sz w:val="18"/>
          <w:szCs w:val="18"/>
        </w:rPr>
        <w:t xml:space="preserve"> </w:t>
      </w:r>
      <w:r>
        <w:rPr>
          <w:rFonts w:ascii="Arial" w:hAnsi="Arial" w:cs="Arial"/>
          <w:sz w:val="18"/>
          <w:szCs w:val="18"/>
        </w:rPr>
        <w:tab/>
      </w:r>
      <w:r w:rsidRPr="00244F2C">
        <w:rPr>
          <w:rFonts w:ascii="Arial" w:hAnsi="Arial" w:cs="Arial"/>
          <w:sz w:val="18"/>
          <w:szCs w:val="18"/>
        </w:rPr>
        <w:t xml:space="preserve">Pour en savoir plus sur le Centre régional pour la </w:t>
      </w:r>
      <w:r w:rsidRPr="00244F2C">
        <w:rPr>
          <w:rFonts w:ascii="Arial" w:hAnsi="Arial" w:cs="Arial"/>
          <w:bCs/>
          <w:color w:val="000000" w:themeColor="text1"/>
          <w:sz w:val="18"/>
          <w:szCs w:val="18"/>
        </w:rPr>
        <w:t>sauvegarde du</w:t>
      </w:r>
      <w:r w:rsidRPr="00244F2C">
        <w:rPr>
          <w:rFonts w:ascii="Arial" w:hAnsi="Arial" w:cs="Arial"/>
          <w:sz w:val="18"/>
          <w:szCs w:val="18"/>
        </w:rPr>
        <w:t xml:space="preserve"> patrimoine culturel immatériel en Europe du Sud</w:t>
      </w:r>
      <w:r>
        <w:rPr>
          <w:rFonts w:ascii="Arial" w:hAnsi="Arial" w:cs="Arial"/>
          <w:sz w:val="18"/>
          <w:szCs w:val="18"/>
        </w:rPr>
        <w:noBreakHyphen/>
      </w:r>
      <w:r w:rsidRPr="00244F2C">
        <w:rPr>
          <w:rFonts w:ascii="Arial" w:hAnsi="Arial" w:cs="Arial"/>
          <w:sz w:val="18"/>
          <w:szCs w:val="18"/>
        </w:rPr>
        <w:t>Est</w:t>
      </w:r>
      <w:r>
        <w:rPr>
          <w:rFonts w:ascii="Arial" w:hAnsi="Arial" w:cs="Arial"/>
          <w:sz w:val="18"/>
          <w:szCs w:val="18"/>
        </w:rPr>
        <w:t>, un centre de catégorie 2 basé à Sofia,</w:t>
      </w:r>
      <w:r w:rsidRPr="00244F2C">
        <w:rPr>
          <w:rFonts w:ascii="Arial" w:hAnsi="Arial" w:cs="Arial"/>
          <w:sz w:val="18"/>
          <w:szCs w:val="18"/>
        </w:rPr>
        <w:t xml:space="preserve"> cliquez </w:t>
      </w:r>
      <w:hyperlink r:id="rId17" w:history="1">
        <w:r w:rsidRPr="00244F2C">
          <w:rPr>
            <w:rStyle w:val="Hyperlink"/>
            <w:rFonts w:ascii="Arial" w:hAnsi="Arial" w:cs="Arial"/>
            <w:sz w:val="18"/>
            <w:szCs w:val="18"/>
          </w:rPr>
          <w:t>ici</w:t>
        </w:r>
      </w:hyperlink>
      <w:r>
        <w:rPr>
          <w:rFonts w:ascii="Arial" w:hAnsi="Arial" w:cs="Arial"/>
          <w:sz w:val="18"/>
          <w:szCs w:val="18"/>
        </w:rPr>
        <w:t xml:space="preserve"> (site en anglais et en bulgare).</w:t>
      </w:r>
    </w:p>
  </w:footnote>
  <w:footnote w:id="19">
    <w:p w14:paraId="7BA176A5" w14:textId="45070834" w:rsidR="00F846ED" w:rsidRPr="00E41FEF" w:rsidRDefault="00F846ED" w:rsidP="00702497">
      <w:pPr>
        <w:pStyle w:val="FootnoteText"/>
        <w:ind w:left="709" w:hanging="709"/>
        <w:jc w:val="both"/>
        <w:rPr>
          <w:rFonts w:ascii="Arial" w:hAnsi="Arial" w:cs="Arial"/>
          <w:sz w:val="18"/>
          <w:szCs w:val="18"/>
        </w:rPr>
      </w:pPr>
      <w:r w:rsidRPr="00E41FEF">
        <w:rPr>
          <w:rStyle w:val="FootnoteReference"/>
          <w:rFonts w:ascii="Arial" w:hAnsi="Arial" w:cs="Arial"/>
          <w:sz w:val="18"/>
          <w:szCs w:val="18"/>
        </w:rPr>
        <w:footnoteRef/>
      </w:r>
      <w:r w:rsidRPr="00E41FEF">
        <w:rPr>
          <w:rFonts w:ascii="Arial" w:hAnsi="Arial" w:cs="Arial"/>
          <w:sz w:val="18"/>
          <w:szCs w:val="18"/>
        </w:rPr>
        <w:t xml:space="preserve"> </w:t>
      </w:r>
      <w:r>
        <w:rPr>
          <w:rFonts w:ascii="Arial" w:hAnsi="Arial" w:cs="Arial"/>
          <w:sz w:val="18"/>
          <w:szCs w:val="18"/>
        </w:rPr>
        <w:tab/>
      </w:r>
      <w:r w:rsidRPr="00E41FEF">
        <w:rPr>
          <w:rFonts w:ascii="Arial" w:hAnsi="Arial" w:cs="Arial"/>
          <w:sz w:val="18"/>
          <w:szCs w:val="18"/>
        </w:rPr>
        <w:t xml:space="preserve">Pour en savoir plus sur le Centre régional pour la </w:t>
      </w:r>
      <w:r w:rsidRPr="00E41FEF">
        <w:rPr>
          <w:rFonts w:ascii="Arial" w:hAnsi="Arial" w:cs="Arial"/>
          <w:bCs/>
          <w:color w:val="000000" w:themeColor="text1"/>
          <w:sz w:val="18"/>
          <w:szCs w:val="18"/>
        </w:rPr>
        <w:t>sauvegarde du patrimoine culturel immatériel en Afrique</w:t>
      </w:r>
      <w:r>
        <w:rPr>
          <w:rFonts w:ascii="Arial" w:hAnsi="Arial" w:cs="Arial"/>
          <w:bCs/>
          <w:color w:val="000000" w:themeColor="text1"/>
          <w:sz w:val="18"/>
          <w:szCs w:val="18"/>
        </w:rPr>
        <w:t xml:space="preserve"> </w:t>
      </w:r>
      <w:r w:rsidRPr="00E41FEF">
        <w:rPr>
          <w:rFonts w:ascii="Arial" w:hAnsi="Arial" w:cs="Arial"/>
          <w:bCs/>
          <w:color w:val="000000" w:themeColor="text1"/>
          <w:sz w:val="18"/>
          <w:szCs w:val="18"/>
        </w:rPr>
        <w:t>(CRESPIAF),</w:t>
      </w:r>
      <w:r>
        <w:rPr>
          <w:rFonts w:ascii="Arial" w:hAnsi="Arial" w:cs="Arial"/>
          <w:bCs/>
          <w:color w:val="000000" w:themeColor="text1"/>
          <w:sz w:val="18"/>
          <w:szCs w:val="18"/>
        </w:rPr>
        <w:t xml:space="preserve"> un centre de catégorie 2,</w:t>
      </w:r>
      <w:r w:rsidRPr="00E41FEF">
        <w:rPr>
          <w:rFonts w:ascii="Arial" w:hAnsi="Arial" w:cs="Arial"/>
          <w:bCs/>
          <w:color w:val="000000" w:themeColor="text1"/>
          <w:sz w:val="18"/>
          <w:szCs w:val="18"/>
        </w:rPr>
        <w:t xml:space="preserve"> cliquez </w:t>
      </w:r>
      <w:hyperlink r:id="rId18" w:history="1">
        <w:r w:rsidRPr="00E41FEF">
          <w:rPr>
            <w:rStyle w:val="Hyperlink"/>
            <w:rFonts w:ascii="Arial" w:hAnsi="Arial" w:cs="Arial"/>
            <w:bCs/>
            <w:sz w:val="18"/>
            <w:szCs w:val="18"/>
          </w:rPr>
          <w:t>ici</w:t>
        </w:r>
      </w:hyperlink>
      <w:r w:rsidRPr="00E41FEF">
        <w:rPr>
          <w:rFonts w:ascii="Arial" w:hAnsi="Arial" w:cs="Arial"/>
          <w:bCs/>
          <w:color w:val="000000" w:themeColor="text1"/>
          <w:sz w:val="18"/>
          <w:szCs w:val="18"/>
        </w:rPr>
        <w:t>.</w:t>
      </w:r>
    </w:p>
  </w:footnote>
  <w:footnote w:id="20">
    <w:p w14:paraId="12F10A52" w14:textId="1C886B61" w:rsidR="00F846ED" w:rsidRPr="009D09D4" w:rsidRDefault="00F846ED">
      <w:pPr>
        <w:pStyle w:val="FootnoteText"/>
        <w:ind w:left="709" w:hanging="709"/>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r>
      <w:r w:rsidRPr="009D09D4">
        <w:rPr>
          <w:rFonts w:ascii="Arial" w:hAnsi="Arial" w:cs="Arial"/>
          <w:sz w:val="18"/>
          <w:szCs w:val="18"/>
        </w:rPr>
        <w:t xml:space="preserve">Pour en savoir plus sur le Centre régional pour la </w:t>
      </w:r>
      <w:r w:rsidRPr="009D09D4">
        <w:rPr>
          <w:rFonts w:ascii="Arial" w:hAnsi="Arial" w:cs="Arial"/>
          <w:bCs/>
          <w:color w:val="000000" w:themeColor="text1"/>
          <w:sz w:val="18"/>
          <w:szCs w:val="18"/>
        </w:rPr>
        <w:t>sauvegarde du patrimoine culturel immatériel d</w:t>
      </w:r>
      <w:r>
        <w:rPr>
          <w:rFonts w:ascii="Arial" w:hAnsi="Arial" w:cs="Arial"/>
          <w:bCs/>
          <w:color w:val="000000" w:themeColor="text1"/>
          <w:sz w:val="18"/>
          <w:szCs w:val="18"/>
        </w:rPr>
        <w:t>e l’</w:t>
      </w:r>
      <w:r w:rsidRPr="009D09D4">
        <w:rPr>
          <w:rFonts w:ascii="Arial" w:hAnsi="Arial" w:cs="Arial"/>
          <w:bCs/>
          <w:color w:val="000000" w:themeColor="text1"/>
          <w:sz w:val="18"/>
          <w:szCs w:val="18"/>
        </w:rPr>
        <w:t>Amérique latine, un centre de catégorie</w:t>
      </w:r>
      <w:r>
        <w:rPr>
          <w:rFonts w:ascii="Arial" w:hAnsi="Arial" w:cs="Arial"/>
          <w:bCs/>
          <w:color w:val="000000" w:themeColor="text1"/>
          <w:sz w:val="18"/>
          <w:szCs w:val="18"/>
        </w:rPr>
        <w:t> </w:t>
      </w:r>
      <w:r w:rsidRPr="009D09D4">
        <w:rPr>
          <w:rFonts w:ascii="Arial" w:hAnsi="Arial" w:cs="Arial"/>
          <w:bCs/>
          <w:color w:val="000000" w:themeColor="text1"/>
          <w:sz w:val="18"/>
          <w:szCs w:val="18"/>
        </w:rPr>
        <w:t xml:space="preserve">2, cliquez </w:t>
      </w:r>
      <w:hyperlink r:id="rId19" w:history="1">
        <w:r w:rsidRPr="009D09D4">
          <w:rPr>
            <w:rStyle w:val="Hyperlink"/>
            <w:rFonts w:ascii="Arial" w:hAnsi="Arial" w:cs="Arial"/>
            <w:bCs/>
            <w:sz w:val="18"/>
            <w:szCs w:val="18"/>
          </w:rPr>
          <w:t>ici</w:t>
        </w:r>
      </w:hyperlink>
      <w:r w:rsidRPr="009D09D4">
        <w:rPr>
          <w:rFonts w:ascii="Arial" w:hAnsi="Arial" w:cs="Arial"/>
          <w:bCs/>
          <w:color w:val="000000" w:themeColor="text1"/>
          <w:sz w:val="18"/>
          <w:szCs w:val="18"/>
        </w:rPr>
        <w:t xml:space="preserve"> (site en anglais, espagnol et portugais/brésilien)</w:t>
      </w:r>
    </w:p>
    <w:p w14:paraId="10B0754E" w14:textId="4425A376" w:rsidR="00F846ED" w:rsidRDefault="00F846ED">
      <w:pPr>
        <w:pStyle w:val="FootnoteText"/>
      </w:pPr>
    </w:p>
  </w:footnote>
  <w:footnote w:id="21">
    <w:p w14:paraId="1EA1FE08" w14:textId="39D2841D" w:rsidR="00F846ED" w:rsidRPr="00AA16C4" w:rsidRDefault="00F846ED">
      <w:pPr>
        <w:pStyle w:val="FootnoteText"/>
        <w:rPr>
          <w:rFonts w:ascii="Arial" w:hAnsi="Arial" w:cs="Arial"/>
          <w:sz w:val="18"/>
          <w:szCs w:val="18"/>
        </w:rPr>
      </w:pPr>
      <w:r w:rsidRPr="00AA16C4">
        <w:rPr>
          <w:rStyle w:val="FootnoteReference"/>
          <w:rFonts w:ascii="Arial" w:hAnsi="Arial" w:cs="Arial"/>
          <w:sz w:val="18"/>
          <w:szCs w:val="18"/>
        </w:rPr>
        <w:footnoteRef/>
      </w:r>
      <w:r w:rsidRPr="00AA16C4">
        <w:rPr>
          <w:rFonts w:ascii="Arial" w:hAnsi="Arial" w:cs="Arial"/>
          <w:sz w:val="18"/>
          <w:szCs w:val="18"/>
        </w:rPr>
        <w:t xml:space="preserve"> </w:t>
      </w:r>
      <w:r>
        <w:rPr>
          <w:rFonts w:ascii="Arial" w:hAnsi="Arial" w:cs="Arial"/>
          <w:sz w:val="18"/>
          <w:szCs w:val="18"/>
        </w:rPr>
        <w:tab/>
      </w:r>
      <w:r w:rsidRPr="00AA16C4">
        <w:rPr>
          <w:rFonts w:ascii="Arial" w:hAnsi="Arial" w:cs="Arial"/>
          <w:sz w:val="18"/>
          <w:szCs w:val="18"/>
        </w:rPr>
        <w:t>Pour en savoir plus sur le Guide</w:t>
      </w:r>
      <w:r>
        <w:rPr>
          <w:rFonts w:ascii="Arial" w:hAnsi="Arial" w:cs="Arial"/>
          <w:sz w:val="18"/>
          <w:szCs w:val="18"/>
        </w:rPr>
        <w:t xml:space="preserve"> </w:t>
      </w:r>
      <w:r w:rsidRPr="00AA16C4">
        <w:rPr>
          <w:rFonts w:ascii="Arial" w:hAnsi="Arial" w:cs="Arial"/>
          <w:sz w:val="18"/>
          <w:szCs w:val="18"/>
        </w:rPr>
        <w:t xml:space="preserve">et le télécharger, cliquez </w:t>
      </w:r>
      <w:hyperlink r:id="rId20" w:history="1">
        <w:r w:rsidRPr="00AA16C4">
          <w:rPr>
            <w:rStyle w:val="Hyperlink"/>
            <w:rFonts w:ascii="Arial" w:hAnsi="Arial" w:cs="Arial"/>
            <w:sz w:val="18"/>
            <w:szCs w:val="18"/>
          </w:rPr>
          <w:t>ici</w:t>
        </w:r>
      </w:hyperlink>
      <w:r>
        <w:rPr>
          <w:rFonts w:ascii="Arial" w:hAnsi="Arial" w:cs="Arial"/>
          <w:sz w:val="18"/>
          <w:szCs w:val="18"/>
        </w:rPr>
        <w:t xml:space="preserve"> (cf. un nouveau </w:t>
      </w:r>
      <w:r w:rsidRPr="00702497">
        <w:rPr>
          <w:rFonts w:ascii="Arial" w:hAnsi="Arial" w:cs="Arial"/>
          <w:i/>
          <w:iCs/>
          <w:sz w:val="18"/>
          <w:szCs w:val="18"/>
        </w:rPr>
        <w:t>toolkit</w:t>
      </w:r>
      <w:r>
        <w:rPr>
          <w:rFonts w:ascii="Arial" w:hAnsi="Arial" w:cs="Arial"/>
          <w:sz w:val="18"/>
          <w:szCs w:val="18"/>
        </w:rPr>
        <w:t xml:space="preserve"> est disponible en </w:t>
      </w:r>
      <w:hyperlink r:id="rId21" w:history="1">
        <w:r w:rsidRPr="00AB04E1">
          <w:rPr>
            <w:rStyle w:val="Hyperlink"/>
            <w:rFonts w:ascii="Arial" w:hAnsi="Arial" w:cs="Arial"/>
            <w:sz w:val="18"/>
            <w:szCs w:val="18"/>
          </w:rPr>
          <w:t>français</w:t>
        </w:r>
      </w:hyperlink>
      <w:r>
        <w:rPr>
          <w:rFonts w:ascii="Arial" w:hAnsi="Arial" w:cs="Arial"/>
          <w:sz w:val="18"/>
          <w:szCs w:val="18"/>
        </w:rPr>
        <w:t>)</w:t>
      </w:r>
    </w:p>
  </w:footnote>
  <w:footnote w:id="22">
    <w:p w14:paraId="5E9753D6" w14:textId="4BD54FD7" w:rsidR="00F846ED" w:rsidRPr="00702497" w:rsidRDefault="00F846ED" w:rsidP="00702497">
      <w:pPr>
        <w:pStyle w:val="FootnoteText"/>
        <w:ind w:left="709" w:hanging="709"/>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 xml:space="preserve">Organisation arabe pour l’éducation, la culture et les sciences : </w:t>
      </w:r>
      <w:hyperlink r:id="rId22" w:history="1">
        <w:r w:rsidRPr="00702497">
          <w:rPr>
            <w:rStyle w:val="Hyperlink"/>
            <w:rFonts w:ascii="Arial" w:hAnsi="Arial" w:cs="Arial"/>
            <w:sz w:val="18"/>
            <w:szCs w:val="18"/>
          </w:rPr>
          <w:t>http://www.alecso.org/nsite/fr/</w:t>
        </w:r>
      </w:hyperlink>
      <w:r w:rsidRPr="00702497">
        <w:rPr>
          <w:rFonts w:ascii="Arial" w:hAnsi="Arial" w:cs="Arial"/>
          <w:sz w:val="18"/>
          <w:szCs w:val="18"/>
        </w:rPr>
        <w:t xml:space="preserve"> </w:t>
      </w:r>
    </w:p>
  </w:footnote>
  <w:footnote w:id="23">
    <w:p w14:paraId="45095ABC" w14:textId="03D03B82" w:rsidR="00F846ED" w:rsidRPr="00702497" w:rsidRDefault="00F846ED" w:rsidP="00702497">
      <w:pPr>
        <w:pStyle w:val="FootnoteText"/>
        <w:tabs>
          <w:tab w:val="left" w:pos="1093"/>
        </w:tabs>
        <w:ind w:left="709" w:hanging="709"/>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Pr>
          <w:rFonts w:ascii="Arial" w:hAnsi="Arial" w:cs="Arial"/>
          <w:sz w:val="18"/>
          <w:szCs w:val="18"/>
        </w:rPr>
        <w:tab/>
      </w:r>
      <w:r w:rsidRPr="00702497">
        <w:rPr>
          <w:rFonts w:ascii="Arial" w:hAnsi="Arial" w:cs="Arial"/>
          <w:sz w:val="18"/>
          <w:szCs w:val="18"/>
        </w:rPr>
        <w:t xml:space="preserve">Centre régional pour la </w:t>
      </w:r>
      <w:r w:rsidRPr="00702497">
        <w:rPr>
          <w:rFonts w:ascii="Arial" w:hAnsi="Arial" w:cs="Arial"/>
          <w:bCs/>
          <w:color w:val="000000" w:themeColor="text1"/>
          <w:sz w:val="18"/>
          <w:szCs w:val="18"/>
        </w:rPr>
        <w:t>sauvegarde du patrimoine culturel immatériel en Afrique (</w:t>
      </w:r>
      <w:hyperlink r:id="rId23" w:history="1">
        <w:r w:rsidRPr="00702497">
          <w:rPr>
            <w:rStyle w:val="Hyperlink"/>
            <w:rFonts w:ascii="Arial" w:hAnsi="Arial" w:cs="Arial"/>
            <w:bCs/>
            <w:sz w:val="18"/>
            <w:szCs w:val="18"/>
          </w:rPr>
          <w:t>CRESPIAF</w:t>
        </w:r>
      </w:hyperlink>
      <w:r w:rsidRPr="00702497">
        <w:rPr>
          <w:rFonts w:ascii="Arial" w:hAnsi="Arial" w:cs="Arial"/>
          <w:bCs/>
          <w:color w:val="000000" w:themeColor="text1"/>
          <w:sz w:val="18"/>
          <w:szCs w:val="18"/>
        </w:rPr>
        <w:t>)</w:t>
      </w:r>
      <w:r>
        <w:rPr>
          <w:rFonts w:ascii="Arial" w:hAnsi="Arial" w:cs="Arial"/>
          <w:bCs/>
          <w:color w:val="000000" w:themeColor="text1"/>
          <w:sz w:val="18"/>
          <w:szCs w:val="18"/>
        </w:rPr>
        <w:t>.</w:t>
      </w:r>
    </w:p>
  </w:footnote>
  <w:footnote w:id="24">
    <w:p w14:paraId="5EC5BADF" w14:textId="21AFD89F"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Pour en savoir plus sur la Stratégie opérationnelle pour la priorité Afrique</w:t>
      </w:r>
      <w:r>
        <w:rPr>
          <w:rFonts w:ascii="Arial" w:hAnsi="Arial" w:cs="Arial"/>
          <w:sz w:val="18"/>
          <w:szCs w:val="18"/>
        </w:rPr>
        <w:t> </w:t>
      </w:r>
      <w:r w:rsidRPr="00702497">
        <w:rPr>
          <w:rFonts w:ascii="Arial" w:hAnsi="Arial" w:cs="Arial"/>
          <w:sz w:val="18"/>
          <w:szCs w:val="18"/>
        </w:rPr>
        <w:t>2022</w:t>
      </w:r>
      <w:r>
        <w:rPr>
          <w:rFonts w:ascii="Arial" w:hAnsi="Arial" w:cs="Arial"/>
          <w:sz w:val="18"/>
          <w:szCs w:val="18"/>
        </w:rPr>
        <w:noBreakHyphen/>
      </w:r>
      <w:r w:rsidRPr="00702497">
        <w:rPr>
          <w:rFonts w:ascii="Arial" w:hAnsi="Arial" w:cs="Arial"/>
          <w:sz w:val="18"/>
          <w:szCs w:val="18"/>
        </w:rPr>
        <w:t xml:space="preserve">2029, cliquez </w:t>
      </w:r>
      <w:hyperlink r:id="rId24" w:history="1">
        <w:r w:rsidRPr="00702497">
          <w:rPr>
            <w:rStyle w:val="Hyperlink"/>
            <w:rFonts w:ascii="Arial" w:hAnsi="Arial" w:cs="Arial"/>
            <w:sz w:val="18"/>
            <w:szCs w:val="18"/>
          </w:rPr>
          <w:t>ici</w:t>
        </w:r>
      </w:hyperlink>
      <w:r w:rsidRPr="00702497">
        <w:rPr>
          <w:rFonts w:ascii="Arial" w:hAnsi="Arial" w:cs="Arial"/>
          <w:sz w:val="18"/>
          <w:szCs w:val="18"/>
        </w:rPr>
        <w:t>.</w:t>
      </w:r>
    </w:p>
  </w:footnote>
  <w:footnote w:id="25">
    <w:p w14:paraId="43BC0E47" w14:textId="02BCE17F" w:rsidR="004C6500" w:rsidRPr="006E3034" w:rsidRDefault="006251F1">
      <w:pPr>
        <w:pStyle w:val="FootnoteText"/>
        <w:rPr>
          <w:rFonts w:asciiTheme="minorBidi" w:hAnsiTheme="minorBidi" w:cstheme="minorBidi"/>
          <w:sz w:val="18"/>
          <w:szCs w:val="18"/>
        </w:rPr>
      </w:pPr>
      <w:r w:rsidRPr="006E3034">
        <w:rPr>
          <w:rFonts w:asciiTheme="minorBidi" w:hAnsiTheme="minorBidi" w:cstheme="minorBidi"/>
          <w:sz w:val="18"/>
          <w:szCs w:val="18"/>
        </w:rPr>
        <w:footnoteRef/>
      </w:r>
      <w:r w:rsidRPr="006E3034">
        <w:rPr>
          <w:rFonts w:asciiTheme="minorBidi" w:hAnsiTheme="minorBidi" w:cstheme="minorBidi"/>
          <w:sz w:val="18"/>
          <w:szCs w:val="18"/>
        </w:rPr>
        <w:t xml:space="preserve"> Voir la déclaration en entier faite par le Président de l’Organe d’évaluation </w:t>
      </w:r>
      <w:hyperlink r:id="rId25" w:history="1">
        <w:r w:rsidRPr="006E3034">
          <w:rPr>
            <w:rStyle w:val="Hyperlink"/>
            <w:rFonts w:asciiTheme="minorBidi" w:hAnsiTheme="minorBidi" w:cstheme="minorBidi"/>
            <w:sz w:val="18"/>
            <w:szCs w:val="18"/>
          </w:rPr>
          <w:t>ici</w:t>
        </w:r>
      </w:hyperlink>
      <w:r w:rsidR="004C6500" w:rsidRPr="006E3034">
        <w:rPr>
          <w:rFonts w:asciiTheme="minorBidi" w:hAnsiTheme="minorBidi" w:cstheme="minorBidi"/>
          <w:sz w:val="18"/>
          <w:szCs w:val="18"/>
        </w:rPr>
        <w:t xml:space="preserve"> </w:t>
      </w:r>
    </w:p>
  </w:footnote>
  <w:footnote w:id="26">
    <w:p w14:paraId="7C70F518" w14:textId="4698CCBF"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 xml:space="preserve">Pour en savoir plus sur le Forum mondial, cliquez </w:t>
      </w:r>
      <w:hyperlink r:id="rId26" w:history="1">
        <w:r w:rsidRPr="00C06FE4">
          <w:rPr>
            <w:rStyle w:val="Hyperlink"/>
            <w:rFonts w:ascii="Arial" w:hAnsi="Arial" w:cs="Arial"/>
            <w:sz w:val="18"/>
            <w:szCs w:val="18"/>
          </w:rPr>
          <w:t>ici</w:t>
        </w:r>
      </w:hyperlink>
      <w:r>
        <w:rPr>
          <w:rFonts w:ascii="Arial" w:hAnsi="Arial" w:cs="Arial"/>
          <w:sz w:val="18"/>
          <w:szCs w:val="18"/>
        </w:rPr>
        <w:t>.</w:t>
      </w:r>
    </w:p>
  </w:footnote>
  <w:footnote w:id="27">
    <w:p w14:paraId="5D82CCF5" w14:textId="1B47A912"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t>Forum des ONG du PCI :</w:t>
      </w:r>
      <w:r w:rsidRPr="00977B2D">
        <w:rPr>
          <w:rFonts w:ascii="Arial" w:hAnsi="Arial" w:cs="Arial"/>
          <w:sz w:val="18"/>
          <w:szCs w:val="18"/>
        </w:rPr>
        <w:t xml:space="preserve"> </w:t>
      </w:r>
      <w:hyperlink r:id="rId27" w:history="1">
        <w:r w:rsidRPr="00702497">
          <w:rPr>
            <w:rStyle w:val="Hyperlink"/>
            <w:rFonts w:ascii="Arial" w:hAnsi="Arial" w:cs="Arial"/>
            <w:sz w:val="18"/>
            <w:szCs w:val="18"/>
          </w:rPr>
          <w:t>https://www.ichngoforum.org/</w:t>
        </w:r>
      </w:hyperlink>
      <w:r w:rsidRPr="00702497">
        <w:rPr>
          <w:rStyle w:val="Hyperlink"/>
          <w:rFonts w:ascii="Arial" w:hAnsi="Arial" w:cs="Arial"/>
          <w:sz w:val="18"/>
          <w:szCs w:val="18"/>
          <w:u w:val="none"/>
        </w:rPr>
        <w:t xml:space="preserve"> </w:t>
      </w:r>
      <w:r w:rsidRPr="00702497">
        <w:rPr>
          <w:rStyle w:val="Hyperlink"/>
          <w:rFonts w:ascii="Arial" w:hAnsi="Arial" w:cs="Arial"/>
          <w:color w:val="auto"/>
          <w:sz w:val="18"/>
          <w:szCs w:val="18"/>
          <w:u w:val="none"/>
        </w:rPr>
        <w:t>(</w:t>
      </w:r>
      <w:r>
        <w:rPr>
          <w:rStyle w:val="Hyperlink"/>
          <w:rFonts w:ascii="Arial" w:hAnsi="Arial" w:cs="Arial"/>
          <w:color w:val="auto"/>
          <w:sz w:val="18"/>
          <w:szCs w:val="18"/>
          <w:u w:val="none"/>
        </w:rPr>
        <w:t>site en</w:t>
      </w:r>
      <w:r w:rsidRPr="00702497">
        <w:rPr>
          <w:rStyle w:val="Hyperlink"/>
          <w:rFonts w:ascii="Arial" w:hAnsi="Arial" w:cs="Arial"/>
          <w:color w:val="auto"/>
          <w:sz w:val="18"/>
          <w:szCs w:val="18"/>
          <w:u w:val="none"/>
        </w:rPr>
        <w:t xml:space="preserve"> anglais)</w:t>
      </w:r>
      <w:r>
        <w:rPr>
          <w:rStyle w:val="Hyperlink"/>
          <w:rFonts w:ascii="Arial" w:hAnsi="Arial" w:cs="Arial"/>
          <w:color w:val="auto"/>
          <w:sz w:val="18"/>
          <w:szCs w:val="18"/>
          <w:u w:val="none"/>
        </w:rPr>
        <w:t>.</w:t>
      </w:r>
    </w:p>
  </w:footnote>
  <w:footnote w:id="28">
    <w:p w14:paraId="7EDEE77B" w14:textId="6A00AE33"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r>
      <w:r>
        <w:rPr>
          <w:rFonts w:ascii="Arial" w:hAnsi="Arial" w:cs="Arial"/>
          <w:sz w:val="18"/>
          <w:szCs w:val="18"/>
        </w:rPr>
        <w:t xml:space="preserve">Pour en savoir plus sur la composition du Conseil exécutif, cliquez </w:t>
      </w:r>
      <w:hyperlink r:id="rId28" w:history="1">
        <w:r>
          <w:rPr>
            <w:rStyle w:val="Hyperlink"/>
            <w:rFonts w:ascii="Arial" w:hAnsi="Arial" w:cs="Arial"/>
            <w:sz w:val="18"/>
            <w:szCs w:val="18"/>
          </w:rPr>
          <w:t>ici</w:t>
        </w:r>
      </w:hyperlink>
      <w:r>
        <w:rPr>
          <w:rStyle w:val="Hyperlink"/>
          <w:rFonts w:ascii="Arial" w:hAnsi="Arial" w:cs="Arial"/>
          <w:color w:val="auto"/>
          <w:sz w:val="18"/>
          <w:szCs w:val="18"/>
          <w:u w:val="none"/>
        </w:rPr>
        <w:t xml:space="preserve"> (page en anglais).</w:t>
      </w:r>
    </w:p>
  </w:footnote>
  <w:footnote w:id="29">
    <w:p w14:paraId="56D08791" w14:textId="66124162"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Pr>
          <w:rFonts w:ascii="Arial" w:hAnsi="Arial" w:cs="Arial"/>
          <w:sz w:val="18"/>
          <w:szCs w:val="18"/>
        </w:rPr>
        <w:tab/>
        <w:t xml:space="preserve">Pour en savoir plus sur le prix Albert van der Zeiden, cliquez </w:t>
      </w:r>
      <w:hyperlink r:id="rId29" w:history="1">
        <w:r>
          <w:rPr>
            <w:rStyle w:val="Hyperlink"/>
            <w:rFonts w:ascii="Arial" w:hAnsi="Arial" w:cs="Arial"/>
            <w:sz w:val="18"/>
            <w:szCs w:val="18"/>
          </w:rPr>
          <w:t>ici</w:t>
        </w:r>
      </w:hyperlink>
      <w:r>
        <w:rPr>
          <w:rStyle w:val="Hyperlink"/>
          <w:rFonts w:ascii="Arial" w:hAnsi="Arial" w:cs="Arial"/>
          <w:sz w:val="18"/>
          <w:szCs w:val="18"/>
          <w:u w:val="none"/>
        </w:rPr>
        <w:t xml:space="preserve"> </w:t>
      </w:r>
      <w:r w:rsidRPr="00702497">
        <w:rPr>
          <w:rStyle w:val="Hyperlink"/>
          <w:rFonts w:ascii="Arial" w:hAnsi="Arial" w:cs="Arial"/>
          <w:color w:val="auto"/>
          <w:sz w:val="18"/>
          <w:szCs w:val="18"/>
          <w:u w:val="none"/>
        </w:rPr>
        <w:t>(</w:t>
      </w:r>
      <w:r>
        <w:rPr>
          <w:rStyle w:val="Hyperlink"/>
          <w:rFonts w:ascii="Arial" w:hAnsi="Arial" w:cs="Arial"/>
          <w:color w:val="auto"/>
          <w:sz w:val="18"/>
          <w:szCs w:val="18"/>
          <w:u w:val="none"/>
        </w:rPr>
        <w:t xml:space="preserve">page </w:t>
      </w:r>
      <w:r w:rsidRPr="00702497">
        <w:rPr>
          <w:rStyle w:val="Hyperlink"/>
          <w:rFonts w:ascii="Arial" w:hAnsi="Arial" w:cs="Arial"/>
          <w:color w:val="auto"/>
          <w:sz w:val="18"/>
          <w:szCs w:val="18"/>
          <w:u w:val="none"/>
        </w:rPr>
        <w:t>en anglais).</w:t>
      </w:r>
    </w:p>
  </w:footnote>
  <w:footnote w:id="30">
    <w:p w14:paraId="17C8D9DD" w14:textId="3561116B"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sidRPr="00702497">
        <w:rPr>
          <w:rFonts w:ascii="Arial" w:hAnsi="Arial" w:cs="Arial"/>
          <w:sz w:val="18"/>
          <w:szCs w:val="18"/>
        </w:rPr>
        <w:tab/>
      </w:r>
      <w:r>
        <w:rPr>
          <w:rFonts w:ascii="Arial" w:hAnsi="Arial" w:cs="Arial"/>
          <w:sz w:val="18"/>
          <w:szCs w:val="18"/>
        </w:rPr>
        <w:t xml:space="preserve">Pour en savoir plus sur le dossier web sur le PCI et le tourisme durable, cliquez </w:t>
      </w:r>
      <w:hyperlink r:id="rId30" w:history="1">
        <w:r>
          <w:rPr>
            <w:rStyle w:val="Hyperlink"/>
            <w:rFonts w:ascii="Arial" w:hAnsi="Arial" w:cs="Arial"/>
            <w:sz w:val="18"/>
            <w:szCs w:val="18"/>
          </w:rPr>
          <w:t>ici</w:t>
        </w:r>
      </w:hyperlink>
      <w:r>
        <w:rPr>
          <w:rStyle w:val="Hyperlink"/>
          <w:rFonts w:ascii="Arial" w:hAnsi="Arial" w:cs="Arial"/>
          <w:sz w:val="18"/>
          <w:szCs w:val="18"/>
          <w:u w:val="none"/>
        </w:rPr>
        <w:t xml:space="preserve"> </w:t>
      </w:r>
      <w:r w:rsidRPr="00702497">
        <w:rPr>
          <w:rStyle w:val="Hyperlink"/>
          <w:rFonts w:ascii="Arial" w:hAnsi="Arial" w:cs="Arial"/>
          <w:color w:val="auto"/>
          <w:sz w:val="18"/>
          <w:szCs w:val="18"/>
          <w:u w:val="none"/>
        </w:rPr>
        <w:t>(page en anglais).</w:t>
      </w:r>
    </w:p>
  </w:footnote>
  <w:footnote w:id="31">
    <w:p w14:paraId="4590364E" w14:textId="0088AEF0" w:rsidR="00F846ED" w:rsidRPr="00702497" w:rsidRDefault="00F846ED">
      <w:pPr>
        <w:pStyle w:val="FootnoteText"/>
        <w:rPr>
          <w:rFonts w:ascii="Arial" w:hAnsi="Arial" w:cs="Arial"/>
          <w:color w:val="0000FF" w:themeColor="hyperlink"/>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Pr>
          <w:rFonts w:ascii="Arial" w:hAnsi="Arial" w:cs="Arial"/>
          <w:sz w:val="18"/>
          <w:szCs w:val="18"/>
        </w:rPr>
        <w:tab/>
        <w:t>Pour en savoir plus sur l’</w:t>
      </w:r>
      <w:r w:rsidRPr="009C5353">
        <w:rPr>
          <w:rFonts w:ascii="Arial" w:hAnsi="Arial" w:cs="Arial"/>
          <w:sz w:val="18"/>
          <w:szCs w:val="18"/>
        </w:rPr>
        <w:t>initiative</w:t>
      </w:r>
      <w:r>
        <w:rPr>
          <w:rFonts w:ascii="Arial" w:hAnsi="Arial" w:cs="Arial"/>
          <w:sz w:val="18"/>
          <w:szCs w:val="18"/>
        </w:rPr>
        <w:t xml:space="preserve">, cliquez </w:t>
      </w:r>
      <w:hyperlink r:id="rId31" w:history="1">
        <w:r>
          <w:rPr>
            <w:rStyle w:val="Hyperlink"/>
            <w:rFonts w:ascii="Arial" w:hAnsi="Arial" w:cs="Arial"/>
            <w:sz w:val="18"/>
            <w:szCs w:val="18"/>
          </w:rPr>
          <w:t>ici</w:t>
        </w:r>
      </w:hyperlink>
      <w:r>
        <w:rPr>
          <w:rStyle w:val="Hyperlink"/>
          <w:rFonts w:ascii="Arial" w:hAnsi="Arial" w:cs="Arial"/>
          <w:sz w:val="18"/>
          <w:szCs w:val="18"/>
          <w:u w:val="none"/>
        </w:rPr>
        <w:t xml:space="preserve"> </w:t>
      </w:r>
      <w:r w:rsidRPr="00702497">
        <w:rPr>
          <w:rStyle w:val="Hyperlink"/>
          <w:rFonts w:ascii="Arial" w:hAnsi="Arial" w:cs="Arial"/>
          <w:color w:val="auto"/>
          <w:sz w:val="18"/>
          <w:szCs w:val="18"/>
          <w:u w:val="none"/>
        </w:rPr>
        <w:t>(page en anglais).</w:t>
      </w:r>
    </w:p>
  </w:footnote>
  <w:footnote w:id="32">
    <w:p w14:paraId="4C957E3B" w14:textId="0754AE2A" w:rsidR="00F846ED" w:rsidRPr="00702497" w:rsidRDefault="00F846ED">
      <w:pPr>
        <w:pStyle w:val="FootnoteText"/>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Pr>
          <w:rFonts w:ascii="Arial" w:hAnsi="Arial" w:cs="Arial"/>
          <w:sz w:val="18"/>
          <w:szCs w:val="18"/>
        </w:rPr>
        <w:tab/>
        <w:t xml:space="preserve">Consultez les publications #HeritageAlive </w:t>
      </w:r>
      <w:hyperlink r:id="rId32" w:history="1">
        <w:r w:rsidRPr="00CB0BEC">
          <w:rPr>
            <w:rStyle w:val="Hyperlink"/>
            <w:rFonts w:ascii="Arial" w:hAnsi="Arial" w:cs="Arial"/>
            <w:sz w:val="18"/>
            <w:szCs w:val="18"/>
          </w:rPr>
          <w:t>ici</w:t>
        </w:r>
      </w:hyperlink>
      <w:r>
        <w:rPr>
          <w:rFonts w:ascii="Arial" w:hAnsi="Arial" w:cs="Arial"/>
          <w:sz w:val="18"/>
          <w:szCs w:val="18"/>
        </w:rPr>
        <w:t xml:space="preserve"> (page et documents en anglais).</w:t>
      </w:r>
    </w:p>
  </w:footnote>
  <w:footnote w:id="33">
    <w:p w14:paraId="318AC6BE" w14:textId="610D489B" w:rsidR="00F846ED" w:rsidRPr="00702497" w:rsidRDefault="00F846ED" w:rsidP="00702497">
      <w:pPr>
        <w:pStyle w:val="FootnoteText"/>
        <w:ind w:left="709" w:hanging="709"/>
        <w:jc w:val="both"/>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Pr>
          <w:rFonts w:ascii="Arial" w:hAnsi="Arial" w:cs="Arial"/>
          <w:sz w:val="18"/>
          <w:szCs w:val="18"/>
        </w:rPr>
        <w:tab/>
        <w:t xml:space="preserve">CRESPIAL, Centre régional pour la </w:t>
      </w:r>
      <w:r w:rsidRPr="00767A83">
        <w:rPr>
          <w:rFonts w:ascii="Arial" w:hAnsi="Arial" w:cs="Arial"/>
          <w:bCs/>
          <w:color w:val="000000" w:themeColor="text1"/>
          <w:sz w:val="18"/>
          <w:szCs w:val="18"/>
        </w:rPr>
        <w:t>sauvegarde</w:t>
      </w:r>
      <w:r>
        <w:rPr>
          <w:rFonts w:ascii="Arial" w:hAnsi="Arial" w:cs="Arial"/>
          <w:bCs/>
          <w:color w:val="000000" w:themeColor="text1"/>
          <w:sz w:val="18"/>
          <w:szCs w:val="18"/>
        </w:rPr>
        <w:t xml:space="preserve"> du patrimoine culturel immatériel de l’Amérique latine : </w:t>
      </w:r>
      <w:hyperlink r:id="rId33" w:history="1">
        <w:r w:rsidRPr="00DE6A50">
          <w:rPr>
            <w:rStyle w:val="Hyperlink"/>
            <w:rFonts w:ascii="Arial" w:hAnsi="Arial" w:cs="Arial"/>
            <w:sz w:val="18"/>
            <w:szCs w:val="18"/>
          </w:rPr>
          <w:t>https://crespial.org/</w:t>
        </w:r>
      </w:hyperlink>
      <w:r w:rsidRPr="00702497">
        <w:rPr>
          <w:rStyle w:val="Hyperlink"/>
          <w:rFonts w:ascii="Arial" w:hAnsi="Arial" w:cs="Arial"/>
          <w:sz w:val="18"/>
          <w:szCs w:val="18"/>
          <w:u w:val="none"/>
        </w:rPr>
        <w:t xml:space="preserve"> </w:t>
      </w:r>
      <w:r w:rsidRPr="009D09D4">
        <w:rPr>
          <w:rFonts w:ascii="Arial" w:hAnsi="Arial" w:cs="Arial"/>
          <w:bCs/>
          <w:color w:val="000000" w:themeColor="text1"/>
          <w:sz w:val="18"/>
          <w:szCs w:val="18"/>
        </w:rPr>
        <w:t>(site en anglais, espagnol et portugais/brésilien)</w:t>
      </w:r>
      <w:r>
        <w:rPr>
          <w:rFonts w:ascii="Arial" w:hAnsi="Arial" w:cs="Arial"/>
          <w:sz w:val="18"/>
          <w:szCs w:val="18"/>
        </w:rPr>
        <w:t>.</w:t>
      </w:r>
    </w:p>
  </w:footnote>
  <w:footnote w:id="34">
    <w:p w14:paraId="44CD5DC7" w14:textId="55A74583" w:rsidR="00F846ED" w:rsidRPr="00702497" w:rsidRDefault="00F846ED" w:rsidP="00702497">
      <w:pPr>
        <w:pStyle w:val="FootnoteText"/>
        <w:ind w:left="709" w:hanging="709"/>
        <w:jc w:val="both"/>
        <w:rPr>
          <w:rFonts w:ascii="Arial" w:hAnsi="Arial" w:cs="Arial"/>
          <w:sz w:val="18"/>
          <w:szCs w:val="18"/>
        </w:rPr>
      </w:pPr>
      <w:r w:rsidRPr="00702497">
        <w:rPr>
          <w:rStyle w:val="FootnoteReference"/>
          <w:rFonts w:ascii="Arial" w:hAnsi="Arial" w:cs="Arial"/>
          <w:sz w:val="18"/>
          <w:szCs w:val="18"/>
        </w:rPr>
        <w:footnoteRef/>
      </w:r>
      <w:r>
        <w:rPr>
          <w:rFonts w:ascii="Arial" w:hAnsi="Arial" w:cs="Arial"/>
          <w:sz w:val="18"/>
          <w:szCs w:val="18"/>
        </w:rPr>
        <w:tab/>
        <w:t>Critère P.9 : le programme, le projet ou l’activité répond essentiellement aux besoins particuliers des pays en d</w:t>
      </w:r>
      <w:r w:rsidRPr="00B97E81">
        <w:rPr>
          <w:rFonts w:ascii="Arial" w:hAnsi="Arial" w:cs="Arial"/>
          <w:sz w:val="18"/>
          <w:szCs w:val="18"/>
        </w:rPr>
        <w:t>éveloppement</w:t>
      </w:r>
      <w:r>
        <w:rPr>
          <w:rFonts w:ascii="Arial" w:hAnsi="Arial" w:cs="Arial"/>
          <w:sz w:val="18"/>
          <w:szCs w:val="18"/>
        </w:rPr>
        <w:t>.</w:t>
      </w:r>
    </w:p>
  </w:footnote>
  <w:footnote w:id="35">
    <w:p w14:paraId="7644F18D" w14:textId="350D9799" w:rsidR="00F846ED" w:rsidRPr="00702497" w:rsidRDefault="00F846ED" w:rsidP="00702497">
      <w:pPr>
        <w:pStyle w:val="FootnoteText"/>
        <w:ind w:left="709" w:hanging="709"/>
        <w:jc w:val="both"/>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Pr>
          <w:rFonts w:ascii="Arial" w:hAnsi="Arial" w:cs="Arial"/>
          <w:sz w:val="18"/>
          <w:szCs w:val="18"/>
        </w:rPr>
        <w:tab/>
        <w:t xml:space="preserve">Recommandation 6 : l’Entité du </w:t>
      </w:r>
      <w:r w:rsidRPr="004126AE">
        <w:rPr>
          <w:rFonts w:ascii="Arial" w:hAnsi="Arial" w:cs="Arial"/>
          <w:sz w:val="18"/>
          <w:szCs w:val="18"/>
        </w:rPr>
        <w:t>patrimoine</w:t>
      </w:r>
      <w:r>
        <w:rPr>
          <w:rFonts w:ascii="Arial" w:hAnsi="Arial" w:cs="Arial"/>
          <w:sz w:val="18"/>
          <w:szCs w:val="18"/>
        </w:rPr>
        <w:t xml:space="preserve"> vivant devrait renforcer la qualité de la conception des projets, du suivi et des rapports sur les résultats, en s’appuyant sur le cadre global de résultats. Une attention particulière devrait en outre être accordée à l’engagement des </w:t>
      </w:r>
      <w:r w:rsidRPr="004126AE">
        <w:rPr>
          <w:rFonts w:ascii="Arial" w:hAnsi="Arial" w:cs="Arial"/>
          <w:bCs/>
          <w:color w:val="000000" w:themeColor="text1"/>
          <w:sz w:val="18"/>
          <w:szCs w:val="18"/>
        </w:rPr>
        <w:t>communauté</w:t>
      </w:r>
      <w:r>
        <w:rPr>
          <w:rFonts w:ascii="Arial" w:hAnsi="Arial" w:cs="Arial"/>
          <w:bCs/>
          <w:color w:val="000000" w:themeColor="text1"/>
          <w:sz w:val="18"/>
          <w:szCs w:val="18"/>
        </w:rPr>
        <w:t xml:space="preserve">s, au </w:t>
      </w:r>
      <w:r w:rsidRPr="004126AE">
        <w:rPr>
          <w:rFonts w:ascii="Arial" w:hAnsi="Arial" w:cs="Arial"/>
          <w:bCs/>
          <w:color w:val="000000" w:themeColor="text1"/>
          <w:sz w:val="18"/>
          <w:szCs w:val="18"/>
        </w:rPr>
        <w:t>développement</w:t>
      </w:r>
      <w:r>
        <w:rPr>
          <w:rFonts w:ascii="Arial" w:hAnsi="Arial" w:cs="Arial"/>
          <w:bCs/>
          <w:color w:val="000000" w:themeColor="text1"/>
          <w:sz w:val="18"/>
          <w:szCs w:val="18"/>
        </w:rPr>
        <w:t xml:space="preserve"> durable et à l’égalité des genres, entre autres domaines.</w:t>
      </w:r>
    </w:p>
  </w:footnote>
  <w:footnote w:id="36">
    <w:p w14:paraId="40C7697B" w14:textId="5B39D7E2" w:rsidR="00F846ED" w:rsidRPr="00702497" w:rsidRDefault="00F846ED" w:rsidP="00702497">
      <w:pPr>
        <w:pStyle w:val="FootnoteText"/>
        <w:ind w:left="709" w:hanging="709"/>
        <w:jc w:val="both"/>
        <w:rPr>
          <w:rFonts w:ascii="Arial" w:hAnsi="Arial" w:cs="Arial"/>
          <w:sz w:val="18"/>
          <w:szCs w:val="18"/>
        </w:rPr>
      </w:pPr>
      <w:r w:rsidRPr="00702497">
        <w:rPr>
          <w:rStyle w:val="FootnoteReference"/>
          <w:rFonts w:ascii="Arial" w:hAnsi="Arial" w:cs="Arial"/>
          <w:sz w:val="18"/>
          <w:szCs w:val="18"/>
        </w:rPr>
        <w:footnoteRef/>
      </w:r>
      <w:r w:rsidRPr="00702497">
        <w:rPr>
          <w:rFonts w:ascii="Arial" w:hAnsi="Arial" w:cs="Arial"/>
          <w:sz w:val="18"/>
          <w:szCs w:val="18"/>
        </w:rPr>
        <w:t xml:space="preserve"> </w:t>
      </w:r>
      <w:r>
        <w:rPr>
          <w:rFonts w:ascii="Arial" w:hAnsi="Arial" w:cs="Arial"/>
          <w:sz w:val="18"/>
          <w:szCs w:val="18"/>
        </w:rPr>
        <w:tab/>
        <w:t xml:space="preserve">L’ICHCAP (Centre </w:t>
      </w:r>
      <w:r w:rsidRPr="002D749E">
        <w:rPr>
          <w:rFonts w:ascii="Arial" w:hAnsi="Arial" w:cs="Arial"/>
          <w:sz w:val="18"/>
          <w:szCs w:val="18"/>
        </w:rPr>
        <w:t>international</w:t>
      </w:r>
      <w:r>
        <w:rPr>
          <w:rFonts w:ascii="Arial" w:hAnsi="Arial" w:cs="Arial"/>
          <w:sz w:val="18"/>
          <w:szCs w:val="18"/>
        </w:rPr>
        <w:t xml:space="preserve"> d’</w:t>
      </w:r>
      <w:r w:rsidRPr="002D749E">
        <w:rPr>
          <w:rFonts w:ascii="Arial" w:hAnsi="Arial" w:cs="Arial"/>
          <w:sz w:val="18"/>
          <w:szCs w:val="18"/>
        </w:rPr>
        <w:t>information</w:t>
      </w:r>
      <w:r>
        <w:rPr>
          <w:rFonts w:ascii="Arial" w:hAnsi="Arial" w:cs="Arial"/>
          <w:sz w:val="18"/>
          <w:szCs w:val="18"/>
        </w:rPr>
        <w:t xml:space="preserve"> et de travail en réseau sur le patrimoine culturel immatériel dans la région Asie-Pacifique) est un centre de catégorie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60769543" w:rsidR="00F846ED" w:rsidRPr="002E58D4" w:rsidRDefault="00F846ED" w:rsidP="00461168">
    <w:pPr>
      <w:pStyle w:val="Header"/>
      <w:rPr>
        <w:rFonts w:ascii="Arial" w:hAnsi="Arial" w:cs="Arial"/>
        <w:lang w:val="en-US"/>
      </w:rPr>
    </w:pPr>
    <w:r>
      <w:rPr>
        <w:rFonts w:ascii="Arial" w:hAnsi="Arial" w:cs="Arial"/>
        <w:sz w:val="20"/>
        <w:szCs w:val="20"/>
        <w:lang w:val="en-US"/>
      </w:rPr>
      <w:t>LHE/23/18.COM</w:t>
    </w:r>
    <w:r w:rsidR="005762A8">
      <w:rPr>
        <w:rFonts w:ascii="Arial" w:hAnsi="Arial" w:cs="Arial"/>
        <w:sz w:val="20"/>
        <w:szCs w:val="20"/>
        <w:lang w:val="en-US"/>
      </w:rPr>
      <w:t>/4</w:t>
    </w:r>
    <w:r>
      <w:rPr>
        <w:rFonts w:ascii="Arial" w:hAnsi="Arial" w:cs="Arial"/>
        <w:sz w:val="20"/>
        <w:szCs w:val="20"/>
        <w:lang w:val="en-US"/>
      </w:rPr>
      <w:t> </w:t>
    </w:r>
    <w:r w:rsidRPr="00B52FED">
      <w:rPr>
        <w:rFonts w:ascii="Arial" w:hAnsi="Arial" w:cs="Arial"/>
        <w:sz w:val="20"/>
        <w:szCs w:val="20"/>
        <w:lang w:val="en-US"/>
      </w:rPr>
      <w:t>–</w:t>
    </w:r>
    <w:r>
      <w:rPr>
        <w:rFonts w:ascii="Arial" w:hAnsi="Arial" w:cs="Arial"/>
        <w:sz w:val="20"/>
        <w:szCs w:val="20"/>
        <w:lang w:val="en-US"/>
      </w:rPr>
      <w:t> </w:t>
    </w:r>
    <w:r w:rsidRPr="00B52FED">
      <w:rPr>
        <w:rFonts w:ascii="Arial" w:hAnsi="Arial" w:cs="Arial"/>
        <w:sz w:val="20"/>
        <w:szCs w:val="20"/>
        <w:lang w:val="en-US"/>
      </w:rPr>
      <w:t xml:space="preserve">page </w:t>
    </w:r>
    <w:r w:rsidRPr="00B52FED">
      <w:rPr>
        <w:rStyle w:val="PageNumber"/>
        <w:rFonts w:ascii="Arial" w:hAnsi="Arial" w:cs="Arial"/>
        <w:sz w:val="20"/>
        <w:szCs w:val="20"/>
      </w:rPr>
      <w:fldChar w:fldCharType="begin"/>
    </w:r>
    <w:r w:rsidRPr="00B52FED">
      <w:rPr>
        <w:rStyle w:val="PageNumber"/>
        <w:rFonts w:ascii="Arial" w:hAnsi="Arial" w:cs="Arial"/>
        <w:sz w:val="20"/>
        <w:szCs w:val="20"/>
        <w:lang w:val="en-US"/>
      </w:rPr>
      <w:instrText xml:space="preserve"> PAGE </w:instrText>
    </w:r>
    <w:r w:rsidRPr="00B52FED">
      <w:rPr>
        <w:rStyle w:val="PageNumber"/>
        <w:rFonts w:ascii="Arial" w:hAnsi="Arial" w:cs="Arial"/>
        <w:sz w:val="20"/>
        <w:szCs w:val="20"/>
      </w:rPr>
      <w:fldChar w:fldCharType="separate"/>
    </w:r>
    <w:r w:rsidRPr="00B52FED">
      <w:rPr>
        <w:rStyle w:val="PageNumber"/>
        <w:rFonts w:ascii="Arial" w:hAnsi="Arial" w:cs="Arial"/>
        <w:noProof/>
        <w:sz w:val="20"/>
        <w:szCs w:val="20"/>
        <w:lang w:val="en-US"/>
      </w:rPr>
      <w:t>2</w:t>
    </w:r>
    <w:r w:rsidRPr="00B52FED">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5CD21618" w:rsidR="00F846ED" w:rsidRPr="00BC3420" w:rsidRDefault="00F846ED" w:rsidP="00461168">
    <w:pPr>
      <w:pStyle w:val="Header"/>
      <w:jc w:val="right"/>
      <w:rPr>
        <w:rFonts w:ascii="Arial" w:hAnsi="Arial" w:cs="Arial"/>
        <w:lang w:val="en-US"/>
      </w:rPr>
    </w:pPr>
    <w:r>
      <w:rPr>
        <w:rFonts w:ascii="Arial" w:hAnsi="Arial" w:cs="Arial"/>
        <w:sz w:val="20"/>
        <w:szCs w:val="20"/>
        <w:lang w:val="en-US"/>
      </w:rPr>
      <w:t>LHE/23/18.</w:t>
    </w:r>
    <w:r w:rsidRPr="00FE0DEE">
      <w:rPr>
        <w:rFonts w:ascii="Arial" w:hAnsi="Arial" w:cs="Arial"/>
        <w:sz w:val="20"/>
        <w:szCs w:val="20"/>
        <w:lang w:val="en-US"/>
      </w:rPr>
      <w:t>COM</w:t>
    </w:r>
    <w:r w:rsidR="005762A8">
      <w:rPr>
        <w:rFonts w:ascii="Arial" w:hAnsi="Arial" w:cs="Arial"/>
        <w:sz w:val="20"/>
        <w:szCs w:val="20"/>
        <w:lang w:val="en-US"/>
      </w:rPr>
      <w:t>/4</w:t>
    </w:r>
    <w:r>
      <w:rPr>
        <w:rFonts w:ascii="Arial" w:hAnsi="Arial" w:cs="Arial"/>
        <w:sz w:val="20"/>
        <w:szCs w:val="20"/>
        <w:lang w:val="en-US"/>
      </w:rPr>
      <w:t> </w:t>
    </w:r>
    <w:r w:rsidRPr="00FE0DEE">
      <w:rPr>
        <w:rFonts w:ascii="Arial" w:hAnsi="Arial" w:cs="Arial"/>
        <w:sz w:val="20"/>
        <w:szCs w:val="20"/>
        <w:lang w:val="en-US"/>
      </w:rPr>
      <w:t>–</w:t>
    </w:r>
    <w:r>
      <w:rPr>
        <w:rFonts w:ascii="Arial" w:hAnsi="Arial" w:cs="Arial"/>
        <w:sz w:val="20"/>
        <w:szCs w:val="20"/>
        <w:lang w:val="en-US"/>
      </w:rPr>
      <w:t> </w:t>
    </w:r>
    <w:r w:rsidRPr="00FE0DEE">
      <w:rPr>
        <w:rFonts w:ascii="Arial" w:hAnsi="Arial" w:cs="Arial"/>
        <w:sz w:val="20"/>
        <w:szCs w:val="20"/>
        <w:lang w:val="en-US"/>
      </w:rPr>
      <w:t>p</w:t>
    </w:r>
    <w:r w:rsidRPr="00EF563B">
      <w:rPr>
        <w:rFonts w:ascii="Arial" w:hAnsi="Arial" w:cs="Arial"/>
        <w:sz w:val="20"/>
        <w:szCs w:val="20"/>
        <w:lang w:val="en-US"/>
      </w:rPr>
      <w:t xml:space="preserve">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Pr>
        <w:rStyle w:val="PageNumber"/>
        <w:rFonts w:ascii="Arial" w:hAnsi="Arial" w:cs="Arial"/>
        <w:noProof/>
        <w:sz w:val="20"/>
        <w:szCs w:val="20"/>
        <w:lang w:val="en-US"/>
      </w:rPr>
      <w:t>3</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F846ED" w:rsidRPr="008B64DF" w:rsidRDefault="00F846ED">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727368355" name="Picture 172736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472EC1A3" w:rsidR="00F846ED" w:rsidRPr="00C318BF" w:rsidRDefault="00F846ED"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Pr>
        <w:rFonts w:ascii="Arial" w:hAnsi="Arial" w:cs="Arial"/>
        <w:b/>
        <w:sz w:val="44"/>
        <w:szCs w:val="44"/>
        <w:lang w:val="pt-PT"/>
      </w:rPr>
      <w:t>8</w:t>
    </w:r>
    <w:r w:rsidRPr="00C318BF">
      <w:rPr>
        <w:rFonts w:ascii="Arial" w:hAnsi="Arial" w:cs="Arial"/>
        <w:b/>
        <w:sz w:val="44"/>
        <w:szCs w:val="44"/>
        <w:lang w:val="pt-PT"/>
      </w:rPr>
      <w:t xml:space="preserve"> COM</w:t>
    </w:r>
  </w:p>
  <w:p w14:paraId="4AD38C3D" w14:textId="1FAA67BE" w:rsidR="00F846ED" w:rsidRPr="00C318BF" w:rsidRDefault="00F846ED" w:rsidP="008F09EC">
    <w:pPr>
      <w:jc w:val="right"/>
      <w:rPr>
        <w:rFonts w:ascii="Arial" w:hAnsi="Arial" w:cs="Arial"/>
        <w:b/>
        <w:sz w:val="22"/>
        <w:szCs w:val="22"/>
        <w:lang w:val="pt-PT"/>
      </w:rPr>
    </w:pPr>
    <w:r w:rsidRPr="00C318BF">
      <w:rPr>
        <w:rFonts w:ascii="Arial" w:hAnsi="Arial" w:cs="Arial"/>
        <w:b/>
        <w:sz w:val="22"/>
        <w:szCs w:val="22"/>
        <w:lang w:val="pt-PT"/>
      </w:rPr>
      <w:t>LHE/</w:t>
    </w:r>
    <w:r>
      <w:rPr>
        <w:rFonts w:ascii="Arial" w:hAnsi="Arial" w:cs="Arial"/>
        <w:b/>
        <w:sz w:val="22"/>
        <w:szCs w:val="22"/>
        <w:lang w:val="pt-PT"/>
      </w:rPr>
      <w:t>23</w:t>
    </w:r>
    <w:r w:rsidRPr="00C318BF">
      <w:rPr>
        <w:rFonts w:ascii="Arial" w:hAnsi="Arial" w:cs="Arial"/>
        <w:b/>
        <w:sz w:val="22"/>
        <w:szCs w:val="22"/>
        <w:lang w:val="pt-PT"/>
      </w:rPr>
      <w:t>/1</w:t>
    </w:r>
    <w:r>
      <w:rPr>
        <w:rFonts w:ascii="Arial" w:hAnsi="Arial" w:cs="Arial"/>
        <w:b/>
        <w:sz w:val="22"/>
        <w:szCs w:val="22"/>
        <w:lang w:val="pt-PT"/>
      </w:rPr>
      <w:t>8</w:t>
    </w:r>
    <w:r w:rsidRPr="00C318BF">
      <w:rPr>
        <w:rFonts w:ascii="Arial" w:hAnsi="Arial" w:cs="Arial"/>
        <w:b/>
        <w:sz w:val="22"/>
        <w:szCs w:val="22"/>
        <w:lang w:val="pt-PT"/>
      </w:rPr>
      <w:t>.COM</w:t>
    </w:r>
    <w:r w:rsidRPr="00B52FED">
      <w:rPr>
        <w:rFonts w:ascii="Arial" w:hAnsi="Arial" w:cs="Arial"/>
        <w:b/>
        <w:sz w:val="22"/>
        <w:szCs w:val="22"/>
        <w:lang w:val="pt-PT"/>
      </w:rPr>
      <w:t>/</w:t>
    </w:r>
    <w:r w:rsidR="00702497">
      <w:rPr>
        <w:rFonts w:ascii="Arial" w:hAnsi="Arial" w:cs="Arial"/>
        <w:b/>
        <w:sz w:val="22"/>
        <w:szCs w:val="22"/>
        <w:lang w:val="pt-PT"/>
      </w:rPr>
      <w:t>4</w:t>
    </w:r>
  </w:p>
  <w:p w14:paraId="30B7DEB9" w14:textId="6B8DC6CA" w:rsidR="00F846ED" w:rsidRPr="00C318BF" w:rsidRDefault="00F846ED"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 xml:space="preserve">Paris, le </w:t>
    </w:r>
    <w:r w:rsidR="00702497">
      <w:rPr>
        <w:rFonts w:ascii="Arial" w:hAnsi="Arial" w:cs="Arial"/>
        <w:b/>
        <w:sz w:val="22"/>
        <w:szCs w:val="22"/>
        <w:lang w:val="pt-PT"/>
      </w:rPr>
      <w:t>6 novembre</w:t>
    </w:r>
    <w:r>
      <w:rPr>
        <w:rFonts w:ascii="Arial" w:hAnsi="Arial" w:cs="Arial"/>
        <w:b/>
        <w:sz w:val="22"/>
        <w:szCs w:val="22"/>
        <w:lang w:val="pt-PT"/>
      </w:rPr>
      <w:t xml:space="preserve"> </w:t>
    </w:r>
    <w:r w:rsidRPr="00C318BF">
      <w:rPr>
        <w:rFonts w:ascii="Arial" w:hAnsi="Arial" w:cs="Arial"/>
        <w:b/>
        <w:sz w:val="22"/>
        <w:szCs w:val="22"/>
        <w:lang w:val="pt-PT"/>
      </w:rPr>
      <w:t>20</w:t>
    </w:r>
    <w:r>
      <w:rPr>
        <w:rFonts w:ascii="Arial" w:hAnsi="Arial" w:cs="Arial"/>
        <w:b/>
        <w:sz w:val="22"/>
        <w:szCs w:val="22"/>
        <w:lang w:val="pt-PT"/>
      </w:rPr>
      <w:t>23</w:t>
    </w:r>
  </w:p>
  <w:p w14:paraId="18E81B87" w14:textId="04DCEB06" w:rsidR="00F846ED" w:rsidRPr="0020150F" w:rsidRDefault="00F846ED" w:rsidP="00F84A0B">
    <w:pPr>
      <w:spacing w:after="240"/>
      <w:jc w:val="right"/>
      <w:rPr>
        <w:rFonts w:ascii="Arial" w:hAnsi="Arial" w:cs="Arial"/>
        <w:b/>
        <w:sz w:val="22"/>
        <w:szCs w:val="22"/>
      </w:rPr>
    </w:pPr>
    <w:r w:rsidRPr="00022428">
      <w:rPr>
        <w:rFonts w:ascii="Arial" w:hAnsi="Arial" w:cs="Arial"/>
        <w:b/>
        <w:sz w:val="22"/>
        <w:szCs w:val="22"/>
      </w:rPr>
      <w:t xml:space="preserve">Original : </w:t>
    </w:r>
    <w:r>
      <w:rPr>
        <w:rFonts w:ascii="Arial" w:hAnsi="Arial" w:cs="Arial"/>
        <w:b/>
        <w:sz w:val="22"/>
        <w:szCs w:val="22"/>
      </w:rPr>
      <w:t>anglais</w:t>
    </w:r>
  </w:p>
  <w:p w14:paraId="1B74C5FD" w14:textId="77777777" w:rsidR="00F846ED" w:rsidRPr="008B64DF" w:rsidRDefault="00F846E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AC6"/>
    <w:multiLevelType w:val="hybridMultilevel"/>
    <w:tmpl w:val="4A3EBC10"/>
    <w:lvl w:ilvl="0" w:tplc="BF1E8E48">
      <w:start w:val="1"/>
      <w:numFmt w:val="decimal"/>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47048B7"/>
    <w:multiLevelType w:val="multilevel"/>
    <w:tmpl w:val="9854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248D0168"/>
    <w:multiLevelType w:val="hybridMultilevel"/>
    <w:tmpl w:val="B1581DE2"/>
    <w:lvl w:ilvl="0" w:tplc="BF1E8E48">
      <w:start w:val="1"/>
      <w:numFmt w:val="decimal"/>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464FFC"/>
    <w:multiLevelType w:val="hybridMultilevel"/>
    <w:tmpl w:val="8FA2D8B6"/>
    <w:lvl w:ilvl="0" w:tplc="7CD8DD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E76FF"/>
    <w:multiLevelType w:val="hybridMultilevel"/>
    <w:tmpl w:val="B1581DE2"/>
    <w:lvl w:ilvl="0" w:tplc="BF1E8E48">
      <w:start w:val="1"/>
      <w:numFmt w:val="decimal"/>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01643F"/>
    <w:multiLevelType w:val="hybridMultilevel"/>
    <w:tmpl w:val="1BB8B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4566488">
    <w:abstractNumId w:val="17"/>
  </w:num>
  <w:num w:numId="2" w16cid:durableId="1402171087">
    <w:abstractNumId w:val="10"/>
  </w:num>
  <w:num w:numId="3" w16cid:durableId="1477407096">
    <w:abstractNumId w:val="3"/>
  </w:num>
  <w:num w:numId="4" w16cid:durableId="1868055084">
    <w:abstractNumId w:val="23"/>
  </w:num>
  <w:num w:numId="5" w16cid:durableId="1989625788">
    <w:abstractNumId w:val="18"/>
  </w:num>
  <w:num w:numId="6" w16cid:durableId="1891500980">
    <w:abstractNumId w:val="1"/>
  </w:num>
  <w:num w:numId="7" w16cid:durableId="60099397">
    <w:abstractNumId w:val="4"/>
  </w:num>
  <w:num w:numId="8" w16cid:durableId="458887913">
    <w:abstractNumId w:val="14"/>
  </w:num>
  <w:num w:numId="9" w16cid:durableId="1245409466">
    <w:abstractNumId w:val="9"/>
  </w:num>
  <w:num w:numId="10" w16cid:durableId="299506380">
    <w:abstractNumId w:val="11"/>
  </w:num>
  <w:num w:numId="11" w16cid:durableId="1613512058">
    <w:abstractNumId w:val="8"/>
  </w:num>
  <w:num w:numId="12" w16cid:durableId="923033815">
    <w:abstractNumId w:val="6"/>
  </w:num>
  <w:num w:numId="13" w16cid:durableId="1494031121">
    <w:abstractNumId w:val="16"/>
  </w:num>
  <w:num w:numId="14" w16cid:durableId="1685134242">
    <w:abstractNumId w:val="5"/>
  </w:num>
  <w:num w:numId="15" w16cid:durableId="1525552114">
    <w:abstractNumId w:val="22"/>
  </w:num>
  <w:num w:numId="16" w16cid:durableId="1909001250">
    <w:abstractNumId w:val="15"/>
  </w:num>
  <w:num w:numId="17" w16cid:durableId="1130904788">
    <w:abstractNumId w:val="11"/>
    <w:lvlOverride w:ilvl="0">
      <w:startOverride w:val="1"/>
    </w:lvlOverride>
  </w:num>
  <w:num w:numId="18" w16cid:durableId="1353995178">
    <w:abstractNumId w:val="19"/>
  </w:num>
  <w:num w:numId="19" w16cid:durableId="34014526">
    <w:abstractNumId w:val="12"/>
  </w:num>
  <w:num w:numId="20" w16cid:durableId="279143720">
    <w:abstractNumId w:val="0"/>
  </w:num>
  <w:num w:numId="21" w16cid:durableId="1448432438">
    <w:abstractNumId w:val="0"/>
  </w:num>
  <w:num w:numId="22" w16cid:durableId="739641377">
    <w:abstractNumId w:val="20"/>
  </w:num>
  <w:num w:numId="23" w16cid:durableId="1436514724">
    <w:abstractNumId w:val="21"/>
  </w:num>
  <w:num w:numId="24" w16cid:durableId="1347902807">
    <w:abstractNumId w:val="13"/>
  </w:num>
  <w:num w:numId="25" w16cid:durableId="1917284270">
    <w:abstractNumId w:val="7"/>
  </w:num>
  <w:num w:numId="26" w16cid:durableId="1820418059">
    <w:abstractNumId w:val="0"/>
    <w:lvlOverride w:ilvl="0">
      <w:startOverride w:val="1"/>
    </w:lvlOverride>
  </w:num>
  <w:num w:numId="27" w16cid:durableId="2050763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58E4"/>
    <w:rsid w:val="00006642"/>
    <w:rsid w:val="00010C29"/>
    <w:rsid w:val="000121F0"/>
    <w:rsid w:val="0001230A"/>
    <w:rsid w:val="00015925"/>
    <w:rsid w:val="000208E0"/>
    <w:rsid w:val="00020931"/>
    <w:rsid w:val="00020BFC"/>
    <w:rsid w:val="000211A1"/>
    <w:rsid w:val="00022428"/>
    <w:rsid w:val="00024991"/>
    <w:rsid w:val="000263BA"/>
    <w:rsid w:val="00026BCD"/>
    <w:rsid w:val="00026C31"/>
    <w:rsid w:val="000271D8"/>
    <w:rsid w:val="000278CB"/>
    <w:rsid w:val="00031185"/>
    <w:rsid w:val="0003530D"/>
    <w:rsid w:val="00035B41"/>
    <w:rsid w:val="00036659"/>
    <w:rsid w:val="00037E31"/>
    <w:rsid w:val="0004079F"/>
    <w:rsid w:val="00040DDF"/>
    <w:rsid w:val="00042B4E"/>
    <w:rsid w:val="000434D2"/>
    <w:rsid w:val="000443DC"/>
    <w:rsid w:val="0004449E"/>
    <w:rsid w:val="00044668"/>
    <w:rsid w:val="00045100"/>
    <w:rsid w:val="0004518F"/>
    <w:rsid w:val="000459AD"/>
    <w:rsid w:val="0004624F"/>
    <w:rsid w:val="0004627C"/>
    <w:rsid w:val="0004694C"/>
    <w:rsid w:val="00050490"/>
    <w:rsid w:val="00051617"/>
    <w:rsid w:val="0005176E"/>
    <w:rsid w:val="000532F1"/>
    <w:rsid w:val="000545CE"/>
    <w:rsid w:val="00054FE1"/>
    <w:rsid w:val="0005681B"/>
    <w:rsid w:val="000573DC"/>
    <w:rsid w:val="00060604"/>
    <w:rsid w:val="00063A4B"/>
    <w:rsid w:val="00064444"/>
    <w:rsid w:val="00064B90"/>
    <w:rsid w:val="00066020"/>
    <w:rsid w:val="000660A9"/>
    <w:rsid w:val="00067781"/>
    <w:rsid w:val="00072679"/>
    <w:rsid w:val="00072B96"/>
    <w:rsid w:val="000738D1"/>
    <w:rsid w:val="000757CF"/>
    <w:rsid w:val="00076F79"/>
    <w:rsid w:val="00077272"/>
    <w:rsid w:val="00077AB7"/>
    <w:rsid w:val="00080386"/>
    <w:rsid w:val="0008099E"/>
    <w:rsid w:val="00080E9A"/>
    <w:rsid w:val="00081CD8"/>
    <w:rsid w:val="00081DC3"/>
    <w:rsid w:val="0008329C"/>
    <w:rsid w:val="00084F78"/>
    <w:rsid w:val="00086292"/>
    <w:rsid w:val="00086D98"/>
    <w:rsid w:val="0008768D"/>
    <w:rsid w:val="00090AF9"/>
    <w:rsid w:val="00090D9A"/>
    <w:rsid w:val="00090E6E"/>
    <w:rsid w:val="0009450D"/>
    <w:rsid w:val="00096548"/>
    <w:rsid w:val="000A0A57"/>
    <w:rsid w:val="000A0FBC"/>
    <w:rsid w:val="000A6FAA"/>
    <w:rsid w:val="000A7F0E"/>
    <w:rsid w:val="000B21A1"/>
    <w:rsid w:val="000B2884"/>
    <w:rsid w:val="000B3925"/>
    <w:rsid w:val="000B5DBE"/>
    <w:rsid w:val="000B5ED2"/>
    <w:rsid w:val="000B7D47"/>
    <w:rsid w:val="000C2813"/>
    <w:rsid w:val="000C332F"/>
    <w:rsid w:val="000C4C67"/>
    <w:rsid w:val="000C4DC3"/>
    <w:rsid w:val="000C5DF5"/>
    <w:rsid w:val="000D0A89"/>
    <w:rsid w:val="000D19B1"/>
    <w:rsid w:val="000D210B"/>
    <w:rsid w:val="000D47A8"/>
    <w:rsid w:val="000D60E4"/>
    <w:rsid w:val="000D68DD"/>
    <w:rsid w:val="000E063C"/>
    <w:rsid w:val="000E16C7"/>
    <w:rsid w:val="000E1EF6"/>
    <w:rsid w:val="000E332B"/>
    <w:rsid w:val="000E544B"/>
    <w:rsid w:val="000E6CD7"/>
    <w:rsid w:val="000E77F3"/>
    <w:rsid w:val="000F208A"/>
    <w:rsid w:val="000F3842"/>
    <w:rsid w:val="000F3A3F"/>
    <w:rsid w:val="000F4129"/>
    <w:rsid w:val="00100D60"/>
    <w:rsid w:val="001023D5"/>
    <w:rsid w:val="00103A36"/>
    <w:rsid w:val="00103FAC"/>
    <w:rsid w:val="00104304"/>
    <w:rsid w:val="00105269"/>
    <w:rsid w:val="00105CA7"/>
    <w:rsid w:val="00106073"/>
    <w:rsid w:val="0010785B"/>
    <w:rsid w:val="001103FD"/>
    <w:rsid w:val="00112757"/>
    <w:rsid w:val="001129D7"/>
    <w:rsid w:val="001138B7"/>
    <w:rsid w:val="00114C01"/>
    <w:rsid w:val="00121FDC"/>
    <w:rsid w:val="00123B96"/>
    <w:rsid w:val="00130CC9"/>
    <w:rsid w:val="001343EA"/>
    <w:rsid w:val="001348BE"/>
    <w:rsid w:val="00135B06"/>
    <w:rsid w:val="00136090"/>
    <w:rsid w:val="00136A0D"/>
    <w:rsid w:val="0014172E"/>
    <w:rsid w:val="0014439A"/>
    <w:rsid w:val="00146AC5"/>
    <w:rsid w:val="00147E78"/>
    <w:rsid w:val="00150DE0"/>
    <w:rsid w:val="001518A9"/>
    <w:rsid w:val="00151DE5"/>
    <w:rsid w:val="0015271B"/>
    <w:rsid w:val="00152AB5"/>
    <w:rsid w:val="00152D4E"/>
    <w:rsid w:val="00152E6C"/>
    <w:rsid w:val="00153FA2"/>
    <w:rsid w:val="00154A43"/>
    <w:rsid w:val="00155033"/>
    <w:rsid w:val="001565CA"/>
    <w:rsid w:val="0015662E"/>
    <w:rsid w:val="00160000"/>
    <w:rsid w:val="0016266B"/>
    <w:rsid w:val="001631D1"/>
    <w:rsid w:val="00163D4A"/>
    <w:rsid w:val="001641BD"/>
    <w:rsid w:val="00164D56"/>
    <w:rsid w:val="00165170"/>
    <w:rsid w:val="00166882"/>
    <w:rsid w:val="001672EB"/>
    <w:rsid w:val="00167A84"/>
    <w:rsid w:val="00167B10"/>
    <w:rsid w:val="001719D7"/>
    <w:rsid w:val="00172611"/>
    <w:rsid w:val="001734DC"/>
    <w:rsid w:val="0017371A"/>
    <w:rsid w:val="00174B1C"/>
    <w:rsid w:val="00174C67"/>
    <w:rsid w:val="001757BB"/>
    <w:rsid w:val="00176275"/>
    <w:rsid w:val="00177AC6"/>
    <w:rsid w:val="00180DBC"/>
    <w:rsid w:val="00181127"/>
    <w:rsid w:val="00186A4B"/>
    <w:rsid w:val="0018742C"/>
    <w:rsid w:val="001876E2"/>
    <w:rsid w:val="001878FE"/>
    <w:rsid w:val="00187BE1"/>
    <w:rsid w:val="00187E07"/>
    <w:rsid w:val="00191C2C"/>
    <w:rsid w:val="0019264E"/>
    <w:rsid w:val="001932D0"/>
    <w:rsid w:val="00194137"/>
    <w:rsid w:val="00194AFE"/>
    <w:rsid w:val="0019529B"/>
    <w:rsid w:val="00195E07"/>
    <w:rsid w:val="00196C1B"/>
    <w:rsid w:val="00197030"/>
    <w:rsid w:val="0019736E"/>
    <w:rsid w:val="001A100C"/>
    <w:rsid w:val="001A2FF6"/>
    <w:rsid w:val="001A315B"/>
    <w:rsid w:val="001A57D1"/>
    <w:rsid w:val="001A6358"/>
    <w:rsid w:val="001A6B5D"/>
    <w:rsid w:val="001A766C"/>
    <w:rsid w:val="001A7AF7"/>
    <w:rsid w:val="001B0F73"/>
    <w:rsid w:val="001B1498"/>
    <w:rsid w:val="001B2567"/>
    <w:rsid w:val="001B28AF"/>
    <w:rsid w:val="001B2A2A"/>
    <w:rsid w:val="001B2C7D"/>
    <w:rsid w:val="001B36DF"/>
    <w:rsid w:val="001B3DA0"/>
    <w:rsid w:val="001B3FDB"/>
    <w:rsid w:val="001B451C"/>
    <w:rsid w:val="001B4A0A"/>
    <w:rsid w:val="001B5074"/>
    <w:rsid w:val="001B6E8F"/>
    <w:rsid w:val="001B7AC8"/>
    <w:rsid w:val="001B7BAC"/>
    <w:rsid w:val="001C0299"/>
    <w:rsid w:val="001C248E"/>
    <w:rsid w:val="001C300E"/>
    <w:rsid w:val="001C3113"/>
    <w:rsid w:val="001C42C1"/>
    <w:rsid w:val="001C57D0"/>
    <w:rsid w:val="001D0397"/>
    <w:rsid w:val="001D091D"/>
    <w:rsid w:val="001D0B52"/>
    <w:rsid w:val="001D2261"/>
    <w:rsid w:val="001D2E00"/>
    <w:rsid w:val="001D75C3"/>
    <w:rsid w:val="001E4B44"/>
    <w:rsid w:val="001E6B21"/>
    <w:rsid w:val="001F0801"/>
    <w:rsid w:val="001F182D"/>
    <w:rsid w:val="001F1C26"/>
    <w:rsid w:val="001F1CF7"/>
    <w:rsid w:val="001F205C"/>
    <w:rsid w:val="001F20FD"/>
    <w:rsid w:val="001F63EE"/>
    <w:rsid w:val="001F70B4"/>
    <w:rsid w:val="0020150F"/>
    <w:rsid w:val="002021B4"/>
    <w:rsid w:val="00204D8F"/>
    <w:rsid w:val="00205C6E"/>
    <w:rsid w:val="002067A4"/>
    <w:rsid w:val="00206B59"/>
    <w:rsid w:val="00210B80"/>
    <w:rsid w:val="00211903"/>
    <w:rsid w:val="00213F0E"/>
    <w:rsid w:val="002147D4"/>
    <w:rsid w:val="0021747C"/>
    <w:rsid w:val="00220DC2"/>
    <w:rsid w:val="00221804"/>
    <w:rsid w:val="00221D63"/>
    <w:rsid w:val="00222A2D"/>
    <w:rsid w:val="00223193"/>
    <w:rsid w:val="00227CF5"/>
    <w:rsid w:val="00227E8F"/>
    <w:rsid w:val="00231DCF"/>
    <w:rsid w:val="00234846"/>
    <w:rsid w:val="0023576B"/>
    <w:rsid w:val="00235F16"/>
    <w:rsid w:val="002369D9"/>
    <w:rsid w:val="00237348"/>
    <w:rsid w:val="002407AF"/>
    <w:rsid w:val="002420DA"/>
    <w:rsid w:val="00242F73"/>
    <w:rsid w:val="00243CEE"/>
    <w:rsid w:val="00244308"/>
    <w:rsid w:val="0024499B"/>
    <w:rsid w:val="00244A20"/>
    <w:rsid w:val="00244F2C"/>
    <w:rsid w:val="00246428"/>
    <w:rsid w:val="00246F16"/>
    <w:rsid w:val="002506B7"/>
    <w:rsid w:val="00250A83"/>
    <w:rsid w:val="00251FAC"/>
    <w:rsid w:val="0025295A"/>
    <w:rsid w:val="00253659"/>
    <w:rsid w:val="0025375C"/>
    <w:rsid w:val="00254195"/>
    <w:rsid w:val="00255942"/>
    <w:rsid w:val="00255B24"/>
    <w:rsid w:val="00256F0D"/>
    <w:rsid w:val="002604BA"/>
    <w:rsid w:val="002605E9"/>
    <w:rsid w:val="0026174F"/>
    <w:rsid w:val="00264353"/>
    <w:rsid w:val="00265712"/>
    <w:rsid w:val="00266994"/>
    <w:rsid w:val="00267538"/>
    <w:rsid w:val="00270279"/>
    <w:rsid w:val="0027035A"/>
    <w:rsid w:val="00274447"/>
    <w:rsid w:val="00275E0A"/>
    <w:rsid w:val="00277C4F"/>
    <w:rsid w:val="00280B95"/>
    <w:rsid w:val="00280D62"/>
    <w:rsid w:val="00286E6E"/>
    <w:rsid w:val="0028700F"/>
    <w:rsid w:val="00287501"/>
    <w:rsid w:val="002900F5"/>
    <w:rsid w:val="0029334A"/>
    <w:rsid w:val="002945AF"/>
    <w:rsid w:val="002A3828"/>
    <w:rsid w:val="002A3C48"/>
    <w:rsid w:val="002A5694"/>
    <w:rsid w:val="002A6AD3"/>
    <w:rsid w:val="002A6C11"/>
    <w:rsid w:val="002A6F73"/>
    <w:rsid w:val="002A7DA5"/>
    <w:rsid w:val="002B100C"/>
    <w:rsid w:val="002B285B"/>
    <w:rsid w:val="002B3ECA"/>
    <w:rsid w:val="002B4D95"/>
    <w:rsid w:val="002B5649"/>
    <w:rsid w:val="002B594D"/>
    <w:rsid w:val="002B668C"/>
    <w:rsid w:val="002C0359"/>
    <w:rsid w:val="002C0D14"/>
    <w:rsid w:val="002C1A26"/>
    <w:rsid w:val="002C36C5"/>
    <w:rsid w:val="002C47A0"/>
    <w:rsid w:val="002C4CF9"/>
    <w:rsid w:val="002C59CA"/>
    <w:rsid w:val="002C5FAD"/>
    <w:rsid w:val="002C61F6"/>
    <w:rsid w:val="002C7930"/>
    <w:rsid w:val="002D3EB5"/>
    <w:rsid w:val="002D5EE7"/>
    <w:rsid w:val="002D6273"/>
    <w:rsid w:val="002D6B88"/>
    <w:rsid w:val="002D6D8B"/>
    <w:rsid w:val="002D6EF5"/>
    <w:rsid w:val="002D6FA8"/>
    <w:rsid w:val="002D749E"/>
    <w:rsid w:val="002E083D"/>
    <w:rsid w:val="002E0C22"/>
    <w:rsid w:val="002E2F53"/>
    <w:rsid w:val="002E3D25"/>
    <w:rsid w:val="002E4610"/>
    <w:rsid w:val="002E58D4"/>
    <w:rsid w:val="002E6C0D"/>
    <w:rsid w:val="002F1676"/>
    <w:rsid w:val="002F3C50"/>
    <w:rsid w:val="002F3DEE"/>
    <w:rsid w:val="002F4BEB"/>
    <w:rsid w:val="002F62D9"/>
    <w:rsid w:val="0030181D"/>
    <w:rsid w:val="00303021"/>
    <w:rsid w:val="003048ED"/>
    <w:rsid w:val="00304A68"/>
    <w:rsid w:val="00304C5A"/>
    <w:rsid w:val="00306C1F"/>
    <w:rsid w:val="00307C17"/>
    <w:rsid w:val="00312CAA"/>
    <w:rsid w:val="003172AE"/>
    <w:rsid w:val="00317DF1"/>
    <w:rsid w:val="00320253"/>
    <w:rsid w:val="0032035A"/>
    <w:rsid w:val="0032205E"/>
    <w:rsid w:val="00324CA6"/>
    <w:rsid w:val="0032583C"/>
    <w:rsid w:val="00327449"/>
    <w:rsid w:val="00331B4F"/>
    <w:rsid w:val="00332B1E"/>
    <w:rsid w:val="00334087"/>
    <w:rsid w:val="0033626B"/>
    <w:rsid w:val="003432D4"/>
    <w:rsid w:val="00343866"/>
    <w:rsid w:val="00344865"/>
    <w:rsid w:val="003500FF"/>
    <w:rsid w:val="0035057A"/>
    <w:rsid w:val="003534FC"/>
    <w:rsid w:val="0035664F"/>
    <w:rsid w:val="00356A7D"/>
    <w:rsid w:val="00357512"/>
    <w:rsid w:val="0036149B"/>
    <w:rsid w:val="0036152B"/>
    <w:rsid w:val="00361CBE"/>
    <w:rsid w:val="00363C7B"/>
    <w:rsid w:val="00366386"/>
    <w:rsid w:val="00366642"/>
    <w:rsid w:val="00371185"/>
    <w:rsid w:val="00371C25"/>
    <w:rsid w:val="003732E4"/>
    <w:rsid w:val="0037368A"/>
    <w:rsid w:val="00375329"/>
    <w:rsid w:val="00375D0C"/>
    <w:rsid w:val="00377A05"/>
    <w:rsid w:val="00382265"/>
    <w:rsid w:val="003826F0"/>
    <w:rsid w:val="003827D5"/>
    <w:rsid w:val="00383AC0"/>
    <w:rsid w:val="003845BE"/>
    <w:rsid w:val="00384C07"/>
    <w:rsid w:val="00384FFF"/>
    <w:rsid w:val="0038735E"/>
    <w:rsid w:val="00390221"/>
    <w:rsid w:val="003905CB"/>
    <w:rsid w:val="003931DE"/>
    <w:rsid w:val="003940BE"/>
    <w:rsid w:val="0039442C"/>
    <w:rsid w:val="003945E3"/>
    <w:rsid w:val="00394AA1"/>
    <w:rsid w:val="00394FBB"/>
    <w:rsid w:val="00395D7E"/>
    <w:rsid w:val="003962E5"/>
    <w:rsid w:val="003A0260"/>
    <w:rsid w:val="003A02A7"/>
    <w:rsid w:val="003A094F"/>
    <w:rsid w:val="003A0A74"/>
    <w:rsid w:val="003A11FA"/>
    <w:rsid w:val="003A16E6"/>
    <w:rsid w:val="003A1CC9"/>
    <w:rsid w:val="003A2C9E"/>
    <w:rsid w:val="003A4768"/>
    <w:rsid w:val="003A56C1"/>
    <w:rsid w:val="003A69C4"/>
    <w:rsid w:val="003B07FD"/>
    <w:rsid w:val="003B1AD1"/>
    <w:rsid w:val="003B2E0F"/>
    <w:rsid w:val="003B3969"/>
    <w:rsid w:val="003B3E01"/>
    <w:rsid w:val="003B3E4B"/>
    <w:rsid w:val="003B573F"/>
    <w:rsid w:val="003B5D9E"/>
    <w:rsid w:val="003B6221"/>
    <w:rsid w:val="003B73E7"/>
    <w:rsid w:val="003C0A47"/>
    <w:rsid w:val="003C1678"/>
    <w:rsid w:val="003C1B1D"/>
    <w:rsid w:val="003C263B"/>
    <w:rsid w:val="003C375E"/>
    <w:rsid w:val="003C3EB1"/>
    <w:rsid w:val="003C53E8"/>
    <w:rsid w:val="003C5EFA"/>
    <w:rsid w:val="003C5F9B"/>
    <w:rsid w:val="003C6AF5"/>
    <w:rsid w:val="003D069C"/>
    <w:rsid w:val="003D0A0D"/>
    <w:rsid w:val="003D0C70"/>
    <w:rsid w:val="003D139E"/>
    <w:rsid w:val="003D2257"/>
    <w:rsid w:val="003D2288"/>
    <w:rsid w:val="003D2D5E"/>
    <w:rsid w:val="003D4658"/>
    <w:rsid w:val="003D5763"/>
    <w:rsid w:val="003D744B"/>
    <w:rsid w:val="003D7DA9"/>
    <w:rsid w:val="003E07D8"/>
    <w:rsid w:val="003E2289"/>
    <w:rsid w:val="003E25A4"/>
    <w:rsid w:val="003E2A08"/>
    <w:rsid w:val="003E3084"/>
    <w:rsid w:val="003E3848"/>
    <w:rsid w:val="003E3A17"/>
    <w:rsid w:val="003E3A52"/>
    <w:rsid w:val="003E61FD"/>
    <w:rsid w:val="003E757A"/>
    <w:rsid w:val="003E7982"/>
    <w:rsid w:val="003F113A"/>
    <w:rsid w:val="003F14DF"/>
    <w:rsid w:val="003F440F"/>
    <w:rsid w:val="003F4DA7"/>
    <w:rsid w:val="003F4F65"/>
    <w:rsid w:val="003F71F2"/>
    <w:rsid w:val="003F721F"/>
    <w:rsid w:val="003F76C9"/>
    <w:rsid w:val="00404014"/>
    <w:rsid w:val="004050CB"/>
    <w:rsid w:val="0040579C"/>
    <w:rsid w:val="00406E6B"/>
    <w:rsid w:val="00411818"/>
    <w:rsid w:val="004126AE"/>
    <w:rsid w:val="00414CB9"/>
    <w:rsid w:val="00415409"/>
    <w:rsid w:val="00416B99"/>
    <w:rsid w:val="00416E4A"/>
    <w:rsid w:val="0041743B"/>
    <w:rsid w:val="00417A98"/>
    <w:rsid w:val="00420759"/>
    <w:rsid w:val="0042102A"/>
    <w:rsid w:val="00422F6C"/>
    <w:rsid w:val="004239C7"/>
    <w:rsid w:val="00424E04"/>
    <w:rsid w:val="004273B1"/>
    <w:rsid w:val="004302A4"/>
    <w:rsid w:val="00430422"/>
    <w:rsid w:val="00430656"/>
    <w:rsid w:val="00431EDE"/>
    <w:rsid w:val="0043211B"/>
    <w:rsid w:val="00433ACE"/>
    <w:rsid w:val="00434563"/>
    <w:rsid w:val="00435E8D"/>
    <w:rsid w:val="00440611"/>
    <w:rsid w:val="00440F9B"/>
    <w:rsid w:val="004417A7"/>
    <w:rsid w:val="00441882"/>
    <w:rsid w:val="00441F0B"/>
    <w:rsid w:val="004421E5"/>
    <w:rsid w:val="004428A3"/>
    <w:rsid w:val="00442A29"/>
    <w:rsid w:val="00442DD4"/>
    <w:rsid w:val="00443880"/>
    <w:rsid w:val="00446E23"/>
    <w:rsid w:val="0044787B"/>
    <w:rsid w:val="00452284"/>
    <w:rsid w:val="004522CC"/>
    <w:rsid w:val="00453330"/>
    <w:rsid w:val="004539D9"/>
    <w:rsid w:val="00454F2F"/>
    <w:rsid w:val="00455045"/>
    <w:rsid w:val="004552EE"/>
    <w:rsid w:val="004553E3"/>
    <w:rsid w:val="00461168"/>
    <w:rsid w:val="00464C65"/>
    <w:rsid w:val="004655D0"/>
    <w:rsid w:val="00465B11"/>
    <w:rsid w:val="004666EF"/>
    <w:rsid w:val="004670CC"/>
    <w:rsid w:val="00467FBE"/>
    <w:rsid w:val="00470486"/>
    <w:rsid w:val="00471896"/>
    <w:rsid w:val="004721D8"/>
    <w:rsid w:val="004722A8"/>
    <w:rsid w:val="004731D6"/>
    <w:rsid w:val="004731F9"/>
    <w:rsid w:val="00473500"/>
    <w:rsid w:val="004737C5"/>
    <w:rsid w:val="004761A5"/>
    <w:rsid w:val="00476611"/>
    <w:rsid w:val="0047721C"/>
    <w:rsid w:val="00480137"/>
    <w:rsid w:val="00480988"/>
    <w:rsid w:val="00481A17"/>
    <w:rsid w:val="00481AB8"/>
    <w:rsid w:val="00482DCB"/>
    <w:rsid w:val="00483E32"/>
    <w:rsid w:val="004849FD"/>
    <w:rsid w:val="0048610B"/>
    <w:rsid w:val="004868C9"/>
    <w:rsid w:val="00486948"/>
    <w:rsid w:val="00487761"/>
    <w:rsid w:val="00490736"/>
    <w:rsid w:val="004908B0"/>
    <w:rsid w:val="00490936"/>
    <w:rsid w:val="00490FEA"/>
    <w:rsid w:val="0049400F"/>
    <w:rsid w:val="00494019"/>
    <w:rsid w:val="00494A0C"/>
    <w:rsid w:val="00495C25"/>
    <w:rsid w:val="004961C0"/>
    <w:rsid w:val="0049705E"/>
    <w:rsid w:val="004A1498"/>
    <w:rsid w:val="004A1E04"/>
    <w:rsid w:val="004A3574"/>
    <w:rsid w:val="004A5538"/>
    <w:rsid w:val="004A5560"/>
    <w:rsid w:val="004B3DFE"/>
    <w:rsid w:val="004B46AF"/>
    <w:rsid w:val="004B535F"/>
    <w:rsid w:val="004B5FE3"/>
    <w:rsid w:val="004C086C"/>
    <w:rsid w:val="004C1D01"/>
    <w:rsid w:val="004C4356"/>
    <w:rsid w:val="004C5741"/>
    <w:rsid w:val="004C6500"/>
    <w:rsid w:val="004D113D"/>
    <w:rsid w:val="004D1452"/>
    <w:rsid w:val="004D1651"/>
    <w:rsid w:val="004D2B4A"/>
    <w:rsid w:val="004D3747"/>
    <w:rsid w:val="004D46BA"/>
    <w:rsid w:val="004D4983"/>
    <w:rsid w:val="004D4A0F"/>
    <w:rsid w:val="004D6153"/>
    <w:rsid w:val="004D7C6A"/>
    <w:rsid w:val="004E08DD"/>
    <w:rsid w:val="004E509E"/>
    <w:rsid w:val="004E525F"/>
    <w:rsid w:val="004E6B5A"/>
    <w:rsid w:val="004F18A4"/>
    <w:rsid w:val="004F31F7"/>
    <w:rsid w:val="004F368D"/>
    <w:rsid w:val="004F3F66"/>
    <w:rsid w:val="004F4FD8"/>
    <w:rsid w:val="004F553B"/>
    <w:rsid w:val="004F5E56"/>
    <w:rsid w:val="004F7259"/>
    <w:rsid w:val="004F74A6"/>
    <w:rsid w:val="004F7D3B"/>
    <w:rsid w:val="00501065"/>
    <w:rsid w:val="005027E8"/>
    <w:rsid w:val="00502B21"/>
    <w:rsid w:val="005036DD"/>
    <w:rsid w:val="005050EC"/>
    <w:rsid w:val="005059B7"/>
    <w:rsid w:val="00505ACF"/>
    <w:rsid w:val="00505E24"/>
    <w:rsid w:val="0050742A"/>
    <w:rsid w:val="005109EF"/>
    <w:rsid w:val="00510A51"/>
    <w:rsid w:val="00512646"/>
    <w:rsid w:val="00514337"/>
    <w:rsid w:val="005143B3"/>
    <w:rsid w:val="005147ED"/>
    <w:rsid w:val="0051482E"/>
    <w:rsid w:val="005158FF"/>
    <w:rsid w:val="00517F08"/>
    <w:rsid w:val="00522D0E"/>
    <w:rsid w:val="005244D8"/>
    <w:rsid w:val="00524833"/>
    <w:rsid w:val="00525486"/>
    <w:rsid w:val="00525A29"/>
    <w:rsid w:val="0052630D"/>
    <w:rsid w:val="00526B7B"/>
    <w:rsid w:val="005308CE"/>
    <w:rsid w:val="00530C43"/>
    <w:rsid w:val="00530EFB"/>
    <w:rsid w:val="005325AC"/>
    <w:rsid w:val="005326B8"/>
    <w:rsid w:val="00532D1C"/>
    <w:rsid w:val="00532EB0"/>
    <w:rsid w:val="005349D5"/>
    <w:rsid w:val="00534C3E"/>
    <w:rsid w:val="00535941"/>
    <w:rsid w:val="00536889"/>
    <w:rsid w:val="005410EA"/>
    <w:rsid w:val="0054138F"/>
    <w:rsid w:val="0054238E"/>
    <w:rsid w:val="0054486F"/>
    <w:rsid w:val="00545A5C"/>
    <w:rsid w:val="00545D40"/>
    <w:rsid w:val="00547769"/>
    <w:rsid w:val="00550049"/>
    <w:rsid w:val="0055084C"/>
    <w:rsid w:val="005513A2"/>
    <w:rsid w:val="00551963"/>
    <w:rsid w:val="0055267E"/>
    <w:rsid w:val="00553683"/>
    <w:rsid w:val="005558CF"/>
    <w:rsid w:val="00555AB7"/>
    <w:rsid w:val="00560484"/>
    <w:rsid w:val="00561206"/>
    <w:rsid w:val="005648EC"/>
    <w:rsid w:val="005678AF"/>
    <w:rsid w:val="005700E8"/>
    <w:rsid w:val="00570AD2"/>
    <w:rsid w:val="00570EC7"/>
    <w:rsid w:val="005720F2"/>
    <w:rsid w:val="00573499"/>
    <w:rsid w:val="00573DC6"/>
    <w:rsid w:val="0057439C"/>
    <w:rsid w:val="00576172"/>
    <w:rsid w:val="005762A8"/>
    <w:rsid w:val="005766BC"/>
    <w:rsid w:val="00576EE8"/>
    <w:rsid w:val="00576F88"/>
    <w:rsid w:val="005771C5"/>
    <w:rsid w:val="0057789C"/>
    <w:rsid w:val="005801C3"/>
    <w:rsid w:val="005812F6"/>
    <w:rsid w:val="005813B7"/>
    <w:rsid w:val="005819F4"/>
    <w:rsid w:val="00582687"/>
    <w:rsid w:val="00582A33"/>
    <w:rsid w:val="00585004"/>
    <w:rsid w:val="00585A2B"/>
    <w:rsid w:val="00585F0F"/>
    <w:rsid w:val="005875DE"/>
    <w:rsid w:val="005877E6"/>
    <w:rsid w:val="00587D0D"/>
    <w:rsid w:val="0059025A"/>
    <w:rsid w:val="00590C6E"/>
    <w:rsid w:val="00592A39"/>
    <w:rsid w:val="00593A9A"/>
    <w:rsid w:val="00594116"/>
    <w:rsid w:val="005953FC"/>
    <w:rsid w:val="00595527"/>
    <w:rsid w:val="005978DD"/>
    <w:rsid w:val="005A16F4"/>
    <w:rsid w:val="005A213A"/>
    <w:rsid w:val="005A36B8"/>
    <w:rsid w:val="005A6781"/>
    <w:rsid w:val="005A6A08"/>
    <w:rsid w:val="005B0127"/>
    <w:rsid w:val="005B1E2D"/>
    <w:rsid w:val="005B2E62"/>
    <w:rsid w:val="005B2F59"/>
    <w:rsid w:val="005B5CDA"/>
    <w:rsid w:val="005B6804"/>
    <w:rsid w:val="005B684A"/>
    <w:rsid w:val="005C094D"/>
    <w:rsid w:val="005C0E86"/>
    <w:rsid w:val="005C22E7"/>
    <w:rsid w:val="005C2997"/>
    <w:rsid w:val="005C2B41"/>
    <w:rsid w:val="005C2BF1"/>
    <w:rsid w:val="005C4A25"/>
    <w:rsid w:val="005C4B73"/>
    <w:rsid w:val="005C511F"/>
    <w:rsid w:val="005C68F1"/>
    <w:rsid w:val="005C6964"/>
    <w:rsid w:val="005C6FAE"/>
    <w:rsid w:val="005D241B"/>
    <w:rsid w:val="005D45EC"/>
    <w:rsid w:val="005D5CF2"/>
    <w:rsid w:val="005E1E68"/>
    <w:rsid w:val="005E2BFA"/>
    <w:rsid w:val="005E3160"/>
    <w:rsid w:val="005E369B"/>
    <w:rsid w:val="005E3E4B"/>
    <w:rsid w:val="005E452C"/>
    <w:rsid w:val="005E778C"/>
    <w:rsid w:val="005F051B"/>
    <w:rsid w:val="005F1948"/>
    <w:rsid w:val="005F1A04"/>
    <w:rsid w:val="005F2E59"/>
    <w:rsid w:val="005F32EB"/>
    <w:rsid w:val="005F3884"/>
    <w:rsid w:val="005F3CEE"/>
    <w:rsid w:val="005F5167"/>
    <w:rsid w:val="005F7CDD"/>
    <w:rsid w:val="005F7FBF"/>
    <w:rsid w:val="006006F9"/>
    <w:rsid w:val="00600D93"/>
    <w:rsid w:val="006014DE"/>
    <w:rsid w:val="00602064"/>
    <w:rsid w:val="00604114"/>
    <w:rsid w:val="006042C6"/>
    <w:rsid w:val="006060A6"/>
    <w:rsid w:val="006079AA"/>
    <w:rsid w:val="00607C22"/>
    <w:rsid w:val="0061370F"/>
    <w:rsid w:val="006149D6"/>
    <w:rsid w:val="006153E3"/>
    <w:rsid w:val="00615FA4"/>
    <w:rsid w:val="00616505"/>
    <w:rsid w:val="00616C7B"/>
    <w:rsid w:val="00617774"/>
    <w:rsid w:val="00620091"/>
    <w:rsid w:val="00622DCC"/>
    <w:rsid w:val="00623178"/>
    <w:rsid w:val="00623576"/>
    <w:rsid w:val="00624241"/>
    <w:rsid w:val="006251F1"/>
    <w:rsid w:val="006260A9"/>
    <w:rsid w:val="00626692"/>
    <w:rsid w:val="006266C7"/>
    <w:rsid w:val="00626D73"/>
    <w:rsid w:val="00627784"/>
    <w:rsid w:val="00627C5C"/>
    <w:rsid w:val="00630DA7"/>
    <w:rsid w:val="00631FB4"/>
    <w:rsid w:val="00632371"/>
    <w:rsid w:val="00634ABB"/>
    <w:rsid w:val="0063680E"/>
    <w:rsid w:val="006375BC"/>
    <w:rsid w:val="0064075E"/>
    <w:rsid w:val="00642E50"/>
    <w:rsid w:val="0064576F"/>
    <w:rsid w:val="00645C35"/>
    <w:rsid w:val="0064693E"/>
    <w:rsid w:val="006476D8"/>
    <w:rsid w:val="006513EA"/>
    <w:rsid w:val="00651C6B"/>
    <w:rsid w:val="00651ED6"/>
    <w:rsid w:val="00652D12"/>
    <w:rsid w:val="006535B4"/>
    <w:rsid w:val="00654CFB"/>
    <w:rsid w:val="0065506B"/>
    <w:rsid w:val="00655736"/>
    <w:rsid w:val="006561A5"/>
    <w:rsid w:val="0065686B"/>
    <w:rsid w:val="00656A59"/>
    <w:rsid w:val="00656E30"/>
    <w:rsid w:val="00656F78"/>
    <w:rsid w:val="00657195"/>
    <w:rsid w:val="00661F70"/>
    <w:rsid w:val="0066235C"/>
    <w:rsid w:val="00662BE0"/>
    <w:rsid w:val="006636CD"/>
    <w:rsid w:val="00663900"/>
    <w:rsid w:val="0066393B"/>
    <w:rsid w:val="00663B8D"/>
    <w:rsid w:val="00664EE7"/>
    <w:rsid w:val="0066549E"/>
    <w:rsid w:val="00666550"/>
    <w:rsid w:val="00666E3D"/>
    <w:rsid w:val="0066704C"/>
    <w:rsid w:val="00667BA5"/>
    <w:rsid w:val="0067073B"/>
    <w:rsid w:val="0067659B"/>
    <w:rsid w:val="00676D7E"/>
    <w:rsid w:val="006773EF"/>
    <w:rsid w:val="0068018E"/>
    <w:rsid w:val="006821BC"/>
    <w:rsid w:val="00683143"/>
    <w:rsid w:val="006836A9"/>
    <w:rsid w:val="00684589"/>
    <w:rsid w:val="00685064"/>
    <w:rsid w:val="0068783D"/>
    <w:rsid w:val="006907B2"/>
    <w:rsid w:val="00691516"/>
    <w:rsid w:val="006923BD"/>
    <w:rsid w:val="00693BDC"/>
    <w:rsid w:val="006962E1"/>
    <w:rsid w:val="00696C8D"/>
    <w:rsid w:val="006A02B0"/>
    <w:rsid w:val="006A1292"/>
    <w:rsid w:val="006A2AC2"/>
    <w:rsid w:val="006A353A"/>
    <w:rsid w:val="006A3617"/>
    <w:rsid w:val="006A3E8F"/>
    <w:rsid w:val="006A6AD8"/>
    <w:rsid w:val="006A700E"/>
    <w:rsid w:val="006A7F80"/>
    <w:rsid w:val="006B234C"/>
    <w:rsid w:val="006B257A"/>
    <w:rsid w:val="006B2CCB"/>
    <w:rsid w:val="006B2CE5"/>
    <w:rsid w:val="006B2EFE"/>
    <w:rsid w:val="006B3518"/>
    <w:rsid w:val="006B5001"/>
    <w:rsid w:val="006B6691"/>
    <w:rsid w:val="006B768D"/>
    <w:rsid w:val="006C0D94"/>
    <w:rsid w:val="006C144B"/>
    <w:rsid w:val="006C16B5"/>
    <w:rsid w:val="006C2256"/>
    <w:rsid w:val="006C3B58"/>
    <w:rsid w:val="006C60E6"/>
    <w:rsid w:val="006C78C8"/>
    <w:rsid w:val="006C7D34"/>
    <w:rsid w:val="006D0AB0"/>
    <w:rsid w:val="006D11BD"/>
    <w:rsid w:val="006D21D9"/>
    <w:rsid w:val="006D2536"/>
    <w:rsid w:val="006D4376"/>
    <w:rsid w:val="006D48EE"/>
    <w:rsid w:val="006D4BEC"/>
    <w:rsid w:val="006D689B"/>
    <w:rsid w:val="006E0094"/>
    <w:rsid w:val="006E0623"/>
    <w:rsid w:val="006E0DA8"/>
    <w:rsid w:val="006E1945"/>
    <w:rsid w:val="006E1C49"/>
    <w:rsid w:val="006E2130"/>
    <w:rsid w:val="006E2A51"/>
    <w:rsid w:val="006E3034"/>
    <w:rsid w:val="006E3700"/>
    <w:rsid w:val="006E374B"/>
    <w:rsid w:val="006E46E4"/>
    <w:rsid w:val="006E4E03"/>
    <w:rsid w:val="006E4F3A"/>
    <w:rsid w:val="006E69EC"/>
    <w:rsid w:val="006E6DB1"/>
    <w:rsid w:val="006E75A4"/>
    <w:rsid w:val="006F038A"/>
    <w:rsid w:val="006F049A"/>
    <w:rsid w:val="006F1561"/>
    <w:rsid w:val="006F444F"/>
    <w:rsid w:val="006F76CD"/>
    <w:rsid w:val="00701024"/>
    <w:rsid w:val="00702497"/>
    <w:rsid w:val="007032A7"/>
    <w:rsid w:val="00703386"/>
    <w:rsid w:val="007056F6"/>
    <w:rsid w:val="0070609C"/>
    <w:rsid w:val="007060D5"/>
    <w:rsid w:val="007069CB"/>
    <w:rsid w:val="00706A96"/>
    <w:rsid w:val="007075CF"/>
    <w:rsid w:val="007075D0"/>
    <w:rsid w:val="00711967"/>
    <w:rsid w:val="007121BA"/>
    <w:rsid w:val="00712EFC"/>
    <w:rsid w:val="00713723"/>
    <w:rsid w:val="00713A4E"/>
    <w:rsid w:val="0071447F"/>
    <w:rsid w:val="007166AF"/>
    <w:rsid w:val="00716DB8"/>
    <w:rsid w:val="00717029"/>
    <w:rsid w:val="00717573"/>
    <w:rsid w:val="00717AAB"/>
    <w:rsid w:val="00717DBD"/>
    <w:rsid w:val="00717E8B"/>
    <w:rsid w:val="00720BA6"/>
    <w:rsid w:val="00723470"/>
    <w:rsid w:val="00726A91"/>
    <w:rsid w:val="0073095C"/>
    <w:rsid w:val="00732D88"/>
    <w:rsid w:val="0073323E"/>
    <w:rsid w:val="00736424"/>
    <w:rsid w:val="0073658C"/>
    <w:rsid w:val="00741016"/>
    <w:rsid w:val="00741294"/>
    <w:rsid w:val="007420EA"/>
    <w:rsid w:val="00742132"/>
    <w:rsid w:val="007428A4"/>
    <w:rsid w:val="0074440A"/>
    <w:rsid w:val="00744955"/>
    <w:rsid w:val="00745F91"/>
    <w:rsid w:val="00747AD6"/>
    <w:rsid w:val="00747D3E"/>
    <w:rsid w:val="00750118"/>
    <w:rsid w:val="00750546"/>
    <w:rsid w:val="00751FB1"/>
    <w:rsid w:val="00753A01"/>
    <w:rsid w:val="0075537E"/>
    <w:rsid w:val="00755B3F"/>
    <w:rsid w:val="00755F7E"/>
    <w:rsid w:val="007567EC"/>
    <w:rsid w:val="00757E98"/>
    <w:rsid w:val="00764CF9"/>
    <w:rsid w:val="00766588"/>
    <w:rsid w:val="007673E9"/>
    <w:rsid w:val="00767A83"/>
    <w:rsid w:val="00770243"/>
    <w:rsid w:val="00770E51"/>
    <w:rsid w:val="00770EBC"/>
    <w:rsid w:val="007712D8"/>
    <w:rsid w:val="00775AD7"/>
    <w:rsid w:val="00776926"/>
    <w:rsid w:val="00777C86"/>
    <w:rsid w:val="007816B4"/>
    <w:rsid w:val="0078189F"/>
    <w:rsid w:val="00781A74"/>
    <w:rsid w:val="007828E8"/>
    <w:rsid w:val="007834BD"/>
    <w:rsid w:val="00784B8C"/>
    <w:rsid w:val="007865DF"/>
    <w:rsid w:val="00786648"/>
    <w:rsid w:val="00786E12"/>
    <w:rsid w:val="00787740"/>
    <w:rsid w:val="00791BBD"/>
    <w:rsid w:val="00792C76"/>
    <w:rsid w:val="007950F6"/>
    <w:rsid w:val="00797D3D"/>
    <w:rsid w:val="007A000F"/>
    <w:rsid w:val="007A1D9E"/>
    <w:rsid w:val="007A2CEC"/>
    <w:rsid w:val="007A3032"/>
    <w:rsid w:val="007A36D0"/>
    <w:rsid w:val="007A5126"/>
    <w:rsid w:val="007A755B"/>
    <w:rsid w:val="007B29B3"/>
    <w:rsid w:val="007B3084"/>
    <w:rsid w:val="007B3DB3"/>
    <w:rsid w:val="007B4B9F"/>
    <w:rsid w:val="007B50C5"/>
    <w:rsid w:val="007B7538"/>
    <w:rsid w:val="007B7802"/>
    <w:rsid w:val="007C1CBC"/>
    <w:rsid w:val="007C2561"/>
    <w:rsid w:val="007C354B"/>
    <w:rsid w:val="007C4477"/>
    <w:rsid w:val="007C6333"/>
    <w:rsid w:val="007C7DDF"/>
    <w:rsid w:val="007D0803"/>
    <w:rsid w:val="007D111B"/>
    <w:rsid w:val="007D12ED"/>
    <w:rsid w:val="007D13B3"/>
    <w:rsid w:val="007D23D1"/>
    <w:rsid w:val="007D338C"/>
    <w:rsid w:val="007D4C24"/>
    <w:rsid w:val="007D5321"/>
    <w:rsid w:val="007E03DA"/>
    <w:rsid w:val="007E1439"/>
    <w:rsid w:val="007E1A17"/>
    <w:rsid w:val="007E35F1"/>
    <w:rsid w:val="007E60C6"/>
    <w:rsid w:val="007F07C1"/>
    <w:rsid w:val="007F0C0F"/>
    <w:rsid w:val="007F3382"/>
    <w:rsid w:val="007F746B"/>
    <w:rsid w:val="007F7668"/>
    <w:rsid w:val="00801EEB"/>
    <w:rsid w:val="008023CC"/>
    <w:rsid w:val="008034E5"/>
    <w:rsid w:val="00805EE9"/>
    <w:rsid w:val="00805FB2"/>
    <w:rsid w:val="008064F0"/>
    <w:rsid w:val="00806D37"/>
    <w:rsid w:val="00807682"/>
    <w:rsid w:val="0081208C"/>
    <w:rsid w:val="00812495"/>
    <w:rsid w:val="00812C45"/>
    <w:rsid w:val="00814DD1"/>
    <w:rsid w:val="008153D2"/>
    <w:rsid w:val="00816E24"/>
    <w:rsid w:val="008173C3"/>
    <w:rsid w:val="00817C88"/>
    <w:rsid w:val="00823A11"/>
    <w:rsid w:val="00824359"/>
    <w:rsid w:val="00824EF7"/>
    <w:rsid w:val="0082599A"/>
    <w:rsid w:val="0082599B"/>
    <w:rsid w:val="0082659B"/>
    <w:rsid w:val="00826789"/>
    <w:rsid w:val="00826C42"/>
    <w:rsid w:val="008275D2"/>
    <w:rsid w:val="0083033C"/>
    <w:rsid w:val="00834590"/>
    <w:rsid w:val="008440D5"/>
    <w:rsid w:val="00844B66"/>
    <w:rsid w:val="00846032"/>
    <w:rsid w:val="00846852"/>
    <w:rsid w:val="00847D9F"/>
    <w:rsid w:val="00850505"/>
    <w:rsid w:val="00850EA8"/>
    <w:rsid w:val="00851F77"/>
    <w:rsid w:val="00852B0D"/>
    <w:rsid w:val="0085414A"/>
    <w:rsid w:val="00854F0D"/>
    <w:rsid w:val="00856BF9"/>
    <w:rsid w:val="00856F8F"/>
    <w:rsid w:val="0085773C"/>
    <w:rsid w:val="00857932"/>
    <w:rsid w:val="008602AB"/>
    <w:rsid w:val="00860471"/>
    <w:rsid w:val="0086269D"/>
    <w:rsid w:val="00863302"/>
    <w:rsid w:val="00863482"/>
    <w:rsid w:val="00866A3B"/>
    <w:rsid w:val="0087096A"/>
    <w:rsid w:val="00870E32"/>
    <w:rsid w:val="0087109D"/>
    <w:rsid w:val="008712A2"/>
    <w:rsid w:val="00871C8F"/>
    <w:rsid w:val="008721B6"/>
    <w:rsid w:val="008724E5"/>
    <w:rsid w:val="00874C51"/>
    <w:rsid w:val="00876ED6"/>
    <w:rsid w:val="008807CB"/>
    <w:rsid w:val="00880F8A"/>
    <w:rsid w:val="0088186D"/>
    <w:rsid w:val="00881F2C"/>
    <w:rsid w:val="0088290A"/>
    <w:rsid w:val="00884A9D"/>
    <w:rsid w:val="00885C29"/>
    <w:rsid w:val="0088720D"/>
    <w:rsid w:val="008901CF"/>
    <w:rsid w:val="00890F60"/>
    <w:rsid w:val="0089173F"/>
    <w:rsid w:val="00891B96"/>
    <w:rsid w:val="0089348C"/>
    <w:rsid w:val="00893C23"/>
    <w:rsid w:val="008968B0"/>
    <w:rsid w:val="008A1DFC"/>
    <w:rsid w:val="008A2973"/>
    <w:rsid w:val="008A3C43"/>
    <w:rsid w:val="008A413E"/>
    <w:rsid w:val="008A4E1E"/>
    <w:rsid w:val="008A5177"/>
    <w:rsid w:val="008A6BEA"/>
    <w:rsid w:val="008B4F8D"/>
    <w:rsid w:val="008B5F14"/>
    <w:rsid w:val="008B6034"/>
    <w:rsid w:val="008B64DF"/>
    <w:rsid w:val="008B7C81"/>
    <w:rsid w:val="008C03E8"/>
    <w:rsid w:val="008C06EF"/>
    <w:rsid w:val="008C0E44"/>
    <w:rsid w:val="008C1314"/>
    <w:rsid w:val="008C296C"/>
    <w:rsid w:val="008C2B62"/>
    <w:rsid w:val="008C41A1"/>
    <w:rsid w:val="008C598F"/>
    <w:rsid w:val="008C5A6E"/>
    <w:rsid w:val="008C69A7"/>
    <w:rsid w:val="008D0231"/>
    <w:rsid w:val="008D0D0C"/>
    <w:rsid w:val="008D207B"/>
    <w:rsid w:val="008D3070"/>
    <w:rsid w:val="008D4305"/>
    <w:rsid w:val="008D4B3C"/>
    <w:rsid w:val="008D4D0D"/>
    <w:rsid w:val="008E109E"/>
    <w:rsid w:val="008E128F"/>
    <w:rsid w:val="008E4E54"/>
    <w:rsid w:val="008E5A42"/>
    <w:rsid w:val="008E6BD6"/>
    <w:rsid w:val="008E7419"/>
    <w:rsid w:val="008F09EC"/>
    <w:rsid w:val="008F1294"/>
    <w:rsid w:val="008F2010"/>
    <w:rsid w:val="008F2E6F"/>
    <w:rsid w:val="008F42DE"/>
    <w:rsid w:val="008F4728"/>
    <w:rsid w:val="008F4EBA"/>
    <w:rsid w:val="008F5A4F"/>
    <w:rsid w:val="008F5CA2"/>
    <w:rsid w:val="008F5D36"/>
    <w:rsid w:val="008F6EAF"/>
    <w:rsid w:val="008F770B"/>
    <w:rsid w:val="008F7A27"/>
    <w:rsid w:val="0090417B"/>
    <w:rsid w:val="0090597A"/>
    <w:rsid w:val="00905ADA"/>
    <w:rsid w:val="0090684B"/>
    <w:rsid w:val="00906F15"/>
    <w:rsid w:val="00907AFD"/>
    <w:rsid w:val="00907B38"/>
    <w:rsid w:val="009114D8"/>
    <w:rsid w:val="00912E7D"/>
    <w:rsid w:val="00913D86"/>
    <w:rsid w:val="00913F92"/>
    <w:rsid w:val="0091442A"/>
    <w:rsid w:val="00915774"/>
    <w:rsid w:val="0091603C"/>
    <w:rsid w:val="009163A7"/>
    <w:rsid w:val="00917A52"/>
    <w:rsid w:val="009204BB"/>
    <w:rsid w:val="009219E2"/>
    <w:rsid w:val="00922E3E"/>
    <w:rsid w:val="00922FB6"/>
    <w:rsid w:val="00923E72"/>
    <w:rsid w:val="00924241"/>
    <w:rsid w:val="00925866"/>
    <w:rsid w:val="009258A1"/>
    <w:rsid w:val="0093079A"/>
    <w:rsid w:val="0093088E"/>
    <w:rsid w:val="00931BD1"/>
    <w:rsid w:val="00932D27"/>
    <w:rsid w:val="009330A7"/>
    <w:rsid w:val="009339EB"/>
    <w:rsid w:val="00933C6B"/>
    <w:rsid w:val="00933E6E"/>
    <w:rsid w:val="00934338"/>
    <w:rsid w:val="00936037"/>
    <w:rsid w:val="00936290"/>
    <w:rsid w:val="0094214C"/>
    <w:rsid w:val="00942A07"/>
    <w:rsid w:val="00943A5F"/>
    <w:rsid w:val="0094510E"/>
    <w:rsid w:val="00950F68"/>
    <w:rsid w:val="0095130A"/>
    <w:rsid w:val="009513B9"/>
    <w:rsid w:val="00952544"/>
    <w:rsid w:val="00954DDE"/>
    <w:rsid w:val="0095583F"/>
    <w:rsid w:val="00957F63"/>
    <w:rsid w:val="00960063"/>
    <w:rsid w:val="00962119"/>
    <w:rsid w:val="00962AA8"/>
    <w:rsid w:val="00962AB4"/>
    <w:rsid w:val="00964B7B"/>
    <w:rsid w:val="00967A3D"/>
    <w:rsid w:val="009723F8"/>
    <w:rsid w:val="009734EE"/>
    <w:rsid w:val="00974249"/>
    <w:rsid w:val="00977B2D"/>
    <w:rsid w:val="00977C3F"/>
    <w:rsid w:val="00980001"/>
    <w:rsid w:val="0098046B"/>
    <w:rsid w:val="0098208D"/>
    <w:rsid w:val="009821A4"/>
    <w:rsid w:val="00982465"/>
    <w:rsid w:val="00982AFF"/>
    <w:rsid w:val="00985543"/>
    <w:rsid w:val="00991346"/>
    <w:rsid w:val="00993211"/>
    <w:rsid w:val="00997747"/>
    <w:rsid w:val="00997C9D"/>
    <w:rsid w:val="009A0052"/>
    <w:rsid w:val="009A00F2"/>
    <w:rsid w:val="009A127E"/>
    <w:rsid w:val="009A18CD"/>
    <w:rsid w:val="009A30ED"/>
    <w:rsid w:val="009A34A8"/>
    <w:rsid w:val="009A44AF"/>
    <w:rsid w:val="009A4823"/>
    <w:rsid w:val="009A6484"/>
    <w:rsid w:val="009A7747"/>
    <w:rsid w:val="009B223B"/>
    <w:rsid w:val="009B226E"/>
    <w:rsid w:val="009B3D29"/>
    <w:rsid w:val="009B4E71"/>
    <w:rsid w:val="009B5302"/>
    <w:rsid w:val="009B54F9"/>
    <w:rsid w:val="009B5D63"/>
    <w:rsid w:val="009B677E"/>
    <w:rsid w:val="009B6A38"/>
    <w:rsid w:val="009B6A5A"/>
    <w:rsid w:val="009B7800"/>
    <w:rsid w:val="009C0C81"/>
    <w:rsid w:val="009C1091"/>
    <w:rsid w:val="009C3181"/>
    <w:rsid w:val="009C36A9"/>
    <w:rsid w:val="009C4402"/>
    <w:rsid w:val="009C5353"/>
    <w:rsid w:val="009C6799"/>
    <w:rsid w:val="009C67B8"/>
    <w:rsid w:val="009C6952"/>
    <w:rsid w:val="009D0C33"/>
    <w:rsid w:val="009D213F"/>
    <w:rsid w:val="009D40B0"/>
    <w:rsid w:val="009D457C"/>
    <w:rsid w:val="009D5E18"/>
    <w:rsid w:val="009D78B0"/>
    <w:rsid w:val="009D7B41"/>
    <w:rsid w:val="009E01F1"/>
    <w:rsid w:val="009E068C"/>
    <w:rsid w:val="009E0B10"/>
    <w:rsid w:val="009E1B50"/>
    <w:rsid w:val="009E27B1"/>
    <w:rsid w:val="009E2F0C"/>
    <w:rsid w:val="009E5518"/>
    <w:rsid w:val="009E62A3"/>
    <w:rsid w:val="009E62C0"/>
    <w:rsid w:val="009E6816"/>
    <w:rsid w:val="009F1531"/>
    <w:rsid w:val="009F296C"/>
    <w:rsid w:val="009F2E82"/>
    <w:rsid w:val="009F391D"/>
    <w:rsid w:val="009F3B3F"/>
    <w:rsid w:val="009F3FAA"/>
    <w:rsid w:val="009F464A"/>
    <w:rsid w:val="009F4FAF"/>
    <w:rsid w:val="009F69DF"/>
    <w:rsid w:val="009F725E"/>
    <w:rsid w:val="00A01BFA"/>
    <w:rsid w:val="00A035FC"/>
    <w:rsid w:val="00A065C4"/>
    <w:rsid w:val="00A069FA"/>
    <w:rsid w:val="00A06CE8"/>
    <w:rsid w:val="00A107F9"/>
    <w:rsid w:val="00A10FA6"/>
    <w:rsid w:val="00A1112D"/>
    <w:rsid w:val="00A11975"/>
    <w:rsid w:val="00A12558"/>
    <w:rsid w:val="00A13903"/>
    <w:rsid w:val="00A148C6"/>
    <w:rsid w:val="00A15159"/>
    <w:rsid w:val="00A15F9A"/>
    <w:rsid w:val="00A161D2"/>
    <w:rsid w:val="00A164AE"/>
    <w:rsid w:val="00A17DE3"/>
    <w:rsid w:val="00A17EEE"/>
    <w:rsid w:val="00A17EF1"/>
    <w:rsid w:val="00A201BF"/>
    <w:rsid w:val="00A201E1"/>
    <w:rsid w:val="00A20C2C"/>
    <w:rsid w:val="00A20C6F"/>
    <w:rsid w:val="00A22951"/>
    <w:rsid w:val="00A23383"/>
    <w:rsid w:val="00A2490B"/>
    <w:rsid w:val="00A25245"/>
    <w:rsid w:val="00A258F0"/>
    <w:rsid w:val="00A25A34"/>
    <w:rsid w:val="00A25E92"/>
    <w:rsid w:val="00A27BC3"/>
    <w:rsid w:val="00A27ECA"/>
    <w:rsid w:val="00A30EFD"/>
    <w:rsid w:val="00A3101E"/>
    <w:rsid w:val="00A34DC1"/>
    <w:rsid w:val="00A34ED5"/>
    <w:rsid w:val="00A35921"/>
    <w:rsid w:val="00A35F6D"/>
    <w:rsid w:val="00A36D0B"/>
    <w:rsid w:val="00A37E0F"/>
    <w:rsid w:val="00A406CF"/>
    <w:rsid w:val="00A40805"/>
    <w:rsid w:val="00A40946"/>
    <w:rsid w:val="00A42C2C"/>
    <w:rsid w:val="00A457E4"/>
    <w:rsid w:val="00A45DBF"/>
    <w:rsid w:val="00A465FE"/>
    <w:rsid w:val="00A47C82"/>
    <w:rsid w:val="00A5013A"/>
    <w:rsid w:val="00A52C83"/>
    <w:rsid w:val="00A533EE"/>
    <w:rsid w:val="00A53A2F"/>
    <w:rsid w:val="00A54922"/>
    <w:rsid w:val="00A562A0"/>
    <w:rsid w:val="00A578FD"/>
    <w:rsid w:val="00A57A0F"/>
    <w:rsid w:val="00A60C6A"/>
    <w:rsid w:val="00A6182E"/>
    <w:rsid w:val="00A6194A"/>
    <w:rsid w:val="00A619EA"/>
    <w:rsid w:val="00A61C6E"/>
    <w:rsid w:val="00A63095"/>
    <w:rsid w:val="00A642EC"/>
    <w:rsid w:val="00A64762"/>
    <w:rsid w:val="00A648FB"/>
    <w:rsid w:val="00A65599"/>
    <w:rsid w:val="00A65C9A"/>
    <w:rsid w:val="00A66DA8"/>
    <w:rsid w:val="00A67769"/>
    <w:rsid w:val="00A748A4"/>
    <w:rsid w:val="00A754C4"/>
    <w:rsid w:val="00A755A2"/>
    <w:rsid w:val="00A765D6"/>
    <w:rsid w:val="00A76ADA"/>
    <w:rsid w:val="00A81D29"/>
    <w:rsid w:val="00A85E44"/>
    <w:rsid w:val="00A87C7E"/>
    <w:rsid w:val="00A87CFB"/>
    <w:rsid w:val="00A90761"/>
    <w:rsid w:val="00A92820"/>
    <w:rsid w:val="00A92F58"/>
    <w:rsid w:val="00A96AC3"/>
    <w:rsid w:val="00AA16C4"/>
    <w:rsid w:val="00AA3831"/>
    <w:rsid w:val="00AA63AB"/>
    <w:rsid w:val="00AA748F"/>
    <w:rsid w:val="00AA7EE4"/>
    <w:rsid w:val="00AB00F9"/>
    <w:rsid w:val="00AB04E1"/>
    <w:rsid w:val="00AB0CB2"/>
    <w:rsid w:val="00AB0F35"/>
    <w:rsid w:val="00AB2C36"/>
    <w:rsid w:val="00AB37A9"/>
    <w:rsid w:val="00AB3881"/>
    <w:rsid w:val="00AB72D8"/>
    <w:rsid w:val="00AB7D82"/>
    <w:rsid w:val="00AC1258"/>
    <w:rsid w:val="00AC1C60"/>
    <w:rsid w:val="00AC2D9F"/>
    <w:rsid w:val="00AC35FB"/>
    <w:rsid w:val="00AC6722"/>
    <w:rsid w:val="00AC7201"/>
    <w:rsid w:val="00AD1951"/>
    <w:rsid w:val="00AD1A86"/>
    <w:rsid w:val="00AD1FA6"/>
    <w:rsid w:val="00AD2B24"/>
    <w:rsid w:val="00AD322F"/>
    <w:rsid w:val="00AD44D6"/>
    <w:rsid w:val="00AD537A"/>
    <w:rsid w:val="00AD593D"/>
    <w:rsid w:val="00AD5A29"/>
    <w:rsid w:val="00AD5CAC"/>
    <w:rsid w:val="00AD7D1A"/>
    <w:rsid w:val="00AE02DB"/>
    <w:rsid w:val="00AE080A"/>
    <w:rsid w:val="00AE103E"/>
    <w:rsid w:val="00AE15DD"/>
    <w:rsid w:val="00AE1B5E"/>
    <w:rsid w:val="00AE26DF"/>
    <w:rsid w:val="00AE27AB"/>
    <w:rsid w:val="00AE3322"/>
    <w:rsid w:val="00AE5509"/>
    <w:rsid w:val="00AE6AEF"/>
    <w:rsid w:val="00AE73CC"/>
    <w:rsid w:val="00AE7D8D"/>
    <w:rsid w:val="00AF0327"/>
    <w:rsid w:val="00AF0987"/>
    <w:rsid w:val="00AF0A07"/>
    <w:rsid w:val="00AF3A35"/>
    <w:rsid w:val="00AF45F2"/>
    <w:rsid w:val="00AF5AE5"/>
    <w:rsid w:val="00AF625E"/>
    <w:rsid w:val="00AF6B98"/>
    <w:rsid w:val="00AF721B"/>
    <w:rsid w:val="00B002BB"/>
    <w:rsid w:val="00B01515"/>
    <w:rsid w:val="00B02A64"/>
    <w:rsid w:val="00B03B89"/>
    <w:rsid w:val="00B11F6B"/>
    <w:rsid w:val="00B124A7"/>
    <w:rsid w:val="00B12F62"/>
    <w:rsid w:val="00B13AA0"/>
    <w:rsid w:val="00B145D9"/>
    <w:rsid w:val="00B147F2"/>
    <w:rsid w:val="00B152B1"/>
    <w:rsid w:val="00B15FCC"/>
    <w:rsid w:val="00B17188"/>
    <w:rsid w:val="00B1793B"/>
    <w:rsid w:val="00B17F3D"/>
    <w:rsid w:val="00B20790"/>
    <w:rsid w:val="00B20F88"/>
    <w:rsid w:val="00B2396B"/>
    <w:rsid w:val="00B23A67"/>
    <w:rsid w:val="00B24934"/>
    <w:rsid w:val="00B25782"/>
    <w:rsid w:val="00B26441"/>
    <w:rsid w:val="00B3032C"/>
    <w:rsid w:val="00B31848"/>
    <w:rsid w:val="00B31ADB"/>
    <w:rsid w:val="00B32B5A"/>
    <w:rsid w:val="00B36A2D"/>
    <w:rsid w:val="00B40977"/>
    <w:rsid w:val="00B410F0"/>
    <w:rsid w:val="00B43974"/>
    <w:rsid w:val="00B4457D"/>
    <w:rsid w:val="00B455F3"/>
    <w:rsid w:val="00B45750"/>
    <w:rsid w:val="00B47BB0"/>
    <w:rsid w:val="00B5000D"/>
    <w:rsid w:val="00B51652"/>
    <w:rsid w:val="00B52FED"/>
    <w:rsid w:val="00B53000"/>
    <w:rsid w:val="00B53519"/>
    <w:rsid w:val="00B536E1"/>
    <w:rsid w:val="00B55968"/>
    <w:rsid w:val="00B60D29"/>
    <w:rsid w:val="00B62B8F"/>
    <w:rsid w:val="00B64F78"/>
    <w:rsid w:val="00B675B6"/>
    <w:rsid w:val="00B70505"/>
    <w:rsid w:val="00B70AB9"/>
    <w:rsid w:val="00B71D4A"/>
    <w:rsid w:val="00B71F7D"/>
    <w:rsid w:val="00B725DB"/>
    <w:rsid w:val="00B7288B"/>
    <w:rsid w:val="00B72D40"/>
    <w:rsid w:val="00B74229"/>
    <w:rsid w:val="00B74643"/>
    <w:rsid w:val="00B752E7"/>
    <w:rsid w:val="00B75CB4"/>
    <w:rsid w:val="00B76D5D"/>
    <w:rsid w:val="00B81A7D"/>
    <w:rsid w:val="00B82D24"/>
    <w:rsid w:val="00B83701"/>
    <w:rsid w:val="00B9028B"/>
    <w:rsid w:val="00B90701"/>
    <w:rsid w:val="00B907C4"/>
    <w:rsid w:val="00B9146D"/>
    <w:rsid w:val="00B91931"/>
    <w:rsid w:val="00B93B08"/>
    <w:rsid w:val="00B93E9F"/>
    <w:rsid w:val="00B94753"/>
    <w:rsid w:val="00B94E9E"/>
    <w:rsid w:val="00B96393"/>
    <w:rsid w:val="00B96432"/>
    <w:rsid w:val="00B970DB"/>
    <w:rsid w:val="00B971DD"/>
    <w:rsid w:val="00B97E81"/>
    <w:rsid w:val="00BA0C8C"/>
    <w:rsid w:val="00BA0D32"/>
    <w:rsid w:val="00BA267C"/>
    <w:rsid w:val="00BA3629"/>
    <w:rsid w:val="00BA4875"/>
    <w:rsid w:val="00BA49FF"/>
    <w:rsid w:val="00BB2856"/>
    <w:rsid w:val="00BB2A07"/>
    <w:rsid w:val="00BB4315"/>
    <w:rsid w:val="00BB59FA"/>
    <w:rsid w:val="00BB64C1"/>
    <w:rsid w:val="00BB7DEF"/>
    <w:rsid w:val="00BC178F"/>
    <w:rsid w:val="00BC3271"/>
    <w:rsid w:val="00BC3420"/>
    <w:rsid w:val="00BC6907"/>
    <w:rsid w:val="00BC7204"/>
    <w:rsid w:val="00BD0EE5"/>
    <w:rsid w:val="00BD157B"/>
    <w:rsid w:val="00BD1C56"/>
    <w:rsid w:val="00BD2C06"/>
    <w:rsid w:val="00BD3877"/>
    <w:rsid w:val="00BD44CB"/>
    <w:rsid w:val="00BD52C9"/>
    <w:rsid w:val="00BD60B1"/>
    <w:rsid w:val="00BD60EA"/>
    <w:rsid w:val="00BD653D"/>
    <w:rsid w:val="00BD6B81"/>
    <w:rsid w:val="00BD6FA1"/>
    <w:rsid w:val="00BE2F86"/>
    <w:rsid w:val="00BE3180"/>
    <w:rsid w:val="00BE38E4"/>
    <w:rsid w:val="00BE49F5"/>
    <w:rsid w:val="00BE522A"/>
    <w:rsid w:val="00BE6354"/>
    <w:rsid w:val="00BE72CA"/>
    <w:rsid w:val="00BF0258"/>
    <w:rsid w:val="00BF1A99"/>
    <w:rsid w:val="00BF3673"/>
    <w:rsid w:val="00BF3AF1"/>
    <w:rsid w:val="00BF4A97"/>
    <w:rsid w:val="00BF554B"/>
    <w:rsid w:val="00BF5EB1"/>
    <w:rsid w:val="00BF5FC5"/>
    <w:rsid w:val="00BF671E"/>
    <w:rsid w:val="00BF7E57"/>
    <w:rsid w:val="00C007D0"/>
    <w:rsid w:val="00C02395"/>
    <w:rsid w:val="00C04CC9"/>
    <w:rsid w:val="00C05636"/>
    <w:rsid w:val="00C06C42"/>
    <w:rsid w:val="00C06FE4"/>
    <w:rsid w:val="00C10AE0"/>
    <w:rsid w:val="00C125E3"/>
    <w:rsid w:val="00C13422"/>
    <w:rsid w:val="00C15A19"/>
    <w:rsid w:val="00C16B8F"/>
    <w:rsid w:val="00C16F6C"/>
    <w:rsid w:val="00C20A5E"/>
    <w:rsid w:val="00C21230"/>
    <w:rsid w:val="00C218BF"/>
    <w:rsid w:val="00C22D0A"/>
    <w:rsid w:val="00C25ACB"/>
    <w:rsid w:val="00C25B3D"/>
    <w:rsid w:val="00C2631B"/>
    <w:rsid w:val="00C27187"/>
    <w:rsid w:val="00C302C2"/>
    <w:rsid w:val="00C318BF"/>
    <w:rsid w:val="00C347DE"/>
    <w:rsid w:val="00C358C4"/>
    <w:rsid w:val="00C3643F"/>
    <w:rsid w:val="00C377F5"/>
    <w:rsid w:val="00C41D7C"/>
    <w:rsid w:val="00C433F1"/>
    <w:rsid w:val="00C43EA2"/>
    <w:rsid w:val="00C43FEA"/>
    <w:rsid w:val="00C45974"/>
    <w:rsid w:val="00C47E36"/>
    <w:rsid w:val="00C5288A"/>
    <w:rsid w:val="00C53021"/>
    <w:rsid w:val="00C53169"/>
    <w:rsid w:val="00C5448F"/>
    <w:rsid w:val="00C60585"/>
    <w:rsid w:val="00C606DD"/>
    <w:rsid w:val="00C63E65"/>
    <w:rsid w:val="00C659EA"/>
    <w:rsid w:val="00C7018E"/>
    <w:rsid w:val="00C70A94"/>
    <w:rsid w:val="00C70EA7"/>
    <w:rsid w:val="00C715EC"/>
    <w:rsid w:val="00C71B0A"/>
    <w:rsid w:val="00C7387D"/>
    <w:rsid w:val="00C73FEE"/>
    <w:rsid w:val="00C743E2"/>
    <w:rsid w:val="00C7516E"/>
    <w:rsid w:val="00C75BE7"/>
    <w:rsid w:val="00C75D4C"/>
    <w:rsid w:val="00C807B5"/>
    <w:rsid w:val="00C82DD5"/>
    <w:rsid w:val="00C83277"/>
    <w:rsid w:val="00C840C4"/>
    <w:rsid w:val="00C842F6"/>
    <w:rsid w:val="00C857B5"/>
    <w:rsid w:val="00C85B5B"/>
    <w:rsid w:val="00C86094"/>
    <w:rsid w:val="00C867F9"/>
    <w:rsid w:val="00C904E6"/>
    <w:rsid w:val="00C91A06"/>
    <w:rsid w:val="00C952CF"/>
    <w:rsid w:val="00C9663B"/>
    <w:rsid w:val="00C975BA"/>
    <w:rsid w:val="00C9762A"/>
    <w:rsid w:val="00CA024E"/>
    <w:rsid w:val="00CA02FC"/>
    <w:rsid w:val="00CA41DD"/>
    <w:rsid w:val="00CA4599"/>
    <w:rsid w:val="00CA53B9"/>
    <w:rsid w:val="00CA5A46"/>
    <w:rsid w:val="00CA5DB5"/>
    <w:rsid w:val="00CA6C06"/>
    <w:rsid w:val="00CA756D"/>
    <w:rsid w:val="00CB0121"/>
    <w:rsid w:val="00CB040C"/>
    <w:rsid w:val="00CB0741"/>
    <w:rsid w:val="00CB0BEC"/>
    <w:rsid w:val="00CB0F4C"/>
    <w:rsid w:val="00CB1812"/>
    <w:rsid w:val="00CB1916"/>
    <w:rsid w:val="00CB49F4"/>
    <w:rsid w:val="00CB5654"/>
    <w:rsid w:val="00CB6218"/>
    <w:rsid w:val="00CB6B11"/>
    <w:rsid w:val="00CC0C08"/>
    <w:rsid w:val="00CC1380"/>
    <w:rsid w:val="00CC319E"/>
    <w:rsid w:val="00CC59E8"/>
    <w:rsid w:val="00CC7457"/>
    <w:rsid w:val="00CD0D5A"/>
    <w:rsid w:val="00CD221A"/>
    <w:rsid w:val="00CD22D9"/>
    <w:rsid w:val="00CD2AE2"/>
    <w:rsid w:val="00CD2FD0"/>
    <w:rsid w:val="00CD30AE"/>
    <w:rsid w:val="00CD440F"/>
    <w:rsid w:val="00CD4452"/>
    <w:rsid w:val="00CD6447"/>
    <w:rsid w:val="00CD654F"/>
    <w:rsid w:val="00CD68C2"/>
    <w:rsid w:val="00CD6A1D"/>
    <w:rsid w:val="00CD77C9"/>
    <w:rsid w:val="00CE13DE"/>
    <w:rsid w:val="00CE2ADA"/>
    <w:rsid w:val="00CE4772"/>
    <w:rsid w:val="00CE4A74"/>
    <w:rsid w:val="00CE5DD2"/>
    <w:rsid w:val="00CE787A"/>
    <w:rsid w:val="00CF042C"/>
    <w:rsid w:val="00CF0A50"/>
    <w:rsid w:val="00CF319C"/>
    <w:rsid w:val="00CF4F7F"/>
    <w:rsid w:val="00CF601B"/>
    <w:rsid w:val="00CF6719"/>
    <w:rsid w:val="00CF714A"/>
    <w:rsid w:val="00CF71EB"/>
    <w:rsid w:val="00D004C1"/>
    <w:rsid w:val="00D010C4"/>
    <w:rsid w:val="00D01E1F"/>
    <w:rsid w:val="00D02494"/>
    <w:rsid w:val="00D0273A"/>
    <w:rsid w:val="00D03D1A"/>
    <w:rsid w:val="00D04802"/>
    <w:rsid w:val="00D113B8"/>
    <w:rsid w:val="00D120EE"/>
    <w:rsid w:val="00D124E1"/>
    <w:rsid w:val="00D1330F"/>
    <w:rsid w:val="00D139AE"/>
    <w:rsid w:val="00D13E52"/>
    <w:rsid w:val="00D149FE"/>
    <w:rsid w:val="00D2038C"/>
    <w:rsid w:val="00D23933"/>
    <w:rsid w:val="00D23FD8"/>
    <w:rsid w:val="00D24877"/>
    <w:rsid w:val="00D262A6"/>
    <w:rsid w:val="00D32095"/>
    <w:rsid w:val="00D377B4"/>
    <w:rsid w:val="00D37ACC"/>
    <w:rsid w:val="00D37E0C"/>
    <w:rsid w:val="00D40861"/>
    <w:rsid w:val="00D4224E"/>
    <w:rsid w:val="00D4428E"/>
    <w:rsid w:val="00D44AA7"/>
    <w:rsid w:val="00D471CA"/>
    <w:rsid w:val="00D47EF4"/>
    <w:rsid w:val="00D520C1"/>
    <w:rsid w:val="00D52C51"/>
    <w:rsid w:val="00D5368D"/>
    <w:rsid w:val="00D55684"/>
    <w:rsid w:val="00D55C2A"/>
    <w:rsid w:val="00D56711"/>
    <w:rsid w:val="00D57203"/>
    <w:rsid w:val="00D57A92"/>
    <w:rsid w:val="00D60830"/>
    <w:rsid w:val="00D616E4"/>
    <w:rsid w:val="00D61963"/>
    <w:rsid w:val="00D62BFB"/>
    <w:rsid w:val="00D63647"/>
    <w:rsid w:val="00D659A3"/>
    <w:rsid w:val="00D65A60"/>
    <w:rsid w:val="00D674C5"/>
    <w:rsid w:val="00D67C72"/>
    <w:rsid w:val="00D7036B"/>
    <w:rsid w:val="00D70452"/>
    <w:rsid w:val="00D72F86"/>
    <w:rsid w:val="00D75D42"/>
    <w:rsid w:val="00D774DF"/>
    <w:rsid w:val="00D843B7"/>
    <w:rsid w:val="00D8679F"/>
    <w:rsid w:val="00D87325"/>
    <w:rsid w:val="00D87EA2"/>
    <w:rsid w:val="00D91E89"/>
    <w:rsid w:val="00D92876"/>
    <w:rsid w:val="00D93A33"/>
    <w:rsid w:val="00D93AD2"/>
    <w:rsid w:val="00D93E4A"/>
    <w:rsid w:val="00D95866"/>
    <w:rsid w:val="00D97369"/>
    <w:rsid w:val="00D97C81"/>
    <w:rsid w:val="00DA2E21"/>
    <w:rsid w:val="00DA2EEB"/>
    <w:rsid w:val="00DA36ED"/>
    <w:rsid w:val="00DA3971"/>
    <w:rsid w:val="00DA56A3"/>
    <w:rsid w:val="00DA6019"/>
    <w:rsid w:val="00DA6F2C"/>
    <w:rsid w:val="00DB02AF"/>
    <w:rsid w:val="00DB07C7"/>
    <w:rsid w:val="00DB169C"/>
    <w:rsid w:val="00DB317F"/>
    <w:rsid w:val="00DB37C1"/>
    <w:rsid w:val="00DB3C2F"/>
    <w:rsid w:val="00DB3DA7"/>
    <w:rsid w:val="00DB415F"/>
    <w:rsid w:val="00DB452B"/>
    <w:rsid w:val="00DB4A84"/>
    <w:rsid w:val="00DB4C4C"/>
    <w:rsid w:val="00DB69BB"/>
    <w:rsid w:val="00DB6A4B"/>
    <w:rsid w:val="00DB76F7"/>
    <w:rsid w:val="00DC013C"/>
    <w:rsid w:val="00DC0F3C"/>
    <w:rsid w:val="00DC183E"/>
    <w:rsid w:val="00DC28F0"/>
    <w:rsid w:val="00DC2A42"/>
    <w:rsid w:val="00DC3313"/>
    <w:rsid w:val="00DC7ECE"/>
    <w:rsid w:val="00DD0362"/>
    <w:rsid w:val="00DD4C1A"/>
    <w:rsid w:val="00DD62BC"/>
    <w:rsid w:val="00DD6935"/>
    <w:rsid w:val="00DD694E"/>
    <w:rsid w:val="00DE0198"/>
    <w:rsid w:val="00DE1010"/>
    <w:rsid w:val="00DE34F1"/>
    <w:rsid w:val="00DE538F"/>
    <w:rsid w:val="00DE5E3E"/>
    <w:rsid w:val="00DE646A"/>
    <w:rsid w:val="00DE6E20"/>
    <w:rsid w:val="00DE6E75"/>
    <w:rsid w:val="00DE6FE7"/>
    <w:rsid w:val="00DE73C8"/>
    <w:rsid w:val="00DF00B1"/>
    <w:rsid w:val="00DF3355"/>
    <w:rsid w:val="00DF3653"/>
    <w:rsid w:val="00DF421C"/>
    <w:rsid w:val="00DF4942"/>
    <w:rsid w:val="00DF4C6A"/>
    <w:rsid w:val="00DF55B8"/>
    <w:rsid w:val="00DF582E"/>
    <w:rsid w:val="00DF66FB"/>
    <w:rsid w:val="00DF6EB2"/>
    <w:rsid w:val="00DF79D4"/>
    <w:rsid w:val="00E02E18"/>
    <w:rsid w:val="00E034F7"/>
    <w:rsid w:val="00E0382E"/>
    <w:rsid w:val="00E039A6"/>
    <w:rsid w:val="00E050EE"/>
    <w:rsid w:val="00E07296"/>
    <w:rsid w:val="00E1016D"/>
    <w:rsid w:val="00E101EC"/>
    <w:rsid w:val="00E10507"/>
    <w:rsid w:val="00E11821"/>
    <w:rsid w:val="00E14107"/>
    <w:rsid w:val="00E14854"/>
    <w:rsid w:val="00E168CB"/>
    <w:rsid w:val="00E177F5"/>
    <w:rsid w:val="00E21813"/>
    <w:rsid w:val="00E22288"/>
    <w:rsid w:val="00E22370"/>
    <w:rsid w:val="00E24862"/>
    <w:rsid w:val="00E26073"/>
    <w:rsid w:val="00E264C7"/>
    <w:rsid w:val="00E26520"/>
    <w:rsid w:val="00E30745"/>
    <w:rsid w:val="00E30A6B"/>
    <w:rsid w:val="00E326A3"/>
    <w:rsid w:val="00E37F9A"/>
    <w:rsid w:val="00E40C73"/>
    <w:rsid w:val="00E41FEF"/>
    <w:rsid w:val="00E43428"/>
    <w:rsid w:val="00E451FB"/>
    <w:rsid w:val="00E46BB1"/>
    <w:rsid w:val="00E46EB5"/>
    <w:rsid w:val="00E47294"/>
    <w:rsid w:val="00E47AD3"/>
    <w:rsid w:val="00E50443"/>
    <w:rsid w:val="00E50BD6"/>
    <w:rsid w:val="00E525F1"/>
    <w:rsid w:val="00E527F6"/>
    <w:rsid w:val="00E53355"/>
    <w:rsid w:val="00E55044"/>
    <w:rsid w:val="00E563AA"/>
    <w:rsid w:val="00E60B9D"/>
    <w:rsid w:val="00E60FC0"/>
    <w:rsid w:val="00E627B1"/>
    <w:rsid w:val="00E62B4C"/>
    <w:rsid w:val="00E648F1"/>
    <w:rsid w:val="00E661F8"/>
    <w:rsid w:val="00E6702A"/>
    <w:rsid w:val="00E70FA0"/>
    <w:rsid w:val="00E715F8"/>
    <w:rsid w:val="00E720E4"/>
    <w:rsid w:val="00E721B0"/>
    <w:rsid w:val="00E74709"/>
    <w:rsid w:val="00E74D3E"/>
    <w:rsid w:val="00E7641F"/>
    <w:rsid w:val="00E815DE"/>
    <w:rsid w:val="00E84455"/>
    <w:rsid w:val="00E8452B"/>
    <w:rsid w:val="00E86BBE"/>
    <w:rsid w:val="00E86E9F"/>
    <w:rsid w:val="00E919B3"/>
    <w:rsid w:val="00E9376C"/>
    <w:rsid w:val="00E93B4A"/>
    <w:rsid w:val="00E969A2"/>
    <w:rsid w:val="00EA2A19"/>
    <w:rsid w:val="00EA36C5"/>
    <w:rsid w:val="00EA515D"/>
    <w:rsid w:val="00EA533E"/>
    <w:rsid w:val="00EA53A1"/>
    <w:rsid w:val="00EA602C"/>
    <w:rsid w:val="00EA6A00"/>
    <w:rsid w:val="00EA6C8B"/>
    <w:rsid w:val="00EA7E93"/>
    <w:rsid w:val="00EB06CB"/>
    <w:rsid w:val="00EB1E2A"/>
    <w:rsid w:val="00EB2062"/>
    <w:rsid w:val="00EB4D1B"/>
    <w:rsid w:val="00EB5513"/>
    <w:rsid w:val="00EB7A61"/>
    <w:rsid w:val="00EC02E6"/>
    <w:rsid w:val="00EC0709"/>
    <w:rsid w:val="00EC1974"/>
    <w:rsid w:val="00EC1FA6"/>
    <w:rsid w:val="00EC71F8"/>
    <w:rsid w:val="00ED0610"/>
    <w:rsid w:val="00ED0C1C"/>
    <w:rsid w:val="00ED0F53"/>
    <w:rsid w:val="00ED2E52"/>
    <w:rsid w:val="00ED3691"/>
    <w:rsid w:val="00ED3711"/>
    <w:rsid w:val="00ED5189"/>
    <w:rsid w:val="00ED5371"/>
    <w:rsid w:val="00ED77D2"/>
    <w:rsid w:val="00EE012D"/>
    <w:rsid w:val="00EE1369"/>
    <w:rsid w:val="00EE1E4A"/>
    <w:rsid w:val="00EE62A6"/>
    <w:rsid w:val="00EE6846"/>
    <w:rsid w:val="00EE749F"/>
    <w:rsid w:val="00EF469E"/>
    <w:rsid w:val="00EF61CC"/>
    <w:rsid w:val="00EF6590"/>
    <w:rsid w:val="00EF74E3"/>
    <w:rsid w:val="00EF75EC"/>
    <w:rsid w:val="00F0089E"/>
    <w:rsid w:val="00F012F6"/>
    <w:rsid w:val="00F0166C"/>
    <w:rsid w:val="00F02243"/>
    <w:rsid w:val="00F027A2"/>
    <w:rsid w:val="00F05951"/>
    <w:rsid w:val="00F068D1"/>
    <w:rsid w:val="00F10A28"/>
    <w:rsid w:val="00F10E4D"/>
    <w:rsid w:val="00F1131A"/>
    <w:rsid w:val="00F11E75"/>
    <w:rsid w:val="00F128D9"/>
    <w:rsid w:val="00F12BC8"/>
    <w:rsid w:val="00F134B7"/>
    <w:rsid w:val="00F15FCD"/>
    <w:rsid w:val="00F16520"/>
    <w:rsid w:val="00F179BD"/>
    <w:rsid w:val="00F25190"/>
    <w:rsid w:val="00F25A4C"/>
    <w:rsid w:val="00F27401"/>
    <w:rsid w:val="00F30D2B"/>
    <w:rsid w:val="00F32C4F"/>
    <w:rsid w:val="00F43694"/>
    <w:rsid w:val="00F4581D"/>
    <w:rsid w:val="00F46139"/>
    <w:rsid w:val="00F461D2"/>
    <w:rsid w:val="00F47148"/>
    <w:rsid w:val="00F561EB"/>
    <w:rsid w:val="00F569E3"/>
    <w:rsid w:val="00F576CB"/>
    <w:rsid w:val="00F577EB"/>
    <w:rsid w:val="00F57EA2"/>
    <w:rsid w:val="00F602AA"/>
    <w:rsid w:val="00F61E1F"/>
    <w:rsid w:val="00F62542"/>
    <w:rsid w:val="00F63B56"/>
    <w:rsid w:val="00F6516B"/>
    <w:rsid w:val="00F65232"/>
    <w:rsid w:val="00F65ADE"/>
    <w:rsid w:val="00F717D8"/>
    <w:rsid w:val="00F71C63"/>
    <w:rsid w:val="00F73FE2"/>
    <w:rsid w:val="00F7548F"/>
    <w:rsid w:val="00F7793C"/>
    <w:rsid w:val="00F81D41"/>
    <w:rsid w:val="00F83447"/>
    <w:rsid w:val="00F83580"/>
    <w:rsid w:val="00F846ED"/>
    <w:rsid w:val="00F84A0B"/>
    <w:rsid w:val="00F85759"/>
    <w:rsid w:val="00F859A4"/>
    <w:rsid w:val="00F86E5A"/>
    <w:rsid w:val="00F86ECE"/>
    <w:rsid w:val="00F9113D"/>
    <w:rsid w:val="00F91B92"/>
    <w:rsid w:val="00F92345"/>
    <w:rsid w:val="00F92978"/>
    <w:rsid w:val="00F92F74"/>
    <w:rsid w:val="00F9352E"/>
    <w:rsid w:val="00F935B6"/>
    <w:rsid w:val="00F96E65"/>
    <w:rsid w:val="00F9795D"/>
    <w:rsid w:val="00FA04E5"/>
    <w:rsid w:val="00FA05A3"/>
    <w:rsid w:val="00FA0F6B"/>
    <w:rsid w:val="00FA17FD"/>
    <w:rsid w:val="00FA4B20"/>
    <w:rsid w:val="00FA4B29"/>
    <w:rsid w:val="00FA6B02"/>
    <w:rsid w:val="00FA7577"/>
    <w:rsid w:val="00FB64D6"/>
    <w:rsid w:val="00FB6D00"/>
    <w:rsid w:val="00FC0429"/>
    <w:rsid w:val="00FC0471"/>
    <w:rsid w:val="00FC0AE4"/>
    <w:rsid w:val="00FC2940"/>
    <w:rsid w:val="00FC4715"/>
    <w:rsid w:val="00FC4A68"/>
    <w:rsid w:val="00FC4AC2"/>
    <w:rsid w:val="00FC4DE4"/>
    <w:rsid w:val="00FC57E6"/>
    <w:rsid w:val="00FD1226"/>
    <w:rsid w:val="00FD1D41"/>
    <w:rsid w:val="00FD22BF"/>
    <w:rsid w:val="00FD31E3"/>
    <w:rsid w:val="00FD37F2"/>
    <w:rsid w:val="00FD3A7F"/>
    <w:rsid w:val="00FD664F"/>
    <w:rsid w:val="00FE0DEE"/>
    <w:rsid w:val="00FE1525"/>
    <w:rsid w:val="00FE23B8"/>
    <w:rsid w:val="00FE3CE0"/>
    <w:rsid w:val="00FE3E27"/>
    <w:rsid w:val="00FE43D2"/>
    <w:rsid w:val="00FE4577"/>
    <w:rsid w:val="00FE4A62"/>
    <w:rsid w:val="00FE6248"/>
    <w:rsid w:val="00FE7D91"/>
    <w:rsid w:val="00FF0BF6"/>
    <w:rsid w:val="00FF1E4F"/>
    <w:rsid w:val="00FF249E"/>
    <w:rsid w:val="00FF258C"/>
    <w:rsid w:val="00FF2C3E"/>
    <w:rsid w:val="00FF35F9"/>
    <w:rsid w:val="00FF43C6"/>
    <w:rsid w:val="00FF73E0"/>
    <w:rsid w:val="00FF74AA"/>
    <w:rsid w:val="00FF78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776BAF"/>
  <w15:docId w15:val="{AF30083D-019D-FA4D-A923-B23A25F7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aliases w:val=" Car Car3 Char, Car Car3 Char Char Char Char"/>
    <w:basedOn w:val="DefaultParagraphFont"/>
    <w:link w:val="CarCar3"/>
    <w:uiPriority w:val="99"/>
    <w:unhideWhenUsed/>
    <w:rsid w:val="009B5302"/>
    <w:rPr>
      <w:color w:val="0000FF" w:themeColor="hyperlink"/>
      <w:u w:val="single"/>
    </w:rPr>
  </w:style>
  <w:style w:type="paragraph" w:styleId="FootnoteText">
    <w:name w:val="footnote text"/>
    <w:basedOn w:val="Normal"/>
    <w:link w:val="FootnoteTextChar"/>
    <w:uiPriority w:val="99"/>
    <w:semiHidden/>
    <w:unhideWhenUsed/>
    <w:rsid w:val="008F5A4F"/>
    <w:rPr>
      <w:sz w:val="20"/>
      <w:szCs w:val="20"/>
    </w:rPr>
  </w:style>
  <w:style w:type="character" w:customStyle="1" w:styleId="FootnoteTextChar">
    <w:name w:val="Footnote Text Char"/>
    <w:basedOn w:val="DefaultParagraphFont"/>
    <w:link w:val="FootnoteText"/>
    <w:uiPriority w:val="99"/>
    <w:semiHidden/>
    <w:rsid w:val="008F5A4F"/>
    <w:rPr>
      <w:rFonts w:ascii="Times New Roman" w:eastAsia="Times New Roman" w:hAnsi="Times New Roman"/>
    </w:rPr>
  </w:style>
  <w:style w:type="character" w:styleId="FootnoteReference">
    <w:name w:val="footnote reference"/>
    <w:basedOn w:val="DefaultParagraphFont"/>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F62542"/>
    <w:rPr>
      <w:rFonts w:ascii="Times New Roman" w:eastAsia="Times New Roman" w:hAnsi="Times New Roman"/>
      <w:sz w:val="24"/>
      <w:szCs w:val="24"/>
    </w:rPr>
  </w:style>
  <w:style w:type="character" w:customStyle="1" w:styleId="MargeChar">
    <w:name w:val="Marge Char"/>
    <w:link w:val="Marge"/>
    <w:rsid w:val="00B52FED"/>
    <w:rPr>
      <w:rFonts w:ascii="Arial" w:eastAsia="Times New Roman" w:hAnsi="Arial"/>
      <w:snapToGrid w:val="0"/>
      <w:sz w:val="22"/>
      <w:szCs w:val="24"/>
      <w:lang w:eastAsia="en-US"/>
    </w:rPr>
  </w:style>
  <w:style w:type="paragraph" w:customStyle="1" w:styleId="Orateurengris">
    <w:name w:val="Orateur en grisé"/>
    <w:basedOn w:val="Marge"/>
    <w:qFormat/>
    <w:rsid w:val="00B52FED"/>
    <w:pPr>
      <w:tabs>
        <w:tab w:val="clear" w:pos="567"/>
        <w:tab w:val="left" w:pos="709"/>
        <w:tab w:val="left" w:pos="1418"/>
        <w:tab w:val="left" w:pos="2126"/>
        <w:tab w:val="left" w:pos="2835"/>
      </w:tabs>
      <w:spacing w:after="120"/>
    </w:pPr>
    <w:rPr>
      <w:rFonts w:eastAsiaTheme="minorHAnsi" w:cs="Arial"/>
      <w:szCs w:val="22"/>
      <w:lang w:val="en-GB"/>
    </w:rPr>
  </w:style>
  <w:style w:type="paragraph" w:customStyle="1" w:styleId="CarCar3">
    <w:name w:val="Car Car3"/>
    <w:aliases w:val=" Car Car3 Char Char"/>
    <w:basedOn w:val="Normal"/>
    <w:link w:val="Hyperlink"/>
    <w:rsid w:val="00B52FED"/>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paragraph" w:customStyle="1" w:styleId="alina">
    <w:name w:val="alinéa"/>
    <w:basedOn w:val="Normal"/>
    <w:rsid w:val="00F96E65"/>
    <w:pPr>
      <w:tabs>
        <w:tab w:val="left" w:pos="567"/>
      </w:tabs>
      <w:spacing w:after="240"/>
      <w:ind w:left="567"/>
      <w:jc w:val="both"/>
    </w:pPr>
    <w:rPr>
      <w:rFonts w:ascii="Arial" w:eastAsiaTheme="minorHAnsi" w:hAnsi="Arial" w:cs="Arial"/>
      <w:sz w:val="22"/>
      <w:szCs w:val="22"/>
      <w:lang w:val="en-GB" w:eastAsia="en-US"/>
    </w:rPr>
  </w:style>
  <w:style w:type="paragraph" w:customStyle="1" w:styleId="BODYTEXT">
    <w:name w:val="¬BODY TEXT"/>
    <w:basedOn w:val="Orateurengris"/>
    <w:link w:val="BODYTEXTChar"/>
    <w:qFormat/>
    <w:rsid w:val="00A15F9A"/>
    <w:pPr>
      <w:numPr>
        <w:numId w:val="22"/>
      </w:numPr>
      <w:spacing w:before="240"/>
    </w:pPr>
    <w:rPr>
      <w:rFonts w:eastAsia="Calibri"/>
      <w:snapToGrid/>
      <w:color w:val="000000"/>
      <w:lang w:eastAsia="fr-FR"/>
    </w:rPr>
  </w:style>
  <w:style w:type="character" w:customStyle="1" w:styleId="BODYTEXTChar">
    <w:name w:val="¬BODY TEXT Char"/>
    <w:link w:val="BODYTEXT"/>
    <w:rsid w:val="00A15F9A"/>
    <w:rPr>
      <w:rFonts w:ascii="Arial" w:eastAsia="Calibri" w:hAnsi="Arial" w:cs="Arial"/>
      <w:color w:val="000000"/>
      <w:sz w:val="22"/>
      <w:szCs w:val="22"/>
      <w:lang w:val="en-GB"/>
    </w:rPr>
  </w:style>
  <w:style w:type="character" w:styleId="FollowedHyperlink">
    <w:name w:val="FollowedHyperlink"/>
    <w:basedOn w:val="DefaultParagraphFont"/>
    <w:uiPriority w:val="99"/>
    <w:semiHidden/>
    <w:unhideWhenUsed/>
    <w:rsid w:val="00C83277"/>
    <w:rPr>
      <w:color w:val="800080" w:themeColor="followedHyperlink"/>
      <w:u w:val="single"/>
    </w:rPr>
  </w:style>
  <w:style w:type="character" w:styleId="UnresolvedMention">
    <w:name w:val="Unresolved Mention"/>
    <w:basedOn w:val="DefaultParagraphFont"/>
    <w:uiPriority w:val="99"/>
    <w:semiHidden/>
    <w:unhideWhenUsed/>
    <w:rsid w:val="00D2038C"/>
    <w:rPr>
      <w:color w:val="605E5C"/>
      <w:shd w:val="clear" w:color="auto" w:fill="E1DFDD"/>
    </w:rPr>
  </w:style>
  <w:style w:type="paragraph" w:styleId="EndnoteText">
    <w:name w:val="endnote text"/>
    <w:basedOn w:val="Normal"/>
    <w:link w:val="EndnoteTextChar"/>
    <w:uiPriority w:val="99"/>
    <w:semiHidden/>
    <w:unhideWhenUsed/>
    <w:rsid w:val="00FD31E3"/>
    <w:rPr>
      <w:sz w:val="20"/>
      <w:szCs w:val="20"/>
    </w:rPr>
  </w:style>
  <w:style w:type="character" w:customStyle="1" w:styleId="EndnoteTextChar">
    <w:name w:val="Endnote Text Char"/>
    <w:basedOn w:val="DefaultParagraphFont"/>
    <w:link w:val="EndnoteText"/>
    <w:uiPriority w:val="99"/>
    <w:semiHidden/>
    <w:rsid w:val="00FD31E3"/>
    <w:rPr>
      <w:rFonts w:ascii="Times New Roman" w:eastAsia="Times New Roman" w:hAnsi="Times New Roman"/>
    </w:rPr>
  </w:style>
  <w:style w:type="character" w:styleId="EndnoteReference">
    <w:name w:val="endnote reference"/>
    <w:basedOn w:val="DefaultParagraphFont"/>
    <w:uiPriority w:val="99"/>
    <w:semiHidden/>
    <w:unhideWhenUsed/>
    <w:rsid w:val="00FD3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3109">
      <w:bodyDiv w:val="1"/>
      <w:marLeft w:val="0"/>
      <w:marRight w:val="0"/>
      <w:marTop w:val="0"/>
      <w:marBottom w:val="0"/>
      <w:divBdr>
        <w:top w:val="none" w:sz="0" w:space="0" w:color="auto"/>
        <w:left w:val="none" w:sz="0" w:space="0" w:color="auto"/>
        <w:bottom w:val="none" w:sz="0" w:space="0" w:color="auto"/>
        <w:right w:val="none" w:sz="0" w:space="0" w:color="auto"/>
      </w:divBdr>
    </w:div>
    <w:div w:id="1177385153">
      <w:bodyDiv w:val="1"/>
      <w:marLeft w:val="0"/>
      <w:marRight w:val="0"/>
      <w:marTop w:val="0"/>
      <w:marBottom w:val="0"/>
      <w:divBdr>
        <w:top w:val="none" w:sz="0" w:space="0" w:color="auto"/>
        <w:left w:val="none" w:sz="0" w:space="0" w:color="auto"/>
        <w:bottom w:val="none" w:sz="0" w:space="0" w:color="auto"/>
        <w:right w:val="none" w:sz="0" w:space="0" w:color="auto"/>
      </w:divBdr>
      <w:divsChild>
        <w:div w:id="1828395695">
          <w:marLeft w:val="0"/>
          <w:marRight w:val="0"/>
          <w:marTop w:val="0"/>
          <w:marBottom w:val="0"/>
          <w:divBdr>
            <w:top w:val="none" w:sz="0" w:space="0" w:color="auto"/>
            <w:left w:val="none" w:sz="0" w:space="0" w:color="auto"/>
            <w:bottom w:val="none" w:sz="0" w:space="0" w:color="auto"/>
            <w:right w:val="none" w:sz="0" w:space="0" w:color="auto"/>
          </w:divBdr>
        </w:div>
      </w:divsChild>
    </w:div>
    <w:div w:id="1253859480">
      <w:bodyDiv w:val="1"/>
      <w:marLeft w:val="0"/>
      <w:marRight w:val="0"/>
      <w:marTop w:val="0"/>
      <w:marBottom w:val="0"/>
      <w:divBdr>
        <w:top w:val="none" w:sz="0" w:space="0" w:color="auto"/>
        <w:left w:val="none" w:sz="0" w:space="0" w:color="auto"/>
        <w:bottom w:val="none" w:sz="0" w:space="0" w:color="auto"/>
        <w:right w:val="none" w:sz="0" w:space="0" w:color="auto"/>
      </w:divBdr>
      <w:divsChild>
        <w:div w:id="981467805">
          <w:marLeft w:val="0"/>
          <w:marRight w:val="0"/>
          <w:marTop w:val="0"/>
          <w:marBottom w:val="0"/>
          <w:divBdr>
            <w:top w:val="none" w:sz="0" w:space="0" w:color="auto"/>
            <w:left w:val="none" w:sz="0" w:space="0" w:color="auto"/>
            <w:bottom w:val="none" w:sz="0" w:space="0" w:color="auto"/>
            <w:right w:val="none" w:sz="0" w:space="0" w:color="auto"/>
          </w:divBdr>
        </w:div>
      </w:divsChild>
    </w:div>
    <w:div w:id="139076918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fr/16com" TargetMode="External"/><Relationship Id="rId117" Type="http://schemas.openxmlformats.org/officeDocument/2006/relationships/hyperlink" Target="https://ich.unesco.org/fr/Decisions/17.COM/15" TargetMode="External"/><Relationship Id="rId21" Type="http://schemas.openxmlformats.org/officeDocument/2006/relationships/hyperlink" Target="https://ich.unesco.org/fr/Decisions/15.COM/4" TargetMode="External"/><Relationship Id="rId42" Type="http://schemas.openxmlformats.org/officeDocument/2006/relationships/hyperlink" Target="https://ich.unesco.org/fr/6a-periodic-reporting-usl-01286" TargetMode="External"/><Relationship Id="rId47" Type="http://schemas.openxmlformats.org/officeDocument/2006/relationships/hyperlink" Target="https://ich.unesco.org/fr/Decisions/17.COM/6.a.4" TargetMode="External"/><Relationship Id="rId63" Type="http://schemas.openxmlformats.org/officeDocument/2006/relationships/hyperlink" Target="https://ich.unesco.org/fr/Decisions/17.COM/6.a.20" TargetMode="External"/><Relationship Id="rId68" Type="http://schemas.openxmlformats.org/officeDocument/2006/relationships/hyperlink" Target="https://ich.unesco.org/doc/src/LHE-22-17.COM-6.b-_Rev.-FR.docx" TargetMode="External"/><Relationship Id="rId84" Type="http://schemas.openxmlformats.org/officeDocument/2006/relationships/hyperlink" Target="https://ich.unesco.org/fr/Decisions/13.COM/9" TargetMode="External"/><Relationship Id="rId89" Type="http://schemas.openxmlformats.org/officeDocument/2006/relationships/hyperlink" Target="https://ich.unesco.org/fr/Decisions/17.COM/8.b" TargetMode="External"/><Relationship Id="rId112" Type="http://schemas.openxmlformats.org/officeDocument/2006/relationships/hyperlink" Target="https://ich.unesco.org/doc/src/LHE-22-17.COM-13-FR.docx" TargetMode="External"/><Relationship Id="rId16" Type="http://schemas.openxmlformats.org/officeDocument/2006/relationships/hyperlink" Target="https://ich.unesco.org/fr/decisions/11.COM/8?dec=decisions&amp;ref_decision=11.COM" TargetMode="External"/><Relationship Id="rId107" Type="http://schemas.openxmlformats.org/officeDocument/2006/relationships/hyperlink" Target="https://ich.unesco.org/fr/Decisions/17.COM/12" TargetMode="External"/><Relationship Id="rId11" Type="http://schemas.openxmlformats.org/officeDocument/2006/relationships/hyperlink" Target="https://ich.unesco.org/fr/17com" TargetMode="External"/><Relationship Id="rId32" Type="http://schemas.openxmlformats.org/officeDocument/2006/relationships/hyperlink" Target="https://ich.unesco.org/fr/17com-bureau" TargetMode="External"/><Relationship Id="rId37" Type="http://schemas.openxmlformats.org/officeDocument/2006/relationships/hyperlink" Target="https://ich.unesco.org/doc/src/LHE-22-17.COM-INF.6.c_Rev-FR.pdf" TargetMode="External"/><Relationship Id="rId53" Type="http://schemas.openxmlformats.org/officeDocument/2006/relationships/hyperlink" Target="https://ich.unesco.org/fr/Decisions/17.COM/6.a.10" TargetMode="External"/><Relationship Id="rId58" Type="http://schemas.openxmlformats.org/officeDocument/2006/relationships/hyperlink" Target="https://ich.unesco.org/fr/Decisions/17.COM/6.a.15" TargetMode="External"/><Relationship Id="rId74" Type="http://schemas.openxmlformats.org/officeDocument/2006/relationships/hyperlink" Target="https://ich.unesco.org/fr/Decisions/17.COM/6.c" TargetMode="External"/><Relationship Id="rId79" Type="http://schemas.openxmlformats.org/officeDocument/2006/relationships/hyperlink" Target="https://ich.unesco.org/fr/Decisions/17.COM/8.a" TargetMode="External"/><Relationship Id="rId102" Type="http://schemas.openxmlformats.org/officeDocument/2006/relationships/hyperlink" Target="https://ich.unesco.org/fr/Decisions/17.COM/11"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ch.unesco.org/fr/Decisions/17.COM/6.a.18" TargetMode="External"/><Relationship Id="rId82" Type="http://schemas.openxmlformats.org/officeDocument/2006/relationships/hyperlink" Target="https://ich.unesco.org/fr/decisions/9.GA/9" TargetMode="External"/><Relationship Id="rId90" Type="http://schemas.openxmlformats.org/officeDocument/2006/relationships/hyperlink" Target="https://ich.unesco.org/doc/src/LHE-22-17.COM-9-FR.docx" TargetMode="External"/><Relationship Id="rId95" Type="http://schemas.openxmlformats.org/officeDocument/2006/relationships/hyperlink" Target="https://ich.unesco.org/fr/Decisions/17.COM/9" TargetMode="External"/><Relationship Id="rId19" Type="http://schemas.openxmlformats.org/officeDocument/2006/relationships/hyperlink" Target="https://ich.unesco.org/fr/Decisions/17.COM/3" TargetMode="External"/><Relationship Id="rId14" Type="http://schemas.openxmlformats.org/officeDocument/2006/relationships/hyperlink" Target="https://ich.unesco.org/doc/src/LHE-22-17.COM-INF.2.1_Rev.5-FR.docx" TargetMode="External"/><Relationship Id="rId22" Type="http://schemas.openxmlformats.org/officeDocument/2006/relationships/hyperlink" Target="https://ich.unesco.org/fr/Decisions/16.COM/3" TargetMode="External"/><Relationship Id="rId27" Type="http://schemas.openxmlformats.org/officeDocument/2006/relationships/hyperlink" Target="https://ich.unesco.org/fr/5extcom" TargetMode="External"/><Relationship Id="rId30" Type="http://schemas.openxmlformats.org/officeDocument/2006/relationships/hyperlink" Target="https://ich.unesco.org/fr/Decisions/17.COM/4.b" TargetMode="External"/><Relationship Id="rId35" Type="http://schemas.openxmlformats.org/officeDocument/2006/relationships/hyperlink" Target="https://ich.unesco.org/doc/src/53724-EN.pdf" TargetMode="External"/><Relationship Id="rId43" Type="http://schemas.openxmlformats.org/officeDocument/2006/relationships/hyperlink" Target="https://ich.unesco.org/fr/Decisions/17.COM/6.a" TargetMode="External"/><Relationship Id="rId48" Type="http://schemas.openxmlformats.org/officeDocument/2006/relationships/hyperlink" Target="https://ich.unesco.org/fr/Decisions/17.COM/6.a.5" TargetMode="External"/><Relationship Id="rId56" Type="http://schemas.openxmlformats.org/officeDocument/2006/relationships/hyperlink" Target="https://ich.unesco.org/fr/Decisions/17.COM/6.a.13" TargetMode="External"/><Relationship Id="rId64" Type="http://schemas.openxmlformats.org/officeDocument/2006/relationships/hyperlink" Target="https://ich.unesco.org/fr/Decisions/17.COM/6.a.21" TargetMode="External"/><Relationship Id="rId69" Type="http://schemas.openxmlformats.org/officeDocument/2006/relationships/hyperlink" Target="https://ich.unesco.org/fr/6b-periodic-reporting-rl-01285" TargetMode="External"/><Relationship Id="rId77" Type="http://schemas.openxmlformats.org/officeDocument/2006/relationships/hyperlink" Target="https://ich.unesco.org/fr/Decisions/17.COM/17" TargetMode="External"/><Relationship Id="rId100" Type="http://schemas.openxmlformats.org/officeDocument/2006/relationships/hyperlink" Target="https://ich.unesco.org/doc/src/LHE-22-17.COM-11-FR.docx" TargetMode="External"/><Relationship Id="rId105" Type="http://schemas.openxmlformats.org/officeDocument/2006/relationships/hyperlink" Target="https://ich.unesco.org/fr/Decisions/16.COM/12" TargetMode="External"/><Relationship Id="rId113" Type="http://schemas.openxmlformats.org/officeDocument/2006/relationships/hyperlink" Target="https://ich.unesco.org/fr/Decisions/17.COM/13" TargetMode="External"/><Relationship Id="rId118" Type="http://schemas.openxmlformats.org/officeDocument/2006/relationships/hyperlink" Target="https://ich.unesco.org/fr/Decisions/17.COM/15" TargetMode="External"/><Relationship Id="rId8" Type="http://schemas.openxmlformats.org/officeDocument/2006/relationships/hyperlink" Target="https://ich.unesco.org/doc/src/LHE-22-17.COM-INF.1-FR.docx" TargetMode="External"/><Relationship Id="rId51" Type="http://schemas.openxmlformats.org/officeDocument/2006/relationships/hyperlink" Target="https://ich.unesco.org/fr/Decisions/17.COM/6.a.8" TargetMode="External"/><Relationship Id="rId72" Type="http://schemas.openxmlformats.org/officeDocument/2006/relationships/hyperlink" Target="https://ich.unesco.org/doc/src/LHE-22-17.COM-6.c-FR.docx" TargetMode="External"/><Relationship Id="rId80" Type="http://schemas.openxmlformats.org/officeDocument/2006/relationships/hyperlink" Target="https://ich.unesco.org/fr/Decisions/17.COM/8.b" TargetMode="External"/><Relationship Id="rId85" Type="http://schemas.openxmlformats.org/officeDocument/2006/relationships/hyperlink" Target="https://ich.unesco.org/fr/Decisions/14.COM/14" TargetMode="External"/><Relationship Id="rId93" Type="http://schemas.openxmlformats.org/officeDocument/2006/relationships/hyperlink" Target="https://www.ichngoforum.org/heritage-alive/" TargetMode="External"/><Relationship Id="rId98" Type="http://schemas.openxmlformats.org/officeDocument/2006/relationships/hyperlink" Target="https://ich.unesco.org/fr/Decisions/16.COM/14"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ich.unesco.org/fr/17com" TargetMode="External"/><Relationship Id="rId17" Type="http://schemas.openxmlformats.org/officeDocument/2006/relationships/hyperlink" Target="https://ich.unesco.org/fr/Decisions/17.COM/2" TargetMode="External"/><Relationship Id="rId25" Type="http://schemas.openxmlformats.org/officeDocument/2006/relationships/hyperlink" Target="https://ich.unesco.org/fr/Decisions/17.COM/4.a" TargetMode="External"/><Relationship Id="rId33" Type="http://schemas.openxmlformats.org/officeDocument/2006/relationships/hyperlink" Target="https://ich.unesco.org/doc/src/LHE-22-17.COM-5-FR.docx" TargetMode="External"/><Relationship Id="rId38" Type="http://schemas.openxmlformats.org/officeDocument/2006/relationships/hyperlink" Target="https://ich.unesco.org/doc/src/LHE-22-17.COM-INF.6.c_Rev-FR.pdf" TargetMode="External"/><Relationship Id="rId46" Type="http://schemas.openxmlformats.org/officeDocument/2006/relationships/hyperlink" Target="https://ich.unesco.org/fr/Decisions/17.COM/6.a.3" TargetMode="External"/><Relationship Id="rId59" Type="http://schemas.openxmlformats.org/officeDocument/2006/relationships/hyperlink" Target="https://ich.unesco.org/fr/Decisions/17.COM/6.a.16" TargetMode="External"/><Relationship Id="rId67" Type="http://schemas.openxmlformats.org/officeDocument/2006/relationships/hyperlink" Target="https://ich.unesco.org/fr/Decisions/17.COM/6.a" TargetMode="External"/><Relationship Id="rId103" Type="http://schemas.openxmlformats.org/officeDocument/2006/relationships/hyperlink" Target="https://ich.unesco.org/doc/src/LHE-22-17.COM-12-FR.docx" TargetMode="External"/><Relationship Id="rId108" Type="http://schemas.openxmlformats.org/officeDocument/2006/relationships/hyperlink" Target="https://ich.unesco.org/doc/src/LHE-22-17.COM-Decisions-FR_-.docx" TargetMode="External"/><Relationship Id="rId116" Type="http://schemas.openxmlformats.org/officeDocument/2006/relationships/hyperlink" Target="https://ich.unesco.org/doc/src/LHE-22-17.COM-15-FR.docx" TargetMode="External"/><Relationship Id="rId124" Type="http://schemas.openxmlformats.org/officeDocument/2006/relationships/theme" Target="theme/theme1.xml"/><Relationship Id="rId20" Type="http://schemas.openxmlformats.org/officeDocument/2006/relationships/hyperlink" Target="https://ich.unesco.org/fr/Decisions/14.COM/3" TargetMode="External"/><Relationship Id="rId41" Type="http://schemas.openxmlformats.org/officeDocument/2006/relationships/hyperlink" Target="https://ich.unesco.org/doc/src/LHE-22-17.COM-6.a-_Rev.-FR.docx" TargetMode="External"/><Relationship Id="rId54" Type="http://schemas.openxmlformats.org/officeDocument/2006/relationships/hyperlink" Target="https://ich.unesco.org/fr/Decisions/17.COM/6.a.11" TargetMode="External"/><Relationship Id="rId62" Type="http://schemas.openxmlformats.org/officeDocument/2006/relationships/hyperlink" Target="https://ich.unesco.org/fr/Decisions/17.COM/6.a.19" TargetMode="External"/><Relationship Id="rId70" Type="http://schemas.openxmlformats.org/officeDocument/2006/relationships/hyperlink" Target="https://ich.unesco.org/fr/Decisions/17.COM/6.b" TargetMode="External"/><Relationship Id="rId75" Type="http://schemas.openxmlformats.org/officeDocument/2006/relationships/hyperlink" Target="https://ich.unesco.org/fr/Decisions/17.COM/7" TargetMode="External"/><Relationship Id="rId83" Type="http://schemas.openxmlformats.org/officeDocument/2006/relationships/hyperlink" Target="https://ich.unesco.org/fr/Decisions/14.COM/14" TargetMode="External"/><Relationship Id="rId88" Type="http://schemas.openxmlformats.org/officeDocument/2006/relationships/hyperlink" Target="https://ich.unesco.org/fr/Decisions/17.COM/8.a" TargetMode="External"/><Relationship Id="rId91" Type="http://schemas.openxmlformats.org/officeDocument/2006/relationships/hyperlink" Target="https://ich.unesco.org/fr/Decisions/17.COM/9" TargetMode="External"/><Relationship Id="rId96" Type="http://schemas.openxmlformats.org/officeDocument/2006/relationships/hyperlink" Target="https://ich.unesco.org/doc/src/LHE-22-17.COM-10-FR.docx" TargetMode="External"/><Relationship Id="rId111" Type="http://schemas.openxmlformats.org/officeDocument/2006/relationships/hyperlink" Target="https://ich.unesco.org/fr/Decisions/9.COM/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Decisions/17.COM/2" TargetMode="External"/><Relationship Id="rId23" Type="http://schemas.openxmlformats.org/officeDocument/2006/relationships/hyperlink" Target="https://ich.unesco.org/fr/Decisions/17.COM/3" TargetMode="External"/><Relationship Id="rId28" Type="http://schemas.openxmlformats.org/officeDocument/2006/relationships/hyperlink" Target="https://ich.unesco.org/fr/Decisions/17.COM/4.a" TargetMode="External"/><Relationship Id="rId36" Type="http://schemas.openxmlformats.org/officeDocument/2006/relationships/hyperlink" Target="https://ich.unesco.org/doc/src/53724-FR.pdf" TargetMode="External"/><Relationship Id="rId49" Type="http://schemas.openxmlformats.org/officeDocument/2006/relationships/hyperlink" Target="https://ich.unesco.org/fr/Decisions/17.COM/6.a.6" TargetMode="External"/><Relationship Id="rId57" Type="http://schemas.openxmlformats.org/officeDocument/2006/relationships/hyperlink" Target="https://ich.unesco.org/fr/Decisions/17.COM/6.a.14" TargetMode="External"/><Relationship Id="rId106" Type="http://schemas.openxmlformats.org/officeDocument/2006/relationships/hyperlink" Target="https://ich.unesco.org/fr/Decisions/7.COM/20.1" TargetMode="External"/><Relationship Id="rId114" Type="http://schemas.openxmlformats.org/officeDocument/2006/relationships/hyperlink" Target="https://ich.unesco.org/fr/decisions/14.COM/10" TargetMode="External"/><Relationship Id="rId119" Type="http://schemas.openxmlformats.org/officeDocument/2006/relationships/hyperlink" Target="https://ich.unesco.org/fr/Decisions/17.COM/14" TargetMode="External"/><Relationship Id="rId10" Type="http://schemas.openxmlformats.org/officeDocument/2006/relationships/hyperlink" Target="https://www.unesco.org/sites/default/files/medias/fichiers/2022/10/6.MONDIACULT_FR_DRAFT%20FINAL%20DECLARATION.pdf" TargetMode="External"/><Relationship Id="rId31" Type="http://schemas.openxmlformats.org/officeDocument/2006/relationships/hyperlink" Target="https://ich.unesco.org/fr/Decisions/17.COM/4.b" TargetMode="External"/><Relationship Id="rId44" Type="http://schemas.openxmlformats.org/officeDocument/2006/relationships/hyperlink" Target="https://ich.unesco.org/fr/Decisions/17.COM/6.a.1" TargetMode="External"/><Relationship Id="rId52" Type="http://schemas.openxmlformats.org/officeDocument/2006/relationships/hyperlink" Target="https://ich.unesco.org/fr/Decisions/17.COM/6.a.9" TargetMode="External"/><Relationship Id="rId60" Type="http://schemas.openxmlformats.org/officeDocument/2006/relationships/hyperlink" Target="https://ich.unesco.org/fr/Decisions/17.COM/6.a.17" TargetMode="External"/><Relationship Id="rId65" Type="http://schemas.openxmlformats.org/officeDocument/2006/relationships/hyperlink" Target="https://ich.unesco.org/fr/Decisions/17.COM/6.a.22" TargetMode="External"/><Relationship Id="rId73" Type="http://schemas.openxmlformats.org/officeDocument/2006/relationships/hyperlink" Target="https://ich.unesco.org/doc/src/LHE-22-17.COM-INF.6.c_Rev-FR.pdf" TargetMode="External"/><Relationship Id="rId78" Type="http://schemas.openxmlformats.org/officeDocument/2006/relationships/hyperlink" Target="https://ich.unesco.org/doc/src/LHE-22-17.COM-8-FR.docx" TargetMode="External"/><Relationship Id="rId81" Type="http://schemas.openxmlformats.org/officeDocument/2006/relationships/hyperlink" Target="https://ich.unesco.org/fr/decisions-bureau/17.COM%25205.BUR/5" TargetMode="External"/><Relationship Id="rId86" Type="http://schemas.openxmlformats.org/officeDocument/2006/relationships/hyperlink" Target="https://ich.unesco.org/fr/D%25C3%25A9cisions/16.COM/11" TargetMode="External"/><Relationship Id="rId94" Type="http://schemas.openxmlformats.org/officeDocument/2006/relationships/hyperlink" Target="https://www.ichngoforum.org/" TargetMode="External"/><Relationship Id="rId99" Type="http://schemas.openxmlformats.org/officeDocument/2006/relationships/hyperlink" Target="https://ich.unesco.org/fr/Decisions/17.COM/10" TargetMode="External"/><Relationship Id="rId101" Type="http://schemas.openxmlformats.org/officeDocument/2006/relationships/hyperlink" Target="https://ich.unesco.org/fr/Decisions/17.COM/11"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doc/src/Message_from_King_of_Morocco_EN_FR_AR.pdf" TargetMode="External"/><Relationship Id="rId13" Type="http://schemas.openxmlformats.org/officeDocument/2006/relationships/hyperlink" Target="https://ich.unesco.org/doc/src/LHE-22-17.COM-2_REV.-FR.docx" TargetMode="External"/><Relationship Id="rId18" Type="http://schemas.openxmlformats.org/officeDocument/2006/relationships/hyperlink" Target="https://ich.unesco.org/doc/src/LHE-22-17.COM-3-FR.docx" TargetMode="External"/><Relationship Id="rId39" Type="http://schemas.openxmlformats.org/officeDocument/2006/relationships/hyperlink" Target="https://unesdoc.unesco.org/ark:/48223/pf0000383611_fre.locale=fr" TargetMode="External"/><Relationship Id="rId109" Type="http://schemas.openxmlformats.org/officeDocument/2006/relationships/hyperlink" Target="https://ich.unesco.org/doc/src/LHE-22-17.COM-14_Rev._3-FR.docx" TargetMode="External"/><Relationship Id="rId34" Type="http://schemas.openxmlformats.org/officeDocument/2006/relationships/hyperlink" Target="https://ich.unesco.org/fr/Decisions/17.COM/5" TargetMode="External"/><Relationship Id="rId50" Type="http://schemas.openxmlformats.org/officeDocument/2006/relationships/hyperlink" Target="https://ich.unesco.org/fr/Decisions/17.COM/6.a.7" TargetMode="External"/><Relationship Id="rId55" Type="http://schemas.openxmlformats.org/officeDocument/2006/relationships/hyperlink" Target="https://ich.unesco.org/fr/Decisions/17.COM/6.a.12" TargetMode="External"/><Relationship Id="rId76" Type="http://schemas.openxmlformats.org/officeDocument/2006/relationships/hyperlink" Target="https://ich.unesco.org/fr/7d-international-assistance-01284" TargetMode="External"/><Relationship Id="rId97" Type="http://schemas.openxmlformats.org/officeDocument/2006/relationships/hyperlink" Target="https://ich.unesco.org/fr/Decisions/17.COM/10" TargetMode="External"/><Relationship Id="rId104" Type="http://schemas.openxmlformats.org/officeDocument/2006/relationships/hyperlink" Target="https://ich.unesco.org/fr/Decisions/17.COM/12"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ch.unesco.org/fr/Decisions/17.COM/6.b" TargetMode="External"/><Relationship Id="rId92" Type="http://schemas.openxmlformats.org/officeDocument/2006/relationships/hyperlink" Target="https://ich.unesco.org/fr/Decisions/14.COM/15" TargetMode="External"/><Relationship Id="rId2" Type="http://schemas.openxmlformats.org/officeDocument/2006/relationships/numbering" Target="numbering.xml"/><Relationship Id="rId29" Type="http://schemas.openxmlformats.org/officeDocument/2006/relationships/hyperlink" Target="https://ich.unesco.org/doc/src/LHE-22-17.COM-4.b-FR.docx" TargetMode="External"/><Relationship Id="rId24" Type="http://schemas.openxmlformats.org/officeDocument/2006/relationships/hyperlink" Target="https://ich.unesco.org/doc/src/LHE-22-17.COM-4.a-FR.docx" TargetMode="External"/><Relationship Id="rId40" Type="http://schemas.openxmlformats.org/officeDocument/2006/relationships/hyperlink" Target="https://ich.unesco.org/fr/Decisions/17.COM/5" TargetMode="External"/><Relationship Id="rId45" Type="http://schemas.openxmlformats.org/officeDocument/2006/relationships/hyperlink" Target="https://ich.unesco.org/fr/Decisions/17.COM/6.a.2" TargetMode="External"/><Relationship Id="rId66" Type="http://schemas.openxmlformats.org/officeDocument/2006/relationships/hyperlink" Target="https://ich.unesco.org/fr/Decisions/17.COM/6.a.23" TargetMode="External"/><Relationship Id="rId87" Type="http://schemas.openxmlformats.org/officeDocument/2006/relationships/hyperlink" Target="https://ich.unesco.org/fr/Decisions/14.COM/12" TargetMode="External"/><Relationship Id="rId110" Type="http://schemas.openxmlformats.org/officeDocument/2006/relationships/hyperlink" Target="https://ich.unesco.org/fr/Decisions/17.COM/14" TargetMode="External"/><Relationship Id="rId115" Type="http://schemas.openxmlformats.org/officeDocument/2006/relationships/hyperlink" Target="https://ich.unesco.org/fr/Decisions/17.COM/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uropeanheritagedays.com/fr" TargetMode="External"/><Relationship Id="rId13" Type="http://schemas.openxmlformats.org/officeDocument/2006/relationships/hyperlink" Target="https://www.unesco.org/fr/decades/indigenous-languages" TargetMode="External"/><Relationship Id="rId18" Type="http://schemas.openxmlformats.org/officeDocument/2006/relationships/hyperlink" Target="https://crespiaf.org/crespiaf/" TargetMode="External"/><Relationship Id="rId26" Type="http://schemas.openxmlformats.org/officeDocument/2006/relationships/hyperlink" Target="https://www.unesco.org/fr/forum-against-racism-discrimination" TargetMode="External"/><Relationship Id="rId3" Type="http://schemas.openxmlformats.org/officeDocument/2006/relationships/hyperlink" Target="https://ich.unesco.org/fr/rapports-priodiques-00460" TargetMode="External"/><Relationship Id="rId21" Type="http://schemas.openxmlformats.org/officeDocument/2006/relationships/hyperlink" Target="https://ich.unesco.org/doc/src/53724-FR.pdf" TargetMode="External"/><Relationship Id="rId7" Type="http://schemas.openxmlformats.org/officeDocument/2006/relationships/hyperlink" Target="https://www.unesco.org/fr/education/1974recommendation" TargetMode="External"/><Relationship Id="rId12" Type="http://schemas.openxmlformats.org/officeDocument/2006/relationships/hyperlink" Target="https://whc.unesco.org/fr/activites/1192/" TargetMode="External"/><Relationship Id="rId17" Type="http://schemas.openxmlformats.org/officeDocument/2006/relationships/hyperlink" Target="https://www.unesco-centerbg.org/en/" TargetMode="External"/><Relationship Id="rId25" Type="http://schemas.openxmlformats.org/officeDocument/2006/relationships/hyperlink" Target="https://ich.unesco.org/doc/src/61947-FR.pdf" TargetMode="External"/><Relationship Id="rId33" Type="http://schemas.openxmlformats.org/officeDocument/2006/relationships/hyperlink" Target="https://crespial.org/" TargetMode="External"/><Relationship Id="rId2" Type="http://schemas.openxmlformats.org/officeDocument/2006/relationships/hyperlink" Target="https://ich.unesco.org/fr/formulaires" TargetMode="External"/><Relationship Id="rId16" Type="http://schemas.openxmlformats.org/officeDocument/2006/relationships/hyperlink" Target="https://ich.unesco.org/fr/formulaires" TargetMode="External"/><Relationship Id="rId20" Type="http://schemas.openxmlformats.org/officeDocument/2006/relationships/hyperlink" Target="https://ich.unesco.org/fr/demander-une-assistance-00039" TargetMode="External"/><Relationship Id="rId29" Type="http://schemas.openxmlformats.org/officeDocument/2006/relationships/hyperlink" Target="https://www.ichngoforum.org/news/laura-lopez-is-the-first-winner-of-the-albert-van-der-zeiden-prize/" TargetMode="External"/><Relationship Id="rId1" Type="http://schemas.openxmlformats.org/officeDocument/2006/relationships/hyperlink" Target="https://ich.unesco.org/fr/calendrier-des-vnements-01278" TargetMode="External"/><Relationship Id="rId6" Type="http://schemas.openxmlformats.org/officeDocument/2006/relationships/hyperlink" Target="https://ich.unesco.org/fr/massive-online-open-course-mooc-01228" TargetMode="External"/><Relationship Id="rId11" Type="http://schemas.openxmlformats.org/officeDocument/2006/relationships/hyperlink" Target="https://www.aineetonkulttuuriperinto.fi/en/livind" TargetMode="External"/><Relationship Id="rId24" Type="http://schemas.openxmlformats.org/officeDocument/2006/relationships/hyperlink" Target="https://unesdoc.unesco.org/ark:/48223/pf0000382928_fre" TargetMode="External"/><Relationship Id="rId32" Type="http://schemas.openxmlformats.org/officeDocument/2006/relationships/hyperlink" Target="https://www.ichngoforum.org/heritage-alive/" TargetMode="External"/><Relationship Id="rId5" Type="http://schemas.openxmlformats.org/officeDocument/2006/relationships/hyperlink" Target="http://www.ichcap.org/" TargetMode="External"/><Relationship Id="rId15" Type="http://schemas.openxmlformats.org/officeDocument/2006/relationships/hyperlink" Target="https://www.icesco.org/fr/" TargetMode="External"/><Relationship Id="rId23" Type="http://schemas.openxmlformats.org/officeDocument/2006/relationships/hyperlink" Target="https://crespiaf.org/" TargetMode="External"/><Relationship Id="rId28" Type="http://schemas.openxmlformats.org/officeDocument/2006/relationships/hyperlink" Target="https://www.ichngoforum.org/executive-board/" TargetMode="External"/><Relationship Id="rId10" Type="http://schemas.openxmlformats.org/officeDocument/2006/relationships/hyperlink" Target="https://fr.unesco.org/creativity/convention" TargetMode="External"/><Relationship Id="rId19" Type="http://schemas.openxmlformats.org/officeDocument/2006/relationships/hyperlink" Target="https://crespial.org/" TargetMode="External"/><Relationship Id="rId31" Type="http://schemas.openxmlformats.org/officeDocument/2006/relationships/hyperlink" Target="https://www.ichngoforum.org/news/living-heritage-peace-social-media-initiative/" TargetMode="External"/><Relationship Id="rId4" Type="http://schemas.openxmlformats.org/officeDocument/2006/relationships/hyperlink" Target="https://ich.unesco.org/fr/facilitateur" TargetMode="External"/><Relationship Id="rId9" Type="http://schemas.openxmlformats.org/officeDocument/2006/relationships/hyperlink" Target="https://www.unesco.org/sites/default/files/medias/fichiers/2022/10/6.MONDIACULT_FR_DRAFT%20FINAL%20DECLARATION.pdf" TargetMode="External"/><Relationship Id="rId14" Type="http://schemas.openxmlformats.org/officeDocument/2006/relationships/hyperlink" Target="http://www.alecso.org/nsite/fr/" TargetMode="External"/><Relationship Id="rId22" Type="http://schemas.openxmlformats.org/officeDocument/2006/relationships/hyperlink" Target="http://www.alecso.org/nsite/fr/" TargetMode="External"/><Relationship Id="rId27" Type="http://schemas.openxmlformats.org/officeDocument/2006/relationships/hyperlink" Target="https://www.ichngoforum.org/" TargetMode="External"/><Relationship Id="rId30" Type="http://schemas.openxmlformats.org/officeDocument/2006/relationships/hyperlink" Target="https://www.ichngoforum.org/web-dossier-on-intangible-cultural-heritage-and-sustainable-touris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140</TotalTime>
  <Pages>220</Pages>
  <Words>152468</Words>
  <Characters>838580</Characters>
  <Application>Microsoft Office Word</Application>
  <DocSecurity>0</DocSecurity>
  <Lines>6988</Lines>
  <Paragraphs>1978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989070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11</cp:revision>
  <cp:lastPrinted>2011-08-06T10:22:00Z</cp:lastPrinted>
  <dcterms:created xsi:type="dcterms:W3CDTF">2023-11-03T11:58:00Z</dcterms:created>
  <dcterms:modified xsi:type="dcterms:W3CDTF">2023-11-06T17:28:00Z</dcterms:modified>
</cp:coreProperties>
</file>